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oter15.xml" ContentType="application/vnd.openxmlformats-officedocument.wordprocessingml.footer+xml"/>
  <Override PartName="/word/footer16.xml" ContentType="application/vnd.openxmlformats-officedocument.wordprocessingml.footer+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E410" w14:textId="77777777" w:rsidR="00221C89" w:rsidRPr="00A472FC" w:rsidRDefault="00221C89" w:rsidP="00881604">
      <w:pPr>
        <w:ind w:right="-52"/>
        <w:jc w:val="center"/>
        <w:rPr>
          <w:rFonts w:ascii="Times New Roman" w:hAnsi="Times New Roman" w:cs="Times New Roman"/>
          <w:b/>
        </w:rPr>
      </w:pPr>
    </w:p>
    <w:p w14:paraId="4DF0FFC9" w14:textId="77777777" w:rsidR="00221C89" w:rsidRPr="00A472FC" w:rsidRDefault="00221C89" w:rsidP="00881604">
      <w:pPr>
        <w:ind w:right="-52"/>
        <w:jc w:val="center"/>
        <w:rPr>
          <w:rFonts w:ascii="Times New Roman" w:hAnsi="Times New Roman" w:cs="Times New Roman"/>
          <w:b/>
        </w:rPr>
      </w:pPr>
    </w:p>
    <w:p w14:paraId="3BE9A384" w14:textId="77777777" w:rsidR="00221C89" w:rsidRPr="00A472FC" w:rsidRDefault="00221C89" w:rsidP="00881604">
      <w:pPr>
        <w:ind w:right="-52"/>
        <w:jc w:val="center"/>
        <w:rPr>
          <w:rFonts w:ascii="Times New Roman" w:hAnsi="Times New Roman" w:cs="Times New Roman"/>
          <w:b/>
        </w:rPr>
      </w:pPr>
    </w:p>
    <w:p w14:paraId="6FB437F2" w14:textId="77777777" w:rsidR="00221C89" w:rsidRPr="00A472FC" w:rsidRDefault="00221C89" w:rsidP="00881604">
      <w:pPr>
        <w:ind w:right="-52"/>
        <w:jc w:val="center"/>
        <w:rPr>
          <w:rFonts w:ascii="Times New Roman" w:hAnsi="Times New Roman" w:cs="Times New Roman"/>
          <w:b/>
        </w:rPr>
      </w:pPr>
    </w:p>
    <w:p w14:paraId="1CBFE671" w14:textId="77777777" w:rsidR="0040353D" w:rsidRPr="00A472FC" w:rsidRDefault="0040353D" w:rsidP="00881604">
      <w:pPr>
        <w:ind w:right="-52"/>
        <w:jc w:val="center"/>
        <w:rPr>
          <w:rFonts w:ascii="Times New Roman" w:hAnsi="Times New Roman" w:cs="Times New Roman"/>
          <w:b/>
        </w:rPr>
      </w:pPr>
      <w:r w:rsidRPr="00A472FC">
        <w:rPr>
          <w:rFonts w:ascii="Times New Roman" w:hAnsi="Times New Roman" w:cs="Times New Roman"/>
          <w:b/>
        </w:rPr>
        <w:t xml:space="preserve">Human Nature in Early Franciscan Thought: </w:t>
      </w:r>
    </w:p>
    <w:p w14:paraId="097EF447" w14:textId="652021DC" w:rsidR="006356AD" w:rsidRPr="00A472FC" w:rsidRDefault="0040353D" w:rsidP="00881604">
      <w:pPr>
        <w:ind w:right="-52"/>
        <w:jc w:val="center"/>
        <w:rPr>
          <w:rFonts w:ascii="Times New Roman" w:hAnsi="Times New Roman" w:cs="Times New Roman"/>
          <w:b/>
        </w:rPr>
      </w:pPr>
      <w:r w:rsidRPr="00A472FC">
        <w:rPr>
          <w:rFonts w:ascii="Times New Roman" w:hAnsi="Times New Roman" w:cs="Times New Roman"/>
          <w:b/>
        </w:rPr>
        <w:t>Philosophical Background and Theological Significance</w:t>
      </w:r>
    </w:p>
    <w:p w14:paraId="3A1E0E73" w14:textId="2E1D1F7B" w:rsidR="00004620" w:rsidRPr="00A472FC" w:rsidRDefault="00004620" w:rsidP="00881604">
      <w:pPr>
        <w:ind w:right="-52"/>
        <w:rPr>
          <w:rFonts w:ascii="Times New Roman" w:hAnsi="Times New Roman" w:cs="Times New Roman"/>
        </w:rPr>
      </w:pPr>
    </w:p>
    <w:p w14:paraId="3C3B227F" w14:textId="77777777" w:rsidR="006A5A46" w:rsidRPr="00A472FC" w:rsidRDefault="006A5A46" w:rsidP="00881604">
      <w:pPr>
        <w:autoSpaceDE w:val="0"/>
        <w:autoSpaceDN w:val="0"/>
        <w:adjustRightInd w:val="0"/>
        <w:ind w:left="720" w:right="-52" w:hanging="720"/>
        <w:jc w:val="center"/>
        <w:rPr>
          <w:rFonts w:ascii="Times New Roman" w:hAnsi="Times New Roman" w:cs="Times New Roman"/>
          <w:b/>
        </w:rPr>
      </w:pPr>
      <w:r w:rsidRPr="00A472FC">
        <w:rPr>
          <w:rFonts w:ascii="Times New Roman" w:hAnsi="Times New Roman" w:cs="Times New Roman"/>
          <w:b/>
        </w:rPr>
        <w:t>Lydia Schumacher, King’s College London</w:t>
      </w:r>
    </w:p>
    <w:p w14:paraId="43A74232" w14:textId="77777777" w:rsidR="006A5A46" w:rsidRPr="00A472FC" w:rsidRDefault="006A5A46" w:rsidP="00881604">
      <w:pPr>
        <w:autoSpaceDE w:val="0"/>
        <w:autoSpaceDN w:val="0"/>
        <w:adjustRightInd w:val="0"/>
        <w:ind w:left="720" w:right="-52" w:hanging="720"/>
        <w:rPr>
          <w:rFonts w:ascii="Times New Roman" w:hAnsi="Times New Roman" w:cs="Times New Roman"/>
          <w:b/>
        </w:rPr>
      </w:pPr>
    </w:p>
    <w:p w14:paraId="14436994" w14:textId="77777777" w:rsidR="00221C89" w:rsidRPr="00A472FC" w:rsidRDefault="00221C89" w:rsidP="00881604">
      <w:pPr>
        <w:autoSpaceDE w:val="0"/>
        <w:autoSpaceDN w:val="0"/>
        <w:adjustRightInd w:val="0"/>
        <w:ind w:right="-52"/>
        <w:rPr>
          <w:rFonts w:ascii="Times New Roman" w:hAnsi="Times New Roman" w:cs="Times New Roman"/>
        </w:rPr>
        <w:sectPr w:rsidR="00221C89" w:rsidRPr="00A472FC" w:rsidSect="00983A9E">
          <w:footerReference w:type="even" r:id="rId8"/>
          <w:footerReference w:type="default" r:id="rId9"/>
          <w:pgSz w:w="11900" w:h="16840"/>
          <w:pgMar w:top="1440" w:right="1440" w:bottom="1440" w:left="1440" w:header="720" w:footer="720" w:gutter="0"/>
          <w:cols w:space="720"/>
          <w:docGrid w:linePitch="360"/>
        </w:sectPr>
      </w:pPr>
    </w:p>
    <w:p w14:paraId="22C11493" w14:textId="77777777" w:rsidR="005C5382" w:rsidRPr="00A472FC" w:rsidRDefault="005C5382" w:rsidP="0040353D">
      <w:pPr>
        <w:ind w:right="-52"/>
        <w:jc w:val="center"/>
        <w:rPr>
          <w:rFonts w:ascii="Times New Roman" w:hAnsi="Times New Roman" w:cs="Times New Roman"/>
          <w:bCs/>
        </w:rPr>
      </w:pPr>
    </w:p>
    <w:p w14:paraId="64D53515" w14:textId="77777777" w:rsidR="005C5382" w:rsidRPr="00A472FC" w:rsidRDefault="005C5382" w:rsidP="0040353D">
      <w:pPr>
        <w:ind w:right="-52"/>
        <w:jc w:val="center"/>
        <w:rPr>
          <w:rFonts w:ascii="Times New Roman" w:hAnsi="Times New Roman" w:cs="Times New Roman"/>
          <w:bCs/>
        </w:rPr>
      </w:pPr>
    </w:p>
    <w:p w14:paraId="716C4971" w14:textId="77777777" w:rsidR="005C5382" w:rsidRPr="00A472FC" w:rsidRDefault="005C5382" w:rsidP="0040353D">
      <w:pPr>
        <w:ind w:right="-52"/>
        <w:jc w:val="center"/>
        <w:rPr>
          <w:rFonts w:ascii="Times New Roman" w:hAnsi="Times New Roman" w:cs="Times New Roman"/>
          <w:bCs/>
        </w:rPr>
      </w:pPr>
    </w:p>
    <w:p w14:paraId="58F10642" w14:textId="77777777" w:rsidR="005C5382" w:rsidRPr="00A472FC" w:rsidRDefault="005C5382" w:rsidP="0040353D">
      <w:pPr>
        <w:ind w:right="-52"/>
        <w:jc w:val="center"/>
        <w:rPr>
          <w:rFonts w:ascii="Times New Roman" w:hAnsi="Times New Roman" w:cs="Times New Roman"/>
          <w:bCs/>
        </w:rPr>
      </w:pPr>
    </w:p>
    <w:p w14:paraId="166CFCF7" w14:textId="77777777" w:rsidR="005C5382" w:rsidRPr="00A472FC" w:rsidRDefault="005C5382" w:rsidP="0040353D">
      <w:pPr>
        <w:ind w:right="-52"/>
        <w:jc w:val="center"/>
        <w:rPr>
          <w:rFonts w:ascii="Times New Roman" w:hAnsi="Times New Roman" w:cs="Times New Roman"/>
          <w:bCs/>
        </w:rPr>
      </w:pPr>
    </w:p>
    <w:p w14:paraId="771C49AF" w14:textId="77777777" w:rsidR="005C5382" w:rsidRPr="00A472FC" w:rsidRDefault="005C5382" w:rsidP="0040353D">
      <w:pPr>
        <w:ind w:right="-52"/>
        <w:jc w:val="center"/>
        <w:rPr>
          <w:rFonts w:ascii="Times New Roman" w:hAnsi="Times New Roman" w:cs="Times New Roman"/>
          <w:bCs/>
        </w:rPr>
      </w:pPr>
    </w:p>
    <w:p w14:paraId="2887AF37" w14:textId="77777777" w:rsidR="005C5382" w:rsidRPr="00A472FC" w:rsidRDefault="005C5382" w:rsidP="0040353D">
      <w:pPr>
        <w:ind w:right="-52"/>
        <w:jc w:val="center"/>
        <w:rPr>
          <w:rFonts w:ascii="Times New Roman" w:hAnsi="Times New Roman" w:cs="Times New Roman"/>
          <w:bCs/>
        </w:rPr>
      </w:pPr>
    </w:p>
    <w:p w14:paraId="1FEA4F45" w14:textId="77777777" w:rsidR="005C5382" w:rsidRPr="00A472FC" w:rsidRDefault="005C5382" w:rsidP="0040353D">
      <w:pPr>
        <w:ind w:right="-52"/>
        <w:jc w:val="center"/>
        <w:rPr>
          <w:rFonts w:ascii="Times New Roman" w:hAnsi="Times New Roman" w:cs="Times New Roman"/>
          <w:bCs/>
        </w:rPr>
      </w:pPr>
    </w:p>
    <w:p w14:paraId="0C4B518A" w14:textId="2CB0D988" w:rsidR="005C5382" w:rsidRPr="00A472FC" w:rsidRDefault="005C5382" w:rsidP="0040353D">
      <w:pPr>
        <w:ind w:right="-52"/>
        <w:jc w:val="center"/>
        <w:rPr>
          <w:rFonts w:ascii="Times New Roman" w:hAnsi="Times New Roman" w:cs="Times New Roman"/>
          <w:bCs/>
        </w:rPr>
      </w:pPr>
      <w:r w:rsidRPr="00A472FC">
        <w:rPr>
          <w:rFonts w:ascii="Times New Roman" w:hAnsi="Times New Roman" w:cs="Times New Roman"/>
          <w:bCs/>
        </w:rPr>
        <w:t>For my mother, Pamela</w:t>
      </w:r>
    </w:p>
    <w:p w14:paraId="214C8D8A" w14:textId="77777777" w:rsidR="005C5382" w:rsidRPr="00A472FC" w:rsidRDefault="005C5382" w:rsidP="0040353D">
      <w:pPr>
        <w:ind w:right="-52"/>
        <w:jc w:val="center"/>
        <w:rPr>
          <w:rFonts w:ascii="Times New Roman" w:hAnsi="Times New Roman" w:cs="Times New Roman"/>
          <w:b/>
        </w:rPr>
      </w:pPr>
    </w:p>
    <w:p w14:paraId="4AA11905" w14:textId="77777777" w:rsidR="005C5382" w:rsidRPr="00A472FC" w:rsidRDefault="005C5382">
      <w:pPr>
        <w:rPr>
          <w:rFonts w:ascii="Times New Roman" w:hAnsi="Times New Roman" w:cs="Times New Roman"/>
          <w:b/>
        </w:rPr>
      </w:pPr>
      <w:r w:rsidRPr="00A472FC">
        <w:rPr>
          <w:rFonts w:ascii="Times New Roman" w:hAnsi="Times New Roman" w:cs="Times New Roman"/>
          <w:b/>
        </w:rPr>
        <w:br w:type="page"/>
      </w:r>
    </w:p>
    <w:p w14:paraId="0F78DA40" w14:textId="10DEB3B6" w:rsidR="0040353D" w:rsidRPr="00A472FC" w:rsidRDefault="0040353D" w:rsidP="0040353D">
      <w:pPr>
        <w:ind w:right="-52"/>
        <w:jc w:val="center"/>
        <w:rPr>
          <w:rFonts w:ascii="Times New Roman" w:hAnsi="Times New Roman" w:cs="Times New Roman"/>
          <w:b/>
        </w:rPr>
      </w:pPr>
      <w:r w:rsidRPr="00A472FC">
        <w:rPr>
          <w:rFonts w:ascii="Times New Roman" w:hAnsi="Times New Roman" w:cs="Times New Roman"/>
          <w:b/>
        </w:rPr>
        <w:lastRenderedPageBreak/>
        <w:t>Human Nature in Early Franciscan Thought:</w:t>
      </w:r>
    </w:p>
    <w:p w14:paraId="2A5983D8" w14:textId="77777777" w:rsidR="0040353D" w:rsidRPr="00A472FC" w:rsidRDefault="0040353D" w:rsidP="0040353D">
      <w:pPr>
        <w:ind w:right="-52"/>
        <w:jc w:val="center"/>
        <w:rPr>
          <w:rFonts w:ascii="Times New Roman" w:hAnsi="Times New Roman" w:cs="Times New Roman"/>
          <w:b/>
        </w:rPr>
      </w:pPr>
      <w:r w:rsidRPr="00A472FC">
        <w:rPr>
          <w:rFonts w:ascii="Times New Roman" w:hAnsi="Times New Roman" w:cs="Times New Roman"/>
          <w:b/>
        </w:rPr>
        <w:t>Philosophical Background and Theological Significance</w:t>
      </w:r>
    </w:p>
    <w:p w14:paraId="64942270" w14:textId="77777777" w:rsidR="008555EB" w:rsidRPr="00A472FC" w:rsidRDefault="008555EB" w:rsidP="00881604">
      <w:pPr>
        <w:ind w:right="-52"/>
        <w:rPr>
          <w:rFonts w:ascii="Times New Roman" w:hAnsi="Times New Roman" w:cs="Times New Roman"/>
        </w:rPr>
      </w:pPr>
    </w:p>
    <w:p w14:paraId="2FB2A4F9" w14:textId="56DA4840" w:rsidR="00EA54A5" w:rsidRPr="00A472FC" w:rsidRDefault="00EA54A5" w:rsidP="00881604">
      <w:pPr>
        <w:ind w:right="-52"/>
        <w:rPr>
          <w:rFonts w:ascii="Times New Roman" w:hAnsi="Times New Roman" w:cs="Times New Roman"/>
        </w:rPr>
      </w:pPr>
      <w:r w:rsidRPr="00A472FC">
        <w:rPr>
          <w:rFonts w:ascii="Times New Roman" w:hAnsi="Times New Roman" w:cs="Times New Roman"/>
        </w:rPr>
        <w:t>Introduction</w:t>
      </w:r>
    </w:p>
    <w:p w14:paraId="1F65EC7C" w14:textId="77777777" w:rsidR="00EA54A5" w:rsidRPr="00A472FC" w:rsidRDefault="00EA54A5" w:rsidP="00881604">
      <w:pPr>
        <w:ind w:right="-52"/>
        <w:rPr>
          <w:rFonts w:ascii="Times New Roman" w:hAnsi="Times New Roman" w:cs="Times New Roman"/>
        </w:rPr>
      </w:pPr>
    </w:p>
    <w:p w14:paraId="7C02FD8C" w14:textId="77777777" w:rsidR="00F771A4" w:rsidRPr="00A472FC" w:rsidRDefault="008555EB" w:rsidP="00DF59D3">
      <w:pPr>
        <w:autoSpaceDE w:val="0"/>
        <w:autoSpaceDN w:val="0"/>
        <w:adjustRightInd w:val="0"/>
        <w:ind w:right="-52"/>
        <w:rPr>
          <w:rFonts w:ascii="Times New Roman" w:hAnsi="Times New Roman" w:cs="Times New Roman"/>
          <w:bCs/>
          <w:lang w:val="en-US"/>
        </w:rPr>
      </w:pPr>
      <w:r w:rsidRPr="00A472FC">
        <w:rPr>
          <w:rFonts w:ascii="Times New Roman" w:hAnsi="Times New Roman" w:cs="Times New Roman"/>
        </w:rPr>
        <w:t xml:space="preserve">Chapter 1: </w:t>
      </w:r>
      <w:r w:rsidR="00F771A4" w:rsidRPr="00A472FC">
        <w:rPr>
          <w:rFonts w:ascii="Times New Roman" w:hAnsi="Times New Roman" w:cs="Times New Roman"/>
          <w:bCs/>
          <w:lang w:val="en-US"/>
        </w:rPr>
        <w:t>The Philosophy of the Soul c. 1150-1215</w:t>
      </w:r>
    </w:p>
    <w:p w14:paraId="3FC369A7" w14:textId="4E8C86C2" w:rsidR="00F771A4" w:rsidRPr="00A472FC" w:rsidRDefault="00F771A4" w:rsidP="00881604">
      <w:pPr>
        <w:pStyle w:val="ListParagraph"/>
        <w:numPr>
          <w:ilvl w:val="0"/>
          <w:numId w:val="15"/>
        </w:numPr>
        <w:ind w:right="-52"/>
        <w:rPr>
          <w:rFonts w:ascii="Times New Roman" w:hAnsi="Times New Roman" w:cs="Times New Roman"/>
        </w:rPr>
      </w:pPr>
      <w:r w:rsidRPr="00A472FC">
        <w:rPr>
          <w:rFonts w:ascii="Times New Roman" w:hAnsi="Times New Roman" w:cs="Times New Roman"/>
        </w:rPr>
        <w:t xml:space="preserve">Twelfth-Century Developments </w:t>
      </w:r>
    </w:p>
    <w:p w14:paraId="43D231AA" w14:textId="20823F4E" w:rsidR="008555EB" w:rsidRPr="00A472FC" w:rsidRDefault="008555EB" w:rsidP="00881604">
      <w:pPr>
        <w:pStyle w:val="ListParagraph"/>
        <w:numPr>
          <w:ilvl w:val="0"/>
          <w:numId w:val="15"/>
        </w:numPr>
        <w:ind w:right="-52"/>
        <w:rPr>
          <w:rFonts w:ascii="Times New Roman" w:hAnsi="Times New Roman" w:cs="Times New Roman"/>
        </w:rPr>
      </w:pPr>
      <w:r w:rsidRPr="00A472FC">
        <w:rPr>
          <w:rFonts w:ascii="Times New Roman" w:hAnsi="Times New Roman" w:cs="Times New Roman"/>
        </w:rPr>
        <w:t>The Translation Movement</w:t>
      </w:r>
    </w:p>
    <w:p w14:paraId="71C8301B" w14:textId="77777777" w:rsidR="008555EB" w:rsidRPr="00A472FC" w:rsidRDefault="008555EB" w:rsidP="00881604">
      <w:pPr>
        <w:pStyle w:val="ListParagraph"/>
        <w:numPr>
          <w:ilvl w:val="0"/>
          <w:numId w:val="15"/>
        </w:numPr>
        <w:ind w:right="-52"/>
        <w:rPr>
          <w:rFonts w:ascii="Times New Roman" w:hAnsi="Times New Roman" w:cs="Times New Roman"/>
        </w:rPr>
      </w:pPr>
      <w:r w:rsidRPr="00A472FC">
        <w:rPr>
          <w:rFonts w:ascii="Times New Roman" w:hAnsi="Times New Roman" w:cs="Times New Roman"/>
        </w:rPr>
        <w:t>The Latin Reception</w:t>
      </w:r>
    </w:p>
    <w:p w14:paraId="27EA647C" w14:textId="77777777" w:rsidR="008555EB" w:rsidRPr="00A472FC" w:rsidRDefault="008555EB" w:rsidP="00881604">
      <w:pPr>
        <w:pStyle w:val="ListParagraph"/>
        <w:numPr>
          <w:ilvl w:val="0"/>
          <w:numId w:val="15"/>
        </w:numPr>
        <w:ind w:right="-52"/>
        <w:rPr>
          <w:rFonts w:ascii="Times New Roman" w:hAnsi="Times New Roman" w:cs="Times New Roman"/>
        </w:rPr>
      </w:pPr>
      <w:r w:rsidRPr="00A472FC">
        <w:rPr>
          <w:rFonts w:ascii="Times New Roman" w:hAnsi="Times New Roman" w:cs="Times New Roman"/>
        </w:rPr>
        <w:t>Theological Context</w:t>
      </w:r>
    </w:p>
    <w:p w14:paraId="661DB971" w14:textId="77777777" w:rsidR="008555EB" w:rsidRPr="00A472FC" w:rsidRDefault="008555EB" w:rsidP="00881604">
      <w:pPr>
        <w:ind w:right="-52"/>
        <w:rPr>
          <w:rFonts w:ascii="Times New Roman" w:hAnsi="Times New Roman" w:cs="Times New Roman"/>
        </w:rPr>
      </w:pPr>
    </w:p>
    <w:p w14:paraId="1D60206F" w14:textId="31AAC577" w:rsidR="008555EB" w:rsidRPr="00A472FC" w:rsidRDefault="008555EB" w:rsidP="00881604">
      <w:pPr>
        <w:ind w:right="-52"/>
        <w:rPr>
          <w:rFonts w:ascii="Times New Roman" w:hAnsi="Times New Roman" w:cs="Times New Roman"/>
        </w:rPr>
      </w:pPr>
      <w:r w:rsidRPr="00A472FC">
        <w:rPr>
          <w:rFonts w:ascii="Times New Roman" w:hAnsi="Times New Roman" w:cs="Times New Roman"/>
        </w:rPr>
        <w:t xml:space="preserve">Chapter 2: Theological </w:t>
      </w:r>
      <w:r w:rsidR="000F4901" w:rsidRPr="00A472FC">
        <w:rPr>
          <w:rFonts w:ascii="Times New Roman" w:hAnsi="Times New Roman" w:cs="Times New Roman"/>
        </w:rPr>
        <w:t>Background</w:t>
      </w:r>
      <w:r w:rsidRPr="00A472FC">
        <w:rPr>
          <w:rFonts w:ascii="Times New Roman" w:hAnsi="Times New Roman" w:cs="Times New Roman"/>
        </w:rPr>
        <w:t>: Early Masters at the University of Paris</w:t>
      </w:r>
    </w:p>
    <w:p w14:paraId="0BC909E2" w14:textId="77777777" w:rsidR="008555EB" w:rsidRPr="00A472FC" w:rsidRDefault="008555EB" w:rsidP="00881604">
      <w:pPr>
        <w:pStyle w:val="ListParagraph"/>
        <w:numPr>
          <w:ilvl w:val="0"/>
          <w:numId w:val="24"/>
        </w:numPr>
        <w:ind w:right="-52"/>
        <w:rPr>
          <w:rFonts w:ascii="Times New Roman" w:hAnsi="Times New Roman" w:cs="Times New Roman"/>
        </w:rPr>
      </w:pPr>
      <w:r w:rsidRPr="00A472FC">
        <w:rPr>
          <w:rFonts w:ascii="Times New Roman" w:hAnsi="Times New Roman" w:cs="Times New Roman"/>
        </w:rPr>
        <w:t xml:space="preserve">William of </w:t>
      </w:r>
      <w:proofErr w:type="spellStart"/>
      <w:r w:rsidRPr="00A472FC">
        <w:rPr>
          <w:rFonts w:ascii="Times New Roman" w:hAnsi="Times New Roman" w:cs="Times New Roman"/>
        </w:rPr>
        <w:t>Auxerre</w:t>
      </w:r>
      <w:proofErr w:type="spellEnd"/>
    </w:p>
    <w:p w14:paraId="3A8CE87C" w14:textId="77777777" w:rsidR="008555EB" w:rsidRPr="00A472FC" w:rsidRDefault="008555EB" w:rsidP="00881604">
      <w:pPr>
        <w:pStyle w:val="ListParagraph"/>
        <w:numPr>
          <w:ilvl w:val="0"/>
          <w:numId w:val="24"/>
        </w:numPr>
        <w:ind w:right="-52"/>
        <w:rPr>
          <w:rFonts w:ascii="Times New Roman" w:hAnsi="Times New Roman" w:cs="Times New Roman"/>
        </w:rPr>
      </w:pPr>
      <w:r w:rsidRPr="00A472FC">
        <w:rPr>
          <w:rFonts w:ascii="Times New Roman" w:hAnsi="Times New Roman" w:cs="Times New Roman"/>
        </w:rPr>
        <w:t>Philip the Chancellor</w:t>
      </w:r>
    </w:p>
    <w:p w14:paraId="4ABFBE87" w14:textId="77777777" w:rsidR="008555EB" w:rsidRPr="00A472FC" w:rsidRDefault="008555EB" w:rsidP="00881604">
      <w:pPr>
        <w:pStyle w:val="ListParagraph"/>
        <w:numPr>
          <w:ilvl w:val="0"/>
          <w:numId w:val="24"/>
        </w:numPr>
        <w:ind w:right="-52"/>
        <w:rPr>
          <w:rFonts w:ascii="Times New Roman" w:hAnsi="Times New Roman" w:cs="Times New Roman"/>
        </w:rPr>
      </w:pPr>
      <w:r w:rsidRPr="00A472FC">
        <w:rPr>
          <w:rFonts w:ascii="Times New Roman" w:hAnsi="Times New Roman" w:cs="Times New Roman"/>
        </w:rPr>
        <w:t>Alexander of Hales</w:t>
      </w:r>
    </w:p>
    <w:p w14:paraId="38FD26F2" w14:textId="77777777" w:rsidR="008555EB" w:rsidRPr="00A472FC" w:rsidRDefault="008555EB" w:rsidP="00881604">
      <w:pPr>
        <w:pStyle w:val="ListParagraph"/>
        <w:numPr>
          <w:ilvl w:val="0"/>
          <w:numId w:val="24"/>
        </w:numPr>
        <w:ind w:right="-52"/>
        <w:rPr>
          <w:rFonts w:ascii="Times New Roman" w:hAnsi="Times New Roman" w:cs="Times New Roman"/>
        </w:rPr>
      </w:pPr>
      <w:r w:rsidRPr="00A472FC">
        <w:rPr>
          <w:rFonts w:ascii="Times New Roman" w:hAnsi="Times New Roman" w:cs="Times New Roman"/>
        </w:rPr>
        <w:t>Roland of Cremona</w:t>
      </w:r>
    </w:p>
    <w:p w14:paraId="62CBECF3" w14:textId="77777777" w:rsidR="008555EB" w:rsidRPr="00A472FC" w:rsidRDefault="008555EB" w:rsidP="00881604">
      <w:pPr>
        <w:pStyle w:val="ListParagraph"/>
        <w:numPr>
          <w:ilvl w:val="0"/>
          <w:numId w:val="24"/>
        </w:numPr>
        <w:ind w:right="-52"/>
        <w:rPr>
          <w:rFonts w:ascii="Times New Roman" w:hAnsi="Times New Roman" w:cs="Times New Roman"/>
        </w:rPr>
      </w:pPr>
      <w:r w:rsidRPr="00A472FC">
        <w:rPr>
          <w:rFonts w:ascii="Times New Roman" w:hAnsi="Times New Roman" w:cs="Times New Roman"/>
        </w:rPr>
        <w:t>Hugh of St Cher</w:t>
      </w:r>
    </w:p>
    <w:p w14:paraId="444E1AB7" w14:textId="77777777" w:rsidR="008555EB" w:rsidRPr="00A472FC" w:rsidRDefault="008555EB" w:rsidP="00881604">
      <w:pPr>
        <w:pStyle w:val="ListParagraph"/>
        <w:numPr>
          <w:ilvl w:val="0"/>
          <w:numId w:val="24"/>
        </w:numPr>
        <w:ind w:right="-52"/>
        <w:rPr>
          <w:rFonts w:ascii="Times New Roman" w:hAnsi="Times New Roman" w:cs="Times New Roman"/>
        </w:rPr>
      </w:pPr>
      <w:proofErr w:type="spellStart"/>
      <w:r w:rsidRPr="00A472FC">
        <w:rPr>
          <w:rFonts w:ascii="Times New Roman" w:hAnsi="Times New Roman" w:cs="Times New Roman"/>
        </w:rPr>
        <w:t>Guerric</w:t>
      </w:r>
      <w:proofErr w:type="spellEnd"/>
      <w:r w:rsidRPr="00A472FC">
        <w:rPr>
          <w:rFonts w:ascii="Times New Roman" w:hAnsi="Times New Roman" w:cs="Times New Roman"/>
        </w:rPr>
        <w:t xml:space="preserve"> of St Quentin</w:t>
      </w:r>
    </w:p>
    <w:p w14:paraId="0363C2AA" w14:textId="77777777" w:rsidR="008555EB" w:rsidRPr="00A472FC" w:rsidRDefault="008555EB" w:rsidP="00881604">
      <w:pPr>
        <w:pStyle w:val="ListParagraph"/>
        <w:numPr>
          <w:ilvl w:val="0"/>
          <w:numId w:val="24"/>
        </w:numPr>
        <w:ind w:right="-52"/>
        <w:rPr>
          <w:rFonts w:ascii="Times New Roman" w:hAnsi="Times New Roman" w:cs="Times New Roman"/>
        </w:rPr>
      </w:pPr>
      <w:r w:rsidRPr="00A472FC">
        <w:rPr>
          <w:rFonts w:ascii="Times New Roman" w:hAnsi="Times New Roman" w:cs="Times New Roman"/>
        </w:rPr>
        <w:t>William of Auvergne</w:t>
      </w:r>
    </w:p>
    <w:p w14:paraId="252FA19E" w14:textId="77777777" w:rsidR="008555EB" w:rsidRPr="00A472FC" w:rsidRDefault="008555EB" w:rsidP="00881604">
      <w:pPr>
        <w:pStyle w:val="ListParagraph"/>
        <w:numPr>
          <w:ilvl w:val="0"/>
          <w:numId w:val="24"/>
        </w:numPr>
        <w:ind w:right="-52"/>
        <w:rPr>
          <w:rFonts w:ascii="Times New Roman" w:hAnsi="Times New Roman" w:cs="Times New Roman"/>
        </w:rPr>
      </w:pPr>
      <w:r w:rsidRPr="00A472FC">
        <w:rPr>
          <w:rFonts w:ascii="Times New Roman" w:hAnsi="Times New Roman" w:cs="Times New Roman"/>
        </w:rPr>
        <w:t>John of La Rochelle</w:t>
      </w:r>
    </w:p>
    <w:p w14:paraId="2F57E42B" w14:textId="77777777" w:rsidR="008555EB" w:rsidRPr="00A472FC" w:rsidRDefault="008555EB" w:rsidP="00881604">
      <w:pPr>
        <w:pStyle w:val="ListParagraph"/>
        <w:numPr>
          <w:ilvl w:val="0"/>
          <w:numId w:val="24"/>
        </w:numPr>
        <w:ind w:right="-52"/>
        <w:rPr>
          <w:rFonts w:ascii="Times New Roman" w:hAnsi="Times New Roman" w:cs="Times New Roman"/>
        </w:rPr>
      </w:pPr>
      <w:r w:rsidRPr="00A472FC">
        <w:rPr>
          <w:rFonts w:ascii="Times New Roman" w:hAnsi="Times New Roman" w:cs="Times New Roman"/>
        </w:rPr>
        <w:t>Conclusion</w:t>
      </w:r>
    </w:p>
    <w:p w14:paraId="59D9212F" w14:textId="77777777" w:rsidR="008555EB" w:rsidRPr="00A472FC" w:rsidRDefault="008555EB" w:rsidP="00881604">
      <w:pPr>
        <w:ind w:right="-52"/>
        <w:rPr>
          <w:rFonts w:ascii="Times New Roman" w:hAnsi="Times New Roman" w:cs="Times New Roman"/>
        </w:rPr>
      </w:pPr>
    </w:p>
    <w:p w14:paraId="79DAE090" w14:textId="77777777" w:rsidR="008555EB" w:rsidRPr="00A472FC" w:rsidRDefault="008555EB" w:rsidP="00881604">
      <w:pPr>
        <w:ind w:right="-52"/>
        <w:rPr>
          <w:rFonts w:ascii="Times New Roman" w:hAnsi="Times New Roman" w:cs="Times New Roman"/>
        </w:rPr>
      </w:pPr>
      <w:r w:rsidRPr="00A472FC">
        <w:rPr>
          <w:rFonts w:ascii="Times New Roman" w:hAnsi="Times New Roman" w:cs="Times New Roman"/>
        </w:rPr>
        <w:t>Chapter 3: The Soul and the Body</w:t>
      </w:r>
    </w:p>
    <w:p w14:paraId="5CE5E202" w14:textId="77777777" w:rsidR="008555EB" w:rsidRPr="00A472FC" w:rsidRDefault="008555EB" w:rsidP="00881604">
      <w:pPr>
        <w:pStyle w:val="ListParagraph"/>
        <w:numPr>
          <w:ilvl w:val="0"/>
          <w:numId w:val="16"/>
        </w:numPr>
        <w:ind w:right="-52"/>
        <w:rPr>
          <w:rFonts w:ascii="Times New Roman" w:hAnsi="Times New Roman" w:cs="Times New Roman"/>
        </w:rPr>
      </w:pPr>
      <w:r w:rsidRPr="00A472FC">
        <w:rPr>
          <w:rFonts w:ascii="Times New Roman" w:hAnsi="Times New Roman" w:cs="Times New Roman"/>
        </w:rPr>
        <w:t>The Substance of the Soul</w:t>
      </w:r>
    </w:p>
    <w:p w14:paraId="7A1C3D91" w14:textId="24A4F614" w:rsidR="008555EB" w:rsidRPr="00A472FC" w:rsidRDefault="00836E9C" w:rsidP="00881604">
      <w:pPr>
        <w:pStyle w:val="ListParagraph"/>
        <w:numPr>
          <w:ilvl w:val="0"/>
          <w:numId w:val="16"/>
        </w:numPr>
        <w:ind w:right="-52"/>
        <w:rPr>
          <w:rFonts w:ascii="Times New Roman" w:hAnsi="Times New Roman" w:cs="Times New Roman"/>
        </w:rPr>
      </w:pPr>
      <w:r w:rsidRPr="00A472FC">
        <w:rPr>
          <w:rFonts w:ascii="Times New Roman" w:hAnsi="Times New Roman" w:cs="Times New Roman"/>
        </w:rPr>
        <w:t>The Composition of the Soul</w:t>
      </w:r>
    </w:p>
    <w:p w14:paraId="2872D186" w14:textId="77777777" w:rsidR="008555EB" w:rsidRPr="00A472FC" w:rsidRDefault="008555EB" w:rsidP="00881604">
      <w:pPr>
        <w:pStyle w:val="ListParagraph"/>
        <w:numPr>
          <w:ilvl w:val="0"/>
          <w:numId w:val="16"/>
        </w:numPr>
        <w:ind w:right="-52"/>
        <w:rPr>
          <w:rFonts w:ascii="Times New Roman" w:hAnsi="Times New Roman" w:cs="Times New Roman"/>
        </w:rPr>
      </w:pPr>
      <w:r w:rsidRPr="00A472FC">
        <w:rPr>
          <w:rFonts w:ascii="Times New Roman" w:hAnsi="Times New Roman" w:cs="Times New Roman"/>
        </w:rPr>
        <w:t>The Soul-Body Union</w:t>
      </w:r>
    </w:p>
    <w:p w14:paraId="57DCC03E" w14:textId="77777777" w:rsidR="008555EB" w:rsidRPr="00A472FC" w:rsidRDefault="008555EB" w:rsidP="00881604">
      <w:pPr>
        <w:pStyle w:val="ListParagraph"/>
        <w:numPr>
          <w:ilvl w:val="0"/>
          <w:numId w:val="16"/>
        </w:numPr>
        <w:ind w:right="-52"/>
        <w:rPr>
          <w:rFonts w:ascii="Times New Roman" w:hAnsi="Times New Roman" w:cs="Times New Roman"/>
        </w:rPr>
      </w:pPr>
      <w:r w:rsidRPr="00A472FC">
        <w:rPr>
          <w:rFonts w:ascii="Times New Roman" w:hAnsi="Times New Roman" w:cs="Times New Roman"/>
        </w:rPr>
        <w:t>The Medium between the Soul and the Body</w:t>
      </w:r>
    </w:p>
    <w:p w14:paraId="7663CEF6" w14:textId="77777777" w:rsidR="008555EB" w:rsidRPr="00A472FC" w:rsidRDefault="008555EB" w:rsidP="00881604">
      <w:pPr>
        <w:pStyle w:val="ListParagraph"/>
        <w:numPr>
          <w:ilvl w:val="0"/>
          <w:numId w:val="16"/>
        </w:numPr>
        <w:ind w:right="-52"/>
        <w:rPr>
          <w:rFonts w:ascii="Times New Roman" w:hAnsi="Times New Roman" w:cs="Times New Roman"/>
        </w:rPr>
      </w:pPr>
      <w:r w:rsidRPr="00A472FC">
        <w:rPr>
          <w:rFonts w:ascii="Times New Roman" w:hAnsi="Times New Roman" w:cs="Times New Roman"/>
        </w:rPr>
        <w:t>Conclusion</w:t>
      </w:r>
    </w:p>
    <w:p w14:paraId="6E07B930" w14:textId="77777777" w:rsidR="008555EB" w:rsidRPr="00A472FC" w:rsidRDefault="008555EB" w:rsidP="00881604">
      <w:pPr>
        <w:ind w:right="-52"/>
        <w:rPr>
          <w:rFonts w:ascii="Times New Roman" w:hAnsi="Times New Roman" w:cs="Times New Roman"/>
        </w:rPr>
      </w:pPr>
    </w:p>
    <w:p w14:paraId="39585029" w14:textId="77777777" w:rsidR="008555EB" w:rsidRPr="00A472FC" w:rsidRDefault="008555EB" w:rsidP="00881604">
      <w:pPr>
        <w:ind w:right="-52"/>
        <w:rPr>
          <w:rFonts w:ascii="Times New Roman" w:hAnsi="Times New Roman" w:cs="Times New Roman"/>
        </w:rPr>
      </w:pPr>
      <w:r w:rsidRPr="00A472FC">
        <w:rPr>
          <w:rFonts w:ascii="Times New Roman" w:hAnsi="Times New Roman" w:cs="Times New Roman"/>
        </w:rPr>
        <w:t>Chapter 4: The Powers of the Soul</w:t>
      </w:r>
    </w:p>
    <w:p w14:paraId="0C081A20" w14:textId="77777777" w:rsidR="008555EB" w:rsidRPr="00A472FC" w:rsidRDefault="008555EB" w:rsidP="00881604">
      <w:pPr>
        <w:pStyle w:val="ListParagraph"/>
        <w:numPr>
          <w:ilvl w:val="0"/>
          <w:numId w:val="17"/>
        </w:numPr>
        <w:ind w:right="-52"/>
        <w:rPr>
          <w:rFonts w:ascii="Times New Roman" w:hAnsi="Times New Roman" w:cs="Times New Roman"/>
        </w:rPr>
      </w:pPr>
      <w:r w:rsidRPr="00A472FC">
        <w:rPr>
          <w:rFonts w:ascii="Times New Roman" w:hAnsi="Times New Roman" w:cs="Times New Roman"/>
        </w:rPr>
        <w:t xml:space="preserve">The Unity of the Soul </w:t>
      </w:r>
    </w:p>
    <w:p w14:paraId="2DDF0050" w14:textId="77777777" w:rsidR="008555EB" w:rsidRPr="00A472FC" w:rsidRDefault="008555EB" w:rsidP="00881604">
      <w:pPr>
        <w:pStyle w:val="ListParagraph"/>
        <w:numPr>
          <w:ilvl w:val="0"/>
          <w:numId w:val="17"/>
        </w:numPr>
        <w:ind w:right="-52"/>
        <w:rPr>
          <w:rFonts w:ascii="Times New Roman" w:hAnsi="Times New Roman" w:cs="Times New Roman"/>
        </w:rPr>
      </w:pPr>
      <w:r w:rsidRPr="00A472FC">
        <w:rPr>
          <w:rFonts w:ascii="Times New Roman" w:hAnsi="Times New Roman" w:cs="Times New Roman"/>
        </w:rPr>
        <w:t>The Identity of the Soul with its Powers in John of La Rochelle</w:t>
      </w:r>
    </w:p>
    <w:p w14:paraId="5F1BC9DD" w14:textId="7BCEC1B9" w:rsidR="008555EB" w:rsidRPr="00A472FC" w:rsidRDefault="008555EB" w:rsidP="00881604">
      <w:pPr>
        <w:pStyle w:val="ListParagraph"/>
        <w:numPr>
          <w:ilvl w:val="0"/>
          <w:numId w:val="17"/>
        </w:numPr>
        <w:ind w:right="-52"/>
        <w:rPr>
          <w:rFonts w:ascii="Times New Roman" w:hAnsi="Times New Roman" w:cs="Times New Roman"/>
          <w:i/>
        </w:rPr>
      </w:pPr>
      <w:r w:rsidRPr="00A472FC">
        <w:rPr>
          <w:rFonts w:ascii="Times New Roman" w:hAnsi="Times New Roman" w:cs="Times New Roman"/>
        </w:rPr>
        <w:t xml:space="preserve">The Identity of the Soul and </w:t>
      </w:r>
      <w:r w:rsidR="00854658" w:rsidRPr="00A472FC">
        <w:rPr>
          <w:rFonts w:ascii="Times New Roman" w:hAnsi="Times New Roman" w:cs="Times New Roman"/>
        </w:rPr>
        <w:t>i</w:t>
      </w:r>
      <w:r w:rsidRPr="00A472FC">
        <w:rPr>
          <w:rFonts w:ascii="Times New Roman" w:hAnsi="Times New Roman" w:cs="Times New Roman"/>
        </w:rPr>
        <w:t xml:space="preserve">ts Powers in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p>
    <w:p w14:paraId="481C0418" w14:textId="77777777" w:rsidR="008555EB" w:rsidRPr="00A472FC" w:rsidRDefault="008555EB" w:rsidP="00881604">
      <w:pPr>
        <w:ind w:right="-52"/>
        <w:rPr>
          <w:rFonts w:ascii="Times New Roman" w:hAnsi="Times New Roman" w:cs="Times New Roman"/>
        </w:rPr>
      </w:pPr>
    </w:p>
    <w:p w14:paraId="75D5DA44" w14:textId="45EADB0E" w:rsidR="008555EB" w:rsidRPr="00A472FC" w:rsidRDefault="008555EB" w:rsidP="00881604">
      <w:pPr>
        <w:ind w:right="-52"/>
        <w:rPr>
          <w:rFonts w:ascii="Times New Roman" w:hAnsi="Times New Roman" w:cs="Times New Roman"/>
          <w:i/>
        </w:rPr>
      </w:pPr>
      <w:r w:rsidRPr="00A472FC">
        <w:rPr>
          <w:rFonts w:ascii="Times New Roman" w:hAnsi="Times New Roman" w:cs="Times New Roman"/>
        </w:rPr>
        <w:t xml:space="preserve">Chapter 5: Cognitive Powers: John of La Rochelle’s </w:t>
      </w:r>
      <w:proofErr w:type="spellStart"/>
      <w:r w:rsidR="00040053" w:rsidRPr="00A472FC">
        <w:rPr>
          <w:rFonts w:ascii="Times New Roman" w:hAnsi="Times New Roman" w:cs="Times New Roman"/>
          <w:i/>
        </w:rPr>
        <w:t>Tractatus</w:t>
      </w:r>
      <w:proofErr w:type="spellEnd"/>
    </w:p>
    <w:p w14:paraId="282362D5" w14:textId="5DE283DF" w:rsidR="008555EB" w:rsidRPr="00A472FC" w:rsidRDefault="008555EB" w:rsidP="00881604">
      <w:pPr>
        <w:pStyle w:val="ListParagraph"/>
        <w:numPr>
          <w:ilvl w:val="0"/>
          <w:numId w:val="18"/>
        </w:numPr>
        <w:ind w:right="-52"/>
        <w:rPr>
          <w:rFonts w:ascii="Times New Roman" w:hAnsi="Times New Roman" w:cs="Times New Roman"/>
        </w:rPr>
      </w:pPr>
      <w:r w:rsidRPr="00A472FC">
        <w:rPr>
          <w:rFonts w:ascii="Times New Roman" w:hAnsi="Times New Roman" w:cs="Times New Roman"/>
        </w:rPr>
        <w:t xml:space="preserve">The </w:t>
      </w:r>
      <w:proofErr w:type="spellStart"/>
      <w:r w:rsidR="00040053" w:rsidRPr="00A472FC">
        <w:rPr>
          <w:rFonts w:ascii="Times New Roman" w:hAnsi="Times New Roman" w:cs="Times New Roman"/>
          <w:i/>
        </w:rPr>
        <w:t>Tractatus</w:t>
      </w:r>
      <w:proofErr w:type="spellEnd"/>
      <w:r w:rsidRPr="00A472FC">
        <w:rPr>
          <w:rFonts w:ascii="Times New Roman" w:hAnsi="Times New Roman" w:cs="Times New Roman"/>
        </w:rPr>
        <w:t xml:space="preserve"> and the </w:t>
      </w:r>
      <w:r w:rsidRPr="00A472FC">
        <w:rPr>
          <w:rFonts w:ascii="Times New Roman" w:hAnsi="Times New Roman" w:cs="Times New Roman"/>
          <w:i/>
        </w:rPr>
        <w:t>Summa de anima</w:t>
      </w:r>
    </w:p>
    <w:p w14:paraId="7093503B" w14:textId="55E9EF68" w:rsidR="008555EB" w:rsidRPr="00A472FC" w:rsidRDefault="008555EB" w:rsidP="00881604">
      <w:pPr>
        <w:pStyle w:val="ListParagraph"/>
        <w:numPr>
          <w:ilvl w:val="0"/>
          <w:numId w:val="18"/>
        </w:numPr>
        <w:ind w:right="-52"/>
        <w:rPr>
          <w:rFonts w:ascii="Times New Roman" w:hAnsi="Times New Roman" w:cs="Times New Roman"/>
        </w:rPr>
      </w:pPr>
      <w:r w:rsidRPr="00A472FC">
        <w:rPr>
          <w:rFonts w:ascii="Times New Roman" w:hAnsi="Times New Roman" w:cs="Times New Roman"/>
        </w:rPr>
        <w:t xml:space="preserve">The Contribution of the </w:t>
      </w:r>
      <w:proofErr w:type="spellStart"/>
      <w:r w:rsidR="00040053" w:rsidRPr="00A472FC">
        <w:rPr>
          <w:rFonts w:ascii="Times New Roman" w:hAnsi="Times New Roman" w:cs="Times New Roman"/>
          <w:i/>
        </w:rPr>
        <w:t>Tractatus</w:t>
      </w:r>
      <w:proofErr w:type="spellEnd"/>
    </w:p>
    <w:p w14:paraId="5E79D2E1" w14:textId="77777777" w:rsidR="008555EB" w:rsidRPr="00A472FC" w:rsidRDefault="008555EB" w:rsidP="00881604">
      <w:pPr>
        <w:pStyle w:val="ListParagraph"/>
        <w:numPr>
          <w:ilvl w:val="0"/>
          <w:numId w:val="18"/>
        </w:numPr>
        <w:ind w:right="-52"/>
        <w:rPr>
          <w:rFonts w:ascii="Times New Roman" w:hAnsi="Times New Roman" w:cs="Times New Roman"/>
        </w:rPr>
      </w:pPr>
      <w:r w:rsidRPr="00A472FC">
        <w:rPr>
          <w:rFonts w:ascii="Times New Roman" w:hAnsi="Times New Roman" w:cs="Times New Roman"/>
        </w:rPr>
        <w:t>The Division of Powers in the Philosophers</w:t>
      </w:r>
    </w:p>
    <w:p w14:paraId="029BEDDD" w14:textId="77777777" w:rsidR="008555EB" w:rsidRPr="00A472FC" w:rsidRDefault="008555EB" w:rsidP="00881604">
      <w:pPr>
        <w:pStyle w:val="ListParagraph"/>
        <w:numPr>
          <w:ilvl w:val="0"/>
          <w:numId w:val="18"/>
        </w:numPr>
        <w:ind w:right="-52"/>
        <w:rPr>
          <w:rFonts w:ascii="Times New Roman" w:hAnsi="Times New Roman" w:cs="Times New Roman"/>
        </w:rPr>
      </w:pPr>
      <w:r w:rsidRPr="00A472FC">
        <w:rPr>
          <w:rFonts w:ascii="Times New Roman" w:hAnsi="Times New Roman" w:cs="Times New Roman"/>
        </w:rPr>
        <w:t>The Division of Powers in John of Damascus</w:t>
      </w:r>
    </w:p>
    <w:p w14:paraId="3300EEE2" w14:textId="785B5B52" w:rsidR="008555EB" w:rsidRPr="00A472FC" w:rsidRDefault="008555EB" w:rsidP="00881604">
      <w:pPr>
        <w:pStyle w:val="ListParagraph"/>
        <w:numPr>
          <w:ilvl w:val="0"/>
          <w:numId w:val="18"/>
        </w:numPr>
        <w:ind w:right="-52"/>
        <w:rPr>
          <w:rFonts w:ascii="Times New Roman" w:hAnsi="Times New Roman" w:cs="Times New Roman"/>
        </w:rPr>
      </w:pPr>
      <w:r w:rsidRPr="00A472FC">
        <w:rPr>
          <w:rFonts w:ascii="Times New Roman" w:hAnsi="Times New Roman" w:cs="Times New Roman"/>
        </w:rPr>
        <w:t>The Division of Powers in Augustine</w:t>
      </w:r>
    </w:p>
    <w:p w14:paraId="63CB5578" w14:textId="4C04DB84" w:rsidR="00A27C66" w:rsidRPr="00A472FC" w:rsidRDefault="00A27C66" w:rsidP="00A27C66">
      <w:pPr>
        <w:pStyle w:val="ListParagraph"/>
        <w:numPr>
          <w:ilvl w:val="0"/>
          <w:numId w:val="18"/>
        </w:numPr>
        <w:ind w:right="-52"/>
        <w:rPr>
          <w:rFonts w:ascii="Times New Roman" w:hAnsi="Times New Roman" w:cs="Times New Roman"/>
        </w:rPr>
      </w:pPr>
      <w:r w:rsidRPr="00A472FC">
        <w:rPr>
          <w:rFonts w:ascii="Times New Roman" w:hAnsi="Times New Roman" w:cs="Times New Roman"/>
        </w:rPr>
        <w:t xml:space="preserve">Comparing the </w:t>
      </w:r>
      <w:proofErr w:type="spellStart"/>
      <w:r w:rsidRPr="00A472FC">
        <w:rPr>
          <w:rFonts w:ascii="Times New Roman" w:hAnsi="Times New Roman" w:cs="Times New Roman"/>
          <w:i/>
        </w:rPr>
        <w:t>Tractatus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and the </w:t>
      </w:r>
      <w:r w:rsidRPr="00A472FC">
        <w:rPr>
          <w:rFonts w:ascii="Times New Roman" w:hAnsi="Times New Roman" w:cs="Times New Roman"/>
          <w:i/>
        </w:rPr>
        <w:t>Summa de anima</w:t>
      </w:r>
    </w:p>
    <w:p w14:paraId="45D92567" w14:textId="77777777" w:rsidR="008555EB" w:rsidRPr="00A472FC" w:rsidRDefault="008555EB" w:rsidP="00881604">
      <w:pPr>
        <w:ind w:right="-52"/>
        <w:rPr>
          <w:rFonts w:ascii="Times New Roman" w:hAnsi="Times New Roman" w:cs="Times New Roman"/>
        </w:rPr>
      </w:pPr>
    </w:p>
    <w:p w14:paraId="6650BA03" w14:textId="77777777" w:rsidR="00A27C66" w:rsidRPr="00A472FC" w:rsidRDefault="008555EB" w:rsidP="00B90B15">
      <w:pPr>
        <w:ind w:right="-52"/>
        <w:rPr>
          <w:rFonts w:ascii="Times New Roman" w:hAnsi="Times New Roman" w:cs="Times New Roman"/>
        </w:rPr>
      </w:pPr>
      <w:r w:rsidRPr="00A472FC">
        <w:rPr>
          <w:rFonts w:ascii="Times New Roman" w:hAnsi="Times New Roman" w:cs="Times New Roman"/>
        </w:rPr>
        <w:t xml:space="preserve">Chapter 6: </w:t>
      </w:r>
      <w:r w:rsidR="00A27C66" w:rsidRPr="00A472FC">
        <w:rPr>
          <w:rFonts w:ascii="Times New Roman" w:hAnsi="Times New Roman" w:cs="Times New Roman"/>
        </w:rPr>
        <w:t xml:space="preserve">Cognitive Powers in John of La Rochelle’s </w:t>
      </w:r>
      <w:r w:rsidR="00A27C66" w:rsidRPr="00A472FC">
        <w:rPr>
          <w:rFonts w:ascii="Times New Roman" w:hAnsi="Times New Roman" w:cs="Times New Roman"/>
          <w:i/>
        </w:rPr>
        <w:t>Summa de anima</w:t>
      </w:r>
    </w:p>
    <w:p w14:paraId="41FCE96B" w14:textId="22863138" w:rsidR="00A27C66" w:rsidRPr="00A472FC" w:rsidRDefault="005848FF" w:rsidP="00A27C66">
      <w:pPr>
        <w:pStyle w:val="ListParagraph"/>
        <w:numPr>
          <w:ilvl w:val="0"/>
          <w:numId w:val="19"/>
        </w:numPr>
        <w:ind w:right="-52"/>
        <w:rPr>
          <w:rFonts w:ascii="Times New Roman" w:hAnsi="Times New Roman" w:cs="Times New Roman"/>
        </w:rPr>
      </w:pPr>
      <w:r w:rsidRPr="00A472FC">
        <w:rPr>
          <w:rFonts w:ascii="Times New Roman" w:hAnsi="Times New Roman" w:cs="Times New Roman"/>
        </w:rPr>
        <w:t>Internal Senses</w:t>
      </w:r>
    </w:p>
    <w:p w14:paraId="1E939008" w14:textId="7AB602AA" w:rsidR="00A27C66" w:rsidRPr="00A472FC" w:rsidRDefault="00A27C66" w:rsidP="00A27C66">
      <w:pPr>
        <w:pStyle w:val="ListParagraph"/>
        <w:numPr>
          <w:ilvl w:val="0"/>
          <w:numId w:val="19"/>
        </w:numPr>
        <w:ind w:right="-52"/>
        <w:rPr>
          <w:rFonts w:ascii="Times New Roman" w:hAnsi="Times New Roman" w:cs="Times New Roman"/>
        </w:rPr>
      </w:pPr>
      <w:r w:rsidRPr="00A472FC">
        <w:rPr>
          <w:rFonts w:ascii="Times New Roman" w:hAnsi="Times New Roman" w:cs="Times New Roman"/>
        </w:rPr>
        <w:t xml:space="preserve">The </w:t>
      </w:r>
      <w:r w:rsidR="005848FF" w:rsidRPr="00A472FC">
        <w:rPr>
          <w:rFonts w:ascii="Times New Roman" w:hAnsi="Times New Roman" w:cs="Times New Roman"/>
        </w:rPr>
        <w:t>Process of Abstraction</w:t>
      </w:r>
    </w:p>
    <w:p w14:paraId="1E093470" w14:textId="0E94CA1E" w:rsidR="00A27C66" w:rsidRPr="00A472FC" w:rsidRDefault="005848FF" w:rsidP="00A27C66">
      <w:pPr>
        <w:pStyle w:val="ListParagraph"/>
        <w:numPr>
          <w:ilvl w:val="0"/>
          <w:numId w:val="19"/>
        </w:numPr>
        <w:ind w:right="-52"/>
        <w:rPr>
          <w:rFonts w:ascii="Times New Roman" w:hAnsi="Times New Roman" w:cs="Times New Roman"/>
        </w:rPr>
      </w:pPr>
      <w:r w:rsidRPr="00A472FC">
        <w:rPr>
          <w:rFonts w:ascii="Times New Roman" w:hAnsi="Times New Roman" w:cs="Times New Roman"/>
        </w:rPr>
        <w:t>The Intellect</w:t>
      </w:r>
    </w:p>
    <w:p w14:paraId="29B2B376" w14:textId="77777777" w:rsidR="00F378CE" w:rsidRPr="00A472FC" w:rsidRDefault="00F378CE" w:rsidP="00F378CE">
      <w:pPr>
        <w:pStyle w:val="ListParagraph"/>
        <w:numPr>
          <w:ilvl w:val="0"/>
          <w:numId w:val="19"/>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 xml:space="preserve">The Primary </w:t>
      </w:r>
      <w:proofErr w:type="spellStart"/>
      <w:r w:rsidRPr="00A472FC">
        <w:rPr>
          <w:rFonts w:ascii="Times New Roman" w:hAnsi="Times New Roman" w:cs="Times New Roman"/>
          <w:color w:val="000000" w:themeColor="text1"/>
        </w:rPr>
        <w:t>Intelligibles</w:t>
      </w:r>
      <w:proofErr w:type="spellEnd"/>
      <w:r w:rsidRPr="00A472FC">
        <w:rPr>
          <w:rFonts w:ascii="Times New Roman" w:hAnsi="Times New Roman" w:cs="Times New Roman"/>
          <w:color w:val="000000" w:themeColor="text1"/>
        </w:rPr>
        <w:t xml:space="preserve"> and Divine Illumination</w:t>
      </w:r>
    </w:p>
    <w:p w14:paraId="7D1A8935" w14:textId="03E14B36" w:rsidR="005848FF" w:rsidRPr="00A472FC" w:rsidRDefault="005848FF" w:rsidP="00A27C66">
      <w:pPr>
        <w:pStyle w:val="ListParagraph"/>
        <w:numPr>
          <w:ilvl w:val="0"/>
          <w:numId w:val="19"/>
        </w:numPr>
        <w:ind w:right="-52"/>
        <w:rPr>
          <w:rFonts w:ascii="Times New Roman" w:hAnsi="Times New Roman" w:cs="Times New Roman"/>
        </w:rPr>
      </w:pPr>
      <w:r w:rsidRPr="00A472FC">
        <w:rPr>
          <w:rFonts w:ascii="Times New Roman" w:hAnsi="Times New Roman" w:cs="Times New Roman"/>
        </w:rPr>
        <w:t xml:space="preserve">William of Auvergne </w:t>
      </w:r>
    </w:p>
    <w:p w14:paraId="0A5F2364" w14:textId="03B7FE2C" w:rsidR="005848FF" w:rsidRPr="00A472FC" w:rsidRDefault="005848FF" w:rsidP="00B90B15">
      <w:pPr>
        <w:pStyle w:val="ListParagraph"/>
        <w:numPr>
          <w:ilvl w:val="0"/>
          <w:numId w:val="19"/>
        </w:numPr>
        <w:ind w:right="-52"/>
        <w:rPr>
          <w:rFonts w:ascii="Times New Roman" w:hAnsi="Times New Roman" w:cs="Times New Roman"/>
        </w:rPr>
      </w:pPr>
      <w:r w:rsidRPr="00A472FC">
        <w:rPr>
          <w:rFonts w:ascii="Times New Roman" w:hAnsi="Times New Roman" w:cs="Times New Roman"/>
        </w:rPr>
        <w:t>Conclusion</w:t>
      </w:r>
    </w:p>
    <w:p w14:paraId="449E9296" w14:textId="77777777" w:rsidR="00AE601D" w:rsidRPr="00A472FC" w:rsidRDefault="00AE601D" w:rsidP="00431AF7">
      <w:pPr>
        <w:pStyle w:val="ListParagraph"/>
        <w:ind w:right="-52"/>
        <w:rPr>
          <w:rFonts w:ascii="Times New Roman" w:hAnsi="Times New Roman" w:cs="Times New Roman"/>
        </w:rPr>
      </w:pPr>
    </w:p>
    <w:p w14:paraId="10F54CFC" w14:textId="250D4D67" w:rsidR="00A27C66" w:rsidRPr="00A472FC" w:rsidRDefault="008555EB" w:rsidP="005848FF">
      <w:pPr>
        <w:ind w:right="-52"/>
        <w:rPr>
          <w:rFonts w:ascii="Times New Roman" w:hAnsi="Times New Roman" w:cs="Times New Roman"/>
        </w:rPr>
      </w:pPr>
      <w:r w:rsidRPr="00A472FC">
        <w:rPr>
          <w:rFonts w:ascii="Times New Roman" w:hAnsi="Times New Roman" w:cs="Times New Roman"/>
        </w:rPr>
        <w:lastRenderedPageBreak/>
        <w:t xml:space="preserve">Chapter 7: </w:t>
      </w:r>
      <w:r w:rsidR="00A27C66" w:rsidRPr="00A472FC">
        <w:rPr>
          <w:rFonts w:ascii="Times New Roman" w:hAnsi="Times New Roman" w:cs="Times New Roman"/>
        </w:rPr>
        <w:t xml:space="preserve">The Reception of </w:t>
      </w:r>
      <w:proofErr w:type="spellStart"/>
      <w:r w:rsidR="00A27C66" w:rsidRPr="00A472FC">
        <w:rPr>
          <w:rFonts w:ascii="Times New Roman" w:hAnsi="Times New Roman" w:cs="Times New Roman"/>
        </w:rPr>
        <w:t>Averroes</w:t>
      </w:r>
      <w:proofErr w:type="spellEnd"/>
      <w:r w:rsidR="00A27C66" w:rsidRPr="00A472FC">
        <w:rPr>
          <w:rFonts w:ascii="Times New Roman" w:hAnsi="Times New Roman" w:cs="Times New Roman"/>
        </w:rPr>
        <w:t xml:space="preserve"> in Early Scholasticism </w:t>
      </w:r>
    </w:p>
    <w:p w14:paraId="2D9706E3" w14:textId="77777777" w:rsidR="00A27C66" w:rsidRPr="00A472FC" w:rsidRDefault="00A27C66" w:rsidP="00A27C66">
      <w:pPr>
        <w:pStyle w:val="ListParagraph"/>
        <w:numPr>
          <w:ilvl w:val="0"/>
          <w:numId w:val="23"/>
        </w:numPr>
        <w:ind w:right="-52"/>
        <w:rPr>
          <w:rFonts w:ascii="Times New Roman" w:hAnsi="Times New Roman" w:cs="Times New Roman"/>
        </w:rPr>
      </w:pPr>
      <w:r w:rsidRPr="00A472FC">
        <w:rPr>
          <w:rFonts w:ascii="Times New Roman" w:hAnsi="Times New Roman" w:cs="Times New Roman"/>
        </w:rPr>
        <w:t>Aristotle</w:t>
      </w:r>
    </w:p>
    <w:p w14:paraId="15EFF3CE" w14:textId="77777777" w:rsidR="00A27C66" w:rsidRPr="00A472FC" w:rsidRDefault="00A27C66" w:rsidP="00A27C66">
      <w:pPr>
        <w:pStyle w:val="ListParagraph"/>
        <w:numPr>
          <w:ilvl w:val="0"/>
          <w:numId w:val="23"/>
        </w:numPr>
        <w:ind w:right="-52"/>
        <w:rPr>
          <w:rFonts w:ascii="Times New Roman" w:hAnsi="Times New Roman" w:cs="Times New Roman"/>
        </w:rPr>
      </w:pPr>
      <w:r w:rsidRPr="00A472FC">
        <w:rPr>
          <w:rFonts w:ascii="Times New Roman" w:hAnsi="Times New Roman" w:cs="Times New Roman"/>
        </w:rPr>
        <w:t xml:space="preserve">Alexander of </w:t>
      </w:r>
      <w:proofErr w:type="spellStart"/>
      <w:r w:rsidRPr="00A472FC">
        <w:rPr>
          <w:rFonts w:ascii="Times New Roman" w:hAnsi="Times New Roman" w:cs="Times New Roman"/>
        </w:rPr>
        <w:t>Aphrodisias</w:t>
      </w:r>
      <w:proofErr w:type="spellEnd"/>
    </w:p>
    <w:p w14:paraId="3168E84C" w14:textId="34DFC86E" w:rsidR="00A27C66" w:rsidRPr="00A472FC" w:rsidRDefault="00A27C66" w:rsidP="00A27C66">
      <w:pPr>
        <w:pStyle w:val="ListParagraph"/>
        <w:numPr>
          <w:ilvl w:val="0"/>
          <w:numId w:val="23"/>
        </w:numPr>
        <w:ind w:right="-52"/>
        <w:rPr>
          <w:rFonts w:ascii="Times New Roman" w:hAnsi="Times New Roman" w:cs="Times New Roman"/>
        </w:rPr>
      </w:pPr>
      <w:proofErr w:type="spellStart"/>
      <w:r w:rsidRPr="00A472FC">
        <w:rPr>
          <w:rFonts w:ascii="Times New Roman" w:hAnsi="Times New Roman" w:cs="Times New Roman"/>
        </w:rPr>
        <w:t>Averroes</w:t>
      </w:r>
      <w:proofErr w:type="spellEnd"/>
    </w:p>
    <w:p w14:paraId="0818E155" w14:textId="20BDFEB6" w:rsidR="005B76D2" w:rsidRPr="00A472FC" w:rsidRDefault="005B76D2" w:rsidP="00A27C66">
      <w:pPr>
        <w:pStyle w:val="ListParagraph"/>
        <w:numPr>
          <w:ilvl w:val="0"/>
          <w:numId w:val="23"/>
        </w:numPr>
        <w:ind w:right="-52"/>
        <w:rPr>
          <w:rFonts w:ascii="Times New Roman" w:hAnsi="Times New Roman" w:cs="Times New Roman"/>
        </w:rPr>
      </w:pPr>
      <w:r w:rsidRPr="00A472FC">
        <w:rPr>
          <w:rFonts w:ascii="Times New Roman" w:hAnsi="Times New Roman" w:cs="Times New Roman"/>
        </w:rPr>
        <w:t xml:space="preserve">The Latin Reception of </w:t>
      </w:r>
      <w:proofErr w:type="spellStart"/>
      <w:r w:rsidRPr="00A472FC">
        <w:rPr>
          <w:rFonts w:ascii="Times New Roman" w:hAnsi="Times New Roman" w:cs="Times New Roman"/>
        </w:rPr>
        <w:t>Averroes</w:t>
      </w:r>
      <w:proofErr w:type="spellEnd"/>
    </w:p>
    <w:p w14:paraId="20A489DF" w14:textId="77777777" w:rsidR="00A27C66" w:rsidRPr="00A472FC" w:rsidRDefault="00A27C66" w:rsidP="00A27C66">
      <w:pPr>
        <w:pStyle w:val="ListParagraph"/>
        <w:numPr>
          <w:ilvl w:val="0"/>
          <w:numId w:val="23"/>
        </w:numPr>
        <w:ind w:right="-52"/>
        <w:rPr>
          <w:rFonts w:ascii="Times New Roman" w:hAnsi="Times New Roman" w:cs="Times New Roman"/>
        </w:rPr>
      </w:pPr>
      <w:r w:rsidRPr="00A472FC">
        <w:rPr>
          <w:rFonts w:ascii="Times New Roman" w:hAnsi="Times New Roman" w:cs="Times New Roman"/>
        </w:rPr>
        <w:t xml:space="preserve">The Historiography of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Reception </w:t>
      </w:r>
    </w:p>
    <w:p w14:paraId="6349F6D1" w14:textId="77777777" w:rsidR="00A27C66" w:rsidRPr="00A472FC" w:rsidRDefault="00A27C66" w:rsidP="00A27C66">
      <w:pPr>
        <w:pStyle w:val="ListParagraph"/>
        <w:numPr>
          <w:ilvl w:val="0"/>
          <w:numId w:val="23"/>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 xml:space="preserve">‘First </w:t>
      </w:r>
      <w:proofErr w:type="spellStart"/>
      <w:r w:rsidRPr="00A472FC">
        <w:rPr>
          <w:rFonts w:ascii="Times New Roman" w:hAnsi="Times New Roman" w:cs="Times New Roman"/>
          <w:color w:val="000000" w:themeColor="text1"/>
        </w:rPr>
        <w:t>Averroism</w:t>
      </w:r>
      <w:proofErr w:type="spellEnd"/>
      <w:r w:rsidRPr="00A472FC">
        <w:rPr>
          <w:rFonts w:ascii="Times New Roman" w:hAnsi="Times New Roman" w:cs="Times New Roman"/>
          <w:color w:val="000000" w:themeColor="text1"/>
        </w:rPr>
        <w:t>’ Reconsidered: Gauthier, Callus, and Philip the Chancellor</w:t>
      </w:r>
    </w:p>
    <w:p w14:paraId="278EA2B8" w14:textId="77777777" w:rsidR="00A27C66" w:rsidRPr="00A472FC" w:rsidRDefault="00A27C66" w:rsidP="00A27C66">
      <w:pPr>
        <w:pStyle w:val="ListParagraph"/>
        <w:numPr>
          <w:ilvl w:val="0"/>
          <w:numId w:val="23"/>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John of La Rochelle on the Intellectual Powers</w:t>
      </w:r>
    </w:p>
    <w:p w14:paraId="1414B6D1" w14:textId="77777777" w:rsidR="008555EB" w:rsidRPr="00A472FC" w:rsidRDefault="008555EB" w:rsidP="00A27C66">
      <w:pPr>
        <w:ind w:right="-52"/>
        <w:rPr>
          <w:rFonts w:ascii="Times New Roman" w:hAnsi="Times New Roman" w:cs="Times New Roman"/>
        </w:rPr>
      </w:pPr>
    </w:p>
    <w:p w14:paraId="79B63C80" w14:textId="77777777" w:rsidR="008555EB" w:rsidRPr="00A472FC" w:rsidRDefault="008555EB" w:rsidP="00881604">
      <w:pPr>
        <w:ind w:right="-52"/>
        <w:rPr>
          <w:rFonts w:ascii="Times New Roman" w:hAnsi="Times New Roman" w:cs="Times New Roman"/>
          <w:i/>
        </w:rPr>
      </w:pPr>
      <w:r w:rsidRPr="00A472FC">
        <w:rPr>
          <w:rFonts w:ascii="Times New Roman" w:hAnsi="Times New Roman" w:cs="Times New Roman"/>
        </w:rPr>
        <w:t xml:space="preserve">Chapter 8:  Cognitive Powers: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p>
    <w:p w14:paraId="5F3BECC4" w14:textId="77777777" w:rsidR="008555EB" w:rsidRPr="00A472FC" w:rsidRDefault="008555EB" w:rsidP="00881604">
      <w:pPr>
        <w:pStyle w:val="ListParagraph"/>
        <w:numPr>
          <w:ilvl w:val="0"/>
          <w:numId w:val="20"/>
        </w:numPr>
        <w:ind w:right="-52"/>
        <w:rPr>
          <w:rFonts w:ascii="Times New Roman" w:hAnsi="Times New Roman" w:cs="Times New Roman"/>
        </w:rPr>
      </w:pPr>
      <w:r w:rsidRPr="00A472FC">
        <w:rPr>
          <w:rFonts w:ascii="Times New Roman" w:hAnsi="Times New Roman" w:cs="Times New Roman"/>
        </w:rPr>
        <w:t>The Senses</w:t>
      </w:r>
    </w:p>
    <w:p w14:paraId="18F6F532" w14:textId="77777777" w:rsidR="008555EB" w:rsidRPr="00A472FC" w:rsidRDefault="008555EB" w:rsidP="00881604">
      <w:pPr>
        <w:pStyle w:val="ListParagraph"/>
        <w:numPr>
          <w:ilvl w:val="0"/>
          <w:numId w:val="20"/>
        </w:numPr>
        <w:ind w:right="-52"/>
        <w:rPr>
          <w:rFonts w:ascii="Times New Roman" w:hAnsi="Times New Roman" w:cs="Times New Roman"/>
        </w:rPr>
      </w:pPr>
      <w:r w:rsidRPr="00A472FC">
        <w:rPr>
          <w:rFonts w:ascii="Times New Roman" w:hAnsi="Times New Roman" w:cs="Times New Roman"/>
        </w:rPr>
        <w:t>Intellectual Cognition</w:t>
      </w:r>
    </w:p>
    <w:p w14:paraId="55293869" w14:textId="77777777" w:rsidR="008555EB" w:rsidRPr="00A472FC" w:rsidRDefault="008555EB" w:rsidP="00881604">
      <w:pPr>
        <w:pStyle w:val="ListParagraph"/>
        <w:numPr>
          <w:ilvl w:val="0"/>
          <w:numId w:val="20"/>
        </w:numPr>
        <w:ind w:right="-52"/>
        <w:rPr>
          <w:rFonts w:ascii="Times New Roman" w:hAnsi="Times New Roman" w:cs="Times New Roman"/>
        </w:rPr>
      </w:pPr>
      <w:r w:rsidRPr="00A472FC">
        <w:rPr>
          <w:rFonts w:ascii="Times New Roman" w:hAnsi="Times New Roman" w:cs="Times New Roman"/>
        </w:rPr>
        <w:t xml:space="preserve">The Division of Powers in Aristotle </w:t>
      </w:r>
    </w:p>
    <w:p w14:paraId="2965E54B" w14:textId="77777777" w:rsidR="008555EB" w:rsidRPr="00A472FC" w:rsidRDefault="008555EB" w:rsidP="00881604">
      <w:pPr>
        <w:pStyle w:val="ListParagraph"/>
        <w:numPr>
          <w:ilvl w:val="0"/>
          <w:numId w:val="20"/>
        </w:numPr>
        <w:ind w:right="-52"/>
        <w:rPr>
          <w:rFonts w:ascii="Times New Roman" w:hAnsi="Times New Roman" w:cs="Times New Roman"/>
        </w:rPr>
      </w:pPr>
      <w:r w:rsidRPr="00A472FC">
        <w:rPr>
          <w:rFonts w:ascii="Times New Roman" w:hAnsi="Times New Roman" w:cs="Times New Roman"/>
        </w:rPr>
        <w:t xml:space="preserve">Revisiting Franciscan </w:t>
      </w:r>
      <w:proofErr w:type="spellStart"/>
      <w:r w:rsidRPr="00A472FC">
        <w:rPr>
          <w:rFonts w:ascii="Times New Roman" w:hAnsi="Times New Roman" w:cs="Times New Roman"/>
        </w:rPr>
        <w:t>Augustinianism</w:t>
      </w:r>
      <w:proofErr w:type="spellEnd"/>
    </w:p>
    <w:p w14:paraId="451A3D38" w14:textId="77777777" w:rsidR="008555EB" w:rsidRPr="00A472FC" w:rsidRDefault="008555EB" w:rsidP="00881604">
      <w:pPr>
        <w:ind w:right="-52"/>
        <w:rPr>
          <w:rFonts w:ascii="Times New Roman" w:hAnsi="Times New Roman" w:cs="Times New Roman"/>
        </w:rPr>
      </w:pPr>
    </w:p>
    <w:p w14:paraId="1AAB786B" w14:textId="77777777" w:rsidR="008555EB" w:rsidRPr="00A472FC" w:rsidRDefault="008555EB" w:rsidP="00881604">
      <w:pPr>
        <w:ind w:right="-52"/>
        <w:rPr>
          <w:rFonts w:ascii="Times New Roman" w:hAnsi="Times New Roman" w:cs="Times New Roman"/>
        </w:rPr>
      </w:pPr>
      <w:r w:rsidRPr="00A472FC">
        <w:rPr>
          <w:rFonts w:ascii="Times New Roman" w:hAnsi="Times New Roman" w:cs="Times New Roman"/>
        </w:rPr>
        <w:t>Chapter 9: The Motive Powers</w:t>
      </w:r>
    </w:p>
    <w:p w14:paraId="3F376A00" w14:textId="77777777" w:rsidR="008555EB" w:rsidRPr="00A472FC" w:rsidRDefault="008555EB" w:rsidP="00881604">
      <w:pPr>
        <w:pStyle w:val="ListParagraph"/>
        <w:numPr>
          <w:ilvl w:val="0"/>
          <w:numId w:val="21"/>
        </w:numPr>
        <w:ind w:right="-52"/>
        <w:rPr>
          <w:rFonts w:ascii="Times New Roman" w:hAnsi="Times New Roman" w:cs="Times New Roman"/>
        </w:rPr>
      </w:pPr>
      <w:r w:rsidRPr="00A472FC">
        <w:rPr>
          <w:rFonts w:ascii="Times New Roman" w:hAnsi="Times New Roman" w:cs="Times New Roman"/>
        </w:rPr>
        <w:t>Typology of the Passions</w:t>
      </w:r>
    </w:p>
    <w:p w14:paraId="4BEA66A1" w14:textId="77777777" w:rsidR="008555EB" w:rsidRPr="00A472FC" w:rsidRDefault="008555EB" w:rsidP="00881604">
      <w:pPr>
        <w:pStyle w:val="ListParagraph"/>
        <w:numPr>
          <w:ilvl w:val="0"/>
          <w:numId w:val="21"/>
        </w:numPr>
        <w:ind w:right="-52"/>
        <w:rPr>
          <w:rFonts w:ascii="Times New Roman" w:hAnsi="Times New Roman" w:cs="Times New Roman"/>
        </w:rPr>
      </w:pPr>
      <w:r w:rsidRPr="00A472FC">
        <w:rPr>
          <w:rFonts w:ascii="Times New Roman" w:hAnsi="Times New Roman" w:cs="Times New Roman"/>
        </w:rPr>
        <w:t>Passions and Sin</w:t>
      </w:r>
    </w:p>
    <w:p w14:paraId="7A700627" w14:textId="77777777" w:rsidR="008555EB" w:rsidRPr="00A472FC" w:rsidRDefault="008555EB" w:rsidP="00881604">
      <w:pPr>
        <w:pStyle w:val="ListParagraph"/>
        <w:numPr>
          <w:ilvl w:val="0"/>
          <w:numId w:val="21"/>
        </w:numPr>
        <w:ind w:right="-52"/>
        <w:rPr>
          <w:rFonts w:ascii="Times New Roman" w:hAnsi="Times New Roman" w:cs="Times New Roman"/>
        </w:rPr>
      </w:pPr>
      <w:r w:rsidRPr="00A472FC">
        <w:rPr>
          <w:rFonts w:ascii="Times New Roman" w:hAnsi="Times New Roman" w:cs="Times New Roman"/>
        </w:rPr>
        <w:t>Natural and Rational Will</w:t>
      </w:r>
    </w:p>
    <w:p w14:paraId="36A8F3F0" w14:textId="77777777" w:rsidR="008555EB" w:rsidRPr="00A472FC" w:rsidRDefault="008555EB" w:rsidP="00881604">
      <w:pPr>
        <w:pStyle w:val="ListParagraph"/>
        <w:numPr>
          <w:ilvl w:val="0"/>
          <w:numId w:val="21"/>
        </w:numPr>
        <w:ind w:right="-52"/>
        <w:rPr>
          <w:rFonts w:ascii="Times New Roman" w:hAnsi="Times New Roman" w:cs="Times New Roman"/>
        </w:rPr>
      </w:pPr>
      <w:r w:rsidRPr="00A472FC">
        <w:rPr>
          <w:rFonts w:ascii="Times New Roman" w:hAnsi="Times New Roman" w:cs="Times New Roman"/>
        </w:rPr>
        <w:t xml:space="preserve">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p>
    <w:p w14:paraId="0AA31C14" w14:textId="77777777" w:rsidR="008555EB" w:rsidRPr="00A472FC" w:rsidRDefault="008555EB" w:rsidP="00881604">
      <w:pPr>
        <w:ind w:right="-52"/>
        <w:rPr>
          <w:rFonts w:ascii="Times New Roman" w:hAnsi="Times New Roman" w:cs="Times New Roman"/>
        </w:rPr>
      </w:pPr>
    </w:p>
    <w:p w14:paraId="2E78CF3C" w14:textId="77777777" w:rsidR="008555EB" w:rsidRPr="00A472FC" w:rsidRDefault="008555EB" w:rsidP="00881604">
      <w:pPr>
        <w:ind w:right="-52"/>
        <w:rPr>
          <w:rFonts w:ascii="Times New Roman" w:hAnsi="Times New Roman" w:cs="Times New Roman"/>
        </w:rPr>
      </w:pPr>
      <w:r w:rsidRPr="00A472FC">
        <w:rPr>
          <w:rFonts w:ascii="Times New Roman" w:hAnsi="Times New Roman" w:cs="Times New Roman"/>
        </w:rPr>
        <w:t xml:space="preserve">Chapter 10: Free Will </w:t>
      </w:r>
    </w:p>
    <w:p w14:paraId="6BB2EB77" w14:textId="77777777" w:rsidR="008555EB" w:rsidRPr="00A472FC" w:rsidRDefault="008555EB" w:rsidP="00881604">
      <w:pPr>
        <w:pStyle w:val="ListParagraph"/>
        <w:numPr>
          <w:ilvl w:val="0"/>
          <w:numId w:val="22"/>
        </w:numPr>
        <w:ind w:right="-52"/>
        <w:rPr>
          <w:rFonts w:ascii="Times New Roman" w:hAnsi="Times New Roman" w:cs="Times New Roman"/>
        </w:rPr>
      </w:pPr>
      <w:r w:rsidRPr="00A472FC">
        <w:rPr>
          <w:rFonts w:ascii="Times New Roman" w:hAnsi="Times New Roman" w:cs="Times New Roman"/>
        </w:rPr>
        <w:t>Augustine</w:t>
      </w:r>
    </w:p>
    <w:p w14:paraId="4A0016B0" w14:textId="77777777" w:rsidR="008555EB" w:rsidRPr="00A472FC" w:rsidRDefault="008555EB" w:rsidP="00881604">
      <w:pPr>
        <w:pStyle w:val="ListParagraph"/>
        <w:numPr>
          <w:ilvl w:val="0"/>
          <w:numId w:val="22"/>
        </w:numPr>
        <w:ind w:right="-52"/>
        <w:rPr>
          <w:rFonts w:ascii="Times New Roman" w:hAnsi="Times New Roman" w:cs="Times New Roman"/>
        </w:rPr>
      </w:pPr>
      <w:r w:rsidRPr="00A472FC">
        <w:rPr>
          <w:rFonts w:ascii="Times New Roman" w:hAnsi="Times New Roman" w:cs="Times New Roman"/>
        </w:rPr>
        <w:t>Anselm</w:t>
      </w:r>
    </w:p>
    <w:p w14:paraId="00732B7E" w14:textId="77777777" w:rsidR="008555EB" w:rsidRPr="00A472FC" w:rsidRDefault="008555EB" w:rsidP="00881604">
      <w:pPr>
        <w:pStyle w:val="ListParagraph"/>
        <w:numPr>
          <w:ilvl w:val="0"/>
          <w:numId w:val="22"/>
        </w:numPr>
        <w:ind w:right="-52"/>
        <w:rPr>
          <w:rFonts w:ascii="Times New Roman" w:hAnsi="Times New Roman" w:cs="Times New Roman"/>
        </w:rPr>
      </w:pPr>
      <w:r w:rsidRPr="00A472FC">
        <w:rPr>
          <w:rFonts w:ascii="Times New Roman" w:hAnsi="Times New Roman" w:cs="Times New Roman"/>
        </w:rPr>
        <w:t>John of Damascus</w:t>
      </w:r>
    </w:p>
    <w:p w14:paraId="5D58342C" w14:textId="77777777" w:rsidR="008555EB" w:rsidRPr="00A472FC" w:rsidRDefault="008555EB" w:rsidP="00881604">
      <w:pPr>
        <w:pStyle w:val="ListParagraph"/>
        <w:numPr>
          <w:ilvl w:val="0"/>
          <w:numId w:val="22"/>
        </w:numPr>
        <w:ind w:right="-52"/>
        <w:rPr>
          <w:rFonts w:ascii="Times New Roman" w:hAnsi="Times New Roman" w:cs="Times New Roman"/>
        </w:rPr>
      </w:pPr>
      <w:r w:rsidRPr="00A472FC">
        <w:rPr>
          <w:rFonts w:ascii="Times New Roman" w:hAnsi="Times New Roman" w:cs="Times New Roman"/>
        </w:rPr>
        <w:t>Twelfth-Century Developments</w:t>
      </w:r>
    </w:p>
    <w:p w14:paraId="1BD66D0E" w14:textId="77777777" w:rsidR="008555EB" w:rsidRPr="00A472FC" w:rsidRDefault="008555EB" w:rsidP="00881604">
      <w:pPr>
        <w:pStyle w:val="ListParagraph"/>
        <w:numPr>
          <w:ilvl w:val="0"/>
          <w:numId w:val="22"/>
        </w:numPr>
        <w:ind w:right="-52"/>
        <w:rPr>
          <w:rFonts w:ascii="Times New Roman" w:hAnsi="Times New Roman" w:cs="Times New Roman"/>
        </w:rPr>
      </w:pPr>
      <w:r w:rsidRPr="00A472FC">
        <w:rPr>
          <w:rFonts w:ascii="Times New Roman" w:hAnsi="Times New Roman" w:cs="Times New Roman"/>
        </w:rPr>
        <w:t>John of La Rochelle</w:t>
      </w:r>
    </w:p>
    <w:p w14:paraId="0C2274B3" w14:textId="77777777" w:rsidR="008555EB" w:rsidRPr="00A472FC" w:rsidRDefault="008555EB" w:rsidP="00881604">
      <w:pPr>
        <w:pStyle w:val="ListParagraph"/>
        <w:numPr>
          <w:ilvl w:val="0"/>
          <w:numId w:val="22"/>
        </w:numPr>
        <w:ind w:right="-52"/>
        <w:rPr>
          <w:rFonts w:ascii="Times New Roman" w:hAnsi="Times New Roman" w:cs="Times New Roman"/>
        </w:rPr>
      </w:pPr>
      <w:r w:rsidRPr="00A472FC">
        <w:rPr>
          <w:rFonts w:ascii="Times New Roman" w:hAnsi="Times New Roman" w:cs="Times New Roman"/>
        </w:rPr>
        <w:t>Alexander of Hales</w:t>
      </w:r>
    </w:p>
    <w:p w14:paraId="20E3BCDD" w14:textId="77777777" w:rsidR="008555EB" w:rsidRPr="00A472FC" w:rsidRDefault="008555EB" w:rsidP="00881604">
      <w:pPr>
        <w:pStyle w:val="ListParagraph"/>
        <w:numPr>
          <w:ilvl w:val="0"/>
          <w:numId w:val="22"/>
        </w:numPr>
        <w:ind w:right="-52"/>
        <w:rPr>
          <w:rFonts w:ascii="Times New Roman" w:hAnsi="Times New Roman" w:cs="Times New Roman"/>
        </w:rPr>
      </w:pPr>
      <w:r w:rsidRPr="00A472FC">
        <w:rPr>
          <w:rFonts w:ascii="Times New Roman" w:hAnsi="Times New Roman" w:cs="Times New Roman"/>
        </w:rPr>
        <w:t xml:space="preserve">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p>
    <w:p w14:paraId="5BD128D9" w14:textId="77777777" w:rsidR="008555EB" w:rsidRPr="00A472FC" w:rsidRDefault="008555EB" w:rsidP="00881604">
      <w:pPr>
        <w:pStyle w:val="ListParagraph"/>
        <w:numPr>
          <w:ilvl w:val="0"/>
          <w:numId w:val="22"/>
        </w:numPr>
        <w:ind w:right="-52"/>
        <w:rPr>
          <w:rFonts w:ascii="Times New Roman" w:hAnsi="Times New Roman" w:cs="Times New Roman"/>
        </w:rPr>
      </w:pPr>
      <w:r w:rsidRPr="00A472FC">
        <w:rPr>
          <w:rFonts w:ascii="Times New Roman" w:hAnsi="Times New Roman" w:cs="Times New Roman"/>
        </w:rPr>
        <w:t>Free Will: Will or Reason?</w:t>
      </w:r>
    </w:p>
    <w:p w14:paraId="02190060" w14:textId="77777777" w:rsidR="008555EB" w:rsidRPr="00A472FC" w:rsidRDefault="008555EB" w:rsidP="00881604">
      <w:pPr>
        <w:pStyle w:val="ListParagraph"/>
        <w:numPr>
          <w:ilvl w:val="0"/>
          <w:numId w:val="22"/>
        </w:numPr>
        <w:ind w:right="-52"/>
        <w:rPr>
          <w:rFonts w:ascii="Times New Roman" w:hAnsi="Times New Roman" w:cs="Times New Roman"/>
        </w:rPr>
      </w:pPr>
      <w:r w:rsidRPr="00A472FC">
        <w:rPr>
          <w:rFonts w:ascii="Times New Roman" w:hAnsi="Times New Roman" w:cs="Times New Roman"/>
        </w:rPr>
        <w:t>A Metaphysics of Evil</w:t>
      </w:r>
    </w:p>
    <w:p w14:paraId="143019CD" w14:textId="77777777" w:rsidR="008555EB" w:rsidRPr="00A472FC" w:rsidRDefault="008555EB" w:rsidP="00881604">
      <w:pPr>
        <w:ind w:right="-52"/>
        <w:rPr>
          <w:rFonts w:ascii="Times New Roman" w:hAnsi="Times New Roman" w:cs="Times New Roman"/>
        </w:rPr>
      </w:pPr>
    </w:p>
    <w:p w14:paraId="145A866C" w14:textId="77777777" w:rsidR="008555EB" w:rsidRPr="00A472FC" w:rsidRDefault="008555EB" w:rsidP="00881604">
      <w:pPr>
        <w:ind w:right="-52"/>
        <w:rPr>
          <w:rFonts w:ascii="Times New Roman" w:hAnsi="Times New Roman" w:cs="Times New Roman"/>
        </w:rPr>
      </w:pPr>
      <w:r w:rsidRPr="00A472FC">
        <w:rPr>
          <w:rFonts w:ascii="Times New Roman" w:hAnsi="Times New Roman" w:cs="Times New Roman"/>
        </w:rPr>
        <w:t>Chapter 11: Angels</w:t>
      </w:r>
    </w:p>
    <w:p w14:paraId="6FE3A982" w14:textId="77777777" w:rsidR="008555EB" w:rsidRPr="00A472FC" w:rsidRDefault="008555EB" w:rsidP="00881604">
      <w:pPr>
        <w:pStyle w:val="ListParagraph"/>
        <w:numPr>
          <w:ilvl w:val="0"/>
          <w:numId w:val="25"/>
        </w:numPr>
        <w:ind w:right="-52"/>
        <w:rPr>
          <w:rFonts w:ascii="Times New Roman" w:hAnsi="Times New Roman" w:cs="Times New Roman"/>
        </w:rPr>
      </w:pPr>
      <w:r w:rsidRPr="00A472FC">
        <w:rPr>
          <w:rFonts w:ascii="Times New Roman" w:hAnsi="Times New Roman" w:cs="Times New Roman"/>
        </w:rPr>
        <w:t>Relation to the Body</w:t>
      </w:r>
    </w:p>
    <w:p w14:paraId="0BEADCFC" w14:textId="77777777" w:rsidR="008555EB" w:rsidRPr="00A472FC" w:rsidRDefault="008555EB" w:rsidP="00881604">
      <w:pPr>
        <w:pStyle w:val="ListParagraph"/>
        <w:numPr>
          <w:ilvl w:val="0"/>
          <w:numId w:val="25"/>
        </w:numPr>
        <w:ind w:right="-52"/>
        <w:rPr>
          <w:rFonts w:ascii="Times New Roman" w:hAnsi="Times New Roman" w:cs="Times New Roman"/>
        </w:rPr>
      </w:pPr>
      <w:r w:rsidRPr="00A472FC">
        <w:rPr>
          <w:rFonts w:ascii="Times New Roman" w:hAnsi="Times New Roman" w:cs="Times New Roman"/>
        </w:rPr>
        <w:t>Metaphysical Status</w:t>
      </w:r>
    </w:p>
    <w:p w14:paraId="4C2C73A8" w14:textId="77777777" w:rsidR="008555EB" w:rsidRPr="00A472FC" w:rsidRDefault="008555EB" w:rsidP="00881604">
      <w:pPr>
        <w:pStyle w:val="ListParagraph"/>
        <w:numPr>
          <w:ilvl w:val="0"/>
          <w:numId w:val="25"/>
        </w:numPr>
        <w:ind w:right="-52"/>
        <w:rPr>
          <w:rFonts w:ascii="Times New Roman" w:hAnsi="Times New Roman" w:cs="Times New Roman"/>
        </w:rPr>
      </w:pPr>
      <w:r w:rsidRPr="00A472FC">
        <w:rPr>
          <w:rFonts w:ascii="Times New Roman" w:hAnsi="Times New Roman" w:cs="Times New Roman"/>
        </w:rPr>
        <w:t>Cognition</w:t>
      </w:r>
    </w:p>
    <w:p w14:paraId="605DD224" w14:textId="77777777" w:rsidR="008555EB" w:rsidRPr="00A472FC" w:rsidRDefault="008555EB" w:rsidP="00881604">
      <w:pPr>
        <w:pStyle w:val="ListParagraph"/>
        <w:numPr>
          <w:ilvl w:val="0"/>
          <w:numId w:val="25"/>
        </w:numPr>
        <w:ind w:right="-52"/>
        <w:rPr>
          <w:rFonts w:ascii="Times New Roman" w:hAnsi="Times New Roman" w:cs="Times New Roman"/>
        </w:rPr>
      </w:pPr>
      <w:r w:rsidRPr="00A472FC">
        <w:rPr>
          <w:rFonts w:ascii="Times New Roman" w:hAnsi="Times New Roman" w:cs="Times New Roman"/>
        </w:rPr>
        <w:t>Free Will</w:t>
      </w:r>
    </w:p>
    <w:p w14:paraId="0A538E51" w14:textId="77777777" w:rsidR="008555EB" w:rsidRPr="00A472FC" w:rsidRDefault="008555EB" w:rsidP="00881604">
      <w:pPr>
        <w:ind w:right="-52"/>
        <w:rPr>
          <w:rFonts w:ascii="Times New Roman" w:hAnsi="Times New Roman" w:cs="Times New Roman"/>
        </w:rPr>
      </w:pPr>
    </w:p>
    <w:p w14:paraId="428767BB" w14:textId="77777777" w:rsidR="008555EB" w:rsidRPr="00A472FC" w:rsidRDefault="008555EB" w:rsidP="00881604">
      <w:pPr>
        <w:ind w:right="-52"/>
        <w:rPr>
          <w:rFonts w:ascii="Times New Roman" w:hAnsi="Times New Roman" w:cs="Times New Roman"/>
        </w:rPr>
      </w:pPr>
      <w:r w:rsidRPr="00A472FC">
        <w:rPr>
          <w:rFonts w:ascii="Times New Roman" w:hAnsi="Times New Roman" w:cs="Times New Roman"/>
        </w:rPr>
        <w:t>Chapter 12: Conclusion</w:t>
      </w:r>
    </w:p>
    <w:p w14:paraId="5FA35483" w14:textId="77777777" w:rsidR="008555EB" w:rsidRPr="00A472FC" w:rsidRDefault="008555EB" w:rsidP="00881604">
      <w:pPr>
        <w:ind w:right="-52"/>
        <w:rPr>
          <w:rFonts w:ascii="Times New Roman" w:hAnsi="Times New Roman" w:cs="Times New Roman"/>
        </w:rPr>
      </w:pPr>
    </w:p>
    <w:p w14:paraId="4D5E39A7" w14:textId="63DFB71F" w:rsidR="00C9576F" w:rsidRPr="00A472FC" w:rsidRDefault="00C9576F" w:rsidP="00881604">
      <w:pPr>
        <w:ind w:right="-52"/>
        <w:rPr>
          <w:rFonts w:ascii="Times New Roman" w:hAnsi="Times New Roman" w:cs="Times New Roman"/>
        </w:rPr>
      </w:pPr>
      <w:r w:rsidRPr="00A472FC">
        <w:rPr>
          <w:rFonts w:ascii="Times New Roman" w:hAnsi="Times New Roman" w:cs="Times New Roman"/>
        </w:rPr>
        <w:br w:type="page"/>
      </w:r>
    </w:p>
    <w:p w14:paraId="7E8716F9" w14:textId="77777777" w:rsidR="00C9576F" w:rsidRPr="00A472FC" w:rsidRDefault="00C9576F" w:rsidP="00881604">
      <w:pPr>
        <w:ind w:right="-52"/>
        <w:jc w:val="center"/>
        <w:rPr>
          <w:rFonts w:ascii="Times New Roman" w:hAnsi="Times New Roman" w:cs="Times New Roman"/>
          <w:b/>
        </w:rPr>
      </w:pPr>
      <w:r w:rsidRPr="00A472FC">
        <w:rPr>
          <w:rFonts w:ascii="Times New Roman" w:hAnsi="Times New Roman" w:cs="Times New Roman"/>
          <w:b/>
        </w:rPr>
        <w:lastRenderedPageBreak/>
        <w:t>List of Abbreviations</w:t>
      </w:r>
    </w:p>
    <w:p w14:paraId="6EF239DD" w14:textId="77777777" w:rsidR="00C9576F" w:rsidRPr="00A472FC" w:rsidRDefault="00C9576F" w:rsidP="00881604">
      <w:pPr>
        <w:ind w:right="-52"/>
        <w:jc w:val="center"/>
        <w:rPr>
          <w:rFonts w:ascii="Times New Roman" w:hAnsi="Times New Roman" w:cs="Times New Roman"/>
          <w:b/>
        </w:rPr>
      </w:pPr>
    </w:p>
    <w:p w14:paraId="3AE1E08B" w14:textId="77777777" w:rsidR="00C9576F" w:rsidRPr="00A472FC" w:rsidRDefault="00C9576F" w:rsidP="00881604">
      <w:pPr>
        <w:ind w:right="-52"/>
        <w:rPr>
          <w:rFonts w:ascii="Times New Roman" w:hAnsi="Times New Roman" w:cs="Times New Roman"/>
          <w:b/>
        </w:rPr>
      </w:pPr>
    </w:p>
    <w:p w14:paraId="104AF44D" w14:textId="77777777" w:rsidR="00C9576F" w:rsidRPr="00A472FC" w:rsidRDefault="00C9576F" w:rsidP="00881604">
      <w:pPr>
        <w:spacing w:line="360" w:lineRule="auto"/>
        <w:ind w:right="-52"/>
        <w:jc w:val="center"/>
        <w:rPr>
          <w:rFonts w:ascii="Times New Roman" w:hAnsi="Times New Roman" w:cs="Times New Roman"/>
          <w:b/>
        </w:rPr>
      </w:pPr>
    </w:p>
    <w:p w14:paraId="3A416DBE" w14:textId="77777777" w:rsidR="00C27FB3" w:rsidRPr="00A472FC" w:rsidRDefault="00C27FB3" w:rsidP="00881604">
      <w:pPr>
        <w:spacing w:line="360" w:lineRule="auto"/>
        <w:ind w:right="-52"/>
        <w:jc w:val="both"/>
        <w:rPr>
          <w:rFonts w:ascii="Times New Roman" w:hAnsi="Times New Roman" w:cs="Times New Roman"/>
        </w:rPr>
      </w:pPr>
      <w:r w:rsidRPr="00A472FC">
        <w:rPr>
          <w:rFonts w:ascii="Times New Roman" w:hAnsi="Times New Roman" w:cs="Times New Roman"/>
        </w:rPr>
        <w:t>Anonymous Callus</w:t>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i/>
        </w:rPr>
        <w:t xml:space="preserve">De </w:t>
      </w:r>
      <w:proofErr w:type="spellStart"/>
      <w:r w:rsidRPr="00A472FC">
        <w:rPr>
          <w:rFonts w:ascii="Times New Roman" w:hAnsi="Times New Roman" w:cs="Times New Roman"/>
          <w:i/>
        </w:rPr>
        <w:t>potentiis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animae</w:t>
      </w:r>
      <w:proofErr w:type="spellEnd"/>
      <w:r w:rsidRPr="00A472FC">
        <w:rPr>
          <w:rFonts w:ascii="Times New Roman" w:hAnsi="Times New Roman" w:cs="Times New Roman"/>
          <w:i/>
        </w:rPr>
        <w:t xml:space="preserve"> et </w:t>
      </w:r>
      <w:proofErr w:type="spellStart"/>
      <w:r w:rsidRPr="00A472FC">
        <w:rPr>
          <w:rFonts w:ascii="Times New Roman" w:hAnsi="Times New Roman" w:cs="Times New Roman"/>
          <w:i/>
        </w:rPr>
        <w:t>obiectis</w:t>
      </w:r>
      <w:proofErr w:type="spellEnd"/>
    </w:p>
    <w:p w14:paraId="5A63E1D9" w14:textId="2E68FE12" w:rsidR="00C27FB3" w:rsidRPr="00A472FC" w:rsidRDefault="00C27FB3" w:rsidP="00881604">
      <w:pPr>
        <w:spacing w:line="360" w:lineRule="auto"/>
        <w:ind w:right="-52"/>
        <w:jc w:val="both"/>
        <w:rPr>
          <w:rFonts w:ascii="Times New Roman" w:hAnsi="Times New Roman" w:cs="Times New Roman"/>
        </w:rPr>
      </w:pPr>
      <w:r w:rsidRPr="00A472FC">
        <w:rPr>
          <w:rFonts w:ascii="Times New Roman" w:hAnsi="Times New Roman" w:cs="Times New Roman"/>
        </w:rPr>
        <w:t>Anonymous Gauthier</w:t>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i/>
        </w:rPr>
        <w:t xml:space="preserve">De anima et de </w:t>
      </w:r>
      <w:proofErr w:type="spellStart"/>
      <w:r w:rsidRPr="00A472FC">
        <w:rPr>
          <w:rFonts w:ascii="Times New Roman" w:hAnsi="Times New Roman" w:cs="Times New Roman"/>
          <w:i/>
        </w:rPr>
        <w:t>potenciis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eius</w:t>
      </w:r>
      <w:proofErr w:type="spellEnd"/>
    </w:p>
    <w:p w14:paraId="59786A60" w14:textId="77777777" w:rsidR="00021B32" w:rsidRPr="00A472FC" w:rsidRDefault="00021B32" w:rsidP="00881604">
      <w:pPr>
        <w:spacing w:line="360" w:lineRule="auto"/>
        <w:ind w:right="-52"/>
        <w:jc w:val="both"/>
        <w:rPr>
          <w:rFonts w:ascii="Times New Roman" w:hAnsi="Times New Roman" w:cs="Times New Roman"/>
        </w:rPr>
      </w:pPr>
    </w:p>
    <w:p w14:paraId="435E16BB" w14:textId="73B74900" w:rsidR="00C9576F" w:rsidRPr="00A472FC" w:rsidRDefault="00C9576F" w:rsidP="00881604">
      <w:pPr>
        <w:spacing w:line="360" w:lineRule="auto"/>
        <w:ind w:right="-52"/>
        <w:jc w:val="both"/>
        <w:rPr>
          <w:rFonts w:ascii="Times New Roman" w:hAnsi="Times New Roman" w:cs="Times New Roman"/>
          <w:i/>
        </w:rPr>
      </w:pPr>
      <w:r w:rsidRPr="00A472FC">
        <w:rPr>
          <w:rFonts w:ascii="Times New Roman" w:hAnsi="Times New Roman" w:cs="Times New Roman"/>
        </w:rPr>
        <w:t>DAR</w:t>
      </w:r>
      <w:r w:rsidRPr="00A472FC">
        <w:rPr>
          <w:rFonts w:ascii="Times New Roman" w:hAnsi="Times New Roman" w:cs="Times New Roman"/>
          <w:i/>
        </w:rPr>
        <w:tab/>
      </w:r>
      <w:r w:rsidR="00697492" w:rsidRPr="00A472FC">
        <w:rPr>
          <w:rFonts w:ascii="Times New Roman" w:hAnsi="Times New Roman" w:cs="Times New Roman"/>
          <w:i/>
        </w:rPr>
        <w:tab/>
      </w:r>
      <w:r w:rsidRPr="00A472FC">
        <w:rPr>
          <w:rFonts w:ascii="Times New Roman" w:hAnsi="Times New Roman" w:cs="Times New Roman"/>
          <w:i/>
        </w:rPr>
        <w:t xml:space="preserve">De anima </w:t>
      </w:r>
      <w:proofErr w:type="spellStart"/>
      <w:r w:rsidRPr="00A472FC">
        <w:rPr>
          <w:rFonts w:ascii="Times New Roman" w:hAnsi="Times New Roman" w:cs="Times New Roman"/>
          <w:i/>
        </w:rPr>
        <w:t>rationali</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in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p>
    <w:p w14:paraId="408AC733" w14:textId="7E7F59B6" w:rsidR="00C9576F" w:rsidRPr="00A472FC" w:rsidRDefault="00C9576F" w:rsidP="00881604">
      <w:pPr>
        <w:spacing w:line="360" w:lineRule="auto"/>
        <w:ind w:right="-52"/>
        <w:jc w:val="both"/>
        <w:rPr>
          <w:rFonts w:ascii="Times New Roman" w:hAnsi="Times New Roman" w:cs="Times New Roman"/>
        </w:rPr>
      </w:pPr>
      <w:r w:rsidRPr="00A472FC">
        <w:rPr>
          <w:rFonts w:ascii="Times New Roman" w:hAnsi="Times New Roman" w:cs="Times New Roman"/>
        </w:rPr>
        <w:t>DFO</w:t>
      </w:r>
      <w:r w:rsidRPr="00A472FC">
        <w:rPr>
          <w:rFonts w:ascii="Times New Roman" w:hAnsi="Times New Roman" w:cs="Times New Roman"/>
        </w:rPr>
        <w:tab/>
      </w:r>
      <w:r w:rsidR="00697492" w:rsidRPr="00A472FC">
        <w:rPr>
          <w:rFonts w:ascii="Times New Roman" w:hAnsi="Times New Roman" w:cs="Times New Roman"/>
          <w:i/>
        </w:rPr>
        <w:tab/>
      </w:r>
      <w:r w:rsidRPr="00A472FC">
        <w:rPr>
          <w:rFonts w:ascii="Times New Roman" w:hAnsi="Times New Roman" w:cs="Times New Roman"/>
          <w:i/>
        </w:rPr>
        <w:t xml:space="preserve">De fide </w:t>
      </w:r>
      <w:proofErr w:type="spellStart"/>
      <w:r w:rsidRPr="00A472FC">
        <w:rPr>
          <w:rFonts w:ascii="Times New Roman" w:hAnsi="Times New Roman" w:cs="Times New Roman"/>
          <w:i/>
        </w:rPr>
        <w:t>orthodoxa</w:t>
      </w:r>
      <w:proofErr w:type="spellEnd"/>
      <w:r w:rsidRPr="00A472FC">
        <w:rPr>
          <w:rFonts w:ascii="Times New Roman" w:hAnsi="Times New Roman" w:cs="Times New Roman"/>
          <w:i/>
        </w:rPr>
        <w:t xml:space="preserve">, </w:t>
      </w:r>
      <w:r w:rsidRPr="00A472FC">
        <w:rPr>
          <w:rFonts w:ascii="Times New Roman" w:hAnsi="Times New Roman" w:cs="Times New Roman"/>
        </w:rPr>
        <w:t>by John of Damascus</w:t>
      </w:r>
    </w:p>
    <w:p w14:paraId="63A15A1B" w14:textId="2E2C0501" w:rsidR="00BD180B" w:rsidRPr="00A472FC" w:rsidRDefault="00BD180B" w:rsidP="00881604">
      <w:pPr>
        <w:spacing w:line="360" w:lineRule="auto"/>
        <w:ind w:right="-52"/>
        <w:jc w:val="both"/>
        <w:rPr>
          <w:rFonts w:ascii="Times New Roman" w:hAnsi="Times New Roman" w:cs="Times New Roman"/>
        </w:rPr>
      </w:pPr>
      <w:r w:rsidRPr="00A472FC">
        <w:rPr>
          <w:rFonts w:ascii="Times New Roman" w:hAnsi="Times New Roman" w:cs="Times New Roman"/>
        </w:rPr>
        <w:t>DSEA</w:t>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i/>
        </w:rPr>
        <w:t xml:space="preserve">De </w:t>
      </w:r>
      <w:proofErr w:type="spellStart"/>
      <w:r w:rsidRPr="00A472FC">
        <w:rPr>
          <w:rFonts w:ascii="Times New Roman" w:hAnsi="Times New Roman" w:cs="Times New Roman"/>
          <w:i/>
        </w:rPr>
        <w:t>spiritu</w:t>
      </w:r>
      <w:proofErr w:type="spellEnd"/>
      <w:r w:rsidRPr="00A472FC">
        <w:rPr>
          <w:rFonts w:ascii="Times New Roman" w:hAnsi="Times New Roman" w:cs="Times New Roman"/>
          <w:i/>
        </w:rPr>
        <w:t xml:space="preserve"> et anima, </w:t>
      </w:r>
      <w:r w:rsidRPr="00A472FC">
        <w:rPr>
          <w:rFonts w:ascii="Times New Roman" w:hAnsi="Times New Roman" w:cs="Times New Roman"/>
        </w:rPr>
        <w:t>Anonymous 12</w:t>
      </w:r>
      <w:r w:rsidRPr="00A472FC">
        <w:rPr>
          <w:rFonts w:ascii="Times New Roman" w:hAnsi="Times New Roman" w:cs="Times New Roman"/>
          <w:vertAlign w:val="superscript"/>
        </w:rPr>
        <w:t>th</w:t>
      </w:r>
      <w:r w:rsidRPr="00A472FC">
        <w:rPr>
          <w:rFonts w:ascii="Times New Roman" w:hAnsi="Times New Roman" w:cs="Times New Roman"/>
        </w:rPr>
        <w:t>-Century Cistercian text</w:t>
      </w:r>
    </w:p>
    <w:p w14:paraId="65D26137" w14:textId="0DE6A053" w:rsidR="00C9576F" w:rsidRPr="00A472FC" w:rsidRDefault="00C9576F" w:rsidP="00881604">
      <w:pPr>
        <w:spacing w:line="360" w:lineRule="auto"/>
        <w:ind w:right="-52"/>
        <w:jc w:val="both"/>
        <w:rPr>
          <w:rFonts w:ascii="Times New Roman" w:hAnsi="Times New Roman" w:cs="Times New Roman"/>
        </w:rPr>
      </w:pPr>
      <w:r w:rsidRPr="00A472FC">
        <w:rPr>
          <w:rFonts w:ascii="Times New Roman" w:hAnsi="Times New Roman" w:cs="Times New Roman"/>
        </w:rPr>
        <w:t>SDA</w:t>
      </w:r>
      <w:r w:rsidRPr="00A472FC">
        <w:rPr>
          <w:rFonts w:ascii="Times New Roman" w:hAnsi="Times New Roman" w:cs="Times New Roman"/>
          <w:i/>
        </w:rPr>
        <w:tab/>
      </w:r>
      <w:r w:rsidR="00697492" w:rsidRPr="00A472FC">
        <w:rPr>
          <w:rFonts w:ascii="Times New Roman" w:hAnsi="Times New Roman" w:cs="Times New Roman"/>
          <w:i/>
        </w:rPr>
        <w:tab/>
      </w:r>
      <w:r w:rsidRPr="00A472FC">
        <w:rPr>
          <w:rFonts w:ascii="Times New Roman" w:hAnsi="Times New Roman" w:cs="Times New Roman"/>
          <w:i/>
        </w:rPr>
        <w:t xml:space="preserve">Summa de anima, </w:t>
      </w:r>
      <w:r w:rsidRPr="00A472FC">
        <w:rPr>
          <w:rFonts w:ascii="Times New Roman" w:hAnsi="Times New Roman" w:cs="Times New Roman"/>
        </w:rPr>
        <w:t>by John of La Rochelle</w:t>
      </w:r>
    </w:p>
    <w:p w14:paraId="1213BB8A" w14:textId="48C9EED8" w:rsidR="00697492" w:rsidRPr="00A472FC" w:rsidRDefault="00C9576F" w:rsidP="00881604">
      <w:pPr>
        <w:spacing w:line="360" w:lineRule="auto"/>
        <w:ind w:right="-52"/>
        <w:jc w:val="both"/>
        <w:rPr>
          <w:rFonts w:ascii="Times New Roman" w:hAnsi="Times New Roman" w:cs="Times New Roman"/>
          <w:i/>
        </w:rPr>
      </w:pPr>
      <w:r w:rsidRPr="00A472FC">
        <w:rPr>
          <w:rFonts w:ascii="Times New Roman" w:hAnsi="Times New Roman" w:cs="Times New Roman"/>
          <w:i/>
        </w:rPr>
        <w:t>SH</w:t>
      </w:r>
      <w:r w:rsidRPr="00A472FC">
        <w:rPr>
          <w:rFonts w:ascii="Times New Roman" w:hAnsi="Times New Roman" w:cs="Times New Roman"/>
          <w:i/>
        </w:rPr>
        <w:tab/>
      </w:r>
      <w:r w:rsidR="00697492" w:rsidRPr="00A472FC">
        <w:rPr>
          <w:rFonts w:ascii="Times New Roman" w:hAnsi="Times New Roman" w:cs="Times New Roman"/>
          <w:i/>
        </w:rPr>
        <w:tab/>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p>
    <w:p w14:paraId="209A22E7" w14:textId="77777777" w:rsidR="00697492" w:rsidRPr="00A472FC" w:rsidRDefault="00040053" w:rsidP="00881604">
      <w:pPr>
        <w:spacing w:line="360" w:lineRule="auto"/>
        <w:ind w:right="-52"/>
        <w:jc w:val="both"/>
        <w:rPr>
          <w:rFonts w:ascii="Times New Roman" w:hAnsi="Times New Roman" w:cs="Times New Roman"/>
          <w:iCs/>
        </w:rPr>
      </w:pPr>
      <w:proofErr w:type="spellStart"/>
      <w:r w:rsidRPr="00A472FC">
        <w:rPr>
          <w:rFonts w:ascii="Times New Roman" w:hAnsi="Times New Roman" w:cs="Times New Roman"/>
          <w:i/>
        </w:rPr>
        <w:t>Tractatus</w:t>
      </w:r>
      <w:proofErr w:type="spellEnd"/>
      <w:r w:rsidR="00697492" w:rsidRPr="00A472FC">
        <w:rPr>
          <w:rFonts w:ascii="Times New Roman" w:hAnsi="Times New Roman" w:cs="Times New Roman"/>
          <w:i/>
        </w:rPr>
        <w:tab/>
      </w:r>
      <w:proofErr w:type="spellStart"/>
      <w:r w:rsidRPr="00A472FC">
        <w:rPr>
          <w:rFonts w:ascii="Times New Roman" w:hAnsi="Times New Roman" w:cs="Times New Roman"/>
          <w:i/>
          <w:iCs/>
        </w:rPr>
        <w:t>Tractatus</w:t>
      </w:r>
      <w:proofErr w:type="spellEnd"/>
      <w:r w:rsidR="00F3644C" w:rsidRPr="00A472FC">
        <w:rPr>
          <w:rFonts w:ascii="Times New Roman" w:hAnsi="Times New Roman" w:cs="Times New Roman"/>
          <w:i/>
          <w:iCs/>
        </w:rPr>
        <w:t xml:space="preserve"> de </w:t>
      </w:r>
      <w:proofErr w:type="spellStart"/>
      <w:r w:rsidR="00F3644C" w:rsidRPr="00A472FC">
        <w:rPr>
          <w:rFonts w:ascii="Times New Roman" w:hAnsi="Times New Roman" w:cs="Times New Roman"/>
          <w:i/>
          <w:iCs/>
        </w:rPr>
        <w:t>divisione</w:t>
      </w:r>
      <w:proofErr w:type="spellEnd"/>
      <w:r w:rsidR="00F3644C" w:rsidRPr="00A472FC">
        <w:rPr>
          <w:rFonts w:ascii="Times New Roman" w:hAnsi="Times New Roman" w:cs="Times New Roman"/>
          <w:i/>
          <w:iCs/>
        </w:rPr>
        <w:t xml:space="preserve"> </w:t>
      </w:r>
      <w:proofErr w:type="spellStart"/>
      <w:r w:rsidR="00F3644C" w:rsidRPr="00A472FC">
        <w:rPr>
          <w:rFonts w:ascii="Times New Roman" w:hAnsi="Times New Roman" w:cs="Times New Roman"/>
          <w:i/>
          <w:iCs/>
        </w:rPr>
        <w:t>multiplici</w:t>
      </w:r>
      <w:proofErr w:type="spellEnd"/>
      <w:r w:rsidR="00F3644C" w:rsidRPr="00A472FC">
        <w:rPr>
          <w:rFonts w:ascii="Times New Roman" w:hAnsi="Times New Roman" w:cs="Times New Roman"/>
          <w:i/>
          <w:iCs/>
        </w:rPr>
        <w:t xml:space="preserve"> </w:t>
      </w:r>
      <w:proofErr w:type="spellStart"/>
      <w:r w:rsidR="00F3644C" w:rsidRPr="00A472FC">
        <w:rPr>
          <w:rFonts w:ascii="Times New Roman" w:hAnsi="Times New Roman" w:cs="Times New Roman"/>
          <w:i/>
          <w:iCs/>
        </w:rPr>
        <w:t>potentiarum</w:t>
      </w:r>
      <w:proofErr w:type="spellEnd"/>
      <w:r w:rsidR="00F3644C" w:rsidRPr="00A472FC">
        <w:rPr>
          <w:rFonts w:ascii="Times New Roman" w:hAnsi="Times New Roman" w:cs="Times New Roman"/>
          <w:i/>
          <w:iCs/>
        </w:rPr>
        <w:t xml:space="preserve"> </w:t>
      </w:r>
      <w:proofErr w:type="spellStart"/>
      <w:r w:rsidR="00F3644C" w:rsidRPr="00A472FC">
        <w:rPr>
          <w:rFonts w:ascii="Times New Roman" w:hAnsi="Times New Roman" w:cs="Times New Roman"/>
          <w:i/>
          <w:iCs/>
        </w:rPr>
        <w:t>animae</w:t>
      </w:r>
      <w:proofErr w:type="spellEnd"/>
      <w:r w:rsidR="00F3644C" w:rsidRPr="00A472FC">
        <w:rPr>
          <w:rFonts w:ascii="Times New Roman" w:hAnsi="Times New Roman" w:cs="Times New Roman"/>
          <w:i/>
          <w:iCs/>
        </w:rPr>
        <w:t xml:space="preserve">, </w:t>
      </w:r>
      <w:r w:rsidR="00F3644C" w:rsidRPr="00A472FC">
        <w:rPr>
          <w:rFonts w:ascii="Times New Roman" w:hAnsi="Times New Roman" w:cs="Times New Roman"/>
          <w:iCs/>
        </w:rPr>
        <w:t>by John of La Rochelle</w:t>
      </w:r>
    </w:p>
    <w:p w14:paraId="4833DC87" w14:textId="77777777" w:rsidR="00926276" w:rsidRPr="00A472FC" w:rsidRDefault="00926276" w:rsidP="00881604">
      <w:pPr>
        <w:spacing w:line="360" w:lineRule="auto"/>
        <w:ind w:right="-52"/>
        <w:jc w:val="both"/>
        <w:rPr>
          <w:rFonts w:ascii="Times New Roman" w:hAnsi="Times New Roman" w:cs="Times New Roman"/>
        </w:rPr>
      </w:pPr>
    </w:p>
    <w:p w14:paraId="3DA29DEA" w14:textId="77777777" w:rsidR="00926276" w:rsidRPr="00A472FC" w:rsidRDefault="00926276" w:rsidP="00881604">
      <w:pPr>
        <w:ind w:right="-52"/>
        <w:rPr>
          <w:rFonts w:ascii="Times New Roman" w:hAnsi="Times New Roman" w:cs="Times New Roman"/>
        </w:rPr>
      </w:pPr>
      <w:r w:rsidRPr="00A472FC">
        <w:rPr>
          <w:rFonts w:ascii="Times New Roman" w:hAnsi="Times New Roman" w:cs="Times New Roman"/>
        </w:rPr>
        <w:br w:type="page"/>
      </w:r>
    </w:p>
    <w:p w14:paraId="34C09DB2" w14:textId="1CFD7F71" w:rsidR="00BF7AAB" w:rsidRPr="00A472FC" w:rsidRDefault="00BF7AAB" w:rsidP="00BF7AAB">
      <w:pPr>
        <w:jc w:val="center"/>
        <w:rPr>
          <w:rFonts w:ascii="Times New Roman" w:hAnsi="Times New Roman" w:cs="Times New Roman"/>
          <w:b/>
          <w:bCs/>
        </w:rPr>
      </w:pPr>
      <w:r w:rsidRPr="00A472FC">
        <w:rPr>
          <w:rFonts w:ascii="Times New Roman" w:hAnsi="Times New Roman" w:cs="Times New Roman"/>
          <w:b/>
          <w:bCs/>
        </w:rPr>
        <w:lastRenderedPageBreak/>
        <w:t>Acknowledgements</w:t>
      </w:r>
    </w:p>
    <w:p w14:paraId="718BD87F" w14:textId="77777777" w:rsidR="00BF7AAB" w:rsidRPr="00A472FC" w:rsidRDefault="00BF7AAB">
      <w:pPr>
        <w:rPr>
          <w:rFonts w:ascii="Times New Roman" w:hAnsi="Times New Roman" w:cs="Times New Roman"/>
          <w:b/>
          <w:bCs/>
        </w:rPr>
      </w:pPr>
    </w:p>
    <w:p w14:paraId="093D755E" w14:textId="77777777" w:rsidR="00BF7AAB" w:rsidRPr="00A472FC" w:rsidRDefault="00BF7AAB" w:rsidP="00881604">
      <w:pPr>
        <w:ind w:right="-52"/>
        <w:jc w:val="center"/>
        <w:rPr>
          <w:rFonts w:ascii="Times New Roman" w:hAnsi="Times New Roman" w:cs="Times New Roman"/>
          <w:b/>
          <w:bCs/>
        </w:rPr>
      </w:pPr>
    </w:p>
    <w:p w14:paraId="44EF2209" w14:textId="53C6410E" w:rsidR="00740BD9" w:rsidRPr="00A472FC" w:rsidRDefault="000B5101" w:rsidP="007A4CF1">
      <w:pPr>
        <w:rPr>
          <w:rFonts w:ascii="Times New Roman" w:hAnsi="Times New Roman" w:cs="Times New Roman"/>
        </w:rPr>
      </w:pPr>
      <w:r w:rsidRPr="00A472FC">
        <w:rPr>
          <w:rFonts w:ascii="Times New Roman" w:hAnsi="Times New Roman" w:cs="Times New Roman"/>
        </w:rPr>
        <w:t xml:space="preserve">An earlier version of this book was submitted as a Habilitation in Church History to the Protestant Theology at the Humboldt University of Berlin. I am therefore extremely grateful </w:t>
      </w:r>
      <w:r w:rsidR="00CB04AF" w:rsidRPr="00A472FC">
        <w:rPr>
          <w:rFonts w:ascii="Times New Roman" w:hAnsi="Times New Roman" w:cs="Times New Roman"/>
        </w:rPr>
        <w:t xml:space="preserve">first and foremost </w:t>
      </w:r>
      <w:r w:rsidRPr="00A472FC">
        <w:rPr>
          <w:rFonts w:ascii="Times New Roman" w:hAnsi="Times New Roman" w:cs="Times New Roman"/>
        </w:rPr>
        <w:t xml:space="preserve">to the examiners of the Habilitation </w:t>
      </w:r>
      <w:r w:rsidR="007A532C" w:rsidRPr="00A472FC">
        <w:rPr>
          <w:rFonts w:ascii="Times New Roman" w:hAnsi="Times New Roman" w:cs="Times New Roman"/>
        </w:rPr>
        <w:t xml:space="preserve">– Christoph </w:t>
      </w:r>
      <w:proofErr w:type="spellStart"/>
      <w:r w:rsidR="007A532C" w:rsidRPr="00A472FC">
        <w:rPr>
          <w:rFonts w:ascii="Times New Roman" w:hAnsi="Times New Roman" w:cs="Times New Roman"/>
        </w:rPr>
        <w:t>Markschies</w:t>
      </w:r>
      <w:proofErr w:type="spellEnd"/>
      <w:r w:rsidR="007A532C" w:rsidRPr="00A472FC">
        <w:rPr>
          <w:rFonts w:ascii="Times New Roman" w:hAnsi="Times New Roman" w:cs="Times New Roman"/>
        </w:rPr>
        <w:t xml:space="preserve">, Dominik Perler, and Judith Becker - </w:t>
      </w:r>
      <w:r w:rsidRPr="00A472FC">
        <w:rPr>
          <w:rFonts w:ascii="Times New Roman" w:hAnsi="Times New Roman" w:cs="Times New Roman"/>
        </w:rPr>
        <w:t xml:space="preserve">who not only supported me greatly during the time I worked on </w:t>
      </w:r>
      <w:r w:rsidR="008434FD" w:rsidRPr="00A472FC">
        <w:rPr>
          <w:rFonts w:ascii="Times New Roman" w:hAnsi="Times New Roman" w:cs="Times New Roman"/>
        </w:rPr>
        <w:t>the manuscript</w:t>
      </w:r>
      <w:r w:rsidRPr="00A472FC">
        <w:rPr>
          <w:rFonts w:ascii="Times New Roman" w:hAnsi="Times New Roman" w:cs="Times New Roman"/>
        </w:rPr>
        <w:t xml:space="preserve"> but also provided invaluable feedback in their reports. </w:t>
      </w:r>
      <w:r w:rsidR="00D55415" w:rsidRPr="00A472FC">
        <w:rPr>
          <w:rFonts w:ascii="Times New Roman" w:hAnsi="Times New Roman" w:cs="Times New Roman"/>
        </w:rPr>
        <w:t xml:space="preserve">I am also grateful to the European Research Council which awarded me a grant between 2017-21 which allowed me to complete </w:t>
      </w:r>
      <w:r w:rsidR="00054A39" w:rsidRPr="00A472FC">
        <w:rPr>
          <w:rFonts w:ascii="Times New Roman" w:hAnsi="Times New Roman" w:cs="Times New Roman"/>
        </w:rPr>
        <w:t>this project and others related to the study of the early Franciscan intellectual tradition</w:t>
      </w:r>
      <w:r w:rsidR="00D55415" w:rsidRPr="00A472FC">
        <w:rPr>
          <w:rFonts w:ascii="Times New Roman" w:hAnsi="Times New Roman" w:cs="Times New Roman"/>
        </w:rPr>
        <w:t xml:space="preserve">. I had the chance to </w:t>
      </w:r>
      <w:proofErr w:type="spellStart"/>
      <w:r w:rsidR="00D55415" w:rsidRPr="00A472FC">
        <w:rPr>
          <w:rFonts w:ascii="Times New Roman" w:hAnsi="Times New Roman" w:cs="Times New Roman"/>
        </w:rPr>
        <w:t>finalize</w:t>
      </w:r>
      <w:proofErr w:type="spellEnd"/>
      <w:r w:rsidR="00D55415" w:rsidRPr="00A472FC">
        <w:rPr>
          <w:rFonts w:ascii="Times New Roman" w:hAnsi="Times New Roman" w:cs="Times New Roman"/>
        </w:rPr>
        <w:t xml:space="preserve"> the </w:t>
      </w:r>
      <w:r w:rsidR="00054A39" w:rsidRPr="00A472FC">
        <w:rPr>
          <w:rFonts w:ascii="Times New Roman" w:hAnsi="Times New Roman" w:cs="Times New Roman"/>
        </w:rPr>
        <w:t xml:space="preserve">book </w:t>
      </w:r>
      <w:r w:rsidR="00D55415" w:rsidRPr="00A472FC">
        <w:rPr>
          <w:rFonts w:ascii="Times New Roman" w:hAnsi="Times New Roman" w:cs="Times New Roman"/>
        </w:rPr>
        <w:t xml:space="preserve">manuscript while a Fellow at the </w:t>
      </w:r>
      <w:proofErr w:type="spellStart"/>
      <w:r w:rsidR="00D55415" w:rsidRPr="00A472FC">
        <w:rPr>
          <w:rFonts w:ascii="Times New Roman" w:hAnsi="Times New Roman" w:cs="Times New Roman"/>
        </w:rPr>
        <w:t>Fondation</w:t>
      </w:r>
      <w:proofErr w:type="spellEnd"/>
      <w:r w:rsidR="00D55415" w:rsidRPr="00A472FC">
        <w:rPr>
          <w:rFonts w:ascii="Times New Roman" w:hAnsi="Times New Roman" w:cs="Times New Roman"/>
        </w:rPr>
        <w:t xml:space="preserve"> Maison des Sciences de </w:t>
      </w:r>
      <w:proofErr w:type="spellStart"/>
      <w:r w:rsidR="00D55415" w:rsidRPr="00A472FC">
        <w:rPr>
          <w:rFonts w:ascii="Times New Roman" w:hAnsi="Times New Roman" w:cs="Times New Roman"/>
        </w:rPr>
        <w:t>l’Homme</w:t>
      </w:r>
      <w:proofErr w:type="spellEnd"/>
      <w:r w:rsidR="00D55415" w:rsidRPr="00A472FC">
        <w:rPr>
          <w:rFonts w:ascii="Times New Roman" w:hAnsi="Times New Roman" w:cs="Times New Roman"/>
        </w:rPr>
        <w:t xml:space="preserve"> in Paris and would like to acknowledge and express my appreciation for the support I received there as well</w:t>
      </w:r>
      <w:r w:rsidR="00740BD9" w:rsidRPr="00A472FC">
        <w:rPr>
          <w:rFonts w:ascii="Times New Roman" w:hAnsi="Times New Roman" w:cs="Times New Roman"/>
        </w:rPr>
        <w:t xml:space="preserve">. </w:t>
      </w:r>
    </w:p>
    <w:p w14:paraId="15D7EF23" w14:textId="77777777" w:rsidR="00740BD9" w:rsidRPr="00A472FC" w:rsidRDefault="00740BD9" w:rsidP="007A4CF1">
      <w:pPr>
        <w:rPr>
          <w:rFonts w:ascii="Times New Roman" w:hAnsi="Times New Roman" w:cs="Times New Roman"/>
        </w:rPr>
      </w:pPr>
    </w:p>
    <w:p w14:paraId="547C6F96" w14:textId="6262C130" w:rsidR="002B2E14" w:rsidRPr="00A472FC" w:rsidRDefault="00740BD9" w:rsidP="007A4CF1">
      <w:pPr>
        <w:rPr>
          <w:rFonts w:ascii="Times New Roman" w:hAnsi="Times New Roman" w:cs="Times New Roman"/>
        </w:rPr>
      </w:pPr>
      <w:r w:rsidRPr="00A472FC">
        <w:rPr>
          <w:rFonts w:ascii="Times New Roman" w:hAnsi="Times New Roman" w:cs="Times New Roman"/>
        </w:rPr>
        <w:t xml:space="preserve">The indebtedness of my research to the work of Magdalena Bieniak and </w:t>
      </w:r>
      <w:proofErr w:type="spellStart"/>
      <w:r w:rsidRPr="00A472FC">
        <w:rPr>
          <w:rFonts w:ascii="Times New Roman" w:hAnsi="Times New Roman" w:cs="Times New Roman"/>
        </w:rPr>
        <w:t>Dag</w:t>
      </w:r>
      <w:proofErr w:type="spellEnd"/>
      <w:r w:rsidRPr="00A472FC">
        <w:rPr>
          <w:rFonts w:ascii="Times New Roman" w:hAnsi="Times New Roman" w:cs="Times New Roman"/>
        </w:rPr>
        <w:t xml:space="preserve"> Hasse will become clear to all readers of this book, and thus I want to thank them here not only for their pivotal research on medieval psychology but also for their kindness and </w:t>
      </w:r>
      <w:r w:rsidR="00EB1C62" w:rsidRPr="00A472FC">
        <w:rPr>
          <w:rFonts w:ascii="Times New Roman" w:hAnsi="Times New Roman" w:cs="Times New Roman"/>
        </w:rPr>
        <w:t xml:space="preserve">generous </w:t>
      </w:r>
      <w:r w:rsidR="00441883" w:rsidRPr="00A472FC">
        <w:rPr>
          <w:rFonts w:ascii="Times New Roman" w:hAnsi="Times New Roman" w:cs="Times New Roman"/>
        </w:rPr>
        <w:t xml:space="preserve">feedback on aspects of this project. </w:t>
      </w:r>
      <w:r w:rsidR="00337E22" w:rsidRPr="00A472FC">
        <w:rPr>
          <w:rFonts w:ascii="Times New Roman" w:hAnsi="Times New Roman" w:cs="Times New Roman"/>
        </w:rPr>
        <w:t xml:space="preserve">A number of </w:t>
      </w:r>
      <w:r w:rsidR="008A4A37" w:rsidRPr="00A472FC">
        <w:rPr>
          <w:rFonts w:ascii="Times New Roman" w:hAnsi="Times New Roman" w:cs="Times New Roman"/>
        </w:rPr>
        <w:t xml:space="preserve">other </w:t>
      </w:r>
      <w:r w:rsidR="00337E22" w:rsidRPr="00A472FC">
        <w:rPr>
          <w:rFonts w:ascii="Times New Roman" w:hAnsi="Times New Roman" w:cs="Times New Roman"/>
        </w:rPr>
        <w:t xml:space="preserve">colleagues read parts or in some cases all of the draft text, </w:t>
      </w:r>
      <w:r w:rsidR="00A70735" w:rsidRPr="00A472FC">
        <w:rPr>
          <w:rFonts w:ascii="Times New Roman" w:hAnsi="Times New Roman" w:cs="Times New Roman"/>
        </w:rPr>
        <w:t xml:space="preserve">and/or encouraged me as I wrote it, </w:t>
      </w:r>
      <w:r w:rsidR="004233A6" w:rsidRPr="00A472FC">
        <w:rPr>
          <w:rFonts w:ascii="Times New Roman" w:hAnsi="Times New Roman" w:cs="Times New Roman"/>
        </w:rPr>
        <w:t xml:space="preserve">including </w:t>
      </w:r>
      <w:r w:rsidR="00412D99" w:rsidRPr="00A472FC">
        <w:rPr>
          <w:rFonts w:ascii="Times New Roman" w:hAnsi="Times New Roman" w:cs="Times New Roman"/>
        </w:rPr>
        <w:t xml:space="preserve">Amos </w:t>
      </w:r>
      <w:proofErr w:type="spellStart"/>
      <w:r w:rsidR="00412D99" w:rsidRPr="00A472FC">
        <w:rPr>
          <w:rFonts w:ascii="Times New Roman" w:hAnsi="Times New Roman" w:cs="Times New Roman"/>
        </w:rPr>
        <w:t>Bertolacci</w:t>
      </w:r>
      <w:proofErr w:type="spellEnd"/>
      <w:r w:rsidR="00412D99" w:rsidRPr="00A472FC">
        <w:rPr>
          <w:rFonts w:ascii="Times New Roman" w:hAnsi="Times New Roman" w:cs="Times New Roman"/>
        </w:rPr>
        <w:t xml:space="preserve">, </w:t>
      </w:r>
      <w:r w:rsidR="00E408C6" w:rsidRPr="00A472FC">
        <w:rPr>
          <w:rFonts w:ascii="Times New Roman" w:hAnsi="Times New Roman" w:cs="Times New Roman"/>
        </w:rPr>
        <w:t xml:space="preserve">Oleg </w:t>
      </w:r>
      <w:proofErr w:type="spellStart"/>
      <w:r w:rsidR="00E408C6" w:rsidRPr="00A472FC">
        <w:rPr>
          <w:rFonts w:ascii="Times New Roman" w:hAnsi="Times New Roman" w:cs="Times New Roman"/>
        </w:rPr>
        <w:t>Bychkov</w:t>
      </w:r>
      <w:proofErr w:type="spellEnd"/>
      <w:r w:rsidR="00E408C6" w:rsidRPr="00A472FC">
        <w:rPr>
          <w:rFonts w:ascii="Times New Roman" w:hAnsi="Times New Roman" w:cs="Times New Roman"/>
        </w:rPr>
        <w:t xml:space="preserve">, </w:t>
      </w:r>
      <w:r w:rsidR="00E44531" w:rsidRPr="00A472FC">
        <w:rPr>
          <w:rFonts w:ascii="Times New Roman" w:hAnsi="Times New Roman" w:cs="Times New Roman"/>
        </w:rPr>
        <w:t xml:space="preserve">Ayelet Even-Ezra, </w:t>
      </w:r>
      <w:r w:rsidR="00D85C47" w:rsidRPr="00A472FC">
        <w:rPr>
          <w:rFonts w:ascii="Times New Roman" w:hAnsi="Times New Roman" w:cs="Times New Roman"/>
        </w:rPr>
        <w:t xml:space="preserve">Alexander Fidora, </w:t>
      </w:r>
      <w:r w:rsidR="00E44531" w:rsidRPr="00A472FC">
        <w:rPr>
          <w:rFonts w:ascii="Times New Roman" w:hAnsi="Times New Roman" w:cs="Times New Roman"/>
        </w:rPr>
        <w:t xml:space="preserve">Theo </w:t>
      </w:r>
      <w:proofErr w:type="spellStart"/>
      <w:r w:rsidR="00E44531" w:rsidRPr="00A472FC">
        <w:rPr>
          <w:rFonts w:ascii="Times New Roman" w:hAnsi="Times New Roman" w:cs="Times New Roman"/>
        </w:rPr>
        <w:t>Kobusch</w:t>
      </w:r>
      <w:proofErr w:type="spellEnd"/>
      <w:r w:rsidR="00E44531" w:rsidRPr="00A472FC">
        <w:rPr>
          <w:rFonts w:ascii="Times New Roman" w:hAnsi="Times New Roman" w:cs="Times New Roman"/>
        </w:rPr>
        <w:t xml:space="preserve">, </w:t>
      </w:r>
      <w:r w:rsidR="00683287" w:rsidRPr="00A472FC">
        <w:rPr>
          <w:rFonts w:ascii="Times New Roman" w:hAnsi="Times New Roman" w:cs="Times New Roman"/>
        </w:rPr>
        <w:t xml:space="preserve">Marwan </w:t>
      </w:r>
      <w:proofErr w:type="spellStart"/>
      <w:r w:rsidR="00683287" w:rsidRPr="00A472FC">
        <w:rPr>
          <w:rFonts w:ascii="Times New Roman" w:hAnsi="Times New Roman" w:cs="Times New Roman"/>
        </w:rPr>
        <w:t>Rashed</w:t>
      </w:r>
      <w:proofErr w:type="spellEnd"/>
      <w:r w:rsidR="00683287" w:rsidRPr="00A472FC">
        <w:rPr>
          <w:rFonts w:ascii="Times New Roman" w:hAnsi="Times New Roman" w:cs="Times New Roman"/>
        </w:rPr>
        <w:t xml:space="preserve">, </w:t>
      </w:r>
      <w:r w:rsidR="00D85C47" w:rsidRPr="00A472FC">
        <w:rPr>
          <w:rFonts w:ascii="Times New Roman" w:hAnsi="Times New Roman" w:cs="Times New Roman"/>
        </w:rPr>
        <w:t xml:space="preserve">Riccardo Saccenti, Filipe da Silva, </w:t>
      </w:r>
      <w:r w:rsidR="0080086A" w:rsidRPr="00A472FC">
        <w:rPr>
          <w:rFonts w:ascii="Times New Roman" w:hAnsi="Times New Roman" w:cs="Times New Roman"/>
        </w:rPr>
        <w:t xml:space="preserve">Anna-Katharina </w:t>
      </w:r>
      <w:proofErr w:type="spellStart"/>
      <w:r w:rsidR="0080086A" w:rsidRPr="00A472FC">
        <w:rPr>
          <w:rFonts w:ascii="Times New Roman" w:hAnsi="Times New Roman" w:cs="Times New Roman"/>
        </w:rPr>
        <w:t>Strohschneider</w:t>
      </w:r>
      <w:proofErr w:type="spellEnd"/>
      <w:r w:rsidR="00BB42DE" w:rsidRPr="00A472FC">
        <w:rPr>
          <w:rFonts w:ascii="Times New Roman" w:hAnsi="Times New Roman" w:cs="Times New Roman"/>
        </w:rPr>
        <w:t xml:space="preserve">, </w:t>
      </w:r>
      <w:r w:rsidR="00650B17" w:rsidRPr="00A472FC">
        <w:rPr>
          <w:rFonts w:ascii="Times New Roman" w:hAnsi="Times New Roman" w:cs="Times New Roman"/>
        </w:rPr>
        <w:t xml:space="preserve">and </w:t>
      </w:r>
      <w:r w:rsidR="00BB42DE" w:rsidRPr="00A472FC">
        <w:rPr>
          <w:rFonts w:ascii="Times New Roman" w:hAnsi="Times New Roman" w:cs="Times New Roman"/>
        </w:rPr>
        <w:t>Silvana Vecchio</w:t>
      </w:r>
      <w:r w:rsidR="004233A6" w:rsidRPr="00A472FC">
        <w:rPr>
          <w:rFonts w:ascii="Times New Roman" w:hAnsi="Times New Roman" w:cs="Times New Roman"/>
        </w:rPr>
        <w:t>, to whom I am very grateful</w:t>
      </w:r>
      <w:r w:rsidR="00DD5029" w:rsidRPr="00A472FC">
        <w:rPr>
          <w:rFonts w:ascii="Times New Roman" w:hAnsi="Times New Roman" w:cs="Times New Roman"/>
        </w:rPr>
        <w:t xml:space="preserve">. </w:t>
      </w:r>
      <w:r w:rsidR="00546080" w:rsidRPr="00A472FC">
        <w:rPr>
          <w:rFonts w:ascii="Times New Roman" w:hAnsi="Times New Roman" w:cs="Times New Roman"/>
        </w:rPr>
        <w:t>I was also grateful to be able to rely</w:t>
      </w:r>
      <w:r w:rsidR="008E07F0" w:rsidRPr="00A472FC">
        <w:rPr>
          <w:rFonts w:ascii="Times New Roman" w:hAnsi="Times New Roman" w:cs="Times New Roman"/>
        </w:rPr>
        <w:t xml:space="preserve"> </w:t>
      </w:r>
      <w:r w:rsidR="00546080" w:rsidRPr="00A472FC">
        <w:rPr>
          <w:rFonts w:ascii="Times New Roman" w:hAnsi="Times New Roman" w:cs="Times New Roman"/>
        </w:rPr>
        <w:t xml:space="preserve">on </w:t>
      </w:r>
      <w:r w:rsidR="00DD5029" w:rsidRPr="00A472FC">
        <w:rPr>
          <w:rFonts w:ascii="Times New Roman" w:hAnsi="Times New Roman" w:cs="Times New Roman"/>
        </w:rPr>
        <w:t xml:space="preserve">Frazer </w:t>
      </w:r>
      <w:proofErr w:type="spellStart"/>
      <w:r w:rsidR="00DD5029" w:rsidRPr="00A472FC">
        <w:rPr>
          <w:rFonts w:ascii="Times New Roman" w:hAnsi="Times New Roman" w:cs="Times New Roman"/>
        </w:rPr>
        <w:t>MacDiarmid</w:t>
      </w:r>
      <w:proofErr w:type="spellEnd"/>
      <w:r w:rsidR="00DD5029" w:rsidRPr="00A472FC">
        <w:rPr>
          <w:rFonts w:ascii="Times New Roman" w:hAnsi="Times New Roman" w:cs="Times New Roman"/>
        </w:rPr>
        <w:t xml:space="preserve">, research assistant on my ERC project, </w:t>
      </w:r>
      <w:r w:rsidR="00173401" w:rsidRPr="00A472FC">
        <w:rPr>
          <w:rFonts w:ascii="Times New Roman" w:hAnsi="Times New Roman" w:cs="Times New Roman"/>
        </w:rPr>
        <w:t>who</w:t>
      </w:r>
      <w:r w:rsidR="00546080" w:rsidRPr="00A472FC">
        <w:rPr>
          <w:rFonts w:ascii="Times New Roman" w:hAnsi="Times New Roman" w:cs="Times New Roman"/>
        </w:rPr>
        <w:t xml:space="preserve"> </w:t>
      </w:r>
      <w:r w:rsidR="00DA3C12" w:rsidRPr="00A472FC">
        <w:rPr>
          <w:rFonts w:ascii="Times New Roman" w:hAnsi="Times New Roman" w:cs="Times New Roman"/>
        </w:rPr>
        <w:t xml:space="preserve">carefully </w:t>
      </w:r>
      <w:r w:rsidR="00546080" w:rsidRPr="00A472FC">
        <w:rPr>
          <w:rFonts w:ascii="Times New Roman" w:hAnsi="Times New Roman" w:cs="Times New Roman"/>
        </w:rPr>
        <w:t>check</w:t>
      </w:r>
      <w:r w:rsidR="00173401" w:rsidRPr="00A472FC">
        <w:rPr>
          <w:rFonts w:ascii="Times New Roman" w:hAnsi="Times New Roman" w:cs="Times New Roman"/>
        </w:rPr>
        <w:t>ed</w:t>
      </w:r>
      <w:r w:rsidR="00513743" w:rsidRPr="00A472FC">
        <w:rPr>
          <w:rFonts w:ascii="Times New Roman" w:hAnsi="Times New Roman" w:cs="Times New Roman"/>
        </w:rPr>
        <w:t xml:space="preserve"> </w:t>
      </w:r>
      <w:r w:rsidR="00546080" w:rsidRPr="00A472FC">
        <w:rPr>
          <w:rFonts w:ascii="Times New Roman" w:hAnsi="Times New Roman" w:cs="Times New Roman"/>
        </w:rPr>
        <w:t>the footnotes, bibliography, and other technical aspects of the text.</w:t>
      </w:r>
      <w:r w:rsidR="00B668EB" w:rsidRPr="00A472FC">
        <w:rPr>
          <w:rFonts w:ascii="Times New Roman" w:hAnsi="Times New Roman" w:cs="Times New Roman"/>
        </w:rPr>
        <w:t xml:space="preserve"> My husband, Johannes </w:t>
      </w:r>
      <w:proofErr w:type="spellStart"/>
      <w:r w:rsidR="00B668EB" w:rsidRPr="00A472FC">
        <w:rPr>
          <w:rFonts w:ascii="Times New Roman" w:hAnsi="Times New Roman" w:cs="Times New Roman"/>
        </w:rPr>
        <w:t>Zachhuber</w:t>
      </w:r>
      <w:proofErr w:type="spellEnd"/>
      <w:r w:rsidR="00B668EB" w:rsidRPr="00A472FC">
        <w:rPr>
          <w:rFonts w:ascii="Times New Roman" w:hAnsi="Times New Roman" w:cs="Times New Roman"/>
        </w:rPr>
        <w:t xml:space="preserve">, </w:t>
      </w:r>
      <w:r w:rsidR="00173401" w:rsidRPr="00A472FC">
        <w:rPr>
          <w:rFonts w:ascii="Times New Roman" w:hAnsi="Times New Roman" w:cs="Times New Roman"/>
        </w:rPr>
        <w:t xml:space="preserve">gave me the idea </w:t>
      </w:r>
      <w:r w:rsidR="00A009EC" w:rsidRPr="00A472FC">
        <w:rPr>
          <w:rFonts w:ascii="Times New Roman" w:hAnsi="Times New Roman" w:cs="Times New Roman"/>
        </w:rPr>
        <w:t>for</w:t>
      </w:r>
      <w:r w:rsidR="00173401" w:rsidRPr="00A472FC">
        <w:rPr>
          <w:rFonts w:ascii="Times New Roman" w:hAnsi="Times New Roman" w:cs="Times New Roman"/>
        </w:rPr>
        <w:t xml:space="preserve"> the title</w:t>
      </w:r>
      <w:r w:rsidR="002170D2" w:rsidRPr="00A472FC">
        <w:rPr>
          <w:rFonts w:ascii="Times New Roman" w:hAnsi="Times New Roman" w:cs="Times New Roman"/>
        </w:rPr>
        <w:t xml:space="preserve"> </w:t>
      </w:r>
      <w:r w:rsidR="0078557F" w:rsidRPr="00A472FC">
        <w:rPr>
          <w:rFonts w:ascii="Times New Roman" w:hAnsi="Times New Roman" w:cs="Times New Roman"/>
        </w:rPr>
        <w:t xml:space="preserve">and read the </w:t>
      </w:r>
      <w:r w:rsidR="00B668EB" w:rsidRPr="00A472FC">
        <w:rPr>
          <w:rFonts w:ascii="Times New Roman" w:hAnsi="Times New Roman" w:cs="Times New Roman"/>
        </w:rPr>
        <w:t>entire manuscript</w:t>
      </w:r>
      <w:r w:rsidR="0078557F" w:rsidRPr="00A472FC">
        <w:rPr>
          <w:rFonts w:ascii="Times New Roman" w:hAnsi="Times New Roman" w:cs="Times New Roman"/>
        </w:rPr>
        <w:t>, commenting on it</w:t>
      </w:r>
      <w:r w:rsidR="00B668EB" w:rsidRPr="00A472FC">
        <w:rPr>
          <w:rFonts w:ascii="Times New Roman" w:hAnsi="Times New Roman" w:cs="Times New Roman"/>
        </w:rPr>
        <w:t xml:space="preserve"> </w:t>
      </w:r>
      <w:r w:rsidR="0038203B" w:rsidRPr="00A472FC">
        <w:rPr>
          <w:rFonts w:ascii="Times New Roman" w:hAnsi="Times New Roman" w:cs="Times New Roman"/>
        </w:rPr>
        <w:t xml:space="preserve">with </w:t>
      </w:r>
      <w:r w:rsidR="004F7491" w:rsidRPr="00A472FC">
        <w:rPr>
          <w:rFonts w:ascii="Times New Roman" w:hAnsi="Times New Roman" w:cs="Times New Roman"/>
        </w:rPr>
        <w:t>his characteristic</w:t>
      </w:r>
      <w:r w:rsidR="0073264F" w:rsidRPr="00A472FC">
        <w:rPr>
          <w:rFonts w:ascii="Times New Roman" w:hAnsi="Times New Roman" w:cs="Times New Roman"/>
        </w:rPr>
        <w:t xml:space="preserve"> </w:t>
      </w:r>
      <w:r w:rsidR="0038203B" w:rsidRPr="00A472FC">
        <w:rPr>
          <w:rFonts w:ascii="Times New Roman" w:hAnsi="Times New Roman" w:cs="Times New Roman"/>
        </w:rPr>
        <w:t xml:space="preserve">acuity and intelligence. </w:t>
      </w:r>
      <w:r w:rsidR="00C26640" w:rsidRPr="00A472FC">
        <w:rPr>
          <w:rFonts w:ascii="Times New Roman" w:hAnsi="Times New Roman" w:cs="Times New Roman"/>
        </w:rPr>
        <w:t>Throughout</w:t>
      </w:r>
      <w:r w:rsidR="00EB68B0" w:rsidRPr="00A472FC">
        <w:rPr>
          <w:rFonts w:ascii="Times New Roman" w:hAnsi="Times New Roman" w:cs="Times New Roman"/>
        </w:rPr>
        <w:t xml:space="preserve"> the writing process, moreover</w:t>
      </w:r>
      <w:r w:rsidR="00C26640" w:rsidRPr="00A472FC">
        <w:rPr>
          <w:rFonts w:ascii="Times New Roman" w:hAnsi="Times New Roman" w:cs="Times New Roman"/>
        </w:rPr>
        <w:t xml:space="preserve">, he lit </w:t>
      </w:r>
      <w:r w:rsidR="00B668EB" w:rsidRPr="00A472FC">
        <w:rPr>
          <w:rFonts w:ascii="Times New Roman" w:hAnsi="Times New Roman" w:cs="Times New Roman"/>
        </w:rPr>
        <w:t xml:space="preserve">up my life with his love and his presence and the joy and happiness it brings me every day. </w:t>
      </w:r>
      <w:r w:rsidR="00A976C2" w:rsidRPr="00A472FC">
        <w:rPr>
          <w:rFonts w:ascii="Times New Roman" w:hAnsi="Times New Roman" w:cs="Times New Roman"/>
        </w:rPr>
        <w:t>Ultimately, I dedicate this work to my mother,</w:t>
      </w:r>
      <w:r w:rsidR="009E09A2" w:rsidRPr="00A472FC">
        <w:rPr>
          <w:rFonts w:ascii="Times New Roman" w:hAnsi="Times New Roman" w:cs="Times New Roman"/>
        </w:rPr>
        <w:t xml:space="preserve"> Pam Schumacher,</w:t>
      </w:r>
      <w:r w:rsidR="00A976C2" w:rsidRPr="00A472FC">
        <w:rPr>
          <w:rFonts w:ascii="Times New Roman" w:hAnsi="Times New Roman" w:cs="Times New Roman"/>
        </w:rPr>
        <w:t xml:space="preserve"> </w:t>
      </w:r>
      <w:r w:rsidR="00147718" w:rsidRPr="00A472FC">
        <w:rPr>
          <w:rFonts w:ascii="Times New Roman" w:hAnsi="Times New Roman" w:cs="Times New Roman"/>
        </w:rPr>
        <w:t xml:space="preserve">whose </w:t>
      </w:r>
      <w:r w:rsidR="00677B4D" w:rsidRPr="00A472FC">
        <w:rPr>
          <w:rFonts w:ascii="Times New Roman" w:hAnsi="Times New Roman" w:cs="Times New Roman"/>
        </w:rPr>
        <w:t>vision</w:t>
      </w:r>
      <w:r w:rsidR="00147718" w:rsidRPr="00A472FC">
        <w:rPr>
          <w:rFonts w:ascii="Times New Roman" w:hAnsi="Times New Roman" w:cs="Times New Roman"/>
        </w:rPr>
        <w:t xml:space="preserve">, character, and leadership has been an inspiration and example I have always aspired to emulate. </w:t>
      </w:r>
      <w:r w:rsidR="00031A73" w:rsidRPr="00A472FC">
        <w:rPr>
          <w:rFonts w:ascii="Times New Roman" w:hAnsi="Times New Roman" w:cs="Times New Roman"/>
        </w:rPr>
        <w:t>Throughout my life, she</w:t>
      </w:r>
      <w:r w:rsidR="00147718" w:rsidRPr="00A472FC">
        <w:rPr>
          <w:rFonts w:ascii="Times New Roman" w:hAnsi="Times New Roman" w:cs="Times New Roman"/>
        </w:rPr>
        <w:t xml:space="preserve"> has been my voice of reason, my confid</w:t>
      </w:r>
      <w:r w:rsidR="00745209" w:rsidRPr="00A472FC">
        <w:rPr>
          <w:rFonts w:ascii="Times New Roman" w:hAnsi="Times New Roman" w:cs="Times New Roman"/>
        </w:rPr>
        <w:t>a</w:t>
      </w:r>
      <w:r w:rsidR="00147718" w:rsidRPr="00A472FC">
        <w:rPr>
          <w:rFonts w:ascii="Times New Roman" w:hAnsi="Times New Roman" w:cs="Times New Roman"/>
        </w:rPr>
        <w:t xml:space="preserve">nt, an unfailing support, </w:t>
      </w:r>
      <w:r w:rsidR="006735C6">
        <w:rPr>
          <w:rFonts w:ascii="Times New Roman" w:hAnsi="Times New Roman" w:cs="Times New Roman"/>
        </w:rPr>
        <w:t xml:space="preserve">and friend, </w:t>
      </w:r>
      <w:r w:rsidR="00147718" w:rsidRPr="00A472FC">
        <w:rPr>
          <w:rFonts w:ascii="Times New Roman" w:hAnsi="Times New Roman" w:cs="Times New Roman"/>
        </w:rPr>
        <w:t>without w</w:t>
      </w:r>
      <w:r w:rsidR="00816CCB" w:rsidRPr="00A472FC">
        <w:rPr>
          <w:rFonts w:ascii="Times New Roman" w:hAnsi="Times New Roman" w:cs="Times New Roman"/>
        </w:rPr>
        <w:t>hom</w:t>
      </w:r>
      <w:r w:rsidR="00147718" w:rsidRPr="00A472FC">
        <w:rPr>
          <w:rFonts w:ascii="Times New Roman" w:hAnsi="Times New Roman" w:cs="Times New Roman"/>
        </w:rPr>
        <w:t xml:space="preserve"> I would </w:t>
      </w:r>
      <w:r w:rsidR="00816CCB" w:rsidRPr="00A472FC">
        <w:rPr>
          <w:rFonts w:ascii="Times New Roman" w:hAnsi="Times New Roman" w:cs="Times New Roman"/>
        </w:rPr>
        <w:t xml:space="preserve">simply </w:t>
      </w:r>
      <w:r w:rsidR="00BC39C9" w:rsidRPr="00A472FC">
        <w:rPr>
          <w:rFonts w:ascii="Times New Roman" w:hAnsi="Times New Roman" w:cs="Times New Roman"/>
        </w:rPr>
        <w:t>not have made it to where I am today</w:t>
      </w:r>
      <w:r w:rsidR="00147718" w:rsidRPr="00A472FC">
        <w:rPr>
          <w:rFonts w:ascii="Times New Roman" w:hAnsi="Times New Roman" w:cs="Times New Roman"/>
        </w:rPr>
        <w:t xml:space="preserve">. The truism is nonetheless true that – despite all the personal and </w:t>
      </w:r>
      <w:r w:rsidR="00DD26C7" w:rsidRPr="00A472FC">
        <w:rPr>
          <w:rFonts w:ascii="Times New Roman" w:hAnsi="Times New Roman" w:cs="Times New Roman"/>
        </w:rPr>
        <w:t xml:space="preserve">collegial </w:t>
      </w:r>
      <w:r w:rsidR="00147718" w:rsidRPr="00A472FC">
        <w:rPr>
          <w:rFonts w:ascii="Times New Roman" w:hAnsi="Times New Roman" w:cs="Times New Roman"/>
        </w:rPr>
        <w:t>support I have received – oversights and shortcomings remain in this as</w:t>
      </w:r>
      <w:r w:rsidR="00856968" w:rsidRPr="00A472FC">
        <w:rPr>
          <w:rFonts w:ascii="Times New Roman" w:hAnsi="Times New Roman" w:cs="Times New Roman"/>
        </w:rPr>
        <w:t xml:space="preserve"> in</w:t>
      </w:r>
      <w:r w:rsidR="00147718" w:rsidRPr="00A472FC">
        <w:rPr>
          <w:rFonts w:ascii="Times New Roman" w:hAnsi="Times New Roman" w:cs="Times New Roman"/>
        </w:rPr>
        <w:t xml:space="preserve"> any work—and these, I am </w:t>
      </w:r>
      <w:r w:rsidR="00535CC2" w:rsidRPr="00A472FC">
        <w:rPr>
          <w:rFonts w:ascii="Times New Roman" w:hAnsi="Times New Roman" w:cs="Times New Roman"/>
        </w:rPr>
        <w:t>all to</w:t>
      </w:r>
      <w:r w:rsidR="0073264F" w:rsidRPr="00A472FC">
        <w:rPr>
          <w:rFonts w:ascii="Times New Roman" w:hAnsi="Times New Roman" w:cs="Times New Roman"/>
        </w:rPr>
        <w:t>o</w:t>
      </w:r>
      <w:r w:rsidR="00535CC2" w:rsidRPr="00A472FC">
        <w:rPr>
          <w:rFonts w:ascii="Times New Roman" w:hAnsi="Times New Roman" w:cs="Times New Roman"/>
        </w:rPr>
        <w:t xml:space="preserve"> painfully</w:t>
      </w:r>
      <w:r w:rsidR="00147718" w:rsidRPr="00A472FC">
        <w:rPr>
          <w:rFonts w:ascii="Times New Roman" w:hAnsi="Times New Roman" w:cs="Times New Roman"/>
        </w:rPr>
        <w:t xml:space="preserve"> aware, are entirely </w:t>
      </w:r>
      <w:r w:rsidR="00F57462" w:rsidRPr="00A472FC">
        <w:rPr>
          <w:rFonts w:ascii="Times New Roman" w:hAnsi="Times New Roman" w:cs="Times New Roman"/>
        </w:rPr>
        <w:t>attributable to</w:t>
      </w:r>
      <w:r w:rsidR="00C839ED" w:rsidRPr="00A472FC">
        <w:rPr>
          <w:rFonts w:ascii="Times New Roman" w:hAnsi="Times New Roman" w:cs="Times New Roman"/>
        </w:rPr>
        <w:t xml:space="preserve"> me.</w:t>
      </w:r>
      <w:r w:rsidR="00147718" w:rsidRPr="00A472FC">
        <w:rPr>
          <w:rFonts w:ascii="Times New Roman" w:hAnsi="Times New Roman" w:cs="Times New Roman"/>
        </w:rPr>
        <w:t xml:space="preserve"> </w:t>
      </w:r>
    </w:p>
    <w:p w14:paraId="39805FE3" w14:textId="77777777" w:rsidR="002B2E14" w:rsidRPr="00A472FC" w:rsidRDefault="002B2E14" w:rsidP="007A4CF1">
      <w:pPr>
        <w:rPr>
          <w:rFonts w:ascii="Times New Roman" w:hAnsi="Times New Roman" w:cs="Times New Roman"/>
        </w:rPr>
      </w:pPr>
    </w:p>
    <w:p w14:paraId="1B038F7E" w14:textId="77777777" w:rsidR="0035494F" w:rsidRPr="00A472FC" w:rsidRDefault="0035494F">
      <w:pPr>
        <w:rPr>
          <w:rFonts w:ascii="Times New Roman" w:hAnsi="Times New Roman" w:cs="Times New Roman"/>
          <w:b/>
          <w:bCs/>
        </w:rPr>
      </w:pPr>
      <w:r w:rsidRPr="00A472FC">
        <w:rPr>
          <w:rFonts w:ascii="Times New Roman" w:hAnsi="Times New Roman" w:cs="Times New Roman"/>
          <w:b/>
          <w:bCs/>
        </w:rPr>
        <w:br w:type="page"/>
      </w:r>
    </w:p>
    <w:p w14:paraId="3D32B16D" w14:textId="74953447" w:rsidR="00926276" w:rsidRPr="00A472FC" w:rsidRDefault="00926276" w:rsidP="007A4CF1">
      <w:pPr>
        <w:jc w:val="center"/>
        <w:rPr>
          <w:rFonts w:ascii="Times New Roman" w:hAnsi="Times New Roman" w:cs="Times New Roman"/>
          <w:b/>
          <w:bCs/>
        </w:rPr>
      </w:pPr>
      <w:r w:rsidRPr="00A472FC">
        <w:rPr>
          <w:rFonts w:ascii="Times New Roman" w:hAnsi="Times New Roman" w:cs="Times New Roman"/>
          <w:b/>
          <w:bCs/>
        </w:rPr>
        <w:lastRenderedPageBreak/>
        <w:t xml:space="preserve">Key to </w:t>
      </w:r>
      <w:r w:rsidRPr="00A472FC">
        <w:rPr>
          <w:rFonts w:ascii="Times New Roman" w:hAnsi="Times New Roman" w:cs="Times New Roman"/>
          <w:b/>
          <w:bCs/>
          <w:i/>
          <w:iCs/>
        </w:rPr>
        <w:t xml:space="preserve">Summa </w:t>
      </w:r>
      <w:proofErr w:type="spellStart"/>
      <w:r w:rsidRPr="00A472FC">
        <w:rPr>
          <w:rFonts w:ascii="Times New Roman" w:hAnsi="Times New Roman" w:cs="Times New Roman"/>
          <w:b/>
          <w:bCs/>
          <w:i/>
          <w:iCs/>
        </w:rPr>
        <w:t>Halensis</w:t>
      </w:r>
      <w:proofErr w:type="spellEnd"/>
      <w:r w:rsidRPr="00A472FC">
        <w:rPr>
          <w:rFonts w:ascii="Times New Roman" w:hAnsi="Times New Roman" w:cs="Times New Roman"/>
          <w:b/>
          <w:bCs/>
          <w:i/>
          <w:iCs/>
        </w:rPr>
        <w:t xml:space="preserve"> </w:t>
      </w:r>
      <w:r w:rsidRPr="00A472FC">
        <w:rPr>
          <w:rFonts w:ascii="Times New Roman" w:hAnsi="Times New Roman" w:cs="Times New Roman"/>
          <w:b/>
          <w:bCs/>
          <w:iCs/>
        </w:rPr>
        <w:t>Citations</w:t>
      </w:r>
    </w:p>
    <w:p w14:paraId="5CCD7DEF" w14:textId="77777777" w:rsidR="00926276" w:rsidRPr="00A472FC" w:rsidRDefault="00926276" w:rsidP="00881604">
      <w:pPr>
        <w:ind w:right="-52"/>
        <w:jc w:val="both"/>
        <w:rPr>
          <w:rFonts w:ascii="Times New Roman" w:hAnsi="Times New Roman" w:cs="Times New Roman"/>
        </w:rPr>
      </w:pPr>
    </w:p>
    <w:p w14:paraId="17F58BA9" w14:textId="77777777" w:rsidR="00D90F2A" w:rsidRPr="00A472FC" w:rsidRDefault="00D90F2A" w:rsidP="00881604">
      <w:pPr>
        <w:ind w:right="-52"/>
        <w:jc w:val="both"/>
        <w:rPr>
          <w:rFonts w:ascii="Times New Roman" w:hAnsi="Times New Roman" w:cs="Times New Roman"/>
        </w:rPr>
      </w:pPr>
    </w:p>
    <w:p w14:paraId="526523C6" w14:textId="5EC6D793" w:rsidR="00926276" w:rsidRPr="00A472FC" w:rsidRDefault="00926276" w:rsidP="00881604">
      <w:pPr>
        <w:ind w:right="-52"/>
        <w:jc w:val="both"/>
        <w:rPr>
          <w:rFonts w:ascii="Times New Roman" w:hAnsi="Times New Roman" w:cs="Times New Roman"/>
        </w:rPr>
      </w:pPr>
      <w:r w:rsidRPr="00A472FC">
        <w:rPr>
          <w:rFonts w:ascii="Times New Roman" w:hAnsi="Times New Roman" w:cs="Times New Roman"/>
        </w:rPr>
        <w:t xml:space="preserve">When citing the </w:t>
      </w:r>
      <w:proofErr w:type="spellStart"/>
      <w:r w:rsidRPr="00A472FC">
        <w:rPr>
          <w:rFonts w:ascii="Times New Roman" w:hAnsi="Times New Roman" w:cs="Times New Roman"/>
        </w:rPr>
        <w:t>Quaracchi</w:t>
      </w:r>
      <w:proofErr w:type="spellEnd"/>
      <w:r w:rsidRPr="00A472FC">
        <w:rPr>
          <w:rFonts w:ascii="Times New Roman" w:hAnsi="Times New Roman" w:cs="Times New Roman"/>
        </w:rPr>
        <w:t xml:space="preserve"> edition of the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rPr>
        <w:t xml:space="preserve">, I have adopted </w:t>
      </w:r>
      <w:r w:rsidR="002D7ED2" w:rsidRPr="00A472FC">
        <w:rPr>
          <w:rFonts w:ascii="Times New Roman" w:hAnsi="Times New Roman" w:cs="Times New Roman"/>
        </w:rPr>
        <w:t>the following</w:t>
      </w:r>
      <w:r w:rsidRPr="00A472FC">
        <w:rPr>
          <w:rFonts w:ascii="Times New Roman" w:hAnsi="Times New Roman" w:cs="Times New Roman"/>
        </w:rPr>
        <w:t xml:space="preserve"> method of citing the text</w:t>
      </w:r>
      <w:r w:rsidR="002D7ED2" w:rsidRPr="00A472FC">
        <w:rPr>
          <w:rFonts w:ascii="Times New Roman" w:hAnsi="Times New Roman" w:cs="Times New Roman"/>
        </w:rPr>
        <w:t xml:space="preserve">, which was outlined with the assistance of Dr Simon Maria </w:t>
      </w:r>
      <w:proofErr w:type="spellStart"/>
      <w:r w:rsidR="002D7ED2" w:rsidRPr="00A472FC">
        <w:rPr>
          <w:rFonts w:ascii="Times New Roman" w:hAnsi="Times New Roman" w:cs="Times New Roman"/>
        </w:rPr>
        <w:t>Kopf</w:t>
      </w:r>
      <w:proofErr w:type="spellEnd"/>
      <w:r w:rsidR="002D7ED2" w:rsidRPr="00A472FC">
        <w:rPr>
          <w:rFonts w:ascii="Times New Roman" w:hAnsi="Times New Roman" w:cs="Times New Roman"/>
        </w:rPr>
        <w:t>:</w:t>
      </w:r>
    </w:p>
    <w:p w14:paraId="0D1A36A1" w14:textId="77777777" w:rsidR="00926276" w:rsidRPr="00A472FC" w:rsidRDefault="00926276" w:rsidP="00881604">
      <w:pPr>
        <w:ind w:right="-52"/>
        <w:jc w:val="both"/>
        <w:rPr>
          <w:rFonts w:ascii="Times New Roman" w:hAnsi="Times New Roman" w:cs="Times New Roman"/>
        </w:rPr>
      </w:pPr>
    </w:p>
    <w:p w14:paraId="41AE6DD8" w14:textId="5B496BFF" w:rsidR="00926276" w:rsidRPr="00A472FC" w:rsidRDefault="00926276" w:rsidP="00881604">
      <w:pPr>
        <w:ind w:left="720" w:right="-52"/>
        <w:jc w:val="both"/>
        <w:rPr>
          <w:rFonts w:ascii="Times New Roman" w:hAnsi="Times New Roman" w:cs="Times New Roman"/>
        </w:rPr>
      </w:pPr>
      <w:r w:rsidRPr="00A472FC">
        <w:rPr>
          <w:rFonts w:ascii="Times New Roman" w:hAnsi="Times New Roman" w:cs="Times New Roman"/>
          <w:iCs/>
        </w:rPr>
        <w:t>Alexander of Hales,</w:t>
      </w:r>
      <w:r w:rsidRPr="00A472FC">
        <w:rPr>
          <w:rFonts w:ascii="Times New Roman" w:hAnsi="Times New Roman" w:cs="Times New Roman"/>
          <w:i/>
          <w:iCs/>
        </w:rPr>
        <w:t xml:space="preserve"> </w:t>
      </w:r>
      <w:proofErr w:type="spellStart"/>
      <w:r w:rsidRPr="00A472FC">
        <w:rPr>
          <w:rFonts w:ascii="Times New Roman" w:hAnsi="Times New Roman" w:cs="Times New Roman"/>
          <w:i/>
          <w:iCs/>
        </w:rPr>
        <w:t>Doctoris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irrefragabilis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Alexandri</w:t>
      </w:r>
      <w:proofErr w:type="spellEnd"/>
      <w:r w:rsidRPr="00A472FC">
        <w:rPr>
          <w:rFonts w:ascii="Times New Roman" w:hAnsi="Times New Roman" w:cs="Times New Roman"/>
          <w:i/>
          <w:iCs/>
        </w:rPr>
        <w:t xml:space="preserve"> de Hales </w:t>
      </w:r>
      <w:proofErr w:type="spellStart"/>
      <w:r w:rsidRPr="00A472FC">
        <w:rPr>
          <w:rFonts w:ascii="Times New Roman" w:hAnsi="Times New Roman" w:cs="Times New Roman"/>
          <w:i/>
          <w:iCs/>
        </w:rPr>
        <w:t>Ordinis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minorum</w:t>
      </w:r>
      <w:proofErr w:type="spellEnd"/>
      <w:r w:rsidRPr="00A472FC">
        <w:rPr>
          <w:rFonts w:ascii="Times New Roman" w:hAnsi="Times New Roman" w:cs="Times New Roman"/>
          <w:i/>
          <w:iCs/>
        </w:rPr>
        <w:t xml:space="preserve"> Summa </w:t>
      </w:r>
      <w:proofErr w:type="spellStart"/>
      <w:r w:rsidRPr="00A472FC">
        <w:rPr>
          <w:rFonts w:ascii="Times New Roman" w:hAnsi="Times New Roman" w:cs="Times New Roman"/>
          <w:i/>
          <w:iCs/>
        </w:rPr>
        <w:t>theologica</w:t>
      </w:r>
      <w:proofErr w:type="spellEnd"/>
      <w:r w:rsidRPr="00A472FC">
        <w:rPr>
          <w:rFonts w:ascii="Times New Roman" w:hAnsi="Times New Roman" w:cs="Times New Roman"/>
          <w:i/>
          <w:iCs/>
        </w:rPr>
        <w:t xml:space="preserve"> </w:t>
      </w:r>
      <w:r w:rsidRPr="00A472FC">
        <w:rPr>
          <w:rFonts w:ascii="Times New Roman" w:hAnsi="Times New Roman" w:cs="Times New Roman"/>
        </w:rPr>
        <w:t>(</w:t>
      </w:r>
      <w:r w:rsidRPr="00A472FC">
        <w:rPr>
          <w:rFonts w:ascii="Times New Roman" w:hAnsi="Times New Roman" w:cs="Times New Roman"/>
          <w:i/>
          <w:iCs/>
        </w:rPr>
        <w:t>SH</w:t>
      </w:r>
      <w:r w:rsidRPr="00A472FC">
        <w:rPr>
          <w:rFonts w:ascii="Times New Roman" w:hAnsi="Times New Roman" w:cs="Times New Roman"/>
        </w:rPr>
        <w:t xml:space="preserve">), 4 </w:t>
      </w:r>
      <w:proofErr w:type="spellStart"/>
      <w:r w:rsidRPr="00A472FC">
        <w:rPr>
          <w:rFonts w:ascii="Times New Roman" w:hAnsi="Times New Roman" w:cs="Times New Roman"/>
        </w:rPr>
        <w:t>vols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Quaracchi</w:t>
      </w:r>
      <w:proofErr w:type="spellEnd"/>
      <w:r w:rsidRPr="00A472FC">
        <w:rPr>
          <w:rFonts w:ascii="Times New Roman" w:hAnsi="Times New Roman" w:cs="Times New Roman"/>
        </w:rPr>
        <w:t xml:space="preserve">: Collegium S. Bonaventurae, 1924-48), </w:t>
      </w:r>
      <w:r w:rsidR="00892204" w:rsidRPr="00A472FC">
        <w:rPr>
          <w:rFonts w:ascii="Times New Roman" w:hAnsi="Times New Roman" w:cs="Times New Roman"/>
        </w:rPr>
        <w:t>L</w:t>
      </w:r>
      <w:r w:rsidR="00A56031" w:rsidRPr="00A472FC">
        <w:rPr>
          <w:rFonts w:ascii="Times New Roman" w:hAnsi="Times New Roman" w:cs="Times New Roman"/>
        </w:rPr>
        <w:t>3</w:t>
      </w:r>
      <w:r w:rsidR="00942D1D" w:rsidRPr="00A472FC">
        <w:rPr>
          <w:rFonts w:ascii="Times New Roman" w:hAnsi="Times New Roman" w:cs="Times New Roman"/>
        </w:rPr>
        <w:t>,</w:t>
      </w:r>
      <w:r w:rsidRPr="00A472FC">
        <w:rPr>
          <w:rFonts w:ascii="Times New Roman" w:hAnsi="Times New Roman" w:cs="Times New Roman"/>
        </w:rPr>
        <w:t xml:space="preserve"> In2, Tr2, S2, Q1, Ti1, C7, Ar3, Pr1, Pa2</w:t>
      </w:r>
      <w:r w:rsidR="00D772DA" w:rsidRPr="00A472FC">
        <w:rPr>
          <w:rFonts w:ascii="Times New Roman" w:hAnsi="Times New Roman" w:cs="Times New Roman"/>
        </w:rPr>
        <w:t xml:space="preserve">, </w:t>
      </w:r>
      <w:proofErr w:type="spellStart"/>
      <w:r w:rsidRPr="00A472FC">
        <w:rPr>
          <w:rFonts w:ascii="Times New Roman" w:hAnsi="Times New Roman" w:cs="Times New Roman"/>
        </w:rPr>
        <w:t>Solutio</w:t>
      </w:r>
      <w:proofErr w:type="spellEnd"/>
      <w:r w:rsidRPr="00A472FC">
        <w:rPr>
          <w:rFonts w:ascii="Times New Roman" w:hAnsi="Times New Roman" w:cs="Times New Roman"/>
        </w:rPr>
        <w:t>, p. 179.</w:t>
      </w:r>
    </w:p>
    <w:p w14:paraId="5BB8C984" w14:textId="77777777" w:rsidR="00926276" w:rsidRPr="00A472FC" w:rsidRDefault="00926276" w:rsidP="00881604">
      <w:pPr>
        <w:ind w:left="720" w:right="-52"/>
        <w:jc w:val="both"/>
        <w:rPr>
          <w:rFonts w:ascii="Times New Roman" w:hAnsi="Times New Roman" w:cs="Times New Roman"/>
        </w:rPr>
      </w:pPr>
    </w:p>
    <w:p w14:paraId="5B17A2D2" w14:textId="42BEC5FF" w:rsidR="00926276" w:rsidRPr="00A472FC" w:rsidRDefault="00926276" w:rsidP="00881604">
      <w:pPr>
        <w:ind w:right="-52"/>
        <w:rPr>
          <w:rFonts w:ascii="Times New Roman" w:hAnsi="Times New Roman" w:cs="Times New Roman"/>
        </w:rPr>
      </w:pPr>
      <w:r w:rsidRPr="00A472FC">
        <w:rPr>
          <w:rFonts w:ascii="Times New Roman" w:hAnsi="Times New Roman" w:cs="Times New Roman"/>
        </w:rPr>
        <w:t xml:space="preserve">The relevant text divisions of the </w:t>
      </w:r>
      <w:proofErr w:type="spellStart"/>
      <w:r w:rsidRPr="00A472FC">
        <w:rPr>
          <w:rFonts w:ascii="Times New Roman" w:hAnsi="Times New Roman" w:cs="Times New Roman"/>
        </w:rPr>
        <w:t>Quaracchi</w:t>
      </w:r>
      <w:proofErr w:type="spellEnd"/>
      <w:r w:rsidRPr="00A472FC">
        <w:rPr>
          <w:rFonts w:ascii="Times New Roman" w:hAnsi="Times New Roman" w:cs="Times New Roman"/>
        </w:rPr>
        <w:t xml:space="preserve"> edition include, in the following order:</w:t>
      </w:r>
    </w:p>
    <w:p w14:paraId="2BBEA8D2" w14:textId="77777777" w:rsidR="00E50C37" w:rsidRPr="00A472FC" w:rsidRDefault="00E50C37" w:rsidP="00881604">
      <w:pPr>
        <w:ind w:right="-52"/>
        <w:rPr>
          <w:rFonts w:ascii="Times New Roman" w:hAnsi="Times New Roman" w:cs="Times New Roman"/>
        </w:rPr>
      </w:pPr>
    </w:p>
    <w:p w14:paraId="3F4C484A" w14:textId="1BDC83CD" w:rsidR="007B5658" w:rsidRPr="00A472FC" w:rsidRDefault="001939A0" w:rsidP="002D7ED2">
      <w:pPr>
        <w:ind w:right="-52"/>
        <w:rPr>
          <w:rFonts w:ascii="Times New Roman" w:hAnsi="Times New Roman" w:cs="Times New Roman"/>
        </w:rPr>
      </w:pPr>
      <w:r w:rsidRPr="00A472FC">
        <w:rPr>
          <w:rFonts w:ascii="Times New Roman" w:hAnsi="Times New Roman" w:cs="Times New Roman"/>
        </w:rPr>
        <w:t xml:space="preserve">L – Liber </w:t>
      </w:r>
      <w:r w:rsidR="00926276" w:rsidRPr="00A472FC">
        <w:rPr>
          <w:rFonts w:ascii="Times New Roman" w:hAnsi="Times New Roman" w:cs="Times New Roman"/>
        </w:rPr>
        <w:br/>
        <w:t>P – Part (</w:t>
      </w:r>
      <w:r w:rsidR="00926276" w:rsidRPr="00A472FC">
        <w:rPr>
          <w:rFonts w:ascii="Times New Roman" w:hAnsi="Times New Roman" w:cs="Times New Roman"/>
          <w:i/>
          <w:iCs/>
        </w:rPr>
        <w:t>pars</w:t>
      </w:r>
      <w:r w:rsidR="00926276" w:rsidRPr="00A472FC">
        <w:rPr>
          <w:rFonts w:ascii="Times New Roman" w:hAnsi="Times New Roman" w:cs="Times New Roman"/>
        </w:rPr>
        <w:t>)</w:t>
      </w:r>
      <w:r w:rsidR="00926276" w:rsidRPr="00A472FC">
        <w:rPr>
          <w:rFonts w:ascii="Times New Roman" w:hAnsi="Times New Roman" w:cs="Times New Roman"/>
        </w:rPr>
        <w:br/>
        <w:t>In – Inquiry (</w:t>
      </w:r>
      <w:proofErr w:type="spellStart"/>
      <w:r w:rsidR="00926276" w:rsidRPr="00A472FC">
        <w:rPr>
          <w:rFonts w:ascii="Times New Roman" w:hAnsi="Times New Roman" w:cs="Times New Roman"/>
          <w:i/>
          <w:iCs/>
        </w:rPr>
        <w:t>inquisitio</w:t>
      </w:r>
      <w:proofErr w:type="spellEnd"/>
      <w:r w:rsidR="00926276" w:rsidRPr="00A472FC">
        <w:rPr>
          <w:rFonts w:ascii="Times New Roman" w:hAnsi="Times New Roman" w:cs="Times New Roman"/>
        </w:rPr>
        <w:t>)</w:t>
      </w:r>
      <w:r w:rsidR="00926276" w:rsidRPr="00A472FC">
        <w:rPr>
          <w:rFonts w:ascii="Times New Roman" w:hAnsi="Times New Roman" w:cs="Times New Roman"/>
        </w:rPr>
        <w:br/>
        <w:t>Tr – Tract (</w:t>
      </w:r>
      <w:proofErr w:type="spellStart"/>
      <w:r w:rsidR="00926276" w:rsidRPr="00A472FC">
        <w:rPr>
          <w:rFonts w:ascii="Times New Roman" w:hAnsi="Times New Roman" w:cs="Times New Roman"/>
          <w:i/>
          <w:iCs/>
        </w:rPr>
        <w:t>tractatus</w:t>
      </w:r>
      <w:proofErr w:type="spellEnd"/>
      <w:r w:rsidR="00926276" w:rsidRPr="00A472FC">
        <w:rPr>
          <w:rFonts w:ascii="Times New Roman" w:hAnsi="Times New Roman" w:cs="Times New Roman"/>
        </w:rPr>
        <w:t>)</w:t>
      </w:r>
      <w:r w:rsidR="00926276" w:rsidRPr="00A472FC">
        <w:rPr>
          <w:rFonts w:ascii="Times New Roman" w:hAnsi="Times New Roman" w:cs="Times New Roman"/>
        </w:rPr>
        <w:br/>
        <w:t>S – Section (</w:t>
      </w:r>
      <w:proofErr w:type="spellStart"/>
      <w:r w:rsidR="00926276" w:rsidRPr="00A472FC">
        <w:rPr>
          <w:rFonts w:ascii="Times New Roman" w:hAnsi="Times New Roman" w:cs="Times New Roman"/>
          <w:i/>
          <w:iCs/>
        </w:rPr>
        <w:t>sectio</w:t>
      </w:r>
      <w:proofErr w:type="spellEnd"/>
      <w:r w:rsidR="00926276" w:rsidRPr="00A472FC">
        <w:rPr>
          <w:rFonts w:ascii="Times New Roman" w:hAnsi="Times New Roman" w:cs="Times New Roman"/>
        </w:rPr>
        <w:t>)</w:t>
      </w:r>
      <w:r w:rsidR="00926276" w:rsidRPr="00A472FC">
        <w:rPr>
          <w:rFonts w:ascii="Times New Roman" w:hAnsi="Times New Roman" w:cs="Times New Roman"/>
        </w:rPr>
        <w:br/>
        <w:t>Q – Question (</w:t>
      </w:r>
      <w:proofErr w:type="spellStart"/>
      <w:r w:rsidR="00926276" w:rsidRPr="00A472FC">
        <w:rPr>
          <w:rFonts w:ascii="Times New Roman" w:hAnsi="Times New Roman" w:cs="Times New Roman"/>
          <w:i/>
          <w:iCs/>
        </w:rPr>
        <w:t>quaestio</w:t>
      </w:r>
      <w:proofErr w:type="spellEnd"/>
      <w:r w:rsidR="00926276" w:rsidRPr="00A472FC">
        <w:rPr>
          <w:rFonts w:ascii="Times New Roman" w:hAnsi="Times New Roman" w:cs="Times New Roman"/>
        </w:rPr>
        <w:t>)</w:t>
      </w:r>
      <w:r w:rsidR="00926276" w:rsidRPr="00A472FC">
        <w:rPr>
          <w:rFonts w:ascii="Times New Roman" w:hAnsi="Times New Roman" w:cs="Times New Roman"/>
        </w:rPr>
        <w:br/>
        <w:t>Ti – Title (</w:t>
      </w:r>
      <w:proofErr w:type="spellStart"/>
      <w:r w:rsidR="00926276" w:rsidRPr="00A472FC">
        <w:rPr>
          <w:rFonts w:ascii="Times New Roman" w:hAnsi="Times New Roman" w:cs="Times New Roman"/>
          <w:i/>
          <w:iCs/>
        </w:rPr>
        <w:t>titulus</w:t>
      </w:r>
      <w:proofErr w:type="spellEnd"/>
      <w:r w:rsidR="00926276" w:rsidRPr="00A472FC">
        <w:rPr>
          <w:rFonts w:ascii="Times New Roman" w:hAnsi="Times New Roman" w:cs="Times New Roman"/>
        </w:rPr>
        <w:t>)</w:t>
      </w:r>
      <w:r w:rsidR="00926276" w:rsidRPr="00A472FC">
        <w:rPr>
          <w:rFonts w:ascii="Times New Roman" w:hAnsi="Times New Roman" w:cs="Times New Roman"/>
        </w:rPr>
        <w:br/>
        <w:t>D – Distinction (</w:t>
      </w:r>
      <w:proofErr w:type="spellStart"/>
      <w:r w:rsidR="00926276" w:rsidRPr="00A472FC">
        <w:rPr>
          <w:rFonts w:ascii="Times New Roman" w:hAnsi="Times New Roman" w:cs="Times New Roman"/>
          <w:i/>
          <w:iCs/>
        </w:rPr>
        <w:t>distinctio</w:t>
      </w:r>
      <w:proofErr w:type="spellEnd"/>
      <w:r w:rsidR="00926276" w:rsidRPr="00A472FC">
        <w:rPr>
          <w:rFonts w:ascii="Times New Roman" w:hAnsi="Times New Roman" w:cs="Times New Roman"/>
        </w:rPr>
        <w:t>)</w:t>
      </w:r>
      <w:r w:rsidR="00926276" w:rsidRPr="00A472FC">
        <w:rPr>
          <w:rFonts w:ascii="Times New Roman" w:hAnsi="Times New Roman" w:cs="Times New Roman"/>
        </w:rPr>
        <w:br/>
        <w:t>M – Member (</w:t>
      </w:r>
      <w:proofErr w:type="spellStart"/>
      <w:r w:rsidR="00926276" w:rsidRPr="00A472FC">
        <w:rPr>
          <w:rFonts w:ascii="Times New Roman" w:hAnsi="Times New Roman" w:cs="Times New Roman"/>
          <w:i/>
          <w:iCs/>
        </w:rPr>
        <w:t>membrum</w:t>
      </w:r>
      <w:proofErr w:type="spellEnd"/>
      <w:r w:rsidR="00926276" w:rsidRPr="00A472FC">
        <w:rPr>
          <w:rFonts w:ascii="Times New Roman" w:hAnsi="Times New Roman" w:cs="Times New Roman"/>
        </w:rPr>
        <w:t>)</w:t>
      </w:r>
      <w:r w:rsidR="00926276" w:rsidRPr="00A472FC">
        <w:rPr>
          <w:rFonts w:ascii="Times New Roman" w:hAnsi="Times New Roman" w:cs="Times New Roman"/>
        </w:rPr>
        <w:br/>
        <w:t>C – Chapter (</w:t>
      </w:r>
      <w:r w:rsidR="00926276" w:rsidRPr="00A472FC">
        <w:rPr>
          <w:rFonts w:ascii="Times New Roman" w:hAnsi="Times New Roman" w:cs="Times New Roman"/>
          <w:i/>
          <w:iCs/>
        </w:rPr>
        <w:t>caput</w:t>
      </w:r>
      <w:r w:rsidR="00926276" w:rsidRPr="00A472FC">
        <w:rPr>
          <w:rFonts w:ascii="Times New Roman" w:hAnsi="Times New Roman" w:cs="Times New Roman"/>
        </w:rPr>
        <w:t>)</w:t>
      </w:r>
      <w:r w:rsidR="00926276" w:rsidRPr="00A472FC">
        <w:rPr>
          <w:rFonts w:ascii="Times New Roman" w:hAnsi="Times New Roman" w:cs="Times New Roman"/>
        </w:rPr>
        <w:br/>
      </w:r>
      <w:proofErr w:type="spellStart"/>
      <w:r w:rsidR="00926276" w:rsidRPr="00A472FC">
        <w:rPr>
          <w:rFonts w:ascii="Times New Roman" w:hAnsi="Times New Roman" w:cs="Times New Roman"/>
        </w:rPr>
        <w:t>Ar</w:t>
      </w:r>
      <w:proofErr w:type="spellEnd"/>
      <w:r w:rsidR="00926276" w:rsidRPr="00A472FC">
        <w:rPr>
          <w:rFonts w:ascii="Times New Roman" w:hAnsi="Times New Roman" w:cs="Times New Roman"/>
        </w:rPr>
        <w:t xml:space="preserve"> – Article (</w:t>
      </w:r>
      <w:proofErr w:type="spellStart"/>
      <w:r w:rsidR="00926276" w:rsidRPr="00A472FC">
        <w:rPr>
          <w:rFonts w:ascii="Times New Roman" w:hAnsi="Times New Roman" w:cs="Times New Roman"/>
          <w:i/>
          <w:iCs/>
        </w:rPr>
        <w:t>articulus</w:t>
      </w:r>
      <w:proofErr w:type="spellEnd"/>
      <w:r w:rsidR="00926276" w:rsidRPr="00A472FC">
        <w:rPr>
          <w:rFonts w:ascii="Times New Roman" w:hAnsi="Times New Roman" w:cs="Times New Roman"/>
        </w:rPr>
        <w:t>)</w:t>
      </w:r>
      <w:r w:rsidR="00926276" w:rsidRPr="00A472FC">
        <w:rPr>
          <w:rFonts w:ascii="Times New Roman" w:hAnsi="Times New Roman" w:cs="Times New Roman"/>
        </w:rPr>
        <w:br/>
        <w:t>Pr – Problem (</w:t>
      </w:r>
      <w:proofErr w:type="spellStart"/>
      <w:r w:rsidR="00926276" w:rsidRPr="00A472FC">
        <w:rPr>
          <w:rFonts w:ascii="Times New Roman" w:hAnsi="Times New Roman" w:cs="Times New Roman"/>
          <w:i/>
          <w:iCs/>
        </w:rPr>
        <w:t>problema</w:t>
      </w:r>
      <w:proofErr w:type="spellEnd"/>
      <w:r w:rsidR="00926276" w:rsidRPr="00A472FC">
        <w:rPr>
          <w:rFonts w:ascii="Times New Roman" w:hAnsi="Times New Roman" w:cs="Times New Roman"/>
        </w:rPr>
        <w:t>)</w:t>
      </w:r>
      <w:r w:rsidR="00926276" w:rsidRPr="00A472FC">
        <w:rPr>
          <w:rFonts w:ascii="Times New Roman" w:hAnsi="Times New Roman" w:cs="Times New Roman"/>
        </w:rPr>
        <w:br/>
        <w:t>Pa – Particular (</w:t>
      </w:r>
      <w:proofErr w:type="spellStart"/>
      <w:r w:rsidR="00926276" w:rsidRPr="00A472FC">
        <w:rPr>
          <w:rFonts w:ascii="Times New Roman" w:hAnsi="Times New Roman" w:cs="Times New Roman"/>
          <w:i/>
          <w:iCs/>
        </w:rPr>
        <w:t>particula</w:t>
      </w:r>
      <w:proofErr w:type="spellEnd"/>
      <w:r w:rsidR="00926276" w:rsidRPr="00A472FC">
        <w:rPr>
          <w:rFonts w:ascii="Times New Roman" w:hAnsi="Times New Roman" w:cs="Times New Roman"/>
        </w:rPr>
        <w:t>)</w:t>
      </w:r>
    </w:p>
    <w:p w14:paraId="3E674D48" w14:textId="77777777" w:rsidR="007B5658" w:rsidRPr="00A472FC" w:rsidRDefault="007B5658" w:rsidP="00881604">
      <w:pPr>
        <w:ind w:right="-52"/>
        <w:jc w:val="both"/>
        <w:rPr>
          <w:rFonts w:ascii="Times New Roman" w:hAnsi="Times New Roman" w:cs="Times New Roman"/>
        </w:rPr>
      </w:pPr>
    </w:p>
    <w:p w14:paraId="656B750E" w14:textId="6C7E253C" w:rsidR="00926276" w:rsidRPr="00A472FC" w:rsidRDefault="00926276" w:rsidP="00881604">
      <w:pPr>
        <w:ind w:right="-52"/>
        <w:jc w:val="both"/>
        <w:rPr>
          <w:rFonts w:ascii="Times New Roman" w:hAnsi="Times New Roman" w:cs="Times New Roman"/>
        </w:rPr>
      </w:pPr>
      <w:r w:rsidRPr="00A472FC">
        <w:rPr>
          <w:rFonts w:ascii="Times New Roman" w:hAnsi="Times New Roman" w:cs="Times New Roman"/>
        </w:rPr>
        <w:t>A further specification of the thus determined entity (to be cited as given in the edition) might, at this point, include:</w:t>
      </w:r>
    </w:p>
    <w:p w14:paraId="2B3A70F3" w14:textId="77777777" w:rsidR="007B5658" w:rsidRPr="00A472FC" w:rsidRDefault="007B5658" w:rsidP="00881604">
      <w:pPr>
        <w:ind w:right="-52"/>
        <w:rPr>
          <w:rFonts w:ascii="Times New Roman" w:hAnsi="Times New Roman" w:cs="Times New Roman"/>
        </w:rPr>
      </w:pPr>
    </w:p>
    <w:p w14:paraId="66767AD1" w14:textId="1C0C9EF2" w:rsidR="00926276" w:rsidRPr="00A472FC" w:rsidRDefault="00926276" w:rsidP="00881604">
      <w:pPr>
        <w:ind w:right="-52"/>
        <w:rPr>
          <w:rFonts w:ascii="Times New Roman" w:hAnsi="Times New Roman" w:cs="Times New Roman"/>
        </w:rPr>
      </w:pPr>
      <w:r w:rsidRPr="00A472FC">
        <w:rPr>
          <w:rFonts w:ascii="Times New Roman" w:hAnsi="Times New Roman" w:cs="Times New Roman"/>
        </w:rPr>
        <w:t>[arg.] – Objections</w:t>
      </w:r>
      <w:r w:rsidRPr="00A472FC">
        <w:rPr>
          <w:rFonts w:ascii="Times New Roman" w:hAnsi="Times New Roman" w:cs="Times New Roman"/>
        </w:rPr>
        <w:br/>
      </w:r>
      <w:proofErr w:type="spellStart"/>
      <w:r w:rsidRPr="00A472FC">
        <w:rPr>
          <w:rFonts w:ascii="Times New Roman" w:hAnsi="Times New Roman" w:cs="Times New Roman"/>
        </w:rPr>
        <w:t>Respondeo</w:t>
      </w:r>
      <w:proofErr w:type="spellEnd"/>
      <w:r w:rsidRPr="00A472FC">
        <w:rPr>
          <w:rFonts w:ascii="Times New Roman" w:hAnsi="Times New Roman" w:cs="Times New Roman"/>
        </w:rPr>
        <w:t>/</w:t>
      </w:r>
      <w:proofErr w:type="spellStart"/>
      <w:r w:rsidRPr="00A472FC">
        <w:rPr>
          <w:rFonts w:ascii="Times New Roman" w:hAnsi="Times New Roman" w:cs="Times New Roman"/>
        </w:rPr>
        <w:t>Solutio</w:t>
      </w:r>
      <w:proofErr w:type="spellEnd"/>
      <w:r w:rsidRPr="00A472FC">
        <w:rPr>
          <w:rFonts w:ascii="Times New Roman" w:hAnsi="Times New Roman" w:cs="Times New Roman"/>
        </w:rPr>
        <w:t xml:space="preserve"> – Answer</w:t>
      </w:r>
      <w:r w:rsidRPr="00A472FC">
        <w:rPr>
          <w:rFonts w:ascii="Times New Roman" w:hAnsi="Times New Roman" w:cs="Times New Roman"/>
        </w:rPr>
        <w:br/>
        <w:t>(Sed) Contra – On the Contrary</w:t>
      </w:r>
      <w:r w:rsidRPr="00A472FC">
        <w:rPr>
          <w:rFonts w:ascii="Times New Roman" w:hAnsi="Times New Roman" w:cs="Times New Roman"/>
        </w:rPr>
        <w:br/>
        <w:t xml:space="preserve">Ad </w:t>
      </w:r>
      <w:proofErr w:type="spellStart"/>
      <w:r w:rsidRPr="00A472FC">
        <w:rPr>
          <w:rFonts w:ascii="Times New Roman" w:hAnsi="Times New Roman" w:cs="Times New Roman"/>
        </w:rPr>
        <w:t>obiecta</w:t>
      </w:r>
      <w:proofErr w:type="spellEnd"/>
      <w:r w:rsidRPr="00A472FC">
        <w:rPr>
          <w:rFonts w:ascii="Times New Roman" w:hAnsi="Times New Roman" w:cs="Times New Roman"/>
        </w:rPr>
        <w:t xml:space="preserve"> – Answers to Objections</w:t>
      </w:r>
    </w:p>
    <w:p w14:paraId="6A5290DF" w14:textId="77777777" w:rsidR="00926276" w:rsidRPr="00A472FC" w:rsidRDefault="00926276" w:rsidP="00881604">
      <w:pPr>
        <w:ind w:right="-52"/>
        <w:rPr>
          <w:rFonts w:ascii="Times New Roman" w:hAnsi="Times New Roman" w:cs="Times New Roman"/>
        </w:rPr>
      </w:pPr>
      <w:r w:rsidRPr="00A472FC">
        <w:rPr>
          <w:rFonts w:ascii="Times New Roman" w:hAnsi="Times New Roman" w:cs="Times New Roman"/>
        </w:rPr>
        <w:t>p[p]. - page number[s].</w:t>
      </w:r>
    </w:p>
    <w:p w14:paraId="7C8C98E5" w14:textId="77777777" w:rsidR="00926276" w:rsidRPr="00A472FC" w:rsidRDefault="00926276" w:rsidP="00881604">
      <w:pPr>
        <w:ind w:right="-52"/>
        <w:jc w:val="both"/>
        <w:rPr>
          <w:rFonts w:ascii="Times New Roman" w:hAnsi="Times New Roman" w:cs="Times New Roman"/>
        </w:rPr>
      </w:pPr>
    </w:p>
    <w:p w14:paraId="38D279E2" w14:textId="77777777" w:rsidR="00926276" w:rsidRPr="00A472FC" w:rsidRDefault="00926276" w:rsidP="00881604">
      <w:pPr>
        <w:ind w:right="-52"/>
        <w:jc w:val="both"/>
        <w:rPr>
          <w:rFonts w:ascii="Times New Roman" w:hAnsi="Times New Roman" w:cs="Times New Roman"/>
        </w:rPr>
      </w:pPr>
      <w:r w:rsidRPr="00A472FC">
        <w:rPr>
          <w:rFonts w:ascii="Times New Roman" w:hAnsi="Times New Roman" w:cs="Times New Roman"/>
        </w:rPr>
        <w:t>Second instance of citation should read as follows (including all relevant text divisions):</w:t>
      </w:r>
    </w:p>
    <w:p w14:paraId="5543DBAB" w14:textId="77777777" w:rsidR="007300DD" w:rsidRPr="00A472FC" w:rsidRDefault="007300DD" w:rsidP="00881604">
      <w:pPr>
        <w:ind w:right="-52" w:firstLine="720"/>
        <w:jc w:val="both"/>
        <w:rPr>
          <w:rFonts w:ascii="Times New Roman" w:hAnsi="Times New Roman" w:cs="Times New Roman"/>
          <w:iCs/>
        </w:rPr>
      </w:pPr>
    </w:p>
    <w:p w14:paraId="32FD5ECF" w14:textId="62D1F43D" w:rsidR="00926276" w:rsidRPr="00A472FC" w:rsidRDefault="009665BD" w:rsidP="00A56031">
      <w:pPr>
        <w:ind w:right="-52" w:firstLine="720"/>
        <w:jc w:val="both"/>
        <w:rPr>
          <w:rFonts w:ascii="Times New Roman" w:hAnsi="Times New Roman" w:cs="Times New Roman"/>
        </w:rPr>
      </w:pPr>
      <w:r w:rsidRPr="00A472FC">
        <w:rPr>
          <w:rFonts w:ascii="Times New Roman" w:hAnsi="Times New Roman" w:cs="Times New Roman"/>
          <w:iCs/>
        </w:rPr>
        <w:t>SH</w:t>
      </w:r>
      <w:r w:rsidR="000635D0" w:rsidRPr="00A472FC">
        <w:rPr>
          <w:rFonts w:ascii="Times New Roman" w:hAnsi="Times New Roman" w:cs="Times New Roman"/>
          <w:i/>
          <w:iCs/>
        </w:rPr>
        <w:t xml:space="preserve"> </w:t>
      </w:r>
      <w:r w:rsidR="00A56031" w:rsidRPr="00A472FC">
        <w:rPr>
          <w:rFonts w:ascii="Times New Roman" w:hAnsi="Times New Roman" w:cs="Times New Roman"/>
        </w:rPr>
        <w:t>3</w:t>
      </w:r>
      <w:r w:rsidR="00926276" w:rsidRPr="00A472FC">
        <w:rPr>
          <w:rFonts w:ascii="Times New Roman" w:hAnsi="Times New Roman" w:cs="Times New Roman"/>
        </w:rPr>
        <w:t>, In2, Tr2, S2, Q1, Ti1, C7, Ar3, Pr1, Pa2</w:t>
      </w:r>
      <w:r w:rsidR="004903AE" w:rsidRPr="00A472FC">
        <w:rPr>
          <w:rFonts w:ascii="Times New Roman" w:hAnsi="Times New Roman" w:cs="Times New Roman"/>
        </w:rPr>
        <w:t xml:space="preserve">, </w:t>
      </w:r>
      <w:proofErr w:type="spellStart"/>
      <w:r w:rsidR="00926276" w:rsidRPr="00A472FC">
        <w:rPr>
          <w:rFonts w:ascii="Times New Roman" w:hAnsi="Times New Roman" w:cs="Times New Roman"/>
        </w:rPr>
        <w:t>Solutio</w:t>
      </w:r>
      <w:proofErr w:type="spellEnd"/>
      <w:r w:rsidR="00926276" w:rsidRPr="00A472FC">
        <w:rPr>
          <w:rFonts w:ascii="Times New Roman" w:hAnsi="Times New Roman" w:cs="Times New Roman"/>
        </w:rPr>
        <w:t>, p. 179.</w:t>
      </w:r>
    </w:p>
    <w:p w14:paraId="3D2AF8C0" w14:textId="77777777" w:rsidR="00926276" w:rsidRPr="00A472FC" w:rsidRDefault="00926276" w:rsidP="00881604">
      <w:pPr>
        <w:ind w:right="-52"/>
        <w:rPr>
          <w:rFonts w:ascii="Times New Roman" w:hAnsi="Times New Roman" w:cs="Times New Roman"/>
        </w:rPr>
      </w:pPr>
    </w:p>
    <w:p w14:paraId="3495B784" w14:textId="77777777" w:rsidR="00926276" w:rsidRPr="00A472FC" w:rsidRDefault="00926276" w:rsidP="00881604">
      <w:pPr>
        <w:ind w:right="-52"/>
        <w:jc w:val="both"/>
        <w:rPr>
          <w:rFonts w:ascii="Times New Roman" w:hAnsi="Times New Roman" w:cs="Times New Roman"/>
        </w:rPr>
      </w:pPr>
      <w:r w:rsidRPr="00A472FC">
        <w:rPr>
          <w:rFonts w:ascii="Times New Roman" w:hAnsi="Times New Roman" w:cs="Times New Roman"/>
        </w:rPr>
        <w:t>Please note that according to this method of citation, the roman numeral at the start of the reference refers to the book (</w:t>
      </w:r>
      <w:r w:rsidRPr="00A472FC">
        <w:rPr>
          <w:rFonts w:ascii="Times New Roman" w:hAnsi="Times New Roman" w:cs="Times New Roman"/>
          <w:i/>
          <w:iCs/>
        </w:rPr>
        <w:t>liber</w:t>
      </w:r>
      <w:r w:rsidRPr="00A472FC">
        <w:rPr>
          <w:rFonts w:ascii="Times New Roman" w:hAnsi="Times New Roman" w:cs="Times New Roman"/>
        </w:rPr>
        <w:t xml:space="preserve">) of the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rPr>
        <w:t xml:space="preserve"> rather than the tome number. Hence, I refer to </w:t>
      </w:r>
      <w:r w:rsidRPr="00A472FC">
        <w:rPr>
          <w:rFonts w:ascii="Times New Roman" w:hAnsi="Times New Roman" w:cs="Times New Roman"/>
          <w:i/>
          <w:iCs/>
        </w:rPr>
        <w:t>SH</w:t>
      </w:r>
      <w:r w:rsidRPr="00A472FC">
        <w:rPr>
          <w:rFonts w:ascii="Times New Roman" w:hAnsi="Times New Roman" w:cs="Times New Roman"/>
        </w:rPr>
        <w:t xml:space="preserve"> I, 2.1, 2.2, and 3 rather than 1, 2, 3, 4, to avoid confusion concerning the unedited book 4 which is not part of the </w:t>
      </w:r>
      <w:proofErr w:type="spellStart"/>
      <w:r w:rsidRPr="00A472FC">
        <w:rPr>
          <w:rFonts w:ascii="Times New Roman" w:hAnsi="Times New Roman" w:cs="Times New Roman"/>
        </w:rPr>
        <w:t>Quaracchi</w:t>
      </w:r>
      <w:proofErr w:type="spellEnd"/>
      <w:r w:rsidRPr="00A472FC">
        <w:rPr>
          <w:rFonts w:ascii="Times New Roman" w:hAnsi="Times New Roman" w:cs="Times New Roman"/>
        </w:rPr>
        <w:t xml:space="preserve"> edition.  </w:t>
      </w:r>
    </w:p>
    <w:p w14:paraId="3FC1FD0C" w14:textId="0E41220F" w:rsidR="00B34F9E" w:rsidRPr="00A472FC" w:rsidRDefault="00926276" w:rsidP="0082373A">
      <w:pPr>
        <w:ind w:right="-52"/>
        <w:rPr>
          <w:rFonts w:ascii="Times New Roman" w:hAnsi="Times New Roman" w:cs="Times New Roman"/>
        </w:rPr>
      </w:pPr>
      <w:r w:rsidRPr="00A472FC">
        <w:rPr>
          <w:rFonts w:ascii="Times New Roman" w:hAnsi="Times New Roman" w:cs="Times New Roman"/>
        </w:rPr>
        <w:br w:type="page"/>
      </w:r>
      <w:r w:rsidR="00B34F9E" w:rsidRPr="00A472FC">
        <w:rPr>
          <w:rFonts w:ascii="Times New Roman" w:hAnsi="Times New Roman" w:cs="Times New Roman"/>
          <w:b/>
          <w:bCs/>
          <w:lang w:val="en-US"/>
        </w:rPr>
        <w:lastRenderedPageBreak/>
        <w:t>Introduction</w:t>
      </w:r>
    </w:p>
    <w:p w14:paraId="10159306" w14:textId="77777777" w:rsidR="00B34F9E" w:rsidRPr="00A472FC" w:rsidRDefault="00B34F9E" w:rsidP="00B34F9E">
      <w:pPr>
        <w:widowControl w:val="0"/>
        <w:autoSpaceDE w:val="0"/>
        <w:autoSpaceDN w:val="0"/>
        <w:adjustRightInd w:val="0"/>
        <w:ind w:right="-52"/>
        <w:rPr>
          <w:rFonts w:ascii="Times New Roman" w:hAnsi="Times New Roman" w:cs="Times New Roman"/>
          <w:lang w:val="en-US"/>
        </w:rPr>
      </w:pPr>
    </w:p>
    <w:p w14:paraId="26B6029B" w14:textId="6E3A636D" w:rsidR="00B34F9E" w:rsidRPr="00A472FC" w:rsidRDefault="00B34F9E" w:rsidP="00B34F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 soul and its powers </w:t>
      </w:r>
      <w:r w:rsidR="000033E7" w:rsidRPr="00A472FC">
        <w:rPr>
          <w:rFonts w:ascii="Times New Roman" w:hAnsi="Times New Roman" w:cs="Times New Roman"/>
          <w:lang w:val="en-US"/>
        </w:rPr>
        <w:t xml:space="preserve">have remained </w:t>
      </w:r>
      <w:r w:rsidRPr="00A472FC">
        <w:rPr>
          <w:rFonts w:ascii="Times New Roman" w:hAnsi="Times New Roman" w:cs="Times New Roman"/>
          <w:lang w:val="en-US"/>
        </w:rPr>
        <w:t xml:space="preserve">a topic of perennial interest and significance in the history of Western thought. Yet there have been periods of time when work on questions of </w:t>
      </w:r>
      <w:r w:rsidR="009B1D1A" w:rsidRPr="00A472FC">
        <w:rPr>
          <w:rFonts w:ascii="Times New Roman" w:hAnsi="Times New Roman" w:cs="Times New Roman"/>
          <w:lang w:val="en-US"/>
        </w:rPr>
        <w:t xml:space="preserve">the soul or </w:t>
      </w:r>
      <w:r w:rsidRPr="00A472FC">
        <w:rPr>
          <w:rFonts w:ascii="Times New Roman" w:hAnsi="Times New Roman" w:cs="Times New Roman"/>
          <w:lang w:val="en-US"/>
        </w:rPr>
        <w:t xml:space="preserve">psychology, such as the nature of human knowledge or volition, has seen an explosion of intensive activity and an almost overnight transformation, which would continue to have reverberations for many subsequent generations. The </w:t>
      </w:r>
      <w:r w:rsidRPr="00A472FC">
        <w:rPr>
          <w:rFonts w:ascii="Times New Roman" w:hAnsi="Times New Roman" w:cs="Times New Roman"/>
          <w:i/>
          <w:lang w:val="en-US"/>
        </w:rPr>
        <w:t xml:space="preserve">Meditations </w:t>
      </w:r>
      <w:r w:rsidRPr="00A472FC">
        <w:rPr>
          <w:rFonts w:ascii="Times New Roman" w:hAnsi="Times New Roman" w:cs="Times New Roman"/>
          <w:lang w:val="en-US"/>
        </w:rPr>
        <w:t xml:space="preserve">of Descartes and Kant’s </w:t>
      </w:r>
      <w:r w:rsidRPr="00A472FC">
        <w:rPr>
          <w:rFonts w:ascii="Times New Roman" w:hAnsi="Times New Roman" w:cs="Times New Roman"/>
          <w:i/>
          <w:lang w:val="en-US"/>
        </w:rPr>
        <w:t>Critique of Pure Reason</w:t>
      </w:r>
      <w:r w:rsidRPr="00A472FC">
        <w:rPr>
          <w:rFonts w:ascii="Times New Roman" w:hAnsi="Times New Roman" w:cs="Times New Roman"/>
          <w:lang w:val="en-US"/>
        </w:rPr>
        <w:t xml:space="preserve"> represent some famous examples of this phenomenon</w:t>
      </w:r>
      <w:r w:rsidR="003F017D" w:rsidRPr="00A472FC">
        <w:rPr>
          <w:rFonts w:ascii="Times New Roman" w:hAnsi="Times New Roman" w:cs="Times New Roman"/>
          <w:lang w:val="en-US"/>
        </w:rPr>
        <w:t>, or at least they have been perceived as epoch-making in later historiographical construction.</w:t>
      </w:r>
      <w:r w:rsidR="003F017D" w:rsidRPr="00A472FC">
        <w:rPr>
          <w:rStyle w:val="FootnoteReference"/>
          <w:rFonts w:ascii="Times New Roman" w:hAnsi="Times New Roman" w:cs="Times New Roman"/>
          <w:lang w:val="en-US"/>
        </w:rPr>
        <w:footnoteReference w:id="2"/>
      </w:r>
    </w:p>
    <w:p w14:paraId="2F8EBB58" w14:textId="47F2B7D2" w:rsidR="00B34F9E" w:rsidRPr="00A472FC" w:rsidRDefault="00B34F9E" w:rsidP="00B34F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A much lesser known—indeed almost entirely neglected—example, which was arguably as influential for the Middle Ages as Descartes and Kant were for modernity—can be found in the writings on the soul that were produced by or on the basis of the work of John of La Rochelle. An early thirteenth-century thinker, John was one of the first important masters of theology at the recently-founded University of Paris (c. 1200)</w:t>
      </w:r>
      <w:r w:rsidR="00E261BF" w:rsidRPr="00A472FC">
        <w:rPr>
          <w:rFonts w:ascii="Times New Roman" w:hAnsi="Times New Roman" w:cs="Times New Roman"/>
          <w:lang w:val="en-US"/>
        </w:rPr>
        <w:t>,</w:t>
      </w:r>
      <w:r w:rsidR="00554478" w:rsidRPr="00A472FC">
        <w:rPr>
          <w:rFonts w:ascii="Times New Roman" w:hAnsi="Times New Roman" w:cs="Times New Roman"/>
          <w:lang w:val="en-US"/>
        </w:rPr>
        <w:t xml:space="preserve"> regarded by many as </w:t>
      </w:r>
      <w:r w:rsidR="006372FF" w:rsidRPr="00A472FC">
        <w:rPr>
          <w:rFonts w:ascii="Times New Roman" w:hAnsi="Times New Roman" w:cs="Times New Roman"/>
          <w:lang w:val="en-US"/>
        </w:rPr>
        <w:t xml:space="preserve">the first </w:t>
      </w:r>
      <w:r w:rsidR="00DA4F4E" w:rsidRPr="00A472FC">
        <w:rPr>
          <w:rFonts w:ascii="Times New Roman" w:hAnsi="Times New Roman" w:cs="Times New Roman"/>
          <w:lang w:val="en-US"/>
        </w:rPr>
        <w:t xml:space="preserve">degree-granting </w:t>
      </w:r>
      <w:r w:rsidR="006372FF" w:rsidRPr="00A472FC">
        <w:rPr>
          <w:rFonts w:ascii="Times New Roman" w:hAnsi="Times New Roman" w:cs="Times New Roman"/>
          <w:lang w:val="en-US"/>
        </w:rPr>
        <w:t>university,</w:t>
      </w:r>
      <w:r w:rsidR="008C4A94" w:rsidRPr="00A472FC">
        <w:rPr>
          <w:rFonts w:ascii="Times New Roman" w:hAnsi="Times New Roman" w:cs="Times New Roman"/>
          <w:lang w:val="en-US"/>
        </w:rPr>
        <w:t xml:space="preserve"> </w:t>
      </w:r>
      <w:r w:rsidRPr="00A472FC">
        <w:rPr>
          <w:rFonts w:ascii="Times New Roman" w:hAnsi="Times New Roman" w:cs="Times New Roman"/>
          <w:lang w:val="en-US"/>
        </w:rPr>
        <w:t xml:space="preserve">which </w:t>
      </w:r>
      <w:r w:rsidR="00D83EC9" w:rsidRPr="00A472FC">
        <w:rPr>
          <w:rFonts w:ascii="Times New Roman" w:hAnsi="Times New Roman" w:cs="Times New Roman"/>
          <w:lang w:val="en-US"/>
        </w:rPr>
        <w:t xml:space="preserve">was formed out of numerous independent schools that </w:t>
      </w:r>
      <w:r w:rsidR="00FD5A44" w:rsidRPr="00A472FC">
        <w:rPr>
          <w:rFonts w:ascii="Times New Roman" w:hAnsi="Times New Roman" w:cs="Times New Roman"/>
          <w:lang w:val="en-US"/>
        </w:rPr>
        <w:t>were already based in the city in</w:t>
      </w:r>
      <w:r w:rsidR="00C423E0" w:rsidRPr="00A472FC">
        <w:rPr>
          <w:rFonts w:ascii="Times New Roman" w:hAnsi="Times New Roman" w:cs="Times New Roman"/>
          <w:lang w:val="en-US"/>
        </w:rPr>
        <w:t xml:space="preserve"> the twelfth century</w:t>
      </w:r>
      <w:r w:rsidR="00D83EC9" w:rsidRPr="00A472FC">
        <w:rPr>
          <w:rFonts w:ascii="Times New Roman" w:hAnsi="Times New Roman" w:cs="Times New Roman"/>
          <w:lang w:val="en-US"/>
        </w:rPr>
        <w:t>.</w:t>
      </w:r>
      <w:r w:rsidR="00BA220C" w:rsidRPr="00A472FC">
        <w:rPr>
          <w:rStyle w:val="FootnoteReference"/>
          <w:rFonts w:ascii="Times New Roman" w:hAnsi="Times New Roman" w:cs="Times New Roman"/>
          <w:lang w:val="en-US"/>
        </w:rPr>
        <w:footnoteReference w:id="3"/>
      </w:r>
      <w:r w:rsidR="00D83EC9" w:rsidRPr="00A472FC">
        <w:rPr>
          <w:rFonts w:ascii="Times New Roman" w:hAnsi="Times New Roman" w:cs="Times New Roman"/>
          <w:lang w:val="en-US"/>
        </w:rPr>
        <w:t xml:space="preserve"> </w:t>
      </w:r>
      <w:r w:rsidRPr="00A472FC">
        <w:rPr>
          <w:rFonts w:ascii="Times New Roman" w:hAnsi="Times New Roman" w:cs="Times New Roman"/>
          <w:lang w:val="en-US"/>
        </w:rPr>
        <w:t xml:space="preserve">In addition, </w:t>
      </w:r>
      <w:r w:rsidR="00BA220C" w:rsidRPr="00A472FC">
        <w:rPr>
          <w:rFonts w:ascii="Times New Roman" w:hAnsi="Times New Roman" w:cs="Times New Roman"/>
          <w:lang w:val="en-US"/>
        </w:rPr>
        <w:t>Joh</w:t>
      </w:r>
      <w:r w:rsidR="00244959" w:rsidRPr="00A472FC">
        <w:rPr>
          <w:rFonts w:ascii="Times New Roman" w:hAnsi="Times New Roman" w:cs="Times New Roman"/>
          <w:lang w:val="en-US"/>
        </w:rPr>
        <w:t>n</w:t>
      </w:r>
      <w:r w:rsidRPr="00A472FC">
        <w:rPr>
          <w:rFonts w:ascii="Times New Roman" w:hAnsi="Times New Roman" w:cs="Times New Roman"/>
          <w:lang w:val="en-US"/>
        </w:rPr>
        <w:t xml:space="preserve"> was a member of the Franciscan religious order, which was established in 1209</w:t>
      </w:r>
      <w:r w:rsidR="009F6E6A" w:rsidRPr="00A472FC">
        <w:rPr>
          <w:rFonts w:ascii="Times New Roman" w:hAnsi="Times New Roman" w:cs="Times New Roman"/>
          <w:lang w:val="en-US"/>
        </w:rPr>
        <w:t xml:space="preserve">. In this context, </w:t>
      </w:r>
      <w:r w:rsidRPr="00A472FC">
        <w:rPr>
          <w:rFonts w:ascii="Times New Roman" w:hAnsi="Times New Roman" w:cs="Times New Roman"/>
          <w:lang w:val="en-US"/>
        </w:rPr>
        <w:t>he worked together with his perhaps more well-known colleague, Alexander of Hales</w:t>
      </w:r>
      <w:r w:rsidR="002324C6" w:rsidRPr="00A472FC">
        <w:rPr>
          <w:rFonts w:ascii="Times New Roman" w:hAnsi="Times New Roman" w:cs="Times New Roman"/>
          <w:lang w:val="en-US"/>
        </w:rPr>
        <w:t>,</w:t>
      </w:r>
      <w:r w:rsidRPr="00A472FC">
        <w:rPr>
          <w:rFonts w:ascii="Times New Roman" w:hAnsi="Times New Roman" w:cs="Times New Roman"/>
          <w:lang w:val="en-US"/>
        </w:rPr>
        <w:t xml:space="preserve"> and other Franciscans to define a distinctly Franciscan intellectual tradition</w:t>
      </w:r>
      <w:r w:rsidR="007E2092" w:rsidRPr="00A472FC">
        <w:rPr>
          <w:rFonts w:ascii="Times New Roman" w:hAnsi="Times New Roman" w:cs="Times New Roman"/>
          <w:lang w:val="en-US"/>
        </w:rPr>
        <w:t xml:space="preserve"> for the first time</w:t>
      </w:r>
      <w:r w:rsidRPr="00A472FC">
        <w:rPr>
          <w:rFonts w:ascii="Times New Roman" w:hAnsi="Times New Roman" w:cs="Times New Roman"/>
          <w:lang w:val="en-US"/>
        </w:rPr>
        <w:t xml:space="preserve">. </w:t>
      </w:r>
    </w:p>
    <w:p w14:paraId="11B5D9F1" w14:textId="02DA2BEB" w:rsidR="00CD1BB4" w:rsidRPr="00A472FC" w:rsidRDefault="00B34F9E" w:rsidP="00B34F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 product of </w:t>
      </w:r>
      <w:r w:rsidR="00400C3A" w:rsidRPr="00A472FC">
        <w:rPr>
          <w:rFonts w:ascii="Times New Roman" w:hAnsi="Times New Roman" w:cs="Times New Roman"/>
          <w:lang w:val="en-US"/>
        </w:rPr>
        <w:t>their</w:t>
      </w:r>
      <w:r w:rsidRPr="00A472FC">
        <w:rPr>
          <w:rFonts w:ascii="Times New Roman" w:hAnsi="Times New Roman" w:cs="Times New Roman"/>
          <w:lang w:val="en-US"/>
        </w:rPr>
        <w:t xml:space="preserve"> collaboration was the so-called </w:t>
      </w:r>
      <w:r w:rsidRPr="00A472FC">
        <w:rPr>
          <w:rFonts w:ascii="Times New Roman" w:hAnsi="Times New Roman" w:cs="Times New Roman"/>
          <w:i/>
          <w:iCs/>
          <w:lang w:val="en-US"/>
        </w:rPr>
        <w:t xml:space="preserve">Summa </w:t>
      </w:r>
      <w:proofErr w:type="spellStart"/>
      <w:r w:rsidRPr="00A472FC">
        <w:rPr>
          <w:rFonts w:ascii="Times New Roman" w:hAnsi="Times New Roman" w:cs="Times New Roman"/>
          <w:i/>
          <w:iCs/>
          <w:lang w:val="en-US"/>
        </w:rPr>
        <w:t>Halensis</w:t>
      </w:r>
      <w:proofErr w:type="spellEnd"/>
      <w:r w:rsidRPr="00A472FC">
        <w:rPr>
          <w:rFonts w:ascii="Times New Roman" w:hAnsi="Times New Roman" w:cs="Times New Roman"/>
          <w:i/>
          <w:iCs/>
          <w:lang w:val="en-US"/>
        </w:rPr>
        <w:t xml:space="preserve"> </w:t>
      </w:r>
      <w:r w:rsidRPr="00A472FC">
        <w:rPr>
          <w:rFonts w:ascii="Times New Roman" w:hAnsi="Times New Roman" w:cs="Times New Roman"/>
          <w:lang w:val="en-US"/>
        </w:rPr>
        <w:t>(</w:t>
      </w:r>
      <w:r w:rsidRPr="00A472FC">
        <w:rPr>
          <w:rFonts w:ascii="Times New Roman" w:hAnsi="Times New Roman" w:cs="Times New Roman"/>
          <w:i/>
          <w:iCs/>
          <w:lang w:val="en-US"/>
        </w:rPr>
        <w:t>SH</w:t>
      </w:r>
      <w:r w:rsidRPr="00A472FC">
        <w:rPr>
          <w:rFonts w:ascii="Times New Roman" w:hAnsi="Times New Roman" w:cs="Times New Roman"/>
          <w:lang w:val="en-US"/>
        </w:rPr>
        <w:t>)</w:t>
      </w:r>
      <w:r w:rsidR="00AA455A" w:rsidRPr="00A472FC">
        <w:rPr>
          <w:rFonts w:ascii="Times New Roman" w:hAnsi="Times New Roman" w:cs="Times New Roman"/>
          <w:i/>
          <w:iCs/>
          <w:lang w:val="en-US"/>
        </w:rPr>
        <w:t>.</w:t>
      </w:r>
      <w:r w:rsidR="00DC48D7" w:rsidRPr="00A472FC">
        <w:rPr>
          <w:rStyle w:val="FootnoteReference"/>
          <w:rFonts w:ascii="Times New Roman" w:hAnsi="Times New Roman" w:cs="Times New Roman"/>
          <w:i/>
          <w:iCs/>
          <w:lang w:val="en-US"/>
        </w:rPr>
        <w:footnoteReference w:id="4"/>
      </w:r>
      <w:r w:rsidR="00AA455A" w:rsidRPr="00A472FC">
        <w:rPr>
          <w:rFonts w:ascii="Times New Roman" w:hAnsi="Times New Roman" w:cs="Times New Roman"/>
          <w:i/>
          <w:iCs/>
          <w:lang w:val="en-US"/>
        </w:rPr>
        <w:t xml:space="preserve"> </w:t>
      </w:r>
      <w:r w:rsidR="00AA455A" w:rsidRPr="00A472FC">
        <w:rPr>
          <w:rFonts w:ascii="Times New Roman" w:hAnsi="Times New Roman" w:cs="Times New Roman"/>
          <w:lang w:val="en-US"/>
        </w:rPr>
        <w:t>This was</w:t>
      </w:r>
      <w:r w:rsidR="00D27476" w:rsidRPr="00A472FC">
        <w:rPr>
          <w:rFonts w:ascii="Times New Roman" w:hAnsi="Times New Roman" w:cs="Times New Roman"/>
          <w:lang w:val="en-US"/>
        </w:rPr>
        <w:t xml:space="preserve"> named </w:t>
      </w:r>
      <w:r w:rsidRPr="00A472FC">
        <w:rPr>
          <w:rFonts w:ascii="Times New Roman" w:hAnsi="Times New Roman" w:cs="Times New Roman"/>
          <w:lang w:val="en-US"/>
        </w:rPr>
        <w:t xml:space="preserve">for Alexander, </w:t>
      </w:r>
      <w:r w:rsidR="00B82A31" w:rsidRPr="00A472FC">
        <w:rPr>
          <w:rFonts w:ascii="Times New Roman" w:hAnsi="Times New Roman" w:cs="Times New Roman"/>
          <w:lang w:val="en-US"/>
        </w:rPr>
        <w:t>as the head of the Franciscan school of Paris which was founded in 1231</w:t>
      </w:r>
      <w:r w:rsidR="003E5215" w:rsidRPr="00A472FC">
        <w:rPr>
          <w:rFonts w:ascii="Times New Roman" w:hAnsi="Times New Roman" w:cs="Times New Roman"/>
          <w:lang w:val="en-US"/>
        </w:rPr>
        <w:t xml:space="preserve">. However </w:t>
      </w:r>
      <w:r w:rsidRPr="00A472FC">
        <w:rPr>
          <w:rFonts w:ascii="Times New Roman" w:hAnsi="Times New Roman" w:cs="Times New Roman"/>
          <w:lang w:val="en-US"/>
        </w:rPr>
        <w:t xml:space="preserve">John </w:t>
      </w:r>
      <w:r w:rsidR="003E5215" w:rsidRPr="00A472FC">
        <w:rPr>
          <w:rFonts w:ascii="Times New Roman" w:hAnsi="Times New Roman" w:cs="Times New Roman"/>
          <w:lang w:val="en-US"/>
        </w:rPr>
        <w:t xml:space="preserve">himself </w:t>
      </w:r>
      <w:r w:rsidR="006F16BE" w:rsidRPr="00A472FC">
        <w:rPr>
          <w:rFonts w:ascii="Times New Roman" w:hAnsi="Times New Roman" w:cs="Times New Roman"/>
          <w:lang w:val="en-US"/>
        </w:rPr>
        <w:t xml:space="preserve">authored </w:t>
      </w:r>
      <w:r w:rsidRPr="00A472FC">
        <w:rPr>
          <w:rFonts w:ascii="Times New Roman" w:hAnsi="Times New Roman" w:cs="Times New Roman"/>
          <w:lang w:val="en-US"/>
        </w:rPr>
        <w:t>volumes I and III, on God</w:t>
      </w:r>
      <w:r w:rsidR="00400C3A" w:rsidRPr="00A472FC">
        <w:rPr>
          <w:rFonts w:ascii="Times New Roman" w:hAnsi="Times New Roman" w:cs="Times New Roman"/>
          <w:lang w:val="en-US"/>
        </w:rPr>
        <w:t xml:space="preserve">, </w:t>
      </w:r>
      <w:proofErr w:type="spellStart"/>
      <w:r w:rsidRPr="00A472FC">
        <w:rPr>
          <w:rFonts w:ascii="Times New Roman" w:hAnsi="Times New Roman" w:cs="Times New Roman"/>
          <w:lang w:val="en-US"/>
        </w:rPr>
        <w:t>Christology</w:t>
      </w:r>
      <w:proofErr w:type="spellEnd"/>
      <w:r w:rsidRPr="00A472FC">
        <w:rPr>
          <w:rFonts w:ascii="Times New Roman" w:hAnsi="Times New Roman" w:cs="Times New Roman"/>
          <w:lang w:val="en-US"/>
        </w:rPr>
        <w:t xml:space="preserve"> and moral theology, </w:t>
      </w:r>
      <w:r w:rsidR="00400C3A" w:rsidRPr="00A472FC">
        <w:rPr>
          <w:rFonts w:ascii="Times New Roman" w:hAnsi="Times New Roman" w:cs="Times New Roman"/>
          <w:lang w:val="en-US"/>
        </w:rPr>
        <w:t>while</w:t>
      </w:r>
      <w:r w:rsidRPr="00A472FC">
        <w:rPr>
          <w:rFonts w:ascii="Times New Roman" w:hAnsi="Times New Roman" w:cs="Times New Roman"/>
          <w:lang w:val="en-US"/>
        </w:rPr>
        <w:t xml:space="preserve"> another author redacted volumes II.1 and II.2 on the basis of works by both John and Alexander.</w:t>
      </w:r>
      <w:r w:rsidR="00CD1BB4" w:rsidRPr="00A472FC">
        <w:rPr>
          <w:rStyle w:val="FootnoteReference"/>
          <w:rFonts w:ascii="Times New Roman" w:hAnsi="Times New Roman" w:cs="Times New Roman"/>
          <w:lang w:val="en-US"/>
        </w:rPr>
        <w:footnoteReference w:id="5"/>
      </w:r>
      <w:r w:rsidR="00CD1BB4" w:rsidRPr="00A472FC">
        <w:rPr>
          <w:rFonts w:ascii="Times New Roman" w:hAnsi="Times New Roman" w:cs="Times New Roman"/>
          <w:lang w:val="en-US"/>
        </w:rPr>
        <w:t xml:space="preserve"> </w:t>
      </w:r>
      <w:r w:rsidR="00D36B20" w:rsidRPr="00A472FC">
        <w:rPr>
          <w:rFonts w:ascii="Times New Roman" w:hAnsi="Times New Roman" w:cs="Times New Roman"/>
          <w:lang w:val="en-US"/>
        </w:rPr>
        <w:t>As one of the first</w:t>
      </w:r>
      <w:r w:rsidR="00652374" w:rsidRPr="00A472FC">
        <w:rPr>
          <w:rFonts w:ascii="Times New Roman" w:hAnsi="Times New Roman" w:cs="Times New Roman"/>
          <w:lang w:val="en-US"/>
        </w:rPr>
        <w:t xml:space="preserve"> texts</w:t>
      </w:r>
      <w:r w:rsidR="00D36B20" w:rsidRPr="00A472FC">
        <w:rPr>
          <w:rFonts w:ascii="Times New Roman" w:hAnsi="Times New Roman" w:cs="Times New Roman"/>
          <w:lang w:val="en-US"/>
        </w:rPr>
        <w:t xml:space="preserve"> of its kind to be produced in the universi</w:t>
      </w:r>
      <w:r w:rsidR="00012B95" w:rsidRPr="00A472FC">
        <w:rPr>
          <w:rFonts w:ascii="Times New Roman" w:hAnsi="Times New Roman" w:cs="Times New Roman"/>
          <w:lang w:val="en-US"/>
        </w:rPr>
        <w:t>t</w:t>
      </w:r>
      <w:r w:rsidR="00D36B20" w:rsidRPr="00A472FC">
        <w:rPr>
          <w:rFonts w:ascii="Times New Roman" w:hAnsi="Times New Roman" w:cs="Times New Roman"/>
          <w:lang w:val="en-US"/>
        </w:rPr>
        <w:t>y context,</w:t>
      </w:r>
      <w:r w:rsidR="00CD1BB4" w:rsidRPr="00A472FC">
        <w:rPr>
          <w:rFonts w:ascii="Times New Roman" w:hAnsi="Times New Roman" w:cs="Times New Roman"/>
          <w:lang w:val="en-US"/>
        </w:rPr>
        <w:t xml:space="preserve"> </w:t>
      </w:r>
      <w:r w:rsidR="00D36B20" w:rsidRPr="00A472FC">
        <w:rPr>
          <w:rFonts w:ascii="Times New Roman" w:hAnsi="Times New Roman" w:cs="Times New Roman"/>
          <w:lang w:val="en-US"/>
        </w:rPr>
        <w:t xml:space="preserve">the </w:t>
      </w:r>
      <w:r w:rsidR="00CD1BB4" w:rsidRPr="00A472FC">
        <w:rPr>
          <w:rFonts w:ascii="Times New Roman" w:hAnsi="Times New Roman" w:cs="Times New Roman"/>
          <w:lang w:val="en-US"/>
        </w:rPr>
        <w:t>Summa was mostly completed between 1236-45, though the questions on the rational soul</w:t>
      </w:r>
      <w:r w:rsidR="00AA455A" w:rsidRPr="00A472FC">
        <w:rPr>
          <w:rFonts w:ascii="Times New Roman" w:hAnsi="Times New Roman" w:cs="Times New Roman"/>
          <w:lang w:val="en-US"/>
        </w:rPr>
        <w:t xml:space="preserve"> (</w:t>
      </w:r>
      <w:r w:rsidR="00CD1BB4" w:rsidRPr="00A472FC">
        <w:rPr>
          <w:rFonts w:ascii="Times New Roman" w:hAnsi="Times New Roman" w:cs="Times New Roman"/>
          <w:i/>
          <w:iCs/>
          <w:lang w:val="en-US"/>
        </w:rPr>
        <w:t xml:space="preserve">De anima </w:t>
      </w:r>
      <w:proofErr w:type="spellStart"/>
      <w:r w:rsidR="00CD1BB4" w:rsidRPr="00A472FC">
        <w:rPr>
          <w:rFonts w:ascii="Times New Roman" w:hAnsi="Times New Roman" w:cs="Times New Roman"/>
          <w:i/>
          <w:iCs/>
          <w:lang w:val="en-US"/>
        </w:rPr>
        <w:t>rationali</w:t>
      </w:r>
      <w:proofErr w:type="spellEnd"/>
      <w:r w:rsidR="00AA455A" w:rsidRPr="00A472FC">
        <w:rPr>
          <w:rFonts w:ascii="Times New Roman" w:hAnsi="Times New Roman" w:cs="Times New Roman"/>
          <w:i/>
          <w:iCs/>
          <w:lang w:val="en-US"/>
        </w:rPr>
        <w:t xml:space="preserve">, </w:t>
      </w:r>
      <w:r w:rsidR="00725B34" w:rsidRPr="00A472FC">
        <w:rPr>
          <w:rFonts w:ascii="Times New Roman" w:hAnsi="Times New Roman" w:cs="Times New Roman"/>
          <w:lang w:val="en-US"/>
        </w:rPr>
        <w:t>hereafter, DAR</w:t>
      </w:r>
      <w:r w:rsidR="00CD1BB4" w:rsidRPr="00A472FC">
        <w:rPr>
          <w:rFonts w:ascii="Times New Roman" w:hAnsi="Times New Roman" w:cs="Times New Roman"/>
          <w:lang w:val="en-US"/>
        </w:rPr>
        <w:t xml:space="preserve">), found in volume II.1, were likely </w:t>
      </w:r>
      <w:r w:rsidR="00DA4F4E" w:rsidRPr="00A472FC">
        <w:rPr>
          <w:rFonts w:ascii="Times New Roman" w:hAnsi="Times New Roman" w:cs="Times New Roman"/>
          <w:lang w:val="en-US"/>
        </w:rPr>
        <w:t>written</w:t>
      </w:r>
      <w:r w:rsidR="00CD1BB4" w:rsidRPr="00A472FC">
        <w:rPr>
          <w:rFonts w:ascii="Times New Roman" w:hAnsi="Times New Roman" w:cs="Times New Roman"/>
          <w:lang w:val="en-US"/>
        </w:rPr>
        <w:t xml:space="preserve"> between</w:t>
      </w:r>
      <w:r w:rsidR="00F43029" w:rsidRPr="00A472FC">
        <w:rPr>
          <w:rFonts w:ascii="Times New Roman" w:hAnsi="Times New Roman" w:cs="Times New Roman"/>
          <w:lang w:val="en-US"/>
        </w:rPr>
        <w:t xml:space="preserve"> </w:t>
      </w:r>
      <w:r w:rsidR="00CD1BB4" w:rsidRPr="00A472FC">
        <w:rPr>
          <w:rFonts w:ascii="Times New Roman" w:hAnsi="Times New Roman" w:cs="Times New Roman"/>
          <w:lang w:val="en-US"/>
        </w:rPr>
        <w:t>1241-45.</w:t>
      </w:r>
      <w:r w:rsidR="00CD1BB4" w:rsidRPr="00A472FC">
        <w:rPr>
          <w:rStyle w:val="FootnoteReference"/>
          <w:rFonts w:ascii="Times New Roman" w:hAnsi="Times New Roman" w:cs="Times New Roman"/>
        </w:rPr>
        <w:footnoteReference w:id="6"/>
      </w:r>
      <w:r w:rsidR="00CD1BB4" w:rsidRPr="00A472FC">
        <w:rPr>
          <w:rFonts w:ascii="Times New Roman" w:hAnsi="Times New Roman" w:cs="Times New Roman"/>
          <w:lang w:val="en-US"/>
        </w:rPr>
        <w:t xml:space="preserve"> The redactor responsible for this section clearly drew heavily and directly on John’s personal works on the soul. These include a </w:t>
      </w:r>
      <w:proofErr w:type="spellStart"/>
      <w:r w:rsidR="00CD1BB4" w:rsidRPr="00A472FC">
        <w:rPr>
          <w:rFonts w:ascii="Times New Roman" w:hAnsi="Times New Roman" w:cs="Times New Roman"/>
          <w:i/>
          <w:lang w:val="en-US"/>
        </w:rPr>
        <w:t>Tractatus</w:t>
      </w:r>
      <w:proofErr w:type="spellEnd"/>
      <w:r w:rsidR="00CD1BB4" w:rsidRPr="00A472FC">
        <w:rPr>
          <w:rFonts w:ascii="Times New Roman" w:hAnsi="Times New Roman" w:cs="Times New Roman"/>
          <w:i/>
          <w:lang w:val="en-US"/>
        </w:rPr>
        <w:t xml:space="preserve"> </w:t>
      </w:r>
      <w:r w:rsidR="00CD1BB4" w:rsidRPr="00A472FC">
        <w:rPr>
          <w:rFonts w:ascii="Times New Roman" w:hAnsi="Times New Roman" w:cs="Times New Roman"/>
          <w:lang w:val="en-US"/>
        </w:rPr>
        <w:t xml:space="preserve">on the powers of the soul, written around 1232, which formed the basis for the </w:t>
      </w:r>
      <w:r w:rsidR="00B73FD1" w:rsidRPr="00A472FC">
        <w:rPr>
          <w:rFonts w:ascii="Times New Roman" w:hAnsi="Times New Roman" w:cs="Times New Roman"/>
          <w:lang w:val="en-US"/>
        </w:rPr>
        <w:t xml:space="preserve">more elaborate </w:t>
      </w:r>
      <w:r w:rsidR="00CD1BB4" w:rsidRPr="00A472FC">
        <w:rPr>
          <w:rFonts w:ascii="Times New Roman" w:hAnsi="Times New Roman" w:cs="Times New Roman"/>
          <w:i/>
          <w:lang w:val="en-US"/>
        </w:rPr>
        <w:t xml:space="preserve">Summa de anima </w:t>
      </w:r>
      <w:r w:rsidR="00CD1BB4" w:rsidRPr="00A472FC">
        <w:rPr>
          <w:rFonts w:ascii="Times New Roman" w:hAnsi="Times New Roman" w:cs="Times New Roman"/>
          <w:lang w:val="en-US"/>
        </w:rPr>
        <w:t>(SDA) of around 1236.</w:t>
      </w:r>
      <w:r w:rsidR="00CD1BB4" w:rsidRPr="00A472FC">
        <w:rPr>
          <w:rStyle w:val="FootnoteReference"/>
          <w:rFonts w:ascii="Times New Roman" w:hAnsi="Times New Roman" w:cs="Times New Roman"/>
          <w:lang w:val="en-US"/>
        </w:rPr>
        <w:footnoteReference w:id="7"/>
      </w:r>
      <w:r w:rsidR="00CD1BB4" w:rsidRPr="00A472FC">
        <w:rPr>
          <w:rFonts w:ascii="Times New Roman" w:hAnsi="Times New Roman" w:cs="Times New Roman"/>
          <w:i/>
          <w:lang w:val="en-US"/>
        </w:rPr>
        <w:t xml:space="preserve"> </w:t>
      </w:r>
      <w:r w:rsidR="00CD1BB4" w:rsidRPr="00A472FC">
        <w:rPr>
          <w:rFonts w:ascii="Times New Roman" w:hAnsi="Times New Roman" w:cs="Times New Roman"/>
          <w:lang w:val="en-US"/>
        </w:rPr>
        <w:t>As the only Franciscan</w:t>
      </w:r>
      <w:r w:rsidR="005159B6" w:rsidRPr="00A472FC">
        <w:rPr>
          <w:rFonts w:ascii="Times New Roman" w:hAnsi="Times New Roman" w:cs="Times New Roman"/>
          <w:lang w:val="en-US"/>
        </w:rPr>
        <w:t xml:space="preserve"> or indeed</w:t>
      </w:r>
      <w:r w:rsidR="00CD1BB4" w:rsidRPr="00A472FC">
        <w:rPr>
          <w:rFonts w:ascii="Times New Roman" w:hAnsi="Times New Roman" w:cs="Times New Roman"/>
          <w:lang w:val="en-US"/>
        </w:rPr>
        <w:t xml:space="preserve"> author </w:t>
      </w:r>
      <w:r w:rsidR="005159B6" w:rsidRPr="00A472FC">
        <w:rPr>
          <w:rFonts w:ascii="Times New Roman" w:hAnsi="Times New Roman" w:cs="Times New Roman"/>
          <w:lang w:val="en-US"/>
        </w:rPr>
        <w:t xml:space="preserve">of any affiliation </w:t>
      </w:r>
      <w:r w:rsidR="00CD1BB4" w:rsidRPr="00A472FC">
        <w:rPr>
          <w:rFonts w:ascii="Times New Roman" w:hAnsi="Times New Roman" w:cs="Times New Roman"/>
          <w:lang w:val="en-US"/>
        </w:rPr>
        <w:t>to write so extensively on the soul</w:t>
      </w:r>
      <w:r w:rsidR="005159B6" w:rsidRPr="00A472FC">
        <w:rPr>
          <w:rFonts w:ascii="Times New Roman" w:hAnsi="Times New Roman" w:cs="Times New Roman"/>
          <w:lang w:val="en-US"/>
        </w:rPr>
        <w:t xml:space="preserve"> at this time</w:t>
      </w:r>
      <w:r w:rsidR="00CD1BB4" w:rsidRPr="00A472FC">
        <w:rPr>
          <w:rFonts w:ascii="Times New Roman" w:hAnsi="Times New Roman" w:cs="Times New Roman"/>
          <w:lang w:val="en-US"/>
        </w:rPr>
        <w:t xml:space="preserve">, John was clearly the architect of early Franciscan psychology, who </w:t>
      </w:r>
      <w:r w:rsidR="005159B6" w:rsidRPr="00A472FC">
        <w:rPr>
          <w:rFonts w:ascii="Times New Roman" w:hAnsi="Times New Roman" w:cs="Times New Roman"/>
          <w:lang w:val="en-US"/>
        </w:rPr>
        <w:t>also</w:t>
      </w:r>
      <w:r w:rsidR="00CD1BB4" w:rsidRPr="00A472FC">
        <w:rPr>
          <w:rFonts w:ascii="Times New Roman" w:hAnsi="Times New Roman" w:cs="Times New Roman"/>
          <w:lang w:val="en-US"/>
        </w:rPr>
        <w:t xml:space="preserve"> wrote extensively on questions of moral theology and the moral law. </w:t>
      </w:r>
    </w:p>
    <w:p w14:paraId="7AB07666" w14:textId="02427E53" w:rsidR="007C2A45" w:rsidRPr="00A472FC" w:rsidRDefault="00CD1BB4" w:rsidP="00F672A7">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Although foundational for the Franciscan intellectual </w:t>
      </w:r>
      <w:r w:rsidR="008328B3" w:rsidRPr="00A472FC">
        <w:rPr>
          <w:rFonts w:ascii="Times New Roman" w:hAnsi="Times New Roman" w:cs="Times New Roman"/>
          <w:lang w:val="en-US"/>
        </w:rPr>
        <w:t>tradition</w:t>
      </w:r>
      <w:r w:rsidRPr="00A472FC">
        <w:rPr>
          <w:rFonts w:ascii="Times New Roman" w:hAnsi="Times New Roman" w:cs="Times New Roman"/>
          <w:lang w:val="en-US"/>
        </w:rPr>
        <w:t xml:space="preserve">, the psychological </w:t>
      </w:r>
      <w:r w:rsidR="008328B3" w:rsidRPr="00A472FC">
        <w:rPr>
          <w:rFonts w:ascii="Times New Roman" w:hAnsi="Times New Roman" w:cs="Times New Roman"/>
          <w:lang w:val="en-US"/>
        </w:rPr>
        <w:t>theories</w:t>
      </w:r>
      <w:r w:rsidRPr="00A472FC">
        <w:rPr>
          <w:rFonts w:ascii="Times New Roman" w:hAnsi="Times New Roman" w:cs="Times New Roman"/>
          <w:lang w:val="en-US"/>
        </w:rPr>
        <w:t xml:space="preserve"> John developed </w:t>
      </w:r>
      <w:r w:rsidR="00490CFA" w:rsidRPr="00A472FC">
        <w:rPr>
          <w:rFonts w:ascii="Times New Roman" w:hAnsi="Times New Roman" w:cs="Times New Roman"/>
          <w:lang w:val="en-US"/>
        </w:rPr>
        <w:t>have</w:t>
      </w:r>
      <w:r w:rsidRPr="00A472FC">
        <w:rPr>
          <w:rFonts w:ascii="Times New Roman" w:hAnsi="Times New Roman" w:cs="Times New Roman"/>
          <w:lang w:val="en-US"/>
        </w:rPr>
        <w:t xml:space="preserve"> long been dismissed by scholars as insignificant, partly on the assumption that early Franciscans like him did little but synthesize and systematize the </w:t>
      </w:r>
      <w:r w:rsidRPr="00A472FC">
        <w:rPr>
          <w:rFonts w:ascii="Times New Roman" w:hAnsi="Times New Roman" w:cs="Times New Roman"/>
          <w:lang w:val="en-US"/>
        </w:rPr>
        <w:lastRenderedPageBreak/>
        <w:t>previously dominant tradition of Augustine in the face of the rising popularity of Aristotle.</w:t>
      </w:r>
      <w:r w:rsidR="009367B2" w:rsidRPr="00A472FC">
        <w:rPr>
          <w:rFonts w:ascii="Times New Roman" w:hAnsi="Times New Roman" w:cs="Times New Roman"/>
          <w:lang w:val="en-US"/>
        </w:rPr>
        <w:t xml:space="preserve"> While Etie</w:t>
      </w:r>
      <w:r w:rsidR="00127B07" w:rsidRPr="00A472FC">
        <w:rPr>
          <w:rFonts w:ascii="Times New Roman" w:hAnsi="Times New Roman" w:cs="Times New Roman"/>
          <w:lang w:val="en-US"/>
        </w:rPr>
        <w:t>nne</w:t>
      </w:r>
      <w:r w:rsidR="009367B2" w:rsidRPr="00A472FC">
        <w:rPr>
          <w:rFonts w:ascii="Times New Roman" w:hAnsi="Times New Roman" w:cs="Times New Roman"/>
          <w:lang w:val="en-US"/>
        </w:rPr>
        <w:t xml:space="preserve"> Gilson </w:t>
      </w:r>
      <w:r w:rsidR="006108DD" w:rsidRPr="00A472FC">
        <w:rPr>
          <w:rFonts w:ascii="Times New Roman" w:hAnsi="Times New Roman" w:cs="Times New Roman"/>
          <w:lang w:val="en-US"/>
        </w:rPr>
        <w:t>among others ha</w:t>
      </w:r>
      <w:r w:rsidR="003513AF" w:rsidRPr="00A472FC">
        <w:rPr>
          <w:rFonts w:ascii="Times New Roman" w:hAnsi="Times New Roman" w:cs="Times New Roman"/>
          <w:lang w:val="en-US"/>
        </w:rPr>
        <w:t>ve</w:t>
      </w:r>
      <w:r w:rsidR="009367B2" w:rsidRPr="00A472FC">
        <w:rPr>
          <w:rFonts w:ascii="Times New Roman" w:hAnsi="Times New Roman" w:cs="Times New Roman"/>
          <w:lang w:val="en-US"/>
        </w:rPr>
        <w:t xml:space="preserve"> acknowledged that recently-translated Arabic sources were mined for the sake of ‘systematizing’ Augustine, </w:t>
      </w:r>
      <w:r w:rsidR="00EF51D2" w:rsidRPr="00A472FC">
        <w:rPr>
          <w:rFonts w:ascii="Times New Roman" w:hAnsi="Times New Roman" w:cs="Times New Roman"/>
          <w:lang w:val="en-US"/>
        </w:rPr>
        <w:t>these</w:t>
      </w:r>
      <w:r w:rsidR="003F017D" w:rsidRPr="00A472FC">
        <w:rPr>
          <w:rFonts w:ascii="Times New Roman" w:hAnsi="Times New Roman" w:cs="Times New Roman"/>
          <w:lang w:val="en-US"/>
        </w:rPr>
        <w:t xml:space="preserve"> sources</w:t>
      </w:r>
      <w:r w:rsidR="00EF51D2" w:rsidRPr="00A472FC">
        <w:rPr>
          <w:rFonts w:ascii="Times New Roman" w:hAnsi="Times New Roman" w:cs="Times New Roman"/>
          <w:lang w:val="en-US"/>
        </w:rPr>
        <w:t xml:space="preserve"> have been perceived </w:t>
      </w:r>
      <w:r w:rsidR="009367B2" w:rsidRPr="00A472FC">
        <w:rPr>
          <w:rFonts w:ascii="Times New Roman" w:hAnsi="Times New Roman" w:cs="Times New Roman"/>
          <w:lang w:val="en-US"/>
        </w:rPr>
        <w:t xml:space="preserve">as </w:t>
      </w:r>
      <w:r w:rsidR="00EF51D2" w:rsidRPr="00A472FC">
        <w:rPr>
          <w:rFonts w:ascii="Times New Roman" w:hAnsi="Times New Roman" w:cs="Times New Roman"/>
          <w:lang w:val="en-US"/>
        </w:rPr>
        <w:t xml:space="preserve">largely </w:t>
      </w:r>
      <w:r w:rsidR="009367B2" w:rsidRPr="00A472FC">
        <w:rPr>
          <w:rFonts w:ascii="Times New Roman" w:hAnsi="Times New Roman" w:cs="Times New Roman"/>
          <w:lang w:val="en-US"/>
        </w:rPr>
        <w:t xml:space="preserve">compatible with </w:t>
      </w:r>
      <w:r w:rsidR="00D771D7" w:rsidRPr="00A472FC">
        <w:rPr>
          <w:rFonts w:ascii="Times New Roman" w:hAnsi="Times New Roman" w:cs="Times New Roman"/>
          <w:lang w:val="en-US"/>
        </w:rPr>
        <w:t>articula</w:t>
      </w:r>
      <w:r w:rsidR="00CA5035" w:rsidRPr="00A472FC">
        <w:rPr>
          <w:rFonts w:ascii="Times New Roman" w:hAnsi="Times New Roman" w:cs="Times New Roman"/>
          <w:lang w:val="en-US"/>
        </w:rPr>
        <w:t>t</w:t>
      </w:r>
      <w:r w:rsidR="00D771D7" w:rsidRPr="00A472FC">
        <w:rPr>
          <w:rFonts w:ascii="Times New Roman" w:hAnsi="Times New Roman" w:cs="Times New Roman"/>
          <w:lang w:val="en-US"/>
        </w:rPr>
        <w:t>ing the meaning of Augustine’s ideas</w:t>
      </w:r>
      <w:r w:rsidR="00EF51D2" w:rsidRPr="00A472FC">
        <w:rPr>
          <w:rFonts w:ascii="Times New Roman" w:hAnsi="Times New Roman" w:cs="Times New Roman"/>
          <w:lang w:val="en-US"/>
        </w:rPr>
        <w:t>. As a consequence</w:t>
      </w:r>
      <w:r w:rsidR="009367B2" w:rsidRPr="00A472FC">
        <w:rPr>
          <w:rFonts w:ascii="Times New Roman" w:hAnsi="Times New Roman" w:cs="Times New Roman"/>
          <w:lang w:val="en-US"/>
        </w:rPr>
        <w:t>, scholars have largely taken for granted that what early Franciscans described as ‘</w:t>
      </w:r>
      <w:proofErr w:type="spellStart"/>
      <w:r w:rsidR="009367B2" w:rsidRPr="00A472FC">
        <w:rPr>
          <w:rFonts w:ascii="Times New Roman" w:hAnsi="Times New Roman" w:cs="Times New Roman"/>
          <w:lang w:val="en-US"/>
        </w:rPr>
        <w:t>Augustinianism</w:t>
      </w:r>
      <w:proofErr w:type="spellEnd"/>
      <w:r w:rsidR="009367B2" w:rsidRPr="00A472FC">
        <w:rPr>
          <w:rFonts w:ascii="Times New Roman" w:hAnsi="Times New Roman" w:cs="Times New Roman"/>
          <w:lang w:val="en-US"/>
        </w:rPr>
        <w:t xml:space="preserve">’ was </w:t>
      </w:r>
      <w:r w:rsidR="00CA5035" w:rsidRPr="00A472FC">
        <w:rPr>
          <w:rFonts w:ascii="Times New Roman" w:hAnsi="Times New Roman" w:cs="Times New Roman"/>
          <w:lang w:val="en-US"/>
        </w:rPr>
        <w:t>a genuine rendering of Augustine’s authentic views</w:t>
      </w:r>
      <w:r w:rsidR="002B2E14" w:rsidRPr="00A472FC">
        <w:rPr>
          <w:rFonts w:ascii="Times New Roman" w:hAnsi="Times New Roman" w:cs="Times New Roman"/>
          <w:lang w:val="en-US"/>
        </w:rPr>
        <w:t>.</w:t>
      </w:r>
      <w:r w:rsidR="009367B2" w:rsidRPr="00A472FC">
        <w:rPr>
          <w:rStyle w:val="FootnoteReference"/>
          <w:rFonts w:ascii="Times New Roman" w:hAnsi="Times New Roman" w:cs="Times New Roman"/>
          <w:lang w:val="en-US"/>
        </w:rPr>
        <w:footnoteReference w:id="8"/>
      </w:r>
      <w:r w:rsidR="009367B2" w:rsidRPr="00A472FC">
        <w:rPr>
          <w:rFonts w:ascii="Times New Roman" w:hAnsi="Times New Roman" w:cs="Times New Roman"/>
          <w:lang w:val="en-US"/>
        </w:rPr>
        <w:t xml:space="preserve"> </w:t>
      </w:r>
      <w:r w:rsidR="002B2E14" w:rsidRPr="00A472FC">
        <w:rPr>
          <w:rFonts w:ascii="Times New Roman" w:hAnsi="Times New Roman" w:cs="Times New Roman"/>
          <w:lang w:val="en-US"/>
        </w:rPr>
        <w:t>A</w:t>
      </w:r>
      <w:r w:rsidR="009367B2" w:rsidRPr="00A472FC">
        <w:rPr>
          <w:rFonts w:ascii="Times New Roman" w:hAnsi="Times New Roman" w:cs="Times New Roman"/>
          <w:lang w:val="en-US"/>
        </w:rPr>
        <w:t>ny Arabic-language influence, if it is acknowledged at all, is</w:t>
      </w:r>
      <w:r w:rsidR="00D96143" w:rsidRPr="00A472FC">
        <w:rPr>
          <w:rFonts w:ascii="Times New Roman" w:hAnsi="Times New Roman" w:cs="Times New Roman"/>
          <w:lang w:val="en-US"/>
        </w:rPr>
        <w:t xml:space="preserve"> deemed </w:t>
      </w:r>
      <w:r w:rsidR="00897F36" w:rsidRPr="00A472FC">
        <w:rPr>
          <w:rFonts w:ascii="Times New Roman" w:hAnsi="Times New Roman" w:cs="Times New Roman"/>
          <w:lang w:val="en-US"/>
        </w:rPr>
        <w:t xml:space="preserve">secondary to </w:t>
      </w:r>
      <w:r w:rsidR="00E327AC" w:rsidRPr="00A472FC">
        <w:rPr>
          <w:rFonts w:ascii="Times New Roman" w:hAnsi="Times New Roman" w:cs="Times New Roman"/>
          <w:lang w:val="en-US"/>
        </w:rPr>
        <w:t xml:space="preserve">and basically compatible with </w:t>
      </w:r>
      <w:r w:rsidR="00897F36" w:rsidRPr="00A472FC">
        <w:rPr>
          <w:rFonts w:ascii="Times New Roman" w:hAnsi="Times New Roman" w:cs="Times New Roman"/>
          <w:lang w:val="en-US"/>
        </w:rPr>
        <w:t>that of Augustine</w:t>
      </w:r>
      <w:r w:rsidR="009367B2" w:rsidRPr="00A472FC">
        <w:rPr>
          <w:rFonts w:ascii="Times New Roman" w:hAnsi="Times New Roman" w:cs="Times New Roman"/>
          <w:lang w:val="en-US"/>
        </w:rPr>
        <w:t>.</w:t>
      </w:r>
      <w:r w:rsidR="009367B2" w:rsidRPr="00A472FC">
        <w:rPr>
          <w:rStyle w:val="FootnoteReference"/>
          <w:rFonts w:ascii="Times New Roman" w:hAnsi="Times New Roman" w:cs="Times New Roman"/>
        </w:rPr>
        <w:footnoteReference w:id="9"/>
      </w:r>
      <w:r w:rsidR="009367B2" w:rsidRPr="00A472FC">
        <w:rPr>
          <w:rFonts w:ascii="Times New Roman" w:hAnsi="Times New Roman" w:cs="Times New Roman"/>
          <w:lang w:val="en-US"/>
        </w:rPr>
        <w:t xml:space="preserve"> </w:t>
      </w:r>
    </w:p>
    <w:p w14:paraId="28A79B4A" w14:textId="462E420C" w:rsidR="00226D7A" w:rsidRPr="00A472FC" w:rsidRDefault="009367B2" w:rsidP="00F672A7">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 generation of Franciscan scholars who worked after John and Alexander, above all, their prize student Bonaventure, </w:t>
      </w:r>
      <w:r w:rsidR="00843AD9" w:rsidRPr="00A472FC">
        <w:rPr>
          <w:rFonts w:ascii="Times New Roman" w:hAnsi="Times New Roman" w:cs="Times New Roman"/>
          <w:lang w:val="en-US"/>
        </w:rPr>
        <w:t xml:space="preserve">did not help to correct </w:t>
      </w:r>
      <w:r w:rsidR="00F672A7" w:rsidRPr="00A472FC">
        <w:rPr>
          <w:rFonts w:ascii="Times New Roman" w:hAnsi="Times New Roman" w:cs="Times New Roman"/>
          <w:lang w:val="en-US"/>
        </w:rPr>
        <w:t>the common scholarly</w:t>
      </w:r>
      <w:r w:rsidR="00843AD9" w:rsidRPr="00A472FC">
        <w:rPr>
          <w:rFonts w:ascii="Times New Roman" w:hAnsi="Times New Roman" w:cs="Times New Roman"/>
          <w:lang w:val="en-US"/>
        </w:rPr>
        <w:t xml:space="preserve"> opinion in this regard</w:t>
      </w:r>
      <w:r w:rsidRPr="00A472FC">
        <w:rPr>
          <w:rFonts w:ascii="Times New Roman" w:hAnsi="Times New Roman" w:cs="Times New Roman"/>
          <w:lang w:val="en-US"/>
        </w:rPr>
        <w:t xml:space="preserve">. </w:t>
      </w:r>
      <w:r w:rsidR="00A3028A" w:rsidRPr="00A472FC">
        <w:rPr>
          <w:rFonts w:ascii="Times New Roman" w:hAnsi="Times New Roman" w:cs="Times New Roman"/>
          <w:lang w:val="en-US"/>
        </w:rPr>
        <w:t xml:space="preserve">For </w:t>
      </w:r>
      <w:r w:rsidR="007C2A45" w:rsidRPr="00A472FC">
        <w:rPr>
          <w:rFonts w:ascii="Times New Roman" w:hAnsi="Times New Roman" w:cs="Times New Roman"/>
          <w:lang w:val="en-US"/>
        </w:rPr>
        <w:t xml:space="preserve">his part, </w:t>
      </w:r>
      <w:r w:rsidR="00A3028A" w:rsidRPr="00A472FC">
        <w:rPr>
          <w:rFonts w:ascii="Times New Roman" w:hAnsi="Times New Roman" w:cs="Times New Roman"/>
          <w:lang w:val="en-US"/>
        </w:rPr>
        <w:t xml:space="preserve">Bonaventure </w:t>
      </w:r>
      <w:r w:rsidRPr="00A472FC">
        <w:rPr>
          <w:rFonts w:ascii="Times New Roman" w:hAnsi="Times New Roman" w:cs="Times New Roman"/>
          <w:lang w:val="en-US"/>
        </w:rPr>
        <w:t>defended his ‘</w:t>
      </w:r>
      <w:proofErr w:type="spellStart"/>
      <w:r w:rsidRPr="00A472FC">
        <w:rPr>
          <w:rFonts w:ascii="Times New Roman" w:hAnsi="Times New Roman" w:cs="Times New Roman"/>
          <w:lang w:val="en-US"/>
        </w:rPr>
        <w:t>Augustinianism</w:t>
      </w:r>
      <w:proofErr w:type="spellEnd"/>
      <w:r w:rsidRPr="00A472FC">
        <w:rPr>
          <w:rFonts w:ascii="Times New Roman" w:hAnsi="Times New Roman" w:cs="Times New Roman"/>
          <w:lang w:val="en-US"/>
        </w:rPr>
        <w:t xml:space="preserve">’ vigorously, as if the whole weight of theological orthodoxy depended upon it, without </w:t>
      </w:r>
      <w:r w:rsidR="00686702" w:rsidRPr="00A472FC">
        <w:rPr>
          <w:rFonts w:ascii="Times New Roman" w:hAnsi="Times New Roman" w:cs="Times New Roman"/>
          <w:lang w:val="en-US"/>
        </w:rPr>
        <w:t>acknowledging</w:t>
      </w:r>
      <w:r w:rsidRPr="00A472FC">
        <w:rPr>
          <w:rFonts w:ascii="Times New Roman" w:hAnsi="Times New Roman" w:cs="Times New Roman"/>
          <w:lang w:val="en-US"/>
        </w:rPr>
        <w:t xml:space="preserve"> that this tradition </w:t>
      </w:r>
      <w:r w:rsidR="00A3028A" w:rsidRPr="00A472FC">
        <w:rPr>
          <w:rFonts w:ascii="Times New Roman" w:hAnsi="Times New Roman" w:cs="Times New Roman"/>
          <w:lang w:val="en-US"/>
        </w:rPr>
        <w:t xml:space="preserve">as he understood it </w:t>
      </w:r>
      <w:r w:rsidRPr="00A472FC">
        <w:rPr>
          <w:rFonts w:ascii="Times New Roman" w:hAnsi="Times New Roman" w:cs="Times New Roman"/>
          <w:lang w:val="en-US"/>
        </w:rPr>
        <w:t xml:space="preserve">was invented only </w:t>
      </w:r>
      <w:r w:rsidR="00DD251B" w:rsidRPr="00A472FC">
        <w:rPr>
          <w:rFonts w:ascii="Times New Roman" w:hAnsi="Times New Roman" w:cs="Times New Roman"/>
          <w:lang w:val="en-US"/>
        </w:rPr>
        <w:t>twenty-five</w:t>
      </w:r>
      <w:r w:rsidRPr="00A472FC">
        <w:rPr>
          <w:rFonts w:ascii="Times New Roman" w:hAnsi="Times New Roman" w:cs="Times New Roman"/>
          <w:lang w:val="en-US"/>
        </w:rPr>
        <w:t xml:space="preserve"> years earlier by the likes of John and Alexander</w:t>
      </w:r>
      <w:r w:rsidR="00A431AF" w:rsidRPr="00A472FC">
        <w:rPr>
          <w:rFonts w:ascii="Times New Roman" w:hAnsi="Times New Roman" w:cs="Times New Roman"/>
          <w:lang w:val="en-US"/>
        </w:rPr>
        <w:t>, largely</w:t>
      </w:r>
      <w:r w:rsidRPr="00A472FC">
        <w:rPr>
          <w:rFonts w:ascii="Times New Roman" w:hAnsi="Times New Roman" w:cs="Times New Roman"/>
          <w:lang w:val="en-US"/>
        </w:rPr>
        <w:t xml:space="preserve"> on the basis of sources that were </w:t>
      </w:r>
      <w:r w:rsidR="004570EC" w:rsidRPr="00A472FC">
        <w:rPr>
          <w:rFonts w:ascii="Times New Roman" w:hAnsi="Times New Roman" w:cs="Times New Roman"/>
          <w:lang w:val="en-US"/>
        </w:rPr>
        <w:t>not of</w:t>
      </w:r>
      <w:r w:rsidRPr="00A472FC">
        <w:rPr>
          <w:rFonts w:ascii="Times New Roman" w:hAnsi="Times New Roman" w:cs="Times New Roman"/>
          <w:lang w:val="en-US"/>
        </w:rPr>
        <w:t xml:space="preserve"> Christian </w:t>
      </w:r>
      <w:r w:rsidR="004570EC" w:rsidRPr="00A472FC">
        <w:rPr>
          <w:rFonts w:ascii="Times New Roman" w:hAnsi="Times New Roman" w:cs="Times New Roman"/>
          <w:lang w:val="en-US"/>
        </w:rPr>
        <w:t>patrimony</w:t>
      </w:r>
      <w:r w:rsidRPr="00A472FC">
        <w:rPr>
          <w:rFonts w:ascii="Times New Roman" w:hAnsi="Times New Roman" w:cs="Times New Roman"/>
          <w:lang w:val="en-US"/>
        </w:rPr>
        <w:t xml:space="preserve"> and </w:t>
      </w:r>
      <w:r w:rsidR="00632AB0" w:rsidRPr="00A472FC">
        <w:rPr>
          <w:rFonts w:ascii="Times New Roman" w:hAnsi="Times New Roman" w:cs="Times New Roman"/>
          <w:lang w:val="en-US"/>
        </w:rPr>
        <w:t xml:space="preserve">were far removed from Augustine both conceptually and contextually. </w:t>
      </w:r>
      <w:r w:rsidR="00702D20" w:rsidRPr="00A472FC">
        <w:rPr>
          <w:rFonts w:ascii="Times New Roman" w:hAnsi="Times New Roman" w:cs="Times New Roman"/>
          <w:lang w:val="en-US"/>
        </w:rPr>
        <w:t xml:space="preserve">Nevertheless, </w:t>
      </w:r>
      <w:r w:rsidRPr="00A472FC">
        <w:rPr>
          <w:rFonts w:ascii="Times New Roman" w:hAnsi="Times New Roman" w:cs="Times New Roman"/>
          <w:lang w:val="en-US"/>
        </w:rPr>
        <w:t xml:space="preserve">Bonaventure has been regarded by </w:t>
      </w:r>
      <w:r w:rsidR="00CC592C" w:rsidRPr="00A472FC">
        <w:rPr>
          <w:rFonts w:ascii="Times New Roman" w:hAnsi="Times New Roman" w:cs="Times New Roman"/>
          <w:lang w:val="en-US"/>
        </w:rPr>
        <w:t>many medievalists</w:t>
      </w:r>
      <w:r w:rsidRPr="00A472FC">
        <w:rPr>
          <w:rFonts w:ascii="Times New Roman" w:hAnsi="Times New Roman" w:cs="Times New Roman"/>
          <w:lang w:val="en-US"/>
        </w:rPr>
        <w:t xml:space="preserve"> as the mature representative of </w:t>
      </w:r>
      <w:r w:rsidR="00702D20" w:rsidRPr="00A472FC">
        <w:rPr>
          <w:rFonts w:ascii="Times New Roman" w:hAnsi="Times New Roman" w:cs="Times New Roman"/>
          <w:lang w:val="en-US"/>
        </w:rPr>
        <w:t>the early Franciscan</w:t>
      </w:r>
      <w:r w:rsidRPr="00A472FC">
        <w:rPr>
          <w:rFonts w:ascii="Times New Roman" w:hAnsi="Times New Roman" w:cs="Times New Roman"/>
          <w:lang w:val="en-US"/>
        </w:rPr>
        <w:t xml:space="preserve"> tradition, </w:t>
      </w:r>
      <w:r w:rsidR="00702D20" w:rsidRPr="00A472FC">
        <w:rPr>
          <w:rFonts w:ascii="Times New Roman" w:hAnsi="Times New Roman" w:cs="Times New Roman"/>
          <w:lang w:val="en-US"/>
        </w:rPr>
        <w:t xml:space="preserve">and thus </w:t>
      </w:r>
      <w:r w:rsidRPr="00A472FC">
        <w:rPr>
          <w:rFonts w:ascii="Times New Roman" w:hAnsi="Times New Roman" w:cs="Times New Roman"/>
          <w:lang w:val="en-US"/>
        </w:rPr>
        <w:t>the role his teachers played in forging it have been overlooked.</w:t>
      </w:r>
      <w:r w:rsidR="003A3580" w:rsidRPr="00A472FC">
        <w:rPr>
          <w:rStyle w:val="FootnoteReference"/>
          <w:rFonts w:ascii="Times New Roman" w:hAnsi="Times New Roman" w:cs="Times New Roman"/>
          <w:lang w:val="en-US"/>
        </w:rPr>
        <w:footnoteReference w:id="10"/>
      </w:r>
      <w:r w:rsidR="00FF36E1" w:rsidRPr="00A472FC">
        <w:rPr>
          <w:rFonts w:ascii="Times New Roman" w:hAnsi="Times New Roman" w:cs="Times New Roman"/>
          <w:lang w:val="en-US"/>
        </w:rPr>
        <w:t xml:space="preserve"> </w:t>
      </w:r>
    </w:p>
    <w:p w14:paraId="6E619DBC" w14:textId="34EB9975" w:rsidR="00792B93" w:rsidRPr="00A472FC" w:rsidRDefault="009367B2" w:rsidP="00792B93">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The present study will rectify that situation through a close study of the works on the soul by and based on the writings of John of La Rochelle</w:t>
      </w:r>
      <w:r w:rsidR="00A40478" w:rsidRPr="00A472FC">
        <w:rPr>
          <w:rFonts w:ascii="Times New Roman" w:hAnsi="Times New Roman" w:cs="Times New Roman"/>
          <w:lang w:val="en-US"/>
        </w:rPr>
        <w:t xml:space="preserve">. This study will </w:t>
      </w:r>
      <w:r w:rsidR="00CD1BB4" w:rsidRPr="00A472FC">
        <w:rPr>
          <w:rFonts w:ascii="Times New Roman" w:hAnsi="Times New Roman" w:cs="Times New Roman"/>
          <w:lang w:val="en-US"/>
        </w:rPr>
        <w:t>illustrat</w:t>
      </w:r>
      <w:r w:rsidR="00A40478" w:rsidRPr="00A472FC">
        <w:rPr>
          <w:rFonts w:ascii="Times New Roman" w:hAnsi="Times New Roman" w:cs="Times New Roman"/>
          <w:lang w:val="en-US"/>
        </w:rPr>
        <w:t>e</w:t>
      </w:r>
      <w:r w:rsidR="00CD1BB4" w:rsidRPr="00A472FC">
        <w:rPr>
          <w:rFonts w:ascii="Times New Roman" w:hAnsi="Times New Roman" w:cs="Times New Roman"/>
          <w:lang w:val="en-US"/>
        </w:rPr>
        <w:t xml:space="preserve"> the extent to which John invoked Augustine—or rather pseudo-Augustinian texts—and other key Christian authorities like John of Damascus</w:t>
      </w:r>
      <w:r w:rsidR="00226D7A" w:rsidRPr="00A472FC">
        <w:rPr>
          <w:rFonts w:ascii="Times New Roman" w:hAnsi="Times New Roman" w:cs="Times New Roman"/>
          <w:lang w:val="en-US"/>
        </w:rPr>
        <w:t>,</w:t>
      </w:r>
      <w:r w:rsidR="00CD1BB4" w:rsidRPr="00A472FC">
        <w:rPr>
          <w:rFonts w:ascii="Times New Roman" w:hAnsi="Times New Roman" w:cs="Times New Roman"/>
          <w:lang w:val="en-US"/>
        </w:rPr>
        <w:t xml:space="preserve"> as a means to incorporating </w:t>
      </w:r>
      <w:r w:rsidR="006D1099" w:rsidRPr="00A472FC">
        <w:rPr>
          <w:rFonts w:ascii="Times New Roman" w:hAnsi="Times New Roman" w:cs="Times New Roman"/>
          <w:lang w:val="en-US"/>
        </w:rPr>
        <w:t xml:space="preserve">certain </w:t>
      </w:r>
      <w:r w:rsidR="00CD1BB4" w:rsidRPr="00A472FC">
        <w:rPr>
          <w:rFonts w:ascii="Times New Roman" w:hAnsi="Times New Roman" w:cs="Times New Roman"/>
          <w:lang w:val="en-US"/>
        </w:rPr>
        <w:t xml:space="preserve">Islamic and Jewish philosophical </w:t>
      </w:r>
      <w:r w:rsidR="006D1099" w:rsidRPr="00A472FC">
        <w:rPr>
          <w:rFonts w:ascii="Times New Roman" w:hAnsi="Times New Roman" w:cs="Times New Roman"/>
          <w:lang w:val="en-US"/>
        </w:rPr>
        <w:t>sources that had been</w:t>
      </w:r>
      <w:r w:rsidR="00CD1BB4" w:rsidRPr="00A472FC">
        <w:rPr>
          <w:rFonts w:ascii="Times New Roman" w:hAnsi="Times New Roman" w:cs="Times New Roman"/>
          <w:lang w:val="en-US"/>
        </w:rPr>
        <w:t xml:space="preserve"> </w:t>
      </w:r>
      <w:r w:rsidR="00B606C9" w:rsidRPr="00A472FC">
        <w:rPr>
          <w:rFonts w:ascii="Times New Roman" w:hAnsi="Times New Roman" w:cs="Times New Roman"/>
          <w:lang w:val="en-US"/>
        </w:rPr>
        <w:t>recently translated from Arabic</w:t>
      </w:r>
      <w:r w:rsidR="005A4931" w:rsidRPr="00A472FC">
        <w:rPr>
          <w:rFonts w:ascii="Times New Roman" w:hAnsi="Times New Roman" w:cs="Times New Roman"/>
          <w:lang w:val="en-US"/>
        </w:rPr>
        <w:t xml:space="preserve"> into his own psychological framework</w:t>
      </w:r>
      <w:r w:rsidR="00B606C9" w:rsidRPr="00A472FC">
        <w:rPr>
          <w:rFonts w:ascii="Times New Roman" w:hAnsi="Times New Roman" w:cs="Times New Roman"/>
          <w:lang w:val="en-US"/>
        </w:rPr>
        <w:t xml:space="preserve">. </w:t>
      </w:r>
      <w:r w:rsidR="00FE0DEE" w:rsidRPr="00A472FC">
        <w:rPr>
          <w:rFonts w:ascii="Times New Roman" w:hAnsi="Times New Roman" w:cs="Times New Roman"/>
          <w:lang w:val="en-US"/>
        </w:rPr>
        <w:t>As the forthcoming chapters will sh</w:t>
      </w:r>
      <w:r w:rsidR="00792B93" w:rsidRPr="00A472FC">
        <w:rPr>
          <w:rFonts w:ascii="Times New Roman" w:hAnsi="Times New Roman" w:cs="Times New Roman"/>
          <w:lang w:val="en-US"/>
        </w:rPr>
        <w:t>o</w:t>
      </w:r>
      <w:r w:rsidR="00FE0DEE" w:rsidRPr="00A472FC">
        <w:rPr>
          <w:rFonts w:ascii="Times New Roman" w:hAnsi="Times New Roman" w:cs="Times New Roman"/>
          <w:lang w:val="en-US"/>
        </w:rPr>
        <w:t xml:space="preserve">w, the use of this tactic was not necessarily due to any embarrassment concerning the appropriation </w:t>
      </w:r>
      <w:r w:rsidR="00792B93" w:rsidRPr="00A472FC">
        <w:rPr>
          <w:rFonts w:ascii="Times New Roman" w:hAnsi="Times New Roman" w:cs="Times New Roman"/>
          <w:lang w:val="en-US"/>
        </w:rPr>
        <w:t xml:space="preserve">of Islamic and Jewish sources. </w:t>
      </w:r>
      <w:r w:rsidR="009B4752" w:rsidRPr="00A472FC">
        <w:rPr>
          <w:rFonts w:ascii="Times New Roman" w:hAnsi="Times New Roman" w:cs="Times New Roman"/>
          <w:lang w:val="en-US"/>
        </w:rPr>
        <w:t>Admittedly, there</w:t>
      </w:r>
      <w:r w:rsidR="00792B93" w:rsidRPr="00A472FC">
        <w:rPr>
          <w:rFonts w:ascii="Times New Roman" w:hAnsi="Times New Roman" w:cs="Times New Roman"/>
          <w:lang w:val="en-US"/>
        </w:rPr>
        <w:t xml:space="preserve"> was considerable antipathy in this period towards followers of non-Christian religions, who were often persecuted and sometimes even forced into conversion, not least by members of the </w:t>
      </w:r>
      <w:r w:rsidR="00D007BE" w:rsidRPr="00A472FC">
        <w:rPr>
          <w:rFonts w:ascii="Times New Roman" w:hAnsi="Times New Roman" w:cs="Times New Roman"/>
          <w:lang w:val="en-US"/>
        </w:rPr>
        <w:t xml:space="preserve">Franciscan </w:t>
      </w:r>
      <w:r w:rsidR="00792B93" w:rsidRPr="00A472FC">
        <w:rPr>
          <w:rFonts w:ascii="Times New Roman" w:hAnsi="Times New Roman" w:cs="Times New Roman"/>
          <w:lang w:val="en-US"/>
        </w:rPr>
        <w:t>religious order</w:t>
      </w:r>
      <w:r w:rsidR="00FE0DEE" w:rsidRPr="00A472FC">
        <w:rPr>
          <w:rFonts w:ascii="Times New Roman" w:hAnsi="Times New Roman" w:cs="Times New Roman"/>
          <w:lang w:val="en-US"/>
        </w:rPr>
        <w:t>.</w:t>
      </w:r>
      <w:r w:rsidR="00FE0DEE" w:rsidRPr="00A472FC">
        <w:rPr>
          <w:rStyle w:val="FootnoteReference"/>
          <w:rFonts w:ascii="Times New Roman" w:hAnsi="Times New Roman" w:cs="Times New Roman"/>
          <w:lang w:val="en-US"/>
        </w:rPr>
        <w:footnoteReference w:id="11"/>
      </w:r>
    </w:p>
    <w:p w14:paraId="1FA488D9" w14:textId="152448C0" w:rsidR="00F021C2" w:rsidRPr="00A472FC" w:rsidRDefault="007F1184" w:rsidP="001A0A0B">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However</w:t>
      </w:r>
      <w:r w:rsidR="00792B93" w:rsidRPr="00A472FC">
        <w:rPr>
          <w:rFonts w:ascii="Times New Roman" w:hAnsi="Times New Roman" w:cs="Times New Roman"/>
          <w:lang w:val="en-US"/>
        </w:rPr>
        <w:t xml:space="preserve">, Latin </w:t>
      </w:r>
      <w:r w:rsidR="009B4F1C" w:rsidRPr="00A472FC">
        <w:rPr>
          <w:rFonts w:ascii="Times New Roman" w:hAnsi="Times New Roman" w:cs="Times New Roman"/>
          <w:lang w:val="en-US"/>
        </w:rPr>
        <w:t>thinkers</w:t>
      </w:r>
      <w:r w:rsidR="00792B93" w:rsidRPr="00A472FC">
        <w:rPr>
          <w:rFonts w:ascii="Times New Roman" w:hAnsi="Times New Roman" w:cs="Times New Roman"/>
          <w:lang w:val="en-US"/>
        </w:rPr>
        <w:t xml:space="preserve"> appear to have regarded Islamic and Jewish scholars as philosoph</w:t>
      </w:r>
      <w:r w:rsidR="004D1AC5" w:rsidRPr="00A472FC">
        <w:rPr>
          <w:rFonts w:ascii="Times New Roman" w:hAnsi="Times New Roman" w:cs="Times New Roman"/>
          <w:lang w:val="en-US"/>
        </w:rPr>
        <w:t>ical</w:t>
      </w:r>
      <w:r w:rsidR="00792B93" w:rsidRPr="00A472FC">
        <w:rPr>
          <w:rFonts w:ascii="Times New Roman" w:hAnsi="Times New Roman" w:cs="Times New Roman"/>
          <w:lang w:val="en-US"/>
        </w:rPr>
        <w:t xml:space="preserve"> rather than </w:t>
      </w:r>
      <w:r w:rsidR="00820DC7" w:rsidRPr="00A472FC">
        <w:rPr>
          <w:rFonts w:ascii="Times New Roman" w:hAnsi="Times New Roman" w:cs="Times New Roman"/>
          <w:lang w:val="en-US"/>
        </w:rPr>
        <w:t xml:space="preserve">religious authorities, </w:t>
      </w:r>
      <w:r w:rsidR="00D50599" w:rsidRPr="00A472FC">
        <w:rPr>
          <w:rFonts w:ascii="Times New Roman" w:hAnsi="Times New Roman" w:cs="Times New Roman"/>
          <w:lang w:val="en-US"/>
        </w:rPr>
        <w:t>who had much to offer Latin scholars seeking to develop their own sophisticated intellectual tradition.</w:t>
      </w:r>
      <w:r w:rsidR="00F21837" w:rsidRPr="00A472FC">
        <w:rPr>
          <w:rFonts w:ascii="Times New Roman" w:hAnsi="Times New Roman" w:cs="Times New Roman"/>
          <w:lang w:val="en-US"/>
        </w:rPr>
        <w:t xml:space="preserve"> </w:t>
      </w:r>
      <w:r w:rsidR="00940953" w:rsidRPr="00A472FC">
        <w:rPr>
          <w:rFonts w:ascii="Times New Roman" w:hAnsi="Times New Roman" w:cs="Times New Roman"/>
          <w:lang w:val="en-US"/>
        </w:rPr>
        <w:t>Nevertheless</w:t>
      </w:r>
      <w:r w:rsidR="00AA3A86" w:rsidRPr="00A472FC">
        <w:rPr>
          <w:rFonts w:ascii="Times New Roman" w:hAnsi="Times New Roman" w:cs="Times New Roman"/>
          <w:lang w:val="en-US"/>
        </w:rPr>
        <w:t xml:space="preserve">, </w:t>
      </w:r>
      <w:r w:rsidR="001D2C05" w:rsidRPr="00A472FC">
        <w:rPr>
          <w:rFonts w:ascii="Times New Roman" w:hAnsi="Times New Roman" w:cs="Times New Roman"/>
          <w:lang w:val="en-US"/>
        </w:rPr>
        <w:t>the</w:t>
      </w:r>
      <w:r w:rsidR="00CD1BB4" w:rsidRPr="00A472FC">
        <w:rPr>
          <w:rFonts w:ascii="Times New Roman" w:hAnsi="Times New Roman" w:cs="Times New Roman"/>
          <w:lang w:val="en-US"/>
        </w:rPr>
        <w:t xml:space="preserve"> </w:t>
      </w:r>
      <w:r w:rsidR="00AA3A86" w:rsidRPr="00A472FC">
        <w:rPr>
          <w:rFonts w:ascii="Times New Roman" w:hAnsi="Times New Roman" w:cs="Times New Roman"/>
          <w:lang w:val="en-US"/>
        </w:rPr>
        <w:t>comparatively ‘modern’</w:t>
      </w:r>
      <w:r w:rsidR="00CD1BB4" w:rsidRPr="00A472FC">
        <w:rPr>
          <w:rFonts w:ascii="Times New Roman" w:hAnsi="Times New Roman" w:cs="Times New Roman"/>
          <w:lang w:val="en-US"/>
        </w:rPr>
        <w:t xml:space="preserve"> </w:t>
      </w:r>
      <w:r w:rsidR="001D2C05" w:rsidRPr="00A472FC">
        <w:rPr>
          <w:rFonts w:ascii="Times New Roman" w:hAnsi="Times New Roman" w:cs="Times New Roman"/>
          <w:lang w:val="en-US"/>
        </w:rPr>
        <w:t xml:space="preserve">nature of the Arabic </w:t>
      </w:r>
      <w:r w:rsidR="00CD1BB4" w:rsidRPr="00A472FC">
        <w:rPr>
          <w:rFonts w:ascii="Times New Roman" w:hAnsi="Times New Roman" w:cs="Times New Roman"/>
          <w:lang w:val="en-US"/>
        </w:rPr>
        <w:t>sources</w:t>
      </w:r>
      <w:r w:rsidR="001D2C05" w:rsidRPr="00A472FC">
        <w:rPr>
          <w:rFonts w:ascii="Times New Roman" w:hAnsi="Times New Roman" w:cs="Times New Roman"/>
          <w:lang w:val="en-US"/>
        </w:rPr>
        <w:t xml:space="preserve"> </w:t>
      </w:r>
      <w:r w:rsidR="00CD1BB4" w:rsidRPr="00A472FC">
        <w:rPr>
          <w:rFonts w:ascii="Times New Roman" w:hAnsi="Times New Roman" w:cs="Times New Roman"/>
          <w:lang w:val="en-US"/>
        </w:rPr>
        <w:t xml:space="preserve">meant that, under the scholastic protocol employed in the early university, those wishing to </w:t>
      </w:r>
      <w:r w:rsidR="00D85C00" w:rsidRPr="00A472FC">
        <w:rPr>
          <w:rFonts w:ascii="Times New Roman" w:hAnsi="Times New Roman" w:cs="Times New Roman"/>
          <w:lang w:val="en-US"/>
        </w:rPr>
        <w:t>invoke</w:t>
      </w:r>
      <w:r w:rsidR="00CD1BB4" w:rsidRPr="00A472FC">
        <w:rPr>
          <w:rFonts w:ascii="Times New Roman" w:hAnsi="Times New Roman" w:cs="Times New Roman"/>
          <w:lang w:val="en-US"/>
        </w:rPr>
        <w:t xml:space="preserve"> the</w:t>
      </w:r>
      <w:r w:rsidR="008E5A7A" w:rsidRPr="00A472FC">
        <w:rPr>
          <w:rFonts w:ascii="Times New Roman" w:hAnsi="Times New Roman" w:cs="Times New Roman"/>
          <w:lang w:val="en-US"/>
        </w:rPr>
        <w:t>m</w:t>
      </w:r>
      <w:r w:rsidR="00CD1BB4" w:rsidRPr="00A472FC">
        <w:rPr>
          <w:rFonts w:ascii="Times New Roman" w:hAnsi="Times New Roman" w:cs="Times New Roman"/>
          <w:lang w:val="en-US"/>
        </w:rPr>
        <w:t xml:space="preserve"> needed to find a point of contact in the existing canon of Christian authorities, or a </w:t>
      </w:r>
      <w:r w:rsidR="00D71FE3" w:rsidRPr="00A472FC">
        <w:rPr>
          <w:rFonts w:ascii="Times New Roman" w:hAnsi="Times New Roman" w:cs="Times New Roman"/>
          <w:lang w:val="en-US"/>
        </w:rPr>
        <w:t>‘</w:t>
      </w:r>
      <w:r w:rsidR="00CD1BB4" w:rsidRPr="00A472FC">
        <w:rPr>
          <w:rFonts w:ascii="Times New Roman" w:hAnsi="Times New Roman" w:cs="Times New Roman"/>
          <w:lang w:val="en-US"/>
        </w:rPr>
        <w:t>proof text</w:t>
      </w:r>
      <w:r w:rsidR="00D71FE3" w:rsidRPr="00A472FC">
        <w:rPr>
          <w:rFonts w:ascii="Times New Roman" w:hAnsi="Times New Roman" w:cs="Times New Roman"/>
          <w:lang w:val="en-US"/>
        </w:rPr>
        <w:t>’</w:t>
      </w:r>
      <w:r w:rsidR="00CD1BB4" w:rsidRPr="00A472FC">
        <w:rPr>
          <w:rFonts w:ascii="Times New Roman" w:hAnsi="Times New Roman" w:cs="Times New Roman"/>
          <w:lang w:val="en-US"/>
        </w:rPr>
        <w:t xml:space="preserve">, </w:t>
      </w:r>
      <w:r w:rsidR="003817F2" w:rsidRPr="00A472FC">
        <w:rPr>
          <w:rFonts w:ascii="Times New Roman" w:hAnsi="Times New Roman" w:cs="Times New Roman"/>
          <w:lang w:val="en-US"/>
        </w:rPr>
        <w:t xml:space="preserve">from the </w:t>
      </w:r>
      <w:r w:rsidR="00CD1BB4" w:rsidRPr="00A472FC">
        <w:rPr>
          <w:rFonts w:ascii="Times New Roman" w:hAnsi="Times New Roman" w:cs="Times New Roman"/>
          <w:lang w:val="en-US"/>
        </w:rPr>
        <w:t>old tradition</w:t>
      </w:r>
      <w:r w:rsidR="003817F2" w:rsidRPr="00A472FC">
        <w:rPr>
          <w:rFonts w:ascii="Times New Roman" w:hAnsi="Times New Roman" w:cs="Times New Roman"/>
          <w:lang w:val="en-US"/>
        </w:rPr>
        <w:t xml:space="preserve"> to justify the </w:t>
      </w:r>
      <w:r w:rsidR="003817F2" w:rsidRPr="00A472FC">
        <w:rPr>
          <w:rFonts w:ascii="Times New Roman" w:hAnsi="Times New Roman" w:cs="Times New Roman"/>
          <w:lang w:val="en-US"/>
        </w:rPr>
        <w:lastRenderedPageBreak/>
        <w:t>use of the new</w:t>
      </w:r>
      <w:r w:rsidR="00CD1BB4" w:rsidRPr="00A472FC">
        <w:rPr>
          <w:rFonts w:ascii="Times New Roman" w:hAnsi="Times New Roman" w:cs="Times New Roman"/>
          <w:lang w:val="en-US"/>
        </w:rPr>
        <w:t>.</w:t>
      </w:r>
      <w:r w:rsidR="006A61B5" w:rsidRPr="00A472FC">
        <w:rPr>
          <w:rStyle w:val="FootnoteReference"/>
          <w:rFonts w:ascii="Times New Roman" w:hAnsi="Times New Roman" w:cs="Times New Roman"/>
          <w:lang w:val="en-US"/>
        </w:rPr>
        <w:footnoteReference w:id="12"/>
      </w:r>
      <w:r w:rsidR="00CD1BB4" w:rsidRPr="00A472FC">
        <w:rPr>
          <w:rFonts w:ascii="Times New Roman" w:hAnsi="Times New Roman" w:cs="Times New Roman"/>
          <w:lang w:val="en-US"/>
        </w:rPr>
        <w:t xml:space="preserve"> </w:t>
      </w:r>
      <w:r w:rsidR="007A5612" w:rsidRPr="00A472FC">
        <w:rPr>
          <w:rFonts w:ascii="Times New Roman" w:hAnsi="Times New Roman" w:cs="Times New Roman"/>
          <w:lang w:val="en-US"/>
        </w:rPr>
        <w:t>Such referencing was</w:t>
      </w:r>
      <w:r w:rsidR="00CD1BB4" w:rsidRPr="00A472FC">
        <w:rPr>
          <w:rFonts w:ascii="Times New Roman" w:hAnsi="Times New Roman" w:cs="Times New Roman"/>
          <w:lang w:val="en-US"/>
        </w:rPr>
        <w:t xml:space="preserve"> </w:t>
      </w:r>
      <w:r w:rsidR="00E84B7C" w:rsidRPr="00A472FC">
        <w:rPr>
          <w:rFonts w:ascii="Times New Roman" w:hAnsi="Times New Roman" w:cs="Times New Roman"/>
          <w:lang w:val="en-US"/>
        </w:rPr>
        <w:t xml:space="preserve">not necessarily or even normally designed to explain or defend the view of the authority quoted; </w:t>
      </w:r>
      <w:r w:rsidR="0075701D" w:rsidRPr="00A472FC">
        <w:rPr>
          <w:rFonts w:ascii="Times New Roman" w:hAnsi="Times New Roman" w:cs="Times New Roman"/>
          <w:lang w:val="en-US"/>
        </w:rPr>
        <w:t>rather</w:t>
      </w:r>
      <w:r w:rsidR="00E84B7C" w:rsidRPr="00A472FC">
        <w:rPr>
          <w:rFonts w:ascii="Times New Roman" w:hAnsi="Times New Roman" w:cs="Times New Roman"/>
          <w:lang w:val="en-US"/>
        </w:rPr>
        <w:t xml:space="preserve">, </w:t>
      </w:r>
      <w:r w:rsidR="00CD1BB4" w:rsidRPr="00A472FC">
        <w:rPr>
          <w:rFonts w:ascii="Times New Roman" w:hAnsi="Times New Roman" w:cs="Times New Roman"/>
          <w:lang w:val="en-US"/>
        </w:rPr>
        <w:t xml:space="preserve">it was a way of legitimizing whatever the scholastic </w:t>
      </w:r>
      <w:r w:rsidR="00A21C57" w:rsidRPr="00A472FC">
        <w:rPr>
          <w:rFonts w:ascii="Times New Roman" w:hAnsi="Times New Roman" w:cs="Times New Roman"/>
          <w:lang w:val="en-US"/>
        </w:rPr>
        <w:t xml:space="preserve">author himself </w:t>
      </w:r>
      <w:r w:rsidR="00CD1BB4" w:rsidRPr="00A472FC">
        <w:rPr>
          <w:rFonts w:ascii="Times New Roman" w:hAnsi="Times New Roman" w:cs="Times New Roman"/>
          <w:lang w:val="en-US"/>
        </w:rPr>
        <w:t xml:space="preserve">wanted to say. </w:t>
      </w:r>
    </w:p>
    <w:p w14:paraId="0CA9A331" w14:textId="4DDA7C98" w:rsidR="00CD1BB4" w:rsidRPr="00A472FC" w:rsidRDefault="00CD1BB4" w:rsidP="005C1ACC">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 first step </w:t>
      </w:r>
      <w:r w:rsidR="005C1ACC" w:rsidRPr="00A472FC">
        <w:rPr>
          <w:rFonts w:ascii="Times New Roman" w:hAnsi="Times New Roman" w:cs="Times New Roman"/>
          <w:lang w:val="en-US"/>
        </w:rPr>
        <w:t>to demonstrating this</w:t>
      </w:r>
      <w:r w:rsidRPr="00A472FC">
        <w:rPr>
          <w:rFonts w:ascii="Times New Roman" w:hAnsi="Times New Roman" w:cs="Times New Roman"/>
          <w:lang w:val="en-US"/>
        </w:rPr>
        <w:t xml:space="preserve">, pursued in </w:t>
      </w:r>
      <w:r w:rsidRPr="00A472FC">
        <w:rPr>
          <w:rFonts w:ascii="Times New Roman" w:hAnsi="Times New Roman" w:cs="Times New Roman"/>
          <w:b/>
          <w:bCs/>
          <w:lang w:val="en-US"/>
        </w:rPr>
        <w:t>chapter one,</w:t>
      </w:r>
      <w:r w:rsidRPr="00A472FC">
        <w:rPr>
          <w:rFonts w:ascii="Times New Roman" w:hAnsi="Times New Roman" w:cs="Times New Roman"/>
          <w:lang w:val="en-US"/>
        </w:rPr>
        <w:t xml:space="preserve"> involves examining the twelfth-century background against which John of La Rochelle and other members of the early university developed their psychological positions. While there was </w:t>
      </w:r>
      <w:r w:rsidR="00177421" w:rsidRPr="00A472FC">
        <w:rPr>
          <w:rFonts w:ascii="Times New Roman" w:hAnsi="Times New Roman" w:cs="Times New Roman"/>
          <w:lang w:val="en-US"/>
        </w:rPr>
        <w:t>limited</w:t>
      </w:r>
      <w:r w:rsidRPr="00A472FC">
        <w:rPr>
          <w:rFonts w:ascii="Times New Roman" w:hAnsi="Times New Roman" w:cs="Times New Roman"/>
          <w:lang w:val="en-US"/>
        </w:rPr>
        <w:t xml:space="preserve"> interest </w:t>
      </w:r>
      <w:r w:rsidR="004B635C" w:rsidRPr="00A472FC">
        <w:rPr>
          <w:rFonts w:ascii="Times New Roman" w:hAnsi="Times New Roman" w:cs="Times New Roman"/>
          <w:lang w:val="en-US"/>
        </w:rPr>
        <w:t xml:space="preserve">in the early middle ages </w:t>
      </w:r>
      <w:r w:rsidRPr="00A472FC">
        <w:rPr>
          <w:rFonts w:ascii="Times New Roman" w:hAnsi="Times New Roman" w:cs="Times New Roman"/>
          <w:lang w:val="en-US"/>
        </w:rPr>
        <w:t>in the powers of the soul in their own right—</w:t>
      </w:r>
      <w:r w:rsidR="001F5485" w:rsidRPr="00A472FC">
        <w:rPr>
          <w:rFonts w:ascii="Times New Roman" w:hAnsi="Times New Roman" w:cs="Times New Roman"/>
          <w:lang w:val="en-US"/>
        </w:rPr>
        <w:t>and often only</w:t>
      </w:r>
      <w:r w:rsidRPr="00A472FC">
        <w:rPr>
          <w:rFonts w:ascii="Times New Roman" w:hAnsi="Times New Roman" w:cs="Times New Roman"/>
          <w:lang w:val="en-US"/>
        </w:rPr>
        <w:t xml:space="preserve"> so far as they facilitated Christian contemplation and action—the situation changed </w:t>
      </w:r>
      <w:r w:rsidR="00F5506D" w:rsidRPr="00A472FC">
        <w:rPr>
          <w:rFonts w:ascii="Times New Roman" w:hAnsi="Times New Roman" w:cs="Times New Roman"/>
          <w:lang w:val="en-US"/>
        </w:rPr>
        <w:t xml:space="preserve">dramatically </w:t>
      </w:r>
      <w:r w:rsidRPr="00A472FC">
        <w:rPr>
          <w:rFonts w:ascii="Times New Roman" w:hAnsi="Times New Roman" w:cs="Times New Roman"/>
          <w:lang w:val="en-US"/>
        </w:rPr>
        <w:t xml:space="preserve">following the </w:t>
      </w:r>
      <w:r w:rsidR="006D1FC2" w:rsidRPr="00A472FC">
        <w:rPr>
          <w:rFonts w:ascii="Times New Roman" w:hAnsi="Times New Roman" w:cs="Times New Roman"/>
          <w:lang w:val="en-US"/>
        </w:rPr>
        <w:t xml:space="preserve">eleventh-century </w:t>
      </w:r>
      <w:r w:rsidRPr="00A472FC">
        <w:rPr>
          <w:rFonts w:ascii="Times New Roman" w:hAnsi="Times New Roman" w:cs="Times New Roman"/>
          <w:lang w:val="en-US"/>
        </w:rPr>
        <w:t xml:space="preserve">translation of various </w:t>
      </w:r>
      <w:r w:rsidR="00DE7DA0" w:rsidRPr="00A472FC">
        <w:rPr>
          <w:rFonts w:ascii="Times New Roman" w:hAnsi="Times New Roman" w:cs="Times New Roman"/>
          <w:lang w:val="en-US"/>
        </w:rPr>
        <w:t>Greek and Arabic</w:t>
      </w:r>
      <w:r w:rsidRPr="00A472FC">
        <w:rPr>
          <w:rFonts w:ascii="Times New Roman" w:hAnsi="Times New Roman" w:cs="Times New Roman"/>
          <w:lang w:val="en-US"/>
        </w:rPr>
        <w:t xml:space="preserve"> medical works, which described the bod</w:t>
      </w:r>
      <w:r w:rsidR="006378EC" w:rsidRPr="00A472FC">
        <w:rPr>
          <w:rFonts w:ascii="Times New Roman" w:hAnsi="Times New Roman" w:cs="Times New Roman"/>
          <w:lang w:val="en-US"/>
        </w:rPr>
        <w:t>ily</w:t>
      </w:r>
      <w:r w:rsidRPr="00A472FC">
        <w:rPr>
          <w:rFonts w:ascii="Times New Roman" w:hAnsi="Times New Roman" w:cs="Times New Roman"/>
          <w:lang w:val="en-US"/>
        </w:rPr>
        <w:t xml:space="preserve"> powers and their relation to the functions of the soul. </w:t>
      </w:r>
    </w:p>
    <w:p w14:paraId="62E644D3" w14:textId="62177054" w:rsidR="00CD1BB4" w:rsidRPr="00A472FC" w:rsidRDefault="00CD1BB4" w:rsidP="00B34F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These texts </w:t>
      </w:r>
      <w:r w:rsidR="00873E3E" w:rsidRPr="00A472FC">
        <w:rPr>
          <w:rFonts w:ascii="Times New Roman" w:hAnsi="Times New Roman" w:cs="Times New Roman"/>
          <w:lang w:val="en-US"/>
        </w:rPr>
        <w:t>attracted attention from</w:t>
      </w:r>
      <w:r w:rsidRPr="00A472FC">
        <w:rPr>
          <w:rFonts w:ascii="Times New Roman" w:hAnsi="Times New Roman" w:cs="Times New Roman"/>
          <w:lang w:val="en-US"/>
        </w:rPr>
        <w:t xml:space="preserve"> members of the Cistercian</w:t>
      </w:r>
      <w:r w:rsidR="00140E2A" w:rsidRPr="00A472FC">
        <w:rPr>
          <w:rFonts w:ascii="Times New Roman" w:hAnsi="Times New Roman" w:cs="Times New Roman"/>
          <w:lang w:val="en-US"/>
        </w:rPr>
        <w:t xml:space="preserve"> religious order</w:t>
      </w:r>
      <w:r w:rsidRPr="00A472FC">
        <w:rPr>
          <w:rFonts w:ascii="Times New Roman" w:hAnsi="Times New Roman" w:cs="Times New Roman"/>
          <w:lang w:val="en-US"/>
        </w:rPr>
        <w:t>,</w:t>
      </w:r>
      <w:r w:rsidR="00D048C9" w:rsidRPr="00A472FC">
        <w:rPr>
          <w:rFonts w:ascii="Times New Roman" w:hAnsi="Times New Roman" w:cs="Times New Roman"/>
          <w:lang w:val="en-US"/>
        </w:rPr>
        <w:t xml:space="preserve"> among others,</w:t>
      </w:r>
      <w:r w:rsidR="001F5485" w:rsidRPr="00A472FC">
        <w:rPr>
          <w:rFonts w:ascii="Times New Roman" w:hAnsi="Times New Roman" w:cs="Times New Roman"/>
          <w:lang w:val="en-US"/>
        </w:rPr>
        <w:t xml:space="preserve"> </w:t>
      </w:r>
      <w:r w:rsidRPr="00A472FC">
        <w:rPr>
          <w:rFonts w:ascii="Times New Roman" w:hAnsi="Times New Roman" w:cs="Times New Roman"/>
          <w:lang w:val="en-US"/>
        </w:rPr>
        <w:t xml:space="preserve">who took some important initial steps towards elucidating the various </w:t>
      </w:r>
      <w:r w:rsidR="00C941CE" w:rsidRPr="00A472FC">
        <w:rPr>
          <w:rFonts w:ascii="Times New Roman" w:hAnsi="Times New Roman" w:cs="Times New Roman"/>
          <w:lang w:val="en-US"/>
        </w:rPr>
        <w:t>facets</w:t>
      </w:r>
      <w:r w:rsidRPr="00A472FC">
        <w:rPr>
          <w:rFonts w:ascii="Times New Roman" w:hAnsi="Times New Roman" w:cs="Times New Roman"/>
          <w:lang w:val="en-US"/>
        </w:rPr>
        <w:t xml:space="preserve"> of the soul and its relation to the body</w:t>
      </w:r>
      <w:r w:rsidR="00D048C9" w:rsidRPr="00A472FC">
        <w:rPr>
          <w:rFonts w:ascii="Times New Roman" w:hAnsi="Times New Roman" w:cs="Times New Roman"/>
          <w:lang w:val="en-US"/>
        </w:rPr>
        <w:t>,</w:t>
      </w:r>
      <w:r w:rsidR="00126447" w:rsidRPr="00A472FC">
        <w:rPr>
          <w:rFonts w:ascii="Times New Roman" w:hAnsi="Times New Roman" w:cs="Times New Roman"/>
          <w:lang w:val="en-US"/>
        </w:rPr>
        <w:t xml:space="preserve"> which proved influential for early Franciscans</w:t>
      </w:r>
      <w:r w:rsidRPr="00A472FC">
        <w:rPr>
          <w:rFonts w:ascii="Times New Roman" w:hAnsi="Times New Roman" w:cs="Times New Roman"/>
          <w:lang w:val="en-US"/>
        </w:rPr>
        <w:t xml:space="preserve">. </w:t>
      </w:r>
      <w:r w:rsidR="009E62E0" w:rsidRPr="00A472FC">
        <w:rPr>
          <w:rFonts w:ascii="Times New Roman" w:hAnsi="Times New Roman" w:cs="Times New Roman"/>
          <w:lang w:val="en-US"/>
        </w:rPr>
        <w:t>However</w:t>
      </w:r>
      <w:r w:rsidRPr="00A472FC">
        <w:rPr>
          <w:rFonts w:ascii="Times New Roman" w:hAnsi="Times New Roman" w:cs="Times New Roman"/>
          <w:lang w:val="en-US"/>
        </w:rPr>
        <w:t xml:space="preserve">, mechanisms for offering a sophisticated account of cognitive operations only became available in the west following the </w:t>
      </w:r>
      <w:r w:rsidR="00103D4C" w:rsidRPr="00A472FC">
        <w:rPr>
          <w:rFonts w:ascii="Times New Roman" w:hAnsi="Times New Roman" w:cs="Times New Roman"/>
          <w:lang w:val="en-US"/>
        </w:rPr>
        <w:t xml:space="preserve">aforementioned </w:t>
      </w:r>
      <w:r w:rsidRPr="00A472FC">
        <w:rPr>
          <w:rFonts w:ascii="Times New Roman" w:hAnsi="Times New Roman" w:cs="Times New Roman"/>
          <w:lang w:val="en-US"/>
        </w:rPr>
        <w:t>translation of many Arabic philosophical works into Latin</w:t>
      </w:r>
      <w:r w:rsidR="006378EC" w:rsidRPr="00A472FC">
        <w:rPr>
          <w:rFonts w:ascii="Times New Roman" w:hAnsi="Times New Roman" w:cs="Times New Roman"/>
          <w:lang w:val="en-US"/>
        </w:rPr>
        <w:t xml:space="preserve"> in the mid-to-late twelfth century</w:t>
      </w:r>
      <w:r w:rsidRPr="00A472FC">
        <w:rPr>
          <w:rFonts w:ascii="Times New Roman" w:hAnsi="Times New Roman" w:cs="Times New Roman"/>
          <w:lang w:val="en-US"/>
        </w:rPr>
        <w:t xml:space="preserve">. The </w:t>
      </w:r>
      <w:r w:rsidR="009E62E0" w:rsidRPr="00A472FC">
        <w:rPr>
          <w:rFonts w:ascii="Times New Roman" w:hAnsi="Times New Roman" w:cs="Times New Roman"/>
          <w:lang w:val="en-US"/>
        </w:rPr>
        <w:t xml:space="preserve">first </w:t>
      </w:r>
      <w:r w:rsidRPr="00A472FC">
        <w:rPr>
          <w:rFonts w:ascii="Times New Roman" w:hAnsi="Times New Roman" w:cs="Times New Roman"/>
          <w:lang w:val="en-US"/>
        </w:rPr>
        <w:t xml:space="preserve">chapter discusses what these works had to offer and the various factors that contributed to a delay in their full incorporation </w:t>
      </w:r>
      <w:r w:rsidR="00C941CE" w:rsidRPr="00A472FC">
        <w:rPr>
          <w:rFonts w:ascii="Times New Roman" w:hAnsi="Times New Roman" w:cs="Times New Roman"/>
          <w:lang w:val="en-US"/>
        </w:rPr>
        <w:t xml:space="preserve">by Latin thinkers </w:t>
      </w:r>
      <w:r w:rsidRPr="00A472FC">
        <w:rPr>
          <w:rFonts w:ascii="Times New Roman" w:hAnsi="Times New Roman" w:cs="Times New Roman"/>
          <w:lang w:val="en-US"/>
        </w:rPr>
        <w:t xml:space="preserve">until the 1230s, when John of La Rochelle was active as a theologian. </w:t>
      </w:r>
    </w:p>
    <w:p w14:paraId="36EB2B12" w14:textId="57F5C663" w:rsidR="00CD1BB4" w:rsidRPr="00A472FC" w:rsidRDefault="00CD1BB4" w:rsidP="00B34F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 </w:t>
      </w:r>
      <w:r w:rsidRPr="00A472FC">
        <w:rPr>
          <w:rFonts w:ascii="Times New Roman" w:hAnsi="Times New Roman" w:cs="Times New Roman"/>
          <w:b/>
          <w:bCs/>
          <w:lang w:val="en-US"/>
        </w:rPr>
        <w:t>second chapter</w:t>
      </w:r>
      <w:r w:rsidRPr="00A472FC">
        <w:rPr>
          <w:rFonts w:ascii="Times New Roman" w:hAnsi="Times New Roman" w:cs="Times New Roman"/>
          <w:lang w:val="en-US"/>
        </w:rPr>
        <w:t xml:space="preserve"> situates John in relation to some of his key predecessors and contemporaries at the theology faculty in the early university of Paris. The chapter gives some background on the </w:t>
      </w:r>
      <w:r w:rsidR="002478EB" w:rsidRPr="00A472FC">
        <w:rPr>
          <w:rFonts w:ascii="Times New Roman" w:hAnsi="Times New Roman" w:cs="Times New Roman"/>
          <w:lang w:val="en-US"/>
        </w:rPr>
        <w:t>distinctive ideas</w:t>
      </w:r>
      <w:r w:rsidRPr="00A472FC">
        <w:rPr>
          <w:rFonts w:ascii="Times New Roman" w:hAnsi="Times New Roman" w:cs="Times New Roman"/>
          <w:lang w:val="en-US"/>
        </w:rPr>
        <w:t xml:space="preserve"> and contributions of each of these scholars to their discipline and also assesses in a preliminary way the extent to which they embraced the newly available Islamic </w:t>
      </w:r>
      <w:r w:rsidR="00F607DD" w:rsidRPr="00A472FC">
        <w:rPr>
          <w:rFonts w:ascii="Times New Roman" w:hAnsi="Times New Roman" w:cs="Times New Roman"/>
          <w:lang w:val="en-US"/>
        </w:rPr>
        <w:t xml:space="preserve">and Jewish </w:t>
      </w:r>
      <w:r w:rsidRPr="00A472FC">
        <w:rPr>
          <w:rFonts w:ascii="Times New Roman" w:hAnsi="Times New Roman" w:cs="Times New Roman"/>
          <w:lang w:val="en-US"/>
        </w:rPr>
        <w:t xml:space="preserve">philosophical sources that had been translated into Latin from Arabic. As a result of these translations, scholastics were now confronted with a new set of six main questions about the soul, </w:t>
      </w:r>
      <w:r w:rsidR="00814E76" w:rsidRPr="00A472FC">
        <w:rPr>
          <w:rFonts w:ascii="Times New Roman" w:hAnsi="Times New Roman" w:cs="Times New Roman"/>
          <w:lang w:val="en-US"/>
        </w:rPr>
        <w:t>which are listed below</w:t>
      </w:r>
      <w:r w:rsidRPr="00A472FC">
        <w:rPr>
          <w:rFonts w:ascii="Times New Roman" w:hAnsi="Times New Roman" w:cs="Times New Roman"/>
          <w:lang w:val="en-US"/>
        </w:rPr>
        <w:t xml:space="preserve">: </w:t>
      </w:r>
    </w:p>
    <w:p w14:paraId="76E011E6" w14:textId="77777777" w:rsidR="00CD1BB4" w:rsidRPr="00A472FC" w:rsidRDefault="00CD1BB4" w:rsidP="00B34F9E">
      <w:pPr>
        <w:autoSpaceDE w:val="0"/>
        <w:autoSpaceDN w:val="0"/>
        <w:adjustRightInd w:val="0"/>
        <w:ind w:right="-52" w:firstLine="720"/>
        <w:rPr>
          <w:rFonts w:ascii="Times New Roman" w:hAnsi="Times New Roman" w:cs="Times New Roman"/>
          <w:lang w:val="en-US"/>
        </w:rPr>
      </w:pPr>
    </w:p>
    <w:p w14:paraId="78B7965B" w14:textId="77777777" w:rsidR="00CD1BB4" w:rsidRPr="00A472FC" w:rsidRDefault="00CD1BB4" w:rsidP="00B34F9E">
      <w:pPr>
        <w:pStyle w:val="ListParagraph"/>
        <w:numPr>
          <w:ilvl w:val="0"/>
          <w:numId w:val="4"/>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Is the soul composed of matter and form, per universal hylomorphism?</w:t>
      </w:r>
    </w:p>
    <w:p w14:paraId="571EF4E0" w14:textId="77777777" w:rsidR="009B3362" w:rsidRPr="00A472FC" w:rsidRDefault="009B3362" w:rsidP="009B3362">
      <w:pPr>
        <w:pStyle w:val="ListParagraph"/>
        <w:numPr>
          <w:ilvl w:val="0"/>
          <w:numId w:val="4"/>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Is the soul united to the body accidentally or substantially?</w:t>
      </w:r>
    </w:p>
    <w:p w14:paraId="3610174C" w14:textId="77777777" w:rsidR="00CD1BB4" w:rsidRPr="00A472FC" w:rsidRDefault="00CD1BB4" w:rsidP="00B34F9E">
      <w:pPr>
        <w:pStyle w:val="ListParagraph"/>
        <w:numPr>
          <w:ilvl w:val="0"/>
          <w:numId w:val="4"/>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Is the soul united to the body through a medium?</w:t>
      </w:r>
    </w:p>
    <w:p w14:paraId="225A8A5D" w14:textId="76A29A6C" w:rsidR="00CD1BB4" w:rsidRPr="00A472FC" w:rsidRDefault="00CD1BB4" w:rsidP="00B34F9E">
      <w:pPr>
        <w:pStyle w:val="ListParagraph"/>
        <w:numPr>
          <w:ilvl w:val="0"/>
          <w:numId w:val="4"/>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Are the vegetative, sensitive</w:t>
      </w:r>
      <w:r w:rsidR="000007FF" w:rsidRPr="00A472FC">
        <w:rPr>
          <w:rFonts w:ascii="Times New Roman" w:hAnsi="Times New Roman" w:cs="Times New Roman"/>
          <w:color w:val="000000" w:themeColor="text1"/>
        </w:rPr>
        <w:t xml:space="preserve">, </w:t>
      </w:r>
      <w:r w:rsidRPr="00A472FC">
        <w:rPr>
          <w:rFonts w:ascii="Times New Roman" w:hAnsi="Times New Roman" w:cs="Times New Roman"/>
          <w:color w:val="000000" w:themeColor="text1"/>
        </w:rPr>
        <w:t>and rational powers three substances in the soul?</w:t>
      </w:r>
    </w:p>
    <w:p w14:paraId="067ADDC4" w14:textId="77777777" w:rsidR="00CD1BB4" w:rsidRPr="00A472FC" w:rsidRDefault="00CD1BB4" w:rsidP="00B34F9E">
      <w:pPr>
        <w:pStyle w:val="ListParagraph"/>
        <w:numPr>
          <w:ilvl w:val="0"/>
          <w:numId w:val="4"/>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Is the essence of the soul identical with its powers?</w:t>
      </w:r>
    </w:p>
    <w:p w14:paraId="382CA6F7" w14:textId="0AAFF98E" w:rsidR="002C69B6" w:rsidRPr="00A472FC" w:rsidRDefault="00CD1BB4" w:rsidP="0096076D">
      <w:pPr>
        <w:pStyle w:val="ListParagraph"/>
        <w:numPr>
          <w:ilvl w:val="0"/>
          <w:numId w:val="4"/>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Do the vegetative and sense powers survive the death of the body?</w:t>
      </w:r>
    </w:p>
    <w:p w14:paraId="4CB06879" w14:textId="77777777" w:rsidR="002C69B6" w:rsidRPr="00A472FC" w:rsidRDefault="002C69B6" w:rsidP="00B34F9E">
      <w:pPr>
        <w:autoSpaceDE w:val="0"/>
        <w:autoSpaceDN w:val="0"/>
        <w:adjustRightInd w:val="0"/>
        <w:ind w:right="-52" w:firstLine="720"/>
        <w:rPr>
          <w:rFonts w:ascii="Times New Roman" w:hAnsi="Times New Roman" w:cs="Times New Roman"/>
          <w:lang w:val="en-US"/>
        </w:rPr>
      </w:pPr>
    </w:p>
    <w:p w14:paraId="77B4C201" w14:textId="74BF6508" w:rsidR="00205211" w:rsidRPr="00A472FC" w:rsidRDefault="00CD1BB4" w:rsidP="00205211">
      <w:pPr>
        <w:autoSpaceDE w:val="0"/>
        <w:autoSpaceDN w:val="0"/>
        <w:adjustRightInd w:val="0"/>
        <w:ind w:right="-52" w:firstLine="720"/>
        <w:rPr>
          <w:rFonts w:ascii="Times New Roman" w:hAnsi="Times New Roman" w:cs="Times New Roman"/>
        </w:rPr>
      </w:pPr>
      <w:r w:rsidRPr="00A472FC">
        <w:rPr>
          <w:rFonts w:ascii="Times New Roman" w:hAnsi="Times New Roman" w:cs="Times New Roman"/>
          <w:lang w:val="en-US"/>
        </w:rPr>
        <w:t xml:space="preserve">In addition to these more </w:t>
      </w:r>
      <w:r w:rsidR="00632BFC" w:rsidRPr="00A472FC">
        <w:rPr>
          <w:rFonts w:ascii="Times New Roman" w:hAnsi="Times New Roman" w:cs="Times New Roman"/>
          <w:lang w:val="en-US"/>
        </w:rPr>
        <w:t>overarching</w:t>
      </w:r>
      <w:r w:rsidRPr="00A472FC">
        <w:rPr>
          <w:rFonts w:ascii="Times New Roman" w:hAnsi="Times New Roman" w:cs="Times New Roman"/>
          <w:lang w:val="en-US"/>
        </w:rPr>
        <w:t xml:space="preserve"> psychological questions, </w:t>
      </w:r>
      <w:r w:rsidR="005478BA" w:rsidRPr="00A472FC">
        <w:rPr>
          <w:rFonts w:ascii="Times New Roman" w:hAnsi="Times New Roman" w:cs="Times New Roman"/>
          <w:lang w:val="en-US"/>
        </w:rPr>
        <w:t xml:space="preserve">I noted above </w:t>
      </w:r>
      <w:r w:rsidR="00475DB5" w:rsidRPr="00A472FC">
        <w:rPr>
          <w:rFonts w:ascii="Times New Roman" w:hAnsi="Times New Roman" w:cs="Times New Roman"/>
          <w:lang w:val="en-US"/>
        </w:rPr>
        <w:t>that</w:t>
      </w:r>
      <w:r w:rsidR="005478BA" w:rsidRPr="00A472FC">
        <w:rPr>
          <w:rFonts w:ascii="Times New Roman" w:hAnsi="Times New Roman" w:cs="Times New Roman"/>
          <w:lang w:val="en-US"/>
        </w:rPr>
        <w:t xml:space="preserve"> scholastics </w:t>
      </w:r>
      <w:r w:rsidRPr="00A472FC">
        <w:rPr>
          <w:rFonts w:ascii="Times New Roman" w:hAnsi="Times New Roman" w:cs="Times New Roman"/>
          <w:lang w:val="en-US"/>
        </w:rPr>
        <w:t xml:space="preserve">inherited from the Arabic sources a sophisticated framework for defining the cognitive </w:t>
      </w:r>
      <w:r w:rsidR="00475DB5" w:rsidRPr="00A472FC">
        <w:rPr>
          <w:rFonts w:ascii="Times New Roman" w:hAnsi="Times New Roman" w:cs="Times New Roman"/>
          <w:lang w:val="en-US"/>
        </w:rPr>
        <w:t>as well as</w:t>
      </w:r>
      <w:r w:rsidRPr="00A472FC">
        <w:rPr>
          <w:rFonts w:ascii="Times New Roman" w:hAnsi="Times New Roman" w:cs="Times New Roman"/>
          <w:lang w:val="en-US"/>
        </w:rPr>
        <w:t xml:space="preserve"> motive </w:t>
      </w:r>
      <w:r w:rsidR="00DD6549" w:rsidRPr="00A472FC">
        <w:rPr>
          <w:rFonts w:ascii="Times New Roman" w:hAnsi="Times New Roman" w:cs="Times New Roman"/>
          <w:lang w:val="en-US"/>
        </w:rPr>
        <w:t xml:space="preserve">or volitional </w:t>
      </w:r>
      <w:r w:rsidRPr="00A472FC">
        <w:rPr>
          <w:rFonts w:ascii="Times New Roman" w:hAnsi="Times New Roman" w:cs="Times New Roman"/>
          <w:lang w:val="en-US"/>
        </w:rPr>
        <w:t>functions of the soul. What this chapter establishes in a preliminary way is that while some of John’s contemporar</w:t>
      </w:r>
      <w:r w:rsidR="002D303F" w:rsidRPr="00A472FC">
        <w:rPr>
          <w:rFonts w:ascii="Times New Roman" w:hAnsi="Times New Roman" w:cs="Times New Roman"/>
          <w:lang w:val="en-US"/>
        </w:rPr>
        <w:t>ies</w:t>
      </w:r>
      <w:r w:rsidRPr="00A472FC">
        <w:rPr>
          <w:rFonts w:ascii="Times New Roman" w:hAnsi="Times New Roman" w:cs="Times New Roman"/>
          <w:lang w:val="en-US"/>
        </w:rPr>
        <w:t xml:space="preserve"> engaged with a limited number of the six question</w:t>
      </w:r>
      <w:r w:rsidR="002D303F" w:rsidRPr="00A472FC">
        <w:rPr>
          <w:rFonts w:ascii="Times New Roman" w:hAnsi="Times New Roman" w:cs="Times New Roman"/>
          <w:lang w:val="en-US"/>
        </w:rPr>
        <w:t>s</w:t>
      </w:r>
      <w:r w:rsidRPr="00A472FC">
        <w:rPr>
          <w:rFonts w:ascii="Times New Roman" w:hAnsi="Times New Roman" w:cs="Times New Roman"/>
          <w:lang w:val="en-US"/>
        </w:rPr>
        <w:t xml:space="preserve">, John was the </w:t>
      </w:r>
      <w:r w:rsidR="00901943" w:rsidRPr="00A472FC">
        <w:rPr>
          <w:rFonts w:ascii="Times New Roman" w:hAnsi="Times New Roman" w:cs="Times New Roman"/>
          <w:lang w:val="en-US"/>
        </w:rPr>
        <w:t xml:space="preserve">only member of his generation to </w:t>
      </w:r>
      <w:r w:rsidR="0043530E" w:rsidRPr="00A472FC">
        <w:rPr>
          <w:rFonts w:ascii="Times New Roman" w:hAnsi="Times New Roman" w:cs="Times New Roman"/>
          <w:lang w:val="en-US"/>
        </w:rPr>
        <w:t>deal robustly and comprehensively with all</w:t>
      </w:r>
      <w:r w:rsidR="00901943" w:rsidRPr="00A472FC">
        <w:rPr>
          <w:rFonts w:ascii="Times New Roman" w:hAnsi="Times New Roman" w:cs="Times New Roman"/>
        </w:rPr>
        <w:t>.</w:t>
      </w:r>
      <w:r w:rsidR="00901943" w:rsidRPr="00A472FC">
        <w:rPr>
          <w:rStyle w:val="FootnoteReference"/>
          <w:rFonts w:ascii="Times New Roman" w:hAnsi="Times New Roman" w:cs="Times New Roman"/>
        </w:rPr>
        <w:footnoteReference w:id="13"/>
      </w:r>
      <w:r w:rsidR="00901943" w:rsidRPr="00A472FC">
        <w:rPr>
          <w:rFonts w:ascii="Times New Roman" w:hAnsi="Times New Roman" w:cs="Times New Roman"/>
        </w:rPr>
        <w:t xml:space="preserve"> Moreover, he was the </w:t>
      </w:r>
      <w:r w:rsidRPr="00A472FC">
        <w:rPr>
          <w:rFonts w:ascii="Times New Roman" w:hAnsi="Times New Roman" w:cs="Times New Roman"/>
          <w:lang w:val="en-US"/>
        </w:rPr>
        <w:t xml:space="preserve">only figure of his time </w:t>
      </w:r>
      <w:r w:rsidR="0043530E" w:rsidRPr="00A472FC">
        <w:rPr>
          <w:rFonts w:ascii="Times New Roman" w:hAnsi="Times New Roman" w:cs="Times New Roman"/>
          <w:lang w:val="en-US"/>
        </w:rPr>
        <w:t>to engage deeply with the effort to elaborate the cognitive and motive powers</w:t>
      </w:r>
      <w:r w:rsidR="004323CF" w:rsidRPr="00A472FC">
        <w:rPr>
          <w:rFonts w:ascii="Times New Roman" w:hAnsi="Times New Roman" w:cs="Times New Roman"/>
          <w:lang w:val="en-US"/>
        </w:rPr>
        <w:t>.</w:t>
      </w:r>
      <w:r w:rsidR="0043530E" w:rsidRPr="00A472FC">
        <w:rPr>
          <w:rFonts w:ascii="Times New Roman" w:hAnsi="Times New Roman" w:cs="Times New Roman"/>
        </w:rPr>
        <w:t xml:space="preserve"> </w:t>
      </w:r>
      <w:r w:rsidR="005A38A3" w:rsidRPr="00A472FC">
        <w:rPr>
          <w:rFonts w:ascii="Times New Roman" w:hAnsi="Times New Roman" w:cs="Times New Roman"/>
        </w:rPr>
        <w:t xml:space="preserve">The reason for this was that John, first and foremost a theologian, presumably saw addressing those </w:t>
      </w:r>
      <w:r w:rsidR="004323CF" w:rsidRPr="00A472FC">
        <w:rPr>
          <w:rFonts w:ascii="Times New Roman" w:hAnsi="Times New Roman" w:cs="Times New Roman"/>
        </w:rPr>
        <w:t>matters</w:t>
      </w:r>
      <w:r w:rsidR="005A38A3" w:rsidRPr="00A472FC">
        <w:rPr>
          <w:rFonts w:ascii="Times New Roman" w:hAnsi="Times New Roman" w:cs="Times New Roman"/>
        </w:rPr>
        <w:t xml:space="preserve"> </w:t>
      </w:r>
      <w:r w:rsidR="00A76C66" w:rsidRPr="00A472FC">
        <w:rPr>
          <w:rFonts w:ascii="Times New Roman" w:hAnsi="Times New Roman" w:cs="Times New Roman"/>
        </w:rPr>
        <w:t xml:space="preserve">as key to defining the status of the soul as God’s image. Although his contemporaries were also </w:t>
      </w:r>
      <w:r w:rsidR="00A76C66" w:rsidRPr="00A472FC">
        <w:rPr>
          <w:rFonts w:ascii="Times New Roman" w:hAnsi="Times New Roman" w:cs="Times New Roman"/>
        </w:rPr>
        <w:lastRenderedPageBreak/>
        <w:t xml:space="preserve">centrally concerned with that task, what it involved precisely </w:t>
      </w:r>
      <w:r w:rsidR="00A76C66" w:rsidRPr="00A472FC">
        <w:rPr>
          <w:rFonts w:ascii="Times New Roman" w:hAnsi="Times New Roman" w:cs="Times New Roman"/>
          <w:lang w:val="en-US"/>
        </w:rPr>
        <w:t xml:space="preserve">was </w:t>
      </w:r>
      <w:r w:rsidR="00A76C66" w:rsidRPr="00A472FC">
        <w:rPr>
          <w:rFonts w:ascii="Times New Roman" w:hAnsi="Times New Roman" w:cs="Times New Roman"/>
        </w:rPr>
        <w:t xml:space="preserve">very much determined and delimited by their prior theological commitments, </w:t>
      </w:r>
      <w:r w:rsidR="00066518" w:rsidRPr="00A472FC">
        <w:rPr>
          <w:rFonts w:ascii="Times New Roman" w:hAnsi="Times New Roman" w:cs="Times New Roman"/>
        </w:rPr>
        <w:t xml:space="preserve">particularly concerning the extent to which theologians should engage with philosophical material, </w:t>
      </w:r>
      <w:r w:rsidR="00DE42A2" w:rsidRPr="00A472FC">
        <w:rPr>
          <w:rFonts w:ascii="Times New Roman" w:hAnsi="Times New Roman" w:cs="Times New Roman"/>
        </w:rPr>
        <w:t xml:space="preserve">on account of which </w:t>
      </w:r>
      <w:r w:rsidR="00A76C66" w:rsidRPr="00A472FC">
        <w:rPr>
          <w:rFonts w:ascii="Times New Roman" w:hAnsi="Times New Roman" w:cs="Times New Roman"/>
        </w:rPr>
        <w:t xml:space="preserve">some </w:t>
      </w:r>
      <w:r w:rsidR="00F74F2B" w:rsidRPr="00A472FC">
        <w:rPr>
          <w:rFonts w:ascii="Times New Roman" w:hAnsi="Times New Roman" w:cs="Times New Roman"/>
        </w:rPr>
        <w:t xml:space="preserve">addressed the </w:t>
      </w:r>
      <w:r w:rsidR="00CA7840" w:rsidRPr="00A472FC">
        <w:rPr>
          <w:rFonts w:ascii="Times New Roman" w:hAnsi="Times New Roman" w:cs="Times New Roman"/>
        </w:rPr>
        <w:t xml:space="preserve">psychological material </w:t>
      </w:r>
      <w:r w:rsidR="00F74F2B" w:rsidRPr="00A472FC">
        <w:rPr>
          <w:rFonts w:ascii="Times New Roman" w:hAnsi="Times New Roman" w:cs="Times New Roman"/>
        </w:rPr>
        <w:t>differently, or not at all.</w:t>
      </w:r>
    </w:p>
    <w:p w14:paraId="66FD10AC" w14:textId="6430D5D8" w:rsidR="00665BE5" w:rsidRPr="00A472FC" w:rsidRDefault="00CD1BB4" w:rsidP="006A3651">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 </w:t>
      </w:r>
      <w:r w:rsidRPr="00A472FC">
        <w:rPr>
          <w:rFonts w:ascii="Times New Roman" w:hAnsi="Times New Roman" w:cs="Times New Roman"/>
          <w:b/>
          <w:bCs/>
          <w:lang w:val="en-US"/>
        </w:rPr>
        <w:t>third chapter</w:t>
      </w:r>
      <w:r w:rsidRPr="00A472FC">
        <w:rPr>
          <w:rFonts w:ascii="Times New Roman" w:hAnsi="Times New Roman" w:cs="Times New Roman"/>
          <w:lang w:val="en-US"/>
        </w:rPr>
        <w:t xml:space="preserve"> elaborates John </w:t>
      </w:r>
      <w:r w:rsidR="006F3ECC" w:rsidRPr="00A472FC">
        <w:rPr>
          <w:rFonts w:ascii="Times New Roman" w:hAnsi="Times New Roman" w:cs="Times New Roman"/>
          <w:lang w:val="en-US"/>
        </w:rPr>
        <w:t xml:space="preserve">and the </w:t>
      </w:r>
      <w:proofErr w:type="spellStart"/>
      <w:r w:rsidR="006F3ECC" w:rsidRPr="00A472FC">
        <w:rPr>
          <w:rFonts w:ascii="Times New Roman" w:hAnsi="Times New Roman" w:cs="Times New Roman"/>
          <w:lang w:val="en-US"/>
        </w:rPr>
        <w:t>Halensian</w:t>
      </w:r>
      <w:proofErr w:type="spellEnd"/>
      <w:r w:rsidR="006F3ECC" w:rsidRPr="00A472FC">
        <w:rPr>
          <w:rFonts w:ascii="Times New Roman" w:hAnsi="Times New Roman" w:cs="Times New Roman"/>
          <w:lang w:val="en-US"/>
        </w:rPr>
        <w:t xml:space="preserve"> </w:t>
      </w:r>
      <w:proofErr w:type="spellStart"/>
      <w:r w:rsidR="006F3ECC" w:rsidRPr="00A472FC">
        <w:rPr>
          <w:rFonts w:ascii="Times New Roman" w:hAnsi="Times New Roman" w:cs="Times New Roman"/>
          <w:lang w:val="en-US"/>
        </w:rPr>
        <w:t>Summist’s</w:t>
      </w:r>
      <w:proofErr w:type="spellEnd"/>
      <w:r w:rsidR="006F3ECC" w:rsidRPr="00A472FC">
        <w:rPr>
          <w:rFonts w:ascii="Times New Roman" w:hAnsi="Times New Roman" w:cs="Times New Roman"/>
          <w:lang w:val="en-US"/>
        </w:rPr>
        <w:t xml:space="preserve"> </w:t>
      </w:r>
      <w:r w:rsidR="00CB6B2E" w:rsidRPr="00A472FC">
        <w:rPr>
          <w:rFonts w:ascii="Times New Roman" w:hAnsi="Times New Roman" w:cs="Times New Roman"/>
          <w:lang w:val="en-US"/>
        </w:rPr>
        <w:t xml:space="preserve">related </w:t>
      </w:r>
      <w:r w:rsidRPr="00A472FC">
        <w:rPr>
          <w:rFonts w:ascii="Times New Roman" w:hAnsi="Times New Roman" w:cs="Times New Roman"/>
          <w:lang w:val="en-US"/>
        </w:rPr>
        <w:t xml:space="preserve">engagement with the first three questions mentioned above, </w:t>
      </w:r>
      <w:r w:rsidR="00E13EF7" w:rsidRPr="00A472FC">
        <w:rPr>
          <w:rFonts w:ascii="Times New Roman" w:hAnsi="Times New Roman" w:cs="Times New Roman"/>
          <w:lang w:val="en-US"/>
        </w:rPr>
        <w:t>situating</w:t>
      </w:r>
      <w:r w:rsidRPr="00A472FC">
        <w:rPr>
          <w:rFonts w:ascii="Times New Roman" w:hAnsi="Times New Roman" w:cs="Times New Roman"/>
          <w:lang w:val="en-US"/>
        </w:rPr>
        <w:t xml:space="preserve"> </w:t>
      </w:r>
      <w:r w:rsidR="00E8351E" w:rsidRPr="00A472FC">
        <w:rPr>
          <w:rFonts w:ascii="Times New Roman" w:hAnsi="Times New Roman" w:cs="Times New Roman"/>
          <w:lang w:val="en-US"/>
        </w:rPr>
        <w:t>their</w:t>
      </w:r>
      <w:r w:rsidRPr="00A472FC">
        <w:rPr>
          <w:rFonts w:ascii="Times New Roman" w:hAnsi="Times New Roman" w:cs="Times New Roman"/>
          <w:lang w:val="en-US"/>
        </w:rPr>
        <w:t xml:space="preserve"> answers in the context of </w:t>
      </w:r>
      <w:r w:rsidR="0016539A" w:rsidRPr="00A472FC">
        <w:rPr>
          <w:rFonts w:ascii="Times New Roman" w:hAnsi="Times New Roman" w:cs="Times New Roman"/>
          <w:lang w:val="en-US"/>
        </w:rPr>
        <w:t xml:space="preserve">others </w:t>
      </w:r>
      <w:r w:rsidRPr="00A472FC">
        <w:rPr>
          <w:rFonts w:ascii="Times New Roman" w:hAnsi="Times New Roman" w:cs="Times New Roman"/>
          <w:lang w:val="en-US"/>
        </w:rPr>
        <w:t xml:space="preserve">that were offered by </w:t>
      </w:r>
      <w:r w:rsidR="00B65DE6" w:rsidRPr="00A472FC">
        <w:rPr>
          <w:rFonts w:ascii="Times New Roman" w:hAnsi="Times New Roman" w:cs="Times New Roman"/>
          <w:lang w:val="en-US"/>
        </w:rPr>
        <w:t xml:space="preserve">their </w:t>
      </w:r>
      <w:r w:rsidR="003D7948" w:rsidRPr="00A472FC">
        <w:rPr>
          <w:rFonts w:ascii="Times New Roman" w:hAnsi="Times New Roman" w:cs="Times New Roman"/>
          <w:lang w:val="en-US"/>
        </w:rPr>
        <w:t xml:space="preserve">early scholastic </w:t>
      </w:r>
      <w:r w:rsidRPr="00A472FC">
        <w:rPr>
          <w:rFonts w:ascii="Times New Roman" w:hAnsi="Times New Roman" w:cs="Times New Roman"/>
          <w:lang w:val="en-US"/>
        </w:rPr>
        <w:t>contemporaries. In the case of all three questions—whether the soul is united to the body accidentally or substantially, whether it is composed of matter and form, and whether it is united to the body through a medium—the chapter reveals John and his contemporaries’ debts to Arabic sources and the way in which Augustine</w:t>
      </w:r>
      <w:r w:rsidR="003023AD" w:rsidRPr="00A472FC">
        <w:rPr>
          <w:rFonts w:ascii="Times New Roman" w:hAnsi="Times New Roman" w:cs="Times New Roman"/>
          <w:lang w:val="en-US"/>
        </w:rPr>
        <w:t>, or in most cases pseudo-Augustin</w:t>
      </w:r>
      <w:r w:rsidR="006A3651" w:rsidRPr="00A472FC">
        <w:rPr>
          <w:rFonts w:ascii="Times New Roman" w:hAnsi="Times New Roman" w:cs="Times New Roman"/>
          <w:lang w:val="en-US"/>
        </w:rPr>
        <w:t>ian writings</w:t>
      </w:r>
      <w:r w:rsidR="003023AD" w:rsidRPr="00A472FC">
        <w:rPr>
          <w:rFonts w:ascii="Times New Roman" w:hAnsi="Times New Roman" w:cs="Times New Roman"/>
          <w:lang w:val="en-US"/>
        </w:rPr>
        <w:t xml:space="preserve">, </w:t>
      </w:r>
      <w:r w:rsidR="006A3651" w:rsidRPr="00A472FC">
        <w:rPr>
          <w:rFonts w:ascii="Times New Roman" w:hAnsi="Times New Roman" w:cs="Times New Roman"/>
          <w:lang w:val="en-US"/>
        </w:rPr>
        <w:t>were</w:t>
      </w:r>
      <w:r w:rsidRPr="00A472FC">
        <w:rPr>
          <w:rFonts w:ascii="Times New Roman" w:hAnsi="Times New Roman" w:cs="Times New Roman"/>
          <w:lang w:val="en-US"/>
        </w:rPr>
        <w:t xml:space="preserve"> invoked to integrate those sources. The varying answers</w:t>
      </w:r>
      <w:r w:rsidR="00932AC4" w:rsidRPr="00A472FC">
        <w:rPr>
          <w:rFonts w:ascii="Times New Roman" w:hAnsi="Times New Roman" w:cs="Times New Roman"/>
          <w:lang w:val="en-US"/>
        </w:rPr>
        <w:t>, if any,</w:t>
      </w:r>
      <w:r w:rsidRPr="00A472FC">
        <w:rPr>
          <w:rFonts w:ascii="Times New Roman" w:hAnsi="Times New Roman" w:cs="Times New Roman"/>
          <w:lang w:val="en-US"/>
        </w:rPr>
        <w:t xml:space="preserve"> that different early scholastics gave to those questions </w:t>
      </w:r>
      <w:r w:rsidR="00D8733A" w:rsidRPr="00A472FC">
        <w:rPr>
          <w:rFonts w:ascii="Times New Roman" w:hAnsi="Times New Roman" w:cs="Times New Roman"/>
          <w:lang w:val="en-US"/>
        </w:rPr>
        <w:t xml:space="preserve">illustrate </w:t>
      </w:r>
      <w:r w:rsidRPr="00A472FC">
        <w:rPr>
          <w:rFonts w:ascii="Times New Roman" w:hAnsi="Times New Roman" w:cs="Times New Roman"/>
          <w:lang w:val="en-US"/>
        </w:rPr>
        <w:t>the extent to which there was room for interpretation as regards how to use the new philosophical sources and indeed to define what it meant to be an Augustinian</w:t>
      </w:r>
      <w:r w:rsidR="005A36E6" w:rsidRPr="00A472FC">
        <w:rPr>
          <w:rFonts w:ascii="Times New Roman" w:hAnsi="Times New Roman" w:cs="Times New Roman"/>
          <w:lang w:val="en-US"/>
        </w:rPr>
        <w:t xml:space="preserve">. </w:t>
      </w:r>
    </w:p>
    <w:p w14:paraId="170B3E71" w14:textId="54AA5900" w:rsidR="00CD1BB4" w:rsidRPr="00A472FC" w:rsidRDefault="00CD1BB4" w:rsidP="00B34F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 </w:t>
      </w:r>
      <w:r w:rsidRPr="00A472FC">
        <w:rPr>
          <w:rFonts w:ascii="Times New Roman" w:hAnsi="Times New Roman" w:cs="Times New Roman"/>
          <w:b/>
          <w:bCs/>
          <w:lang w:val="en-US"/>
        </w:rPr>
        <w:t xml:space="preserve">fourth chapter </w:t>
      </w:r>
      <w:r w:rsidRPr="00A472FC">
        <w:rPr>
          <w:rFonts w:ascii="Times New Roman" w:hAnsi="Times New Roman" w:cs="Times New Roman"/>
          <w:lang w:val="en-US"/>
        </w:rPr>
        <w:t>details John</w:t>
      </w:r>
      <w:r w:rsidR="00CB6B2E" w:rsidRPr="00A472FC">
        <w:rPr>
          <w:rFonts w:ascii="Times New Roman" w:hAnsi="Times New Roman" w:cs="Times New Roman"/>
          <w:lang w:val="en-US"/>
        </w:rPr>
        <w:t xml:space="preserve"> and the </w:t>
      </w:r>
      <w:proofErr w:type="spellStart"/>
      <w:r w:rsidR="00CB6B2E" w:rsidRPr="00A472FC">
        <w:rPr>
          <w:rFonts w:ascii="Times New Roman" w:hAnsi="Times New Roman" w:cs="Times New Roman"/>
          <w:lang w:val="en-US"/>
        </w:rPr>
        <w:t>Summist’s</w:t>
      </w:r>
      <w:proofErr w:type="spellEnd"/>
      <w:r w:rsidRPr="00A472FC">
        <w:rPr>
          <w:rFonts w:ascii="Times New Roman" w:hAnsi="Times New Roman" w:cs="Times New Roman"/>
          <w:lang w:val="en-US"/>
        </w:rPr>
        <w:t xml:space="preserve"> engagement with the latter three questions as to whether the different powers of the soul represent three </w:t>
      </w:r>
      <w:r w:rsidR="00342353" w:rsidRPr="00A472FC">
        <w:rPr>
          <w:rFonts w:ascii="Times New Roman" w:hAnsi="Times New Roman" w:cs="Times New Roman"/>
          <w:lang w:val="en-US"/>
        </w:rPr>
        <w:t xml:space="preserve">distinct </w:t>
      </w:r>
      <w:r w:rsidRPr="00A472FC">
        <w:rPr>
          <w:rFonts w:ascii="Times New Roman" w:hAnsi="Times New Roman" w:cs="Times New Roman"/>
          <w:lang w:val="en-US"/>
        </w:rPr>
        <w:t>substances, whether the soul is identical with its powers, and whether the bodily powers survive the death of the body. Here again, John surpasse</w:t>
      </w:r>
      <w:r w:rsidR="0091575D" w:rsidRPr="00A472FC">
        <w:rPr>
          <w:rFonts w:ascii="Times New Roman" w:hAnsi="Times New Roman" w:cs="Times New Roman"/>
          <w:lang w:val="en-US"/>
        </w:rPr>
        <w:t>d</w:t>
      </w:r>
      <w:r w:rsidRPr="00A472FC">
        <w:rPr>
          <w:rFonts w:ascii="Times New Roman" w:hAnsi="Times New Roman" w:cs="Times New Roman"/>
          <w:lang w:val="en-US"/>
        </w:rPr>
        <w:t xml:space="preserve"> his contemporaries both in terms of dealing with all three questions and in terms of the extent to which he </w:t>
      </w:r>
      <w:r w:rsidR="0047168E" w:rsidRPr="00A472FC">
        <w:rPr>
          <w:rFonts w:ascii="Times New Roman" w:hAnsi="Times New Roman" w:cs="Times New Roman"/>
          <w:lang w:val="en-US"/>
        </w:rPr>
        <w:t>did</w:t>
      </w:r>
      <w:r w:rsidRPr="00A472FC">
        <w:rPr>
          <w:rFonts w:ascii="Times New Roman" w:hAnsi="Times New Roman" w:cs="Times New Roman"/>
          <w:lang w:val="en-US"/>
        </w:rPr>
        <w:t xml:space="preserve"> so. Once again, the differences of opinion amongst John and his contemporaries as to </w:t>
      </w:r>
      <w:r w:rsidR="008C4EC8" w:rsidRPr="00A472FC">
        <w:rPr>
          <w:rFonts w:ascii="Times New Roman" w:hAnsi="Times New Roman" w:cs="Times New Roman"/>
          <w:lang w:val="en-US"/>
        </w:rPr>
        <w:t xml:space="preserve">if and </w:t>
      </w:r>
      <w:r w:rsidRPr="00A472FC">
        <w:rPr>
          <w:rFonts w:ascii="Times New Roman" w:hAnsi="Times New Roman" w:cs="Times New Roman"/>
          <w:lang w:val="en-US"/>
        </w:rPr>
        <w:t xml:space="preserve">how to answer those questions confirm that there was disagreement not only on precisely how to </w:t>
      </w:r>
      <w:r w:rsidR="00527DCE" w:rsidRPr="00A472FC">
        <w:rPr>
          <w:rFonts w:ascii="Times New Roman" w:hAnsi="Times New Roman" w:cs="Times New Roman"/>
          <w:lang w:val="en-US"/>
        </w:rPr>
        <w:t>adopt</w:t>
      </w:r>
      <w:r w:rsidRPr="00A472FC">
        <w:rPr>
          <w:rFonts w:ascii="Times New Roman" w:hAnsi="Times New Roman" w:cs="Times New Roman"/>
          <w:lang w:val="en-US"/>
        </w:rPr>
        <w:t xml:space="preserve"> Arabic ideas in a Christian context but also </w:t>
      </w:r>
      <w:r w:rsidR="001762A5" w:rsidRPr="00A472FC">
        <w:rPr>
          <w:rFonts w:ascii="Times New Roman" w:hAnsi="Times New Roman" w:cs="Times New Roman"/>
          <w:lang w:val="en-US"/>
        </w:rPr>
        <w:t xml:space="preserve">on </w:t>
      </w:r>
      <w:r w:rsidRPr="00A472FC">
        <w:rPr>
          <w:rFonts w:ascii="Times New Roman" w:hAnsi="Times New Roman" w:cs="Times New Roman"/>
          <w:lang w:val="en-US"/>
        </w:rPr>
        <w:t xml:space="preserve">how to project them onto the existing Christian tradition </w:t>
      </w:r>
      <w:r w:rsidR="00551920" w:rsidRPr="00A472FC">
        <w:rPr>
          <w:rFonts w:ascii="Times New Roman" w:hAnsi="Times New Roman" w:cs="Times New Roman"/>
          <w:lang w:val="en-US"/>
        </w:rPr>
        <w:t xml:space="preserve">and especially the work </w:t>
      </w:r>
      <w:r w:rsidR="00A060B8" w:rsidRPr="00A472FC">
        <w:rPr>
          <w:rFonts w:ascii="Times New Roman" w:hAnsi="Times New Roman" w:cs="Times New Roman"/>
          <w:lang w:val="en-US"/>
        </w:rPr>
        <w:t>of</w:t>
      </w:r>
      <w:r w:rsidR="00551920" w:rsidRPr="00A472FC">
        <w:rPr>
          <w:rFonts w:ascii="Times New Roman" w:hAnsi="Times New Roman" w:cs="Times New Roman"/>
          <w:lang w:val="en-US"/>
        </w:rPr>
        <w:t xml:space="preserve"> </w:t>
      </w:r>
      <w:r w:rsidRPr="00A472FC">
        <w:rPr>
          <w:rFonts w:ascii="Times New Roman" w:hAnsi="Times New Roman" w:cs="Times New Roman"/>
          <w:lang w:val="en-US"/>
        </w:rPr>
        <w:t>Augusti</w:t>
      </w:r>
      <w:r w:rsidR="00551920" w:rsidRPr="00A472FC">
        <w:rPr>
          <w:rFonts w:ascii="Times New Roman" w:hAnsi="Times New Roman" w:cs="Times New Roman"/>
          <w:lang w:val="en-US"/>
        </w:rPr>
        <w:t>ne</w:t>
      </w:r>
      <w:r w:rsidRPr="00A472FC">
        <w:rPr>
          <w:rFonts w:ascii="Times New Roman" w:hAnsi="Times New Roman" w:cs="Times New Roman"/>
          <w:lang w:val="en-US"/>
        </w:rPr>
        <w:t xml:space="preserve">. </w:t>
      </w:r>
      <w:r w:rsidR="008F6E3F" w:rsidRPr="00A472FC">
        <w:rPr>
          <w:rFonts w:ascii="Times New Roman" w:hAnsi="Times New Roman" w:cs="Times New Roman"/>
          <w:lang w:val="en-US"/>
        </w:rPr>
        <w:t xml:space="preserve">The </w:t>
      </w:r>
      <w:r w:rsidR="001A4367" w:rsidRPr="00A472FC">
        <w:rPr>
          <w:rFonts w:ascii="Times New Roman" w:hAnsi="Times New Roman" w:cs="Times New Roman"/>
          <w:lang w:val="en-US"/>
        </w:rPr>
        <w:t xml:space="preserve">unique </w:t>
      </w:r>
      <w:r w:rsidR="008F6E3F" w:rsidRPr="00A472FC">
        <w:rPr>
          <w:rFonts w:ascii="Times New Roman" w:hAnsi="Times New Roman" w:cs="Times New Roman"/>
          <w:lang w:val="en-US"/>
        </w:rPr>
        <w:t>commitment John had as a theologian to engag</w:t>
      </w:r>
      <w:r w:rsidR="00B06E38" w:rsidRPr="00A472FC">
        <w:rPr>
          <w:rFonts w:ascii="Times New Roman" w:hAnsi="Times New Roman" w:cs="Times New Roman"/>
          <w:lang w:val="en-US"/>
        </w:rPr>
        <w:t>ing</w:t>
      </w:r>
      <w:r w:rsidR="008F6E3F" w:rsidRPr="00A472FC">
        <w:rPr>
          <w:rFonts w:ascii="Times New Roman" w:hAnsi="Times New Roman" w:cs="Times New Roman"/>
          <w:lang w:val="en-US"/>
        </w:rPr>
        <w:t xml:space="preserve"> with the full breadth and depth of new philosophical material is the reason why his answers so outstripped those of his contemporaries in terms of comprehensiveness</w:t>
      </w:r>
      <w:r w:rsidR="00FD588A" w:rsidRPr="00A472FC">
        <w:rPr>
          <w:rFonts w:ascii="Times New Roman" w:hAnsi="Times New Roman" w:cs="Times New Roman"/>
          <w:lang w:val="en-US"/>
        </w:rPr>
        <w:t xml:space="preserve"> and depth</w:t>
      </w:r>
      <w:r w:rsidR="008F6E3F" w:rsidRPr="00A472FC">
        <w:rPr>
          <w:rFonts w:ascii="Times New Roman" w:hAnsi="Times New Roman" w:cs="Times New Roman"/>
          <w:lang w:val="en-US"/>
        </w:rPr>
        <w:t>.</w:t>
      </w:r>
    </w:p>
    <w:p w14:paraId="167F8099" w14:textId="77777777" w:rsidR="00072810" w:rsidRPr="00A472FC" w:rsidRDefault="00CD1BB4" w:rsidP="00B34F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In </w:t>
      </w:r>
      <w:r w:rsidRPr="00A472FC">
        <w:rPr>
          <w:rFonts w:ascii="Times New Roman" w:hAnsi="Times New Roman" w:cs="Times New Roman"/>
          <w:b/>
          <w:bCs/>
          <w:lang w:val="en-US"/>
        </w:rPr>
        <w:t>chapter five,</w:t>
      </w:r>
      <w:r w:rsidRPr="00A472FC">
        <w:rPr>
          <w:rFonts w:ascii="Times New Roman" w:hAnsi="Times New Roman" w:cs="Times New Roman"/>
          <w:lang w:val="en-US"/>
        </w:rPr>
        <w:t xml:space="preserve"> I move on to a series of four inter-connected chapters which deal with a topic where John was </w:t>
      </w:r>
      <w:r w:rsidR="00C8448A" w:rsidRPr="00A472FC">
        <w:rPr>
          <w:rFonts w:ascii="Times New Roman" w:hAnsi="Times New Roman" w:cs="Times New Roman"/>
          <w:lang w:val="en-US"/>
        </w:rPr>
        <w:t xml:space="preserve">virtually </w:t>
      </w:r>
      <w:r w:rsidRPr="00A472FC">
        <w:rPr>
          <w:rFonts w:ascii="Times New Roman" w:hAnsi="Times New Roman" w:cs="Times New Roman"/>
          <w:lang w:val="en-US"/>
        </w:rPr>
        <w:t xml:space="preserve">alone amongst his contemporaries </w:t>
      </w:r>
      <w:r w:rsidR="00DE5636" w:rsidRPr="00A472FC">
        <w:rPr>
          <w:rFonts w:ascii="Times New Roman" w:hAnsi="Times New Roman" w:cs="Times New Roman"/>
          <w:lang w:val="en-US"/>
        </w:rPr>
        <w:t>i</w:t>
      </w:r>
      <w:r w:rsidRPr="00A472FC">
        <w:rPr>
          <w:rFonts w:ascii="Times New Roman" w:hAnsi="Times New Roman" w:cs="Times New Roman"/>
          <w:lang w:val="en-US"/>
        </w:rPr>
        <w:t>n drawing on the new Arabic sources, in particular, the great Islamic philosopher Avicenna</w:t>
      </w:r>
      <w:r w:rsidR="003C0ED9" w:rsidRPr="00A472FC">
        <w:rPr>
          <w:rFonts w:ascii="Times New Roman" w:hAnsi="Times New Roman" w:cs="Times New Roman"/>
          <w:lang w:val="en-US"/>
        </w:rPr>
        <w:t xml:space="preserve"> (Ibn Sīnā)</w:t>
      </w:r>
      <w:r w:rsidRPr="00A472FC">
        <w:rPr>
          <w:rFonts w:ascii="Times New Roman" w:hAnsi="Times New Roman" w:cs="Times New Roman"/>
          <w:lang w:val="en-US"/>
        </w:rPr>
        <w:t xml:space="preserve"> who served as a proxy for Aristotle and to some extent Augustine during this period. </w:t>
      </w:r>
      <w:r w:rsidR="00F33668" w:rsidRPr="00A472FC">
        <w:rPr>
          <w:rFonts w:ascii="Times New Roman" w:hAnsi="Times New Roman" w:cs="Times New Roman"/>
          <w:lang w:val="en-US"/>
        </w:rPr>
        <w:t xml:space="preserve">This </w:t>
      </w:r>
      <w:r w:rsidR="00773EB6" w:rsidRPr="00A472FC">
        <w:rPr>
          <w:rFonts w:ascii="Times New Roman" w:hAnsi="Times New Roman" w:cs="Times New Roman"/>
          <w:lang w:val="en-US"/>
        </w:rPr>
        <w:t xml:space="preserve">topic </w:t>
      </w:r>
      <w:r w:rsidR="00F33668" w:rsidRPr="00A472FC">
        <w:rPr>
          <w:rFonts w:ascii="Times New Roman" w:hAnsi="Times New Roman" w:cs="Times New Roman"/>
          <w:lang w:val="en-US"/>
        </w:rPr>
        <w:t xml:space="preserve">concerns the work of human cognition. </w:t>
      </w:r>
      <w:r w:rsidRPr="00A472FC">
        <w:rPr>
          <w:rFonts w:ascii="Times New Roman" w:hAnsi="Times New Roman" w:cs="Times New Roman"/>
          <w:lang w:val="en-US"/>
        </w:rPr>
        <w:t xml:space="preserve">As the first </w:t>
      </w:r>
      <w:r w:rsidR="00F33668" w:rsidRPr="00A472FC">
        <w:rPr>
          <w:rFonts w:ascii="Times New Roman" w:hAnsi="Times New Roman" w:cs="Times New Roman"/>
          <w:lang w:val="en-US"/>
        </w:rPr>
        <w:t xml:space="preserve">chapter </w:t>
      </w:r>
      <w:r w:rsidRPr="00A472FC">
        <w:rPr>
          <w:rFonts w:ascii="Times New Roman" w:hAnsi="Times New Roman" w:cs="Times New Roman"/>
          <w:lang w:val="en-US"/>
        </w:rPr>
        <w:t xml:space="preserve">in this series, chapter five begins with John’s earliest text on the soul, the </w:t>
      </w:r>
      <w:proofErr w:type="spellStart"/>
      <w:r w:rsidRPr="00A472FC">
        <w:rPr>
          <w:rFonts w:ascii="Times New Roman" w:hAnsi="Times New Roman" w:cs="Times New Roman"/>
          <w:i/>
          <w:iCs/>
          <w:lang w:val="en-US"/>
        </w:rPr>
        <w:t>Tractatus</w:t>
      </w:r>
      <w:proofErr w:type="spellEnd"/>
      <w:r w:rsidRPr="00A472FC">
        <w:rPr>
          <w:rFonts w:ascii="Times New Roman" w:hAnsi="Times New Roman" w:cs="Times New Roman"/>
          <w:i/>
          <w:iCs/>
          <w:lang w:val="en-US"/>
        </w:rPr>
        <w:t xml:space="preserve">, </w:t>
      </w:r>
      <w:r w:rsidRPr="00A472FC">
        <w:rPr>
          <w:rFonts w:ascii="Times New Roman" w:hAnsi="Times New Roman" w:cs="Times New Roman"/>
          <w:lang w:val="en-US"/>
        </w:rPr>
        <w:t xml:space="preserve">which delineates the cognitive and other powers that John found in Avicenna’s work and his attempt to identify cognitive schema in </w:t>
      </w:r>
      <w:r w:rsidR="003023AD" w:rsidRPr="00A472FC">
        <w:rPr>
          <w:rFonts w:ascii="Times New Roman" w:hAnsi="Times New Roman" w:cs="Times New Roman"/>
          <w:lang w:val="en-US"/>
        </w:rPr>
        <w:t>pseudo-</w:t>
      </w:r>
      <w:r w:rsidRPr="00A472FC">
        <w:rPr>
          <w:rFonts w:ascii="Times New Roman" w:hAnsi="Times New Roman" w:cs="Times New Roman"/>
          <w:lang w:val="en-US"/>
        </w:rPr>
        <w:t>Augustine and John of Damascus</w:t>
      </w:r>
      <w:r w:rsidR="00072810" w:rsidRPr="00A472FC">
        <w:rPr>
          <w:rFonts w:ascii="Times New Roman" w:hAnsi="Times New Roman" w:cs="Times New Roman"/>
          <w:lang w:val="en-US"/>
        </w:rPr>
        <w:t>.</w:t>
      </w:r>
      <w:r w:rsidR="00B94043" w:rsidRPr="00A472FC">
        <w:rPr>
          <w:rStyle w:val="FootnoteReference"/>
          <w:rFonts w:ascii="Times New Roman" w:hAnsi="Times New Roman" w:cs="Times New Roman"/>
          <w:lang w:val="en-US"/>
        </w:rPr>
        <w:footnoteReference w:id="14"/>
      </w:r>
    </w:p>
    <w:p w14:paraId="25672E4C" w14:textId="1C7BB721" w:rsidR="00CD1BB4" w:rsidRPr="00A472FC" w:rsidRDefault="00072810" w:rsidP="00C845C6">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 latter was </w:t>
      </w:r>
      <w:r w:rsidR="00CD1BB4" w:rsidRPr="00A472FC">
        <w:rPr>
          <w:rFonts w:ascii="Times New Roman" w:hAnsi="Times New Roman" w:cs="Times New Roman"/>
          <w:lang w:val="en-US"/>
        </w:rPr>
        <w:t xml:space="preserve">key new </w:t>
      </w:r>
      <w:r w:rsidR="00F87F35" w:rsidRPr="00A472FC">
        <w:rPr>
          <w:rFonts w:ascii="Times New Roman" w:hAnsi="Times New Roman" w:cs="Times New Roman"/>
          <w:lang w:val="en-US"/>
        </w:rPr>
        <w:t>Greek patris</w:t>
      </w:r>
      <w:r w:rsidRPr="00A472FC">
        <w:rPr>
          <w:rFonts w:ascii="Times New Roman" w:hAnsi="Times New Roman" w:cs="Times New Roman"/>
          <w:lang w:val="en-US"/>
        </w:rPr>
        <w:t xml:space="preserve">tic </w:t>
      </w:r>
      <w:r w:rsidR="00CD1BB4" w:rsidRPr="00A472FC">
        <w:rPr>
          <w:rFonts w:ascii="Times New Roman" w:hAnsi="Times New Roman" w:cs="Times New Roman"/>
          <w:lang w:val="en-US"/>
        </w:rPr>
        <w:t>authority for Latin thinkers</w:t>
      </w:r>
      <w:r w:rsidR="001227A7" w:rsidRPr="00A472FC">
        <w:rPr>
          <w:rFonts w:ascii="Times New Roman" w:hAnsi="Times New Roman" w:cs="Times New Roman"/>
          <w:lang w:val="en-US"/>
        </w:rPr>
        <w:t xml:space="preserve">, whose invocation </w:t>
      </w:r>
      <w:r w:rsidR="00E1648E" w:rsidRPr="00A472FC">
        <w:rPr>
          <w:rFonts w:ascii="Times New Roman" w:hAnsi="Times New Roman" w:cs="Times New Roman"/>
          <w:lang w:val="en-US"/>
        </w:rPr>
        <w:t xml:space="preserve">alongside Augustine </w:t>
      </w:r>
      <w:r w:rsidR="001227A7" w:rsidRPr="00A472FC">
        <w:rPr>
          <w:rFonts w:ascii="Times New Roman" w:hAnsi="Times New Roman" w:cs="Times New Roman"/>
          <w:lang w:val="en-US"/>
        </w:rPr>
        <w:t xml:space="preserve">was </w:t>
      </w:r>
      <w:r w:rsidR="0082772F" w:rsidRPr="00A472FC">
        <w:rPr>
          <w:rFonts w:ascii="Times New Roman" w:hAnsi="Times New Roman" w:cs="Times New Roman"/>
          <w:lang w:val="en-US"/>
        </w:rPr>
        <w:t xml:space="preserve">apparently </w:t>
      </w:r>
      <w:r w:rsidR="001227A7" w:rsidRPr="00A472FC">
        <w:rPr>
          <w:rFonts w:ascii="Times New Roman" w:hAnsi="Times New Roman" w:cs="Times New Roman"/>
          <w:lang w:val="en-US"/>
        </w:rPr>
        <w:t xml:space="preserve">designed to persuade John of La Rochelle’s readers </w:t>
      </w:r>
      <w:r w:rsidR="00CD1BB4" w:rsidRPr="00A472FC">
        <w:rPr>
          <w:rFonts w:ascii="Times New Roman" w:hAnsi="Times New Roman" w:cs="Times New Roman"/>
          <w:lang w:val="en-US"/>
        </w:rPr>
        <w:t>that there were points of contact in the Christian tradition which allow</w:t>
      </w:r>
      <w:r w:rsidR="00797DFA" w:rsidRPr="00A472FC">
        <w:rPr>
          <w:rFonts w:ascii="Times New Roman" w:hAnsi="Times New Roman" w:cs="Times New Roman"/>
          <w:lang w:val="en-US"/>
        </w:rPr>
        <w:t>ed</w:t>
      </w:r>
      <w:r w:rsidR="00CD1BB4" w:rsidRPr="00A472FC">
        <w:rPr>
          <w:rFonts w:ascii="Times New Roman" w:hAnsi="Times New Roman" w:cs="Times New Roman"/>
          <w:lang w:val="en-US"/>
        </w:rPr>
        <w:t xml:space="preserve"> for Avicenna’s </w:t>
      </w:r>
      <w:r w:rsidR="00DF589D" w:rsidRPr="00A472FC">
        <w:rPr>
          <w:rFonts w:ascii="Times New Roman" w:hAnsi="Times New Roman" w:cs="Times New Roman"/>
          <w:lang w:val="en-US"/>
        </w:rPr>
        <w:t xml:space="preserve">full </w:t>
      </w:r>
      <w:r w:rsidR="00CD1BB4" w:rsidRPr="00A472FC">
        <w:rPr>
          <w:rFonts w:ascii="Times New Roman" w:hAnsi="Times New Roman" w:cs="Times New Roman"/>
          <w:lang w:val="en-US"/>
        </w:rPr>
        <w:t>incorporation.</w:t>
      </w:r>
      <w:r w:rsidR="00C845C6" w:rsidRPr="00A472FC">
        <w:rPr>
          <w:rFonts w:ascii="Times New Roman" w:hAnsi="Times New Roman" w:cs="Times New Roman"/>
          <w:lang w:val="en-US"/>
        </w:rPr>
        <w:t xml:space="preserve"> </w:t>
      </w:r>
      <w:r w:rsidR="00CD1BB4" w:rsidRPr="00A472FC">
        <w:rPr>
          <w:rFonts w:ascii="Times New Roman" w:hAnsi="Times New Roman" w:cs="Times New Roman"/>
          <w:lang w:val="en-US"/>
        </w:rPr>
        <w:t xml:space="preserve">The focus of chapter </w:t>
      </w:r>
      <w:r w:rsidR="00C845C6" w:rsidRPr="00A472FC">
        <w:rPr>
          <w:rFonts w:ascii="Times New Roman" w:hAnsi="Times New Roman" w:cs="Times New Roman"/>
          <w:lang w:val="en-US"/>
        </w:rPr>
        <w:t xml:space="preserve">five </w:t>
      </w:r>
      <w:r w:rsidR="00CD1BB4" w:rsidRPr="00A472FC">
        <w:rPr>
          <w:rFonts w:ascii="Times New Roman" w:hAnsi="Times New Roman" w:cs="Times New Roman"/>
          <w:lang w:val="en-US"/>
        </w:rPr>
        <w:t xml:space="preserve">is simply on laying out the content of John’s discussion, in the order in which he discusses </w:t>
      </w:r>
      <w:r w:rsidR="00EA7AA2" w:rsidRPr="00A472FC">
        <w:rPr>
          <w:rFonts w:ascii="Times New Roman" w:hAnsi="Times New Roman" w:cs="Times New Roman"/>
          <w:lang w:val="en-US"/>
        </w:rPr>
        <w:t>matters</w:t>
      </w:r>
      <w:r w:rsidR="00CD1BB4" w:rsidRPr="00A472FC">
        <w:rPr>
          <w:rFonts w:ascii="Times New Roman" w:hAnsi="Times New Roman" w:cs="Times New Roman"/>
          <w:lang w:val="en-US"/>
        </w:rPr>
        <w:t xml:space="preserve">, and to weigh in on the somewhat vexed question of the </w:t>
      </w:r>
      <w:proofErr w:type="spellStart"/>
      <w:r w:rsidR="00CD1BB4" w:rsidRPr="00A472FC">
        <w:rPr>
          <w:rFonts w:ascii="Times New Roman" w:hAnsi="Times New Roman" w:cs="Times New Roman"/>
          <w:i/>
          <w:iCs/>
          <w:lang w:val="en-US"/>
        </w:rPr>
        <w:t>Tractatus</w:t>
      </w:r>
      <w:proofErr w:type="spellEnd"/>
      <w:r w:rsidR="00CD1BB4" w:rsidRPr="00A472FC">
        <w:rPr>
          <w:rFonts w:ascii="Times New Roman" w:hAnsi="Times New Roman" w:cs="Times New Roman"/>
          <w:i/>
          <w:iCs/>
          <w:lang w:val="en-US"/>
        </w:rPr>
        <w:t>’</w:t>
      </w:r>
      <w:r w:rsidR="00CD1BB4" w:rsidRPr="00A472FC">
        <w:rPr>
          <w:rFonts w:ascii="Times New Roman" w:hAnsi="Times New Roman" w:cs="Times New Roman"/>
          <w:lang w:val="en-US"/>
        </w:rPr>
        <w:t xml:space="preserve"> relation to the </w:t>
      </w:r>
      <w:r w:rsidR="00CD1BB4" w:rsidRPr="00A472FC">
        <w:rPr>
          <w:rFonts w:ascii="Times New Roman" w:hAnsi="Times New Roman" w:cs="Times New Roman"/>
          <w:i/>
          <w:iCs/>
          <w:lang w:val="en-US"/>
        </w:rPr>
        <w:t xml:space="preserve">Summa de anima, </w:t>
      </w:r>
      <w:r w:rsidR="00CD1BB4" w:rsidRPr="00A472FC">
        <w:rPr>
          <w:rFonts w:ascii="Times New Roman" w:hAnsi="Times New Roman" w:cs="Times New Roman"/>
          <w:lang w:val="en-US"/>
        </w:rPr>
        <w:t xml:space="preserve">which repeats much of the material in the </w:t>
      </w:r>
      <w:proofErr w:type="spellStart"/>
      <w:r w:rsidR="00CD1BB4" w:rsidRPr="00A472FC">
        <w:rPr>
          <w:rFonts w:ascii="Times New Roman" w:hAnsi="Times New Roman" w:cs="Times New Roman"/>
          <w:i/>
          <w:iCs/>
          <w:lang w:val="en-US"/>
        </w:rPr>
        <w:t>Tractatus</w:t>
      </w:r>
      <w:proofErr w:type="spellEnd"/>
      <w:r w:rsidR="00CD1BB4" w:rsidRPr="00A472FC">
        <w:rPr>
          <w:rFonts w:ascii="Times New Roman" w:hAnsi="Times New Roman" w:cs="Times New Roman"/>
          <w:i/>
          <w:iCs/>
          <w:lang w:val="en-US"/>
        </w:rPr>
        <w:t xml:space="preserve"> </w:t>
      </w:r>
      <w:r w:rsidR="00CD1BB4" w:rsidRPr="00A472FC">
        <w:rPr>
          <w:rFonts w:ascii="Times New Roman" w:hAnsi="Times New Roman" w:cs="Times New Roman"/>
          <w:lang w:val="en-US"/>
        </w:rPr>
        <w:t xml:space="preserve">on the cognitive and motive powers but exceeds the </w:t>
      </w:r>
      <w:proofErr w:type="spellStart"/>
      <w:r w:rsidR="00CD1BB4" w:rsidRPr="00A472FC">
        <w:rPr>
          <w:rFonts w:ascii="Times New Roman" w:hAnsi="Times New Roman" w:cs="Times New Roman"/>
          <w:i/>
          <w:iCs/>
          <w:lang w:val="en-US"/>
        </w:rPr>
        <w:t>Tractatus</w:t>
      </w:r>
      <w:proofErr w:type="spellEnd"/>
      <w:r w:rsidR="00CD1BB4" w:rsidRPr="00A472FC">
        <w:rPr>
          <w:rFonts w:ascii="Times New Roman" w:hAnsi="Times New Roman" w:cs="Times New Roman"/>
          <w:i/>
          <w:iCs/>
          <w:lang w:val="en-US"/>
        </w:rPr>
        <w:t xml:space="preserve"> </w:t>
      </w:r>
      <w:r w:rsidR="00CD1BB4" w:rsidRPr="00A472FC">
        <w:rPr>
          <w:rFonts w:ascii="Times New Roman" w:hAnsi="Times New Roman" w:cs="Times New Roman"/>
          <w:lang w:val="en-US"/>
        </w:rPr>
        <w:t xml:space="preserve">in dealing with the six questions that were the subject of chapters three and four. </w:t>
      </w:r>
    </w:p>
    <w:p w14:paraId="0267EAC3" w14:textId="034AEE9C" w:rsidR="00CD1BB4" w:rsidRPr="00A472FC" w:rsidRDefault="00CD1BB4" w:rsidP="00B34F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 purpose of </w:t>
      </w:r>
      <w:r w:rsidRPr="00A472FC">
        <w:rPr>
          <w:rFonts w:ascii="Times New Roman" w:hAnsi="Times New Roman" w:cs="Times New Roman"/>
          <w:b/>
          <w:bCs/>
          <w:lang w:val="en-US"/>
        </w:rPr>
        <w:t>chapter six</w:t>
      </w:r>
      <w:r w:rsidRPr="00A472FC">
        <w:rPr>
          <w:rFonts w:ascii="Times New Roman" w:hAnsi="Times New Roman" w:cs="Times New Roman"/>
          <w:lang w:val="en-US"/>
        </w:rPr>
        <w:t xml:space="preserve"> is to present a more refined interpretation of the material put forward in chapter five, with a view to elucidating precisely how John </w:t>
      </w:r>
      <w:r w:rsidR="002302A2" w:rsidRPr="00A472FC">
        <w:rPr>
          <w:rFonts w:ascii="Times New Roman" w:hAnsi="Times New Roman" w:cs="Times New Roman"/>
          <w:lang w:val="en-US"/>
        </w:rPr>
        <w:t xml:space="preserve">understands </w:t>
      </w:r>
      <w:r w:rsidRPr="00A472FC">
        <w:rPr>
          <w:rFonts w:ascii="Times New Roman" w:hAnsi="Times New Roman" w:cs="Times New Roman"/>
          <w:lang w:val="en-US"/>
        </w:rPr>
        <w:t xml:space="preserve">the nature of cognition, how it is facilitated by external and internal sensation, and the role that divine illumination plays in cognition. What emerges from this discussion is </w:t>
      </w:r>
      <w:r w:rsidR="002302A2" w:rsidRPr="00A472FC">
        <w:rPr>
          <w:rFonts w:ascii="Times New Roman" w:hAnsi="Times New Roman" w:cs="Times New Roman"/>
          <w:lang w:val="en-US"/>
        </w:rPr>
        <w:t>this:</w:t>
      </w:r>
      <w:r w:rsidRPr="00A472FC">
        <w:rPr>
          <w:rFonts w:ascii="Times New Roman" w:hAnsi="Times New Roman" w:cs="Times New Roman"/>
          <w:lang w:val="en-US"/>
        </w:rPr>
        <w:t xml:space="preserve"> while John allows that the passive reception of sense data is an important first step to gaining knowledge, </w:t>
      </w:r>
      <w:r w:rsidRPr="00A472FC">
        <w:rPr>
          <w:rFonts w:ascii="Times New Roman" w:hAnsi="Times New Roman" w:cs="Times New Roman"/>
          <w:lang w:val="en-US"/>
        </w:rPr>
        <w:lastRenderedPageBreak/>
        <w:t>the actual act of knowing requires certain innate first principles, given by God, which aid in the interpretation of that data and facilitate the possibility of knowledge.</w:t>
      </w:r>
      <w:r w:rsidR="00001701" w:rsidRPr="00A472FC">
        <w:rPr>
          <w:rStyle w:val="FootnoteReference"/>
          <w:rFonts w:ascii="Times New Roman" w:hAnsi="Times New Roman" w:cs="Times New Roman"/>
          <w:lang w:val="en-US"/>
        </w:rPr>
        <w:footnoteReference w:id="15"/>
      </w:r>
      <w:r w:rsidRPr="00A472FC">
        <w:rPr>
          <w:rFonts w:ascii="Times New Roman" w:hAnsi="Times New Roman" w:cs="Times New Roman"/>
          <w:lang w:val="en-US"/>
        </w:rPr>
        <w:t xml:space="preserve"> To explain how this </w:t>
      </w:r>
      <w:r w:rsidR="00386CF0" w:rsidRPr="00A472FC">
        <w:rPr>
          <w:rFonts w:ascii="Times New Roman" w:hAnsi="Times New Roman" w:cs="Times New Roman"/>
          <w:lang w:val="en-US"/>
        </w:rPr>
        <w:t>is obtained</w:t>
      </w:r>
      <w:r w:rsidRPr="00A472FC">
        <w:rPr>
          <w:rFonts w:ascii="Times New Roman" w:hAnsi="Times New Roman" w:cs="Times New Roman"/>
          <w:lang w:val="en-US"/>
        </w:rPr>
        <w:t>, John draws almost exclusively on Avicenna, with brief points of reference to Augustine, outlining the contours of a</w:t>
      </w:r>
      <w:r w:rsidR="001B5EE9" w:rsidRPr="00A472FC">
        <w:rPr>
          <w:rFonts w:ascii="Times New Roman" w:hAnsi="Times New Roman" w:cs="Times New Roman"/>
          <w:lang w:val="en-US"/>
        </w:rPr>
        <w:t>n ‘active’</w:t>
      </w:r>
      <w:r w:rsidRPr="00A472FC">
        <w:rPr>
          <w:rFonts w:ascii="Times New Roman" w:hAnsi="Times New Roman" w:cs="Times New Roman"/>
          <w:lang w:val="en-US"/>
        </w:rPr>
        <w:t xml:space="preserve"> theory of cognition which would soon become a defining feature of the Franciscan intellectual tradition, despite the further adaptations and developments in would later undergo.</w:t>
      </w:r>
      <w:r w:rsidR="00520ACE" w:rsidRPr="00A472FC">
        <w:rPr>
          <w:rStyle w:val="FootnoteReference"/>
          <w:rFonts w:ascii="Times New Roman" w:hAnsi="Times New Roman" w:cs="Times New Roman"/>
          <w:lang w:val="en-US"/>
        </w:rPr>
        <w:footnoteReference w:id="16"/>
      </w:r>
    </w:p>
    <w:p w14:paraId="67A5E373" w14:textId="3B035E4C" w:rsidR="00CD1BB4" w:rsidRPr="00A472FC" w:rsidRDefault="00CD1BB4" w:rsidP="00745168">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A brief excursus in </w:t>
      </w:r>
      <w:r w:rsidRPr="00A472FC">
        <w:rPr>
          <w:rFonts w:ascii="Times New Roman" w:hAnsi="Times New Roman" w:cs="Times New Roman"/>
          <w:b/>
          <w:bCs/>
          <w:lang w:val="en-US"/>
        </w:rPr>
        <w:t>chapter seven</w:t>
      </w:r>
      <w:r w:rsidRPr="00A472FC">
        <w:rPr>
          <w:rFonts w:ascii="Times New Roman" w:hAnsi="Times New Roman" w:cs="Times New Roman"/>
          <w:lang w:val="en-US"/>
        </w:rPr>
        <w:t xml:space="preserve"> seeks to deal with a question that arises out of the discussion of chapter six. In addition to the various psychological schemata of Avicenna and Augustine and the Damascene that John of La Rochelle </w:t>
      </w:r>
      <w:r w:rsidR="00BE092C" w:rsidRPr="00A472FC">
        <w:rPr>
          <w:rFonts w:ascii="Times New Roman" w:hAnsi="Times New Roman" w:cs="Times New Roman"/>
          <w:lang w:val="en-US"/>
        </w:rPr>
        <w:t>appeals to when</w:t>
      </w:r>
      <w:r w:rsidRPr="00A472FC">
        <w:rPr>
          <w:rFonts w:ascii="Times New Roman" w:hAnsi="Times New Roman" w:cs="Times New Roman"/>
          <w:lang w:val="en-US"/>
        </w:rPr>
        <w:t xml:space="preserve"> explaining cognition, another scheme appears, the origins of which remain </w:t>
      </w:r>
      <w:r w:rsidR="00E162E1" w:rsidRPr="00A472FC">
        <w:rPr>
          <w:rFonts w:ascii="Times New Roman" w:hAnsi="Times New Roman" w:cs="Times New Roman"/>
          <w:lang w:val="en-US"/>
        </w:rPr>
        <w:t>something of a mystery</w:t>
      </w:r>
      <w:r w:rsidRPr="00A472FC">
        <w:rPr>
          <w:rFonts w:ascii="Times New Roman" w:hAnsi="Times New Roman" w:cs="Times New Roman"/>
          <w:lang w:val="en-US"/>
        </w:rPr>
        <w:t xml:space="preserve">. </w:t>
      </w:r>
      <w:r w:rsidR="00871FBD" w:rsidRPr="00A472FC">
        <w:rPr>
          <w:rFonts w:ascii="Times New Roman" w:hAnsi="Times New Roman" w:cs="Times New Roman"/>
          <w:lang w:val="en-US"/>
        </w:rPr>
        <w:t xml:space="preserve">This </w:t>
      </w:r>
      <w:r w:rsidR="00B166C7" w:rsidRPr="00A472FC">
        <w:rPr>
          <w:rFonts w:ascii="Times New Roman" w:hAnsi="Times New Roman" w:cs="Times New Roman"/>
          <w:lang w:val="en-US"/>
        </w:rPr>
        <w:t>scheme</w:t>
      </w:r>
      <w:r w:rsidR="00871FBD" w:rsidRPr="00A472FC">
        <w:rPr>
          <w:rFonts w:ascii="Times New Roman" w:hAnsi="Times New Roman" w:cs="Times New Roman"/>
          <w:lang w:val="en-US"/>
        </w:rPr>
        <w:t xml:space="preserve"> </w:t>
      </w:r>
      <w:r w:rsidR="00B166C7" w:rsidRPr="00A472FC">
        <w:rPr>
          <w:rFonts w:ascii="Times New Roman" w:hAnsi="Times New Roman" w:cs="Times New Roman"/>
          <w:lang w:val="en-US"/>
        </w:rPr>
        <w:t xml:space="preserve">distinguishes </w:t>
      </w:r>
      <w:r w:rsidR="00871FBD" w:rsidRPr="00A472FC">
        <w:rPr>
          <w:rFonts w:ascii="Times New Roman" w:hAnsi="Times New Roman" w:cs="Times New Roman"/>
          <w:lang w:val="en-US"/>
        </w:rPr>
        <w:t xml:space="preserve">between the agent, possible, and material intellects. </w:t>
      </w:r>
      <w:r w:rsidRPr="00A472FC">
        <w:rPr>
          <w:rFonts w:ascii="Times New Roman" w:hAnsi="Times New Roman" w:cs="Times New Roman"/>
          <w:lang w:val="en-US"/>
        </w:rPr>
        <w:t xml:space="preserve">Although scholars in the past have debated whether </w:t>
      </w:r>
      <w:r w:rsidR="00B166C7" w:rsidRPr="00A472FC">
        <w:rPr>
          <w:rFonts w:ascii="Times New Roman" w:hAnsi="Times New Roman" w:cs="Times New Roman"/>
          <w:lang w:val="en-US"/>
        </w:rPr>
        <w:t>the</w:t>
      </w:r>
      <w:r w:rsidRPr="00A472FC">
        <w:rPr>
          <w:rFonts w:ascii="Times New Roman" w:hAnsi="Times New Roman" w:cs="Times New Roman"/>
          <w:lang w:val="en-US"/>
        </w:rPr>
        <w:t xml:space="preserve"> scheme </w:t>
      </w:r>
      <w:r w:rsidR="00885DEF" w:rsidRPr="00A472FC">
        <w:rPr>
          <w:rFonts w:ascii="Times New Roman" w:hAnsi="Times New Roman" w:cs="Times New Roman"/>
          <w:lang w:val="en-US"/>
        </w:rPr>
        <w:t>suggest</w:t>
      </w:r>
      <w:r w:rsidR="00B166C7" w:rsidRPr="00A472FC">
        <w:rPr>
          <w:rFonts w:ascii="Times New Roman" w:hAnsi="Times New Roman" w:cs="Times New Roman"/>
          <w:lang w:val="en-US"/>
        </w:rPr>
        <w:t>s</w:t>
      </w:r>
      <w:r w:rsidR="00885DEF" w:rsidRPr="00A472FC">
        <w:rPr>
          <w:rFonts w:ascii="Times New Roman" w:hAnsi="Times New Roman" w:cs="Times New Roman"/>
          <w:lang w:val="en-US"/>
        </w:rPr>
        <w:t xml:space="preserve"> an early </w:t>
      </w:r>
      <w:r w:rsidRPr="00A472FC">
        <w:rPr>
          <w:rFonts w:ascii="Times New Roman" w:hAnsi="Times New Roman" w:cs="Times New Roman"/>
          <w:lang w:val="en-US"/>
        </w:rPr>
        <w:t xml:space="preserve">influence of </w:t>
      </w:r>
      <w:proofErr w:type="spellStart"/>
      <w:r w:rsidRPr="00A472FC">
        <w:rPr>
          <w:rFonts w:ascii="Times New Roman" w:hAnsi="Times New Roman" w:cs="Times New Roman"/>
          <w:lang w:val="en-US"/>
        </w:rPr>
        <w:t>Averroes</w:t>
      </w:r>
      <w:proofErr w:type="spellEnd"/>
      <w:r w:rsidR="00A059A0" w:rsidRPr="00A472FC">
        <w:rPr>
          <w:rFonts w:ascii="Times New Roman" w:hAnsi="Times New Roman" w:cs="Times New Roman"/>
          <w:lang w:val="en-US"/>
        </w:rPr>
        <w:t xml:space="preserve"> (Ibn </w:t>
      </w:r>
      <w:proofErr w:type="spellStart"/>
      <w:r w:rsidR="00A059A0" w:rsidRPr="00A472FC">
        <w:rPr>
          <w:rFonts w:ascii="Times New Roman" w:hAnsi="Times New Roman" w:cs="Times New Roman"/>
          <w:lang w:val="en-US"/>
        </w:rPr>
        <w:t>Rushd</w:t>
      </w:r>
      <w:proofErr w:type="spellEnd"/>
      <w:r w:rsidR="00A059A0" w:rsidRPr="00A472FC">
        <w:rPr>
          <w:rFonts w:ascii="Times New Roman" w:hAnsi="Times New Roman" w:cs="Times New Roman"/>
          <w:lang w:val="en-US"/>
        </w:rPr>
        <w:t>)</w:t>
      </w:r>
      <w:r w:rsidRPr="00A472FC">
        <w:rPr>
          <w:rFonts w:ascii="Times New Roman" w:hAnsi="Times New Roman" w:cs="Times New Roman"/>
          <w:lang w:val="en-US"/>
        </w:rPr>
        <w:t xml:space="preserve">, this chapter weighs the evidence and possible sources of it in order to reach the conclusion that it is more plausibly a construct of the Latin tradition at the time, which drew eclectically on </w:t>
      </w:r>
      <w:proofErr w:type="spellStart"/>
      <w:r w:rsidRPr="00A472FC">
        <w:rPr>
          <w:rFonts w:ascii="Times New Roman" w:hAnsi="Times New Roman" w:cs="Times New Roman"/>
          <w:lang w:val="en-US"/>
        </w:rPr>
        <w:t>Avicennian</w:t>
      </w:r>
      <w:proofErr w:type="spellEnd"/>
      <w:r w:rsidRPr="00A472FC">
        <w:rPr>
          <w:rFonts w:ascii="Times New Roman" w:hAnsi="Times New Roman" w:cs="Times New Roman"/>
          <w:lang w:val="en-US"/>
        </w:rPr>
        <w:t xml:space="preserve"> and Aristotelian components in order to adapt them for Christian ends.</w:t>
      </w:r>
    </w:p>
    <w:p w14:paraId="62139DDA" w14:textId="587DE683" w:rsidR="00CD1BB4" w:rsidRPr="00A472FC" w:rsidRDefault="00CD1BB4" w:rsidP="00B34F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Finally, </w:t>
      </w:r>
      <w:r w:rsidRPr="00A472FC">
        <w:rPr>
          <w:rFonts w:ascii="Times New Roman" w:hAnsi="Times New Roman" w:cs="Times New Roman"/>
          <w:b/>
          <w:bCs/>
          <w:lang w:val="en-US"/>
        </w:rPr>
        <w:t>chapter eight</w:t>
      </w:r>
      <w:r w:rsidRPr="00A472FC">
        <w:rPr>
          <w:rFonts w:ascii="Times New Roman" w:hAnsi="Times New Roman" w:cs="Times New Roman"/>
          <w:lang w:val="en-US"/>
        </w:rPr>
        <w:t xml:space="preserve"> turns to consider how John’s cognitive theory was adapted in the context of the </w:t>
      </w:r>
      <w:r w:rsidRPr="00A472FC">
        <w:rPr>
          <w:rFonts w:ascii="Times New Roman" w:hAnsi="Times New Roman" w:cs="Times New Roman"/>
          <w:i/>
          <w:iCs/>
          <w:lang w:val="en-US"/>
        </w:rPr>
        <w:t xml:space="preserve">Summa </w:t>
      </w:r>
      <w:proofErr w:type="spellStart"/>
      <w:r w:rsidRPr="00A472FC">
        <w:rPr>
          <w:rFonts w:ascii="Times New Roman" w:hAnsi="Times New Roman" w:cs="Times New Roman"/>
          <w:i/>
          <w:iCs/>
          <w:lang w:val="en-US"/>
        </w:rPr>
        <w:t>Halensis</w:t>
      </w:r>
      <w:proofErr w:type="spellEnd"/>
      <w:r w:rsidRPr="00A472FC">
        <w:rPr>
          <w:rFonts w:ascii="Times New Roman" w:hAnsi="Times New Roman" w:cs="Times New Roman"/>
          <w:i/>
          <w:iCs/>
          <w:lang w:val="en-US"/>
        </w:rPr>
        <w:t xml:space="preserve">. </w:t>
      </w:r>
      <w:r w:rsidRPr="00A472FC">
        <w:rPr>
          <w:rFonts w:ascii="Times New Roman" w:hAnsi="Times New Roman" w:cs="Times New Roman"/>
          <w:lang w:val="en-US"/>
        </w:rPr>
        <w:t>Although the redactor certainly took liberties with the organization of John’s material, the upshot of this inquiry is that he more or less repeated the same fundamental positions that John advocat</w:t>
      </w:r>
      <w:r w:rsidR="000E4460" w:rsidRPr="00A472FC">
        <w:rPr>
          <w:rFonts w:ascii="Times New Roman" w:hAnsi="Times New Roman" w:cs="Times New Roman"/>
          <w:lang w:val="en-US"/>
        </w:rPr>
        <w:t>ed</w:t>
      </w:r>
      <w:r w:rsidRPr="00A472FC">
        <w:rPr>
          <w:rFonts w:ascii="Times New Roman" w:hAnsi="Times New Roman" w:cs="Times New Roman"/>
          <w:lang w:val="en-US"/>
        </w:rPr>
        <w:t xml:space="preserve"> in the </w:t>
      </w:r>
      <w:r w:rsidRPr="00A472FC">
        <w:rPr>
          <w:rFonts w:ascii="Times New Roman" w:hAnsi="Times New Roman" w:cs="Times New Roman"/>
          <w:i/>
          <w:iCs/>
          <w:lang w:val="en-US"/>
        </w:rPr>
        <w:t xml:space="preserve">Summa de anima </w:t>
      </w:r>
      <w:r w:rsidRPr="00A472FC">
        <w:rPr>
          <w:rFonts w:ascii="Times New Roman" w:hAnsi="Times New Roman" w:cs="Times New Roman"/>
          <w:lang w:val="en-US"/>
        </w:rPr>
        <w:t xml:space="preserve">in terms of the question how the soul achieves knowledge. This brings us back to the question of the extent to which John’s theory of knowledge, already recognizable as the kind of theory advocated by later Franciscans, is in fact Augustinian. In the light of the foregoing chapters, it </w:t>
      </w:r>
      <w:r w:rsidR="00E062B8" w:rsidRPr="00A472FC">
        <w:rPr>
          <w:rFonts w:ascii="Times New Roman" w:hAnsi="Times New Roman" w:cs="Times New Roman"/>
          <w:lang w:val="en-US"/>
        </w:rPr>
        <w:t>will become</w:t>
      </w:r>
      <w:r w:rsidRPr="00A472FC">
        <w:rPr>
          <w:rFonts w:ascii="Times New Roman" w:hAnsi="Times New Roman" w:cs="Times New Roman"/>
          <w:lang w:val="en-US"/>
        </w:rPr>
        <w:t xml:space="preserve"> clear that this theory has little to do with Augustine but is a unique invention of John which draws principally on Avicenna but introduces other elements and adaptations in order to render the theory fit for Christian and specifically Franciscan purposes.</w:t>
      </w:r>
    </w:p>
    <w:p w14:paraId="259B9455" w14:textId="03E7C943" w:rsidR="00CD1BB4" w:rsidRPr="00A472FC" w:rsidRDefault="00C10F47" w:rsidP="00B34F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After thus completing</w:t>
      </w:r>
      <w:r w:rsidR="00CD1BB4" w:rsidRPr="00A472FC">
        <w:rPr>
          <w:rFonts w:ascii="Times New Roman" w:hAnsi="Times New Roman" w:cs="Times New Roman"/>
          <w:lang w:val="en-US"/>
        </w:rPr>
        <w:t xml:space="preserve"> the inquiry into John’s theory of cognition, I turn in </w:t>
      </w:r>
      <w:r w:rsidR="00CD1BB4" w:rsidRPr="00A472FC">
        <w:rPr>
          <w:rFonts w:ascii="Times New Roman" w:hAnsi="Times New Roman" w:cs="Times New Roman"/>
          <w:b/>
          <w:bCs/>
          <w:lang w:val="en-US"/>
        </w:rPr>
        <w:t>chapter nine</w:t>
      </w:r>
      <w:r w:rsidR="00CD1BB4" w:rsidRPr="00A472FC">
        <w:rPr>
          <w:rFonts w:ascii="Times New Roman" w:hAnsi="Times New Roman" w:cs="Times New Roman"/>
          <w:lang w:val="en-US"/>
        </w:rPr>
        <w:t xml:space="preserve"> to his treatment of the so-called motive powers, otherwise called passions, which are the first emotive reactions we have to objects of </w:t>
      </w:r>
      <w:r w:rsidR="00CF0218" w:rsidRPr="00A472FC">
        <w:rPr>
          <w:rFonts w:ascii="Times New Roman" w:hAnsi="Times New Roman" w:cs="Times New Roman"/>
          <w:lang w:val="en-US"/>
        </w:rPr>
        <w:t xml:space="preserve">seemingly </w:t>
      </w:r>
      <w:r w:rsidR="00CD1BB4" w:rsidRPr="00A472FC">
        <w:rPr>
          <w:rFonts w:ascii="Times New Roman" w:hAnsi="Times New Roman" w:cs="Times New Roman"/>
          <w:lang w:val="en-US"/>
        </w:rPr>
        <w:t>positive or negative significance. Interestingly, the Summa’s treatment of these powers is very</w:t>
      </w:r>
      <w:r w:rsidR="00EA2974" w:rsidRPr="00A472FC">
        <w:rPr>
          <w:rFonts w:ascii="Times New Roman" w:hAnsi="Times New Roman" w:cs="Times New Roman"/>
          <w:lang w:val="en-US"/>
        </w:rPr>
        <w:t xml:space="preserve"> brief</w:t>
      </w:r>
      <w:r w:rsidR="00CD1BB4" w:rsidRPr="00A472FC">
        <w:rPr>
          <w:rFonts w:ascii="Times New Roman" w:hAnsi="Times New Roman" w:cs="Times New Roman"/>
          <w:lang w:val="en-US"/>
        </w:rPr>
        <w:t xml:space="preserve">, given how extensively they are discussed by John. </w:t>
      </w:r>
      <w:r w:rsidR="0091440C" w:rsidRPr="00A472FC">
        <w:rPr>
          <w:rFonts w:ascii="Times New Roman" w:hAnsi="Times New Roman" w:cs="Times New Roman"/>
          <w:lang w:val="en-US"/>
        </w:rPr>
        <w:t xml:space="preserve">The latter’s </w:t>
      </w:r>
      <w:r w:rsidR="00CD1BB4" w:rsidRPr="00A472FC">
        <w:rPr>
          <w:rFonts w:ascii="Times New Roman" w:hAnsi="Times New Roman" w:cs="Times New Roman"/>
          <w:lang w:val="en-US"/>
        </w:rPr>
        <w:t>strategy in this regard is once again to juxtapose Avicenna, pseudo-Augustine and John of Damascus in order to bring new ideas into the tradition and indeed to codify a system for treating the passions</w:t>
      </w:r>
      <w:r w:rsidR="005111A8" w:rsidRPr="00A472FC">
        <w:rPr>
          <w:rFonts w:ascii="Times New Roman" w:hAnsi="Times New Roman" w:cs="Times New Roman"/>
          <w:lang w:val="en-US"/>
        </w:rPr>
        <w:t>,</w:t>
      </w:r>
      <w:r w:rsidR="00CD1BB4" w:rsidRPr="00A472FC">
        <w:rPr>
          <w:rFonts w:ascii="Times New Roman" w:hAnsi="Times New Roman" w:cs="Times New Roman"/>
          <w:lang w:val="en-US"/>
        </w:rPr>
        <w:t xml:space="preserve"> which later influenced Thomas Aquinas.</w:t>
      </w:r>
    </w:p>
    <w:p w14:paraId="5C963614" w14:textId="1EBA94F5" w:rsidR="00CD1BB4" w:rsidRPr="00A472FC" w:rsidRDefault="00CD1BB4" w:rsidP="00B34F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 </w:t>
      </w:r>
      <w:r w:rsidRPr="00A472FC">
        <w:rPr>
          <w:rFonts w:ascii="Times New Roman" w:hAnsi="Times New Roman" w:cs="Times New Roman"/>
          <w:b/>
          <w:bCs/>
          <w:lang w:val="en-US"/>
        </w:rPr>
        <w:t>tenth chapter</w:t>
      </w:r>
      <w:r w:rsidRPr="00A472FC">
        <w:rPr>
          <w:rFonts w:ascii="Times New Roman" w:hAnsi="Times New Roman" w:cs="Times New Roman"/>
          <w:lang w:val="en-US"/>
        </w:rPr>
        <w:t xml:space="preserve"> moves on to the question of free will, which is where the study of the passions comes to fruition</w:t>
      </w:r>
      <w:r w:rsidR="00BA0C08" w:rsidRPr="00A472FC">
        <w:rPr>
          <w:rFonts w:ascii="Times New Roman" w:hAnsi="Times New Roman" w:cs="Times New Roman"/>
          <w:lang w:val="en-US"/>
        </w:rPr>
        <w:t>,</w:t>
      </w:r>
      <w:r w:rsidRPr="00A472FC">
        <w:rPr>
          <w:rFonts w:ascii="Times New Roman" w:hAnsi="Times New Roman" w:cs="Times New Roman"/>
          <w:lang w:val="en-US"/>
        </w:rPr>
        <w:t xml:space="preserve"> </w:t>
      </w:r>
      <w:r w:rsidR="00A177F0" w:rsidRPr="00A472FC">
        <w:rPr>
          <w:rFonts w:ascii="Times New Roman" w:hAnsi="Times New Roman" w:cs="Times New Roman"/>
          <w:lang w:val="en-US"/>
        </w:rPr>
        <w:t xml:space="preserve">insofar as </w:t>
      </w:r>
      <w:r w:rsidRPr="00A472FC">
        <w:rPr>
          <w:rFonts w:ascii="Times New Roman" w:hAnsi="Times New Roman" w:cs="Times New Roman"/>
          <w:lang w:val="en-US"/>
        </w:rPr>
        <w:t xml:space="preserve">the will ultimately decides which of its passions to follow. This is the one case out of all the topics treated in this book where the position of the </w:t>
      </w:r>
      <w:r w:rsidRPr="00A472FC">
        <w:rPr>
          <w:rFonts w:ascii="Times New Roman" w:hAnsi="Times New Roman" w:cs="Times New Roman"/>
          <w:i/>
          <w:iCs/>
          <w:lang w:val="en-US"/>
        </w:rPr>
        <w:t xml:space="preserve">Summa </w:t>
      </w:r>
      <w:proofErr w:type="spellStart"/>
      <w:r w:rsidRPr="00A472FC">
        <w:rPr>
          <w:rFonts w:ascii="Times New Roman" w:hAnsi="Times New Roman" w:cs="Times New Roman"/>
          <w:i/>
          <w:iCs/>
          <w:lang w:val="en-US"/>
        </w:rPr>
        <w:t>Halensis</w:t>
      </w:r>
      <w:proofErr w:type="spellEnd"/>
      <w:r w:rsidRPr="00A472FC">
        <w:rPr>
          <w:rFonts w:ascii="Times New Roman" w:hAnsi="Times New Roman" w:cs="Times New Roman"/>
          <w:i/>
          <w:iCs/>
          <w:lang w:val="en-US"/>
        </w:rPr>
        <w:t xml:space="preserve"> </w:t>
      </w:r>
      <w:r w:rsidRPr="00A472FC">
        <w:rPr>
          <w:rFonts w:ascii="Times New Roman" w:hAnsi="Times New Roman" w:cs="Times New Roman"/>
          <w:lang w:val="en-US"/>
        </w:rPr>
        <w:t xml:space="preserve">is more influenced by Alexander of Hales than John of La Rochelle. </w:t>
      </w:r>
      <w:r w:rsidRPr="00A472FC">
        <w:rPr>
          <w:rFonts w:ascii="Times New Roman" w:hAnsi="Times New Roman" w:cs="Times New Roman"/>
          <w:lang w:val="en-US"/>
        </w:rPr>
        <w:lastRenderedPageBreak/>
        <w:t>However, that influence shows just as much as the study of John the extent to which early Franciscans were playing with and indeed redefining what it meant to be an Augustinian. As the chapter explains, Alexander completely twisted Augustine’s two key ideas about free will, namely, that it is ordered to the good, and consists in will and reason, to advocate his own view, which is that free will is flexible between good and evil and is principally</w:t>
      </w:r>
      <w:r w:rsidR="009A3265" w:rsidRPr="00A472FC">
        <w:rPr>
          <w:rFonts w:ascii="Times New Roman" w:hAnsi="Times New Roman" w:cs="Times New Roman"/>
          <w:lang w:val="en-US"/>
        </w:rPr>
        <w:t xml:space="preserve"> based</w:t>
      </w:r>
      <w:r w:rsidRPr="00A472FC">
        <w:rPr>
          <w:rFonts w:ascii="Times New Roman" w:hAnsi="Times New Roman" w:cs="Times New Roman"/>
          <w:lang w:val="en-US"/>
        </w:rPr>
        <w:t xml:space="preserve"> in the will rather than </w:t>
      </w:r>
      <w:r w:rsidR="009A3265" w:rsidRPr="00A472FC">
        <w:rPr>
          <w:rFonts w:ascii="Times New Roman" w:hAnsi="Times New Roman" w:cs="Times New Roman"/>
          <w:lang w:val="en-US"/>
        </w:rPr>
        <w:t xml:space="preserve">in </w:t>
      </w:r>
      <w:r w:rsidRPr="00A472FC">
        <w:rPr>
          <w:rFonts w:ascii="Times New Roman" w:hAnsi="Times New Roman" w:cs="Times New Roman"/>
          <w:lang w:val="en-US"/>
        </w:rPr>
        <w:t>reason. These two ideas, which became central to the subsequent Franciscan tradition, are among those which have been most commonly and mistakenly associated with Augustine on account of the Franciscan influence.</w:t>
      </w:r>
      <w:r w:rsidR="00293556" w:rsidRPr="00A472FC">
        <w:rPr>
          <w:rStyle w:val="FootnoteReference"/>
          <w:rFonts w:ascii="Times New Roman" w:hAnsi="Times New Roman" w:cs="Times New Roman"/>
          <w:lang w:val="en-US"/>
        </w:rPr>
        <w:footnoteReference w:id="17"/>
      </w:r>
    </w:p>
    <w:p w14:paraId="09A575C2" w14:textId="7FCE9673" w:rsidR="00CD1BB4" w:rsidRPr="00A472FC" w:rsidRDefault="00CD1BB4" w:rsidP="00B34F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 </w:t>
      </w:r>
      <w:r w:rsidRPr="00A472FC">
        <w:rPr>
          <w:rFonts w:ascii="Times New Roman" w:hAnsi="Times New Roman" w:cs="Times New Roman"/>
          <w:b/>
          <w:bCs/>
          <w:lang w:val="en-US"/>
        </w:rPr>
        <w:t>eleventh chapter</w:t>
      </w:r>
      <w:r w:rsidRPr="00A472FC">
        <w:rPr>
          <w:rFonts w:ascii="Times New Roman" w:hAnsi="Times New Roman" w:cs="Times New Roman"/>
          <w:lang w:val="en-US"/>
        </w:rPr>
        <w:t xml:space="preserve"> is something of a postscript </w:t>
      </w:r>
      <w:r w:rsidR="00C5270F" w:rsidRPr="00A472FC">
        <w:rPr>
          <w:rFonts w:ascii="Times New Roman" w:hAnsi="Times New Roman" w:cs="Times New Roman"/>
          <w:lang w:val="en-US"/>
        </w:rPr>
        <w:t xml:space="preserve">to the book </w:t>
      </w:r>
      <w:r w:rsidRPr="00A472FC">
        <w:rPr>
          <w:rFonts w:ascii="Times New Roman" w:hAnsi="Times New Roman" w:cs="Times New Roman"/>
          <w:lang w:val="en-US"/>
        </w:rPr>
        <w:t>which gives a window into the way that the Summa construes the key psychological topics discussed above in the case of angels by contrast to humans</w:t>
      </w:r>
      <w:r w:rsidR="00157F98" w:rsidRPr="00A472FC">
        <w:rPr>
          <w:rFonts w:ascii="Times New Roman" w:hAnsi="Times New Roman" w:cs="Times New Roman"/>
          <w:lang w:val="en-US"/>
        </w:rPr>
        <w:t>—a topic John himself only treats in passing</w:t>
      </w:r>
      <w:r w:rsidRPr="00A472FC">
        <w:rPr>
          <w:rFonts w:ascii="Times New Roman" w:hAnsi="Times New Roman" w:cs="Times New Roman"/>
          <w:lang w:val="en-US"/>
        </w:rPr>
        <w:t>. What we find here is that the structure of cognition and free will is much the same for angels as for humans, with the major exception that it is not bound by the limitations of the body which are proper to humans</w:t>
      </w:r>
      <w:r w:rsidR="00652D6C" w:rsidRPr="00A472FC">
        <w:rPr>
          <w:rFonts w:ascii="Times New Roman" w:hAnsi="Times New Roman" w:cs="Times New Roman"/>
          <w:lang w:val="en-US"/>
        </w:rPr>
        <w:t xml:space="preserve">. In that sense, the study of angels </w:t>
      </w:r>
      <w:r w:rsidRPr="00A472FC">
        <w:rPr>
          <w:rFonts w:ascii="Times New Roman" w:hAnsi="Times New Roman" w:cs="Times New Roman"/>
          <w:lang w:val="en-US"/>
        </w:rPr>
        <w:t>serves as a kind of ‘limit case’</w:t>
      </w:r>
      <w:r w:rsidRPr="00A472FC">
        <w:rPr>
          <w:rStyle w:val="FootnoteReference"/>
          <w:rFonts w:ascii="Times New Roman" w:hAnsi="Times New Roman" w:cs="Times New Roman"/>
          <w:lang w:val="en-US"/>
        </w:rPr>
        <w:footnoteReference w:id="18"/>
      </w:r>
      <w:r w:rsidRPr="00A472FC">
        <w:rPr>
          <w:rFonts w:ascii="Times New Roman" w:hAnsi="Times New Roman" w:cs="Times New Roman"/>
          <w:lang w:val="en-US"/>
        </w:rPr>
        <w:t xml:space="preserve"> for determining how human beings might function</w:t>
      </w:r>
      <w:r w:rsidR="007B7F2D" w:rsidRPr="00A472FC">
        <w:rPr>
          <w:rFonts w:ascii="Times New Roman" w:hAnsi="Times New Roman" w:cs="Times New Roman"/>
          <w:lang w:val="en-US"/>
        </w:rPr>
        <w:t>, unfettered</w:t>
      </w:r>
      <w:r w:rsidR="00C227D4" w:rsidRPr="00A472FC">
        <w:rPr>
          <w:rFonts w:ascii="Times New Roman" w:hAnsi="Times New Roman" w:cs="Times New Roman"/>
          <w:lang w:val="en-US"/>
        </w:rPr>
        <w:t xml:space="preserve"> by their physical constra</w:t>
      </w:r>
      <w:r w:rsidR="000E5917" w:rsidRPr="00A472FC">
        <w:rPr>
          <w:rFonts w:ascii="Times New Roman" w:hAnsi="Times New Roman" w:cs="Times New Roman"/>
          <w:lang w:val="en-US"/>
        </w:rPr>
        <w:t>i</w:t>
      </w:r>
      <w:r w:rsidR="00C227D4" w:rsidRPr="00A472FC">
        <w:rPr>
          <w:rFonts w:ascii="Times New Roman" w:hAnsi="Times New Roman" w:cs="Times New Roman"/>
          <w:lang w:val="en-US"/>
        </w:rPr>
        <w:t>nts</w:t>
      </w:r>
      <w:r w:rsidRPr="00A472FC">
        <w:rPr>
          <w:rFonts w:ascii="Times New Roman" w:hAnsi="Times New Roman" w:cs="Times New Roman"/>
          <w:lang w:val="en-US"/>
        </w:rPr>
        <w:t xml:space="preserve">. </w:t>
      </w:r>
    </w:p>
    <w:p w14:paraId="6DD0DE88" w14:textId="77777777" w:rsidR="00DD44ED" w:rsidRPr="00A472FC" w:rsidRDefault="00CD1BB4" w:rsidP="00B34F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 </w:t>
      </w:r>
      <w:r w:rsidRPr="00A472FC">
        <w:rPr>
          <w:rFonts w:ascii="Times New Roman" w:hAnsi="Times New Roman" w:cs="Times New Roman"/>
          <w:b/>
          <w:bCs/>
          <w:lang w:val="en-US"/>
        </w:rPr>
        <w:t>conclusion</w:t>
      </w:r>
      <w:r w:rsidRPr="00A472FC">
        <w:rPr>
          <w:rFonts w:ascii="Times New Roman" w:hAnsi="Times New Roman" w:cs="Times New Roman"/>
          <w:lang w:val="en-US"/>
        </w:rPr>
        <w:t xml:space="preserve"> sums up the findings of the book and each individual chapter, throwing into question again the </w:t>
      </w:r>
      <w:r w:rsidR="00BF645A" w:rsidRPr="00A472FC">
        <w:rPr>
          <w:rFonts w:ascii="Times New Roman" w:hAnsi="Times New Roman" w:cs="Times New Roman"/>
          <w:lang w:val="en-US"/>
        </w:rPr>
        <w:t>notion</w:t>
      </w:r>
      <w:r w:rsidRPr="00A472FC">
        <w:rPr>
          <w:rFonts w:ascii="Times New Roman" w:hAnsi="Times New Roman" w:cs="Times New Roman"/>
          <w:lang w:val="en-US"/>
        </w:rPr>
        <w:t xml:space="preserve"> of early Franciscan ‘</w:t>
      </w:r>
      <w:proofErr w:type="spellStart"/>
      <w:r w:rsidRPr="00A472FC">
        <w:rPr>
          <w:rFonts w:ascii="Times New Roman" w:hAnsi="Times New Roman" w:cs="Times New Roman"/>
          <w:lang w:val="en-US"/>
        </w:rPr>
        <w:t>Augustinianism</w:t>
      </w:r>
      <w:proofErr w:type="spellEnd"/>
      <w:r w:rsidRPr="00A472FC">
        <w:rPr>
          <w:rFonts w:ascii="Times New Roman" w:hAnsi="Times New Roman" w:cs="Times New Roman"/>
          <w:lang w:val="en-US"/>
        </w:rPr>
        <w:t xml:space="preserve">’ by highlighting the extent to which </w:t>
      </w:r>
      <w:r w:rsidR="00BF645A" w:rsidRPr="00A472FC">
        <w:rPr>
          <w:rFonts w:ascii="Times New Roman" w:hAnsi="Times New Roman" w:cs="Times New Roman"/>
          <w:lang w:val="en-US"/>
        </w:rPr>
        <w:t xml:space="preserve">the very definition of </w:t>
      </w:r>
      <w:proofErr w:type="spellStart"/>
      <w:r w:rsidRPr="00A472FC">
        <w:rPr>
          <w:rFonts w:ascii="Times New Roman" w:hAnsi="Times New Roman" w:cs="Times New Roman"/>
          <w:lang w:val="en-US"/>
        </w:rPr>
        <w:t>Augustinian</w:t>
      </w:r>
      <w:r w:rsidR="00BF645A" w:rsidRPr="00A472FC">
        <w:rPr>
          <w:rFonts w:ascii="Times New Roman" w:hAnsi="Times New Roman" w:cs="Times New Roman"/>
          <w:lang w:val="en-US"/>
        </w:rPr>
        <w:t>ism</w:t>
      </w:r>
      <w:proofErr w:type="spellEnd"/>
      <w:r w:rsidRPr="00A472FC">
        <w:rPr>
          <w:rFonts w:ascii="Times New Roman" w:hAnsi="Times New Roman" w:cs="Times New Roman"/>
          <w:lang w:val="en-US"/>
        </w:rPr>
        <w:t xml:space="preserve"> was up for debate amongst John and his contemporaries, who had different views on the way and extent to which Arabic sources should be incorporated for their purposes. Although John certainly agreed with some of his contemporaries on </w:t>
      </w:r>
      <w:r w:rsidR="00DE4EB5" w:rsidRPr="00A472FC">
        <w:rPr>
          <w:rFonts w:ascii="Times New Roman" w:hAnsi="Times New Roman" w:cs="Times New Roman"/>
          <w:lang w:val="en-US"/>
        </w:rPr>
        <w:t>many</w:t>
      </w:r>
      <w:r w:rsidRPr="00A472FC">
        <w:rPr>
          <w:rFonts w:ascii="Times New Roman" w:hAnsi="Times New Roman" w:cs="Times New Roman"/>
          <w:lang w:val="en-US"/>
        </w:rPr>
        <w:t xml:space="preserve"> points, he developed his ideas with much greater depth and precision into theories which</w:t>
      </w:r>
      <w:r w:rsidR="00E01155" w:rsidRPr="00A472FC">
        <w:rPr>
          <w:rFonts w:ascii="Times New Roman" w:hAnsi="Times New Roman" w:cs="Times New Roman"/>
          <w:lang w:val="en-US"/>
        </w:rPr>
        <w:t xml:space="preserve"> in many cases</w:t>
      </w:r>
      <w:r w:rsidRPr="00A472FC">
        <w:rPr>
          <w:rFonts w:ascii="Times New Roman" w:hAnsi="Times New Roman" w:cs="Times New Roman"/>
          <w:lang w:val="en-US"/>
        </w:rPr>
        <w:t xml:space="preserve"> eventually became closely associated with the Franciscan </w:t>
      </w:r>
      <w:r w:rsidR="00774393" w:rsidRPr="00A472FC">
        <w:rPr>
          <w:rFonts w:ascii="Times New Roman" w:hAnsi="Times New Roman" w:cs="Times New Roman"/>
          <w:lang w:val="en-US"/>
        </w:rPr>
        <w:t>tradition</w:t>
      </w:r>
      <w:r w:rsidRPr="00A472FC">
        <w:rPr>
          <w:rFonts w:ascii="Times New Roman" w:hAnsi="Times New Roman" w:cs="Times New Roman"/>
          <w:lang w:val="en-US"/>
        </w:rPr>
        <w:t xml:space="preserve"> of thought, even after colleagues in other camps had abandoned them. </w:t>
      </w:r>
    </w:p>
    <w:p w14:paraId="630B9FD4" w14:textId="22C6CEDF" w:rsidR="00134734" w:rsidRPr="00A472FC" w:rsidRDefault="000B4E32" w:rsidP="0013473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As the conclusion will endeavor to suggest, the reason he </w:t>
      </w:r>
      <w:r w:rsidR="00F62AF3" w:rsidRPr="00A472FC">
        <w:rPr>
          <w:rFonts w:ascii="Times New Roman" w:hAnsi="Times New Roman" w:cs="Times New Roman"/>
          <w:lang w:val="en-US"/>
        </w:rPr>
        <w:t xml:space="preserve">and his </w:t>
      </w:r>
      <w:r w:rsidR="0000212B" w:rsidRPr="00A472FC">
        <w:rPr>
          <w:rFonts w:ascii="Times New Roman" w:hAnsi="Times New Roman" w:cs="Times New Roman"/>
          <w:lang w:val="en-US"/>
        </w:rPr>
        <w:t xml:space="preserve">Franciscan </w:t>
      </w:r>
      <w:r w:rsidR="00F62AF3" w:rsidRPr="00A472FC">
        <w:rPr>
          <w:rFonts w:ascii="Times New Roman" w:hAnsi="Times New Roman" w:cs="Times New Roman"/>
          <w:lang w:val="en-US"/>
        </w:rPr>
        <w:t xml:space="preserve">colleagues ultimately exhibited a preference for certain </w:t>
      </w:r>
      <w:r w:rsidR="00BC4CC5" w:rsidRPr="00A472FC">
        <w:rPr>
          <w:rFonts w:ascii="Times New Roman" w:hAnsi="Times New Roman" w:cs="Times New Roman"/>
          <w:lang w:val="en-US"/>
        </w:rPr>
        <w:t xml:space="preserve">of these </w:t>
      </w:r>
      <w:r w:rsidR="00F62AF3" w:rsidRPr="00A472FC">
        <w:rPr>
          <w:rFonts w:ascii="Times New Roman" w:hAnsi="Times New Roman" w:cs="Times New Roman"/>
          <w:lang w:val="en-US"/>
        </w:rPr>
        <w:t>views over others often had much to do with the</w:t>
      </w:r>
      <w:r w:rsidR="0058388D" w:rsidRPr="00A472FC">
        <w:rPr>
          <w:rFonts w:ascii="Times New Roman" w:hAnsi="Times New Roman" w:cs="Times New Roman"/>
          <w:lang w:val="en-US"/>
        </w:rPr>
        <w:t xml:space="preserve">ir religious </w:t>
      </w:r>
      <w:r w:rsidR="00F62AF3" w:rsidRPr="00A472FC">
        <w:rPr>
          <w:rFonts w:ascii="Times New Roman" w:hAnsi="Times New Roman" w:cs="Times New Roman"/>
          <w:lang w:val="en-US"/>
        </w:rPr>
        <w:t>ethos and indeed the example of Francis of Assisi, whose personality and vision the</w:t>
      </w:r>
      <w:r w:rsidR="00C061B2" w:rsidRPr="00A472FC">
        <w:rPr>
          <w:rFonts w:ascii="Times New Roman" w:hAnsi="Times New Roman" w:cs="Times New Roman"/>
          <w:lang w:val="en-US"/>
        </w:rPr>
        <w:t>y</w:t>
      </w:r>
      <w:r w:rsidR="00F62AF3" w:rsidRPr="00A472FC">
        <w:rPr>
          <w:rFonts w:ascii="Times New Roman" w:hAnsi="Times New Roman" w:cs="Times New Roman"/>
          <w:lang w:val="en-US"/>
        </w:rPr>
        <w:t xml:space="preserve"> were in some respects attempting to articulate in theological and philosophical terms. </w:t>
      </w:r>
      <w:r w:rsidR="00DD44ED" w:rsidRPr="00A472FC">
        <w:rPr>
          <w:rFonts w:ascii="Times New Roman" w:hAnsi="Times New Roman" w:cs="Times New Roman"/>
          <w:lang w:val="en-US"/>
        </w:rPr>
        <w:t xml:space="preserve">Put differently, the reasons for appropriating </w:t>
      </w:r>
      <w:proofErr w:type="spellStart"/>
      <w:r w:rsidR="00DD44ED" w:rsidRPr="00A472FC">
        <w:rPr>
          <w:rFonts w:ascii="Times New Roman" w:hAnsi="Times New Roman" w:cs="Times New Roman"/>
          <w:lang w:val="en-US"/>
        </w:rPr>
        <w:t>Avicenn</w:t>
      </w:r>
      <w:r w:rsidR="00980D9C" w:rsidRPr="00A472FC">
        <w:rPr>
          <w:rFonts w:ascii="Times New Roman" w:hAnsi="Times New Roman" w:cs="Times New Roman"/>
          <w:lang w:val="en-US"/>
        </w:rPr>
        <w:t>ian</w:t>
      </w:r>
      <w:proofErr w:type="spellEnd"/>
      <w:r w:rsidR="00980D9C" w:rsidRPr="00A472FC">
        <w:rPr>
          <w:rFonts w:ascii="Times New Roman" w:hAnsi="Times New Roman" w:cs="Times New Roman"/>
          <w:lang w:val="en-US"/>
        </w:rPr>
        <w:t xml:space="preserve"> ideas</w:t>
      </w:r>
      <w:r w:rsidR="00DD44ED" w:rsidRPr="00A472FC">
        <w:rPr>
          <w:rFonts w:ascii="Times New Roman" w:hAnsi="Times New Roman" w:cs="Times New Roman"/>
          <w:lang w:val="en-US"/>
        </w:rPr>
        <w:t>, with adaptations, were fundamentally theological</w:t>
      </w:r>
      <w:r w:rsidR="00980D9C" w:rsidRPr="00A472FC">
        <w:rPr>
          <w:rFonts w:ascii="Times New Roman" w:hAnsi="Times New Roman" w:cs="Times New Roman"/>
          <w:lang w:val="en-US"/>
        </w:rPr>
        <w:t xml:space="preserve">. </w:t>
      </w:r>
      <w:r w:rsidR="00DA484E" w:rsidRPr="00A472FC">
        <w:rPr>
          <w:rFonts w:ascii="Times New Roman" w:hAnsi="Times New Roman" w:cs="Times New Roman"/>
          <w:lang w:val="en-US"/>
        </w:rPr>
        <w:t xml:space="preserve">Shortly after John made his efforts in this regard, </w:t>
      </w:r>
      <w:proofErr w:type="spellStart"/>
      <w:r w:rsidR="005B0F5A" w:rsidRPr="00A472FC">
        <w:rPr>
          <w:rFonts w:ascii="Times New Roman" w:hAnsi="Times New Roman" w:cs="Times New Roman"/>
          <w:lang w:val="en-US"/>
        </w:rPr>
        <w:t>Averroes</w:t>
      </w:r>
      <w:proofErr w:type="spellEnd"/>
      <w:r w:rsidR="005B0F5A" w:rsidRPr="00A472FC">
        <w:rPr>
          <w:rFonts w:ascii="Times New Roman" w:hAnsi="Times New Roman" w:cs="Times New Roman"/>
          <w:lang w:val="en-US"/>
        </w:rPr>
        <w:t xml:space="preserve">’ commentaries on Aristotle gained popularity, </w:t>
      </w:r>
      <w:r w:rsidR="00134734" w:rsidRPr="00A472FC">
        <w:rPr>
          <w:rFonts w:ascii="Times New Roman" w:hAnsi="Times New Roman" w:cs="Times New Roman"/>
          <w:lang w:val="en-US"/>
        </w:rPr>
        <w:t xml:space="preserve">and </w:t>
      </w:r>
      <w:r w:rsidR="00CD1BB4" w:rsidRPr="00A472FC">
        <w:rPr>
          <w:rFonts w:ascii="Times New Roman" w:hAnsi="Times New Roman" w:cs="Times New Roman"/>
          <w:lang w:val="en-US"/>
        </w:rPr>
        <w:t>the practice of writing commentaries or treatises ‘de anima’ became commonplace</w:t>
      </w:r>
      <w:r w:rsidR="00134734" w:rsidRPr="00A472FC">
        <w:rPr>
          <w:rFonts w:ascii="Times New Roman" w:hAnsi="Times New Roman" w:cs="Times New Roman"/>
          <w:lang w:val="en-US"/>
        </w:rPr>
        <w:t xml:space="preserve">. </w:t>
      </w:r>
    </w:p>
    <w:p w14:paraId="34DF8E0B" w14:textId="51089071" w:rsidR="00CD1BB4" w:rsidRPr="00A472FC" w:rsidRDefault="00134734" w:rsidP="0013473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This </w:t>
      </w:r>
      <w:r w:rsidR="00CD1BB4" w:rsidRPr="00A472FC">
        <w:rPr>
          <w:rFonts w:ascii="Times New Roman" w:hAnsi="Times New Roman" w:cs="Times New Roman"/>
          <w:lang w:val="en-US"/>
        </w:rPr>
        <w:t xml:space="preserve">genre </w:t>
      </w:r>
      <w:r w:rsidRPr="00A472FC">
        <w:rPr>
          <w:rFonts w:ascii="Times New Roman" w:hAnsi="Times New Roman" w:cs="Times New Roman"/>
          <w:lang w:val="en-US"/>
        </w:rPr>
        <w:t xml:space="preserve">then </w:t>
      </w:r>
      <w:r w:rsidR="00CD1BB4" w:rsidRPr="00A472FC">
        <w:rPr>
          <w:rFonts w:ascii="Times New Roman" w:hAnsi="Times New Roman" w:cs="Times New Roman"/>
          <w:lang w:val="en-US"/>
        </w:rPr>
        <w:t xml:space="preserve">became detached from that of the theological Summa with which it is conjoined in the early Franciscan </w:t>
      </w:r>
      <w:r w:rsidR="00AF041E" w:rsidRPr="00A472FC">
        <w:rPr>
          <w:rFonts w:ascii="Times New Roman" w:hAnsi="Times New Roman" w:cs="Times New Roman"/>
          <w:lang w:val="en-US"/>
        </w:rPr>
        <w:t xml:space="preserve">intellectual </w:t>
      </w:r>
      <w:r w:rsidR="00CD1BB4" w:rsidRPr="00A472FC">
        <w:rPr>
          <w:rFonts w:ascii="Times New Roman" w:hAnsi="Times New Roman" w:cs="Times New Roman"/>
          <w:lang w:val="en-US"/>
        </w:rPr>
        <w:t xml:space="preserve">tradition. The resulting </w:t>
      </w:r>
      <w:r w:rsidR="00DC5ECE" w:rsidRPr="00A472FC">
        <w:rPr>
          <w:rFonts w:ascii="Times New Roman" w:hAnsi="Times New Roman" w:cs="Times New Roman"/>
          <w:lang w:val="en-US"/>
        </w:rPr>
        <w:t>commentaries on the soul</w:t>
      </w:r>
      <w:r w:rsidR="00CD1BB4" w:rsidRPr="00A472FC">
        <w:rPr>
          <w:rFonts w:ascii="Times New Roman" w:hAnsi="Times New Roman" w:cs="Times New Roman"/>
          <w:lang w:val="en-US"/>
        </w:rPr>
        <w:t xml:space="preserve"> have been relatively well studied, no doubt due to the obvious phenomenon of their sudden proliferation and the maturation of the genre as a whole within them.</w:t>
      </w:r>
      <w:r w:rsidR="00CD1BB4" w:rsidRPr="00A472FC">
        <w:rPr>
          <w:rStyle w:val="FootnoteReference"/>
          <w:rFonts w:ascii="Times New Roman" w:hAnsi="Times New Roman" w:cs="Times New Roman"/>
          <w:lang w:val="en-US"/>
        </w:rPr>
        <w:footnoteReference w:id="19"/>
      </w:r>
      <w:r w:rsidR="00CD1BB4" w:rsidRPr="00A472FC">
        <w:rPr>
          <w:rFonts w:ascii="Times New Roman" w:hAnsi="Times New Roman" w:cs="Times New Roman"/>
          <w:lang w:val="en-US"/>
        </w:rPr>
        <w:t xml:space="preserve"> </w:t>
      </w:r>
      <w:r w:rsidR="000557D3" w:rsidRPr="00A472FC">
        <w:rPr>
          <w:rFonts w:ascii="Times New Roman" w:hAnsi="Times New Roman" w:cs="Times New Roman"/>
          <w:lang w:val="en-US"/>
        </w:rPr>
        <w:t>Perhaps because of the theological</w:t>
      </w:r>
      <w:r w:rsidR="005A36E6" w:rsidRPr="00A472FC">
        <w:rPr>
          <w:rFonts w:ascii="Times New Roman" w:hAnsi="Times New Roman" w:cs="Times New Roman"/>
          <w:lang w:val="en-US"/>
        </w:rPr>
        <w:t xml:space="preserve">, </w:t>
      </w:r>
      <w:r w:rsidR="000557D3" w:rsidRPr="00A472FC">
        <w:rPr>
          <w:rFonts w:ascii="Times New Roman" w:hAnsi="Times New Roman" w:cs="Times New Roman"/>
          <w:lang w:val="en-US"/>
        </w:rPr>
        <w:t xml:space="preserve">and </w:t>
      </w:r>
      <w:r w:rsidR="00A539C0" w:rsidRPr="00A472FC">
        <w:rPr>
          <w:rFonts w:ascii="Times New Roman" w:hAnsi="Times New Roman" w:cs="Times New Roman"/>
          <w:lang w:val="en-US"/>
        </w:rPr>
        <w:t>thus</w:t>
      </w:r>
      <w:r w:rsidR="000557D3" w:rsidRPr="00A472FC">
        <w:rPr>
          <w:rFonts w:ascii="Times New Roman" w:hAnsi="Times New Roman" w:cs="Times New Roman"/>
          <w:lang w:val="en-US"/>
        </w:rPr>
        <w:t xml:space="preserve"> supposedly Augustinian</w:t>
      </w:r>
      <w:r w:rsidR="005A36E6" w:rsidRPr="00A472FC">
        <w:rPr>
          <w:rFonts w:ascii="Times New Roman" w:hAnsi="Times New Roman" w:cs="Times New Roman"/>
          <w:lang w:val="en-US"/>
        </w:rPr>
        <w:t>,</w:t>
      </w:r>
      <w:r w:rsidR="000557D3" w:rsidRPr="00A472FC">
        <w:rPr>
          <w:rFonts w:ascii="Times New Roman" w:hAnsi="Times New Roman" w:cs="Times New Roman"/>
          <w:lang w:val="en-US"/>
        </w:rPr>
        <w:t xml:space="preserve"> context in which it was written, </w:t>
      </w:r>
      <w:r w:rsidR="000557D3" w:rsidRPr="00A472FC">
        <w:rPr>
          <w:rFonts w:ascii="Times New Roman" w:hAnsi="Times New Roman" w:cs="Times New Roman"/>
          <w:lang w:val="en-US"/>
        </w:rPr>
        <w:lastRenderedPageBreak/>
        <w:t>however, t</w:t>
      </w:r>
      <w:r w:rsidR="005138AF" w:rsidRPr="00A472FC">
        <w:rPr>
          <w:rFonts w:ascii="Times New Roman" w:hAnsi="Times New Roman" w:cs="Times New Roman"/>
          <w:lang w:val="en-US"/>
        </w:rPr>
        <w:t>h</w:t>
      </w:r>
      <w:r w:rsidR="00AC3E77" w:rsidRPr="00A472FC">
        <w:rPr>
          <w:rFonts w:ascii="Times New Roman" w:hAnsi="Times New Roman" w:cs="Times New Roman"/>
          <w:lang w:val="en-US"/>
        </w:rPr>
        <w:t>e work of John and early Franciscans has not bee</w:t>
      </w:r>
      <w:r w:rsidR="00CD1BB4" w:rsidRPr="00A472FC">
        <w:rPr>
          <w:rFonts w:ascii="Times New Roman" w:hAnsi="Times New Roman" w:cs="Times New Roman"/>
          <w:lang w:val="en-US"/>
        </w:rPr>
        <w:t xml:space="preserve">n </w:t>
      </w:r>
      <w:r w:rsidR="00DC5ECE" w:rsidRPr="00A472FC">
        <w:rPr>
          <w:rFonts w:ascii="Times New Roman" w:hAnsi="Times New Roman" w:cs="Times New Roman"/>
          <w:lang w:val="en-US"/>
        </w:rPr>
        <w:t>recogni</w:t>
      </w:r>
      <w:r w:rsidR="000E5917" w:rsidRPr="00A472FC">
        <w:rPr>
          <w:rFonts w:ascii="Times New Roman" w:hAnsi="Times New Roman" w:cs="Times New Roman"/>
          <w:lang w:val="en-US"/>
        </w:rPr>
        <w:t>z</w:t>
      </w:r>
      <w:r w:rsidR="00DC5ECE" w:rsidRPr="00A472FC">
        <w:rPr>
          <w:rFonts w:ascii="Times New Roman" w:hAnsi="Times New Roman" w:cs="Times New Roman"/>
          <w:lang w:val="en-US"/>
        </w:rPr>
        <w:t>ed</w:t>
      </w:r>
      <w:r w:rsidR="00CD1BB4" w:rsidRPr="00A472FC">
        <w:rPr>
          <w:rFonts w:ascii="Times New Roman" w:hAnsi="Times New Roman" w:cs="Times New Roman"/>
          <w:lang w:val="en-US"/>
        </w:rPr>
        <w:t xml:space="preserve"> as</w:t>
      </w:r>
      <w:r w:rsidR="00BB45CB" w:rsidRPr="00A472FC">
        <w:rPr>
          <w:rFonts w:ascii="Times New Roman" w:hAnsi="Times New Roman" w:cs="Times New Roman"/>
          <w:lang w:val="en-US"/>
        </w:rPr>
        <w:t xml:space="preserve"> a</w:t>
      </w:r>
      <w:r w:rsidR="00CD1BB4" w:rsidRPr="00A472FC">
        <w:rPr>
          <w:rFonts w:ascii="Times New Roman" w:hAnsi="Times New Roman" w:cs="Times New Roman"/>
          <w:lang w:val="en-US"/>
        </w:rPr>
        <w:t xml:space="preserve"> potential forerunner of later developments in psychology</w:t>
      </w:r>
      <w:r w:rsidR="00BB45CB" w:rsidRPr="00A472FC">
        <w:rPr>
          <w:rFonts w:ascii="Times New Roman" w:hAnsi="Times New Roman" w:cs="Times New Roman"/>
          <w:lang w:val="en-US"/>
        </w:rPr>
        <w:t>.</w:t>
      </w:r>
    </w:p>
    <w:p w14:paraId="7F590379" w14:textId="7B214AA6" w:rsidR="00CD1BB4" w:rsidRPr="00A472FC" w:rsidRDefault="00CD1BB4" w:rsidP="00B34F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By undertaking the first major study of early Franciscan </w:t>
      </w:r>
      <w:r w:rsidR="008974F9" w:rsidRPr="00A472FC">
        <w:rPr>
          <w:rFonts w:ascii="Times New Roman" w:hAnsi="Times New Roman" w:cs="Times New Roman"/>
          <w:lang w:val="en-US"/>
        </w:rPr>
        <w:t>thought on human nature</w:t>
      </w:r>
      <w:r w:rsidRPr="00A472FC">
        <w:rPr>
          <w:rFonts w:ascii="Times New Roman" w:hAnsi="Times New Roman" w:cs="Times New Roman"/>
          <w:lang w:val="en-US"/>
        </w:rPr>
        <w:t xml:space="preserve">, consequently, I </w:t>
      </w:r>
      <w:r w:rsidR="007F4B84" w:rsidRPr="00A472FC">
        <w:rPr>
          <w:rFonts w:ascii="Times New Roman" w:hAnsi="Times New Roman" w:cs="Times New Roman"/>
          <w:lang w:val="en-US"/>
        </w:rPr>
        <w:t xml:space="preserve">seek to </w:t>
      </w:r>
      <w:r w:rsidR="006852E5" w:rsidRPr="00A472FC">
        <w:rPr>
          <w:rFonts w:ascii="Times New Roman" w:hAnsi="Times New Roman" w:cs="Times New Roman"/>
          <w:lang w:val="en-US"/>
        </w:rPr>
        <w:t xml:space="preserve">provide a basis for discerning </w:t>
      </w:r>
      <w:r w:rsidR="00452913" w:rsidRPr="00A472FC">
        <w:rPr>
          <w:rFonts w:ascii="Times New Roman" w:hAnsi="Times New Roman" w:cs="Times New Roman"/>
          <w:lang w:val="en-US"/>
        </w:rPr>
        <w:t>how</w:t>
      </w:r>
      <w:r w:rsidRPr="00A472FC">
        <w:rPr>
          <w:rFonts w:ascii="Times New Roman" w:hAnsi="Times New Roman" w:cs="Times New Roman"/>
          <w:lang w:val="en-US"/>
        </w:rPr>
        <w:t xml:space="preserve"> the psychological tradition John founded lived on in ways that have been eclipsed by the historiography which assumes that Franciscans before and includ</w:t>
      </w:r>
      <w:r w:rsidR="00272A8E" w:rsidRPr="00A472FC">
        <w:rPr>
          <w:rFonts w:ascii="Times New Roman" w:hAnsi="Times New Roman" w:cs="Times New Roman"/>
          <w:lang w:val="en-US"/>
        </w:rPr>
        <w:t>ing</w:t>
      </w:r>
      <w:r w:rsidRPr="00A472FC">
        <w:rPr>
          <w:rFonts w:ascii="Times New Roman" w:hAnsi="Times New Roman" w:cs="Times New Roman"/>
          <w:lang w:val="en-US"/>
        </w:rPr>
        <w:t xml:space="preserve"> Bonaventure did little but rehearse the views of Augustine. What this study </w:t>
      </w:r>
      <w:r w:rsidR="00272A8E" w:rsidRPr="00A472FC">
        <w:rPr>
          <w:rFonts w:ascii="Times New Roman" w:hAnsi="Times New Roman" w:cs="Times New Roman"/>
          <w:lang w:val="en-US"/>
        </w:rPr>
        <w:t>will show</w:t>
      </w:r>
      <w:r w:rsidRPr="00A472FC">
        <w:rPr>
          <w:rFonts w:ascii="Times New Roman" w:hAnsi="Times New Roman" w:cs="Times New Roman"/>
          <w:lang w:val="en-US"/>
        </w:rPr>
        <w:t xml:space="preserve"> is that they did so much more, establishing the terms and contents of debates that would occupy scholars for generations to come. Although tracing those lines of influence lies beyond the scope of the present study, this nonetheless opens doors for exploring the extent to which early Franciscan psychology continued to reverberate in the later Franciscan and medieval tradition </w:t>
      </w:r>
      <w:r w:rsidRPr="00A472FC">
        <w:rPr>
          <w:rFonts w:ascii="Times New Roman" w:hAnsi="Times New Roman" w:cs="Times New Roman"/>
        </w:rPr>
        <w:t>tradition and beyond.</w:t>
      </w:r>
      <w:r w:rsidR="00DF6D4E" w:rsidRPr="00A472FC">
        <w:rPr>
          <w:rStyle w:val="FootnoteReference"/>
          <w:rFonts w:ascii="Times New Roman" w:hAnsi="Times New Roman" w:cs="Times New Roman"/>
        </w:rPr>
        <w:footnoteReference w:id="20"/>
      </w:r>
    </w:p>
    <w:p w14:paraId="7FD8528B" w14:textId="2D3669F1" w:rsidR="00CD1BB4" w:rsidRPr="00A472FC" w:rsidRDefault="00CD1BB4" w:rsidP="00B34F9E">
      <w:pPr>
        <w:ind w:right="-52"/>
        <w:rPr>
          <w:rFonts w:ascii="Times New Roman" w:hAnsi="Times New Roman" w:cs="Times New Roman"/>
        </w:rPr>
        <w:sectPr w:rsidR="00CD1BB4" w:rsidRPr="00A472FC" w:rsidSect="00983A9E">
          <w:pgSz w:w="11900" w:h="16840"/>
          <w:pgMar w:top="1440" w:right="1440" w:bottom="1440" w:left="1440" w:header="720" w:footer="720" w:gutter="0"/>
          <w:cols w:space="720"/>
          <w:docGrid w:linePitch="360"/>
        </w:sectPr>
      </w:pPr>
    </w:p>
    <w:p w14:paraId="4991EE03" w14:textId="08731F34" w:rsidR="00CD1BB4" w:rsidRPr="00A472FC" w:rsidRDefault="00CD1BB4" w:rsidP="00DF59D3">
      <w:pPr>
        <w:autoSpaceDE w:val="0"/>
        <w:autoSpaceDN w:val="0"/>
        <w:adjustRightInd w:val="0"/>
        <w:ind w:right="-52"/>
        <w:rPr>
          <w:rFonts w:ascii="Times New Roman" w:hAnsi="Times New Roman" w:cs="Times New Roman"/>
          <w:b/>
          <w:lang w:val="en-US"/>
        </w:rPr>
      </w:pPr>
      <w:r w:rsidRPr="00A472FC">
        <w:rPr>
          <w:rFonts w:ascii="Times New Roman" w:hAnsi="Times New Roman" w:cs="Times New Roman"/>
          <w:b/>
          <w:lang w:val="en-US"/>
        </w:rPr>
        <w:lastRenderedPageBreak/>
        <w:t>1. The Philosophy of the Soul c. 1150-1215</w:t>
      </w:r>
    </w:p>
    <w:p w14:paraId="06190DDA" w14:textId="422F4EEF" w:rsidR="00CD1BB4" w:rsidRPr="00A472FC" w:rsidRDefault="00CD1BB4" w:rsidP="00881604">
      <w:pPr>
        <w:autoSpaceDE w:val="0"/>
        <w:autoSpaceDN w:val="0"/>
        <w:adjustRightInd w:val="0"/>
        <w:ind w:right="-52"/>
        <w:rPr>
          <w:rFonts w:ascii="Times New Roman" w:hAnsi="Times New Roman" w:cs="Times New Roman"/>
          <w:lang w:val="en-US"/>
        </w:rPr>
      </w:pPr>
    </w:p>
    <w:p w14:paraId="2BF402FD" w14:textId="26AA20F2" w:rsidR="00CD1BB4" w:rsidRPr="00A472FC" w:rsidRDefault="00CD1BB4" w:rsidP="00881604">
      <w:pPr>
        <w:autoSpaceDE w:val="0"/>
        <w:autoSpaceDN w:val="0"/>
        <w:adjustRightInd w:val="0"/>
        <w:ind w:right="-52"/>
        <w:rPr>
          <w:rFonts w:ascii="Times New Roman" w:hAnsi="Times New Roman" w:cs="Times New Roman"/>
          <w:u w:val="single"/>
          <w:lang w:val="en-US"/>
        </w:rPr>
      </w:pPr>
      <w:r w:rsidRPr="00A472FC">
        <w:rPr>
          <w:rFonts w:ascii="Times New Roman" w:hAnsi="Times New Roman" w:cs="Times New Roman"/>
          <w:u w:val="single"/>
          <w:lang w:val="en-US"/>
        </w:rPr>
        <w:t>Twelfth-Century Developments</w:t>
      </w:r>
    </w:p>
    <w:p w14:paraId="72DCC2FF" w14:textId="77777777" w:rsidR="00CD1BB4" w:rsidRPr="00A472FC" w:rsidRDefault="00CD1BB4" w:rsidP="00881604">
      <w:pPr>
        <w:autoSpaceDE w:val="0"/>
        <w:autoSpaceDN w:val="0"/>
        <w:adjustRightInd w:val="0"/>
        <w:ind w:right="-52"/>
        <w:rPr>
          <w:rFonts w:ascii="Times New Roman" w:hAnsi="Times New Roman" w:cs="Times New Roman"/>
          <w:lang w:val="en-US"/>
        </w:rPr>
      </w:pPr>
    </w:p>
    <w:p w14:paraId="02D85D6E" w14:textId="4C37D77A" w:rsidR="006D3EBC" w:rsidRPr="00A472FC" w:rsidRDefault="00450DD8" w:rsidP="006D3EBC">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From its origins</w:t>
      </w:r>
      <w:r w:rsidR="003C6DB1" w:rsidRPr="00A472FC">
        <w:rPr>
          <w:rFonts w:ascii="Times New Roman" w:hAnsi="Times New Roman" w:cs="Times New Roman"/>
          <w:lang w:val="en-US"/>
        </w:rPr>
        <w:t xml:space="preserve"> to the Middle Ages</w:t>
      </w:r>
      <w:r w:rsidRPr="00A472FC">
        <w:rPr>
          <w:rFonts w:ascii="Times New Roman" w:hAnsi="Times New Roman" w:cs="Times New Roman"/>
          <w:lang w:val="en-US"/>
        </w:rPr>
        <w:t xml:space="preserve">, the Christian tradition had always concerned itself with inquiries related to the soul and especially the way in which it contemplates or knows God. </w:t>
      </w:r>
      <w:r w:rsidR="00A370FA" w:rsidRPr="00A472FC">
        <w:rPr>
          <w:rFonts w:ascii="Times New Roman" w:hAnsi="Times New Roman" w:cs="Times New Roman"/>
          <w:lang w:val="en-US"/>
        </w:rPr>
        <w:t xml:space="preserve">The staples of this tradition included the </w:t>
      </w:r>
      <w:r w:rsidR="00F86BF3" w:rsidRPr="00A472FC">
        <w:rPr>
          <w:rFonts w:ascii="Times New Roman" w:hAnsi="Times New Roman" w:cs="Times New Roman"/>
          <w:lang w:val="en-US"/>
        </w:rPr>
        <w:t>doctrine of free</w:t>
      </w:r>
      <w:r w:rsidR="00A370FA" w:rsidRPr="00A472FC">
        <w:rPr>
          <w:rFonts w:ascii="Times New Roman" w:hAnsi="Times New Roman" w:cs="Times New Roman"/>
          <w:lang w:val="en-US"/>
        </w:rPr>
        <w:t xml:space="preserve"> will (</w:t>
      </w:r>
      <w:proofErr w:type="spellStart"/>
      <w:r w:rsidR="00A370FA" w:rsidRPr="00A472FC">
        <w:rPr>
          <w:rFonts w:ascii="Times New Roman" w:hAnsi="Times New Roman" w:cs="Times New Roman"/>
          <w:i/>
          <w:iCs/>
          <w:lang w:val="en-US"/>
        </w:rPr>
        <w:t>liberum</w:t>
      </w:r>
      <w:proofErr w:type="spellEnd"/>
      <w:r w:rsidR="00A370FA" w:rsidRPr="00A472FC">
        <w:rPr>
          <w:rFonts w:ascii="Times New Roman" w:hAnsi="Times New Roman" w:cs="Times New Roman"/>
          <w:i/>
          <w:iCs/>
          <w:lang w:val="en-US"/>
        </w:rPr>
        <w:t xml:space="preserve"> </w:t>
      </w:r>
      <w:proofErr w:type="spellStart"/>
      <w:r w:rsidR="00A370FA" w:rsidRPr="00A472FC">
        <w:rPr>
          <w:rFonts w:ascii="Times New Roman" w:hAnsi="Times New Roman" w:cs="Times New Roman"/>
          <w:i/>
          <w:iCs/>
          <w:lang w:val="en-US"/>
        </w:rPr>
        <w:t>arbitrium</w:t>
      </w:r>
      <w:proofErr w:type="spellEnd"/>
      <w:r w:rsidR="00A370FA" w:rsidRPr="00A472FC">
        <w:rPr>
          <w:rFonts w:ascii="Times New Roman" w:hAnsi="Times New Roman" w:cs="Times New Roman"/>
          <w:lang w:val="en-US"/>
        </w:rPr>
        <w:t xml:space="preserve">), which tends to vacillate between the dictates of reason </w:t>
      </w:r>
      <w:r w:rsidR="0075168F" w:rsidRPr="00A472FC">
        <w:rPr>
          <w:rFonts w:ascii="Times New Roman" w:hAnsi="Times New Roman" w:cs="Times New Roman"/>
          <w:lang w:val="en-US"/>
        </w:rPr>
        <w:t>and</w:t>
      </w:r>
      <w:r w:rsidR="00AE6BAD" w:rsidRPr="00A472FC">
        <w:rPr>
          <w:rFonts w:ascii="Times New Roman" w:hAnsi="Times New Roman" w:cs="Times New Roman"/>
          <w:lang w:val="en-US"/>
        </w:rPr>
        <w:t xml:space="preserve"> the </w:t>
      </w:r>
      <w:r w:rsidR="0075168F" w:rsidRPr="00A472FC">
        <w:rPr>
          <w:rFonts w:ascii="Times New Roman" w:hAnsi="Times New Roman" w:cs="Times New Roman"/>
          <w:lang w:val="en-US"/>
        </w:rPr>
        <w:t>impulses</w:t>
      </w:r>
      <w:r w:rsidR="00AE6BAD" w:rsidRPr="00A472FC">
        <w:rPr>
          <w:rFonts w:ascii="Times New Roman" w:hAnsi="Times New Roman" w:cs="Times New Roman"/>
          <w:lang w:val="en-US"/>
        </w:rPr>
        <w:t xml:space="preserve"> of the body</w:t>
      </w:r>
      <w:r w:rsidR="00E9683E" w:rsidRPr="00A472FC">
        <w:rPr>
          <w:rFonts w:ascii="Times New Roman" w:hAnsi="Times New Roman" w:cs="Times New Roman"/>
          <w:lang w:val="en-US"/>
        </w:rPr>
        <w:t xml:space="preserve"> or ‘sensuality’</w:t>
      </w:r>
      <w:r w:rsidR="00A370FA" w:rsidRPr="00A472FC">
        <w:rPr>
          <w:rFonts w:ascii="Times New Roman" w:hAnsi="Times New Roman" w:cs="Times New Roman"/>
          <w:lang w:val="en-US"/>
        </w:rPr>
        <w:t>;</w:t>
      </w:r>
      <w:r w:rsidR="00743D87" w:rsidRPr="00A472FC">
        <w:rPr>
          <w:rFonts w:ascii="Times New Roman" w:hAnsi="Times New Roman" w:cs="Times New Roman"/>
          <w:lang w:val="en-US"/>
        </w:rPr>
        <w:t xml:space="preserve"> </w:t>
      </w:r>
      <w:r w:rsidR="00992F51" w:rsidRPr="00A472FC">
        <w:rPr>
          <w:rFonts w:ascii="Times New Roman" w:hAnsi="Times New Roman" w:cs="Times New Roman"/>
          <w:lang w:val="en-US"/>
        </w:rPr>
        <w:t>the Platonic distinction between the rational</w:t>
      </w:r>
      <w:r w:rsidR="00E673BE" w:rsidRPr="00A472FC">
        <w:rPr>
          <w:rFonts w:ascii="Times New Roman" w:hAnsi="Times New Roman" w:cs="Times New Roman"/>
          <w:lang w:val="en-US"/>
        </w:rPr>
        <w:t xml:space="preserve"> and the </w:t>
      </w:r>
      <w:r w:rsidR="00992F51" w:rsidRPr="00A472FC">
        <w:rPr>
          <w:rFonts w:ascii="Times New Roman" w:hAnsi="Times New Roman" w:cs="Times New Roman"/>
          <w:lang w:val="en-US"/>
        </w:rPr>
        <w:t xml:space="preserve">irascible and </w:t>
      </w:r>
      <w:proofErr w:type="spellStart"/>
      <w:r w:rsidR="00992F51" w:rsidRPr="00A472FC">
        <w:rPr>
          <w:rFonts w:ascii="Times New Roman" w:hAnsi="Times New Roman" w:cs="Times New Roman"/>
          <w:lang w:val="en-US"/>
        </w:rPr>
        <w:t>concupiscible</w:t>
      </w:r>
      <w:proofErr w:type="spellEnd"/>
      <w:r w:rsidR="00992F51" w:rsidRPr="00A472FC">
        <w:rPr>
          <w:rFonts w:ascii="Times New Roman" w:hAnsi="Times New Roman" w:cs="Times New Roman"/>
          <w:lang w:val="en-US"/>
        </w:rPr>
        <w:t xml:space="preserve"> powers, </w:t>
      </w:r>
      <w:r w:rsidR="00E673BE" w:rsidRPr="00A472FC">
        <w:rPr>
          <w:rFonts w:ascii="Times New Roman" w:hAnsi="Times New Roman" w:cs="Times New Roman"/>
          <w:lang w:val="en-US"/>
        </w:rPr>
        <w:t>which respectively pertain to objects of aversion or desire</w:t>
      </w:r>
      <w:r w:rsidR="00425BC2" w:rsidRPr="00A472FC">
        <w:rPr>
          <w:rFonts w:ascii="Times New Roman" w:hAnsi="Times New Roman" w:cs="Times New Roman"/>
          <w:lang w:val="en-US"/>
        </w:rPr>
        <w:t xml:space="preserve">; </w:t>
      </w:r>
      <w:r w:rsidR="00992F51" w:rsidRPr="00A472FC">
        <w:rPr>
          <w:rFonts w:ascii="Times New Roman" w:hAnsi="Times New Roman" w:cs="Times New Roman"/>
          <w:lang w:val="en-US"/>
        </w:rPr>
        <w:t>and Augustine’s triad of memory, understanding, and will, which comprise an image of the Trinity.</w:t>
      </w:r>
      <w:r w:rsidR="00992F51" w:rsidRPr="00A472FC">
        <w:rPr>
          <w:rStyle w:val="FootnoteReference"/>
          <w:rFonts w:ascii="Times New Roman" w:hAnsi="Times New Roman" w:cs="Times New Roman"/>
          <w:lang w:val="en-US"/>
        </w:rPr>
        <w:footnoteReference w:id="21"/>
      </w:r>
      <w:r w:rsidR="007C0185" w:rsidRPr="00A472FC">
        <w:rPr>
          <w:rFonts w:ascii="Times New Roman" w:hAnsi="Times New Roman" w:cs="Times New Roman"/>
          <w:lang w:val="en-US"/>
        </w:rPr>
        <w:t xml:space="preserve"> Another major influence was the sixth-century thinker, </w:t>
      </w:r>
      <w:proofErr w:type="spellStart"/>
      <w:r w:rsidR="007C0185" w:rsidRPr="00A472FC">
        <w:rPr>
          <w:rFonts w:ascii="Times New Roman" w:hAnsi="Times New Roman" w:cs="Times New Roman"/>
          <w:lang w:val="en-US"/>
        </w:rPr>
        <w:t>Boethius</w:t>
      </w:r>
      <w:proofErr w:type="spellEnd"/>
      <w:r w:rsidR="007C0185" w:rsidRPr="00A472FC">
        <w:rPr>
          <w:rFonts w:ascii="Times New Roman" w:hAnsi="Times New Roman" w:cs="Times New Roman"/>
          <w:lang w:val="en-US"/>
        </w:rPr>
        <w:t>, whose list of four faculties—sense, imagination, reason, and intelligence—w</w:t>
      </w:r>
      <w:r w:rsidR="00992FD8" w:rsidRPr="00A472FC">
        <w:rPr>
          <w:rFonts w:ascii="Times New Roman" w:hAnsi="Times New Roman" w:cs="Times New Roman"/>
          <w:lang w:val="en-US"/>
        </w:rPr>
        <w:t>as</w:t>
      </w:r>
      <w:r w:rsidR="007C0185" w:rsidRPr="00A472FC">
        <w:rPr>
          <w:rFonts w:ascii="Times New Roman" w:hAnsi="Times New Roman" w:cs="Times New Roman"/>
          <w:lang w:val="en-US"/>
        </w:rPr>
        <w:t xml:space="preserve"> frequently invoked in the Middle Ages.</w:t>
      </w:r>
      <w:r w:rsidR="00833D0F" w:rsidRPr="00A472FC">
        <w:rPr>
          <w:rStyle w:val="FootnoteReference"/>
          <w:rFonts w:ascii="Times New Roman" w:hAnsi="Times New Roman" w:cs="Times New Roman"/>
          <w:lang w:val="en-US"/>
        </w:rPr>
        <w:footnoteReference w:id="22"/>
      </w:r>
      <w:r w:rsidR="006D3EBC" w:rsidRPr="00A472FC">
        <w:rPr>
          <w:rFonts w:ascii="Times New Roman" w:hAnsi="Times New Roman" w:cs="Times New Roman"/>
          <w:lang w:val="en-US"/>
        </w:rPr>
        <w:t xml:space="preserve"> While these sources continued </w:t>
      </w:r>
      <w:r w:rsidR="001E49B9" w:rsidRPr="00A472FC">
        <w:rPr>
          <w:rFonts w:ascii="Times New Roman" w:hAnsi="Times New Roman" w:cs="Times New Roman"/>
          <w:lang w:val="en-US"/>
        </w:rPr>
        <w:t>to hold signifi</w:t>
      </w:r>
      <w:r w:rsidR="00493884" w:rsidRPr="00A472FC">
        <w:rPr>
          <w:rFonts w:ascii="Times New Roman" w:hAnsi="Times New Roman" w:cs="Times New Roman"/>
          <w:lang w:val="en-US"/>
        </w:rPr>
        <w:t>c</w:t>
      </w:r>
      <w:r w:rsidR="001E49B9" w:rsidRPr="00A472FC">
        <w:rPr>
          <w:rFonts w:ascii="Times New Roman" w:hAnsi="Times New Roman" w:cs="Times New Roman"/>
          <w:lang w:val="en-US"/>
        </w:rPr>
        <w:t>ance</w:t>
      </w:r>
      <w:r w:rsidR="006D3EBC" w:rsidRPr="00A472FC">
        <w:rPr>
          <w:rFonts w:ascii="Times New Roman" w:hAnsi="Times New Roman" w:cs="Times New Roman"/>
          <w:lang w:val="en-US"/>
        </w:rPr>
        <w:t xml:space="preserve"> in the twelfth century</w:t>
      </w:r>
      <w:r w:rsidR="00B75FBB" w:rsidRPr="00A472FC">
        <w:rPr>
          <w:rFonts w:ascii="Times New Roman" w:hAnsi="Times New Roman" w:cs="Times New Roman"/>
          <w:lang w:val="en-US"/>
        </w:rPr>
        <w:t xml:space="preserve"> and beyond</w:t>
      </w:r>
      <w:r w:rsidR="006D3EBC" w:rsidRPr="00A472FC">
        <w:rPr>
          <w:rFonts w:ascii="Times New Roman" w:hAnsi="Times New Roman" w:cs="Times New Roman"/>
          <w:lang w:val="en-US"/>
        </w:rPr>
        <w:t xml:space="preserve">, </w:t>
      </w:r>
      <w:r w:rsidR="002E6246" w:rsidRPr="00A472FC">
        <w:rPr>
          <w:rFonts w:ascii="Times New Roman" w:hAnsi="Times New Roman" w:cs="Times New Roman"/>
          <w:lang w:val="en-US"/>
        </w:rPr>
        <w:t xml:space="preserve">in ways the forthcoming chapters will reveal, </w:t>
      </w:r>
      <w:r w:rsidR="006D3EBC" w:rsidRPr="00A472FC">
        <w:rPr>
          <w:rFonts w:ascii="Times New Roman" w:hAnsi="Times New Roman" w:cs="Times New Roman"/>
          <w:lang w:val="en-US"/>
        </w:rPr>
        <w:t xml:space="preserve">this period </w:t>
      </w:r>
      <w:r w:rsidR="002E6246" w:rsidRPr="00A472FC">
        <w:rPr>
          <w:rFonts w:ascii="Times New Roman" w:hAnsi="Times New Roman" w:cs="Times New Roman"/>
          <w:lang w:val="en-US"/>
        </w:rPr>
        <w:t xml:space="preserve">also </w:t>
      </w:r>
      <w:r w:rsidR="006D3EBC" w:rsidRPr="00A472FC">
        <w:rPr>
          <w:rFonts w:ascii="Times New Roman" w:hAnsi="Times New Roman" w:cs="Times New Roman"/>
          <w:lang w:val="en-US"/>
        </w:rPr>
        <w:t xml:space="preserve">witnessed the rather rapid transformation of </w:t>
      </w:r>
      <w:r w:rsidR="00F06845" w:rsidRPr="00A472FC">
        <w:rPr>
          <w:rFonts w:ascii="Times New Roman" w:hAnsi="Times New Roman" w:cs="Times New Roman"/>
          <w:lang w:val="en-US"/>
        </w:rPr>
        <w:t>inquiries</w:t>
      </w:r>
      <w:r w:rsidR="006D3EBC" w:rsidRPr="00A472FC">
        <w:rPr>
          <w:rFonts w:ascii="Times New Roman" w:hAnsi="Times New Roman" w:cs="Times New Roman"/>
          <w:lang w:val="en-US"/>
        </w:rPr>
        <w:t xml:space="preserve"> concerning human psychology, which resulted from the translation of medical and philosophical resources</w:t>
      </w:r>
      <w:r w:rsidR="004A5018" w:rsidRPr="00A472FC">
        <w:rPr>
          <w:rFonts w:ascii="Times New Roman" w:hAnsi="Times New Roman" w:cs="Times New Roman"/>
          <w:lang w:val="en-US"/>
        </w:rPr>
        <w:t>,</w:t>
      </w:r>
      <w:r w:rsidR="006D3EBC" w:rsidRPr="00A472FC">
        <w:rPr>
          <w:rFonts w:ascii="Times New Roman" w:hAnsi="Times New Roman" w:cs="Times New Roman"/>
          <w:lang w:val="en-US"/>
        </w:rPr>
        <w:t xml:space="preserve"> which </w:t>
      </w:r>
      <w:r w:rsidR="0077439C" w:rsidRPr="00A472FC">
        <w:rPr>
          <w:rFonts w:ascii="Times New Roman" w:hAnsi="Times New Roman" w:cs="Times New Roman"/>
          <w:lang w:val="en-US"/>
        </w:rPr>
        <w:t>the present</w:t>
      </w:r>
      <w:r w:rsidR="006D3EBC" w:rsidRPr="00A472FC">
        <w:rPr>
          <w:rFonts w:ascii="Times New Roman" w:hAnsi="Times New Roman" w:cs="Times New Roman"/>
          <w:lang w:val="en-US"/>
        </w:rPr>
        <w:t xml:space="preserve"> chapter will </w:t>
      </w:r>
      <w:r w:rsidR="00310C71" w:rsidRPr="00A472FC">
        <w:rPr>
          <w:rFonts w:ascii="Times New Roman" w:hAnsi="Times New Roman" w:cs="Times New Roman"/>
          <w:lang w:val="en-US"/>
        </w:rPr>
        <w:t xml:space="preserve">endeavor to </w:t>
      </w:r>
      <w:r w:rsidR="006D3EBC" w:rsidRPr="00A472FC">
        <w:rPr>
          <w:rFonts w:ascii="Times New Roman" w:hAnsi="Times New Roman" w:cs="Times New Roman"/>
          <w:lang w:val="en-US"/>
        </w:rPr>
        <w:t>detail.</w:t>
      </w:r>
    </w:p>
    <w:p w14:paraId="65962CA8" w14:textId="17B0B27C" w:rsidR="00450DD8" w:rsidRPr="00A472FC" w:rsidRDefault="002A5823" w:rsidP="00F475FC">
      <w:pPr>
        <w:ind w:firstLine="720"/>
        <w:rPr>
          <w:rFonts w:ascii="Times New Roman" w:hAnsi="Times New Roman" w:cs="Times New Roman"/>
          <w:lang w:val="en-US"/>
        </w:rPr>
      </w:pPr>
      <w:r w:rsidRPr="00A472FC">
        <w:rPr>
          <w:rFonts w:ascii="Times New Roman" w:hAnsi="Times New Roman" w:cs="Times New Roman"/>
          <w:lang w:val="en-US"/>
        </w:rPr>
        <w:t xml:space="preserve">The medical </w:t>
      </w:r>
      <w:r w:rsidR="00C17818" w:rsidRPr="00A472FC">
        <w:rPr>
          <w:rFonts w:ascii="Times New Roman" w:hAnsi="Times New Roman" w:cs="Times New Roman"/>
          <w:lang w:val="en-US"/>
        </w:rPr>
        <w:t>works</w:t>
      </w:r>
      <w:r w:rsidRPr="00A472FC">
        <w:rPr>
          <w:rFonts w:ascii="Times New Roman" w:hAnsi="Times New Roman" w:cs="Times New Roman"/>
          <w:lang w:val="en-US"/>
        </w:rPr>
        <w:t xml:space="preserve"> appeared first, </w:t>
      </w:r>
      <w:r w:rsidR="00C17818" w:rsidRPr="00A472FC">
        <w:rPr>
          <w:rFonts w:ascii="Times New Roman" w:hAnsi="Times New Roman" w:cs="Times New Roman"/>
          <w:lang w:val="en-US"/>
        </w:rPr>
        <w:t xml:space="preserve">mostly </w:t>
      </w:r>
      <w:r w:rsidRPr="00A472FC">
        <w:rPr>
          <w:rFonts w:ascii="Times New Roman" w:hAnsi="Times New Roman" w:cs="Times New Roman"/>
          <w:lang w:val="en-US"/>
        </w:rPr>
        <w:t>in the late eleventh century</w:t>
      </w:r>
      <w:r w:rsidR="00EA5000" w:rsidRPr="00A472FC">
        <w:rPr>
          <w:rFonts w:ascii="Times New Roman" w:hAnsi="Times New Roman" w:cs="Times New Roman"/>
          <w:lang w:val="en-US"/>
        </w:rPr>
        <w:t xml:space="preserve"> and will therefore be treated first</w:t>
      </w:r>
      <w:r w:rsidRPr="00A472FC">
        <w:rPr>
          <w:rFonts w:ascii="Times New Roman" w:hAnsi="Times New Roman" w:cs="Times New Roman"/>
          <w:lang w:val="en-US"/>
        </w:rPr>
        <w:t xml:space="preserve">. </w:t>
      </w:r>
      <w:r w:rsidR="00C17818" w:rsidRPr="00A472FC">
        <w:rPr>
          <w:rFonts w:ascii="Times New Roman" w:hAnsi="Times New Roman" w:cs="Times New Roman"/>
          <w:lang w:val="en-US"/>
        </w:rPr>
        <w:t xml:space="preserve">These included the </w:t>
      </w:r>
      <w:proofErr w:type="spellStart"/>
      <w:r w:rsidR="00C17818" w:rsidRPr="00A472FC">
        <w:rPr>
          <w:rFonts w:ascii="Times New Roman" w:hAnsi="Times New Roman" w:cs="Times New Roman"/>
          <w:i/>
          <w:lang w:val="en-US"/>
        </w:rPr>
        <w:t>Isagoge</w:t>
      </w:r>
      <w:proofErr w:type="spellEnd"/>
      <w:r w:rsidR="00C17818" w:rsidRPr="00A472FC">
        <w:rPr>
          <w:rFonts w:ascii="Times New Roman" w:hAnsi="Times New Roman" w:cs="Times New Roman"/>
          <w:i/>
          <w:lang w:val="en-US"/>
        </w:rPr>
        <w:t xml:space="preserve"> ad </w:t>
      </w:r>
      <w:proofErr w:type="spellStart"/>
      <w:r w:rsidR="00C17818" w:rsidRPr="00A472FC">
        <w:rPr>
          <w:rFonts w:ascii="Times New Roman" w:hAnsi="Times New Roman" w:cs="Times New Roman"/>
          <w:i/>
          <w:lang w:val="en-US"/>
        </w:rPr>
        <w:t>Tegni</w:t>
      </w:r>
      <w:proofErr w:type="spellEnd"/>
      <w:r w:rsidR="00C17818" w:rsidRPr="00A472FC">
        <w:rPr>
          <w:rFonts w:ascii="Times New Roman" w:hAnsi="Times New Roman" w:cs="Times New Roman"/>
          <w:i/>
          <w:lang w:val="en-US"/>
        </w:rPr>
        <w:t xml:space="preserve"> </w:t>
      </w:r>
      <w:proofErr w:type="spellStart"/>
      <w:r w:rsidR="00C17818" w:rsidRPr="00A472FC">
        <w:rPr>
          <w:rFonts w:ascii="Times New Roman" w:hAnsi="Times New Roman" w:cs="Times New Roman"/>
          <w:i/>
          <w:lang w:val="en-US"/>
        </w:rPr>
        <w:t>Galeni</w:t>
      </w:r>
      <w:proofErr w:type="spellEnd"/>
      <w:r w:rsidR="00C17818" w:rsidRPr="00A472FC">
        <w:rPr>
          <w:rFonts w:ascii="Times New Roman" w:hAnsi="Times New Roman" w:cs="Times New Roman"/>
          <w:i/>
          <w:lang w:val="en-US"/>
        </w:rPr>
        <w:t xml:space="preserve"> </w:t>
      </w:r>
      <w:r w:rsidR="00C17818" w:rsidRPr="00A472FC">
        <w:rPr>
          <w:rFonts w:ascii="Times New Roman" w:hAnsi="Times New Roman" w:cs="Times New Roman"/>
          <w:lang w:val="en-US"/>
        </w:rPr>
        <w:t xml:space="preserve">by the Nestorian Christian translator </w:t>
      </w:r>
      <w:proofErr w:type="spellStart"/>
      <w:r w:rsidR="00C17818" w:rsidRPr="00A472FC">
        <w:rPr>
          <w:rFonts w:ascii="Times New Roman" w:hAnsi="Times New Roman" w:cs="Times New Roman"/>
          <w:lang w:val="en-US"/>
        </w:rPr>
        <w:t>Johannitius</w:t>
      </w:r>
      <w:proofErr w:type="spellEnd"/>
      <w:r w:rsidR="00C17818" w:rsidRPr="00A472FC">
        <w:rPr>
          <w:rFonts w:ascii="Times New Roman" w:hAnsi="Times New Roman" w:cs="Times New Roman"/>
          <w:lang w:val="en-US"/>
        </w:rPr>
        <w:t xml:space="preserve"> (</w:t>
      </w:r>
      <w:proofErr w:type="spellStart"/>
      <w:r w:rsidR="00C17818" w:rsidRPr="00A472FC">
        <w:rPr>
          <w:rFonts w:ascii="Times New Roman" w:hAnsi="Times New Roman" w:cs="Times New Roman"/>
          <w:lang w:val="en-US"/>
        </w:rPr>
        <w:t>Hunayn</w:t>
      </w:r>
      <w:proofErr w:type="spellEnd"/>
      <w:r w:rsidR="00C17818" w:rsidRPr="00A472FC">
        <w:rPr>
          <w:rFonts w:ascii="Times New Roman" w:hAnsi="Times New Roman" w:cs="Times New Roman"/>
          <w:lang w:val="en-US"/>
        </w:rPr>
        <w:t xml:space="preserve"> </w:t>
      </w:r>
      <w:proofErr w:type="spellStart"/>
      <w:r w:rsidR="00C17818" w:rsidRPr="00A472FC">
        <w:rPr>
          <w:rFonts w:ascii="Times New Roman" w:hAnsi="Times New Roman" w:cs="Times New Roman"/>
          <w:lang w:val="en-US"/>
        </w:rPr>
        <w:t>ibn</w:t>
      </w:r>
      <w:proofErr w:type="spellEnd"/>
      <w:r w:rsidR="00C17818" w:rsidRPr="00A472FC">
        <w:rPr>
          <w:rFonts w:ascii="Times New Roman" w:hAnsi="Times New Roman" w:cs="Times New Roman"/>
          <w:lang w:val="en-US"/>
        </w:rPr>
        <w:t xml:space="preserve"> </w:t>
      </w:r>
      <w:proofErr w:type="spellStart"/>
      <w:r w:rsidR="00C17818" w:rsidRPr="00A472FC">
        <w:rPr>
          <w:rFonts w:ascii="Times New Roman" w:hAnsi="Times New Roman" w:cs="Times New Roman"/>
          <w:lang w:val="en-US"/>
        </w:rPr>
        <w:t>Ishāq</w:t>
      </w:r>
      <w:proofErr w:type="spellEnd"/>
      <w:r w:rsidR="00C17818" w:rsidRPr="00A472FC">
        <w:rPr>
          <w:rFonts w:ascii="Times New Roman" w:hAnsi="Times New Roman" w:cs="Times New Roman"/>
          <w:lang w:val="en-US"/>
        </w:rPr>
        <w:t>;</w:t>
      </w:r>
      <w:r w:rsidR="00C17818" w:rsidRPr="00A472FC">
        <w:rPr>
          <w:rFonts w:ascii="Times New Roman" w:eastAsia="Times New Roman" w:hAnsi="Times New Roman" w:cs="Times New Roman"/>
          <w:lang w:eastAsia="en-GB"/>
        </w:rPr>
        <w:t xml:space="preserve"> </w:t>
      </w:r>
      <w:r w:rsidR="00C17818" w:rsidRPr="00A472FC">
        <w:rPr>
          <w:rFonts w:ascii="Times New Roman" w:hAnsi="Times New Roman" w:cs="Times New Roman"/>
          <w:lang w:val="en-US"/>
        </w:rPr>
        <w:t xml:space="preserve">809-873), which was something of an introduction to the </w:t>
      </w:r>
      <w:proofErr w:type="spellStart"/>
      <w:r w:rsidR="00C17818" w:rsidRPr="00A472FC">
        <w:rPr>
          <w:rFonts w:ascii="Times New Roman" w:hAnsi="Times New Roman" w:cs="Times New Roman"/>
          <w:i/>
          <w:iCs/>
          <w:lang w:val="en-US"/>
        </w:rPr>
        <w:t>Pantegni</w:t>
      </w:r>
      <w:proofErr w:type="spellEnd"/>
      <w:r w:rsidR="00C17818" w:rsidRPr="00A472FC">
        <w:rPr>
          <w:rFonts w:ascii="Times New Roman" w:hAnsi="Times New Roman" w:cs="Times New Roman"/>
          <w:i/>
          <w:iCs/>
          <w:lang w:val="en-US"/>
        </w:rPr>
        <w:t xml:space="preserve"> </w:t>
      </w:r>
      <w:r w:rsidR="00C17818" w:rsidRPr="00A472FC">
        <w:rPr>
          <w:rFonts w:ascii="Times New Roman" w:hAnsi="Times New Roman" w:cs="Times New Roman"/>
          <w:lang w:val="en-US"/>
        </w:rPr>
        <w:t xml:space="preserve">of the ancient Greek </w:t>
      </w:r>
      <w:r w:rsidR="008306D7" w:rsidRPr="00A472FC">
        <w:rPr>
          <w:rFonts w:ascii="Times New Roman" w:hAnsi="Times New Roman" w:cs="Times New Roman"/>
          <w:lang w:val="en-US"/>
        </w:rPr>
        <w:t xml:space="preserve">scholar </w:t>
      </w:r>
      <w:r w:rsidR="00C17818" w:rsidRPr="00A472FC">
        <w:rPr>
          <w:rFonts w:ascii="Times New Roman" w:hAnsi="Times New Roman" w:cs="Times New Roman"/>
          <w:lang w:val="en-US"/>
        </w:rPr>
        <w:t>Galen; it was translated into Latin by the physician Constantine the African (c. 1010/20-1087).</w:t>
      </w:r>
      <w:r w:rsidR="00C17818" w:rsidRPr="00A472FC">
        <w:rPr>
          <w:rStyle w:val="FootnoteReference"/>
          <w:rFonts w:ascii="Times New Roman" w:hAnsi="Times New Roman" w:cs="Times New Roman"/>
          <w:lang w:val="en-US"/>
        </w:rPr>
        <w:footnoteReference w:id="23"/>
      </w:r>
      <w:r w:rsidR="00C6074A" w:rsidRPr="00A472FC">
        <w:rPr>
          <w:rFonts w:ascii="Times New Roman" w:hAnsi="Times New Roman" w:cs="Times New Roman"/>
          <w:lang w:val="en-US"/>
        </w:rPr>
        <w:t xml:space="preserve"> Constantine also wrote his own </w:t>
      </w:r>
      <w:proofErr w:type="spellStart"/>
      <w:r w:rsidR="00C6074A" w:rsidRPr="00A472FC">
        <w:rPr>
          <w:rFonts w:ascii="Times New Roman" w:hAnsi="Times New Roman" w:cs="Times New Roman"/>
          <w:i/>
          <w:iCs/>
          <w:lang w:val="en-US"/>
        </w:rPr>
        <w:t>Pantengi</w:t>
      </w:r>
      <w:proofErr w:type="spellEnd"/>
      <w:r w:rsidR="005D2ED6" w:rsidRPr="00A472FC">
        <w:rPr>
          <w:rFonts w:ascii="Times New Roman" w:hAnsi="Times New Roman" w:cs="Times New Roman"/>
          <w:lang w:val="en-US"/>
        </w:rPr>
        <w:t>,</w:t>
      </w:r>
      <w:r w:rsidR="00C6074A" w:rsidRPr="00A472FC">
        <w:rPr>
          <w:rFonts w:ascii="Times New Roman" w:hAnsi="Times New Roman" w:cs="Times New Roman"/>
          <w:lang w:val="en-US"/>
        </w:rPr>
        <w:t xml:space="preserve"> </w:t>
      </w:r>
      <w:r w:rsidR="00A75F6F" w:rsidRPr="00A472FC">
        <w:rPr>
          <w:rFonts w:ascii="Times New Roman" w:hAnsi="Times New Roman" w:cs="Times New Roman"/>
          <w:lang w:val="en-US"/>
        </w:rPr>
        <w:t>which is however based heavily on Arabic sources and</w:t>
      </w:r>
      <w:r w:rsidR="00C6074A" w:rsidRPr="00A472FC">
        <w:rPr>
          <w:rFonts w:ascii="Times New Roman" w:hAnsi="Times New Roman" w:cs="Times New Roman"/>
          <w:lang w:val="en-US"/>
        </w:rPr>
        <w:t xml:space="preserve"> served as a crucial mediator of Galen to the Latin West, along with Avicenna’s </w:t>
      </w:r>
      <w:r w:rsidR="00C6074A" w:rsidRPr="00A472FC">
        <w:rPr>
          <w:rFonts w:ascii="Times New Roman" w:hAnsi="Times New Roman" w:cs="Times New Roman"/>
          <w:i/>
          <w:iCs/>
          <w:lang w:val="en-US"/>
        </w:rPr>
        <w:t>Canon of Medicine</w:t>
      </w:r>
      <w:r w:rsidR="00C6074A" w:rsidRPr="00A472FC">
        <w:rPr>
          <w:rFonts w:ascii="Times New Roman" w:hAnsi="Times New Roman" w:cs="Times New Roman"/>
          <w:lang w:val="en-US"/>
        </w:rPr>
        <w:t xml:space="preserve"> </w:t>
      </w:r>
      <w:r w:rsidR="004F619A" w:rsidRPr="00A472FC">
        <w:rPr>
          <w:rFonts w:ascii="Times New Roman" w:hAnsi="Times New Roman" w:cs="Times New Roman"/>
          <w:lang w:val="en-US"/>
        </w:rPr>
        <w:t xml:space="preserve">which was </w:t>
      </w:r>
      <w:r w:rsidR="00C6074A" w:rsidRPr="00A472FC">
        <w:rPr>
          <w:rFonts w:ascii="Times New Roman" w:hAnsi="Times New Roman" w:cs="Times New Roman"/>
          <w:lang w:val="en-US"/>
        </w:rPr>
        <w:t>translated by Gerard of Cremona</w:t>
      </w:r>
      <w:r w:rsidR="00C01916" w:rsidRPr="00A472FC">
        <w:rPr>
          <w:rFonts w:ascii="Times New Roman" w:hAnsi="Times New Roman" w:cs="Times New Roman"/>
          <w:lang w:val="en-US"/>
        </w:rPr>
        <w:t xml:space="preserve"> (c. 1114-87)</w:t>
      </w:r>
      <w:r w:rsidR="00C6074A" w:rsidRPr="00A472FC">
        <w:rPr>
          <w:rFonts w:ascii="Times New Roman" w:hAnsi="Times New Roman" w:cs="Times New Roman"/>
          <w:lang w:val="en-US"/>
        </w:rPr>
        <w:t>.</w:t>
      </w:r>
      <w:r w:rsidR="00C6074A" w:rsidRPr="00A472FC">
        <w:rPr>
          <w:rStyle w:val="FootnoteReference"/>
          <w:rFonts w:ascii="Times New Roman" w:hAnsi="Times New Roman" w:cs="Times New Roman"/>
          <w:lang w:val="en-US"/>
        </w:rPr>
        <w:footnoteReference w:id="24"/>
      </w:r>
      <w:r w:rsidR="00D604AD" w:rsidRPr="00A472FC">
        <w:rPr>
          <w:rFonts w:ascii="Times New Roman" w:hAnsi="Times New Roman" w:cs="Times New Roman"/>
          <w:lang w:val="en-US"/>
        </w:rPr>
        <w:t xml:space="preserve"> The common features of these texts include a </w:t>
      </w:r>
      <w:proofErr w:type="spellStart"/>
      <w:r w:rsidR="00D604AD" w:rsidRPr="00A472FC">
        <w:rPr>
          <w:rFonts w:ascii="Times New Roman" w:hAnsi="Times New Roman" w:cs="Times New Roman"/>
          <w:lang w:val="en-US"/>
        </w:rPr>
        <w:t>tri-partite</w:t>
      </w:r>
      <w:proofErr w:type="spellEnd"/>
      <w:r w:rsidR="00D604AD" w:rsidRPr="00A472FC">
        <w:rPr>
          <w:rFonts w:ascii="Times New Roman" w:hAnsi="Times New Roman" w:cs="Times New Roman"/>
          <w:lang w:val="en-US"/>
        </w:rPr>
        <w:t xml:space="preserve"> division of the </w:t>
      </w:r>
      <w:r w:rsidR="004F619A" w:rsidRPr="00A472FC">
        <w:rPr>
          <w:rFonts w:ascii="Times New Roman" w:hAnsi="Times New Roman" w:cs="Times New Roman"/>
          <w:lang w:val="en-US"/>
        </w:rPr>
        <w:t xml:space="preserve">bodily </w:t>
      </w:r>
      <w:r w:rsidR="00D604AD" w:rsidRPr="00A472FC">
        <w:rPr>
          <w:rFonts w:ascii="Times New Roman" w:hAnsi="Times New Roman" w:cs="Times New Roman"/>
          <w:lang w:val="en-US"/>
        </w:rPr>
        <w:t>powers according to the natural ones, such as nutrition, which humans have in common with all living beings and</w:t>
      </w:r>
      <w:r w:rsidR="00FF19AF" w:rsidRPr="00A472FC">
        <w:rPr>
          <w:rFonts w:ascii="Times New Roman" w:hAnsi="Times New Roman" w:cs="Times New Roman"/>
          <w:lang w:val="en-US"/>
        </w:rPr>
        <w:t xml:space="preserve"> which</w:t>
      </w:r>
      <w:r w:rsidR="00D604AD" w:rsidRPr="00A472FC">
        <w:rPr>
          <w:rFonts w:ascii="Times New Roman" w:hAnsi="Times New Roman" w:cs="Times New Roman"/>
          <w:lang w:val="en-US"/>
        </w:rPr>
        <w:t xml:space="preserve"> are governed by </w:t>
      </w:r>
      <w:r w:rsidR="00A9775B" w:rsidRPr="00A472FC">
        <w:rPr>
          <w:rFonts w:ascii="Times New Roman" w:hAnsi="Times New Roman" w:cs="Times New Roman"/>
          <w:lang w:val="en-US"/>
        </w:rPr>
        <w:t>the liver in humans</w:t>
      </w:r>
      <w:r w:rsidR="00D604AD" w:rsidRPr="00A472FC">
        <w:rPr>
          <w:rFonts w:ascii="Times New Roman" w:hAnsi="Times New Roman" w:cs="Times New Roman"/>
          <w:lang w:val="en-US"/>
        </w:rPr>
        <w:t xml:space="preserve">; the spiritual powers, attached to the heart, </w:t>
      </w:r>
      <w:r w:rsidR="00B03B51" w:rsidRPr="00A472FC">
        <w:rPr>
          <w:rFonts w:ascii="Times New Roman" w:hAnsi="Times New Roman" w:cs="Times New Roman"/>
          <w:lang w:val="en-US"/>
        </w:rPr>
        <w:t xml:space="preserve">which pumps blood through the </w:t>
      </w:r>
      <w:r w:rsidR="00CA506B" w:rsidRPr="00A472FC">
        <w:rPr>
          <w:rFonts w:ascii="Times New Roman" w:hAnsi="Times New Roman" w:cs="Times New Roman"/>
          <w:lang w:val="en-US"/>
        </w:rPr>
        <w:t>body</w:t>
      </w:r>
      <w:r w:rsidR="00D604AD" w:rsidRPr="00A472FC">
        <w:rPr>
          <w:rFonts w:ascii="Times New Roman" w:hAnsi="Times New Roman" w:cs="Times New Roman"/>
          <w:lang w:val="en-US"/>
        </w:rPr>
        <w:t>; and the animal powers, attached to the brain, which is responsible for sense and motion.</w:t>
      </w:r>
      <w:r w:rsidR="002402D4" w:rsidRPr="00A472FC">
        <w:rPr>
          <w:rStyle w:val="FootnoteReference"/>
          <w:rFonts w:ascii="Times New Roman" w:hAnsi="Times New Roman" w:cs="Times New Roman"/>
          <w:lang w:val="en-US"/>
        </w:rPr>
        <w:footnoteReference w:id="25"/>
      </w:r>
    </w:p>
    <w:p w14:paraId="73A2399D" w14:textId="0818DDB7" w:rsidR="00CD1BB4" w:rsidRPr="00A472FC" w:rsidRDefault="00CD1BB4" w:rsidP="008816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These three powers </w:t>
      </w:r>
      <w:r w:rsidR="0029645F" w:rsidRPr="00A472FC">
        <w:rPr>
          <w:rFonts w:ascii="Times New Roman" w:hAnsi="Times New Roman" w:cs="Times New Roman"/>
          <w:lang w:val="en-US"/>
        </w:rPr>
        <w:t>are all</w:t>
      </w:r>
      <w:r w:rsidRPr="00A472FC">
        <w:rPr>
          <w:rFonts w:ascii="Times New Roman" w:hAnsi="Times New Roman" w:cs="Times New Roman"/>
          <w:lang w:val="en-US"/>
        </w:rPr>
        <w:t xml:space="preserve"> described </w:t>
      </w:r>
      <w:r w:rsidR="0029645F" w:rsidRPr="00A472FC">
        <w:rPr>
          <w:rFonts w:ascii="Times New Roman" w:hAnsi="Times New Roman" w:cs="Times New Roman"/>
          <w:lang w:val="en-US"/>
        </w:rPr>
        <w:t>by Constantine i</w:t>
      </w:r>
      <w:r w:rsidRPr="00A472FC">
        <w:rPr>
          <w:rFonts w:ascii="Times New Roman" w:hAnsi="Times New Roman" w:cs="Times New Roman"/>
          <w:lang w:val="en-US"/>
        </w:rPr>
        <w:t>n different ways in terms of a corporeal or animating and enlivening ‘spirit’, which is to be distinguished from the spiritual part of the soul that is concerned with God and higher things.</w:t>
      </w:r>
      <w:r w:rsidRPr="00A472FC">
        <w:rPr>
          <w:rStyle w:val="FootnoteReference"/>
          <w:rFonts w:ascii="Times New Roman" w:hAnsi="Times New Roman" w:cs="Times New Roman"/>
          <w:lang w:val="en-US"/>
        </w:rPr>
        <w:footnoteReference w:id="26"/>
      </w:r>
      <w:r w:rsidRPr="00A472FC">
        <w:rPr>
          <w:rFonts w:ascii="Times New Roman" w:hAnsi="Times New Roman" w:cs="Times New Roman"/>
          <w:lang w:val="en-US"/>
        </w:rPr>
        <w:t xml:space="preserve"> As we will see below, Costa Ben Luca reduced Constantine’s three to just </w:t>
      </w:r>
      <w:r w:rsidR="005D2ED6" w:rsidRPr="00A472FC">
        <w:rPr>
          <w:rFonts w:ascii="Times New Roman" w:hAnsi="Times New Roman" w:cs="Times New Roman"/>
          <w:lang w:val="en-US"/>
        </w:rPr>
        <w:t>the latter</w:t>
      </w:r>
      <w:r w:rsidRPr="00A472FC">
        <w:rPr>
          <w:rFonts w:ascii="Times New Roman" w:hAnsi="Times New Roman" w:cs="Times New Roman"/>
          <w:lang w:val="en-US"/>
        </w:rPr>
        <w:t xml:space="preserve"> two spirits</w:t>
      </w:r>
      <w:r w:rsidR="005D2ED6" w:rsidRPr="00A472FC">
        <w:rPr>
          <w:rFonts w:ascii="Times New Roman" w:hAnsi="Times New Roman" w:cs="Times New Roman"/>
          <w:lang w:val="en-US"/>
        </w:rPr>
        <w:t>—spiritual and animal—</w:t>
      </w:r>
      <w:r w:rsidRPr="00A472FC">
        <w:rPr>
          <w:rFonts w:ascii="Times New Roman" w:hAnsi="Times New Roman" w:cs="Times New Roman"/>
          <w:lang w:val="en-US"/>
        </w:rPr>
        <w:t xml:space="preserve">in his account of the intermediary between the body and the soul. The authors in question also </w:t>
      </w:r>
      <w:r w:rsidRPr="00A472FC">
        <w:rPr>
          <w:rFonts w:ascii="Times New Roman" w:hAnsi="Times New Roman" w:cs="Times New Roman"/>
          <w:lang w:val="en-US"/>
        </w:rPr>
        <w:lastRenderedPageBreak/>
        <w:t xml:space="preserve">speak of the vegetative functions of nutrition, growth or augmentation, and reproduction or generation, and of the four further functions involved in nutrition: appetite, retention, digestion, and expulsion. Finally, </w:t>
      </w:r>
      <w:r w:rsidR="00EF657C" w:rsidRPr="00A472FC">
        <w:rPr>
          <w:rFonts w:ascii="Times New Roman" w:hAnsi="Times New Roman" w:cs="Times New Roman"/>
          <w:lang w:val="en-US"/>
        </w:rPr>
        <w:t xml:space="preserve">they generally make </w:t>
      </w:r>
      <w:r w:rsidRPr="00A472FC">
        <w:rPr>
          <w:rFonts w:ascii="Times New Roman" w:hAnsi="Times New Roman" w:cs="Times New Roman"/>
          <w:lang w:val="en-US"/>
        </w:rPr>
        <w:t xml:space="preserve">reference </w:t>
      </w:r>
      <w:r w:rsidR="00EF657C" w:rsidRPr="00A472FC">
        <w:rPr>
          <w:rFonts w:ascii="Times New Roman" w:hAnsi="Times New Roman" w:cs="Times New Roman"/>
          <w:lang w:val="en-US"/>
        </w:rPr>
        <w:t>t</w:t>
      </w:r>
      <w:r w:rsidRPr="00A472FC">
        <w:rPr>
          <w:rFonts w:ascii="Times New Roman" w:hAnsi="Times New Roman" w:cs="Times New Roman"/>
          <w:lang w:val="en-US"/>
        </w:rPr>
        <w:t xml:space="preserve">o the ventricle of the brain in which certain </w:t>
      </w:r>
      <w:r w:rsidR="00867299" w:rsidRPr="00A472FC">
        <w:rPr>
          <w:rFonts w:ascii="Times New Roman" w:hAnsi="Times New Roman" w:cs="Times New Roman"/>
          <w:lang w:val="en-US"/>
        </w:rPr>
        <w:t xml:space="preserve">cognitive </w:t>
      </w:r>
      <w:r w:rsidRPr="00A472FC">
        <w:rPr>
          <w:rFonts w:ascii="Times New Roman" w:hAnsi="Times New Roman" w:cs="Times New Roman"/>
          <w:lang w:val="en-US"/>
        </w:rPr>
        <w:t>functions are carried out</w:t>
      </w:r>
      <w:r w:rsidR="000069AA" w:rsidRPr="00A472FC">
        <w:rPr>
          <w:rFonts w:ascii="Times New Roman" w:hAnsi="Times New Roman" w:cs="Times New Roman"/>
          <w:lang w:val="en-US"/>
        </w:rPr>
        <w:t>. T</w:t>
      </w:r>
      <w:r w:rsidRPr="00A472FC">
        <w:rPr>
          <w:rFonts w:ascii="Times New Roman" w:hAnsi="Times New Roman" w:cs="Times New Roman"/>
          <w:lang w:val="en-US"/>
        </w:rPr>
        <w:t>he frontal lobe</w:t>
      </w:r>
      <w:r w:rsidR="00CA448A" w:rsidRPr="00A472FC">
        <w:rPr>
          <w:rFonts w:ascii="Times New Roman" w:hAnsi="Times New Roman" w:cs="Times New Roman"/>
          <w:lang w:val="en-US"/>
        </w:rPr>
        <w:t xml:space="preserve"> forms images of mental objects</w:t>
      </w:r>
      <w:r w:rsidRPr="00A472FC">
        <w:rPr>
          <w:rFonts w:ascii="Times New Roman" w:hAnsi="Times New Roman" w:cs="Times New Roman"/>
          <w:lang w:val="en-US"/>
        </w:rPr>
        <w:t>; the middle</w:t>
      </w:r>
      <w:r w:rsidR="009A1430" w:rsidRPr="00A472FC">
        <w:rPr>
          <w:rFonts w:ascii="Times New Roman" w:hAnsi="Times New Roman" w:cs="Times New Roman"/>
          <w:lang w:val="en-US"/>
        </w:rPr>
        <w:t xml:space="preserve"> lobe</w:t>
      </w:r>
      <w:r w:rsidRPr="00A472FC">
        <w:rPr>
          <w:rFonts w:ascii="Times New Roman" w:hAnsi="Times New Roman" w:cs="Times New Roman"/>
          <w:lang w:val="en-US"/>
        </w:rPr>
        <w:t xml:space="preserve"> </w:t>
      </w:r>
      <w:r w:rsidR="00233048" w:rsidRPr="00A472FC">
        <w:rPr>
          <w:rFonts w:ascii="Times New Roman" w:hAnsi="Times New Roman" w:cs="Times New Roman"/>
          <w:lang w:val="en-US"/>
        </w:rPr>
        <w:t>rationally cognizes them</w:t>
      </w:r>
      <w:r w:rsidRPr="00A472FC">
        <w:rPr>
          <w:rFonts w:ascii="Times New Roman" w:hAnsi="Times New Roman" w:cs="Times New Roman"/>
          <w:lang w:val="en-US"/>
        </w:rPr>
        <w:t xml:space="preserve">; and the back </w:t>
      </w:r>
      <w:r w:rsidR="00233048" w:rsidRPr="00A472FC">
        <w:rPr>
          <w:rFonts w:ascii="Times New Roman" w:hAnsi="Times New Roman" w:cs="Times New Roman"/>
          <w:lang w:val="en-US"/>
        </w:rPr>
        <w:t>stores the products of cognition in the memory.</w:t>
      </w:r>
    </w:p>
    <w:p w14:paraId="26F8855D" w14:textId="3DE4CFA7" w:rsidR="00CD1BB4" w:rsidRPr="00A472FC" w:rsidRDefault="00F01702" w:rsidP="00976FCC">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In addition to the strictly medical works described above, Latin thinkers of this period gained access to the works of patristic authors who had dealt with medical material. </w:t>
      </w:r>
      <w:r w:rsidR="00783CE9" w:rsidRPr="00A472FC">
        <w:rPr>
          <w:rFonts w:ascii="Times New Roman" w:hAnsi="Times New Roman" w:cs="Times New Roman"/>
          <w:lang w:val="en-US"/>
        </w:rPr>
        <w:t xml:space="preserve">For instance, the </w:t>
      </w:r>
      <w:r w:rsidR="00CD1BB4" w:rsidRPr="00A472FC">
        <w:rPr>
          <w:rFonts w:ascii="Times New Roman" w:hAnsi="Times New Roman" w:cs="Times New Roman"/>
          <w:lang w:val="en-US"/>
        </w:rPr>
        <w:t xml:space="preserve">fourth-century bishop, </w:t>
      </w:r>
      <w:proofErr w:type="spellStart"/>
      <w:r w:rsidR="00CD1BB4" w:rsidRPr="00A472FC">
        <w:rPr>
          <w:rFonts w:ascii="Times New Roman" w:hAnsi="Times New Roman" w:cs="Times New Roman"/>
          <w:lang w:val="en-US"/>
        </w:rPr>
        <w:t>Nemesius</w:t>
      </w:r>
      <w:proofErr w:type="spellEnd"/>
      <w:r w:rsidR="00CD1BB4" w:rsidRPr="00A472FC">
        <w:rPr>
          <w:rFonts w:ascii="Times New Roman" w:hAnsi="Times New Roman" w:cs="Times New Roman"/>
          <w:lang w:val="en-US"/>
        </w:rPr>
        <w:t xml:space="preserve"> of </w:t>
      </w:r>
      <w:proofErr w:type="spellStart"/>
      <w:r w:rsidR="00CD1BB4" w:rsidRPr="00A472FC">
        <w:rPr>
          <w:rFonts w:ascii="Times New Roman" w:hAnsi="Times New Roman" w:cs="Times New Roman"/>
          <w:lang w:val="en-US"/>
        </w:rPr>
        <w:t>Emesa</w:t>
      </w:r>
      <w:proofErr w:type="spellEnd"/>
      <w:r w:rsidR="00CD1BB4" w:rsidRPr="00A472FC">
        <w:rPr>
          <w:rFonts w:ascii="Times New Roman" w:hAnsi="Times New Roman" w:cs="Times New Roman"/>
          <w:lang w:val="en-US"/>
        </w:rPr>
        <w:t xml:space="preserve">, offered a summary of ancient medical knowledge in </w:t>
      </w:r>
      <w:r w:rsidR="00CD1BB4" w:rsidRPr="00A472FC">
        <w:rPr>
          <w:rFonts w:ascii="Times New Roman" w:hAnsi="Times New Roman" w:cs="Times New Roman"/>
          <w:i/>
          <w:lang w:val="en-US"/>
        </w:rPr>
        <w:t>The Nature of Man</w:t>
      </w:r>
      <w:r w:rsidR="007A0444" w:rsidRPr="00A472FC">
        <w:rPr>
          <w:rFonts w:ascii="Times New Roman" w:hAnsi="Times New Roman" w:cs="Times New Roman"/>
          <w:i/>
          <w:lang w:val="en-US"/>
        </w:rPr>
        <w:t xml:space="preserve">, </w:t>
      </w:r>
      <w:r w:rsidR="00526182" w:rsidRPr="00A472FC">
        <w:rPr>
          <w:rFonts w:ascii="Times New Roman" w:hAnsi="Times New Roman" w:cs="Times New Roman"/>
          <w:iCs/>
          <w:lang w:val="en-US"/>
        </w:rPr>
        <w:t>a work</w:t>
      </w:r>
      <w:r w:rsidR="00526182" w:rsidRPr="00A472FC">
        <w:rPr>
          <w:rFonts w:ascii="Times New Roman" w:hAnsi="Times New Roman" w:cs="Times New Roman"/>
          <w:i/>
          <w:lang w:val="en-US"/>
        </w:rPr>
        <w:t xml:space="preserve"> </w:t>
      </w:r>
      <w:r w:rsidR="007A0444" w:rsidRPr="00A472FC">
        <w:rPr>
          <w:rFonts w:ascii="Times New Roman" w:hAnsi="Times New Roman" w:cs="Times New Roman"/>
          <w:iCs/>
          <w:lang w:val="en-US"/>
        </w:rPr>
        <w:t xml:space="preserve">which </w:t>
      </w:r>
      <w:r w:rsidR="00E02B04" w:rsidRPr="00A472FC">
        <w:rPr>
          <w:rFonts w:ascii="Times New Roman" w:hAnsi="Times New Roman" w:cs="Times New Roman"/>
          <w:iCs/>
          <w:lang w:val="en-US"/>
        </w:rPr>
        <w:t xml:space="preserve">arguably </w:t>
      </w:r>
      <w:r w:rsidR="00C279AC" w:rsidRPr="00A472FC">
        <w:rPr>
          <w:rFonts w:ascii="Times New Roman" w:hAnsi="Times New Roman" w:cs="Times New Roman"/>
          <w:iCs/>
          <w:lang w:val="en-US"/>
        </w:rPr>
        <w:t>shows that he was more influenced by Galen than any other Christian author at his time</w:t>
      </w:r>
      <w:r w:rsidR="00CD1BB4" w:rsidRPr="00A472FC">
        <w:rPr>
          <w:rFonts w:ascii="Times New Roman" w:hAnsi="Times New Roman" w:cs="Times New Roman"/>
          <w:i/>
          <w:lang w:val="en-US"/>
        </w:rPr>
        <w:t>.</w:t>
      </w:r>
      <w:r w:rsidR="00CD1BB4" w:rsidRPr="00A472FC">
        <w:rPr>
          <w:rStyle w:val="FootnoteReference"/>
          <w:rFonts w:ascii="Times New Roman" w:hAnsi="Times New Roman" w:cs="Times New Roman"/>
          <w:lang w:val="en-US"/>
        </w:rPr>
        <w:footnoteReference w:id="27"/>
      </w:r>
      <w:r w:rsidR="00CD1BB4" w:rsidRPr="00A472FC">
        <w:rPr>
          <w:rFonts w:ascii="Times New Roman" w:hAnsi="Times New Roman" w:cs="Times New Roman"/>
          <w:i/>
          <w:lang w:val="en-US"/>
        </w:rPr>
        <w:t xml:space="preserve"> </w:t>
      </w:r>
      <w:r w:rsidR="00CD1BB4" w:rsidRPr="00A472FC">
        <w:rPr>
          <w:rFonts w:ascii="Times New Roman" w:hAnsi="Times New Roman" w:cs="Times New Roman"/>
          <w:lang w:val="en-US"/>
        </w:rPr>
        <w:t xml:space="preserve">Part of </w:t>
      </w:r>
      <w:proofErr w:type="spellStart"/>
      <w:r w:rsidR="00C279AC" w:rsidRPr="00A472FC">
        <w:rPr>
          <w:rFonts w:ascii="Times New Roman" w:hAnsi="Times New Roman" w:cs="Times New Roman"/>
          <w:lang w:val="en-US"/>
        </w:rPr>
        <w:t>Nemesius</w:t>
      </w:r>
      <w:proofErr w:type="spellEnd"/>
      <w:r w:rsidR="00C279AC" w:rsidRPr="00A472FC">
        <w:rPr>
          <w:rFonts w:ascii="Times New Roman" w:hAnsi="Times New Roman" w:cs="Times New Roman"/>
          <w:lang w:val="en-US"/>
        </w:rPr>
        <w:t>’</w:t>
      </w:r>
      <w:r w:rsidR="00CD1BB4" w:rsidRPr="00A472FC">
        <w:rPr>
          <w:rFonts w:ascii="Times New Roman" w:hAnsi="Times New Roman" w:cs="Times New Roman"/>
          <w:lang w:val="en-US"/>
        </w:rPr>
        <w:t xml:space="preserve"> </w:t>
      </w:r>
      <w:r w:rsidR="00526182" w:rsidRPr="00A472FC">
        <w:rPr>
          <w:rFonts w:ascii="Times New Roman" w:hAnsi="Times New Roman" w:cs="Times New Roman"/>
          <w:lang w:val="en-US"/>
        </w:rPr>
        <w:t>text</w:t>
      </w:r>
      <w:r w:rsidR="00CD1BB4" w:rsidRPr="00A472FC">
        <w:rPr>
          <w:rFonts w:ascii="Times New Roman" w:hAnsi="Times New Roman" w:cs="Times New Roman"/>
          <w:lang w:val="en-US"/>
        </w:rPr>
        <w:t xml:space="preserve"> circulated in the Middle Ages under the name of Gregory of </w:t>
      </w:r>
      <w:proofErr w:type="spellStart"/>
      <w:r w:rsidR="00CD1BB4" w:rsidRPr="00A472FC">
        <w:rPr>
          <w:rFonts w:ascii="Times New Roman" w:hAnsi="Times New Roman" w:cs="Times New Roman"/>
          <w:lang w:val="en-US"/>
        </w:rPr>
        <w:t>Nyssa</w:t>
      </w:r>
      <w:proofErr w:type="spellEnd"/>
      <w:r w:rsidR="00E60E0C" w:rsidRPr="00A472FC">
        <w:rPr>
          <w:rFonts w:ascii="Times New Roman" w:hAnsi="Times New Roman" w:cs="Times New Roman"/>
          <w:lang w:val="en-US"/>
        </w:rPr>
        <w:t xml:space="preserve"> (c. 335-c. 395)</w:t>
      </w:r>
      <w:r w:rsidR="003D20EC" w:rsidRPr="00A472FC">
        <w:rPr>
          <w:rFonts w:ascii="Times New Roman" w:hAnsi="Times New Roman" w:cs="Times New Roman"/>
          <w:lang w:val="en-US"/>
        </w:rPr>
        <w:t>. H</w:t>
      </w:r>
      <w:r w:rsidR="00CD1BB4" w:rsidRPr="00A472FC">
        <w:rPr>
          <w:rFonts w:ascii="Times New Roman" w:hAnsi="Times New Roman" w:cs="Times New Roman"/>
          <w:lang w:val="en-US"/>
        </w:rPr>
        <w:t xml:space="preserve">owever early Franciscans knew the whole work under the name of </w:t>
      </w:r>
      <w:proofErr w:type="spellStart"/>
      <w:r w:rsidR="00CD1BB4" w:rsidRPr="00A472FC">
        <w:rPr>
          <w:rFonts w:ascii="Times New Roman" w:hAnsi="Times New Roman" w:cs="Times New Roman"/>
          <w:lang w:val="en-US"/>
        </w:rPr>
        <w:t>Remegius</w:t>
      </w:r>
      <w:proofErr w:type="spellEnd"/>
      <w:r w:rsidR="00CD1BB4" w:rsidRPr="00A472FC">
        <w:rPr>
          <w:rFonts w:ascii="Times New Roman" w:hAnsi="Times New Roman" w:cs="Times New Roman"/>
          <w:lang w:val="en-US"/>
        </w:rPr>
        <w:t>.</w:t>
      </w:r>
      <w:r w:rsidR="00CD1BB4" w:rsidRPr="00A472FC">
        <w:rPr>
          <w:rStyle w:val="FootnoteReference"/>
          <w:rFonts w:ascii="Times New Roman" w:hAnsi="Times New Roman" w:cs="Times New Roman"/>
          <w:lang w:val="en-US"/>
        </w:rPr>
        <w:footnoteReference w:id="28"/>
      </w:r>
      <w:r w:rsidR="00CD1BB4" w:rsidRPr="00A472FC">
        <w:rPr>
          <w:rFonts w:ascii="Times New Roman" w:hAnsi="Times New Roman" w:cs="Times New Roman"/>
          <w:lang w:val="en-US"/>
        </w:rPr>
        <w:t xml:space="preserve"> The work was translated in the late eleventh century (c. 1180) by Bishop </w:t>
      </w:r>
      <w:proofErr w:type="spellStart"/>
      <w:r w:rsidR="00CD1BB4" w:rsidRPr="00A472FC">
        <w:rPr>
          <w:rFonts w:ascii="Times New Roman" w:hAnsi="Times New Roman" w:cs="Times New Roman"/>
          <w:lang w:val="en-US"/>
        </w:rPr>
        <w:t>Alfanus</w:t>
      </w:r>
      <w:proofErr w:type="spellEnd"/>
      <w:r w:rsidR="00CD1BB4" w:rsidRPr="00A472FC">
        <w:rPr>
          <w:rFonts w:ascii="Times New Roman" w:hAnsi="Times New Roman" w:cs="Times New Roman"/>
          <w:lang w:val="en-US"/>
        </w:rPr>
        <w:t xml:space="preserve"> of Salerno and again in 1155-65 by </w:t>
      </w:r>
      <w:proofErr w:type="spellStart"/>
      <w:r w:rsidR="00CD1BB4" w:rsidRPr="00A472FC">
        <w:rPr>
          <w:rFonts w:ascii="Times New Roman" w:hAnsi="Times New Roman" w:cs="Times New Roman"/>
          <w:lang w:val="en-US"/>
        </w:rPr>
        <w:t>Burgundio</w:t>
      </w:r>
      <w:proofErr w:type="spellEnd"/>
      <w:r w:rsidR="00CD1BB4" w:rsidRPr="00A472FC">
        <w:rPr>
          <w:rFonts w:ascii="Times New Roman" w:hAnsi="Times New Roman" w:cs="Times New Roman"/>
          <w:lang w:val="en-US"/>
        </w:rPr>
        <w:t xml:space="preserve"> of Pisa, who produced numerous translations of Greek patristic writings.</w:t>
      </w:r>
      <w:r w:rsidR="00CD1BB4" w:rsidRPr="00A472FC">
        <w:rPr>
          <w:rStyle w:val="FootnoteReference"/>
          <w:rFonts w:ascii="Times New Roman" w:hAnsi="Times New Roman" w:cs="Times New Roman"/>
          <w:lang w:val="en-US"/>
        </w:rPr>
        <w:footnoteReference w:id="29"/>
      </w:r>
      <w:r w:rsidR="00CD1BB4" w:rsidRPr="00A472FC">
        <w:rPr>
          <w:rFonts w:ascii="Times New Roman" w:hAnsi="Times New Roman" w:cs="Times New Roman"/>
          <w:lang w:val="en-US"/>
        </w:rPr>
        <w:t xml:space="preserve"> </w:t>
      </w:r>
    </w:p>
    <w:p w14:paraId="295B89E0" w14:textId="2C266FCA" w:rsidR="00CD1BB4" w:rsidRPr="00A472FC" w:rsidRDefault="00CD1BB4" w:rsidP="008D5A58">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In addition to various homilies of John </w:t>
      </w:r>
      <w:proofErr w:type="spellStart"/>
      <w:r w:rsidRPr="00A472FC">
        <w:rPr>
          <w:rFonts w:ascii="Times New Roman" w:hAnsi="Times New Roman" w:cs="Times New Roman"/>
          <w:lang w:val="en-US"/>
        </w:rPr>
        <w:t>Chrysostom</w:t>
      </w:r>
      <w:proofErr w:type="spellEnd"/>
      <w:r w:rsidRPr="00A472FC">
        <w:rPr>
          <w:rFonts w:ascii="Times New Roman" w:hAnsi="Times New Roman" w:cs="Times New Roman"/>
          <w:lang w:val="en-US"/>
        </w:rPr>
        <w:t xml:space="preserve">, </w:t>
      </w:r>
      <w:proofErr w:type="spellStart"/>
      <w:r w:rsidRPr="00A472FC">
        <w:rPr>
          <w:rFonts w:ascii="Times New Roman" w:hAnsi="Times New Roman" w:cs="Times New Roman"/>
          <w:lang w:val="en-US"/>
        </w:rPr>
        <w:t>Burgundio</w:t>
      </w:r>
      <w:proofErr w:type="spellEnd"/>
      <w:r w:rsidRPr="00A472FC">
        <w:rPr>
          <w:rFonts w:ascii="Times New Roman" w:hAnsi="Times New Roman" w:cs="Times New Roman"/>
          <w:lang w:val="en-US"/>
        </w:rPr>
        <w:t xml:space="preserve"> translated the </w:t>
      </w:r>
      <w:r w:rsidRPr="00A472FC">
        <w:rPr>
          <w:rFonts w:ascii="Times New Roman" w:hAnsi="Times New Roman" w:cs="Times New Roman"/>
          <w:i/>
          <w:lang w:val="en-US"/>
        </w:rPr>
        <w:t xml:space="preserve">De fide </w:t>
      </w:r>
      <w:proofErr w:type="spellStart"/>
      <w:r w:rsidRPr="00A472FC">
        <w:rPr>
          <w:rFonts w:ascii="Times New Roman" w:hAnsi="Times New Roman" w:cs="Times New Roman"/>
          <w:i/>
          <w:lang w:val="en-US"/>
        </w:rPr>
        <w:t>orthodoxa</w:t>
      </w:r>
      <w:proofErr w:type="spellEnd"/>
      <w:r w:rsidRPr="00A472FC">
        <w:rPr>
          <w:rFonts w:ascii="Times New Roman" w:hAnsi="Times New Roman" w:cs="Times New Roman"/>
          <w:i/>
          <w:lang w:val="en-US"/>
        </w:rPr>
        <w:t xml:space="preserve"> </w:t>
      </w:r>
      <w:r w:rsidRPr="00A472FC">
        <w:rPr>
          <w:rFonts w:ascii="Times New Roman" w:hAnsi="Times New Roman" w:cs="Times New Roman"/>
          <w:lang w:val="en-US"/>
        </w:rPr>
        <w:t xml:space="preserve">of John of Damascus (676-749) in 1153-54. In Book II, chapters 12-28, where John deals with human nature, he excerpts extensively from </w:t>
      </w:r>
      <w:proofErr w:type="spellStart"/>
      <w:r w:rsidRPr="00A472FC">
        <w:rPr>
          <w:rFonts w:ascii="Times New Roman" w:hAnsi="Times New Roman" w:cs="Times New Roman"/>
          <w:lang w:val="en-US"/>
        </w:rPr>
        <w:t>Nemesius</w:t>
      </w:r>
      <w:proofErr w:type="spellEnd"/>
      <w:r w:rsidRPr="00A472FC">
        <w:rPr>
          <w:rFonts w:ascii="Times New Roman" w:hAnsi="Times New Roman" w:cs="Times New Roman"/>
          <w:lang w:val="en-US"/>
        </w:rPr>
        <w:t>, covering many of the same topics in the same order.</w:t>
      </w:r>
      <w:r w:rsidRPr="00A472FC">
        <w:rPr>
          <w:rStyle w:val="FootnoteReference"/>
          <w:rFonts w:ascii="Times New Roman" w:hAnsi="Times New Roman" w:cs="Times New Roman"/>
          <w:lang w:val="en-US"/>
        </w:rPr>
        <w:footnoteReference w:id="30"/>
      </w:r>
      <w:r w:rsidRPr="00A472FC">
        <w:rPr>
          <w:rFonts w:ascii="Times New Roman" w:hAnsi="Times New Roman" w:cs="Times New Roman"/>
          <w:lang w:val="en-US"/>
        </w:rPr>
        <w:t xml:space="preserve"> </w:t>
      </w:r>
      <w:r w:rsidR="00BD0032" w:rsidRPr="00A472FC">
        <w:rPr>
          <w:rFonts w:ascii="Times New Roman" w:hAnsi="Times New Roman" w:cs="Times New Roman"/>
          <w:lang w:val="en-US"/>
        </w:rPr>
        <w:t>As</w:t>
      </w:r>
      <w:r w:rsidRPr="00A472FC">
        <w:rPr>
          <w:rFonts w:ascii="Times New Roman" w:hAnsi="Times New Roman" w:cs="Times New Roman"/>
          <w:lang w:val="en-US"/>
        </w:rPr>
        <w:t xml:space="preserve"> J. de </w:t>
      </w:r>
      <w:proofErr w:type="spellStart"/>
      <w:r w:rsidRPr="00A472FC">
        <w:rPr>
          <w:rFonts w:ascii="Times New Roman" w:hAnsi="Times New Roman" w:cs="Times New Roman"/>
          <w:lang w:val="en-US"/>
        </w:rPr>
        <w:t>Ghellinck</w:t>
      </w:r>
      <w:proofErr w:type="spellEnd"/>
      <w:r w:rsidRPr="00A472FC">
        <w:rPr>
          <w:rFonts w:ascii="Times New Roman" w:hAnsi="Times New Roman" w:cs="Times New Roman"/>
          <w:lang w:val="en-US"/>
        </w:rPr>
        <w:t xml:space="preserve"> notes, </w:t>
      </w:r>
      <w:r w:rsidR="00BD0032" w:rsidRPr="00A472FC">
        <w:rPr>
          <w:rFonts w:ascii="Times New Roman" w:hAnsi="Times New Roman" w:cs="Times New Roman"/>
          <w:lang w:val="en-US"/>
        </w:rPr>
        <w:t xml:space="preserve">however, </w:t>
      </w:r>
      <w:r w:rsidRPr="00A472FC">
        <w:rPr>
          <w:rFonts w:ascii="Times New Roman" w:hAnsi="Times New Roman" w:cs="Times New Roman"/>
          <w:lang w:val="en-US"/>
        </w:rPr>
        <w:t>‘the psychology of Damascene did not leave traces in the Latin authors before Roland of Cremona (1229-1239), with the possible exception of William of Auxerre (d. 1231) and Philip the Chancellor (d. 1236).’</w:t>
      </w:r>
      <w:r w:rsidRPr="00A472FC">
        <w:rPr>
          <w:rStyle w:val="FootnoteReference"/>
          <w:rFonts w:ascii="Times New Roman" w:hAnsi="Times New Roman" w:cs="Times New Roman"/>
          <w:lang w:val="en-US"/>
        </w:rPr>
        <w:footnoteReference w:id="31"/>
      </w:r>
      <w:r w:rsidRPr="00A472FC">
        <w:rPr>
          <w:rFonts w:ascii="Times New Roman" w:hAnsi="Times New Roman" w:cs="Times New Roman"/>
          <w:lang w:val="en-US"/>
        </w:rPr>
        <w:t xml:space="preserve"> His true incorporation awaited the Franciscan school, and indeed, John of La Rochelle</w:t>
      </w:r>
      <w:r w:rsidR="00CB0111" w:rsidRPr="00A472FC">
        <w:rPr>
          <w:rFonts w:ascii="Times New Roman" w:hAnsi="Times New Roman" w:cs="Times New Roman"/>
          <w:lang w:val="en-US"/>
        </w:rPr>
        <w:t xml:space="preserve">, who cites him along with Avicenna and </w:t>
      </w:r>
      <w:proofErr w:type="spellStart"/>
      <w:r w:rsidR="00CB0111" w:rsidRPr="00A472FC">
        <w:rPr>
          <w:rFonts w:ascii="Times New Roman" w:hAnsi="Times New Roman" w:cs="Times New Roman"/>
          <w:lang w:val="en-US"/>
        </w:rPr>
        <w:t>Johannitius</w:t>
      </w:r>
      <w:proofErr w:type="spellEnd"/>
      <w:r w:rsidR="00CB0111" w:rsidRPr="00A472FC">
        <w:rPr>
          <w:rFonts w:ascii="Times New Roman" w:hAnsi="Times New Roman" w:cs="Times New Roman"/>
          <w:lang w:val="en-US"/>
        </w:rPr>
        <w:t xml:space="preserve"> as a medical authority.</w:t>
      </w:r>
    </w:p>
    <w:p w14:paraId="496B46AB" w14:textId="77777777" w:rsidR="00CD7534" w:rsidRPr="00A472FC" w:rsidRDefault="0003426C" w:rsidP="000B2EB5">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Another important patristic work that was available</w:t>
      </w:r>
      <w:r w:rsidR="00CD1BB4" w:rsidRPr="00A472FC">
        <w:rPr>
          <w:rFonts w:ascii="Times New Roman" w:hAnsi="Times New Roman" w:cs="Times New Roman"/>
          <w:lang w:val="en-US"/>
        </w:rPr>
        <w:t xml:space="preserve"> to thinkers at this time was Gregory of </w:t>
      </w:r>
      <w:proofErr w:type="spellStart"/>
      <w:r w:rsidR="00CD1BB4" w:rsidRPr="00A472FC">
        <w:rPr>
          <w:rFonts w:ascii="Times New Roman" w:hAnsi="Times New Roman" w:cs="Times New Roman"/>
          <w:lang w:val="en-US"/>
        </w:rPr>
        <w:t>Nyssa’s</w:t>
      </w:r>
      <w:proofErr w:type="spellEnd"/>
      <w:r w:rsidR="00CD1BB4" w:rsidRPr="00A472FC">
        <w:rPr>
          <w:rFonts w:ascii="Times New Roman" w:hAnsi="Times New Roman" w:cs="Times New Roman"/>
          <w:lang w:val="en-US"/>
        </w:rPr>
        <w:t xml:space="preserve"> </w:t>
      </w:r>
      <w:r w:rsidR="00CD1BB4" w:rsidRPr="00A472FC">
        <w:rPr>
          <w:rFonts w:ascii="Times New Roman" w:hAnsi="Times New Roman" w:cs="Times New Roman"/>
          <w:i/>
          <w:lang w:val="en-US"/>
        </w:rPr>
        <w:t xml:space="preserve">On the Making of Man </w:t>
      </w:r>
      <w:r w:rsidR="00CD1BB4" w:rsidRPr="00A472FC">
        <w:rPr>
          <w:rFonts w:ascii="Times New Roman" w:hAnsi="Times New Roman" w:cs="Times New Roman"/>
          <w:lang w:val="en-US"/>
        </w:rPr>
        <w:t>(</w:t>
      </w:r>
      <w:r w:rsidR="00CD1BB4" w:rsidRPr="00A472FC">
        <w:rPr>
          <w:rFonts w:ascii="Times New Roman" w:hAnsi="Times New Roman" w:cs="Times New Roman"/>
          <w:i/>
          <w:lang w:val="en-US"/>
        </w:rPr>
        <w:t xml:space="preserve">De </w:t>
      </w:r>
      <w:proofErr w:type="spellStart"/>
      <w:r w:rsidR="00CD1BB4" w:rsidRPr="00A472FC">
        <w:rPr>
          <w:rFonts w:ascii="Times New Roman" w:hAnsi="Times New Roman" w:cs="Times New Roman"/>
          <w:i/>
          <w:lang w:val="en-US"/>
        </w:rPr>
        <w:t>conditione</w:t>
      </w:r>
      <w:proofErr w:type="spellEnd"/>
      <w:r w:rsidR="00CD1BB4" w:rsidRPr="00A472FC">
        <w:rPr>
          <w:rFonts w:ascii="Times New Roman" w:hAnsi="Times New Roman" w:cs="Times New Roman"/>
          <w:i/>
          <w:lang w:val="en-US"/>
        </w:rPr>
        <w:t xml:space="preserve"> </w:t>
      </w:r>
      <w:proofErr w:type="spellStart"/>
      <w:r w:rsidR="00CD1BB4" w:rsidRPr="00A472FC">
        <w:rPr>
          <w:rFonts w:ascii="Times New Roman" w:hAnsi="Times New Roman" w:cs="Times New Roman"/>
          <w:i/>
          <w:lang w:val="en-US"/>
        </w:rPr>
        <w:t>homine</w:t>
      </w:r>
      <w:proofErr w:type="spellEnd"/>
      <w:r w:rsidR="00CD1BB4" w:rsidRPr="00A472FC">
        <w:rPr>
          <w:rFonts w:ascii="Times New Roman" w:hAnsi="Times New Roman" w:cs="Times New Roman"/>
          <w:lang w:val="en-US"/>
        </w:rPr>
        <w:t xml:space="preserve">), which had been translated into Latin by Denis the Little </w:t>
      </w:r>
      <w:r w:rsidR="000C393C" w:rsidRPr="00A472FC">
        <w:rPr>
          <w:rFonts w:ascii="Times New Roman" w:hAnsi="Times New Roman" w:cs="Times New Roman"/>
          <w:lang w:val="en-US"/>
        </w:rPr>
        <w:t xml:space="preserve">already </w:t>
      </w:r>
      <w:r w:rsidR="00CD1BB4" w:rsidRPr="00A472FC">
        <w:rPr>
          <w:rFonts w:ascii="Times New Roman" w:hAnsi="Times New Roman" w:cs="Times New Roman"/>
          <w:lang w:val="en-US"/>
        </w:rPr>
        <w:t xml:space="preserve">in the sixth century and </w:t>
      </w:r>
      <w:r w:rsidR="000C393C" w:rsidRPr="00A472FC">
        <w:rPr>
          <w:rFonts w:ascii="Times New Roman" w:hAnsi="Times New Roman" w:cs="Times New Roman"/>
          <w:lang w:val="en-US"/>
        </w:rPr>
        <w:t xml:space="preserve">was translated again </w:t>
      </w:r>
      <w:r w:rsidR="000C393C" w:rsidRPr="00A472FC">
        <w:rPr>
          <w:rFonts w:ascii="Times New Roman" w:hAnsi="Times New Roman" w:cs="Times New Roman"/>
          <w:lang w:val="en-US"/>
        </w:rPr>
        <w:lastRenderedPageBreak/>
        <w:t xml:space="preserve">by </w:t>
      </w:r>
      <w:r w:rsidR="00CD1BB4" w:rsidRPr="00A472FC">
        <w:rPr>
          <w:rFonts w:ascii="Times New Roman" w:hAnsi="Times New Roman" w:cs="Times New Roman"/>
          <w:lang w:val="en-US"/>
        </w:rPr>
        <w:t xml:space="preserve">John Scotus </w:t>
      </w:r>
      <w:proofErr w:type="spellStart"/>
      <w:r w:rsidR="00CD1BB4" w:rsidRPr="00A472FC">
        <w:rPr>
          <w:rFonts w:ascii="Times New Roman" w:hAnsi="Times New Roman" w:cs="Times New Roman"/>
          <w:lang w:val="en-US"/>
        </w:rPr>
        <w:t>Eriugena</w:t>
      </w:r>
      <w:proofErr w:type="spellEnd"/>
      <w:r w:rsidR="00CD1BB4" w:rsidRPr="00A472FC">
        <w:rPr>
          <w:rFonts w:ascii="Times New Roman" w:hAnsi="Times New Roman" w:cs="Times New Roman"/>
          <w:lang w:val="en-US"/>
        </w:rPr>
        <w:t xml:space="preserve"> in the ninth.</w:t>
      </w:r>
      <w:r w:rsidR="00CD1BB4" w:rsidRPr="00A472FC">
        <w:rPr>
          <w:rStyle w:val="FootnoteReference"/>
          <w:rFonts w:ascii="Times New Roman" w:hAnsi="Times New Roman" w:cs="Times New Roman"/>
          <w:lang w:val="en-US"/>
        </w:rPr>
        <w:footnoteReference w:id="32"/>
      </w:r>
      <w:r w:rsidR="00CD1BB4" w:rsidRPr="00A472FC">
        <w:rPr>
          <w:rFonts w:ascii="Times New Roman" w:hAnsi="Times New Roman" w:cs="Times New Roman"/>
          <w:lang w:val="en-US"/>
        </w:rPr>
        <w:t xml:space="preserve"> </w:t>
      </w:r>
      <w:r w:rsidR="007F42ED" w:rsidRPr="00A472FC">
        <w:rPr>
          <w:rFonts w:ascii="Times New Roman" w:hAnsi="Times New Roman" w:cs="Times New Roman"/>
          <w:lang w:val="en-US"/>
        </w:rPr>
        <w:t xml:space="preserve">In this work, Gregory’s primary concern is to define the status of the soul as God’s image. In this regard, </w:t>
      </w:r>
      <w:r w:rsidR="003F2367" w:rsidRPr="00A472FC">
        <w:rPr>
          <w:rFonts w:ascii="Times New Roman" w:hAnsi="Times New Roman" w:cs="Times New Roman"/>
          <w:lang w:val="en-US"/>
        </w:rPr>
        <w:t xml:space="preserve">he </w:t>
      </w:r>
      <w:r w:rsidR="007F42ED" w:rsidRPr="00A472FC">
        <w:rPr>
          <w:rFonts w:ascii="Times New Roman" w:hAnsi="Times New Roman" w:cs="Times New Roman"/>
          <w:lang w:val="en-US"/>
        </w:rPr>
        <w:t xml:space="preserve">famously advocates the </w:t>
      </w:r>
      <w:r w:rsidR="00CD1BB4" w:rsidRPr="00A472FC">
        <w:rPr>
          <w:rFonts w:ascii="Times New Roman" w:hAnsi="Times New Roman" w:cs="Times New Roman"/>
          <w:lang w:val="en-US"/>
        </w:rPr>
        <w:t xml:space="preserve">idea that </w:t>
      </w:r>
      <w:r w:rsidR="004552C5" w:rsidRPr="00A472FC">
        <w:rPr>
          <w:rFonts w:ascii="Times New Roman" w:hAnsi="Times New Roman" w:cs="Times New Roman"/>
          <w:lang w:val="en-US"/>
        </w:rPr>
        <w:t>the huma</w:t>
      </w:r>
      <w:r w:rsidR="00CD1BB4" w:rsidRPr="00A472FC">
        <w:rPr>
          <w:rFonts w:ascii="Times New Roman" w:hAnsi="Times New Roman" w:cs="Times New Roman"/>
          <w:lang w:val="en-US"/>
        </w:rPr>
        <w:t>n</w:t>
      </w:r>
      <w:r w:rsidR="004552C5" w:rsidRPr="00A472FC">
        <w:rPr>
          <w:rFonts w:ascii="Times New Roman" w:hAnsi="Times New Roman" w:cs="Times New Roman"/>
          <w:lang w:val="en-US"/>
        </w:rPr>
        <w:t xml:space="preserve"> being</w:t>
      </w:r>
      <w:r w:rsidR="00CD1BB4" w:rsidRPr="00A472FC">
        <w:rPr>
          <w:rFonts w:ascii="Times New Roman" w:hAnsi="Times New Roman" w:cs="Times New Roman"/>
          <w:lang w:val="en-US"/>
        </w:rPr>
        <w:t xml:space="preserve"> is the midpoint of the universe, or </w:t>
      </w:r>
      <w:r w:rsidR="00E8272D" w:rsidRPr="00A472FC">
        <w:rPr>
          <w:rFonts w:ascii="Times New Roman" w:hAnsi="Times New Roman" w:cs="Times New Roman"/>
          <w:lang w:val="en-US"/>
        </w:rPr>
        <w:t xml:space="preserve">the </w:t>
      </w:r>
      <w:r w:rsidR="00CD1BB4" w:rsidRPr="00A472FC">
        <w:rPr>
          <w:rFonts w:ascii="Times New Roman" w:hAnsi="Times New Roman" w:cs="Times New Roman"/>
          <w:lang w:val="en-US"/>
        </w:rPr>
        <w:t>mediator between God and creation</w:t>
      </w:r>
      <w:r w:rsidR="004A5018" w:rsidRPr="00A472FC">
        <w:rPr>
          <w:rFonts w:ascii="Times New Roman" w:hAnsi="Times New Roman" w:cs="Times New Roman"/>
          <w:lang w:val="en-US"/>
        </w:rPr>
        <w:t>.</w:t>
      </w:r>
      <w:r w:rsidR="00CD1BB4" w:rsidRPr="00A472FC">
        <w:rPr>
          <w:rStyle w:val="FootnoteReference"/>
          <w:rFonts w:ascii="Times New Roman" w:hAnsi="Times New Roman" w:cs="Times New Roman"/>
          <w:lang w:val="en-US"/>
        </w:rPr>
        <w:footnoteReference w:id="33"/>
      </w:r>
      <w:r w:rsidR="00CD1BB4" w:rsidRPr="00A472FC">
        <w:rPr>
          <w:rFonts w:ascii="Times New Roman" w:hAnsi="Times New Roman" w:cs="Times New Roman"/>
          <w:lang w:val="en-US"/>
        </w:rPr>
        <w:t xml:space="preserve"> </w:t>
      </w:r>
      <w:r w:rsidR="004A5018" w:rsidRPr="00A472FC">
        <w:rPr>
          <w:rFonts w:ascii="Times New Roman" w:hAnsi="Times New Roman" w:cs="Times New Roman"/>
          <w:lang w:val="en-US"/>
        </w:rPr>
        <w:t>T</w:t>
      </w:r>
      <w:r w:rsidR="00CD1BB4" w:rsidRPr="00A472FC">
        <w:rPr>
          <w:rFonts w:ascii="Times New Roman" w:hAnsi="Times New Roman" w:cs="Times New Roman"/>
          <w:lang w:val="en-US"/>
        </w:rPr>
        <w:t>he mediator role derives from the ruling power of reason, which Gregory likens to that of a king ruling over his kingdom.</w:t>
      </w:r>
      <w:r w:rsidR="00CD1BB4" w:rsidRPr="00A472FC">
        <w:rPr>
          <w:rStyle w:val="FootnoteReference"/>
          <w:rFonts w:ascii="Times New Roman" w:hAnsi="Times New Roman" w:cs="Times New Roman"/>
          <w:lang w:val="en-US"/>
        </w:rPr>
        <w:footnoteReference w:id="34"/>
      </w:r>
      <w:r w:rsidR="00CD1BB4" w:rsidRPr="00A472FC">
        <w:rPr>
          <w:rFonts w:ascii="Times New Roman" w:hAnsi="Times New Roman" w:cs="Times New Roman"/>
          <w:lang w:val="en-US"/>
        </w:rPr>
        <w:t xml:space="preserve"> </w:t>
      </w:r>
      <w:r w:rsidR="006F2697" w:rsidRPr="00A472FC">
        <w:rPr>
          <w:rFonts w:ascii="Times New Roman" w:hAnsi="Times New Roman" w:cs="Times New Roman"/>
          <w:lang w:val="en-US"/>
        </w:rPr>
        <w:t>On his account, t</w:t>
      </w:r>
      <w:r w:rsidR="00CD1BB4" w:rsidRPr="00A472FC">
        <w:rPr>
          <w:rFonts w:ascii="Times New Roman" w:hAnsi="Times New Roman" w:cs="Times New Roman"/>
          <w:lang w:val="en-US"/>
        </w:rPr>
        <w:t>his power is evidenced by the upright stature of the human body, which unlike other creaturely bodies is capable of looking not only to things below but also towards things above.</w:t>
      </w:r>
      <w:r w:rsidR="00CD1BB4" w:rsidRPr="00A472FC">
        <w:rPr>
          <w:rStyle w:val="FootnoteReference"/>
          <w:rFonts w:ascii="Times New Roman" w:hAnsi="Times New Roman" w:cs="Times New Roman"/>
          <w:lang w:val="en-US"/>
        </w:rPr>
        <w:footnoteReference w:id="35"/>
      </w:r>
      <w:r w:rsidR="00CD1BB4" w:rsidRPr="00A472FC">
        <w:rPr>
          <w:rFonts w:ascii="Times New Roman" w:hAnsi="Times New Roman" w:cs="Times New Roman"/>
          <w:lang w:val="en-US"/>
        </w:rPr>
        <w:t xml:space="preserve"> </w:t>
      </w:r>
    </w:p>
    <w:p w14:paraId="03C64528" w14:textId="77777777" w:rsidR="007F07C3" w:rsidRPr="00A472FC" w:rsidRDefault="00E5521B" w:rsidP="007F07C3">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In offering this account, Gregory</w:t>
      </w:r>
      <w:r w:rsidR="00CD1BB4" w:rsidRPr="00A472FC">
        <w:rPr>
          <w:rFonts w:ascii="Times New Roman" w:hAnsi="Times New Roman" w:cs="Times New Roman"/>
          <w:lang w:val="en-US"/>
        </w:rPr>
        <w:t xml:space="preserve"> does not fail to mention the vegetable and sensitive functions, in addition to reason, which are responsible for growth and nutrition, on the one hand, and sense and motion, on the other</w:t>
      </w:r>
      <w:r w:rsidR="001E4643" w:rsidRPr="00A472FC">
        <w:rPr>
          <w:rFonts w:ascii="Times New Roman" w:hAnsi="Times New Roman" w:cs="Times New Roman"/>
          <w:lang w:val="en-US"/>
        </w:rPr>
        <w:t>.</w:t>
      </w:r>
      <w:r w:rsidR="001E4643" w:rsidRPr="00A472FC">
        <w:rPr>
          <w:rStyle w:val="FootnoteReference"/>
          <w:rFonts w:ascii="Times New Roman" w:hAnsi="Times New Roman" w:cs="Times New Roman"/>
          <w:lang w:val="en-US"/>
        </w:rPr>
        <w:footnoteReference w:id="36"/>
      </w:r>
      <w:r w:rsidR="001E4643" w:rsidRPr="00A472FC">
        <w:rPr>
          <w:rFonts w:ascii="Times New Roman" w:hAnsi="Times New Roman" w:cs="Times New Roman"/>
          <w:lang w:val="en-US"/>
        </w:rPr>
        <w:t xml:space="preserve"> </w:t>
      </w:r>
      <w:r w:rsidR="00CD1BB4" w:rsidRPr="00A472FC">
        <w:rPr>
          <w:rFonts w:ascii="Times New Roman" w:hAnsi="Times New Roman" w:cs="Times New Roman"/>
          <w:lang w:val="en-US"/>
        </w:rPr>
        <w:t>According to Gregory</w:t>
      </w:r>
      <w:r w:rsidR="006B00EF" w:rsidRPr="00A472FC">
        <w:rPr>
          <w:rFonts w:ascii="Times New Roman" w:hAnsi="Times New Roman" w:cs="Times New Roman"/>
          <w:lang w:val="en-US"/>
        </w:rPr>
        <w:t>,</w:t>
      </w:r>
      <w:r w:rsidR="00CD1BB4" w:rsidRPr="00A472FC">
        <w:rPr>
          <w:rFonts w:ascii="Times New Roman" w:hAnsi="Times New Roman" w:cs="Times New Roman"/>
          <w:lang w:val="en-US"/>
        </w:rPr>
        <w:t xml:space="preserve"> these three represent three souls, </w:t>
      </w:r>
      <w:r w:rsidR="007F07C3" w:rsidRPr="00A472FC">
        <w:rPr>
          <w:rFonts w:ascii="Times New Roman" w:hAnsi="Times New Roman" w:cs="Times New Roman"/>
          <w:lang w:val="en-US"/>
        </w:rPr>
        <w:t xml:space="preserve">including the </w:t>
      </w:r>
      <w:r w:rsidR="00CD1BB4" w:rsidRPr="00A472FC">
        <w:rPr>
          <w:rFonts w:ascii="Times New Roman" w:hAnsi="Times New Roman" w:cs="Times New Roman"/>
          <w:lang w:val="en-US"/>
        </w:rPr>
        <w:t>vegetative</w:t>
      </w:r>
      <w:r w:rsidR="007F07C3" w:rsidRPr="00A472FC">
        <w:rPr>
          <w:rFonts w:ascii="Times New Roman" w:hAnsi="Times New Roman" w:cs="Times New Roman"/>
          <w:lang w:val="en-US"/>
        </w:rPr>
        <w:t xml:space="preserve"> and</w:t>
      </w:r>
      <w:r w:rsidR="00CD1BB4" w:rsidRPr="00A472FC">
        <w:rPr>
          <w:rFonts w:ascii="Times New Roman" w:hAnsi="Times New Roman" w:cs="Times New Roman"/>
          <w:lang w:val="en-US"/>
        </w:rPr>
        <w:t xml:space="preserve"> sensitive,</w:t>
      </w:r>
      <w:r w:rsidR="001E4643" w:rsidRPr="00A472FC">
        <w:rPr>
          <w:rFonts w:ascii="Times New Roman" w:hAnsi="Times New Roman" w:cs="Times New Roman"/>
          <w:lang w:val="en-US"/>
        </w:rPr>
        <w:t xml:space="preserve"> which are ultimately</w:t>
      </w:r>
      <w:r w:rsidR="00CD1BB4" w:rsidRPr="00A472FC">
        <w:rPr>
          <w:rFonts w:ascii="Times New Roman" w:hAnsi="Times New Roman" w:cs="Times New Roman"/>
          <w:lang w:val="en-US"/>
        </w:rPr>
        <w:t xml:space="preserve"> welded together</w:t>
      </w:r>
      <w:r w:rsidR="003A1D13" w:rsidRPr="00A472FC">
        <w:rPr>
          <w:rFonts w:ascii="Times New Roman" w:hAnsi="Times New Roman" w:cs="Times New Roman"/>
          <w:lang w:val="en-US"/>
        </w:rPr>
        <w:t xml:space="preserve"> </w:t>
      </w:r>
      <w:r w:rsidR="00CD1BB4" w:rsidRPr="00A472FC">
        <w:rPr>
          <w:rFonts w:ascii="Times New Roman" w:hAnsi="Times New Roman" w:cs="Times New Roman"/>
          <w:lang w:val="en-US"/>
        </w:rPr>
        <w:t>under the authority of the ‘proper’ rational soul.</w:t>
      </w:r>
      <w:r w:rsidR="00CD1BB4" w:rsidRPr="00A472FC">
        <w:rPr>
          <w:rStyle w:val="FootnoteReference"/>
          <w:rFonts w:ascii="Times New Roman" w:hAnsi="Times New Roman" w:cs="Times New Roman"/>
          <w:lang w:val="en-US"/>
        </w:rPr>
        <w:footnoteReference w:id="37"/>
      </w:r>
      <w:r w:rsidR="00CD1BB4" w:rsidRPr="00A472FC">
        <w:rPr>
          <w:rFonts w:ascii="Times New Roman" w:hAnsi="Times New Roman" w:cs="Times New Roman"/>
          <w:lang w:val="en-US"/>
        </w:rPr>
        <w:t xml:space="preserve"> Although his discussion of medical material is basic by comparison to that of </w:t>
      </w:r>
      <w:proofErr w:type="spellStart"/>
      <w:r w:rsidR="00CD1BB4" w:rsidRPr="00A472FC">
        <w:rPr>
          <w:rFonts w:ascii="Times New Roman" w:hAnsi="Times New Roman" w:cs="Times New Roman"/>
          <w:lang w:val="en-US"/>
        </w:rPr>
        <w:t>Nemesius</w:t>
      </w:r>
      <w:proofErr w:type="spellEnd"/>
      <w:r w:rsidR="00CD1BB4" w:rsidRPr="00A472FC">
        <w:rPr>
          <w:rFonts w:ascii="Times New Roman" w:hAnsi="Times New Roman" w:cs="Times New Roman"/>
          <w:lang w:val="en-US"/>
        </w:rPr>
        <w:t xml:space="preserve"> and Damascus, Gregory does speak of a spirit responsible for </w:t>
      </w:r>
      <w:r w:rsidR="00780D72" w:rsidRPr="00A472FC">
        <w:rPr>
          <w:rFonts w:ascii="Times New Roman" w:hAnsi="Times New Roman" w:cs="Times New Roman"/>
          <w:lang w:val="en-US"/>
        </w:rPr>
        <w:t>the</w:t>
      </w:r>
      <w:r w:rsidR="00CD1BB4" w:rsidRPr="00A472FC">
        <w:rPr>
          <w:rFonts w:ascii="Times New Roman" w:hAnsi="Times New Roman" w:cs="Times New Roman"/>
          <w:lang w:val="en-US"/>
        </w:rPr>
        <w:t xml:space="preserve"> pumping of blood;</w:t>
      </w:r>
      <w:r w:rsidR="00CD1BB4" w:rsidRPr="00A472FC">
        <w:rPr>
          <w:rStyle w:val="FootnoteReference"/>
          <w:rFonts w:ascii="Times New Roman" w:hAnsi="Times New Roman" w:cs="Times New Roman"/>
          <w:lang w:val="en-US"/>
        </w:rPr>
        <w:footnoteReference w:id="38"/>
      </w:r>
      <w:r w:rsidR="00CD1BB4" w:rsidRPr="00A472FC">
        <w:rPr>
          <w:rFonts w:ascii="Times New Roman" w:hAnsi="Times New Roman" w:cs="Times New Roman"/>
          <w:lang w:val="en-US"/>
        </w:rPr>
        <w:t xml:space="preserve"> and of the nutritive and growth functions that are enabled by the digestion of food.</w:t>
      </w:r>
      <w:r w:rsidR="00CD1BB4" w:rsidRPr="00A472FC">
        <w:rPr>
          <w:rStyle w:val="FootnoteReference"/>
          <w:rFonts w:ascii="Times New Roman" w:hAnsi="Times New Roman" w:cs="Times New Roman"/>
          <w:lang w:val="en-US"/>
        </w:rPr>
        <w:footnoteReference w:id="39"/>
      </w:r>
      <w:r w:rsidR="000B2EB5" w:rsidRPr="00A472FC">
        <w:rPr>
          <w:rFonts w:ascii="Times New Roman" w:hAnsi="Times New Roman" w:cs="Times New Roman"/>
          <w:lang w:val="en-US"/>
        </w:rPr>
        <w:t xml:space="preserve"> </w:t>
      </w:r>
      <w:r w:rsidR="00486105" w:rsidRPr="00A472FC">
        <w:rPr>
          <w:rFonts w:ascii="Times New Roman" w:hAnsi="Times New Roman" w:cs="Times New Roman"/>
          <w:lang w:val="en-US"/>
        </w:rPr>
        <w:t xml:space="preserve">In the works of </w:t>
      </w:r>
      <w:r w:rsidR="00AE1F48" w:rsidRPr="00A472FC">
        <w:rPr>
          <w:rFonts w:ascii="Times New Roman" w:hAnsi="Times New Roman" w:cs="Times New Roman"/>
          <w:lang w:val="en-US"/>
        </w:rPr>
        <w:t>such</w:t>
      </w:r>
      <w:r w:rsidR="00486105" w:rsidRPr="00A472FC">
        <w:rPr>
          <w:rFonts w:ascii="Times New Roman" w:hAnsi="Times New Roman" w:cs="Times New Roman"/>
          <w:lang w:val="en-US"/>
        </w:rPr>
        <w:t xml:space="preserve"> authors, </w:t>
      </w:r>
      <w:r w:rsidR="00CF225E" w:rsidRPr="00A472FC">
        <w:rPr>
          <w:rFonts w:ascii="Times New Roman" w:hAnsi="Times New Roman" w:cs="Times New Roman"/>
          <w:lang w:val="en-US"/>
        </w:rPr>
        <w:t xml:space="preserve">consequently, </w:t>
      </w:r>
      <w:r w:rsidR="00486105" w:rsidRPr="00A472FC">
        <w:rPr>
          <w:rFonts w:ascii="Times New Roman" w:hAnsi="Times New Roman" w:cs="Times New Roman"/>
          <w:lang w:val="en-US"/>
        </w:rPr>
        <w:t>Latin thinkers possessed a witness and a model from the Christian tradition of engagement with medical material</w:t>
      </w:r>
      <w:r w:rsidR="00BD064A" w:rsidRPr="00A472FC">
        <w:rPr>
          <w:rFonts w:ascii="Times New Roman" w:hAnsi="Times New Roman" w:cs="Times New Roman"/>
          <w:lang w:val="en-US"/>
        </w:rPr>
        <w:t xml:space="preserve">. </w:t>
      </w:r>
    </w:p>
    <w:p w14:paraId="14F6289D" w14:textId="77777777" w:rsidR="0042130A" w:rsidRPr="00A472FC" w:rsidRDefault="000A4849" w:rsidP="0042130A">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While numerous </w:t>
      </w:r>
      <w:r w:rsidR="00C24244" w:rsidRPr="00A472FC">
        <w:rPr>
          <w:rFonts w:ascii="Times New Roman" w:hAnsi="Times New Roman" w:cs="Times New Roman"/>
          <w:lang w:val="en-US"/>
        </w:rPr>
        <w:t xml:space="preserve">twelfth-century thinkers </w:t>
      </w:r>
      <w:r w:rsidR="00983F3F" w:rsidRPr="00A472FC">
        <w:rPr>
          <w:rFonts w:ascii="Times New Roman" w:hAnsi="Times New Roman" w:cs="Times New Roman"/>
          <w:lang w:val="en-US"/>
        </w:rPr>
        <w:t xml:space="preserve">followed this example, </w:t>
      </w:r>
      <w:r w:rsidR="00B8719A" w:rsidRPr="00A472FC">
        <w:rPr>
          <w:rFonts w:ascii="Times New Roman" w:hAnsi="Times New Roman" w:cs="Times New Roman"/>
          <w:lang w:val="en-US"/>
        </w:rPr>
        <w:t xml:space="preserve">the work of Cistercian authors in this regard proved particularly influential </w:t>
      </w:r>
      <w:r w:rsidR="00D100C1" w:rsidRPr="00A472FC">
        <w:rPr>
          <w:rFonts w:ascii="Times New Roman" w:hAnsi="Times New Roman" w:cs="Times New Roman"/>
          <w:lang w:val="en-US"/>
        </w:rPr>
        <w:t xml:space="preserve">for </w:t>
      </w:r>
      <w:r w:rsidR="00CF225E" w:rsidRPr="00A472FC">
        <w:rPr>
          <w:rFonts w:ascii="Times New Roman" w:hAnsi="Times New Roman" w:cs="Times New Roman"/>
          <w:lang w:val="en-US"/>
        </w:rPr>
        <w:t xml:space="preserve">Franciscans like </w:t>
      </w:r>
      <w:r w:rsidR="00D100C1" w:rsidRPr="00A472FC">
        <w:rPr>
          <w:rFonts w:ascii="Times New Roman" w:hAnsi="Times New Roman" w:cs="Times New Roman"/>
          <w:lang w:val="en-US"/>
        </w:rPr>
        <w:t>John of La Rochelle.</w:t>
      </w:r>
      <w:r w:rsidR="00D100C1" w:rsidRPr="00A472FC">
        <w:rPr>
          <w:rStyle w:val="FootnoteReference"/>
          <w:rFonts w:ascii="Times New Roman" w:hAnsi="Times New Roman" w:cs="Times New Roman"/>
          <w:lang w:val="en-US"/>
        </w:rPr>
        <w:footnoteReference w:id="40"/>
      </w:r>
      <w:r w:rsidR="00912B29" w:rsidRPr="00A472FC">
        <w:rPr>
          <w:rFonts w:ascii="Times New Roman" w:hAnsi="Times New Roman" w:cs="Times New Roman"/>
          <w:lang w:val="en-US"/>
        </w:rPr>
        <w:t xml:space="preserve"> </w:t>
      </w:r>
      <w:r w:rsidR="00C956F1" w:rsidRPr="00A472FC">
        <w:rPr>
          <w:rFonts w:ascii="Times New Roman" w:hAnsi="Times New Roman" w:cs="Times New Roman"/>
          <w:lang w:val="en-US"/>
        </w:rPr>
        <w:t xml:space="preserve">In his </w:t>
      </w:r>
      <w:r w:rsidR="00C956F1" w:rsidRPr="00A472FC">
        <w:rPr>
          <w:rFonts w:ascii="Times New Roman" w:hAnsi="Times New Roman" w:cs="Times New Roman"/>
          <w:i/>
          <w:lang w:val="en-US"/>
        </w:rPr>
        <w:t xml:space="preserve">The Nature of the Body and the Soul, </w:t>
      </w:r>
      <w:r w:rsidR="007F0322" w:rsidRPr="00A472FC">
        <w:rPr>
          <w:rFonts w:ascii="Times New Roman" w:hAnsi="Times New Roman" w:cs="Times New Roman"/>
          <w:iCs/>
          <w:lang w:val="en-US"/>
        </w:rPr>
        <w:t>for instance, t</w:t>
      </w:r>
      <w:r w:rsidR="00C956F1" w:rsidRPr="00A472FC">
        <w:rPr>
          <w:rFonts w:ascii="Times New Roman" w:hAnsi="Times New Roman" w:cs="Times New Roman"/>
          <w:iCs/>
          <w:lang w:val="en-US"/>
        </w:rPr>
        <w:t xml:space="preserve">he Cistercian William of St Thierry </w:t>
      </w:r>
      <w:r w:rsidR="00C956F1" w:rsidRPr="00A472FC">
        <w:rPr>
          <w:rFonts w:ascii="Times New Roman" w:hAnsi="Times New Roman" w:cs="Times New Roman"/>
          <w:lang w:val="en-US"/>
        </w:rPr>
        <w:t xml:space="preserve">(1085-1148) begins with a reference to </w:t>
      </w:r>
      <w:r w:rsidR="00B10C3D" w:rsidRPr="00A472FC">
        <w:rPr>
          <w:rFonts w:ascii="Times New Roman" w:hAnsi="Times New Roman" w:cs="Times New Roman"/>
          <w:lang w:val="en-US"/>
        </w:rPr>
        <w:t xml:space="preserve">the ancient physician </w:t>
      </w:r>
      <w:r w:rsidR="00C956F1" w:rsidRPr="00A472FC">
        <w:rPr>
          <w:rFonts w:ascii="Times New Roman" w:hAnsi="Times New Roman" w:cs="Times New Roman"/>
          <w:lang w:val="en-US"/>
        </w:rPr>
        <w:t xml:space="preserve">Hippocrates, </w:t>
      </w:r>
      <w:r w:rsidR="00B10C3D" w:rsidRPr="00A472FC">
        <w:rPr>
          <w:rFonts w:ascii="Times New Roman" w:hAnsi="Times New Roman" w:cs="Times New Roman"/>
          <w:lang w:val="en-US"/>
        </w:rPr>
        <w:t xml:space="preserve">who held that </w:t>
      </w:r>
      <w:r w:rsidR="002A08FC" w:rsidRPr="00A472FC">
        <w:rPr>
          <w:rFonts w:ascii="Times New Roman" w:hAnsi="Times New Roman" w:cs="Times New Roman"/>
          <w:lang w:val="en-US"/>
        </w:rPr>
        <w:t>four elements create four humors, the balance of which is necessary for the health of the body</w:t>
      </w:r>
      <w:r w:rsidR="00E54A42" w:rsidRPr="00A472FC">
        <w:rPr>
          <w:rFonts w:ascii="Times New Roman" w:hAnsi="Times New Roman" w:cs="Times New Roman"/>
          <w:lang w:val="en-US"/>
        </w:rPr>
        <w:t>—and thereby the soul</w:t>
      </w:r>
      <w:r w:rsidR="00CD1BB4" w:rsidRPr="00A472FC">
        <w:rPr>
          <w:rFonts w:ascii="Times New Roman" w:hAnsi="Times New Roman" w:cs="Times New Roman"/>
          <w:lang w:val="en-US"/>
        </w:rPr>
        <w:t>.</w:t>
      </w:r>
      <w:r w:rsidR="00CD1BB4" w:rsidRPr="00A472FC">
        <w:rPr>
          <w:rStyle w:val="FootnoteReference"/>
          <w:rFonts w:ascii="Times New Roman" w:hAnsi="Times New Roman" w:cs="Times New Roman"/>
          <w:lang w:val="en-US"/>
        </w:rPr>
        <w:footnoteReference w:id="41"/>
      </w:r>
      <w:r w:rsidR="00CD1BB4" w:rsidRPr="00A472FC">
        <w:rPr>
          <w:rFonts w:ascii="Times New Roman" w:hAnsi="Times New Roman" w:cs="Times New Roman"/>
          <w:lang w:val="en-US"/>
        </w:rPr>
        <w:t xml:space="preserve"> </w:t>
      </w:r>
      <w:r w:rsidR="00154088" w:rsidRPr="00A472FC">
        <w:rPr>
          <w:rFonts w:ascii="Times New Roman" w:hAnsi="Times New Roman" w:cs="Times New Roman"/>
          <w:lang w:val="en-US"/>
        </w:rPr>
        <w:t xml:space="preserve">William also speaks of the </w:t>
      </w:r>
      <w:r w:rsidR="00CD1BB4" w:rsidRPr="00A472FC">
        <w:rPr>
          <w:rFonts w:ascii="Times New Roman" w:hAnsi="Times New Roman" w:cs="Times New Roman"/>
          <w:lang w:val="en-US"/>
        </w:rPr>
        <w:t>principal organs of the brain, the liver, and the heart</w:t>
      </w:r>
      <w:r w:rsidR="00666F6E" w:rsidRPr="00A472FC">
        <w:rPr>
          <w:rFonts w:ascii="Times New Roman" w:hAnsi="Times New Roman" w:cs="Times New Roman"/>
          <w:lang w:val="en-US"/>
        </w:rPr>
        <w:t>; the</w:t>
      </w:r>
      <w:r w:rsidR="00CD1BB4" w:rsidRPr="00A472FC">
        <w:rPr>
          <w:rFonts w:ascii="Times New Roman" w:hAnsi="Times New Roman" w:cs="Times New Roman"/>
          <w:lang w:val="en-US"/>
        </w:rPr>
        <w:t xml:space="preserve"> three powers that correspond to them—the natural, spiritual, and animal—and the three different senses of ‘spirit’ which can be respectively correlated to them</w:t>
      </w:r>
      <w:r w:rsidR="00892C1D" w:rsidRPr="00A472FC">
        <w:rPr>
          <w:rFonts w:ascii="Times New Roman" w:hAnsi="Times New Roman" w:cs="Times New Roman"/>
          <w:lang w:val="en-US"/>
        </w:rPr>
        <w:t xml:space="preserve"> in turn</w:t>
      </w:r>
      <w:r w:rsidR="00CD1BB4" w:rsidRPr="00A472FC">
        <w:rPr>
          <w:rFonts w:ascii="Times New Roman" w:hAnsi="Times New Roman" w:cs="Times New Roman"/>
          <w:lang w:val="en-US"/>
        </w:rPr>
        <w:t>.</w:t>
      </w:r>
      <w:r w:rsidR="00CD1BB4" w:rsidRPr="00A472FC">
        <w:rPr>
          <w:rStyle w:val="FootnoteReference"/>
          <w:rFonts w:ascii="Times New Roman" w:hAnsi="Times New Roman" w:cs="Times New Roman"/>
          <w:lang w:val="en-US"/>
        </w:rPr>
        <w:footnoteReference w:id="42"/>
      </w:r>
      <w:r w:rsidR="00CD1BB4" w:rsidRPr="00A472FC">
        <w:rPr>
          <w:rFonts w:ascii="Times New Roman" w:hAnsi="Times New Roman" w:cs="Times New Roman"/>
          <w:lang w:val="en-US"/>
        </w:rPr>
        <w:t xml:space="preserve"> Likewise, </w:t>
      </w:r>
      <w:r w:rsidR="00B50F81" w:rsidRPr="00A472FC">
        <w:rPr>
          <w:rFonts w:ascii="Times New Roman" w:hAnsi="Times New Roman" w:cs="Times New Roman"/>
          <w:lang w:val="en-US"/>
        </w:rPr>
        <w:t>he discusses the functions</w:t>
      </w:r>
      <w:r w:rsidR="00CD1BB4" w:rsidRPr="00A472FC">
        <w:rPr>
          <w:rFonts w:ascii="Times New Roman" w:hAnsi="Times New Roman" w:cs="Times New Roman"/>
          <w:lang w:val="en-US"/>
        </w:rPr>
        <w:t xml:space="preserve"> of nutrition, growth, and reproduction;</w:t>
      </w:r>
      <w:r w:rsidR="00CD1BB4" w:rsidRPr="00A472FC">
        <w:rPr>
          <w:rStyle w:val="FootnoteReference"/>
          <w:rFonts w:ascii="Times New Roman" w:hAnsi="Times New Roman" w:cs="Times New Roman"/>
          <w:lang w:val="en-US"/>
        </w:rPr>
        <w:footnoteReference w:id="43"/>
      </w:r>
      <w:r w:rsidR="00CD1BB4" w:rsidRPr="00A472FC">
        <w:rPr>
          <w:rFonts w:ascii="Times New Roman" w:hAnsi="Times New Roman" w:cs="Times New Roman"/>
          <w:lang w:val="en-US"/>
        </w:rPr>
        <w:t xml:space="preserve"> and in the case of nutrition, </w:t>
      </w:r>
      <w:r w:rsidR="00DF416A" w:rsidRPr="00A472FC">
        <w:rPr>
          <w:rFonts w:ascii="Times New Roman" w:hAnsi="Times New Roman" w:cs="Times New Roman"/>
          <w:lang w:val="en-US"/>
        </w:rPr>
        <w:t>he mentions</w:t>
      </w:r>
      <w:r w:rsidR="00CD1BB4" w:rsidRPr="00A472FC">
        <w:rPr>
          <w:rFonts w:ascii="Times New Roman" w:hAnsi="Times New Roman" w:cs="Times New Roman"/>
          <w:lang w:val="en-US"/>
        </w:rPr>
        <w:t xml:space="preserve"> the appetitive, retentive, digestive, and expulsive functions. </w:t>
      </w:r>
    </w:p>
    <w:p w14:paraId="4916CC9A" w14:textId="113AC10D" w:rsidR="00CD1BB4" w:rsidRPr="00A472FC" w:rsidRDefault="00CD1BB4" w:rsidP="0042130A">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lastRenderedPageBreak/>
        <w:t>From Galen, he cites the tripartition of the brain into the frontal, middle, and back lobes, which correspond to imagination, reason and memory, respectively.</w:t>
      </w:r>
      <w:r w:rsidRPr="00A472FC">
        <w:rPr>
          <w:rStyle w:val="FootnoteReference"/>
          <w:rFonts w:ascii="Times New Roman" w:hAnsi="Times New Roman" w:cs="Times New Roman"/>
          <w:lang w:val="en-US"/>
        </w:rPr>
        <w:footnoteReference w:id="44"/>
      </w:r>
      <w:r w:rsidRPr="00A472FC">
        <w:rPr>
          <w:rFonts w:ascii="Times New Roman" w:hAnsi="Times New Roman" w:cs="Times New Roman"/>
          <w:lang w:val="en-US"/>
        </w:rPr>
        <w:t xml:space="preserve"> He also highlights the division between the rational, irascible, and </w:t>
      </w:r>
      <w:proofErr w:type="spellStart"/>
      <w:r w:rsidRPr="00A472FC">
        <w:rPr>
          <w:rFonts w:ascii="Times New Roman" w:hAnsi="Times New Roman" w:cs="Times New Roman"/>
          <w:lang w:val="en-US"/>
        </w:rPr>
        <w:t>concupiscible</w:t>
      </w:r>
      <w:proofErr w:type="spellEnd"/>
      <w:r w:rsidRPr="00A472FC">
        <w:rPr>
          <w:rFonts w:ascii="Times New Roman" w:hAnsi="Times New Roman" w:cs="Times New Roman"/>
          <w:lang w:val="en-US"/>
        </w:rPr>
        <w:t xml:space="preserve"> powers, which </w:t>
      </w:r>
      <w:r w:rsidR="00DF416A" w:rsidRPr="00A472FC">
        <w:rPr>
          <w:rFonts w:ascii="Times New Roman" w:hAnsi="Times New Roman" w:cs="Times New Roman"/>
          <w:lang w:val="en-US"/>
        </w:rPr>
        <w:t xml:space="preserve">we have seen </w:t>
      </w:r>
      <w:r w:rsidR="005A4EC4" w:rsidRPr="00A472FC">
        <w:rPr>
          <w:rFonts w:ascii="Times New Roman" w:hAnsi="Times New Roman" w:cs="Times New Roman"/>
          <w:lang w:val="en-US"/>
        </w:rPr>
        <w:t>derived</w:t>
      </w:r>
      <w:r w:rsidRPr="00A472FC">
        <w:rPr>
          <w:rFonts w:ascii="Times New Roman" w:hAnsi="Times New Roman" w:cs="Times New Roman"/>
          <w:lang w:val="en-US"/>
        </w:rPr>
        <w:t xml:space="preserve"> originally from Plato and remained in wide circulation throughout the Middle Ages.</w:t>
      </w:r>
      <w:r w:rsidRPr="00A472FC">
        <w:rPr>
          <w:rStyle w:val="FootnoteReference"/>
          <w:rFonts w:ascii="Times New Roman" w:hAnsi="Times New Roman" w:cs="Times New Roman"/>
          <w:lang w:val="en-US"/>
        </w:rPr>
        <w:footnoteReference w:id="45"/>
      </w:r>
      <w:r w:rsidRPr="00A472FC">
        <w:rPr>
          <w:rFonts w:ascii="Times New Roman" w:hAnsi="Times New Roman" w:cs="Times New Roman"/>
          <w:lang w:val="en-US"/>
        </w:rPr>
        <w:t xml:space="preserve"> Finally, he mentions the triad of memory, understanding, and will, which comprise the image of God according to Augustine and enable the human being to perform the regal or ruling function that Gregory described, and </w:t>
      </w:r>
      <w:r w:rsidR="00BD3FD5" w:rsidRPr="00A472FC">
        <w:rPr>
          <w:rFonts w:ascii="Times New Roman" w:hAnsi="Times New Roman" w:cs="Times New Roman"/>
          <w:lang w:val="en-US"/>
        </w:rPr>
        <w:t>so</w:t>
      </w:r>
      <w:r w:rsidRPr="00A472FC">
        <w:rPr>
          <w:rFonts w:ascii="Times New Roman" w:hAnsi="Times New Roman" w:cs="Times New Roman"/>
          <w:lang w:val="en-US"/>
        </w:rPr>
        <w:t xml:space="preserve"> to serve as the midpoint of creation.</w:t>
      </w:r>
      <w:r w:rsidRPr="00A472FC">
        <w:rPr>
          <w:rStyle w:val="FootnoteReference"/>
          <w:rFonts w:ascii="Times New Roman" w:hAnsi="Times New Roman" w:cs="Times New Roman"/>
          <w:lang w:val="en-US"/>
        </w:rPr>
        <w:footnoteReference w:id="46"/>
      </w:r>
    </w:p>
    <w:p w14:paraId="3A113D56" w14:textId="77777777" w:rsidR="00D92410" w:rsidRPr="00A472FC" w:rsidRDefault="00154CD2" w:rsidP="00A568ED">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The</w:t>
      </w:r>
      <w:r w:rsidR="00111893" w:rsidRPr="00A472FC">
        <w:rPr>
          <w:rFonts w:ascii="Times New Roman" w:hAnsi="Times New Roman" w:cs="Times New Roman"/>
          <w:lang w:val="en-US"/>
        </w:rPr>
        <w:t xml:space="preserve"> ultimate goal </w:t>
      </w:r>
      <w:r w:rsidR="005A4EC4" w:rsidRPr="00A472FC">
        <w:rPr>
          <w:rFonts w:ascii="Times New Roman" w:hAnsi="Times New Roman" w:cs="Times New Roman"/>
          <w:lang w:val="en-US"/>
        </w:rPr>
        <w:t>of William’s treatise</w:t>
      </w:r>
      <w:r w:rsidR="00476EE4" w:rsidRPr="00A472FC">
        <w:rPr>
          <w:rFonts w:ascii="Times New Roman" w:hAnsi="Times New Roman" w:cs="Times New Roman"/>
          <w:lang w:val="en-US"/>
        </w:rPr>
        <w:t xml:space="preserve"> </w:t>
      </w:r>
      <w:r w:rsidR="005A4EC4" w:rsidRPr="00A472FC">
        <w:rPr>
          <w:rFonts w:ascii="Times New Roman" w:hAnsi="Times New Roman" w:cs="Times New Roman"/>
          <w:lang w:val="en-US"/>
        </w:rPr>
        <w:t xml:space="preserve">is </w:t>
      </w:r>
      <w:r w:rsidR="00FF31B6" w:rsidRPr="00A472FC">
        <w:rPr>
          <w:rFonts w:ascii="Times New Roman" w:hAnsi="Times New Roman" w:cs="Times New Roman"/>
          <w:lang w:val="en-US"/>
        </w:rPr>
        <w:t>to</w:t>
      </w:r>
      <w:r w:rsidR="005A4EC4" w:rsidRPr="00A472FC">
        <w:rPr>
          <w:rFonts w:ascii="Times New Roman" w:hAnsi="Times New Roman" w:cs="Times New Roman"/>
          <w:lang w:val="en-US"/>
        </w:rPr>
        <w:t xml:space="preserve"> explain how a person </w:t>
      </w:r>
      <w:r w:rsidR="004E3E48" w:rsidRPr="00A472FC">
        <w:rPr>
          <w:rFonts w:ascii="Times New Roman" w:hAnsi="Times New Roman" w:cs="Times New Roman"/>
          <w:lang w:val="en-US"/>
        </w:rPr>
        <w:t>moves</w:t>
      </w:r>
      <w:r w:rsidR="005A4EC4" w:rsidRPr="00A472FC">
        <w:rPr>
          <w:rFonts w:ascii="Times New Roman" w:hAnsi="Times New Roman" w:cs="Times New Roman"/>
          <w:lang w:val="en-US"/>
        </w:rPr>
        <w:t xml:space="preserve"> through the seven stages of ascent to God</w:t>
      </w:r>
      <w:r w:rsidR="00D030B8" w:rsidRPr="00A472FC">
        <w:rPr>
          <w:rFonts w:ascii="Times New Roman" w:hAnsi="Times New Roman" w:cs="Times New Roman"/>
          <w:lang w:val="en-US"/>
        </w:rPr>
        <w:t xml:space="preserve">. While earlier thinkers had treated this as </w:t>
      </w:r>
      <w:r w:rsidR="00687D6A" w:rsidRPr="00A472FC">
        <w:rPr>
          <w:rFonts w:ascii="Times New Roman" w:hAnsi="Times New Roman" w:cs="Times New Roman"/>
          <w:lang w:val="en-US"/>
        </w:rPr>
        <w:t>a purely spiritual affair which if anything involves detachment from the body</w:t>
      </w:r>
      <w:r w:rsidR="00D030B8" w:rsidRPr="00A472FC">
        <w:rPr>
          <w:rFonts w:ascii="Times New Roman" w:hAnsi="Times New Roman" w:cs="Times New Roman"/>
          <w:lang w:val="en-US"/>
        </w:rPr>
        <w:t xml:space="preserve">, William offers </w:t>
      </w:r>
      <w:r w:rsidR="002A68F8" w:rsidRPr="00A472FC">
        <w:rPr>
          <w:rFonts w:ascii="Times New Roman" w:hAnsi="Times New Roman" w:cs="Times New Roman"/>
          <w:lang w:val="en-US"/>
        </w:rPr>
        <w:t xml:space="preserve">a more holistic picture in which the functions of the body—as outlined by the </w:t>
      </w:r>
      <w:proofErr w:type="spellStart"/>
      <w:r w:rsidR="002A68F8" w:rsidRPr="00A472FC">
        <w:rPr>
          <w:rFonts w:ascii="Times New Roman" w:hAnsi="Times New Roman" w:cs="Times New Roman"/>
          <w:lang w:val="en-US"/>
        </w:rPr>
        <w:t>Galenic</w:t>
      </w:r>
      <w:proofErr w:type="spellEnd"/>
      <w:r w:rsidR="002A68F8" w:rsidRPr="00A472FC">
        <w:rPr>
          <w:rFonts w:ascii="Times New Roman" w:hAnsi="Times New Roman" w:cs="Times New Roman"/>
          <w:lang w:val="en-US"/>
        </w:rPr>
        <w:t xml:space="preserve"> and other medical schemata—play a part in the proces</w:t>
      </w:r>
      <w:r w:rsidR="0016443F" w:rsidRPr="00A472FC">
        <w:rPr>
          <w:rFonts w:ascii="Times New Roman" w:hAnsi="Times New Roman" w:cs="Times New Roman"/>
          <w:lang w:val="en-US"/>
        </w:rPr>
        <w:t xml:space="preserve">s </w:t>
      </w:r>
      <w:r w:rsidR="002A68F8" w:rsidRPr="00A472FC">
        <w:rPr>
          <w:rFonts w:ascii="Times New Roman" w:hAnsi="Times New Roman" w:cs="Times New Roman"/>
          <w:lang w:val="en-US"/>
        </w:rPr>
        <w:t>as well.</w:t>
      </w:r>
      <w:r w:rsidR="002A68F8" w:rsidRPr="00A472FC">
        <w:rPr>
          <w:rStyle w:val="FootnoteReference"/>
          <w:rFonts w:ascii="Times New Roman" w:hAnsi="Times New Roman" w:cs="Times New Roman"/>
          <w:lang w:val="en-US"/>
        </w:rPr>
        <w:footnoteReference w:id="47"/>
      </w:r>
      <w:r w:rsidR="004F212A" w:rsidRPr="00A472FC">
        <w:rPr>
          <w:rFonts w:ascii="Times New Roman" w:hAnsi="Times New Roman" w:cs="Times New Roman"/>
          <w:lang w:val="en-US"/>
        </w:rPr>
        <w:t xml:space="preserve"> </w:t>
      </w:r>
      <w:r w:rsidR="00A568ED" w:rsidRPr="00A472FC">
        <w:rPr>
          <w:rFonts w:ascii="Times New Roman" w:hAnsi="Times New Roman" w:cs="Times New Roman"/>
          <w:lang w:val="en-US"/>
        </w:rPr>
        <w:t xml:space="preserve">In this regard, William’s Cistercian </w:t>
      </w:r>
      <w:r w:rsidR="00424438" w:rsidRPr="00A472FC">
        <w:rPr>
          <w:rFonts w:ascii="Times New Roman" w:hAnsi="Times New Roman" w:cs="Times New Roman"/>
          <w:lang w:val="en-US"/>
        </w:rPr>
        <w:t xml:space="preserve">colleague Isaac of Stella </w:t>
      </w:r>
      <w:r w:rsidR="00A568ED" w:rsidRPr="00A472FC">
        <w:rPr>
          <w:rFonts w:ascii="Times New Roman" w:hAnsi="Times New Roman" w:cs="Times New Roman"/>
          <w:lang w:val="en-US"/>
        </w:rPr>
        <w:t>took a step</w:t>
      </w:r>
      <w:r w:rsidR="00424438" w:rsidRPr="00A472FC">
        <w:rPr>
          <w:rFonts w:ascii="Times New Roman" w:hAnsi="Times New Roman" w:cs="Times New Roman"/>
          <w:lang w:val="en-US"/>
        </w:rPr>
        <w:t xml:space="preserve"> even further in seeking to classify the powers of the soul for their own sake</w:t>
      </w:r>
      <w:r w:rsidR="00CD1BB4" w:rsidRPr="00A472FC">
        <w:rPr>
          <w:rFonts w:ascii="Times New Roman" w:hAnsi="Times New Roman" w:cs="Times New Roman"/>
          <w:lang w:val="en-US"/>
        </w:rPr>
        <w:t>.</w:t>
      </w:r>
      <w:r w:rsidR="00CD1BB4" w:rsidRPr="00A472FC">
        <w:rPr>
          <w:rStyle w:val="FootnoteReference"/>
          <w:rFonts w:ascii="Times New Roman" w:hAnsi="Times New Roman" w:cs="Times New Roman"/>
          <w:lang w:val="en-US"/>
        </w:rPr>
        <w:footnoteReference w:id="48"/>
      </w:r>
      <w:r w:rsidR="00CD1BB4" w:rsidRPr="00A472FC">
        <w:rPr>
          <w:rFonts w:ascii="Times New Roman" w:hAnsi="Times New Roman" w:cs="Times New Roman"/>
          <w:lang w:val="en-US"/>
        </w:rPr>
        <w:t xml:space="preserve"> </w:t>
      </w:r>
      <w:r w:rsidR="000256E5" w:rsidRPr="00A472FC">
        <w:rPr>
          <w:rFonts w:ascii="Times New Roman" w:hAnsi="Times New Roman" w:cs="Times New Roman"/>
          <w:lang w:val="en-US"/>
        </w:rPr>
        <w:t>To this end</w:t>
      </w:r>
      <w:r w:rsidR="00CD1BB4" w:rsidRPr="00A472FC">
        <w:rPr>
          <w:rFonts w:ascii="Times New Roman" w:hAnsi="Times New Roman" w:cs="Times New Roman"/>
          <w:lang w:val="en-US"/>
        </w:rPr>
        <w:t xml:space="preserve">, </w:t>
      </w:r>
      <w:r w:rsidR="00BF469C" w:rsidRPr="00A472FC">
        <w:rPr>
          <w:rFonts w:ascii="Times New Roman" w:hAnsi="Times New Roman" w:cs="Times New Roman"/>
          <w:lang w:val="en-US"/>
        </w:rPr>
        <w:t>he</w:t>
      </w:r>
      <w:r w:rsidR="00CD1BB4" w:rsidRPr="00A472FC">
        <w:rPr>
          <w:rFonts w:ascii="Times New Roman" w:hAnsi="Times New Roman" w:cs="Times New Roman"/>
          <w:lang w:val="en-US"/>
        </w:rPr>
        <w:t xml:space="preserve"> incorporates many of the standard psychological schemata</w:t>
      </w:r>
      <w:r w:rsidR="00D37176" w:rsidRPr="00A472FC">
        <w:rPr>
          <w:rFonts w:ascii="Times New Roman" w:hAnsi="Times New Roman" w:cs="Times New Roman"/>
          <w:lang w:val="en-US"/>
        </w:rPr>
        <w:t xml:space="preserve"> already mentioned</w:t>
      </w:r>
      <w:r w:rsidR="00CD1BB4" w:rsidRPr="00A472FC">
        <w:rPr>
          <w:rFonts w:ascii="Times New Roman" w:hAnsi="Times New Roman" w:cs="Times New Roman"/>
          <w:lang w:val="en-US"/>
        </w:rPr>
        <w:t xml:space="preserve">: </w:t>
      </w:r>
      <w:r w:rsidR="00D37176" w:rsidRPr="00A472FC">
        <w:rPr>
          <w:rFonts w:ascii="Times New Roman" w:hAnsi="Times New Roman" w:cs="Times New Roman"/>
          <w:lang w:val="en-US"/>
        </w:rPr>
        <w:t xml:space="preserve">the </w:t>
      </w:r>
      <w:r w:rsidR="00CD1BB4" w:rsidRPr="00A472FC">
        <w:rPr>
          <w:rFonts w:ascii="Times New Roman" w:hAnsi="Times New Roman" w:cs="Times New Roman"/>
          <w:lang w:val="en-US"/>
        </w:rPr>
        <w:t>Platonic;</w:t>
      </w:r>
      <w:r w:rsidR="00CD1BB4" w:rsidRPr="00A472FC">
        <w:rPr>
          <w:rStyle w:val="FootnoteReference"/>
          <w:rFonts w:ascii="Times New Roman" w:hAnsi="Times New Roman" w:cs="Times New Roman"/>
          <w:lang w:val="en-US"/>
        </w:rPr>
        <w:footnoteReference w:id="49"/>
      </w:r>
      <w:r w:rsidR="00CD1BB4" w:rsidRPr="00A472FC">
        <w:rPr>
          <w:rFonts w:ascii="Times New Roman" w:hAnsi="Times New Roman" w:cs="Times New Roman"/>
          <w:lang w:val="en-US"/>
        </w:rPr>
        <w:t xml:space="preserve"> </w:t>
      </w:r>
      <w:r w:rsidR="00D37176" w:rsidRPr="00A472FC">
        <w:rPr>
          <w:rFonts w:ascii="Times New Roman" w:hAnsi="Times New Roman" w:cs="Times New Roman"/>
          <w:lang w:val="en-US"/>
        </w:rPr>
        <w:t xml:space="preserve">the </w:t>
      </w:r>
      <w:proofErr w:type="spellStart"/>
      <w:r w:rsidR="00CD1BB4" w:rsidRPr="00A472FC">
        <w:rPr>
          <w:rFonts w:ascii="Times New Roman" w:hAnsi="Times New Roman" w:cs="Times New Roman"/>
          <w:lang w:val="en-US"/>
        </w:rPr>
        <w:t>Boethian</w:t>
      </w:r>
      <w:proofErr w:type="spellEnd"/>
      <w:r w:rsidR="00CD1BB4" w:rsidRPr="00A472FC">
        <w:rPr>
          <w:rFonts w:ascii="Times New Roman" w:hAnsi="Times New Roman" w:cs="Times New Roman"/>
          <w:lang w:val="en-US"/>
        </w:rPr>
        <w:t>, albeit with the addition of a fifth faculty of intellect;</w:t>
      </w:r>
      <w:r w:rsidR="00CD1BB4" w:rsidRPr="00A472FC">
        <w:rPr>
          <w:rStyle w:val="FootnoteReference"/>
          <w:rFonts w:ascii="Times New Roman" w:hAnsi="Times New Roman" w:cs="Times New Roman"/>
          <w:lang w:val="en-US"/>
        </w:rPr>
        <w:footnoteReference w:id="50"/>
      </w:r>
      <w:r w:rsidR="00CD1BB4" w:rsidRPr="00A472FC">
        <w:rPr>
          <w:rFonts w:ascii="Times New Roman" w:hAnsi="Times New Roman" w:cs="Times New Roman"/>
          <w:lang w:val="en-US"/>
        </w:rPr>
        <w:t xml:space="preserve"> and the theory of a two-fold corporal spirit that mediates between body and soul.</w:t>
      </w:r>
      <w:r w:rsidR="00CD1BB4" w:rsidRPr="00A472FC">
        <w:rPr>
          <w:rStyle w:val="FootnoteReference"/>
          <w:rFonts w:ascii="Times New Roman" w:hAnsi="Times New Roman" w:cs="Times New Roman"/>
          <w:lang w:val="en-US"/>
        </w:rPr>
        <w:footnoteReference w:id="51"/>
      </w:r>
      <w:r w:rsidR="00CD1BB4" w:rsidRPr="00A472FC">
        <w:rPr>
          <w:rFonts w:ascii="Times New Roman" w:hAnsi="Times New Roman" w:cs="Times New Roman"/>
          <w:lang w:val="en-US"/>
        </w:rPr>
        <w:t xml:space="preserve"> </w:t>
      </w:r>
    </w:p>
    <w:p w14:paraId="39967C8B" w14:textId="270D2D7D" w:rsidR="00D92410" w:rsidRPr="00A472FC" w:rsidRDefault="00494BEF" w:rsidP="00D92410">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Beyond </w:t>
      </w:r>
      <w:r w:rsidR="00CD1BB4" w:rsidRPr="00A472FC">
        <w:rPr>
          <w:rFonts w:ascii="Times New Roman" w:hAnsi="Times New Roman" w:cs="Times New Roman"/>
          <w:lang w:val="en-US"/>
        </w:rPr>
        <w:t xml:space="preserve">these standard </w:t>
      </w:r>
      <w:r w:rsidR="00E1799C" w:rsidRPr="00A472FC">
        <w:rPr>
          <w:rFonts w:ascii="Times New Roman" w:hAnsi="Times New Roman" w:cs="Times New Roman"/>
          <w:lang w:val="en-US"/>
        </w:rPr>
        <w:t>categories</w:t>
      </w:r>
      <w:r w:rsidR="00CD1BB4" w:rsidRPr="00A472FC">
        <w:rPr>
          <w:rFonts w:ascii="Times New Roman" w:hAnsi="Times New Roman" w:cs="Times New Roman"/>
          <w:lang w:val="en-US"/>
        </w:rPr>
        <w:t xml:space="preserve">, Isaac introduces a </w:t>
      </w:r>
      <w:r w:rsidR="0082675A" w:rsidRPr="00A472FC">
        <w:rPr>
          <w:rFonts w:ascii="Times New Roman" w:hAnsi="Times New Roman" w:cs="Times New Roman"/>
          <w:lang w:val="en-US"/>
        </w:rPr>
        <w:t>rather</w:t>
      </w:r>
      <w:r w:rsidR="00CD1BB4" w:rsidRPr="00A472FC">
        <w:rPr>
          <w:rFonts w:ascii="Times New Roman" w:hAnsi="Times New Roman" w:cs="Times New Roman"/>
          <w:lang w:val="en-US"/>
        </w:rPr>
        <w:t xml:space="preserve"> rudimentary account of the levels of abstraction, which first involves sensation—or grasping a form in matter when it is present to the senses; imagination—or grasping a form in matter even when it is absent from the senses; and intellection—or grasping a form abstracted from matter.</w:t>
      </w:r>
      <w:r w:rsidR="00CD1BB4" w:rsidRPr="00A472FC">
        <w:rPr>
          <w:rStyle w:val="FootnoteReference"/>
          <w:rFonts w:ascii="Times New Roman" w:hAnsi="Times New Roman" w:cs="Times New Roman"/>
          <w:lang w:val="en-US"/>
        </w:rPr>
        <w:footnoteReference w:id="52"/>
      </w:r>
      <w:r w:rsidR="00CD1BB4" w:rsidRPr="00A472FC">
        <w:rPr>
          <w:rFonts w:ascii="Times New Roman" w:hAnsi="Times New Roman" w:cs="Times New Roman"/>
          <w:lang w:val="en-US"/>
        </w:rPr>
        <w:t xml:space="preserve"> This scheme is </w:t>
      </w:r>
      <w:r w:rsidR="00E627D0" w:rsidRPr="00A472FC">
        <w:rPr>
          <w:rFonts w:ascii="Times New Roman" w:hAnsi="Times New Roman" w:cs="Times New Roman"/>
          <w:lang w:val="en-US"/>
        </w:rPr>
        <w:t xml:space="preserve">also </w:t>
      </w:r>
      <w:r w:rsidR="00CD1BB4" w:rsidRPr="00A472FC">
        <w:rPr>
          <w:rFonts w:ascii="Times New Roman" w:hAnsi="Times New Roman" w:cs="Times New Roman"/>
          <w:lang w:val="en-US"/>
        </w:rPr>
        <w:t xml:space="preserve">adopted in the </w:t>
      </w:r>
      <w:r w:rsidR="00CD1BB4" w:rsidRPr="00A472FC">
        <w:rPr>
          <w:rFonts w:ascii="Times New Roman" w:hAnsi="Times New Roman" w:cs="Times New Roman"/>
          <w:i/>
          <w:lang w:val="en-US"/>
        </w:rPr>
        <w:t xml:space="preserve">De </w:t>
      </w:r>
      <w:proofErr w:type="spellStart"/>
      <w:r w:rsidR="00CD1BB4" w:rsidRPr="00A472FC">
        <w:rPr>
          <w:rFonts w:ascii="Times New Roman" w:hAnsi="Times New Roman" w:cs="Times New Roman"/>
          <w:i/>
          <w:lang w:val="en-US"/>
        </w:rPr>
        <w:t>spiritu</w:t>
      </w:r>
      <w:proofErr w:type="spellEnd"/>
      <w:r w:rsidR="00CD1BB4" w:rsidRPr="00A472FC">
        <w:rPr>
          <w:rFonts w:ascii="Times New Roman" w:hAnsi="Times New Roman" w:cs="Times New Roman"/>
          <w:i/>
          <w:lang w:val="en-US"/>
        </w:rPr>
        <w:t xml:space="preserve"> et anima</w:t>
      </w:r>
      <w:r w:rsidR="00CD1BB4" w:rsidRPr="00A472FC">
        <w:rPr>
          <w:rFonts w:ascii="Times New Roman" w:hAnsi="Times New Roman" w:cs="Times New Roman"/>
          <w:lang w:val="en-US"/>
        </w:rPr>
        <w:t>.</w:t>
      </w:r>
      <w:r w:rsidR="00CD1BB4" w:rsidRPr="00A472FC">
        <w:rPr>
          <w:rStyle w:val="FootnoteReference"/>
          <w:rFonts w:ascii="Times New Roman" w:hAnsi="Times New Roman" w:cs="Times New Roman"/>
          <w:lang w:val="en-US"/>
        </w:rPr>
        <w:footnoteReference w:id="53"/>
      </w:r>
      <w:r w:rsidR="005C5420" w:rsidRPr="00A472FC">
        <w:rPr>
          <w:rFonts w:ascii="Times New Roman" w:hAnsi="Times New Roman" w:cs="Times New Roman"/>
          <w:lang w:val="en-US"/>
        </w:rPr>
        <w:t xml:space="preserve"> </w:t>
      </w:r>
      <w:r w:rsidR="009623BA" w:rsidRPr="00A472FC">
        <w:rPr>
          <w:rFonts w:ascii="Times New Roman" w:hAnsi="Times New Roman" w:cs="Times New Roman"/>
          <w:lang w:val="en-US"/>
        </w:rPr>
        <w:t>Although</w:t>
      </w:r>
      <w:r w:rsidR="00920783" w:rsidRPr="00A472FC">
        <w:rPr>
          <w:rFonts w:ascii="Times New Roman" w:hAnsi="Times New Roman" w:cs="Times New Roman"/>
          <w:lang w:val="en-US"/>
        </w:rPr>
        <w:t xml:space="preserve"> </w:t>
      </w:r>
      <w:r w:rsidR="0048535A" w:rsidRPr="00A472FC">
        <w:rPr>
          <w:rFonts w:ascii="Times New Roman" w:hAnsi="Times New Roman" w:cs="Times New Roman"/>
          <w:lang w:val="en-US"/>
        </w:rPr>
        <w:t xml:space="preserve">authorship of </w:t>
      </w:r>
      <w:r w:rsidR="0050003D" w:rsidRPr="00A472FC">
        <w:rPr>
          <w:rFonts w:ascii="Times New Roman" w:hAnsi="Times New Roman" w:cs="Times New Roman"/>
          <w:lang w:val="en-US"/>
        </w:rPr>
        <w:t>the latter</w:t>
      </w:r>
      <w:r w:rsidR="0048535A" w:rsidRPr="00A472FC">
        <w:rPr>
          <w:rFonts w:ascii="Times New Roman" w:hAnsi="Times New Roman" w:cs="Times New Roman"/>
          <w:lang w:val="en-US"/>
        </w:rPr>
        <w:t xml:space="preserve"> work has long been attributed to </w:t>
      </w:r>
      <w:proofErr w:type="spellStart"/>
      <w:r w:rsidR="0048535A" w:rsidRPr="00A472FC">
        <w:rPr>
          <w:rFonts w:ascii="Times New Roman" w:hAnsi="Times New Roman" w:cs="Times New Roman"/>
          <w:lang w:val="en-US"/>
        </w:rPr>
        <w:t>Alcher</w:t>
      </w:r>
      <w:proofErr w:type="spellEnd"/>
      <w:r w:rsidR="0048535A" w:rsidRPr="00A472FC">
        <w:rPr>
          <w:rFonts w:ascii="Times New Roman" w:hAnsi="Times New Roman" w:cs="Times New Roman"/>
          <w:lang w:val="en-US"/>
        </w:rPr>
        <w:t xml:space="preserve"> of </w:t>
      </w:r>
      <w:proofErr w:type="spellStart"/>
      <w:r w:rsidR="0048535A" w:rsidRPr="00A472FC">
        <w:rPr>
          <w:rFonts w:ascii="Times New Roman" w:hAnsi="Times New Roman" w:cs="Times New Roman"/>
          <w:lang w:val="en-US"/>
        </w:rPr>
        <w:t>Clairvaux</w:t>
      </w:r>
      <w:proofErr w:type="spellEnd"/>
      <w:r w:rsidR="009623BA" w:rsidRPr="00A472FC">
        <w:rPr>
          <w:rFonts w:ascii="Times New Roman" w:hAnsi="Times New Roman" w:cs="Times New Roman"/>
          <w:lang w:val="en-US"/>
        </w:rPr>
        <w:t xml:space="preserve">, </w:t>
      </w:r>
      <w:proofErr w:type="spellStart"/>
      <w:r w:rsidR="0048535A" w:rsidRPr="00A472FC">
        <w:rPr>
          <w:rFonts w:ascii="Times New Roman" w:hAnsi="Times New Roman" w:cs="Times New Roman"/>
          <w:lang w:val="en-US"/>
        </w:rPr>
        <w:t>McGinn</w:t>
      </w:r>
      <w:proofErr w:type="spellEnd"/>
      <w:r w:rsidR="0048535A" w:rsidRPr="00A472FC">
        <w:rPr>
          <w:rFonts w:ascii="Times New Roman" w:hAnsi="Times New Roman" w:cs="Times New Roman"/>
          <w:lang w:val="en-US"/>
        </w:rPr>
        <w:t xml:space="preserve"> </w:t>
      </w:r>
      <w:r w:rsidR="00822E2A" w:rsidRPr="00A472FC">
        <w:rPr>
          <w:rFonts w:ascii="Times New Roman" w:hAnsi="Times New Roman" w:cs="Times New Roman"/>
          <w:lang w:val="en-US"/>
        </w:rPr>
        <w:t>observes that</w:t>
      </w:r>
      <w:r w:rsidR="0048535A" w:rsidRPr="00A472FC">
        <w:rPr>
          <w:rFonts w:ascii="Times New Roman" w:hAnsi="Times New Roman" w:cs="Times New Roman"/>
          <w:lang w:val="en-US"/>
        </w:rPr>
        <w:t xml:space="preserve"> </w:t>
      </w:r>
      <w:r w:rsidR="00BA378A" w:rsidRPr="00A472FC">
        <w:rPr>
          <w:rFonts w:ascii="Times New Roman" w:hAnsi="Times New Roman" w:cs="Times New Roman"/>
          <w:lang w:val="en-US"/>
        </w:rPr>
        <w:t xml:space="preserve">it </w:t>
      </w:r>
      <w:r w:rsidR="0048535A" w:rsidRPr="00A472FC">
        <w:rPr>
          <w:rFonts w:ascii="Times New Roman" w:hAnsi="Times New Roman" w:cs="Times New Roman"/>
          <w:lang w:val="en-US"/>
        </w:rPr>
        <w:t xml:space="preserve">was not associated with </w:t>
      </w:r>
      <w:proofErr w:type="spellStart"/>
      <w:r w:rsidR="0048535A" w:rsidRPr="00A472FC">
        <w:rPr>
          <w:rFonts w:ascii="Times New Roman" w:hAnsi="Times New Roman" w:cs="Times New Roman"/>
          <w:lang w:val="en-US"/>
        </w:rPr>
        <w:t>Alcher’s</w:t>
      </w:r>
      <w:proofErr w:type="spellEnd"/>
      <w:r w:rsidR="0048535A" w:rsidRPr="00A472FC">
        <w:rPr>
          <w:rFonts w:ascii="Times New Roman" w:hAnsi="Times New Roman" w:cs="Times New Roman"/>
          <w:lang w:val="en-US"/>
        </w:rPr>
        <w:t xml:space="preserve"> name in the twelfth century.</w:t>
      </w:r>
      <w:r w:rsidR="0048535A" w:rsidRPr="00A472FC">
        <w:rPr>
          <w:rStyle w:val="FootnoteReference"/>
          <w:rFonts w:ascii="Times New Roman" w:hAnsi="Times New Roman" w:cs="Times New Roman"/>
          <w:lang w:val="en-US"/>
        </w:rPr>
        <w:footnoteReference w:id="54"/>
      </w:r>
      <w:r w:rsidR="00BA378A" w:rsidRPr="00A472FC">
        <w:rPr>
          <w:rFonts w:ascii="Times New Roman" w:hAnsi="Times New Roman" w:cs="Times New Roman"/>
          <w:lang w:val="en-US"/>
        </w:rPr>
        <w:t xml:space="preserve"> On the grounds that it contains a rather heterogeneous compilation of psychological classifications, </w:t>
      </w:r>
      <w:r w:rsidR="005C5420" w:rsidRPr="00A472FC">
        <w:rPr>
          <w:rFonts w:ascii="Times New Roman" w:hAnsi="Times New Roman" w:cs="Times New Roman"/>
          <w:lang w:val="en-US"/>
        </w:rPr>
        <w:t>he</w:t>
      </w:r>
      <w:r w:rsidR="00BA378A" w:rsidRPr="00A472FC">
        <w:rPr>
          <w:rFonts w:ascii="Times New Roman" w:hAnsi="Times New Roman" w:cs="Times New Roman"/>
          <w:lang w:val="en-US"/>
        </w:rPr>
        <w:t xml:space="preserve"> concludes that it may even have been written by multiple authors.</w:t>
      </w:r>
      <w:r w:rsidR="00BA378A" w:rsidRPr="00A472FC">
        <w:rPr>
          <w:rStyle w:val="FootnoteReference"/>
          <w:rFonts w:ascii="Times New Roman" w:hAnsi="Times New Roman" w:cs="Times New Roman"/>
          <w:lang w:val="en-US"/>
        </w:rPr>
        <w:footnoteReference w:id="55"/>
      </w:r>
      <w:r w:rsidR="00BA378A" w:rsidRPr="00A472FC">
        <w:rPr>
          <w:rFonts w:ascii="Times New Roman" w:hAnsi="Times New Roman" w:cs="Times New Roman"/>
          <w:lang w:val="en-US"/>
        </w:rPr>
        <w:t xml:space="preserve"> </w:t>
      </w:r>
      <w:r w:rsidR="006D057A" w:rsidRPr="00A472FC">
        <w:rPr>
          <w:rFonts w:ascii="Times New Roman" w:hAnsi="Times New Roman" w:cs="Times New Roman"/>
          <w:lang w:val="en-US"/>
        </w:rPr>
        <w:t xml:space="preserve">In his view, </w:t>
      </w:r>
      <w:r w:rsidR="00E73035" w:rsidRPr="00A472FC">
        <w:rPr>
          <w:rFonts w:ascii="Times New Roman" w:hAnsi="Times New Roman" w:cs="Times New Roman"/>
          <w:lang w:val="en-US"/>
        </w:rPr>
        <w:t>the only fact that can</w:t>
      </w:r>
      <w:r w:rsidR="006D057A" w:rsidRPr="00A472FC">
        <w:rPr>
          <w:rFonts w:ascii="Times New Roman" w:hAnsi="Times New Roman" w:cs="Times New Roman"/>
          <w:lang w:val="en-US"/>
        </w:rPr>
        <w:t xml:space="preserve"> </w:t>
      </w:r>
      <w:r w:rsidR="009623BA" w:rsidRPr="00A472FC">
        <w:rPr>
          <w:rFonts w:ascii="Times New Roman" w:hAnsi="Times New Roman" w:cs="Times New Roman"/>
          <w:lang w:val="en-US"/>
        </w:rPr>
        <w:t xml:space="preserve">be asserted </w:t>
      </w:r>
      <w:r w:rsidR="006D057A" w:rsidRPr="00A472FC">
        <w:rPr>
          <w:rFonts w:ascii="Times New Roman" w:hAnsi="Times New Roman" w:cs="Times New Roman"/>
          <w:lang w:val="en-US"/>
        </w:rPr>
        <w:t xml:space="preserve">with reasonable certainty </w:t>
      </w:r>
      <w:r w:rsidR="00E73035" w:rsidRPr="00A472FC">
        <w:rPr>
          <w:rFonts w:ascii="Times New Roman" w:hAnsi="Times New Roman" w:cs="Times New Roman"/>
          <w:lang w:val="en-US"/>
        </w:rPr>
        <w:t xml:space="preserve">is </w:t>
      </w:r>
      <w:r w:rsidR="006D057A" w:rsidRPr="00A472FC">
        <w:rPr>
          <w:rFonts w:ascii="Times New Roman" w:hAnsi="Times New Roman" w:cs="Times New Roman"/>
          <w:lang w:val="en-US"/>
        </w:rPr>
        <w:t>that the author(s) worked in Cistercian circles after 1170.</w:t>
      </w:r>
      <w:r w:rsidR="006D057A" w:rsidRPr="00A472FC">
        <w:rPr>
          <w:rStyle w:val="FootnoteReference"/>
          <w:rFonts w:ascii="Times New Roman" w:hAnsi="Times New Roman" w:cs="Times New Roman"/>
          <w:lang w:val="en-US"/>
        </w:rPr>
        <w:footnoteReference w:id="56"/>
      </w:r>
      <w:r w:rsidR="00B70D90" w:rsidRPr="00A472FC">
        <w:rPr>
          <w:rFonts w:ascii="Times New Roman" w:hAnsi="Times New Roman" w:cs="Times New Roman"/>
          <w:lang w:val="en-US"/>
        </w:rPr>
        <w:t xml:space="preserve"> </w:t>
      </w:r>
    </w:p>
    <w:p w14:paraId="6DADF087" w14:textId="28F07495" w:rsidR="00D23584" w:rsidRPr="00A472FC" w:rsidRDefault="00B70D90" w:rsidP="00354D9E">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By contrast, Mews </w:t>
      </w:r>
      <w:r w:rsidR="007062D8" w:rsidRPr="00A472FC">
        <w:rPr>
          <w:rFonts w:ascii="Times New Roman" w:hAnsi="Times New Roman" w:cs="Times New Roman"/>
          <w:lang w:val="en-US"/>
        </w:rPr>
        <w:t xml:space="preserve">continues to see the </w:t>
      </w:r>
      <w:r w:rsidR="00BA378A" w:rsidRPr="00A472FC">
        <w:rPr>
          <w:rFonts w:ascii="Times New Roman" w:hAnsi="Times New Roman" w:cs="Times New Roman"/>
          <w:lang w:val="en-US"/>
        </w:rPr>
        <w:t>DSEA</w:t>
      </w:r>
      <w:r w:rsidR="007062D8" w:rsidRPr="00A472FC">
        <w:rPr>
          <w:rFonts w:ascii="Times New Roman" w:hAnsi="Times New Roman" w:cs="Times New Roman"/>
          <w:lang w:val="en-US"/>
        </w:rPr>
        <w:t xml:space="preserve"> as a </w:t>
      </w:r>
      <w:r w:rsidR="00FE0F78" w:rsidRPr="00A472FC">
        <w:rPr>
          <w:rFonts w:ascii="Times New Roman" w:hAnsi="Times New Roman" w:cs="Times New Roman"/>
          <w:lang w:val="en-US"/>
        </w:rPr>
        <w:t xml:space="preserve">coherent </w:t>
      </w:r>
      <w:r w:rsidR="007062D8" w:rsidRPr="00A472FC">
        <w:rPr>
          <w:rFonts w:ascii="Times New Roman" w:hAnsi="Times New Roman" w:cs="Times New Roman"/>
          <w:lang w:val="en-US"/>
        </w:rPr>
        <w:t xml:space="preserve">synthesis of </w:t>
      </w:r>
      <w:proofErr w:type="spellStart"/>
      <w:r w:rsidR="007062D8" w:rsidRPr="00A472FC">
        <w:rPr>
          <w:rFonts w:ascii="Times New Roman" w:hAnsi="Times New Roman" w:cs="Times New Roman"/>
          <w:lang w:val="en-US"/>
        </w:rPr>
        <w:t>Alcher’s</w:t>
      </w:r>
      <w:proofErr w:type="spellEnd"/>
      <w:r w:rsidR="007062D8" w:rsidRPr="00A472FC">
        <w:rPr>
          <w:rFonts w:ascii="Times New Roman" w:hAnsi="Times New Roman" w:cs="Times New Roman"/>
          <w:lang w:val="en-US"/>
        </w:rPr>
        <w:t xml:space="preserve"> ideas, </w:t>
      </w:r>
      <w:r w:rsidR="00B47391" w:rsidRPr="00A472FC">
        <w:rPr>
          <w:rFonts w:ascii="Times New Roman" w:hAnsi="Times New Roman" w:cs="Times New Roman"/>
          <w:lang w:val="en-US"/>
        </w:rPr>
        <w:t xml:space="preserve">which was nonetheless </w:t>
      </w:r>
      <w:r w:rsidR="00AB5E1C" w:rsidRPr="00A472FC">
        <w:rPr>
          <w:rFonts w:ascii="Times New Roman" w:hAnsi="Times New Roman" w:cs="Times New Roman"/>
          <w:lang w:val="en-US"/>
        </w:rPr>
        <w:t xml:space="preserve">attributed in the twelfth century to Hugh of St Victor, Bernard of </w:t>
      </w:r>
      <w:proofErr w:type="spellStart"/>
      <w:r w:rsidR="00AB5E1C" w:rsidRPr="00A472FC">
        <w:rPr>
          <w:rFonts w:ascii="Times New Roman" w:hAnsi="Times New Roman" w:cs="Times New Roman"/>
          <w:lang w:val="en-US"/>
        </w:rPr>
        <w:t>Clairvaux</w:t>
      </w:r>
      <w:proofErr w:type="spellEnd"/>
      <w:r w:rsidR="00AB5E1C" w:rsidRPr="00A472FC">
        <w:rPr>
          <w:rFonts w:ascii="Times New Roman" w:hAnsi="Times New Roman" w:cs="Times New Roman"/>
          <w:lang w:val="en-US"/>
        </w:rPr>
        <w:t>, and above all, Augustine.</w:t>
      </w:r>
      <w:r w:rsidR="00AB5E1C" w:rsidRPr="00A472FC">
        <w:rPr>
          <w:rStyle w:val="FootnoteReference"/>
          <w:rFonts w:ascii="Times New Roman" w:hAnsi="Times New Roman" w:cs="Times New Roman"/>
          <w:lang w:val="en-US"/>
        </w:rPr>
        <w:footnoteReference w:id="57"/>
      </w:r>
      <w:r w:rsidR="00AB5E1C" w:rsidRPr="00A472FC">
        <w:rPr>
          <w:rFonts w:ascii="Times New Roman" w:hAnsi="Times New Roman" w:cs="Times New Roman"/>
          <w:lang w:val="en-US"/>
        </w:rPr>
        <w:t xml:space="preserve"> In the </w:t>
      </w:r>
      <w:r w:rsidR="000939F5" w:rsidRPr="00A472FC">
        <w:rPr>
          <w:rFonts w:ascii="Times New Roman" w:hAnsi="Times New Roman" w:cs="Times New Roman"/>
          <w:lang w:val="en-US"/>
        </w:rPr>
        <w:t xml:space="preserve">early </w:t>
      </w:r>
      <w:r w:rsidR="00AB5E1C" w:rsidRPr="00A472FC">
        <w:rPr>
          <w:rFonts w:ascii="Times New Roman" w:hAnsi="Times New Roman" w:cs="Times New Roman"/>
          <w:lang w:val="en-US"/>
        </w:rPr>
        <w:t xml:space="preserve">thirteenth century, </w:t>
      </w:r>
      <w:r w:rsidR="00044A85" w:rsidRPr="00A472FC">
        <w:rPr>
          <w:rFonts w:ascii="Times New Roman" w:hAnsi="Times New Roman" w:cs="Times New Roman"/>
          <w:lang w:val="en-US"/>
        </w:rPr>
        <w:t>t</w:t>
      </w:r>
      <w:r w:rsidR="00CD1BB4" w:rsidRPr="00A472FC">
        <w:rPr>
          <w:rFonts w:ascii="Times New Roman" w:hAnsi="Times New Roman" w:cs="Times New Roman"/>
          <w:lang w:val="en-US"/>
        </w:rPr>
        <w:t xml:space="preserve">he attribution </w:t>
      </w:r>
      <w:r w:rsidR="00164B7A" w:rsidRPr="00A472FC">
        <w:rPr>
          <w:rFonts w:ascii="Times New Roman" w:hAnsi="Times New Roman" w:cs="Times New Roman"/>
          <w:lang w:val="en-US"/>
        </w:rPr>
        <w:t xml:space="preserve">to Augustine </w:t>
      </w:r>
      <w:r w:rsidR="00CD1BB4" w:rsidRPr="00A472FC">
        <w:rPr>
          <w:rFonts w:ascii="Times New Roman" w:hAnsi="Times New Roman" w:cs="Times New Roman"/>
          <w:lang w:val="en-US"/>
        </w:rPr>
        <w:t>was</w:t>
      </w:r>
      <w:r w:rsidR="00164B7A" w:rsidRPr="00A472FC">
        <w:rPr>
          <w:rFonts w:ascii="Times New Roman" w:hAnsi="Times New Roman" w:cs="Times New Roman"/>
          <w:lang w:val="en-US"/>
        </w:rPr>
        <w:t xml:space="preserve"> </w:t>
      </w:r>
      <w:r w:rsidR="00CD1BB4" w:rsidRPr="00A472FC">
        <w:rPr>
          <w:rFonts w:ascii="Times New Roman" w:hAnsi="Times New Roman" w:cs="Times New Roman"/>
          <w:lang w:val="en-US"/>
        </w:rPr>
        <w:t>particularly prevalent amongst early Franciscans like John of La Rochelle</w:t>
      </w:r>
      <w:r w:rsidR="005310F8" w:rsidRPr="00A472FC">
        <w:rPr>
          <w:rFonts w:ascii="Times New Roman" w:hAnsi="Times New Roman" w:cs="Times New Roman"/>
          <w:lang w:val="en-US"/>
        </w:rPr>
        <w:t>, in spite of evidence to the contrary</w:t>
      </w:r>
      <w:r w:rsidR="00CD1BB4" w:rsidRPr="00A472FC">
        <w:rPr>
          <w:rFonts w:ascii="Times New Roman" w:hAnsi="Times New Roman" w:cs="Times New Roman"/>
          <w:lang w:val="en-US"/>
        </w:rPr>
        <w:t xml:space="preserve">. </w:t>
      </w:r>
      <w:r w:rsidR="005310F8" w:rsidRPr="00A472FC">
        <w:rPr>
          <w:rFonts w:ascii="Times New Roman" w:hAnsi="Times New Roman" w:cs="Times New Roman"/>
        </w:rPr>
        <w:t xml:space="preserve">For instance, Philip the Chancellor, </w:t>
      </w:r>
      <w:r w:rsidR="00CD1BB4" w:rsidRPr="00A472FC">
        <w:rPr>
          <w:rFonts w:ascii="Times New Roman" w:hAnsi="Times New Roman" w:cs="Times New Roman"/>
        </w:rPr>
        <w:t xml:space="preserve">who </w:t>
      </w:r>
      <w:r w:rsidR="001D6ED9" w:rsidRPr="00A472FC">
        <w:rPr>
          <w:rFonts w:ascii="Times New Roman" w:hAnsi="Times New Roman" w:cs="Times New Roman"/>
        </w:rPr>
        <w:t>was</w:t>
      </w:r>
      <w:r w:rsidR="00CD1BB4" w:rsidRPr="00A472FC">
        <w:rPr>
          <w:rFonts w:ascii="Times New Roman" w:hAnsi="Times New Roman" w:cs="Times New Roman"/>
        </w:rPr>
        <w:t xml:space="preserve"> responsible for </w:t>
      </w:r>
      <w:r w:rsidR="00CD1BB4" w:rsidRPr="00A472FC">
        <w:rPr>
          <w:rFonts w:ascii="Times New Roman" w:hAnsi="Times New Roman" w:cs="Times New Roman"/>
        </w:rPr>
        <w:lastRenderedPageBreak/>
        <w:t xml:space="preserve">activating interest in the work in the 1220s, </w:t>
      </w:r>
      <w:r w:rsidR="00CD1BB4" w:rsidRPr="00A472FC">
        <w:rPr>
          <w:rFonts w:ascii="Times New Roman" w:hAnsi="Times New Roman" w:cs="Times New Roman"/>
          <w:color w:val="000000"/>
        </w:rPr>
        <w:t xml:space="preserve">attributed </w:t>
      </w:r>
      <w:r w:rsidR="005B18A1" w:rsidRPr="00A472FC">
        <w:rPr>
          <w:rFonts w:ascii="Times New Roman" w:hAnsi="Times New Roman" w:cs="Times New Roman"/>
          <w:color w:val="000000"/>
        </w:rPr>
        <w:t>it to</w:t>
      </w:r>
      <w:r w:rsidR="00CD1BB4" w:rsidRPr="00A472FC">
        <w:rPr>
          <w:rFonts w:ascii="Times New Roman" w:hAnsi="Times New Roman" w:cs="Times New Roman"/>
          <w:color w:val="000000"/>
        </w:rPr>
        <w:t xml:space="preserve"> Isaac of Stella.</w:t>
      </w:r>
      <w:r w:rsidR="00CD1BB4" w:rsidRPr="00A472FC">
        <w:rPr>
          <w:rStyle w:val="FootnoteReference"/>
          <w:rFonts w:ascii="Times New Roman" w:hAnsi="Times New Roman" w:cs="Times New Roman"/>
          <w:color w:val="000000"/>
        </w:rPr>
        <w:footnoteReference w:id="58"/>
      </w:r>
      <w:r w:rsidR="00CD1BB4" w:rsidRPr="00A472FC">
        <w:rPr>
          <w:rFonts w:ascii="Times New Roman" w:hAnsi="Times New Roman" w:cs="Times New Roman"/>
          <w:color w:val="000000"/>
        </w:rPr>
        <w:t xml:space="preserve"> </w:t>
      </w:r>
      <w:r w:rsidR="00013D17" w:rsidRPr="00A472FC">
        <w:rPr>
          <w:rFonts w:ascii="Times New Roman" w:hAnsi="Times New Roman" w:cs="Times New Roman"/>
          <w:color w:val="000000"/>
        </w:rPr>
        <w:t>The</w:t>
      </w:r>
      <w:r w:rsidR="00CD1BB4" w:rsidRPr="00A472FC">
        <w:rPr>
          <w:rFonts w:ascii="Times New Roman" w:hAnsi="Times New Roman" w:cs="Times New Roman"/>
          <w:color w:val="000000"/>
        </w:rPr>
        <w:t xml:space="preserve"> Dominican </w:t>
      </w:r>
      <w:proofErr w:type="spellStart"/>
      <w:r w:rsidR="00CD1BB4" w:rsidRPr="00A472FC">
        <w:rPr>
          <w:rFonts w:ascii="Times New Roman" w:hAnsi="Times New Roman" w:cs="Times New Roman"/>
          <w:color w:val="000000"/>
        </w:rPr>
        <w:t>Guerric</w:t>
      </w:r>
      <w:proofErr w:type="spellEnd"/>
      <w:r w:rsidR="00CD1BB4" w:rsidRPr="00A472FC">
        <w:rPr>
          <w:rFonts w:ascii="Times New Roman" w:hAnsi="Times New Roman" w:cs="Times New Roman"/>
          <w:color w:val="000000"/>
        </w:rPr>
        <w:t xml:space="preserve"> of St Quentin, writing in the late </w:t>
      </w:r>
      <w:r w:rsidR="007B4902" w:rsidRPr="00A472FC">
        <w:rPr>
          <w:rFonts w:ascii="Times New Roman" w:hAnsi="Times New Roman" w:cs="Times New Roman"/>
          <w:color w:val="000000"/>
        </w:rPr>
        <w:t>12</w:t>
      </w:r>
      <w:r w:rsidR="00CD1BB4" w:rsidRPr="00A472FC">
        <w:rPr>
          <w:rFonts w:ascii="Times New Roman" w:hAnsi="Times New Roman" w:cs="Times New Roman"/>
          <w:color w:val="000000"/>
        </w:rPr>
        <w:t xml:space="preserve">30s and early </w:t>
      </w:r>
      <w:r w:rsidR="007B4902" w:rsidRPr="00A472FC">
        <w:rPr>
          <w:rFonts w:ascii="Times New Roman" w:hAnsi="Times New Roman" w:cs="Times New Roman"/>
          <w:color w:val="000000"/>
        </w:rPr>
        <w:t>12</w:t>
      </w:r>
      <w:r w:rsidR="00CD1BB4" w:rsidRPr="00A472FC">
        <w:rPr>
          <w:rFonts w:ascii="Times New Roman" w:hAnsi="Times New Roman" w:cs="Times New Roman"/>
          <w:color w:val="000000"/>
        </w:rPr>
        <w:t>40s, stated explicitly that the work was not by Augustine</w:t>
      </w:r>
      <w:r w:rsidR="003E50FC" w:rsidRPr="00A472FC">
        <w:rPr>
          <w:rFonts w:ascii="Times New Roman" w:hAnsi="Times New Roman" w:cs="Times New Roman"/>
          <w:color w:val="000000"/>
        </w:rPr>
        <w:t xml:space="preserve">, noting that it does not </w:t>
      </w:r>
      <w:r w:rsidR="00CD1BB4" w:rsidRPr="00A472FC">
        <w:rPr>
          <w:rFonts w:ascii="Times New Roman" w:hAnsi="Times New Roman" w:cs="Times New Roman"/>
          <w:color w:val="000000"/>
        </w:rPr>
        <w:t>exhibit the Church Father’s style.</w:t>
      </w:r>
      <w:r w:rsidR="00CD1BB4" w:rsidRPr="00A472FC">
        <w:rPr>
          <w:rStyle w:val="FootnoteReference"/>
          <w:rFonts w:ascii="Times New Roman" w:hAnsi="Times New Roman" w:cs="Times New Roman"/>
          <w:color w:val="000000"/>
        </w:rPr>
        <w:footnoteReference w:id="59"/>
      </w:r>
      <w:r w:rsidR="00551249" w:rsidRPr="00A472FC">
        <w:rPr>
          <w:rFonts w:ascii="Times New Roman" w:hAnsi="Times New Roman" w:cs="Times New Roman"/>
          <w:color w:val="000000"/>
        </w:rPr>
        <w:t xml:space="preserve"> </w:t>
      </w:r>
      <w:r w:rsidR="00AC755F" w:rsidRPr="00A472FC">
        <w:rPr>
          <w:rFonts w:ascii="Times New Roman" w:hAnsi="Times New Roman" w:cs="Times New Roman"/>
        </w:rPr>
        <w:t>As</w:t>
      </w:r>
      <w:r w:rsidR="00CD1BB4" w:rsidRPr="00A472FC">
        <w:rPr>
          <w:rFonts w:ascii="Times New Roman" w:hAnsi="Times New Roman" w:cs="Times New Roman"/>
        </w:rPr>
        <w:t xml:space="preserve"> G. </w:t>
      </w:r>
      <w:proofErr w:type="spellStart"/>
      <w:r w:rsidR="00CD1BB4" w:rsidRPr="00A472FC">
        <w:rPr>
          <w:rFonts w:ascii="Times New Roman" w:hAnsi="Times New Roman" w:cs="Times New Roman"/>
        </w:rPr>
        <w:t>Théry</w:t>
      </w:r>
      <w:proofErr w:type="spellEnd"/>
      <w:r w:rsidR="00CD1BB4" w:rsidRPr="00A472FC">
        <w:rPr>
          <w:rFonts w:ascii="Times New Roman" w:hAnsi="Times New Roman" w:cs="Times New Roman"/>
        </w:rPr>
        <w:t xml:space="preserve"> </w:t>
      </w:r>
      <w:r w:rsidR="005310F8" w:rsidRPr="00A472FC">
        <w:rPr>
          <w:rFonts w:ascii="Times New Roman" w:hAnsi="Times New Roman" w:cs="Times New Roman"/>
        </w:rPr>
        <w:t>further demonstrates</w:t>
      </w:r>
      <w:r w:rsidR="00AC755F" w:rsidRPr="00A472FC">
        <w:rPr>
          <w:rFonts w:ascii="Times New Roman" w:hAnsi="Times New Roman" w:cs="Times New Roman"/>
        </w:rPr>
        <w:t>,</w:t>
      </w:r>
      <w:r w:rsidR="00CD1BB4" w:rsidRPr="00A472FC">
        <w:rPr>
          <w:rFonts w:ascii="Times New Roman" w:hAnsi="Times New Roman" w:cs="Times New Roman"/>
        </w:rPr>
        <w:t xml:space="preserve"> Albert the Great had rejected the</w:t>
      </w:r>
      <w:r w:rsidR="007E5243" w:rsidRPr="00A472FC">
        <w:rPr>
          <w:rFonts w:ascii="Times New Roman" w:hAnsi="Times New Roman" w:cs="Times New Roman"/>
        </w:rPr>
        <w:t xml:space="preserve"> Augustinian attribution</w:t>
      </w:r>
      <w:r w:rsidR="00CD1BB4" w:rsidRPr="00A472FC">
        <w:rPr>
          <w:rFonts w:ascii="Times New Roman" w:hAnsi="Times New Roman" w:cs="Times New Roman"/>
        </w:rPr>
        <w:t xml:space="preserve"> before 1246, in his </w:t>
      </w:r>
      <w:r w:rsidR="00CD1BB4" w:rsidRPr="00A472FC">
        <w:rPr>
          <w:rFonts w:ascii="Times New Roman" w:hAnsi="Times New Roman" w:cs="Times New Roman"/>
          <w:i/>
        </w:rPr>
        <w:t>Sentences</w:t>
      </w:r>
      <w:r w:rsidR="00CD1BB4" w:rsidRPr="00A472FC">
        <w:rPr>
          <w:rFonts w:ascii="Times New Roman" w:hAnsi="Times New Roman" w:cs="Times New Roman"/>
        </w:rPr>
        <w:t xml:space="preserve"> Commentary and in other works. He attributed it instead to a Cistercian </w:t>
      </w:r>
      <w:r w:rsidR="00C7794A" w:rsidRPr="00A472FC">
        <w:rPr>
          <w:rFonts w:ascii="Times New Roman" w:hAnsi="Times New Roman" w:cs="Times New Roman"/>
        </w:rPr>
        <w:t xml:space="preserve">that he </w:t>
      </w:r>
      <w:r w:rsidR="00CD1BB4" w:rsidRPr="00A472FC">
        <w:rPr>
          <w:rFonts w:ascii="Times New Roman" w:hAnsi="Times New Roman" w:cs="Times New Roman"/>
        </w:rPr>
        <w:t>called ‘William’</w:t>
      </w:r>
      <w:r w:rsidR="002A5D45" w:rsidRPr="00A472FC">
        <w:rPr>
          <w:rFonts w:ascii="Times New Roman" w:hAnsi="Times New Roman" w:cs="Times New Roman"/>
        </w:rPr>
        <w:t>.</w:t>
      </w:r>
      <w:r w:rsidR="002A5D45" w:rsidRPr="00A472FC">
        <w:rPr>
          <w:rStyle w:val="FootnoteReference"/>
          <w:rFonts w:ascii="Times New Roman" w:hAnsi="Times New Roman" w:cs="Times New Roman"/>
        </w:rPr>
        <w:footnoteReference w:id="60"/>
      </w:r>
      <w:r w:rsidR="00CD1BB4" w:rsidRPr="00A472FC">
        <w:rPr>
          <w:rFonts w:ascii="Times New Roman" w:hAnsi="Times New Roman" w:cs="Times New Roman"/>
        </w:rPr>
        <w:t xml:space="preserve"> </w:t>
      </w:r>
      <w:r w:rsidR="00E05D00" w:rsidRPr="00A472FC">
        <w:rPr>
          <w:rFonts w:ascii="Times New Roman" w:hAnsi="Times New Roman" w:cs="Times New Roman"/>
        </w:rPr>
        <w:t>Albert’s student Thomas Aquinas followed suit and rejected the Augustinian provenance of the text.</w:t>
      </w:r>
      <w:r w:rsidR="0011051C" w:rsidRPr="00A472FC">
        <w:rPr>
          <w:rStyle w:val="FootnoteReference"/>
          <w:rFonts w:ascii="Times New Roman" w:hAnsi="Times New Roman" w:cs="Times New Roman"/>
        </w:rPr>
        <w:footnoteReference w:id="61"/>
      </w:r>
      <w:r w:rsidR="00D23584" w:rsidRPr="00A472FC">
        <w:rPr>
          <w:rFonts w:ascii="Times New Roman" w:hAnsi="Times New Roman" w:cs="Times New Roman"/>
        </w:rPr>
        <w:t xml:space="preserve"> </w:t>
      </w:r>
    </w:p>
    <w:p w14:paraId="4FDF9B66" w14:textId="77777777" w:rsidR="00A474E4" w:rsidRPr="00A472FC" w:rsidRDefault="00CD1BB4" w:rsidP="00FC08D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As </w:t>
      </w:r>
      <w:r w:rsidR="00E450A3" w:rsidRPr="00A472FC">
        <w:rPr>
          <w:rFonts w:ascii="Times New Roman" w:hAnsi="Times New Roman" w:cs="Times New Roman"/>
        </w:rPr>
        <w:t xml:space="preserve">further </w:t>
      </w:r>
      <w:r w:rsidRPr="00A472FC">
        <w:rPr>
          <w:rFonts w:ascii="Times New Roman" w:hAnsi="Times New Roman" w:cs="Times New Roman"/>
        </w:rPr>
        <w:t xml:space="preserve">evidence of </w:t>
      </w:r>
      <w:r w:rsidR="001E470F" w:rsidRPr="00A472FC">
        <w:rPr>
          <w:rFonts w:ascii="Times New Roman" w:hAnsi="Times New Roman" w:cs="Times New Roman"/>
        </w:rPr>
        <w:t>the DSEA’s</w:t>
      </w:r>
      <w:r w:rsidRPr="00A472FC">
        <w:rPr>
          <w:rFonts w:ascii="Times New Roman" w:hAnsi="Times New Roman" w:cs="Times New Roman"/>
        </w:rPr>
        <w:t xml:space="preserve"> non-Augustinian authorship, </w:t>
      </w:r>
      <w:proofErr w:type="spellStart"/>
      <w:r w:rsidRPr="00A472FC">
        <w:rPr>
          <w:rFonts w:ascii="Times New Roman" w:hAnsi="Times New Roman" w:cs="Times New Roman"/>
        </w:rPr>
        <w:t>Théry</w:t>
      </w:r>
      <w:proofErr w:type="spellEnd"/>
      <w:r w:rsidRPr="00A472FC">
        <w:rPr>
          <w:rFonts w:ascii="Times New Roman" w:hAnsi="Times New Roman" w:cs="Times New Roman"/>
        </w:rPr>
        <w:t xml:space="preserve"> observes that the text is not mentioned in Augustine’s famous </w:t>
      </w:r>
      <w:proofErr w:type="spellStart"/>
      <w:r w:rsidRPr="00A472FC">
        <w:rPr>
          <w:rFonts w:ascii="Times New Roman" w:hAnsi="Times New Roman" w:cs="Times New Roman"/>
          <w:i/>
        </w:rPr>
        <w:t>Retractationes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where the </w:t>
      </w:r>
      <w:r w:rsidR="00EB1426" w:rsidRPr="00A472FC">
        <w:rPr>
          <w:rFonts w:ascii="Times New Roman" w:hAnsi="Times New Roman" w:cs="Times New Roman"/>
        </w:rPr>
        <w:t xml:space="preserve">bishop </w:t>
      </w:r>
      <w:r w:rsidRPr="00A472FC">
        <w:rPr>
          <w:rFonts w:ascii="Times New Roman" w:hAnsi="Times New Roman" w:cs="Times New Roman"/>
        </w:rPr>
        <w:t>reflect</w:t>
      </w:r>
      <w:r w:rsidR="00372701" w:rsidRPr="00A472FC">
        <w:rPr>
          <w:rFonts w:ascii="Times New Roman" w:hAnsi="Times New Roman" w:cs="Times New Roman"/>
        </w:rPr>
        <w:t>ed</w:t>
      </w:r>
      <w:r w:rsidRPr="00A472FC">
        <w:rPr>
          <w:rFonts w:ascii="Times New Roman" w:hAnsi="Times New Roman" w:cs="Times New Roman"/>
        </w:rPr>
        <w:t xml:space="preserve"> at the end of his life on everything he had written</w:t>
      </w:r>
      <w:r w:rsidRPr="00A472FC">
        <w:rPr>
          <w:rStyle w:val="EndnoteTextChar"/>
          <w:rFonts w:ascii="Times New Roman" w:hAnsi="Times New Roman" w:cs="Times New Roman"/>
          <w:sz w:val="24"/>
          <w:szCs w:val="24"/>
        </w:rPr>
        <w:t>.</w:t>
      </w:r>
      <w:r w:rsidRPr="00A472FC">
        <w:rPr>
          <w:rStyle w:val="FootnoteReference"/>
          <w:rFonts w:ascii="Times New Roman" w:hAnsi="Times New Roman" w:cs="Times New Roman"/>
        </w:rPr>
        <w:footnoteReference w:id="62"/>
      </w:r>
      <w:r w:rsidRPr="00A472FC">
        <w:rPr>
          <w:rFonts w:ascii="Times New Roman" w:hAnsi="Times New Roman" w:cs="Times New Roman"/>
        </w:rPr>
        <w:t xml:space="preserve"> Nor is it included in the </w:t>
      </w:r>
      <w:proofErr w:type="spellStart"/>
      <w:r w:rsidRPr="00A472FC">
        <w:rPr>
          <w:rFonts w:ascii="Times New Roman" w:hAnsi="Times New Roman" w:cs="Times New Roman"/>
          <w:i/>
        </w:rPr>
        <w:t>Indiculum</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of </w:t>
      </w:r>
      <w:proofErr w:type="spellStart"/>
      <w:r w:rsidRPr="00A472FC">
        <w:rPr>
          <w:rFonts w:ascii="Times New Roman" w:hAnsi="Times New Roman" w:cs="Times New Roman"/>
        </w:rPr>
        <w:t>Possidius</w:t>
      </w:r>
      <w:proofErr w:type="spellEnd"/>
      <w:r w:rsidRPr="00A472FC">
        <w:rPr>
          <w:rFonts w:ascii="Times New Roman" w:hAnsi="Times New Roman" w:cs="Times New Roman"/>
        </w:rPr>
        <w:t>, which also lists Augustine’s works. T</w:t>
      </w:r>
      <w:r w:rsidR="00E450A3" w:rsidRPr="00A472FC">
        <w:rPr>
          <w:rFonts w:ascii="Times New Roman" w:hAnsi="Times New Roman" w:cs="Times New Roman"/>
        </w:rPr>
        <w:t>hese resources</w:t>
      </w:r>
      <w:r w:rsidRPr="00A472FC">
        <w:rPr>
          <w:rFonts w:ascii="Times New Roman" w:hAnsi="Times New Roman" w:cs="Times New Roman"/>
        </w:rPr>
        <w:t xml:space="preserve"> would have been available to early Franciscans, </w:t>
      </w:r>
      <w:r w:rsidR="00E450A3" w:rsidRPr="00A472FC">
        <w:rPr>
          <w:rFonts w:ascii="Times New Roman" w:hAnsi="Times New Roman" w:cs="Times New Roman"/>
        </w:rPr>
        <w:t xml:space="preserve">which </w:t>
      </w:r>
      <w:r w:rsidR="00F06D07" w:rsidRPr="00A472FC">
        <w:rPr>
          <w:rFonts w:ascii="Times New Roman" w:hAnsi="Times New Roman" w:cs="Times New Roman"/>
        </w:rPr>
        <w:t>reconfirms, in</w:t>
      </w:r>
      <w:r w:rsidRPr="00A472FC">
        <w:rPr>
          <w:rFonts w:ascii="Times New Roman" w:hAnsi="Times New Roman" w:cs="Times New Roman"/>
        </w:rPr>
        <w:t xml:space="preserve"> </w:t>
      </w:r>
      <w:proofErr w:type="spellStart"/>
      <w:r w:rsidRPr="00A472FC">
        <w:rPr>
          <w:rFonts w:ascii="Times New Roman" w:hAnsi="Times New Roman" w:cs="Times New Roman"/>
        </w:rPr>
        <w:t>Théry</w:t>
      </w:r>
      <w:r w:rsidR="00445C4F" w:rsidRPr="00A472FC">
        <w:rPr>
          <w:rFonts w:ascii="Times New Roman" w:hAnsi="Times New Roman" w:cs="Times New Roman"/>
        </w:rPr>
        <w:t>’s</w:t>
      </w:r>
      <w:proofErr w:type="spellEnd"/>
      <w:r w:rsidR="00445C4F" w:rsidRPr="00A472FC">
        <w:rPr>
          <w:rFonts w:ascii="Times New Roman" w:hAnsi="Times New Roman" w:cs="Times New Roman"/>
        </w:rPr>
        <w:t xml:space="preserve"> view</w:t>
      </w:r>
      <w:r w:rsidRPr="00A472FC">
        <w:rPr>
          <w:rFonts w:ascii="Times New Roman" w:hAnsi="Times New Roman" w:cs="Times New Roman"/>
        </w:rPr>
        <w:t xml:space="preserve">, that they maintained the attribution </w:t>
      </w:r>
      <w:r w:rsidR="00225BDB" w:rsidRPr="00A472FC">
        <w:rPr>
          <w:rFonts w:ascii="Times New Roman" w:hAnsi="Times New Roman" w:cs="Times New Roman"/>
        </w:rPr>
        <w:t>to</w:t>
      </w:r>
      <w:r w:rsidRPr="00A472FC">
        <w:rPr>
          <w:rFonts w:ascii="Times New Roman" w:hAnsi="Times New Roman" w:cs="Times New Roman"/>
        </w:rPr>
        <w:t xml:space="preserve"> Augustine </w:t>
      </w:r>
      <w:r w:rsidR="00F06D07" w:rsidRPr="00A472FC">
        <w:rPr>
          <w:rFonts w:ascii="Times New Roman" w:hAnsi="Times New Roman" w:cs="Times New Roman"/>
        </w:rPr>
        <w:t>notwithstanding reasons to reject it.</w:t>
      </w:r>
      <w:r w:rsidR="00111A55" w:rsidRPr="00A472FC">
        <w:rPr>
          <w:rFonts w:ascii="Times New Roman" w:hAnsi="Times New Roman" w:cs="Times New Roman"/>
        </w:rPr>
        <w:t xml:space="preserve"> </w:t>
      </w:r>
      <w:r w:rsidR="00516B8C" w:rsidRPr="00A472FC">
        <w:rPr>
          <w:rFonts w:ascii="Times New Roman" w:hAnsi="Times New Roman" w:cs="Times New Roman"/>
        </w:rPr>
        <w:t xml:space="preserve">As further chapters of this book will demonstrate, </w:t>
      </w:r>
      <w:r w:rsidR="00FC08D4" w:rsidRPr="00A472FC">
        <w:rPr>
          <w:rFonts w:ascii="Times New Roman" w:hAnsi="Times New Roman" w:cs="Times New Roman"/>
        </w:rPr>
        <w:t xml:space="preserve">a </w:t>
      </w:r>
      <w:r w:rsidRPr="00A472FC">
        <w:rPr>
          <w:rFonts w:ascii="Times New Roman" w:hAnsi="Times New Roman" w:cs="Times New Roman"/>
        </w:rPr>
        <w:t xml:space="preserve">significant reason </w:t>
      </w:r>
      <w:r w:rsidR="00582692" w:rsidRPr="00A472FC">
        <w:rPr>
          <w:rFonts w:ascii="Times New Roman" w:hAnsi="Times New Roman" w:cs="Times New Roman"/>
        </w:rPr>
        <w:t xml:space="preserve">why early Franciscans </w:t>
      </w:r>
      <w:r w:rsidR="00651F4F" w:rsidRPr="00A472FC">
        <w:rPr>
          <w:rFonts w:ascii="Times New Roman" w:hAnsi="Times New Roman" w:cs="Times New Roman"/>
        </w:rPr>
        <w:t>sought to link this</w:t>
      </w:r>
      <w:r w:rsidR="00582692" w:rsidRPr="00A472FC">
        <w:rPr>
          <w:rFonts w:ascii="Times New Roman" w:hAnsi="Times New Roman" w:cs="Times New Roman"/>
        </w:rPr>
        <w:t xml:space="preserve"> work to Augustine</w:t>
      </w:r>
      <w:r w:rsidR="00FC08D4" w:rsidRPr="00A472FC">
        <w:rPr>
          <w:rFonts w:ascii="Times New Roman" w:hAnsi="Times New Roman" w:cs="Times New Roman"/>
        </w:rPr>
        <w:t xml:space="preserve"> </w:t>
      </w:r>
      <w:r w:rsidR="00582692" w:rsidRPr="00A472FC">
        <w:rPr>
          <w:rFonts w:ascii="Times New Roman" w:hAnsi="Times New Roman" w:cs="Times New Roman"/>
        </w:rPr>
        <w:t xml:space="preserve">was that it eased their efforts to </w:t>
      </w:r>
      <w:r w:rsidRPr="00A472FC">
        <w:rPr>
          <w:rFonts w:ascii="Times New Roman" w:hAnsi="Times New Roman" w:cs="Times New Roman"/>
        </w:rPr>
        <w:t xml:space="preserve">appropriate the philosophy of the Islamic scholar Avicenna in a way that </w:t>
      </w:r>
      <w:r w:rsidR="00372701" w:rsidRPr="00A472FC">
        <w:rPr>
          <w:rFonts w:ascii="Times New Roman" w:hAnsi="Times New Roman" w:cs="Times New Roman"/>
        </w:rPr>
        <w:t>seemed</w:t>
      </w:r>
      <w:r w:rsidRPr="00A472FC">
        <w:rPr>
          <w:rFonts w:ascii="Times New Roman" w:hAnsi="Times New Roman" w:cs="Times New Roman"/>
        </w:rPr>
        <w:t xml:space="preserve"> consistent with the longstanding Christian tradition. </w:t>
      </w:r>
    </w:p>
    <w:p w14:paraId="49073580" w14:textId="2C49746F" w:rsidR="00651F4F" w:rsidRPr="00A472FC" w:rsidRDefault="00CD1BB4" w:rsidP="00FC08D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Although Augustine had </w:t>
      </w:r>
      <w:r w:rsidR="00A474E4" w:rsidRPr="00A472FC">
        <w:rPr>
          <w:rFonts w:ascii="Times New Roman" w:hAnsi="Times New Roman" w:cs="Times New Roman"/>
        </w:rPr>
        <w:t xml:space="preserve">certainly </w:t>
      </w:r>
      <w:r w:rsidRPr="00A472FC">
        <w:rPr>
          <w:rFonts w:ascii="Times New Roman" w:hAnsi="Times New Roman" w:cs="Times New Roman"/>
        </w:rPr>
        <w:t xml:space="preserve">developed </w:t>
      </w:r>
      <w:r w:rsidR="001D1806" w:rsidRPr="00A472FC">
        <w:rPr>
          <w:rFonts w:ascii="Times New Roman" w:hAnsi="Times New Roman" w:cs="Times New Roman"/>
        </w:rPr>
        <w:t xml:space="preserve">his own </w:t>
      </w:r>
      <w:r w:rsidRPr="00A472FC">
        <w:rPr>
          <w:rFonts w:ascii="Times New Roman" w:hAnsi="Times New Roman" w:cs="Times New Roman"/>
        </w:rPr>
        <w:t>account of cognition, a key function of human beings made in the image of God, he had not gone as far as Avicenna to provide what might be described as a metaphysics of cognition, or a sophisticated analysis of the kinds of powers the soul has</w:t>
      </w:r>
      <w:r w:rsidR="005A0D99" w:rsidRPr="00A472FC">
        <w:rPr>
          <w:rFonts w:ascii="Times New Roman" w:hAnsi="Times New Roman" w:cs="Times New Roman"/>
        </w:rPr>
        <w:t>, their operations,</w:t>
      </w:r>
      <w:r w:rsidRPr="00A472FC">
        <w:rPr>
          <w:rFonts w:ascii="Times New Roman" w:hAnsi="Times New Roman" w:cs="Times New Roman"/>
        </w:rPr>
        <w:t xml:space="preserve"> and their relationships to one another.</w:t>
      </w:r>
      <w:r w:rsidRPr="00A472FC">
        <w:rPr>
          <w:rStyle w:val="FootnoteReference"/>
          <w:rFonts w:ascii="Times New Roman" w:hAnsi="Times New Roman" w:cs="Times New Roman"/>
        </w:rPr>
        <w:footnoteReference w:id="63"/>
      </w:r>
      <w:r w:rsidRPr="00A472FC">
        <w:rPr>
          <w:rFonts w:ascii="Times New Roman" w:hAnsi="Times New Roman" w:cs="Times New Roman"/>
        </w:rPr>
        <w:t xml:space="preserve"> The early Franciscans were eager to incorporate this metaphysics, presumably out of a desire to give a more robust account of the human status as God’s image</w:t>
      </w:r>
      <w:r w:rsidR="00306364" w:rsidRPr="00A472FC">
        <w:rPr>
          <w:rFonts w:ascii="Times New Roman" w:hAnsi="Times New Roman" w:cs="Times New Roman"/>
        </w:rPr>
        <w:t>. The large array of cognitive schemata contained in th</w:t>
      </w:r>
      <w:r w:rsidR="00651F4F" w:rsidRPr="00A472FC">
        <w:rPr>
          <w:rFonts w:ascii="Times New Roman" w:hAnsi="Times New Roman" w:cs="Times New Roman"/>
        </w:rPr>
        <w:t xml:space="preserve">e </w:t>
      </w:r>
      <w:r w:rsidR="00651F4F" w:rsidRPr="00A472FC">
        <w:rPr>
          <w:rFonts w:ascii="Times New Roman" w:hAnsi="Times New Roman" w:cs="Times New Roman"/>
          <w:i/>
          <w:iCs/>
        </w:rPr>
        <w:t xml:space="preserve">De </w:t>
      </w:r>
      <w:proofErr w:type="spellStart"/>
      <w:r w:rsidR="00651F4F" w:rsidRPr="00A472FC">
        <w:rPr>
          <w:rFonts w:ascii="Times New Roman" w:hAnsi="Times New Roman" w:cs="Times New Roman"/>
          <w:i/>
          <w:iCs/>
        </w:rPr>
        <w:t>spiritu</w:t>
      </w:r>
      <w:proofErr w:type="spellEnd"/>
      <w:r w:rsidR="00651F4F" w:rsidRPr="00A472FC">
        <w:rPr>
          <w:rFonts w:ascii="Times New Roman" w:hAnsi="Times New Roman" w:cs="Times New Roman"/>
          <w:i/>
          <w:iCs/>
        </w:rPr>
        <w:t xml:space="preserve"> et anima</w:t>
      </w:r>
      <w:r w:rsidR="00651F4F" w:rsidRPr="00A472FC">
        <w:rPr>
          <w:rFonts w:ascii="Times New Roman" w:hAnsi="Times New Roman" w:cs="Times New Roman"/>
        </w:rPr>
        <w:t xml:space="preserve"> provided a resource that enabled them to do so</w:t>
      </w:r>
      <w:r w:rsidRPr="00A472FC">
        <w:rPr>
          <w:rFonts w:ascii="Times New Roman" w:hAnsi="Times New Roman" w:cs="Times New Roman"/>
        </w:rPr>
        <w:t>.</w:t>
      </w:r>
      <w:r w:rsidRPr="00A472FC">
        <w:rPr>
          <w:rStyle w:val="FootnoteReference"/>
          <w:rFonts w:ascii="Times New Roman" w:hAnsi="Times New Roman" w:cs="Times New Roman"/>
        </w:rPr>
        <w:footnoteReference w:id="64"/>
      </w:r>
      <w:r w:rsidRPr="00A472FC">
        <w:rPr>
          <w:rFonts w:ascii="Times New Roman" w:hAnsi="Times New Roman" w:cs="Times New Roman"/>
        </w:rPr>
        <w:t xml:space="preserve"> </w:t>
      </w:r>
    </w:p>
    <w:p w14:paraId="228BDD21" w14:textId="5714A473" w:rsidR="00CD1BB4" w:rsidRPr="00A472FC" w:rsidRDefault="00CD1BB4" w:rsidP="00881604">
      <w:pPr>
        <w:ind w:right="-52" w:firstLine="720"/>
        <w:rPr>
          <w:rFonts w:ascii="Times New Roman" w:hAnsi="Times New Roman" w:cs="Times New Roman"/>
          <w:lang w:val="en-US"/>
        </w:rPr>
      </w:pPr>
      <w:r w:rsidRPr="00A472FC">
        <w:rPr>
          <w:rFonts w:ascii="Times New Roman" w:hAnsi="Times New Roman" w:cs="Times New Roman"/>
          <w:lang w:val="en-US"/>
        </w:rPr>
        <w:t xml:space="preserve">For the author of the </w:t>
      </w:r>
      <w:r w:rsidRPr="00A472FC">
        <w:rPr>
          <w:rFonts w:ascii="Times New Roman" w:hAnsi="Times New Roman" w:cs="Times New Roman"/>
          <w:i/>
          <w:lang w:val="en-US"/>
        </w:rPr>
        <w:t xml:space="preserve">De </w:t>
      </w:r>
      <w:proofErr w:type="spellStart"/>
      <w:r w:rsidRPr="00A472FC">
        <w:rPr>
          <w:rFonts w:ascii="Times New Roman" w:hAnsi="Times New Roman" w:cs="Times New Roman"/>
          <w:i/>
          <w:lang w:val="en-US"/>
        </w:rPr>
        <w:t>spiritu</w:t>
      </w:r>
      <w:proofErr w:type="spellEnd"/>
      <w:r w:rsidRPr="00A472FC">
        <w:rPr>
          <w:rFonts w:ascii="Times New Roman" w:hAnsi="Times New Roman" w:cs="Times New Roman"/>
          <w:i/>
          <w:lang w:val="en-US"/>
        </w:rPr>
        <w:t xml:space="preserve"> et anima</w:t>
      </w:r>
      <w:r w:rsidRPr="00A472FC">
        <w:rPr>
          <w:rFonts w:ascii="Times New Roman" w:hAnsi="Times New Roman" w:cs="Times New Roman"/>
          <w:lang w:val="en-US"/>
        </w:rPr>
        <w:t>, the human soul basically comprises two parts: the cognitive and the affective. The rational part entails the five faculties of sense, imagination, reason, intellect</w:t>
      </w:r>
      <w:r w:rsidR="00593BF0" w:rsidRPr="00A472FC">
        <w:rPr>
          <w:rFonts w:ascii="Times New Roman" w:hAnsi="Times New Roman" w:cs="Times New Roman"/>
          <w:lang w:val="en-US"/>
        </w:rPr>
        <w:t>,</w:t>
      </w:r>
      <w:r w:rsidRPr="00A472FC">
        <w:rPr>
          <w:rFonts w:ascii="Times New Roman" w:hAnsi="Times New Roman" w:cs="Times New Roman"/>
          <w:lang w:val="en-US"/>
        </w:rPr>
        <w:t xml:space="preserve"> and intelligence, while the latter includes the irrational and </w:t>
      </w:r>
      <w:proofErr w:type="spellStart"/>
      <w:r w:rsidRPr="00A472FC">
        <w:rPr>
          <w:rFonts w:ascii="Times New Roman" w:hAnsi="Times New Roman" w:cs="Times New Roman"/>
          <w:lang w:val="en-US"/>
        </w:rPr>
        <w:t>concupiscible</w:t>
      </w:r>
      <w:proofErr w:type="spellEnd"/>
      <w:r w:rsidRPr="00A472FC">
        <w:rPr>
          <w:rFonts w:ascii="Times New Roman" w:hAnsi="Times New Roman" w:cs="Times New Roman"/>
          <w:lang w:val="en-US"/>
        </w:rPr>
        <w:t xml:space="preserve"> powers which are the source of all passions or motivated reactions to sense objects.</w:t>
      </w:r>
      <w:r w:rsidRPr="00A472FC">
        <w:rPr>
          <w:rStyle w:val="FootnoteReference"/>
          <w:rFonts w:ascii="Times New Roman" w:hAnsi="Times New Roman" w:cs="Times New Roman"/>
          <w:lang w:val="en-US"/>
        </w:rPr>
        <w:footnoteReference w:id="65"/>
      </w:r>
      <w:r w:rsidRPr="00A472FC">
        <w:rPr>
          <w:rFonts w:ascii="Times New Roman" w:hAnsi="Times New Roman" w:cs="Times New Roman"/>
          <w:lang w:val="en-US"/>
        </w:rPr>
        <w:t xml:space="preserve"> </w:t>
      </w:r>
      <w:r w:rsidR="001E6E79" w:rsidRPr="00A472FC">
        <w:rPr>
          <w:rFonts w:ascii="Times New Roman" w:hAnsi="Times New Roman" w:cs="Times New Roman"/>
          <w:lang w:val="en-US"/>
        </w:rPr>
        <w:t>Thus the DSEA author attempts t</w:t>
      </w:r>
      <w:r w:rsidRPr="00A472FC">
        <w:rPr>
          <w:rFonts w:ascii="Times New Roman" w:hAnsi="Times New Roman" w:cs="Times New Roman"/>
          <w:lang w:val="en-US"/>
        </w:rPr>
        <w:t xml:space="preserve">o integrate a revised version of the </w:t>
      </w:r>
      <w:proofErr w:type="spellStart"/>
      <w:r w:rsidRPr="00A472FC">
        <w:rPr>
          <w:rFonts w:ascii="Times New Roman" w:hAnsi="Times New Roman" w:cs="Times New Roman"/>
          <w:lang w:val="en-US"/>
        </w:rPr>
        <w:t>Boethian</w:t>
      </w:r>
      <w:proofErr w:type="spellEnd"/>
      <w:r w:rsidRPr="00A472FC">
        <w:rPr>
          <w:rFonts w:ascii="Times New Roman" w:hAnsi="Times New Roman" w:cs="Times New Roman"/>
          <w:lang w:val="en-US"/>
        </w:rPr>
        <w:t xml:space="preserve"> five-fold scheme with the Platonic </w:t>
      </w:r>
      <w:proofErr w:type="spellStart"/>
      <w:r w:rsidRPr="00A472FC">
        <w:rPr>
          <w:rFonts w:ascii="Times New Roman" w:hAnsi="Times New Roman" w:cs="Times New Roman"/>
          <w:lang w:val="en-US"/>
        </w:rPr>
        <w:t>tri-partite</w:t>
      </w:r>
      <w:proofErr w:type="spellEnd"/>
      <w:r w:rsidRPr="00A472FC">
        <w:rPr>
          <w:rFonts w:ascii="Times New Roman" w:hAnsi="Times New Roman" w:cs="Times New Roman"/>
          <w:lang w:val="en-US"/>
        </w:rPr>
        <w:t xml:space="preserve"> division of the soul.</w:t>
      </w:r>
      <w:r w:rsidRPr="00A472FC">
        <w:rPr>
          <w:rStyle w:val="FootnoteReference"/>
          <w:rFonts w:ascii="Times New Roman" w:hAnsi="Times New Roman" w:cs="Times New Roman"/>
          <w:lang w:val="en-US"/>
        </w:rPr>
        <w:footnoteReference w:id="66"/>
      </w:r>
      <w:r w:rsidRPr="00A472FC">
        <w:rPr>
          <w:rFonts w:ascii="Times New Roman" w:hAnsi="Times New Roman" w:cs="Times New Roman"/>
          <w:lang w:val="en-US"/>
        </w:rPr>
        <w:t xml:space="preserve"> The </w:t>
      </w:r>
      <w:proofErr w:type="spellStart"/>
      <w:r w:rsidRPr="00A472FC">
        <w:rPr>
          <w:rFonts w:ascii="Times New Roman" w:hAnsi="Times New Roman" w:cs="Times New Roman"/>
          <w:lang w:val="en-US"/>
        </w:rPr>
        <w:t>Galenic</w:t>
      </w:r>
      <w:proofErr w:type="spellEnd"/>
      <w:r w:rsidRPr="00A472FC">
        <w:rPr>
          <w:rFonts w:ascii="Times New Roman" w:hAnsi="Times New Roman" w:cs="Times New Roman"/>
          <w:lang w:val="en-US"/>
        </w:rPr>
        <w:t xml:space="preserve"> categories are </w:t>
      </w:r>
      <w:r w:rsidR="001D0B38" w:rsidRPr="00A472FC">
        <w:rPr>
          <w:rFonts w:ascii="Times New Roman" w:hAnsi="Times New Roman" w:cs="Times New Roman"/>
          <w:lang w:val="en-US"/>
        </w:rPr>
        <w:t xml:space="preserve">also </w:t>
      </w:r>
      <w:r w:rsidRPr="00A472FC">
        <w:rPr>
          <w:rFonts w:ascii="Times New Roman" w:hAnsi="Times New Roman" w:cs="Times New Roman"/>
          <w:lang w:val="en-US"/>
        </w:rPr>
        <w:t>the subject of several chapters, in which the author distinguishes between the natural or vegetative, spiritual, and animal powers, as well as the nutritive powers of appetite, retention, expulsion, and distribution.</w:t>
      </w:r>
      <w:r w:rsidRPr="00A472FC">
        <w:rPr>
          <w:rStyle w:val="FootnoteReference"/>
          <w:rFonts w:ascii="Times New Roman" w:hAnsi="Times New Roman" w:cs="Times New Roman"/>
          <w:lang w:val="en-US"/>
        </w:rPr>
        <w:footnoteReference w:id="67"/>
      </w:r>
      <w:r w:rsidRPr="00A472FC">
        <w:rPr>
          <w:rFonts w:ascii="Times New Roman" w:hAnsi="Times New Roman" w:cs="Times New Roman"/>
          <w:lang w:val="en-US"/>
        </w:rPr>
        <w:t xml:space="preserve"> </w:t>
      </w:r>
    </w:p>
    <w:p w14:paraId="780CACFD" w14:textId="33400CED" w:rsidR="00C15FE9" w:rsidRPr="00A472FC" w:rsidRDefault="00CD1BB4" w:rsidP="00C15FE9">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lastRenderedPageBreak/>
        <w:t>In a section on the multiple meanings of the word ‘spirit’, the author contrasts the vital spirit, responsible for pumping blood, with the truly ‘spiritual’ spirit, that is, the highest part of the soul that is orientated towards God.</w:t>
      </w:r>
      <w:r w:rsidRPr="00A472FC">
        <w:rPr>
          <w:rStyle w:val="FootnoteReference"/>
          <w:rFonts w:ascii="Times New Roman" w:hAnsi="Times New Roman" w:cs="Times New Roman"/>
          <w:lang w:val="en-US"/>
        </w:rPr>
        <w:footnoteReference w:id="68"/>
      </w:r>
      <w:r w:rsidRPr="00A472FC">
        <w:rPr>
          <w:rFonts w:ascii="Times New Roman" w:hAnsi="Times New Roman" w:cs="Times New Roman"/>
          <w:lang w:val="en-US"/>
        </w:rPr>
        <w:t xml:space="preserve"> The animal faculties are reprised according to the normal scheme related to the three ventricles of the brain—imagination in the front, reason in the middle, and memory in the back.</w:t>
      </w:r>
      <w:r w:rsidRPr="00A472FC">
        <w:rPr>
          <w:rStyle w:val="FootnoteReference"/>
          <w:rFonts w:ascii="Times New Roman" w:hAnsi="Times New Roman" w:cs="Times New Roman"/>
          <w:lang w:val="en-US"/>
        </w:rPr>
        <w:footnoteReference w:id="69"/>
      </w:r>
      <w:r w:rsidRPr="00A472FC">
        <w:rPr>
          <w:rFonts w:ascii="Times New Roman" w:hAnsi="Times New Roman" w:cs="Times New Roman"/>
          <w:lang w:val="en-US"/>
        </w:rPr>
        <w:t xml:space="preserve"> In one chapter, the author refers to the common trope found in </w:t>
      </w:r>
      <w:proofErr w:type="spellStart"/>
      <w:r w:rsidRPr="00A472FC">
        <w:rPr>
          <w:rFonts w:ascii="Times New Roman" w:hAnsi="Times New Roman" w:cs="Times New Roman"/>
          <w:lang w:val="en-US"/>
        </w:rPr>
        <w:t>Nyssa</w:t>
      </w:r>
      <w:proofErr w:type="spellEnd"/>
      <w:r w:rsidRPr="00A472FC">
        <w:rPr>
          <w:rFonts w:ascii="Times New Roman" w:hAnsi="Times New Roman" w:cs="Times New Roman"/>
          <w:lang w:val="en-US"/>
        </w:rPr>
        <w:t>, whereby the human organism is compared to a kingdom in which citizens are employed in the service of the prince.</w:t>
      </w:r>
      <w:r w:rsidRPr="00A472FC">
        <w:rPr>
          <w:rStyle w:val="FootnoteReference"/>
          <w:rFonts w:ascii="Times New Roman" w:hAnsi="Times New Roman" w:cs="Times New Roman"/>
          <w:lang w:val="en-US"/>
        </w:rPr>
        <w:footnoteReference w:id="70"/>
      </w:r>
      <w:r w:rsidRPr="00A472FC">
        <w:rPr>
          <w:rFonts w:ascii="Times New Roman" w:hAnsi="Times New Roman" w:cs="Times New Roman"/>
          <w:lang w:val="en-US"/>
        </w:rPr>
        <w:t xml:space="preserve"> </w:t>
      </w:r>
      <w:r w:rsidR="008A22E4" w:rsidRPr="00A472FC">
        <w:rPr>
          <w:rFonts w:ascii="Times New Roman" w:hAnsi="Times New Roman" w:cs="Times New Roman"/>
          <w:lang w:val="en-US"/>
        </w:rPr>
        <w:t>In addition</w:t>
      </w:r>
      <w:r w:rsidRPr="00A472FC">
        <w:rPr>
          <w:rFonts w:ascii="Times New Roman" w:hAnsi="Times New Roman" w:cs="Times New Roman"/>
          <w:lang w:val="en-US"/>
        </w:rPr>
        <w:t xml:space="preserve">, </w:t>
      </w:r>
      <w:r w:rsidR="00FA2E27" w:rsidRPr="00A472FC">
        <w:rPr>
          <w:rFonts w:ascii="Times New Roman" w:hAnsi="Times New Roman" w:cs="Times New Roman"/>
          <w:lang w:val="en-US"/>
        </w:rPr>
        <w:t>reference is made to</w:t>
      </w:r>
      <w:r w:rsidRPr="00A472FC">
        <w:rPr>
          <w:rFonts w:ascii="Times New Roman" w:hAnsi="Times New Roman" w:cs="Times New Roman"/>
          <w:lang w:val="en-US"/>
        </w:rPr>
        <w:t xml:space="preserve"> the standard Augustinian distinctions between higher/lower reason;</w:t>
      </w:r>
      <w:r w:rsidRPr="00A472FC">
        <w:rPr>
          <w:rStyle w:val="FootnoteReference"/>
          <w:rFonts w:ascii="Times New Roman" w:hAnsi="Times New Roman" w:cs="Times New Roman"/>
          <w:lang w:val="en-US"/>
        </w:rPr>
        <w:footnoteReference w:id="71"/>
      </w:r>
      <w:r w:rsidRPr="00A472FC">
        <w:rPr>
          <w:rFonts w:ascii="Times New Roman" w:hAnsi="Times New Roman" w:cs="Times New Roman"/>
          <w:lang w:val="en-US"/>
        </w:rPr>
        <w:t xml:space="preserve"> the exterior/interior man;</w:t>
      </w:r>
      <w:r w:rsidRPr="00A472FC">
        <w:rPr>
          <w:rStyle w:val="FootnoteReference"/>
          <w:rFonts w:ascii="Times New Roman" w:hAnsi="Times New Roman" w:cs="Times New Roman"/>
          <w:lang w:val="en-US"/>
        </w:rPr>
        <w:footnoteReference w:id="72"/>
      </w:r>
      <w:r w:rsidRPr="00A472FC">
        <w:rPr>
          <w:rFonts w:ascii="Times New Roman" w:hAnsi="Times New Roman" w:cs="Times New Roman"/>
          <w:lang w:val="en-US"/>
        </w:rPr>
        <w:t xml:space="preserve"> and corporeal, spiritual, and intellectual vision, which is another way of speaking about sense, imagination, and </w:t>
      </w:r>
      <w:r w:rsidR="00C15FE9" w:rsidRPr="00A472FC">
        <w:rPr>
          <w:rFonts w:ascii="Times New Roman" w:hAnsi="Times New Roman" w:cs="Times New Roman"/>
          <w:lang w:val="en-US"/>
        </w:rPr>
        <w:t>reason.</w:t>
      </w:r>
      <w:r w:rsidRPr="00A472FC">
        <w:rPr>
          <w:rStyle w:val="FootnoteReference"/>
          <w:rFonts w:ascii="Times New Roman" w:hAnsi="Times New Roman" w:cs="Times New Roman"/>
          <w:lang w:val="en-US"/>
        </w:rPr>
        <w:footnoteReference w:id="73"/>
      </w:r>
    </w:p>
    <w:p w14:paraId="3FCBAD88" w14:textId="44E7C5B9" w:rsidR="00D102EC" w:rsidRPr="00A472FC" w:rsidRDefault="00C15FE9" w:rsidP="00C15FE9">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Finally</w:t>
      </w:r>
      <w:r w:rsidR="00CD1BB4" w:rsidRPr="00A472FC">
        <w:rPr>
          <w:rFonts w:ascii="Times New Roman" w:hAnsi="Times New Roman" w:cs="Times New Roman"/>
          <w:lang w:val="en-US"/>
        </w:rPr>
        <w:t>, memory, understanding, and will are listed as an image of the Trinity.</w:t>
      </w:r>
      <w:r w:rsidR="00CD1BB4" w:rsidRPr="00A472FC">
        <w:rPr>
          <w:rStyle w:val="FootnoteReference"/>
          <w:rFonts w:ascii="Times New Roman" w:hAnsi="Times New Roman" w:cs="Times New Roman"/>
          <w:lang w:val="en-US"/>
        </w:rPr>
        <w:footnoteReference w:id="74"/>
      </w:r>
      <w:r w:rsidR="00CD1BB4" w:rsidRPr="00A472FC">
        <w:rPr>
          <w:rFonts w:ascii="Times New Roman" w:hAnsi="Times New Roman" w:cs="Times New Roman"/>
          <w:lang w:val="en-US"/>
        </w:rPr>
        <w:t xml:space="preserve"> Interestingly, however, there is no reference to free will (</w:t>
      </w:r>
      <w:proofErr w:type="spellStart"/>
      <w:r w:rsidR="00CD1BB4" w:rsidRPr="00A472FC">
        <w:rPr>
          <w:rFonts w:ascii="Times New Roman" w:hAnsi="Times New Roman" w:cs="Times New Roman"/>
          <w:i/>
          <w:lang w:val="en-US"/>
        </w:rPr>
        <w:t>liberum</w:t>
      </w:r>
      <w:proofErr w:type="spellEnd"/>
      <w:r w:rsidR="00CD1BB4" w:rsidRPr="00A472FC">
        <w:rPr>
          <w:rFonts w:ascii="Times New Roman" w:hAnsi="Times New Roman" w:cs="Times New Roman"/>
          <w:i/>
          <w:lang w:val="en-US"/>
        </w:rPr>
        <w:t xml:space="preserve"> </w:t>
      </w:r>
      <w:proofErr w:type="spellStart"/>
      <w:r w:rsidR="00CD1BB4" w:rsidRPr="00A472FC">
        <w:rPr>
          <w:rFonts w:ascii="Times New Roman" w:hAnsi="Times New Roman" w:cs="Times New Roman"/>
          <w:i/>
          <w:lang w:val="en-US"/>
        </w:rPr>
        <w:t>arbitrium</w:t>
      </w:r>
      <w:proofErr w:type="spellEnd"/>
      <w:r w:rsidR="00CD1BB4" w:rsidRPr="00A472FC">
        <w:rPr>
          <w:rFonts w:ascii="Times New Roman" w:hAnsi="Times New Roman" w:cs="Times New Roman"/>
          <w:lang w:val="en-US"/>
        </w:rPr>
        <w:t>) in the entire work, which does not seem</w:t>
      </w:r>
      <w:r w:rsidR="00CC5E69" w:rsidRPr="00A472FC">
        <w:rPr>
          <w:rFonts w:ascii="Times New Roman" w:hAnsi="Times New Roman" w:cs="Times New Roman"/>
          <w:lang w:val="en-US"/>
        </w:rPr>
        <w:t xml:space="preserve"> </w:t>
      </w:r>
      <w:r w:rsidR="000154D1" w:rsidRPr="00A472FC">
        <w:rPr>
          <w:rFonts w:ascii="Times New Roman" w:hAnsi="Times New Roman" w:cs="Times New Roman"/>
          <w:lang w:val="en-US"/>
        </w:rPr>
        <w:t>very</w:t>
      </w:r>
      <w:r w:rsidR="00CD1BB4" w:rsidRPr="00A472FC">
        <w:rPr>
          <w:rFonts w:ascii="Times New Roman" w:hAnsi="Times New Roman" w:cs="Times New Roman"/>
          <w:lang w:val="en-US"/>
        </w:rPr>
        <w:t xml:space="preserve"> concerned with addressing questions of human action.</w:t>
      </w:r>
      <w:r w:rsidR="00CD1BB4" w:rsidRPr="00A472FC">
        <w:rPr>
          <w:rStyle w:val="FootnoteReference"/>
          <w:rFonts w:ascii="Times New Roman" w:hAnsi="Times New Roman" w:cs="Times New Roman"/>
          <w:lang w:val="en-US"/>
        </w:rPr>
        <w:footnoteReference w:id="75"/>
      </w:r>
      <w:r w:rsidR="00CD1BB4" w:rsidRPr="00A472FC">
        <w:rPr>
          <w:rFonts w:ascii="Times New Roman" w:hAnsi="Times New Roman" w:cs="Times New Roman"/>
          <w:lang w:val="en-US"/>
        </w:rPr>
        <w:t xml:space="preserve"> One of the most innovative triads introduced in this text, </w:t>
      </w:r>
      <w:r w:rsidR="007179EB" w:rsidRPr="00A472FC">
        <w:rPr>
          <w:rFonts w:ascii="Times New Roman" w:hAnsi="Times New Roman" w:cs="Times New Roman"/>
          <w:lang w:val="en-US"/>
        </w:rPr>
        <w:t xml:space="preserve">which was </w:t>
      </w:r>
      <w:r w:rsidR="00CD1BB4" w:rsidRPr="00A472FC">
        <w:rPr>
          <w:rFonts w:ascii="Times New Roman" w:hAnsi="Times New Roman" w:cs="Times New Roman"/>
          <w:lang w:val="en-US"/>
        </w:rPr>
        <w:t xml:space="preserve">perhaps anticipated by Isaac’s division between God, the soul, and the self—which itself stems from Claudius </w:t>
      </w:r>
      <w:proofErr w:type="spellStart"/>
      <w:r w:rsidR="00CD1BB4" w:rsidRPr="00A472FC">
        <w:rPr>
          <w:rFonts w:ascii="Times New Roman" w:hAnsi="Times New Roman" w:cs="Times New Roman"/>
          <w:lang w:val="en-US"/>
        </w:rPr>
        <w:t>Mamertus</w:t>
      </w:r>
      <w:proofErr w:type="spellEnd"/>
      <w:r w:rsidR="00CD1BB4" w:rsidRPr="00A472FC">
        <w:rPr>
          <w:rFonts w:ascii="Times New Roman" w:hAnsi="Times New Roman" w:cs="Times New Roman"/>
          <w:lang w:val="en-US"/>
        </w:rPr>
        <w:t>—is the distinction between things that are below, next to, and above the self, namely, creatures, angels, and God.</w:t>
      </w:r>
      <w:r w:rsidR="00CD1BB4" w:rsidRPr="00A472FC">
        <w:rPr>
          <w:rStyle w:val="FootnoteReference"/>
          <w:rFonts w:ascii="Times New Roman" w:hAnsi="Times New Roman" w:cs="Times New Roman"/>
          <w:lang w:val="en-US"/>
        </w:rPr>
        <w:footnoteReference w:id="76"/>
      </w:r>
      <w:r w:rsidR="00CD1BB4" w:rsidRPr="00A472FC">
        <w:rPr>
          <w:rFonts w:ascii="Times New Roman" w:hAnsi="Times New Roman" w:cs="Times New Roman"/>
          <w:lang w:val="en-US"/>
        </w:rPr>
        <w:t xml:space="preserve"> Like William</w:t>
      </w:r>
      <w:r w:rsidR="00EC4342" w:rsidRPr="00A472FC">
        <w:rPr>
          <w:rFonts w:ascii="Times New Roman" w:hAnsi="Times New Roman" w:cs="Times New Roman"/>
          <w:lang w:val="en-US"/>
        </w:rPr>
        <w:t xml:space="preserve"> of Thierry</w:t>
      </w:r>
      <w:r w:rsidR="00CD1BB4" w:rsidRPr="00A472FC">
        <w:rPr>
          <w:rFonts w:ascii="Times New Roman" w:hAnsi="Times New Roman" w:cs="Times New Roman"/>
          <w:lang w:val="en-US"/>
        </w:rPr>
        <w:t xml:space="preserve">, the DSEA </w:t>
      </w:r>
      <w:r w:rsidR="00A517AD" w:rsidRPr="00A472FC">
        <w:rPr>
          <w:rFonts w:ascii="Times New Roman" w:hAnsi="Times New Roman" w:cs="Times New Roman"/>
          <w:lang w:val="en-US"/>
        </w:rPr>
        <w:t xml:space="preserve">ultimately </w:t>
      </w:r>
      <w:r w:rsidR="00CD1BB4" w:rsidRPr="00A472FC">
        <w:rPr>
          <w:rFonts w:ascii="Times New Roman" w:hAnsi="Times New Roman" w:cs="Times New Roman"/>
          <w:lang w:val="en-US"/>
        </w:rPr>
        <w:t xml:space="preserve">integrates the levels of human physical being into a scheme </w:t>
      </w:r>
      <w:r w:rsidR="00CE5FF3" w:rsidRPr="00A472FC">
        <w:rPr>
          <w:rFonts w:ascii="Times New Roman" w:hAnsi="Times New Roman" w:cs="Times New Roman"/>
          <w:lang w:val="en-US"/>
        </w:rPr>
        <w:t xml:space="preserve">that is </w:t>
      </w:r>
      <w:r w:rsidR="00CD1BB4" w:rsidRPr="00A472FC">
        <w:rPr>
          <w:rFonts w:ascii="Times New Roman" w:hAnsi="Times New Roman" w:cs="Times New Roman"/>
          <w:lang w:val="en-US"/>
        </w:rPr>
        <w:t>ordered to enable ascent to God.</w:t>
      </w:r>
      <w:r w:rsidR="00CD1BB4" w:rsidRPr="00A472FC">
        <w:rPr>
          <w:rStyle w:val="FootnoteReference"/>
          <w:rFonts w:ascii="Times New Roman" w:hAnsi="Times New Roman" w:cs="Times New Roman"/>
          <w:lang w:val="en-US"/>
        </w:rPr>
        <w:footnoteReference w:id="77"/>
      </w:r>
      <w:r w:rsidR="00CD1BB4" w:rsidRPr="00A472FC">
        <w:rPr>
          <w:rFonts w:ascii="Times New Roman" w:hAnsi="Times New Roman" w:cs="Times New Roman"/>
          <w:lang w:val="en-US"/>
        </w:rPr>
        <w:t xml:space="preserve"> </w:t>
      </w:r>
    </w:p>
    <w:p w14:paraId="3D077B93" w14:textId="56C7C224" w:rsidR="00CD1BB4" w:rsidRPr="00A472FC" w:rsidRDefault="00CD1BB4" w:rsidP="00881604">
      <w:pPr>
        <w:autoSpaceDE w:val="0"/>
        <w:autoSpaceDN w:val="0"/>
        <w:adjustRightInd w:val="0"/>
        <w:ind w:right="-52"/>
        <w:rPr>
          <w:rFonts w:ascii="Times New Roman" w:hAnsi="Times New Roman" w:cs="Times New Roman"/>
          <w:lang w:val="en-US"/>
        </w:rPr>
      </w:pPr>
      <w:r w:rsidRPr="00A472FC">
        <w:rPr>
          <w:rFonts w:ascii="Times New Roman" w:hAnsi="Times New Roman" w:cs="Times New Roman"/>
          <w:lang w:val="en-US"/>
        </w:rPr>
        <w:tab/>
      </w:r>
      <w:r w:rsidR="004E463D" w:rsidRPr="00A472FC">
        <w:rPr>
          <w:rFonts w:ascii="Times New Roman" w:hAnsi="Times New Roman" w:cs="Times New Roman"/>
          <w:lang w:val="en-US"/>
        </w:rPr>
        <w:t xml:space="preserve">This distinguishes the more ‘spiritual’ writings of the Cistercians from the ‘scholastic’ texts that began to be written in this period, </w:t>
      </w:r>
      <w:r w:rsidR="002A7B74" w:rsidRPr="00A472FC">
        <w:rPr>
          <w:rFonts w:ascii="Times New Roman" w:hAnsi="Times New Roman" w:cs="Times New Roman"/>
          <w:lang w:val="en-US"/>
        </w:rPr>
        <w:t xml:space="preserve">the first and foremost of which is </w:t>
      </w:r>
      <w:r w:rsidRPr="00A472FC">
        <w:rPr>
          <w:rFonts w:ascii="Times New Roman" w:hAnsi="Times New Roman" w:cs="Times New Roman"/>
          <w:lang w:val="en-US"/>
        </w:rPr>
        <w:t xml:space="preserve">the </w:t>
      </w:r>
      <w:r w:rsidRPr="00A472FC">
        <w:rPr>
          <w:rFonts w:ascii="Times New Roman" w:hAnsi="Times New Roman" w:cs="Times New Roman"/>
          <w:i/>
          <w:lang w:val="en-US"/>
        </w:rPr>
        <w:t xml:space="preserve">Sentences </w:t>
      </w:r>
      <w:r w:rsidRPr="00A472FC">
        <w:rPr>
          <w:rFonts w:ascii="Times New Roman" w:hAnsi="Times New Roman" w:cs="Times New Roman"/>
          <w:lang w:val="en-US"/>
        </w:rPr>
        <w:t xml:space="preserve">of Peter Lombard. As a theologian, the Lombard limits his discussion </w:t>
      </w:r>
      <w:r w:rsidR="002A7B74" w:rsidRPr="00A472FC">
        <w:rPr>
          <w:rFonts w:ascii="Times New Roman" w:hAnsi="Times New Roman" w:cs="Times New Roman"/>
          <w:lang w:val="en-US"/>
        </w:rPr>
        <w:t xml:space="preserve">of human nature and the soul </w:t>
      </w:r>
      <w:r w:rsidRPr="00A472FC">
        <w:rPr>
          <w:rFonts w:ascii="Times New Roman" w:hAnsi="Times New Roman" w:cs="Times New Roman"/>
          <w:lang w:val="en-US"/>
        </w:rPr>
        <w:t>to those topics that can be regarded as directly related to its relationship to God. While he acknowledges that the soul is joined to the body, like Augustine, he does not venture so far as to explain how.</w:t>
      </w:r>
      <w:r w:rsidRPr="00A472FC">
        <w:rPr>
          <w:rStyle w:val="FootnoteReference"/>
          <w:rFonts w:ascii="Times New Roman" w:hAnsi="Times New Roman" w:cs="Times New Roman"/>
          <w:lang w:val="en-US"/>
        </w:rPr>
        <w:footnoteReference w:id="78"/>
      </w:r>
      <w:r w:rsidRPr="00A472FC">
        <w:rPr>
          <w:rFonts w:ascii="Times New Roman" w:hAnsi="Times New Roman" w:cs="Times New Roman"/>
          <w:lang w:val="en-US"/>
        </w:rPr>
        <w:t xml:space="preserve"> Instead, he elaborates on the nature of </w:t>
      </w:r>
      <w:r w:rsidR="004C4EC4" w:rsidRPr="00A472FC">
        <w:rPr>
          <w:rFonts w:ascii="Times New Roman" w:hAnsi="Times New Roman" w:cs="Times New Roman"/>
          <w:lang w:val="en-US"/>
        </w:rPr>
        <w:t xml:space="preserve">the </w:t>
      </w:r>
      <w:r w:rsidRPr="00A472FC">
        <w:rPr>
          <w:rFonts w:ascii="Times New Roman" w:hAnsi="Times New Roman" w:cs="Times New Roman"/>
          <w:lang w:val="en-US"/>
        </w:rPr>
        <w:t>human being as God’s image.</w:t>
      </w:r>
      <w:r w:rsidRPr="00A472FC">
        <w:rPr>
          <w:rStyle w:val="FootnoteReference"/>
          <w:rFonts w:ascii="Times New Roman" w:hAnsi="Times New Roman" w:cs="Times New Roman"/>
          <w:color w:val="000000"/>
          <w:lang w:val="en-US"/>
        </w:rPr>
        <w:footnoteReference w:id="79"/>
      </w:r>
      <w:r w:rsidRPr="00A472FC">
        <w:rPr>
          <w:rFonts w:ascii="Times New Roman" w:hAnsi="Times New Roman" w:cs="Times New Roman"/>
          <w:lang w:val="en-US"/>
        </w:rPr>
        <w:t xml:space="preserve"> This image exists in virtue of memory, understanding, and will</w:t>
      </w:r>
      <w:r w:rsidR="001D5382" w:rsidRPr="00A472FC">
        <w:rPr>
          <w:rFonts w:ascii="Times New Roman" w:hAnsi="Times New Roman" w:cs="Times New Roman"/>
          <w:lang w:val="en-US"/>
        </w:rPr>
        <w:t xml:space="preserve">. In </w:t>
      </w:r>
      <w:r w:rsidRPr="00A472FC">
        <w:rPr>
          <w:rFonts w:ascii="Times New Roman" w:hAnsi="Times New Roman" w:cs="Times New Roman"/>
          <w:lang w:val="en-US"/>
        </w:rPr>
        <w:t>this regard, the Lombard advocates the identity of the soul with its powers, a view he attributed to Augustine</w:t>
      </w:r>
      <w:r w:rsidR="001D5382" w:rsidRPr="00A472FC">
        <w:rPr>
          <w:rFonts w:ascii="Times New Roman" w:hAnsi="Times New Roman" w:cs="Times New Roman"/>
          <w:lang w:val="en-US"/>
        </w:rPr>
        <w:t>, which was also found in William of Thierry, the DSEA, and Isaac of Stella</w:t>
      </w:r>
      <w:r w:rsidRPr="00A472FC">
        <w:rPr>
          <w:rFonts w:ascii="Times New Roman" w:hAnsi="Times New Roman" w:cs="Times New Roman"/>
          <w:lang w:val="en-US"/>
        </w:rPr>
        <w:t xml:space="preserve">. By the same token, </w:t>
      </w:r>
      <w:r w:rsidR="001D5382" w:rsidRPr="00A472FC">
        <w:rPr>
          <w:rFonts w:ascii="Times New Roman" w:hAnsi="Times New Roman" w:cs="Times New Roman"/>
          <w:lang w:val="en-US"/>
        </w:rPr>
        <w:t>Lombard</w:t>
      </w:r>
      <w:r w:rsidRPr="00A472FC">
        <w:rPr>
          <w:rFonts w:ascii="Times New Roman" w:hAnsi="Times New Roman" w:cs="Times New Roman"/>
          <w:lang w:val="en-US"/>
        </w:rPr>
        <w:t xml:space="preserve"> treats the human being as a moral </w:t>
      </w:r>
      <w:r w:rsidR="00BD6FA7" w:rsidRPr="00A472FC">
        <w:rPr>
          <w:rFonts w:ascii="Times New Roman" w:hAnsi="Times New Roman" w:cs="Times New Roman"/>
          <w:lang w:val="en-US"/>
        </w:rPr>
        <w:t>subject</w:t>
      </w:r>
      <w:r w:rsidRPr="00A472FC">
        <w:rPr>
          <w:rFonts w:ascii="Times New Roman" w:hAnsi="Times New Roman" w:cs="Times New Roman"/>
          <w:lang w:val="en-US"/>
        </w:rPr>
        <w:t xml:space="preserve"> capable of free will, and discusses the corruption of </w:t>
      </w:r>
      <w:r w:rsidR="0065056B" w:rsidRPr="00A472FC">
        <w:rPr>
          <w:rFonts w:ascii="Times New Roman" w:hAnsi="Times New Roman" w:cs="Times New Roman"/>
          <w:lang w:val="en-US"/>
        </w:rPr>
        <w:t xml:space="preserve">the will </w:t>
      </w:r>
      <w:r w:rsidRPr="00A472FC">
        <w:rPr>
          <w:rFonts w:ascii="Times New Roman" w:hAnsi="Times New Roman" w:cs="Times New Roman"/>
          <w:lang w:val="en-US"/>
        </w:rPr>
        <w:t xml:space="preserve">by sin. </w:t>
      </w:r>
    </w:p>
    <w:p w14:paraId="631C9290" w14:textId="689BC084" w:rsidR="00CD1BB4" w:rsidRPr="00A472FC" w:rsidRDefault="00CD1BB4"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lang w:val="en-US"/>
        </w:rPr>
        <w:t>This corruption occurs as a result of the tension between sensuality, which desires satisfaction for the body, and reason, which seeks what is best for the human being. In accordance with these two, the Lombard follows Augustine in dividing reason into higher and lower faculties</w:t>
      </w:r>
      <w:r w:rsidR="003E5D7F" w:rsidRPr="00A472FC">
        <w:rPr>
          <w:rFonts w:ascii="Times New Roman" w:hAnsi="Times New Roman" w:cs="Times New Roman"/>
          <w:lang w:val="en-US"/>
        </w:rPr>
        <w:t>,</w:t>
      </w:r>
      <w:r w:rsidRPr="00A472FC">
        <w:rPr>
          <w:rFonts w:ascii="Times New Roman" w:hAnsi="Times New Roman" w:cs="Times New Roman"/>
          <w:lang w:val="en-US"/>
        </w:rPr>
        <w:t xml:space="preserve"> which are respectively ordered towards eternal and temporal things. In Lombard’s wake, the scholastic tradition became more formed by the questions he did and did not pose than by those proffered in other traditions, which were more religious or spiritual in their orientation. Thus, we find </w:t>
      </w:r>
      <w:r w:rsidR="00D4325A" w:rsidRPr="00A472FC">
        <w:rPr>
          <w:rFonts w:ascii="Times New Roman" w:hAnsi="Times New Roman" w:cs="Times New Roman"/>
          <w:lang w:val="en-US"/>
        </w:rPr>
        <w:t xml:space="preserve">little </w:t>
      </w:r>
      <w:r w:rsidRPr="00A472FC">
        <w:rPr>
          <w:rFonts w:ascii="Times New Roman" w:hAnsi="Times New Roman" w:cs="Times New Roman"/>
          <w:lang w:val="en-US"/>
        </w:rPr>
        <w:t xml:space="preserve">interest in questions concerning the natural—vegetative and sensitive—powers of the soul in figures like </w:t>
      </w:r>
      <w:r w:rsidRPr="00A472FC">
        <w:rPr>
          <w:rFonts w:ascii="Times New Roman" w:hAnsi="Times New Roman" w:cs="Times New Roman"/>
        </w:rPr>
        <w:t xml:space="preserve">Peter of Poitiers, Simon of </w:t>
      </w:r>
      <w:proofErr w:type="spellStart"/>
      <w:r w:rsidRPr="00A472FC">
        <w:rPr>
          <w:rFonts w:ascii="Times New Roman" w:hAnsi="Times New Roman" w:cs="Times New Roman"/>
        </w:rPr>
        <w:t>Tournai</w:t>
      </w:r>
      <w:proofErr w:type="spellEnd"/>
      <w:r w:rsidRPr="00A472FC">
        <w:rPr>
          <w:rFonts w:ascii="Times New Roman" w:hAnsi="Times New Roman" w:cs="Times New Roman"/>
        </w:rPr>
        <w:t xml:space="preserve">, Stephen </w:t>
      </w:r>
      <w:r w:rsidRPr="00A472FC">
        <w:rPr>
          <w:rFonts w:ascii="Times New Roman" w:hAnsi="Times New Roman" w:cs="Times New Roman"/>
        </w:rPr>
        <w:lastRenderedPageBreak/>
        <w:t xml:space="preserve">Langton, Robert </w:t>
      </w:r>
      <w:proofErr w:type="spellStart"/>
      <w:r w:rsidRPr="00A472FC">
        <w:rPr>
          <w:rFonts w:ascii="Times New Roman" w:hAnsi="Times New Roman" w:cs="Times New Roman"/>
        </w:rPr>
        <w:t>Courçon</w:t>
      </w:r>
      <w:proofErr w:type="spellEnd"/>
      <w:r w:rsidRPr="00A472FC">
        <w:rPr>
          <w:rFonts w:ascii="Times New Roman" w:hAnsi="Times New Roman" w:cs="Times New Roman"/>
        </w:rPr>
        <w:t xml:space="preserve">, </w:t>
      </w:r>
      <w:proofErr w:type="spellStart"/>
      <w:r w:rsidR="007C025C" w:rsidRPr="00A472FC">
        <w:rPr>
          <w:rFonts w:ascii="Times New Roman" w:hAnsi="Times New Roman" w:cs="Times New Roman"/>
        </w:rPr>
        <w:t>Praepositinus</w:t>
      </w:r>
      <w:proofErr w:type="spellEnd"/>
      <w:r w:rsidRPr="00A472FC">
        <w:rPr>
          <w:rFonts w:ascii="Times New Roman" w:hAnsi="Times New Roman" w:cs="Times New Roman"/>
        </w:rPr>
        <w:t xml:space="preserve"> of Cremona, and even someone as late as William of Auxerre. As </w:t>
      </w:r>
      <w:proofErr w:type="spellStart"/>
      <w:r w:rsidRPr="00A472FC">
        <w:rPr>
          <w:rFonts w:ascii="Times New Roman" w:hAnsi="Times New Roman" w:cs="Times New Roman"/>
        </w:rPr>
        <w:t>Ch</w:t>
      </w:r>
      <w:r w:rsidR="00907C48" w:rsidRPr="00A472FC">
        <w:rPr>
          <w:rFonts w:ascii="Times New Roman" w:hAnsi="Times New Roman" w:cs="Times New Roman"/>
        </w:rPr>
        <w:t>â</w:t>
      </w:r>
      <w:r w:rsidRPr="00A472FC">
        <w:rPr>
          <w:rFonts w:ascii="Times New Roman" w:hAnsi="Times New Roman" w:cs="Times New Roman"/>
        </w:rPr>
        <w:t>tillon</w:t>
      </w:r>
      <w:proofErr w:type="spellEnd"/>
      <w:r w:rsidRPr="00A472FC">
        <w:rPr>
          <w:rFonts w:ascii="Times New Roman" w:hAnsi="Times New Roman" w:cs="Times New Roman"/>
        </w:rPr>
        <w:t xml:space="preserve"> notes, their theological interests were almost entirely moral in orientation: these figures inquired how doctrines facilitate the sacramental life.</w:t>
      </w:r>
      <w:r w:rsidRPr="00A472FC">
        <w:rPr>
          <w:rStyle w:val="FootnoteReference"/>
          <w:rFonts w:ascii="Times New Roman" w:hAnsi="Times New Roman" w:cs="Times New Roman"/>
        </w:rPr>
        <w:footnoteReference w:id="80"/>
      </w:r>
    </w:p>
    <w:p w14:paraId="5A2F882F" w14:textId="77777777" w:rsidR="00CD1BB4" w:rsidRPr="00A472FC" w:rsidRDefault="00CD1BB4" w:rsidP="00881604">
      <w:pPr>
        <w:autoSpaceDE w:val="0"/>
        <w:autoSpaceDN w:val="0"/>
        <w:adjustRightInd w:val="0"/>
        <w:ind w:right="-52"/>
        <w:rPr>
          <w:rFonts w:ascii="Times New Roman" w:hAnsi="Times New Roman" w:cs="Times New Roman"/>
        </w:rPr>
      </w:pPr>
    </w:p>
    <w:p w14:paraId="6C886629" w14:textId="77777777" w:rsidR="00CD1BB4" w:rsidRPr="00A472FC" w:rsidRDefault="00CD1BB4" w:rsidP="00881604">
      <w:pPr>
        <w:autoSpaceDE w:val="0"/>
        <w:autoSpaceDN w:val="0"/>
        <w:adjustRightInd w:val="0"/>
        <w:ind w:right="-52"/>
        <w:rPr>
          <w:rFonts w:ascii="Times New Roman" w:hAnsi="Times New Roman" w:cs="Times New Roman"/>
          <w:u w:val="single"/>
        </w:rPr>
      </w:pPr>
      <w:r w:rsidRPr="00A472FC">
        <w:rPr>
          <w:rFonts w:ascii="Times New Roman" w:hAnsi="Times New Roman" w:cs="Times New Roman"/>
          <w:u w:val="single"/>
        </w:rPr>
        <w:t>The Translation Movement</w:t>
      </w:r>
    </w:p>
    <w:p w14:paraId="47C43319" w14:textId="77777777" w:rsidR="00CD1BB4" w:rsidRPr="00A472FC" w:rsidRDefault="00CD1BB4" w:rsidP="00881604">
      <w:pPr>
        <w:autoSpaceDE w:val="0"/>
        <w:autoSpaceDN w:val="0"/>
        <w:adjustRightInd w:val="0"/>
        <w:ind w:right="-52"/>
        <w:rPr>
          <w:rFonts w:ascii="Times New Roman" w:hAnsi="Times New Roman" w:cs="Times New Roman"/>
        </w:rPr>
      </w:pPr>
    </w:p>
    <w:p w14:paraId="4CE917D4" w14:textId="7A7392D1" w:rsidR="00CD1BB4" w:rsidRPr="00A472FC" w:rsidRDefault="00CD1BB4" w:rsidP="00881604">
      <w:pPr>
        <w:ind w:right="-52"/>
        <w:rPr>
          <w:rFonts w:ascii="Times New Roman" w:hAnsi="Times New Roman" w:cs="Times New Roman"/>
        </w:rPr>
      </w:pPr>
      <w:r w:rsidRPr="00A472FC">
        <w:rPr>
          <w:rFonts w:ascii="Times New Roman" w:hAnsi="Times New Roman" w:cs="Times New Roman"/>
        </w:rPr>
        <w:tab/>
        <w:t>As suggested above, the situation only changed under the impetus of the great translation movement of the late twelfth and early thirteenth centuries, which saw many Greek philosophical works</w:t>
      </w:r>
      <w:r w:rsidR="00AF656A" w:rsidRPr="00A472FC">
        <w:rPr>
          <w:rFonts w:ascii="Times New Roman" w:hAnsi="Times New Roman" w:cs="Times New Roman"/>
        </w:rPr>
        <w:t xml:space="preserve"> translated into Latin</w:t>
      </w:r>
      <w:r w:rsidRPr="00A472FC">
        <w:rPr>
          <w:rFonts w:ascii="Times New Roman" w:hAnsi="Times New Roman" w:cs="Times New Roman"/>
        </w:rPr>
        <w:t>, most famously, the major works of Aristotle</w:t>
      </w:r>
      <w:r w:rsidR="003B3E73" w:rsidRPr="00A472FC">
        <w:rPr>
          <w:rFonts w:ascii="Times New Roman" w:hAnsi="Times New Roman" w:cs="Times New Roman"/>
        </w:rPr>
        <w:t xml:space="preserve">. Other translations produced during this time frame included </w:t>
      </w:r>
      <w:r w:rsidRPr="00A472FC">
        <w:rPr>
          <w:rFonts w:ascii="Times New Roman" w:hAnsi="Times New Roman" w:cs="Times New Roman"/>
        </w:rPr>
        <w:t xml:space="preserve">a host of important </w:t>
      </w:r>
      <w:r w:rsidR="007216DD" w:rsidRPr="00A472FC">
        <w:rPr>
          <w:rFonts w:ascii="Times New Roman" w:hAnsi="Times New Roman" w:cs="Times New Roman"/>
        </w:rPr>
        <w:t xml:space="preserve">works by Islamic and Jewish authors who originally wrote in Arabic, </w:t>
      </w:r>
      <w:r w:rsidRPr="00A472FC">
        <w:rPr>
          <w:rFonts w:ascii="Times New Roman" w:hAnsi="Times New Roman" w:cs="Times New Roman"/>
        </w:rPr>
        <w:t xml:space="preserve">most significantly, the </w:t>
      </w:r>
      <w:r w:rsidR="005617B3" w:rsidRPr="00A472FC">
        <w:rPr>
          <w:rFonts w:ascii="Times New Roman" w:hAnsi="Times New Roman" w:cs="Times New Roman"/>
          <w:color w:val="000000" w:themeColor="text1"/>
        </w:rPr>
        <w:t xml:space="preserve">great </w:t>
      </w:r>
      <w:r w:rsidR="005617B3" w:rsidRPr="00A472FC">
        <w:rPr>
          <w:rFonts w:ascii="Times New Roman" w:hAnsi="Times New Roman" w:cs="Times New Roman"/>
          <w:i/>
          <w:color w:val="000000" w:themeColor="text1"/>
        </w:rPr>
        <w:t>Book of the Cure</w:t>
      </w:r>
      <w:r w:rsidRPr="00A472FC">
        <w:rPr>
          <w:rFonts w:ascii="Times New Roman" w:hAnsi="Times New Roman" w:cs="Times New Roman"/>
        </w:rPr>
        <w:t xml:space="preserve"> of the Islamic philosopher Avicenna. </w:t>
      </w:r>
      <w:r w:rsidRPr="00A472FC">
        <w:rPr>
          <w:rFonts w:ascii="Times New Roman" w:hAnsi="Times New Roman" w:cs="Times New Roman"/>
          <w:color w:val="000000" w:themeColor="text1"/>
        </w:rPr>
        <w:t xml:space="preserve">Although Avicenna’s </w:t>
      </w:r>
      <w:r w:rsidR="005617B3" w:rsidRPr="00A472FC">
        <w:rPr>
          <w:rFonts w:ascii="Times New Roman" w:hAnsi="Times New Roman" w:cs="Times New Roman"/>
          <w:color w:val="000000" w:themeColor="text1"/>
        </w:rPr>
        <w:t xml:space="preserve">massive text </w:t>
      </w:r>
      <w:r w:rsidRPr="00A472FC">
        <w:rPr>
          <w:rFonts w:ascii="Times New Roman" w:hAnsi="Times New Roman" w:cs="Times New Roman"/>
          <w:color w:val="000000" w:themeColor="text1"/>
        </w:rPr>
        <w:t xml:space="preserve">contained treatises on all the main topics Aristotle covered—metaphysics, physics, </w:t>
      </w:r>
      <w:r w:rsidR="00501B1B" w:rsidRPr="00A472FC">
        <w:rPr>
          <w:rFonts w:ascii="Times New Roman" w:hAnsi="Times New Roman" w:cs="Times New Roman"/>
          <w:color w:val="000000" w:themeColor="text1"/>
        </w:rPr>
        <w:t xml:space="preserve">theology, </w:t>
      </w:r>
      <w:r w:rsidRPr="00A472FC">
        <w:rPr>
          <w:rFonts w:ascii="Times New Roman" w:hAnsi="Times New Roman" w:cs="Times New Roman"/>
          <w:color w:val="000000" w:themeColor="text1"/>
        </w:rPr>
        <w:t xml:space="preserve">logic, </w:t>
      </w:r>
      <w:r w:rsidR="004D0242" w:rsidRPr="00A472FC">
        <w:rPr>
          <w:rFonts w:ascii="Times New Roman" w:hAnsi="Times New Roman" w:cs="Times New Roman"/>
          <w:color w:val="000000" w:themeColor="text1"/>
        </w:rPr>
        <w:t xml:space="preserve">and </w:t>
      </w:r>
      <w:r w:rsidRPr="00A472FC">
        <w:rPr>
          <w:rFonts w:ascii="Times New Roman" w:hAnsi="Times New Roman" w:cs="Times New Roman"/>
          <w:color w:val="000000" w:themeColor="text1"/>
        </w:rPr>
        <w:t xml:space="preserve">the soul—he was not a mere commentator on Aristotle. This is evidenced by the fact that </w:t>
      </w:r>
      <w:r w:rsidRPr="00A472FC">
        <w:rPr>
          <w:rFonts w:ascii="Times New Roman" w:hAnsi="Times New Roman" w:cs="Times New Roman"/>
        </w:rPr>
        <w:t xml:space="preserve">his works do not appear in the manuscript tradition together with Aristotle’s, as is the case with the works of Aristotle’s great commentator, </w:t>
      </w:r>
      <w:proofErr w:type="spellStart"/>
      <w:r w:rsidRPr="00A472FC">
        <w:rPr>
          <w:rFonts w:ascii="Times New Roman" w:hAnsi="Times New Roman" w:cs="Times New Roman"/>
        </w:rPr>
        <w:t>Averroes</w:t>
      </w:r>
      <w:proofErr w:type="spellEnd"/>
      <w:r w:rsidRPr="00A472FC">
        <w:rPr>
          <w:rFonts w:ascii="Times New Roman" w:hAnsi="Times New Roman" w:cs="Times New Roman"/>
        </w:rPr>
        <w:t>.</w:t>
      </w:r>
      <w:r w:rsidR="00A453A8" w:rsidRPr="00A472FC">
        <w:rPr>
          <w:rStyle w:val="FootnoteReference"/>
          <w:rFonts w:ascii="Times New Roman" w:hAnsi="Times New Roman" w:cs="Times New Roman"/>
        </w:rPr>
        <w:footnoteReference w:id="81"/>
      </w:r>
    </w:p>
    <w:p w14:paraId="7EEC2E3D" w14:textId="43453DDC" w:rsidR="0083607B" w:rsidRPr="00A472FC" w:rsidRDefault="00F55838" w:rsidP="00881604">
      <w:pPr>
        <w:ind w:right="-52" w:firstLine="720"/>
        <w:rPr>
          <w:rFonts w:ascii="Times New Roman" w:hAnsi="Times New Roman" w:cs="Times New Roman"/>
        </w:rPr>
      </w:pPr>
      <w:r w:rsidRPr="00A472FC">
        <w:rPr>
          <w:rFonts w:ascii="Times New Roman" w:hAnsi="Times New Roman" w:cs="Times New Roman"/>
        </w:rPr>
        <w:t xml:space="preserve">As recent scholarship has shown, </w:t>
      </w:r>
      <w:r w:rsidR="00CD1BB4" w:rsidRPr="00A472FC">
        <w:rPr>
          <w:rFonts w:ascii="Times New Roman" w:hAnsi="Times New Roman" w:cs="Times New Roman"/>
        </w:rPr>
        <w:t xml:space="preserve">Avicenna’s works were more popular than Aristotle’s during the first century of the translation movement, namely, between 1150-1250, which coincides with the </w:t>
      </w:r>
      <w:r w:rsidR="006F4777" w:rsidRPr="00A472FC">
        <w:rPr>
          <w:rFonts w:ascii="Times New Roman" w:hAnsi="Times New Roman" w:cs="Times New Roman"/>
        </w:rPr>
        <w:t>first fifty years before and after the University of Paris was founded</w:t>
      </w:r>
      <w:r w:rsidR="00CD1BB4" w:rsidRPr="00A472FC">
        <w:rPr>
          <w:rFonts w:ascii="Times New Roman" w:hAnsi="Times New Roman" w:cs="Times New Roman"/>
        </w:rPr>
        <w:t>.</w:t>
      </w:r>
      <w:r w:rsidR="00CD1BB4" w:rsidRPr="00A472FC">
        <w:rPr>
          <w:rStyle w:val="FootnoteReference"/>
          <w:rFonts w:ascii="Times New Roman" w:hAnsi="Times New Roman" w:cs="Times New Roman"/>
        </w:rPr>
        <w:footnoteReference w:id="82"/>
      </w:r>
      <w:r w:rsidR="00CD1BB4" w:rsidRPr="00A472FC">
        <w:rPr>
          <w:rFonts w:ascii="Times New Roman" w:hAnsi="Times New Roman" w:cs="Times New Roman"/>
        </w:rPr>
        <w:t xml:space="preserve"> </w:t>
      </w:r>
      <w:r w:rsidRPr="00A472FC">
        <w:rPr>
          <w:rFonts w:ascii="Times New Roman" w:hAnsi="Times New Roman" w:cs="Times New Roman"/>
        </w:rPr>
        <w:t>The</w:t>
      </w:r>
      <w:r w:rsidR="00CD1BB4" w:rsidRPr="00A472FC">
        <w:rPr>
          <w:rFonts w:ascii="Times New Roman" w:hAnsi="Times New Roman" w:cs="Times New Roman"/>
        </w:rPr>
        <w:t xml:space="preserve"> immense interest Avicenna’s work garnered in this period was partly attributable to the fact that he covered traditional Aristotelian </w:t>
      </w:r>
      <w:proofErr w:type="spellStart"/>
      <w:r w:rsidR="00CD1BB4" w:rsidRPr="00A472FC">
        <w:rPr>
          <w:rFonts w:ascii="Times New Roman" w:hAnsi="Times New Roman" w:cs="Times New Roman"/>
          <w:i/>
          <w:iCs/>
        </w:rPr>
        <w:t>topoi</w:t>
      </w:r>
      <w:proofErr w:type="spellEnd"/>
      <w:r w:rsidR="00CD1BB4" w:rsidRPr="00A472FC">
        <w:rPr>
          <w:rFonts w:ascii="Times New Roman" w:hAnsi="Times New Roman" w:cs="Times New Roman"/>
        </w:rPr>
        <w:t xml:space="preserve"> in a nonetheless original way, which took advantage of discoveries in medicine and science that had been made </w:t>
      </w:r>
      <w:r w:rsidR="00C32D4F" w:rsidRPr="00A472FC">
        <w:rPr>
          <w:rFonts w:ascii="Times New Roman" w:hAnsi="Times New Roman" w:cs="Times New Roman"/>
        </w:rPr>
        <w:t>since</w:t>
      </w:r>
      <w:r w:rsidR="00CD1BB4" w:rsidRPr="00A472FC">
        <w:rPr>
          <w:rFonts w:ascii="Times New Roman" w:hAnsi="Times New Roman" w:cs="Times New Roman"/>
        </w:rPr>
        <w:t xml:space="preserve"> Aristotle’s time</w:t>
      </w:r>
      <w:r w:rsidR="0083607B" w:rsidRPr="00A472FC">
        <w:rPr>
          <w:rFonts w:ascii="Times New Roman" w:hAnsi="Times New Roman" w:cs="Times New Roman"/>
        </w:rPr>
        <w:t>.</w:t>
      </w:r>
      <w:r w:rsidR="00CD1BB4" w:rsidRPr="00A472FC">
        <w:rPr>
          <w:rFonts w:ascii="Times New Roman" w:hAnsi="Times New Roman" w:cs="Times New Roman"/>
        </w:rPr>
        <w:t xml:space="preserve"> </w:t>
      </w:r>
      <w:r w:rsidR="0083607B" w:rsidRPr="00A472FC">
        <w:rPr>
          <w:rFonts w:ascii="Times New Roman" w:hAnsi="Times New Roman" w:cs="Times New Roman"/>
        </w:rPr>
        <w:t xml:space="preserve">As </w:t>
      </w:r>
      <w:proofErr w:type="spellStart"/>
      <w:r w:rsidR="0083607B" w:rsidRPr="00A472FC">
        <w:rPr>
          <w:rFonts w:ascii="Times New Roman" w:hAnsi="Times New Roman" w:cs="Times New Roman"/>
        </w:rPr>
        <w:t>Dag</w:t>
      </w:r>
      <w:proofErr w:type="spellEnd"/>
      <w:r w:rsidR="0083607B" w:rsidRPr="00A472FC">
        <w:rPr>
          <w:rFonts w:ascii="Times New Roman" w:hAnsi="Times New Roman" w:cs="Times New Roman"/>
        </w:rPr>
        <w:t xml:space="preserve"> Hasse has observed, Avicenna</w:t>
      </w:r>
      <w:r w:rsidR="00DD4C02" w:rsidRPr="00A472FC">
        <w:rPr>
          <w:rFonts w:ascii="Times New Roman" w:hAnsi="Times New Roman" w:cs="Times New Roman"/>
        </w:rPr>
        <w:t xml:space="preserve">’s </w:t>
      </w:r>
      <w:r w:rsidR="0083607B" w:rsidRPr="00A472FC">
        <w:rPr>
          <w:rFonts w:ascii="Times New Roman" w:hAnsi="Times New Roman" w:cs="Times New Roman"/>
        </w:rPr>
        <w:t xml:space="preserve">work </w:t>
      </w:r>
      <w:r w:rsidR="003B539F" w:rsidRPr="00A472FC">
        <w:rPr>
          <w:rFonts w:ascii="Times New Roman" w:hAnsi="Times New Roman" w:cs="Times New Roman"/>
        </w:rPr>
        <w:t>was attractive</w:t>
      </w:r>
      <w:r w:rsidR="00450DFB" w:rsidRPr="00A472FC">
        <w:rPr>
          <w:rFonts w:ascii="Times New Roman" w:hAnsi="Times New Roman" w:cs="Times New Roman"/>
        </w:rPr>
        <w:t>,</w:t>
      </w:r>
      <w:r w:rsidR="003B539F" w:rsidRPr="00A472FC">
        <w:rPr>
          <w:rFonts w:ascii="Times New Roman" w:hAnsi="Times New Roman" w:cs="Times New Roman"/>
        </w:rPr>
        <w:t xml:space="preserve"> </w:t>
      </w:r>
      <w:r w:rsidR="00450DFB" w:rsidRPr="00A472FC">
        <w:rPr>
          <w:rFonts w:ascii="Times New Roman" w:hAnsi="Times New Roman" w:cs="Times New Roman"/>
        </w:rPr>
        <w:t>because</w:t>
      </w:r>
      <w:r w:rsidR="003B539F" w:rsidRPr="00A472FC">
        <w:rPr>
          <w:rFonts w:ascii="Times New Roman" w:hAnsi="Times New Roman" w:cs="Times New Roman"/>
        </w:rPr>
        <w:t xml:space="preserve"> it </w:t>
      </w:r>
      <w:r w:rsidR="0083607B" w:rsidRPr="00A472FC">
        <w:rPr>
          <w:rFonts w:ascii="Times New Roman" w:hAnsi="Times New Roman" w:cs="Times New Roman"/>
        </w:rPr>
        <w:t xml:space="preserve">could be more easily </w:t>
      </w:r>
      <w:proofErr w:type="spellStart"/>
      <w:r w:rsidR="0083607B" w:rsidRPr="00A472FC">
        <w:rPr>
          <w:rFonts w:ascii="Times New Roman" w:hAnsi="Times New Roman" w:cs="Times New Roman"/>
        </w:rPr>
        <w:t>harmonized</w:t>
      </w:r>
      <w:proofErr w:type="spellEnd"/>
      <w:r w:rsidR="0083607B" w:rsidRPr="00A472FC">
        <w:rPr>
          <w:rFonts w:ascii="Times New Roman" w:hAnsi="Times New Roman" w:cs="Times New Roman"/>
        </w:rPr>
        <w:t xml:space="preserve"> with the medical works like the </w:t>
      </w:r>
      <w:proofErr w:type="spellStart"/>
      <w:r w:rsidR="0083607B" w:rsidRPr="00A472FC">
        <w:rPr>
          <w:rFonts w:ascii="Times New Roman" w:hAnsi="Times New Roman" w:cs="Times New Roman"/>
          <w:i/>
          <w:iCs/>
        </w:rPr>
        <w:t>Pantengi</w:t>
      </w:r>
      <w:proofErr w:type="spellEnd"/>
      <w:r w:rsidR="00DD4C02" w:rsidRPr="00A472FC">
        <w:rPr>
          <w:rFonts w:ascii="Times New Roman" w:hAnsi="Times New Roman" w:cs="Times New Roman"/>
          <w:i/>
          <w:iCs/>
        </w:rPr>
        <w:t xml:space="preserve"> </w:t>
      </w:r>
      <w:r w:rsidR="00DD4C02" w:rsidRPr="00A472FC">
        <w:rPr>
          <w:rFonts w:ascii="Times New Roman" w:hAnsi="Times New Roman" w:cs="Times New Roman"/>
        </w:rPr>
        <w:t>than Aristotle’s.</w:t>
      </w:r>
    </w:p>
    <w:p w14:paraId="45E415D6" w14:textId="1062C3B5" w:rsidR="002378B2" w:rsidRPr="00A472FC" w:rsidRDefault="00CD1BB4" w:rsidP="00197B73">
      <w:pPr>
        <w:ind w:right="-52" w:firstLine="720"/>
        <w:rPr>
          <w:rFonts w:ascii="Times New Roman" w:hAnsi="Times New Roman" w:cs="Times New Roman"/>
        </w:rPr>
      </w:pPr>
      <w:r w:rsidRPr="00A472FC">
        <w:rPr>
          <w:rFonts w:ascii="Times New Roman" w:hAnsi="Times New Roman" w:cs="Times New Roman"/>
        </w:rPr>
        <w:t xml:space="preserve">While many key Aristotelian works, such as </w:t>
      </w:r>
      <w:r w:rsidRPr="00A472FC">
        <w:rPr>
          <w:rFonts w:ascii="Times New Roman" w:hAnsi="Times New Roman" w:cs="Times New Roman"/>
          <w:i/>
        </w:rPr>
        <w:t xml:space="preserve">Metaphysics </w:t>
      </w:r>
      <w:r w:rsidRPr="00A472FC">
        <w:rPr>
          <w:rFonts w:ascii="Times New Roman" w:hAnsi="Times New Roman" w:cs="Times New Roman"/>
        </w:rPr>
        <w:t xml:space="preserve">and </w:t>
      </w:r>
      <w:proofErr w:type="spellStart"/>
      <w:r w:rsidRPr="00A472FC">
        <w:rPr>
          <w:rFonts w:ascii="Times New Roman" w:hAnsi="Times New Roman" w:cs="Times New Roman"/>
          <w:i/>
        </w:rPr>
        <w:t>Nicomachean</w:t>
      </w:r>
      <w:proofErr w:type="spellEnd"/>
      <w:r w:rsidRPr="00A472FC">
        <w:rPr>
          <w:rFonts w:ascii="Times New Roman" w:hAnsi="Times New Roman" w:cs="Times New Roman"/>
          <w:i/>
        </w:rPr>
        <w:t xml:space="preserve"> Ethics</w:t>
      </w:r>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circulated in various and partial forms into the first half of the thirteenth century, moreover, Avicenna’s </w:t>
      </w:r>
      <w:r w:rsidRPr="00A472FC">
        <w:rPr>
          <w:rFonts w:ascii="Times New Roman" w:hAnsi="Times New Roman" w:cs="Times New Roman"/>
          <w:i/>
        </w:rPr>
        <w:t>Book of the Cure</w:t>
      </w:r>
      <w:r w:rsidRPr="00A472FC">
        <w:rPr>
          <w:rFonts w:ascii="Times New Roman" w:hAnsi="Times New Roman" w:cs="Times New Roman"/>
        </w:rPr>
        <w:t xml:space="preserve"> had been translated in its entirety between 1152 and 1166.</w:t>
      </w:r>
      <w:r w:rsidRPr="00A472FC">
        <w:rPr>
          <w:rStyle w:val="FootnoteReference"/>
          <w:rFonts w:ascii="Times New Roman" w:hAnsi="Times New Roman" w:cs="Times New Roman"/>
        </w:rPr>
        <w:footnoteReference w:id="83"/>
      </w:r>
      <w:r w:rsidRPr="00A472FC">
        <w:rPr>
          <w:rFonts w:ascii="Times New Roman" w:hAnsi="Times New Roman" w:cs="Times New Roman"/>
        </w:rPr>
        <w:t xml:space="preserve"> The popularity of the work </w:t>
      </w:r>
      <w:r w:rsidR="00621C93" w:rsidRPr="00A472FC">
        <w:rPr>
          <w:rFonts w:ascii="Times New Roman" w:hAnsi="Times New Roman" w:cs="Times New Roman"/>
        </w:rPr>
        <w:t>came</w:t>
      </w:r>
      <w:r w:rsidRPr="00A472FC">
        <w:rPr>
          <w:rFonts w:ascii="Times New Roman" w:hAnsi="Times New Roman" w:cs="Times New Roman"/>
        </w:rPr>
        <w:t xml:space="preserve"> partly down to its accessibility. </w:t>
      </w:r>
      <w:r w:rsidR="00197B73" w:rsidRPr="00A472FC">
        <w:rPr>
          <w:rFonts w:ascii="Times New Roman" w:hAnsi="Times New Roman" w:cs="Times New Roman"/>
        </w:rPr>
        <w:t>According</w:t>
      </w:r>
      <w:r w:rsidR="000874F7" w:rsidRPr="00A472FC">
        <w:rPr>
          <w:rFonts w:ascii="Times New Roman" w:hAnsi="Times New Roman" w:cs="Times New Roman"/>
        </w:rPr>
        <w:t xml:space="preserve"> to Dales, moreover, Latin scholars regarded the translation of Avicenna</w:t>
      </w:r>
      <w:r w:rsidRPr="00A472FC">
        <w:rPr>
          <w:rFonts w:ascii="Times New Roman" w:hAnsi="Times New Roman" w:cs="Times New Roman"/>
        </w:rPr>
        <w:t xml:space="preserve"> </w:t>
      </w:r>
      <w:r w:rsidR="000874F7" w:rsidRPr="00A472FC">
        <w:rPr>
          <w:rFonts w:ascii="Times New Roman" w:hAnsi="Times New Roman" w:cs="Times New Roman"/>
        </w:rPr>
        <w:t xml:space="preserve">itself as </w:t>
      </w:r>
      <w:r w:rsidRPr="00A472FC">
        <w:rPr>
          <w:rFonts w:ascii="Times New Roman" w:hAnsi="Times New Roman" w:cs="Times New Roman"/>
        </w:rPr>
        <w:t xml:space="preserve">superior in quality to the Greco-Latin translations of Aristotle that had been produced in the mid-to-late twelfth century, </w:t>
      </w:r>
      <w:r w:rsidRPr="00A472FC">
        <w:rPr>
          <w:rFonts w:ascii="Times New Roman" w:hAnsi="Times New Roman" w:cs="Times New Roman"/>
        </w:rPr>
        <w:lastRenderedPageBreak/>
        <w:t xml:space="preserve">mostly by James of Venice, whose translation of </w:t>
      </w:r>
      <w:r w:rsidRPr="00A472FC">
        <w:rPr>
          <w:rFonts w:ascii="Times New Roman" w:hAnsi="Times New Roman" w:cs="Times New Roman"/>
          <w:i/>
        </w:rPr>
        <w:t xml:space="preserve">De anima </w:t>
      </w:r>
      <w:r w:rsidRPr="00A472FC">
        <w:rPr>
          <w:rFonts w:ascii="Times New Roman" w:hAnsi="Times New Roman" w:cs="Times New Roman"/>
        </w:rPr>
        <w:t>appeared before 1160.</w:t>
      </w:r>
      <w:r w:rsidRPr="00A472FC">
        <w:rPr>
          <w:rStyle w:val="FootnoteReference"/>
          <w:rFonts w:ascii="Times New Roman" w:hAnsi="Times New Roman" w:cs="Times New Roman"/>
        </w:rPr>
        <w:footnoteReference w:id="84"/>
      </w:r>
      <w:r w:rsidRPr="00A472FC">
        <w:rPr>
          <w:rFonts w:ascii="Times New Roman" w:hAnsi="Times New Roman" w:cs="Times New Roman"/>
        </w:rPr>
        <w:t xml:space="preserve"> The perceived flaws in these early </w:t>
      </w:r>
      <w:r w:rsidR="001B4C89" w:rsidRPr="00A472FC">
        <w:rPr>
          <w:rFonts w:ascii="Times New Roman" w:hAnsi="Times New Roman" w:cs="Times New Roman"/>
        </w:rPr>
        <w:t xml:space="preserve">Aristotle </w:t>
      </w:r>
      <w:r w:rsidRPr="00A472FC">
        <w:rPr>
          <w:rFonts w:ascii="Times New Roman" w:hAnsi="Times New Roman" w:cs="Times New Roman"/>
        </w:rPr>
        <w:t xml:space="preserve">translations </w:t>
      </w:r>
      <w:r w:rsidR="00FA4663" w:rsidRPr="00A472FC">
        <w:rPr>
          <w:rFonts w:ascii="Times New Roman" w:hAnsi="Times New Roman" w:cs="Times New Roman"/>
        </w:rPr>
        <w:t xml:space="preserve">supposedly </w:t>
      </w:r>
      <w:r w:rsidRPr="00A472FC">
        <w:rPr>
          <w:rFonts w:ascii="Times New Roman" w:hAnsi="Times New Roman" w:cs="Times New Roman"/>
        </w:rPr>
        <w:t>discouraged direct consultation of them until William of Moerbeke revised them in the 1260s</w:t>
      </w:r>
      <w:r w:rsidR="001B4C89" w:rsidRPr="00A472FC">
        <w:rPr>
          <w:rFonts w:ascii="Times New Roman" w:hAnsi="Times New Roman" w:cs="Times New Roman"/>
        </w:rPr>
        <w:t xml:space="preserve"> and onwards</w:t>
      </w:r>
      <w:r w:rsidRPr="00A472FC">
        <w:rPr>
          <w:rFonts w:ascii="Times New Roman" w:hAnsi="Times New Roman" w:cs="Times New Roman"/>
        </w:rPr>
        <w:t xml:space="preserve">, with his rendition of </w:t>
      </w:r>
      <w:r w:rsidRPr="00A472FC">
        <w:rPr>
          <w:rFonts w:ascii="Times New Roman" w:hAnsi="Times New Roman" w:cs="Times New Roman"/>
          <w:i/>
        </w:rPr>
        <w:t xml:space="preserve">De anima </w:t>
      </w:r>
      <w:r w:rsidRPr="00A472FC">
        <w:rPr>
          <w:rFonts w:ascii="Times New Roman" w:hAnsi="Times New Roman" w:cs="Times New Roman"/>
        </w:rPr>
        <w:t>specifically appearing between 1260-69.</w:t>
      </w:r>
      <w:r w:rsidRPr="00A472FC">
        <w:rPr>
          <w:rStyle w:val="FootnoteReference"/>
          <w:rFonts w:ascii="Times New Roman" w:hAnsi="Times New Roman" w:cs="Times New Roman"/>
        </w:rPr>
        <w:footnoteReference w:id="85"/>
      </w:r>
      <w:r w:rsidRPr="00A472FC">
        <w:rPr>
          <w:rFonts w:ascii="Times New Roman" w:hAnsi="Times New Roman" w:cs="Times New Roman"/>
        </w:rPr>
        <w:t xml:space="preserve"> </w:t>
      </w:r>
    </w:p>
    <w:p w14:paraId="3CCF2CFB" w14:textId="05B9D9C5" w:rsidR="00CD1BB4" w:rsidRPr="00A472FC" w:rsidRDefault="00CD1BB4" w:rsidP="000F0792">
      <w:pPr>
        <w:ind w:right="-52" w:firstLine="720"/>
        <w:rPr>
          <w:rFonts w:ascii="Times New Roman" w:hAnsi="Times New Roman" w:cs="Times New Roman"/>
        </w:rPr>
      </w:pPr>
      <w:r w:rsidRPr="00A472FC">
        <w:rPr>
          <w:rFonts w:ascii="Times New Roman" w:hAnsi="Times New Roman" w:cs="Times New Roman"/>
        </w:rPr>
        <w:t xml:space="preserve">In addition to the Greco-Arabic translation of </w:t>
      </w:r>
      <w:r w:rsidRPr="00A472FC">
        <w:rPr>
          <w:rFonts w:ascii="Times New Roman" w:hAnsi="Times New Roman" w:cs="Times New Roman"/>
          <w:i/>
        </w:rPr>
        <w:t>De anima</w:t>
      </w:r>
      <w:r w:rsidRPr="00A472FC">
        <w:rPr>
          <w:rFonts w:ascii="Times New Roman" w:hAnsi="Times New Roman" w:cs="Times New Roman"/>
        </w:rPr>
        <w:t>, Michael Scot had produced a translation of this work from Arabic</w:t>
      </w:r>
      <w:r w:rsidR="00D927DD" w:rsidRPr="00A472FC">
        <w:rPr>
          <w:rFonts w:ascii="Times New Roman" w:hAnsi="Times New Roman" w:cs="Times New Roman"/>
        </w:rPr>
        <w:t xml:space="preserve">, which </w:t>
      </w:r>
      <w:r w:rsidRPr="00A472FC">
        <w:rPr>
          <w:rFonts w:ascii="Times New Roman" w:hAnsi="Times New Roman" w:cs="Times New Roman"/>
        </w:rPr>
        <w:t xml:space="preserve">appeared </w:t>
      </w:r>
      <w:r w:rsidR="00D927DD" w:rsidRPr="00A472FC">
        <w:rPr>
          <w:rFonts w:ascii="Times New Roman" w:hAnsi="Times New Roman" w:cs="Times New Roman"/>
        </w:rPr>
        <w:t xml:space="preserve">in Paris around 1230 </w:t>
      </w:r>
      <w:r w:rsidRPr="00A472FC">
        <w:rPr>
          <w:rFonts w:ascii="Times New Roman" w:hAnsi="Times New Roman" w:cs="Times New Roman"/>
        </w:rPr>
        <w:t xml:space="preserve">alongside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Long Commentary on the </w:t>
      </w:r>
      <w:r w:rsidRPr="00A472FC">
        <w:rPr>
          <w:rFonts w:ascii="Times New Roman" w:hAnsi="Times New Roman" w:cs="Times New Roman"/>
          <w:i/>
        </w:rPr>
        <w:t>De anima</w:t>
      </w:r>
      <w:r w:rsidRPr="00A472FC">
        <w:rPr>
          <w:rFonts w:ascii="Times New Roman" w:hAnsi="Times New Roman" w:cs="Times New Roman"/>
        </w:rPr>
        <w:t xml:space="preserve">. As we will see, the </w:t>
      </w:r>
      <w:proofErr w:type="spellStart"/>
      <w:r w:rsidR="002734FB" w:rsidRPr="00A472FC">
        <w:rPr>
          <w:rFonts w:ascii="Times New Roman" w:hAnsi="Times New Roman" w:cs="Times New Roman"/>
        </w:rPr>
        <w:t>Arabo-Latin</w:t>
      </w:r>
      <w:proofErr w:type="spellEnd"/>
      <w:r w:rsidRPr="00A472FC">
        <w:rPr>
          <w:rFonts w:ascii="Times New Roman" w:hAnsi="Times New Roman" w:cs="Times New Roman"/>
        </w:rPr>
        <w:t xml:space="preserve"> translation was widely used by early scholastics including John, in part because it permitted an interpretation of Aristotle in line with Avicenna. While scholars working </w:t>
      </w:r>
      <w:r w:rsidR="006C1411" w:rsidRPr="00A472FC">
        <w:rPr>
          <w:rFonts w:ascii="Times New Roman" w:hAnsi="Times New Roman" w:cs="Times New Roman"/>
        </w:rPr>
        <w:t xml:space="preserve">in the early </w:t>
      </w:r>
      <w:r w:rsidR="00D334F3" w:rsidRPr="00A472FC">
        <w:rPr>
          <w:rFonts w:ascii="Times New Roman" w:hAnsi="Times New Roman" w:cs="Times New Roman"/>
        </w:rPr>
        <w:t>thirteenth</w:t>
      </w:r>
      <w:r w:rsidRPr="00A472FC">
        <w:rPr>
          <w:rFonts w:ascii="Times New Roman" w:hAnsi="Times New Roman" w:cs="Times New Roman"/>
        </w:rPr>
        <w:t xml:space="preserve"> century relied </w:t>
      </w:r>
      <w:r w:rsidR="003E00FA" w:rsidRPr="00A472FC">
        <w:rPr>
          <w:rFonts w:ascii="Times New Roman" w:hAnsi="Times New Roman" w:cs="Times New Roman"/>
        </w:rPr>
        <w:t xml:space="preserve">heavily </w:t>
      </w:r>
      <w:r w:rsidRPr="00A472FC">
        <w:rPr>
          <w:rFonts w:ascii="Times New Roman" w:hAnsi="Times New Roman" w:cs="Times New Roman"/>
        </w:rPr>
        <w:t>on Avicenna</w:t>
      </w:r>
      <w:r w:rsidR="003E00FA" w:rsidRPr="00A472FC">
        <w:rPr>
          <w:rFonts w:ascii="Times New Roman" w:hAnsi="Times New Roman" w:cs="Times New Roman"/>
        </w:rPr>
        <w:t xml:space="preserve"> in his own right</w:t>
      </w:r>
      <w:r w:rsidRPr="00A472FC">
        <w:rPr>
          <w:rFonts w:ascii="Times New Roman" w:hAnsi="Times New Roman" w:cs="Times New Roman"/>
        </w:rPr>
        <w:t xml:space="preserve">, those who flourished in </w:t>
      </w:r>
      <w:r w:rsidR="006C1411" w:rsidRPr="00A472FC">
        <w:rPr>
          <w:rFonts w:ascii="Times New Roman" w:hAnsi="Times New Roman" w:cs="Times New Roman"/>
        </w:rPr>
        <w:t>its second quarter</w:t>
      </w:r>
      <w:r w:rsidRPr="00A472FC">
        <w:rPr>
          <w:rFonts w:ascii="Times New Roman" w:hAnsi="Times New Roman" w:cs="Times New Roman"/>
        </w:rPr>
        <w:t xml:space="preserve"> exhibited a rather different tendency, which Amos </w:t>
      </w:r>
      <w:proofErr w:type="spellStart"/>
      <w:r w:rsidRPr="00A472FC">
        <w:rPr>
          <w:rFonts w:ascii="Times New Roman" w:hAnsi="Times New Roman" w:cs="Times New Roman"/>
        </w:rPr>
        <w:t>Bertolacci</w:t>
      </w:r>
      <w:proofErr w:type="spellEnd"/>
      <w:r w:rsidRPr="00A472FC">
        <w:rPr>
          <w:rFonts w:ascii="Times New Roman" w:hAnsi="Times New Roman" w:cs="Times New Roman"/>
        </w:rPr>
        <w:t xml:space="preserve"> has described in terms of ‘reading Aristotle with Avicenna.’</w:t>
      </w:r>
      <w:r w:rsidRPr="00A472FC">
        <w:rPr>
          <w:rStyle w:val="FootnoteReference"/>
          <w:rFonts w:ascii="Times New Roman" w:hAnsi="Times New Roman" w:cs="Times New Roman"/>
        </w:rPr>
        <w:footnoteReference w:id="86"/>
      </w:r>
      <w:r w:rsidRPr="00A472FC">
        <w:rPr>
          <w:rFonts w:ascii="Times New Roman" w:hAnsi="Times New Roman" w:cs="Times New Roman"/>
        </w:rPr>
        <w:t xml:space="preserve"> </w:t>
      </w:r>
    </w:p>
    <w:p w14:paraId="0D54A4EA" w14:textId="02CA2C3A" w:rsidR="00FC76F6" w:rsidRPr="00A472FC" w:rsidRDefault="00CD1BB4" w:rsidP="00FC76F6">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In some cases, this method involved explicitly referring to Aristotle and Avicenna and affirming their agreement on a matter, </w:t>
      </w:r>
      <w:r w:rsidR="0046674A" w:rsidRPr="00A472FC">
        <w:rPr>
          <w:rFonts w:ascii="Times New Roman" w:hAnsi="Times New Roman" w:cs="Times New Roman"/>
        </w:rPr>
        <w:t>or</w:t>
      </w:r>
      <w:r w:rsidR="00336FF9" w:rsidRPr="00A472FC">
        <w:rPr>
          <w:rFonts w:ascii="Times New Roman" w:hAnsi="Times New Roman" w:cs="Times New Roman"/>
        </w:rPr>
        <w:t xml:space="preserve"> </w:t>
      </w:r>
      <w:r w:rsidRPr="00A472FC">
        <w:rPr>
          <w:rFonts w:ascii="Times New Roman" w:hAnsi="Times New Roman" w:cs="Times New Roman"/>
        </w:rPr>
        <w:t>describing both interchangeably as ‘the philosopher.’</w:t>
      </w:r>
      <w:r w:rsidRPr="00A472FC">
        <w:rPr>
          <w:rStyle w:val="FootnoteReference"/>
          <w:rFonts w:ascii="Times New Roman" w:hAnsi="Times New Roman" w:cs="Times New Roman"/>
        </w:rPr>
        <w:footnoteReference w:id="87"/>
      </w:r>
      <w:r w:rsidRPr="00A472FC">
        <w:rPr>
          <w:rFonts w:ascii="Times New Roman" w:hAnsi="Times New Roman" w:cs="Times New Roman"/>
        </w:rPr>
        <w:t xml:space="preserve"> </w:t>
      </w:r>
      <w:r w:rsidR="003F62D2" w:rsidRPr="00A472FC">
        <w:rPr>
          <w:rFonts w:ascii="Times New Roman" w:hAnsi="Times New Roman" w:cs="Times New Roman"/>
        </w:rPr>
        <w:t xml:space="preserve">While the </w:t>
      </w:r>
      <w:r w:rsidR="00584CFB" w:rsidRPr="00A472FC">
        <w:rPr>
          <w:rFonts w:ascii="Times New Roman" w:hAnsi="Times New Roman" w:cs="Times New Roman"/>
        </w:rPr>
        <w:t xml:space="preserve">Persian philosopher </w:t>
      </w:r>
      <w:r w:rsidR="00E440C0" w:rsidRPr="00A472FC">
        <w:rPr>
          <w:rFonts w:ascii="Times New Roman" w:hAnsi="Times New Roman" w:cs="Times New Roman"/>
        </w:rPr>
        <w:t xml:space="preserve">was </w:t>
      </w:r>
      <w:r w:rsidR="003F62D2" w:rsidRPr="00A472FC">
        <w:rPr>
          <w:rFonts w:ascii="Times New Roman" w:hAnsi="Times New Roman" w:cs="Times New Roman"/>
        </w:rPr>
        <w:t xml:space="preserve">sometimes </w:t>
      </w:r>
      <w:r w:rsidR="00E440C0" w:rsidRPr="00A472FC">
        <w:rPr>
          <w:rFonts w:ascii="Times New Roman" w:hAnsi="Times New Roman" w:cs="Times New Roman"/>
        </w:rPr>
        <w:t xml:space="preserve">quoted </w:t>
      </w:r>
      <w:r w:rsidR="00584CFB" w:rsidRPr="00A472FC">
        <w:rPr>
          <w:rFonts w:ascii="Times New Roman" w:hAnsi="Times New Roman" w:cs="Times New Roman"/>
        </w:rPr>
        <w:t xml:space="preserve">explicitly, </w:t>
      </w:r>
      <w:r w:rsidR="003F62D2" w:rsidRPr="00A472FC">
        <w:rPr>
          <w:rFonts w:ascii="Times New Roman" w:hAnsi="Times New Roman" w:cs="Times New Roman"/>
        </w:rPr>
        <w:t>scholastics</w:t>
      </w:r>
      <w:r w:rsidR="0046674A" w:rsidRPr="00A472FC">
        <w:rPr>
          <w:rFonts w:ascii="Times New Roman" w:hAnsi="Times New Roman" w:cs="Times New Roman"/>
        </w:rPr>
        <w:t xml:space="preserve"> of </w:t>
      </w:r>
      <w:r w:rsidR="00DC0E14" w:rsidRPr="00A472FC">
        <w:rPr>
          <w:rFonts w:ascii="Times New Roman" w:hAnsi="Times New Roman" w:cs="Times New Roman"/>
        </w:rPr>
        <w:t>this</w:t>
      </w:r>
      <w:r w:rsidR="0046674A" w:rsidRPr="00A472FC">
        <w:rPr>
          <w:rFonts w:ascii="Times New Roman" w:hAnsi="Times New Roman" w:cs="Times New Roman"/>
        </w:rPr>
        <w:t xml:space="preserve"> period</w:t>
      </w:r>
      <w:r w:rsidR="003F62D2" w:rsidRPr="00A472FC">
        <w:rPr>
          <w:rFonts w:ascii="Times New Roman" w:hAnsi="Times New Roman" w:cs="Times New Roman"/>
        </w:rPr>
        <w:t xml:space="preserve"> </w:t>
      </w:r>
      <w:r w:rsidR="00FC76F6" w:rsidRPr="00A472FC">
        <w:rPr>
          <w:rFonts w:ascii="Times New Roman" w:hAnsi="Times New Roman" w:cs="Times New Roman"/>
        </w:rPr>
        <w:t xml:space="preserve">often </w:t>
      </w:r>
      <w:r w:rsidR="003F62D2" w:rsidRPr="00A472FC">
        <w:rPr>
          <w:rFonts w:ascii="Times New Roman" w:hAnsi="Times New Roman" w:cs="Times New Roman"/>
        </w:rPr>
        <w:t xml:space="preserve">simply offered </w:t>
      </w:r>
      <w:r w:rsidR="00584CFB" w:rsidRPr="00A472FC">
        <w:rPr>
          <w:rFonts w:ascii="Times New Roman" w:hAnsi="Times New Roman" w:cs="Times New Roman"/>
        </w:rPr>
        <w:t xml:space="preserve">a distinctly </w:t>
      </w:r>
      <w:proofErr w:type="spellStart"/>
      <w:r w:rsidR="00584CFB" w:rsidRPr="00A472FC">
        <w:rPr>
          <w:rFonts w:ascii="Times New Roman" w:hAnsi="Times New Roman" w:cs="Times New Roman"/>
        </w:rPr>
        <w:t>Avicennian</w:t>
      </w:r>
      <w:proofErr w:type="spellEnd"/>
      <w:r w:rsidR="00584CFB" w:rsidRPr="00A472FC">
        <w:rPr>
          <w:rFonts w:ascii="Times New Roman" w:hAnsi="Times New Roman" w:cs="Times New Roman"/>
        </w:rPr>
        <w:t xml:space="preserve"> interpretation of Aristotle, even attributing a quotation from Avicenna to Aristotle, without mentioning Avicenna’s name. </w:t>
      </w:r>
      <w:r w:rsidRPr="00A472FC">
        <w:rPr>
          <w:rFonts w:ascii="Times New Roman" w:hAnsi="Times New Roman" w:cs="Times New Roman"/>
        </w:rPr>
        <w:t xml:space="preserve">In this regard, the fact that Avicenna was an </w:t>
      </w:r>
      <w:r w:rsidRPr="00A472FC">
        <w:rPr>
          <w:rFonts w:ascii="Times New Roman" w:hAnsi="Times New Roman" w:cs="Times New Roman"/>
          <w:color w:val="1A1A1A"/>
        </w:rPr>
        <w:t>Islamic philosopher seems to have been of no consequence for his Latin readers, who regarded him as a philosophical rather than a religious authority.</w:t>
      </w:r>
      <w:r w:rsidRPr="00A472FC">
        <w:rPr>
          <w:rFonts w:ascii="Times New Roman" w:hAnsi="Times New Roman" w:cs="Times New Roman"/>
        </w:rPr>
        <w:t xml:space="preserve"> The philosophy in question was nonetheless amenable to Latin Christian </w:t>
      </w:r>
      <w:r w:rsidR="00AB084F" w:rsidRPr="00A472FC">
        <w:rPr>
          <w:rFonts w:ascii="Times New Roman" w:hAnsi="Times New Roman" w:cs="Times New Roman"/>
        </w:rPr>
        <w:t>purposes</w:t>
      </w:r>
      <w:r w:rsidRPr="00A472FC">
        <w:rPr>
          <w:rFonts w:ascii="Times New Roman" w:hAnsi="Times New Roman" w:cs="Times New Roman"/>
        </w:rPr>
        <w:t>, insofar as it was ‘open to Neoplatonic accretions in psychology and metaphysics, despite its strong Aristotelian basis in logic and natural philosophy.’</w:t>
      </w:r>
      <w:r w:rsidRPr="00A472FC">
        <w:rPr>
          <w:rStyle w:val="FootnoteReference"/>
          <w:rFonts w:ascii="Times New Roman" w:hAnsi="Times New Roman" w:cs="Times New Roman"/>
        </w:rPr>
        <w:footnoteReference w:id="88"/>
      </w:r>
      <w:r w:rsidRPr="00A472FC">
        <w:rPr>
          <w:rFonts w:ascii="Times New Roman" w:hAnsi="Times New Roman" w:cs="Times New Roman"/>
        </w:rPr>
        <w:t xml:space="preserve"> </w:t>
      </w:r>
    </w:p>
    <w:p w14:paraId="1D736392" w14:textId="4CA54813" w:rsidR="00E36476" w:rsidRPr="00A472FC" w:rsidRDefault="00CD1BB4" w:rsidP="00904A7B">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This Neo-Platonic </w:t>
      </w:r>
      <w:r w:rsidR="002E4B22" w:rsidRPr="00A472FC">
        <w:rPr>
          <w:rFonts w:ascii="Times New Roman" w:hAnsi="Times New Roman" w:cs="Times New Roman"/>
        </w:rPr>
        <w:t>component</w:t>
      </w:r>
      <w:r w:rsidRPr="00A472FC">
        <w:rPr>
          <w:rFonts w:ascii="Times New Roman" w:hAnsi="Times New Roman" w:cs="Times New Roman"/>
        </w:rPr>
        <w:t xml:space="preserve"> rendered Avicenna’s work </w:t>
      </w:r>
      <w:r w:rsidR="00A027DF" w:rsidRPr="00A472FC">
        <w:rPr>
          <w:rFonts w:ascii="Times New Roman" w:hAnsi="Times New Roman" w:cs="Times New Roman"/>
        </w:rPr>
        <w:t>liable</w:t>
      </w:r>
      <w:r w:rsidRPr="00A472FC">
        <w:rPr>
          <w:rFonts w:ascii="Times New Roman" w:hAnsi="Times New Roman" w:cs="Times New Roman"/>
        </w:rPr>
        <w:t xml:space="preserve"> to insertion as an interpretation of schemata presented in the pseudo-Augustinian DSEA, </w:t>
      </w:r>
      <w:r w:rsidR="005C35F5" w:rsidRPr="00A472FC">
        <w:rPr>
          <w:rFonts w:ascii="Times New Roman" w:hAnsi="Times New Roman" w:cs="Times New Roman"/>
        </w:rPr>
        <w:t xml:space="preserve">which like Augustine himself </w:t>
      </w:r>
      <w:r w:rsidR="00DC3F68" w:rsidRPr="00A472FC">
        <w:rPr>
          <w:rFonts w:ascii="Times New Roman" w:hAnsi="Times New Roman" w:cs="Times New Roman"/>
        </w:rPr>
        <w:t>was subject to</w:t>
      </w:r>
      <w:r w:rsidR="005C35F5" w:rsidRPr="00A472FC">
        <w:rPr>
          <w:rFonts w:ascii="Times New Roman" w:hAnsi="Times New Roman" w:cs="Times New Roman"/>
        </w:rPr>
        <w:t xml:space="preserve"> Neo-Platonic influences, </w:t>
      </w:r>
      <w:r w:rsidRPr="00A472FC">
        <w:rPr>
          <w:rFonts w:ascii="Times New Roman" w:hAnsi="Times New Roman" w:cs="Times New Roman"/>
        </w:rPr>
        <w:t xml:space="preserve">while at the same time allowing for </w:t>
      </w:r>
      <w:r w:rsidR="002E4B22" w:rsidRPr="00A472FC">
        <w:rPr>
          <w:rFonts w:ascii="Times New Roman" w:hAnsi="Times New Roman" w:cs="Times New Roman"/>
        </w:rPr>
        <w:t>the</w:t>
      </w:r>
      <w:r w:rsidRPr="00A472FC">
        <w:rPr>
          <w:rFonts w:ascii="Times New Roman" w:hAnsi="Times New Roman" w:cs="Times New Roman"/>
        </w:rPr>
        <w:t xml:space="preserve"> projection of Avicenna on to Aristotle</w:t>
      </w:r>
      <w:r w:rsidR="0098784E" w:rsidRPr="00A472FC">
        <w:rPr>
          <w:rFonts w:ascii="Times New Roman" w:hAnsi="Times New Roman" w:cs="Times New Roman"/>
        </w:rPr>
        <w:t xml:space="preserve">. The latter practice was </w:t>
      </w:r>
      <w:r w:rsidRPr="00A472FC">
        <w:rPr>
          <w:rFonts w:ascii="Times New Roman" w:hAnsi="Times New Roman" w:cs="Times New Roman"/>
        </w:rPr>
        <w:t xml:space="preserve">encouraged by the belief—quite common in the preceding Greek and Arabic </w:t>
      </w:r>
      <w:r w:rsidR="00904A7B" w:rsidRPr="00A472FC">
        <w:rPr>
          <w:rFonts w:ascii="Times New Roman" w:hAnsi="Times New Roman" w:cs="Times New Roman"/>
        </w:rPr>
        <w:t xml:space="preserve">scholarly </w:t>
      </w:r>
      <w:r w:rsidRPr="00A472FC">
        <w:rPr>
          <w:rFonts w:ascii="Times New Roman" w:hAnsi="Times New Roman" w:cs="Times New Roman"/>
        </w:rPr>
        <w:t xml:space="preserve">worlds—that Aristotle was himself a sort of </w:t>
      </w:r>
      <w:proofErr w:type="spellStart"/>
      <w:r w:rsidRPr="00A472FC">
        <w:rPr>
          <w:rFonts w:ascii="Times New Roman" w:hAnsi="Times New Roman" w:cs="Times New Roman"/>
        </w:rPr>
        <w:t>Neo-Platonist</w:t>
      </w:r>
      <w:proofErr w:type="spellEnd"/>
      <w:r w:rsidRPr="00A472FC">
        <w:rPr>
          <w:rFonts w:ascii="Times New Roman" w:hAnsi="Times New Roman" w:cs="Times New Roman"/>
        </w:rPr>
        <w:t xml:space="preserve">, who supposedly authored the Neo-Platonic </w:t>
      </w:r>
      <w:r w:rsidRPr="00A472FC">
        <w:rPr>
          <w:rFonts w:ascii="Times New Roman" w:hAnsi="Times New Roman" w:cs="Times New Roman"/>
          <w:i/>
        </w:rPr>
        <w:t xml:space="preserve">Liber de </w:t>
      </w:r>
      <w:proofErr w:type="spellStart"/>
      <w:r w:rsidRPr="00A472FC">
        <w:rPr>
          <w:rFonts w:ascii="Times New Roman" w:hAnsi="Times New Roman" w:cs="Times New Roman"/>
          <w:i/>
        </w:rPr>
        <w:t>causis</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89"/>
      </w:r>
      <w:r w:rsidRPr="00A472FC">
        <w:rPr>
          <w:rFonts w:ascii="Times New Roman" w:hAnsi="Times New Roman" w:cs="Times New Roman"/>
        </w:rPr>
        <w:t xml:space="preserve"> This work was in fact a compilation based on the </w:t>
      </w:r>
      <w:r w:rsidRPr="00A472FC">
        <w:rPr>
          <w:rFonts w:ascii="Times New Roman" w:hAnsi="Times New Roman" w:cs="Times New Roman"/>
          <w:i/>
        </w:rPr>
        <w:t>Elements of Theology</w:t>
      </w:r>
      <w:r w:rsidRPr="00A472FC">
        <w:rPr>
          <w:rFonts w:ascii="Times New Roman" w:hAnsi="Times New Roman" w:cs="Times New Roman"/>
        </w:rPr>
        <w:t xml:space="preserve"> of </w:t>
      </w:r>
      <w:proofErr w:type="spellStart"/>
      <w:r w:rsidRPr="00A472FC">
        <w:rPr>
          <w:rFonts w:ascii="Times New Roman" w:hAnsi="Times New Roman" w:cs="Times New Roman"/>
        </w:rPr>
        <w:t>Proclus</w:t>
      </w:r>
      <w:proofErr w:type="spellEnd"/>
      <w:r w:rsidRPr="00A472FC">
        <w:rPr>
          <w:rFonts w:ascii="Times New Roman" w:hAnsi="Times New Roman" w:cs="Times New Roman"/>
        </w:rPr>
        <w:t xml:space="preserve">, which was identified as such by Aquinas in 1268. The inspiration for the work was the so-called </w:t>
      </w:r>
      <w:r w:rsidRPr="00A472FC">
        <w:rPr>
          <w:rFonts w:ascii="Times New Roman" w:hAnsi="Times New Roman" w:cs="Times New Roman"/>
          <w:i/>
        </w:rPr>
        <w:t xml:space="preserve">Theology of Aristotle, </w:t>
      </w:r>
      <w:r w:rsidRPr="00A472FC">
        <w:rPr>
          <w:rFonts w:ascii="Times New Roman" w:hAnsi="Times New Roman" w:cs="Times New Roman"/>
        </w:rPr>
        <w:t>which was not translated into Latin until the Renaissance, but which was influential for Arabic thinkers like Avicenna, who wrote a commentary on this text</w:t>
      </w:r>
      <w:r w:rsidR="00E36476" w:rsidRPr="00A472FC">
        <w:rPr>
          <w:rFonts w:ascii="Times New Roman" w:hAnsi="Times New Roman" w:cs="Times New Roman"/>
        </w:rPr>
        <w:t xml:space="preserve">, which is based heavily on the </w:t>
      </w:r>
      <w:r w:rsidR="00E36476" w:rsidRPr="00A472FC">
        <w:rPr>
          <w:rFonts w:ascii="Times New Roman" w:hAnsi="Times New Roman" w:cs="Times New Roman"/>
          <w:i/>
          <w:iCs/>
        </w:rPr>
        <w:t>Enneads</w:t>
      </w:r>
      <w:r w:rsidR="00E36476" w:rsidRPr="00A472FC">
        <w:rPr>
          <w:rFonts w:ascii="Times New Roman" w:hAnsi="Times New Roman" w:cs="Times New Roman"/>
        </w:rPr>
        <w:t xml:space="preserve"> of Plotinus</w:t>
      </w:r>
      <w:r w:rsidRPr="00A472FC">
        <w:rPr>
          <w:rFonts w:ascii="Times New Roman" w:hAnsi="Times New Roman" w:cs="Times New Roman"/>
        </w:rPr>
        <w:t>.</w:t>
      </w:r>
      <w:r w:rsidRPr="00A472FC">
        <w:rPr>
          <w:rStyle w:val="FootnoteReference"/>
          <w:rFonts w:ascii="Times New Roman" w:hAnsi="Times New Roman" w:cs="Times New Roman"/>
        </w:rPr>
        <w:footnoteReference w:id="90"/>
      </w:r>
      <w:r w:rsidRPr="00A472FC">
        <w:rPr>
          <w:rFonts w:ascii="Times New Roman" w:hAnsi="Times New Roman" w:cs="Times New Roman"/>
        </w:rPr>
        <w:t xml:space="preserve"> </w:t>
      </w:r>
    </w:p>
    <w:p w14:paraId="57E398AB" w14:textId="0C55CC1D" w:rsidR="00CD1BB4" w:rsidRPr="00A472FC" w:rsidRDefault="00CD1BB4" w:rsidP="00FE0855">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lastRenderedPageBreak/>
        <w:t xml:space="preserve">The confusion around Aristotle apparently extended to the commentaries of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which as noted were available to Latin thinkers from 1230 but were not extensively </w:t>
      </w:r>
      <w:proofErr w:type="spellStart"/>
      <w:r w:rsidRPr="00A472FC">
        <w:rPr>
          <w:rFonts w:ascii="Times New Roman" w:hAnsi="Times New Roman" w:cs="Times New Roman"/>
        </w:rPr>
        <w:t>utilized</w:t>
      </w:r>
      <w:proofErr w:type="spellEnd"/>
      <w:r w:rsidRPr="00A472FC">
        <w:rPr>
          <w:rFonts w:ascii="Times New Roman" w:hAnsi="Times New Roman" w:cs="Times New Roman"/>
        </w:rPr>
        <w:t xml:space="preserve"> or at least well-grasped until the 1240s or </w:t>
      </w:r>
      <w:r w:rsidR="008E0476" w:rsidRPr="00A472FC">
        <w:rPr>
          <w:rFonts w:ascii="Times New Roman" w:hAnsi="Times New Roman" w:cs="Times New Roman"/>
        </w:rPr>
        <w:t xml:space="preserve">even </w:t>
      </w:r>
      <w:r w:rsidRPr="00A472FC">
        <w:rPr>
          <w:rFonts w:ascii="Times New Roman" w:hAnsi="Times New Roman" w:cs="Times New Roman"/>
        </w:rPr>
        <w:t>later, when Aristotle himself began to be studied in a more focused and informed way.</w:t>
      </w:r>
      <w:r w:rsidRPr="00A472FC">
        <w:rPr>
          <w:rStyle w:val="FootnoteReference"/>
          <w:rFonts w:ascii="Times New Roman" w:hAnsi="Times New Roman" w:cs="Times New Roman"/>
        </w:rPr>
        <w:footnoteReference w:id="91"/>
      </w:r>
      <w:r w:rsidR="008E0476" w:rsidRPr="00A472FC">
        <w:rPr>
          <w:rFonts w:ascii="Times New Roman" w:hAnsi="Times New Roman" w:cs="Times New Roman"/>
        </w:rPr>
        <w:t xml:space="preserve"> </w:t>
      </w:r>
      <w:r w:rsidRPr="00A472FC">
        <w:rPr>
          <w:rFonts w:ascii="Times New Roman" w:hAnsi="Times New Roman" w:cs="Times New Roman"/>
        </w:rPr>
        <w:t xml:space="preserve">The fact that both Aristotle and Augustine tended to be read in line with Avicenna in this period meant that early scholastics and Franciscans especially found it relatively easy to </w:t>
      </w:r>
      <w:proofErr w:type="spellStart"/>
      <w:r w:rsidRPr="00A472FC">
        <w:rPr>
          <w:rFonts w:ascii="Times New Roman" w:hAnsi="Times New Roman" w:cs="Times New Roman"/>
        </w:rPr>
        <w:t>synthesize</w:t>
      </w:r>
      <w:proofErr w:type="spellEnd"/>
      <w:r w:rsidRPr="00A472FC">
        <w:rPr>
          <w:rFonts w:ascii="Times New Roman" w:hAnsi="Times New Roman" w:cs="Times New Roman"/>
        </w:rPr>
        <w:t xml:space="preserve"> these two authorities as well, even though they generally </w:t>
      </w:r>
      <w:proofErr w:type="spellStart"/>
      <w:r w:rsidRPr="00A472FC">
        <w:rPr>
          <w:rFonts w:ascii="Times New Roman" w:hAnsi="Times New Roman" w:cs="Times New Roman"/>
        </w:rPr>
        <w:t>recogni</w:t>
      </w:r>
      <w:r w:rsidR="00717A60" w:rsidRPr="00A472FC">
        <w:rPr>
          <w:rFonts w:ascii="Times New Roman" w:hAnsi="Times New Roman" w:cs="Times New Roman"/>
        </w:rPr>
        <w:t>ze</w:t>
      </w:r>
      <w:r w:rsidRPr="00A472FC">
        <w:rPr>
          <w:rFonts w:ascii="Times New Roman" w:hAnsi="Times New Roman" w:cs="Times New Roman"/>
        </w:rPr>
        <w:t>d</w:t>
      </w:r>
      <w:proofErr w:type="spellEnd"/>
      <w:r w:rsidRPr="00A472FC">
        <w:rPr>
          <w:rFonts w:ascii="Times New Roman" w:hAnsi="Times New Roman" w:cs="Times New Roman"/>
        </w:rPr>
        <w:t xml:space="preserve"> that the two thinkers operated</w:t>
      </w:r>
      <w:r w:rsidR="007B655F" w:rsidRPr="00A472FC">
        <w:rPr>
          <w:rFonts w:ascii="Times New Roman" w:hAnsi="Times New Roman" w:cs="Times New Roman"/>
        </w:rPr>
        <w:t>—</w:t>
      </w:r>
      <w:r w:rsidR="00B62299" w:rsidRPr="00A472FC">
        <w:rPr>
          <w:rFonts w:ascii="Times New Roman" w:hAnsi="Times New Roman" w:cs="Times New Roman"/>
        </w:rPr>
        <w:t>like</w:t>
      </w:r>
      <w:r w:rsidR="007B655F" w:rsidRPr="00A472FC">
        <w:rPr>
          <w:rFonts w:ascii="Times New Roman" w:hAnsi="Times New Roman" w:cs="Times New Roman"/>
        </w:rPr>
        <w:t xml:space="preserve"> Plato himself and Aristotle—in</w:t>
      </w:r>
      <w:r w:rsidR="00137796" w:rsidRPr="00A472FC">
        <w:rPr>
          <w:rFonts w:ascii="Times New Roman" w:hAnsi="Times New Roman" w:cs="Times New Roman"/>
        </w:rPr>
        <w:t xml:space="preserve"> </w:t>
      </w:r>
      <w:r w:rsidRPr="00A472FC">
        <w:rPr>
          <w:rFonts w:ascii="Times New Roman" w:hAnsi="Times New Roman" w:cs="Times New Roman"/>
        </w:rPr>
        <w:t xml:space="preserve">distinct spheres of expertise. As Dales </w:t>
      </w:r>
      <w:proofErr w:type="spellStart"/>
      <w:r w:rsidR="00670B1D" w:rsidRPr="00A472FC">
        <w:rPr>
          <w:rFonts w:ascii="Times New Roman" w:hAnsi="Times New Roman" w:cs="Times New Roman"/>
        </w:rPr>
        <w:t>summarizes</w:t>
      </w:r>
      <w:proofErr w:type="spellEnd"/>
      <w:r w:rsidRPr="00A472FC">
        <w:rPr>
          <w:rFonts w:ascii="Times New Roman" w:hAnsi="Times New Roman" w:cs="Times New Roman"/>
        </w:rPr>
        <w:t xml:space="preserve">, the author of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
        </w:rPr>
        <w:t xml:space="preserve"> </w:t>
      </w:r>
      <w:r w:rsidRPr="00A472FC">
        <w:rPr>
          <w:rFonts w:ascii="Times New Roman" w:hAnsi="Times New Roman" w:cs="Times New Roman"/>
          <w:iCs/>
        </w:rPr>
        <w:t>‘</w:t>
      </w:r>
      <w:r w:rsidRPr="00A472FC">
        <w:rPr>
          <w:rFonts w:ascii="Times New Roman" w:hAnsi="Times New Roman" w:cs="Times New Roman"/>
        </w:rPr>
        <w:t xml:space="preserve">saw no incompatibility between the doctrines of Augustine and Aristotle, and he tried to </w:t>
      </w:r>
      <w:proofErr w:type="spellStart"/>
      <w:r w:rsidRPr="00A472FC">
        <w:rPr>
          <w:rFonts w:ascii="Times New Roman" w:hAnsi="Times New Roman" w:cs="Times New Roman"/>
        </w:rPr>
        <w:t>harmonize</w:t>
      </w:r>
      <w:proofErr w:type="spellEnd"/>
      <w:r w:rsidRPr="00A472FC">
        <w:rPr>
          <w:rFonts w:ascii="Times New Roman" w:hAnsi="Times New Roman" w:cs="Times New Roman"/>
        </w:rPr>
        <w:t xml:space="preserve"> them, usually by interpreting Aristotle in a sense consonant with Augustine.’</w:t>
      </w:r>
      <w:r w:rsidRPr="00A472FC">
        <w:rPr>
          <w:rStyle w:val="FootnoteReference"/>
          <w:rFonts w:ascii="Times New Roman" w:hAnsi="Times New Roman" w:cs="Times New Roman"/>
        </w:rPr>
        <w:footnoteReference w:id="92"/>
      </w:r>
      <w:r w:rsidRPr="00A472FC">
        <w:rPr>
          <w:rFonts w:ascii="Times New Roman" w:hAnsi="Times New Roman" w:cs="Times New Roman"/>
        </w:rPr>
        <w:t xml:space="preserve"> The key to this strategy, we have seen, involved interpreting both Aristotle and Augustine </w:t>
      </w:r>
      <w:r w:rsidR="00137796" w:rsidRPr="00A472FC">
        <w:rPr>
          <w:rFonts w:ascii="Times New Roman" w:hAnsi="Times New Roman" w:cs="Times New Roman"/>
        </w:rPr>
        <w:t>along the lines of</w:t>
      </w:r>
      <w:r w:rsidRPr="00A472FC">
        <w:rPr>
          <w:rFonts w:ascii="Times New Roman" w:hAnsi="Times New Roman" w:cs="Times New Roman"/>
        </w:rPr>
        <w:t xml:space="preserve"> Avicenna, with the assistance of spurious Augustinian and Aristotelian works that</w:t>
      </w:r>
      <w:r w:rsidR="00553A9D" w:rsidRPr="00A472FC">
        <w:rPr>
          <w:rFonts w:ascii="Times New Roman" w:hAnsi="Times New Roman" w:cs="Times New Roman"/>
        </w:rPr>
        <w:t xml:space="preserve"> supported </w:t>
      </w:r>
      <w:r w:rsidRPr="00A472FC">
        <w:rPr>
          <w:rFonts w:ascii="Times New Roman" w:hAnsi="Times New Roman" w:cs="Times New Roman"/>
        </w:rPr>
        <w:t xml:space="preserve">this kind of </w:t>
      </w:r>
      <w:proofErr w:type="spellStart"/>
      <w:r w:rsidR="00FE0855" w:rsidRPr="00A472FC">
        <w:rPr>
          <w:rFonts w:ascii="Times New Roman" w:hAnsi="Times New Roman" w:cs="Times New Roman"/>
        </w:rPr>
        <w:t>Neo-Platonized</w:t>
      </w:r>
      <w:proofErr w:type="spellEnd"/>
      <w:r w:rsidR="00FE0855" w:rsidRPr="00A472FC">
        <w:rPr>
          <w:rFonts w:ascii="Times New Roman" w:hAnsi="Times New Roman" w:cs="Times New Roman"/>
        </w:rPr>
        <w:t xml:space="preserve"> Aristotelianism</w:t>
      </w:r>
      <w:r w:rsidRPr="00A472FC">
        <w:rPr>
          <w:rFonts w:ascii="Times New Roman" w:hAnsi="Times New Roman" w:cs="Times New Roman"/>
        </w:rPr>
        <w:t xml:space="preserve">. </w:t>
      </w:r>
    </w:p>
    <w:p w14:paraId="5164B58E" w14:textId="2AEB1DAA" w:rsidR="00CD1BB4" w:rsidRPr="00A472FC" w:rsidRDefault="00CD1BB4"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The most </w:t>
      </w:r>
      <w:proofErr w:type="spellStart"/>
      <w:r w:rsidRPr="00A472FC">
        <w:rPr>
          <w:rFonts w:ascii="Times New Roman" w:hAnsi="Times New Roman" w:cs="Times New Roman"/>
        </w:rPr>
        <w:t>utilized</w:t>
      </w:r>
      <w:proofErr w:type="spellEnd"/>
      <w:r w:rsidRPr="00A472FC">
        <w:rPr>
          <w:rFonts w:ascii="Times New Roman" w:hAnsi="Times New Roman" w:cs="Times New Roman"/>
        </w:rPr>
        <w:t xml:space="preserve"> work in this regard, Avicenna’s </w:t>
      </w:r>
      <w:r w:rsidRPr="00A472FC">
        <w:rPr>
          <w:rFonts w:ascii="Times New Roman" w:hAnsi="Times New Roman" w:cs="Times New Roman"/>
          <w:i/>
        </w:rPr>
        <w:t xml:space="preserve">De anima, </w:t>
      </w:r>
      <w:r w:rsidRPr="00A472FC">
        <w:rPr>
          <w:rFonts w:ascii="Times New Roman" w:hAnsi="Times New Roman" w:cs="Times New Roman"/>
        </w:rPr>
        <w:t xml:space="preserve">is divided into five sections which formed the structural basis for many subsequent </w:t>
      </w:r>
      <w:r w:rsidR="007E0E67" w:rsidRPr="00A472FC">
        <w:rPr>
          <w:rFonts w:ascii="Times New Roman" w:hAnsi="Times New Roman" w:cs="Times New Roman"/>
        </w:rPr>
        <w:t xml:space="preserve">Latin </w:t>
      </w:r>
      <w:r w:rsidRPr="00A472FC">
        <w:rPr>
          <w:rFonts w:ascii="Times New Roman" w:hAnsi="Times New Roman" w:cs="Times New Roman"/>
        </w:rPr>
        <w:t xml:space="preserve">works </w:t>
      </w:r>
      <w:r w:rsidR="006E4B1F" w:rsidRPr="00A472FC">
        <w:rPr>
          <w:rFonts w:ascii="Times New Roman" w:hAnsi="Times New Roman" w:cs="Times New Roman"/>
        </w:rPr>
        <w:t>o</w:t>
      </w:r>
      <w:r w:rsidR="005E7C72" w:rsidRPr="00A472FC">
        <w:rPr>
          <w:rFonts w:ascii="Times New Roman" w:hAnsi="Times New Roman" w:cs="Times New Roman"/>
        </w:rPr>
        <w:t>n</w:t>
      </w:r>
      <w:r w:rsidR="006E4B1F" w:rsidRPr="00A472FC">
        <w:rPr>
          <w:rFonts w:ascii="Times New Roman" w:hAnsi="Times New Roman" w:cs="Times New Roman"/>
        </w:rPr>
        <w:t xml:space="preserve"> psychology</w:t>
      </w:r>
      <w:r w:rsidRPr="00A472FC">
        <w:rPr>
          <w:rFonts w:ascii="Times New Roman" w:hAnsi="Times New Roman" w:cs="Times New Roman"/>
        </w:rPr>
        <w:t xml:space="preserve">, including the writings on the soul </w:t>
      </w:r>
      <w:r w:rsidR="00C6481F" w:rsidRPr="00A472FC">
        <w:rPr>
          <w:rFonts w:ascii="Times New Roman" w:hAnsi="Times New Roman" w:cs="Times New Roman"/>
        </w:rPr>
        <w:t>by</w:t>
      </w:r>
      <w:r w:rsidRPr="00A472FC">
        <w:rPr>
          <w:rFonts w:ascii="Times New Roman" w:hAnsi="Times New Roman" w:cs="Times New Roman"/>
        </w:rPr>
        <w:t xml:space="preserve"> John of La Rochelle. These sections cover the general definition of the soul (book one); </w:t>
      </w:r>
      <w:r w:rsidRPr="00A472FC">
        <w:rPr>
          <w:rFonts w:ascii="Times New Roman" w:hAnsi="Times New Roman" w:cs="Times New Roman"/>
          <w:lang w:val="en-US"/>
        </w:rPr>
        <w:t>the faculties of the vegetative soul and the</w:t>
      </w:r>
      <w:r w:rsidRPr="00A472FC">
        <w:rPr>
          <w:rFonts w:ascii="Times New Roman" w:hAnsi="Times New Roman" w:cs="Times New Roman"/>
        </w:rPr>
        <w:t xml:space="preserve"> five </w:t>
      </w:r>
      <w:r w:rsidRPr="00A472FC">
        <w:rPr>
          <w:rFonts w:ascii="Times New Roman" w:hAnsi="Times New Roman" w:cs="Times New Roman"/>
          <w:lang w:val="en-US"/>
        </w:rPr>
        <w:t>external senses except vision (book two); vision (book three); the five internal senses and</w:t>
      </w:r>
      <w:r w:rsidRPr="00A472FC">
        <w:rPr>
          <w:rFonts w:ascii="Times New Roman" w:hAnsi="Times New Roman" w:cs="Times New Roman"/>
        </w:rPr>
        <w:t xml:space="preserve"> </w:t>
      </w:r>
      <w:r w:rsidRPr="00A472FC">
        <w:rPr>
          <w:rFonts w:ascii="Times New Roman" w:hAnsi="Times New Roman" w:cs="Times New Roman"/>
          <w:lang w:val="en-US"/>
        </w:rPr>
        <w:t>the motive faculties (book four); and the rational soul (book five).</w:t>
      </w:r>
      <w:r w:rsidRPr="00A472FC">
        <w:rPr>
          <w:rFonts w:ascii="Times New Roman" w:hAnsi="Times New Roman" w:cs="Times New Roman"/>
        </w:rPr>
        <w:t xml:space="preserve"> What set this work apart from previous works on the same topic was that it treated many of the powers already discussed—such as the Platonic triad of rational, irascible, and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powers—but far exceeded earlier accounts in terms of the level of complexity at which it explained the processes of external sensation, internal sensation, otherwise called ‘imagination’, and intellection. </w:t>
      </w:r>
    </w:p>
    <w:p w14:paraId="1F95F5D5" w14:textId="507E0203" w:rsidR="00CD1BB4" w:rsidRPr="00A472FC" w:rsidRDefault="00CD1BB4"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lang w:val="en-US"/>
        </w:rPr>
        <w:t>In addition to the highly influential views Avicenna held about the soul as a separate substance</w:t>
      </w:r>
      <w:r w:rsidR="009A5E3F" w:rsidRPr="00A472FC">
        <w:rPr>
          <w:rFonts w:ascii="Times New Roman" w:hAnsi="Times New Roman" w:cs="Times New Roman"/>
          <w:lang w:val="en-US"/>
        </w:rPr>
        <w:t xml:space="preserve"> from the body</w:t>
      </w:r>
      <w:r w:rsidRPr="00A472FC">
        <w:rPr>
          <w:rFonts w:ascii="Times New Roman" w:hAnsi="Times New Roman" w:cs="Times New Roman"/>
          <w:lang w:val="en-US"/>
        </w:rPr>
        <w:t xml:space="preserve">, to be discussed in </w:t>
      </w:r>
      <w:r w:rsidR="00266175" w:rsidRPr="00A472FC">
        <w:rPr>
          <w:rFonts w:ascii="Times New Roman" w:hAnsi="Times New Roman" w:cs="Times New Roman"/>
          <w:lang w:val="en-US"/>
        </w:rPr>
        <w:t>chapter three</w:t>
      </w:r>
      <w:r w:rsidRPr="00A472FC">
        <w:rPr>
          <w:rFonts w:ascii="Times New Roman" w:hAnsi="Times New Roman" w:cs="Times New Roman"/>
          <w:lang w:val="en-US"/>
        </w:rPr>
        <w:t>, Avicenna was famous for his five-fold account of internal sensation, which traced every step in the process of producing a mental image of a particular empirical object at a level of detail unimagined previously.</w:t>
      </w:r>
      <w:r w:rsidRPr="00A472FC">
        <w:rPr>
          <w:rFonts w:ascii="Times New Roman" w:hAnsi="Times New Roman" w:cs="Times New Roman"/>
        </w:rPr>
        <w:t xml:space="preserve"> </w:t>
      </w:r>
      <w:r w:rsidRPr="00A472FC">
        <w:rPr>
          <w:rFonts w:ascii="Times New Roman" w:hAnsi="Times New Roman" w:cs="Times New Roman"/>
          <w:lang w:val="en-US"/>
        </w:rPr>
        <w:t xml:space="preserve">With similar sophistication, Avicenna divided the intellectual work of abstracting a universal on the basis of that image into four phases, which he described as four intellects: the material, the intellect </w:t>
      </w:r>
      <w:r w:rsidRPr="00A472FC">
        <w:rPr>
          <w:rFonts w:ascii="Times New Roman" w:hAnsi="Times New Roman" w:cs="Times New Roman"/>
          <w:i/>
          <w:lang w:val="en-US"/>
        </w:rPr>
        <w:t xml:space="preserve">in </w:t>
      </w:r>
      <w:proofErr w:type="spellStart"/>
      <w:r w:rsidRPr="00A472FC">
        <w:rPr>
          <w:rFonts w:ascii="Times New Roman" w:hAnsi="Times New Roman" w:cs="Times New Roman"/>
          <w:i/>
          <w:lang w:val="en-US"/>
        </w:rPr>
        <w:t>habitu</w:t>
      </w:r>
      <w:proofErr w:type="spellEnd"/>
      <w:r w:rsidRPr="00A472FC">
        <w:rPr>
          <w:rFonts w:ascii="Times New Roman" w:hAnsi="Times New Roman" w:cs="Times New Roman"/>
          <w:lang w:val="en-US"/>
        </w:rPr>
        <w:t xml:space="preserve">, the intellect </w:t>
      </w:r>
      <w:r w:rsidRPr="00A472FC">
        <w:rPr>
          <w:rFonts w:ascii="Times New Roman" w:hAnsi="Times New Roman" w:cs="Times New Roman"/>
          <w:i/>
          <w:lang w:val="en-US"/>
        </w:rPr>
        <w:t xml:space="preserve">in </w:t>
      </w:r>
      <w:proofErr w:type="spellStart"/>
      <w:r w:rsidRPr="00A472FC">
        <w:rPr>
          <w:rFonts w:ascii="Times New Roman" w:hAnsi="Times New Roman" w:cs="Times New Roman"/>
          <w:i/>
          <w:lang w:val="en-US"/>
        </w:rPr>
        <w:t>effectu</w:t>
      </w:r>
      <w:proofErr w:type="spellEnd"/>
      <w:r w:rsidRPr="00A472FC">
        <w:rPr>
          <w:rFonts w:ascii="Times New Roman" w:hAnsi="Times New Roman" w:cs="Times New Roman"/>
          <w:lang w:val="en-US"/>
        </w:rPr>
        <w:t xml:space="preserve">, and the active intellect. Famously, he posited a separate active intellect to which the human intellect must be joined in order to succeed in abstraction. </w:t>
      </w:r>
    </w:p>
    <w:p w14:paraId="0F70EADB" w14:textId="6986A319" w:rsidR="000A1C15" w:rsidRPr="00A472FC" w:rsidRDefault="00557426" w:rsidP="00327D02">
      <w:pPr>
        <w:autoSpaceDE w:val="0"/>
        <w:autoSpaceDN w:val="0"/>
        <w:adjustRightInd w:val="0"/>
        <w:ind w:right="-52" w:firstLine="720"/>
        <w:rPr>
          <w:rFonts w:ascii="Times New Roman" w:hAnsi="Times New Roman" w:cs="Times New Roman"/>
        </w:rPr>
      </w:pPr>
      <w:r w:rsidRPr="00A472FC">
        <w:rPr>
          <w:rFonts w:ascii="Times New Roman" w:hAnsi="Times New Roman" w:cs="Times New Roman"/>
          <w:lang w:val="en-US"/>
        </w:rPr>
        <w:t xml:space="preserve">As </w:t>
      </w:r>
      <w:r w:rsidR="00CD1BB4" w:rsidRPr="00A472FC">
        <w:rPr>
          <w:rFonts w:ascii="Times New Roman" w:hAnsi="Times New Roman" w:cs="Times New Roman"/>
          <w:lang w:val="en-US"/>
        </w:rPr>
        <w:t>Hasse</w:t>
      </w:r>
      <w:r w:rsidRPr="00A472FC">
        <w:rPr>
          <w:rFonts w:ascii="Times New Roman" w:hAnsi="Times New Roman" w:cs="Times New Roman"/>
          <w:lang w:val="en-US"/>
        </w:rPr>
        <w:t xml:space="preserve"> observes</w:t>
      </w:r>
      <w:r w:rsidR="00CD1BB4" w:rsidRPr="00A472FC">
        <w:rPr>
          <w:rFonts w:ascii="Times New Roman" w:hAnsi="Times New Roman" w:cs="Times New Roman"/>
          <w:lang w:val="en-US"/>
        </w:rPr>
        <w:t xml:space="preserve">, two versions of the </w:t>
      </w:r>
      <w:r w:rsidR="00CD1BB4" w:rsidRPr="00A472FC">
        <w:rPr>
          <w:rFonts w:ascii="Times New Roman" w:hAnsi="Times New Roman" w:cs="Times New Roman"/>
          <w:i/>
          <w:iCs/>
          <w:lang w:val="en-US"/>
        </w:rPr>
        <w:t xml:space="preserve">De anima </w:t>
      </w:r>
      <w:r w:rsidR="00CD1BB4" w:rsidRPr="00A472FC">
        <w:rPr>
          <w:rFonts w:ascii="Times New Roman" w:hAnsi="Times New Roman" w:cs="Times New Roman"/>
          <w:lang w:val="en-US"/>
        </w:rPr>
        <w:t xml:space="preserve">circulated in this period, versions A and B. Version B is the basis for the modern edition, which nonetheless gives </w:t>
      </w:r>
      <w:r w:rsidR="00CD1BB4" w:rsidRPr="00A472FC">
        <w:rPr>
          <w:rFonts w:ascii="Times New Roman" w:hAnsi="Times New Roman" w:cs="Times New Roman"/>
        </w:rPr>
        <w:t xml:space="preserve">the variants from A. While John of La Rochelle in his </w:t>
      </w:r>
      <w:r w:rsidR="00CD1BB4" w:rsidRPr="00A472FC">
        <w:rPr>
          <w:rFonts w:ascii="Times New Roman" w:hAnsi="Times New Roman" w:cs="Times New Roman"/>
          <w:i/>
        </w:rPr>
        <w:t xml:space="preserve">Summa de anima </w:t>
      </w:r>
      <w:r w:rsidR="00CD1BB4" w:rsidRPr="00A472FC">
        <w:rPr>
          <w:rFonts w:ascii="Times New Roman" w:hAnsi="Times New Roman" w:cs="Times New Roman"/>
        </w:rPr>
        <w:t xml:space="preserve">and Albert the Great quoted from B, Rochelle in his </w:t>
      </w:r>
      <w:proofErr w:type="spellStart"/>
      <w:r w:rsidR="00CD1BB4" w:rsidRPr="00A472FC">
        <w:rPr>
          <w:rFonts w:ascii="Times New Roman" w:hAnsi="Times New Roman" w:cs="Times New Roman"/>
          <w:i/>
        </w:rPr>
        <w:t>Tractatus</w:t>
      </w:r>
      <w:proofErr w:type="spellEnd"/>
      <w:r w:rsidR="00CD1BB4" w:rsidRPr="00A472FC">
        <w:rPr>
          <w:rFonts w:ascii="Times New Roman" w:hAnsi="Times New Roman" w:cs="Times New Roman"/>
        </w:rPr>
        <w:t xml:space="preserve">, </w:t>
      </w:r>
      <w:proofErr w:type="spellStart"/>
      <w:r w:rsidR="00CD1BB4" w:rsidRPr="00A472FC">
        <w:rPr>
          <w:rFonts w:ascii="Times New Roman" w:hAnsi="Times New Roman" w:cs="Times New Roman"/>
        </w:rPr>
        <w:t>Gundissalinus</w:t>
      </w:r>
      <w:proofErr w:type="spellEnd"/>
      <w:r w:rsidR="00CD1BB4" w:rsidRPr="00A472FC">
        <w:rPr>
          <w:rFonts w:ascii="Times New Roman" w:hAnsi="Times New Roman" w:cs="Times New Roman"/>
        </w:rPr>
        <w:t xml:space="preserve"> and </w:t>
      </w:r>
      <w:proofErr w:type="spellStart"/>
      <w:r w:rsidR="00CD1BB4" w:rsidRPr="00A472FC">
        <w:rPr>
          <w:rFonts w:ascii="Times New Roman" w:hAnsi="Times New Roman" w:cs="Times New Roman"/>
        </w:rPr>
        <w:t>Blund</w:t>
      </w:r>
      <w:proofErr w:type="spellEnd"/>
      <w:r w:rsidR="00CD1BB4" w:rsidRPr="00A472FC">
        <w:rPr>
          <w:rFonts w:ascii="Times New Roman" w:hAnsi="Times New Roman" w:cs="Times New Roman"/>
        </w:rPr>
        <w:t xml:space="preserve"> quoted A. This suggests that B was likely a reworked version of A.</w:t>
      </w:r>
      <w:r w:rsidR="00CD1BB4" w:rsidRPr="00A472FC">
        <w:rPr>
          <w:rStyle w:val="FootnoteReference"/>
          <w:rFonts w:ascii="Times New Roman" w:hAnsi="Times New Roman" w:cs="Times New Roman"/>
        </w:rPr>
        <w:footnoteReference w:id="93"/>
      </w:r>
      <w:r w:rsidR="00CD1BB4" w:rsidRPr="00A472FC">
        <w:rPr>
          <w:rFonts w:ascii="Times New Roman" w:hAnsi="Times New Roman" w:cs="Times New Roman"/>
        </w:rPr>
        <w:t xml:space="preserve"> </w:t>
      </w:r>
      <w:r w:rsidR="000A1C15" w:rsidRPr="00A472FC">
        <w:rPr>
          <w:rFonts w:ascii="Times New Roman" w:hAnsi="Times New Roman" w:cs="Times New Roman"/>
        </w:rPr>
        <w:t>As noted already, t</w:t>
      </w:r>
      <w:r w:rsidR="00CD1BB4" w:rsidRPr="00A472FC">
        <w:rPr>
          <w:rFonts w:ascii="Times New Roman" w:hAnsi="Times New Roman" w:cs="Times New Roman"/>
        </w:rPr>
        <w:t xml:space="preserve">he work itself was translated </w:t>
      </w:r>
      <w:r w:rsidR="000A1C15" w:rsidRPr="00A472FC">
        <w:rPr>
          <w:rFonts w:ascii="Times New Roman" w:hAnsi="Times New Roman" w:cs="Times New Roman"/>
        </w:rPr>
        <w:t xml:space="preserve">between 1152-66 by </w:t>
      </w:r>
      <w:proofErr w:type="spellStart"/>
      <w:r w:rsidR="000A1C15" w:rsidRPr="00A472FC">
        <w:rPr>
          <w:rFonts w:ascii="Times New Roman" w:hAnsi="Times New Roman" w:cs="Times New Roman"/>
        </w:rPr>
        <w:t>Dominicus</w:t>
      </w:r>
      <w:proofErr w:type="spellEnd"/>
      <w:r w:rsidR="000A1C15" w:rsidRPr="00A472FC">
        <w:rPr>
          <w:rFonts w:ascii="Times New Roman" w:hAnsi="Times New Roman" w:cs="Times New Roman"/>
        </w:rPr>
        <w:t xml:space="preserve"> </w:t>
      </w:r>
      <w:proofErr w:type="spellStart"/>
      <w:r w:rsidR="000A1C15" w:rsidRPr="00A472FC">
        <w:rPr>
          <w:rFonts w:ascii="Times New Roman" w:hAnsi="Times New Roman" w:cs="Times New Roman"/>
        </w:rPr>
        <w:t>Gundissalinus</w:t>
      </w:r>
      <w:proofErr w:type="spellEnd"/>
      <w:r w:rsidR="000A1C15" w:rsidRPr="00A472FC">
        <w:rPr>
          <w:rFonts w:ascii="Times New Roman" w:hAnsi="Times New Roman" w:cs="Times New Roman"/>
        </w:rPr>
        <w:t xml:space="preserve"> (c. 1115-post 1190) and </w:t>
      </w:r>
      <w:proofErr w:type="spellStart"/>
      <w:r w:rsidR="00FD3BB0" w:rsidRPr="00A472FC">
        <w:rPr>
          <w:rFonts w:ascii="Times New Roman" w:hAnsi="Times New Roman" w:cs="Times New Roman"/>
        </w:rPr>
        <w:t>Avend</w:t>
      </w:r>
      <w:r w:rsidR="00D11E55" w:rsidRPr="00A472FC">
        <w:rPr>
          <w:rFonts w:ascii="Times New Roman" w:hAnsi="Times New Roman" w:cs="Times New Roman"/>
        </w:rPr>
        <w:t>a</w:t>
      </w:r>
      <w:r w:rsidR="00FD3BB0" w:rsidRPr="00A472FC">
        <w:rPr>
          <w:rFonts w:ascii="Times New Roman" w:hAnsi="Times New Roman" w:cs="Times New Roman"/>
        </w:rPr>
        <w:t>uth</w:t>
      </w:r>
      <w:proofErr w:type="spellEnd"/>
      <w:r w:rsidR="002F0C39" w:rsidRPr="00A472FC">
        <w:rPr>
          <w:rFonts w:ascii="Times New Roman" w:hAnsi="Times New Roman" w:cs="Times New Roman"/>
        </w:rPr>
        <w:t xml:space="preserve"> </w:t>
      </w:r>
      <w:r w:rsidR="0091481E" w:rsidRPr="00A472FC">
        <w:rPr>
          <w:rFonts w:ascii="Times New Roman" w:hAnsi="Times New Roman" w:cs="Times New Roman"/>
        </w:rPr>
        <w:t xml:space="preserve">(c. 1110-c. 1180) </w:t>
      </w:r>
      <w:r w:rsidR="000A1C15" w:rsidRPr="00A472FC">
        <w:rPr>
          <w:rFonts w:ascii="Times New Roman" w:hAnsi="Times New Roman" w:cs="Times New Roman"/>
        </w:rPr>
        <w:t>who were some of the most prolific of the translators based in Toledo, Spain</w:t>
      </w:r>
      <w:r w:rsidR="00F3565C" w:rsidRPr="00A472FC">
        <w:rPr>
          <w:rFonts w:ascii="Times New Roman" w:hAnsi="Times New Roman" w:cs="Times New Roman"/>
        </w:rPr>
        <w:t xml:space="preserve">, which was a major </w:t>
      </w:r>
      <w:proofErr w:type="spellStart"/>
      <w:r w:rsidR="00F3565C" w:rsidRPr="00A472FC">
        <w:rPr>
          <w:rFonts w:ascii="Times New Roman" w:hAnsi="Times New Roman" w:cs="Times New Roman"/>
        </w:rPr>
        <w:t>center</w:t>
      </w:r>
      <w:proofErr w:type="spellEnd"/>
      <w:r w:rsidR="00F3565C" w:rsidRPr="00A472FC">
        <w:rPr>
          <w:rFonts w:ascii="Times New Roman" w:hAnsi="Times New Roman" w:cs="Times New Roman"/>
        </w:rPr>
        <w:t xml:space="preserve"> for </w:t>
      </w:r>
      <w:proofErr w:type="spellStart"/>
      <w:r w:rsidR="00F3565C" w:rsidRPr="00A472FC">
        <w:rPr>
          <w:rFonts w:ascii="Times New Roman" w:hAnsi="Times New Roman" w:cs="Times New Roman"/>
        </w:rPr>
        <w:t>Arabo-Latin</w:t>
      </w:r>
      <w:proofErr w:type="spellEnd"/>
      <w:r w:rsidR="00F3565C" w:rsidRPr="00A472FC">
        <w:rPr>
          <w:rFonts w:ascii="Times New Roman" w:hAnsi="Times New Roman" w:cs="Times New Roman"/>
        </w:rPr>
        <w:t xml:space="preserve"> translations in this period</w:t>
      </w:r>
      <w:r w:rsidR="000A1C15" w:rsidRPr="00A472FC">
        <w:rPr>
          <w:rFonts w:ascii="Times New Roman" w:hAnsi="Times New Roman" w:cs="Times New Roman"/>
        </w:rPr>
        <w:t>.</w:t>
      </w:r>
      <w:r w:rsidR="000A1C15" w:rsidRPr="00A472FC">
        <w:rPr>
          <w:rStyle w:val="FootnoteReference"/>
          <w:rFonts w:ascii="Times New Roman" w:hAnsi="Times New Roman" w:cs="Times New Roman"/>
        </w:rPr>
        <w:footnoteReference w:id="94"/>
      </w:r>
      <w:r w:rsidR="00327D02" w:rsidRPr="00A472FC">
        <w:rPr>
          <w:rFonts w:ascii="Times New Roman" w:hAnsi="Times New Roman" w:cs="Times New Roman"/>
        </w:rPr>
        <w:t xml:space="preserve"> </w:t>
      </w:r>
    </w:p>
    <w:p w14:paraId="1F0BF43F" w14:textId="5CDEEEB0" w:rsidR="00CD1BB4" w:rsidRPr="00A472FC" w:rsidRDefault="00CC07C6" w:rsidP="00FD3BB0">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In addition to producing the </w:t>
      </w:r>
      <w:r w:rsidR="00CD1BB4" w:rsidRPr="00A472FC">
        <w:rPr>
          <w:rFonts w:ascii="Times New Roman" w:hAnsi="Times New Roman" w:cs="Times New Roman"/>
        </w:rPr>
        <w:t>Latin version of Avicenna</w:t>
      </w:r>
      <w:r w:rsidRPr="00A472FC">
        <w:rPr>
          <w:rFonts w:ascii="Times New Roman" w:hAnsi="Times New Roman" w:cs="Times New Roman"/>
        </w:rPr>
        <w:t xml:space="preserve">, </w:t>
      </w:r>
      <w:proofErr w:type="spellStart"/>
      <w:r w:rsidR="00F77A36" w:rsidRPr="00A472FC">
        <w:rPr>
          <w:rFonts w:ascii="Times New Roman" w:hAnsi="Times New Roman" w:cs="Times New Roman"/>
        </w:rPr>
        <w:t>Avendauth</w:t>
      </w:r>
      <w:proofErr w:type="spellEnd"/>
      <w:r w:rsidR="00F77A36" w:rsidRPr="00A472FC">
        <w:rPr>
          <w:rFonts w:ascii="Times New Roman" w:hAnsi="Times New Roman" w:cs="Times New Roman"/>
        </w:rPr>
        <w:t xml:space="preserve"> and</w:t>
      </w:r>
      <w:r w:rsidR="00327D02" w:rsidRPr="00A472FC">
        <w:rPr>
          <w:rFonts w:ascii="Times New Roman" w:hAnsi="Times New Roman" w:cs="Times New Roman"/>
        </w:rPr>
        <w:t xml:space="preserve"> </w:t>
      </w:r>
      <w:proofErr w:type="spellStart"/>
      <w:r w:rsidR="00327D02" w:rsidRPr="00A472FC">
        <w:rPr>
          <w:rFonts w:ascii="Times New Roman" w:hAnsi="Times New Roman" w:cs="Times New Roman"/>
        </w:rPr>
        <w:t>Gundissalinus</w:t>
      </w:r>
      <w:proofErr w:type="spellEnd"/>
      <w:r w:rsidR="00327D02" w:rsidRPr="00A472FC">
        <w:rPr>
          <w:rFonts w:ascii="Times New Roman" w:hAnsi="Times New Roman" w:cs="Times New Roman"/>
        </w:rPr>
        <w:t xml:space="preserve"> are</w:t>
      </w:r>
      <w:r w:rsidRPr="00A472FC">
        <w:rPr>
          <w:rFonts w:ascii="Times New Roman" w:hAnsi="Times New Roman" w:cs="Times New Roman"/>
        </w:rPr>
        <w:t xml:space="preserve"> credited </w:t>
      </w:r>
      <w:r w:rsidR="00CD1BB4" w:rsidRPr="00A472FC">
        <w:rPr>
          <w:rFonts w:ascii="Times New Roman" w:hAnsi="Times New Roman" w:cs="Times New Roman"/>
        </w:rPr>
        <w:t xml:space="preserve">with the translation of more than twenty other Arabic works, including the </w:t>
      </w:r>
      <w:r w:rsidR="00CD1BB4" w:rsidRPr="00A472FC">
        <w:rPr>
          <w:rFonts w:ascii="Times New Roman" w:hAnsi="Times New Roman" w:cs="Times New Roman"/>
          <w:i/>
        </w:rPr>
        <w:t xml:space="preserve">De </w:t>
      </w:r>
      <w:proofErr w:type="spellStart"/>
      <w:r w:rsidR="00CD1BB4" w:rsidRPr="00A472FC">
        <w:rPr>
          <w:rFonts w:ascii="Times New Roman" w:hAnsi="Times New Roman" w:cs="Times New Roman"/>
          <w:i/>
        </w:rPr>
        <w:t>intellectu</w:t>
      </w:r>
      <w:proofErr w:type="spellEnd"/>
      <w:r w:rsidR="00CD1BB4" w:rsidRPr="00A472FC">
        <w:rPr>
          <w:rFonts w:ascii="Times New Roman" w:hAnsi="Times New Roman" w:cs="Times New Roman"/>
          <w:i/>
        </w:rPr>
        <w:t xml:space="preserve"> </w:t>
      </w:r>
      <w:r w:rsidR="00CD1BB4" w:rsidRPr="00A472FC">
        <w:rPr>
          <w:rFonts w:ascii="Times New Roman" w:hAnsi="Times New Roman" w:cs="Times New Roman"/>
        </w:rPr>
        <w:t xml:space="preserve">of </w:t>
      </w:r>
      <w:proofErr w:type="spellStart"/>
      <w:r w:rsidR="00CD1BB4" w:rsidRPr="00A472FC">
        <w:rPr>
          <w:rFonts w:ascii="Times New Roman" w:hAnsi="Times New Roman" w:cs="Times New Roman"/>
        </w:rPr>
        <w:t>Alfarabi</w:t>
      </w:r>
      <w:proofErr w:type="spellEnd"/>
      <w:r w:rsidR="00CD1BB4" w:rsidRPr="00A472FC">
        <w:rPr>
          <w:rFonts w:ascii="Times New Roman" w:hAnsi="Times New Roman" w:cs="Times New Roman"/>
        </w:rPr>
        <w:t xml:space="preserve"> and the </w:t>
      </w:r>
      <w:r w:rsidR="00CD1BB4" w:rsidRPr="00A472FC">
        <w:rPr>
          <w:rFonts w:ascii="Times New Roman" w:hAnsi="Times New Roman" w:cs="Times New Roman"/>
          <w:i/>
        </w:rPr>
        <w:t xml:space="preserve">Fons vitae </w:t>
      </w:r>
      <w:r w:rsidR="00CD1BB4" w:rsidRPr="00A472FC">
        <w:rPr>
          <w:rFonts w:ascii="Times New Roman" w:hAnsi="Times New Roman" w:cs="Times New Roman"/>
        </w:rPr>
        <w:t xml:space="preserve">of the Jewish philosopher </w:t>
      </w:r>
      <w:proofErr w:type="spellStart"/>
      <w:r w:rsidR="00CD1BB4" w:rsidRPr="00A472FC">
        <w:rPr>
          <w:rFonts w:ascii="Times New Roman" w:hAnsi="Times New Roman" w:cs="Times New Roman"/>
        </w:rPr>
        <w:t>Avicebron</w:t>
      </w:r>
      <w:proofErr w:type="spellEnd"/>
      <w:r w:rsidR="006757E5" w:rsidRPr="00A472FC">
        <w:rPr>
          <w:rFonts w:ascii="Times New Roman" w:hAnsi="Times New Roman" w:cs="Times New Roman"/>
        </w:rPr>
        <w:t xml:space="preserve"> (Ibn </w:t>
      </w:r>
      <w:proofErr w:type="spellStart"/>
      <w:r w:rsidR="006757E5" w:rsidRPr="00A472FC">
        <w:rPr>
          <w:rFonts w:ascii="Times New Roman" w:hAnsi="Times New Roman" w:cs="Times New Roman"/>
        </w:rPr>
        <w:t>Gabirol</w:t>
      </w:r>
      <w:proofErr w:type="spellEnd"/>
      <w:r w:rsidR="006757E5" w:rsidRPr="00A472FC">
        <w:rPr>
          <w:rFonts w:ascii="Times New Roman" w:hAnsi="Times New Roman" w:cs="Times New Roman"/>
        </w:rPr>
        <w:t>)</w:t>
      </w:r>
      <w:r w:rsidR="00CD1BB4" w:rsidRPr="00A472FC">
        <w:rPr>
          <w:rFonts w:ascii="Times New Roman" w:hAnsi="Times New Roman" w:cs="Times New Roman"/>
        </w:rPr>
        <w:t xml:space="preserve">, </w:t>
      </w:r>
      <w:r w:rsidR="00CD1BB4" w:rsidRPr="00A472FC">
        <w:rPr>
          <w:rFonts w:ascii="Times New Roman" w:hAnsi="Times New Roman" w:cs="Times New Roman"/>
        </w:rPr>
        <w:lastRenderedPageBreak/>
        <w:t xml:space="preserve">which </w:t>
      </w:r>
      <w:r w:rsidR="001F794B" w:rsidRPr="00A472FC">
        <w:rPr>
          <w:rFonts w:ascii="Times New Roman" w:hAnsi="Times New Roman" w:cs="Times New Roman"/>
        </w:rPr>
        <w:t xml:space="preserve">had </w:t>
      </w:r>
      <w:r w:rsidR="00163A88" w:rsidRPr="00A472FC">
        <w:rPr>
          <w:rFonts w:ascii="Times New Roman" w:hAnsi="Times New Roman" w:cs="Times New Roman"/>
        </w:rPr>
        <w:t>far more</w:t>
      </w:r>
      <w:r w:rsidR="00CD1BB4" w:rsidRPr="00A472FC">
        <w:rPr>
          <w:rFonts w:ascii="Times New Roman" w:hAnsi="Times New Roman" w:cs="Times New Roman"/>
        </w:rPr>
        <w:t xml:space="preserve"> influence in the Latin West than it did in the </w:t>
      </w:r>
      <w:r w:rsidR="00C5215B" w:rsidRPr="00A472FC">
        <w:rPr>
          <w:rFonts w:ascii="Times New Roman" w:hAnsi="Times New Roman" w:cs="Times New Roman"/>
        </w:rPr>
        <w:t>Jewish</w:t>
      </w:r>
      <w:r w:rsidR="00CD1BB4" w:rsidRPr="00A472FC">
        <w:rPr>
          <w:rFonts w:ascii="Times New Roman" w:hAnsi="Times New Roman" w:cs="Times New Roman"/>
        </w:rPr>
        <w:t xml:space="preserve"> world.</w:t>
      </w:r>
      <w:r w:rsidR="00CD1BB4" w:rsidRPr="00A472FC">
        <w:rPr>
          <w:rStyle w:val="FootnoteReference"/>
          <w:rFonts w:ascii="Times New Roman" w:hAnsi="Times New Roman" w:cs="Times New Roman"/>
        </w:rPr>
        <w:footnoteReference w:id="95"/>
      </w:r>
      <w:r w:rsidR="00CD1BB4" w:rsidRPr="00A472FC">
        <w:rPr>
          <w:rFonts w:ascii="Times New Roman" w:hAnsi="Times New Roman" w:cs="Times New Roman"/>
        </w:rPr>
        <w:t xml:space="preserve"> </w:t>
      </w:r>
      <w:r w:rsidR="007676B8" w:rsidRPr="00A472FC">
        <w:rPr>
          <w:rFonts w:ascii="Times New Roman" w:hAnsi="Times New Roman" w:cs="Times New Roman"/>
        </w:rPr>
        <w:t>Further</w:t>
      </w:r>
      <w:r w:rsidR="00CD1BB4" w:rsidRPr="00A472FC">
        <w:rPr>
          <w:rFonts w:ascii="Times New Roman" w:hAnsi="Times New Roman" w:cs="Times New Roman"/>
        </w:rPr>
        <w:t xml:space="preserve"> to </w:t>
      </w:r>
      <w:r w:rsidR="008713B2" w:rsidRPr="00A472FC">
        <w:rPr>
          <w:rFonts w:ascii="Times New Roman" w:hAnsi="Times New Roman" w:cs="Times New Roman"/>
        </w:rPr>
        <w:t>such</w:t>
      </w:r>
      <w:r w:rsidR="00CD1BB4" w:rsidRPr="00A472FC">
        <w:rPr>
          <w:rFonts w:ascii="Times New Roman" w:hAnsi="Times New Roman" w:cs="Times New Roman"/>
        </w:rPr>
        <w:t xml:space="preserve"> translation projects, </w:t>
      </w:r>
      <w:proofErr w:type="spellStart"/>
      <w:r w:rsidR="00CD1BB4" w:rsidRPr="00A472FC">
        <w:rPr>
          <w:rFonts w:ascii="Times New Roman" w:hAnsi="Times New Roman" w:cs="Times New Roman"/>
        </w:rPr>
        <w:t>Gundissalinus</w:t>
      </w:r>
      <w:proofErr w:type="spellEnd"/>
      <w:r w:rsidR="00CD1BB4" w:rsidRPr="00A472FC">
        <w:rPr>
          <w:rFonts w:ascii="Times New Roman" w:hAnsi="Times New Roman" w:cs="Times New Roman"/>
        </w:rPr>
        <w:t xml:space="preserve"> wrote several works of his own, which extracted heavily from his translations and sought to re-present and </w:t>
      </w:r>
      <w:proofErr w:type="spellStart"/>
      <w:r w:rsidR="00CD1BB4" w:rsidRPr="00A472FC">
        <w:rPr>
          <w:rFonts w:ascii="Times New Roman" w:hAnsi="Times New Roman" w:cs="Times New Roman"/>
        </w:rPr>
        <w:t>synthesize</w:t>
      </w:r>
      <w:proofErr w:type="spellEnd"/>
      <w:r w:rsidR="00CD1BB4" w:rsidRPr="00A472FC">
        <w:rPr>
          <w:rFonts w:ascii="Times New Roman" w:hAnsi="Times New Roman" w:cs="Times New Roman"/>
        </w:rPr>
        <w:t xml:space="preserve"> some of the themes he found, especially </w:t>
      </w:r>
      <w:r w:rsidR="00E959A9" w:rsidRPr="00A472FC">
        <w:rPr>
          <w:rFonts w:ascii="Times New Roman" w:hAnsi="Times New Roman" w:cs="Times New Roman"/>
        </w:rPr>
        <w:t xml:space="preserve">in the </w:t>
      </w:r>
      <w:r w:rsidR="005B7F52" w:rsidRPr="00A472FC">
        <w:rPr>
          <w:rFonts w:ascii="Times New Roman" w:hAnsi="Times New Roman" w:cs="Times New Roman"/>
        </w:rPr>
        <w:t xml:space="preserve">writings </w:t>
      </w:r>
      <w:r w:rsidR="00CD1BB4" w:rsidRPr="00A472FC">
        <w:rPr>
          <w:rFonts w:ascii="Times New Roman" w:hAnsi="Times New Roman" w:cs="Times New Roman"/>
        </w:rPr>
        <w:t xml:space="preserve">of Avicenna and </w:t>
      </w:r>
      <w:proofErr w:type="spellStart"/>
      <w:r w:rsidR="00CD1BB4" w:rsidRPr="00A472FC">
        <w:rPr>
          <w:rFonts w:ascii="Times New Roman" w:hAnsi="Times New Roman" w:cs="Times New Roman"/>
        </w:rPr>
        <w:t>Avicebron</w:t>
      </w:r>
      <w:proofErr w:type="spellEnd"/>
      <w:r w:rsidR="00CD1BB4" w:rsidRPr="00A472FC">
        <w:rPr>
          <w:rFonts w:ascii="Times New Roman" w:hAnsi="Times New Roman" w:cs="Times New Roman"/>
        </w:rPr>
        <w:t>.</w:t>
      </w:r>
      <w:r w:rsidR="00FD3BB0" w:rsidRPr="00A472FC">
        <w:rPr>
          <w:rStyle w:val="FootnoteReference"/>
          <w:rFonts w:ascii="Times New Roman" w:hAnsi="Times New Roman" w:cs="Times New Roman"/>
        </w:rPr>
        <w:footnoteReference w:id="96"/>
      </w:r>
      <w:r w:rsidR="00CD1BB4" w:rsidRPr="00A472FC">
        <w:rPr>
          <w:rFonts w:ascii="Times New Roman" w:hAnsi="Times New Roman" w:cs="Times New Roman"/>
        </w:rPr>
        <w:t xml:space="preserve"> While Callus declared him to be a relatively uninteresting compiler for this reason, Hasse and </w:t>
      </w:r>
      <w:proofErr w:type="spellStart"/>
      <w:r w:rsidR="00CD1BB4" w:rsidRPr="00A472FC">
        <w:rPr>
          <w:rFonts w:ascii="Times New Roman" w:hAnsi="Times New Roman" w:cs="Times New Roman"/>
        </w:rPr>
        <w:t>Polloni</w:t>
      </w:r>
      <w:proofErr w:type="spellEnd"/>
      <w:r w:rsidR="00CD1BB4" w:rsidRPr="00A472FC">
        <w:rPr>
          <w:rFonts w:ascii="Times New Roman" w:hAnsi="Times New Roman" w:cs="Times New Roman"/>
        </w:rPr>
        <w:t xml:space="preserve"> among others have more recently highlighted the selective and intelligent nature of his compilations and their pivotal significance for transmitting key concepts from Arabic and Jewish philosophy to the Latin West.</w:t>
      </w:r>
      <w:r w:rsidR="00CD1BB4" w:rsidRPr="00A472FC">
        <w:rPr>
          <w:rStyle w:val="FootnoteReference"/>
          <w:rFonts w:ascii="Times New Roman" w:hAnsi="Times New Roman" w:cs="Times New Roman"/>
        </w:rPr>
        <w:footnoteReference w:id="97"/>
      </w:r>
      <w:r w:rsidR="00CD1BB4" w:rsidRPr="00A472FC">
        <w:rPr>
          <w:rFonts w:ascii="Times New Roman" w:hAnsi="Times New Roman" w:cs="Times New Roman"/>
        </w:rPr>
        <w:t xml:space="preserve">  </w:t>
      </w:r>
    </w:p>
    <w:p w14:paraId="28A5E955" w14:textId="7CC4B289" w:rsidR="00CD1BB4" w:rsidRPr="00A472FC" w:rsidRDefault="00CD1BB4"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The personal works of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include his early </w:t>
      </w:r>
      <w:r w:rsidRPr="00A472FC">
        <w:rPr>
          <w:rFonts w:ascii="Times New Roman" w:hAnsi="Times New Roman" w:cs="Times New Roman"/>
          <w:i/>
        </w:rPr>
        <w:t xml:space="preserve">De </w:t>
      </w:r>
      <w:proofErr w:type="spellStart"/>
      <w:r w:rsidRPr="00A472FC">
        <w:rPr>
          <w:rFonts w:ascii="Times New Roman" w:hAnsi="Times New Roman" w:cs="Times New Roman"/>
          <w:i/>
        </w:rPr>
        <w:t>unitate</w:t>
      </w:r>
      <w:proofErr w:type="spellEnd"/>
      <w:r w:rsidRPr="00A472FC">
        <w:rPr>
          <w:rFonts w:ascii="Times New Roman" w:hAnsi="Times New Roman" w:cs="Times New Roman"/>
          <w:i/>
        </w:rPr>
        <w:t xml:space="preserve"> et uno</w:t>
      </w:r>
      <w:r w:rsidRPr="00A472FC">
        <w:rPr>
          <w:rFonts w:ascii="Times New Roman" w:hAnsi="Times New Roman" w:cs="Times New Roman"/>
          <w:iCs/>
        </w:rPr>
        <w:t>,</w:t>
      </w:r>
      <w:r w:rsidR="00C06EB8" w:rsidRPr="00A472FC">
        <w:rPr>
          <w:rFonts w:ascii="Times New Roman" w:hAnsi="Times New Roman" w:cs="Times New Roman"/>
          <w:iCs/>
        </w:rPr>
        <w:t xml:space="preserve"> which was</w:t>
      </w:r>
      <w:r w:rsidRPr="00A472FC">
        <w:rPr>
          <w:rFonts w:ascii="Times New Roman" w:hAnsi="Times New Roman" w:cs="Times New Roman"/>
          <w:i/>
        </w:rPr>
        <w:t xml:space="preserve"> </w:t>
      </w:r>
      <w:r w:rsidRPr="00A472FC">
        <w:rPr>
          <w:rFonts w:ascii="Times New Roman" w:hAnsi="Times New Roman" w:cs="Times New Roman"/>
        </w:rPr>
        <w:t xml:space="preserve">likely written just after he translated </w:t>
      </w:r>
      <w:proofErr w:type="spellStart"/>
      <w:r w:rsidRPr="00A472FC">
        <w:rPr>
          <w:rFonts w:ascii="Times New Roman" w:hAnsi="Times New Roman" w:cs="Times New Roman"/>
        </w:rPr>
        <w:t>Avicebron’s</w:t>
      </w:r>
      <w:proofErr w:type="spellEnd"/>
      <w:r w:rsidRPr="00A472FC">
        <w:rPr>
          <w:rFonts w:ascii="Times New Roman" w:hAnsi="Times New Roman" w:cs="Times New Roman"/>
        </w:rPr>
        <w:t xml:space="preserve"> </w:t>
      </w:r>
      <w:r w:rsidRPr="00A472FC">
        <w:rPr>
          <w:rFonts w:ascii="Times New Roman" w:hAnsi="Times New Roman" w:cs="Times New Roman"/>
          <w:i/>
        </w:rPr>
        <w:t>Fons Vitae</w:t>
      </w:r>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given the enthusiasm he expresses there for </w:t>
      </w:r>
      <w:r w:rsidR="005B7F52" w:rsidRPr="00A472FC">
        <w:rPr>
          <w:rFonts w:ascii="Times New Roman" w:hAnsi="Times New Roman" w:cs="Times New Roman"/>
        </w:rPr>
        <w:t>that</w:t>
      </w:r>
      <w:r w:rsidRPr="00A472FC">
        <w:rPr>
          <w:rFonts w:ascii="Times New Roman" w:hAnsi="Times New Roman" w:cs="Times New Roman"/>
        </w:rPr>
        <w:t xml:space="preserve"> work.</w:t>
      </w:r>
      <w:r w:rsidRPr="00A472FC">
        <w:rPr>
          <w:rStyle w:val="FootnoteReference"/>
          <w:rFonts w:ascii="Times New Roman" w:hAnsi="Times New Roman" w:cs="Times New Roman"/>
        </w:rPr>
        <w:footnoteReference w:id="98"/>
      </w:r>
      <w:r w:rsidRPr="00A472FC">
        <w:rPr>
          <w:rFonts w:ascii="Times New Roman" w:hAnsi="Times New Roman" w:cs="Times New Roman"/>
        </w:rPr>
        <w:t xml:space="preserve"> The text was very popular in the Latin West, but it was falsely attributed to </w:t>
      </w:r>
      <w:proofErr w:type="spellStart"/>
      <w:r w:rsidRPr="00A472FC">
        <w:rPr>
          <w:rFonts w:ascii="Times New Roman" w:hAnsi="Times New Roman" w:cs="Times New Roman"/>
        </w:rPr>
        <w:t>Boethius</w:t>
      </w:r>
      <w:proofErr w:type="spellEnd"/>
      <w:r w:rsidRPr="00A472FC">
        <w:rPr>
          <w:rFonts w:ascii="Times New Roman" w:hAnsi="Times New Roman" w:cs="Times New Roman"/>
        </w:rPr>
        <w:t>, until Thomas Aquinas identified that it was not authentic.</w:t>
      </w:r>
      <w:r w:rsidRPr="00A472FC">
        <w:rPr>
          <w:rStyle w:val="FootnoteReference"/>
          <w:rFonts w:ascii="Times New Roman" w:hAnsi="Times New Roman" w:cs="Times New Roman"/>
        </w:rPr>
        <w:footnoteReference w:id="99"/>
      </w:r>
      <w:r w:rsidRPr="00A472FC">
        <w:rPr>
          <w:rFonts w:ascii="Times New Roman" w:hAnsi="Times New Roman" w:cs="Times New Roman"/>
        </w:rPr>
        <w:t xml:space="preserve"> In addition,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w:t>
      </w:r>
      <w:r w:rsidR="00A71E77" w:rsidRPr="00A472FC">
        <w:rPr>
          <w:rFonts w:ascii="Times New Roman" w:hAnsi="Times New Roman" w:cs="Times New Roman"/>
        </w:rPr>
        <w:t xml:space="preserve">most likely is the author of a </w:t>
      </w:r>
      <w:r w:rsidRPr="00A472FC">
        <w:rPr>
          <w:rFonts w:ascii="Times New Roman" w:hAnsi="Times New Roman" w:cs="Times New Roman"/>
        </w:rPr>
        <w:t xml:space="preserve">short treatise </w:t>
      </w:r>
      <w:r w:rsidRPr="00A472FC">
        <w:rPr>
          <w:rFonts w:ascii="Times New Roman" w:hAnsi="Times New Roman" w:cs="Times New Roman"/>
          <w:i/>
        </w:rPr>
        <w:t xml:space="preserve">De anima, </w:t>
      </w:r>
      <w:r w:rsidRPr="00A472FC">
        <w:rPr>
          <w:rFonts w:ascii="Times New Roman" w:hAnsi="Times New Roman" w:cs="Times New Roman"/>
        </w:rPr>
        <w:t xml:space="preserve">probably between 1170-75, whose account of the soul, its constitution and origins, is based largely on Avicenna’s </w:t>
      </w:r>
      <w:r w:rsidRPr="00A472FC">
        <w:rPr>
          <w:rFonts w:ascii="Times New Roman" w:hAnsi="Times New Roman" w:cs="Times New Roman"/>
          <w:i/>
        </w:rPr>
        <w:t>De anima.</w:t>
      </w:r>
      <w:r w:rsidRPr="00A472FC">
        <w:rPr>
          <w:rStyle w:val="FootnoteReference"/>
          <w:rFonts w:ascii="Times New Roman" w:hAnsi="Times New Roman" w:cs="Times New Roman"/>
        </w:rPr>
        <w:footnoteReference w:id="100"/>
      </w:r>
      <w:r w:rsidRPr="00A472FC">
        <w:rPr>
          <w:rFonts w:ascii="Times New Roman" w:hAnsi="Times New Roman" w:cs="Times New Roman"/>
        </w:rPr>
        <w:t xml:space="preserve"> Interestingly, only two authors—Albert the Great and Anonymous Gauthier, which I will discuss below—quote this work explicitly, which is extant in only six manuscripts.</w:t>
      </w:r>
      <w:r w:rsidRPr="00A472FC">
        <w:rPr>
          <w:rStyle w:val="FootnoteReference"/>
          <w:rFonts w:ascii="Times New Roman" w:hAnsi="Times New Roman" w:cs="Times New Roman"/>
        </w:rPr>
        <w:footnoteReference w:id="101"/>
      </w:r>
      <w:r w:rsidRPr="00A472FC">
        <w:rPr>
          <w:rFonts w:ascii="Times New Roman" w:hAnsi="Times New Roman" w:cs="Times New Roman"/>
        </w:rPr>
        <w:t xml:space="preserve"> </w:t>
      </w:r>
    </w:p>
    <w:p w14:paraId="7FF5308D" w14:textId="37F77FFA" w:rsidR="00CD1BB4" w:rsidRPr="00A472FC" w:rsidRDefault="00CD1BB4"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Though the</w:t>
      </w:r>
      <w:r w:rsidRPr="00A472FC">
        <w:rPr>
          <w:rFonts w:ascii="Times New Roman" w:hAnsi="Times New Roman" w:cs="Times New Roman"/>
          <w:i/>
        </w:rPr>
        <w:t xml:space="preserve"> De anima </w:t>
      </w:r>
      <w:r w:rsidRPr="00A472FC">
        <w:rPr>
          <w:rFonts w:ascii="Times New Roman" w:hAnsi="Times New Roman" w:cs="Times New Roman"/>
        </w:rPr>
        <w:t>does not seem to have circulated widely in the Latin by contrast to the Hebrew-speaking world, it remains significant nonetheless as the first historical instance of a view that would become popular amongst some Latin thinkers</w:t>
      </w:r>
      <w:r w:rsidR="007C3EFF" w:rsidRPr="00A472FC">
        <w:rPr>
          <w:rFonts w:ascii="Times New Roman" w:hAnsi="Times New Roman" w:cs="Times New Roman"/>
        </w:rPr>
        <w:t>, namely,</w:t>
      </w:r>
      <w:r w:rsidRPr="00A472FC">
        <w:rPr>
          <w:rFonts w:ascii="Times New Roman" w:hAnsi="Times New Roman" w:cs="Times New Roman"/>
        </w:rPr>
        <w:t xml:space="preserve"> that God is the separate Agent Intellect of which Avicenna speaks.</w:t>
      </w:r>
      <w:r w:rsidRPr="00A472FC">
        <w:rPr>
          <w:rStyle w:val="FootnoteReference"/>
          <w:rFonts w:ascii="Times New Roman" w:hAnsi="Times New Roman" w:cs="Times New Roman"/>
        </w:rPr>
        <w:footnoteReference w:id="102"/>
      </w:r>
      <w:r w:rsidRPr="00A472FC">
        <w:rPr>
          <w:rFonts w:ascii="Times New Roman" w:hAnsi="Times New Roman" w:cs="Times New Roman"/>
        </w:rPr>
        <w:t xml:space="preserve"> The work is also noteworthy for </w:t>
      </w:r>
      <w:r w:rsidRPr="00A472FC">
        <w:rPr>
          <w:rFonts w:ascii="Times New Roman" w:hAnsi="Times New Roman" w:cs="Times New Roman"/>
        </w:rPr>
        <w:lastRenderedPageBreak/>
        <w:t xml:space="preserve">the way it integrates a position of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that Avicenna did not hold, namely, that everything except God—including spiritual substances like the soul—is comprised of matter and form. While Avicenna like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did affirm a plurality of substantial forms in every being, namely, </w:t>
      </w:r>
      <w:r w:rsidR="00A8363C" w:rsidRPr="00A472FC">
        <w:rPr>
          <w:rFonts w:ascii="Times New Roman" w:hAnsi="Times New Roman" w:cs="Times New Roman"/>
        </w:rPr>
        <w:t>the soul and the body, where the latter is composed</w:t>
      </w:r>
      <w:r w:rsidRPr="00A472FC">
        <w:rPr>
          <w:rFonts w:ascii="Times New Roman" w:hAnsi="Times New Roman" w:cs="Times New Roman"/>
        </w:rPr>
        <w:t xml:space="preserve"> </w:t>
      </w:r>
      <w:r w:rsidR="00A8363C" w:rsidRPr="00A472FC">
        <w:rPr>
          <w:rFonts w:ascii="Times New Roman" w:hAnsi="Times New Roman" w:cs="Times New Roman"/>
        </w:rPr>
        <w:t>of</w:t>
      </w:r>
      <w:r w:rsidRPr="00A472FC">
        <w:rPr>
          <w:rFonts w:ascii="Times New Roman" w:hAnsi="Times New Roman" w:cs="Times New Roman"/>
        </w:rPr>
        <w:t xml:space="preserve"> prime matter and the so-called ‘form of corporeity,’ he insisted on the complete simplicity of the soul, which </w:t>
      </w:r>
      <w:r w:rsidR="0087514A" w:rsidRPr="00A472FC">
        <w:rPr>
          <w:rFonts w:ascii="Times New Roman" w:hAnsi="Times New Roman" w:cs="Times New Roman"/>
        </w:rPr>
        <w:t>is not subject to</w:t>
      </w:r>
      <w:r w:rsidRPr="00A472FC">
        <w:rPr>
          <w:rFonts w:ascii="Times New Roman" w:hAnsi="Times New Roman" w:cs="Times New Roman"/>
        </w:rPr>
        <w:t xml:space="preserve"> hylomorphic composition. </w:t>
      </w:r>
    </w:p>
    <w:p w14:paraId="7C5486C8" w14:textId="45D49F3F" w:rsidR="00CD1BB4" w:rsidRPr="00A472FC" w:rsidRDefault="00CD1BB4"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This position also recurs in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last work, </w:t>
      </w:r>
      <w:r w:rsidRPr="00A472FC">
        <w:rPr>
          <w:rFonts w:ascii="Times New Roman" w:hAnsi="Times New Roman" w:cs="Times New Roman"/>
          <w:i/>
        </w:rPr>
        <w:t xml:space="preserve">De </w:t>
      </w:r>
      <w:proofErr w:type="spellStart"/>
      <w:r w:rsidRPr="00A472FC">
        <w:rPr>
          <w:rFonts w:ascii="Times New Roman" w:hAnsi="Times New Roman" w:cs="Times New Roman"/>
          <w:i/>
        </w:rPr>
        <w:t>processione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mundi</w:t>
      </w:r>
      <w:proofErr w:type="spellEnd"/>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which appears to have been particularly influential amongst early scholastics, along with his </w:t>
      </w:r>
      <w:r w:rsidRPr="00A472FC">
        <w:rPr>
          <w:rFonts w:ascii="Times New Roman" w:hAnsi="Times New Roman" w:cs="Times New Roman"/>
          <w:i/>
        </w:rPr>
        <w:t xml:space="preserve">Division of Philosophy. </w:t>
      </w:r>
      <w:r w:rsidRPr="00A472FC">
        <w:rPr>
          <w:rFonts w:ascii="Times New Roman" w:hAnsi="Times New Roman" w:cs="Times New Roman"/>
        </w:rPr>
        <w:t xml:space="preserve">Like the </w:t>
      </w:r>
      <w:r w:rsidRPr="00A472FC">
        <w:rPr>
          <w:rFonts w:ascii="Times New Roman" w:hAnsi="Times New Roman" w:cs="Times New Roman"/>
          <w:i/>
        </w:rPr>
        <w:t>De anima</w:t>
      </w:r>
      <w:r w:rsidRPr="00A472FC">
        <w:rPr>
          <w:rFonts w:ascii="Times New Roman" w:hAnsi="Times New Roman" w:cs="Times New Roman"/>
        </w:rPr>
        <w:t xml:space="preserve">, albeit in different ways, the </w:t>
      </w:r>
      <w:r w:rsidRPr="00A472FC">
        <w:rPr>
          <w:rFonts w:ascii="Times New Roman" w:hAnsi="Times New Roman" w:cs="Times New Roman"/>
          <w:i/>
        </w:rPr>
        <w:t xml:space="preserve">De </w:t>
      </w:r>
      <w:proofErr w:type="spellStart"/>
      <w:r w:rsidRPr="00A472FC">
        <w:rPr>
          <w:rFonts w:ascii="Times New Roman" w:hAnsi="Times New Roman" w:cs="Times New Roman"/>
          <w:i/>
        </w:rPr>
        <w:t>processione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mundi</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draws heavily on both </w:t>
      </w:r>
      <w:proofErr w:type="spellStart"/>
      <w:r w:rsidRPr="00A472FC">
        <w:rPr>
          <w:rFonts w:ascii="Times New Roman" w:hAnsi="Times New Roman" w:cs="Times New Roman"/>
        </w:rPr>
        <w:t>Avicebron’s</w:t>
      </w:r>
      <w:proofErr w:type="spellEnd"/>
      <w:r w:rsidRPr="00A472FC">
        <w:rPr>
          <w:rFonts w:ascii="Times New Roman" w:hAnsi="Times New Roman" w:cs="Times New Roman"/>
        </w:rPr>
        <w:t xml:space="preserve"> </w:t>
      </w:r>
      <w:r w:rsidRPr="00A472FC">
        <w:rPr>
          <w:rFonts w:ascii="Times New Roman" w:hAnsi="Times New Roman" w:cs="Times New Roman"/>
          <w:i/>
        </w:rPr>
        <w:t xml:space="preserve">Fons vitae </w:t>
      </w:r>
      <w:r w:rsidRPr="00A472FC">
        <w:rPr>
          <w:rFonts w:ascii="Times New Roman" w:hAnsi="Times New Roman" w:cs="Times New Roman"/>
        </w:rPr>
        <w:t xml:space="preserve">and the </w:t>
      </w:r>
      <w:r w:rsidRPr="00A472FC">
        <w:rPr>
          <w:rFonts w:ascii="Times New Roman" w:hAnsi="Times New Roman" w:cs="Times New Roman"/>
          <w:i/>
        </w:rPr>
        <w:t>Metaphysics</w:t>
      </w:r>
      <w:r w:rsidRPr="00A472FC">
        <w:rPr>
          <w:rFonts w:ascii="Times New Roman" w:hAnsi="Times New Roman" w:cs="Times New Roman"/>
        </w:rPr>
        <w:t xml:space="preserve"> of Avicenna.</w:t>
      </w:r>
      <w:r w:rsidRPr="00A472FC">
        <w:rPr>
          <w:rStyle w:val="FootnoteReference"/>
          <w:rFonts w:ascii="Times New Roman" w:hAnsi="Times New Roman" w:cs="Times New Roman"/>
        </w:rPr>
        <w:footnoteReference w:id="103"/>
      </w:r>
      <w:r w:rsidRPr="00A472FC">
        <w:rPr>
          <w:rFonts w:ascii="Times New Roman" w:hAnsi="Times New Roman" w:cs="Times New Roman"/>
        </w:rPr>
        <w:t xml:space="preserve"> As </w:t>
      </w:r>
      <w:proofErr w:type="spellStart"/>
      <w:r w:rsidRPr="00A472FC">
        <w:rPr>
          <w:rFonts w:ascii="Times New Roman" w:hAnsi="Times New Roman" w:cs="Times New Roman"/>
        </w:rPr>
        <w:t>Polloni</w:t>
      </w:r>
      <w:proofErr w:type="spellEnd"/>
      <w:r w:rsidRPr="00A472FC">
        <w:rPr>
          <w:rFonts w:ascii="Times New Roman" w:hAnsi="Times New Roman" w:cs="Times New Roman"/>
        </w:rPr>
        <w:t xml:space="preserve"> has shown,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here combines </w:t>
      </w:r>
      <w:proofErr w:type="spellStart"/>
      <w:r w:rsidRPr="00A472FC">
        <w:rPr>
          <w:rFonts w:ascii="Times New Roman" w:hAnsi="Times New Roman" w:cs="Times New Roman"/>
        </w:rPr>
        <w:t>Avicebron’s</w:t>
      </w:r>
      <w:proofErr w:type="spellEnd"/>
      <w:r w:rsidRPr="00A472FC">
        <w:rPr>
          <w:rFonts w:ascii="Times New Roman" w:hAnsi="Times New Roman" w:cs="Times New Roman"/>
        </w:rPr>
        <w:t xml:space="preserve"> universal hylomorphism with Avicenna’s modal ontology of necessary and possible beings, which culminates in a proof for a Necessary Existent, or God, who exists through himself.</w:t>
      </w:r>
      <w:r w:rsidRPr="00A472FC">
        <w:rPr>
          <w:rStyle w:val="FootnoteReference"/>
          <w:rFonts w:ascii="Times New Roman" w:hAnsi="Times New Roman" w:cs="Times New Roman"/>
        </w:rPr>
        <w:footnoteReference w:id="104"/>
      </w:r>
      <w:r w:rsidRPr="00A472FC">
        <w:rPr>
          <w:rFonts w:ascii="Times New Roman" w:hAnsi="Times New Roman" w:cs="Times New Roman"/>
        </w:rPr>
        <w:t xml:space="preserve"> An interesting facet of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work in this context is that he adopts the version of Aristotle’s definition of the soul that had been articulated by Costa Ben Luca, or </w:t>
      </w:r>
      <w:proofErr w:type="spellStart"/>
      <w:r w:rsidRPr="00A472FC">
        <w:rPr>
          <w:rFonts w:ascii="Times New Roman" w:hAnsi="Times New Roman" w:cs="Times New Roman"/>
        </w:rPr>
        <w:t>Constabulinus</w:t>
      </w:r>
      <w:proofErr w:type="spellEnd"/>
      <w:r w:rsidRPr="00A472FC">
        <w:rPr>
          <w:rFonts w:ascii="Times New Roman" w:hAnsi="Times New Roman" w:cs="Times New Roman"/>
        </w:rPr>
        <w:t xml:space="preserve"> (864-923), a Syrian Christian, whose short work, </w:t>
      </w:r>
      <w:r w:rsidRPr="00A472FC">
        <w:rPr>
          <w:rFonts w:ascii="Times New Roman" w:hAnsi="Times New Roman" w:cs="Times New Roman"/>
          <w:i/>
        </w:rPr>
        <w:t xml:space="preserve">De differentia spiritus et </w:t>
      </w:r>
      <w:proofErr w:type="spellStart"/>
      <w:r w:rsidRPr="00A472FC">
        <w:rPr>
          <w:rFonts w:ascii="Times New Roman" w:hAnsi="Times New Roman" w:cs="Times New Roman"/>
          <w:i/>
        </w:rPr>
        <w:t>animae</w:t>
      </w:r>
      <w:proofErr w:type="spellEnd"/>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originally written in Arabic, was translated by </w:t>
      </w:r>
      <w:r w:rsidR="00266424" w:rsidRPr="00A472FC">
        <w:rPr>
          <w:rFonts w:ascii="Times New Roman" w:hAnsi="Times New Roman" w:cs="Times New Roman"/>
        </w:rPr>
        <w:t>John of Seville</w:t>
      </w:r>
      <w:r w:rsidRPr="00A472FC">
        <w:rPr>
          <w:rFonts w:ascii="Times New Roman" w:hAnsi="Times New Roman" w:cs="Times New Roman"/>
        </w:rPr>
        <w:t xml:space="preserve"> around 1130. </w:t>
      </w:r>
    </w:p>
    <w:p w14:paraId="51C3A6B5" w14:textId="77777777" w:rsidR="00CD1BB4" w:rsidRPr="00A472FC" w:rsidRDefault="00CD1BB4"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In addition to working as a physician and philosopher, who incorporated the works of Plato, Aristotle, Galen, and others, Costa Ben Luca was himself a translator of Greek works into Arabic.</w:t>
      </w:r>
      <w:r w:rsidRPr="00A472FC">
        <w:rPr>
          <w:rStyle w:val="FootnoteReference"/>
          <w:rFonts w:ascii="Times New Roman" w:hAnsi="Times New Roman" w:cs="Times New Roman"/>
        </w:rPr>
        <w:footnoteReference w:id="105"/>
      </w:r>
      <w:r w:rsidRPr="00A472FC">
        <w:rPr>
          <w:rFonts w:ascii="Times New Roman" w:hAnsi="Times New Roman" w:cs="Times New Roman"/>
        </w:rPr>
        <w:t xml:space="preserve"> As numerous authors have noted, Costa was the primary influence behind Latin discussions of the term ‘spirit’ in the early scholastic period.</w:t>
      </w:r>
      <w:r w:rsidRPr="00A472FC">
        <w:rPr>
          <w:rStyle w:val="FootnoteReference"/>
          <w:rFonts w:ascii="Times New Roman" w:hAnsi="Times New Roman" w:cs="Times New Roman"/>
        </w:rPr>
        <w:footnoteReference w:id="106"/>
      </w:r>
      <w:r w:rsidRPr="00A472FC">
        <w:rPr>
          <w:rFonts w:ascii="Times New Roman" w:hAnsi="Times New Roman" w:cs="Times New Roman"/>
        </w:rPr>
        <w:t xml:space="preserve"> Whereas Constantine had distinguished between three spirits, Costa identified two in the human body:</w:t>
      </w:r>
    </w:p>
    <w:p w14:paraId="59DF57ED" w14:textId="77777777" w:rsidR="00CD1BB4" w:rsidRPr="00A472FC" w:rsidRDefault="00CD1BB4" w:rsidP="00881604">
      <w:pPr>
        <w:ind w:right="-52"/>
        <w:rPr>
          <w:rFonts w:ascii="Times New Roman" w:hAnsi="Times New Roman" w:cs="Times New Roman"/>
        </w:rPr>
      </w:pPr>
    </w:p>
    <w:p w14:paraId="683D07B2" w14:textId="1191230D" w:rsidR="00CD1BB4" w:rsidRPr="00A472FC" w:rsidRDefault="00CD1BB4" w:rsidP="00881604">
      <w:pPr>
        <w:pStyle w:val="Default"/>
        <w:ind w:left="720" w:right="-52"/>
        <w:rPr>
          <w:rFonts w:ascii="Times New Roman" w:hAnsi="Times New Roman" w:cs="Times New Roman"/>
        </w:rPr>
      </w:pPr>
      <w:r w:rsidRPr="00A472FC">
        <w:rPr>
          <w:rFonts w:ascii="Times New Roman" w:hAnsi="Times New Roman" w:cs="Times New Roman"/>
          <w:bCs/>
        </w:rPr>
        <w:t>One is called vital; its nourishment or sustenance is air. It emanates from the heart, and from there it is sent by the pulses through the rest of the body, and it brings about life, pulse, and breath. The other…which is called animal...operates in the brain itself. Its nourishment is the vital spirit. It emanates from the brain, in which it brings about thought, memory, and foresight, and from there it is sent through the nerves to the other members of the body to bring about sense and motion.</w:t>
      </w:r>
      <w:r w:rsidRPr="00A472FC">
        <w:rPr>
          <w:rStyle w:val="FootnoteReference"/>
          <w:rFonts w:ascii="Times New Roman" w:hAnsi="Times New Roman" w:cs="Times New Roman"/>
          <w:bCs/>
        </w:rPr>
        <w:footnoteReference w:id="107"/>
      </w:r>
    </w:p>
    <w:p w14:paraId="085D2763" w14:textId="77777777" w:rsidR="00CD1BB4" w:rsidRPr="00A472FC" w:rsidRDefault="00CD1BB4" w:rsidP="00881604">
      <w:pPr>
        <w:pStyle w:val="Default"/>
        <w:ind w:right="-52"/>
        <w:rPr>
          <w:rFonts w:ascii="Times New Roman" w:hAnsi="Times New Roman" w:cs="Times New Roman"/>
        </w:rPr>
      </w:pPr>
    </w:p>
    <w:p w14:paraId="7963503B" w14:textId="6672CC6E" w:rsidR="00CD1BB4" w:rsidRPr="00A472FC" w:rsidRDefault="00CD1BB4" w:rsidP="005C3D35">
      <w:pPr>
        <w:pStyle w:val="Default"/>
        <w:ind w:right="-52"/>
        <w:rPr>
          <w:rFonts w:ascii="Times New Roman" w:hAnsi="Times New Roman" w:cs="Times New Roman"/>
          <w:bCs/>
        </w:rPr>
      </w:pPr>
      <w:r w:rsidRPr="00A472FC">
        <w:rPr>
          <w:rFonts w:ascii="Times New Roman" w:hAnsi="Times New Roman" w:cs="Times New Roman"/>
        </w:rPr>
        <w:lastRenderedPageBreak/>
        <w:tab/>
        <w:t>As purely corporeal entities, these spirits are contained in the body and die when it does.</w:t>
      </w:r>
      <w:r w:rsidRPr="00A472FC">
        <w:rPr>
          <w:rStyle w:val="FootnoteReference"/>
          <w:rFonts w:ascii="Times New Roman" w:hAnsi="Times New Roman" w:cs="Times New Roman"/>
        </w:rPr>
        <w:footnoteReference w:id="108"/>
      </w:r>
      <w:r w:rsidRPr="00A472FC">
        <w:rPr>
          <w:rFonts w:ascii="Times New Roman" w:hAnsi="Times New Roman" w:cs="Times New Roman"/>
        </w:rPr>
        <w:t xml:space="preserve"> By contrast, the soul is incorporeal, that is, not contained in the body, and can go on existing after the death of the body. The soul is the ultimate cause of sensation and life in the body. In this connection, Costa Ben Luca acknowledges not only Plato’s definition of the soul as an incorporeal substance that moves the body but also offers his own aforementioned rendition of Aristotle’s definition as follows: </w:t>
      </w:r>
      <w:r w:rsidRPr="00A472FC">
        <w:rPr>
          <w:rFonts w:ascii="Times New Roman" w:hAnsi="Times New Roman" w:cs="Times New Roman"/>
          <w:bCs/>
        </w:rPr>
        <w:t>‘the soul is the perfection of a natural organic body potentially having life.’</w:t>
      </w:r>
      <w:r w:rsidRPr="00A472FC">
        <w:rPr>
          <w:rStyle w:val="FootnoteReference"/>
          <w:rFonts w:ascii="Times New Roman" w:hAnsi="Times New Roman" w:cs="Times New Roman"/>
          <w:bCs/>
        </w:rPr>
        <w:footnoteReference w:id="109"/>
      </w:r>
      <w:r w:rsidRPr="00A472FC">
        <w:rPr>
          <w:rFonts w:ascii="Times New Roman" w:hAnsi="Times New Roman" w:cs="Times New Roman"/>
          <w:bCs/>
        </w:rPr>
        <w:t xml:space="preserve"> As we have seen, however, Costa believes the soul can only serve in this regard remotely, or through the mediation of the spirit, which is the </w:t>
      </w:r>
      <w:r w:rsidRPr="00A472FC">
        <w:rPr>
          <w:rFonts w:ascii="Times New Roman" w:hAnsi="Times New Roman" w:cs="Times New Roman"/>
        </w:rPr>
        <w:t xml:space="preserve">proximate cause of life, sense, and motion in the body. Thus, it is no surprise that Costa’s work was the </w:t>
      </w:r>
      <w:r w:rsidRPr="00A472FC">
        <w:rPr>
          <w:rFonts w:ascii="Times New Roman" w:hAnsi="Times New Roman" w:cs="Times New Roman"/>
          <w:bCs/>
        </w:rPr>
        <w:t xml:space="preserve">principal source among the Latins for the notion that the soul must be united to the body through a medium. As Dales notes, his work was widely read and cited, and remained a significant influence on Latin thinkers alongside the </w:t>
      </w:r>
      <w:r w:rsidRPr="00A472FC">
        <w:rPr>
          <w:rFonts w:ascii="Times New Roman" w:hAnsi="Times New Roman" w:cs="Times New Roman"/>
          <w:bCs/>
          <w:i/>
          <w:iCs/>
        </w:rPr>
        <w:t>Fons vitae</w:t>
      </w:r>
      <w:r w:rsidRPr="00A472FC">
        <w:rPr>
          <w:rFonts w:ascii="Times New Roman" w:hAnsi="Times New Roman" w:cs="Times New Roman"/>
          <w:bCs/>
          <w:iCs/>
        </w:rPr>
        <w:t>.</w:t>
      </w:r>
      <w:r w:rsidRPr="00A472FC">
        <w:rPr>
          <w:rStyle w:val="FootnoteReference"/>
          <w:rFonts w:ascii="Times New Roman" w:hAnsi="Times New Roman" w:cs="Times New Roman"/>
          <w:bCs/>
        </w:rPr>
        <w:footnoteReference w:id="110"/>
      </w:r>
      <w:r w:rsidRPr="00A472FC">
        <w:rPr>
          <w:rFonts w:ascii="Times New Roman" w:hAnsi="Times New Roman" w:cs="Times New Roman"/>
          <w:bCs/>
        </w:rPr>
        <w:t xml:space="preserve"> </w:t>
      </w:r>
    </w:p>
    <w:p w14:paraId="7209D666" w14:textId="03245043" w:rsidR="00CD1BB4" w:rsidRPr="00A472FC" w:rsidRDefault="00CD1BB4" w:rsidP="00881604">
      <w:pPr>
        <w:pStyle w:val="Default"/>
        <w:ind w:right="-52"/>
        <w:rPr>
          <w:rFonts w:ascii="Times New Roman" w:hAnsi="Times New Roman" w:cs="Times New Roman"/>
        </w:rPr>
      </w:pPr>
      <w:r w:rsidRPr="00A472FC">
        <w:rPr>
          <w:rFonts w:ascii="Times New Roman" w:hAnsi="Times New Roman" w:cs="Times New Roman"/>
        </w:rPr>
        <w:tab/>
        <w:t xml:space="preserve">Although it is not clear that the </w:t>
      </w:r>
      <w:r w:rsidRPr="00A472FC">
        <w:rPr>
          <w:rFonts w:ascii="Times New Roman" w:hAnsi="Times New Roman" w:cs="Times New Roman"/>
          <w:i/>
        </w:rPr>
        <w:t xml:space="preserve">Fons vitae </w:t>
      </w:r>
      <w:r w:rsidRPr="00A472FC">
        <w:rPr>
          <w:rFonts w:ascii="Times New Roman" w:hAnsi="Times New Roman" w:cs="Times New Roman"/>
        </w:rPr>
        <w:t xml:space="preserve">of the Jewish philosopher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(1021/2-1057/8) was read </w:t>
      </w:r>
      <w:r w:rsidR="0038574E" w:rsidRPr="00A472FC">
        <w:rPr>
          <w:rFonts w:ascii="Times New Roman" w:hAnsi="Times New Roman" w:cs="Times New Roman"/>
        </w:rPr>
        <w:t>extensivel</w:t>
      </w:r>
      <w:r w:rsidRPr="00A472FC">
        <w:rPr>
          <w:rFonts w:ascii="Times New Roman" w:hAnsi="Times New Roman" w:cs="Times New Roman"/>
        </w:rPr>
        <w:t xml:space="preserve">y by Latin thinkers, as only five manuscripts of the text are extant, his ideas were widely disseminated through the relevant writings of his translator,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which circulated in many manuscripts.</w:t>
      </w:r>
      <w:r w:rsidR="001165C8" w:rsidRPr="00A472FC">
        <w:rPr>
          <w:rStyle w:val="FootnoteReference"/>
          <w:rFonts w:ascii="Times New Roman" w:hAnsi="Times New Roman" w:cs="Times New Roman"/>
        </w:rPr>
        <w:footnoteReference w:id="111"/>
      </w:r>
      <w:r w:rsidRPr="00A472FC">
        <w:rPr>
          <w:rFonts w:ascii="Times New Roman" w:hAnsi="Times New Roman" w:cs="Times New Roman"/>
        </w:rPr>
        <w:t xml:space="preserve"> Albeit indirectly, we have learned, the </w:t>
      </w:r>
      <w:r w:rsidRPr="00A472FC">
        <w:rPr>
          <w:rFonts w:ascii="Times New Roman" w:hAnsi="Times New Roman" w:cs="Times New Roman"/>
          <w:i/>
        </w:rPr>
        <w:t xml:space="preserve">Fons vitae </w:t>
      </w:r>
      <w:r w:rsidRPr="00A472FC">
        <w:rPr>
          <w:rFonts w:ascii="Times New Roman" w:hAnsi="Times New Roman" w:cs="Times New Roman"/>
        </w:rPr>
        <w:t xml:space="preserve">exerted a far greater influence on Christian than Jewish thinkers, in part because it circulated under the Latin version of the author’s name,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rather than the Jewish name of Ibn </w:t>
      </w:r>
      <w:proofErr w:type="spellStart"/>
      <w:r w:rsidRPr="00A472FC">
        <w:rPr>
          <w:rFonts w:ascii="Times New Roman" w:hAnsi="Times New Roman" w:cs="Times New Roman"/>
        </w:rPr>
        <w:t>Gabirol</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112"/>
      </w:r>
      <w:r w:rsidRPr="00A472FC">
        <w:rPr>
          <w:rFonts w:ascii="Times New Roman" w:hAnsi="Times New Roman" w:cs="Times New Roman"/>
        </w:rPr>
        <w:t xml:space="preserve"> On this basis, some readers like William of Auvergne simply assumed that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was a Christian, or possibly a Muslim.</w:t>
      </w:r>
      <w:r w:rsidRPr="00A472FC">
        <w:rPr>
          <w:rStyle w:val="FootnoteReference"/>
          <w:rFonts w:ascii="Times New Roman" w:hAnsi="Times New Roman" w:cs="Times New Roman"/>
        </w:rPr>
        <w:footnoteReference w:id="113"/>
      </w:r>
      <w:r w:rsidRPr="00A472FC">
        <w:rPr>
          <w:rFonts w:ascii="Times New Roman" w:hAnsi="Times New Roman" w:cs="Times New Roman"/>
        </w:rPr>
        <w:t xml:space="preserve"> </w:t>
      </w:r>
    </w:p>
    <w:p w14:paraId="7E7307B4" w14:textId="56F501FC" w:rsidR="00CD1BB4" w:rsidRPr="00A472FC" w:rsidRDefault="00CD1BB4" w:rsidP="00881604">
      <w:pPr>
        <w:pStyle w:val="Default"/>
        <w:ind w:right="-52"/>
        <w:rPr>
          <w:rFonts w:ascii="Times New Roman" w:hAnsi="Times New Roman" w:cs="Times New Roman"/>
          <w:bCs/>
          <w:color w:val="auto"/>
        </w:rPr>
      </w:pPr>
      <w:r w:rsidRPr="00A472FC">
        <w:rPr>
          <w:rFonts w:ascii="Times New Roman" w:hAnsi="Times New Roman" w:cs="Times New Roman"/>
        </w:rPr>
        <w:tab/>
        <w:t xml:space="preserve">In the Latin-speaking world,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became famous for two main doctrines, which are nicely summarized by </w:t>
      </w:r>
      <w:proofErr w:type="spellStart"/>
      <w:r w:rsidRPr="00A472FC">
        <w:rPr>
          <w:rFonts w:ascii="Times New Roman" w:hAnsi="Times New Roman" w:cs="Times New Roman"/>
        </w:rPr>
        <w:t>Weishepl</w:t>
      </w:r>
      <w:proofErr w:type="spellEnd"/>
      <w:r w:rsidRPr="00A472FC">
        <w:rPr>
          <w:rFonts w:ascii="Times New Roman" w:hAnsi="Times New Roman" w:cs="Times New Roman"/>
        </w:rPr>
        <w:t>, who sees them as ‘</w:t>
      </w:r>
      <w:r w:rsidRPr="00A472FC">
        <w:rPr>
          <w:rFonts w:ascii="Times New Roman" w:hAnsi="Times New Roman" w:cs="Times New Roman"/>
          <w:bCs/>
          <w:color w:val="auto"/>
        </w:rPr>
        <w:t>undoubtedly Judaic and directed against Muslim philosophers: 1. God produces everything not by necessity of nature but by a creative will (</w:t>
      </w:r>
      <w:proofErr w:type="spellStart"/>
      <w:r w:rsidRPr="00A472FC">
        <w:rPr>
          <w:rFonts w:ascii="Times New Roman" w:hAnsi="Times New Roman" w:cs="Times New Roman"/>
          <w:bCs/>
          <w:i/>
          <w:color w:val="auto"/>
        </w:rPr>
        <w:t>voluntas</w:t>
      </w:r>
      <w:proofErr w:type="spellEnd"/>
      <w:r w:rsidRPr="00A472FC">
        <w:rPr>
          <w:rFonts w:ascii="Times New Roman" w:hAnsi="Times New Roman" w:cs="Times New Roman"/>
          <w:bCs/>
          <w:i/>
          <w:color w:val="auto"/>
        </w:rPr>
        <w:t xml:space="preserve"> </w:t>
      </w:r>
      <w:proofErr w:type="spellStart"/>
      <w:r w:rsidRPr="00A472FC">
        <w:rPr>
          <w:rFonts w:ascii="Times New Roman" w:hAnsi="Times New Roman" w:cs="Times New Roman"/>
          <w:bCs/>
          <w:i/>
          <w:color w:val="auto"/>
        </w:rPr>
        <w:t>creatrix</w:t>
      </w:r>
      <w:proofErr w:type="spellEnd"/>
      <w:r w:rsidRPr="00A472FC">
        <w:rPr>
          <w:rFonts w:ascii="Times New Roman" w:hAnsi="Times New Roman" w:cs="Times New Roman"/>
          <w:bCs/>
          <w:color w:val="auto"/>
        </w:rPr>
        <w:t>); 2. God’s infinite and transcendent simplicity is essentially different from the composed nature of every creature.’</w:t>
      </w:r>
      <w:r w:rsidRPr="00A472FC">
        <w:rPr>
          <w:rStyle w:val="FootnoteReference"/>
          <w:rFonts w:ascii="Times New Roman" w:hAnsi="Times New Roman" w:cs="Times New Roman"/>
          <w:bCs/>
          <w:color w:val="auto"/>
        </w:rPr>
        <w:footnoteReference w:id="114"/>
      </w:r>
      <w:r w:rsidRPr="00A472FC">
        <w:rPr>
          <w:rFonts w:ascii="Times New Roman" w:hAnsi="Times New Roman" w:cs="Times New Roman"/>
          <w:bCs/>
          <w:color w:val="auto"/>
        </w:rPr>
        <w:t xml:space="preserve"> As </w:t>
      </w:r>
      <w:proofErr w:type="spellStart"/>
      <w:r w:rsidRPr="00A472FC">
        <w:rPr>
          <w:rFonts w:ascii="Times New Roman" w:hAnsi="Times New Roman" w:cs="Times New Roman"/>
          <w:bCs/>
          <w:color w:val="auto"/>
        </w:rPr>
        <w:t>Weishepl</w:t>
      </w:r>
      <w:proofErr w:type="spellEnd"/>
      <w:r w:rsidRPr="00A472FC">
        <w:rPr>
          <w:rFonts w:ascii="Times New Roman" w:hAnsi="Times New Roman" w:cs="Times New Roman"/>
          <w:bCs/>
          <w:color w:val="auto"/>
        </w:rPr>
        <w:t xml:space="preserve"> notes, </w:t>
      </w:r>
      <w:proofErr w:type="spellStart"/>
      <w:r w:rsidRPr="00A472FC">
        <w:rPr>
          <w:rFonts w:ascii="Times New Roman" w:hAnsi="Times New Roman" w:cs="Times New Roman"/>
          <w:bCs/>
          <w:color w:val="auto"/>
        </w:rPr>
        <w:t>Avicebron</w:t>
      </w:r>
      <w:proofErr w:type="spellEnd"/>
      <w:r w:rsidRPr="00A472FC">
        <w:rPr>
          <w:rFonts w:ascii="Times New Roman" w:hAnsi="Times New Roman" w:cs="Times New Roman"/>
          <w:bCs/>
          <w:color w:val="auto"/>
        </w:rPr>
        <w:t xml:space="preserve"> sought to refute the philosophical </w:t>
      </w:r>
      <w:proofErr w:type="spellStart"/>
      <w:r w:rsidRPr="00A472FC">
        <w:rPr>
          <w:rFonts w:ascii="Times New Roman" w:hAnsi="Times New Roman" w:cs="Times New Roman"/>
          <w:bCs/>
          <w:color w:val="auto"/>
        </w:rPr>
        <w:t>emanationism</w:t>
      </w:r>
      <w:proofErr w:type="spellEnd"/>
      <w:r w:rsidRPr="00A472FC">
        <w:rPr>
          <w:rFonts w:ascii="Times New Roman" w:hAnsi="Times New Roman" w:cs="Times New Roman"/>
          <w:bCs/>
          <w:color w:val="auto"/>
        </w:rPr>
        <w:t xml:space="preserve"> that was advocated by Islamic philosophers like </w:t>
      </w:r>
      <w:proofErr w:type="spellStart"/>
      <w:r w:rsidRPr="00A472FC">
        <w:rPr>
          <w:rFonts w:ascii="Times New Roman" w:hAnsi="Times New Roman" w:cs="Times New Roman"/>
          <w:bCs/>
          <w:color w:val="auto"/>
        </w:rPr>
        <w:t>Alfarabi</w:t>
      </w:r>
      <w:proofErr w:type="spellEnd"/>
      <w:r w:rsidRPr="00A472FC">
        <w:rPr>
          <w:rFonts w:ascii="Times New Roman" w:hAnsi="Times New Roman" w:cs="Times New Roman"/>
          <w:bCs/>
          <w:color w:val="auto"/>
        </w:rPr>
        <w:t xml:space="preserve">, </w:t>
      </w:r>
      <w:proofErr w:type="spellStart"/>
      <w:r w:rsidRPr="00A472FC">
        <w:rPr>
          <w:rFonts w:ascii="Times New Roman" w:hAnsi="Times New Roman" w:cs="Times New Roman"/>
          <w:bCs/>
          <w:color w:val="auto"/>
        </w:rPr>
        <w:t>Alkindi</w:t>
      </w:r>
      <w:proofErr w:type="spellEnd"/>
      <w:r w:rsidRPr="00A472FC">
        <w:rPr>
          <w:rFonts w:ascii="Times New Roman" w:hAnsi="Times New Roman" w:cs="Times New Roman"/>
          <w:bCs/>
          <w:color w:val="auto"/>
        </w:rPr>
        <w:t xml:space="preserve">, Avicenna, </w:t>
      </w:r>
      <w:proofErr w:type="spellStart"/>
      <w:r w:rsidRPr="00A472FC">
        <w:rPr>
          <w:rFonts w:ascii="Times New Roman" w:hAnsi="Times New Roman" w:cs="Times New Roman"/>
          <w:bCs/>
          <w:color w:val="auto"/>
        </w:rPr>
        <w:t>Algazel</w:t>
      </w:r>
      <w:proofErr w:type="spellEnd"/>
      <w:r w:rsidRPr="00A472FC">
        <w:rPr>
          <w:rFonts w:ascii="Times New Roman" w:hAnsi="Times New Roman" w:cs="Times New Roman"/>
          <w:bCs/>
          <w:color w:val="auto"/>
        </w:rPr>
        <w:t xml:space="preserve">, and in the </w:t>
      </w:r>
      <w:r w:rsidRPr="00A472FC">
        <w:rPr>
          <w:rFonts w:ascii="Times New Roman" w:hAnsi="Times New Roman" w:cs="Times New Roman"/>
          <w:bCs/>
          <w:i/>
          <w:color w:val="auto"/>
        </w:rPr>
        <w:t xml:space="preserve">Liber de </w:t>
      </w:r>
      <w:proofErr w:type="spellStart"/>
      <w:r w:rsidRPr="00A472FC">
        <w:rPr>
          <w:rFonts w:ascii="Times New Roman" w:hAnsi="Times New Roman" w:cs="Times New Roman"/>
          <w:bCs/>
          <w:i/>
          <w:color w:val="auto"/>
        </w:rPr>
        <w:t>causis</w:t>
      </w:r>
      <w:proofErr w:type="spellEnd"/>
      <w:r w:rsidRPr="00A472FC">
        <w:rPr>
          <w:rFonts w:ascii="Times New Roman" w:hAnsi="Times New Roman" w:cs="Times New Roman"/>
          <w:bCs/>
          <w:color w:val="auto"/>
        </w:rPr>
        <w:t>, ‘by making the Divine Will the supreme cause in the production of the universe.’</w:t>
      </w:r>
      <w:r w:rsidRPr="00A472FC">
        <w:rPr>
          <w:rStyle w:val="FootnoteReference"/>
          <w:rFonts w:ascii="Times New Roman" w:hAnsi="Times New Roman" w:cs="Times New Roman"/>
          <w:bCs/>
          <w:color w:val="auto"/>
        </w:rPr>
        <w:footnoteReference w:id="115"/>
      </w:r>
      <w:r w:rsidRPr="00A472FC">
        <w:rPr>
          <w:rFonts w:ascii="Times New Roman" w:hAnsi="Times New Roman" w:cs="Times New Roman"/>
          <w:bCs/>
          <w:color w:val="auto"/>
        </w:rPr>
        <w:t xml:space="preserve"> On his understanding, ‘the cosmic process is not a necessary and impersonal flow or radiation of all things from the First Principle but a voluntary activity of the divine will.’</w:t>
      </w:r>
      <w:r w:rsidRPr="00A472FC">
        <w:rPr>
          <w:rStyle w:val="FootnoteReference"/>
          <w:rFonts w:ascii="Times New Roman" w:hAnsi="Times New Roman" w:cs="Times New Roman"/>
          <w:bCs/>
          <w:color w:val="auto"/>
        </w:rPr>
        <w:footnoteReference w:id="116"/>
      </w:r>
      <w:r w:rsidRPr="00A472FC">
        <w:rPr>
          <w:rFonts w:ascii="Times New Roman" w:hAnsi="Times New Roman" w:cs="Times New Roman"/>
          <w:bCs/>
          <w:color w:val="auto"/>
        </w:rPr>
        <w:t xml:space="preserve"> </w:t>
      </w:r>
    </w:p>
    <w:p w14:paraId="1DFB7FF3" w14:textId="7A67B1C0" w:rsidR="00CD1BB4" w:rsidRPr="00A472FC" w:rsidRDefault="00CA1F3B" w:rsidP="00881604">
      <w:pPr>
        <w:pStyle w:val="Default"/>
        <w:ind w:right="-52" w:firstLine="720"/>
        <w:rPr>
          <w:rFonts w:ascii="Times New Roman" w:hAnsi="Times New Roman" w:cs="Times New Roman"/>
        </w:rPr>
      </w:pPr>
      <w:r w:rsidRPr="00A472FC">
        <w:rPr>
          <w:rFonts w:ascii="Times New Roman" w:hAnsi="Times New Roman" w:cs="Times New Roman"/>
          <w:bCs/>
          <w:color w:val="auto"/>
        </w:rPr>
        <w:t xml:space="preserve">In affirming this, </w:t>
      </w:r>
      <w:proofErr w:type="spellStart"/>
      <w:r w:rsidRPr="00A472FC">
        <w:rPr>
          <w:rFonts w:ascii="Times New Roman" w:hAnsi="Times New Roman" w:cs="Times New Roman"/>
          <w:bCs/>
          <w:color w:val="auto"/>
        </w:rPr>
        <w:t>Weishepl</w:t>
      </w:r>
      <w:proofErr w:type="spellEnd"/>
      <w:r w:rsidRPr="00A472FC">
        <w:rPr>
          <w:rFonts w:ascii="Times New Roman" w:hAnsi="Times New Roman" w:cs="Times New Roman"/>
          <w:bCs/>
          <w:color w:val="auto"/>
        </w:rPr>
        <w:t xml:space="preserve"> elaborates,</w:t>
      </w:r>
      <w:r w:rsidR="004727AE" w:rsidRPr="00A472FC">
        <w:rPr>
          <w:rFonts w:ascii="Times New Roman" w:hAnsi="Times New Roman" w:cs="Times New Roman"/>
          <w:bCs/>
          <w:color w:val="auto"/>
        </w:rPr>
        <w:t xml:space="preserve"> ‘</w:t>
      </w:r>
      <w:proofErr w:type="spellStart"/>
      <w:r w:rsidR="004727AE" w:rsidRPr="00A472FC">
        <w:rPr>
          <w:rFonts w:ascii="Times New Roman" w:hAnsi="Times New Roman" w:cs="Times New Roman"/>
          <w:bCs/>
          <w:color w:val="auto"/>
        </w:rPr>
        <w:t>Avicebron</w:t>
      </w:r>
      <w:proofErr w:type="spellEnd"/>
      <w:r w:rsidR="004727AE" w:rsidRPr="00A472FC">
        <w:rPr>
          <w:rFonts w:ascii="Times New Roman" w:hAnsi="Times New Roman" w:cs="Times New Roman"/>
          <w:bCs/>
          <w:color w:val="auto"/>
        </w:rPr>
        <w:t xml:space="preserve"> </w:t>
      </w:r>
      <w:r w:rsidR="00CD1BB4" w:rsidRPr="00A472FC">
        <w:rPr>
          <w:rFonts w:ascii="Times New Roman" w:hAnsi="Times New Roman" w:cs="Times New Roman"/>
          <w:bCs/>
          <w:color w:val="auto"/>
        </w:rPr>
        <w:t>so emphasizes the supremacy of the Divine Will that God’s intellectuality and wisdom somehow get buried in his hidden transcendence and are not even attributed to God.’</w:t>
      </w:r>
      <w:r w:rsidR="00CD1BB4" w:rsidRPr="00A472FC">
        <w:rPr>
          <w:rStyle w:val="FootnoteReference"/>
          <w:rFonts w:ascii="Times New Roman" w:hAnsi="Times New Roman" w:cs="Times New Roman"/>
          <w:bCs/>
          <w:color w:val="auto"/>
        </w:rPr>
        <w:footnoteReference w:id="117"/>
      </w:r>
      <w:r w:rsidR="00CD1BB4" w:rsidRPr="00A472FC">
        <w:rPr>
          <w:rFonts w:ascii="Times New Roman" w:hAnsi="Times New Roman" w:cs="Times New Roman"/>
          <w:bCs/>
          <w:color w:val="auto"/>
        </w:rPr>
        <w:t xml:space="preserve"> </w:t>
      </w:r>
      <w:r w:rsidR="0090588A" w:rsidRPr="00A472FC">
        <w:rPr>
          <w:rFonts w:ascii="Times New Roman" w:hAnsi="Times New Roman" w:cs="Times New Roman"/>
          <w:bCs/>
          <w:color w:val="auto"/>
        </w:rPr>
        <w:t>Nevertheless,</w:t>
      </w:r>
      <w:r w:rsidR="00CD1BB4" w:rsidRPr="00A472FC">
        <w:rPr>
          <w:rFonts w:ascii="Times New Roman" w:hAnsi="Times New Roman" w:cs="Times New Roman"/>
          <w:bCs/>
          <w:color w:val="auto"/>
        </w:rPr>
        <w:t xml:space="preserve"> </w:t>
      </w:r>
      <w:proofErr w:type="spellStart"/>
      <w:r w:rsidR="00CD1BB4" w:rsidRPr="00A472FC">
        <w:rPr>
          <w:rFonts w:ascii="Times New Roman" w:hAnsi="Times New Roman" w:cs="Times New Roman"/>
          <w:bCs/>
          <w:color w:val="auto"/>
        </w:rPr>
        <w:t>Avicebron</w:t>
      </w:r>
      <w:proofErr w:type="spellEnd"/>
      <w:r w:rsidR="00CD1BB4" w:rsidRPr="00A472FC">
        <w:rPr>
          <w:rFonts w:ascii="Times New Roman" w:hAnsi="Times New Roman" w:cs="Times New Roman"/>
          <w:bCs/>
          <w:color w:val="auto"/>
        </w:rPr>
        <w:t xml:space="preserve"> also speaks of the divine will in terms of the divine word. This was the basis on which William of Auvergne determined that his doctrine of divine will was consistent with the Christian doctrine of the </w:t>
      </w:r>
      <w:r w:rsidR="00CD1BB4" w:rsidRPr="00A472FC">
        <w:rPr>
          <w:rFonts w:ascii="Times New Roman" w:hAnsi="Times New Roman" w:cs="Times New Roman"/>
          <w:bCs/>
          <w:i/>
          <w:color w:val="auto"/>
        </w:rPr>
        <w:t xml:space="preserve">logos </w:t>
      </w:r>
      <w:r w:rsidR="00CD1BB4" w:rsidRPr="00A472FC">
        <w:rPr>
          <w:rFonts w:ascii="Times New Roman" w:hAnsi="Times New Roman" w:cs="Times New Roman"/>
          <w:bCs/>
          <w:color w:val="auto"/>
        </w:rPr>
        <w:t xml:space="preserve">and concluded that </w:t>
      </w:r>
      <w:proofErr w:type="spellStart"/>
      <w:r w:rsidR="00CD1BB4" w:rsidRPr="00A472FC">
        <w:rPr>
          <w:rFonts w:ascii="Times New Roman" w:hAnsi="Times New Roman" w:cs="Times New Roman"/>
          <w:bCs/>
          <w:color w:val="auto"/>
        </w:rPr>
        <w:t>Avicebron</w:t>
      </w:r>
      <w:proofErr w:type="spellEnd"/>
      <w:r w:rsidR="00CD1BB4" w:rsidRPr="00A472FC">
        <w:rPr>
          <w:rFonts w:ascii="Times New Roman" w:hAnsi="Times New Roman" w:cs="Times New Roman"/>
          <w:bCs/>
          <w:color w:val="auto"/>
        </w:rPr>
        <w:t xml:space="preserve"> must in fact be a Christian. More recently, </w:t>
      </w:r>
      <w:r w:rsidR="00CD1BB4" w:rsidRPr="00A472FC">
        <w:rPr>
          <w:rFonts w:ascii="Times New Roman" w:hAnsi="Times New Roman" w:cs="Times New Roman"/>
        </w:rPr>
        <w:t xml:space="preserve">Sarah </w:t>
      </w:r>
      <w:proofErr w:type="spellStart"/>
      <w:r w:rsidR="00CD1BB4" w:rsidRPr="00A472FC">
        <w:rPr>
          <w:rFonts w:ascii="Times New Roman" w:hAnsi="Times New Roman" w:cs="Times New Roman"/>
        </w:rPr>
        <w:t>Pessin</w:t>
      </w:r>
      <w:proofErr w:type="spellEnd"/>
      <w:r w:rsidR="00CD1BB4" w:rsidRPr="00A472FC">
        <w:rPr>
          <w:rFonts w:ascii="Times New Roman" w:hAnsi="Times New Roman" w:cs="Times New Roman"/>
        </w:rPr>
        <w:t xml:space="preserve"> has challenged the notion that he was a voluntarist and argued that he was more influenced by </w:t>
      </w:r>
      <w:r w:rsidR="00CD1BB4" w:rsidRPr="00A472FC">
        <w:rPr>
          <w:rFonts w:ascii="Times New Roman" w:hAnsi="Times New Roman" w:cs="Times New Roman"/>
        </w:rPr>
        <w:lastRenderedPageBreak/>
        <w:t xml:space="preserve">the </w:t>
      </w:r>
      <w:proofErr w:type="spellStart"/>
      <w:r w:rsidR="00CD1BB4" w:rsidRPr="00A472FC">
        <w:rPr>
          <w:rFonts w:ascii="Times New Roman" w:hAnsi="Times New Roman" w:cs="Times New Roman"/>
        </w:rPr>
        <w:t>Plotinian</w:t>
      </w:r>
      <w:proofErr w:type="spellEnd"/>
      <w:r w:rsidR="00CD1BB4" w:rsidRPr="00A472FC">
        <w:rPr>
          <w:rFonts w:ascii="Times New Roman" w:hAnsi="Times New Roman" w:cs="Times New Roman"/>
        </w:rPr>
        <w:t xml:space="preserve"> view that creation occurred by stages of emanation from God. In her view, voluntarism was projected on to him by Latin thinkers, above all, Franciscans, who wanted to give this kind of reading of Augustine, and therefore significantly exaggerated the Bishop’s own position in addition to distorting </w:t>
      </w:r>
      <w:proofErr w:type="spellStart"/>
      <w:r w:rsidR="00CD1BB4" w:rsidRPr="00A472FC">
        <w:rPr>
          <w:rFonts w:ascii="Times New Roman" w:hAnsi="Times New Roman" w:cs="Times New Roman"/>
        </w:rPr>
        <w:t>Avicebron’s</w:t>
      </w:r>
      <w:proofErr w:type="spellEnd"/>
      <w:r w:rsidR="00CD1BB4" w:rsidRPr="00A472FC">
        <w:rPr>
          <w:rFonts w:ascii="Times New Roman" w:hAnsi="Times New Roman" w:cs="Times New Roman"/>
        </w:rPr>
        <w:t>.</w:t>
      </w:r>
      <w:r w:rsidR="00CD1BB4" w:rsidRPr="00A472FC">
        <w:rPr>
          <w:rStyle w:val="FootnoteReference"/>
          <w:rFonts w:ascii="Times New Roman" w:hAnsi="Times New Roman" w:cs="Times New Roman"/>
        </w:rPr>
        <w:footnoteReference w:id="118"/>
      </w:r>
      <w:r w:rsidR="00CD1BB4" w:rsidRPr="00A472FC">
        <w:rPr>
          <w:rFonts w:ascii="Times New Roman" w:hAnsi="Times New Roman" w:cs="Times New Roman"/>
        </w:rPr>
        <w:t xml:space="preserve"> This is a compelling argument but not one that can be dealt with at length here.  </w:t>
      </w:r>
    </w:p>
    <w:p w14:paraId="546854FC" w14:textId="53511330" w:rsidR="00CD1BB4" w:rsidRPr="00A472FC" w:rsidRDefault="00CD1BB4" w:rsidP="00881604">
      <w:pPr>
        <w:pStyle w:val="Default"/>
        <w:ind w:right="-52" w:firstLine="720"/>
        <w:rPr>
          <w:rFonts w:ascii="Times New Roman" w:hAnsi="Times New Roman" w:cs="Times New Roman"/>
        </w:rPr>
      </w:pPr>
      <w:r w:rsidRPr="00A472FC">
        <w:rPr>
          <w:rFonts w:ascii="Times New Roman" w:hAnsi="Times New Roman" w:cs="Times New Roman"/>
        </w:rPr>
        <w:t xml:space="preserve">The second view for which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became known was the idea that God alone is simple</w:t>
      </w:r>
      <w:r w:rsidR="00A72704" w:rsidRPr="00A472FC">
        <w:rPr>
          <w:rFonts w:ascii="Times New Roman" w:hAnsi="Times New Roman" w:cs="Times New Roman"/>
        </w:rPr>
        <w:t>,</w:t>
      </w:r>
      <w:r w:rsidRPr="00A472FC">
        <w:rPr>
          <w:rFonts w:ascii="Times New Roman" w:hAnsi="Times New Roman" w:cs="Times New Roman"/>
        </w:rPr>
        <w:t xml:space="preserve"> and all creatures are composed. In the Latin tradition, this doctrine of ‘universal hylomorphism’ was interpreted in terms of </w:t>
      </w:r>
      <w:proofErr w:type="spellStart"/>
      <w:r w:rsidRPr="00A472FC">
        <w:rPr>
          <w:rFonts w:ascii="Times New Roman" w:hAnsi="Times New Roman" w:cs="Times New Roman"/>
        </w:rPr>
        <w:t>Boethius</w:t>
      </w:r>
      <w:proofErr w:type="spellEnd"/>
      <w:r w:rsidRPr="00A472FC">
        <w:rPr>
          <w:rFonts w:ascii="Times New Roman" w:hAnsi="Times New Roman" w:cs="Times New Roman"/>
        </w:rPr>
        <w:t xml:space="preserve">’ distinction between </w:t>
      </w:r>
      <w:r w:rsidRPr="00A472FC">
        <w:rPr>
          <w:rFonts w:ascii="Times New Roman" w:hAnsi="Times New Roman" w:cs="Times New Roman"/>
          <w:i/>
        </w:rPr>
        <w:t xml:space="preserve">quod </w:t>
      </w:r>
      <w:proofErr w:type="spellStart"/>
      <w:r w:rsidRPr="00A472FC">
        <w:rPr>
          <w:rFonts w:ascii="Times New Roman" w:hAnsi="Times New Roman" w:cs="Times New Roman"/>
          <w:i/>
        </w:rPr>
        <w:t>est</w:t>
      </w:r>
      <w:proofErr w:type="spellEnd"/>
      <w:r w:rsidRPr="00A472FC">
        <w:rPr>
          <w:rFonts w:ascii="Times New Roman" w:hAnsi="Times New Roman" w:cs="Times New Roman"/>
        </w:rPr>
        <w:t xml:space="preserve"> and </w:t>
      </w:r>
      <w:r w:rsidRPr="00A472FC">
        <w:rPr>
          <w:rFonts w:ascii="Times New Roman" w:hAnsi="Times New Roman" w:cs="Times New Roman"/>
          <w:i/>
        </w:rPr>
        <w:t>quo est</w:t>
      </w:r>
      <w:r w:rsidRPr="00A472FC">
        <w:rPr>
          <w:rFonts w:ascii="Times New Roman" w:hAnsi="Times New Roman" w:cs="Times New Roman"/>
        </w:rPr>
        <w:t>.</w:t>
      </w:r>
      <w:r w:rsidRPr="00A472FC">
        <w:rPr>
          <w:rStyle w:val="FootnoteReference"/>
          <w:rFonts w:ascii="Times New Roman" w:hAnsi="Times New Roman" w:cs="Times New Roman"/>
        </w:rPr>
        <w:footnoteReference w:id="119"/>
      </w:r>
      <w:r w:rsidRPr="00A472FC">
        <w:rPr>
          <w:rFonts w:ascii="Times New Roman" w:hAnsi="Times New Roman" w:cs="Times New Roman"/>
        </w:rPr>
        <w:t xml:space="preserve"> As we will discover in subsequent chapters, however, there were many interpretations of what the </w:t>
      </w:r>
      <w:r w:rsidRPr="00A472FC">
        <w:rPr>
          <w:rFonts w:ascii="Times New Roman" w:hAnsi="Times New Roman" w:cs="Times New Roman"/>
          <w:i/>
        </w:rPr>
        <w:t xml:space="preserve">quod-quo </w:t>
      </w:r>
      <w:proofErr w:type="spellStart"/>
      <w:r w:rsidRPr="00A472FC">
        <w:rPr>
          <w:rFonts w:ascii="Times New Roman" w:hAnsi="Times New Roman" w:cs="Times New Roman"/>
          <w:i/>
        </w:rPr>
        <w:t>est</w:t>
      </w:r>
      <w:proofErr w:type="spellEnd"/>
      <w:r w:rsidRPr="00A472FC">
        <w:rPr>
          <w:rFonts w:ascii="Times New Roman" w:hAnsi="Times New Roman" w:cs="Times New Roman"/>
        </w:rPr>
        <w:t xml:space="preserve"> composition could involve. For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it meant that God was responsible for the initial creation of universal matter and universal form, from which all further beings are derived, such that they become composed of these two elements. </w:t>
      </w:r>
    </w:p>
    <w:p w14:paraId="41911ADE" w14:textId="7890D9FB" w:rsidR="00CD1BB4" w:rsidRPr="00A472FC" w:rsidRDefault="004B270E" w:rsidP="00881604">
      <w:pPr>
        <w:pStyle w:val="Default"/>
        <w:ind w:right="-52" w:firstLine="720"/>
        <w:rPr>
          <w:rFonts w:ascii="Times New Roman" w:hAnsi="Times New Roman" w:cs="Times New Roman"/>
          <w:bCs/>
          <w:color w:val="auto"/>
        </w:rPr>
      </w:pPr>
      <w:r w:rsidRPr="00A472FC">
        <w:rPr>
          <w:rFonts w:ascii="Times New Roman" w:hAnsi="Times New Roman" w:cs="Times New Roman"/>
        </w:rPr>
        <w:t>As noted above, this</w:t>
      </w:r>
      <w:r w:rsidR="00CD1BB4" w:rsidRPr="00A472FC">
        <w:rPr>
          <w:rFonts w:ascii="Times New Roman" w:hAnsi="Times New Roman" w:cs="Times New Roman"/>
        </w:rPr>
        <w:t xml:space="preserve"> includes not only corporal beings—which are comprised of the form of corporeity and prime matter—but also the human soul and spiritual beings like angels, which are comprised of form and spiritual matter. According to </w:t>
      </w:r>
      <w:proofErr w:type="spellStart"/>
      <w:r w:rsidR="00CD1BB4" w:rsidRPr="00A472FC">
        <w:rPr>
          <w:rFonts w:ascii="Times New Roman" w:hAnsi="Times New Roman" w:cs="Times New Roman"/>
        </w:rPr>
        <w:t>Avicebron</w:t>
      </w:r>
      <w:proofErr w:type="spellEnd"/>
      <w:r w:rsidR="00CD1BB4" w:rsidRPr="00A472FC">
        <w:rPr>
          <w:rFonts w:ascii="Times New Roman" w:hAnsi="Times New Roman" w:cs="Times New Roman"/>
        </w:rPr>
        <w:t>, there is a hierarchical arrangement of forms mediating between the soul and the body, which results in a plurality of forms in all beings. As Dales notes, this doctrine ‘</w:t>
      </w:r>
      <w:r w:rsidR="00CD1BB4" w:rsidRPr="00A472FC">
        <w:rPr>
          <w:rFonts w:ascii="Times New Roman" w:hAnsi="Times New Roman" w:cs="Times New Roman"/>
          <w:bCs/>
          <w:color w:val="auto"/>
        </w:rPr>
        <w:t>was known to virtually every Latin scholastic of the thirteenth century and was accepted, sometimes with modifications, by many.’</w:t>
      </w:r>
      <w:r w:rsidR="00CD1BB4" w:rsidRPr="00A472FC">
        <w:rPr>
          <w:rStyle w:val="FootnoteReference"/>
          <w:rFonts w:ascii="Times New Roman" w:hAnsi="Times New Roman" w:cs="Times New Roman"/>
          <w:bCs/>
          <w:color w:val="auto"/>
        </w:rPr>
        <w:footnoteReference w:id="120"/>
      </w:r>
      <w:r w:rsidR="00CD1BB4" w:rsidRPr="00A472FC">
        <w:rPr>
          <w:rFonts w:ascii="Times New Roman" w:hAnsi="Times New Roman" w:cs="Times New Roman"/>
          <w:bCs/>
          <w:color w:val="auto"/>
        </w:rPr>
        <w:t xml:space="preserve"> This brings us to the question of the process through which the translated materials, above all, Avicenna’s </w:t>
      </w:r>
      <w:r w:rsidR="00CD1BB4" w:rsidRPr="00A472FC">
        <w:rPr>
          <w:rFonts w:ascii="Times New Roman" w:hAnsi="Times New Roman" w:cs="Times New Roman"/>
          <w:bCs/>
          <w:i/>
          <w:color w:val="auto"/>
        </w:rPr>
        <w:t>De anima</w:t>
      </w:r>
      <w:r w:rsidR="00CD1BB4" w:rsidRPr="00A472FC">
        <w:rPr>
          <w:rFonts w:ascii="Times New Roman" w:hAnsi="Times New Roman" w:cs="Times New Roman"/>
          <w:bCs/>
          <w:iCs/>
          <w:color w:val="auto"/>
        </w:rPr>
        <w:t xml:space="preserve">, </w:t>
      </w:r>
      <w:r w:rsidR="00CD1BB4" w:rsidRPr="00A472FC">
        <w:rPr>
          <w:rFonts w:ascii="Times New Roman" w:hAnsi="Times New Roman" w:cs="Times New Roman"/>
          <w:bCs/>
          <w:color w:val="auto"/>
        </w:rPr>
        <w:t>were absorbed in the Latin tradition and thereby had an impact on psychology in the first half of the thirteenth century.</w:t>
      </w:r>
    </w:p>
    <w:p w14:paraId="229BFC45" w14:textId="77777777" w:rsidR="00CD1BB4" w:rsidRPr="00A472FC" w:rsidRDefault="00CD1BB4" w:rsidP="00881604">
      <w:pPr>
        <w:pStyle w:val="Default"/>
        <w:ind w:right="-52"/>
        <w:rPr>
          <w:rFonts w:ascii="Times New Roman" w:hAnsi="Times New Roman" w:cs="Times New Roman"/>
          <w:bCs/>
          <w:color w:val="auto"/>
          <w:u w:val="single"/>
        </w:rPr>
      </w:pPr>
    </w:p>
    <w:p w14:paraId="545CDE1E" w14:textId="59BF7FF0" w:rsidR="00CD1BB4" w:rsidRPr="00A472FC" w:rsidRDefault="00CD1BB4" w:rsidP="00881604">
      <w:pPr>
        <w:pStyle w:val="Default"/>
        <w:ind w:right="-52"/>
        <w:rPr>
          <w:rFonts w:ascii="Times New Roman" w:hAnsi="Times New Roman" w:cs="Times New Roman"/>
          <w:bCs/>
          <w:color w:val="auto"/>
          <w:u w:val="single"/>
        </w:rPr>
      </w:pPr>
      <w:r w:rsidRPr="00A472FC">
        <w:rPr>
          <w:rFonts w:ascii="Times New Roman" w:hAnsi="Times New Roman" w:cs="Times New Roman"/>
          <w:bCs/>
          <w:color w:val="auto"/>
          <w:u w:val="single"/>
        </w:rPr>
        <w:t>The Latin Reception</w:t>
      </w:r>
    </w:p>
    <w:p w14:paraId="09C1F90C" w14:textId="77777777" w:rsidR="00CD1BB4" w:rsidRPr="00A472FC" w:rsidRDefault="00CD1BB4" w:rsidP="00881604">
      <w:pPr>
        <w:pStyle w:val="Default"/>
        <w:ind w:right="-52"/>
        <w:rPr>
          <w:rFonts w:ascii="Times New Roman" w:hAnsi="Times New Roman" w:cs="Times New Roman"/>
        </w:rPr>
      </w:pPr>
    </w:p>
    <w:p w14:paraId="717BF428" w14:textId="34391253" w:rsidR="00CD1BB4" w:rsidRPr="00A472FC" w:rsidRDefault="00CD1BB4" w:rsidP="00881604">
      <w:pPr>
        <w:pStyle w:val="Default"/>
        <w:ind w:right="-52" w:firstLine="720"/>
        <w:rPr>
          <w:rFonts w:ascii="Times New Roman" w:hAnsi="Times New Roman" w:cs="Times New Roman"/>
        </w:rPr>
      </w:pPr>
      <w:r w:rsidRPr="00A472FC">
        <w:rPr>
          <w:rFonts w:ascii="Times New Roman" w:hAnsi="Times New Roman" w:cs="Times New Roman"/>
        </w:rPr>
        <w:t xml:space="preserve">As noted above,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was the first to appropriate Avicenna’s intellect theory in the West. As Hasse shows, however, his is more of a ‘collage of extracts from Avicenna,’ since he selects, combines, and omits pieces of information to suit his own preferences.</w:t>
      </w:r>
      <w:r w:rsidRPr="00A472FC">
        <w:rPr>
          <w:rStyle w:val="FootnoteReference"/>
          <w:rFonts w:ascii="Times New Roman" w:hAnsi="Times New Roman" w:cs="Times New Roman"/>
        </w:rPr>
        <w:footnoteReference w:id="121"/>
      </w:r>
      <w:r w:rsidRPr="00A472FC">
        <w:rPr>
          <w:rFonts w:ascii="Times New Roman" w:hAnsi="Times New Roman" w:cs="Times New Roman"/>
        </w:rPr>
        <w:t xml:space="preserve"> The first substantial witness we have to the reception of Avicenna’s </w:t>
      </w:r>
      <w:r w:rsidRPr="00A472FC">
        <w:rPr>
          <w:rFonts w:ascii="Times New Roman" w:hAnsi="Times New Roman" w:cs="Times New Roman"/>
          <w:i/>
        </w:rPr>
        <w:t xml:space="preserve">De anima </w:t>
      </w:r>
      <w:r w:rsidRPr="00A472FC">
        <w:rPr>
          <w:rFonts w:ascii="Times New Roman" w:hAnsi="Times New Roman" w:cs="Times New Roman"/>
        </w:rPr>
        <w:t xml:space="preserve">in the scholastic context is John </w:t>
      </w:r>
      <w:proofErr w:type="spellStart"/>
      <w:r w:rsidRPr="00A472FC">
        <w:rPr>
          <w:rFonts w:ascii="Times New Roman" w:hAnsi="Times New Roman" w:cs="Times New Roman"/>
        </w:rPr>
        <w:t>Blund</w:t>
      </w:r>
      <w:proofErr w:type="spellEnd"/>
      <w:r w:rsidRPr="00A472FC">
        <w:rPr>
          <w:rFonts w:ascii="Times New Roman" w:hAnsi="Times New Roman" w:cs="Times New Roman"/>
        </w:rPr>
        <w:t>, who was born no later than 1185 and died in 1248.</w:t>
      </w:r>
      <w:r w:rsidRPr="00A472FC">
        <w:rPr>
          <w:rStyle w:val="FootnoteReference"/>
          <w:rFonts w:ascii="Times New Roman" w:hAnsi="Times New Roman" w:cs="Times New Roman"/>
        </w:rPr>
        <w:footnoteReference w:id="122"/>
      </w:r>
      <w:r w:rsidRPr="00A472FC">
        <w:rPr>
          <w:rFonts w:ascii="Times New Roman" w:hAnsi="Times New Roman" w:cs="Times New Roman"/>
        </w:rPr>
        <w:t xml:space="preserve"> He was the first master of </w:t>
      </w:r>
      <w:r w:rsidR="00FF114F" w:rsidRPr="00A472FC">
        <w:rPr>
          <w:rFonts w:ascii="Times New Roman" w:hAnsi="Times New Roman" w:cs="Times New Roman"/>
        </w:rPr>
        <w:t xml:space="preserve">the </w:t>
      </w:r>
      <w:r w:rsidRPr="00A472FC">
        <w:rPr>
          <w:rFonts w:ascii="Times New Roman" w:hAnsi="Times New Roman" w:cs="Times New Roman"/>
        </w:rPr>
        <w:t>arts to write a treatise on the soul, though we do not know for certain if he did so in Paris or in Oxford.</w:t>
      </w:r>
      <w:r w:rsidRPr="00A472FC">
        <w:rPr>
          <w:rStyle w:val="FootnoteReference"/>
          <w:rFonts w:ascii="Times New Roman" w:hAnsi="Times New Roman" w:cs="Times New Roman"/>
        </w:rPr>
        <w:footnoteReference w:id="123"/>
      </w:r>
      <w:r w:rsidRPr="00A472FC">
        <w:rPr>
          <w:rFonts w:ascii="Times New Roman" w:hAnsi="Times New Roman" w:cs="Times New Roman"/>
        </w:rPr>
        <w:t xml:space="preserve"> This work, his </w:t>
      </w:r>
      <w:r w:rsidRPr="00A472FC">
        <w:rPr>
          <w:rFonts w:ascii="Times New Roman" w:hAnsi="Times New Roman" w:cs="Times New Roman"/>
          <w:i/>
        </w:rPr>
        <w:t>De anima</w:t>
      </w:r>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is extant in </w:t>
      </w:r>
      <w:r w:rsidR="00257CED" w:rsidRPr="00A472FC">
        <w:rPr>
          <w:rFonts w:ascii="Times New Roman" w:hAnsi="Times New Roman" w:cs="Times New Roman"/>
        </w:rPr>
        <w:t xml:space="preserve">only </w:t>
      </w:r>
      <w:r w:rsidRPr="00A472FC">
        <w:rPr>
          <w:rFonts w:ascii="Times New Roman" w:hAnsi="Times New Roman" w:cs="Times New Roman"/>
        </w:rPr>
        <w:t>one manuscript.</w:t>
      </w:r>
      <w:r w:rsidRPr="00A472FC">
        <w:rPr>
          <w:rStyle w:val="FootnoteReference"/>
          <w:rFonts w:ascii="Times New Roman" w:hAnsi="Times New Roman" w:cs="Times New Roman"/>
        </w:rPr>
        <w:footnoteReference w:id="124"/>
      </w:r>
      <w:r w:rsidRPr="00A472FC">
        <w:rPr>
          <w:rFonts w:ascii="Times New Roman" w:hAnsi="Times New Roman" w:cs="Times New Roman"/>
        </w:rPr>
        <w:t xml:space="preserve"> The fact that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makes no reference to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means that this work </w:t>
      </w:r>
      <w:r w:rsidR="00DD526B" w:rsidRPr="00A472FC">
        <w:rPr>
          <w:rFonts w:ascii="Times New Roman" w:hAnsi="Times New Roman" w:cs="Times New Roman"/>
        </w:rPr>
        <w:t>was written at a</w:t>
      </w:r>
      <w:r w:rsidRPr="00A472FC">
        <w:rPr>
          <w:rFonts w:ascii="Times New Roman" w:hAnsi="Times New Roman" w:cs="Times New Roman"/>
        </w:rPr>
        <w:t xml:space="preserve"> very early date, probably shortly after 1200 and no later than 1210.</w:t>
      </w:r>
      <w:r w:rsidRPr="00A472FC">
        <w:rPr>
          <w:rStyle w:val="FootnoteReference"/>
          <w:rFonts w:ascii="Times New Roman" w:hAnsi="Times New Roman" w:cs="Times New Roman"/>
        </w:rPr>
        <w:footnoteReference w:id="125"/>
      </w:r>
      <w:r w:rsidRPr="00A472FC">
        <w:rPr>
          <w:rFonts w:ascii="Times New Roman" w:hAnsi="Times New Roman" w:cs="Times New Roman"/>
        </w:rPr>
        <w:t xml:space="preserve"> </w:t>
      </w:r>
    </w:p>
    <w:p w14:paraId="3B52A894" w14:textId="57915864" w:rsidR="00CD1BB4" w:rsidRPr="00A472FC" w:rsidRDefault="00CD1BB4" w:rsidP="00881604">
      <w:pPr>
        <w:pStyle w:val="Default"/>
        <w:ind w:right="-52" w:firstLine="720"/>
        <w:rPr>
          <w:rFonts w:ascii="Times New Roman" w:hAnsi="Times New Roman" w:cs="Times New Roman"/>
        </w:rPr>
      </w:pPr>
      <w:r w:rsidRPr="00A472FC">
        <w:rPr>
          <w:rFonts w:ascii="Times New Roman" w:hAnsi="Times New Roman" w:cs="Times New Roman"/>
        </w:rPr>
        <w:t xml:space="preserve">As Callus notes,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is a good example of one who, for the most part, did not try to combine Avicenna with Aristotle or justify his use in terms of Augustine, but simply</w:t>
      </w:r>
      <w:r w:rsidR="00C8716A" w:rsidRPr="00A472FC">
        <w:rPr>
          <w:rFonts w:ascii="Times New Roman" w:hAnsi="Times New Roman" w:cs="Times New Roman"/>
        </w:rPr>
        <w:t xml:space="preserve"> appropriated</w:t>
      </w:r>
      <w:r w:rsidRPr="00A472FC">
        <w:rPr>
          <w:rFonts w:ascii="Times New Roman" w:hAnsi="Times New Roman" w:cs="Times New Roman"/>
        </w:rPr>
        <w:t xml:space="preserve"> Avicenna.</w:t>
      </w:r>
      <w:r w:rsidRPr="00A472FC">
        <w:rPr>
          <w:rStyle w:val="FootnoteReference"/>
          <w:rFonts w:ascii="Times New Roman" w:hAnsi="Times New Roman" w:cs="Times New Roman"/>
        </w:rPr>
        <w:footnoteReference w:id="126"/>
      </w:r>
      <w:r w:rsidRPr="00A472FC">
        <w:rPr>
          <w:rFonts w:ascii="Times New Roman" w:hAnsi="Times New Roman" w:cs="Times New Roman"/>
        </w:rPr>
        <w:t xml:space="preserve"> With the exception of a final section on free will, </w:t>
      </w:r>
      <w:proofErr w:type="spellStart"/>
      <w:r w:rsidRPr="00A472FC">
        <w:rPr>
          <w:rFonts w:ascii="Times New Roman" w:hAnsi="Times New Roman" w:cs="Times New Roman"/>
        </w:rPr>
        <w:t>Blund’s</w:t>
      </w:r>
      <w:proofErr w:type="spellEnd"/>
      <w:r w:rsidRPr="00A472FC">
        <w:rPr>
          <w:rFonts w:ascii="Times New Roman" w:hAnsi="Times New Roman" w:cs="Times New Roman"/>
        </w:rPr>
        <w:t xml:space="preserve"> treatise roughly follows the outline of Avicenna’s.</w:t>
      </w:r>
      <w:r w:rsidRPr="00A472FC">
        <w:rPr>
          <w:rStyle w:val="FootnoteReference"/>
          <w:rFonts w:ascii="Times New Roman" w:hAnsi="Times New Roman" w:cs="Times New Roman"/>
        </w:rPr>
        <w:footnoteReference w:id="127"/>
      </w:r>
      <w:r w:rsidRPr="00A472FC">
        <w:rPr>
          <w:rFonts w:ascii="Times New Roman" w:hAnsi="Times New Roman" w:cs="Times New Roman"/>
        </w:rPr>
        <w:t xml:space="preserve"> The artist first covers what the soul is, or its definition; he then gives an overview of the differences between the vegetative, sensitive, and rational souls and their powers; as well as the differences between the irascible and </w:t>
      </w:r>
      <w:proofErr w:type="spellStart"/>
      <w:r w:rsidRPr="00A472FC">
        <w:rPr>
          <w:rFonts w:ascii="Times New Roman" w:hAnsi="Times New Roman" w:cs="Times New Roman"/>
        </w:rPr>
        <w:lastRenderedPageBreak/>
        <w:t>concupiscible</w:t>
      </w:r>
      <w:proofErr w:type="spellEnd"/>
      <w:r w:rsidRPr="00A472FC">
        <w:rPr>
          <w:rFonts w:ascii="Times New Roman" w:hAnsi="Times New Roman" w:cs="Times New Roman"/>
        </w:rPr>
        <w:t xml:space="preserve"> powers.</w:t>
      </w:r>
      <w:r w:rsidRPr="00A472FC">
        <w:rPr>
          <w:rStyle w:val="FootnoteReference"/>
          <w:rFonts w:ascii="Times New Roman" w:hAnsi="Times New Roman" w:cs="Times New Roman"/>
        </w:rPr>
        <w:footnoteReference w:id="128"/>
      </w:r>
      <w:r w:rsidRPr="00A472FC">
        <w:rPr>
          <w:rFonts w:ascii="Times New Roman" w:hAnsi="Times New Roman" w:cs="Times New Roman"/>
        </w:rPr>
        <w:t xml:space="preserve"> After a detailed discussion of the five external senses, he explains in turn the five internal senses, which he defines basically in </w:t>
      </w:r>
      <w:proofErr w:type="spellStart"/>
      <w:r w:rsidRPr="00A472FC">
        <w:rPr>
          <w:rFonts w:ascii="Times New Roman" w:hAnsi="Times New Roman" w:cs="Times New Roman"/>
        </w:rPr>
        <w:t>Avicennian</w:t>
      </w:r>
      <w:proofErr w:type="spellEnd"/>
      <w:r w:rsidRPr="00A472FC">
        <w:rPr>
          <w:rFonts w:ascii="Times New Roman" w:hAnsi="Times New Roman" w:cs="Times New Roman"/>
        </w:rPr>
        <w:t xml:space="preserve"> terms while at the same time engaging in his own exploratory discussion of each faculty.</w:t>
      </w:r>
      <w:r w:rsidRPr="00A472FC">
        <w:rPr>
          <w:rStyle w:val="FootnoteReference"/>
          <w:rFonts w:ascii="Times New Roman" w:hAnsi="Times New Roman" w:cs="Times New Roman"/>
        </w:rPr>
        <w:footnoteReference w:id="129"/>
      </w:r>
      <w:r w:rsidRPr="00A472FC">
        <w:rPr>
          <w:rFonts w:ascii="Times New Roman" w:hAnsi="Times New Roman" w:cs="Times New Roman"/>
        </w:rPr>
        <w:t xml:space="preserve"> </w:t>
      </w:r>
    </w:p>
    <w:p w14:paraId="6D1A0DF4" w14:textId="6A1FFB42" w:rsidR="00CD1BB4" w:rsidRPr="00A472FC" w:rsidRDefault="00785DAC" w:rsidP="00881604">
      <w:pPr>
        <w:pStyle w:val="Default"/>
        <w:ind w:right="-52" w:firstLine="720"/>
        <w:rPr>
          <w:rFonts w:ascii="Times New Roman" w:hAnsi="Times New Roman" w:cs="Times New Roman"/>
        </w:rPr>
      </w:pPr>
      <w:r w:rsidRPr="00A472FC">
        <w:rPr>
          <w:rFonts w:ascii="Times New Roman" w:hAnsi="Times New Roman" w:cs="Times New Roman"/>
        </w:rPr>
        <w:t>Albeit</w:t>
      </w:r>
      <w:r w:rsidR="00CD1BB4" w:rsidRPr="00A472FC">
        <w:rPr>
          <w:rFonts w:ascii="Times New Roman" w:hAnsi="Times New Roman" w:cs="Times New Roman"/>
        </w:rPr>
        <w:t xml:space="preserve"> briefly, he discusses Avicenna’s doctrine of the intellect, again, very much on his own terms and in line with his own interests.</w:t>
      </w:r>
      <w:r w:rsidR="00CD1BB4" w:rsidRPr="00A472FC">
        <w:rPr>
          <w:rStyle w:val="FootnoteReference"/>
          <w:rFonts w:ascii="Times New Roman" w:hAnsi="Times New Roman" w:cs="Times New Roman"/>
        </w:rPr>
        <w:footnoteReference w:id="130"/>
      </w:r>
      <w:r w:rsidR="00CD1BB4" w:rsidRPr="00A472FC">
        <w:rPr>
          <w:rFonts w:ascii="Times New Roman" w:hAnsi="Times New Roman" w:cs="Times New Roman"/>
        </w:rPr>
        <w:t xml:space="preserve"> In his account, the first material intellect or intellect in potency is like prime matter, insofar as it is receptive to all forms but possesses none of them as yet. ‘Just as form completes matter by giving it a being in act,’ so John concludes that the next, ‘acquired intellect completes the material intellect by giving it being in effect.’</w:t>
      </w:r>
      <w:r w:rsidR="00CD1BB4" w:rsidRPr="00A472FC">
        <w:rPr>
          <w:rStyle w:val="FootnoteReference"/>
          <w:rFonts w:ascii="Times New Roman" w:hAnsi="Times New Roman" w:cs="Times New Roman"/>
        </w:rPr>
        <w:footnoteReference w:id="131"/>
      </w:r>
      <w:r w:rsidR="00CD1BB4" w:rsidRPr="00A472FC">
        <w:rPr>
          <w:rFonts w:ascii="Times New Roman" w:hAnsi="Times New Roman" w:cs="Times New Roman"/>
        </w:rPr>
        <w:t xml:space="preserve"> This effectively eliminates the need for the intellect in effect and the agent intellect, which John nonetheless mentions, while more or less reducing Avicenna’s four phases of the intellect to two and generating an account that Hasse describes as ‘hardly </w:t>
      </w:r>
      <w:proofErr w:type="spellStart"/>
      <w:r w:rsidR="00CD1BB4" w:rsidRPr="00A472FC">
        <w:rPr>
          <w:rFonts w:ascii="Times New Roman" w:hAnsi="Times New Roman" w:cs="Times New Roman"/>
        </w:rPr>
        <w:t>Avicennian</w:t>
      </w:r>
      <w:proofErr w:type="spellEnd"/>
      <w:r w:rsidR="00CD1BB4" w:rsidRPr="00A472FC">
        <w:rPr>
          <w:rFonts w:ascii="Times New Roman" w:hAnsi="Times New Roman" w:cs="Times New Roman"/>
        </w:rPr>
        <w:t>.’</w:t>
      </w:r>
      <w:r w:rsidR="00CD1BB4" w:rsidRPr="00A472FC">
        <w:rPr>
          <w:rStyle w:val="FootnoteReference"/>
          <w:rFonts w:ascii="Times New Roman" w:hAnsi="Times New Roman" w:cs="Times New Roman"/>
        </w:rPr>
        <w:footnoteReference w:id="132"/>
      </w:r>
      <w:r w:rsidR="00CD1BB4" w:rsidRPr="00A472FC">
        <w:rPr>
          <w:rFonts w:ascii="Times New Roman" w:hAnsi="Times New Roman" w:cs="Times New Roman"/>
        </w:rPr>
        <w:t xml:space="preserve"> Indeed, the language he chooses to articulate his discussion, and his explanations of various concepts, are very much his own. </w:t>
      </w:r>
    </w:p>
    <w:p w14:paraId="1B9641D4" w14:textId="56C9C7D9" w:rsidR="00CD1BB4" w:rsidRPr="00A472FC" w:rsidRDefault="00CD1BB4" w:rsidP="00881604">
      <w:pPr>
        <w:autoSpaceDE w:val="0"/>
        <w:autoSpaceDN w:val="0"/>
        <w:adjustRightInd w:val="0"/>
        <w:ind w:right="-52" w:firstLine="720"/>
        <w:rPr>
          <w:rFonts w:ascii="Times New Roman" w:hAnsi="Times New Roman" w:cs="Times New Roman"/>
          <w:bCs/>
          <w:color w:val="000000"/>
          <w:lang w:val="en-US"/>
        </w:rPr>
      </w:pPr>
      <w:r w:rsidRPr="00A472FC">
        <w:rPr>
          <w:rFonts w:ascii="Times New Roman" w:hAnsi="Times New Roman" w:cs="Times New Roman"/>
        </w:rPr>
        <w:t xml:space="preserve">An author who was clearly influenced by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was Alexander </w:t>
      </w:r>
      <w:proofErr w:type="spellStart"/>
      <w:r w:rsidRPr="00A472FC">
        <w:rPr>
          <w:rFonts w:ascii="Times New Roman" w:hAnsi="Times New Roman" w:cs="Times New Roman"/>
        </w:rPr>
        <w:t>Ne</w:t>
      </w:r>
      <w:r w:rsidR="006A0876" w:rsidRPr="00A472FC">
        <w:rPr>
          <w:rFonts w:ascii="Times New Roman" w:hAnsi="Times New Roman" w:cs="Times New Roman"/>
        </w:rPr>
        <w:t>ck</w:t>
      </w:r>
      <w:r w:rsidRPr="00A472FC">
        <w:rPr>
          <w:rFonts w:ascii="Times New Roman" w:hAnsi="Times New Roman" w:cs="Times New Roman"/>
        </w:rPr>
        <w:t>am</w:t>
      </w:r>
      <w:proofErr w:type="spellEnd"/>
      <w:r w:rsidRPr="00A472FC">
        <w:rPr>
          <w:rFonts w:ascii="Times New Roman" w:hAnsi="Times New Roman" w:cs="Times New Roman"/>
        </w:rPr>
        <w:t xml:space="preserve"> </w:t>
      </w:r>
      <w:r w:rsidRPr="00A472FC">
        <w:rPr>
          <w:rFonts w:ascii="Times New Roman" w:hAnsi="Times New Roman" w:cs="Times New Roman"/>
          <w:bCs/>
          <w:color w:val="000000"/>
          <w:lang w:val="en-US"/>
        </w:rPr>
        <w:t>(1157-1217)</w:t>
      </w:r>
      <w:r w:rsidRPr="00A472FC">
        <w:rPr>
          <w:rFonts w:ascii="Times New Roman" w:hAnsi="Times New Roman" w:cs="Times New Roman"/>
          <w:bCs/>
        </w:rPr>
        <w:t>, an older contemporary of h</w:t>
      </w:r>
      <w:r w:rsidR="00D27EBC" w:rsidRPr="00A472FC">
        <w:rPr>
          <w:rFonts w:ascii="Times New Roman" w:hAnsi="Times New Roman" w:cs="Times New Roman"/>
          <w:bCs/>
        </w:rPr>
        <w:t>is</w:t>
      </w:r>
      <w:r w:rsidRPr="00A472FC">
        <w:rPr>
          <w:rFonts w:ascii="Times New Roman" w:hAnsi="Times New Roman" w:cs="Times New Roman"/>
          <w:bCs/>
        </w:rPr>
        <w:t xml:space="preserve"> who </w:t>
      </w:r>
      <w:r w:rsidRPr="00A472FC">
        <w:rPr>
          <w:rFonts w:ascii="Times New Roman" w:hAnsi="Times New Roman" w:cs="Times New Roman"/>
          <w:bCs/>
          <w:color w:val="000000"/>
          <w:lang w:val="en-US"/>
        </w:rPr>
        <w:t>worked and taught in both Paris and Oxford in the last quarter of the twelfth century.</w:t>
      </w:r>
      <w:r w:rsidRPr="00A472FC">
        <w:rPr>
          <w:rFonts w:ascii="Times New Roman" w:hAnsi="Times New Roman" w:cs="Times New Roman"/>
          <w:bCs/>
        </w:rPr>
        <w:t xml:space="preserve"> Around 1200, </w:t>
      </w:r>
      <w:r w:rsidRPr="00A472FC">
        <w:rPr>
          <w:rFonts w:ascii="Times New Roman" w:hAnsi="Times New Roman" w:cs="Times New Roman"/>
          <w:bCs/>
          <w:color w:val="000000"/>
          <w:lang w:val="en-US"/>
        </w:rPr>
        <w:t xml:space="preserve">he wrote an incomplete work of theology, the </w:t>
      </w:r>
      <w:r w:rsidRPr="00A472FC">
        <w:rPr>
          <w:rFonts w:ascii="Times New Roman" w:hAnsi="Times New Roman" w:cs="Times New Roman"/>
          <w:bCs/>
          <w:i/>
          <w:color w:val="000000"/>
          <w:lang w:val="en-US"/>
        </w:rPr>
        <w:t xml:space="preserve">Speculum </w:t>
      </w:r>
      <w:proofErr w:type="spellStart"/>
      <w:r w:rsidRPr="00A472FC">
        <w:rPr>
          <w:rFonts w:ascii="Times New Roman" w:hAnsi="Times New Roman" w:cs="Times New Roman"/>
          <w:bCs/>
          <w:i/>
          <w:color w:val="000000"/>
          <w:lang w:val="en-US"/>
        </w:rPr>
        <w:t>speculation</w:t>
      </w:r>
      <w:r w:rsidR="00095168" w:rsidRPr="00A472FC">
        <w:rPr>
          <w:rFonts w:ascii="Times New Roman" w:hAnsi="Times New Roman" w:cs="Times New Roman"/>
          <w:bCs/>
          <w:i/>
          <w:color w:val="000000"/>
          <w:lang w:val="en-US"/>
        </w:rPr>
        <w:t>u</w:t>
      </w:r>
      <w:r w:rsidRPr="00A472FC">
        <w:rPr>
          <w:rFonts w:ascii="Times New Roman" w:hAnsi="Times New Roman" w:cs="Times New Roman"/>
          <w:bCs/>
          <w:i/>
          <w:color w:val="000000"/>
          <w:lang w:val="en-US"/>
        </w:rPr>
        <w:t>m</w:t>
      </w:r>
      <w:proofErr w:type="spellEnd"/>
      <w:r w:rsidRPr="00A472FC">
        <w:rPr>
          <w:rFonts w:ascii="Times New Roman" w:hAnsi="Times New Roman" w:cs="Times New Roman"/>
          <w:bCs/>
          <w:iCs/>
          <w:color w:val="000000"/>
          <w:lang w:val="en-US"/>
        </w:rPr>
        <w:t>,</w:t>
      </w:r>
      <w:r w:rsidRPr="00A472FC">
        <w:rPr>
          <w:rFonts w:ascii="Times New Roman" w:hAnsi="Times New Roman" w:cs="Times New Roman"/>
          <w:bCs/>
          <w:i/>
          <w:color w:val="000000"/>
          <w:lang w:val="en-US"/>
        </w:rPr>
        <w:t xml:space="preserve"> </w:t>
      </w:r>
      <w:r w:rsidRPr="00A472FC">
        <w:rPr>
          <w:rFonts w:ascii="Times New Roman" w:hAnsi="Times New Roman" w:cs="Times New Roman"/>
          <w:bCs/>
          <w:color w:val="000000"/>
          <w:lang w:val="en-US"/>
        </w:rPr>
        <w:t>which was based largely on his notes from his time in Paris between 1175-82 and his time in Oxford in the 1190s.</w:t>
      </w:r>
      <w:r w:rsidRPr="00A472FC">
        <w:rPr>
          <w:rStyle w:val="FootnoteReference"/>
          <w:rFonts w:ascii="Times New Roman" w:hAnsi="Times New Roman" w:cs="Times New Roman"/>
          <w:bCs/>
          <w:color w:val="000000"/>
          <w:lang w:val="en-US"/>
        </w:rPr>
        <w:footnoteReference w:id="133"/>
      </w:r>
      <w:r w:rsidRPr="00A472FC">
        <w:rPr>
          <w:rFonts w:ascii="Times New Roman" w:hAnsi="Times New Roman" w:cs="Times New Roman"/>
          <w:bCs/>
        </w:rPr>
        <w:t xml:space="preserve"> </w:t>
      </w:r>
      <w:r w:rsidRPr="00A472FC">
        <w:rPr>
          <w:rFonts w:ascii="Times New Roman" w:hAnsi="Times New Roman" w:cs="Times New Roman"/>
          <w:bCs/>
          <w:color w:val="000000"/>
          <w:lang w:val="en-US"/>
        </w:rPr>
        <w:t xml:space="preserve">Although he discussed various problems of the soul in book three, he makes almost no reference to Aristotle. The one exception is his reference to Aristotle’s definition of the soul, which he takes from John </w:t>
      </w:r>
      <w:proofErr w:type="spellStart"/>
      <w:r w:rsidRPr="00A472FC">
        <w:rPr>
          <w:rFonts w:ascii="Times New Roman" w:hAnsi="Times New Roman" w:cs="Times New Roman"/>
          <w:bCs/>
          <w:color w:val="000000"/>
          <w:lang w:val="en-US"/>
        </w:rPr>
        <w:t>Blund</w:t>
      </w:r>
      <w:proofErr w:type="spellEnd"/>
      <w:r w:rsidRPr="00A472FC">
        <w:rPr>
          <w:rFonts w:ascii="Times New Roman" w:hAnsi="Times New Roman" w:cs="Times New Roman"/>
          <w:bCs/>
          <w:color w:val="000000"/>
          <w:lang w:val="en-US"/>
        </w:rPr>
        <w:t>, whose version does not correspond verbatim with any of the known variations on Aristotle’s original.</w:t>
      </w:r>
      <w:r w:rsidRPr="00A472FC">
        <w:rPr>
          <w:rStyle w:val="FootnoteReference"/>
          <w:rFonts w:ascii="Times New Roman" w:hAnsi="Times New Roman" w:cs="Times New Roman"/>
          <w:bCs/>
          <w:color w:val="000000"/>
          <w:lang w:val="en-US"/>
        </w:rPr>
        <w:footnoteReference w:id="134"/>
      </w:r>
      <w:r w:rsidRPr="00A472FC">
        <w:rPr>
          <w:rFonts w:ascii="Times New Roman" w:hAnsi="Times New Roman" w:cs="Times New Roman"/>
          <w:bCs/>
          <w:color w:val="000000"/>
          <w:lang w:val="en-US"/>
        </w:rPr>
        <w:t xml:space="preserve"> This in fact is one of the grounds on which Callus establishes that </w:t>
      </w:r>
      <w:proofErr w:type="spellStart"/>
      <w:r w:rsidRPr="00A472FC">
        <w:rPr>
          <w:rFonts w:ascii="Times New Roman" w:hAnsi="Times New Roman" w:cs="Times New Roman"/>
          <w:bCs/>
          <w:color w:val="000000"/>
          <w:lang w:val="en-US"/>
        </w:rPr>
        <w:t>Neckam</w:t>
      </w:r>
      <w:proofErr w:type="spellEnd"/>
      <w:r w:rsidRPr="00A472FC">
        <w:rPr>
          <w:rFonts w:ascii="Times New Roman" w:hAnsi="Times New Roman" w:cs="Times New Roman"/>
          <w:bCs/>
          <w:color w:val="000000"/>
          <w:lang w:val="en-US"/>
        </w:rPr>
        <w:t xml:space="preserve"> borrowed from his younger colleague rather than the other way around.</w:t>
      </w:r>
      <w:r w:rsidRPr="00A472FC">
        <w:rPr>
          <w:rStyle w:val="FootnoteReference"/>
          <w:rFonts w:ascii="Times New Roman" w:hAnsi="Times New Roman" w:cs="Times New Roman"/>
          <w:lang w:val="en-US"/>
        </w:rPr>
        <w:footnoteReference w:id="135"/>
      </w:r>
      <w:r w:rsidRPr="00A472FC">
        <w:rPr>
          <w:rFonts w:ascii="Times New Roman" w:hAnsi="Times New Roman" w:cs="Times New Roman"/>
          <w:bCs/>
          <w:color w:val="000000"/>
          <w:lang w:val="en-US"/>
        </w:rPr>
        <w:t xml:space="preserve"> </w:t>
      </w:r>
    </w:p>
    <w:p w14:paraId="6E6822FA" w14:textId="4238A0E7" w:rsidR="00CD1BB4" w:rsidRPr="00A472FC" w:rsidRDefault="00CD1BB4" w:rsidP="00881604">
      <w:pPr>
        <w:autoSpaceDE w:val="0"/>
        <w:autoSpaceDN w:val="0"/>
        <w:adjustRightInd w:val="0"/>
        <w:ind w:right="-52"/>
        <w:rPr>
          <w:rFonts w:ascii="Times New Roman" w:hAnsi="Times New Roman" w:cs="Times New Roman"/>
        </w:rPr>
      </w:pPr>
      <w:r w:rsidRPr="00A472FC">
        <w:rPr>
          <w:rFonts w:ascii="Times New Roman" w:hAnsi="Times New Roman" w:cs="Times New Roman"/>
          <w:lang w:val="en-US"/>
        </w:rPr>
        <w:tab/>
        <w:t xml:space="preserve">Another work of relevance was dedicated to Alexander </w:t>
      </w:r>
      <w:proofErr w:type="spellStart"/>
      <w:r w:rsidRPr="00A472FC">
        <w:rPr>
          <w:rFonts w:ascii="Times New Roman" w:hAnsi="Times New Roman" w:cs="Times New Roman"/>
          <w:lang w:val="en-US"/>
        </w:rPr>
        <w:t>Neckam</w:t>
      </w:r>
      <w:proofErr w:type="spellEnd"/>
      <w:r w:rsidRPr="00A472FC">
        <w:rPr>
          <w:rFonts w:ascii="Times New Roman" w:hAnsi="Times New Roman" w:cs="Times New Roman"/>
          <w:lang w:val="en-US"/>
        </w:rPr>
        <w:t xml:space="preserve"> by his friend Alfred </w:t>
      </w:r>
      <w:proofErr w:type="spellStart"/>
      <w:r w:rsidRPr="00A472FC">
        <w:rPr>
          <w:rFonts w:ascii="Times New Roman" w:hAnsi="Times New Roman" w:cs="Times New Roman"/>
          <w:lang w:val="en-US"/>
        </w:rPr>
        <w:t>Sarashel</w:t>
      </w:r>
      <w:proofErr w:type="spellEnd"/>
      <w:r w:rsidRPr="00A472FC">
        <w:rPr>
          <w:rFonts w:ascii="Times New Roman" w:hAnsi="Times New Roman" w:cs="Times New Roman"/>
          <w:lang w:val="en-US"/>
        </w:rPr>
        <w:t xml:space="preserve">, who probably wrote his </w:t>
      </w:r>
      <w:r w:rsidRPr="00A472FC">
        <w:rPr>
          <w:rFonts w:ascii="Times New Roman" w:hAnsi="Times New Roman" w:cs="Times New Roman"/>
          <w:i/>
          <w:lang w:val="en-US"/>
        </w:rPr>
        <w:t xml:space="preserve">De </w:t>
      </w:r>
      <w:proofErr w:type="spellStart"/>
      <w:r w:rsidRPr="00A472FC">
        <w:rPr>
          <w:rFonts w:ascii="Times New Roman" w:hAnsi="Times New Roman" w:cs="Times New Roman"/>
          <w:i/>
          <w:lang w:val="en-US"/>
        </w:rPr>
        <w:t>motu</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cordis</w:t>
      </w:r>
      <w:proofErr w:type="spellEnd"/>
      <w:r w:rsidRPr="00A472FC">
        <w:rPr>
          <w:rFonts w:ascii="Times New Roman" w:hAnsi="Times New Roman" w:cs="Times New Roman"/>
          <w:i/>
          <w:lang w:val="en-US"/>
        </w:rPr>
        <w:t xml:space="preserve"> </w:t>
      </w:r>
      <w:r w:rsidRPr="00A472FC">
        <w:rPr>
          <w:rFonts w:ascii="Times New Roman" w:hAnsi="Times New Roman" w:cs="Times New Roman"/>
          <w:lang w:val="en-US"/>
        </w:rPr>
        <w:t>in 1200 at the earliest and 1217 at latest—most likely around 1210-15.</w:t>
      </w:r>
      <w:r w:rsidRPr="00A472FC">
        <w:rPr>
          <w:rStyle w:val="FootnoteReference"/>
          <w:rFonts w:ascii="Times New Roman" w:hAnsi="Times New Roman" w:cs="Times New Roman"/>
          <w:lang w:val="en-US"/>
        </w:rPr>
        <w:footnoteReference w:id="136"/>
      </w:r>
      <w:r w:rsidRPr="00A472FC">
        <w:rPr>
          <w:rFonts w:ascii="Times New Roman" w:hAnsi="Times New Roman" w:cs="Times New Roman"/>
          <w:lang w:val="en-US"/>
        </w:rPr>
        <w:t xml:space="preserve"> As </w:t>
      </w:r>
      <w:r w:rsidRPr="00A472FC">
        <w:rPr>
          <w:rFonts w:ascii="Times New Roman" w:hAnsi="Times New Roman" w:cs="Times New Roman"/>
        </w:rPr>
        <w:t xml:space="preserve">an Englishman, </w:t>
      </w:r>
      <w:proofErr w:type="spellStart"/>
      <w:r w:rsidRPr="00A472FC">
        <w:rPr>
          <w:rFonts w:ascii="Times New Roman" w:hAnsi="Times New Roman" w:cs="Times New Roman"/>
        </w:rPr>
        <w:t>Sarashel</w:t>
      </w:r>
      <w:proofErr w:type="spellEnd"/>
      <w:r w:rsidRPr="00A472FC">
        <w:rPr>
          <w:rFonts w:ascii="Times New Roman" w:hAnsi="Times New Roman" w:cs="Times New Roman"/>
        </w:rPr>
        <w:t xml:space="preserve"> had moved to Spain to work </w:t>
      </w:r>
      <w:r w:rsidR="00013C30" w:rsidRPr="00A472FC">
        <w:rPr>
          <w:rFonts w:ascii="Times New Roman" w:hAnsi="Times New Roman" w:cs="Times New Roman"/>
        </w:rPr>
        <w:t>in</w:t>
      </w:r>
      <w:r w:rsidRPr="00A472FC">
        <w:rPr>
          <w:rFonts w:ascii="Times New Roman" w:hAnsi="Times New Roman" w:cs="Times New Roman"/>
        </w:rPr>
        <w:t xml:space="preserve"> </w:t>
      </w:r>
      <w:r w:rsidR="00D24C58" w:rsidRPr="00A472FC">
        <w:rPr>
          <w:rFonts w:ascii="Times New Roman" w:hAnsi="Times New Roman" w:cs="Times New Roman"/>
        </w:rPr>
        <w:t>Toledo and w</w:t>
      </w:r>
      <w:r w:rsidRPr="00A472FC">
        <w:rPr>
          <w:rFonts w:ascii="Times New Roman" w:hAnsi="Times New Roman" w:cs="Times New Roman"/>
        </w:rPr>
        <w:t xml:space="preserve">as therefore heavily influenced by the developments in science and philosophy that came through the translation of Arabic texts. The title of his work suggests an interest in the theme introduced by Costa Ben Luca concerning a vital spirit responsible for the pumping of blood through the heart as the means to the body’s enlivenment. Although </w:t>
      </w:r>
      <w:proofErr w:type="spellStart"/>
      <w:r w:rsidRPr="00A472FC">
        <w:rPr>
          <w:rFonts w:ascii="Times New Roman" w:hAnsi="Times New Roman" w:cs="Times New Roman"/>
        </w:rPr>
        <w:t>Neckam</w:t>
      </w:r>
      <w:proofErr w:type="spellEnd"/>
      <w:r w:rsidRPr="00A472FC">
        <w:rPr>
          <w:rFonts w:ascii="Times New Roman" w:hAnsi="Times New Roman" w:cs="Times New Roman"/>
        </w:rPr>
        <w:t xml:space="preserve"> and </w:t>
      </w:r>
      <w:proofErr w:type="spellStart"/>
      <w:r w:rsidRPr="00A472FC">
        <w:rPr>
          <w:rFonts w:ascii="Times New Roman" w:hAnsi="Times New Roman" w:cs="Times New Roman"/>
        </w:rPr>
        <w:t>Sarashel</w:t>
      </w:r>
      <w:proofErr w:type="spellEnd"/>
      <w:r w:rsidRPr="00A472FC">
        <w:rPr>
          <w:rFonts w:ascii="Times New Roman" w:hAnsi="Times New Roman" w:cs="Times New Roman"/>
        </w:rPr>
        <w:t xml:space="preserve"> are clearly not unaware of Aristotle and natural philosophy more generally, they exhibit a more guarded approach to themes from his thought which may simply suggest they had other interests</w:t>
      </w:r>
      <w:r w:rsidR="00421F4C" w:rsidRPr="00A472FC">
        <w:rPr>
          <w:rFonts w:ascii="Times New Roman" w:hAnsi="Times New Roman" w:cs="Times New Roman"/>
        </w:rPr>
        <w:t>. A</w:t>
      </w:r>
      <w:r w:rsidRPr="00A472FC">
        <w:rPr>
          <w:rFonts w:ascii="Times New Roman" w:hAnsi="Times New Roman" w:cs="Times New Roman"/>
        </w:rPr>
        <w:t xml:space="preserve">lternatively, their hesitation could also be a sign that they were anticipating the condemnation of the books of natural philosophy that came into effect from 1210 and remained so for around twenty years. </w:t>
      </w:r>
    </w:p>
    <w:p w14:paraId="2C12BD2B" w14:textId="1F19296F" w:rsidR="00CD1BB4" w:rsidRPr="00A472FC" w:rsidRDefault="00CD1BB4"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The 1210 condemnation was issued by a provincial council in Paris which forbade public lecturing on Aristotle’s books o</w:t>
      </w:r>
      <w:r w:rsidR="004209FC" w:rsidRPr="00A472FC">
        <w:rPr>
          <w:rFonts w:ascii="Times New Roman" w:hAnsi="Times New Roman" w:cs="Times New Roman"/>
        </w:rPr>
        <w:t>f</w:t>
      </w:r>
      <w:r w:rsidRPr="00A472FC">
        <w:rPr>
          <w:rFonts w:ascii="Times New Roman" w:hAnsi="Times New Roman" w:cs="Times New Roman"/>
        </w:rPr>
        <w:t xml:space="preserve"> natural philosophy or commentaries on those books, which </w:t>
      </w:r>
      <w:r w:rsidR="00B60AD8" w:rsidRPr="00A472FC">
        <w:rPr>
          <w:rFonts w:ascii="Times New Roman" w:hAnsi="Times New Roman" w:cs="Times New Roman"/>
        </w:rPr>
        <w:t>probably</w:t>
      </w:r>
      <w:r w:rsidRPr="00A472FC">
        <w:rPr>
          <w:rFonts w:ascii="Times New Roman" w:hAnsi="Times New Roman" w:cs="Times New Roman"/>
        </w:rPr>
        <w:t xml:space="preserve"> implicated Avicenna</w:t>
      </w:r>
      <w:r w:rsidR="004209FC" w:rsidRPr="00A472FC">
        <w:rPr>
          <w:rFonts w:ascii="Times New Roman" w:hAnsi="Times New Roman" w:cs="Times New Roman"/>
        </w:rPr>
        <w:t>. The penalty for contravening the ban was</w:t>
      </w:r>
      <w:r w:rsidRPr="00A472FC">
        <w:rPr>
          <w:rFonts w:ascii="Times New Roman" w:hAnsi="Times New Roman" w:cs="Times New Roman"/>
        </w:rPr>
        <w:t xml:space="preserve"> </w:t>
      </w:r>
      <w:r w:rsidRPr="00A472FC">
        <w:rPr>
          <w:rFonts w:ascii="Times New Roman" w:hAnsi="Times New Roman" w:cs="Times New Roman"/>
        </w:rPr>
        <w:lastRenderedPageBreak/>
        <w:t>excommunication.</w:t>
      </w:r>
      <w:r w:rsidRPr="00A472FC">
        <w:rPr>
          <w:rStyle w:val="FootnoteReference"/>
          <w:rFonts w:ascii="Times New Roman" w:hAnsi="Times New Roman" w:cs="Times New Roman"/>
        </w:rPr>
        <w:footnoteReference w:id="137"/>
      </w:r>
      <w:r w:rsidRPr="00A472FC">
        <w:rPr>
          <w:rFonts w:ascii="Times New Roman" w:hAnsi="Times New Roman" w:cs="Times New Roman"/>
        </w:rPr>
        <w:t xml:space="preserve"> The objects of the condemnation </w:t>
      </w:r>
      <w:r w:rsidR="003610EC" w:rsidRPr="00A472FC">
        <w:rPr>
          <w:rFonts w:ascii="Times New Roman" w:hAnsi="Times New Roman" w:cs="Times New Roman"/>
        </w:rPr>
        <w:t>inclu</w:t>
      </w:r>
      <w:r w:rsidR="00DA02FE" w:rsidRPr="00A472FC">
        <w:rPr>
          <w:rFonts w:ascii="Times New Roman" w:hAnsi="Times New Roman" w:cs="Times New Roman"/>
        </w:rPr>
        <w:t>d</w:t>
      </w:r>
      <w:r w:rsidR="003610EC" w:rsidRPr="00A472FC">
        <w:rPr>
          <w:rFonts w:ascii="Times New Roman" w:hAnsi="Times New Roman" w:cs="Times New Roman"/>
        </w:rPr>
        <w:t>ed</w:t>
      </w:r>
      <w:r w:rsidRPr="00A472FC">
        <w:rPr>
          <w:rFonts w:ascii="Times New Roman" w:hAnsi="Times New Roman" w:cs="Times New Roman"/>
        </w:rPr>
        <w:t xml:space="preserve"> certain members of the arts faculty at Pari</w:t>
      </w:r>
      <w:r w:rsidR="0045500E" w:rsidRPr="00A472FC">
        <w:rPr>
          <w:rFonts w:ascii="Times New Roman" w:hAnsi="Times New Roman" w:cs="Times New Roman"/>
        </w:rPr>
        <w:t xml:space="preserve">s: </w:t>
      </w:r>
      <w:r w:rsidRPr="00A472FC">
        <w:rPr>
          <w:rFonts w:ascii="Times New Roman" w:hAnsi="Times New Roman" w:cs="Times New Roman"/>
        </w:rPr>
        <w:t xml:space="preserve">the by then deceased Amaury of </w:t>
      </w:r>
      <w:proofErr w:type="spellStart"/>
      <w:r w:rsidRPr="00A472FC">
        <w:rPr>
          <w:rFonts w:ascii="Times New Roman" w:hAnsi="Times New Roman" w:cs="Times New Roman"/>
        </w:rPr>
        <w:t>Bène</w:t>
      </w:r>
      <w:proofErr w:type="spellEnd"/>
      <w:r w:rsidRPr="00A472FC">
        <w:rPr>
          <w:rFonts w:ascii="Times New Roman" w:hAnsi="Times New Roman" w:cs="Times New Roman"/>
        </w:rPr>
        <w:t xml:space="preserve"> and his followers, and David of </w:t>
      </w:r>
      <w:proofErr w:type="spellStart"/>
      <w:r w:rsidRPr="00A472FC">
        <w:rPr>
          <w:rFonts w:ascii="Times New Roman" w:hAnsi="Times New Roman" w:cs="Times New Roman"/>
        </w:rPr>
        <w:t>Dinant</w:t>
      </w:r>
      <w:proofErr w:type="spellEnd"/>
      <w:r w:rsidR="00DA02FE" w:rsidRPr="00A472FC">
        <w:rPr>
          <w:rFonts w:ascii="Times New Roman" w:hAnsi="Times New Roman" w:cs="Times New Roman"/>
        </w:rPr>
        <w:t>. These scholars were</w:t>
      </w:r>
      <w:r w:rsidRPr="00A472FC">
        <w:rPr>
          <w:rFonts w:ascii="Times New Roman" w:hAnsi="Times New Roman" w:cs="Times New Roman"/>
        </w:rPr>
        <w:t xml:space="preserve"> accused, respectively, of advocating pantheism</w:t>
      </w:r>
      <w:r w:rsidR="00DA02FE" w:rsidRPr="00A472FC">
        <w:rPr>
          <w:rFonts w:ascii="Times New Roman" w:hAnsi="Times New Roman" w:cs="Times New Roman"/>
        </w:rPr>
        <w:t>—the idea that everything is God—</w:t>
      </w:r>
      <w:r w:rsidRPr="00A472FC">
        <w:rPr>
          <w:rFonts w:ascii="Times New Roman" w:hAnsi="Times New Roman" w:cs="Times New Roman"/>
        </w:rPr>
        <w:t xml:space="preserve">and </w:t>
      </w:r>
      <w:r w:rsidRPr="00A472FC">
        <w:rPr>
          <w:rFonts w:ascii="Times New Roman" w:hAnsi="Times New Roman" w:cs="Times New Roman"/>
          <w:bCs/>
        </w:rPr>
        <w:t>materialism</w:t>
      </w:r>
      <w:r w:rsidR="00DA02FE" w:rsidRPr="00A472FC">
        <w:rPr>
          <w:rFonts w:ascii="Times New Roman" w:hAnsi="Times New Roman" w:cs="Times New Roman"/>
          <w:bCs/>
        </w:rPr>
        <w:t>—</w:t>
      </w:r>
      <w:r w:rsidRPr="00A472FC">
        <w:rPr>
          <w:rFonts w:ascii="Times New Roman" w:hAnsi="Times New Roman" w:cs="Times New Roman"/>
          <w:bCs/>
        </w:rPr>
        <w:t>or the idea that the soul is not a spiritual substance</w:t>
      </w:r>
      <w:r w:rsidR="00DA02FE" w:rsidRPr="00A472FC">
        <w:rPr>
          <w:rFonts w:ascii="Times New Roman" w:hAnsi="Times New Roman" w:cs="Times New Roman"/>
          <w:bCs/>
        </w:rPr>
        <w:t>—</w:t>
      </w:r>
      <w:r w:rsidRPr="00A472FC">
        <w:rPr>
          <w:rFonts w:ascii="Times New Roman" w:hAnsi="Times New Roman" w:cs="Times New Roman"/>
          <w:bCs/>
        </w:rPr>
        <w:t>and of doing so on the basis of Aristotle’s metaphysical, physical and biological writings.</w:t>
      </w:r>
    </w:p>
    <w:p w14:paraId="65EFE745" w14:textId="179F67EE" w:rsidR="00CD1BB4" w:rsidRPr="00A472FC" w:rsidRDefault="00CD1BB4" w:rsidP="00881604">
      <w:pPr>
        <w:autoSpaceDE w:val="0"/>
        <w:autoSpaceDN w:val="0"/>
        <w:adjustRightInd w:val="0"/>
        <w:ind w:right="-52" w:firstLine="720"/>
        <w:rPr>
          <w:rFonts w:ascii="Times New Roman" w:hAnsi="Times New Roman" w:cs="Times New Roman"/>
          <w:bCs/>
        </w:rPr>
      </w:pPr>
      <w:r w:rsidRPr="00A472FC">
        <w:rPr>
          <w:rFonts w:ascii="Times New Roman" w:hAnsi="Times New Roman" w:cs="Times New Roman"/>
        </w:rPr>
        <w:t xml:space="preserve">In August 1215, Robert </w:t>
      </w:r>
      <w:proofErr w:type="spellStart"/>
      <w:r w:rsidRPr="00A472FC">
        <w:rPr>
          <w:rFonts w:ascii="Times New Roman" w:hAnsi="Times New Roman" w:cs="Times New Roman"/>
        </w:rPr>
        <w:t>Courçon</w:t>
      </w:r>
      <w:proofErr w:type="spellEnd"/>
      <w:r w:rsidRPr="00A472FC">
        <w:rPr>
          <w:rFonts w:ascii="Times New Roman" w:hAnsi="Times New Roman" w:cs="Times New Roman"/>
        </w:rPr>
        <w:t xml:space="preserve">, the Legate of Pope Innocent III, </w:t>
      </w:r>
      <w:r w:rsidR="004130BF" w:rsidRPr="00A472FC">
        <w:rPr>
          <w:rFonts w:ascii="Times New Roman" w:hAnsi="Times New Roman" w:cs="Times New Roman"/>
        </w:rPr>
        <w:t>re-iterated the prohibition of</w:t>
      </w:r>
      <w:r w:rsidRPr="00A472FC">
        <w:rPr>
          <w:rFonts w:ascii="Times New Roman" w:hAnsi="Times New Roman" w:cs="Times New Roman"/>
        </w:rPr>
        <w:t xml:space="preserve"> lectures on Aristotle’s </w:t>
      </w:r>
      <w:r w:rsidR="004B3E7E" w:rsidRPr="00A472FC">
        <w:rPr>
          <w:rFonts w:ascii="Times New Roman" w:hAnsi="Times New Roman" w:cs="Times New Roman"/>
        </w:rPr>
        <w:t>writings on</w:t>
      </w:r>
      <w:r w:rsidRPr="00A472FC">
        <w:rPr>
          <w:rFonts w:ascii="Times New Roman" w:hAnsi="Times New Roman" w:cs="Times New Roman"/>
        </w:rPr>
        <w:t xml:space="preserve"> metaphysics and natural philosophy and refused permission to write </w:t>
      </w:r>
      <w:proofErr w:type="spellStart"/>
      <w:r w:rsidRPr="00A472FC">
        <w:rPr>
          <w:rFonts w:ascii="Times New Roman" w:hAnsi="Times New Roman" w:cs="Times New Roman"/>
        </w:rPr>
        <w:t>summae</w:t>
      </w:r>
      <w:proofErr w:type="spellEnd"/>
      <w:r w:rsidRPr="00A472FC">
        <w:rPr>
          <w:rFonts w:ascii="Times New Roman" w:hAnsi="Times New Roman" w:cs="Times New Roman"/>
        </w:rPr>
        <w:t xml:space="preserve"> on them at Paris, </w:t>
      </w:r>
      <w:r w:rsidR="006774C4" w:rsidRPr="00A472FC">
        <w:rPr>
          <w:rFonts w:ascii="Times New Roman" w:hAnsi="Times New Roman" w:cs="Times New Roman"/>
        </w:rPr>
        <w:t xml:space="preserve">citing again the </w:t>
      </w:r>
      <w:r w:rsidR="003F0D5A" w:rsidRPr="00A472FC">
        <w:rPr>
          <w:rFonts w:ascii="Times New Roman" w:hAnsi="Times New Roman" w:cs="Times New Roman"/>
        </w:rPr>
        <w:t>threat of</w:t>
      </w:r>
      <w:r w:rsidRPr="00A472FC">
        <w:rPr>
          <w:rFonts w:ascii="Times New Roman" w:hAnsi="Times New Roman" w:cs="Times New Roman"/>
        </w:rPr>
        <w:t xml:space="preserve"> excommunication. As Bianchi highlights, Robert had served as a master of theology in the first decade of the thirteenth century and was therefore well-acquainted with the reasons for the 1210 condemnations</w:t>
      </w:r>
      <w:r w:rsidRPr="00A472FC">
        <w:rPr>
          <w:rFonts w:ascii="Times New Roman" w:hAnsi="Times New Roman" w:cs="Times New Roman"/>
          <w:bCs/>
        </w:rPr>
        <w:t>.</w:t>
      </w:r>
      <w:r w:rsidRPr="00A472FC">
        <w:rPr>
          <w:rStyle w:val="FootnoteReference"/>
          <w:rFonts w:ascii="Times New Roman" w:hAnsi="Times New Roman" w:cs="Times New Roman"/>
          <w:bCs/>
        </w:rPr>
        <w:footnoteReference w:id="138"/>
      </w:r>
      <w:r w:rsidRPr="00A472FC">
        <w:rPr>
          <w:rFonts w:ascii="Times New Roman" w:hAnsi="Times New Roman" w:cs="Times New Roman"/>
          <w:bCs/>
        </w:rPr>
        <w:t xml:space="preserve"> These had much to do with a hostility or at least timidity towards Aristotle amongst members of the theology faculty. As noted already, members of this generation of theology masters scarcely touched themes from the new philosophical works. </w:t>
      </w:r>
      <w:r w:rsidRPr="00A472FC">
        <w:rPr>
          <w:rFonts w:ascii="Times New Roman" w:hAnsi="Times New Roman" w:cs="Times New Roman"/>
          <w:lang w:val="en-US"/>
        </w:rPr>
        <w:t xml:space="preserve">This is true for instance of Peter the Chanter, Stephen Langton, </w:t>
      </w:r>
      <w:r w:rsidRPr="00A472FC">
        <w:rPr>
          <w:rFonts w:ascii="Times New Roman" w:hAnsi="Times New Roman" w:cs="Times New Roman"/>
        </w:rPr>
        <w:t xml:space="preserve">Peter </w:t>
      </w:r>
      <w:proofErr w:type="spellStart"/>
      <w:r w:rsidRPr="00A472FC">
        <w:rPr>
          <w:rFonts w:ascii="Times New Roman" w:hAnsi="Times New Roman" w:cs="Times New Roman"/>
        </w:rPr>
        <w:t>Comestor</w:t>
      </w:r>
      <w:proofErr w:type="spellEnd"/>
      <w:r w:rsidRPr="00A472FC">
        <w:rPr>
          <w:rFonts w:ascii="Times New Roman" w:hAnsi="Times New Roman" w:cs="Times New Roman"/>
        </w:rPr>
        <w:t xml:space="preserve">, Godfrey of Poitiers, and Robert of </w:t>
      </w:r>
      <w:proofErr w:type="spellStart"/>
      <w:r w:rsidRPr="00A472FC">
        <w:rPr>
          <w:rFonts w:ascii="Times New Roman" w:hAnsi="Times New Roman" w:cs="Times New Roman"/>
        </w:rPr>
        <w:t>Courçon</w:t>
      </w:r>
      <w:proofErr w:type="spellEnd"/>
      <w:r w:rsidRPr="00A472FC">
        <w:rPr>
          <w:rFonts w:ascii="Times New Roman" w:hAnsi="Times New Roman" w:cs="Times New Roman"/>
        </w:rPr>
        <w:t xml:space="preserve"> himself, most of whom focused on more moral and sacramental themes.</w:t>
      </w:r>
      <w:r w:rsidRPr="00A472FC">
        <w:rPr>
          <w:rStyle w:val="FootnoteReference"/>
          <w:rFonts w:ascii="Times New Roman" w:hAnsi="Times New Roman" w:cs="Times New Roman"/>
        </w:rPr>
        <w:footnoteReference w:id="139"/>
      </w:r>
    </w:p>
    <w:p w14:paraId="3F883B4D" w14:textId="7D0AE2DF" w:rsidR="00CD1BB4" w:rsidRPr="00A472FC" w:rsidRDefault="00CD1BB4"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At the same time Robert issued the condemnation, he also prescribed a number of other texts as required reading for all students of the arts—though interestingly, not for theology.</w:t>
      </w:r>
      <w:r w:rsidRPr="00A472FC">
        <w:rPr>
          <w:rStyle w:val="FootnoteReference"/>
          <w:rFonts w:ascii="Times New Roman" w:hAnsi="Times New Roman" w:cs="Times New Roman"/>
        </w:rPr>
        <w:footnoteReference w:id="140"/>
      </w:r>
      <w:r w:rsidRPr="00A472FC">
        <w:rPr>
          <w:rFonts w:ascii="Times New Roman" w:hAnsi="Times New Roman" w:cs="Times New Roman"/>
        </w:rPr>
        <w:t xml:space="preserve"> These texts included Aristotle’s logic, which increasingly took the place previously occupied by grammar and literature in the arts curriculum.</w:t>
      </w:r>
      <w:r w:rsidRPr="00A472FC">
        <w:rPr>
          <w:rStyle w:val="FootnoteReference"/>
          <w:rFonts w:ascii="Times New Roman" w:hAnsi="Times New Roman" w:cs="Times New Roman"/>
        </w:rPr>
        <w:footnoteReference w:id="141"/>
      </w:r>
      <w:r w:rsidRPr="00A472FC">
        <w:rPr>
          <w:rFonts w:ascii="Times New Roman" w:hAnsi="Times New Roman" w:cs="Times New Roman"/>
        </w:rPr>
        <w:t xml:space="preserve"> Aristotle’s </w:t>
      </w:r>
      <w:r w:rsidRPr="00A472FC">
        <w:rPr>
          <w:rFonts w:ascii="Times New Roman" w:hAnsi="Times New Roman" w:cs="Times New Roman"/>
          <w:i/>
        </w:rPr>
        <w:t>Ethics</w:t>
      </w:r>
      <w:r w:rsidRPr="00A472FC">
        <w:rPr>
          <w:rFonts w:ascii="Times New Roman" w:hAnsi="Times New Roman" w:cs="Times New Roman"/>
          <w:iCs/>
        </w:rPr>
        <w:t xml:space="preserve">, </w:t>
      </w:r>
      <w:r w:rsidRPr="00A472FC">
        <w:rPr>
          <w:rFonts w:ascii="Times New Roman" w:hAnsi="Times New Roman" w:cs="Times New Roman"/>
        </w:rPr>
        <w:t>Books I-III of which were available at the time, could be taken effectively as an ‘elective’.</w:t>
      </w:r>
      <w:r w:rsidR="000C47AD" w:rsidRPr="00A472FC">
        <w:rPr>
          <w:rStyle w:val="FootnoteReference"/>
          <w:rFonts w:ascii="Times New Roman" w:hAnsi="Times New Roman" w:cs="Times New Roman"/>
        </w:rPr>
        <w:footnoteReference w:id="142"/>
      </w:r>
      <w:r w:rsidRPr="00A472FC">
        <w:rPr>
          <w:rFonts w:ascii="Times New Roman" w:hAnsi="Times New Roman" w:cs="Times New Roman"/>
        </w:rPr>
        <w:t xml:space="preserve"> </w:t>
      </w:r>
      <w:r w:rsidRPr="00A472FC">
        <w:rPr>
          <w:rFonts w:ascii="Times New Roman" w:hAnsi="Times New Roman" w:cs="Times New Roman"/>
        </w:rPr>
        <w:lastRenderedPageBreak/>
        <w:t xml:space="preserve">Although scholars could not teach Aristotle’s natural philosophy at this time, </w:t>
      </w:r>
      <w:r w:rsidR="003E63EF" w:rsidRPr="00A472FC">
        <w:rPr>
          <w:rFonts w:ascii="Times New Roman" w:hAnsi="Times New Roman" w:cs="Times New Roman"/>
        </w:rPr>
        <w:t>therefore,</w:t>
      </w:r>
      <w:r w:rsidRPr="00A472FC">
        <w:rPr>
          <w:rFonts w:ascii="Times New Roman" w:hAnsi="Times New Roman" w:cs="Times New Roman"/>
        </w:rPr>
        <w:t xml:space="preserve"> there are signs that they were reading his and related works from very early on.</w:t>
      </w:r>
      <w:r w:rsidRPr="00A472FC">
        <w:rPr>
          <w:rStyle w:val="FootnoteReference"/>
          <w:rFonts w:ascii="Times New Roman" w:hAnsi="Times New Roman" w:cs="Times New Roman"/>
        </w:rPr>
        <w:footnoteReference w:id="143"/>
      </w:r>
      <w:r w:rsidRPr="00A472FC">
        <w:rPr>
          <w:rFonts w:ascii="Times New Roman" w:hAnsi="Times New Roman" w:cs="Times New Roman"/>
        </w:rPr>
        <w:t xml:space="preserve"> </w:t>
      </w:r>
    </w:p>
    <w:p w14:paraId="6857CEC3" w14:textId="3853E630" w:rsidR="00CD1BB4" w:rsidRPr="00A472FC" w:rsidRDefault="00CD1BB4"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When Pope Gregory IX wrote on 7 July 1228 to warn ‘the masters in theology at Paris against adulterating the Word of God with philosophical inventions,’</w:t>
      </w:r>
      <w:r w:rsidRPr="00A472FC">
        <w:rPr>
          <w:rStyle w:val="FootnoteReference"/>
          <w:rFonts w:ascii="Times New Roman" w:hAnsi="Times New Roman" w:cs="Times New Roman"/>
        </w:rPr>
        <w:footnoteReference w:id="144"/>
      </w:r>
      <w:r w:rsidRPr="00A472FC">
        <w:rPr>
          <w:rFonts w:ascii="Times New Roman" w:hAnsi="Times New Roman" w:cs="Times New Roman"/>
        </w:rPr>
        <w:t xml:space="preserve"> consequently, he apparently did not </w:t>
      </w:r>
      <w:r w:rsidR="00E91D42" w:rsidRPr="00A472FC">
        <w:rPr>
          <w:rFonts w:ascii="Times New Roman" w:hAnsi="Times New Roman" w:cs="Times New Roman"/>
        </w:rPr>
        <w:t>seek to inhibit</w:t>
      </w:r>
      <w:r w:rsidRPr="00A472FC">
        <w:rPr>
          <w:rFonts w:ascii="Times New Roman" w:hAnsi="Times New Roman" w:cs="Times New Roman"/>
        </w:rPr>
        <w:t xml:space="preserve"> the use of philosophy but only to insist that it be used in the service of theology</w:t>
      </w:r>
      <w:r w:rsidRPr="00A472FC">
        <w:rPr>
          <w:rFonts w:ascii="Times New Roman" w:hAnsi="Times New Roman" w:cs="Times New Roman"/>
          <w:bCs/>
        </w:rPr>
        <w:t>.</w:t>
      </w:r>
      <w:r w:rsidRPr="00A472FC">
        <w:rPr>
          <w:rStyle w:val="FootnoteReference"/>
          <w:rFonts w:ascii="Times New Roman" w:hAnsi="Times New Roman" w:cs="Times New Roman"/>
          <w:bCs/>
        </w:rPr>
        <w:footnoteReference w:id="145"/>
      </w:r>
      <w:r w:rsidRPr="00A472FC">
        <w:rPr>
          <w:rFonts w:ascii="Times New Roman" w:hAnsi="Times New Roman" w:cs="Times New Roman"/>
          <w:bCs/>
        </w:rPr>
        <w:t xml:space="preserve"> According to Bianchi, the letter may also have </w:t>
      </w:r>
      <w:r w:rsidR="0011501E" w:rsidRPr="00A472FC">
        <w:rPr>
          <w:rFonts w:ascii="Times New Roman" w:hAnsi="Times New Roman" w:cs="Times New Roman"/>
          <w:bCs/>
        </w:rPr>
        <w:t>served as</w:t>
      </w:r>
      <w:r w:rsidRPr="00A472FC">
        <w:rPr>
          <w:rFonts w:ascii="Times New Roman" w:hAnsi="Times New Roman" w:cs="Times New Roman"/>
          <w:bCs/>
        </w:rPr>
        <w:t xml:space="preserve"> a warning to theologians not to tread too far into the territory of the arts masters.</w:t>
      </w:r>
      <w:r w:rsidRPr="00A472FC">
        <w:rPr>
          <w:rStyle w:val="FootnoteReference"/>
          <w:rFonts w:ascii="Times New Roman" w:hAnsi="Times New Roman" w:cs="Times New Roman"/>
          <w:bCs/>
        </w:rPr>
        <w:footnoteReference w:id="146"/>
      </w:r>
      <w:r w:rsidRPr="00A472FC">
        <w:rPr>
          <w:rFonts w:ascii="Times New Roman" w:hAnsi="Times New Roman" w:cs="Times New Roman"/>
          <w:bCs/>
        </w:rPr>
        <w:t xml:space="preserve"> This was something they </w:t>
      </w:r>
      <w:r w:rsidR="00D300CA" w:rsidRPr="00A472FC">
        <w:rPr>
          <w:rFonts w:ascii="Times New Roman" w:hAnsi="Times New Roman" w:cs="Times New Roman"/>
          <w:bCs/>
        </w:rPr>
        <w:t>perhaps</w:t>
      </w:r>
      <w:r w:rsidRPr="00A472FC">
        <w:rPr>
          <w:rFonts w:ascii="Times New Roman" w:hAnsi="Times New Roman" w:cs="Times New Roman"/>
          <w:bCs/>
        </w:rPr>
        <w:t xml:space="preserve"> felt entitled to do, as the arts degree, which heavily incorporated philosophy, was the main form of preparation for higher studies in theology.</w:t>
      </w:r>
      <w:r w:rsidRPr="00A472FC">
        <w:rPr>
          <w:rStyle w:val="FootnoteReference"/>
          <w:rFonts w:ascii="Times New Roman" w:hAnsi="Times New Roman" w:cs="Times New Roman"/>
          <w:bCs/>
        </w:rPr>
        <w:footnoteReference w:id="147"/>
      </w:r>
      <w:r w:rsidRPr="00A472FC">
        <w:rPr>
          <w:rFonts w:ascii="Times New Roman" w:hAnsi="Times New Roman" w:cs="Times New Roman"/>
        </w:rPr>
        <w:t xml:space="preserve"> </w:t>
      </w:r>
    </w:p>
    <w:p w14:paraId="645E3D6C" w14:textId="78634D0F" w:rsidR="00CD604C" w:rsidRPr="00A472FC" w:rsidRDefault="0011501E" w:rsidP="00CD604C">
      <w:pPr>
        <w:autoSpaceDE w:val="0"/>
        <w:autoSpaceDN w:val="0"/>
        <w:adjustRightInd w:val="0"/>
        <w:ind w:right="-52" w:firstLine="720"/>
        <w:rPr>
          <w:rFonts w:ascii="Times New Roman" w:hAnsi="Times New Roman" w:cs="Times New Roman"/>
          <w:bCs/>
        </w:rPr>
      </w:pPr>
      <w:r w:rsidRPr="00A472FC">
        <w:rPr>
          <w:rFonts w:ascii="Times New Roman" w:hAnsi="Times New Roman" w:cs="Times New Roman"/>
          <w:bCs/>
        </w:rPr>
        <w:t>Around this same time</w:t>
      </w:r>
      <w:r w:rsidR="00CD1BB4" w:rsidRPr="00A472FC">
        <w:rPr>
          <w:rFonts w:ascii="Times New Roman" w:hAnsi="Times New Roman" w:cs="Times New Roman"/>
          <w:bCs/>
        </w:rPr>
        <w:t xml:space="preserve">, key members of the theology faculty </w:t>
      </w:r>
      <w:r w:rsidR="008E0035" w:rsidRPr="00A472FC">
        <w:rPr>
          <w:rFonts w:ascii="Times New Roman" w:hAnsi="Times New Roman" w:cs="Times New Roman"/>
          <w:bCs/>
        </w:rPr>
        <w:t>began</w:t>
      </w:r>
      <w:r w:rsidR="00CD1BB4" w:rsidRPr="00A472FC">
        <w:rPr>
          <w:rFonts w:ascii="Times New Roman" w:hAnsi="Times New Roman" w:cs="Times New Roman"/>
          <w:bCs/>
        </w:rPr>
        <w:t xml:space="preserve"> to integrate Aristotle with the Christian tradition to the degree their theology allowed it. The favour Gregory showed these theologians, including William of Auxerre, Philip the Chancellor, and William of Auvergne, confirms that he had no objection to using Aristotle within appropriate limits.</w:t>
      </w:r>
      <w:r w:rsidR="00CD1BB4" w:rsidRPr="00A472FC">
        <w:rPr>
          <w:rStyle w:val="FootnoteReference"/>
          <w:rFonts w:ascii="Times New Roman" w:hAnsi="Times New Roman" w:cs="Times New Roman"/>
          <w:bCs/>
        </w:rPr>
        <w:footnoteReference w:id="148"/>
      </w:r>
      <w:r w:rsidR="00CD1BB4" w:rsidRPr="00A472FC">
        <w:rPr>
          <w:rFonts w:ascii="Times New Roman" w:hAnsi="Times New Roman" w:cs="Times New Roman"/>
          <w:bCs/>
        </w:rPr>
        <w:t xml:space="preserve"> The case of William of Auvergne is especially striking, given that Gregory appointed him </w:t>
      </w:r>
      <w:r w:rsidR="0008314F" w:rsidRPr="00A472FC">
        <w:rPr>
          <w:rFonts w:ascii="Times New Roman" w:hAnsi="Times New Roman" w:cs="Times New Roman"/>
          <w:bCs/>
        </w:rPr>
        <w:t xml:space="preserve">as </w:t>
      </w:r>
      <w:r w:rsidR="00CD1BB4" w:rsidRPr="00A472FC">
        <w:rPr>
          <w:rFonts w:ascii="Times New Roman" w:hAnsi="Times New Roman" w:cs="Times New Roman"/>
          <w:bCs/>
        </w:rPr>
        <w:t xml:space="preserve">Bishop of Paris in 1228, in full knowledge of </w:t>
      </w:r>
      <w:r w:rsidR="00D9017E" w:rsidRPr="00A472FC">
        <w:rPr>
          <w:rFonts w:ascii="Times New Roman" w:hAnsi="Times New Roman" w:cs="Times New Roman"/>
          <w:bCs/>
        </w:rPr>
        <w:t>the extent to which he engaged</w:t>
      </w:r>
      <w:r w:rsidR="00CD1BB4" w:rsidRPr="00A472FC">
        <w:rPr>
          <w:rFonts w:ascii="Times New Roman" w:hAnsi="Times New Roman" w:cs="Times New Roman"/>
          <w:bCs/>
        </w:rPr>
        <w:t xml:space="preserve"> </w:t>
      </w:r>
      <w:r w:rsidR="00D9017E" w:rsidRPr="00A472FC">
        <w:rPr>
          <w:rFonts w:ascii="Times New Roman" w:hAnsi="Times New Roman" w:cs="Times New Roman"/>
          <w:bCs/>
        </w:rPr>
        <w:t>with</w:t>
      </w:r>
      <w:r w:rsidR="00CD1BB4" w:rsidRPr="00A472FC">
        <w:rPr>
          <w:rFonts w:ascii="Times New Roman" w:hAnsi="Times New Roman" w:cs="Times New Roman"/>
          <w:bCs/>
        </w:rPr>
        <w:t xml:space="preserve"> Avicenna and Aristotle, though William like others at the time did this entirely on his own terms.</w:t>
      </w:r>
      <w:r w:rsidR="00CD1BB4" w:rsidRPr="00A472FC">
        <w:rPr>
          <w:rStyle w:val="FootnoteReference"/>
          <w:rFonts w:ascii="Times New Roman" w:hAnsi="Times New Roman" w:cs="Times New Roman"/>
          <w:bCs/>
        </w:rPr>
        <w:footnoteReference w:id="149"/>
      </w:r>
      <w:r w:rsidR="00CD1BB4" w:rsidRPr="00A472FC">
        <w:rPr>
          <w:rFonts w:ascii="Times New Roman" w:hAnsi="Times New Roman" w:cs="Times New Roman"/>
          <w:bCs/>
        </w:rPr>
        <w:t xml:space="preserve"> Gregory’s congenial attitude towards the Arab interpreters of Aristotle is further reflected in his praise for Michael Scot, who was responsible for introducing </w:t>
      </w:r>
      <w:proofErr w:type="spellStart"/>
      <w:r w:rsidR="00CD1BB4" w:rsidRPr="00A472FC">
        <w:rPr>
          <w:rFonts w:ascii="Times New Roman" w:hAnsi="Times New Roman" w:cs="Times New Roman"/>
          <w:bCs/>
        </w:rPr>
        <w:t>Averroes</w:t>
      </w:r>
      <w:proofErr w:type="spellEnd"/>
      <w:r w:rsidR="00CD1BB4" w:rsidRPr="00A472FC">
        <w:rPr>
          <w:rFonts w:ascii="Times New Roman" w:hAnsi="Times New Roman" w:cs="Times New Roman"/>
          <w:bCs/>
        </w:rPr>
        <w:t xml:space="preserve"> and the </w:t>
      </w:r>
      <w:proofErr w:type="spellStart"/>
      <w:r w:rsidR="00CD1BB4" w:rsidRPr="00A472FC">
        <w:rPr>
          <w:rFonts w:ascii="Times New Roman" w:hAnsi="Times New Roman" w:cs="Times New Roman"/>
          <w:bCs/>
        </w:rPr>
        <w:t>Arabo-Latin</w:t>
      </w:r>
      <w:proofErr w:type="spellEnd"/>
      <w:r w:rsidR="00CD1BB4" w:rsidRPr="00A472FC">
        <w:rPr>
          <w:rFonts w:ascii="Times New Roman" w:hAnsi="Times New Roman" w:cs="Times New Roman"/>
          <w:bCs/>
        </w:rPr>
        <w:t xml:space="preserve"> translation of Aristotle to the West.</w:t>
      </w:r>
      <w:r w:rsidR="00CD1BB4" w:rsidRPr="00A472FC">
        <w:rPr>
          <w:rStyle w:val="FootnoteReference"/>
          <w:rFonts w:ascii="Times New Roman" w:hAnsi="Times New Roman" w:cs="Times New Roman"/>
          <w:bCs/>
        </w:rPr>
        <w:footnoteReference w:id="150"/>
      </w:r>
      <w:r w:rsidR="00CD1BB4" w:rsidRPr="00A472FC">
        <w:rPr>
          <w:rFonts w:ascii="Times New Roman" w:hAnsi="Times New Roman" w:cs="Times New Roman"/>
          <w:bCs/>
        </w:rPr>
        <w:t xml:space="preserve"> </w:t>
      </w:r>
    </w:p>
    <w:p w14:paraId="63F705B2" w14:textId="7DBA8E06" w:rsidR="0008314F" w:rsidRPr="00A472FC" w:rsidRDefault="00AC12DE" w:rsidP="00CD604C">
      <w:pPr>
        <w:autoSpaceDE w:val="0"/>
        <w:autoSpaceDN w:val="0"/>
        <w:adjustRightInd w:val="0"/>
        <w:ind w:right="-52" w:firstLine="720"/>
        <w:rPr>
          <w:rFonts w:ascii="Times New Roman" w:hAnsi="Times New Roman" w:cs="Times New Roman"/>
          <w:bCs/>
        </w:rPr>
      </w:pPr>
      <w:r w:rsidRPr="00A472FC">
        <w:rPr>
          <w:rFonts w:ascii="Times New Roman" w:hAnsi="Times New Roman" w:cs="Times New Roman"/>
          <w:bCs/>
        </w:rPr>
        <w:t>Ultimately,</w:t>
      </w:r>
      <w:r w:rsidR="00CD1BB4" w:rsidRPr="00A472FC">
        <w:rPr>
          <w:rFonts w:ascii="Times New Roman" w:hAnsi="Times New Roman" w:cs="Times New Roman"/>
          <w:bCs/>
        </w:rPr>
        <w:t xml:space="preserve"> it is apparent in his </w:t>
      </w:r>
      <w:r w:rsidR="00147005" w:rsidRPr="00A472FC">
        <w:rPr>
          <w:rFonts w:ascii="Times New Roman" w:hAnsi="Times New Roman" w:cs="Times New Roman"/>
          <w:bCs/>
        </w:rPr>
        <w:t xml:space="preserve">own </w:t>
      </w:r>
      <w:r w:rsidR="00CD1BB4" w:rsidRPr="00A472FC">
        <w:rPr>
          <w:rFonts w:ascii="Times New Roman" w:hAnsi="Times New Roman" w:cs="Times New Roman"/>
          <w:bCs/>
        </w:rPr>
        <w:t xml:space="preserve">use of the </w:t>
      </w:r>
      <w:proofErr w:type="spellStart"/>
      <w:r w:rsidR="00CD1BB4" w:rsidRPr="00A472FC">
        <w:rPr>
          <w:rFonts w:ascii="Times New Roman" w:hAnsi="Times New Roman" w:cs="Times New Roman"/>
          <w:bCs/>
        </w:rPr>
        <w:t>Avicennian</w:t>
      </w:r>
      <w:proofErr w:type="spellEnd"/>
      <w:r w:rsidR="00CD1BB4" w:rsidRPr="00A472FC">
        <w:rPr>
          <w:rFonts w:ascii="Times New Roman" w:hAnsi="Times New Roman" w:cs="Times New Roman"/>
          <w:bCs/>
        </w:rPr>
        <w:t xml:space="preserve"> doctrine of the ‘two faces of the soul’, which he like many others at the time—particularly William of Auvergne and early Franciscans</w:t>
      </w:r>
      <w:r w:rsidR="00CD1BB4" w:rsidRPr="00A472FC">
        <w:rPr>
          <w:rStyle w:val="FootnoteReference"/>
          <w:rFonts w:ascii="Times New Roman" w:hAnsi="Times New Roman" w:cs="Times New Roman"/>
          <w:bCs/>
        </w:rPr>
        <w:footnoteReference w:id="151"/>
      </w:r>
      <w:r w:rsidR="00CD1BB4" w:rsidRPr="00A472FC">
        <w:rPr>
          <w:rFonts w:ascii="Times New Roman" w:hAnsi="Times New Roman" w:cs="Times New Roman"/>
          <w:bCs/>
        </w:rPr>
        <w:t>—read in terms of Augustine’s distinction between higher and lower reason.</w:t>
      </w:r>
      <w:r w:rsidR="00CD1BB4" w:rsidRPr="00A472FC">
        <w:rPr>
          <w:rStyle w:val="FootnoteReference"/>
          <w:rFonts w:ascii="Times New Roman" w:hAnsi="Times New Roman" w:cs="Times New Roman"/>
          <w:bCs/>
        </w:rPr>
        <w:footnoteReference w:id="152"/>
      </w:r>
      <w:r w:rsidR="00CD1BB4" w:rsidRPr="00A472FC">
        <w:rPr>
          <w:rFonts w:ascii="Times New Roman" w:hAnsi="Times New Roman" w:cs="Times New Roman"/>
          <w:bCs/>
        </w:rPr>
        <w:t xml:space="preserve"> When the University of Paris dispersed in 1229, following a strike of the students and masters, Gregory </w:t>
      </w:r>
      <w:r w:rsidR="0087077E" w:rsidRPr="00A472FC">
        <w:rPr>
          <w:rFonts w:ascii="Times New Roman" w:hAnsi="Times New Roman" w:cs="Times New Roman"/>
          <w:bCs/>
        </w:rPr>
        <w:t xml:space="preserve">notably </w:t>
      </w:r>
      <w:r w:rsidR="00CD1BB4" w:rsidRPr="00A472FC">
        <w:rPr>
          <w:rFonts w:ascii="Times New Roman" w:hAnsi="Times New Roman" w:cs="Times New Roman"/>
          <w:bCs/>
        </w:rPr>
        <w:t xml:space="preserve">did not impose the ban on other universities like Oxford and Toulouse, which he had a hand in founding, and to which many </w:t>
      </w:r>
      <w:r w:rsidR="0063562B" w:rsidRPr="00A472FC">
        <w:rPr>
          <w:rFonts w:ascii="Times New Roman" w:hAnsi="Times New Roman" w:cs="Times New Roman"/>
          <w:bCs/>
        </w:rPr>
        <w:t xml:space="preserve">Parisian </w:t>
      </w:r>
      <w:r w:rsidR="00CD1BB4" w:rsidRPr="00A472FC">
        <w:rPr>
          <w:rFonts w:ascii="Times New Roman" w:hAnsi="Times New Roman" w:cs="Times New Roman"/>
          <w:bCs/>
        </w:rPr>
        <w:t>masters fled, even though he easily could have done so.</w:t>
      </w:r>
      <w:r w:rsidR="00CD1BB4" w:rsidRPr="00A472FC">
        <w:rPr>
          <w:rStyle w:val="FootnoteReference"/>
          <w:rFonts w:ascii="Times New Roman" w:hAnsi="Times New Roman" w:cs="Times New Roman"/>
          <w:bCs/>
        </w:rPr>
        <w:footnoteReference w:id="153"/>
      </w:r>
      <w:r w:rsidR="00CD1BB4" w:rsidRPr="00A472FC">
        <w:rPr>
          <w:rFonts w:ascii="Times New Roman" w:hAnsi="Times New Roman" w:cs="Times New Roman"/>
          <w:bCs/>
        </w:rPr>
        <w:t xml:space="preserve"> In a letter dated 13 April 1231, known as </w:t>
      </w:r>
      <w:r w:rsidR="00CD1BB4" w:rsidRPr="00A472FC">
        <w:rPr>
          <w:rFonts w:ascii="Times New Roman" w:hAnsi="Times New Roman" w:cs="Times New Roman"/>
          <w:bCs/>
          <w:i/>
        </w:rPr>
        <w:t xml:space="preserve">Parens </w:t>
      </w:r>
      <w:proofErr w:type="spellStart"/>
      <w:r w:rsidR="00CD1BB4" w:rsidRPr="00A472FC">
        <w:rPr>
          <w:rFonts w:ascii="Times New Roman" w:hAnsi="Times New Roman" w:cs="Times New Roman"/>
          <w:bCs/>
          <w:i/>
        </w:rPr>
        <w:t>scientiarum</w:t>
      </w:r>
      <w:proofErr w:type="spellEnd"/>
      <w:r w:rsidR="00CD1BB4" w:rsidRPr="00A472FC">
        <w:rPr>
          <w:rFonts w:ascii="Times New Roman" w:hAnsi="Times New Roman" w:cs="Times New Roman"/>
          <w:bCs/>
          <w:i/>
        </w:rPr>
        <w:t xml:space="preserve">, </w:t>
      </w:r>
      <w:r w:rsidR="00CD1BB4" w:rsidRPr="00A472FC">
        <w:rPr>
          <w:rFonts w:ascii="Times New Roman" w:hAnsi="Times New Roman" w:cs="Times New Roman"/>
          <w:bCs/>
        </w:rPr>
        <w:t xml:space="preserve">Gregory admitted that the </w:t>
      </w:r>
      <w:proofErr w:type="spellStart"/>
      <w:r w:rsidR="00CD1BB4" w:rsidRPr="00A472FC">
        <w:rPr>
          <w:rFonts w:ascii="Times New Roman" w:hAnsi="Times New Roman" w:cs="Times New Roman"/>
          <w:bCs/>
          <w:i/>
        </w:rPr>
        <w:t>Libri</w:t>
      </w:r>
      <w:proofErr w:type="spellEnd"/>
      <w:r w:rsidR="00CD1BB4" w:rsidRPr="00A472FC">
        <w:rPr>
          <w:rFonts w:ascii="Times New Roman" w:hAnsi="Times New Roman" w:cs="Times New Roman"/>
          <w:bCs/>
          <w:i/>
        </w:rPr>
        <w:t xml:space="preserve"> </w:t>
      </w:r>
      <w:proofErr w:type="spellStart"/>
      <w:r w:rsidR="00CD1BB4" w:rsidRPr="00A472FC">
        <w:rPr>
          <w:rFonts w:ascii="Times New Roman" w:hAnsi="Times New Roman" w:cs="Times New Roman"/>
          <w:bCs/>
          <w:i/>
        </w:rPr>
        <w:t>naturales</w:t>
      </w:r>
      <w:proofErr w:type="spellEnd"/>
      <w:r w:rsidR="00CD1BB4" w:rsidRPr="00A472FC">
        <w:rPr>
          <w:rFonts w:ascii="Times New Roman" w:hAnsi="Times New Roman" w:cs="Times New Roman"/>
          <w:bCs/>
          <w:i/>
        </w:rPr>
        <w:t xml:space="preserve"> </w:t>
      </w:r>
      <w:r w:rsidR="00CD1BB4" w:rsidRPr="00A472FC">
        <w:rPr>
          <w:rFonts w:ascii="Times New Roman" w:hAnsi="Times New Roman" w:cs="Times New Roman"/>
          <w:bCs/>
        </w:rPr>
        <w:t>contained useful material and gave arts masters the power to determine their own curriculum, in what was surely an attempt to summon scholars back to his ‘prize’ university at Paris and thus to end the strike.</w:t>
      </w:r>
      <w:r w:rsidR="00CD1BB4" w:rsidRPr="00A472FC">
        <w:rPr>
          <w:rStyle w:val="FootnoteReference"/>
          <w:rFonts w:ascii="Times New Roman" w:hAnsi="Times New Roman" w:cs="Times New Roman"/>
          <w:bCs/>
        </w:rPr>
        <w:footnoteReference w:id="154"/>
      </w:r>
      <w:r w:rsidR="00CD1BB4" w:rsidRPr="00A472FC">
        <w:rPr>
          <w:rFonts w:ascii="Times New Roman" w:hAnsi="Times New Roman" w:cs="Times New Roman"/>
          <w:bCs/>
        </w:rPr>
        <w:t xml:space="preserve"> </w:t>
      </w:r>
      <w:r w:rsidR="00820EC9" w:rsidRPr="00A472FC">
        <w:rPr>
          <w:rFonts w:ascii="Times New Roman" w:hAnsi="Times New Roman" w:cs="Times New Roman"/>
          <w:bCs/>
        </w:rPr>
        <w:t xml:space="preserve">As </w:t>
      </w:r>
      <w:r w:rsidR="00820EC9" w:rsidRPr="00A472FC">
        <w:rPr>
          <w:rFonts w:ascii="Times New Roman" w:hAnsi="Times New Roman" w:cs="Times New Roman"/>
          <w:bCs/>
        </w:rPr>
        <w:lastRenderedPageBreak/>
        <w:t>Valeria Buffon notes, he also ‘absolved or allowed the bishops to absolve those excommunicated by the 1210-15 regulations,’</w:t>
      </w:r>
      <w:r w:rsidR="002F7922" w:rsidRPr="00A472FC">
        <w:rPr>
          <w:rStyle w:val="FootnoteReference"/>
          <w:rFonts w:ascii="Times New Roman" w:hAnsi="Times New Roman" w:cs="Times New Roman"/>
          <w:bCs/>
        </w:rPr>
        <w:footnoteReference w:id="155"/>
      </w:r>
      <w:r w:rsidR="00820EC9" w:rsidRPr="00A472FC">
        <w:rPr>
          <w:rFonts w:ascii="Times New Roman" w:hAnsi="Times New Roman" w:cs="Times New Roman"/>
          <w:bCs/>
        </w:rPr>
        <w:t xml:space="preserve"> effectively rendering them null and voi</w:t>
      </w:r>
      <w:r w:rsidR="00B85AFB" w:rsidRPr="00A472FC">
        <w:rPr>
          <w:rFonts w:ascii="Times New Roman" w:hAnsi="Times New Roman" w:cs="Times New Roman"/>
          <w:bCs/>
        </w:rPr>
        <w:t>d.</w:t>
      </w:r>
    </w:p>
    <w:p w14:paraId="1ABE6B8A" w14:textId="595C4DBB" w:rsidR="0008314F" w:rsidRPr="00A472FC" w:rsidRDefault="00CD1BB4" w:rsidP="0008314F">
      <w:pPr>
        <w:autoSpaceDE w:val="0"/>
        <w:autoSpaceDN w:val="0"/>
        <w:adjustRightInd w:val="0"/>
        <w:ind w:right="-52" w:firstLine="720"/>
        <w:rPr>
          <w:rFonts w:ascii="Times New Roman" w:hAnsi="Times New Roman" w:cs="Times New Roman"/>
        </w:rPr>
      </w:pPr>
      <w:r w:rsidRPr="00A472FC">
        <w:rPr>
          <w:rFonts w:ascii="Times New Roman" w:hAnsi="Times New Roman" w:cs="Times New Roman"/>
          <w:bCs/>
        </w:rPr>
        <w:t>A mere ten days later, on 23 April, he set up a commission to undertake the work of checking the books of natural philosophy for errors so that they could be used in an appropriate way.</w:t>
      </w:r>
      <w:r w:rsidRPr="00A472FC">
        <w:rPr>
          <w:rStyle w:val="FootnoteReference"/>
          <w:rFonts w:ascii="Times New Roman" w:hAnsi="Times New Roman" w:cs="Times New Roman"/>
          <w:bCs/>
        </w:rPr>
        <w:footnoteReference w:id="156"/>
      </w:r>
      <w:r w:rsidRPr="00A472FC">
        <w:rPr>
          <w:rFonts w:ascii="Times New Roman" w:hAnsi="Times New Roman" w:cs="Times New Roman"/>
          <w:bCs/>
        </w:rPr>
        <w:t xml:space="preserve"> The haste with which he assembled this team </w:t>
      </w:r>
      <w:r w:rsidR="006A345A" w:rsidRPr="00A472FC">
        <w:rPr>
          <w:rFonts w:ascii="Times New Roman" w:hAnsi="Times New Roman" w:cs="Times New Roman"/>
          <w:bCs/>
        </w:rPr>
        <w:t xml:space="preserve">seemingly </w:t>
      </w:r>
      <w:r w:rsidRPr="00A472FC">
        <w:rPr>
          <w:rFonts w:ascii="Times New Roman" w:hAnsi="Times New Roman" w:cs="Times New Roman"/>
          <w:bCs/>
        </w:rPr>
        <w:t xml:space="preserve">shows what a high priority it was for him to facilitate Aristotle’s usage. The committee consisted of three theologians: William of Auxerre, Simon </w:t>
      </w:r>
      <w:proofErr w:type="spellStart"/>
      <w:r w:rsidRPr="00A472FC">
        <w:rPr>
          <w:rFonts w:ascii="Times New Roman" w:hAnsi="Times New Roman" w:cs="Times New Roman"/>
          <w:bCs/>
        </w:rPr>
        <w:t>d’Authie</w:t>
      </w:r>
      <w:proofErr w:type="spellEnd"/>
      <w:r w:rsidRPr="00A472FC">
        <w:rPr>
          <w:rFonts w:ascii="Times New Roman" w:hAnsi="Times New Roman" w:cs="Times New Roman"/>
          <w:bCs/>
        </w:rPr>
        <w:t xml:space="preserve">, and Etienne de </w:t>
      </w:r>
      <w:proofErr w:type="spellStart"/>
      <w:r w:rsidRPr="00A472FC">
        <w:rPr>
          <w:rFonts w:ascii="Times New Roman" w:hAnsi="Times New Roman" w:cs="Times New Roman"/>
          <w:bCs/>
        </w:rPr>
        <w:t>Provins</w:t>
      </w:r>
      <w:proofErr w:type="spellEnd"/>
      <w:r w:rsidRPr="00A472FC">
        <w:rPr>
          <w:rFonts w:ascii="Times New Roman" w:hAnsi="Times New Roman" w:cs="Times New Roman"/>
          <w:bCs/>
        </w:rPr>
        <w:t xml:space="preserve">, to whom Michael Scot probably dedicated one of his translations of </w:t>
      </w:r>
      <w:proofErr w:type="spellStart"/>
      <w:r w:rsidRPr="00A472FC">
        <w:rPr>
          <w:rFonts w:ascii="Times New Roman" w:hAnsi="Times New Roman" w:cs="Times New Roman"/>
          <w:bCs/>
        </w:rPr>
        <w:t>Averroes</w:t>
      </w:r>
      <w:proofErr w:type="spellEnd"/>
      <w:r w:rsidRPr="00A472FC">
        <w:rPr>
          <w:rFonts w:ascii="Times New Roman" w:hAnsi="Times New Roman" w:cs="Times New Roman"/>
          <w:bCs/>
        </w:rPr>
        <w:t xml:space="preserve"> and Aristotle. Nevertheless, the work of checking Aristotle was never completed.</w:t>
      </w:r>
      <w:r w:rsidRPr="00A472FC">
        <w:rPr>
          <w:rStyle w:val="FootnoteReference"/>
          <w:rFonts w:ascii="Times New Roman" w:hAnsi="Times New Roman" w:cs="Times New Roman"/>
        </w:rPr>
        <w:footnoteReference w:id="157"/>
      </w:r>
      <w:r w:rsidRPr="00A472FC">
        <w:rPr>
          <w:rFonts w:ascii="Times New Roman" w:hAnsi="Times New Roman" w:cs="Times New Roman"/>
        </w:rPr>
        <w:t xml:space="preserve"> Although the death of William of Auxerre in November 1231 probably had something to do with this, the Pope </w:t>
      </w:r>
      <w:r w:rsidR="003754B5" w:rsidRPr="00A472FC">
        <w:rPr>
          <w:rFonts w:ascii="Times New Roman" w:hAnsi="Times New Roman" w:cs="Times New Roman"/>
        </w:rPr>
        <w:t>might have</w:t>
      </w:r>
      <w:r w:rsidRPr="00A472FC">
        <w:rPr>
          <w:rFonts w:ascii="Times New Roman" w:hAnsi="Times New Roman" w:cs="Times New Roman"/>
        </w:rPr>
        <w:t xml:space="preserve"> installed a new leader of the commission to finish the job.</w:t>
      </w:r>
      <w:r w:rsidRPr="00A472FC">
        <w:rPr>
          <w:rStyle w:val="FootnoteReference"/>
          <w:rFonts w:ascii="Times New Roman" w:hAnsi="Times New Roman" w:cs="Times New Roman"/>
        </w:rPr>
        <w:footnoteReference w:id="158"/>
      </w:r>
      <w:r w:rsidRPr="00A472FC">
        <w:rPr>
          <w:rFonts w:ascii="Times New Roman" w:hAnsi="Times New Roman" w:cs="Times New Roman"/>
        </w:rPr>
        <w:t xml:space="preserve"> </w:t>
      </w:r>
    </w:p>
    <w:p w14:paraId="0FDC554C" w14:textId="45381258" w:rsidR="0008314F" w:rsidRPr="00A472FC" w:rsidRDefault="00CD1BB4" w:rsidP="0008314F">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However, there is no evidence that </w:t>
      </w:r>
      <w:r w:rsidR="006A345A" w:rsidRPr="00A472FC">
        <w:rPr>
          <w:rFonts w:ascii="Times New Roman" w:hAnsi="Times New Roman" w:cs="Times New Roman"/>
        </w:rPr>
        <w:t>he made any</w:t>
      </w:r>
      <w:r w:rsidRPr="00A472FC">
        <w:rPr>
          <w:rFonts w:ascii="Times New Roman" w:hAnsi="Times New Roman" w:cs="Times New Roman"/>
        </w:rPr>
        <w:t xml:space="preserve"> </w:t>
      </w:r>
      <w:r w:rsidR="0008314F" w:rsidRPr="00A472FC">
        <w:rPr>
          <w:rFonts w:ascii="Times New Roman" w:hAnsi="Times New Roman" w:cs="Times New Roman"/>
        </w:rPr>
        <w:t xml:space="preserve">attempt to do </w:t>
      </w:r>
      <w:r w:rsidR="00E86F39" w:rsidRPr="00A472FC">
        <w:rPr>
          <w:rFonts w:ascii="Times New Roman" w:hAnsi="Times New Roman" w:cs="Times New Roman"/>
        </w:rPr>
        <w:t>this,</w:t>
      </w:r>
      <w:r w:rsidR="0008314F" w:rsidRPr="00A472FC">
        <w:rPr>
          <w:rFonts w:ascii="Times New Roman" w:hAnsi="Times New Roman" w:cs="Times New Roman"/>
        </w:rPr>
        <w:t xml:space="preserve"> or </w:t>
      </w:r>
      <w:r w:rsidR="004B1157" w:rsidRPr="00A472FC">
        <w:rPr>
          <w:rFonts w:ascii="Times New Roman" w:hAnsi="Times New Roman" w:cs="Times New Roman"/>
        </w:rPr>
        <w:t xml:space="preserve">indeed </w:t>
      </w:r>
      <w:r w:rsidR="0008314F" w:rsidRPr="00A472FC">
        <w:rPr>
          <w:rFonts w:ascii="Times New Roman" w:hAnsi="Times New Roman" w:cs="Times New Roman"/>
        </w:rPr>
        <w:t xml:space="preserve">that any </w:t>
      </w:r>
      <w:r w:rsidRPr="00A472FC">
        <w:rPr>
          <w:rFonts w:ascii="Times New Roman" w:hAnsi="Times New Roman" w:cs="Times New Roman"/>
        </w:rPr>
        <w:t xml:space="preserve">work was ever undertaken by the original committee towards purging Aristotle of errors. In the past, this has been attributed to the arrival of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works in 1230, which would have rendered the size of the task much larger </w:t>
      </w:r>
      <w:r w:rsidR="00743D14" w:rsidRPr="00A472FC">
        <w:rPr>
          <w:rFonts w:ascii="Times New Roman" w:hAnsi="Times New Roman" w:cs="Times New Roman"/>
        </w:rPr>
        <w:t xml:space="preserve">than originally anticipated </w:t>
      </w:r>
      <w:r w:rsidRPr="00A472FC">
        <w:rPr>
          <w:rFonts w:ascii="Times New Roman" w:hAnsi="Times New Roman" w:cs="Times New Roman"/>
        </w:rPr>
        <w:t xml:space="preserve">and </w:t>
      </w:r>
      <w:r w:rsidR="004B1157" w:rsidRPr="00A472FC">
        <w:rPr>
          <w:rFonts w:ascii="Times New Roman" w:hAnsi="Times New Roman" w:cs="Times New Roman"/>
        </w:rPr>
        <w:t>even</w:t>
      </w:r>
      <w:r w:rsidRPr="00A472FC">
        <w:rPr>
          <w:rFonts w:ascii="Times New Roman" w:hAnsi="Times New Roman" w:cs="Times New Roman"/>
        </w:rPr>
        <w:t xml:space="preserve"> impossible.</w:t>
      </w:r>
      <w:r w:rsidRPr="00A472FC">
        <w:rPr>
          <w:rStyle w:val="FootnoteReference"/>
          <w:rFonts w:ascii="Times New Roman" w:hAnsi="Times New Roman" w:cs="Times New Roman"/>
          <w:bCs/>
        </w:rPr>
        <w:footnoteReference w:id="159"/>
      </w:r>
      <w:r w:rsidRPr="00A472FC">
        <w:rPr>
          <w:rFonts w:ascii="Times New Roman" w:hAnsi="Times New Roman" w:cs="Times New Roman"/>
        </w:rPr>
        <w:t xml:space="preserve"> </w:t>
      </w:r>
      <w:r w:rsidR="00742C4A" w:rsidRPr="00A472FC">
        <w:rPr>
          <w:rFonts w:ascii="Times New Roman" w:hAnsi="Times New Roman" w:cs="Times New Roman"/>
        </w:rPr>
        <w:t xml:space="preserve">According to Gauthier’s much-contested thesis, however, </w:t>
      </w:r>
      <w:proofErr w:type="spellStart"/>
      <w:r w:rsidRPr="00A472FC">
        <w:rPr>
          <w:rFonts w:ascii="Times New Roman" w:hAnsi="Times New Roman" w:cs="Times New Roman"/>
        </w:rPr>
        <w:t>Averroes</w:t>
      </w:r>
      <w:proofErr w:type="spellEnd"/>
      <w:r w:rsidRPr="00A472FC">
        <w:rPr>
          <w:rFonts w:ascii="Times New Roman" w:hAnsi="Times New Roman" w:cs="Times New Roman"/>
        </w:rPr>
        <w:t>’ works may have been known in Paris as early as 1225.</w:t>
      </w:r>
      <w:r w:rsidRPr="00A472FC">
        <w:rPr>
          <w:rStyle w:val="FootnoteReference"/>
          <w:rFonts w:ascii="Times New Roman" w:hAnsi="Times New Roman" w:cs="Times New Roman"/>
        </w:rPr>
        <w:footnoteReference w:id="160"/>
      </w:r>
      <w:r w:rsidRPr="00A472FC">
        <w:rPr>
          <w:rFonts w:ascii="Times New Roman" w:hAnsi="Times New Roman" w:cs="Times New Roman"/>
        </w:rPr>
        <w:t xml:space="preserve"> Moreover, Gregory’s decrees do not refer to the Arab commentators explicitly, so technically speaking, the commission was evidently not responsible to purge their works as well.</w:t>
      </w:r>
      <w:r w:rsidRPr="00A472FC">
        <w:rPr>
          <w:rStyle w:val="FootnoteReference"/>
          <w:rFonts w:ascii="Times New Roman" w:hAnsi="Times New Roman" w:cs="Times New Roman"/>
        </w:rPr>
        <w:footnoteReference w:id="161"/>
      </w:r>
      <w:r w:rsidRPr="00A472FC">
        <w:rPr>
          <w:rFonts w:ascii="Times New Roman" w:hAnsi="Times New Roman" w:cs="Times New Roman"/>
        </w:rPr>
        <w:t xml:space="preserve"> All of this suggests that the Pope simply may not have been entirely </w:t>
      </w:r>
      <w:r w:rsidR="00CF2211" w:rsidRPr="00A472FC">
        <w:rPr>
          <w:rFonts w:ascii="Times New Roman" w:hAnsi="Times New Roman" w:cs="Times New Roman"/>
        </w:rPr>
        <w:t>insistent upon</w:t>
      </w:r>
      <w:r w:rsidRPr="00A472FC">
        <w:rPr>
          <w:rFonts w:ascii="Times New Roman" w:hAnsi="Times New Roman" w:cs="Times New Roman"/>
        </w:rPr>
        <w:t xml:space="preserve"> the need to correct Aristotle. </w:t>
      </w:r>
    </w:p>
    <w:p w14:paraId="4948C29E" w14:textId="7FA5884E" w:rsidR="00CD1BB4" w:rsidRPr="00A472FC" w:rsidRDefault="00CD1BB4" w:rsidP="0008314F">
      <w:pPr>
        <w:autoSpaceDE w:val="0"/>
        <w:autoSpaceDN w:val="0"/>
        <w:adjustRightInd w:val="0"/>
        <w:ind w:right="-52" w:firstLine="720"/>
        <w:rPr>
          <w:rFonts w:ascii="Times New Roman" w:hAnsi="Times New Roman" w:cs="Times New Roman"/>
          <w:bCs/>
        </w:rPr>
      </w:pPr>
      <w:r w:rsidRPr="00A472FC">
        <w:rPr>
          <w:rFonts w:ascii="Times New Roman" w:hAnsi="Times New Roman" w:cs="Times New Roman"/>
        </w:rPr>
        <w:t xml:space="preserve">The ambiguity of the situation allowed for increased use of Aristotle from at least 1231 onwards, though not altogether without resistance from some camps. </w:t>
      </w:r>
      <w:r w:rsidR="00AA47E3" w:rsidRPr="00A472FC">
        <w:rPr>
          <w:rFonts w:ascii="Times New Roman" w:hAnsi="Times New Roman" w:cs="Times New Roman"/>
        </w:rPr>
        <w:t>In fact</w:t>
      </w:r>
      <w:r w:rsidR="0008314F" w:rsidRPr="00A472FC">
        <w:rPr>
          <w:rFonts w:ascii="Times New Roman" w:hAnsi="Times New Roman" w:cs="Times New Roman"/>
        </w:rPr>
        <w:t>,</w:t>
      </w:r>
      <w:r w:rsidRPr="00A472FC">
        <w:rPr>
          <w:rFonts w:ascii="Times New Roman" w:hAnsi="Times New Roman" w:cs="Times New Roman"/>
        </w:rPr>
        <w:t xml:space="preserve"> some scholars maintain that the ban remained in effect</w:t>
      </w:r>
      <w:r w:rsidR="00F50C8E" w:rsidRPr="00A472FC">
        <w:rPr>
          <w:rFonts w:ascii="Times New Roman" w:hAnsi="Times New Roman" w:cs="Times New Roman"/>
        </w:rPr>
        <w:t>, at least to a degree,</w:t>
      </w:r>
      <w:r w:rsidRPr="00A472FC">
        <w:rPr>
          <w:rFonts w:ascii="Times New Roman" w:hAnsi="Times New Roman" w:cs="Times New Roman"/>
        </w:rPr>
        <w:t xml:space="preserve"> until 1241, when Gregory died.</w:t>
      </w:r>
      <w:r w:rsidRPr="00A472FC">
        <w:rPr>
          <w:rStyle w:val="FootnoteReference"/>
          <w:rFonts w:ascii="Times New Roman" w:hAnsi="Times New Roman" w:cs="Times New Roman"/>
          <w:bCs/>
        </w:rPr>
        <w:footnoteReference w:id="162"/>
      </w:r>
      <w:r w:rsidRPr="00A472FC">
        <w:rPr>
          <w:rFonts w:ascii="Times New Roman" w:hAnsi="Times New Roman" w:cs="Times New Roman"/>
        </w:rPr>
        <w:t xml:space="preserve"> In his work, for instance, </w:t>
      </w:r>
      <w:proofErr w:type="spellStart"/>
      <w:r w:rsidRPr="00A472FC">
        <w:rPr>
          <w:rFonts w:ascii="Times New Roman" w:hAnsi="Times New Roman" w:cs="Times New Roman"/>
        </w:rPr>
        <w:t>Bataillon</w:t>
      </w:r>
      <w:proofErr w:type="spellEnd"/>
      <w:r w:rsidRPr="00A472FC">
        <w:rPr>
          <w:rFonts w:ascii="Times New Roman" w:hAnsi="Times New Roman" w:cs="Times New Roman"/>
        </w:rPr>
        <w:t xml:space="preserve"> enumerates numerous criticisms of philosophy’s use in theology that can be found in university sermons </w:t>
      </w:r>
      <w:r w:rsidR="00992A28" w:rsidRPr="00A472FC">
        <w:rPr>
          <w:rFonts w:ascii="Times New Roman" w:hAnsi="Times New Roman" w:cs="Times New Roman"/>
        </w:rPr>
        <w:t>dated</w:t>
      </w:r>
      <w:r w:rsidRPr="00A472FC">
        <w:rPr>
          <w:rFonts w:ascii="Times New Roman" w:hAnsi="Times New Roman" w:cs="Times New Roman"/>
        </w:rPr>
        <w:t xml:space="preserve"> from the 1230s. As late as 1242, the Dominican theologian Hugh of St Cher warned against the study of philosophy, which in his view contributes to pride and idle curiosity and thereby inhibits growth in genuine wisdom and understanding, which can only be found in Christ.</w:t>
      </w:r>
      <w:r w:rsidRPr="00A472FC">
        <w:rPr>
          <w:rStyle w:val="FootnoteReference"/>
          <w:rFonts w:ascii="Times New Roman" w:hAnsi="Times New Roman" w:cs="Times New Roman"/>
        </w:rPr>
        <w:footnoteReference w:id="163"/>
      </w:r>
      <w:r w:rsidRPr="00A472FC">
        <w:rPr>
          <w:rFonts w:ascii="Times New Roman" w:hAnsi="Times New Roman" w:cs="Times New Roman"/>
        </w:rPr>
        <w:t xml:space="preserve"> </w:t>
      </w:r>
    </w:p>
    <w:p w14:paraId="075F1639" w14:textId="63339255" w:rsidR="00CD1BB4" w:rsidRPr="00A472FC" w:rsidRDefault="00CD1BB4"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The </w:t>
      </w:r>
      <w:r w:rsidR="0008314F" w:rsidRPr="00A472FC">
        <w:rPr>
          <w:rFonts w:ascii="Times New Roman" w:hAnsi="Times New Roman" w:cs="Times New Roman"/>
        </w:rPr>
        <w:t>rationale behind</w:t>
      </w:r>
      <w:r w:rsidRPr="00A472FC">
        <w:rPr>
          <w:rFonts w:ascii="Times New Roman" w:hAnsi="Times New Roman" w:cs="Times New Roman"/>
        </w:rPr>
        <w:t xml:space="preserve"> this word of caution may however have been the condemnations of 1241/4, in which a few key ideas, such as the negation of any final vision of God in the afterlife, were condemned, which had presumably resulted from a theologically distorted reading of some of the new philosophical material rather than from the reading of that material as such.</w:t>
      </w:r>
      <w:r w:rsidRPr="00A472FC">
        <w:rPr>
          <w:rStyle w:val="FootnoteReference"/>
          <w:rFonts w:ascii="Times New Roman" w:hAnsi="Times New Roman" w:cs="Times New Roman"/>
        </w:rPr>
        <w:footnoteReference w:id="164"/>
      </w:r>
      <w:r w:rsidRPr="00A472FC">
        <w:rPr>
          <w:rFonts w:ascii="Times New Roman" w:hAnsi="Times New Roman" w:cs="Times New Roman"/>
        </w:rPr>
        <w:t xml:space="preserve"> For his part, Hugh’s teacher Roland of Cremona expressed the opinion – </w:t>
      </w:r>
      <w:r w:rsidRPr="00A472FC">
        <w:rPr>
          <w:rFonts w:ascii="Times New Roman" w:hAnsi="Times New Roman" w:cs="Times New Roman"/>
        </w:rPr>
        <w:lastRenderedPageBreak/>
        <w:t xml:space="preserve">already articulated by the arts master like John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 that theologians should focus on questions concerning the merits and demerits of the soul and leave it to the philosophers to deal with the specific aspects of its </w:t>
      </w:r>
      <w:r w:rsidRPr="00A472FC">
        <w:rPr>
          <w:rFonts w:ascii="Times New Roman" w:hAnsi="Times New Roman" w:cs="Times New Roman"/>
          <w:lang w:val="en-US"/>
        </w:rPr>
        <w:t>nature and its relation to the body.</w:t>
      </w:r>
      <w:r w:rsidRPr="00A472FC">
        <w:rPr>
          <w:rStyle w:val="FootnoteReference"/>
          <w:rFonts w:ascii="Times New Roman" w:hAnsi="Times New Roman" w:cs="Times New Roman"/>
          <w:lang w:val="en-US"/>
        </w:rPr>
        <w:footnoteReference w:id="165"/>
      </w:r>
      <w:r w:rsidRPr="00A472FC">
        <w:rPr>
          <w:rFonts w:ascii="Times New Roman" w:hAnsi="Times New Roman" w:cs="Times New Roman"/>
          <w:lang w:val="en-US"/>
        </w:rPr>
        <w:t xml:space="preserve"> For him, as for many from the time of Lombard, it was enough to acknowledge that such a relationship did exist without delving into </w:t>
      </w:r>
      <w:r w:rsidR="007713F1" w:rsidRPr="00A472FC">
        <w:rPr>
          <w:rFonts w:ascii="Times New Roman" w:hAnsi="Times New Roman" w:cs="Times New Roman"/>
          <w:lang w:val="en-US"/>
        </w:rPr>
        <w:t>its</w:t>
      </w:r>
      <w:r w:rsidRPr="00A472FC">
        <w:rPr>
          <w:rFonts w:ascii="Times New Roman" w:hAnsi="Times New Roman" w:cs="Times New Roman"/>
          <w:lang w:val="en-US"/>
        </w:rPr>
        <w:t xml:space="preserve"> technicalities</w:t>
      </w:r>
      <w:r w:rsidRPr="00A472FC">
        <w:rPr>
          <w:rFonts w:ascii="Times New Roman" w:hAnsi="Times New Roman" w:cs="Times New Roman"/>
        </w:rPr>
        <w:t>.</w:t>
      </w:r>
      <w:r w:rsidRPr="00A472FC">
        <w:rPr>
          <w:rStyle w:val="FootnoteReference"/>
          <w:rFonts w:ascii="Times New Roman" w:hAnsi="Times New Roman" w:cs="Times New Roman"/>
        </w:rPr>
        <w:footnoteReference w:id="166"/>
      </w:r>
      <w:r w:rsidRPr="00A472FC">
        <w:rPr>
          <w:rFonts w:ascii="Times New Roman" w:hAnsi="Times New Roman" w:cs="Times New Roman"/>
        </w:rPr>
        <w:t xml:space="preserve"> </w:t>
      </w:r>
    </w:p>
    <w:p w14:paraId="78E7489A" w14:textId="78407EAA" w:rsidR="000D22C7" w:rsidRPr="00A472FC" w:rsidRDefault="00D51764" w:rsidP="000D22C7">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While the Dominicans exhibited a somewhat restrained attitude towards the use of philosophy, </w:t>
      </w:r>
      <w:r w:rsidR="00CD1BB4" w:rsidRPr="00A472FC">
        <w:rPr>
          <w:rFonts w:ascii="Times New Roman" w:hAnsi="Times New Roman" w:cs="Times New Roman"/>
        </w:rPr>
        <w:t xml:space="preserve">John of La Rochelle </w:t>
      </w:r>
      <w:r w:rsidRPr="00A472FC">
        <w:rPr>
          <w:rFonts w:ascii="Times New Roman" w:hAnsi="Times New Roman" w:cs="Times New Roman"/>
        </w:rPr>
        <w:t>defended it enthusiastically</w:t>
      </w:r>
      <w:r w:rsidR="00CD1BB4" w:rsidRPr="00A472FC">
        <w:rPr>
          <w:rFonts w:ascii="Times New Roman" w:hAnsi="Times New Roman" w:cs="Times New Roman"/>
        </w:rPr>
        <w:t xml:space="preserve"> in a sermon delivered to Franciscans in 1243.</w:t>
      </w:r>
      <w:r w:rsidR="00CD1BB4" w:rsidRPr="00A472FC">
        <w:rPr>
          <w:rStyle w:val="FootnoteReference"/>
          <w:rFonts w:ascii="Times New Roman" w:hAnsi="Times New Roman" w:cs="Times New Roman"/>
        </w:rPr>
        <w:footnoteReference w:id="167"/>
      </w:r>
      <w:r w:rsidR="00CD1BB4" w:rsidRPr="00A472FC">
        <w:rPr>
          <w:rFonts w:ascii="Times New Roman" w:hAnsi="Times New Roman" w:cs="Times New Roman"/>
        </w:rPr>
        <w:t xml:space="preserve"> Although </w:t>
      </w:r>
      <w:r w:rsidR="00CF43FE" w:rsidRPr="00A472FC">
        <w:rPr>
          <w:rFonts w:ascii="Times New Roman" w:hAnsi="Times New Roman" w:cs="Times New Roman"/>
        </w:rPr>
        <w:t>he</w:t>
      </w:r>
      <w:r w:rsidR="00CD1BB4" w:rsidRPr="00A472FC">
        <w:rPr>
          <w:rFonts w:ascii="Times New Roman" w:hAnsi="Times New Roman" w:cs="Times New Roman"/>
        </w:rPr>
        <w:t xml:space="preserve"> </w:t>
      </w:r>
      <w:r w:rsidR="00CF43FE" w:rsidRPr="00A472FC">
        <w:rPr>
          <w:rFonts w:ascii="Times New Roman" w:hAnsi="Times New Roman" w:cs="Times New Roman"/>
        </w:rPr>
        <w:t>acknowledged there</w:t>
      </w:r>
      <w:r w:rsidR="00CD1BB4" w:rsidRPr="00A472FC">
        <w:rPr>
          <w:rFonts w:ascii="Times New Roman" w:hAnsi="Times New Roman" w:cs="Times New Roman"/>
        </w:rPr>
        <w:t xml:space="preserve"> that the study of philosophy must be ordered towards achieving the goals of theology, he invited and indeed urged his listeners to see it as essential to </w:t>
      </w:r>
      <w:r w:rsidR="00D71680" w:rsidRPr="00A472FC">
        <w:rPr>
          <w:rFonts w:ascii="Times New Roman" w:hAnsi="Times New Roman" w:cs="Times New Roman"/>
        </w:rPr>
        <w:t>developing a</w:t>
      </w:r>
      <w:r w:rsidR="00CD1BB4" w:rsidRPr="00A472FC">
        <w:rPr>
          <w:rFonts w:ascii="Times New Roman" w:hAnsi="Times New Roman" w:cs="Times New Roman"/>
        </w:rPr>
        <w:t xml:space="preserve"> robust and well-</w:t>
      </w:r>
      <w:r w:rsidR="00D71680" w:rsidRPr="00A472FC">
        <w:rPr>
          <w:rFonts w:ascii="Times New Roman" w:hAnsi="Times New Roman" w:cs="Times New Roman"/>
        </w:rPr>
        <w:t>articulated</w:t>
      </w:r>
      <w:r w:rsidR="00CD1BB4" w:rsidRPr="00A472FC">
        <w:rPr>
          <w:rFonts w:ascii="Times New Roman" w:hAnsi="Times New Roman" w:cs="Times New Roman"/>
        </w:rPr>
        <w:t xml:space="preserve"> Christian theology.</w:t>
      </w:r>
      <w:r w:rsidR="00CD1BB4" w:rsidRPr="00A472FC">
        <w:rPr>
          <w:rStyle w:val="FootnoteReference"/>
          <w:rFonts w:ascii="Times New Roman" w:hAnsi="Times New Roman" w:cs="Times New Roman"/>
        </w:rPr>
        <w:footnoteReference w:id="168"/>
      </w:r>
      <w:r w:rsidR="00CD1BB4" w:rsidRPr="00A472FC">
        <w:rPr>
          <w:rFonts w:ascii="Times New Roman" w:hAnsi="Times New Roman" w:cs="Times New Roman"/>
        </w:rPr>
        <w:t xml:space="preserve"> Whatever initial hesitations there may have been regarding philosophy, his work signals that theologians </w:t>
      </w:r>
      <w:r w:rsidR="0047381E" w:rsidRPr="00A472FC">
        <w:rPr>
          <w:rFonts w:ascii="Times New Roman" w:hAnsi="Times New Roman" w:cs="Times New Roman"/>
        </w:rPr>
        <w:t xml:space="preserve">and </w:t>
      </w:r>
      <w:r w:rsidR="00CD1BB4" w:rsidRPr="00A472FC">
        <w:rPr>
          <w:rFonts w:ascii="Times New Roman" w:hAnsi="Times New Roman" w:cs="Times New Roman"/>
        </w:rPr>
        <w:t>not only artists were starting to take an interest in the newly translated philosophical works during this period.</w:t>
      </w:r>
      <w:r w:rsidR="000D22C7" w:rsidRPr="00A472FC">
        <w:rPr>
          <w:rFonts w:ascii="Times New Roman" w:hAnsi="Times New Roman" w:cs="Times New Roman"/>
        </w:rPr>
        <w:t xml:space="preserve"> </w:t>
      </w:r>
      <w:r w:rsidR="00CD1BB4" w:rsidRPr="00A472FC">
        <w:rPr>
          <w:rFonts w:ascii="Times New Roman" w:hAnsi="Times New Roman" w:cs="Times New Roman"/>
          <w:lang w:val="en-US"/>
        </w:rPr>
        <w:t>In the arts faculty</w:t>
      </w:r>
      <w:r w:rsidR="004D6FCD" w:rsidRPr="00A472FC">
        <w:rPr>
          <w:rFonts w:ascii="Times New Roman" w:hAnsi="Times New Roman" w:cs="Times New Roman"/>
          <w:lang w:val="en-US"/>
        </w:rPr>
        <w:t xml:space="preserve"> itself</w:t>
      </w:r>
      <w:r w:rsidR="00CD1BB4" w:rsidRPr="00A472FC">
        <w:rPr>
          <w:rFonts w:ascii="Times New Roman" w:hAnsi="Times New Roman" w:cs="Times New Roman"/>
          <w:lang w:val="en-US"/>
        </w:rPr>
        <w:t xml:space="preserve">, these efforts resulted in a </w:t>
      </w:r>
      <w:r w:rsidR="00CD1BB4" w:rsidRPr="00A472FC">
        <w:rPr>
          <w:rFonts w:ascii="Times New Roman" w:hAnsi="Times New Roman" w:cs="Times New Roman"/>
        </w:rPr>
        <w:t xml:space="preserve">completely </w:t>
      </w:r>
      <w:proofErr w:type="spellStart"/>
      <w:r w:rsidR="00CD1BB4" w:rsidRPr="00A472FC">
        <w:rPr>
          <w:rFonts w:ascii="Times New Roman" w:hAnsi="Times New Roman" w:cs="Times New Roman"/>
        </w:rPr>
        <w:t>reorganized</w:t>
      </w:r>
      <w:proofErr w:type="spellEnd"/>
      <w:r w:rsidR="00CD1BB4" w:rsidRPr="00A472FC">
        <w:rPr>
          <w:rFonts w:ascii="Times New Roman" w:hAnsi="Times New Roman" w:cs="Times New Roman"/>
        </w:rPr>
        <w:t xml:space="preserve"> curriculum which was released by the arts masters themselves in 1255.</w:t>
      </w:r>
      <w:r w:rsidR="00CD1BB4" w:rsidRPr="00A472FC">
        <w:rPr>
          <w:rStyle w:val="FootnoteReference"/>
          <w:rFonts w:ascii="Times New Roman" w:hAnsi="Times New Roman" w:cs="Times New Roman"/>
        </w:rPr>
        <w:footnoteReference w:id="169"/>
      </w:r>
      <w:r w:rsidR="00CD1BB4" w:rsidRPr="00A472FC">
        <w:rPr>
          <w:rFonts w:ascii="Times New Roman" w:hAnsi="Times New Roman" w:cs="Times New Roman"/>
        </w:rPr>
        <w:t xml:space="preserve"> </w:t>
      </w:r>
    </w:p>
    <w:p w14:paraId="014FD875" w14:textId="4C78261B" w:rsidR="00CD1BB4" w:rsidRPr="00A472FC" w:rsidRDefault="00CD1BB4" w:rsidP="000D22C7">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This new curriculum centred around all the known writings of Aristotle, including his metaphysics and works on natural philosophy, </w:t>
      </w:r>
      <w:r w:rsidRPr="00A472FC">
        <w:rPr>
          <w:rFonts w:ascii="Times New Roman" w:hAnsi="Times New Roman" w:cs="Times New Roman"/>
          <w:bCs/>
        </w:rPr>
        <w:t xml:space="preserve">with the exception of </w:t>
      </w:r>
      <w:r w:rsidRPr="00A472FC">
        <w:rPr>
          <w:rFonts w:ascii="Times New Roman" w:hAnsi="Times New Roman" w:cs="Times New Roman"/>
          <w:bCs/>
          <w:i/>
        </w:rPr>
        <w:t xml:space="preserve">Politics </w:t>
      </w:r>
      <w:r w:rsidRPr="00A472FC">
        <w:rPr>
          <w:rFonts w:ascii="Times New Roman" w:hAnsi="Times New Roman" w:cs="Times New Roman"/>
          <w:bCs/>
        </w:rPr>
        <w:t>and</w:t>
      </w:r>
      <w:r w:rsidRPr="00A472FC">
        <w:rPr>
          <w:rFonts w:ascii="Times New Roman" w:hAnsi="Times New Roman" w:cs="Times New Roman"/>
          <w:bCs/>
          <w:i/>
        </w:rPr>
        <w:t xml:space="preserve"> Poetics</w:t>
      </w:r>
      <w:r w:rsidRPr="00A472FC">
        <w:rPr>
          <w:rFonts w:ascii="Times New Roman" w:hAnsi="Times New Roman" w:cs="Times New Roman"/>
          <w:bCs/>
          <w:iCs/>
        </w:rPr>
        <w:t>,</w:t>
      </w:r>
      <w:r w:rsidRPr="00A472FC">
        <w:rPr>
          <w:rFonts w:ascii="Times New Roman" w:hAnsi="Times New Roman" w:cs="Times New Roman"/>
          <w:bCs/>
          <w:i/>
        </w:rPr>
        <w:t xml:space="preserve"> </w:t>
      </w:r>
      <w:r w:rsidRPr="00A472FC">
        <w:rPr>
          <w:rFonts w:ascii="Times New Roman" w:hAnsi="Times New Roman" w:cs="Times New Roman"/>
          <w:bCs/>
        </w:rPr>
        <w:t>which still awaited translation</w:t>
      </w:r>
      <w:r w:rsidRPr="00A472FC">
        <w:rPr>
          <w:rFonts w:ascii="Times New Roman" w:hAnsi="Times New Roman" w:cs="Times New Roman"/>
        </w:rPr>
        <w:t xml:space="preserve">; </w:t>
      </w:r>
      <w:r w:rsidRPr="00A472FC">
        <w:rPr>
          <w:rFonts w:ascii="Times New Roman" w:hAnsi="Times New Roman" w:cs="Times New Roman"/>
          <w:bCs/>
        </w:rPr>
        <w:t xml:space="preserve">apocrypha like </w:t>
      </w:r>
      <w:r w:rsidRPr="00A472FC">
        <w:rPr>
          <w:rFonts w:ascii="Times New Roman" w:hAnsi="Times New Roman" w:cs="Times New Roman"/>
          <w:bCs/>
          <w:i/>
        </w:rPr>
        <w:t xml:space="preserve">De </w:t>
      </w:r>
      <w:proofErr w:type="spellStart"/>
      <w:r w:rsidRPr="00A472FC">
        <w:rPr>
          <w:rFonts w:ascii="Times New Roman" w:hAnsi="Times New Roman" w:cs="Times New Roman"/>
          <w:bCs/>
          <w:i/>
        </w:rPr>
        <w:t>causis</w:t>
      </w:r>
      <w:proofErr w:type="spellEnd"/>
      <w:r w:rsidRPr="00A472FC">
        <w:rPr>
          <w:rFonts w:ascii="Times New Roman" w:hAnsi="Times New Roman" w:cs="Times New Roman"/>
          <w:bCs/>
          <w:iCs/>
        </w:rPr>
        <w:t>,</w:t>
      </w:r>
      <w:r w:rsidRPr="00A472FC">
        <w:rPr>
          <w:rFonts w:ascii="Times New Roman" w:hAnsi="Times New Roman" w:cs="Times New Roman"/>
          <w:bCs/>
          <w:i/>
        </w:rPr>
        <w:t xml:space="preserve"> </w:t>
      </w:r>
      <w:r w:rsidRPr="00A472FC">
        <w:rPr>
          <w:rFonts w:ascii="Times New Roman" w:hAnsi="Times New Roman" w:cs="Times New Roman"/>
          <w:bCs/>
        </w:rPr>
        <w:t xml:space="preserve">and Costa Ben Luca’s </w:t>
      </w:r>
      <w:r w:rsidRPr="00A472FC">
        <w:rPr>
          <w:rFonts w:ascii="Times New Roman" w:hAnsi="Times New Roman" w:cs="Times New Roman"/>
          <w:bCs/>
          <w:i/>
        </w:rPr>
        <w:t xml:space="preserve">De differentia spiritus et </w:t>
      </w:r>
      <w:proofErr w:type="spellStart"/>
      <w:r w:rsidRPr="00A472FC">
        <w:rPr>
          <w:rFonts w:ascii="Times New Roman" w:hAnsi="Times New Roman" w:cs="Times New Roman"/>
          <w:bCs/>
          <w:i/>
        </w:rPr>
        <w:t>animae</w:t>
      </w:r>
      <w:proofErr w:type="spellEnd"/>
      <w:r w:rsidRPr="00A472FC">
        <w:rPr>
          <w:rFonts w:ascii="Times New Roman" w:hAnsi="Times New Roman" w:cs="Times New Roman"/>
          <w:bCs/>
          <w:i/>
        </w:rPr>
        <w:t xml:space="preserve"> </w:t>
      </w:r>
      <w:r w:rsidRPr="00A472FC">
        <w:rPr>
          <w:rFonts w:ascii="Times New Roman" w:hAnsi="Times New Roman" w:cs="Times New Roman"/>
          <w:bCs/>
        </w:rPr>
        <w:t>were also required reading.</w:t>
      </w:r>
      <w:r w:rsidRPr="00A472FC">
        <w:rPr>
          <w:rStyle w:val="FootnoteReference"/>
          <w:rFonts w:ascii="Times New Roman" w:hAnsi="Times New Roman" w:cs="Times New Roman"/>
          <w:bCs/>
        </w:rPr>
        <w:footnoteReference w:id="170"/>
      </w:r>
      <w:r w:rsidRPr="00A472FC">
        <w:rPr>
          <w:rFonts w:ascii="Times New Roman" w:hAnsi="Times New Roman" w:cs="Times New Roman"/>
          <w:bCs/>
        </w:rPr>
        <w:t xml:space="preserve"> The reason for the delay in the full incorporation of Aristotle along these lines, Bianchi rightly notes, was simply that grappling with Aristotle required a great deal of time and </w:t>
      </w:r>
      <w:r w:rsidR="008B21A7" w:rsidRPr="00A472FC">
        <w:rPr>
          <w:rFonts w:ascii="Times New Roman" w:hAnsi="Times New Roman" w:cs="Times New Roman"/>
          <w:bCs/>
        </w:rPr>
        <w:t xml:space="preserve">the </w:t>
      </w:r>
      <w:r w:rsidRPr="00A472FC">
        <w:rPr>
          <w:rFonts w:ascii="Times New Roman" w:hAnsi="Times New Roman" w:cs="Times New Roman"/>
          <w:bCs/>
        </w:rPr>
        <w:t xml:space="preserve">careful study of his works </w:t>
      </w:r>
      <w:r w:rsidR="00DA2DB9" w:rsidRPr="00A472FC">
        <w:rPr>
          <w:rFonts w:ascii="Times New Roman" w:hAnsi="Times New Roman" w:cs="Times New Roman"/>
          <w:bCs/>
        </w:rPr>
        <w:t>alongside the</w:t>
      </w:r>
      <w:r w:rsidRPr="00A472FC">
        <w:rPr>
          <w:rFonts w:ascii="Times New Roman" w:hAnsi="Times New Roman" w:cs="Times New Roman"/>
          <w:bCs/>
        </w:rPr>
        <w:t xml:space="preserve"> commentaries of </w:t>
      </w:r>
      <w:proofErr w:type="spellStart"/>
      <w:r w:rsidRPr="00A472FC">
        <w:rPr>
          <w:rFonts w:ascii="Times New Roman" w:hAnsi="Times New Roman" w:cs="Times New Roman"/>
          <w:bCs/>
        </w:rPr>
        <w:t>Averroes</w:t>
      </w:r>
      <w:proofErr w:type="spellEnd"/>
      <w:r w:rsidRPr="00A472FC">
        <w:rPr>
          <w:rFonts w:ascii="Times New Roman" w:hAnsi="Times New Roman" w:cs="Times New Roman"/>
          <w:bCs/>
        </w:rPr>
        <w:t xml:space="preserve">. That study could and surely did begin from at least the 1240s, </w:t>
      </w:r>
      <w:r w:rsidR="0016489A" w:rsidRPr="00A472FC">
        <w:rPr>
          <w:rFonts w:ascii="Times New Roman" w:hAnsi="Times New Roman" w:cs="Times New Roman"/>
          <w:bCs/>
        </w:rPr>
        <w:t xml:space="preserve">but took time to culminate </w:t>
      </w:r>
      <w:r w:rsidRPr="00A472FC">
        <w:rPr>
          <w:rFonts w:ascii="Times New Roman" w:hAnsi="Times New Roman" w:cs="Times New Roman"/>
          <w:bCs/>
        </w:rPr>
        <w:t xml:space="preserve">in the release of the </w:t>
      </w:r>
      <w:r w:rsidR="0016489A" w:rsidRPr="00A472FC">
        <w:rPr>
          <w:rFonts w:ascii="Times New Roman" w:hAnsi="Times New Roman" w:cs="Times New Roman"/>
          <w:bCs/>
        </w:rPr>
        <w:t xml:space="preserve">new </w:t>
      </w:r>
      <w:r w:rsidRPr="00A472FC">
        <w:rPr>
          <w:rFonts w:ascii="Times New Roman" w:hAnsi="Times New Roman" w:cs="Times New Roman"/>
          <w:bCs/>
        </w:rPr>
        <w:t xml:space="preserve">curriculum in the middle of the century. </w:t>
      </w:r>
    </w:p>
    <w:p w14:paraId="6F2F9EFF" w14:textId="63D1A82F" w:rsidR="00CD1BB4" w:rsidRPr="00A472FC" w:rsidRDefault="00CD1BB4" w:rsidP="00881604">
      <w:pPr>
        <w:autoSpaceDE w:val="0"/>
        <w:autoSpaceDN w:val="0"/>
        <w:adjustRightInd w:val="0"/>
        <w:ind w:right="-52" w:firstLine="720"/>
        <w:rPr>
          <w:rFonts w:ascii="Times New Roman" w:hAnsi="Times New Roman" w:cs="Times New Roman"/>
          <w:bCs/>
        </w:rPr>
      </w:pPr>
      <w:r w:rsidRPr="00A472FC">
        <w:rPr>
          <w:rFonts w:ascii="Times New Roman" w:hAnsi="Times New Roman" w:cs="Times New Roman"/>
        </w:rPr>
        <w:t>Although the condemnations largely succeeded in</w:t>
      </w:r>
      <w:r w:rsidRPr="00A472FC">
        <w:rPr>
          <w:rFonts w:ascii="Times New Roman" w:hAnsi="Times New Roman" w:cs="Times New Roman"/>
          <w:lang w:val="en-US"/>
        </w:rPr>
        <w:t xml:space="preserve"> squelching </w:t>
      </w:r>
      <w:r w:rsidR="00F438EE" w:rsidRPr="00A472FC">
        <w:rPr>
          <w:rFonts w:ascii="Times New Roman" w:hAnsi="Times New Roman" w:cs="Times New Roman"/>
          <w:lang w:val="en-US"/>
        </w:rPr>
        <w:t>much</w:t>
      </w:r>
      <w:r w:rsidRPr="00A472FC">
        <w:rPr>
          <w:rFonts w:ascii="Times New Roman" w:hAnsi="Times New Roman" w:cs="Times New Roman"/>
          <w:lang w:val="en-US"/>
        </w:rPr>
        <w:t xml:space="preserve"> written evidence of engagement with the new philosophical resources </w:t>
      </w:r>
      <w:r w:rsidR="0031120D" w:rsidRPr="00A472FC">
        <w:rPr>
          <w:rFonts w:ascii="Times New Roman" w:hAnsi="Times New Roman" w:cs="Times New Roman"/>
          <w:lang w:val="en-US"/>
        </w:rPr>
        <w:t xml:space="preserve">before this time, especially </w:t>
      </w:r>
      <w:r w:rsidRPr="00A472FC">
        <w:rPr>
          <w:rFonts w:ascii="Times New Roman" w:hAnsi="Times New Roman" w:cs="Times New Roman"/>
          <w:lang w:val="en-US"/>
        </w:rPr>
        <w:t>between 1210-30, two anonymous works from this period</w:t>
      </w:r>
      <w:r w:rsidR="00177484" w:rsidRPr="00A472FC">
        <w:rPr>
          <w:rFonts w:ascii="Times New Roman" w:hAnsi="Times New Roman" w:cs="Times New Roman"/>
          <w:lang w:val="en-US"/>
        </w:rPr>
        <w:t xml:space="preserve"> stand out for their employment of philosophy</w:t>
      </w:r>
      <w:r w:rsidRPr="00A472FC">
        <w:rPr>
          <w:rFonts w:ascii="Times New Roman" w:hAnsi="Times New Roman" w:cs="Times New Roman"/>
          <w:lang w:val="en-US"/>
        </w:rPr>
        <w:t xml:space="preserve">. The first, </w:t>
      </w:r>
      <w:r w:rsidRPr="00A472FC">
        <w:rPr>
          <w:rFonts w:ascii="Times New Roman" w:hAnsi="Times New Roman" w:cs="Times New Roman"/>
          <w:i/>
          <w:lang w:val="en-US"/>
        </w:rPr>
        <w:t xml:space="preserve">De anima et de </w:t>
      </w:r>
      <w:proofErr w:type="spellStart"/>
      <w:r w:rsidRPr="00A472FC">
        <w:rPr>
          <w:rFonts w:ascii="Times New Roman" w:hAnsi="Times New Roman" w:cs="Times New Roman"/>
          <w:i/>
          <w:lang w:val="en-US"/>
        </w:rPr>
        <w:t>potenciis</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eius</w:t>
      </w:r>
      <w:proofErr w:type="spellEnd"/>
      <w:r w:rsidRPr="00A472FC">
        <w:rPr>
          <w:rFonts w:ascii="Times New Roman" w:hAnsi="Times New Roman" w:cs="Times New Roman"/>
          <w:iCs/>
          <w:lang w:val="en-US"/>
        </w:rPr>
        <w:t>,</w:t>
      </w:r>
      <w:r w:rsidRPr="00A472FC">
        <w:rPr>
          <w:rFonts w:ascii="Times New Roman" w:hAnsi="Times New Roman" w:cs="Times New Roman"/>
          <w:i/>
          <w:lang w:val="en-US"/>
        </w:rPr>
        <w:t xml:space="preserve"> </w:t>
      </w:r>
      <w:r w:rsidRPr="00A472FC">
        <w:rPr>
          <w:rFonts w:ascii="Times New Roman" w:hAnsi="Times New Roman" w:cs="Times New Roman"/>
          <w:lang w:val="en-US"/>
        </w:rPr>
        <w:t>edited by René A. Gauthier, and hereafter Anonymous Gauthier, was evidently written by an arts master, after 1224 and before 1227-28, for reasons based on internal evidence which Gauthier delineates.</w:t>
      </w:r>
      <w:r w:rsidRPr="00A472FC">
        <w:rPr>
          <w:rStyle w:val="FootnoteReference"/>
          <w:rFonts w:ascii="Times New Roman" w:hAnsi="Times New Roman" w:cs="Times New Roman"/>
          <w:lang w:val="en-US"/>
        </w:rPr>
        <w:footnoteReference w:id="171"/>
      </w:r>
      <w:r w:rsidRPr="00A472FC">
        <w:rPr>
          <w:rFonts w:ascii="Times New Roman" w:hAnsi="Times New Roman" w:cs="Times New Roman"/>
          <w:lang w:val="en-US"/>
        </w:rPr>
        <w:t xml:space="preserve"> Aside from </w:t>
      </w:r>
      <w:proofErr w:type="spellStart"/>
      <w:r w:rsidRPr="00A472FC">
        <w:rPr>
          <w:rFonts w:ascii="Times New Roman" w:hAnsi="Times New Roman" w:cs="Times New Roman"/>
          <w:lang w:val="en-US"/>
        </w:rPr>
        <w:t>Blund</w:t>
      </w:r>
      <w:proofErr w:type="spellEnd"/>
      <w:r w:rsidRPr="00A472FC">
        <w:rPr>
          <w:rFonts w:ascii="Times New Roman" w:hAnsi="Times New Roman" w:cs="Times New Roman"/>
          <w:lang w:val="en-US"/>
        </w:rPr>
        <w:t xml:space="preserve">, </w:t>
      </w:r>
      <w:r w:rsidRPr="00A472FC">
        <w:rPr>
          <w:rFonts w:ascii="Times New Roman" w:hAnsi="Times New Roman" w:cs="Times New Roman"/>
        </w:rPr>
        <w:t>this is the only arts text before 1240 representing the psychological tradition.</w:t>
      </w:r>
      <w:r w:rsidRPr="00A472FC">
        <w:rPr>
          <w:rStyle w:val="FootnoteReference"/>
          <w:rFonts w:ascii="Times New Roman" w:hAnsi="Times New Roman" w:cs="Times New Roman"/>
        </w:rPr>
        <w:footnoteReference w:id="172"/>
      </w:r>
    </w:p>
    <w:p w14:paraId="10F39A12" w14:textId="77777777" w:rsidR="00CD1BB4" w:rsidRPr="00A472FC" w:rsidRDefault="00CD1BB4"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lang w:val="en-US"/>
        </w:rPr>
        <w:t>The author of the text is clearly informed about Avicenna and seeks to outline his theory of knowledge, if only briefly and in his own words. Following Avicenna, he starts with the definition of the soul, citing Aristotle’s definition in the Greco-Latin translation.</w:t>
      </w:r>
      <w:r w:rsidRPr="00A472FC">
        <w:rPr>
          <w:rStyle w:val="FootnoteReference"/>
          <w:rFonts w:ascii="Times New Roman" w:hAnsi="Times New Roman" w:cs="Times New Roman"/>
          <w:lang w:val="en-US"/>
        </w:rPr>
        <w:footnoteReference w:id="173"/>
      </w:r>
      <w:r w:rsidRPr="00A472FC">
        <w:rPr>
          <w:rFonts w:ascii="Times New Roman" w:hAnsi="Times New Roman" w:cs="Times New Roman"/>
          <w:lang w:val="en-US"/>
        </w:rPr>
        <w:t xml:space="preserve"> He </w:t>
      </w:r>
      <w:r w:rsidRPr="00A472FC">
        <w:rPr>
          <w:rFonts w:ascii="Times New Roman" w:hAnsi="Times New Roman" w:cs="Times New Roman"/>
          <w:lang w:val="en-US"/>
        </w:rPr>
        <w:lastRenderedPageBreak/>
        <w:t xml:space="preserve">then enumerates the powers of the soul, having found five in Aristotle </w:t>
      </w:r>
      <w:r w:rsidRPr="00A472FC">
        <w:rPr>
          <w:rFonts w:ascii="Times New Roman" w:hAnsi="Times New Roman" w:cs="Times New Roman"/>
        </w:rPr>
        <w:t>(vegetative, sensitive, appetitive, motive, intellectual) and three in Avicenna (vegetative, sensitive, rational).</w:t>
      </w:r>
      <w:r w:rsidRPr="00A472FC">
        <w:rPr>
          <w:rStyle w:val="FootnoteReference"/>
          <w:rFonts w:ascii="Times New Roman" w:hAnsi="Times New Roman" w:cs="Times New Roman"/>
        </w:rPr>
        <w:footnoteReference w:id="174"/>
      </w:r>
      <w:r w:rsidRPr="00A472FC">
        <w:rPr>
          <w:rFonts w:ascii="Times New Roman" w:hAnsi="Times New Roman" w:cs="Times New Roman"/>
        </w:rPr>
        <w:t xml:space="preserve"> He explains how cognitive acts can be distinguished, by order, by object, by organ or instrument, as well as </w:t>
      </w:r>
      <w:proofErr w:type="spellStart"/>
      <w:r w:rsidRPr="00A472FC">
        <w:rPr>
          <w:rFonts w:ascii="Times New Roman" w:hAnsi="Times New Roman" w:cs="Times New Roman"/>
          <w:i/>
        </w:rPr>
        <w:t>secundum</w:t>
      </w:r>
      <w:proofErr w:type="spellEnd"/>
      <w:r w:rsidRPr="00A472FC">
        <w:rPr>
          <w:rFonts w:ascii="Times New Roman" w:hAnsi="Times New Roman" w:cs="Times New Roman"/>
          <w:i/>
        </w:rPr>
        <w:t xml:space="preserve"> rem</w:t>
      </w:r>
      <w:r w:rsidRPr="00A472FC">
        <w:rPr>
          <w:rFonts w:ascii="Times New Roman" w:hAnsi="Times New Roman" w:cs="Times New Roman"/>
        </w:rPr>
        <w:t xml:space="preserve"> and </w:t>
      </w:r>
      <w:proofErr w:type="spellStart"/>
      <w:r w:rsidRPr="00A472FC">
        <w:rPr>
          <w:rFonts w:ascii="Times New Roman" w:hAnsi="Times New Roman" w:cs="Times New Roman"/>
          <w:i/>
        </w:rPr>
        <w:t>secundum</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cognitionem</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175"/>
      </w:r>
      <w:r w:rsidRPr="00A472FC">
        <w:rPr>
          <w:rFonts w:ascii="Times New Roman" w:hAnsi="Times New Roman" w:cs="Times New Roman"/>
        </w:rPr>
        <w:t xml:space="preserve"> </w:t>
      </w:r>
    </w:p>
    <w:p w14:paraId="6C6A6619" w14:textId="681DDE8D" w:rsidR="00CD1BB4" w:rsidRPr="00A472FC" w:rsidRDefault="00CD1BB4"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The artist also differentiates between active and passive powers, which are mentioned obliquely by Aristotle and explicitly by </w:t>
      </w:r>
      <w:proofErr w:type="spellStart"/>
      <w:r w:rsidRPr="00A472FC">
        <w:rPr>
          <w:rFonts w:ascii="Times New Roman" w:hAnsi="Times New Roman" w:cs="Times New Roman"/>
        </w:rPr>
        <w:t>Averroes</w:t>
      </w:r>
      <w:proofErr w:type="spellEnd"/>
      <w:r w:rsidRPr="00A472FC">
        <w:rPr>
          <w:rFonts w:ascii="Times New Roman" w:hAnsi="Times New Roman" w:cs="Times New Roman"/>
        </w:rPr>
        <w:t>. He then mentions the vegetative powers (nutrition, augmentation, generation);</w:t>
      </w:r>
      <w:r w:rsidRPr="00A472FC">
        <w:rPr>
          <w:rStyle w:val="FootnoteReference"/>
          <w:rFonts w:ascii="Times New Roman" w:hAnsi="Times New Roman" w:cs="Times New Roman"/>
        </w:rPr>
        <w:footnoteReference w:id="176"/>
      </w:r>
      <w:r w:rsidRPr="00A472FC">
        <w:rPr>
          <w:rFonts w:ascii="Times New Roman" w:hAnsi="Times New Roman" w:cs="Times New Roman"/>
        </w:rPr>
        <w:t xml:space="preserve"> the external senses; Avicenna’s five internal senses;  the motive—irascible and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—powers;</w:t>
      </w:r>
      <w:r w:rsidRPr="00A472FC">
        <w:rPr>
          <w:rStyle w:val="FootnoteReference"/>
          <w:rFonts w:ascii="Times New Roman" w:hAnsi="Times New Roman" w:cs="Times New Roman"/>
        </w:rPr>
        <w:footnoteReference w:id="177"/>
      </w:r>
      <w:r w:rsidRPr="00A472FC">
        <w:rPr>
          <w:rFonts w:ascii="Times New Roman" w:hAnsi="Times New Roman" w:cs="Times New Roman"/>
        </w:rPr>
        <w:t xml:space="preserve"> and the rational power, in which context he treats Avicenna’s theory of the four intellects.</w:t>
      </w:r>
      <w:r w:rsidRPr="00A472FC">
        <w:rPr>
          <w:rStyle w:val="FootnoteReference"/>
          <w:rFonts w:ascii="Times New Roman" w:hAnsi="Times New Roman" w:cs="Times New Roman"/>
        </w:rPr>
        <w:footnoteReference w:id="178"/>
      </w:r>
      <w:r w:rsidRPr="00A472FC">
        <w:rPr>
          <w:rFonts w:ascii="Times New Roman" w:hAnsi="Times New Roman" w:cs="Times New Roman"/>
        </w:rPr>
        <w:t xml:space="preserve"> In this connection, he emphatically rejects Avicenna’s theory of a separate Agent Intellect, affirming that this subsists in the human mind.</w:t>
      </w:r>
      <w:r w:rsidRPr="00A472FC">
        <w:rPr>
          <w:rStyle w:val="FootnoteReference"/>
          <w:rFonts w:ascii="Times New Roman" w:hAnsi="Times New Roman" w:cs="Times New Roman"/>
        </w:rPr>
        <w:footnoteReference w:id="179"/>
      </w:r>
      <w:r w:rsidRPr="00A472FC">
        <w:rPr>
          <w:rFonts w:ascii="Times New Roman" w:hAnsi="Times New Roman" w:cs="Times New Roman"/>
        </w:rPr>
        <w:t xml:space="preserve"> The only reference to any remotely theological </w:t>
      </w:r>
      <w:proofErr w:type="spellStart"/>
      <w:r w:rsidRPr="00A472FC">
        <w:rPr>
          <w:rFonts w:ascii="Times New Roman" w:hAnsi="Times New Roman" w:cs="Times New Roman"/>
          <w:i/>
        </w:rPr>
        <w:t>topos</w:t>
      </w:r>
      <w:proofErr w:type="spellEnd"/>
      <w:r w:rsidRPr="00A472FC">
        <w:rPr>
          <w:rFonts w:ascii="Times New Roman" w:hAnsi="Times New Roman" w:cs="Times New Roman"/>
        </w:rPr>
        <w:t xml:space="preserve"> comes at the end where he mentions the distinction between higher reason and </w:t>
      </w:r>
      <w:proofErr w:type="spellStart"/>
      <w:r w:rsidRPr="00A472FC">
        <w:rPr>
          <w:rFonts w:ascii="Times New Roman" w:hAnsi="Times New Roman" w:cs="Times New Roman"/>
          <w:i/>
        </w:rPr>
        <w:t>synderesis</w:t>
      </w:r>
      <w:proofErr w:type="spellEnd"/>
      <w:r w:rsidRPr="00A472FC">
        <w:rPr>
          <w:rFonts w:ascii="Times New Roman" w:hAnsi="Times New Roman" w:cs="Times New Roman"/>
        </w:rPr>
        <w:t>, which he identifies with Aristotle’s practical reason.</w:t>
      </w:r>
      <w:r w:rsidRPr="00A472FC">
        <w:rPr>
          <w:rStyle w:val="FootnoteReference"/>
          <w:rFonts w:ascii="Times New Roman" w:hAnsi="Times New Roman" w:cs="Times New Roman"/>
        </w:rPr>
        <w:footnoteReference w:id="180"/>
      </w:r>
      <w:r w:rsidRPr="00A472FC">
        <w:rPr>
          <w:rFonts w:ascii="Times New Roman" w:hAnsi="Times New Roman" w:cs="Times New Roman"/>
        </w:rPr>
        <w:t xml:space="preserve"> </w:t>
      </w:r>
    </w:p>
    <w:p w14:paraId="48DBCAD0" w14:textId="5CEFC793" w:rsidR="00CD1BB4" w:rsidRPr="00A472FC" w:rsidRDefault="00CD1BB4"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lang w:val="en-US"/>
        </w:rPr>
        <w:t xml:space="preserve">The second treatise, the anonymous </w:t>
      </w:r>
      <w:r w:rsidRPr="00A472FC">
        <w:rPr>
          <w:rFonts w:ascii="Times New Roman" w:hAnsi="Times New Roman" w:cs="Times New Roman"/>
          <w:i/>
          <w:lang w:val="en-US"/>
        </w:rPr>
        <w:t xml:space="preserve">De </w:t>
      </w:r>
      <w:proofErr w:type="spellStart"/>
      <w:r w:rsidRPr="00A472FC">
        <w:rPr>
          <w:rFonts w:ascii="Times New Roman" w:hAnsi="Times New Roman" w:cs="Times New Roman"/>
          <w:i/>
          <w:lang w:val="en-US"/>
        </w:rPr>
        <w:t>potentiis</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animae</w:t>
      </w:r>
      <w:proofErr w:type="spellEnd"/>
      <w:r w:rsidRPr="00A472FC">
        <w:rPr>
          <w:rFonts w:ascii="Times New Roman" w:hAnsi="Times New Roman" w:cs="Times New Roman"/>
          <w:i/>
          <w:lang w:val="en-US"/>
        </w:rPr>
        <w:t xml:space="preserve"> et </w:t>
      </w:r>
      <w:proofErr w:type="spellStart"/>
      <w:r w:rsidRPr="00A472FC">
        <w:rPr>
          <w:rFonts w:ascii="Times New Roman" w:hAnsi="Times New Roman" w:cs="Times New Roman"/>
          <w:i/>
          <w:lang w:val="en-US"/>
        </w:rPr>
        <w:t>obiectis</w:t>
      </w:r>
      <w:proofErr w:type="spellEnd"/>
      <w:r w:rsidRPr="00A472FC">
        <w:rPr>
          <w:rFonts w:ascii="Times New Roman" w:hAnsi="Times New Roman" w:cs="Times New Roman"/>
          <w:lang w:val="en-US"/>
        </w:rPr>
        <w:t xml:space="preserve">, edited by Daniel Callus, hereafter Anonymous Callus, was very obviously influenced by Anonymous Gauthier both in terms of its structure and content. Callus dates the text between 1220-30. However, Gauthier makes a case that the text was probably written between 1228-32, on the ground that it was used by Philip the Chancellor in a version of his </w:t>
      </w:r>
      <w:r w:rsidRPr="00A472FC">
        <w:rPr>
          <w:rFonts w:ascii="Times New Roman" w:hAnsi="Times New Roman" w:cs="Times New Roman"/>
          <w:i/>
          <w:lang w:val="en-US"/>
        </w:rPr>
        <w:t xml:space="preserve">Summa de bono </w:t>
      </w:r>
      <w:r w:rsidRPr="00A472FC">
        <w:rPr>
          <w:rFonts w:ascii="Times New Roman" w:hAnsi="Times New Roman" w:cs="Times New Roman"/>
          <w:lang w:val="en-US"/>
        </w:rPr>
        <w:t xml:space="preserve">produced in 1232 and by John of La Rochelle, in his </w:t>
      </w:r>
      <w:proofErr w:type="spellStart"/>
      <w:r w:rsidRPr="00A472FC">
        <w:rPr>
          <w:rFonts w:ascii="Times New Roman" w:hAnsi="Times New Roman" w:cs="Times New Roman"/>
          <w:i/>
          <w:lang w:val="en-US"/>
        </w:rPr>
        <w:t>Tractatus</w:t>
      </w:r>
      <w:proofErr w:type="spellEnd"/>
      <w:r w:rsidRPr="00A472FC">
        <w:rPr>
          <w:rFonts w:ascii="Times New Roman" w:hAnsi="Times New Roman" w:cs="Times New Roman"/>
          <w:lang w:val="en-US"/>
        </w:rPr>
        <w:t xml:space="preserve"> written between 1233-39.</w:t>
      </w:r>
      <w:r w:rsidRPr="00A472FC">
        <w:rPr>
          <w:rStyle w:val="FootnoteReference"/>
          <w:rFonts w:ascii="Times New Roman" w:hAnsi="Times New Roman" w:cs="Times New Roman"/>
          <w:lang w:val="en-US"/>
        </w:rPr>
        <w:footnoteReference w:id="181"/>
      </w:r>
      <w:r w:rsidRPr="00A472FC">
        <w:rPr>
          <w:rFonts w:ascii="Times New Roman" w:hAnsi="Times New Roman" w:cs="Times New Roman"/>
          <w:lang w:val="en-US"/>
        </w:rPr>
        <w:t xml:space="preserve"> The attraction for these authors was partly that Anonymous Callus was clearly written by a theologian, possibly English, who makes major changes and additions to Anonymous Gauthier’s structure in order represent his own interests.</w:t>
      </w:r>
      <w:r w:rsidRPr="00A472FC">
        <w:rPr>
          <w:rStyle w:val="FootnoteReference"/>
          <w:rFonts w:ascii="Times New Roman" w:hAnsi="Times New Roman" w:cs="Times New Roman"/>
        </w:rPr>
        <w:footnoteReference w:id="182"/>
      </w:r>
      <w:r w:rsidRPr="00A472FC">
        <w:rPr>
          <w:rFonts w:ascii="Times New Roman" w:hAnsi="Times New Roman" w:cs="Times New Roman"/>
        </w:rPr>
        <w:t xml:space="preserve"> </w:t>
      </w:r>
    </w:p>
    <w:p w14:paraId="33005F9C" w14:textId="0DD37AE9" w:rsidR="00CD1BB4" w:rsidRPr="00A472FC" w:rsidRDefault="00CD1BB4" w:rsidP="008816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rPr>
        <w:t>For example, he omits the first section containing Aristotle’s definition of the soul, while preserving the criteria for distinguishing the powers of the soul in terms of their organ or instrument; object, order, essence or nature (</w:t>
      </w:r>
      <w:proofErr w:type="spellStart"/>
      <w:r w:rsidRPr="00A472FC">
        <w:rPr>
          <w:rFonts w:ascii="Times New Roman" w:hAnsi="Times New Roman" w:cs="Times New Roman"/>
          <w:i/>
        </w:rPr>
        <w:t>secundum</w:t>
      </w:r>
      <w:proofErr w:type="spellEnd"/>
      <w:r w:rsidRPr="00A472FC">
        <w:rPr>
          <w:rFonts w:ascii="Times New Roman" w:hAnsi="Times New Roman" w:cs="Times New Roman"/>
          <w:i/>
        </w:rPr>
        <w:t xml:space="preserve"> rem</w:t>
      </w:r>
      <w:r w:rsidRPr="00A472FC">
        <w:rPr>
          <w:rFonts w:ascii="Times New Roman" w:hAnsi="Times New Roman" w:cs="Times New Roman"/>
        </w:rPr>
        <w:t>)</w:t>
      </w:r>
      <w:r w:rsidR="00E72E79" w:rsidRPr="00A472FC">
        <w:rPr>
          <w:rFonts w:ascii="Times New Roman" w:hAnsi="Times New Roman" w:cs="Times New Roman"/>
        </w:rPr>
        <w:t>,</w:t>
      </w:r>
      <w:r w:rsidRPr="00A472FC">
        <w:rPr>
          <w:rFonts w:ascii="Times New Roman" w:hAnsi="Times New Roman" w:cs="Times New Roman"/>
        </w:rPr>
        <w:t xml:space="preserve"> and reason (</w:t>
      </w:r>
      <w:proofErr w:type="spellStart"/>
      <w:r w:rsidRPr="00A472FC">
        <w:rPr>
          <w:rFonts w:ascii="Times New Roman" w:hAnsi="Times New Roman" w:cs="Times New Roman"/>
          <w:i/>
        </w:rPr>
        <w:t>secundum</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cognitionem</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183"/>
      </w:r>
      <w:r w:rsidRPr="00A472FC">
        <w:rPr>
          <w:rFonts w:ascii="Times New Roman" w:hAnsi="Times New Roman" w:cs="Times New Roman"/>
        </w:rPr>
        <w:t xml:space="preserve"> He also maintains the distinction between an active or a passive potency.</w:t>
      </w:r>
      <w:r w:rsidRPr="00A472FC">
        <w:rPr>
          <w:rStyle w:val="FootnoteReference"/>
          <w:rFonts w:ascii="Times New Roman" w:hAnsi="Times New Roman" w:cs="Times New Roman"/>
        </w:rPr>
        <w:footnoteReference w:id="184"/>
      </w:r>
      <w:r w:rsidRPr="00A472FC">
        <w:rPr>
          <w:rFonts w:ascii="Times New Roman" w:hAnsi="Times New Roman" w:cs="Times New Roman"/>
        </w:rPr>
        <w:t xml:space="preserve"> Although he mentions the basic three-fold distinction between the vegetable, sensible, and rational powers, ‘</w:t>
      </w:r>
      <w:r w:rsidRPr="00A472FC">
        <w:rPr>
          <w:rFonts w:ascii="Times New Roman" w:hAnsi="Times New Roman" w:cs="Times New Roman"/>
          <w:lang w:val="en-US"/>
        </w:rPr>
        <w:t xml:space="preserve">like many other theologians, he misses out the vegetative faculties, and then goes through the </w:t>
      </w:r>
      <w:proofErr w:type="spellStart"/>
      <w:r w:rsidRPr="00A472FC">
        <w:rPr>
          <w:rFonts w:ascii="Times New Roman" w:hAnsi="Times New Roman" w:cs="Times New Roman"/>
          <w:lang w:val="en-US"/>
        </w:rPr>
        <w:t>Avicennian</w:t>
      </w:r>
      <w:proofErr w:type="spellEnd"/>
      <w:r w:rsidRPr="00A472FC">
        <w:rPr>
          <w:rFonts w:ascii="Times New Roman" w:hAnsi="Times New Roman" w:cs="Times New Roman"/>
          <w:lang w:val="en-US"/>
        </w:rPr>
        <w:t xml:space="preserve"> external and internal senses, the different kinds of intellects and the motive faculties.’</w:t>
      </w:r>
      <w:r w:rsidRPr="00A472FC">
        <w:rPr>
          <w:rStyle w:val="FootnoteReference"/>
          <w:rFonts w:ascii="Times New Roman" w:hAnsi="Times New Roman" w:cs="Times New Roman"/>
          <w:lang w:val="en-US"/>
        </w:rPr>
        <w:footnoteReference w:id="185"/>
      </w:r>
      <w:r w:rsidRPr="00A472FC">
        <w:rPr>
          <w:rFonts w:ascii="Times New Roman" w:hAnsi="Times New Roman" w:cs="Times New Roman"/>
          <w:lang w:val="en-US"/>
        </w:rPr>
        <w:t xml:space="preserve"> Similar to Anonymous Gauthier, however, he does so briefly and in his own words. Here, ‘</w:t>
      </w:r>
      <w:r w:rsidRPr="00A472FC">
        <w:rPr>
          <w:rFonts w:ascii="Times New Roman" w:hAnsi="Times New Roman" w:cs="Times New Roman"/>
        </w:rPr>
        <w:t>the author gives a more accurate account of the intellect but omits the fourth intellect and adds in other components of axiomatic theory from Western logic and theology.’</w:t>
      </w:r>
      <w:r w:rsidRPr="00A472FC">
        <w:rPr>
          <w:rStyle w:val="FootnoteReference"/>
          <w:rFonts w:ascii="Times New Roman" w:hAnsi="Times New Roman" w:cs="Times New Roman"/>
        </w:rPr>
        <w:footnoteReference w:id="186"/>
      </w:r>
      <w:r w:rsidRPr="00A472FC">
        <w:rPr>
          <w:rFonts w:ascii="Times New Roman" w:hAnsi="Times New Roman" w:cs="Times New Roman"/>
        </w:rPr>
        <w:t xml:space="preserve"> As we will discover, this creative discussion, also found in Gauthier, was extremely influential for John of La Rochelle.</w:t>
      </w:r>
    </w:p>
    <w:p w14:paraId="47D3E790" w14:textId="77777777" w:rsidR="00556F1D" w:rsidRPr="00A472FC" w:rsidRDefault="00CD1BB4" w:rsidP="008816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Another significant departure concerns the entire second part of the work, which covers theological and moral topics and has no parallel in Anonymous Gauthier, which deals only with natural powers. We find a similar treatise at the end of John of La Rochelle’s </w:t>
      </w:r>
      <w:proofErr w:type="spellStart"/>
      <w:r w:rsidRPr="00A472FC">
        <w:rPr>
          <w:rFonts w:ascii="Times New Roman" w:hAnsi="Times New Roman" w:cs="Times New Roman"/>
          <w:i/>
          <w:lang w:val="en-US"/>
        </w:rPr>
        <w:lastRenderedPageBreak/>
        <w:t>Tractatus</w:t>
      </w:r>
      <w:proofErr w:type="spellEnd"/>
      <w:r w:rsidRPr="00A472FC">
        <w:rPr>
          <w:rFonts w:ascii="Times New Roman" w:hAnsi="Times New Roman" w:cs="Times New Roman"/>
          <w:lang w:val="en-US"/>
        </w:rPr>
        <w:t xml:space="preserve">. In this section, the author starts with a distinction between higher and lower reason, which is moved by sensuality, and a reference to </w:t>
      </w:r>
      <w:proofErr w:type="spellStart"/>
      <w:r w:rsidRPr="00A472FC">
        <w:rPr>
          <w:rFonts w:ascii="Times New Roman" w:hAnsi="Times New Roman" w:cs="Times New Roman"/>
          <w:i/>
          <w:lang w:val="en-US"/>
        </w:rPr>
        <w:t>synderesis</w:t>
      </w:r>
      <w:proofErr w:type="spellEnd"/>
      <w:r w:rsidRPr="00A472FC">
        <w:rPr>
          <w:rFonts w:ascii="Times New Roman" w:hAnsi="Times New Roman" w:cs="Times New Roman"/>
          <w:lang w:val="en-US"/>
        </w:rPr>
        <w:t xml:space="preserve">, which orders higher reason, as well as the irascible and </w:t>
      </w:r>
      <w:proofErr w:type="spellStart"/>
      <w:r w:rsidRPr="00A472FC">
        <w:rPr>
          <w:rFonts w:ascii="Times New Roman" w:hAnsi="Times New Roman" w:cs="Times New Roman"/>
          <w:lang w:val="en-US"/>
        </w:rPr>
        <w:t>concupiscible</w:t>
      </w:r>
      <w:proofErr w:type="spellEnd"/>
      <w:r w:rsidRPr="00A472FC">
        <w:rPr>
          <w:rFonts w:ascii="Times New Roman" w:hAnsi="Times New Roman" w:cs="Times New Roman"/>
          <w:lang w:val="en-US"/>
        </w:rPr>
        <w:t xml:space="preserve"> powers that are involved in the process.</w:t>
      </w:r>
      <w:r w:rsidRPr="00A472FC">
        <w:rPr>
          <w:rStyle w:val="FootnoteReference"/>
          <w:rFonts w:ascii="Times New Roman" w:hAnsi="Times New Roman" w:cs="Times New Roman"/>
          <w:lang w:val="en-US"/>
        </w:rPr>
        <w:footnoteReference w:id="187"/>
      </w:r>
      <w:r w:rsidRPr="00A472FC">
        <w:rPr>
          <w:rFonts w:ascii="Times New Roman" w:hAnsi="Times New Roman" w:cs="Times New Roman"/>
          <w:lang w:val="en-US"/>
        </w:rPr>
        <w:t xml:space="preserve"> He introduces the distinction between an innate, infused, or acquired habit which is picked up by Franciscans not least in the </w:t>
      </w:r>
      <w:r w:rsidRPr="00A472FC">
        <w:rPr>
          <w:rFonts w:ascii="Times New Roman" w:hAnsi="Times New Roman" w:cs="Times New Roman"/>
          <w:i/>
          <w:lang w:val="en-US"/>
        </w:rPr>
        <w:t xml:space="preserve">Summa </w:t>
      </w:r>
      <w:proofErr w:type="spellStart"/>
      <w:r w:rsidRPr="00A472FC">
        <w:rPr>
          <w:rFonts w:ascii="Times New Roman" w:hAnsi="Times New Roman" w:cs="Times New Roman"/>
          <w:i/>
          <w:lang w:val="en-US"/>
        </w:rPr>
        <w:t>Halensis</w:t>
      </w:r>
      <w:proofErr w:type="spellEnd"/>
      <w:r w:rsidRPr="00A472FC">
        <w:rPr>
          <w:rFonts w:ascii="Times New Roman" w:hAnsi="Times New Roman" w:cs="Times New Roman"/>
          <w:i/>
          <w:lang w:val="en-US"/>
        </w:rPr>
        <w:t>.</w:t>
      </w:r>
      <w:r w:rsidRPr="00A472FC">
        <w:rPr>
          <w:rStyle w:val="FootnoteReference"/>
          <w:rFonts w:ascii="Times New Roman" w:hAnsi="Times New Roman" w:cs="Times New Roman"/>
          <w:lang w:val="en-US"/>
        </w:rPr>
        <w:footnoteReference w:id="188"/>
      </w:r>
      <w:r w:rsidRPr="00A472FC">
        <w:rPr>
          <w:rFonts w:ascii="Times New Roman" w:hAnsi="Times New Roman" w:cs="Times New Roman"/>
          <w:lang w:val="en-US"/>
        </w:rPr>
        <w:t xml:space="preserve"> He then launches into a treatment of grace and the four cardinal and three theological virtues;</w:t>
      </w:r>
      <w:r w:rsidRPr="00A472FC">
        <w:rPr>
          <w:rStyle w:val="FootnoteReference"/>
          <w:rFonts w:ascii="Times New Roman" w:hAnsi="Times New Roman" w:cs="Times New Roman"/>
          <w:lang w:val="en-US"/>
        </w:rPr>
        <w:footnoteReference w:id="189"/>
      </w:r>
      <w:r w:rsidRPr="00A472FC">
        <w:rPr>
          <w:rFonts w:ascii="Times New Roman" w:hAnsi="Times New Roman" w:cs="Times New Roman"/>
          <w:lang w:val="en-US"/>
        </w:rPr>
        <w:t xml:space="preserve"> the spiritual gifts; the beatitudes, the fruits of the spirit, and so on. </w:t>
      </w:r>
    </w:p>
    <w:p w14:paraId="15680882" w14:textId="77777777" w:rsidR="00C50207" w:rsidRPr="00A472FC" w:rsidRDefault="00CD1BB4" w:rsidP="00556F1D">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There is also a distinction which will prove key to the opening section of the </w:t>
      </w:r>
      <w:r w:rsidRPr="00A472FC">
        <w:rPr>
          <w:rFonts w:ascii="Times New Roman" w:hAnsi="Times New Roman" w:cs="Times New Roman"/>
          <w:i/>
          <w:lang w:val="en-US"/>
        </w:rPr>
        <w:t xml:space="preserve">Summa </w:t>
      </w:r>
      <w:proofErr w:type="spellStart"/>
      <w:r w:rsidRPr="00A472FC">
        <w:rPr>
          <w:rFonts w:ascii="Times New Roman" w:hAnsi="Times New Roman" w:cs="Times New Roman"/>
          <w:i/>
          <w:lang w:val="en-US"/>
        </w:rPr>
        <w:t>Halensis</w:t>
      </w:r>
      <w:proofErr w:type="spellEnd"/>
      <w:r w:rsidRPr="00A472FC">
        <w:rPr>
          <w:rFonts w:ascii="Times New Roman" w:hAnsi="Times New Roman" w:cs="Times New Roman"/>
          <w:i/>
          <w:lang w:val="en-US"/>
        </w:rPr>
        <w:t xml:space="preserve"> </w:t>
      </w:r>
      <w:r w:rsidRPr="00A472FC">
        <w:rPr>
          <w:rFonts w:ascii="Times New Roman" w:hAnsi="Times New Roman" w:cs="Times New Roman"/>
          <w:lang w:val="en-US"/>
        </w:rPr>
        <w:t>which distinguishes between the modes of taste (</w:t>
      </w:r>
      <w:proofErr w:type="spellStart"/>
      <w:r w:rsidRPr="00A472FC">
        <w:rPr>
          <w:rFonts w:ascii="Times New Roman" w:hAnsi="Times New Roman" w:cs="Times New Roman"/>
          <w:i/>
          <w:lang w:val="en-US"/>
        </w:rPr>
        <w:t>gustus</w:t>
      </w:r>
      <w:proofErr w:type="spellEnd"/>
      <w:r w:rsidRPr="00A472FC">
        <w:rPr>
          <w:rFonts w:ascii="Times New Roman" w:hAnsi="Times New Roman" w:cs="Times New Roman"/>
          <w:lang w:val="en-US"/>
        </w:rPr>
        <w:t>) and vision (</w:t>
      </w:r>
      <w:proofErr w:type="spellStart"/>
      <w:r w:rsidRPr="00A472FC">
        <w:rPr>
          <w:rFonts w:ascii="Times New Roman" w:hAnsi="Times New Roman" w:cs="Times New Roman"/>
          <w:i/>
          <w:lang w:val="en-US"/>
        </w:rPr>
        <w:t>visus</w:t>
      </w:r>
      <w:proofErr w:type="spellEnd"/>
      <w:r w:rsidRPr="00A472FC">
        <w:rPr>
          <w:rFonts w:ascii="Times New Roman" w:hAnsi="Times New Roman" w:cs="Times New Roman"/>
          <w:lang w:val="en-US"/>
        </w:rPr>
        <w:t>). Wisdom comes through the former and understanding through the latter.</w:t>
      </w:r>
      <w:r w:rsidRPr="00A472FC">
        <w:rPr>
          <w:rStyle w:val="FootnoteReference"/>
          <w:rFonts w:ascii="Times New Roman" w:hAnsi="Times New Roman" w:cs="Times New Roman"/>
          <w:lang w:val="en-US"/>
        </w:rPr>
        <w:footnoteReference w:id="190"/>
      </w:r>
      <w:r w:rsidRPr="00A472FC">
        <w:rPr>
          <w:rFonts w:ascii="Times New Roman" w:hAnsi="Times New Roman" w:cs="Times New Roman"/>
          <w:lang w:val="en-US"/>
        </w:rPr>
        <w:t xml:space="preserve"> Thus the need for what the Summa, following this text, calls purity of heart (</w:t>
      </w:r>
      <w:proofErr w:type="spellStart"/>
      <w:r w:rsidRPr="00A472FC">
        <w:rPr>
          <w:rFonts w:ascii="Times New Roman" w:hAnsi="Times New Roman" w:cs="Times New Roman"/>
          <w:i/>
          <w:lang w:val="en-US"/>
        </w:rPr>
        <w:t>munditia</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cordis</w:t>
      </w:r>
      <w:proofErr w:type="spellEnd"/>
      <w:r w:rsidRPr="00A472FC">
        <w:rPr>
          <w:rFonts w:ascii="Times New Roman" w:hAnsi="Times New Roman" w:cs="Times New Roman"/>
          <w:lang w:val="en-US"/>
        </w:rPr>
        <w:t>), in a move that ultimately identifies the supreme encounter with God as an affective more than a cognitive experience.</w:t>
      </w:r>
      <w:r w:rsidRPr="00A472FC">
        <w:rPr>
          <w:rStyle w:val="FootnoteReference"/>
          <w:rFonts w:ascii="Times New Roman" w:hAnsi="Times New Roman" w:cs="Times New Roman"/>
          <w:lang w:val="en-US"/>
        </w:rPr>
        <w:footnoteReference w:id="191"/>
      </w:r>
      <w:r w:rsidR="00556F1D" w:rsidRPr="00A472FC">
        <w:rPr>
          <w:rFonts w:ascii="Times New Roman" w:hAnsi="Times New Roman" w:cs="Times New Roman"/>
          <w:lang w:val="en-US"/>
        </w:rPr>
        <w:t xml:space="preserve"> </w:t>
      </w:r>
      <w:r w:rsidRPr="00A472FC">
        <w:rPr>
          <w:rFonts w:ascii="Times New Roman" w:hAnsi="Times New Roman" w:cs="Times New Roman"/>
          <w:lang w:val="en-US"/>
        </w:rPr>
        <w:t xml:space="preserve">As Hasse has observed, ‘this treatise is one of the earliest examples of a </w:t>
      </w:r>
      <w:proofErr w:type="spellStart"/>
      <w:r w:rsidRPr="00A472FC">
        <w:rPr>
          <w:rFonts w:ascii="Times New Roman" w:hAnsi="Times New Roman" w:cs="Times New Roman"/>
          <w:i/>
          <w:lang w:val="en-US"/>
        </w:rPr>
        <w:t>divisio</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potentiae</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animalis</w:t>
      </w:r>
      <w:proofErr w:type="spellEnd"/>
      <w:r w:rsidRPr="00A472FC">
        <w:rPr>
          <w:rFonts w:ascii="Times New Roman" w:hAnsi="Times New Roman" w:cs="Times New Roman"/>
          <w:i/>
          <w:lang w:val="en-US"/>
        </w:rPr>
        <w:t xml:space="preserve">' </w:t>
      </w:r>
      <w:r w:rsidRPr="00A472FC">
        <w:rPr>
          <w:rFonts w:ascii="Times New Roman" w:hAnsi="Times New Roman" w:cs="Times New Roman"/>
          <w:lang w:val="en-US"/>
        </w:rPr>
        <w:t xml:space="preserve">(or </w:t>
      </w:r>
      <w:proofErr w:type="spellStart"/>
      <w:r w:rsidRPr="00A472FC">
        <w:rPr>
          <w:rFonts w:ascii="Times New Roman" w:hAnsi="Times New Roman" w:cs="Times New Roman"/>
          <w:i/>
          <w:lang w:val="en-US"/>
        </w:rPr>
        <w:t>animae</w:t>
      </w:r>
      <w:proofErr w:type="spellEnd"/>
      <w:r w:rsidRPr="00A472FC">
        <w:rPr>
          <w:rFonts w:ascii="Times New Roman" w:hAnsi="Times New Roman" w:cs="Times New Roman"/>
          <w:lang w:val="en-US"/>
        </w:rPr>
        <w:t xml:space="preserve">) which appears in later theologians such as Jean de la Rochelle…the </w:t>
      </w:r>
      <w:proofErr w:type="spellStart"/>
      <w:r w:rsidRPr="00A472FC">
        <w:rPr>
          <w:rFonts w:ascii="Times New Roman" w:hAnsi="Times New Roman" w:cs="Times New Roman"/>
          <w:i/>
          <w:lang w:val="en-US"/>
        </w:rPr>
        <w:t>Alexandri</w:t>
      </w:r>
      <w:proofErr w:type="spellEnd"/>
      <w:r w:rsidRPr="00A472FC">
        <w:rPr>
          <w:rFonts w:ascii="Times New Roman" w:hAnsi="Times New Roman" w:cs="Times New Roman"/>
          <w:lang w:val="en-US"/>
        </w:rPr>
        <w:t xml:space="preserve"> and </w:t>
      </w:r>
      <w:proofErr w:type="spellStart"/>
      <w:r w:rsidRPr="00A472FC">
        <w:rPr>
          <w:rFonts w:ascii="Times New Roman" w:hAnsi="Times New Roman" w:cs="Times New Roman"/>
          <w:lang w:val="en-US"/>
        </w:rPr>
        <w:t>Albertus</w:t>
      </w:r>
      <w:proofErr w:type="spellEnd"/>
      <w:r w:rsidRPr="00A472FC">
        <w:rPr>
          <w:rFonts w:ascii="Times New Roman" w:hAnsi="Times New Roman" w:cs="Times New Roman"/>
          <w:lang w:val="en-US"/>
        </w:rPr>
        <w:t xml:space="preserve"> Magnus; it has been shown, in fact, that Jean de la Rochelle's </w:t>
      </w:r>
      <w:proofErr w:type="spellStart"/>
      <w:r w:rsidRPr="00A472FC">
        <w:rPr>
          <w:rFonts w:ascii="Times New Roman" w:hAnsi="Times New Roman" w:cs="Times New Roman"/>
          <w:i/>
          <w:lang w:val="en-US"/>
        </w:rPr>
        <w:t>Tractatus</w:t>
      </w:r>
      <w:proofErr w:type="spellEnd"/>
      <w:r w:rsidRPr="00A472FC">
        <w:rPr>
          <w:rFonts w:ascii="Times New Roman" w:hAnsi="Times New Roman" w:cs="Times New Roman"/>
          <w:lang w:val="en-US"/>
        </w:rPr>
        <w:t xml:space="preserve"> quotes our author.’</w:t>
      </w:r>
      <w:r w:rsidRPr="00A472FC">
        <w:rPr>
          <w:rStyle w:val="FootnoteReference"/>
          <w:rFonts w:ascii="Times New Roman" w:hAnsi="Times New Roman" w:cs="Times New Roman"/>
          <w:lang w:val="en-US"/>
        </w:rPr>
        <w:footnoteReference w:id="192"/>
      </w:r>
      <w:r w:rsidRPr="00A472FC">
        <w:rPr>
          <w:rFonts w:ascii="Times New Roman" w:hAnsi="Times New Roman" w:cs="Times New Roman"/>
          <w:lang w:val="en-US"/>
        </w:rPr>
        <w:t xml:space="preserve"> </w:t>
      </w:r>
    </w:p>
    <w:p w14:paraId="0A958428" w14:textId="49811732" w:rsidR="00CD1BB4" w:rsidRPr="00A472FC" w:rsidRDefault="00CD1BB4" w:rsidP="00B16E77">
      <w:pPr>
        <w:autoSpaceDE w:val="0"/>
        <w:autoSpaceDN w:val="0"/>
        <w:adjustRightInd w:val="0"/>
        <w:ind w:right="-52" w:firstLine="720"/>
        <w:rPr>
          <w:rFonts w:ascii="Times New Roman" w:hAnsi="Times New Roman" w:cs="Times New Roman"/>
          <w:lang w:val="en-US"/>
        </w:rPr>
        <w:sectPr w:rsidR="00CD1BB4" w:rsidRPr="00A472FC" w:rsidSect="005E7FD0">
          <w:endnotePr>
            <w:numRestart w:val="eachSect"/>
          </w:endnotePr>
          <w:type w:val="oddPage"/>
          <w:pgSz w:w="11900" w:h="16840"/>
          <w:pgMar w:top="1440" w:right="1440" w:bottom="1440" w:left="1440" w:header="720" w:footer="720" w:gutter="0"/>
          <w:cols w:space="720"/>
          <w:docGrid w:linePitch="360"/>
        </w:sectPr>
      </w:pPr>
      <w:r w:rsidRPr="00A472FC">
        <w:rPr>
          <w:rFonts w:ascii="Times New Roman" w:hAnsi="Times New Roman" w:cs="Times New Roman"/>
          <w:lang w:val="en-US"/>
        </w:rPr>
        <w:t>In his edition, however, Callus observes that John’s quotations from the text are either borrowed without acknowledgement or noted under the name of anonymous ‘</w:t>
      </w:r>
      <w:proofErr w:type="spellStart"/>
      <w:r w:rsidRPr="00A472FC">
        <w:rPr>
          <w:rFonts w:ascii="Times New Roman" w:hAnsi="Times New Roman" w:cs="Times New Roman"/>
          <w:lang w:val="en-US"/>
        </w:rPr>
        <w:t>alii</w:t>
      </w:r>
      <w:proofErr w:type="spellEnd"/>
      <w:r w:rsidRPr="00A472FC">
        <w:rPr>
          <w:rFonts w:ascii="Times New Roman" w:hAnsi="Times New Roman" w:cs="Times New Roman"/>
          <w:lang w:val="en-US"/>
        </w:rPr>
        <w:t xml:space="preserve">’ (others), and they are more numerous in the </w:t>
      </w:r>
      <w:r w:rsidRPr="00A472FC">
        <w:rPr>
          <w:rFonts w:ascii="Times New Roman" w:hAnsi="Times New Roman" w:cs="Times New Roman"/>
          <w:i/>
          <w:lang w:val="en-US"/>
        </w:rPr>
        <w:t xml:space="preserve">Summa de anima </w:t>
      </w:r>
      <w:r w:rsidRPr="00A472FC">
        <w:rPr>
          <w:rFonts w:ascii="Times New Roman" w:hAnsi="Times New Roman" w:cs="Times New Roman"/>
          <w:lang w:val="en-US"/>
        </w:rPr>
        <w:t xml:space="preserve">than in the </w:t>
      </w:r>
      <w:proofErr w:type="spellStart"/>
      <w:r w:rsidRPr="00A472FC">
        <w:rPr>
          <w:rFonts w:ascii="Times New Roman" w:hAnsi="Times New Roman" w:cs="Times New Roman"/>
          <w:i/>
          <w:lang w:val="en-US"/>
        </w:rPr>
        <w:t>Tractatus</w:t>
      </w:r>
      <w:proofErr w:type="spellEnd"/>
      <w:r w:rsidRPr="00A472FC">
        <w:rPr>
          <w:rFonts w:ascii="Times New Roman" w:hAnsi="Times New Roman" w:cs="Times New Roman"/>
          <w:lang w:val="en-US"/>
        </w:rPr>
        <w:t>. ‘</w:t>
      </w:r>
      <w:r w:rsidRPr="00A472FC">
        <w:rPr>
          <w:rFonts w:ascii="Times New Roman" w:hAnsi="Times New Roman" w:cs="Times New Roman"/>
        </w:rPr>
        <w:t>The extreme literalness with which he handles his source shows that he had a copy before him.’</w:t>
      </w:r>
      <w:r w:rsidRPr="00A472FC">
        <w:rPr>
          <w:rStyle w:val="FootnoteReference"/>
          <w:rFonts w:ascii="Times New Roman" w:hAnsi="Times New Roman" w:cs="Times New Roman"/>
        </w:rPr>
        <w:footnoteReference w:id="193"/>
      </w:r>
      <w:r w:rsidRPr="00A472FC">
        <w:rPr>
          <w:rFonts w:ascii="Times New Roman" w:hAnsi="Times New Roman" w:cs="Times New Roman"/>
          <w:lang w:val="en-US"/>
        </w:rPr>
        <w:t xml:space="preserve"> This brings us to John of La Rochelle himself, whose importance lies in the fact that he was the first Latin author to undertake a full-scale appropriation of Avicenna’s psychology. </w:t>
      </w:r>
      <w:r w:rsidR="00D10369" w:rsidRPr="00A472FC">
        <w:rPr>
          <w:rFonts w:ascii="Times New Roman" w:hAnsi="Times New Roman" w:cs="Times New Roman"/>
        </w:rPr>
        <w:t xml:space="preserve">One might even go further to suggest that his purpose </w:t>
      </w:r>
      <w:r w:rsidR="0070230D" w:rsidRPr="00A472FC">
        <w:rPr>
          <w:rFonts w:ascii="Times New Roman" w:hAnsi="Times New Roman" w:cs="Times New Roman"/>
        </w:rPr>
        <w:t xml:space="preserve">in writing </w:t>
      </w:r>
      <w:r w:rsidR="00D10369" w:rsidRPr="00A472FC">
        <w:rPr>
          <w:rFonts w:ascii="Times New Roman" w:hAnsi="Times New Roman" w:cs="Times New Roman"/>
        </w:rPr>
        <w:t xml:space="preserve">was to provide a Christian counterpart to the theory of the soul found in Avicenna’s </w:t>
      </w:r>
      <w:r w:rsidR="00D10369" w:rsidRPr="00A472FC">
        <w:rPr>
          <w:rFonts w:ascii="Times New Roman" w:hAnsi="Times New Roman" w:cs="Times New Roman"/>
          <w:i/>
        </w:rPr>
        <w:t xml:space="preserve">De anima. </w:t>
      </w:r>
      <w:r w:rsidRPr="00A472FC">
        <w:rPr>
          <w:rFonts w:ascii="Times New Roman" w:hAnsi="Times New Roman" w:cs="Times New Roman"/>
          <w:lang w:val="en-US"/>
        </w:rPr>
        <w:t xml:space="preserve">This </w:t>
      </w:r>
      <w:r w:rsidR="00D10369" w:rsidRPr="00A472FC">
        <w:rPr>
          <w:rFonts w:ascii="Times New Roman" w:hAnsi="Times New Roman" w:cs="Times New Roman"/>
          <w:lang w:val="en-US"/>
        </w:rPr>
        <w:t xml:space="preserve">account </w:t>
      </w:r>
      <w:r w:rsidRPr="00A472FC">
        <w:rPr>
          <w:rFonts w:ascii="Times New Roman" w:hAnsi="Times New Roman" w:cs="Times New Roman"/>
          <w:lang w:val="en-US"/>
        </w:rPr>
        <w:t>also benefitted from all the other intellectual currents mentioned above, which happened to converge at the time he was writing.</w:t>
      </w:r>
      <w:r w:rsidRPr="00A472FC">
        <w:rPr>
          <w:rFonts w:ascii="Times New Roman" w:hAnsi="Times New Roman" w:cs="Times New Roman"/>
        </w:rPr>
        <w:t xml:space="preserve"> Thus it is with good reason that numerous authors, including Callus, Brady and </w:t>
      </w:r>
      <w:proofErr w:type="spellStart"/>
      <w:r w:rsidRPr="00A472FC">
        <w:rPr>
          <w:rFonts w:ascii="Times New Roman" w:hAnsi="Times New Roman" w:cs="Times New Roman"/>
        </w:rPr>
        <w:t>Michaud-Quantin</w:t>
      </w:r>
      <w:proofErr w:type="spellEnd"/>
      <w:r w:rsidRPr="00A472FC">
        <w:rPr>
          <w:rFonts w:ascii="Times New Roman" w:hAnsi="Times New Roman" w:cs="Times New Roman"/>
        </w:rPr>
        <w:t>, have reached the conclusion ‘that John of La Rochelle was the first to give a systematic classification of the powers of the soul’</w:t>
      </w:r>
      <w:r w:rsidRPr="00A472FC">
        <w:rPr>
          <w:rStyle w:val="FootnoteReference"/>
          <w:rFonts w:ascii="Times New Roman" w:hAnsi="Times New Roman" w:cs="Times New Roman"/>
        </w:rPr>
        <w:footnoteReference w:id="194"/>
      </w:r>
      <w:r w:rsidRPr="00A472FC">
        <w:rPr>
          <w:rFonts w:ascii="Times New Roman" w:hAnsi="Times New Roman" w:cs="Times New Roman"/>
        </w:rPr>
        <w:t xml:space="preserve"> </w:t>
      </w:r>
      <w:r w:rsidR="00DE756B" w:rsidRPr="00A472FC">
        <w:rPr>
          <w:rFonts w:ascii="Times New Roman" w:hAnsi="Times New Roman" w:cs="Times New Roman"/>
        </w:rPr>
        <w:t xml:space="preserve"> </w:t>
      </w:r>
    </w:p>
    <w:p w14:paraId="40B9D9D7" w14:textId="77777777" w:rsidR="00CD1BB4" w:rsidRPr="00A472FC" w:rsidRDefault="00CD1BB4" w:rsidP="00881604">
      <w:pPr>
        <w:autoSpaceDE w:val="0"/>
        <w:autoSpaceDN w:val="0"/>
        <w:adjustRightInd w:val="0"/>
        <w:ind w:right="-52"/>
        <w:rPr>
          <w:rFonts w:ascii="Times New Roman" w:hAnsi="Times New Roman" w:cs="Times New Roman"/>
          <w:b/>
          <w:color w:val="000000"/>
          <w:lang w:val="en-US"/>
        </w:rPr>
        <w:sectPr w:rsidR="00CD1BB4" w:rsidRPr="00A472FC" w:rsidSect="005E7FD0">
          <w:footerReference w:type="even" r:id="rId10"/>
          <w:footerReference w:type="default" r:id="rId11"/>
          <w:type w:val="continuous"/>
          <w:pgSz w:w="11900" w:h="16840"/>
          <w:pgMar w:top="1440" w:right="1440" w:bottom="1440" w:left="1440" w:header="720" w:footer="720" w:gutter="0"/>
          <w:cols w:space="720"/>
          <w:docGrid w:linePitch="360"/>
        </w:sectPr>
      </w:pPr>
    </w:p>
    <w:p w14:paraId="0EEB8400" w14:textId="0252E222" w:rsidR="00CD1BB4" w:rsidRPr="00A472FC" w:rsidRDefault="00CD1BB4" w:rsidP="00881604">
      <w:pPr>
        <w:autoSpaceDE w:val="0"/>
        <w:autoSpaceDN w:val="0"/>
        <w:adjustRightInd w:val="0"/>
        <w:ind w:right="-52"/>
        <w:rPr>
          <w:rFonts w:ascii="Times New Roman" w:hAnsi="Times New Roman" w:cs="Times New Roman"/>
          <w:b/>
          <w:color w:val="000000"/>
          <w:lang w:val="en-US"/>
        </w:rPr>
      </w:pPr>
      <w:r w:rsidRPr="00A472FC">
        <w:rPr>
          <w:rFonts w:ascii="Times New Roman" w:hAnsi="Times New Roman" w:cs="Times New Roman"/>
          <w:b/>
          <w:color w:val="000000"/>
          <w:lang w:val="en-US"/>
        </w:rPr>
        <w:lastRenderedPageBreak/>
        <w:t>2. Theological Background: Early Masters at the University of Paris</w:t>
      </w:r>
    </w:p>
    <w:p w14:paraId="775900EE" w14:textId="77777777" w:rsidR="003F094C" w:rsidRPr="00A472FC" w:rsidRDefault="003F094C" w:rsidP="004A1985">
      <w:pPr>
        <w:autoSpaceDE w:val="0"/>
        <w:autoSpaceDN w:val="0"/>
        <w:adjustRightInd w:val="0"/>
        <w:ind w:right="-52"/>
        <w:rPr>
          <w:rFonts w:ascii="Times New Roman" w:hAnsi="Times New Roman" w:cs="Times New Roman"/>
        </w:rPr>
      </w:pPr>
    </w:p>
    <w:p w14:paraId="0DFCCE3C" w14:textId="621980DD" w:rsidR="00694183" w:rsidRPr="00A472FC" w:rsidRDefault="00077636" w:rsidP="00FE3BFD">
      <w:pPr>
        <w:autoSpaceDE w:val="0"/>
        <w:autoSpaceDN w:val="0"/>
        <w:adjustRightInd w:val="0"/>
        <w:ind w:right="-52" w:firstLine="720"/>
        <w:rPr>
          <w:rFonts w:ascii="Times New Roman" w:hAnsi="Times New Roman" w:cs="Times New Roman"/>
          <w:lang w:val="en-US"/>
        </w:rPr>
      </w:pPr>
      <w:r>
        <w:rPr>
          <w:rFonts w:ascii="Times New Roman" w:hAnsi="Times New Roman" w:cs="Times New Roman"/>
        </w:rPr>
        <w:t xml:space="preserve">In </w:t>
      </w:r>
      <w:r w:rsidR="00BB5AFE" w:rsidRPr="00A472FC">
        <w:rPr>
          <w:rFonts w:ascii="Times New Roman" w:hAnsi="Times New Roman" w:cs="Times New Roman"/>
        </w:rPr>
        <w:t xml:space="preserve">the famous encyclical </w:t>
      </w:r>
      <w:proofErr w:type="spellStart"/>
      <w:r w:rsidR="00BB5AFE" w:rsidRPr="00A472FC">
        <w:rPr>
          <w:rFonts w:ascii="Times New Roman" w:hAnsi="Times New Roman" w:cs="Times New Roman"/>
          <w:i/>
          <w:iCs/>
        </w:rPr>
        <w:t>Aeterni</w:t>
      </w:r>
      <w:proofErr w:type="spellEnd"/>
      <w:r w:rsidR="00BB5AFE" w:rsidRPr="00A472FC">
        <w:rPr>
          <w:rFonts w:ascii="Times New Roman" w:hAnsi="Times New Roman" w:cs="Times New Roman"/>
          <w:i/>
          <w:iCs/>
        </w:rPr>
        <w:t xml:space="preserve"> </w:t>
      </w:r>
      <w:proofErr w:type="spellStart"/>
      <w:r w:rsidR="00BB5AFE" w:rsidRPr="00A472FC">
        <w:rPr>
          <w:rFonts w:ascii="Times New Roman" w:hAnsi="Times New Roman" w:cs="Times New Roman"/>
          <w:i/>
          <w:iCs/>
        </w:rPr>
        <w:t>Patris</w:t>
      </w:r>
      <w:proofErr w:type="spellEnd"/>
      <w:r w:rsidR="00BB5AFE" w:rsidRPr="00A472FC">
        <w:rPr>
          <w:rFonts w:ascii="Times New Roman" w:hAnsi="Times New Roman" w:cs="Times New Roman"/>
          <w:i/>
          <w:iCs/>
        </w:rPr>
        <w:t xml:space="preserve"> </w:t>
      </w:r>
      <w:r w:rsidR="00BB5AFE" w:rsidRPr="00A472FC">
        <w:rPr>
          <w:rFonts w:ascii="Times New Roman" w:hAnsi="Times New Roman" w:cs="Times New Roman"/>
        </w:rPr>
        <w:t xml:space="preserve">of 1879, Pope Leo XIII summoned </w:t>
      </w:r>
      <w:r w:rsidR="00BB5AFE" w:rsidRPr="00A472FC">
        <w:rPr>
          <w:rFonts w:ascii="Times New Roman" w:hAnsi="Times New Roman" w:cs="Times New Roman"/>
          <w:lang w:val="en-US"/>
        </w:rPr>
        <w:t xml:space="preserve">Catholic scholars to </w:t>
      </w:r>
      <w:r>
        <w:rPr>
          <w:rFonts w:ascii="Times New Roman" w:hAnsi="Times New Roman" w:cs="Times New Roman"/>
          <w:lang w:val="en-US"/>
        </w:rPr>
        <w:t xml:space="preserve">engage in </w:t>
      </w:r>
      <w:r w:rsidR="00920056">
        <w:rPr>
          <w:rFonts w:ascii="Times New Roman" w:hAnsi="Times New Roman" w:cs="Times New Roman"/>
          <w:lang w:val="en-US"/>
        </w:rPr>
        <w:t>a new wave of research on the history of medieval thought</w:t>
      </w:r>
      <w:r>
        <w:rPr>
          <w:rFonts w:ascii="Times New Roman" w:hAnsi="Times New Roman" w:cs="Times New Roman"/>
          <w:lang w:val="en-US"/>
        </w:rPr>
        <w:t>,</w:t>
      </w:r>
      <w:r w:rsidR="001100B9">
        <w:rPr>
          <w:rFonts w:ascii="Times New Roman" w:hAnsi="Times New Roman" w:cs="Times New Roman"/>
          <w:lang w:val="en-US"/>
        </w:rPr>
        <w:t xml:space="preserve"> in order to</w:t>
      </w:r>
      <w:r>
        <w:rPr>
          <w:rFonts w:ascii="Times New Roman" w:hAnsi="Times New Roman" w:cs="Times New Roman"/>
          <w:lang w:val="en-US"/>
        </w:rPr>
        <w:t xml:space="preserve"> </w:t>
      </w:r>
      <w:r w:rsidR="00BB5AFE" w:rsidRPr="00A472FC">
        <w:rPr>
          <w:rFonts w:ascii="Times New Roman" w:hAnsi="Times New Roman" w:cs="Times New Roman"/>
          <w:lang w:val="en-US"/>
        </w:rPr>
        <w:t xml:space="preserve">recover the philosophical resources that </w:t>
      </w:r>
      <w:r w:rsidR="001100B9">
        <w:rPr>
          <w:rFonts w:ascii="Times New Roman" w:hAnsi="Times New Roman" w:cs="Times New Roman"/>
          <w:lang w:val="en-US"/>
        </w:rPr>
        <w:t>scholars from this period</w:t>
      </w:r>
      <w:r w:rsidR="00BB5AFE" w:rsidRPr="00A472FC">
        <w:rPr>
          <w:rFonts w:ascii="Times New Roman" w:hAnsi="Times New Roman" w:cs="Times New Roman"/>
          <w:lang w:val="en-US"/>
        </w:rPr>
        <w:t xml:space="preserve"> had to offer for the purpose of mounting a defense of the faith in the face of the rising threat of secularism.</w:t>
      </w:r>
      <w:r w:rsidR="00BB5AFE" w:rsidRPr="00A472FC">
        <w:rPr>
          <w:rStyle w:val="FootnoteReference"/>
          <w:rFonts w:ascii="Times New Roman" w:hAnsi="Times New Roman" w:cs="Times New Roman"/>
          <w:lang w:val="en-US"/>
        </w:rPr>
        <w:footnoteReference w:id="195"/>
      </w:r>
      <w:r w:rsidR="00BB5AFE" w:rsidRPr="00A472FC">
        <w:rPr>
          <w:rFonts w:ascii="Times New Roman" w:hAnsi="Times New Roman" w:cs="Times New Roman"/>
          <w:lang w:val="en-US"/>
        </w:rPr>
        <w:t xml:space="preserve"> </w:t>
      </w:r>
      <w:r w:rsidR="009815FF" w:rsidRPr="00A472FC">
        <w:rPr>
          <w:rFonts w:ascii="Times New Roman" w:hAnsi="Times New Roman" w:cs="Times New Roman"/>
          <w:lang w:val="en-US"/>
        </w:rPr>
        <w:t>This</w:t>
      </w:r>
      <w:r w:rsidR="00BB5AFE" w:rsidRPr="00A472FC">
        <w:rPr>
          <w:rFonts w:ascii="Times New Roman" w:hAnsi="Times New Roman" w:cs="Times New Roman"/>
          <w:lang w:val="en-US"/>
        </w:rPr>
        <w:t xml:space="preserve"> call initially inspired scholarship focused mainly on </w:t>
      </w:r>
      <w:r w:rsidR="00837CAD" w:rsidRPr="00A472FC">
        <w:rPr>
          <w:rFonts w:ascii="Times New Roman" w:hAnsi="Times New Roman" w:cs="Times New Roman"/>
          <w:lang w:val="en-US"/>
        </w:rPr>
        <w:t xml:space="preserve">Thomas </w:t>
      </w:r>
      <w:r w:rsidR="00BB5AFE" w:rsidRPr="00A472FC">
        <w:rPr>
          <w:rFonts w:ascii="Times New Roman" w:hAnsi="Times New Roman" w:cs="Times New Roman"/>
          <w:lang w:val="en-US"/>
        </w:rPr>
        <w:t>Aquinas</w:t>
      </w:r>
      <w:r w:rsidR="00CC233F" w:rsidRPr="00A472FC">
        <w:rPr>
          <w:rFonts w:ascii="Times New Roman" w:hAnsi="Times New Roman" w:cs="Times New Roman"/>
          <w:lang w:val="en-US"/>
        </w:rPr>
        <w:t xml:space="preserve">, who was perceived as the best resource for combating </w:t>
      </w:r>
      <w:r w:rsidR="006367CC" w:rsidRPr="00A472FC">
        <w:rPr>
          <w:rFonts w:ascii="Times New Roman" w:hAnsi="Times New Roman" w:cs="Times New Roman"/>
          <w:lang w:val="en-US"/>
        </w:rPr>
        <w:t xml:space="preserve">modern </w:t>
      </w:r>
      <w:r w:rsidR="002F1FED" w:rsidRPr="00A472FC">
        <w:rPr>
          <w:rFonts w:ascii="Times New Roman" w:hAnsi="Times New Roman" w:cs="Times New Roman"/>
          <w:lang w:val="en-US"/>
        </w:rPr>
        <w:t xml:space="preserve">intellectual </w:t>
      </w:r>
      <w:r w:rsidR="006367CC" w:rsidRPr="00A472FC">
        <w:rPr>
          <w:rFonts w:ascii="Times New Roman" w:hAnsi="Times New Roman" w:cs="Times New Roman"/>
          <w:lang w:val="en-US"/>
        </w:rPr>
        <w:t>trends</w:t>
      </w:r>
      <w:r w:rsidR="00687D05">
        <w:rPr>
          <w:rFonts w:ascii="Times New Roman" w:hAnsi="Times New Roman" w:cs="Times New Roman"/>
          <w:lang w:val="en-US"/>
        </w:rPr>
        <w:t xml:space="preserve"> and remains perhaps the best studied medieval thinker to </w:t>
      </w:r>
      <w:r w:rsidR="00CA6AA3">
        <w:rPr>
          <w:rFonts w:ascii="Times New Roman" w:hAnsi="Times New Roman" w:cs="Times New Roman"/>
          <w:lang w:val="en-US"/>
        </w:rPr>
        <w:t>this day</w:t>
      </w:r>
      <w:r w:rsidR="002839DC" w:rsidRPr="00A472FC">
        <w:rPr>
          <w:rFonts w:ascii="Times New Roman" w:hAnsi="Times New Roman" w:cs="Times New Roman"/>
          <w:lang w:val="en-US"/>
        </w:rPr>
        <w:t xml:space="preserve">. </w:t>
      </w:r>
      <w:r w:rsidR="001A32CB">
        <w:rPr>
          <w:rFonts w:ascii="Times New Roman" w:hAnsi="Times New Roman" w:cs="Times New Roman"/>
          <w:lang w:val="en-US"/>
        </w:rPr>
        <w:t>However,</w:t>
      </w:r>
      <w:r w:rsidR="0041511D">
        <w:rPr>
          <w:rFonts w:ascii="Times New Roman" w:hAnsi="Times New Roman" w:cs="Times New Roman"/>
          <w:lang w:val="en-US"/>
        </w:rPr>
        <w:t xml:space="preserve"> </w:t>
      </w:r>
      <w:r w:rsidR="00CA6AA3">
        <w:rPr>
          <w:rFonts w:ascii="Times New Roman" w:hAnsi="Times New Roman" w:cs="Times New Roman"/>
          <w:lang w:val="en-US"/>
        </w:rPr>
        <w:t>the encyclical</w:t>
      </w:r>
      <w:r w:rsidR="0041511D">
        <w:rPr>
          <w:rFonts w:ascii="Times New Roman" w:hAnsi="Times New Roman" w:cs="Times New Roman"/>
          <w:lang w:val="en-US"/>
        </w:rPr>
        <w:t xml:space="preserve"> also </w:t>
      </w:r>
      <w:r w:rsidR="00B4205C">
        <w:rPr>
          <w:rFonts w:ascii="Times New Roman" w:hAnsi="Times New Roman" w:cs="Times New Roman"/>
          <w:lang w:val="en-US"/>
        </w:rPr>
        <w:t>revitalized</w:t>
      </w:r>
      <w:r w:rsidR="002839DC" w:rsidRPr="00A472FC">
        <w:rPr>
          <w:rFonts w:ascii="Times New Roman" w:hAnsi="Times New Roman" w:cs="Times New Roman"/>
          <w:lang w:val="en-US"/>
        </w:rPr>
        <w:t xml:space="preserve"> research on</w:t>
      </w:r>
      <w:r w:rsidR="00CC233F" w:rsidRPr="00A472FC">
        <w:rPr>
          <w:rFonts w:ascii="Times New Roman" w:hAnsi="Times New Roman" w:cs="Times New Roman"/>
          <w:lang w:val="en-US"/>
        </w:rPr>
        <w:t xml:space="preserve"> </w:t>
      </w:r>
      <w:r w:rsidR="000F1E33">
        <w:rPr>
          <w:rFonts w:ascii="Times New Roman" w:hAnsi="Times New Roman" w:cs="Times New Roman"/>
          <w:lang w:val="en-US"/>
        </w:rPr>
        <w:t>other</w:t>
      </w:r>
      <w:r w:rsidR="005704C8">
        <w:rPr>
          <w:rFonts w:ascii="Times New Roman" w:hAnsi="Times New Roman" w:cs="Times New Roman"/>
          <w:lang w:val="en-US"/>
        </w:rPr>
        <w:t xml:space="preserve"> </w:t>
      </w:r>
      <w:r w:rsidR="000F1E33">
        <w:rPr>
          <w:rFonts w:ascii="Times New Roman" w:hAnsi="Times New Roman" w:cs="Times New Roman"/>
          <w:lang w:val="en-US"/>
        </w:rPr>
        <w:t>key</w:t>
      </w:r>
      <w:r w:rsidR="00FE3BFD">
        <w:rPr>
          <w:rFonts w:ascii="Times New Roman" w:hAnsi="Times New Roman" w:cs="Times New Roman"/>
          <w:lang w:val="en-US"/>
        </w:rPr>
        <w:t xml:space="preserve"> </w:t>
      </w:r>
      <w:r w:rsidR="004F0F47">
        <w:rPr>
          <w:rFonts w:ascii="Times New Roman" w:hAnsi="Times New Roman" w:cs="Times New Roman"/>
          <w:lang w:val="en-US"/>
        </w:rPr>
        <w:t>thinkers</w:t>
      </w:r>
      <w:r w:rsidR="00FE3BFD">
        <w:rPr>
          <w:rFonts w:ascii="Times New Roman" w:hAnsi="Times New Roman" w:cs="Times New Roman"/>
          <w:lang w:val="en-US"/>
        </w:rPr>
        <w:t xml:space="preserve"> of</w:t>
      </w:r>
      <w:r w:rsidR="00CC233F" w:rsidRPr="00A472FC">
        <w:rPr>
          <w:rFonts w:ascii="Times New Roman" w:hAnsi="Times New Roman" w:cs="Times New Roman"/>
          <w:lang w:val="en-US"/>
        </w:rPr>
        <w:t xml:space="preserve"> the</w:t>
      </w:r>
      <w:r w:rsidR="0041511D">
        <w:rPr>
          <w:rFonts w:ascii="Times New Roman" w:hAnsi="Times New Roman" w:cs="Times New Roman"/>
          <w:lang w:val="en-US"/>
        </w:rPr>
        <w:t xml:space="preserve"> </w:t>
      </w:r>
      <w:r w:rsidR="00CC233F" w:rsidRPr="00A472FC">
        <w:rPr>
          <w:rFonts w:ascii="Times New Roman" w:hAnsi="Times New Roman" w:cs="Times New Roman"/>
          <w:lang w:val="en-US"/>
        </w:rPr>
        <w:t>period, such as Bonaventure and Duns Scotus</w:t>
      </w:r>
      <w:r w:rsidR="006B31C7" w:rsidRPr="00A472FC">
        <w:rPr>
          <w:rFonts w:ascii="Times New Roman" w:hAnsi="Times New Roman" w:cs="Times New Roman"/>
          <w:lang w:val="en-US"/>
        </w:rPr>
        <w:t xml:space="preserve">, whose works were prepared in major critical editions. </w:t>
      </w:r>
    </w:p>
    <w:p w14:paraId="79DD3C98" w14:textId="7C38CE22" w:rsidR="000474D5" w:rsidRPr="00736320" w:rsidRDefault="00DA7C46" w:rsidP="00736320">
      <w:pPr>
        <w:autoSpaceDE w:val="0"/>
        <w:autoSpaceDN w:val="0"/>
        <w:adjustRightInd w:val="0"/>
        <w:ind w:right="-52" w:firstLine="720"/>
        <w:rPr>
          <w:rFonts w:ascii="Times New Roman" w:hAnsi="Times New Roman" w:cs="Times New Roman"/>
          <w:lang w:val="en-US"/>
        </w:rPr>
      </w:pPr>
      <w:r>
        <w:rPr>
          <w:rFonts w:ascii="Times New Roman" w:hAnsi="Times New Roman" w:cs="Times New Roman"/>
          <w:lang w:val="en-US"/>
        </w:rPr>
        <w:t xml:space="preserve">In due course, </w:t>
      </w:r>
      <w:r w:rsidR="00FE3BFD">
        <w:rPr>
          <w:rFonts w:ascii="Times New Roman" w:hAnsi="Times New Roman" w:cs="Times New Roman"/>
          <w:lang w:val="en-US"/>
        </w:rPr>
        <w:t>scholars</w:t>
      </w:r>
      <w:r w:rsidR="00230FDB">
        <w:rPr>
          <w:rFonts w:ascii="Times New Roman" w:hAnsi="Times New Roman" w:cs="Times New Roman"/>
          <w:lang w:val="en-US"/>
        </w:rPr>
        <w:t xml:space="preserve"> </w:t>
      </w:r>
      <w:r w:rsidR="00082C44">
        <w:rPr>
          <w:rFonts w:ascii="Times New Roman" w:hAnsi="Times New Roman" w:cs="Times New Roman"/>
          <w:lang w:val="en-US"/>
        </w:rPr>
        <w:t xml:space="preserve">also </w:t>
      </w:r>
      <w:r w:rsidR="00FE3BFD">
        <w:rPr>
          <w:rFonts w:ascii="Times New Roman" w:hAnsi="Times New Roman" w:cs="Times New Roman"/>
          <w:lang w:val="en-US"/>
        </w:rPr>
        <w:t xml:space="preserve">turned their attention to the currents of </w:t>
      </w:r>
      <w:r w:rsidR="00082C44">
        <w:rPr>
          <w:rFonts w:ascii="Times New Roman" w:hAnsi="Times New Roman" w:cs="Times New Roman"/>
          <w:lang w:val="en-US"/>
        </w:rPr>
        <w:t>thought</w:t>
      </w:r>
      <w:r w:rsidR="00FE3BFD">
        <w:rPr>
          <w:rFonts w:ascii="Times New Roman" w:hAnsi="Times New Roman" w:cs="Times New Roman"/>
          <w:lang w:val="en-US"/>
        </w:rPr>
        <w:t xml:space="preserve"> that anticipated the rise of </w:t>
      </w:r>
      <w:r w:rsidR="00082C44">
        <w:rPr>
          <w:rFonts w:ascii="Times New Roman" w:hAnsi="Times New Roman" w:cs="Times New Roman"/>
          <w:lang w:val="en-US"/>
        </w:rPr>
        <w:t xml:space="preserve">high scholasticism and especially </w:t>
      </w:r>
      <w:proofErr w:type="spellStart"/>
      <w:r w:rsidR="00082C44">
        <w:rPr>
          <w:rFonts w:ascii="Times New Roman" w:hAnsi="Times New Roman" w:cs="Times New Roman"/>
          <w:lang w:val="en-US"/>
        </w:rPr>
        <w:t>Thomism</w:t>
      </w:r>
      <w:proofErr w:type="spellEnd"/>
      <w:r w:rsidR="006F4C84">
        <w:rPr>
          <w:rFonts w:ascii="Times New Roman" w:hAnsi="Times New Roman" w:cs="Times New Roman"/>
          <w:lang w:val="en-US"/>
        </w:rPr>
        <w:t xml:space="preserve">. </w:t>
      </w:r>
      <w:r w:rsidR="006F2852">
        <w:rPr>
          <w:rFonts w:ascii="Times New Roman" w:hAnsi="Times New Roman" w:cs="Times New Roman"/>
          <w:lang w:val="en-US"/>
        </w:rPr>
        <w:t>Their work in this regard</w:t>
      </w:r>
      <w:r w:rsidR="006F4C84">
        <w:rPr>
          <w:rFonts w:ascii="Times New Roman" w:hAnsi="Times New Roman" w:cs="Times New Roman"/>
          <w:lang w:val="en-US"/>
        </w:rPr>
        <w:t xml:space="preserve"> gave rise to </w:t>
      </w:r>
      <w:r w:rsidR="006F2852">
        <w:rPr>
          <w:rFonts w:ascii="Times New Roman" w:hAnsi="Times New Roman" w:cs="Times New Roman"/>
          <w:lang w:val="en-US"/>
        </w:rPr>
        <w:t xml:space="preserve">much </w:t>
      </w:r>
      <w:r w:rsidR="006F4C84">
        <w:rPr>
          <w:rFonts w:ascii="Times New Roman" w:hAnsi="Times New Roman" w:cs="Times New Roman"/>
          <w:lang w:val="en-US"/>
        </w:rPr>
        <w:t xml:space="preserve">valuable research on </w:t>
      </w:r>
      <w:r w:rsidR="0013582F" w:rsidRPr="00A472FC">
        <w:rPr>
          <w:rFonts w:ascii="Times New Roman" w:hAnsi="Times New Roman" w:cs="Times New Roman"/>
          <w:lang w:val="en-US"/>
        </w:rPr>
        <w:t>the generation of theologians that worked before Aquinas</w:t>
      </w:r>
      <w:r w:rsidR="006F2852">
        <w:rPr>
          <w:rFonts w:ascii="Times New Roman" w:hAnsi="Times New Roman" w:cs="Times New Roman"/>
          <w:lang w:val="en-US"/>
        </w:rPr>
        <w:t>,</w:t>
      </w:r>
      <w:r w:rsidR="0013582F" w:rsidRPr="00A472FC">
        <w:rPr>
          <w:rFonts w:ascii="Times New Roman" w:hAnsi="Times New Roman" w:cs="Times New Roman"/>
          <w:lang w:val="en-US"/>
        </w:rPr>
        <w:t xml:space="preserve"> </w:t>
      </w:r>
      <w:r w:rsidR="00C04481">
        <w:rPr>
          <w:rFonts w:ascii="Times New Roman" w:hAnsi="Times New Roman" w:cs="Times New Roman"/>
          <w:lang w:val="en-US"/>
        </w:rPr>
        <w:t>during the</w:t>
      </w:r>
      <w:r w:rsidR="004C3AB5" w:rsidRPr="00A472FC">
        <w:rPr>
          <w:rFonts w:ascii="Times New Roman" w:hAnsi="Times New Roman" w:cs="Times New Roman"/>
        </w:rPr>
        <w:t xml:space="preserve"> first fifty years of the existence of the first ‘official’ university at Paris</w:t>
      </w:r>
      <w:r w:rsidR="00736320">
        <w:rPr>
          <w:rFonts w:ascii="Times New Roman" w:hAnsi="Times New Roman" w:cs="Times New Roman"/>
        </w:rPr>
        <w:t xml:space="preserve">. However, </w:t>
      </w:r>
      <w:r w:rsidR="00764441">
        <w:rPr>
          <w:rFonts w:ascii="Times New Roman" w:hAnsi="Times New Roman" w:cs="Times New Roman"/>
          <w:lang w:val="en-US"/>
        </w:rPr>
        <w:t xml:space="preserve">it was accompanied by a tendency </w:t>
      </w:r>
      <w:r w:rsidR="00AC7174">
        <w:rPr>
          <w:rFonts w:ascii="Times New Roman" w:hAnsi="Times New Roman" w:cs="Times New Roman"/>
          <w:lang w:val="en-US"/>
        </w:rPr>
        <w:t xml:space="preserve">rather </w:t>
      </w:r>
      <w:r w:rsidR="00AC7174" w:rsidRPr="00A472FC">
        <w:rPr>
          <w:rFonts w:ascii="Times New Roman" w:hAnsi="Times New Roman" w:cs="Times New Roman"/>
          <w:lang w:val="en-US"/>
        </w:rPr>
        <w:t xml:space="preserve">pejoratively </w:t>
      </w:r>
      <w:r w:rsidR="00764441">
        <w:rPr>
          <w:rFonts w:ascii="Times New Roman" w:hAnsi="Times New Roman" w:cs="Times New Roman"/>
          <w:lang w:val="en-US"/>
        </w:rPr>
        <w:t xml:space="preserve">to describe </w:t>
      </w:r>
      <w:r w:rsidR="004F0F47">
        <w:rPr>
          <w:rFonts w:ascii="Times New Roman" w:hAnsi="Times New Roman" w:cs="Times New Roman"/>
          <w:lang w:val="en-US"/>
        </w:rPr>
        <w:t xml:space="preserve">such </w:t>
      </w:r>
      <w:r w:rsidR="00976346">
        <w:rPr>
          <w:rFonts w:ascii="Times New Roman" w:hAnsi="Times New Roman" w:cs="Times New Roman"/>
          <w:lang w:val="en-US"/>
        </w:rPr>
        <w:t>early scholastics</w:t>
      </w:r>
      <w:r w:rsidR="00D54268">
        <w:rPr>
          <w:rFonts w:ascii="Times New Roman" w:hAnsi="Times New Roman" w:cs="Times New Roman"/>
          <w:lang w:val="en-US"/>
        </w:rPr>
        <w:t xml:space="preserve"> </w:t>
      </w:r>
      <w:r w:rsidR="00FB2EF5" w:rsidRPr="00A472FC">
        <w:rPr>
          <w:rFonts w:ascii="Times New Roman" w:hAnsi="Times New Roman" w:cs="Times New Roman"/>
          <w:lang w:val="en-US"/>
        </w:rPr>
        <w:t xml:space="preserve">as </w:t>
      </w:r>
      <w:r w:rsidR="00764D7B">
        <w:rPr>
          <w:rFonts w:ascii="Times New Roman" w:hAnsi="Times New Roman" w:cs="Times New Roman"/>
          <w:lang w:val="en-US"/>
        </w:rPr>
        <w:t xml:space="preserve">mere </w:t>
      </w:r>
      <w:r w:rsidR="00FB2EF5" w:rsidRPr="00A472FC">
        <w:rPr>
          <w:rFonts w:ascii="Times New Roman" w:hAnsi="Times New Roman" w:cs="Times New Roman"/>
          <w:lang w:val="en-US"/>
        </w:rPr>
        <w:t>‘</w:t>
      </w:r>
      <w:proofErr w:type="spellStart"/>
      <w:r w:rsidR="00FB2EF5" w:rsidRPr="00A472FC">
        <w:rPr>
          <w:rFonts w:ascii="Times New Roman" w:hAnsi="Times New Roman" w:cs="Times New Roman"/>
          <w:lang w:val="en-US"/>
        </w:rPr>
        <w:t>pre-Thomists</w:t>
      </w:r>
      <w:proofErr w:type="spellEnd"/>
      <w:r w:rsidR="006F6F3E" w:rsidRPr="00A472FC">
        <w:rPr>
          <w:rFonts w:ascii="Times New Roman" w:hAnsi="Times New Roman" w:cs="Times New Roman"/>
          <w:lang w:val="en-US"/>
        </w:rPr>
        <w:t>,</w:t>
      </w:r>
      <w:r w:rsidR="00FB2EF5" w:rsidRPr="00A472FC">
        <w:rPr>
          <w:rFonts w:ascii="Times New Roman" w:hAnsi="Times New Roman" w:cs="Times New Roman"/>
          <w:lang w:val="en-US"/>
        </w:rPr>
        <w:t xml:space="preserve">’ who </w:t>
      </w:r>
      <w:r w:rsidR="006F6F3E" w:rsidRPr="00A472FC">
        <w:rPr>
          <w:rFonts w:ascii="Times New Roman" w:hAnsi="Times New Roman" w:cs="Times New Roman"/>
          <w:lang w:val="en-US"/>
        </w:rPr>
        <w:t xml:space="preserve">supposedly </w:t>
      </w:r>
      <w:r w:rsidR="0013582F" w:rsidRPr="00A472FC">
        <w:rPr>
          <w:rFonts w:ascii="Times New Roman" w:hAnsi="Times New Roman" w:cs="Times New Roman"/>
          <w:lang w:val="en-US"/>
        </w:rPr>
        <w:t>only inchoately</w:t>
      </w:r>
      <w:r w:rsidR="00E14090" w:rsidRPr="00A472FC">
        <w:rPr>
          <w:rFonts w:ascii="Times New Roman" w:hAnsi="Times New Roman" w:cs="Times New Roman"/>
          <w:lang w:val="en-US"/>
        </w:rPr>
        <w:t xml:space="preserve"> introduced lines of thought that </w:t>
      </w:r>
      <w:r w:rsidR="00FB2EF5" w:rsidRPr="00A472FC">
        <w:rPr>
          <w:rFonts w:ascii="Times New Roman" w:hAnsi="Times New Roman" w:cs="Times New Roman"/>
          <w:lang w:val="en-US"/>
        </w:rPr>
        <w:t>Aquinas</w:t>
      </w:r>
      <w:r w:rsidR="00E14090" w:rsidRPr="00A472FC">
        <w:rPr>
          <w:rFonts w:ascii="Times New Roman" w:hAnsi="Times New Roman" w:cs="Times New Roman"/>
          <w:lang w:val="en-US"/>
        </w:rPr>
        <w:t xml:space="preserve"> developed </w:t>
      </w:r>
      <w:r w:rsidR="00E14090" w:rsidRPr="00A472FC">
        <w:rPr>
          <w:rFonts w:ascii="Times New Roman" w:hAnsi="Times New Roman" w:cs="Times New Roman"/>
        </w:rPr>
        <w:t>at a whole new level of sophistication.</w:t>
      </w:r>
      <w:r w:rsidR="00E14090" w:rsidRPr="00A472FC">
        <w:rPr>
          <w:rStyle w:val="FootnoteReference"/>
          <w:rFonts w:ascii="Times New Roman" w:hAnsi="Times New Roman" w:cs="Times New Roman"/>
          <w:lang w:val="en-US"/>
        </w:rPr>
        <w:footnoteReference w:id="196"/>
      </w:r>
      <w:r w:rsidR="00E14090" w:rsidRPr="00A472FC">
        <w:rPr>
          <w:rFonts w:ascii="Times New Roman" w:hAnsi="Times New Roman" w:cs="Times New Roman"/>
        </w:rPr>
        <w:t xml:space="preserve"> </w:t>
      </w:r>
      <w:r w:rsidR="003C6375" w:rsidRPr="00A472FC">
        <w:rPr>
          <w:rFonts w:ascii="Times New Roman" w:hAnsi="Times New Roman" w:cs="Times New Roman"/>
        </w:rPr>
        <w:t xml:space="preserve">As a result, research </w:t>
      </w:r>
      <w:r w:rsidR="009C3147">
        <w:rPr>
          <w:rFonts w:ascii="Times New Roman" w:hAnsi="Times New Roman" w:cs="Times New Roman"/>
        </w:rPr>
        <w:t xml:space="preserve">on </w:t>
      </w:r>
      <w:r w:rsidR="004F0F47">
        <w:rPr>
          <w:rFonts w:ascii="Times New Roman" w:hAnsi="Times New Roman" w:cs="Times New Roman"/>
        </w:rPr>
        <w:t>this generation</w:t>
      </w:r>
      <w:r w:rsidR="00663F8F">
        <w:rPr>
          <w:rFonts w:ascii="Times New Roman" w:hAnsi="Times New Roman" w:cs="Times New Roman"/>
        </w:rPr>
        <w:t xml:space="preserve"> </w:t>
      </w:r>
      <w:r w:rsidR="009C3147">
        <w:rPr>
          <w:rFonts w:ascii="Times New Roman" w:hAnsi="Times New Roman" w:cs="Times New Roman"/>
        </w:rPr>
        <w:t>was</w:t>
      </w:r>
      <w:r w:rsidR="003C6375" w:rsidRPr="00A472FC">
        <w:rPr>
          <w:rFonts w:ascii="Times New Roman" w:hAnsi="Times New Roman" w:cs="Times New Roman"/>
        </w:rPr>
        <w:t xml:space="preserve"> largely set to the side and remained niche after the trends that led to the development of </w:t>
      </w:r>
      <w:proofErr w:type="spellStart"/>
      <w:r w:rsidR="003C6375" w:rsidRPr="00A472FC">
        <w:rPr>
          <w:rFonts w:ascii="Times New Roman" w:hAnsi="Times New Roman" w:cs="Times New Roman"/>
        </w:rPr>
        <w:t>Thomism</w:t>
      </w:r>
      <w:proofErr w:type="spellEnd"/>
      <w:r w:rsidR="003C6375" w:rsidRPr="00A472FC">
        <w:rPr>
          <w:rFonts w:ascii="Times New Roman" w:hAnsi="Times New Roman" w:cs="Times New Roman"/>
        </w:rPr>
        <w:t xml:space="preserve"> were deemed to be sufficiently understood. </w:t>
      </w:r>
    </w:p>
    <w:p w14:paraId="12DB6DEB" w14:textId="5D528B3A" w:rsidR="002C6F60" w:rsidRDefault="000474D5" w:rsidP="002C6F60">
      <w:pPr>
        <w:autoSpaceDE w:val="0"/>
        <w:autoSpaceDN w:val="0"/>
        <w:adjustRightInd w:val="0"/>
        <w:ind w:right="-52" w:firstLine="720"/>
        <w:rPr>
          <w:rFonts w:ascii="Times New Roman" w:hAnsi="Times New Roman" w:cs="Times New Roman"/>
          <w:lang w:val="en-US"/>
        </w:rPr>
      </w:pPr>
      <w:r>
        <w:rPr>
          <w:rFonts w:ascii="Times New Roman" w:hAnsi="Times New Roman" w:cs="Times New Roman"/>
        </w:rPr>
        <w:t>With</w:t>
      </w:r>
      <w:r w:rsidR="00A3408E" w:rsidRPr="00A472FC">
        <w:rPr>
          <w:rFonts w:ascii="Times New Roman" w:hAnsi="Times New Roman" w:cs="Times New Roman"/>
        </w:rPr>
        <w:t xml:space="preserve"> </w:t>
      </w:r>
      <w:r w:rsidR="00095556" w:rsidRPr="00A472FC">
        <w:rPr>
          <w:rFonts w:ascii="Times New Roman" w:hAnsi="Times New Roman" w:cs="Times New Roman"/>
        </w:rPr>
        <w:t>this context</w:t>
      </w:r>
      <w:r>
        <w:rPr>
          <w:rFonts w:ascii="Times New Roman" w:hAnsi="Times New Roman" w:cs="Times New Roman"/>
        </w:rPr>
        <w:t xml:space="preserve"> in view,</w:t>
      </w:r>
      <w:r w:rsidR="00095556" w:rsidRPr="00A472FC">
        <w:rPr>
          <w:rFonts w:ascii="Times New Roman" w:hAnsi="Times New Roman" w:cs="Times New Roman"/>
        </w:rPr>
        <w:t xml:space="preserve"> </w:t>
      </w:r>
      <w:r w:rsidR="00A3408E" w:rsidRPr="00A472FC">
        <w:rPr>
          <w:rFonts w:ascii="Times New Roman" w:hAnsi="Times New Roman" w:cs="Times New Roman"/>
        </w:rPr>
        <w:t>t</w:t>
      </w:r>
      <w:r w:rsidR="00694183" w:rsidRPr="00A472FC">
        <w:rPr>
          <w:rFonts w:ascii="Times New Roman" w:hAnsi="Times New Roman" w:cs="Times New Roman"/>
        </w:rPr>
        <w:t xml:space="preserve">he subsequent chapters of this volume will </w:t>
      </w:r>
      <w:proofErr w:type="spellStart"/>
      <w:r w:rsidR="00694183" w:rsidRPr="00A472FC">
        <w:rPr>
          <w:rFonts w:ascii="Times New Roman" w:hAnsi="Times New Roman" w:cs="Times New Roman"/>
        </w:rPr>
        <w:t>endeavor</w:t>
      </w:r>
      <w:proofErr w:type="spellEnd"/>
      <w:r w:rsidR="00694183" w:rsidRPr="00A472FC">
        <w:rPr>
          <w:rFonts w:ascii="Times New Roman" w:hAnsi="Times New Roman" w:cs="Times New Roman"/>
        </w:rPr>
        <w:t xml:space="preserve"> to show</w:t>
      </w:r>
      <w:r w:rsidR="00A3408E" w:rsidRPr="00A472FC">
        <w:rPr>
          <w:rFonts w:ascii="Times New Roman" w:hAnsi="Times New Roman" w:cs="Times New Roman"/>
        </w:rPr>
        <w:t xml:space="preserve"> </w:t>
      </w:r>
      <w:r w:rsidR="00694183" w:rsidRPr="00A472FC">
        <w:rPr>
          <w:rFonts w:ascii="Times New Roman" w:hAnsi="Times New Roman" w:cs="Times New Roman"/>
        </w:rPr>
        <w:t>that the Parisian theologians who worked before Aquinas</w:t>
      </w:r>
      <w:r w:rsidR="00CC72BE">
        <w:rPr>
          <w:rFonts w:ascii="Times New Roman" w:hAnsi="Times New Roman" w:cs="Times New Roman"/>
        </w:rPr>
        <w:t xml:space="preserve"> were </w:t>
      </w:r>
      <w:r w:rsidR="00AB4856">
        <w:rPr>
          <w:rFonts w:ascii="Times New Roman" w:hAnsi="Times New Roman" w:cs="Times New Roman"/>
        </w:rPr>
        <w:t xml:space="preserve">no mere forerunners to him. Rather they </w:t>
      </w:r>
      <w:r w:rsidR="00820CB2" w:rsidRPr="00A472FC">
        <w:rPr>
          <w:rFonts w:ascii="Times New Roman" w:hAnsi="Times New Roman" w:cs="Times New Roman"/>
        </w:rPr>
        <w:t xml:space="preserve">formulated and debated a set of questions, not least in the field of </w:t>
      </w:r>
      <w:r w:rsidR="00E058D4" w:rsidRPr="00A472FC">
        <w:rPr>
          <w:rFonts w:ascii="Times New Roman" w:hAnsi="Times New Roman" w:cs="Times New Roman"/>
        </w:rPr>
        <w:t>psychology, which drew inspiration from the new natural philosophy</w:t>
      </w:r>
      <w:r w:rsidR="00811638">
        <w:rPr>
          <w:rFonts w:ascii="Times New Roman" w:hAnsi="Times New Roman" w:cs="Times New Roman"/>
        </w:rPr>
        <w:t xml:space="preserve"> of the Arabs</w:t>
      </w:r>
      <w:r w:rsidR="00E058D4" w:rsidRPr="00A472FC">
        <w:rPr>
          <w:rFonts w:ascii="Times New Roman" w:hAnsi="Times New Roman" w:cs="Times New Roman"/>
        </w:rPr>
        <w:t xml:space="preserve"> in ways that were distinctive in their time and indeed from the approach of Aquinas. </w:t>
      </w:r>
      <w:r w:rsidR="00082891" w:rsidRPr="00A472FC">
        <w:rPr>
          <w:rFonts w:ascii="Times New Roman" w:hAnsi="Times New Roman" w:cs="Times New Roman"/>
          <w:lang w:val="en-US"/>
        </w:rPr>
        <w:t xml:space="preserve">As part of this conversation, John was not an isolated figure but a member of </w:t>
      </w:r>
      <w:r w:rsidR="00082891" w:rsidRPr="00A472FC">
        <w:rPr>
          <w:rFonts w:ascii="Times New Roman" w:hAnsi="Times New Roman" w:cs="Times New Roman"/>
          <w:color w:val="000000"/>
          <w:lang w:val="en-US"/>
        </w:rPr>
        <w:t xml:space="preserve">a lively religious and scholarly community in which ideas were constantly exchanged. At the same time, however, he advanced considerably beyond his contemporaries in </w:t>
      </w:r>
      <w:r w:rsidR="00082891" w:rsidRPr="00A472FC">
        <w:rPr>
          <w:rFonts w:ascii="Times New Roman" w:hAnsi="Times New Roman" w:cs="Times New Roman"/>
        </w:rPr>
        <w:t>addressing the standard questions of the day on the soul, to which scholars gave a nonetheless wide range of answers</w:t>
      </w:r>
      <w:r w:rsidR="00EF7325" w:rsidRPr="00A472FC">
        <w:rPr>
          <w:rFonts w:ascii="Times New Roman" w:hAnsi="Times New Roman" w:cs="Times New Roman"/>
        </w:rPr>
        <w:t>.</w:t>
      </w:r>
      <w:r w:rsidR="002C6F60">
        <w:rPr>
          <w:rFonts w:ascii="Times New Roman" w:hAnsi="Times New Roman" w:cs="Times New Roman"/>
          <w:lang w:val="en-US"/>
        </w:rPr>
        <w:t xml:space="preserve"> </w:t>
      </w:r>
    </w:p>
    <w:p w14:paraId="2802535B" w14:textId="241F3846" w:rsidR="00C0176A" w:rsidRDefault="00EF7325" w:rsidP="002C6F60">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Furthermore, John boldly reckoned with an </w:t>
      </w:r>
      <w:r w:rsidR="00082891" w:rsidRPr="00A472FC">
        <w:rPr>
          <w:rFonts w:ascii="Times New Roman" w:hAnsi="Times New Roman" w:cs="Times New Roman"/>
        </w:rPr>
        <w:t xml:space="preserve">altogether new </w:t>
      </w:r>
      <w:r w:rsidRPr="00A472FC">
        <w:rPr>
          <w:rFonts w:ascii="Times New Roman" w:hAnsi="Times New Roman" w:cs="Times New Roman"/>
        </w:rPr>
        <w:t xml:space="preserve">set of </w:t>
      </w:r>
      <w:r w:rsidR="00082891" w:rsidRPr="00A472FC">
        <w:rPr>
          <w:rFonts w:ascii="Times New Roman" w:hAnsi="Times New Roman" w:cs="Times New Roman"/>
        </w:rPr>
        <w:t>questions</w:t>
      </w:r>
      <w:r w:rsidR="00073307" w:rsidRPr="00A472FC">
        <w:rPr>
          <w:rFonts w:ascii="Times New Roman" w:hAnsi="Times New Roman" w:cs="Times New Roman"/>
        </w:rPr>
        <w:t>, for instance,</w:t>
      </w:r>
      <w:r w:rsidR="00082891" w:rsidRPr="00A472FC">
        <w:rPr>
          <w:rFonts w:ascii="Times New Roman" w:hAnsi="Times New Roman" w:cs="Times New Roman"/>
        </w:rPr>
        <w:t xml:space="preserve"> about the work of human </w:t>
      </w:r>
      <w:r w:rsidR="0093208E" w:rsidRPr="00A472FC">
        <w:rPr>
          <w:rFonts w:ascii="Times New Roman" w:hAnsi="Times New Roman" w:cs="Times New Roman"/>
        </w:rPr>
        <w:t xml:space="preserve">sensation and </w:t>
      </w:r>
      <w:r w:rsidR="00082891" w:rsidRPr="00A472FC">
        <w:rPr>
          <w:rFonts w:ascii="Times New Roman" w:hAnsi="Times New Roman" w:cs="Times New Roman"/>
        </w:rPr>
        <w:t>cognition. The conversation amongst his colleagues was crucial precisely because it created a sort of laboratory which allowed for the emergence of his distinctive ideas</w:t>
      </w:r>
      <w:r w:rsidR="002C6F60">
        <w:rPr>
          <w:rFonts w:ascii="Times New Roman" w:hAnsi="Times New Roman" w:cs="Times New Roman"/>
        </w:rPr>
        <w:t xml:space="preserve"> and </w:t>
      </w:r>
      <w:r w:rsidR="00C4100F">
        <w:rPr>
          <w:rFonts w:ascii="Times New Roman" w:hAnsi="Times New Roman" w:cs="Times New Roman"/>
        </w:rPr>
        <w:t>innovations</w:t>
      </w:r>
      <w:r w:rsidR="001B40A0" w:rsidRPr="00A472FC">
        <w:rPr>
          <w:rFonts w:ascii="Times New Roman" w:hAnsi="Times New Roman" w:cs="Times New Roman"/>
        </w:rPr>
        <w:t>. These</w:t>
      </w:r>
      <w:r w:rsidR="00082891" w:rsidRPr="00A472FC">
        <w:rPr>
          <w:rFonts w:ascii="Times New Roman" w:hAnsi="Times New Roman" w:cs="Times New Roman"/>
        </w:rPr>
        <w:t xml:space="preserve"> soon became associated with the Franciscan tradition, to which that founded by Aquinas is often contrasted</w:t>
      </w:r>
      <w:r w:rsidR="00C2559B" w:rsidRPr="00A472FC">
        <w:rPr>
          <w:rFonts w:ascii="Times New Roman" w:hAnsi="Times New Roman" w:cs="Times New Roman"/>
        </w:rPr>
        <w:t>,</w:t>
      </w:r>
      <w:r w:rsidR="009E5416" w:rsidRPr="00A472FC">
        <w:rPr>
          <w:rFonts w:ascii="Times New Roman" w:hAnsi="Times New Roman" w:cs="Times New Roman"/>
        </w:rPr>
        <w:t xml:space="preserve"> and thus </w:t>
      </w:r>
      <w:r w:rsidR="008E5819">
        <w:rPr>
          <w:rFonts w:ascii="Times New Roman" w:hAnsi="Times New Roman" w:cs="Times New Roman"/>
        </w:rPr>
        <w:t xml:space="preserve">John </w:t>
      </w:r>
      <w:r w:rsidR="009E5416" w:rsidRPr="00A472FC">
        <w:rPr>
          <w:rFonts w:ascii="Times New Roman" w:hAnsi="Times New Roman" w:cs="Times New Roman"/>
        </w:rPr>
        <w:t xml:space="preserve">continued to have an impact on </w:t>
      </w:r>
      <w:r w:rsidR="0034598E" w:rsidRPr="00A472FC">
        <w:rPr>
          <w:rFonts w:ascii="Times New Roman" w:hAnsi="Times New Roman" w:cs="Times New Roman"/>
        </w:rPr>
        <w:t xml:space="preserve">his order’s </w:t>
      </w:r>
      <w:r w:rsidR="00406FD7" w:rsidRPr="00A472FC">
        <w:rPr>
          <w:rFonts w:ascii="Times New Roman" w:hAnsi="Times New Roman" w:cs="Times New Roman"/>
        </w:rPr>
        <w:t>scholarship for</w:t>
      </w:r>
      <w:r w:rsidR="009E5416" w:rsidRPr="00A472FC">
        <w:rPr>
          <w:rFonts w:ascii="Times New Roman" w:hAnsi="Times New Roman" w:cs="Times New Roman"/>
        </w:rPr>
        <w:t xml:space="preserve"> generations</w:t>
      </w:r>
      <w:r w:rsidR="00082891" w:rsidRPr="00A472FC">
        <w:rPr>
          <w:rFonts w:ascii="Times New Roman" w:hAnsi="Times New Roman" w:cs="Times New Roman"/>
        </w:rPr>
        <w:t xml:space="preserve">. The purpose of this chapter is to lay the foundation for illustrating </w:t>
      </w:r>
      <w:r w:rsidR="00317C18" w:rsidRPr="00A472FC">
        <w:rPr>
          <w:rFonts w:ascii="Times New Roman" w:hAnsi="Times New Roman" w:cs="Times New Roman"/>
        </w:rPr>
        <w:t xml:space="preserve">the momentous nature of John’s contribution to psychology, </w:t>
      </w:r>
      <w:r w:rsidR="00C0176A" w:rsidRPr="00A472FC">
        <w:rPr>
          <w:rFonts w:ascii="Times New Roman" w:hAnsi="Times New Roman" w:cs="Times New Roman"/>
        </w:rPr>
        <w:t xml:space="preserve">by outlining the unique role that </w:t>
      </w:r>
      <w:r w:rsidR="000C33EE" w:rsidRPr="00A472FC">
        <w:rPr>
          <w:rFonts w:ascii="Times New Roman" w:hAnsi="Times New Roman" w:cs="Times New Roman"/>
        </w:rPr>
        <w:t xml:space="preserve">both he and </w:t>
      </w:r>
      <w:r w:rsidR="00C0176A" w:rsidRPr="00A472FC">
        <w:rPr>
          <w:rFonts w:ascii="Times New Roman" w:hAnsi="Times New Roman" w:cs="Times New Roman"/>
        </w:rPr>
        <w:t xml:space="preserve">his immediate predecessors and </w:t>
      </w:r>
      <w:r w:rsidR="00C0176A" w:rsidRPr="00A472FC">
        <w:rPr>
          <w:rFonts w:ascii="Times New Roman" w:hAnsi="Times New Roman" w:cs="Times New Roman"/>
        </w:rPr>
        <w:lastRenderedPageBreak/>
        <w:t>contemporaries played in the development of their discipline</w:t>
      </w:r>
      <w:r w:rsidR="00AF5E08" w:rsidRPr="00A472FC">
        <w:rPr>
          <w:rFonts w:ascii="Times New Roman" w:hAnsi="Times New Roman" w:cs="Times New Roman"/>
        </w:rPr>
        <w:t xml:space="preserve"> of theology at Paris</w:t>
      </w:r>
      <w:r w:rsidR="00C0176A" w:rsidRPr="00A472FC">
        <w:rPr>
          <w:rFonts w:ascii="Times New Roman" w:hAnsi="Times New Roman" w:cs="Times New Roman"/>
        </w:rPr>
        <w:t>.</w:t>
      </w:r>
      <w:r w:rsidR="00C0176A" w:rsidRPr="00A472FC">
        <w:rPr>
          <w:rStyle w:val="FootnoteReference"/>
          <w:rFonts w:ascii="Times New Roman" w:hAnsi="Times New Roman" w:cs="Times New Roman"/>
        </w:rPr>
        <w:footnoteReference w:id="197"/>
      </w:r>
      <w:r w:rsidR="00C0176A" w:rsidRPr="00A472FC">
        <w:rPr>
          <w:rFonts w:ascii="Times New Roman" w:hAnsi="Times New Roman" w:cs="Times New Roman"/>
        </w:rPr>
        <w:t xml:space="preserve"> </w:t>
      </w:r>
      <w:r w:rsidR="00A90874" w:rsidRPr="00A472FC">
        <w:rPr>
          <w:rFonts w:ascii="Times New Roman" w:hAnsi="Times New Roman" w:cs="Times New Roman"/>
        </w:rPr>
        <w:t>This will become clearer through the brief account of their lives and works offered below.</w:t>
      </w:r>
      <w:r w:rsidR="0093407F">
        <w:rPr>
          <w:rStyle w:val="FootnoteReference"/>
          <w:rFonts w:ascii="Times New Roman" w:hAnsi="Times New Roman" w:cs="Times New Roman"/>
        </w:rPr>
        <w:footnoteReference w:id="198"/>
      </w:r>
      <w:r w:rsidR="00A90874" w:rsidRPr="00A472FC">
        <w:rPr>
          <w:rFonts w:ascii="Times New Roman" w:hAnsi="Times New Roman" w:cs="Times New Roman"/>
        </w:rPr>
        <w:t xml:space="preserve">  </w:t>
      </w:r>
    </w:p>
    <w:p w14:paraId="5CBE95F1" w14:textId="77777777" w:rsidR="007E1224" w:rsidRPr="002C6F60" w:rsidRDefault="007E1224" w:rsidP="002C6F60">
      <w:pPr>
        <w:autoSpaceDE w:val="0"/>
        <w:autoSpaceDN w:val="0"/>
        <w:adjustRightInd w:val="0"/>
        <w:ind w:right="-52" w:firstLine="720"/>
        <w:rPr>
          <w:rFonts w:ascii="Times New Roman" w:hAnsi="Times New Roman" w:cs="Times New Roman"/>
        </w:rPr>
      </w:pPr>
    </w:p>
    <w:p w14:paraId="2CA42A28" w14:textId="77777777" w:rsidR="007C038D" w:rsidRPr="00A472FC" w:rsidRDefault="007C038D" w:rsidP="00881604">
      <w:pPr>
        <w:pStyle w:val="Default"/>
        <w:ind w:right="-52"/>
        <w:rPr>
          <w:rFonts w:ascii="Times New Roman" w:hAnsi="Times New Roman" w:cs="Times New Roman"/>
          <w:u w:val="single"/>
        </w:rPr>
      </w:pPr>
      <w:r w:rsidRPr="00A472FC">
        <w:rPr>
          <w:rFonts w:ascii="Times New Roman" w:hAnsi="Times New Roman" w:cs="Times New Roman"/>
          <w:u w:val="single"/>
        </w:rPr>
        <w:t>William of Auxerre</w:t>
      </w:r>
    </w:p>
    <w:p w14:paraId="30F211AE" w14:textId="77777777" w:rsidR="007C038D" w:rsidRPr="00A472FC" w:rsidRDefault="007C038D" w:rsidP="00881604">
      <w:pPr>
        <w:pStyle w:val="Default"/>
        <w:ind w:right="-52"/>
        <w:rPr>
          <w:rFonts w:ascii="Times New Roman" w:hAnsi="Times New Roman" w:cs="Times New Roman"/>
        </w:rPr>
      </w:pPr>
    </w:p>
    <w:p w14:paraId="115C6926" w14:textId="49B6D362" w:rsidR="007C038D" w:rsidRPr="00A472FC" w:rsidRDefault="007C038D" w:rsidP="00C040F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As a secular master at the early University of Paris, William of Auxerre may have </w:t>
      </w:r>
      <w:r w:rsidR="00830668" w:rsidRPr="00A472FC">
        <w:rPr>
          <w:rFonts w:ascii="Times New Roman" w:hAnsi="Times New Roman" w:cs="Times New Roman"/>
          <w:lang w:val="en-US"/>
        </w:rPr>
        <w:t xml:space="preserve">been a teacher of </w:t>
      </w:r>
      <w:r w:rsidRPr="00A472FC">
        <w:rPr>
          <w:rFonts w:ascii="Times New Roman" w:hAnsi="Times New Roman" w:cs="Times New Roman"/>
          <w:lang w:val="en-US"/>
        </w:rPr>
        <w:t xml:space="preserve">John of La Rochelle. In the </w:t>
      </w:r>
      <w:r w:rsidR="000834A2" w:rsidRPr="00A472FC">
        <w:rPr>
          <w:rFonts w:ascii="Times New Roman" w:hAnsi="Times New Roman" w:cs="Times New Roman"/>
          <w:lang w:val="en-US"/>
        </w:rPr>
        <w:t xml:space="preserve">previous chapter, we saw </w:t>
      </w:r>
      <w:r w:rsidRPr="00A472FC">
        <w:rPr>
          <w:rFonts w:ascii="Times New Roman" w:hAnsi="Times New Roman" w:cs="Times New Roman"/>
          <w:lang w:val="en-US"/>
        </w:rPr>
        <w:t xml:space="preserve">that he was one of the three </w:t>
      </w:r>
      <w:r w:rsidR="009158D9" w:rsidRPr="00A472FC">
        <w:rPr>
          <w:rFonts w:ascii="Times New Roman" w:hAnsi="Times New Roman" w:cs="Times New Roman"/>
          <w:lang w:val="en-US"/>
        </w:rPr>
        <w:t xml:space="preserve">scholars </w:t>
      </w:r>
      <w:r w:rsidRPr="00A472FC">
        <w:rPr>
          <w:rFonts w:ascii="Times New Roman" w:hAnsi="Times New Roman" w:cs="Times New Roman"/>
          <w:lang w:val="en-US"/>
        </w:rPr>
        <w:t>summoned to examine the books of Aristotle, though his involvement in this work was cut short by his death in 1231.</w:t>
      </w:r>
      <w:r w:rsidRPr="00A472FC">
        <w:rPr>
          <w:rStyle w:val="FootnoteReference"/>
          <w:rFonts w:ascii="Times New Roman" w:hAnsi="Times New Roman" w:cs="Times New Roman"/>
          <w:lang w:val="en-US"/>
        </w:rPr>
        <w:footnoteReference w:id="199"/>
      </w:r>
      <w:r w:rsidRPr="00A472FC">
        <w:rPr>
          <w:rFonts w:ascii="Times New Roman" w:hAnsi="Times New Roman" w:cs="Times New Roman"/>
          <w:lang w:val="en-US"/>
        </w:rPr>
        <w:t xml:space="preserve"> </w:t>
      </w:r>
      <w:r w:rsidR="00E16A79" w:rsidRPr="00A472FC">
        <w:rPr>
          <w:rFonts w:ascii="Times New Roman" w:hAnsi="Times New Roman" w:cs="Times New Roman"/>
          <w:lang w:val="en-US"/>
        </w:rPr>
        <w:t>William’s</w:t>
      </w:r>
      <w:r w:rsidRPr="00A472FC">
        <w:rPr>
          <w:rFonts w:ascii="Times New Roman" w:hAnsi="Times New Roman" w:cs="Times New Roman"/>
          <w:lang w:val="en-US"/>
        </w:rPr>
        <w:t xml:space="preserve"> </w:t>
      </w:r>
      <w:r w:rsidRPr="00A472FC">
        <w:rPr>
          <w:rFonts w:ascii="Times New Roman" w:hAnsi="Times New Roman" w:cs="Times New Roman"/>
          <w:i/>
          <w:lang w:val="en-US"/>
        </w:rPr>
        <w:t xml:space="preserve">Summa </w:t>
      </w:r>
      <w:proofErr w:type="spellStart"/>
      <w:r w:rsidRPr="00A472FC">
        <w:rPr>
          <w:rFonts w:ascii="Times New Roman" w:hAnsi="Times New Roman" w:cs="Times New Roman"/>
          <w:i/>
          <w:lang w:val="en-US"/>
        </w:rPr>
        <w:t>aurea</w:t>
      </w:r>
      <w:proofErr w:type="spellEnd"/>
      <w:r w:rsidRPr="00A472FC">
        <w:rPr>
          <w:rFonts w:ascii="Times New Roman" w:hAnsi="Times New Roman" w:cs="Times New Roman"/>
          <w:lang w:val="en-US"/>
        </w:rPr>
        <w:t xml:space="preserve"> exists in two versions, one written between 1215-26, and one between 1226-</w:t>
      </w:r>
      <w:r w:rsidR="00E1240B" w:rsidRPr="00A472FC">
        <w:rPr>
          <w:rFonts w:ascii="Times New Roman" w:hAnsi="Times New Roman" w:cs="Times New Roman"/>
          <w:lang w:val="en-US"/>
        </w:rPr>
        <w:t>2</w:t>
      </w:r>
      <w:r w:rsidRPr="00A472FC">
        <w:rPr>
          <w:rFonts w:ascii="Times New Roman" w:hAnsi="Times New Roman" w:cs="Times New Roman"/>
          <w:lang w:val="en-US"/>
        </w:rPr>
        <w:t>9.</w:t>
      </w:r>
      <w:r w:rsidRPr="00A472FC">
        <w:rPr>
          <w:rStyle w:val="FootnoteReference"/>
          <w:rFonts w:ascii="Times New Roman" w:hAnsi="Times New Roman" w:cs="Times New Roman"/>
          <w:lang w:val="en-US"/>
        </w:rPr>
        <w:footnoteReference w:id="200"/>
      </w:r>
      <w:r w:rsidRPr="00A472FC">
        <w:rPr>
          <w:rFonts w:ascii="Times New Roman" w:hAnsi="Times New Roman" w:cs="Times New Roman"/>
          <w:lang w:val="en-US"/>
        </w:rPr>
        <w:t xml:space="preserve"> As the editor of this text indicates, William did far more than write a mere commentary on Peter Lombard’s </w:t>
      </w:r>
      <w:r w:rsidR="00040053" w:rsidRPr="00A472FC">
        <w:rPr>
          <w:rFonts w:ascii="Times New Roman" w:hAnsi="Times New Roman" w:cs="Times New Roman"/>
          <w:i/>
          <w:lang w:val="en-US"/>
        </w:rPr>
        <w:t>Sentences</w:t>
      </w:r>
      <w:r w:rsidRPr="00A472FC">
        <w:rPr>
          <w:rFonts w:ascii="Times New Roman" w:hAnsi="Times New Roman" w:cs="Times New Roman"/>
          <w:lang w:val="en-US"/>
        </w:rPr>
        <w:t xml:space="preserve">, as </w:t>
      </w:r>
      <w:r w:rsidR="00387AB2" w:rsidRPr="00A472FC">
        <w:rPr>
          <w:rFonts w:ascii="Times New Roman" w:hAnsi="Times New Roman" w:cs="Times New Roman"/>
          <w:lang w:val="en-US"/>
        </w:rPr>
        <w:t xml:space="preserve">some </w:t>
      </w:r>
      <w:r w:rsidRPr="00A472FC">
        <w:rPr>
          <w:rFonts w:ascii="Times New Roman" w:hAnsi="Times New Roman" w:cs="Times New Roman"/>
          <w:lang w:val="en-US"/>
        </w:rPr>
        <w:t xml:space="preserve">others were doing at the time. </w:t>
      </w:r>
      <w:r w:rsidR="00C040F4" w:rsidRPr="00A472FC">
        <w:rPr>
          <w:rFonts w:ascii="Times New Roman" w:hAnsi="Times New Roman" w:cs="Times New Roman"/>
          <w:lang w:val="en-US"/>
        </w:rPr>
        <w:t xml:space="preserve">Although he broadly follows the structure of this work, treating God, creation, </w:t>
      </w:r>
      <w:r w:rsidR="003804E0">
        <w:rPr>
          <w:rFonts w:ascii="Times New Roman" w:hAnsi="Times New Roman" w:cs="Times New Roman"/>
          <w:lang w:val="en-US"/>
        </w:rPr>
        <w:t xml:space="preserve">the </w:t>
      </w:r>
      <w:r w:rsidR="00C040F4" w:rsidRPr="00A472FC">
        <w:rPr>
          <w:rFonts w:ascii="Times New Roman" w:hAnsi="Times New Roman" w:cs="Times New Roman"/>
          <w:lang w:val="en-US"/>
        </w:rPr>
        <w:t>Incarnation, and sacraments in that order, he introduced many new themes in the process. In this regard, he does not however delve into many philosophical questions, despite having access to Aristotle and Avicenna, whose work he does not seem to know well</w:t>
      </w:r>
      <w:r w:rsidRPr="00A472FC">
        <w:rPr>
          <w:rFonts w:ascii="Times New Roman" w:hAnsi="Times New Roman" w:cs="Times New Roman"/>
          <w:lang w:val="en-US"/>
        </w:rPr>
        <w:t>.</w:t>
      </w:r>
      <w:r w:rsidRPr="00A472FC">
        <w:rPr>
          <w:rStyle w:val="FootnoteReference"/>
          <w:rFonts w:ascii="Times New Roman" w:hAnsi="Times New Roman" w:cs="Times New Roman"/>
          <w:color w:val="000000"/>
          <w:lang w:val="en-US"/>
        </w:rPr>
        <w:footnoteReference w:id="201"/>
      </w:r>
      <w:r w:rsidRPr="00A472FC">
        <w:rPr>
          <w:rFonts w:ascii="Times New Roman" w:hAnsi="Times New Roman" w:cs="Times New Roman"/>
          <w:lang w:val="en-US"/>
        </w:rPr>
        <w:t xml:space="preserve"> </w:t>
      </w:r>
      <w:r w:rsidR="00C040F4" w:rsidRPr="00A472FC">
        <w:rPr>
          <w:rFonts w:ascii="Times New Roman" w:hAnsi="Times New Roman" w:cs="Times New Roman"/>
          <w:lang w:val="en-US"/>
        </w:rPr>
        <w:t>Instead, he limits</w:t>
      </w:r>
      <w:r w:rsidR="00FF3E5C" w:rsidRPr="00A472FC">
        <w:rPr>
          <w:rFonts w:ascii="Times New Roman" w:hAnsi="Times New Roman" w:cs="Times New Roman"/>
          <w:lang w:val="en-US"/>
        </w:rPr>
        <w:t xml:space="preserve"> himself mostly to questions that could be </w:t>
      </w:r>
      <w:r w:rsidR="00237D02" w:rsidRPr="00A472FC">
        <w:rPr>
          <w:rFonts w:ascii="Times New Roman" w:hAnsi="Times New Roman" w:cs="Times New Roman"/>
          <w:lang w:val="en-US"/>
        </w:rPr>
        <w:t>foreseen</w:t>
      </w:r>
      <w:r w:rsidR="00FF3E5C" w:rsidRPr="00A472FC">
        <w:rPr>
          <w:rFonts w:ascii="Times New Roman" w:hAnsi="Times New Roman" w:cs="Times New Roman"/>
          <w:lang w:val="en-US"/>
        </w:rPr>
        <w:t xml:space="preserve"> on the basis of </w:t>
      </w:r>
      <w:r w:rsidR="00367846" w:rsidRPr="00A472FC">
        <w:rPr>
          <w:rFonts w:ascii="Times New Roman" w:hAnsi="Times New Roman" w:cs="Times New Roman"/>
          <w:lang w:val="en-US"/>
        </w:rPr>
        <w:t xml:space="preserve">the </w:t>
      </w:r>
      <w:r w:rsidR="00FF3E5C" w:rsidRPr="00A472FC">
        <w:rPr>
          <w:rFonts w:ascii="Times New Roman" w:hAnsi="Times New Roman" w:cs="Times New Roman"/>
          <w:lang w:val="en-US"/>
        </w:rPr>
        <w:t>prior theological and moral tradition</w:t>
      </w:r>
      <w:r w:rsidR="00C040F4" w:rsidRPr="00A472FC">
        <w:rPr>
          <w:rFonts w:ascii="Times New Roman" w:hAnsi="Times New Roman" w:cs="Times New Roman"/>
          <w:lang w:val="en-US"/>
        </w:rPr>
        <w:t>, which he in many respects codifies</w:t>
      </w:r>
      <w:r w:rsidR="00FF3E5C" w:rsidRPr="00A472FC">
        <w:rPr>
          <w:rFonts w:ascii="Times New Roman" w:hAnsi="Times New Roman" w:cs="Times New Roman"/>
          <w:lang w:val="en-US"/>
        </w:rPr>
        <w:t xml:space="preserve">. </w:t>
      </w:r>
      <w:r w:rsidR="00C040F4" w:rsidRPr="00A472FC">
        <w:rPr>
          <w:rFonts w:ascii="Times New Roman" w:hAnsi="Times New Roman" w:cs="Times New Roman"/>
          <w:lang w:val="en-US"/>
        </w:rPr>
        <w:t>For this reason</w:t>
      </w:r>
      <w:r w:rsidR="00DD5D77" w:rsidRPr="00A472FC">
        <w:rPr>
          <w:rFonts w:ascii="Times New Roman" w:hAnsi="Times New Roman" w:cs="Times New Roman"/>
          <w:lang w:val="en-US"/>
        </w:rPr>
        <w:t>,</w:t>
      </w:r>
      <w:r w:rsidR="00250C47" w:rsidRPr="00A472FC">
        <w:rPr>
          <w:rFonts w:ascii="Times New Roman" w:hAnsi="Times New Roman" w:cs="Times New Roman"/>
          <w:lang w:val="en-US"/>
        </w:rPr>
        <w:t xml:space="preserve"> his</w:t>
      </w:r>
      <w:r w:rsidRPr="00A472FC">
        <w:rPr>
          <w:rFonts w:ascii="Times New Roman" w:hAnsi="Times New Roman" w:cs="Times New Roman"/>
          <w:lang w:val="en-US"/>
        </w:rPr>
        <w:t xml:space="preserve"> work was </w:t>
      </w:r>
      <w:r w:rsidRPr="00A472FC">
        <w:rPr>
          <w:rFonts w:ascii="Times New Roman" w:hAnsi="Times New Roman" w:cs="Times New Roman"/>
          <w:color w:val="000000"/>
          <w:lang w:val="en-US"/>
        </w:rPr>
        <w:t>very influential for all subsequent early scholastics</w:t>
      </w:r>
      <w:r w:rsidR="00FF3E5C" w:rsidRPr="00A472FC">
        <w:rPr>
          <w:rFonts w:ascii="Times New Roman" w:hAnsi="Times New Roman" w:cs="Times New Roman"/>
          <w:color w:val="000000"/>
          <w:lang w:val="en-US"/>
        </w:rPr>
        <w:t>, many of whom quote him extensively</w:t>
      </w:r>
      <w:r w:rsidRPr="00A472FC">
        <w:rPr>
          <w:rFonts w:ascii="Times New Roman" w:hAnsi="Times New Roman" w:cs="Times New Roman"/>
          <w:color w:val="000000"/>
          <w:lang w:val="en-US"/>
        </w:rPr>
        <w:t>.</w:t>
      </w:r>
      <w:r w:rsidRPr="00A472FC">
        <w:rPr>
          <w:rStyle w:val="FootnoteReference"/>
          <w:rFonts w:ascii="Times New Roman" w:hAnsi="Times New Roman" w:cs="Times New Roman"/>
          <w:color w:val="000000"/>
          <w:lang w:val="en-US"/>
        </w:rPr>
        <w:footnoteReference w:id="202"/>
      </w:r>
      <w:r w:rsidRPr="00A472FC">
        <w:rPr>
          <w:rFonts w:ascii="Times New Roman" w:hAnsi="Times New Roman" w:cs="Times New Roman"/>
          <w:color w:val="000000"/>
          <w:lang w:val="en-US"/>
        </w:rPr>
        <w:t xml:space="preserve"> The huge popularity of William of Auxerre is confirmed in the fact that there are over 120 manuscripts of the </w:t>
      </w:r>
      <w:r w:rsidRPr="00A472FC">
        <w:rPr>
          <w:rFonts w:ascii="Times New Roman" w:hAnsi="Times New Roman" w:cs="Times New Roman"/>
          <w:i/>
          <w:color w:val="000000"/>
          <w:lang w:val="en-US"/>
        </w:rPr>
        <w:t xml:space="preserve">Summa </w:t>
      </w:r>
      <w:proofErr w:type="spellStart"/>
      <w:r w:rsidRPr="00A472FC">
        <w:rPr>
          <w:rFonts w:ascii="Times New Roman" w:hAnsi="Times New Roman" w:cs="Times New Roman"/>
          <w:i/>
          <w:color w:val="000000"/>
          <w:lang w:val="en-US"/>
        </w:rPr>
        <w:t>aurea</w:t>
      </w:r>
      <w:proofErr w:type="spellEnd"/>
      <w:r w:rsidRPr="00A472FC">
        <w:rPr>
          <w:rFonts w:ascii="Times New Roman" w:hAnsi="Times New Roman" w:cs="Times New Roman"/>
          <w:color w:val="000000"/>
          <w:lang w:val="en-US"/>
        </w:rPr>
        <w:t xml:space="preserve"> and many abbreviations of the text dating to the thirteenth and fourteenth centuries.</w:t>
      </w:r>
    </w:p>
    <w:p w14:paraId="38ADF2AB" w14:textId="77777777" w:rsidR="00726FAB" w:rsidRPr="00A472FC" w:rsidRDefault="00726FAB" w:rsidP="00881604">
      <w:pPr>
        <w:pStyle w:val="Default"/>
        <w:ind w:right="-52"/>
        <w:rPr>
          <w:rFonts w:ascii="Times New Roman" w:hAnsi="Times New Roman" w:cs="Times New Roman"/>
          <w:color w:val="auto"/>
          <w:u w:val="single"/>
          <w:lang w:val="en-GB"/>
        </w:rPr>
      </w:pPr>
    </w:p>
    <w:p w14:paraId="61167874" w14:textId="35B34013" w:rsidR="007C038D" w:rsidRPr="00A472FC" w:rsidRDefault="007C038D" w:rsidP="00881604">
      <w:pPr>
        <w:pStyle w:val="Default"/>
        <w:ind w:right="-52"/>
        <w:rPr>
          <w:rFonts w:ascii="Times New Roman" w:hAnsi="Times New Roman" w:cs="Times New Roman"/>
          <w:u w:val="single"/>
        </w:rPr>
      </w:pPr>
      <w:r w:rsidRPr="00A472FC">
        <w:rPr>
          <w:rFonts w:ascii="Times New Roman" w:hAnsi="Times New Roman" w:cs="Times New Roman"/>
          <w:color w:val="auto"/>
          <w:u w:val="single"/>
          <w:lang w:val="en-GB"/>
        </w:rPr>
        <w:t>Philip the Chancellor</w:t>
      </w:r>
    </w:p>
    <w:p w14:paraId="3617D1CF" w14:textId="77777777" w:rsidR="007C038D" w:rsidRPr="00A472FC" w:rsidRDefault="007C038D" w:rsidP="00881604">
      <w:pPr>
        <w:autoSpaceDE w:val="0"/>
        <w:autoSpaceDN w:val="0"/>
        <w:adjustRightInd w:val="0"/>
        <w:ind w:right="-52" w:firstLine="720"/>
        <w:rPr>
          <w:rFonts w:ascii="Times New Roman" w:hAnsi="Times New Roman" w:cs="Times New Roman"/>
        </w:rPr>
      </w:pPr>
    </w:p>
    <w:p w14:paraId="0BEE2668" w14:textId="0A523D13" w:rsidR="00BD2A4D" w:rsidRPr="00A472FC" w:rsidRDefault="007C038D" w:rsidP="00BD2A4D">
      <w:pPr>
        <w:autoSpaceDE w:val="0"/>
        <w:autoSpaceDN w:val="0"/>
        <w:adjustRightInd w:val="0"/>
        <w:ind w:right="-52" w:firstLine="720"/>
        <w:rPr>
          <w:rFonts w:ascii="Times New Roman" w:hAnsi="Times New Roman" w:cs="Times New Roman"/>
          <w:color w:val="000000"/>
          <w:lang w:val="en-US"/>
        </w:rPr>
      </w:pPr>
      <w:r w:rsidRPr="00A472FC">
        <w:rPr>
          <w:rFonts w:ascii="Times New Roman" w:hAnsi="Times New Roman" w:cs="Times New Roman"/>
          <w:color w:val="000000"/>
          <w:lang w:val="en-US"/>
        </w:rPr>
        <w:t>Philip the Chancellor (1160-1236) was a secular master in the University of Paris</w:t>
      </w:r>
      <w:r w:rsidR="009C4B4D" w:rsidRPr="00A472FC">
        <w:rPr>
          <w:rFonts w:ascii="Times New Roman" w:hAnsi="Times New Roman" w:cs="Times New Roman"/>
          <w:color w:val="000000"/>
          <w:lang w:val="en-US"/>
        </w:rPr>
        <w:t xml:space="preserve">, whose major work, the </w:t>
      </w:r>
      <w:r w:rsidR="009C4B4D" w:rsidRPr="00A472FC">
        <w:rPr>
          <w:rFonts w:ascii="Times New Roman" w:hAnsi="Times New Roman" w:cs="Times New Roman"/>
          <w:i/>
          <w:color w:val="000000"/>
          <w:lang w:val="en-US"/>
        </w:rPr>
        <w:t>Summa de bono</w:t>
      </w:r>
      <w:r w:rsidR="00BF19E6" w:rsidRPr="00A472FC">
        <w:rPr>
          <w:rFonts w:ascii="Times New Roman" w:hAnsi="Times New Roman" w:cs="Times New Roman"/>
          <w:color w:val="000000"/>
          <w:lang w:val="en-US"/>
        </w:rPr>
        <w:t xml:space="preserve">, </w:t>
      </w:r>
      <w:r w:rsidR="009C4B4D" w:rsidRPr="00A472FC">
        <w:rPr>
          <w:rFonts w:ascii="Times New Roman" w:hAnsi="Times New Roman" w:cs="Times New Roman"/>
          <w:color w:val="000000"/>
          <w:lang w:val="en-US"/>
        </w:rPr>
        <w:t xml:space="preserve">was </w:t>
      </w:r>
      <w:r w:rsidR="00BF19E6" w:rsidRPr="00A472FC">
        <w:rPr>
          <w:rFonts w:ascii="Times New Roman" w:hAnsi="Times New Roman" w:cs="Times New Roman"/>
          <w:color w:val="000000"/>
          <w:lang w:val="en-US"/>
        </w:rPr>
        <w:t xml:space="preserve">probably </w:t>
      </w:r>
      <w:r w:rsidR="009C4B4D" w:rsidRPr="00A472FC">
        <w:rPr>
          <w:rFonts w:ascii="Times New Roman" w:hAnsi="Times New Roman" w:cs="Times New Roman"/>
          <w:color w:val="000000"/>
          <w:lang w:val="en-US"/>
        </w:rPr>
        <w:t xml:space="preserve">written </w:t>
      </w:r>
      <w:r w:rsidR="00BF19E6" w:rsidRPr="00A472FC">
        <w:rPr>
          <w:rFonts w:ascii="Times New Roman" w:hAnsi="Times New Roman" w:cs="Times New Roman"/>
          <w:color w:val="000000"/>
          <w:lang w:val="en-US"/>
        </w:rPr>
        <w:t xml:space="preserve">between 1228-36, </w:t>
      </w:r>
      <w:r w:rsidR="009C4B4D" w:rsidRPr="00A472FC">
        <w:rPr>
          <w:rFonts w:ascii="Times New Roman" w:hAnsi="Times New Roman" w:cs="Times New Roman"/>
          <w:color w:val="000000"/>
          <w:lang w:val="en-US"/>
        </w:rPr>
        <w:t>towards the end of a long career in the University of Paris.</w:t>
      </w:r>
      <w:r w:rsidR="009C4B4D" w:rsidRPr="00A472FC">
        <w:rPr>
          <w:rStyle w:val="FootnoteReference"/>
          <w:rFonts w:ascii="Times New Roman" w:hAnsi="Times New Roman" w:cs="Times New Roman"/>
          <w:lang w:val="en-US"/>
        </w:rPr>
        <w:footnoteReference w:id="203"/>
      </w:r>
      <w:r w:rsidR="009C4B4D" w:rsidRPr="00A472FC">
        <w:rPr>
          <w:rFonts w:ascii="Times New Roman" w:hAnsi="Times New Roman" w:cs="Times New Roman"/>
          <w:color w:val="000000"/>
          <w:lang w:val="en-US"/>
        </w:rPr>
        <w:t xml:space="preserve"> The fact that twelve manuscripts of the text survive from the thirteenth century alone suggests that Philip was a highly influential figure</w:t>
      </w:r>
      <w:r w:rsidR="00A91DAC" w:rsidRPr="00A472FC">
        <w:rPr>
          <w:rFonts w:ascii="Times New Roman" w:hAnsi="Times New Roman" w:cs="Times New Roman"/>
          <w:color w:val="000000"/>
          <w:lang w:val="en-US"/>
        </w:rPr>
        <w:t>.</w:t>
      </w:r>
      <w:r w:rsidR="00A91DAC" w:rsidRPr="00A472FC">
        <w:rPr>
          <w:rStyle w:val="FootnoteReference"/>
          <w:rFonts w:ascii="Times New Roman" w:hAnsi="Times New Roman" w:cs="Times New Roman"/>
          <w:color w:val="000000"/>
          <w:lang w:val="en-US"/>
        </w:rPr>
        <w:footnoteReference w:id="204"/>
      </w:r>
      <w:r w:rsidR="00A91DAC" w:rsidRPr="00A472FC">
        <w:rPr>
          <w:rFonts w:ascii="Times New Roman" w:hAnsi="Times New Roman" w:cs="Times New Roman"/>
          <w:color w:val="000000"/>
          <w:lang w:val="en-US"/>
        </w:rPr>
        <w:t xml:space="preserve"> As a theologian, he was one </w:t>
      </w:r>
      <w:r w:rsidR="009C4B4D" w:rsidRPr="00A472FC">
        <w:rPr>
          <w:rFonts w:ascii="Times New Roman" w:hAnsi="Times New Roman" w:cs="Times New Roman"/>
          <w:color w:val="000000"/>
          <w:lang w:val="en-US"/>
        </w:rPr>
        <w:t>of the first to embrace the new works of natural philosophy</w:t>
      </w:r>
      <w:r w:rsidRPr="00A472FC">
        <w:rPr>
          <w:rFonts w:ascii="Times New Roman" w:hAnsi="Times New Roman" w:cs="Times New Roman"/>
          <w:color w:val="000000"/>
          <w:lang w:val="en-US"/>
        </w:rPr>
        <w:t xml:space="preserve">. </w:t>
      </w:r>
      <w:r w:rsidR="009C4B4D" w:rsidRPr="00A472FC">
        <w:rPr>
          <w:rFonts w:ascii="Times New Roman" w:hAnsi="Times New Roman" w:cs="Times New Roman"/>
          <w:color w:val="000000"/>
          <w:lang w:val="en-US"/>
        </w:rPr>
        <w:t xml:space="preserve">In </w:t>
      </w:r>
      <w:r w:rsidR="009C4B4D" w:rsidRPr="00A472FC">
        <w:rPr>
          <w:rFonts w:ascii="Times New Roman" w:hAnsi="Times New Roman" w:cs="Times New Roman"/>
          <w:color w:val="000000"/>
          <w:lang w:val="en-US"/>
        </w:rPr>
        <w:lastRenderedPageBreak/>
        <w:t>this connection, he</w:t>
      </w:r>
      <w:r w:rsidRPr="00A472FC">
        <w:rPr>
          <w:rFonts w:ascii="Times New Roman" w:hAnsi="Times New Roman" w:cs="Times New Roman"/>
          <w:color w:val="000000"/>
          <w:lang w:val="en-US"/>
        </w:rPr>
        <w:t xml:space="preserve"> shows keen awareness of Aristotle, including </w:t>
      </w:r>
      <w:r w:rsidR="003C47A5" w:rsidRPr="00A472FC">
        <w:rPr>
          <w:rFonts w:ascii="Times New Roman" w:hAnsi="Times New Roman" w:cs="Times New Roman"/>
          <w:color w:val="000000"/>
          <w:lang w:val="en-US"/>
        </w:rPr>
        <w:t>the</w:t>
      </w:r>
      <w:r w:rsidRPr="00A472FC">
        <w:rPr>
          <w:rFonts w:ascii="Times New Roman" w:hAnsi="Times New Roman" w:cs="Times New Roman"/>
          <w:color w:val="000000"/>
          <w:lang w:val="en-US"/>
        </w:rPr>
        <w:t xml:space="preserve"> </w:t>
      </w:r>
      <w:r w:rsidRPr="00A472FC">
        <w:rPr>
          <w:rFonts w:ascii="Times New Roman" w:hAnsi="Times New Roman" w:cs="Times New Roman"/>
          <w:i/>
          <w:color w:val="000000"/>
          <w:lang w:val="en-US"/>
        </w:rPr>
        <w:t>De anima,</w:t>
      </w:r>
      <w:r w:rsidRPr="00A472FC">
        <w:rPr>
          <w:rFonts w:ascii="Times New Roman" w:hAnsi="Times New Roman" w:cs="Times New Roman"/>
          <w:color w:val="000000"/>
          <w:lang w:val="en-US"/>
        </w:rPr>
        <w:t xml:space="preserve"> </w:t>
      </w:r>
      <w:r w:rsidR="00BF3E01" w:rsidRPr="00A472FC">
        <w:rPr>
          <w:rFonts w:ascii="Times New Roman" w:hAnsi="Times New Roman" w:cs="Times New Roman"/>
          <w:color w:val="000000"/>
          <w:lang w:val="en-US"/>
        </w:rPr>
        <w:t>though</w:t>
      </w:r>
      <w:r w:rsidRPr="00A472FC">
        <w:rPr>
          <w:rFonts w:ascii="Times New Roman" w:hAnsi="Times New Roman" w:cs="Times New Roman"/>
          <w:color w:val="000000"/>
          <w:lang w:val="en-US"/>
        </w:rPr>
        <w:t xml:space="preserve"> not yet much understanding of the philosopher’s writings</w:t>
      </w:r>
      <w:r w:rsidR="009C4B4D" w:rsidRPr="00A472FC">
        <w:rPr>
          <w:rFonts w:ascii="Times New Roman" w:hAnsi="Times New Roman" w:cs="Times New Roman"/>
          <w:color w:val="000000"/>
          <w:lang w:val="en-US"/>
        </w:rPr>
        <w:t xml:space="preserve">. </w:t>
      </w:r>
      <w:r w:rsidR="00BF3E01" w:rsidRPr="00A472FC">
        <w:rPr>
          <w:rFonts w:ascii="Times New Roman" w:hAnsi="Times New Roman" w:cs="Times New Roman"/>
          <w:color w:val="000000"/>
          <w:lang w:val="en-US"/>
        </w:rPr>
        <w:t>L</w:t>
      </w:r>
      <w:r w:rsidRPr="00A472FC">
        <w:rPr>
          <w:rFonts w:ascii="Times New Roman" w:hAnsi="Times New Roman" w:cs="Times New Roman"/>
          <w:color w:val="000000"/>
          <w:lang w:val="en-US"/>
        </w:rPr>
        <w:t xml:space="preserve">ike many other thinkers at the time, his reading of Aristotle is mediated mostly by Avicenna. He was one of the first to mention </w:t>
      </w:r>
      <w:proofErr w:type="spellStart"/>
      <w:r w:rsidRPr="00A472FC">
        <w:rPr>
          <w:rFonts w:ascii="Times New Roman" w:hAnsi="Times New Roman" w:cs="Times New Roman"/>
          <w:color w:val="000000"/>
          <w:lang w:val="en-US"/>
        </w:rPr>
        <w:t>Averroes</w:t>
      </w:r>
      <w:proofErr w:type="spellEnd"/>
      <w:r w:rsidRPr="00A472FC">
        <w:rPr>
          <w:rFonts w:ascii="Times New Roman" w:hAnsi="Times New Roman" w:cs="Times New Roman"/>
          <w:color w:val="000000"/>
          <w:lang w:val="en-US"/>
        </w:rPr>
        <w:t>, albeit only a couple of times.</w:t>
      </w:r>
      <w:r w:rsidRPr="00A472FC">
        <w:rPr>
          <w:rStyle w:val="FootnoteReference"/>
          <w:rFonts w:ascii="Times New Roman" w:hAnsi="Times New Roman" w:cs="Times New Roman"/>
          <w:color w:val="000000"/>
          <w:lang w:val="en-US"/>
        </w:rPr>
        <w:footnoteReference w:id="205"/>
      </w:r>
      <w:r w:rsidRPr="00A472FC">
        <w:rPr>
          <w:rFonts w:ascii="Times New Roman" w:hAnsi="Times New Roman" w:cs="Times New Roman"/>
          <w:color w:val="000000"/>
          <w:lang w:val="en-US"/>
        </w:rPr>
        <w:t xml:space="preserve"> </w:t>
      </w:r>
    </w:p>
    <w:p w14:paraId="77554D1E" w14:textId="3DFA5D8B" w:rsidR="007C038D" w:rsidRPr="00A472FC" w:rsidRDefault="007C038D" w:rsidP="008816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color w:val="000000"/>
          <w:lang w:val="en-US"/>
        </w:rPr>
        <w:t xml:space="preserve">True to its name, the </w:t>
      </w:r>
      <w:r w:rsidRPr="00A472FC">
        <w:rPr>
          <w:rFonts w:ascii="Times New Roman" w:hAnsi="Times New Roman" w:cs="Times New Roman"/>
          <w:i/>
          <w:color w:val="000000"/>
          <w:lang w:val="en-US"/>
        </w:rPr>
        <w:t>Summa de bono</w:t>
      </w:r>
      <w:r w:rsidRPr="00A472FC">
        <w:rPr>
          <w:rFonts w:ascii="Times New Roman" w:hAnsi="Times New Roman" w:cs="Times New Roman"/>
          <w:color w:val="000000"/>
          <w:lang w:val="en-US"/>
        </w:rPr>
        <w:t xml:space="preserve"> concerns itself firstly with the good in general</w:t>
      </w:r>
      <w:r w:rsidR="00FE7ED2" w:rsidRPr="00A472FC">
        <w:rPr>
          <w:rFonts w:ascii="Times New Roman" w:hAnsi="Times New Roman" w:cs="Times New Roman"/>
          <w:color w:val="000000"/>
          <w:lang w:val="en-US"/>
        </w:rPr>
        <w:t xml:space="preserve">, </w:t>
      </w:r>
      <w:r w:rsidRPr="00A472FC">
        <w:rPr>
          <w:rFonts w:ascii="Times New Roman" w:hAnsi="Times New Roman" w:cs="Times New Roman"/>
          <w:color w:val="000000"/>
          <w:lang w:val="en-US"/>
        </w:rPr>
        <w:t>and the good of natural beings, including angels, corporeal creatures, and humans</w:t>
      </w:r>
      <w:r w:rsidR="00FE7ED2" w:rsidRPr="00A472FC">
        <w:rPr>
          <w:rFonts w:ascii="Times New Roman" w:hAnsi="Times New Roman" w:cs="Times New Roman"/>
          <w:color w:val="000000"/>
          <w:lang w:val="en-US"/>
        </w:rPr>
        <w:t xml:space="preserve">, </w:t>
      </w:r>
      <w:r w:rsidRPr="00A472FC">
        <w:rPr>
          <w:rFonts w:ascii="Times New Roman" w:hAnsi="Times New Roman" w:cs="Times New Roman"/>
          <w:color w:val="000000"/>
          <w:lang w:val="en-US"/>
        </w:rPr>
        <w:t>before moving on to deal with the good diminished through sin</w:t>
      </w:r>
      <w:r w:rsidR="00FE7ED2" w:rsidRPr="00A472FC">
        <w:rPr>
          <w:rFonts w:ascii="Times New Roman" w:hAnsi="Times New Roman" w:cs="Times New Roman"/>
          <w:color w:val="000000"/>
          <w:lang w:val="en-US"/>
        </w:rPr>
        <w:t xml:space="preserve">, </w:t>
      </w:r>
      <w:r w:rsidRPr="00A472FC">
        <w:rPr>
          <w:rFonts w:ascii="Times New Roman" w:hAnsi="Times New Roman" w:cs="Times New Roman"/>
          <w:color w:val="000000"/>
          <w:lang w:val="en-US"/>
        </w:rPr>
        <w:t>the moral good in general</w:t>
      </w:r>
      <w:r w:rsidR="00FE7ED2" w:rsidRPr="00A472FC">
        <w:rPr>
          <w:rFonts w:ascii="Times New Roman" w:hAnsi="Times New Roman" w:cs="Times New Roman"/>
          <w:color w:val="000000"/>
          <w:lang w:val="en-US"/>
        </w:rPr>
        <w:t xml:space="preserve">, </w:t>
      </w:r>
      <w:r w:rsidRPr="00A472FC">
        <w:rPr>
          <w:rFonts w:ascii="Times New Roman" w:hAnsi="Times New Roman" w:cs="Times New Roman"/>
          <w:color w:val="000000"/>
          <w:lang w:val="en-US"/>
        </w:rPr>
        <w:t>the good of grace</w:t>
      </w:r>
      <w:r w:rsidR="00FE7ED2" w:rsidRPr="00A472FC">
        <w:rPr>
          <w:rFonts w:ascii="Times New Roman" w:hAnsi="Times New Roman" w:cs="Times New Roman"/>
          <w:color w:val="000000"/>
          <w:lang w:val="en-US"/>
        </w:rPr>
        <w:t xml:space="preserve">, </w:t>
      </w:r>
      <w:r w:rsidRPr="00A472FC">
        <w:rPr>
          <w:rFonts w:ascii="Times New Roman" w:hAnsi="Times New Roman" w:cs="Times New Roman"/>
          <w:color w:val="000000"/>
          <w:lang w:val="en-US"/>
        </w:rPr>
        <w:t>and the means of achieving these goods through the theological virtues</w:t>
      </w:r>
      <w:r w:rsidR="00FE7ED2" w:rsidRPr="00A472FC">
        <w:rPr>
          <w:rFonts w:ascii="Times New Roman" w:hAnsi="Times New Roman" w:cs="Times New Roman"/>
          <w:color w:val="000000"/>
          <w:lang w:val="en-US"/>
        </w:rPr>
        <w:t xml:space="preserve">, </w:t>
      </w:r>
      <w:r w:rsidRPr="00A472FC">
        <w:rPr>
          <w:rFonts w:ascii="Times New Roman" w:hAnsi="Times New Roman" w:cs="Times New Roman"/>
          <w:color w:val="000000"/>
          <w:lang w:val="en-US"/>
        </w:rPr>
        <w:t>the cardinal virtues</w:t>
      </w:r>
      <w:r w:rsidR="00FE7ED2" w:rsidRPr="00A472FC">
        <w:rPr>
          <w:rFonts w:ascii="Times New Roman" w:hAnsi="Times New Roman" w:cs="Times New Roman"/>
          <w:color w:val="000000"/>
          <w:lang w:val="en-US"/>
        </w:rPr>
        <w:t xml:space="preserve">, </w:t>
      </w:r>
      <w:r w:rsidRPr="00A472FC">
        <w:rPr>
          <w:rFonts w:ascii="Times New Roman" w:hAnsi="Times New Roman" w:cs="Times New Roman"/>
          <w:color w:val="000000"/>
          <w:lang w:val="en-US"/>
        </w:rPr>
        <w:t>and the gifts of Holy Spirit</w:t>
      </w:r>
      <w:r w:rsidR="00435C0D" w:rsidRPr="00A472FC">
        <w:rPr>
          <w:rFonts w:ascii="Times New Roman" w:hAnsi="Times New Roman" w:cs="Times New Roman"/>
          <w:color w:val="000000"/>
          <w:lang w:val="en-US"/>
        </w:rPr>
        <w:t xml:space="preserve">. </w:t>
      </w:r>
      <w:r w:rsidRPr="00A472FC">
        <w:rPr>
          <w:rFonts w:ascii="Times New Roman" w:hAnsi="Times New Roman" w:cs="Times New Roman"/>
          <w:color w:val="000000"/>
          <w:lang w:val="en-US"/>
        </w:rPr>
        <w:t>The material that is most relevant to the topic of this book is found in Philip’s treatment of the human soul.</w:t>
      </w:r>
      <w:r w:rsidR="00FE7ED2" w:rsidRPr="00A472FC">
        <w:rPr>
          <w:rStyle w:val="FootnoteReference"/>
          <w:rFonts w:ascii="Times New Roman" w:hAnsi="Times New Roman" w:cs="Times New Roman"/>
          <w:color w:val="000000"/>
          <w:lang w:val="en-US"/>
        </w:rPr>
        <w:footnoteReference w:id="206"/>
      </w:r>
      <w:r w:rsidRPr="00A472FC">
        <w:rPr>
          <w:rFonts w:ascii="Times New Roman" w:hAnsi="Times New Roman" w:cs="Times New Roman"/>
          <w:color w:val="000000"/>
          <w:lang w:val="en-US"/>
        </w:rPr>
        <w:t xml:space="preserve"> This section covers </w:t>
      </w:r>
      <w:r w:rsidRPr="00A472FC">
        <w:rPr>
          <w:rFonts w:ascii="Times New Roman" w:hAnsi="Times New Roman" w:cs="Times New Roman"/>
          <w:lang w:val="en-US"/>
        </w:rPr>
        <w:t>the definition of the soul, the powers of the soul, the soul as the image and likeness of God, the origin of the soul, the immortality of the soul, the greatness of the soul, its union with the body, and its location and temporality.</w:t>
      </w:r>
      <w:r w:rsidRPr="00A472FC">
        <w:rPr>
          <w:rStyle w:val="FootnoteReference"/>
          <w:rFonts w:ascii="Times New Roman" w:hAnsi="Times New Roman" w:cs="Times New Roman"/>
          <w:lang w:val="en-US"/>
        </w:rPr>
        <w:footnoteReference w:id="207"/>
      </w:r>
    </w:p>
    <w:p w14:paraId="1E7C61A0" w14:textId="68022828" w:rsidR="007C038D" w:rsidRPr="00A472FC" w:rsidRDefault="00BD2A4D" w:rsidP="005E7C88">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In </w:t>
      </w:r>
      <w:r w:rsidR="00CA3826" w:rsidRPr="00A472FC">
        <w:rPr>
          <w:rFonts w:ascii="Times New Roman" w:hAnsi="Times New Roman" w:cs="Times New Roman"/>
          <w:lang w:val="en-US"/>
        </w:rPr>
        <w:t>his account</w:t>
      </w:r>
      <w:r w:rsidRPr="00A472FC">
        <w:rPr>
          <w:rFonts w:ascii="Times New Roman" w:hAnsi="Times New Roman" w:cs="Times New Roman"/>
          <w:lang w:val="en-US"/>
        </w:rPr>
        <w:t>,</w:t>
      </w:r>
      <w:r w:rsidR="005E7C88" w:rsidRPr="00A472FC">
        <w:rPr>
          <w:rFonts w:ascii="Times New Roman" w:hAnsi="Times New Roman" w:cs="Times New Roman"/>
          <w:lang w:val="en-US"/>
        </w:rPr>
        <w:t xml:space="preserve"> </w:t>
      </w:r>
      <w:r w:rsidRPr="00A472FC">
        <w:rPr>
          <w:rFonts w:ascii="Times New Roman" w:hAnsi="Times New Roman" w:cs="Times New Roman"/>
          <w:lang w:val="en-US"/>
        </w:rPr>
        <w:t>Philip situates the</w:t>
      </w:r>
      <w:r w:rsidR="00CA3826" w:rsidRPr="00A472FC">
        <w:rPr>
          <w:rFonts w:ascii="Times New Roman" w:hAnsi="Times New Roman" w:cs="Times New Roman"/>
          <w:lang w:val="en-US"/>
        </w:rPr>
        <w:t>se issues</w:t>
      </w:r>
      <w:r w:rsidR="005E7C88" w:rsidRPr="00A472FC">
        <w:rPr>
          <w:rFonts w:ascii="Times New Roman" w:hAnsi="Times New Roman" w:cs="Times New Roman"/>
          <w:lang w:val="en-US"/>
        </w:rPr>
        <w:t xml:space="preserve"> within a broader context in which </w:t>
      </w:r>
      <w:r w:rsidR="007C038D" w:rsidRPr="00A472FC">
        <w:rPr>
          <w:rFonts w:ascii="Times New Roman" w:hAnsi="Times New Roman" w:cs="Times New Roman"/>
        </w:rPr>
        <w:t xml:space="preserve">knowing the good </w:t>
      </w:r>
      <w:r w:rsidR="005E7C88" w:rsidRPr="00A472FC">
        <w:rPr>
          <w:rFonts w:ascii="Times New Roman" w:hAnsi="Times New Roman" w:cs="Times New Roman"/>
        </w:rPr>
        <w:t>i</w:t>
      </w:r>
      <w:r w:rsidR="007C038D" w:rsidRPr="00A472FC">
        <w:rPr>
          <w:rFonts w:ascii="Times New Roman" w:hAnsi="Times New Roman" w:cs="Times New Roman"/>
        </w:rPr>
        <w:t xml:space="preserve">s the means to acting in accordance with it. </w:t>
      </w:r>
      <w:r w:rsidRPr="00A472FC">
        <w:rPr>
          <w:rFonts w:ascii="Times New Roman" w:hAnsi="Times New Roman" w:cs="Times New Roman"/>
        </w:rPr>
        <w:t xml:space="preserve">Thus, he focuses not so much on the cognitive as the motive powers of the soul, </w:t>
      </w:r>
      <w:r w:rsidR="007C038D" w:rsidRPr="00A472FC">
        <w:rPr>
          <w:rFonts w:ascii="Times New Roman" w:hAnsi="Times New Roman" w:cs="Times New Roman"/>
        </w:rPr>
        <w:t xml:space="preserve">above all, free will, and the so-called irascible and </w:t>
      </w:r>
      <w:proofErr w:type="spellStart"/>
      <w:r w:rsidR="007C038D" w:rsidRPr="00A472FC">
        <w:rPr>
          <w:rFonts w:ascii="Times New Roman" w:hAnsi="Times New Roman" w:cs="Times New Roman"/>
        </w:rPr>
        <w:t>concupiscible</w:t>
      </w:r>
      <w:proofErr w:type="spellEnd"/>
      <w:r w:rsidR="007C038D" w:rsidRPr="00A472FC">
        <w:rPr>
          <w:rFonts w:ascii="Times New Roman" w:hAnsi="Times New Roman" w:cs="Times New Roman"/>
        </w:rPr>
        <w:t xml:space="preserve"> powers that fuel or deter its activities.</w:t>
      </w:r>
      <w:r w:rsidRPr="00A472FC">
        <w:rPr>
          <w:rStyle w:val="FootnoteReference"/>
          <w:rFonts w:ascii="Times New Roman" w:hAnsi="Times New Roman" w:cs="Times New Roman"/>
        </w:rPr>
        <w:footnoteReference w:id="208"/>
      </w:r>
      <w:r w:rsidR="007C038D" w:rsidRPr="00A472FC">
        <w:rPr>
          <w:rFonts w:ascii="Times New Roman" w:hAnsi="Times New Roman" w:cs="Times New Roman"/>
        </w:rPr>
        <w:t xml:space="preserve"> Such powers are dealt with at great length, in over 80 pages of what is ultimately only </w:t>
      </w:r>
      <w:r w:rsidR="00A96136" w:rsidRPr="00A472FC">
        <w:rPr>
          <w:rFonts w:ascii="Times New Roman" w:hAnsi="Times New Roman" w:cs="Times New Roman"/>
        </w:rPr>
        <w:t xml:space="preserve">an </w:t>
      </w:r>
      <w:r w:rsidR="007C038D" w:rsidRPr="00A472FC">
        <w:rPr>
          <w:rFonts w:ascii="Times New Roman" w:hAnsi="Times New Roman" w:cs="Times New Roman"/>
        </w:rPr>
        <w:t xml:space="preserve">approximately 150-page treatise on the soul in the edition. The remaining sections are nonetheless interesting for the way they edge into questions that could be derived from Aristotle via Avicenna, although generally only so far as it </w:t>
      </w:r>
      <w:r w:rsidR="003738AE" w:rsidRPr="00A472FC">
        <w:rPr>
          <w:rFonts w:ascii="Times New Roman" w:hAnsi="Times New Roman" w:cs="Times New Roman"/>
        </w:rPr>
        <w:t xml:space="preserve">seemed justifiable </w:t>
      </w:r>
      <w:r w:rsidR="007C038D" w:rsidRPr="00A472FC">
        <w:rPr>
          <w:rFonts w:ascii="Times New Roman" w:hAnsi="Times New Roman" w:cs="Times New Roman"/>
        </w:rPr>
        <w:t xml:space="preserve">in terms of </w:t>
      </w:r>
      <w:r w:rsidR="00BE37E5" w:rsidRPr="00A472FC">
        <w:rPr>
          <w:rFonts w:ascii="Times New Roman" w:hAnsi="Times New Roman" w:cs="Times New Roman"/>
        </w:rPr>
        <w:t>Philip’s</w:t>
      </w:r>
      <w:r w:rsidR="007C038D" w:rsidRPr="00A472FC">
        <w:rPr>
          <w:rFonts w:ascii="Times New Roman" w:hAnsi="Times New Roman" w:cs="Times New Roman"/>
        </w:rPr>
        <w:t xml:space="preserve"> theological or moral agenda</w:t>
      </w:r>
      <w:r w:rsidR="00D0302A" w:rsidRPr="00A472FC">
        <w:rPr>
          <w:rFonts w:ascii="Times New Roman" w:hAnsi="Times New Roman" w:cs="Times New Roman"/>
        </w:rPr>
        <w:t>.</w:t>
      </w:r>
    </w:p>
    <w:p w14:paraId="5572ACFC" w14:textId="03BF8081" w:rsidR="0079737C" w:rsidRPr="00A472FC" w:rsidRDefault="0079737C" w:rsidP="0079737C">
      <w:pPr>
        <w:pStyle w:val="Default"/>
        <w:ind w:right="-52" w:firstLine="720"/>
        <w:rPr>
          <w:rFonts w:ascii="Times New Roman" w:hAnsi="Times New Roman" w:cs="Times New Roman"/>
        </w:rPr>
      </w:pPr>
      <w:r w:rsidRPr="00A472FC">
        <w:rPr>
          <w:rFonts w:ascii="Times New Roman" w:hAnsi="Times New Roman" w:cs="Times New Roman"/>
        </w:rPr>
        <w:t>As Magdalena Bieniak has observed, for instance, Philip was the first theologian to incorporate questions about the sensitive and vegetative powers into the scope of theological inquiries that had normally focused on the rational powers which were regarded as the locus of God’s image.</w:t>
      </w:r>
      <w:r w:rsidRPr="00A472FC">
        <w:rPr>
          <w:rStyle w:val="FootnoteReference"/>
          <w:rFonts w:ascii="Times New Roman" w:hAnsi="Times New Roman" w:cs="Times New Roman"/>
        </w:rPr>
        <w:footnoteReference w:id="209"/>
      </w:r>
      <w:r w:rsidRPr="00A472FC">
        <w:rPr>
          <w:rFonts w:ascii="Times New Roman" w:hAnsi="Times New Roman" w:cs="Times New Roman"/>
        </w:rPr>
        <w:t xml:space="preserve"> Such questions, which came to the Latin tradition through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and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included whether the three powers—vegetative, sensitive, and rational—are three substances or one; and whether the soul is identical with its rational powers of memory, understanding, and will. To these and other questions, Philip is rather famous for giving </w:t>
      </w:r>
      <w:r w:rsidRPr="00A472FC">
        <w:rPr>
          <w:rFonts w:ascii="Times New Roman" w:hAnsi="Times New Roman" w:cs="Times New Roman"/>
        </w:rPr>
        <w:lastRenderedPageBreak/>
        <w:t>somewhat ambiguous answers. Still, he is important as the first theologian to pose the questions, which greatly influenced his later contemporaries, not least John of La Rochelle.</w:t>
      </w:r>
      <w:r w:rsidRPr="00A472FC">
        <w:rPr>
          <w:rStyle w:val="FootnoteReference"/>
          <w:rFonts w:ascii="Times New Roman" w:hAnsi="Times New Roman" w:cs="Times New Roman"/>
        </w:rPr>
        <w:footnoteReference w:id="210"/>
      </w:r>
    </w:p>
    <w:p w14:paraId="0D1ED3F7" w14:textId="2B632587" w:rsidR="007C038D" w:rsidRPr="00A472FC" w:rsidRDefault="007C038D" w:rsidP="00881604">
      <w:pPr>
        <w:autoSpaceDE w:val="0"/>
        <w:autoSpaceDN w:val="0"/>
        <w:adjustRightInd w:val="0"/>
        <w:ind w:right="-52"/>
        <w:rPr>
          <w:rFonts w:ascii="Times New Roman" w:hAnsi="Times New Roman" w:cs="Times New Roman"/>
          <w:color w:val="000000"/>
          <w:lang w:val="en-US"/>
        </w:rPr>
      </w:pPr>
    </w:p>
    <w:p w14:paraId="72B6512A" w14:textId="77777777" w:rsidR="007C038D" w:rsidRPr="00A472FC" w:rsidRDefault="007C038D" w:rsidP="00881604">
      <w:pPr>
        <w:pStyle w:val="Default"/>
        <w:ind w:right="-52"/>
        <w:rPr>
          <w:rFonts w:ascii="Times New Roman" w:hAnsi="Times New Roman" w:cs="Times New Roman"/>
          <w:u w:val="single"/>
        </w:rPr>
      </w:pPr>
      <w:r w:rsidRPr="00A472FC">
        <w:rPr>
          <w:rFonts w:ascii="Times New Roman" w:hAnsi="Times New Roman" w:cs="Times New Roman"/>
          <w:u w:val="single"/>
        </w:rPr>
        <w:t>Alexander of Hales</w:t>
      </w:r>
    </w:p>
    <w:p w14:paraId="5754BF6D" w14:textId="77777777" w:rsidR="007C038D" w:rsidRPr="00A472FC" w:rsidRDefault="007C038D" w:rsidP="00881604">
      <w:pPr>
        <w:pStyle w:val="Default"/>
        <w:ind w:right="-52"/>
        <w:rPr>
          <w:rFonts w:ascii="Times New Roman" w:hAnsi="Times New Roman" w:cs="Times New Roman"/>
        </w:rPr>
      </w:pPr>
    </w:p>
    <w:p w14:paraId="6940AC82" w14:textId="329347B3" w:rsidR="007C038D" w:rsidRPr="00A472FC" w:rsidRDefault="007C038D" w:rsidP="00881604">
      <w:pPr>
        <w:pStyle w:val="Default"/>
        <w:ind w:right="-52" w:firstLine="720"/>
        <w:rPr>
          <w:rFonts w:ascii="Times New Roman" w:hAnsi="Times New Roman" w:cs="Times New Roman"/>
        </w:rPr>
      </w:pPr>
      <w:r w:rsidRPr="00A472FC">
        <w:rPr>
          <w:rFonts w:ascii="Times New Roman" w:hAnsi="Times New Roman" w:cs="Times New Roman"/>
        </w:rPr>
        <w:t xml:space="preserve">Alexander of Hales (1184-1245) was a contemporary of Philip the Chancellor and a prominent member of the Paris </w:t>
      </w:r>
      <w:r w:rsidR="00DB5B34" w:rsidRPr="00A472FC">
        <w:rPr>
          <w:rFonts w:ascii="Times New Roman" w:hAnsi="Times New Roman" w:cs="Times New Roman"/>
        </w:rPr>
        <w:t>f</w:t>
      </w:r>
      <w:r w:rsidRPr="00A472FC">
        <w:rPr>
          <w:rFonts w:ascii="Times New Roman" w:hAnsi="Times New Roman" w:cs="Times New Roman"/>
        </w:rPr>
        <w:t xml:space="preserve">aculty of </w:t>
      </w:r>
      <w:r w:rsidR="00DB5B34" w:rsidRPr="00A472FC">
        <w:rPr>
          <w:rFonts w:ascii="Times New Roman" w:hAnsi="Times New Roman" w:cs="Times New Roman"/>
        </w:rPr>
        <w:t>theology</w:t>
      </w:r>
      <w:r w:rsidRPr="00A472FC">
        <w:rPr>
          <w:rFonts w:ascii="Times New Roman" w:hAnsi="Times New Roman" w:cs="Times New Roman"/>
        </w:rPr>
        <w:t>. Although an Englishman, he undertook his education in Paris and likely assumed a chair in theology in 1220-</w:t>
      </w:r>
      <w:r w:rsidR="00F6209D" w:rsidRPr="00A472FC">
        <w:rPr>
          <w:rFonts w:ascii="Times New Roman" w:hAnsi="Times New Roman" w:cs="Times New Roman"/>
        </w:rPr>
        <w:t>2</w:t>
      </w:r>
      <w:r w:rsidRPr="00A472FC">
        <w:rPr>
          <w:rFonts w:ascii="Times New Roman" w:hAnsi="Times New Roman" w:cs="Times New Roman"/>
        </w:rPr>
        <w:t>1.</w:t>
      </w:r>
      <w:r w:rsidRPr="00A472FC">
        <w:rPr>
          <w:rStyle w:val="FootnoteReference"/>
          <w:rFonts w:ascii="Times New Roman" w:hAnsi="Times New Roman" w:cs="Times New Roman"/>
        </w:rPr>
        <w:footnoteReference w:id="211"/>
      </w:r>
      <w:r w:rsidRPr="00A472FC">
        <w:rPr>
          <w:rFonts w:ascii="Times New Roman" w:hAnsi="Times New Roman" w:cs="Times New Roman"/>
        </w:rPr>
        <w:t xml:space="preserve"> His major works include a four-volume Gloss on Lombard’s </w:t>
      </w:r>
      <w:r w:rsidR="00040053" w:rsidRPr="00A472FC">
        <w:rPr>
          <w:rFonts w:ascii="Times New Roman" w:hAnsi="Times New Roman" w:cs="Times New Roman"/>
          <w:i/>
        </w:rPr>
        <w:t>Sentences</w:t>
      </w:r>
      <w:r w:rsidRPr="00A472FC">
        <w:rPr>
          <w:rFonts w:ascii="Times New Roman" w:hAnsi="Times New Roman" w:cs="Times New Roman"/>
        </w:rPr>
        <w:t>, completed prior to 1227.</w:t>
      </w:r>
      <w:r w:rsidRPr="00A472FC">
        <w:rPr>
          <w:rStyle w:val="FootnoteReference"/>
          <w:rFonts w:ascii="Times New Roman" w:hAnsi="Times New Roman" w:cs="Times New Roman"/>
        </w:rPr>
        <w:footnoteReference w:id="212"/>
      </w:r>
      <w:r w:rsidRPr="00A472FC">
        <w:rPr>
          <w:rFonts w:ascii="Times New Roman" w:hAnsi="Times New Roman" w:cs="Times New Roman"/>
        </w:rPr>
        <w:t xml:space="preserve"> This Gloss was only the second of its kind, after that of Stephen Langton.</w:t>
      </w:r>
      <w:r w:rsidRPr="00A472FC">
        <w:rPr>
          <w:rStyle w:val="FootnoteReference"/>
          <w:rFonts w:ascii="Times New Roman" w:hAnsi="Times New Roman" w:cs="Times New Roman"/>
        </w:rPr>
        <w:footnoteReference w:id="213"/>
      </w:r>
      <w:r w:rsidRPr="00A472FC">
        <w:rPr>
          <w:rFonts w:ascii="Times New Roman" w:hAnsi="Times New Roman" w:cs="Times New Roman"/>
        </w:rPr>
        <w:t xml:space="preserve"> Such </w:t>
      </w:r>
      <w:proofErr w:type="spellStart"/>
      <w:r w:rsidRPr="00A472FC">
        <w:rPr>
          <w:rFonts w:ascii="Times New Roman" w:hAnsi="Times New Roman" w:cs="Times New Roman"/>
        </w:rPr>
        <w:t>Glossae</w:t>
      </w:r>
      <w:proofErr w:type="spellEnd"/>
      <w:r w:rsidRPr="00A472FC">
        <w:rPr>
          <w:rFonts w:ascii="Times New Roman" w:hAnsi="Times New Roman" w:cs="Times New Roman"/>
        </w:rPr>
        <w:t xml:space="preserve"> would usually provide only terse comments about points originally raised or authoritative opinions</w:t>
      </w:r>
      <w:r w:rsidRPr="00A472FC">
        <w:rPr>
          <w:rFonts w:ascii="Times New Roman" w:hAnsi="Times New Roman" w:cs="Times New Roman"/>
          <w:i/>
        </w:rPr>
        <w:t xml:space="preserve"> </w:t>
      </w:r>
      <w:r w:rsidRPr="00A472FC">
        <w:rPr>
          <w:rFonts w:ascii="Times New Roman" w:hAnsi="Times New Roman" w:cs="Times New Roman"/>
        </w:rPr>
        <w:t xml:space="preserve">quoted by Master Peter Lombard. However, Alexander goes further in seeking to develop some of his own theological positions. Still, he does so in a cursory style and does not always provide significant detail on the topics he covers. This is </w:t>
      </w:r>
      <w:r w:rsidR="00116978" w:rsidRPr="00A472FC">
        <w:rPr>
          <w:rFonts w:ascii="Times New Roman" w:hAnsi="Times New Roman" w:cs="Times New Roman"/>
        </w:rPr>
        <w:t>partly</w:t>
      </w:r>
      <w:r w:rsidRPr="00A472FC">
        <w:rPr>
          <w:rFonts w:ascii="Times New Roman" w:hAnsi="Times New Roman" w:cs="Times New Roman"/>
        </w:rPr>
        <w:t xml:space="preserve"> because his Gloss is based upon student lecture notes that were not corrected later by Alexander himself. </w:t>
      </w:r>
    </w:p>
    <w:p w14:paraId="7126F75A" w14:textId="40CA84EC" w:rsidR="007C038D" w:rsidRPr="00A472FC" w:rsidRDefault="007C038D" w:rsidP="00881604">
      <w:pPr>
        <w:ind w:right="-52" w:firstLine="720"/>
        <w:rPr>
          <w:rFonts w:ascii="Times New Roman" w:hAnsi="Times New Roman" w:cs="Times New Roman"/>
        </w:rPr>
      </w:pPr>
      <w:r w:rsidRPr="00A472FC">
        <w:rPr>
          <w:rFonts w:ascii="Times New Roman" w:hAnsi="Times New Roman" w:cs="Times New Roman"/>
        </w:rPr>
        <w:t xml:space="preserve">In addition to his Gloss, Alexander </w:t>
      </w:r>
      <w:r w:rsidR="00116978" w:rsidRPr="00A472FC">
        <w:rPr>
          <w:rFonts w:ascii="Times New Roman" w:hAnsi="Times New Roman" w:cs="Times New Roman"/>
        </w:rPr>
        <w:t>composed numerous</w:t>
      </w:r>
      <w:r w:rsidRPr="00A472FC">
        <w:rPr>
          <w:rFonts w:ascii="Times New Roman" w:hAnsi="Times New Roman" w:cs="Times New Roman"/>
        </w:rPr>
        <w:t xml:space="preserve"> disputed questions which were probably based on his teaching activity in the university. Three edited volumes of these date to the time before he became a Franciscan friar in 1236 (‘</w:t>
      </w:r>
      <w:proofErr w:type="spellStart"/>
      <w:r w:rsidRPr="00A472FC">
        <w:rPr>
          <w:rFonts w:ascii="Times New Roman" w:hAnsi="Times New Roman" w:cs="Times New Roman"/>
        </w:rPr>
        <w:t>antequam</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esset</w:t>
      </w:r>
      <w:proofErr w:type="spellEnd"/>
      <w:r w:rsidRPr="00A472FC">
        <w:rPr>
          <w:rFonts w:ascii="Times New Roman" w:hAnsi="Times New Roman" w:cs="Times New Roman"/>
        </w:rPr>
        <w:t xml:space="preserve"> frater’).</w:t>
      </w:r>
      <w:r w:rsidRPr="00A472FC">
        <w:rPr>
          <w:rStyle w:val="FootnoteReference"/>
          <w:rFonts w:ascii="Times New Roman" w:hAnsi="Times New Roman" w:cs="Times New Roman"/>
        </w:rPr>
        <w:footnoteReference w:id="214"/>
      </w:r>
      <w:r w:rsidRPr="00A472FC">
        <w:rPr>
          <w:rFonts w:ascii="Times New Roman" w:hAnsi="Times New Roman" w:cs="Times New Roman"/>
        </w:rPr>
        <w:t xml:space="preserve"> As Osborne has noted, Alexander entered the order towards the end of a long career in which he had taught many Franciscan students, </w:t>
      </w:r>
      <w:r w:rsidR="00D46657" w:rsidRPr="00A472FC">
        <w:rPr>
          <w:rFonts w:ascii="Times New Roman" w:hAnsi="Times New Roman" w:cs="Times New Roman"/>
        </w:rPr>
        <w:t xml:space="preserve">whose school was founded in 1231, and </w:t>
      </w:r>
      <w:r w:rsidRPr="00A472FC">
        <w:rPr>
          <w:rFonts w:ascii="Times New Roman" w:hAnsi="Times New Roman" w:cs="Times New Roman"/>
        </w:rPr>
        <w:t>from whom he evidently learned that his fundamental theological positions had much in common with the Franciscan ethos.</w:t>
      </w:r>
      <w:r w:rsidRPr="00A472FC">
        <w:rPr>
          <w:rStyle w:val="FootnoteReference"/>
          <w:rFonts w:ascii="Times New Roman" w:hAnsi="Times New Roman" w:cs="Times New Roman"/>
        </w:rPr>
        <w:footnoteReference w:id="215"/>
      </w:r>
      <w:r w:rsidRPr="00A472FC">
        <w:rPr>
          <w:rFonts w:ascii="Times New Roman" w:hAnsi="Times New Roman" w:cs="Times New Roman"/>
        </w:rPr>
        <w:t xml:space="preserve"> Although Alexander also wrote disputed questions after he became a friar (‘</w:t>
      </w:r>
      <w:proofErr w:type="spellStart"/>
      <w:r w:rsidRPr="00A472FC">
        <w:rPr>
          <w:rFonts w:ascii="Times New Roman" w:hAnsi="Times New Roman" w:cs="Times New Roman"/>
        </w:rPr>
        <w:t>postquam</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esset</w:t>
      </w:r>
      <w:proofErr w:type="spellEnd"/>
      <w:r w:rsidRPr="00A472FC">
        <w:rPr>
          <w:rFonts w:ascii="Times New Roman" w:hAnsi="Times New Roman" w:cs="Times New Roman"/>
        </w:rPr>
        <w:t xml:space="preserve"> frater’</w:t>
      </w:r>
      <w:r w:rsidRPr="00A472FC">
        <w:rPr>
          <w:rStyle w:val="FootnoteReference"/>
          <w:rFonts w:ascii="Times New Roman" w:hAnsi="Times New Roman" w:cs="Times New Roman"/>
        </w:rPr>
        <w:footnoteReference w:id="216"/>
      </w:r>
      <w:r w:rsidRPr="00A472FC">
        <w:rPr>
          <w:rFonts w:ascii="Times New Roman" w:hAnsi="Times New Roman" w:cs="Times New Roman"/>
        </w:rPr>
        <w:t>), some of which have recently been edited, his ‘basic theological positions therefore remained quite constant throughout his authentic writings.’</w:t>
      </w:r>
      <w:r w:rsidRPr="00A472FC">
        <w:rPr>
          <w:rStyle w:val="FootnoteReference"/>
          <w:rFonts w:ascii="Times New Roman" w:hAnsi="Times New Roman" w:cs="Times New Roman"/>
        </w:rPr>
        <w:footnoteReference w:id="217"/>
      </w:r>
    </w:p>
    <w:p w14:paraId="7EEC28C2" w14:textId="171046F9" w:rsidR="007C038D" w:rsidRPr="00A472FC" w:rsidRDefault="007C038D" w:rsidP="00881604">
      <w:pPr>
        <w:ind w:right="-52" w:firstLine="720"/>
        <w:rPr>
          <w:rFonts w:ascii="Times New Roman" w:hAnsi="Times New Roman" w:cs="Times New Roman"/>
        </w:rPr>
      </w:pPr>
      <w:r w:rsidRPr="00A472FC">
        <w:rPr>
          <w:rFonts w:ascii="Times New Roman" w:hAnsi="Times New Roman" w:cs="Times New Roman"/>
        </w:rPr>
        <w:lastRenderedPageBreak/>
        <w:t>While he was working on his Gloss, between 1223-</w:t>
      </w:r>
      <w:r w:rsidR="00735354" w:rsidRPr="00A472FC">
        <w:rPr>
          <w:rFonts w:ascii="Times New Roman" w:hAnsi="Times New Roman" w:cs="Times New Roman"/>
        </w:rPr>
        <w:t>2</w:t>
      </w:r>
      <w:r w:rsidRPr="00A472FC">
        <w:rPr>
          <w:rFonts w:ascii="Times New Roman" w:hAnsi="Times New Roman" w:cs="Times New Roman"/>
        </w:rPr>
        <w:t>7, Alexander grouped the many chapters of its four books into a smaller number of distinctions. Stephen Langton had already done something similar in dividing the chapters of the Bible.</w:t>
      </w:r>
      <w:r w:rsidRPr="00A472FC">
        <w:rPr>
          <w:rStyle w:val="FootnoteReference"/>
          <w:rFonts w:ascii="Times New Roman" w:hAnsi="Times New Roman" w:cs="Times New Roman"/>
        </w:rPr>
        <w:footnoteReference w:id="218"/>
      </w:r>
      <w:r w:rsidRPr="00A472FC">
        <w:rPr>
          <w:rFonts w:ascii="Times New Roman" w:hAnsi="Times New Roman" w:cs="Times New Roman"/>
        </w:rPr>
        <w:t xml:space="preserve"> This facilitated efforts to employ the </w:t>
      </w:r>
      <w:r w:rsidR="00040053" w:rsidRPr="00A472FC">
        <w:rPr>
          <w:rFonts w:ascii="Times New Roman" w:hAnsi="Times New Roman" w:cs="Times New Roman"/>
          <w:i/>
        </w:rPr>
        <w:t>Sentences</w:t>
      </w:r>
      <w:r w:rsidRPr="00A472FC">
        <w:rPr>
          <w:rFonts w:ascii="Times New Roman" w:hAnsi="Times New Roman" w:cs="Times New Roman"/>
        </w:rPr>
        <w:t>, in addition to the Bible, as a basis for lectures and disputations in the university, a practice that Alexander himself championed from as early as 1223.</w:t>
      </w:r>
      <w:r w:rsidRPr="00A472FC">
        <w:rPr>
          <w:rStyle w:val="FootnoteReference"/>
          <w:rFonts w:ascii="Times New Roman" w:hAnsi="Times New Roman" w:cs="Times New Roman"/>
        </w:rPr>
        <w:footnoteReference w:id="219"/>
      </w:r>
      <w:r w:rsidRPr="00A472FC">
        <w:rPr>
          <w:rFonts w:ascii="Times New Roman" w:hAnsi="Times New Roman" w:cs="Times New Roman"/>
        </w:rPr>
        <w:t xml:space="preserve"> Initially, English scholars like Robert </w:t>
      </w:r>
      <w:proofErr w:type="spellStart"/>
      <w:r w:rsidRPr="00A472FC">
        <w:rPr>
          <w:rFonts w:ascii="Times New Roman" w:hAnsi="Times New Roman" w:cs="Times New Roman"/>
        </w:rPr>
        <w:t>Grosseteste</w:t>
      </w:r>
      <w:proofErr w:type="spellEnd"/>
      <w:r w:rsidRPr="00A472FC">
        <w:rPr>
          <w:rFonts w:ascii="Times New Roman" w:hAnsi="Times New Roman" w:cs="Times New Roman"/>
        </w:rPr>
        <w:t xml:space="preserve"> and Roger Bacon opposed this move, </w:t>
      </w:r>
      <w:r w:rsidR="000F5581" w:rsidRPr="00A472FC">
        <w:rPr>
          <w:rFonts w:ascii="Times New Roman" w:hAnsi="Times New Roman" w:cs="Times New Roman"/>
        </w:rPr>
        <w:t xml:space="preserve">claiming </w:t>
      </w:r>
      <w:r w:rsidRPr="00A472FC">
        <w:rPr>
          <w:rFonts w:ascii="Times New Roman" w:hAnsi="Times New Roman" w:cs="Times New Roman"/>
        </w:rPr>
        <w:t xml:space="preserve">that it undermined the authority of the Bible, or at least the priority the Bible was given </w:t>
      </w:r>
      <w:r w:rsidR="003738AE" w:rsidRPr="00A472FC">
        <w:rPr>
          <w:rFonts w:ascii="Times New Roman" w:hAnsi="Times New Roman" w:cs="Times New Roman"/>
        </w:rPr>
        <w:t xml:space="preserve">in </w:t>
      </w:r>
      <w:r w:rsidRPr="00A472FC">
        <w:rPr>
          <w:rFonts w:ascii="Times New Roman" w:hAnsi="Times New Roman" w:cs="Times New Roman"/>
        </w:rPr>
        <w:t xml:space="preserve">the morning lecture timetable. Nevertheless, Alexander persevered in establishing the </w:t>
      </w:r>
      <w:r w:rsidR="00040053" w:rsidRPr="00A472FC">
        <w:rPr>
          <w:rFonts w:ascii="Times New Roman" w:hAnsi="Times New Roman" w:cs="Times New Roman"/>
          <w:i/>
        </w:rPr>
        <w:t>Sentences</w:t>
      </w:r>
      <w:r w:rsidRPr="00A472FC">
        <w:rPr>
          <w:rFonts w:ascii="Times New Roman" w:hAnsi="Times New Roman" w:cs="Times New Roman"/>
        </w:rPr>
        <w:t xml:space="preserve"> as a central fixture of university theological education.</w:t>
      </w:r>
      <w:r w:rsidRPr="00A472FC">
        <w:rPr>
          <w:rStyle w:val="FootnoteReference"/>
          <w:rFonts w:ascii="Times New Roman" w:hAnsi="Times New Roman" w:cs="Times New Roman"/>
        </w:rPr>
        <w:footnoteReference w:id="220"/>
      </w:r>
      <w:r w:rsidRPr="00A472FC">
        <w:rPr>
          <w:rFonts w:ascii="Times New Roman" w:hAnsi="Times New Roman" w:cs="Times New Roman"/>
        </w:rPr>
        <w:t xml:space="preserve"> </w:t>
      </w:r>
    </w:p>
    <w:p w14:paraId="44E49E6D" w14:textId="4B72148E" w:rsidR="007C038D" w:rsidRPr="00A472FC" w:rsidRDefault="007C038D" w:rsidP="00881604">
      <w:pPr>
        <w:ind w:right="-52" w:firstLine="720"/>
        <w:rPr>
          <w:rFonts w:ascii="Times New Roman" w:hAnsi="Times New Roman" w:cs="Times New Roman"/>
        </w:rPr>
      </w:pPr>
      <w:r w:rsidRPr="00A472FC">
        <w:rPr>
          <w:rFonts w:ascii="Times New Roman" w:hAnsi="Times New Roman" w:cs="Times New Roman"/>
        </w:rPr>
        <w:t xml:space="preserve">As a result of his efforts, the practice of commenting on the </w:t>
      </w:r>
      <w:r w:rsidR="00040053" w:rsidRPr="00A472FC">
        <w:rPr>
          <w:rFonts w:ascii="Times New Roman" w:hAnsi="Times New Roman" w:cs="Times New Roman"/>
          <w:i/>
        </w:rPr>
        <w:t>Sentences</w:t>
      </w:r>
      <w:r w:rsidRPr="00A472FC">
        <w:rPr>
          <w:rFonts w:ascii="Times New Roman" w:hAnsi="Times New Roman" w:cs="Times New Roman"/>
        </w:rPr>
        <w:t xml:space="preserve"> that began in the 1220s became a normal part of university tradition by the 1230s and 40s, until it finally became the condition for gaining the title of ‘master in theology,’ that is, the medieval equivalent to a doctoral degree. Increasingly, such commentaries served as the basis for more elaborate theological reflections that can be found in early </w:t>
      </w:r>
      <w:proofErr w:type="spellStart"/>
      <w:r w:rsidRPr="00A472FC">
        <w:rPr>
          <w:rFonts w:ascii="Times New Roman" w:hAnsi="Times New Roman" w:cs="Times New Roman"/>
        </w:rPr>
        <w:t>Summae</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221"/>
      </w:r>
      <w:r w:rsidRPr="00A472FC">
        <w:rPr>
          <w:rFonts w:ascii="Times New Roman" w:hAnsi="Times New Roman" w:cs="Times New Roman"/>
        </w:rPr>
        <w:t xml:space="preserve"> For a long time, Alexander was also credited with the so-called </w:t>
      </w:r>
      <w:r w:rsidRPr="00A472FC">
        <w:rPr>
          <w:rFonts w:ascii="Times New Roman" w:hAnsi="Times New Roman" w:cs="Times New Roman"/>
          <w:i/>
        </w:rPr>
        <w:t xml:space="preserve">Summa </w:t>
      </w:r>
      <w:proofErr w:type="spellStart"/>
      <w:r w:rsidRPr="00A472FC">
        <w:rPr>
          <w:rFonts w:ascii="Times New Roman" w:hAnsi="Times New Roman" w:cs="Times New Roman"/>
          <w:i/>
        </w:rPr>
        <w:t>fratris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Alexandri</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(‘Summa of brother Alexander’) or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rPr>
        <w:t>, though it is now clear that he only oversaw the project.</w:t>
      </w:r>
      <w:r w:rsidRPr="00A472FC">
        <w:rPr>
          <w:rStyle w:val="FootnoteReference"/>
          <w:rFonts w:ascii="Times New Roman" w:hAnsi="Times New Roman" w:cs="Times New Roman"/>
        </w:rPr>
        <w:footnoteReference w:id="222"/>
      </w:r>
      <w:r w:rsidRPr="00A472FC">
        <w:rPr>
          <w:rFonts w:ascii="Times New Roman" w:hAnsi="Times New Roman" w:cs="Times New Roman"/>
        </w:rPr>
        <w:t xml:space="preserve"> </w:t>
      </w:r>
    </w:p>
    <w:p w14:paraId="119E907F" w14:textId="5962F452" w:rsidR="007C038D" w:rsidRPr="00A472FC" w:rsidRDefault="007C038D" w:rsidP="00881604">
      <w:pPr>
        <w:ind w:right="-52" w:firstLine="720"/>
        <w:rPr>
          <w:rFonts w:ascii="Times New Roman" w:hAnsi="Times New Roman" w:cs="Times New Roman"/>
        </w:rPr>
      </w:pPr>
      <w:r w:rsidRPr="00A472FC">
        <w:rPr>
          <w:rFonts w:ascii="Times New Roman" w:hAnsi="Times New Roman" w:cs="Times New Roman"/>
        </w:rPr>
        <w:t>The reason for the longstanding attribution to Alexander</w:t>
      </w:r>
      <w:r w:rsidR="00E654B1" w:rsidRPr="00A472FC">
        <w:rPr>
          <w:rFonts w:ascii="Times New Roman" w:hAnsi="Times New Roman" w:cs="Times New Roman"/>
        </w:rPr>
        <w:t xml:space="preserve"> </w:t>
      </w:r>
      <w:r w:rsidRPr="00A472FC">
        <w:rPr>
          <w:rFonts w:ascii="Times New Roman" w:hAnsi="Times New Roman" w:cs="Times New Roman"/>
        </w:rPr>
        <w:t xml:space="preserve">was that he was master of the Franciscan school at Paris during its composition; he obtained this position on joining the order in 1236. At this point in time, Alexander secured for the Franciscan house of studies the permanent chair that he occupied in the theology faculty, a post he either passed on to John of La Rochelle in 1241 or held independently of John’s status until 1245, when both passed away. At this time, </w:t>
      </w:r>
      <w:proofErr w:type="spellStart"/>
      <w:r w:rsidRPr="00A472FC">
        <w:rPr>
          <w:rFonts w:ascii="Times New Roman" w:hAnsi="Times New Roman" w:cs="Times New Roman"/>
        </w:rPr>
        <w:t>Odo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Rigald</w:t>
      </w:r>
      <w:r w:rsidR="00BB3B98" w:rsidRPr="00A472FC">
        <w:rPr>
          <w:rFonts w:ascii="Times New Roman" w:hAnsi="Times New Roman" w:cs="Times New Roman"/>
        </w:rPr>
        <w:t>us</w:t>
      </w:r>
      <w:proofErr w:type="spellEnd"/>
      <w:r w:rsidRPr="00A472FC">
        <w:rPr>
          <w:rFonts w:ascii="Times New Roman" w:hAnsi="Times New Roman" w:cs="Times New Roman"/>
        </w:rPr>
        <w:t xml:space="preserve"> took over the post of regent master of the by then well-established Franciscan school in Paris and was himself succeeded by William of </w:t>
      </w:r>
      <w:proofErr w:type="spellStart"/>
      <w:r w:rsidRPr="00A472FC">
        <w:rPr>
          <w:rFonts w:ascii="Times New Roman" w:hAnsi="Times New Roman" w:cs="Times New Roman"/>
        </w:rPr>
        <w:t>Melitona</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223"/>
      </w:r>
      <w:r w:rsidRPr="00A472FC">
        <w:rPr>
          <w:rFonts w:ascii="Times New Roman" w:hAnsi="Times New Roman" w:cs="Times New Roman"/>
        </w:rPr>
        <w:t xml:space="preserve"> </w:t>
      </w:r>
    </w:p>
    <w:p w14:paraId="0B1A03E6" w14:textId="2F0E5697" w:rsidR="007C038D" w:rsidRPr="00A472FC" w:rsidRDefault="007C038D" w:rsidP="00134EF8">
      <w:pPr>
        <w:ind w:right="-52" w:firstLine="720"/>
        <w:rPr>
          <w:rFonts w:ascii="Times New Roman" w:hAnsi="Times New Roman" w:cs="Times New Roman"/>
        </w:rPr>
      </w:pPr>
      <w:r w:rsidRPr="00A472FC">
        <w:rPr>
          <w:rFonts w:ascii="Times New Roman" w:hAnsi="Times New Roman" w:cs="Times New Roman"/>
        </w:rPr>
        <w:t xml:space="preserve">In 1255, William was commanded by the Pope to complete the fourth volume of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
        </w:rPr>
        <w:t>,</w:t>
      </w:r>
      <w:r w:rsidRPr="00A472FC">
        <w:rPr>
          <w:rFonts w:ascii="Times New Roman" w:hAnsi="Times New Roman" w:cs="Times New Roman"/>
        </w:rPr>
        <w:t xml:space="preserve"> on the sacraments, which had not been written before John and Alexander’s deaths. </w:t>
      </w:r>
      <w:r w:rsidR="00704840" w:rsidRPr="00A472FC">
        <w:rPr>
          <w:rFonts w:ascii="Times New Roman" w:hAnsi="Times New Roman" w:cs="Times New Roman"/>
        </w:rPr>
        <w:t>Even before its completion, however, the</w:t>
      </w:r>
      <w:r w:rsidRPr="00A472FC">
        <w:rPr>
          <w:rFonts w:ascii="Times New Roman" w:hAnsi="Times New Roman" w:cs="Times New Roman"/>
        </w:rPr>
        <w:t xml:space="preserve"> positions codified in this Summa provided a basis for Franciscan education</w:t>
      </w:r>
      <w:r w:rsidR="00704840" w:rsidRPr="00A472FC">
        <w:rPr>
          <w:rFonts w:ascii="Times New Roman" w:hAnsi="Times New Roman" w:cs="Times New Roman"/>
        </w:rPr>
        <w:t xml:space="preserve"> and continued to do so at least through the time of Duns Scotus</w:t>
      </w:r>
      <w:r w:rsidRPr="00A472FC">
        <w:rPr>
          <w:rFonts w:ascii="Times New Roman" w:hAnsi="Times New Roman" w:cs="Times New Roman"/>
        </w:rPr>
        <w:t>.</w:t>
      </w:r>
      <w:r w:rsidRPr="00A472FC">
        <w:rPr>
          <w:rStyle w:val="FootnoteReference"/>
          <w:rFonts w:ascii="Times New Roman" w:hAnsi="Times New Roman" w:cs="Times New Roman"/>
        </w:rPr>
        <w:footnoteReference w:id="224"/>
      </w:r>
      <w:r w:rsidRPr="00A472FC">
        <w:rPr>
          <w:rFonts w:ascii="Times New Roman" w:hAnsi="Times New Roman" w:cs="Times New Roman"/>
        </w:rPr>
        <w:t xml:space="preserve"> </w:t>
      </w:r>
      <w:r w:rsidR="00134EF8" w:rsidRPr="00A472FC">
        <w:rPr>
          <w:rFonts w:ascii="Times New Roman" w:hAnsi="Times New Roman" w:cs="Times New Roman"/>
        </w:rPr>
        <w:t>As further chap</w:t>
      </w:r>
      <w:r w:rsidR="00E12851" w:rsidRPr="00A472FC">
        <w:rPr>
          <w:rFonts w:ascii="Times New Roman" w:hAnsi="Times New Roman" w:cs="Times New Roman"/>
        </w:rPr>
        <w:t>t</w:t>
      </w:r>
      <w:r w:rsidR="00134EF8" w:rsidRPr="00A472FC">
        <w:rPr>
          <w:rFonts w:ascii="Times New Roman" w:hAnsi="Times New Roman" w:cs="Times New Roman"/>
        </w:rPr>
        <w:t xml:space="preserve">ers of the book will evidence, </w:t>
      </w:r>
      <w:r w:rsidR="002A2DD5">
        <w:rPr>
          <w:rFonts w:ascii="Times New Roman" w:hAnsi="Times New Roman" w:cs="Times New Roman"/>
        </w:rPr>
        <w:t>the</w:t>
      </w:r>
      <w:r w:rsidR="00134EF8" w:rsidRPr="00A472FC">
        <w:rPr>
          <w:rFonts w:ascii="Times New Roman" w:hAnsi="Times New Roman" w:cs="Times New Roman"/>
        </w:rPr>
        <w:t xml:space="preserve"> Summa was the first to incorporate the new philosophical resources of Aristotle and Avicenna extensively. </w:t>
      </w:r>
      <w:r w:rsidRPr="00A472FC">
        <w:rPr>
          <w:rFonts w:ascii="Times New Roman" w:hAnsi="Times New Roman" w:cs="Times New Roman"/>
        </w:rPr>
        <w:t>As such, it became a prototype for the work of later Summa authors, including Thomas Aquinas</w:t>
      </w:r>
      <w:r w:rsidR="00FB6E3F" w:rsidRPr="00A472FC">
        <w:rPr>
          <w:rFonts w:ascii="Times New Roman" w:hAnsi="Times New Roman" w:cs="Times New Roman"/>
        </w:rPr>
        <w:t xml:space="preserve">, who </w:t>
      </w:r>
      <w:r w:rsidR="00847588">
        <w:rPr>
          <w:rFonts w:ascii="Times New Roman" w:hAnsi="Times New Roman" w:cs="Times New Roman"/>
        </w:rPr>
        <w:t xml:space="preserve">also </w:t>
      </w:r>
      <w:r w:rsidR="00FB6E3F" w:rsidRPr="00A472FC">
        <w:rPr>
          <w:rFonts w:ascii="Times New Roman" w:hAnsi="Times New Roman" w:cs="Times New Roman"/>
        </w:rPr>
        <w:t>sought to incorporate philosophical inquiries into the course of the theological Summa</w:t>
      </w:r>
      <w:r w:rsidRPr="00A472FC">
        <w:rPr>
          <w:rFonts w:ascii="Times New Roman" w:hAnsi="Times New Roman" w:cs="Times New Roman"/>
        </w:rPr>
        <w:t>.</w:t>
      </w:r>
      <w:r w:rsidRPr="00A472FC">
        <w:rPr>
          <w:rStyle w:val="FootnoteReference"/>
          <w:rFonts w:ascii="Times New Roman" w:hAnsi="Times New Roman" w:cs="Times New Roman"/>
        </w:rPr>
        <w:footnoteReference w:id="225"/>
      </w:r>
    </w:p>
    <w:p w14:paraId="00144508" w14:textId="77777777" w:rsidR="007C038D" w:rsidRPr="00A472FC" w:rsidRDefault="007C038D" w:rsidP="00881604">
      <w:pPr>
        <w:ind w:right="-52" w:firstLine="720"/>
        <w:rPr>
          <w:rFonts w:ascii="Times New Roman" w:hAnsi="Times New Roman" w:cs="Times New Roman"/>
        </w:rPr>
      </w:pPr>
    </w:p>
    <w:p w14:paraId="24A8F968" w14:textId="77777777" w:rsidR="007C038D" w:rsidRPr="00A472FC" w:rsidRDefault="007C038D" w:rsidP="00881604">
      <w:pPr>
        <w:ind w:right="-52"/>
        <w:rPr>
          <w:rFonts w:ascii="Times New Roman" w:hAnsi="Times New Roman" w:cs="Times New Roman"/>
          <w:u w:val="single"/>
        </w:rPr>
      </w:pPr>
      <w:r w:rsidRPr="00A472FC">
        <w:rPr>
          <w:rFonts w:ascii="Times New Roman" w:hAnsi="Times New Roman" w:cs="Times New Roman"/>
          <w:u w:val="single"/>
        </w:rPr>
        <w:t>Roland of Cremona</w:t>
      </w:r>
    </w:p>
    <w:p w14:paraId="0174D8CA" w14:textId="77777777" w:rsidR="007C038D" w:rsidRPr="00A472FC" w:rsidRDefault="007C038D" w:rsidP="00881604">
      <w:pPr>
        <w:ind w:right="-52"/>
        <w:rPr>
          <w:rFonts w:ascii="Times New Roman" w:hAnsi="Times New Roman" w:cs="Times New Roman"/>
        </w:rPr>
      </w:pPr>
    </w:p>
    <w:p w14:paraId="7AAD5B80" w14:textId="66FDC4A9" w:rsidR="007C038D" w:rsidRPr="00A472FC" w:rsidRDefault="007C038D" w:rsidP="00881604">
      <w:pPr>
        <w:autoSpaceDE w:val="0"/>
        <w:autoSpaceDN w:val="0"/>
        <w:adjustRightInd w:val="0"/>
        <w:ind w:right="-52" w:firstLine="720"/>
        <w:rPr>
          <w:rFonts w:ascii="Times New Roman" w:hAnsi="Times New Roman" w:cs="Times New Roman"/>
          <w:color w:val="000000"/>
          <w:lang w:val="en-US"/>
        </w:rPr>
      </w:pPr>
      <w:r w:rsidRPr="00A472FC">
        <w:rPr>
          <w:rFonts w:ascii="Times New Roman" w:hAnsi="Times New Roman" w:cs="Times New Roman"/>
          <w:color w:val="000000"/>
          <w:lang w:val="en-US"/>
        </w:rPr>
        <w:t xml:space="preserve">Roland of Cremona (d. 1269) was the first Dominican master at Paris, who read the </w:t>
      </w:r>
      <w:r w:rsidR="00040053" w:rsidRPr="00A472FC">
        <w:rPr>
          <w:rFonts w:ascii="Times New Roman" w:hAnsi="Times New Roman" w:cs="Times New Roman"/>
          <w:i/>
          <w:color w:val="000000"/>
          <w:lang w:val="en-US"/>
        </w:rPr>
        <w:t>Sentences</w:t>
      </w:r>
      <w:r w:rsidRPr="00A472FC">
        <w:rPr>
          <w:rFonts w:ascii="Times New Roman" w:hAnsi="Times New Roman" w:cs="Times New Roman"/>
          <w:color w:val="000000"/>
          <w:lang w:val="en-US"/>
        </w:rPr>
        <w:t xml:space="preserve"> of Lombard under John of St Giles, a chair in theology at the university who famously assumed the Dominican habit in the course of preaching a sermon.</w:t>
      </w:r>
      <w:r w:rsidRPr="00A472FC">
        <w:rPr>
          <w:rStyle w:val="FootnoteReference"/>
          <w:rFonts w:ascii="Times New Roman" w:hAnsi="Times New Roman" w:cs="Times New Roman"/>
          <w:color w:val="000000"/>
          <w:lang w:val="en-US"/>
        </w:rPr>
        <w:footnoteReference w:id="226"/>
      </w:r>
      <w:r w:rsidRPr="00A472FC">
        <w:rPr>
          <w:rFonts w:ascii="Times New Roman" w:hAnsi="Times New Roman" w:cs="Times New Roman"/>
          <w:color w:val="000000"/>
          <w:lang w:val="en-US"/>
        </w:rPr>
        <w:t xml:space="preserve"> Roland obtained his license to teach in 1229 or 1230 from Philip the Chancellor, who was then Chancellor of the University.</w:t>
      </w:r>
      <w:r w:rsidRPr="00A472FC">
        <w:rPr>
          <w:rStyle w:val="FootnoteReference"/>
          <w:rFonts w:ascii="Times New Roman" w:hAnsi="Times New Roman" w:cs="Times New Roman"/>
          <w:color w:val="000000"/>
          <w:lang w:val="en-US"/>
        </w:rPr>
        <w:footnoteReference w:id="227"/>
      </w:r>
      <w:r w:rsidRPr="00A472FC">
        <w:rPr>
          <w:rFonts w:ascii="Times New Roman" w:hAnsi="Times New Roman" w:cs="Times New Roman"/>
          <w:color w:val="000000"/>
          <w:lang w:val="en-US"/>
        </w:rPr>
        <w:t xml:space="preserve"> After a brief year in Paris, he moved to Toulouse where he taught until 1233 or 1234. In Paris, he was replaced by Hugh of St Cher, who studied under Roland himself and who taught there from 1230/31-1235/36, composing his Commentary on Lombard’s </w:t>
      </w:r>
      <w:r w:rsidR="00040053" w:rsidRPr="00A472FC">
        <w:rPr>
          <w:rFonts w:ascii="Times New Roman" w:hAnsi="Times New Roman" w:cs="Times New Roman"/>
          <w:i/>
          <w:color w:val="000000"/>
          <w:lang w:val="en-US"/>
        </w:rPr>
        <w:t>Sentences</w:t>
      </w:r>
      <w:r w:rsidRPr="00A472FC">
        <w:rPr>
          <w:rFonts w:ascii="Times New Roman" w:hAnsi="Times New Roman" w:cs="Times New Roman"/>
          <w:color w:val="000000"/>
          <w:lang w:val="en-US"/>
        </w:rPr>
        <w:t xml:space="preserve"> during this period. According to </w:t>
      </w:r>
      <w:proofErr w:type="spellStart"/>
      <w:r w:rsidRPr="00A472FC">
        <w:rPr>
          <w:rFonts w:ascii="Times New Roman" w:hAnsi="Times New Roman" w:cs="Times New Roman"/>
          <w:color w:val="000000"/>
          <w:lang w:val="en-US"/>
        </w:rPr>
        <w:t>Filtaut</w:t>
      </w:r>
      <w:proofErr w:type="spellEnd"/>
      <w:r w:rsidRPr="00A472FC">
        <w:rPr>
          <w:rFonts w:ascii="Times New Roman" w:hAnsi="Times New Roman" w:cs="Times New Roman"/>
          <w:color w:val="000000"/>
          <w:lang w:val="en-US"/>
        </w:rPr>
        <w:t xml:space="preserve">, Roland probably wrote his own magisterial Summa in Italy, where he moved in 1234, because he does not show awareness of the compilation of Raymond of </w:t>
      </w:r>
      <w:proofErr w:type="spellStart"/>
      <w:r w:rsidRPr="00A472FC">
        <w:rPr>
          <w:rFonts w:ascii="Times New Roman" w:hAnsi="Times New Roman" w:cs="Times New Roman"/>
          <w:color w:val="000000"/>
          <w:lang w:val="en-US"/>
        </w:rPr>
        <w:t>Pe</w:t>
      </w:r>
      <w:r w:rsidR="005A5028" w:rsidRPr="00A472FC">
        <w:rPr>
          <w:rFonts w:ascii="Times New Roman" w:hAnsi="Times New Roman" w:cs="Times New Roman"/>
          <w:color w:val="000000"/>
          <w:lang w:val="en-US"/>
        </w:rPr>
        <w:t>ñ</w:t>
      </w:r>
      <w:r w:rsidRPr="00A472FC">
        <w:rPr>
          <w:rFonts w:ascii="Times New Roman" w:hAnsi="Times New Roman" w:cs="Times New Roman"/>
          <w:color w:val="000000"/>
          <w:lang w:val="en-US"/>
        </w:rPr>
        <w:t>afort</w:t>
      </w:r>
      <w:proofErr w:type="spellEnd"/>
      <w:r w:rsidRPr="00A472FC">
        <w:rPr>
          <w:rFonts w:ascii="Times New Roman" w:hAnsi="Times New Roman" w:cs="Times New Roman"/>
          <w:color w:val="000000"/>
          <w:lang w:val="en-US"/>
        </w:rPr>
        <w:t xml:space="preserve"> which was completed in 1234.</w:t>
      </w:r>
      <w:r w:rsidRPr="00A472FC">
        <w:rPr>
          <w:rStyle w:val="FootnoteReference"/>
          <w:rFonts w:ascii="Times New Roman" w:hAnsi="Times New Roman" w:cs="Times New Roman"/>
          <w:color w:val="000000"/>
          <w:lang w:val="en-US"/>
        </w:rPr>
        <w:footnoteReference w:id="228"/>
      </w:r>
      <w:r w:rsidRPr="00A472FC">
        <w:rPr>
          <w:rFonts w:ascii="Times New Roman" w:hAnsi="Times New Roman" w:cs="Times New Roman"/>
          <w:color w:val="000000"/>
          <w:lang w:val="en-US"/>
        </w:rPr>
        <w:t xml:space="preserve"> </w:t>
      </w:r>
    </w:p>
    <w:p w14:paraId="679C3E73" w14:textId="5CD6DBB1" w:rsidR="007C038D" w:rsidRPr="00A472FC" w:rsidRDefault="007C038D" w:rsidP="00881604">
      <w:pPr>
        <w:widowControl w:val="0"/>
        <w:autoSpaceDE w:val="0"/>
        <w:autoSpaceDN w:val="0"/>
        <w:adjustRightInd w:val="0"/>
        <w:ind w:right="-52" w:firstLine="720"/>
        <w:rPr>
          <w:rFonts w:ascii="Times New Roman" w:hAnsi="Times New Roman" w:cs="Times New Roman"/>
          <w:color w:val="000000"/>
          <w:lang w:val="en-US"/>
        </w:rPr>
      </w:pPr>
      <w:r w:rsidRPr="00A472FC">
        <w:rPr>
          <w:rFonts w:ascii="Times New Roman" w:hAnsi="Times New Roman" w:cs="Times New Roman"/>
          <w:color w:val="000000"/>
          <w:lang w:val="en-US"/>
        </w:rPr>
        <w:t xml:space="preserve">Although Roland was a senior colleague to Hugh, </w:t>
      </w:r>
      <w:proofErr w:type="spellStart"/>
      <w:r w:rsidRPr="00A472FC">
        <w:rPr>
          <w:rFonts w:ascii="Times New Roman" w:hAnsi="Times New Roman" w:cs="Times New Roman"/>
          <w:color w:val="000000"/>
          <w:lang w:val="en-US"/>
        </w:rPr>
        <w:t>Odon</w:t>
      </w:r>
      <w:proofErr w:type="spellEnd"/>
      <w:r w:rsidRPr="00A472FC">
        <w:rPr>
          <w:rFonts w:ascii="Times New Roman" w:hAnsi="Times New Roman" w:cs="Times New Roman"/>
          <w:color w:val="000000"/>
          <w:lang w:val="en-US"/>
        </w:rPr>
        <w:t xml:space="preserve"> Lottin concluded after comparing some short selections from the two authors’ works that Roland had been influenced by Hugh rather than the other way around.</w:t>
      </w:r>
      <w:r w:rsidRPr="00A472FC">
        <w:rPr>
          <w:rStyle w:val="FootnoteReference"/>
          <w:rFonts w:ascii="Times New Roman" w:hAnsi="Times New Roman" w:cs="Times New Roman"/>
          <w:color w:val="000000"/>
          <w:lang w:val="en-US"/>
        </w:rPr>
        <w:footnoteReference w:id="229"/>
      </w:r>
      <w:r w:rsidRPr="00A472FC">
        <w:rPr>
          <w:rFonts w:ascii="Times New Roman" w:hAnsi="Times New Roman" w:cs="Times New Roman"/>
          <w:color w:val="000000"/>
          <w:lang w:val="en-US"/>
        </w:rPr>
        <w:t xml:space="preserve"> Further support for this </w:t>
      </w:r>
      <w:r w:rsidR="00E24B95" w:rsidRPr="00A472FC">
        <w:rPr>
          <w:rFonts w:ascii="Times New Roman" w:hAnsi="Times New Roman" w:cs="Times New Roman"/>
          <w:color w:val="000000"/>
          <w:lang w:val="en-US"/>
        </w:rPr>
        <w:t>hypothesis</w:t>
      </w:r>
      <w:r w:rsidRPr="00A472FC">
        <w:rPr>
          <w:rFonts w:ascii="Times New Roman" w:hAnsi="Times New Roman" w:cs="Times New Roman"/>
          <w:color w:val="000000"/>
          <w:lang w:val="en-US"/>
        </w:rPr>
        <w:t xml:space="preserve"> can be found in the textual tradition of Roland’s Summa, which evidently had very limited influence and diffusion, not least in Paris.</w:t>
      </w:r>
      <w:r w:rsidRPr="00A472FC">
        <w:rPr>
          <w:rStyle w:val="FootnoteReference"/>
          <w:rFonts w:ascii="Times New Roman" w:hAnsi="Times New Roman" w:cs="Times New Roman"/>
          <w:color w:val="000000"/>
          <w:lang w:val="en-US"/>
        </w:rPr>
        <w:footnoteReference w:id="230"/>
      </w:r>
      <w:r w:rsidRPr="00A472FC">
        <w:rPr>
          <w:rFonts w:ascii="Times New Roman" w:hAnsi="Times New Roman" w:cs="Times New Roman"/>
          <w:color w:val="000000"/>
          <w:lang w:val="en-US"/>
        </w:rPr>
        <w:t xml:space="preserve"> As Riccardo </w:t>
      </w:r>
      <w:proofErr w:type="spellStart"/>
      <w:r w:rsidRPr="00A472FC">
        <w:rPr>
          <w:rFonts w:ascii="Times New Roman" w:hAnsi="Times New Roman" w:cs="Times New Roman"/>
          <w:color w:val="000000"/>
          <w:lang w:val="en-US"/>
        </w:rPr>
        <w:t>Quinto</w:t>
      </w:r>
      <w:proofErr w:type="spellEnd"/>
      <w:r w:rsidRPr="00A472FC">
        <w:rPr>
          <w:rFonts w:ascii="Times New Roman" w:hAnsi="Times New Roman" w:cs="Times New Roman"/>
          <w:color w:val="000000"/>
          <w:lang w:val="en-US"/>
        </w:rPr>
        <w:t xml:space="preserve"> has shown more recently, however, any similarities between Hugh and Roland can be largely explained by their common dependence on William of Auxerre.</w:t>
      </w:r>
      <w:r w:rsidRPr="00A472FC">
        <w:rPr>
          <w:rStyle w:val="FootnoteReference"/>
          <w:rFonts w:ascii="Times New Roman" w:hAnsi="Times New Roman" w:cs="Times New Roman"/>
          <w:color w:val="000000"/>
          <w:lang w:val="en-US"/>
        </w:rPr>
        <w:footnoteReference w:id="231"/>
      </w:r>
      <w:r w:rsidRPr="00A472FC">
        <w:rPr>
          <w:rFonts w:ascii="Times New Roman" w:hAnsi="Times New Roman" w:cs="Times New Roman"/>
          <w:color w:val="000000"/>
          <w:lang w:val="en-US"/>
        </w:rPr>
        <w:t xml:space="preserve"> Nevertheless, Bieniak notes that Hugh wrote his questions after his </w:t>
      </w:r>
      <w:r w:rsidR="00040053" w:rsidRPr="00A472FC">
        <w:rPr>
          <w:rFonts w:ascii="Times New Roman" w:hAnsi="Times New Roman" w:cs="Times New Roman"/>
          <w:i/>
          <w:color w:val="000000"/>
          <w:lang w:val="en-US"/>
        </w:rPr>
        <w:t>Sentences</w:t>
      </w:r>
      <w:r w:rsidRPr="00A472FC">
        <w:rPr>
          <w:rFonts w:ascii="Times New Roman" w:hAnsi="Times New Roman" w:cs="Times New Roman"/>
          <w:color w:val="000000"/>
          <w:lang w:val="en-US"/>
        </w:rPr>
        <w:t xml:space="preserve"> Commentary, which means we cannot rule out the possibility that he knew Roland’s Summa before composing them.</w:t>
      </w:r>
      <w:r w:rsidRPr="00A472FC">
        <w:rPr>
          <w:rStyle w:val="FootnoteReference"/>
          <w:rFonts w:ascii="Times New Roman" w:hAnsi="Times New Roman" w:cs="Times New Roman"/>
          <w:color w:val="000000"/>
          <w:lang w:val="en-US"/>
        </w:rPr>
        <w:footnoteReference w:id="232"/>
      </w:r>
    </w:p>
    <w:p w14:paraId="61686FB5" w14:textId="77777777" w:rsidR="00812B0B" w:rsidRPr="00A472FC" w:rsidRDefault="007C038D" w:rsidP="00812B0B">
      <w:pPr>
        <w:ind w:right="-52" w:firstLine="720"/>
        <w:rPr>
          <w:rFonts w:ascii="Times New Roman" w:hAnsi="Times New Roman" w:cs="Times New Roman"/>
        </w:rPr>
      </w:pPr>
      <w:r w:rsidRPr="00A472FC">
        <w:rPr>
          <w:rFonts w:ascii="Times New Roman" w:hAnsi="Times New Roman" w:cs="Times New Roman"/>
          <w:color w:val="000000"/>
          <w:lang w:val="en-US"/>
        </w:rPr>
        <w:t xml:space="preserve">In addition to the inspiration he drew from the </w:t>
      </w:r>
      <w:r w:rsidRPr="00A472FC">
        <w:rPr>
          <w:rFonts w:ascii="Times New Roman" w:hAnsi="Times New Roman" w:cs="Times New Roman"/>
          <w:i/>
          <w:color w:val="000000"/>
          <w:lang w:val="en-US"/>
        </w:rPr>
        <w:t xml:space="preserve">Summa </w:t>
      </w:r>
      <w:proofErr w:type="spellStart"/>
      <w:r w:rsidRPr="00A472FC">
        <w:rPr>
          <w:rFonts w:ascii="Times New Roman" w:hAnsi="Times New Roman" w:cs="Times New Roman"/>
          <w:i/>
          <w:color w:val="000000"/>
          <w:lang w:val="en-US"/>
        </w:rPr>
        <w:t>aurea</w:t>
      </w:r>
      <w:proofErr w:type="spellEnd"/>
      <w:r w:rsidRPr="00A472FC">
        <w:rPr>
          <w:rFonts w:ascii="Times New Roman" w:hAnsi="Times New Roman" w:cs="Times New Roman"/>
          <w:iCs/>
          <w:color w:val="000000"/>
          <w:lang w:val="en-US"/>
        </w:rPr>
        <w:t>,</w:t>
      </w:r>
      <w:r w:rsidRPr="00A472FC">
        <w:rPr>
          <w:rFonts w:ascii="Times New Roman" w:hAnsi="Times New Roman" w:cs="Times New Roman"/>
          <w:i/>
          <w:color w:val="000000"/>
          <w:lang w:val="en-US"/>
        </w:rPr>
        <w:t xml:space="preserve"> </w:t>
      </w:r>
      <w:r w:rsidR="00BF6E29" w:rsidRPr="00A472FC">
        <w:rPr>
          <w:rFonts w:ascii="Times New Roman" w:hAnsi="Times New Roman" w:cs="Times New Roman"/>
          <w:iCs/>
          <w:color w:val="000000"/>
          <w:lang w:val="en-US"/>
        </w:rPr>
        <w:t xml:space="preserve">Roland </w:t>
      </w:r>
      <w:r w:rsidRPr="00A472FC">
        <w:rPr>
          <w:rFonts w:ascii="Times New Roman" w:hAnsi="Times New Roman" w:cs="Times New Roman"/>
          <w:lang w:val="en-US"/>
        </w:rPr>
        <w:t xml:space="preserve">is obviously aware also of Aristotle and was the first to call the </w:t>
      </w:r>
      <w:r w:rsidRPr="00A472FC">
        <w:rPr>
          <w:rFonts w:ascii="Times New Roman" w:hAnsi="Times New Roman" w:cs="Times New Roman"/>
          <w:i/>
          <w:lang w:val="en-US"/>
        </w:rPr>
        <w:t xml:space="preserve">Liber de </w:t>
      </w:r>
      <w:proofErr w:type="spellStart"/>
      <w:r w:rsidRPr="00A472FC">
        <w:rPr>
          <w:rFonts w:ascii="Times New Roman" w:hAnsi="Times New Roman" w:cs="Times New Roman"/>
          <w:i/>
          <w:lang w:val="en-US"/>
        </w:rPr>
        <w:t>causis</w:t>
      </w:r>
      <w:proofErr w:type="spellEnd"/>
      <w:r w:rsidRPr="00A472FC">
        <w:rPr>
          <w:rFonts w:ascii="Times New Roman" w:hAnsi="Times New Roman" w:cs="Times New Roman"/>
          <w:lang w:val="en-US"/>
        </w:rPr>
        <w:t xml:space="preserve"> by </w:t>
      </w:r>
      <w:r w:rsidR="00C0418A" w:rsidRPr="00A472FC">
        <w:rPr>
          <w:rFonts w:ascii="Times New Roman" w:hAnsi="Times New Roman" w:cs="Times New Roman"/>
          <w:lang w:val="en-US"/>
        </w:rPr>
        <w:t xml:space="preserve">this </w:t>
      </w:r>
      <w:r w:rsidRPr="00A472FC">
        <w:rPr>
          <w:rFonts w:ascii="Times New Roman" w:hAnsi="Times New Roman" w:cs="Times New Roman"/>
          <w:lang w:val="en-US"/>
        </w:rPr>
        <w:t xml:space="preserve">name rather than speaking of it as the </w:t>
      </w:r>
      <w:r w:rsidRPr="00A472FC">
        <w:rPr>
          <w:rFonts w:ascii="Times New Roman" w:hAnsi="Times New Roman" w:cs="Times New Roman"/>
          <w:i/>
          <w:color w:val="000000"/>
          <w:lang w:val="en-US"/>
        </w:rPr>
        <w:t xml:space="preserve">Liber de </w:t>
      </w:r>
      <w:proofErr w:type="spellStart"/>
      <w:r w:rsidRPr="00A472FC">
        <w:rPr>
          <w:rFonts w:ascii="Times New Roman" w:hAnsi="Times New Roman" w:cs="Times New Roman"/>
          <w:i/>
          <w:color w:val="000000"/>
          <w:lang w:val="en-US"/>
        </w:rPr>
        <w:t>pura</w:t>
      </w:r>
      <w:proofErr w:type="spellEnd"/>
      <w:r w:rsidRPr="00A472FC">
        <w:rPr>
          <w:rFonts w:ascii="Times New Roman" w:hAnsi="Times New Roman" w:cs="Times New Roman"/>
          <w:i/>
          <w:color w:val="000000"/>
          <w:lang w:val="en-US"/>
        </w:rPr>
        <w:t xml:space="preserve"> </w:t>
      </w:r>
      <w:proofErr w:type="spellStart"/>
      <w:r w:rsidRPr="00A472FC">
        <w:rPr>
          <w:rFonts w:ascii="Times New Roman" w:hAnsi="Times New Roman" w:cs="Times New Roman"/>
          <w:i/>
          <w:color w:val="000000"/>
          <w:lang w:val="en-US"/>
        </w:rPr>
        <w:t>bonitate</w:t>
      </w:r>
      <w:proofErr w:type="spellEnd"/>
      <w:r w:rsidRPr="00A472FC">
        <w:rPr>
          <w:rFonts w:ascii="Times New Roman" w:hAnsi="Times New Roman" w:cs="Times New Roman"/>
          <w:color w:val="000000"/>
          <w:lang w:val="en-US"/>
        </w:rPr>
        <w:t>.</w:t>
      </w:r>
      <w:r w:rsidRPr="00A472FC">
        <w:rPr>
          <w:rStyle w:val="FootnoteReference"/>
          <w:rFonts w:ascii="Times New Roman" w:hAnsi="Times New Roman" w:cs="Times New Roman"/>
          <w:color w:val="000000"/>
          <w:lang w:val="en-US"/>
        </w:rPr>
        <w:footnoteReference w:id="233"/>
      </w:r>
      <w:r w:rsidRPr="00A472FC">
        <w:rPr>
          <w:rFonts w:ascii="Times New Roman" w:hAnsi="Times New Roman" w:cs="Times New Roman"/>
          <w:color w:val="000000"/>
          <w:lang w:val="en-US"/>
        </w:rPr>
        <w:t xml:space="preserve"> As noted already, this work was </w:t>
      </w:r>
      <w:r w:rsidRPr="00A472FC">
        <w:rPr>
          <w:rFonts w:ascii="Times New Roman" w:hAnsi="Times New Roman" w:cs="Times New Roman"/>
        </w:rPr>
        <w:t xml:space="preserve">translated by Gerard of Cremona in Toledo around 1170 and </w:t>
      </w:r>
      <w:r w:rsidR="00665A88" w:rsidRPr="00A472FC">
        <w:rPr>
          <w:rFonts w:ascii="Times New Roman" w:hAnsi="Times New Roman" w:cs="Times New Roman"/>
        </w:rPr>
        <w:t xml:space="preserve">was </w:t>
      </w:r>
      <w:r w:rsidRPr="00A472FC">
        <w:rPr>
          <w:rFonts w:ascii="Times New Roman" w:hAnsi="Times New Roman" w:cs="Times New Roman"/>
        </w:rPr>
        <w:t xml:space="preserve">universally attributed to Aristotle both in the Arabic and Latin traditions until Aquinas </w:t>
      </w:r>
      <w:proofErr w:type="spellStart"/>
      <w:r w:rsidRPr="00A472FC">
        <w:rPr>
          <w:rFonts w:ascii="Times New Roman" w:hAnsi="Times New Roman" w:cs="Times New Roman"/>
        </w:rPr>
        <w:t>recognized</w:t>
      </w:r>
      <w:proofErr w:type="spellEnd"/>
      <w:r w:rsidRPr="00A472FC">
        <w:rPr>
          <w:rFonts w:ascii="Times New Roman" w:hAnsi="Times New Roman" w:cs="Times New Roman"/>
        </w:rPr>
        <w:t xml:space="preserve"> in 1268 that it is actually a Neo-Platonic amalgam of </w:t>
      </w:r>
      <w:proofErr w:type="spellStart"/>
      <w:r w:rsidRPr="00A472FC">
        <w:rPr>
          <w:rFonts w:ascii="Times New Roman" w:hAnsi="Times New Roman" w:cs="Times New Roman"/>
        </w:rPr>
        <w:t>Proclus</w:t>
      </w:r>
      <w:proofErr w:type="spellEnd"/>
      <w:r w:rsidRPr="00A472FC">
        <w:rPr>
          <w:rFonts w:ascii="Times New Roman" w:hAnsi="Times New Roman" w:cs="Times New Roman"/>
        </w:rPr>
        <w:t xml:space="preserve">’ </w:t>
      </w:r>
      <w:r w:rsidRPr="00A472FC">
        <w:rPr>
          <w:rFonts w:ascii="Times New Roman" w:hAnsi="Times New Roman" w:cs="Times New Roman"/>
          <w:i/>
        </w:rPr>
        <w:t>Elements of Theology</w:t>
      </w:r>
      <w:r w:rsidRPr="00A472FC">
        <w:rPr>
          <w:rFonts w:ascii="Times New Roman" w:hAnsi="Times New Roman" w:cs="Times New Roman"/>
        </w:rPr>
        <w:t>.</w:t>
      </w:r>
      <w:r w:rsidRPr="00A472FC">
        <w:rPr>
          <w:rStyle w:val="FootnoteReference"/>
          <w:rFonts w:ascii="Times New Roman" w:hAnsi="Times New Roman" w:cs="Times New Roman"/>
        </w:rPr>
        <w:footnoteReference w:id="234"/>
      </w:r>
      <w:r w:rsidRPr="00A472FC">
        <w:rPr>
          <w:rFonts w:ascii="Times New Roman" w:hAnsi="Times New Roman" w:cs="Times New Roman"/>
        </w:rPr>
        <w:t xml:space="preserve"> </w:t>
      </w:r>
      <w:r w:rsidR="00BF6E29" w:rsidRPr="00A472FC">
        <w:rPr>
          <w:rFonts w:ascii="Times New Roman" w:hAnsi="Times New Roman" w:cs="Times New Roman"/>
        </w:rPr>
        <w:t xml:space="preserve">Another important source for Roland </w:t>
      </w:r>
      <w:r w:rsidR="00891D9D" w:rsidRPr="00A472FC">
        <w:rPr>
          <w:rFonts w:ascii="Times New Roman" w:hAnsi="Times New Roman" w:cs="Times New Roman"/>
        </w:rPr>
        <w:t>was</w:t>
      </w:r>
      <w:r w:rsidR="00BF6E29" w:rsidRPr="00A472FC">
        <w:rPr>
          <w:rFonts w:ascii="Times New Roman" w:hAnsi="Times New Roman" w:cs="Times New Roman"/>
        </w:rPr>
        <w:t xml:space="preserve"> Avicenna</w:t>
      </w:r>
      <w:r w:rsidR="00891D9D" w:rsidRPr="00A472FC">
        <w:rPr>
          <w:rFonts w:ascii="Times New Roman" w:hAnsi="Times New Roman" w:cs="Times New Roman"/>
        </w:rPr>
        <w:t xml:space="preserve"> and particularly his theory of cognition</w:t>
      </w:r>
      <w:r w:rsidR="00BF6E29" w:rsidRPr="00A472FC">
        <w:rPr>
          <w:rFonts w:ascii="Times New Roman" w:hAnsi="Times New Roman" w:cs="Times New Roman"/>
          <w:lang w:val="en-US"/>
        </w:rPr>
        <w:t>.</w:t>
      </w:r>
      <w:r w:rsidR="00BF6E29" w:rsidRPr="00A472FC">
        <w:rPr>
          <w:rStyle w:val="FootnoteReference"/>
          <w:rFonts w:ascii="Times New Roman" w:hAnsi="Times New Roman" w:cs="Times New Roman"/>
          <w:lang w:val="en-US"/>
        </w:rPr>
        <w:footnoteReference w:id="235"/>
      </w:r>
      <w:r w:rsidR="00891D9D" w:rsidRPr="00A472FC">
        <w:rPr>
          <w:rFonts w:ascii="Times New Roman" w:hAnsi="Times New Roman" w:cs="Times New Roman"/>
          <w:lang w:val="en-US"/>
        </w:rPr>
        <w:t xml:space="preserve"> Roland </w:t>
      </w:r>
      <w:r w:rsidR="00827271" w:rsidRPr="00A472FC">
        <w:rPr>
          <w:rFonts w:ascii="Times New Roman" w:hAnsi="Times New Roman" w:cs="Times New Roman"/>
          <w:lang w:val="en-US"/>
        </w:rPr>
        <w:t>rehearses the</w:t>
      </w:r>
      <w:r w:rsidR="00891D9D" w:rsidRPr="00A472FC">
        <w:rPr>
          <w:rFonts w:ascii="Times New Roman" w:hAnsi="Times New Roman" w:cs="Times New Roman"/>
          <w:lang w:val="en-US"/>
        </w:rPr>
        <w:t xml:space="preserve"> philosopher</w:t>
      </w:r>
      <w:r w:rsidR="00827271" w:rsidRPr="00A472FC">
        <w:rPr>
          <w:rFonts w:ascii="Times New Roman" w:hAnsi="Times New Roman" w:cs="Times New Roman"/>
          <w:lang w:val="en-US"/>
        </w:rPr>
        <w:t>’</w:t>
      </w:r>
      <w:r w:rsidR="00891D9D" w:rsidRPr="00A472FC">
        <w:rPr>
          <w:rFonts w:ascii="Times New Roman" w:hAnsi="Times New Roman" w:cs="Times New Roman"/>
          <w:lang w:val="en-US"/>
        </w:rPr>
        <w:t>s theories of external and internal sens</w:t>
      </w:r>
      <w:r w:rsidR="00827271" w:rsidRPr="00A472FC">
        <w:rPr>
          <w:rFonts w:ascii="Times New Roman" w:hAnsi="Times New Roman" w:cs="Times New Roman"/>
          <w:lang w:val="en-US"/>
        </w:rPr>
        <w:t>ation</w:t>
      </w:r>
      <w:r w:rsidR="00891D9D" w:rsidRPr="00A472FC">
        <w:rPr>
          <w:rFonts w:ascii="Times New Roman" w:hAnsi="Times New Roman" w:cs="Times New Roman"/>
          <w:lang w:val="en-US"/>
        </w:rPr>
        <w:t xml:space="preserve"> as well as the </w:t>
      </w:r>
      <w:r w:rsidR="009B626F" w:rsidRPr="00A472FC">
        <w:rPr>
          <w:rFonts w:ascii="Times New Roman" w:hAnsi="Times New Roman" w:cs="Times New Roman"/>
          <w:lang w:val="en-US"/>
        </w:rPr>
        <w:t xml:space="preserve">doctrine of the </w:t>
      </w:r>
      <w:r w:rsidR="00891D9D" w:rsidRPr="00A472FC">
        <w:rPr>
          <w:rFonts w:ascii="Times New Roman" w:hAnsi="Times New Roman" w:cs="Times New Roman"/>
          <w:lang w:val="en-US"/>
        </w:rPr>
        <w:t>agent intellect</w:t>
      </w:r>
      <w:r w:rsidRPr="00A472FC">
        <w:rPr>
          <w:rFonts w:ascii="Times New Roman" w:hAnsi="Times New Roman" w:cs="Times New Roman"/>
        </w:rPr>
        <w:t>, which his colleagues and predecessors had been mostly too shy to discuss.</w:t>
      </w:r>
      <w:r w:rsidRPr="00A472FC">
        <w:rPr>
          <w:rStyle w:val="FootnoteReference"/>
          <w:rFonts w:ascii="Times New Roman" w:hAnsi="Times New Roman" w:cs="Times New Roman"/>
        </w:rPr>
        <w:footnoteReference w:id="236"/>
      </w:r>
      <w:r w:rsidRPr="00A472FC">
        <w:rPr>
          <w:rFonts w:ascii="Times New Roman" w:hAnsi="Times New Roman" w:cs="Times New Roman"/>
        </w:rPr>
        <w:t xml:space="preserve"> </w:t>
      </w:r>
    </w:p>
    <w:p w14:paraId="1D684F59" w14:textId="7CF07D1C" w:rsidR="007C038D" w:rsidRPr="00A472FC" w:rsidRDefault="007C038D" w:rsidP="00812B0B">
      <w:pPr>
        <w:ind w:right="-52" w:firstLine="720"/>
        <w:rPr>
          <w:rFonts w:ascii="Times New Roman" w:hAnsi="Times New Roman" w:cs="Times New Roman"/>
        </w:rPr>
      </w:pPr>
      <w:r w:rsidRPr="00A472FC">
        <w:rPr>
          <w:rFonts w:ascii="Times New Roman" w:hAnsi="Times New Roman" w:cs="Times New Roman"/>
        </w:rPr>
        <w:t xml:space="preserve">That said, he does </w:t>
      </w:r>
      <w:r w:rsidR="00B935AC" w:rsidRPr="00A472FC">
        <w:rPr>
          <w:rFonts w:ascii="Times New Roman" w:hAnsi="Times New Roman" w:cs="Times New Roman"/>
        </w:rPr>
        <w:t>this</w:t>
      </w:r>
      <w:r w:rsidRPr="00A472FC">
        <w:rPr>
          <w:rFonts w:ascii="Times New Roman" w:hAnsi="Times New Roman" w:cs="Times New Roman"/>
        </w:rPr>
        <w:t xml:space="preserve"> only briefly and in a </w:t>
      </w:r>
      <w:r w:rsidRPr="00A472FC">
        <w:rPr>
          <w:rFonts w:ascii="Times New Roman" w:hAnsi="Times New Roman" w:cs="Times New Roman"/>
          <w:color w:val="000000"/>
          <w:lang w:val="en-US"/>
        </w:rPr>
        <w:t xml:space="preserve">squarely moral context, which pertains to questions about how cognition can lead to sin. As regards reason, his main concern is to </w:t>
      </w:r>
      <w:r w:rsidRPr="00A472FC">
        <w:rPr>
          <w:rFonts w:ascii="Times New Roman" w:hAnsi="Times New Roman" w:cs="Times New Roman"/>
          <w:color w:val="000000"/>
          <w:lang w:val="en-US"/>
        </w:rPr>
        <w:lastRenderedPageBreak/>
        <w:t>ensure that it avoids evil and functions to defend the faith</w:t>
      </w:r>
      <w:r w:rsidRPr="00A472FC">
        <w:rPr>
          <w:rFonts w:ascii="Times New Roman" w:hAnsi="Times New Roman" w:cs="Times New Roman"/>
        </w:rPr>
        <w:t>.</w:t>
      </w:r>
      <w:r w:rsidRPr="00A472FC">
        <w:rPr>
          <w:rStyle w:val="FootnoteReference"/>
          <w:rFonts w:ascii="Times New Roman" w:hAnsi="Times New Roman" w:cs="Times New Roman"/>
        </w:rPr>
        <w:footnoteReference w:id="237"/>
      </w:r>
      <w:r w:rsidRPr="00A472FC">
        <w:rPr>
          <w:rFonts w:ascii="Times New Roman" w:hAnsi="Times New Roman" w:cs="Times New Roman"/>
        </w:rPr>
        <w:t xml:space="preserve"> </w:t>
      </w:r>
      <w:r w:rsidRPr="00A472FC">
        <w:rPr>
          <w:rFonts w:ascii="Times New Roman" w:hAnsi="Times New Roman" w:cs="Times New Roman"/>
          <w:color w:val="000000"/>
          <w:lang w:val="en-US"/>
        </w:rPr>
        <w:t xml:space="preserve">On this and other topics, his work is distinguished by the frequent use of biblical examples, which </w:t>
      </w:r>
      <w:r w:rsidR="00812B0B" w:rsidRPr="00A472FC">
        <w:rPr>
          <w:rFonts w:ascii="Times New Roman" w:hAnsi="Times New Roman" w:cs="Times New Roman"/>
          <w:color w:val="000000"/>
          <w:lang w:val="en-US"/>
        </w:rPr>
        <w:t>are not found so frequently in</w:t>
      </w:r>
      <w:r w:rsidRPr="00A472FC">
        <w:rPr>
          <w:rFonts w:ascii="Times New Roman" w:hAnsi="Times New Roman" w:cs="Times New Roman"/>
          <w:color w:val="000000"/>
          <w:lang w:val="en-US"/>
        </w:rPr>
        <w:t xml:space="preserve"> other scholastic texts from this generation. The brevity of his discussion</w:t>
      </w:r>
      <w:r w:rsidR="007E35D7" w:rsidRPr="00A472FC">
        <w:rPr>
          <w:rFonts w:ascii="Times New Roman" w:hAnsi="Times New Roman" w:cs="Times New Roman"/>
          <w:color w:val="000000"/>
          <w:lang w:val="en-US"/>
        </w:rPr>
        <w:t xml:space="preserve"> of the soul’s powers</w:t>
      </w:r>
      <w:r w:rsidRPr="00A472FC">
        <w:rPr>
          <w:rFonts w:ascii="Times New Roman" w:hAnsi="Times New Roman" w:cs="Times New Roman"/>
          <w:color w:val="000000"/>
          <w:lang w:val="en-US"/>
        </w:rPr>
        <w:t xml:space="preserve">, he states explicitly, is due to the fact that such philosophical matters are not </w:t>
      </w:r>
      <w:r w:rsidR="0003323F" w:rsidRPr="00A472FC">
        <w:rPr>
          <w:rFonts w:ascii="Times New Roman" w:hAnsi="Times New Roman" w:cs="Times New Roman"/>
          <w:color w:val="000000"/>
          <w:lang w:val="en-US"/>
        </w:rPr>
        <w:t xml:space="preserve">or should not be </w:t>
      </w:r>
      <w:r w:rsidRPr="00A472FC">
        <w:rPr>
          <w:rFonts w:ascii="Times New Roman" w:hAnsi="Times New Roman" w:cs="Times New Roman"/>
          <w:color w:val="000000"/>
          <w:lang w:val="en-US"/>
        </w:rPr>
        <w:t>the primary concern of a theologian.</w:t>
      </w:r>
      <w:r w:rsidRPr="00A472FC">
        <w:rPr>
          <w:rStyle w:val="FootnoteReference"/>
          <w:rFonts w:ascii="Times New Roman" w:hAnsi="Times New Roman" w:cs="Times New Roman"/>
          <w:color w:val="000000"/>
          <w:lang w:val="en-US"/>
        </w:rPr>
        <w:footnoteReference w:id="238"/>
      </w:r>
      <w:r w:rsidRPr="00A472FC">
        <w:rPr>
          <w:rFonts w:ascii="Times New Roman" w:hAnsi="Times New Roman" w:cs="Times New Roman"/>
          <w:color w:val="000000"/>
          <w:lang w:val="en-US"/>
        </w:rPr>
        <w:t xml:space="preserve"> As we will soon discover, however, Roland, as well as Hugh, </w:t>
      </w:r>
      <w:r w:rsidR="0072104E" w:rsidRPr="00A472FC">
        <w:rPr>
          <w:rFonts w:ascii="Times New Roman" w:hAnsi="Times New Roman" w:cs="Times New Roman"/>
          <w:color w:val="000000"/>
          <w:lang w:val="en-US"/>
        </w:rPr>
        <w:t>addressed</w:t>
      </w:r>
      <w:r w:rsidRPr="00A472FC">
        <w:rPr>
          <w:rFonts w:ascii="Times New Roman" w:hAnsi="Times New Roman" w:cs="Times New Roman"/>
          <w:color w:val="000000"/>
          <w:lang w:val="en-US"/>
        </w:rPr>
        <w:t xml:space="preserve"> a number of </w:t>
      </w:r>
      <w:r w:rsidR="00F053B8" w:rsidRPr="00A472FC">
        <w:rPr>
          <w:rFonts w:ascii="Times New Roman" w:hAnsi="Times New Roman" w:cs="Times New Roman"/>
          <w:color w:val="000000"/>
          <w:lang w:val="en-US"/>
        </w:rPr>
        <w:t xml:space="preserve">the philosophical </w:t>
      </w:r>
      <w:r w:rsidRPr="00A472FC">
        <w:rPr>
          <w:rFonts w:ascii="Times New Roman" w:hAnsi="Times New Roman" w:cs="Times New Roman"/>
          <w:color w:val="000000"/>
          <w:lang w:val="en-US"/>
        </w:rPr>
        <w:t xml:space="preserve">questions that Philip </w:t>
      </w:r>
      <w:r w:rsidR="0072104E" w:rsidRPr="00A472FC">
        <w:rPr>
          <w:rFonts w:ascii="Times New Roman" w:hAnsi="Times New Roman" w:cs="Times New Roman"/>
          <w:color w:val="000000"/>
          <w:lang w:val="en-US"/>
        </w:rPr>
        <w:t xml:space="preserve">initially </w:t>
      </w:r>
      <w:r w:rsidRPr="00A472FC">
        <w:rPr>
          <w:rFonts w:ascii="Times New Roman" w:hAnsi="Times New Roman" w:cs="Times New Roman"/>
          <w:color w:val="000000"/>
          <w:lang w:val="en-US"/>
        </w:rPr>
        <w:t xml:space="preserve">introduced. This is not surprising, given the likelihood that Philip would have interacted with the Dominicans and others who were his contemporaries and colleagues at the University of Paris. In fact, </w:t>
      </w:r>
      <w:r w:rsidRPr="00A472FC">
        <w:rPr>
          <w:rFonts w:ascii="Times New Roman" w:hAnsi="Times New Roman" w:cs="Times New Roman"/>
          <w:lang w:val="en-US"/>
        </w:rPr>
        <w:t>Philip spoke highly of the preachers in his sermons.</w:t>
      </w:r>
      <w:r w:rsidRPr="00A472FC">
        <w:rPr>
          <w:rStyle w:val="FootnoteReference"/>
          <w:rFonts w:ascii="Times New Roman" w:hAnsi="Times New Roman" w:cs="Times New Roman"/>
          <w:lang w:val="en-US"/>
        </w:rPr>
        <w:footnoteReference w:id="239"/>
      </w:r>
    </w:p>
    <w:p w14:paraId="45B8D383" w14:textId="77777777" w:rsidR="007C038D" w:rsidRPr="00A472FC" w:rsidRDefault="007C038D" w:rsidP="00881604">
      <w:pPr>
        <w:pStyle w:val="Default"/>
        <w:ind w:right="-52"/>
        <w:rPr>
          <w:rFonts w:ascii="Times New Roman" w:hAnsi="Times New Roman" w:cs="Times New Roman"/>
        </w:rPr>
      </w:pPr>
    </w:p>
    <w:p w14:paraId="5E971BAF" w14:textId="77777777" w:rsidR="007C038D" w:rsidRPr="00A472FC" w:rsidRDefault="007C038D" w:rsidP="00881604">
      <w:pPr>
        <w:autoSpaceDE w:val="0"/>
        <w:autoSpaceDN w:val="0"/>
        <w:adjustRightInd w:val="0"/>
        <w:ind w:right="-52"/>
        <w:rPr>
          <w:rFonts w:ascii="Times New Roman" w:hAnsi="Times New Roman" w:cs="Times New Roman"/>
          <w:u w:val="single"/>
          <w:lang w:val="en-US"/>
        </w:rPr>
      </w:pPr>
      <w:r w:rsidRPr="00A472FC">
        <w:rPr>
          <w:rFonts w:ascii="Times New Roman" w:hAnsi="Times New Roman" w:cs="Times New Roman"/>
          <w:u w:val="single"/>
          <w:lang w:val="en-US"/>
        </w:rPr>
        <w:t>Hugh of St Cher</w:t>
      </w:r>
    </w:p>
    <w:p w14:paraId="660DF345" w14:textId="77777777" w:rsidR="007C038D" w:rsidRPr="00A472FC" w:rsidRDefault="007C038D" w:rsidP="00881604">
      <w:pPr>
        <w:autoSpaceDE w:val="0"/>
        <w:autoSpaceDN w:val="0"/>
        <w:adjustRightInd w:val="0"/>
        <w:ind w:right="-52"/>
        <w:rPr>
          <w:rFonts w:ascii="Times New Roman" w:hAnsi="Times New Roman" w:cs="Times New Roman"/>
          <w:lang w:val="en-US"/>
        </w:rPr>
      </w:pPr>
    </w:p>
    <w:p w14:paraId="403A9115" w14:textId="54B87B70" w:rsidR="007C038D" w:rsidRPr="00A472FC" w:rsidRDefault="007C038D" w:rsidP="00881604">
      <w:pPr>
        <w:pStyle w:val="Default"/>
        <w:ind w:right="-52"/>
        <w:rPr>
          <w:rFonts w:ascii="Times New Roman" w:hAnsi="Times New Roman" w:cs="Times New Roman"/>
        </w:rPr>
      </w:pPr>
      <w:r w:rsidRPr="00A472FC">
        <w:rPr>
          <w:rFonts w:ascii="Times New Roman" w:hAnsi="Times New Roman" w:cs="Times New Roman"/>
        </w:rPr>
        <w:tab/>
        <w:t xml:space="preserve">As noted above, Hugh of St Cher (b. c. 1190/1200-1263) wrote a </w:t>
      </w:r>
      <w:r w:rsidR="00040053" w:rsidRPr="00A472FC">
        <w:rPr>
          <w:rFonts w:ascii="Times New Roman" w:hAnsi="Times New Roman" w:cs="Times New Roman"/>
          <w:i/>
        </w:rPr>
        <w:t>Sentences</w:t>
      </w:r>
      <w:r w:rsidRPr="00A472FC">
        <w:rPr>
          <w:rFonts w:ascii="Times New Roman" w:hAnsi="Times New Roman" w:cs="Times New Roman"/>
        </w:rPr>
        <w:t xml:space="preserve"> Commentary, probably in 1229-31</w:t>
      </w:r>
      <w:r w:rsidR="0072104E" w:rsidRPr="00A472FC">
        <w:rPr>
          <w:rFonts w:ascii="Times New Roman" w:hAnsi="Times New Roman" w:cs="Times New Roman"/>
        </w:rPr>
        <w:t>,</w:t>
      </w:r>
      <w:r w:rsidRPr="00A472FC">
        <w:rPr>
          <w:rFonts w:ascii="Times New Roman" w:hAnsi="Times New Roman" w:cs="Times New Roman"/>
        </w:rPr>
        <w:t xml:space="preserve"> and subsequently, most likely in the first half of the 1230s, a series of thirty-six disputed questions, including the disputed question on the soul which will be considered in this book.</w:t>
      </w:r>
      <w:r w:rsidRPr="00A472FC">
        <w:rPr>
          <w:rStyle w:val="FootnoteReference"/>
          <w:rFonts w:ascii="Times New Roman" w:hAnsi="Times New Roman" w:cs="Times New Roman"/>
        </w:rPr>
        <w:footnoteReference w:id="240"/>
      </w:r>
      <w:r w:rsidRPr="00A472FC">
        <w:rPr>
          <w:rFonts w:ascii="Times New Roman" w:hAnsi="Times New Roman" w:cs="Times New Roman"/>
        </w:rPr>
        <w:t xml:space="preserve"> When Hugh became a Dominican between 1224-</w:t>
      </w:r>
      <w:r w:rsidR="00D76D8F" w:rsidRPr="00A472FC">
        <w:rPr>
          <w:rFonts w:ascii="Times New Roman" w:hAnsi="Times New Roman" w:cs="Times New Roman"/>
        </w:rPr>
        <w:t>2</w:t>
      </w:r>
      <w:r w:rsidRPr="00A472FC">
        <w:rPr>
          <w:rFonts w:ascii="Times New Roman" w:hAnsi="Times New Roman" w:cs="Times New Roman"/>
        </w:rPr>
        <w:t xml:space="preserve">6, he was already a bachelor in theology and had </w:t>
      </w:r>
      <w:r w:rsidR="00F77D68" w:rsidRPr="00A472FC">
        <w:rPr>
          <w:rFonts w:ascii="Times New Roman" w:hAnsi="Times New Roman" w:cs="Times New Roman"/>
        </w:rPr>
        <w:t>evidently</w:t>
      </w:r>
      <w:r w:rsidRPr="00A472FC">
        <w:rPr>
          <w:rFonts w:ascii="Times New Roman" w:hAnsi="Times New Roman" w:cs="Times New Roman"/>
        </w:rPr>
        <w:t xml:space="preserve"> been in Paris for some time, probably since 1210-15.</w:t>
      </w:r>
      <w:r w:rsidRPr="00A472FC">
        <w:rPr>
          <w:rStyle w:val="FootnoteReference"/>
          <w:rFonts w:ascii="Times New Roman" w:hAnsi="Times New Roman" w:cs="Times New Roman"/>
        </w:rPr>
        <w:footnoteReference w:id="241"/>
      </w:r>
      <w:r w:rsidRPr="00A472FC">
        <w:rPr>
          <w:rFonts w:ascii="Times New Roman" w:hAnsi="Times New Roman" w:cs="Times New Roman"/>
        </w:rPr>
        <w:t xml:space="preserve"> As </w:t>
      </w:r>
      <w:r w:rsidR="006E6F6F" w:rsidRPr="00A472FC">
        <w:rPr>
          <w:rFonts w:ascii="Times New Roman" w:hAnsi="Times New Roman" w:cs="Times New Roman"/>
        </w:rPr>
        <w:t>stated above</w:t>
      </w:r>
      <w:r w:rsidRPr="00A472FC">
        <w:rPr>
          <w:rFonts w:ascii="Times New Roman" w:hAnsi="Times New Roman" w:cs="Times New Roman"/>
        </w:rPr>
        <w:t>, he taught theology from 1230-35;</w:t>
      </w:r>
      <w:r w:rsidRPr="00A472FC">
        <w:rPr>
          <w:rStyle w:val="FootnoteReference"/>
          <w:rFonts w:ascii="Times New Roman" w:hAnsi="Times New Roman" w:cs="Times New Roman"/>
        </w:rPr>
        <w:footnoteReference w:id="242"/>
      </w:r>
      <w:r w:rsidRPr="00A472FC">
        <w:rPr>
          <w:rFonts w:ascii="Times New Roman" w:hAnsi="Times New Roman" w:cs="Times New Roman"/>
        </w:rPr>
        <w:t xml:space="preserve"> he then became the first Dominican Cardinal in 1244 and remained in this position until his death in 1263.</w:t>
      </w:r>
      <w:r w:rsidRPr="00A472FC">
        <w:rPr>
          <w:rStyle w:val="FootnoteReference"/>
          <w:rFonts w:ascii="Times New Roman" w:hAnsi="Times New Roman" w:cs="Times New Roman"/>
        </w:rPr>
        <w:footnoteReference w:id="243"/>
      </w:r>
      <w:r w:rsidRPr="00A472FC">
        <w:rPr>
          <w:rStyle w:val="FootnoteReference"/>
          <w:rFonts w:ascii="Times New Roman" w:hAnsi="Times New Roman" w:cs="Times New Roman"/>
        </w:rPr>
        <w:t xml:space="preserve"> </w:t>
      </w:r>
      <w:r w:rsidRPr="00A472FC">
        <w:rPr>
          <w:rFonts w:ascii="Times New Roman" w:hAnsi="Times New Roman" w:cs="Times New Roman"/>
        </w:rPr>
        <w:t xml:space="preserve"> </w:t>
      </w:r>
    </w:p>
    <w:p w14:paraId="21DCA580" w14:textId="23D2AC53" w:rsidR="007C038D" w:rsidRPr="00A472FC" w:rsidRDefault="007C038D" w:rsidP="00881604">
      <w:pPr>
        <w:pStyle w:val="Default"/>
        <w:ind w:right="-52" w:firstLine="720"/>
        <w:rPr>
          <w:rFonts w:ascii="Times New Roman" w:hAnsi="Times New Roman" w:cs="Times New Roman"/>
        </w:rPr>
      </w:pPr>
      <w:r w:rsidRPr="00A472FC">
        <w:rPr>
          <w:rFonts w:ascii="Times New Roman" w:hAnsi="Times New Roman" w:cs="Times New Roman"/>
        </w:rPr>
        <w:t xml:space="preserve">Hugh’s name has often been associated with the </w:t>
      </w:r>
      <w:r w:rsidR="002364EA" w:rsidRPr="00A472FC">
        <w:rPr>
          <w:rFonts w:ascii="Times New Roman" w:hAnsi="Times New Roman" w:cs="Times New Roman"/>
        </w:rPr>
        <w:t>Domi</w:t>
      </w:r>
      <w:r w:rsidR="00D85101" w:rsidRPr="00A472FC">
        <w:rPr>
          <w:rFonts w:ascii="Times New Roman" w:hAnsi="Times New Roman" w:cs="Times New Roman"/>
        </w:rPr>
        <w:t>ni</w:t>
      </w:r>
      <w:r w:rsidR="002364EA" w:rsidRPr="00A472FC">
        <w:rPr>
          <w:rFonts w:ascii="Times New Roman" w:hAnsi="Times New Roman" w:cs="Times New Roman"/>
        </w:rPr>
        <w:t xml:space="preserve">can </w:t>
      </w:r>
      <w:proofErr w:type="spellStart"/>
      <w:r w:rsidRPr="00A472FC">
        <w:rPr>
          <w:rFonts w:ascii="Times New Roman" w:hAnsi="Times New Roman" w:cs="Times New Roman"/>
        </w:rPr>
        <w:t>Postilles</w:t>
      </w:r>
      <w:proofErr w:type="spellEnd"/>
      <w:r w:rsidRPr="00A472FC">
        <w:rPr>
          <w:rFonts w:ascii="Times New Roman" w:hAnsi="Times New Roman" w:cs="Times New Roman"/>
        </w:rPr>
        <w:t>, which are generally described as biblical commentaries, but his personal authorship of the work is contested.</w:t>
      </w:r>
      <w:r w:rsidRPr="00A472FC">
        <w:rPr>
          <w:rStyle w:val="FootnoteReference"/>
          <w:rFonts w:ascii="Times New Roman" w:hAnsi="Times New Roman" w:cs="Times New Roman"/>
        </w:rPr>
        <w:footnoteReference w:id="244"/>
      </w:r>
      <w:r w:rsidRPr="00A472FC">
        <w:rPr>
          <w:rFonts w:ascii="Times New Roman" w:hAnsi="Times New Roman" w:cs="Times New Roman"/>
        </w:rPr>
        <w:t xml:space="preserve"> As Robert Lerner has noted, it is more likely that a team of friars worked on this project and others, such as a concordance to Scripture, in the 1230s</w:t>
      </w:r>
      <w:r w:rsidR="00B81693" w:rsidRPr="00A472FC">
        <w:rPr>
          <w:rFonts w:ascii="Times New Roman" w:hAnsi="Times New Roman" w:cs="Times New Roman"/>
        </w:rPr>
        <w:t>,</w:t>
      </w:r>
      <w:r w:rsidRPr="00A472FC">
        <w:rPr>
          <w:rFonts w:ascii="Times New Roman" w:hAnsi="Times New Roman" w:cs="Times New Roman"/>
        </w:rPr>
        <w:t xml:space="preserve"> under Hugh’s direction.</w:t>
      </w:r>
      <w:r w:rsidRPr="00A472FC">
        <w:rPr>
          <w:rStyle w:val="FootnoteReference"/>
          <w:rFonts w:ascii="Times New Roman" w:hAnsi="Times New Roman" w:cs="Times New Roman"/>
        </w:rPr>
        <w:footnoteReference w:id="245"/>
      </w:r>
      <w:r w:rsidRPr="00A472FC">
        <w:rPr>
          <w:rFonts w:ascii="Times New Roman" w:hAnsi="Times New Roman" w:cs="Times New Roman"/>
        </w:rPr>
        <w:t xml:space="preserve"> In Lerner’s view, the case for multiple authorship is supported not only by the immense size of the work but also by the fact that it contains a diversity of opinions, not to mention many rather off-handed remarks to which the label of ‘biblical commentary’ does not do justice.</w:t>
      </w:r>
      <w:r w:rsidRPr="00A472FC">
        <w:rPr>
          <w:rStyle w:val="FootnoteReference"/>
          <w:rFonts w:ascii="Times New Roman" w:hAnsi="Times New Roman" w:cs="Times New Roman"/>
        </w:rPr>
        <w:footnoteReference w:id="246"/>
      </w:r>
    </w:p>
    <w:p w14:paraId="28C5F54B" w14:textId="67127C6F" w:rsidR="007C038D" w:rsidRPr="00A472FC" w:rsidRDefault="007C038D" w:rsidP="008816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rPr>
        <w:t>According to Lerner, ‘</w:t>
      </w:r>
      <w:proofErr w:type="spellStart"/>
      <w:r w:rsidRPr="00A472FC">
        <w:rPr>
          <w:rFonts w:ascii="Times New Roman" w:hAnsi="Times New Roman" w:cs="Times New Roman"/>
        </w:rPr>
        <w:t>postill</w:t>
      </w:r>
      <w:proofErr w:type="spellEnd"/>
      <w:r w:rsidRPr="00A472FC">
        <w:rPr>
          <w:rFonts w:ascii="Times New Roman" w:hAnsi="Times New Roman" w:cs="Times New Roman"/>
        </w:rPr>
        <w:t>’ is merely a term of convenience which refers to the kind of ‘</w:t>
      </w:r>
      <w:r w:rsidRPr="00A472FC">
        <w:rPr>
          <w:rFonts w:ascii="Times New Roman" w:hAnsi="Times New Roman" w:cs="Times New Roman"/>
          <w:lang w:val="en-US"/>
        </w:rPr>
        <w:t>continuous biblical commentary produced in the schools</w:t>
      </w:r>
      <w:r w:rsidRPr="00A472FC">
        <w:rPr>
          <w:rFonts w:ascii="Times New Roman" w:hAnsi="Times New Roman" w:cs="Times New Roman"/>
        </w:rPr>
        <w:t>.’</w:t>
      </w:r>
      <w:r w:rsidRPr="00A472FC">
        <w:rPr>
          <w:rStyle w:val="FootnoteReference"/>
          <w:rFonts w:ascii="Times New Roman" w:hAnsi="Times New Roman" w:cs="Times New Roman"/>
        </w:rPr>
        <w:footnoteReference w:id="247"/>
      </w:r>
      <w:r w:rsidRPr="00A472FC">
        <w:rPr>
          <w:rFonts w:ascii="Times New Roman" w:hAnsi="Times New Roman" w:cs="Times New Roman"/>
        </w:rPr>
        <w:t xml:space="preserve"> As Magdalena Bieniak adds, these </w:t>
      </w:r>
      <w:proofErr w:type="spellStart"/>
      <w:r w:rsidRPr="00A472FC">
        <w:rPr>
          <w:rFonts w:ascii="Times New Roman" w:hAnsi="Times New Roman" w:cs="Times New Roman"/>
        </w:rPr>
        <w:t>postills</w:t>
      </w:r>
      <w:proofErr w:type="spellEnd"/>
      <w:r w:rsidRPr="00A472FC">
        <w:rPr>
          <w:rFonts w:ascii="Times New Roman" w:hAnsi="Times New Roman" w:cs="Times New Roman"/>
        </w:rPr>
        <w:t xml:space="preserve"> </w:t>
      </w:r>
      <w:r w:rsidR="00064574" w:rsidRPr="00A472FC">
        <w:rPr>
          <w:rFonts w:ascii="Times New Roman" w:hAnsi="Times New Roman" w:cs="Times New Roman"/>
        </w:rPr>
        <w:t xml:space="preserve">associated with Hugh </w:t>
      </w:r>
      <w:r w:rsidRPr="00A472FC">
        <w:rPr>
          <w:rFonts w:ascii="Times New Roman" w:hAnsi="Times New Roman" w:cs="Times New Roman"/>
        </w:rPr>
        <w:t xml:space="preserve">are a valuable witness to the sense of solidarity and </w:t>
      </w:r>
      <w:r w:rsidRPr="00A472FC">
        <w:rPr>
          <w:rFonts w:ascii="Times New Roman" w:hAnsi="Times New Roman" w:cs="Times New Roman"/>
        </w:rPr>
        <w:lastRenderedPageBreak/>
        <w:t>vocation that the Dominicans shared with the Franciscans.</w:t>
      </w:r>
      <w:r w:rsidRPr="00A472FC">
        <w:rPr>
          <w:rStyle w:val="FootnoteReference"/>
          <w:rFonts w:ascii="Times New Roman" w:hAnsi="Times New Roman" w:cs="Times New Roman"/>
        </w:rPr>
        <w:footnoteReference w:id="248"/>
      </w:r>
      <w:r w:rsidRPr="00A472FC">
        <w:rPr>
          <w:rFonts w:ascii="Times New Roman" w:hAnsi="Times New Roman" w:cs="Times New Roman"/>
        </w:rPr>
        <w:t xml:space="preserve"> ‘</w:t>
      </w:r>
      <w:r w:rsidRPr="00A472FC">
        <w:rPr>
          <w:rFonts w:ascii="Times New Roman" w:hAnsi="Times New Roman" w:cs="Times New Roman"/>
          <w:lang w:val="en-US"/>
        </w:rPr>
        <w:t>The positive references to the Franciscans show that the Dominicans of St Jacques recognized them as a sister order that shared a common cause.’</w:t>
      </w:r>
      <w:r w:rsidRPr="00A472FC">
        <w:rPr>
          <w:rStyle w:val="FootnoteReference"/>
          <w:rFonts w:ascii="Times New Roman" w:hAnsi="Times New Roman" w:cs="Times New Roman"/>
          <w:lang w:val="en-US"/>
        </w:rPr>
        <w:footnoteReference w:id="249"/>
      </w:r>
      <w:r w:rsidRPr="00A472FC">
        <w:rPr>
          <w:rFonts w:ascii="Times New Roman" w:hAnsi="Times New Roman" w:cs="Times New Roman"/>
          <w:lang w:val="en-US"/>
        </w:rPr>
        <w:t xml:space="preserve"> That is not to deny that the two orders had distinct charisms and missions; however, their intellectual traditions were clearly closely intertwined at this time. </w:t>
      </w:r>
    </w:p>
    <w:p w14:paraId="4D601743" w14:textId="741ACA94" w:rsidR="007C038D" w:rsidRPr="00A472FC" w:rsidRDefault="007C038D" w:rsidP="008816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When Aristotle came to the fore, and was adopted by Aquinas, and before him, Albert the Great, Dominicans started to follow a different trajectory from the Franciscans. As we will see, there were some cases in which the Franciscans continued to promulgate positions they had encountered first in their </w:t>
      </w:r>
      <w:r w:rsidR="009D3FB8" w:rsidRPr="00A472FC">
        <w:rPr>
          <w:rFonts w:ascii="Times New Roman" w:hAnsi="Times New Roman" w:cs="Times New Roman"/>
          <w:lang w:val="en-US"/>
        </w:rPr>
        <w:t xml:space="preserve">early </w:t>
      </w:r>
      <w:r w:rsidRPr="00A472FC">
        <w:rPr>
          <w:rFonts w:ascii="Times New Roman" w:hAnsi="Times New Roman" w:cs="Times New Roman"/>
          <w:lang w:val="en-US"/>
        </w:rPr>
        <w:t xml:space="preserve">Dominican contemporaries. These </w:t>
      </w:r>
      <w:r w:rsidR="005F1D0B" w:rsidRPr="00A472FC">
        <w:rPr>
          <w:rFonts w:ascii="Times New Roman" w:hAnsi="Times New Roman" w:cs="Times New Roman"/>
          <w:lang w:val="en-US"/>
        </w:rPr>
        <w:t xml:space="preserve">latter </w:t>
      </w:r>
      <w:r w:rsidRPr="00A472FC">
        <w:rPr>
          <w:rFonts w:ascii="Times New Roman" w:hAnsi="Times New Roman" w:cs="Times New Roman"/>
          <w:lang w:val="en-US"/>
        </w:rPr>
        <w:t xml:space="preserve">thinkers, as Lerner has noted, were closer as a school to Peter the Chanter </w:t>
      </w:r>
      <w:r w:rsidR="00BE0539" w:rsidRPr="00A472FC">
        <w:rPr>
          <w:rFonts w:ascii="Times New Roman" w:hAnsi="Times New Roman" w:cs="Times New Roman"/>
          <w:lang w:val="en-US"/>
        </w:rPr>
        <w:t xml:space="preserve">(d. 1197) </w:t>
      </w:r>
      <w:r w:rsidRPr="00A472FC">
        <w:rPr>
          <w:rFonts w:ascii="Times New Roman" w:hAnsi="Times New Roman" w:cs="Times New Roman"/>
          <w:lang w:val="en-US"/>
        </w:rPr>
        <w:t>than Albert the Great.</w:t>
      </w:r>
      <w:r w:rsidRPr="00A472FC">
        <w:rPr>
          <w:rStyle w:val="FootnoteReference"/>
          <w:rFonts w:ascii="Times New Roman" w:hAnsi="Times New Roman" w:cs="Times New Roman"/>
          <w:lang w:val="en-US"/>
        </w:rPr>
        <w:footnoteReference w:id="250"/>
      </w:r>
      <w:r w:rsidRPr="00A472FC">
        <w:rPr>
          <w:rFonts w:ascii="Times New Roman" w:hAnsi="Times New Roman" w:cs="Times New Roman"/>
          <w:lang w:val="en-US"/>
        </w:rPr>
        <w:t xml:space="preserve"> The difference of twenty-five years or so—and their location, namely Paris, by contrast to the Cologne of Albert and the early Thomas—made a significant difference. </w:t>
      </w:r>
    </w:p>
    <w:p w14:paraId="7A693715" w14:textId="2F7FA5E8" w:rsidR="007C038D" w:rsidRPr="00A472FC" w:rsidRDefault="007C038D" w:rsidP="00881604">
      <w:pPr>
        <w:ind w:right="-52" w:firstLine="720"/>
        <w:rPr>
          <w:rFonts w:ascii="Times New Roman" w:hAnsi="Times New Roman" w:cs="Times New Roman"/>
        </w:rPr>
      </w:pPr>
      <w:r w:rsidRPr="00A472FC">
        <w:rPr>
          <w:rFonts w:ascii="Times New Roman" w:hAnsi="Times New Roman" w:cs="Times New Roman"/>
          <w:lang w:val="en-US"/>
        </w:rPr>
        <w:t xml:space="preserve">When it comes to cognitive theory, Hugh like William of Auxerre more or less avoided the topic of the </w:t>
      </w:r>
      <w:r w:rsidRPr="00A472FC">
        <w:rPr>
          <w:rFonts w:ascii="Times New Roman" w:hAnsi="Times New Roman" w:cs="Times New Roman"/>
        </w:rPr>
        <w:t xml:space="preserve">vegetative and sense powers in his </w:t>
      </w:r>
      <w:r w:rsidR="00040053" w:rsidRPr="00A472FC">
        <w:rPr>
          <w:rFonts w:ascii="Times New Roman" w:hAnsi="Times New Roman" w:cs="Times New Roman"/>
          <w:i/>
        </w:rPr>
        <w:t>Sentences</w:t>
      </w:r>
      <w:r w:rsidRPr="00A472FC">
        <w:rPr>
          <w:rFonts w:ascii="Times New Roman" w:hAnsi="Times New Roman" w:cs="Times New Roman"/>
        </w:rPr>
        <w:t xml:space="preserve"> Commentary.</w:t>
      </w:r>
      <w:r w:rsidRPr="00A472FC">
        <w:rPr>
          <w:rStyle w:val="FootnoteReference"/>
          <w:rFonts w:ascii="Times New Roman" w:hAnsi="Times New Roman" w:cs="Times New Roman"/>
        </w:rPr>
        <w:footnoteReference w:id="251"/>
      </w:r>
      <w:r w:rsidRPr="00A472FC">
        <w:rPr>
          <w:rFonts w:ascii="Times New Roman" w:hAnsi="Times New Roman" w:cs="Times New Roman"/>
        </w:rPr>
        <w:t xml:space="preserve"> As Bieniak notes, Auxerre was a major source for Hugh, who may have attended </w:t>
      </w:r>
      <w:r w:rsidR="009E39A7" w:rsidRPr="00A472FC">
        <w:rPr>
          <w:rFonts w:ascii="Times New Roman" w:hAnsi="Times New Roman" w:cs="Times New Roman"/>
        </w:rPr>
        <w:t>William’s</w:t>
      </w:r>
      <w:r w:rsidRPr="00A472FC">
        <w:rPr>
          <w:rFonts w:ascii="Times New Roman" w:hAnsi="Times New Roman" w:cs="Times New Roman"/>
        </w:rPr>
        <w:t xml:space="preserve"> lectures.</w:t>
      </w:r>
      <w:r w:rsidRPr="00A472FC">
        <w:rPr>
          <w:rStyle w:val="FootnoteReference"/>
          <w:rFonts w:ascii="Times New Roman" w:hAnsi="Times New Roman" w:cs="Times New Roman"/>
        </w:rPr>
        <w:footnoteReference w:id="252"/>
      </w:r>
      <w:r w:rsidRPr="00A472FC">
        <w:rPr>
          <w:rFonts w:ascii="Times New Roman" w:hAnsi="Times New Roman" w:cs="Times New Roman"/>
        </w:rPr>
        <w:t xml:space="preserve"> Like many of his contemporaries, Hugh often ‘copies long passages of his source [i.e. Auxerre] verbatim, but only to give them his own interpretation or an independent solution.’</w:t>
      </w:r>
      <w:r w:rsidRPr="00A472FC">
        <w:rPr>
          <w:rStyle w:val="FootnoteReference"/>
          <w:rFonts w:ascii="Times New Roman" w:hAnsi="Times New Roman" w:cs="Times New Roman"/>
        </w:rPr>
        <w:footnoteReference w:id="253"/>
      </w:r>
      <w:r w:rsidRPr="00A472FC">
        <w:rPr>
          <w:rFonts w:ascii="Times New Roman" w:hAnsi="Times New Roman" w:cs="Times New Roman"/>
        </w:rPr>
        <w:t xml:space="preserve"> He also clearly knew the </w:t>
      </w:r>
      <w:r w:rsidRPr="00A472FC">
        <w:rPr>
          <w:rFonts w:ascii="Times New Roman" w:hAnsi="Times New Roman" w:cs="Times New Roman"/>
          <w:i/>
        </w:rPr>
        <w:t>Glossa</w:t>
      </w:r>
      <w:r w:rsidRPr="00A472FC">
        <w:rPr>
          <w:rFonts w:ascii="Times New Roman" w:hAnsi="Times New Roman" w:cs="Times New Roman"/>
        </w:rPr>
        <w:t xml:space="preserve"> of Alexander of Hales.</w:t>
      </w:r>
      <w:r w:rsidRPr="00A472FC">
        <w:rPr>
          <w:rStyle w:val="FootnoteReference"/>
          <w:rFonts w:ascii="Times New Roman" w:hAnsi="Times New Roman" w:cs="Times New Roman"/>
        </w:rPr>
        <w:footnoteReference w:id="254"/>
      </w:r>
      <w:r w:rsidRPr="00A472FC">
        <w:rPr>
          <w:rFonts w:ascii="Times New Roman" w:hAnsi="Times New Roman" w:cs="Times New Roman"/>
        </w:rPr>
        <w:t xml:space="preserve"> While Hugh mentions the external and internal senses briefly, this reference has no real effect on his psychology, which </w:t>
      </w:r>
      <w:r w:rsidR="00D72201" w:rsidRPr="00A472FC">
        <w:rPr>
          <w:rFonts w:ascii="Times New Roman" w:hAnsi="Times New Roman" w:cs="Times New Roman"/>
        </w:rPr>
        <w:t>focuses on</w:t>
      </w:r>
      <w:r w:rsidRPr="00A472FC">
        <w:rPr>
          <w:rFonts w:ascii="Times New Roman" w:hAnsi="Times New Roman" w:cs="Times New Roman"/>
        </w:rPr>
        <w:t xml:space="preserve"> dealing with what were at the time entirely traditional topics.</w:t>
      </w:r>
      <w:r w:rsidRPr="00A472FC">
        <w:rPr>
          <w:rStyle w:val="FootnoteReference"/>
          <w:rFonts w:ascii="Times New Roman" w:hAnsi="Times New Roman" w:cs="Times New Roman"/>
          <w:color w:val="000000"/>
          <w:lang w:val="en-US"/>
        </w:rPr>
        <w:footnoteReference w:id="255"/>
      </w:r>
      <w:r w:rsidRPr="00A472FC">
        <w:rPr>
          <w:rFonts w:ascii="Times New Roman" w:hAnsi="Times New Roman" w:cs="Times New Roman"/>
        </w:rPr>
        <w:t xml:space="preserve"> That said, Hugh did insist that it is part of the work of the theologian to treat the nature of the soul.</w:t>
      </w:r>
      <w:r w:rsidRPr="00A472FC">
        <w:rPr>
          <w:rStyle w:val="FootnoteReference"/>
          <w:rFonts w:ascii="Times New Roman" w:hAnsi="Times New Roman" w:cs="Times New Roman"/>
        </w:rPr>
        <w:footnoteReference w:id="256"/>
      </w:r>
      <w:r w:rsidRPr="00A472FC">
        <w:rPr>
          <w:rFonts w:ascii="Times New Roman" w:hAnsi="Times New Roman" w:cs="Times New Roman"/>
        </w:rPr>
        <w:t xml:space="preserve"> What exactly he argued in this respect will emerge in the next couple of chapters.</w:t>
      </w:r>
    </w:p>
    <w:p w14:paraId="3173275A" w14:textId="77777777" w:rsidR="007C038D" w:rsidRPr="00A472FC" w:rsidRDefault="007C038D" w:rsidP="00881604">
      <w:pPr>
        <w:ind w:right="-52"/>
        <w:rPr>
          <w:rFonts w:ascii="Times New Roman" w:hAnsi="Times New Roman" w:cs="Times New Roman"/>
        </w:rPr>
      </w:pPr>
    </w:p>
    <w:p w14:paraId="29B971F3" w14:textId="77777777" w:rsidR="007C038D" w:rsidRPr="00A472FC" w:rsidRDefault="007C038D" w:rsidP="00881604">
      <w:pPr>
        <w:ind w:right="-52"/>
        <w:rPr>
          <w:rFonts w:ascii="Times New Roman" w:hAnsi="Times New Roman" w:cs="Times New Roman"/>
          <w:u w:val="single"/>
        </w:rPr>
      </w:pPr>
      <w:proofErr w:type="spellStart"/>
      <w:r w:rsidRPr="00A472FC">
        <w:rPr>
          <w:rFonts w:ascii="Times New Roman" w:hAnsi="Times New Roman" w:cs="Times New Roman"/>
          <w:u w:val="single"/>
        </w:rPr>
        <w:t>Guerric</w:t>
      </w:r>
      <w:proofErr w:type="spellEnd"/>
      <w:r w:rsidRPr="00A472FC">
        <w:rPr>
          <w:rFonts w:ascii="Times New Roman" w:hAnsi="Times New Roman" w:cs="Times New Roman"/>
          <w:u w:val="single"/>
        </w:rPr>
        <w:t xml:space="preserve"> of St Quentin</w:t>
      </w:r>
    </w:p>
    <w:p w14:paraId="4A555157" w14:textId="77777777" w:rsidR="007C038D" w:rsidRPr="00A472FC" w:rsidRDefault="007C038D" w:rsidP="00881604">
      <w:pPr>
        <w:ind w:right="-52"/>
        <w:rPr>
          <w:rFonts w:ascii="Times New Roman" w:hAnsi="Times New Roman" w:cs="Times New Roman"/>
        </w:rPr>
      </w:pPr>
    </w:p>
    <w:p w14:paraId="33E31C54" w14:textId="60DEBFD1" w:rsidR="0067323D" w:rsidRPr="00A472FC" w:rsidRDefault="0084510E" w:rsidP="00000FB8">
      <w:pPr>
        <w:ind w:right="-52" w:firstLine="720"/>
        <w:rPr>
          <w:rFonts w:ascii="Times New Roman" w:hAnsi="Times New Roman" w:cs="Times New Roman"/>
        </w:rPr>
      </w:pPr>
      <w:r w:rsidRPr="00A472FC">
        <w:rPr>
          <w:rFonts w:ascii="Times New Roman" w:hAnsi="Times New Roman" w:cs="Times New Roman"/>
        </w:rPr>
        <w:t xml:space="preserve">The Dominican </w:t>
      </w:r>
      <w:proofErr w:type="spellStart"/>
      <w:r w:rsidR="007C038D" w:rsidRPr="00A472FC">
        <w:rPr>
          <w:rFonts w:ascii="Times New Roman" w:hAnsi="Times New Roman" w:cs="Times New Roman"/>
        </w:rPr>
        <w:t>Guerric</w:t>
      </w:r>
      <w:proofErr w:type="spellEnd"/>
      <w:r w:rsidR="007C038D" w:rsidRPr="00A472FC">
        <w:rPr>
          <w:rFonts w:ascii="Times New Roman" w:hAnsi="Times New Roman" w:cs="Times New Roman"/>
        </w:rPr>
        <w:t xml:space="preserve"> of St Quentin held a chair in theology between around 1233/5, which had been acquired by </w:t>
      </w:r>
      <w:r w:rsidR="00EF2EE3" w:rsidRPr="00A472FC">
        <w:rPr>
          <w:rFonts w:ascii="Times New Roman" w:hAnsi="Times New Roman" w:cs="Times New Roman"/>
        </w:rPr>
        <w:t>his order</w:t>
      </w:r>
      <w:r w:rsidR="007C038D" w:rsidRPr="00A472FC">
        <w:rPr>
          <w:rFonts w:ascii="Times New Roman" w:hAnsi="Times New Roman" w:cs="Times New Roman"/>
        </w:rPr>
        <w:t xml:space="preserve"> when the secular master John of St Giles </w:t>
      </w:r>
      <w:r w:rsidR="004E37C3" w:rsidRPr="00A472FC">
        <w:rPr>
          <w:rFonts w:ascii="Times New Roman" w:hAnsi="Times New Roman" w:cs="Times New Roman"/>
        </w:rPr>
        <w:t xml:space="preserve">became a friar in </w:t>
      </w:r>
      <w:r w:rsidR="007C038D" w:rsidRPr="00A472FC">
        <w:rPr>
          <w:rFonts w:ascii="Times New Roman" w:hAnsi="Times New Roman" w:cs="Times New Roman"/>
        </w:rPr>
        <w:t xml:space="preserve">1230. This was a second Dominican chair to the one that Roland had acquired in 1229. In this role, </w:t>
      </w:r>
      <w:proofErr w:type="spellStart"/>
      <w:r w:rsidR="007C038D" w:rsidRPr="00A472FC">
        <w:rPr>
          <w:rFonts w:ascii="Times New Roman" w:hAnsi="Times New Roman" w:cs="Times New Roman"/>
        </w:rPr>
        <w:t>Guerric</w:t>
      </w:r>
      <w:proofErr w:type="spellEnd"/>
      <w:r w:rsidR="007C038D" w:rsidRPr="00A472FC">
        <w:rPr>
          <w:rFonts w:ascii="Times New Roman" w:hAnsi="Times New Roman" w:cs="Times New Roman"/>
        </w:rPr>
        <w:t xml:space="preserve"> served as the fourth Dominican Regent Master of St Jacques and remained </w:t>
      </w:r>
      <w:r w:rsidR="00FA17F5" w:rsidRPr="00A472FC">
        <w:rPr>
          <w:rFonts w:ascii="Times New Roman" w:hAnsi="Times New Roman" w:cs="Times New Roman"/>
        </w:rPr>
        <w:t xml:space="preserve">in this post </w:t>
      </w:r>
      <w:r w:rsidR="007C038D" w:rsidRPr="00A472FC">
        <w:rPr>
          <w:rFonts w:ascii="Times New Roman" w:hAnsi="Times New Roman" w:cs="Times New Roman"/>
        </w:rPr>
        <w:t>until 1242.</w:t>
      </w:r>
      <w:r w:rsidR="007C038D" w:rsidRPr="00A472FC">
        <w:rPr>
          <w:rStyle w:val="FootnoteReference"/>
          <w:rFonts w:ascii="Times New Roman" w:hAnsi="Times New Roman" w:cs="Times New Roman"/>
        </w:rPr>
        <w:footnoteReference w:id="257"/>
      </w:r>
      <w:r w:rsidR="007C038D" w:rsidRPr="00A472FC">
        <w:rPr>
          <w:rFonts w:ascii="Times New Roman" w:hAnsi="Times New Roman" w:cs="Times New Roman"/>
        </w:rPr>
        <w:t xml:space="preserve"> He was surely one of the theologians implicated in the condemnation </w:t>
      </w:r>
      <w:r w:rsidR="007C038D" w:rsidRPr="00A472FC">
        <w:rPr>
          <w:rFonts w:ascii="Times New Roman" w:hAnsi="Times New Roman" w:cs="Times New Roman"/>
        </w:rPr>
        <w:lastRenderedPageBreak/>
        <w:t>of 1241, after which he seemingly changed his position on the beatific vision.</w:t>
      </w:r>
      <w:r w:rsidR="007C038D" w:rsidRPr="00A472FC">
        <w:rPr>
          <w:rStyle w:val="FootnoteReference"/>
          <w:rFonts w:ascii="Times New Roman" w:hAnsi="Times New Roman" w:cs="Times New Roman"/>
        </w:rPr>
        <w:footnoteReference w:id="258"/>
      </w:r>
      <w:r w:rsidR="007C038D" w:rsidRPr="00A472FC">
        <w:rPr>
          <w:rFonts w:ascii="Times New Roman" w:hAnsi="Times New Roman" w:cs="Times New Roman"/>
        </w:rPr>
        <w:t xml:space="preserve"> Interestingly, he influenced not only other Dominicans but also Franciscans; he also commented on the whole Bible.</w:t>
      </w:r>
      <w:r w:rsidR="007C038D" w:rsidRPr="00A472FC">
        <w:rPr>
          <w:rStyle w:val="FootnoteReference"/>
          <w:rFonts w:ascii="Times New Roman" w:hAnsi="Times New Roman" w:cs="Times New Roman"/>
        </w:rPr>
        <w:footnoteReference w:id="259"/>
      </w:r>
      <w:r w:rsidR="007C038D" w:rsidRPr="00A472FC">
        <w:rPr>
          <w:rFonts w:ascii="Times New Roman" w:hAnsi="Times New Roman" w:cs="Times New Roman"/>
        </w:rPr>
        <w:t xml:space="preserve"> </w:t>
      </w:r>
    </w:p>
    <w:p w14:paraId="15E9A11A" w14:textId="1CCE734B" w:rsidR="007C038D" w:rsidRPr="00A472FC" w:rsidRDefault="007C038D" w:rsidP="00881604">
      <w:pPr>
        <w:ind w:right="-52" w:firstLine="720"/>
        <w:rPr>
          <w:rFonts w:ascii="Times New Roman" w:hAnsi="Times New Roman" w:cs="Times New Roman"/>
        </w:rPr>
      </w:pPr>
      <w:r w:rsidRPr="00A472FC">
        <w:rPr>
          <w:rFonts w:ascii="Times New Roman" w:hAnsi="Times New Roman" w:cs="Times New Roman"/>
        </w:rPr>
        <w:t xml:space="preserve">Along with Alexander of Hales, he is often </w:t>
      </w:r>
      <w:r w:rsidR="00004196" w:rsidRPr="00A472FC">
        <w:rPr>
          <w:rFonts w:ascii="Times New Roman" w:hAnsi="Times New Roman" w:cs="Times New Roman"/>
        </w:rPr>
        <w:t xml:space="preserve">described as </w:t>
      </w:r>
      <w:r w:rsidRPr="00A472FC">
        <w:rPr>
          <w:rFonts w:ascii="Times New Roman" w:hAnsi="Times New Roman" w:cs="Times New Roman"/>
        </w:rPr>
        <w:t xml:space="preserve">one of the innovators of the </w:t>
      </w:r>
      <w:proofErr w:type="spellStart"/>
      <w:r w:rsidRPr="00A472FC">
        <w:rPr>
          <w:rFonts w:ascii="Times New Roman" w:hAnsi="Times New Roman" w:cs="Times New Roman"/>
        </w:rPr>
        <w:t>Quodlibetal</w:t>
      </w:r>
      <w:proofErr w:type="spellEnd"/>
      <w:r w:rsidRPr="00A472FC">
        <w:rPr>
          <w:rFonts w:ascii="Times New Roman" w:hAnsi="Times New Roman" w:cs="Times New Roman"/>
        </w:rPr>
        <w:t xml:space="preserve"> questions.</w:t>
      </w:r>
      <w:r w:rsidRPr="00A472FC">
        <w:rPr>
          <w:rStyle w:val="FootnoteReference"/>
          <w:rFonts w:ascii="Times New Roman" w:hAnsi="Times New Roman" w:cs="Times New Roman"/>
        </w:rPr>
        <w:footnoteReference w:id="260"/>
      </w:r>
      <w:r w:rsidRPr="00A472FC">
        <w:rPr>
          <w:rFonts w:ascii="Times New Roman" w:hAnsi="Times New Roman" w:cs="Times New Roman"/>
        </w:rPr>
        <w:t xml:space="preserve"> These </w:t>
      </w:r>
      <w:r w:rsidR="001A3344" w:rsidRPr="00A472FC">
        <w:rPr>
          <w:rFonts w:ascii="Times New Roman" w:hAnsi="Times New Roman" w:cs="Times New Roman"/>
        </w:rPr>
        <w:t xml:space="preserve">public </w:t>
      </w:r>
      <w:r w:rsidR="00E14DF4" w:rsidRPr="00A472FC">
        <w:rPr>
          <w:rFonts w:ascii="Times New Roman" w:hAnsi="Times New Roman" w:cs="Times New Roman"/>
        </w:rPr>
        <w:t>debates,</w:t>
      </w:r>
      <w:r w:rsidRPr="00A472FC">
        <w:rPr>
          <w:rFonts w:ascii="Times New Roman" w:hAnsi="Times New Roman" w:cs="Times New Roman"/>
        </w:rPr>
        <w:t xml:space="preserve"> held twice a year during Christmas and Easter, </w:t>
      </w:r>
      <w:r w:rsidR="00664497" w:rsidRPr="00A472FC">
        <w:rPr>
          <w:rFonts w:ascii="Times New Roman" w:hAnsi="Times New Roman" w:cs="Times New Roman"/>
        </w:rPr>
        <w:t>generally included</w:t>
      </w:r>
      <w:r w:rsidRPr="00A472FC">
        <w:rPr>
          <w:rFonts w:ascii="Times New Roman" w:hAnsi="Times New Roman" w:cs="Times New Roman"/>
        </w:rPr>
        <w:t xml:space="preserve"> all faculty members and students, </w:t>
      </w:r>
      <w:r w:rsidR="00F320F6" w:rsidRPr="00A472FC">
        <w:rPr>
          <w:rFonts w:ascii="Times New Roman" w:hAnsi="Times New Roman" w:cs="Times New Roman"/>
        </w:rPr>
        <w:t xml:space="preserve">and </w:t>
      </w:r>
      <w:r w:rsidRPr="00A472FC">
        <w:rPr>
          <w:rFonts w:ascii="Times New Roman" w:hAnsi="Times New Roman" w:cs="Times New Roman"/>
        </w:rPr>
        <w:t xml:space="preserve">gave attendees the opportunity to ask ‘any question whatever’ (quodlibet), which would be addressed in an initial session by a bachelor and in a second session by the master. Of </w:t>
      </w:r>
      <w:proofErr w:type="spellStart"/>
      <w:r w:rsidRPr="00A472FC">
        <w:rPr>
          <w:rFonts w:ascii="Times New Roman" w:hAnsi="Times New Roman" w:cs="Times New Roman"/>
        </w:rPr>
        <w:t>Guerric’s</w:t>
      </w:r>
      <w:proofErr w:type="spellEnd"/>
      <w:r w:rsidRPr="00A472FC">
        <w:rPr>
          <w:rFonts w:ascii="Times New Roman" w:hAnsi="Times New Roman" w:cs="Times New Roman"/>
        </w:rPr>
        <w:t xml:space="preserve"> many works, only his seven </w:t>
      </w:r>
      <w:proofErr w:type="spellStart"/>
      <w:r w:rsidRPr="00A472FC">
        <w:rPr>
          <w:rFonts w:ascii="Times New Roman" w:hAnsi="Times New Roman" w:cs="Times New Roman"/>
        </w:rPr>
        <w:t>quodlibetal</w:t>
      </w:r>
      <w:proofErr w:type="spellEnd"/>
      <w:r w:rsidRPr="00A472FC">
        <w:rPr>
          <w:rFonts w:ascii="Times New Roman" w:hAnsi="Times New Roman" w:cs="Times New Roman"/>
        </w:rPr>
        <w:t xml:space="preserve"> questions have been critically edited, by Principe. The disputed questions he addressed, almost certainly in lecture format, on Lombard’s </w:t>
      </w:r>
      <w:r w:rsidR="00040053" w:rsidRPr="00A472FC">
        <w:rPr>
          <w:rFonts w:ascii="Times New Roman" w:hAnsi="Times New Roman" w:cs="Times New Roman"/>
          <w:i/>
        </w:rPr>
        <w:t>Sentences</w:t>
      </w:r>
      <w:r w:rsidRPr="00A472FC">
        <w:rPr>
          <w:rFonts w:ascii="Times New Roman" w:hAnsi="Times New Roman" w:cs="Times New Roman"/>
        </w:rPr>
        <w:t>, as well as on other topics, remain unedited but surely overlap with the quodlibets in terms of some of the main topics they cover.</w:t>
      </w:r>
      <w:r w:rsidRPr="00A472FC">
        <w:rPr>
          <w:rStyle w:val="FootnoteReference"/>
          <w:rFonts w:ascii="Times New Roman" w:hAnsi="Times New Roman" w:cs="Times New Roman"/>
        </w:rPr>
        <w:footnoteReference w:id="261"/>
      </w:r>
    </w:p>
    <w:p w14:paraId="2C56645A" w14:textId="77777777" w:rsidR="00053C11" w:rsidRPr="00A472FC" w:rsidRDefault="00053C11" w:rsidP="00881604">
      <w:pPr>
        <w:pStyle w:val="Default"/>
        <w:ind w:right="-52"/>
        <w:rPr>
          <w:rFonts w:ascii="Times New Roman" w:hAnsi="Times New Roman" w:cs="Times New Roman"/>
          <w:u w:val="single"/>
        </w:rPr>
      </w:pPr>
    </w:p>
    <w:p w14:paraId="3ED631CB" w14:textId="1992B5D5" w:rsidR="007C038D" w:rsidRPr="00A472FC" w:rsidRDefault="007C038D" w:rsidP="00881604">
      <w:pPr>
        <w:pStyle w:val="Default"/>
        <w:ind w:right="-52"/>
        <w:rPr>
          <w:rFonts w:ascii="Times New Roman" w:hAnsi="Times New Roman" w:cs="Times New Roman"/>
          <w:u w:val="single"/>
        </w:rPr>
      </w:pPr>
      <w:r w:rsidRPr="00A472FC">
        <w:rPr>
          <w:rFonts w:ascii="Times New Roman" w:hAnsi="Times New Roman" w:cs="Times New Roman"/>
          <w:u w:val="single"/>
        </w:rPr>
        <w:t>William of Auvergne</w:t>
      </w:r>
    </w:p>
    <w:p w14:paraId="3A41204C" w14:textId="77777777" w:rsidR="007C038D" w:rsidRPr="00A472FC" w:rsidRDefault="007C038D" w:rsidP="00881604">
      <w:pPr>
        <w:pStyle w:val="Default"/>
        <w:ind w:right="-52"/>
        <w:rPr>
          <w:rFonts w:ascii="Times New Roman" w:hAnsi="Times New Roman" w:cs="Times New Roman"/>
          <w:u w:val="single"/>
        </w:rPr>
      </w:pPr>
    </w:p>
    <w:p w14:paraId="1C1E9960" w14:textId="6FF81233" w:rsidR="00F31D30" w:rsidRPr="00A472FC" w:rsidRDefault="007C038D" w:rsidP="00000FB8">
      <w:pPr>
        <w:pStyle w:val="Default"/>
        <w:ind w:right="-52" w:firstLine="720"/>
        <w:rPr>
          <w:rFonts w:ascii="Times New Roman" w:hAnsi="Times New Roman" w:cs="Times New Roman"/>
        </w:rPr>
      </w:pPr>
      <w:r w:rsidRPr="00A472FC">
        <w:rPr>
          <w:rFonts w:ascii="Times New Roman" w:hAnsi="Times New Roman" w:cs="Times New Roman"/>
        </w:rPr>
        <w:t xml:space="preserve">William of Auvergne (c. 1190-1249) was a secular master who taught at the University of Paris from at least 1225 and served as </w:t>
      </w:r>
      <w:r w:rsidR="00994668" w:rsidRPr="00A472FC">
        <w:rPr>
          <w:rFonts w:ascii="Times New Roman" w:hAnsi="Times New Roman" w:cs="Times New Roman"/>
        </w:rPr>
        <w:t>b</w:t>
      </w:r>
      <w:r w:rsidRPr="00A472FC">
        <w:rPr>
          <w:rFonts w:ascii="Times New Roman" w:hAnsi="Times New Roman" w:cs="Times New Roman"/>
        </w:rPr>
        <w:t xml:space="preserve">ishop of Paris from 1228 until his death in 1249. He is among the scholars of this era who engaged most closely with figures like Avicenna and </w:t>
      </w:r>
      <w:proofErr w:type="spellStart"/>
      <w:r w:rsidRPr="00A472FC">
        <w:rPr>
          <w:rFonts w:ascii="Times New Roman" w:hAnsi="Times New Roman" w:cs="Times New Roman"/>
        </w:rPr>
        <w:t>Avicebron</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262"/>
      </w:r>
      <w:r w:rsidRPr="00A472FC">
        <w:rPr>
          <w:rFonts w:ascii="Times New Roman" w:hAnsi="Times New Roman" w:cs="Times New Roman"/>
        </w:rPr>
        <w:t xml:space="preserve"> He wrote more than </w:t>
      </w:r>
      <w:r w:rsidR="007C6115" w:rsidRPr="00A472FC">
        <w:rPr>
          <w:rFonts w:ascii="Times New Roman" w:hAnsi="Times New Roman" w:cs="Times New Roman"/>
        </w:rPr>
        <w:t>twenty</w:t>
      </w:r>
      <w:r w:rsidRPr="00A472FC">
        <w:rPr>
          <w:rFonts w:ascii="Times New Roman" w:hAnsi="Times New Roman" w:cs="Times New Roman"/>
        </w:rPr>
        <w:t xml:space="preserve"> wor</w:t>
      </w:r>
      <w:r w:rsidR="00146AED" w:rsidRPr="00A472FC">
        <w:rPr>
          <w:rFonts w:ascii="Times New Roman" w:hAnsi="Times New Roman" w:cs="Times New Roman"/>
        </w:rPr>
        <w:t>k</w:t>
      </w:r>
      <w:r w:rsidRPr="00A472FC">
        <w:rPr>
          <w:rFonts w:ascii="Times New Roman" w:hAnsi="Times New Roman" w:cs="Times New Roman"/>
        </w:rPr>
        <w:t xml:space="preserve">s, most of which formed part of his great </w:t>
      </w:r>
      <w:r w:rsidRPr="00A472FC">
        <w:rPr>
          <w:rFonts w:ascii="Times New Roman" w:hAnsi="Times New Roman" w:cs="Times New Roman"/>
          <w:i/>
        </w:rPr>
        <w:t xml:space="preserve">Magisterium </w:t>
      </w:r>
      <w:proofErr w:type="spellStart"/>
      <w:r w:rsidRPr="00A472FC">
        <w:rPr>
          <w:rFonts w:ascii="Times New Roman" w:hAnsi="Times New Roman" w:cs="Times New Roman"/>
          <w:i/>
        </w:rPr>
        <w:t>divinale</w:t>
      </w:r>
      <w:proofErr w:type="spellEnd"/>
      <w:r w:rsidRPr="00A472FC">
        <w:rPr>
          <w:rFonts w:ascii="Times New Roman" w:hAnsi="Times New Roman" w:cs="Times New Roman"/>
          <w:i/>
        </w:rPr>
        <w:t xml:space="preserve"> et </w:t>
      </w:r>
      <w:proofErr w:type="spellStart"/>
      <w:r w:rsidRPr="00A472FC">
        <w:rPr>
          <w:rFonts w:ascii="Times New Roman" w:hAnsi="Times New Roman" w:cs="Times New Roman"/>
          <w:i/>
        </w:rPr>
        <w:t>sapientale</w:t>
      </w:r>
      <w:proofErr w:type="spellEnd"/>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which includes seven distinct treatises and exists in a serviceable early modern edition.</w:t>
      </w:r>
      <w:r w:rsidRPr="00A472FC">
        <w:rPr>
          <w:rStyle w:val="FootnoteReference"/>
          <w:rFonts w:ascii="Times New Roman" w:hAnsi="Times New Roman" w:cs="Times New Roman"/>
        </w:rPr>
        <w:footnoteReference w:id="263"/>
      </w:r>
      <w:r w:rsidRPr="00A472FC">
        <w:rPr>
          <w:rFonts w:ascii="Times New Roman" w:hAnsi="Times New Roman" w:cs="Times New Roman"/>
        </w:rPr>
        <w:t xml:space="preserve"> One of these treatises is the </w:t>
      </w:r>
      <w:r w:rsidRPr="00A472FC">
        <w:rPr>
          <w:rFonts w:ascii="Times New Roman" w:hAnsi="Times New Roman" w:cs="Times New Roman"/>
          <w:i/>
        </w:rPr>
        <w:t>De anima</w:t>
      </w:r>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which was likely the last work he wrote, around 1235-40 or even later, as he refers to previous works in the </w:t>
      </w:r>
      <w:r w:rsidRPr="00A472FC">
        <w:rPr>
          <w:rFonts w:ascii="Times New Roman" w:hAnsi="Times New Roman" w:cs="Times New Roman"/>
          <w:i/>
        </w:rPr>
        <w:t xml:space="preserve">Magisterium </w:t>
      </w:r>
      <w:r w:rsidRPr="00A472FC">
        <w:rPr>
          <w:rFonts w:ascii="Times New Roman" w:hAnsi="Times New Roman" w:cs="Times New Roman"/>
        </w:rPr>
        <w:t>in this context. As Moody notes, William did not have much influence on the next generation</w:t>
      </w:r>
      <w:r w:rsidR="00B81014" w:rsidRPr="00A472FC">
        <w:rPr>
          <w:rFonts w:ascii="Times New Roman" w:hAnsi="Times New Roman" w:cs="Times New Roman"/>
        </w:rPr>
        <w:t>.</w:t>
      </w:r>
      <w:r w:rsidR="00B81014" w:rsidRPr="00A472FC">
        <w:rPr>
          <w:rStyle w:val="FootnoteReference"/>
          <w:rFonts w:ascii="Times New Roman" w:hAnsi="Times New Roman" w:cs="Times New Roman"/>
        </w:rPr>
        <w:footnoteReference w:id="264"/>
      </w:r>
      <w:r w:rsidR="00B81014" w:rsidRPr="00A472FC">
        <w:rPr>
          <w:rFonts w:ascii="Times New Roman" w:hAnsi="Times New Roman" w:cs="Times New Roman"/>
        </w:rPr>
        <w:t xml:space="preserve"> H</w:t>
      </w:r>
      <w:r w:rsidRPr="00A472FC">
        <w:rPr>
          <w:rFonts w:ascii="Times New Roman" w:hAnsi="Times New Roman" w:cs="Times New Roman"/>
        </w:rPr>
        <w:t>owever he was a key player at his time as well as an interlocutor and supporter of the Franciscans.</w:t>
      </w:r>
      <w:r w:rsidRPr="00A472FC">
        <w:rPr>
          <w:rStyle w:val="FootnoteReference"/>
          <w:rFonts w:ascii="Times New Roman" w:hAnsi="Times New Roman" w:cs="Times New Roman"/>
        </w:rPr>
        <w:footnoteReference w:id="265"/>
      </w:r>
      <w:r w:rsidRPr="00A472FC">
        <w:rPr>
          <w:rFonts w:ascii="Times New Roman" w:hAnsi="Times New Roman" w:cs="Times New Roman"/>
        </w:rPr>
        <w:t xml:space="preserve"> </w:t>
      </w:r>
    </w:p>
    <w:p w14:paraId="3DE494A4" w14:textId="1E6778C6" w:rsidR="007C038D" w:rsidRPr="00A472FC" w:rsidRDefault="007C038D" w:rsidP="00F31D30">
      <w:pPr>
        <w:pStyle w:val="Default"/>
        <w:ind w:right="-52" w:firstLine="720"/>
        <w:rPr>
          <w:rFonts w:ascii="Times New Roman" w:hAnsi="Times New Roman" w:cs="Times New Roman"/>
          <w:color w:val="auto"/>
        </w:rPr>
      </w:pPr>
      <w:r w:rsidRPr="00A472FC">
        <w:rPr>
          <w:rFonts w:ascii="Times New Roman" w:hAnsi="Times New Roman" w:cs="Times New Roman"/>
        </w:rPr>
        <w:t xml:space="preserve">To describe William’s </w:t>
      </w:r>
      <w:r w:rsidR="00084CEB" w:rsidRPr="00A472FC">
        <w:rPr>
          <w:rFonts w:ascii="Times New Roman" w:hAnsi="Times New Roman" w:cs="Times New Roman"/>
        </w:rPr>
        <w:t>style as</w:t>
      </w:r>
      <w:r w:rsidRPr="00A472FC">
        <w:rPr>
          <w:rFonts w:ascii="Times New Roman" w:hAnsi="Times New Roman" w:cs="Times New Roman"/>
        </w:rPr>
        <w:t xml:space="preserve"> long-winded would be an understatement, and </w:t>
      </w:r>
      <w:r w:rsidR="00D17043" w:rsidRPr="00A472FC">
        <w:rPr>
          <w:rFonts w:ascii="Times New Roman" w:hAnsi="Times New Roman" w:cs="Times New Roman"/>
        </w:rPr>
        <w:t>his writing</w:t>
      </w:r>
      <w:r w:rsidRPr="00A472FC">
        <w:rPr>
          <w:rFonts w:ascii="Times New Roman" w:hAnsi="Times New Roman" w:cs="Times New Roman"/>
        </w:rPr>
        <w:t xml:space="preserve"> </w:t>
      </w:r>
      <w:r w:rsidR="00F80FA5" w:rsidRPr="00A472FC">
        <w:rPr>
          <w:rFonts w:ascii="Times New Roman" w:hAnsi="Times New Roman" w:cs="Times New Roman"/>
        </w:rPr>
        <w:t xml:space="preserve">is </w:t>
      </w:r>
      <w:r w:rsidRPr="00A472FC">
        <w:rPr>
          <w:rFonts w:ascii="Times New Roman" w:hAnsi="Times New Roman" w:cs="Times New Roman"/>
        </w:rPr>
        <w:t>frequently characterized by ‘</w:t>
      </w:r>
      <w:r w:rsidRPr="00A472FC">
        <w:rPr>
          <w:rFonts w:ascii="Times New Roman" w:hAnsi="Times New Roman" w:cs="Times New Roman"/>
          <w:color w:val="auto"/>
        </w:rPr>
        <w:t>a quagmire of apparent contradictions, inexact analogies, unfinished arguments, and a capricious and inconsistent use of such technical terms from the Aristotelian vocabulary.’</w:t>
      </w:r>
      <w:r w:rsidRPr="00A472FC">
        <w:rPr>
          <w:rStyle w:val="FootnoteReference"/>
          <w:rFonts w:ascii="Times New Roman" w:hAnsi="Times New Roman" w:cs="Times New Roman"/>
          <w:color w:val="auto"/>
        </w:rPr>
        <w:footnoteReference w:id="266"/>
      </w:r>
      <w:r w:rsidRPr="00A472FC">
        <w:rPr>
          <w:rFonts w:ascii="Times New Roman" w:hAnsi="Times New Roman" w:cs="Times New Roman"/>
          <w:color w:val="auto"/>
        </w:rPr>
        <w:t xml:space="preserve"> </w:t>
      </w:r>
      <w:r w:rsidR="003F5076" w:rsidRPr="00A472FC">
        <w:rPr>
          <w:rFonts w:ascii="Times New Roman" w:hAnsi="Times New Roman" w:cs="Times New Roman"/>
          <w:color w:val="auto"/>
        </w:rPr>
        <w:t>Nevertheless, many</w:t>
      </w:r>
      <w:r w:rsidRPr="00A472FC">
        <w:rPr>
          <w:rFonts w:ascii="Times New Roman" w:hAnsi="Times New Roman" w:cs="Times New Roman"/>
          <w:color w:val="auto"/>
        </w:rPr>
        <w:t xml:space="preserve"> of </w:t>
      </w:r>
      <w:r w:rsidR="005D0E44" w:rsidRPr="00A472FC">
        <w:rPr>
          <w:rFonts w:ascii="Times New Roman" w:hAnsi="Times New Roman" w:cs="Times New Roman"/>
          <w:color w:val="auto"/>
        </w:rPr>
        <w:t xml:space="preserve">William’s </w:t>
      </w:r>
      <w:r w:rsidRPr="00A472FC">
        <w:rPr>
          <w:rFonts w:ascii="Times New Roman" w:hAnsi="Times New Roman" w:cs="Times New Roman"/>
          <w:color w:val="auto"/>
        </w:rPr>
        <w:t xml:space="preserve">key convictions do </w:t>
      </w:r>
      <w:r w:rsidRPr="00A472FC">
        <w:rPr>
          <w:rFonts w:ascii="Times New Roman" w:hAnsi="Times New Roman" w:cs="Times New Roman"/>
          <w:color w:val="auto"/>
        </w:rPr>
        <w:lastRenderedPageBreak/>
        <w:t xml:space="preserve">come through in his writings, including his emphasis on the absolute simplicity of the soul as well as his </w:t>
      </w:r>
      <w:r w:rsidR="002A7BDA" w:rsidRPr="00A472FC">
        <w:rPr>
          <w:rFonts w:ascii="Times New Roman" w:hAnsi="Times New Roman" w:cs="Times New Roman"/>
          <w:color w:val="auto"/>
        </w:rPr>
        <w:t>stress on</w:t>
      </w:r>
      <w:r w:rsidRPr="00A472FC">
        <w:rPr>
          <w:rFonts w:ascii="Times New Roman" w:hAnsi="Times New Roman" w:cs="Times New Roman"/>
          <w:color w:val="auto"/>
        </w:rPr>
        <w:t xml:space="preserve"> the active character of cognition</w:t>
      </w:r>
      <w:r w:rsidR="00667085">
        <w:rPr>
          <w:rFonts w:ascii="Times New Roman" w:hAnsi="Times New Roman" w:cs="Times New Roman"/>
          <w:color w:val="auto"/>
        </w:rPr>
        <w:t xml:space="preserve">, which in his view entails </w:t>
      </w:r>
      <w:r w:rsidR="00D64C11">
        <w:rPr>
          <w:rFonts w:ascii="Times New Roman" w:hAnsi="Times New Roman" w:cs="Times New Roman"/>
          <w:color w:val="auto"/>
        </w:rPr>
        <w:t xml:space="preserve">its </w:t>
      </w:r>
      <w:r w:rsidR="00667085">
        <w:rPr>
          <w:rFonts w:ascii="Times New Roman" w:hAnsi="Times New Roman" w:cs="Times New Roman"/>
          <w:color w:val="auto"/>
        </w:rPr>
        <w:t>independence from the senses</w:t>
      </w:r>
      <w:r w:rsidRPr="00A472FC">
        <w:rPr>
          <w:rFonts w:ascii="Times New Roman" w:hAnsi="Times New Roman" w:cs="Times New Roman"/>
          <w:color w:val="auto"/>
        </w:rPr>
        <w:t xml:space="preserve">. </w:t>
      </w:r>
      <w:r w:rsidR="00332AE2">
        <w:rPr>
          <w:rFonts w:ascii="Times New Roman" w:hAnsi="Times New Roman" w:cs="Times New Roman"/>
          <w:color w:val="auto"/>
        </w:rPr>
        <w:t xml:space="preserve">Precisely </w:t>
      </w:r>
      <w:r w:rsidR="003D5178">
        <w:rPr>
          <w:rFonts w:ascii="Times New Roman" w:hAnsi="Times New Roman" w:cs="Times New Roman"/>
          <w:color w:val="auto"/>
        </w:rPr>
        <w:t xml:space="preserve">because of his emphasis on the intellect ‘s responsibility for knowledge, </w:t>
      </w:r>
      <w:r w:rsidR="00332AE2">
        <w:rPr>
          <w:rFonts w:ascii="Times New Roman" w:hAnsi="Times New Roman" w:cs="Times New Roman"/>
          <w:color w:val="auto"/>
        </w:rPr>
        <w:t xml:space="preserve">William’s account of the senses </w:t>
      </w:r>
      <w:r w:rsidRPr="00A472FC">
        <w:rPr>
          <w:rFonts w:ascii="Times New Roman" w:hAnsi="Times New Roman" w:cs="Times New Roman"/>
          <w:color w:val="auto"/>
        </w:rPr>
        <w:t>remains relatively undeveloped and does not rival that of John of La Rochelle.</w:t>
      </w:r>
    </w:p>
    <w:p w14:paraId="05271DA4" w14:textId="77777777" w:rsidR="007C038D" w:rsidRPr="00A472FC" w:rsidRDefault="007C038D" w:rsidP="00881604">
      <w:pPr>
        <w:pStyle w:val="Default"/>
        <w:ind w:right="-52"/>
        <w:rPr>
          <w:rFonts w:ascii="Times New Roman" w:hAnsi="Times New Roman" w:cs="Times New Roman"/>
          <w:color w:val="auto"/>
        </w:rPr>
      </w:pPr>
    </w:p>
    <w:p w14:paraId="48A8C9AF" w14:textId="77777777" w:rsidR="007C038D" w:rsidRPr="00A472FC" w:rsidRDefault="007C038D" w:rsidP="00881604">
      <w:pPr>
        <w:pStyle w:val="Default"/>
        <w:ind w:right="-52"/>
        <w:rPr>
          <w:rFonts w:ascii="Times New Roman" w:hAnsi="Times New Roman" w:cs="Times New Roman"/>
          <w:u w:val="single"/>
        </w:rPr>
      </w:pPr>
      <w:r w:rsidRPr="00A472FC">
        <w:rPr>
          <w:rFonts w:ascii="Times New Roman" w:hAnsi="Times New Roman" w:cs="Times New Roman"/>
          <w:u w:val="single"/>
        </w:rPr>
        <w:t>John of La Rochelle</w:t>
      </w:r>
    </w:p>
    <w:p w14:paraId="0E4E25C1" w14:textId="77777777" w:rsidR="007C038D" w:rsidRPr="00A472FC" w:rsidRDefault="007C038D" w:rsidP="00881604">
      <w:pPr>
        <w:pStyle w:val="Default"/>
        <w:ind w:right="-52"/>
        <w:rPr>
          <w:rFonts w:ascii="Times New Roman" w:hAnsi="Times New Roman" w:cs="Times New Roman"/>
        </w:rPr>
      </w:pPr>
    </w:p>
    <w:p w14:paraId="670B1528" w14:textId="6FE9D41D" w:rsidR="007C038D" w:rsidRPr="00A472FC" w:rsidRDefault="007C038D" w:rsidP="0098661D">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John of La Rochelle was born between 1190-1200. He became a master of </w:t>
      </w:r>
      <w:r w:rsidR="00F31D30" w:rsidRPr="00A472FC">
        <w:rPr>
          <w:rFonts w:ascii="Times New Roman" w:hAnsi="Times New Roman" w:cs="Times New Roman"/>
          <w:color w:val="000000" w:themeColor="text1"/>
        </w:rPr>
        <w:t xml:space="preserve">the </w:t>
      </w:r>
      <w:r w:rsidRPr="00A472FC">
        <w:rPr>
          <w:rFonts w:ascii="Times New Roman" w:hAnsi="Times New Roman" w:cs="Times New Roman"/>
          <w:color w:val="000000" w:themeColor="text1"/>
        </w:rPr>
        <w:t xml:space="preserve">arts at Paris and then master of theology under William of Auxerre. He entered the Franciscan order before 1238, </w:t>
      </w:r>
      <w:r w:rsidR="009B0C10" w:rsidRPr="00A472FC">
        <w:rPr>
          <w:rFonts w:ascii="Times New Roman" w:hAnsi="Times New Roman" w:cs="Times New Roman"/>
          <w:color w:val="000000" w:themeColor="text1"/>
        </w:rPr>
        <w:t>possibly</w:t>
      </w:r>
      <w:r w:rsidR="004D44A4" w:rsidRPr="00A472FC">
        <w:rPr>
          <w:rFonts w:ascii="Times New Roman" w:hAnsi="Times New Roman" w:cs="Times New Roman"/>
          <w:color w:val="000000" w:themeColor="text1"/>
        </w:rPr>
        <w:t xml:space="preserve"> from 1236, though it is likely he was already teaching in the Franciscan convent before then and indeed in the time he was writing his works on the soul. </w:t>
      </w:r>
      <w:r w:rsidR="0098661D" w:rsidRPr="00A472FC">
        <w:rPr>
          <w:rFonts w:ascii="Times New Roman" w:hAnsi="Times New Roman" w:cs="Times New Roman"/>
          <w:color w:val="000000" w:themeColor="text1"/>
        </w:rPr>
        <w:t xml:space="preserve">During his pre-Franciscan years, he also authored </w:t>
      </w:r>
      <w:r w:rsidRPr="00A472FC">
        <w:rPr>
          <w:rFonts w:ascii="Times New Roman" w:hAnsi="Times New Roman" w:cs="Times New Roman"/>
          <w:color w:val="000000" w:themeColor="text1"/>
        </w:rPr>
        <w:t xml:space="preserve">numerous </w:t>
      </w:r>
      <w:r w:rsidR="0098661D" w:rsidRPr="00A472FC">
        <w:rPr>
          <w:rFonts w:ascii="Times New Roman" w:hAnsi="Times New Roman" w:cs="Times New Roman"/>
          <w:color w:val="000000" w:themeColor="text1"/>
        </w:rPr>
        <w:t xml:space="preserve">other </w:t>
      </w:r>
      <w:r w:rsidRPr="00A472FC">
        <w:rPr>
          <w:rFonts w:ascii="Times New Roman" w:hAnsi="Times New Roman" w:cs="Times New Roman"/>
          <w:color w:val="000000" w:themeColor="text1"/>
        </w:rPr>
        <w:t xml:space="preserve">works, including the </w:t>
      </w:r>
      <w:r w:rsidRPr="00A472FC">
        <w:rPr>
          <w:rFonts w:ascii="Times New Roman" w:hAnsi="Times New Roman" w:cs="Times New Roman"/>
          <w:i/>
          <w:color w:val="000000" w:themeColor="text1"/>
        </w:rPr>
        <w:t xml:space="preserve">Summa de </w:t>
      </w:r>
      <w:proofErr w:type="spellStart"/>
      <w:r w:rsidRPr="00A472FC">
        <w:rPr>
          <w:rFonts w:ascii="Times New Roman" w:hAnsi="Times New Roman" w:cs="Times New Roman"/>
          <w:i/>
          <w:color w:val="000000" w:themeColor="text1"/>
        </w:rPr>
        <w:t>articulis</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fidei</w:t>
      </w:r>
      <w:proofErr w:type="spellEnd"/>
      <w:r w:rsidRPr="00A472FC">
        <w:rPr>
          <w:rFonts w:ascii="Times New Roman" w:hAnsi="Times New Roman" w:cs="Times New Roman"/>
          <w:iCs/>
          <w:color w:val="000000" w:themeColor="text1"/>
        </w:rPr>
        <w:t>,</w:t>
      </w:r>
      <w:r w:rsidRPr="00A472FC">
        <w:rPr>
          <w:rFonts w:ascii="Times New Roman" w:hAnsi="Times New Roman" w:cs="Times New Roman"/>
          <w:color w:val="000000" w:themeColor="text1"/>
        </w:rPr>
        <w:t xml:space="preserve"> the </w:t>
      </w:r>
      <w:r w:rsidRPr="00A472FC">
        <w:rPr>
          <w:rFonts w:ascii="Times New Roman" w:hAnsi="Times New Roman" w:cs="Times New Roman"/>
          <w:i/>
          <w:color w:val="000000" w:themeColor="text1"/>
        </w:rPr>
        <w:t xml:space="preserve">Summa de </w:t>
      </w:r>
      <w:proofErr w:type="spellStart"/>
      <w:r w:rsidRPr="00A472FC">
        <w:rPr>
          <w:rFonts w:ascii="Times New Roman" w:hAnsi="Times New Roman" w:cs="Times New Roman"/>
          <w:i/>
          <w:color w:val="000000" w:themeColor="text1"/>
        </w:rPr>
        <w:t>praeceptis</w:t>
      </w:r>
      <w:proofErr w:type="spellEnd"/>
      <w:r w:rsidR="00512601" w:rsidRPr="00A472FC">
        <w:rPr>
          <w:rFonts w:ascii="Times New Roman" w:hAnsi="Times New Roman" w:cs="Times New Roman"/>
          <w:color w:val="000000" w:themeColor="text1"/>
        </w:rPr>
        <w:t>,</w:t>
      </w:r>
      <w:r w:rsidRPr="00A472FC">
        <w:rPr>
          <w:rFonts w:ascii="Times New Roman" w:hAnsi="Times New Roman" w:cs="Times New Roman"/>
          <w:color w:val="000000" w:themeColor="text1"/>
        </w:rPr>
        <w:t xml:space="preserve"> and the </w:t>
      </w:r>
      <w:r w:rsidRPr="00A472FC">
        <w:rPr>
          <w:rFonts w:ascii="Times New Roman" w:hAnsi="Times New Roman" w:cs="Times New Roman"/>
          <w:i/>
          <w:color w:val="000000" w:themeColor="text1"/>
        </w:rPr>
        <w:t xml:space="preserve">Summa de </w:t>
      </w:r>
      <w:proofErr w:type="spellStart"/>
      <w:r w:rsidRPr="00A472FC">
        <w:rPr>
          <w:rFonts w:ascii="Times New Roman" w:hAnsi="Times New Roman" w:cs="Times New Roman"/>
          <w:i/>
          <w:color w:val="000000" w:themeColor="text1"/>
        </w:rPr>
        <w:t>sacramentis</w:t>
      </w:r>
      <w:proofErr w:type="spellEnd"/>
      <w:r w:rsidRPr="00A472FC">
        <w:rPr>
          <w:rFonts w:ascii="Times New Roman" w:hAnsi="Times New Roman" w:cs="Times New Roman"/>
          <w:color w:val="000000" w:themeColor="text1"/>
        </w:rPr>
        <w:t>, which entailed elements of a Summa that John conceived before Alexander of Hales entered the order in 1236 and became head of the Franciscan school.</w:t>
      </w:r>
      <w:r w:rsidRPr="00A472FC">
        <w:rPr>
          <w:rStyle w:val="FootnoteReference"/>
          <w:rFonts w:ascii="Times New Roman" w:hAnsi="Times New Roman" w:cs="Times New Roman"/>
          <w:color w:val="000000" w:themeColor="text1"/>
        </w:rPr>
        <w:footnoteReference w:id="267"/>
      </w:r>
      <w:r w:rsidRPr="00A472FC">
        <w:rPr>
          <w:rFonts w:ascii="Times New Roman" w:hAnsi="Times New Roman" w:cs="Times New Roman"/>
          <w:color w:val="000000" w:themeColor="text1"/>
        </w:rPr>
        <w:t xml:space="preserve"> </w:t>
      </w:r>
    </w:p>
    <w:p w14:paraId="407D893D" w14:textId="77777777" w:rsidR="0066015A" w:rsidRPr="00A472FC" w:rsidRDefault="007C038D" w:rsidP="00F04F93">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At this point, John abandoned his own project and began collaborating with Alexander to produce the </w:t>
      </w:r>
      <w:r w:rsidRPr="00A472FC">
        <w:rPr>
          <w:rFonts w:ascii="Times New Roman" w:hAnsi="Times New Roman" w:cs="Times New Roman"/>
          <w:i/>
          <w:color w:val="000000" w:themeColor="text1"/>
        </w:rPr>
        <w:t xml:space="preserve">Summa </w:t>
      </w:r>
      <w:proofErr w:type="spellStart"/>
      <w:r w:rsidRPr="00A472FC">
        <w:rPr>
          <w:rFonts w:ascii="Times New Roman" w:hAnsi="Times New Roman" w:cs="Times New Roman"/>
          <w:i/>
          <w:color w:val="000000" w:themeColor="text1"/>
        </w:rPr>
        <w:t>fratris</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Alexandri</w:t>
      </w:r>
      <w:proofErr w:type="spellEnd"/>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 xml:space="preserve">or </w:t>
      </w:r>
      <w:r w:rsidRPr="00A472FC">
        <w:rPr>
          <w:rFonts w:ascii="Times New Roman" w:hAnsi="Times New Roman" w:cs="Times New Roman"/>
          <w:i/>
          <w:color w:val="000000" w:themeColor="text1"/>
        </w:rPr>
        <w:t xml:space="preserve">Summa </w:t>
      </w:r>
      <w:proofErr w:type="spellStart"/>
      <w:r w:rsidRPr="00A472FC">
        <w:rPr>
          <w:rFonts w:ascii="Times New Roman" w:hAnsi="Times New Roman" w:cs="Times New Roman"/>
          <w:i/>
          <w:color w:val="000000" w:themeColor="text1"/>
        </w:rPr>
        <w:t>Halensis</w:t>
      </w:r>
      <w:proofErr w:type="spellEnd"/>
      <w:r w:rsidRPr="00A472FC">
        <w:rPr>
          <w:rFonts w:ascii="Times New Roman" w:hAnsi="Times New Roman" w:cs="Times New Roman"/>
          <w:i/>
          <w:color w:val="000000" w:themeColor="text1"/>
        </w:rPr>
        <w:t xml:space="preserve">. </w:t>
      </w:r>
      <w:r w:rsidR="00F04F93" w:rsidRPr="00A472FC">
        <w:rPr>
          <w:rFonts w:ascii="Times New Roman" w:hAnsi="Times New Roman" w:cs="Times New Roman"/>
          <w:iCs/>
          <w:color w:val="000000" w:themeColor="text1"/>
        </w:rPr>
        <w:t xml:space="preserve">As noted already, John was the likely author of volumes I and III. </w:t>
      </w:r>
      <w:r w:rsidR="00F04F93" w:rsidRPr="00A472FC">
        <w:rPr>
          <w:rFonts w:ascii="Times New Roman" w:hAnsi="Times New Roman" w:cs="Times New Roman"/>
          <w:color w:val="000000" w:themeColor="text1"/>
        </w:rPr>
        <w:t xml:space="preserve">While </w:t>
      </w:r>
      <w:r w:rsidR="000F7517" w:rsidRPr="00A472FC">
        <w:rPr>
          <w:rFonts w:ascii="Times New Roman" w:hAnsi="Times New Roman" w:cs="Times New Roman"/>
          <w:color w:val="000000" w:themeColor="text1"/>
        </w:rPr>
        <w:t>volumes II.1 and II.2 were</w:t>
      </w:r>
      <w:r w:rsidR="00F04F93" w:rsidRPr="00A472FC">
        <w:rPr>
          <w:rFonts w:ascii="Times New Roman" w:hAnsi="Times New Roman" w:cs="Times New Roman"/>
          <w:color w:val="000000" w:themeColor="text1"/>
        </w:rPr>
        <w:t xml:space="preserve"> probably redacted by an unnamed protégé, much of </w:t>
      </w:r>
      <w:r w:rsidR="000F7517" w:rsidRPr="00A472FC">
        <w:rPr>
          <w:rFonts w:ascii="Times New Roman" w:hAnsi="Times New Roman" w:cs="Times New Roman"/>
          <w:color w:val="000000" w:themeColor="text1"/>
        </w:rPr>
        <w:t>their</w:t>
      </w:r>
      <w:r w:rsidR="00F04F93" w:rsidRPr="00A472FC">
        <w:rPr>
          <w:rFonts w:ascii="Times New Roman" w:hAnsi="Times New Roman" w:cs="Times New Roman"/>
          <w:color w:val="000000" w:themeColor="text1"/>
        </w:rPr>
        <w:t xml:space="preserve"> content is based</w:t>
      </w:r>
      <w:r w:rsidR="00F4584A" w:rsidRPr="00A472FC">
        <w:rPr>
          <w:rFonts w:ascii="Times New Roman" w:hAnsi="Times New Roman" w:cs="Times New Roman"/>
          <w:color w:val="000000" w:themeColor="text1"/>
        </w:rPr>
        <w:t xml:space="preserve">, respectively, </w:t>
      </w:r>
      <w:r w:rsidR="00F04F93" w:rsidRPr="00A472FC">
        <w:rPr>
          <w:rFonts w:ascii="Times New Roman" w:hAnsi="Times New Roman" w:cs="Times New Roman"/>
          <w:color w:val="000000" w:themeColor="text1"/>
        </w:rPr>
        <w:t xml:space="preserve">upon his </w:t>
      </w:r>
      <w:r w:rsidR="00F04F93" w:rsidRPr="00A472FC">
        <w:rPr>
          <w:rFonts w:ascii="Times New Roman" w:hAnsi="Times New Roman" w:cs="Times New Roman"/>
          <w:i/>
          <w:color w:val="000000" w:themeColor="text1"/>
        </w:rPr>
        <w:t xml:space="preserve">Summa de anima </w:t>
      </w:r>
      <w:r w:rsidR="00F04F93" w:rsidRPr="00A472FC">
        <w:rPr>
          <w:rFonts w:ascii="Times New Roman" w:hAnsi="Times New Roman" w:cs="Times New Roman"/>
          <w:color w:val="000000" w:themeColor="text1"/>
        </w:rPr>
        <w:t xml:space="preserve">and </w:t>
      </w:r>
      <w:r w:rsidR="00F04F93" w:rsidRPr="00A472FC">
        <w:rPr>
          <w:rFonts w:ascii="Times New Roman" w:hAnsi="Times New Roman" w:cs="Times New Roman"/>
          <w:i/>
          <w:color w:val="000000" w:themeColor="text1"/>
        </w:rPr>
        <w:t xml:space="preserve">Summa de </w:t>
      </w:r>
      <w:proofErr w:type="spellStart"/>
      <w:r w:rsidR="00F04F93" w:rsidRPr="00A472FC">
        <w:rPr>
          <w:rFonts w:ascii="Times New Roman" w:hAnsi="Times New Roman" w:cs="Times New Roman"/>
          <w:i/>
          <w:color w:val="000000" w:themeColor="text1"/>
        </w:rPr>
        <w:t>vitiis</w:t>
      </w:r>
      <w:proofErr w:type="spellEnd"/>
      <w:r w:rsidR="00F04F93" w:rsidRPr="00A472FC">
        <w:rPr>
          <w:rFonts w:ascii="Times New Roman" w:hAnsi="Times New Roman" w:cs="Times New Roman"/>
          <w:iCs/>
          <w:color w:val="000000" w:themeColor="text1"/>
        </w:rPr>
        <w:t>,</w:t>
      </w:r>
      <w:r w:rsidR="00F04F93" w:rsidRPr="00A472FC">
        <w:rPr>
          <w:rFonts w:ascii="Times New Roman" w:hAnsi="Times New Roman" w:cs="Times New Roman"/>
          <w:i/>
          <w:color w:val="000000" w:themeColor="text1"/>
        </w:rPr>
        <w:t xml:space="preserve"> </w:t>
      </w:r>
      <w:r w:rsidR="00F04F93" w:rsidRPr="00A472FC">
        <w:rPr>
          <w:rFonts w:ascii="Times New Roman" w:hAnsi="Times New Roman" w:cs="Times New Roman"/>
          <w:color w:val="000000" w:themeColor="text1"/>
        </w:rPr>
        <w:t>possibly his first work</w:t>
      </w:r>
      <w:r w:rsidR="00F04F93" w:rsidRPr="00A472FC">
        <w:rPr>
          <w:rFonts w:ascii="Times New Roman" w:hAnsi="Times New Roman" w:cs="Times New Roman"/>
          <w:i/>
          <w:color w:val="000000" w:themeColor="text1"/>
        </w:rPr>
        <w:t>.</w:t>
      </w:r>
      <w:r w:rsidR="00F04F93" w:rsidRPr="00A472FC">
        <w:rPr>
          <w:rStyle w:val="FootnoteReference"/>
          <w:rFonts w:ascii="Times New Roman" w:hAnsi="Times New Roman" w:cs="Times New Roman"/>
          <w:color w:val="000000" w:themeColor="text1"/>
        </w:rPr>
        <w:footnoteReference w:id="268"/>
      </w:r>
      <w:r w:rsidR="00F04F93" w:rsidRPr="00A472FC">
        <w:rPr>
          <w:rFonts w:ascii="Times New Roman" w:hAnsi="Times New Roman" w:cs="Times New Roman"/>
          <w:color w:val="000000" w:themeColor="text1"/>
        </w:rPr>
        <w:t xml:space="preserve"> </w:t>
      </w:r>
      <w:r w:rsidRPr="00A472FC">
        <w:rPr>
          <w:rFonts w:ascii="Times New Roman" w:hAnsi="Times New Roman" w:cs="Times New Roman"/>
          <w:color w:val="000000" w:themeColor="text1"/>
        </w:rPr>
        <w:t xml:space="preserve">As </w:t>
      </w:r>
      <w:r w:rsidR="00E134F2" w:rsidRPr="00A472FC">
        <w:rPr>
          <w:rFonts w:ascii="Times New Roman" w:hAnsi="Times New Roman" w:cs="Times New Roman"/>
          <w:color w:val="000000" w:themeColor="text1"/>
        </w:rPr>
        <w:t>a key mind</w:t>
      </w:r>
      <w:r w:rsidRPr="00A472FC">
        <w:rPr>
          <w:rFonts w:ascii="Times New Roman" w:hAnsi="Times New Roman" w:cs="Times New Roman"/>
          <w:color w:val="000000" w:themeColor="text1"/>
        </w:rPr>
        <w:t xml:space="preserve"> behind the </w:t>
      </w:r>
      <w:r w:rsidRPr="00A472FC">
        <w:rPr>
          <w:rFonts w:ascii="Times New Roman" w:hAnsi="Times New Roman" w:cs="Times New Roman"/>
          <w:i/>
          <w:color w:val="000000" w:themeColor="text1"/>
        </w:rPr>
        <w:t>Summa</w:t>
      </w:r>
      <w:r w:rsidRPr="00A472FC">
        <w:rPr>
          <w:rFonts w:ascii="Times New Roman" w:hAnsi="Times New Roman" w:cs="Times New Roman"/>
          <w:iCs/>
          <w:color w:val="000000" w:themeColor="text1"/>
        </w:rPr>
        <w:t>,</w:t>
      </w:r>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 xml:space="preserve">John can rightly be regarded with Alexander as the founder of the Franciscan intellectual tradition. </w:t>
      </w:r>
    </w:p>
    <w:p w14:paraId="033449C4" w14:textId="0B9E01A1" w:rsidR="007C038D" w:rsidRPr="00A472FC" w:rsidRDefault="007C038D" w:rsidP="0066015A">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Although John was a prolific author, only two of his works </w:t>
      </w:r>
      <w:r w:rsidR="0029573A">
        <w:rPr>
          <w:rFonts w:ascii="Times New Roman" w:hAnsi="Times New Roman" w:cs="Times New Roman"/>
          <w:color w:val="000000" w:themeColor="text1"/>
        </w:rPr>
        <w:t>had</w:t>
      </w:r>
      <w:r w:rsidRPr="00A472FC">
        <w:rPr>
          <w:rFonts w:ascii="Times New Roman" w:hAnsi="Times New Roman" w:cs="Times New Roman"/>
          <w:color w:val="000000" w:themeColor="text1"/>
        </w:rPr>
        <w:t xml:space="preserve"> been critically edited</w:t>
      </w:r>
      <w:r w:rsidR="007E34AA">
        <w:rPr>
          <w:rFonts w:ascii="Times New Roman" w:hAnsi="Times New Roman" w:cs="Times New Roman"/>
          <w:color w:val="000000" w:themeColor="text1"/>
        </w:rPr>
        <w:t>, at least</w:t>
      </w:r>
      <w:r w:rsidRPr="00A472FC">
        <w:rPr>
          <w:rFonts w:ascii="Times New Roman" w:hAnsi="Times New Roman" w:cs="Times New Roman"/>
          <w:color w:val="000000" w:themeColor="text1"/>
        </w:rPr>
        <w:t xml:space="preserve"> </w:t>
      </w:r>
      <w:r w:rsidR="0029573A">
        <w:rPr>
          <w:rFonts w:ascii="Times New Roman" w:hAnsi="Times New Roman" w:cs="Times New Roman"/>
          <w:color w:val="000000" w:themeColor="text1"/>
        </w:rPr>
        <w:t>until recently</w:t>
      </w:r>
      <w:r w:rsidRPr="00A472FC">
        <w:rPr>
          <w:rFonts w:ascii="Times New Roman" w:hAnsi="Times New Roman" w:cs="Times New Roman"/>
          <w:color w:val="000000" w:themeColor="text1"/>
        </w:rPr>
        <w:t>:</w:t>
      </w:r>
      <w:r w:rsidR="009A0201" w:rsidRPr="00A472FC">
        <w:rPr>
          <w:rFonts w:ascii="Times New Roman" w:hAnsi="Times New Roman" w:cs="Times New Roman"/>
          <w:color w:val="000000" w:themeColor="text1"/>
        </w:rPr>
        <w:t xml:space="preserve"> these </w:t>
      </w:r>
      <w:r w:rsidR="00BD7C59">
        <w:rPr>
          <w:rFonts w:ascii="Times New Roman" w:hAnsi="Times New Roman" w:cs="Times New Roman"/>
          <w:color w:val="000000" w:themeColor="text1"/>
        </w:rPr>
        <w:t>are</w:t>
      </w:r>
      <w:r w:rsidR="009A0201" w:rsidRPr="00A472FC">
        <w:rPr>
          <w:rFonts w:ascii="Times New Roman" w:hAnsi="Times New Roman" w:cs="Times New Roman"/>
          <w:color w:val="000000" w:themeColor="text1"/>
        </w:rPr>
        <w:t xml:space="preserve"> the focus of this book, namely,</w:t>
      </w:r>
      <w:r w:rsidRPr="00A472FC">
        <w:rPr>
          <w:rFonts w:ascii="Times New Roman" w:hAnsi="Times New Roman" w:cs="Times New Roman"/>
          <w:color w:val="000000" w:themeColor="text1"/>
        </w:rPr>
        <w:t xml:space="preserve"> the early </w:t>
      </w:r>
      <w:proofErr w:type="spellStart"/>
      <w:r w:rsidR="00040053" w:rsidRPr="00A472FC">
        <w:rPr>
          <w:rFonts w:ascii="Times New Roman" w:hAnsi="Times New Roman" w:cs="Times New Roman"/>
          <w:i/>
          <w:color w:val="000000" w:themeColor="text1"/>
        </w:rPr>
        <w:t>Tractatus</w:t>
      </w:r>
      <w:proofErr w:type="spellEnd"/>
      <w:r w:rsidRPr="00A472FC">
        <w:rPr>
          <w:rFonts w:ascii="Times New Roman" w:hAnsi="Times New Roman" w:cs="Times New Roman"/>
          <w:i/>
          <w:color w:val="000000" w:themeColor="text1"/>
        </w:rPr>
        <w:t xml:space="preserve"> de </w:t>
      </w:r>
      <w:proofErr w:type="spellStart"/>
      <w:r w:rsidRPr="00A472FC">
        <w:rPr>
          <w:rFonts w:ascii="Times New Roman" w:hAnsi="Times New Roman" w:cs="Times New Roman"/>
          <w:i/>
          <w:color w:val="000000" w:themeColor="text1"/>
        </w:rPr>
        <w:t>divisione</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multiplici</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potentiarum</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animae</w:t>
      </w:r>
      <w:proofErr w:type="spellEnd"/>
      <w:r w:rsidRPr="00A472FC">
        <w:rPr>
          <w:rFonts w:ascii="Times New Roman" w:hAnsi="Times New Roman" w:cs="Times New Roman"/>
          <w:color w:val="000000" w:themeColor="text1"/>
        </w:rPr>
        <w:t xml:space="preserve">, which dates probably </w:t>
      </w:r>
      <w:r w:rsidR="009A0201" w:rsidRPr="00A472FC">
        <w:rPr>
          <w:rFonts w:ascii="Times New Roman" w:hAnsi="Times New Roman" w:cs="Times New Roman"/>
          <w:color w:val="000000" w:themeColor="text1"/>
        </w:rPr>
        <w:t>from 1232/3</w:t>
      </w:r>
      <w:r w:rsidRPr="00A472FC">
        <w:rPr>
          <w:rFonts w:ascii="Times New Roman" w:hAnsi="Times New Roman" w:cs="Times New Roman"/>
          <w:color w:val="000000" w:themeColor="text1"/>
        </w:rPr>
        <w:t xml:space="preserve">, and the aforementioned </w:t>
      </w:r>
      <w:r w:rsidRPr="00A472FC">
        <w:rPr>
          <w:rFonts w:ascii="Times New Roman" w:hAnsi="Times New Roman" w:cs="Times New Roman"/>
          <w:i/>
          <w:color w:val="000000" w:themeColor="text1"/>
        </w:rPr>
        <w:t>Summa de anima</w:t>
      </w:r>
      <w:r w:rsidRPr="00A472FC">
        <w:rPr>
          <w:rFonts w:ascii="Times New Roman" w:hAnsi="Times New Roman" w:cs="Times New Roman"/>
          <w:iCs/>
          <w:color w:val="000000" w:themeColor="text1"/>
        </w:rPr>
        <w:t>,</w:t>
      </w:r>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probably dating to 1235-</w:t>
      </w:r>
      <w:r w:rsidR="00BA1981" w:rsidRPr="00A472FC">
        <w:rPr>
          <w:rFonts w:ascii="Times New Roman" w:hAnsi="Times New Roman" w:cs="Times New Roman"/>
          <w:color w:val="000000" w:themeColor="text1"/>
        </w:rPr>
        <w:t>3</w:t>
      </w:r>
      <w:r w:rsidRPr="00A472FC">
        <w:rPr>
          <w:rFonts w:ascii="Times New Roman" w:hAnsi="Times New Roman" w:cs="Times New Roman"/>
          <w:color w:val="000000" w:themeColor="text1"/>
        </w:rPr>
        <w:t>6.</w:t>
      </w:r>
      <w:r w:rsidR="0029573A">
        <w:rPr>
          <w:rStyle w:val="FootnoteReference"/>
          <w:rFonts w:ascii="Times New Roman" w:hAnsi="Times New Roman" w:cs="Times New Roman"/>
          <w:color w:val="000000" w:themeColor="text1"/>
        </w:rPr>
        <w:footnoteReference w:id="269"/>
      </w:r>
      <w:r w:rsidRPr="00A472FC">
        <w:rPr>
          <w:rFonts w:ascii="Times New Roman" w:hAnsi="Times New Roman" w:cs="Times New Roman"/>
          <w:color w:val="000000" w:themeColor="text1"/>
        </w:rPr>
        <w:t xml:space="preserve"> Many of </w:t>
      </w:r>
      <w:r w:rsidR="0066015A" w:rsidRPr="00A472FC">
        <w:rPr>
          <w:rFonts w:ascii="Times New Roman" w:hAnsi="Times New Roman" w:cs="Times New Roman"/>
          <w:color w:val="000000" w:themeColor="text1"/>
        </w:rPr>
        <w:t>John’s</w:t>
      </w:r>
      <w:r w:rsidRPr="00A472FC">
        <w:rPr>
          <w:rFonts w:ascii="Times New Roman" w:hAnsi="Times New Roman" w:cs="Times New Roman"/>
          <w:color w:val="000000" w:themeColor="text1"/>
        </w:rPr>
        <w:t xml:space="preserve"> sermons are extant. This is not the case for a number of biblical commentaries</w:t>
      </w:r>
      <w:r w:rsidR="00AE0178" w:rsidRPr="00A472FC">
        <w:rPr>
          <w:rFonts w:ascii="Times New Roman" w:hAnsi="Times New Roman" w:cs="Times New Roman"/>
          <w:color w:val="000000" w:themeColor="text1"/>
        </w:rPr>
        <w:t>. However,</w:t>
      </w:r>
      <w:r w:rsidRPr="00A472FC">
        <w:rPr>
          <w:rFonts w:ascii="Times New Roman" w:hAnsi="Times New Roman" w:cs="Times New Roman"/>
          <w:color w:val="000000" w:themeColor="text1"/>
        </w:rPr>
        <w:t xml:space="preserve"> his commentaries on the Synoptic gospels and Paul’s epistles do survive. John’s other works include numerous </w:t>
      </w:r>
      <w:proofErr w:type="spellStart"/>
      <w:r w:rsidRPr="00A472FC">
        <w:rPr>
          <w:rFonts w:ascii="Times New Roman" w:hAnsi="Times New Roman" w:cs="Times New Roman"/>
          <w:i/>
          <w:color w:val="000000" w:themeColor="text1"/>
        </w:rPr>
        <w:t>quaestiones</w:t>
      </w:r>
      <w:proofErr w:type="spellEnd"/>
      <w:r w:rsidRPr="00A472FC">
        <w:rPr>
          <w:rFonts w:ascii="Times New Roman" w:hAnsi="Times New Roman" w:cs="Times New Roman"/>
          <w:color w:val="000000" w:themeColor="text1"/>
        </w:rPr>
        <w:t xml:space="preserve"> and smaller </w:t>
      </w:r>
      <w:proofErr w:type="spellStart"/>
      <w:r w:rsidRPr="00A472FC">
        <w:rPr>
          <w:rFonts w:ascii="Times New Roman" w:hAnsi="Times New Roman" w:cs="Times New Roman"/>
          <w:i/>
          <w:color w:val="000000" w:themeColor="text1"/>
        </w:rPr>
        <w:t>Summae</w:t>
      </w:r>
      <w:proofErr w:type="spellEnd"/>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which cover topics as diverse as the law, sin and vice, faith, the resurrection, and grace.</w:t>
      </w:r>
      <w:r w:rsidRPr="00A472FC">
        <w:rPr>
          <w:rStyle w:val="FootnoteReference"/>
          <w:rFonts w:ascii="Times New Roman" w:hAnsi="Times New Roman" w:cs="Times New Roman"/>
          <w:color w:val="000000" w:themeColor="text1"/>
        </w:rPr>
        <w:footnoteReference w:id="270"/>
      </w:r>
      <w:r w:rsidRPr="00A472FC">
        <w:rPr>
          <w:rFonts w:ascii="Times New Roman" w:hAnsi="Times New Roman" w:cs="Times New Roman"/>
          <w:color w:val="000000" w:themeColor="text1"/>
        </w:rPr>
        <w:t xml:space="preserve"> He was clearly a leading authority on moral and psychological questions. </w:t>
      </w:r>
    </w:p>
    <w:p w14:paraId="3E6745F9" w14:textId="1AF44809" w:rsidR="008B61E8" w:rsidRPr="00A472FC" w:rsidRDefault="008B61E8" w:rsidP="008B61E8">
      <w:pPr>
        <w:ind w:right="-52"/>
        <w:rPr>
          <w:rFonts w:ascii="Times New Roman" w:hAnsi="Times New Roman" w:cs="Times New Roman"/>
          <w:color w:val="000000" w:themeColor="text1"/>
        </w:rPr>
      </w:pPr>
    </w:p>
    <w:p w14:paraId="287C4E4C" w14:textId="302FA32A" w:rsidR="008B61E8" w:rsidRPr="00A472FC" w:rsidRDefault="008B61E8" w:rsidP="008B61E8">
      <w:pPr>
        <w:ind w:right="-52"/>
        <w:rPr>
          <w:rFonts w:ascii="Times New Roman" w:hAnsi="Times New Roman" w:cs="Times New Roman"/>
          <w:color w:val="000000" w:themeColor="text1"/>
          <w:u w:val="single"/>
        </w:rPr>
      </w:pPr>
      <w:r w:rsidRPr="00A472FC">
        <w:rPr>
          <w:rFonts w:ascii="Times New Roman" w:hAnsi="Times New Roman" w:cs="Times New Roman"/>
          <w:color w:val="000000" w:themeColor="text1"/>
          <w:u w:val="single"/>
        </w:rPr>
        <w:t>John of La Rochelle and his Contemporaries</w:t>
      </w:r>
    </w:p>
    <w:p w14:paraId="2E934CD0" w14:textId="77777777" w:rsidR="008B61E8" w:rsidRPr="00A472FC" w:rsidRDefault="008B61E8" w:rsidP="008B61E8">
      <w:pPr>
        <w:ind w:right="-52"/>
        <w:rPr>
          <w:rFonts w:ascii="Times New Roman" w:hAnsi="Times New Roman" w:cs="Times New Roman"/>
          <w:color w:val="000000" w:themeColor="text1"/>
        </w:rPr>
      </w:pPr>
    </w:p>
    <w:p w14:paraId="2A93394C" w14:textId="54A003CD" w:rsidR="00D2412A" w:rsidRPr="00A472FC" w:rsidRDefault="007C038D" w:rsidP="00881604">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As mentioned above, John was part of a larger conversation </w:t>
      </w:r>
      <w:r w:rsidR="000E623D" w:rsidRPr="00A472FC">
        <w:rPr>
          <w:rFonts w:ascii="Times New Roman" w:hAnsi="Times New Roman" w:cs="Times New Roman"/>
          <w:color w:val="000000" w:themeColor="text1"/>
        </w:rPr>
        <w:t xml:space="preserve">amongst early scholastics </w:t>
      </w:r>
      <w:r w:rsidRPr="00A472FC">
        <w:rPr>
          <w:rFonts w:ascii="Times New Roman" w:hAnsi="Times New Roman" w:cs="Times New Roman"/>
          <w:color w:val="000000" w:themeColor="text1"/>
        </w:rPr>
        <w:t xml:space="preserve">regarding a series of questions that became popular following the incorporation of newly translated </w:t>
      </w:r>
      <w:r w:rsidR="00DF6EFE" w:rsidRPr="00A472FC">
        <w:rPr>
          <w:rFonts w:ascii="Times New Roman" w:hAnsi="Times New Roman" w:cs="Times New Roman"/>
          <w:color w:val="000000" w:themeColor="text1"/>
        </w:rPr>
        <w:t xml:space="preserve">philosophical </w:t>
      </w:r>
      <w:r w:rsidRPr="00A472FC">
        <w:rPr>
          <w:rFonts w:ascii="Times New Roman" w:hAnsi="Times New Roman" w:cs="Times New Roman"/>
          <w:color w:val="000000" w:themeColor="text1"/>
        </w:rPr>
        <w:t>materials</w:t>
      </w:r>
      <w:r w:rsidR="008B61E8" w:rsidRPr="00A472FC">
        <w:rPr>
          <w:rFonts w:ascii="Times New Roman" w:hAnsi="Times New Roman" w:cs="Times New Roman"/>
          <w:color w:val="000000" w:themeColor="text1"/>
        </w:rPr>
        <w:t>, insofar as they helped in the development of more robust accounts of the status of the soul as God’s image</w:t>
      </w:r>
      <w:r w:rsidRPr="00A472FC">
        <w:rPr>
          <w:rFonts w:ascii="Times New Roman" w:hAnsi="Times New Roman" w:cs="Times New Roman"/>
          <w:color w:val="000000" w:themeColor="text1"/>
        </w:rPr>
        <w:t>. These questions and topics are listed on the two charts below. As the first chart illustrates, John of La Rochelle was effectively the only early scholastic theologian to take an interest in many of the medical and physical categories that preoccupied certain Cistercians in the twelfth</w:t>
      </w:r>
      <w:r w:rsidR="00BA1981" w:rsidRPr="00A472FC">
        <w:rPr>
          <w:rFonts w:ascii="Times New Roman" w:hAnsi="Times New Roman" w:cs="Times New Roman"/>
          <w:color w:val="000000" w:themeColor="text1"/>
        </w:rPr>
        <w:t xml:space="preserve"> </w:t>
      </w:r>
      <w:r w:rsidRPr="00A472FC">
        <w:rPr>
          <w:rFonts w:ascii="Times New Roman" w:hAnsi="Times New Roman" w:cs="Times New Roman"/>
          <w:color w:val="000000" w:themeColor="text1"/>
        </w:rPr>
        <w:t xml:space="preserve">century, </w:t>
      </w:r>
      <w:r w:rsidR="00133884" w:rsidRPr="00A472FC">
        <w:rPr>
          <w:rFonts w:ascii="Times New Roman" w:hAnsi="Times New Roman" w:cs="Times New Roman"/>
          <w:color w:val="000000" w:themeColor="text1"/>
        </w:rPr>
        <w:t xml:space="preserve">among others, </w:t>
      </w:r>
      <w:r w:rsidRPr="00A472FC">
        <w:rPr>
          <w:rFonts w:ascii="Times New Roman" w:hAnsi="Times New Roman" w:cs="Times New Roman"/>
          <w:color w:val="000000" w:themeColor="text1"/>
        </w:rPr>
        <w:t xml:space="preserve">and before them, John of Damascus and </w:t>
      </w:r>
      <w:proofErr w:type="spellStart"/>
      <w:r w:rsidRPr="00A472FC">
        <w:rPr>
          <w:rFonts w:ascii="Times New Roman" w:hAnsi="Times New Roman" w:cs="Times New Roman"/>
          <w:color w:val="000000" w:themeColor="text1"/>
        </w:rPr>
        <w:t>Nemesius</w:t>
      </w:r>
      <w:proofErr w:type="spellEnd"/>
      <w:r w:rsidRPr="00A472FC">
        <w:rPr>
          <w:rFonts w:ascii="Times New Roman" w:hAnsi="Times New Roman" w:cs="Times New Roman"/>
          <w:color w:val="000000" w:themeColor="text1"/>
        </w:rPr>
        <w:t xml:space="preserve">. </w:t>
      </w:r>
    </w:p>
    <w:p w14:paraId="07FEA2EC" w14:textId="64E7C591" w:rsidR="007C038D" w:rsidRPr="00A472FC" w:rsidRDefault="007C038D" w:rsidP="00881604">
      <w:pPr>
        <w:ind w:right="-52" w:firstLine="720"/>
        <w:rPr>
          <w:rFonts w:ascii="Times New Roman" w:hAnsi="Times New Roman" w:cs="Times New Roman"/>
        </w:rPr>
      </w:pPr>
      <w:r w:rsidRPr="00A472FC">
        <w:rPr>
          <w:rFonts w:ascii="Times New Roman" w:hAnsi="Times New Roman" w:cs="Times New Roman"/>
          <w:color w:val="000000" w:themeColor="text1"/>
        </w:rPr>
        <w:lastRenderedPageBreak/>
        <w:t xml:space="preserve">These include the </w:t>
      </w:r>
      <w:proofErr w:type="spellStart"/>
      <w:r w:rsidRPr="00A472FC">
        <w:rPr>
          <w:rFonts w:ascii="Times New Roman" w:hAnsi="Times New Roman" w:cs="Times New Roman"/>
          <w:color w:val="000000" w:themeColor="text1"/>
        </w:rPr>
        <w:t>tri-partite</w:t>
      </w:r>
      <w:proofErr w:type="spellEnd"/>
      <w:r w:rsidRPr="00A472FC">
        <w:rPr>
          <w:rFonts w:ascii="Times New Roman" w:hAnsi="Times New Roman" w:cs="Times New Roman"/>
          <w:color w:val="000000" w:themeColor="text1"/>
        </w:rPr>
        <w:t xml:space="preserve"> division of the brain into three lobes responsible for imagination, reason, and memory, respectively; the </w:t>
      </w:r>
      <w:proofErr w:type="spellStart"/>
      <w:r w:rsidRPr="00A472FC">
        <w:rPr>
          <w:rFonts w:ascii="Times New Roman" w:hAnsi="Times New Roman" w:cs="Times New Roman"/>
          <w:color w:val="000000" w:themeColor="text1"/>
        </w:rPr>
        <w:t>tri-partite</w:t>
      </w:r>
      <w:proofErr w:type="spellEnd"/>
      <w:r w:rsidRPr="00A472FC">
        <w:rPr>
          <w:rFonts w:ascii="Times New Roman" w:hAnsi="Times New Roman" w:cs="Times New Roman"/>
          <w:color w:val="000000" w:themeColor="text1"/>
        </w:rPr>
        <w:t xml:space="preserve"> division between the natural, spiritual, and animal powers corresponding to the liver, heart, and brain, respectively; the theory of two—in the case of Costa Ben Luca—or three—in the case of Constantine the African—corporeal spirits that mediate between the body and the soul; the division of natural or vegetative powers according to nutrition, growth, and reproduction; and the nutritive powers according to the appetitive, </w:t>
      </w:r>
      <w:r w:rsidRPr="00A472FC">
        <w:rPr>
          <w:rFonts w:ascii="Times New Roman" w:hAnsi="Times New Roman" w:cs="Times New Roman"/>
        </w:rPr>
        <w:t xml:space="preserve">retentive, digestive, and expulsive. </w:t>
      </w:r>
    </w:p>
    <w:p w14:paraId="4EBCEC7C" w14:textId="5235DF30" w:rsidR="007C038D" w:rsidRPr="00A472FC" w:rsidRDefault="007C038D" w:rsidP="00881604">
      <w:pPr>
        <w:ind w:right="-52" w:firstLine="720"/>
        <w:rPr>
          <w:rFonts w:ascii="Times New Roman" w:hAnsi="Times New Roman" w:cs="Times New Roman"/>
        </w:rPr>
      </w:pPr>
      <w:r w:rsidRPr="00A472FC">
        <w:rPr>
          <w:rFonts w:ascii="Times New Roman" w:hAnsi="Times New Roman" w:cs="Times New Roman"/>
        </w:rPr>
        <w:t xml:space="preserve">Although </w:t>
      </w:r>
      <w:r w:rsidR="00BC1EAC" w:rsidRPr="00A472FC">
        <w:rPr>
          <w:rFonts w:ascii="Times New Roman" w:hAnsi="Times New Roman" w:cs="Times New Roman"/>
        </w:rPr>
        <w:t>most early scholastic theologians</w:t>
      </w:r>
      <w:r w:rsidRPr="00A472FC">
        <w:rPr>
          <w:rFonts w:ascii="Times New Roman" w:hAnsi="Times New Roman" w:cs="Times New Roman"/>
        </w:rPr>
        <w:t xml:space="preserve"> hesitated to grapple with the medical powers, </w:t>
      </w:r>
      <w:r w:rsidR="0091451F" w:rsidRPr="00A472FC">
        <w:rPr>
          <w:rFonts w:ascii="Times New Roman" w:hAnsi="Times New Roman" w:cs="Times New Roman"/>
        </w:rPr>
        <w:t>they</w:t>
      </w:r>
      <w:r w:rsidRPr="00A472FC">
        <w:rPr>
          <w:rFonts w:ascii="Times New Roman" w:hAnsi="Times New Roman" w:cs="Times New Roman"/>
        </w:rPr>
        <w:t xml:space="preserve"> did reference more traditional categories like the Platonic triad of the irascible, </w:t>
      </w:r>
      <w:proofErr w:type="spellStart"/>
      <w:r w:rsidRPr="00A472FC">
        <w:rPr>
          <w:rFonts w:ascii="Times New Roman" w:hAnsi="Times New Roman" w:cs="Times New Roman"/>
        </w:rPr>
        <w:t>concupsicible</w:t>
      </w:r>
      <w:proofErr w:type="spellEnd"/>
      <w:r w:rsidRPr="00A472FC">
        <w:rPr>
          <w:rFonts w:ascii="Times New Roman" w:hAnsi="Times New Roman" w:cs="Times New Roman"/>
        </w:rPr>
        <w:t xml:space="preserve">, and rational powers and the five-fold division of sense, imagination, reason, intellect, and intelligence, </w:t>
      </w:r>
      <w:r w:rsidR="00CD0660" w:rsidRPr="00A472FC">
        <w:rPr>
          <w:rFonts w:ascii="Times New Roman" w:hAnsi="Times New Roman" w:cs="Times New Roman"/>
        </w:rPr>
        <w:t xml:space="preserve">which is </w:t>
      </w:r>
      <w:r w:rsidRPr="00A472FC">
        <w:rPr>
          <w:rFonts w:ascii="Times New Roman" w:hAnsi="Times New Roman" w:cs="Times New Roman"/>
        </w:rPr>
        <w:t xml:space="preserve">based on a four-fold division from </w:t>
      </w:r>
      <w:proofErr w:type="spellStart"/>
      <w:r w:rsidRPr="00A472FC">
        <w:rPr>
          <w:rFonts w:ascii="Times New Roman" w:hAnsi="Times New Roman" w:cs="Times New Roman"/>
        </w:rPr>
        <w:t>Boethius</w:t>
      </w:r>
      <w:proofErr w:type="spellEnd"/>
      <w:r w:rsidRPr="00A472FC">
        <w:rPr>
          <w:rFonts w:ascii="Times New Roman" w:hAnsi="Times New Roman" w:cs="Times New Roman"/>
        </w:rPr>
        <w:t xml:space="preserve"> that excluded the intellect; the triad of memory, understanding, and will from Augustine, and his distinction between higher and lower reason. In </w:t>
      </w:r>
      <w:r w:rsidR="0091451F" w:rsidRPr="00A472FC">
        <w:rPr>
          <w:rFonts w:ascii="Times New Roman" w:hAnsi="Times New Roman" w:cs="Times New Roman"/>
        </w:rPr>
        <w:t>many respects,</w:t>
      </w:r>
      <w:r w:rsidRPr="00A472FC">
        <w:rPr>
          <w:rFonts w:ascii="Times New Roman" w:hAnsi="Times New Roman" w:cs="Times New Roman"/>
        </w:rPr>
        <w:t xml:space="preserve"> their Augustinian moorings served as a basis for incorporating the new natural philosophy and a set of questions arising from it concerning the powers of the soul, which were perceived as consistent with their broader theological commitments</w:t>
      </w:r>
      <w:r w:rsidR="00CD0660" w:rsidRPr="00A472FC">
        <w:rPr>
          <w:rFonts w:ascii="Times New Roman" w:hAnsi="Times New Roman" w:cs="Times New Roman"/>
        </w:rPr>
        <w:t xml:space="preserve"> and indeed useful for articulating them</w:t>
      </w:r>
      <w:r w:rsidRPr="00A472FC">
        <w:rPr>
          <w:rFonts w:ascii="Times New Roman" w:hAnsi="Times New Roman" w:cs="Times New Roman"/>
        </w:rPr>
        <w:t xml:space="preserve">. </w:t>
      </w:r>
      <w:r w:rsidRPr="00A472FC">
        <w:rPr>
          <w:rFonts w:ascii="Times New Roman" w:hAnsi="Times New Roman" w:cs="Times New Roman"/>
          <w:color w:val="000000" w:themeColor="text1"/>
        </w:rPr>
        <w:t xml:space="preserve">These questions are outlined in the second chart, as follows: </w:t>
      </w:r>
    </w:p>
    <w:p w14:paraId="40C93D16" w14:textId="77777777" w:rsidR="007C038D" w:rsidRPr="00A472FC" w:rsidRDefault="007C038D" w:rsidP="00881604">
      <w:pPr>
        <w:ind w:right="-52" w:firstLine="720"/>
        <w:rPr>
          <w:rFonts w:ascii="Times New Roman" w:hAnsi="Times New Roman" w:cs="Times New Roman"/>
          <w:color w:val="000000" w:themeColor="text1"/>
        </w:rPr>
      </w:pPr>
    </w:p>
    <w:p w14:paraId="7043B0E8" w14:textId="77777777" w:rsidR="00C654FC" w:rsidRPr="00A472FC" w:rsidRDefault="00C654FC" w:rsidP="0084533F">
      <w:pPr>
        <w:pStyle w:val="ListParagraph"/>
        <w:numPr>
          <w:ilvl w:val="0"/>
          <w:numId w:val="30"/>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Is the soul composed of matter and form, per universal hylomorphism?</w:t>
      </w:r>
    </w:p>
    <w:p w14:paraId="03393CB4" w14:textId="77777777" w:rsidR="007C038D" w:rsidRPr="00A472FC" w:rsidRDefault="007C038D" w:rsidP="0084533F">
      <w:pPr>
        <w:pStyle w:val="ListParagraph"/>
        <w:numPr>
          <w:ilvl w:val="0"/>
          <w:numId w:val="30"/>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Is the soul united to the body accidentally or substantially?</w:t>
      </w:r>
    </w:p>
    <w:p w14:paraId="68619992" w14:textId="77777777" w:rsidR="007C038D" w:rsidRPr="00A472FC" w:rsidRDefault="007C038D" w:rsidP="0084533F">
      <w:pPr>
        <w:pStyle w:val="ListParagraph"/>
        <w:numPr>
          <w:ilvl w:val="0"/>
          <w:numId w:val="30"/>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Is the soul united to the body through a medium?</w:t>
      </w:r>
    </w:p>
    <w:p w14:paraId="034D73B3" w14:textId="77777777" w:rsidR="007C038D" w:rsidRPr="00A472FC" w:rsidRDefault="007C038D" w:rsidP="0084533F">
      <w:pPr>
        <w:pStyle w:val="ListParagraph"/>
        <w:numPr>
          <w:ilvl w:val="0"/>
          <w:numId w:val="30"/>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Are the vegetative, sensitive, and rational powers three substances in the soul?</w:t>
      </w:r>
    </w:p>
    <w:p w14:paraId="4D5C3E98" w14:textId="77777777" w:rsidR="007C038D" w:rsidRPr="00A472FC" w:rsidRDefault="007C038D" w:rsidP="0084533F">
      <w:pPr>
        <w:pStyle w:val="ListParagraph"/>
        <w:numPr>
          <w:ilvl w:val="0"/>
          <w:numId w:val="30"/>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Is the essence of the soul identical with its powers?</w:t>
      </w:r>
    </w:p>
    <w:p w14:paraId="66DA1945" w14:textId="77777777" w:rsidR="007C038D" w:rsidRPr="00A472FC" w:rsidRDefault="007C038D" w:rsidP="0084533F">
      <w:pPr>
        <w:pStyle w:val="ListParagraph"/>
        <w:numPr>
          <w:ilvl w:val="0"/>
          <w:numId w:val="30"/>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Do the vegetative and sense powers survive the death of the body?</w:t>
      </w:r>
    </w:p>
    <w:p w14:paraId="58086AEB" w14:textId="77777777" w:rsidR="007C038D" w:rsidRPr="00A472FC" w:rsidRDefault="007C038D" w:rsidP="00881604">
      <w:pPr>
        <w:ind w:right="-52" w:firstLine="720"/>
        <w:rPr>
          <w:rFonts w:ascii="Times New Roman" w:hAnsi="Times New Roman" w:cs="Times New Roman"/>
          <w:color w:val="000000" w:themeColor="text1"/>
        </w:rPr>
      </w:pPr>
    </w:p>
    <w:p w14:paraId="55FAA711" w14:textId="05779979" w:rsidR="007C038D" w:rsidRPr="00A472FC" w:rsidRDefault="007C038D" w:rsidP="00881604">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With the exception of William of Auxerre, who discusses only one of these questions, namely, whether the soul is identical with its powers, most of the other theologians mentioned </w:t>
      </w:r>
      <w:r w:rsidR="00681041" w:rsidRPr="00A472FC">
        <w:rPr>
          <w:rFonts w:ascii="Times New Roman" w:hAnsi="Times New Roman" w:cs="Times New Roman"/>
          <w:color w:val="000000" w:themeColor="text1"/>
        </w:rPr>
        <w:t>a</w:t>
      </w:r>
      <w:r w:rsidRPr="00A472FC">
        <w:rPr>
          <w:rFonts w:ascii="Times New Roman" w:hAnsi="Times New Roman" w:cs="Times New Roman"/>
          <w:color w:val="000000" w:themeColor="text1"/>
        </w:rPr>
        <w:t xml:space="preserve">bove treat these questions to one degree or another. These topics were also covered by many of the masters at the young University of Oxford, whose work lies beyond the scope of this </w:t>
      </w:r>
      <w:r w:rsidR="00E72AD0" w:rsidRPr="00A472FC">
        <w:rPr>
          <w:rFonts w:ascii="Times New Roman" w:hAnsi="Times New Roman" w:cs="Times New Roman"/>
          <w:color w:val="000000" w:themeColor="text1"/>
        </w:rPr>
        <w:t>study</w:t>
      </w:r>
      <w:r w:rsidRPr="00A472FC">
        <w:rPr>
          <w:rFonts w:ascii="Times New Roman" w:hAnsi="Times New Roman" w:cs="Times New Roman"/>
          <w:color w:val="000000" w:themeColor="text1"/>
        </w:rPr>
        <w:t>.</w:t>
      </w:r>
      <w:r w:rsidRPr="00A472FC">
        <w:rPr>
          <w:rStyle w:val="FootnoteReference"/>
          <w:rFonts w:ascii="Times New Roman" w:hAnsi="Times New Roman" w:cs="Times New Roman"/>
          <w:color w:val="000000" w:themeColor="text1"/>
        </w:rPr>
        <w:footnoteReference w:id="271"/>
      </w:r>
      <w:r w:rsidRPr="00A472FC">
        <w:rPr>
          <w:rFonts w:ascii="Times New Roman" w:hAnsi="Times New Roman" w:cs="Times New Roman"/>
          <w:color w:val="000000" w:themeColor="text1"/>
        </w:rPr>
        <w:t xml:space="preserve"> As the ensuing chapters will illustrate, however, John of La Rochelle grapples with these questions </w:t>
      </w:r>
      <w:r w:rsidR="00D80330" w:rsidRPr="00A472FC">
        <w:rPr>
          <w:rFonts w:ascii="Times New Roman" w:hAnsi="Times New Roman" w:cs="Times New Roman"/>
          <w:color w:val="000000" w:themeColor="text1"/>
        </w:rPr>
        <w:t xml:space="preserve">at </w:t>
      </w:r>
      <w:r w:rsidRPr="00A472FC">
        <w:rPr>
          <w:rFonts w:ascii="Times New Roman" w:hAnsi="Times New Roman" w:cs="Times New Roman"/>
          <w:color w:val="000000" w:themeColor="text1"/>
        </w:rPr>
        <w:t xml:space="preserve">a level of completeness and coherence that </w:t>
      </w:r>
      <w:r w:rsidR="00080BD7" w:rsidRPr="00A472FC">
        <w:rPr>
          <w:rFonts w:ascii="Times New Roman" w:hAnsi="Times New Roman" w:cs="Times New Roman"/>
          <w:color w:val="000000" w:themeColor="text1"/>
        </w:rPr>
        <w:t xml:space="preserve">surpasses </w:t>
      </w:r>
      <w:r w:rsidR="008F0D02" w:rsidRPr="00A472FC">
        <w:rPr>
          <w:rFonts w:ascii="Times New Roman" w:hAnsi="Times New Roman" w:cs="Times New Roman"/>
          <w:color w:val="000000" w:themeColor="text1"/>
        </w:rPr>
        <w:t xml:space="preserve">all </w:t>
      </w:r>
      <w:r w:rsidRPr="00A472FC">
        <w:rPr>
          <w:rFonts w:ascii="Times New Roman" w:hAnsi="Times New Roman" w:cs="Times New Roman"/>
          <w:color w:val="000000" w:themeColor="text1"/>
        </w:rPr>
        <w:t xml:space="preserve">earlier accounts. Furthermore, he is the first in his generation to explore </w:t>
      </w:r>
      <w:r w:rsidR="0084533F" w:rsidRPr="00A472FC">
        <w:rPr>
          <w:rFonts w:ascii="Times New Roman" w:hAnsi="Times New Roman" w:cs="Times New Roman"/>
          <w:color w:val="000000" w:themeColor="text1"/>
        </w:rPr>
        <w:t xml:space="preserve">in detail </w:t>
      </w:r>
      <w:r w:rsidRPr="00A472FC">
        <w:rPr>
          <w:rFonts w:ascii="Times New Roman" w:hAnsi="Times New Roman" w:cs="Times New Roman"/>
          <w:color w:val="000000" w:themeColor="text1"/>
        </w:rPr>
        <w:t xml:space="preserve">the mechanics of human external and internal sensation as well as intellection, and to follow Avicenna closely on these issues. As we have learned, earlier contemporaries hesitated to go so far, because they believed such detailed analyses should be reserved for philosophers. </w:t>
      </w:r>
    </w:p>
    <w:p w14:paraId="0BE80E05" w14:textId="10993E0F" w:rsidR="007C038D" w:rsidRPr="00A472FC" w:rsidRDefault="007C038D" w:rsidP="00881604">
      <w:pPr>
        <w:ind w:right="-52" w:firstLine="720"/>
        <w:rPr>
          <w:rFonts w:ascii="Times New Roman" w:hAnsi="Times New Roman" w:cs="Times New Roman"/>
          <w:bCs/>
        </w:rPr>
      </w:pPr>
      <w:r w:rsidRPr="00A472FC">
        <w:rPr>
          <w:rFonts w:ascii="Times New Roman" w:hAnsi="Times New Roman" w:cs="Times New Roman"/>
          <w:color w:val="000000" w:themeColor="text1"/>
        </w:rPr>
        <w:t xml:space="preserve">That is not to say that John’s treatment of psychological matters was entirely without precedent. As noted already, </w:t>
      </w:r>
      <w:r w:rsidRPr="00A472FC">
        <w:rPr>
          <w:rFonts w:ascii="Times New Roman" w:hAnsi="Times New Roman" w:cs="Times New Roman"/>
        </w:rPr>
        <w:t xml:space="preserve">the anonymous </w:t>
      </w:r>
      <w:r w:rsidRPr="00A472FC">
        <w:rPr>
          <w:rFonts w:ascii="Times New Roman" w:hAnsi="Times New Roman" w:cs="Times New Roman"/>
          <w:i/>
        </w:rPr>
        <w:t xml:space="preserve">De </w:t>
      </w:r>
      <w:proofErr w:type="spellStart"/>
      <w:r w:rsidRPr="00A472FC">
        <w:rPr>
          <w:rFonts w:ascii="Times New Roman" w:hAnsi="Times New Roman" w:cs="Times New Roman"/>
          <w:i/>
        </w:rPr>
        <w:t>potentiis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animae</w:t>
      </w:r>
      <w:proofErr w:type="spellEnd"/>
      <w:r w:rsidRPr="00A472FC">
        <w:rPr>
          <w:rFonts w:ascii="Times New Roman" w:hAnsi="Times New Roman" w:cs="Times New Roman"/>
          <w:i/>
        </w:rPr>
        <w:t xml:space="preserve"> et </w:t>
      </w:r>
      <w:proofErr w:type="spellStart"/>
      <w:r w:rsidRPr="00A472FC">
        <w:rPr>
          <w:rFonts w:ascii="Times New Roman" w:hAnsi="Times New Roman" w:cs="Times New Roman"/>
          <w:i/>
        </w:rPr>
        <w:t>obiectis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was strictly speaking the first theological text to deal with cognition and to invoke Avicenna explicitly in doing so. Before John, this text influenced </w:t>
      </w:r>
      <w:r w:rsidRPr="00A472FC">
        <w:rPr>
          <w:rFonts w:ascii="Times New Roman" w:hAnsi="Times New Roman" w:cs="Times New Roman"/>
          <w:bCs/>
        </w:rPr>
        <w:t xml:space="preserve">Philip the Chancellor, who follows the anonymous author in distinguishing between a formal—otherwise known as material—intellect which is </w:t>
      </w:r>
      <w:r w:rsidRPr="00A472FC">
        <w:rPr>
          <w:rFonts w:ascii="Times New Roman" w:hAnsi="Times New Roman" w:cs="Times New Roman"/>
          <w:bCs/>
        </w:rPr>
        <w:lastRenderedPageBreak/>
        <w:t>inseparable from the body and therefore corruptible;</w:t>
      </w:r>
      <w:r w:rsidRPr="00A472FC">
        <w:rPr>
          <w:rStyle w:val="FootnoteReference"/>
          <w:rFonts w:ascii="Times New Roman" w:hAnsi="Times New Roman" w:cs="Times New Roman"/>
          <w:bCs/>
        </w:rPr>
        <w:footnoteReference w:id="272"/>
      </w:r>
      <w:r w:rsidRPr="00A472FC">
        <w:rPr>
          <w:rFonts w:ascii="Times New Roman" w:hAnsi="Times New Roman" w:cs="Times New Roman"/>
          <w:bCs/>
        </w:rPr>
        <w:t xml:space="preserve"> and a separable intellect, including both the agent and possible intellects, which is incorruptible.</w:t>
      </w:r>
      <w:r w:rsidRPr="00A472FC">
        <w:rPr>
          <w:rStyle w:val="FootnoteReference"/>
          <w:rFonts w:ascii="Times New Roman" w:hAnsi="Times New Roman" w:cs="Times New Roman"/>
          <w:bCs/>
        </w:rPr>
        <w:footnoteReference w:id="273"/>
      </w:r>
      <w:r w:rsidRPr="00A472FC">
        <w:rPr>
          <w:rFonts w:ascii="Times New Roman" w:hAnsi="Times New Roman" w:cs="Times New Roman"/>
          <w:bCs/>
        </w:rPr>
        <w:t xml:space="preserve"> Although his brief account of this doctrine clearly derives from the </w:t>
      </w:r>
      <w:r w:rsidRPr="00A472FC">
        <w:rPr>
          <w:rFonts w:ascii="Times New Roman" w:hAnsi="Times New Roman" w:cs="Times New Roman"/>
          <w:bCs/>
          <w:i/>
        </w:rPr>
        <w:t xml:space="preserve">De </w:t>
      </w:r>
      <w:proofErr w:type="spellStart"/>
      <w:r w:rsidRPr="00A472FC">
        <w:rPr>
          <w:rFonts w:ascii="Times New Roman" w:hAnsi="Times New Roman" w:cs="Times New Roman"/>
          <w:bCs/>
          <w:i/>
        </w:rPr>
        <w:t>potentiis</w:t>
      </w:r>
      <w:proofErr w:type="spellEnd"/>
      <w:r w:rsidRPr="00A472FC">
        <w:rPr>
          <w:rFonts w:ascii="Times New Roman" w:hAnsi="Times New Roman" w:cs="Times New Roman"/>
          <w:bCs/>
          <w:i/>
        </w:rPr>
        <w:t xml:space="preserve"> </w:t>
      </w:r>
      <w:proofErr w:type="spellStart"/>
      <w:r w:rsidRPr="00A472FC">
        <w:rPr>
          <w:rFonts w:ascii="Times New Roman" w:hAnsi="Times New Roman" w:cs="Times New Roman"/>
          <w:bCs/>
          <w:i/>
        </w:rPr>
        <w:t>animae</w:t>
      </w:r>
      <w:proofErr w:type="spellEnd"/>
      <w:r w:rsidRPr="00A472FC">
        <w:rPr>
          <w:rFonts w:ascii="Times New Roman" w:hAnsi="Times New Roman" w:cs="Times New Roman"/>
          <w:bCs/>
          <w:i/>
        </w:rPr>
        <w:t xml:space="preserve"> et </w:t>
      </w:r>
      <w:proofErr w:type="spellStart"/>
      <w:r w:rsidRPr="00A472FC">
        <w:rPr>
          <w:rFonts w:ascii="Times New Roman" w:hAnsi="Times New Roman" w:cs="Times New Roman"/>
          <w:bCs/>
          <w:i/>
        </w:rPr>
        <w:t>obiectiis</w:t>
      </w:r>
      <w:proofErr w:type="spellEnd"/>
      <w:r w:rsidRPr="00A472FC">
        <w:rPr>
          <w:rFonts w:ascii="Times New Roman" w:hAnsi="Times New Roman" w:cs="Times New Roman"/>
          <w:bCs/>
          <w:i/>
        </w:rPr>
        <w:t xml:space="preserve"> </w:t>
      </w:r>
      <w:r w:rsidRPr="00A472FC">
        <w:rPr>
          <w:rFonts w:ascii="Times New Roman" w:hAnsi="Times New Roman" w:cs="Times New Roman"/>
          <w:bCs/>
        </w:rPr>
        <w:t xml:space="preserve">which also speaks of the </w:t>
      </w:r>
      <w:proofErr w:type="spellStart"/>
      <w:r w:rsidRPr="00A472FC">
        <w:rPr>
          <w:rFonts w:ascii="Times New Roman" w:hAnsi="Times New Roman" w:cs="Times New Roman"/>
          <w:bCs/>
          <w:i/>
        </w:rPr>
        <w:t>intellectus</w:t>
      </w:r>
      <w:proofErr w:type="spellEnd"/>
      <w:r w:rsidRPr="00A472FC">
        <w:rPr>
          <w:rFonts w:ascii="Times New Roman" w:hAnsi="Times New Roman" w:cs="Times New Roman"/>
          <w:bCs/>
          <w:i/>
        </w:rPr>
        <w:t xml:space="preserve"> </w:t>
      </w:r>
      <w:proofErr w:type="spellStart"/>
      <w:r w:rsidRPr="00A472FC">
        <w:rPr>
          <w:rFonts w:ascii="Times New Roman" w:hAnsi="Times New Roman" w:cs="Times New Roman"/>
          <w:bCs/>
          <w:i/>
        </w:rPr>
        <w:t>formalis</w:t>
      </w:r>
      <w:proofErr w:type="spellEnd"/>
      <w:r w:rsidRPr="00A472FC">
        <w:rPr>
          <w:rFonts w:ascii="Times New Roman" w:hAnsi="Times New Roman" w:cs="Times New Roman"/>
          <w:bCs/>
        </w:rPr>
        <w:t xml:space="preserve"> as another name for the material intellect, it is entirely cursory.</w:t>
      </w:r>
      <w:r w:rsidR="00FE7876" w:rsidRPr="00A472FC">
        <w:rPr>
          <w:rStyle w:val="FootnoteReference"/>
          <w:rFonts w:ascii="Times New Roman" w:hAnsi="Times New Roman" w:cs="Times New Roman"/>
          <w:bCs/>
        </w:rPr>
        <w:footnoteReference w:id="274"/>
      </w:r>
      <w:r w:rsidRPr="00A472FC">
        <w:rPr>
          <w:rFonts w:ascii="Times New Roman" w:hAnsi="Times New Roman" w:cs="Times New Roman"/>
          <w:bCs/>
        </w:rPr>
        <w:t xml:space="preserve"> </w:t>
      </w:r>
    </w:p>
    <w:p w14:paraId="606E9D4C" w14:textId="2C4D6877" w:rsidR="007C038D" w:rsidRPr="00A472FC" w:rsidRDefault="007C038D" w:rsidP="00881604">
      <w:pPr>
        <w:ind w:right="-52" w:firstLine="720"/>
        <w:rPr>
          <w:rFonts w:ascii="Times New Roman" w:hAnsi="Times New Roman" w:cs="Times New Roman"/>
          <w:bCs/>
        </w:rPr>
      </w:pPr>
      <w:r w:rsidRPr="00A472FC">
        <w:rPr>
          <w:rFonts w:ascii="Times New Roman" w:hAnsi="Times New Roman" w:cs="Times New Roman"/>
          <w:bCs/>
        </w:rPr>
        <w:t xml:space="preserve">As </w:t>
      </w:r>
      <w:proofErr w:type="spellStart"/>
      <w:r w:rsidRPr="00A472FC">
        <w:rPr>
          <w:rFonts w:ascii="Times New Roman" w:hAnsi="Times New Roman" w:cs="Times New Roman"/>
          <w:bCs/>
        </w:rPr>
        <w:t>Wicki</w:t>
      </w:r>
      <w:proofErr w:type="spellEnd"/>
      <w:r w:rsidRPr="00A472FC">
        <w:rPr>
          <w:rFonts w:ascii="Times New Roman" w:hAnsi="Times New Roman" w:cs="Times New Roman"/>
          <w:bCs/>
        </w:rPr>
        <w:t xml:space="preserve"> has observed, Philip has no designated treatise on human knowledge and only briefly covers this issue </w:t>
      </w:r>
      <w:r w:rsidRPr="00A472FC">
        <w:rPr>
          <w:rFonts w:ascii="Times New Roman" w:hAnsi="Times New Roman" w:cs="Times New Roman"/>
        </w:rPr>
        <w:t xml:space="preserve">in the larger context of inquiring about </w:t>
      </w:r>
      <w:r w:rsidR="009706EF" w:rsidRPr="00A472FC">
        <w:rPr>
          <w:rFonts w:ascii="Times New Roman" w:hAnsi="Times New Roman" w:cs="Times New Roman"/>
        </w:rPr>
        <w:t xml:space="preserve">the </w:t>
      </w:r>
      <w:r w:rsidRPr="00A472FC">
        <w:rPr>
          <w:rFonts w:ascii="Times New Roman" w:hAnsi="Times New Roman" w:cs="Times New Roman"/>
        </w:rPr>
        <w:t xml:space="preserve">immortality </w:t>
      </w:r>
      <w:r w:rsidR="009706EF" w:rsidRPr="00A472FC">
        <w:rPr>
          <w:rFonts w:ascii="Times New Roman" w:hAnsi="Times New Roman" w:cs="Times New Roman"/>
        </w:rPr>
        <w:t>of the soul</w:t>
      </w:r>
      <w:r w:rsidR="00F2601E" w:rsidRPr="00A472FC">
        <w:rPr>
          <w:rFonts w:ascii="Times New Roman" w:hAnsi="Times New Roman" w:cs="Times New Roman"/>
        </w:rPr>
        <w:t>,</w:t>
      </w:r>
      <w:r w:rsidR="009706EF" w:rsidRPr="00A472FC">
        <w:rPr>
          <w:rFonts w:ascii="Times New Roman" w:hAnsi="Times New Roman" w:cs="Times New Roman"/>
        </w:rPr>
        <w:t xml:space="preserve"> with a view to explaining</w:t>
      </w:r>
      <w:r w:rsidRPr="00A472FC">
        <w:rPr>
          <w:rFonts w:ascii="Times New Roman" w:hAnsi="Times New Roman" w:cs="Times New Roman"/>
        </w:rPr>
        <w:t xml:space="preserve"> how the immaterial object of the intellect </w:t>
      </w:r>
      <w:r w:rsidR="0008517A" w:rsidRPr="00A472FC">
        <w:rPr>
          <w:rFonts w:ascii="Times New Roman" w:hAnsi="Times New Roman" w:cs="Times New Roman"/>
        </w:rPr>
        <w:t>renders it</w:t>
      </w:r>
      <w:r w:rsidRPr="00A472FC">
        <w:rPr>
          <w:rFonts w:ascii="Times New Roman" w:hAnsi="Times New Roman" w:cs="Times New Roman"/>
        </w:rPr>
        <w:t xml:space="preserve"> eternal.</w:t>
      </w:r>
      <w:r w:rsidRPr="00A472FC">
        <w:rPr>
          <w:rStyle w:val="FootnoteReference"/>
          <w:rFonts w:ascii="Times New Roman" w:hAnsi="Times New Roman" w:cs="Times New Roman"/>
        </w:rPr>
        <w:footnoteReference w:id="275"/>
      </w:r>
      <w:r w:rsidRPr="00A472FC">
        <w:rPr>
          <w:rFonts w:ascii="Times New Roman" w:hAnsi="Times New Roman" w:cs="Times New Roman"/>
        </w:rPr>
        <w:t xml:space="preserve"> For this reason, it</w:t>
      </w:r>
      <w:r w:rsidRPr="00A472FC">
        <w:rPr>
          <w:rFonts w:ascii="Times New Roman" w:hAnsi="Times New Roman" w:cs="Times New Roman"/>
          <w:bCs/>
        </w:rPr>
        <w:t xml:space="preserve"> is not even clear that Philip had devoted considerable reflection to what the doctrine entailed.</w:t>
      </w:r>
      <w:r w:rsidRPr="00A472FC">
        <w:rPr>
          <w:rStyle w:val="FootnoteReference"/>
          <w:rFonts w:ascii="Times New Roman" w:hAnsi="Times New Roman" w:cs="Times New Roman"/>
          <w:bCs/>
        </w:rPr>
        <w:footnoteReference w:id="276"/>
      </w:r>
      <w:r w:rsidRPr="00A472FC">
        <w:rPr>
          <w:rFonts w:ascii="Times New Roman" w:hAnsi="Times New Roman" w:cs="Times New Roman"/>
          <w:bCs/>
        </w:rPr>
        <w:t xml:space="preserve"> </w:t>
      </w:r>
      <w:r w:rsidR="007A4BAF">
        <w:rPr>
          <w:rFonts w:ascii="Times New Roman" w:hAnsi="Times New Roman" w:cs="Times New Roman"/>
          <w:bCs/>
        </w:rPr>
        <w:t>Even more</w:t>
      </w:r>
      <w:r w:rsidR="002C4402" w:rsidRPr="00A472FC">
        <w:rPr>
          <w:rFonts w:ascii="Times New Roman" w:hAnsi="Times New Roman" w:cs="Times New Roman"/>
          <w:bCs/>
        </w:rPr>
        <w:t xml:space="preserve"> than</w:t>
      </w:r>
      <w:r w:rsidRPr="00A472FC">
        <w:rPr>
          <w:rFonts w:ascii="Times New Roman" w:hAnsi="Times New Roman" w:cs="Times New Roman"/>
          <w:bCs/>
        </w:rPr>
        <w:t xml:space="preserve"> Roland, who </w:t>
      </w:r>
      <w:r w:rsidR="00CA00C0" w:rsidRPr="00A472FC">
        <w:rPr>
          <w:rFonts w:ascii="Times New Roman" w:hAnsi="Times New Roman" w:cs="Times New Roman"/>
          <w:bCs/>
        </w:rPr>
        <w:t>includes a brief discussion of the</w:t>
      </w:r>
      <w:r w:rsidRPr="00A472FC">
        <w:rPr>
          <w:rFonts w:ascii="Times New Roman" w:hAnsi="Times New Roman" w:cs="Times New Roman"/>
          <w:bCs/>
        </w:rPr>
        <w:t xml:space="preserve"> external and internal senses and agent intellect, Philip can hardly be said to have undertaken anything like a study or even a short explanation of the ideas to which he refers.</w:t>
      </w:r>
      <w:r w:rsidR="002C4402" w:rsidRPr="00A472FC">
        <w:rPr>
          <w:rStyle w:val="FootnoteReference"/>
          <w:rFonts w:ascii="Times New Roman" w:hAnsi="Times New Roman" w:cs="Times New Roman"/>
          <w:bCs/>
        </w:rPr>
        <w:footnoteReference w:id="277"/>
      </w:r>
    </w:p>
    <w:p w14:paraId="09903795" w14:textId="77777777" w:rsidR="00677B93" w:rsidRDefault="007C038D" w:rsidP="00677B93">
      <w:pPr>
        <w:autoSpaceDE w:val="0"/>
        <w:autoSpaceDN w:val="0"/>
        <w:adjustRightInd w:val="0"/>
        <w:ind w:right="-52"/>
        <w:rPr>
          <w:rFonts w:ascii="Times New Roman" w:hAnsi="Times New Roman" w:cs="Times New Roman"/>
          <w:lang w:val="en-US"/>
        </w:rPr>
      </w:pPr>
      <w:r w:rsidRPr="00A472FC">
        <w:rPr>
          <w:rFonts w:ascii="Times New Roman" w:hAnsi="Times New Roman" w:cs="Times New Roman"/>
        </w:rPr>
        <w:tab/>
        <w:t xml:space="preserve">While John is also influenced by Anonymous Callus, which </w:t>
      </w:r>
      <w:r w:rsidR="004E71A0" w:rsidRPr="00A472FC">
        <w:rPr>
          <w:rFonts w:ascii="Times New Roman" w:hAnsi="Times New Roman" w:cs="Times New Roman"/>
        </w:rPr>
        <w:t>provided</w:t>
      </w:r>
      <w:r w:rsidRPr="00A472FC">
        <w:rPr>
          <w:rFonts w:ascii="Times New Roman" w:hAnsi="Times New Roman" w:cs="Times New Roman"/>
        </w:rPr>
        <w:t xml:space="preserve"> the most faithful account of </w:t>
      </w:r>
      <w:proofErr w:type="spellStart"/>
      <w:r w:rsidRPr="00A472FC">
        <w:rPr>
          <w:rFonts w:ascii="Times New Roman" w:hAnsi="Times New Roman" w:cs="Times New Roman"/>
        </w:rPr>
        <w:t>Avicennian</w:t>
      </w:r>
      <w:proofErr w:type="spellEnd"/>
      <w:r w:rsidRPr="00A472FC">
        <w:rPr>
          <w:rFonts w:ascii="Times New Roman" w:hAnsi="Times New Roman" w:cs="Times New Roman"/>
        </w:rPr>
        <w:t xml:space="preserve"> psychology to date, he turns to Avicenna himself and gives a fresh and full reading of the philosopher’s work in this area. As Hasse has shown, one third of the quotes in his </w:t>
      </w:r>
      <w:r w:rsidRPr="00A472FC">
        <w:rPr>
          <w:rFonts w:ascii="Times New Roman" w:hAnsi="Times New Roman" w:cs="Times New Roman"/>
          <w:i/>
        </w:rPr>
        <w:t>Summa de anima</w:t>
      </w:r>
      <w:r w:rsidR="00165A0C" w:rsidRPr="00A472FC">
        <w:rPr>
          <w:rFonts w:ascii="Times New Roman" w:hAnsi="Times New Roman" w:cs="Times New Roman"/>
          <w:i/>
        </w:rPr>
        <w:t xml:space="preserve">’s </w:t>
      </w:r>
      <w:r w:rsidR="00165A0C" w:rsidRPr="00A472FC">
        <w:rPr>
          <w:rFonts w:ascii="Times New Roman" w:hAnsi="Times New Roman" w:cs="Times New Roman"/>
        </w:rPr>
        <w:t>treatment of Avicenna</w:t>
      </w:r>
      <w:r w:rsidRPr="00A472FC">
        <w:rPr>
          <w:rFonts w:ascii="Times New Roman" w:hAnsi="Times New Roman" w:cs="Times New Roman"/>
          <w:i/>
        </w:rPr>
        <w:t xml:space="preserve"> </w:t>
      </w:r>
      <w:r w:rsidRPr="00A472FC">
        <w:rPr>
          <w:rFonts w:ascii="Times New Roman" w:hAnsi="Times New Roman" w:cs="Times New Roman"/>
        </w:rPr>
        <w:t>come from Avicenna</w:t>
      </w:r>
      <w:r w:rsidR="00165A0C" w:rsidRPr="00A472FC">
        <w:rPr>
          <w:rFonts w:ascii="Times New Roman" w:hAnsi="Times New Roman" w:cs="Times New Roman"/>
        </w:rPr>
        <w:t xml:space="preserve"> himself</w:t>
      </w:r>
      <w:r w:rsidRPr="00A472FC">
        <w:rPr>
          <w:rFonts w:ascii="Times New Roman" w:hAnsi="Times New Roman" w:cs="Times New Roman"/>
        </w:rPr>
        <w:t>, although this is obscured in the edition which does not demarcate them clearly. On this basis, Hasse concludes, ‘</w:t>
      </w:r>
      <w:r w:rsidRPr="00A472FC">
        <w:rPr>
          <w:rFonts w:ascii="Times New Roman" w:hAnsi="Times New Roman" w:cs="Times New Roman"/>
          <w:lang w:val="en-US"/>
        </w:rPr>
        <w:t>that with Jean de la Rochelle the appropriation of Avicenna's [psychological] doctrine is fully achieved.’</w:t>
      </w:r>
      <w:r w:rsidRPr="00A472FC">
        <w:rPr>
          <w:rStyle w:val="FootnoteReference"/>
          <w:rFonts w:ascii="Times New Roman" w:hAnsi="Times New Roman" w:cs="Times New Roman"/>
          <w:lang w:val="en-US"/>
        </w:rPr>
        <w:footnoteReference w:id="278"/>
      </w:r>
      <w:r w:rsidRPr="00A472FC">
        <w:rPr>
          <w:rFonts w:ascii="Times New Roman" w:hAnsi="Times New Roman" w:cs="Times New Roman"/>
          <w:lang w:val="en-US"/>
        </w:rPr>
        <w:t xml:space="preserve"> In addition to Avicenna, John treats the psychological schemes found in both DSEA and </w:t>
      </w:r>
      <w:r w:rsidR="00F2601E" w:rsidRPr="00A472FC">
        <w:rPr>
          <w:rFonts w:ascii="Times New Roman" w:hAnsi="Times New Roman" w:cs="Times New Roman"/>
          <w:lang w:val="en-US"/>
        </w:rPr>
        <w:t xml:space="preserve">John of </w:t>
      </w:r>
      <w:r w:rsidRPr="00A472FC">
        <w:rPr>
          <w:rFonts w:ascii="Times New Roman" w:hAnsi="Times New Roman" w:cs="Times New Roman"/>
          <w:lang w:val="en-US"/>
        </w:rPr>
        <w:t>Damascus</w:t>
      </w:r>
      <w:r w:rsidR="00F2601E" w:rsidRPr="00A472FC">
        <w:rPr>
          <w:rFonts w:ascii="Times New Roman" w:hAnsi="Times New Roman" w:cs="Times New Roman"/>
          <w:lang w:val="en-US"/>
        </w:rPr>
        <w:t xml:space="preserve">’ </w:t>
      </w:r>
      <w:r w:rsidR="00F2601E" w:rsidRPr="00A472FC">
        <w:rPr>
          <w:rFonts w:ascii="Times New Roman" w:hAnsi="Times New Roman" w:cs="Times New Roman"/>
          <w:i/>
          <w:lang w:val="en-US"/>
        </w:rPr>
        <w:t xml:space="preserve">De fide </w:t>
      </w:r>
      <w:proofErr w:type="spellStart"/>
      <w:r w:rsidR="00F2601E" w:rsidRPr="00A472FC">
        <w:rPr>
          <w:rFonts w:ascii="Times New Roman" w:hAnsi="Times New Roman" w:cs="Times New Roman"/>
          <w:i/>
          <w:lang w:val="en-US"/>
        </w:rPr>
        <w:t>orthodoxa</w:t>
      </w:r>
      <w:proofErr w:type="spellEnd"/>
      <w:r w:rsidR="00F2601E" w:rsidRPr="00A472FC">
        <w:rPr>
          <w:rFonts w:ascii="Times New Roman" w:hAnsi="Times New Roman" w:cs="Times New Roman"/>
          <w:i/>
          <w:lang w:val="en-US"/>
        </w:rPr>
        <w:t xml:space="preserve"> </w:t>
      </w:r>
      <w:r w:rsidR="00F2601E" w:rsidRPr="00A472FC">
        <w:rPr>
          <w:rFonts w:ascii="Times New Roman" w:hAnsi="Times New Roman" w:cs="Times New Roman"/>
          <w:lang w:val="en-US"/>
        </w:rPr>
        <w:t>(DFO)</w:t>
      </w:r>
      <w:r w:rsidRPr="00A472FC">
        <w:rPr>
          <w:rFonts w:ascii="Times New Roman" w:hAnsi="Times New Roman" w:cs="Times New Roman"/>
          <w:lang w:val="en-US"/>
        </w:rPr>
        <w:t xml:space="preserve">. </w:t>
      </w:r>
      <w:r w:rsidR="00A92ABE" w:rsidRPr="00A472FC">
        <w:rPr>
          <w:rFonts w:ascii="Times New Roman" w:hAnsi="Times New Roman" w:cs="Times New Roman"/>
          <w:lang w:val="en-US"/>
        </w:rPr>
        <w:t>The</w:t>
      </w:r>
      <w:r w:rsidRPr="00A472FC">
        <w:rPr>
          <w:rFonts w:ascii="Times New Roman" w:hAnsi="Times New Roman" w:cs="Times New Roman"/>
          <w:lang w:val="en-US"/>
        </w:rPr>
        <w:t xml:space="preserve"> reason for this selection of authorities </w:t>
      </w:r>
      <w:r w:rsidR="00A92ABE" w:rsidRPr="00A472FC">
        <w:rPr>
          <w:rFonts w:ascii="Times New Roman" w:hAnsi="Times New Roman" w:cs="Times New Roman"/>
          <w:lang w:val="en-US"/>
        </w:rPr>
        <w:t>concerns the</w:t>
      </w:r>
      <w:r w:rsidRPr="00A472FC">
        <w:rPr>
          <w:rFonts w:ascii="Times New Roman" w:hAnsi="Times New Roman" w:cs="Times New Roman"/>
          <w:lang w:val="en-US"/>
        </w:rPr>
        <w:t xml:space="preserve"> </w:t>
      </w:r>
      <w:r w:rsidR="00D820D2" w:rsidRPr="00A472FC">
        <w:rPr>
          <w:rFonts w:ascii="Times New Roman" w:hAnsi="Times New Roman" w:cs="Times New Roman"/>
          <w:lang w:val="en-US"/>
        </w:rPr>
        <w:t>apparent</w:t>
      </w:r>
      <w:r w:rsidR="002F512A">
        <w:rPr>
          <w:rFonts w:ascii="Times New Roman" w:hAnsi="Times New Roman" w:cs="Times New Roman"/>
          <w:lang w:val="en-US"/>
        </w:rPr>
        <w:t xml:space="preserve"> </w:t>
      </w:r>
      <w:r w:rsidRPr="00A472FC">
        <w:rPr>
          <w:rFonts w:ascii="Times New Roman" w:hAnsi="Times New Roman" w:cs="Times New Roman"/>
          <w:lang w:val="en-US"/>
        </w:rPr>
        <w:t xml:space="preserve">points of contact between </w:t>
      </w:r>
      <w:r w:rsidR="00A92ABE" w:rsidRPr="00A472FC">
        <w:rPr>
          <w:rFonts w:ascii="Times New Roman" w:hAnsi="Times New Roman" w:cs="Times New Roman"/>
          <w:lang w:val="en-US"/>
        </w:rPr>
        <w:t>their accounts of</w:t>
      </w:r>
      <w:r w:rsidRPr="00A472FC">
        <w:rPr>
          <w:rFonts w:ascii="Times New Roman" w:hAnsi="Times New Roman" w:cs="Times New Roman"/>
          <w:lang w:val="en-US"/>
        </w:rPr>
        <w:t xml:space="preserve"> human cognition.</w:t>
      </w:r>
      <w:r w:rsidR="00253E02">
        <w:rPr>
          <w:rFonts w:ascii="Times New Roman" w:hAnsi="Times New Roman" w:cs="Times New Roman"/>
          <w:lang w:val="en-US"/>
        </w:rPr>
        <w:t xml:space="preserve"> </w:t>
      </w:r>
    </w:p>
    <w:p w14:paraId="4335143E" w14:textId="2B44A6D3" w:rsidR="007C7AD1" w:rsidRDefault="005F2580" w:rsidP="00677B93">
      <w:pPr>
        <w:autoSpaceDE w:val="0"/>
        <w:autoSpaceDN w:val="0"/>
        <w:adjustRightInd w:val="0"/>
        <w:ind w:right="-52" w:firstLine="720"/>
        <w:rPr>
          <w:rFonts w:ascii="Times New Roman" w:hAnsi="Times New Roman" w:cs="Times New Roman"/>
          <w:lang w:val="en-US"/>
        </w:rPr>
      </w:pPr>
      <w:r>
        <w:rPr>
          <w:rFonts w:ascii="Times New Roman" w:hAnsi="Times New Roman" w:cs="Times New Roman"/>
          <w:lang w:val="en-US"/>
        </w:rPr>
        <w:t xml:space="preserve">These points of contact, </w:t>
      </w:r>
      <w:r w:rsidR="00F83745">
        <w:rPr>
          <w:rFonts w:ascii="Times New Roman" w:hAnsi="Times New Roman" w:cs="Times New Roman"/>
          <w:lang w:val="en-US"/>
        </w:rPr>
        <w:t>it</w:t>
      </w:r>
      <w:r>
        <w:rPr>
          <w:rFonts w:ascii="Times New Roman" w:hAnsi="Times New Roman" w:cs="Times New Roman"/>
          <w:lang w:val="en-US"/>
        </w:rPr>
        <w:t xml:space="preserve"> must be </w:t>
      </w:r>
      <w:r w:rsidR="00F3379F">
        <w:rPr>
          <w:rFonts w:ascii="Times New Roman" w:hAnsi="Times New Roman" w:cs="Times New Roman"/>
          <w:lang w:val="en-US"/>
        </w:rPr>
        <w:t>stressed</w:t>
      </w:r>
      <w:r>
        <w:rPr>
          <w:rFonts w:ascii="Times New Roman" w:hAnsi="Times New Roman" w:cs="Times New Roman"/>
          <w:lang w:val="en-US"/>
        </w:rPr>
        <w:t xml:space="preserve">, </w:t>
      </w:r>
      <w:r w:rsidR="005871DD">
        <w:rPr>
          <w:rFonts w:ascii="Times New Roman" w:hAnsi="Times New Roman" w:cs="Times New Roman"/>
          <w:lang w:val="en-US"/>
        </w:rPr>
        <w:t xml:space="preserve">were </w:t>
      </w:r>
      <w:r>
        <w:rPr>
          <w:rFonts w:ascii="Times New Roman" w:hAnsi="Times New Roman" w:cs="Times New Roman"/>
          <w:lang w:val="en-US"/>
        </w:rPr>
        <w:t>very broad and general indeed.</w:t>
      </w:r>
      <w:r w:rsidR="005871DD">
        <w:rPr>
          <w:rFonts w:ascii="Times New Roman" w:hAnsi="Times New Roman" w:cs="Times New Roman"/>
          <w:lang w:val="en-US"/>
        </w:rPr>
        <w:t xml:space="preserve"> For</w:t>
      </w:r>
      <w:r>
        <w:rPr>
          <w:rFonts w:ascii="Times New Roman" w:hAnsi="Times New Roman" w:cs="Times New Roman"/>
          <w:lang w:val="en-US"/>
        </w:rPr>
        <w:t xml:space="preserve"> instance, all three </w:t>
      </w:r>
      <w:r w:rsidR="00F3379F">
        <w:rPr>
          <w:rFonts w:ascii="Times New Roman" w:hAnsi="Times New Roman" w:cs="Times New Roman"/>
          <w:lang w:val="en-US"/>
        </w:rPr>
        <w:t xml:space="preserve">of John’s preferred </w:t>
      </w:r>
      <w:r>
        <w:rPr>
          <w:rFonts w:ascii="Times New Roman" w:hAnsi="Times New Roman" w:cs="Times New Roman"/>
          <w:lang w:val="en-US"/>
        </w:rPr>
        <w:t xml:space="preserve">sources speak in some way of </w:t>
      </w:r>
      <w:r w:rsidR="003C7348">
        <w:rPr>
          <w:rFonts w:ascii="Times New Roman" w:hAnsi="Times New Roman" w:cs="Times New Roman"/>
          <w:lang w:val="en-US"/>
        </w:rPr>
        <w:t xml:space="preserve">the </w:t>
      </w:r>
      <w:r>
        <w:rPr>
          <w:rFonts w:ascii="Times New Roman" w:hAnsi="Times New Roman" w:cs="Times New Roman"/>
          <w:lang w:val="en-US"/>
        </w:rPr>
        <w:t>different vegetative, sensitive, and rational powers</w:t>
      </w:r>
      <w:r w:rsidR="00AB5B7B">
        <w:rPr>
          <w:rFonts w:ascii="Times New Roman" w:hAnsi="Times New Roman" w:cs="Times New Roman"/>
          <w:lang w:val="en-US"/>
        </w:rPr>
        <w:t>, as well as other comparable psychological categories. That does not mean however that they defined the work of these faculties in the same way</w:t>
      </w:r>
      <w:r w:rsidR="00F83745">
        <w:rPr>
          <w:rFonts w:ascii="Times New Roman" w:hAnsi="Times New Roman" w:cs="Times New Roman"/>
          <w:lang w:val="en-US"/>
        </w:rPr>
        <w:t xml:space="preserve">. </w:t>
      </w:r>
      <w:r w:rsidR="007C038D" w:rsidRPr="00A472FC">
        <w:rPr>
          <w:rFonts w:ascii="Times New Roman" w:hAnsi="Times New Roman" w:cs="Times New Roman"/>
          <w:lang w:val="en-US"/>
        </w:rPr>
        <w:t>To highlight th</w:t>
      </w:r>
      <w:r w:rsidR="00917626" w:rsidRPr="00A472FC">
        <w:rPr>
          <w:rFonts w:ascii="Times New Roman" w:hAnsi="Times New Roman" w:cs="Times New Roman"/>
          <w:lang w:val="en-US"/>
        </w:rPr>
        <w:t>e</w:t>
      </w:r>
      <w:r w:rsidR="007C038D" w:rsidRPr="00A472FC">
        <w:rPr>
          <w:rFonts w:ascii="Times New Roman" w:hAnsi="Times New Roman" w:cs="Times New Roman"/>
          <w:lang w:val="en-US"/>
        </w:rPr>
        <w:t xml:space="preserve"> compatibility </w:t>
      </w:r>
      <w:r w:rsidR="00917626" w:rsidRPr="00A472FC">
        <w:rPr>
          <w:rFonts w:ascii="Times New Roman" w:hAnsi="Times New Roman" w:cs="Times New Roman"/>
          <w:lang w:val="en-US"/>
        </w:rPr>
        <w:t xml:space="preserve">between them </w:t>
      </w:r>
      <w:r w:rsidR="00C31DF6">
        <w:rPr>
          <w:rFonts w:ascii="Times New Roman" w:hAnsi="Times New Roman" w:cs="Times New Roman"/>
          <w:lang w:val="en-US"/>
        </w:rPr>
        <w:t>nonetheless</w:t>
      </w:r>
      <w:r w:rsidR="00073A6D">
        <w:rPr>
          <w:rFonts w:ascii="Times New Roman" w:hAnsi="Times New Roman" w:cs="Times New Roman"/>
          <w:lang w:val="en-US"/>
        </w:rPr>
        <w:t xml:space="preserve"> was </w:t>
      </w:r>
      <w:r w:rsidR="00790C1A">
        <w:rPr>
          <w:rFonts w:ascii="Times New Roman" w:hAnsi="Times New Roman" w:cs="Times New Roman"/>
          <w:lang w:val="en-US"/>
        </w:rPr>
        <w:t xml:space="preserve">strategically </w:t>
      </w:r>
      <w:r w:rsidR="00073A6D">
        <w:rPr>
          <w:rFonts w:ascii="Times New Roman" w:hAnsi="Times New Roman" w:cs="Times New Roman"/>
          <w:lang w:val="en-US"/>
        </w:rPr>
        <w:t xml:space="preserve">important for John, </w:t>
      </w:r>
      <w:r w:rsidR="007C038D" w:rsidRPr="00A472FC">
        <w:rPr>
          <w:rFonts w:ascii="Times New Roman" w:hAnsi="Times New Roman" w:cs="Times New Roman"/>
          <w:lang w:val="en-US"/>
        </w:rPr>
        <w:t>because it was a way of inscribing Avicenna’s psychology into or reconciling it with the most significant authorities in theology</w:t>
      </w:r>
      <w:r w:rsidR="00014481" w:rsidRPr="00A472FC">
        <w:rPr>
          <w:rFonts w:ascii="Times New Roman" w:hAnsi="Times New Roman" w:cs="Times New Roman"/>
          <w:lang w:val="en-US"/>
        </w:rPr>
        <w:t xml:space="preserve"> at the time,</w:t>
      </w:r>
      <w:r w:rsidR="007C038D" w:rsidRPr="00A472FC">
        <w:rPr>
          <w:rFonts w:ascii="Times New Roman" w:hAnsi="Times New Roman" w:cs="Times New Roman"/>
          <w:lang w:val="en-US"/>
        </w:rPr>
        <w:t xml:space="preserve"> namely, Augustine and Damascus</w:t>
      </w:r>
      <w:r w:rsidR="00066B30">
        <w:rPr>
          <w:rFonts w:ascii="Times New Roman" w:hAnsi="Times New Roman" w:cs="Times New Roman"/>
          <w:lang w:val="en-US"/>
        </w:rPr>
        <w:t>. In short,</w:t>
      </w:r>
      <w:r w:rsidR="00073A6D">
        <w:rPr>
          <w:rFonts w:ascii="Times New Roman" w:hAnsi="Times New Roman" w:cs="Times New Roman"/>
          <w:lang w:val="en-US"/>
        </w:rPr>
        <w:t xml:space="preserve"> it was a way of justifying the use of new sources in terms of the o</w:t>
      </w:r>
      <w:r w:rsidR="003C7348">
        <w:rPr>
          <w:rFonts w:ascii="Times New Roman" w:hAnsi="Times New Roman" w:cs="Times New Roman"/>
          <w:lang w:val="en-US"/>
        </w:rPr>
        <w:t>ld ones</w:t>
      </w:r>
      <w:r w:rsidR="007C038D" w:rsidRPr="00A472FC">
        <w:rPr>
          <w:rFonts w:ascii="Times New Roman" w:hAnsi="Times New Roman" w:cs="Times New Roman"/>
          <w:lang w:val="en-US"/>
        </w:rPr>
        <w:t xml:space="preserve">. </w:t>
      </w:r>
    </w:p>
    <w:p w14:paraId="11602892" w14:textId="2597E6E0" w:rsidR="007C038D" w:rsidRPr="007C7AD1" w:rsidRDefault="002917D2" w:rsidP="007C7AD1">
      <w:pPr>
        <w:autoSpaceDE w:val="0"/>
        <w:autoSpaceDN w:val="0"/>
        <w:adjustRightInd w:val="0"/>
        <w:ind w:right="-52" w:firstLine="720"/>
        <w:rPr>
          <w:rFonts w:ascii="Times New Roman" w:hAnsi="Times New Roman" w:cs="Times New Roman"/>
          <w:lang w:val="en-US"/>
        </w:rPr>
      </w:pPr>
      <w:r>
        <w:rPr>
          <w:rFonts w:ascii="Times New Roman" w:hAnsi="Times New Roman" w:cs="Times New Roman"/>
        </w:rPr>
        <w:t>This</w:t>
      </w:r>
      <w:r w:rsidR="00790C1A">
        <w:rPr>
          <w:rFonts w:ascii="Times New Roman" w:hAnsi="Times New Roman" w:cs="Times New Roman"/>
        </w:rPr>
        <w:t xml:space="preserve"> full-scale appropriation of Avicenna</w:t>
      </w:r>
      <w:r w:rsidR="007C038D" w:rsidRPr="00A472FC">
        <w:rPr>
          <w:rFonts w:ascii="Times New Roman" w:hAnsi="Times New Roman" w:cs="Times New Roman"/>
        </w:rPr>
        <w:t>,</w:t>
      </w:r>
      <w:r w:rsidR="005871DD">
        <w:rPr>
          <w:rFonts w:ascii="Times New Roman" w:hAnsi="Times New Roman" w:cs="Times New Roman"/>
        </w:rPr>
        <w:t xml:space="preserve"> </w:t>
      </w:r>
      <w:r w:rsidR="007C038D" w:rsidRPr="00A472FC">
        <w:rPr>
          <w:rFonts w:ascii="Times New Roman" w:hAnsi="Times New Roman" w:cs="Times New Roman"/>
        </w:rPr>
        <w:t>along with the incorporation of medical and physical powers, and a comprehensive</w:t>
      </w:r>
      <w:r w:rsidR="00F270AC">
        <w:rPr>
          <w:rFonts w:ascii="Times New Roman" w:hAnsi="Times New Roman" w:cs="Times New Roman"/>
        </w:rPr>
        <w:t xml:space="preserve"> </w:t>
      </w:r>
      <w:r w:rsidR="007C038D" w:rsidRPr="00A472FC">
        <w:rPr>
          <w:rFonts w:ascii="Times New Roman" w:hAnsi="Times New Roman" w:cs="Times New Roman"/>
        </w:rPr>
        <w:t xml:space="preserve">account of the other psychological questions that </w:t>
      </w:r>
      <w:r w:rsidR="007C038D" w:rsidRPr="00A472FC">
        <w:rPr>
          <w:rFonts w:ascii="Times New Roman" w:hAnsi="Times New Roman" w:cs="Times New Roman"/>
        </w:rPr>
        <w:lastRenderedPageBreak/>
        <w:t>sprang from the translation movement, can only be found</w:t>
      </w:r>
      <w:r w:rsidR="00F270AC">
        <w:rPr>
          <w:rFonts w:ascii="Times New Roman" w:hAnsi="Times New Roman" w:cs="Times New Roman"/>
        </w:rPr>
        <w:t xml:space="preserve"> concomitantly</w:t>
      </w:r>
      <w:r w:rsidR="007C038D" w:rsidRPr="00A472FC">
        <w:rPr>
          <w:rFonts w:ascii="Times New Roman" w:hAnsi="Times New Roman" w:cs="Times New Roman"/>
        </w:rPr>
        <w:t xml:space="preserve"> in the works of John of La Rochelle. As the </w:t>
      </w:r>
      <w:r w:rsidR="00F31BC8" w:rsidRPr="00A472FC">
        <w:rPr>
          <w:rFonts w:ascii="Times New Roman" w:hAnsi="Times New Roman" w:cs="Times New Roman"/>
        </w:rPr>
        <w:t xml:space="preserve">attached </w:t>
      </w:r>
      <w:r w:rsidR="007C038D" w:rsidRPr="00A472FC">
        <w:rPr>
          <w:rFonts w:ascii="Times New Roman" w:hAnsi="Times New Roman" w:cs="Times New Roman"/>
        </w:rPr>
        <w:t xml:space="preserve">tables demonstrate, John’s early </w:t>
      </w:r>
      <w:proofErr w:type="spellStart"/>
      <w:r w:rsidR="00040053" w:rsidRPr="00A472FC">
        <w:rPr>
          <w:rFonts w:ascii="Times New Roman" w:hAnsi="Times New Roman" w:cs="Times New Roman"/>
          <w:i/>
        </w:rPr>
        <w:t>Tractatus</w:t>
      </w:r>
      <w:proofErr w:type="spellEnd"/>
      <w:r w:rsidR="007C038D" w:rsidRPr="00A472FC">
        <w:rPr>
          <w:rFonts w:ascii="Times New Roman" w:hAnsi="Times New Roman" w:cs="Times New Roman"/>
          <w:iCs/>
        </w:rPr>
        <w:t xml:space="preserve">, </w:t>
      </w:r>
      <w:r w:rsidR="007C038D" w:rsidRPr="00A472FC">
        <w:rPr>
          <w:rFonts w:ascii="Times New Roman" w:hAnsi="Times New Roman" w:cs="Times New Roman"/>
        </w:rPr>
        <w:t xml:space="preserve">which will be discussed in chapter </w:t>
      </w:r>
      <w:r w:rsidR="00B72526" w:rsidRPr="00A472FC">
        <w:rPr>
          <w:rFonts w:ascii="Times New Roman" w:hAnsi="Times New Roman" w:cs="Times New Roman"/>
        </w:rPr>
        <w:t>five</w:t>
      </w:r>
      <w:r w:rsidR="007C038D" w:rsidRPr="00A472FC">
        <w:rPr>
          <w:rFonts w:ascii="Times New Roman" w:hAnsi="Times New Roman" w:cs="Times New Roman"/>
        </w:rPr>
        <w:t xml:space="preserve">, focused mainly on the physical/medical and cognitive powers. It did not delve into the complex of six questions mentioned above. However, his </w:t>
      </w:r>
      <w:r w:rsidR="007C038D" w:rsidRPr="00A472FC">
        <w:rPr>
          <w:rFonts w:ascii="Times New Roman" w:hAnsi="Times New Roman" w:cs="Times New Roman"/>
          <w:i/>
        </w:rPr>
        <w:t xml:space="preserve">Summa de anima </w:t>
      </w:r>
      <w:r w:rsidR="007C038D" w:rsidRPr="00A472FC">
        <w:rPr>
          <w:rFonts w:ascii="Times New Roman" w:hAnsi="Times New Roman" w:cs="Times New Roman"/>
        </w:rPr>
        <w:t xml:space="preserve">does just that, in addition to covering much of the same ground of the </w:t>
      </w:r>
      <w:proofErr w:type="spellStart"/>
      <w:r w:rsidR="00040053" w:rsidRPr="00A472FC">
        <w:rPr>
          <w:rFonts w:ascii="Times New Roman" w:hAnsi="Times New Roman" w:cs="Times New Roman"/>
          <w:i/>
        </w:rPr>
        <w:t>Tractatus</w:t>
      </w:r>
      <w:proofErr w:type="spellEnd"/>
      <w:r w:rsidR="007C038D" w:rsidRPr="00A472FC">
        <w:rPr>
          <w:rFonts w:ascii="Times New Roman" w:hAnsi="Times New Roman" w:cs="Times New Roman"/>
        </w:rPr>
        <w:t xml:space="preserve"> on the human faculties of cognition and volition. </w:t>
      </w:r>
    </w:p>
    <w:p w14:paraId="31012834" w14:textId="0E152E5C" w:rsidR="007C038D" w:rsidRPr="00A472FC" w:rsidRDefault="007C038D" w:rsidP="00881604">
      <w:pPr>
        <w:ind w:right="-52" w:firstLine="720"/>
        <w:rPr>
          <w:rFonts w:ascii="Times New Roman" w:hAnsi="Times New Roman" w:cs="Times New Roman"/>
        </w:rPr>
      </w:pPr>
      <w:r w:rsidRPr="00A472FC">
        <w:rPr>
          <w:rFonts w:ascii="Times New Roman" w:hAnsi="Times New Roman" w:cs="Times New Roman"/>
        </w:rPr>
        <w:t xml:space="preserve">The section on the rational soul or </w:t>
      </w:r>
      <w:r w:rsidRPr="00A472FC">
        <w:rPr>
          <w:rFonts w:ascii="Times New Roman" w:hAnsi="Times New Roman" w:cs="Times New Roman"/>
          <w:i/>
        </w:rPr>
        <w:t xml:space="preserve">De anima </w:t>
      </w:r>
      <w:proofErr w:type="spellStart"/>
      <w:r w:rsidRPr="00A472FC">
        <w:rPr>
          <w:rFonts w:ascii="Times New Roman" w:hAnsi="Times New Roman" w:cs="Times New Roman"/>
          <w:i/>
        </w:rPr>
        <w:t>rationali</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in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was probably not redacted by John himself, as it does represent some variations on his original in terms of </w:t>
      </w:r>
      <w:r w:rsidR="002B37CF">
        <w:rPr>
          <w:rFonts w:ascii="Times New Roman" w:hAnsi="Times New Roman" w:cs="Times New Roman"/>
        </w:rPr>
        <w:t>its</w:t>
      </w:r>
      <w:r w:rsidRPr="00A472FC">
        <w:rPr>
          <w:rFonts w:ascii="Times New Roman" w:hAnsi="Times New Roman" w:cs="Times New Roman"/>
        </w:rPr>
        <w:t xml:space="preserve"> style of presentation. In particular, it replaces Avicenna as an explicitly mentioned authority with Aristotle, who is not mentioned in the </w:t>
      </w:r>
      <w:r w:rsidRPr="00A472FC">
        <w:rPr>
          <w:rFonts w:ascii="Times New Roman" w:hAnsi="Times New Roman" w:cs="Times New Roman"/>
          <w:i/>
        </w:rPr>
        <w:t>Summa de anima</w:t>
      </w:r>
      <w:r w:rsidRPr="00A472FC">
        <w:rPr>
          <w:rFonts w:ascii="Times New Roman" w:hAnsi="Times New Roman" w:cs="Times New Roman"/>
        </w:rPr>
        <w:t xml:space="preserve">’s treatment of psychological questions. As we will see, however, the creative reordering of material and authorities by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does not have a radical effect on the actual doctrines presented or endorsed, which are still in most cases aligned with John’s originals. It simply signals the transition from the phase of reading Avicenna solely to ‘reading Aristotle with Avicenna.’</w:t>
      </w:r>
      <w:r w:rsidR="00186E3B" w:rsidRPr="00A472FC">
        <w:rPr>
          <w:rStyle w:val="FootnoteReference"/>
          <w:rFonts w:ascii="Times New Roman" w:hAnsi="Times New Roman" w:cs="Times New Roman"/>
        </w:rPr>
        <w:footnoteReference w:id="279"/>
      </w:r>
    </w:p>
    <w:p w14:paraId="14703174" w14:textId="77777777" w:rsidR="007C038D" w:rsidRPr="00A472FC" w:rsidRDefault="007C038D" w:rsidP="00881604">
      <w:pPr>
        <w:ind w:right="-52"/>
        <w:rPr>
          <w:rFonts w:ascii="Times New Roman" w:hAnsi="Times New Roman" w:cs="Times New Roman"/>
        </w:rPr>
      </w:pPr>
    </w:p>
    <w:p w14:paraId="2F25EB76" w14:textId="77777777" w:rsidR="007C038D" w:rsidRPr="00A472FC" w:rsidRDefault="007C038D" w:rsidP="00881604">
      <w:pPr>
        <w:ind w:right="-52"/>
        <w:rPr>
          <w:rFonts w:ascii="Times New Roman" w:hAnsi="Times New Roman" w:cs="Times New Roman"/>
          <w:u w:val="single"/>
        </w:rPr>
      </w:pPr>
      <w:r w:rsidRPr="00A472FC">
        <w:rPr>
          <w:rFonts w:ascii="Times New Roman" w:hAnsi="Times New Roman" w:cs="Times New Roman"/>
          <w:u w:val="single"/>
        </w:rPr>
        <w:t>Conclusion</w:t>
      </w:r>
    </w:p>
    <w:p w14:paraId="5CC6C9CF" w14:textId="77777777" w:rsidR="007C038D" w:rsidRPr="00A472FC" w:rsidRDefault="007C038D" w:rsidP="00881604">
      <w:pPr>
        <w:ind w:right="-52" w:firstLine="720"/>
        <w:rPr>
          <w:rFonts w:ascii="Times New Roman" w:hAnsi="Times New Roman" w:cs="Times New Roman"/>
        </w:rPr>
      </w:pPr>
    </w:p>
    <w:p w14:paraId="5138F007" w14:textId="711117A1" w:rsidR="007C038D" w:rsidRPr="00A472FC" w:rsidRDefault="007C038D" w:rsidP="00881604">
      <w:pPr>
        <w:ind w:right="-52" w:firstLine="720"/>
        <w:rPr>
          <w:rFonts w:ascii="Times New Roman" w:hAnsi="Times New Roman" w:cs="Times New Roman"/>
        </w:rPr>
      </w:pPr>
      <w:r w:rsidRPr="00A472FC">
        <w:rPr>
          <w:rFonts w:ascii="Times New Roman" w:hAnsi="Times New Roman" w:cs="Times New Roman"/>
        </w:rPr>
        <w:t xml:space="preserve">The details of the accounts given in these three texts—the </w:t>
      </w:r>
      <w:proofErr w:type="spellStart"/>
      <w:r w:rsidR="00040053" w:rsidRPr="00A472FC">
        <w:rPr>
          <w:rFonts w:ascii="Times New Roman" w:hAnsi="Times New Roman" w:cs="Times New Roman"/>
          <w:i/>
        </w:rPr>
        <w:t>Tractatus</w:t>
      </w:r>
      <w:proofErr w:type="spellEnd"/>
      <w:r w:rsidRPr="00A472FC">
        <w:rPr>
          <w:rFonts w:ascii="Times New Roman" w:hAnsi="Times New Roman" w:cs="Times New Roman"/>
          <w:i/>
        </w:rPr>
        <w:t xml:space="preserve">, Summa de anima, </w:t>
      </w:r>
      <w:r w:rsidRPr="00A472FC">
        <w:rPr>
          <w:rFonts w:ascii="Times New Roman" w:hAnsi="Times New Roman" w:cs="Times New Roman"/>
        </w:rPr>
        <w:t xml:space="preserve">and </w:t>
      </w:r>
      <w:r w:rsidRPr="00A472FC">
        <w:rPr>
          <w:rFonts w:ascii="Times New Roman" w:hAnsi="Times New Roman" w:cs="Times New Roman"/>
          <w:i/>
        </w:rPr>
        <w:t xml:space="preserve">De anima </w:t>
      </w:r>
      <w:proofErr w:type="spellStart"/>
      <w:r w:rsidRPr="00A472FC">
        <w:rPr>
          <w:rFonts w:ascii="Times New Roman" w:hAnsi="Times New Roman" w:cs="Times New Roman"/>
          <w:i/>
        </w:rPr>
        <w:t>rationali</w:t>
      </w:r>
      <w:proofErr w:type="spellEnd"/>
      <w:r w:rsidRPr="00A472FC">
        <w:rPr>
          <w:rFonts w:ascii="Times New Roman" w:hAnsi="Times New Roman" w:cs="Times New Roman"/>
        </w:rPr>
        <w:t xml:space="preserve">—will be covered in chapters five through eight, after an initial account in chapters three and four of the way John and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deal with the six questions above in the context of the work of their contemporaries. The background provided </w:t>
      </w:r>
      <w:r w:rsidR="00744886" w:rsidRPr="00A472FC">
        <w:rPr>
          <w:rFonts w:ascii="Times New Roman" w:hAnsi="Times New Roman" w:cs="Times New Roman"/>
        </w:rPr>
        <w:t xml:space="preserve">here </w:t>
      </w:r>
      <w:r w:rsidRPr="00A472FC">
        <w:rPr>
          <w:rFonts w:ascii="Times New Roman" w:hAnsi="Times New Roman" w:cs="Times New Roman"/>
        </w:rPr>
        <w:t xml:space="preserve">should however </w:t>
      </w:r>
      <w:r w:rsidR="00885BE7" w:rsidRPr="00A472FC">
        <w:rPr>
          <w:rFonts w:ascii="Times New Roman" w:hAnsi="Times New Roman" w:cs="Times New Roman"/>
        </w:rPr>
        <w:t>lend</w:t>
      </w:r>
      <w:r w:rsidR="00351E5A" w:rsidRPr="00A472FC">
        <w:rPr>
          <w:rFonts w:ascii="Times New Roman" w:hAnsi="Times New Roman" w:cs="Times New Roman"/>
        </w:rPr>
        <w:t xml:space="preserve"> initial</w:t>
      </w:r>
      <w:r w:rsidRPr="00A472FC">
        <w:rPr>
          <w:rFonts w:ascii="Times New Roman" w:hAnsi="Times New Roman" w:cs="Times New Roman"/>
        </w:rPr>
        <w:t xml:space="preserve"> support</w:t>
      </w:r>
      <w:r w:rsidR="00885BE7" w:rsidRPr="00A472FC">
        <w:rPr>
          <w:rFonts w:ascii="Times New Roman" w:hAnsi="Times New Roman" w:cs="Times New Roman"/>
        </w:rPr>
        <w:t xml:space="preserve"> to</w:t>
      </w:r>
      <w:r w:rsidRPr="00A472FC">
        <w:rPr>
          <w:rFonts w:ascii="Times New Roman" w:hAnsi="Times New Roman" w:cs="Times New Roman"/>
        </w:rPr>
        <w:t xml:space="preserve"> the conclusion towards which Callus, </w:t>
      </w:r>
      <w:proofErr w:type="spellStart"/>
      <w:r w:rsidRPr="00A472FC">
        <w:rPr>
          <w:rFonts w:ascii="Times New Roman" w:hAnsi="Times New Roman" w:cs="Times New Roman"/>
        </w:rPr>
        <w:t>Michaud-Quantin</w:t>
      </w:r>
      <w:proofErr w:type="spellEnd"/>
      <w:r w:rsidRPr="00A472FC">
        <w:rPr>
          <w:rFonts w:ascii="Times New Roman" w:hAnsi="Times New Roman" w:cs="Times New Roman"/>
        </w:rPr>
        <w:t>, Brady, and Hasse all gesture, namely, that ‘John of La Rochelle was the first to give a systematic classification of the powers of the soul.’</w:t>
      </w:r>
      <w:r w:rsidRPr="00A472FC">
        <w:rPr>
          <w:rStyle w:val="FootnoteReference"/>
          <w:rFonts w:ascii="Times New Roman" w:hAnsi="Times New Roman" w:cs="Times New Roman"/>
        </w:rPr>
        <w:footnoteReference w:id="280"/>
      </w:r>
      <w:r w:rsidRPr="00A472FC">
        <w:rPr>
          <w:rFonts w:ascii="Times New Roman" w:hAnsi="Times New Roman" w:cs="Times New Roman"/>
        </w:rPr>
        <w:t xml:space="preserve"> As we will discover, he alone </w:t>
      </w:r>
      <w:r w:rsidR="0015697C" w:rsidRPr="00A472FC">
        <w:rPr>
          <w:rFonts w:ascii="Times New Roman" w:hAnsi="Times New Roman" w:cs="Times New Roman"/>
        </w:rPr>
        <w:t xml:space="preserve">in </w:t>
      </w:r>
      <w:r w:rsidRPr="00A472FC">
        <w:rPr>
          <w:rFonts w:ascii="Times New Roman" w:hAnsi="Times New Roman" w:cs="Times New Roman"/>
        </w:rPr>
        <w:t xml:space="preserve">his generation exhibits an unapologetic willingness to grapple in detail with every type of question arising from the newly translated material and to do so at the level of detail that was unprecedented even for an artist or philosopher at the time. </w:t>
      </w:r>
    </w:p>
    <w:p w14:paraId="6EB8857A" w14:textId="29A412CB" w:rsidR="005E7FD0" w:rsidRPr="00A472FC" w:rsidRDefault="007C038D" w:rsidP="00715998">
      <w:pPr>
        <w:ind w:right="-52" w:firstLine="720"/>
        <w:rPr>
          <w:rFonts w:ascii="Times New Roman" w:hAnsi="Times New Roman" w:cs="Times New Roman"/>
        </w:rPr>
        <w:sectPr w:rsidR="005E7FD0" w:rsidRPr="00A472FC" w:rsidSect="005E7FD0">
          <w:footerReference w:type="even" r:id="rId12"/>
          <w:footerReference w:type="default" r:id="rId13"/>
          <w:footnotePr>
            <w:numRestart w:val="eachSect"/>
          </w:footnotePr>
          <w:endnotePr>
            <w:numRestart w:val="eachSect"/>
          </w:endnotePr>
          <w:pgSz w:w="11900" w:h="16840"/>
          <w:pgMar w:top="1440" w:right="1440" w:bottom="1440" w:left="1440" w:header="720" w:footer="720" w:gutter="0"/>
          <w:cols w:space="720"/>
          <w:docGrid w:linePitch="360"/>
        </w:sectPr>
      </w:pPr>
      <w:r w:rsidRPr="00A472FC">
        <w:rPr>
          <w:rFonts w:ascii="Times New Roman" w:hAnsi="Times New Roman" w:cs="Times New Roman"/>
        </w:rPr>
        <w:t xml:space="preserve">In this light, it is hard to understand how </w:t>
      </w:r>
      <w:r w:rsidR="005B6BE6" w:rsidRPr="00A472FC">
        <w:rPr>
          <w:rFonts w:ascii="Times New Roman" w:hAnsi="Times New Roman" w:cs="Times New Roman"/>
        </w:rPr>
        <w:t>a scholar like</w:t>
      </w:r>
      <w:r w:rsidRPr="00A472FC">
        <w:rPr>
          <w:rFonts w:ascii="Times New Roman" w:hAnsi="Times New Roman" w:cs="Times New Roman"/>
        </w:rPr>
        <w:t xml:space="preserve"> Richard Dales came to the conclusion that, ‘</w:t>
      </w:r>
      <w:r w:rsidRPr="00A472FC">
        <w:rPr>
          <w:rFonts w:ascii="Times New Roman" w:hAnsi="Times New Roman" w:cs="Times New Roman"/>
          <w:lang w:val="en-US"/>
        </w:rPr>
        <w:t>Jean de la Rochelle's psychological works have been characterized as eclectic and old-fashioned,’</w:t>
      </w:r>
      <w:r w:rsidRPr="00A472FC">
        <w:rPr>
          <w:rStyle w:val="FootnoteReference"/>
          <w:rFonts w:ascii="Times New Roman" w:hAnsi="Times New Roman" w:cs="Times New Roman"/>
          <w:lang w:val="en-US"/>
        </w:rPr>
        <w:footnoteReference w:id="281"/>
      </w:r>
      <w:r w:rsidRPr="00A472FC">
        <w:rPr>
          <w:rFonts w:ascii="Times New Roman" w:hAnsi="Times New Roman" w:cs="Times New Roman"/>
          <w:lang w:val="en-US"/>
        </w:rPr>
        <w:t xml:space="preserve"> and even worse, ‘inept</w:t>
      </w:r>
      <w:r w:rsidR="00EE40BF" w:rsidRPr="00A472FC">
        <w:rPr>
          <w:rFonts w:ascii="Times New Roman" w:hAnsi="Times New Roman" w:cs="Times New Roman"/>
          <w:lang w:val="en-US"/>
        </w:rPr>
        <w:t>’</w:t>
      </w:r>
      <w:r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282"/>
      </w:r>
      <w:r w:rsidRPr="00A472FC">
        <w:rPr>
          <w:rFonts w:ascii="Times New Roman" w:hAnsi="Times New Roman" w:cs="Times New Roman"/>
          <w:lang w:val="en-US"/>
        </w:rPr>
        <w:t xml:space="preserve"> In the opinion of this author, Hasse is closer to the truth when he states that, ‘seen in the context of the history of psychology, they [John’s works] mark two important steps: the explicit differentiation between various psychological traditions (in the </w:t>
      </w:r>
      <w:proofErr w:type="spellStart"/>
      <w:r w:rsidR="00040053" w:rsidRPr="00A472FC">
        <w:rPr>
          <w:rFonts w:ascii="Times New Roman" w:hAnsi="Times New Roman" w:cs="Times New Roman"/>
          <w:i/>
          <w:lang w:val="en-US"/>
        </w:rPr>
        <w:t>Tractatus</w:t>
      </w:r>
      <w:proofErr w:type="spellEnd"/>
      <w:r w:rsidRPr="00A472FC">
        <w:rPr>
          <w:rFonts w:ascii="Times New Roman" w:hAnsi="Times New Roman" w:cs="Times New Roman"/>
          <w:lang w:val="en-US"/>
        </w:rPr>
        <w:t xml:space="preserve">) and the considerable expansion of the Peripatetic section in an otherwise </w:t>
      </w:r>
      <w:r w:rsidRPr="00A472FC">
        <w:rPr>
          <w:rFonts w:ascii="Times New Roman" w:hAnsi="Times New Roman" w:cs="Times New Roman"/>
        </w:rPr>
        <w:t xml:space="preserve">theological treatise on the soul (in the </w:t>
      </w:r>
      <w:r w:rsidRPr="00A472FC">
        <w:rPr>
          <w:rFonts w:ascii="Times New Roman" w:hAnsi="Times New Roman" w:cs="Times New Roman"/>
          <w:i/>
        </w:rPr>
        <w:t>Summa</w:t>
      </w:r>
      <w:r w:rsidRPr="00A472FC">
        <w:rPr>
          <w:rFonts w:ascii="Times New Roman" w:hAnsi="Times New Roman" w:cs="Times New Roman"/>
        </w:rPr>
        <w:t>).’</w:t>
      </w:r>
      <w:r w:rsidRPr="00A472FC">
        <w:rPr>
          <w:rStyle w:val="FootnoteReference"/>
          <w:rFonts w:ascii="Times New Roman" w:hAnsi="Times New Roman" w:cs="Times New Roman"/>
        </w:rPr>
        <w:footnoteReference w:id="283"/>
      </w:r>
    </w:p>
    <w:p w14:paraId="647896C4" w14:textId="074E959D" w:rsidR="00715998" w:rsidRPr="00A472FC" w:rsidRDefault="00715998" w:rsidP="00715998">
      <w:pPr>
        <w:rPr>
          <w:rFonts w:ascii="Times New Roman" w:hAnsi="Times New Roman" w:cs="Times New Roman"/>
        </w:rPr>
      </w:pPr>
    </w:p>
    <w:tbl>
      <w:tblPr>
        <w:tblStyle w:val="TableGrid"/>
        <w:tblW w:w="15048" w:type="dxa"/>
        <w:tblLayout w:type="fixed"/>
        <w:tblLook w:val="04A0" w:firstRow="1" w:lastRow="0" w:firstColumn="1" w:lastColumn="0" w:noHBand="0" w:noVBand="1"/>
      </w:tblPr>
      <w:tblGrid>
        <w:gridCol w:w="2122"/>
        <w:gridCol w:w="1815"/>
        <w:gridCol w:w="1303"/>
        <w:gridCol w:w="1134"/>
        <w:gridCol w:w="1276"/>
        <w:gridCol w:w="1276"/>
        <w:gridCol w:w="1417"/>
        <w:gridCol w:w="992"/>
        <w:gridCol w:w="1276"/>
        <w:gridCol w:w="992"/>
        <w:gridCol w:w="1445"/>
      </w:tblGrid>
      <w:tr w:rsidR="007949B4" w:rsidRPr="00A472FC" w14:paraId="506E712A" w14:textId="77777777" w:rsidTr="006546B3">
        <w:tc>
          <w:tcPr>
            <w:tcW w:w="2122" w:type="dxa"/>
          </w:tcPr>
          <w:p w14:paraId="013CD505" w14:textId="77777777" w:rsidR="007949B4" w:rsidRPr="00A472FC" w:rsidRDefault="007949B4" w:rsidP="00A77453">
            <w:pPr>
              <w:jc w:val="center"/>
              <w:rPr>
                <w:rFonts w:ascii="Times New Roman" w:hAnsi="Times New Roman" w:cs="Times New Roman"/>
                <w:b/>
              </w:rPr>
            </w:pPr>
            <w:r w:rsidRPr="00A472FC">
              <w:rPr>
                <w:rFonts w:ascii="Times New Roman" w:hAnsi="Times New Roman" w:cs="Times New Roman"/>
                <w:b/>
              </w:rPr>
              <w:t>Topic</w:t>
            </w:r>
          </w:p>
        </w:tc>
        <w:tc>
          <w:tcPr>
            <w:tcW w:w="1815" w:type="dxa"/>
          </w:tcPr>
          <w:p w14:paraId="15C4BEF1" w14:textId="77777777" w:rsidR="007949B4" w:rsidRPr="00A472FC" w:rsidRDefault="007949B4" w:rsidP="00A77453">
            <w:pPr>
              <w:jc w:val="center"/>
              <w:rPr>
                <w:rFonts w:ascii="Times New Roman" w:hAnsi="Times New Roman" w:cs="Times New Roman"/>
                <w:b/>
              </w:rPr>
            </w:pPr>
            <w:r w:rsidRPr="00A472FC">
              <w:rPr>
                <w:rFonts w:ascii="Times New Roman" w:hAnsi="Times New Roman" w:cs="Times New Roman"/>
                <w:b/>
              </w:rPr>
              <w:t>Source</w:t>
            </w:r>
          </w:p>
        </w:tc>
        <w:tc>
          <w:tcPr>
            <w:tcW w:w="1303" w:type="dxa"/>
          </w:tcPr>
          <w:p w14:paraId="6B7960F0" w14:textId="681342DC" w:rsidR="007949B4" w:rsidRPr="00A472FC" w:rsidRDefault="007949B4" w:rsidP="00A77453">
            <w:pPr>
              <w:jc w:val="center"/>
              <w:rPr>
                <w:rFonts w:ascii="Times New Roman" w:hAnsi="Times New Roman" w:cs="Times New Roman"/>
                <w:b/>
              </w:rPr>
            </w:pPr>
            <w:proofErr w:type="spellStart"/>
            <w:r w:rsidRPr="00A472FC">
              <w:rPr>
                <w:rFonts w:ascii="Times New Roman" w:hAnsi="Times New Roman" w:cs="Times New Roman"/>
                <w:b/>
              </w:rPr>
              <w:t>Johannitius</w:t>
            </w:r>
            <w:proofErr w:type="spellEnd"/>
          </w:p>
        </w:tc>
        <w:tc>
          <w:tcPr>
            <w:tcW w:w="1134" w:type="dxa"/>
          </w:tcPr>
          <w:p w14:paraId="37DDD7C7" w14:textId="208D6571" w:rsidR="007949B4" w:rsidRPr="00A472FC" w:rsidRDefault="007949B4" w:rsidP="00A77453">
            <w:pPr>
              <w:jc w:val="center"/>
              <w:rPr>
                <w:rFonts w:ascii="Times New Roman" w:hAnsi="Times New Roman" w:cs="Times New Roman"/>
                <w:b/>
              </w:rPr>
            </w:pPr>
            <w:r w:rsidRPr="00A472FC">
              <w:rPr>
                <w:rFonts w:ascii="Times New Roman" w:hAnsi="Times New Roman" w:cs="Times New Roman"/>
                <w:b/>
              </w:rPr>
              <w:t>Avicenna</w:t>
            </w:r>
          </w:p>
        </w:tc>
        <w:tc>
          <w:tcPr>
            <w:tcW w:w="1276" w:type="dxa"/>
          </w:tcPr>
          <w:p w14:paraId="54ABC36C" w14:textId="77777777" w:rsidR="007949B4" w:rsidRPr="00A472FC" w:rsidRDefault="007949B4" w:rsidP="00A77453">
            <w:pPr>
              <w:jc w:val="center"/>
              <w:rPr>
                <w:rFonts w:ascii="Times New Roman" w:hAnsi="Times New Roman" w:cs="Times New Roman"/>
                <w:b/>
              </w:rPr>
            </w:pPr>
            <w:proofErr w:type="spellStart"/>
            <w:r w:rsidRPr="00A472FC">
              <w:rPr>
                <w:rFonts w:ascii="Times New Roman" w:hAnsi="Times New Roman" w:cs="Times New Roman"/>
                <w:b/>
              </w:rPr>
              <w:t>Nemesius</w:t>
            </w:r>
            <w:proofErr w:type="spellEnd"/>
          </w:p>
        </w:tc>
        <w:tc>
          <w:tcPr>
            <w:tcW w:w="1276" w:type="dxa"/>
          </w:tcPr>
          <w:p w14:paraId="5C74EB63" w14:textId="77777777" w:rsidR="007949B4" w:rsidRPr="00A472FC" w:rsidRDefault="007949B4" w:rsidP="00A77453">
            <w:pPr>
              <w:jc w:val="center"/>
              <w:rPr>
                <w:rFonts w:ascii="Times New Roman" w:hAnsi="Times New Roman" w:cs="Times New Roman"/>
                <w:b/>
              </w:rPr>
            </w:pPr>
            <w:r w:rsidRPr="00A472FC">
              <w:rPr>
                <w:rFonts w:ascii="Times New Roman" w:hAnsi="Times New Roman" w:cs="Times New Roman"/>
                <w:b/>
              </w:rPr>
              <w:t>Damascus</w:t>
            </w:r>
          </w:p>
        </w:tc>
        <w:tc>
          <w:tcPr>
            <w:tcW w:w="1417" w:type="dxa"/>
          </w:tcPr>
          <w:p w14:paraId="0C77170D" w14:textId="77777777" w:rsidR="007949B4" w:rsidRPr="00A472FC" w:rsidRDefault="007949B4" w:rsidP="00A77453">
            <w:pPr>
              <w:jc w:val="center"/>
              <w:rPr>
                <w:rFonts w:ascii="Times New Roman" w:hAnsi="Times New Roman" w:cs="Times New Roman"/>
                <w:b/>
              </w:rPr>
            </w:pPr>
            <w:r w:rsidRPr="00A472FC">
              <w:rPr>
                <w:rFonts w:ascii="Times New Roman" w:hAnsi="Times New Roman" w:cs="Times New Roman"/>
                <w:b/>
              </w:rPr>
              <w:t>William of St Thierry</w:t>
            </w:r>
          </w:p>
        </w:tc>
        <w:tc>
          <w:tcPr>
            <w:tcW w:w="992" w:type="dxa"/>
          </w:tcPr>
          <w:p w14:paraId="4FBBF848" w14:textId="77777777" w:rsidR="007949B4" w:rsidRPr="00A472FC" w:rsidRDefault="007949B4" w:rsidP="00A77453">
            <w:pPr>
              <w:jc w:val="center"/>
              <w:rPr>
                <w:rFonts w:ascii="Times New Roman" w:hAnsi="Times New Roman" w:cs="Times New Roman"/>
                <w:b/>
              </w:rPr>
            </w:pPr>
            <w:r w:rsidRPr="00A472FC">
              <w:rPr>
                <w:rFonts w:ascii="Times New Roman" w:hAnsi="Times New Roman" w:cs="Times New Roman"/>
                <w:b/>
              </w:rPr>
              <w:t>Isaac of Stella</w:t>
            </w:r>
          </w:p>
        </w:tc>
        <w:tc>
          <w:tcPr>
            <w:tcW w:w="1276" w:type="dxa"/>
          </w:tcPr>
          <w:p w14:paraId="7930C296" w14:textId="77777777" w:rsidR="007949B4" w:rsidRPr="00A472FC" w:rsidRDefault="007949B4" w:rsidP="00A77453">
            <w:pPr>
              <w:jc w:val="center"/>
              <w:rPr>
                <w:rFonts w:ascii="Times New Roman" w:hAnsi="Times New Roman" w:cs="Times New Roman"/>
                <w:b/>
                <w:i/>
              </w:rPr>
            </w:pPr>
            <w:r w:rsidRPr="00A472FC">
              <w:rPr>
                <w:rFonts w:ascii="Times New Roman" w:hAnsi="Times New Roman" w:cs="Times New Roman"/>
                <w:b/>
                <w:i/>
              </w:rPr>
              <w:t xml:space="preserve">De </w:t>
            </w:r>
            <w:proofErr w:type="spellStart"/>
            <w:r w:rsidRPr="00A472FC">
              <w:rPr>
                <w:rFonts w:ascii="Times New Roman" w:hAnsi="Times New Roman" w:cs="Times New Roman"/>
                <w:b/>
                <w:i/>
              </w:rPr>
              <w:t>spiritu</w:t>
            </w:r>
            <w:proofErr w:type="spellEnd"/>
            <w:r w:rsidRPr="00A472FC">
              <w:rPr>
                <w:rFonts w:ascii="Times New Roman" w:hAnsi="Times New Roman" w:cs="Times New Roman"/>
                <w:b/>
                <w:i/>
              </w:rPr>
              <w:t xml:space="preserve"> et anima</w:t>
            </w:r>
          </w:p>
        </w:tc>
        <w:tc>
          <w:tcPr>
            <w:tcW w:w="992" w:type="dxa"/>
          </w:tcPr>
          <w:p w14:paraId="5EA5EBED" w14:textId="77777777" w:rsidR="007949B4" w:rsidRPr="00A472FC" w:rsidRDefault="007949B4" w:rsidP="00A77453">
            <w:pPr>
              <w:jc w:val="center"/>
              <w:rPr>
                <w:rFonts w:ascii="Times New Roman" w:hAnsi="Times New Roman" w:cs="Times New Roman"/>
                <w:b/>
              </w:rPr>
            </w:pPr>
            <w:r w:rsidRPr="00A472FC">
              <w:rPr>
                <w:rFonts w:ascii="Times New Roman" w:hAnsi="Times New Roman" w:cs="Times New Roman"/>
                <w:b/>
              </w:rPr>
              <w:t xml:space="preserve">John </w:t>
            </w:r>
            <w:proofErr w:type="spellStart"/>
            <w:r w:rsidRPr="00A472FC">
              <w:rPr>
                <w:rFonts w:ascii="Times New Roman" w:hAnsi="Times New Roman" w:cs="Times New Roman"/>
                <w:b/>
              </w:rPr>
              <w:t>Blund</w:t>
            </w:r>
            <w:proofErr w:type="spellEnd"/>
          </w:p>
        </w:tc>
        <w:tc>
          <w:tcPr>
            <w:tcW w:w="1445" w:type="dxa"/>
          </w:tcPr>
          <w:p w14:paraId="1E58D19F" w14:textId="77777777" w:rsidR="007949B4" w:rsidRPr="00A472FC" w:rsidRDefault="007949B4" w:rsidP="00A77453">
            <w:pPr>
              <w:jc w:val="center"/>
              <w:rPr>
                <w:rFonts w:ascii="Times New Roman" w:hAnsi="Times New Roman" w:cs="Times New Roman"/>
                <w:b/>
              </w:rPr>
            </w:pPr>
            <w:r w:rsidRPr="00A472FC">
              <w:rPr>
                <w:rFonts w:ascii="Times New Roman" w:hAnsi="Times New Roman" w:cs="Times New Roman"/>
                <w:b/>
              </w:rPr>
              <w:t>John of La Rochelle</w:t>
            </w:r>
          </w:p>
        </w:tc>
      </w:tr>
      <w:tr w:rsidR="007949B4" w:rsidRPr="00A472FC" w14:paraId="2BBC1129" w14:textId="77777777" w:rsidTr="006546B3">
        <w:tc>
          <w:tcPr>
            <w:tcW w:w="2122" w:type="dxa"/>
          </w:tcPr>
          <w:p w14:paraId="37F83F23"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Three ventricles of the brain (front: imagination; middle: reason; back memory)</w:t>
            </w:r>
          </w:p>
        </w:tc>
        <w:tc>
          <w:tcPr>
            <w:tcW w:w="1815" w:type="dxa"/>
          </w:tcPr>
          <w:p w14:paraId="499AE440"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Galen</w:t>
            </w:r>
          </w:p>
        </w:tc>
        <w:tc>
          <w:tcPr>
            <w:tcW w:w="1303" w:type="dxa"/>
          </w:tcPr>
          <w:p w14:paraId="5AB6D75F" w14:textId="45F8E8D5"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134" w:type="dxa"/>
          </w:tcPr>
          <w:p w14:paraId="5633507A" w14:textId="2A88BC91"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09A34160"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570FA650"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417" w:type="dxa"/>
          </w:tcPr>
          <w:p w14:paraId="0E6C2BE0"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66DBD78F"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276" w:type="dxa"/>
          </w:tcPr>
          <w:p w14:paraId="1AE98914"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0C3C8EF9"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445" w:type="dxa"/>
          </w:tcPr>
          <w:p w14:paraId="0A459D9C"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r>
      <w:tr w:rsidR="007949B4" w:rsidRPr="00A472FC" w14:paraId="63F3A914" w14:textId="77777777" w:rsidTr="006546B3">
        <w:tc>
          <w:tcPr>
            <w:tcW w:w="2122" w:type="dxa"/>
          </w:tcPr>
          <w:p w14:paraId="68EB212B"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Natural, spiritual and animal powers (corresponding to liver, heart, and brain)</w:t>
            </w:r>
          </w:p>
        </w:tc>
        <w:tc>
          <w:tcPr>
            <w:tcW w:w="1815" w:type="dxa"/>
          </w:tcPr>
          <w:p w14:paraId="1F644F35"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Constantine the African</w:t>
            </w:r>
          </w:p>
        </w:tc>
        <w:tc>
          <w:tcPr>
            <w:tcW w:w="1303" w:type="dxa"/>
          </w:tcPr>
          <w:p w14:paraId="1C19D1DB" w14:textId="79091755"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134" w:type="dxa"/>
          </w:tcPr>
          <w:p w14:paraId="663F5CE6" w14:textId="12E2E5FB" w:rsidR="007949B4" w:rsidRPr="00A472FC" w:rsidRDefault="00EA4106"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27DBC9AF"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35D50828"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417" w:type="dxa"/>
          </w:tcPr>
          <w:p w14:paraId="48A6A83E"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3C9137D4"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276" w:type="dxa"/>
          </w:tcPr>
          <w:p w14:paraId="2A1789AC"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 (organs not mentioned)</w:t>
            </w:r>
          </w:p>
        </w:tc>
        <w:tc>
          <w:tcPr>
            <w:tcW w:w="992" w:type="dxa"/>
          </w:tcPr>
          <w:p w14:paraId="6409542A"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445" w:type="dxa"/>
          </w:tcPr>
          <w:p w14:paraId="54EEB070"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r>
      <w:tr w:rsidR="007949B4" w:rsidRPr="00A472FC" w14:paraId="78AF676E" w14:textId="77777777" w:rsidTr="006546B3">
        <w:tc>
          <w:tcPr>
            <w:tcW w:w="2122" w:type="dxa"/>
          </w:tcPr>
          <w:p w14:paraId="15AA4FCA"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Three (or two) corporeal spirits (natural, spiritual, animal)</w:t>
            </w:r>
          </w:p>
        </w:tc>
        <w:tc>
          <w:tcPr>
            <w:tcW w:w="1815" w:type="dxa"/>
          </w:tcPr>
          <w:p w14:paraId="41C3C4F6"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Constantine (Three)/Costa Ben Luca (Two)</w:t>
            </w:r>
          </w:p>
        </w:tc>
        <w:tc>
          <w:tcPr>
            <w:tcW w:w="1303" w:type="dxa"/>
          </w:tcPr>
          <w:p w14:paraId="4DD01372" w14:textId="6CD0FD8E"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134" w:type="dxa"/>
          </w:tcPr>
          <w:p w14:paraId="0E67DD46" w14:textId="29BFDCD2" w:rsidR="007949B4" w:rsidRPr="00A472FC" w:rsidRDefault="00EA4106"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41A079FB"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44746AD3"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417" w:type="dxa"/>
          </w:tcPr>
          <w:p w14:paraId="4132F5EC"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p w14:paraId="5B112D55"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(Three)</w:t>
            </w:r>
          </w:p>
        </w:tc>
        <w:tc>
          <w:tcPr>
            <w:tcW w:w="992" w:type="dxa"/>
          </w:tcPr>
          <w:p w14:paraId="3D050479"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p w14:paraId="048973B2"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(Two)</w:t>
            </w:r>
          </w:p>
        </w:tc>
        <w:tc>
          <w:tcPr>
            <w:tcW w:w="1276" w:type="dxa"/>
          </w:tcPr>
          <w:p w14:paraId="2828300F"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992" w:type="dxa"/>
          </w:tcPr>
          <w:p w14:paraId="28C8725D"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445" w:type="dxa"/>
          </w:tcPr>
          <w:p w14:paraId="2CD81521"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r>
      <w:tr w:rsidR="007949B4" w:rsidRPr="00A472FC" w14:paraId="0FBA375C" w14:textId="77777777" w:rsidTr="006546B3">
        <w:tc>
          <w:tcPr>
            <w:tcW w:w="2122" w:type="dxa"/>
          </w:tcPr>
          <w:p w14:paraId="7C1FDBFF"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Natural/vegetative powers (nutrition, growth, and reproduction)</w:t>
            </w:r>
          </w:p>
        </w:tc>
        <w:tc>
          <w:tcPr>
            <w:tcW w:w="1815" w:type="dxa"/>
          </w:tcPr>
          <w:p w14:paraId="6D47BB59"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Constantine the African/</w:t>
            </w:r>
          </w:p>
          <w:p w14:paraId="73EB2CF4" w14:textId="0BD97A5B" w:rsidR="007949B4" w:rsidRPr="00A472FC" w:rsidRDefault="007949B4" w:rsidP="00A77453">
            <w:pPr>
              <w:jc w:val="center"/>
              <w:rPr>
                <w:rFonts w:ascii="Times New Roman" w:hAnsi="Times New Roman" w:cs="Times New Roman"/>
              </w:rPr>
            </w:pPr>
            <w:r w:rsidRPr="00A472FC">
              <w:rPr>
                <w:rFonts w:ascii="Times New Roman" w:hAnsi="Times New Roman" w:cs="Times New Roman"/>
              </w:rPr>
              <w:t>Aristotle</w:t>
            </w:r>
          </w:p>
        </w:tc>
        <w:tc>
          <w:tcPr>
            <w:tcW w:w="1303" w:type="dxa"/>
          </w:tcPr>
          <w:p w14:paraId="4ACAA24B" w14:textId="289C1D29"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134" w:type="dxa"/>
          </w:tcPr>
          <w:p w14:paraId="202894F0" w14:textId="4286DC9F" w:rsidR="007949B4" w:rsidRPr="00A472FC" w:rsidRDefault="007949B4" w:rsidP="00A77453">
            <w:pPr>
              <w:jc w:val="center"/>
              <w:rPr>
                <w:rFonts w:ascii="Times New Roman" w:hAnsi="Times New Roman" w:cs="Times New Roman"/>
              </w:rPr>
            </w:pPr>
            <w:r w:rsidRPr="00A472FC">
              <w:rPr>
                <w:rFonts w:ascii="Times New Roman" w:hAnsi="Times New Roman" w:cs="Times New Roman"/>
              </w:rPr>
              <w:t xml:space="preserve">X </w:t>
            </w:r>
          </w:p>
        </w:tc>
        <w:tc>
          <w:tcPr>
            <w:tcW w:w="1276" w:type="dxa"/>
          </w:tcPr>
          <w:p w14:paraId="4FE67E3F"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58862687"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417" w:type="dxa"/>
          </w:tcPr>
          <w:p w14:paraId="2D80FB9C"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48415F18"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276" w:type="dxa"/>
          </w:tcPr>
          <w:p w14:paraId="0EEA0A3E"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992" w:type="dxa"/>
          </w:tcPr>
          <w:p w14:paraId="43979CED"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445" w:type="dxa"/>
          </w:tcPr>
          <w:p w14:paraId="2A6C16FA"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r>
      <w:tr w:rsidR="007949B4" w:rsidRPr="00A472FC" w14:paraId="518DEF29" w14:textId="77777777" w:rsidTr="006546B3">
        <w:tc>
          <w:tcPr>
            <w:tcW w:w="2122" w:type="dxa"/>
          </w:tcPr>
          <w:p w14:paraId="75EA8349"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Nutrition (appetitive, retentive, digestive, expulsive)</w:t>
            </w:r>
          </w:p>
        </w:tc>
        <w:tc>
          <w:tcPr>
            <w:tcW w:w="1815" w:type="dxa"/>
          </w:tcPr>
          <w:p w14:paraId="40BB7092"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Constantine the African</w:t>
            </w:r>
          </w:p>
        </w:tc>
        <w:tc>
          <w:tcPr>
            <w:tcW w:w="1303" w:type="dxa"/>
          </w:tcPr>
          <w:p w14:paraId="361BD41B" w14:textId="08176904"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134" w:type="dxa"/>
          </w:tcPr>
          <w:p w14:paraId="71DA5DFD" w14:textId="5AC0EB9D" w:rsidR="007949B4" w:rsidRPr="00A472FC" w:rsidRDefault="007949B4" w:rsidP="00A77453">
            <w:pPr>
              <w:jc w:val="center"/>
              <w:rPr>
                <w:rFonts w:ascii="Times New Roman" w:hAnsi="Times New Roman" w:cs="Times New Roman"/>
              </w:rPr>
            </w:pPr>
            <w:r w:rsidRPr="00A472FC">
              <w:rPr>
                <w:rFonts w:ascii="Times New Roman" w:hAnsi="Times New Roman" w:cs="Times New Roman"/>
              </w:rPr>
              <w:t xml:space="preserve">X </w:t>
            </w:r>
          </w:p>
        </w:tc>
        <w:tc>
          <w:tcPr>
            <w:tcW w:w="1276" w:type="dxa"/>
          </w:tcPr>
          <w:p w14:paraId="6154A1A7"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06CA6F7E"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417" w:type="dxa"/>
          </w:tcPr>
          <w:p w14:paraId="1F23F6DD"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41C237B4"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276" w:type="dxa"/>
          </w:tcPr>
          <w:p w14:paraId="52DFCFCD"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6F33DC63"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445" w:type="dxa"/>
          </w:tcPr>
          <w:p w14:paraId="339AB7E7"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r>
      <w:tr w:rsidR="007949B4" w:rsidRPr="00A472FC" w14:paraId="30FC75FA" w14:textId="77777777" w:rsidTr="006546B3">
        <w:tc>
          <w:tcPr>
            <w:tcW w:w="2122" w:type="dxa"/>
          </w:tcPr>
          <w:p w14:paraId="4D1CD45B"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 xml:space="preserve">Platonic triad (rational, irascible, and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powers)</w:t>
            </w:r>
          </w:p>
        </w:tc>
        <w:tc>
          <w:tcPr>
            <w:tcW w:w="1815" w:type="dxa"/>
          </w:tcPr>
          <w:p w14:paraId="660B8671"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Plato</w:t>
            </w:r>
          </w:p>
        </w:tc>
        <w:tc>
          <w:tcPr>
            <w:tcW w:w="1303" w:type="dxa"/>
          </w:tcPr>
          <w:p w14:paraId="24AA423B" w14:textId="111BEC3B" w:rsidR="007949B4" w:rsidRPr="00A472FC" w:rsidRDefault="00513980" w:rsidP="00A77453">
            <w:pPr>
              <w:jc w:val="center"/>
              <w:rPr>
                <w:rFonts w:ascii="Times New Roman" w:hAnsi="Times New Roman" w:cs="Times New Roman"/>
              </w:rPr>
            </w:pPr>
            <w:r w:rsidRPr="00A472FC">
              <w:rPr>
                <w:rFonts w:ascii="Times New Roman" w:hAnsi="Times New Roman" w:cs="Times New Roman"/>
              </w:rPr>
              <w:t>---</w:t>
            </w:r>
          </w:p>
        </w:tc>
        <w:tc>
          <w:tcPr>
            <w:tcW w:w="1134" w:type="dxa"/>
          </w:tcPr>
          <w:p w14:paraId="63317FA8" w14:textId="64A4E320"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7CFB2B5E"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4ABB9F19"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417" w:type="dxa"/>
          </w:tcPr>
          <w:p w14:paraId="1AD355EE"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389448C1"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2BB7DDEB"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47C956FD"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445" w:type="dxa"/>
          </w:tcPr>
          <w:p w14:paraId="121B00DA"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r>
      <w:tr w:rsidR="007949B4" w:rsidRPr="00A472FC" w14:paraId="07E2FEC7" w14:textId="77777777" w:rsidTr="006546B3">
        <w:tc>
          <w:tcPr>
            <w:tcW w:w="2122" w:type="dxa"/>
          </w:tcPr>
          <w:p w14:paraId="6046B5EF"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lastRenderedPageBreak/>
              <w:t>Sense, imagination, reason, intellect, intelligence</w:t>
            </w:r>
          </w:p>
        </w:tc>
        <w:tc>
          <w:tcPr>
            <w:tcW w:w="1815" w:type="dxa"/>
          </w:tcPr>
          <w:p w14:paraId="13BE81EC" w14:textId="77777777" w:rsidR="007949B4" w:rsidRPr="00A472FC" w:rsidRDefault="007949B4" w:rsidP="00A77453">
            <w:pPr>
              <w:jc w:val="center"/>
              <w:rPr>
                <w:rFonts w:ascii="Times New Roman" w:hAnsi="Times New Roman" w:cs="Times New Roman"/>
              </w:rPr>
            </w:pPr>
            <w:proofErr w:type="spellStart"/>
            <w:r w:rsidRPr="00A472FC">
              <w:rPr>
                <w:rFonts w:ascii="Times New Roman" w:hAnsi="Times New Roman" w:cs="Times New Roman"/>
              </w:rPr>
              <w:t>Boethius</w:t>
            </w:r>
            <w:proofErr w:type="spellEnd"/>
          </w:p>
        </w:tc>
        <w:tc>
          <w:tcPr>
            <w:tcW w:w="1303" w:type="dxa"/>
          </w:tcPr>
          <w:p w14:paraId="60D23A33" w14:textId="77424DE0" w:rsidR="007949B4" w:rsidRPr="00A472FC" w:rsidRDefault="00513980" w:rsidP="00A77453">
            <w:pPr>
              <w:jc w:val="center"/>
              <w:rPr>
                <w:rFonts w:ascii="Times New Roman" w:hAnsi="Times New Roman" w:cs="Times New Roman"/>
              </w:rPr>
            </w:pPr>
            <w:r w:rsidRPr="00A472FC">
              <w:rPr>
                <w:rFonts w:ascii="Times New Roman" w:hAnsi="Times New Roman" w:cs="Times New Roman"/>
              </w:rPr>
              <w:t>---</w:t>
            </w:r>
          </w:p>
        </w:tc>
        <w:tc>
          <w:tcPr>
            <w:tcW w:w="1134" w:type="dxa"/>
          </w:tcPr>
          <w:p w14:paraId="0E8AE406" w14:textId="32BB91B9"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276" w:type="dxa"/>
          </w:tcPr>
          <w:p w14:paraId="015A70E2"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276" w:type="dxa"/>
          </w:tcPr>
          <w:p w14:paraId="05A93225"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417" w:type="dxa"/>
          </w:tcPr>
          <w:p w14:paraId="46F57714"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992" w:type="dxa"/>
          </w:tcPr>
          <w:p w14:paraId="51E62419"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0503A7E8"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784D1411"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445" w:type="dxa"/>
          </w:tcPr>
          <w:p w14:paraId="4007D77F"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r>
      <w:tr w:rsidR="007949B4" w:rsidRPr="00A472FC" w14:paraId="02DFB0EB" w14:textId="77777777" w:rsidTr="006546B3">
        <w:tc>
          <w:tcPr>
            <w:tcW w:w="2122" w:type="dxa"/>
          </w:tcPr>
          <w:p w14:paraId="2A54D164"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Memory, understanding, will</w:t>
            </w:r>
          </w:p>
        </w:tc>
        <w:tc>
          <w:tcPr>
            <w:tcW w:w="1815" w:type="dxa"/>
          </w:tcPr>
          <w:p w14:paraId="12F1AC8B"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Augustine</w:t>
            </w:r>
          </w:p>
        </w:tc>
        <w:tc>
          <w:tcPr>
            <w:tcW w:w="1303" w:type="dxa"/>
          </w:tcPr>
          <w:p w14:paraId="7FB16ED2" w14:textId="505B1E42" w:rsidR="007949B4" w:rsidRPr="00A472FC" w:rsidRDefault="005238BF" w:rsidP="00A77453">
            <w:pPr>
              <w:jc w:val="center"/>
              <w:rPr>
                <w:rFonts w:ascii="Times New Roman" w:hAnsi="Times New Roman" w:cs="Times New Roman"/>
              </w:rPr>
            </w:pPr>
            <w:r w:rsidRPr="00A472FC">
              <w:rPr>
                <w:rFonts w:ascii="Times New Roman" w:hAnsi="Times New Roman" w:cs="Times New Roman"/>
              </w:rPr>
              <w:t>---</w:t>
            </w:r>
          </w:p>
        </w:tc>
        <w:tc>
          <w:tcPr>
            <w:tcW w:w="1134" w:type="dxa"/>
          </w:tcPr>
          <w:p w14:paraId="5C750159" w14:textId="7C0FA81E"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276" w:type="dxa"/>
          </w:tcPr>
          <w:p w14:paraId="0FC19DA9"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276" w:type="dxa"/>
          </w:tcPr>
          <w:p w14:paraId="11CA0635"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417" w:type="dxa"/>
          </w:tcPr>
          <w:p w14:paraId="0E5CE05F"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1C184A12"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6ADE58CC"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6F017627"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445" w:type="dxa"/>
          </w:tcPr>
          <w:p w14:paraId="261EB3AD"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r>
      <w:tr w:rsidR="007949B4" w:rsidRPr="00A472FC" w14:paraId="18AA37E5" w14:textId="77777777" w:rsidTr="006546B3">
        <w:tc>
          <w:tcPr>
            <w:tcW w:w="2122" w:type="dxa"/>
          </w:tcPr>
          <w:p w14:paraId="5A92DC45"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Identity of the soul with its powers</w:t>
            </w:r>
          </w:p>
        </w:tc>
        <w:tc>
          <w:tcPr>
            <w:tcW w:w="1815" w:type="dxa"/>
          </w:tcPr>
          <w:p w14:paraId="4F19260C"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Isidore of Seville (attributed to Augustine)</w:t>
            </w:r>
          </w:p>
        </w:tc>
        <w:tc>
          <w:tcPr>
            <w:tcW w:w="1303" w:type="dxa"/>
          </w:tcPr>
          <w:p w14:paraId="6640ADA8" w14:textId="52A4B19A" w:rsidR="007949B4" w:rsidRPr="00A472FC" w:rsidRDefault="005238BF" w:rsidP="00A77453">
            <w:pPr>
              <w:jc w:val="center"/>
              <w:rPr>
                <w:rFonts w:ascii="Times New Roman" w:hAnsi="Times New Roman" w:cs="Times New Roman"/>
              </w:rPr>
            </w:pPr>
            <w:r w:rsidRPr="00A472FC">
              <w:rPr>
                <w:rFonts w:ascii="Times New Roman" w:hAnsi="Times New Roman" w:cs="Times New Roman"/>
              </w:rPr>
              <w:t>---</w:t>
            </w:r>
          </w:p>
        </w:tc>
        <w:tc>
          <w:tcPr>
            <w:tcW w:w="1134" w:type="dxa"/>
          </w:tcPr>
          <w:p w14:paraId="12D5892E" w14:textId="54F56C18"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276" w:type="dxa"/>
          </w:tcPr>
          <w:p w14:paraId="24FC75FD"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276" w:type="dxa"/>
          </w:tcPr>
          <w:p w14:paraId="0447414E"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417" w:type="dxa"/>
          </w:tcPr>
          <w:p w14:paraId="3CA1115F"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0A2440A8"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2BD12A06"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1245FC7A"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445" w:type="dxa"/>
          </w:tcPr>
          <w:p w14:paraId="21F3950F"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r>
      <w:tr w:rsidR="007949B4" w:rsidRPr="00A472FC" w14:paraId="7685F3E5" w14:textId="77777777" w:rsidTr="006546B3">
        <w:tc>
          <w:tcPr>
            <w:tcW w:w="2122" w:type="dxa"/>
          </w:tcPr>
          <w:p w14:paraId="552EFEB1"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Microcosm/midpoint of creation</w:t>
            </w:r>
          </w:p>
        </w:tc>
        <w:tc>
          <w:tcPr>
            <w:tcW w:w="1815" w:type="dxa"/>
          </w:tcPr>
          <w:p w14:paraId="06EDB67A"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 xml:space="preserve">Gregory of </w:t>
            </w:r>
            <w:proofErr w:type="spellStart"/>
            <w:r w:rsidRPr="00A472FC">
              <w:rPr>
                <w:rFonts w:ascii="Times New Roman" w:hAnsi="Times New Roman" w:cs="Times New Roman"/>
              </w:rPr>
              <w:t>Nyssa</w:t>
            </w:r>
            <w:proofErr w:type="spellEnd"/>
            <w:r w:rsidRPr="00A472FC">
              <w:rPr>
                <w:rFonts w:ascii="Times New Roman" w:hAnsi="Times New Roman" w:cs="Times New Roman"/>
              </w:rPr>
              <w:t xml:space="preserve"> and others</w:t>
            </w:r>
          </w:p>
        </w:tc>
        <w:tc>
          <w:tcPr>
            <w:tcW w:w="1303" w:type="dxa"/>
          </w:tcPr>
          <w:p w14:paraId="3BE13777" w14:textId="133E42CE" w:rsidR="007949B4" w:rsidRPr="00A472FC" w:rsidRDefault="005238BF" w:rsidP="00A77453">
            <w:pPr>
              <w:jc w:val="center"/>
              <w:rPr>
                <w:rFonts w:ascii="Times New Roman" w:hAnsi="Times New Roman" w:cs="Times New Roman"/>
              </w:rPr>
            </w:pPr>
            <w:r w:rsidRPr="00A472FC">
              <w:rPr>
                <w:rFonts w:ascii="Times New Roman" w:hAnsi="Times New Roman" w:cs="Times New Roman"/>
              </w:rPr>
              <w:t>---</w:t>
            </w:r>
          </w:p>
        </w:tc>
        <w:tc>
          <w:tcPr>
            <w:tcW w:w="1134" w:type="dxa"/>
          </w:tcPr>
          <w:p w14:paraId="687E288E" w14:textId="5A52F72C"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276" w:type="dxa"/>
          </w:tcPr>
          <w:p w14:paraId="4AE6BF4E"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1145E682"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417" w:type="dxa"/>
          </w:tcPr>
          <w:p w14:paraId="41A8D488"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04EE2DF1"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4065236F"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 xml:space="preserve">X </w:t>
            </w:r>
          </w:p>
        </w:tc>
        <w:tc>
          <w:tcPr>
            <w:tcW w:w="992" w:type="dxa"/>
          </w:tcPr>
          <w:p w14:paraId="030D2B99"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445" w:type="dxa"/>
          </w:tcPr>
          <w:p w14:paraId="2B4E50FE"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r>
      <w:tr w:rsidR="007949B4" w:rsidRPr="00A472FC" w14:paraId="4D04C49C" w14:textId="77777777" w:rsidTr="006546B3">
        <w:tc>
          <w:tcPr>
            <w:tcW w:w="2122" w:type="dxa"/>
          </w:tcPr>
          <w:p w14:paraId="0BEA7DF3"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Three levels of abstraction</w:t>
            </w:r>
            <w:r w:rsidRPr="00A472FC">
              <w:rPr>
                <w:rStyle w:val="FootnoteReference"/>
                <w:rFonts w:ascii="Times New Roman" w:hAnsi="Times New Roman" w:cs="Times New Roman"/>
              </w:rPr>
              <w:footnoteReference w:id="284"/>
            </w:r>
          </w:p>
        </w:tc>
        <w:tc>
          <w:tcPr>
            <w:tcW w:w="1815" w:type="dxa"/>
          </w:tcPr>
          <w:p w14:paraId="3DEE7A2A"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Aristotle</w:t>
            </w:r>
          </w:p>
        </w:tc>
        <w:tc>
          <w:tcPr>
            <w:tcW w:w="1303" w:type="dxa"/>
          </w:tcPr>
          <w:p w14:paraId="53344204" w14:textId="5F63511F" w:rsidR="007949B4"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134" w:type="dxa"/>
          </w:tcPr>
          <w:p w14:paraId="00D18184" w14:textId="4A1999F6"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006259C8"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276" w:type="dxa"/>
          </w:tcPr>
          <w:p w14:paraId="581B034E"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1417" w:type="dxa"/>
          </w:tcPr>
          <w:p w14:paraId="1F5AAEC6"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w:t>
            </w:r>
          </w:p>
        </w:tc>
        <w:tc>
          <w:tcPr>
            <w:tcW w:w="992" w:type="dxa"/>
          </w:tcPr>
          <w:p w14:paraId="74EFB16D"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276" w:type="dxa"/>
          </w:tcPr>
          <w:p w14:paraId="2A769816"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22B556A4"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c>
          <w:tcPr>
            <w:tcW w:w="1445" w:type="dxa"/>
          </w:tcPr>
          <w:p w14:paraId="21C99278" w14:textId="77777777" w:rsidR="007949B4" w:rsidRPr="00A472FC" w:rsidRDefault="007949B4" w:rsidP="00A77453">
            <w:pPr>
              <w:jc w:val="center"/>
              <w:rPr>
                <w:rFonts w:ascii="Times New Roman" w:hAnsi="Times New Roman" w:cs="Times New Roman"/>
              </w:rPr>
            </w:pPr>
            <w:r w:rsidRPr="00A472FC">
              <w:rPr>
                <w:rFonts w:ascii="Times New Roman" w:hAnsi="Times New Roman" w:cs="Times New Roman"/>
              </w:rPr>
              <w:t>X</w:t>
            </w:r>
          </w:p>
        </w:tc>
      </w:tr>
    </w:tbl>
    <w:p w14:paraId="4AF7654B" w14:textId="77777777" w:rsidR="00715998" w:rsidRPr="00A472FC" w:rsidRDefault="00715998" w:rsidP="00715998">
      <w:pPr>
        <w:rPr>
          <w:rFonts w:ascii="Times New Roman" w:hAnsi="Times New Roman" w:cs="Times New Roman"/>
        </w:rPr>
      </w:pPr>
    </w:p>
    <w:p w14:paraId="0FF5D92C" w14:textId="32D7E410" w:rsidR="008C5A6A" w:rsidRPr="00A472FC" w:rsidRDefault="00715998">
      <w:pPr>
        <w:rPr>
          <w:rFonts w:ascii="Times New Roman" w:hAnsi="Times New Roman" w:cs="Times New Roman"/>
        </w:rPr>
      </w:pPr>
      <w:r w:rsidRPr="00A472FC">
        <w:rPr>
          <w:rFonts w:ascii="Times New Roman" w:hAnsi="Times New Roman" w:cs="Times New Roman"/>
        </w:rPr>
        <w:br w:type="page"/>
      </w:r>
    </w:p>
    <w:p w14:paraId="685D4371" w14:textId="77777777" w:rsidR="008C5A6A" w:rsidRPr="00A472FC" w:rsidRDefault="008C5A6A" w:rsidP="008C5A6A">
      <w:pPr>
        <w:rPr>
          <w:rFonts w:ascii="Times New Roman" w:hAnsi="Times New Roman" w:cs="Times New Roman"/>
        </w:rPr>
      </w:pPr>
    </w:p>
    <w:tbl>
      <w:tblPr>
        <w:tblStyle w:val="TableGrid"/>
        <w:tblW w:w="13685" w:type="dxa"/>
        <w:tblLayout w:type="fixed"/>
        <w:tblLook w:val="04A0" w:firstRow="1" w:lastRow="0" w:firstColumn="1" w:lastColumn="0" w:noHBand="0" w:noVBand="1"/>
      </w:tblPr>
      <w:tblGrid>
        <w:gridCol w:w="1597"/>
        <w:gridCol w:w="990"/>
        <w:gridCol w:w="1377"/>
        <w:gridCol w:w="1377"/>
        <w:gridCol w:w="1134"/>
        <w:gridCol w:w="1418"/>
        <w:gridCol w:w="1316"/>
        <w:gridCol w:w="1418"/>
        <w:gridCol w:w="992"/>
        <w:gridCol w:w="992"/>
        <w:gridCol w:w="1074"/>
      </w:tblGrid>
      <w:tr w:rsidR="008C5A6A" w:rsidRPr="00A472FC" w14:paraId="604B3707" w14:textId="77777777" w:rsidTr="00A77453">
        <w:tc>
          <w:tcPr>
            <w:tcW w:w="1597" w:type="dxa"/>
          </w:tcPr>
          <w:p w14:paraId="5CF13A0A"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Early 13</w:t>
            </w:r>
            <w:r w:rsidRPr="00A472FC">
              <w:rPr>
                <w:rFonts w:ascii="Times New Roman" w:hAnsi="Times New Roman" w:cs="Times New Roman"/>
                <w:b/>
                <w:vertAlign w:val="superscript"/>
              </w:rPr>
              <w:t>th</w:t>
            </w:r>
            <w:r w:rsidRPr="00A472FC">
              <w:rPr>
                <w:rFonts w:ascii="Times New Roman" w:hAnsi="Times New Roman" w:cs="Times New Roman"/>
                <w:b/>
              </w:rPr>
              <w:t xml:space="preserve"> Century Questions about the Soul</w:t>
            </w:r>
          </w:p>
        </w:tc>
        <w:tc>
          <w:tcPr>
            <w:tcW w:w="990" w:type="dxa"/>
          </w:tcPr>
          <w:p w14:paraId="2D4C725E"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Date of work</w:t>
            </w:r>
          </w:p>
        </w:tc>
        <w:tc>
          <w:tcPr>
            <w:tcW w:w="1377" w:type="dxa"/>
          </w:tcPr>
          <w:p w14:paraId="68CC46BB"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 xml:space="preserve">Is the soul composed of matter and form, as per universal </w:t>
            </w:r>
            <w:proofErr w:type="spellStart"/>
            <w:r w:rsidRPr="00A472FC">
              <w:rPr>
                <w:rFonts w:ascii="Times New Roman" w:hAnsi="Times New Roman" w:cs="Times New Roman"/>
                <w:b/>
              </w:rPr>
              <w:t>hylomor-phism</w:t>
            </w:r>
            <w:proofErr w:type="spellEnd"/>
            <w:r w:rsidRPr="00A472FC">
              <w:rPr>
                <w:rFonts w:ascii="Times New Roman" w:hAnsi="Times New Roman" w:cs="Times New Roman"/>
                <w:b/>
              </w:rPr>
              <w:t>?</w:t>
            </w:r>
          </w:p>
        </w:tc>
        <w:tc>
          <w:tcPr>
            <w:tcW w:w="1377" w:type="dxa"/>
          </w:tcPr>
          <w:p w14:paraId="7FC251D1"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Is the soul substantially or accidentally united to the body?</w:t>
            </w:r>
          </w:p>
        </w:tc>
        <w:tc>
          <w:tcPr>
            <w:tcW w:w="1134" w:type="dxa"/>
          </w:tcPr>
          <w:p w14:paraId="5CC9AF9E"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Is the soul united to the body through a medium?</w:t>
            </w:r>
          </w:p>
        </w:tc>
        <w:tc>
          <w:tcPr>
            <w:tcW w:w="1418" w:type="dxa"/>
          </w:tcPr>
          <w:p w14:paraId="4063216E"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Are the vegetative, sensitive, and rational powers three substances in the soul?</w:t>
            </w:r>
          </w:p>
        </w:tc>
        <w:tc>
          <w:tcPr>
            <w:tcW w:w="1316" w:type="dxa"/>
          </w:tcPr>
          <w:p w14:paraId="36065B6B"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Is the essence of the soul identical with its powers?</w:t>
            </w:r>
          </w:p>
        </w:tc>
        <w:tc>
          <w:tcPr>
            <w:tcW w:w="1418" w:type="dxa"/>
          </w:tcPr>
          <w:p w14:paraId="2CEDE546"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Do the sensitive and vegetative powers survive the death of the body?</w:t>
            </w:r>
          </w:p>
        </w:tc>
        <w:tc>
          <w:tcPr>
            <w:tcW w:w="992" w:type="dxa"/>
          </w:tcPr>
          <w:p w14:paraId="3D817A42"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External senses</w:t>
            </w:r>
          </w:p>
        </w:tc>
        <w:tc>
          <w:tcPr>
            <w:tcW w:w="992" w:type="dxa"/>
          </w:tcPr>
          <w:p w14:paraId="2B3C08EC"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Internal senses</w:t>
            </w:r>
          </w:p>
        </w:tc>
        <w:tc>
          <w:tcPr>
            <w:tcW w:w="1074" w:type="dxa"/>
          </w:tcPr>
          <w:p w14:paraId="392F227F"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Agent, Possible, Material Intellect</w:t>
            </w:r>
          </w:p>
        </w:tc>
      </w:tr>
      <w:tr w:rsidR="008C5A6A" w:rsidRPr="00A472FC" w14:paraId="5B116196" w14:textId="77777777" w:rsidTr="00A77453">
        <w:tc>
          <w:tcPr>
            <w:tcW w:w="1597" w:type="dxa"/>
          </w:tcPr>
          <w:p w14:paraId="408B0007"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Source of the Question</w:t>
            </w:r>
          </w:p>
        </w:tc>
        <w:tc>
          <w:tcPr>
            <w:tcW w:w="990" w:type="dxa"/>
          </w:tcPr>
          <w:p w14:paraId="2F8CE961" w14:textId="77777777" w:rsidR="008C5A6A" w:rsidRPr="00A472FC" w:rsidRDefault="008C5A6A" w:rsidP="00A77453">
            <w:pPr>
              <w:jc w:val="center"/>
              <w:rPr>
                <w:rFonts w:ascii="Times New Roman" w:hAnsi="Times New Roman" w:cs="Times New Roman"/>
              </w:rPr>
            </w:pPr>
          </w:p>
        </w:tc>
        <w:tc>
          <w:tcPr>
            <w:tcW w:w="1377" w:type="dxa"/>
          </w:tcPr>
          <w:p w14:paraId="4BE20A1A" w14:textId="77777777" w:rsidR="008C5A6A" w:rsidRPr="00A472FC" w:rsidRDefault="008C5A6A" w:rsidP="00A77453">
            <w:pPr>
              <w:jc w:val="center"/>
              <w:rPr>
                <w:rFonts w:ascii="Times New Roman" w:hAnsi="Times New Roman" w:cs="Times New Roman"/>
              </w:rPr>
            </w:pPr>
            <w:proofErr w:type="spellStart"/>
            <w:r w:rsidRPr="00A472FC">
              <w:rPr>
                <w:rFonts w:ascii="Times New Roman" w:hAnsi="Times New Roman" w:cs="Times New Roman"/>
              </w:rPr>
              <w:t>Avicebron</w:t>
            </w:r>
            <w:proofErr w:type="spellEnd"/>
          </w:p>
        </w:tc>
        <w:tc>
          <w:tcPr>
            <w:tcW w:w="1377" w:type="dxa"/>
          </w:tcPr>
          <w:p w14:paraId="39AA5572"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Avicenna</w:t>
            </w:r>
          </w:p>
        </w:tc>
        <w:tc>
          <w:tcPr>
            <w:tcW w:w="1134" w:type="dxa"/>
          </w:tcPr>
          <w:p w14:paraId="569CD3A0"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 xml:space="preserve">Costa ben Luca and </w:t>
            </w:r>
            <w:proofErr w:type="spellStart"/>
            <w:r w:rsidRPr="00A472FC">
              <w:rPr>
                <w:rFonts w:ascii="Times New Roman" w:hAnsi="Times New Roman" w:cs="Times New Roman"/>
              </w:rPr>
              <w:t>Avicebron</w:t>
            </w:r>
            <w:proofErr w:type="spellEnd"/>
          </w:p>
        </w:tc>
        <w:tc>
          <w:tcPr>
            <w:tcW w:w="1418" w:type="dxa"/>
          </w:tcPr>
          <w:p w14:paraId="596F7977"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Aristotle/</w:t>
            </w:r>
          </w:p>
          <w:p w14:paraId="2493A9FE"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Avicenna</w:t>
            </w:r>
          </w:p>
        </w:tc>
        <w:tc>
          <w:tcPr>
            <w:tcW w:w="1316" w:type="dxa"/>
          </w:tcPr>
          <w:p w14:paraId="4FED2DFE"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Pseudo-Augustine/</w:t>
            </w:r>
          </w:p>
          <w:p w14:paraId="590A565E"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Isidore of Seville</w:t>
            </w:r>
          </w:p>
        </w:tc>
        <w:tc>
          <w:tcPr>
            <w:tcW w:w="1418" w:type="dxa"/>
          </w:tcPr>
          <w:p w14:paraId="7CA03FF8"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Christian sources</w:t>
            </w:r>
          </w:p>
        </w:tc>
        <w:tc>
          <w:tcPr>
            <w:tcW w:w="992" w:type="dxa"/>
          </w:tcPr>
          <w:p w14:paraId="2AC2F58C"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Avicenna</w:t>
            </w:r>
          </w:p>
        </w:tc>
        <w:tc>
          <w:tcPr>
            <w:tcW w:w="992" w:type="dxa"/>
          </w:tcPr>
          <w:p w14:paraId="1452B76E"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Avicenna</w:t>
            </w:r>
          </w:p>
        </w:tc>
        <w:tc>
          <w:tcPr>
            <w:tcW w:w="1074" w:type="dxa"/>
          </w:tcPr>
          <w:p w14:paraId="4453B9F2"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Avicenna</w:t>
            </w:r>
          </w:p>
        </w:tc>
      </w:tr>
      <w:tr w:rsidR="008C5A6A" w:rsidRPr="00A472FC" w14:paraId="19A8FEE1" w14:textId="77777777" w:rsidTr="00A77453">
        <w:tc>
          <w:tcPr>
            <w:tcW w:w="1597" w:type="dxa"/>
          </w:tcPr>
          <w:p w14:paraId="44D9AE2E"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Avicenna</w:t>
            </w:r>
          </w:p>
        </w:tc>
        <w:tc>
          <w:tcPr>
            <w:tcW w:w="990" w:type="dxa"/>
          </w:tcPr>
          <w:p w14:paraId="6DFBE9C2" w14:textId="77777777" w:rsidR="008C5A6A" w:rsidRPr="00A472FC" w:rsidRDefault="008C5A6A" w:rsidP="00A77453">
            <w:pPr>
              <w:jc w:val="center"/>
              <w:rPr>
                <w:rFonts w:ascii="Times New Roman" w:hAnsi="Times New Roman" w:cs="Times New Roman"/>
              </w:rPr>
            </w:pPr>
          </w:p>
        </w:tc>
        <w:tc>
          <w:tcPr>
            <w:tcW w:w="1377" w:type="dxa"/>
          </w:tcPr>
          <w:p w14:paraId="7443A984"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377" w:type="dxa"/>
          </w:tcPr>
          <w:p w14:paraId="62CB1879"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Accidentally</w:t>
            </w:r>
          </w:p>
        </w:tc>
        <w:tc>
          <w:tcPr>
            <w:tcW w:w="1134" w:type="dxa"/>
          </w:tcPr>
          <w:p w14:paraId="2476CCF9" w14:textId="77777777" w:rsidR="008C5A6A" w:rsidRPr="00A472FC" w:rsidRDefault="008C5A6A" w:rsidP="00A77453">
            <w:pPr>
              <w:jc w:val="center"/>
              <w:rPr>
                <w:rFonts w:ascii="Times New Roman" w:hAnsi="Times New Roman" w:cs="Times New Roman"/>
              </w:rPr>
            </w:pPr>
          </w:p>
        </w:tc>
        <w:tc>
          <w:tcPr>
            <w:tcW w:w="1418" w:type="dxa"/>
          </w:tcPr>
          <w:p w14:paraId="7CA23F53"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316" w:type="dxa"/>
          </w:tcPr>
          <w:p w14:paraId="77644F4E"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418" w:type="dxa"/>
          </w:tcPr>
          <w:p w14:paraId="5E4362CA"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992" w:type="dxa"/>
          </w:tcPr>
          <w:p w14:paraId="5A31B82C"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40735331"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c>
          <w:tcPr>
            <w:tcW w:w="1074" w:type="dxa"/>
          </w:tcPr>
          <w:p w14:paraId="234B4529"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r>
      <w:tr w:rsidR="008C5A6A" w:rsidRPr="00A472FC" w14:paraId="6A11D1E8" w14:textId="77777777" w:rsidTr="00A77453">
        <w:tc>
          <w:tcPr>
            <w:tcW w:w="1597" w:type="dxa"/>
          </w:tcPr>
          <w:p w14:paraId="0346AE12" w14:textId="77777777" w:rsidR="008C5A6A" w:rsidRPr="00A472FC" w:rsidRDefault="008C5A6A" w:rsidP="00A77453">
            <w:pPr>
              <w:jc w:val="center"/>
              <w:rPr>
                <w:rFonts w:ascii="Times New Roman" w:hAnsi="Times New Roman" w:cs="Times New Roman"/>
                <w:b/>
              </w:rPr>
            </w:pPr>
            <w:proofErr w:type="spellStart"/>
            <w:r w:rsidRPr="00A472FC">
              <w:rPr>
                <w:rFonts w:ascii="Times New Roman" w:hAnsi="Times New Roman" w:cs="Times New Roman"/>
                <w:b/>
              </w:rPr>
              <w:t>Gundissalinus</w:t>
            </w:r>
            <w:proofErr w:type="spellEnd"/>
          </w:p>
        </w:tc>
        <w:tc>
          <w:tcPr>
            <w:tcW w:w="990" w:type="dxa"/>
          </w:tcPr>
          <w:p w14:paraId="4990A215"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1170-75</w:t>
            </w:r>
          </w:p>
        </w:tc>
        <w:tc>
          <w:tcPr>
            <w:tcW w:w="1377" w:type="dxa"/>
          </w:tcPr>
          <w:p w14:paraId="4CA6ECA7"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1377" w:type="dxa"/>
          </w:tcPr>
          <w:p w14:paraId="3AD19829"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134" w:type="dxa"/>
          </w:tcPr>
          <w:p w14:paraId="15C74067"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1418" w:type="dxa"/>
          </w:tcPr>
          <w:p w14:paraId="17FE6B4A"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316" w:type="dxa"/>
          </w:tcPr>
          <w:p w14:paraId="1666AE62"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418" w:type="dxa"/>
          </w:tcPr>
          <w:p w14:paraId="7C3C976D"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 (ambiguous)</w:t>
            </w:r>
          </w:p>
        </w:tc>
        <w:tc>
          <w:tcPr>
            <w:tcW w:w="992" w:type="dxa"/>
          </w:tcPr>
          <w:p w14:paraId="3B8A28C9"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3E4B67FC"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c>
          <w:tcPr>
            <w:tcW w:w="1074" w:type="dxa"/>
          </w:tcPr>
          <w:p w14:paraId="6DE0F487"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r>
      <w:tr w:rsidR="008C5A6A" w:rsidRPr="00A472FC" w14:paraId="58F2EEAF" w14:textId="77777777" w:rsidTr="00A77453">
        <w:tc>
          <w:tcPr>
            <w:tcW w:w="1597" w:type="dxa"/>
          </w:tcPr>
          <w:p w14:paraId="48AE9CA7"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 xml:space="preserve">John </w:t>
            </w:r>
            <w:proofErr w:type="spellStart"/>
            <w:r w:rsidRPr="00A472FC">
              <w:rPr>
                <w:rFonts w:ascii="Times New Roman" w:hAnsi="Times New Roman" w:cs="Times New Roman"/>
                <w:b/>
              </w:rPr>
              <w:t>Blund</w:t>
            </w:r>
            <w:proofErr w:type="spellEnd"/>
          </w:p>
          <w:p w14:paraId="6DBC97AB"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(Arts master)</w:t>
            </w:r>
          </w:p>
        </w:tc>
        <w:tc>
          <w:tcPr>
            <w:tcW w:w="990" w:type="dxa"/>
          </w:tcPr>
          <w:p w14:paraId="771375A0"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Shortly after 1200</w:t>
            </w:r>
          </w:p>
        </w:tc>
        <w:tc>
          <w:tcPr>
            <w:tcW w:w="1377" w:type="dxa"/>
          </w:tcPr>
          <w:p w14:paraId="40947ABA"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377" w:type="dxa"/>
          </w:tcPr>
          <w:p w14:paraId="1B35184D"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Accidentally</w:t>
            </w:r>
          </w:p>
        </w:tc>
        <w:tc>
          <w:tcPr>
            <w:tcW w:w="1134" w:type="dxa"/>
          </w:tcPr>
          <w:p w14:paraId="5EF1F692"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__</w:t>
            </w:r>
          </w:p>
        </w:tc>
        <w:tc>
          <w:tcPr>
            <w:tcW w:w="1418" w:type="dxa"/>
          </w:tcPr>
          <w:p w14:paraId="038D2C83"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316" w:type="dxa"/>
          </w:tcPr>
          <w:p w14:paraId="59F15F87"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Implies yes</w:t>
            </w:r>
          </w:p>
        </w:tc>
        <w:tc>
          <w:tcPr>
            <w:tcW w:w="1418" w:type="dxa"/>
          </w:tcPr>
          <w:p w14:paraId="1BEA91E4"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992" w:type="dxa"/>
          </w:tcPr>
          <w:p w14:paraId="10EB951F"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38C49011"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c>
          <w:tcPr>
            <w:tcW w:w="1074" w:type="dxa"/>
          </w:tcPr>
          <w:p w14:paraId="67D7B2CA"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r>
      <w:tr w:rsidR="008C5A6A" w:rsidRPr="00A472FC" w14:paraId="04F18C22" w14:textId="77777777" w:rsidTr="00A77453">
        <w:tc>
          <w:tcPr>
            <w:tcW w:w="1597" w:type="dxa"/>
          </w:tcPr>
          <w:p w14:paraId="7ABBA0B6"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William of Auxerre</w:t>
            </w:r>
          </w:p>
          <w:p w14:paraId="0B1170F6"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(Secular master)</w:t>
            </w:r>
          </w:p>
        </w:tc>
        <w:tc>
          <w:tcPr>
            <w:tcW w:w="990" w:type="dxa"/>
          </w:tcPr>
          <w:p w14:paraId="3727572C"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lang w:val="en-US"/>
              </w:rPr>
              <w:t>First version 1215-26; Second version 1226-9</w:t>
            </w:r>
          </w:p>
          <w:p w14:paraId="7B480999" w14:textId="77777777" w:rsidR="008C5A6A" w:rsidRPr="00A472FC" w:rsidRDefault="008C5A6A" w:rsidP="00A77453">
            <w:pPr>
              <w:jc w:val="center"/>
              <w:rPr>
                <w:rFonts w:ascii="Times New Roman" w:hAnsi="Times New Roman" w:cs="Times New Roman"/>
              </w:rPr>
            </w:pPr>
          </w:p>
        </w:tc>
        <w:tc>
          <w:tcPr>
            <w:tcW w:w="1377" w:type="dxa"/>
          </w:tcPr>
          <w:p w14:paraId="15A531E3"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377" w:type="dxa"/>
          </w:tcPr>
          <w:p w14:paraId="7D779C51"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Substantially (in passing)</w:t>
            </w:r>
          </w:p>
        </w:tc>
        <w:tc>
          <w:tcPr>
            <w:tcW w:w="1134" w:type="dxa"/>
          </w:tcPr>
          <w:p w14:paraId="70B4BADF"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418" w:type="dxa"/>
          </w:tcPr>
          <w:p w14:paraId="6071E922"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316" w:type="dxa"/>
          </w:tcPr>
          <w:p w14:paraId="0D099B64"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418" w:type="dxa"/>
          </w:tcPr>
          <w:p w14:paraId="449AFD3B"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992" w:type="dxa"/>
          </w:tcPr>
          <w:p w14:paraId="08F1993A"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992" w:type="dxa"/>
          </w:tcPr>
          <w:p w14:paraId="379002EA"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074" w:type="dxa"/>
          </w:tcPr>
          <w:p w14:paraId="2ACC915E"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r>
      <w:tr w:rsidR="008C5A6A" w:rsidRPr="00A472FC" w14:paraId="0306DED7" w14:textId="77777777" w:rsidTr="00A77453">
        <w:tc>
          <w:tcPr>
            <w:tcW w:w="1597" w:type="dxa"/>
          </w:tcPr>
          <w:p w14:paraId="4199A4AE"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lastRenderedPageBreak/>
              <w:t>Philip the Chancellor</w:t>
            </w:r>
          </w:p>
          <w:p w14:paraId="3E4F871F"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(Secular master)</w:t>
            </w:r>
          </w:p>
        </w:tc>
        <w:tc>
          <w:tcPr>
            <w:tcW w:w="990" w:type="dxa"/>
          </w:tcPr>
          <w:p w14:paraId="0BFF76EC"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Around 1230</w:t>
            </w:r>
          </w:p>
        </w:tc>
        <w:tc>
          <w:tcPr>
            <w:tcW w:w="1377" w:type="dxa"/>
          </w:tcPr>
          <w:p w14:paraId="6281FA39"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 (ambiguous)</w:t>
            </w:r>
          </w:p>
        </w:tc>
        <w:tc>
          <w:tcPr>
            <w:tcW w:w="1377" w:type="dxa"/>
          </w:tcPr>
          <w:p w14:paraId="2F694948"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Accidentally</w:t>
            </w:r>
          </w:p>
        </w:tc>
        <w:tc>
          <w:tcPr>
            <w:tcW w:w="1134" w:type="dxa"/>
          </w:tcPr>
          <w:p w14:paraId="752D0A32"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1418" w:type="dxa"/>
          </w:tcPr>
          <w:p w14:paraId="5BED2576"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 (ambiguous)</w:t>
            </w:r>
          </w:p>
        </w:tc>
        <w:tc>
          <w:tcPr>
            <w:tcW w:w="1316" w:type="dxa"/>
          </w:tcPr>
          <w:p w14:paraId="33C2FF1A"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1418" w:type="dxa"/>
          </w:tcPr>
          <w:p w14:paraId="5AC15D1D"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992" w:type="dxa"/>
          </w:tcPr>
          <w:p w14:paraId="471E051D" w14:textId="77777777" w:rsidR="008C5A6A" w:rsidRPr="00A472FC" w:rsidRDefault="008C5A6A" w:rsidP="00A77453">
            <w:pPr>
              <w:jc w:val="center"/>
              <w:rPr>
                <w:rFonts w:ascii="Times New Roman" w:hAnsi="Times New Roman" w:cs="Times New Roman"/>
              </w:rPr>
            </w:pPr>
          </w:p>
        </w:tc>
        <w:tc>
          <w:tcPr>
            <w:tcW w:w="992" w:type="dxa"/>
          </w:tcPr>
          <w:p w14:paraId="65B712BC" w14:textId="77777777" w:rsidR="008C5A6A" w:rsidRPr="00A472FC" w:rsidRDefault="008C5A6A" w:rsidP="00A77453">
            <w:pPr>
              <w:jc w:val="center"/>
              <w:rPr>
                <w:rFonts w:ascii="Times New Roman" w:hAnsi="Times New Roman" w:cs="Times New Roman"/>
              </w:rPr>
            </w:pPr>
          </w:p>
        </w:tc>
        <w:tc>
          <w:tcPr>
            <w:tcW w:w="1074" w:type="dxa"/>
          </w:tcPr>
          <w:p w14:paraId="3B569109"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In passing</w:t>
            </w:r>
          </w:p>
        </w:tc>
      </w:tr>
      <w:tr w:rsidR="008C5A6A" w:rsidRPr="00A472FC" w14:paraId="756FC506" w14:textId="77777777" w:rsidTr="00A77453">
        <w:tc>
          <w:tcPr>
            <w:tcW w:w="1597" w:type="dxa"/>
          </w:tcPr>
          <w:p w14:paraId="399F860B"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Alexander of Hales</w:t>
            </w:r>
          </w:p>
          <w:p w14:paraId="37E626B8"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(Franciscan)</w:t>
            </w:r>
          </w:p>
        </w:tc>
        <w:tc>
          <w:tcPr>
            <w:tcW w:w="990" w:type="dxa"/>
          </w:tcPr>
          <w:p w14:paraId="13683FB5"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Before 1237</w:t>
            </w:r>
          </w:p>
        </w:tc>
        <w:tc>
          <w:tcPr>
            <w:tcW w:w="1377" w:type="dxa"/>
          </w:tcPr>
          <w:p w14:paraId="2160B495"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377" w:type="dxa"/>
          </w:tcPr>
          <w:p w14:paraId="15FC89F4"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134" w:type="dxa"/>
          </w:tcPr>
          <w:p w14:paraId="1445169B"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418" w:type="dxa"/>
          </w:tcPr>
          <w:p w14:paraId="3980FE4B"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316" w:type="dxa"/>
          </w:tcPr>
          <w:p w14:paraId="24A84FC0"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No—with its substance</w:t>
            </w:r>
          </w:p>
        </w:tc>
        <w:tc>
          <w:tcPr>
            <w:tcW w:w="1418" w:type="dxa"/>
          </w:tcPr>
          <w:p w14:paraId="68083DAF"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992" w:type="dxa"/>
          </w:tcPr>
          <w:p w14:paraId="1F33409D"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992" w:type="dxa"/>
          </w:tcPr>
          <w:p w14:paraId="0C4278F1"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074" w:type="dxa"/>
          </w:tcPr>
          <w:p w14:paraId="6D2667FA"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r>
      <w:tr w:rsidR="008C5A6A" w:rsidRPr="00A472FC" w14:paraId="0C2B8171" w14:textId="77777777" w:rsidTr="00A77453">
        <w:tc>
          <w:tcPr>
            <w:tcW w:w="1597" w:type="dxa"/>
          </w:tcPr>
          <w:p w14:paraId="5BE663E6"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Hugh of St Cher</w:t>
            </w:r>
          </w:p>
          <w:p w14:paraId="30935DF9" w14:textId="77777777" w:rsidR="008C5A6A" w:rsidRPr="00A472FC" w:rsidRDefault="008C5A6A" w:rsidP="00A77453">
            <w:pPr>
              <w:jc w:val="center"/>
              <w:rPr>
                <w:rFonts w:ascii="Times New Roman" w:hAnsi="Times New Roman" w:cs="Times New Roman"/>
                <w:b/>
                <w:i/>
              </w:rPr>
            </w:pPr>
            <w:r w:rsidRPr="00A472FC">
              <w:rPr>
                <w:rFonts w:ascii="Times New Roman" w:hAnsi="Times New Roman" w:cs="Times New Roman"/>
                <w:b/>
                <w:i/>
              </w:rPr>
              <w:t>De anima</w:t>
            </w:r>
          </w:p>
          <w:p w14:paraId="2088F71F"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(Dominican)</w:t>
            </w:r>
          </w:p>
        </w:tc>
        <w:tc>
          <w:tcPr>
            <w:tcW w:w="990" w:type="dxa"/>
          </w:tcPr>
          <w:p w14:paraId="417D15B0"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c. 1230-35</w:t>
            </w:r>
          </w:p>
        </w:tc>
        <w:tc>
          <w:tcPr>
            <w:tcW w:w="1377" w:type="dxa"/>
          </w:tcPr>
          <w:p w14:paraId="76B5C7F7"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1377" w:type="dxa"/>
          </w:tcPr>
          <w:p w14:paraId="36C5566D"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Substantially</w:t>
            </w:r>
          </w:p>
        </w:tc>
        <w:tc>
          <w:tcPr>
            <w:tcW w:w="1134" w:type="dxa"/>
          </w:tcPr>
          <w:p w14:paraId="4B916BA3"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1418" w:type="dxa"/>
          </w:tcPr>
          <w:p w14:paraId="24DB3677"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316" w:type="dxa"/>
          </w:tcPr>
          <w:p w14:paraId="08C53C70"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1418" w:type="dxa"/>
          </w:tcPr>
          <w:p w14:paraId="11AC59ED"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992" w:type="dxa"/>
          </w:tcPr>
          <w:p w14:paraId="1C028648"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992" w:type="dxa"/>
          </w:tcPr>
          <w:p w14:paraId="27E63FF0"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074" w:type="dxa"/>
          </w:tcPr>
          <w:p w14:paraId="472FB47A"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r>
      <w:tr w:rsidR="008C5A6A" w:rsidRPr="00A472FC" w14:paraId="18570766" w14:textId="77777777" w:rsidTr="00A77453">
        <w:tc>
          <w:tcPr>
            <w:tcW w:w="1597" w:type="dxa"/>
          </w:tcPr>
          <w:p w14:paraId="7C118CB6"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Roland of Cremona</w:t>
            </w:r>
          </w:p>
          <w:p w14:paraId="485018F4"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(Dominican)</w:t>
            </w:r>
          </w:p>
        </w:tc>
        <w:tc>
          <w:tcPr>
            <w:tcW w:w="990" w:type="dxa"/>
          </w:tcPr>
          <w:p w14:paraId="43DA25C7"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After 1234</w:t>
            </w:r>
          </w:p>
        </w:tc>
        <w:tc>
          <w:tcPr>
            <w:tcW w:w="1377" w:type="dxa"/>
          </w:tcPr>
          <w:p w14:paraId="22E814AB"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1377" w:type="dxa"/>
          </w:tcPr>
          <w:p w14:paraId="3C6DA1A3"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Substantially (but severed at death)</w:t>
            </w:r>
          </w:p>
        </w:tc>
        <w:tc>
          <w:tcPr>
            <w:tcW w:w="1134" w:type="dxa"/>
          </w:tcPr>
          <w:p w14:paraId="54DEC8EC"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1418" w:type="dxa"/>
          </w:tcPr>
          <w:p w14:paraId="01CEF65B"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316" w:type="dxa"/>
          </w:tcPr>
          <w:p w14:paraId="7BCDB4C1"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418" w:type="dxa"/>
          </w:tcPr>
          <w:p w14:paraId="1D9C5D0F"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992" w:type="dxa"/>
          </w:tcPr>
          <w:p w14:paraId="12AAC61E"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p w14:paraId="3C7F332F" w14:textId="1ACBFADB" w:rsidR="008C5A6A" w:rsidRPr="00A472FC" w:rsidRDefault="008C5A6A" w:rsidP="00A77453">
            <w:pPr>
              <w:jc w:val="center"/>
              <w:rPr>
                <w:rFonts w:ascii="Times New Roman" w:hAnsi="Times New Roman" w:cs="Times New Roman"/>
              </w:rPr>
            </w:pPr>
          </w:p>
        </w:tc>
        <w:tc>
          <w:tcPr>
            <w:tcW w:w="992" w:type="dxa"/>
          </w:tcPr>
          <w:p w14:paraId="76DB5415"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p w14:paraId="5735AACE" w14:textId="1E6369B2" w:rsidR="008C5A6A" w:rsidRPr="00A472FC" w:rsidRDefault="008C5A6A" w:rsidP="00A77453">
            <w:pPr>
              <w:jc w:val="center"/>
              <w:rPr>
                <w:rFonts w:ascii="Times New Roman" w:hAnsi="Times New Roman" w:cs="Times New Roman"/>
              </w:rPr>
            </w:pPr>
          </w:p>
        </w:tc>
        <w:tc>
          <w:tcPr>
            <w:tcW w:w="1074" w:type="dxa"/>
          </w:tcPr>
          <w:p w14:paraId="40E6805F"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p w14:paraId="65D786B0" w14:textId="66DA85BD" w:rsidR="008C5A6A" w:rsidRPr="00A472FC" w:rsidRDefault="008C5A6A" w:rsidP="00A77453">
            <w:pPr>
              <w:jc w:val="center"/>
              <w:rPr>
                <w:rFonts w:ascii="Times New Roman" w:hAnsi="Times New Roman" w:cs="Times New Roman"/>
              </w:rPr>
            </w:pPr>
          </w:p>
        </w:tc>
      </w:tr>
      <w:tr w:rsidR="008C5A6A" w:rsidRPr="00A472FC" w14:paraId="4EE7D81E" w14:textId="77777777" w:rsidTr="00A77453">
        <w:tc>
          <w:tcPr>
            <w:tcW w:w="1597" w:type="dxa"/>
          </w:tcPr>
          <w:p w14:paraId="5DC39863" w14:textId="77777777" w:rsidR="008C5A6A" w:rsidRPr="00A472FC" w:rsidRDefault="008C5A6A" w:rsidP="00A77453">
            <w:pPr>
              <w:jc w:val="center"/>
              <w:rPr>
                <w:rFonts w:ascii="Times New Roman" w:hAnsi="Times New Roman" w:cs="Times New Roman"/>
                <w:b/>
              </w:rPr>
            </w:pPr>
            <w:proofErr w:type="spellStart"/>
            <w:r w:rsidRPr="00A472FC">
              <w:rPr>
                <w:rFonts w:ascii="Times New Roman" w:hAnsi="Times New Roman" w:cs="Times New Roman"/>
                <w:b/>
              </w:rPr>
              <w:t>Guerric</w:t>
            </w:r>
            <w:proofErr w:type="spellEnd"/>
            <w:r w:rsidRPr="00A472FC">
              <w:rPr>
                <w:rFonts w:ascii="Times New Roman" w:hAnsi="Times New Roman" w:cs="Times New Roman"/>
                <w:b/>
              </w:rPr>
              <w:t xml:space="preserve"> of St Quentin</w:t>
            </w:r>
          </w:p>
          <w:p w14:paraId="33BA00FB"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(Dominican)</w:t>
            </w:r>
          </w:p>
        </w:tc>
        <w:tc>
          <w:tcPr>
            <w:tcW w:w="990" w:type="dxa"/>
          </w:tcPr>
          <w:p w14:paraId="01C4700F"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c. 1235-42</w:t>
            </w:r>
          </w:p>
        </w:tc>
        <w:tc>
          <w:tcPr>
            <w:tcW w:w="1377" w:type="dxa"/>
          </w:tcPr>
          <w:p w14:paraId="680B9EE0"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1377" w:type="dxa"/>
          </w:tcPr>
          <w:p w14:paraId="20DAF6C2"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Ambiguous</w:t>
            </w:r>
          </w:p>
        </w:tc>
        <w:tc>
          <w:tcPr>
            <w:tcW w:w="1134" w:type="dxa"/>
          </w:tcPr>
          <w:p w14:paraId="0B3932DE"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__</w:t>
            </w:r>
          </w:p>
        </w:tc>
        <w:tc>
          <w:tcPr>
            <w:tcW w:w="1418" w:type="dxa"/>
          </w:tcPr>
          <w:p w14:paraId="2C611F94"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316" w:type="dxa"/>
          </w:tcPr>
          <w:p w14:paraId="25053BB2"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418" w:type="dxa"/>
          </w:tcPr>
          <w:p w14:paraId="54CFE7B7"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Yes—some</w:t>
            </w:r>
          </w:p>
        </w:tc>
        <w:tc>
          <w:tcPr>
            <w:tcW w:w="992" w:type="dxa"/>
          </w:tcPr>
          <w:p w14:paraId="46F93F55"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992" w:type="dxa"/>
          </w:tcPr>
          <w:p w14:paraId="62FF7046"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074" w:type="dxa"/>
          </w:tcPr>
          <w:p w14:paraId="7C8329CF"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r>
      <w:tr w:rsidR="008C5A6A" w:rsidRPr="00A472FC" w14:paraId="5C30E861" w14:textId="77777777" w:rsidTr="00A77453">
        <w:tc>
          <w:tcPr>
            <w:tcW w:w="1597" w:type="dxa"/>
          </w:tcPr>
          <w:p w14:paraId="2F5AE2B9"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 xml:space="preserve">John of La Rochelle </w:t>
            </w:r>
          </w:p>
          <w:p w14:paraId="4CB8954B" w14:textId="77777777" w:rsidR="008C5A6A" w:rsidRPr="00A472FC" w:rsidRDefault="008C5A6A" w:rsidP="00A77453">
            <w:pPr>
              <w:jc w:val="center"/>
              <w:rPr>
                <w:rFonts w:ascii="Times New Roman" w:hAnsi="Times New Roman" w:cs="Times New Roman"/>
                <w:b/>
                <w:i/>
              </w:rPr>
            </w:pPr>
            <w:proofErr w:type="spellStart"/>
            <w:r w:rsidRPr="00A472FC">
              <w:rPr>
                <w:rFonts w:ascii="Times New Roman" w:hAnsi="Times New Roman" w:cs="Times New Roman"/>
                <w:b/>
                <w:i/>
              </w:rPr>
              <w:t>Tractatus</w:t>
            </w:r>
            <w:proofErr w:type="spellEnd"/>
          </w:p>
        </w:tc>
        <w:tc>
          <w:tcPr>
            <w:tcW w:w="990" w:type="dxa"/>
          </w:tcPr>
          <w:p w14:paraId="60444007"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c. 1233</w:t>
            </w:r>
          </w:p>
        </w:tc>
        <w:tc>
          <w:tcPr>
            <w:tcW w:w="1377" w:type="dxa"/>
          </w:tcPr>
          <w:p w14:paraId="355927F5"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377" w:type="dxa"/>
          </w:tcPr>
          <w:p w14:paraId="385EAC8F"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134" w:type="dxa"/>
          </w:tcPr>
          <w:p w14:paraId="230EB986"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418" w:type="dxa"/>
          </w:tcPr>
          <w:p w14:paraId="06F01FC7"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316" w:type="dxa"/>
          </w:tcPr>
          <w:p w14:paraId="44FFBD74"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1418" w:type="dxa"/>
          </w:tcPr>
          <w:p w14:paraId="2213F2C5"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992" w:type="dxa"/>
          </w:tcPr>
          <w:p w14:paraId="72552B0F"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4861C0D4"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c>
          <w:tcPr>
            <w:tcW w:w="1074" w:type="dxa"/>
          </w:tcPr>
          <w:p w14:paraId="692F71E2"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r>
      <w:tr w:rsidR="008C5A6A" w:rsidRPr="00A472FC" w14:paraId="1478CEF6" w14:textId="77777777" w:rsidTr="00A77453">
        <w:tc>
          <w:tcPr>
            <w:tcW w:w="1597" w:type="dxa"/>
          </w:tcPr>
          <w:p w14:paraId="5B4FC60D"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John of La Rochelle</w:t>
            </w:r>
          </w:p>
          <w:p w14:paraId="1E6DC162" w14:textId="77777777" w:rsidR="008C5A6A" w:rsidRPr="00A472FC" w:rsidRDefault="008C5A6A" w:rsidP="00A77453">
            <w:pPr>
              <w:jc w:val="center"/>
              <w:rPr>
                <w:rFonts w:ascii="Times New Roman" w:hAnsi="Times New Roman" w:cs="Times New Roman"/>
                <w:b/>
                <w:i/>
              </w:rPr>
            </w:pPr>
            <w:r w:rsidRPr="00A472FC">
              <w:rPr>
                <w:rFonts w:ascii="Times New Roman" w:hAnsi="Times New Roman" w:cs="Times New Roman"/>
                <w:b/>
                <w:i/>
              </w:rPr>
              <w:t>Summa de anima</w:t>
            </w:r>
          </w:p>
        </w:tc>
        <w:tc>
          <w:tcPr>
            <w:tcW w:w="990" w:type="dxa"/>
          </w:tcPr>
          <w:p w14:paraId="73A08C36"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1235-6</w:t>
            </w:r>
          </w:p>
        </w:tc>
        <w:tc>
          <w:tcPr>
            <w:tcW w:w="1377" w:type="dxa"/>
          </w:tcPr>
          <w:p w14:paraId="712FFBFC"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1377" w:type="dxa"/>
          </w:tcPr>
          <w:p w14:paraId="58E2E2DD"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Substantially</w:t>
            </w:r>
          </w:p>
        </w:tc>
        <w:tc>
          <w:tcPr>
            <w:tcW w:w="1134" w:type="dxa"/>
          </w:tcPr>
          <w:p w14:paraId="13261CEB"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1418" w:type="dxa"/>
          </w:tcPr>
          <w:p w14:paraId="383014AD"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316" w:type="dxa"/>
          </w:tcPr>
          <w:p w14:paraId="2795F842"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No—with its substance</w:t>
            </w:r>
          </w:p>
        </w:tc>
        <w:tc>
          <w:tcPr>
            <w:tcW w:w="1418" w:type="dxa"/>
          </w:tcPr>
          <w:p w14:paraId="3F61B36D"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992" w:type="dxa"/>
          </w:tcPr>
          <w:p w14:paraId="222D1FF6"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382FDF28"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c>
          <w:tcPr>
            <w:tcW w:w="1074" w:type="dxa"/>
          </w:tcPr>
          <w:p w14:paraId="1F90E39D"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r>
      <w:tr w:rsidR="008C5A6A" w:rsidRPr="00A472FC" w14:paraId="5417C570" w14:textId="77777777" w:rsidTr="00A77453">
        <w:tc>
          <w:tcPr>
            <w:tcW w:w="1597" w:type="dxa"/>
          </w:tcPr>
          <w:p w14:paraId="79A86D6F" w14:textId="77777777" w:rsidR="008C5A6A" w:rsidRPr="00A472FC" w:rsidRDefault="008C5A6A" w:rsidP="00A77453">
            <w:pPr>
              <w:jc w:val="center"/>
              <w:rPr>
                <w:rFonts w:ascii="Times New Roman" w:hAnsi="Times New Roman" w:cs="Times New Roman"/>
                <w:b/>
                <w:i/>
              </w:rPr>
            </w:pPr>
            <w:r w:rsidRPr="00A472FC">
              <w:rPr>
                <w:rFonts w:ascii="Times New Roman" w:hAnsi="Times New Roman" w:cs="Times New Roman"/>
                <w:b/>
                <w:i/>
              </w:rPr>
              <w:t xml:space="preserve">Summa </w:t>
            </w:r>
            <w:proofErr w:type="spellStart"/>
            <w:r w:rsidRPr="00A472FC">
              <w:rPr>
                <w:rFonts w:ascii="Times New Roman" w:hAnsi="Times New Roman" w:cs="Times New Roman"/>
                <w:b/>
                <w:i/>
              </w:rPr>
              <w:t>Halensis</w:t>
            </w:r>
            <w:proofErr w:type="spellEnd"/>
          </w:p>
        </w:tc>
        <w:tc>
          <w:tcPr>
            <w:tcW w:w="990" w:type="dxa"/>
          </w:tcPr>
          <w:p w14:paraId="4D7B32C2"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1236-45</w:t>
            </w:r>
          </w:p>
        </w:tc>
        <w:tc>
          <w:tcPr>
            <w:tcW w:w="1377" w:type="dxa"/>
          </w:tcPr>
          <w:p w14:paraId="0A572B00"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1377" w:type="dxa"/>
          </w:tcPr>
          <w:p w14:paraId="4D194F67"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Substantially</w:t>
            </w:r>
          </w:p>
        </w:tc>
        <w:tc>
          <w:tcPr>
            <w:tcW w:w="1134" w:type="dxa"/>
          </w:tcPr>
          <w:p w14:paraId="5F08094B" w14:textId="77777777" w:rsidR="008C5A6A" w:rsidRPr="00A472FC" w:rsidRDefault="008C5A6A" w:rsidP="00A77453">
            <w:pPr>
              <w:jc w:val="center"/>
              <w:rPr>
                <w:rFonts w:ascii="Times New Roman" w:hAnsi="Times New Roman" w:cs="Times New Roman"/>
              </w:rPr>
            </w:pPr>
          </w:p>
        </w:tc>
        <w:tc>
          <w:tcPr>
            <w:tcW w:w="1418" w:type="dxa"/>
          </w:tcPr>
          <w:p w14:paraId="52596B25"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316" w:type="dxa"/>
          </w:tcPr>
          <w:p w14:paraId="4B704FAB"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No—with its substance</w:t>
            </w:r>
          </w:p>
        </w:tc>
        <w:tc>
          <w:tcPr>
            <w:tcW w:w="1418" w:type="dxa"/>
          </w:tcPr>
          <w:p w14:paraId="2EAD3C2C"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w:t>
            </w:r>
          </w:p>
        </w:tc>
        <w:tc>
          <w:tcPr>
            <w:tcW w:w="992" w:type="dxa"/>
          </w:tcPr>
          <w:p w14:paraId="46EA30C9"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215E6FD4"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c>
          <w:tcPr>
            <w:tcW w:w="1074" w:type="dxa"/>
          </w:tcPr>
          <w:p w14:paraId="3EF4E591"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r>
      <w:tr w:rsidR="008C5A6A" w:rsidRPr="00A472FC" w14:paraId="4BE8A3CC" w14:textId="77777777" w:rsidTr="00A77453">
        <w:tc>
          <w:tcPr>
            <w:tcW w:w="1597" w:type="dxa"/>
          </w:tcPr>
          <w:p w14:paraId="2EFE4AC1" w14:textId="77777777" w:rsidR="008C5A6A" w:rsidRPr="00A472FC" w:rsidRDefault="008C5A6A" w:rsidP="00A77453">
            <w:pPr>
              <w:jc w:val="center"/>
              <w:rPr>
                <w:rFonts w:ascii="Times New Roman" w:hAnsi="Times New Roman" w:cs="Times New Roman"/>
                <w:b/>
              </w:rPr>
            </w:pPr>
            <w:r w:rsidRPr="00A472FC">
              <w:rPr>
                <w:rFonts w:ascii="Times New Roman" w:hAnsi="Times New Roman" w:cs="Times New Roman"/>
                <w:b/>
              </w:rPr>
              <w:t>William of Auvergne</w:t>
            </w:r>
          </w:p>
        </w:tc>
        <w:tc>
          <w:tcPr>
            <w:tcW w:w="990" w:type="dxa"/>
          </w:tcPr>
          <w:p w14:paraId="6C86AB9F"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1235-40 or later</w:t>
            </w:r>
          </w:p>
        </w:tc>
        <w:tc>
          <w:tcPr>
            <w:tcW w:w="1377" w:type="dxa"/>
          </w:tcPr>
          <w:p w14:paraId="0572E6FB"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377" w:type="dxa"/>
          </w:tcPr>
          <w:p w14:paraId="2413D42C"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Accidentally</w:t>
            </w:r>
          </w:p>
        </w:tc>
        <w:tc>
          <w:tcPr>
            <w:tcW w:w="1134" w:type="dxa"/>
          </w:tcPr>
          <w:p w14:paraId="27BF5D2C"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418" w:type="dxa"/>
          </w:tcPr>
          <w:p w14:paraId="73663BDF"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1316" w:type="dxa"/>
          </w:tcPr>
          <w:p w14:paraId="3413C084"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Yes</w:t>
            </w:r>
          </w:p>
        </w:tc>
        <w:tc>
          <w:tcPr>
            <w:tcW w:w="1418" w:type="dxa"/>
          </w:tcPr>
          <w:p w14:paraId="74CD4E02"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No</w:t>
            </w:r>
          </w:p>
        </w:tc>
        <w:tc>
          <w:tcPr>
            <w:tcW w:w="992" w:type="dxa"/>
          </w:tcPr>
          <w:p w14:paraId="03369C90"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c>
          <w:tcPr>
            <w:tcW w:w="992" w:type="dxa"/>
          </w:tcPr>
          <w:p w14:paraId="61210146"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c>
          <w:tcPr>
            <w:tcW w:w="1074" w:type="dxa"/>
          </w:tcPr>
          <w:p w14:paraId="4A3AC6C7" w14:textId="77777777" w:rsidR="008C5A6A" w:rsidRPr="00A472FC" w:rsidRDefault="008C5A6A" w:rsidP="00A77453">
            <w:pPr>
              <w:jc w:val="center"/>
              <w:rPr>
                <w:rFonts w:ascii="Times New Roman" w:hAnsi="Times New Roman" w:cs="Times New Roman"/>
              </w:rPr>
            </w:pPr>
            <w:r w:rsidRPr="00A472FC">
              <w:rPr>
                <w:rFonts w:ascii="Times New Roman" w:hAnsi="Times New Roman" w:cs="Times New Roman"/>
              </w:rPr>
              <w:t>X</w:t>
            </w:r>
          </w:p>
        </w:tc>
      </w:tr>
    </w:tbl>
    <w:p w14:paraId="36E0AB57" w14:textId="77777777" w:rsidR="008C5A6A" w:rsidRPr="00A472FC" w:rsidRDefault="008C5A6A" w:rsidP="008C5A6A">
      <w:pPr>
        <w:rPr>
          <w:rFonts w:ascii="Times New Roman" w:hAnsi="Times New Roman" w:cs="Times New Roman"/>
        </w:rPr>
      </w:pPr>
    </w:p>
    <w:p w14:paraId="5E6C1DB9" w14:textId="559D386C" w:rsidR="007C038D" w:rsidRPr="00A472FC" w:rsidRDefault="007C038D" w:rsidP="008C5A6A">
      <w:pPr>
        <w:ind w:right="-52"/>
        <w:rPr>
          <w:rFonts w:ascii="Times New Roman" w:hAnsi="Times New Roman" w:cs="Times New Roman"/>
        </w:rPr>
        <w:sectPr w:rsidR="007C038D" w:rsidRPr="00A472FC" w:rsidSect="00715998">
          <w:footnotePr>
            <w:numRestart w:val="eachSect"/>
          </w:footnotePr>
          <w:endnotePr>
            <w:numRestart w:val="eachSect"/>
          </w:endnotePr>
          <w:pgSz w:w="16820" w:h="11900" w:orient="landscape"/>
          <w:pgMar w:top="1440" w:right="1440" w:bottom="1440" w:left="1440" w:header="720" w:footer="720" w:gutter="0"/>
          <w:cols w:space="720"/>
          <w:docGrid w:linePitch="360"/>
        </w:sectPr>
      </w:pPr>
    </w:p>
    <w:p w14:paraId="6A26AB48" w14:textId="667ACCFE" w:rsidR="007C038D" w:rsidRPr="00A472FC" w:rsidRDefault="007C038D" w:rsidP="006F707D">
      <w:pPr>
        <w:rPr>
          <w:rFonts w:ascii="Times New Roman" w:hAnsi="Times New Roman" w:cs="Times New Roman"/>
          <w:b/>
        </w:rPr>
      </w:pPr>
      <w:r w:rsidRPr="00A472FC">
        <w:rPr>
          <w:rFonts w:ascii="Times New Roman" w:hAnsi="Times New Roman" w:cs="Times New Roman"/>
          <w:b/>
        </w:rPr>
        <w:lastRenderedPageBreak/>
        <w:t>3. The Soul and the Body</w:t>
      </w:r>
    </w:p>
    <w:p w14:paraId="6885E0F7" w14:textId="77777777" w:rsidR="007C038D" w:rsidRPr="00A472FC" w:rsidRDefault="007C038D" w:rsidP="00881604">
      <w:pPr>
        <w:ind w:right="-52" w:firstLine="720"/>
        <w:rPr>
          <w:rFonts w:ascii="Times New Roman" w:hAnsi="Times New Roman" w:cs="Times New Roman"/>
        </w:rPr>
      </w:pPr>
    </w:p>
    <w:p w14:paraId="6CB1B5D2" w14:textId="3536A1B6" w:rsidR="001D2E45" w:rsidRPr="00A472FC" w:rsidRDefault="00095556" w:rsidP="001D2E45">
      <w:pPr>
        <w:ind w:right="-52" w:firstLine="720"/>
        <w:rPr>
          <w:rFonts w:ascii="Times New Roman" w:hAnsi="Times New Roman" w:cs="Times New Roman"/>
          <w:color w:val="000000"/>
        </w:rPr>
      </w:pPr>
      <w:r w:rsidRPr="00A472FC">
        <w:rPr>
          <w:rFonts w:ascii="Times New Roman" w:hAnsi="Times New Roman" w:cs="Times New Roman"/>
          <w:color w:val="000000"/>
        </w:rPr>
        <w:t>The medieval Christian tradition inherited though Augustine and to some extent the Platonic tradition more generally</w:t>
      </w:r>
      <w:r w:rsidR="00985CEB">
        <w:rPr>
          <w:rFonts w:ascii="Times New Roman" w:hAnsi="Times New Roman" w:cs="Times New Roman"/>
          <w:color w:val="000000"/>
        </w:rPr>
        <w:t xml:space="preserve"> </w:t>
      </w:r>
      <w:r w:rsidR="00203400">
        <w:rPr>
          <w:rFonts w:ascii="Times New Roman" w:hAnsi="Times New Roman" w:cs="Times New Roman"/>
          <w:color w:val="000000"/>
        </w:rPr>
        <w:t xml:space="preserve">tended to </w:t>
      </w:r>
      <w:r w:rsidR="006532F3">
        <w:rPr>
          <w:rFonts w:ascii="Times New Roman" w:hAnsi="Times New Roman" w:cs="Times New Roman"/>
          <w:color w:val="000000"/>
        </w:rPr>
        <w:t>assume</w:t>
      </w:r>
      <w:r w:rsidRPr="00A472FC">
        <w:rPr>
          <w:rFonts w:ascii="Times New Roman" w:hAnsi="Times New Roman" w:cs="Times New Roman"/>
          <w:color w:val="000000"/>
        </w:rPr>
        <w:t xml:space="preserve"> a somewhat conflicted account of the relationship between the body and the soul. </w:t>
      </w:r>
      <w:r w:rsidR="00514D60" w:rsidRPr="00A472FC">
        <w:rPr>
          <w:rFonts w:ascii="Times New Roman" w:hAnsi="Times New Roman" w:cs="Times New Roman"/>
          <w:color w:val="000000"/>
        </w:rPr>
        <w:t>In some places, for example, Augustine seems to define the human being purely in terms of the soul or rationality and without reference to the body. Thus, he speaks in both his earlier and later works of the human being as ‘a mortal rational animal,’</w:t>
      </w:r>
      <w:r w:rsidR="00514D60" w:rsidRPr="00A472FC">
        <w:rPr>
          <w:rStyle w:val="FootnoteReference"/>
          <w:rFonts w:ascii="Times New Roman" w:hAnsi="Times New Roman" w:cs="Times New Roman"/>
          <w:color w:val="000000"/>
        </w:rPr>
        <w:footnoteReference w:id="285"/>
      </w:r>
      <w:r w:rsidR="00514D60" w:rsidRPr="00A472FC">
        <w:rPr>
          <w:rFonts w:ascii="Times New Roman" w:hAnsi="Times New Roman" w:cs="Times New Roman"/>
          <w:color w:val="000000"/>
        </w:rPr>
        <w:t xml:space="preserve"> or in Platonic terms </w:t>
      </w:r>
      <w:r w:rsidR="006532F3">
        <w:rPr>
          <w:rFonts w:ascii="Times New Roman" w:hAnsi="Times New Roman" w:cs="Times New Roman"/>
          <w:color w:val="000000"/>
        </w:rPr>
        <w:t>of</w:t>
      </w:r>
      <w:r w:rsidR="00514D60" w:rsidRPr="00A472FC">
        <w:rPr>
          <w:rFonts w:ascii="Times New Roman" w:hAnsi="Times New Roman" w:cs="Times New Roman"/>
          <w:color w:val="000000"/>
        </w:rPr>
        <w:t xml:space="preserve"> a ‘soul using a body.’</w:t>
      </w:r>
      <w:r w:rsidR="00514D60" w:rsidRPr="00A472FC">
        <w:rPr>
          <w:rStyle w:val="FootnoteReference"/>
          <w:rFonts w:ascii="Times New Roman" w:hAnsi="Times New Roman" w:cs="Times New Roman"/>
          <w:color w:val="000000"/>
        </w:rPr>
        <w:footnoteReference w:id="286"/>
      </w:r>
      <w:r w:rsidR="00514D60" w:rsidRPr="00A472FC">
        <w:rPr>
          <w:rFonts w:ascii="Times New Roman" w:hAnsi="Times New Roman" w:cs="Times New Roman"/>
          <w:color w:val="000000"/>
        </w:rPr>
        <w:t xml:space="preserve"> </w:t>
      </w:r>
      <w:r w:rsidR="001D2E45" w:rsidRPr="00A472FC">
        <w:rPr>
          <w:rFonts w:ascii="Times New Roman" w:hAnsi="Times New Roman" w:cs="Times New Roman"/>
          <w:color w:val="000000"/>
        </w:rPr>
        <w:t>Although his remarks in these contexts suggest that he equates the human being with the soul, in a way that might be taken to disparage the body, there are other passages where he indicates that the human is a composite of body and soul.</w:t>
      </w:r>
      <w:r w:rsidR="001D2E45" w:rsidRPr="00A472FC">
        <w:rPr>
          <w:rStyle w:val="FootnoteReference"/>
          <w:rFonts w:ascii="Times New Roman" w:hAnsi="Times New Roman" w:cs="Times New Roman"/>
          <w:color w:val="000000"/>
        </w:rPr>
        <w:footnoteReference w:id="287"/>
      </w:r>
      <w:r w:rsidR="001D2E45" w:rsidRPr="00A472FC">
        <w:rPr>
          <w:rFonts w:ascii="Times New Roman" w:hAnsi="Times New Roman" w:cs="Times New Roman"/>
          <w:color w:val="000000"/>
        </w:rPr>
        <w:t xml:space="preserve"> As </w:t>
      </w:r>
      <w:proofErr w:type="spellStart"/>
      <w:r w:rsidR="001D2E45" w:rsidRPr="00A472FC">
        <w:rPr>
          <w:rFonts w:ascii="Times New Roman" w:hAnsi="Times New Roman" w:cs="Times New Roman"/>
          <w:color w:val="000000"/>
        </w:rPr>
        <w:t>McGinn</w:t>
      </w:r>
      <w:proofErr w:type="spellEnd"/>
      <w:r w:rsidR="001D2E45" w:rsidRPr="00A472FC">
        <w:rPr>
          <w:rFonts w:ascii="Times New Roman" w:hAnsi="Times New Roman" w:cs="Times New Roman"/>
          <w:color w:val="000000"/>
        </w:rPr>
        <w:t xml:space="preserve"> notes, moreover, he often described the human being as a mediator between God and creation and thus ‘preserved the substantial unity of man by creating a theology of the temporal subject without a corresponding theology of man as corporeal nature.’</w:t>
      </w:r>
      <w:r w:rsidR="001D2E45" w:rsidRPr="00A472FC">
        <w:rPr>
          <w:rStyle w:val="FootnoteReference"/>
          <w:rFonts w:ascii="Times New Roman" w:hAnsi="Times New Roman" w:cs="Times New Roman"/>
          <w:color w:val="000000"/>
        </w:rPr>
        <w:footnoteReference w:id="288"/>
      </w:r>
      <w:r w:rsidR="001D2E45" w:rsidRPr="00A472FC">
        <w:rPr>
          <w:rFonts w:ascii="Times New Roman" w:hAnsi="Times New Roman" w:cs="Times New Roman"/>
          <w:color w:val="000000"/>
        </w:rPr>
        <w:t xml:space="preserve"> </w:t>
      </w:r>
    </w:p>
    <w:p w14:paraId="69B07D6C" w14:textId="1A8EB55B" w:rsidR="004C1CD7" w:rsidRPr="00A472FC" w:rsidRDefault="001D2E45" w:rsidP="001324F5">
      <w:pPr>
        <w:ind w:right="-52" w:firstLine="720"/>
        <w:rPr>
          <w:rFonts w:ascii="Times New Roman" w:hAnsi="Times New Roman" w:cs="Times New Roman"/>
          <w:color w:val="000000"/>
        </w:rPr>
      </w:pPr>
      <w:r w:rsidRPr="00A472FC">
        <w:rPr>
          <w:rFonts w:ascii="Times New Roman" w:hAnsi="Times New Roman" w:cs="Times New Roman"/>
          <w:color w:val="000000"/>
        </w:rPr>
        <w:t xml:space="preserve">The absence of a robust theory of the soul’s relationship to the body </w:t>
      </w:r>
      <w:r w:rsidR="00882C32" w:rsidRPr="00A472FC">
        <w:rPr>
          <w:rFonts w:ascii="Times New Roman" w:hAnsi="Times New Roman" w:cs="Times New Roman"/>
          <w:color w:val="000000"/>
        </w:rPr>
        <w:t>left</w:t>
      </w:r>
      <w:r w:rsidRPr="00A472FC">
        <w:rPr>
          <w:rFonts w:ascii="Times New Roman" w:hAnsi="Times New Roman" w:cs="Times New Roman"/>
          <w:color w:val="000000"/>
        </w:rPr>
        <w:t xml:space="preserve"> open a</w:t>
      </w:r>
      <w:r w:rsidR="00230267" w:rsidRPr="00A472FC">
        <w:rPr>
          <w:rFonts w:ascii="Times New Roman" w:hAnsi="Times New Roman" w:cs="Times New Roman"/>
          <w:color w:val="000000"/>
        </w:rPr>
        <w:t xml:space="preserve"> </w:t>
      </w:r>
      <w:r w:rsidRPr="00A472FC">
        <w:rPr>
          <w:rFonts w:ascii="Times New Roman" w:hAnsi="Times New Roman" w:cs="Times New Roman"/>
          <w:color w:val="000000"/>
        </w:rPr>
        <w:t xml:space="preserve">number of questions about how to </w:t>
      </w:r>
      <w:r w:rsidR="009A667B" w:rsidRPr="00A472FC">
        <w:rPr>
          <w:rFonts w:ascii="Times New Roman" w:hAnsi="Times New Roman" w:cs="Times New Roman"/>
          <w:color w:val="000000"/>
        </w:rPr>
        <w:t>define its</w:t>
      </w:r>
      <w:r w:rsidRPr="00A472FC">
        <w:rPr>
          <w:rFonts w:ascii="Times New Roman" w:hAnsi="Times New Roman" w:cs="Times New Roman"/>
          <w:color w:val="000000"/>
        </w:rPr>
        <w:t xml:space="preserve"> status and significance</w:t>
      </w:r>
      <w:r w:rsidR="00882C32" w:rsidRPr="00A472FC">
        <w:rPr>
          <w:rFonts w:ascii="Times New Roman" w:hAnsi="Times New Roman" w:cs="Times New Roman"/>
          <w:color w:val="000000"/>
        </w:rPr>
        <w:t xml:space="preserve"> and thus rendered Augustine susceptible to interpretations of his thought which he may not necessarily have endorsed</w:t>
      </w:r>
      <w:r w:rsidRPr="00A472FC">
        <w:rPr>
          <w:rFonts w:ascii="Times New Roman" w:hAnsi="Times New Roman" w:cs="Times New Roman"/>
          <w:color w:val="000000"/>
        </w:rPr>
        <w:t>.</w:t>
      </w:r>
      <w:r w:rsidRPr="00A472FC">
        <w:rPr>
          <w:rStyle w:val="FootnoteReference"/>
          <w:rFonts w:ascii="Times New Roman" w:hAnsi="Times New Roman" w:cs="Times New Roman"/>
          <w:color w:val="000000"/>
        </w:rPr>
        <w:footnoteReference w:id="289"/>
      </w:r>
      <w:r w:rsidRPr="00A472FC">
        <w:rPr>
          <w:rFonts w:ascii="Times New Roman" w:hAnsi="Times New Roman" w:cs="Times New Roman"/>
          <w:color w:val="000000"/>
        </w:rPr>
        <w:t xml:space="preserve"> </w:t>
      </w:r>
      <w:r w:rsidR="00882C32" w:rsidRPr="00A472FC">
        <w:rPr>
          <w:rFonts w:ascii="Times New Roman" w:hAnsi="Times New Roman" w:cs="Times New Roman"/>
          <w:color w:val="000000"/>
        </w:rPr>
        <w:t xml:space="preserve">In the period under consideration here, for instance, his thought on this issue was often rendered along the lines of various pseudo-Augustinian works which </w:t>
      </w:r>
      <w:r w:rsidR="00230267" w:rsidRPr="00A472FC">
        <w:rPr>
          <w:rFonts w:ascii="Times New Roman" w:hAnsi="Times New Roman" w:cs="Times New Roman"/>
          <w:color w:val="000000"/>
        </w:rPr>
        <w:t>favoured the view that the</w:t>
      </w:r>
      <w:r w:rsidR="00882C32" w:rsidRPr="00A472FC">
        <w:rPr>
          <w:rFonts w:ascii="Times New Roman" w:hAnsi="Times New Roman" w:cs="Times New Roman"/>
          <w:color w:val="000000"/>
        </w:rPr>
        <w:t xml:space="preserve"> human person consists in </w:t>
      </w:r>
      <w:r w:rsidR="00311EC2" w:rsidRPr="00A472FC">
        <w:rPr>
          <w:rFonts w:ascii="Times New Roman" w:hAnsi="Times New Roman" w:cs="Times New Roman"/>
          <w:color w:val="000000"/>
        </w:rPr>
        <w:t>a</w:t>
      </w:r>
      <w:r w:rsidR="00882C32" w:rsidRPr="00A472FC">
        <w:rPr>
          <w:rFonts w:ascii="Times New Roman" w:hAnsi="Times New Roman" w:cs="Times New Roman"/>
          <w:color w:val="000000"/>
        </w:rPr>
        <w:t xml:space="preserve"> soul which is a separate substance from the body, even if it somehow uses a unique body to which it has been united and in which it will be resurrected.</w:t>
      </w:r>
      <w:r w:rsidR="001324F5" w:rsidRPr="00A472FC">
        <w:rPr>
          <w:rFonts w:ascii="Times New Roman" w:hAnsi="Times New Roman" w:cs="Times New Roman"/>
          <w:color w:val="000000"/>
        </w:rPr>
        <w:t xml:space="preserve"> </w:t>
      </w:r>
      <w:r w:rsidR="004C1CD7" w:rsidRPr="00A472FC">
        <w:rPr>
          <w:rFonts w:ascii="Times New Roman" w:hAnsi="Times New Roman" w:cs="Times New Roman"/>
          <w:bCs/>
        </w:rPr>
        <w:t xml:space="preserve">As Crowley notes, </w:t>
      </w:r>
      <w:r w:rsidR="0084366A">
        <w:rPr>
          <w:rFonts w:ascii="Times New Roman" w:hAnsi="Times New Roman" w:cs="Times New Roman"/>
          <w:bCs/>
        </w:rPr>
        <w:t xml:space="preserve">this </w:t>
      </w:r>
      <w:r w:rsidR="004C1CD7" w:rsidRPr="00A472FC">
        <w:rPr>
          <w:rFonts w:ascii="Times New Roman" w:hAnsi="Times New Roman" w:cs="Times New Roman"/>
        </w:rPr>
        <w:t xml:space="preserve">‘definition of the soul as a spiritual substance is to be found in the pseudo-Augustinian </w:t>
      </w:r>
      <w:r w:rsidR="004C1CD7" w:rsidRPr="00A472FC">
        <w:rPr>
          <w:rFonts w:ascii="Times New Roman" w:hAnsi="Times New Roman" w:cs="Times New Roman"/>
          <w:i/>
        </w:rPr>
        <w:t xml:space="preserve">De </w:t>
      </w:r>
      <w:proofErr w:type="spellStart"/>
      <w:r w:rsidR="004C1CD7" w:rsidRPr="00A472FC">
        <w:rPr>
          <w:rFonts w:ascii="Times New Roman" w:hAnsi="Times New Roman" w:cs="Times New Roman"/>
          <w:i/>
        </w:rPr>
        <w:t>spiritu</w:t>
      </w:r>
      <w:proofErr w:type="spellEnd"/>
      <w:r w:rsidR="004C1CD7" w:rsidRPr="00A472FC">
        <w:rPr>
          <w:rFonts w:ascii="Times New Roman" w:hAnsi="Times New Roman" w:cs="Times New Roman"/>
          <w:i/>
        </w:rPr>
        <w:t xml:space="preserve"> et anima</w:t>
      </w:r>
      <w:r w:rsidR="004C1CD7" w:rsidRPr="00A472FC">
        <w:rPr>
          <w:rFonts w:ascii="Times New Roman" w:hAnsi="Times New Roman" w:cs="Times New Roman"/>
        </w:rPr>
        <w:t>, which had a wide circulation in the thirteenth century.’</w:t>
      </w:r>
      <w:r w:rsidR="006E0BE7" w:rsidRPr="00A472FC">
        <w:rPr>
          <w:rStyle w:val="FootnoteReference"/>
          <w:rFonts w:ascii="Times New Roman" w:hAnsi="Times New Roman" w:cs="Times New Roman"/>
        </w:rPr>
        <w:t xml:space="preserve"> </w:t>
      </w:r>
      <w:r w:rsidR="006E0BE7" w:rsidRPr="00A472FC">
        <w:rPr>
          <w:rStyle w:val="FootnoteReference"/>
          <w:rFonts w:ascii="Times New Roman" w:hAnsi="Times New Roman" w:cs="Times New Roman"/>
        </w:rPr>
        <w:footnoteReference w:id="290"/>
      </w:r>
      <w:r w:rsidR="004C1CD7" w:rsidRPr="00A472FC">
        <w:rPr>
          <w:rFonts w:ascii="Times New Roman" w:hAnsi="Times New Roman" w:cs="Times New Roman"/>
        </w:rPr>
        <w:t xml:space="preserve"> According to Gilson, Crowley observes, th</w:t>
      </w:r>
      <w:r w:rsidR="00643F43">
        <w:rPr>
          <w:rFonts w:ascii="Times New Roman" w:hAnsi="Times New Roman" w:cs="Times New Roman"/>
        </w:rPr>
        <w:t>at</w:t>
      </w:r>
      <w:r w:rsidR="004C1CD7" w:rsidRPr="00A472FC">
        <w:rPr>
          <w:rFonts w:ascii="Times New Roman" w:hAnsi="Times New Roman" w:cs="Times New Roman"/>
        </w:rPr>
        <w:t xml:space="preserve"> definition exhibited a ‘genuinely Augustinian character,’</w:t>
      </w:r>
      <w:r w:rsidR="004C1CD7" w:rsidRPr="00A472FC">
        <w:rPr>
          <w:rStyle w:val="FootnoteReference"/>
          <w:rFonts w:ascii="Times New Roman" w:hAnsi="Times New Roman" w:cs="Times New Roman"/>
        </w:rPr>
        <w:footnoteReference w:id="291"/>
      </w:r>
      <w:r w:rsidR="004C1CD7" w:rsidRPr="00A472FC">
        <w:rPr>
          <w:rFonts w:ascii="Times New Roman" w:hAnsi="Times New Roman" w:cs="Times New Roman"/>
        </w:rPr>
        <w:t xml:space="preserve"> which in turn rendered Augustine consistent in Gilson’s view with Avicenna, who also ‘stressed the substantiality of the soul.’</w:t>
      </w:r>
      <w:r w:rsidR="004C1CD7" w:rsidRPr="00A472FC">
        <w:rPr>
          <w:rStyle w:val="FootnoteReference"/>
          <w:rFonts w:ascii="Times New Roman" w:hAnsi="Times New Roman" w:cs="Times New Roman"/>
        </w:rPr>
        <w:footnoteReference w:id="292"/>
      </w:r>
    </w:p>
    <w:p w14:paraId="32C8936B" w14:textId="7ECB03DD"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color w:val="000000"/>
        </w:rPr>
        <w:t xml:space="preserve">The reading of Augustine along these lines was further encouraged by other spurious Augustinian works, particularly, </w:t>
      </w:r>
      <w:r w:rsidRPr="00A472FC">
        <w:rPr>
          <w:rFonts w:ascii="Times New Roman" w:hAnsi="Times New Roman" w:cs="Times New Roman"/>
          <w:bCs/>
          <w:i/>
          <w:iCs/>
        </w:rPr>
        <w:t xml:space="preserve">De fide ad </w:t>
      </w:r>
      <w:proofErr w:type="spellStart"/>
      <w:r w:rsidRPr="00A472FC">
        <w:rPr>
          <w:rFonts w:ascii="Times New Roman" w:hAnsi="Times New Roman" w:cs="Times New Roman"/>
          <w:bCs/>
          <w:i/>
          <w:iCs/>
        </w:rPr>
        <w:t>Petrum</w:t>
      </w:r>
      <w:proofErr w:type="spellEnd"/>
      <w:r w:rsidRPr="00A472FC">
        <w:rPr>
          <w:rFonts w:ascii="Times New Roman" w:hAnsi="Times New Roman" w:cs="Times New Roman"/>
          <w:bCs/>
        </w:rPr>
        <w:t>,</w:t>
      </w:r>
      <w:r w:rsidRPr="00A472FC">
        <w:rPr>
          <w:rFonts w:ascii="Times New Roman" w:hAnsi="Times New Roman" w:cs="Times New Roman"/>
          <w:bCs/>
          <w:i/>
          <w:iCs/>
        </w:rPr>
        <w:t xml:space="preserve"> </w:t>
      </w:r>
      <w:r w:rsidRPr="00A472FC">
        <w:rPr>
          <w:rFonts w:ascii="Times New Roman" w:hAnsi="Times New Roman" w:cs="Times New Roman"/>
          <w:bCs/>
          <w:iCs/>
        </w:rPr>
        <w:t xml:space="preserve">by the sixth-century author </w:t>
      </w:r>
      <w:proofErr w:type="spellStart"/>
      <w:r w:rsidRPr="00A472FC">
        <w:rPr>
          <w:rFonts w:ascii="Times New Roman" w:hAnsi="Times New Roman" w:cs="Times New Roman"/>
          <w:bCs/>
          <w:iCs/>
        </w:rPr>
        <w:t>Fulgentius</w:t>
      </w:r>
      <w:proofErr w:type="spellEnd"/>
      <w:r w:rsidRPr="00A472FC">
        <w:rPr>
          <w:rFonts w:ascii="Times New Roman" w:hAnsi="Times New Roman" w:cs="Times New Roman"/>
          <w:bCs/>
          <w:iCs/>
        </w:rPr>
        <w:t xml:space="preserve"> of </w:t>
      </w:r>
      <w:proofErr w:type="spellStart"/>
      <w:r w:rsidRPr="00A472FC">
        <w:rPr>
          <w:rFonts w:ascii="Times New Roman" w:hAnsi="Times New Roman" w:cs="Times New Roman"/>
          <w:bCs/>
          <w:iCs/>
        </w:rPr>
        <w:t>Ruspe</w:t>
      </w:r>
      <w:proofErr w:type="spellEnd"/>
      <w:r w:rsidRPr="00A472FC">
        <w:rPr>
          <w:rFonts w:ascii="Times New Roman" w:hAnsi="Times New Roman" w:cs="Times New Roman"/>
          <w:bCs/>
          <w:iCs/>
        </w:rPr>
        <w:t>,</w:t>
      </w:r>
      <w:r w:rsidRPr="00A472FC">
        <w:rPr>
          <w:rFonts w:ascii="Times New Roman" w:hAnsi="Times New Roman" w:cs="Times New Roman"/>
          <w:bCs/>
          <w:i/>
          <w:iCs/>
        </w:rPr>
        <w:t xml:space="preserve"> </w:t>
      </w:r>
      <w:r w:rsidRPr="00A472FC">
        <w:rPr>
          <w:rFonts w:ascii="Times New Roman" w:hAnsi="Times New Roman" w:cs="Times New Roman"/>
          <w:bCs/>
        </w:rPr>
        <w:t xml:space="preserve">and the </w:t>
      </w:r>
      <w:r w:rsidR="00A62384" w:rsidRPr="00A472FC">
        <w:rPr>
          <w:rFonts w:ascii="Times New Roman" w:hAnsi="Times New Roman" w:cs="Times New Roman"/>
          <w:bCs/>
        </w:rPr>
        <w:t>s</w:t>
      </w:r>
      <w:r w:rsidR="00093B98" w:rsidRPr="00A472FC">
        <w:rPr>
          <w:rFonts w:ascii="Times New Roman" w:hAnsi="Times New Roman" w:cs="Times New Roman"/>
          <w:bCs/>
        </w:rPr>
        <w:t>eventh</w:t>
      </w:r>
      <w:r w:rsidR="00A62384" w:rsidRPr="00A472FC">
        <w:rPr>
          <w:rFonts w:ascii="Times New Roman" w:hAnsi="Times New Roman" w:cs="Times New Roman"/>
          <w:bCs/>
        </w:rPr>
        <w:t>-</w:t>
      </w:r>
      <w:r w:rsidRPr="00A472FC">
        <w:rPr>
          <w:rFonts w:ascii="Times New Roman" w:hAnsi="Times New Roman" w:cs="Times New Roman"/>
          <w:bCs/>
        </w:rPr>
        <w:t xml:space="preserve">century </w:t>
      </w:r>
      <w:r w:rsidRPr="00A472FC">
        <w:rPr>
          <w:rFonts w:ascii="Times New Roman" w:hAnsi="Times New Roman" w:cs="Times New Roman"/>
          <w:bCs/>
          <w:i/>
          <w:iCs/>
        </w:rPr>
        <w:t xml:space="preserve">De </w:t>
      </w:r>
      <w:proofErr w:type="spellStart"/>
      <w:r w:rsidRPr="00A472FC">
        <w:rPr>
          <w:rFonts w:ascii="Times New Roman" w:hAnsi="Times New Roman" w:cs="Times New Roman"/>
          <w:bCs/>
          <w:i/>
          <w:iCs/>
        </w:rPr>
        <w:t>ecclesiasticis</w:t>
      </w:r>
      <w:proofErr w:type="spellEnd"/>
      <w:r w:rsidRPr="00A472FC">
        <w:rPr>
          <w:rFonts w:ascii="Times New Roman" w:hAnsi="Times New Roman" w:cs="Times New Roman"/>
          <w:bCs/>
          <w:i/>
          <w:iCs/>
        </w:rPr>
        <w:t xml:space="preserve"> </w:t>
      </w:r>
      <w:proofErr w:type="spellStart"/>
      <w:r w:rsidRPr="00A472FC">
        <w:rPr>
          <w:rFonts w:ascii="Times New Roman" w:hAnsi="Times New Roman" w:cs="Times New Roman"/>
          <w:bCs/>
          <w:i/>
          <w:iCs/>
          <w:color w:val="000000" w:themeColor="text1"/>
        </w:rPr>
        <w:t>dogmatibus</w:t>
      </w:r>
      <w:proofErr w:type="spellEnd"/>
      <w:r w:rsidRPr="00A472FC">
        <w:rPr>
          <w:rFonts w:ascii="Times New Roman" w:hAnsi="Times New Roman" w:cs="Times New Roman"/>
          <w:bCs/>
          <w:i/>
          <w:iCs/>
          <w:color w:val="000000" w:themeColor="text1"/>
        </w:rPr>
        <w:t xml:space="preserve"> </w:t>
      </w:r>
      <w:r w:rsidR="00A62384" w:rsidRPr="00A472FC">
        <w:rPr>
          <w:rFonts w:ascii="Times New Roman" w:hAnsi="Times New Roman" w:cs="Times New Roman"/>
          <w:bCs/>
          <w:color w:val="000000" w:themeColor="text1"/>
        </w:rPr>
        <w:t xml:space="preserve">by </w:t>
      </w:r>
      <w:proofErr w:type="spellStart"/>
      <w:r w:rsidRPr="00A472FC">
        <w:rPr>
          <w:rFonts w:ascii="Times New Roman" w:hAnsi="Times New Roman" w:cs="Times New Roman"/>
          <w:color w:val="000000" w:themeColor="text1"/>
          <w:shd w:val="clear" w:color="auto" w:fill="FFFFFF"/>
        </w:rPr>
        <w:t>Gennadius</w:t>
      </w:r>
      <w:proofErr w:type="spellEnd"/>
      <w:r w:rsidRPr="00A472FC">
        <w:rPr>
          <w:rFonts w:ascii="Times New Roman" w:hAnsi="Times New Roman" w:cs="Times New Roman"/>
          <w:color w:val="000000" w:themeColor="text1"/>
          <w:shd w:val="clear" w:color="auto" w:fill="FFFFFF"/>
        </w:rPr>
        <w:t xml:space="preserve"> </w:t>
      </w:r>
      <w:proofErr w:type="spellStart"/>
      <w:r w:rsidRPr="00A472FC">
        <w:rPr>
          <w:rFonts w:ascii="Times New Roman" w:hAnsi="Times New Roman" w:cs="Times New Roman"/>
          <w:color w:val="000000" w:themeColor="text1"/>
          <w:shd w:val="clear" w:color="auto" w:fill="FFFFFF"/>
        </w:rPr>
        <w:t>Massiliensis</w:t>
      </w:r>
      <w:proofErr w:type="spellEnd"/>
      <w:r w:rsidRPr="00A472FC">
        <w:rPr>
          <w:rFonts w:ascii="Times New Roman" w:hAnsi="Times New Roman" w:cs="Times New Roman"/>
          <w:bCs/>
          <w:i/>
          <w:iCs/>
          <w:color w:val="000000" w:themeColor="text1"/>
        </w:rPr>
        <w:t xml:space="preserve">, </w:t>
      </w:r>
      <w:r w:rsidRPr="00A472FC">
        <w:rPr>
          <w:rFonts w:ascii="Times New Roman" w:hAnsi="Times New Roman" w:cs="Times New Roman"/>
          <w:bCs/>
          <w:iCs/>
          <w:color w:val="000000" w:themeColor="text1"/>
        </w:rPr>
        <w:t xml:space="preserve">which </w:t>
      </w:r>
      <w:r w:rsidRPr="00A472FC">
        <w:rPr>
          <w:rFonts w:ascii="Times New Roman" w:hAnsi="Times New Roman" w:cs="Times New Roman"/>
          <w:bCs/>
          <w:iCs/>
        </w:rPr>
        <w:t>described</w:t>
      </w:r>
      <w:r w:rsidRPr="00A472FC">
        <w:rPr>
          <w:rFonts w:ascii="Times New Roman" w:hAnsi="Times New Roman" w:cs="Times New Roman"/>
          <w:bCs/>
        </w:rPr>
        <w:t xml:space="preserve"> the soul as ‘an immortal spiritual substance, created for and infused into the body of each individual by God.</w:t>
      </w:r>
      <w:r w:rsidR="00093B98" w:rsidRPr="00A472FC">
        <w:rPr>
          <w:rFonts w:ascii="Times New Roman" w:hAnsi="Times New Roman" w:cs="Times New Roman"/>
          <w:bCs/>
        </w:rPr>
        <w:t>’</w:t>
      </w:r>
      <w:r w:rsidR="00093B98" w:rsidRPr="00A472FC">
        <w:rPr>
          <w:rStyle w:val="FootnoteReference"/>
          <w:rFonts w:ascii="Times New Roman" w:hAnsi="Times New Roman" w:cs="Times New Roman"/>
        </w:rPr>
        <w:footnoteReference w:id="293"/>
      </w:r>
      <w:r w:rsidR="00093B98" w:rsidRPr="00A472FC">
        <w:rPr>
          <w:rFonts w:ascii="Times New Roman" w:hAnsi="Times New Roman" w:cs="Times New Roman"/>
          <w:bCs/>
        </w:rPr>
        <w:t xml:space="preserve"> </w:t>
      </w:r>
      <w:r w:rsidRPr="00A472FC">
        <w:rPr>
          <w:rFonts w:ascii="Times New Roman" w:hAnsi="Times New Roman" w:cs="Times New Roman"/>
          <w:bCs/>
        </w:rPr>
        <w:t xml:space="preserve">It ruled the body in this life, but it was capable of an independent existence and would be eternally punished or blessed as its actions in this world </w:t>
      </w:r>
      <w:r w:rsidRPr="00A472FC">
        <w:rPr>
          <w:rFonts w:ascii="Times New Roman" w:hAnsi="Times New Roman" w:cs="Times New Roman"/>
          <w:bCs/>
        </w:rPr>
        <w:lastRenderedPageBreak/>
        <w:t>merited.’</w:t>
      </w:r>
      <w:r w:rsidRPr="00A472FC">
        <w:rPr>
          <w:rStyle w:val="FootnoteReference"/>
          <w:rFonts w:ascii="Times New Roman" w:hAnsi="Times New Roman" w:cs="Times New Roman"/>
          <w:bCs/>
        </w:rPr>
        <w:footnoteReference w:id="294"/>
      </w:r>
      <w:r w:rsidRPr="00A472FC">
        <w:rPr>
          <w:rFonts w:ascii="Times New Roman" w:hAnsi="Times New Roman" w:cs="Times New Roman"/>
          <w:bCs/>
        </w:rPr>
        <w:t xml:space="preserve"> Nevertheless, the still rather inchoate nature of the arguments in support o</w:t>
      </w:r>
      <w:r w:rsidR="00CB700A" w:rsidRPr="00A472FC">
        <w:rPr>
          <w:rFonts w:ascii="Times New Roman" w:hAnsi="Times New Roman" w:cs="Times New Roman"/>
          <w:bCs/>
        </w:rPr>
        <w:t>f</w:t>
      </w:r>
      <w:r w:rsidRPr="00A472FC">
        <w:rPr>
          <w:rFonts w:ascii="Times New Roman" w:hAnsi="Times New Roman" w:cs="Times New Roman"/>
          <w:bCs/>
        </w:rPr>
        <w:t xml:space="preserve"> such claims meant that the impetus, as well as the resource, needed to clarify the exact status of the soul and its relationship to the body did not come to the West until the introduction of a number of Greek, </w:t>
      </w:r>
      <w:r w:rsidR="00653378" w:rsidRPr="00A472FC">
        <w:rPr>
          <w:rFonts w:ascii="Times New Roman" w:hAnsi="Times New Roman" w:cs="Times New Roman"/>
          <w:bCs/>
        </w:rPr>
        <w:t>Islamic</w:t>
      </w:r>
      <w:r w:rsidRPr="00A472FC">
        <w:rPr>
          <w:rFonts w:ascii="Times New Roman" w:hAnsi="Times New Roman" w:cs="Times New Roman"/>
          <w:bCs/>
        </w:rPr>
        <w:t xml:space="preserve">, and Jewish philosophical texts in the twelfth century. </w:t>
      </w:r>
    </w:p>
    <w:p w14:paraId="53CC3B06" w14:textId="77777777" w:rsidR="004C1CD7" w:rsidRPr="00A472FC" w:rsidRDefault="004C1CD7" w:rsidP="00881604">
      <w:pPr>
        <w:ind w:right="-52" w:firstLine="720"/>
        <w:rPr>
          <w:rFonts w:ascii="Times New Roman" w:hAnsi="Times New Roman" w:cs="Times New Roman"/>
          <w:color w:val="000000"/>
        </w:rPr>
      </w:pPr>
      <w:r w:rsidRPr="00A472FC">
        <w:rPr>
          <w:rFonts w:ascii="Times New Roman" w:hAnsi="Times New Roman" w:cs="Times New Roman"/>
          <w:bCs/>
        </w:rPr>
        <w:t>In what follows, I will show how early Franciscans and their contemporaries sought to further a tradition of thinking on the matter that was broadly consistent with what they believed to be Augustinian sympathies, while at the same time engaging fully with the new material. As noted above, they were helped considerably in this regard by Avicenna, who believed that the soul and body are two separate substances, and that the human personality resides in the soul, which is ultimately separable from the body. As Dales notes regarding this and a number of other cases, ‘</w:t>
      </w:r>
      <w:r w:rsidRPr="00A472FC">
        <w:rPr>
          <w:rFonts w:ascii="Times New Roman" w:hAnsi="Times New Roman" w:cs="Times New Roman"/>
          <w:bCs/>
          <w:color w:val="000000"/>
          <w:lang w:val="en-US"/>
        </w:rPr>
        <w:t>Avicenna's doctrine was sufficiently similar to Augustine's,’ or at least the pseudo-Augustine’s, ‘that the two could, without much difficulty, be conflated.’</w:t>
      </w:r>
      <w:r w:rsidRPr="00A472FC">
        <w:rPr>
          <w:rStyle w:val="FootnoteReference"/>
          <w:rFonts w:ascii="Times New Roman" w:hAnsi="Times New Roman" w:cs="Times New Roman"/>
          <w:bCs/>
        </w:rPr>
        <w:footnoteReference w:id="295"/>
      </w:r>
      <w:r w:rsidRPr="00A472FC">
        <w:rPr>
          <w:rFonts w:ascii="Times New Roman" w:hAnsi="Times New Roman" w:cs="Times New Roman"/>
          <w:bCs/>
          <w:color w:val="000000"/>
          <w:lang w:val="en-US"/>
        </w:rPr>
        <w:t xml:space="preserve"> Whether the </w:t>
      </w:r>
      <w:proofErr w:type="spellStart"/>
      <w:r w:rsidRPr="00A472FC">
        <w:rPr>
          <w:rFonts w:ascii="Times New Roman" w:hAnsi="Times New Roman" w:cs="Times New Roman"/>
          <w:bCs/>
          <w:color w:val="000000"/>
          <w:lang w:val="en-US"/>
        </w:rPr>
        <w:t>Avicennian</w:t>
      </w:r>
      <w:proofErr w:type="spellEnd"/>
      <w:r w:rsidRPr="00A472FC">
        <w:rPr>
          <w:rFonts w:ascii="Times New Roman" w:hAnsi="Times New Roman" w:cs="Times New Roman"/>
          <w:bCs/>
          <w:color w:val="000000"/>
          <w:lang w:val="en-US"/>
        </w:rPr>
        <w:t xml:space="preserve"> theory was compatible with the views of the authentic Augustine not to mention Plato or Platonism is of course a much more difficult and controversial question on which the analysis below will attempt to shed some light. </w:t>
      </w:r>
    </w:p>
    <w:p w14:paraId="5D013623" w14:textId="77777777" w:rsidR="004C1CD7" w:rsidRPr="00A472FC" w:rsidRDefault="004C1CD7" w:rsidP="00881604">
      <w:pPr>
        <w:ind w:right="-52"/>
        <w:rPr>
          <w:rFonts w:ascii="Times New Roman" w:hAnsi="Times New Roman" w:cs="Times New Roman"/>
        </w:rPr>
      </w:pPr>
    </w:p>
    <w:p w14:paraId="1286B835" w14:textId="77777777" w:rsidR="004C1CD7" w:rsidRPr="00A472FC" w:rsidRDefault="004C1CD7" w:rsidP="00881604">
      <w:pPr>
        <w:ind w:right="-52"/>
        <w:rPr>
          <w:rFonts w:ascii="Times New Roman" w:hAnsi="Times New Roman" w:cs="Times New Roman"/>
          <w:u w:val="single"/>
        </w:rPr>
      </w:pPr>
      <w:r w:rsidRPr="00A472FC">
        <w:rPr>
          <w:rFonts w:ascii="Times New Roman" w:hAnsi="Times New Roman" w:cs="Times New Roman"/>
          <w:u w:val="single"/>
        </w:rPr>
        <w:t>The Substance of the Soul</w:t>
      </w:r>
    </w:p>
    <w:p w14:paraId="55557469" w14:textId="77777777" w:rsidR="004C1CD7" w:rsidRPr="00A472FC" w:rsidRDefault="004C1CD7" w:rsidP="00881604">
      <w:pPr>
        <w:ind w:right="-52"/>
        <w:rPr>
          <w:rFonts w:ascii="Times New Roman" w:hAnsi="Times New Roman" w:cs="Times New Roman"/>
        </w:rPr>
      </w:pPr>
    </w:p>
    <w:p w14:paraId="4A5FD1F6" w14:textId="49D0F402"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According to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rPr>
        <w:t>, the soul can be considered in two ways, either in its own right, independently of the body, or in relation to the body.</w:t>
      </w:r>
      <w:r w:rsidRPr="00A472FC">
        <w:rPr>
          <w:rStyle w:val="FootnoteReference"/>
          <w:rFonts w:ascii="Times New Roman" w:hAnsi="Times New Roman" w:cs="Times New Roman"/>
        </w:rPr>
        <w:footnoteReference w:id="296"/>
      </w:r>
      <w:r w:rsidRPr="00A472FC">
        <w:rPr>
          <w:rFonts w:ascii="Times New Roman" w:hAnsi="Times New Roman" w:cs="Times New Roman"/>
        </w:rPr>
        <w:t xml:space="preserve"> This two-fold way of thinking about the soul—in itself or in relation to the body—derives first and foremost from Avicenna.</w:t>
      </w:r>
      <w:r w:rsidRPr="00A472FC">
        <w:rPr>
          <w:rStyle w:val="FootnoteReference"/>
          <w:rFonts w:ascii="Times New Roman" w:hAnsi="Times New Roman" w:cs="Times New Roman"/>
        </w:rPr>
        <w:footnoteReference w:id="297"/>
      </w:r>
      <w:r w:rsidRPr="00A472FC">
        <w:rPr>
          <w:rFonts w:ascii="Times New Roman" w:hAnsi="Times New Roman" w:cs="Times New Roman"/>
        </w:rPr>
        <w:t xml:space="preserve"> As a corollary to it, the Summa argues, following John, that there are two ways to refer to something as corporeal: either absolutely, or by reason of some conditions.</w:t>
      </w:r>
      <w:r w:rsidRPr="00A472FC">
        <w:rPr>
          <w:rStyle w:val="FootnoteReference"/>
          <w:rFonts w:ascii="Times New Roman" w:hAnsi="Times New Roman" w:cs="Times New Roman"/>
        </w:rPr>
        <w:footnoteReference w:id="298"/>
      </w:r>
      <w:r w:rsidRPr="00A472FC">
        <w:rPr>
          <w:rFonts w:ascii="Times New Roman" w:hAnsi="Times New Roman" w:cs="Times New Roman"/>
        </w:rPr>
        <w:t xml:space="preserve"> If we think of the soul absolutely, then the human soul is not corporeal. This was a point that needed to be made because Galen had actually affirmed that the soul is made up a of mixture of the elements. </w:t>
      </w:r>
      <w:r w:rsidR="00E3182F" w:rsidRPr="00A472FC">
        <w:rPr>
          <w:rFonts w:ascii="Times New Roman" w:hAnsi="Times New Roman" w:cs="Times New Roman"/>
        </w:rPr>
        <w:t xml:space="preserve">Thus, it </w:t>
      </w:r>
      <w:r w:rsidRPr="00A472FC">
        <w:rPr>
          <w:rFonts w:ascii="Times New Roman" w:hAnsi="Times New Roman" w:cs="Times New Roman"/>
        </w:rPr>
        <w:t>is no surprise</w:t>
      </w:r>
      <w:r w:rsidR="00E3182F" w:rsidRPr="00A472FC">
        <w:rPr>
          <w:rFonts w:ascii="Times New Roman" w:hAnsi="Times New Roman" w:cs="Times New Roman"/>
        </w:rPr>
        <w:t xml:space="preserve"> </w:t>
      </w:r>
      <w:r w:rsidRPr="00A472FC">
        <w:rPr>
          <w:rFonts w:ascii="Times New Roman" w:hAnsi="Times New Roman" w:cs="Times New Roman"/>
        </w:rPr>
        <w:t xml:space="preserve">that a philosopher like John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felt particularly obligated to contest the idea that the soul is corporeal.</w:t>
      </w:r>
      <w:r w:rsidRPr="00A472FC">
        <w:rPr>
          <w:rStyle w:val="FootnoteReference"/>
          <w:rFonts w:ascii="Times New Roman" w:hAnsi="Times New Roman" w:cs="Times New Roman"/>
        </w:rPr>
        <w:footnoteReference w:id="299"/>
      </w:r>
    </w:p>
    <w:p w14:paraId="1A1AEE5A" w14:textId="3A90E254" w:rsidR="003A5D20"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Rather than a bodily entity, early </w:t>
      </w:r>
      <w:r w:rsidR="00006B1D" w:rsidRPr="00A472FC">
        <w:rPr>
          <w:rFonts w:ascii="Times New Roman" w:hAnsi="Times New Roman" w:cs="Times New Roman"/>
        </w:rPr>
        <w:t>scholastics</w:t>
      </w:r>
      <w:r w:rsidRPr="00A472FC">
        <w:rPr>
          <w:rFonts w:ascii="Times New Roman" w:hAnsi="Times New Roman" w:cs="Times New Roman"/>
        </w:rPr>
        <w:t xml:space="preserve"> </w:t>
      </w:r>
      <w:r w:rsidR="003C4C05" w:rsidRPr="00A472FC">
        <w:rPr>
          <w:rFonts w:ascii="Times New Roman" w:hAnsi="Times New Roman" w:cs="Times New Roman"/>
        </w:rPr>
        <w:t xml:space="preserve">like </w:t>
      </w:r>
      <w:proofErr w:type="spellStart"/>
      <w:r w:rsidR="00172545" w:rsidRPr="00A472FC">
        <w:rPr>
          <w:rFonts w:ascii="Times New Roman" w:hAnsi="Times New Roman" w:cs="Times New Roman"/>
        </w:rPr>
        <w:t>Blund</w:t>
      </w:r>
      <w:proofErr w:type="spellEnd"/>
      <w:r w:rsidR="00172545" w:rsidRPr="00A472FC">
        <w:rPr>
          <w:rFonts w:ascii="Times New Roman" w:hAnsi="Times New Roman" w:cs="Times New Roman"/>
        </w:rPr>
        <w:t xml:space="preserve"> </w:t>
      </w:r>
      <w:r w:rsidRPr="00A472FC">
        <w:rPr>
          <w:rFonts w:ascii="Times New Roman" w:hAnsi="Times New Roman" w:cs="Times New Roman"/>
        </w:rPr>
        <w:t>contend</w:t>
      </w:r>
      <w:r w:rsidR="003C4C05" w:rsidRPr="00A472FC">
        <w:rPr>
          <w:rFonts w:ascii="Times New Roman" w:hAnsi="Times New Roman" w:cs="Times New Roman"/>
        </w:rPr>
        <w:t>ed</w:t>
      </w:r>
      <w:r w:rsidRPr="00A472FC">
        <w:rPr>
          <w:rFonts w:ascii="Times New Roman" w:hAnsi="Times New Roman" w:cs="Times New Roman"/>
        </w:rPr>
        <w:t xml:space="preserve"> that the soul is incorporeal and therefore separate from the body.</w:t>
      </w:r>
      <w:r w:rsidRPr="00A472FC">
        <w:rPr>
          <w:rStyle w:val="FootnoteReference"/>
          <w:rFonts w:ascii="Times New Roman" w:hAnsi="Times New Roman" w:cs="Times New Roman"/>
        </w:rPr>
        <w:footnoteReference w:id="300"/>
      </w:r>
      <w:r w:rsidRPr="00A472FC">
        <w:rPr>
          <w:rFonts w:ascii="Times New Roman" w:hAnsi="Times New Roman" w:cs="Times New Roman"/>
        </w:rPr>
        <w:t xml:space="preserve"> In bolstering this point, the Summa presents a number of arguments, largely repeated from John of La Rochelle, such as the idea that one thing which moves another is distinct from the essence of what it moves.</w:t>
      </w:r>
      <w:r w:rsidRPr="00A472FC">
        <w:rPr>
          <w:rStyle w:val="FootnoteReference"/>
          <w:rFonts w:ascii="Times New Roman" w:hAnsi="Times New Roman" w:cs="Times New Roman"/>
        </w:rPr>
        <w:footnoteReference w:id="301"/>
      </w:r>
      <w:r w:rsidRPr="00A472FC">
        <w:rPr>
          <w:rFonts w:ascii="Times New Roman" w:hAnsi="Times New Roman" w:cs="Times New Roman"/>
        </w:rPr>
        <w:t xml:space="preserve"> This was an argument originally drawn from Avicenna and also repeated by John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namely, that </w:t>
      </w:r>
      <w:r w:rsidRPr="00A472FC">
        <w:rPr>
          <w:rFonts w:ascii="Times New Roman" w:hAnsi="Times New Roman" w:cs="Times New Roman"/>
        </w:rPr>
        <w:lastRenderedPageBreak/>
        <w:t xml:space="preserve">things </w:t>
      </w:r>
      <w:r w:rsidRPr="00A472FC">
        <w:rPr>
          <w:rFonts w:ascii="Times New Roman" w:hAnsi="Times New Roman" w:cs="Times New Roman"/>
          <w:lang w:val="en-US"/>
        </w:rPr>
        <w:t xml:space="preserve">that move at will—apparently a euphemism for </w:t>
      </w:r>
      <w:r w:rsidR="005A38DC" w:rsidRPr="00A472FC">
        <w:rPr>
          <w:rFonts w:ascii="Times New Roman" w:hAnsi="Times New Roman" w:cs="Times New Roman"/>
          <w:lang w:val="en-US"/>
        </w:rPr>
        <w:t xml:space="preserve">the </w:t>
      </w:r>
      <w:r w:rsidRPr="00A472FC">
        <w:rPr>
          <w:rFonts w:ascii="Times New Roman" w:hAnsi="Times New Roman" w:cs="Times New Roman"/>
          <w:lang w:val="en-US"/>
        </w:rPr>
        <w:t>sheer enlivenment</w:t>
      </w:r>
      <w:r w:rsidR="005A38DC" w:rsidRPr="00A472FC">
        <w:rPr>
          <w:rFonts w:ascii="Times New Roman" w:hAnsi="Times New Roman" w:cs="Times New Roman"/>
          <w:lang w:val="en-US"/>
        </w:rPr>
        <w:t xml:space="preserve"> of the body</w:t>
      </w:r>
      <w:r w:rsidRPr="00A472FC">
        <w:rPr>
          <w:rFonts w:ascii="Times New Roman" w:hAnsi="Times New Roman" w:cs="Times New Roman"/>
          <w:lang w:val="en-US"/>
        </w:rPr>
        <w:t>—must do so by a principle other than the body which is not self-movin</w:t>
      </w:r>
      <w:r w:rsidR="001E5DB4" w:rsidRPr="00A472FC">
        <w:rPr>
          <w:rFonts w:ascii="Times New Roman" w:hAnsi="Times New Roman" w:cs="Times New Roman"/>
          <w:lang w:val="en-US"/>
        </w:rPr>
        <w:t>g. T</w:t>
      </w:r>
      <w:r w:rsidRPr="00A472FC">
        <w:rPr>
          <w:rFonts w:ascii="Times New Roman" w:hAnsi="Times New Roman" w:cs="Times New Roman"/>
          <w:lang w:val="en-US"/>
        </w:rPr>
        <w:t>hat principle is the soul.</w:t>
      </w:r>
      <w:r w:rsidRPr="00A472FC">
        <w:rPr>
          <w:rStyle w:val="FootnoteReference"/>
          <w:rFonts w:ascii="Times New Roman" w:hAnsi="Times New Roman" w:cs="Times New Roman"/>
          <w:lang w:val="en-US"/>
        </w:rPr>
        <w:footnoteReference w:id="302"/>
      </w:r>
      <w:r w:rsidRPr="00A472FC">
        <w:rPr>
          <w:rFonts w:ascii="Times New Roman" w:hAnsi="Times New Roman" w:cs="Times New Roman"/>
        </w:rPr>
        <w:t xml:space="preserve"> As John adds, everything that moves </w:t>
      </w:r>
      <w:r w:rsidR="00F8415A" w:rsidRPr="00A472FC">
        <w:rPr>
          <w:rFonts w:ascii="Times New Roman" w:hAnsi="Times New Roman" w:cs="Times New Roman"/>
        </w:rPr>
        <w:t xml:space="preserve">or enlivens </w:t>
      </w:r>
      <w:r w:rsidRPr="00A472FC">
        <w:rPr>
          <w:rFonts w:ascii="Times New Roman" w:hAnsi="Times New Roman" w:cs="Times New Roman"/>
        </w:rPr>
        <w:t xml:space="preserve">something else does not depend upon what it moves and exists apart from it. </w:t>
      </w:r>
    </w:p>
    <w:p w14:paraId="6E54FCBE" w14:textId="08126B41" w:rsidR="004C1CD7" w:rsidRPr="00A472FC" w:rsidRDefault="004C1CD7" w:rsidP="00263E21">
      <w:pPr>
        <w:ind w:right="-52" w:firstLine="720"/>
        <w:rPr>
          <w:rFonts w:ascii="Times New Roman" w:hAnsi="Times New Roman" w:cs="Times New Roman"/>
        </w:rPr>
      </w:pPr>
      <w:r w:rsidRPr="00A472FC">
        <w:rPr>
          <w:rFonts w:ascii="Times New Roman" w:hAnsi="Times New Roman" w:cs="Times New Roman"/>
        </w:rPr>
        <w:t>Since the soul moves the body, it is distinct from the essence of the body and represents a substance in its own right, beyond the substance of the body.</w:t>
      </w:r>
      <w:r w:rsidRPr="00A472FC">
        <w:rPr>
          <w:rStyle w:val="FootnoteReference"/>
          <w:rFonts w:ascii="Times New Roman" w:hAnsi="Times New Roman" w:cs="Times New Roman"/>
        </w:rPr>
        <w:footnoteReference w:id="303"/>
      </w:r>
      <w:r w:rsidRPr="00A472FC">
        <w:rPr>
          <w:rFonts w:ascii="Times New Roman" w:hAnsi="Times New Roman" w:cs="Times New Roman"/>
        </w:rPr>
        <w:t xml:space="preserve"> </w:t>
      </w:r>
      <w:r w:rsidR="003A5D20" w:rsidRPr="00A472FC">
        <w:rPr>
          <w:rFonts w:ascii="Times New Roman" w:hAnsi="Times New Roman" w:cs="Times New Roman"/>
        </w:rPr>
        <w:t xml:space="preserve">In this connection, the </w:t>
      </w:r>
      <w:r w:rsidRPr="00A472FC">
        <w:rPr>
          <w:rFonts w:ascii="Times New Roman" w:hAnsi="Times New Roman" w:cs="Times New Roman"/>
        </w:rPr>
        <w:t xml:space="preserve">Summa </w:t>
      </w:r>
      <w:r w:rsidR="00263E21" w:rsidRPr="00A472FC">
        <w:rPr>
          <w:rFonts w:ascii="Times New Roman" w:hAnsi="Times New Roman" w:cs="Times New Roman"/>
        </w:rPr>
        <w:t xml:space="preserve">invokes </w:t>
      </w:r>
      <w:r w:rsidR="0061183E">
        <w:rPr>
          <w:rFonts w:ascii="Times New Roman" w:hAnsi="Times New Roman" w:cs="Times New Roman"/>
        </w:rPr>
        <w:t xml:space="preserve">a </w:t>
      </w:r>
      <w:r w:rsidR="00263E21" w:rsidRPr="00A472FC">
        <w:rPr>
          <w:rFonts w:ascii="Times New Roman" w:hAnsi="Times New Roman" w:cs="Times New Roman"/>
        </w:rPr>
        <w:t xml:space="preserve"> famous analogy</w:t>
      </w:r>
      <w:r w:rsidR="0061183E">
        <w:rPr>
          <w:rFonts w:ascii="Times New Roman" w:hAnsi="Times New Roman" w:cs="Times New Roman"/>
        </w:rPr>
        <w:t xml:space="preserve"> from Aristotle</w:t>
      </w:r>
      <w:r w:rsidR="00263E21" w:rsidRPr="00A472FC">
        <w:rPr>
          <w:rFonts w:ascii="Times New Roman" w:hAnsi="Times New Roman" w:cs="Times New Roman"/>
        </w:rPr>
        <w:t xml:space="preserve"> to further</w:t>
      </w:r>
      <w:r w:rsidRPr="00A472FC">
        <w:rPr>
          <w:rFonts w:ascii="Times New Roman" w:hAnsi="Times New Roman" w:cs="Times New Roman"/>
        </w:rPr>
        <w:t xml:space="preserve"> state that the soul relates to a body as a sailor relates to his ship</w:t>
      </w:r>
      <w:r w:rsidR="00263E21" w:rsidRPr="00A472FC">
        <w:rPr>
          <w:rFonts w:ascii="Times New Roman" w:hAnsi="Times New Roman" w:cs="Times New Roman"/>
        </w:rPr>
        <w:t xml:space="preserve">. </w:t>
      </w:r>
      <w:r w:rsidR="00E10313" w:rsidRPr="00A472FC">
        <w:rPr>
          <w:rFonts w:ascii="Times New Roman" w:hAnsi="Times New Roman" w:cs="Times New Roman"/>
        </w:rPr>
        <w:t>Here, the</w:t>
      </w:r>
      <w:r w:rsidRPr="00A472FC">
        <w:rPr>
          <w:rFonts w:ascii="Times New Roman" w:hAnsi="Times New Roman" w:cs="Times New Roman"/>
        </w:rPr>
        <w:t xml:space="preserve"> sailor </w:t>
      </w:r>
      <w:r w:rsidR="007D2048" w:rsidRPr="00A472FC">
        <w:rPr>
          <w:rFonts w:ascii="Times New Roman" w:hAnsi="Times New Roman" w:cs="Times New Roman"/>
        </w:rPr>
        <w:t>differs in substance</w:t>
      </w:r>
      <w:r w:rsidRPr="00A472FC">
        <w:rPr>
          <w:rFonts w:ascii="Times New Roman" w:hAnsi="Times New Roman" w:cs="Times New Roman"/>
        </w:rPr>
        <w:t xml:space="preserve"> from the ship, as he moves the ship and is thereby moved by it accidentally. Therefore, the soul </w:t>
      </w:r>
      <w:r w:rsidR="000C6212" w:rsidRPr="00A472FC">
        <w:rPr>
          <w:rFonts w:ascii="Times New Roman" w:hAnsi="Times New Roman" w:cs="Times New Roman"/>
        </w:rPr>
        <w:t>has a</w:t>
      </w:r>
      <w:r w:rsidRPr="00A472FC">
        <w:rPr>
          <w:rFonts w:ascii="Times New Roman" w:hAnsi="Times New Roman" w:cs="Times New Roman"/>
        </w:rPr>
        <w:t xml:space="preserve"> substance </w:t>
      </w:r>
      <w:r w:rsidR="000C6212" w:rsidRPr="00A472FC">
        <w:rPr>
          <w:rFonts w:ascii="Times New Roman" w:hAnsi="Times New Roman" w:cs="Times New Roman"/>
        </w:rPr>
        <w:t>that is different from</w:t>
      </w:r>
      <w:r w:rsidRPr="00A472FC">
        <w:rPr>
          <w:rFonts w:ascii="Times New Roman" w:hAnsi="Times New Roman" w:cs="Times New Roman"/>
        </w:rPr>
        <w:t xml:space="preserve"> the body and a substance beyond the body.</w:t>
      </w:r>
      <w:r w:rsidRPr="00A472FC">
        <w:rPr>
          <w:rStyle w:val="FootnoteReference"/>
          <w:rFonts w:ascii="Times New Roman" w:hAnsi="Times New Roman" w:cs="Times New Roman"/>
        </w:rPr>
        <w:footnoteReference w:id="304"/>
      </w:r>
      <w:r w:rsidRPr="00A472FC">
        <w:rPr>
          <w:rFonts w:ascii="Times New Roman" w:hAnsi="Times New Roman" w:cs="Times New Roman"/>
        </w:rPr>
        <w:t xml:space="preserve"> As scholars in this period put it, it is a ‘hoc </w:t>
      </w:r>
      <w:proofErr w:type="spellStart"/>
      <w:r w:rsidRPr="00A472FC">
        <w:rPr>
          <w:rFonts w:ascii="Times New Roman" w:hAnsi="Times New Roman" w:cs="Times New Roman"/>
        </w:rPr>
        <w:t>aliquid</w:t>
      </w:r>
      <w:proofErr w:type="spellEnd"/>
      <w:r w:rsidRPr="00A472FC">
        <w:rPr>
          <w:rFonts w:ascii="Times New Roman" w:hAnsi="Times New Roman" w:cs="Times New Roman"/>
        </w:rPr>
        <w:t>’ or substance in its own right rather than part of another substance.</w:t>
      </w:r>
      <w:r w:rsidRPr="00A472FC">
        <w:rPr>
          <w:rStyle w:val="FootnoteReference"/>
          <w:rFonts w:ascii="Times New Roman" w:hAnsi="Times New Roman" w:cs="Times New Roman"/>
        </w:rPr>
        <w:footnoteReference w:id="305"/>
      </w:r>
      <w:r w:rsidRPr="00A472FC">
        <w:rPr>
          <w:rFonts w:ascii="Times New Roman" w:hAnsi="Times New Roman" w:cs="Times New Roman"/>
        </w:rPr>
        <w:t xml:space="preserve"> In his earlier account in the </w:t>
      </w:r>
      <w:r w:rsidRPr="00A472FC">
        <w:rPr>
          <w:rFonts w:ascii="Times New Roman" w:hAnsi="Times New Roman" w:cs="Times New Roman"/>
          <w:i/>
        </w:rPr>
        <w:t>Summa de anima</w:t>
      </w:r>
      <w:r w:rsidRPr="00A472FC">
        <w:rPr>
          <w:rFonts w:ascii="Times New Roman" w:hAnsi="Times New Roman" w:cs="Times New Roman"/>
          <w:iCs/>
        </w:rPr>
        <w:t xml:space="preserve">, </w:t>
      </w:r>
      <w:r w:rsidRPr="00A472FC">
        <w:rPr>
          <w:rFonts w:ascii="Times New Roman" w:hAnsi="Times New Roman" w:cs="Times New Roman"/>
        </w:rPr>
        <w:t>John of La Rochelle presented an argument for the separability of the soul that is not found in the Summa but entails one of Avicenna’s most famous contributions to the history of philosophy. This is the so-called ‘flying man’ argument that John attributes to Avicenna by name:</w:t>
      </w:r>
    </w:p>
    <w:p w14:paraId="4D70FE68" w14:textId="77777777" w:rsidR="004C1CD7" w:rsidRPr="00A472FC" w:rsidRDefault="004C1CD7" w:rsidP="00881604">
      <w:pPr>
        <w:ind w:right="-52" w:firstLine="720"/>
        <w:rPr>
          <w:rFonts w:ascii="Times New Roman" w:hAnsi="Times New Roman" w:cs="Times New Roman"/>
        </w:rPr>
      </w:pPr>
    </w:p>
    <w:p w14:paraId="02DCBF84" w14:textId="14C51373" w:rsidR="004C1CD7" w:rsidRPr="00A472FC" w:rsidRDefault="0029716C" w:rsidP="00881604">
      <w:pPr>
        <w:ind w:left="720" w:right="-52"/>
        <w:rPr>
          <w:rFonts w:ascii="Times New Roman" w:hAnsi="Times New Roman" w:cs="Times New Roman"/>
        </w:rPr>
      </w:pPr>
      <w:r w:rsidRPr="00A472FC">
        <w:rPr>
          <w:rFonts w:ascii="Times New Roman" w:hAnsi="Times New Roman" w:cs="Times New Roman"/>
        </w:rPr>
        <w:t>Assuming that a</w:t>
      </w:r>
      <w:r w:rsidR="004C1CD7" w:rsidRPr="00A472FC">
        <w:rPr>
          <w:rFonts w:ascii="Times New Roman" w:hAnsi="Times New Roman" w:cs="Times New Roman"/>
        </w:rPr>
        <w:t xml:space="preserve"> man was created perfect from the beginning, </w:t>
      </w:r>
      <w:r w:rsidR="00896C7B" w:rsidRPr="00A472FC">
        <w:rPr>
          <w:rFonts w:ascii="Times New Roman" w:hAnsi="Times New Roman" w:cs="Times New Roman"/>
        </w:rPr>
        <w:t>but</w:t>
      </w:r>
      <w:r w:rsidR="004C1CD7" w:rsidRPr="00A472FC">
        <w:rPr>
          <w:rFonts w:ascii="Times New Roman" w:hAnsi="Times New Roman" w:cs="Times New Roman"/>
        </w:rPr>
        <w:t xml:space="preserve"> due to his veiled vision, was not able to see exterior things, and was created in such a way that the thickness of the air did not touch him, </w:t>
      </w:r>
      <w:r w:rsidRPr="00A472FC">
        <w:rPr>
          <w:rFonts w:ascii="Times New Roman" w:hAnsi="Times New Roman" w:cs="Times New Roman"/>
        </w:rPr>
        <w:t>so that he could feel it</w:t>
      </w:r>
      <w:r w:rsidR="004C1CD7" w:rsidRPr="00A472FC">
        <w:rPr>
          <w:rFonts w:ascii="Times New Roman" w:hAnsi="Times New Roman" w:cs="Times New Roman"/>
        </w:rPr>
        <w:t xml:space="preserve">, and </w:t>
      </w:r>
      <w:r w:rsidR="00827A73" w:rsidRPr="00A472FC">
        <w:rPr>
          <w:rFonts w:ascii="Times New Roman" w:hAnsi="Times New Roman" w:cs="Times New Roman"/>
        </w:rPr>
        <w:t xml:space="preserve">he was so out of touch with </w:t>
      </w:r>
      <w:r w:rsidR="004C1CD7" w:rsidRPr="00A472FC">
        <w:rPr>
          <w:rFonts w:ascii="Times New Roman" w:hAnsi="Times New Roman" w:cs="Times New Roman"/>
        </w:rPr>
        <w:t xml:space="preserve">his </w:t>
      </w:r>
      <w:r w:rsidR="0044563B" w:rsidRPr="00A472FC">
        <w:rPr>
          <w:rFonts w:ascii="Times New Roman" w:hAnsi="Times New Roman" w:cs="Times New Roman"/>
        </w:rPr>
        <w:t>limbs</w:t>
      </w:r>
      <w:r w:rsidR="00444643" w:rsidRPr="00A472FC">
        <w:rPr>
          <w:rFonts w:ascii="Times New Roman" w:hAnsi="Times New Roman" w:cs="Times New Roman"/>
        </w:rPr>
        <w:t>/organs</w:t>
      </w:r>
      <w:r w:rsidR="004C1CD7" w:rsidRPr="00A472FC">
        <w:rPr>
          <w:rFonts w:ascii="Times New Roman" w:hAnsi="Times New Roman" w:cs="Times New Roman"/>
        </w:rPr>
        <w:t xml:space="preserve"> that they did not </w:t>
      </w:r>
      <w:r w:rsidR="00AC7809" w:rsidRPr="00A472FC">
        <w:rPr>
          <w:rFonts w:ascii="Times New Roman" w:hAnsi="Times New Roman" w:cs="Times New Roman"/>
        </w:rPr>
        <w:t>affect</w:t>
      </w:r>
      <w:r w:rsidR="004C1CD7" w:rsidRPr="00A472FC">
        <w:rPr>
          <w:rFonts w:ascii="Times New Roman" w:hAnsi="Times New Roman" w:cs="Times New Roman"/>
        </w:rPr>
        <w:t xml:space="preserve"> him</w:t>
      </w:r>
      <w:r w:rsidR="00C85AD8" w:rsidRPr="00A472FC">
        <w:rPr>
          <w:rFonts w:ascii="Times New Roman" w:hAnsi="Times New Roman" w:cs="Times New Roman"/>
        </w:rPr>
        <w:t xml:space="preserve">, then it is clear </w:t>
      </w:r>
      <w:r w:rsidR="004C1CD7" w:rsidRPr="00A472FC">
        <w:rPr>
          <w:rFonts w:ascii="Times New Roman" w:hAnsi="Times New Roman" w:cs="Times New Roman"/>
        </w:rPr>
        <w:t xml:space="preserve">that a man so created, thinking of himself, would not hesitate to affirm his existence. He would nevertheless not affirm his exterior </w:t>
      </w:r>
      <w:r w:rsidR="005A22E3" w:rsidRPr="00A472FC">
        <w:rPr>
          <w:rFonts w:ascii="Times New Roman" w:hAnsi="Times New Roman" w:cs="Times New Roman"/>
        </w:rPr>
        <w:t>limbs</w:t>
      </w:r>
      <w:r w:rsidR="004C1CD7" w:rsidRPr="00A472FC">
        <w:rPr>
          <w:rFonts w:ascii="Times New Roman" w:hAnsi="Times New Roman" w:cs="Times New Roman"/>
        </w:rPr>
        <w:t xml:space="preserve"> or those things that are hidden in his interior, such </w:t>
      </w:r>
      <w:r w:rsidR="00E546C9" w:rsidRPr="00A472FC">
        <w:rPr>
          <w:rFonts w:ascii="Times New Roman" w:hAnsi="Times New Roman" w:cs="Times New Roman"/>
        </w:rPr>
        <w:t>as his</w:t>
      </w:r>
      <w:r w:rsidR="004C1CD7" w:rsidRPr="00A472FC">
        <w:rPr>
          <w:rFonts w:ascii="Times New Roman" w:hAnsi="Times New Roman" w:cs="Times New Roman"/>
        </w:rPr>
        <w:t xml:space="preserve"> brain or the like. </w:t>
      </w:r>
      <w:r w:rsidR="00176D94" w:rsidRPr="00A472FC">
        <w:rPr>
          <w:rFonts w:ascii="Times New Roman" w:hAnsi="Times New Roman" w:cs="Times New Roman"/>
        </w:rPr>
        <w:t xml:space="preserve">Moreover, if it was </w:t>
      </w:r>
      <w:r w:rsidR="004C1CD7" w:rsidRPr="00A472FC">
        <w:rPr>
          <w:rFonts w:ascii="Times New Roman" w:hAnsi="Times New Roman" w:cs="Times New Roman"/>
        </w:rPr>
        <w:t xml:space="preserve">possible for him to imagine a hand or another </w:t>
      </w:r>
      <w:r w:rsidR="004A67DA" w:rsidRPr="00A472FC">
        <w:rPr>
          <w:rFonts w:ascii="Times New Roman" w:hAnsi="Times New Roman" w:cs="Times New Roman"/>
        </w:rPr>
        <w:t>limb</w:t>
      </w:r>
      <w:r w:rsidR="004C1CD7" w:rsidRPr="00A472FC">
        <w:rPr>
          <w:rFonts w:ascii="Times New Roman" w:hAnsi="Times New Roman" w:cs="Times New Roman"/>
        </w:rPr>
        <w:t xml:space="preserve">, he would not imagine this as his own </w:t>
      </w:r>
      <w:r w:rsidR="00C651F9" w:rsidRPr="00A472FC">
        <w:rPr>
          <w:rFonts w:ascii="Times New Roman" w:hAnsi="Times New Roman" w:cs="Times New Roman"/>
        </w:rPr>
        <w:t>limb</w:t>
      </w:r>
      <w:r w:rsidR="004C1CD7" w:rsidRPr="00A472FC">
        <w:rPr>
          <w:rFonts w:ascii="Times New Roman" w:hAnsi="Times New Roman" w:cs="Times New Roman"/>
        </w:rPr>
        <w:t>, nor a</w:t>
      </w:r>
      <w:r w:rsidR="00C651F9" w:rsidRPr="00A472FC">
        <w:rPr>
          <w:rFonts w:ascii="Times New Roman" w:hAnsi="Times New Roman" w:cs="Times New Roman"/>
        </w:rPr>
        <w:t>s a</w:t>
      </w:r>
      <w:r w:rsidR="004C1CD7" w:rsidRPr="00A472FC">
        <w:rPr>
          <w:rFonts w:ascii="Times New Roman" w:hAnsi="Times New Roman" w:cs="Times New Roman"/>
        </w:rPr>
        <w:t xml:space="preserve"> necessary part of his essence. As therefore everything that is affirmed is different from what is not affirmed, and that which is conceded is different from what is not conceded, and the essence which he affirms is his own, by which he is what he is; nevertheless, it is prior to his body, which he does not affirm. Therefore, woken from this state, he has an obvious way of knowing that the existence of the soul is other than that of the body.</w:t>
      </w:r>
      <w:r w:rsidR="004C1CD7" w:rsidRPr="00A472FC">
        <w:rPr>
          <w:rStyle w:val="FootnoteReference"/>
          <w:rFonts w:ascii="Times New Roman" w:hAnsi="Times New Roman" w:cs="Times New Roman"/>
        </w:rPr>
        <w:footnoteReference w:id="306"/>
      </w:r>
      <w:r w:rsidR="004C1CD7" w:rsidRPr="00A472FC">
        <w:rPr>
          <w:rFonts w:ascii="Times New Roman" w:hAnsi="Times New Roman" w:cs="Times New Roman"/>
        </w:rPr>
        <w:t xml:space="preserve"> </w:t>
      </w:r>
    </w:p>
    <w:p w14:paraId="69ABD55C" w14:textId="77777777" w:rsidR="004C1CD7" w:rsidRPr="00A472FC" w:rsidRDefault="004C1CD7" w:rsidP="00881604">
      <w:pPr>
        <w:ind w:right="-52"/>
        <w:rPr>
          <w:rFonts w:ascii="Times New Roman" w:hAnsi="Times New Roman" w:cs="Times New Roman"/>
        </w:rPr>
      </w:pPr>
    </w:p>
    <w:p w14:paraId="0025234A" w14:textId="12A67A92"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lastRenderedPageBreak/>
        <w:t xml:space="preserve">Incidentally, William of Auvergne </w:t>
      </w:r>
      <w:r w:rsidR="008E4780" w:rsidRPr="00A472FC">
        <w:rPr>
          <w:rFonts w:ascii="Times New Roman" w:hAnsi="Times New Roman" w:cs="Times New Roman"/>
        </w:rPr>
        <w:t>employed a similar line of ‘I think, therefore, I am’ reasoning to prove the independent existence of the soul.</w:t>
      </w:r>
      <w:r w:rsidR="008E4780" w:rsidRPr="00A472FC">
        <w:rPr>
          <w:rStyle w:val="FootnoteReference"/>
          <w:rFonts w:ascii="Times New Roman" w:hAnsi="Times New Roman" w:cs="Times New Roman"/>
        </w:rPr>
        <w:footnoteReference w:id="307"/>
      </w:r>
      <w:r w:rsidR="008E4780" w:rsidRPr="00A472FC">
        <w:rPr>
          <w:rFonts w:ascii="Times New Roman" w:hAnsi="Times New Roman" w:cs="Times New Roman"/>
        </w:rPr>
        <w:t xml:space="preserve"> He </w:t>
      </w:r>
      <w:r w:rsidRPr="00A472FC">
        <w:rPr>
          <w:rFonts w:ascii="Times New Roman" w:hAnsi="Times New Roman" w:cs="Times New Roman"/>
        </w:rPr>
        <w:t xml:space="preserve">also invoked the flying man argument as a means to providing a sort of ontological argument for God’s existence and indeed to affirm that the human personality resides in the soul, not the body—that is, to </w:t>
      </w:r>
      <w:r w:rsidR="00836A9C" w:rsidRPr="00A472FC">
        <w:rPr>
          <w:rFonts w:ascii="Times New Roman" w:hAnsi="Times New Roman" w:cs="Times New Roman"/>
        </w:rPr>
        <w:t xml:space="preserve">confirm </w:t>
      </w:r>
      <w:r w:rsidRPr="00A472FC">
        <w:rPr>
          <w:rFonts w:ascii="Times New Roman" w:hAnsi="Times New Roman" w:cs="Times New Roman"/>
        </w:rPr>
        <w:t>that the soul is the principle of individuation.</w:t>
      </w:r>
      <w:r w:rsidRPr="00A472FC">
        <w:rPr>
          <w:rStyle w:val="FootnoteReference"/>
          <w:rFonts w:ascii="Times New Roman" w:hAnsi="Times New Roman" w:cs="Times New Roman"/>
        </w:rPr>
        <w:footnoteReference w:id="308"/>
      </w:r>
      <w:r w:rsidRPr="00A472FC">
        <w:rPr>
          <w:rFonts w:ascii="Times New Roman" w:hAnsi="Times New Roman" w:cs="Times New Roman"/>
        </w:rPr>
        <w:t xml:space="preserve"> In support of his own version of Avicenna’s argument, John further marshals the DSEA of Augustine, which states: </w:t>
      </w:r>
    </w:p>
    <w:p w14:paraId="2BC7717A" w14:textId="77777777" w:rsidR="004C1CD7" w:rsidRPr="00A472FC" w:rsidRDefault="004C1CD7" w:rsidP="00881604">
      <w:pPr>
        <w:ind w:right="-52"/>
        <w:rPr>
          <w:rFonts w:ascii="Times New Roman" w:hAnsi="Times New Roman" w:cs="Times New Roman"/>
        </w:rPr>
      </w:pPr>
    </w:p>
    <w:p w14:paraId="1D591384" w14:textId="66F0DEAE" w:rsidR="004C1CD7" w:rsidRPr="00A472FC" w:rsidRDefault="00652D48" w:rsidP="00881604">
      <w:pPr>
        <w:ind w:left="720" w:right="-52"/>
        <w:rPr>
          <w:rFonts w:ascii="Times New Roman" w:hAnsi="Times New Roman" w:cs="Times New Roman"/>
        </w:rPr>
      </w:pPr>
      <w:r w:rsidRPr="00A472FC">
        <w:rPr>
          <w:rFonts w:ascii="Times New Roman" w:hAnsi="Times New Roman" w:cs="Times New Roman"/>
        </w:rPr>
        <w:t>The mind or the soul knows nothing as [well] as that it is present to itself; nor is anything more present to the mind or the soul than itself. Therefore, it knows nothing as [well] as itself. The mind knows itself to live, to remember, to understand, to will, to learn, know, and judge. And thus, with highest certainty it knows itself. It is impossible therefore that it ignores that it exists</w:t>
      </w:r>
      <w:r w:rsidR="004C1CD7" w:rsidRPr="00A472FC">
        <w:rPr>
          <w:rFonts w:ascii="Times New Roman" w:hAnsi="Times New Roman" w:cs="Times New Roman"/>
        </w:rPr>
        <w:t>.</w:t>
      </w:r>
      <w:r w:rsidR="004C1CD7" w:rsidRPr="00A472FC">
        <w:rPr>
          <w:rStyle w:val="FootnoteReference"/>
          <w:rFonts w:ascii="Times New Roman" w:hAnsi="Times New Roman" w:cs="Times New Roman"/>
        </w:rPr>
        <w:footnoteReference w:id="309"/>
      </w:r>
      <w:r w:rsidR="004C1CD7" w:rsidRPr="00A472FC">
        <w:rPr>
          <w:rFonts w:ascii="Times New Roman" w:hAnsi="Times New Roman" w:cs="Times New Roman"/>
        </w:rPr>
        <w:t xml:space="preserve"> </w:t>
      </w:r>
    </w:p>
    <w:p w14:paraId="7D4E67AC" w14:textId="77777777" w:rsidR="004C1CD7" w:rsidRPr="00A472FC" w:rsidRDefault="004C1CD7" w:rsidP="00881604">
      <w:pPr>
        <w:ind w:right="-52" w:firstLine="720"/>
        <w:rPr>
          <w:rFonts w:ascii="Times New Roman" w:hAnsi="Times New Roman" w:cs="Times New Roman"/>
        </w:rPr>
      </w:pPr>
    </w:p>
    <w:p w14:paraId="43EC1E94" w14:textId="55673ABC"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After establishing the existence of the soul in its own right</w:t>
      </w:r>
      <w:r w:rsidR="001B6F2F" w:rsidRPr="00A472FC">
        <w:rPr>
          <w:rFonts w:ascii="Times New Roman" w:hAnsi="Times New Roman" w:cs="Times New Roman"/>
        </w:rPr>
        <w:t xml:space="preserve"> along similar lines</w:t>
      </w:r>
      <w:r w:rsidRPr="00A472FC">
        <w:rPr>
          <w:rFonts w:ascii="Times New Roman" w:hAnsi="Times New Roman" w:cs="Times New Roman"/>
        </w:rPr>
        <w:t xml:space="preserve">, both the SDA and DAR proceed to inquire into its constitution. Both texts quickly rule out the notion that the soul could be fashioned from the very substance of God, because God is unchangeable, and the soul can alternate between good and evil—a not un-controversial Franciscan view about which we will hear more in the chapter on free will. According to the Summa, this proves that the soul and God are fundamentally different kinds of beings. If the soul </w:t>
      </w:r>
      <w:r w:rsidR="00392018" w:rsidRPr="00A472FC">
        <w:rPr>
          <w:rFonts w:ascii="Times New Roman" w:hAnsi="Times New Roman" w:cs="Times New Roman"/>
        </w:rPr>
        <w:t>was</w:t>
      </w:r>
      <w:r w:rsidRPr="00A472FC">
        <w:rPr>
          <w:rFonts w:ascii="Times New Roman" w:hAnsi="Times New Roman" w:cs="Times New Roman"/>
        </w:rPr>
        <w:t xml:space="preserve"> made of God’s own substance, the Summa adds, then it would be identical not only with God but also with all other souls, which is absurd.</w:t>
      </w:r>
      <w:r w:rsidRPr="00A472FC">
        <w:rPr>
          <w:rStyle w:val="FootnoteReference"/>
          <w:rFonts w:ascii="Times New Roman" w:hAnsi="Times New Roman" w:cs="Times New Roman"/>
        </w:rPr>
        <w:footnoteReference w:id="310"/>
      </w:r>
      <w:r w:rsidRPr="00A472FC">
        <w:rPr>
          <w:rFonts w:ascii="Times New Roman" w:hAnsi="Times New Roman" w:cs="Times New Roman"/>
        </w:rPr>
        <w:t xml:space="preserve"> </w:t>
      </w:r>
    </w:p>
    <w:p w14:paraId="545DFF96" w14:textId="2251BD8A"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The next question </w:t>
      </w:r>
      <w:r w:rsidR="00DE72CA" w:rsidRPr="00A472FC">
        <w:rPr>
          <w:rFonts w:ascii="Times New Roman" w:hAnsi="Times New Roman" w:cs="Times New Roman"/>
        </w:rPr>
        <w:t xml:space="preserve">raised </w:t>
      </w:r>
      <w:r w:rsidRPr="00A472FC">
        <w:rPr>
          <w:rFonts w:ascii="Times New Roman" w:hAnsi="Times New Roman" w:cs="Times New Roman"/>
        </w:rPr>
        <w:t>concerns the causation of the soul. Whereas philosophers like Avicenna held that the soul is brought into existence by spiritual intelligences, that is, angels, which mediate between God and creation, the Summa asserts that God is the sole efficient cause of the soul.</w:t>
      </w:r>
      <w:r w:rsidRPr="00A472FC">
        <w:rPr>
          <w:rStyle w:val="FootnoteReference"/>
          <w:rFonts w:ascii="Times New Roman" w:hAnsi="Times New Roman" w:cs="Times New Roman"/>
        </w:rPr>
        <w:footnoteReference w:id="311"/>
      </w:r>
      <w:r w:rsidRPr="00A472FC">
        <w:rPr>
          <w:rFonts w:ascii="Times New Roman" w:hAnsi="Times New Roman" w:cs="Times New Roman"/>
        </w:rPr>
        <w:t xml:space="preserve"> After all, a simple being such as the soul cannot proceed from a being that is not itself simple. In affirming this, the Summa eliminates the possibility that one soul could be created by another. Both the DAR and SDA reject this notion on the ground that the creator of all finite beings must itself be unconstrained by the limits of finitude. In other words, it must be transcendent. Since this quality only applies to God, he alone is capable of </w:t>
      </w:r>
      <w:r w:rsidRPr="00A472FC">
        <w:rPr>
          <w:rFonts w:ascii="Times New Roman" w:hAnsi="Times New Roman" w:cs="Times New Roman"/>
        </w:rPr>
        <w:lastRenderedPageBreak/>
        <w:t>creating the soul.</w:t>
      </w:r>
      <w:r w:rsidRPr="00A472FC">
        <w:rPr>
          <w:rStyle w:val="FootnoteReference"/>
          <w:rFonts w:ascii="Times New Roman" w:hAnsi="Times New Roman" w:cs="Times New Roman"/>
        </w:rPr>
        <w:footnoteReference w:id="312"/>
      </w:r>
      <w:r w:rsidRPr="00A472FC">
        <w:rPr>
          <w:rFonts w:ascii="Times New Roman" w:hAnsi="Times New Roman" w:cs="Times New Roman"/>
        </w:rPr>
        <w:t xml:space="preserve"> Assuming the soul is made by though not </w:t>
      </w:r>
      <w:r w:rsidRPr="00A472FC">
        <w:rPr>
          <w:rFonts w:ascii="Times New Roman" w:hAnsi="Times New Roman" w:cs="Times New Roman"/>
          <w:i/>
        </w:rPr>
        <w:t xml:space="preserve">of </w:t>
      </w:r>
      <w:r w:rsidRPr="00A472FC">
        <w:rPr>
          <w:rFonts w:ascii="Times New Roman" w:hAnsi="Times New Roman" w:cs="Times New Roman"/>
        </w:rPr>
        <w:t xml:space="preserve">God, the question remains what constitutes it as a substance. </w:t>
      </w:r>
    </w:p>
    <w:p w14:paraId="1F26430E" w14:textId="78E84925" w:rsidR="00EA1CF7" w:rsidRPr="00A472FC" w:rsidRDefault="00EA1CF7" w:rsidP="00EA1CF7">
      <w:pPr>
        <w:ind w:right="-52"/>
        <w:rPr>
          <w:rFonts w:ascii="Times New Roman" w:hAnsi="Times New Roman" w:cs="Times New Roman"/>
        </w:rPr>
      </w:pPr>
    </w:p>
    <w:p w14:paraId="024B10DF" w14:textId="7159EFA9" w:rsidR="00EA1CF7" w:rsidRPr="00A472FC" w:rsidRDefault="00EA1CF7" w:rsidP="00EA1CF7">
      <w:pPr>
        <w:ind w:right="-52"/>
        <w:rPr>
          <w:rFonts w:ascii="Times New Roman" w:hAnsi="Times New Roman" w:cs="Times New Roman"/>
          <w:u w:val="single"/>
        </w:rPr>
      </w:pPr>
      <w:r w:rsidRPr="00A472FC">
        <w:rPr>
          <w:rFonts w:ascii="Times New Roman" w:hAnsi="Times New Roman" w:cs="Times New Roman"/>
          <w:u w:val="single"/>
        </w:rPr>
        <w:t xml:space="preserve">The Composition of the Soul </w:t>
      </w:r>
    </w:p>
    <w:p w14:paraId="224C0D7F" w14:textId="77777777" w:rsidR="00EA1CF7" w:rsidRPr="00A472FC" w:rsidRDefault="00EA1CF7" w:rsidP="00EA1CF7">
      <w:pPr>
        <w:ind w:right="-52"/>
        <w:rPr>
          <w:rFonts w:ascii="Times New Roman" w:hAnsi="Times New Roman" w:cs="Times New Roman"/>
        </w:rPr>
      </w:pPr>
    </w:p>
    <w:p w14:paraId="1CE47269" w14:textId="38A9D16D" w:rsidR="0015560E" w:rsidRPr="00A472FC" w:rsidRDefault="0015560E" w:rsidP="00ED6B71">
      <w:pPr>
        <w:ind w:right="-52" w:firstLine="720"/>
        <w:rPr>
          <w:rFonts w:ascii="Times New Roman" w:hAnsi="Times New Roman" w:cs="Times New Roman"/>
        </w:rPr>
      </w:pPr>
      <w:r w:rsidRPr="00A472FC">
        <w:rPr>
          <w:rFonts w:ascii="Times New Roman" w:hAnsi="Times New Roman" w:cs="Times New Roman"/>
        </w:rPr>
        <w:t xml:space="preserve">The </w:t>
      </w:r>
      <w:r w:rsidR="00452A81" w:rsidRPr="00A472FC">
        <w:rPr>
          <w:rFonts w:ascii="Times New Roman" w:hAnsi="Times New Roman" w:cs="Times New Roman"/>
        </w:rPr>
        <w:t>question</w:t>
      </w:r>
      <w:r w:rsidRPr="00A472FC">
        <w:rPr>
          <w:rFonts w:ascii="Times New Roman" w:hAnsi="Times New Roman" w:cs="Times New Roman"/>
        </w:rPr>
        <w:t xml:space="preserve"> of the soul’s composition and that of other spiritual substances like angels had been the subject of theological debate at least since the twelfth century. A number of authors had argued that spiritual substances, while simple in themselves, exhibit a kind of composition, insofar as they are essentially dependent on God.</w:t>
      </w:r>
      <w:r w:rsidRPr="00A472FC">
        <w:rPr>
          <w:rStyle w:val="FootnoteReference"/>
          <w:rFonts w:ascii="Times New Roman" w:hAnsi="Times New Roman" w:cs="Times New Roman"/>
        </w:rPr>
        <w:footnoteReference w:id="313"/>
      </w:r>
      <w:r w:rsidRPr="00A472FC">
        <w:rPr>
          <w:rFonts w:ascii="Times New Roman" w:hAnsi="Times New Roman" w:cs="Times New Roman"/>
        </w:rPr>
        <w:t xml:space="preserve"> This is apparently what Gilbert of Poitiers had in mind in his comments on </w:t>
      </w:r>
      <w:proofErr w:type="spellStart"/>
      <w:r w:rsidRPr="00A472FC">
        <w:rPr>
          <w:rFonts w:ascii="Times New Roman" w:hAnsi="Times New Roman" w:cs="Times New Roman"/>
        </w:rPr>
        <w:t>Boethius</w:t>
      </w:r>
      <w:proofErr w:type="spellEnd"/>
      <w:r w:rsidRPr="00A472FC">
        <w:rPr>
          <w:rFonts w:ascii="Times New Roman" w:hAnsi="Times New Roman" w:cs="Times New Roman"/>
        </w:rPr>
        <w:t xml:space="preserve">’ </w:t>
      </w:r>
      <w:r w:rsidRPr="00A472FC">
        <w:rPr>
          <w:rFonts w:ascii="Times New Roman" w:hAnsi="Times New Roman" w:cs="Times New Roman"/>
          <w:i/>
        </w:rPr>
        <w:t xml:space="preserve">De </w:t>
      </w:r>
      <w:proofErr w:type="spellStart"/>
      <w:r w:rsidRPr="00A472FC">
        <w:rPr>
          <w:rFonts w:ascii="Times New Roman" w:hAnsi="Times New Roman" w:cs="Times New Roman"/>
          <w:i/>
        </w:rPr>
        <w:t>Trinitate</w:t>
      </w:r>
      <w:proofErr w:type="spellEnd"/>
      <w:r w:rsidRPr="00A472FC">
        <w:rPr>
          <w:rFonts w:ascii="Times New Roman" w:hAnsi="Times New Roman" w:cs="Times New Roman"/>
        </w:rPr>
        <w:t xml:space="preserve">, which stressed that all things besides God are composed of </w:t>
      </w:r>
      <w:r w:rsidRPr="00A472FC">
        <w:rPr>
          <w:rFonts w:ascii="Times New Roman" w:hAnsi="Times New Roman" w:cs="Times New Roman"/>
          <w:i/>
        </w:rPr>
        <w:t>quod/quo est</w:t>
      </w:r>
      <w:r w:rsidRPr="00A472FC">
        <w:rPr>
          <w:rFonts w:ascii="Times New Roman" w:hAnsi="Times New Roman" w:cs="Times New Roman"/>
        </w:rPr>
        <w:t>. For his part, Peter Lombard invoked Augustine to argue that even spiritual creatures are composed of diverse qualities and are susceptible to change, which implies composition.</w:t>
      </w:r>
      <w:r w:rsidRPr="00A472FC">
        <w:rPr>
          <w:rStyle w:val="FootnoteReference"/>
          <w:rFonts w:ascii="Times New Roman" w:hAnsi="Times New Roman" w:cs="Times New Roman"/>
        </w:rPr>
        <w:footnoteReference w:id="314"/>
      </w:r>
      <w:r w:rsidRPr="00A472FC">
        <w:rPr>
          <w:rFonts w:ascii="Times New Roman" w:hAnsi="Times New Roman" w:cs="Times New Roman"/>
        </w:rPr>
        <w:t xml:space="preserve"> William of Auxerre affirmed the simplicity of God but in passing denied it as a quality of spiritual substances, thus hinting at the possibility of some form of composition.</w:t>
      </w:r>
      <w:r w:rsidR="006A7518" w:rsidRPr="00A472FC">
        <w:rPr>
          <w:rStyle w:val="FootnoteReference"/>
          <w:rFonts w:ascii="Times New Roman" w:hAnsi="Times New Roman" w:cs="Times New Roman"/>
        </w:rPr>
        <w:footnoteReference w:id="315"/>
      </w:r>
    </w:p>
    <w:p w14:paraId="6F9B3F44" w14:textId="32987DE1" w:rsidR="00FF3665" w:rsidRPr="00A472FC" w:rsidRDefault="0015560E" w:rsidP="002E7139">
      <w:pPr>
        <w:ind w:right="-52" w:firstLine="720"/>
        <w:rPr>
          <w:rFonts w:ascii="Times New Roman" w:hAnsi="Times New Roman" w:cs="Times New Roman"/>
        </w:rPr>
      </w:pPr>
      <w:r w:rsidRPr="00A472FC">
        <w:rPr>
          <w:rFonts w:ascii="Times New Roman" w:hAnsi="Times New Roman" w:cs="Times New Roman"/>
        </w:rPr>
        <w:t xml:space="preserve">Admittedly, many twelfth-century thinkers basically neglected the matter of composition, including </w:t>
      </w:r>
      <w:proofErr w:type="spellStart"/>
      <w:r w:rsidRPr="00A472FC">
        <w:rPr>
          <w:rFonts w:ascii="Times New Roman" w:hAnsi="Times New Roman" w:cs="Times New Roman"/>
        </w:rPr>
        <w:t>Praepositinus</w:t>
      </w:r>
      <w:proofErr w:type="spellEnd"/>
      <w:r w:rsidRPr="00A472FC">
        <w:rPr>
          <w:rFonts w:ascii="Times New Roman" w:hAnsi="Times New Roman" w:cs="Times New Roman"/>
        </w:rPr>
        <w:t xml:space="preserve"> of Cremona, Godfrey of Poitiers, and Stephen Langton, while others like Anselm of </w:t>
      </w:r>
      <w:proofErr w:type="spellStart"/>
      <w:r w:rsidRPr="00A472FC">
        <w:rPr>
          <w:rFonts w:ascii="Times New Roman" w:hAnsi="Times New Roman" w:cs="Times New Roman"/>
        </w:rPr>
        <w:t>Laon</w:t>
      </w:r>
      <w:proofErr w:type="spellEnd"/>
      <w:r w:rsidRPr="00A472FC">
        <w:rPr>
          <w:rFonts w:ascii="Times New Roman" w:hAnsi="Times New Roman" w:cs="Times New Roman"/>
        </w:rPr>
        <w:t xml:space="preserve"> and Hugh of St Victor initially argued only for simplicity, at least in angels. Nevertheless, there was some precedent for affirming the composition of the soul in the Latin West, prior to the introduction of the Arabic philosophical sources.</w:t>
      </w:r>
      <w:r w:rsidRPr="00A472FC">
        <w:rPr>
          <w:rStyle w:val="FootnoteReference"/>
          <w:rFonts w:ascii="Times New Roman" w:hAnsi="Times New Roman" w:cs="Times New Roman"/>
        </w:rPr>
        <w:footnoteReference w:id="316"/>
      </w:r>
      <w:r w:rsidRPr="00A472FC">
        <w:rPr>
          <w:rFonts w:ascii="Times New Roman" w:hAnsi="Times New Roman" w:cs="Times New Roman"/>
        </w:rPr>
        <w:t xml:space="preserve"> </w:t>
      </w:r>
      <w:r w:rsidR="00DE3AFD" w:rsidRPr="00A472FC">
        <w:rPr>
          <w:rFonts w:ascii="Times New Roman" w:hAnsi="Times New Roman" w:cs="Times New Roman"/>
        </w:rPr>
        <w:t xml:space="preserve">Among these, </w:t>
      </w:r>
      <w:r w:rsidRPr="00A472FC">
        <w:rPr>
          <w:rFonts w:ascii="Times New Roman" w:hAnsi="Times New Roman" w:cs="Times New Roman"/>
        </w:rPr>
        <w:t xml:space="preserve">the </w:t>
      </w:r>
      <w:r w:rsidRPr="00A472FC">
        <w:rPr>
          <w:rFonts w:ascii="Times New Roman" w:hAnsi="Times New Roman" w:cs="Times New Roman"/>
          <w:i/>
        </w:rPr>
        <w:t xml:space="preserve">Fons Vitae </w:t>
      </w:r>
      <w:r w:rsidRPr="00A472FC">
        <w:rPr>
          <w:rFonts w:ascii="Times New Roman" w:hAnsi="Times New Roman" w:cs="Times New Roman"/>
        </w:rPr>
        <w:t xml:space="preserve">of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revolutionised </w:t>
      </w:r>
      <w:r w:rsidR="004B3607" w:rsidRPr="00A472FC">
        <w:rPr>
          <w:rFonts w:ascii="Times New Roman" w:hAnsi="Times New Roman" w:cs="Times New Roman"/>
        </w:rPr>
        <w:t>inquiry</w:t>
      </w:r>
      <w:r w:rsidR="00DE3AFD" w:rsidRPr="00A472FC">
        <w:rPr>
          <w:rFonts w:ascii="Times New Roman" w:hAnsi="Times New Roman" w:cs="Times New Roman"/>
        </w:rPr>
        <w:t xml:space="preserve"> concerning th</w:t>
      </w:r>
      <w:r w:rsidR="0091140C" w:rsidRPr="00A472FC">
        <w:rPr>
          <w:rFonts w:ascii="Times New Roman" w:hAnsi="Times New Roman" w:cs="Times New Roman"/>
        </w:rPr>
        <w:t>e</w:t>
      </w:r>
      <w:r w:rsidR="00DE3AFD" w:rsidRPr="00A472FC">
        <w:rPr>
          <w:rFonts w:ascii="Times New Roman" w:hAnsi="Times New Roman" w:cs="Times New Roman"/>
        </w:rPr>
        <w:t xml:space="preserve"> composition of the soul by </w:t>
      </w:r>
      <w:r w:rsidR="00984AB0" w:rsidRPr="00A472FC">
        <w:rPr>
          <w:rFonts w:ascii="Times New Roman" w:hAnsi="Times New Roman" w:cs="Times New Roman"/>
        </w:rPr>
        <w:t>advocat</w:t>
      </w:r>
      <w:r w:rsidR="002E7139" w:rsidRPr="00A472FC">
        <w:rPr>
          <w:rFonts w:ascii="Times New Roman" w:hAnsi="Times New Roman" w:cs="Times New Roman"/>
        </w:rPr>
        <w:t>i</w:t>
      </w:r>
      <w:r w:rsidR="00984AB0" w:rsidRPr="00A472FC">
        <w:rPr>
          <w:rFonts w:ascii="Times New Roman" w:hAnsi="Times New Roman" w:cs="Times New Roman"/>
        </w:rPr>
        <w:t>ng</w:t>
      </w:r>
      <w:r w:rsidR="0091140C" w:rsidRPr="00A472FC">
        <w:rPr>
          <w:rFonts w:ascii="Times New Roman" w:hAnsi="Times New Roman" w:cs="Times New Roman"/>
        </w:rPr>
        <w:t xml:space="preserve"> </w:t>
      </w:r>
      <w:r w:rsidR="00DD4A93" w:rsidRPr="00A472FC">
        <w:rPr>
          <w:rFonts w:ascii="Times New Roman" w:hAnsi="Times New Roman" w:cs="Times New Roman"/>
        </w:rPr>
        <w:t xml:space="preserve">a form of </w:t>
      </w:r>
      <w:r w:rsidR="00651A69" w:rsidRPr="00A472FC">
        <w:rPr>
          <w:rFonts w:ascii="Times New Roman" w:hAnsi="Times New Roman" w:cs="Times New Roman"/>
        </w:rPr>
        <w:t>universal hylomorphism</w:t>
      </w:r>
      <w:r w:rsidR="0091140C" w:rsidRPr="00A472FC">
        <w:rPr>
          <w:rFonts w:ascii="Times New Roman" w:hAnsi="Times New Roman" w:cs="Times New Roman"/>
        </w:rPr>
        <w:t>. According</w:t>
      </w:r>
      <w:r w:rsidR="00651A69" w:rsidRPr="00A472FC">
        <w:rPr>
          <w:rFonts w:ascii="Times New Roman" w:hAnsi="Times New Roman" w:cs="Times New Roman"/>
        </w:rPr>
        <w:t xml:space="preserve"> to </w:t>
      </w:r>
      <w:r w:rsidR="0091140C" w:rsidRPr="00A472FC">
        <w:rPr>
          <w:rFonts w:ascii="Times New Roman" w:hAnsi="Times New Roman" w:cs="Times New Roman"/>
        </w:rPr>
        <w:t>this doctrine,</w:t>
      </w:r>
      <w:r w:rsidR="004B3607" w:rsidRPr="00A472FC">
        <w:rPr>
          <w:rFonts w:ascii="Times New Roman" w:hAnsi="Times New Roman" w:cs="Times New Roman"/>
        </w:rPr>
        <w:t xml:space="preserve"> all beings other than God</w:t>
      </w:r>
      <w:r w:rsidR="003C0DF6" w:rsidRPr="00A472FC">
        <w:rPr>
          <w:rFonts w:ascii="Times New Roman" w:hAnsi="Times New Roman" w:cs="Times New Roman"/>
        </w:rPr>
        <w:t xml:space="preserve">—not just physical beings but also </w:t>
      </w:r>
      <w:r w:rsidR="004B3607" w:rsidRPr="00A472FC">
        <w:rPr>
          <w:rFonts w:ascii="Times New Roman" w:hAnsi="Times New Roman" w:cs="Times New Roman"/>
        </w:rPr>
        <w:t>spiritual substances like angels and souls</w:t>
      </w:r>
      <w:r w:rsidR="003C0DF6" w:rsidRPr="00A472FC">
        <w:rPr>
          <w:rFonts w:ascii="Times New Roman" w:hAnsi="Times New Roman" w:cs="Times New Roman"/>
        </w:rPr>
        <w:t>—</w:t>
      </w:r>
      <w:r w:rsidR="004B3607" w:rsidRPr="00A472FC">
        <w:rPr>
          <w:rFonts w:ascii="Times New Roman" w:hAnsi="Times New Roman" w:cs="Times New Roman"/>
        </w:rPr>
        <w:t>must be described as composites of matter and form</w:t>
      </w:r>
      <w:r w:rsidR="00745EC5" w:rsidRPr="00A472FC">
        <w:rPr>
          <w:rFonts w:ascii="Times New Roman" w:hAnsi="Times New Roman" w:cs="Times New Roman"/>
        </w:rPr>
        <w:t>, in order to qualify as substances in the full sense of the term</w:t>
      </w:r>
      <w:r w:rsidR="004B3607" w:rsidRPr="00A472FC">
        <w:rPr>
          <w:rFonts w:ascii="Times New Roman" w:hAnsi="Times New Roman" w:cs="Times New Roman"/>
        </w:rPr>
        <w:t>.</w:t>
      </w:r>
      <w:r w:rsidR="004B3607" w:rsidRPr="00A472FC">
        <w:rPr>
          <w:rStyle w:val="FootnoteReference"/>
          <w:rFonts w:ascii="Times New Roman" w:hAnsi="Times New Roman" w:cs="Times New Roman"/>
        </w:rPr>
        <w:footnoteReference w:id="317"/>
      </w:r>
      <w:r w:rsidR="00651A69" w:rsidRPr="00A472FC">
        <w:rPr>
          <w:rFonts w:ascii="Times New Roman" w:hAnsi="Times New Roman" w:cs="Times New Roman"/>
        </w:rPr>
        <w:t xml:space="preserve"> </w:t>
      </w:r>
    </w:p>
    <w:p w14:paraId="35FE94D4" w14:textId="0ECEEA19" w:rsidR="00FB3738" w:rsidRPr="00A472FC" w:rsidRDefault="00651A69" w:rsidP="00FF3665">
      <w:pPr>
        <w:ind w:right="-52" w:firstLine="720"/>
        <w:rPr>
          <w:rFonts w:ascii="Times New Roman" w:hAnsi="Times New Roman" w:cs="Times New Roman"/>
        </w:rPr>
      </w:pPr>
      <w:r w:rsidRPr="00A472FC">
        <w:rPr>
          <w:rFonts w:ascii="Times New Roman" w:hAnsi="Times New Roman" w:cs="Times New Roman"/>
        </w:rPr>
        <w:t xml:space="preserve">For </w:t>
      </w:r>
      <w:proofErr w:type="spellStart"/>
      <w:r w:rsidRPr="00A472FC">
        <w:rPr>
          <w:rFonts w:ascii="Times New Roman" w:hAnsi="Times New Roman" w:cs="Times New Roman"/>
        </w:rPr>
        <w:t>Avice</w:t>
      </w:r>
      <w:r w:rsidR="00FF3665" w:rsidRPr="00A472FC">
        <w:rPr>
          <w:rFonts w:ascii="Times New Roman" w:hAnsi="Times New Roman" w:cs="Times New Roman"/>
        </w:rPr>
        <w:t>bron</w:t>
      </w:r>
      <w:proofErr w:type="spellEnd"/>
      <w:r w:rsidRPr="00A472FC">
        <w:rPr>
          <w:rFonts w:ascii="Times New Roman" w:hAnsi="Times New Roman" w:cs="Times New Roman"/>
        </w:rPr>
        <w:t xml:space="preserve">, </w:t>
      </w:r>
      <w:r w:rsidR="009F44DE" w:rsidRPr="00A472FC">
        <w:rPr>
          <w:rFonts w:ascii="Times New Roman" w:hAnsi="Times New Roman" w:cs="Times New Roman"/>
        </w:rPr>
        <w:t xml:space="preserve">this </w:t>
      </w:r>
      <w:r w:rsidR="004C1CD7" w:rsidRPr="00A472FC">
        <w:rPr>
          <w:rFonts w:ascii="Times New Roman" w:hAnsi="Times New Roman" w:cs="Times New Roman"/>
        </w:rPr>
        <w:t xml:space="preserve">composition within the soul was </w:t>
      </w:r>
      <w:r w:rsidR="009F44DE" w:rsidRPr="00A472FC">
        <w:rPr>
          <w:rFonts w:ascii="Times New Roman" w:hAnsi="Times New Roman" w:cs="Times New Roman"/>
        </w:rPr>
        <w:t xml:space="preserve">therefore </w:t>
      </w:r>
      <w:r w:rsidR="004C1CD7" w:rsidRPr="00A472FC">
        <w:rPr>
          <w:rFonts w:ascii="Times New Roman" w:hAnsi="Times New Roman" w:cs="Times New Roman"/>
        </w:rPr>
        <w:t>additional to the composition of the soul and the body themselves, not to mention the composition within the body</w:t>
      </w:r>
      <w:r w:rsidR="004869C9" w:rsidRPr="00A472FC">
        <w:rPr>
          <w:rFonts w:ascii="Times New Roman" w:hAnsi="Times New Roman" w:cs="Times New Roman"/>
        </w:rPr>
        <w:t>. This</w:t>
      </w:r>
      <w:r w:rsidR="004C1CD7" w:rsidRPr="00A472FC">
        <w:rPr>
          <w:rFonts w:ascii="Times New Roman" w:hAnsi="Times New Roman" w:cs="Times New Roman"/>
        </w:rPr>
        <w:t xml:space="preserve"> entails prime matter</w:t>
      </w:r>
      <w:r w:rsidR="005852F9" w:rsidRPr="00A472FC">
        <w:rPr>
          <w:rFonts w:ascii="Times New Roman" w:hAnsi="Times New Roman" w:cs="Times New Roman"/>
        </w:rPr>
        <w:t xml:space="preserve"> and </w:t>
      </w:r>
      <w:r w:rsidR="004C1CD7" w:rsidRPr="00A472FC">
        <w:rPr>
          <w:rFonts w:ascii="Times New Roman" w:hAnsi="Times New Roman" w:cs="Times New Roman"/>
        </w:rPr>
        <w:t xml:space="preserve">the so-called ‘form of corporeity’ which makes a body whatever kind of body </w:t>
      </w:r>
      <w:r w:rsidR="00C75BD9" w:rsidRPr="00A472FC">
        <w:rPr>
          <w:rFonts w:ascii="Times New Roman" w:hAnsi="Times New Roman" w:cs="Times New Roman"/>
        </w:rPr>
        <w:t xml:space="preserve">that </w:t>
      </w:r>
      <w:r w:rsidR="004C1CD7" w:rsidRPr="00A472FC">
        <w:rPr>
          <w:rFonts w:ascii="Times New Roman" w:hAnsi="Times New Roman" w:cs="Times New Roman"/>
        </w:rPr>
        <w:t>it is.</w:t>
      </w:r>
      <w:r w:rsidR="00FF3665" w:rsidRPr="00A472FC">
        <w:rPr>
          <w:rFonts w:ascii="Times New Roman" w:hAnsi="Times New Roman" w:cs="Times New Roman"/>
        </w:rPr>
        <w:t xml:space="preserve"> </w:t>
      </w:r>
      <w:r w:rsidR="00FB3738" w:rsidRPr="00A472FC">
        <w:rPr>
          <w:rFonts w:ascii="Times New Roman" w:hAnsi="Times New Roman" w:cs="Times New Roman"/>
        </w:rPr>
        <w:t xml:space="preserve">While </w:t>
      </w:r>
      <w:r w:rsidR="004C1CD7" w:rsidRPr="00A472FC">
        <w:rPr>
          <w:rFonts w:ascii="Times New Roman" w:hAnsi="Times New Roman" w:cs="Times New Roman"/>
        </w:rPr>
        <w:t xml:space="preserve">Avicenna also upheld </w:t>
      </w:r>
      <w:r w:rsidR="004B4E00" w:rsidRPr="00A472FC">
        <w:rPr>
          <w:rFonts w:ascii="Times New Roman" w:hAnsi="Times New Roman" w:cs="Times New Roman"/>
        </w:rPr>
        <w:t>the matter-form composition within the body</w:t>
      </w:r>
      <w:r w:rsidR="004C1CD7" w:rsidRPr="00A472FC">
        <w:rPr>
          <w:rFonts w:ascii="Times New Roman" w:hAnsi="Times New Roman" w:cs="Times New Roman"/>
        </w:rPr>
        <w:t xml:space="preserve">, </w:t>
      </w:r>
      <w:r w:rsidR="00F2007F" w:rsidRPr="00A472FC">
        <w:rPr>
          <w:rFonts w:ascii="Times New Roman" w:hAnsi="Times New Roman" w:cs="Times New Roman"/>
        </w:rPr>
        <w:t>as well as the</w:t>
      </w:r>
      <w:r w:rsidR="00B323A8" w:rsidRPr="00A472FC">
        <w:rPr>
          <w:rFonts w:ascii="Times New Roman" w:hAnsi="Times New Roman" w:cs="Times New Roman"/>
        </w:rPr>
        <w:t xml:space="preserve"> composition </w:t>
      </w:r>
      <w:r w:rsidR="00F2007F" w:rsidRPr="00A472FC">
        <w:rPr>
          <w:rFonts w:ascii="Times New Roman" w:hAnsi="Times New Roman" w:cs="Times New Roman"/>
        </w:rPr>
        <w:t>of body and soul</w:t>
      </w:r>
      <w:r w:rsidR="00FB3738" w:rsidRPr="00A472FC">
        <w:rPr>
          <w:rFonts w:ascii="Times New Roman" w:hAnsi="Times New Roman" w:cs="Times New Roman"/>
        </w:rPr>
        <w:t xml:space="preserve">, he </w:t>
      </w:r>
      <w:r w:rsidR="004C1CD7" w:rsidRPr="00A472FC">
        <w:rPr>
          <w:rFonts w:ascii="Times New Roman" w:hAnsi="Times New Roman" w:cs="Times New Roman"/>
        </w:rPr>
        <w:t xml:space="preserve">denied </w:t>
      </w:r>
      <w:r w:rsidR="005D1549" w:rsidRPr="00A472FC">
        <w:rPr>
          <w:rFonts w:ascii="Times New Roman" w:hAnsi="Times New Roman" w:cs="Times New Roman"/>
        </w:rPr>
        <w:t xml:space="preserve">that spiritual substances like the soul are subject to such composition, which in his view would undermine the </w:t>
      </w:r>
      <w:r w:rsidR="004C1CD7" w:rsidRPr="00A472FC">
        <w:rPr>
          <w:rFonts w:ascii="Times New Roman" w:hAnsi="Times New Roman" w:cs="Times New Roman"/>
        </w:rPr>
        <w:t xml:space="preserve">soul’s simplicity. </w:t>
      </w:r>
      <w:r w:rsidR="00FB3738" w:rsidRPr="00A472FC">
        <w:rPr>
          <w:rFonts w:ascii="Times New Roman" w:hAnsi="Times New Roman" w:cs="Times New Roman"/>
        </w:rPr>
        <w:t xml:space="preserve">In that sense, he agreed with </w:t>
      </w:r>
      <w:proofErr w:type="spellStart"/>
      <w:r w:rsidR="00FB3738" w:rsidRPr="00A472FC">
        <w:rPr>
          <w:rFonts w:ascii="Times New Roman" w:hAnsi="Times New Roman" w:cs="Times New Roman"/>
        </w:rPr>
        <w:t>Avicebron</w:t>
      </w:r>
      <w:proofErr w:type="spellEnd"/>
      <w:r w:rsidR="00FB3738" w:rsidRPr="00A472FC">
        <w:rPr>
          <w:rFonts w:ascii="Times New Roman" w:hAnsi="Times New Roman" w:cs="Times New Roman"/>
        </w:rPr>
        <w:t xml:space="preserve"> that there is a plurality of substances in all beings</w:t>
      </w:r>
      <w:r w:rsidR="00481D3B" w:rsidRPr="00A472FC">
        <w:rPr>
          <w:rFonts w:ascii="Times New Roman" w:hAnsi="Times New Roman" w:cs="Times New Roman"/>
        </w:rPr>
        <w:t>.</w:t>
      </w:r>
      <w:r w:rsidR="00481D3B" w:rsidRPr="00A472FC">
        <w:rPr>
          <w:rStyle w:val="FootnoteReference"/>
          <w:rFonts w:ascii="Times New Roman" w:hAnsi="Times New Roman" w:cs="Times New Roman"/>
        </w:rPr>
        <w:footnoteReference w:id="318"/>
      </w:r>
      <w:r w:rsidR="004B4E00" w:rsidRPr="00A472FC">
        <w:rPr>
          <w:rFonts w:ascii="Times New Roman" w:hAnsi="Times New Roman" w:cs="Times New Roman"/>
        </w:rPr>
        <w:t xml:space="preserve"> However, he rejected the ‘famous pairing’ </w:t>
      </w:r>
      <w:r w:rsidR="005236A7" w:rsidRPr="00A472FC">
        <w:rPr>
          <w:rFonts w:ascii="Times New Roman" w:hAnsi="Times New Roman" w:cs="Times New Roman"/>
        </w:rPr>
        <w:t>(</w:t>
      </w:r>
      <w:proofErr w:type="spellStart"/>
      <w:r w:rsidR="005236A7" w:rsidRPr="00A472FC">
        <w:rPr>
          <w:rFonts w:ascii="Times New Roman" w:hAnsi="Times New Roman" w:cs="Times New Roman"/>
          <w:i/>
        </w:rPr>
        <w:t>binarium</w:t>
      </w:r>
      <w:proofErr w:type="spellEnd"/>
      <w:r w:rsidR="005236A7" w:rsidRPr="00A472FC">
        <w:rPr>
          <w:rFonts w:ascii="Times New Roman" w:hAnsi="Times New Roman" w:cs="Times New Roman"/>
          <w:i/>
        </w:rPr>
        <w:t xml:space="preserve"> </w:t>
      </w:r>
      <w:proofErr w:type="spellStart"/>
      <w:r w:rsidR="005236A7" w:rsidRPr="00A472FC">
        <w:rPr>
          <w:rFonts w:ascii="Times New Roman" w:hAnsi="Times New Roman" w:cs="Times New Roman"/>
          <w:i/>
        </w:rPr>
        <w:t>famosissimum</w:t>
      </w:r>
      <w:proofErr w:type="spellEnd"/>
      <w:r w:rsidR="005236A7" w:rsidRPr="00A472FC">
        <w:rPr>
          <w:rFonts w:ascii="Times New Roman" w:hAnsi="Times New Roman" w:cs="Times New Roman"/>
        </w:rPr>
        <w:t>)</w:t>
      </w:r>
      <w:r w:rsidR="00510A66" w:rsidRPr="00A472FC">
        <w:rPr>
          <w:rFonts w:ascii="Times New Roman" w:hAnsi="Times New Roman" w:cs="Times New Roman"/>
        </w:rPr>
        <w:t>,</w:t>
      </w:r>
      <w:r w:rsidR="00EA1229" w:rsidRPr="00A472FC">
        <w:rPr>
          <w:rFonts w:ascii="Times New Roman" w:hAnsi="Times New Roman" w:cs="Times New Roman"/>
        </w:rPr>
        <w:t xml:space="preserve"> </w:t>
      </w:r>
      <w:r w:rsidR="005236A7" w:rsidRPr="00A472FC">
        <w:rPr>
          <w:rFonts w:ascii="Times New Roman" w:hAnsi="Times New Roman" w:cs="Times New Roman"/>
        </w:rPr>
        <w:t xml:space="preserve">as modern scholarship has come to call the combination of the plurality </w:t>
      </w:r>
      <w:r w:rsidR="005236A7" w:rsidRPr="00A472FC">
        <w:rPr>
          <w:rFonts w:ascii="Times New Roman" w:hAnsi="Times New Roman" w:cs="Times New Roman"/>
        </w:rPr>
        <w:lastRenderedPageBreak/>
        <w:t>doctrine with</w:t>
      </w:r>
      <w:r w:rsidR="00EB21E7" w:rsidRPr="00A472FC">
        <w:rPr>
          <w:rFonts w:ascii="Times New Roman" w:hAnsi="Times New Roman" w:cs="Times New Roman"/>
        </w:rPr>
        <w:t xml:space="preserve"> </w:t>
      </w:r>
      <w:r w:rsidR="005236A7" w:rsidRPr="00A472FC">
        <w:rPr>
          <w:rFonts w:ascii="Times New Roman" w:hAnsi="Times New Roman" w:cs="Times New Roman"/>
        </w:rPr>
        <w:t>universal hylomorphism</w:t>
      </w:r>
      <w:r w:rsidR="00EB21E7" w:rsidRPr="00A472FC">
        <w:rPr>
          <w:rFonts w:ascii="Times New Roman" w:hAnsi="Times New Roman" w:cs="Times New Roman"/>
        </w:rPr>
        <w:t>,</w:t>
      </w:r>
      <w:r w:rsidR="00403DCE" w:rsidRPr="00A472FC">
        <w:rPr>
          <w:rFonts w:ascii="Times New Roman" w:hAnsi="Times New Roman" w:cs="Times New Roman"/>
        </w:rPr>
        <w:t xml:space="preserve"> </w:t>
      </w:r>
      <w:r w:rsidR="00EA1229" w:rsidRPr="00A472FC">
        <w:rPr>
          <w:rFonts w:ascii="Times New Roman" w:hAnsi="Times New Roman" w:cs="Times New Roman"/>
        </w:rPr>
        <w:t xml:space="preserve">which insisted on </w:t>
      </w:r>
      <w:r w:rsidR="00403DCE" w:rsidRPr="00A472FC">
        <w:rPr>
          <w:rFonts w:ascii="Times New Roman" w:hAnsi="Times New Roman" w:cs="Times New Roman"/>
        </w:rPr>
        <w:t xml:space="preserve">the matter-form composition </w:t>
      </w:r>
      <w:r w:rsidR="00EA1229" w:rsidRPr="00A472FC">
        <w:rPr>
          <w:rFonts w:ascii="Times New Roman" w:hAnsi="Times New Roman" w:cs="Times New Roman"/>
        </w:rPr>
        <w:t xml:space="preserve">not merely of bodily substances but also </w:t>
      </w:r>
      <w:r w:rsidR="00403DCE" w:rsidRPr="00A472FC">
        <w:rPr>
          <w:rFonts w:ascii="Times New Roman" w:hAnsi="Times New Roman" w:cs="Times New Roman"/>
        </w:rPr>
        <w:t>of the soul itself</w:t>
      </w:r>
      <w:r w:rsidR="005236A7" w:rsidRPr="00A472FC">
        <w:rPr>
          <w:rFonts w:ascii="Times New Roman" w:hAnsi="Times New Roman" w:cs="Times New Roman"/>
          <w:i/>
        </w:rPr>
        <w:t>.</w:t>
      </w:r>
      <w:r w:rsidR="005236A7" w:rsidRPr="00A472FC">
        <w:rPr>
          <w:rStyle w:val="FootnoteReference"/>
          <w:rFonts w:ascii="Times New Roman" w:hAnsi="Times New Roman" w:cs="Times New Roman"/>
        </w:rPr>
        <w:footnoteReference w:id="319"/>
      </w:r>
    </w:p>
    <w:p w14:paraId="14DC13CF" w14:textId="7B33E6E0" w:rsidR="00C5071C" w:rsidRPr="00A472FC" w:rsidRDefault="004C1CD7" w:rsidP="007649C6">
      <w:pPr>
        <w:ind w:right="-52" w:firstLine="720"/>
        <w:rPr>
          <w:rFonts w:ascii="Times New Roman" w:hAnsi="Times New Roman" w:cs="Times New Roman"/>
        </w:rPr>
      </w:pPr>
      <w:r w:rsidRPr="00A472FC">
        <w:rPr>
          <w:rFonts w:ascii="Times New Roman" w:hAnsi="Times New Roman" w:cs="Times New Roman"/>
        </w:rPr>
        <w:t xml:space="preserve">As </w:t>
      </w:r>
      <w:r w:rsidR="005426D6" w:rsidRPr="00A472FC">
        <w:rPr>
          <w:rFonts w:ascii="Times New Roman" w:hAnsi="Times New Roman" w:cs="Times New Roman"/>
        </w:rPr>
        <w:t>scholars have</w:t>
      </w:r>
      <w:r w:rsidRPr="00A472FC">
        <w:rPr>
          <w:rFonts w:ascii="Times New Roman" w:hAnsi="Times New Roman" w:cs="Times New Roman"/>
        </w:rPr>
        <w:t xml:space="preserve"> observed,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advocated Avicenna’s view at one point, namely, in </w:t>
      </w:r>
      <w:r w:rsidRPr="00A472FC">
        <w:rPr>
          <w:rFonts w:ascii="Times New Roman" w:hAnsi="Times New Roman" w:cs="Times New Roman"/>
          <w:i/>
        </w:rPr>
        <w:t xml:space="preserve">De anima </w:t>
      </w:r>
      <w:r w:rsidRPr="00A472FC">
        <w:rPr>
          <w:rFonts w:ascii="Times New Roman" w:hAnsi="Times New Roman" w:cs="Times New Roman"/>
        </w:rPr>
        <w:t>7</w:t>
      </w:r>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while affirming </w:t>
      </w:r>
      <w:proofErr w:type="spellStart"/>
      <w:r w:rsidRPr="00A472FC">
        <w:rPr>
          <w:rFonts w:ascii="Times New Roman" w:hAnsi="Times New Roman" w:cs="Times New Roman"/>
        </w:rPr>
        <w:t>Avicebron’s</w:t>
      </w:r>
      <w:proofErr w:type="spellEnd"/>
      <w:r w:rsidRPr="00A472FC">
        <w:rPr>
          <w:rFonts w:ascii="Times New Roman" w:hAnsi="Times New Roman" w:cs="Times New Roman"/>
        </w:rPr>
        <w:t xml:space="preserve"> view in his </w:t>
      </w:r>
      <w:r w:rsidRPr="00A472FC">
        <w:rPr>
          <w:rFonts w:ascii="Times New Roman" w:hAnsi="Times New Roman" w:cs="Times New Roman"/>
          <w:i/>
        </w:rPr>
        <w:t xml:space="preserve">De </w:t>
      </w:r>
      <w:proofErr w:type="spellStart"/>
      <w:r w:rsidRPr="00A472FC">
        <w:rPr>
          <w:rFonts w:ascii="Times New Roman" w:hAnsi="Times New Roman" w:cs="Times New Roman"/>
          <w:i/>
        </w:rPr>
        <w:t>processione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mundi</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320"/>
      </w:r>
      <w:r w:rsidRPr="00A472FC">
        <w:rPr>
          <w:rFonts w:ascii="Times New Roman" w:hAnsi="Times New Roman" w:cs="Times New Roman"/>
        </w:rPr>
        <w:t xml:space="preserve"> Precisely because his presentation of the matter is not entirely consistent, the Toledo translator of Avicenna and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became responsible for introducing both of their views </w:t>
      </w:r>
      <w:r w:rsidR="003B75CF" w:rsidRPr="00A472FC">
        <w:rPr>
          <w:rFonts w:ascii="Times New Roman" w:hAnsi="Times New Roman" w:cs="Times New Roman"/>
        </w:rPr>
        <w:t>to</w:t>
      </w:r>
      <w:r w:rsidRPr="00A472FC">
        <w:rPr>
          <w:rFonts w:ascii="Times New Roman" w:hAnsi="Times New Roman" w:cs="Times New Roman"/>
        </w:rPr>
        <w:t xml:space="preserve"> the West. Although most Latin thinkers from this period </w:t>
      </w:r>
      <w:r w:rsidR="00D90DCF" w:rsidRPr="00A472FC">
        <w:rPr>
          <w:rFonts w:ascii="Times New Roman" w:hAnsi="Times New Roman" w:cs="Times New Roman"/>
        </w:rPr>
        <w:t xml:space="preserve">resultantly </w:t>
      </w:r>
      <w:r w:rsidRPr="00A472FC">
        <w:rPr>
          <w:rFonts w:ascii="Times New Roman" w:hAnsi="Times New Roman" w:cs="Times New Roman"/>
        </w:rPr>
        <w:t>affirmed the plurality of forms, they positioned themselves differently in relation to the doctrine of universal hylomorphism</w:t>
      </w:r>
      <w:r w:rsidR="005B2641" w:rsidRPr="00A472FC">
        <w:rPr>
          <w:rFonts w:ascii="Times New Roman" w:hAnsi="Times New Roman" w:cs="Times New Roman"/>
        </w:rPr>
        <w:t xml:space="preserve"> which was unique to </w:t>
      </w:r>
      <w:proofErr w:type="spellStart"/>
      <w:r w:rsidR="005B2641" w:rsidRPr="00A472FC">
        <w:rPr>
          <w:rFonts w:ascii="Times New Roman" w:hAnsi="Times New Roman" w:cs="Times New Roman"/>
        </w:rPr>
        <w:t>Avicebron</w:t>
      </w:r>
      <w:proofErr w:type="spellEnd"/>
      <w:r w:rsidRPr="00A472FC">
        <w:rPr>
          <w:rFonts w:ascii="Times New Roman" w:hAnsi="Times New Roman" w:cs="Times New Roman"/>
        </w:rPr>
        <w:t xml:space="preserve">. </w:t>
      </w:r>
    </w:p>
    <w:p w14:paraId="647C7BAF" w14:textId="11819D14" w:rsidR="007649C6" w:rsidRPr="00A472FC" w:rsidRDefault="004C1CD7" w:rsidP="007649C6">
      <w:pPr>
        <w:ind w:right="-52" w:firstLine="720"/>
        <w:rPr>
          <w:rFonts w:ascii="Times New Roman" w:hAnsi="Times New Roman" w:cs="Times New Roman"/>
        </w:rPr>
      </w:pPr>
      <w:r w:rsidRPr="00A472FC">
        <w:rPr>
          <w:rFonts w:ascii="Times New Roman" w:hAnsi="Times New Roman" w:cs="Times New Roman"/>
        </w:rPr>
        <w:t xml:space="preserve">As </w:t>
      </w:r>
      <w:proofErr w:type="spellStart"/>
      <w:r w:rsidRPr="00A472FC">
        <w:rPr>
          <w:rFonts w:ascii="Times New Roman" w:hAnsi="Times New Roman" w:cs="Times New Roman"/>
        </w:rPr>
        <w:t>Weishepl</w:t>
      </w:r>
      <w:proofErr w:type="spellEnd"/>
      <w:r w:rsidRPr="00A472FC">
        <w:rPr>
          <w:rFonts w:ascii="Times New Roman" w:hAnsi="Times New Roman" w:cs="Times New Roman"/>
        </w:rPr>
        <w:t xml:space="preserve"> notes ‘the earliest known reference to </w:t>
      </w:r>
      <w:proofErr w:type="spellStart"/>
      <w:r w:rsidRPr="00A472FC">
        <w:rPr>
          <w:rFonts w:ascii="Times New Roman" w:hAnsi="Times New Roman" w:cs="Times New Roman"/>
        </w:rPr>
        <w:t>Avicebron</w:t>
      </w:r>
      <w:r w:rsidR="00D90DCF" w:rsidRPr="00A472FC">
        <w:rPr>
          <w:rFonts w:ascii="Times New Roman" w:hAnsi="Times New Roman" w:cs="Times New Roman"/>
        </w:rPr>
        <w:t>’s</w:t>
      </w:r>
      <w:proofErr w:type="spellEnd"/>
      <w:r w:rsidRPr="00A472FC">
        <w:rPr>
          <w:rFonts w:ascii="Times New Roman" w:hAnsi="Times New Roman" w:cs="Times New Roman"/>
        </w:rPr>
        <w:t xml:space="preserve"> doctrine is found in John </w:t>
      </w:r>
      <w:proofErr w:type="spellStart"/>
      <w:r w:rsidRPr="00A472FC">
        <w:rPr>
          <w:rFonts w:ascii="Times New Roman" w:hAnsi="Times New Roman" w:cs="Times New Roman"/>
        </w:rPr>
        <w:t>Blund</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321"/>
      </w:r>
      <w:r w:rsidRPr="00A472FC">
        <w:rPr>
          <w:rFonts w:ascii="Times New Roman" w:hAnsi="Times New Roman" w:cs="Times New Roman"/>
        </w:rPr>
        <w:t xml:space="preserve"> </w:t>
      </w:r>
      <w:r w:rsidR="0043511C" w:rsidRPr="00A472FC">
        <w:rPr>
          <w:rFonts w:ascii="Times New Roman" w:hAnsi="Times New Roman" w:cs="Times New Roman"/>
        </w:rPr>
        <w:t xml:space="preserve">In his </w:t>
      </w:r>
      <w:r w:rsidR="0043511C" w:rsidRPr="00A472FC">
        <w:rPr>
          <w:rFonts w:ascii="Times New Roman" w:hAnsi="Times New Roman" w:cs="Times New Roman"/>
          <w:i/>
          <w:iCs/>
        </w:rPr>
        <w:t>De anima,</w:t>
      </w:r>
      <w:r w:rsidR="0043511C" w:rsidRPr="00A472FC">
        <w:rPr>
          <w:rFonts w:ascii="Times New Roman" w:hAnsi="Times New Roman" w:cs="Times New Roman"/>
        </w:rPr>
        <w:t xml:space="preserve"> </w:t>
      </w:r>
      <w:proofErr w:type="spellStart"/>
      <w:r w:rsidR="002065FD" w:rsidRPr="00A472FC">
        <w:rPr>
          <w:rFonts w:ascii="Times New Roman" w:hAnsi="Times New Roman" w:cs="Times New Roman"/>
        </w:rPr>
        <w:t>Blund</w:t>
      </w:r>
      <w:proofErr w:type="spellEnd"/>
      <w:r w:rsidR="0043511C" w:rsidRPr="00A472FC">
        <w:rPr>
          <w:rFonts w:ascii="Times New Roman" w:hAnsi="Times New Roman" w:cs="Times New Roman"/>
        </w:rPr>
        <w:t xml:space="preserve"> r</w:t>
      </w:r>
      <w:r w:rsidRPr="00A472FC">
        <w:rPr>
          <w:rFonts w:ascii="Times New Roman" w:hAnsi="Times New Roman" w:cs="Times New Roman"/>
        </w:rPr>
        <w:t>ehearse</w:t>
      </w:r>
      <w:r w:rsidR="008F0B12" w:rsidRPr="00A472FC">
        <w:rPr>
          <w:rFonts w:ascii="Times New Roman" w:hAnsi="Times New Roman" w:cs="Times New Roman"/>
        </w:rPr>
        <w:t>d</w:t>
      </w:r>
      <w:r w:rsidRPr="00A472FC">
        <w:rPr>
          <w:rFonts w:ascii="Times New Roman" w:hAnsi="Times New Roman" w:cs="Times New Roman"/>
        </w:rPr>
        <w:t xml:space="preserve"> the argument in support of </w:t>
      </w:r>
      <w:r w:rsidR="00882764" w:rsidRPr="00A472FC">
        <w:rPr>
          <w:rFonts w:ascii="Times New Roman" w:hAnsi="Times New Roman" w:cs="Times New Roman"/>
        </w:rPr>
        <w:t>this</w:t>
      </w:r>
      <w:r w:rsidRPr="00A472FC">
        <w:rPr>
          <w:rFonts w:ascii="Times New Roman" w:hAnsi="Times New Roman" w:cs="Times New Roman"/>
        </w:rPr>
        <w:t xml:space="preserve"> position as found in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w:t>
      </w:r>
      <w:r w:rsidRPr="00A472FC">
        <w:rPr>
          <w:rFonts w:ascii="Times New Roman" w:hAnsi="Times New Roman" w:cs="Times New Roman"/>
          <w:i/>
        </w:rPr>
        <w:t xml:space="preserve">De </w:t>
      </w:r>
      <w:proofErr w:type="spellStart"/>
      <w:r w:rsidR="001746F6" w:rsidRPr="00A472FC">
        <w:rPr>
          <w:rFonts w:ascii="Times New Roman" w:hAnsi="Times New Roman" w:cs="Times New Roman"/>
          <w:i/>
        </w:rPr>
        <w:t>processione</w:t>
      </w:r>
      <w:proofErr w:type="spellEnd"/>
      <w:r w:rsidRPr="00A472FC">
        <w:rPr>
          <w:rFonts w:ascii="Times New Roman" w:hAnsi="Times New Roman" w:cs="Times New Roman"/>
          <w:iCs/>
        </w:rPr>
        <w:t>,</w:t>
      </w:r>
      <w:r w:rsidRPr="00A472FC">
        <w:rPr>
          <w:rFonts w:ascii="Times New Roman" w:hAnsi="Times New Roman" w:cs="Times New Roman"/>
          <w:i/>
        </w:rPr>
        <w:t xml:space="preserve"> </w:t>
      </w:r>
      <w:r w:rsidR="005B2641" w:rsidRPr="00A472FC">
        <w:rPr>
          <w:rFonts w:ascii="Times New Roman" w:hAnsi="Times New Roman" w:cs="Times New Roman"/>
        </w:rPr>
        <w:t>but</w:t>
      </w:r>
      <w:r w:rsidRPr="00A472FC">
        <w:rPr>
          <w:rFonts w:ascii="Times New Roman" w:hAnsi="Times New Roman" w:cs="Times New Roman"/>
        </w:rPr>
        <w:t xml:space="preserve"> reject</w:t>
      </w:r>
      <w:r w:rsidR="001746F6" w:rsidRPr="00A472FC">
        <w:rPr>
          <w:rFonts w:ascii="Times New Roman" w:hAnsi="Times New Roman" w:cs="Times New Roman"/>
        </w:rPr>
        <w:t>e</w:t>
      </w:r>
      <w:r w:rsidR="008F0B12" w:rsidRPr="00A472FC">
        <w:rPr>
          <w:rFonts w:ascii="Times New Roman" w:hAnsi="Times New Roman" w:cs="Times New Roman"/>
        </w:rPr>
        <w:t>d</w:t>
      </w:r>
      <w:r w:rsidR="005B2641" w:rsidRPr="00A472FC">
        <w:rPr>
          <w:rFonts w:ascii="Times New Roman" w:hAnsi="Times New Roman" w:cs="Times New Roman"/>
        </w:rPr>
        <w:t xml:space="preserve"> </w:t>
      </w:r>
      <w:r w:rsidR="00882764" w:rsidRPr="00A472FC">
        <w:rPr>
          <w:rFonts w:ascii="Times New Roman" w:hAnsi="Times New Roman" w:cs="Times New Roman"/>
        </w:rPr>
        <w:t xml:space="preserve">it </w:t>
      </w:r>
      <w:r w:rsidRPr="00A472FC">
        <w:rPr>
          <w:rFonts w:ascii="Times New Roman" w:hAnsi="Times New Roman" w:cs="Times New Roman"/>
        </w:rPr>
        <w:t>in favour of simplicity, affirming only a composition of genus and difference</w:t>
      </w:r>
      <w:r w:rsidR="00882764" w:rsidRPr="00A472FC">
        <w:rPr>
          <w:rFonts w:ascii="Times New Roman" w:hAnsi="Times New Roman" w:cs="Times New Roman"/>
        </w:rPr>
        <w:t xml:space="preserve"> in the soul</w:t>
      </w:r>
      <w:r w:rsidRPr="00A472FC">
        <w:rPr>
          <w:rFonts w:ascii="Times New Roman" w:hAnsi="Times New Roman" w:cs="Times New Roman"/>
        </w:rPr>
        <w:t>.</w:t>
      </w:r>
      <w:r w:rsidRPr="00A472FC">
        <w:rPr>
          <w:rStyle w:val="FootnoteReference"/>
          <w:rFonts w:ascii="Times New Roman" w:hAnsi="Times New Roman" w:cs="Times New Roman"/>
        </w:rPr>
        <w:footnoteReference w:id="322"/>
      </w:r>
      <w:r w:rsidRPr="00A472FC">
        <w:rPr>
          <w:rFonts w:ascii="Times New Roman" w:hAnsi="Times New Roman" w:cs="Times New Roman"/>
        </w:rPr>
        <w:t xml:space="preserve"> His colleague Alexander </w:t>
      </w:r>
      <w:proofErr w:type="spellStart"/>
      <w:r w:rsidRPr="00A472FC">
        <w:rPr>
          <w:rFonts w:ascii="Times New Roman" w:hAnsi="Times New Roman" w:cs="Times New Roman"/>
        </w:rPr>
        <w:t>Neckam</w:t>
      </w:r>
      <w:proofErr w:type="spellEnd"/>
      <w:r w:rsidRPr="00A472FC">
        <w:rPr>
          <w:rFonts w:ascii="Times New Roman" w:hAnsi="Times New Roman" w:cs="Times New Roman"/>
        </w:rPr>
        <w:t xml:space="preserve"> also object</w:t>
      </w:r>
      <w:r w:rsidR="008F0B12" w:rsidRPr="00A472FC">
        <w:rPr>
          <w:rFonts w:ascii="Times New Roman" w:hAnsi="Times New Roman" w:cs="Times New Roman"/>
        </w:rPr>
        <w:t>ed</w:t>
      </w:r>
      <w:r w:rsidRPr="00A472FC">
        <w:rPr>
          <w:rFonts w:ascii="Times New Roman" w:hAnsi="Times New Roman" w:cs="Times New Roman"/>
        </w:rPr>
        <w:t xml:space="preserve"> to </w:t>
      </w:r>
      <w:r w:rsidR="001C4B07" w:rsidRPr="00A472FC">
        <w:rPr>
          <w:rFonts w:ascii="Times New Roman" w:hAnsi="Times New Roman" w:cs="Times New Roman"/>
        </w:rPr>
        <w:t xml:space="preserve">the view that </w:t>
      </w:r>
      <w:r w:rsidRPr="00A472FC">
        <w:rPr>
          <w:rFonts w:ascii="Times New Roman" w:hAnsi="Times New Roman" w:cs="Times New Roman"/>
          <w:bCs/>
          <w:color w:val="000000"/>
          <w:lang w:val="en-US"/>
        </w:rPr>
        <w:t xml:space="preserve">the soul is comprised of form and ‘spiritual matter’, </w:t>
      </w:r>
      <w:r w:rsidR="001C4B07" w:rsidRPr="00A472FC">
        <w:rPr>
          <w:rFonts w:ascii="Times New Roman" w:hAnsi="Times New Roman" w:cs="Times New Roman"/>
          <w:bCs/>
          <w:color w:val="000000"/>
          <w:lang w:val="en-US"/>
        </w:rPr>
        <w:t>which he acknowledge</w:t>
      </w:r>
      <w:r w:rsidR="008F0B12" w:rsidRPr="00A472FC">
        <w:rPr>
          <w:rFonts w:ascii="Times New Roman" w:hAnsi="Times New Roman" w:cs="Times New Roman"/>
          <w:bCs/>
          <w:color w:val="000000"/>
          <w:lang w:val="en-US"/>
        </w:rPr>
        <w:t>d wa</w:t>
      </w:r>
      <w:r w:rsidR="001C4B07" w:rsidRPr="00A472FC">
        <w:rPr>
          <w:rFonts w:ascii="Times New Roman" w:hAnsi="Times New Roman" w:cs="Times New Roman"/>
          <w:bCs/>
          <w:color w:val="000000"/>
          <w:lang w:val="en-US"/>
        </w:rPr>
        <w:t xml:space="preserve">s advocated by some, </w:t>
      </w:r>
      <w:r w:rsidR="00EC1993" w:rsidRPr="00A472FC">
        <w:rPr>
          <w:rFonts w:ascii="Times New Roman" w:hAnsi="Times New Roman" w:cs="Times New Roman"/>
          <w:bCs/>
          <w:color w:val="000000"/>
          <w:lang w:val="en-US"/>
        </w:rPr>
        <w:t>while denying</w:t>
      </w:r>
      <w:r w:rsidRPr="00A472FC">
        <w:rPr>
          <w:rFonts w:ascii="Times New Roman" w:hAnsi="Times New Roman" w:cs="Times New Roman"/>
          <w:bCs/>
          <w:color w:val="000000"/>
          <w:lang w:val="en-US"/>
        </w:rPr>
        <w:t xml:space="preserve"> that </w:t>
      </w:r>
      <w:r w:rsidR="004A4100" w:rsidRPr="00A472FC">
        <w:rPr>
          <w:rFonts w:ascii="Times New Roman" w:hAnsi="Times New Roman" w:cs="Times New Roman"/>
          <w:bCs/>
          <w:color w:val="000000"/>
          <w:lang w:val="en-US"/>
        </w:rPr>
        <w:t>the soul</w:t>
      </w:r>
      <w:r w:rsidRPr="00A472FC">
        <w:rPr>
          <w:rFonts w:ascii="Times New Roman" w:hAnsi="Times New Roman" w:cs="Times New Roman"/>
          <w:bCs/>
          <w:color w:val="000000"/>
          <w:lang w:val="en-US"/>
        </w:rPr>
        <w:t xml:space="preserve"> </w:t>
      </w:r>
      <w:r w:rsidR="00E83505" w:rsidRPr="00A472FC">
        <w:rPr>
          <w:rFonts w:ascii="Times New Roman" w:hAnsi="Times New Roman" w:cs="Times New Roman"/>
          <w:bCs/>
          <w:color w:val="000000"/>
          <w:lang w:val="en-US"/>
        </w:rPr>
        <w:t>can be</w:t>
      </w:r>
      <w:r w:rsidRPr="00A472FC">
        <w:rPr>
          <w:rFonts w:ascii="Times New Roman" w:hAnsi="Times New Roman" w:cs="Times New Roman"/>
          <w:bCs/>
          <w:color w:val="000000"/>
          <w:lang w:val="en-US"/>
        </w:rPr>
        <w:t xml:space="preserve"> simple in the same way as God, insofar as it moved from non-being to being.</w:t>
      </w:r>
      <w:r w:rsidRPr="00A472FC">
        <w:rPr>
          <w:rStyle w:val="FootnoteReference"/>
          <w:rFonts w:ascii="Times New Roman" w:hAnsi="Times New Roman" w:cs="Times New Roman"/>
          <w:lang w:val="en-US"/>
        </w:rPr>
        <w:footnoteReference w:id="323"/>
      </w:r>
      <w:r w:rsidRPr="00A472FC">
        <w:rPr>
          <w:rFonts w:ascii="Times New Roman" w:hAnsi="Times New Roman" w:cs="Times New Roman"/>
          <w:bCs/>
          <w:color w:val="000000"/>
          <w:lang w:val="en-US"/>
        </w:rPr>
        <w:t xml:space="preserve"> </w:t>
      </w:r>
    </w:p>
    <w:p w14:paraId="41299DAA" w14:textId="0E12BF76" w:rsidR="004C1CD7" w:rsidRPr="00A472FC" w:rsidRDefault="004C1CD7" w:rsidP="00571053">
      <w:pPr>
        <w:ind w:right="-52" w:firstLine="720"/>
        <w:rPr>
          <w:rFonts w:ascii="Times New Roman" w:hAnsi="Times New Roman" w:cs="Times New Roman"/>
          <w:color w:val="000000"/>
          <w:lang w:val="en-US"/>
        </w:rPr>
      </w:pPr>
      <w:r w:rsidRPr="00A472FC">
        <w:rPr>
          <w:rFonts w:ascii="Times New Roman" w:hAnsi="Times New Roman" w:cs="Times New Roman"/>
        </w:rPr>
        <w:t xml:space="preserve">As </w:t>
      </w:r>
      <w:r w:rsidR="00262380" w:rsidRPr="00A472FC">
        <w:rPr>
          <w:rFonts w:ascii="Times New Roman" w:hAnsi="Times New Roman" w:cs="Times New Roman"/>
        </w:rPr>
        <w:t>in several other cases</w:t>
      </w:r>
      <w:r w:rsidRPr="00A472FC">
        <w:rPr>
          <w:rFonts w:ascii="Times New Roman" w:hAnsi="Times New Roman" w:cs="Times New Roman"/>
        </w:rPr>
        <w:t>, Philip the Chancello</w:t>
      </w:r>
      <w:r w:rsidR="00A1302A" w:rsidRPr="00A472FC">
        <w:rPr>
          <w:rFonts w:ascii="Times New Roman" w:hAnsi="Times New Roman" w:cs="Times New Roman"/>
        </w:rPr>
        <w:t xml:space="preserve">r </w:t>
      </w:r>
      <w:r w:rsidR="009C0F92" w:rsidRPr="00A472FC">
        <w:rPr>
          <w:rFonts w:ascii="Times New Roman" w:hAnsi="Times New Roman" w:cs="Times New Roman"/>
        </w:rPr>
        <w:t xml:space="preserve">was the </w:t>
      </w:r>
      <w:r w:rsidR="00A1302A" w:rsidRPr="00A472FC">
        <w:rPr>
          <w:rFonts w:ascii="Times New Roman" w:hAnsi="Times New Roman" w:cs="Times New Roman"/>
        </w:rPr>
        <w:t xml:space="preserve">first </w:t>
      </w:r>
      <w:r w:rsidR="007649C6" w:rsidRPr="00A472FC">
        <w:rPr>
          <w:rFonts w:ascii="Times New Roman" w:hAnsi="Times New Roman" w:cs="Times New Roman"/>
        </w:rPr>
        <w:t>university</w:t>
      </w:r>
      <w:r w:rsidR="00E227B3" w:rsidRPr="00A472FC">
        <w:rPr>
          <w:rFonts w:ascii="Times New Roman" w:hAnsi="Times New Roman" w:cs="Times New Roman"/>
        </w:rPr>
        <w:t xml:space="preserve"> </w:t>
      </w:r>
      <w:r w:rsidR="009C0F92" w:rsidRPr="00A472FC">
        <w:rPr>
          <w:rFonts w:ascii="Times New Roman" w:hAnsi="Times New Roman" w:cs="Times New Roman"/>
        </w:rPr>
        <w:t>theologian to pursue this question</w:t>
      </w:r>
      <w:r w:rsidR="00E227B3" w:rsidRPr="00A472FC">
        <w:rPr>
          <w:rFonts w:ascii="Times New Roman" w:hAnsi="Times New Roman" w:cs="Times New Roman"/>
        </w:rPr>
        <w:t>,</w:t>
      </w:r>
      <w:r w:rsidR="009C0F92" w:rsidRPr="00A472FC">
        <w:rPr>
          <w:rFonts w:ascii="Times New Roman" w:hAnsi="Times New Roman" w:cs="Times New Roman"/>
        </w:rPr>
        <w:t xml:space="preserve"> </w:t>
      </w:r>
      <w:r w:rsidR="00707C00" w:rsidRPr="00A472FC">
        <w:rPr>
          <w:rFonts w:ascii="Times New Roman" w:hAnsi="Times New Roman" w:cs="Times New Roman"/>
        </w:rPr>
        <w:t xml:space="preserve">in </w:t>
      </w:r>
      <w:r w:rsidR="00262380" w:rsidRPr="00A472FC">
        <w:rPr>
          <w:rFonts w:ascii="Times New Roman" w:hAnsi="Times New Roman" w:cs="Times New Roman"/>
        </w:rPr>
        <w:t xml:space="preserve">his </w:t>
      </w:r>
      <w:r w:rsidR="00262380" w:rsidRPr="00A472FC">
        <w:rPr>
          <w:rFonts w:ascii="Times New Roman" w:hAnsi="Times New Roman" w:cs="Times New Roman"/>
          <w:i/>
        </w:rPr>
        <w:t>Summa de bon</w:t>
      </w:r>
      <w:r w:rsidR="00707C00" w:rsidRPr="00A472FC">
        <w:rPr>
          <w:rFonts w:ascii="Times New Roman" w:hAnsi="Times New Roman" w:cs="Times New Roman"/>
          <w:i/>
        </w:rPr>
        <w:t>o.</w:t>
      </w:r>
      <w:r w:rsidRPr="00A472FC">
        <w:rPr>
          <w:rFonts w:ascii="Times New Roman" w:hAnsi="Times New Roman" w:cs="Times New Roman"/>
        </w:rPr>
        <w:t xml:space="preserve"> </w:t>
      </w:r>
      <w:r w:rsidRPr="00A472FC">
        <w:rPr>
          <w:rFonts w:ascii="Times New Roman" w:hAnsi="Times New Roman" w:cs="Times New Roman"/>
          <w:color w:val="000000"/>
          <w:lang w:val="en-US"/>
        </w:rPr>
        <w:t xml:space="preserve">The soul in his view is comprised of </w:t>
      </w:r>
      <w:r w:rsidRPr="00A472FC">
        <w:rPr>
          <w:rFonts w:ascii="Times New Roman" w:hAnsi="Times New Roman" w:cs="Times New Roman"/>
          <w:i/>
          <w:color w:val="000000"/>
          <w:lang w:val="en-US"/>
        </w:rPr>
        <w:t xml:space="preserve">quod </w:t>
      </w:r>
      <w:proofErr w:type="spellStart"/>
      <w:r w:rsidRPr="00A472FC">
        <w:rPr>
          <w:rFonts w:ascii="Times New Roman" w:hAnsi="Times New Roman" w:cs="Times New Roman"/>
          <w:i/>
          <w:color w:val="000000"/>
          <w:lang w:val="en-US"/>
        </w:rPr>
        <w:t>est</w:t>
      </w:r>
      <w:proofErr w:type="spellEnd"/>
      <w:r w:rsidRPr="00A472FC">
        <w:rPr>
          <w:rFonts w:ascii="Times New Roman" w:hAnsi="Times New Roman" w:cs="Times New Roman"/>
          <w:color w:val="000000"/>
          <w:lang w:val="en-US"/>
        </w:rPr>
        <w:t xml:space="preserve"> and </w:t>
      </w:r>
      <w:r w:rsidRPr="00A472FC">
        <w:rPr>
          <w:rFonts w:ascii="Times New Roman" w:hAnsi="Times New Roman" w:cs="Times New Roman"/>
          <w:i/>
          <w:color w:val="000000"/>
          <w:lang w:val="en-US"/>
        </w:rPr>
        <w:t xml:space="preserve">quo </w:t>
      </w:r>
      <w:proofErr w:type="spellStart"/>
      <w:r w:rsidRPr="00A472FC">
        <w:rPr>
          <w:rFonts w:ascii="Times New Roman" w:hAnsi="Times New Roman" w:cs="Times New Roman"/>
          <w:i/>
          <w:color w:val="000000"/>
          <w:lang w:val="en-US"/>
        </w:rPr>
        <w:t>est</w:t>
      </w:r>
      <w:proofErr w:type="spellEnd"/>
      <w:r w:rsidRPr="00A472FC">
        <w:rPr>
          <w:rFonts w:ascii="Times New Roman" w:hAnsi="Times New Roman" w:cs="Times New Roman"/>
          <w:color w:val="000000"/>
          <w:lang w:val="en-US"/>
        </w:rPr>
        <w:t xml:space="preserve">, a distinction that </w:t>
      </w:r>
      <w:r w:rsidR="002E41FB" w:rsidRPr="00A472FC">
        <w:rPr>
          <w:rFonts w:ascii="Times New Roman" w:hAnsi="Times New Roman" w:cs="Times New Roman"/>
          <w:color w:val="000000"/>
          <w:lang w:val="en-US"/>
        </w:rPr>
        <w:t xml:space="preserve">entered the tradition </w:t>
      </w:r>
      <w:r w:rsidRPr="00A472FC">
        <w:rPr>
          <w:rFonts w:ascii="Times New Roman" w:hAnsi="Times New Roman" w:cs="Times New Roman"/>
          <w:color w:val="000000"/>
          <w:lang w:val="en-US"/>
        </w:rPr>
        <w:t xml:space="preserve">thanks to Gilbert of Poitiers’ </w:t>
      </w:r>
      <w:r w:rsidR="002E41FB" w:rsidRPr="00A472FC">
        <w:rPr>
          <w:rFonts w:ascii="Times New Roman" w:hAnsi="Times New Roman" w:cs="Times New Roman"/>
          <w:color w:val="000000"/>
          <w:lang w:val="en-US"/>
        </w:rPr>
        <w:t xml:space="preserve">aforementioned </w:t>
      </w:r>
      <w:r w:rsidRPr="00A472FC">
        <w:rPr>
          <w:rFonts w:ascii="Times New Roman" w:hAnsi="Times New Roman" w:cs="Times New Roman"/>
          <w:color w:val="000000"/>
          <w:lang w:val="en-US"/>
        </w:rPr>
        <w:t xml:space="preserve">use of </w:t>
      </w:r>
      <w:proofErr w:type="spellStart"/>
      <w:r w:rsidRPr="00A472FC">
        <w:rPr>
          <w:rFonts w:ascii="Times New Roman" w:hAnsi="Times New Roman" w:cs="Times New Roman"/>
          <w:color w:val="000000"/>
          <w:lang w:val="en-US"/>
        </w:rPr>
        <w:t>Boethius</w:t>
      </w:r>
      <w:proofErr w:type="spellEnd"/>
      <w:r w:rsidRPr="00A472FC">
        <w:rPr>
          <w:rFonts w:ascii="Times New Roman" w:hAnsi="Times New Roman" w:cs="Times New Roman"/>
          <w:color w:val="000000"/>
          <w:lang w:val="en-US"/>
        </w:rPr>
        <w:t xml:space="preserve">. For Philip, this distinction can refer either to a composition of matter-form or of essence-existence. </w:t>
      </w:r>
      <w:r w:rsidR="008A3C66" w:rsidRPr="00A472FC">
        <w:rPr>
          <w:rFonts w:ascii="Times New Roman" w:hAnsi="Times New Roman" w:cs="Times New Roman"/>
          <w:color w:val="000000"/>
          <w:lang w:val="en-US"/>
        </w:rPr>
        <w:t xml:space="preserve">In reference to the former pair, Philip argues that </w:t>
      </w:r>
      <w:r w:rsidRPr="00A472FC">
        <w:rPr>
          <w:rFonts w:ascii="Times New Roman" w:hAnsi="Times New Roman" w:cs="Times New Roman"/>
          <w:color w:val="000000"/>
          <w:lang w:val="en-US"/>
        </w:rPr>
        <w:t xml:space="preserve">wherever there is matter, there is </w:t>
      </w:r>
      <w:r w:rsidRPr="00A472FC">
        <w:rPr>
          <w:rFonts w:ascii="Times New Roman" w:hAnsi="Times New Roman" w:cs="Times New Roman"/>
          <w:i/>
          <w:color w:val="000000"/>
          <w:lang w:val="en-US"/>
        </w:rPr>
        <w:t xml:space="preserve">quod est. </w:t>
      </w:r>
      <w:r w:rsidRPr="00A472FC">
        <w:rPr>
          <w:rFonts w:ascii="Times New Roman" w:hAnsi="Times New Roman" w:cs="Times New Roman"/>
          <w:color w:val="000000"/>
          <w:lang w:val="en-US"/>
        </w:rPr>
        <w:t>However</w:t>
      </w:r>
      <w:r w:rsidRPr="00A472FC">
        <w:rPr>
          <w:rFonts w:ascii="Times New Roman" w:hAnsi="Times New Roman" w:cs="Times New Roman"/>
          <w:i/>
          <w:color w:val="000000"/>
          <w:lang w:val="en-US"/>
        </w:rPr>
        <w:t xml:space="preserve">, </w:t>
      </w:r>
      <w:r w:rsidRPr="00A472FC">
        <w:rPr>
          <w:rFonts w:ascii="Times New Roman" w:hAnsi="Times New Roman" w:cs="Times New Roman"/>
          <w:color w:val="000000"/>
          <w:lang w:val="en-US"/>
        </w:rPr>
        <w:t xml:space="preserve">the converse is not also true: wherever there is </w:t>
      </w:r>
      <w:r w:rsidRPr="00A472FC">
        <w:rPr>
          <w:rFonts w:ascii="Times New Roman" w:hAnsi="Times New Roman" w:cs="Times New Roman"/>
          <w:i/>
          <w:color w:val="000000"/>
          <w:lang w:val="en-US"/>
        </w:rPr>
        <w:t xml:space="preserve">quod </w:t>
      </w:r>
      <w:proofErr w:type="spellStart"/>
      <w:r w:rsidRPr="00A472FC">
        <w:rPr>
          <w:rFonts w:ascii="Times New Roman" w:hAnsi="Times New Roman" w:cs="Times New Roman"/>
          <w:i/>
          <w:color w:val="000000"/>
          <w:lang w:val="en-US"/>
        </w:rPr>
        <w:t>est</w:t>
      </w:r>
      <w:proofErr w:type="spellEnd"/>
      <w:r w:rsidRPr="00A472FC">
        <w:rPr>
          <w:rFonts w:ascii="Times New Roman" w:hAnsi="Times New Roman" w:cs="Times New Roman"/>
          <w:color w:val="000000"/>
          <w:lang w:val="en-US"/>
        </w:rPr>
        <w:t>, there is not necessarily matter.</w:t>
      </w:r>
      <w:r w:rsidRPr="00A472FC">
        <w:rPr>
          <w:rStyle w:val="FootnoteReference"/>
          <w:rFonts w:ascii="Times New Roman" w:hAnsi="Times New Roman" w:cs="Times New Roman"/>
          <w:color w:val="000000"/>
          <w:lang w:val="en-US"/>
        </w:rPr>
        <w:footnoteReference w:id="324"/>
      </w:r>
      <w:r w:rsidRPr="00A472FC">
        <w:rPr>
          <w:rFonts w:ascii="Times New Roman" w:hAnsi="Times New Roman" w:cs="Times New Roman"/>
          <w:color w:val="000000"/>
          <w:lang w:val="en-US"/>
        </w:rPr>
        <w:t xml:space="preserve"> He mentions the doctrine of universal hylomorphism as one that is entertained by some but is not entirely clear on whether he himself advocates it. </w:t>
      </w:r>
      <w:r w:rsidR="004B1D25" w:rsidRPr="00A472FC">
        <w:rPr>
          <w:rFonts w:ascii="Times New Roman" w:hAnsi="Times New Roman" w:cs="Times New Roman"/>
          <w:color w:val="000000"/>
          <w:lang w:val="en-US"/>
        </w:rPr>
        <w:t>However, he does say that</w:t>
      </w:r>
      <w:r w:rsidRPr="00A472FC">
        <w:rPr>
          <w:rFonts w:ascii="Times New Roman" w:hAnsi="Times New Roman" w:cs="Times New Roman"/>
          <w:color w:val="000000"/>
          <w:lang w:val="en-US"/>
        </w:rPr>
        <w:t xml:space="preserve"> if the doctrine is true, it is more applicable to human soul</w:t>
      </w:r>
      <w:r w:rsidR="00B3216A" w:rsidRPr="00A472FC">
        <w:rPr>
          <w:rFonts w:ascii="Times New Roman" w:hAnsi="Times New Roman" w:cs="Times New Roman"/>
          <w:color w:val="000000"/>
          <w:lang w:val="en-US"/>
        </w:rPr>
        <w:t>s</w:t>
      </w:r>
      <w:r w:rsidRPr="00A472FC">
        <w:rPr>
          <w:rFonts w:ascii="Times New Roman" w:hAnsi="Times New Roman" w:cs="Times New Roman"/>
          <w:color w:val="000000"/>
          <w:lang w:val="en-US"/>
        </w:rPr>
        <w:t xml:space="preserve"> than to angels, because human beings are united to the body which is inherently composite.</w:t>
      </w:r>
      <w:r w:rsidRPr="00A472FC">
        <w:rPr>
          <w:rStyle w:val="FootnoteReference"/>
          <w:rFonts w:ascii="Times New Roman" w:hAnsi="Times New Roman" w:cs="Times New Roman"/>
          <w:color w:val="000000"/>
          <w:lang w:val="en-US"/>
        </w:rPr>
        <w:footnoteReference w:id="325"/>
      </w:r>
      <w:r w:rsidRPr="00A472FC">
        <w:rPr>
          <w:rFonts w:ascii="Times New Roman" w:hAnsi="Times New Roman" w:cs="Times New Roman"/>
          <w:color w:val="000000"/>
          <w:lang w:val="en-US"/>
        </w:rPr>
        <w:t xml:space="preserve"> </w:t>
      </w:r>
      <w:r w:rsidR="004A602D" w:rsidRPr="00A472FC">
        <w:rPr>
          <w:rFonts w:ascii="Times New Roman" w:hAnsi="Times New Roman" w:cs="Times New Roman"/>
          <w:color w:val="000000"/>
          <w:lang w:val="en-US"/>
        </w:rPr>
        <w:t xml:space="preserve">In another </w:t>
      </w:r>
      <w:r w:rsidR="003B658D" w:rsidRPr="00A472FC">
        <w:rPr>
          <w:rFonts w:ascii="Times New Roman" w:hAnsi="Times New Roman" w:cs="Times New Roman"/>
          <w:color w:val="000000"/>
          <w:lang w:val="en-US"/>
        </w:rPr>
        <w:t>context</w:t>
      </w:r>
      <w:r w:rsidR="004A602D" w:rsidRPr="00A472FC">
        <w:rPr>
          <w:rFonts w:ascii="Times New Roman" w:hAnsi="Times New Roman" w:cs="Times New Roman"/>
          <w:color w:val="000000"/>
          <w:lang w:val="en-US"/>
        </w:rPr>
        <w:t xml:space="preserve">, he </w:t>
      </w:r>
      <w:r w:rsidR="003B658D" w:rsidRPr="00A472FC">
        <w:rPr>
          <w:rFonts w:ascii="Times New Roman" w:hAnsi="Times New Roman" w:cs="Times New Roman"/>
          <w:color w:val="000000"/>
          <w:lang w:val="en-US"/>
        </w:rPr>
        <w:t xml:space="preserve">further </w:t>
      </w:r>
      <w:r w:rsidR="004A602D" w:rsidRPr="00A472FC">
        <w:rPr>
          <w:rFonts w:ascii="Times New Roman" w:hAnsi="Times New Roman" w:cs="Times New Roman"/>
          <w:color w:val="000000"/>
          <w:lang w:val="en-US"/>
        </w:rPr>
        <w:t>describes both</w:t>
      </w:r>
      <w:r w:rsidRPr="00A472FC">
        <w:rPr>
          <w:rFonts w:ascii="Times New Roman" w:hAnsi="Times New Roman" w:cs="Times New Roman"/>
          <w:color w:val="000000"/>
          <w:lang w:val="en-US"/>
        </w:rPr>
        <w:t xml:space="preserve"> angels and humans </w:t>
      </w:r>
      <w:r w:rsidR="004A602D" w:rsidRPr="00A472FC">
        <w:rPr>
          <w:rFonts w:ascii="Times New Roman" w:hAnsi="Times New Roman" w:cs="Times New Roman"/>
          <w:color w:val="000000"/>
          <w:lang w:val="en-US"/>
        </w:rPr>
        <w:t>as composites</w:t>
      </w:r>
      <w:r w:rsidRPr="00A472FC">
        <w:rPr>
          <w:rFonts w:ascii="Times New Roman" w:hAnsi="Times New Roman" w:cs="Times New Roman"/>
          <w:color w:val="000000"/>
          <w:lang w:val="en-US"/>
        </w:rPr>
        <w:t xml:space="preserve"> of </w:t>
      </w:r>
      <w:r w:rsidRPr="00A472FC">
        <w:rPr>
          <w:rFonts w:ascii="Times New Roman" w:hAnsi="Times New Roman" w:cs="Times New Roman"/>
          <w:i/>
          <w:color w:val="000000"/>
          <w:lang w:val="en-US"/>
        </w:rPr>
        <w:t xml:space="preserve">quod/quo </w:t>
      </w:r>
      <w:proofErr w:type="spellStart"/>
      <w:r w:rsidRPr="00A472FC">
        <w:rPr>
          <w:rFonts w:ascii="Times New Roman" w:hAnsi="Times New Roman" w:cs="Times New Roman"/>
          <w:i/>
          <w:color w:val="000000"/>
          <w:lang w:val="en-US"/>
        </w:rPr>
        <w:t>est</w:t>
      </w:r>
      <w:proofErr w:type="spellEnd"/>
      <w:r w:rsidRPr="00A472FC">
        <w:rPr>
          <w:rFonts w:ascii="Times New Roman" w:hAnsi="Times New Roman" w:cs="Times New Roman"/>
          <w:color w:val="000000"/>
          <w:lang w:val="en-US"/>
        </w:rPr>
        <w:t xml:space="preserve">, insofar as they can be </w:t>
      </w:r>
      <w:r w:rsidR="00E4581A" w:rsidRPr="00A472FC">
        <w:rPr>
          <w:rFonts w:ascii="Times New Roman" w:hAnsi="Times New Roman" w:cs="Times New Roman"/>
          <w:color w:val="000000"/>
          <w:lang w:val="en-US"/>
        </w:rPr>
        <w:t>understood</w:t>
      </w:r>
      <w:r w:rsidRPr="00A472FC">
        <w:rPr>
          <w:rFonts w:ascii="Times New Roman" w:hAnsi="Times New Roman" w:cs="Times New Roman"/>
          <w:color w:val="000000"/>
          <w:lang w:val="en-US"/>
        </w:rPr>
        <w:t xml:space="preserve"> as compounds of power and act</w:t>
      </w:r>
      <w:r w:rsidR="00EA0B02" w:rsidRPr="00A472FC">
        <w:rPr>
          <w:rFonts w:ascii="Times New Roman" w:hAnsi="Times New Roman" w:cs="Times New Roman"/>
          <w:color w:val="000000"/>
          <w:lang w:val="en-US"/>
        </w:rPr>
        <w:t xml:space="preserve">, which are </w:t>
      </w:r>
      <w:r w:rsidRPr="00A472FC">
        <w:rPr>
          <w:rFonts w:ascii="Times New Roman" w:hAnsi="Times New Roman" w:cs="Times New Roman"/>
          <w:color w:val="000000"/>
          <w:lang w:val="en-US"/>
        </w:rPr>
        <w:t>passive in respect to God and active in their own particular ways.</w:t>
      </w:r>
      <w:r w:rsidRPr="00A472FC">
        <w:rPr>
          <w:rStyle w:val="FootnoteReference"/>
          <w:rFonts w:ascii="Times New Roman" w:hAnsi="Times New Roman" w:cs="Times New Roman"/>
          <w:color w:val="000000"/>
          <w:lang w:val="en-US"/>
        </w:rPr>
        <w:footnoteReference w:id="326"/>
      </w:r>
    </w:p>
    <w:p w14:paraId="165D37E3" w14:textId="4F717F98" w:rsidR="00DE481B" w:rsidRPr="00A472FC" w:rsidRDefault="00A11C72" w:rsidP="00B90B69">
      <w:pPr>
        <w:ind w:right="-52" w:firstLine="720"/>
        <w:rPr>
          <w:rFonts w:ascii="Times New Roman" w:hAnsi="Times New Roman" w:cs="Times New Roman"/>
        </w:rPr>
      </w:pPr>
      <w:r w:rsidRPr="00A472FC">
        <w:rPr>
          <w:rFonts w:ascii="Times New Roman" w:hAnsi="Times New Roman" w:cs="Times New Roman"/>
          <w:color w:val="000000"/>
          <w:lang w:val="en-US"/>
        </w:rPr>
        <w:lastRenderedPageBreak/>
        <w:t>Where Philip equivocated</w:t>
      </w:r>
      <w:r w:rsidR="00162E3F" w:rsidRPr="00A472FC">
        <w:rPr>
          <w:rFonts w:ascii="Times New Roman" w:hAnsi="Times New Roman" w:cs="Times New Roman"/>
          <w:color w:val="000000"/>
          <w:lang w:val="en-US"/>
        </w:rPr>
        <w:t xml:space="preserve"> on the doctrine of universal hylomor</w:t>
      </w:r>
      <w:r w:rsidR="009E7B28" w:rsidRPr="00A472FC">
        <w:rPr>
          <w:rFonts w:ascii="Times New Roman" w:hAnsi="Times New Roman" w:cs="Times New Roman"/>
          <w:color w:val="000000"/>
          <w:lang w:val="en-US"/>
        </w:rPr>
        <w:t>p</w:t>
      </w:r>
      <w:r w:rsidR="00162E3F" w:rsidRPr="00A472FC">
        <w:rPr>
          <w:rFonts w:ascii="Times New Roman" w:hAnsi="Times New Roman" w:cs="Times New Roman"/>
          <w:color w:val="000000"/>
          <w:lang w:val="en-US"/>
        </w:rPr>
        <w:t>hism</w:t>
      </w:r>
      <w:r w:rsidR="004C1CD7" w:rsidRPr="00A472FC">
        <w:rPr>
          <w:rFonts w:ascii="Times New Roman" w:hAnsi="Times New Roman" w:cs="Times New Roman"/>
          <w:color w:val="000000"/>
          <w:lang w:val="en-US"/>
        </w:rPr>
        <w:t xml:space="preserve">, </w:t>
      </w:r>
      <w:r w:rsidR="004C1CD7" w:rsidRPr="00A472FC">
        <w:rPr>
          <w:rFonts w:ascii="Times New Roman" w:hAnsi="Times New Roman" w:cs="Times New Roman"/>
        </w:rPr>
        <w:t xml:space="preserve">Hugh of St Cher </w:t>
      </w:r>
      <w:r w:rsidR="0053352E" w:rsidRPr="00A472FC">
        <w:rPr>
          <w:rFonts w:ascii="Times New Roman" w:hAnsi="Times New Roman" w:cs="Times New Roman"/>
        </w:rPr>
        <w:t xml:space="preserve">and William of Auvergne </w:t>
      </w:r>
      <w:r w:rsidR="004C1CD7" w:rsidRPr="00A472FC">
        <w:rPr>
          <w:rFonts w:ascii="Times New Roman" w:hAnsi="Times New Roman" w:cs="Times New Roman"/>
        </w:rPr>
        <w:t xml:space="preserve">came down decisively </w:t>
      </w:r>
      <w:r w:rsidR="00660510" w:rsidRPr="00A472FC">
        <w:rPr>
          <w:rFonts w:ascii="Times New Roman" w:hAnsi="Times New Roman" w:cs="Times New Roman"/>
        </w:rPr>
        <w:t xml:space="preserve">against </w:t>
      </w:r>
      <w:r w:rsidR="00162E3F" w:rsidRPr="00A472FC">
        <w:rPr>
          <w:rFonts w:ascii="Times New Roman" w:hAnsi="Times New Roman" w:cs="Times New Roman"/>
        </w:rPr>
        <w:t>it</w:t>
      </w:r>
      <w:r w:rsidR="004C1CD7" w:rsidRPr="00A472FC">
        <w:rPr>
          <w:rFonts w:ascii="Times New Roman" w:hAnsi="Times New Roman" w:cs="Times New Roman"/>
        </w:rPr>
        <w:t>.</w:t>
      </w:r>
      <w:r w:rsidR="004C1CD7" w:rsidRPr="00A472FC">
        <w:rPr>
          <w:rStyle w:val="FootnoteReference"/>
          <w:rFonts w:ascii="Times New Roman" w:hAnsi="Times New Roman" w:cs="Times New Roman"/>
        </w:rPr>
        <w:footnoteReference w:id="327"/>
      </w:r>
      <w:r w:rsidR="004C1CD7" w:rsidRPr="00A472FC">
        <w:rPr>
          <w:rFonts w:ascii="Times New Roman" w:hAnsi="Times New Roman" w:cs="Times New Roman"/>
        </w:rPr>
        <w:t xml:space="preserve"> </w:t>
      </w:r>
      <w:r w:rsidR="0008285B" w:rsidRPr="00A472FC">
        <w:rPr>
          <w:rFonts w:ascii="Times New Roman" w:hAnsi="Times New Roman" w:cs="Times New Roman"/>
        </w:rPr>
        <w:t>According to</w:t>
      </w:r>
      <w:r w:rsidR="004D7F4B" w:rsidRPr="00A472FC">
        <w:rPr>
          <w:rFonts w:ascii="Times New Roman" w:hAnsi="Times New Roman" w:cs="Times New Roman"/>
        </w:rPr>
        <w:t xml:space="preserve"> William</w:t>
      </w:r>
      <w:r w:rsidR="0008285B" w:rsidRPr="00A472FC">
        <w:rPr>
          <w:rFonts w:ascii="Times New Roman" w:hAnsi="Times New Roman" w:cs="Times New Roman"/>
        </w:rPr>
        <w:t>,</w:t>
      </w:r>
      <w:r w:rsidR="004D7F4B" w:rsidRPr="00A472FC">
        <w:rPr>
          <w:rFonts w:ascii="Times New Roman" w:hAnsi="Times New Roman" w:cs="Times New Roman"/>
        </w:rPr>
        <w:t xml:space="preserve"> </w:t>
      </w:r>
      <w:r w:rsidR="00303938" w:rsidRPr="00A472FC">
        <w:rPr>
          <w:rFonts w:ascii="Times New Roman" w:hAnsi="Times New Roman" w:cs="Times New Roman"/>
        </w:rPr>
        <w:t>the</w:t>
      </w:r>
      <w:r w:rsidR="004D7F4B" w:rsidRPr="00A472FC">
        <w:rPr>
          <w:rFonts w:ascii="Times New Roman" w:hAnsi="Times New Roman" w:cs="Times New Roman"/>
        </w:rPr>
        <w:t xml:space="preserve"> </w:t>
      </w:r>
      <w:r w:rsidR="00660510" w:rsidRPr="00A472FC">
        <w:rPr>
          <w:rFonts w:ascii="Times New Roman" w:hAnsi="Times New Roman" w:cs="Times New Roman"/>
        </w:rPr>
        <w:t>doctrine</w:t>
      </w:r>
      <w:r w:rsidR="004D7F4B" w:rsidRPr="00A472FC">
        <w:rPr>
          <w:rFonts w:ascii="Times New Roman" w:hAnsi="Times New Roman" w:cs="Times New Roman"/>
        </w:rPr>
        <w:t xml:space="preserve"> </w:t>
      </w:r>
      <w:r w:rsidR="00614BE8" w:rsidRPr="00A472FC">
        <w:rPr>
          <w:rFonts w:ascii="Times New Roman" w:hAnsi="Times New Roman" w:cs="Times New Roman"/>
        </w:rPr>
        <w:t>undermine</w:t>
      </w:r>
      <w:r w:rsidR="00870B7F" w:rsidRPr="00A472FC">
        <w:rPr>
          <w:rFonts w:ascii="Times New Roman" w:hAnsi="Times New Roman" w:cs="Times New Roman"/>
        </w:rPr>
        <w:t>s</w:t>
      </w:r>
      <w:r w:rsidR="00614BE8" w:rsidRPr="00A472FC">
        <w:rPr>
          <w:rFonts w:ascii="Times New Roman" w:hAnsi="Times New Roman" w:cs="Times New Roman"/>
        </w:rPr>
        <w:t xml:space="preserve"> </w:t>
      </w:r>
      <w:r w:rsidR="004D7F4B" w:rsidRPr="00A472FC">
        <w:rPr>
          <w:rFonts w:ascii="Times New Roman" w:hAnsi="Times New Roman" w:cs="Times New Roman"/>
        </w:rPr>
        <w:t xml:space="preserve">the simplicity of the soul and its status as </w:t>
      </w:r>
      <w:r w:rsidR="0053352E" w:rsidRPr="00A472FC">
        <w:rPr>
          <w:rFonts w:ascii="Times New Roman" w:hAnsi="Times New Roman" w:cs="Times New Roman"/>
        </w:rPr>
        <w:t>a self-subsisting entity.</w:t>
      </w:r>
      <w:r w:rsidR="0053352E" w:rsidRPr="00A472FC">
        <w:rPr>
          <w:rStyle w:val="FootnoteReference"/>
          <w:rFonts w:ascii="Times New Roman" w:hAnsi="Times New Roman" w:cs="Times New Roman"/>
        </w:rPr>
        <w:footnoteReference w:id="328"/>
      </w:r>
      <w:r w:rsidR="0053352E" w:rsidRPr="00A472FC">
        <w:rPr>
          <w:rFonts w:ascii="Times New Roman" w:hAnsi="Times New Roman" w:cs="Times New Roman"/>
        </w:rPr>
        <w:t xml:space="preserve"> </w:t>
      </w:r>
      <w:r w:rsidR="00B90B69" w:rsidRPr="00A472FC">
        <w:rPr>
          <w:rFonts w:ascii="Times New Roman" w:hAnsi="Times New Roman" w:cs="Times New Roman"/>
        </w:rPr>
        <w:t xml:space="preserve">While Hugh also affirmed the ultimate simplicity of the soul, he allowed that it is </w:t>
      </w:r>
      <w:r w:rsidR="004C1CD7" w:rsidRPr="00A472FC">
        <w:rPr>
          <w:rFonts w:ascii="Times New Roman" w:hAnsi="Times New Roman" w:cs="Times New Roman"/>
        </w:rPr>
        <w:t xml:space="preserve">composed in the sense Peter Lombard affirmed, namely, insofar as it supports multiple accidents and depends upon God. </w:t>
      </w:r>
      <w:r w:rsidR="00614BE8" w:rsidRPr="00A472FC">
        <w:rPr>
          <w:rFonts w:ascii="Times New Roman" w:hAnsi="Times New Roman" w:cs="Times New Roman"/>
        </w:rPr>
        <w:t>In his view</w:t>
      </w:r>
      <w:r w:rsidR="006E1FAF" w:rsidRPr="00A472FC">
        <w:rPr>
          <w:rFonts w:ascii="Times New Roman" w:hAnsi="Times New Roman" w:cs="Times New Roman"/>
        </w:rPr>
        <w:t>,</w:t>
      </w:r>
      <w:r w:rsidR="00614BE8" w:rsidRPr="00A472FC">
        <w:rPr>
          <w:rFonts w:ascii="Times New Roman" w:hAnsi="Times New Roman" w:cs="Times New Roman"/>
        </w:rPr>
        <w:t xml:space="preserve"> however</w:t>
      </w:r>
      <w:r w:rsidR="004C1CD7" w:rsidRPr="00A472FC">
        <w:rPr>
          <w:rFonts w:ascii="Times New Roman" w:hAnsi="Times New Roman" w:cs="Times New Roman"/>
        </w:rPr>
        <w:t xml:space="preserve">, these are not forms of composition strictly speaking. </w:t>
      </w:r>
      <w:r w:rsidR="00660510" w:rsidRPr="00A472FC">
        <w:rPr>
          <w:rFonts w:ascii="Times New Roman" w:hAnsi="Times New Roman" w:cs="Times New Roman"/>
        </w:rPr>
        <w:t>Rather</w:t>
      </w:r>
      <w:r w:rsidR="00E2173C" w:rsidRPr="00A472FC">
        <w:rPr>
          <w:rFonts w:ascii="Times New Roman" w:hAnsi="Times New Roman" w:cs="Times New Roman"/>
        </w:rPr>
        <w:t xml:space="preserve">, </w:t>
      </w:r>
      <w:r w:rsidR="004C1CD7" w:rsidRPr="00A472FC">
        <w:rPr>
          <w:rFonts w:ascii="Times New Roman" w:hAnsi="Times New Roman" w:cs="Times New Roman"/>
        </w:rPr>
        <w:t xml:space="preserve">the </w:t>
      </w:r>
      <w:r w:rsidR="004C1CD7" w:rsidRPr="00A472FC">
        <w:rPr>
          <w:rFonts w:ascii="Times New Roman" w:hAnsi="Times New Roman" w:cs="Times New Roman"/>
          <w:i/>
        </w:rPr>
        <w:t xml:space="preserve">quod </w:t>
      </w:r>
      <w:proofErr w:type="spellStart"/>
      <w:r w:rsidR="004C1CD7" w:rsidRPr="00A472FC">
        <w:rPr>
          <w:rFonts w:ascii="Times New Roman" w:hAnsi="Times New Roman" w:cs="Times New Roman"/>
          <w:i/>
        </w:rPr>
        <w:t>est</w:t>
      </w:r>
      <w:proofErr w:type="spellEnd"/>
      <w:r w:rsidR="004C1CD7" w:rsidRPr="00A472FC">
        <w:rPr>
          <w:rFonts w:ascii="Times New Roman" w:hAnsi="Times New Roman" w:cs="Times New Roman"/>
        </w:rPr>
        <w:t xml:space="preserve"> of </w:t>
      </w:r>
      <w:proofErr w:type="spellStart"/>
      <w:r w:rsidR="004C1CD7" w:rsidRPr="00A472FC">
        <w:rPr>
          <w:rFonts w:ascii="Times New Roman" w:hAnsi="Times New Roman" w:cs="Times New Roman"/>
        </w:rPr>
        <w:t>Boethius</w:t>
      </w:r>
      <w:proofErr w:type="spellEnd"/>
      <w:r w:rsidR="004C1CD7" w:rsidRPr="00A472FC">
        <w:rPr>
          <w:rFonts w:ascii="Times New Roman" w:hAnsi="Times New Roman" w:cs="Times New Roman"/>
        </w:rPr>
        <w:t xml:space="preserve"> refers to the </w:t>
      </w:r>
      <w:r w:rsidR="0084081A" w:rsidRPr="00A472FC">
        <w:rPr>
          <w:rFonts w:ascii="Times New Roman" w:hAnsi="Times New Roman" w:cs="Times New Roman"/>
        </w:rPr>
        <w:t xml:space="preserve">simplicity of the </w:t>
      </w:r>
      <w:r w:rsidR="004C1CD7" w:rsidRPr="00A472FC">
        <w:rPr>
          <w:rFonts w:ascii="Times New Roman" w:hAnsi="Times New Roman" w:cs="Times New Roman"/>
        </w:rPr>
        <w:t xml:space="preserve">soul itself, while the </w:t>
      </w:r>
      <w:r w:rsidR="004C1CD7" w:rsidRPr="00A472FC">
        <w:rPr>
          <w:rFonts w:ascii="Times New Roman" w:hAnsi="Times New Roman" w:cs="Times New Roman"/>
          <w:i/>
        </w:rPr>
        <w:t xml:space="preserve">quo </w:t>
      </w:r>
      <w:proofErr w:type="spellStart"/>
      <w:r w:rsidR="004C1CD7" w:rsidRPr="00A472FC">
        <w:rPr>
          <w:rFonts w:ascii="Times New Roman" w:hAnsi="Times New Roman" w:cs="Times New Roman"/>
          <w:i/>
        </w:rPr>
        <w:t>est</w:t>
      </w:r>
      <w:proofErr w:type="spellEnd"/>
      <w:r w:rsidR="004C1CD7" w:rsidRPr="00A472FC">
        <w:rPr>
          <w:rFonts w:ascii="Times New Roman" w:hAnsi="Times New Roman" w:cs="Times New Roman"/>
        </w:rPr>
        <w:t xml:space="preserve"> pertains to </w:t>
      </w:r>
      <w:r w:rsidR="0084081A" w:rsidRPr="00A472FC">
        <w:rPr>
          <w:rFonts w:ascii="Times New Roman" w:hAnsi="Times New Roman" w:cs="Times New Roman"/>
        </w:rPr>
        <w:t>the</w:t>
      </w:r>
      <w:r w:rsidR="004C1CD7" w:rsidRPr="00A472FC">
        <w:rPr>
          <w:rFonts w:ascii="Times New Roman" w:hAnsi="Times New Roman" w:cs="Times New Roman"/>
        </w:rPr>
        <w:t xml:space="preserve"> faculties, by </w:t>
      </w:r>
      <w:r w:rsidR="00535C93" w:rsidRPr="00A472FC">
        <w:rPr>
          <w:rFonts w:ascii="Times New Roman" w:hAnsi="Times New Roman" w:cs="Times New Roman"/>
        </w:rPr>
        <w:t xml:space="preserve">means of </w:t>
      </w:r>
      <w:r w:rsidR="004C1CD7" w:rsidRPr="00A472FC">
        <w:rPr>
          <w:rFonts w:ascii="Times New Roman" w:hAnsi="Times New Roman" w:cs="Times New Roman"/>
        </w:rPr>
        <w:t>which the soul acts and is perfected.</w:t>
      </w:r>
      <w:r w:rsidR="00E64C99" w:rsidRPr="00A472FC">
        <w:rPr>
          <w:rStyle w:val="FootnoteReference"/>
          <w:rFonts w:ascii="Times New Roman" w:hAnsi="Times New Roman" w:cs="Times New Roman"/>
        </w:rPr>
        <w:footnoteReference w:id="329"/>
      </w:r>
      <w:r w:rsidR="004C1CD7" w:rsidRPr="00A472FC">
        <w:rPr>
          <w:rFonts w:ascii="Times New Roman" w:hAnsi="Times New Roman" w:cs="Times New Roman"/>
        </w:rPr>
        <w:t xml:space="preserve"> </w:t>
      </w:r>
    </w:p>
    <w:p w14:paraId="40DF5209" w14:textId="7E6C7A63" w:rsidR="004C1CD7" w:rsidRPr="00A472FC" w:rsidRDefault="004C1CD7" w:rsidP="00835E98">
      <w:pPr>
        <w:ind w:right="-52" w:firstLine="720"/>
        <w:rPr>
          <w:rFonts w:ascii="Times New Roman" w:hAnsi="Times New Roman" w:cs="Times New Roman"/>
        </w:rPr>
      </w:pPr>
      <w:r w:rsidRPr="00A472FC">
        <w:rPr>
          <w:rFonts w:ascii="Times New Roman" w:hAnsi="Times New Roman" w:cs="Times New Roman"/>
        </w:rPr>
        <w:t>By contrast</w:t>
      </w:r>
      <w:r w:rsidR="00D54C68" w:rsidRPr="00A472FC">
        <w:rPr>
          <w:rFonts w:ascii="Times New Roman" w:hAnsi="Times New Roman" w:cs="Times New Roman"/>
        </w:rPr>
        <w:t xml:space="preserve"> to these scholars</w:t>
      </w:r>
      <w:r w:rsidRPr="00A472FC">
        <w:rPr>
          <w:rFonts w:ascii="Times New Roman" w:hAnsi="Times New Roman" w:cs="Times New Roman"/>
        </w:rPr>
        <w:t xml:space="preserve">, Roland of Cremona argued that the soul </w:t>
      </w:r>
      <w:r w:rsidR="005E4AA3" w:rsidRPr="00A472FC">
        <w:rPr>
          <w:rFonts w:ascii="Times New Roman" w:hAnsi="Times New Roman" w:cs="Times New Roman"/>
        </w:rPr>
        <w:t xml:space="preserve">like the angel </w:t>
      </w:r>
      <w:r w:rsidRPr="00A472FC">
        <w:rPr>
          <w:rFonts w:ascii="Times New Roman" w:hAnsi="Times New Roman" w:cs="Times New Roman"/>
        </w:rPr>
        <w:t>is comprised of form and a kind of ‘spiritual’ matter</w:t>
      </w:r>
      <w:r w:rsidR="006E1FAF" w:rsidRPr="00A472FC">
        <w:rPr>
          <w:rFonts w:ascii="Times New Roman" w:hAnsi="Times New Roman" w:cs="Times New Roman"/>
        </w:rPr>
        <w:t>,</w:t>
      </w:r>
      <w:r w:rsidRPr="00A472FC">
        <w:rPr>
          <w:rFonts w:ascii="Times New Roman" w:hAnsi="Times New Roman" w:cs="Times New Roman"/>
        </w:rPr>
        <w:t xml:space="preserve"> which he is the first on record to mention.</w:t>
      </w:r>
      <w:r w:rsidR="005E4AA3" w:rsidRPr="00A472FC">
        <w:rPr>
          <w:rStyle w:val="FootnoteReference"/>
          <w:rFonts w:ascii="Times New Roman" w:hAnsi="Times New Roman" w:cs="Times New Roman"/>
        </w:rPr>
        <w:footnoteReference w:id="330"/>
      </w:r>
      <w:r w:rsidRPr="00A472FC">
        <w:rPr>
          <w:rFonts w:ascii="Times New Roman" w:hAnsi="Times New Roman" w:cs="Times New Roman"/>
        </w:rPr>
        <w:t xml:space="preserve"> A similar position to Roland’s is offered by his later Dominican contemporary</w:t>
      </w:r>
      <w:r w:rsidR="00353B1D" w:rsidRPr="00A472FC">
        <w:rPr>
          <w:rFonts w:ascii="Times New Roman" w:hAnsi="Times New Roman" w:cs="Times New Roman"/>
        </w:rPr>
        <w:t>,</w:t>
      </w:r>
      <w:r w:rsidRPr="00A472FC">
        <w:rPr>
          <w:rFonts w:ascii="Times New Roman" w:hAnsi="Times New Roman" w:cs="Times New Roman"/>
        </w:rPr>
        <w:t xml:space="preserve"> </w:t>
      </w:r>
      <w:proofErr w:type="spellStart"/>
      <w:r w:rsidRPr="00A472FC">
        <w:rPr>
          <w:rFonts w:ascii="Times New Roman" w:hAnsi="Times New Roman" w:cs="Times New Roman"/>
        </w:rPr>
        <w:t>Guerric</w:t>
      </w:r>
      <w:proofErr w:type="spellEnd"/>
      <w:r w:rsidRPr="00A472FC">
        <w:rPr>
          <w:rFonts w:ascii="Times New Roman" w:hAnsi="Times New Roman" w:cs="Times New Roman"/>
        </w:rPr>
        <w:t xml:space="preserve"> of St Quentin. In his treatment of the matter, </w:t>
      </w:r>
      <w:proofErr w:type="spellStart"/>
      <w:r w:rsidRPr="00A472FC">
        <w:rPr>
          <w:rFonts w:ascii="Times New Roman" w:hAnsi="Times New Roman" w:cs="Times New Roman"/>
        </w:rPr>
        <w:t>Guerric</w:t>
      </w:r>
      <w:proofErr w:type="spellEnd"/>
      <w:r w:rsidRPr="00A472FC">
        <w:rPr>
          <w:rFonts w:ascii="Times New Roman" w:hAnsi="Times New Roman" w:cs="Times New Roman"/>
        </w:rPr>
        <w:t xml:space="preserve"> outlines the two main positions</w:t>
      </w:r>
      <w:r w:rsidR="00D54C68" w:rsidRPr="00A472FC">
        <w:rPr>
          <w:rFonts w:ascii="Times New Roman" w:hAnsi="Times New Roman" w:cs="Times New Roman"/>
        </w:rPr>
        <w:t xml:space="preserve"> on the topic that were</w:t>
      </w:r>
      <w:r w:rsidRPr="00A472FC">
        <w:rPr>
          <w:rFonts w:ascii="Times New Roman" w:hAnsi="Times New Roman" w:cs="Times New Roman"/>
        </w:rPr>
        <w:t xml:space="preserve"> in circulation at this time. As he notes, there </w:t>
      </w:r>
      <w:r w:rsidR="000916E2" w:rsidRPr="00A472FC">
        <w:rPr>
          <w:rFonts w:ascii="Times New Roman" w:hAnsi="Times New Roman" w:cs="Times New Roman"/>
        </w:rPr>
        <w:t>were</w:t>
      </w:r>
      <w:r w:rsidRPr="00A472FC">
        <w:rPr>
          <w:rFonts w:ascii="Times New Roman" w:hAnsi="Times New Roman" w:cs="Times New Roman"/>
        </w:rPr>
        <w:t xml:space="preserve"> those who </w:t>
      </w:r>
      <w:r w:rsidR="000916E2" w:rsidRPr="00A472FC">
        <w:rPr>
          <w:rFonts w:ascii="Times New Roman" w:hAnsi="Times New Roman" w:cs="Times New Roman"/>
        </w:rPr>
        <w:t>insisted that</w:t>
      </w:r>
      <w:r w:rsidR="00B94960" w:rsidRPr="00A472FC">
        <w:rPr>
          <w:rFonts w:ascii="Times New Roman" w:hAnsi="Times New Roman" w:cs="Times New Roman"/>
        </w:rPr>
        <w:t xml:space="preserve"> matter-form composition would compromise the simplicity of the soul</w:t>
      </w:r>
      <w:r w:rsidRPr="00A472FC">
        <w:rPr>
          <w:rFonts w:ascii="Times New Roman" w:hAnsi="Times New Roman" w:cs="Times New Roman"/>
        </w:rPr>
        <w:t xml:space="preserve">—and here he </w:t>
      </w:r>
      <w:r w:rsidR="00B94960" w:rsidRPr="00A472FC">
        <w:rPr>
          <w:rFonts w:ascii="Times New Roman" w:hAnsi="Times New Roman" w:cs="Times New Roman"/>
        </w:rPr>
        <w:t>may have</w:t>
      </w:r>
      <w:r w:rsidRPr="00A472FC">
        <w:rPr>
          <w:rFonts w:ascii="Times New Roman" w:hAnsi="Times New Roman" w:cs="Times New Roman"/>
        </w:rPr>
        <w:t xml:space="preserve"> </w:t>
      </w:r>
      <w:r w:rsidR="009969B5" w:rsidRPr="00A472FC">
        <w:rPr>
          <w:rFonts w:ascii="Times New Roman" w:hAnsi="Times New Roman" w:cs="Times New Roman"/>
        </w:rPr>
        <w:t xml:space="preserve">had </w:t>
      </w:r>
      <w:r w:rsidRPr="00A472FC">
        <w:rPr>
          <w:rFonts w:ascii="Times New Roman" w:hAnsi="Times New Roman" w:cs="Times New Roman"/>
        </w:rPr>
        <w:t xml:space="preserve">Hugh of St Cher in mind. Then there </w:t>
      </w:r>
      <w:r w:rsidR="00F90D96" w:rsidRPr="00A472FC">
        <w:rPr>
          <w:rFonts w:ascii="Times New Roman" w:hAnsi="Times New Roman" w:cs="Times New Roman"/>
        </w:rPr>
        <w:t>were</w:t>
      </w:r>
      <w:r w:rsidRPr="00A472FC">
        <w:rPr>
          <w:rFonts w:ascii="Times New Roman" w:hAnsi="Times New Roman" w:cs="Times New Roman"/>
        </w:rPr>
        <w:t xml:space="preserve"> those like Roland who </w:t>
      </w:r>
      <w:r w:rsidR="00F90D96" w:rsidRPr="00A472FC">
        <w:rPr>
          <w:rFonts w:ascii="Times New Roman" w:hAnsi="Times New Roman" w:cs="Times New Roman"/>
        </w:rPr>
        <w:t>said</w:t>
      </w:r>
      <w:r w:rsidRPr="00A472FC">
        <w:rPr>
          <w:rFonts w:ascii="Times New Roman" w:hAnsi="Times New Roman" w:cs="Times New Roman"/>
        </w:rPr>
        <w:t xml:space="preserve"> that the soul is composed of spiritual matter and form which are simultaneously created.</w:t>
      </w:r>
      <w:r w:rsidRPr="00A472FC">
        <w:rPr>
          <w:rStyle w:val="FootnoteReference"/>
          <w:rFonts w:ascii="Times New Roman" w:hAnsi="Times New Roman" w:cs="Times New Roman"/>
        </w:rPr>
        <w:footnoteReference w:id="331"/>
      </w:r>
      <w:r w:rsidRPr="00A472FC">
        <w:rPr>
          <w:rFonts w:ascii="Times New Roman" w:hAnsi="Times New Roman" w:cs="Times New Roman"/>
        </w:rPr>
        <w:t xml:space="preserve"> </w:t>
      </w:r>
      <w:r w:rsidR="00E30D85" w:rsidRPr="00A472FC">
        <w:rPr>
          <w:rFonts w:ascii="Times New Roman" w:hAnsi="Times New Roman" w:cs="Times New Roman"/>
        </w:rPr>
        <w:t xml:space="preserve">Although </w:t>
      </w:r>
      <w:proofErr w:type="spellStart"/>
      <w:r w:rsidRPr="00A472FC">
        <w:rPr>
          <w:rFonts w:ascii="Times New Roman" w:hAnsi="Times New Roman" w:cs="Times New Roman"/>
        </w:rPr>
        <w:t>Guerric</w:t>
      </w:r>
      <w:proofErr w:type="spellEnd"/>
      <w:r w:rsidRPr="00A472FC">
        <w:rPr>
          <w:rFonts w:ascii="Times New Roman" w:hAnsi="Times New Roman" w:cs="Times New Roman"/>
        </w:rPr>
        <w:t xml:space="preserve"> comes down clearly on the side of the second position</w:t>
      </w:r>
      <w:r w:rsidR="00E00D68" w:rsidRPr="00A472FC">
        <w:rPr>
          <w:rFonts w:ascii="Times New Roman" w:hAnsi="Times New Roman" w:cs="Times New Roman"/>
        </w:rPr>
        <w:t xml:space="preserve">, </w:t>
      </w:r>
      <w:r w:rsidR="00512C6E" w:rsidRPr="00A472FC">
        <w:rPr>
          <w:rFonts w:ascii="Times New Roman" w:hAnsi="Times New Roman" w:cs="Times New Roman"/>
        </w:rPr>
        <w:t>he qualifies it by defining matter as that which makes something receptive to form</w:t>
      </w:r>
      <w:r w:rsidRPr="00A472FC">
        <w:rPr>
          <w:rFonts w:ascii="Times New Roman" w:hAnsi="Times New Roman" w:cs="Times New Roman"/>
        </w:rPr>
        <w:t>.</w:t>
      </w:r>
      <w:r w:rsidRPr="00A472FC">
        <w:rPr>
          <w:rStyle w:val="FootnoteReference"/>
          <w:rFonts w:ascii="Times New Roman" w:hAnsi="Times New Roman" w:cs="Times New Roman"/>
        </w:rPr>
        <w:footnoteReference w:id="332"/>
      </w:r>
      <w:r w:rsidRPr="00A472FC">
        <w:rPr>
          <w:rFonts w:ascii="Times New Roman" w:hAnsi="Times New Roman" w:cs="Times New Roman"/>
        </w:rPr>
        <w:t xml:space="preserve"> </w:t>
      </w:r>
    </w:p>
    <w:p w14:paraId="525AF7A3" w14:textId="6EB498E1" w:rsidR="004C1CD7" w:rsidRPr="00A472FC" w:rsidRDefault="004C1CD7" w:rsidP="00881604">
      <w:pPr>
        <w:ind w:right="-52" w:firstLine="720"/>
        <w:rPr>
          <w:rFonts w:ascii="Times New Roman" w:hAnsi="Times New Roman" w:cs="Times New Roman"/>
          <w:color w:val="000000"/>
          <w:lang w:val="en-US"/>
        </w:rPr>
      </w:pPr>
      <w:r w:rsidRPr="00A472FC">
        <w:rPr>
          <w:rFonts w:ascii="Times New Roman" w:hAnsi="Times New Roman" w:cs="Times New Roman"/>
        </w:rPr>
        <w:t xml:space="preserve">Under the influence of Philip the Chancellor, John of La Rochelle unambiguously rejects the hylomorphic composition of the soul, holding fast to Augustine’s assertion in </w:t>
      </w:r>
      <w:r w:rsidRPr="00A472FC">
        <w:rPr>
          <w:rFonts w:ascii="Times New Roman" w:hAnsi="Times New Roman" w:cs="Times New Roman"/>
          <w:i/>
        </w:rPr>
        <w:t xml:space="preserve">De </w:t>
      </w:r>
      <w:proofErr w:type="spellStart"/>
      <w:r w:rsidRPr="00A472FC">
        <w:rPr>
          <w:rFonts w:ascii="Times New Roman" w:hAnsi="Times New Roman" w:cs="Times New Roman"/>
          <w:i/>
        </w:rPr>
        <w:t>quantitiate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animae</w:t>
      </w:r>
      <w:proofErr w:type="spellEnd"/>
      <w:r w:rsidRPr="00A472FC">
        <w:rPr>
          <w:rFonts w:ascii="Times New Roman" w:hAnsi="Times New Roman" w:cs="Times New Roman"/>
          <w:i/>
        </w:rPr>
        <w:t xml:space="preserve"> </w:t>
      </w:r>
      <w:r w:rsidRPr="00A472FC">
        <w:rPr>
          <w:rFonts w:ascii="Times New Roman" w:hAnsi="Times New Roman" w:cs="Times New Roman"/>
        </w:rPr>
        <w:t>regarding the simplicity of the soul.</w:t>
      </w:r>
      <w:r w:rsidRPr="00A472FC">
        <w:rPr>
          <w:rStyle w:val="FootnoteReference"/>
          <w:rFonts w:ascii="Times New Roman" w:hAnsi="Times New Roman" w:cs="Times New Roman"/>
        </w:rPr>
        <w:footnoteReference w:id="333"/>
      </w:r>
      <w:r w:rsidRPr="00A472FC">
        <w:rPr>
          <w:rFonts w:ascii="Times New Roman" w:hAnsi="Times New Roman" w:cs="Times New Roman"/>
        </w:rPr>
        <w:t xml:space="preserve"> While he admits that there is some kind of composition in all beings other than God, he denies that </w:t>
      </w:r>
      <w:r w:rsidR="00270DA3" w:rsidRPr="00A472FC">
        <w:rPr>
          <w:rFonts w:ascii="Times New Roman" w:hAnsi="Times New Roman" w:cs="Times New Roman"/>
        </w:rPr>
        <w:t>it</w:t>
      </w:r>
      <w:r w:rsidRPr="00A472FC">
        <w:rPr>
          <w:rFonts w:ascii="Times New Roman" w:hAnsi="Times New Roman" w:cs="Times New Roman"/>
        </w:rPr>
        <w:t xml:space="preserve"> can be that of matter and form</w:t>
      </w:r>
      <w:r w:rsidR="00270DA3" w:rsidRPr="00A472FC">
        <w:rPr>
          <w:rFonts w:ascii="Times New Roman" w:hAnsi="Times New Roman" w:cs="Times New Roman"/>
        </w:rPr>
        <w:t xml:space="preserve"> in the case of the soul</w:t>
      </w:r>
      <w:r w:rsidRPr="00A472FC">
        <w:rPr>
          <w:rFonts w:ascii="Times New Roman" w:hAnsi="Times New Roman" w:cs="Times New Roman"/>
        </w:rPr>
        <w:t xml:space="preserve">. After all, beings composed of matter and form are fashioned from </w:t>
      </w:r>
      <w:r w:rsidR="00554024" w:rsidRPr="00A472FC">
        <w:rPr>
          <w:rFonts w:ascii="Times New Roman" w:hAnsi="Times New Roman" w:cs="Times New Roman"/>
        </w:rPr>
        <w:t>some</w:t>
      </w:r>
      <w:r w:rsidRPr="00A472FC">
        <w:rPr>
          <w:rFonts w:ascii="Times New Roman" w:hAnsi="Times New Roman" w:cs="Times New Roman"/>
        </w:rPr>
        <w:t xml:space="preserve"> already existing</w:t>
      </w:r>
      <w:r w:rsidR="00554024" w:rsidRPr="00A472FC">
        <w:rPr>
          <w:rFonts w:ascii="Times New Roman" w:hAnsi="Times New Roman" w:cs="Times New Roman"/>
        </w:rPr>
        <w:t xml:space="preserve"> material</w:t>
      </w:r>
      <w:r w:rsidRPr="00A472FC">
        <w:rPr>
          <w:rFonts w:ascii="Times New Roman" w:hAnsi="Times New Roman" w:cs="Times New Roman"/>
        </w:rPr>
        <w:t xml:space="preserve">, but the soul is not </w:t>
      </w:r>
      <w:r w:rsidR="00554024" w:rsidRPr="00A472FC">
        <w:rPr>
          <w:rFonts w:ascii="Times New Roman" w:hAnsi="Times New Roman" w:cs="Times New Roman"/>
        </w:rPr>
        <w:t xml:space="preserve">material </w:t>
      </w:r>
      <w:r w:rsidRPr="00A472FC">
        <w:rPr>
          <w:rFonts w:ascii="Times New Roman" w:hAnsi="Times New Roman" w:cs="Times New Roman"/>
        </w:rPr>
        <w:t xml:space="preserve">or derived from </w:t>
      </w:r>
      <w:r w:rsidR="00554024" w:rsidRPr="00A472FC">
        <w:rPr>
          <w:rFonts w:ascii="Times New Roman" w:hAnsi="Times New Roman" w:cs="Times New Roman"/>
        </w:rPr>
        <w:t>matter</w:t>
      </w:r>
      <w:r w:rsidRPr="00A472FC">
        <w:rPr>
          <w:rFonts w:ascii="Times New Roman" w:hAnsi="Times New Roman" w:cs="Times New Roman"/>
        </w:rPr>
        <w:t xml:space="preserve">: it is created from nothing. </w:t>
      </w:r>
      <w:r w:rsidR="00AA4694" w:rsidRPr="00A472FC">
        <w:rPr>
          <w:rFonts w:ascii="Times New Roman" w:hAnsi="Times New Roman" w:cs="Times New Roman"/>
        </w:rPr>
        <w:t>For the soul, consequently,</w:t>
      </w:r>
      <w:r w:rsidRPr="00A472FC">
        <w:rPr>
          <w:rFonts w:ascii="Times New Roman" w:hAnsi="Times New Roman" w:cs="Times New Roman"/>
        </w:rPr>
        <w:t xml:space="preserve"> the only form of composition possible is that of essence and existence, which John explains in terms of </w:t>
      </w:r>
      <w:proofErr w:type="spellStart"/>
      <w:r w:rsidRPr="00A472FC">
        <w:rPr>
          <w:rFonts w:ascii="Times New Roman" w:hAnsi="Times New Roman" w:cs="Times New Roman"/>
        </w:rPr>
        <w:t>Boethius</w:t>
      </w:r>
      <w:proofErr w:type="spellEnd"/>
      <w:r w:rsidRPr="00A472FC">
        <w:rPr>
          <w:rFonts w:ascii="Times New Roman" w:hAnsi="Times New Roman" w:cs="Times New Roman"/>
        </w:rPr>
        <w:t xml:space="preserve">’ distinction between </w:t>
      </w:r>
      <w:r w:rsidRPr="00A472FC">
        <w:rPr>
          <w:rFonts w:ascii="Times New Roman" w:hAnsi="Times New Roman" w:cs="Times New Roman"/>
          <w:i/>
        </w:rPr>
        <w:t>quod/quo est.</w:t>
      </w:r>
      <w:r w:rsidRPr="00A472FC">
        <w:rPr>
          <w:rFonts w:ascii="Times New Roman" w:hAnsi="Times New Roman" w:cs="Times New Roman"/>
        </w:rPr>
        <w:t xml:space="preserve"> </w:t>
      </w:r>
    </w:p>
    <w:p w14:paraId="06DB164A" w14:textId="19233FBC"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In God,</w:t>
      </w:r>
      <w:r w:rsidR="0068193E" w:rsidRPr="00A472FC">
        <w:rPr>
          <w:rFonts w:ascii="Times New Roman" w:hAnsi="Times New Roman" w:cs="Times New Roman"/>
        </w:rPr>
        <w:t xml:space="preserve"> </w:t>
      </w:r>
      <w:r w:rsidR="003B0990" w:rsidRPr="00A472FC">
        <w:rPr>
          <w:rFonts w:ascii="Times New Roman" w:hAnsi="Times New Roman" w:cs="Times New Roman"/>
        </w:rPr>
        <w:t>John observes</w:t>
      </w:r>
      <w:r w:rsidR="004738FD" w:rsidRPr="00A472FC">
        <w:rPr>
          <w:rFonts w:ascii="Times New Roman" w:hAnsi="Times New Roman" w:cs="Times New Roman"/>
        </w:rPr>
        <w:t>,</w:t>
      </w:r>
      <w:r w:rsidR="003B0990" w:rsidRPr="00A472FC">
        <w:rPr>
          <w:rFonts w:ascii="Times New Roman" w:hAnsi="Times New Roman" w:cs="Times New Roman"/>
        </w:rPr>
        <w:t xml:space="preserve"> </w:t>
      </w:r>
      <w:r w:rsidRPr="00A472FC">
        <w:rPr>
          <w:rFonts w:ascii="Times New Roman" w:hAnsi="Times New Roman" w:cs="Times New Roman"/>
          <w:i/>
        </w:rPr>
        <w:t xml:space="preserve">quo/quod </w:t>
      </w:r>
      <w:proofErr w:type="spellStart"/>
      <w:r w:rsidRPr="00A472FC">
        <w:rPr>
          <w:rFonts w:ascii="Times New Roman" w:hAnsi="Times New Roman" w:cs="Times New Roman"/>
          <w:i/>
        </w:rPr>
        <w:t>est</w:t>
      </w:r>
      <w:proofErr w:type="spellEnd"/>
      <w:r w:rsidRPr="00A472FC">
        <w:rPr>
          <w:rFonts w:ascii="Times New Roman" w:hAnsi="Times New Roman" w:cs="Times New Roman"/>
        </w:rPr>
        <w:t xml:space="preserve"> are the same, because it is part of his definition or essence to be the cause of his own existence and that of all other things—an argument for God’s necessary existence that derives from Avicenna.</w:t>
      </w:r>
      <w:r w:rsidRPr="00A472FC">
        <w:rPr>
          <w:rStyle w:val="FootnoteReference"/>
          <w:rFonts w:ascii="Times New Roman" w:hAnsi="Times New Roman" w:cs="Times New Roman"/>
        </w:rPr>
        <w:footnoteReference w:id="334"/>
      </w:r>
      <w:r w:rsidRPr="00A472FC">
        <w:rPr>
          <w:rFonts w:ascii="Times New Roman" w:hAnsi="Times New Roman" w:cs="Times New Roman"/>
        </w:rPr>
        <w:t xml:space="preserve"> This necessity is not proper to the things God creates, whether corporeal or incorporeal, </w:t>
      </w:r>
      <w:r w:rsidR="002908DE" w:rsidRPr="00A472FC">
        <w:rPr>
          <w:rFonts w:ascii="Times New Roman" w:hAnsi="Times New Roman" w:cs="Times New Roman"/>
        </w:rPr>
        <w:t>sinc</w:t>
      </w:r>
      <w:r w:rsidR="00BF2625" w:rsidRPr="00A472FC">
        <w:rPr>
          <w:rFonts w:ascii="Times New Roman" w:hAnsi="Times New Roman" w:cs="Times New Roman"/>
        </w:rPr>
        <w:t>e</w:t>
      </w:r>
      <w:r w:rsidR="002908DE" w:rsidRPr="00A472FC">
        <w:rPr>
          <w:rFonts w:ascii="Times New Roman" w:hAnsi="Times New Roman" w:cs="Times New Roman"/>
        </w:rPr>
        <w:t xml:space="preserve"> </w:t>
      </w:r>
      <w:r w:rsidRPr="00A472FC">
        <w:rPr>
          <w:rFonts w:ascii="Times New Roman" w:hAnsi="Times New Roman" w:cs="Times New Roman"/>
        </w:rPr>
        <w:t xml:space="preserve">such things have their existence not from themselves but from him and therefore exist not by </w:t>
      </w:r>
      <w:r w:rsidR="008F2309" w:rsidRPr="00A472FC">
        <w:rPr>
          <w:rFonts w:ascii="Times New Roman" w:hAnsi="Times New Roman" w:cs="Times New Roman"/>
        </w:rPr>
        <w:t xml:space="preserve">their own </w:t>
      </w:r>
      <w:r w:rsidRPr="00A472FC">
        <w:rPr>
          <w:rFonts w:ascii="Times New Roman" w:hAnsi="Times New Roman" w:cs="Times New Roman"/>
        </w:rPr>
        <w:t xml:space="preserve">essence but by </w:t>
      </w:r>
      <w:r w:rsidRPr="00A472FC">
        <w:rPr>
          <w:rFonts w:ascii="Times New Roman" w:hAnsi="Times New Roman" w:cs="Times New Roman"/>
        </w:rPr>
        <w:lastRenderedPageBreak/>
        <w:t>participation in God.</w:t>
      </w:r>
      <w:r w:rsidRPr="00A472FC">
        <w:rPr>
          <w:rStyle w:val="FootnoteReference"/>
          <w:rFonts w:ascii="Times New Roman" w:hAnsi="Times New Roman" w:cs="Times New Roman"/>
        </w:rPr>
        <w:footnoteReference w:id="335"/>
      </w:r>
      <w:r w:rsidRPr="00A472FC">
        <w:rPr>
          <w:rFonts w:ascii="Times New Roman" w:hAnsi="Times New Roman" w:cs="Times New Roman"/>
        </w:rPr>
        <w:t xml:space="preserve"> Thus conceived</w:t>
      </w:r>
      <w:r w:rsidR="00BF2625" w:rsidRPr="00A472FC">
        <w:rPr>
          <w:rFonts w:ascii="Times New Roman" w:hAnsi="Times New Roman" w:cs="Times New Roman"/>
        </w:rPr>
        <w:t xml:space="preserve">, John believes </w:t>
      </w:r>
      <w:r w:rsidRPr="00A472FC">
        <w:rPr>
          <w:rFonts w:ascii="Times New Roman" w:hAnsi="Times New Roman" w:cs="Times New Roman"/>
        </w:rPr>
        <w:t>the composition ascribed to the soul successfully distinguishes it from God without compromising its simplicity in the way of the matter-form distinction.</w:t>
      </w:r>
      <w:r w:rsidRPr="00A472FC">
        <w:rPr>
          <w:rStyle w:val="FootnoteReference"/>
          <w:rFonts w:ascii="Times New Roman" w:hAnsi="Times New Roman" w:cs="Times New Roman"/>
        </w:rPr>
        <w:footnoteReference w:id="336"/>
      </w:r>
      <w:r w:rsidRPr="00A472FC">
        <w:rPr>
          <w:rFonts w:ascii="Times New Roman" w:hAnsi="Times New Roman" w:cs="Times New Roman"/>
        </w:rPr>
        <w:t xml:space="preserve"> </w:t>
      </w:r>
    </w:p>
    <w:p w14:paraId="1DF2C1D8" w14:textId="0C4D600A"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In a rare doctrinal departure from John’s original perspective, the DAR insists that the soul, not to mention an angel, is a substance in its own right precisely because it is comprised not only of form but also of matter—not physical matter, of course, but a sort of intellectual or spiritual matter such as Roland of Cremona advocated.</w:t>
      </w:r>
      <w:r w:rsidRPr="00A472FC">
        <w:rPr>
          <w:rStyle w:val="FootnoteReference"/>
          <w:rFonts w:ascii="Times New Roman" w:hAnsi="Times New Roman" w:cs="Times New Roman"/>
        </w:rPr>
        <w:footnoteReference w:id="337"/>
      </w:r>
      <w:r w:rsidR="00EF4B2E" w:rsidRPr="00A472FC">
        <w:rPr>
          <w:rFonts w:ascii="Times New Roman" w:hAnsi="Times New Roman" w:cs="Times New Roman"/>
        </w:rPr>
        <w:t xml:space="preserve"> </w:t>
      </w:r>
      <w:r w:rsidRPr="00A472FC">
        <w:rPr>
          <w:rFonts w:ascii="Times New Roman" w:hAnsi="Times New Roman" w:cs="Times New Roman"/>
        </w:rPr>
        <w:t xml:space="preserve">Interestingly, an account of this issue cannot be found in the authentic writings of Alexander of Hales, including his </w:t>
      </w:r>
      <w:r w:rsidRPr="00A472FC">
        <w:rPr>
          <w:rFonts w:ascii="Times New Roman" w:hAnsi="Times New Roman" w:cs="Times New Roman"/>
          <w:i/>
        </w:rPr>
        <w:t xml:space="preserve">Glossa </w:t>
      </w:r>
      <w:r w:rsidRPr="00A472FC">
        <w:rPr>
          <w:rFonts w:ascii="Times New Roman" w:hAnsi="Times New Roman" w:cs="Times New Roman"/>
        </w:rPr>
        <w:t xml:space="preserve">on the four books of </w:t>
      </w:r>
      <w:r w:rsidR="00040053" w:rsidRPr="00A472FC">
        <w:rPr>
          <w:rFonts w:ascii="Times New Roman" w:hAnsi="Times New Roman" w:cs="Times New Roman"/>
          <w:i/>
        </w:rPr>
        <w:t>Sentences</w:t>
      </w:r>
      <w:r w:rsidRPr="00A472FC">
        <w:rPr>
          <w:rFonts w:ascii="Times New Roman" w:hAnsi="Times New Roman" w:cs="Times New Roman"/>
          <w:i/>
        </w:rPr>
        <w:t xml:space="preserve"> </w:t>
      </w:r>
      <w:r w:rsidRPr="00A472FC">
        <w:rPr>
          <w:rFonts w:ascii="Times New Roman" w:hAnsi="Times New Roman" w:cs="Times New Roman"/>
        </w:rPr>
        <w:t>and his disputed questions ‘</w:t>
      </w:r>
      <w:proofErr w:type="spellStart"/>
      <w:r w:rsidRPr="00A472FC">
        <w:rPr>
          <w:rFonts w:ascii="Times New Roman" w:hAnsi="Times New Roman" w:cs="Times New Roman"/>
        </w:rPr>
        <w:t>antequam</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esset</w:t>
      </w:r>
      <w:proofErr w:type="spellEnd"/>
      <w:r w:rsidRPr="00A472FC">
        <w:rPr>
          <w:rFonts w:ascii="Times New Roman" w:hAnsi="Times New Roman" w:cs="Times New Roman"/>
        </w:rPr>
        <w:t xml:space="preserve"> frater.’ This is one of a number of pieces of evidence which suggests that it was John rather than Alexander who was more </w:t>
      </w:r>
      <w:r w:rsidR="00314385" w:rsidRPr="00A472FC">
        <w:rPr>
          <w:rFonts w:ascii="Times New Roman" w:hAnsi="Times New Roman" w:cs="Times New Roman"/>
        </w:rPr>
        <w:t>inclined to the work of philosophy</w:t>
      </w:r>
      <w:r w:rsidRPr="00A472FC">
        <w:rPr>
          <w:rFonts w:ascii="Times New Roman" w:hAnsi="Times New Roman" w:cs="Times New Roman"/>
        </w:rPr>
        <w:t>.</w:t>
      </w:r>
    </w:p>
    <w:p w14:paraId="05032E59" w14:textId="14169DB4" w:rsidR="004C1CD7" w:rsidRPr="00A472FC" w:rsidRDefault="00450CC5" w:rsidP="00135527">
      <w:pPr>
        <w:ind w:right="-52" w:firstLine="720"/>
        <w:rPr>
          <w:rFonts w:ascii="Times New Roman" w:hAnsi="Times New Roman" w:cs="Times New Roman"/>
        </w:rPr>
      </w:pPr>
      <w:r w:rsidRPr="00A472FC">
        <w:rPr>
          <w:rFonts w:ascii="Times New Roman" w:hAnsi="Times New Roman" w:cs="Times New Roman"/>
        </w:rPr>
        <w:t>A</w:t>
      </w:r>
      <w:r w:rsidR="004C1CD7" w:rsidRPr="00A472FC">
        <w:rPr>
          <w:rFonts w:ascii="Times New Roman" w:hAnsi="Times New Roman" w:cs="Times New Roman"/>
        </w:rPr>
        <w:t xml:space="preserve"> possible reason for John’s initial hesitancy to go as far as the </w:t>
      </w:r>
      <w:proofErr w:type="spellStart"/>
      <w:r w:rsidR="004C1CD7" w:rsidRPr="00A472FC">
        <w:rPr>
          <w:rFonts w:ascii="Times New Roman" w:hAnsi="Times New Roman" w:cs="Times New Roman"/>
        </w:rPr>
        <w:t>Halensian</w:t>
      </w:r>
      <w:proofErr w:type="spellEnd"/>
      <w:r w:rsidR="004C1CD7" w:rsidRPr="00A472FC">
        <w:rPr>
          <w:rFonts w:ascii="Times New Roman" w:hAnsi="Times New Roman" w:cs="Times New Roman"/>
        </w:rPr>
        <w:t xml:space="preserve"> </w:t>
      </w:r>
      <w:proofErr w:type="spellStart"/>
      <w:r w:rsidR="004C1CD7" w:rsidRPr="00A472FC">
        <w:rPr>
          <w:rFonts w:ascii="Times New Roman" w:hAnsi="Times New Roman" w:cs="Times New Roman"/>
        </w:rPr>
        <w:t>Summist</w:t>
      </w:r>
      <w:proofErr w:type="spellEnd"/>
      <w:r w:rsidR="004C1CD7" w:rsidRPr="00A472FC">
        <w:rPr>
          <w:rFonts w:ascii="Times New Roman" w:hAnsi="Times New Roman" w:cs="Times New Roman"/>
        </w:rPr>
        <w:t xml:space="preserve"> on this topic may have been his evident eagerness to stay as close as possible to Avicenna, who insisted on the simplicity of the soul and did not </w:t>
      </w:r>
      <w:r w:rsidR="001C0975" w:rsidRPr="00A472FC">
        <w:rPr>
          <w:rFonts w:ascii="Times New Roman" w:hAnsi="Times New Roman" w:cs="Times New Roman"/>
        </w:rPr>
        <w:t>accept</w:t>
      </w:r>
      <w:r w:rsidR="004C1CD7" w:rsidRPr="00A472FC">
        <w:rPr>
          <w:rFonts w:ascii="Times New Roman" w:hAnsi="Times New Roman" w:cs="Times New Roman"/>
        </w:rPr>
        <w:t xml:space="preserve"> the notion of its hylomorphic composition. As John’s quotations to Augustine suggest, he regarded Avicenna’s position as more consistent with a longstanding Western tradition of affirming the simplicity of the soul. By the time the DAR was written, the discussion seems to have moved on somewhat, and although the changes</w:t>
      </w:r>
      <w:r w:rsidR="00374C07" w:rsidRPr="00A472FC">
        <w:rPr>
          <w:rFonts w:ascii="Times New Roman" w:hAnsi="Times New Roman" w:cs="Times New Roman"/>
        </w:rPr>
        <w:t xml:space="preserve"> in early Franciscan</w:t>
      </w:r>
      <w:r w:rsidR="00F35B88" w:rsidRPr="00A472FC">
        <w:rPr>
          <w:rFonts w:ascii="Times New Roman" w:hAnsi="Times New Roman" w:cs="Times New Roman"/>
        </w:rPr>
        <w:t xml:space="preserve"> thought</w:t>
      </w:r>
      <w:r w:rsidR="004C1CD7" w:rsidRPr="00A472FC">
        <w:rPr>
          <w:rFonts w:ascii="Times New Roman" w:hAnsi="Times New Roman" w:cs="Times New Roman"/>
        </w:rPr>
        <w:t xml:space="preserve"> that took place between the mid 1230s and mid 1240s were </w:t>
      </w:r>
      <w:r w:rsidR="00D10FF0" w:rsidRPr="00A472FC">
        <w:rPr>
          <w:rFonts w:ascii="Times New Roman" w:hAnsi="Times New Roman" w:cs="Times New Roman"/>
        </w:rPr>
        <w:t xml:space="preserve">not normally </w:t>
      </w:r>
      <w:r w:rsidR="004D50BB" w:rsidRPr="00A472FC">
        <w:rPr>
          <w:rFonts w:ascii="Times New Roman" w:hAnsi="Times New Roman" w:cs="Times New Roman"/>
        </w:rPr>
        <w:t>very</w:t>
      </w:r>
      <w:r w:rsidR="00D10FF0" w:rsidRPr="00A472FC">
        <w:rPr>
          <w:rFonts w:ascii="Times New Roman" w:hAnsi="Times New Roman" w:cs="Times New Roman"/>
        </w:rPr>
        <w:t xml:space="preserve"> substantial, this </w:t>
      </w:r>
      <w:r w:rsidR="00135527" w:rsidRPr="00A472FC">
        <w:rPr>
          <w:rFonts w:ascii="Times New Roman" w:hAnsi="Times New Roman" w:cs="Times New Roman"/>
        </w:rPr>
        <w:t xml:space="preserve">doctrine </w:t>
      </w:r>
      <w:r w:rsidR="00D10FF0" w:rsidRPr="00A472FC">
        <w:rPr>
          <w:rFonts w:ascii="Times New Roman" w:hAnsi="Times New Roman" w:cs="Times New Roman"/>
        </w:rPr>
        <w:t>proved an exception to th</w:t>
      </w:r>
      <w:r w:rsidR="00851000" w:rsidRPr="00A472FC">
        <w:rPr>
          <w:rFonts w:ascii="Times New Roman" w:hAnsi="Times New Roman" w:cs="Times New Roman"/>
        </w:rPr>
        <w:t>at</w:t>
      </w:r>
      <w:r w:rsidR="00D10FF0" w:rsidRPr="00A472FC">
        <w:rPr>
          <w:rFonts w:ascii="Times New Roman" w:hAnsi="Times New Roman" w:cs="Times New Roman"/>
        </w:rPr>
        <w:t xml:space="preserve"> rule.</w:t>
      </w:r>
    </w:p>
    <w:p w14:paraId="6615CC9E" w14:textId="14521C0E" w:rsidR="004C1CD7" w:rsidRPr="00A472FC" w:rsidRDefault="00932EE5" w:rsidP="00881604">
      <w:pPr>
        <w:ind w:right="-52" w:firstLine="720"/>
        <w:rPr>
          <w:rFonts w:ascii="Times New Roman" w:hAnsi="Times New Roman" w:cs="Times New Roman"/>
        </w:rPr>
      </w:pPr>
      <w:r w:rsidRPr="00A472FC">
        <w:rPr>
          <w:rFonts w:ascii="Times New Roman" w:hAnsi="Times New Roman" w:cs="Times New Roman"/>
        </w:rPr>
        <w:t xml:space="preserve">The question whether the soul is comprised of matter and form is among the </w:t>
      </w:r>
      <w:r w:rsidR="004C1CD7" w:rsidRPr="00A472FC">
        <w:rPr>
          <w:rFonts w:ascii="Times New Roman" w:hAnsi="Times New Roman" w:cs="Times New Roman"/>
        </w:rPr>
        <w:t>first the Summa addresses in its treatise on the rational soul</w:t>
      </w:r>
      <w:r w:rsidR="00851000" w:rsidRPr="00A472FC">
        <w:rPr>
          <w:rFonts w:ascii="Times New Roman" w:hAnsi="Times New Roman" w:cs="Times New Roman"/>
        </w:rPr>
        <w:t>.</w:t>
      </w:r>
      <w:r w:rsidR="004C1CD7" w:rsidRPr="00A472FC">
        <w:rPr>
          <w:rFonts w:ascii="Times New Roman" w:hAnsi="Times New Roman" w:cs="Times New Roman"/>
        </w:rPr>
        <w:t xml:space="preserve"> Not unlike John, the Summa faced the longstanding tradition, stemming from Augustine and indeed pseudo-Augustine </w:t>
      </w:r>
      <w:r w:rsidR="002E2712" w:rsidRPr="00A472FC">
        <w:rPr>
          <w:rFonts w:ascii="Times New Roman" w:hAnsi="Times New Roman" w:cs="Times New Roman"/>
        </w:rPr>
        <w:t xml:space="preserve">according to which </w:t>
      </w:r>
      <w:r w:rsidR="004C1CD7" w:rsidRPr="00A472FC">
        <w:rPr>
          <w:rFonts w:ascii="Times New Roman" w:hAnsi="Times New Roman" w:cs="Times New Roman"/>
        </w:rPr>
        <w:t xml:space="preserve">the soul is entirely simple. As Augustine says in his </w:t>
      </w:r>
      <w:r w:rsidR="004C1CD7" w:rsidRPr="00A472FC">
        <w:rPr>
          <w:rFonts w:ascii="Times New Roman" w:hAnsi="Times New Roman" w:cs="Times New Roman"/>
          <w:i/>
        </w:rPr>
        <w:t xml:space="preserve">De quantitate </w:t>
      </w:r>
      <w:proofErr w:type="spellStart"/>
      <w:r w:rsidR="004C1CD7" w:rsidRPr="00A472FC">
        <w:rPr>
          <w:rFonts w:ascii="Times New Roman" w:hAnsi="Times New Roman" w:cs="Times New Roman"/>
          <w:i/>
        </w:rPr>
        <w:t>animae</w:t>
      </w:r>
      <w:proofErr w:type="spellEnd"/>
      <w:r w:rsidR="004C1CD7" w:rsidRPr="00A472FC">
        <w:rPr>
          <w:rFonts w:ascii="Times New Roman" w:hAnsi="Times New Roman" w:cs="Times New Roman"/>
        </w:rPr>
        <w:t xml:space="preserve">, ‘the soul can be called a simple nature, because it is not from </w:t>
      </w:r>
      <w:r w:rsidR="005807BA" w:rsidRPr="00A472FC">
        <w:rPr>
          <w:rFonts w:ascii="Times New Roman" w:hAnsi="Times New Roman" w:cs="Times New Roman"/>
        </w:rPr>
        <w:t>other natures</w:t>
      </w:r>
      <w:r w:rsidR="004C1CD7" w:rsidRPr="00A472FC">
        <w:rPr>
          <w:rFonts w:ascii="Times New Roman" w:hAnsi="Times New Roman" w:cs="Times New Roman"/>
        </w:rPr>
        <w:t>.’</w:t>
      </w:r>
      <w:r w:rsidR="004C1CD7" w:rsidRPr="00A472FC">
        <w:rPr>
          <w:rStyle w:val="FootnoteReference"/>
          <w:rFonts w:ascii="Times New Roman" w:hAnsi="Times New Roman" w:cs="Times New Roman"/>
        </w:rPr>
        <w:footnoteReference w:id="338"/>
      </w:r>
      <w:r w:rsidR="004C1CD7" w:rsidRPr="00A472FC">
        <w:rPr>
          <w:rFonts w:ascii="Times New Roman" w:hAnsi="Times New Roman" w:cs="Times New Roman"/>
        </w:rPr>
        <w:t xml:space="preserve"> Likewise, the </w:t>
      </w:r>
      <w:r w:rsidR="004C1CD7" w:rsidRPr="00A472FC">
        <w:rPr>
          <w:rFonts w:ascii="Times New Roman" w:hAnsi="Times New Roman" w:cs="Times New Roman"/>
          <w:i/>
        </w:rPr>
        <w:t xml:space="preserve">De </w:t>
      </w:r>
      <w:proofErr w:type="spellStart"/>
      <w:r w:rsidR="004C1CD7" w:rsidRPr="00A472FC">
        <w:rPr>
          <w:rFonts w:ascii="Times New Roman" w:hAnsi="Times New Roman" w:cs="Times New Roman"/>
          <w:i/>
        </w:rPr>
        <w:t>spiritu</w:t>
      </w:r>
      <w:proofErr w:type="spellEnd"/>
      <w:r w:rsidR="004C1CD7" w:rsidRPr="00A472FC">
        <w:rPr>
          <w:rFonts w:ascii="Times New Roman" w:hAnsi="Times New Roman" w:cs="Times New Roman"/>
          <w:i/>
        </w:rPr>
        <w:t xml:space="preserve"> et anima </w:t>
      </w:r>
      <w:r w:rsidR="004C1CD7" w:rsidRPr="00A472FC">
        <w:rPr>
          <w:rFonts w:ascii="Times New Roman" w:hAnsi="Times New Roman" w:cs="Times New Roman"/>
        </w:rPr>
        <w:t>states that ‘the soul is a spiritual, simple, and indissoluble substance.’</w:t>
      </w:r>
      <w:r w:rsidR="004C1CD7" w:rsidRPr="00A472FC">
        <w:rPr>
          <w:rStyle w:val="FootnoteReference"/>
          <w:rFonts w:ascii="Times New Roman" w:hAnsi="Times New Roman" w:cs="Times New Roman"/>
        </w:rPr>
        <w:footnoteReference w:id="339"/>
      </w:r>
      <w:r w:rsidR="004C1CD7" w:rsidRPr="00A472FC">
        <w:rPr>
          <w:rFonts w:ascii="Times New Roman" w:hAnsi="Times New Roman" w:cs="Times New Roman"/>
        </w:rPr>
        <w:t xml:space="preserve"> In the standard view, this simplicity is the way the soul imitates the divine simplicity of essence.</w:t>
      </w:r>
      <w:r w:rsidR="004C1CD7" w:rsidRPr="00A472FC">
        <w:rPr>
          <w:rStyle w:val="FootnoteReference"/>
          <w:rFonts w:ascii="Times New Roman" w:hAnsi="Times New Roman" w:cs="Times New Roman"/>
        </w:rPr>
        <w:footnoteReference w:id="340"/>
      </w:r>
      <w:r w:rsidR="004C1CD7" w:rsidRPr="00A472FC">
        <w:rPr>
          <w:rFonts w:ascii="Times New Roman" w:hAnsi="Times New Roman" w:cs="Times New Roman"/>
        </w:rPr>
        <w:t xml:space="preserve"> </w:t>
      </w:r>
      <w:r w:rsidR="004C1CD7" w:rsidRPr="00A472FC">
        <w:rPr>
          <w:rFonts w:ascii="Times New Roman" w:hAnsi="Times New Roman" w:cs="Times New Roman"/>
        </w:rPr>
        <w:lastRenderedPageBreak/>
        <w:t xml:space="preserve">The problem the Summa </w:t>
      </w:r>
      <w:proofErr w:type="spellStart"/>
      <w:r w:rsidR="004C1CD7" w:rsidRPr="00A472FC">
        <w:rPr>
          <w:rFonts w:ascii="Times New Roman" w:hAnsi="Times New Roman" w:cs="Times New Roman"/>
        </w:rPr>
        <w:t>recognizes</w:t>
      </w:r>
      <w:proofErr w:type="spellEnd"/>
      <w:r w:rsidR="004C1CD7" w:rsidRPr="00A472FC">
        <w:rPr>
          <w:rFonts w:ascii="Times New Roman" w:hAnsi="Times New Roman" w:cs="Times New Roman"/>
        </w:rPr>
        <w:t xml:space="preserve"> with the notion that the soul is comprised of matter and form is that a being that possesses these two elements is composed and therefore not strictly speaking simple.</w:t>
      </w:r>
      <w:r w:rsidR="004C1CD7" w:rsidRPr="00A472FC">
        <w:rPr>
          <w:rStyle w:val="FootnoteReference"/>
          <w:rFonts w:ascii="Times New Roman" w:hAnsi="Times New Roman" w:cs="Times New Roman"/>
        </w:rPr>
        <w:footnoteReference w:id="341"/>
      </w:r>
      <w:r w:rsidR="004C1CD7" w:rsidRPr="00A472FC">
        <w:rPr>
          <w:rFonts w:ascii="Times New Roman" w:hAnsi="Times New Roman" w:cs="Times New Roman"/>
        </w:rPr>
        <w:t xml:space="preserve"> By contrast to what John believed, however, the Summa insists that this composition does not undermine the simplicity of the soul, because the kind of material composition in question here is not like that of a natural being. </w:t>
      </w:r>
    </w:p>
    <w:p w14:paraId="6D57C3C1" w14:textId="5D08649D"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As the Summa clarifies, the intellectual or spiritual ‘matter’ proper to the soul does not subject the soul to </w:t>
      </w:r>
      <w:r w:rsidR="00077F95" w:rsidRPr="00A472FC">
        <w:rPr>
          <w:rFonts w:ascii="Times New Roman" w:hAnsi="Times New Roman" w:cs="Times New Roman"/>
        </w:rPr>
        <w:t xml:space="preserve">a </w:t>
      </w:r>
      <w:r w:rsidRPr="00A472FC">
        <w:rPr>
          <w:rFonts w:ascii="Times New Roman" w:hAnsi="Times New Roman" w:cs="Times New Roman"/>
        </w:rPr>
        <w:t>composition of parts in the way that physical matter would do.</w:t>
      </w:r>
      <w:r w:rsidRPr="00A472FC">
        <w:rPr>
          <w:rStyle w:val="FootnoteReference"/>
          <w:rFonts w:ascii="Times New Roman" w:hAnsi="Times New Roman" w:cs="Times New Roman"/>
        </w:rPr>
        <w:footnoteReference w:id="342"/>
      </w:r>
      <w:r w:rsidRPr="00A472FC">
        <w:rPr>
          <w:rFonts w:ascii="Times New Roman" w:hAnsi="Times New Roman" w:cs="Times New Roman"/>
        </w:rPr>
        <w:t xml:space="preserve"> In what seems like a clear allusion to John’s work, the Summa speaks of </w:t>
      </w:r>
      <w:r w:rsidR="009B2399" w:rsidRPr="00A472FC">
        <w:rPr>
          <w:rFonts w:ascii="Times New Roman" w:hAnsi="Times New Roman" w:cs="Times New Roman"/>
        </w:rPr>
        <w:t xml:space="preserve">those </w:t>
      </w:r>
      <w:r w:rsidRPr="00A472FC">
        <w:rPr>
          <w:rFonts w:ascii="Times New Roman" w:hAnsi="Times New Roman" w:cs="Times New Roman"/>
        </w:rPr>
        <w:t xml:space="preserve">who suggest that the soul is composed only in the sense that it depends on God for its existence and therefore exhibits a difference between </w:t>
      </w:r>
      <w:r w:rsidRPr="00A472FC">
        <w:rPr>
          <w:rFonts w:ascii="Times New Roman" w:hAnsi="Times New Roman" w:cs="Times New Roman"/>
          <w:i/>
        </w:rPr>
        <w:t xml:space="preserve">quod </w:t>
      </w:r>
      <w:proofErr w:type="spellStart"/>
      <w:r w:rsidRPr="00A472FC">
        <w:rPr>
          <w:rFonts w:ascii="Times New Roman" w:hAnsi="Times New Roman" w:cs="Times New Roman"/>
          <w:i/>
        </w:rPr>
        <w:t>est</w:t>
      </w:r>
      <w:proofErr w:type="spellEnd"/>
      <w:r w:rsidRPr="00A472FC">
        <w:rPr>
          <w:rFonts w:ascii="Times New Roman" w:hAnsi="Times New Roman" w:cs="Times New Roman"/>
        </w:rPr>
        <w:t xml:space="preserve"> and </w:t>
      </w:r>
      <w:r w:rsidRPr="00A472FC">
        <w:rPr>
          <w:rFonts w:ascii="Times New Roman" w:hAnsi="Times New Roman" w:cs="Times New Roman"/>
          <w:i/>
        </w:rPr>
        <w:t>quo est</w:t>
      </w:r>
      <w:r w:rsidRPr="00A472FC">
        <w:rPr>
          <w:rFonts w:ascii="Times New Roman" w:hAnsi="Times New Roman" w:cs="Times New Roman"/>
        </w:rPr>
        <w:t>.</w:t>
      </w:r>
      <w:r w:rsidRPr="00A472FC">
        <w:rPr>
          <w:rStyle w:val="FootnoteReference"/>
          <w:rFonts w:ascii="Times New Roman" w:hAnsi="Times New Roman" w:cs="Times New Roman"/>
        </w:rPr>
        <w:footnoteReference w:id="343"/>
      </w:r>
      <w:r w:rsidRPr="00A472FC">
        <w:rPr>
          <w:rFonts w:ascii="Times New Roman" w:hAnsi="Times New Roman" w:cs="Times New Roman"/>
        </w:rPr>
        <w:t xml:space="preserve"> As the Summa observes, however, this is a different kind of composition altogether, and it does not interest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in this context. </w:t>
      </w:r>
      <w:r w:rsidR="0037000E" w:rsidRPr="00A472FC">
        <w:rPr>
          <w:rFonts w:ascii="Times New Roman" w:hAnsi="Times New Roman" w:cs="Times New Roman"/>
        </w:rPr>
        <w:t xml:space="preserve">The </w:t>
      </w:r>
      <w:proofErr w:type="spellStart"/>
      <w:r w:rsidR="0037000E" w:rsidRPr="00A472FC">
        <w:rPr>
          <w:rFonts w:ascii="Times New Roman" w:hAnsi="Times New Roman" w:cs="Times New Roman"/>
        </w:rPr>
        <w:t>Summ</w:t>
      </w:r>
      <w:r w:rsidR="00FA7CF8" w:rsidRPr="00A472FC">
        <w:rPr>
          <w:rFonts w:ascii="Times New Roman" w:hAnsi="Times New Roman" w:cs="Times New Roman"/>
        </w:rPr>
        <w:t>ist</w:t>
      </w:r>
      <w:proofErr w:type="spellEnd"/>
      <w:r w:rsidR="0037000E" w:rsidRPr="00A472FC">
        <w:rPr>
          <w:rFonts w:ascii="Times New Roman" w:hAnsi="Times New Roman" w:cs="Times New Roman"/>
        </w:rPr>
        <w:t xml:space="preserve"> </w:t>
      </w:r>
      <w:r w:rsidR="00E41CE6" w:rsidRPr="00A472FC">
        <w:rPr>
          <w:rFonts w:ascii="Times New Roman" w:hAnsi="Times New Roman" w:cs="Times New Roman"/>
        </w:rPr>
        <w:t>therefore</w:t>
      </w:r>
      <w:r w:rsidRPr="00A472FC">
        <w:rPr>
          <w:rFonts w:ascii="Times New Roman" w:hAnsi="Times New Roman" w:cs="Times New Roman"/>
        </w:rPr>
        <w:t xml:space="preserve"> rejects John’s idea that the only composition in the soul is that of essence and existence in favour of promoting matter-form composition. On his view, any substance worthy of the name must include both form and </w:t>
      </w:r>
      <w:r w:rsidR="00363391" w:rsidRPr="00A472FC">
        <w:rPr>
          <w:rFonts w:ascii="Times New Roman" w:hAnsi="Times New Roman" w:cs="Times New Roman"/>
        </w:rPr>
        <w:t>the</w:t>
      </w:r>
      <w:r w:rsidRPr="00A472FC">
        <w:rPr>
          <w:rFonts w:ascii="Times New Roman" w:hAnsi="Times New Roman" w:cs="Times New Roman"/>
        </w:rPr>
        <w:t xml:space="preserve"> ‘intelligible matter’ described above, which escapes John’s objection that matter-form composition entails bodily parts and features which can only be found in natural beings. </w:t>
      </w:r>
    </w:p>
    <w:p w14:paraId="774E6E40" w14:textId="77777777" w:rsidR="00452788" w:rsidRPr="00A472FC" w:rsidRDefault="004C1CD7" w:rsidP="00452788">
      <w:pPr>
        <w:ind w:right="-52" w:firstLine="720"/>
        <w:rPr>
          <w:rFonts w:ascii="Times New Roman" w:hAnsi="Times New Roman" w:cs="Times New Roman"/>
        </w:rPr>
      </w:pPr>
      <w:r w:rsidRPr="00A472FC">
        <w:rPr>
          <w:rFonts w:ascii="Times New Roman" w:hAnsi="Times New Roman" w:cs="Times New Roman"/>
        </w:rPr>
        <w:t xml:space="preserve">Whereas John rejected universal hylomorphism on the assumption that this was the only way to affirm Augustine’s view of the soul as simple, in summary, the </w:t>
      </w:r>
      <w:proofErr w:type="spellStart"/>
      <w:r w:rsidRPr="00A472FC">
        <w:rPr>
          <w:rFonts w:ascii="Times New Roman" w:hAnsi="Times New Roman" w:cs="Times New Roman"/>
        </w:rPr>
        <w:t>Halensian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advocated it for the very same reason. In </w:t>
      </w:r>
      <w:r w:rsidR="003806EC" w:rsidRPr="00A472FC">
        <w:rPr>
          <w:rFonts w:ascii="Times New Roman" w:hAnsi="Times New Roman" w:cs="Times New Roman"/>
        </w:rPr>
        <w:t xml:space="preserve">his </w:t>
      </w:r>
      <w:r w:rsidRPr="00A472FC">
        <w:rPr>
          <w:rFonts w:ascii="Times New Roman" w:hAnsi="Times New Roman" w:cs="Times New Roman"/>
        </w:rPr>
        <w:t xml:space="preserve">account, the idea that ‘the </w:t>
      </w:r>
      <w:r w:rsidRPr="00A472FC">
        <w:rPr>
          <w:rFonts w:ascii="Times New Roman" w:hAnsi="Times New Roman" w:cs="Times New Roman"/>
          <w:color w:val="020202"/>
          <w:lang w:val="en-US"/>
        </w:rPr>
        <w:t xml:space="preserve">soul consists in form and matter as in its </w:t>
      </w:r>
      <w:r w:rsidRPr="00A472FC">
        <w:rPr>
          <w:rFonts w:ascii="Times New Roman" w:hAnsi="Times New Roman" w:cs="Times New Roman"/>
          <w:i/>
          <w:color w:val="020202"/>
          <w:lang w:val="en-US"/>
        </w:rPr>
        <w:t xml:space="preserve">quod </w:t>
      </w:r>
      <w:proofErr w:type="spellStart"/>
      <w:r w:rsidRPr="00A472FC">
        <w:rPr>
          <w:rFonts w:ascii="Times New Roman" w:hAnsi="Times New Roman" w:cs="Times New Roman"/>
          <w:i/>
          <w:color w:val="020202"/>
          <w:lang w:val="en-US"/>
        </w:rPr>
        <w:t>est</w:t>
      </w:r>
      <w:proofErr w:type="spellEnd"/>
      <w:r w:rsidRPr="00A472FC">
        <w:rPr>
          <w:rFonts w:ascii="Times New Roman" w:hAnsi="Times New Roman" w:cs="Times New Roman"/>
          <w:color w:val="020202"/>
          <w:lang w:val="en-US"/>
        </w:rPr>
        <w:t xml:space="preserve"> and </w:t>
      </w:r>
      <w:r w:rsidRPr="00A472FC">
        <w:rPr>
          <w:rFonts w:ascii="Times New Roman" w:hAnsi="Times New Roman" w:cs="Times New Roman"/>
          <w:i/>
          <w:color w:val="020202"/>
          <w:lang w:val="en-US"/>
        </w:rPr>
        <w:t xml:space="preserve">quo </w:t>
      </w:r>
      <w:proofErr w:type="spellStart"/>
      <w:r w:rsidRPr="00A472FC">
        <w:rPr>
          <w:rFonts w:ascii="Times New Roman" w:hAnsi="Times New Roman" w:cs="Times New Roman"/>
          <w:i/>
          <w:color w:val="020202"/>
          <w:lang w:val="en-US"/>
        </w:rPr>
        <w:t>est</w:t>
      </w:r>
      <w:proofErr w:type="spellEnd"/>
      <w:r w:rsidRPr="00A472FC">
        <w:rPr>
          <w:rFonts w:ascii="Times New Roman" w:hAnsi="Times New Roman" w:cs="Times New Roman"/>
          <w:iCs/>
          <w:color w:val="020202"/>
          <w:lang w:val="en-US"/>
        </w:rPr>
        <w:t>’</w:t>
      </w:r>
      <w:r w:rsidRPr="00A472FC">
        <w:rPr>
          <w:rStyle w:val="FootnoteReference"/>
          <w:rFonts w:ascii="Times New Roman" w:hAnsi="Times New Roman" w:cs="Times New Roman"/>
          <w:color w:val="020202"/>
          <w:lang w:val="en-US"/>
        </w:rPr>
        <w:footnoteReference w:id="344"/>
      </w:r>
      <w:r w:rsidRPr="00A472FC">
        <w:rPr>
          <w:rFonts w:ascii="Times New Roman" w:hAnsi="Times New Roman" w:cs="Times New Roman"/>
          <w:color w:val="020202"/>
          <w:lang w:val="en-US"/>
        </w:rPr>
        <w:t xml:space="preserve"> most successfully captures the position presented in pseudo-Augustinian works like </w:t>
      </w:r>
      <w:r w:rsidRPr="00A472FC">
        <w:rPr>
          <w:rFonts w:ascii="Times New Roman" w:hAnsi="Times New Roman" w:cs="Times New Roman"/>
          <w:i/>
        </w:rPr>
        <w:t xml:space="preserve">De fide ad </w:t>
      </w:r>
      <w:proofErr w:type="spellStart"/>
      <w:r w:rsidR="00BA6A10" w:rsidRPr="00A472FC">
        <w:rPr>
          <w:rFonts w:ascii="Times New Roman" w:hAnsi="Times New Roman" w:cs="Times New Roman"/>
          <w:i/>
        </w:rPr>
        <w:t>P</w:t>
      </w:r>
      <w:r w:rsidRPr="00A472FC">
        <w:rPr>
          <w:rFonts w:ascii="Times New Roman" w:hAnsi="Times New Roman" w:cs="Times New Roman"/>
          <w:i/>
        </w:rPr>
        <w:t>etrum</w:t>
      </w:r>
      <w:proofErr w:type="spellEnd"/>
      <w:r w:rsidRPr="00A472FC">
        <w:rPr>
          <w:rFonts w:ascii="Times New Roman" w:hAnsi="Times New Roman" w:cs="Times New Roman"/>
        </w:rPr>
        <w:t xml:space="preserve"> that the soul is a substance that is separate from the body.</w:t>
      </w:r>
      <w:r w:rsidRPr="00A472FC">
        <w:rPr>
          <w:rStyle w:val="FootnoteReference"/>
          <w:rFonts w:ascii="Times New Roman" w:hAnsi="Times New Roman" w:cs="Times New Roman"/>
        </w:rPr>
        <w:footnoteReference w:id="345"/>
      </w:r>
      <w:r w:rsidRPr="00A472FC">
        <w:rPr>
          <w:rFonts w:ascii="Times New Roman" w:hAnsi="Times New Roman" w:cs="Times New Roman"/>
        </w:rPr>
        <w:t xml:space="preserve"> For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consequently, invoking Augustine—in this case as in so many others—was not only a means of justifying the appropriation of interesting new sources that were growing in popularity, in this case,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By the same token, the appropriation of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was a way of giving definition to aspects of Augustine’s thought that he had not fully spelled out himself. </w:t>
      </w:r>
    </w:p>
    <w:p w14:paraId="520A4551" w14:textId="242EB73E" w:rsidR="004C1CD7" w:rsidRPr="00A472FC" w:rsidRDefault="004C1CD7" w:rsidP="00DD509E">
      <w:pPr>
        <w:ind w:right="-52" w:firstLine="720"/>
        <w:rPr>
          <w:rFonts w:ascii="Times New Roman" w:hAnsi="Times New Roman" w:cs="Times New Roman"/>
        </w:rPr>
      </w:pPr>
      <w:r w:rsidRPr="00A472FC">
        <w:rPr>
          <w:rFonts w:ascii="Times New Roman" w:hAnsi="Times New Roman" w:cs="Times New Roman"/>
        </w:rPr>
        <w:t xml:space="preserve">While authors working in the 1230s, including Rochelle, tended to stick close to Avicenna in their interpretation of Augustine and thus rejected universal hylomorphism, </w:t>
      </w:r>
      <w:r w:rsidR="00947A23" w:rsidRPr="00A472FC">
        <w:rPr>
          <w:rFonts w:ascii="Times New Roman" w:hAnsi="Times New Roman" w:cs="Times New Roman"/>
        </w:rPr>
        <w:t xml:space="preserve">we have seen that </w:t>
      </w:r>
      <w:r w:rsidRPr="00A472FC">
        <w:rPr>
          <w:rFonts w:ascii="Times New Roman" w:hAnsi="Times New Roman" w:cs="Times New Roman"/>
        </w:rPr>
        <w:t xml:space="preserve">those working from the 1240s, above all the </w:t>
      </w:r>
      <w:proofErr w:type="spellStart"/>
      <w:r w:rsidRPr="00A472FC">
        <w:rPr>
          <w:rFonts w:ascii="Times New Roman" w:hAnsi="Times New Roman" w:cs="Times New Roman"/>
        </w:rPr>
        <w:t>Halensian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Summist</w:t>
      </w:r>
      <w:proofErr w:type="spellEnd"/>
      <w:r w:rsidR="005C1A49" w:rsidRPr="00A472FC">
        <w:rPr>
          <w:rFonts w:ascii="Times New Roman" w:hAnsi="Times New Roman" w:cs="Times New Roman"/>
        </w:rPr>
        <w:t>,</w:t>
      </w:r>
      <w:r w:rsidRPr="00A472FC">
        <w:rPr>
          <w:rFonts w:ascii="Times New Roman" w:hAnsi="Times New Roman" w:cs="Times New Roman"/>
        </w:rPr>
        <w:t xml:space="preserve"> favoured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and consequently transformed universal hylomorphism into a defining feature of the early Franciscan school of thought.</w:t>
      </w:r>
      <w:r w:rsidRPr="00A472FC">
        <w:rPr>
          <w:rStyle w:val="FootnoteReference"/>
          <w:rFonts w:ascii="Times New Roman" w:hAnsi="Times New Roman" w:cs="Times New Roman"/>
        </w:rPr>
        <w:footnoteReference w:id="346"/>
      </w:r>
      <w:r w:rsidR="00222E6F" w:rsidRPr="00A472FC">
        <w:rPr>
          <w:rFonts w:ascii="Times New Roman" w:hAnsi="Times New Roman" w:cs="Times New Roman"/>
        </w:rPr>
        <w:t xml:space="preserve"> </w:t>
      </w:r>
      <w:r w:rsidRPr="00A472FC">
        <w:rPr>
          <w:rFonts w:ascii="Times New Roman" w:hAnsi="Times New Roman" w:cs="Times New Roman"/>
        </w:rPr>
        <w:t xml:space="preserve">Thus we find this theory advocated not only in the </w:t>
      </w:r>
      <w:r w:rsidRPr="00A472FC">
        <w:rPr>
          <w:rFonts w:ascii="Times New Roman" w:hAnsi="Times New Roman" w:cs="Times New Roman"/>
          <w:i/>
        </w:rPr>
        <w:t xml:space="preserve">Summa </w:t>
      </w:r>
      <w:proofErr w:type="spellStart"/>
      <w:r w:rsidR="00CB1A08" w:rsidRPr="00A472FC">
        <w:rPr>
          <w:rFonts w:ascii="Times New Roman" w:hAnsi="Times New Roman" w:cs="Times New Roman"/>
          <w:i/>
        </w:rPr>
        <w:t>Ha</w:t>
      </w:r>
      <w:r w:rsidR="008F188D" w:rsidRPr="00A472FC">
        <w:rPr>
          <w:rFonts w:ascii="Times New Roman" w:hAnsi="Times New Roman" w:cs="Times New Roman"/>
          <w:i/>
        </w:rPr>
        <w:t>l</w:t>
      </w:r>
      <w:r w:rsidR="00CB1A08" w:rsidRPr="00A472FC">
        <w:rPr>
          <w:rFonts w:ascii="Times New Roman" w:hAnsi="Times New Roman" w:cs="Times New Roman"/>
          <w:i/>
        </w:rPr>
        <w:t>ensis</w:t>
      </w:r>
      <w:proofErr w:type="spellEnd"/>
      <w:r w:rsidR="00CB1A08" w:rsidRPr="00A472FC">
        <w:rPr>
          <w:rFonts w:ascii="Times New Roman" w:hAnsi="Times New Roman" w:cs="Times New Roman"/>
          <w:i/>
        </w:rPr>
        <w:t xml:space="preserve"> </w:t>
      </w:r>
      <w:r w:rsidRPr="00A472FC">
        <w:rPr>
          <w:rFonts w:ascii="Times New Roman" w:hAnsi="Times New Roman" w:cs="Times New Roman"/>
        </w:rPr>
        <w:t>but also by the next generation of Franciscans including</w:t>
      </w:r>
      <w:r w:rsidR="003B0738" w:rsidRPr="00A472FC">
        <w:rPr>
          <w:rFonts w:ascii="Times New Roman" w:hAnsi="Times New Roman" w:cs="Times New Roman"/>
        </w:rPr>
        <w:t xml:space="preserve"> </w:t>
      </w:r>
      <w:proofErr w:type="spellStart"/>
      <w:r w:rsidR="003B0738" w:rsidRPr="00A472FC">
        <w:rPr>
          <w:rFonts w:ascii="Times New Roman" w:hAnsi="Times New Roman" w:cs="Times New Roman"/>
        </w:rPr>
        <w:t>Odo</w:t>
      </w:r>
      <w:proofErr w:type="spellEnd"/>
      <w:r w:rsidR="003B0738" w:rsidRPr="00A472FC">
        <w:rPr>
          <w:rFonts w:ascii="Times New Roman" w:hAnsi="Times New Roman" w:cs="Times New Roman"/>
        </w:rPr>
        <w:t xml:space="preserve"> </w:t>
      </w:r>
      <w:proofErr w:type="spellStart"/>
      <w:r w:rsidR="003B0738" w:rsidRPr="00A472FC">
        <w:rPr>
          <w:rFonts w:ascii="Times New Roman" w:hAnsi="Times New Roman" w:cs="Times New Roman"/>
        </w:rPr>
        <w:t>Rigaldus</w:t>
      </w:r>
      <w:proofErr w:type="spellEnd"/>
      <w:r w:rsidR="003B0738" w:rsidRPr="00A472FC">
        <w:rPr>
          <w:rFonts w:ascii="Times New Roman" w:hAnsi="Times New Roman" w:cs="Times New Roman"/>
        </w:rPr>
        <w:t>,</w:t>
      </w:r>
      <w:r w:rsidRPr="00A472FC">
        <w:rPr>
          <w:rFonts w:ascii="Times New Roman" w:hAnsi="Times New Roman" w:cs="Times New Roman"/>
        </w:rPr>
        <w:t xml:space="preserve"> Bonaventure, Roger Bacon, and John </w:t>
      </w:r>
      <w:proofErr w:type="spellStart"/>
      <w:r w:rsidRPr="00A472FC">
        <w:rPr>
          <w:rFonts w:ascii="Times New Roman" w:hAnsi="Times New Roman" w:cs="Times New Roman"/>
        </w:rPr>
        <w:t>Pecham</w:t>
      </w:r>
      <w:proofErr w:type="spellEnd"/>
      <w:r w:rsidRPr="00A472FC">
        <w:rPr>
          <w:rFonts w:ascii="Times New Roman" w:hAnsi="Times New Roman" w:cs="Times New Roman"/>
        </w:rPr>
        <w:t>.</w:t>
      </w:r>
      <w:r w:rsidR="00B87A98" w:rsidRPr="00A472FC">
        <w:rPr>
          <w:rStyle w:val="FootnoteReference"/>
          <w:rFonts w:ascii="Times New Roman" w:hAnsi="Times New Roman" w:cs="Times New Roman"/>
        </w:rPr>
        <w:footnoteReference w:id="347"/>
      </w:r>
      <w:r w:rsidRPr="00A472FC">
        <w:rPr>
          <w:rFonts w:ascii="Times New Roman" w:hAnsi="Times New Roman" w:cs="Times New Roman"/>
        </w:rPr>
        <w:t xml:space="preserve"> Whether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or Avicenna for that matter was in fact the best source for interpreting Augustine</w:t>
      </w:r>
      <w:r w:rsidR="00271452" w:rsidRPr="00A472FC">
        <w:rPr>
          <w:rFonts w:ascii="Times New Roman" w:hAnsi="Times New Roman" w:cs="Times New Roman"/>
        </w:rPr>
        <w:t xml:space="preserve"> on this score</w:t>
      </w:r>
      <w:r w:rsidRPr="00A472FC">
        <w:rPr>
          <w:rFonts w:ascii="Times New Roman" w:hAnsi="Times New Roman" w:cs="Times New Roman"/>
        </w:rPr>
        <w:t xml:space="preserve"> is another question</w:t>
      </w:r>
      <w:r w:rsidR="00271452" w:rsidRPr="00A472FC">
        <w:rPr>
          <w:rFonts w:ascii="Times New Roman" w:hAnsi="Times New Roman" w:cs="Times New Roman"/>
        </w:rPr>
        <w:t xml:space="preserve">. But </w:t>
      </w:r>
      <w:r w:rsidRPr="00A472FC">
        <w:rPr>
          <w:rFonts w:ascii="Times New Roman" w:hAnsi="Times New Roman" w:cs="Times New Roman"/>
        </w:rPr>
        <w:t xml:space="preserve">the foregoing discussion illustrates at very least that what </w:t>
      </w:r>
      <w:r w:rsidR="009E7B28" w:rsidRPr="00A472FC">
        <w:rPr>
          <w:rFonts w:ascii="Times New Roman" w:hAnsi="Times New Roman" w:cs="Times New Roman"/>
        </w:rPr>
        <w:t>it</w:t>
      </w:r>
      <w:r w:rsidRPr="00A472FC">
        <w:rPr>
          <w:rFonts w:ascii="Times New Roman" w:hAnsi="Times New Roman" w:cs="Times New Roman"/>
        </w:rPr>
        <w:t xml:space="preserve"> meant to be an </w:t>
      </w:r>
      <w:r w:rsidR="006572A1" w:rsidRPr="00A472FC">
        <w:rPr>
          <w:rFonts w:ascii="Times New Roman" w:hAnsi="Times New Roman" w:cs="Times New Roman"/>
        </w:rPr>
        <w:t>Augustinian</w:t>
      </w:r>
      <w:r w:rsidRPr="00A472FC">
        <w:rPr>
          <w:rFonts w:ascii="Times New Roman" w:hAnsi="Times New Roman" w:cs="Times New Roman"/>
        </w:rPr>
        <w:t xml:space="preserve"> was very much up for debate in this period, and the sides of the debate were largely determined by sources other than </w:t>
      </w:r>
      <w:r w:rsidR="00CB1A08" w:rsidRPr="00A472FC">
        <w:rPr>
          <w:rFonts w:ascii="Times New Roman" w:hAnsi="Times New Roman" w:cs="Times New Roman"/>
        </w:rPr>
        <w:t xml:space="preserve">those composed by </w:t>
      </w:r>
      <w:r w:rsidRPr="00A472FC">
        <w:rPr>
          <w:rFonts w:ascii="Times New Roman" w:hAnsi="Times New Roman" w:cs="Times New Roman"/>
        </w:rPr>
        <w:t>Augustine himself.</w:t>
      </w:r>
    </w:p>
    <w:p w14:paraId="6F120BCA" w14:textId="77777777" w:rsidR="004C1CD7" w:rsidRPr="00A472FC" w:rsidRDefault="004C1CD7" w:rsidP="00881604">
      <w:pPr>
        <w:ind w:right="-52"/>
        <w:rPr>
          <w:rFonts w:ascii="Times New Roman" w:hAnsi="Times New Roman" w:cs="Times New Roman"/>
        </w:rPr>
      </w:pPr>
    </w:p>
    <w:p w14:paraId="225B3CA5" w14:textId="77777777" w:rsidR="004C1CD7" w:rsidRPr="00A472FC" w:rsidRDefault="004C1CD7" w:rsidP="00881604">
      <w:pPr>
        <w:ind w:right="-52"/>
        <w:rPr>
          <w:rFonts w:ascii="Times New Roman" w:hAnsi="Times New Roman" w:cs="Times New Roman"/>
          <w:u w:val="single"/>
        </w:rPr>
      </w:pPr>
      <w:r w:rsidRPr="00A472FC">
        <w:rPr>
          <w:rFonts w:ascii="Times New Roman" w:hAnsi="Times New Roman" w:cs="Times New Roman"/>
          <w:u w:val="single"/>
        </w:rPr>
        <w:lastRenderedPageBreak/>
        <w:t>The Soul-Body Union</w:t>
      </w:r>
    </w:p>
    <w:p w14:paraId="21324DF3" w14:textId="77777777" w:rsidR="004C1CD7" w:rsidRPr="00A472FC" w:rsidRDefault="004C1CD7" w:rsidP="00881604">
      <w:pPr>
        <w:ind w:right="-52"/>
        <w:rPr>
          <w:rFonts w:ascii="Times New Roman" w:hAnsi="Times New Roman" w:cs="Times New Roman"/>
        </w:rPr>
      </w:pPr>
    </w:p>
    <w:p w14:paraId="21E52C1C" w14:textId="77777777"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As noted above, Avicenna had affirmed that the soul can be considered not only in its own right but also in relation to the body. For Avicenna, the soul has a natural inclination not just to any body but to one body in particular. This inclination sets one soul apart from another, establishing the soul rather than the body or matter as the principle of individuation. Although the soul needs the body in order to fulfil its potential for individuation, and to be distinguished thereby from other souls, the soul remains the individual that it is after the death of the body, which it does not require to complete its essence. As such a substance in its own right, the soul is only united to the body accidentally.</w:t>
      </w:r>
      <w:r w:rsidRPr="00A472FC">
        <w:rPr>
          <w:rStyle w:val="FootnoteReference"/>
          <w:rFonts w:ascii="Times New Roman" w:hAnsi="Times New Roman" w:cs="Times New Roman"/>
        </w:rPr>
        <w:footnoteReference w:id="348"/>
      </w:r>
      <w:r w:rsidRPr="00A472FC">
        <w:rPr>
          <w:rFonts w:ascii="Times New Roman" w:hAnsi="Times New Roman" w:cs="Times New Roman"/>
        </w:rPr>
        <w:t xml:space="preserve"> </w:t>
      </w:r>
    </w:p>
    <w:p w14:paraId="6FD9F6ED" w14:textId="184B871E" w:rsidR="004C1CD7" w:rsidRPr="00A472FC" w:rsidRDefault="00DD52B0" w:rsidP="00881604">
      <w:pPr>
        <w:ind w:right="-52" w:firstLine="720"/>
        <w:rPr>
          <w:rFonts w:ascii="Times New Roman" w:hAnsi="Times New Roman" w:cs="Times New Roman"/>
        </w:rPr>
      </w:pPr>
      <w:r w:rsidRPr="00A472FC">
        <w:rPr>
          <w:rFonts w:ascii="Times New Roman" w:hAnsi="Times New Roman" w:cs="Times New Roman"/>
        </w:rPr>
        <w:t>At the same time</w:t>
      </w:r>
      <w:r w:rsidR="004C1CD7" w:rsidRPr="00A472FC">
        <w:rPr>
          <w:rFonts w:ascii="Times New Roman" w:hAnsi="Times New Roman" w:cs="Times New Roman"/>
        </w:rPr>
        <w:t>, we have seen that the body is an independent substance, whose matter is formed not by the soul itself but by its own specific ‘form of corporeity,’</w:t>
      </w:r>
      <w:r w:rsidR="004C1CD7" w:rsidRPr="00A472FC">
        <w:rPr>
          <w:rStyle w:val="FootnoteReference"/>
          <w:rFonts w:ascii="Times New Roman" w:hAnsi="Times New Roman" w:cs="Times New Roman"/>
        </w:rPr>
        <w:footnoteReference w:id="349"/>
      </w:r>
      <w:r w:rsidR="004C1CD7" w:rsidRPr="00A472FC">
        <w:rPr>
          <w:rFonts w:ascii="Times New Roman" w:hAnsi="Times New Roman" w:cs="Times New Roman"/>
        </w:rPr>
        <w:t xml:space="preserve"> which nonetheless somehow predisposes the body for union with the soul.</w:t>
      </w:r>
      <w:r w:rsidR="004C1CD7" w:rsidRPr="00A472FC">
        <w:rPr>
          <w:rStyle w:val="FootnoteReference"/>
          <w:rFonts w:ascii="Times New Roman" w:hAnsi="Times New Roman" w:cs="Times New Roman"/>
        </w:rPr>
        <w:footnoteReference w:id="350"/>
      </w:r>
      <w:r w:rsidR="004C1CD7" w:rsidRPr="00A472FC">
        <w:rPr>
          <w:rFonts w:ascii="Times New Roman" w:hAnsi="Times New Roman" w:cs="Times New Roman"/>
        </w:rPr>
        <w:t xml:space="preserve"> Put differently, the soul does not make a body a body</w:t>
      </w:r>
      <w:r w:rsidR="000C54B7" w:rsidRPr="00A472FC">
        <w:rPr>
          <w:rFonts w:ascii="Times New Roman" w:hAnsi="Times New Roman" w:cs="Times New Roman"/>
        </w:rPr>
        <w:t xml:space="preserve">, </w:t>
      </w:r>
      <w:r w:rsidR="004C1CD7" w:rsidRPr="00A472FC">
        <w:rPr>
          <w:rFonts w:ascii="Times New Roman" w:hAnsi="Times New Roman" w:cs="Times New Roman"/>
        </w:rPr>
        <w:t xml:space="preserve">but simply ensures that it is actually living. This idea of a bodily form is one that Franciscans found attractive because it allowed them to affirm that a dead body is in fact the body of the soul departed from it. Furthermore, it enabled them to account for the resurrection of the body, that is, the possibility </w:t>
      </w:r>
      <w:r w:rsidR="00C10CD9" w:rsidRPr="00A472FC">
        <w:rPr>
          <w:rFonts w:ascii="Times New Roman" w:hAnsi="Times New Roman" w:cs="Times New Roman"/>
        </w:rPr>
        <w:t>for</w:t>
      </w:r>
      <w:r w:rsidR="004C1CD7" w:rsidRPr="00A472FC">
        <w:rPr>
          <w:rFonts w:ascii="Times New Roman" w:hAnsi="Times New Roman" w:cs="Times New Roman"/>
        </w:rPr>
        <w:t xml:space="preserve"> the body of a particular soul to be reconstituted at the end of time, and also to affirm that the body of Christ in the Eucharist really is Christ’s body. </w:t>
      </w:r>
    </w:p>
    <w:p w14:paraId="17E2CA40" w14:textId="407235B2"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In the years just before the Summa was composed, most notably in the work of Philip the Chancellor, Avicenna’s idea of an accidental relationship between the body and the soul, mediated by the form of corporeity, was a prevalent view at Paris. In the next generation, William of Auvergne continued to advocate this view, describing the body as the instrument of the soul which is a ‘prison and chains to the soul.’</w:t>
      </w:r>
      <w:r w:rsidRPr="00A472FC">
        <w:rPr>
          <w:rStyle w:val="FootnoteReference"/>
          <w:rFonts w:ascii="Times New Roman" w:hAnsi="Times New Roman" w:cs="Times New Roman"/>
        </w:rPr>
        <w:footnoteReference w:id="351"/>
      </w:r>
      <w:r w:rsidRPr="00A472FC">
        <w:rPr>
          <w:rFonts w:ascii="Times New Roman" w:hAnsi="Times New Roman" w:cs="Times New Roman"/>
        </w:rPr>
        <w:t xml:space="preserve"> </w:t>
      </w:r>
      <w:r w:rsidR="00E07B79" w:rsidRPr="00A472FC">
        <w:rPr>
          <w:rFonts w:ascii="Times New Roman" w:hAnsi="Times New Roman" w:cs="Times New Roman"/>
        </w:rPr>
        <w:t>As with</w:t>
      </w:r>
      <w:r w:rsidRPr="00A472FC">
        <w:rPr>
          <w:rFonts w:ascii="Times New Roman" w:hAnsi="Times New Roman" w:cs="Times New Roman"/>
        </w:rPr>
        <w:t xml:space="preserve"> all instruments, </w:t>
      </w:r>
      <w:r w:rsidR="00012071" w:rsidRPr="00A472FC">
        <w:rPr>
          <w:rFonts w:ascii="Times New Roman" w:hAnsi="Times New Roman" w:cs="Times New Roman"/>
        </w:rPr>
        <w:t xml:space="preserve">he claimed, </w:t>
      </w:r>
      <w:r w:rsidRPr="00A472FC">
        <w:rPr>
          <w:rFonts w:ascii="Times New Roman" w:hAnsi="Times New Roman" w:cs="Times New Roman"/>
        </w:rPr>
        <w:t xml:space="preserve">the body cannot operate through itself but only through another, </w:t>
      </w:r>
      <w:r w:rsidR="00DA2DD7" w:rsidRPr="00A472FC">
        <w:rPr>
          <w:rFonts w:ascii="Times New Roman" w:hAnsi="Times New Roman" w:cs="Times New Roman"/>
        </w:rPr>
        <w:t xml:space="preserve">that is, </w:t>
      </w:r>
      <w:r w:rsidRPr="00A472FC">
        <w:rPr>
          <w:rFonts w:ascii="Times New Roman" w:hAnsi="Times New Roman" w:cs="Times New Roman"/>
        </w:rPr>
        <w:t>the soul, which is not a body on the principle that what rules the body cannot be part thereof.</w:t>
      </w:r>
      <w:r w:rsidRPr="00A472FC">
        <w:rPr>
          <w:rStyle w:val="FootnoteReference"/>
          <w:rFonts w:ascii="Times New Roman" w:hAnsi="Times New Roman" w:cs="Times New Roman"/>
        </w:rPr>
        <w:footnoteReference w:id="352"/>
      </w:r>
      <w:r w:rsidRPr="00A472FC">
        <w:rPr>
          <w:rFonts w:ascii="Times New Roman" w:hAnsi="Times New Roman" w:cs="Times New Roman"/>
        </w:rPr>
        <w:t xml:space="preserve"> There is some ambiguity in William’s discussion, insofar as he seemingly </w:t>
      </w:r>
      <w:proofErr w:type="spellStart"/>
      <w:r w:rsidRPr="00A472FC">
        <w:rPr>
          <w:rFonts w:ascii="Times New Roman" w:hAnsi="Times New Roman" w:cs="Times New Roman"/>
        </w:rPr>
        <w:t>emphasizes</w:t>
      </w:r>
      <w:proofErr w:type="spellEnd"/>
      <w:r w:rsidRPr="00A472FC">
        <w:rPr>
          <w:rFonts w:ascii="Times New Roman" w:hAnsi="Times New Roman" w:cs="Times New Roman"/>
        </w:rPr>
        <w:t xml:space="preserve"> the unity of the body and the soul with an analogy of their relationship to that of a lyre-player which includes both the lyre and the player.</w:t>
      </w:r>
      <w:r w:rsidRPr="00A472FC">
        <w:rPr>
          <w:rStyle w:val="FootnoteReference"/>
          <w:rFonts w:ascii="Times New Roman" w:hAnsi="Times New Roman" w:cs="Times New Roman"/>
        </w:rPr>
        <w:footnoteReference w:id="353"/>
      </w:r>
      <w:r w:rsidRPr="00A472FC">
        <w:rPr>
          <w:rFonts w:ascii="Times New Roman" w:hAnsi="Times New Roman" w:cs="Times New Roman"/>
        </w:rPr>
        <w:t xml:space="preserve"> Ultimately, however, his language is too dualist to avoid the conclusion that he sees the body as united to the soul only accidentally.</w:t>
      </w:r>
      <w:r w:rsidR="00427372" w:rsidRPr="00A472FC">
        <w:rPr>
          <w:rStyle w:val="FootnoteReference"/>
          <w:rFonts w:ascii="Times New Roman" w:hAnsi="Times New Roman" w:cs="Times New Roman"/>
        </w:rPr>
        <w:footnoteReference w:id="354"/>
      </w:r>
    </w:p>
    <w:p w14:paraId="7275BF4E" w14:textId="070F5972"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As Magdalena Bieniak has shown, </w:t>
      </w:r>
      <w:r w:rsidR="001C687E" w:rsidRPr="00A472FC">
        <w:rPr>
          <w:rFonts w:ascii="Times New Roman" w:hAnsi="Times New Roman" w:cs="Times New Roman"/>
        </w:rPr>
        <w:t xml:space="preserve">such a strong form of </w:t>
      </w:r>
      <w:r w:rsidR="0013000E" w:rsidRPr="00A472FC">
        <w:rPr>
          <w:rFonts w:ascii="Times New Roman" w:hAnsi="Times New Roman" w:cs="Times New Roman"/>
        </w:rPr>
        <w:t>dualism had already come into question</w:t>
      </w:r>
      <w:r w:rsidRPr="00A472FC">
        <w:rPr>
          <w:rFonts w:ascii="Times New Roman" w:hAnsi="Times New Roman" w:cs="Times New Roman"/>
        </w:rPr>
        <w:t xml:space="preserve"> by William’s time</w:t>
      </w:r>
      <w:r w:rsidR="0013000E" w:rsidRPr="00A472FC">
        <w:rPr>
          <w:rFonts w:ascii="Times New Roman" w:hAnsi="Times New Roman" w:cs="Times New Roman"/>
        </w:rPr>
        <w:t>,</w:t>
      </w:r>
      <w:r w:rsidRPr="00A472FC">
        <w:rPr>
          <w:rFonts w:ascii="Times New Roman" w:hAnsi="Times New Roman" w:cs="Times New Roman"/>
        </w:rPr>
        <w:t xml:space="preserve"> following the work of Hugh of St Cher</w:t>
      </w:r>
      <w:r w:rsidR="009117CE" w:rsidRPr="00A472FC">
        <w:rPr>
          <w:rFonts w:ascii="Times New Roman" w:hAnsi="Times New Roman" w:cs="Times New Roman"/>
        </w:rPr>
        <w:t>.</w:t>
      </w:r>
      <w:r w:rsidR="00BD68E5" w:rsidRPr="00A472FC">
        <w:rPr>
          <w:rStyle w:val="FootnoteReference"/>
          <w:rFonts w:ascii="Times New Roman" w:hAnsi="Times New Roman" w:cs="Times New Roman"/>
        </w:rPr>
        <w:footnoteReference w:id="355"/>
      </w:r>
      <w:r w:rsidR="009117CE" w:rsidRPr="00A472FC">
        <w:rPr>
          <w:rFonts w:ascii="Times New Roman" w:hAnsi="Times New Roman" w:cs="Times New Roman"/>
        </w:rPr>
        <w:t xml:space="preserve"> This early Dominican</w:t>
      </w:r>
      <w:r w:rsidRPr="00A472FC">
        <w:rPr>
          <w:rFonts w:ascii="Times New Roman" w:hAnsi="Times New Roman" w:cs="Times New Roman"/>
        </w:rPr>
        <w:t xml:space="preserve"> argued that the body is in fact intrinsic to the substance of the soul, which exhibits the quality of ‘</w:t>
      </w:r>
      <w:proofErr w:type="spellStart"/>
      <w:r w:rsidRPr="00A472FC">
        <w:rPr>
          <w:rFonts w:ascii="Times New Roman" w:hAnsi="Times New Roman" w:cs="Times New Roman"/>
          <w:i/>
        </w:rPr>
        <w:t>unibilitas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substantialis</w:t>
      </w:r>
      <w:proofErr w:type="spellEnd"/>
      <w:r w:rsidRPr="00A472FC">
        <w:rPr>
          <w:rFonts w:ascii="Times New Roman" w:hAnsi="Times New Roman" w:cs="Times New Roman"/>
          <w:iCs/>
        </w:rPr>
        <w:t>’</w:t>
      </w:r>
      <w:r w:rsidRPr="00A472FC">
        <w:rPr>
          <w:rFonts w:ascii="Times New Roman" w:hAnsi="Times New Roman" w:cs="Times New Roman"/>
        </w:rPr>
        <w:t xml:space="preserve"> or a substantial </w:t>
      </w:r>
      <w:proofErr w:type="spellStart"/>
      <w:r w:rsidRPr="00A472FC">
        <w:rPr>
          <w:rFonts w:ascii="Times New Roman" w:hAnsi="Times New Roman" w:cs="Times New Roman"/>
        </w:rPr>
        <w:t>unitability</w:t>
      </w:r>
      <w:proofErr w:type="spellEnd"/>
      <w:r w:rsidRPr="00A472FC">
        <w:rPr>
          <w:rFonts w:ascii="Times New Roman" w:hAnsi="Times New Roman" w:cs="Times New Roman"/>
        </w:rPr>
        <w:t xml:space="preserve"> to the body. Before Hugh, </w:t>
      </w:r>
      <w:r w:rsidR="00F75BDD" w:rsidRPr="00A472FC">
        <w:rPr>
          <w:rFonts w:ascii="Times New Roman" w:hAnsi="Times New Roman" w:cs="Times New Roman"/>
        </w:rPr>
        <w:t xml:space="preserve">Bieniak observes, </w:t>
      </w:r>
      <w:r w:rsidRPr="00A472FC">
        <w:rPr>
          <w:rFonts w:ascii="Times New Roman" w:hAnsi="Times New Roman" w:cs="Times New Roman"/>
        </w:rPr>
        <w:t xml:space="preserve">William of Auxerre had hinted in passing that the soul is substantially </w:t>
      </w:r>
      <w:r w:rsidRPr="00A472FC">
        <w:rPr>
          <w:rFonts w:ascii="Times New Roman" w:hAnsi="Times New Roman" w:cs="Times New Roman"/>
        </w:rPr>
        <w:lastRenderedPageBreak/>
        <w:t>related the body</w:t>
      </w:r>
      <w:r w:rsidR="0089456E" w:rsidRPr="00A472FC">
        <w:rPr>
          <w:rFonts w:ascii="Times New Roman" w:hAnsi="Times New Roman" w:cs="Times New Roman"/>
        </w:rPr>
        <w:t>.</w:t>
      </w:r>
      <w:r w:rsidR="00B2570E" w:rsidRPr="00A472FC">
        <w:rPr>
          <w:rStyle w:val="FootnoteReference"/>
          <w:rFonts w:ascii="Times New Roman" w:hAnsi="Times New Roman" w:cs="Times New Roman"/>
          <w:lang w:val="en-US"/>
        </w:rPr>
        <w:footnoteReference w:id="356"/>
      </w:r>
      <w:r w:rsidR="00B2570E" w:rsidRPr="00A472FC">
        <w:rPr>
          <w:rFonts w:ascii="Times New Roman" w:hAnsi="Times New Roman" w:cs="Times New Roman"/>
          <w:lang w:val="en-US"/>
        </w:rPr>
        <w:t xml:space="preserve"> </w:t>
      </w:r>
      <w:r w:rsidR="0089456E" w:rsidRPr="00A472FC">
        <w:rPr>
          <w:rFonts w:ascii="Times New Roman" w:hAnsi="Times New Roman" w:cs="Times New Roman"/>
        </w:rPr>
        <w:t xml:space="preserve">However </w:t>
      </w:r>
      <w:r w:rsidRPr="00A472FC">
        <w:rPr>
          <w:rFonts w:ascii="Times New Roman" w:hAnsi="Times New Roman" w:cs="Times New Roman"/>
        </w:rPr>
        <w:t>he states the opposite position in an earlier version of his work, so his ultimate viewpoint is unclear, and in any case, largely undeveloped.</w:t>
      </w:r>
      <w:r w:rsidR="00B2570E" w:rsidRPr="00A472FC">
        <w:rPr>
          <w:rStyle w:val="FootnoteReference"/>
          <w:rFonts w:ascii="Times New Roman" w:hAnsi="Times New Roman" w:cs="Times New Roman"/>
          <w:lang w:val="en-US"/>
        </w:rPr>
        <w:footnoteReference w:id="357"/>
      </w:r>
      <w:r w:rsidR="00B2570E" w:rsidRPr="00A472FC">
        <w:rPr>
          <w:rFonts w:ascii="Times New Roman" w:hAnsi="Times New Roman" w:cs="Times New Roman"/>
          <w:lang w:val="en-US"/>
        </w:rPr>
        <w:t xml:space="preserve"> </w:t>
      </w:r>
      <w:r w:rsidRPr="00A472FC">
        <w:rPr>
          <w:rFonts w:ascii="Times New Roman" w:hAnsi="Times New Roman" w:cs="Times New Roman"/>
        </w:rPr>
        <w:t xml:space="preserve"> Although Hugh’s </w:t>
      </w:r>
      <w:r w:rsidR="00040053" w:rsidRPr="00A472FC">
        <w:rPr>
          <w:rFonts w:ascii="Times New Roman" w:hAnsi="Times New Roman" w:cs="Times New Roman"/>
          <w:i/>
        </w:rPr>
        <w:t>Sentences</w:t>
      </w:r>
      <w:r w:rsidRPr="00A472FC">
        <w:rPr>
          <w:rFonts w:ascii="Times New Roman" w:hAnsi="Times New Roman" w:cs="Times New Roman"/>
        </w:rPr>
        <w:t xml:space="preserve"> commentary certainly represents an important turning point </w:t>
      </w:r>
      <w:r w:rsidR="0089456E" w:rsidRPr="00A472FC">
        <w:rPr>
          <w:rFonts w:ascii="Times New Roman" w:hAnsi="Times New Roman" w:cs="Times New Roman"/>
        </w:rPr>
        <w:t>for</w:t>
      </w:r>
      <w:r w:rsidRPr="00A472FC">
        <w:rPr>
          <w:rFonts w:ascii="Times New Roman" w:hAnsi="Times New Roman" w:cs="Times New Roman"/>
        </w:rPr>
        <w:t xml:space="preserve"> this doctrine, its relatively early dating—between 1229-31—left a lot of room for the theory he introduced to be elaborated. In the wake of Hugh</w:t>
      </w:r>
      <w:r w:rsidR="0022668F" w:rsidRPr="00A472FC">
        <w:rPr>
          <w:rFonts w:ascii="Times New Roman" w:hAnsi="Times New Roman" w:cs="Times New Roman"/>
        </w:rPr>
        <w:t>’s work</w:t>
      </w:r>
      <w:r w:rsidR="00E35AAE" w:rsidRPr="00A472FC">
        <w:rPr>
          <w:rFonts w:ascii="Times New Roman" w:hAnsi="Times New Roman" w:cs="Times New Roman"/>
        </w:rPr>
        <w:t xml:space="preserve">, </w:t>
      </w:r>
      <w:r w:rsidRPr="00A472FC">
        <w:rPr>
          <w:rFonts w:ascii="Times New Roman" w:hAnsi="Times New Roman" w:cs="Times New Roman"/>
        </w:rPr>
        <w:t>the notion of ‘</w:t>
      </w:r>
      <w:proofErr w:type="spellStart"/>
      <w:r w:rsidRPr="00A472FC">
        <w:rPr>
          <w:rFonts w:ascii="Times New Roman" w:hAnsi="Times New Roman" w:cs="Times New Roman"/>
          <w:i/>
        </w:rPr>
        <w:t>unibilitas</w:t>
      </w:r>
      <w:proofErr w:type="spellEnd"/>
      <w:r w:rsidRPr="00A472FC">
        <w:rPr>
          <w:rFonts w:ascii="Times New Roman" w:hAnsi="Times New Roman" w:cs="Times New Roman"/>
        </w:rPr>
        <w:t xml:space="preserve">’ became </w:t>
      </w:r>
      <w:r w:rsidR="009A62CF" w:rsidRPr="00A472FC">
        <w:rPr>
          <w:rFonts w:ascii="Times New Roman" w:hAnsi="Times New Roman" w:cs="Times New Roman"/>
        </w:rPr>
        <w:t xml:space="preserve">either explicitly or implicitly </w:t>
      </w:r>
      <w:r w:rsidRPr="00A472FC">
        <w:rPr>
          <w:rFonts w:ascii="Times New Roman" w:hAnsi="Times New Roman" w:cs="Times New Roman"/>
        </w:rPr>
        <w:t xml:space="preserve">the key feature in early scholastic accounts of the body-soul union, </w:t>
      </w:r>
      <w:r w:rsidR="001E0411" w:rsidRPr="00A472FC">
        <w:rPr>
          <w:rFonts w:ascii="Times New Roman" w:hAnsi="Times New Roman" w:cs="Times New Roman"/>
        </w:rPr>
        <w:t>including that of</w:t>
      </w:r>
      <w:r w:rsidRPr="00A472FC">
        <w:rPr>
          <w:rFonts w:ascii="Times New Roman" w:hAnsi="Times New Roman" w:cs="Times New Roman"/>
        </w:rPr>
        <w:t xml:space="preserve"> Roland of Cremona.</w:t>
      </w:r>
      <w:r w:rsidRPr="00A472FC">
        <w:rPr>
          <w:rStyle w:val="FootnoteReference"/>
          <w:rFonts w:ascii="Times New Roman" w:hAnsi="Times New Roman" w:cs="Times New Roman"/>
        </w:rPr>
        <w:footnoteReference w:id="358"/>
      </w:r>
      <w:r w:rsidRPr="00A472FC">
        <w:rPr>
          <w:rFonts w:ascii="Times New Roman" w:hAnsi="Times New Roman" w:cs="Times New Roman"/>
        </w:rPr>
        <w:t xml:space="preserve"> </w:t>
      </w:r>
      <w:r w:rsidR="003C2CC0" w:rsidRPr="00A472FC">
        <w:rPr>
          <w:rFonts w:ascii="Times New Roman" w:hAnsi="Times New Roman" w:cs="Times New Roman"/>
        </w:rPr>
        <w:t>As Bieniak notes,</w:t>
      </w:r>
      <w:r w:rsidRPr="00A472FC">
        <w:rPr>
          <w:rFonts w:ascii="Times New Roman" w:hAnsi="Times New Roman" w:cs="Times New Roman"/>
        </w:rPr>
        <w:t xml:space="preserve"> Roland </w:t>
      </w:r>
      <w:r w:rsidR="003C2CC0" w:rsidRPr="00A472FC">
        <w:rPr>
          <w:rFonts w:ascii="Times New Roman" w:hAnsi="Times New Roman" w:cs="Times New Roman"/>
        </w:rPr>
        <w:t xml:space="preserve">seems to have taken the </w:t>
      </w:r>
      <w:r w:rsidRPr="00A472FC">
        <w:rPr>
          <w:rFonts w:ascii="Times New Roman" w:hAnsi="Times New Roman" w:cs="Times New Roman"/>
        </w:rPr>
        <w:t xml:space="preserve">notion of </w:t>
      </w:r>
      <w:proofErr w:type="spellStart"/>
      <w:r w:rsidRPr="00A472FC">
        <w:rPr>
          <w:rFonts w:ascii="Times New Roman" w:hAnsi="Times New Roman" w:cs="Times New Roman"/>
          <w:i/>
        </w:rPr>
        <w:t>unibilitas</w:t>
      </w:r>
      <w:proofErr w:type="spellEnd"/>
      <w:r w:rsidRPr="00A472FC">
        <w:rPr>
          <w:rFonts w:ascii="Times New Roman" w:hAnsi="Times New Roman" w:cs="Times New Roman"/>
          <w:i/>
        </w:rPr>
        <w:t xml:space="preserve"> </w:t>
      </w:r>
      <w:r w:rsidRPr="00A472FC">
        <w:rPr>
          <w:rFonts w:ascii="Times New Roman" w:hAnsi="Times New Roman" w:cs="Times New Roman"/>
        </w:rPr>
        <w:t>so seriously that he actually concluded that the soul ceases to be a soul when it leaves the body.</w:t>
      </w:r>
      <w:r w:rsidRPr="00A472FC">
        <w:rPr>
          <w:rStyle w:val="FootnoteReference"/>
          <w:rFonts w:ascii="Times New Roman" w:hAnsi="Times New Roman" w:cs="Times New Roman"/>
        </w:rPr>
        <w:footnoteReference w:id="359"/>
      </w:r>
      <w:r w:rsidRPr="00A472FC">
        <w:rPr>
          <w:rFonts w:ascii="Times New Roman" w:hAnsi="Times New Roman" w:cs="Times New Roman"/>
        </w:rPr>
        <w:t xml:space="preserve"> </w:t>
      </w:r>
      <w:proofErr w:type="spellStart"/>
      <w:r w:rsidR="00D04BF8" w:rsidRPr="00A472FC">
        <w:rPr>
          <w:rFonts w:ascii="Times New Roman" w:hAnsi="Times New Roman" w:cs="Times New Roman"/>
        </w:rPr>
        <w:t>Guerric</w:t>
      </w:r>
      <w:proofErr w:type="spellEnd"/>
      <w:r w:rsidR="00D04BF8" w:rsidRPr="00A472FC">
        <w:rPr>
          <w:rFonts w:ascii="Times New Roman" w:hAnsi="Times New Roman" w:cs="Times New Roman"/>
        </w:rPr>
        <w:t xml:space="preserve"> of St Quentin also </w:t>
      </w:r>
      <w:proofErr w:type="spellStart"/>
      <w:r w:rsidR="00E93EE6" w:rsidRPr="00A472FC">
        <w:rPr>
          <w:rFonts w:ascii="Times New Roman" w:hAnsi="Times New Roman" w:cs="Times New Roman"/>
        </w:rPr>
        <w:t>favors</w:t>
      </w:r>
      <w:proofErr w:type="spellEnd"/>
      <w:r w:rsidR="00D04BF8" w:rsidRPr="00A472FC">
        <w:rPr>
          <w:rFonts w:ascii="Times New Roman" w:hAnsi="Times New Roman" w:cs="Times New Roman"/>
        </w:rPr>
        <w:t xml:space="preserve"> the idea of the body’s </w:t>
      </w:r>
      <w:proofErr w:type="spellStart"/>
      <w:r w:rsidR="00D04BF8" w:rsidRPr="00A472FC">
        <w:rPr>
          <w:rFonts w:ascii="Times New Roman" w:hAnsi="Times New Roman" w:cs="Times New Roman"/>
        </w:rPr>
        <w:t>unitability</w:t>
      </w:r>
      <w:proofErr w:type="spellEnd"/>
      <w:r w:rsidR="00D04BF8" w:rsidRPr="00A472FC">
        <w:rPr>
          <w:rFonts w:ascii="Times New Roman" w:hAnsi="Times New Roman" w:cs="Times New Roman"/>
        </w:rPr>
        <w:t xml:space="preserve"> with the soul when he argues that the soul is in every part of the body as that which contains it</w:t>
      </w:r>
      <w:r w:rsidR="00AA51B3" w:rsidRPr="00A472FC">
        <w:rPr>
          <w:rFonts w:ascii="Times New Roman" w:hAnsi="Times New Roman" w:cs="Times New Roman"/>
        </w:rPr>
        <w:t xml:space="preserve"> and moves it through the functioning of the heart which gives the body life.</w:t>
      </w:r>
      <w:r w:rsidR="00D04BF8" w:rsidRPr="00A472FC">
        <w:rPr>
          <w:rStyle w:val="FootnoteReference"/>
          <w:rFonts w:ascii="Times New Roman" w:hAnsi="Times New Roman" w:cs="Times New Roman"/>
        </w:rPr>
        <w:footnoteReference w:id="360"/>
      </w:r>
    </w:p>
    <w:p w14:paraId="69BB11F2" w14:textId="52D2B54E"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However, Dominicans were far from the only ones to champion the </w:t>
      </w:r>
      <w:proofErr w:type="spellStart"/>
      <w:r w:rsidRPr="00A472FC">
        <w:rPr>
          <w:rFonts w:ascii="Times New Roman" w:hAnsi="Times New Roman" w:cs="Times New Roman"/>
          <w:i/>
        </w:rPr>
        <w:t>unibilitas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account, which was </w:t>
      </w:r>
      <w:r w:rsidR="000264B3" w:rsidRPr="00A472FC">
        <w:rPr>
          <w:rFonts w:ascii="Times New Roman" w:hAnsi="Times New Roman" w:cs="Times New Roman"/>
        </w:rPr>
        <w:t>also</w:t>
      </w:r>
      <w:r w:rsidRPr="00A472FC">
        <w:rPr>
          <w:rFonts w:ascii="Times New Roman" w:hAnsi="Times New Roman" w:cs="Times New Roman"/>
        </w:rPr>
        <w:t xml:space="preserve"> endorsed by their Franciscan contemporaries, above all, John and authors of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rPr>
        <w:t xml:space="preserve">. As this suggests, the Franciscan and Dominican schools of this period were not marked by the clear doctrinal party lines that would come to typify the next generation of scholars, which included Bonaventure and Aquinas. Although Franciscans and Dominicans did differ on certain points in this period, they had more in common as inheritors of a certain set of sources and questions than divided them. The chart attached to the end of the next chapter depicts visually some of the areas in which Franciscans followed or at least agreed with their Dominican counterparts. A closer study of the version of Hugh’s doctrine that appears in John of La Rochelle and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will help to establish further the continuity between </w:t>
      </w:r>
      <w:r w:rsidR="00934EB9" w:rsidRPr="00A472FC">
        <w:rPr>
          <w:rFonts w:ascii="Times New Roman" w:hAnsi="Times New Roman" w:cs="Times New Roman"/>
        </w:rPr>
        <w:t>their schools of thought</w:t>
      </w:r>
      <w:r w:rsidRPr="00A472FC">
        <w:rPr>
          <w:rFonts w:ascii="Times New Roman" w:hAnsi="Times New Roman" w:cs="Times New Roman"/>
        </w:rPr>
        <w:t xml:space="preserve"> in </w:t>
      </w:r>
      <w:r w:rsidR="00934EB9" w:rsidRPr="00A472FC">
        <w:rPr>
          <w:rFonts w:ascii="Times New Roman" w:hAnsi="Times New Roman" w:cs="Times New Roman"/>
        </w:rPr>
        <w:t xml:space="preserve">some </w:t>
      </w:r>
      <w:r w:rsidRPr="00A472FC">
        <w:rPr>
          <w:rFonts w:ascii="Times New Roman" w:hAnsi="Times New Roman" w:cs="Times New Roman"/>
        </w:rPr>
        <w:t>key areas.</w:t>
      </w:r>
      <w:r w:rsidRPr="00A472FC">
        <w:rPr>
          <w:rStyle w:val="FootnoteReference"/>
          <w:rFonts w:ascii="Times New Roman" w:hAnsi="Times New Roman" w:cs="Times New Roman"/>
        </w:rPr>
        <w:footnoteReference w:id="361"/>
      </w:r>
      <w:r w:rsidRPr="00A472FC">
        <w:rPr>
          <w:rFonts w:ascii="Times New Roman" w:hAnsi="Times New Roman" w:cs="Times New Roman"/>
          <w:i/>
        </w:rPr>
        <w:t xml:space="preserve"> </w:t>
      </w:r>
    </w:p>
    <w:p w14:paraId="26DEC22D" w14:textId="03365D66" w:rsidR="001419AA"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While the accounts </w:t>
      </w:r>
      <w:r w:rsidR="00527A00" w:rsidRPr="00A472FC">
        <w:rPr>
          <w:rFonts w:ascii="Times New Roman" w:hAnsi="Times New Roman" w:cs="Times New Roman"/>
        </w:rPr>
        <w:t xml:space="preserve">in question </w:t>
      </w:r>
      <w:r w:rsidRPr="00A472FC">
        <w:rPr>
          <w:rFonts w:ascii="Times New Roman" w:hAnsi="Times New Roman" w:cs="Times New Roman"/>
        </w:rPr>
        <w:t xml:space="preserve">are very similar, it is worth examining them independently in order to highlight a few interesting discrepancies. Amongst the definitions of the soul that John presents at the beginning of his text is that of Aristotle in </w:t>
      </w:r>
      <w:r w:rsidRPr="00A472FC">
        <w:rPr>
          <w:rFonts w:ascii="Times New Roman" w:hAnsi="Times New Roman" w:cs="Times New Roman"/>
          <w:i/>
        </w:rPr>
        <w:t>De anima</w:t>
      </w:r>
      <w:r w:rsidRPr="00A472FC">
        <w:rPr>
          <w:rFonts w:ascii="Times New Roman" w:hAnsi="Times New Roman" w:cs="Times New Roman"/>
        </w:rPr>
        <w:t xml:space="preserve"> II.1, 412a18-19, which describes the soul as the ‘form of the natural organic body having the potential for life</w:t>
      </w:r>
      <w:r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362"/>
      </w:r>
      <w:r w:rsidRPr="00A472FC">
        <w:rPr>
          <w:rFonts w:ascii="Times New Roman" w:hAnsi="Times New Roman" w:cs="Times New Roman"/>
          <w:lang w:val="en-US"/>
        </w:rPr>
        <w:t xml:space="preserve"> In John’s view, this definition agrees with that of Augustine in DSEA </w:t>
      </w:r>
      <w:r w:rsidR="00527A00" w:rsidRPr="00A472FC">
        <w:rPr>
          <w:rFonts w:ascii="Times New Roman" w:hAnsi="Times New Roman" w:cs="Times New Roman"/>
          <w:lang w:val="en-US"/>
        </w:rPr>
        <w:lastRenderedPageBreak/>
        <w:t>according to which</w:t>
      </w:r>
      <w:r w:rsidRPr="00A472FC">
        <w:rPr>
          <w:rFonts w:ascii="Times New Roman" w:hAnsi="Times New Roman" w:cs="Times New Roman"/>
          <w:lang w:val="en-US"/>
        </w:rPr>
        <w:t xml:space="preserve"> the ‘soul is a substance that participates in reason and rules the body to which it is accommodated.’ </w:t>
      </w:r>
      <w:r w:rsidRPr="00A472FC">
        <w:rPr>
          <w:rFonts w:ascii="Times New Roman" w:hAnsi="Times New Roman" w:cs="Times New Roman"/>
        </w:rPr>
        <w:t xml:space="preserve">The definition itself is taken from the Greco-Latin translation of Aristotle’s </w:t>
      </w:r>
      <w:r w:rsidRPr="00A472FC">
        <w:rPr>
          <w:rFonts w:ascii="Times New Roman" w:hAnsi="Times New Roman" w:cs="Times New Roman"/>
          <w:i/>
        </w:rPr>
        <w:t xml:space="preserve">De anima, </w:t>
      </w:r>
      <w:r w:rsidRPr="00A472FC">
        <w:rPr>
          <w:rFonts w:ascii="Times New Roman" w:hAnsi="Times New Roman" w:cs="Times New Roman"/>
        </w:rPr>
        <w:t xml:space="preserve">which was produced by James of Venice before </w:t>
      </w:r>
      <w:r w:rsidR="00760341" w:rsidRPr="00A472FC">
        <w:rPr>
          <w:rFonts w:ascii="Times New Roman" w:hAnsi="Times New Roman" w:cs="Times New Roman"/>
        </w:rPr>
        <w:t>1160</w:t>
      </w:r>
      <w:r w:rsidRPr="00A472FC">
        <w:rPr>
          <w:rFonts w:ascii="Times New Roman" w:hAnsi="Times New Roman" w:cs="Times New Roman"/>
        </w:rPr>
        <w:t>.</w:t>
      </w:r>
      <w:r w:rsidRPr="00A472FC">
        <w:rPr>
          <w:rStyle w:val="FootnoteReference"/>
          <w:rFonts w:ascii="Times New Roman" w:hAnsi="Times New Roman" w:cs="Times New Roman"/>
        </w:rPr>
        <w:footnoteReference w:id="363"/>
      </w:r>
      <w:r w:rsidRPr="00A472FC">
        <w:rPr>
          <w:rFonts w:ascii="Times New Roman" w:hAnsi="Times New Roman" w:cs="Times New Roman"/>
        </w:rPr>
        <w:t xml:space="preserve"> The passage in which it is found communicates what is often regarded as one of Aristotle’s signature ideas, namely, that the soul </w:t>
      </w:r>
      <w:r w:rsidR="00FF2F29" w:rsidRPr="00A472FC">
        <w:rPr>
          <w:rFonts w:ascii="Times New Roman" w:hAnsi="Times New Roman" w:cs="Times New Roman"/>
        </w:rPr>
        <w:t>is</w:t>
      </w:r>
      <w:r w:rsidRPr="00A472FC">
        <w:rPr>
          <w:rFonts w:ascii="Times New Roman" w:hAnsi="Times New Roman" w:cs="Times New Roman"/>
        </w:rPr>
        <w:t xml:space="preserve"> the form of the bod</w:t>
      </w:r>
      <w:r w:rsidR="001419AA" w:rsidRPr="00A472FC">
        <w:rPr>
          <w:rFonts w:ascii="Times New Roman" w:hAnsi="Times New Roman" w:cs="Times New Roman"/>
        </w:rPr>
        <w:t xml:space="preserve">y with which it comprises a single substance. </w:t>
      </w:r>
    </w:p>
    <w:p w14:paraId="0EC751D0" w14:textId="6F29311A" w:rsidR="005023D5" w:rsidRPr="00A472FC" w:rsidRDefault="004C1CD7" w:rsidP="00881604">
      <w:pPr>
        <w:ind w:right="-52" w:firstLine="720"/>
        <w:rPr>
          <w:rFonts w:ascii="Times New Roman" w:hAnsi="Times New Roman" w:cs="Times New Roman"/>
        </w:rPr>
      </w:pPr>
      <w:r w:rsidRPr="00A472FC">
        <w:rPr>
          <w:rFonts w:ascii="Times New Roman" w:hAnsi="Times New Roman" w:cs="Times New Roman"/>
        </w:rPr>
        <w:t>According to this perspective, having a body is part of what it means to be a soul;</w:t>
      </w:r>
      <w:r w:rsidRPr="00A472FC">
        <w:rPr>
          <w:rStyle w:val="FootnoteReference"/>
          <w:rFonts w:ascii="Times New Roman" w:hAnsi="Times New Roman" w:cs="Times New Roman"/>
        </w:rPr>
        <w:footnoteReference w:id="364"/>
      </w:r>
      <w:r w:rsidRPr="00A472FC">
        <w:rPr>
          <w:rFonts w:ascii="Times New Roman" w:hAnsi="Times New Roman" w:cs="Times New Roman"/>
        </w:rPr>
        <w:t xml:space="preserve"> the soul cannot therefore exist without the body, and the very constitution of the body as such cannot occur without the soul, which accomplishes this feat as its ‘first act.’</w:t>
      </w:r>
      <w:r w:rsidRPr="00A472FC">
        <w:rPr>
          <w:rStyle w:val="FootnoteReference"/>
          <w:rFonts w:ascii="Times New Roman" w:hAnsi="Times New Roman" w:cs="Times New Roman"/>
          <w:bCs/>
          <w:lang w:val="en-US"/>
        </w:rPr>
        <w:footnoteReference w:id="365"/>
      </w:r>
      <w:r w:rsidRPr="00A472FC">
        <w:rPr>
          <w:rFonts w:ascii="Times New Roman" w:hAnsi="Times New Roman" w:cs="Times New Roman"/>
        </w:rPr>
        <w:t xml:space="preserve"> This is precisely what the famous sailor/boatman analogy that Aristotle invokes in the same passage is presumably meant to convey, namely, that the soul activates the potential of the body to live in the way the sailor activates the potential of the ship to sail. Thus construed, the analogy </w:t>
      </w:r>
      <w:proofErr w:type="spellStart"/>
      <w:r w:rsidRPr="00A472FC">
        <w:rPr>
          <w:rFonts w:ascii="Times New Roman" w:hAnsi="Times New Roman" w:cs="Times New Roman"/>
        </w:rPr>
        <w:t>emphasizes</w:t>
      </w:r>
      <w:proofErr w:type="spellEnd"/>
      <w:r w:rsidRPr="00A472FC">
        <w:rPr>
          <w:rFonts w:ascii="Times New Roman" w:hAnsi="Times New Roman" w:cs="Times New Roman"/>
        </w:rPr>
        <w:t xml:space="preserve"> the fundamental unity and mutual interdependence of the soul and the body rather than the separability that is implied in Avicenna’s interpretation of the body-soul relationship. </w:t>
      </w:r>
    </w:p>
    <w:p w14:paraId="093AE668" w14:textId="4EA7DD4B" w:rsidR="004C1CD7" w:rsidRPr="00A472FC" w:rsidRDefault="004C1CD7" w:rsidP="005023D5">
      <w:pPr>
        <w:ind w:right="-52" w:firstLine="720"/>
        <w:rPr>
          <w:rFonts w:ascii="Times New Roman" w:hAnsi="Times New Roman" w:cs="Times New Roman"/>
        </w:rPr>
      </w:pPr>
      <w:r w:rsidRPr="00A472FC">
        <w:rPr>
          <w:rFonts w:ascii="Times New Roman" w:hAnsi="Times New Roman" w:cs="Times New Roman"/>
        </w:rPr>
        <w:t xml:space="preserve">By the time of John of La Rochelle, I noted in the </w:t>
      </w:r>
      <w:r w:rsidR="00340CB0" w:rsidRPr="00A472FC">
        <w:rPr>
          <w:rFonts w:ascii="Times New Roman" w:hAnsi="Times New Roman" w:cs="Times New Roman"/>
        </w:rPr>
        <w:t>first chapter</w:t>
      </w:r>
      <w:r w:rsidRPr="00A472FC">
        <w:rPr>
          <w:rFonts w:ascii="Times New Roman" w:hAnsi="Times New Roman" w:cs="Times New Roman"/>
        </w:rPr>
        <w:t xml:space="preserve">, another translation of the </w:t>
      </w:r>
      <w:r w:rsidRPr="00A472FC">
        <w:rPr>
          <w:rFonts w:ascii="Times New Roman" w:hAnsi="Times New Roman" w:cs="Times New Roman"/>
          <w:i/>
        </w:rPr>
        <w:t xml:space="preserve">De anima </w:t>
      </w:r>
      <w:r w:rsidRPr="00A472FC">
        <w:rPr>
          <w:rFonts w:ascii="Times New Roman" w:hAnsi="Times New Roman" w:cs="Times New Roman"/>
        </w:rPr>
        <w:t xml:space="preserve">had </w:t>
      </w:r>
      <w:r w:rsidR="00EF7B93" w:rsidRPr="00A472FC">
        <w:rPr>
          <w:rFonts w:ascii="Times New Roman" w:hAnsi="Times New Roman" w:cs="Times New Roman"/>
        </w:rPr>
        <w:t xml:space="preserve">also </w:t>
      </w:r>
      <w:r w:rsidRPr="00A472FC">
        <w:rPr>
          <w:rFonts w:ascii="Times New Roman" w:hAnsi="Times New Roman" w:cs="Times New Roman"/>
        </w:rPr>
        <w:t xml:space="preserve">been prepared, this time from Arabic into Latin, by Michael Scotus, who translated the accompanying commentary of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on this work.</w:t>
      </w:r>
      <w:r w:rsidRPr="00A472FC">
        <w:rPr>
          <w:rStyle w:val="FootnoteReference"/>
          <w:rFonts w:ascii="Times New Roman" w:hAnsi="Times New Roman" w:cs="Times New Roman"/>
        </w:rPr>
        <w:footnoteReference w:id="366"/>
      </w:r>
      <w:r w:rsidRPr="00A472FC">
        <w:rPr>
          <w:rFonts w:ascii="Times New Roman" w:hAnsi="Times New Roman" w:cs="Times New Roman"/>
        </w:rPr>
        <w:t xml:space="preserve"> </w:t>
      </w:r>
      <w:r w:rsidRPr="00A472FC">
        <w:rPr>
          <w:rFonts w:ascii="Times New Roman" w:hAnsi="Times New Roman" w:cs="Times New Roman"/>
          <w:bCs/>
          <w:lang w:val="en-US"/>
        </w:rPr>
        <w:t>I</w:t>
      </w:r>
      <w:r w:rsidRPr="00A472FC">
        <w:rPr>
          <w:rFonts w:ascii="Times New Roman" w:hAnsi="Times New Roman" w:cs="Times New Roman"/>
        </w:rPr>
        <w:t xml:space="preserve">n this version of the translation, the term </w:t>
      </w:r>
      <w:r w:rsidRPr="00A472FC">
        <w:rPr>
          <w:rFonts w:ascii="Times New Roman" w:hAnsi="Times New Roman" w:cs="Times New Roman"/>
          <w:lang w:val="en-US"/>
        </w:rPr>
        <w:t>‘</w:t>
      </w:r>
      <w:proofErr w:type="spellStart"/>
      <w:r w:rsidRPr="00A472FC">
        <w:rPr>
          <w:rFonts w:ascii="Times New Roman" w:hAnsi="Times New Roman" w:cs="Times New Roman"/>
          <w:lang w:val="en-US"/>
        </w:rPr>
        <w:t>kamāl</w:t>
      </w:r>
      <w:proofErr w:type="spellEnd"/>
      <w:r w:rsidRPr="00A472FC">
        <w:rPr>
          <w:rFonts w:ascii="Times New Roman" w:hAnsi="Times New Roman" w:cs="Times New Roman"/>
          <w:lang w:val="en-US"/>
        </w:rPr>
        <w:t>’, which literally means ‘perfection’, replaced the term ‘form’ to describe the soul’s relationship to the body.</w:t>
      </w:r>
      <w:r w:rsidRPr="00A472FC">
        <w:rPr>
          <w:rStyle w:val="FootnoteReference"/>
          <w:rFonts w:ascii="Times New Roman" w:hAnsi="Times New Roman" w:cs="Times New Roman"/>
          <w:lang w:val="en-US"/>
        </w:rPr>
        <w:footnoteReference w:id="367"/>
      </w:r>
      <w:r w:rsidRPr="00A472FC">
        <w:rPr>
          <w:rFonts w:ascii="Times New Roman" w:hAnsi="Times New Roman" w:cs="Times New Roman"/>
          <w:lang w:val="en-US"/>
        </w:rPr>
        <w:t xml:space="preserve"> Thus, the </w:t>
      </w:r>
      <w:proofErr w:type="spellStart"/>
      <w:r w:rsidRPr="00A472FC">
        <w:rPr>
          <w:rFonts w:ascii="Times New Roman" w:hAnsi="Times New Roman" w:cs="Times New Roman"/>
          <w:lang w:val="en-US"/>
        </w:rPr>
        <w:t>Arabo-Latin</w:t>
      </w:r>
      <w:proofErr w:type="spellEnd"/>
      <w:r w:rsidRPr="00A472FC">
        <w:rPr>
          <w:rFonts w:ascii="Times New Roman" w:hAnsi="Times New Roman" w:cs="Times New Roman"/>
          <w:lang w:val="en-US"/>
        </w:rPr>
        <w:t xml:space="preserve"> definition reads that</w:t>
      </w:r>
      <w:r w:rsidRPr="00A472FC">
        <w:rPr>
          <w:rFonts w:ascii="Times New Roman" w:hAnsi="Times New Roman" w:cs="Times New Roman"/>
        </w:rPr>
        <w:t xml:space="preserve"> ‘the soul is the </w:t>
      </w:r>
      <w:r w:rsidR="007E1FFF" w:rsidRPr="00A472FC">
        <w:rPr>
          <w:rFonts w:ascii="Times New Roman" w:hAnsi="Times New Roman" w:cs="Times New Roman"/>
        </w:rPr>
        <w:t xml:space="preserve">first </w:t>
      </w:r>
      <w:r w:rsidRPr="00A472FC">
        <w:rPr>
          <w:rFonts w:ascii="Times New Roman" w:hAnsi="Times New Roman" w:cs="Times New Roman"/>
        </w:rPr>
        <w:t>perfection of the natural</w:t>
      </w:r>
      <w:r w:rsidR="008B45BD" w:rsidRPr="00A472FC">
        <w:rPr>
          <w:rFonts w:ascii="Times New Roman" w:hAnsi="Times New Roman" w:cs="Times New Roman"/>
        </w:rPr>
        <w:t xml:space="preserve"> </w:t>
      </w:r>
      <w:r w:rsidRPr="00A472FC">
        <w:rPr>
          <w:rFonts w:ascii="Times New Roman" w:hAnsi="Times New Roman" w:cs="Times New Roman"/>
        </w:rPr>
        <w:t>body having life in potency.’</w:t>
      </w:r>
      <w:r w:rsidRPr="00A472FC">
        <w:rPr>
          <w:rStyle w:val="FootnoteReference"/>
          <w:rFonts w:ascii="Times New Roman" w:hAnsi="Times New Roman" w:cs="Times New Roman"/>
        </w:rPr>
        <w:footnoteReference w:id="368"/>
      </w:r>
      <w:r w:rsidRPr="00A472FC">
        <w:rPr>
          <w:rFonts w:ascii="Times New Roman" w:hAnsi="Times New Roman" w:cs="Times New Roman"/>
        </w:rPr>
        <w:t xml:space="preserve"> This same term is found in other works translated from Arabic such as Costa Ben Luca’s </w:t>
      </w:r>
      <w:r w:rsidRPr="00A472FC">
        <w:rPr>
          <w:rFonts w:ascii="Times New Roman" w:hAnsi="Times New Roman" w:cs="Times New Roman"/>
          <w:bCs/>
          <w:i/>
          <w:iCs/>
          <w:lang w:val="en-US"/>
        </w:rPr>
        <w:t xml:space="preserve">De differentia spiritus et </w:t>
      </w:r>
      <w:proofErr w:type="spellStart"/>
      <w:r w:rsidRPr="00A472FC">
        <w:rPr>
          <w:rFonts w:ascii="Times New Roman" w:hAnsi="Times New Roman" w:cs="Times New Roman"/>
          <w:bCs/>
          <w:i/>
          <w:iCs/>
          <w:lang w:val="en-US"/>
        </w:rPr>
        <w:t>animae</w:t>
      </w:r>
      <w:proofErr w:type="spellEnd"/>
      <w:r w:rsidRPr="00A472FC">
        <w:rPr>
          <w:rFonts w:ascii="Times New Roman" w:hAnsi="Times New Roman" w:cs="Times New Roman"/>
          <w:bCs/>
          <w:lang w:val="en-US"/>
        </w:rPr>
        <w:t>,</w:t>
      </w:r>
      <w:r w:rsidRPr="00A472FC">
        <w:rPr>
          <w:rFonts w:ascii="Times New Roman" w:hAnsi="Times New Roman" w:cs="Times New Roman"/>
          <w:bCs/>
          <w:i/>
          <w:iCs/>
          <w:lang w:val="en-US"/>
        </w:rPr>
        <w:t xml:space="preserve"> </w:t>
      </w:r>
      <w:r w:rsidRPr="00A472FC">
        <w:rPr>
          <w:rFonts w:ascii="Times New Roman" w:hAnsi="Times New Roman" w:cs="Times New Roman"/>
          <w:bCs/>
          <w:iCs/>
          <w:lang w:val="en-US"/>
        </w:rPr>
        <w:t xml:space="preserve">which presents a variation on Aristotle’s definition which is repeated by </w:t>
      </w:r>
      <w:proofErr w:type="spellStart"/>
      <w:r w:rsidRPr="00A472FC">
        <w:rPr>
          <w:rFonts w:ascii="Times New Roman" w:hAnsi="Times New Roman" w:cs="Times New Roman"/>
          <w:bCs/>
          <w:iCs/>
          <w:lang w:val="en-US"/>
        </w:rPr>
        <w:t>Gundissalinus</w:t>
      </w:r>
      <w:proofErr w:type="spellEnd"/>
      <w:r w:rsidRPr="00A472FC">
        <w:rPr>
          <w:rFonts w:ascii="Times New Roman" w:hAnsi="Times New Roman" w:cs="Times New Roman"/>
          <w:bCs/>
          <w:lang w:val="en-US"/>
        </w:rPr>
        <w:t>:</w:t>
      </w:r>
      <w:r w:rsidRPr="00A472FC">
        <w:rPr>
          <w:rFonts w:ascii="Times New Roman" w:hAnsi="Times New Roman" w:cs="Times New Roman"/>
          <w:bCs/>
          <w:i/>
          <w:iCs/>
          <w:lang w:val="en-US"/>
        </w:rPr>
        <w:t xml:space="preserve"> </w:t>
      </w:r>
      <w:r w:rsidRPr="00A472FC">
        <w:rPr>
          <w:rFonts w:ascii="Times New Roman" w:hAnsi="Times New Roman" w:cs="Times New Roman"/>
          <w:bCs/>
          <w:lang w:val="en-US"/>
        </w:rPr>
        <w:t xml:space="preserve">‘the soul is the first perfection of the natural, </w:t>
      </w:r>
      <w:r w:rsidR="008B45BD" w:rsidRPr="00A472FC">
        <w:rPr>
          <w:rFonts w:ascii="Times New Roman" w:hAnsi="Times New Roman" w:cs="Times New Roman"/>
          <w:bCs/>
          <w:lang w:val="en-US"/>
        </w:rPr>
        <w:t>organic</w:t>
      </w:r>
      <w:r w:rsidR="003C4076" w:rsidRPr="00A472FC">
        <w:rPr>
          <w:rFonts w:ascii="Times New Roman" w:hAnsi="Times New Roman" w:cs="Times New Roman"/>
          <w:bCs/>
          <w:lang w:val="en-US"/>
        </w:rPr>
        <w:t>,</w:t>
      </w:r>
      <w:r w:rsidRPr="00A472FC">
        <w:rPr>
          <w:rFonts w:ascii="Times New Roman" w:hAnsi="Times New Roman" w:cs="Times New Roman"/>
          <w:bCs/>
          <w:lang w:val="en-US"/>
        </w:rPr>
        <w:t xml:space="preserve"> and potentially living body.’</w:t>
      </w:r>
      <w:r w:rsidRPr="00A472FC">
        <w:rPr>
          <w:rStyle w:val="FootnoteReference"/>
          <w:rFonts w:ascii="Times New Roman" w:hAnsi="Times New Roman" w:cs="Times New Roman"/>
          <w:bCs/>
          <w:lang w:val="en-US"/>
        </w:rPr>
        <w:footnoteReference w:id="369"/>
      </w:r>
      <w:r w:rsidRPr="00A472FC">
        <w:rPr>
          <w:rFonts w:ascii="Times New Roman" w:hAnsi="Times New Roman" w:cs="Times New Roman"/>
        </w:rPr>
        <w:t xml:space="preserve"> While the substitution of ‘perfection’ for ‘form’ in this context might not seem </w:t>
      </w:r>
      <w:r w:rsidRPr="00A472FC">
        <w:rPr>
          <w:rFonts w:ascii="Times New Roman" w:hAnsi="Times New Roman" w:cs="Times New Roman"/>
        </w:rPr>
        <w:lastRenderedPageBreak/>
        <w:t>significant, it had the effect of changing the meaning of Aristotle’s text entirely in the sense that the term ‘perfection’ in Arabic philosophy and Avicenna specifically was precisely the one used to describe the soul as a separate substance from the body</w:t>
      </w:r>
      <w:r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370"/>
      </w:r>
    </w:p>
    <w:p w14:paraId="33A5DB74" w14:textId="0BC1EBE7" w:rsidR="004C1CD7" w:rsidRPr="00A472FC" w:rsidRDefault="004C1CD7" w:rsidP="00881604">
      <w:pPr>
        <w:ind w:right="-52" w:firstLine="720"/>
        <w:rPr>
          <w:rFonts w:ascii="Times New Roman" w:hAnsi="Times New Roman" w:cs="Times New Roman"/>
          <w:bCs/>
          <w:lang w:val="en-US"/>
        </w:rPr>
      </w:pPr>
      <w:r w:rsidRPr="00A472FC">
        <w:rPr>
          <w:rFonts w:ascii="Times New Roman" w:hAnsi="Times New Roman" w:cs="Times New Roman"/>
        </w:rPr>
        <w:t xml:space="preserve">On this understanding, we have seen, the soul is not the principle of a body </w:t>
      </w:r>
      <w:r w:rsidRPr="00A472FC">
        <w:rPr>
          <w:rFonts w:ascii="Times New Roman" w:hAnsi="Times New Roman" w:cs="Times New Roman"/>
          <w:i/>
        </w:rPr>
        <w:t xml:space="preserve">qua </w:t>
      </w:r>
      <w:r w:rsidRPr="00A472FC">
        <w:rPr>
          <w:rFonts w:ascii="Times New Roman" w:hAnsi="Times New Roman" w:cs="Times New Roman"/>
        </w:rPr>
        <w:t xml:space="preserve">body—that, we know, is the job </w:t>
      </w:r>
      <w:r w:rsidR="00C97574" w:rsidRPr="00A472FC">
        <w:rPr>
          <w:rFonts w:ascii="Times New Roman" w:hAnsi="Times New Roman" w:cs="Times New Roman"/>
        </w:rPr>
        <w:t>of</w:t>
      </w:r>
      <w:r w:rsidRPr="00A472FC">
        <w:rPr>
          <w:rFonts w:ascii="Times New Roman" w:hAnsi="Times New Roman" w:cs="Times New Roman"/>
        </w:rPr>
        <w:t xml:space="preserve"> the form of corporeity—it is only the principle of the body </w:t>
      </w:r>
      <w:r w:rsidR="00DF6B6F" w:rsidRPr="00A472FC">
        <w:rPr>
          <w:rFonts w:ascii="Times New Roman" w:hAnsi="Times New Roman" w:cs="Times New Roman"/>
        </w:rPr>
        <w:t xml:space="preserve">insofar </w:t>
      </w:r>
      <w:r w:rsidRPr="00A472FC">
        <w:rPr>
          <w:rFonts w:ascii="Times New Roman" w:hAnsi="Times New Roman" w:cs="Times New Roman"/>
        </w:rPr>
        <w:t xml:space="preserve">as </w:t>
      </w:r>
      <w:r w:rsidR="00DF6B6F" w:rsidRPr="00A472FC">
        <w:rPr>
          <w:rFonts w:ascii="Times New Roman" w:hAnsi="Times New Roman" w:cs="Times New Roman"/>
        </w:rPr>
        <w:t xml:space="preserve">it is </w:t>
      </w:r>
      <w:r w:rsidRPr="00A472FC">
        <w:rPr>
          <w:rFonts w:ascii="Times New Roman" w:hAnsi="Times New Roman" w:cs="Times New Roman"/>
        </w:rPr>
        <w:t xml:space="preserve">actually living. The soul serves as the body’s perfection because vivifying the body is one aspect of its operation, not because having a body is essential to what it is. As </w:t>
      </w:r>
      <w:r w:rsidR="00DF6B6F" w:rsidRPr="00A472FC">
        <w:rPr>
          <w:rFonts w:ascii="Times New Roman" w:hAnsi="Times New Roman" w:cs="Times New Roman"/>
        </w:rPr>
        <w:t xml:space="preserve">noted </w:t>
      </w:r>
      <w:r w:rsidRPr="00A472FC">
        <w:rPr>
          <w:rFonts w:ascii="Times New Roman" w:hAnsi="Times New Roman" w:cs="Times New Roman"/>
        </w:rPr>
        <w:t>above, the true person resides in the soul, rather than in the soul-body composite, and the soul alone continues to exist after the death of the body.</w:t>
      </w:r>
      <w:r w:rsidRPr="00A472FC">
        <w:rPr>
          <w:rStyle w:val="FootnoteReference"/>
          <w:rFonts w:ascii="Times New Roman" w:hAnsi="Times New Roman" w:cs="Times New Roman"/>
          <w:bCs/>
        </w:rPr>
        <w:footnoteReference w:id="371"/>
      </w:r>
      <w:r w:rsidRPr="00A472FC">
        <w:rPr>
          <w:rFonts w:ascii="Times New Roman" w:hAnsi="Times New Roman" w:cs="Times New Roman"/>
        </w:rPr>
        <w:t xml:space="preserve"> There are some passages where Aristotle suggests something similar in his </w:t>
      </w:r>
      <w:r w:rsidRPr="00A472FC">
        <w:rPr>
          <w:rFonts w:ascii="Times New Roman" w:hAnsi="Times New Roman" w:cs="Times New Roman"/>
          <w:i/>
        </w:rPr>
        <w:t xml:space="preserve">De anima, </w:t>
      </w:r>
      <w:r w:rsidRPr="00A472FC">
        <w:rPr>
          <w:rFonts w:ascii="Times New Roman" w:hAnsi="Times New Roman" w:cs="Times New Roman"/>
        </w:rPr>
        <w:t>which is a notoriously difficult text</w:t>
      </w:r>
      <w:r w:rsidRPr="00A472FC">
        <w:rPr>
          <w:rFonts w:ascii="Times New Roman" w:hAnsi="Times New Roman" w:cs="Times New Roman"/>
          <w:bCs/>
        </w:rPr>
        <w:t xml:space="preserve">, </w:t>
      </w:r>
      <w:r w:rsidRPr="00A472FC">
        <w:rPr>
          <w:rFonts w:ascii="Times New Roman" w:hAnsi="Times New Roman" w:cs="Times New Roman"/>
        </w:rPr>
        <w:t xml:space="preserve">the exact teachings of which have been much debated. For instance, </w:t>
      </w:r>
      <w:r w:rsidRPr="00A472FC">
        <w:rPr>
          <w:rFonts w:ascii="Times New Roman" w:hAnsi="Times New Roman" w:cs="Times New Roman"/>
          <w:bCs/>
          <w:lang w:val="en-US"/>
        </w:rPr>
        <w:t>Aristotle gestures towards the eternality of actions proper to the soul itself, particularly the intellect, the objects of which, namely, ideas, are not corruptible like physical objects.</w:t>
      </w:r>
      <w:r w:rsidRPr="00A472FC">
        <w:rPr>
          <w:rStyle w:val="FootnoteReference"/>
          <w:rFonts w:ascii="Times New Roman" w:hAnsi="Times New Roman" w:cs="Times New Roman"/>
          <w:bCs/>
          <w:lang w:val="en-US"/>
        </w:rPr>
        <w:footnoteReference w:id="372"/>
      </w:r>
      <w:r w:rsidRPr="00A472FC">
        <w:rPr>
          <w:rFonts w:ascii="Times New Roman" w:hAnsi="Times New Roman" w:cs="Times New Roman"/>
          <w:bCs/>
          <w:lang w:val="en-US"/>
        </w:rPr>
        <w:t xml:space="preserve"> </w:t>
      </w:r>
    </w:p>
    <w:p w14:paraId="08C89353" w14:textId="7038D75D" w:rsidR="00C82102" w:rsidRPr="00A472FC" w:rsidRDefault="004C1CD7" w:rsidP="00881604">
      <w:pPr>
        <w:ind w:right="-52" w:firstLine="720"/>
        <w:rPr>
          <w:rFonts w:ascii="Times New Roman" w:hAnsi="Times New Roman" w:cs="Times New Roman"/>
        </w:rPr>
      </w:pPr>
      <w:r w:rsidRPr="00A472FC">
        <w:rPr>
          <w:rFonts w:ascii="Times New Roman" w:hAnsi="Times New Roman" w:cs="Times New Roman"/>
          <w:bCs/>
          <w:lang w:val="en-US"/>
        </w:rPr>
        <w:t>From these remarks, it seems to follow that the intellect itself must be immortal and separate or separable from the body, by contrast to the senses which can only inhere in it.</w:t>
      </w:r>
      <w:r w:rsidRPr="00A472FC">
        <w:rPr>
          <w:rStyle w:val="FootnoteReference"/>
          <w:rFonts w:ascii="Times New Roman" w:hAnsi="Times New Roman" w:cs="Times New Roman"/>
          <w:bCs/>
          <w:lang w:val="en-US"/>
        </w:rPr>
        <w:footnoteReference w:id="373"/>
      </w:r>
      <w:r w:rsidRPr="00A472FC">
        <w:rPr>
          <w:rFonts w:ascii="Times New Roman" w:hAnsi="Times New Roman" w:cs="Times New Roman"/>
        </w:rPr>
        <w:t xml:space="preserve"> These passages are difficult to reconcile with the notion that the soul, as the form of the body, cannot do without the body, which would seem to suggest that the soul dies with the body. I will leave it to scholars of Aristotle to address this tension in the </w:t>
      </w:r>
      <w:proofErr w:type="spellStart"/>
      <w:r w:rsidRPr="00A472FC">
        <w:rPr>
          <w:rFonts w:ascii="Times New Roman" w:hAnsi="Times New Roman" w:cs="Times New Roman"/>
        </w:rPr>
        <w:t>Stagirite’s</w:t>
      </w:r>
      <w:proofErr w:type="spellEnd"/>
      <w:r w:rsidRPr="00A472FC">
        <w:rPr>
          <w:rFonts w:ascii="Times New Roman" w:hAnsi="Times New Roman" w:cs="Times New Roman"/>
        </w:rPr>
        <w:t xml:space="preserve"> thinking. For the present purposes, it suffices to say that early scholastic interpreters of Aristotle had to find a way to affirm the immortality of the soul and at the same time confront the challenge of accounting for its embodiment, which was essential to upholding the Christian doctrine of </w:t>
      </w:r>
      <w:r w:rsidR="00E62A81" w:rsidRPr="00A472FC">
        <w:rPr>
          <w:rFonts w:ascii="Times New Roman" w:hAnsi="Times New Roman" w:cs="Times New Roman"/>
        </w:rPr>
        <w:t xml:space="preserve">the </w:t>
      </w:r>
      <w:proofErr w:type="spellStart"/>
      <w:r w:rsidR="001143ED" w:rsidRPr="00A472FC">
        <w:rPr>
          <w:rFonts w:ascii="Times New Roman" w:hAnsi="Times New Roman" w:cs="Times New Roman"/>
          <w:lang w:val="fr-FR"/>
        </w:rPr>
        <w:t>goodness</w:t>
      </w:r>
      <w:proofErr w:type="spellEnd"/>
      <w:r w:rsidR="001143ED" w:rsidRPr="00A472FC">
        <w:rPr>
          <w:rFonts w:ascii="Times New Roman" w:hAnsi="Times New Roman" w:cs="Times New Roman"/>
          <w:lang w:val="fr-FR"/>
        </w:rPr>
        <w:t xml:space="preserve"> and </w:t>
      </w:r>
      <w:proofErr w:type="spellStart"/>
      <w:r w:rsidR="001143ED" w:rsidRPr="00A472FC">
        <w:rPr>
          <w:rFonts w:ascii="Times New Roman" w:hAnsi="Times New Roman" w:cs="Times New Roman"/>
          <w:lang w:val="fr-FR"/>
        </w:rPr>
        <w:t>indeed</w:t>
      </w:r>
      <w:proofErr w:type="spellEnd"/>
      <w:r w:rsidR="001143ED" w:rsidRPr="00A472FC">
        <w:rPr>
          <w:rFonts w:ascii="Times New Roman" w:hAnsi="Times New Roman" w:cs="Times New Roman"/>
          <w:lang w:val="fr-FR"/>
        </w:rPr>
        <w:t xml:space="preserve"> </w:t>
      </w:r>
      <w:r w:rsidRPr="00A472FC">
        <w:rPr>
          <w:rFonts w:ascii="Times New Roman" w:hAnsi="Times New Roman" w:cs="Times New Roman"/>
        </w:rPr>
        <w:t xml:space="preserve">the resurrection of the body. </w:t>
      </w:r>
    </w:p>
    <w:p w14:paraId="569B7392" w14:textId="199017E2" w:rsidR="004C1CD7" w:rsidRPr="00A472FC" w:rsidRDefault="004C1CD7" w:rsidP="00C82102">
      <w:pPr>
        <w:ind w:right="-52" w:firstLine="720"/>
        <w:rPr>
          <w:rFonts w:ascii="Times New Roman" w:hAnsi="Times New Roman" w:cs="Times New Roman"/>
        </w:rPr>
      </w:pPr>
      <w:r w:rsidRPr="00A472FC">
        <w:rPr>
          <w:rFonts w:ascii="Times New Roman" w:hAnsi="Times New Roman" w:cs="Times New Roman"/>
        </w:rPr>
        <w:t xml:space="preserve">In </w:t>
      </w:r>
      <w:r w:rsidR="008916FC">
        <w:rPr>
          <w:rFonts w:ascii="Times New Roman" w:hAnsi="Times New Roman" w:cs="Times New Roman"/>
        </w:rPr>
        <w:t>t</w:t>
      </w:r>
      <w:r w:rsidRPr="00A472FC">
        <w:rPr>
          <w:rFonts w:ascii="Times New Roman" w:hAnsi="Times New Roman" w:cs="Times New Roman"/>
        </w:rPr>
        <w:t xml:space="preserve">his regard, </w:t>
      </w:r>
      <w:r w:rsidR="00C82102" w:rsidRPr="00A472FC">
        <w:rPr>
          <w:rFonts w:ascii="Times New Roman" w:hAnsi="Times New Roman" w:cs="Times New Roman"/>
        </w:rPr>
        <w:t>scholars</w:t>
      </w:r>
      <w:r w:rsidRPr="00A472FC">
        <w:rPr>
          <w:rFonts w:ascii="Times New Roman" w:hAnsi="Times New Roman" w:cs="Times New Roman"/>
        </w:rPr>
        <w:t xml:space="preserve"> turned initially to Avicenna, who as a religious thinker himself </w:t>
      </w:r>
      <w:r w:rsidR="00FA59CE">
        <w:rPr>
          <w:rFonts w:ascii="Times New Roman" w:hAnsi="Times New Roman" w:cs="Times New Roman"/>
        </w:rPr>
        <w:t xml:space="preserve">also </w:t>
      </w:r>
      <w:r w:rsidRPr="00A472FC">
        <w:rPr>
          <w:rFonts w:ascii="Times New Roman" w:hAnsi="Times New Roman" w:cs="Times New Roman"/>
        </w:rPr>
        <w:t>had to explain the possibility of an afterlife for the soul.</w:t>
      </w:r>
      <w:r w:rsidR="00C82102" w:rsidRPr="00A472FC">
        <w:rPr>
          <w:rFonts w:ascii="Times New Roman" w:hAnsi="Times New Roman" w:cs="Times New Roman"/>
        </w:rPr>
        <w:t xml:space="preserve"> </w:t>
      </w:r>
      <w:r w:rsidRPr="00A472FC">
        <w:rPr>
          <w:rFonts w:ascii="Times New Roman" w:hAnsi="Times New Roman" w:cs="Times New Roman"/>
        </w:rPr>
        <w:t>As noted above, the Persian philosopher’s method in this regard involved introducing a substantial difference between the soul and the body, which resulted in a merely accidental relationship between them. This difference is captured in his own rendering of the soul as the ‘motor’ of what it moves, a nod to Aristotle’s analogy of the sailor and boatman. Here Avicenna observes that whatever moves is distinct from what is moved or in this case enlivened, such that the two are ultimately separate and separable entities. Although both Avicenna and Costa Ben Luca</w:t>
      </w:r>
      <w:r w:rsidRPr="00A472FC">
        <w:rPr>
          <w:rFonts w:ascii="Times New Roman" w:hAnsi="Times New Roman" w:cs="Times New Roman"/>
          <w:lang w:val="en-US"/>
        </w:rPr>
        <w:t xml:space="preserve"> did their best to </w:t>
      </w:r>
      <w:r w:rsidRPr="00A472FC">
        <w:rPr>
          <w:rFonts w:ascii="Times New Roman" w:hAnsi="Times New Roman" w:cs="Times New Roman"/>
          <w:bCs/>
          <w:lang w:val="en-US"/>
        </w:rPr>
        <w:t xml:space="preserve">describe the soul as a special kind of form that also happens to be a perfection, the </w:t>
      </w:r>
      <w:r w:rsidR="003A7986" w:rsidRPr="00A472FC">
        <w:rPr>
          <w:rFonts w:ascii="Times New Roman" w:hAnsi="Times New Roman" w:cs="Times New Roman"/>
          <w:bCs/>
          <w:lang w:val="en-US"/>
        </w:rPr>
        <w:t xml:space="preserve">apparent </w:t>
      </w:r>
      <w:r w:rsidRPr="00A472FC">
        <w:rPr>
          <w:rFonts w:ascii="Times New Roman" w:hAnsi="Times New Roman" w:cs="Times New Roman"/>
          <w:bCs/>
          <w:lang w:val="en-US"/>
        </w:rPr>
        <w:t xml:space="preserve">incompatibility between the notions of the soul </w:t>
      </w:r>
      <w:r w:rsidRPr="00A472FC">
        <w:rPr>
          <w:rFonts w:ascii="Times New Roman" w:hAnsi="Times New Roman" w:cs="Times New Roman"/>
        </w:rPr>
        <w:t>as ‘form’ and ‘perfection’ was not lost on early scholastic thinkers</w:t>
      </w:r>
      <w:r w:rsidRPr="00A472FC">
        <w:rPr>
          <w:rFonts w:ascii="Times New Roman" w:hAnsi="Times New Roman" w:cs="Times New Roman"/>
          <w:bCs/>
          <w:lang w:val="en-US"/>
        </w:rPr>
        <w:t>.</w:t>
      </w:r>
      <w:r w:rsidRPr="00A472FC">
        <w:rPr>
          <w:rStyle w:val="FootnoteReference"/>
          <w:rFonts w:ascii="Times New Roman" w:hAnsi="Times New Roman" w:cs="Times New Roman"/>
          <w:bCs/>
          <w:lang w:val="en-US"/>
        </w:rPr>
        <w:footnoteReference w:id="374"/>
      </w:r>
      <w:r w:rsidRPr="00A472FC">
        <w:rPr>
          <w:rFonts w:ascii="Times New Roman" w:hAnsi="Times New Roman" w:cs="Times New Roman"/>
        </w:rPr>
        <w:t xml:space="preserve"> For example, it was clearly detected by John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In discussing the definitions of the soul,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quotes his own version of the </w:t>
      </w:r>
      <w:proofErr w:type="spellStart"/>
      <w:r w:rsidRPr="00A472FC">
        <w:rPr>
          <w:rFonts w:ascii="Times New Roman" w:hAnsi="Times New Roman" w:cs="Times New Roman"/>
        </w:rPr>
        <w:t>Arabo-Latin</w:t>
      </w:r>
      <w:proofErr w:type="spellEnd"/>
      <w:r w:rsidRPr="00A472FC">
        <w:rPr>
          <w:rFonts w:ascii="Times New Roman" w:hAnsi="Times New Roman" w:cs="Times New Roman"/>
        </w:rPr>
        <w:t xml:space="preserve"> translation </w:t>
      </w:r>
      <w:r w:rsidR="000C544E">
        <w:rPr>
          <w:rFonts w:ascii="Times New Roman" w:hAnsi="Times New Roman" w:cs="Times New Roman"/>
        </w:rPr>
        <w:t xml:space="preserve">of </w:t>
      </w:r>
      <w:r w:rsidRPr="00A472FC">
        <w:rPr>
          <w:rFonts w:ascii="Times New Roman" w:hAnsi="Times New Roman" w:cs="Times New Roman"/>
        </w:rPr>
        <w:t>Aristotle’s definition as follows: ‘the soul is the perfection of an organic body, which possesses the potentiality for life</w:t>
      </w:r>
      <w:r w:rsidRPr="00A472FC">
        <w:rPr>
          <w:rFonts w:ascii="Times New Roman" w:hAnsi="Times New Roman" w:cs="Times New Roman"/>
          <w:iCs/>
        </w:rPr>
        <w:t>.’</w:t>
      </w:r>
      <w:r w:rsidRPr="00A472FC">
        <w:rPr>
          <w:rStyle w:val="FootnoteReference"/>
          <w:rFonts w:ascii="Times New Roman" w:hAnsi="Times New Roman" w:cs="Times New Roman"/>
          <w:iCs/>
        </w:rPr>
        <w:footnoteReference w:id="375"/>
      </w:r>
      <w:r w:rsidRPr="00A472FC">
        <w:rPr>
          <w:rFonts w:ascii="Times New Roman" w:hAnsi="Times New Roman" w:cs="Times New Roman"/>
          <w:iCs/>
        </w:rPr>
        <w:t xml:space="preserve"> This version was repeated not only by </w:t>
      </w:r>
      <w:proofErr w:type="spellStart"/>
      <w:r w:rsidRPr="00A472FC">
        <w:rPr>
          <w:rFonts w:ascii="Times New Roman" w:hAnsi="Times New Roman" w:cs="Times New Roman"/>
          <w:iCs/>
        </w:rPr>
        <w:t>Neckam</w:t>
      </w:r>
      <w:proofErr w:type="spellEnd"/>
      <w:r w:rsidRPr="00A472FC">
        <w:rPr>
          <w:rFonts w:ascii="Times New Roman" w:hAnsi="Times New Roman" w:cs="Times New Roman"/>
          <w:iCs/>
        </w:rPr>
        <w:t xml:space="preserve"> but also </w:t>
      </w:r>
      <w:r w:rsidRPr="00A472FC">
        <w:rPr>
          <w:rFonts w:ascii="Times New Roman" w:hAnsi="Times New Roman" w:cs="Times New Roman"/>
          <w:lang w:val="en-US"/>
        </w:rPr>
        <w:t>by Roland of Cremona and William of Auvergne.</w:t>
      </w:r>
      <w:r w:rsidRPr="00A472FC">
        <w:rPr>
          <w:rStyle w:val="FootnoteReference"/>
          <w:rFonts w:ascii="Times New Roman" w:hAnsi="Times New Roman" w:cs="Times New Roman"/>
          <w:lang w:val="en-US"/>
        </w:rPr>
        <w:footnoteReference w:id="376"/>
      </w:r>
    </w:p>
    <w:p w14:paraId="24AD8B52" w14:textId="77777777" w:rsidR="004C1CD7" w:rsidRPr="00A472FC" w:rsidRDefault="004C1CD7" w:rsidP="00881604">
      <w:pPr>
        <w:ind w:right="-52" w:firstLine="720"/>
        <w:rPr>
          <w:rFonts w:ascii="Times New Roman" w:hAnsi="Times New Roman" w:cs="Times New Roman"/>
          <w:iCs/>
        </w:rPr>
      </w:pPr>
      <w:r w:rsidRPr="00A472FC">
        <w:rPr>
          <w:rFonts w:ascii="Times New Roman" w:hAnsi="Times New Roman" w:cs="Times New Roman"/>
          <w:iCs/>
        </w:rPr>
        <w:lastRenderedPageBreak/>
        <w:t xml:space="preserve">Although he follows Avicenna in describing the soul as the perfection of the body, </w:t>
      </w:r>
      <w:proofErr w:type="spellStart"/>
      <w:r w:rsidRPr="00A472FC">
        <w:rPr>
          <w:rFonts w:ascii="Times New Roman" w:hAnsi="Times New Roman" w:cs="Times New Roman"/>
          <w:iCs/>
        </w:rPr>
        <w:t>Blund</w:t>
      </w:r>
      <w:proofErr w:type="spellEnd"/>
      <w:r w:rsidRPr="00A472FC">
        <w:rPr>
          <w:rFonts w:ascii="Times New Roman" w:hAnsi="Times New Roman" w:cs="Times New Roman"/>
          <w:iCs/>
        </w:rPr>
        <w:t xml:space="preserve"> acknowledges that the soul could also be called a form, because form is what gives matter its existence. The problem with doing that, of course, is that ‘no form is a thing existing in itself separate from a substance.’</w:t>
      </w:r>
      <w:r w:rsidRPr="00A472FC">
        <w:rPr>
          <w:rStyle w:val="FootnoteReference"/>
          <w:rFonts w:ascii="Times New Roman" w:hAnsi="Times New Roman" w:cs="Times New Roman"/>
          <w:iCs/>
        </w:rPr>
        <w:footnoteReference w:id="377"/>
      </w:r>
      <w:r w:rsidRPr="00A472FC">
        <w:rPr>
          <w:rFonts w:ascii="Times New Roman" w:hAnsi="Times New Roman" w:cs="Times New Roman"/>
          <w:iCs/>
        </w:rPr>
        <w:t xml:space="preserve"> If the soul were the form of the body, it would die with the body, which is not the case because the soul is immortal and separable from the body. Ultimately, therefore, </w:t>
      </w:r>
      <w:proofErr w:type="spellStart"/>
      <w:r w:rsidRPr="00A472FC">
        <w:rPr>
          <w:rFonts w:ascii="Times New Roman" w:hAnsi="Times New Roman" w:cs="Times New Roman"/>
          <w:iCs/>
        </w:rPr>
        <w:t>Blund</w:t>
      </w:r>
      <w:proofErr w:type="spellEnd"/>
      <w:r w:rsidRPr="00A472FC">
        <w:rPr>
          <w:rFonts w:ascii="Times New Roman" w:hAnsi="Times New Roman" w:cs="Times New Roman"/>
          <w:iCs/>
        </w:rPr>
        <w:t xml:space="preserve"> seems to reject the idea that the soul is the form of the body and reiterates Avicenna’s position that, as a ‘perfection’, the soul is accidentally related to the body while it lives, but remains a separate substance in its own right.</w:t>
      </w:r>
      <w:r w:rsidRPr="00A472FC">
        <w:rPr>
          <w:rStyle w:val="FootnoteReference"/>
          <w:rFonts w:ascii="Times New Roman" w:hAnsi="Times New Roman" w:cs="Times New Roman"/>
          <w:iCs/>
        </w:rPr>
        <w:footnoteReference w:id="378"/>
      </w:r>
      <w:r w:rsidRPr="00A472FC">
        <w:rPr>
          <w:rFonts w:ascii="Times New Roman" w:hAnsi="Times New Roman" w:cs="Times New Roman"/>
          <w:iCs/>
        </w:rPr>
        <w:t xml:space="preserve"> Most likely, </w:t>
      </w:r>
      <w:proofErr w:type="spellStart"/>
      <w:r w:rsidRPr="00A472FC">
        <w:rPr>
          <w:rFonts w:ascii="Times New Roman" w:hAnsi="Times New Roman" w:cs="Times New Roman"/>
          <w:iCs/>
        </w:rPr>
        <w:t>Blund’s</w:t>
      </w:r>
      <w:proofErr w:type="spellEnd"/>
      <w:r w:rsidRPr="00A472FC">
        <w:rPr>
          <w:rFonts w:ascii="Times New Roman" w:hAnsi="Times New Roman" w:cs="Times New Roman"/>
          <w:iCs/>
        </w:rPr>
        <w:t xml:space="preserve"> position influenced his older colleague Alexander </w:t>
      </w:r>
      <w:proofErr w:type="spellStart"/>
      <w:r w:rsidRPr="00A472FC">
        <w:rPr>
          <w:rFonts w:ascii="Times New Roman" w:hAnsi="Times New Roman" w:cs="Times New Roman"/>
          <w:iCs/>
        </w:rPr>
        <w:t>Neckam</w:t>
      </w:r>
      <w:proofErr w:type="spellEnd"/>
      <w:r w:rsidRPr="00A472FC">
        <w:rPr>
          <w:rFonts w:ascii="Times New Roman" w:hAnsi="Times New Roman" w:cs="Times New Roman"/>
          <w:iCs/>
        </w:rPr>
        <w:t xml:space="preserve">, who rejects Aristotle’s definition of the soul on the ground that the soul </w:t>
      </w:r>
      <w:r w:rsidRPr="00A472FC">
        <w:rPr>
          <w:rFonts w:ascii="Times New Roman" w:hAnsi="Times New Roman" w:cs="Times New Roman"/>
          <w:lang w:val="en-US"/>
        </w:rPr>
        <w:t>is a separate substance, and cannot as such also be a form which can only exist in matter.</w:t>
      </w:r>
    </w:p>
    <w:p w14:paraId="30C6961E" w14:textId="22FDA077"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lang w:val="en-US"/>
        </w:rPr>
        <w:t xml:space="preserve">Besides </w:t>
      </w:r>
      <w:proofErr w:type="spellStart"/>
      <w:r w:rsidRPr="00A472FC">
        <w:rPr>
          <w:rFonts w:ascii="Times New Roman" w:hAnsi="Times New Roman" w:cs="Times New Roman"/>
          <w:lang w:val="en-US"/>
        </w:rPr>
        <w:t>Blund</w:t>
      </w:r>
      <w:proofErr w:type="spellEnd"/>
      <w:r w:rsidRPr="00A472FC">
        <w:rPr>
          <w:rFonts w:ascii="Times New Roman" w:hAnsi="Times New Roman" w:cs="Times New Roman"/>
          <w:lang w:val="en-US"/>
        </w:rPr>
        <w:t>, however, there were others, particularly in the theological tradition, who were not convinced of the mutual exclusivity of the terms</w:t>
      </w:r>
      <w:r w:rsidR="00251D33" w:rsidRPr="00A472FC">
        <w:rPr>
          <w:rFonts w:ascii="Times New Roman" w:hAnsi="Times New Roman" w:cs="Times New Roman"/>
          <w:lang w:val="en-US"/>
        </w:rPr>
        <w:t>,</w:t>
      </w:r>
      <w:r w:rsidRPr="00A472FC">
        <w:rPr>
          <w:rFonts w:ascii="Times New Roman" w:hAnsi="Times New Roman" w:cs="Times New Roman"/>
          <w:lang w:val="en-US"/>
        </w:rPr>
        <w:t xml:space="preserve"> ‘form’ and ‘perfection’. For instance, Philip the Chancellor was one of a number of scholars in this period who simultaneously affirmed that the soul is both the form and perfection of the body—where Hugh and Roland spoke of it virtually exclusively as a ‘perfection’</w:t>
      </w:r>
      <w:r w:rsidR="008D71DD"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379"/>
      </w:r>
      <w:r w:rsidRPr="00A472FC">
        <w:rPr>
          <w:rFonts w:ascii="Times New Roman" w:hAnsi="Times New Roman" w:cs="Times New Roman"/>
          <w:lang w:val="en-US"/>
        </w:rPr>
        <w:t xml:space="preserve"> To his credit, Philip recognized that there might be a contradiction in the juxtaposition of these two terms, insofar as a form can only exist in matter, </w:t>
      </w:r>
      <w:r w:rsidR="005F53E1" w:rsidRPr="00A472FC">
        <w:rPr>
          <w:rFonts w:ascii="Times New Roman" w:hAnsi="Times New Roman" w:cs="Times New Roman"/>
          <w:lang w:val="en-US"/>
        </w:rPr>
        <w:t>while</w:t>
      </w:r>
      <w:r w:rsidRPr="00A472FC">
        <w:rPr>
          <w:rFonts w:ascii="Times New Roman" w:hAnsi="Times New Roman" w:cs="Times New Roman"/>
          <w:lang w:val="en-US"/>
        </w:rPr>
        <w:t xml:space="preserve"> the soul </w:t>
      </w:r>
      <w:r w:rsidRPr="00A472FC">
        <w:rPr>
          <w:rFonts w:ascii="Times New Roman" w:hAnsi="Times New Roman" w:cs="Times New Roman"/>
          <w:i/>
          <w:lang w:val="en-US"/>
        </w:rPr>
        <w:t>qua</w:t>
      </w:r>
      <w:r w:rsidRPr="00A472FC">
        <w:rPr>
          <w:rFonts w:ascii="Times New Roman" w:hAnsi="Times New Roman" w:cs="Times New Roman"/>
          <w:lang w:val="en-US"/>
        </w:rPr>
        <w:t xml:space="preserve"> perfection is ultimately a substance separable from matter.</w:t>
      </w:r>
      <w:r w:rsidRPr="00A472FC">
        <w:rPr>
          <w:rStyle w:val="FootnoteReference"/>
          <w:rFonts w:ascii="Times New Roman" w:hAnsi="Times New Roman" w:cs="Times New Roman"/>
          <w:lang w:val="en-US"/>
        </w:rPr>
        <w:footnoteReference w:id="380"/>
      </w:r>
      <w:r w:rsidRPr="00A472FC">
        <w:rPr>
          <w:rFonts w:ascii="Times New Roman" w:hAnsi="Times New Roman" w:cs="Times New Roman"/>
          <w:lang w:val="en-US"/>
        </w:rPr>
        <w:t xml:space="preserve"> Thus, he only went so far as to suggest that the soul can be considered to be ‘like’ a form in an analogous sense, rather than in the strict sense of the term.</w:t>
      </w:r>
      <w:r w:rsidRPr="00A472FC">
        <w:rPr>
          <w:rStyle w:val="FootnoteReference"/>
          <w:rFonts w:ascii="Times New Roman" w:hAnsi="Times New Roman" w:cs="Times New Roman"/>
          <w:lang w:val="en-US"/>
        </w:rPr>
        <w:footnoteReference w:id="381"/>
      </w:r>
      <w:r w:rsidRPr="00A472FC">
        <w:rPr>
          <w:rFonts w:ascii="Times New Roman" w:hAnsi="Times New Roman" w:cs="Times New Roman"/>
          <w:lang w:val="en-US"/>
        </w:rPr>
        <w:t xml:space="preserve"> His way of elucidating this sense involved arguing that the soul </w:t>
      </w:r>
      <w:r w:rsidRPr="00A472FC">
        <w:rPr>
          <w:rFonts w:ascii="Times New Roman" w:hAnsi="Times New Roman" w:cs="Times New Roman"/>
          <w:i/>
          <w:lang w:val="en-US"/>
        </w:rPr>
        <w:t xml:space="preserve">qua </w:t>
      </w:r>
      <w:r w:rsidRPr="00A472FC">
        <w:rPr>
          <w:rFonts w:ascii="Times New Roman" w:hAnsi="Times New Roman" w:cs="Times New Roman"/>
          <w:lang w:val="en-US"/>
        </w:rPr>
        <w:t>form is not limited to existing in matter like other forms.</w:t>
      </w:r>
      <w:r w:rsidRPr="00A472FC">
        <w:rPr>
          <w:rStyle w:val="FootnoteReference"/>
          <w:rFonts w:ascii="Times New Roman" w:hAnsi="Times New Roman" w:cs="Times New Roman"/>
          <w:lang w:val="en-US"/>
        </w:rPr>
        <w:footnoteReference w:id="382"/>
      </w:r>
      <w:r w:rsidRPr="00A472FC">
        <w:rPr>
          <w:rFonts w:ascii="Times New Roman" w:hAnsi="Times New Roman" w:cs="Times New Roman"/>
          <w:lang w:val="en-US"/>
        </w:rPr>
        <w:t xml:space="preserve"> In other words, he reinterpreted the term ‘form’ along the lines of what Avicenna meant by a ‘perfection’. </w:t>
      </w:r>
    </w:p>
    <w:p w14:paraId="4D79C1C2" w14:textId="7BE6260C"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lang w:val="en-US"/>
        </w:rPr>
        <w:t xml:space="preserve">On this score, Philip argued that the soul </w:t>
      </w:r>
      <w:r w:rsidRPr="00A472FC">
        <w:rPr>
          <w:rFonts w:ascii="Times New Roman" w:hAnsi="Times New Roman" w:cs="Times New Roman"/>
          <w:i/>
          <w:lang w:val="en-US"/>
        </w:rPr>
        <w:t>qua</w:t>
      </w:r>
      <w:r w:rsidRPr="00A472FC">
        <w:rPr>
          <w:rFonts w:ascii="Times New Roman" w:hAnsi="Times New Roman" w:cs="Times New Roman"/>
          <w:lang w:val="en-US"/>
        </w:rPr>
        <w:t xml:space="preserve"> form exists in matter so long as it is united to the body, but this ceases to be the case when it is separated from the body.</w:t>
      </w:r>
      <w:r w:rsidR="007535EA" w:rsidRPr="00A472FC">
        <w:rPr>
          <w:rStyle w:val="FootnoteReference"/>
          <w:rFonts w:ascii="Times New Roman" w:hAnsi="Times New Roman" w:cs="Times New Roman"/>
          <w:lang w:val="en-US"/>
        </w:rPr>
        <w:footnoteReference w:id="383"/>
      </w:r>
      <w:r w:rsidR="007535EA" w:rsidRPr="00A472FC">
        <w:rPr>
          <w:rFonts w:ascii="Times New Roman" w:hAnsi="Times New Roman" w:cs="Times New Roman"/>
          <w:lang w:val="en-US"/>
        </w:rPr>
        <w:t xml:space="preserve"> </w:t>
      </w:r>
      <w:r w:rsidRPr="00A472FC">
        <w:rPr>
          <w:rFonts w:ascii="Times New Roman" w:hAnsi="Times New Roman" w:cs="Times New Roman"/>
          <w:lang w:val="en-US"/>
        </w:rPr>
        <w:t xml:space="preserve">The separation of the soul from the body is possible because the soul is not united to the body </w:t>
      </w:r>
      <w:r w:rsidRPr="00A472FC">
        <w:rPr>
          <w:rFonts w:ascii="Times New Roman" w:hAnsi="Times New Roman" w:cs="Times New Roman"/>
          <w:i/>
          <w:lang w:val="en-US"/>
        </w:rPr>
        <w:t>per se</w:t>
      </w:r>
      <w:r w:rsidRPr="00A472FC">
        <w:rPr>
          <w:rFonts w:ascii="Times New Roman" w:hAnsi="Times New Roman" w:cs="Times New Roman"/>
          <w:lang w:val="en-US"/>
        </w:rPr>
        <w:t xml:space="preserve"> but as an accident.</w:t>
      </w:r>
      <w:r w:rsidRPr="00A472FC">
        <w:rPr>
          <w:rStyle w:val="FootnoteReference"/>
          <w:rFonts w:ascii="Times New Roman" w:hAnsi="Times New Roman" w:cs="Times New Roman"/>
          <w:color w:val="000000"/>
          <w:lang w:val="en-US"/>
        </w:rPr>
        <w:footnoteReference w:id="384"/>
      </w:r>
      <w:r w:rsidRPr="00A472FC">
        <w:rPr>
          <w:rFonts w:ascii="Times New Roman" w:hAnsi="Times New Roman" w:cs="Times New Roman"/>
          <w:color w:val="000000"/>
          <w:lang w:val="en-US"/>
        </w:rPr>
        <w:t xml:space="preserve"> </w:t>
      </w:r>
      <w:r w:rsidRPr="00A472FC">
        <w:rPr>
          <w:rFonts w:ascii="Times New Roman" w:hAnsi="Times New Roman" w:cs="Times New Roman"/>
          <w:lang w:val="en-US"/>
        </w:rPr>
        <w:t xml:space="preserve">This is one reason why we will see that Philip believes the soul must be united to the body through a medium, namely, because it is separate from the body in its own right and does not depend upon the body for its existence. As we will discover, the </w:t>
      </w:r>
      <w:r w:rsidRPr="00A472FC">
        <w:rPr>
          <w:rFonts w:ascii="Times New Roman" w:hAnsi="Times New Roman" w:cs="Times New Roman"/>
          <w:color w:val="000000"/>
          <w:lang w:val="en-US"/>
        </w:rPr>
        <w:t xml:space="preserve">media Philip has in mind consist in the vegetative and sensitive powers, which represent the remote and proximate loci of the soul’s relation to the body, respectively. </w:t>
      </w:r>
      <w:r w:rsidRPr="00A472FC">
        <w:rPr>
          <w:rFonts w:ascii="Times New Roman" w:hAnsi="Times New Roman" w:cs="Times New Roman"/>
          <w:lang w:val="en-US"/>
        </w:rPr>
        <w:t xml:space="preserve">This doctrine of media was subsequently adopted by thinkers like Hugh of St Cher, even though he affirmed that the soul is substantially united to the body. This is not surprising, given that sixty percent of Hugh’s </w:t>
      </w:r>
      <w:r w:rsidRPr="00A472FC">
        <w:rPr>
          <w:rFonts w:ascii="Times New Roman" w:hAnsi="Times New Roman" w:cs="Times New Roman"/>
          <w:i/>
          <w:lang w:val="en-US"/>
        </w:rPr>
        <w:t xml:space="preserve">De anima </w:t>
      </w:r>
      <w:r w:rsidRPr="00A472FC">
        <w:rPr>
          <w:rFonts w:ascii="Times New Roman" w:hAnsi="Times New Roman" w:cs="Times New Roman"/>
          <w:lang w:val="en-US"/>
        </w:rPr>
        <w:t>is based on quotations from Philip.</w:t>
      </w:r>
      <w:r w:rsidRPr="00A472FC">
        <w:rPr>
          <w:rStyle w:val="FootnoteReference"/>
          <w:rFonts w:ascii="Times New Roman" w:hAnsi="Times New Roman" w:cs="Times New Roman"/>
          <w:lang w:val="en-US"/>
        </w:rPr>
        <w:footnoteReference w:id="385"/>
      </w:r>
      <w:r w:rsidRPr="00A472FC">
        <w:rPr>
          <w:rFonts w:ascii="Times New Roman" w:hAnsi="Times New Roman" w:cs="Times New Roman"/>
          <w:lang w:val="en-US"/>
        </w:rPr>
        <w:t xml:space="preserve"> In this regard, H</w:t>
      </w:r>
      <w:r w:rsidR="008D71DD" w:rsidRPr="00A472FC">
        <w:rPr>
          <w:rFonts w:ascii="Times New Roman" w:hAnsi="Times New Roman" w:cs="Times New Roman"/>
          <w:lang w:val="en-US"/>
        </w:rPr>
        <w:t>u</w:t>
      </w:r>
      <w:r w:rsidRPr="00A472FC">
        <w:rPr>
          <w:rFonts w:ascii="Times New Roman" w:hAnsi="Times New Roman" w:cs="Times New Roman"/>
          <w:lang w:val="en-US"/>
        </w:rPr>
        <w:t xml:space="preserve">gh followed a common </w:t>
      </w:r>
      <w:r w:rsidRPr="00A472FC">
        <w:rPr>
          <w:rFonts w:ascii="Times New Roman" w:hAnsi="Times New Roman" w:cs="Times New Roman"/>
          <w:lang w:val="en-US"/>
        </w:rPr>
        <w:lastRenderedPageBreak/>
        <w:t>practice at this time for scholars to reproduce large block quotes from the works of their colleagues, only to argue for a different or even a similar conclusion.</w:t>
      </w:r>
      <w:r w:rsidRPr="00A472FC">
        <w:rPr>
          <w:rStyle w:val="FootnoteReference"/>
          <w:rFonts w:ascii="Times New Roman" w:hAnsi="Times New Roman" w:cs="Times New Roman"/>
          <w:lang w:val="en-US"/>
        </w:rPr>
        <w:footnoteReference w:id="386"/>
      </w:r>
    </w:p>
    <w:p w14:paraId="530B068B" w14:textId="342A878E" w:rsidR="004C1CD7" w:rsidRPr="00A472FC" w:rsidRDefault="004C1CD7" w:rsidP="008816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color w:val="000000"/>
          <w:lang w:val="en-US"/>
        </w:rPr>
        <w:t>Following likewise in the footsteps of Philip, John of La Rochelle uses the terms ‘form’ and ‘perfection’ interchangeably to describe the relationship between the soul and the body</w:t>
      </w:r>
      <w:r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387"/>
      </w:r>
      <w:r w:rsidRPr="00A472FC">
        <w:rPr>
          <w:rFonts w:ascii="Times New Roman" w:hAnsi="Times New Roman" w:cs="Times New Roman"/>
          <w:lang w:val="en-US"/>
        </w:rPr>
        <w:t xml:space="preserve"> For instance, he freely conflates the terms when he affirms that ‘the soul is united to the body as its form and perfection.’</w:t>
      </w:r>
      <w:r w:rsidRPr="00A472FC">
        <w:rPr>
          <w:rStyle w:val="FootnoteReference"/>
          <w:rFonts w:ascii="Times New Roman" w:hAnsi="Times New Roman" w:cs="Times New Roman"/>
          <w:lang w:val="en-US"/>
        </w:rPr>
        <w:footnoteReference w:id="388"/>
      </w:r>
      <w:r w:rsidRPr="00A472FC">
        <w:rPr>
          <w:rFonts w:ascii="Times New Roman" w:hAnsi="Times New Roman" w:cs="Times New Roman"/>
          <w:lang w:val="en-US"/>
        </w:rPr>
        <w:t xml:space="preserve"> In another passage, he says that the soul ‘is united [to the body] as form </w:t>
      </w:r>
      <w:r w:rsidR="004C0674" w:rsidRPr="00A472FC">
        <w:rPr>
          <w:rFonts w:ascii="Times New Roman" w:hAnsi="Times New Roman" w:cs="Times New Roman"/>
          <w:lang w:val="en-US"/>
        </w:rPr>
        <w:t xml:space="preserve">to its matter </w:t>
      </w:r>
      <w:r w:rsidRPr="00A472FC">
        <w:rPr>
          <w:rFonts w:ascii="Times New Roman" w:hAnsi="Times New Roman" w:cs="Times New Roman"/>
          <w:lang w:val="en-US"/>
        </w:rPr>
        <w:t>or as a perfection to a perfectible.’</w:t>
      </w:r>
      <w:r w:rsidRPr="00A472FC">
        <w:rPr>
          <w:rStyle w:val="FootnoteReference"/>
          <w:rFonts w:ascii="Times New Roman" w:hAnsi="Times New Roman" w:cs="Times New Roman"/>
          <w:lang w:val="en-US"/>
        </w:rPr>
        <w:footnoteReference w:id="389"/>
      </w:r>
      <w:r w:rsidRPr="00A472FC">
        <w:rPr>
          <w:rFonts w:ascii="Times New Roman" w:hAnsi="Times New Roman" w:cs="Times New Roman"/>
          <w:lang w:val="en-US"/>
        </w:rPr>
        <w:t xml:space="preserve"> In explicating Aristotle’s definition of the soul, moreover, John states that ‘the soul is the perfection and form and first act of the body.’</w:t>
      </w:r>
      <w:r w:rsidRPr="00A472FC">
        <w:rPr>
          <w:rStyle w:val="FootnoteReference"/>
          <w:rFonts w:ascii="Times New Roman" w:hAnsi="Times New Roman" w:cs="Times New Roman"/>
          <w:lang w:val="en-US"/>
        </w:rPr>
        <w:footnoteReference w:id="390"/>
      </w:r>
      <w:r w:rsidRPr="00A472FC">
        <w:rPr>
          <w:rFonts w:ascii="Times New Roman" w:hAnsi="Times New Roman" w:cs="Times New Roman"/>
          <w:lang w:val="en-US"/>
        </w:rPr>
        <w:t xml:space="preserve"> As he elaborates, the first act of a thing precisely is its perfection. However, there are two different kinds of perfection, which are identified in the Aristotelian tradition and incidentally also in the work of Costa Ben Luca and Avicenna.</w:t>
      </w:r>
      <w:r w:rsidRPr="00A472FC">
        <w:rPr>
          <w:rStyle w:val="FootnoteReference"/>
          <w:rFonts w:ascii="Times New Roman" w:hAnsi="Times New Roman" w:cs="Times New Roman"/>
          <w:lang w:val="en-US"/>
        </w:rPr>
        <w:footnoteReference w:id="391"/>
      </w:r>
      <w:r w:rsidRPr="00A472FC">
        <w:rPr>
          <w:rFonts w:ascii="Times New Roman" w:hAnsi="Times New Roman" w:cs="Times New Roman"/>
          <w:lang w:val="en-US"/>
        </w:rPr>
        <w:t xml:space="preserve"> </w:t>
      </w:r>
    </w:p>
    <w:p w14:paraId="6906DEE1" w14:textId="77777777" w:rsidR="004C1CD7" w:rsidRPr="00A472FC" w:rsidRDefault="004C1CD7" w:rsidP="008816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The first concerns a perfection in habit, as in the case of a child who has achieved the age of reason. The second kind of perfection is perfection in use, which involves the actual employment of the habit of reason which is already possessed. According to John, the first act of the soul in the body is its perfection according to habit. This first act is nothing other than the formation of the body by the soul, as previously noted.</w:t>
      </w:r>
      <w:r w:rsidRPr="00A472FC">
        <w:rPr>
          <w:rStyle w:val="FootnoteReference"/>
          <w:rFonts w:ascii="Times New Roman" w:hAnsi="Times New Roman" w:cs="Times New Roman"/>
          <w:lang w:val="en-US"/>
        </w:rPr>
        <w:footnoteReference w:id="392"/>
      </w:r>
      <w:r w:rsidRPr="00A472FC">
        <w:rPr>
          <w:rFonts w:ascii="Times New Roman" w:hAnsi="Times New Roman" w:cs="Times New Roman"/>
          <w:lang w:val="en-US"/>
        </w:rPr>
        <w:t xml:space="preserve"> As these examples illustrate, there is almost total fluidity in the use of terms that are technically contradictory. </w:t>
      </w:r>
    </w:p>
    <w:p w14:paraId="47A15C84" w14:textId="3E00324C" w:rsidR="004C1CD7" w:rsidRPr="00A472FC" w:rsidRDefault="004D549A"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lang w:val="en-US"/>
        </w:rPr>
        <w:t>For this reason</w:t>
      </w:r>
      <w:r w:rsidR="004C1CD7" w:rsidRPr="00A472FC">
        <w:rPr>
          <w:rFonts w:ascii="Times New Roman" w:hAnsi="Times New Roman" w:cs="Times New Roman"/>
          <w:lang w:val="en-US"/>
        </w:rPr>
        <w:t xml:space="preserve">, </w:t>
      </w:r>
      <w:r w:rsidR="00560486" w:rsidRPr="00A472FC">
        <w:rPr>
          <w:rFonts w:ascii="Times New Roman" w:hAnsi="Times New Roman" w:cs="Times New Roman"/>
          <w:lang w:val="en-US"/>
        </w:rPr>
        <w:t xml:space="preserve">scholars like </w:t>
      </w:r>
      <w:r w:rsidR="009605CF" w:rsidRPr="00A472FC">
        <w:rPr>
          <w:rFonts w:ascii="Times New Roman" w:hAnsi="Times New Roman" w:cs="Times New Roman"/>
          <w:lang w:val="en-US"/>
        </w:rPr>
        <w:t>Bazán</w:t>
      </w:r>
      <w:r w:rsidR="004C1CD7" w:rsidRPr="00A472FC">
        <w:rPr>
          <w:rFonts w:ascii="Times New Roman" w:hAnsi="Times New Roman" w:cs="Times New Roman"/>
          <w:lang w:val="en-US"/>
        </w:rPr>
        <w:t xml:space="preserve"> and Crowley have argued that </w:t>
      </w:r>
      <w:proofErr w:type="spellStart"/>
      <w:r w:rsidR="004C1CD7" w:rsidRPr="00A472FC">
        <w:rPr>
          <w:rFonts w:ascii="Times New Roman" w:hAnsi="Times New Roman" w:cs="Times New Roman"/>
          <w:lang w:val="en-US"/>
        </w:rPr>
        <w:t>pre-Thomist</w:t>
      </w:r>
      <w:proofErr w:type="spellEnd"/>
      <w:r w:rsidR="004C1CD7" w:rsidRPr="00A472FC">
        <w:rPr>
          <w:rFonts w:ascii="Times New Roman" w:hAnsi="Times New Roman" w:cs="Times New Roman"/>
          <w:lang w:val="en-US"/>
        </w:rPr>
        <w:t xml:space="preserve"> scholastics from John </w:t>
      </w:r>
      <w:proofErr w:type="spellStart"/>
      <w:r w:rsidR="004C1CD7" w:rsidRPr="00A472FC">
        <w:rPr>
          <w:rFonts w:ascii="Times New Roman" w:hAnsi="Times New Roman" w:cs="Times New Roman"/>
          <w:lang w:val="en-US"/>
        </w:rPr>
        <w:t>Blund</w:t>
      </w:r>
      <w:proofErr w:type="spellEnd"/>
      <w:r w:rsidR="004C1CD7" w:rsidRPr="00A472FC">
        <w:rPr>
          <w:rFonts w:ascii="Times New Roman" w:hAnsi="Times New Roman" w:cs="Times New Roman"/>
          <w:lang w:val="en-US"/>
        </w:rPr>
        <w:t xml:space="preserve"> to John of La Rochelle were rather confused thinkers who did not clearly perceive ‘</w:t>
      </w:r>
      <w:r w:rsidR="004C1CD7" w:rsidRPr="00A472FC">
        <w:rPr>
          <w:rFonts w:ascii="Times New Roman" w:hAnsi="Times New Roman" w:cs="Times New Roman"/>
        </w:rPr>
        <w:t>the metaphysical problems arising out of this combination’</w:t>
      </w:r>
      <w:r w:rsidR="004C1CD7" w:rsidRPr="00A472FC">
        <w:rPr>
          <w:rStyle w:val="FootnoteReference"/>
          <w:rFonts w:ascii="Times New Roman" w:hAnsi="Times New Roman" w:cs="Times New Roman"/>
          <w:lang w:val="en-US"/>
        </w:rPr>
        <w:footnoteReference w:id="393"/>
      </w:r>
      <w:r w:rsidR="004C1CD7" w:rsidRPr="00A472FC">
        <w:rPr>
          <w:rFonts w:ascii="Times New Roman" w:hAnsi="Times New Roman" w:cs="Times New Roman"/>
        </w:rPr>
        <w:t xml:space="preserve"> of the terms ‘form’ and ‘perfection’. In this period, Crowley writes, ‘we find authors drawing their inspiration from Aristotle and defining the soul as the form of the body while at the same time, the soul is considered as a substance </w:t>
      </w:r>
      <w:proofErr w:type="spellStart"/>
      <w:r w:rsidR="004C1CD7" w:rsidRPr="00A472FC">
        <w:rPr>
          <w:rFonts w:ascii="Times New Roman" w:hAnsi="Times New Roman" w:cs="Times New Roman"/>
          <w:i/>
        </w:rPr>
        <w:t>sui</w:t>
      </w:r>
      <w:proofErr w:type="spellEnd"/>
      <w:r w:rsidR="004C1CD7" w:rsidRPr="00A472FC">
        <w:rPr>
          <w:rFonts w:ascii="Times New Roman" w:hAnsi="Times New Roman" w:cs="Times New Roman"/>
          <w:i/>
        </w:rPr>
        <w:t xml:space="preserve"> juris</w:t>
      </w:r>
      <w:r w:rsidR="004C1CD7" w:rsidRPr="00A472FC">
        <w:rPr>
          <w:rFonts w:ascii="Times New Roman" w:hAnsi="Times New Roman" w:cs="Times New Roman"/>
          <w:iCs/>
        </w:rPr>
        <w:t xml:space="preserve">, </w:t>
      </w:r>
      <w:r w:rsidR="004C1CD7" w:rsidRPr="00A472FC">
        <w:rPr>
          <w:rFonts w:ascii="Times New Roman" w:hAnsi="Times New Roman" w:cs="Times New Roman"/>
        </w:rPr>
        <w:t>and union of soul and body is regarded as a degradation for the soul. The contradiction which to us seems patent, was not perceived.’</w:t>
      </w:r>
      <w:r w:rsidR="004C1CD7" w:rsidRPr="00A472FC">
        <w:rPr>
          <w:rStyle w:val="FootnoteReference"/>
          <w:rFonts w:ascii="Times New Roman" w:hAnsi="Times New Roman" w:cs="Times New Roman"/>
        </w:rPr>
        <w:footnoteReference w:id="394"/>
      </w:r>
    </w:p>
    <w:p w14:paraId="14671AAF" w14:textId="77777777"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rPr>
        <w:t>As we have already seen with Philip the Chancellor, however, and as Dales confirms, most thinkers in this period were aware of the problems with calling the soul a form and found ways around it.</w:t>
      </w:r>
      <w:r w:rsidRPr="00A472FC">
        <w:rPr>
          <w:rStyle w:val="FootnoteReference"/>
          <w:rFonts w:ascii="Times New Roman" w:hAnsi="Times New Roman" w:cs="Times New Roman"/>
        </w:rPr>
        <w:footnoteReference w:id="395"/>
      </w:r>
      <w:r w:rsidRPr="00A472FC">
        <w:rPr>
          <w:rFonts w:ascii="Times New Roman" w:hAnsi="Times New Roman" w:cs="Times New Roman"/>
        </w:rPr>
        <w:t xml:space="preserve"> </w:t>
      </w:r>
      <w:r w:rsidRPr="00A472FC">
        <w:rPr>
          <w:rFonts w:ascii="Times New Roman" w:hAnsi="Times New Roman" w:cs="Times New Roman"/>
          <w:lang w:val="en-US"/>
        </w:rPr>
        <w:t>For his part, John acknowledges that a form strictly speaking cannot be understood except in relation to the matter that it informs.</w:t>
      </w:r>
      <w:r w:rsidRPr="00A472FC">
        <w:rPr>
          <w:rStyle w:val="FootnoteReference"/>
          <w:rFonts w:ascii="Times New Roman" w:hAnsi="Times New Roman" w:cs="Times New Roman"/>
          <w:lang w:val="en-US"/>
        </w:rPr>
        <w:footnoteReference w:id="396"/>
      </w:r>
      <w:r w:rsidRPr="00A472FC">
        <w:rPr>
          <w:rFonts w:ascii="Times New Roman" w:hAnsi="Times New Roman" w:cs="Times New Roman"/>
          <w:lang w:val="en-US"/>
        </w:rPr>
        <w:t xml:space="preserve"> To circumnavigate this issue, he distinguishes between three different kinds of form. The first is totally supported by matter and does not rule or sustain it but is sustained by it. This kind of form is what we find in inanimate bodies, like rocks. The second kind of form depends upon matter and rules it but can only operate through it. </w:t>
      </w:r>
    </w:p>
    <w:p w14:paraId="5277602C" w14:textId="4B0CA5B5"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lang w:val="en-US"/>
        </w:rPr>
        <w:lastRenderedPageBreak/>
        <w:t>This is the case with plants, such as a tree, which cannot function unless in and through its matter, which sustains and conserves the body of the tree. The same holds true for animals, because their sensible operations cannot occur unless in and through the body, and as such, the animal’s essence or form depends on the body.</w:t>
      </w:r>
      <w:r w:rsidRPr="00A472FC">
        <w:rPr>
          <w:rStyle w:val="FootnoteReference"/>
          <w:rFonts w:ascii="Times New Roman" w:hAnsi="Times New Roman" w:cs="Times New Roman"/>
          <w:lang w:val="en-US"/>
        </w:rPr>
        <w:footnoteReference w:id="397"/>
      </w:r>
      <w:r w:rsidRPr="00A472FC">
        <w:rPr>
          <w:rFonts w:ascii="Times New Roman" w:hAnsi="Times New Roman" w:cs="Times New Roman"/>
          <w:lang w:val="en-US"/>
        </w:rPr>
        <w:t xml:space="preserve"> The situation is entirely different for the human soul, however, interpreted as the form of the body. For although the soul rules its matter, which in turn depends upon it, its principal operation is not in matter but in itself, that is, in the work of the rational soul, the proper function of which is to abstract from matter.</w:t>
      </w:r>
    </w:p>
    <w:p w14:paraId="48B16574" w14:textId="77777777"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lang w:val="en-US"/>
        </w:rPr>
        <w:t>Incidentally, this exact argument is presented as another reason why the soul cannot be comprised of matter and form, namely, because its role is to abstract from matter.</w:t>
      </w:r>
      <w:r w:rsidRPr="00A472FC">
        <w:rPr>
          <w:rStyle w:val="FootnoteReference"/>
          <w:rFonts w:ascii="Times New Roman" w:hAnsi="Times New Roman" w:cs="Times New Roman"/>
          <w:lang w:val="en-US"/>
        </w:rPr>
        <w:footnoteReference w:id="398"/>
      </w:r>
      <w:r w:rsidRPr="00A472FC">
        <w:rPr>
          <w:rFonts w:ascii="Times New Roman" w:hAnsi="Times New Roman" w:cs="Times New Roman"/>
          <w:lang w:val="en-US"/>
        </w:rPr>
        <w:t xml:space="preserve"> That operation is undertaken by the intellect and not through any organ of the body. While the body is dependent on the soul, consequently, the rational soul is not dependent on the body as in the case of plants and animals.</w:t>
      </w:r>
      <w:r w:rsidRPr="00A472FC">
        <w:rPr>
          <w:rStyle w:val="FootnoteReference"/>
          <w:rFonts w:ascii="Times New Roman" w:hAnsi="Times New Roman" w:cs="Times New Roman"/>
          <w:lang w:val="en-US"/>
        </w:rPr>
        <w:footnoteReference w:id="399"/>
      </w:r>
      <w:r w:rsidRPr="00A472FC">
        <w:rPr>
          <w:rFonts w:ascii="Times New Roman" w:hAnsi="Times New Roman" w:cs="Times New Roman"/>
          <w:lang w:val="en-US"/>
        </w:rPr>
        <w:t xml:space="preserve"> Rather, the essence of the soul is ultimately separable from the body. On this basis, John concludes that it is perfectly legitimate to affirm that the rational soul is united to the body as a form or perfection to a perfectible, that is, to conflate terms that could be taken to refer to opposites. </w:t>
      </w:r>
    </w:p>
    <w:p w14:paraId="588DFB71" w14:textId="22730247"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lang w:val="en-US"/>
        </w:rPr>
        <w:t>When interpreted as he suggests, consequently, John concludes that the term ‘form’ means the same thing as a ‘perfection,’</w:t>
      </w:r>
      <w:r w:rsidRPr="00A472FC">
        <w:rPr>
          <w:rStyle w:val="FootnoteReference"/>
          <w:rFonts w:ascii="Times New Roman" w:hAnsi="Times New Roman" w:cs="Times New Roman"/>
          <w:lang w:val="en-US"/>
        </w:rPr>
        <w:footnoteReference w:id="400"/>
      </w:r>
      <w:r w:rsidRPr="00A472FC">
        <w:rPr>
          <w:rFonts w:ascii="Times New Roman" w:hAnsi="Times New Roman" w:cs="Times New Roman"/>
          <w:lang w:val="en-US"/>
        </w:rPr>
        <w:t xml:space="preserve"> albeit only in the case of the rational soul. Although he endorses Avicenna’s definition of the soul along these lines, John takes issue with Avicenna’s idea of the soul as a ‘motor’ to a ‘moved’ or a sailor to a boat, an analogy which we have seen that the Summa continues to invoke, although we will discover that it does so in a qualified way. In John’s view, such analogies only establish an accidental relationship between the the soul and the body, which he sees as an essential component thereof.</w:t>
      </w:r>
      <w:r w:rsidRPr="00A472FC">
        <w:rPr>
          <w:rStyle w:val="FootnoteReference"/>
          <w:rFonts w:ascii="Times New Roman" w:hAnsi="Times New Roman" w:cs="Times New Roman"/>
          <w:lang w:val="en-US"/>
        </w:rPr>
        <w:footnoteReference w:id="401"/>
      </w:r>
      <w:r w:rsidRPr="00A472FC">
        <w:rPr>
          <w:rFonts w:ascii="Times New Roman" w:hAnsi="Times New Roman" w:cs="Times New Roman"/>
          <w:lang w:val="en-US"/>
        </w:rPr>
        <w:t xml:space="preserve"> In this regard, he reveals his endorsement of the doctrine of </w:t>
      </w:r>
      <w:proofErr w:type="spellStart"/>
      <w:r w:rsidRPr="00A472FC">
        <w:rPr>
          <w:rFonts w:ascii="Times New Roman" w:hAnsi="Times New Roman" w:cs="Times New Roman"/>
          <w:i/>
          <w:lang w:val="en-US"/>
        </w:rPr>
        <w:t>unibilitas</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substantialis</w:t>
      </w:r>
      <w:proofErr w:type="spellEnd"/>
      <w:r w:rsidRPr="00A472FC">
        <w:rPr>
          <w:rFonts w:ascii="Times New Roman" w:hAnsi="Times New Roman" w:cs="Times New Roman"/>
          <w:lang w:val="en-US"/>
        </w:rPr>
        <w:t xml:space="preserve"> or the idea that in this life, the soul and body are part of one another’s definition. As he states, ‘the soul by nature is </w:t>
      </w:r>
      <w:proofErr w:type="spellStart"/>
      <w:r w:rsidRPr="00A472FC">
        <w:rPr>
          <w:rFonts w:ascii="Times New Roman" w:hAnsi="Times New Roman" w:cs="Times New Roman"/>
          <w:lang w:val="en-US"/>
        </w:rPr>
        <w:t>unitable</w:t>
      </w:r>
      <w:proofErr w:type="spellEnd"/>
      <w:r w:rsidRPr="00A472FC">
        <w:rPr>
          <w:rFonts w:ascii="Times New Roman" w:hAnsi="Times New Roman" w:cs="Times New Roman"/>
          <w:lang w:val="en-US"/>
        </w:rPr>
        <w:t xml:space="preserve"> to the body.’</w:t>
      </w:r>
      <w:r w:rsidRPr="00A472FC">
        <w:rPr>
          <w:rStyle w:val="FootnoteReference"/>
          <w:rFonts w:ascii="Times New Roman" w:hAnsi="Times New Roman" w:cs="Times New Roman"/>
          <w:lang w:val="en-US"/>
        </w:rPr>
        <w:footnoteReference w:id="402"/>
      </w:r>
      <w:r w:rsidRPr="00A472FC">
        <w:rPr>
          <w:rFonts w:ascii="Times New Roman" w:hAnsi="Times New Roman" w:cs="Times New Roman"/>
          <w:lang w:val="en-US"/>
        </w:rPr>
        <w:t xml:space="preserve"> </w:t>
      </w:r>
    </w:p>
    <w:p w14:paraId="59F3F1E5" w14:textId="79B23568"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lang w:val="en-US"/>
        </w:rPr>
        <w:t xml:space="preserve">Following Avicenna, </w:t>
      </w:r>
      <w:r w:rsidR="007535EA" w:rsidRPr="00A472FC">
        <w:rPr>
          <w:rFonts w:ascii="Times New Roman" w:hAnsi="Times New Roman" w:cs="Times New Roman"/>
          <w:lang w:val="en-US"/>
        </w:rPr>
        <w:t>John</w:t>
      </w:r>
      <w:r w:rsidRPr="00A472FC">
        <w:rPr>
          <w:rFonts w:ascii="Times New Roman" w:hAnsi="Times New Roman" w:cs="Times New Roman"/>
          <w:lang w:val="en-US"/>
        </w:rPr>
        <w:t xml:space="preserve"> goes so far as to insist that the rational soul is determined to a specific body and cannot perfect any b</w:t>
      </w:r>
      <w:r w:rsidR="002059DA" w:rsidRPr="00A472FC">
        <w:rPr>
          <w:rFonts w:ascii="Times New Roman" w:hAnsi="Times New Roman" w:cs="Times New Roman"/>
          <w:lang w:val="en-US"/>
        </w:rPr>
        <w:t xml:space="preserve">ody other than </w:t>
      </w:r>
      <w:r w:rsidRPr="00A472FC">
        <w:rPr>
          <w:rFonts w:ascii="Times New Roman" w:hAnsi="Times New Roman" w:cs="Times New Roman"/>
          <w:lang w:val="en-US"/>
        </w:rPr>
        <w:t>the one for which it is designed.</w:t>
      </w:r>
      <w:r w:rsidRPr="00A472FC">
        <w:rPr>
          <w:rStyle w:val="FootnoteReference"/>
          <w:rFonts w:ascii="Times New Roman" w:hAnsi="Times New Roman" w:cs="Times New Roman"/>
          <w:lang w:val="en-US"/>
        </w:rPr>
        <w:footnoteReference w:id="403"/>
      </w:r>
      <w:r w:rsidRPr="00A472FC">
        <w:rPr>
          <w:rFonts w:ascii="Times New Roman" w:hAnsi="Times New Roman" w:cs="Times New Roman"/>
          <w:lang w:val="en-US"/>
        </w:rPr>
        <w:t xml:space="preserve"> In an attempt to offer a revised version of the analogy, John distinguishes between a motor and an artificer who employs an organ versus an instrument. He objects to the notion that the soul could be related to the body in the manner that an artificer performs their work through an instrument, which was the view of William of Auvergne, because an instrument is separate from the being of the artificer. By contrast, an organ is conjoined to its implementor not only in operation but also in essence, as eyes are related to the power of seeing.</w:t>
      </w:r>
      <w:r w:rsidRPr="00A472FC">
        <w:rPr>
          <w:rStyle w:val="FootnoteReference"/>
          <w:rFonts w:ascii="Times New Roman" w:hAnsi="Times New Roman" w:cs="Times New Roman"/>
          <w:lang w:val="en-US"/>
        </w:rPr>
        <w:footnoteReference w:id="404"/>
      </w:r>
      <w:r w:rsidRPr="00A472FC">
        <w:rPr>
          <w:rFonts w:ascii="Times New Roman" w:hAnsi="Times New Roman" w:cs="Times New Roman"/>
          <w:lang w:val="en-US"/>
        </w:rPr>
        <w:t xml:space="preserve"> </w:t>
      </w:r>
    </w:p>
    <w:p w14:paraId="7E93C1D8" w14:textId="75A7A941"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lang w:val="en-US"/>
        </w:rPr>
        <w:t>When interpreted along these lines, John concludes, we can say with Avicenna that the rational soul is united to the body in two ways, namely</w:t>
      </w:r>
      <w:r w:rsidR="003D30D5" w:rsidRPr="00A472FC">
        <w:rPr>
          <w:rFonts w:ascii="Times New Roman" w:hAnsi="Times New Roman" w:cs="Times New Roman"/>
          <w:lang w:val="en-US"/>
        </w:rPr>
        <w:t>,</w:t>
      </w:r>
      <w:r w:rsidRPr="00A472FC">
        <w:rPr>
          <w:rFonts w:ascii="Times New Roman" w:hAnsi="Times New Roman" w:cs="Times New Roman"/>
          <w:lang w:val="en-US"/>
        </w:rPr>
        <w:t xml:space="preserve"> as a form or perfection to a perfectible and as an agent to its organ or a motor to the moved.</w:t>
      </w:r>
      <w:r w:rsidRPr="00A472FC">
        <w:rPr>
          <w:rStyle w:val="FootnoteReference"/>
          <w:rFonts w:ascii="Times New Roman" w:hAnsi="Times New Roman" w:cs="Times New Roman"/>
          <w:lang w:val="en-US"/>
        </w:rPr>
        <w:footnoteReference w:id="405"/>
      </w:r>
      <w:r w:rsidRPr="00A472FC">
        <w:rPr>
          <w:rFonts w:ascii="Times New Roman" w:hAnsi="Times New Roman" w:cs="Times New Roman"/>
          <w:lang w:val="en-US"/>
        </w:rPr>
        <w:t xml:space="preserve"> As he circumnavigated the problem of employing Aristotle’s language of ‘form’ by redefining it in terms of a perfection, so he </w:t>
      </w:r>
      <w:proofErr w:type="spellStart"/>
      <w:r w:rsidRPr="00A472FC">
        <w:rPr>
          <w:rFonts w:ascii="Times New Roman" w:hAnsi="Times New Roman" w:cs="Times New Roman"/>
          <w:lang w:val="en-US"/>
        </w:rPr>
        <w:t>reconstrues</w:t>
      </w:r>
      <w:proofErr w:type="spellEnd"/>
      <w:r w:rsidRPr="00A472FC">
        <w:rPr>
          <w:rFonts w:ascii="Times New Roman" w:hAnsi="Times New Roman" w:cs="Times New Roman"/>
          <w:lang w:val="en-US"/>
        </w:rPr>
        <w:t xml:space="preserve"> Avicenna’s language of motor/moved, which implied an accidental relationship to </w:t>
      </w:r>
      <w:r w:rsidRPr="00A472FC">
        <w:rPr>
          <w:rFonts w:ascii="Times New Roman" w:hAnsi="Times New Roman" w:cs="Times New Roman"/>
          <w:lang w:val="en-US"/>
        </w:rPr>
        <w:lastRenderedPageBreak/>
        <w:t xml:space="preserve">the body, with a view to advocating the opposite position of </w:t>
      </w:r>
      <w:proofErr w:type="spellStart"/>
      <w:r w:rsidRPr="00A472FC">
        <w:rPr>
          <w:rFonts w:ascii="Times New Roman" w:hAnsi="Times New Roman" w:cs="Times New Roman"/>
          <w:i/>
          <w:lang w:val="en-US"/>
        </w:rPr>
        <w:t>unibilitas</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substantialis</w:t>
      </w:r>
      <w:proofErr w:type="spellEnd"/>
      <w:r w:rsidRPr="00A472FC">
        <w:rPr>
          <w:rFonts w:ascii="Times New Roman" w:hAnsi="Times New Roman" w:cs="Times New Roman"/>
          <w:iCs/>
          <w:lang w:val="en-US"/>
        </w:rPr>
        <w:t>,</w:t>
      </w:r>
      <w:r w:rsidRPr="00A472FC">
        <w:rPr>
          <w:rFonts w:ascii="Times New Roman" w:hAnsi="Times New Roman" w:cs="Times New Roman"/>
          <w:i/>
          <w:lang w:val="en-US"/>
        </w:rPr>
        <w:t xml:space="preserve"> </w:t>
      </w:r>
      <w:r w:rsidRPr="00A472FC">
        <w:rPr>
          <w:rFonts w:ascii="Times New Roman" w:hAnsi="Times New Roman" w:cs="Times New Roman"/>
          <w:lang w:val="en-US"/>
        </w:rPr>
        <w:t xml:space="preserve">or the idea that the soul </w:t>
      </w:r>
      <w:r w:rsidR="004E131B" w:rsidRPr="00A472FC">
        <w:rPr>
          <w:rFonts w:ascii="Times New Roman" w:hAnsi="Times New Roman" w:cs="Times New Roman"/>
          <w:lang w:val="en-US"/>
        </w:rPr>
        <w:t>in</w:t>
      </w:r>
      <w:r w:rsidRPr="00A472FC">
        <w:rPr>
          <w:rFonts w:ascii="Times New Roman" w:hAnsi="Times New Roman" w:cs="Times New Roman"/>
          <w:lang w:val="en-US"/>
        </w:rPr>
        <w:t xml:space="preserve"> its essence is related to a body</w:t>
      </w:r>
      <w:r w:rsidR="002809E9" w:rsidRPr="00A472FC">
        <w:rPr>
          <w:rFonts w:ascii="Times New Roman" w:hAnsi="Times New Roman" w:cs="Times New Roman"/>
          <w:lang w:val="en-US"/>
        </w:rPr>
        <w:t xml:space="preserve"> despite their distinction in substance. </w:t>
      </w:r>
    </w:p>
    <w:p w14:paraId="05806BA4" w14:textId="77777777" w:rsidR="004C1CD7" w:rsidRPr="00A472FC" w:rsidRDefault="004C1CD7"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lang w:val="en-US"/>
        </w:rPr>
        <w:t xml:space="preserve">This agenda is advanced further in the </w:t>
      </w:r>
      <w:r w:rsidRPr="00A472FC">
        <w:rPr>
          <w:rFonts w:ascii="Times New Roman" w:hAnsi="Times New Roman" w:cs="Times New Roman"/>
          <w:i/>
          <w:lang w:val="en-US"/>
        </w:rPr>
        <w:t xml:space="preserve">Summa </w:t>
      </w:r>
      <w:proofErr w:type="spellStart"/>
      <w:r w:rsidRPr="00A472FC">
        <w:rPr>
          <w:rFonts w:ascii="Times New Roman" w:hAnsi="Times New Roman" w:cs="Times New Roman"/>
          <w:i/>
          <w:lang w:val="en-US"/>
        </w:rPr>
        <w:t>Halensis</w:t>
      </w:r>
      <w:proofErr w:type="spellEnd"/>
      <w:r w:rsidRPr="00A472FC">
        <w:rPr>
          <w:rFonts w:ascii="Times New Roman" w:hAnsi="Times New Roman" w:cs="Times New Roman"/>
          <w:lang w:val="en-US"/>
        </w:rPr>
        <w:t xml:space="preserve">, which also invokes the </w:t>
      </w:r>
      <w:proofErr w:type="spellStart"/>
      <w:r w:rsidRPr="00A472FC">
        <w:rPr>
          <w:rFonts w:ascii="Times New Roman" w:hAnsi="Times New Roman" w:cs="Times New Roman"/>
          <w:lang w:val="en-US"/>
        </w:rPr>
        <w:t>Arabo-Latin</w:t>
      </w:r>
      <w:proofErr w:type="spellEnd"/>
      <w:r w:rsidRPr="00A472FC">
        <w:rPr>
          <w:rFonts w:ascii="Times New Roman" w:hAnsi="Times New Roman" w:cs="Times New Roman"/>
          <w:lang w:val="en-US"/>
        </w:rPr>
        <w:t xml:space="preserve"> definition </w:t>
      </w:r>
      <w:r w:rsidRPr="00A472FC">
        <w:rPr>
          <w:rFonts w:ascii="Times New Roman" w:hAnsi="Times New Roman" w:cs="Times New Roman"/>
        </w:rPr>
        <w:t>of the soul as the perfection of the body.’</w:t>
      </w:r>
      <w:r w:rsidRPr="00A472FC">
        <w:rPr>
          <w:rStyle w:val="FootnoteReference"/>
          <w:rFonts w:ascii="Times New Roman" w:hAnsi="Times New Roman" w:cs="Times New Roman"/>
        </w:rPr>
        <w:footnoteReference w:id="406"/>
      </w:r>
      <w:r w:rsidRPr="00A472FC">
        <w:rPr>
          <w:rStyle w:val="FootnoteReference"/>
          <w:rFonts w:ascii="Times New Roman" w:hAnsi="Times New Roman" w:cs="Times New Roman"/>
        </w:rPr>
        <w:t xml:space="preserve"> </w:t>
      </w:r>
      <w:r w:rsidRPr="00A472FC">
        <w:rPr>
          <w:rFonts w:ascii="Times New Roman" w:hAnsi="Times New Roman" w:cs="Times New Roman"/>
        </w:rPr>
        <w:t>Like John, however, the Summa has no problem affirming that</w:t>
      </w:r>
      <w:r w:rsidRPr="00A472FC">
        <w:rPr>
          <w:rFonts w:ascii="Times New Roman" w:hAnsi="Times New Roman" w:cs="Times New Roman"/>
          <w:color w:val="020202"/>
          <w:lang w:val="en-US"/>
        </w:rPr>
        <w:t xml:space="preserve"> form is what perfects </w:t>
      </w:r>
      <w:proofErr w:type="spellStart"/>
      <w:r w:rsidRPr="00A472FC">
        <w:rPr>
          <w:rFonts w:ascii="Times New Roman" w:hAnsi="Times New Roman" w:cs="Times New Roman"/>
          <w:i/>
          <w:color w:val="020202"/>
          <w:lang w:val="en-US"/>
        </w:rPr>
        <w:t>esse</w:t>
      </w:r>
      <w:proofErr w:type="spellEnd"/>
      <w:r w:rsidRPr="00A472FC">
        <w:rPr>
          <w:rFonts w:ascii="Times New Roman" w:hAnsi="Times New Roman" w:cs="Times New Roman"/>
          <w:color w:val="020202"/>
          <w:lang w:val="en-US"/>
        </w:rPr>
        <w:t>, serving as the ‘first act’ of the soul in the body</w:t>
      </w:r>
      <w:r w:rsidRPr="00A472FC">
        <w:rPr>
          <w:rFonts w:ascii="Times New Roman" w:hAnsi="Times New Roman" w:cs="Times New Roman"/>
          <w:color w:val="040404"/>
          <w:lang w:val="en-US"/>
        </w:rPr>
        <w:t>.</w:t>
      </w:r>
      <w:r w:rsidRPr="00A472FC">
        <w:rPr>
          <w:rStyle w:val="FootnoteReference"/>
          <w:rFonts w:ascii="Times New Roman" w:hAnsi="Times New Roman" w:cs="Times New Roman"/>
          <w:color w:val="040404"/>
          <w:lang w:val="en-US"/>
        </w:rPr>
        <w:footnoteReference w:id="407"/>
      </w:r>
      <w:r w:rsidRPr="00A472FC">
        <w:rPr>
          <w:rFonts w:ascii="Times New Roman" w:hAnsi="Times New Roman" w:cs="Times New Roman"/>
          <w:color w:val="020202"/>
          <w:lang w:val="en-US"/>
        </w:rPr>
        <w:t xml:space="preserve"> </w:t>
      </w:r>
      <w:r w:rsidRPr="00A472FC">
        <w:rPr>
          <w:rFonts w:ascii="Times New Roman" w:hAnsi="Times New Roman" w:cs="Times New Roman"/>
          <w:lang w:val="en-US"/>
        </w:rPr>
        <w:t>Thus, the Summa insists that ‘form is defined insofar as it perfects being.’</w:t>
      </w:r>
      <w:r w:rsidRPr="00A472FC">
        <w:rPr>
          <w:rStyle w:val="FootnoteReference"/>
          <w:rFonts w:ascii="Times New Roman" w:hAnsi="Times New Roman" w:cs="Times New Roman"/>
          <w:lang w:val="en-US"/>
        </w:rPr>
        <w:footnoteReference w:id="408"/>
      </w:r>
      <w:r w:rsidRPr="00A472FC">
        <w:rPr>
          <w:rFonts w:ascii="Times New Roman" w:hAnsi="Times New Roman" w:cs="Times New Roman"/>
          <w:lang w:val="en-US"/>
        </w:rPr>
        <w:t xml:space="preserve"> </w:t>
      </w:r>
      <w:r w:rsidRPr="00A472FC">
        <w:rPr>
          <w:rFonts w:ascii="Times New Roman" w:hAnsi="Times New Roman" w:cs="Times New Roman"/>
          <w:color w:val="020202"/>
          <w:lang w:val="en-US"/>
        </w:rPr>
        <w:t>In making this case, the Summa states that everything that contains and preserves another must do so through the mode of a form. Now the soul contains and preserves the body, so that when it recedes, the body is destroyed and dissolved. This means that the soul is the perfection of the body.</w:t>
      </w:r>
      <w:r w:rsidRPr="00A472FC">
        <w:rPr>
          <w:rStyle w:val="FootnoteReference"/>
          <w:rFonts w:ascii="Times New Roman" w:hAnsi="Times New Roman" w:cs="Times New Roman"/>
        </w:rPr>
        <w:footnoteReference w:id="409"/>
      </w:r>
      <w:r w:rsidRPr="00A472FC">
        <w:rPr>
          <w:rFonts w:ascii="Times New Roman" w:hAnsi="Times New Roman" w:cs="Times New Roman"/>
          <w:color w:val="020202"/>
          <w:lang w:val="en-US"/>
        </w:rPr>
        <w:t xml:space="preserve"> These two substances are united </w:t>
      </w:r>
      <w:r w:rsidRPr="00A472FC">
        <w:rPr>
          <w:rFonts w:ascii="Times New Roman" w:hAnsi="Times New Roman" w:cs="Times New Roman"/>
        </w:rPr>
        <w:t>as one and constitute one nature.</w:t>
      </w:r>
      <w:r w:rsidRPr="00A472FC">
        <w:rPr>
          <w:rStyle w:val="FootnoteReference"/>
          <w:rFonts w:ascii="Times New Roman" w:hAnsi="Times New Roman" w:cs="Times New Roman"/>
        </w:rPr>
        <w:footnoteReference w:id="410"/>
      </w:r>
      <w:r w:rsidRPr="00A472FC">
        <w:rPr>
          <w:rFonts w:ascii="Times New Roman" w:hAnsi="Times New Roman" w:cs="Times New Roman"/>
        </w:rPr>
        <w:t xml:space="preserve"> </w:t>
      </w:r>
    </w:p>
    <w:p w14:paraId="2AAE22E9" w14:textId="77777777"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According to the Summa, this account is not only consistent with a right understanding of Aristotle, as interpreted through the lens of Avicenna. It is also consistent with the DSEA of Augustine, two quotes from which are lined up right before the quote to Aristotle noted above.</w:t>
      </w:r>
      <w:r w:rsidRPr="00A472FC">
        <w:rPr>
          <w:rStyle w:val="FootnoteReference"/>
          <w:rFonts w:ascii="Times New Roman" w:hAnsi="Times New Roman" w:cs="Times New Roman"/>
        </w:rPr>
        <w:footnoteReference w:id="411"/>
      </w:r>
      <w:r w:rsidRPr="00A472FC">
        <w:rPr>
          <w:rFonts w:ascii="Times New Roman" w:hAnsi="Times New Roman" w:cs="Times New Roman"/>
        </w:rPr>
        <w:t xml:space="preserve"> One of these states the following: ‘now the highest part of the body and the lowest part of the spirit have much in common, which makes it possible for them to be easily joined in a personal union without a confusion of natures. For similar things find joy in similar natures. Thus, the soul which is truly a spirit and the flesh which is truly a body exist and fittingly meet at their extremes.’</w:t>
      </w:r>
      <w:r w:rsidRPr="00A472FC">
        <w:rPr>
          <w:rStyle w:val="FootnoteReference"/>
          <w:rFonts w:ascii="Times New Roman" w:hAnsi="Times New Roman" w:cs="Times New Roman"/>
        </w:rPr>
        <w:footnoteReference w:id="412"/>
      </w:r>
      <w:r w:rsidRPr="00A472FC">
        <w:rPr>
          <w:rFonts w:ascii="Times New Roman" w:hAnsi="Times New Roman" w:cs="Times New Roman"/>
        </w:rPr>
        <w:t xml:space="preserve"> </w:t>
      </w:r>
    </w:p>
    <w:p w14:paraId="757DFE30" w14:textId="70ACC462"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lang w:val="en-US"/>
        </w:rPr>
        <w:t xml:space="preserve">As noted previously, </w:t>
      </w:r>
      <w:r w:rsidR="00A05147" w:rsidRPr="00A472FC">
        <w:rPr>
          <w:rFonts w:ascii="Times New Roman" w:hAnsi="Times New Roman" w:cs="Times New Roman"/>
          <w:lang w:val="en-US"/>
        </w:rPr>
        <w:t>the tendency to confuse</w:t>
      </w:r>
      <w:r w:rsidRPr="00A472FC">
        <w:rPr>
          <w:rFonts w:ascii="Times New Roman" w:hAnsi="Times New Roman" w:cs="Times New Roman"/>
          <w:lang w:val="en-US"/>
        </w:rPr>
        <w:t xml:space="preserve"> Aristotle and Augustine not only with Avicenna but also consequently with each other was endemic and indeed characteristic for </w:t>
      </w:r>
      <w:r w:rsidR="00651239" w:rsidRPr="00A472FC">
        <w:rPr>
          <w:rFonts w:ascii="Times New Roman" w:hAnsi="Times New Roman" w:cs="Times New Roman"/>
          <w:lang w:val="en-US"/>
        </w:rPr>
        <w:t xml:space="preserve">this </w:t>
      </w:r>
      <w:r w:rsidRPr="00A472FC">
        <w:rPr>
          <w:rFonts w:ascii="Times New Roman" w:hAnsi="Times New Roman" w:cs="Times New Roman"/>
          <w:lang w:val="en-US"/>
        </w:rPr>
        <w:t xml:space="preserve">period in which Aristotelian and Platonic traditions were still fundamentally regarded as </w:t>
      </w:r>
      <w:r w:rsidR="00BF07C4" w:rsidRPr="00A472FC">
        <w:rPr>
          <w:rFonts w:ascii="Times New Roman" w:hAnsi="Times New Roman" w:cs="Times New Roman"/>
          <w:lang w:val="en-US"/>
        </w:rPr>
        <w:t>compatible</w:t>
      </w:r>
      <w:r w:rsidRPr="00A472FC">
        <w:rPr>
          <w:rFonts w:ascii="Times New Roman" w:hAnsi="Times New Roman" w:cs="Times New Roman"/>
          <w:lang w:val="en-US"/>
        </w:rPr>
        <w:t xml:space="preserve">, and the distinctive features of Aristotle’s thought were still not fully </w:t>
      </w:r>
      <w:r w:rsidR="003D30D5" w:rsidRPr="00A472FC">
        <w:rPr>
          <w:rFonts w:ascii="Times New Roman" w:hAnsi="Times New Roman" w:cs="Times New Roman"/>
          <w:lang w:val="en-US"/>
        </w:rPr>
        <w:t>delineated</w:t>
      </w:r>
      <w:r w:rsidRPr="00A472FC">
        <w:rPr>
          <w:rFonts w:ascii="Times New Roman" w:hAnsi="Times New Roman" w:cs="Times New Roman"/>
          <w:lang w:val="en-US"/>
        </w:rPr>
        <w:t>. At one point, the Summa</w:t>
      </w:r>
      <w:r w:rsidR="00BF07C4" w:rsidRPr="00A472FC">
        <w:rPr>
          <w:rFonts w:ascii="Times New Roman" w:hAnsi="Times New Roman" w:cs="Times New Roman"/>
          <w:lang w:val="en-US"/>
        </w:rPr>
        <w:t>, like John,</w:t>
      </w:r>
      <w:r w:rsidRPr="00A472FC">
        <w:rPr>
          <w:rFonts w:ascii="Times New Roman" w:hAnsi="Times New Roman" w:cs="Times New Roman"/>
          <w:lang w:val="en-US"/>
        </w:rPr>
        <w:t xml:space="preserve"> acknowledges the possible contradictions in its approach, specifically describing the soul as a form and a substance in its own right.</w:t>
      </w:r>
      <w:r w:rsidRPr="00A472FC">
        <w:rPr>
          <w:rFonts w:ascii="Times New Roman" w:hAnsi="Times New Roman" w:cs="Times New Roman"/>
          <w:color w:val="020202"/>
          <w:lang w:val="en-US"/>
        </w:rPr>
        <w:t xml:space="preserve"> </w:t>
      </w:r>
      <w:r w:rsidRPr="00A472FC">
        <w:rPr>
          <w:rFonts w:ascii="Times New Roman" w:hAnsi="Times New Roman" w:cs="Times New Roman"/>
          <w:lang w:val="en-US"/>
        </w:rPr>
        <w:t>After all, ‘a form [strictly speaking] does not have being beyond matter; but the soul has being beyond the body’</w:t>
      </w:r>
      <w:r w:rsidRPr="00A472FC">
        <w:rPr>
          <w:rStyle w:val="FootnoteReference"/>
          <w:rFonts w:ascii="Times New Roman" w:hAnsi="Times New Roman" w:cs="Times New Roman"/>
          <w:lang w:val="en-US"/>
        </w:rPr>
        <w:footnoteReference w:id="413"/>
      </w:r>
      <w:r w:rsidRPr="00A472FC">
        <w:rPr>
          <w:rFonts w:ascii="Times New Roman" w:hAnsi="Times New Roman" w:cs="Times New Roman"/>
          <w:lang w:val="en-US"/>
        </w:rPr>
        <w:t xml:space="preserve"> and cannot therefore be united to it a form in matter.</w:t>
      </w:r>
      <w:r w:rsidR="00DB0CE8" w:rsidRPr="00A472FC">
        <w:rPr>
          <w:rStyle w:val="FootnoteReference"/>
          <w:rFonts w:ascii="Times New Roman" w:hAnsi="Times New Roman" w:cs="Times New Roman"/>
          <w:lang w:val="en-US"/>
        </w:rPr>
        <w:footnoteReference w:id="414"/>
      </w:r>
      <w:r w:rsidRPr="00A472FC">
        <w:rPr>
          <w:rFonts w:ascii="Times New Roman" w:hAnsi="Times New Roman" w:cs="Times New Roman"/>
          <w:lang w:val="en-US"/>
        </w:rPr>
        <w:t xml:space="preserve"> </w:t>
      </w:r>
    </w:p>
    <w:p w14:paraId="7D8D6474" w14:textId="18133A14"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lang w:val="en-US"/>
        </w:rPr>
        <w:lastRenderedPageBreak/>
        <w:t>Following John, however, the Summa finds a way around the issue which again involves distinguishing between three different ways of understanding form</w:t>
      </w:r>
      <w:r w:rsidR="00405810" w:rsidRPr="00A472FC">
        <w:rPr>
          <w:rFonts w:ascii="Times New Roman" w:hAnsi="Times New Roman" w:cs="Times New Roman"/>
          <w:lang w:val="en-US"/>
        </w:rPr>
        <w:t>s</w:t>
      </w:r>
      <w:r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415"/>
      </w:r>
      <w:r w:rsidRPr="00A472FC">
        <w:rPr>
          <w:rFonts w:ascii="Times New Roman" w:hAnsi="Times New Roman" w:cs="Times New Roman"/>
          <w:lang w:val="en-US"/>
        </w:rPr>
        <w:t xml:space="preserve"> The first kind of form can be found in elements, like fire or gold, where form perfects the whole in every part, and it does so in exactly the same way. For example, every part of a fire is fire.</w:t>
      </w:r>
      <w:r w:rsidRPr="00A472FC">
        <w:rPr>
          <w:rStyle w:val="FootnoteReference"/>
          <w:rFonts w:ascii="Times New Roman" w:hAnsi="Times New Roman" w:cs="Times New Roman"/>
          <w:lang w:val="en-US"/>
        </w:rPr>
        <w:footnoteReference w:id="416"/>
      </w:r>
      <w:r w:rsidRPr="00A472FC">
        <w:rPr>
          <w:rFonts w:ascii="Times New Roman" w:hAnsi="Times New Roman" w:cs="Times New Roman"/>
          <w:lang w:val="en-US"/>
        </w:rPr>
        <w:t xml:space="preserve"> </w:t>
      </w:r>
      <w:r w:rsidR="007B160B" w:rsidRPr="00A472FC">
        <w:rPr>
          <w:rFonts w:ascii="Times New Roman" w:hAnsi="Times New Roman" w:cs="Times New Roman"/>
          <w:lang w:val="en-US"/>
        </w:rPr>
        <w:t>That said, there is</w:t>
      </w:r>
      <w:r w:rsidRPr="00A472FC">
        <w:rPr>
          <w:rFonts w:ascii="Times New Roman" w:hAnsi="Times New Roman" w:cs="Times New Roman"/>
          <w:lang w:val="en-US"/>
        </w:rPr>
        <w:t xml:space="preserve"> ‘more fire’ in a bigger fire and ‘less fire’</w:t>
      </w:r>
      <w:r w:rsidR="0059779A" w:rsidRPr="00A472FC">
        <w:rPr>
          <w:rFonts w:ascii="Times New Roman" w:hAnsi="Times New Roman" w:cs="Times New Roman"/>
          <w:lang w:val="en-US"/>
        </w:rPr>
        <w:t xml:space="preserve"> in a smaller one</w:t>
      </w:r>
      <w:r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417"/>
      </w:r>
      <w:r w:rsidRPr="00A472FC">
        <w:rPr>
          <w:rFonts w:ascii="Times New Roman" w:hAnsi="Times New Roman" w:cs="Times New Roman"/>
          <w:lang w:val="en-US"/>
        </w:rPr>
        <w:t xml:space="preserve"> There is another kind of natural form which perfects the whole and the parts but not in the same way. For while the whole animal is an animal, no part of the animal is an animal, even though it is still part of a sentient being; likewise, a part of a plant is a vegetable even though the part itself is not the plant in question.</w:t>
      </w:r>
      <w:r w:rsidRPr="00A472FC">
        <w:rPr>
          <w:rStyle w:val="FootnoteReference"/>
          <w:rFonts w:ascii="Times New Roman" w:hAnsi="Times New Roman" w:cs="Times New Roman"/>
          <w:lang w:val="en-US"/>
        </w:rPr>
        <w:footnoteReference w:id="418"/>
      </w:r>
      <w:r w:rsidRPr="00A472FC">
        <w:rPr>
          <w:rFonts w:ascii="Times New Roman" w:hAnsi="Times New Roman" w:cs="Times New Roman"/>
          <w:lang w:val="en-US"/>
        </w:rPr>
        <w:t xml:space="preserve"> The rational soul represents a third kind of form because it perfects the parts in such a way that no part can participate in the whole without it.</w:t>
      </w:r>
      <w:r w:rsidRPr="00A472FC">
        <w:rPr>
          <w:rStyle w:val="FootnoteReference"/>
          <w:rFonts w:ascii="Times New Roman" w:hAnsi="Times New Roman" w:cs="Times New Roman"/>
          <w:lang w:val="en-US"/>
        </w:rPr>
        <w:footnoteReference w:id="419"/>
      </w:r>
      <w:r w:rsidRPr="00A472FC">
        <w:rPr>
          <w:rFonts w:ascii="Times New Roman" w:hAnsi="Times New Roman" w:cs="Times New Roman"/>
          <w:lang w:val="en-US"/>
        </w:rPr>
        <w:t xml:space="preserve"> </w:t>
      </w:r>
    </w:p>
    <w:p w14:paraId="3453C16F" w14:textId="79304DEB"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lang w:val="en-US"/>
        </w:rPr>
        <w:t>While parts of the human being might be capable of sensation, for example, no part of a human can be called human nor is it capable of what humans are uniquely capable of, namely, intellectual cognition, without reference to th</w:t>
      </w:r>
      <w:r w:rsidR="00AE1E78" w:rsidRPr="00A472FC">
        <w:rPr>
          <w:rFonts w:ascii="Times New Roman" w:hAnsi="Times New Roman" w:cs="Times New Roman"/>
          <w:lang w:val="en-US"/>
        </w:rPr>
        <w:t xml:space="preserve">e </w:t>
      </w:r>
      <w:r w:rsidRPr="00A472FC">
        <w:rPr>
          <w:rFonts w:ascii="Times New Roman" w:hAnsi="Times New Roman" w:cs="Times New Roman"/>
          <w:lang w:val="en-US"/>
        </w:rPr>
        <w:t>soul. This is because the rational soul is a special kind of form whose proper function is to abstract from matter in the act of thinking about it. Where other forms can only exist in matter, consequently, this particular form can exist both within and outside of a body.</w:t>
      </w:r>
      <w:r w:rsidRPr="00A472FC">
        <w:rPr>
          <w:rStyle w:val="FootnoteReference"/>
          <w:rFonts w:ascii="Times New Roman" w:hAnsi="Times New Roman" w:cs="Times New Roman"/>
          <w:lang w:val="en-US"/>
        </w:rPr>
        <w:footnoteReference w:id="420"/>
      </w:r>
      <w:r w:rsidRPr="00A472FC">
        <w:rPr>
          <w:rFonts w:ascii="Times New Roman" w:hAnsi="Times New Roman" w:cs="Times New Roman"/>
          <w:lang w:val="en-US"/>
        </w:rPr>
        <w:t xml:space="preserve"> As the Summa states, the </w:t>
      </w:r>
      <w:r w:rsidRPr="00A472FC">
        <w:rPr>
          <w:rFonts w:ascii="Times New Roman" w:hAnsi="Times New Roman" w:cs="Times New Roman"/>
        </w:rPr>
        <w:t>soul is not a form like other forms because these do not have existence beyond matter, but the soul does, and as such it is a substance that has its own proper composition of form and matter.</w:t>
      </w:r>
      <w:r w:rsidRPr="00A472FC">
        <w:rPr>
          <w:rStyle w:val="FootnoteReference"/>
          <w:rFonts w:ascii="Times New Roman" w:hAnsi="Times New Roman" w:cs="Times New Roman"/>
        </w:rPr>
        <w:footnoteReference w:id="421"/>
      </w:r>
    </w:p>
    <w:p w14:paraId="0C308C94" w14:textId="40E1AD41"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lang w:val="en-US"/>
        </w:rPr>
        <w:t xml:space="preserve">Although the body is also constituted of matter and form, it cannot exist in a vivified state without the soul. Indeed, </w:t>
      </w:r>
      <w:r w:rsidRPr="00A472FC">
        <w:rPr>
          <w:rFonts w:ascii="Times New Roman" w:hAnsi="Times New Roman" w:cs="Times New Roman"/>
        </w:rPr>
        <w:t>‘the human body needs the soul not only because it is moved by it but also for its being, for in the soul, it subsists and remains.’</w:t>
      </w:r>
      <w:r w:rsidRPr="00A472FC">
        <w:rPr>
          <w:rStyle w:val="FootnoteReference"/>
          <w:rFonts w:ascii="Times New Roman" w:hAnsi="Times New Roman" w:cs="Times New Roman"/>
        </w:rPr>
        <w:footnoteReference w:id="422"/>
      </w:r>
      <w:r w:rsidRPr="00A472FC">
        <w:rPr>
          <w:rFonts w:ascii="Times New Roman" w:hAnsi="Times New Roman" w:cs="Times New Roman"/>
        </w:rPr>
        <w:t xml:space="preserve"> On this basis, the Summa concludes that the body subsists in a two-fold relation to the soul: as moved to motor and as perfectible to its perfection. As we will recall, John of La Rochelle had objected to the language of motor/moved because it implied a purely accidental relationship between the soul and </w:t>
      </w:r>
      <w:r w:rsidR="00534D7E" w:rsidRPr="00A472FC">
        <w:rPr>
          <w:rFonts w:ascii="Times New Roman" w:hAnsi="Times New Roman" w:cs="Times New Roman"/>
        </w:rPr>
        <w:t xml:space="preserve">the </w:t>
      </w:r>
      <w:r w:rsidRPr="00A472FC">
        <w:rPr>
          <w:rFonts w:ascii="Times New Roman" w:hAnsi="Times New Roman" w:cs="Times New Roman"/>
        </w:rPr>
        <w:t xml:space="preserve">body. For </w:t>
      </w:r>
      <w:r w:rsidR="00515850" w:rsidRPr="00A472FC">
        <w:rPr>
          <w:rFonts w:ascii="Times New Roman" w:hAnsi="Times New Roman" w:cs="Times New Roman"/>
        </w:rPr>
        <w:t>his</w:t>
      </w:r>
      <w:r w:rsidRPr="00A472FC">
        <w:rPr>
          <w:rFonts w:ascii="Times New Roman" w:hAnsi="Times New Roman" w:cs="Times New Roman"/>
        </w:rPr>
        <w:t xml:space="preserve"> part,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believe</w:t>
      </w:r>
      <w:r w:rsidR="00854C19" w:rsidRPr="00A472FC">
        <w:rPr>
          <w:rFonts w:ascii="Times New Roman" w:hAnsi="Times New Roman" w:cs="Times New Roman"/>
        </w:rPr>
        <w:t>s</w:t>
      </w:r>
      <w:r w:rsidRPr="00A472FC">
        <w:rPr>
          <w:rFonts w:ascii="Times New Roman" w:hAnsi="Times New Roman" w:cs="Times New Roman"/>
        </w:rPr>
        <w:t xml:space="preserve"> that while this is not the whole of the soul’s relationship to the body, it is certainly a part of it, namely, to move it from one place to another. As we will later discover, this analogy serves particularly well to describe the relationship, if any, that an angel may have to a body, </w:t>
      </w:r>
      <w:r w:rsidRPr="00A472FC">
        <w:rPr>
          <w:rFonts w:ascii="Times New Roman" w:hAnsi="Times New Roman" w:cs="Times New Roman"/>
          <w:lang w:val="en-US"/>
        </w:rPr>
        <w:t xml:space="preserve">that is, a purely instrumental or accidental one, which is analogous to what is involved in putting on a garment temporarily. </w:t>
      </w:r>
    </w:p>
    <w:p w14:paraId="3D8DC7A8" w14:textId="4777DA7C"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lang w:val="en-US"/>
        </w:rPr>
        <w:t xml:space="preserve">The highly developed angelology that can be found in the Summa by contrast to John, who mentions angels only in passing, is one likely reason why this distinction may have needed to be preserved. By contrast to what John seems to suppose, the second analogy of perfection to perfectible captured effectively the ‘second tier’ of the human soul’s relationship to the body, which entails their natural and essential </w:t>
      </w:r>
      <w:proofErr w:type="spellStart"/>
      <w:r w:rsidRPr="00A472FC">
        <w:rPr>
          <w:rFonts w:ascii="Times New Roman" w:hAnsi="Times New Roman" w:cs="Times New Roman"/>
          <w:lang w:val="en-US"/>
        </w:rPr>
        <w:t>unitability</w:t>
      </w:r>
      <w:proofErr w:type="spellEnd"/>
      <w:r w:rsidR="004642B4" w:rsidRPr="00A472FC">
        <w:rPr>
          <w:rFonts w:ascii="Times New Roman" w:hAnsi="Times New Roman" w:cs="Times New Roman"/>
          <w:lang w:val="en-US"/>
        </w:rPr>
        <w:t xml:space="preserve"> to one another</w:t>
      </w:r>
      <w:r w:rsidRPr="00A472FC">
        <w:rPr>
          <w:rFonts w:ascii="Times New Roman" w:hAnsi="Times New Roman" w:cs="Times New Roman"/>
          <w:lang w:val="en-US"/>
        </w:rPr>
        <w:t xml:space="preserve">, or </w:t>
      </w:r>
      <w:proofErr w:type="spellStart"/>
      <w:r w:rsidRPr="00A472FC">
        <w:rPr>
          <w:rFonts w:ascii="Times New Roman" w:hAnsi="Times New Roman" w:cs="Times New Roman"/>
          <w:i/>
          <w:lang w:val="en-US"/>
        </w:rPr>
        <w:t>unibilitas</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substantialis</w:t>
      </w:r>
      <w:proofErr w:type="spellEnd"/>
      <w:r w:rsidRPr="00A472FC">
        <w:rPr>
          <w:rFonts w:ascii="Times New Roman" w:hAnsi="Times New Roman" w:cs="Times New Roman"/>
        </w:rPr>
        <w:t xml:space="preserve">. While this doctrine allowed that the body and soul remain distinct substances, it </w:t>
      </w:r>
      <w:r w:rsidRPr="00A472FC">
        <w:rPr>
          <w:rFonts w:ascii="Times New Roman" w:hAnsi="Times New Roman" w:cs="Times New Roman"/>
        </w:rPr>
        <w:lastRenderedPageBreak/>
        <w:t>ultimately established them as constituting one—human—nature.</w:t>
      </w:r>
      <w:r w:rsidRPr="00A472FC">
        <w:rPr>
          <w:rStyle w:val="FootnoteReference"/>
          <w:rFonts w:ascii="Times New Roman" w:hAnsi="Times New Roman" w:cs="Times New Roman"/>
          <w:lang w:val="en-US"/>
        </w:rPr>
        <w:footnoteReference w:id="423"/>
      </w:r>
      <w:r w:rsidRPr="00A472FC">
        <w:rPr>
          <w:rFonts w:ascii="Times New Roman" w:hAnsi="Times New Roman" w:cs="Times New Roman"/>
        </w:rPr>
        <w:t xml:space="preserve"> Thus, it provided John and his successors with a means of avoiding the extreme dualism of Avicenna, even while transforming his </w:t>
      </w:r>
      <w:r w:rsidRPr="00A472FC">
        <w:rPr>
          <w:rFonts w:ascii="Times New Roman" w:hAnsi="Times New Roman" w:cs="Times New Roman"/>
          <w:lang w:val="en-US"/>
        </w:rPr>
        <w:t xml:space="preserve">description of the soul as the ‘perfection’ of the body into ‘code language’ to </w:t>
      </w:r>
      <w:r w:rsidR="00033ABD" w:rsidRPr="00A472FC">
        <w:rPr>
          <w:rFonts w:ascii="Times New Roman" w:hAnsi="Times New Roman" w:cs="Times New Roman"/>
          <w:lang w:val="en-US"/>
        </w:rPr>
        <w:t>affirm</w:t>
      </w:r>
      <w:r w:rsidRPr="00A472FC">
        <w:rPr>
          <w:rFonts w:ascii="Times New Roman" w:hAnsi="Times New Roman" w:cs="Times New Roman"/>
          <w:lang w:val="en-US"/>
        </w:rPr>
        <w:t xml:space="preserve"> the </w:t>
      </w:r>
      <w:r w:rsidR="00033ABD" w:rsidRPr="00A472FC">
        <w:rPr>
          <w:rFonts w:ascii="Times New Roman" w:hAnsi="Times New Roman" w:cs="Times New Roman"/>
          <w:lang w:val="en-US"/>
        </w:rPr>
        <w:t xml:space="preserve">unity </w:t>
      </w:r>
      <w:r w:rsidRPr="00A472FC">
        <w:rPr>
          <w:rFonts w:ascii="Times New Roman" w:hAnsi="Times New Roman" w:cs="Times New Roman"/>
          <w:lang w:val="en-US"/>
        </w:rPr>
        <w:t>of the soul to the body</w:t>
      </w:r>
      <w:r w:rsidR="00533B91" w:rsidRPr="00A472FC">
        <w:rPr>
          <w:rFonts w:ascii="Times New Roman" w:hAnsi="Times New Roman" w:cs="Times New Roman"/>
          <w:lang w:val="en-US"/>
        </w:rPr>
        <w:t xml:space="preserve"> as separate substances</w:t>
      </w:r>
      <w:r w:rsidRPr="00A472FC">
        <w:rPr>
          <w:rFonts w:ascii="Times New Roman" w:hAnsi="Times New Roman" w:cs="Times New Roman"/>
          <w:lang w:val="en-US"/>
        </w:rPr>
        <w:t xml:space="preserve">. As we have seen, the substance dualism that underlies the Franciscan vision entered the theological scene in the years before the Franciscans, for example, in the work of Philip the Chancellor. </w:t>
      </w:r>
    </w:p>
    <w:p w14:paraId="03315339" w14:textId="5419B96D"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lang w:val="en-US"/>
        </w:rPr>
        <w:t xml:space="preserve">In the first version of his </w:t>
      </w:r>
      <w:r w:rsidRPr="00A472FC">
        <w:rPr>
          <w:rFonts w:ascii="Times New Roman" w:hAnsi="Times New Roman" w:cs="Times New Roman"/>
          <w:i/>
          <w:lang w:val="en-US"/>
        </w:rPr>
        <w:t xml:space="preserve">Summa </w:t>
      </w:r>
      <w:proofErr w:type="spellStart"/>
      <w:r w:rsidRPr="00A472FC">
        <w:rPr>
          <w:rFonts w:ascii="Times New Roman" w:hAnsi="Times New Roman" w:cs="Times New Roman"/>
          <w:i/>
          <w:lang w:val="en-US"/>
        </w:rPr>
        <w:t>aurea</w:t>
      </w:r>
      <w:proofErr w:type="spellEnd"/>
      <w:r w:rsidRPr="00A472FC">
        <w:rPr>
          <w:rFonts w:ascii="Times New Roman" w:hAnsi="Times New Roman" w:cs="Times New Roman"/>
          <w:iCs/>
          <w:lang w:val="en-US"/>
        </w:rPr>
        <w:t xml:space="preserve">, </w:t>
      </w:r>
      <w:r w:rsidRPr="00A472FC">
        <w:rPr>
          <w:rFonts w:ascii="Times New Roman" w:hAnsi="Times New Roman" w:cs="Times New Roman"/>
          <w:lang w:val="en-US"/>
        </w:rPr>
        <w:t>written between 1215-26, William of Auxerre carried this view forward in the context of rejecting the idea that the human soul differs from an angel because it is united to the body substantially.</w:t>
      </w:r>
      <w:r w:rsidRPr="00A472FC">
        <w:rPr>
          <w:rStyle w:val="FootnoteReference"/>
          <w:rFonts w:ascii="Times New Roman" w:hAnsi="Times New Roman" w:cs="Times New Roman"/>
          <w:lang w:val="en-US"/>
        </w:rPr>
        <w:footnoteReference w:id="424"/>
      </w:r>
      <w:r w:rsidRPr="00A472FC">
        <w:rPr>
          <w:rFonts w:ascii="Times New Roman" w:hAnsi="Times New Roman" w:cs="Times New Roman"/>
          <w:lang w:val="en-US"/>
        </w:rPr>
        <w:t xml:space="preserve"> </w:t>
      </w:r>
      <w:r w:rsidR="00F33067" w:rsidRPr="00A472FC">
        <w:rPr>
          <w:rFonts w:ascii="Times New Roman" w:hAnsi="Times New Roman" w:cs="Times New Roman"/>
          <w:lang w:val="en-US"/>
        </w:rPr>
        <w:t>On his account</w:t>
      </w:r>
      <w:r w:rsidRPr="00A472FC">
        <w:rPr>
          <w:rFonts w:ascii="Times New Roman" w:hAnsi="Times New Roman" w:cs="Times New Roman"/>
          <w:lang w:val="en-US"/>
        </w:rPr>
        <w:t xml:space="preserve">, there are better grounds on which to delineate the difference, which he was apparently the first to discuss in a concerted way, and which soon became a key context for inquiring about the soul’s relationship to the body as the locus of its difference from an angel. That said, Magdalena Bieniak has observed that William seems to alter his opinion in the second version of </w:t>
      </w:r>
      <w:r w:rsidR="006C625D" w:rsidRPr="00A472FC">
        <w:rPr>
          <w:rFonts w:ascii="Times New Roman" w:hAnsi="Times New Roman" w:cs="Times New Roman"/>
          <w:lang w:val="en-US"/>
        </w:rPr>
        <w:t>his Summa</w:t>
      </w:r>
      <w:r w:rsidRPr="00A472FC">
        <w:rPr>
          <w:rFonts w:ascii="Times New Roman" w:hAnsi="Times New Roman" w:cs="Times New Roman"/>
          <w:lang w:val="en-US"/>
        </w:rPr>
        <w:t>, which was completed between 1226-</w:t>
      </w:r>
      <w:r w:rsidR="007706AB" w:rsidRPr="00A472FC">
        <w:rPr>
          <w:rFonts w:ascii="Times New Roman" w:hAnsi="Times New Roman" w:cs="Times New Roman"/>
          <w:lang w:val="en-US"/>
        </w:rPr>
        <w:t>2</w:t>
      </w:r>
      <w:r w:rsidRPr="00A472FC">
        <w:rPr>
          <w:rFonts w:ascii="Times New Roman" w:hAnsi="Times New Roman" w:cs="Times New Roman"/>
          <w:lang w:val="en-US"/>
        </w:rPr>
        <w:t>9.</w:t>
      </w:r>
      <w:r w:rsidRPr="00A472FC">
        <w:rPr>
          <w:rStyle w:val="FootnoteReference"/>
          <w:rFonts w:ascii="Times New Roman" w:hAnsi="Times New Roman" w:cs="Times New Roman"/>
          <w:lang w:val="en-US"/>
        </w:rPr>
        <w:footnoteReference w:id="425"/>
      </w:r>
      <w:r w:rsidRPr="00A472FC">
        <w:rPr>
          <w:rFonts w:ascii="Times New Roman" w:hAnsi="Times New Roman" w:cs="Times New Roman"/>
          <w:lang w:val="en-US"/>
        </w:rPr>
        <w:t xml:space="preserve"> There he describes the relationship to the body as substantial, although he does so in virtually just one line and thus very much in passing.</w:t>
      </w:r>
      <w:r w:rsidRPr="00A472FC">
        <w:rPr>
          <w:rStyle w:val="FootnoteReference"/>
          <w:rFonts w:ascii="Times New Roman" w:hAnsi="Times New Roman" w:cs="Times New Roman"/>
          <w:lang w:val="en-US"/>
        </w:rPr>
        <w:footnoteReference w:id="426"/>
      </w:r>
      <w:r w:rsidRPr="00A472FC">
        <w:rPr>
          <w:rFonts w:ascii="Times New Roman" w:hAnsi="Times New Roman" w:cs="Times New Roman"/>
          <w:lang w:val="en-US"/>
        </w:rPr>
        <w:t xml:space="preserve"> This certainly cannot be described as a developed theory of the body’s substantial union with the soul. Although William’s opinion was likely formative for subsequent thinkers like Hugh of St Cher, it waited for this Dominican to develop a full-blown account of </w:t>
      </w:r>
      <w:proofErr w:type="spellStart"/>
      <w:r w:rsidRPr="00A472FC">
        <w:rPr>
          <w:rFonts w:ascii="Times New Roman" w:hAnsi="Times New Roman" w:cs="Times New Roman"/>
          <w:i/>
          <w:lang w:val="en-US"/>
        </w:rPr>
        <w:t>unibilitas</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substantialis</w:t>
      </w:r>
      <w:proofErr w:type="spellEnd"/>
      <w:r w:rsidRPr="00A472FC">
        <w:rPr>
          <w:rFonts w:ascii="Times New Roman" w:hAnsi="Times New Roman" w:cs="Times New Roman"/>
          <w:lang w:val="en-US"/>
        </w:rPr>
        <w:t xml:space="preserve">, or the substantial </w:t>
      </w:r>
      <w:proofErr w:type="spellStart"/>
      <w:r w:rsidRPr="00A472FC">
        <w:rPr>
          <w:rFonts w:ascii="Times New Roman" w:hAnsi="Times New Roman" w:cs="Times New Roman"/>
          <w:lang w:val="en-US"/>
        </w:rPr>
        <w:t>unitability</w:t>
      </w:r>
      <w:proofErr w:type="spellEnd"/>
      <w:r w:rsidRPr="00A472FC">
        <w:rPr>
          <w:rFonts w:ascii="Times New Roman" w:hAnsi="Times New Roman" w:cs="Times New Roman"/>
          <w:lang w:val="en-US"/>
        </w:rPr>
        <w:t xml:space="preserve"> of the soul to the body. </w:t>
      </w:r>
    </w:p>
    <w:p w14:paraId="1652675C" w14:textId="34CC0202"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lang w:val="en-US"/>
        </w:rPr>
        <w:t xml:space="preserve">Hugh’s older contemporary Roland of Cremona may also have turned to William of Auxerre if not to Hugh himself – whose </w:t>
      </w:r>
      <w:r w:rsidR="00040053" w:rsidRPr="00A472FC">
        <w:rPr>
          <w:rFonts w:ascii="Times New Roman" w:hAnsi="Times New Roman" w:cs="Times New Roman"/>
          <w:i/>
          <w:lang w:val="en-US"/>
        </w:rPr>
        <w:t>Sentences</w:t>
      </w:r>
      <w:r w:rsidRPr="00A472FC">
        <w:rPr>
          <w:rFonts w:ascii="Times New Roman" w:hAnsi="Times New Roman" w:cs="Times New Roman"/>
          <w:lang w:val="en-US"/>
        </w:rPr>
        <w:t xml:space="preserve"> commentary he may not have known</w:t>
      </w:r>
      <w:r w:rsidRPr="00A472FC">
        <w:rPr>
          <w:rStyle w:val="FootnoteReference"/>
          <w:rFonts w:ascii="Times New Roman" w:hAnsi="Times New Roman" w:cs="Times New Roman"/>
          <w:lang w:val="en-US"/>
        </w:rPr>
        <w:footnoteReference w:id="427"/>
      </w:r>
      <w:r w:rsidRPr="00A472FC">
        <w:rPr>
          <w:rFonts w:ascii="Times New Roman" w:hAnsi="Times New Roman" w:cs="Times New Roman"/>
          <w:lang w:val="en-US"/>
        </w:rPr>
        <w:t xml:space="preserve"> </w:t>
      </w:r>
      <w:r w:rsidR="007706AB" w:rsidRPr="00A472FC">
        <w:rPr>
          <w:rFonts w:ascii="Times New Roman" w:hAnsi="Times New Roman" w:cs="Times New Roman"/>
          <w:lang w:val="en-US"/>
        </w:rPr>
        <w:t xml:space="preserve">– </w:t>
      </w:r>
      <w:r w:rsidRPr="00A472FC">
        <w:rPr>
          <w:rFonts w:ascii="Times New Roman" w:hAnsi="Times New Roman" w:cs="Times New Roman"/>
          <w:lang w:val="en-US"/>
        </w:rPr>
        <w:t xml:space="preserve">as a source for this doctrine, which he likewise defended in a Summa that he probably wrote only after the completion of Hugh’s </w:t>
      </w:r>
      <w:r w:rsidR="00040053" w:rsidRPr="00A472FC">
        <w:rPr>
          <w:rFonts w:ascii="Times New Roman" w:hAnsi="Times New Roman" w:cs="Times New Roman"/>
          <w:i/>
          <w:lang w:val="en-US"/>
        </w:rPr>
        <w:t>Sentences</w:t>
      </w:r>
      <w:r w:rsidRPr="00A472FC">
        <w:rPr>
          <w:rFonts w:ascii="Times New Roman" w:hAnsi="Times New Roman" w:cs="Times New Roman"/>
          <w:lang w:val="en-US"/>
        </w:rPr>
        <w:t xml:space="preserve"> commentary.</w:t>
      </w:r>
      <w:r w:rsidRPr="00A472FC">
        <w:rPr>
          <w:rStyle w:val="FootnoteReference"/>
          <w:rFonts w:ascii="Times New Roman" w:hAnsi="Times New Roman" w:cs="Times New Roman"/>
          <w:lang w:val="en-US"/>
        </w:rPr>
        <w:footnoteReference w:id="428"/>
      </w:r>
      <w:r w:rsidRPr="00A472FC">
        <w:rPr>
          <w:rFonts w:ascii="Times New Roman" w:hAnsi="Times New Roman" w:cs="Times New Roman"/>
          <w:lang w:val="en-US"/>
        </w:rPr>
        <w:t xml:space="preserve"> Although the doctrine of </w:t>
      </w:r>
      <w:proofErr w:type="spellStart"/>
      <w:r w:rsidRPr="00A472FC">
        <w:rPr>
          <w:rFonts w:ascii="Times New Roman" w:hAnsi="Times New Roman" w:cs="Times New Roman"/>
          <w:i/>
          <w:lang w:val="en-US"/>
        </w:rPr>
        <w:t>unibilitas</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substantialis</w:t>
      </w:r>
      <w:proofErr w:type="spellEnd"/>
      <w:r w:rsidRPr="00A472FC">
        <w:rPr>
          <w:rFonts w:ascii="Times New Roman" w:hAnsi="Times New Roman" w:cs="Times New Roman"/>
          <w:lang w:val="en-US"/>
        </w:rPr>
        <w:t xml:space="preserve"> was clearly introduced and initially championed by Dominicans, we have seen that it came to fruition in the work of John of La Rochelle and the </w:t>
      </w:r>
      <w:proofErr w:type="spellStart"/>
      <w:r w:rsidRPr="00A472FC">
        <w:rPr>
          <w:rFonts w:ascii="Times New Roman" w:hAnsi="Times New Roman" w:cs="Times New Roman"/>
          <w:lang w:val="en-US"/>
        </w:rPr>
        <w:t>Halensian</w:t>
      </w:r>
      <w:proofErr w:type="spellEnd"/>
      <w:r w:rsidRPr="00A472FC">
        <w:rPr>
          <w:rFonts w:ascii="Times New Roman" w:hAnsi="Times New Roman" w:cs="Times New Roman"/>
          <w:lang w:val="en-US"/>
        </w:rPr>
        <w:t xml:space="preserve"> </w:t>
      </w:r>
      <w:proofErr w:type="spellStart"/>
      <w:r w:rsidRPr="00A472FC">
        <w:rPr>
          <w:rFonts w:ascii="Times New Roman" w:hAnsi="Times New Roman" w:cs="Times New Roman"/>
          <w:lang w:val="en-US"/>
        </w:rPr>
        <w:t>Summists</w:t>
      </w:r>
      <w:proofErr w:type="spellEnd"/>
      <w:r w:rsidRPr="00A472FC">
        <w:rPr>
          <w:rFonts w:ascii="Times New Roman" w:hAnsi="Times New Roman" w:cs="Times New Roman"/>
          <w:lang w:val="en-US"/>
        </w:rPr>
        <w:t xml:space="preserve">. As a matter of fact, it remained a feature of the early Franciscan tradition long after it was discarded by Dominicans, in particular, </w:t>
      </w:r>
      <w:proofErr w:type="spellStart"/>
      <w:r w:rsidRPr="00A472FC">
        <w:rPr>
          <w:rFonts w:ascii="Times New Roman" w:hAnsi="Times New Roman" w:cs="Times New Roman"/>
          <w:lang w:val="en-US"/>
        </w:rPr>
        <w:t>Thomists</w:t>
      </w:r>
      <w:proofErr w:type="spellEnd"/>
      <w:r w:rsidRPr="00A472FC">
        <w:rPr>
          <w:rFonts w:ascii="Times New Roman" w:hAnsi="Times New Roman" w:cs="Times New Roman"/>
          <w:lang w:val="en-US"/>
        </w:rPr>
        <w:t xml:space="preserve">, who reverted to the idea that the soul is the form of the body in the </w:t>
      </w:r>
      <w:r w:rsidR="00602748" w:rsidRPr="00A472FC">
        <w:rPr>
          <w:rFonts w:ascii="Times New Roman" w:hAnsi="Times New Roman" w:cs="Times New Roman"/>
          <w:lang w:val="en-US"/>
        </w:rPr>
        <w:t xml:space="preserve">more genuinely </w:t>
      </w:r>
      <w:r w:rsidRPr="00A472FC">
        <w:rPr>
          <w:rFonts w:ascii="Times New Roman" w:hAnsi="Times New Roman" w:cs="Times New Roman"/>
          <w:lang w:val="en-US"/>
        </w:rPr>
        <w:t xml:space="preserve">Aristotelian sense.  </w:t>
      </w:r>
    </w:p>
    <w:p w14:paraId="7253E9FF" w14:textId="77777777" w:rsidR="004C1CD7" w:rsidRPr="00A472FC" w:rsidRDefault="004C1CD7" w:rsidP="00881604">
      <w:pPr>
        <w:ind w:right="-52"/>
        <w:rPr>
          <w:rFonts w:ascii="Times New Roman" w:hAnsi="Times New Roman" w:cs="Times New Roman"/>
        </w:rPr>
      </w:pPr>
    </w:p>
    <w:p w14:paraId="1844C79C" w14:textId="77777777" w:rsidR="004C1CD7" w:rsidRPr="00A472FC" w:rsidRDefault="004C1CD7" w:rsidP="00881604">
      <w:pPr>
        <w:ind w:right="-52"/>
        <w:rPr>
          <w:rFonts w:ascii="Times New Roman" w:hAnsi="Times New Roman" w:cs="Times New Roman"/>
          <w:u w:val="single"/>
        </w:rPr>
      </w:pPr>
      <w:r w:rsidRPr="00A472FC">
        <w:rPr>
          <w:rFonts w:ascii="Times New Roman" w:hAnsi="Times New Roman" w:cs="Times New Roman"/>
          <w:u w:val="single"/>
        </w:rPr>
        <w:t>The Medium between the Soul and the Body</w:t>
      </w:r>
    </w:p>
    <w:p w14:paraId="21AA7BC6" w14:textId="77777777" w:rsidR="004C1CD7" w:rsidRPr="00A472FC" w:rsidRDefault="004C1CD7" w:rsidP="00881604">
      <w:pPr>
        <w:ind w:right="-52"/>
        <w:rPr>
          <w:rFonts w:ascii="Times New Roman" w:hAnsi="Times New Roman" w:cs="Times New Roman"/>
          <w:u w:val="single"/>
        </w:rPr>
      </w:pPr>
    </w:p>
    <w:p w14:paraId="245B1513" w14:textId="19CB9C17" w:rsidR="004C1CD7" w:rsidRPr="00A472FC" w:rsidRDefault="004C1CD7" w:rsidP="00881604">
      <w:pPr>
        <w:ind w:right="-52" w:firstLine="720"/>
        <w:rPr>
          <w:rFonts w:ascii="Times New Roman" w:hAnsi="Times New Roman" w:cs="Times New Roman"/>
          <w:i/>
        </w:rPr>
      </w:pPr>
      <w:r w:rsidRPr="00A472FC">
        <w:rPr>
          <w:rFonts w:ascii="Times New Roman" w:hAnsi="Times New Roman" w:cs="Times New Roman"/>
        </w:rPr>
        <w:t xml:space="preserve">The establishment of the soul as united to the body in one human nature gave rise to what was considered at the time to be the natural next question, namely, whether the union between the soul and the body requires a medium. Augustine’s DSEA is claimed as the provenance for this question in the SDA, and without </w:t>
      </w:r>
      <w:r w:rsidR="000A4603" w:rsidRPr="00A472FC">
        <w:rPr>
          <w:rFonts w:ascii="Times New Roman" w:hAnsi="Times New Roman" w:cs="Times New Roman"/>
        </w:rPr>
        <w:t xml:space="preserve">a </w:t>
      </w:r>
      <w:r w:rsidRPr="00A472FC">
        <w:rPr>
          <w:rFonts w:ascii="Times New Roman" w:hAnsi="Times New Roman" w:cs="Times New Roman"/>
        </w:rPr>
        <w:t xml:space="preserve">quotation in the DAR; however, the </w:t>
      </w:r>
      <w:r w:rsidR="000527D4" w:rsidRPr="00A472FC">
        <w:rPr>
          <w:rFonts w:ascii="Times New Roman" w:hAnsi="Times New Roman" w:cs="Times New Roman"/>
        </w:rPr>
        <w:t>question actually drew inspiration</w:t>
      </w:r>
      <w:r w:rsidRPr="00A472FC">
        <w:rPr>
          <w:rFonts w:ascii="Times New Roman" w:hAnsi="Times New Roman" w:cs="Times New Roman"/>
        </w:rPr>
        <w:t xml:space="preserve"> from the work of Costa Ben Luca, who greatly influenced subsequent Christian thinkers, including </w:t>
      </w:r>
      <w:r w:rsidRPr="00A472FC">
        <w:rPr>
          <w:rFonts w:ascii="Times New Roman" w:hAnsi="Times New Roman" w:cs="Times New Roman"/>
          <w:lang w:val="en-US"/>
        </w:rPr>
        <w:t xml:space="preserve">Isaac of Stella (d. 1168), </w:t>
      </w:r>
      <w:proofErr w:type="spellStart"/>
      <w:r w:rsidRPr="00A472FC">
        <w:rPr>
          <w:rFonts w:ascii="Times New Roman" w:hAnsi="Times New Roman" w:cs="Times New Roman"/>
          <w:lang w:val="en-US"/>
        </w:rPr>
        <w:t>Ailred</w:t>
      </w:r>
      <w:proofErr w:type="spellEnd"/>
      <w:r w:rsidRPr="00A472FC">
        <w:rPr>
          <w:rFonts w:ascii="Times New Roman" w:hAnsi="Times New Roman" w:cs="Times New Roman"/>
          <w:lang w:val="en-US"/>
        </w:rPr>
        <w:t xml:space="preserve"> of </w:t>
      </w:r>
      <w:proofErr w:type="spellStart"/>
      <w:r w:rsidRPr="00A472FC">
        <w:rPr>
          <w:rFonts w:ascii="Times New Roman" w:hAnsi="Times New Roman" w:cs="Times New Roman"/>
          <w:lang w:val="en-US"/>
        </w:rPr>
        <w:t>Rielvaux</w:t>
      </w:r>
      <w:proofErr w:type="spellEnd"/>
      <w:r w:rsidRPr="00A472FC">
        <w:rPr>
          <w:rFonts w:ascii="Times New Roman" w:hAnsi="Times New Roman" w:cs="Times New Roman"/>
          <w:lang w:val="en-US"/>
        </w:rPr>
        <w:t xml:space="preserve"> (d. </w:t>
      </w:r>
      <w:r w:rsidRPr="00A472FC">
        <w:rPr>
          <w:rFonts w:ascii="Times New Roman" w:hAnsi="Times New Roman" w:cs="Times New Roman"/>
          <w:lang w:val="en-US"/>
        </w:rPr>
        <w:lastRenderedPageBreak/>
        <w:t>1167), Alan of Lille</w:t>
      </w:r>
      <w:r w:rsidRPr="00A472FC">
        <w:rPr>
          <w:rFonts w:ascii="Times New Roman" w:hAnsi="Times New Roman" w:cs="Times New Roman"/>
        </w:rPr>
        <w:t xml:space="preserve">, and probably the author of the DSEA itself, as well as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429"/>
      </w:r>
      <w:r w:rsidRPr="00A472FC">
        <w:rPr>
          <w:rFonts w:ascii="Times New Roman" w:hAnsi="Times New Roman" w:cs="Times New Roman"/>
        </w:rPr>
        <w:t xml:space="preserve"> As we have seen, Costa Ben Luca advocated the idea of a vital spirit, which is activated by the heart, which enlivens the rest of the body and thus enables the operation of its other powers, as well as an animal spirit, located in the brain, which is responsible for the nervous system and thereby the senses, both external and internal.</w:t>
      </w:r>
      <w:r w:rsidRPr="00A472FC">
        <w:rPr>
          <w:rFonts w:ascii="Times New Roman" w:hAnsi="Times New Roman" w:cs="Times New Roman"/>
          <w:lang w:val="en-US"/>
        </w:rPr>
        <w:t xml:space="preserve"> His view of a two-fold ‘spirit’ that mediates between body and soul was </w:t>
      </w:r>
      <w:r w:rsidR="000527D4" w:rsidRPr="00A472FC">
        <w:rPr>
          <w:rFonts w:ascii="Times New Roman" w:hAnsi="Times New Roman" w:cs="Times New Roman"/>
          <w:lang w:val="en-US"/>
        </w:rPr>
        <w:t xml:space="preserve">also </w:t>
      </w:r>
      <w:r w:rsidRPr="00A472FC">
        <w:rPr>
          <w:rFonts w:ascii="Times New Roman" w:hAnsi="Times New Roman" w:cs="Times New Roman"/>
          <w:lang w:val="en-US"/>
        </w:rPr>
        <w:t xml:space="preserve">picked up by Alfred </w:t>
      </w:r>
      <w:proofErr w:type="spellStart"/>
      <w:r w:rsidRPr="00A472FC">
        <w:rPr>
          <w:rFonts w:ascii="Times New Roman" w:hAnsi="Times New Roman" w:cs="Times New Roman"/>
          <w:lang w:val="en-US"/>
        </w:rPr>
        <w:t>Sarashel</w:t>
      </w:r>
      <w:proofErr w:type="spellEnd"/>
      <w:r w:rsidRPr="00A472FC">
        <w:rPr>
          <w:rFonts w:ascii="Times New Roman" w:hAnsi="Times New Roman" w:cs="Times New Roman"/>
          <w:lang w:val="en-US"/>
        </w:rPr>
        <w:t>, who saw it as neither corporeal nor incorporeal and as suited to its purpose for that reason.</w:t>
      </w:r>
      <w:r w:rsidRPr="00A472FC">
        <w:rPr>
          <w:rStyle w:val="FootnoteReference"/>
          <w:rFonts w:ascii="Times New Roman" w:hAnsi="Times New Roman" w:cs="Times New Roman"/>
          <w:lang w:val="en-US"/>
        </w:rPr>
        <w:footnoteReference w:id="430"/>
      </w:r>
      <w:r w:rsidRPr="00A472FC">
        <w:rPr>
          <w:rFonts w:ascii="Times New Roman" w:hAnsi="Times New Roman" w:cs="Times New Roman"/>
          <w:lang w:val="en-US"/>
        </w:rPr>
        <w:t xml:space="preserve"> </w:t>
      </w:r>
      <w:proofErr w:type="spellStart"/>
      <w:r w:rsidRPr="00A472FC">
        <w:rPr>
          <w:rFonts w:ascii="Times New Roman" w:hAnsi="Times New Roman" w:cs="Times New Roman"/>
          <w:lang w:val="en-US"/>
        </w:rPr>
        <w:t>Sarashel</w:t>
      </w:r>
      <w:proofErr w:type="spellEnd"/>
      <w:r w:rsidRPr="00A472FC">
        <w:rPr>
          <w:rFonts w:ascii="Times New Roman" w:hAnsi="Times New Roman" w:cs="Times New Roman"/>
          <w:lang w:val="en-US"/>
        </w:rPr>
        <w:t xml:space="preserve"> seems to be the more direct source for this doctrine in the </w:t>
      </w:r>
      <w:r w:rsidRPr="00A472FC">
        <w:rPr>
          <w:rFonts w:ascii="Times New Roman" w:hAnsi="Times New Roman" w:cs="Times New Roman"/>
          <w:i/>
          <w:lang w:val="en-US"/>
        </w:rPr>
        <w:t xml:space="preserve">Summa </w:t>
      </w:r>
      <w:proofErr w:type="spellStart"/>
      <w:r w:rsidRPr="00A472FC">
        <w:rPr>
          <w:rFonts w:ascii="Times New Roman" w:hAnsi="Times New Roman" w:cs="Times New Roman"/>
          <w:i/>
          <w:lang w:val="en-US"/>
        </w:rPr>
        <w:t>Halensis</w:t>
      </w:r>
      <w:proofErr w:type="spellEnd"/>
      <w:r w:rsidRPr="00A472FC">
        <w:rPr>
          <w:rFonts w:ascii="Times New Roman" w:hAnsi="Times New Roman" w:cs="Times New Roman"/>
          <w:i/>
          <w:lang w:val="en-US"/>
        </w:rPr>
        <w:t xml:space="preserve">. </w:t>
      </w:r>
    </w:p>
    <w:p w14:paraId="390874CD" w14:textId="03ADC7AD" w:rsidR="004C1CD7" w:rsidRPr="00A472FC" w:rsidRDefault="004C1CD7" w:rsidP="003D4604">
      <w:pPr>
        <w:ind w:right="-52" w:firstLine="720"/>
        <w:rPr>
          <w:rFonts w:ascii="Times New Roman" w:hAnsi="Times New Roman" w:cs="Times New Roman"/>
        </w:rPr>
      </w:pPr>
      <w:r w:rsidRPr="00A472FC">
        <w:rPr>
          <w:rFonts w:ascii="Times New Roman" w:hAnsi="Times New Roman" w:cs="Times New Roman"/>
        </w:rPr>
        <w:t>As Magdalena Bieniak has shown, Philip the Chancellor introduced the question</w:t>
      </w:r>
      <w:r w:rsidR="009B2FFC" w:rsidRPr="00A472FC">
        <w:rPr>
          <w:rFonts w:ascii="Times New Roman" w:hAnsi="Times New Roman" w:cs="Times New Roman"/>
        </w:rPr>
        <w:t xml:space="preserve"> </w:t>
      </w:r>
      <w:r w:rsidRPr="00A472FC">
        <w:rPr>
          <w:rFonts w:ascii="Times New Roman" w:hAnsi="Times New Roman" w:cs="Times New Roman"/>
        </w:rPr>
        <w:t>whether the soul has a medium to the theology faculty at Paris.</w:t>
      </w:r>
      <w:r w:rsidRPr="00A472FC">
        <w:rPr>
          <w:rStyle w:val="FootnoteReference"/>
          <w:rFonts w:ascii="Times New Roman" w:hAnsi="Times New Roman" w:cs="Times New Roman"/>
        </w:rPr>
        <w:footnoteReference w:id="431"/>
      </w:r>
      <w:r w:rsidRPr="00A472FC">
        <w:rPr>
          <w:rFonts w:ascii="Times New Roman" w:hAnsi="Times New Roman" w:cs="Times New Roman"/>
        </w:rPr>
        <w:t xml:space="preserve"> In fact, ‘</w:t>
      </w:r>
      <w:r w:rsidRPr="00A472FC">
        <w:rPr>
          <w:rFonts w:ascii="Times New Roman" w:hAnsi="Times New Roman" w:cs="Times New Roman"/>
          <w:lang w:val="en-US"/>
        </w:rPr>
        <w:t xml:space="preserve">the doctrine of the intermediary principles expounded in the </w:t>
      </w:r>
      <w:r w:rsidRPr="00A472FC">
        <w:rPr>
          <w:rFonts w:ascii="Times New Roman" w:hAnsi="Times New Roman" w:cs="Times New Roman"/>
          <w:i/>
          <w:lang w:val="en-US"/>
        </w:rPr>
        <w:t>Summa de bono</w:t>
      </w:r>
      <w:r w:rsidRPr="00A472FC">
        <w:rPr>
          <w:rFonts w:ascii="Times New Roman" w:hAnsi="Times New Roman" w:cs="Times New Roman"/>
          <w:lang w:val="en-US"/>
        </w:rPr>
        <w:t xml:space="preserve"> was actually to become the main reference point for all thirteenth-century authors.’</w:t>
      </w:r>
      <w:r w:rsidRPr="00A472FC">
        <w:rPr>
          <w:rStyle w:val="FootnoteReference"/>
          <w:rFonts w:ascii="Times New Roman" w:hAnsi="Times New Roman" w:cs="Times New Roman"/>
          <w:lang w:val="en-US"/>
        </w:rPr>
        <w:footnoteReference w:id="432"/>
      </w:r>
      <w:r w:rsidRPr="00A472FC">
        <w:rPr>
          <w:rFonts w:ascii="Times New Roman" w:hAnsi="Times New Roman" w:cs="Times New Roman"/>
          <w:lang w:val="en-US"/>
        </w:rPr>
        <w:t xml:space="preserve"> As </w:t>
      </w:r>
      <w:r w:rsidR="00C871A4" w:rsidRPr="00A472FC">
        <w:rPr>
          <w:rFonts w:ascii="Times New Roman" w:hAnsi="Times New Roman" w:cs="Times New Roman"/>
          <w:lang w:val="en-US"/>
        </w:rPr>
        <w:t>Bieniak</w:t>
      </w:r>
      <w:r w:rsidRPr="00A472FC">
        <w:rPr>
          <w:rFonts w:ascii="Times New Roman" w:hAnsi="Times New Roman" w:cs="Times New Roman"/>
          <w:lang w:val="en-US"/>
        </w:rPr>
        <w:t xml:space="preserve"> </w:t>
      </w:r>
      <w:r w:rsidR="001F6ABD" w:rsidRPr="00A472FC">
        <w:rPr>
          <w:rFonts w:ascii="Times New Roman" w:hAnsi="Times New Roman" w:cs="Times New Roman"/>
          <w:lang w:val="en-US"/>
        </w:rPr>
        <w:t>elaborates</w:t>
      </w:r>
      <w:r w:rsidRPr="00A472FC">
        <w:rPr>
          <w:rFonts w:ascii="Times New Roman" w:hAnsi="Times New Roman" w:cs="Times New Roman"/>
          <w:lang w:val="en-US"/>
        </w:rPr>
        <w:t xml:space="preserve">, Hugh of St Cher largely repeats </w:t>
      </w:r>
      <w:r w:rsidR="00D064B2" w:rsidRPr="00A472FC">
        <w:rPr>
          <w:rFonts w:ascii="Times New Roman" w:hAnsi="Times New Roman" w:cs="Times New Roman"/>
        </w:rPr>
        <w:t>Philip’s position in a disputed question on the soul</w:t>
      </w:r>
      <w:r w:rsidR="009B2FFC"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433"/>
      </w:r>
      <w:r w:rsidRPr="00A472FC">
        <w:rPr>
          <w:rFonts w:ascii="Times New Roman" w:hAnsi="Times New Roman" w:cs="Times New Roman"/>
          <w:lang w:val="en-US"/>
        </w:rPr>
        <w:t xml:space="preserve"> </w:t>
      </w:r>
      <w:r w:rsidRPr="00A472FC">
        <w:rPr>
          <w:rFonts w:ascii="Times New Roman" w:hAnsi="Times New Roman" w:cs="Times New Roman"/>
        </w:rPr>
        <w:t>According to Philip, the soul is not the first form of the body because it is an entirely separate substance from the body. Rather the form of the body is what he calls the ‘form of corporeity’, which gives structure to prime matter.</w:t>
      </w:r>
      <w:r w:rsidRPr="00A472FC">
        <w:rPr>
          <w:rStyle w:val="FootnoteReference"/>
          <w:rFonts w:ascii="Times New Roman" w:hAnsi="Times New Roman" w:cs="Times New Roman"/>
        </w:rPr>
        <w:footnoteReference w:id="434"/>
      </w:r>
      <w:r w:rsidRPr="00A472FC">
        <w:rPr>
          <w:rFonts w:ascii="Times New Roman" w:hAnsi="Times New Roman" w:cs="Times New Roman"/>
        </w:rPr>
        <w:t xml:space="preserve"> In affirming this, Philip became the first theologian to use that term.</w:t>
      </w:r>
      <w:r w:rsidRPr="00A472FC">
        <w:rPr>
          <w:rStyle w:val="FootnoteReference"/>
          <w:rFonts w:ascii="Times New Roman" w:hAnsi="Times New Roman" w:cs="Times New Roman"/>
        </w:rPr>
        <w:footnoteReference w:id="435"/>
      </w:r>
      <w:r w:rsidR="003D4604" w:rsidRPr="00A472FC">
        <w:rPr>
          <w:rFonts w:ascii="Times New Roman" w:hAnsi="Times New Roman" w:cs="Times New Roman"/>
        </w:rPr>
        <w:t xml:space="preserve"> </w:t>
      </w:r>
      <w:r w:rsidRPr="00A472FC">
        <w:rPr>
          <w:rFonts w:ascii="Times New Roman" w:hAnsi="Times New Roman" w:cs="Times New Roman"/>
        </w:rPr>
        <w:t>As two separate substances, he further</w:t>
      </w:r>
      <w:r w:rsidR="00546AA0" w:rsidRPr="00A472FC">
        <w:rPr>
          <w:rFonts w:ascii="Times New Roman" w:hAnsi="Times New Roman" w:cs="Times New Roman"/>
        </w:rPr>
        <w:t xml:space="preserve"> contends</w:t>
      </w:r>
      <w:r w:rsidRPr="00A472FC">
        <w:rPr>
          <w:rFonts w:ascii="Times New Roman" w:hAnsi="Times New Roman" w:cs="Times New Roman"/>
        </w:rPr>
        <w:t>, the body and soul stand at complete ontological extremes: where the soul is simple, incorporeal and incorruptible, the body is composite, corporeal, and corruptible.</w:t>
      </w:r>
      <w:r w:rsidRPr="00A472FC">
        <w:rPr>
          <w:rStyle w:val="FootnoteReference"/>
          <w:rFonts w:ascii="Times New Roman" w:hAnsi="Times New Roman" w:cs="Times New Roman"/>
          <w:lang w:val="en-US"/>
        </w:rPr>
        <w:footnoteReference w:id="436"/>
      </w:r>
      <w:r w:rsidRPr="00A472FC">
        <w:rPr>
          <w:rFonts w:ascii="Times New Roman" w:hAnsi="Times New Roman" w:cs="Times New Roman"/>
        </w:rPr>
        <w:t xml:space="preserve"> For this reason, a series of material dispositions are needed to prepare the body to receive the soul. This was a position Roland of Cremona also affirmed, speaking of the soul as united to the body through a spirit and through corporeal dispositions, although he does not specify </w:t>
      </w:r>
      <w:r w:rsidR="003D4604" w:rsidRPr="00A472FC">
        <w:rPr>
          <w:rFonts w:ascii="Times New Roman" w:hAnsi="Times New Roman" w:cs="Times New Roman"/>
        </w:rPr>
        <w:t xml:space="preserve">exactly </w:t>
      </w:r>
      <w:r w:rsidRPr="00A472FC">
        <w:rPr>
          <w:rFonts w:ascii="Times New Roman" w:hAnsi="Times New Roman" w:cs="Times New Roman"/>
        </w:rPr>
        <w:t>what those dispositions are.</w:t>
      </w:r>
      <w:r w:rsidRPr="00A472FC">
        <w:rPr>
          <w:rStyle w:val="FootnoteReference"/>
          <w:rFonts w:ascii="Times New Roman" w:hAnsi="Times New Roman" w:cs="Times New Roman"/>
        </w:rPr>
        <w:footnoteReference w:id="437"/>
      </w:r>
      <w:r w:rsidRPr="00A472FC">
        <w:rPr>
          <w:rFonts w:ascii="Times New Roman" w:hAnsi="Times New Roman" w:cs="Times New Roman"/>
        </w:rPr>
        <w:t xml:space="preserve"> </w:t>
      </w:r>
    </w:p>
    <w:p w14:paraId="7652295D" w14:textId="373802D5" w:rsidR="00724C12" w:rsidRPr="00A472FC" w:rsidRDefault="004C1CD7" w:rsidP="008816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rPr>
        <w:t>By contrast, Philip the Chancellor discusses the media in detail.</w:t>
      </w:r>
      <w:r w:rsidRPr="00A472FC">
        <w:rPr>
          <w:rStyle w:val="FootnoteReference"/>
          <w:rFonts w:ascii="Times New Roman" w:hAnsi="Times New Roman" w:cs="Times New Roman"/>
        </w:rPr>
        <w:footnoteReference w:id="438"/>
      </w:r>
      <w:r w:rsidRPr="00A472FC">
        <w:rPr>
          <w:rFonts w:ascii="Times New Roman" w:hAnsi="Times New Roman" w:cs="Times New Roman"/>
        </w:rPr>
        <w:t xml:space="preserve"> At the very basic level, he argues, there are the four elements, which wait to be constituted </w:t>
      </w:r>
      <w:r w:rsidR="008D63B7" w:rsidRPr="00A472FC">
        <w:rPr>
          <w:rFonts w:ascii="Times New Roman" w:hAnsi="Times New Roman" w:cs="Times New Roman"/>
        </w:rPr>
        <w:t>in a specific way that was known as the</w:t>
      </w:r>
      <w:r w:rsidRPr="00A472FC">
        <w:rPr>
          <w:rFonts w:ascii="Times New Roman" w:hAnsi="Times New Roman" w:cs="Times New Roman"/>
        </w:rPr>
        <w:t xml:space="preserve"> </w:t>
      </w:r>
      <w:r w:rsidR="008D63B7" w:rsidRPr="00A472FC">
        <w:rPr>
          <w:rFonts w:ascii="Times New Roman" w:hAnsi="Times New Roman" w:cs="Times New Roman"/>
        </w:rPr>
        <w:t>‘</w:t>
      </w:r>
      <w:r w:rsidRPr="00A472FC">
        <w:rPr>
          <w:rFonts w:ascii="Times New Roman" w:hAnsi="Times New Roman" w:cs="Times New Roman"/>
        </w:rPr>
        <w:t>complexion</w:t>
      </w:r>
      <w:r w:rsidR="008D63B7" w:rsidRPr="00A472FC">
        <w:rPr>
          <w:rFonts w:ascii="Times New Roman" w:hAnsi="Times New Roman" w:cs="Times New Roman"/>
        </w:rPr>
        <w:t>’ or ‘temperament’</w:t>
      </w:r>
      <w:r w:rsidRPr="00A472FC">
        <w:rPr>
          <w:rFonts w:ascii="Times New Roman" w:hAnsi="Times New Roman" w:cs="Times New Roman"/>
        </w:rPr>
        <w:t xml:space="preserve"> of a particular being</w:t>
      </w:r>
      <w:r w:rsidR="00830546" w:rsidRPr="00A472FC">
        <w:rPr>
          <w:rFonts w:ascii="Times New Roman" w:hAnsi="Times New Roman" w:cs="Times New Roman"/>
        </w:rPr>
        <w:t xml:space="preserve"> that is</w:t>
      </w:r>
      <w:r w:rsidRPr="00A472FC">
        <w:rPr>
          <w:rFonts w:ascii="Times New Roman" w:hAnsi="Times New Roman" w:cs="Times New Roman"/>
        </w:rPr>
        <w:t xml:space="preserve"> instantiated in matter. </w:t>
      </w:r>
      <w:r w:rsidR="001E083B" w:rsidRPr="00A472FC">
        <w:rPr>
          <w:rFonts w:ascii="Times New Roman" w:hAnsi="Times New Roman" w:cs="Times New Roman"/>
        </w:rPr>
        <w:t>As Danielle J</w:t>
      </w:r>
      <w:r w:rsidR="00E761D2" w:rsidRPr="00A472FC">
        <w:rPr>
          <w:rFonts w:ascii="Times New Roman" w:hAnsi="Times New Roman" w:cs="Times New Roman"/>
        </w:rPr>
        <w:t>a</w:t>
      </w:r>
      <w:r w:rsidR="001E083B" w:rsidRPr="00A472FC">
        <w:rPr>
          <w:rFonts w:ascii="Times New Roman" w:hAnsi="Times New Roman" w:cs="Times New Roman"/>
        </w:rPr>
        <w:t xml:space="preserve">cquart has explained, </w:t>
      </w:r>
      <w:r w:rsidR="00E761D2" w:rsidRPr="00A472FC">
        <w:rPr>
          <w:rFonts w:ascii="Times New Roman" w:hAnsi="Times New Roman" w:cs="Times New Roman"/>
        </w:rPr>
        <w:t xml:space="preserve">the notion of ‘complexion,’ which can be traced especially to Constantine the African, denotes, </w:t>
      </w:r>
      <w:r w:rsidR="00C43044" w:rsidRPr="00A472FC">
        <w:rPr>
          <w:rFonts w:ascii="Times New Roman" w:hAnsi="Times New Roman" w:cs="Times New Roman"/>
        </w:rPr>
        <w:t xml:space="preserve">‘a </w:t>
      </w:r>
      <w:r w:rsidR="00C43044" w:rsidRPr="00A472FC">
        <w:rPr>
          <w:rFonts w:ascii="Times New Roman" w:hAnsi="Times New Roman" w:cs="Times New Roman"/>
          <w:color w:val="000000" w:themeColor="text1"/>
        </w:rPr>
        <w:t>combination of elementary qualities (heat, cold, dryness, humidity), submitted to infinite gradations throughout various parts of the body, the global nature of each individual as determined by birth, age, sex, climate, etc., ‘complexion” was simultaneously the agent and the receiver of corporeal activities and also a series of situated states found in the interface between the somatic and psychological.’</w:t>
      </w:r>
      <w:r w:rsidR="00286570" w:rsidRPr="00A472FC">
        <w:rPr>
          <w:rStyle w:val="FootnoteReference"/>
          <w:rFonts w:ascii="Times New Roman" w:hAnsi="Times New Roman" w:cs="Times New Roman"/>
          <w:color w:val="000000" w:themeColor="text1"/>
        </w:rPr>
        <w:footnoteReference w:id="439"/>
      </w:r>
      <w:r w:rsidR="00C43044" w:rsidRPr="00A472FC">
        <w:rPr>
          <w:rFonts w:ascii="Times New Roman" w:hAnsi="Times New Roman" w:cs="Times New Roman"/>
          <w:color w:val="000000" w:themeColor="text1"/>
        </w:rPr>
        <w:t xml:space="preserve"> As Jacquart elaborates, it had an impact on </w:t>
      </w:r>
      <w:proofErr w:type="spellStart"/>
      <w:r w:rsidR="00C43044" w:rsidRPr="00A472FC">
        <w:rPr>
          <w:rFonts w:ascii="Times New Roman" w:hAnsi="Times New Roman" w:cs="Times New Roman"/>
          <w:color w:val="000000" w:themeColor="text1"/>
        </w:rPr>
        <w:t>behavior</w:t>
      </w:r>
      <w:proofErr w:type="spellEnd"/>
      <w:r w:rsidR="00C43044" w:rsidRPr="00A472FC">
        <w:rPr>
          <w:rFonts w:ascii="Times New Roman" w:hAnsi="Times New Roman" w:cs="Times New Roman"/>
          <w:color w:val="000000" w:themeColor="text1"/>
        </w:rPr>
        <w:t xml:space="preserve">, and it was on that basis that medicine could </w:t>
      </w:r>
      <w:r w:rsidR="00C43044" w:rsidRPr="00A472FC">
        <w:rPr>
          <w:rFonts w:ascii="Times New Roman" w:hAnsi="Times New Roman" w:cs="Times New Roman"/>
          <w:color w:val="000000" w:themeColor="text1"/>
        </w:rPr>
        <w:lastRenderedPageBreak/>
        <w:t xml:space="preserve">claim to be a moral science. </w:t>
      </w:r>
      <w:r w:rsidRPr="00A472FC">
        <w:rPr>
          <w:rFonts w:ascii="Times New Roman" w:hAnsi="Times New Roman" w:cs="Times New Roman"/>
        </w:rPr>
        <w:t xml:space="preserve">Next there is the ‘spirit’ in Costa Ben Luca’s sense of a corporeal vital spirit that gives the ‘heat’ of life </w:t>
      </w:r>
      <w:r w:rsidR="00B4713E" w:rsidRPr="00A472FC">
        <w:rPr>
          <w:rFonts w:ascii="Times New Roman" w:hAnsi="Times New Roman" w:cs="Times New Roman"/>
        </w:rPr>
        <w:t>and thus</w:t>
      </w:r>
      <w:r w:rsidRPr="00A472FC">
        <w:rPr>
          <w:rFonts w:ascii="Times New Roman" w:hAnsi="Times New Roman" w:cs="Times New Roman"/>
        </w:rPr>
        <w:t xml:space="preserve"> complexion to the elements that constitute a particular being.</w:t>
      </w:r>
      <w:r w:rsidRPr="00A472FC">
        <w:rPr>
          <w:rStyle w:val="FootnoteReference"/>
          <w:rFonts w:ascii="Times New Roman" w:hAnsi="Times New Roman" w:cs="Times New Roman"/>
          <w:lang w:val="en-US"/>
        </w:rPr>
        <w:footnoteReference w:id="440"/>
      </w:r>
      <w:r w:rsidRPr="00A472FC">
        <w:rPr>
          <w:rFonts w:ascii="Times New Roman" w:hAnsi="Times New Roman" w:cs="Times New Roman"/>
        </w:rPr>
        <w:t xml:space="preserve"> Then come the vegetative and sensitive souls which respectively represent the remote and proximate media between the rational soul </w:t>
      </w:r>
      <w:r w:rsidR="00C7220C" w:rsidRPr="00A472FC">
        <w:rPr>
          <w:rFonts w:ascii="Times New Roman" w:hAnsi="Times New Roman" w:cs="Times New Roman"/>
        </w:rPr>
        <w:t>and</w:t>
      </w:r>
      <w:r w:rsidRPr="00A472FC">
        <w:rPr>
          <w:rFonts w:ascii="Times New Roman" w:hAnsi="Times New Roman" w:cs="Times New Roman"/>
        </w:rPr>
        <w:t xml:space="preserve"> the body and possibly constitute what Costa would have called the animal spirit</w:t>
      </w:r>
      <w:r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441"/>
      </w:r>
      <w:r w:rsidRPr="00A472FC">
        <w:rPr>
          <w:rFonts w:ascii="Times New Roman" w:hAnsi="Times New Roman" w:cs="Times New Roman"/>
          <w:lang w:val="en-US"/>
        </w:rPr>
        <w:t xml:space="preserve"> Each of these media has something in common with the one that is inferior as well as superior to it, and it is those commonalities that ultimately enable the body to be joined to the soul. </w:t>
      </w:r>
    </w:p>
    <w:p w14:paraId="6F1D30DF" w14:textId="1EFAC0A3" w:rsidR="00D7513D" w:rsidRPr="00A472FC" w:rsidRDefault="004C1CD7" w:rsidP="00A12004">
      <w:pPr>
        <w:autoSpaceDE w:val="0"/>
        <w:autoSpaceDN w:val="0"/>
        <w:adjustRightInd w:val="0"/>
        <w:ind w:right="-52" w:firstLine="720"/>
        <w:rPr>
          <w:rFonts w:ascii="Times New Roman" w:hAnsi="Times New Roman" w:cs="Times New Roman"/>
          <w:i/>
          <w:lang w:val="en-US"/>
        </w:rPr>
      </w:pPr>
      <w:r w:rsidRPr="00A472FC">
        <w:rPr>
          <w:rFonts w:ascii="Times New Roman" w:hAnsi="Times New Roman" w:cs="Times New Roman"/>
          <w:lang w:val="en-US"/>
        </w:rPr>
        <w:t xml:space="preserve">Although Costa Ben Luca is clearly a key source of inspiration for the general notion of intermediaries, </w:t>
      </w:r>
      <w:r w:rsidR="001238A4" w:rsidRPr="00A472FC">
        <w:rPr>
          <w:rFonts w:ascii="Times New Roman" w:hAnsi="Times New Roman" w:cs="Times New Roman"/>
          <w:lang w:val="en-US"/>
        </w:rPr>
        <w:t>Bieniak has shown</w:t>
      </w:r>
      <w:r w:rsidR="00724C12" w:rsidRPr="00A472FC">
        <w:rPr>
          <w:rFonts w:ascii="Times New Roman" w:hAnsi="Times New Roman" w:cs="Times New Roman"/>
          <w:lang w:val="en-US"/>
        </w:rPr>
        <w:t xml:space="preserve"> that </w:t>
      </w:r>
      <w:r w:rsidRPr="00A472FC">
        <w:rPr>
          <w:rFonts w:ascii="Times New Roman" w:hAnsi="Times New Roman" w:cs="Times New Roman"/>
          <w:lang w:val="en-US"/>
        </w:rPr>
        <w:t xml:space="preserve">there are two other </w:t>
      </w:r>
      <w:r w:rsidR="00252A73" w:rsidRPr="00A472FC">
        <w:rPr>
          <w:rFonts w:ascii="Times New Roman" w:hAnsi="Times New Roman" w:cs="Times New Roman"/>
          <w:lang w:val="en-US"/>
        </w:rPr>
        <w:t>potential</w:t>
      </w:r>
      <w:r w:rsidRPr="00A472FC">
        <w:rPr>
          <w:rFonts w:ascii="Times New Roman" w:hAnsi="Times New Roman" w:cs="Times New Roman"/>
          <w:lang w:val="en-US"/>
        </w:rPr>
        <w:t xml:space="preserve"> candidates for the source of the full-blown version of the theory that can be found in early scholastics. A case was made by </w:t>
      </w:r>
      <w:proofErr w:type="spellStart"/>
      <w:r w:rsidRPr="00A472FC">
        <w:rPr>
          <w:rFonts w:ascii="Times New Roman" w:hAnsi="Times New Roman" w:cs="Times New Roman"/>
          <w:lang w:val="en-US"/>
        </w:rPr>
        <w:t>Zavalloni</w:t>
      </w:r>
      <w:proofErr w:type="spellEnd"/>
      <w:r w:rsidRPr="00A472FC">
        <w:rPr>
          <w:rFonts w:ascii="Times New Roman" w:hAnsi="Times New Roman" w:cs="Times New Roman"/>
          <w:lang w:val="en-US"/>
        </w:rPr>
        <w:t xml:space="preserve"> in favor of Avicenna, but for reasons Bieniak </w:t>
      </w:r>
      <w:r w:rsidR="00286570" w:rsidRPr="00A472FC">
        <w:rPr>
          <w:rFonts w:ascii="Times New Roman" w:hAnsi="Times New Roman" w:cs="Times New Roman"/>
          <w:lang w:val="en-US"/>
        </w:rPr>
        <w:t xml:space="preserve">convincingly </w:t>
      </w:r>
      <w:r w:rsidRPr="00A472FC">
        <w:rPr>
          <w:rFonts w:ascii="Times New Roman" w:hAnsi="Times New Roman" w:cs="Times New Roman"/>
          <w:lang w:val="en-US"/>
        </w:rPr>
        <w:t>elaborates, the internal and external evidence does not support that reading.</w:t>
      </w:r>
      <w:r w:rsidRPr="00A472FC">
        <w:rPr>
          <w:rStyle w:val="FootnoteReference"/>
          <w:rFonts w:ascii="Times New Roman" w:hAnsi="Times New Roman" w:cs="Times New Roman"/>
          <w:lang w:val="en-US"/>
        </w:rPr>
        <w:footnoteReference w:id="442"/>
      </w:r>
      <w:r w:rsidRPr="00A472FC">
        <w:rPr>
          <w:rFonts w:ascii="Times New Roman" w:hAnsi="Times New Roman" w:cs="Times New Roman"/>
          <w:lang w:val="en-US"/>
        </w:rPr>
        <w:t xml:space="preserve"> The other </w:t>
      </w:r>
      <w:r w:rsidR="005F5C32" w:rsidRPr="00A472FC">
        <w:rPr>
          <w:rFonts w:ascii="Times New Roman" w:hAnsi="Times New Roman" w:cs="Times New Roman"/>
          <w:lang w:val="en-US"/>
        </w:rPr>
        <w:t xml:space="preserve">obvious </w:t>
      </w:r>
      <w:r w:rsidRPr="00A472FC">
        <w:rPr>
          <w:rFonts w:ascii="Times New Roman" w:hAnsi="Times New Roman" w:cs="Times New Roman"/>
          <w:lang w:val="en-US"/>
        </w:rPr>
        <w:t xml:space="preserve">candidate is </w:t>
      </w:r>
      <w:proofErr w:type="spellStart"/>
      <w:r w:rsidRPr="00A472FC">
        <w:rPr>
          <w:rFonts w:ascii="Times New Roman" w:hAnsi="Times New Roman" w:cs="Times New Roman"/>
          <w:lang w:val="en-US"/>
        </w:rPr>
        <w:t>Avicebron</w:t>
      </w:r>
      <w:proofErr w:type="spellEnd"/>
      <w:r w:rsidRPr="00A472FC">
        <w:rPr>
          <w:rFonts w:ascii="Times New Roman" w:hAnsi="Times New Roman" w:cs="Times New Roman"/>
          <w:lang w:val="en-US"/>
        </w:rPr>
        <w:t xml:space="preserve">, who much more explicitly and clearly advocated a series of intermediary dispositions that seems to have influenced Philip the Chancellor. As Bieniak notes, for instance, Philip most likely had direct access to the </w:t>
      </w:r>
      <w:r w:rsidRPr="00A472FC">
        <w:rPr>
          <w:rFonts w:ascii="Times New Roman" w:hAnsi="Times New Roman" w:cs="Times New Roman"/>
          <w:i/>
          <w:lang w:val="en-US"/>
        </w:rPr>
        <w:t>Fons Vitae</w:t>
      </w:r>
      <w:r w:rsidRPr="00A472FC">
        <w:rPr>
          <w:rFonts w:ascii="Times New Roman" w:hAnsi="Times New Roman" w:cs="Times New Roman"/>
          <w:iCs/>
          <w:lang w:val="en-US"/>
        </w:rPr>
        <w:t>,</w:t>
      </w:r>
      <w:r w:rsidRPr="00A472FC">
        <w:rPr>
          <w:rFonts w:ascii="Times New Roman" w:hAnsi="Times New Roman" w:cs="Times New Roman"/>
          <w:i/>
          <w:lang w:val="en-US"/>
        </w:rPr>
        <w:t xml:space="preserve"> </w:t>
      </w:r>
      <w:r w:rsidRPr="00A472FC">
        <w:rPr>
          <w:rFonts w:ascii="Times New Roman" w:hAnsi="Times New Roman" w:cs="Times New Roman"/>
          <w:lang w:val="en-US"/>
        </w:rPr>
        <w:t>although</w:t>
      </w:r>
      <w:r w:rsidRPr="00A472FC">
        <w:rPr>
          <w:rFonts w:ascii="Times New Roman" w:hAnsi="Times New Roman" w:cs="Times New Roman"/>
          <w:i/>
          <w:lang w:val="en-US"/>
        </w:rPr>
        <w:t xml:space="preserve"> </w:t>
      </w:r>
      <w:r w:rsidRPr="00A472FC">
        <w:rPr>
          <w:rFonts w:ascii="Times New Roman" w:hAnsi="Times New Roman" w:cs="Times New Roman"/>
          <w:lang w:val="en-US"/>
        </w:rPr>
        <w:t xml:space="preserve">he cites it by a different title, namely, the </w:t>
      </w:r>
      <w:r w:rsidRPr="00A472FC">
        <w:rPr>
          <w:rFonts w:ascii="Times New Roman" w:hAnsi="Times New Roman" w:cs="Times New Roman"/>
          <w:i/>
          <w:lang w:val="en-US"/>
        </w:rPr>
        <w:t xml:space="preserve">Liber de </w:t>
      </w:r>
      <w:proofErr w:type="spellStart"/>
      <w:r w:rsidRPr="00A472FC">
        <w:rPr>
          <w:rFonts w:ascii="Times New Roman" w:hAnsi="Times New Roman" w:cs="Times New Roman"/>
          <w:i/>
          <w:lang w:val="en-US"/>
        </w:rPr>
        <w:t>materia</w:t>
      </w:r>
      <w:proofErr w:type="spellEnd"/>
      <w:r w:rsidRPr="00A472FC">
        <w:rPr>
          <w:rFonts w:ascii="Times New Roman" w:hAnsi="Times New Roman" w:cs="Times New Roman"/>
          <w:i/>
          <w:lang w:val="en-US"/>
        </w:rPr>
        <w:t xml:space="preserve"> et forma.</w:t>
      </w:r>
      <w:r w:rsidRPr="00A472FC">
        <w:rPr>
          <w:rStyle w:val="FootnoteReference"/>
          <w:rFonts w:ascii="Times New Roman" w:hAnsi="Times New Roman" w:cs="Times New Roman"/>
          <w:lang w:val="en-US"/>
        </w:rPr>
        <w:footnoteReference w:id="443"/>
      </w:r>
      <w:r w:rsidRPr="00A472FC">
        <w:rPr>
          <w:rFonts w:ascii="Times New Roman" w:hAnsi="Times New Roman" w:cs="Times New Roman"/>
          <w:i/>
          <w:lang w:val="en-US"/>
        </w:rPr>
        <w:t xml:space="preserve"> </w:t>
      </w:r>
    </w:p>
    <w:p w14:paraId="4279EDF6" w14:textId="7816D9AF" w:rsidR="004C1CD7" w:rsidRPr="00A472FC" w:rsidRDefault="004C1CD7" w:rsidP="00A120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According to </w:t>
      </w:r>
      <w:proofErr w:type="spellStart"/>
      <w:r w:rsidRPr="00A472FC">
        <w:rPr>
          <w:rFonts w:ascii="Times New Roman" w:hAnsi="Times New Roman" w:cs="Times New Roman"/>
          <w:lang w:val="en-US"/>
        </w:rPr>
        <w:t>Avicebron</w:t>
      </w:r>
      <w:proofErr w:type="spellEnd"/>
      <w:r w:rsidRPr="00A472FC">
        <w:rPr>
          <w:rFonts w:ascii="Times New Roman" w:hAnsi="Times New Roman" w:cs="Times New Roman"/>
          <w:lang w:val="en-US"/>
        </w:rPr>
        <w:t xml:space="preserve">, there is a hierarchy of forms in all human beings through which the soul is connected to the body. ‘Just as in the </w:t>
      </w:r>
      <w:r w:rsidRPr="00A472FC">
        <w:rPr>
          <w:rFonts w:ascii="Times New Roman" w:hAnsi="Times New Roman" w:cs="Times New Roman"/>
          <w:i/>
          <w:lang w:val="en-US"/>
        </w:rPr>
        <w:t xml:space="preserve">Summa de bono </w:t>
      </w:r>
      <w:r w:rsidRPr="00A472FC">
        <w:rPr>
          <w:rFonts w:ascii="Times New Roman" w:hAnsi="Times New Roman" w:cs="Times New Roman"/>
          <w:lang w:val="en-US"/>
        </w:rPr>
        <w:t xml:space="preserve">lower forms play the role of material dispositions in regard to higher forms, so in the </w:t>
      </w:r>
      <w:r w:rsidRPr="00A472FC">
        <w:rPr>
          <w:rFonts w:ascii="Times New Roman" w:hAnsi="Times New Roman" w:cs="Times New Roman"/>
          <w:i/>
          <w:lang w:val="en-US"/>
        </w:rPr>
        <w:t>Fons vitae</w:t>
      </w:r>
      <w:r w:rsidRPr="00A472FC">
        <w:rPr>
          <w:rFonts w:ascii="Times New Roman" w:hAnsi="Times New Roman" w:cs="Times New Roman"/>
          <w:lang w:val="en-US"/>
        </w:rPr>
        <w:t>, lower forms play the role of matter in regard to higher forms, which, in their turn, operate in lower forms.’</w:t>
      </w:r>
      <w:r w:rsidRPr="00A472FC">
        <w:rPr>
          <w:rStyle w:val="FootnoteReference"/>
          <w:rFonts w:ascii="Times New Roman" w:hAnsi="Times New Roman" w:cs="Times New Roman"/>
          <w:lang w:val="en-US"/>
        </w:rPr>
        <w:footnoteReference w:id="444"/>
      </w:r>
      <w:r w:rsidRPr="00A472FC">
        <w:rPr>
          <w:rFonts w:ascii="Times New Roman" w:hAnsi="Times New Roman" w:cs="Times New Roman"/>
          <w:lang w:val="en-US"/>
        </w:rPr>
        <w:t xml:space="preserve"> While the vegetative soul is similar to the body because of its concern with material existence, the sensitive soul relates to the rational soul because it prepares particular images for cognition.</w:t>
      </w:r>
      <w:r w:rsidRPr="00A472FC">
        <w:rPr>
          <w:rStyle w:val="FootnoteReference"/>
          <w:rFonts w:ascii="Times New Roman" w:hAnsi="Times New Roman" w:cs="Times New Roman"/>
          <w:lang w:val="en-US"/>
        </w:rPr>
        <w:footnoteReference w:id="445"/>
      </w:r>
      <w:r w:rsidRPr="00A472FC">
        <w:rPr>
          <w:rFonts w:ascii="Times New Roman" w:hAnsi="Times New Roman" w:cs="Times New Roman"/>
          <w:lang w:val="en-US"/>
        </w:rPr>
        <w:t xml:space="preserve"> A similar view is presented in </w:t>
      </w:r>
      <w:proofErr w:type="spellStart"/>
      <w:r w:rsidRPr="00A472FC">
        <w:rPr>
          <w:rFonts w:ascii="Times New Roman" w:hAnsi="Times New Roman" w:cs="Times New Roman"/>
          <w:lang w:val="en-US"/>
        </w:rPr>
        <w:t>Gundissalinus</w:t>
      </w:r>
      <w:proofErr w:type="spellEnd"/>
      <w:r w:rsidR="00503BA8" w:rsidRPr="00A472FC">
        <w:rPr>
          <w:rFonts w:ascii="Times New Roman" w:hAnsi="Times New Roman" w:cs="Times New Roman"/>
          <w:lang w:val="en-US"/>
        </w:rPr>
        <w:t>, whose role in translating th</w:t>
      </w:r>
      <w:r w:rsidRPr="00A472FC">
        <w:rPr>
          <w:rFonts w:ascii="Times New Roman" w:hAnsi="Times New Roman" w:cs="Times New Roman"/>
          <w:lang w:val="en-US"/>
        </w:rPr>
        <w:t xml:space="preserve">e </w:t>
      </w:r>
      <w:r w:rsidRPr="00A472FC">
        <w:rPr>
          <w:rFonts w:ascii="Times New Roman" w:hAnsi="Times New Roman" w:cs="Times New Roman"/>
          <w:i/>
          <w:lang w:val="en-US"/>
        </w:rPr>
        <w:t xml:space="preserve">Fons vitae </w:t>
      </w:r>
      <w:r w:rsidR="00503BA8" w:rsidRPr="00A472FC">
        <w:rPr>
          <w:rFonts w:ascii="Times New Roman" w:hAnsi="Times New Roman" w:cs="Times New Roman"/>
          <w:lang w:val="en-US"/>
        </w:rPr>
        <w:t>helps to explain why he also</w:t>
      </w:r>
      <w:r w:rsidRPr="00A472FC">
        <w:rPr>
          <w:rFonts w:ascii="Times New Roman" w:hAnsi="Times New Roman" w:cs="Times New Roman"/>
          <w:lang w:val="en-US"/>
        </w:rPr>
        <w:t xml:space="preserve"> adopted the theory of vegetative and sensitive intermediaries. For his part, John </w:t>
      </w:r>
      <w:proofErr w:type="spellStart"/>
      <w:r w:rsidRPr="00A472FC">
        <w:rPr>
          <w:rFonts w:ascii="Times New Roman" w:hAnsi="Times New Roman" w:cs="Times New Roman"/>
          <w:lang w:val="en-US"/>
        </w:rPr>
        <w:t>Blund</w:t>
      </w:r>
      <w:proofErr w:type="spellEnd"/>
      <w:r w:rsidRPr="00A472FC">
        <w:rPr>
          <w:rFonts w:ascii="Times New Roman" w:hAnsi="Times New Roman" w:cs="Times New Roman"/>
          <w:lang w:val="en-US"/>
        </w:rPr>
        <w:t xml:space="preserve"> basically makes no reference at all to these media, working as he did under the more exclusive influence of Avicenna.</w:t>
      </w:r>
      <w:r w:rsidRPr="00A472FC">
        <w:rPr>
          <w:rStyle w:val="FootnoteReference"/>
          <w:rFonts w:ascii="Times New Roman" w:hAnsi="Times New Roman" w:cs="Times New Roman"/>
          <w:lang w:val="en-US"/>
        </w:rPr>
        <w:footnoteReference w:id="446"/>
      </w:r>
      <w:r w:rsidRPr="00A472FC">
        <w:rPr>
          <w:rFonts w:ascii="Times New Roman" w:hAnsi="Times New Roman" w:cs="Times New Roman"/>
          <w:lang w:val="en-US"/>
        </w:rPr>
        <w:t xml:space="preserve"> </w:t>
      </w:r>
    </w:p>
    <w:p w14:paraId="5AAABE26" w14:textId="0C12A533" w:rsidR="004C1CD7" w:rsidRPr="00A472FC" w:rsidRDefault="004C1CD7" w:rsidP="008816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By contrast, the vegetative and sensitive intermediaries are mentioned in the anonymous treatise, </w:t>
      </w:r>
      <w:r w:rsidRPr="00A472FC">
        <w:rPr>
          <w:rFonts w:ascii="Times New Roman" w:hAnsi="Times New Roman" w:cs="Times New Roman"/>
          <w:i/>
          <w:lang w:val="en-US"/>
        </w:rPr>
        <w:t xml:space="preserve">De </w:t>
      </w:r>
      <w:proofErr w:type="spellStart"/>
      <w:r w:rsidRPr="00A472FC">
        <w:rPr>
          <w:rFonts w:ascii="Times New Roman" w:hAnsi="Times New Roman" w:cs="Times New Roman"/>
          <w:i/>
          <w:lang w:val="en-US"/>
        </w:rPr>
        <w:t>potentiis</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animae</w:t>
      </w:r>
      <w:proofErr w:type="spellEnd"/>
      <w:r w:rsidRPr="00A472FC">
        <w:rPr>
          <w:rFonts w:ascii="Times New Roman" w:hAnsi="Times New Roman" w:cs="Times New Roman"/>
          <w:i/>
          <w:lang w:val="en-US"/>
        </w:rPr>
        <w:t xml:space="preserve"> et </w:t>
      </w:r>
      <w:proofErr w:type="spellStart"/>
      <w:r w:rsidRPr="00A472FC">
        <w:rPr>
          <w:rFonts w:ascii="Times New Roman" w:hAnsi="Times New Roman" w:cs="Times New Roman"/>
          <w:i/>
          <w:lang w:val="en-US"/>
        </w:rPr>
        <w:t>obiectis</w:t>
      </w:r>
      <w:proofErr w:type="spellEnd"/>
      <w:r w:rsidRPr="00A472FC">
        <w:rPr>
          <w:rFonts w:ascii="Times New Roman" w:hAnsi="Times New Roman" w:cs="Times New Roman"/>
          <w:lang w:val="en-US"/>
        </w:rPr>
        <w:t xml:space="preserve">, which influenced not only John of La Rochelle but also Philip the Chancellor. The author of this work shows great familiarity with </w:t>
      </w:r>
      <w:proofErr w:type="spellStart"/>
      <w:r w:rsidRPr="00A472FC">
        <w:rPr>
          <w:rFonts w:ascii="Times New Roman" w:hAnsi="Times New Roman" w:cs="Times New Roman"/>
          <w:lang w:val="en-US"/>
        </w:rPr>
        <w:t>Avicebron’s</w:t>
      </w:r>
      <w:proofErr w:type="spellEnd"/>
      <w:r w:rsidRPr="00A472FC">
        <w:rPr>
          <w:rFonts w:ascii="Times New Roman" w:hAnsi="Times New Roman" w:cs="Times New Roman"/>
          <w:lang w:val="en-US"/>
        </w:rPr>
        <w:t xml:space="preserve"> </w:t>
      </w:r>
      <w:r w:rsidR="00147585" w:rsidRPr="00A472FC">
        <w:rPr>
          <w:rFonts w:ascii="Times New Roman" w:hAnsi="Times New Roman" w:cs="Times New Roman"/>
          <w:lang w:val="en-US"/>
        </w:rPr>
        <w:t>text</w:t>
      </w:r>
      <w:r w:rsidRPr="00A472FC">
        <w:rPr>
          <w:rFonts w:ascii="Times New Roman" w:hAnsi="Times New Roman" w:cs="Times New Roman"/>
          <w:lang w:val="en-US"/>
        </w:rPr>
        <w:t xml:space="preserve"> and cites it frequently.</w:t>
      </w:r>
      <w:r w:rsidRPr="00A472FC">
        <w:rPr>
          <w:rStyle w:val="FootnoteReference"/>
          <w:rFonts w:ascii="Times New Roman" w:hAnsi="Times New Roman" w:cs="Times New Roman"/>
          <w:lang w:val="en-US"/>
        </w:rPr>
        <w:footnoteReference w:id="447"/>
      </w:r>
      <w:r w:rsidRPr="00A472FC">
        <w:rPr>
          <w:rFonts w:ascii="Times New Roman" w:hAnsi="Times New Roman" w:cs="Times New Roman"/>
          <w:lang w:val="en-US"/>
        </w:rPr>
        <w:t xml:space="preserve"> </w:t>
      </w:r>
      <w:r w:rsidR="002A7E46" w:rsidRPr="00A472FC">
        <w:rPr>
          <w:rFonts w:ascii="Times New Roman" w:hAnsi="Times New Roman" w:cs="Times New Roman"/>
          <w:lang w:val="en-US"/>
        </w:rPr>
        <w:t xml:space="preserve">He also </w:t>
      </w:r>
      <w:r w:rsidRPr="00A472FC">
        <w:rPr>
          <w:rFonts w:ascii="Times New Roman" w:hAnsi="Times New Roman" w:cs="Times New Roman"/>
          <w:lang w:val="en-US"/>
        </w:rPr>
        <w:t xml:space="preserve">adds to </w:t>
      </w:r>
      <w:proofErr w:type="spellStart"/>
      <w:r w:rsidRPr="00A472FC">
        <w:rPr>
          <w:rFonts w:ascii="Times New Roman" w:hAnsi="Times New Roman" w:cs="Times New Roman"/>
          <w:lang w:val="en-US"/>
        </w:rPr>
        <w:t>Avicebron’s</w:t>
      </w:r>
      <w:proofErr w:type="spellEnd"/>
      <w:r w:rsidRPr="00A472FC">
        <w:rPr>
          <w:rFonts w:ascii="Times New Roman" w:hAnsi="Times New Roman" w:cs="Times New Roman"/>
          <w:lang w:val="en-US"/>
        </w:rPr>
        <w:t xml:space="preserve"> vegetative and sensitive intermediaries two corporeal intermediaries of ‘spirit’ and </w:t>
      </w:r>
      <w:proofErr w:type="spellStart"/>
      <w:r w:rsidRPr="00A472FC">
        <w:rPr>
          <w:rFonts w:ascii="Times New Roman" w:hAnsi="Times New Roman" w:cs="Times New Roman"/>
          <w:i/>
          <w:lang w:val="en-US"/>
        </w:rPr>
        <w:t>virtus</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elementaris</w:t>
      </w:r>
      <w:proofErr w:type="spellEnd"/>
      <w:r w:rsidRPr="00A472FC">
        <w:rPr>
          <w:rFonts w:ascii="Times New Roman" w:hAnsi="Times New Roman" w:cs="Times New Roman"/>
          <w:lang w:val="en-US"/>
        </w:rPr>
        <w:t>, which clearly lay the foundation for the account that Philip later develops.</w:t>
      </w:r>
      <w:r w:rsidRPr="00A472FC">
        <w:rPr>
          <w:rStyle w:val="FootnoteReference"/>
          <w:rFonts w:ascii="Times New Roman" w:hAnsi="Times New Roman" w:cs="Times New Roman"/>
          <w:lang w:val="en-US"/>
        </w:rPr>
        <w:footnoteReference w:id="448"/>
      </w:r>
      <w:r w:rsidRPr="00A472FC">
        <w:rPr>
          <w:rFonts w:ascii="Times New Roman" w:hAnsi="Times New Roman" w:cs="Times New Roman"/>
          <w:lang w:val="en-US"/>
        </w:rPr>
        <w:t xml:space="preserve"> </w:t>
      </w:r>
    </w:p>
    <w:p w14:paraId="634DA07A" w14:textId="3F7B3C34"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In his own work, John of La Rochelle departs from the precedents set before him by insisting that the soul is immediately united to the body—and thus united without a medium—insofar as it is essentially and not accidentally united to the body. This position gains further support, in his view, when we consider that the soul is united to the body as its form or perfection, and a form is united to matter through itself and thus without a medium.</w:t>
      </w:r>
      <w:r w:rsidRPr="00A472FC">
        <w:rPr>
          <w:rStyle w:val="FootnoteReference"/>
          <w:rFonts w:ascii="Times New Roman" w:hAnsi="Times New Roman" w:cs="Times New Roman"/>
        </w:rPr>
        <w:footnoteReference w:id="449"/>
      </w:r>
      <w:r w:rsidRPr="00A472FC">
        <w:rPr>
          <w:rFonts w:ascii="Times New Roman" w:hAnsi="Times New Roman" w:cs="Times New Roman"/>
        </w:rPr>
        <w:t xml:space="preserve"> </w:t>
      </w:r>
      <w:r w:rsidRPr="00A472FC">
        <w:rPr>
          <w:rFonts w:ascii="Times New Roman" w:hAnsi="Times New Roman" w:cs="Times New Roman"/>
        </w:rPr>
        <w:lastRenderedPageBreak/>
        <w:t xml:space="preserve">Although he makes these strong affirmations, John nonetheless acknowledges a possible objection to his view, which concerns the fact that the soul and body are opposites. While the soul is simple, the body is composed; one is immortal, the other moral, one perpetual, one temporal, and so on, which would seem to </w:t>
      </w:r>
      <w:r w:rsidR="00641160" w:rsidRPr="00A472FC">
        <w:rPr>
          <w:rFonts w:ascii="Times New Roman" w:hAnsi="Times New Roman" w:cs="Times New Roman"/>
        </w:rPr>
        <w:t xml:space="preserve">pose an obstacle to </w:t>
      </w:r>
      <w:r w:rsidRPr="00A472FC">
        <w:rPr>
          <w:rFonts w:ascii="Times New Roman" w:hAnsi="Times New Roman" w:cs="Times New Roman"/>
        </w:rPr>
        <w:t>their union.</w:t>
      </w:r>
      <w:r w:rsidRPr="00A472FC">
        <w:rPr>
          <w:rStyle w:val="FootnoteReference"/>
          <w:rFonts w:ascii="Times New Roman" w:hAnsi="Times New Roman" w:cs="Times New Roman"/>
        </w:rPr>
        <w:footnoteReference w:id="450"/>
      </w:r>
    </w:p>
    <w:p w14:paraId="34125F02" w14:textId="71CD8D21"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In an attempt address this concern, John ultimately concludes that while the soul is united to the body without a medium insofar as it is related as a perfection to a perfectible, it is united through the medium of its powers—vegetative, sensitive, and so on—insofar as it is considered as the operator of an organ or instrument. In the view of both Dales and Bieniak, this is a clear logical contradiction, namely, to affirm as John does that the soul and body both do and do not require media to be united. </w:t>
      </w:r>
    </w:p>
    <w:p w14:paraId="3FD39EC7" w14:textId="1DA17B0F"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In a further charge against Hugh of St Cher, which seemingly applies to John as well, Bieniak adds that it is inconsistent to affirm simultaneously that the soul is substantially </w:t>
      </w:r>
      <w:proofErr w:type="spellStart"/>
      <w:r w:rsidRPr="00A472FC">
        <w:rPr>
          <w:rFonts w:ascii="Times New Roman" w:hAnsi="Times New Roman" w:cs="Times New Roman"/>
        </w:rPr>
        <w:t>unitable</w:t>
      </w:r>
      <w:proofErr w:type="spellEnd"/>
      <w:r w:rsidRPr="00A472FC">
        <w:rPr>
          <w:rFonts w:ascii="Times New Roman" w:hAnsi="Times New Roman" w:cs="Times New Roman"/>
        </w:rPr>
        <w:t xml:space="preserve"> to the body and yet requires media to bring about the union.</w:t>
      </w:r>
      <w:r w:rsidRPr="00A472FC">
        <w:rPr>
          <w:rStyle w:val="FootnoteReference"/>
          <w:rFonts w:ascii="Times New Roman" w:hAnsi="Times New Roman" w:cs="Times New Roman"/>
        </w:rPr>
        <w:footnoteReference w:id="451"/>
      </w:r>
      <w:r w:rsidRPr="00A472FC">
        <w:rPr>
          <w:rFonts w:ascii="Times New Roman" w:hAnsi="Times New Roman" w:cs="Times New Roman"/>
        </w:rPr>
        <w:t xml:space="preserve"> The crucial point to </w:t>
      </w:r>
      <w:proofErr w:type="spellStart"/>
      <w:r w:rsidRPr="00A472FC">
        <w:rPr>
          <w:rFonts w:ascii="Times New Roman" w:hAnsi="Times New Roman" w:cs="Times New Roman"/>
        </w:rPr>
        <w:t>emphasize</w:t>
      </w:r>
      <w:proofErr w:type="spellEnd"/>
      <w:r w:rsidRPr="00A472FC">
        <w:rPr>
          <w:rFonts w:ascii="Times New Roman" w:hAnsi="Times New Roman" w:cs="Times New Roman"/>
        </w:rPr>
        <w:t xml:space="preserve"> here, however, is that the media John has in mind are not media strictly speaking such as Costa envisaged, but merely the means of rendering the soul’s intentions into act. These means consist in the powers of the soul which serve as the middle ground between the essence of the soul and its operations, without which the operations of the soul could not actually occur.</w:t>
      </w:r>
      <w:r w:rsidRPr="00A472FC">
        <w:rPr>
          <w:rStyle w:val="FootnoteReference"/>
          <w:rFonts w:ascii="Times New Roman" w:hAnsi="Times New Roman" w:cs="Times New Roman"/>
        </w:rPr>
        <w:footnoteReference w:id="452"/>
      </w:r>
      <w:r w:rsidRPr="00A472FC">
        <w:rPr>
          <w:rFonts w:ascii="Times New Roman" w:hAnsi="Times New Roman" w:cs="Times New Roman"/>
        </w:rPr>
        <w:t xml:space="preserve"> Although they are required to translate the intentions of a simple soul into the diverse activities of a complex body, these media do not undermine the immediate relationship of the soul to the body that John posits</w:t>
      </w:r>
      <w:r w:rsidR="002629D8" w:rsidRPr="00A472FC">
        <w:rPr>
          <w:rFonts w:ascii="Times New Roman" w:hAnsi="Times New Roman" w:cs="Times New Roman"/>
        </w:rPr>
        <w:t xml:space="preserve"> but rather enact it</w:t>
      </w:r>
      <w:r w:rsidRPr="00A472FC">
        <w:rPr>
          <w:rFonts w:ascii="Times New Roman" w:hAnsi="Times New Roman" w:cs="Times New Roman"/>
        </w:rPr>
        <w:t xml:space="preserve">. </w:t>
      </w:r>
    </w:p>
    <w:p w14:paraId="347F03F9" w14:textId="5547E8AB"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In the SDA, John </w:t>
      </w:r>
      <w:r w:rsidR="00F70155" w:rsidRPr="00A472FC">
        <w:rPr>
          <w:rFonts w:ascii="Times New Roman" w:hAnsi="Times New Roman" w:cs="Times New Roman"/>
        </w:rPr>
        <w:t>lists</w:t>
      </w:r>
      <w:r w:rsidRPr="00A472FC">
        <w:rPr>
          <w:rFonts w:ascii="Times New Roman" w:hAnsi="Times New Roman" w:cs="Times New Roman"/>
        </w:rPr>
        <w:t xml:space="preserve"> four media in total, two on the side of the body and two on the side of the soul.</w:t>
      </w:r>
      <w:r w:rsidRPr="00A472FC">
        <w:rPr>
          <w:rStyle w:val="FootnoteReference"/>
          <w:rFonts w:ascii="Times New Roman" w:hAnsi="Times New Roman" w:cs="Times New Roman"/>
        </w:rPr>
        <w:footnoteReference w:id="453"/>
      </w:r>
      <w:r w:rsidRPr="00A472FC">
        <w:rPr>
          <w:rFonts w:ascii="Times New Roman" w:hAnsi="Times New Roman" w:cs="Times New Roman"/>
        </w:rPr>
        <w:t xml:space="preserve"> As in the other cases we have examined, the basic principle behind the enumeration of these media is that they need to have something in common with the powers on either side. On the part of the soul, consequently, there is first the sensible soul which feeds data to the intellect and receives it from the body in turn. Then there is the vegetative soul which </w:t>
      </w:r>
      <w:r w:rsidR="006846D6" w:rsidRPr="00A472FC">
        <w:rPr>
          <w:rFonts w:ascii="Times New Roman" w:hAnsi="Times New Roman" w:cs="Times New Roman"/>
        </w:rPr>
        <w:t>provides</w:t>
      </w:r>
      <w:r w:rsidRPr="00A472FC">
        <w:rPr>
          <w:rFonts w:ascii="Times New Roman" w:hAnsi="Times New Roman" w:cs="Times New Roman"/>
        </w:rPr>
        <w:t xml:space="preserve"> material to the sense faculties, even while making contact with the outside world from which that material is derived.</w:t>
      </w:r>
      <w:r w:rsidRPr="00A472FC">
        <w:rPr>
          <w:rStyle w:val="FootnoteReference"/>
          <w:rFonts w:ascii="Times New Roman" w:hAnsi="Times New Roman" w:cs="Times New Roman"/>
        </w:rPr>
        <w:footnoteReference w:id="454"/>
      </w:r>
    </w:p>
    <w:p w14:paraId="3B68EA72" w14:textId="6C68A945" w:rsidR="00456E37" w:rsidRPr="00A472FC" w:rsidRDefault="004C1CD7" w:rsidP="00881604">
      <w:pPr>
        <w:ind w:right="-52" w:firstLine="720"/>
        <w:rPr>
          <w:rFonts w:ascii="Times New Roman" w:hAnsi="Times New Roman" w:cs="Times New Roman"/>
        </w:rPr>
      </w:pPr>
      <w:r w:rsidRPr="00A472FC">
        <w:rPr>
          <w:rFonts w:ascii="Times New Roman" w:hAnsi="Times New Roman" w:cs="Times New Roman"/>
        </w:rPr>
        <w:lastRenderedPageBreak/>
        <w:t>On the part of the body, there is first and foremost what is described after Costa Ben Luca as the spirit. This is one of a number of equivocal uses of the term ‘spirit’ of which John speaks.</w:t>
      </w:r>
      <w:r w:rsidRPr="00A472FC">
        <w:rPr>
          <w:rStyle w:val="FootnoteReference"/>
          <w:rFonts w:ascii="Times New Roman" w:hAnsi="Times New Roman" w:cs="Times New Roman"/>
          <w:lang w:val="en-US"/>
        </w:rPr>
        <w:footnoteReference w:id="455"/>
      </w:r>
      <w:r w:rsidRPr="00A472FC">
        <w:rPr>
          <w:rFonts w:ascii="Times New Roman" w:hAnsi="Times New Roman" w:cs="Times New Roman"/>
        </w:rPr>
        <w:t xml:space="preserve"> As he notes, angels can be called spirits, as can the substance of the rational soul as separate from the body, which is on Augustine’s account concerned with ‘higher things’.</w:t>
      </w:r>
      <w:r w:rsidRPr="00A472FC">
        <w:rPr>
          <w:rStyle w:val="FootnoteReference"/>
          <w:rFonts w:ascii="Times New Roman" w:hAnsi="Times New Roman" w:cs="Times New Roman"/>
        </w:rPr>
        <w:footnoteReference w:id="456"/>
      </w:r>
      <w:r w:rsidRPr="00A472FC">
        <w:rPr>
          <w:rFonts w:ascii="Times New Roman" w:hAnsi="Times New Roman" w:cs="Times New Roman"/>
        </w:rPr>
        <w:t xml:space="preserve"> Then there is the imagination where likenesses of corporeal things are imprinted; finally, there is a two-fold corporeal spirit in Costa’s sense of a neural vehicle for sense and motion, on the one hand, that is, the brain, and the </w:t>
      </w:r>
      <w:r w:rsidR="005B10C5" w:rsidRPr="00A472FC">
        <w:rPr>
          <w:rFonts w:ascii="Times New Roman" w:hAnsi="Times New Roman" w:cs="Times New Roman"/>
        </w:rPr>
        <w:t>blood</w:t>
      </w:r>
      <w:r w:rsidRPr="00A472FC">
        <w:rPr>
          <w:rFonts w:ascii="Times New Roman" w:hAnsi="Times New Roman" w:cs="Times New Roman"/>
        </w:rPr>
        <w:t xml:space="preserve"> received in the heart which causes it to beat and gives life to the body, on the other. </w:t>
      </w:r>
    </w:p>
    <w:p w14:paraId="255EB63C" w14:textId="38952CAA"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This latter is the form of spirit to which John refers in this context, namely, the spirit as the physical vehicle—</w:t>
      </w:r>
      <w:r w:rsidR="004A23AF" w:rsidRPr="00A472FC">
        <w:rPr>
          <w:rFonts w:ascii="Times New Roman" w:hAnsi="Times New Roman" w:cs="Times New Roman"/>
        </w:rPr>
        <w:t>enacted by</w:t>
      </w:r>
      <w:r w:rsidR="00F21B15" w:rsidRPr="00A472FC">
        <w:rPr>
          <w:rFonts w:ascii="Times New Roman" w:hAnsi="Times New Roman" w:cs="Times New Roman"/>
        </w:rPr>
        <w:t xml:space="preserve"> the beating </w:t>
      </w:r>
      <w:r w:rsidR="00DE1965" w:rsidRPr="00A472FC">
        <w:rPr>
          <w:rFonts w:ascii="Times New Roman" w:hAnsi="Times New Roman" w:cs="Times New Roman"/>
        </w:rPr>
        <w:t>of the heart—</w:t>
      </w:r>
      <w:r w:rsidRPr="00A472FC">
        <w:rPr>
          <w:rFonts w:ascii="Times New Roman" w:hAnsi="Times New Roman" w:cs="Times New Roman"/>
        </w:rPr>
        <w:t xml:space="preserve">of the soul’s powers which diffuses those powers throughout the body. The last medium is comprised of the four humours or elements of air, fire, earth, and water, which converge </w:t>
      </w:r>
      <w:r w:rsidR="00E5130F" w:rsidRPr="00A472FC">
        <w:rPr>
          <w:rFonts w:ascii="Times New Roman" w:hAnsi="Times New Roman" w:cs="Times New Roman"/>
        </w:rPr>
        <w:t xml:space="preserve">uniquely </w:t>
      </w:r>
      <w:r w:rsidRPr="00A472FC">
        <w:rPr>
          <w:rFonts w:ascii="Times New Roman" w:hAnsi="Times New Roman" w:cs="Times New Roman"/>
        </w:rPr>
        <w:t>in the human of all beings and make that being what it is.</w:t>
      </w:r>
      <w:r w:rsidRPr="00A472FC">
        <w:rPr>
          <w:rStyle w:val="FootnoteReference"/>
          <w:rFonts w:ascii="Times New Roman" w:hAnsi="Times New Roman" w:cs="Times New Roman"/>
        </w:rPr>
        <w:footnoteReference w:id="457"/>
      </w:r>
      <w:r w:rsidRPr="00A472FC">
        <w:rPr>
          <w:rFonts w:ascii="Times New Roman" w:hAnsi="Times New Roman" w:cs="Times New Roman"/>
        </w:rPr>
        <w:t xml:space="preserve"> </w:t>
      </w:r>
      <w:r w:rsidR="00725A0E" w:rsidRPr="00A472FC">
        <w:rPr>
          <w:rFonts w:ascii="Times New Roman" w:hAnsi="Times New Roman" w:cs="Times New Roman"/>
        </w:rPr>
        <w:t xml:space="preserve">Most likely with the arguments of John and the Summa in view, William of Auvergne treated the soul as the immediate principle of the body and seemingly denied any intermediaries whatsoever, for reasons we will better understand when we see his response to John of La Rochelle’s theory of cognition in chapter </w:t>
      </w:r>
      <w:r w:rsidR="00367F86" w:rsidRPr="00A472FC">
        <w:rPr>
          <w:rFonts w:ascii="Times New Roman" w:hAnsi="Times New Roman" w:cs="Times New Roman"/>
        </w:rPr>
        <w:t>six</w:t>
      </w:r>
      <w:r w:rsidR="00725A0E" w:rsidRPr="00A472FC">
        <w:rPr>
          <w:rFonts w:ascii="Times New Roman" w:hAnsi="Times New Roman" w:cs="Times New Roman"/>
        </w:rPr>
        <w:t>.</w:t>
      </w:r>
      <w:r w:rsidR="00725A0E" w:rsidRPr="00A472FC">
        <w:rPr>
          <w:rStyle w:val="FootnoteReference"/>
          <w:rFonts w:ascii="Times New Roman" w:hAnsi="Times New Roman" w:cs="Times New Roman"/>
        </w:rPr>
        <w:footnoteReference w:id="458"/>
      </w:r>
    </w:p>
    <w:p w14:paraId="3D81EFF1" w14:textId="17928632"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The position of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on this matter basically repeats the arguments of John of La Rochelle. As the soul is united to the body </w:t>
      </w:r>
      <w:r w:rsidR="00A95A06" w:rsidRPr="00A472FC">
        <w:rPr>
          <w:rFonts w:ascii="Times New Roman" w:hAnsi="Times New Roman" w:cs="Times New Roman"/>
        </w:rPr>
        <w:t>on account of</w:t>
      </w:r>
      <w:r w:rsidRPr="00A472FC">
        <w:rPr>
          <w:rFonts w:ascii="Times New Roman" w:hAnsi="Times New Roman" w:cs="Times New Roman"/>
        </w:rPr>
        <w:t xml:space="preserve"> </w:t>
      </w:r>
      <w:proofErr w:type="spellStart"/>
      <w:r w:rsidRPr="00A472FC">
        <w:rPr>
          <w:rFonts w:ascii="Times New Roman" w:hAnsi="Times New Roman" w:cs="Times New Roman"/>
          <w:i/>
        </w:rPr>
        <w:t>unibilit</w:t>
      </w:r>
      <w:r w:rsidR="00CA260E" w:rsidRPr="00A472FC">
        <w:rPr>
          <w:rFonts w:ascii="Times New Roman" w:hAnsi="Times New Roman" w:cs="Times New Roman"/>
          <w:i/>
        </w:rPr>
        <w:t>as</w:t>
      </w:r>
      <w:proofErr w:type="spellEnd"/>
      <w:r w:rsidRPr="00A472FC">
        <w:rPr>
          <w:rFonts w:ascii="Times New Roman" w:hAnsi="Times New Roman" w:cs="Times New Roman"/>
        </w:rPr>
        <w:t>, it is united through its essence; but if it is united through its essence, it is united without a medium.</w:t>
      </w:r>
      <w:r w:rsidRPr="00A472FC">
        <w:rPr>
          <w:rStyle w:val="FootnoteReference"/>
          <w:rFonts w:ascii="Times New Roman" w:hAnsi="Times New Roman" w:cs="Times New Roman"/>
        </w:rPr>
        <w:footnoteReference w:id="459"/>
      </w:r>
      <w:r w:rsidRPr="00A472FC">
        <w:rPr>
          <w:rFonts w:ascii="Times New Roman" w:hAnsi="Times New Roman" w:cs="Times New Roman"/>
        </w:rPr>
        <w:t xml:space="preserve"> That said, the soul requires mediating powers in the same way a motor has mechanisms or means by which its body is moved.</w:t>
      </w:r>
      <w:r w:rsidRPr="00A472FC">
        <w:rPr>
          <w:rStyle w:val="FootnoteReference"/>
          <w:rFonts w:ascii="Times New Roman" w:hAnsi="Times New Roman" w:cs="Times New Roman"/>
        </w:rPr>
        <w:footnoteReference w:id="460"/>
      </w:r>
      <w:r w:rsidRPr="00A472FC">
        <w:rPr>
          <w:rFonts w:ascii="Times New Roman" w:hAnsi="Times New Roman" w:cs="Times New Roman"/>
        </w:rPr>
        <w:t xml:space="preserve"> The medium in question consists in its natural powers.</w:t>
      </w:r>
      <w:r w:rsidRPr="00A472FC">
        <w:rPr>
          <w:rStyle w:val="FootnoteReference"/>
          <w:rFonts w:ascii="Times New Roman" w:hAnsi="Times New Roman" w:cs="Times New Roman"/>
        </w:rPr>
        <w:footnoteReference w:id="461"/>
      </w:r>
      <w:r w:rsidRPr="00A472FC">
        <w:rPr>
          <w:rFonts w:ascii="Times New Roman" w:hAnsi="Times New Roman" w:cs="Times New Roman"/>
        </w:rPr>
        <w:t xml:space="preserve"> As the Summa acknowledges, DSEA 14 states that there is one medium on the part of the soul and one on the part of the body.</w:t>
      </w:r>
      <w:r w:rsidRPr="00A472FC">
        <w:rPr>
          <w:rStyle w:val="FootnoteReference"/>
          <w:rFonts w:ascii="Times New Roman" w:hAnsi="Times New Roman" w:cs="Times New Roman"/>
        </w:rPr>
        <w:footnoteReference w:id="462"/>
      </w:r>
      <w:r w:rsidRPr="00A472FC">
        <w:rPr>
          <w:rFonts w:ascii="Times New Roman" w:hAnsi="Times New Roman" w:cs="Times New Roman"/>
        </w:rPr>
        <w:t xml:space="preserve"> Following John, however, the Summa breaks these two media down into two on each side, or four in total, as follows: </w:t>
      </w:r>
    </w:p>
    <w:p w14:paraId="3CDEC9B7" w14:textId="77777777" w:rsidR="004C1CD7" w:rsidRPr="00A472FC" w:rsidRDefault="004C1CD7" w:rsidP="00881604">
      <w:pPr>
        <w:ind w:right="-52" w:firstLine="720"/>
        <w:rPr>
          <w:rFonts w:ascii="Times New Roman" w:hAnsi="Times New Roman" w:cs="Times New Roman"/>
        </w:rPr>
      </w:pPr>
    </w:p>
    <w:p w14:paraId="49ED512A" w14:textId="61C8743E" w:rsidR="004C1CD7" w:rsidRPr="00A472FC" w:rsidRDefault="004C1CD7" w:rsidP="00881604">
      <w:pPr>
        <w:ind w:left="720" w:right="-52"/>
        <w:rPr>
          <w:rFonts w:ascii="Times New Roman" w:hAnsi="Times New Roman" w:cs="Times New Roman"/>
        </w:rPr>
      </w:pPr>
      <w:r w:rsidRPr="00A472FC">
        <w:rPr>
          <w:rFonts w:ascii="Times New Roman" w:hAnsi="Times New Roman" w:cs="Times New Roman"/>
        </w:rPr>
        <w:t xml:space="preserve">The rational soul is an incorporeal substance which is motive, cognitive, separable and not dependent on the body; however the body, to which it is united as </w:t>
      </w:r>
      <w:r w:rsidR="002C7C06" w:rsidRPr="00A472FC">
        <w:rPr>
          <w:rFonts w:ascii="Times New Roman" w:hAnsi="Times New Roman" w:cs="Times New Roman"/>
        </w:rPr>
        <w:t xml:space="preserve">to </w:t>
      </w:r>
      <w:r w:rsidRPr="00A472FC">
        <w:rPr>
          <w:rFonts w:ascii="Times New Roman" w:hAnsi="Times New Roman" w:cs="Times New Roman"/>
        </w:rPr>
        <w:t xml:space="preserve">an organ or perfectible is a body composed of elements and possesses a </w:t>
      </w:r>
      <w:r w:rsidR="007A6F23" w:rsidRPr="00A472FC">
        <w:rPr>
          <w:rFonts w:ascii="Times New Roman" w:hAnsi="Times New Roman" w:cs="Times New Roman"/>
        </w:rPr>
        <w:t>[</w:t>
      </w:r>
      <w:r w:rsidRPr="00A472FC">
        <w:rPr>
          <w:rFonts w:ascii="Times New Roman" w:hAnsi="Times New Roman" w:cs="Times New Roman"/>
        </w:rPr>
        <w:t>definite</w:t>
      </w:r>
      <w:r w:rsidR="007A6F23" w:rsidRPr="00A472FC">
        <w:rPr>
          <w:rFonts w:ascii="Times New Roman" w:hAnsi="Times New Roman" w:cs="Times New Roman"/>
        </w:rPr>
        <w:t>]</w:t>
      </w:r>
      <w:r w:rsidRPr="00A472FC">
        <w:rPr>
          <w:rFonts w:ascii="Times New Roman" w:hAnsi="Times New Roman" w:cs="Times New Roman"/>
        </w:rPr>
        <w:t xml:space="preserve"> complexion. On the part of the incorporeal, there is an incorporeal substance which is motive, non-cognitive, and inseparable from the body, namely, the vegetative power, and an incorporeal substance which is motive, cognitive, and inseparable from the body, namely, the sensible power. These are the two media. On the other part is the body composed of elements, not yet possessing a </w:t>
      </w:r>
      <w:r w:rsidR="00347798" w:rsidRPr="00A472FC">
        <w:rPr>
          <w:rFonts w:ascii="Times New Roman" w:hAnsi="Times New Roman" w:cs="Times New Roman"/>
        </w:rPr>
        <w:t>[</w:t>
      </w:r>
      <w:r w:rsidRPr="00A472FC">
        <w:rPr>
          <w:rFonts w:ascii="Times New Roman" w:hAnsi="Times New Roman" w:cs="Times New Roman"/>
        </w:rPr>
        <w:t>definite</w:t>
      </w:r>
      <w:r w:rsidR="00347798" w:rsidRPr="00A472FC">
        <w:rPr>
          <w:rFonts w:ascii="Times New Roman" w:hAnsi="Times New Roman" w:cs="Times New Roman"/>
        </w:rPr>
        <w:t>]</w:t>
      </w:r>
      <w:r w:rsidRPr="00A472FC">
        <w:rPr>
          <w:rFonts w:ascii="Times New Roman" w:hAnsi="Times New Roman" w:cs="Times New Roman"/>
        </w:rPr>
        <w:t xml:space="preserve"> complexion, and a body not composed of elements: these are two media. Thus, there are four media between the rational soul and its body, two on one side and two on the other. For the spirit is the </w:t>
      </w:r>
      <w:r w:rsidRPr="00A472FC">
        <w:rPr>
          <w:rFonts w:ascii="Times New Roman" w:hAnsi="Times New Roman" w:cs="Times New Roman"/>
        </w:rPr>
        <w:lastRenderedPageBreak/>
        <w:t>body that is not composed of elements, and the humo</w:t>
      </w:r>
      <w:r w:rsidR="00D33AE2" w:rsidRPr="00A472FC">
        <w:rPr>
          <w:rFonts w:ascii="Times New Roman" w:hAnsi="Times New Roman" w:cs="Times New Roman"/>
        </w:rPr>
        <w:t>u</w:t>
      </w:r>
      <w:r w:rsidRPr="00A472FC">
        <w:rPr>
          <w:rFonts w:ascii="Times New Roman" w:hAnsi="Times New Roman" w:cs="Times New Roman"/>
        </w:rPr>
        <w:t xml:space="preserve">r is the body composed of elements but not yet having a </w:t>
      </w:r>
      <w:r w:rsidR="00347798" w:rsidRPr="00A472FC">
        <w:rPr>
          <w:rFonts w:ascii="Times New Roman" w:hAnsi="Times New Roman" w:cs="Times New Roman"/>
        </w:rPr>
        <w:t>[</w:t>
      </w:r>
      <w:r w:rsidRPr="00A472FC">
        <w:rPr>
          <w:rFonts w:ascii="Times New Roman" w:hAnsi="Times New Roman" w:cs="Times New Roman"/>
        </w:rPr>
        <w:t>definite</w:t>
      </w:r>
      <w:r w:rsidR="00347798" w:rsidRPr="00A472FC">
        <w:rPr>
          <w:rFonts w:ascii="Times New Roman" w:hAnsi="Times New Roman" w:cs="Times New Roman"/>
        </w:rPr>
        <w:t>]</w:t>
      </w:r>
      <w:r w:rsidRPr="00A472FC">
        <w:rPr>
          <w:rFonts w:ascii="Times New Roman" w:hAnsi="Times New Roman" w:cs="Times New Roman"/>
        </w:rPr>
        <w:t xml:space="preserve"> complexion.</w:t>
      </w:r>
      <w:r w:rsidRPr="00A472FC">
        <w:rPr>
          <w:rStyle w:val="FootnoteReference"/>
          <w:rFonts w:ascii="Times New Roman" w:hAnsi="Times New Roman" w:cs="Times New Roman"/>
        </w:rPr>
        <w:footnoteReference w:id="463"/>
      </w:r>
      <w:r w:rsidRPr="00A472FC">
        <w:rPr>
          <w:rFonts w:ascii="Times New Roman" w:hAnsi="Times New Roman" w:cs="Times New Roman"/>
        </w:rPr>
        <w:t xml:space="preserve"> </w:t>
      </w:r>
    </w:p>
    <w:p w14:paraId="304F9060" w14:textId="77777777" w:rsidR="004C1CD7" w:rsidRPr="00A472FC" w:rsidRDefault="004C1CD7" w:rsidP="00881604">
      <w:pPr>
        <w:ind w:right="-52" w:firstLine="720"/>
        <w:rPr>
          <w:rFonts w:ascii="Times New Roman" w:hAnsi="Times New Roman" w:cs="Times New Roman"/>
          <w:b/>
        </w:rPr>
      </w:pPr>
    </w:p>
    <w:p w14:paraId="187E3405" w14:textId="0EAE01E1" w:rsidR="004C1CD7" w:rsidRPr="00A472FC" w:rsidRDefault="004C1CD7" w:rsidP="008B4424">
      <w:pPr>
        <w:ind w:right="-52" w:firstLine="720"/>
        <w:rPr>
          <w:rFonts w:ascii="Times New Roman" w:hAnsi="Times New Roman" w:cs="Times New Roman"/>
        </w:rPr>
      </w:pPr>
      <w:r w:rsidRPr="00A472FC">
        <w:rPr>
          <w:rFonts w:ascii="Times New Roman" w:hAnsi="Times New Roman" w:cs="Times New Roman"/>
        </w:rPr>
        <w:t xml:space="preserve">These were almost the exact words John had used to describe the nature of the four media. </w:t>
      </w:r>
      <w:r w:rsidR="00C777A9" w:rsidRPr="00A472FC">
        <w:rPr>
          <w:rFonts w:ascii="Times New Roman" w:hAnsi="Times New Roman" w:cs="Times New Roman"/>
        </w:rPr>
        <w:t>Here as in John’s account,</w:t>
      </w:r>
      <w:r w:rsidRPr="00A472FC">
        <w:rPr>
          <w:rFonts w:ascii="Times New Roman" w:hAnsi="Times New Roman" w:cs="Times New Roman"/>
        </w:rPr>
        <w:t xml:space="preserve"> ‘each level of soul shares two properties with those adjacent to it</w:t>
      </w:r>
      <w:r w:rsidR="001C43F6" w:rsidRPr="00A472FC">
        <w:rPr>
          <w:rFonts w:ascii="Times New Roman" w:hAnsi="Times New Roman" w:cs="Times New Roman"/>
        </w:rPr>
        <w:t>…</w:t>
      </w:r>
      <w:r w:rsidRPr="00A472FC">
        <w:rPr>
          <w:rFonts w:ascii="Times New Roman" w:hAnsi="Times New Roman" w:cs="Times New Roman"/>
        </w:rPr>
        <w:t>It is by these shared properties that they serve as the means for unifying the body and for uniting it to the rational soul.’</w:t>
      </w:r>
      <w:r w:rsidRPr="00A472FC">
        <w:rPr>
          <w:rStyle w:val="FootnoteReference"/>
          <w:rFonts w:ascii="Times New Roman" w:hAnsi="Times New Roman" w:cs="Times New Roman"/>
        </w:rPr>
        <w:footnoteReference w:id="464"/>
      </w:r>
      <w:r w:rsidRPr="00A472FC">
        <w:rPr>
          <w:rFonts w:ascii="Times New Roman" w:hAnsi="Times New Roman" w:cs="Times New Roman"/>
        </w:rPr>
        <w:t xml:space="preserve"> Through the two media represented by the vegetative and sensitive powers, which exhibit decreasing levels of simplicity or cognitive capacity, the soul maintains its maximum simplicity and the body its maximum composition.</w:t>
      </w:r>
      <w:r w:rsidRPr="00A472FC">
        <w:rPr>
          <w:rStyle w:val="FootnoteReference"/>
          <w:rFonts w:ascii="Times New Roman" w:hAnsi="Times New Roman" w:cs="Times New Roman"/>
        </w:rPr>
        <w:footnoteReference w:id="465"/>
      </w:r>
      <w:r w:rsidRPr="00A472FC">
        <w:rPr>
          <w:rFonts w:ascii="Times New Roman" w:hAnsi="Times New Roman" w:cs="Times New Roman"/>
        </w:rPr>
        <w:t xml:space="preserve"> By the same token, the body possesses two media that exhibit increasing levels of simplicity, the most basic of which consists in the four elements, the next being the elements as constituted in a living being which in the case of humans is alive thanks to the pumping of blood through the heart. As the Summa states, ‘all movements in </w:t>
      </w:r>
      <w:r w:rsidR="004A5BD6" w:rsidRPr="00A472FC">
        <w:rPr>
          <w:rFonts w:ascii="Times New Roman" w:hAnsi="Times New Roman" w:cs="Times New Roman"/>
        </w:rPr>
        <w:t>the body</w:t>
      </w:r>
      <w:r w:rsidRPr="00A472FC">
        <w:rPr>
          <w:rFonts w:ascii="Times New Roman" w:hAnsi="Times New Roman" w:cs="Times New Roman"/>
        </w:rPr>
        <w:t xml:space="preserve"> are made through the pre-existing movement of the heart.’</w:t>
      </w:r>
      <w:r w:rsidRPr="00A472FC">
        <w:rPr>
          <w:rStyle w:val="FootnoteReference"/>
          <w:rFonts w:ascii="Times New Roman" w:hAnsi="Times New Roman" w:cs="Times New Roman"/>
        </w:rPr>
        <w:footnoteReference w:id="466"/>
      </w:r>
      <w:r w:rsidRPr="00A472FC">
        <w:rPr>
          <w:rFonts w:ascii="Times New Roman" w:hAnsi="Times New Roman" w:cs="Times New Roman"/>
        </w:rPr>
        <w:t xml:space="preserve"> This reference signals </w:t>
      </w:r>
      <w:r w:rsidR="00107E7F" w:rsidRPr="00A472FC">
        <w:rPr>
          <w:rFonts w:ascii="Times New Roman" w:hAnsi="Times New Roman" w:cs="Times New Roman"/>
        </w:rPr>
        <w:t xml:space="preserve">again </w:t>
      </w:r>
      <w:r w:rsidRPr="00A472FC">
        <w:rPr>
          <w:rFonts w:ascii="Times New Roman" w:hAnsi="Times New Roman" w:cs="Times New Roman"/>
        </w:rPr>
        <w:t xml:space="preserve">the influence of the </w:t>
      </w:r>
      <w:r w:rsidRPr="00A472FC">
        <w:rPr>
          <w:rFonts w:ascii="Times New Roman" w:hAnsi="Times New Roman" w:cs="Times New Roman"/>
          <w:i/>
        </w:rPr>
        <w:t xml:space="preserve">De </w:t>
      </w:r>
      <w:proofErr w:type="spellStart"/>
      <w:r w:rsidRPr="00A472FC">
        <w:rPr>
          <w:rFonts w:ascii="Times New Roman" w:hAnsi="Times New Roman" w:cs="Times New Roman"/>
          <w:i/>
        </w:rPr>
        <w:t>motu</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cordis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of Alfred </w:t>
      </w:r>
      <w:proofErr w:type="spellStart"/>
      <w:r w:rsidRPr="00A472FC">
        <w:rPr>
          <w:rFonts w:ascii="Times New Roman" w:hAnsi="Times New Roman" w:cs="Times New Roman"/>
        </w:rPr>
        <w:t>Sarashel</w:t>
      </w:r>
      <w:proofErr w:type="spellEnd"/>
      <w:r w:rsidRPr="00A472FC">
        <w:rPr>
          <w:rFonts w:ascii="Times New Roman" w:hAnsi="Times New Roman" w:cs="Times New Roman"/>
        </w:rPr>
        <w:t xml:space="preserve"> on the treatment of the soul’s powers in this period, and not least, in the early Franciscan tradition</w:t>
      </w:r>
      <w:r w:rsidR="008C0D6F" w:rsidRPr="00A472FC">
        <w:rPr>
          <w:rFonts w:ascii="Times New Roman" w:hAnsi="Times New Roman" w:cs="Times New Roman"/>
        </w:rPr>
        <w:t xml:space="preserve"> of thought on the media between the body and the soul.</w:t>
      </w:r>
      <w:r w:rsidRPr="00A472FC">
        <w:rPr>
          <w:rStyle w:val="FootnoteReference"/>
          <w:rFonts w:ascii="Times New Roman" w:hAnsi="Times New Roman" w:cs="Times New Roman"/>
        </w:rPr>
        <w:footnoteReference w:id="467"/>
      </w:r>
      <w:r w:rsidRPr="00A472FC">
        <w:rPr>
          <w:rFonts w:ascii="Times New Roman" w:hAnsi="Times New Roman" w:cs="Times New Roman"/>
        </w:rPr>
        <w:t xml:space="preserve"> </w:t>
      </w:r>
    </w:p>
    <w:p w14:paraId="73A79EB1" w14:textId="77777777" w:rsidR="007C038D" w:rsidRPr="00A472FC" w:rsidRDefault="007C038D" w:rsidP="00881604">
      <w:pPr>
        <w:ind w:right="-52"/>
        <w:rPr>
          <w:rFonts w:ascii="Times New Roman" w:hAnsi="Times New Roman" w:cs="Times New Roman"/>
        </w:rPr>
      </w:pPr>
    </w:p>
    <w:p w14:paraId="69906822" w14:textId="7D16EDA4" w:rsidR="007C038D" w:rsidRPr="00A472FC" w:rsidRDefault="007C038D" w:rsidP="00881604">
      <w:pPr>
        <w:ind w:right="-52"/>
        <w:rPr>
          <w:rFonts w:ascii="Times New Roman" w:hAnsi="Times New Roman" w:cs="Times New Roman"/>
          <w:u w:val="single"/>
          <w:lang w:val="en-US"/>
        </w:rPr>
      </w:pPr>
      <w:r w:rsidRPr="00A472FC">
        <w:rPr>
          <w:rFonts w:ascii="Times New Roman" w:hAnsi="Times New Roman" w:cs="Times New Roman"/>
          <w:u w:val="single"/>
          <w:lang w:val="en-US"/>
        </w:rPr>
        <w:t>Conclusion</w:t>
      </w:r>
    </w:p>
    <w:p w14:paraId="63F7C700" w14:textId="77777777" w:rsidR="007C038D" w:rsidRPr="00A472FC" w:rsidRDefault="007C038D" w:rsidP="00881604">
      <w:pPr>
        <w:ind w:right="-52"/>
        <w:rPr>
          <w:rFonts w:ascii="Times New Roman" w:hAnsi="Times New Roman" w:cs="Times New Roman"/>
          <w:lang w:val="en-US"/>
        </w:rPr>
      </w:pPr>
    </w:p>
    <w:p w14:paraId="339A455C" w14:textId="057A3EB3" w:rsidR="007C038D" w:rsidRPr="00A472FC" w:rsidRDefault="00497CA2" w:rsidP="00134BD3">
      <w:pPr>
        <w:ind w:right="-52" w:firstLine="720"/>
        <w:rPr>
          <w:rFonts w:ascii="Times New Roman" w:hAnsi="Times New Roman" w:cs="Times New Roman"/>
          <w:lang w:val="en-US"/>
        </w:rPr>
      </w:pPr>
      <w:r w:rsidRPr="00A472FC">
        <w:rPr>
          <w:rFonts w:ascii="Times New Roman" w:hAnsi="Times New Roman" w:cs="Times New Roman"/>
          <w:lang w:val="en-US"/>
        </w:rPr>
        <w:t>As recipients of</w:t>
      </w:r>
      <w:r w:rsidR="007C038D" w:rsidRPr="00A472FC">
        <w:rPr>
          <w:rFonts w:ascii="Times New Roman" w:hAnsi="Times New Roman" w:cs="Times New Roman"/>
          <w:lang w:val="en-US"/>
        </w:rPr>
        <w:t xml:space="preserve"> new philosophical resources, </w:t>
      </w:r>
      <w:r w:rsidR="00787AC4" w:rsidRPr="00A472FC">
        <w:rPr>
          <w:rFonts w:ascii="Times New Roman" w:hAnsi="Times New Roman" w:cs="Times New Roman"/>
          <w:lang w:val="en-US"/>
        </w:rPr>
        <w:t xml:space="preserve">the </w:t>
      </w:r>
      <w:r w:rsidR="007C038D" w:rsidRPr="00A472FC">
        <w:rPr>
          <w:rFonts w:ascii="Times New Roman" w:hAnsi="Times New Roman" w:cs="Times New Roman"/>
          <w:lang w:val="en-US"/>
        </w:rPr>
        <w:t xml:space="preserve">early masters </w:t>
      </w:r>
      <w:r w:rsidR="00787AC4" w:rsidRPr="00A472FC">
        <w:rPr>
          <w:rFonts w:ascii="Times New Roman" w:hAnsi="Times New Roman" w:cs="Times New Roman"/>
          <w:lang w:val="en-US"/>
        </w:rPr>
        <w:t xml:space="preserve">at Paris university </w:t>
      </w:r>
      <w:r w:rsidR="007C038D" w:rsidRPr="00A472FC">
        <w:rPr>
          <w:rFonts w:ascii="Times New Roman" w:hAnsi="Times New Roman" w:cs="Times New Roman"/>
          <w:lang w:val="en-US"/>
        </w:rPr>
        <w:t xml:space="preserve">confronted for the first time the </w:t>
      </w:r>
      <w:r w:rsidR="00787AC4" w:rsidRPr="00A472FC">
        <w:rPr>
          <w:rFonts w:ascii="Times New Roman" w:hAnsi="Times New Roman" w:cs="Times New Roman"/>
          <w:lang w:val="en-US"/>
        </w:rPr>
        <w:t xml:space="preserve">task of specifying </w:t>
      </w:r>
      <w:r w:rsidR="007C038D" w:rsidRPr="00A472FC">
        <w:rPr>
          <w:rFonts w:ascii="Times New Roman" w:hAnsi="Times New Roman" w:cs="Times New Roman"/>
          <w:lang w:val="en-US"/>
        </w:rPr>
        <w:t>the meaning of Augustine’s somewhat open</w:t>
      </w:r>
      <w:r w:rsidR="003B7428" w:rsidRPr="00A472FC">
        <w:rPr>
          <w:rFonts w:ascii="Times New Roman" w:hAnsi="Times New Roman" w:cs="Times New Roman"/>
          <w:lang w:val="en-US"/>
        </w:rPr>
        <w:t>-ended</w:t>
      </w:r>
      <w:r w:rsidR="007C038D" w:rsidRPr="00A472FC">
        <w:rPr>
          <w:rFonts w:ascii="Times New Roman" w:hAnsi="Times New Roman" w:cs="Times New Roman"/>
          <w:lang w:val="en-US"/>
        </w:rPr>
        <w:t xml:space="preserve"> comments about the </w:t>
      </w:r>
      <w:r w:rsidR="007A55AE" w:rsidRPr="00A472FC">
        <w:rPr>
          <w:rFonts w:ascii="Times New Roman" w:hAnsi="Times New Roman" w:cs="Times New Roman"/>
          <w:lang w:val="en-US"/>
        </w:rPr>
        <w:t>nature of the soul and its</w:t>
      </w:r>
      <w:r w:rsidR="007C038D" w:rsidRPr="00A472FC">
        <w:rPr>
          <w:rFonts w:ascii="Times New Roman" w:hAnsi="Times New Roman" w:cs="Times New Roman"/>
          <w:lang w:val="en-US"/>
        </w:rPr>
        <w:t xml:space="preserve"> relationship to the body. His—and their—belief that the soul goes on existing a</w:t>
      </w:r>
      <w:r w:rsidR="00BE0E2A" w:rsidRPr="00A472FC">
        <w:rPr>
          <w:rFonts w:ascii="Times New Roman" w:hAnsi="Times New Roman" w:cs="Times New Roman"/>
          <w:lang w:val="en-US"/>
        </w:rPr>
        <w:t>fter the</w:t>
      </w:r>
      <w:r w:rsidR="007C038D" w:rsidRPr="00A472FC">
        <w:rPr>
          <w:rFonts w:ascii="Times New Roman" w:hAnsi="Times New Roman" w:cs="Times New Roman"/>
          <w:lang w:val="en-US"/>
        </w:rPr>
        <w:t xml:space="preserve"> death </w:t>
      </w:r>
      <w:r w:rsidR="00BE0E2A" w:rsidRPr="00A472FC">
        <w:rPr>
          <w:rFonts w:ascii="Times New Roman" w:hAnsi="Times New Roman" w:cs="Times New Roman"/>
          <w:lang w:val="en-US"/>
        </w:rPr>
        <w:t xml:space="preserve">of the body </w:t>
      </w:r>
      <w:r w:rsidR="00134BD3" w:rsidRPr="00A472FC">
        <w:rPr>
          <w:rFonts w:ascii="Times New Roman" w:hAnsi="Times New Roman" w:cs="Times New Roman"/>
          <w:lang w:val="en-US"/>
        </w:rPr>
        <w:t>necessitated</w:t>
      </w:r>
      <w:r w:rsidR="007C038D" w:rsidRPr="00A472FC">
        <w:rPr>
          <w:rFonts w:ascii="Times New Roman" w:hAnsi="Times New Roman" w:cs="Times New Roman"/>
          <w:lang w:val="en-US"/>
        </w:rPr>
        <w:t xml:space="preserve"> an account of the soul’s status as an independent substance, or so they assumed. The resources available for </w:t>
      </w:r>
      <w:r w:rsidR="00134BD3" w:rsidRPr="00A472FC">
        <w:rPr>
          <w:rFonts w:ascii="Times New Roman" w:hAnsi="Times New Roman" w:cs="Times New Roman"/>
          <w:lang w:val="en-US"/>
        </w:rPr>
        <w:t>giving this account</w:t>
      </w:r>
      <w:r w:rsidR="007C038D" w:rsidRPr="00A472FC">
        <w:rPr>
          <w:rFonts w:ascii="Times New Roman" w:hAnsi="Times New Roman" w:cs="Times New Roman"/>
          <w:lang w:val="en-US"/>
        </w:rPr>
        <w:t xml:space="preserve"> were in the first instance derived from Avicenna, whose works were incorporated in the 1230s by figures like Philip the Chancellor</w:t>
      </w:r>
      <w:r w:rsidR="00CA61BE" w:rsidRPr="00A472FC">
        <w:rPr>
          <w:rFonts w:ascii="Times New Roman" w:hAnsi="Times New Roman" w:cs="Times New Roman"/>
          <w:lang w:val="en-US"/>
        </w:rPr>
        <w:t xml:space="preserve">, </w:t>
      </w:r>
      <w:r w:rsidR="00151DA2" w:rsidRPr="00A472FC">
        <w:rPr>
          <w:rFonts w:ascii="Times New Roman" w:hAnsi="Times New Roman" w:cs="Times New Roman"/>
          <w:lang w:val="en-US"/>
        </w:rPr>
        <w:t>who affirmed</w:t>
      </w:r>
      <w:r w:rsidR="007C038D" w:rsidRPr="00A472FC">
        <w:rPr>
          <w:rFonts w:ascii="Times New Roman" w:hAnsi="Times New Roman" w:cs="Times New Roman"/>
          <w:lang w:val="en-US"/>
        </w:rPr>
        <w:t xml:space="preserve"> the soul is a simple substance which stands in a merely accidental relationship to the body. </w:t>
      </w:r>
    </w:p>
    <w:p w14:paraId="4063A5A6" w14:textId="7E22CADD" w:rsidR="007C038D" w:rsidRPr="00A472FC" w:rsidRDefault="007C038D" w:rsidP="00881604">
      <w:pPr>
        <w:ind w:right="-52" w:firstLine="720"/>
        <w:rPr>
          <w:rFonts w:ascii="Times New Roman" w:hAnsi="Times New Roman" w:cs="Times New Roman"/>
          <w:lang w:val="en-US"/>
        </w:rPr>
      </w:pPr>
      <w:r w:rsidRPr="00A472FC">
        <w:rPr>
          <w:rFonts w:ascii="Times New Roman" w:hAnsi="Times New Roman" w:cs="Times New Roman"/>
          <w:lang w:val="en-US"/>
        </w:rPr>
        <w:t xml:space="preserve">By the mid 1230s, Hugh of St Cher </w:t>
      </w:r>
      <w:r w:rsidR="00AD351E" w:rsidRPr="00A472FC">
        <w:rPr>
          <w:rFonts w:ascii="Times New Roman" w:hAnsi="Times New Roman" w:cs="Times New Roman"/>
          <w:lang w:val="en-US"/>
        </w:rPr>
        <w:t xml:space="preserve">had </w:t>
      </w:r>
      <w:r w:rsidRPr="00A472FC">
        <w:rPr>
          <w:rFonts w:ascii="Times New Roman" w:hAnsi="Times New Roman" w:cs="Times New Roman"/>
          <w:lang w:val="en-US"/>
        </w:rPr>
        <w:t>recognized t</w:t>
      </w:r>
      <w:r w:rsidR="009A14BC" w:rsidRPr="00A472FC">
        <w:rPr>
          <w:rFonts w:ascii="Times New Roman" w:hAnsi="Times New Roman" w:cs="Times New Roman"/>
          <w:lang w:val="en-US"/>
        </w:rPr>
        <w:t xml:space="preserve">his </w:t>
      </w:r>
      <w:r w:rsidRPr="00A472FC">
        <w:rPr>
          <w:rFonts w:ascii="Times New Roman" w:hAnsi="Times New Roman" w:cs="Times New Roman"/>
          <w:lang w:val="en-US"/>
        </w:rPr>
        <w:t xml:space="preserve">idea as inadequate to maintaining the Christian belief regarding the integrity of the body and its ultimate resurrection. Thus, Hugh introduced the </w:t>
      </w:r>
      <w:r w:rsidR="009A14BC" w:rsidRPr="00A472FC">
        <w:rPr>
          <w:rFonts w:ascii="Times New Roman" w:hAnsi="Times New Roman" w:cs="Times New Roman"/>
          <w:lang w:val="en-US"/>
        </w:rPr>
        <w:t>theory</w:t>
      </w:r>
      <w:r w:rsidRPr="00A472FC">
        <w:rPr>
          <w:rFonts w:ascii="Times New Roman" w:hAnsi="Times New Roman" w:cs="Times New Roman"/>
          <w:lang w:val="en-US"/>
        </w:rPr>
        <w:t xml:space="preserve">, which was eagerly adopted by John of La Rochelle and other subsequent thinkers, that the soul is substantially </w:t>
      </w:r>
      <w:proofErr w:type="spellStart"/>
      <w:r w:rsidRPr="00A472FC">
        <w:rPr>
          <w:rFonts w:ascii="Times New Roman" w:hAnsi="Times New Roman" w:cs="Times New Roman"/>
          <w:lang w:val="en-US"/>
        </w:rPr>
        <w:t>unitable</w:t>
      </w:r>
      <w:proofErr w:type="spellEnd"/>
      <w:r w:rsidRPr="00A472FC">
        <w:rPr>
          <w:rFonts w:ascii="Times New Roman" w:hAnsi="Times New Roman" w:cs="Times New Roman"/>
          <w:lang w:val="en-US"/>
        </w:rPr>
        <w:t xml:space="preserve"> to the body. On this showing, the soul cannot do without the body, even though it remains a separate substance from it. </w:t>
      </w:r>
      <w:r w:rsidR="00211C0C" w:rsidRPr="00A472FC">
        <w:rPr>
          <w:rFonts w:ascii="Times New Roman" w:hAnsi="Times New Roman" w:cs="Times New Roman"/>
          <w:lang w:val="en-US"/>
        </w:rPr>
        <w:t xml:space="preserve">While John and his immediate contemporaries tended to describe the soul in its own right in </w:t>
      </w:r>
      <w:proofErr w:type="spellStart"/>
      <w:r w:rsidR="00211C0C" w:rsidRPr="00A472FC">
        <w:rPr>
          <w:rFonts w:ascii="Times New Roman" w:hAnsi="Times New Roman" w:cs="Times New Roman"/>
          <w:lang w:val="en-US"/>
        </w:rPr>
        <w:t>Aviennian</w:t>
      </w:r>
      <w:proofErr w:type="spellEnd"/>
      <w:r w:rsidR="00211C0C" w:rsidRPr="00A472FC">
        <w:rPr>
          <w:rFonts w:ascii="Times New Roman" w:hAnsi="Times New Roman" w:cs="Times New Roman"/>
          <w:lang w:val="en-US"/>
        </w:rPr>
        <w:t xml:space="preserve"> terms as a purely simple substance, later thinkers including the </w:t>
      </w:r>
      <w:proofErr w:type="spellStart"/>
      <w:r w:rsidR="00211C0C" w:rsidRPr="00A472FC">
        <w:rPr>
          <w:rFonts w:ascii="Times New Roman" w:hAnsi="Times New Roman" w:cs="Times New Roman"/>
          <w:lang w:val="en-US"/>
        </w:rPr>
        <w:t>Halensian</w:t>
      </w:r>
      <w:proofErr w:type="spellEnd"/>
      <w:r w:rsidR="00211C0C" w:rsidRPr="00A472FC">
        <w:rPr>
          <w:rFonts w:ascii="Times New Roman" w:hAnsi="Times New Roman" w:cs="Times New Roman"/>
          <w:lang w:val="en-US"/>
        </w:rPr>
        <w:t xml:space="preserve"> </w:t>
      </w:r>
      <w:proofErr w:type="spellStart"/>
      <w:r w:rsidR="00211C0C" w:rsidRPr="00A472FC">
        <w:rPr>
          <w:rFonts w:ascii="Times New Roman" w:hAnsi="Times New Roman" w:cs="Times New Roman"/>
          <w:lang w:val="en-US"/>
        </w:rPr>
        <w:t>Summists</w:t>
      </w:r>
      <w:proofErr w:type="spellEnd"/>
      <w:r w:rsidR="00211C0C" w:rsidRPr="00A472FC">
        <w:rPr>
          <w:rFonts w:ascii="Times New Roman" w:hAnsi="Times New Roman" w:cs="Times New Roman"/>
          <w:lang w:val="en-US"/>
        </w:rPr>
        <w:t xml:space="preserve"> began to favor </w:t>
      </w:r>
      <w:proofErr w:type="spellStart"/>
      <w:r w:rsidRPr="00A472FC">
        <w:rPr>
          <w:rFonts w:ascii="Times New Roman" w:hAnsi="Times New Roman" w:cs="Times New Roman"/>
          <w:lang w:val="en-US"/>
        </w:rPr>
        <w:t>Avicebron’s</w:t>
      </w:r>
      <w:proofErr w:type="spellEnd"/>
      <w:r w:rsidRPr="00A472FC">
        <w:rPr>
          <w:rFonts w:ascii="Times New Roman" w:hAnsi="Times New Roman" w:cs="Times New Roman"/>
          <w:lang w:val="en-US"/>
        </w:rPr>
        <w:t xml:space="preserve"> theory that the soul must be comprised of form and spiritual matter, if it is to be regarded as a substance in the full sense of the term.</w:t>
      </w:r>
    </w:p>
    <w:p w14:paraId="4A43041A" w14:textId="40CB2B47" w:rsidR="000B7F2C" w:rsidRPr="00A472FC" w:rsidRDefault="007A55AE" w:rsidP="000B7F2C">
      <w:pPr>
        <w:ind w:right="-52" w:firstLine="720"/>
        <w:rPr>
          <w:rFonts w:ascii="Times New Roman" w:hAnsi="Times New Roman" w:cs="Times New Roman"/>
          <w:lang w:val="en-US"/>
        </w:rPr>
      </w:pPr>
      <w:r w:rsidRPr="00A472FC">
        <w:rPr>
          <w:rFonts w:ascii="Times New Roman" w:hAnsi="Times New Roman" w:cs="Times New Roman"/>
          <w:lang w:val="en-US"/>
        </w:rPr>
        <w:t xml:space="preserve">Another area in which early scholastics were influenced by </w:t>
      </w:r>
      <w:proofErr w:type="spellStart"/>
      <w:r w:rsidRPr="00A472FC">
        <w:rPr>
          <w:rFonts w:ascii="Times New Roman" w:hAnsi="Times New Roman" w:cs="Times New Roman"/>
          <w:lang w:val="en-US"/>
        </w:rPr>
        <w:t>Avicebron</w:t>
      </w:r>
      <w:proofErr w:type="spellEnd"/>
      <w:r w:rsidRPr="00A472FC">
        <w:rPr>
          <w:rFonts w:ascii="Times New Roman" w:hAnsi="Times New Roman" w:cs="Times New Roman"/>
          <w:lang w:val="en-US"/>
        </w:rPr>
        <w:t xml:space="preserve"> as well as Costa ben Luca concerns the affirmation of a</w:t>
      </w:r>
      <w:r w:rsidR="007C038D" w:rsidRPr="00A472FC">
        <w:rPr>
          <w:rFonts w:ascii="Times New Roman" w:hAnsi="Times New Roman" w:cs="Times New Roman"/>
          <w:lang w:val="en-US"/>
        </w:rPr>
        <w:t xml:space="preserve"> series of media between the soul and the body. For </w:t>
      </w:r>
      <w:r w:rsidR="007C038D" w:rsidRPr="00A472FC">
        <w:rPr>
          <w:rFonts w:ascii="Times New Roman" w:hAnsi="Times New Roman" w:cs="Times New Roman"/>
          <w:lang w:val="en-US"/>
        </w:rPr>
        <w:lastRenderedPageBreak/>
        <w:t xml:space="preserve">Philip the Chancellor and many following him, these media </w:t>
      </w:r>
      <w:r w:rsidR="00D35DEF" w:rsidRPr="00A472FC">
        <w:rPr>
          <w:rFonts w:ascii="Times New Roman" w:hAnsi="Times New Roman" w:cs="Times New Roman"/>
          <w:lang w:val="en-US"/>
        </w:rPr>
        <w:t>included</w:t>
      </w:r>
      <w:r w:rsidR="007C038D" w:rsidRPr="00A472FC">
        <w:rPr>
          <w:rFonts w:ascii="Times New Roman" w:hAnsi="Times New Roman" w:cs="Times New Roman"/>
          <w:lang w:val="en-US"/>
        </w:rPr>
        <w:t xml:space="preserve"> the vegetative and sensitive powers, </w:t>
      </w:r>
      <w:r w:rsidRPr="00A472FC">
        <w:rPr>
          <w:rFonts w:ascii="Times New Roman" w:hAnsi="Times New Roman" w:cs="Times New Roman"/>
          <w:lang w:val="en-US"/>
        </w:rPr>
        <w:t>which provide a basis for intellectual cognition</w:t>
      </w:r>
      <w:r w:rsidR="007C038D" w:rsidRPr="00A472FC">
        <w:rPr>
          <w:rFonts w:ascii="Times New Roman" w:hAnsi="Times New Roman" w:cs="Times New Roman"/>
          <w:lang w:val="en-US"/>
        </w:rPr>
        <w:t xml:space="preserve">, and the vital spirit—including the brain and heart—which vivify the human being in fundamental ways that allow </w:t>
      </w:r>
      <w:r w:rsidR="00C4090F" w:rsidRPr="00A472FC">
        <w:rPr>
          <w:rFonts w:ascii="Times New Roman" w:hAnsi="Times New Roman" w:cs="Times New Roman"/>
          <w:lang w:val="en-US"/>
        </w:rPr>
        <w:t>cognitions to be translated into</w:t>
      </w:r>
      <w:r w:rsidR="007C038D" w:rsidRPr="00A472FC">
        <w:rPr>
          <w:rFonts w:ascii="Times New Roman" w:hAnsi="Times New Roman" w:cs="Times New Roman"/>
          <w:lang w:val="en-US"/>
        </w:rPr>
        <w:t xml:space="preserve"> reality. Even more basic were the elements of which the body itself was comprised. In a departure from some of his contemporaries, </w:t>
      </w:r>
      <w:r w:rsidR="007E6CDB" w:rsidRPr="00A472FC">
        <w:rPr>
          <w:rFonts w:ascii="Times New Roman" w:hAnsi="Times New Roman" w:cs="Times New Roman"/>
          <w:lang w:val="en-US"/>
        </w:rPr>
        <w:t xml:space="preserve">with the exception of William of Auvergne, </w:t>
      </w:r>
      <w:r w:rsidR="007C038D" w:rsidRPr="00A472FC">
        <w:rPr>
          <w:rFonts w:ascii="Times New Roman" w:hAnsi="Times New Roman" w:cs="Times New Roman"/>
          <w:lang w:val="en-US"/>
        </w:rPr>
        <w:t>John of La Rochelle</w:t>
      </w:r>
      <w:r w:rsidR="00C61503" w:rsidRPr="00A472FC">
        <w:rPr>
          <w:rFonts w:ascii="Times New Roman" w:hAnsi="Times New Roman" w:cs="Times New Roman"/>
          <w:lang w:val="en-US"/>
        </w:rPr>
        <w:t xml:space="preserve">, </w:t>
      </w:r>
      <w:r w:rsidR="007C038D" w:rsidRPr="00A472FC">
        <w:rPr>
          <w:rFonts w:ascii="Times New Roman" w:hAnsi="Times New Roman" w:cs="Times New Roman"/>
          <w:lang w:val="en-US"/>
        </w:rPr>
        <w:t xml:space="preserve">affirmed that the soul is immediately united to the body. According to some scholars, </w:t>
      </w:r>
      <w:r w:rsidR="003F50BF" w:rsidRPr="00A472FC">
        <w:rPr>
          <w:rFonts w:ascii="Times New Roman" w:hAnsi="Times New Roman" w:cs="Times New Roman"/>
          <w:lang w:val="en-US"/>
        </w:rPr>
        <w:t>and William himself,</w:t>
      </w:r>
      <w:r w:rsidR="001A0547" w:rsidRPr="00A472FC">
        <w:rPr>
          <w:rFonts w:ascii="Times New Roman" w:hAnsi="Times New Roman" w:cs="Times New Roman"/>
          <w:lang w:val="en-US"/>
        </w:rPr>
        <w:t xml:space="preserve"> </w:t>
      </w:r>
      <w:r w:rsidR="007C038D" w:rsidRPr="00A472FC">
        <w:rPr>
          <w:rFonts w:ascii="Times New Roman" w:hAnsi="Times New Roman" w:cs="Times New Roman"/>
          <w:lang w:val="en-US"/>
        </w:rPr>
        <w:t xml:space="preserve">this view conflicted with </w:t>
      </w:r>
      <w:r w:rsidR="001A0547" w:rsidRPr="00A472FC">
        <w:rPr>
          <w:rFonts w:ascii="Times New Roman" w:hAnsi="Times New Roman" w:cs="Times New Roman"/>
          <w:lang w:val="en-US"/>
        </w:rPr>
        <w:t xml:space="preserve">John’s </w:t>
      </w:r>
      <w:r w:rsidR="007C038D" w:rsidRPr="00A472FC">
        <w:rPr>
          <w:rFonts w:ascii="Times New Roman" w:hAnsi="Times New Roman" w:cs="Times New Roman"/>
          <w:lang w:val="en-US"/>
        </w:rPr>
        <w:t>simultaneously</w:t>
      </w:r>
      <w:r w:rsidR="007554B0" w:rsidRPr="00A472FC">
        <w:rPr>
          <w:rFonts w:ascii="Times New Roman" w:hAnsi="Times New Roman" w:cs="Times New Roman"/>
          <w:lang w:val="en-US"/>
        </w:rPr>
        <w:t>-</w:t>
      </w:r>
      <w:r w:rsidR="007C038D" w:rsidRPr="00A472FC">
        <w:rPr>
          <w:rFonts w:ascii="Times New Roman" w:hAnsi="Times New Roman" w:cs="Times New Roman"/>
          <w:lang w:val="en-US"/>
        </w:rPr>
        <w:t xml:space="preserve">upheld theory of the media between the soul and the body. </w:t>
      </w:r>
    </w:p>
    <w:p w14:paraId="7F59F7EF" w14:textId="738FDE19" w:rsidR="007A06C5" w:rsidRPr="00A472FC" w:rsidRDefault="007C038D" w:rsidP="00E80242">
      <w:pPr>
        <w:ind w:right="-52" w:firstLine="720"/>
        <w:rPr>
          <w:rFonts w:ascii="Times New Roman" w:hAnsi="Times New Roman" w:cs="Times New Roman"/>
          <w:lang w:val="en-US"/>
        </w:rPr>
        <w:sectPr w:rsidR="007A06C5" w:rsidRPr="00A472FC" w:rsidSect="00983A9E">
          <w:footnotePr>
            <w:numRestart w:val="eachSect"/>
          </w:footnotePr>
          <w:pgSz w:w="11900" w:h="16840"/>
          <w:pgMar w:top="1440" w:right="1440" w:bottom="1440" w:left="1440" w:header="720" w:footer="720" w:gutter="0"/>
          <w:cols w:space="720"/>
          <w:docGrid w:linePitch="360"/>
        </w:sectPr>
      </w:pPr>
      <w:r w:rsidRPr="00A472FC">
        <w:rPr>
          <w:rFonts w:ascii="Times New Roman" w:hAnsi="Times New Roman" w:cs="Times New Roman"/>
          <w:lang w:val="en-US"/>
        </w:rPr>
        <w:t xml:space="preserve">As we have seen, however, these two positions are compatible when we consider that the media do not strictly speaking negate the idea of an immediate connection between soul and body </w:t>
      </w:r>
      <w:r w:rsidR="00412F6D" w:rsidRPr="00A472FC">
        <w:rPr>
          <w:rFonts w:ascii="Times New Roman" w:hAnsi="Times New Roman" w:cs="Times New Roman"/>
          <w:lang w:val="en-US"/>
        </w:rPr>
        <w:t xml:space="preserve">but rather </w:t>
      </w:r>
      <w:r w:rsidRPr="00A472FC">
        <w:rPr>
          <w:rFonts w:ascii="Times New Roman" w:hAnsi="Times New Roman" w:cs="Times New Roman"/>
          <w:lang w:val="en-US"/>
        </w:rPr>
        <w:t xml:space="preserve">serve to explain how the commands of </w:t>
      </w:r>
      <w:r w:rsidR="00A15249">
        <w:rPr>
          <w:rFonts w:ascii="Times New Roman" w:hAnsi="Times New Roman" w:cs="Times New Roman"/>
          <w:lang w:val="en-US"/>
        </w:rPr>
        <w:t>the former</w:t>
      </w:r>
      <w:r w:rsidRPr="00A472FC">
        <w:rPr>
          <w:rFonts w:ascii="Times New Roman" w:hAnsi="Times New Roman" w:cs="Times New Roman"/>
          <w:lang w:val="en-US"/>
        </w:rPr>
        <w:t xml:space="preserve"> are executed by the </w:t>
      </w:r>
      <w:r w:rsidR="00A15249">
        <w:rPr>
          <w:rFonts w:ascii="Times New Roman" w:hAnsi="Times New Roman" w:cs="Times New Roman"/>
          <w:lang w:val="en-US"/>
        </w:rPr>
        <w:t>latter</w:t>
      </w:r>
      <w:r w:rsidRPr="00A472FC">
        <w:rPr>
          <w:rFonts w:ascii="Times New Roman" w:hAnsi="Times New Roman" w:cs="Times New Roman"/>
          <w:lang w:val="en-US"/>
        </w:rPr>
        <w:t xml:space="preserve">. </w:t>
      </w:r>
      <w:r w:rsidR="005C0CD1" w:rsidRPr="00A472FC">
        <w:rPr>
          <w:rFonts w:ascii="Times New Roman" w:hAnsi="Times New Roman" w:cs="Times New Roman"/>
          <w:lang w:val="en-US"/>
        </w:rPr>
        <w:t>They are not so much media as means of the soul’s operations in the body.</w:t>
      </w:r>
      <w:r w:rsidR="009248B5" w:rsidRPr="00A472FC">
        <w:rPr>
          <w:rFonts w:ascii="Times New Roman" w:hAnsi="Times New Roman" w:cs="Times New Roman"/>
          <w:lang w:val="en-US"/>
        </w:rPr>
        <w:t xml:space="preserve"> While such theories might have </w:t>
      </w:r>
      <w:r w:rsidR="007B698F" w:rsidRPr="00A472FC">
        <w:rPr>
          <w:rFonts w:ascii="Times New Roman" w:hAnsi="Times New Roman" w:cs="Times New Roman"/>
          <w:lang w:val="en-US"/>
        </w:rPr>
        <w:t xml:space="preserve">a </w:t>
      </w:r>
      <w:r w:rsidR="009248B5" w:rsidRPr="00A472FC">
        <w:rPr>
          <w:rFonts w:ascii="Times New Roman" w:hAnsi="Times New Roman" w:cs="Times New Roman"/>
          <w:lang w:val="en-US"/>
        </w:rPr>
        <w:t xml:space="preserve">loose basis in Augustinian or better pseudo-Augustinian texts, </w:t>
      </w:r>
      <w:r w:rsidR="00486D5C" w:rsidRPr="00A472FC">
        <w:rPr>
          <w:rFonts w:ascii="Times New Roman" w:hAnsi="Times New Roman" w:cs="Times New Roman"/>
          <w:lang w:val="en-US"/>
        </w:rPr>
        <w:t xml:space="preserve">this chapter has shown that the </w:t>
      </w:r>
      <w:r w:rsidR="007B698F" w:rsidRPr="00A472FC">
        <w:rPr>
          <w:rFonts w:ascii="Times New Roman" w:hAnsi="Times New Roman" w:cs="Times New Roman"/>
          <w:lang w:val="en-US"/>
        </w:rPr>
        <w:t xml:space="preserve">debate about how to define the meaning of </w:t>
      </w:r>
      <w:proofErr w:type="spellStart"/>
      <w:r w:rsidR="007B698F" w:rsidRPr="00A472FC">
        <w:rPr>
          <w:rFonts w:ascii="Times New Roman" w:hAnsi="Times New Roman" w:cs="Times New Roman"/>
          <w:lang w:val="en-US"/>
        </w:rPr>
        <w:t>Augustinianism</w:t>
      </w:r>
      <w:proofErr w:type="spellEnd"/>
      <w:r w:rsidR="007B698F" w:rsidRPr="00A472FC">
        <w:rPr>
          <w:rFonts w:ascii="Times New Roman" w:hAnsi="Times New Roman" w:cs="Times New Roman"/>
          <w:lang w:val="en-US"/>
        </w:rPr>
        <w:t xml:space="preserve"> </w:t>
      </w:r>
      <w:r w:rsidR="0050482F" w:rsidRPr="00A472FC">
        <w:rPr>
          <w:rFonts w:ascii="Times New Roman" w:hAnsi="Times New Roman" w:cs="Times New Roman"/>
          <w:lang w:val="en-US"/>
        </w:rPr>
        <w:t xml:space="preserve">in this period </w:t>
      </w:r>
      <w:r w:rsidR="007B698F" w:rsidRPr="00A472FC">
        <w:rPr>
          <w:rFonts w:ascii="Times New Roman" w:hAnsi="Times New Roman" w:cs="Times New Roman"/>
          <w:lang w:val="en-US"/>
        </w:rPr>
        <w:t xml:space="preserve">often came down to a debate about whether to appropriate Avicenna or </w:t>
      </w:r>
      <w:proofErr w:type="spellStart"/>
      <w:r w:rsidR="007B698F" w:rsidRPr="00A472FC">
        <w:rPr>
          <w:rFonts w:ascii="Times New Roman" w:hAnsi="Times New Roman" w:cs="Times New Roman"/>
          <w:lang w:val="en-US"/>
        </w:rPr>
        <w:t>Avicebron</w:t>
      </w:r>
      <w:proofErr w:type="spellEnd"/>
      <w:r w:rsidR="007B698F" w:rsidRPr="00A472FC">
        <w:rPr>
          <w:rFonts w:ascii="Times New Roman" w:hAnsi="Times New Roman" w:cs="Times New Roman"/>
          <w:lang w:val="en-US"/>
        </w:rPr>
        <w:t xml:space="preserve">, and how. </w:t>
      </w:r>
      <w:r w:rsidR="00FD0F0F" w:rsidRPr="00A472FC">
        <w:rPr>
          <w:rFonts w:ascii="Times New Roman" w:hAnsi="Times New Roman" w:cs="Times New Roman"/>
          <w:lang w:val="en-US"/>
        </w:rPr>
        <w:t>As such, it had little to do with anything conceptually or contextually close to the work of the</w:t>
      </w:r>
      <w:r w:rsidR="00715998" w:rsidRPr="00A472FC">
        <w:rPr>
          <w:rFonts w:ascii="Times New Roman" w:hAnsi="Times New Roman" w:cs="Times New Roman"/>
          <w:lang w:val="en-US"/>
        </w:rPr>
        <w:t xml:space="preserve"> </w:t>
      </w:r>
      <w:r w:rsidR="00FD0F0F" w:rsidRPr="00A472FC">
        <w:rPr>
          <w:rFonts w:ascii="Times New Roman" w:hAnsi="Times New Roman" w:cs="Times New Roman"/>
          <w:lang w:val="en-US"/>
        </w:rPr>
        <w:t xml:space="preserve">authentic Augustine. </w:t>
      </w:r>
      <w:r w:rsidRPr="00A472FC">
        <w:rPr>
          <w:rFonts w:ascii="Times New Roman" w:hAnsi="Times New Roman" w:cs="Times New Roman"/>
          <w:lang w:val="en-US"/>
        </w:rPr>
        <w:t>In the following chapter, we will find this trend replicated in another context</w:t>
      </w:r>
      <w:r w:rsidR="00715998" w:rsidRPr="00A472FC">
        <w:rPr>
          <w:rFonts w:ascii="Times New Roman" w:hAnsi="Times New Roman" w:cs="Times New Roman"/>
          <w:lang w:val="en-US"/>
        </w:rPr>
        <w:t>,</w:t>
      </w:r>
      <w:r w:rsidRPr="00A472FC">
        <w:rPr>
          <w:rFonts w:ascii="Times New Roman" w:hAnsi="Times New Roman" w:cs="Times New Roman"/>
          <w:lang w:val="en-US"/>
        </w:rPr>
        <w:t xml:space="preserve"> as pseudo-Augustinian writings set the agenda, in conversation with Arabic-language sources, for the way that the </w:t>
      </w:r>
      <w:proofErr w:type="spellStart"/>
      <w:r w:rsidRPr="00A472FC">
        <w:rPr>
          <w:rFonts w:ascii="Times New Roman" w:hAnsi="Times New Roman" w:cs="Times New Roman"/>
          <w:lang w:val="en-US"/>
        </w:rPr>
        <w:t>Augustinianism</w:t>
      </w:r>
      <w:proofErr w:type="spellEnd"/>
      <w:r w:rsidRPr="00A472FC">
        <w:rPr>
          <w:rFonts w:ascii="Times New Roman" w:hAnsi="Times New Roman" w:cs="Times New Roman"/>
          <w:lang w:val="en-US"/>
        </w:rPr>
        <w:t xml:space="preserve"> of the thirteenth century would be conceived</w:t>
      </w:r>
      <w:r w:rsidR="00D67A0D" w:rsidRPr="00A472FC">
        <w:rPr>
          <w:rFonts w:ascii="Times New Roman" w:hAnsi="Times New Roman" w:cs="Times New Roman"/>
          <w:lang w:val="en-US"/>
        </w:rPr>
        <w:t xml:space="preserve"> in relation to the powers of the soul</w:t>
      </w:r>
      <w:r w:rsidR="00A820DC" w:rsidRPr="00A472FC">
        <w:rPr>
          <w:rFonts w:ascii="Times New Roman" w:hAnsi="Times New Roman" w:cs="Times New Roman"/>
          <w:lang w:val="en-US"/>
        </w:rPr>
        <w:t>.</w:t>
      </w:r>
    </w:p>
    <w:p w14:paraId="1EA47ACF" w14:textId="282D509E" w:rsidR="004C1CD7" w:rsidRPr="00A472FC" w:rsidRDefault="004C1CD7" w:rsidP="008A385D">
      <w:pPr>
        <w:rPr>
          <w:rFonts w:ascii="Times New Roman" w:hAnsi="Times New Roman" w:cs="Times New Roman"/>
          <w:i/>
          <w:iCs/>
        </w:rPr>
        <w:sectPr w:rsidR="004C1CD7" w:rsidRPr="00A472FC" w:rsidSect="00DA32B3">
          <w:footnotePr>
            <w:numRestart w:val="eachSect"/>
          </w:footnotePr>
          <w:pgSz w:w="16820" w:h="11900" w:orient="landscape"/>
          <w:pgMar w:top="1440" w:right="1440" w:bottom="1440" w:left="1440" w:header="720" w:footer="720" w:gutter="0"/>
          <w:cols w:space="720"/>
          <w:docGrid w:linePitch="360"/>
        </w:sectPr>
      </w:pPr>
    </w:p>
    <w:p w14:paraId="4C3127F7" w14:textId="2B37E055" w:rsidR="004C1CD7" w:rsidRPr="00A472FC" w:rsidRDefault="004C1CD7" w:rsidP="007B34C5">
      <w:pPr>
        <w:pStyle w:val="ListParagraph"/>
        <w:numPr>
          <w:ilvl w:val="0"/>
          <w:numId w:val="25"/>
        </w:numPr>
        <w:ind w:right="-52"/>
        <w:rPr>
          <w:rFonts w:ascii="Times New Roman" w:hAnsi="Times New Roman" w:cs="Times New Roman"/>
          <w:b/>
        </w:rPr>
      </w:pPr>
      <w:r w:rsidRPr="00A472FC">
        <w:rPr>
          <w:rFonts w:ascii="Times New Roman" w:hAnsi="Times New Roman" w:cs="Times New Roman"/>
          <w:b/>
        </w:rPr>
        <w:lastRenderedPageBreak/>
        <w:t>The Powers of the Soul</w:t>
      </w:r>
    </w:p>
    <w:p w14:paraId="14D7105D" w14:textId="77777777" w:rsidR="004C1CD7" w:rsidRPr="00A472FC" w:rsidRDefault="004C1CD7" w:rsidP="00881604">
      <w:pPr>
        <w:ind w:right="-52"/>
        <w:rPr>
          <w:rFonts w:ascii="Times New Roman" w:hAnsi="Times New Roman" w:cs="Times New Roman"/>
        </w:rPr>
      </w:pPr>
    </w:p>
    <w:p w14:paraId="199B8D44" w14:textId="77777777" w:rsidR="004C1CD7" w:rsidRPr="00A472FC" w:rsidRDefault="004C1CD7" w:rsidP="00881604">
      <w:pPr>
        <w:ind w:right="-52"/>
        <w:rPr>
          <w:rFonts w:ascii="Times New Roman" w:hAnsi="Times New Roman" w:cs="Times New Roman"/>
          <w:u w:val="single"/>
        </w:rPr>
      </w:pPr>
      <w:r w:rsidRPr="00A472FC">
        <w:rPr>
          <w:rFonts w:ascii="Times New Roman" w:hAnsi="Times New Roman" w:cs="Times New Roman"/>
          <w:u w:val="single"/>
        </w:rPr>
        <w:t>The Unity of the Soul</w:t>
      </w:r>
    </w:p>
    <w:p w14:paraId="7F871622" w14:textId="77777777" w:rsidR="004C1CD7" w:rsidRPr="00A472FC" w:rsidRDefault="004C1CD7" w:rsidP="00881604">
      <w:pPr>
        <w:ind w:right="-52"/>
        <w:rPr>
          <w:rFonts w:ascii="Times New Roman" w:hAnsi="Times New Roman" w:cs="Times New Roman"/>
        </w:rPr>
      </w:pPr>
    </w:p>
    <w:p w14:paraId="7C690B89" w14:textId="77E565D5"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rPr>
        <w:t xml:space="preserve">In the context of considering the simplicity of the soul, a question that arises concerns whether the soul </w:t>
      </w:r>
      <w:r w:rsidR="006027BA" w:rsidRPr="00A472FC">
        <w:rPr>
          <w:rFonts w:ascii="Times New Roman" w:hAnsi="Times New Roman" w:cs="Times New Roman"/>
        </w:rPr>
        <w:t>consists of</w:t>
      </w:r>
      <w:r w:rsidRPr="00A472FC">
        <w:rPr>
          <w:rFonts w:ascii="Times New Roman" w:hAnsi="Times New Roman" w:cs="Times New Roman"/>
        </w:rPr>
        <w:t xml:space="preserve"> one or three</w:t>
      </w:r>
      <w:r w:rsidR="00A01781" w:rsidRPr="00A472FC">
        <w:rPr>
          <w:rFonts w:ascii="Times New Roman" w:hAnsi="Times New Roman" w:cs="Times New Roman"/>
        </w:rPr>
        <w:t xml:space="preserve"> powers</w:t>
      </w:r>
      <w:r w:rsidRPr="00A472FC">
        <w:rPr>
          <w:rFonts w:ascii="Times New Roman" w:hAnsi="Times New Roman" w:cs="Times New Roman"/>
        </w:rPr>
        <w:t>.</w:t>
      </w:r>
      <w:r w:rsidRPr="00A472FC">
        <w:rPr>
          <w:rStyle w:val="FootnoteReference"/>
          <w:rFonts w:ascii="Times New Roman" w:hAnsi="Times New Roman" w:cs="Times New Roman"/>
        </w:rPr>
        <w:footnoteReference w:id="468"/>
      </w:r>
      <w:r w:rsidRPr="00A472FC">
        <w:rPr>
          <w:rFonts w:ascii="Times New Roman" w:hAnsi="Times New Roman" w:cs="Times New Roman"/>
        </w:rPr>
        <w:t xml:space="preserve"> In other words, are the vegetative, sensitive, and rational powers three separate souls or substances in their own right?</w:t>
      </w:r>
      <w:r w:rsidR="006E1ABF" w:rsidRPr="00A472FC">
        <w:rPr>
          <w:rStyle w:val="FootnoteReference"/>
          <w:rFonts w:ascii="Times New Roman" w:hAnsi="Times New Roman" w:cs="Times New Roman"/>
        </w:rPr>
        <w:footnoteReference w:id="469"/>
      </w:r>
      <w:r w:rsidRPr="00A472FC">
        <w:rPr>
          <w:rFonts w:ascii="Times New Roman" w:hAnsi="Times New Roman" w:cs="Times New Roman"/>
        </w:rPr>
        <w:t xml:space="preserve"> As we have seen, there was </w:t>
      </w:r>
      <w:r w:rsidR="000A527A" w:rsidRPr="00A472FC">
        <w:rPr>
          <w:rFonts w:ascii="Times New Roman" w:hAnsi="Times New Roman" w:cs="Times New Roman"/>
        </w:rPr>
        <w:t xml:space="preserve">patristic </w:t>
      </w:r>
      <w:r w:rsidRPr="00A472FC">
        <w:rPr>
          <w:rFonts w:ascii="Times New Roman" w:hAnsi="Times New Roman" w:cs="Times New Roman"/>
        </w:rPr>
        <w:t xml:space="preserve">precedent for this question in Gregory of </w:t>
      </w:r>
      <w:proofErr w:type="spellStart"/>
      <w:r w:rsidRPr="00A472FC">
        <w:rPr>
          <w:rFonts w:ascii="Times New Roman" w:hAnsi="Times New Roman" w:cs="Times New Roman"/>
        </w:rPr>
        <w:t>Nyssa</w:t>
      </w:r>
      <w:proofErr w:type="spellEnd"/>
      <w:r w:rsidRPr="00A472FC">
        <w:rPr>
          <w:rFonts w:ascii="Times New Roman" w:hAnsi="Times New Roman" w:cs="Times New Roman"/>
        </w:rPr>
        <w:t xml:space="preserve">, who defined the </w:t>
      </w:r>
      <w:r w:rsidRPr="00A472FC">
        <w:rPr>
          <w:rFonts w:ascii="Times New Roman" w:hAnsi="Times New Roman" w:cs="Times New Roman"/>
          <w:lang w:val="en-US"/>
        </w:rPr>
        <w:t>vegetative, sensitive, and rational powers as three souls, which are welded together, under the authority of the ‘proper’ rational soul.</w:t>
      </w:r>
      <w:r w:rsidRPr="00A472FC">
        <w:rPr>
          <w:rStyle w:val="FootnoteReference"/>
          <w:rFonts w:ascii="Times New Roman" w:hAnsi="Times New Roman" w:cs="Times New Roman"/>
          <w:lang w:val="en-US"/>
        </w:rPr>
        <w:footnoteReference w:id="470"/>
      </w:r>
      <w:r w:rsidRPr="00A472FC">
        <w:rPr>
          <w:rFonts w:ascii="Times New Roman" w:hAnsi="Times New Roman" w:cs="Times New Roman"/>
          <w:lang w:val="en-US"/>
        </w:rPr>
        <w:t xml:space="preserve"> Ultimately, however, the basis for the early scholastic debate would seem to be Aristotle, who also spoke of vegetative, sensitive, and rational souls in his </w:t>
      </w:r>
      <w:r w:rsidRPr="00A472FC">
        <w:rPr>
          <w:rFonts w:ascii="Times New Roman" w:hAnsi="Times New Roman" w:cs="Times New Roman"/>
          <w:i/>
          <w:lang w:val="en-US"/>
        </w:rPr>
        <w:t>De anima</w:t>
      </w:r>
      <w:r w:rsidRPr="00A472FC">
        <w:rPr>
          <w:rFonts w:ascii="Times New Roman" w:hAnsi="Times New Roman" w:cs="Times New Roman"/>
          <w:iCs/>
          <w:lang w:val="en-US"/>
        </w:rPr>
        <w:t xml:space="preserve">, </w:t>
      </w:r>
      <w:r w:rsidRPr="00A472FC">
        <w:rPr>
          <w:rFonts w:ascii="Times New Roman" w:hAnsi="Times New Roman" w:cs="Times New Roman"/>
          <w:lang w:val="en-US"/>
        </w:rPr>
        <w:t>as does Costa Ben Luca, probably following him.</w:t>
      </w:r>
      <w:r w:rsidRPr="00A472FC">
        <w:rPr>
          <w:rStyle w:val="FootnoteReference"/>
          <w:rFonts w:ascii="Times New Roman" w:hAnsi="Times New Roman" w:cs="Times New Roman"/>
          <w:lang w:val="en-US"/>
        </w:rPr>
        <w:footnoteReference w:id="471"/>
      </w:r>
      <w:r w:rsidRPr="00A472FC">
        <w:rPr>
          <w:rFonts w:ascii="Times New Roman" w:hAnsi="Times New Roman" w:cs="Times New Roman"/>
          <w:lang w:val="en-US"/>
        </w:rPr>
        <w:t xml:space="preserve"> According to Crowley, </w:t>
      </w:r>
      <w:r w:rsidR="005049CB" w:rsidRPr="00A472FC">
        <w:rPr>
          <w:rFonts w:ascii="Times New Roman" w:hAnsi="Times New Roman" w:cs="Times New Roman"/>
          <w:lang w:val="en-US"/>
        </w:rPr>
        <w:t xml:space="preserve">the </w:t>
      </w:r>
      <w:proofErr w:type="spellStart"/>
      <w:r w:rsidR="005049CB" w:rsidRPr="00A472FC">
        <w:rPr>
          <w:rFonts w:ascii="Times New Roman" w:hAnsi="Times New Roman" w:cs="Times New Roman"/>
          <w:lang w:val="en-US"/>
        </w:rPr>
        <w:t>Stagirite’s</w:t>
      </w:r>
      <w:proofErr w:type="spellEnd"/>
      <w:r w:rsidRPr="00A472FC">
        <w:rPr>
          <w:rFonts w:ascii="Times New Roman" w:hAnsi="Times New Roman" w:cs="Times New Roman"/>
          <w:lang w:val="en-US"/>
        </w:rPr>
        <w:t xml:space="preserve"> work remains the main source for the notion of a plurality of souls (vegetative, sensitive, and rational) in the early scholastic period.</w:t>
      </w:r>
      <w:r w:rsidRPr="00A472FC">
        <w:rPr>
          <w:rStyle w:val="FootnoteReference"/>
          <w:rFonts w:ascii="Times New Roman" w:hAnsi="Times New Roman" w:cs="Times New Roman"/>
          <w:lang w:val="en-US"/>
        </w:rPr>
        <w:footnoteReference w:id="472"/>
      </w:r>
      <w:r w:rsidRPr="00A472FC">
        <w:rPr>
          <w:rFonts w:ascii="Times New Roman" w:hAnsi="Times New Roman" w:cs="Times New Roman"/>
          <w:lang w:val="en-US"/>
        </w:rPr>
        <w:t xml:space="preserve"> </w:t>
      </w:r>
    </w:p>
    <w:p w14:paraId="64EC8A44" w14:textId="1B80648A"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lang w:val="en-US"/>
        </w:rPr>
        <w:t>The opposing view was ascribed to Augustine, largely on the basis of a vague hint in the DSEA that there is one soul rather than three.</w:t>
      </w:r>
      <w:r w:rsidRPr="00A472FC">
        <w:rPr>
          <w:rStyle w:val="FootnoteReference"/>
          <w:rFonts w:ascii="Times New Roman" w:hAnsi="Times New Roman" w:cs="Times New Roman"/>
          <w:lang w:val="en-US"/>
        </w:rPr>
        <w:footnoteReference w:id="473"/>
      </w:r>
      <w:r w:rsidRPr="00A472FC">
        <w:rPr>
          <w:rFonts w:ascii="Times New Roman" w:hAnsi="Times New Roman" w:cs="Times New Roman"/>
          <w:lang w:val="en-US"/>
        </w:rPr>
        <w:t xml:space="preserve"> Although this position was frequently advanced on Augustine’s authority, Callus and Gilson have argued that the main source for the theory of the soul</w:t>
      </w:r>
      <w:r w:rsidR="00734E72" w:rsidRPr="00A472FC">
        <w:rPr>
          <w:rFonts w:ascii="Times New Roman" w:hAnsi="Times New Roman" w:cs="Times New Roman"/>
          <w:lang w:val="en-US"/>
        </w:rPr>
        <w:t>’s unity</w:t>
      </w:r>
      <w:r w:rsidRPr="00A472FC">
        <w:rPr>
          <w:rFonts w:ascii="Times New Roman" w:hAnsi="Times New Roman" w:cs="Times New Roman"/>
          <w:lang w:val="en-US"/>
        </w:rPr>
        <w:t xml:space="preserve"> is actually Avicenna.</w:t>
      </w:r>
      <w:r w:rsidRPr="00A472FC">
        <w:rPr>
          <w:rStyle w:val="FootnoteReference"/>
          <w:rFonts w:ascii="Times New Roman" w:hAnsi="Times New Roman" w:cs="Times New Roman"/>
        </w:rPr>
        <w:footnoteReference w:id="474"/>
      </w:r>
      <w:r w:rsidRPr="00A472FC">
        <w:rPr>
          <w:rFonts w:ascii="Times New Roman" w:hAnsi="Times New Roman" w:cs="Times New Roman"/>
          <w:lang w:val="en-US"/>
        </w:rPr>
        <w:t xml:space="preserve"> These scholars reached their conclusion on the basis of John </w:t>
      </w:r>
      <w:proofErr w:type="spellStart"/>
      <w:r w:rsidRPr="00A472FC">
        <w:rPr>
          <w:rFonts w:ascii="Times New Roman" w:hAnsi="Times New Roman" w:cs="Times New Roman"/>
          <w:lang w:val="en-US"/>
        </w:rPr>
        <w:t>Blund</w:t>
      </w:r>
      <w:proofErr w:type="spellEnd"/>
      <w:r w:rsidRPr="00A472FC">
        <w:rPr>
          <w:rFonts w:ascii="Times New Roman" w:hAnsi="Times New Roman" w:cs="Times New Roman"/>
          <w:lang w:val="en-US"/>
        </w:rPr>
        <w:t>, who concerns himself greatly with the defense of what he takes to be Avicenna’s position that these three powers comprise only one soul in the human being.</w:t>
      </w:r>
      <w:r w:rsidRPr="00A472FC">
        <w:rPr>
          <w:rStyle w:val="FootnoteReference"/>
          <w:rFonts w:ascii="Times New Roman" w:hAnsi="Times New Roman" w:cs="Times New Roman"/>
          <w:lang w:val="en-US"/>
        </w:rPr>
        <w:footnoteReference w:id="475"/>
      </w:r>
      <w:r w:rsidRPr="00A472FC">
        <w:rPr>
          <w:rFonts w:ascii="Times New Roman" w:hAnsi="Times New Roman" w:cs="Times New Roman"/>
          <w:lang w:val="en-US"/>
        </w:rPr>
        <w:t xml:space="preserve"> As Callus observes, </w:t>
      </w:r>
      <w:proofErr w:type="spellStart"/>
      <w:r w:rsidRPr="00A472FC">
        <w:rPr>
          <w:rFonts w:ascii="Times New Roman" w:hAnsi="Times New Roman" w:cs="Times New Roman"/>
          <w:lang w:val="en-US"/>
        </w:rPr>
        <w:t>Blund’s</w:t>
      </w:r>
      <w:proofErr w:type="spellEnd"/>
      <w:r w:rsidRPr="00A472FC">
        <w:rPr>
          <w:rFonts w:ascii="Times New Roman" w:hAnsi="Times New Roman" w:cs="Times New Roman"/>
          <w:lang w:val="en-US"/>
        </w:rPr>
        <w:t xml:space="preserve"> is the first recorded discussion of this topic in the scholastic context.</w:t>
      </w:r>
      <w:r w:rsidRPr="00A472FC">
        <w:rPr>
          <w:rStyle w:val="FootnoteReference"/>
          <w:rFonts w:ascii="Times New Roman" w:hAnsi="Times New Roman" w:cs="Times New Roman"/>
        </w:rPr>
        <w:footnoteReference w:id="476"/>
      </w:r>
      <w:r w:rsidRPr="00A472FC">
        <w:rPr>
          <w:rFonts w:ascii="Times New Roman" w:hAnsi="Times New Roman" w:cs="Times New Roman"/>
          <w:lang w:val="en-US"/>
        </w:rPr>
        <w:t xml:space="preserve"> There is no mention of this question in </w:t>
      </w:r>
      <w:r w:rsidRPr="00A472FC">
        <w:rPr>
          <w:rFonts w:ascii="Times New Roman" w:hAnsi="Times New Roman" w:cs="Times New Roman"/>
        </w:rPr>
        <w:t xml:space="preserve">theological authors of the twelfth and early thirteenth centuries, including Peter of Poitiers, Simon of </w:t>
      </w:r>
      <w:proofErr w:type="spellStart"/>
      <w:r w:rsidRPr="00A472FC">
        <w:rPr>
          <w:rFonts w:ascii="Times New Roman" w:hAnsi="Times New Roman" w:cs="Times New Roman"/>
        </w:rPr>
        <w:t>Tournai</w:t>
      </w:r>
      <w:proofErr w:type="spellEnd"/>
      <w:r w:rsidRPr="00A472FC">
        <w:rPr>
          <w:rFonts w:ascii="Times New Roman" w:hAnsi="Times New Roman" w:cs="Times New Roman"/>
        </w:rPr>
        <w:t xml:space="preserve">, Stephen Langton, Robert </w:t>
      </w:r>
      <w:proofErr w:type="spellStart"/>
      <w:r w:rsidRPr="00A472FC">
        <w:rPr>
          <w:rFonts w:ascii="Times New Roman" w:hAnsi="Times New Roman" w:cs="Times New Roman"/>
        </w:rPr>
        <w:t>Courcon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Praepositinus</w:t>
      </w:r>
      <w:proofErr w:type="spellEnd"/>
      <w:r w:rsidRPr="00A472FC">
        <w:rPr>
          <w:rFonts w:ascii="Times New Roman" w:hAnsi="Times New Roman" w:cs="Times New Roman"/>
        </w:rPr>
        <w:t xml:space="preserve"> of Cremona, and William of Auxerre.</w:t>
      </w:r>
      <w:r w:rsidRPr="00A472FC">
        <w:rPr>
          <w:rStyle w:val="FootnoteReference"/>
          <w:rFonts w:ascii="Times New Roman" w:hAnsi="Times New Roman" w:cs="Times New Roman"/>
        </w:rPr>
        <w:footnoteReference w:id="477"/>
      </w:r>
      <w:r w:rsidRPr="00A472FC">
        <w:rPr>
          <w:rFonts w:ascii="Times New Roman" w:hAnsi="Times New Roman" w:cs="Times New Roman"/>
        </w:rPr>
        <w:t xml:space="preserve"> </w:t>
      </w:r>
    </w:p>
    <w:p w14:paraId="61814A83" w14:textId="7BA7BB4D" w:rsidR="004C1CD7" w:rsidRPr="00A472FC" w:rsidRDefault="004C1CD7" w:rsidP="00881604">
      <w:pPr>
        <w:ind w:right="-52" w:firstLine="720"/>
        <w:rPr>
          <w:rFonts w:ascii="Times New Roman" w:hAnsi="Times New Roman" w:cs="Times New Roman"/>
          <w:lang w:val="en-US"/>
        </w:rPr>
      </w:pPr>
      <w:r w:rsidRPr="00A472FC">
        <w:rPr>
          <w:rFonts w:ascii="Times New Roman" w:hAnsi="Times New Roman" w:cs="Times New Roman"/>
        </w:rPr>
        <w:lastRenderedPageBreak/>
        <w:t xml:space="preserve">This is no great surprise, given what we have already learned about scholars of this ilk, who worked in the wake of Lombard’s </w:t>
      </w:r>
      <w:r w:rsidR="00040053" w:rsidRPr="00A472FC">
        <w:rPr>
          <w:rFonts w:ascii="Times New Roman" w:hAnsi="Times New Roman" w:cs="Times New Roman"/>
          <w:i/>
        </w:rPr>
        <w:t>Sentences</w:t>
      </w:r>
      <w:r w:rsidRPr="00A472FC">
        <w:rPr>
          <w:rFonts w:ascii="Times New Roman" w:hAnsi="Times New Roman" w:cs="Times New Roman"/>
        </w:rPr>
        <w:t xml:space="preserve"> or commented upon them. Following a longstanding Christian tradition, they regarded the image of God as located in the higher powers of reason and did not generally take an interest in the lower, vegetative and sensitive, powers. Alexander of Hales went so far as to say that the ‘vegetative and sensitive powers are too closely linked with matter to be considered as the image of the divine Trinity,’ an honour he reserves for the rational soul.</w:t>
      </w:r>
      <w:r w:rsidRPr="00A472FC">
        <w:rPr>
          <w:rStyle w:val="FootnoteReference"/>
          <w:rFonts w:ascii="Times New Roman" w:hAnsi="Times New Roman" w:cs="Times New Roman"/>
        </w:rPr>
        <w:footnoteReference w:id="478"/>
      </w:r>
      <w:r w:rsidRPr="00A472FC">
        <w:rPr>
          <w:rFonts w:ascii="Times New Roman" w:hAnsi="Times New Roman" w:cs="Times New Roman"/>
        </w:rPr>
        <w:t xml:space="preserve">  </w:t>
      </w:r>
    </w:p>
    <w:p w14:paraId="38146E70" w14:textId="039B33FB"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As in several other cases, the first Parisian theologian to treat questions about the lower powers, including their ontological status, was Philip the Chancellor, who must have known the work of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and before him,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through whom the unicity theory was mediated to the Latin West. At the outset of his discussion in </w:t>
      </w:r>
      <w:r w:rsidRPr="00A472FC">
        <w:rPr>
          <w:rFonts w:ascii="Times New Roman" w:hAnsi="Times New Roman" w:cs="Times New Roman"/>
          <w:i/>
        </w:rPr>
        <w:t xml:space="preserve">De anima </w:t>
      </w:r>
      <w:r w:rsidRPr="00A472FC">
        <w:rPr>
          <w:rFonts w:ascii="Times New Roman" w:hAnsi="Times New Roman" w:cs="Times New Roman"/>
        </w:rPr>
        <w:t xml:space="preserve">4,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states that the three powers—vegetative, sensitive, and rational—are in fact three souls which are distinct from one another.</w:t>
      </w:r>
      <w:r w:rsidRPr="00A472FC">
        <w:rPr>
          <w:rStyle w:val="FootnoteReference"/>
          <w:rFonts w:ascii="Times New Roman" w:hAnsi="Times New Roman" w:cs="Times New Roman"/>
        </w:rPr>
        <w:footnoteReference w:id="479"/>
      </w:r>
      <w:r w:rsidRPr="00A472FC">
        <w:rPr>
          <w:rFonts w:ascii="Times New Roman" w:hAnsi="Times New Roman" w:cs="Times New Roman"/>
        </w:rPr>
        <w:t xml:space="preserve"> The vegetative soul exists in plants, the sensitive in animals, and the rational in humans. ‘The evidence that they are distinct from each other is that each one possesses a separate existence; hence, one cannot be the other.’</w:t>
      </w:r>
      <w:r w:rsidRPr="00A472FC">
        <w:rPr>
          <w:rStyle w:val="FootnoteReference"/>
          <w:rFonts w:ascii="Times New Roman" w:hAnsi="Times New Roman" w:cs="Times New Roman"/>
        </w:rPr>
        <w:footnoteReference w:id="480"/>
      </w:r>
      <w:r w:rsidRPr="00A472FC">
        <w:rPr>
          <w:rFonts w:ascii="Times New Roman" w:hAnsi="Times New Roman" w:cs="Times New Roman"/>
        </w:rPr>
        <w:t xml:space="preserve"> Nevertheless, it does not follow for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in this work at least, that the powers which are distinct when taken separately ‘are also distinct substances when they are united.’</w:t>
      </w:r>
      <w:r w:rsidRPr="00A472FC">
        <w:rPr>
          <w:rStyle w:val="FootnoteReference"/>
          <w:rFonts w:ascii="Times New Roman" w:hAnsi="Times New Roman" w:cs="Times New Roman"/>
        </w:rPr>
        <w:footnoteReference w:id="481"/>
      </w:r>
      <w:r w:rsidRPr="00A472FC">
        <w:rPr>
          <w:rFonts w:ascii="Times New Roman" w:hAnsi="Times New Roman" w:cs="Times New Roman"/>
        </w:rPr>
        <w:t xml:space="preserve"> </w:t>
      </w:r>
    </w:p>
    <w:p w14:paraId="02DD9948" w14:textId="43E44132"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This is because the higher powers presuppose the lower ones, and ‘the lower forms, when conjoined with the higher…[are] implied in the higher’</w:t>
      </w:r>
      <w:r w:rsidRPr="00A472FC">
        <w:rPr>
          <w:rStyle w:val="FootnoteReference"/>
          <w:rFonts w:ascii="Times New Roman" w:hAnsi="Times New Roman" w:cs="Times New Roman"/>
        </w:rPr>
        <w:footnoteReference w:id="482"/>
      </w:r>
      <w:r w:rsidRPr="00A472FC">
        <w:rPr>
          <w:rFonts w:ascii="Times New Roman" w:hAnsi="Times New Roman" w:cs="Times New Roman"/>
        </w:rPr>
        <w:t xml:space="preserve"> and are not </w:t>
      </w:r>
      <w:r w:rsidR="00F90F75" w:rsidRPr="00A472FC">
        <w:rPr>
          <w:rFonts w:ascii="Times New Roman" w:hAnsi="Times New Roman" w:cs="Times New Roman"/>
        </w:rPr>
        <w:t xml:space="preserve">therefore </w:t>
      </w:r>
      <w:r w:rsidRPr="00A472FC">
        <w:rPr>
          <w:rFonts w:ascii="Times New Roman" w:hAnsi="Times New Roman" w:cs="Times New Roman"/>
        </w:rPr>
        <w:t>separate from them. ‘As the sensitive includes the vegetative and has something else besides, that is, sensitivity,’ Callus elaborates, ‘so the human soul is one single substance, implying in itself not only the rational but also the vegetative and the sensitive, not however as distinct substances but simply as distinct powers.’</w:t>
      </w:r>
      <w:r w:rsidRPr="00A472FC">
        <w:rPr>
          <w:rStyle w:val="FootnoteReference"/>
          <w:rFonts w:ascii="Times New Roman" w:hAnsi="Times New Roman" w:cs="Times New Roman"/>
        </w:rPr>
        <w:t xml:space="preserve"> </w:t>
      </w:r>
      <w:r w:rsidRPr="00A472FC">
        <w:rPr>
          <w:rStyle w:val="FootnoteReference"/>
          <w:rFonts w:ascii="Times New Roman" w:hAnsi="Times New Roman" w:cs="Times New Roman"/>
        </w:rPr>
        <w:footnoteReference w:id="483"/>
      </w:r>
      <w:r w:rsidRPr="00A472FC">
        <w:rPr>
          <w:rFonts w:ascii="Times New Roman" w:hAnsi="Times New Roman" w:cs="Times New Roman"/>
        </w:rPr>
        <w:t xml:space="preserve"> For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w:t>
      </w:r>
      <w:r w:rsidR="00A2654C" w:rsidRPr="00A472FC">
        <w:rPr>
          <w:rFonts w:ascii="Times New Roman" w:hAnsi="Times New Roman" w:cs="Times New Roman"/>
        </w:rPr>
        <w:t>in fact,</w:t>
      </w:r>
      <w:r w:rsidRPr="00A472FC">
        <w:rPr>
          <w:rFonts w:ascii="Times New Roman" w:hAnsi="Times New Roman" w:cs="Times New Roman"/>
        </w:rPr>
        <w:t xml:space="preserve"> the powers are temporally progressive in that the arrival of one prepares for that of another. When the sensitive and vegetative powers co-exist in a human being, consequently, they are joined to and absorbed into the highest, rational, power of the soul. </w:t>
      </w:r>
    </w:p>
    <w:p w14:paraId="0A4E036D" w14:textId="064C712C"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By the same token, the rational soul does not arrive until the physical formation of the embryo, including its vegetative and sensitive powers, is complete. So construed, </w:t>
      </w:r>
      <w:r w:rsidR="003B7683" w:rsidRPr="00A472FC">
        <w:rPr>
          <w:rFonts w:ascii="Times New Roman" w:hAnsi="Times New Roman" w:cs="Times New Roman"/>
        </w:rPr>
        <w:t xml:space="preserve">consequently, </w:t>
      </w:r>
      <w:r w:rsidRPr="00A472FC">
        <w:rPr>
          <w:rFonts w:ascii="Times New Roman" w:hAnsi="Times New Roman" w:cs="Times New Roman"/>
        </w:rPr>
        <w:t>these three powers have a separate existence only prior to being joined together as described.</w:t>
      </w:r>
      <w:r w:rsidRPr="00A472FC">
        <w:rPr>
          <w:rStyle w:val="FootnoteReference"/>
          <w:rFonts w:ascii="Times New Roman" w:hAnsi="Times New Roman" w:cs="Times New Roman"/>
        </w:rPr>
        <w:footnoteReference w:id="484"/>
      </w:r>
      <w:r w:rsidRPr="00A472FC">
        <w:rPr>
          <w:rFonts w:ascii="Times New Roman" w:hAnsi="Times New Roman" w:cs="Times New Roman"/>
        </w:rPr>
        <w:t xml:space="preserve"> While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w:t>
      </w:r>
      <w:r w:rsidR="00B643E5" w:rsidRPr="00A472FC">
        <w:rPr>
          <w:rFonts w:ascii="Times New Roman" w:hAnsi="Times New Roman" w:cs="Times New Roman"/>
        </w:rPr>
        <w:t xml:space="preserve">thus </w:t>
      </w:r>
      <w:r w:rsidRPr="00A472FC">
        <w:rPr>
          <w:rFonts w:ascii="Times New Roman" w:hAnsi="Times New Roman" w:cs="Times New Roman"/>
        </w:rPr>
        <w:t xml:space="preserve">clearly advocates the unicity theory in the </w:t>
      </w:r>
      <w:r w:rsidRPr="00A472FC">
        <w:rPr>
          <w:rFonts w:ascii="Times New Roman" w:hAnsi="Times New Roman" w:cs="Times New Roman"/>
          <w:i/>
        </w:rPr>
        <w:t xml:space="preserve">De anima, </w:t>
      </w:r>
      <w:r w:rsidRPr="00A472FC">
        <w:rPr>
          <w:rFonts w:ascii="Times New Roman" w:hAnsi="Times New Roman" w:cs="Times New Roman"/>
        </w:rPr>
        <w:t xml:space="preserve">Callus believes he was also the main channel through which the plurality of souls theory entered the scholastic discussion. In his </w:t>
      </w:r>
      <w:r w:rsidRPr="00A472FC">
        <w:rPr>
          <w:rFonts w:ascii="Times New Roman" w:hAnsi="Times New Roman" w:cs="Times New Roman"/>
          <w:i/>
        </w:rPr>
        <w:t xml:space="preserve">De </w:t>
      </w:r>
      <w:proofErr w:type="spellStart"/>
      <w:r w:rsidRPr="00A472FC">
        <w:rPr>
          <w:rFonts w:ascii="Times New Roman" w:hAnsi="Times New Roman" w:cs="Times New Roman"/>
          <w:i/>
        </w:rPr>
        <w:t>processione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mundi</w:t>
      </w:r>
      <w:proofErr w:type="spellEnd"/>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the translator of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seems to endorse the Jewish philosopher’s belief, more aligned with what was perceived to be the Aristotelian by contrast to the Augustinian tradition, that there are three separate souls in every human.</w:t>
      </w:r>
      <w:r w:rsidRPr="00A472FC">
        <w:rPr>
          <w:rStyle w:val="FootnoteReference"/>
          <w:rFonts w:ascii="Times New Roman" w:hAnsi="Times New Roman" w:cs="Times New Roman"/>
        </w:rPr>
        <w:footnoteReference w:id="485"/>
      </w:r>
      <w:r w:rsidRPr="00A472FC">
        <w:rPr>
          <w:rFonts w:ascii="Times New Roman" w:hAnsi="Times New Roman" w:cs="Times New Roman"/>
        </w:rPr>
        <w:t xml:space="preserve"> The preoccupation with bolstering what was understood as a more Augustinian way of thinking however meant that this theory largely fell on infertile ground</w:t>
      </w:r>
      <w:r w:rsidR="002376B6" w:rsidRPr="00A472FC">
        <w:rPr>
          <w:rFonts w:ascii="Times New Roman" w:hAnsi="Times New Roman" w:cs="Times New Roman"/>
        </w:rPr>
        <w:t xml:space="preserve"> amongst early scholastic theologians</w:t>
      </w:r>
      <w:r w:rsidRPr="00A472FC">
        <w:rPr>
          <w:rFonts w:ascii="Times New Roman" w:hAnsi="Times New Roman" w:cs="Times New Roman"/>
        </w:rPr>
        <w:t xml:space="preserve">. Far more thinkers of this generation advocated some form of the </w:t>
      </w:r>
      <w:proofErr w:type="spellStart"/>
      <w:r w:rsidRPr="00A472FC">
        <w:rPr>
          <w:rFonts w:ascii="Times New Roman" w:hAnsi="Times New Roman" w:cs="Times New Roman"/>
        </w:rPr>
        <w:t>Avicennian</w:t>
      </w:r>
      <w:proofErr w:type="spellEnd"/>
      <w:r w:rsidRPr="00A472FC">
        <w:rPr>
          <w:rFonts w:ascii="Times New Roman" w:hAnsi="Times New Roman" w:cs="Times New Roman"/>
        </w:rPr>
        <w:t xml:space="preserve"> unicity theory that they found in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w:t>
      </w:r>
      <w:r w:rsidRPr="00A472FC">
        <w:rPr>
          <w:rFonts w:ascii="Times New Roman" w:hAnsi="Times New Roman" w:cs="Times New Roman"/>
          <w:i/>
        </w:rPr>
        <w:t>De anima</w:t>
      </w:r>
      <w:r w:rsidRPr="00A472FC">
        <w:rPr>
          <w:rFonts w:ascii="Times New Roman" w:hAnsi="Times New Roman" w:cs="Times New Roman"/>
        </w:rPr>
        <w:t xml:space="preserve">. </w:t>
      </w:r>
    </w:p>
    <w:p w14:paraId="6DE61CC7" w14:textId="3C501877"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lastRenderedPageBreak/>
        <w:t xml:space="preserve">This is certainly the case of John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whose account of the matter is similar to that of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in this work. The topic is clearly a concern for him, as he developed it in some detail and reiterated his views on it a number of times in his treatise on the soul. The vegetative soul can either be that which makes a plant what it is or perfects it. Or it can be that part of a human being which prepares for its perfection </w:t>
      </w:r>
      <w:r w:rsidR="000138D4" w:rsidRPr="00A472FC">
        <w:rPr>
          <w:rFonts w:ascii="Times New Roman" w:hAnsi="Times New Roman" w:cs="Times New Roman"/>
        </w:rPr>
        <w:t>through</w:t>
      </w:r>
      <w:r w:rsidRPr="00A472FC">
        <w:rPr>
          <w:rFonts w:ascii="Times New Roman" w:hAnsi="Times New Roman" w:cs="Times New Roman"/>
        </w:rPr>
        <w:t xml:space="preserve"> reason but does not perfect or enliven it as such. The same holds true for the sensitive soul.</w:t>
      </w:r>
      <w:r w:rsidRPr="00A472FC">
        <w:rPr>
          <w:rStyle w:val="FootnoteReference"/>
          <w:rFonts w:ascii="Times New Roman" w:hAnsi="Times New Roman" w:cs="Times New Roman"/>
        </w:rPr>
        <w:footnoteReference w:id="486"/>
      </w:r>
      <w:r w:rsidRPr="00A472FC">
        <w:rPr>
          <w:rFonts w:ascii="Times New Roman" w:hAnsi="Times New Roman" w:cs="Times New Roman"/>
        </w:rPr>
        <w:t xml:space="preserve"> Already we can detect hints here of what would later evolve into a related question, to wit, whether the human being possesses a double vegetative and sensitive soul, one that exists before the arrival of the rational soul, and one that comes afterwards.</w:t>
      </w:r>
      <w:r w:rsidRPr="00A472FC">
        <w:rPr>
          <w:rStyle w:val="FootnoteReference"/>
          <w:rFonts w:ascii="Times New Roman" w:hAnsi="Times New Roman" w:cs="Times New Roman"/>
        </w:rPr>
        <w:footnoteReference w:id="487"/>
      </w:r>
      <w:r w:rsidRPr="00A472FC">
        <w:rPr>
          <w:rFonts w:ascii="Times New Roman" w:hAnsi="Times New Roman" w:cs="Times New Roman"/>
        </w:rPr>
        <w:t xml:space="preserve"> According to Crowley, this position, advocated by John of La Rochelle, ‘does not differ from that of St Thomas.’</w:t>
      </w:r>
      <w:r w:rsidRPr="00A472FC">
        <w:rPr>
          <w:rStyle w:val="FootnoteReference"/>
          <w:rFonts w:ascii="Times New Roman" w:hAnsi="Times New Roman" w:cs="Times New Roman"/>
        </w:rPr>
        <w:footnoteReference w:id="488"/>
      </w:r>
    </w:p>
    <w:p w14:paraId="2FEAE742" w14:textId="20D04E85"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Before delving into John of La Rochelle’s account of the matter at hand, </w:t>
      </w:r>
      <w:r w:rsidR="00673C8F" w:rsidRPr="00A472FC">
        <w:rPr>
          <w:rFonts w:ascii="Times New Roman" w:hAnsi="Times New Roman" w:cs="Times New Roman"/>
        </w:rPr>
        <w:t xml:space="preserve">however, </w:t>
      </w:r>
      <w:r w:rsidRPr="00A472FC">
        <w:rPr>
          <w:rFonts w:ascii="Times New Roman" w:hAnsi="Times New Roman" w:cs="Times New Roman"/>
        </w:rPr>
        <w:t xml:space="preserve">it is worth </w:t>
      </w:r>
      <w:r w:rsidR="00D5192B" w:rsidRPr="00A472FC">
        <w:rPr>
          <w:rFonts w:ascii="Times New Roman" w:hAnsi="Times New Roman" w:cs="Times New Roman"/>
        </w:rPr>
        <w:t>examining</w:t>
      </w:r>
      <w:r w:rsidRPr="00A472FC">
        <w:rPr>
          <w:rFonts w:ascii="Times New Roman" w:hAnsi="Times New Roman" w:cs="Times New Roman"/>
        </w:rPr>
        <w:t xml:space="preserve"> Philip’s view, which represents a kind of theological intermediary between the positions of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and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and those taken up in John’s generation. In his tractate on the soul, Philip took the view that the three powers—vegetative, sensitive, and rational—can be considered as three substances. In this way, he transformed the question about the plurality of souls into </w:t>
      </w:r>
      <w:r w:rsidR="00673C8F" w:rsidRPr="00A472FC">
        <w:rPr>
          <w:rFonts w:ascii="Times New Roman" w:hAnsi="Times New Roman" w:cs="Times New Roman"/>
        </w:rPr>
        <w:t xml:space="preserve">a </w:t>
      </w:r>
      <w:r w:rsidRPr="00A472FC">
        <w:rPr>
          <w:rFonts w:ascii="Times New Roman" w:hAnsi="Times New Roman" w:cs="Times New Roman"/>
        </w:rPr>
        <w:t>question about the plurality of substances in the soul.</w:t>
      </w:r>
      <w:r w:rsidRPr="00A472FC">
        <w:rPr>
          <w:rStyle w:val="FootnoteReference"/>
          <w:rFonts w:ascii="Times New Roman" w:hAnsi="Times New Roman" w:cs="Times New Roman"/>
        </w:rPr>
        <w:footnoteReference w:id="489"/>
      </w:r>
      <w:r w:rsidRPr="00A472FC">
        <w:rPr>
          <w:rFonts w:ascii="Times New Roman" w:hAnsi="Times New Roman" w:cs="Times New Roman"/>
        </w:rPr>
        <w:t xml:space="preserve"> As Bieniak notes, there has been considerable debate, owing to the ambiguity of Philip’s language, as to whether he merely presents in another form the fundamentally pluralist view that there are three distinct souls in the human being. While Lottin and </w:t>
      </w:r>
      <w:proofErr w:type="spellStart"/>
      <w:r w:rsidRPr="00A472FC">
        <w:rPr>
          <w:rFonts w:ascii="Times New Roman" w:hAnsi="Times New Roman" w:cs="Times New Roman"/>
        </w:rPr>
        <w:t>Zavalloni</w:t>
      </w:r>
      <w:proofErr w:type="spellEnd"/>
      <w:r w:rsidRPr="00A472FC">
        <w:rPr>
          <w:rFonts w:ascii="Times New Roman" w:hAnsi="Times New Roman" w:cs="Times New Roman"/>
        </w:rPr>
        <w:t xml:space="preserve"> ultimately claim that Philip affirms the existence of only one soul with three substances</w:t>
      </w:r>
      <w:r w:rsidR="00BC28D9" w:rsidRPr="00A472FC">
        <w:rPr>
          <w:rFonts w:ascii="Times New Roman" w:hAnsi="Times New Roman" w:cs="Times New Roman"/>
        </w:rPr>
        <w:t>—which was how he was</w:t>
      </w:r>
      <w:r w:rsidR="00B001E6" w:rsidRPr="00A472FC">
        <w:rPr>
          <w:rFonts w:ascii="Times New Roman" w:hAnsi="Times New Roman" w:cs="Times New Roman"/>
        </w:rPr>
        <w:t xml:space="preserve"> apparently interpreted</w:t>
      </w:r>
      <w:r w:rsidR="00BC28D9" w:rsidRPr="00A472FC">
        <w:rPr>
          <w:rFonts w:ascii="Times New Roman" w:hAnsi="Times New Roman" w:cs="Times New Roman"/>
        </w:rPr>
        <w:t xml:space="preserve"> by contemporary English Franciscans such as Richard Rufus of Cornwall and Adam of </w:t>
      </w:r>
      <w:proofErr w:type="spellStart"/>
      <w:r w:rsidR="00BC28D9" w:rsidRPr="00A472FC">
        <w:rPr>
          <w:rFonts w:ascii="Times New Roman" w:hAnsi="Times New Roman" w:cs="Times New Roman"/>
        </w:rPr>
        <w:t>Bockenfield</w:t>
      </w:r>
      <w:proofErr w:type="spellEnd"/>
      <w:r w:rsidR="004A7111" w:rsidRPr="00A472FC">
        <w:rPr>
          <w:rStyle w:val="FootnoteReference"/>
          <w:rFonts w:ascii="Times New Roman" w:hAnsi="Times New Roman" w:cs="Times New Roman"/>
        </w:rPr>
        <w:footnoteReference w:id="490"/>
      </w:r>
      <w:r w:rsidR="00BC28D9" w:rsidRPr="00A472FC">
        <w:rPr>
          <w:rFonts w:ascii="Times New Roman" w:hAnsi="Times New Roman" w:cs="Times New Roman"/>
        </w:rPr>
        <w:t>—</w:t>
      </w:r>
      <w:r w:rsidRPr="00A472FC">
        <w:rPr>
          <w:rFonts w:ascii="Times New Roman" w:hAnsi="Times New Roman" w:cs="Times New Roman"/>
        </w:rPr>
        <w:t>Bieniak regards the pluralist reading of his work as the most plausible.</w:t>
      </w:r>
      <w:r w:rsidRPr="00A472FC">
        <w:rPr>
          <w:rStyle w:val="FootnoteReference"/>
          <w:rFonts w:ascii="Times New Roman" w:hAnsi="Times New Roman" w:cs="Times New Roman"/>
        </w:rPr>
        <w:footnoteReference w:id="491"/>
      </w:r>
      <w:r w:rsidRPr="00A472FC">
        <w:rPr>
          <w:rFonts w:ascii="Times New Roman" w:hAnsi="Times New Roman" w:cs="Times New Roman"/>
        </w:rPr>
        <w:t xml:space="preserve"> </w:t>
      </w:r>
    </w:p>
    <w:p w14:paraId="61B6ABF6" w14:textId="7482D84F"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lastRenderedPageBreak/>
        <w:t>In Philip’s understanding, the first two powers pertain to corruptible things and are therefore corruptible: they do not survive the death of the body.</w:t>
      </w:r>
      <w:r w:rsidRPr="00A472FC">
        <w:rPr>
          <w:rStyle w:val="FootnoteReference"/>
          <w:rFonts w:ascii="Times New Roman" w:hAnsi="Times New Roman" w:cs="Times New Roman"/>
        </w:rPr>
        <w:footnoteReference w:id="492"/>
      </w:r>
      <w:r w:rsidRPr="00A472FC">
        <w:rPr>
          <w:rFonts w:ascii="Times New Roman" w:hAnsi="Times New Roman" w:cs="Times New Roman"/>
        </w:rPr>
        <w:t xml:space="preserve"> By contrast, reason concerns intelligible things that are not corruptible and is for this reason constitutive of a soul which is ultimately a separate and separable substance from the body.</w:t>
      </w:r>
      <w:r w:rsidRPr="00A472FC">
        <w:rPr>
          <w:rStyle w:val="FootnoteReference"/>
          <w:rFonts w:ascii="Times New Roman" w:hAnsi="Times New Roman" w:cs="Times New Roman"/>
        </w:rPr>
        <w:footnoteReference w:id="493"/>
      </w:r>
      <w:r w:rsidRPr="00A472FC">
        <w:rPr>
          <w:rFonts w:ascii="Times New Roman" w:hAnsi="Times New Roman" w:cs="Times New Roman"/>
        </w:rPr>
        <w:t xml:space="preserve"> While the first two souls are </w:t>
      </w:r>
      <w:r w:rsidRPr="00A472FC">
        <w:rPr>
          <w:rFonts w:ascii="Times New Roman" w:hAnsi="Times New Roman" w:cs="Times New Roman"/>
          <w:i/>
        </w:rPr>
        <w:t>ex traduce</w:t>
      </w:r>
      <w:r w:rsidRPr="00A472FC">
        <w:rPr>
          <w:rFonts w:ascii="Times New Roman" w:hAnsi="Times New Roman" w:cs="Times New Roman"/>
        </w:rPr>
        <w:t>,</w:t>
      </w:r>
      <w:r w:rsidRPr="00A472FC">
        <w:rPr>
          <w:rFonts w:ascii="Times New Roman" w:hAnsi="Times New Roman" w:cs="Times New Roman"/>
          <w:i/>
        </w:rPr>
        <w:t xml:space="preserve"> </w:t>
      </w:r>
      <w:r w:rsidRPr="00A472FC">
        <w:rPr>
          <w:rFonts w:ascii="Times New Roman" w:hAnsi="Times New Roman" w:cs="Times New Roman"/>
        </w:rPr>
        <w:t>or passed on through generation, corporeally, Philip holds un-controversially that the latter is created by God.</w:t>
      </w:r>
      <w:r w:rsidRPr="00A472FC">
        <w:rPr>
          <w:rStyle w:val="FootnoteReference"/>
          <w:rFonts w:ascii="Times New Roman" w:hAnsi="Times New Roman" w:cs="Times New Roman"/>
        </w:rPr>
        <w:footnoteReference w:id="494"/>
      </w:r>
      <w:r w:rsidRPr="00A472FC">
        <w:rPr>
          <w:rFonts w:ascii="Times New Roman" w:hAnsi="Times New Roman" w:cs="Times New Roman"/>
        </w:rPr>
        <w:t xml:space="preserve"> </w:t>
      </w:r>
      <w:r w:rsidR="00D44945" w:rsidRPr="00A472FC">
        <w:rPr>
          <w:rFonts w:ascii="Times New Roman" w:hAnsi="Times New Roman" w:cs="Times New Roman"/>
        </w:rPr>
        <w:t>This</w:t>
      </w:r>
      <w:r w:rsidRPr="00A472FC">
        <w:rPr>
          <w:rFonts w:ascii="Times New Roman" w:hAnsi="Times New Roman" w:cs="Times New Roman"/>
        </w:rPr>
        <w:t xml:space="preserve"> </w:t>
      </w:r>
      <w:r w:rsidR="00B04E28" w:rsidRPr="00A472FC">
        <w:rPr>
          <w:rFonts w:ascii="Times New Roman" w:hAnsi="Times New Roman" w:cs="Times New Roman"/>
        </w:rPr>
        <w:t xml:space="preserve">view of the soul as immediately imparted by God </w:t>
      </w:r>
      <w:r w:rsidRPr="00A472FC">
        <w:rPr>
          <w:rFonts w:ascii="Times New Roman" w:hAnsi="Times New Roman" w:cs="Times New Roman"/>
        </w:rPr>
        <w:t>was held virtually universally by early scholastic t</w:t>
      </w:r>
      <w:r w:rsidR="00A53DD2" w:rsidRPr="00A472FC">
        <w:rPr>
          <w:rFonts w:ascii="Times New Roman" w:hAnsi="Times New Roman" w:cs="Times New Roman"/>
        </w:rPr>
        <w:t>hinkers</w:t>
      </w:r>
      <w:r w:rsidRPr="00A472FC">
        <w:rPr>
          <w:rFonts w:ascii="Times New Roman" w:hAnsi="Times New Roman" w:cs="Times New Roman"/>
        </w:rPr>
        <w:t xml:space="preserve"> from the </w:t>
      </w:r>
      <w:r w:rsidR="00423265" w:rsidRPr="00A472FC">
        <w:rPr>
          <w:rFonts w:ascii="Times New Roman" w:hAnsi="Times New Roman" w:cs="Times New Roman"/>
        </w:rPr>
        <w:t xml:space="preserve">author of the </w:t>
      </w:r>
      <w:r w:rsidRPr="00A472FC">
        <w:rPr>
          <w:rFonts w:ascii="Times New Roman" w:hAnsi="Times New Roman" w:cs="Times New Roman"/>
        </w:rPr>
        <w:t xml:space="preserve">DSEA to John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Alexander of Hales, and John of La Rochelle. While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is ambiguous on whether he thinks the soul is </w:t>
      </w:r>
      <w:r w:rsidRPr="00A472FC">
        <w:rPr>
          <w:rFonts w:ascii="Times New Roman" w:hAnsi="Times New Roman" w:cs="Times New Roman"/>
          <w:i/>
        </w:rPr>
        <w:t>ex traduce</w:t>
      </w:r>
      <w:r w:rsidRPr="00A472FC">
        <w:rPr>
          <w:rFonts w:ascii="Times New Roman" w:hAnsi="Times New Roman" w:cs="Times New Roman"/>
        </w:rPr>
        <w:t>, he probably thinks it is not.</w:t>
      </w:r>
      <w:r w:rsidRPr="00A472FC">
        <w:rPr>
          <w:rStyle w:val="FootnoteReference"/>
          <w:rFonts w:ascii="Times New Roman" w:hAnsi="Times New Roman" w:cs="Times New Roman"/>
        </w:rPr>
        <w:footnoteReference w:id="495"/>
      </w:r>
    </w:p>
    <w:p w14:paraId="37EFE62B" w14:textId="0CBB06A8"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In affirming the rational soul’s creation by God, however, we have seen that Philip postulates the existence of three substances, not necessarily three separate souls. Although Philip like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holds that the vegetative and sensible souls prepare for the arrival of the rational soul, </w:t>
      </w:r>
      <w:r w:rsidR="00C52125" w:rsidRPr="00A472FC">
        <w:rPr>
          <w:rFonts w:ascii="Times New Roman" w:hAnsi="Times New Roman" w:cs="Times New Roman"/>
        </w:rPr>
        <w:t xml:space="preserve">he </w:t>
      </w:r>
      <w:r w:rsidR="008F4F31" w:rsidRPr="00A472FC">
        <w:rPr>
          <w:rFonts w:ascii="Times New Roman" w:hAnsi="Times New Roman" w:cs="Times New Roman"/>
        </w:rPr>
        <w:t>also believes that</w:t>
      </w:r>
      <w:r w:rsidR="00BC6948" w:rsidRPr="00A472FC">
        <w:rPr>
          <w:rFonts w:ascii="Times New Roman" w:hAnsi="Times New Roman" w:cs="Times New Roman"/>
        </w:rPr>
        <w:t xml:space="preserve"> </w:t>
      </w:r>
      <w:r w:rsidRPr="00A472FC">
        <w:rPr>
          <w:rFonts w:ascii="Times New Roman" w:hAnsi="Times New Roman" w:cs="Times New Roman"/>
        </w:rPr>
        <w:t>they are ultimately assimilated to that soul, which is the only proper perfection of the human being.</w:t>
      </w:r>
      <w:r w:rsidRPr="00A472FC">
        <w:rPr>
          <w:rStyle w:val="FootnoteReference"/>
          <w:rFonts w:ascii="Times New Roman" w:hAnsi="Times New Roman" w:cs="Times New Roman"/>
        </w:rPr>
        <w:footnoteReference w:id="496"/>
      </w:r>
      <w:r w:rsidRPr="00A472FC">
        <w:rPr>
          <w:rFonts w:ascii="Times New Roman" w:hAnsi="Times New Roman" w:cs="Times New Roman"/>
        </w:rPr>
        <w:t xml:space="preserve"> For this reason, a person </w:t>
      </w:r>
      <w:r w:rsidR="00992141" w:rsidRPr="00A472FC">
        <w:rPr>
          <w:rFonts w:ascii="Times New Roman" w:hAnsi="Times New Roman" w:cs="Times New Roman"/>
        </w:rPr>
        <w:t xml:space="preserve">on his understanding </w:t>
      </w:r>
      <w:r w:rsidRPr="00A472FC">
        <w:rPr>
          <w:rFonts w:ascii="Times New Roman" w:hAnsi="Times New Roman" w:cs="Times New Roman"/>
        </w:rPr>
        <w:t>is not progressively a vegetable and an animal prior to obtaining the rational soul: it is simply an unformed human. As a matter of fact, an embryo possessing the vegetative and sensitive powers cannot be described as human until the power of reason is obtained.</w:t>
      </w:r>
      <w:r w:rsidRPr="00A472FC">
        <w:rPr>
          <w:rStyle w:val="FootnoteReference"/>
          <w:rFonts w:ascii="Times New Roman" w:hAnsi="Times New Roman" w:cs="Times New Roman"/>
        </w:rPr>
        <w:footnoteReference w:id="497"/>
      </w:r>
    </w:p>
    <w:p w14:paraId="095DC562" w14:textId="45D42DA3" w:rsidR="004C1CD7" w:rsidRPr="00A472FC" w:rsidRDefault="004C1CD7" w:rsidP="00AF770E">
      <w:pPr>
        <w:ind w:right="-52" w:firstLine="720"/>
        <w:rPr>
          <w:rFonts w:ascii="Times New Roman" w:hAnsi="Times New Roman" w:cs="Times New Roman"/>
        </w:rPr>
      </w:pPr>
      <w:r w:rsidRPr="00A472FC">
        <w:rPr>
          <w:rFonts w:ascii="Times New Roman" w:hAnsi="Times New Roman" w:cs="Times New Roman"/>
        </w:rPr>
        <w:t xml:space="preserve">Although the preliminary powers are necessary to achieving the perfection of the rational soul, the fact that they are assimilated to the rational soul when it arrives, even while remaining different substances to it, means that there is only one soul. Thus, Lottin and </w:t>
      </w:r>
      <w:proofErr w:type="spellStart"/>
      <w:r w:rsidRPr="00A472FC">
        <w:rPr>
          <w:rFonts w:ascii="Times New Roman" w:hAnsi="Times New Roman" w:cs="Times New Roman"/>
        </w:rPr>
        <w:t>Zavalloni’s</w:t>
      </w:r>
      <w:proofErr w:type="spellEnd"/>
      <w:r w:rsidRPr="00A472FC">
        <w:rPr>
          <w:rFonts w:ascii="Times New Roman" w:hAnsi="Times New Roman" w:cs="Times New Roman"/>
        </w:rPr>
        <w:t xml:space="preserve"> interpretation of Philip </w:t>
      </w:r>
      <w:r w:rsidR="000C3D78" w:rsidRPr="00A472FC">
        <w:rPr>
          <w:rFonts w:ascii="Times New Roman" w:hAnsi="Times New Roman" w:cs="Times New Roman"/>
        </w:rPr>
        <w:t xml:space="preserve">as a unitarian </w:t>
      </w:r>
      <w:r w:rsidRPr="00A472FC">
        <w:rPr>
          <w:rFonts w:ascii="Times New Roman" w:hAnsi="Times New Roman" w:cs="Times New Roman"/>
        </w:rPr>
        <w:t xml:space="preserve">seems most plausible. </w:t>
      </w:r>
      <w:r w:rsidR="00293C36" w:rsidRPr="00A472FC">
        <w:rPr>
          <w:rFonts w:ascii="Times New Roman" w:hAnsi="Times New Roman" w:cs="Times New Roman"/>
        </w:rPr>
        <w:t xml:space="preserve">In affirming this position, Philip arguably sought to follow a medieval theological tradition </w:t>
      </w:r>
      <w:r w:rsidR="006628BF" w:rsidRPr="00A472FC">
        <w:rPr>
          <w:rFonts w:ascii="Times New Roman" w:hAnsi="Times New Roman" w:cs="Times New Roman"/>
        </w:rPr>
        <w:t xml:space="preserve">that was </w:t>
      </w:r>
      <w:r w:rsidR="000C7C17" w:rsidRPr="00A472FC">
        <w:rPr>
          <w:rFonts w:ascii="Times New Roman" w:hAnsi="Times New Roman" w:cs="Times New Roman"/>
        </w:rPr>
        <w:t>ascribed to</w:t>
      </w:r>
      <w:r w:rsidR="000906BD" w:rsidRPr="00A472FC">
        <w:rPr>
          <w:rFonts w:ascii="Times New Roman" w:hAnsi="Times New Roman" w:cs="Times New Roman"/>
        </w:rPr>
        <w:t xml:space="preserve"> Augustine </w:t>
      </w:r>
      <w:r w:rsidR="00333B26" w:rsidRPr="00A472FC">
        <w:rPr>
          <w:rFonts w:ascii="Times New Roman" w:hAnsi="Times New Roman" w:cs="Times New Roman"/>
        </w:rPr>
        <w:t>which</w:t>
      </w:r>
      <w:r w:rsidR="007353F9" w:rsidRPr="00A472FC">
        <w:rPr>
          <w:rFonts w:ascii="Times New Roman" w:hAnsi="Times New Roman" w:cs="Times New Roman"/>
        </w:rPr>
        <w:t xml:space="preserve"> had</w:t>
      </w:r>
      <w:r w:rsidR="00293C36" w:rsidRPr="00A472FC">
        <w:rPr>
          <w:rFonts w:ascii="Times New Roman" w:hAnsi="Times New Roman" w:cs="Times New Roman"/>
        </w:rPr>
        <w:t xml:space="preserve"> existed even before the arrival of Avicenna on the scholarly scene. </w:t>
      </w:r>
      <w:proofErr w:type="spellStart"/>
      <w:r w:rsidRPr="00A472FC">
        <w:rPr>
          <w:rFonts w:ascii="Times New Roman" w:hAnsi="Times New Roman" w:cs="Times New Roman"/>
        </w:rPr>
        <w:t>Aelr</w:t>
      </w:r>
      <w:r w:rsidR="0038021C" w:rsidRPr="00A472FC">
        <w:rPr>
          <w:rFonts w:ascii="Times New Roman" w:hAnsi="Times New Roman" w:cs="Times New Roman"/>
        </w:rPr>
        <w:t>e</w:t>
      </w:r>
      <w:r w:rsidRPr="00A472FC">
        <w:rPr>
          <w:rFonts w:ascii="Times New Roman" w:hAnsi="Times New Roman" w:cs="Times New Roman"/>
        </w:rPr>
        <w:t>d</w:t>
      </w:r>
      <w:proofErr w:type="spellEnd"/>
      <w:r w:rsidRPr="00A472FC">
        <w:rPr>
          <w:rFonts w:ascii="Times New Roman" w:hAnsi="Times New Roman" w:cs="Times New Roman"/>
        </w:rPr>
        <w:t xml:space="preserve"> of </w:t>
      </w:r>
      <w:proofErr w:type="spellStart"/>
      <w:r w:rsidRPr="00A472FC">
        <w:rPr>
          <w:rFonts w:ascii="Times New Roman" w:hAnsi="Times New Roman" w:cs="Times New Roman"/>
        </w:rPr>
        <w:t>Rivaulx</w:t>
      </w:r>
      <w:proofErr w:type="spellEnd"/>
      <w:r w:rsidRPr="00A472FC">
        <w:rPr>
          <w:rFonts w:ascii="Times New Roman" w:hAnsi="Times New Roman" w:cs="Times New Roman"/>
        </w:rPr>
        <w:t xml:space="preserve"> (d. 1167) for one had denied the succession of souls in the embryo before it receives the rational soul, which in his view entailed the absurd consequence that at the moment of receiving this soul, the human embryo is actually an animal.</w:t>
      </w:r>
      <w:r w:rsidRPr="00A472FC">
        <w:rPr>
          <w:rStyle w:val="FootnoteReference"/>
          <w:rFonts w:ascii="Times New Roman" w:hAnsi="Times New Roman" w:cs="Times New Roman"/>
        </w:rPr>
        <w:footnoteReference w:id="498"/>
      </w:r>
      <w:r w:rsidRPr="00A472FC">
        <w:rPr>
          <w:rFonts w:ascii="Times New Roman" w:hAnsi="Times New Roman" w:cs="Times New Roman"/>
        </w:rPr>
        <w:t xml:space="preserve"> The only cases in which the vegetative and sensitive powers can be described as souls in their own right concern plants and animals, which respectively achieve their perfection through these powers.</w:t>
      </w:r>
      <w:r w:rsidRPr="00A472FC">
        <w:rPr>
          <w:rStyle w:val="FootnoteReference"/>
          <w:rFonts w:ascii="Times New Roman" w:hAnsi="Times New Roman" w:cs="Times New Roman"/>
        </w:rPr>
        <w:footnoteReference w:id="499"/>
      </w:r>
      <w:r w:rsidRPr="00A472FC">
        <w:rPr>
          <w:rFonts w:ascii="Times New Roman" w:hAnsi="Times New Roman" w:cs="Times New Roman"/>
        </w:rPr>
        <w:t xml:space="preserve"> </w:t>
      </w:r>
    </w:p>
    <w:p w14:paraId="097CECB2" w14:textId="61889F37" w:rsidR="003B36B6"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Whereas </w:t>
      </w:r>
      <w:r w:rsidR="00CB4AB5" w:rsidRPr="00A472FC">
        <w:rPr>
          <w:rFonts w:ascii="Times New Roman" w:hAnsi="Times New Roman" w:cs="Times New Roman"/>
        </w:rPr>
        <w:t xml:space="preserve">the </w:t>
      </w:r>
      <w:r w:rsidR="003B36B6" w:rsidRPr="00A472FC">
        <w:rPr>
          <w:rFonts w:ascii="Times New Roman" w:hAnsi="Times New Roman" w:cs="Times New Roman"/>
        </w:rPr>
        <w:t>upshot</w:t>
      </w:r>
      <w:r w:rsidR="00CB4AB5" w:rsidRPr="00A472FC">
        <w:rPr>
          <w:rFonts w:ascii="Times New Roman" w:hAnsi="Times New Roman" w:cs="Times New Roman"/>
        </w:rPr>
        <w:t xml:space="preserve"> o</w:t>
      </w:r>
      <w:r w:rsidR="003B36B6" w:rsidRPr="00A472FC">
        <w:rPr>
          <w:rFonts w:ascii="Times New Roman" w:hAnsi="Times New Roman" w:cs="Times New Roman"/>
        </w:rPr>
        <w:t xml:space="preserve">f </w:t>
      </w:r>
      <w:r w:rsidRPr="00A472FC">
        <w:rPr>
          <w:rFonts w:ascii="Times New Roman" w:hAnsi="Times New Roman" w:cs="Times New Roman"/>
        </w:rPr>
        <w:t>Philip’s position has been debated, the Dominicans Hugh of St Cher</w:t>
      </w:r>
      <w:r w:rsidR="00CA0A72" w:rsidRPr="00A472FC">
        <w:rPr>
          <w:rFonts w:ascii="Times New Roman" w:hAnsi="Times New Roman" w:cs="Times New Roman"/>
        </w:rPr>
        <w:t xml:space="preserve"> </w:t>
      </w:r>
      <w:r w:rsidRPr="00A472FC">
        <w:rPr>
          <w:rFonts w:ascii="Times New Roman" w:hAnsi="Times New Roman" w:cs="Times New Roman"/>
        </w:rPr>
        <w:t xml:space="preserve">and Roland of Cremona come down squarely on the side of the view that the vegetative, </w:t>
      </w:r>
      <w:r w:rsidRPr="00A472FC">
        <w:rPr>
          <w:rFonts w:ascii="Times New Roman" w:hAnsi="Times New Roman" w:cs="Times New Roman"/>
        </w:rPr>
        <w:lastRenderedPageBreak/>
        <w:t>sensible, and rational souls are one.</w:t>
      </w:r>
      <w:r w:rsidRPr="00A472FC">
        <w:rPr>
          <w:rStyle w:val="FootnoteReference"/>
          <w:rFonts w:ascii="Times New Roman" w:hAnsi="Times New Roman" w:cs="Times New Roman"/>
        </w:rPr>
        <w:footnoteReference w:id="500"/>
      </w:r>
      <w:r w:rsidRPr="00A472FC">
        <w:rPr>
          <w:rFonts w:ascii="Times New Roman" w:hAnsi="Times New Roman" w:cs="Times New Roman"/>
        </w:rPr>
        <w:t xml:space="preserve"> They openly reject the idea that these souls constitute three substances out of an ardent desire to safeguard the simplicity of the soul.</w:t>
      </w:r>
      <w:r w:rsidRPr="00A472FC">
        <w:rPr>
          <w:rStyle w:val="FootnoteReference"/>
          <w:rFonts w:ascii="Times New Roman" w:hAnsi="Times New Roman" w:cs="Times New Roman"/>
        </w:rPr>
        <w:footnoteReference w:id="501"/>
      </w:r>
      <w:r w:rsidRPr="00A472FC">
        <w:rPr>
          <w:rFonts w:ascii="Times New Roman" w:hAnsi="Times New Roman" w:cs="Times New Roman"/>
        </w:rPr>
        <w:t xml:space="preserve"> According to Roland of Cremona, ‘the nutritive and sensitive souls are powers of the rational soul and are created with it.’</w:t>
      </w:r>
      <w:r w:rsidRPr="00A472FC">
        <w:rPr>
          <w:rStyle w:val="FootnoteReference"/>
          <w:rFonts w:ascii="Times New Roman" w:hAnsi="Times New Roman" w:cs="Times New Roman"/>
        </w:rPr>
        <w:footnoteReference w:id="502"/>
      </w:r>
      <w:r w:rsidRPr="00A472FC">
        <w:rPr>
          <w:rFonts w:ascii="Times New Roman" w:hAnsi="Times New Roman" w:cs="Times New Roman"/>
        </w:rPr>
        <w:t xml:space="preserve"> As such, they do not emerge from the potentiality of matter. In this regard, ‘Roland of Cremona dismisses the argument from the growth of the embryo by saying that the embryo has no principle of life properly speaking but i</w:t>
      </w:r>
      <w:r w:rsidR="00401D4B" w:rsidRPr="00A472FC">
        <w:rPr>
          <w:rFonts w:ascii="Times New Roman" w:hAnsi="Times New Roman" w:cs="Times New Roman"/>
        </w:rPr>
        <w:t>t</w:t>
      </w:r>
      <w:r w:rsidRPr="00A472FC">
        <w:rPr>
          <w:rFonts w:ascii="Times New Roman" w:hAnsi="Times New Roman" w:cs="Times New Roman"/>
        </w:rPr>
        <w:t xml:space="preserve"> </w:t>
      </w:r>
      <w:r w:rsidR="00401D4B" w:rsidRPr="00A472FC">
        <w:rPr>
          <w:rFonts w:ascii="Times New Roman" w:hAnsi="Times New Roman" w:cs="Times New Roman"/>
        </w:rPr>
        <w:t>is</w:t>
      </w:r>
      <w:r w:rsidRPr="00A472FC">
        <w:rPr>
          <w:rFonts w:ascii="Times New Roman" w:hAnsi="Times New Roman" w:cs="Times New Roman"/>
        </w:rPr>
        <w:t xml:space="preserve"> a member of the mother.’</w:t>
      </w:r>
      <w:r w:rsidRPr="00A472FC">
        <w:rPr>
          <w:rStyle w:val="FootnoteReference"/>
          <w:rFonts w:ascii="Times New Roman" w:hAnsi="Times New Roman" w:cs="Times New Roman"/>
        </w:rPr>
        <w:footnoteReference w:id="503"/>
      </w:r>
      <w:r w:rsidRPr="00A472FC">
        <w:rPr>
          <w:rFonts w:ascii="Times New Roman" w:hAnsi="Times New Roman" w:cs="Times New Roman"/>
        </w:rPr>
        <w:t xml:space="preserve"> </w:t>
      </w:r>
    </w:p>
    <w:p w14:paraId="25C2EB9B" w14:textId="5355F98D" w:rsidR="00CA0A72" w:rsidRPr="00A472FC" w:rsidRDefault="004C1CD7" w:rsidP="00CA0A72">
      <w:pPr>
        <w:ind w:right="-52" w:firstLine="720"/>
        <w:rPr>
          <w:rFonts w:ascii="Times New Roman" w:hAnsi="Times New Roman" w:cs="Times New Roman"/>
        </w:rPr>
      </w:pPr>
      <w:r w:rsidRPr="00A472FC">
        <w:rPr>
          <w:rFonts w:ascii="Times New Roman" w:hAnsi="Times New Roman" w:cs="Times New Roman"/>
        </w:rPr>
        <w:t xml:space="preserve">Similar to Roland, Hugh holds that </w:t>
      </w:r>
      <w:r w:rsidR="00192E36" w:rsidRPr="00A472FC">
        <w:rPr>
          <w:rFonts w:ascii="Times New Roman" w:hAnsi="Times New Roman" w:cs="Times New Roman"/>
        </w:rPr>
        <w:t>‘</w:t>
      </w:r>
      <w:r w:rsidRPr="00A472FC">
        <w:rPr>
          <w:rFonts w:ascii="Times New Roman" w:hAnsi="Times New Roman" w:cs="Times New Roman"/>
        </w:rPr>
        <w:t>the inferior faculties belong to the substance of the rational soul; however, their existence is strictly connected with their function in the human body.’</w:t>
      </w:r>
      <w:r w:rsidRPr="00A472FC">
        <w:rPr>
          <w:rStyle w:val="FootnoteReference"/>
          <w:rFonts w:ascii="Times New Roman" w:hAnsi="Times New Roman" w:cs="Times New Roman"/>
        </w:rPr>
        <w:footnoteReference w:id="504"/>
      </w:r>
      <w:r w:rsidRPr="00A472FC">
        <w:rPr>
          <w:rFonts w:ascii="Times New Roman" w:hAnsi="Times New Roman" w:cs="Times New Roman"/>
        </w:rPr>
        <w:t xml:space="preserve"> In affirming this, Hugh was apparently influenced by the Aristotelian view that the soul ceases to exist with the body. This seems to suggest that he saw those powers as mere accidents of the soul. However, we have </w:t>
      </w:r>
      <w:r w:rsidR="0074262E" w:rsidRPr="00A472FC">
        <w:rPr>
          <w:rFonts w:ascii="Times New Roman" w:hAnsi="Times New Roman" w:cs="Times New Roman"/>
        </w:rPr>
        <w:t>also</w:t>
      </w:r>
      <w:r w:rsidR="00F629EE" w:rsidRPr="00A472FC">
        <w:rPr>
          <w:rFonts w:ascii="Times New Roman" w:hAnsi="Times New Roman" w:cs="Times New Roman"/>
        </w:rPr>
        <w:t xml:space="preserve"> </w:t>
      </w:r>
      <w:r w:rsidRPr="00A472FC">
        <w:rPr>
          <w:rFonts w:ascii="Times New Roman" w:hAnsi="Times New Roman" w:cs="Times New Roman"/>
        </w:rPr>
        <w:t>seen that Hugh believes that the soul is united substantially and not accidentally to the body. Thus, Magdalena Bieniak has observed that there seems to be a contradiction in his thought.</w:t>
      </w:r>
      <w:r w:rsidRPr="00A472FC">
        <w:rPr>
          <w:rStyle w:val="FootnoteReference"/>
          <w:rFonts w:ascii="Times New Roman" w:hAnsi="Times New Roman" w:cs="Times New Roman"/>
        </w:rPr>
        <w:footnoteReference w:id="505"/>
      </w:r>
      <w:r w:rsidRPr="00A472FC">
        <w:rPr>
          <w:rFonts w:ascii="Times New Roman" w:hAnsi="Times New Roman" w:cs="Times New Roman"/>
        </w:rPr>
        <w:t xml:space="preserve"> </w:t>
      </w:r>
      <w:r w:rsidR="00CA0A72" w:rsidRPr="00A472FC">
        <w:rPr>
          <w:rFonts w:ascii="Times New Roman" w:hAnsi="Times New Roman" w:cs="Times New Roman"/>
        </w:rPr>
        <w:t xml:space="preserve">For his part, </w:t>
      </w:r>
      <w:proofErr w:type="spellStart"/>
      <w:r w:rsidR="00CA0A72" w:rsidRPr="00A472FC">
        <w:rPr>
          <w:rFonts w:ascii="Times New Roman" w:hAnsi="Times New Roman" w:cs="Times New Roman"/>
        </w:rPr>
        <w:t>Guerric</w:t>
      </w:r>
      <w:proofErr w:type="spellEnd"/>
      <w:r w:rsidR="00CA0A72" w:rsidRPr="00A472FC">
        <w:rPr>
          <w:rFonts w:ascii="Times New Roman" w:hAnsi="Times New Roman" w:cs="Times New Roman"/>
        </w:rPr>
        <w:t xml:space="preserve"> of St Quentin also affirmed that the simplicity of the soul requires a unity of the powers; still he argued that simplicity is compatible with the multiplicity of the powers in </w:t>
      </w:r>
      <w:r w:rsidR="00391D25" w:rsidRPr="00A472FC">
        <w:rPr>
          <w:rFonts w:ascii="Times New Roman" w:hAnsi="Times New Roman" w:cs="Times New Roman"/>
        </w:rPr>
        <w:t>m</w:t>
      </w:r>
      <w:r w:rsidR="00CA0A72" w:rsidRPr="00A472FC">
        <w:rPr>
          <w:rFonts w:ascii="Times New Roman" w:hAnsi="Times New Roman" w:cs="Times New Roman"/>
        </w:rPr>
        <w:t xml:space="preserve">uch the same way that </w:t>
      </w:r>
      <w:r w:rsidR="00CA0A72" w:rsidRPr="00A472FC">
        <w:rPr>
          <w:rFonts w:ascii="Times New Roman" w:hAnsi="Times New Roman" w:cs="Times New Roman"/>
          <w:lang w:val="en-US"/>
        </w:rPr>
        <w:t>a fire can have numerous effects—burning, illuminating, warming, and so on.</w:t>
      </w:r>
      <w:r w:rsidR="00CA0A72" w:rsidRPr="00A472FC">
        <w:rPr>
          <w:rStyle w:val="FootnoteReference"/>
          <w:rFonts w:ascii="Times New Roman" w:hAnsi="Times New Roman" w:cs="Times New Roman"/>
          <w:lang w:val="en-US"/>
        </w:rPr>
        <w:footnoteReference w:id="506"/>
      </w:r>
      <w:r w:rsidR="00CA0A72" w:rsidRPr="00A472FC">
        <w:rPr>
          <w:rFonts w:ascii="Times New Roman" w:hAnsi="Times New Roman" w:cs="Times New Roman"/>
          <w:lang w:val="en-US"/>
        </w:rPr>
        <w:t xml:space="preserve"> </w:t>
      </w:r>
    </w:p>
    <w:p w14:paraId="6D69F832" w14:textId="6EE5A6A4" w:rsidR="004C1CD7" w:rsidRPr="00A472FC" w:rsidRDefault="00CA0A72" w:rsidP="0074262E">
      <w:pPr>
        <w:ind w:right="-52" w:firstLine="720"/>
        <w:rPr>
          <w:rFonts w:ascii="Times New Roman" w:hAnsi="Times New Roman" w:cs="Times New Roman"/>
        </w:rPr>
      </w:pPr>
      <w:r w:rsidRPr="00A472FC">
        <w:rPr>
          <w:rFonts w:ascii="Times New Roman" w:hAnsi="Times New Roman" w:cs="Times New Roman"/>
        </w:rPr>
        <w:t>Around the same time</w:t>
      </w:r>
      <w:r w:rsidR="004C1CD7" w:rsidRPr="00A472FC">
        <w:rPr>
          <w:rFonts w:ascii="Times New Roman" w:hAnsi="Times New Roman" w:cs="Times New Roman"/>
        </w:rPr>
        <w:t xml:space="preserve">, William of Auvergne </w:t>
      </w:r>
      <w:r w:rsidR="0074262E" w:rsidRPr="00A472FC">
        <w:rPr>
          <w:rFonts w:ascii="Times New Roman" w:hAnsi="Times New Roman" w:cs="Times New Roman"/>
        </w:rPr>
        <w:t>mounted</w:t>
      </w:r>
      <w:r w:rsidR="004C1CD7" w:rsidRPr="00A472FC">
        <w:rPr>
          <w:rFonts w:ascii="Times New Roman" w:hAnsi="Times New Roman" w:cs="Times New Roman"/>
        </w:rPr>
        <w:t xml:space="preserve"> a vigorous </w:t>
      </w:r>
      <w:r w:rsidR="00662BF8" w:rsidRPr="00A472FC">
        <w:rPr>
          <w:rFonts w:ascii="Times New Roman" w:hAnsi="Times New Roman" w:cs="Times New Roman"/>
        </w:rPr>
        <w:t>critique of</w:t>
      </w:r>
      <w:r w:rsidR="004C1CD7" w:rsidRPr="00A472FC">
        <w:rPr>
          <w:rFonts w:ascii="Times New Roman" w:hAnsi="Times New Roman" w:cs="Times New Roman"/>
        </w:rPr>
        <w:t xml:space="preserve"> the idea that the three functions of the human being—vegetative, sensitive, and rational—in fact result in three souls.</w:t>
      </w:r>
      <w:r w:rsidR="004C1CD7" w:rsidRPr="00A472FC">
        <w:rPr>
          <w:rStyle w:val="FootnoteReference"/>
          <w:rFonts w:ascii="Times New Roman" w:hAnsi="Times New Roman" w:cs="Times New Roman"/>
        </w:rPr>
        <w:footnoteReference w:id="507"/>
      </w:r>
      <w:r w:rsidR="004C1CD7" w:rsidRPr="00A472FC">
        <w:rPr>
          <w:rFonts w:ascii="Times New Roman" w:hAnsi="Times New Roman" w:cs="Times New Roman"/>
        </w:rPr>
        <w:t xml:space="preserve"> For him, the embryo is not a person before the arrival of the rational soul, though it has the potential to become one. This happens following the preliminary formation of the body, at which point the soul is infused into it directly by God, on </w:t>
      </w:r>
      <w:r w:rsidR="005E0149" w:rsidRPr="00A472FC">
        <w:rPr>
          <w:rFonts w:ascii="Times New Roman" w:hAnsi="Times New Roman" w:cs="Times New Roman"/>
        </w:rPr>
        <w:t>the forty-fifth day</w:t>
      </w:r>
      <w:r w:rsidR="004C1CD7" w:rsidRPr="00A472FC">
        <w:rPr>
          <w:rFonts w:ascii="Times New Roman" w:hAnsi="Times New Roman" w:cs="Times New Roman"/>
        </w:rPr>
        <w:t xml:space="preserve"> of pregnancy, replacing or absorbing the corporeal and sensitive forms that pre-existed it.</w:t>
      </w:r>
      <w:r w:rsidR="004C1CD7" w:rsidRPr="00A472FC">
        <w:rPr>
          <w:rStyle w:val="FootnoteReference"/>
          <w:rFonts w:ascii="Times New Roman" w:hAnsi="Times New Roman" w:cs="Times New Roman"/>
        </w:rPr>
        <w:footnoteReference w:id="508"/>
      </w:r>
    </w:p>
    <w:p w14:paraId="15638DD4" w14:textId="34F1CCF3"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In his time, Alexander of Hales was unique </w:t>
      </w:r>
      <w:r w:rsidR="00885768" w:rsidRPr="00A472FC">
        <w:rPr>
          <w:rFonts w:ascii="Times New Roman" w:hAnsi="Times New Roman" w:cs="Times New Roman"/>
        </w:rPr>
        <w:t>for</w:t>
      </w:r>
      <w:r w:rsidRPr="00A472FC">
        <w:rPr>
          <w:rFonts w:ascii="Times New Roman" w:hAnsi="Times New Roman" w:cs="Times New Roman"/>
        </w:rPr>
        <w:t xml:space="preserve"> positing in one of his disputed questions from before he became a Franciscan friar that all the potencies of the human soul are immortal.</w:t>
      </w:r>
      <w:r w:rsidRPr="00A472FC">
        <w:rPr>
          <w:rStyle w:val="FootnoteReference"/>
          <w:rFonts w:ascii="Times New Roman" w:hAnsi="Times New Roman" w:cs="Times New Roman"/>
        </w:rPr>
        <w:footnoteReference w:id="509"/>
      </w:r>
      <w:r w:rsidRPr="00A472FC">
        <w:rPr>
          <w:rFonts w:ascii="Times New Roman" w:hAnsi="Times New Roman" w:cs="Times New Roman"/>
        </w:rPr>
        <w:t xml:space="preserve"> On his understanding, the vegetative and sense powers differ in humans and other beings.</w:t>
      </w:r>
      <w:r w:rsidRPr="00A472FC">
        <w:rPr>
          <w:rStyle w:val="FootnoteReference"/>
          <w:rFonts w:ascii="Times New Roman" w:hAnsi="Times New Roman" w:cs="Times New Roman"/>
        </w:rPr>
        <w:footnoteReference w:id="510"/>
      </w:r>
      <w:r w:rsidRPr="00A472FC">
        <w:rPr>
          <w:rFonts w:ascii="Times New Roman" w:hAnsi="Times New Roman" w:cs="Times New Roman"/>
        </w:rPr>
        <w:t xml:space="preserve"> ‘The position and role of all the human powers are determined in fact by their relation to the rational faculty, while the potencies of the animal soul are limited to corporeal functions.’</w:t>
      </w:r>
      <w:r w:rsidRPr="00A472FC">
        <w:rPr>
          <w:rStyle w:val="FootnoteReference"/>
          <w:rFonts w:ascii="Times New Roman" w:hAnsi="Times New Roman" w:cs="Times New Roman"/>
        </w:rPr>
        <w:footnoteReference w:id="511"/>
      </w:r>
      <w:r w:rsidRPr="00A472FC">
        <w:rPr>
          <w:rFonts w:ascii="Times New Roman" w:hAnsi="Times New Roman" w:cs="Times New Roman"/>
        </w:rPr>
        <w:t xml:space="preserve"> The immortality of the human soul therefore seemingly guarantees the </w:t>
      </w:r>
      <w:r w:rsidRPr="00A472FC">
        <w:rPr>
          <w:rFonts w:ascii="Times New Roman" w:hAnsi="Times New Roman" w:cs="Times New Roman"/>
        </w:rPr>
        <w:lastRenderedPageBreak/>
        <w:t xml:space="preserve">immortality of its lower faculties. This view was adopted by John in the </w:t>
      </w:r>
      <w:r w:rsidRPr="00A472FC">
        <w:rPr>
          <w:rFonts w:ascii="Times New Roman" w:hAnsi="Times New Roman" w:cs="Times New Roman"/>
          <w:i/>
        </w:rPr>
        <w:t>Summa de anima</w:t>
      </w:r>
      <w:r w:rsidRPr="00A472FC">
        <w:rPr>
          <w:rFonts w:ascii="Times New Roman" w:hAnsi="Times New Roman" w:cs="Times New Roman"/>
          <w:iCs/>
        </w:rPr>
        <w:t xml:space="preserve">, </w:t>
      </w:r>
      <w:r w:rsidRPr="00A472FC">
        <w:rPr>
          <w:rFonts w:ascii="Times New Roman" w:hAnsi="Times New Roman" w:cs="Times New Roman"/>
        </w:rPr>
        <w:t>specifically, in John’s section on the immortality of the soul, as follows:</w:t>
      </w:r>
      <w:r w:rsidRPr="00A472FC">
        <w:rPr>
          <w:rStyle w:val="FootnoteReference"/>
          <w:rFonts w:ascii="Times New Roman" w:hAnsi="Times New Roman" w:cs="Times New Roman"/>
        </w:rPr>
        <w:footnoteReference w:id="512"/>
      </w:r>
    </w:p>
    <w:p w14:paraId="2744B4A4" w14:textId="77777777" w:rsidR="004C1CD7" w:rsidRPr="00A472FC" w:rsidRDefault="004C1CD7" w:rsidP="00881604">
      <w:pPr>
        <w:ind w:right="-52" w:firstLine="720"/>
        <w:rPr>
          <w:rFonts w:ascii="Times New Roman" w:hAnsi="Times New Roman" w:cs="Times New Roman"/>
        </w:rPr>
      </w:pPr>
    </w:p>
    <w:p w14:paraId="11D2BB04" w14:textId="5717F0DA" w:rsidR="004C1CD7" w:rsidRPr="00A472FC" w:rsidRDefault="00BF728D" w:rsidP="00881604">
      <w:pPr>
        <w:ind w:left="720" w:right="-52"/>
        <w:rPr>
          <w:rFonts w:ascii="Times New Roman" w:hAnsi="Times New Roman" w:cs="Times New Roman"/>
        </w:rPr>
      </w:pPr>
      <w:r w:rsidRPr="00A472FC">
        <w:rPr>
          <w:rFonts w:ascii="Times New Roman" w:hAnsi="Times New Roman" w:cs="Times New Roman"/>
        </w:rPr>
        <w:t>Since t</w:t>
      </w:r>
      <w:r w:rsidR="004C1CD7" w:rsidRPr="00A472FC">
        <w:rPr>
          <w:rFonts w:ascii="Times New Roman" w:hAnsi="Times New Roman" w:cs="Times New Roman"/>
        </w:rPr>
        <w:t xml:space="preserve">he vegetative and sensible powers in humans are ordered to reason, </w:t>
      </w:r>
      <w:r w:rsidR="009D62B6" w:rsidRPr="00A472FC">
        <w:rPr>
          <w:rFonts w:ascii="Times New Roman" w:hAnsi="Times New Roman" w:cs="Times New Roman"/>
        </w:rPr>
        <w:t xml:space="preserve">and since </w:t>
      </w:r>
      <w:r w:rsidR="004C1CD7" w:rsidRPr="00A472FC">
        <w:rPr>
          <w:rFonts w:ascii="Times New Roman" w:hAnsi="Times New Roman" w:cs="Times New Roman"/>
        </w:rPr>
        <w:t xml:space="preserve">the rational soul </w:t>
      </w:r>
      <w:r w:rsidR="009D62B6" w:rsidRPr="00A472FC">
        <w:rPr>
          <w:rFonts w:ascii="Times New Roman" w:hAnsi="Times New Roman" w:cs="Times New Roman"/>
        </w:rPr>
        <w:t xml:space="preserve">even </w:t>
      </w:r>
      <w:r w:rsidR="004C1CD7" w:rsidRPr="00A472FC">
        <w:rPr>
          <w:rFonts w:ascii="Times New Roman" w:hAnsi="Times New Roman" w:cs="Times New Roman"/>
        </w:rPr>
        <w:t>acquires merit and demerit in and through them</w:t>
      </w:r>
      <w:r w:rsidR="0010261E" w:rsidRPr="00A472FC">
        <w:rPr>
          <w:rFonts w:ascii="Times New Roman" w:hAnsi="Times New Roman" w:cs="Times New Roman"/>
        </w:rPr>
        <w:t>; and since, moreover, the</w:t>
      </w:r>
      <w:r w:rsidR="004C1CD7" w:rsidRPr="00A472FC">
        <w:rPr>
          <w:rFonts w:ascii="Times New Roman" w:hAnsi="Times New Roman" w:cs="Times New Roman"/>
        </w:rPr>
        <w:t xml:space="preserve"> rational soul </w:t>
      </w:r>
      <w:r w:rsidR="006A127D" w:rsidRPr="00A472FC">
        <w:rPr>
          <w:rFonts w:ascii="Times New Roman" w:hAnsi="Times New Roman" w:cs="Times New Roman"/>
        </w:rPr>
        <w:t>deservedly should be</w:t>
      </w:r>
      <w:r w:rsidR="004C1CD7" w:rsidRPr="00A472FC">
        <w:rPr>
          <w:rFonts w:ascii="Times New Roman" w:hAnsi="Times New Roman" w:cs="Times New Roman"/>
        </w:rPr>
        <w:t xml:space="preserve"> united with the body </w:t>
      </w:r>
      <w:r w:rsidR="00FE0DC4" w:rsidRPr="00A472FC">
        <w:rPr>
          <w:rFonts w:ascii="Times New Roman" w:hAnsi="Times New Roman" w:cs="Times New Roman"/>
        </w:rPr>
        <w:t xml:space="preserve">also </w:t>
      </w:r>
      <w:r w:rsidR="004C1CD7" w:rsidRPr="00A472FC">
        <w:rPr>
          <w:rFonts w:ascii="Times New Roman" w:hAnsi="Times New Roman" w:cs="Times New Roman"/>
        </w:rPr>
        <w:t xml:space="preserve">in the resurrection, and </w:t>
      </w:r>
      <w:r w:rsidR="003075C9" w:rsidRPr="00A472FC">
        <w:rPr>
          <w:rFonts w:ascii="Times New Roman" w:hAnsi="Times New Roman" w:cs="Times New Roman"/>
        </w:rPr>
        <w:t xml:space="preserve">though </w:t>
      </w:r>
      <w:r w:rsidR="004C1CD7" w:rsidRPr="00A472FC">
        <w:rPr>
          <w:rFonts w:ascii="Times New Roman" w:hAnsi="Times New Roman" w:cs="Times New Roman"/>
        </w:rPr>
        <w:t xml:space="preserve">the vegetable and sensible powers have immortal existence, </w:t>
      </w:r>
      <w:r w:rsidR="00E16999" w:rsidRPr="00A472FC">
        <w:rPr>
          <w:rFonts w:ascii="Times New Roman" w:hAnsi="Times New Roman" w:cs="Times New Roman"/>
        </w:rPr>
        <w:t xml:space="preserve">nor is </w:t>
      </w:r>
      <w:r w:rsidR="004C1CD7" w:rsidRPr="00A472FC">
        <w:rPr>
          <w:rFonts w:ascii="Times New Roman" w:hAnsi="Times New Roman" w:cs="Times New Roman"/>
        </w:rPr>
        <w:t xml:space="preserve">their operation in humans </w:t>
      </w:r>
      <w:r w:rsidR="00E16999" w:rsidRPr="00A472FC">
        <w:rPr>
          <w:rFonts w:ascii="Times New Roman" w:hAnsi="Times New Roman" w:cs="Times New Roman"/>
        </w:rPr>
        <w:t>superfluous, therefore</w:t>
      </w:r>
      <w:r w:rsidR="004C1CD7" w:rsidRPr="00A472FC">
        <w:rPr>
          <w:rFonts w:ascii="Times New Roman" w:hAnsi="Times New Roman" w:cs="Times New Roman"/>
        </w:rPr>
        <w:t xml:space="preserve"> Augustine says in the book DSEA that the soul in death takes with it the vegetative and sensible powers.</w:t>
      </w:r>
    </w:p>
    <w:p w14:paraId="5C5D4E36" w14:textId="77777777" w:rsidR="004C1CD7" w:rsidRPr="00A472FC" w:rsidRDefault="004C1CD7" w:rsidP="00881604">
      <w:pPr>
        <w:ind w:right="-52"/>
        <w:rPr>
          <w:rFonts w:ascii="Times New Roman" w:hAnsi="Times New Roman" w:cs="Times New Roman"/>
        </w:rPr>
      </w:pPr>
    </w:p>
    <w:p w14:paraId="78B5E005" w14:textId="3ECC900C" w:rsidR="00CE3E3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As we will see below, a similar view was also adopted by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and even </w:t>
      </w:r>
      <w:proofErr w:type="spellStart"/>
      <w:r w:rsidRPr="00A472FC">
        <w:rPr>
          <w:rFonts w:ascii="Times New Roman" w:hAnsi="Times New Roman" w:cs="Times New Roman"/>
        </w:rPr>
        <w:t>Guerric</w:t>
      </w:r>
      <w:proofErr w:type="spellEnd"/>
      <w:r w:rsidRPr="00A472FC">
        <w:rPr>
          <w:rFonts w:ascii="Times New Roman" w:hAnsi="Times New Roman" w:cs="Times New Roman"/>
        </w:rPr>
        <w:t xml:space="preserve"> of St Quentin.</w:t>
      </w:r>
      <w:r w:rsidRPr="00A472FC">
        <w:rPr>
          <w:rStyle w:val="FootnoteReference"/>
          <w:rFonts w:ascii="Times New Roman" w:hAnsi="Times New Roman" w:cs="Times New Roman"/>
        </w:rPr>
        <w:footnoteReference w:id="513"/>
      </w:r>
      <w:r w:rsidRPr="00A472FC">
        <w:rPr>
          <w:rFonts w:ascii="Times New Roman" w:hAnsi="Times New Roman" w:cs="Times New Roman"/>
        </w:rPr>
        <w:t xml:space="preserve"> The explanation the early Franciscans offered in this regard was likely motivated by a desire to account for the biblical and indeed Augustinian principle of the resurrection of the body. For different reasons, Aristotle and Avicenna did not need to account for the possibility of a bodily resurrection and the corresponding immortality of the lower powers. In the case of Aristotle, this was because he did not seemingly believe that the body survives the death of the soul</w:t>
      </w:r>
      <w:r w:rsidR="00CE3E37" w:rsidRPr="00A472FC">
        <w:rPr>
          <w:rFonts w:ascii="Times New Roman" w:hAnsi="Times New Roman" w:cs="Times New Roman"/>
        </w:rPr>
        <w:t xml:space="preserve">. </w:t>
      </w:r>
    </w:p>
    <w:p w14:paraId="27F63E11" w14:textId="4523BFCB" w:rsidR="004C1CD7" w:rsidRPr="00A472FC" w:rsidRDefault="00CE3E37" w:rsidP="00881604">
      <w:pPr>
        <w:ind w:right="-52" w:firstLine="720"/>
        <w:rPr>
          <w:rFonts w:ascii="Times New Roman" w:hAnsi="Times New Roman" w:cs="Times New Roman"/>
        </w:rPr>
      </w:pPr>
      <w:r w:rsidRPr="00A472FC">
        <w:rPr>
          <w:rFonts w:ascii="Times New Roman" w:hAnsi="Times New Roman" w:cs="Times New Roman"/>
        </w:rPr>
        <w:t>In</w:t>
      </w:r>
      <w:r w:rsidR="004C1CD7" w:rsidRPr="00A472FC">
        <w:rPr>
          <w:rFonts w:ascii="Times New Roman" w:hAnsi="Times New Roman" w:cs="Times New Roman"/>
        </w:rPr>
        <w:t xml:space="preserve"> the case of Avicenna, it was because the soul in his view is a separate substance from the body whose life can go on without the body.</w:t>
      </w:r>
      <w:r w:rsidR="004C1CD7" w:rsidRPr="00A472FC">
        <w:rPr>
          <w:rStyle w:val="FootnoteReference"/>
          <w:rFonts w:ascii="Times New Roman" w:hAnsi="Times New Roman" w:cs="Times New Roman"/>
        </w:rPr>
        <w:footnoteReference w:id="514"/>
      </w:r>
      <w:r w:rsidR="004C1CD7" w:rsidRPr="00A472FC">
        <w:rPr>
          <w:rFonts w:ascii="Times New Roman" w:hAnsi="Times New Roman" w:cs="Times New Roman"/>
        </w:rPr>
        <w:t xml:space="preserve"> While the soul is immortal, in other words, Avicenna does not believe </w:t>
      </w:r>
      <w:r w:rsidR="00024F7C" w:rsidRPr="00A472FC">
        <w:rPr>
          <w:rFonts w:ascii="Times New Roman" w:hAnsi="Times New Roman" w:cs="Times New Roman"/>
        </w:rPr>
        <w:t>it is possible to prove that the body is as well</w:t>
      </w:r>
      <w:r w:rsidR="004C1CD7" w:rsidRPr="00A472FC">
        <w:rPr>
          <w:rFonts w:ascii="Times New Roman" w:hAnsi="Times New Roman" w:cs="Times New Roman"/>
        </w:rPr>
        <w:t xml:space="preserve">. Perhaps because of the intermediary role he played between the Greco-Arabic philosophical and Latin Christian traditions, </w:t>
      </w:r>
      <w:proofErr w:type="spellStart"/>
      <w:r w:rsidR="004C1CD7" w:rsidRPr="00A472FC">
        <w:rPr>
          <w:rFonts w:ascii="Times New Roman" w:hAnsi="Times New Roman" w:cs="Times New Roman"/>
        </w:rPr>
        <w:t>Gundissalinus</w:t>
      </w:r>
      <w:proofErr w:type="spellEnd"/>
      <w:r w:rsidR="004C1CD7" w:rsidRPr="00A472FC">
        <w:rPr>
          <w:rFonts w:ascii="Times New Roman" w:hAnsi="Times New Roman" w:cs="Times New Roman"/>
        </w:rPr>
        <w:t xml:space="preserve">’ position on this issue like several others is notoriously ambiguous. In his </w:t>
      </w:r>
      <w:r w:rsidR="004C1CD7" w:rsidRPr="00A472FC">
        <w:rPr>
          <w:rFonts w:ascii="Times New Roman" w:hAnsi="Times New Roman" w:cs="Times New Roman"/>
          <w:i/>
        </w:rPr>
        <w:t>De anima</w:t>
      </w:r>
      <w:r w:rsidR="004C1CD7" w:rsidRPr="00A472FC">
        <w:rPr>
          <w:rFonts w:ascii="Times New Roman" w:hAnsi="Times New Roman" w:cs="Times New Roman"/>
          <w:iCs/>
        </w:rPr>
        <w:t xml:space="preserve">, </w:t>
      </w:r>
      <w:r w:rsidR="004C1CD7" w:rsidRPr="00A472FC">
        <w:rPr>
          <w:rFonts w:ascii="Times New Roman" w:hAnsi="Times New Roman" w:cs="Times New Roman"/>
        </w:rPr>
        <w:t>he seems to present conflicting opinions on whether the vegetative and sensitive powers of the soul survive the death of the body.</w:t>
      </w:r>
      <w:r w:rsidR="004C1CD7" w:rsidRPr="00A472FC">
        <w:rPr>
          <w:rStyle w:val="FootnoteReference"/>
          <w:rFonts w:ascii="Times New Roman" w:hAnsi="Times New Roman" w:cs="Times New Roman"/>
        </w:rPr>
        <w:footnoteReference w:id="515"/>
      </w:r>
    </w:p>
    <w:p w14:paraId="2CB7C8BA" w14:textId="5EBA310C"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The reasoning of the early Franciscans by contrast follows clearly from their religious assumptions. Since we acquire merit through bodily life, </w:t>
      </w:r>
      <w:r w:rsidR="00F629EE" w:rsidRPr="00A472FC">
        <w:rPr>
          <w:rFonts w:ascii="Times New Roman" w:hAnsi="Times New Roman" w:cs="Times New Roman"/>
        </w:rPr>
        <w:t xml:space="preserve">they insist that </w:t>
      </w:r>
      <w:r w:rsidRPr="00A472FC">
        <w:rPr>
          <w:rFonts w:ascii="Times New Roman" w:hAnsi="Times New Roman" w:cs="Times New Roman"/>
        </w:rPr>
        <w:t xml:space="preserve">the bodily powers must be resurrected along with the rational soul. As the human </w:t>
      </w:r>
      <w:r w:rsidR="00FC038C" w:rsidRPr="00A472FC">
        <w:rPr>
          <w:rFonts w:ascii="Times New Roman" w:hAnsi="Times New Roman" w:cs="Times New Roman"/>
        </w:rPr>
        <w:t>soul</w:t>
      </w:r>
      <w:r w:rsidRPr="00A472FC">
        <w:rPr>
          <w:rFonts w:ascii="Times New Roman" w:hAnsi="Times New Roman" w:cs="Times New Roman"/>
        </w:rPr>
        <w:t xml:space="preserve"> is substantially united to </w:t>
      </w:r>
      <w:r w:rsidR="00FC038C" w:rsidRPr="00A472FC">
        <w:rPr>
          <w:rFonts w:ascii="Times New Roman" w:hAnsi="Times New Roman" w:cs="Times New Roman"/>
        </w:rPr>
        <w:t>the</w:t>
      </w:r>
      <w:r w:rsidRPr="00A472FC">
        <w:rPr>
          <w:rFonts w:ascii="Times New Roman" w:hAnsi="Times New Roman" w:cs="Times New Roman"/>
        </w:rPr>
        <w:t xml:space="preserve"> body, moreover, it is essential to what it means to be human to have a human body, and thus a resurrection without vegetative and sensitive powers is inconceivable. The unity thesis that underpins this account is clearly advocated by John of La Rochelle. He contends that the soul perfects the whole human being, which includes vegetative, sensible, and rational powers, such that these powers do not differ in substance.</w:t>
      </w:r>
      <w:r w:rsidRPr="00A472FC">
        <w:rPr>
          <w:rStyle w:val="FootnoteReference"/>
          <w:rFonts w:ascii="Times New Roman" w:hAnsi="Times New Roman" w:cs="Times New Roman"/>
        </w:rPr>
        <w:footnoteReference w:id="516"/>
      </w:r>
      <w:r w:rsidRPr="00A472FC">
        <w:rPr>
          <w:rFonts w:ascii="Times New Roman" w:hAnsi="Times New Roman" w:cs="Times New Roman"/>
        </w:rPr>
        <w:t xml:space="preserve"> If they were different substances, he insists, it would be impossible for them to coordinate their operations </w:t>
      </w:r>
      <w:r w:rsidR="00BE76F5" w:rsidRPr="00A472FC">
        <w:rPr>
          <w:rFonts w:ascii="Times New Roman" w:hAnsi="Times New Roman" w:cs="Times New Roman"/>
        </w:rPr>
        <w:t xml:space="preserve">in the way that </w:t>
      </w:r>
      <w:r w:rsidRPr="00A472FC">
        <w:rPr>
          <w:rFonts w:ascii="Times New Roman" w:hAnsi="Times New Roman" w:cs="Times New Roman"/>
        </w:rPr>
        <w:t xml:space="preserve">is necessary for human knowledge. Furthermore, they could not be united in one person, because, in this case, they would be independent entities. </w:t>
      </w:r>
    </w:p>
    <w:p w14:paraId="219C5B0B" w14:textId="7C4C90D2"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lastRenderedPageBreak/>
        <w:t xml:space="preserve">The conclusion which John reaches is based on the pseudo-Augustinian </w:t>
      </w:r>
      <w:r w:rsidRPr="00A472FC">
        <w:rPr>
          <w:rFonts w:ascii="Times New Roman" w:hAnsi="Times New Roman" w:cs="Times New Roman"/>
          <w:i/>
        </w:rPr>
        <w:t xml:space="preserve">De </w:t>
      </w:r>
      <w:proofErr w:type="spellStart"/>
      <w:r w:rsidRPr="00A472FC">
        <w:rPr>
          <w:rFonts w:ascii="Times New Roman" w:hAnsi="Times New Roman" w:cs="Times New Roman"/>
          <w:i/>
        </w:rPr>
        <w:t>ecclesiasticis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dogm</w:t>
      </w:r>
      <w:r w:rsidR="008F724A" w:rsidRPr="00A472FC">
        <w:rPr>
          <w:rFonts w:ascii="Times New Roman" w:hAnsi="Times New Roman" w:cs="Times New Roman"/>
          <w:i/>
        </w:rPr>
        <w:t>a</w:t>
      </w:r>
      <w:r w:rsidRPr="00A472FC">
        <w:rPr>
          <w:rFonts w:ascii="Times New Roman" w:hAnsi="Times New Roman" w:cs="Times New Roman"/>
          <w:i/>
        </w:rPr>
        <w:t>ti</w:t>
      </w:r>
      <w:r w:rsidR="00B93ED5" w:rsidRPr="00A472FC">
        <w:rPr>
          <w:rFonts w:ascii="Times New Roman" w:hAnsi="Times New Roman" w:cs="Times New Roman"/>
          <w:i/>
        </w:rPr>
        <w:t>bu</w:t>
      </w:r>
      <w:r w:rsidRPr="00A472FC">
        <w:rPr>
          <w:rFonts w:ascii="Times New Roman" w:hAnsi="Times New Roman" w:cs="Times New Roman"/>
          <w:i/>
        </w:rPr>
        <w:t>s</w:t>
      </w:r>
      <w:proofErr w:type="spellEnd"/>
      <w:r w:rsidRPr="00A472FC">
        <w:rPr>
          <w:rFonts w:ascii="Times New Roman" w:hAnsi="Times New Roman" w:cs="Times New Roman"/>
        </w:rPr>
        <w:t xml:space="preserve"> 15, which was in fact authored by </w:t>
      </w:r>
      <w:proofErr w:type="spellStart"/>
      <w:r w:rsidRPr="00A472FC">
        <w:rPr>
          <w:rFonts w:ascii="Times New Roman" w:hAnsi="Times New Roman" w:cs="Times New Roman"/>
        </w:rPr>
        <w:t>Gennadius</w:t>
      </w:r>
      <w:proofErr w:type="spellEnd"/>
      <w:r w:rsidRPr="00A472FC">
        <w:rPr>
          <w:rFonts w:ascii="Times New Roman" w:hAnsi="Times New Roman" w:cs="Times New Roman"/>
        </w:rPr>
        <w:t xml:space="preserve"> of </w:t>
      </w:r>
      <w:proofErr w:type="spellStart"/>
      <w:r w:rsidRPr="00A472FC">
        <w:rPr>
          <w:rFonts w:ascii="Times New Roman" w:hAnsi="Times New Roman" w:cs="Times New Roman"/>
        </w:rPr>
        <w:t>Massilia</w:t>
      </w:r>
      <w:proofErr w:type="spellEnd"/>
      <w:r w:rsidRPr="00A472FC">
        <w:rPr>
          <w:rFonts w:ascii="Times New Roman" w:hAnsi="Times New Roman" w:cs="Times New Roman"/>
        </w:rPr>
        <w:t xml:space="preserve"> (d. 496), a Christian priest and historian. This particular passage is virtually ubiquitous in other </w:t>
      </w:r>
      <w:r w:rsidR="00DA4372" w:rsidRPr="00A472FC">
        <w:rPr>
          <w:rFonts w:ascii="Times New Roman" w:hAnsi="Times New Roman" w:cs="Times New Roman"/>
        </w:rPr>
        <w:t xml:space="preserve">defences </w:t>
      </w:r>
      <w:r w:rsidRPr="00A472FC">
        <w:rPr>
          <w:rFonts w:ascii="Times New Roman" w:hAnsi="Times New Roman" w:cs="Times New Roman"/>
        </w:rPr>
        <w:t xml:space="preserve">of the unity theory, such as </w:t>
      </w:r>
      <w:r w:rsidR="00DA4372" w:rsidRPr="00A472FC">
        <w:rPr>
          <w:rFonts w:ascii="Times New Roman" w:hAnsi="Times New Roman" w:cs="Times New Roman"/>
        </w:rPr>
        <w:t xml:space="preserve">that of </w:t>
      </w:r>
      <w:r w:rsidRPr="00A472FC">
        <w:rPr>
          <w:rFonts w:ascii="Times New Roman" w:hAnsi="Times New Roman" w:cs="Times New Roman"/>
        </w:rPr>
        <w:t>Hugh of St Cher. The conclusion it was taken to support, in summary, is that these three entities, namely, the vegetative, sensitive, and rational</w:t>
      </w:r>
      <w:r w:rsidR="007D0B71" w:rsidRPr="00A472FC">
        <w:rPr>
          <w:rFonts w:ascii="Times New Roman" w:hAnsi="Times New Roman" w:cs="Times New Roman"/>
        </w:rPr>
        <w:t xml:space="preserve"> souls</w:t>
      </w:r>
      <w:r w:rsidRPr="00A472FC">
        <w:rPr>
          <w:rFonts w:ascii="Times New Roman" w:hAnsi="Times New Roman" w:cs="Times New Roman"/>
        </w:rPr>
        <w:t>, are one substance that differ only insofar as they represent three different powers.</w:t>
      </w:r>
      <w:r w:rsidRPr="00A472FC">
        <w:rPr>
          <w:rStyle w:val="FootnoteReference"/>
          <w:rFonts w:ascii="Times New Roman" w:hAnsi="Times New Roman" w:cs="Times New Roman"/>
        </w:rPr>
        <w:footnoteReference w:id="517"/>
      </w:r>
      <w:r w:rsidRPr="00A472FC">
        <w:rPr>
          <w:rFonts w:ascii="Times New Roman" w:hAnsi="Times New Roman" w:cs="Times New Roman"/>
        </w:rPr>
        <w:t xml:space="preserve"> In the view of Dales, John somewhat inconsistently maintains at the same time as this the doctrine of double vegetative and sensitive souls, </w:t>
      </w:r>
      <w:r w:rsidR="007D0B71" w:rsidRPr="00A472FC">
        <w:rPr>
          <w:rFonts w:ascii="Times New Roman" w:hAnsi="Times New Roman" w:cs="Times New Roman"/>
        </w:rPr>
        <w:t>when he states</w:t>
      </w:r>
      <w:r w:rsidRPr="00A472FC">
        <w:rPr>
          <w:rFonts w:ascii="Times New Roman" w:hAnsi="Times New Roman" w:cs="Times New Roman"/>
        </w:rPr>
        <w:t xml:space="preserve"> the following.</w:t>
      </w:r>
      <w:r w:rsidRPr="00A472FC">
        <w:rPr>
          <w:rStyle w:val="FootnoteReference"/>
          <w:rFonts w:ascii="Times New Roman" w:hAnsi="Times New Roman" w:cs="Times New Roman"/>
        </w:rPr>
        <w:footnoteReference w:id="518"/>
      </w:r>
      <w:r w:rsidRPr="00A472FC">
        <w:rPr>
          <w:rFonts w:ascii="Times New Roman" w:hAnsi="Times New Roman" w:cs="Times New Roman"/>
        </w:rPr>
        <w:t xml:space="preserve"> </w:t>
      </w:r>
    </w:p>
    <w:p w14:paraId="065D75D0" w14:textId="77777777" w:rsidR="004C1CD7" w:rsidRPr="00A472FC" w:rsidRDefault="004C1CD7" w:rsidP="00881604">
      <w:pPr>
        <w:ind w:right="-52" w:firstLine="720"/>
        <w:rPr>
          <w:rFonts w:ascii="Times New Roman" w:hAnsi="Times New Roman" w:cs="Times New Roman"/>
        </w:rPr>
      </w:pPr>
    </w:p>
    <w:p w14:paraId="4A7D649C" w14:textId="7548F5EF" w:rsidR="004C1CD7" w:rsidRPr="00A472FC" w:rsidRDefault="004C1CD7" w:rsidP="00881604">
      <w:pPr>
        <w:ind w:left="720" w:right="-52"/>
        <w:rPr>
          <w:rFonts w:ascii="Times New Roman" w:hAnsi="Times New Roman" w:cs="Times New Roman"/>
        </w:rPr>
      </w:pPr>
      <w:r w:rsidRPr="00A472FC">
        <w:rPr>
          <w:rFonts w:ascii="Times New Roman" w:hAnsi="Times New Roman" w:cs="Times New Roman"/>
        </w:rPr>
        <w:t xml:space="preserve">The vegetative and sensitive powers are </w:t>
      </w:r>
      <w:r w:rsidR="00613130" w:rsidRPr="00A472FC">
        <w:rPr>
          <w:rFonts w:ascii="Times New Roman" w:hAnsi="Times New Roman" w:cs="Times New Roman"/>
        </w:rPr>
        <w:t>said to have</w:t>
      </w:r>
      <w:r w:rsidRPr="00A472FC">
        <w:rPr>
          <w:rFonts w:ascii="Times New Roman" w:hAnsi="Times New Roman" w:cs="Times New Roman"/>
        </w:rPr>
        <w:t xml:space="preserve"> two ways</w:t>
      </w:r>
      <w:r w:rsidR="002C06C8" w:rsidRPr="00A472FC">
        <w:rPr>
          <w:rFonts w:ascii="Times New Roman" w:hAnsi="Times New Roman" w:cs="Times New Roman"/>
        </w:rPr>
        <w:t xml:space="preserve"> [of being]</w:t>
      </w:r>
      <w:r w:rsidRPr="00A472FC">
        <w:rPr>
          <w:rFonts w:ascii="Times New Roman" w:hAnsi="Times New Roman" w:cs="Times New Roman"/>
        </w:rPr>
        <w:t xml:space="preserve"> in the human being. For there are vegetative and sensitive powers that dispose and vegetative and sensitive powers that perfect. The vegetative power which disposes is the one that </w:t>
      </w:r>
      <w:r w:rsidR="00A56007" w:rsidRPr="00A472FC">
        <w:rPr>
          <w:rFonts w:ascii="Times New Roman" w:hAnsi="Times New Roman" w:cs="Times New Roman"/>
        </w:rPr>
        <w:t xml:space="preserve">oversees </w:t>
      </w:r>
      <w:r w:rsidRPr="00A472FC">
        <w:rPr>
          <w:rFonts w:ascii="Times New Roman" w:hAnsi="Times New Roman" w:cs="Times New Roman"/>
        </w:rPr>
        <w:t xml:space="preserve">in an embryo the acts of nutrition, augmentation, configuration, and </w:t>
      </w:r>
      <w:proofErr w:type="spellStart"/>
      <w:r w:rsidRPr="00A472FC">
        <w:rPr>
          <w:rFonts w:ascii="Times New Roman" w:hAnsi="Times New Roman" w:cs="Times New Roman"/>
        </w:rPr>
        <w:t>organization</w:t>
      </w:r>
      <w:proofErr w:type="spellEnd"/>
      <w:r w:rsidRPr="00A472FC">
        <w:rPr>
          <w:rFonts w:ascii="Times New Roman" w:hAnsi="Times New Roman" w:cs="Times New Roman"/>
        </w:rPr>
        <w:t xml:space="preserve">, before the infusion of the rational soul, which is one in substance </w:t>
      </w:r>
      <w:r w:rsidR="00067E88" w:rsidRPr="00A472FC">
        <w:rPr>
          <w:rFonts w:ascii="Times New Roman" w:hAnsi="Times New Roman" w:cs="Times New Roman"/>
        </w:rPr>
        <w:t>with the</w:t>
      </w:r>
      <w:r w:rsidRPr="00A472FC">
        <w:rPr>
          <w:rFonts w:ascii="Times New Roman" w:hAnsi="Times New Roman" w:cs="Times New Roman"/>
        </w:rPr>
        <w:t xml:space="preserve"> vegetative power. Likewise, the disposing sensitive power oversees the senses and motion in the embryo before the infusion of the rational soul. The </w:t>
      </w:r>
      <w:r w:rsidR="006E546C" w:rsidRPr="00A472FC">
        <w:rPr>
          <w:rFonts w:ascii="Times New Roman" w:hAnsi="Times New Roman" w:cs="Times New Roman"/>
        </w:rPr>
        <w:t>vegetative and sensitive powers that</w:t>
      </w:r>
      <w:r w:rsidRPr="00A472FC">
        <w:rPr>
          <w:rFonts w:ascii="Times New Roman" w:hAnsi="Times New Roman" w:cs="Times New Roman"/>
        </w:rPr>
        <w:t xml:space="preserve"> perfect</w:t>
      </w:r>
      <w:r w:rsidR="006E546C" w:rsidRPr="00A472FC">
        <w:rPr>
          <w:rFonts w:ascii="Times New Roman" w:hAnsi="Times New Roman" w:cs="Times New Roman"/>
        </w:rPr>
        <w:t>, however, consist in</w:t>
      </w:r>
      <w:r w:rsidRPr="00A472FC">
        <w:rPr>
          <w:rFonts w:ascii="Times New Roman" w:hAnsi="Times New Roman" w:cs="Times New Roman"/>
        </w:rPr>
        <w:t xml:space="preserve"> the rational soul</w:t>
      </w:r>
      <w:r w:rsidR="006F69C1" w:rsidRPr="00A472FC">
        <w:rPr>
          <w:rFonts w:ascii="Times New Roman" w:hAnsi="Times New Roman" w:cs="Times New Roman"/>
        </w:rPr>
        <w:t xml:space="preserve"> itself</w:t>
      </w:r>
      <w:r w:rsidRPr="00A472FC">
        <w:rPr>
          <w:rFonts w:ascii="Times New Roman" w:hAnsi="Times New Roman" w:cs="Times New Roman"/>
        </w:rPr>
        <w:t>, which, as one in substance with the vegetative and sensitive powers, vivifies and gives sense capacity to the body, perfecting it by vegetation and sensitivity. The first [kind of soul] is embedded with the body, and the second flows in with the rational soul. The first does not merit the name soul insofar as it is disposing not perfecting; the second however does. Similarly, the first will die with the body</w:t>
      </w:r>
      <w:r w:rsidR="00B93CB6">
        <w:rPr>
          <w:rFonts w:ascii="Times New Roman" w:hAnsi="Times New Roman" w:cs="Times New Roman"/>
        </w:rPr>
        <w:t>, but</w:t>
      </w:r>
      <w:r w:rsidRPr="00A472FC">
        <w:rPr>
          <w:rFonts w:ascii="Times New Roman" w:hAnsi="Times New Roman" w:cs="Times New Roman"/>
        </w:rPr>
        <w:t xml:space="preserve"> the second will not because it is founded in a substance of immortal nature.</w:t>
      </w:r>
      <w:r w:rsidRPr="00A472FC">
        <w:rPr>
          <w:rStyle w:val="FootnoteReference"/>
          <w:rFonts w:ascii="Times New Roman" w:hAnsi="Times New Roman" w:cs="Times New Roman"/>
        </w:rPr>
        <w:footnoteReference w:id="519"/>
      </w:r>
    </w:p>
    <w:p w14:paraId="4789896A" w14:textId="77777777" w:rsidR="004C1CD7" w:rsidRPr="00A472FC" w:rsidRDefault="004C1CD7" w:rsidP="00881604">
      <w:pPr>
        <w:ind w:right="-52" w:firstLine="720"/>
        <w:rPr>
          <w:rFonts w:ascii="Times New Roman" w:hAnsi="Times New Roman" w:cs="Times New Roman"/>
          <w:bCs/>
          <w:lang w:val="en-US"/>
        </w:rPr>
      </w:pPr>
    </w:p>
    <w:p w14:paraId="0269920F" w14:textId="665F12F2"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So far, we have discovered that there was virtually unanimous support for the unicity theory amongst university masters in Paris in the 1220s and 30s, including as Lottin notes, William of Auxerre, Philip the Chancellor, Roland of Cremona, Hugh of St Cher, William of Auvergne, and of course, John of La Rochelle.</w:t>
      </w:r>
      <w:r w:rsidRPr="00A472FC">
        <w:rPr>
          <w:rStyle w:val="FootnoteReference"/>
          <w:rFonts w:ascii="Times New Roman" w:hAnsi="Times New Roman" w:cs="Times New Roman"/>
        </w:rPr>
        <w:footnoteReference w:id="520"/>
      </w:r>
      <w:r w:rsidRPr="00A472FC">
        <w:rPr>
          <w:rFonts w:ascii="Times New Roman" w:hAnsi="Times New Roman" w:cs="Times New Roman"/>
        </w:rPr>
        <w:t xml:space="preserve"> The position was associated with Augustine on the basis of two spurious works, the DSEA and the </w:t>
      </w:r>
      <w:r w:rsidRPr="00A472FC">
        <w:rPr>
          <w:rFonts w:ascii="Times New Roman" w:hAnsi="Times New Roman" w:cs="Times New Roman"/>
          <w:i/>
        </w:rPr>
        <w:t xml:space="preserve">De </w:t>
      </w:r>
      <w:proofErr w:type="spellStart"/>
      <w:r w:rsidRPr="00A472FC">
        <w:rPr>
          <w:rFonts w:ascii="Times New Roman" w:hAnsi="Times New Roman" w:cs="Times New Roman"/>
          <w:i/>
        </w:rPr>
        <w:t>ecclesiasticis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dogmatibus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Not surprisingly, </w:t>
      </w:r>
      <w:r w:rsidR="00107589" w:rsidRPr="00A472FC">
        <w:rPr>
          <w:rFonts w:ascii="Times New Roman" w:hAnsi="Times New Roman" w:cs="Times New Roman"/>
        </w:rPr>
        <w:t xml:space="preserve">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rPr>
        <w:t xml:space="preserve"> largely reiterates John’s conclusions in its own treatment of these matters. Invoking DSEA 13/15, the author of this text insists that the three powers ultimately represent one substance.</w:t>
      </w:r>
      <w:r w:rsidRPr="00A472FC">
        <w:rPr>
          <w:rStyle w:val="FootnoteReference"/>
          <w:rFonts w:ascii="Times New Roman" w:hAnsi="Times New Roman" w:cs="Times New Roman"/>
        </w:rPr>
        <w:footnoteReference w:id="521"/>
      </w:r>
      <w:r w:rsidRPr="00A472FC">
        <w:rPr>
          <w:rFonts w:ascii="Times New Roman" w:hAnsi="Times New Roman" w:cs="Times New Roman"/>
        </w:rPr>
        <w:t xml:space="preserve"> After all, the rational power in the human being is the </w:t>
      </w:r>
      <w:r w:rsidRPr="00A472FC">
        <w:rPr>
          <w:rFonts w:ascii="Times New Roman" w:hAnsi="Times New Roman" w:cs="Times New Roman"/>
        </w:rPr>
        <w:lastRenderedPageBreak/>
        <w:t>perfection of the whole being and thus of all of the powers which it possesses, not only rational but also vegetative and sensitive. These powers do not therefore differ in substance in the human being.</w:t>
      </w:r>
      <w:r w:rsidRPr="00A472FC">
        <w:rPr>
          <w:rStyle w:val="FootnoteReference"/>
          <w:rFonts w:ascii="Times New Roman" w:hAnsi="Times New Roman" w:cs="Times New Roman"/>
        </w:rPr>
        <w:footnoteReference w:id="522"/>
      </w:r>
      <w:r w:rsidRPr="00A472FC">
        <w:rPr>
          <w:rFonts w:ascii="Times New Roman" w:hAnsi="Times New Roman" w:cs="Times New Roman"/>
        </w:rPr>
        <w:t xml:space="preserve"> If they were different substances, the act of one would impede on the other, but we see that the opposite of this occurs in practice, as the powers cooperate.</w:t>
      </w:r>
      <w:r w:rsidRPr="00A472FC">
        <w:rPr>
          <w:rStyle w:val="FootnoteReference"/>
          <w:rFonts w:ascii="Times New Roman" w:hAnsi="Times New Roman" w:cs="Times New Roman"/>
        </w:rPr>
        <w:footnoteReference w:id="523"/>
      </w:r>
      <w:r w:rsidRPr="00A472FC">
        <w:rPr>
          <w:rFonts w:ascii="Times New Roman" w:hAnsi="Times New Roman" w:cs="Times New Roman"/>
        </w:rPr>
        <w:t xml:space="preserve"> </w:t>
      </w:r>
    </w:p>
    <w:p w14:paraId="2715082B" w14:textId="25E8F977"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Furthermore, the Summa argues, the body will be resurrected as </w:t>
      </w:r>
      <w:r w:rsidR="00361C20" w:rsidRPr="00A472FC">
        <w:rPr>
          <w:rFonts w:ascii="Times New Roman" w:hAnsi="Times New Roman" w:cs="Times New Roman"/>
        </w:rPr>
        <w:t xml:space="preserve">it is </w:t>
      </w:r>
      <w:r w:rsidRPr="00A472FC">
        <w:rPr>
          <w:rFonts w:ascii="Times New Roman" w:hAnsi="Times New Roman" w:cs="Times New Roman"/>
        </w:rPr>
        <w:t>conjoined to the soul, so if the sensible and vegetative powers in the human being were different in substance to the rational power, the resurrection of the body would not be possible.</w:t>
      </w:r>
      <w:r w:rsidR="00B71271" w:rsidRPr="00A472FC">
        <w:rPr>
          <w:rStyle w:val="FootnoteReference"/>
          <w:rFonts w:ascii="Times New Roman" w:hAnsi="Times New Roman" w:cs="Times New Roman"/>
        </w:rPr>
        <w:footnoteReference w:id="524"/>
      </w:r>
      <w:r w:rsidRPr="00A472FC">
        <w:rPr>
          <w:rFonts w:ascii="Times New Roman" w:hAnsi="Times New Roman" w:cs="Times New Roman"/>
        </w:rPr>
        <w:t xml:space="preserve"> The lower powers could of course be said to disintegrate at death, but then the whole would not be the same in the resurrection as it was previously, which is unnatural and absurd.</w:t>
      </w:r>
      <w:r w:rsidRPr="00A472FC">
        <w:rPr>
          <w:rStyle w:val="FootnoteReference"/>
          <w:rFonts w:ascii="Times New Roman" w:hAnsi="Times New Roman" w:cs="Times New Roman"/>
        </w:rPr>
        <w:footnoteReference w:id="525"/>
      </w:r>
      <w:r w:rsidRPr="00A472FC">
        <w:rPr>
          <w:rFonts w:ascii="Times New Roman" w:hAnsi="Times New Roman" w:cs="Times New Roman"/>
        </w:rPr>
        <w:t xml:space="preserve"> While it is the case in animals that the vegetative and sensitive powers are corruptible or cease to exist at death, the Summa holds that this is only because those powers in them are exclusively ordained to bodily life. In humans, by contrast, the powers are ordained to a higher, intellectual, life, which is incorruptible and not determined by time.</w:t>
      </w:r>
      <w:r w:rsidRPr="00A472FC">
        <w:rPr>
          <w:rStyle w:val="FootnoteReference"/>
          <w:rFonts w:ascii="Times New Roman" w:hAnsi="Times New Roman" w:cs="Times New Roman"/>
        </w:rPr>
        <w:footnoteReference w:id="526"/>
      </w:r>
    </w:p>
    <w:p w14:paraId="6CE70E5F" w14:textId="77777777"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After presenting these arguments,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acknowledges that a case can be made for the opposing position. After all, a human embryo possesses vegetative and sensitive functions before achieving reason, and these must not exist without a corresponding substance. Since the rational soul is preceded by vegetative and sensible substances in the soul, consequently, these must be separate substances.</w:t>
      </w:r>
      <w:r w:rsidRPr="00A472FC">
        <w:rPr>
          <w:rStyle w:val="FootnoteReference"/>
          <w:rFonts w:ascii="Times New Roman" w:hAnsi="Times New Roman" w:cs="Times New Roman"/>
        </w:rPr>
        <w:footnoteReference w:id="527"/>
      </w:r>
      <w:r w:rsidRPr="00A472FC">
        <w:rPr>
          <w:rFonts w:ascii="Times New Roman" w:hAnsi="Times New Roman" w:cs="Times New Roman"/>
        </w:rPr>
        <w:t xml:space="preserve"> Furthermore, they must be separate substances because two of them—the vegetative and sensitive—are corruptible while the rational is incorruptible or inseparable and separable from the body, respectively.</w:t>
      </w:r>
      <w:r w:rsidRPr="00A472FC">
        <w:rPr>
          <w:rStyle w:val="FootnoteReference"/>
          <w:rFonts w:ascii="Times New Roman" w:hAnsi="Times New Roman" w:cs="Times New Roman"/>
        </w:rPr>
        <w:footnoteReference w:id="528"/>
      </w:r>
      <w:r w:rsidRPr="00A472FC">
        <w:rPr>
          <w:rFonts w:ascii="Times New Roman" w:hAnsi="Times New Roman" w:cs="Times New Roman"/>
        </w:rPr>
        <w:t xml:space="preserve"> In resolving the question,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denies that this can be the case, on the ground that the embryo does not have the vegetative and sensitive powers through the mode of perfection, but only through the mode of preparing the body to receive the soul, which is its perfection, that is, in the merely disposing way John mentioned.</w:t>
      </w:r>
      <w:r w:rsidRPr="00A472FC">
        <w:rPr>
          <w:rStyle w:val="FootnoteReference"/>
          <w:rFonts w:ascii="Times New Roman" w:hAnsi="Times New Roman" w:cs="Times New Roman"/>
        </w:rPr>
        <w:footnoteReference w:id="529"/>
      </w:r>
      <w:r w:rsidRPr="00A472FC">
        <w:rPr>
          <w:rFonts w:ascii="Times New Roman" w:hAnsi="Times New Roman" w:cs="Times New Roman"/>
        </w:rPr>
        <w:t xml:space="preserve"> </w:t>
      </w:r>
    </w:p>
    <w:p w14:paraId="771F3E8E" w14:textId="1AAE39A7"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Although the human body cannot be prepared and </w:t>
      </w:r>
      <w:proofErr w:type="spellStart"/>
      <w:r w:rsidRPr="00A472FC">
        <w:rPr>
          <w:rFonts w:ascii="Times New Roman" w:hAnsi="Times New Roman" w:cs="Times New Roman"/>
        </w:rPr>
        <w:t>organized</w:t>
      </w:r>
      <w:proofErr w:type="spellEnd"/>
      <w:r w:rsidRPr="00A472FC">
        <w:rPr>
          <w:rFonts w:ascii="Times New Roman" w:hAnsi="Times New Roman" w:cs="Times New Roman"/>
        </w:rPr>
        <w:t xml:space="preserve"> to receive the rational soul without the prior development of the vegetative and sensible souls, a human being is not really human until it receives this ultimate perfection of the rational soul. At its purely vegetative stage, for instance, it can only be said to live in the way that an apple lives.</w:t>
      </w:r>
      <w:r w:rsidR="00170214" w:rsidRPr="00A472FC">
        <w:rPr>
          <w:rFonts w:ascii="Times New Roman" w:hAnsi="Times New Roman" w:cs="Times New Roman"/>
        </w:rPr>
        <w:t xml:space="preserve"> </w:t>
      </w:r>
      <w:r w:rsidRPr="00A472FC">
        <w:rPr>
          <w:rFonts w:ascii="Times New Roman" w:hAnsi="Times New Roman" w:cs="Times New Roman"/>
        </w:rPr>
        <w:t>That said, an un-formed human cannot be called a plant or an animal on receiving a vegetative or sensitive power, respectively, because plants and animals have their perfection in these powers, but the human being requires the rational power for its perfection. Only when it receives this power can it truly be said to live as a human being.</w:t>
      </w:r>
      <w:r w:rsidRPr="00A472FC">
        <w:rPr>
          <w:rStyle w:val="FootnoteReference"/>
          <w:rFonts w:ascii="Times New Roman" w:hAnsi="Times New Roman" w:cs="Times New Roman"/>
        </w:rPr>
        <w:footnoteReference w:id="530"/>
      </w:r>
    </w:p>
    <w:p w14:paraId="04AFCB18" w14:textId="77777777"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When it finally obtains this power, the vegetative and sensitive functions are fused with the intellect. As such, they are not three separate substances. Nor are they different to the substances that they were previously, as is suggested by the theory of the double vegetative and sensible souls. As we have seen in John, this entails the notion that the vegetative and sensitive souls which provide the material dispositions in the embryo for receiving the rational soul somehow differ from the ones a person possesses on obtaining reason. According to the </w:t>
      </w:r>
      <w:proofErr w:type="spellStart"/>
      <w:r w:rsidRPr="00A472FC">
        <w:rPr>
          <w:rFonts w:ascii="Times New Roman" w:hAnsi="Times New Roman" w:cs="Times New Roman"/>
        </w:rPr>
        <w:lastRenderedPageBreak/>
        <w:t>Summist</w:t>
      </w:r>
      <w:proofErr w:type="spellEnd"/>
      <w:r w:rsidRPr="00A472FC">
        <w:rPr>
          <w:rFonts w:ascii="Times New Roman" w:hAnsi="Times New Roman" w:cs="Times New Roman"/>
        </w:rPr>
        <w:t>, this position is not plausible, because nature makes nothing in vain. There is a fundamental continuity, not to mention unity, amongst the powers of the rational soul.</w:t>
      </w:r>
    </w:p>
    <w:p w14:paraId="670F14C9" w14:textId="322DE880"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While one might still object that a substance that is corruptible and inseparable from the body is not the same as one that is incorruptible and separable from the body, the Summa clarifies that insofar as the corruptible powers are united to the incorruptible rational power, they themselves become incorruptible and thereby separable. For in the human being, they are ordained to more than just the facilitation of bodily life, as they are in animals. While </w:t>
      </w:r>
      <w:r w:rsidR="00AD357A" w:rsidRPr="00A472FC">
        <w:rPr>
          <w:rFonts w:ascii="Times New Roman" w:hAnsi="Times New Roman" w:cs="Times New Roman"/>
        </w:rPr>
        <w:t xml:space="preserve">they </w:t>
      </w:r>
      <w:r w:rsidRPr="00A472FC">
        <w:rPr>
          <w:rFonts w:ascii="Times New Roman" w:hAnsi="Times New Roman" w:cs="Times New Roman"/>
        </w:rPr>
        <w:t>serve this purpose in humans, they also sustain a rational life, which is not tied to the body. In humans by contrast to animals, consequently, the corruptible powers are not strictly speaking corruptible.</w:t>
      </w:r>
      <w:r w:rsidRPr="00A472FC">
        <w:rPr>
          <w:rStyle w:val="FootnoteReference"/>
          <w:rFonts w:ascii="Times New Roman" w:hAnsi="Times New Roman" w:cs="Times New Roman"/>
        </w:rPr>
        <w:footnoteReference w:id="531"/>
      </w:r>
    </w:p>
    <w:p w14:paraId="536B3323" w14:textId="5D584EB1" w:rsidR="004C1CD7" w:rsidRPr="00A472FC" w:rsidRDefault="004C1CD7" w:rsidP="005F5A48">
      <w:pPr>
        <w:ind w:right="-52" w:firstLine="720"/>
        <w:rPr>
          <w:rFonts w:ascii="Times New Roman" w:hAnsi="Times New Roman" w:cs="Times New Roman"/>
        </w:rPr>
      </w:pPr>
      <w:r w:rsidRPr="00A472FC">
        <w:rPr>
          <w:rFonts w:ascii="Times New Roman" w:hAnsi="Times New Roman" w:cs="Times New Roman"/>
        </w:rPr>
        <w:t xml:space="preserve">A related question the Summa raises later in its discussion is whether the soul has only one power or more than one. Since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has already argued for three powers, we know in advance what his answer to this question will be, but it is interesting to trace his line of reasoning. In favour of the idea that there is only one power, he observes that God’s power is one, just like his essence, and human beings are made in the image of God.</w:t>
      </w:r>
      <w:r w:rsidRPr="00A472FC">
        <w:rPr>
          <w:rStyle w:val="FootnoteReference"/>
          <w:rFonts w:ascii="Times New Roman" w:hAnsi="Times New Roman" w:cs="Times New Roman"/>
        </w:rPr>
        <w:footnoteReference w:id="532"/>
      </w:r>
      <w:r w:rsidRPr="00A472FC">
        <w:rPr>
          <w:rFonts w:ascii="Times New Roman" w:hAnsi="Times New Roman" w:cs="Times New Roman"/>
        </w:rPr>
        <w:t xml:space="preserve"> This, however, turns out to be exactly the reason why the Summa insists that the human soul does not have just one power.</w:t>
      </w:r>
      <w:r w:rsidR="005F5A48" w:rsidRPr="00A472FC">
        <w:rPr>
          <w:rFonts w:ascii="Times New Roman" w:hAnsi="Times New Roman" w:cs="Times New Roman"/>
        </w:rPr>
        <w:t xml:space="preserve"> </w:t>
      </w:r>
      <w:r w:rsidRPr="00A472FC">
        <w:rPr>
          <w:rFonts w:ascii="Times New Roman" w:hAnsi="Times New Roman" w:cs="Times New Roman"/>
        </w:rPr>
        <w:t xml:space="preserve">As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elsewhere established, there is a difference between the Creator and the creature; while the former is identical with his essence, the latter is not. From this, it follows that the human being must have through a plurality of powers what the Creator has through a power that is undivided. This indeed accords with our experience as human beings </w:t>
      </w:r>
      <w:r w:rsidR="0007623D" w:rsidRPr="00A472FC">
        <w:rPr>
          <w:rFonts w:ascii="Times New Roman" w:hAnsi="Times New Roman" w:cs="Times New Roman"/>
        </w:rPr>
        <w:t xml:space="preserve">of </w:t>
      </w:r>
      <w:r w:rsidRPr="00A472FC">
        <w:rPr>
          <w:rFonts w:ascii="Times New Roman" w:hAnsi="Times New Roman" w:cs="Times New Roman"/>
        </w:rPr>
        <w:t>act</w:t>
      </w:r>
      <w:r w:rsidR="0007623D" w:rsidRPr="00A472FC">
        <w:rPr>
          <w:rFonts w:ascii="Times New Roman" w:hAnsi="Times New Roman" w:cs="Times New Roman"/>
        </w:rPr>
        <w:t xml:space="preserve">ing </w:t>
      </w:r>
      <w:r w:rsidRPr="00A472FC">
        <w:rPr>
          <w:rFonts w:ascii="Times New Roman" w:hAnsi="Times New Roman" w:cs="Times New Roman"/>
        </w:rPr>
        <w:t>through a plurality of powers where God makes everything he makes by just one—divine—power.</w:t>
      </w:r>
      <w:r w:rsidRPr="00A472FC">
        <w:rPr>
          <w:rStyle w:val="FootnoteReference"/>
          <w:rFonts w:ascii="Times New Roman" w:hAnsi="Times New Roman" w:cs="Times New Roman"/>
        </w:rPr>
        <w:footnoteReference w:id="533"/>
      </w:r>
      <w:r w:rsidRPr="00A472FC">
        <w:rPr>
          <w:rFonts w:ascii="Times New Roman" w:hAnsi="Times New Roman" w:cs="Times New Roman"/>
        </w:rPr>
        <w:t xml:space="preserve"> </w:t>
      </w:r>
    </w:p>
    <w:p w14:paraId="50C93FC0" w14:textId="02888777" w:rsidR="004C1CD7" w:rsidRPr="00A472FC" w:rsidRDefault="004C1CD7" w:rsidP="008A1722">
      <w:pPr>
        <w:ind w:right="-52" w:firstLine="720"/>
        <w:rPr>
          <w:rFonts w:ascii="Times New Roman" w:hAnsi="Times New Roman" w:cs="Times New Roman"/>
        </w:rPr>
      </w:pPr>
      <w:r w:rsidRPr="00A472FC">
        <w:rPr>
          <w:rFonts w:ascii="Times New Roman" w:hAnsi="Times New Roman" w:cs="Times New Roman"/>
        </w:rPr>
        <w:t>A further question concerns whether the powers of the soul should be described as its ‘parts’.</w:t>
      </w:r>
      <w:r w:rsidR="00F37409" w:rsidRPr="00A472FC">
        <w:rPr>
          <w:rStyle w:val="FootnoteReference"/>
          <w:rFonts w:ascii="Times New Roman" w:hAnsi="Times New Roman" w:cs="Times New Roman"/>
        </w:rPr>
        <w:footnoteReference w:id="534"/>
      </w:r>
      <w:r w:rsidRPr="00A472FC">
        <w:rPr>
          <w:rFonts w:ascii="Times New Roman" w:hAnsi="Times New Roman" w:cs="Times New Roman"/>
        </w:rPr>
        <w:t xml:space="preserve"> This notion conflicts with the claim of DSEA 13 that ‘the whole essence of the soul </w:t>
      </w:r>
      <w:r w:rsidR="000E1671" w:rsidRPr="00A472FC">
        <w:rPr>
          <w:rFonts w:ascii="Times New Roman" w:hAnsi="Times New Roman" w:cs="Times New Roman"/>
        </w:rPr>
        <w:t>consists in its powers</w:t>
      </w:r>
      <w:r w:rsidRPr="00A472FC">
        <w:rPr>
          <w:rFonts w:ascii="Times New Roman" w:hAnsi="Times New Roman" w:cs="Times New Roman"/>
        </w:rPr>
        <w:t xml:space="preserve"> </w:t>
      </w:r>
      <w:r w:rsidR="000E1671" w:rsidRPr="00A472FC">
        <w:rPr>
          <w:rFonts w:ascii="Times New Roman" w:hAnsi="Times New Roman" w:cs="Times New Roman"/>
        </w:rPr>
        <w:t xml:space="preserve">nor is it </w:t>
      </w:r>
      <w:r w:rsidRPr="00A472FC">
        <w:rPr>
          <w:rFonts w:ascii="Times New Roman" w:hAnsi="Times New Roman" w:cs="Times New Roman"/>
        </w:rPr>
        <w:t xml:space="preserve">divided into parts, as it is simple and </w:t>
      </w:r>
      <w:r w:rsidR="002D49B8" w:rsidRPr="00A472FC">
        <w:rPr>
          <w:rFonts w:ascii="Times New Roman" w:hAnsi="Times New Roman" w:cs="Times New Roman"/>
        </w:rPr>
        <w:t>undivided</w:t>
      </w:r>
      <w:r w:rsidRPr="00A472FC">
        <w:rPr>
          <w:rFonts w:ascii="Times New Roman" w:hAnsi="Times New Roman" w:cs="Times New Roman"/>
        </w:rPr>
        <w:t>.’</w:t>
      </w:r>
      <w:r w:rsidRPr="00A472FC">
        <w:rPr>
          <w:rStyle w:val="FootnoteReference"/>
          <w:rFonts w:ascii="Times New Roman" w:hAnsi="Times New Roman" w:cs="Times New Roman"/>
        </w:rPr>
        <w:footnoteReference w:id="535"/>
      </w:r>
      <w:r w:rsidRPr="00A472FC">
        <w:rPr>
          <w:rFonts w:ascii="Times New Roman" w:hAnsi="Times New Roman" w:cs="Times New Roman"/>
        </w:rPr>
        <w:t xml:space="preserve"> While the powers of the soul cannot therefore be described as parts in the strict sense of the term,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claims that there is a sense in which they can be described as parts, which can be inferred from the same text by Augustine. This concerns the three powers—vegetative, sensible, and rational—which comprise the substance of the soul. Although these powers are ultimately one, they diversify the substance of which they are a part. By the same token, their different acts specify or instantiate the powers of the soul and exhibit the many different possible manifestations of its substance that can occur in practice. As such, the acts of the soul can also be described as parts in a virtual </w:t>
      </w:r>
      <w:r w:rsidR="00355343" w:rsidRPr="00A472FC">
        <w:rPr>
          <w:rFonts w:ascii="Times New Roman" w:hAnsi="Times New Roman" w:cs="Times New Roman"/>
        </w:rPr>
        <w:t xml:space="preserve">but not real </w:t>
      </w:r>
      <w:r w:rsidRPr="00A472FC">
        <w:rPr>
          <w:rFonts w:ascii="Times New Roman" w:hAnsi="Times New Roman" w:cs="Times New Roman"/>
        </w:rPr>
        <w:t xml:space="preserve">sense which </w:t>
      </w:r>
      <w:r w:rsidR="008D311F" w:rsidRPr="00A472FC">
        <w:rPr>
          <w:rFonts w:ascii="Times New Roman" w:hAnsi="Times New Roman" w:cs="Times New Roman"/>
        </w:rPr>
        <w:t>give expression to the diverse</w:t>
      </w:r>
      <w:r w:rsidRPr="00A472FC">
        <w:rPr>
          <w:rFonts w:ascii="Times New Roman" w:hAnsi="Times New Roman" w:cs="Times New Roman"/>
        </w:rPr>
        <w:t xml:space="preserve"> powers of the greater whole.</w:t>
      </w:r>
      <w:r w:rsidRPr="00A472FC">
        <w:rPr>
          <w:rStyle w:val="FootnoteReference"/>
          <w:rFonts w:ascii="Times New Roman" w:hAnsi="Times New Roman" w:cs="Times New Roman"/>
        </w:rPr>
        <w:footnoteReference w:id="536"/>
      </w:r>
      <w:r w:rsidRPr="00A472FC">
        <w:rPr>
          <w:rFonts w:ascii="Times New Roman" w:hAnsi="Times New Roman" w:cs="Times New Roman"/>
        </w:rPr>
        <w:t xml:space="preserve"> </w:t>
      </w:r>
    </w:p>
    <w:p w14:paraId="539F7E51" w14:textId="77777777" w:rsidR="004C1CD7" w:rsidRPr="00A472FC" w:rsidRDefault="004C1CD7" w:rsidP="00881604">
      <w:pPr>
        <w:ind w:right="-52"/>
        <w:rPr>
          <w:rFonts w:ascii="Times New Roman" w:hAnsi="Times New Roman" w:cs="Times New Roman"/>
        </w:rPr>
      </w:pPr>
    </w:p>
    <w:p w14:paraId="28BDD3E7" w14:textId="77777777" w:rsidR="004C1CD7" w:rsidRPr="00A472FC" w:rsidRDefault="004C1CD7" w:rsidP="00881604">
      <w:pPr>
        <w:autoSpaceDE w:val="0"/>
        <w:autoSpaceDN w:val="0"/>
        <w:adjustRightInd w:val="0"/>
        <w:ind w:right="-52"/>
        <w:rPr>
          <w:rFonts w:ascii="Times New Roman" w:hAnsi="Times New Roman" w:cs="Times New Roman"/>
          <w:kern w:val="1"/>
          <w:u w:val="single"/>
          <w:lang w:val="en-US"/>
        </w:rPr>
      </w:pPr>
      <w:r w:rsidRPr="00A472FC">
        <w:rPr>
          <w:rFonts w:ascii="Times New Roman" w:hAnsi="Times New Roman" w:cs="Times New Roman"/>
          <w:kern w:val="1"/>
          <w:u w:val="single"/>
          <w:lang w:val="en-US"/>
        </w:rPr>
        <w:t>The Identity of the Soul with its Powers in John of La Rochelle</w:t>
      </w:r>
    </w:p>
    <w:p w14:paraId="1576FCAB" w14:textId="77777777" w:rsidR="004C1CD7" w:rsidRPr="00A472FC" w:rsidRDefault="004C1CD7" w:rsidP="00881604">
      <w:pPr>
        <w:autoSpaceDE w:val="0"/>
        <w:autoSpaceDN w:val="0"/>
        <w:adjustRightInd w:val="0"/>
        <w:ind w:right="-52"/>
        <w:rPr>
          <w:rFonts w:ascii="Times New Roman" w:hAnsi="Times New Roman" w:cs="Times New Roman"/>
          <w:kern w:val="1"/>
          <w:lang w:val="en-US"/>
        </w:rPr>
      </w:pPr>
    </w:p>
    <w:p w14:paraId="10C7E4FF" w14:textId="78B8C0F7" w:rsidR="004C1CD7" w:rsidRPr="00A472FC" w:rsidRDefault="004C1CD7" w:rsidP="00881604">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lastRenderedPageBreak/>
        <w:t>The theory that the soul is identical with its powers was a major theme in twelfth</w:t>
      </w:r>
      <w:r w:rsidR="0068094C" w:rsidRPr="00A472FC">
        <w:rPr>
          <w:rFonts w:ascii="Times New Roman" w:hAnsi="Times New Roman" w:cs="Times New Roman"/>
          <w:kern w:val="1"/>
          <w:lang w:val="en-US"/>
        </w:rPr>
        <w:t>-</w:t>
      </w:r>
      <w:r w:rsidRPr="00A472FC">
        <w:rPr>
          <w:rFonts w:ascii="Times New Roman" w:hAnsi="Times New Roman" w:cs="Times New Roman"/>
          <w:kern w:val="1"/>
          <w:lang w:val="en-US"/>
        </w:rPr>
        <w:t>and</w:t>
      </w:r>
      <w:r w:rsidR="0068094C" w:rsidRPr="00A472FC">
        <w:rPr>
          <w:rFonts w:ascii="Times New Roman" w:hAnsi="Times New Roman" w:cs="Times New Roman"/>
          <w:kern w:val="1"/>
          <w:lang w:val="en-US"/>
        </w:rPr>
        <w:t xml:space="preserve"> </w:t>
      </w:r>
      <w:r w:rsidRPr="00A472FC">
        <w:rPr>
          <w:rFonts w:ascii="Times New Roman" w:hAnsi="Times New Roman" w:cs="Times New Roman"/>
          <w:kern w:val="1"/>
          <w:lang w:val="en-US"/>
        </w:rPr>
        <w:t>thirteenth</w:t>
      </w:r>
      <w:r w:rsidR="0068094C" w:rsidRPr="00A472FC">
        <w:rPr>
          <w:rFonts w:ascii="Times New Roman" w:hAnsi="Times New Roman" w:cs="Times New Roman"/>
          <w:kern w:val="1"/>
          <w:lang w:val="en-US"/>
        </w:rPr>
        <w:t>-</w:t>
      </w:r>
      <w:r w:rsidRPr="00A472FC">
        <w:rPr>
          <w:rFonts w:ascii="Times New Roman" w:hAnsi="Times New Roman" w:cs="Times New Roman"/>
          <w:kern w:val="1"/>
          <w:lang w:val="en-US"/>
        </w:rPr>
        <w:t xml:space="preserve">century theology which was commonly traced to the work of Augustine. In his </w:t>
      </w:r>
      <w:r w:rsidRPr="00A472FC">
        <w:rPr>
          <w:rFonts w:ascii="Times New Roman" w:hAnsi="Times New Roman" w:cs="Times New Roman"/>
          <w:i/>
          <w:kern w:val="1"/>
          <w:lang w:val="en-US"/>
        </w:rPr>
        <w:t xml:space="preserve">De </w:t>
      </w:r>
      <w:proofErr w:type="spellStart"/>
      <w:r w:rsidRPr="00A472FC">
        <w:rPr>
          <w:rFonts w:ascii="Times New Roman" w:hAnsi="Times New Roman" w:cs="Times New Roman"/>
          <w:i/>
          <w:kern w:val="1"/>
          <w:lang w:val="en-US"/>
        </w:rPr>
        <w:t>Trinitate</w:t>
      </w:r>
      <w:proofErr w:type="spellEnd"/>
      <w:r w:rsidRPr="00A472FC">
        <w:rPr>
          <w:rFonts w:ascii="Times New Roman" w:hAnsi="Times New Roman" w:cs="Times New Roman"/>
          <w:iCs/>
          <w:kern w:val="1"/>
          <w:lang w:val="en-US"/>
        </w:rPr>
        <w:t xml:space="preserve">, </w:t>
      </w:r>
      <w:r w:rsidRPr="00A472FC">
        <w:rPr>
          <w:rFonts w:ascii="Times New Roman" w:hAnsi="Times New Roman" w:cs="Times New Roman"/>
          <w:kern w:val="1"/>
          <w:lang w:val="en-US"/>
        </w:rPr>
        <w:t xml:space="preserve">for instance, </w:t>
      </w:r>
      <w:r w:rsidR="0023491C" w:rsidRPr="00A472FC">
        <w:rPr>
          <w:rFonts w:ascii="Times New Roman" w:hAnsi="Times New Roman" w:cs="Times New Roman"/>
          <w:kern w:val="1"/>
          <w:lang w:val="en-US"/>
        </w:rPr>
        <w:t>Augustine</w:t>
      </w:r>
      <w:r w:rsidRPr="00A472FC">
        <w:rPr>
          <w:rFonts w:ascii="Times New Roman" w:hAnsi="Times New Roman" w:cs="Times New Roman"/>
          <w:kern w:val="1"/>
          <w:lang w:val="en-US"/>
        </w:rPr>
        <w:t xml:space="preserve"> speaks of various intellectual triads, </w:t>
      </w:r>
      <w:r w:rsidRPr="00A472FC">
        <w:rPr>
          <w:rFonts w:ascii="Times New Roman" w:hAnsi="Times New Roman" w:cs="Times New Roman"/>
        </w:rPr>
        <w:t>which supposedly render the human mind the image of the Trinity, which is ultimately one in its own essence despite consisting in three persons.</w:t>
      </w:r>
      <w:r w:rsidRPr="00A472FC">
        <w:rPr>
          <w:rStyle w:val="FootnoteReference"/>
          <w:rFonts w:ascii="Times New Roman" w:hAnsi="Times New Roman" w:cs="Times New Roman"/>
        </w:rPr>
        <w:footnoteReference w:id="537"/>
      </w:r>
      <w:r w:rsidRPr="00A472FC">
        <w:rPr>
          <w:rFonts w:ascii="Times New Roman" w:hAnsi="Times New Roman" w:cs="Times New Roman"/>
          <w:kern w:val="1"/>
          <w:lang w:val="en-US"/>
        </w:rPr>
        <w:t xml:space="preserve"> The first triad is mind, knowledge, and love, which is invoked to explain how the mind gains knowledge of what it desires to know. The second triad, which was extremely popular in the Middle Ages, especially </w:t>
      </w:r>
      <w:r w:rsidR="00151EED" w:rsidRPr="00A472FC">
        <w:rPr>
          <w:rFonts w:ascii="Times New Roman" w:hAnsi="Times New Roman" w:cs="Times New Roman"/>
          <w:kern w:val="1"/>
          <w:lang w:val="en-US"/>
        </w:rPr>
        <w:t>amongst Franciscans,</w:t>
      </w:r>
      <w:r w:rsidRPr="00A472FC">
        <w:rPr>
          <w:rFonts w:ascii="Times New Roman" w:hAnsi="Times New Roman" w:cs="Times New Roman"/>
          <w:kern w:val="1"/>
          <w:lang w:val="en-US"/>
        </w:rPr>
        <w:t xml:space="preserve"> referred to memory, understanding, and will as the faculties whereby the mind seeks understanding of what it desires to know and stores the knowledge it obtains in the memory. </w:t>
      </w:r>
    </w:p>
    <w:p w14:paraId="5FA8B8F1" w14:textId="27E459D0" w:rsidR="004C1CD7" w:rsidRPr="00A472FC" w:rsidRDefault="004C1CD7" w:rsidP="00881604">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t xml:space="preserve">As Pius </w:t>
      </w:r>
      <w:proofErr w:type="spellStart"/>
      <w:r w:rsidRPr="00A472FC">
        <w:rPr>
          <w:rFonts w:ascii="Times New Roman" w:hAnsi="Times New Roman" w:cs="Times New Roman"/>
          <w:kern w:val="1"/>
          <w:lang w:val="en-US"/>
        </w:rPr>
        <w:t>Künzle</w:t>
      </w:r>
      <w:proofErr w:type="spellEnd"/>
      <w:r w:rsidRPr="00A472FC">
        <w:rPr>
          <w:rFonts w:ascii="Times New Roman" w:hAnsi="Times New Roman" w:cs="Times New Roman"/>
          <w:kern w:val="1"/>
          <w:lang w:val="en-US"/>
        </w:rPr>
        <w:t xml:space="preserve"> has shown, many authors took these triads as support for the identity thesis. At various points in </w:t>
      </w:r>
      <w:r w:rsidRPr="00A472FC">
        <w:rPr>
          <w:rFonts w:ascii="Times New Roman" w:hAnsi="Times New Roman" w:cs="Times New Roman"/>
          <w:i/>
          <w:kern w:val="1"/>
          <w:lang w:val="en-US"/>
        </w:rPr>
        <w:t xml:space="preserve">De </w:t>
      </w:r>
      <w:proofErr w:type="spellStart"/>
      <w:r w:rsidRPr="00A472FC">
        <w:rPr>
          <w:rFonts w:ascii="Times New Roman" w:hAnsi="Times New Roman" w:cs="Times New Roman"/>
          <w:i/>
          <w:kern w:val="1"/>
          <w:lang w:val="en-US"/>
        </w:rPr>
        <w:t>Trinitate</w:t>
      </w:r>
      <w:proofErr w:type="spellEnd"/>
      <w:r w:rsidRPr="00A472FC">
        <w:rPr>
          <w:rFonts w:ascii="Times New Roman" w:hAnsi="Times New Roman" w:cs="Times New Roman"/>
          <w:iCs/>
          <w:kern w:val="1"/>
          <w:lang w:val="en-US"/>
        </w:rPr>
        <w:t xml:space="preserve">, </w:t>
      </w:r>
      <w:r w:rsidRPr="00A472FC">
        <w:rPr>
          <w:rFonts w:ascii="Times New Roman" w:hAnsi="Times New Roman" w:cs="Times New Roman"/>
          <w:kern w:val="1"/>
          <w:lang w:val="en-US"/>
        </w:rPr>
        <w:t>however, Augustine suggests that there is a real difference between the soul and its powers.</w:t>
      </w:r>
      <w:r w:rsidRPr="00A472FC">
        <w:rPr>
          <w:rStyle w:val="FootnoteReference"/>
          <w:rFonts w:ascii="Times New Roman" w:hAnsi="Times New Roman" w:cs="Times New Roman"/>
          <w:kern w:val="1"/>
          <w:lang w:val="en-US"/>
        </w:rPr>
        <w:footnoteReference w:id="538"/>
      </w:r>
      <w:r w:rsidRPr="00A472FC">
        <w:rPr>
          <w:rFonts w:ascii="Times New Roman" w:hAnsi="Times New Roman" w:cs="Times New Roman"/>
          <w:kern w:val="1"/>
          <w:lang w:val="en-US"/>
        </w:rPr>
        <w:t xml:space="preserve"> </w:t>
      </w:r>
      <w:r w:rsidR="008729E3" w:rsidRPr="00A472FC">
        <w:rPr>
          <w:rFonts w:ascii="Times New Roman" w:hAnsi="Times New Roman" w:cs="Times New Roman"/>
          <w:kern w:val="1"/>
          <w:lang w:val="en-US"/>
        </w:rPr>
        <w:t>In this connection,</w:t>
      </w:r>
      <w:r w:rsidRPr="00A472FC">
        <w:rPr>
          <w:rFonts w:ascii="Times New Roman" w:hAnsi="Times New Roman" w:cs="Times New Roman"/>
          <w:kern w:val="1"/>
          <w:lang w:val="en-US"/>
        </w:rPr>
        <w:t xml:space="preserve"> Lottin cites </w:t>
      </w:r>
      <w:r w:rsidRPr="00A472FC">
        <w:rPr>
          <w:rFonts w:ascii="Times New Roman" w:hAnsi="Times New Roman" w:cs="Times New Roman"/>
          <w:i/>
          <w:kern w:val="1"/>
          <w:lang w:val="en-US"/>
        </w:rPr>
        <w:t xml:space="preserve">De </w:t>
      </w:r>
      <w:proofErr w:type="spellStart"/>
      <w:r w:rsidRPr="00A472FC">
        <w:rPr>
          <w:rFonts w:ascii="Times New Roman" w:hAnsi="Times New Roman" w:cs="Times New Roman"/>
          <w:i/>
          <w:kern w:val="1"/>
          <w:lang w:val="en-US"/>
        </w:rPr>
        <w:t>Triniate</w:t>
      </w:r>
      <w:proofErr w:type="spellEnd"/>
      <w:r w:rsidRPr="00A472FC">
        <w:rPr>
          <w:rFonts w:ascii="Times New Roman" w:hAnsi="Times New Roman" w:cs="Times New Roman"/>
          <w:i/>
          <w:kern w:val="1"/>
          <w:lang w:val="en-US"/>
        </w:rPr>
        <w:t xml:space="preserve"> </w:t>
      </w:r>
      <w:r w:rsidR="008729E3" w:rsidRPr="00A472FC">
        <w:rPr>
          <w:rFonts w:ascii="Times New Roman" w:hAnsi="Times New Roman" w:cs="Times New Roman"/>
          <w:kern w:val="1"/>
          <w:lang w:val="en-US"/>
        </w:rPr>
        <w:t>9</w:t>
      </w:r>
      <w:r w:rsidRPr="00A472FC">
        <w:rPr>
          <w:rFonts w:ascii="Times New Roman" w:hAnsi="Times New Roman" w:cs="Times New Roman"/>
          <w:kern w:val="1"/>
          <w:lang w:val="en-US"/>
        </w:rPr>
        <w:t>.4 which states that ‘memory, understanding, and will…are not three substances but one.’</w:t>
      </w:r>
      <w:r w:rsidRPr="00A472FC">
        <w:rPr>
          <w:rStyle w:val="FootnoteReference"/>
          <w:rFonts w:ascii="Times New Roman" w:hAnsi="Times New Roman" w:cs="Times New Roman"/>
          <w:kern w:val="1"/>
          <w:lang w:val="en-US"/>
        </w:rPr>
        <w:footnoteReference w:id="539"/>
      </w:r>
      <w:r w:rsidRPr="00A472FC">
        <w:rPr>
          <w:rFonts w:ascii="Times New Roman" w:hAnsi="Times New Roman" w:cs="Times New Roman"/>
          <w:kern w:val="1"/>
          <w:lang w:val="en-US"/>
        </w:rPr>
        <w:t xml:space="preserve"> In one of his letters, Magdalena Bieniak has observed, Augustine states even more clearly the opinion that the powers are not the same as the soul:</w:t>
      </w:r>
      <w:r w:rsidRPr="00A472FC">
        <w:rPr>
          <w:rStyle w:val="FootnoteReference"/>
          <w:rFonts w:ascii="Times New Roman" w:hAnsi="Times New Roman" w:cs="Times New Roman"/>
          <w:kern w:val="1"/>
          <w:lang w:val="en-US"/>
        </w:rPr>
        <w:footnoteReference w:id="540"/>
      </w:r>
    </w:p>
    <w:p w14:paraId="66CBD921" w14:textId="77777777" w:rsidR="004C1CD7" w:rsidRPr="00A472FC" w:rsidRDefault="004C1CD7" w:rsidP="00881604">
      <w:pPr>
        <w:autoSpaceDE w:val="0"/>
        <w:autoSpaceDN w:val="0"/>
        <w:adjustRightInd w:val="0"/>
        <w:ind w:right="-52"/>
        <w:rPr>
          <w:rFonts w:ascii="Times New Roman" w:hAnsi="Times New Roman" w:cs="Times New Roman"/>
          <w:kern w:val="1"/>
          <w:lang w:val="en-US"/>
        </w:rPr>
      </w:pPr>
    </w:p>
    <w:p w14:paraId="3555B030" w14:textId="370F8241" w:rsidR="004C1CD7" w:rsidRPr="00A472FC" w:rsidRDefault="004C1CD7" w:rsidP="00881604">
      <w:pPr>
        <w:autoSpaceDE w:val="0"/>
        <w:autoSpaceDN w:val="0"/>
        <w:adjustRightInd w:val="0"/>
        <w:ind w:left="720" w:right="-52"/>
        <w:rPr>
          <w:rFonts w:ascii="Times New Roman" w:hAnsi="Times New Roman" w:cs="Times New Roman"/>
          <w:kern w:val="1"/>
          <w:lang w:val="en-US"/>
        </w:rPr>
      </w:pPr>
      <w:r w:rsidRPr="00A472FC">
        <w:rPr>
          <w:rFonts w:ascii="Times New Roman" w:hAnsi="Times New Roman" w:cs="Times New Roman"/>
          <w:kern w:val="1"/>
          <w:lang w:val="en-US"/>
        </w:rPr>
        <w:t>In this likeness there is an unlikeness, because these three, namely, memory</w:t>
      </w:r>
      <w:r w:rsidR="0068094C" w:rsidRPr="00A472FC">
        <w:rPr>
          <w:rFonts w:ascii="Times New Roman" w:hAnsi="Times New Roman" w:cs="Times New Roman"/>
          <w:kern w:val="1"/>
          <w:lang w:val="en-US"/>
        </w:rPr>
        <w:t>,</w:t>
      </w:r>
      <w:r w:rsidRPr="00A472FC">
        <w:rPr>
          <w:rFonts w:ascii="Times New Roman" w:hAnsi="Times New Roman" w:cs="Times New Roman"/>
          <w:kern w:val="1"/>
          <w:lang w:val="en-US"/>
        </w:rPr>
        <w:t xml:space="preserve"> understanding and will, are not the same as the soul, even though they are in the soul. </w:t>
      </w:r>
      <w:r w:rsidR="00BF43BF" w:rsidRPr="00A472FC">
        <w:rPr>
          <w:rFonts w:ascii="Times New Roman" w:hAnsi="Times New Roman" w:cs="Times New Roman"/>
          <w:kern w:val="1"/>
          <w:lang w:val="en-US"/>
        </w:rPr>
        <w:t xml:space="preserve">However, that </w:t>
      </w:r>
      <w:r w:rsidRPr="00A472FC">
        <w:rPr>
          <w:rFonts w:ascii="Times New Roman" w:hAnsi="Times New Roman" w:cs="Times New Roman"/>
          <w:kern w:val="1"/>
          <w:lang w:val="en-US"/>
        </w:rPr>
        <w:t xml:space="preserve">Trinity is not </w:t>
      </w:r>
      <w:r w:rsidR="0086667F" w:rsidRPr="00A472FC">
        <w:rPr>
          <w:rFonts w:ascii="Times New Roman" w:hAnsi="Times New Roman" w:cs="Times New Roman"/>
          <w:kern w:val="1"/>
          <w:lang w:val="en-US"/>
        </w:rPr>
        <w:t xml:space="preserve">in [God] but it is the </w:t>
      </w:r>
      <w:r w:rsidRPr="00A472FC">
        <w:rPr>
          <w:rFonts w:ascii="Times New Roman" w:hAnsi="Times New Roman" w:cs="Times New Roman"/>
          <w:kern w:val="1"/>
          <w:lang w:val="en-US"/>
        </w:rPr>
        <w:t xml:space="preserve">same as God. For this reason, highest simplicity is attributed to him, because if we are speaking of the nature of God, to be is nothing other than to understand. </w:t>
      </w:r>
      <w:r w:rsidR="00CA7451" w:rsidRPr="00A472FC">
        <w:rPr>
          <w:rFonts w:ascii="Times New Roman" w:hAnsi="Times New Roman" w:cs="Times New Roman"/>
          <w:kern w:val="1"/>
          <w:lang w:val="en-US"/>
        </w:rPr>
        <w:t xml:space="preserve">However, </w:t>
      </w:r>
      <w:r w:rsidRPr="00A472FC">
        <w:rPr>
          <w:rFonts w:ascii="Times New Roman" w:hAnsi="Times New Roman" w:cs="Times New Roman"/>
          <w:kern w:val="1"/>
          <w:lang w:val="en-US"/>
        </w:rPr>
        <w:t xml:space="preserve">because the soul exists </w:t>
      </w:r>
      <w:r w:rsidR="00CA7451" w:rsidRPr="00A472FC">
        <w:rPr>
          <w:rFonts w:ascii="Times New Roman" w:hAnsi="Times New Roman" w:cs="Times New Roman"/>
          <w:kern w:val="1"/>
          <w:lang w:val="en-US"/>
        </w:rPr>
        <w:t xml:space="preserve">even when it does not understand, it is </w:t>
      </w:r>
      <w:r w:rsidRPr="00A472FC">
        <w:rPr>
          <w:rFonts w:ascii="Times New Roman" w:hAnsi="Times New Roman" w:cs="Times New Roman"/>
          <w:kern w:val="1"/>
          <w:lang w:val="en-US"/>
        </w:rPr>
        <w:t xml:space="preserve">something other than the fact of its existence. </w:t>
      </w:r>
    </w:p>
    <w:p w14:paraId="3354FC2D" w14:textId="77777777" w:rsidR="004C1CD7" w:rsidRPr="00A472FC" w:rsidRDefault="004C1CD7" w:rsidP="00881604">
      <w:pPr>
        <w:autoSpaceDE w:val="0"/>
        <w:autoSpaceDN w:val="0"/>
        <w:adjustRightInd w:val="0"/>
        <w:ind w:right="-52"/>
        <w:rPr>
          <w:rFonts w:ascii="Times New Roman" w:hAnsi="Times New Roman" w:cs="Times New Roman"/>
          <w:kern w:val="1"/>
          <w:lang w:val="en-US"/>
        </w:rPr>
      </w:pPr>
    </w:p>
    <w:p w14:paraId="390FE8D3" w14:textId="13769394" w:rsidR="00CC1198" w:rsidRPr="00A472FC" w:rsidRDefault="004C1CD7" w:rsidP="00881604">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t>Although Augustine does not treat the identity thesis as such in this context, the passages mentioned above confirm that it is not necessarily a view that he clearly advocated. In fact, the source of the identity thesis was Isidore of Seville, who argued that the distinction between the faculties in Augustine’s triad of memory, understanding, and will was purely nominal, because they all pertain simply to different aspects of one substance.</w:t>
      </w:r>
      <w:r w:rsidRPr="00A472FC">
        <w:rPr>
          <w:rStyle w:val="FootnoteReference"/>
          <w:rFonts w:ascii="Times New Roman" w:hAnsi="Times New Roman" w:cs="Times New Roman"/>
          <w:kern w:val="1"/>
          <w:lang w:val="en-US"/>
        </w:rPr>
        <w:footnoteReference w:id="541"/>
      </w:r>
      <w:r w:rsidRPr="00A472FC">
        <w:rPr>
          <w:rFonts w:ascii="Times New Roman" w:hAnsi="Times New Roman" w:cs="Times New Roman"/>
          <w:kern w:val="1"/>
          <w:lang w:val="en-US"/>
        </w:rPr>
        <w:t xml:space="preserve"> In time, Isidore’s theory was adopted by </w:t>
      </w:r>
      <w:r w:rsidR="00805477" w:rsidRPr="00A472FC">
        <w:rPr>
          <w:rFonts w:ascii="Times New Roman" w:hAnsi="Times New Roman" w:cs="Times New Roman"/>
          <w:kern w:val="1"/>
          <w:lang w:val="en-US"/>
        </w:rPr>
        <w:t xml:space="preserve">Cistercians like </w:t>
      </w:r>
      <w:proofErr w:type="spellStart"/>
      <w:r w:rsidR="00805477" w:rsidRPr="00A472FC">
        <w:rPr>
          <w:rFonts w:ascii="Times New Roman" w:hAnsi="Times New Roman" w:cs="Times New Roman"/>
          <w:kern w:val="1"/>
          <w:lang w:val="en-US"/>
        </w:rPr>
        <w:t>Aelrid</w:t>
      </w:r>
      <w:proofErr w:type="spellEnd"/>
      <w:r w:rsidR="00805477" w:rsidRPr="00A472FC">
        <w:rPr>
          <w:rFonts w:ascii="Times New Roman" w:hAnsi="Times New Roman" w:cs="Times New Roman"/>
          <w:kern w:val="1"/>
          <w:lang w:val="en-US"/>
        </w:rPr>
        <w:t xml:space="preserve"> of </w:t>
      </w:r>
      <w:proofErr w:type="spellStart"/>
      <w:r w:rsidR="00805477" w:rsidRPr="00A472FC">
        <w:rPr>
          <w:rFonts w:ascii="Times New Roman" w:hAnsi="Times New Roman" w:cs="Times New Roman"/>
          <w:kern w:val="1"/>
          <w:lang w:val="en-US"/>
        </w:rPr>
        <w:t>Rivaulx</w:t>
      </w:r>
      <w:proofErr w:type="spellEnd"/>
      <w:r w:rsidR="00805477" w:rsidRPr="00A472FC">
        <w:rPr>
          <w:rFonts w:ascii="Times New Roman" w:hAnsi="Times New Roman" w:cs="Times New Roman"/>
          <w:kern w:val="1"/>
          <w:lang w:val="en-US"/>
        </w:rPr>
        <w:t xml:space="preserve">, </w:t>
      </w:r>
      <w:proofErr w:type="spellStart"/>
      <w:r w:rsidR="00805477" w:rsidRPr="00A472FC">
        <w:rPr>
          <w:rFonts w:ascii="Times New Roman" w:hAnsi="Times New Roman" w:cs="Times New Roman"/>
          <w:kern w:val="1"/>
          <w:lang w:val="en-US"/>
        </w:rPr>
        <w:t>Theirry</w:t>
      </w:r>
      <w:proofErr w:type="spellEnd"/>
      <w:r w:rsidR="00805477" w:rsidRPr="00A472FC">
        <w:rPr>
          <w:rFonts w:ascii="Times New Roman" w:hAnsi="Times New Roman" w:cs="Times New Roman"/>
          <w:kern w:val="1"/>
          <w:lang w:val="en-US"/>
        </w:rPr>
        <w:t xml:space="preserve"> of Chartres, Isaac of Stella, and ultimately, the </w:t>
      </w:r>
      <w:r w:rsidRPr="00A472FC">
        <w:rPr>
          <w:rFonts w:ascii="Times New Roman" w:hAnsi="Times New Roman" w:cs="Times New Roman"/>
          <w:kern w:val="1"/>
          <w:lang w:val="en-US"/>
        </w:rPr>
        <w:t>DSEA, which enjoyed enormous popularity in the late twelfth and early thirteenth centuries.</w:t>
      </w:r>
      <w:r w:rsidRPr="00A472FC">
        <w:rPr>
          <w:rStyle w:val="FootnoteReference"/>
          <w:rFonts w:ascii="Times New Roman" w:hAnsi="Times New Roman" w:cs="Times New Roman"/>
          <w:kern w:val="1"/>
          <w:lang w:val="en-US"/>
        </w:rPr>
        <w:footnoteReference w:id="542"/>
      </w:r>
      <w:r w:rsidRPr="00A472FC">
        <w:rPr>
          <w:rFonts w:ascii="Times New Roman" w:hAnsi="Times New Roman" w:cs="Times New Roman"/>
          <w:kern w:val="1"/>
          <w:lang w:val="en-US"/>
        </w:rPr>
        <w:t xml:space="preserve"> According to </w:t>
      </w:r>
      <w:proofErr w:type="spellStart"/>
      <w:r w:rsidRPr="00A472FC">
        <w:rPr>
          <w:rFonts w:ascii="Times New Roman" w:hAnsi="Times New Roman" w:cs="Times New Roman"/>
          <w:kern w:val="1"/>
          <w:lang w:val="en-US"/>
        </w:rPr>
        <w:t>Künzle</w:t>
      </w:r>
      <w:proofErr w:type="spellEnd"/>
      <w:r w:rsidRPr="00A472FC">
        <w:rPr>
          <w:rFonts w:ascii="Times New Roman" w:hAnsi="Times New Roman" w:cs="Times New Roman"/>
          <w:kern w:val="1"/>
          <w:lang w:val="en-US"/>
        </w:rPr>
        <w:t xml:space="preserve">, Bernard of </w:t>
      </w:r>
      <w:proofErr w:type="spellStart"/>
      <w:r w:rsidRPr="00A472FC">
        <w:rPr>
          <w:rFonts w:ascii="Times New Roman" w:hAnsi="Times New Roman" w:cs="Times New Roman"/>
          <w:kern w:val="1"/>
          <w:lang w:val="en-US"/>
        </w:rPr>
        <w:t>Clairvaux</w:t>
      </w:r>
      <w:proofErr w:type="spellEnd"/>
      <w:r w:rsidRPr="00A472FC">
        <w:rPr>
          <w:rFonts w:ascii="Times New Roman" w:hAnsi="Times New Roman" w:cs="Times New Roman"/>
          <w:kern w:val="1"/>
          <w:lang w:val="en-US"/>
        </w:rPr>
        <w:t xml:space="preserve">, and </w:t>
      </w:r>
    </w:p>
    <w:p w14:paraId="5E5B22E9" w14:textId="2D1266AE" w:rsidR="004C1CD7" w:rsidRPr="00A472FC" w:rsidRDefault="004C1CD7" w:rsidP="00CC1198">
      <w:pPr>
        <w:autoSpaceDE w:val="0"/>
        <w:autoSpaceDN w:val="0"/>
        <w:adjustRightInd w:val="0"/>
        <w:ind w:right="-52"/>
        <w:rPr>
          <w:rFonts w:ascii="Times New Roman" w:hAnsi="Times New Roman" w:cs="Times New Roman"/>
          <w:kern w:val="1"/>
          <w:lang w:val="en-US"/>
        </w:rPr>
      </w:pPr>
      <w:r w:rsidRPr="00A472FC">
        <w:rPr>
          <w:rFonts w:ascii="Times New Roman" w:hAnsi="Times New Roman" w:cs="Times New Roman"/>
          <w:kern w:val="1"/>
          <w:lang w:val="en-US"/>
        </w:rPr>
        <w:lastRenderedPageBreak/>
        <w:t>Hugh of St Victor all ended up attributing the identity thesis to Augustine, partly as a result of this text.</w:t>
      </w:r>
      <w:r w:rsidRPr="00A472FC">
        <w:rPr>
          <w:rStyle w:val="FootnoteReference"/>
          <w:rFonts w:ascii="Times New Roman" w:hAnsi="Times New Roman" w:cs="Times New Roman"/>
          <w:kern w:val="1"/>
          <w:lang w:val="en-US"/>
        </w:rPr>
        <w:footnoteReference w:id="543"/>
      </w:r>
      <w:r w:rsidRPr="00A472FC">
        <w:rPr>
          <w:rFonts w:ascii="Times New Roman" w:hAnsi="Times New Roman" w:cs="Times New Roman"/>
          <w:kern w:val="1"/>
          <w:lang w:val="en-US"/>
        </w:rPr>
        <w:t xml:space="preserve"> </w:t>
      </w:r>
    </w:p>
    <w:p w14:paraId="6957394E" w14:textId="3F57F55D" w:rsidR="004C1CD7" w:rsidRPr="00A472FC" w:rsidRDefault="004C1CD7" w:rsidP="00881604">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t xml:space="preserve">What made the identity thesis a major fixture in early scholastic literature, particularly </w:t>
      </w:r>
      <w:r w:rsidR="00040053" w:rsidRPr="00A472FC">
        <w:rPr>
          <w:rFonts w:ascii="Times New Roman" w:hAnsi="Times New Roman" w:cs="Times New Roman"/>
          <w:i/>
          <w:kern w:val="1"/>
          <w:lang w:val="en-US"/>
        </w:rPr>
        <w:t>Sentences</w:t>
      </w:r>
      <w:r w:rsidRPr="00A472FC">
        <w:rPr>
          <w:rFonts w:ascii="Times New Roman" w:hAnsi="Times New Roman" w:cs="Times New Roman"/>
          <w:kern w:val="1"/>
          <w:lang w:val="en-US"/>
        </w:rPr>
        <w:t xml:space="preserve"> commentaries, however, was the fact that Peter Lombard endorsed the theory in </w:t>
      </w:r>
      <w:r w:rsidR="00040053" w:rsidRPr="00A472FC">
        <w:rPr>
          <w:rFonts w:ascii="Times New Roman" w:hAnsi="Times New Roman" w:cs="Times New Roman"/>
          <w:i/>
          <w:kern w:val="1"/>
          <w:lang w:val="en-US"/>
        </w:rPr>
        <w:t>Sentences</w:t>
      </w:r>
      <w:r w:rsidRPr="00A472FC">
        <w:rPr>
          <w:rFonts w:ascii="Times New Roman" w:hAnsi="Times New Roman" w:cs="Times New Roman"/>
          <w:kern w:val="1"/>
          <w:lang w:val="en-US"/>
        </w:rPr>
        <w:t xml:space="preserve"> book I, chapter 3, where he speaks of </w:t>
      </w:r>
      <w:r w:rsidRPr="00A472FC">
        <w:rPr>
          <w:rFonts w:ascii="Times New Roman" w:hAnsi="Times New Roman" w:cs="Times New Roman"/>
          <w:i/>
          <w:kern w:val="1"/>
          <w:lang w:val="en-US"/>
        </w:rPr>
        <w:t xml:space="preserve">mens, </w:t>
      </w:r>
      <w:proofErr w:type="spellStart"/>
      <w:r w:rsidRPr="00A472FC">
        <w:rPr>
          <w:rFonts w:ascii="Times New Roman" w:hAnsi="Times New Roman" w:cs="Times New Roman"/>
          <w:i/>
          <w:kern w:val="1"/>
          <w:lang w:val="en-US"/>
        </w:rPr>
        <w:t>notitia</w:t>
      </w:r>
      <w:proofErr w:type="spellEnd"/>
      <w:r w:rsidRPr="00A472FC">
        <w:rPr>
          <w:rFonts w:ascii="Times New Roman" w:hAnsi="Times New Roman" w:cs="Times New Roman"/>
          <w:kern w:val="1"/>
          <w:lang w:val="en-US"/>
        </w:rPr>
        <w:t xml:space="preserve">, and </w:t>
      </w:r>
      <w:r w:rsidRPr="00A472FC">
        <w:rPr>
          <w:rFonts w:ascii="Times New Roman" w:hAnsi="Times New Roman" w:cs="Times New Roman"/>
          <w:i/>
          <w:kern w:val="1"/>
          <w:lang w:val="en-US"/>
        </w:rPr>
        <w:t xml:space="preserve">amor </w:t>
      </w:r>
      <w:r w:rsidRPr="00A472FC">
        <w:rPr>
          <w:rFonts w:ascii="Times New Roman" w:hAnsi="Times New Roman" w:cs="Times New Roman"/>
          <w:kern w:val="1"/>
          <w:lang w:val="en-US"/>
        </w:rPr>
        <w:t>as one.</w:t>
      </w:r>
      <w:r w:rsidRPr="00A472FC">
        <w:rPr>
          <w:rStyle w:val="FootnoteReference"/>
          <w:rFonts w:ascii="Times New Roman" w:hAnsi="Times New Roman" w:cs="Times New Roman"/>
          <w:kern w:val="1"/>
          <w:lang w:val="en-US"/>
        </w:rPr>
        <w:footnoteReference w:id="544"/>
      </w:r>
      <w:r w:rsidRPr="00A472FC">
        <w:rPr>
          <w:rFonts w:ascii="Times New Roman" w:hAnsi="Times New Roman" w:cs="Times New Roman"/>
          <w:kern w:val="1"/>
          <w:lang w:val="en-US"/>
        </w:rPr>
        <w:t xml:space="preserve"> In his view, the denial of the identity thesis would lead to the problematic conclusion that the powers of the soul are mere accidents of the soul and do not belong to it necessarily.</w:t>
      </w:r>
      <w:r w:rsidRPr="00A472FC">
        <w:rPr>
          <w:rStyle w:val="FootnoteReference"/>
          <w:rFonts w:ascii="Times New Roman" w:hAnsi="Times New Roman" w:cs="Times New Roman"/>
          <w:kern w:val="1"/>
          <w:lang w:val="en-US"/>
        </w:rPr>
        <w:footnoteReference w:id="545"/>
      </w:r>
    </w:p>
    <w:p w14:paraId="523E5E6B" w14:textId="42712174" w:rsidR="004C1CD7" w:rsidRPr="00A472FC" w:rsidRDefault="004C1CD7" w:rsidP="00881604">
      <w:pPr>
        <w:autoSpaceDE w:val="0"/>
        <w:autoSpaceDN w:val="0"/>
        <w:adjustRightInd w:val="0"/>
        <w:ind w:right="-52"/>
        <w:rPr>
          <w:rFonts w:ascii="Times New Roman" w:hAnsi="Times New Roman" w:cs="Times New Roman"/>
          <w:lang w:val="en-US"/>
        </w:rPr>
      </w:pPr>
      <w:r w:rsidRPr="00A472FC">
        <w:rPr>
          <w:rFonts w:ascii="Times New Roman" w:hAnsi="Times New Roman" w:cs="Times New Roman"/>
          <w:kern w:val="1"/>
          <w:lang w:val="en-US"/>
        </w:rPr>
        <w:tab/>
        <w:t xml:space="preserve">The thesis became a focus of early scholastic debate in the </w:t>
      </w:r>
      <w:r w:rsidRPr="00A472FC">
        <w:rPr>
          <w:rFonts w:ascii="Times New Roman" w:hAnsi="Times New Roman" w:cs="Times New Roman"/>
          <w:i/>
          <w:kern w:val="1"/>
          <w:lang w:val="en-US"/>
        </w:rPr>
        <w:t xml:space="preserve">Summa </w:t>
      </w:r>
      <w:proofErr w:type="spellStart"/>
      <w:r w:rsidRPr="00A472FC">
        <w:rPr>
          <w:rFonts w:ascii="Times New Roman" w:hAnsi="Times New Roman" w:cs="Times New Roman"/>
          <w:i/>
          <w:kern w:val="1"/>
          <w:lang w:val="en-US"/>
        </w:rPr>
        <w:t>aurea</w:t>
      </w:r>
      <w:proofErr w:type="spellEnd"/>
      <w:r w:rsidRPr="00A472FC">
        <w:rPr>
          <w:rFonts w:ascii="Times New Roman" w:hAnsi="Times New Roman" w:cs="Times New Roman"/>
          <w:i/>
          <w:kern w:val="1"/>
          <w:lang w:val="en-US"/>
        </w:rPr>
        <w:t xml:space="preserve"> </w:t>
      </w:r>
      <w:r w:rsidRPr="00A472FC">
        <w:rPr>
          <w:rFonts w:ascii="Times New Roman" w:hAnsi="Times New Roman" w:cs="Times New Roman"/>
          <w:kern w:val="1"/>
          <w:lang w:val="en-US"/>
        </w:rPr>
        <w:t xml:space="preserve">of William of Auxerre, who vociferously denied not only that the theory can be traced to Augustine but also that it is correct. As he stresses, essence and powers, which represent another way to talk about essence and </w:t>
      </w:r>
      <w:r w:rsidR="00C73E42" w:rsidRPr="00A472FC">
        <w:rPr>
          <w:rFonts w:ascii="Times New Roman" w:hAnsi="Times New Roman" w:cs="Times New Roman"/>
          <w:kern w:val="1"/>
          <w:lang w:val="en-US"/>
        </w:rPr>
        <w:t xml:space="preserve">a </w:t>
      </w:r>
      <w:r w:rsidRPr="00A472FC">
        <w:rPr>
          <w:rFonts w:ascii="Times New Roman" w:hAnsi="Times New Roman" w:cs="Times New Roman"/>
          <w:kern w:val="1"/>
          <w:lang w:val="en-US"/>
        </w:rPr>
        <w:t>mode of existence, are only the same in God.</w:t>
      </w:r>
      <w:r w:rsidRPr="00A472FC">
        <w:rPr>
          <w:rStyle w:val="FootnoteReference"/>
          <w:rFonts w:ascii="Times New Roman" w:hAnsi="Times New Roman" w:cs="Times New Roman"/>
          <w:lang w:val="en-US"/>
        </w:rPr>
        <w:footnoteReference w:id="546"/>
      </w:r>
      <w:r w:rsidRPr="00A472FC">
        <w:rPr>
          <w:rFonts w:ascii="Times New Roman" w:hAnsi="Times New Roman" w:cs="Times New Roman"/>
          <w:kern w:val="1"/>
          <w:lang w:val="en-US"/>
        </w:rPr>
        <w:t xml:space="preserve"> That is to say, God alone is a fully actualized being, while other beings must exercise their powers discursively and with increasing </w:t>
      </w:r>
      <w:proofErr w:type="spellStart"/>
      <w:r w:rsidRPr="00A472FC">
        <w:rPr>
          <w:rFonts w:ascii="Times New Roman" w:hAnsi="Times New Roman" w:cs="Times New Roman"/>
          <w:kern w:val="1"/>
          <w:lang w:val="en-US"/>
        </w:rPr>
        <w:t>fluidi</w:t>
      </w:r>
      <w:r w:rsidR="00C5026E" w:rsidRPr="00A472FC">
        <w:rPr>
          <w:rFonts w:ascii="Times New Roman" w:hAnsi="Times New Roman" w:cs="Times New Roman"/>
          <w:kern w:val="1"/>
          <w:lang w:val="en-US"/>
        </w:rPr>
        <w:t>y</w:t>
      </w:r>
      <w:proofErr w:type="spellEnd"/>
      <w:r w:rsidR="00C5026E" w:rsidRPr="00A472FC">
        <w:rPr>
          <w:rFonts w:ascii="Times New Roman" w:hAnsi="Times New Roman" w:cs="Times New Roman"/>
          <w:kern w:val="1"/>
          <w:lang w:val="en-US"/>
        </w:rPr>
        <w:t xml:space="preserve"> through use over time</w:t>
      </w:r>
      <w:r w:rsidRPr="00A472FC">
        <w:rPr>
          <w:rFonts w:ascii="Times New Roman" w:hAnsi="Times New Roman" w:cs="Times New Roman"/>
          <w:kern w:val="1"/>
          <w:lang w:val="en-US"/>
        </w:rPr>
        <w:t>. Although William acknowledges that the teaching can be found in the work of ‘some masters,’ he does not name his opponents. Most likely, he is referring to the DSEA, which he inevitably regarded as an inauthentic work of Augustine, whose inspiration for the doctrine he had already denied</w:t>
      </w:r>
      <w:r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547"/>
      </w:r>
    </w:p>
    <w:p w14:paraId="06F2AC1A" w14:textId="77777777" w:rsidR="00715096" w:rsidRPr="00A472FC" w:rsidRDefault="004C1CD7" w:rsidP="00715096">
      <w:pPr>
        <w:autoSpaceDE w:val="0"/>
        <w:autoSpaceDN w:val="0"/>
        <w:adjustRightInd w:val="0"/>
        <w:ind w:right="-52"/>
        <w:rPr>
          <w:rFonts w:ascii="Times New Roman" w:hAnsi="Times New Roman" w:cs="Times New Roman"/>
          <w:kern w:val="1"/>
          <w:lang w:val="en-US"/>
        </w:rPr>
      </w:pPr>
      <w:r w:rsidRPr="00A472FC">
        <w:rPr>
          <w:rFonts w:ascii="Times New Roman" w:hAnsi="Times New Roman" w:cs="Times New Roman"/>
          <w:lang w:val="en-US"/>
        </w:rPr>
        <w:tab/>
        <w:t xml:space="preserve">In refuting the identity thesis, William was not alone. William of </w:t>
      </w:r>
      <w:proofErr w:type="spellStart"/>
      <w:r w:rsidRPr="00A472FC">
        <w:rPr>
          <w:rFonts w:ascii="Times New Roman" w:hAnsi="Times New Roman" w:cs="Times New Roman"/>
          <w:lang w:val="en-US"/>
        </w:rPr>
        <w:t>Champeaux</w:t>
      </w:r>
      <w:proofErr w:type="spellEnd"/>
      <w:r w:rsidRPr="00A472FC">
        <w:rPr>
          <w:rFonts w:ascii="Times New Roman" w:hAnsi="Times New Roman" w:cs="Times New Roman"/>
          <w:lang w:val="en-US"/>
        </w:rPr>
        <w:t xml:space="preserve"> had also rejected it.</w:t>
      </w:r>
      <w:r w:rsidRPr="00A472FC">
        <w:rPr>
          <w:rStyle w:val="FootnoteReference"/>
          <w:rFonts w:ascii="Times New Roman" w:hAnsi="Times New Roman" w:cs="Times New Roman"/>
          <w:lang w:val="en-US"/>
        </w:rPr>
        <w:footnoteReference w:id="548"/>
      </w:r>
      <w:r w:rsidRPr="00A472FC">
        <w:rPr>
          <w:rFonts w:ascii="Times New Roman" w:hAnsi="Times New Roman" w:cs="Times New Roman"/>
          <w:lang w:val="en-US"/>
        </w:rPr>
        <w:t xml:space="preserve"> Even Avicenna denied that the soul and its powers can be identified with one another.</w:t>
      </w:r>
      <w:r w:rsidRPr="00A472FC">
        <w:rPr>
          <w:rStyle w:val="FootnoteReference"/>
          <w:rFonts w:ascii="Times New Roman" w:hAnsi="Times New Roman" w:cs="Times New Roman"/>
          <w:lang w:val="en-US"/>
        </w:rPr>
        <w:footnoteReference w:id="549"/>
      </w:r>
      <w:r w:rsidRPr="00A472FC">
        <w:rPr>
          <w:rFonts w:ascii="Times New Roman" w:hAnsi="Times New Roman" w:cs="Times New Roman"/>
          <w:lang w:val="en-US"/>
        </w:rPr>
        <w:t xml:space="preserve"> In spite of this, many of William of Auxerre’s successors defended the thesis, including those who were extensively familiar with his work and used it heavily in other areas. In her important study, Magdalena Bieniak goes into considerable detail </w:t>
      </w:r>
      <w:r w:rsidR="0040775C" w:rsidRPr="00A472FC">
        <w:rPr>
          <w:rFonts w:ascii="Times New Roman" w:hAnsi="Times New Roman" w:cs="Times New Roman"/>
          <w:lang w:val="en-US"/>
        </w:rPr>
        <w:t xml:space="preserve">on </w:t>
      </w:r>
      <w:r w:rsidRPr="00A472FC">
        <w:rPr>
          <w:rFonts w:ascii="Times New Roman" w:hAnsi="Times New Roman" w:cs="Times New Roman"/>
          <w:lang w:val="en-US"/>
        </w:rPr>
        <w:t xml:space="preserve">the position not only of William, but also of others like Hugh of St Cher and Philip the Chancellor, </w:t>
      </w:r>
      <w:r w:rsidRPr="00A472FC">
        <w:rPr>
          <w:rFonts w:ascii="Times New Roman" w:hAnsi="Times New Roman" w:cs="Times New Roman"/>
          <w:lang w:val="en-US"/>
        </w:rPr>
        <w:lastRenderedPageBreak/>
        <w:t xml:space="preserve">building on the study of Pius </w:t>
      </w:r>
      <w:proofErr w:type="spellStart"/>
      <w:r w:rsidRPr="00A472FC">
        <w:rPr>
          <w:rFonts w:ascii="Times New Roman" w:hAnsi="Times New Roman" w:cs="Times New Roman"/>
          <w:lang w:val="en-US"/>
        </w:rPr>
        <w:t>Künzle</w:t>
      </w:r>
      <w:proofErr w:type="spellEnd"/>
      <w:r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550"/>
      </w:r>
      <w:r w:rsidRPr="00A472FC">
        <w:rPr>
          <w:rFonts w:ascii="Times New Roman" w:hAnsi="Times New Roman" w:cs="Times New Roman"/>
          <w:lang w:val="en-US"/>
        </w:rPr>
        <w:t xml:space="preserve"> </w:t>
      </w:r>
      <w:r w:rsidR="007C7DBF" w:rsidRPr="00A472FC">
        <w:rPr>
          <w:rFonts w:ascii="Times New Roman" w:hAnsi="Times New Roman" w:cs="Times New Roman"/>
          <w:lang w:val="en-US"/>
        </w:rPr>
        <w:t>As she observes</w:t>
      </w:r>
      <w:r w:rsidRPr="00A472FC">
        <w:rPr>
          <w:rFonts w:ascii="Times New Roman" w:hAnsi="Times New Roman" w:cs="Times New Roman"/>
          <w:lang w:val="en-US"/>
        </w:rPr>
        <w:t>, Philip the Chancellor adheres to the identity thesis</w:t>
      </w:r>
      <w:r w:rsidR="007C7DBF" w:rsidRPr="00A472FC">
        <w:rPr>
          <w:rFonts w:ascii="Times New Roman" w:hAnsi="Times New Roman" w:cs="Times New Roman"/>
          <w:lang w:val="en-US"/>
        </w:rPr>
        <w:t xml:space="preserve"> in the first redaction of his </w:t>
      </w:r>
      <w:r w:rsidR="007C7DBF" w:rsidRPr="00A472FC">
        <w:rPr>
          <w:rFonts w:ascii="Times New Roman" w:hAnsi="Times New Roman" w:cs="Times New Roman"/>
          <w:i/>
          <w:lang w:val="en-US"/>
        </w:rPr>
        <w:t>Summa de bono</w:t>
      </w:r>
      <w:r w:rsidRPr="00A472FC">
        <w:rPr>
          <w:rFonts w:ascii="Times New Roman" w:hAnsi="Times New Roman" w:cs="Times New Roman"/>
          <w:kern w:val="1"/>
          <w:lang w:val="en-US"/>
        </w:rPr>
        <w:t>.</w:t>
      </w:r>
      <w:r w:rsidRPr="00A472FC">
        <w:rPr>
          <w:rStyle w:val="FootnoteReference"/>
          <w:rFonts w:ascii="Times New Roman" w:hAnsi="Times New Roman" w:cs="Times New Roman"/>
          <w:kern w:val="1"/>
          <w:lang w:val="en-US"/>
        </w:rPr>
        <w:footnoteReference w:id="551"/>
      </w:r>
      <w:r w:rsidRPr="00A472FC">
        <w:rPr>
          <w:rFonts w:ascii="Times New Roman" w:hAnsi="Times New Roman" w:cs="Times New Roman"/>
          <w:kern w:val="1"/>
          <w:lang w:val="en-US"/>
        </w:rPr>
        <w:t xml:space="preserve"> </w:t>
      </w:r>
    </w:p>
    <w:p w14:paraId="7FBE057A" w14:textId="4A2B888C" w:rsidR="00457821" w:rsidRPr="00A472FC" w:rsidRDefault="004C1CD7" w:rsidP="009C2703">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Likewise, Hugh de</w:t>
      </w:r>
      <w:r w:rsidRPr="00A472FC">
        <w:rPr>
          <w:rFonts w:ascii="Times New Roman" w:hAnsi="Times New Roman" w:cs="Times New Roman"/>
          <w:kern w:val="1"/>
          <w:lang w:val="en-US"/>
        </w:rPr>
        <w:t xml:space="preserve">fends the identity thesis just as vigorously as William had rejected it. Furthermore, he attributes the thesis to Augustine’s </w:t>
      </w:r>
      <w:r w:rsidRPr="00A472FC">
        <w:rPr>
          <w:rFonts w:ascii="Times New Roman" w:hAnsi="Times New Roman" w:cs="Times New Roman"/>
          <w:i/>
          <w:kern w:val="1"/>
          <w:lang w:val="en-US"/>
        </w:rPr>
        <w:t xml:space="preserve">De </w:t>
      </w:r>
      <w:proofErr w:type="spellStart"/>
      <w:r w:rsidRPr="00A472FC">
        <w:rPr>
          <w:rFonts w:ascii="Times New Roman" w:hAnsi="Times New Roman" w:cs="Times New Roman"/>
          <w:i/>
          <w:kern w:val="1"/>
          <w:lang w:val="en-US"/>
        </w:rPr>
        <w:t>Trinitate</w:t>
      </w:r>
      <w:proofErr w:type="spellEnd"/>
      <w:r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552"/>
      </w:r>
      <w:r w:rsidRPr="00A472FC">
        <w:rPr>
          <w:rFonts w:ascii="Times New Roman" w:hAnsi="Times New Roman" w:cs="Times New Roman"/>
          <w:lang w:val="en-US"/>
        </w:rPr>
        <w:t xml:space="preserve"> In his opinion, affirming that the soul is identical with the powers of memory, understanding, and will is the only way to uphold the simplicity of the soul.</w:t>
      </w:r>
      <w:r w:rsidRPr="00A472FC">
        <w:rPr>
          <w:rStyle w:val="FootnoteReference"/>
          <w:rFonts w:ascii="Times New Roman" w:hAnsi="Times New Roman" w:cs="Times New Roman"/>
          <w:kern w:val="1"/>
          <w:lang w:val="en-US"/>
        </w:rPr>
        <w:footnoteReference w:id="553"/>
      </w:r>
      <w:r w:rsidRPr="00A472FC">
        <w:rPr>
          <w:rFonts w:ascii="Times New Roman" w:hAnsi="Times New Roman" w:cs="Times New Roman"/>
          <w:lang w:val="en-US"/>
        </w:rPr>
        <w:t xml:space="preserve"> This overwhelming concern is also why he denied the matter-form composition of the soul.</w:t>
      </w:r>
      <w:r w:rsidRPr="00A472FC">
        <w:rPr>
          <w:rStyle w:val="FootnoteReference"/>
          <w:rFonts w:ascii="Times New Roman" w:hAnsi="Times New Roman" w:cs="Times New Roman"/>
          <w:lang w:val="en-US"/>
        </w:rPr>
        <w:footnoteReference w:id="554"/>
      </w:r>
      <w:r w:rsidRPr="00A472FC">
        <w:rPr>
          <w:rFonts w:ascii="Times New Roman" w:hAnsi="Times New Roman" w:cs="Times New Roman"/>
          <w:lang w:val="en-US"/>
        </w:rPr>
        <w:t xml:space="preserve"> In his view, if the soul is not identical with its powers, then as Lombard argued, the powers are mere accidents of the soul. This would be absurd, because it is impossible to conceive of the soul without its rational faculties. Whereas Hugh argued that simplicity of essence requires simplicity—or identity—of the powers, </w:t>
      </w:r>
      <w:proofErr w:type="spellStart"/>
      <w:r w:rsidR="00457821" w:rsidRPr="00A472FC">
        <w:rPr>
          <w:rFonts w:ascii="Times New Roman" w:hAnsi="Times New Roman" w:cs="Times New Roman"/>
          <w:lang w:val="en-US"/>
        </w:rPr>
        <w:t>Guerric</w:t>
      </w:r>
      <w:proofErr w:type="spellEnd"/>
      <w:r w:rsidR="00457821" w:rsidRPr="00A472FC">
        <w:rPr>
          <w:rFonts w:ascii="Times New Roman" w:hAnsi="Times New Roman" w:cs="Times New Roman"/>
          <w:lang w:val="en-US"/>
        </w:rPr>
        <w:t xml:space="preserve"> of St Quentin held that </w:t>
      </w:r>
      <w:r w:rsidR="001E6F20" w:rsidRPr="00A472FC">
        <w:rPr>
          <w:rFonts w:ascii="Times New Roman" w:hAnsi="Times New Roman" w:cs="Times New Roman"/>
          <w:lang w:val="en-US"/>
        </w:rPr>
        <w:t>the soul differs from its powers because, like everything other than God, it is comprised of form and spiritual matter</w:t>
      </w:r>
      <w:r w:rsidR="00E92971" w:rsidRPr="00A472FC">
        <w:rPr>
          <w:rFonts w:ascii="Times New Roman" w:hAnsi="Times New Roman" w:cs="Times New Roman"/>
          <w:lang w:val="en-US"/>
        </w:rPr>
        <w:t>.</w:t>
      </w:r>
      <w:r w:rsidR="00AA5402" w:rsidRPr="00A472FC">
        <w:rPr>
          <w:rStyle w:val="FootnoteReference"/>
          <w:rFonts w:ascii="Times New Roman" w:hAnsi="Times New Roman" w:cs="Times New Roman"/>
          <w:lang w:val="en-US"/>
        </w:rPr>
        <w:footnoteReference w:id="555"/>
      </w:r>
    </w:p>
    <w:p w14:paraId="20254409" w14:textId="1A7AB278" w:rsidR="004C1CD7" w:rsidRPr="00A472FC" w:rsidRDefault="00AA5402" w:rsidP="000A4AE3">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Likewise</w:t>
      </w:r>
      <w:r w:rsidR="0007088D" w:rsidRPr="00A472FC">
        <w:rPr>
          <w:rFonts w:ascii="Times New Roman" w:hAnsi="Times New Roman" w:cs="Times New Roman"/>
          <w:lang w:val="en-US"/>
        </w:rPr>
        <w:t>,</w:t>
      </w:r>
      <w:r w:rsidR="00B118A5" w:rsidRPr="00A472FC">
        <w:rPr>
          <w:rFonts w:ascii="Times New Roman" w:hAnsi="Times New Roman" w:cs="Times New Roman"/>
          <w:lang w:val="en-US"/>
        </w:rPr>
        <w:t xml:space="preserve"> Roland of Cremona denies the identity of the soul with its powers in discussing the </w:t>
      </w:r>
      <w:r w:rsidR="00BC6C03" w:rsidRPr="00A472FC">
        <w:rPr>
          <w:rFonts w:ascii="Times New Roman" w:hAnsi="Times New Roman" w:cs="Times New Roman"/>
          <w:lang w:val="en-US"/>
        </w:rPr>
        <w:t>triad of memory, understanding, and will</w:t>
      </w:r>
      <w:r w:rsidR="00027130" w:rsidRPr="00A472FC">
        <w:rPr>
          <w:rFonts w:ascii="Times New Roman" w:hAnsi="Times New Roman" w:cs="Times New Roman"/>
          <w:lang w:val="en-US"/>
        </w:rPr>
        <w:t>, on the grounds that God and creatures have nothing in common</w:t>
      </w:r>
      <w:r w:rsidR="004C1CD7" w:rsidRPr="00A472FC">
        <w:rPr>
          <w:rFonts w:ascii="Times New Roman" w:hAnsi="Times New Roman" w:cs="Times New Roman"/>
          <w:lang w:val="en-US"/>
        </w:rPr>
        <w:t>.</w:t>
      </w:r>
      <w:r w:rsidR="004C1CD7" w:rsidRPr="00A472FC">
        <w:rPr>
          <w:rStyle w:val="FootnoteReference"/>
          <w:rFonts w:ascii="Times New Roman" w:hAnsi="Times New Roman" w:cs="Times New Roman"/>
          <w:lang w:val="en-US"/>
        </w:rPr>
        <w:footnoteReference w:id="556"/>
      </w:r>
      <w:r w:rsidR="004C1CD7" w:rsidRPr="00A472FC">
        <w:rPr>
          <w:rFonts w:ascii="Times New Roman" w:hAnsi="Times New Roman" w:cs="Times New Roman"/>
          <w:lang w:val="en-US"/>
        </w:rPr>
        <w:t xml:space="preserve"> </w:t>
      </w:r>
      <w:r w:rsidR="00C104D9" w:rsidRPr="00A472FC">
        <w:rPr>
          <w:rFonts w:ascii="Times New Roman" w:hAnsi="Times New Roman" w:cs="Times New Roman"/>
          <w:lang w:val="en-US"/>
        </w:rPr>
        <w:t>Around the same time, however,</w:t>
      </w:r>
      <w:r w:rsidR="004C1CD7" w:rsidRPr="00A472FC">
        <w:rPr>
          <w:rFonts w:ascii="Times New Roman" w:hAnsi="Times New Roman" w:cs="Times New Roman"/>
          <w:lang w:val="en-US"/>
        </w:rPr>
        <w:t xml:space="preserve"> William of Auvergne continue</w:t>
      </w:r>
      <w:r w:rsidR="00C104D9" w:rsidRPr="00A472FC">
        <w:rPr>
          <w:rFonts w:ascii="Times New Roman" w:hAnsi="Times New Roman" w:cs="Times New Roman"/>
          <w:lang w:val="en-US"/>
        </w:rPr>
        <w:t>d</w:t>
      </w:r>
      <w:r w:rsidR="004C1CD7" w:rsidRPr="00A472FC">
        <w:rPr>
          <w:rFonts w:ascii="Times New Roman" w:hAnsi="Times New Roman" w:cs="Times New Roman"/>
          <w:lang w:val="en-US"/>
        </w:rPr>
        <w:t xml:space="preserve"> to affirm the identity of the soul with its powers, in the interest of preserving the soul’s simplicity.</w:t>
      </w:r>
      <w:r w:rsidR="004C1CD7" w:rsidRPr="00A472FC">
        <w:rPr>
          <w:rStyle w:val="FootnoteReference"/>
          <w:rFonts w:ascii="Times New Roman" w:hAnsi="Times New Roman" w:cs="Times New Roman"/>
          <w:lang w:val="en-US"/>
        </w:rPr>
        <w:footnoteReference w:id="557"/>
      </w:r>
      <w:r w:rsidR="000A4AE3" w:rsidRPr="00A472FC">
        <w:rPr>
          <w:rFonts w:ascii="Times New Roman" w:hAnsi="Times New Roman" w:cs="Times New Roman"/>
          <w:lang w:val="en-US"/>
        </w:rPr>
        <w:t xml:space="preserve"> </w:t>
      </w:r>
      <w:r w:rsidR="004C1CD7" w:rsidRPr="00A472FC">
        <w:rPr>
          <w:rFonts w:ascii="Times New Roman" w:hAnsi="Times New Roman" w:cs="Times New Roman"/>
          <w:lang w:val="en-US"/>
        </w:rPr>
        <w:t xml:space="preserve">A middle way between the two extremes of accepting or rejecting the identity thesis </w:t>
      </w:r>
      <w:r w:rsidR="003E4593" w:rsidRPr="00A472FC">
        <w:rPr>
          <w:rFonts w:ascii="Times New Roman" w:hAnsi="Times New Roman" w:cs="Times New Roman"/>
          <w:lang w:val="en-US"/>
        </w:rPr>
        <w:t>was put forward by</w:t>
      </w:r>
      <w:r w:rsidR="004C1CD7" w:rsidRPr="00A472FC">
        <w:rPr>
          <w:rFonts w:ascii="Times New Roman" w:hAnsi="Times New Roman" w:cs="Times New Roman"/>
          <w:lang w:val="en-US"/>
        </w:rPr>
        <w:t xml:space="preserve"> Alexander of Hales.</w:t>
      </w:r>
      <w:r w:rsidR="00166B90" w:rsidRPr="00A472FC">
        <w:rPr>
          <w:rStyle w:val="FootnoteReference"/>
          <w:rFonts w:ascii="Times New Roman" w:hAnsi="Times New Roman" w:cs="Times New Roman"/>
          <w:lang w:val="en-US"/>
        </w:rPr>
        <w:footnoteReference w:id="558"/>
      </w:r>
      <w:r w:rsidR="004C1CD7" w:rsidRPr="00A472FC">
        <w:rPr>
          <w:rFonts w:ascii="Times New Roman" w:hAnsi="Times New Roman" w:cs="Times New Roman"/>
          <w:lang w:val="en-US"/>
        </w:rPr>
        <w:t xml:space="preserve"> In his Glossa, Alexander </w:t>
      </w:r>
      <w:r w:rsidR="004C1CD7" w:rsidRPr="00A472FC">
        <w:rPr>
          <w:rFonts w:ascii="Times New Roman" w:hAnsi="Times New Roman" w:cs="Times New Roman"/>
          <w:kern w:val="1"/>
          <w:lang w:val="en-US"/>
        </w:rPr>
        <w:t>proposes a truly novel solution. This turns on a distinction between essence, substance, and subject.</w:t>
      </w:r>
      <w:r w:rsidR="004C1CD7" w:rsidRPr="00A472FC">
        <w:rPr>
          <w:rStyle w:val="FootnoteReference"/>
          <w:rFonts w:ascii="Times New Roman" w:hAnsi="Times New Roman" w:cs="Times New Roman"/>
          <w:kern w:val="1"/>
          <w:lang w:val="en-US"/>
        </w:rPr>
        <w:footnoteReference w:id="559"/>
      </w:r>
      <w:r w:rsidR="004C1CD7" w:rsidRPr="00A472FC">
        <w:rPr>
          <w:rFonts w:ascii="Times New Roman" w:hAnsi="Times New Roman" w:cs="Times New Roman"/>
          <w:kern w:val="1"/>
          <w:lang w:val="en-US"/>
        </w:rPr>
        <w:t xml:space="preserve"> The essence is the definition of a thing, which makes it what it is.</w:t>
      </w:r>
      <w:r w:rsidR="004C1CD7" w:rsidRPr="00A472FC">
        <w:rPr>
          <w:rStyle w:val="FootnoteReference"/>
          <w:rFonts w:ascii="Times New Roman" w:hAnsi="Times New Roman" w:cs="Times New Roman"/>
          <w:kern w:val="1"/>
          <w:lang w:val="en-US"/>
        </w:rPr>
        <w:footnoteReference w:id="560"/>
      </w:r>
      <w:r w:rsidR="004C1CD7" w:rsidRPr="00A472FC">
        <w:rPr>
          <w:rFonts w:ascii="Times New Roman" w:hAnsi="Times New Roman" w:cs="Times New Roman"/>
          <w:kern w:val="1"/>
          <w:lang w:val="en-US"/>
        </w:rPr>
        <w:t xml:space="preserve"> The substance is ‘</w:t>
      </w:r>
      <w:r w:rsidR="0076017A" w:rsidRPr="00A472FC">
        <w:rPr>
          <w:rFonts w:ascii="Times New Roman" w:hAnsi="Times New Roman" w:cs="Times New Roman"/>
          <w:kern w:val="1"/>
          <w:lang w:val="en-US"/>
        </w:rPr>
        <w:t xml:space="preserve">that to which certain things </w:t>
      </w:r>
      <w:proofErr w:type="spellStart"/>
      <w:r w:rsidR="0076017A" w:rsidRPr="00A472FC">
        <w:rPr>
          <w:rFonts w:ascii="Times New Roman" w:hAnsi="Times New Roman" w:cs="Times New Roman"/>
          <w:kern w:val="1"/>
          <w:lang w:val="en-US"/>
        </w:rPr>
        <w:t>advene</w:t>
      </w:r>
      <w:proofErr w:type="spellEnd"/>
      <w:r w:rsidR="0076017A" w:rsidRPr="00A472FC">
        <w:rPr>
          <w:rFonts w:ascii="Times New Roman" w:hAnsi="Times New Roman" w:cs="Times New Roman"/>
          <w:kern w:val="1"/>
          <w:lang w:val="en-US"/>
        </w:rPr>
        <w:t>, without any or all of which a thing can exist</w:t>
      </w:r>
      <w:r w:rsidR="004C1CD7" w:rsidRPr="00A472FC">
        <w:rPr>
          <w:rFonts w:ascii="Times New Roman" w:hAnsi="Times New Roman" w:cs="Times New Roman"/>
          <w:lang w:val="en-US"/>
        </w:rPr>
        <w:t>.’</w:t>
      </w:r>
      <w:r w:rsidR="004C1CD7" w:rsidRPr="00A472FC">
        <w:rPr>
          <w:rStyle w:val="FootnoteReference"/>
          <w:rFonts w:ascii="Times New Roman" w:hAnsi="Times New Roman" w:cs="Times New Roman"/>
          <w:lang w:val="en-US"/>
        </w:rPr>
        <w:footnoteReference w:id="561"/>
      </w:r>
      <w:r w:rsidR="004C1CD7" w:rsidRPr="00A472FC">
        <w:rPr>
          <w:rFonts w:ascii="Times New Roman" w:hAnsi="Times New Roman" w:cs="Times New Roman"/>
          <w:lang w:val="en-US"/>
        </w:rPr>
        <w:t xml:space="preserve"> Lastly, the subject is the ‘subsisting thing, complete with all its essential determinations, which constitutes the subject for accidental determinations.’</w:t>
      </w:r>
      <w:r w:rsidR="004C1CD7" w:rsidRPr="00A472FC">
        <w:rPr>
          <w:rStyle w:val="FootnoteReference"/>
          <w:rFonts w:ascii="Times New Roman" w:hAnsi="Times New Roman" w:cs="Times New Roman"/>
          <w:lang w:val="en-US"/>
        </w:rPr>
        <w:footnoteReference w:id="562"/>
      </w:r>
      <w:r w:rsidR="004C1CD7" w:rsidRPr="00A472FC">
        <w:rPr>
          <w:rFonts w:ascii="Times New Roman" w:hAnsi="Times New Roman" w:cs="Times New Roman"/>
          <w:lang w:val="en-US"/>
        </w:rPr>
        <w:t xml:space="preserve"> </w:t>
      </w:r>
    </w:p>
    <w:p w14:paraId="50AFCE4F" w14:textId="3DC6EC61" w:rsidR="004C1CD7" w:rsidRPr="00A472FC" w:rsidRDefault="004C1CD7" w:rsidP="008816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While in God, the rational powers of memory, understanding, and will are identical to the divine essence, this is not the case with human persons, whose powers are instead identical with their substance. After all, the soul could not be what it is or do what it does </w:t>
      </w:r>
      <w:r w:rsidRPr="00A472FC">
        <w:rPr>
          <w:rFonts w:ascii="Times New Roman" w:hAnsi="Times New Roman" w:cs="Times New Roman"/>
          <w:lang w:val="en-US"/>
        </w:rPr>
        <w:lastRenderedPageBreak/>
        <w:t>without its powers.</w:t>
      </w:r>
      <w:r w:rsidRPr="00A472FC">
        <w:rPr>
          <w:rStyle w:val="FootnoteReference"/>
          <w:rFonts w:ascii="Times New Roman" w:hAnsi="Times New Roman" w:cs="Times New Roman"/>
          <w:lang w:val="en-US"/>
        </w:rPr>
        <w:footnoteReference w:id="563"/>
      </w:r>
      <w:r w:rsidRPr="00A472FC">
        <w:rPr>
          <w:rFonts w:ascii="Times New Roman" w:hAnsi="Times New Roman" w:cs="Times New Roman"/>
          <w:lang w:val="en-US"/>
        </w:rPr>
        <w:t xml:space="preserve"> That, however, does not mean that the essence of the soul cannot be conceived without those powers; this essence involves something more than the rational powers, although Alexander does not really specify what that is. The implications of his thesis will become clearer in John of La Rochelle, as we will see. </w:t>
      </w:r>
    </w:p>
    <w:p w14:paraId="0FD92F42" w14:textId="77777777" w:rsidR="006963B9" w:rsidRPr="00A472FC" w:rsidRDefault="004C1CD7" w:rsidP="008816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For the moment, however, we can simply appreciate how relevant Alexander’s solution was to resolving concerns on both side</w:t>
      </w:r>
      <w:r w:rsidR="006D32D5" w:rsidRPr="00A472FC">
        <w:rPr>
          <w:rFonts w:ascii="Times New Roman" w:hAnsi="Times New Roman" w:cs="Times New Roman"/>
          <w:lang w:val="en-US"/>
        </w:rPr>
        <w:t>s</w:t>
      </w:r>
      <w:r w:rsidRPr="00A472FC">
        <w:rPr>
          <w:rFonts w:ascii="Times New Roman" w:hAnsi="Times New Roman" w:cs="Times New Roman"/>
          <w:lang w:val="en-US"/>
        </w:rPr>
        <w:t xml:space="preserve"> of the argument. On the one hand, he managed to distinguish human from divine powers once and for all. There is no risk in his account, as in most versions of the identity thesis, of suggesting that human beings, like God, have fully actualized cognitive potencies. On the other hand, Alexander finds a way of confirming that the powers are somehow essential to the soul’s being or operation in accordance with what it is. In affirming the unity of the powers with the substance of the soul, he asserts its overarching simplicity. </w:t>
      </w:r>
    </w:p>
    <w:p w14:paraId="5D00D2F7" w14:textId="77777777" w:rsidR="005005C2" w:rsidRPr="00A472FC" w:rsidRDefault="004C1CD7" w:rsidP="00EE045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In a remarkable turn of events, Philip </w:t>
      </w:r>
      <w:r w:rsidR="006963B9" w:rsidRPr="00A472FC">
        <w:rPr>
          <w:rFonts w:ascii="Times New Roman" w:hAnsi="Times New Roman" w:cs="Times New Roman"/>
          <w:lang w:val="en-US"/>
        </w:rPr>
        <w:t xml:space="preserve">the Chancellor </w:t>
      </w:r>
      <w:r w:rsidRPr="00A472FC">
        <w:rPr>
          <w:rFonts w:ascii="Times New Roman" w:hAnsi="Times New Roman" w:cs="Times New Roman"/>
          <w:lang w:val="en-US"/>
        </w:rPr>
        <w:t xml:space="preserve">adopted Alexander’s three-fold distinction in a later version of his </w:t>
      </w:r>
      <w:r w:rsidR="002F5841" w:rsidRPr="00A472FC">
        <w:rPr>
          <w:rFonts w:ascii="Times New Roman" w:hAnsi="Times New Roman" w:cs="Times New Roman"/>
          <w:i/>
          <w:iCs/>
          <w:lang w:val="en-US"/>
        </w:rPr>
        <w:t>Summa de bono</w:t>
      </w:r>
      <w:r w:rsidRPr="00A472FC">
        <w:rPr>
          <w:rFonts w:ascii="Times New Roman" w:hAnsi="Times New Roman" w:cs="Times New Roman"/>
          <w:lang w:val="en-US"/>
        </w:rPr>
        <w:t>, seemingly showing appreciation for its potential to address the contemporary debates.</w:t>
      </w:r>
      <w:r w:rsidRPr="00A472FC">
        <w:rPr>
          <w:rStyle w:val="FootnoteReference"/>
          <w:rFonts w:ascii="Times New Roman" w:hAnsi="Times New Roman" w:cs="Times New Roman"/>
          <w:kern w:val="1"/>
          <w:lang w:val="en-US"/>
        </w:rPr>
        <w:footnoteReference w:id="564"/>
      </w:r>
      <w:r w:rsidRPr="00A472FC">
        <w:rPr>
          <w:rFonts w:ascii="Times New Roman" w:hAnsi="Times New Roman" w:cs="Times New Roman"/>
          <w:kern w:val="1"/>
          <w:lang w:val="en-US"/>
        </w:rPr>
        <w:t xml:space="preserve"> </w:t>
      </w:r>
      <w:r w:rsidRPr="00A472FC">
        <w:rPr>
          <w:rFonts w:ascii="Times New Roman" w:hAnsi="Times New Roman" w:cs="Times New Roman"/>
          <w:lang w:val="en-US"/>
        </w:rPr>
        <w:t>However, he does not seem aware of the solution Alexander ultimately offered with that distinction. In his own account, he uses the terms ‘essence’ and ‘substance’ interchangeably and thus basically ends up with the identity thesis he had previously affirmed.</w:t>
      </w:r>
      <w:r w:rsidRPr="00A472FC">
        <w:rPr>
          <w:rStyle w:val="FootnoteReference"/>
          <w:rFonts w:ascii="Times New Roman" w:hAnsi="Times New Roman" w:cs="Times New Roman"/>
          <w:lang w:val="en-US"/>
        </w:rPr>
        <w:footnoteReference w:id="565"/>
      </w:r>
      <w:r w:rsidRPr="00A472FC">
        <w:rPr>
          <w:rFonts w:ascii="Times New Roman" w:hAnsi="Times New Roman" w:cs="Times New Roman"/>
          <w:lang w:val="en-US"/>
        </w:rPr>
        <w:t xml:space="preserve"> As Bieniak notes, his ignorance of Alexander’s novel solution may be due to the fact that Alexander and Philip were rough contemporaries. </w:t>
      </w:r>
    </w:p>
    <w:p w14:paraId="7423003B" w14:textId="5E600645" w:rsidR="004C1CD7" w:rsidRPr="00A472FC" w:rsidRDefault="004C1CD7" w:rsidP="00EE0454">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lang w:val="en-US"/>
        </w:rPr>
        <w:t>For this reason, Philip may have been privy to Alexander’s provisional teachings, without having access to the Franciscan’s conclusions when formulating his own.</w:t>
      </w:r>
      <w:r w:rsidR="00C40F9B" w:rsidRPr="00A472FC">
        <w:rPr>
          <w:rStyle w:val="FootnoteReference"/>
          <w:rFonts w:ascii="Times New Roman" w:hAnsi="Times New Roman" w:cs="Times New Roman"/>
          <w:kern w:val="1"/>
          <w:lang w:val="en-US"/>
        </w:rPr>
        <w:footnoteReference w:id="566"/>
      </w:r>
      <w:r w:rsidRPr="00A472FC">
        <w:rPr>
          <w:rFonts w:ascii="Times New Roman" w:hAnsi="Times New Roman" w:cs="Times New Roman"/>
          <w:lang w:val="en-US"/>
        </w:rPr>
        <w:t xml:space="preserve"> Whatever the reason, it is safe to say that the Franciscan order is ultimately to credit for a plausible solution to the problem, which was then further developed by John of La Rochelle in the </w:t>
      </w:r>
      <w:r w:rsidRPr="00A472FC">
        <w:rPr>
          <w:rFonts w:ascii="Times New Roman" w:hAnsi="Times New Roman" w:cs="Times New Roman"/>
          <w:i/>
          <w:lang w:val="en-US"/>
        </w:rPr>
        <w:t xml:space="preserve">Summa de anima. </w:t>
      </w:r>
      <w:r w:rsidRPr="00A472FC">
        <w:rPr>
          <w:rFonts w:ascii="Times New Roman" w:hAnsi="Times New Roman" w:cs="Times New Roman"/>
          <w:lang w:val="en-US"/>
        </w:rPr>
        <w:t xml:space="preserve">At the start of his discussion of this topic, </w:t>
      </w:r>
      <w:r w:rsidRPr="00A472FC">
        <w:rPr>
          <w:rFonts w:ascii="Times New Roman" w:hAnsi="Times New Roman" w:cs="Times New Roman"/>
          <w:kern w:val="1"/>
          <w:lang w:val="en-US"/>
        </w:rPr>
        <w:t xml:space="preserve">John </w:t>
      </w:r>
      <w:r w:rsidR="00872B8E" w:rsidRPr="00A472FC">
        <w:rPr>
          <w:rFonts w:ascii="Times New Roman" w:hAnsi="Times New Roman" w:cs="Times New Roman"/>
          <w:kern w:val="1"/>
          <w:lang w:val="en-US"/>
        </w:rPr>
        <w:t xml:space="preserve">adheres to the scholastic method of </w:t>
      </w:r>
      <w:r w:rsidR="00EE0454" w:rsidRPr="00A472FC">
        <w:rPr>
          <w:rFonts w:ascii="Times New Roman" w:hAnsi="Times New Roman" w:cs="Times New Roman"/>
          <w:kern w:val="1"/>
          <w:lang w:val="en-US"/>
        </w:rPr>
        <w:t xml:space="preserve">listing the reasons to support the </w:t>
      </w:r>
      <w:r w:rsidR="005005C2" w:rsidRPr="00A472FC">
        <w:rPr>
          <w:rFonts w:ascii="Times New Roman" w:hAnsi="Times New Roman" w:cs="Times New Roman"/>
          <w:kern w:val="1"/>
          <w:lang w:val="en-US"/>
        </w:rPr>
        <w:t>position that he himself ultimately opposes</w:t>
      </w:r>
      <w:r w:rsidR="00EE0454" w:rsidRPr="00A472FC">
        <w:rPr>
          <w:rFonts w:ascii="Times New Roman" w:hAnsi="Times New Roman" w:cs="Times New Roman"/>
          <w:kern w:val="1"/>
          <w:lang w:val="en-US"/>
        </w:rPr>
        <w:t xml:space="preserve">. </w:t>
      </w:r>
      <w:r w:rsidR="0075579E" w:rsidRPr="00A472FC">
        <w:rPr>
          <w:rFonts w:ascii="Times New Roman" w:hAnsi="Times New Roman" w:cs="Times New Roman"/>
          <w:kern w:val="1"/>
          <w:lang w:val="en-US"/>
        </w:rPr>
        <w:t>To this end, he cites DSEA 13 which</w:t>
      </w:r>
      <w:r w:rsidRPr="00A472FC">
        <w:rPr>
          <w:rFonts w:ascii="Times New Roman" w:hAnsi="Times New Roman" w:cs="Times New Roman"/>
          <w:kern w:val="1"/>
          <w:lang w:val="en-US"/>
        </w:rPr>
        <w:t xml:space="preserve"> states</w:t>
      </w:r>
      <w:r w:rsidR="00EE0454" w:rsidRPr="00A472FC">
        <w:rPr>
          <w:rFonts w:ascii="Times New Roman" w:hAnsi="Times New Roman" w:cs="Times New Roman"/>
          <w:kern w:val="1"/>
          <w:lang w:val="en-US"/>
        </w:rPr>
        <w:t>:</w:t>
      </w:r>
    </w:p>
    <w:p w14:paraId="7DCCDA2E" w14:textId="77777777" w:rsidR="004C1CD7" w:rsidRPr="00A472FC" w:rsidRDefault="004C1CD7" w:rsidP="00881604">
      <w:pPr>
        <w:autoSpaceDE w:val="0"/>
        <w:autoSpaceDN w:val="0"/>
        <w:adjustRightInd w:val="0"/>
        <w:ind w:right="-52"/>
        <w:rPr>
          <w:rFonts w:ascii="Times New Roman" w:hAnsi="Times New Roman" w:cs="Times New Roman"/>
          <w:kern w:val="1"/>
          <w:lang w:val="en-US"/>
        </w:rPr>
      </w:pPr>
    </w:p>
    <w:p w14:paraId="36DB1591" w14:textId="075B9FAA" w:rsidR="004C1CD7" w:rsidRPr="00A472FC" w:rsidRDefault="004C1CD7" w:rsidP="00881604">
      <w:pPr>
        <w:autoSpaceDE w:val="0"/>
        <w:autoSpaceDN w:val="0"/>
        <w:adjustRightInd w:val="0"/>
        <w:ind w:left="720" w:right="-52"/>
        <w:rPr>
          <w:rFonts w:ascii="Times New Roman" w:hAnsi="Times New Roman" w:cs="Times New Roman"/>
          <w:kern w:val="1"/>
          <w:lang w:val="en-US"/>
        </w:rPr>
      </w:pPr>
      <w:r w:rsidRPr="00A472FC">
        <w:rPr>
          <w:rFonts w:ascii="Times New Roman" w:hAnsi="Times New Roman" w:cs="Times New Roman"/>
          <w:kern w:val="1"/>
          <w:lang w:val="en-US"/>
        </w:rPr>
        <w:t xml:space="preserve">The soul according to its various offices is called by different names: it is called animated insofar as it performs the vegetable functions, sensible when it senses, and the soul when it acquires wisdom, the mind when it understands, reason when it discerns, memory when it retains, will when it chooses. These functions nevertheless do not differ in substance but only in name, because they are all </w:t>
      </w:r>
      <w:r w:rsidR="0012112E" w:rsidRPr="00A472FC">
        <w:rPr>
          <w:rFonts w:ascii="Times New Roman" w:hAnsi="Times New Roman" w:cs="Times New Roman"/>
          <w:kern w:val="1"/>
          <w:lang w:val="en-US"/>
        </w:rPr>
        <w:t xml:space="preserve">one [in the] </w:t>
      </w:r>
      <w:r w:rsidRPr="00A472FC">
        <w:rPr>
          <w:rFonts w:ascii="Times New Roman" w:hAnsi="Times New Roman" w:cs="Times New Roman"/>
          <w:kern w:val="1"/>
          <w:lang w:val="en-US"/>
        </w:rPr>
        <w:t xml:space="preserve">soul; they </w:t>
      </w:r>
      <w:r w:rsidR="003661B6" w:rsidRPr="00A472FC">
        <w:rPr>
          <w:rFonts w:ascii="Times New Roman" w:hAnsi="Times New Roman" w:cs="Times New Roman"/>
          <w:kern w:val="1"/>
          <w:lang w:val="en-US"/>
        </w:rPr>
        <w:t xml:space="preserve">are </w:t>
      </w:r>
      <w:r w:rsidRPr="00A472FC">
        <w:rPr>
          <w:rFonts w:ascii="Times New Roman" w:hAnsi="Times New Roman" w:cs="Times New Roman"/>
          <w:kern w:val="1"/>
          <w:lang w:val="en-US"/>
        </w:rPr>
        <w:t>diverse properties but one essence. Thus it remains that the soul is its powers and the converse.</w:t>
      </w:r>
      <w:r w:rsidRPr="00A472FC">
        <w:rPr>
          <w:rStyle w:val="FootnoteReference"/>
          <w:rFonts w:ascii="Times New Roman" w:hAnsi="Times New Roman" w:cs="Times New Roman"/>
          <w:kern w:val="1"/>
          <w:lang w:val="en-US"/>
        </w:rPr>
        <w:footnoteReference w:id="567"/>
      </w:r>
    </w:p>
    <w:p w14:paraId="0DD72316" w14:textId="77777777" w:rsidR="004C1CD7" w:rsidRPr="00A472FC" w:rsidRDefault="004C1CD7" w:rsidP="00881604">
      <w:pPr>
        <w:autoSpaceDE w:val="0"/>
        <w:autoSpaceDN w:val="0"/>
        <w:adjustRightInd w:val="0"/>
        <w:ind w:left="720" w:right="-52"/>
        <w:rPr>
          <w:rFonts w:ascii="Times New Roman" w:hAnsi="Times New Roman" w:cs="Times New Roman"/>
          <w:kern w:val="1"/>
          <w:lang w:val="en-US"/>
        </w:rPr>
      </w:pPr>
    </w:p>
    <w:p w14:paraId="17F4F7C8" w14:textId="0C1F54A4" w:rsidR="00EB428B" w:rsidRPr="00A472FC" w:rsidRDefault="00940162" w:rsidP="00872B8E">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t>In this connection</w:t>
      </w:r>
      <w:r w:rsidR="00EE0454" w:rsidRPr="00A472FC">
        <w:rPr>
          <w:rFonts w:ascii="Times New Roman" w:hAnsi="Times New Roman" w:cs="Times New Roman"/>
          <w:kern w:val="1"/>
          <w:lang w:val="en-US"/>
        </w:rPr>
        <w:t>, John cites a</w:t>
      </w:r>
      <w:r w:rsidR="000868EB" w:rsidRPr="00A472FC">
        <w:rPr>
          <w:rFonts w:ascii="Times New Roman" w:hAnsi="Times New Roman" w:cs="Times New Roman"/>
          <w:kern w:val="1"/>
          <w:lang w:val="en-US"/>
        </w:rPr>
        <w:t xml:space="preserve"> further</w:t>
      </w:r>
      <w:r w:rsidR="00EE0454" w:rsidRPr="00A472FC">
        <w:rPr>
          <w:rFonts w:ascii="Times New Roman" w:hAnsi="Times New Roman" w:cs="Times New Roman"/>
          <w:kern w:val="1"/>
          <w:lang w:val="en-US"/>
        </w:rPr>
        <w:t xml:space="preserve"> passage from the DSEA which list</w:t>
      </w:r>
      <w:r w:rsidR="00974261" w:rsidRPr="00A472FC">
        <w:rPr>
          <w:rFonts w:ascii="Times New Roman" w:hAnsi="Times New Roman" w:cs="Times New Roman"/>
          <w:kern w:val="1"/>
          <w:lang w:val="en-US"/>
        </w:rPr>
        <w:t xml:space="preserve"> powers of the soul as these five and </w:t>
      </w:r>
      <w:r w:rsidR="00810CCA" w:rsidRPr="00A472FC">
        <w:rPr>
          <w:rFonts w:ascii="Times New Roman" w:hAnsi="Times New Roman" w:cs="Times New Roman"/>
          <w:kern w:val="1"/>
          <w:lang w:val="en-US"/>
        </w:rPr>
        <w:t xml:space="preserve">affirms their identity: </w:t>
      </w:r>
      <w:r w:rsidR="004C1CD7" w:rsidRPr="00A472FC">
        <w:rPr>
          <w:rFonts w:ascii="Times New Roman" w:hAnsi="Times New Roman" w:cs="Times New Roman"/>
          <w:kern w:val="1"/>
          <w:lang w:val="en-US"/>
        </w:rPr>
        <w:t xml:space="preserve">sense, imagination, </w:t>
      </w:r>
      <w:r w:rsidR="004C1CD7" w:rsidRPr="00A472FC">
        <w:rPr>
          <w:rFonts w:ascii="Times New Roman" w:hAnsi="Times New Roman" w:cs="Times New Roman"/>
          <w:i/>
          <w:kern w:val="1"/>
          <w:lang w:val="en-US"/>
        </w:rPr>
        <w:t xml:space="preserve">ratio, </w:t>
      </w:r>
      <w:proofErr w:type="spellStart"/>
      <w:r w:rsidR="004C1CD7" w:rsidRPr="00A472FC">
        <w:rPr>
          <w:rFonts w:ascii="Times New Roman" w:hAnsi="Times New Roman" w:cs="Times New Roman"/>
          <w:i/>
          <w:kern w:val="1"/>
          <w:lang w:val="en-US"/>
        </w:rPr>
        <w:t>intellectus</w:t>
      </w:r>
      <w:proofErr w:type="spellEnd"/>
      <w:r w:rsidR="004C1CD7" w:rsidRPr="00A472FC">
        <w:rPr>
          <w:rFonts w:ascii="Times New Roman" w:hAnsi="Times New Roman" w:cs="Times New Roman"/>
          <w:i/>
          <w:kern w:val="1"/>
          <w:lang w:val="en-US"/>
        </w:rPr>
        <w:t xml:space="preserve">, </w:t>
      </w:r>
      <w:proofErr w:type="spellStart"/>
      <w:r w:rsidR="004C1CD7" w:rsidRPr="00A472FC">
        <w:rPr>
          <w:rFonts w:ascii="Times New Roman" w:hAnsi="Times New Roman" w:cs="Times New Roman"/>
          <w:i/>
          <w:kern w:val="1"/>
          <w:lang w:val="en-US"/>
        </w:rPr>
        <w:t>intelligentia</w:t>
      </w:r>
      <w:proofErr w:type="spellEnd"/>
      <w:r w:rsidR="004C1CD7" w:rsidRPr="00A472FC">
        <w:rPr>
          <w:rFonts w:ascii="Times New Roman" w:hAnsi="Times New Roman" w:cs="Times New Roman"/>
          <w:kern w:val="1"/>
          <w:lang w:val="en-US"/>
        </w:rPr>
        <w:t xml:space="preserve">. </w:t>
      </w:r>
      <w:r w:rsidR="006A7BA9" w:rsidRPr="00A472FC">
        <w:rPr>
          <w:rFonts w:ascii="Times New Roman" w:hAnsi="Times New Roman" w:cs="Times New Roman"/>
          <w:kern w:val="1"/>
          <w:lang w:val="en-US"/>
        </w:rPr>
        <w:t xml:space="preserve">He then </w:t>
      </w:r>
      <w:r w:rsidR="00C468EE" w:rsidRPr="00A472FC">
        <w:rPr>
          <w:rFonts w:ascii="Times New Roman" w:hAnsi="Times New Roman" w:cs="Times New Roman"/>
          <w:kern w:val="1"/>
          <w:lang w:val="en-US"/>
        </w:rPr>
        <w:t>outlines another</w:t>
      </w:r>
      <w:r w:rsidR="006A7BA9" w:rsidRPr="00A472FC">
        <w:rPr>
          <w:rFonts w:ascii="Times New Roman" w:hAnsi="Times New Roman" w:cs="Times New Roman"/>
          <w:kern w:val="1"/>
          <w:lang w:val="en-US"/>
        </w:rPr>
        <w:t xml:space="preserve"> argument that was very commonly used </w:t>
      </w:r>
      <w:r w:rsidR="000B634A" w:rsidRPr="00A472FC">
        <w:rPr>
          <w:rFonts w:ascii="Times New Roman" w:hAnsi="Times New Roman" w:cs="Times New Roman"/>
          <w:kern w:val="1"/>
          <w:lang w:val="en-US"/>
        </w:rPr>
        <w:t xml:space="preserve">to support the identity thesis </w:t>
      </w:r>
      <w:r w:rsidR="006A7BA9" w:rsidRPr="00A472FC">
        <w:rPr>
          <w:rFonts w:ascii="Times New Roman" w:hAnsi="Times New Roman" w:cs="Times New Roman"/>
          <w:kern w:val="1"/>
          <w:lang w:val="en-US"/>
        </w:rPr>
        <w:t xml:space="preserve">in the scholastic texts we have </w:t>
      </w:r>
      <w:r w:rsidR="001B5E07" w:rsidRPr="00A472FC">
        <w:rPr>
          <w:rFonts w:ascii="Times New Roman" w:hAnsi="Times New Roman" w:cs="Times New Roman"/>
          <w:kern w:val="1"/>
          <w:lang w:val="en-US"/>
        </w:rPr>
        <w:t>been discussing</w:t>
      </w:r>
      <w:r w:rsidR="006A7BA9" w:rsidRPr="00A472FC">
        <w:rPr>
          <w:rFonts w:ascii="Times New Roman" w:hAnsi="Times New Roman" w:cs="Times New Roman"/>
          <w:kern w:val="1"/>
          <w:lang w:val="en-US"/>
        </w:rPr>
        <w:t xml:space="preserve">. This turns on the assumption that the soul has the potential to receive </w:t>
      </w:r>
      <w:r w:rsidR="00681546" w:rsidRPr="00A472FC">
        <w:rPr>
          <w:rFonts w:ascii="Times New Roman" w:hAnsi="Times New Roman" w:cs="Times New Roman"/>
          <w:kern w:val="1"/>
          <w:lang w:val="en-US"/>
        </w:rPr>
        <w:t>all species of things, just as</w:t>
      </w:r>
      <w:r w:rsidR="004C1CD7" w:rsidRPr="00A472FC">
        <w:rPr>
          <w:rFonts w:ascii="Times New Roman" w:hAnsi="Times New Roman" w:cs="Times New Roman"/>
          <w:kern w:val="1"/>
          <w:lang w:val="en-US"/>
        </w:rPr>
        <w:t xml:space="preserve"> matter has the potential to receive all natural forms. </w:t>
      </w:r>
      <w:r w:rsidR="006A7BA9" w:rsidRPr="00A472FC">
        <w:rPr>
          <w:rFonts w:ascii="Times New Roman" w:hAnsi="Times New Roman" w:cs="Times New Roman"/>
          <w:kern w:val="1"/>
          <w:lang w:val="en-US"/>
        </w:rPr>
        <w:t xml:space="preserve">On the grounds that the ability to receive all sensible species is the very definition of the soul, John </w:t>
      </w:r>
      <w:r w:rsidR="00C05D54" w:rsidRPr="00A472FC">
        <w:rPr>
          <w:rFonts w:ascii="Times New Roman" w:hAnsi="Times New Roman" w:cs="Times New Roman"/>
          <w:kern w:val="1"/>
          <w:lang w:val="en-US"/>
        </w:rPr>
        <w:t xml:space="preserve">mentions the conclusion of his opponents </w:t>
      </w:r>
      <w:r w:rsidR="006A7BA9" w:rsidRPr="00A472FC">
        <w:rPr>
          <w:rFonts w:ascii="Times New Roman" w:hAnsi="Times New Roman" w:cs="Times New Roman"/>
          <w:kern w:val="1"/>
          <w:lang w:val="en-US"/>
        </w:rPr>
        <w:t xml:space="preserve">that the soul must be identical </w:t>
      </w:r>
      <w:r w:rsidR="001B0317" w:rsidRPr="00A472FC">
        <w:rPr>
          <w:rFonts w:ascii="Times New Roman" w:hAnsi="Times New Roman" w:cs="Times New Roman"/>
          <w:kern w:val="1"/>
          <w:lang w:val="en-US"/>
        </w:rPr>
        <w:t>with the</w:t>
      </w:r>
      <w:r w:rsidR="006A7BA9" w:rsidRPr="00A472FC">
        <w:rPr>
          <w:rFonts w:ascii="Times New Roman" w:hAnsi="Times New Roman" w:cs="Times New Roman"/>
          <w:kern w:val="1"/>
          <w:lang w:val="en-US"/>
        </w:rPr>
        <w:t xml:space="preserve"> powers by which it receives these species. </w:t>
      </w:r>
    </w:p>
    <w:p w14:paraId="3F5C42F2" w14:textId="61971478" w:rsidR="0016089B" w:rsidRPr="00A472FC" w:rsidRDefault="0062085B" w:rsidP="0016089B">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t>In entertaining the other side of the argument</w:t>
      </w:r>
      <w:r w:rsidR="004C1CD7" w:rsidRPr="00A472FC">
        <w:rPr>
          <w:rFonts w:ascii="Times New Roman" w:hAnsi="Times New Roman" w:cs="Times New Roman"/>
          <w:kern w:val="1"/>
          <w:lang w:val="en-US"/>
        </w:rPr>
        <w:t xml:space="preserve">, </w:t>
      </w:r>
      <w:r w:rsidR="00EB428B" w:rsidRPr="00A472FC">
        <w:rPr>
          <w:rFonts w:ascii="Times New Roman" w:hAnsi="Times New Roman" w:cs="Times New Roman"/>
          <w:kern w:val="1"/>
          <w:lang w:val="en-US"/>
        </w:rPr>
        <w:t xml:space="preserve">and advancing his own view, </w:t>
      </w:r>
      <w:r w:rsidR="004C1CD7" w:rsidRPr="00A472FC">
        <w:rPr>
          <w:rFonts w:ascii="Times New Roman" w:hAnsi="Times New Roman" w:cs="Times New Roman"/>
          <w:kern w:val="1"/>
          <w:lang w:val="en-US"/>
        </w:rPr>
        <w:t xml:space="preserve">however, </w:t>
      </w:r>
      <w:r w:rsidRPr="00A472FC">
        <w:rPr>
          <w:rFonts w:ascii="Times New Roman" w:hAnsi="Times New Roman" w:cs="Times New Roman"/>
          <w:kern w:val="1"/>
          <w:lang w:val="en-US"/>
        </w:rPr>
        <w:t>John</w:t>
      </w:r>
      <w:r w:rsidR="000B634A" w:rsidRPr="00A472FC">
        <w:rPr>
          <w:rFonts w:ascii="Times New Roman" w:hAnsi="Times New Roman" w:cs="Times New Roman"/>
          <w:kern w:val="1"/>
          <w:lang w:val="en-US"/>
        </w:rPr>
        <w:t xml:space="preserve"> acknowledges that</w:t>
      </w:r>
      <w:r w:rsidR="004C1CD7" w:rsidRPr="00A472FC">
        <w:rPr>
          <w:rFonts w:ascii="Times New Roman" w:hAnsi="Times New Roman" w:cs="Times New Roman"/>
          <w:kern w:val="1"/>
          <w:lang w:val="en-US"/>
        </w:rPr>
        <w:t xml:space="preserve"> essence and operation are only the same in God</w:t>
      </w:r>
      <w:r w:rsidR="006D24BC" w:rsidRPr="00A472FC">
        <w:rPr>
          <w:rFonts w:ascii="Times New Roman" w:hAnsi="Times New Roman" w:cs="Times New Roman"/>
          <w:kern w:val="1"/>
          <w:lang w:val="en-US"/>
        </w:rPr>
        <w:t>. This means that</w:t>
      </w:r>
      <w:r w:rsidRPr="00A472FC">
        <w:rPr>
          <w:rFonts w:ascii="Times New Roman" w:hAnsi="Times New Roman" w:cs="Times New Roman"/>
          <w:kern w:val="1"/>
          <w:lang w:val="en-US"/>
        </w:rPr>
        <w:t xml:space="preserve"> </w:t>
      </w:r>
      <w:r w:rsidR="006D24BC" w:rsidRPr="00A472FC">
        <w:rPr>
          <w:rFonts w:ascii="Times New Roman" w:hAnsi="Times New Roman" w:cs="Times New Roman"/>
          <w:kern w:val="1"/>
          <w:lang w:val="en-US"/>
        </w:rPr>
        <w:t>his</w:t>
      </w:r>
      <w:r w:rsidRPr="00A472FC">
        <w:rPr>
          <w:rFonts w:ascii="Times New Roman" w:hAnsi="Times New Roman" w:cs="Times New Roman"/>
          <w:kern w:val="1"/>
          <w:lang w:val="en-US"/>
        </w:rPr>
        <w:t xml:space="preserve"> powers</w:t>
      </w:r>
      <w:r w:rsidR="006D24BC" w:rsidRPr="00A472FC">
        <w:rPr>
          <w:rFonts w:ascii="Times New Roman" w:hAnsi="Times New Roman" w:cs="Times New Roman"/>
          <w:kern w:val="1"/>
          <w:lang w:val="en-US"/>
        </w:rPr>
        <w:t>—and his alone--</w:t>
      </w:r>
      <w:r w:rsidRPr="00A472FC">
        <w:rPr>
          <w:rFonts w:ascii="Times New Roman" w:hAnsi="Times New Roman" w:cs="Times New Roman"/>
          <w:kern w:val="1"/>
          <w:lang w:val="en-US"/>
        </w:rPr>
        <w:t xml:space="preserve">are unlimited and always in </w:t>
      </w:r>
      <w:r w:rsidR="006D24BC" w:rsidRPr="00A472FC">
        <w:rPr>
          <w:rFonts w:ascii="Times New Roman" w:hAnsi="Times New Roman" w:cs="Times New Roman"/>
          <w:kern w:val="1"/>
          <w:lang w:val="en-US"/>
        </w:rPr>
        <w:t>act</w:t>
      </w:r>
      <w:r w:rsidR="006C4017" w:rsidRPr="00A472FC">
        <w:rPr>
          <w:rFonts w:ascii="Times New Roman" w:hAnsi="Times New Roman" w:cs="Times New Roman"/>
          <w:kern w:val="1"/>
          <w:lang w:val="en-US"/>
        </w:rPr>
        <w:t xml:space="preserve">, by contrast to human powers, which are limited and must be exercised and developed in time rather than all at once. </w:t>
      </w:r>
      <w:r w:rsidR="006D24BC" w:rsidRPr="00A472FC">
        <w:rPr>
          <w:rFonts w:ascii="Times New Roman" w:hAnsi="Times New Roman" w:cs="Times New Roman"/>
          <w:kern w:val="1"/>
          <w:lang w:val="en-US"/>
        </w:rPr>
        <w:t xml:space="preserve">From this </w:t>
      </w:r>
      <w:r w:rsidR="0039601F" w:rsidRPr="00A472FC">
        <w:rPr>
          <w:rFonts w:ascii="Times New Roman" w:hAnsi="Times New Roman" w:cs="Times New Roman"/>
          <w:kern w:val="1"/>
          <w:lang w:val="en-US"/>
        </w:rPr>
        <w:t xml:space="preserve">distinction between humans and God, John infers that </w:t>
      </w:r>
      <w:r w:rsidR="006D24BC" w:rsidRPr="00A472FC">
        <w:rPr>
          <w:rFonts w:ascii="Times New Roman" w:hAnsi="Times New Roman" w:cs="Times New Roman"/>
          <w:kern w:val="1"/>
          <w:lang w:val="en-US"/>
        </w:rPr>
        <w:t xml:space="preserve">God is the only one </w:t>
      </w:r>
      <w:r w:rsidR="007A6C07" w:rsidRPr="00A472FC">
        <w:rPr>
          <w:rFonts w:ascii="Times New Roman" w:hAnsi="Times New Roman" w:cs="Times New Roman"/>
          <w:kern w:val="1"/>
          <w:lang w:val="en-US"/>
        </w:rPr>
        <w:t xml:space="preserve">in whom essence and powers are the same. </w:t>
      </w:r>
      <w:r w:rsidR="004C1CD7" w:rsidRPr="00A472FC">
        <w:rPr>
          <w:rFonts w:ascii="Times New Roman" w:hAnsi="Times New Roman" w:cs="Times New Roman"/>
          <w:kern w:val="1"/>
          <w:lang w:val="en-US"/>
        </w:rPr>
        <w:t xml:space="preserve">In place of the idea that the essence of the soul is identical with its powers, John proposes that the substance of the soul is identical with its powers, a position he clearly derived from Alexander of Hales. According to John, this is what Augustine taught in the aforementioned passages, namely, </w:t>
      </w:r>
      <w:r w:rsidR="0016089B" w:rsidRPr="00A472FC">
        <w:rPr>
          <w:rFonts w:ascii="Times New Roman" w:hAnsi="Times New Roman" w:cs="Times New Roman"/>
          <w:kern w:val="1"/>
          <w:lang w:val="en-US"/>
        </w:rPr>
        <w:t xml:space="preserve">that there is </w:t>
      </w:r>
      <w:r w:rsidR="004C1CD7" w:rsidRPr="00A472FC">
        <w:rPr>
          <w:rFonts w:ascii="Times New Roman" w:hAnsi="Times New Roman" w:cs="Times New Roman"/>
          <w:kern w:val="1"/>
          <w:lang w:val="en-US"/>
        </w:rPr>
        <w:t>an identity between the substance of the soul and its powers, not its essence.</w:t>
      </w:r>
      <w:r w:rsidR="004C1CD7" w:rsidRPr="00A472FC">
        <w:rPr>
          <w:rStyle w:val="FootnoteReference"/>
          <w:rFonts w:ascii="Times New Roman" w:hAnsi="Times New Roman" w:cs="Times New Roman"/>
          <w:kern w:val="1"/>
          <w:lang w:val="en-US"/>
        </w:rPr>
        <w:footnoteReference w:id="568"/>
      </w:r>
      <w:r w:rsidR="001A15C0" w:rsidRPr="00A472FC">
        <w:rPr>
          <w:rFonts w:ascii="Times New Roman" w:hAnsi="Times New Roman" w:cs="Times New Roman"/>
          <w:kern w:val="1"/>
          <w:lang w:val="en-US"/>
        </w:rPr>
        <w:t xml:space="preserve"> </w:t>
      </w:r>
    </w:p>
    <w:p w14:paraId="5DA7554C" w14:textId="3C8540EA" w:rsidR="004C1CD7" w:rsidRPr="00A472FC" w:rsidRDefault="001A15C0" w:rsidP="0016089B">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t xml:space="preserve">This </w:t>
      </w:r>
      <w:r w:rsidR="0016089B" w:rsidRPr="00A472FC">
        <w:rPr>
          <w:rFonts w:ascii="Times New Roman" w:hAnsi="Times New Roman" w:cs="Times New Roman"/>
          <w:kern w:val="1"/>
          <w:lang w:val="en-US"/>
        </w:rPr>
        <w:t xml:space="preserve">conclusion </w:t>
      </w:r>
      <w:r w:rsidRPr="00A472FC">
        <w:rPr>
          <w:rFonts w:ascii="Times New Roman" w:hAnsi="Times New Roman" w:cs="Times New Roman"/>
          <w:kern w:val="1"/>
          <w:lang w:val="en-US"/>
        </w:rPr>
        <w:t xml:space="preserve">however leaves open the question what the essence of the soul entails </w:t>
      </w:r>
      <w:r w:rsidR="00705957" w:rsidRPr="00A472FC">
        <w:rPr>
          <w:rFonts w:ascii="Times New Roman" w:hAnsi="Times New Roman" w:cs="Times New Roman"/>
          <w:kern w:val="1"/>
          <w:lang w:val="en-US"/>
        </w:rPr>
        <w:t>for John and early Franciscans more generally</w:t>
      </w:r>
      <w:r w:rsidRPr="00A472FC">
        <w:rPr>
          <w:rFonts w:ascii="Times New Roman" w:hAnsi="Times New Roman" w:cs="Times New Roman"/>
          <w:kern w:val="1"/>
          <w:lang w:val="en-US"/>
        </w:rPr>
        <w:t xml:space="preserve">. </w:t>
      </w:r>
      <w:r w:rsidR="004C1CD7" w:rsidRPr="00A472FC">
        <w:rPr>
          <w:rFonts w:ascii="Times New Roman" w:hAnsi="Times New Roman" w:cs="Times New Roman"/>
          <w:kern w:val="1"/>
          <w:lang w:val="en-US"/>
        </w:rPr>
        <w:t xml:space="preserve">On the ground that John affirms the </w:t>
      </w:r>
      <w:proofErr w:type="spellStart"/>
      <w:r w:rsidR="004C1CD7" w:rsidRPr="00A472FC">
        <w:rPr>
          <w:rFonts w:ascii="Times New Roman" w:hAnsi="Times New Roman" w:cs="Times New Roman"/>
          <w:i/>
          <w:lang w:val="en-US"/>
        </w:rPr>
        <w:t>unibilitas</w:t>
      </w:r>
      <w:proofErr w:type="spellEnd"/>
      <w:r w:rsidR="004C1CD7" w:rsidRPr="00A472FC">
        <w:rPr>
          <w:rFonts w:ascii="Times New Roman" w:hAnsi="Times New Roman" w:cs="Times New Roman"/>
          <w:i/>
          <w:lang w:val="en-US"/>
        </w:rPr>
        <w:t xml:space="preserve"> </w:t>
      </w:r>
      <w:proofErr w:type="spellStart"/>
      <w:r w:rsidR="004C1CD7" w:rsidRPr="00A472FC">
        <w:rPr>
          <w:rFonts w:ascii="Times New Roman" w:hAnsi="Times New Roman" w:cs="Times New Roman"/>
          <w:i/>
          <w:lang w:val="en-US"/>
        </w:rPr>
        <w:t>substantialis</w:t>
      </w:r>
      <w:proofErr w:type="spellEnd"/>
      <w:r w:rsidR="004C1CD7" w:rsidRPr="00A472FC">
        <w:rPr>
          <w:rFonts w:ascii="Times New Roman" w:hAnsi="Times New Roman" w:cs="Times New Roman"/>
          <w:i/>
          <w:lang w:val="en-US"/>
        </w:rPr>
        <w:t xml:space="preserve"> </w:t>
      </w:r>
      <w:r w:rsidR="004C1CD7" w:rsidRPr="00A472FC">
        <w:rPr>
          <w:rFonts w:ascii="Times New Roman" w:hAnsi="Times New Roman" w:cs="Times New Roman"/>
          <w:lang w:val="en-US"/>
        </w:rPr>
        <w:t>theory, Bieniak suggests that the essence of the soul may simply consist</w:t>
      </w:r>
      <w:r w:rsidR="002E1519" w:rsidRPr="00A472FC">
        <w:rPr>
          <w:rFonts w:ascii="Times New Roman" w:hAnsi="Times New Roman" w:cs="Times New Roman"/>
          <w:lang w:val="en-US"/>
        </w:rPr>
        <w:t xml:space="preserve"> </w:t>
      </w:r>
      <w:r w:rsidR="004C1CD7" w:rsidRPr="00A472FC">
        <w:rPr>
          <w:rFonts w:ascii="Times New Roman" w:hAnsi="Times New Roman" w:cs="Times New Roman"/>
          <w:lang w:val="en-US"/>
        </w:rPr>
        <w:t xml:space="preserve">in its being </w:t>
      </w:r>
      <w:proofErr w:type="spellStart"/>
      <w:r w:rsidR="004C1CD7" w:rsidRPr="00A472FC">
        <w:rPr>
          <w:rFonts w:ascii="Times New Roman" w:hAnsi="Times New Roman" w:cs="Times New Roman"/>
          <w:lang w:val="en-US"/>
        </w:rPr>
        <w:t>unitable</w:t>
      </w:r>
      <w:proofErr w:type="spellEnd"/>
      <w:r w:rsidR="004C1CD7" w:rsidRPr="00A472FC">
        <w:rPr>
          <w:rFonts w:ascii="Times New Roman" w:hAnsi="Times New Roman" w:cs="Times New Roman"/>
          <w:lang w:val="en-US"/>
        </w:rPr>
        <w:t xml:space="preserve"> to the body. </w:t>
      </w:r>
      <w:r w:rsidR="004C1CD7" w:rsidRPr="00A472FC">
        <w:rPr>
          <w:rFonts w:ascii="Times New Roman" w:hAnsi="Times New Roman" w:cs="Times New Roman"/>
          <w:kern w:val="1"/>
          <w:lang w:val="en-US"/>
        </w:rPr>
        <w:t xml:space="preserve">As she notes, this conclusion finds support in the </w:t>
      </w:r>
      <w:r w:rsidR="004C1CD7" w:rsidRPr="00A472FC">
        <w:rPr>
          <w:rFonts w:ascii="Times New Roman" w:hAnsi="Times New Roman" w:cs="Times New Roman"/>
          <w:i/>
          <w:kern w:val="1"/>
          <w:lang w:val="en-US"/>
        </w:rPr>
        <w:t>Summa de anima</w:t>
      </w:r>
      <w:r w:rsidR="004C1CD7" w:rsidRPr="00A472FC">
        <w:rPr>
          <w:rFonts w:ascii="Times New Roman" w:hAnsi="Times New Roman" w:cs="Times New Roman"/>
          <w:iCs/>
          <w:kern w:val="1"/>
          <w:lang w:val="en-US"/>
        </w:rPr>
        <w:t xml:space="preserve">, </w:t>
      </w:r>
      <w:r w:rsidR="004C1CD7" w:rsidRPr="00A472FC">
        <w:rPr>
          <w:rFonts w:ascii="Times New Roman" w:hAnsi="Times New Roman" w:cs="Times New Roman"/>
          <w:kern w:val="1"/>
          <w:lang w:val="en-US"/>
        </w:rPr>
        <w:t>where John states that ‘</w:t>
      </w:r>
      <w:r w:rsidR="004C1CD7" w:rsidRPr="00A472FC">
        <w:rPr>
          <w:rFonts w:ascii="Times New Roman" w:hAnsi="Times New Roman" w:cs="Times New Roman"/>
          <w:lang w:val="en-US"/>
        </w:rPr>
        <w:t xml:space="preserve">the soul that is united with the body through its own </w:t>
      </w:r>
      <w:proofErr w:type="spellStart"/>
      <w:r w:rsidR="004C1CD7" w:rsidRPr="00A472FC">
        <w:rPr>
          <w:rFonts w:ascii="Times New Roman" w:hAnsi="Times New Roman" w:cs="Times New Roman"/>
          <w:i/>
          <w:lang w:val="en-US"/>
        </w:rPr>
        <w:t>unibilitas</w:t>
      </w:r>
      <w:proofErr w:type="spellEnd"/>
      <w:r w:rsidR="004C1CD7" w:rsidRPr="00A472FC">
        <w:rPr>
          <w:rFonts w:ascii="Times New Roman" w:hAnsi="Times New Roman" w:cs="Times New Roman"/>
          <w:lang w:val="en-US"/>
        </w:rPr>
        <w:t>, is united with the body with its own essence.’</w:t>
      </w:r>
      <w:r w:rsidR="004C1CD7" w:rsidRPr="00A472FC">
        <w:rPr>
          <w:rStyle w:val="FootnoteReference"/>
          <w:rFonts w:ascii="Times New Roman" w:hAnsi="Times New Roman" w:cs="Times New Roman"/>
          <w:lang w:val="en-US"/>
        </w:rPr>
        <w:footnoteReference w:id="569"/>
      </w:r>
      <w:r w:rsidR="004C1CD7" w:rsidRPr="00A472FC">
        <w:rPr>
          <w:rFonts w:ascii="Times New Roman" w:hAnsi="Times New Roman" w:cs="Times New Roman"/>
          <w:lang w:val="en-US"/>
        </w:rPr>
        <w:t xml:space="preserve"> To be human in essence, </w:t>
      </w:r>
      <w:r w:rsidR="00B24605" w:rsidRPr="00A472FC">
        <w:rPr>
          <w:rFonts w:ascii="Times New Roman" w:hAnsi="Times New Roman" w:cs="Times New Roman"/>
          <w:lang w:val="en-US"/>
        </w:rPr>
        <w:t xml:space="preserve">or at least one essential aspect of being human, </w:t>
      </w:r>
      <w:r w:rsidR="004C1CD7" w:rsidRPr="00A472FC">
        <w:rPr>
          <w:rFonts w:ascii="Times New Roman" w:hAnsi="Times New Roman" w:cs="Times New Roman"/>
          <w:lang w:val="en-US"/>
        </w:rPr>
        <w:t>in summary, is to occupy a distinctly human body</w:t>
      </w:r>
      <w:r w:rsidR="002E1519" w:rsidRPr="00A472FC">
        <w:rPr>
          <w:rFonts w:ascii="Times New Roman" w:hAnsi="Times New Roman" w:cs="Times New Roman"/>
          <w:lang w:val="en-US"/>
        </w:rPr>
        <w:t xml:space="preserve">. </w:t>
      </w:r>
      <w:r w:rsidR="00705957" w:rsidRPr="00A472FC">
        <w:rPr>
          <w:rFonts w:ascii="Times New Roman" w:hAnsi="Times New Roman" w:cs="Times New Roman"/>
          <w:lang w:val="en-US"/>
        </w:rPr>
        <w:t>The fact of embodiment is indeed</w:t>
      </w:r>
      <w:r w:rsidR="002E1519" w:rsidRPr="00A472FC">
        <w:rPr>
          <w:rFonts w:ascii="Times New Roman" w:hAnsi="Times New Roman" w:cs="Times New Roman"/>
          <w:lang w:val="en-US"/>
        </w:rPr>
        <w:t xml:space="preserve"> something that is proper to all humans</w:t>
      </w:r>
      <w:r w:rsidR="00705957" w:rsidRPr="00A472FC">
        <w:rPr>
          <w:rFonts w:ascii="Times New Roman" w:hAnsi="Times New Roman" w:cs="Times New Roman"/>
          <w:lang w:val="en-US"/>
        </w:rPr>
        <w:t>, even though they subsist as humans—or employ the rational powers—in different ways which are specific to them as individuals.</w:t>
      </w:r>
    </w:p>
    <w:p w14:paraId="778026B0" w14:textId="77777777" w:rsidR="004C1CD7" w:rsidRPr="00A472FC" w:rsidRDefault="004C1CD7" w:rsidP="00881604">
      <w:pPr>
        <w:autoSpaceDE w:val="0"/>
        <w:autoSpaceDN w:val="0"/>
        <w:adjustRightInd w:val="0"/>
        <w:ind w:right="-52"/>
        <w:rPr>
          <w:rFonts w:ascii="Times New Roman" w:hAnsi="Times New Roman" w:cs="Times New Roman"/>
          <w:kern w:val="1"/>
          <w:lang w:val="en-US"/>
        </w:rPr>
      </w:pPr>
    </w:p>
    <w:p w14:paraId="0A59253A" w14:textId="35E5D935" w:rsidR="004C1CD7" w:rsidRPr="00A472FC" w:rsidRDefault="004C1CD7" w:rsidP="00881604">
      <w:pPr>
        <w:ind w:right="-52"/>
        <w:rPr>
          <w:rFonts w:ascii="Times New Roman" w:hAnsi="Times New Roman" w:cs="Times New Roman"/>
          <w:u w:val="single"/>
        </w:rPr>
      </w:pPr>
      <w:r w:rsidRPr="00A472FC">
        <w:rPr>
          <w:rFonts w:ascii="Times New Roman" w:hAnsi="Times New Roman" w:cs="Times New Roman"/>
          <w:u w:val="single"/>
        </w:rPr>
        <w:t xml:space="preserve">The Identity of the Soul and </w:t>
      </w:r>
      <w:r w:rsidR="00F17632" w:rsidRPr="00A472FC">
        <w:rPr>
          <w:rFonts w:ascii="Times New Roman" w:hAnsi="Times New Roman" w:cs="Times New Roman"/>
          <w:u w:val="single"/>
        </w:rPr>
        <w:t>i</w:t>
      </w:r>
      <w:r w:rsidRPr="00A472FC">
        <w:rPr>
          <w:rFonts w:ascii="Times New Roman" w:hAnsi="Times New Roman" w:cs="Times New Roman"/>
          <w:u w:val="single"/>
        </w:rPr>
        <w:t xml:space="preserve">ts Powers in the </w:t>
      </w:r>
      <w:r w:rsidRPr="00A472FC">
        <w:rPr>
          <w:rFonts w:ascii="Times New Roman" w:hAnsi="Times New Roman" w:cs="Times New Roman"/>
          <w:i/>
          <w:u w:val="single"/>
        </w:rPr>
        <w:t xml:space="preserve">Summa </w:t>
      </w:r>
      <w:proofErr w:type="spellStart"/>
      <w:r w:rsidRPr="00A472FC">
        <w:rPr>
          <w:rFonts w:ascii="Times New Roman" w:hAnsi="Times New Roman" w:cs="Times New Roman"/>
          <w:i/>
          <w:u w:val="single"/>
        </w:rPr>
        <w:t>Halensis</w:t>
      </w:r>
      <w:proofErr w:type="spellEnd"/>
    </w:p>
    <w:p w14:paraId="18F5DC24" w14:textId="77777777" w:rsidR="004C1CD7" w:rsidRPr="00A472FC" w:rsidRDefault="004C1CD7" w:rsidP="00881604">
      <w:pPr>
        <w:ind w:right="-52"/>
        <w:rPr>
          <w:rFonts w:ascii="Times New Roman" w:hAnsi="Times New Roman" w:cs="Times New Roman"/>
        </w:rPr>
      </w:pPr>
    </w:p>
    <w:p w14:paraId="2B0B2227" w14:textId="58461024" w:rsidR="004C1CD7" w:rsidRPr="00A472FC" w:rsidRDefault="004C1CD7" w:rsidP="00881604">
      <w:pPr>
        <w:ind w:right="-52" w:firstLine="720"/>
        <w:rPr>
          <w:rFonts w:ascii="Times New Roman" w:hAnsi="Times New Roman" w:cs="Times New Roman"/>
          <w:i/>
        </w:rPr>
      </w:pPr>
      <w:r w:rsidRPr="00A472FC">
        <w:rPr>
          <w:rFonts w:ascii="Times New Roman" w:hAnsi="Times New Roman" w:cs="Times New Roman"/>
        </w:rPr>
        <w:t xml:space="preserve">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rPr>
        <w:t xml:space="preserve"> largely reiterates John’s </w:t>
      </w:r>
      <w:r w:rsidR="00324087" w:rsidRPr="00A472FC">
        <w:rPr>
          <w:rFonts w:ascii="Times New Roman" w:hAnsi="Times New Roman" w:cs="Times New Roman"/>
        </w:rPr>
        <w:t>arguments for and against</w:t>
      </w:r>
      <w:r w:rsidRPr="00A472FC">
        <w:rPr>
          <w:rFonts w:ascii="Times New Roman" w:hAnsi="Times New Roman" w:cs="Times New Roman"/>
        </w:rPr>
        <w:t xml:space="preserve"> the identity thesis. Moreover, it traces the identity thesis to Augustine, that is, the Augustine of the </w:t>
      </w:r>
      <w:r w:rsidRPr="00A472FC">
        <w:rPr>
          <w:rFonts w:ascii="Times New Roman" w:hAnsi="Times New Roman" w:cs="Times New Roman"/>
          <w:i/>
        </w:rPr>
        <w:t xml:space="preserve">De </w:t>
      </w:r>
      <w:proofErr w:type="spellStart"/>
      <w:r w:rsidRPr="00A472FC">
        <w:rPr>
          <w:rFonts w:ascii="Times New Roman" w:hAnsi="Times New Roman" w:cs="Times New Roman"/>
          <w:i/>
        </w:rPr>
        <w:t>spiritu</w:t>
      </w:r>
      <w:proofErr w:type="spellEnd"/>
      <w:r w:rsidRPr="00A472FC">
        <w:rPr>
          <w:rFonts w:ascii="Times New Roman" w:hAnsi="Times New Roman" w:cs="Times New Roman"/>
          <w:i/>
        </w:rPr>
        <w:t xml:space="preserve"> et anima </w:t>
      </w:r>
      <w:r w:rsidRPr="00A472FC">
        <w:rPr>
          <w:rFonts w:ascii="Times New Roman" w:hAnsi="Times New Roman" w:cs="Times New Roman"/>
        </w:rPr>
        <w:t>passage that has already been quoted above</w:t>
      </w:r>
      <w:r w:rsidRPr="00A472FC">
        <w:rPr>
          <w:rFonts w:ascii="Times New Roman" w:hAnsi="Times New Roman" w:cs="Times New Roman"/>
          <w:i/>
        </w:rPr>
        <w:t>:</w:t>
      </w:r>
      <w:r w:rsidRPr="00A472FC">
        <w:rPr>
          <w:rStyle w:val="FootnoteReference"/>
          <w:rFonts w:ascii="Times New Roman" w:hAnsi="Times New Roman" w:cs="Times New Roman"/>
        </w:rPr>
        <w:footnoteReference w:id="570"/>
      </w:r>
      <w:r w:rsidRPr="00A472FC">
        <w:rPr>
          <w:rFonts w:ascii="Times New Roman" w:hAnsi="Times New Roman" w:cs="Times New Roman"/>
          <w:i/>
        </w:rPr>
        <w:t xml:space="preserve"> </w:t>
      </w:r>
    </w:p>
    <w:p w14:paraId="6529FA2C" w14:textId="77777777" w:rsidR="004C1CD7" w:rsidRPr="00A472FC" w:rsidRDefault="004C1CD7" w:rsidP="00881604">
      <w:pPr>
        <w:ind w:right="-52"/>
        <w:rPr>
          <w:rFonts w:ascii="Times New Roman" w:hAnsi="Times New Roman" w:cs="Times New Roman"/>
        </w:rPr>
      </w:pPr>
    </w:p>
    <w:p w14:paraId="166F592E" w14:textId="77777777" w:rsidR="004C1CD7" w:rsidRPr="00A472FC" w:rsidRDefault="004C1CD7" w:rsidP="00881604">
      <w:pPr>
        <w:ind w:left="720" w:right="-52"/>
        <w:rPr>
          <w:rFonts w:ascii="Times New Roman" w:hAnsi="Times New Roman" w:cs="Times New Roman"/>
        </w:rPr>
      </w:pPr>
      <w:r w:rsidRPr="00A472FC">
        <w:rPr>
          <w:rFonts w:ascii="Times New Roman" w:hAnsi="Times New Roman" w:cs="Times New Roman"/>
        </w:rPr>
        <w:t xml:space="preserve">According to the exercise of its different roles, the soul is called by various names. It is called soul when it enlivens; sense, when it feels; spirit, when it contemplates; mind when it understands; reason when it discerns; memory, when it recalls; and will when </w:t>
      </w:r>
      <w:r w:rsidRPr="00A472FC">
        <w:rPr>
          <w:rFonts w:ascii="Times New Roman" w:hAnsi="Times New Roman" w:cs="Times New Roman"/>
        </w:rPr>
        <w:lastRenderedPageBreak/>
        <w:t>it wills. These do not differ in substance, although they do differ in name, because all of these aspects are really one soul. Thus the diverse properties form one essence.</w:t>
      </w:r>
      <w:r w:rsidRPr="00A472FC">
        <w:rPr>
          <w:rStyle w:val="FootnoteReference"/>
          <w:rFonts w:ascii="Times New Roman" w:hAnsi="Times New Roman" w:cs="Times New Roman"/>
        </w:rPr>
        <w:footnoteReference w:id="571"/>
      </w:r>
    </w:p>
    <w:p w14:paraId="48BD0277" w14:textId="77777777" w:rsidR="004C1CD7" w:rsidRPr="00A472FC" w:rsidRDefault="004C1CD7" w:rsidP="00881604">
      <w:pPr>
        <w:ind w:left="720" w:right="-52"/>
        <w:rPr>
          <w:rFonts w:ascii="Times New Roman" w:hAnsi="Times New Roman" w:cs="Times New Roman"/>
        </w:rPr>
      </w:pPr>
    </w:p>
    <w:p w14:paraId="744D30D8" w14:textId="77777777" w:rsidR="0003135B" w:rsidRPr="00A472FC" w:rsidRDefault="00A0343E" w:rsidP="00881604">
      <w:pPr>
        <w:tabs>
          <w:tab w:val="left" w:pos="4962"/>
        </w:tabs>
        <w:ind w:right="-52" w:firstLine="720"/>
        <w:rPr>
          <w:rFonts w:ascii="Times New Roman" w:hAnsi="Times New Roman" w:cs="Times New Roman"/>
        </w:rPr>
      </w:pPr>
      <w:r w:rsidRPr="00A472FC">
        <w:rPr>
          <w:rFonts w:ascii="Times New Roman" w:hAnsi="Times New Roman" w:cs="Times New Roman"/>
        </w:rPr>
        <w:t xml:space="preserve">Following John again,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cites the further argument for identity which derives from </w:t>
      </w:r>
      <w:r w:rsidR="004C1CD7" w:rsidRPr="00A472FC">
        <w:rPr>
          <w:rFonts w:ascii="Times New Roman" w:hAnsi="Times New Roman" w:cs="Times New Roman"/>
        </w:rPr>
        <w:t xml:space="preserve">the idea of prime matter, which </w:t>
      </w:r>
      <w:r w:rsidR="002636E1" w:rsidRPr="00A472FC">
        <w:rPr>
          <w:rFonts w:ascii="Times New Roman" w:hAnsi="Times New Roman" w:cs="Times New Roman"/>
        </w:rPr>
        <w:t>possesses</w:t>
      </w:r>
      <w:r w:rsidR="004C1CD7" w:rsidRPr="00A472FC">
        <w:rPr>
          <w:rFonts w:ascii="Times New Roman" w:hAnsi="Times New Roman" w:cs="Times New Roman"/>
        </w:rPr>
        <w:t xml:space="preserve"> the potential to receive all forms.</w:t>
      </w:r>
      <w:r w:rsidR="004C1CD7" w:rsidRPr="00A472FC">
        <w:rPr>
          <w:rStyle w:val="FootnoteReference"/>
          <w:rFonts w:ascii="Times New Roman" w:hAnsi="Times New Roman" w:cs="Times New Roman"/>
        </w:rPr>
        <w:footnoteReference w:id="572"/>
      </w:r>
      <w:r w:rsidR="004C1CD7" w:rsidRPr="00A472FC">
        <w:rPr>
          <w:rFonts w:ascii="Times New Roman" w:hAnsi="Times New Roman" w:cs="Times New Roman"/>
        </w:rPr>
        <w:t xml:space="preserve"> </w:t>
      </w:r>
    </w:p>
    <w:p w14:paraId="16147762" w14:textId="5057D557" w:rsidR="004C1CD7" w:rsidRPr="00A472FC" w:rsidRDefault="00F2444C" w:rsidP="0003135B">
      <w:pPr>
        <w:tabs>
          <w:tab w:val="left" w:pos="4962"/>
        </w:tabs>
        <w:ind w:right="-52"/>
        <w:rPr>
          <w:rFonts w:ascii="Times New Roman" w:hAnsi="Times New Roman" w:cs="Times New Roman"/>
        </w:rPr>
      </w:pPr>
      <w:r w:rsidRPr="00A472FC">
        <w:rPr>
          <w:rFonts w:ascii="Times New Roman" w:hAnsi="Times New Roman" w:cs="Times New Roman"/>
        </w:rPr>
        <w:t>Much like prime matter</w:t>
      </w:r>
      <w:r w:rsidR="004C1CD7" w:rsidRPr="00A472FC">
        <w:rPr>
          <w:rFonts w:ascii="Times New Roman" w:hAnsi="Times New Roman" w:cs="Times New Roman"/>
        </w:rPr>
        <w:t xml:space="preserve">, the soul has an ability to receive all the species of the things it knows. Since prime matter just is the potential or power to receive all natural forms, the soul must be constituted by this potential as well. Against this, however, the Summa observes that essence and its mode of existence—in this case, its powers—are only the same in God. </w:t>
      </w:r>
    </w:p>
    <w:p w14:paraId="2A34B083" w14:textId="377B12E6" w:rsidR="004C1CD7" w:rsidRPr="00A472FC" w:rsidRDefault="004C1CD7" w:rsidP="00881604">
      <w:pPr>
        <w:tabs>
          <w:tab w:val="left" w:pos="4962"/>
        </w:tabs>
        <w:ind w:right="-52" w:firstLine="720"/>
        <w:rPr>
          <w:rFonts w:ascii="Times New Roman" w:hAnsi="Times New Roman" w:cs="Times New Roman"/>
        </w:rPr>
      </w:pPr>
      <w:r w:rsidRPr="00A472FC">
        <w:rPr>
          <w:rFonts w:ascii="Times New Roman" w:hAnsi="Times New Roman" w:cs="Times New Roman"/>
        </w:rPr>
        <w:t>This means that the essence and powers of the soul cannot be the same. ‘</w:t>
      </w:r>
      <w:r w:rsidR="00DA7991" w:rsidRPr="00A472FC">
        <w:rPr>
          <w:rFonts w:ascii="Times New Roman" w:hAnsi="Times New Roman" w:cs="Times New Roman"/>
        </w:rPr>
        <w:t>As</w:t>
      </w:r>
      <w:r w:rsidRPr="00A472FC">
        <w:rPr>
          <w:rFonts w:ascii="Times New Roman" w:hAnsi="Times New Roman" w:cs="Times New Roman"/>
        </w:rPr>
        <w:t xml:space="preserve"> being and operation are not the same thing so neither are essence and power. For the essence of the soul is that through which the soul is an </w:t>
      </w:r>
      <w:r w:rsidR="00136C18" w:rsidRPr="00A472FC">
        <w:rPr>
          <w:rFonts w:ascii="Times New Roman" w:hAnsi="Times New Roman" w:cs="Times New Roman"/>
        </w:rPr>
        <w:t>essence in an absolute sense</w:t>
      </w:r>
      <w:r w:rsidRPr="00A472FC">
        <w:rPr>
          <w:rFonts w:ascii="Times New Roman" w:hAnsi="Times New Roman" w:cs="Times New Roman"/>
        </w:rPr>
        <w:t>; a power is that through which the soul is receptive to or affects other things.’</w:t>
      </w:r>
      <w:r w:rsidRPr="00A472FC">
        <w:rPr>
          <w:rStyle w:val="FootnoteReference"/>
          <w:rFonts w:ascii="Times New Roman" w:hAnsi="Times New Roman" w:cs="Times New Roman"/>
        </w:rPr>
        <w:footnoteReference w:id="573"/>
      </w:r>
      <w:r w:rsidRPr="00A472FC">
        <w:rPr>
          <w:rFonts w:ascii="Times New Roman" w:hAnsi="Times New Roman" w:cs="Times New Roman"/>
        </w:rPr>
        <w:t xml:space="preserve"> On this basis, the Summa supports the conclusion of Alexander and John that the ‘soul’s powers are the same as its substance, because the soul cannot subsist </w:t>
      </w:r>
      <w:r w:rsidR="00E87222" w:rsidRPr="00A472FC">
        <w:rPr>
          <w:rFonts w:ascii="Times New Roman" w:hAnsi="Times New Roman" w:cs="Times New Roman"/>
        </w:rPr>
        <w:t xml:space="preserve">nor is it understood </w:t>
      </w:r>
      <w:r w:rsidRPr="00A472FC">
        <w:rPr>
          <w:rFonts w:ascii="Times New Roman" w:hAnsi="Times New Roman" w:cs="Times New Roman"/>
        </w:rPr>
        <w:t xml:space="preserve">without its powers nor can these powers </w:t>
      </w:r>
      <w:r w:rsidR="00477F61" w:rsidRPr="00A472FC">
        <w:rPr>
          <w:rFonts w:ascii="Times New Roman" w:hAnsi="Times New Roman" w:cs="Times New Roman"/>
        </w:rPr>
        <w:t xml:space="preserve">subsist or </w:t>
      </w:r>
      <w:r w:rsidRPr="00A472FC">
        <w:rPr>
          <w:rFonts w:ascii="Times New Roman" w:hAnsi="Times New Roman" w:cs="Times New Roman"/>
        </w:rPr>
        <w:t xml:space="preserve">be understood </w:t>
      </w:r>
      <w:r w:rsidR="00360D80" w:rsidRPr="00A472FC">
        <w:rPr>
          <w:rFonts w:ascii="Times New Roman" w:hAnsi="Times New Roman" w:cs="Times New Roman"/>
        </w:rPr>
        <w:t>without</w:t>
      </w:r>
      <w:r w:rsidRPr="00A472FC">
        <w:rPr>
          <w:rFonts w:ascii="Times New Roman" w:hAnsi="Times New Roman" w:cs="Times New Roman"/>
        </w:rPr>
        <w:t xml:space="preserve"> the soul. The identity therefore which Augustine posits is referred to the substance and not the essence’</w:t>
      </w:r>
      <w:r w:rsidRPr="00A472FC">
        <w:rPr>
          <w:rStyle w:val="FootnoteReference"/>
          <w:rFonts w:ascii="Times New Roman" w:hAnsi="Times New Roman" w:cs="Times New Roman"/>
        </w:rPr>
        <w:footnoteReference w:id="574"/>
      </w:r>
      <w:r w:rsidR="00CE07FD" w:rsidRPr="00A472FC">
        <w:rPr>
          <w:rFonts w:ascii="Times New Roman" w:hAnsi="Times New Roman" w:cs="Times New Roman"/>
        </w:rPr>
        <w:t xml:space="preserve"> of the soul.</w:t>
      </w:r>
      <w:r w:rsidRPr="00A472FC">
        <w:rPr>
          <w:rFonts w:ascii="Times New Roman" w:hAnsi="Times New Roman" w:cs="Times New Roman"/>
        </w:rPr>
        <w:t xml:space="preserve"> </w:t>
      </w:r>
    </w:p>
    <w:p w14:paraId="42645720" w14:textId="2A0043E1" w:rsidR="004C1CD7" w:rsidRPr="00A472FC" w:rsidRDefault="004C1CD7" w:rsidP="00881604">
      <w:pPr>
        <w:tabs>
          <w:tab w:val="left" w:pos="4962"/>
        </w:tabs>
        <w:ind w:right="-52" w:firstLine="720"/>
        <w:rPr>
          <w:rFonts w:ascii="Times New Roman" w:hAnsi="Times New Roman" w:cs="Times New Roman"/>
        </w:rPr>
      </w:pPr>
      <w:r w:rsidRPr="00A472FC">
        <w:rPr>
          <w:rFonts w:ascii="Times New Roman" w:hAnsi="Times New Roman" w:cs="Times New Roman"/>
        </w:rPr>
        <w:t xml:space="preserve">In response to the </w:t>
      </w:r>
      <w:r w:rsidR="00C70C02" w:rsidRPr="00A472FC">
        <w:rPr>
          <w:rFonts w:ascii="Times New Roman" w:hAnsi="Times New Roman" w:cs="Times New Roman"/>
        </w:rPr>
        <w:t>counter-argument concerning</w:t>
      </w:r>
      <w:r w:rsidRPr="00A472FC">
        <w:rPr>
          <w:rFonts w:ascii="Times New Roman" w:hAnsi="Times New Roman" w:cs="Times New Roman"/>
        </w:rPr>
        <w:t xml:space="preserve"> prime matter, the Summa </w:t>
      </w:r>
      <w:r w:rsidR="00673DDA" w:rsidRPr="00A472FC">
        <w:rPr>
          <w:rFonts w:ascii="Times New Roman" w:hAnsi="Times New Roman" w:cs="Times New Roman"/>
        </w:rPr>
        <w:t xml:space="preserve">makes the interesting observation </w:t>
      </w:r>
      <w:r w:rsidRPr="00A472FC">
        <w:rPr>
          <w:rFonts w:ascii="Times New Roman" w:hAnsi="Times New Roman" w:cs="Times New Roman"/>
        </w:rPr>
        <w:t>that the situation with the soul is not the same as that of prime matter, because the soul is not where all spiritual forms are ultimately resolved or instantiated, but prime matter is the place where all corporeal forms are ultimately resolved or instantiated.</w:t>
      </w:r>
      <w:r w:rsidRPr="00A472FC">
        <w:rPr>
          <w:rStyle w:val="FootnoteReference"/>
          <w:rFonts w:ascii="Times New Roman" w:hAnsi="Times New Roman" w:cs="Times New Roman"/>
        </w:rPr>
        <w:footnoteReference w:id="575"/>
      </w:r>
      <w:r w:rsidRPr="00A472FC">
        <w:rPr>
          <w:rFonts w:ascii="Times New Roman" w:hAnsi="Times New Roman" w:cs="Times New Roman"/>
        </w:rPr>
        <w:t xml:space="preserve"> This is what is at stake in identifying the soul’s powers with its substance rather than with its essence. For the essence of a soul is something that applies to all souls. But the substance of the soul is individual to one soul only. </w:t>
      </w:r>
    </w:p>
    <w:p w14:paraId="1E6F2FAF" w14:textId="77777777" w:rsidR="004C1CD7" w:rsidRPr="00A472FC" w:rsidRDefault="004C1CD7" w:rsidP="00881604">
      <w:pPr>
        <w:ind w:right="-52"/>
        <w:rPr>
          <w:rFonts w:ascii="Times New Roman" w:hAnsi="Times New Roman" w:cs="Times New Roman"/>
        </w:rPr>
      </w:pPr>
    </w:p>
    <w:p w14:paraId="2A8503DF" w14:textId="77777777" w:rsidR="004C1CD7" w:rsidRPr="00A472FC" w:rsidRDefault="004C1CD7" w:rsidP="00881604">
      <w:pPr>
        <w:ind w:right="-52"/>
        <w:rPr>
          <w:rFonts w:ascii="Times New Roman" w:hAnsi="Times New Roman" w:cs="Times New Roman"/>
          <w:u w:val="single"/>
        </w:rPr>
      </w:pPr>
      <w:r w:rsidRPr="00A472FC">
        <w:rPr>
          <w:rFonts w:ascii="Times New Roman" w:hAnsi="Times New Roman" w:cs="Times New Roman"/>
          <w:u w:val="single"/>
        </w:rPr>
        <w:t>Conclusion</w:t>
      </w:r>
    </w:p>
    <w:p w14:paraId="4BF25DCC" w14:textId="77777777" w:rsidR="004C1CD7" w:rsidRPr="00A472FC" w:rsidRDefault="004C1CD7" w:rsidP="00881604">
      <w:pPr>
        <w:ind w:right="-52"/>
        <w:rPr>
          <w:rFonts w:ascii="Times New Roman" w:hAnsi="Times New Roman" w:cs="Times New Roman"/>
        </w:rPr>
      </w:pPr>
    </w:p>
    <w:p w14:paraId="2C054882" w14:textId="3502FC3E" w:rsidR="004C1CD7" w:rsidRPr="00A472FC" w:rsidRDefault="004C1CD7" w:rsidP="00881604">
      <w:pPr>
        <w:ind w:right="-52" w:firstLine="720"/>
        <w:rPr>
          <w:rFonts w:ascii="Times New Roman" w:hAnsi="Times New Roman" w:cs="Times New Roman"/>
        </w:rPr>
      </w:pPr>
      <w:r w:rsidRPr="00A472FC">
        <w:rPr>
          <w:rFonts w:ascii="Times New Roman" w:hAnsi="Times New Roman" w:cs="Times New Roman"/>
        </w:rPr>
        <w:t xml:space="preserve">In this chapter, we have discovered in new ways how early scholastics, above all John of La Rochelle and his Franciscan contemporaries, reckoned with two intertwining demands. One was to assimilate the wealth of philosophical material that came to them through Aristotle, </w:t>
      </w:r>
      <w:proofErr w:type="spellStart"/>
      <w:r w:rsidRPr="00A472FC">
        <w:rPr>
          <w:rFonts w:ascii="Times New Roman" w:hAnsi="Times New Roman" w:cs="Times New Roman"/>
        </w:rPr>
        <w:t>Avicebron</w:t>
      </w:r>
      <w:proofErr w:type="spellEnd"/>
      <w:r w:rsidRPr="00A472FC">
        <w:rPr>
          <w:rFonts w:ascii="Times New Roman" w:hAnsi="Times New Roman" w:cs="Times New Roman"/>
        </w:rPr>
        <w:t>, Avicenna and other</w:t>
      </w:r>
      <w:r w:rsidR="00502798" w:rsidRPr="00A472FC">
        <w:rPr>
          <w:rFonts w:ascii="Times New Roman" w:hAnsi="Times New Roman" w:cs="Times New Roman"/>
        </w:rPr>
        <w:t xml:space="preserve"> philosophers</w:t>
      </w:r>
      <w:r w:rsidR="009A6526">
        <w:rPr>
          <w:rFonts w:ascii="Times New Roman" w:hAnsi="Times New Roman" w:cs="Times New Roman"/>
        </w:rPr>
        <w:t>,</w:t>
      </w:r>
      <w:r w:rsidRPr="00A472FC">
        <w:rPr>
          <w:rFonts w:ascii="Times New Roman" w:hAnsi="Times New Roman" w:cs="Times New Roman"/>
        </w:rPr>
        <w:t xml:space="preserve"> in order to give a more robust account of </w:t>
      </w:r>
      <w:r w:rsidR="008B760F" w:rsidRPr="00A472FC">
        <w:rPr>
          <w:rFonts w:ascii="Times New Roman" w:hAnsi="Times New Roman" w:cs="Times New Roman"/>
        </w:rPr>
        <w:t>the</w:t>
      </w:r>
      <w:r w:rsidRPr="00A472FC">
        <w:rPr>
          <w:rFonts w:ascii="Times New Roman" w:hAnsi="Times New Roman" w:cs="Times New Roman"/>
        </w:rPr>
        <w:t xml:space="preserve"> </w:t>
      </w:r>
      <w:r w:rsidR="00A00AF1" w:rsidRPr="00A472FC">
        <w:rPr>
          <w:rFonts w:ascii="Times New Roman" w:hAnsi="Times New Roman" w:cs="Times New Roman"/>
        </w:rPr>
        <w:t xml:space="preserve">powers of the </w:t>
      </w:r>
      <w:r w:rsidR="008B760F" w:rsidRPr="00A472FC">
        <w:rPr>
          <w:rFonts w:ascii="Times New Roman" w:hAnsi="Times New Roman" w:cs="Times New Roman"/>
        </w:rPr>
        <w:t xml:space="preserve">human </w:t>
      </w:r>
      <w:r w:rsidR="00A00AF1" w:rsidRPr="00A472FC">
        <w:rPr>
          <w:rFonts w:ascii="Times New Roman" w:hAnsi="Times New Roman" w:cs="Times New Roman"/>
        </w:rPr>
        <w:t>soul</w:t>
      </w:r>
      <w:r w:rsidRPr="00A472FC">
        <w:rPr>
          <w:rFonts w:ascii="Times New Roman" w:hAnsi="Times New Roman" w:cs="Times New Roman"/>
        </w:rPr>
        <w:t xml:space="preserve"> than had existed in the previous</w:t>
      </w:r>
      <w:r w:rsidR="005248D3" w:rsidRPr="00A472FC">
        <w:rPr>
          <w:rFonts w:ascii="Times New Roman" w:hAnsi="Times New Roman" w:cs="Times New Roman"/>
        </w:rPr>
        <w:t xml:space="preserve"> Latin</w:t>
      </w:r>
      <w:r w:rsidRPr="00A472FC">
        <w:rPr>
          <w:rFonts w:ascii="Times New Roman" w:hAnsi="Times New Roman" w:cs="Times New Roman"/>
        </w:rPr>
        <w:t xml:space="preserve"> theological tradition. The other task was somehow to accomplish this feat in a way that was at least marginally </w:t>
      </w:r>
      <w:r w:rsidRPr="00A472FC">
        <w:rPr>
          <w:rFonts w:ascii="Times New Roman" w:hAnsi="Times New Roman" w:cs="Times New Roman"/>
        </w:rPr>
        <w:lastRenderedPageBreak/>
        <w:t xml:space="preserve">related to or justifiable in terms of </w:t>
      </w:r>
      <w:r w:rsidR="008B760F" w:rsidRPr="00A472FC">
        <w:rPr>
          <w:rFonts w:ascii="Times New Roman" w:hAnsi="Times New Roman" w:cs="Times New Roman"/>
        </w:rPr>
        <w:t>the</w:t>
      </w:r>
      <w:r w:rsidRPr="00A472FC">
        <w:rPr>
          <w:rFonts w:ascii="Times New Roman" w:hAnsi="Times New Roman" w:cs="Times New Roman"/>
        </w:rPr>
        <w:t xml:space="preserve"> tradition, which had long been associated most closely with Augustine. In this regard, early scholastics were confronted with two competing options for describing the three powers of the soul: a plurality thesis stemming from the Aristotelian tradition that had been channelled through Costa Ben Luca and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and a unitarian tradition from Avicenna. However, they showed little doubt about which one to prefer. </w:t>
      </w:r>
    </w:p>
    <w:p w14:paraId="61BB5E32" w14:textId="5E79EB41" w:rsidR="004C1CD7" w:rsidRPr="00A472FC" w:rsidRDefault="004C1CD7" w:rsidP="00254494">
      <w:pPr>
        <w:ind w:right="-52" w:firstLine="720"/>
        <w:rPr>
          <w:rFonts w:ascii="Times New Roman" w:hAnsi="Times New Roman" w:cs="Times New Roman"/>
        </w:rPr>
      </w:pPr>
      <w:r w:rsidRPr="00A472FC">
        <w:rPr>
          <w:rFonts w:ascii="Times New Roman" w:hAnsi="Times New Roman" w:cs="Times New Roman"/>
        </w:rPr>
        <w:t>Both Dominicans and Franciscans opted for the unicity account which they perceived as more consistent with Augustine’s emphasis on the simplicity of the soul—a concept we have already learned that they defined in different ways, with some advocating universal hylomorphism to affirm the independent substance of the soul and others rejecting that thesis for the same reason. The thesis that the soul is identical with its powers</w:t>
      </w:r>
      <w:r w:rsidR="00254494" w:rsidRPr="00A472FC">
        <w:rPr>
          <w:rFonts w:ascii="Times New Roman" w:hAnsi="Times New Roman" w:cs="Times New Roman"/>
        </w:rPr>
        <w:t>—and therefore simple—</w:t>
      </w:r>
      <w:r w:rsidRPr="00A472FC">
        <w:rPr>
          <w:rFonts w:ascii="Times New Roman" w:hAnsi="Times New Roman" w:cs="Times New Roman"/>
        </w:rPr>
        <w:t>also seemed obviously necessary to affirm for those of the medieval Augustinian ilk, even if Augustine himself did not endorse it. There was precedent for this view in Isidore</w:t>
      </w:r>
      <w:r w:rsidR="00382DC5" w:rsidRPr="00A472FC">
        <w:rPr>
          <w:rFonts w:ascii="Times New Roman" w:hAnsi="Times New Roman" w:cs="Times New Roman"/>
        </w:rPr>
        <w:t xml:space="preserve"> of Seville</w:t>
      </w:r>
      <w:r w:rsidRPr="00A472FC">
        <w:rPr>
          <w:rFonts w:ascii="Times New Roman" w:hAnsi="Times New Roman" w:cs="Times New Roman"/>
        </w:rPr>
        <w:t xml:space="preserve">, the DSEA, and Lombard. Nevertheless, further reflection proved that unqualified adherence to the identity thesis was not unproblematic. For instance, an excessively vigorous rendering of the theory could obscure the difference between human and divine powers. </w:t>
      </w:r>
    </w:p>
    <w:p w14:paraId="1A4F3258" w14:textId="77777777" w:rsidR="00B36CBA" w:rsidRPr="00A472FC" w:rsidRDefault="0068015D" w:rsidP="00B36CBA">
      <w:pPr>
        <w:ind w:right="-52" w:firstLine="720"/>
        <w:rPr>
          <w:rFonts w:ascii="Times New Roman" w:hAnsi="Times New Roman" w:cs="Times New Roman"/>
        </w:rPr>
      </w:pPr>
      <w:r w:rsidRPr="00A472FC">
        <w:rPr>
          <w:rFonts w:ascii="Times New Roman" w:hAnsi="Times New Roman" w:cs="Times New Roman"/>
        </w:rPr>
        <w:t>In this context</w:t>
      </w:r>
      <w:r w:rsidR="004C1CD7" w:rsidRPr="00A472FC">
        <w:rPr>
          <w:rFonts w:ascii="Times New Roman" w:hAnsi="Times New Roman" w:cs="Times New Roman"/>
        </w:rPr>
        <w:t xml:space="preserve">, Alexander of Hales offered a truly novel solution which implicitly identified the essence of the soul not with its powers but simply with its </w:t>
      </w:r>
      <w:r w:rsidRPr="00A472FC">
        <w:rPr>
          <w:rFonts w:ascii="Times New Roman" w:hAnsi="Times New Roman" w:cs="Times New Roman"/>
        </w:rPr>
        <w:t>ability to be united t</w:t>
      </w:r>
      <w:r w:rsidR="004C1CD7" w:rsidRPr="00A472FC">
        <w:rPr>
          <w:rFonts w:ascii="Times New Roman" w:hAnsi="Times New Roman" w:cs="Times New Roman"/>
        </w:rPr>
        <w:t xml:space="preserve">o a human body. This solution was arguably ahead of its time in that it allowed in principle for affirming the </w:t>
      </w:r>
      <w:r w:rsidR="00BC33DF" w:rsidRPr="00A472FC">
        <w:rPr>
          <w:rFonts w:ascii="Times New Roman" w:hAnsi="Times New Roman" w:cs="Times New Roman"/>
        </w:rPr>
        <w:t xml:space="preserve">essential humanity and thus the </w:t>
      </w:r>
      <w:r w:rsidR="004C1CD7" w:rsidRPr="00A472FC">
        <w:rPr>
          <w:rFonts w:ascii="Times New Roman" w:hAnsi="Times New Roman" w:cs="Times New Roman"/>
        </w:rPr>
        <w:t xml:space="preserve">dignity and integrity of human beings whose rational faculties are inhibited, perhaps due to a mental or physical condition. What is fascinating about both the theories considered in this chapter, however, is that they highlight the extent to which the very meaning of </w:t>
      </w:r>
      <w:proofErr w:type="spellStart"/>
      <w:r w:rsidR="004C1CD7" w:rsidRPr="00A472FC">
        <w:rPr>
          <w:rFonts w:ascii="Times New Roman" w:hAnsi="Times New Roman" w:cs="Times New Roman"/>
        </w:rPr>
        <w:t>Augustinianism</w:t>
      </w:r>
      <w:proofErr w:type="spellEnd"/>
      <w:r w:rsidR="004C1CD7" w:rsidRPr="00A472FC">
        <w:rPr>
          <w:rFonts w:ascii="Times New Roman" w:hAnsi="Times New Roman" w:cs="Times New Roman"/>
        </w:rPr>
        <w:t xml:space="preserve"> was up for debate in this period. </w:t>
      </w:r>
    </w:p>
    <w:p w14:paraId="28BBE145" w14:textId="18C6BD66" w:rsidR="004C1CD7" w:rsidRPr="00A472FC" w:rsidRDefault="004C1CD7" w:rsidP="00B36CBA">
      <w:pPr>
        <w:ind w:right="-52" w:firstLine="720"/>
        <w:rPr>
          <w:rFonts w:ascii="Times New Roman" w:hAnsi="Times New Roman" w:cs="Times New Roman"/>
        </w:rPr>
      </w:pPr>
      <w:r w:rsidRPr="00A472FC">
        <w:rPr>
          <w:rFonts w:ascii="Times New Roman" w:hAnsi="Times New Roman" w:cs="Times New Roman"/>
        </w:rPr>
        <w:t>As the chart at the end is this chapter illustrates, there were many cases where Dominicans and Franciscans of this generation disagreed on what it meant to be an Augustinian</w:t>
      </w:r>
      <w:r w:rsidR="000032E4" w:rsidRPr="00A472FC">
        <w:rPr>
          <w:rFonts w:ascii="Times New Roman" w:hAnsi="Times New Roman" w:cs="Times New Roman"/>
        </w:rPr>
        <w:t xml:space="preserve"> in </w:t>
      </w:r>
      <w:r w:rsidR="000C7E82" w:rsidRPr="00A472FC">
        <w:rPr>
          <w:rFonts w:ascii="Times New Roman" w:hAnsi="Times New Roman" w:cs="Times New Roman"/>
        </w:rPr>
        <w:t xml:space="preserve">the field </w:t>
      </w:r>
      <w:r w:rsidR="00B36CBA" w:rsidRPr="00A472FC">
        <w:rPr>
          <w:rFonts w:ascii="Times New Roman" w:hAnsi="Times New Roman" w:cs="Times New Roman"/>
        </w:rPr>
        <w:t>o</w:t>
      </w:r>
      <w:r w:rsidR="000C7E82" w:rsidRPr="00A472FC">
        <w:rPr>
          <w:rFonts w:ascii="Times New Roman" w:hAnsi="Times New Roman" w:cs="Times New Roman"/>
        </w:rPr>
        <w:t xml:space="preserve">f </w:t>
      </w:r>
      <w:r w:rsidR="000032E4" w:rsidRPr="00A472FC">
        <w:rPr>
          <w:rFonts w:ascii="Times New Roman" w:hAnsi="Times New Roman" w:cs="Times New Roman"/>
        </w:rPr>
        <w:t>psychology</w:t>
      </w:r>
      <w:r w:rsidRPr="00A472FC">
        <w:rPr>
          <w:rFonts w:ascii="Times New Roman" w:hAnsi="Times New Roman" w:cs="Times New Roman"/>
        </w:rPr>
        <w:t xml:space="preserve">. At the same time, however, there are virtually just as many cases where they </w:t>
      </w:r>
      <w:r w:rsidR="00EB2A7D">
        <w:rPr>
          <w:rFonts w:ascii="Times New Roman" w:hAnsi="Times New Roman" w:cs="Times New Roman"/>
        </w:rPr>
        <w:t>concurred</w:t>
      </w:r>
      <w:r w:rsidRPr="00A472FC">
        <w:rPr>
          <w:rFonts w:ascii="Times New Roman" w:hAnsi="Times New Roman" w:cs="Times New Roman"/>
        </w:rPr>
        <w:t xml:space="preserve">, </w:t>
      </w:r>
      <w:r w:rsidR="00203C21" w:rsidRPr="00A472FC">
        <w:rPr>
          <w:rFonts w:ascii="Times New Roman" w:hAnsi="Times New Roman" w:cs="Times New Roman"/>
        </w:rPr>
        <w:t xml:space="preserve">and </w:t>
      </w:r>
      <w:r w:rsidRPr="00A472FC">
        <w:rPr>
          <w:rFonts w:ascii="Times New Roman" w:hAnsi="Times New Roman" w:cs="Times New Roman"/>
        </w:rPr>
        <w:t xml:space="preserve">not </w:t>
      </w:r>
      <w:r w:rsidR="00203C21" w:rsidRPr="00A472FC">
        <w:rPr>
          <w:rFonts w:ascii="Times New Roman" w:hAnsi="Times New Roman" w:cs="Times New Roman"/>
        </w:rPr>
        <w:t xml:space="preserve">always </w:t>
      </w:r>
      <w:r w:rsidRPr="00A472FC">
        <w:rPr>
          <w:rFonts w:ascii="Times New Roman" w:hAnsi="Times New Roman" w:cs="Times New Roman"/>
        </w:rPr>
        <w:t xml:space="preserve">along party lines, which were only demarcated clearly in the next generation. In both cases, </w:t>
      </w:r>
      <w:r w:rsidR="002D2187" w:rsidRPr="00A472FC">
        <w:rPr>
          <w:rFonts w:ascii="Times New Roman" w:hAnsi="Times New Roman" w:cs="Times New Roman"/>
        </w:rPr>
        <w:t xml:space="preserve">moreover, </w:t>
      </w:r>
      <w:r w:rsidRPr="00A472FC">
        <w:rPr>
          <w:rFonts w:ascii="Times New Roman" w:hAnsi="Times New Roman" w:cs="Times New Roman"/>
        </w:rPr>
        <w:t xml:space="preserve">the debates in question did not arise on the basis of Augustine’s own writings so much as they were retrospectively projected on to him </w:t>
      </w:r>
      <w:r w:rsidR="00203C21" w:rsidRPr="00A472FC">
        <w:rPr>
          <w:rFonts w:ascii="Times New Roman" w:hAnsi="Times New Roman" w:cs="Times New Roman"/>
        </w:rPr>
        <w:t>through</w:t>
      </w:r>
      <w:r w:rsidRPr="00A472FC">
        <w:rPr>
          <w:rFonts w:ascii="Times New Roman" w:hAnsi="Times New Roman" w:cs="Times New Roman"/>
        </w:rPr>
        <w:t xml:space="preserve"> spurious works that were interpreted in the light of newly recovered Greco-Arabic sources. We do not need to prove what Augustine actually believed about these issues—even though we have gestured towards a how one might do so—in order to reach the conclusion with some certainty that the positions early scholastics attributed to him</w:t>
      </w:r>
      <w:r w:rsidR="007D11C5" w:rsidRPr="00A472FC">
        <w:rPr>
          <w:rFonts w:ascii="Times New Roman" w:hAnsi="Times New Roman" w:cs="Times New Roman"/>
        </w:rPr>
        <w:t>—which var</w:t>
      </w:r>
      <w:r w:rsidR="00993EC5" w:rsidRPr="00A472FC">
        <w:rPr>
          <w:rFonts w:ascii="Times New Roman" w:hAnsi="Times New Roman" w:cs="Times New Roman"/>
        </w:rPr>
        <w:t>y</w:t>
      </w:r>
      <w:r w:rsidR="007D11C5" w:rsidRPr="00A472FC">
        <w:rPr>
          <w:rFonts w:ascii="Times New Roman" w:hAnsi="Times New Roman" w:cs="Times New Roman"/>
        </w:rPr>
        <w:t xml:space="preserve"> sometimes to the point of contradiction—</w:t>
      </w:r>
      <w:r w:rsidRPr="00A472FC">
        <w:rPr>
          <w:rFonts w:ascii="Times New Roman" w:hAnsi="Times New Roman" w:cs="Times New Roman"/>
        </w:rPr>
        <w:t>were at best tangentially related to his authentic works</w:t>
      </w:r>
      <w:r w:rsidR="00B36CBA" w:rsidRPr="00A472FC">
        <w:rPr>
          <w:rFonts w:ascii="Times New Roman" w:hAnsi="Times New Roman" w:cs="Times New Roman"/>
        </w:rPr>
        <w:t xml:space="preserve"> and owe their provenance instead</w:t>
      </w:r>
      <w:r w:rsidR="00255BE2">
        <w:rPr>
          <w:rFonts w:ascii="Times New Roman" w:hAnsi="Times New Roman" w:cs="Times New Roman"/>
        </w:rPr>
        <w:t xml:space="preserve">, </w:t>
      </w:r>
      <w:r w:rsidR="00B36CBA" w:rsidRPr="00A472FC">
        <w:rPr>
          <w:rFonts w:ascii="Times New Roman" w:hAnsi="Times New Roman" w:cs="Times New Roman"/>
        </w:rPr>
        <w:t>above all</w:t>
      </w:r>
      <w:r w:rsidR="00255BE2">
        <w:rPr>
          <w:rFonts w:ascii="Times New Roman" w:hAnsi="Times New Roman" w:cs="Times New Roman"/>
        </w:rPr>
        <w:t>,</w:t>
      </w:r>
      <w:r w:rsidR="00B36CBA" w:rsidRPr="00A472FC">
        <w:rPr>
          <w:rFonts w:ascii="Times New Roman" w:hAnsi="Times New Roman" w:cs="Times New Roman"/>
        </w:rPr>
        <w:t xml:space="preserve"> to the legacy of Arabic sources.</w:t>
      </w:r>
    </w:p>
    <w:p w14:paraId="4B7A362B" w14:textId="2A7CFE11" w:rsidR="004C1CD7" w:rsidRPr="00A472FC" w:rsidRDefault="004C1CD7" w:rsidP="00881604">
      <w:pPr>
        <w:ind w:right="-52" w:firstLine="720"/>
        <w:rPr>
          <w:rFonts w:ascii="Times New Roman" w:hAnsi="Times New Roman" w:cs="Times New Roman"/>
        </w:rPr>
      </w:pPr>
    </w:p>
    <w:p w14:paraId="57C85DE6" w14:textId="77777777" w:rsidR="00053C11" w:rsidRPr="00A472FC" w:rsidRDefault="00053C11" w:rsidP="00881604">
      <w:pPr>
        <w:ind w:right="-52"/>
        <w:jc w:val="center"/>
        <w:rPr>
          <w:rFonts w:ascii="Times New Roman" w:hAnsi="Times New Roman" w:cs="Times New Roman"/>
          <w:b/>
        </w:rPr>
        <w:sectPr w:rsidR="00053C11" w:rsidRPr="00A472FC" w:rsidSect="00983A9E">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0" w:h="16840"/>
          <w:pgMar w:top="1440" w:right="1440" w:bottom="1440" w:left="1440" w:header="720" w:footer="720" w:gutter="0"/>
          <w:cols w:space="720"/>
          <w:docGrid w:linePitch="360"/>
        </w:sectPr>
      </w:pPr>
    </w:p>
    <w:p w14:paraId="5CF1B874" w14:textId="11893524" w:rsidR="004C1CD7" w:rsidRPr="00A472FC" w:rsidRDefault="004C1CD7" w:rsidP="00881604">
      <w:pPr>
        <w:ind w:right="-52"/>
        <w:jc w:val="center"/>
        <w:rPr>
          <w:rFonts w:ascii="Times New Roman" w:hAnsi="Times New Roman" w:cs="Times New Roman"/>
          <w:b/>
        </w:rPr>
      </w:pPr>
      <w:r w:rsidRPr="00A472FC">
        <w:rPr>
          <w:rFonts w:ascii="Times New Roman" w:hAnsi="Times New Roman" w:cs="Times New Roman"/>
          <w:b/>
        </w:rPr>
        <w:lastRenderedPageBreak/>
        <w:t xml:space="preserve">Early Scholastic Dominican, Franciscan, and Secular Masters: </w:t>
      </w:r>
    </w:p>
    <w:p w14:paraId="403E22AA" w14:textId="77777777" w:rsidR="004C1CD7" w:rsidRPr="00A472FC" w:rsidRDefault="004C1CD7" w:rsidP="00881604">
      <w:pPr>
        <w:ind w:right="-52"/>
        <w:jc w:val="center"/>
        <w:rPr>
          <w:rFonts w:ascii="Times New Roman" w:hAnsi="Times New Roman" w:cs="Times New Roman"/>
          <w:b/>
        </w:rPr>
      </w:pPr>
      <w:r w:rsidRPr="00A472FC">
        <w:rPr>
          <w:rFonts w:ascii="Times New Roman" w:hAnsi="Times New Roman" w:cs="Times New Roman"/>
          <w:b/>
        </w:rPr>
        <w:t>Synergies and Influences</w:t>
      </w:r>
    </w:p>
    <w:p w14:paraId="2AC4BC82" w14:textId="77777777" w:rsidR="004C1CD7" w:rsidRPr="00A472FC" w:rsidRDefault="004C1CD7" w:rsidP="00881604">
      <w:pPr>
        <w:ind w:right="-52"/>
        <w:rPr>
          <w:rFonts w:ascii="Times New Roman" w:hAnsi="Times New Roman" w:cs="Times New Roman"/>
        </w:rPr>
      </w:pPr>
    </w:p>
    <w:p w14:paraId="58809E84" w14:textId="77777777" w:rsidR="004C1CD7" w:rsidRPr="00A472FC" w:rsidRDefault="004C1CD7" w:rsidP="00881604">
      <w:pPr>
        <w:ind w:right="-52"/>
        <w:rPr>
          <w:rFonts w:ascii="Times New Roman" w:hAnsi="Times New Roman" w:cs="Times New Roman"/>
        </w:rPr>
      </w:pPr>
    </w:p>
    <w:p w14:paraId="594E1F3E" w14:textId="77777777" w:rsidR="004C1CD7" w:rsidRPr="00A472FC" w:rsidRDefault="004C1CD7" w:rsidP="00881604">
      <w:pPr>
        <w:ind w:right="-52"/>
        <w:rPr>
          <w:rFonts w:ascii="Times New Roman" w:hAnsi="Times New Roman" w:cs="Times New Roman"/>
        </w:rPr>
      </w:pPr>
      <w:r w:rsidRPr="00A472FC">
        <w:rPr>
          <w:rFonts w:ascii="Times New Roman" w:hAnsi="Times New Roman" w:cs="Times New Roman"/>
          <w:noProof/>
        </w:rPr>
        <w:drawing>
          <wp:inline distT="0" distB="0" distL="0" distR="0" wp14:anchorId="711F53B3" wp14:editId="59DAFBE0">
            <wp:extent cx="2760133" cy="3200400"/>
            <wp:effectExtent l="0" t="0" r="889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Pr="00A472FC">
        <w:rPr>
          <w:rFonts w:ascii="Times New Roman" w:hAnsi="Times New Roman" w:cs="Times New Roman"/>
        </w:rPr>
        <w:t xml:space="preserve">    </w:t>
      </w:r>
      <w:r w:rsidRPr="00A472FC">
        <w:rPr>
          <w:rFonts w:ascii="Times New Roman" w:hAnsi="Times New Roman" w:cs="Times New Roman"/>
          <w:noProof/>
        </w:rPr>
        <w:drawing>
          <wp:inline distT="0" distB="0" distL="0" distR="0" wp14:anchorId="40FDB856" wp14:editId="5F4C0CFC">
            <wp:extent cx="2760133" cy="3200400"/>
            <wp:effectExtent l="0" t="0" r="889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5117FF1" w14:textId="77777777" w:rsidR="004C1CD7" w:rsidRPr="00A472FC" w:rsidRDefault="004C1CD7" w:rsidP="00881604">
      <w:pPr>
        <w:ind w:right="-52"/>
        <w:rPr>
          <w:rFonts w:ascii="Times New Roman" w:hAnsi="Times New Roman" w:cs="Times New Roman"/>
        </w:rPr>
      </w:pPr>
    </w:p>
    <w:p w14:paraId="2B66020A" w14:textId="77777777" w:rsidR="004C1CD7" w:rsidRPr="00A472FC" w:rsidRDefault="004C1CD7" w:rsidP="00881604">
      <w:pPr>
        <w:ind w:right="-52"/>
        <w:rPr>
          <w:rFonts w:ascii="Times New Roman" w:hAnsi="Times New Roman" w:cs="Times New Roman"/>
        </w:rPr>
      </w:pPr>
      <w:r w:rsidRPr="00A472FC">
        <w:rPr>
          <w:rFonts w:ascii="Times New Roman" w:hAnsi="Times New Roman" w:cs="Times New Roman"/>
          <w:noProof/>
        </w:rPr>
        <w:drawing>
          <wp:inline distT="0" distB="0" distL="0" distR="0" wp14:anchorId="6468851A" wp14:editId="18C72830">
            <wp:extent cx="5452533" cy="922867"/>
            <wp:effectExtent l="0" t="0" r="2159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03690A09" w14:textId="77777777" w:rsidR="004C1CD7" w:rsidRPr="00A472FC" w:rsidRDefault="004C1CD7" w:rsidP="00881604">
      <w:pPr>
        <w:ind w:right="-52"/>
        <w:rPr>
          <w:rFonts w:ascii="Times New Roman" w:hAnsi="Times New Roman" w:cs="Times New Roman"/>
        </w:rPr>
      </w:pPr>
    </w:p>
    <w:p w14:paraId="6FB2AAEC" w14:textId="77777777" w:rsidR="004C1CD7" w:rsidRPr="00A472FC" w:rsidRDefault="004C1CD7" w:rsidP="00881604">
      <w:pPr>
        <w:ind w:right="-52"/>
        <w:rPr>
          <w:rFonts w:ascii="Times New Roman" w:hAnsi="Times New Roman" w:cs="Times New Roman"/>
        </w:rPr>
      </w:pPr>
      <w:r w:rsidRPr="00A472FC">
        <w:rPr>
          <w:rFonts w:ascii="Times New Roman" w:hAnsi="Times New Roman" w:cs="Times New Roman"/>
          <w:noProof/>
        </w:rPr>
        <w:drawing>
          <wp:inline distT="0" distB="0" distL="0" distR="0" wp14:anchorId="2B5D88F0" wp14:editId="3E5B2E50">
            <wp:extent cx="5452533" cy="922867"/>
            <wp:effectExtent l="0" t="0" r="2159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4540DA8" w14:textId="77777777" w:rsidR="004C1CD7" w:rsidRPr="00A472FC" w:rsidRDefault="004C1CD7" w:rsidP="00881604">
      <w:pPr>
        <w:ind w:right="-52"/>
        <w:rPr>
          <w:rFonts w:ascii="Times New Roman" w:hAnsi="Times New Roman" w:cs="Times New Roman"/>
        </w:rPr>
      </w:pPr>
    </w:p>
    <w:p w14:paraId="179CAB7E" w14:textId="77777777" w:rsidR="004C1CD7" w:rsidRPr="00A472FC" w:rsidRDefault="004C1CD7" w:rsidP="00881604">
      <w:pPr>
        <w:ind w:right="-52"/>
        <w:rPr>
          <w:rFonts w:ascii="Times New Roman" w:hAnsi="Times New Roman" w:cs="Times New Roman"/>
        </w:rPr>
      </w:pPr>
      <w:r w:rsidRPr="00A472FC">
        <w:rPr>
          <w:rFonts w:ascii="Times New Roman" w:hAnsi="Times New Roman" w:cs="Times New Roman"/>
          <w:noProof/>
        </w:rPr>
        <w:drawing>
          <wp:inline distT="0" distB="0" distL="0" distR="0" wp14:anchorId="4B0C85B5" wp14:editId="3A725801">
            <wp:extent cx="5452533" cy="922867"/>
            <wp:effectExtent l="0" t="0" r="3429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706BC2DC" w14:textId="77777777" w:rsidR="004C1CD7" w:rsidRPr="00A472FC" w:rsidRDefault="004C1CD7" w:rsidP="00881604">
      <w:pPr>
        <w:ind w:right="-52"/>
        <w:rPr>
          <w:rFonts w:ascii="Times New Roman" w:hAnsi="Times New Roman" w:cs="Times New Roman"/>
        </w:rPr>
      </w:pPr>
    </w:p>
    <w:p w14:paraId="199B88A7" w14:textId="77777777" w:rsidR="007A06C5" w:rsidRPr="00A472FC" w:rsidRDefault="007A06C5" w:rsidP="00881604">
      <w:pPr>
        <w:ind w:right="-52"/>
        <w:rPr>
          <w:rFonts w:ascii="Times New Roman" w:hAnsi="Times New Roman" w:cs="Times New Roman"/>
        </w:rPr>
        <w:sectPr w:rsidR="007A06C5" w:rsidRPr="00A472FC" w:rsidSect="00983A9E">
          <w:endnotePr>
            <w:numFmt w:val="decimal"/>
          </w:endnotePr>
          <w:pgSz w:w="11900" w:h="16840"/>
          <w:pgMar w:top="1440" w:right="1440" w:bottom="1440" w:left="1440" w:header="720" w:footer="720" w:gutter="0"/>
          <w:cols w:space="720"/>
          <w:docGrid w:linePitch="360"/>
        </w:sectPr>
      </w:pPr>
    </w:p>
    <w:p w14:paraId="38FB87E2" w14:textId="53CDCF6E" w:rsidR="004C1CD7" w:rsidRPr="00A472FC" w:rsidRDefault="004C1CD7" w:rsidP="00881604">
      <w:pPr>
        <w:ind w:right="-52"/>
        <w:rPr>
          <w:rFonts w:ascii="Times New Roman" w:hAnsi="Times New Roman" w:cs="Times New Roman"/>
        </w:rPr>
        <w:sectPr w:rsidR="004C1CD7" w:rsidRPr="00A472FC" w:rsidSect="007A06C5">
          <w:endnotePr>
            <w:numFmt w:val="decimal"/>
          </w:endnotePr>
          <w:type w:val="continuous"/>
          <w:pgSz w:w="11900" w:h="16840"/>
          <w:pgMar w:top="1440" w:right="1440" w:bottom="1440" w:left="1440" w:header="720" w:footer="720" w:gutter="0"/>
          <w:cols w:space="720"/>
          <w:docGrid w:linePitch="360"/>
        </w:sectPr>
      </w:pPr>
    </w:p>
    <w:p w14:paraId="696463A4" w14:textId="77B53E58" w:rsidR="00665333" w:rsidRPr="00A472FC" w:rsidRDefault="00665333" w:rsidP="00881604">
      <w:pPr>
        <w:ind w:right="-52"/>
        <w:rPr>
          <w:rFonts w:ascii="Times New Roman" w:hAnsi="Times New Roman" w:cs="Times New Roman"/>
        </w:rPr>
        <w:sectPr w:rsidR="00665333" w:rsidRPr="00A472FC" w:rsidSect="009B726A">
          <w:footerReference w:type="even" r:id="rId45"/>
          <w:footerReference w:type="default" r:id="rId46"/>
          <w:footnotePr>
            <w:numRestart w:val="eachSect"/>
          </w:footnotePr>
          <w:endnotePr>
            <w:numFmt w:val="decimal"/>
          </w:endnotePr>
          <w:type w:val="continuous"/>
          <w:pgSz w:w="11900" w:h="16840"/>
          <w:pgMar w:top="1440" w:right="1440" w:bottom="1440" w:left="1440" w:header="720" w:footer="720" w:gutter="0"/>
          <w:cols w:space="720"/>
          <w:docGrid w:linePitch="360"/>
        </w:sectPr>
      </w:pPr>
    </w:p>
    <w:p w14:paraId="37A89867" w14:textId="77777777" w:rsidR="00E212D3" w:rsidRPr="00A472FC" w:rsidRDefault="00E212D3" w:rsidP="00E212D3">
      <w:pPr>
        <w:autoSpaceDE w:val="0"/>
        <w:autoSpaceDN w:val="0"/>
        <w:adjustRightInd w:val="0"/>
        <w:ind w:right="-52"/>
        <w:rPr>
          <w:rFonts w:ascii="Times New Roman" w:hAnsi="Times New Roman" w:cs="Times New Roman"/>
          <w:b/>
          <w:i/>
          <w:kern w:val="1"/>
          <w:lang w:val="en-US"/>
        </w:rPr>
      </w:pPr>
      <w:r w:rsidRPr="00A472FC">
        <w:rPr>
          <w:rFonts w:ascii="Times New Roman" w:hAnsi="Times New Roman" w:cs="Times New Roman"/>
          <w:b/>
          <w:kern w:val="1"/>
          <w:lang w:val="en-US"/>
        </w:rPr>
        <w:lastRenderedPageBreak/>
        <w:t xml:space="preserve">5. Cognitive Powers: John of La Rochelle’s </w:t>
      </w:r>
      <w:proofErr w:type="spellStart"/>
      <w:r w:rsidRPr="00A472FC">
        <w:rPr>
          <w:rFonts w:ascii="Times New Roman" w:hAnsi="Times New Roman" w:cs="Times New Roman"/>
          <w:b/>
          <w:i/>
          <w:kern w:val="1"/>
          <w:lang w:val="en-US"/>
        </w:rPr>
        <w:t>Tractatus</w:t>
      </w:r>
      <w:proofErr w:type="spellEnd"/>
    </w:p>
    <w:p w14:paraId="59EB66BB" w14:textId="77777777" w:rsidR="00E212D3" w:rsidRPr="00A472FC" w:rsidRDefault="00E212D3" w:rsidP="00E212D3">
      <w:pPr>
        <w:autoSpaceDE w:val="0"/>
        <w:autoSpaceDN w:val="0"/>
        <w:adjustRightInd w:val="0"/>
        <w:ind w:right="-52"/>
        <w:rPr>
          <w:rFonts w:ascii="Times New Roman" w:hAnsi="Times New Roman" w:cs="Times New Roman"/>
          <w:kern w:val="1"/>
          <w:lang w:val="en-US"/>
        </w:rPr>
      </w:pPr>
    </w:p>
    <w:p w14:paraId="36D1006E" w14:textId="77777777" w:rsidR="00E212D3" w:rsidRPr="00A472FC" w:rsidRDefault="00E212D3" w:rsidP="00E212D3">
      <w:pPr>
        <w:autoSpaceDE w:val="0"/>
        <w:autoSpaceDN w:val="0"/>
        <w:adjustRightInd w:val="0"/>
        <w:ind w:right="-52"/>
        <w:rPr>
          <w:rFonts w:ascii="Times New Roman" w:hAnsi="Times New Roman" w:cs="Times New Roman"/>
          <w:i/>
          <w:kern w:val="1"/>
          <w:u w:val="single"/>
          <w:lang w:val="en-US"/>
        </w:rPr>
      </w:pPr>
      <w:r w:rsidRPr="00A472FC">
        <w:rPr>
          <w:rFonts w:ascii="Times New Roman" w:hAnsi="Times New Roman" w:cs="Times New Roman"/>
          <w:kern w:val="1"/>
          <w:u w:val="single"/>
          <w:lang w:val="en-US"/>
        </w:rPr>
        <w:t xml:space="preserve">The </w:t>
      </w:r>
      <w:proofErr w:type="spellStart"/>
      <w:r w:rsidRPr="00A472FC">
        <w:rPr>
          <w:rFonts w:ascii="Times New Roman" w:hAnsi="Times New Roman" w:cs="Times New Roman"/>
          <w:i/>
          <w:kern w:val="1"/>
          <w:u w:val="single"/>
          <w:lang w:val="en-US"/>
        </w:rPr>
        <w:t>Tractatus</w:t>
      </w:r>
      <w:proofErr w:type="spellEnd"/>
      <w:r w:rsidRPr="00A472FC">
        <w:rPr>
          <w:rFonts w:ascii="Times New Roman" w:hAnsi="Times New Roman" w:cs="Times New Roman"/>
          <w:kern w:val="1"/>
          <w:u w:val="single"/>
          <w:lang w:val="en-US"/>
        </w:rPr>
        <w:t xml:space="preserve"> and the </w:t>
      </w:r>
      <w:r w:rsidRPr="00A472FC">
        <w:rPr>
          <w:rFonts w:ascii="Times New Roman" w:hAnsi="Times New Roman" w:cs="Times New Roman"/>
          <w:i/>
          <w:kern w:val="1"/>
          <w:u w:val="single"/>
          <w:lang w:val="en-US"/>
        </w:rPr>
        <w:t>Summa de anima</w:t>
      </w:r>
    </w:p>
    <w:p w14:paraId="0B0A5667" w14:textId="77777777" w:rsidR="00E212D3" w:rsidRPr="00A472FC" w:rsidRDefault="00E212D3" w:rsidP="00E212D3">
      <w:pPr>
        <w:autoSpaceDE w:val="0"/>
        <w:autoSpaceDN w:val="0"/>
        <w:adjustRightInd w:val="0"/>
        <w:ind w:right="-52"/>
        <w:rPr>
          <w:rFonts w:ascii="Times New Roman" w:hAnsi="Times New Roman" w:cs="Times New Roman"/>
          <w:kern w:val="1"/>
          <w:lang w:val="en-US"/>
        </w:rPr>
      </w:pPr>
    </w:p>
    <w:p w14:paraId="26A16A1D" w14:textId="34A024D2" w:rsidR="00E212D3" w:rsidRPr="00A472FC" w:rsidRDefault="00E212D3" w:rsidP="00D53B19">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t xml:space="preserve">The focus of this chapter is the </w:t>
      </w:r>
      <w:proofErr w:type="spellStart"/>
      <w:r w:rsidRPr="00A472FC">
        <w:rPr>
          <w:rFonts w:ascii="Times New Roman" w:hAnsi="Times New Roman" w:cs="Times New Roman"/>
          <w:i/>
          <w:kern w:val="1"/>
          <w:lang w:val="en-US"/>
        </w:rPr>
        <w:t>Tractatus</w:t>
      </w:r>
      <w:proofErr w:type="spellEnd"/>
      <w:r w:rsidRPr="00A472FC">
        <w:rPr>
          <w:rFonts w:ascii="Times New Roman" w:hAnsi="Times New Roman" w:cs="Times New Roman"/>
          <w:kern w:val="1"/>
          <w:lang w:val="en-US"/>
        </w:rPr>
        <w:t xml:space="preserve">’ treatment of the different classifications of the powers of the soul, which is based on </w:t>
      </w:r>
      <w:r w:rsidR="00BE19F4" w:rsidRPr="00A472FC">
        <w:rPr>
          <w:rFonts w:ascii="Times New Roman" w:hAnsi="Times New Roman" w:cs="Times New Roman"/>
          <w:kern w:val="1"/>
          <w:lang w:val="en-US"/>
        </w:rPr>
        <w:t xml:space="preserve">the works of </w:t>
      </w:r>
      <w:r w:rsidRPr="00A472FC">
        <w:rPr>
          <w:rFonts w:ascii="Times New Roman" w:hAnsi="Times New Roman" w:cs="Times New Roman"/>
          <w:kern w:val="1"/>
          <w:lang w:val="en-US"/>
        </w:rPr>
        <w:t xml:space="preserve">Avicenna, </w:t>
      </w:r>
      <w:proofErr w:type="spellStart"/>
      <w:r w:rsidR="00EF6316" w:rsidRPr="00A472FC">
        <w:rPr>
          <w:rFonts w:ascii="Times New Roman" w:hAnsi="Times New Roman" w:cs="Times New Roman"/>
          <w:kern w:val="1"/>
          <w:lang w:val="en-US"/>
        </w:rPr>
        <w:t>Johannitius</w:t>
      </w:r>
      <w:proofErr w:type="spellEnd"/>
      <w:r w:rsidR="00EF6316" w:rsidRPr="00A472FC">
        <w:rPr>
          <w:rFonts w:ascii="Times New Roman" w:hAnsi="Times New Roman" w:cs="Times New Roman"/>
          <w:kern w:val="1"/>
          <w:lang w:val="en-US"/>
        </w:rPr>
        <w:t xml:space="preserve">, </w:t>
      </w:r>
      <w:r w:rsidRPr="00A472FC">
        <w:rPr>
          <w:rFonts w:ascii="Times New Roman" w:hAnsi="Times New Roman" w:cs="Times New Roman"/>
          <w:kern w:val="1"/>
          <w:lang w:val="en-US"/>
        </w:rPr>
        <w:t>Damascus, and pseudo-Augustine</w:t>
      </w:r>
      <w:r w:rsidR="00756D25" w:rsidRPr="00A472FC">
        <w:rPr>
          <w:rFonts w:ascii="Times New Roman" w:hAnsi="Times New Roman" w:cs="Times New Roman"/>
          <w:kern w:val="1"/>
          <w:lang w:val="en-US"/>
        </w:rPr>
        <w:t>, in that order</w:t>
      </w:r>
      <w:r w:rsidRPr="00A472FC">
        <w:rPr>
          <w:rFonts w:ascii="Times New Roman" w:hAnsi="Times New Roman" w:cs="Times New Roman"/>
          <w:kern w:val="1"/>
          <w:lang w:val="en-US"/>
        </w:rPr>
        <w:t xml:space="preserve">. At the outset, some initial reflections are in order regarding the relationship of this text to the </w:t>
      </w:r>
      <w:r w:rsidRPr="00A472FC">
        <w:rPr>
          <w:rFonts w:ascii="Times New Roman" w:hAnsi="Times New Roman" w:cs="Times New Roman"/>
          <w:i/>
          <w:kern w:val="1"/>
          <w:lang w:val="en-US"/>
        </w:rPr>
        <w:t>Summa de anima</w:t>
      </w:r>
      <w:r w:rsidRPr="00A472FC">
        <w:rPr>
          <w:rFonts w:ascii="Times New Roman" w:hAnsi="Times New Roman" w:cs="Times New Roman"/>
          <w:kern w:val="1"/>
          <w:lang w:val="en-US"/>
        </w:rPr>
        <w:t xml:space="preserve"> which will be discussed in the next chapter. </w:t>
      </w:r>
      <w:r w:rsidR="00FB340F" w:rsidRPr="00A472FC">
        <w:rPr>
          <w:rFonts w:ascii="Times New Roman" w:hAnsi="Times New Roman" w:cs="Times New Roman"/>
          <w:kern w:val="1"/>
          <w:lang w:val="en-US"/>
        </w:rPr>
        <w:t>Th</w:t>
      </w:r>
      <w:r w:rsidR="00DA0DDB" w:rsidRPr="00A472FC">
        <w:rPr>
          <w:rFonts w:ascii="Times New Roman" w:hAnsi="Times New Roman" w:cs="Times New Roman"/>
          <w:kern w:val="1"/>
          <w:lang w:val="en-US"/>
        </w:rPr>
        <w:t>e latter</w:t>
      </w:r>
      <w:r w:rsidR="00FB340F" w:rsidRPr="00A472FC">
        <w:rPr>
          <w:rFonts w:ascii="Times New Roman" w:hAnsi="Times New Roman" w:cs="Times New Roman"/>
          <w:kern w:val="1"/>
          <w:lang w:val="en-US"/>
        </w:rPr>
        <w:t xml:space="preserve"> work treated the classifications in a different </w:t>
      </w:r>
      <w:r w:rsidR="00D53B19" w:rsidRPr="00A472FC">
        <w:rPr>
          <w:rFonts w:ascii="Times New Roman" w:hAnsi="Times New Roman" w:cs="Times New Roman"/>
          <w:kern w:val="1"/>
          <w:lang w:val="en-US"/>
        </w:rPr>
        <w:t xml:space="preserve">order </w:t>
      </w:r>
      <w:r w:rsidR="00B71538" w:rsidRPr="00A472FC">
        <w:rPr>
          <w:rFonts w:ascii="Times New Roman" w:hAnsi="Times New Roman" w:cs="Times New Roman"/>
          <w:kern w:val="1"/>
          <w:lang w:val="en-US"/>
        </w:rPr>
        <w:t xml:space="preserve">to the </w:t>
      </w:r>
      <w:proofErr w:type="spellStart"/>
      <w:r w:rsidR="00B71538" w:rsidRPr="00A472FC">
        <w:rPr>
          <w:rFonts w:ascii="Times New Roman" w:hAnsi="Times New Roman" w:cs="Times New Roman"/>
          <w:i/>
          <w:iCs/>
          <w:kern w:val="1"/>
          <w:lang w:val="en-US"/>
        </w:rPr>
        <w:t>Tractatus</w:t>
      </w:r>
      <w:proofErr w:type="spellEnd"/>
      <w:r w:rsidR="00B71538" w:rsidRPr="00A472FC">
        <w:rPr>
          <w:rFonts w:ascii="Times New Roman" w:hAnsi="Times New Roman" w:cs="Times New Roman"/>
          <w:kern w:val="1"/>
          <w:lang w:val="en-US"/>
        </w:rPr>
        <w:t xml:space="preserve">, </w:t>
      </w:r>
      <w:r w:rsidR="00D53B19" w:rsidRPr="00A472FC">
        <w:rPr>
          <w:rFonts w:ascii="Times New Roman" w:hAnsi="Times New Roman" w:cs="Times New Roman"/>
          <w:kern w:val="1"/>
          <w:lang w:val="en-US"/>
        </w:rPr>
        <w:t>covering pseudo-</w:t>
      </w:r>
      <w:r w:rsidR="00FB340F" w:rsidRPr="00A472FC">
        <w:rPr>
          <w:rFonts w:ascii="Times New Roman" w:hAnsi="Times New Roman" w:cs="Times New Roman"/>
        </w:rPr>
        <w:t>Augustine, Damascus, and finally Avicenna</w:t>
      </w:r>
      <w:r w:rsidR="00CB24B2" w:rsidRPr="00A472FC">
        <w:rPr>
          <w:rFonts w:ascii="Times New Roman" w:hAnsi="Times New Roman" w:cs="Times New Roman"/>
        </w:rPr>
        <w:t xml:space="preserve">, excluding </w:t>
      </w:r>
      <w:r w:rsidR="002C4C78" w:rsidRPr="00A472FC">
        <w:rPr>
          <w:rFonts w:ascii="Times New Roman" w:hAnsi="Times New Roman" w:cs="Times New Roman"/>
        </w:rPr>
        <w:t xml:space="preserve">only </w:t>
      </w:r>
      <w:r w:rsidR="00CB24B2" w:rsidRPr="00A472FC">
        <w:rPr>
          <w:rFonts w:ascii="Times New Roman" w:hAnsi="Times New Roman" w:cs="Times New Roman"/>
        </w:rPr>
        <w:t xml:space="preserve">the treatment of </w:t>
      </w:r>
      <w:proofErr w:type="spellStart"/>
      <w:r w:rsidR="00CB24B2" w:rsidRPr="00A472FC">
        <w:rPr>
          <w:rFonts w:ascii="Times New Roman" w:hAnsi="Times New Roman" w:cs="Times New Roman"/>
        </w:rPr>
        <w:t>Johannitius</w:t>
      </w:r>
      <w:proofErr w:type="spellEnd"/>
      <w:r w:rsidR="00CB24B2" w:rsidRPr="00A472FC">
        <w:rPr>
          <w:rFonts w:ascii="Times New Roman" w:hAnsi="Times New Roman" w:cs="Times New Roman"/>
        </w:rPr>
        <w:t>’ medical categories</w:t>
      </w:r>
      <w:r w:rsidR="00D53B19" w:rsidRPr="00A472FC">
        <w:rPr>
          <w:rFonts w:ascii="Times New Roman" w:hAnsi="Times New Roman" w:cs="Times New Roman"/>
          <w:kern w:val="1"/>
          <w:lang w:val="en-US"/>
        </w:rPr>
        <w:t xml:space="preserve">. </w:t>
      </w:r>
      <w:r w:rsidRPr="00A472FC">
        <w:rPr>
          <w:rFonts w:ascii="Times New Roman" w:hAnsi="Times New Roman" w:cs="Times New Roman"/>
          <w:kern w:val="1"/>
          <w:lang w:val="en-US"/>
        </w:rPr>
        <w:t xml:space="preserve">Many years ago, Lottin wrote articles on the relationship between the </w:t>
      </w:r>
      <w:proofErr w:type="spellStart"/>
      <w:r w:rsidR="000F411B" w:rsidRPr="00A472FC">
        <w:rPr>
          <w:rFonts w:ascii="Times New Roman" w:hAnsi="Times New Roman" w:cs="Times New Roman"/>
          <w:i/>
          <w:iCs/>
          <w:kern w:val="1"/>
          <w:lang w:val="en-US"/>
        </w:rPr>
        <w:t>Tractatus</w:t>
      </w:r>
      <w:proofErr w:type="spellEnd"/>
      <w:r w:rsidR="000F411B" w:rsidRPr="00A472FC">
        <w:rPr>
          <w:rFonts w:ascii="Times New Roman" w:hAnsi="Times New Roman" w:cs="Times New Roman"/>
          <w:kern w:val="1"/>
          <w:lang w:val="en-US"/>
        </w:rPr>
        <w:t xml:space="preserve"> and the </w:t>
      </w:r>
      <w:r w:rsidR="00421DE6" w:rsidRPr="00A472FC">
        <w:rPr>
          <w:rFonts w:ascii="Times New Roman" w:hAnsi="Times New Roman" w:cs="Times New Roman"/>
          <w:kern w:val="1"/>
          <w:lang w:val="en-US"/>
        </w:rPr>
        <w:t>SDA</w:t>
      </w:r>
      <w:r w:rsidRPr="00A472FC">
        <w:rPr>
          <w:rFonts w:ascii="Times New Roman" w:hAnsi="Times New Roman" w:cs="Times New Roman"/>
          <w:kern w:val="1"/>
          <w:lang w:val="en-US"/>
        </w:rPr>
        <w:t xml:space="preserve">. However, these are somewhat outdated, as they were written </w:t>
      </w:r>
      <w:r w:rsidRPr="00A472FC">
        <w:rPr>
          <w:rFonts w:ascii="Times New Roman" w:hAnsi="Times New Roman" w:cs="Times New Roman"/>
          <w:iCs/>
          <w:kern w:val="1"/>
          <w:lang w:val="en-US"/>
        </w:rPr>
        <w:t>before</w:t>
      </w:r>
      <w:r w:rsidRPr="00A472FC">
        <w:rPr>
          <w:rFonts w:ascii="Times New Roman" w:hAnsi="Times New Roman" w:cs="Times New Roman"/>
          <w:kern w:val="1"/>
          <w:lang w:val="en-US"/>
        </w:rPr>
        <w:t xml:space="preserve"> critical editions of the texts were prepared, and mainly sought to establish the temporal priority of the </w:t>
      </w:r>
      <w:proofErr w:type="spellStart"/>
      <w:r w:rsidRPr="00A472FC">
        <w:rPr>
          <w:rFonts w:ascii="Times New Roman" w:hAnsi="Times New Roman" w:cs="Times New Roman"/>
          <w:i/>
          <w:kern w:val="1"/>
          <w:lang w:val="en-US"/>
        </w:rPr>
        <w:t>Tractatus</w:t>
      </w:r>
      <w:proofErr w:type="spellEnd"/>
      <w:r w:rsidRPr="00A472FC">
        <w:rPr>
          <w:rFonts w:ascii="Times New Roman" w:hAnsi="Times New Roman" w:cs="Times New Roman"/>
          <w:kern w:val="1"/>
          <w:lang w:val="en-US"/>
        </w:rPr>
        <w:t xml:space="preserve"> to the </w:t>
      </w:r>
      <w:r w:rsidRPr="00A472FC">
        <w:rPr>
          <w:rFonts w:ascii="Times New Roman" w:hAnsi="Times New Roman" w:cs="Times New Roman"/>
          <w:i/>
          <w:iCs/>
          <w:kern w:val="1"/>
          <w:lang w:val="en-US"/>
        </w:rPr>
        <w:t xml:space="preserve">Summa </w:t>
      </w:r>
      <w:r w:rsidRPr="00A472FC">
        <w:rPr>
          <w:rFonts w:ascii="Times New Roman" w:hAnsi="Times New Roman" w:cs="Times New Roman"/>
          <w:kern w:val="1"/>
          <w:lang w:val="en-US"/>
        </w:rPr>
        <w:t xml:space="preserve">and the authenticity of the </w:t>
      </w:r>
      <w:proofErr w:type="spellStart"/>
      <w:r w:rsidRPr="00A472FC">
        <w:rPr>
          <w:rFonts w:ascii="Times New Roman" w:hAnsi="Times New Roman" w:cs="Times New Roman"/>
          <w:i/>
          <w:kern w:val="1"/>
          <w:lang w:val="en-US"/>
        </w:rPr>
        <w:t>Tractatus</w:t>
      </w:r>
      <w:proofErr w:type="spellEnd"/>
      <w:r w:rsidRPr="00A472FC">
        <w:rPr>
          <w:rFonts w:ascii="Times New Roman" w:hAnsi="Times New Roman" w:cs="Times New Roman"/>
          <w:kern w:val="1"/>
          <w:lang w:val="en-US"/>
        </w:rPr>
        <w:t xml:space="preserve"> as Rochelle’s own work</w:t>
      </w:r>
      <w:r w:rsidR="00CA4A63" w:rsidRPr="00A472FC">
        <w:rPr>
          <w:rFonts w:ascii="Times New Roman" w:hAnsi="Times New Roman" w:cs="Times New Roman"/>
          <w:kern w:val="1"/>
          <w:lang w:val="en-US"/>
        </w:rPr>
        <w:t xml:space="preserve">. Both </w:t>
      </w:r>
      <w:r w:rsidRPr="00A472FC">
        <w:rPr>
          <w:rFonts w:ascii="Times New Roman" w:hAnsi="Times New Roman" w:cs="Times New Roman"/>
          <w:kern w:val="1"/>
          <w:lang w:val="en-US"/>
        </w:rPr>
        <w:t xml:space="preserve">of </w:t>
      </w:r>
      <w:r w:rsidR="00CA4A63" w:rsidRPr="00A472FC">
        <w:rPr>
          <w:rFonts w:ascii="Times New Roman" w:hAnsi="Times New Roman" w:cs="Times New Roman"/>
          <w:kern w:val="1"/>
          <w:lang w:val="en-US"/>
        </w:rPr>
        <w:t>these questions</w:t>
      </w:r>
      <w:r w:rsidRPr="00A472FC">
        <w:rPr>
          <w:rFonts w:ascii="Times New Roman" w:hAnsi="Times New Roman" w:cs="Times New Roman"/>
          <w:kern w:val="1"/>
          <w:lang w:val="en-US"/>
        </w:rPr>
        <w:t xml:space="preserve"> have now been definitively </w:t>
      </w:r>
      <w:r w:rsidR="00CA4A63" w:rsidRPr="00A472FC">
        <w:rPr>
          <w:rFonts w:ascii="Times New Roman" w:hAnsi="Times New Roman" w:cs="Times New Roman"/>
          <w:kern w:val="1"/>
          <w:lang w:val="en-US"/>
        </w:rPr>
        <w:t>answered</w:t>
      </w:r>
      <w:r w:rsidRPr="00A472FC">
        <w:rPr>
          <w:rFonts w:ascii="Times New Roman" w:hAnsi="Times New Roman" w:cs="Times New Roman"/>
          <w:kern w:val="1"/>
          <w:lang w:val="en-US"/>
        </w:rPr>
        <w:t xml:space="preserve"> by the editions themselves.</w:t>
      </w:r>
      <w:r w:rsidRPr="00A472FC">
        <w:rPr>
          <w:rStyle w:val="FootnoteReference"/>
          <w:rFonts w:ascii="Times New Roman" w:hAnsi="Times New Roman" w:cs="Times New Roman"/>
          <w:kern w:val="1"/>
          <w:lang w:val="en-US"/>
        </w:rPr>
        <w:footnoteReference w:id="576"/>
      </w:r>
      <w:r w:rsidRPr="00A472FC">
        <w:rPr>
          <w:rFonts w:ascii="Times New Roman" w:hAnsi="Times New Roman" w:cs="Times New Roman"/>
          <w:kern w:val="1"/>
          <w:lang w:val="en-US"/>
        </w:rPr>
        <w:t xml:space="preserve">  </w:t>
      </w:r>
    </w:p>
    <w:p w14:paraId="197092F5" w14:textId="26351E2D" w:rsidR="00E212D3" w:rsidRPr="00A472FC" w:rsidRDefault="00E212D3" w:rsidP="00E212D3">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t xml:space="preserve">As noted in chapter one, we know from the editions that the date of the </w:t>
      </w:r>
      <w:proofErr w:type="spellStart"/>
      <w:r w:rsidRPr="00A472FC">
        <w:rPr>
          <w:rFonts w:ascii="Times New Roman" w:hAnsi="Times New Roman" w:cs="Times New Roman"/>
          <w:i/>
          <w:kern w:val="1"/>
          <w:lang w:val="en-US"/>
        </w:rPr>
        <w:t>Tractatus</w:t>
      </w:r>
      <w:proofErr w:type="spellEnd"/>
      <w:r w:rsidRPr="00A472FC">
        <w:rPr>
          <w:rFonts w:ascii="Times New Roman" w:hAnsi="Times New Roman" w:cs="Times New Roman"/>
          <w:kern w:val="1"/>
          <w:lang w:val="en-US"/>
        </w:rPr>
        <w:t xml:space="preserve"> was probably around 1232 while the SDA is slightly later and before 1236. According to </w:t>
      </w:r>
      <w:proofErr w:type="spellStart"/>
      <w:r w:rsidRPr="00A472FC">
        <w:rPr>
          <w:rFonts w:ascii="Times New Roman" w:hAnsi="Times New Roman" w:cs="Times New Roman"/>
          <w:kern w:val="1"/>
          <w:lang w:val="en-US"/>
        </w:rPr>
        <w:t>Michaud-Quantin</w:t>
      </w:r>
      <w:proofErr w:type="spellEnd"/>
      <w:r w:rsidRPr="00A472FC">
        <w:rPr>
          <w:rFonts w:ascii="Times New Roman" w:hAnsi="Times New Roman" w:cs="Times New Roman"/>
          <w:kern w:val="1"/>
          <w:lang w:val="en-US"/>
        </w:rPr>
        <w:t xml:space="preserve">, the editor of the </w:t>
      </w:r>
      <w:proofErr w:type="spellStart"/>
      <w:r w:rsidRPr="00A472FC">
        <w:rPr>
          <w:rFonts w:ascii="Times New Roman" w:hAnsi="Times New Roman" w:cs="Times New Roman"/>
          <w:i/>
          <w:kern w:val="1"/>
          <w:lang w:val="en-US"/>
        </w:rPr>
        <w:t>Tractatus</w:t>
      </w:r>
      <w:proofErr w:type="spellEnd"/>
      <w:r w:rsidRPr="00A472FC">
        <w:rPr>
          <w:rFonts w:ascii="Times New Roman" w:hAnsi="Times New Roman" w:cs="Times New Roman"/>
          <w:kern w:val="1"/>
          <w:lang w:val="en-US"/>
        </w:rPr>
        <w:t xml:space="preserve">, the SDA rather than the </w:t>
      </w:r>
      <w:proofErr w:type="spellStart"/>
      <w:r w:rsidRPr="00A472FC">
        <w:rPr>
          <w:rFonts w:ascii="Times New Roman" w:hAnsi="Times New Roman" w:cs="Times New Roman"/>
          <w:i/>
          <w:kern w:val="1"/>
          <w:lang w:val="en-US"/>
        </w:rPr>
        <w:t>Tractatus</w:t>
      </w:r>
      <w:proofErr w:type="spellEnd"/>
      <w:r w:rsidRPr="00A472FC">
        <w:rPr>
          <w:rFonts w:ascii="Times New Roman" w:hAnsi="Times New Roman" w:cs="Times New Roman"/>
          <w:kern w:val="1"/>
          <w:lang w:val="en-US"/>
        </w:rPr>
        <w:t xml:space="preserve"> seems to have been used by the author of the section on the rational soul in the </w:t>
      </w:r>
      <w:r w:rsidRPr="00A472FC">
        <w:rPr>
          <w:rFonts w:ascii="Times New Roman" w:hAnsi="Times New Roman" w:cs="Times New Roman"/>
          <w:i/>
          <w:kern w:val="1"/>
          <w:lang w:val="en-US"/>
        </w:rPr>
        <w:t xml:space="preserve">Summa </w:t>
      </w:r>
      <w:proofErr w:type="spellStart"/>
      <w:r w:rsidRPr="00A472FC">
        <w:rPr>
          <w:rFonts w:ascii="Times New Roman" w:hAnsi="Times New Roman" w:cs="Times New Roman"/>
          <w:i/>
          <w:kern w:val="1"/>
          <w:lang w:val="en-US"/>
        </w:rPr>
        <w:t>Halensis</w:t>
      </w:r>
      <w:proofErr w:type="spellEnd"/>
      <w:r w:rsidRPr="00A472FC">
        <w:rPr>
          <w:rFonts w:ascii="Times New Roman" w:hAnsi="Times New Roman" w:cs="Times New Roman"/>
          <w:iCs/>
          <w:kern w:val="1"/>
          <w:lang w:val="en-US"/>
        </w:rPr>
        <w:t>,</w:t>
      </w:r>
      <w:r w:rsidRPr="00A472FC">
        <w:rPr>
          <w:rFonts w:ascii="Times New Roman" w:hAnsi="Times New Roman" w:cs="Times New Roman"/>
          <w:i/>
          <w:kern w:val="1"/>
          <w:lang w:val="en-US"/>
        </w:rPr>
        <w:t xml:space="preserve"> </w:t>
      </w:r>
      <w:r w:rsidRPr="00A472FC">
        <w:rPr>
          <w:rFonts w:ascii="Times New Roman" w:hAnsi="Times New Roman" w:cs="Times New Roman"/>
          <w:kern w:val="1"/>
          <w:lang w:val="en-US"/>
        </w:rPr>
        <w:t xml:space="preserve">and for this reason, </w:t>
      </w:r>
      <w:proofErr w:type="spellStart"/>
      <w:r w:rsidRPr="00A472FC">
        <w:rPr>
          <w:rFonts w:ascii="Times New Roman" w:hAnsi="Times New Roman" w:cs="Times New Roman"/>
          <w:kern w:val="1"/>
          <w:lang w:val="en-US"/>
        </w:rPr>
        <w:t>Michaud-Quantin</w:t>
      </w:r>
      <w:proofErr w:type="spellEnd"/>
      <w:r w:rsidRPr="00A472FC">
        <w:rPr>
          <w:rFonts w:ascii="Times New Roman" w:hAnsi="Times New Roman" w:cs="Times New Roman"/>
          <w:kern w:val="1"/>
          <w:lang w:val="en-US"/>
        </w:rPr>
        <w:t xml:space="preserve"> sees the </w:t>
      </w:r>
      <w:proofErr w:type="spellStart"/>
      <w:r w:rsidRPr="00A472FC">
        <w:rPr>
          <w:rFonts w:ascii="Times New Roman" w:hAnsi="Times New Roman" w:cs="Times New Roman"/>
          <w:i/>
          <w:kern w:val="1"/>
          <w:lang w:val="en-US"/>
        </w:rPr>
        <w:t>Tractatus</w:t>
      </w:r>
      <w:proofErr w:type="spellEnd"/>
      <w:r w:rsidRPr="00A472FC">
        <w:rPr>
          <w:rFonts w:ascii="Times New Roman" w:hAnsi="Times New Roman" w:cs="Times New Roman"/>
          <w:kern w:val="1"/>
          <w:lang w:val="en-US"/>
        </w:rPr>
        <w:t xml:space="preserve"> as </w:t>
      </w:r>
      <w:r w:rsidR="00E32147" w:rsidRPr="00A472FC">
        <w:rPr>
          <w:rFonts w:ascii="Times New Roman" w:hAnsi="Times New Roman" w:cs="Times New Roman"/>
          <w:kern w:val="1"/>
          <w:lang w:val="en-US"/>
        </w:rPr>
        <w:t xml:space="preserve">a </w:t>
      </w:r>
      <w:r w:rsidRPr="00A472FC">
        <w:rPr>
          <w:rFonts w:ascii="Times New Roman" w:hAnsi="Times New Roman" w:cs="Times New Roman"/>
          <w:kern w:val="1"/>
          <w:lang w:val="en-US"/>
        </w:rPr>
        <w:t>rather less significant</w:t>
      </w:r>
      <w:r w:rsidR="00E32147" w:rsidRPr="00A472FC">
        <w:rPr>
          <w:rFonts w:ascii="Times New Roman" w:hAnsi="Times New Roman" w:cs="Times New Roman"/>
          <w:kern w:val="1"/>
          <w:lang w:val="en-US"/>
        </w:rPr>
        <w:t xml:space="preserve"> work</w:t>
      </w:r>
      <w:r w:rsidRPr="00A472FC">
        <w:rPr>
          <w:rFonts w:ascii="Times New Roman" w:hAnsi="Times New Roman" w:cs="Times New Roman"/>
          <w:kern w:val="1"/>
          <w:lang w:val="en-US"/>
        </w:rPr>
        <w:t>.</w:t>
      </w:r>
      <w:r w:rsidRPr="00A472FC">
        <w:rPr>
          <w:rStyle w:val="FootnoteReference"/>
          <w:rFonts w:ascii="Times New Roman" w:hAnsi="Times New Roman" w:cs="Times New Roman"/>
        </w:rPr>
        <w:footnoteReference w:id="577"/>
      </w:r>
      <w:r w:rsidRPr="00A472FC">
        <w:rPr>
          <w:rFonts w:ascii="Times New Roman" w:hAnsi="Times New Roman" w:cs="Times New Roman"/>
          <w:kern w:val="1"/>
          <w:lang w:val="en-US"/>
        </w:rPr>
        <w:t xml:space="preserve"> As we will discover, however, this is not </w:t>
      </w:r>
      <w:r w:rsidR="002A085E" w:rsidRPr="00A472FC">
        <w:rPr>
          <w:rFonts w:ascii="Times New Roman" w:hAnsi="Times New Roman" w:cs="Times New Roman"/>
          <w:kern w:val="1"/>
          <w:lang w:val="en-US"/>
        </w:rPr>
        <w:t>necessarily</w:t>
      </w:r>
      <w:r w:rsidRPr="00A472FC">
        <w:rPr>
          <w:rFonts w:ascii="Times New Roman" w:hAnsi="Times New Roman" w:cs="Times New Roman"/>
          <w:kern w:val="1"/>
          <w:lang w:val="en-US"/>
        </w:rPr>
        <w:t xml:space="preserve"> the case if we consider the extent to which the SDA reproduces </w:t>
      </w:r>
      <w:r w:rsidR="00581DA4" w:rsidRPr="00A472FC">
        <w:rPr>
          <w:rFonts w:ascii="Times New Roman" w:hAnsi="Times New Roman" w:cs="Times New Roman"/>
          <w:kern w:val="1"/>
          <w:lang w:val="en-US"/>
        </w:rPr>
        <w:t xml:space="preserve">much of the </w:t>
      </w:r>
      <w:r w:rsidRPr="00A472FC">
        <w:rPr>
          <w:rFonts w:ascii="Times New Roman" w:hAnsi="Times New Roman" w:cs="Times New Roman"/>
          <w:kern w:val="1"/>
          <w:lang w:val="en-US"/>
        </w:rPr>
        <w:t xml:space="preserve">contents of the </w:t>
      </w:r>
      <w:proofErr w:type="spellStart"/>
      <w:r w:rsidRPr="00A472FC">
        <w:rPr>
          <w:rFonts w:ascii="Times New Roman" w:hAnsi="Times New Roman" w:cs="Times New Roman"/>
          <w:i/>
          <w:kern w:val="1"/>
          <w:lang w:val="en-US"/>
        </w:rPr>
        <w:t>Tractatus</w:t>
      </w:r>
      <w:proofErr w:type="spellEnd"/>
      <w:r w:rsidRPr="00A472FC">
        <w:rPr>
          <w:rFonts w:ascii="Times New Roman" w:hAnsi="Times New Roman" w:cs="Times New Roman"/>
          <w:kern w:val="1"/>
          <w:lang w:val="en-US"/>
        </w:rPr>
        <w:t xml:space="preserve"> almost in entirety and often nearly verbatim</w:t>
      </w:r>
      <w:r w:rsidR="00D45300" w:rsidRPr="00A472FC">
        <w:rPr>
          <w:rFonts w:ascii="Times New Roman" w:hAnsi="Times New Roman" w:cs="Times New Roman"/>
        </w:rPr>
        <w:t>.</w:t>
      </w:r>
      <w:r w:rsidR="00D45300" w:rsidRPr="00A472FC">
        <w:rPr>
          <w:rStyle w:val="FootnoteReference"/>
          <w:rFonts w:ascii="Times New Roman" w:hAnsi="Times New Roman" w:cs="Times New Roman"/>
        </w:rPr>
        <w:footnoteReference w:id="578"/>
      </w:r>
      <w:r w:rsidR="00D45300" w:rsidRPr="00A472FC">
        <w:rPr>
          <w:rFonts w:ascii="Times New Roman" w:hAnsi="Times New Roman" w:cs="Times New Roman"/>
          <w:kern w:val="1"/>
          <w:lang w:val="en-US"/>
        </w:rPr>
        <w:t xml:space="preserve"> </w:t>
      </w:r>
      <w:r w:rsidRPr="00A472FC">
        <w:rPr>
          <w:rFonts w:ascii="Times New Roman" w:hAnsi="Times New Roman" w:cs="Times New Roman"/>
        </w:rPr>
        <w:t xml:space="preserve">In helpful charts provided in their editions of the </w:t>
      </w:r>
      <w:proofErr w:type="spellStart"/>
      <w:r w:rsidRPr="00A472FC">
        <w:rPr>
          <w:rFonts w:ascii="Times New Roman" w:hAnsi="Times New Roman" w:cs="Times New Roman"/>
          <w:i/>
        </w:rPr>
        <w:t>Tractatus</w:t>
      </w:r>
      <w:proofErr w:type="spellEnd"/>
      <w:r w:rsidRPr="00A472FC">
        <w:rPr>
          <w:rFonts w:ascii="Times New Roman" w:hAnsi="Times New Roman" w:cs="Times New Roman"/>
        </w:rPr>
        <w:t xml:space="preserve"> and SDA, respectively, </w:t>
      </w:r>
      <w:proofErr w:type="spellStart"/>
      <w:r w:rsidRPr="00A472FC">
        <w:rPr>
          <w:rFonts w:ascii="Times New Roman" w:hAnsi="Times New Roman" w:cs="Times New Roman"/>
        </w:rPr>
        <w:t>Michaud-Quantin</w:t>
      </w:r>
      <w:proofErr w:type="spellEnd"/>
      <w:r w:rsidRPr="00A472FC">
        <w:rPr>
          <w:rFonts w:ascii="Times New Roman" w:hAnsi="Times New Roman" w:cs="Times New Roman"/>
        </w:rPr>
        <w:t xml:space="preserve"> and </w:t>
      </w:r>
      <w:proofErr w:type="spellStart"/>
      <w:r w:rsidRPr="00A472FC">
        <w:rPr>
          <w:rFonts w:ascii="Times New Roman" w:hAnsi="Times New Roman" w:cs="Times New Roman"/>
        </w:rPr>
        <w:t>Bougerol</w:t>
      </w:r>
      <w:proofErr w:type="spellEnd"/>
      <w:r w:rsidRPr="00A472FC">
        <w:rPr>
          <w:rFonts w:ascii="Times New Roman" w:hAnsi="Times New Roman" w:cs="Times New Roman"/>
        </w:rPr>
        <w:t xml:space="preserve"> catalogue the main areas of overlap between the two texts, which I have tried to present in a different, more readily discernible format</w:t>
      </w:r>
      <w:r w:rsidR="003F2F55" w:rsidRPr="00A472FC">
        <w:rPr>
          <w:rFonts w:ascii="Times New Roman" w:hAnsi="Times New Roman" w:cs="Times New Roman"/>
        </w:rPr>
        <w:t>,</w:t>
      </w:r>
      <w:r w:rsidRPr="00A472FC">
        <w:rPr>
          <w:rFonts w:ascii="Times New Roman" w:hAnsi="Times New Roman" w:cs="Times New Roman"/>
        </w:rPr>
        <w:t xml:space="preserve"> at the end of this chapter and will highlight through cross-references between the two texts in the footnotes.</w:t>
      </w:r>
      <w:r w:rsidRPr="00A472FC">
        <w:rPr>
          <w:rStyle w:val="FootnoteReference"/>
          <w:rFonts w:ascii="Times New Roman" w:hAnsi="Times New Roman" w:cs="Times New Roman"/>
        </w:rPr>
        <w:footnoteReference w:id="579"/>
      </w:r>
      <w:r w:rsidRPr="00A472FC">
        <w:rPr>
          <w:rFonts w:ascii="Times New Roman" w:hAnsi="Times New Roman" w:cs="Times New Roman"/>
          <w:kern w:val="1"/>
          <w:lang w:val="en-US"/>
        </w:rPr>
        <w:t xml:space="preserve"> </w:t>
      </w:r>
    </w:p>
    <w:p w14:paraId="0EC2923B" w14:textId="5C75AAA7" w:rsidR="00E212D3" w:rsidRPr="00A472FC" w:rsidRDefault="00E212D3" w:rsidP="00E212D3">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t>The overlaps begin at the very beginning. At the time, it was customary to initiate treatises on the soul—</w:t>
      </w:r>
      <w:r w:rsidR="00C44D17" w:rsidRPr="00A472FC">
        <w:rPr>
          <w:rFonts w:ascii="Times New Roman" w:hAnsi="Times New Roman" w:cs="Times New Roman"/>
          <w:kern w:val="1"/>
          <w:lang w:val="en-US"/>
        </w:rPr>
        <w:t xml:space="preserve">as in </w:t>
      </w:r>
      <w:r w:rsidRPr="00A472FC">
        <w:rPr>
          <w:rFonts w:ascii="Times New Roman" w:hAnsi="Times New Roman" w:cs="Times New Roman"/>
          <w:kern w:val="1"/>
          <w:lang w:val="en-US"/>
        </w:rPr>
        <w:t xml:space="preserve">Avicenna </w:t>
      </w:r>
      <w:r w:rsidR="00C44D17" w:rsidRPr="00A472FC">
        <w:rPr>
          <w:rFonts w:ascii="Times New Roman" w:hAnsi="Times New Roman" w:cs="Times New Roman"/>
          <w:kern w:val="1"/>
          <w:lang w:val="en-US"/>
        </w:rPr>
        <w:t>and</w:t>
      </w:r>
      <w:r w:rsidRPr="00A472FC">
        <w:rPr>
          <w:rFonts w:ascii="Times New Roman" w:hAnsi="Times New Roman" w:cs="Times New Roman"/>
          <w:kern w:val="1"/>
          <w:lang w:val="en-US"/>
        </w:rPr>
        <w:t xml:space="preserve"> John </w:t>
      </w:r>
      <w:proofErr w:type="spellStart"/>
      <w:r w:rsidRPr="00A472FC">
        <w:rPr>
          <w:rFonts w:ascii="Times New Roman" w:hAnsi="Times New Roman" w:cs="Times New Roman"/>
          <w:kern w:val="1"/>
          <w:lang w:val="en-US"/>
        </w:rPr>
        <w:t>Blund</w:t>
      </w:r>
      <w:proofErr w:type="spellEnd"/>
      <w:r w:rsidRPr="00A472FC">
        <w:rPr>
          <w:rFonts w:ascii="Times New Roman" w:hAnsi="Times New Roman" w:cs="Times New Roman"/>
          <w:kern w:val="1"/>
          <w:lang w:val="en-US"/>
        </w:rPr>
        <w:t xml:space="preserve">—with a discussion of the major definitions of the soul that </w:t>
      </w:r>
      <w:r w:rsidR="00B778D5" w:rsidRPr="00A472FC">
        <w:rPr>
          <w:rFonts w:ascii="Times New Roman" w:hAnsi="Times New Roman" w:cs="Times New Roman"/>
          <w:kern w:val="1"/>
          <w:lang w:val="en-US"/>
        </w:rPr>
        <w:t>circulated during the period</w:t>
      </w:r>
      <w:r w:rsidRPr="00A472FC">
        <w:rPr>
          <w:rFonts w:ascii="Times New Roman" w:hAnsi="Times New Roman" w:cs="Times New Roman"/>
          <w:kern w:val="1"/>
          <w:lang w:val="en-US"/>
        </w:rPr>
        <w:t>.</w:t>
      </w:r>
      <w:r w:rsidR="00837953" w:rsidRPr="00A472FC">
        <w:rPr>
          <w:rStyle w:val="FootnoteReference"/>
          <w:rFonts w:ascii="Times New Roman" w:hAnsi="Times New Roman" w:cs="Times New Roman"/>
          <w:kern w:val="1"/>
          <w:lang w:val="en-US"/>
        </w:rPr>
        <w:footnoteReference w:id="580"/>
      </w:r>
      <w:r w:rsidRPr="00A472FC">
        <w:rPr>
          <w:rFonts w:ascii="Times New Roman" w:hAnsi="Times New Roman" w:cs="Times New Roman"/>
          <w:kern w:val="1"/>
          <w:lang w:val="en-US"/>
        </w:rPr>
        <w:t xml:space="preserve"> The first part of the </w:t>
      </w:r>
      <w:proofErr w:type="spellStart"/>
      <w:r w:rsidRPr="00A472FC">
        <w:rPr>
          <w:rFonts w:ascii="Times New Roman" w:hAnsi="Times New Roman" w:cs="Times New Roman"/>
          <w:i/>
          <w:kern w:val="1"/>
          <w:lang w:val="en-US"/>
        </w:rPr>
        <w:t>Tractatus</w:t>
      </w:r>
      <w:proofErr w:type="spellEnd"/>
      <w:r w:rsidRPr="00A472FC">
        <w:rPr>
          <w:rFonts w:ascii="Times New Roman" w:hAnsi="Times New Roman" w:cs="Times New Roman"/>
          <w:kern w:val="1"/>
          <w:lang w:val="en-US"/>
        </w:rPr>
        <w:t xml:space="preserve"> and the first part of the SDA, not to mention the DAR, clearly follow this tradition. </w:t>
      </w:r>
      <w:r w:rsidRPr="00A472FC">
        <w:rPr>
          <w:rFonts w:ascii="Times New Roman" w:hAnsi="Times New Roman" w:cs="Times New Roman"/>
        </w:rPr>
        <w:t xml:space="preserve">The first part of the </w:t>
      </w:r>
      <w:proofErr w:type="spellStart"/>
      <w:r w:rsidRPr="00A472FC">
        <w:rPr>
          <w:rFonts w:ascii="Times New Roman" w:hAnsi="Times New Roman" w:cs="Times New Roman"/>
          <w:i/>
        </w:rPr>
        <w:t>Tractatus</w:t>
      </w:r>
      <w:proofErr w:type="spellEnd"/>
      <w:r w:rsidRPr="00A472FC">
        <w:rPr>
          <w:rFonts w:ascii="Times New Roman" w:hAnsi="Times New Roman" w:cs="Times New Roman"/>
        </w:rPr>
        <w:t xml:space="preserve"> for one contains twelve definitions of the soul. The first comes from John of </w:t>
      </w:r>
      <w:r w:rsidRPr="00A472FC">
        <w:rPr>
          <w:rFonts w:ascii="Times New Roman" w:hAnsi="Times New Roman" w:cs="Times New Roman"/>
        </w:rPr>
        <w:lastRenderedPageBreak/>
        <w:t>Damascus.</w:t>
      </w:r>
      <w:r w:rsidRPr="00A472FC">
        <w:rPr>
          <w:rStyle w:val="FootnoteReference"/>
          <w:rFonts w:ascii="Times New Roman" w:hAnsi="Times New Roman" w:cs="Times New Roman"/>
        </w:rPr>
        <w:footnoteReference w:id="581"/>
      </w:r>
      <w:r w:rsidRPr="00A472FC">
        <w:rPr>
          <w:rFonts w:ascii="Times New Roman" w:hAnsi="Times New Roman" w:cs="Times New Roman"/>
        </w:rPr>
        <w:t xml:space="preserve"> The next </w:t>
      </w:r>
      <w:r w:rsidR="00146503" w:rsidRPr="00A472FC">
        <w:rPr>
          <w:rFonts w:ascii="Times New Roman" w:hAnsi="Times New Roman" w:cs="Times New Roman"/>
        </w:rPr>
        <w:t xml:space="preserve">one </w:t>
      </w:r>
      <w:r w:rsidRPr="00A472FC">
        <w:rPr>
          <w:rFonts w:ascii="Times New Roman" w:hAnsi="Times New Roman" w:cs="Times New Roman"/>
        </w:rPr>
        <w:t xml:space="preserve">comes from Alfred </w:t>
      </w:r>
      <w:proofErr w:type="spellStart"/>
      <w:r w:rsidRPr="00A472FC">
        <w:rPr>
          <w:rFonts w:ascii="Times New Roman" w:hAnsi="Times New Roman" w:cs="Times New Roman"/>
        </w:rPr>
        <w:t>Sarashel</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582"/>
      </w:r>
      <w:r w:rsidRPr="00A472FC">
        <w:rPr>
          <w:rFonts w:ascii="Times New Roman" w:hAnsi="Times New Roman" w:cs="Times New Roman"/>
        </w:rPr>
        <w:t xml:space="preserve"> five are from pseudo-Augustine’s DSEA;</w:t>
      </w:r>
      <w:r w:rsidRPr="00A472FC">
        <w:rPr>
          <w:rStyle w:val="FootnoteReference"/>
          <w:rFonts w:ascii="Times New Roman" w:hAnsi="Times New Roman" w:cs="Times New Roman"/>
        </w:rPr>
        <w:footnoteReference w:id="583"/>
      </w:r>
      <w:r w:rsidRPr="00A472FC">
        <w:rPr>
          <w:rFonts w:ascii="Times New Roman" w:hAnsi="Times New Roman" w:cs="Times New Roman"/>
        </w:rPr>
        <w:t xml:space="preserve"> and the remaining five from Plato; Aristotle;</w:t>
      </w:r>
      <w:r w:rsidRPr="00A472FC">
        <w:rPr>
          <w:rStyle w:val="FootnoteReference"/>
          <w:rFonts w:ascii="Times New Roman" w:hAnsi="Times New Roman" w:cs="Times New Roman"/>
        </w:rPr>
        <w:footnoteReference w:id="584"/>
      </w:r>
      <w:r w:rsidRPr="00A472FC">
        <w:rPr>
          <w:rFonts w:ascii="Times New Roman" w:hAnsi="Times New Roman" w:cs="Times New Roman"/>
        </w:rPr>
        <w:t xml:space="preserve"> and </w:t>
      </w:r>
      <w:proofErr w:type="spellStart"/>
      <w:r w:rsidRPr="00A472FC">
        <w:rPr>
          <w:rFonts w:ascii="Times New Roman" w:hAnsi="Times New Roman" w:cs="Times New Roman"/>
        </w:rPr>
        <w:t>Nemesius</w:t>
      </w:r>
      <w:proofErr w:type="spellEnd"/>
      <w:r w:rsidRPr="00A472FC">
        <w:rPr>
          <w:rFonts w:ascii="Times New Roman" w:hAnsi="Times New Roman" w:cs="Times New Roman"/>
        </w:rPr>
        <w:t xml:space="preserve"> of </w:t>
      </w:r>
      <w:proofErr w:type="spellStart"/>
      <w:r w:rsidRPr="00A472FC">
        <w:rPr>
          <w:rFonts w:ascii="Times New Roman" w:hAnsi="Times New Roman" w:cs="Times New Roman"/>
        </w:rPr>
        <w:t>Emesa</w:t>
      </w:r>
      <w:proofErr w:type="spellEnd"/>
      <w:r w:rsidR="0000514D" w:rsidRPr="00A472FC">
        <w:rPr>
          <w:rFonts w:ascii="Times New Roman" w:hAnsi="Times New Roman" w:cs="Times New Roman"/>
        </w:rPr>
        <w:t>,</w:t>
      </w:r>
      <w:r w:rsidRPr="00A472FC">
        <w:rPr>
          <w:rFonts w:ascii="Times New Roman" w:hAnsi="Times New Roman" w:cs="Times New Roman"/>
        </w:rPr>
        <w:t xml:space="preserve"> who was known by the name </w:t>
      </w:r>
      <w:proofErr w:type="spellStart"/>
      <w:r w:rsidRPr="00A472FC">
        <w:rPr>
          <w:rFonts w:ascii="Times New Roman" w:hAnsi="Times New Roman" w:cs="Times New Roman"/>
        </w:rPr>
        <w:t>Remegius</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585"/>
      </w:r>
      <w:r w:rsidRPr="00A472FC">
        <w:rPr>
          <w:rFonts w:ascii="Times New Roman" w:hAnsi="Times New Roman" w:cs="Times New Roman"/>
        </w:rPr>
        <w:t xml:space="preserve"> the book of Genesis;</w:t>
      </w:r>
      <w:r w:rsidRPr="00A472FC">
        <w:rPr>
          <w:rStyle w:val="FootnoteReference"/>
          <w:rFonts w:ascii="Times New Roman" w:hAnsi="Times New Roman" w:cs="Times New Roman"/>
        </w:rPr>
        <w:footnoteReference w:id="586"/>
      </w:r>
      <w:r w:rsidRPr="00A472FC">
        <w:rPr>
          <w:rFonts w:ascii="Times New Roman" w:hAnsi="Times New Roman" w:cs="Times New Roman"/>
        </w:rPr>
        <w:t xml:space="preserve"> and Seneca.</w:t>
      </w:r>
      <w:r w:rsidRPr="00A472FC">
        <w:rPr>
          <w:rStyle w:val="FootnoteReference"/>
          <w:rFonts w:ascii="Times New Roman" w:hAnsi="Times New Roman" w:cs="Times New Roman"/>
        </w:rPr>
        <w:footnoteReference w:id="587"/>
      </w:r>
      <w:r w:rsidRPr="00A472FC">
        <w:rPr>
          <w:rFonts w:ascii="Times New Roman" w:hAnsi="Times New Roman" w:cs="Times New Roman"/>
        </w:rPr>
        <w:t xml:space="preserve"> The first part of the SDA contains seven definitions of the soul, which are mostly repeated from the </w:t>
      </w:r>
      <w:proofErr w:type="spellStart"/>
      <w:r w:rsidRPr="00A472FC">
        <w:rPr>
          <w:rFonts w:ascii="Times New Roman" w:hAnsi="Times New Roman" w:cs="Times New Roman"/>
          <w:i/>
        </w:rPr>
        <w:t>Tractatus</w:t>
      </w:r>
      <w:proofErr w:type="spellEnd"/>
      <w:r w:rsidRPr="00A472FC">
        <w:rPr>
          <w:rFonts w:ascii="Times New Roman" w:hAnsi="Times New Roman" w:cs="Times New Roman"/>
        </w:rPr>
        <w:t xml:space="preserve">: one each from Alfred </w:t>
      </w:r>
      <w:proofErr w:type="spellStart"/>
      <w:r w:rsidRPr="00A472FC">
        <w:rPr>
          <w:rFonts w:ascii="Times New Roman" w:hAnsi="Times New Roman" w:cs="Times New Roman"/>
        </w:rPr>
        <w:t>Sarashel</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588"/>
      </w:r>
      <w:r w:rsidRPr="00A472FC">
        <w:rPr>
          <w:rFonts w:ascii="Times New Roman" w:hAnsi="Times New Roman" w:cs="Times New Roman"/>
        </w:rPr>
        <w:t xml:space="preserve"> </w:t>
      </w:r>
      <w:proofErr w:type="spellStart"/>
      <w:r w:rsidRPr="00A472FC">
        <w:rPr>
          <w:rFonts w:ascii="Times New Roman" w:hAnsi="Times New Roman" w:cs="Times New Roman"/>
        </w:rPr>
        <w:t>Remegius</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589"/>
      </w:r>
      <w:r w:rsidRPr="00A472FC">
        <w:rPr>
          <w:rFonts w:ascii="Times New Roman" w:hAnsi="Times New Roman" w:cs="Times New Roman"/>
        </w:rPr>
        <w:t xml:space="preserve"> and Aristotle;</w:t>
      </w:r>
      <w:r w:rsidRPr="00A472FC">
        <w:rPr>
          <w:rStyle w:val="FootnoteReference"/>
          <w:rFonts w:ascii="Times New Roman" w:hAnsi="Times New Roman" w:cs="Times New Roman"/>
        </w:rPr>
        <w:footnoteReference w:id="590"/>
      </w:r>
      <w:r w:rsidRPr="00A472FC">
        <w:rPr>
          <w:rFonts w:ascii="Times New Roman" w:hAnsi="Times New Roman" w:cs="Times New Roman"/>
        </w:rPr>
        <w:t xml:space="preserve"> two from the DSEA;</w:t>
      </w:r>
      <w:r w:rsidRPr="00A472FC">
        <w:rPr>
          <w:rStyle w:val="FootnoteReference"/>
          <w:rFonts w:ascii="Times New Roman" w:hAnsi="Times New Roman" w:cs="Times New Roman"/>
        </w:rPr>
        <w:footnoteReference w:id="591"/>
      </w:r>
      <w:r w:rsidRPr="00A472FC">
        <w:rPr>
          <w:rFonts w:ascii="Times New Roman" w:hAnsi="Times New Roman" w:cs="Times New Roman"/>
        </w:rPr>
        <w:t xml:space="preserve"> one from the book of Genesis;</w:t>
      </w:r>
      <w:r w:rsidRPr="00A472FC">
        <w:rPr>
          <w:rStyle w:val="FootnoteReference"/>
          <w:rFonts w:ascii="Times New Roman" w:hAnsi="Times New Roman" w:cs="Times New Roman"/>
        </w:rPr>
        <w:footnoteReference w:id="592"/>
      </w:r>
      <w:r w:rsidRPr="00A472FC">
        <w:rPr>
          <w:rFonts w:ascii="Times New Roman" w:hAnsi="Times New Roman" w:cs="Times New Roman"/>
        </w:rPr>
        <w:t xml:space="preserve"> and one from Seneca.</w:t>
      </w:r>
      <w:r w:rsidRPr="00A472FC">
        <w:rPr>
          <w:rStyle w:val="FootnoteReference"/>
          <w:rFonts w:ascii="Times New Roman" w:hAnsi="Times New Roman" w:cs="Times New Roman"/>
        </w:rPr>
        <w:footnoteReference w:id="593"/>
      </w:r>
    </w:p>
    <w:p w14:paraId="59709103" w14:textId="6A7E8C0B" w:rsidR="00E212D3" w:rsidRPr="00A472FC" w:rsidRDefault="00E212D3" w:rsidP="00E212D3">
      <w:pPr>
        <w:autoSpaceDE w:val="0"/>
        <w:autoSpaceDN w:val="0"/>
        <w:adjustRightInd w:val="0"/>
        <w:ind w:right="-52" w:firstLine="720"/>
        <w:rPr>
          <w:rFonts w:ascii="Times New Roman" w:hAnsi="Times New Roman" w:cs="Times New Roman"/>
        </w:rPr>
      </w:pPr>
      <w:r w:rsidRPr="00A472FC">
        <w:rPr>
          <w:rFonts w:ascii="Times New Roman" w:hAnsi="Times New Roman" w:cs="Times New Roman"/>
          <w:kern w:val="1"/>
          <w:lang w:val="en-US"/>
        </w:rPr>
        <w:t xml:space="preserve">The second book of the SDA—on the powers of the soul—begins with a brief inquiry concerning the identity and differences between the soul and its powers. From there, it moves on swiftly to cover the division of the powers according to pseudo-Augustine’s DSEA in approximately seven pages; the division of John of Damascus in approximately 22 pages; and the division of Avicenna in around 70 pages. There are some obvious differences to the corresponding, also second, part of the </w:t>
      </w:r>
      <w:proofErr w:type="spellStart"/>
      <w:r w:rsidRPr="00A472FC">
        <w:rPr>
          <w:rFonts w:ascii="Times New Roman" w:hAnsi="Times New Roman" w:cs="Times New Roman"/>
          <w:i/>
          <w:kern w:val="1"/>
          <w:lang w:val="en-US"/>
        </w:rPr>
        <w:t>Tractatus</w:t>
      </w:r>
      <w:proofErr w:type="spellEnd"/>
      <w:r w:rsidRPr="00A472FC">
        <w:rPr>
          <w:rFonts w:ascii="Times New Roman" w:hAnsi="Times New Roman" w:cs="Times New Roman"/>
          <w:kern w:val="1"/>
          <w:lang w:val="en-US"/>
        </w:rPr>
        <w:t xml:space="preserve">. There, the division of ‘the philosophers, especially Avicenna’, as John puts it, is foregrounded, and is discussed in over 30 pages. As Hasse observes, ‘almost exactly one third of this part </w:t>
      </w:r>
      <w:r w:rsidRPr="00A472FC">
        <w:rPr>
          <w:rFonts w:ascii="Times New Roman" w:hAnsi="Times New Roman" w:cs="Times New Roman"/>
          <w:lang w:val="en-US"/>
        </w:rPr>
        <w:t xml:space="preserve">consists of quotations from Avicenna's </w:t>
      </w:r>
      <w:r w:rsidRPr="00A472FC">
        <w:rPr>
          <w:rFonts w:ascii="Times New Roman" w:hAnsi="Times New Roman" w:cs="Times New Roman"/>
          <w:i/>
          <w:lang w:val="en-US"/>
        </w:rPr>
        <w:lastRenderedPageBreak/>
        <w:t>De anima</w:t>
      </w:r>
      <w:r w:rsidRPr="00A472FC">
        <w:rPr>
          <w:rFonts w:ascii="Times New Roman" w:hAnsi="Times New Roman" w:cs="Times New Roman"/>
          <w:lang w:val="en-US"/>
        </w:rPr>
        <w:t>.</w:t>
      </w:r>
      <w:r w:rsidRPr="00A472FC">
        <w:rPr>
          <w:rFonts w:ascii="Times New Roman" w:hAnsi="Times New Roman" w:cs="Times New Roman"/>
        </w:rPr>
        <w:t>’</w:t>
      </w:r>
      <w:r w:rsidRPr="00A472FC">
        <w:rPr>
          <w:rStyle w:val="FootnoteReference"/>
          <w:rFonts w:ascii="Times New Roman" w:hAnsi="Times New Roman" w:cs="Times New Roman"/>
        </w:rPr>
        <w:footnoteReference w:id="594"/>
      </w:r>
      <w:r w:rsidRPr="00A472FC">
        <w:rPr>
          <w:rFonts w:ascii="Times New Roman" w:hAnsi="Times New Roman" w:cs="Times New Roman"/>
          <w:kern w:val="1"/>
          <w:lang w:val="en-US"/>
        </w:rPr>
        <w:t xml:space="preserve"> However,</w:t>
      </w:r>
      <w:r w:rsidRPr="00A472FC">
        <w:rPr>
          <w:rFonts w:ascii="Times New Roman" w:hAnsi="Times New Roman" w:cs="Times New Roman"/>
        </w:rPr>
        <w:t xml:space="preserve"> </w:t>
      </w:r>
      <w:proofErr w:type="spellStart"/>
      <w:r w:rsidRPr="00A472FC">
        <w:rPr>
          <w:rFonts w:ascii="Times New Roman" w:hAnsi="Times New Roman" w:cs="Times New Roman"/>
        </w:rPr>
        <w:t>Michaud-Quantin</w:t>
      </w:r>
      <w:proofErr w:type="spellEnd"/>
      <w:r w:rsidRPr="00A472FC">
        <w:rPr>
          <w:rFonts w:ascii="Times New Roman" w:hAnsi="Times New Roman" w:cs="Times New Roman"/>
        </w:rPr>
        <w:t xml:space="preserve"> notes that the author mixes into this section a number of theological concepts such as free will and sensuality, a not uncommon practice at the time, which is also </w:t>
      </w:r>
      <w:r w:rsidR="00736E77" w:rsidRPr="00A472FC">
        <w:rPr>
          <w:rFonts w:ascii="Times New Roman" w:hAnsi="Times New Roman" w:cs="Times New Roman"/>
        </w:rPr>
        <w:t>illustrated</w:t>
      </w:r>
      <w:r w:rsidRPr="00A472FC">
        <w:rPr>
          <w:rFonts w:ascii="Times New Roman" w:hAnsi="Times New Roman" w:cs="Times New Roman"/>
        </w:rPr>
        <w:t xml:space="preserve"> in the treatise of John </w:t>
      </w:r>
      <w:proofErr w:type="spellStart"/>
      <w:r w:rsidRPr="00A472FC">
        <w:rPr>
          <w:rFonts w:ascii="Times New Roman" w:hAnsi="Times New Roman" w:cs="Times New Roman"/>
        </w:rPr>
        <w:t>Blund</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595"/>
      </w:r>
      <w:r w:rsidRPr="00A472FC">
        <w:rPr>
          <w:rFonts w:ascii="Times New Roman" w:hAnsi="Times New Roman" w:cs="Times New Roman"/>
          <w:kern w:val="1"/>
          <w:lang w:val="en-US"/>
        </w:rPr>
        <w:t xml:space="preserve"> </w:t>
      </w:r>
    </w:p>
    <w:p w14:paraId="4E78070A" w14:textId="64432925" w:rsidR="00E212D3" w:rsidRPr="00A472FC" w:rsidRDefault="00E212D3" w:rsidP="00E212D3">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t xml:space="preserve">Next, the reader finds 10 pages on the division of the medical doctors, more specifically, Avicenna and </w:t>
      </w:r>
      <w:proofErr w:type="spellStart"/>
      <w:r w:rsidRPr="00A472FC">
        <w:rPr>
          <w:rFonts w:ascii="Times New Roman" w:hAnsi="Times New Roman" w:cs="Times New Roman"/>
          <w:kern w:val="1"/>
          <w:lang w:val="en-US"/>
        </w:rPr>
        <w:t>Johannitius</w:t>
      </w:r>
      <w:proofErr w:type="spellEnd"/>
      <w:r w:rsidRPr="00A472FC">
        <w:rPr>
          <w:rFonts w:ascii="Times New Roman" w:hAnsi="Times New Roman" w:cs="Times New Roman"/>
          <w:kern w:val="1"/>
          <w:lang w:val="en-US"/>
        </w:rPr>
        <w:t xml:space="preserve"> (c. 809-73), a </w:t>
      </w:r>
      <w:r w:rsidRPr="00A472FC">
        <w:rPr>
          <w:rFonts w:ascii="Times New Roman" w:hAnsi="Times New Roman" w:cs="Times New Roman"/>
        </w:rPr>
        <w:t xml:space="preserve">Christian </w:t>
      </w:r>
      <w:r w:rsidR="00165D69" w:rsidRPr="00A472FC">
        <w:rPr>
          <w:rFonts w:ascii="Times New Roman" w:hAnsi="Times New Roman" w:cs="Times New Roman"/>
        </w:rPr>
        <w:t xml:space="preserve">translator </w:t>
      </w:r>
      <w:r w:rsidRPr="00A472FC">
        <w:rPr>
          <w:rFonts w:ascii="Times New Roman" w:hAnsi="Times New Roman" w:cs="Times New Roman"/>
        </w:rPr>
        <w:t xml:space="preserve">into Arabic </w:t>
      </w:r>
      <w:r w:rsidR="00B06376" w:rsidRPr="00A472FC">
        <w:rPr>
          <w:rFonts w:ascii="Times New Roman" w:hAnsi="Times New Roman" w:cs="Times New Roman"/>
        </w:rPr>
        <w:t xml:space="preserve">of </w:t>
      </w:r>
      <w:r w:rsidRPr="00A472FC">
        <w:rPr>
          <w:rFonts w:ascii="Times New Roman" w:hAnsi="Times New Roman" w:cs="Times New Roman"/>
        </w:rPr>
        <w:t>more than one hundred Greek writings, mostly by Galen, and who was regarded as a medical authority at the time.</w:t>
      </w:r>
      <w:r w:rsidRPr="00A472FC">
        <w:rPr>
          <w:rFonts w:ascii="Times New Roman" w:hAnsi="Times New Roman" w:cs="Times New Roman"/>
          <w:kern w:val="1"/>
          <w:lang w:val="en-US"/>
        </w:rPr>
        <w:t xml:space="preserve"> This section largely repeats material that had already been presented in the initial section on the division ‘according to the philosophers,’ </w:t>
      </w:r>
      <w:r w:rsidR="00DD79BB" w:rsidRPr="00A472FC">
        <w:rPr>
          <w:rFonts w:ascii="Times New Roman" w:hAnsi="Times New Roman" w:cs="Times New Roman"/>
          <w:kern w:val="1"/>
          <w:lang w:val="en-US"/>
        </w:rPr>
        <w:t>but is nonetheless significant for the evidence it provides of John’s medical knowledge</w:t>
      </w:r>
      <w:r w:rsidR="002C4C78" w:rsidRPr="00A472FC">
        <w:rPr>
          <w:rFonts w:ascii="Times New Roman" w:hAnsi="Times New Roman" w:cs="Times New Roman"/>
          <w:kern w:val="1"/>
          <w:lang w:val="en-US"/>
        </w:rPr>
        <w:t xml:space="preserve"> and interests</w:t>
      </w:r>
      <w:r w:rsidRPr="00A472FC">
        <w:rPr>
          <w:rFonts w:ascii="Times New Roman" w:hAnsi="Times New Roman" w:cs="Times New Roman"/>
          <w:kern w:val="1"/>
          <w:lang w:val="en-US"/>
        </w:rPr>
        <w:t xml:space="preserve">. Finally, there are nine pages on the divisions of John of Damascus and six on Augustine, followed by a summation of the previous material. </w:t>
      </w:r>
    </w:p>
    <w:p w14:paraId="6DB2FA80" w14:textId="2F81F572"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The third part of the </w:t>
      </w:r>
      <w:proofErr w:type="spellStart"/>
      <w:r w:rsidRPr="00A472FC">
        <w:rPr>
          <w:rFonts w:ascii="Times New Roman" w:hAnsi="Times New Roman" w:cs="Times New Roman"/>
          <w:i/>
        </w:rPr>
        <w:t>Tractatus</w:t>
      </w:r>
      <w:proofErr w:type="spellEnd"/>
      <w:r w:rsidRPr="00A472FC">
        <w:rPr>
          <w:rFonts w:ascii="Times New Roman" w:hAnsi="Times New Roman" w:cs="Times New Roman"/>
        </w:rPr>
        <w:t xml:space="preserve">—which has no counterpart in the SDA—concerns the perfection of the soul and is essentially theological in character. It covers topics like grace, the virtues, gifts, sacraments, the beatitudes, and ultimately, the final vision of God. These same topics had been covered in the anonymous treatise by a theologian, </w:t>
      </w:r>
      <w:r w:rsidRPr="00A472FC">
        <w:rPr>
          <w:rFonts w:ascii="Times New Roman" w:hAnsi="Times New Roman" w:cs="Times New Roman"/>
          <w:i/>
        </w:rPr>
        <w:t xml:space="preserve">De </w:t>
      </w:r>
      <w:proofErr w:type="spellStart"/>
      <w:r w:rsidRPr="00A472FC">
        <w:rPr>
          <w:rFonts w:ascii="Times New Roman" w:hAnsi="Times New Roman" w:cs="Times New Roman"/>
          <w:i/>
        </w:rPr>
        <w:t>potentiis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animae</w:t>
      </w:r>
      <w:proofErr w:type="spellEnd"/>
      <w:r w:rsidRPr="00A472FC">
        <w:rPr>
          <w:rFonts w:ascii="Times New Roman" w:hAnsi="Times New Roman" w:cs="Times New Roman"/>
          <w:i/>
        </w:rPr>
        <w:t xml:space="preserve"> et </w:t>
      </w:r>
      <w:proofErr w:type="spellStart"/>
      <w:r w:rsidRPr="00A472FC">
        <w:rPr>
          <w:rFonts w:ascii="Times New Roman" w:hAnsi="Times New Roman" w:cs="Times New Roman"/>
          <w:i/>
        </w:rPr>
        <w:t>obiectis</w:t>
      </w:r>
      <w:proofErr w:type="spellEnd"/>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or Anonymous Callus, which dates to around 1230, which possibly served as a motivator for John to treat these issues as well. In the works of Aristotle, these ethical and moral topics were considered separately from the topic of the soul, and so the approach of earlier scholastics who combined moral and psychological </w:t>
      </w:r>
      <w:r w:rsidR="00735CA5" w:rsidRPr="00A472FC">
        <w:rPr>
          <w:rFonts w:ascii="Times New Roman" w:hAnsi="Times New Roman" w:cs="Times New Roman"/>
        </w:rPr>
        <w:t xml:space="preserve">inquiries </w:t>
      </w:r>
      <w:r w:rsidRPr="00A472FC">
        <w:rPr>
          <w:rFonts w:ascii="Times New Roman" w:hAnsi="Times New Roman" w:cs="Times New Roman"/>
        </w:rPr>
        <w:t>may have come to seem outdated and indeed heterogeneous.</w:t>
      </w:r>
      <w:r w:rsidRPr="00A472FC">
        <w:rPr>
          <w:rStyle w:val="FootnoteReference"/>
          <w:rFonts w:ascii="Times New Roman" w:hAnsi="Times New Roman" w:cs="Times New Roman"/>
        </w:rPr>
        <w:footnoteReference w:id="596"/>
      </w:r>
      <w:r w:rsidRPr="00A472FC">
        <w:rPr>
          <w:rFonts w:ascii="Times New Roman" w:hAnsi="Times New Roman" w:cs="Times New Roman"/>
        </w:rPr>
        <w:t xml:space="preserve"> </w:t>
      </w:r>
      <w:proofErr w:type="spellStart"/>
      <w:r w:rsidRPr="00A472FC">
        <w:rPr>
          <w:rFonts w:ascii="Times New Roman" w:hAnsi="Times New Roman" w:cs="Times New Roman"/>
        </w:rPr>
        <w:t>Michaud-Quantin</w:t>
      </w:r>
      <w:proofErr w:type="spellEnd"/>
      <w:r w:rsidRPr="00A472FC">
        <w:rPr>
          <w:rFonts w:ascii="Times New Roman" w:hAnsi="Times New Roman" w:cs="Times New Roman"/>
        </w:rPr>
        <w:t xml:space="preserve"> posits this as a possible reason why John does not cover these topics in his SDA, though he deals with them in other works. </w:t>
      </w:r>
    </w:p>
    <w:p w14:paraId="0640E19C" w14:textId="43A05E32" w:rsidR="00E212D3" w:rsidRPr="00A472FC" w:rsidRDefault="00E212D3" w:rsidP="00E212D3">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t xml:space="preserve">In addition to this, </w:t>
      </w:r>
      <w:proofErr w:type="spellStart"/>
      <w:r w:rsidRPr="00A472FC">
        <w:rPr>
          <w:rFonts w:ascii="Times New Roman" w:hAnsi="Times New Roman" w:cs="Times New Roman"/>
          <w:kern w:val="1"/>
          <w:lang w:val="en-US"/>
        </w:rPr>
        <w:t>Michaud-Quantin</w:t>
      </w:r>
      <w:proofErr w:type="spellEnd"/>
      <w:r w:rsidRPr="00A472FC">
        <w:rPr>
          <w:rFonts w:ascii="Times New Roman" w:hAnsi="Times New Roman" w:cs="Times New Roman"/>
          <w:kern w:val="1"/>
          <w:lang w:val="en-US"/>
        </w:rPr>
        <w:t xml:space="preserve"> cites some other possible reasons for the differences between the </w:t>
      </w:r>
      <w:proofErr w:type="spellStart"/>
      <w:r w:rsidRPr="00A472FC">
        <w:rPr>
          <w:rFonts w:ascii="Times New Roman" w:hAnsi="Times New Roman" w:cs="Times New Roman"/>
          <w:i/>
          <w:kern w:val="1"/>
          <w:lang w:val="en-US"/>
        </w:rPr>
        <w:t>Tractatus</w:t>
      </w:r>
      <w:proofErr w:type="spellEnd"/>
      <w:r w:rsidRPr="00A472FC">
        <w:rPr>
          <w:rFonts w:ascii="Times New Roman" w:hAnsi="Times New Roman" w:cs="Times New Roman"/>
          <w:kern w:val="1"/>
          <w:lang w:val="en-US"/>
        </w:rPr>
        <w:t xml:space="preserve"> and the SDA. </w:t>
      </w:r>
      <w:r w:rsidR="00C06699" w:rsidRPr="00A472FC">
        <w:rPr>
          <w:rFonts w:ascii="Times New Roman" w:hAnsi="Times New Roman" w:cs="Times New Roman"/>
          <w:kern w:val="1"/>
          <w:lang w:val="en-US"/>
        </w:rPr>
        <w:t>A significant one,</w:t>
      </w:r>
      <w:r w:rsidRPr="00A472FC">
        <w:rPr>
          <w:rFonts w:ascii="Times New Roman" w:hAnsi="Times New Roman" w:cs="Times New Roman"/>
          <w:kern w:val="1"/>
          <w:lang w:val="en-US"/>
        </w:rPr>
        <w:t xml:space="preserve"> noted already by Lottin, concerns the idea that the </w:t>
      </w:r>
      <w:proofErr w:type="spellStart"/>
      <w:r w:rsidRPr="00A472FC">
        <w:rPr>
          <w:rFonts w:ascii="Times New Roman" w:hAnsi="Times New Roman" w:cs="Times New Roman"/>
          <w:i/>
          <w:kern w:val="1"/>
          <w:lang w:val="en-US"/>
        </w:rPr>
        <w:t>Tractatus</w:t>
      </w:r>
      <w:proofErr w:type="spellEnd"/>
      <w:r w:rsidRPr="00A472FC">
        <w:rPr>
          <w:rFonts w:ascii="Times New Roman" w:hAnsi="Times New Roman" w:cs="Times New Roman"/>
          <w:kern w:val="1"/>
          <w:lang w:val="en-US"/>
        </w:rPr>
        <w:t xml:space="preserve"> incited something of a scandal when it was first introduced at the University of Paris, given the way it departed so significantly from what was perceived at the time as the purview of a theologian.</w:t>
      </w:r>
      <w:r w:rsidRPr="00A472FC">
        <w:rPr>
          <w:rStyle w:val="FootnoteReference"/>
          <w:rFonts w:ascii="Times New Roman" w:hAnsi="Times New Roman" w:cs="Times New Roman"/>
          <w:kern w:val="1"/>
          <w:lang w:val="en-US"/>
        </w:rPr>
        <w:footnoteReference w:id="597"/>
      </w:r>
      <w:r w:rsidRPr="00A472FC">
        <w:rPr>
          <w:rFonts w:ascii="Times New Roman" w:hAnsi="Times New Roman" w:cs="Times New Roman"/>
          <w:kern w:val="1"/>
          <w:lang w:val="en-US"/>
        </w:rPr>
        <w:t xml:space="preserve"> As we have seen, John of La Rochelle was the first </w:t>
      </w:r>
      <w:r w:rsidR="00956842" w:rsidRPr="00A472FC">
        <w:rPr>
          <w:rFonts w:ascii="Times New Roman" w:hAnsi="Times New Roman" w:cs="Times New Roman"/>
          <w:kern w:val="1"/>
          <w:lang w:val="en-US"/>
        </w:rPr>
        <w:t>Lati</w:t>
      </w:r>
      <w:r w:rsidRPr="00A472FC">
        <w:rPr>
          <w:rFonts w:ascii="Times New Roman" w:hAnsi="Times New Roman" w:cs="Times New Roman"/>
          <w:kern w:val="1"/>
          <w:lang w:val="en-US"/>
        </w:rPr>
        <w:t>n thinker to take a serious interest in classifications of the powers of the soul and to try to enumerate them extensively and indeed faithfully in relation to their sources.</w:t>
      </w:r>
      <w:r w:rsidRPr="00A472FC">
        <w:rPr>
          <w:rStyle w:val="FootnoteReference"/>
          <w:rFonts w:ascii="Times New Roman" w:hAnsi="Times New Roman" w:cs="Times New Roman"/>
          <w:kern w:val="1"/>
          <w:lang w:val="en-US"/>
        </w:rPr>
        <w:footnoteReference w:id="598"/>
      </w:r>
      <w:r w:rsidRPr="00A472FC">
        <w:rPr>
          <w:rFonts w:ascii="Times New Roman" w:hAnsi="Times New Roman" w:cs="Times New Roman"/>
          <w:kern w:val="1"/>
          <w:lang w:val="en-US"/>
        </w:rPr>
        <w:t xml:space="preserve"> Although the third part of the </w:t>
      </w:r>
      <w:proofErr w:type="spellStart"/>
      <w:r w:rsidRPr="00A472FC">
        <w:rPr>
          <w:rFonts w:ascii="Times New Roman" w:hAnsi="Times New Roman" w:cs="Times New Roman"/>
          <w:i/>
          <w:kern w:val="1"/>
          <w:lang w:val="en-US"/>
        </w:rPr>
        <w:t>Tractatus</w:t>
      </w:r>
      <w:proofErr w:type="spellEnd"/>
      <w:r w:rsidRPr="00A472FC">
        <w:rPr>
          <w:rFonts w:ascii="Times New Roman" w:hAnsi="Times New Roman" w:cs="Times New Roman"/>
          <w:kern w:val="1"/>
          <w:lang w:val="en-US"/>
        </w:rPr>
        <w:t xml:space="preserve"> did deal with questions about the perfection of the soul, the second part, which placed Avicenna front-and-centre and went so far as to investigate medical and cognitive categories, could not help but seem beyond the scope of theology as </w:t>
      </w:r>
      <w:r w:rsidR="00635DF7" w:rsidRPr="00A472FC">
        <w:rPr>
          <w:rFonts w:ascii="Times New Roman" w:hAnsi="Times New Roman" w:cs="Times New Roman"/>
          <w:kern w:val="1"/>
          <w:lang w:val="en-US"/>
        </w:rPr>
        <w:t>the discipline was</w:t>
      </w:r>
      <w:r w:rsidRPr="00A472FC">
        <w:rPr>
          <w:rFonts w:ascii="Times New Roman" w:hAnsi="Times New Roman" w:cs="Times New Roman"/>
          <w:kern w:val="1"/>
          <w:lang w:val="en-US"/>
        </w:rPr>
        <w:t xml:space="preserve"> understood at the time. </w:t>
      </w:r>
    </w:p>
    <w:p w14:paraId="021BE0BD" w14:textId="01B7B2F0" w:rsidR="00E212D3" w:rsidRPr="00A472FC" w:rsidRDefault="002D7967" w:rsidP="00E212D3">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t>As this suggests, t</w:t>
      </w:r>
      <w:r w:rsidR="00E212D3" w:rsidRPr="00A472FC">
        <w:rPr>
          <w:rFonts w:ascii="Times New Roman" w:hAnsi="Times New Roman" w:cs="Times New Roman"/>
          <w:kern w:val="1"/>
          <w:lang w:val="en-US"/>
        </w:rPr>
        <w:t>he suppression of the medical material and the placement of Avicenna only after Augustine and Damascus in the SDA may have been part of an effort by John to render his philosophical material more palatable to his theological audience.</w:t>
      </w:r>
      <w:r w:rsidR="00E212D3" w:rsidRPr="00A472FC">
        <w:rPr>
          <w:rStyle w:val="FootnoteReference"/>
          <w:rFonts w:ascii="Times New Roman" w:hAnsi="Times New Roman" w:cs="Times New Roman"/>
          <w:kern w:val="1"/>
          <w:lang w:val="en-US"/>
        </w:rPr>
        <w:footnoteReference w:id="599"/>
      </w:r>
      <w:r w:rsidR="00E212D3" w:rsidRPr="00A472FC">
        <w:rPr>
          <w:rFonts w:ascii="Times New Roman" w:hAnsi="Times New Roman" w:cs="Times New Roman"/>
          <w:kern w:val="1"/>
          <w:lang w:val="en-US"/>
        </w:rPr>
        <w:t xml:space="preserve"> Likewise, the incorporation into the SDA of more material related to the so-called ‘motive’ or volitional powers, including free will, probably went a long way towards appeasing colleagues who believed the main function of a theologian was to facilitate moral ends. Although John re-arranged his material in the SDA for rhetorical purposes, this does not necessarily imply that the SDA renders the </w:t>
      </w:r>
      <w:proofErr w:type="spellStart"/>
      <w:r w:rsidR="00E212D3" w:rsidRPr="00A472FC">
        <w:rPr>
          <w:rFonts w:ascii="Times New Roman" w:hAnsi="Times New Roman" w:cs="Times New Roman"/>
          <w:i/>
          <w:kern w:val="1"/>
          <w:lang w:val="en-US"/>
        </w:rPr>
        <w:t>Tractatus</w:t>
      </w:r>
      <w:proofErr w:type="spellEnd"/>
      <w:r w:rsidR="00E212D3" w:rsidRPr="00A472FC">
        <w:rPr>
          <w:rFonts w:ascii="Times New Roman" w:hAnsi="Times New Roman" w:cs="Times New Roman"/>
          <w:kern w:val="1"/>
          <w:lang w:val="en-US"/>
        </w:rPr>
        <w:t xml:space="preserve"> obsolete; this seems to be the opinion of </w:t>
      </w:r>
      <w:proofErr w:type="spellStart"/>
      <w:r w:rsidR="00E212D3" w:rsidRPr="00A472FC">
        <w:rPr>
          <w:rFonts w:ascii="Times New Roman" w:hAnsi="Times New Roman" w:cs="Times New Roman"/>
          <w:kern w:val="1"/>
          <w:lang w:val="en-US"/>
        </w:rPr>
        <w:t>Michaud-Quantin</w:t>
      </w:r>
      <w:proofErr w:type="spellEnd"/>
      <w:r w:rsidR="00E212D3" w:rsidRPr="00A472FC">
        <w:rPr>
          <w:rFonts w:ascii="Times New Roman" w:hAnsi="Times New Roman" w:cs="Times New Roman"/>
          <w:kern w:val="1"/>
          <w:lang w:val="en-US"/>
        </w:rPr>
        <w:t xml:space="preserve">, whose arguments will be considered in more detail below. </w:t>
      </w:r>
    </w:p>
    <w:p w14:paraId="12565763" w14:textId="77777777" w:rsidR="00554758" w:rsidRPr="00A472FC" w:rsidRDefault="00554758" w:rsidP="00E212D3">
      <w:pPr>
        <w:autoSpaceDE w:val="0"/>
        <w:autoSpaceDN w:val="0"/>
        <w:adjustRightInd w:val="0"/>
        <w:ind w:right="-52"/>
        <w:rPr>
          <w:rFonts w:ascii="Times New Roman" w:hAnsi="Times New Roman" w:cs="Times New Roman"/>
          <w:kern w:val="1"/>
          <w:u w:val="single"/>
          <w:lang w:val="en-US"/>
        </w:rPr>
      </w:pPr>
    </w:p>
    <w:p w14:paraId="69A4DAF8" w14:textId="358033F7" w:rsidR="00E212D3" w:rsidRPr="00A472FC" w:rsidRDefault="00E212D3" w:rsidP="00E212D3">
      <w:pPr>
        <w:autoSpaceDE w:val="0"/>
        <w:autoSpaceDN w:val="0"/>
        <w:adjustRightInd w:val="0"/>
        <w:ind w:right="-52"/>
        <w:rPr>
          <w:rFonts w:ascii="Times New Roman" w:hAnsi="Times New Roman" w:cs="Times New Roman"/>
          <w:kern w:val="1"/>
          <w:u w:val="single"/>
          <w:lang w:val="en-US"/>
        </w:rPr>
      </w:pPr>
      <w:r w:rsidRPr="00A472FC">
        <w:rPr>
          <w:rFonts w:ascii="Times New Roman" w:hAnsi="Times New Roman" w:cs="Times New Roman"/>
          <w:kern w:val="1"/>
          <w:u w:val="single"/>
          <w:lang w:val="en-US"/>
        </w:rPr>
        <w:lastRenderedPageBreak/>
        <w:t xml:space="preserve">The Contribution of the </w:t>
      </w:r>
      <w:proofErr w:type="spellStart"/>
      <w:r w:rsidRPr="00A472FC">
        <w:rPr>
          <w:rFonts w:ascii="Times New Roman" w:hAnsi="Times New Roman" w:cs="Times New Roman"/>
          <w:i/>
          <w:kern w:val="1"/>
          <w:u w:val="single"/>
          <w:lang w:val="en-US"/>
        </w:rPr>
        <w:t>Tractatus</w:t>
      </w:r>
      <w:proofErr w:type="spellEnd"/>
    </w:p>
    <w:p w14:paraId="74714283" w14:textId="77777777" w:rsidR="00E212D3" w:rsidRPr="00A472FC" w:rsidRDefault="00E212D3" w:rsidP="00E212D3">
      <w:pPr>
        <w:autoSpaceDE w:val="0"/>
        <w:autoSpaceDN w:val="0"/>
        <w:adjustRightInd w:val="0"/>
        <w:ind w:right="-52" w:firstLine="720"/>
        <w:rPr>
          <w:rFonts w:ascii="Times New Roman" w:hAnsi="Times New Roman" w:cs="Times New Roman"/>
          <w:kern w:val="1"/>
          <w:lang w:val="en-US"/>
        </w:rPr>
      </w:pPr>
    </w:p>
    <w:p w14:paraId="38119FC4" w14:textId="18C41147" w:rsidR="00E212D3" w:rsidRPr="00A472FC" w:rsidRDefault="00D43AE9" w:rsidP="00E212D3">
      <w:pPr>
        <w:autoSpaceDE w:val="0"/>
        <w:autoSpaceDN w:val="0"/>
        <w:adjustRightInd w:val="0"/>
        <w:ind w:right="-52" w:firstLine="720"/>
        <w:rPr>
          <w:rFonts w:ascii="Times New Roman" w:hAnsi="Times New Roman" w:cs="Times New Roman"/>
        </w:rPr>
      </w:pPr>
      <w:r>
        <w:rPr>
          <w:rFonts w:ascii="Times New Roman" w:hAnsi="Times New Roman" w:cs="Times New Roman"/>
          <w:kern w:val="1"/>
          <w:lang w:val="en-US"/>
        </w:rPr>
        <w:t>According to</w:t>
      </w:r>
      <w:r w:rsidR="00D66FAA">
        <w:rPr>
          <w:rFonts w:ascii="Times New Roman" w:hAnsi="Times New Roman" w:cs="Times New Roman"/>
          <w:kern w:val="1"/>
          <w:lang w:val="en-US"/>
        </w:rPr>
        <w:t xml:space="preserve"> </w:t>
      </w:r>
      <w:proofErr w:type="spellStart"/>
      <w:r w:rsidR="00E212D3" w:rsidRPr="00A472FC">
        <w:rPr>
          <w:rFonts w:ascii="Times New Roman" w:hAnsi="Times New Roman" w:cs="Times New Roman"/>
          <w:kern w:val="1"/>
          <w:lang w:val="en-US"/>
        </w:rPr>
        <w:t>Michaud-Quantin</w:t>
      </w:r>
      <w:proofErr w:type="spellEnd"/>
      <w:r w:rsidR="00E212D3" w:rsidRPr="00A472FC">
        <w:rPr>
          <w:rFonts w:ascii="Times New Roman" w:hAnsi="Times New Roman" w:cs="Times New Roman"/>
          <w:kern w:val="1"/>
          <w:lang w:val="en-US"/>
        </w:rPr>
        <w:t xml:space="preserve">, the </w:t>
      </w:r>
      <w:proofErr w:type="spellStart"/>
      <w:r w:rsidR="00E212D3" w:rsidRPr="00A472FC">
        <w:rPr>
          <w:rFonts w:ascii="Times New Roman" w:hAnsi="Times New Roman" w:cs="Times New Roman"/>
          <w:i/>
          <w:kern w:val="1"/>
          <w:lang w:val="en-US"/>
        </w:rPr>
        <w:t>Tractatus</w:t>
      </w:r>
      <w:proofErr w:type="spellEnd"/>
      <w:r w:rsidR="00E212D3" w:rsidRPr="00A472FC">
        <w:rPr>
          <w:rFonts w:ascii="Times New Roman" w:hAnsi="Times New Roman" w:cs="Times New Roman"/>
          <w:kern w:val="1"/>
          <w:lang w:val="en-US"/>
        </w:rPr>
        <w:t xml:space="preserve"> represents a relatively unoriginal compilation, the chief merit of which is to convey, albeit with considerable accuracy, the</w:t>
      </w:r>
      <w:r w:rsidR="00E212D3" w:rsidRPr="00A472FC">
        <w:rPr>
          <w:rFonts w:ascii="Times New Roman" w:hAnsi="Times New Roman" w:cs="Times New Roman"/>
        </w:rPr>
        <w:t xml:space="preserve"> different conceptions of the human being that confront</w:t>
      </w:r>
      <w:r w:rsidR="006A00BD" w:rsidRPr="00A472FC">
        <w:rPr>
          <w:rFonts w:ascii="Times New Roman" w:hAnsi="Times New Roman" w:cs="Times New Roman"/>
        </w:rPr>
        <w:t>ed</w:t>
      </w:r>
      <w:r w:rsidR="00E212D3" w:rsidRPr="00A472FC">
        <w:rPr>
          <w:rFonts w:ascii="Times New Roman" w:hAnsi="Times New Roman" w:cs="Times New Roman"/>
        </w:rPr>
        <w:t xml:space="preserve"> scholars at the time both through key theological sources and the Greek tradition, </w:t>
      </w:r>
      <w:r w:rsidR="00B83660" w:rsidRPr="00A472FC">
        <w:rPr>
          <w:rFonts w:ascii="Times New Roman" w:hAnsi="Times New Roman" w:cs="Times New Roman"/>
        </w:rPr>
        <w:t xml:space="preserve">not least </w:t>
      </w:r>
      <w:r w:rsidR="00E212D3" w:rsidRPr="00A472FC">
        <w:rPr>
          <w:rFonts w:ascii="Times New Roman" w:hAnsi="Times New Roman" w:cs="Times New Roman"/>
        </w:rPr>
        <w:t>as transmitted through the Arabs.</w:t>
      </w:r>
      <w:r w:rsidR="00E212D3" w:rsidRPr="00A472FC">
        <w:rPr>
          <w:rStyle w:val="FootnoteReference"/>
          <w:rFonts w:ascii="Times New Roman" w:hAnsi="Times New Roman" w:cs="Times New Roman"/>
        </w:rPr>
        <w:footnoteReference w:id="600"/>
      </w:r>
      <w:r w:rsidR="00E212D3" w:rsidRPr="00A472FC">
        <w:rPr>
          <w:rFonts w:ascii="Times New Roman" w:hAnsi="Times New Roman" w:cs="Times New Roman"/>
        </w:rPr>
        <w:t xml:space="preserve"> As an </w:t>
      </w:r>
      <w:proofErr w:type="spellStart"/>
      <w:r w:rsidR="00E212D3" w:rsidRPr="00A472FC">
        <w:rPr>
          <w:rFonts w:ascii="Times New Roman" w:hAnsi="Times New Roman" w:cs="Times New Roman"/>
        </w:rPr>
        <w:t>encyclopedia</w:t>
      </w:r>
      <w:proofErr w:type="spellEnd"/>
      <w:r w:rsidR="00E212D3" w:rsidRPr="00A472FC">
        <w:rPr>
          <w:rFonts w:ascii="Times New Roman" w:hAnsi="Times New Roman" w:cs="Times New Roman"/>
        </w:rPr>
        <w:t xml:space="preserve"> of sorts, he asserts, it was probably assembled by its author to serve as an aid in teaching. By contrast, </w:t>
      </w:r>
      <w:proofErr w:type="spellStart"/>
      <w:r w:rsidR="00E212D3" w:rsidRPr="00A472FC">
        <w:rPr>
          <w:rFonts w:ascii="Times New Roman" w:hAnsi="Times New Roman" w:cs="Times New Roman"/>
        </w:rPr>
        <w:t>Michaud-Quantin</w:t>
      </w:r>
      <w:proofErr w:type="spellEnd"/>
      <w:r w:rsidR="00E212D3" w:rsidRPr="00A472FC">
        <w:rPr>
          <w:rFonts w:ascii="Times New Roman" w:hAnsi="Times New Roman" w:cs="Times New Roman"/>
        </w:rPr>
        <w:t xml:space="preserve"> describes the SDA as the personal work of a master of theology seeking to delineate his own opinions.</w:t>
      </w:r>
      <w:r w:rsidR="00E212D3" w:rsidRPr="00A472FC">
        <w:rPr>
          <w:rStyle w:val="FootnoteReference"/>
          <w:rFonts w:ascii="Times New Roman" w:hAnsi="Times New Roman" w:cs="Times New Roman"/>
        </w:rPr>
        <w:footnoteReference w:id="601"/>
      </w:r>
      <w:r w:rsidR="00E212D3" w:rsidRPr="00A472FC">
        <w:rPr>
          <w:rFonts w:ascii="Times New Roman" w:hAnsi="Times New Roman" w:cs="Times New Roman"/>
        </w:rPr>
        <w:t xml:space="preserve"> Admittedly the SDA does surpass the </w:t>
      </w:r>
      <w:proofErr w:type="spellStart"/>
      <w:r w:rsidR="00E212D3" w:rsidRPr="00A472FC">
        <w:rPr>
          <w:rFonts w:ascii="Times New Roman" w:hAnsi="Times New Roman" w:cs="Times New Roman"/>
          <w:i/>
        </w:rPr>
        <w:t>Tractatus</w:t>
      </w:r>
      <w:proofErr w:type="spellEnd"/>
      <w:r w:rsidR="00E212D3" w:rsidRPr="00A472FC">
        <w:rPr>
          <w:rFonts w:ascii="Times New Roman" w:hAnsi="Times New Roman" w:cs="Times New Roman"/>
        </w:rPr>
        <w:t xml:space="preserve"> in treating the numerous theoretical questions about the soul which were in vogue at the time.</w:t>
      </w:r>
      <w:r w:rsidR="00E212D3" w:rsidRPr="00A472FC">
        <w:rPr>
          <w:rStyle w:val="FootnoteReference"/>
          <w:rFonts w:ascii="Times New Roman" w:hAnsi="Times New Roman" w:cs="Times New Roman"/>
        </w:rPr>
        <w:footnoteReference w:id="602"/>
      </w:r>
      <w:r w:rsidR="00E212D3" w:rsidRPr="00A472FC">
        <w:rPr>
          <w:rFonts w:ascii="Times New Roman" w:hAnsi="Times New Roman" w:cs="Times New Roman"/>
        </w:rPr>
        <w:t xml:space="preserve"> These include </w:t>
      </w:r>
      <w:r w:rsidR="00A221D2" w:rsidRPr="00A472FC">
        <w:rPr>
          <w:rFonts w:ascii="Times New Roman" w:hAnsi="Times New Roman" w:cs="Times New Roman"/>
        </w:rPr>
        <w:t>th</w:t>
      </w:r>
      <w:r w:rsidR="00E212D3" w:rsidRPr="00A472FC">
        <w:rPr>
          <w:rFonts w:ascii="Times New Roman" w:hAnsi="Times New Roman" w:cs="Times New Roman"/>
        </w:rPr>
        <w:t xml:space="preserve">e </w:t>
      </w:r>
      <w:r w:rsidR="00A221D2" w:rsidRPr="00A472FC">
        <w:rPr>
          <w:rFonts w:ascii="Times New Roman" w:hAnsi="Times New Roman" w:cs="Times New Roman"/>
        </w:rPr>
        <w:t xml:space="preserve">six main </w:t>
      </w:r>
      <w:r w:rsidR="00E212D3" w:rsidRPr="00A472FC">
        <w:rPr>
          <w:rFonts w:ascii="Times New Roman" w:hAnsi="Times New Roman" w:cs="Times New Roman"/>
        </w:rPr>
        <w:t xml:space="preserve">questions we have already discussed in the </w:t>
      </w:r>
      <w:r w:rsidR="00A221D2" w:rsidRPr="00A472FC">
        <w:rPr>
          <w:rFonts w:ascii="Times New Roman" w:hAnsi="Times New Roman" w:cs="Times New Roman"/>
        </w:rPr>
        <w:t xml:space="preserve">last two </w:t>
      </w:r>
      <w:r w:rsidR="00E212D3" w:rsidRPr="00A472FC">
        <w:rPr>
          <w:rFonts w:ascii="Times New Roman" w:hAnsi="Times New Roman" w:cs="Times New Roman"/>
        </w:rPr>
        <w:t>chapters, concerning the identity of the soul with its powers, the relationship between the soul and the body, the medium between the soul and the body, the composition of the soul, and the ontological status of the vegetative, sensitive, and rational powers</w:t>
      </w:r>
      <w:r w:rsidR="009B466C" w:rsidRPr="00A472FC">
        <w:rPr>
          <w:rFonts w:ascii="Times New Roman" w:hAnsi="Times New Roman" w:cs="Times New Roman"/>
        </w:rPr>
        <w:t>.</w:t>
      </w:r>
    </w:p>
    <w:p w14:paraId="172AE591" w14:textId="7AAA9F3B" w:rsidR="00E212D3" w:rsidRPr="00A472FC" w:rsidRDefault="00E212D3" w:rsidP="00E212D3">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rPr>
        <w:t xml:space="preserve">Although the coverage of all these topics certainly does give the SDA a more comprehensive feel, the debts of the SDA to the </w:t>
      </w:r>
      <w:proofErr w:type="spellStart"/>
      <w:r w:rsidRPr="00A472FC">
        <w:rPr>
          <w:rFonts w:ascii="Times New Roman" w:hAnsi="Times New Roman" w:cs="Times New Roman"/>
          <w:i/>
        </w:rPr>
        <w:t>Tractatus</w:t>
      </w:r>
      <w:proofErr w:type="spellEnd"/>
      <w:r w:rsidRPr="00A472FC">
        <w:rPr>
          <w:rFonts w:ascii="Times New Roman" w:hAnsi="Times New Roman" w:cs="Times New Roman"/>
        </w:rPr>
        <w:t xml:space="preserve"> </w:t>
      </w:r>
      <w:r w:rsidR="002A27F4" w:rsidRPr="00A472FC">
        <w:rPr>
          <w:rFonts w:ascii="Times New Roman" w:hAnsi="Times New Roman" w:cs="Times New Roman"/>
        </w:rPr>
        <w:t xml:space="preserve">which will be explored in this and the next chapter </w:t>
      </w:r>
      <w:r w:rsidRPr="00A472FC">
        <w:rPr>
          <w:rFonts w:ascii="Times New Roman" w:hAnsi="Times New Roman" w:cs="Times New Roman"/>
        </w:rPr>
        <w:t xml:space="preserve">call into question the notion that the latter is of little significance. In particular, we will see that the remainder of the SDA’s material, namely, on the cognitive schemata, more or less repeats the contents of the </w:t>
      </w:r>
      <w:proofErr w:type="spellStart"/>
      <w:r w:rsidRPr="00A472FC">
        <w:rPr>
          <w:rFonts w:ascii="Times New Roman" w:hAnsi="Times New Roman" w:cs="Times New Roman"/>
          <w:i/>
        </w:rPr>
        <w:t>Tractatus</w:t>
      </w:r>
      <w:proofErr w:type="spellEnd"/>
      <w:r w:rsidRPr="00A472FC">
        <w:rPr>
          <w:rFonts w:ascii="Times New Roman" w:hAnsi="Times New Roman" w:cs="Times New Roman"/>
        </w:rPr>
        <w:t xml:space="preserve">, with the exception of the order in which the authorities are presented. Far from a mere compilation of leading authorities on the soul, theological, philosophical, and even medical, </w:t>
      </w:r>
      <w:r w:rsidR="008669E7" w:rsidRPr="00A472FC">
        <w:rPr>
          <w:rFonts w:ascii="Times New Roman" w:hAnsi="Times New Roman" w:cs="Times New Roman"/>
        </w:rPr>
        <w:t>moreover</w:t>
      </w:r>
      <w:r w:rsidRPr="00A472FC">
        <w:rPr>
          <w:rFonts w:ascii="Times New Roman" w:hAnsi="Times New Roman" w:cs="Times New Roman"/>
        </w:rPr>
        <w:t>, John’s assembly of sources betrays a great deal of his own agenda. That is not to deny that John was a very close reader of his sources, who took great care to present them accurately.</w:t>
      </w:r>
      <w:r w:rsidRPr="00A472FC">
        <w:rPr>
          <w:rStyle w:val="FootnoteReference"/>
          <w:rFonts w:ascii="Times New Roman" w:hAnsi="Times New Roman" w:cs="Times New Roman"/>
          <w:kern w:val="1"/>
          <w:lang w:val="en-US"/>
        </w:rPr>
        <w:footnoteReference w:id="603"/>
      </w:r>
      <w:r w:rsidRPr="00A472FC">
        <w:rPr>
          <w:rFonts w:ascii="Times New Roman" w:hAnsi="Times New Roman" w:cs="Times New Roman"/>
        </w:rPr>
        <w:t xml:space="preserve"> Nevertheless, he was an independent-minded thinker who selected texts in order to accomplish an individual objective. </w:t>
      </w:r>
    </w:p>
    <w:p w14:paraId="63B5AA77" w14:textId="2B0AB042" w:rsidR="00E212D3" w:rsidRPr="00A472FC" w:rsidRDefault="00E212D3" w:rsidP="00E212D3">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t xml:space="preserve">As noted in the first chapter, this was the time when the ban on reading Aristotle had been recently lifted and access to </w:t>
      </w:r>
      <w:r w:rsidRPr="00A472FC">
        <w:rPr>
          <w:rFonts w:ascii="Times New Roman" w:hAnsi="Times New Roman" w:cs="Times New Roman"/>
          <w:i/>
          <w:kern w:val="1"/>
          <w:lang w:val="en-US"/>
        </w:rPr>
        <w:t xml:space="preserve">De anima </w:t>
      </w:r>
      <w:r w:rsidRPr="00A472FC">
        <w:rPr>
          <w:rFonts w:ascii="Times New Roman" w:hAnsi="Times New Roman" w:cs="Times New Roman"/>
          <w:kern w:val="1"/>
          <w:lang w:val="en-US"/>
        </w:rPr>
        <w:t>in both its Arabic and Greek</w:t>
      </w:r>
      <w:r w:rsidR="005566BA" w:rsidRPr="00A472FC">
        <w:rPr>
          <w:rFonts w:ascii="Times New Roman" w:hAnsi="Times New Roman" w:cs="Times New Roman"/>
          <w:kern w:val="1"/>
          <w:lang w:val="en-US"/>
        </w:rPr>
        <w:t>-to-Latin</w:t>
      </w:r>
      <w:r w:rsidRPr="00A472FC">
        <w:rPr>
          <w:rFonts w:ascii="Times New Roman" w:hAnsi="Times New Roman" w:cs="Times New Roman"/>
          <w:kern w:val="1"/>
          <w:lang w:val="en-US"/>
        </w:rPr>
        <w:t xml:space="preserve"> translations was readily available. Although these texts were often read through an </w:t>
      </w:r>
      <w:proofErr w:type="spellStart"/>
      <w:r w:rsidRPr="00A472FC">
        <w:rPr>
          <w:rFonts w:ascii="Times New Roman" w:hAnsi="Times New Roman" w:cs="Times New Roman"/>
          <w:kern w:val="1"/>
          <w:lang w:val="en-US"/>
        </w:rPr>
        <w:t>Avicennian</w:t>
      </w:r>
      <w:proofErr w:type="spellEnd"/>
      <w:r w:rsidRPr="00A472FC">
        <w:rPr>
          <w:rFonts w:ascii="Times New Roman" w:hAnsi="Times New Roman" w:cs="Times New Roman"/>
          <w:kern w:val="1"/>
          <w:lang w:val="en-US"/>
        </w:rPr>
        <w:t xml:space="preserve"> lens, we do see earlier contemporaries of John like Philip the Chancellor and William of Auvergne quoting Aristotle himself, even if he was interpreted in an </w:t>
      </w:r>
      <w:proofErr w:type="spellStart"/>
      <w:r w:rsidRPr="00A472FC">
        <w:rPr>
          <w:rFonts w:ascii="Times New Roman" w:hAnsi="Times New Roman" w:cs="Times New Roman"/>
          <w:kern w:val="1"/>
          <w:lang w:val="en-US"/>
        </w:rPr>
        <w:t>Avicennian</w:t>
      </w:r>
      <w:proofErr w:type="spellEnd"/>
      <w:r w:rsidRPr="00A472FC">
        <w:rPr>
          <w:rFonts w:ascii="Times New Roman" w:hAnsi="Times New Roman" w:cs="Times New Roman"/>
          <w:kern w:val="1"/>
          <w:lang w:val="en-US"/>
        </w:rPr>
        <w:t xml:space="preserve"> way. In the context, it is difficult to see John’s failure to mention Aristotle’s </w:t>
      </w:r>
      <w:r w:rsidRPr="00A472FC">
        <w:rPr>
          <w:rFonts w:ascii="Times New Roman" w:hAnsi="Times New Roman" w:cs="Times New Roman"/>
          <w:i/>
          <w:kern w:val="1"/>
          <w:lang w:val="en-US"/>
        </w:rPr>
        <w:t>De anima</w:t>
      </w:r>
      <w:r w:rsidRPr="00A472FC">
        <w:rPr>
          <w:rFonts w:ascii="Times New Roman" w:hAnsi="Times New Roman" w:cs="Times New Roman"/>
          <w:iCs/>
          <w:kern w:val="1"/>
          <w:lang w:val="en-US"/>
        </w:rPr>
        <w:t xml:space="preserve">, </w:t>
      </w:r>
      <w:r w:rsidRPr="00A472FC">
        <w:rPr>
          <w:rFonts w:ascii="Times New Roman" w:hAnsi="Times New Roman" w:cs="Times New Roman"/>
          <w:kern w:val="1"/>
          <w:lang w:val="en-US"/>
        </w:rPr>
        <w:t xml:space="preserve">with the exception of his definition of the soul, albeit interpreted in the </w:t>
      </w:r>
      <w:proofErr w:type="spellStart"/>
      <w:r w:rsidRPr="00A472FC">
        <w:rPr>
          <w:rFonts w:ascii="Times New Roman" w:hAnsi="Times New Roman" w:cs="Times New Roman"/>
          <w:kern w:val="1"/>
          <w:lang w:val="en-US"/>
        </w:rPr>
        <w:t>Avicennian</w:t>
      </w:r>
      <w:proofErr w:type="spellEnd"/>
      <w:r w:rsidRPr="00A472FC">
        <w:rPr>
          <w:rFonts w:ascii="Times New Roman" w:hAnsi="Times New Roman" w:cs="Times New Roman"/>
          <w:kern w:val="1"/>
          <w:lang w:val="en-US"/>
        </w:rPr>
        <w:t xml:space="preserve"> manner described in chapter two, as anything but a concerted statement of his preference for the </w:t>
      </w:r>
      <w:proofErr w:type="spellStart"/>
      <w:r w:rsidRPr="00A472FC">
        <w:rPr>
          <w:rFonts w:ascii="Times New Roman" w:hAnsi="Times New Roman" w:cs="Times New Roman"/>
          <w:kern w:val="1"/>
          <w:lang w:val="en-US"/>
        </w:rPr>
        <w:t>Avicennian</w:t>
      </w:r>
      <w:proofErr w:type="spellEnd"/>
      <w:r w:rsidRPr="00A472FC">
        <w:rPr>
          <w:rFonts w:ascii="Times New Roman" w:hAnsi="Times New Roman" w:cs="Times New Roman"/>
          <w:kern w:val="1"/>
          <w:lang w:val="en-US"/>
        </w:rPr>
        <w:t xml:space="preserve"> point of view. </w:t>
      </w:r>
    </w:p>
    <w:p w14:paraId="4B597950" w14:textId="77777777" w:rsidR="00E212D3" w:rsidRPr="00A472FC" w:rsidRDefault="00E212D3" w:rsidP="00E212D3">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kern w:val="1"/>
          <w:lang w:val="en-US"/>
        </w:rPr>
        <w:t xml:space="preserve">This was a bold and decisive move to make at a time when no other thinker—and certainly no theologian—had previously engaged so fully and explicitly with </w:t>
      </w:r>
      <w:proofErr w:type="spellStart"/>
      <w:r w:rsidRPr="00A472FC">
        <w:rPr>
          <w:rFonts w:ascii="Times New Roman" w:hAnsi="Times New Roman" w:cs="Times New Roman"/>
          <w:kern w:val="1"/>
          <w:lang w:val="en-US"/>
        </w:rPr>
        <w:t>Avicennian</w:t>
      </w:r>
      <w:proofErr w:type="spellEnd"/>
      <w:r w:rsidRPr="00A472FC">
        <w:rPr>
          <w:rFonts w:ascii="Times New Roman" w:hAnsi="Times New Roman" w:cs="Times New Roman"/>
          <w:kern w:val="1"/>
          <w:lang w:val="en-US"/>
        </w:rPr>
        <w:t xml:space="preserve"> psychology. </w:t>
      </w:r>
      <w:r w:rsidRPr="00A472FC">
        <w:rPr>
          <w:rFonts w:ascii="Times New Roman" w:hAnsi="Times New Roman" w:cs="Times New Roman"/>
        </w:rPr>
        <w:t xml:space="preserve">This was no mere statement of the </w:t>
      </w:r>
      <w:r w:rsidRPr="00A472FC">
        <w:rPr>
          <w:rFonts w:ascii="Times New Roman" w:hAnsi="Times New Roman" w:cs="Times New Roman"/>
          <w:i/>
          <w:iCs/>
        </w:rPr>
        <w:t xml:space="preserve">status quo </w:t>
      </w:r>
      <w:r w:rsidRPr="00A472FC">
        <w:rPr>
          <w:rFonts w:ascii="Times New Roman" w:hAnsi="Times New Roman" w:cs="Times New Roman"/>
        </w:rPr>
        <w:t xml:space="preserve">in psychology. The sources John selected could have been otherwise and might indeed have been contested by other authors who not only favoured other authorities but also dis-favoured the ones selected by John, including the DSEA, the Augustinian provenance of which was increasingly coming into </w:t>
      </w:r>
      <w:r w:rsidRPr="00A472FC">
        <w:rPr>
          <w:rFonts w:ascii="Times New Roman" w:hAnsi="Times New Roman" w:cs="Times New Roman"/>
        </w:rPr>
        <w:lastRenderedPageBreak/>
        <w:t>question.</w:t>
      </w:r>
      <w:r w:rsidRPr="00A472FC">
        <w:rPr>
          <w:rStyle w:val="FootnoteReference"/>
          <w:rFonts w:ascii="Times New Roman" w:hAnsi="Times New Roman" w:cs="Times New Roman"/>
        </w:rPr>
        <w:footnoteReference w:id="604"/>
      </w:r>
      <w:r w:rsidRPr="00A472FC">
        <w:rPr>
          <w:rFonts w:ascii="Times New Roman" w:hAnsi="Times New Roman" w:cs="Times New Roman"/>
        </w:rPr>
        <w:t xml:space="preserve"> The rationale for John’s choice of a quasi-Augustinian text seems fairly clear. Although he adheres to a decidedly </w:t>
      </w:r>
      <w:proofErr w:type="spellStart"/>
      <w:r w:rsidRPr="00A472FC">
        <w:rPr>
          <w:rFonts w:ascii="Times New Roman" w:hAnsi="Times New Roman" w:cs="Times New Roman"/>
        </w:rPr>
        <w:t>Avicennian</w:t>
      </w:r>
      <w:proofErr w:type="spellEnd"/>
      <w:r w:rsidRPr="00A472FC">
        <w:rPr>
          <w:rFonts w:ascii="Times New Roman" w:hAnsi="Times New Roman" w:cs="Times New Roman"/>
        </w:rPr>
        <w:t xml:space="preserve"> agenda in psychology, </w:t>
      </w:r>
      <w:proofErr w:type="spellStart"/>
      <w:r w:rsidRPr="00A472FC">
        <w:rPr>
          <w:rFonts w:ascii="Times New Roman" w:hAnsi="Times New Roman" w:cs="Times New Roman"/>
        </w:rPr>
        <w:t>Dag</w:t>
      </w:r>
      <w:proofErr w:type="spellEnd"/>
      <w:r w:rsidRPr="00A472FC">
        <w:rPr>
          <w:rFonts w:ascii="Times New Roman" w:hAnsi="Times New Roman" w:cs="Times New Roman"/>
        </w:rPr>
        <w:t xml:space="preserve"> Hasse has rightly noted that early scholastics in his position also had to contend with their indigenous Christian tradition, which was marked by psychological schemata of its own.</w:t>
      </w:r>
      <w:r w:rsidRPr="00A472FC">
        <w:rPr>
          <w:rStyle w:val="FootnoteReference"/>
          <w:rFonts w:ascii="Times New Roman" w:hAnsi="Times New Roman" w:cs="Times New Roman"/>
        </w:rPr>
        <w:footnoteReference w:id="605"/>
      </w:r>
      <w:r w:rsidRPr="00A472FC">
        <w:rPr>
          <w:rFonts w:ascii="Times New Roman" w:hAnsi="Times New Roman" w:cs="Times New Roman"/>
        </w:rPr>
        <w:t xml:space="preserve"> </w:t>
      </w:r>
    </w:p>
    <w:p w14:paraId="428FC2FC" w14:textId="5D5E75CC" w:rsidR="00E212D3" w:rsidRPr="00A472FC" w:rsidRDefault="00E212D3" w:rsidP="00E212D3">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The most famous of these are found in Augustine, above all, in the series of psychological triads he presents in his </w:t>
      </w:r>
      <w:r w:rsidRPr="00A472FC">
        <w:rPr>
          <w:rFonts w:ascii="Times New Roman" w:hAnsi="Times New Roman" w:cs="Times New Roman"/>
          <w:i/>
        </w:rPr>
        <w:t xml:space="preserve">De </w:t>
      </w:r>
      <w:proofErr w:type="spellStart"/>
      <w:r w:rsidRPr="00A472FC">
        <w:rPr>
          <w:rFonts w:ascii="Times New Roman" w:hAnsi="Times New Roman" w:cs="Times New Roman"/>
          <w:i/>
        </w:rPr>
        <w:t>Trinitate</w:t>
      </w:r>
      <w:proofErr w:type="spellEnd"/>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few of which, interestingly, make an appearance in John’s work, and indeed only those that reappear in the DSEA. His preference for the </w:t>
      </w:r>
      <w:r w:rsidRPr="00A472FC">
        <w:rPr>
          <w:rFonts w:ascii="Times New Roman" w:hAnsi="Times New Roman" w:cs="Times New Roman"/>
          <w:i/>
        </w:rPr>
        <w:t xml:space="preserve">De </w:t>
      </w:r>
      <w:proofErr w:type="spellStart"/>
      <w:r w:rsidRPr="00A472FC">
        <w:rPr>
          <w:rFonts w:ascii="Times New Roman" w:hAnsi="Times New Roman" w:cs="Times New Roman"/>
          <w:i/>
        </w:rPr>
        <w:t>spiritu</w:t>
      </w:r>
      <w:proofErr w:type="spellEnd"/>
      <w:r w:rsidRPr="00A472FC">
        <w:rPr>
          <w:rFonts w:ascii="Times New Roman" w:hAnsi="Times New Roman" w:cs="Times New Roman"/>
          <w:i/>
        </w:rPr>
        <w:t xml:space="preserve"> et anima</w:t>
      </w:r>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which in a sense said everything and almost nothing that Augustine might have said, made it easy to identify clear points of contact with the thought of Avicenna, thus allowing his views to be inserted into the Augustinian tradition. The choice of John of Damascus as an authority likewise becomes understandable when we consider the history of its reception in the late twelfth century, following </w:t>
      </w:r>
      <w:r w:rsidR="00F34226" w:rsidRPr="00A472FC">
        <w:rPr>
          <w:rFonts w:ascii="Times New Roman" w:hAnsi="Times New Roman" w:cs="Times New Roman"/>
        </w:rPr>
        <w:t>the</w:t>
      </w:r>
      <w:r w:rsidRPr="00A472FC">
        <w:rPr>
          <w:rFonts w:ascii="Times New Roman" w:hAnsi="Times New Roman" w:cs="Times New Roman"/>
        </w:rPr>
        <w:t xml:space="preserve"> initial translation </w:t>
      </w:r>
      <w:r w:rsidR="00F34226" w:rsidRPr="00A472FC">
        <w:rPr>
          <w:rFonts w:ascii="Times New Roman" w:hAnsi="Times New Roman" w:cs="Times New Roman"/>
        </w:rPr>
        <w:t xml:space="preserve">of his </w:t>
      </w:r>
      <w:r w:rsidR="00F34226" w:rsidRPr="00A472FC">
        <w:rPr>
          <w:rFonts w:ascii="Times New Roman" w:hAnsi="Times New Roman" w:cs="Times New Roman"/>
          <w:i/>
          <w:iCs/>
        </w:rPr>
        <w:t xml:space="preserve">De fide </w:t>
      </w:r>
      <w:proofErr w:type="spellStart"/>
      <w:r w:rsidR="00F34226" w:rsidRPr="00A472FC">
        <w:rPr>
          <w:rFonts w:ascii="Times New Roman" w:hAnsi="Times New Roman" w:cs="Times New Roman"/>
          <w:i/>
          <w:iCs/>
        </w:rPr>
        <w:t>orthodoxa</w:t>
      </w:r>
      <w:proofErr w:type="spellEnd"/>
      <w:r w:rsidR="00F34226" w:rsidRPr="00A472FC">
        <w:rPr>
          <w:rFonts w:ascii="Times New Roman" w:hAnsi="Times New Roman" w:cs="Times New Roman"/>
          <w:i/>
          <w:iCs/>
        </w:rPr>
        <w:t xml:space="preserve"> </w:t>
      </w:r>
      <w:r w:rsidRPr="00A472FC">
        <w:rPr>
          <w:rFonts w:ascii="Times New Roman" w:hAnsi="Times New Roman" w:cs="Times New Roman"/>
        </w:rPr>
        <w:t xml:space="preserve">by </w:t>
      </w:r>
      <w:proofErr w:type="spellStart"/>
      <w:r w:rsidRPr="00A472FC">
        <w:rPr>
          <w:rFonts w:ascii="Times New Roman" w:hAnsi="Times New Roman" w:cs="Times New Roman"/>
        </w:rPr>
        <w:t>Burgundio</w:t>
      </w:r>
      <w:proofErr w:type="spellEnd"/>
      <w:r w:rsidRPr="00A472FC">
        <w:rPr>
          <w:rFonts w:ascii="Times New Roman" w:hAnsi="Times New Roman" w:cs="Times New Roman"/>
        </w:rPr>
        <w:t xml:space="preserve"> of Pisa in 1153-54.</w:t>
      </w:r>
      <w:r w:rsidRPr="00A472FC">
        <w:rPr>
          <w:rStyle w:val="FootnoteReference"/>
          <w:rFonts w:ascii="Times New Roman" w:hAnsi="Times New Roman" w:cs="Times New Roman"/>
        </w:rPr>
        <w:footnoteReference w:id="606"/>
      </w:r>
      <w:r w:rsidRPr="00A472FC">
        <w:rPr>
          <w:rFonts w:ascii="Times New Roman" w:hAnsi="Times New Roman" w:cs="Times New Roman"/>
        </w:rPr>
        <w:t xml:space="preserve"> The first major author to benefit from partial translations of Damascus’ </w:t>
      </w:r>
      <w:r w:rsidRPr="00A472FC">
        <w:rPr>
          <w:rFonts w:ascii="Times New Roman" w:hAnsi="Times New Roman" w:cs="Times New Roman"/>
          <w:i/>
        </w:rPr>
        <w:t xml:space="preserve">De fide </w:t>
      </w:r>
      <w:proofErr w:type="spellStart"/>
      <w:r w:rsidRPr="00A472FC">
        <w:rPr>
          <w:rFonts w:ascii="Times New Roman" w:hAnsi="Times New Roman" w:cs="Times New Roman"/>
          <w:i/>
        </w:rPr>
        <w:t>orthodoxa</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was Peter Lombard, who incorporated the Greek father’s work sporadically into his </w:t>
      </w:r>
      <w:r w:rsidRPr="00A472FC">
        <w:rPr>
          <w:rFonts w:ascii="Times New Roman" w:hAnsi="Times New Roman" w:cs="Times New Roman"/>
          <w:i/>
        </w:rPr>
        <w:t>Sentences</w:t>
      </w:r>
      <w:r w:rsidRPr="00A472FC">
        <w:rPr>
          <w:rFonts w:ascii="Times New Roman" w:hAnsi="Times New Roman" w:cs="Times New Roman"/>
        </w:rPr>
        <w:t>.</w:t>
      </w:r>
      <w:r w:rsidRPr="00A472FC">
        <w:rPr>
          <w:rStyle w:val="FootnoteReference"/>
          <w:rFonts w:ascii="Times New Roman" w:hAnsi="Times New Roman" w:cs="Times New Roman"/>
        </w:rPr>
        <w:footnoteReference w:id="607"/>
      </w:r>
      <w:r w:rsidRPr="00A472FC">
        <w:rPr>
          <w:rFonts w:ascii="Times New Roman" w:hAnsi="Times New Roman" w:cs="Times New Roman"/>
        </w:rPr>
        <w:t xml:space="preserve"> </w:t>
      </w:r>
    </w:p>
    <w:p w14:paraId="20381DFB" w14:textId="4EF5B1DC" w:rsidR="00E212D3" w:rsidRPr="00A472FC" w:rsidRDefault="00E212D3" w:rsidP="00E212D3">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By the early thirteenth century, theologians were starting to engage with the whole work, not least as Saccenti shows because of its affinity with the </w:t>
      </w:r>
      <w:r w:rsidRPr="00A472FC">
        <w:rPr>
          <w:rFonts w:ascii="Times New Roman" w:hAnsi="Times New Roman" w:cs="Times New Roman"/>
          <w:i/>
        </w:rPr>
        <w:t>Sentences</w:t>
      </w:r>
      <w:r w:rsidRPr="00A472FC">
        <w:rPr>
          <w:rFonts w:ascii="Times New Roman" w:hAnsi="Times New Roman" w:cs="Times New Roman"/>
        </w:rPr>
        <w:t xml:space="preserve"> of Peter Lombard in terms of the themes </w:t>
      </w:r>
      <w:r w:rsidR="00E346C9" w:rsidRPr="00A472FC">
        <w:rPr>
          <w:rFonts w:ascii="Times New Roman" w:hAnsi="Times New Roman" w:cs="Times New Roman"/>
        </w:rPr>
        <w:t xml:space="preserve">it </w:t>
      </w:r>
      <w:r w:rsidRPr="00A472FC">
        <w:rPr>
          <w:rFonts w:ascii="Times New Roman" w:hAnsi="Times New Roman" w:cs="Times New Roman"/>
        </w:rPr>
        <w:t>covered.</w:t>
      </w:r>
      <w:r w:rsidRPr="00A472FC">
        <w:rPr>
          <w:rStyle w:val="FootnoteReference"/>
          <w:rFonts w:ascii="Times New Roman" w:hAnsi="Times New Roman" w:cs="Times New Roman"/>
        </w:rPr>
        <w:footnoteReference w:id="608"/>
      </w:r>
      <w:r w:rsidRPr="00A472FC">
        <w:rPr>
          <w:rFonts w:ascii="Times New Roman" w:hAnsi="Times New Roman" w:cs="Times New Roman"/>
        </w:rPr>
        <w:t xml:space="preserve"> Indeed, the order in which those themes were treated lent itself to the eventual division of the work—probably by Philip the Chancellor—according to the four-part structure of Lombard’s </w:t>
      </w:r>
      <w:r w:rsidRPr="00A472FC">
        <w:rPr>
          <w:rFonts w:ascii="Times New Roman" w:hAnsi="Times New Roman" w:cs="Times New Roman"/>
          <w:i/>
        </w:rPr>
        <w:t>Sentences</w:t>
      </w:r>
      <w:r w:rsidRPr="00A472FC">
        <w:rPr>
          <w:rFonts w:ascii="Times New Roman" w:hAnsi="Times New Roman" w:cs="Times New Roman"/>
        </w:rPr>
        <w:t>, which considered God, creation, Incarnation, and Sacraments.</w:t>
      </w:r>
      <w:r w:rsidRPr="00A472FC">
        <w:rPr>
          <w:rStyle w:val="FootnoteReference"/>
          <w:rFonts w:ascii="Times New Roman" w:hAnsi="Times New Roman" w:cs="Times New Roman"/>
        </w:rPr>
        <w:footnoteReference w:id="609"/>
      </w:r>
      <w:r w:rsidRPr="00A472FC">
        <w:rPr>
          <w:rFonts w:ascii="Times New Roman" w:hAnsi="Times New Roman" w:cs="Times New Roman"/>
        </w:rPr>
        <w:t xml:space="preserve"> As Saccenti shows, the late twelfth-century manuscripts of </w:t>
      </w:r>
      <w:proofErr w:type="spellStart"/>
      <w:r w:rsidRPr="00A472FC">
        <w:rPr>
          <w:rFonts w:ascii="Times New Roman" w:hAnsi="Times New Roman" w:cs="Times New Roman"/>
        </w:rPr>
        <w:t>Burgundio’s</w:t>
      </w:r>
      <w:proofErr w:type="spellEnd"/>
      <w:r w:rsidRPr="00A472FC">
        <w:rPr>
          <w:rFonts w:ascii="Times New Roman" w:hAnsi="Times New Roman" w:cs="Times New Roman"/>
        </w:rPr>
        <w:t xml:space="preserve"> translation do not present the work in terms of this four-fold division but according to Damascus’ original </w:t>
      </w:r>
      <w:proofErr w:type="spellStart"/>
      <w:r w:rsidRPr="00A472FC">
        <w:rPr>
          <w:rFonts w:ascii="Times New Roman" w:hAnsi="Times New Roman" w:cs="Times New Roman"/>
        </w:rPr>
        <w:t>organizational</w:t>
      </w:r>
      <w:proofErr w:type="spellEnd"/>
      <w:r w:rsidRPr="00A472FC">
        <w:rPr>
          <w:rFonts w:ascii="Times New Roman" w:hAnsi="Times New Roman" w:cs="Times New Roman"/>
        </w:rPr>
        <w:t xml:space="preserve"> schema of one hundred chapters.</w:t>
      </w:r>
      <w:r w:rsidRPr="00A472FC">
        <w:rPr>
          <w:rStyle w:val="FootnoteReference"/>
          <w:rFonts w:ascii="Times New Roman" w:hAnsi="Times New Roman" w:cs="Times New Roman"/>
        </w:rPr>
        <w:footnoteReference w:id="610"/>
      </w:r>
      <w:r w:rsidRPr="00A472FC">
        <w:rPr>
          <w:rFonts w:ascii="Times New Roman" w:hAnsi="Times New Roman" w:cs="Times New Roman"/>
        </w:rPr>
        <w:t xml:space="preserve"> Through these new divisions, consequently, Damascus was pressed into the service and even the style of early Latin scholasticism and was presented as a key resource that could and should be employed to facilitate efforts increasingly to </w:t>
      </w:r>
      <w:proofErr w:type="spellStart"/>
      <w:r w:rsidRPr="00A472FC">
        <w:rPr>
          <w:rFonts w:ascii="Times New Roman" w:hAnsi="Times New Roman" w:cs="Times New Roman"/>
        </w:rPr>
        <w:t>systematize</w:t>
      </w:r>
      <w:proofErr w:type="spellEnd"/>
      <w:r w:rsidRPr="00A472FC">
        <w:rPr>
          <w:rFonts w:ascii="Times New Roman" w:hAnsi="Times New Roman" w:cs="Times New Roman"/>
        </w:rPr>
        <w:t xml:space="preserve"> theology.</w:t>
      </w:r>
    </w:p>
    <w:p w14:paraId="2B04348E" w14:textId="03E7CF27" w:rsidR="00D45300" w:rsidRPr="00A472FC" w:rsidRDefault="00E212D3" w:rsidP="00E212D3">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Although Philip, as Lottin notes, deserves much of the credit for introducing the Damascene’s psychology into early scholastic discussion, he did this in his typically </w:t>
      </w:r>
      <w:r w:rsidRPr="00A472FC">
        <w:rPr>
          <w:rFonts w:ascii="Times New Roman" w:hAnsi="Times New Roman" w:cs="Times New Roman"/>
        </w:rPr>
        <w:lastRenderedPageBreak/>
        <w:t>preliminary way.</w:t>
      </w:r>
      <w:r w:rsidRPr="00A472FC">
        <w:rPr>
          <w:rStyle w:val="FootnoteReference"/>
          <w:rFonts w:ascii="Times New Roman" w:hAnsi="Times New Roman" w:cs="Times New Roman"/>
        </w:rPr>
        <w:footnoteReference w:id="611"/>
      </w:r>
      <w:r w:rsidRPr="00A472FC">
        <w:rPr>
          <w:rFonts w:ascii="Times New Roman" w:hAnsi="Times New Roman" w:cs="Times New Roman"/>
        </w:rPr>
        <w:t xml:space="preserve"> Thus, it waited for John of La Rochelle to undertake the first extensive appropriation of the Greek father’s work in psychology.</w:t>
      </w:r>
      <w:r w:rsidRPr="00A472FC">
        <w:rPr>
          <w:rStyle w:val="FootnoteReference"/>
          <w:rFonts w:ascii="Times New Roman" w:hAnsi="Times New Roman" w:cs="Times New Roman"/>
        </w:rPr>
        <w:footnoteReference w:id="612"/>
      </w:r>
      <w:r w:rsidRPr="00A472FC">
        <w:rPr>
          <w:rFonts w:ascii="Times New Roman" w:hAnsi="Times New Roman" w:cs="Times New Roman"/>
        </w:rPr>
        <w:t xml:space="preserve"> This was a feat he achieved first and foremost in the </w:t>
      </w:r>
      <w:proofErr w:type="spellStart"/>
      <w:r w:rsidRPr="00A472FC">
        <w:rPr>
          <w:rFonts w:ascii="Times New Roman" w:hAnsi="Times New Roman" w:cs="Times New Roman"/>
          <w:i/>
        </w:rPr>
        <w:t>Tractatus</w:t>
      </w:r>
      <w:proofErr w:type="spellEnd"/>
      <w:r w:rsidRPr="00A472FC">
        <w:rPr>
          <w:rFonts w:ascii="Times New Roman" w:hAnsi="Times New Roman" w:cs="Times New Roman"/>
        </w:rPr>
        <w:t xml:space="preserve">, where he </w:t>
      </w:r>
      <w:r w:rsidR="009D5C27" w:rsidRPr="00A472FC">
        <w:rPr>
          <w:rFonts w:ascii="Times New Roman" w:hAnsi="Times New Roman" w:cs="Times New Roman"/>
        </w:rPr>
        <w:t>sought</w:t>
      </w:r>
      <w:r w:rsidRPr="00A472FC">
        <w:rPr>
          <w:rFonts w:ascii="Times New Roman" w:hAnsi="Times New Roman" w:cs="Times New Roman"/>
        </w:rPr>
        <w:t xml:space="preserve"> to demonstrate that it was not only pseudo-Augustine, the longstanding Christian authority, but also Damascus, the new light in systematic theological inquiry, who could be reconciled with Avicenna.</w:t>
      </w:r>
      <w:r w:rsidRPr="00A472FC">
        <w:rPr>
          <w:rStyle w:val="FootnoteReference"/>
          <w:rFonts w:ascii="Times New Roman" w:hAnsi="Times New Roman" w:cs="Times New Roman"/>
        </w:rPr>
        <w:footnoteReference w:id="613"/>
      </w:r>
      <w:r w:rsidRPr="00A472FC">
        <w:rPr>
          <w:rFonts w:ascii="Times New Roman" w:hAnsi="Times New Roman" w:cs="Times New Roman"/>
        </w:rPr>
        <w:t xml:space="preserve"> In view of these considerations, the diverse classifications of the soul John opts to cover in the </w:t>
      </w:r>
      <w:proofErr w:type="spellStart"/>
      <w:r w:rsidRPr="00A472FC">
        <w:rPr>
          <w:rFonts w:ascii="Times New Roman" w:hAnsi="Times New Roman" w:cs="Times New Roman"/>
          <w:i/>
        </w:rPr>
        <w:t>Tractatus</w:t>
      </w:r>
      <w:proofErr w:type="spellEnd"/>
      <w:r w:rsidRPr="00A472FC">
        <w:rPr>
          <w:rFonts w:ascii="Times New Roman" w:hAnsi="Times New Roman" w:cs="Times New Roman"/>
        </w:rPr>
        <w:t>, and his presumption of their compatibility, already testifies powerfully to his philosophical commitments</w:t>
      </w:r>
      <w:r w:rsidR="00A47070" w:rsidRPr="00A472FC">
        <w:rPr>
          <w:rFonts w:ascii="Times New Roman" w:hAnsi="Times New Roman" w:cs="Times New Roman"/>
        </w:rPr>
        <w:t>, and above all, to his belief that the giants of the medieval Christian tradition find their full formulation in the work of Avicenna</w:t>
      </w:r>
      <w:r w:rsidRPr="00A472FC">
        <w:rPr>
          <w:rFonts w:ascii="Times New Roman" w:hAnsi="Times New Roman" w:cs="Times New Roman"/>
        </w:rPr>
        <w:t>.</w:t>
      </w:r>
      <w:r w:rsidRPr="00A472FC">
        <w:rPr>
          <w:rStyle w:val="FootnoteReference"/>
          <w:rFonts w:ascii="Times New Roman" w:hAnsi="Times New Roman" w:cs="Times New Roman"/>
        </w:rPr>
        <w:footnoteReference w:id="614"/>
      </w:r>
      <w:r w:rsidR="00A47070" w:rsidRPr="00A472FC">
        <w:rPr>
          <w:rFonts w:ascii="Times New Roman" w:hAnsi="Times New Roman" w:cs="Times New Roman"/>
        </w:rPr>
        <w:t xml:space="preserve"> </w:t>
      </w:r>
    </w:p>
    <w:p w14:paraId="553466FB" w14:textId="116F308E" w:rsidR="00E212D3" w:rsidRPr="00A472FC" w:rsidRDefault="00A47070" w:rsidP="00EF6316">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In arranging his discussion to promote this conclusion, John</w:t>
      </w:r>
      <w:r w:rsidR="00EF6316" w:rsidRPr="00A472FC">
        <w:rPr>
          <w:rFonts w:ascii="Times New Roman" w:hAnsi="Times New Roman" w:cs="Times New Roman"/>
        </w:rPr>
        <w:t xml:space="preserve"> in his </w:t>
      </w:r>
      <w:proofErr w:type="spellStart"/>
      <w:r w:rsidR="00EF6316" w:rsidRPr="00A472FC">
        <w:rPr>
          <w:rFonts w:ascii="Times New Roman" w:hAnsi="Times New Roman" w:cs="Times New Roman"/>
        </w:rPr>
        <w:t>Trac</w:t>
      </w:r>
      <w:r w:rsidR="00EF6316" w:rsidRPr="00A472FC">
        <w:rPr>
          <w:rFonts w:ascii="Times New Roman" w:hAnsi="Times New Roman" w:cs="Times New Roman"/>
          <w:i/>
          <w:iCs/>
        </w:rPr>
        <w:t>tatus</w:t>
      </w:r>
      <w:proofErr w:type="spellEnd"/>
      <w:r w:rsidR="00EF6316" w:rsidRPr="00A472FC">
        <w:rPr>
          <w:rFonts w:ascii="Times New Roman" w:hAnsi="Times New Roman" w:cs="Times New Roman"/>
          <w:i/>
          <w:iCs/>
        </w:rPr>
        <w:t xml:space="preserve"> </w:t>
      </w:r>
      <w:r w:rsidR="00EF6316" w:rsidRPr="00A472FC">
        <w:rPr>
          <w:rFonts w:ascii="Times New Roman" w:hAnsi="Times New Roman" w:cs="Times New Roman"/>
        </w:rPr>
        <w:t xml:space="preserve">does not simply assemble material in the way of a dispassionate bystander but </w:t>
      </w:r>
      <w:r w:rsidR="008451F0" w:rsidRPr="00A472FC">
        <w:rPr>
          <w:rFonts w:ascii="Times New Roman" w:hAnsi="Times New Roman" w:cs="Times New Roman"/>
        </w:rPr>
        <w:t xml:space="preserve">operates </w:t>
      </w:r>
      <w:r w:rsidR="00EF6316" w:rsidRPr="00A472FC">
        <w:rPr>
          <w:rFonts w:ascii="Times New Roman" w:hAnsi="Times New Roman" w:cs="Times New Roman"/>
        </w:rPr>
        <w:t>in the mode of an innovator, who is developing a reading of the psychological aspects of the theological tradition that were suited to his philosophical tastes</w:t>
      </w:r>
      <w:r w:rsidR="00E212D3" w:rsidRPr="00A472FC">
        <w:rPr>
          <w:rFonts w:ascii="Times New Roman" w:hAnsi="Times New Roman" w:cs="Times New Roman"/>
        </w:rPr>
        <w:t>.</w:t>
      </w:r>
      <w:r w:rsidR="00E212D3" w:rsidRPr="00A472FC">
        <w:rPr>
          <w:rStyle w:val="FootnoteReference"/>
          <w:rFonts w:ascii="Times New Roman" w:hAnsi="Times New Roman" w:cs="Times New Roman"/>
        </w:rPr>
        <w:footnoteReference w:id="615"/>
      </w:r>
      <w:r w:rsidR="00E212D3" w:rsidRPr="00A472FC">
        <w:rPr>
          <w:rFonts w:ascii="Times New Roman" w:hAnsi="Times New Roman" w:cs="Times New Roman"/>
        </w:rPr>
        <w:t xml:space="preserve"> The</w:t>
      </w:r>
      <w:r w:rsidRPr="00A472FC">
        <w:rPr>
          <w:rFonts w:ascii="Times New Roman" w:hAnsi="Times New Roman" w:cs="Times New Roman"/>
        </w:rPr>
        <w:t xml:space="preserve"> specifics of these</w:t>
      </w:r>
      <w:r w:rsidR="00E212D3" w:rsidRPr="00A472FC">
        <w:rPr>
          <w:rFonts w:ascii="Times New Roman" w:hAnsi="Times New Roman" w:cs="Times New Roman"/>
        </w:rPr>
        <w:t xml:space="preserve"> will </w:t>
      </w:r>
      <w:r w:rsidR="00D45300" w:rsidRPr="00A472FC">
        <w:rPr>
          <w:rFonts w:ascii="Times New Roman" w:hAnsi="Times New Roman" w:cs="Times New Roman"/>
        </w:rPr>
        <w:t xml:space="preserve">begin to </w:t>
      </w:r>
      <w:r w:rsidR="00E212D3" w:rsidRPr="00A472FC">
        <w:rPr>
          <w:rFonts w:ascii="Times New Roman" w:hAnsi="Times New Roman" w:cs="Times New Roman"/>
        </w:rPr>
        <w:t xml:space="preserve">emerge below in the discussion of the ‘division of the powers of the soul according to the philosophers, especially Avicenna,’ </w:t>
      </w:r>
      <w:r w:rsidR="00D11A89" w:rsidRPr="00A472FC">
        <w:rPr>
          <w:rFonts w:ascii="Times New Roman" w:hAnsi="Times New Roman" w:cs="Times New Roman"/>
        </w:rPr>
        <w:t xml:space="preserve">according to </w:t>
      </w:r>
      <w:proofErr w:type="spellStart"/>
      <w:r w:rsidR="00D11A89" w:rsidRPr="00A472FC">
        <w:rPr>
          <w:rFonts w:ascii="Times New Roman" w:hAnsi="Times New Roman" w:cs="Times New Roman"/>
        </w:rPr>
        <w:t>Johannitius</w:t>
      </w:r>
      <w:proofErr w:type="spellEnd"/>
      <w:r w:rsidR="00D11A89" w:rsidRPr="00A472FC">
        <w:rPr>
          <w:rFonts w:ascii="Times New Roman" w:hAnsi="Times New Roman" w:cs="Times New Roman"/>
        </w:rPr>
        <w:t xml:space="preserve">, </w:t>
      </w:r>
      <w:r w:rsidR="00E212D3" w:rsidRPr="00A472FC">
        <w:rPr>
          <w:rFonts w:ascii="Times New Roman" w:hAnsi="Times New Roman" w:cs="Times New Roman"/>
        </w:rPr>
        <w:t xml:space="preserve">John of Damascus, and pseudo-Augustine that John offers initially in the </w:t>
      </w:r>
      <w:proofErr w:type="spellStart"/>
      <w:r w:rsidR="00E212D3" w:rsidRPr="00A472FC">
        <w:rPr>
          <w:rFonts w:ascii="Times New Roman" w:hAnsi="Times New Roman" w:cs="Times New Roman"/>
          <w:i/>
        </w:rPr>
        <w:t>Tractatus</w:t>
      </w:r>
      <w:proofErr w:type="spellEnd"/>
      <w:r w:rsidR="00E212D3" w:rsidRPr="00A472FC">
        <w:rPr>
          <w:rFonts w:ascii="Times New Roman" w:hAnsi="Times New Roman" w:cs="Times New Roman"/>
        </w:rPr>
        <w:t xml:space="preserve">. I have tried to represent the material John draws from these thinkers as and in the order in which it appears in the text, so that the reader can get a clear sense for the flow of the discussion. This will provide a basis for the next few chapters, where the comparisons with the SDA and indeed the </w:t>
      </w:r>
      <w:r w:rsidR="00E212D3" w:rsidRPr="00A472FC">
        <w:rPr>
          <w:rFonts w:ascii="Times New Roman" w:hAnsi="Times New Roman" w:cs="Times New Roman"/>
          <w:i/>
          <w:iCs/>
        </w:rPr>
        <w:t xml:space="preserve">Summa </w:t>
      </w:r>
      <w:proofErr w:type="spellStart"/>
      <w:r w:rsidR="00E212D3" w:rsidRPr="00A472FC">
        <w:rPr>
          <w:rFonts w:ascii="Times New Roman" w:hAnsi="Times New Roman" w:cs="Times New Roman"/>
          <w:i/>
          <w:iCs/>
        </w:rPr>
        <w:t>Halensis</w:t>
      </w:r>
      <w:proofErr w:type="spellEnd"/>
      <w:r w:rsidR="00E212D3" w:rsidRPr="00A472FC">
        <w:rPr>
          <w:rFonts w:ascii="Times New Roman" w:hAnsi="Times New Roman" w:cs="Times New Roman"/>
          <w:i/>
          <w:iCs/>
        </w:rPr>
        <w:t xml:space="preserve"> </w:t>
      </w:r>
      <w:r w:rsidR="00E212D3" w:rsidRPr="00A472FC">
        <w:rPr>
          <w:rFonts w:ascii="Times New Roman" w:hAnsi="Times New Roman" w:cs="Times New Roman"/>
        </w:rPr>
        <w:t xml:space="preserve">will come into fuller relief, and with them, the fundamental significance of the </w:t>
      </w:r>
      <w:proofErr w:type="spellStart"/>
      <w:r w:rsidR="00E212D3" w:rsidRPr="00A472FC">
        <w:rPr>
          <w:rFonts w:ascii="Times New Roman" w:hAnsi="Times New Roman" w:cs="Times New Roman"/>
          <w:i/>
        </w:rPr>
        <w:t>Tractatus</w:t>
      </w:r>
      <w:proofErr w:type="spellEnd"/>
      <w:r w:rsidR="00E212D3" w:rsidRPr="00A472FC">
        <w:rPr>
          <w:rFonts w:ascii="Times New Roman" w:hAnsi="Times New Roman" w:cs="Times New Roman"/>
        </w:rPr>
        <w:t>.</w:t>
      </w:r>
      <w:r w:rsidR="00E212D3" w:rsidRPr="00A472FC">
        <w:rPr>
          <w:rStyle w:val="FootnoteReference"/>
          <w:rFonts w:ascii="Times New Roman" w:hAnsi="Times New Roman" w:cs="Times New Roman"/>
        </w:rPr>
        <w:footnoteReference w:id="616"/>
      </w:r>
      <w:r w:rsidR="00E212D3" w:rsidRPr="00A472FC">
        <w:rPr>
          <w:rFonts w:ascii="Times New Roman" w:hAnsi="Times New Roman" w:cs="Times New Roman"/>
        </w:rPr>
        <w:t xml:space="preserve">  </w:t>
      </w:r>
    </w:p>
    <w:p w14:paraId="565F9A60" w14:textId="77777777" w:rsidR="00E212D3" w:rsidRPr="00A472FC" w:rsidRDefault="00E212D3" w:rsidP="00E212D3">
      <w:pPr>
        <w:ind w:right="-52"/>
        <w:rPr>
          <w:rFonts w:ascii="Times New Roman" w:hAnsi="Times New Roman" w:cs="Times New Roman"/>
        </w:rPr>
      </w:pPr>
    </w:p>
    <w:p w14:paraId="2CB243FF" w14:textId="75943224" w:rsidR="00E212D3" w:rsidRPr="00A472FC" w:rsidRDefault="00E212D3" w:rsidP="00E212D3">
      <w:pPr>
        <w:autoSpaceDE w:val="0"/>
        <w:autoSpaceDN w:val="0"/>
        <w:adjustRightInd w:val="0"/>
        <w:ind w:right="-52"/>
        <w:rPr>
          <w:rFonts w:ascii="Times New Roman" w:hAnsi="Times New Roman" w:cs="Times New Roman"/>
          <w:kern w:val="1"/>
          <w:u w:val="single"/>
          <w:lang w:val="en-US"/>
        </w:rPr>
      </w:pPr>
      <w:r w:rsidRPr="00A472FC">
        <w:rPr>
          <w:rFonts w:ascii="Times New Roman" w:hAnsi="Times New Roman" w:cs="Times New Roman"/>
          <w:kern w:val="1"/>
          <w:u w:val="single"/>
          <w:lang w:val="en-US"/>
        </w:rPr>
        <w:t xml:space="preserve">The Division of Powers </w:t>
      </w:r>
      <w:r w:rsidR="00D42F13" w:rsidRPr="00A472FC">
        <w:rPr>
          <w:rFonts w:ascii="Times New Roman" w:hAnsi="Times New Roman" w:cs="Times New Roman"/>
          <w:kern w:val="1"/>
          <w:u w:val="single"/>
          <w:lang w:val="en-US"/>
        </w:rPr>
        <w:t>in the</w:t>
      </w:r>
      <w:r w:rsidRPr="00A472FC">
        <w:rPr>
          <w:rFonts w:ascii="Times New Roman" w:hAnsi="Times New Roman" w:cs="Times New Roman"/>
          <w:kern w:val="1"/>
          <w:u w:val="single"/>
          <w:lang w:val="en-US"/>
        </w:rPr>
        <w:t xml:space="preserve"> Philosophers</w:t>
      </w:r>
    </w:p>
    <w:p w14:paraId="4DE74F6C" w14:textId="77777777" w:rsidR="00E212D3" w:rsidRPr="00A472FC" w:rsidRDefault="00E212D3" w:rsidP="00E212D3">
      <w:pPr>
        <w:ind w:right="-52"/>
        <w:rPr>
          <w:rFonts w:ascii="Times New Roman" w:hAnsi="Times New Roman" w:cs="Times New Roman"/>
        </w:rPr>
      </w:pPr>
    </w:p>
    <w:p w14:paraId="3DDECE82" w14:textId="77777777" w:rsidR="00E212D3" w:rsidRPr="00A472FC" w:rsidRDefault="00E212D3" w:rsidP="00E212D3">
      <w:pPr>
        <w:ind w:right="-52"/>
        <w:rPr>
          <w:rFonts w:ascii="Times New Roman" w:hAnsi="Times New Roman" w:cs="Times New Roman"/>
          <w:i/>
        </w:rPr>
      </w:pPr>
      <w:r w:rsidRPr="00A472FC">
        <w:rPr>
          <w:rFonts w:ascii="Times New Roman" w:hAnsi="Times New Roman" w:cs="Times New Roman"/>
          <w:i/>
        </w:rPr>
        <w:t>The Vegetative Powers</w:t>
      </w:r>
    </w:p>
    <w:p w14:paraId="27A516C3" w14:textId="77777777" w:rsidR="00E212D3" w:rsidRPr="00A472FC" w:rsidRDefault="00E212D3" w:rsidP="00E212D3">
      <w:pPr>
        <w:ind w:right="-52"/>
        <w:rPr>
          <w:rFonts w:ascii="Times New Roman" w:hAnsi="Times New Roman" w:cs="Times New Roman"/>
          <w:u w:val="single"/>
        </w:rPr>
      </w:pPr>
    </w:p>
    <w:p w14:paraId="0366FFE6" w14:textId="3C44F8ED"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The section which delineates the classifications of the soul that can be found in the philosophers</w:t>
      </w:r>
      <w:r w:rsidR="00E22E38" w:rsidRPr="00A472FC">
        <w:rPr>
          <w:rFonts w:ascii="Times New Roman" w:hAnsi="Times New Roman" w:cs="Times New Roman"/>
        </w:rPr>
        <w:t xml:space="preserve"> </w:t>
      </w:r>
      <w:r w:rsidRPr="00A472FC">
        <w:rPr>
          <w:rFonts w:ascii="Times New Roman" w:hAnsi="Times New Roman" w:cs="Times New Roman"/>
        </w:rPr>
        <w:t xml:space="preserve">starts by observing that Avicenna in his </w:t>
      </w:r>
      <w:r w:rsidRPr="00A472FC">
        <w:rPr>
          <w:rFonts w:ascii="Times New Roman" w:hAnsi="Times New Roman" w:cs="Times New Roman"/>
          <w:i/>
        </w:rPr>
        <w:t xml:space="preserve">De anima </w:t>
      </w:r>
      <w:r w:rsidRPr="00A472FC">
        <w:rPr>
          <w:rFonts w:ascii="Times New Roman" w:hAnsi="Times New Roman" w:cs="Times New Roman"/>
        </w:rPr>
        <w:t>names three principal powers of the soul: vegetable, sensible, and rational.</w:t>
      </w:r>
      <w:r w:rsidRPr="00A472FC">
        <w:rPr>
          <w:rStyle w:val="FootnoteReference"/>
          <w:rFonts w:ascii="Times New Roman" w:hAnsi="Times New Roman" w:cs="Times New Roman"/>
        </w:rPr>
        <w:footnoteReference w:id="617"/>
      </w:r>
      <w:r w:rsidRPr="00A472FC">
        <w:rPr>
          <w:rFonts w:ascii="Times New Roman" w:hAnsi="Times New Roman" w:cs="Times New Roman"/>
        </w:rPr>
        <w:t xml:space="preserve"> </w:t>
      </w:r>
      <w:r w:rsidR="00316EA1" w:rsidRPr="00A472FC">
        <w:rPr>
          <w:rFonts w:ascii="Times New Roman" w:hAnsi="Times New Roman" w:cs="Times New Roman"/>
        </w:rPr>
        <w:t>‘</w:t>
      </w:r>
      <w:r w:rsidRPr="00A472FC">
        <w:rPr>
          <w:rFonts w:ascii="Times New Roman" w:hAnsi="Times New Roman" w:cs="Times New Roman"/>
        </w:rPr>
        <w:t xml:space="preserve">The vegetable power </w:t>
      </w:r>
      <w:r w:rsidR="00C00F22" w:rsidRPr="00A472FC">
        <w:rPr>
          <w:rFonts w:ascii="Times New Roman" w:hAnsi="Times New Roman" w:cs="Times New Roman"/>
        </w:rPr>
        <w:t>is the principle of preservation of nature through generation and nutrition, as well as of perfecting it through growth.</w:t>
      </w:r>
      <w:r w:rsidR="001266FC" w:rsidRPr="00A472FC">
        <w:rPr>
          <w:rFonts w:ascii="Times New Roman" w:hAnsi="Times New Roman" w:cs="Times New Roman"/>
        </w:rPr>
        <w:t xml:space="preserve"> </w:t>
      </w:r>
      <w:r w:rsidRPr="00A472FC">
        <w:rPr>
          <w:rFonts w:ascii="Times New Roman" w:hAnsi="Times New Roman" w:cs="Times New Roman"/>
        </w:rPr>
        <w:t xml:space="preserve">The sensible is the principle of sensation and motion in </w:t>
      </w:r>
      <w:r w:rsidR="001310BC" w:rsidRPr="00A472FC">
        <w:rPr>
          <w:rFonts w:ascii="Times New Roman" w:hAnsi="Times New Roman" w:cs="Times New Roman"/>
        </w:rPr>
        <w:t>bodies</w:t>
      </w:r>
      <w:r w:rsidR="00983F1B" w:rsidRPr="00A472FC">
        <w:rPr>
          <w:rFonts w:ascii="Times New Roman" w:hAnsi="Times New Roman" w:cs="Times New Roman"/>
        </w:rPr>
        <w:t xml:space="preserve"> of animals.</w:t>
      </w:r>
      <w:r w:rsidRPr="00A472FC">
        <w:rPr>
          <w:rFonts w:ascii="Times New Roman" w:hAnsi="Times New Roman" w:cs="Times New Roman"/>
        </w:rPr>
        <w:t xml:space="preserve"> The </w:t>
      </w:r>
      <w:r w:rsidRPr="00A472FC">
        <w:rPr>
          <w:rFonts w:ascii="Times New Roman" w:hAnsi="Times New Roman" w:cs="Times New Roman"/>
        </w:rPr>
        <w:lastRenderedPageBreak/>
        <w:t>rational power is the</w:t>
      </w:r>
      <w:r w:rsidR="003349EB" w:rsidRPr="00A472FC">
        <w:rPr>
          <w:rFonts w:ascii="Times New Roman" w:hAnsi="Times New Roman" w:cs="Times New Roman"/>
        </w:rPr>
        <w:t xml:space="preserve"> principle of</w:t>
      </w:r>
      <w:r w:rsidRPr="00A472FC">
        <w:rPr>
          <w:rFonts w:ascii="Times New Roman" w:hAnsi="Times New Roman" w:cs="Times New Roman"/>
        </w:rPr>
        <w:t xml:space="preserve"> intellectual speculation and freely chosen action.’</w:t>
      </w:r>
      <w:r w:rsidRPr="00A472FC">
        <w:rPr>
          <w:rStyle w:val="FootnoteReference"/>
          <w:rFonts w:ascii="Times New Roman" w:hAnsi="Times New Roman" w:cs="Times New Roman"/>
        </w:rPr>
        <w:footnoteReference w:id="618"/>
      </w:r>
      <w:r w:rsidRPr="00A472FC">
        <w:rPr>
          <w:rFonts w:ascii="Times New Roman" w:hAnsi="Times New Roman" w:cs="Times New Roman"/>
          <w:i/>
        </w:rPr>
        <w:t xml:space="preserve"> </w:t>
      </w:r>
      <w:r w:rsidRPr="00A472FC">
        <w:rPr>
          <w:rFonts w:ascii="Times New Roman" w:hAnsi="Times New Roman" w:cs="Times New Roman"/>
        </w:rPr>
        <w:t>The vegetable power is divided into the nutritive, augmentative, and generative powers.</w:t>
      </w:r>
      <w:r w:rsidRPr="00A472FC">
        <w:rPr>
          <w:rStyle w:val="FootnoteReference"/>
          <w:rFonts w:ascii="Times New Roman" w:hAnsi="Times New Roman" w:cs="Times New Roman"/>
        </w:rPr>
        <w:footnoteReference w:id="619"/>
      </w:r>
      <w:r w:rsidRPr="00A472FC">
        <w:rPr>
          <w:rFonts w:ascii="Times New Roman" w:hAnsi="Times New Roman" w:cs="Times New Roman"/>
        </w:rPr>
        <w:t xml:space="preserve"> The nutritive power is the principle of conserving the life of the being which restores through consumption the energy that was lost in the activity of the being. The augmentative power is the principle of increasing the body and perfecting it as far as its quantity and consistency of nature is concerned. This power adds a natural proportion to the whole body in accordance with what is consumed by the nutritive power. </w:t>
      </w:r>
    </w:p>
    <w:p w14:paraId="2173D1DB" w14:textId="77FB24FB"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The generative power is the principle of life, whether in plants, or animals or humans, and of producing things of a similar kind, such as a human from a human and a plant from a plant. While the generative power therefore conserves and multiplies the species, the nutritive and augmentative</w:t>
      </w:r>
      <w:r w:rsidR="00755E51" w:rsidRPr="00A472FC">
        <w:rPr>
          <w:rFonts w:ascii="Times New Roman" w:hAnsi="Times New Roman" w:cs="Times New Roman"/>
        </w:rPr>
        <w:t xml:space="preserve"> powers</w:t>
      </w:r>
      <w:r w:rsidRPr="00A472FC">
        <w:rPr>
          <w:rFonts w:ascii="Times New Roman" w:hAnsi="Times New Roman" w:cs="Times New Roman"/>
        </w:rPr>
        <w:t xml:space="preserve"> refer to the singular being</w:t>
      </w:r>
      <w:r w:rsidR="00755E51" w:rsidRPr="00A472FC">
        <w:rPr>
          <w:rFonts w:ascii="Times New Roman" w:hAnsi="Times New Roman" w:cs="Times New Roman"/>
        </w:rPr>
        <w:t>,</w:t>
      </w:r>
      <w:r w:rsidRPr="00A472FC">
        <w:rPr>
          <w:rFonts w:ascii="Times New Roman" w:hAnsi="Times New Roman" w:cs="Times New Roman"/>
        </w:rPr>
        <w:t xml:space="preserve"> but in different ways, because the nutritive conserves and the augmentative perfects. The work of the nutritive power to incorporate nutrition into the body itself involves four natural powers: the attractive, retentive, digestive, and expulsive.</w:t>
      </w:r>
      <w:r w:rsidRPr="00A472FC">
        <w:rPr>
          <w:rStyle w:val="FootnoteReference"/>
          <w:rFonts w:ascii="Times New Roman" w:hAnsi="Times New Roman" w:cs="Times New Roman"/>
        </w:rPr>
        <w:footnoteReference w:id="620"/>
      </w:r>
      <w:r w:rsidRPr="00A472FC">
        <w:rPr>
          <w:rFonts w:ascii="Times New Roman" w:hAnsi="Times New Roman" w:cs="Times New Roman"/>
        </w:rPr>
        <w:t xml:space="preserve"> The first acquires suitable nutrition, the second retains it, the third digests what is good for the body, and the fourth gets rid of waste. </w:t>
      </w:r>
    </w:p>
    <w:p w14:paraId="734673FB" w14:textId="2FA4D3EF"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As we have seen, the aforementioned vegetable powers—including the nutritive, augmentative, and generative—were </w:t>
      </w:r>
      <w:r w:rsidR="006D4B59" w:rsidRPr="00A472FC">
        <w:rPr>
          <w:rFonts w:ascii="Times New Roman" w:hAnsi="Times New Roman" w:cs="Times New Roman"/>
        </w:rPr>
        <w:t xml:space="preserve">also </w:t>
      </w:r>
      <w:r w:rsidRPr="00A472FC">
        <w:rPr>
          <w:rFonts w:ascii="Times New Roman" w:hAnsi="Times New Roman" w:cs="Times New Roman"/>
        </w:rPr>
        <w:t xml:space="preserve">part of the so-called ‘new medicine’ that had become available to Latin thinkers in the twelfth century through the work of </w:t>
      </w:r>
      <w:proofErr w:type="spellStart"/>
      <w:r w:rsidR="00A02B47" w:rsidRPr="00A472FC">
        <w:rPr>
          <w:rFonts w:ascii="Times New Roman" w:hAnsi="Times New Roman" w:cs="Times New Roman"/>
        </w:rPr>
        <w:t>Johannitius</w:t>
      </w:r>
      <w:proofErr w:type="spellEnd"/>
      <w:r w:rsidR="00A02B47" w:rsidRPr="00A472FC">
        <w:rPr>
          <w:rFonts w:ascii="Times New Roman" w:hAnsi="Times New Roman" w:cs="Times New Roman"/>
        </w:rPr>
        <w:t xml:space="preserve"> and </w:t>
      </w:r>
      <w:r w:rsidRPr="00A472FC">
        <w:rPr>
          <w:rFonts w:ascii="Times New Roman" w:hAnsi="Times New Roman" w:cs="Times New Roman"/>
        </w:rPr>
        <w:t>Constantine the African, who also talk about the attractive, retentive, digestive, and expulsive facets of the nutritive power.</w:t>
      </w:r>
      <w:r w:rsidRPr="00A472FC">
        <w:rPr>
          <w:rStyle w:val="FootnoteReference"/>
          <w:rFonts w:ascii="Times New Roman" w:hAnsi="Times New Roman" w:cs="Times New Roman"/>
        </w:rPr>
        <w:footnoteReference w:id="621"/>
      </w:r>
      <w:r w:rsidRPr="00A472FC">
        <w:rPr>
          <w:rFonts w:ascii="Times New Roman" w:hAnsi="Times New Roman" w:cs="Times New Roman"/>
        </w:rPr>
        <w:t xml:space="preserve"> These four powers </w:t>
      </w:r>
      <w:r w:rsidR="00B9456E" w:rsidRPr="00A472FC">
        <w:rPr>
          <w:rFonts w:ascii="Times New Roman" w:hAnsi="Times New Roman" w:cs="Times New Roman"/>
        </w:rPr>
        <w:t>are additionally</w:t>
      </w:r>
      <w:r w:rsidRPr="00A472FC">
        <w:rPr>
          <w:rFonts w:ascii="Times New Roman" w:hAnsi="Times New Roman" w:cs="Times New Roman"/>
        </w:rPr>
        <w:t xml:space="preserve"> mentioned by different names in Costa Ben Luca, and it is possibly through him that twelfth-century thinkers like William of Thierry and Isaac of Stella came to know of them.</w:t>
      </w:r>
      <w:r w:rsidRPr="00A472FC">
        <w:rPr>
          <w:rStyle w:val="FootnoteReference"/>
          <w:rFonts w:ascii="Times New Roman" w:hAnsi="Times New Roman" w:cs="Times New Roman"/>
        </w:rPr>
        <w:footnoteReference w:id="622"/>
      </w:r>
      <w:r w:rsidRPr="00A472FC">
        <w:rPr>
          <w:rFonts w:ascii="Times New Roman" w:hAnsi="Times New Roman" w:cs="Times New Roman"/>
        </w:rPr>
        <w:t xml:space="preserve"> In his treatment of the ‘medical’ division of the soul’s powers, John mentions these powers again, this time in reference to </w:t>
      </w:r>
      <w:proofErr w:type="spellStart"/>
      <w:r w:rsidRPr="00A472FC">
        <w:rPr>
          <w:rFonts w:ascii="Times New Roman" w:hAnsi="Times New Roman" w:cs="Times New Roman"/>
        </w:rPr>
        <w:t>Johannitius</w:t>
      </w:r>
      <w:proofErr w:type="spellEnd"/>
      <w:r w:rsidR="006D4149" w:rsidRPr="00A472FC">
        <w:rPr>
          <w:rFonts w:ascii="Times New Roman" w:hAnsi="Times New Roman" w:cs="Times New Roman"/>
        </w:rPr>
        <w:t>, who will be the focus of the next section</w:t>
      </w:r>
      <w:r w:rsidR="002F7722" w:rsidRPr="00A472FC">
        <w:rPr>
          <w:rFonts w:ascii="Times New Roman" w:hAnsi="Times New Roman" w:cs="Times New Roman"/>
        </w:rPr>
        <w:t xml:space="preserve"> of this chapter</w:t>
      </w:r>
      <w:r w:rsidRPr="00A472FC">
        <w:rPr>
          <w:rFonts w:ascii="Times New Roman" w:hAnsi="Times New Roman" w:cs="Times New Roman"/>
        </w:rPr>
        <w:t>.</w:t>
      </w:r>
      <w:r w:rsidRPr="00A472FC">
        <w:rPr>
          <w:rStyle w:val="FootnoteReference"/>
          <w:rFonts w:ascii="Times New Roman" w:hAnsi="Times New Roman" w:cs="Times New Roman"/>
        </w:rPr>
        <w:footnoteReference w:id="623"/>
      </w:r>
      <w:r w:rsidRPr="00A472FC">
        <w:rPr>
          <w:rFonts w:ascii="Times New Roman" w:hAnsi="Times New Roman" w:cs="Times New Roman"/>
        </w:rPr>
        <w:t xml:space="preserve"> </w:t>
      </w:r>
    </w:p>
    <w:p w14:paraId="5ECFA31F" w14:textId="77777777" w:rsidR="00E212D3" w:rsidRPr="00A472FC" w:rsidRDefault="00E212D3" w:rsidP="00E212D3">
      <w:pPr>
        <w:ind w:right="-52"/>
        <w:rPr>
          <w:rFonts w:ascii="Times New Roman" w:hAnsi="Times New Roman" w:cs="Times New Roman"/>
        </w:rPr>
      </w:pPr>
    </w:p>
    <w:p w14:paraId="5EB1C682" w14:textId="77777777" w:rsidR="00E212D3" w:rsidRPr="00A472FC" w:rsidRDefault="00E212D3" w:rsidP="00E212D3">
      <w:pPr>
        <w:ind w:right="-52"/>
        <w:rPr>
          <w:rFonts w:ascii="Times New Roman" w:hAnsi="Times New Roman" w:cs="Times New Roman"/>
          <w:i/>
        </w:rPr>
      </w:pPr>
      <w:r w:rsidRPr="00A472FC">
        <w:rPr>
          <w:rFonts w:ascii="Times New Roman" w:hAnsi="Times New Roman" w:cs="Times New Roman"/>
          <w:i/>
        </w:rPr>
        <w:t>The Internal Senses</w:t>
      </w:r>
    </w:p>
    <w:p w14:paraId="651958CB" w14:textId="77777777" w:rsidR="00E212D3" w:rsidRPr="00A472FC" w:rsidRDefault="00E212D3" w:rsidP="00E212D3">
      <w:pPr>
        <w:ind w:right="-52"/>
        <w:rPr>
          <w:rFonts w:ascii="Times New Roman" w:hAnsi="Times New Roman" w:cs="Times New Roman"/>
        </w:rPr>
      </w:pPr>
    </w:p>
    <w:p w14:paraId="4B1F8154" w14:textId="77777777" w:rsidR="00025325" w:rsidRPr="00A472FC" w:rsidRDefault="00025325" w:rsidP="00025325">
      <w:pPr>
        <w:ind w:right="-52" w:firstLine="720"/>
        <w:rPr>
          <w:rFonts w:ascii="Times New Roman" w:hAnsi="Times New Roman" w:cs="Times New Roman"/>
        </w:rPr>
      </w:pPr>
      <w:r w:rsidRPr="00A472FC">
        <w:rPr>
          <w:rFonts w:ascii="Times New Roman" w:hAnsi="Times New Roman" w:cs="Times New Roman"/>
        </w:rPr>
        <w:t>From the discussion of the natural powers, John goes on to talk about the sensible powers, which he divides into cognitive and motive powers, following John of Damascus.</w:t>
      </w:r>
      <w:r w:rsidRPr="00A472FC">
        <w:rPr>
          <w:rStyle w:val="FootnoteReference"/>
          <w:rFonts w:ascii="Times New Roman" w:hAnsi="Times New Roman" w:cs="Times New Roman"/>
        </w:rPr>
        <w:footnoteReference w:id="624"/>
      </w:r>
      <w:r w:rsidRPr="00A472FC">
        <w:rPr>
          <w:rFonts w:ascii="Times New Roman" w:hAnsi="Times New Roman" w:cs="Times New Roman"/>
        </w:rPr>
        <w:t xml:space="preserve"> The cognitive or apprehensive mode is two-fold: there is apprehension in the natural mode and in the animal mode. The first is described in terms of phantasy, which is active in dreams, which are not ruled by reason. By contrast, cognitive operation according to the animal mode is subject to the rule of reason over the exterior and interior senses.</w:t>
      </w:r>
      <w:r w:rsidRPr="00A472FC">
        <w:rPr>
          <w:rStyle w:val="FootnoteReference"/>
          <w:rFonts w:ascii="Times New Roman" w:hAnsi="Times New Roman" w:cs="Times New Roman"/>
        </w:rPr>
        <w:footnoteReference w:id="625"/>
      </w:r>
      <w:r w:rsidRPr="00A472FC">
        <w:rPr>
          <w:rFonts w:ascii="Times New Roman" w:hAnsi="Times New Roman" w:cs="Times New Roman"/>
        </w:rPr>
        <w:t xml:space="preserve"> The exterior senses include the five external senses of sight, hearing, smell, taste, and touch.</w:t>
      </w:r>
      <w:r w:rsidRPr="00A472FC">
        <w:rPr>
          <w:rStyle w:val="FootnoteReference"/>
          <w:rFonts w:ascii="Times New Roman" w:hAnsi="Times New Roman" w:cs="Times New Roman"/>
        </w:rPr>
        <w:footnoteReference w:id="626"/>
      </w:r>
      <w:r w:rsidRPr="00A472FC">
        <w:rPr>
          <w:rFonts w:ascii="Times New Roman" w:hAnsi="Times New Roman" w:cs="Times New Roman"/>
        </w:rPr>
        <w:t xml:space="preserve"> </w:t>
      </w:r>
    </w:p>
    <w:p w14:paraId="12B14C75" w14:textId="77777777" w:rsidR="00025325" w:rsidRPr="00A472FC" w:rsidRDefault="00025325" w:rsidP="00025325">
      <w:pPr>
        <w:ind w:right="-52" w:firstLine="720"/>
        <w:rPr>
          <w:rFonts w:ascii="Times New Roman" w:hAnsi="Times New Roman" w:cs="Times New Roman"/>
        </w:rPr>
      </w:pPr>
      <w:r w:rsidRPr="00A472FC">
        <w:rPr>
          <w:rFonts w:ascii="Times New Roman" w:hAnsi="Times New Roman" w:cs="Times New Roman"/>
        </w:rPr>
        <w:t>The interior senses according to Avicenna are also five in number and will be elaborated below.</w:t>
      </w:r>
      <w:r w:rsidRPr="00A472FC">
        <w:rPr>
          <w:rStyle w:val="FootnoteReference"/>
          <w:rFonts w:ascii="Times New Roman" w:hAnsi="Times New Roman" w:cs="Times New Roman"/>
        </w:rPr>
        <w:footnoteReference w:id="627"/>
      </w:r>
      <w:r w:rsidRPr="00A472FC">
        <w:rPr>
          <w:rFonts w:ascii="Times New Roman" w:hAnsi="Times New Roman" w:cs="Times New Roman"/>
        </w:rPr>
        <w:t xml:space="preserve"> In talking about these, we will find that John following Avicenna refers to </w:t>
      </w:r>
      <w:r w:rsidRPr="00A472FC">
        <w:rPr>
          <w:rFonts w:ascii="Times New Roman" w:hAnsi="Times New Roman" w:cs="Times New Roman"/>
        </w:rPr>
        <w:lastRenderedPageBreak/>
        <w:t>a three-fold division of the brain—in which the frontal lobe is associated with imaging objects, the middle with cognitive activity, and the rear with memory.</w:t>
      </w:r>
      <w:r w:rsidRPr="00A472FC">
        <w:rPr>
          <w:rStyle w:val="FootnoteReference"/>
          <w:rFonts w:ascii="Times New Roman" w:hAnsi="Times New Roman" w:cs="Times New Roman"/>
        </w:rPr>
        <w:footnoteReference w:id="628"/>
      </w:r>
      <w:r w:rsidRPr="00A472FC">
        <w:rPr>
          <w:rFonts w:ascii="Times New Roman" w:hAnsi="Times New Roman" w:cs="Times New Roman"/>
        </w:rPr>
        <w:t xml:space="preserve"> This division goes back to Galen, and is found in </w:t>
      </w:r>
      <w:proofErr w:type="spellStart"/>
      <w:r w:rsidRPr="00A472FC">
        <w:rPr>
          <w:rFonts w:ascii="Times New Roman" w:hAnsi="Times New Roman" w:cs="Times New Roman"/>
        </w:rPr>
        <w:t>Nemesius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rPr>
        <w:t>Premnon</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physicon</w:t>
      </w:r>
      <w:proofErr w:type="spellEnd"/>
      <w:r w:rsidRPr="00A472FC">
        <w:rPr>
          <w:rFonts w:ascii="Times New Roman" w:hAnsi="Times New Roman" w:cs="Times New Roman"/>
          <w:iCs/>
        </w:rPr>
        <w:t xml:space="preserve">, </w:t>
      </w:r>
      <w:r w:rsidRPr="00A472FC">
        <w:rPr>
          <w:rFonts w:ascii="Times New Roman" w:hAnsi="Times New Roman" w:cs="Times New Roman"/>
        </w:rPr>
        <w:t xml:space="preserve">Costa Ben Luca, </w:t>
      </w:r>
      <w:proofErr w:type="spellStart"/>
      <w:r w:rsidRPr="00A472FC">
        <w:rPr>
          <w:rFonts w:ascii="Times New Roman" w:hAnsi="Times New Roman" w:cs="Times New Roman"/>
        </w:rPr>
        <w:t>Johannitius</w:t>
      </w:r>
      <w:proofErr w:type="spellEnd"/>
      <w:r w:rsidRPr="00A472FC">
        <w:rPr>
          <w:rFonts w:ascii="Times New Roman" w:hAnsi="Times New Roman" w:cs="Times New Roman"/>
        </w:rPr>
        <w:t xml:space="preserve">, and Constantine. While John of La Rochelle does not seem to know Constantine the African, he clearly knows Costa Ben Luca as well as </w:t>
      </w:r>
      <w:proofErr w:type="spellStart"/>
      <w:r w:rsidRPr="00A472FC">
        <w:rPr>
          <w:rFonts w:ascii="Times New Roman" w:hAnsi="Times New Roman" w:cs="Times New Roman"/>
        </w:rPr>
        <w:t>Nemesius</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rPr>
        <w:t>Alfanus</w:t>
      </w:r>
      <w:proofErr w:type="spellEnd"/>
      <w:r w:rsidRPr="00A472FC">
        <w:rPr>
          <w:rFonts w:ascii="Times New Roman" w:hAnsi="Times New Roman" w:cs="Times New Roman"/>
        </w:rPr>
        <w:t xml:space="preserve">’ translation, and above all, </w:t>
      </w:r>
      <w:proofErr w:type="spellStart"/>
      <w:r w:rsidRPr="00A472FC">
        <w:rPr>
          <w:rFonts w:ascii="Times New Roman" w:hAnsi="Times New Roman" w:cs="Times New Roman"/>
        </w:rPr>
        <w:t>Johannitius</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629"/>
      </w:r>
      <w:r w:rsidRPr="00A472FC">
        <w:rPr>
          <w:rFonts w:ascii="Times New Roman" w:hAnsi="Times New Roman" w:cs="Times New Roman"/>
        </w:rPr>
        <w:t xml:space="preserve"> Although he was not likely himself a medical practitioner, consequently, he was well-schooled in the medical categories and one of the few university scholars and perhaps the only theologian at the time to incorporate them into his discussion of the soul’s powers.</w:t>
      </w:r>
    </w:p>
    <w:p w14:paraId="69CDB60C" w14:textId="77777777" w:rsidR="005D1B37" w:rsidRPr="00A472FC" w:rsidRDefault="00E212D3" w:rsidP="005D1B37">
      <w:pPr>
        <w:ind w:right="-52" w:firstLine="720"/>
        <w:rPr>
          <w:rFonts w:ascii="Times New Roman" w:hAnsi="Times New Roman" w:cs="Times New Roman"/>
        </w:rPr>
      </w:pPr>
      <w:r w:rsidRPr="00A472FC">
        <w:rPr>
          <w:rFonts w:ascii="Times New Roman" w:hAnsi="Times New Roman" w:cs="Times New Roman"/>
        </w:rPr>
        <w:t xml:space="preserve">In elaborating on the specific internal senses mentioned by Avicenna, John states that ‘the common sense is the power ordained in the first concavity of the brain which </w:t>
      </w:r>
      <w:r w:rsidR="000E4207" w:rsidRPr="00A472FC">
        <w:rPr>
          <w:rFonts w:ascii="Times New Roman" w:hAnsi="Times New Roman" w:cs="Times New Roman"/>
        </w:rPr>
        <w:t xml:space="preserve">by itself </w:t>
      </w:r>
      <w:r w:rsidRPr="00A472FC">
        <w:rPr>
          <w:rFonts w:ascii="Times New Roman" w:hAnsi="Times New Roman" w:cs="Times New Roman"/>
        </w:rPr>
        <w:t xml:space="preserve">receives all forms which are imprinted by the senses and </w:t>
      </w:r>
      <w:r w:rsidR="00A04D52" w:rsidRPr="00A472FC">
        <w:rPr>
          <w:rFonts w:ascii="Times New Roman" w:hAnsi="Times New Roman" w:cs="Times New Roman"/>
        </w:rPr>
        <w:t>transmitted to it</w:t>
      </w:r>
      <w:r w:rsidRPr="00A472FC">
        <w:rPr>
          <w:rFonts w:ascii="Times New Roman" w:hAnsi="Times New Roman" w:cs="Times New Roman"/>
        </w:rPr>
        <w:t xml:space="preserve"> them. This power is the </w:t>
      </w:r>
      <w:proofErr w:type="spellStart"/>
      <w:r w:rsidRPr="00A472FC">
        <w:rPr>
          <w:rFonts w:ascii="Times New Roman" w:hAnsi="Times New Roman" w:cs="Times New Roman"/>
        </w:rPr>
        <w:t>center</w:t>
      </w:r>
      <w:proofErr w:type="spellEnd"/>
      <w:r w:rsidRPr="00A472FC">
        <w:rPr>
          <w:rFonts w:ascii="Times New Roman" w:hAnsi="Times New Roman" w:cs="Times New Roman"/>
        </w:rPr>
        <w:t xml:space="preserve"> of all senses and the one from which they derive as branches.’</w:t>
      </w:r>
      <w:r w:rsidRPr="00A472FC">
        <w:rPr>
          <w:rStyle w:val="FootnoteReference"/>
          <w:rFonts w:ascii="Times New Roman" w:hAnsi="Times New Roman" w:cs="Times New Roman"/>
        </w:rPr>
        <w:footnoteReference w:id="630"/>
      </w:r>
      <w:r w:rsidRPr="00A472FC">
        <w:rPr>
          <w:rFonts w:ascii="Times New Roman" w:hAnsi="Times New Roman" w:cs="Times New Roman"/>
        </w:rPr>
        <w:t xml:space="preserve"> It is called a common sense for two reasons, first because it coordinates our perception of sensible things, so that what we see is the same as what we hear and so on; in other words, it prevents a disjointed conception of any given object. In a second respect, the common sense confers to sensible things the diverse properties such as sweetness and softness that they may exhibit.</w:t>
      </w:r>
      <w:r w:rsidRPr="00A472FC">
        <w:rPr>
          <w:rStyle w:val="FootnoteReference"/>
          <w:rFonts w:ascii="Times New Roman" w:hAnsi="Times New Roman" w:cs="Times New Roman"/>
        </w:rPr>
        <w:footnoteReference w:id="631"/>
      </w:r>
    </w:p>
    <w:p w14:paraId="27A0B684" w14:textId="7A4E4700" w:rsidR="00E212D3" w:rsidRPr="00A472FC" w:rsidRDefault="00E212D3" w:rsidP="005D1B37">
      <w:pPr>
        <w:ind w:right="-52" w:firstLine="720"/>
        <w:rPr>
          <w:rFonts w:ascii="Times New Roman" w:hAnsi="Times New Roman" w:cs="Times New Roman"/>
        </w:rPr>
      </w:pPr>
      <w:r w:rsidRPr="00A472FC">
        <w:rPr>
          <w:rFonts w:ascii="Times New Roman" w:hAnsi="Times New Roman" w:cs="Times New Roman"/>
        </w:rPr>
        <w:t xml:space="preserve">In the first way, the common sense is described as absolute, and in the second, it is comparative. In </w:t>
      </w:r>
      <w:proofErr w:type="spellStart"/>
      <w:r w:rsidRPr="00A472FC">
        <w:rPr>
          <w:rFonts w:ascii="Times New Roman" w:hAnsi="Times New Roman" w:cs="Times New Roman"/>
        </w:rPr>
        <w:t>summarizing</w:t>
      </w:r>
      <w:proofErr w:type="spellEnd"/>
      <w:r w:rsidRPr="00A472FC">
        <w:rPr>
          <w:rFonts w:ascii="Times New Roman" w:hAnsi="Times New Roman" w:cs="Times New Roman"/>
        </w:rPr>
        <w:t xml:space="preserve"> the foregoing, John affirms that the common sense is ‘the power inserted in </w:t>
      </w:r>
      <w:r w:rsidR="00D25871" w:rsidRPr="00A472FC">
        <w:rPr>
          <w:rFonts w:ascii="Times New Roman" w:hAnsi="Times New Roman" w:cs="Times New Roman"/>
        </w:rPr>
        <w:t xml:space="preserve">hollow nerves in </w:t>
      </w:r>
      <w:r w:rsidRPr="00A472FC">
        <w:rPr>
          <w:rFonts w:ascii="Times New Roman" w:hAnsi="Times New Roman" w:cs="Times New Roman"/>
        </w:rPr>
        <w:t>the first concav</w:t>
      </w:r>
      <w:r w:rsidR="007B3048" w:rsidRPr="00A472FC">
        <w:rPr>
          <w:rFonts w:ascii="Times New Roman" w:hAnsi="Times New Roman" w:cs="Times New Roman"/>
        </w:rPr>
        <w:t>ity</w:t>
      </w:r>
      <w:r w:rsidRPr="00A472FC">
        <w:rPr>
          <w:rFonts w:ascii="Times New Roman" w:hAnsi="Times New Roman" w:cs="Times New Roman"/>
        </w:rPr>
        <w:t xml:space="preserve"> of the brain, which receives </w:t>
      </w:r>
      <w:r w:rsidR="00313932" w:rsidRPr="00A472FC">
        <w:rPr>
          <w:rFonts w:ascii="Times New Roman" w:hAnsi="Times New Roman" w:cs="Times New Roman"/>
        </w:rPr>
        <w:t xml:space="preserve">by itself </w:t>
      </w:r>
      <w:r w:rsidRPr="00A472FC">
        <w:rPr>
          <w:rFonts w:ascii="Times New Roman" w:hAnsi="Times New Roman" w:cs="Times New Roman"/>
        </w:rPr>
        <w:t xml:space="preserve">all forms </w:t>
      </w:r>
      <w:r w:rsidR="00D546D8" w:rsidRPr="00A472FC">
        <w:rPr>
          <w:rFonts w:ascii="Times New Roman" w:hAnsi="Times New Roman" w:cs="Times New Roman"/>
        </w:rPr>
        <w:t xml:space="preserve">that are received by particular senses, </w:t>
      </w:r>
      <w:r w:rsidRPr="00A472FC">
        <w:rPr>
          <w:rFonts w:ascii="Times New Roman" w:hAnsi="Times New Roman" w:cs="Times New Roman"/>
        </w:rPr>
        <w:t>and assigns similarities and differences between them.’</w:t>
      </w:r>
      <w:r w:rsidRPr="00A472FC">
        <w:rPr>
          <w:rStyle w:val="FootnoteReference"/>
          <w:rFonts w:ascii="Times New Roman" w:hAnsi="Times New Roman" w:cs="Times New Roman"/>
        </w:rPr>
        <w:footnoteReference w:id="632"/>
      </w:r>
      <w:r w:rsidR="00BF175D" w:rsidRPr="00A472FC">
        <w:rPr>
          <w:rFonts w:ascii="Times New Roman" w:hAnsi="Times New Roman" w:cs="Times New Roman"/>
        </w:rPr>
        <w:t xml:space="preserve"> </w:t>
      </w:r>
      <w:r w:rsidRPr="00A472FC">
        <w:rPr>
          <w:rFonts w:ascii="Times New Roman" w:hAnsi="Times New Roman" w:cs="Times New Roman"/>
        </w:rPr>
        <w:t>In contrast, ‘the imagination</w:t>
      </w:r>
      <w:r w:rsidR="0068157D" w:rsidRPr="00A472FC">
        <w:rPr>
          <w:rFonts w:ascii="Times New Roman" w:hAnsi="Times New Roman" w:cs="Times New Roman"/>
        </w:rPr>
        <w:t xml:space="preserve"> (</w:t>
      </w:r>
      <w:r w:rsidR="00AE09AC" w:rsidRPr="00A472FC">
        <w:rPr>
          <w:rFonts w:ascii="Times New Roman" w:hAnsi="Times New Roman" w:cs="Times New Roman"/>
        </w:rPr>
        <w:t>formative power</w:t>
      </w:r>
      <w:r w:rsidR="0068157D" w:rsidRPr="00A472FC">
        <w:rPr>
          <w:rFonts w:ascii="Times New Roman" w:hAnsi="Times New Roman" w:cs="Times New Roman"/>
        </w:rPr>
        <w:t>)</w:t>
      </w:r>
      <w:r w:rsidRPr="00A472FC">
        <w:rPr>
          <w:rFonts w:ascii="Times New Roman" w:hAnsi="Times New Roman" w:cs="Times New Roman"/>
        </w:rPr>
        <w:t xml:space="preserve"> is the power </w:t>
      </w:r>
      <w:r w:rsidR="00296CC7" w:rsidRPr="00A472FC">
        <w:rPr>
          <w:rFonts w:ascii="Times New Roman" w:hAnsi="Times New Roman" w:cs="Times New Roman"/>
        </w:rPr>
        <w:t>situated in</w:t>
      </w:r>
      <w:r w:rsidRPr="00A472FC">
        <w:rPr>
          <w:rFonts w:ascii="Times New Roman" w:hAnsi="Times New Roman" w:cs="Times New Roman"/>
        </w:rPr>
        <w:t xml:space="preserve"> the </w:t>
      </w:r>
      <w:r w:rsidR="00B6127C" w:rsidRPr="00A472FC">
        <w:rPr>
          <w:rFonts w:ascii="Times New Roman" w:hAnsi="Times New Roman" w:cs="Times New Roman"/>
        </w:rPr>
        <w:t>front of</w:t>
      </w:r>
      <w:r w:rsidRPr="00A472FC">
        <w:rPr>
          <w:rFonts w:ascii="Times New Roman" w:hAnsi="Times New Roman" w:cs="Times New Roman"/>
        </w:rPr>
        <w:t xml:space="preserve"> the brain which retains what the common sense receives from the senses, which remains in it after the sensible things are gone.’</w:t>
      </w:r>
      <w:r w:rsidRPr="00A472FC">
        <w:rPr>
          <w:rStyle w:val="FootnoteReference"/>
          <w:rFonts w:ascii="Times New Roman" w:hAnsi="Times New Roman" w:cs="Times New Roman"/>
        </w:rPr>
        <w:footnoteReference w:id="633"/>
      </w:r>
      <w:r w:rsidRPr="00A472FC">
        <w:rPr>
          <w:rFonts w:ascii="Times New Roman" w:hAnsi="Times New Roman" w:cs="Times New Roman"/>
        </w:rPr>
        <w:t xml:space="preserve"> In that sense, the common sense and imagination are like one power which is not diversified in subject but in form, where one receives </w:t>
      </w:r>
      <w:r w:rsidR="00A81F31" w:rsidRPr="00A472FC">
        <w:rPr>
          <w:rFonts w:ascii="Times New Roman" w:hAnsi="Times New Roman" w:cs="Times New Roman"/>
        </w:rPr>
        <w:t xml:space="preserve">[the sensible forms] </w:t>
      </w:r>
      <w:r w:rsidRPr="00A472FC">
        <w:rPr>
          <w:rFonts w:ascii="Times New Roman" w:hAnsi="Times New Roman" w:cs="Times New Roman"/>
        </w:rPr>
        <w:t>and the other retains</w:t>
      </w:r>
      <w:r w:rsidR="00A81F31" w:rsidRPr="00A472FC">
        <w:rPr>
          <w:rFonts w:ascii="Times New Roman" w:hAnsi="Times New Roman" w:cs="Times New Roman"/>
        </w:rPr>
        <w:t xml:space="preserve"> </w:t>
      </w:r>
      <w:r w:rsidR="00906346" w:rsidRPr="00A472FC">
        <w:rPr>
          <w:rFonts w:ascii="Times New Roman" w:hAnsi="Times New Roman" w:cs="Times New Roman"/>
        </w:rPr>
        <w:t>[</w:t>
      </w:r>
      <w:r w:rsidR="00A81F31" w:rsidRPr="00A472FC">
        <w:rPr>
          <w:rFonts w:ascii="Times New Roman" w:hAnsi="Times New Roman" w:cs="Times New Roman"/>
        </w:rPr>
        <w:t>them</w:t>
      </w:r>
      <w:r w:rsidR="00906346" w:rsidRPr="00A472FC">
        <w:rPr>
          <w:rFonts w:ascii="Times New Roman" w:hAnsi="Times New Roman" w:cs="Times New Roman"/>
        </w:rPr>
        <w:t>]</w:t>
      </w:r>
      <w:r w:rsidRPr="00A472FC">
        <w:rPr>
          <w:rFonts w:ascii="Times New Roman" w:hAnsi="Times New Roman" w:cs="Times New Roman"/>
        </w:rPr>
        <w:t>.’</w:t>
      </w:r>
      <w:r w:rsidRPr="00A472FC">
        <w:rPr>
          <w:rStyle w:val="FootnoteReference"/>
          <w:rFonts w:ascii="Times New Roman" w:hAnsi="Times New Roman" w:cs="Times New Roman"/>
        </w:rPr>
        <w:footnoteReference w:id="634"/>
      </w:r>
      <w:r w:rsidRPr="00A472FC">
        <w:rPr>
          <w:rFonts w:ascii="Times New Roman" w:hAnsi="Times New Roman" w:cs="Times New Roman"/>
        </w:rPr>
        <w:t xml:space="preserve"> The imaginative power, to be distinguished from the imagination, ‘is </w:t>
      </w:r>
      <w:r w:rsidR="00673DCC" w:rsidRPr="00A472FC">
        <w:rPr>
          <w:rFonts w:ascii="Times New Roman" w:hAnsi="Times New Roman" w:cs="Times New Roman"/>
        </w:rPr>
        <w:t xml:space="preserve">situated </w:t>
      </w:r>
      <w:r w:rsidRPr="00A472FC">
        <w:rPr>
          <w:rFonts w:ascii="Times New Roman" w:hAnsi="Times New Roman" w:cs="Times New Roman"/>
        </w:rPr>
        <w:t xml:space="preserve">in the middle concavity of the brain, which is able to compound something </w:t>
      </w:r>
      <w:r w:rsidR="00DC294C" w:rsidRPr="00A472FC">
        <w:rPr>
          <w:rFonts w:ascii="Times New Roman" w:hAnsi="Times New Roman" w:cs="Times New Roman"/>
        </w:rPr>
        <w:t xml:space="preserve">out of that which is </w:t>
      </w:r>
      <w:r w:rsidRPr="00A472FC">
        <w:rPr>
          <w:rFonts w:ascii="Times New Roman" w:hAnsi="Times New Roman" w:cs="Times New Roman"/>
        </w:rPr>
        <w:t>in the imagination</w:t>
      </w:r>
      <w:r w:rsidR="00DC294C" w:rsidRPr="00A472FC">
        <w:rPr>
          <w:rFonts w:ascii="Times New Roman" w:hAnsi="Times New Roman" w:cs="Times New Roman"/>
        </w:rPr>
        <w:t xml:space="preserve"> together with something else,</w:t>
      </w:r>
      <w:r w:rsidRPr="00A472FC">
        <w:rPr>
          <w:rFonts w:ascii="Times New Roman" w:hAnsi="Times New Roman" w:cs="Times New Roman"/>
        </w:rPr>
        <w:t xml:space="preserve"> or to divide it </w:t>
      </w:r>
      <w:r w:rsidR="00DC294C" w:rsidRPr="00A472FC">
        <w:rPr>
          <w:rFonts w:ascii="Times New Roman" w:hAnsi="Times New Roman" w:cs="Times New Roman"/>
        </w:rPr>
        <w:t>[</w:t>
      </w:r>
      <w:r w:rsidRPr="00A472FC">
        <w:rPr>
          <w:rFonts w:ascii="Times New Roman" w:hAnsi="Times New Roman" w:cs="Times New Roman"/>
        </w:rPr>
        <w:t>from another</w:t>
      </w:r>
      <w:r w:rsidR="00DC294C" w:rsidRPr="00A472FC">
        <w:rPr>
          <w:rFonts w:ascii="Times New Roman" w:hAnsi="Times New Roman" w:cs="Times New Roman"/>
        </w:rPr>
        <w:t>]</w:t>
      </w:r>
      <w:r w:rsidRPr="00A472FC">
        <w:rPr>
          <w:rFonts w:ascii="Times New Roman" w:hAnsi="Times New Roman" w:cs="Times New Roman"/>
        </w:rPr>
        <w:t xml:space="preserve"> as it wills.’</w:t>
      </w:r>
      <w:r w:rsidRPr="00A472FC">
        <w:rPr>
          <w:rStyle w:val="FootnoteReference"/>
          <w:rFonts w:ascii="Times New Roman" w:hAnsi="Times New Roman" w:cs="Times New Roman"/>
        </w:rPr>
        <w:footnoteReference w:id="635"/>
      </w:r>
      <w:r w:rsidRPr="00A472FC">
        <w:rPr>
          <w:rFonts w:ascii="Times New Roman" w:hAnsi="Times New Roman" w:cs="Times New Roman"/>
        </w:rPr>
        <w:t xml:space="preserve"> </w:t>
      </w:r>
    </w:p>
    <w:p w14:paraId="5B86ADBC" w14:textId="3F75530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Insofar as intelligence or reason rules this power, it is called cognitive; insofar as the animal power rules it, it is called imaginative, according to Avicenna. This power is ordered to the ones preceding it, for the common sense gives to the imagination or formal power, as its recipient, whatever it obtains from the external senses; and the formal power or imagination has the power of multiplying sensible forms. In turn, the cogitative or imaginative power turns to the forms which are in the imagination and composes and divides them. In this way, it </w:t>
      </w:r>
      <w:r w:rsidRPr="00A472FC">
        <w:rPr>
          <w:rFonts w:ascii="Times New Roman" w:hAnsi="Times New Roman" w:cs="Times New Roman"/>
        </w:rPr>
        <w:lastRenderedPageBreak/>
        <w:t xml:space="preserve">transforms them so that they come to subsist in a way that differs from how they appear to the external senses, as </w:t>
      </w:r>
      <w:r w:rsidR="00BA6CC4" w:rsidRPr="00A472FC">
        <w:rPr>
          <w:rFonts w:ascii="Times New Roman" w:hAnsi="Times New Roman" w:cs="Times New Roman"/>
        </w:rPr>
        <w:t xml:space="preserve">happens </w:t>
      </w:r>
      <w:r w:rsidRPr="00A472FC">
        <w:rPr>
          <w:rFonts w:ascii="Times New Roman" w:hAnsi="Times New Roman" w:cs="Times New Roman"/>
        </w:rPr>
        <w:t>in dreams.</w:t>
      </w:r>
    </w:p>
    <w:p w14:paraId="58C3DF96" w14:textId="090EC6AF" w:rsidR="00E212D3" w:rsidRPr="00A472FC" w:rsidRDefault="00E212D3" w:rsidP="00E212D3">
      <w:pPr>
        <w:ind w:right="-52"/>
        <w:rPr>
          <w:rFonts w:ascii="Times New Roman" w:hAnsi="Times New Roman" w:cs="Times New Roman"/>
        </w:rPr>
      </w:pPr>
      <w:r w:rsidRPr="00A472FC">
        <w:rPr>
          <w:rFonts w:ascii="Times New Roman" w:hAnsi="Times New Roman" w:cs="Times New Roman"/>
        </w:rPr>
        <w:tab/>
        <w:t xml:space="preserve">The next power of ‘estimation is the power </w:t>
      </w:r>
      <w:r w:rsidR="007073F5" w:rsidRPr="00A472FC">
        <w:rPr>
          <w:rFonts w:ascii="Times New Roman" w:hAnsi="Times New Roman" w:cs="Times New Roman"/>
        </w:rPr>
        <w:t xml:space="preserve">located </w:t>
      </w:r>
      <w:r w:rsidRPr="00A472FC">
        <w:rPr>
          <w:rFonts w:ascii="Times New Roman" w:hAnsi="Times New Roman" w:cs="Times New Roman"/>
        </w:rPr>
        <w:t>in the upper middle part of the brain which apprehends intentions of sensible things, as a lamb judges that a wolf is something to be fled from and a sheep something to live together with,’</w:t>
      </w:r>
      <w:r w:rsidRPr="00A472FC">
        <w:rPr>
          <w:rStyle w:val="FootnoteReference"/>
          <w:rFonts w:ascii="Times New Roman" w:hAnsi="Times New Roman" w:cs="Times New Roman"/>
        </w:rPr>
        <w:footnoteReference w:id="636"/>
      </w:r>
      <w:r w:rsidRPr="00A472FC">
        <w:rPr>
          <w:rFonts w:ascii="Times New Roman" w:hAnsi="Times New Roman" w:cs="Times New Roman"/>
        </w:rPr>
        <w:t xml:space="preserve"> a reference to the same analogy that is found in Avicenna. This power is transcendent, because its apprehension is not of sensible and material but immaterial forms such as good and evil, fitting and unfitting, useful and dangerous, which depict general qualities that cannot befall the external senses. </w:t>
      </w:r>
      <w:r w:rsidR="000F0685" w:rsidRPr="00A472FC">
        <w:rPr>
          <w:rFonts w:ascii="Times New Roman" w:hAnsi="Times New Roman" w:cs="Times New Roman"/>
        </w:rPr>
        <w:t>To grasp an</w:t>
      </w:r>
      <w:r w:rsidRPr="00A472FC">
        <w:rPr>
          <w:rFonts w:ascii="Times New Roman" w:hAnsi="Times New Roman" w:cs="Times New Roman"/>
        </w:rPr>
        <w:t xml:space="preserve"> </w:t>
      </w:r>
      <w:r w:rsidR="000F0685" w:rsidRPr="00A472FC">
        <w:rPr>
          <w:rFonts w:ascii="Times New Roman" w:hAnsi="Times New Roman" w:cs="Times New Roman"/>
        </w:rPr>
        <w:t xml:space="preserve">object with its qualities is to obtain the intention of the sensible thing </w:t>
      </w:r>
      <w:r w:rsidRPr="00A472FC">
        <w:rPr>
          <w:rFonts w:ascii="Times New Roman" w:hAnsi="Times New Roman" w:cs="Times New Roman"/>
        </w:rPr>
        <w:t xml:space="preserve">which the estimative power apprehends. </w:t>
      </w:r>
    </w:p>
    <w:p w14:paraId="6D65529C" w14:textId="624AA59D" w:rsidR="00E212D3" w:rsidRPr="00A472FC" w:rsidRDefault="00E212D3" w:rsidP="00E212D3">
      <w:pPr>
        <w:ind w:right="-52"/>
        <w:rPr>
          <w:rFonts w:ascii="Times New Roman" w:hAnsi="Times New Roman" w:cs="Times New Roman"/>
        </w:rPr>
      </w:pPr>
      <w:r w:rsidRPr="00A472FC">
        <w:rPr>
          <w:rFonts w:ascii="Times New Roman" w:hAnsi="Times New Roman" w:cs="Times New Roman"/>
        </w:rPr>
        <w:tab/>
        <w:t>The fourth, ‘</w:t>
      </w:r>
      <w:proofErr w:type="spellStart"/>
      <w:r w:rsidRPr="00A472FC">
        <w:rPr>
          <w:rFonts w:ascii="Times New Roman" w:hAnsi="Times New Roman" w:cs="Times New Roman"/>
        </w:rPr>
        <w:t>memorative</w:t>
      </w:r>
      <w:proofErr w:type="spellEnd"/>
      <w:r w:rsidRPr="00A472FC">
        <w:rPr>
          <w:rFonts w:ascii="Times New Roman" w:hAnsi="Times New Roman" w:cs="Times New Roman"/>
        </w:rPr>
        <w:t xml:space="preserve"> power is the power </w:t>
      </w:r>
      <w:r w:rsidR="000304E4" w:rsidRPr="00A472FC">
        <w:rPr>
          <w:rFonts w:ascii="Times New Roman" w:hAnsi="Times New Roman" w:cs="Times New Roman"/>
        </w:rPr>
        <w:t>situated in the</w:t>
      </w:r>
      <w:r w:rsidRPr="00A472FC">
        <w:rPr>
          <w:rFonts w:ascii="Times New Roman" w:hAnsi="Times New Roman" w:cs="Times New Roman"/>
        </w:rPr>
        <w:t xml:space="preserve"> </w:t>
      </w:r>
      <w:r w:rsidR="00763FCD" w:rsidRPr="00A472FC">
        <w:rPr>
          <w:rFonts w:ascii="Times New Roman" w:hAnsi="Times New Roman" w:cs="Times New Roman"/>
        </w:rPr>
        <w:t>back of</w:t>
      </w:r>
      <w:r w:rsidRPr="00A472FC">
        <w:rPr>
          <w:rFonts w:ascii="Times New Roman" w:hAnsi="Times New Roman" w:cs="Times New Roman"/>
        </w:rPr>
        <w:t xml:space="preserve"> the brain </w:t>
      </w:r>
      <w:r w:rsidR="00197E71" w:rsidRPr="00A472FC">
        <w:rPr>
          <w:rFonts w:ascii="Times New Roman" w:hAnsi="Times New Roman" w:cs="Times New Roman"/>
        </w:rPr>
        <w:t xml:space="preserve">and </w:t>
      </w:r>
      <w:r w:rsidRPr="00A472FC">
        <w:rPr>
          <w:rFonts w:ascii="Times New Roman" w:hAnsi="Times New Roman" w:cs="Times New Roman"/>
        </w:rPr>
        <w:t xml:space="preserve">retains what the estimative power apprehends </w:t>
      </w:r>
      <w:r w:rsidR="0020630F" w:rsidRPr="00A472FC">
        <w:rPr>
          <w:rFonts w:ascii="Times New Roman" w:hAnsi="Times New Roman" w:cs="Times New Roman"/>
        </w:rPr>
        <w:t>in terms of the</w:t>
      </w:r>
      <w:r w:rsidRPr="00A472FC">
        <w:rPr>
          <w:rFonts w:ascii="Times New Roman" w:hAnsi="Times New Roman" w:cs="Times New Roman"/>
        </w:rPr>
        <w:t xml:space="preserve"> intentions</w:t>
      </w:r>
      <w:r w:rsidR="00F46B36" w:rsidRPr="00A472FC">
        <w:rPr>
          <w:rFonts w:ascii="Times New Roman" w:hAnsi="Times New Roman" w:cs="Times New Roman"/>
        </w:rPr>
        <w:t xml:space="preserve"> of sensible things</w:t>
      </w:r>
      <w:r w:rsidRPr="00A472FC">
        <w:rPr>
          <w:rFonts w:ascii="Times New Roman" w:hAnsi="Times New Roman" w:cs="Times New Roman"/>
        </w:rPr>
        <w:t>.’</w:t>
      </w:r>
      <w:r w:rsidRPr="00A472FC">
        <w:rPr>
          <w:rStyle w:val="FootnoteReference"/>
          <w:rFonts w:ascii="Times New Roman" w:hAnsi="Times New Roman" w:cs="Times New Roman"/>
        </w:rPr>
        <w:footnoteReference w:id="637"/>
      </w:r>
      <w:r w:rsidRPr="00A472FC">
        <w:rPr>
          <w:rFonts w:ascii="Times New Roman" w:hAnsi="Times New Roman" w:cs="Times New Roman"/>
        </w:rPr>
        <w:t xml:space="preserve"> According to Avicenna, the </w:t>
      </w:r>
      <w:proofErr w:type="spellStart"/>
      <w:r w:rsidRPr="00A472FC">
        <w:rPr>
          <w:rFonts w:ascii="Times New Roman" w:hAnsi="Times New Roman" w:cs="Times New Roman"/>
        </w:rPr>
        <w:t>memorative</w:t>
      </w:r>
      <w:proofErr w:type="spellEnd"/>
      <w:r w:rsidRPr="00A472FC">
        <w:rPr>
          <w:rFonts w:ascii="Times New Roman" w:hAnsi="Times New Roman" w:cs="Times New Roman"/>
        </w:rPr>
        <w:t xml:space="preserve"> power is related to estimation in much the same way that imagination is compared to common sense. </w:t>
      </w:r>
      <w:r w:rsidR="0020630F" w:rsidRPr="00A472FC">
        <w:rPr>
          <w:rFonts w:ascii="Times New Roman" w:hAnsi="Times New Roman" w:cs="Times New Roman"/>
        </w:rPr>
        <w:t xml:space="preserve">As </w:t>
      </w:r>
      <w:r w:rsidRPr="00A472FC">
        <w:rPr>
          <w:rFonts w:ascii="Times New Roman" w:hAnsi="Times New Roman" w:cs="Times New Roman"/>
        </w:rPr>
        <w:t xml:space="preserve">the imagination retains and is a thesaurus of sensible forms, which the common sense apprehends, so the </w:t>
      </w:r>
      <w:proofErr w:type="spellStart"/>
      <w:r w:rsidRPr="00A472FC">
        <w:rPr>
          <w:rFonts w:ascii="Times New Roman" w:hAnsi="Times New Roman" w:cs="Times New Roman"/>
        </w:rPr>
        <w:t>memorative</w:t>
      </w:r>
      <w:proofErr w:type="spellEnd"/>
      <w:r w:rsidRPr="00A472FC">
        <w:rPr>
          <w:rFonts w:ascii="Times New Roman" w:hAnsi="Times New Roman" w:cs="Times New Roman"/>
        </w:rPr>
        <w:t xml:space="preserve"> power is a </w:t>
      </w:r>
      <w:proofErr w:type="spellStart"/>
      <w:r w:rsidRPr="00A472FC">
        <w:rPr>
          <w:rFonts w:ascii="Times New Roman" w:hAnsi="Times New Roman" w:cs="Times New Roman"/>
        </w:rPr>
        <w:t>thesauraus</w:t>
      </w:r>
      <w:proofErr w:type="spellEnd"/>
      <w:r w:rsidRPr="00A472FC">
        <w:rPr>
          <w:rFonts w:ascii="Times New Roman" w:hAnsi="Times New Roman" w:cs="Times New Roman"/>
        </w:rPr>
        <w:t xml:space="preserve"> conserving the intentions of sensible things which the estimative power apprehends. As evidence of this, John considers the difference between memory and reminiscence. According to Avicenna, John notes, memory is in all animals, but reminiscence is only possible for humans.</w:t>
      </w:r>
      <w:r w:rsidRPr="00A472FC">
        <w:rPr>
          <w:rStyle w:val="FootnoteReference"/>
          <w:rFonts w:ascii="Times New Roman" w:hAnsi="Times New Roman" w:cs="Times New Roman"/>
        </w:rPr>
        <w:footnoteReference w:id="638"/>
      </w:r>
      <w:r w:rsidRPr="00A472FC">
        <w:rPr>
          <w:rFonts w:ascii="Times New Roman" w:hAnsi="Times New Roman" w:cs="Times New Roman"/>
        </w:rPr>
        <w:t xml:space="preserve"> While memory is the retention of a species or sensible intention or representation thereof, reminiscence is the recollection of a form from a memory that was previously forgotten, on the basis of a related form. </w:t>
      </w:r>
    </w:p>
    <w:p w14:paraId="631F11B2" w14:textId="3ECC11A4"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For example, I might remember someone about whom </w:t>
      </w:r>
      <w:r w:rsidR="00D54034" w:rsidRPr="00A472FC">
        <w:rPr>
          <w:rFonts w:ascii="Times New Roman" w:hAnsi="Times New Roman" w:cs="Times New Roman"/>
        </w:rPr>
        <w:t>I</w:t>
      </w:r>
      <w:r w:rsidRPr="00A472FC">
        <w:rPr>
          <w:rFonts w:ascii="Times New Roman" w:hAnsi="Times New Roman" w:cs="Times New Roman"/>
        </w:rPr>
        <w:t xml:space="preserve"> have forgotten on remembering the place or time or way that </w:t>
      </w:r>
      <w:r w:rsidR="00D54034" w:rsidRPr="00A472FC">
        <w:rPr>
          <w:rFonts w:ascii="Times New Roman" w:hAnsi="Times New Roman" w:cs="Times New Roman"/>
        </w:rPr>
        <w:t>I</w:t>
      </w:r>
      <w:r w:rsidRPr="00A472FC">
        <w:rPr>
          <w:rFonts w:ascii="Times New Roman" w:hAnsi="Times New Roman" w:cs="Times New Roman"/>
        </w:rPr>
        <w:t xml:space="preserve"> originally encountered them.</w:t>
      </w:r>
      <w:r w:rsidRPr="00A472FC">
        <w:rPr>
          <w:rStyle w:val="FootnoteReference"/>
          <w:rFonts w:ascii="Times New Roman" w:hAnsi="Times New Roman" w:cs="Times New Roman"/>
        </w:rPr>
        <w:footnoteReference w:id="639"/>
      </w:r>
      <w:r w:rsidRPr="00A472FC">
        <w:rPr>
          <w:rFonts w:ascii="Times New Roman" w:hAnsi="Times New Roman" w:cs="Times New Roman"/>
        </w:rPr>
        <w:t xml:space="preserve"> To </w:t>
      </w:r>
      <w:proofErr w:type="spellStart"/>
      <w:r w:rsidRPr="00A472FC">
        <w:rPr>
          <w:rFonts w:ascii="Times New Roman" w:hAnsi="Times New Roman" w:cs="Times New Roman"/>
        </w:rPr>
        <w:t>summarize</w:t>
      </w:r>
      <w:proofErr w:type="spellEnd"/>
      <w:r w:rsidRPr="00A472FC">
        <w:rPr>
          <w:rFonts w:ascii="Times New Roman" w:hAnsi="Times New Roman" w:cs="Times New Roman"/>
        </w:rPr>
        <w:t xml:space="preserve">, Avicenna posits a five-fold distinction between the internal senses, some of which apprehend sensible forms, like the common sense, imagination, and cogitative, and some of which apprehend sensible intentions, namely, estimation and memory. As John elaborates, some of these powers both apprehend and operate, such as the common sense, estimation, and the imaginative power, while some apprehend and do not have a proper operation, such as the imaginative power and memory. Some apprehend principally and some secondarily. In the apprehension of sensible forms, for instance, the common sense principally apprehends the objects of the exterior senses, while the imagination and imaginative do so secondarily. </w:t>
      </w:r>
    </w:p>
    <w:p w14:paraId="39F6D093" w14:textId="6512B30E"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Similarly, the apprehension of sensible intentions is principally performed by the estimative faculty and secondarily </w:t>
      </w:r>
      <w:r w:rsidR="00CC4201" w:rsidRPr="00A472FC">
        <w:rPr>
          <w:rFonts w:ascii="Times New Roman" w:hAnsi="Times New Roman" w:cs="Times New Roman"/>
        </w:rPr>
        <w:t xml:space="preserve">grasped </w:t>
      </w:r>
      <w:r w:rsidRPr="00A472FC">
        <w:rPr>
          <w:rFonts w:ascii="Times New Roman" w:hAnsi="Times New Roman" w:cs="Times New Roman"/>
        </w:rPr>
        <w:t xml:space="preserve">by the memory. As Avicenna holds, an intention differs from a form in that the form is what is apprehended directly from the external senses. However, the intention </w:t>
      </w:r>
      <w:r w:rsidR="00D36BC8" w:rsidRPr="00A472FC">
        <w:rPr>
          <w:rFonts w:ascii="Times New Roman" w:hAnsi="Times New Roman" w:cs="Times New Roman"/>
        </w:rPr>
        <w:t>includes the qualities or accidents of a sensible thing which are not directly apprehended through the exterior senses,</w:t>
      </w:r>
      <w:r w:rsidRPr="00A472FC">
        <w:rPr>
          <w:rFonts w:ascii="Times New Roman" w:hAnsi="Times New Roman" w:cs="Times New Roman"/>
        </w:rPr>
        <w:t xml:space="preserve"> as a lamb apprehends an intention of danger which is in a wolf and flees from it, even though this danger is not an actual object of the external sense in any way. </w:t>
      </w:r>
    </w:p>
    <w:p w14:paraId="196C1C05" w14:textId="637BAFED" w:rsidR="007D3AE7" w:rsidRPr="00A472FC" w:rsidRDefault="007D3AE7" w:rsidP="00E212D3">
      <w:pPr>
        <w:ind w:right="-52" w:firstLine="720"/>
        <w:rPr>
          <w:rFonts w:ascii="Times New Roman" w:hAnsi="Times New Roman" w:cs="Times New Roman"/>
        </w:rPr>
      </w:pPr>
    </w:p>
    <w:p w14:paraId="1B18F536" w14:textId="046ED273" w:rsidR="007D3AE7" w:rsidRPr="00A472FC" w:rsidRDefault="007D3AE7" w:rsidP="00E212D3">
      <w:pPr>
        <w:ind w:right="-52" w:firstLine="720"/>
        <w:rPr>
          <w:rFonts w:ascii="Times New Roman" w:hAnsi="Times New Roman" w:cs="Times New Roman"/>
        </w:rPr>
      </w:pPr>
      <w:r w:rsidRPr="00A472FC">
        <w:rPr>
          <w:rFonts w:ascii="Times New Roman" w:hAnsi="Times New Roman" w:cs="Times New Roman"/>
        </w:rPr>
        <w:lastRenderedPageBreak/>
        <w:t>Front of brain</w:t>
      </w:r>
      <w:r w:rsidRPr="00A472FC">
        <w:rPr>
          <w:rFonts w:ascii="Times New Roman" w:hAnsi="Times New Roman" w:cs="Times New Roman"/>
        </w:rPr>
        <w:tab/>
      </w:r>
      <w:r w:rsidRPr="00A472FC">
        <w:rPr>
          <w:rFonts w:ascii="Times New Roman" w:hAnsi="Times New Roman" w:cs="Times New Roman"/>
        </w:rPr>
        <w:tab/>
        <w:t>Common sense (presents a unified image of sense object)</w:t>
      </w:r>
    </w:p>
    <w:p w14:paraId="2A8C3E6D" w14:textId="5AC23717" w:rsidR="007F0D9C" w:rsidRPr="00A472FC" w:rsidRDefault="007F0D9C" w:rsidP="00E212D3">
      <w:pPr>
        <w:ind w:right="-52" w:firstLine="720"/>
        <w:rPr>
          <w:rFonts w:ascii="Times New Roman" w:hAnsi="Times New Roman" w:cs="Times New Roman"/>
        </w:rPr>
      </w:pPr>
    </w:p>
    <w:p w14:paraId="67C840D3" w14:textId="7F50CF12" w:rsidR="002542BC" w:rsidRPr="00A472FC" w:rsidRDefault="002542BC" w:rsidP="002542BC">
      <w:pPr>
        <w:ind w:left="2880" w:right="-52"/>
        <w:rPr>
          <w:rFonts w:ascii="Times New Roman" w:hAnsi="Times New Roman" w:cs="Times New Roman"/>
        </w:rPr>
      </w:pPr>
      <w:r w:rsidRPr="00A472FC">
        <w:rPr>
          <w:rFonts w:ascii="Times New Roman" w:hAnsi="Times New Roman" w:cs="Times New Roman"/>
        </w:rPr>
        <w:t>Imagination/formative power (retains image of form grasped by the common sense)</w:t>
      </w:r>
    </w:p>
    <w:p w14:paraId="5A24E7EA" w14:textId="77777777" w:rsidR="002542BC" w:rsidRPr="00A472FC" w:rsidRDefault="002542BC" w:rsidP="002542BC">
      <w:pPr>
        <w:ind w:left="2880" w:right="-52"/>
        <w:rPr>
          <w:rFonts w:ascii="Times New Roman" w:hAnsi="Times New Roman" w:cs="Times New Roman"/>
        </w:rPr>
      </w:pPr>
    </w:p>
    <w:p w14:paraId="19221FF7" w14:textId="016D3BEE" w:rsidR="007D3AE7" w:rsidRPr="00A472FC" w:rsidRDefault="007D3AE7" w:rsidP="007F0D9C">
      <w:pPr>
        <w:ind w:left="2880" w:right="-52" w:hanging="2160"/>
        <w:rPr>
          <w:rFonts w:ascii="Times New Roman" w:hAnsi="Times New Roman" w:cs="Times New Roman"/>
        </w:rPr>
      </w:pPr>
      <w:r w:rsidRPr="00A472FC">
        <w:rPr>
          <w:rFonts w:ascii="Times New Roman" w:hAnsi="Times New Roman" w:cs="Times New Roman"/>
        </w:rPr>
        <w:t>Middle of brain</w:t>
      </w:r>
      <w:r w:rsidRPr="00A472FC">
        <w:rPr>
          <w:rFonts w:ascii="Times New Roman" w:hAnsi="Times New Roman" w:cs="Times New Roman"/>
        </w:rPr>
        <w:tab/>
        <w:t>Imaginative</w:t>
      </w:r>
      <w:r w:rsidR="007F0D9C" w:rsidRPr="00A472FC">
        <w:rPr>
          <w:rFonts w:ascii="Times New Roman" w:hAnsi="Times New Roman" w:cs="Times New Roman"/>
        </w:rPr>
        <w:t>/</w:t>
      </w:r>
      <w:proofErr w:type="spellStart"/>
      <w:r w:rsidR="007F0D9C" w:rsidRPr="00A472FC">
        <w:rPr>
          <w:rFonts w:ascii="Times New Roman" w:hAnsi="Times New Roman" w:cs="Times New Roman"/>
        </w:rPr>
        <w:t>excogitative</w:t>
      </w:r>
      <w:proofErr w:type="spellEnd"/>
      <w:r w:rsidR="005F5AA5" w:rsidRPr="00A472FC">
        <w:rPr>
          <w:rFonts w:ascii="Times New Roman" w:hAnsi="Times New Roman" w:cs="Times New Roman"/>
        </w:rPr>
        <w:t xml:space="preserve"> power (composes and divides qualities</w:t>
      </w:r>
      <w:r w:rsidR="007F0D9C" w:rsidRPr="00A472FC">
        <w:rPr>
          <w:rFonts w:ascii="Times New Roman" w:hAnsi="Times New Roman" w:cs="Times New Roman"/>
        </w:rPr>
        <w:t xml:space="preserve"> of an object</w:t>
      </w:r>
      <w:r w:rsidR="004C55AF" w:rsidRPr="00A472FC">
        <w:rPr>
          <w:rFonts w:ascii="Times New Roman" w:hAnsi="Times New Roman" w:cs="Times New Roman"/>
        </w:rPr>
        <w:t>)</w:t>
      </w:r>
    </w:p>
    <w:p w14:paraId="79AC085D" w14:textId="57C9BFDC" w:rsidR="007F0D9C" w:rsidRPr="00A472FC" w:rsidRDefault="007F0D9C" w:rsidP="007F0D9C">
      <w:pPr>
        <w:ind w:left="2880" w:right="-52" w:hanging="2160"/>
        <w:rPr>
          <w:rFonts w:ascii="Times New Roman" w:hAnsi="Times New Roman" w:cs="Times New Roman"/>
        </w:rPr>
      </w:pPr>
    </w:p>
    <w:p w14:paraId="71D2404C" w14:textId="5953DDB5" w:rsidR="007F0D9C" w:rsidRPr="00A472FC" w:rsidRDefault="007F0D9C" w:rsidP="007F0D9C">
      <w:pPr>
        <w:ind w:left="2880" w:right="-52" w:hanging="2160"/>
        <w:rPr>
          <w:rFonts w:ascii="Times New Roman" w:hAnsi="Times New Roman" w:cs="Times New Roman"/>
        </w:rPr>
      </w:pPr>
      <w:r w:rsidRPr="00A472FC">
        <w:rPr>
          <w:rFonts w:ascii="Times New Roman" w:hAnsi="Times New Roman" w:cs="Times New Roman"/>
        </w:rPr>
        <w:tab/>
        <w:t>Estimation (</w:t>
      </w:r>
      <w:r w:rsidR="004C55AF" w:rsidRPr="00A472FC">
        <w:rPr>
          <w:rFonts w:ascii="Times New Roman" w:hAnsi="Times New Roman" w:cs="Times New Roman"/>
        </w:rPr>
        <w:t>adds positive or negative connotations to the form of an object, generating an intention)</w:t>
      </w:r>
    </w:p>
    <w:p w14:paraId="6FB53DF2" w14:textId="77777777" w:rsidR="004C55AF" w:rsidRPr="00A472FC" w:rsidRDefault="004C55AF" w:rsidP="00E212D3">
      <w:pPr>
        <w:ind w:right="-52" w:firstLine="720"/>
        <w:rPr>
          <w:rFonts w:ascii="Times New Roman" w:hAnsi="Times New Roman" w:cs="Times New Roman"/>
        </w:rPr>
      </w:pPr>
    </w:p>
    <w:p w14:paraId="25F5948A" w14:textId="0B4114A8" w:rsidR="006E34ED" w:rsidRPr="00A472FC" w:rsidRDefault="007D3AE7" w:rsidP="002542BC">
      <w:pPr>
        <w:ind w:left="2880" w:right="-52" w:hanging="2160"/>
        <w:rPr>
          <w:rFonts w:ascii="Times New Roman" w:hAnsi="Times New Roman" w:cs="Times New Roman"/>
        </w:rPr>
      </w:pPr>
      <w:r w:rsidRPr="00A472FC">
        <w:rPr>
          <w:rFonts w:ascii="Times New Roman" w:hAnsi="Times New Roman" w:cs="Times New Roman"/>
        </w:rPr>
        <w:t>Back of brain</w:t>
      </w:r>
      <w:r w:rsidR="004C55AF" w:rsidRPr="00A472FC">
        <w:rPr>
          <w:rFonts w:ascii="Times New Roman" w:hAnsi="Times New Roman" w:cs="Times New Roman"/>
        </w:rPr>
        <w:tab/>
      </w:r>
      <w:r w:rsidR="006E34ED" w:rsidRPr="00A472FC">
        <w:rPr>
          <w:rFonts w:ascii="Times New Roman" w:hAnsi="Times New Roman" w:cs="Times New Roman"/>
        </w:rPr>
        <w:t>Sense memory (retains the intention produced by estimation, the ‘end product’ of internal sensation and the basis for abstraction)</w:t>
      </w:r>
    </w:p>
    <w:p w14:paraId="319894F7" w14:textId="77777777" w:rsidR="006E34ED" w:rsidRPr="00A472FC" w:rsidRDefault="006E34ED" w:rsidP="00E212D3">
      <w:pPr>
        <w:ind w:right="-52" w:firstLine="720"/>
        <w:rPr>
          <w:rFonts w:ascii="Times New Roman" w:hAnsi="Times New Roman" w:cs="Times New Roman"/>
        </w:rPr>
      </w:pPr>
    </w:p>
    <w:p w14:paraId="100537BD" w14:textId="77777777" w:rsidR="00E212D3" w:rsidRPr="00A472FC" w:rsidRDefault="00E212D3" w:rsidP="00E212D3">
      <w:pPr>
        <w:ind w:right="-52"/>
        <w:rPr>
          <w:rFonts w:ascii="Times New Roman" w:hAnsi="Times New Roman" w:cs="Times New Roman"/>
          <w:i/>
        </w:rPr>
      </w:pPr>
      <w:r w:rsidRPr="00A472FC">
        <w:rPr>
          <w:rFonts w:ascii="Times New Roman" w:hAnsi="Times New Roman" w:cs="Times New Roman"/>
          <w:i/>
        </w:rPr>
        <w:t>The Intellectual Powers</w:t>
      </w:r>
    </w:p>
    <w:p w14:paraId="333813CB" w14:textId="77777777" w:rsidR="00E212D3" w:rsidRPr="00A472FC" w:rsidRDefault="00E212D3" w:rsidP="00E212D3">
      <w:pPr>
        <w:ind w:right="-52"/>
        <w:rPr>
          <w:rFonts w:ascii="Times New Roman" w:hAnsi="Times New Roman" w:cs="Times New Roman"/>
        </w:rPr>
      </w:pPr>
    </w:p>
    <w:p w14:paraId="095C2D30" w14:textId="37EA3480" w:rsidR="00E212D3" w:rsidRPr="00A472FC" w:rsidRDefault="00E212D3" w:rsidP="00E212D3">
      <w:pPr>
        <w:ind w:right="-52"/>
        <w:rPr>
          <w:rFonts w:ascii="Times New Roman" w:hAnsi="Times New Roman" w:cs="Times New Roman"/>
        </w:rPr>
      </w:pPr>
      <w:r w:rsidRPr="00A472FC">
        <w:rPr>
          <w:rFonts w:ascii="Times New Roman" w:hAnsi="Times New Roman" w:cs="Times New Roman"/>
        </w:rPr>
        <w:tab/>
        <w:t>There are five ways, in John’s account, to distinguish the intellectual powers.</w:t>
      </w:r>
      <w:r w:rsidRPr="00A472FC">
        <w:rPr>
          <w:rStyle w:val="FootnoteReference"/>
          <w:rFonts w:ascii="Times New Roman" w:hAnsi="Times New Roman" w:cs="Times New Roman"/>
        </w:rPr>
        <w:footnoteReference w:id="640"/>
      </w:r>
      <w:r w:rsidRPr="00A472FC">
        <w:rPr>
          <w:rFonts w:ascii="Times New Roman" w:hAnsi="Times New Roman" w:cs="Times New Roman"/>
        </w:rPr>
        <w:t xml:space="preserve"> First there is a difference of nature, namely, between the agent and possible intellects, which is mentioned by Aristotle in </w:t>
      </w:r>
      <w:r w:rsidRPr="00A472FC">
        <w:rPr>
          <w:rFonts w:ascii="Times New Roman" w:hAnsi="Times New Roman" w:cs="Times New Roman"/>
          <w:i/>
        </w:rPr>
        <w:t xml:space="preserve">De anima </w:t>
      </w:r>
      <w:r w:rsidRPr="00A472FC">
        <w:rPr>
          <w:rFonts w:ascii="Times New Roman" w:hAnsi="Times New Roman" w:cs="Times New Roman"/>
        </w:rPr>
        <w:t xml:space="preserve">III.3-4; second, there is a difference of objects, insofar as the intellect can be divided into the apprehensive and motive or speculative and practical modes, which are also mentioned by Aristotle in </w:t>
      </w:r>
      <w:r w:rsidRPr="00A472FC">
        <w:rPr>
          <w:rFonts w:ascii="Times New Roman" w:hAnsi="Times New Roman" w:cs="Times New Roman"/>
          <w:i/>
        </w:rPr>
        <w:t xml:space="preserve">De anima </w:t>
      </w:r>
      <w:r w:rsidRPr="00A472FC">
        <w:rPr>
          <w:rFonts w:ascii="Times New Roman" w:hAnsi="Times New Roman" w:cs="Times New Roman"/>
        </w:rPr>
        <w:t xml:space="preserve">III.10 and in Avicenna’s </w:t>
      </w:r>
      <w:r w:rsidRPr="00A472FC">
        <w:rPr>
          <w:rFonts w:ascii="Times New Roman" w:hAnsi="Times New Roman" w:cs="Times New Roman"/>
          <w:i/>
        </w:rPr>
        <w:t xml:space="preserve">De anima </w:t>
      </w:r>
      <w:r w:rsidRPr="00A472FC">
        <w:rPr>
          <w:rFonts w:ascii="Times New Roman" w:hAnsi="Times New Roman" w:cs="Times New Roman"/>
        </w:rPr>
        <w:t xml:space="preserve">I.5; third, there is a difference of order, between superior and inferior reason, which is </w:t>
      </w:r>
      <w:r w:rsidR="007A57DC" w:rsidRPr="00A472FC">
        <w:rPr>
          <w:rFonts w:ascii="Times New Roman" w:hAnsi="Times New Roman" w:cs="Times New Roman"/>
        </w:rPr>
        <w:t>mentioned by</w:t>
      </w:r>
      <w:r w:rsidRPr="00A472FC">
        <w:rPr>
          <w:rFonts w:ascii="Times New Roman" w:hAnsi="Times New Roman" w:cs="Times New Roman"/>
        </w:rPr>
        <w:t xml:space="preserve"> Augustine </w:t>
      </w:r>
      <w:r w:rsidR="00E93CFF" w:rsidRPr="00A472FC">
        <w:rPr>
          <w:rFonts w:ascii="Times New Roman" w:hAnsi="Times New Roman" w:cs="Times New Roman"/>
        </w:rPr>
        <w:t xml:space="preserve">as well as pseudo-Augustine </w:t>
      </w:r>
      <w:r w:rsidRPr="00A472FC">
        <w:rPr>
          <w:rFonts w:ascii="Times New Roman" w:hAnsi="Times New Roman" w:cs="Times New Roman"/>
        </w:rPr>
        <w:t xml:space="preserve">and in Lombard’s </w:t>
      </w:r>
      <w:r w:rsidRPr="00A472FC">
        <w:rPr>
          <w:rFonts w:ascii="Times New Roman" w:hAnsi="Times New Roman" w:cs="Times New Roman"/>
          <w:i/>
        </w:rPr>
        <w:t>Sentences</w:t>
      </w:r>
      <w:r w:rsidRPr="00A472FC">
        <w:rPr>
          <w:rFonts w:ascii="Times New Roman" w:hAnsi="Times New Roman" w:cs="Times New Roman"/>
        </w:rPr>
        <w:t xml:space="preserve"> book II.24</w:t>
      </w:r>
      <w:r w:rsidR="006552DC" w:rsidRPr="00A472FC">
        <w:rPr>
          <w:rFonts w:ascii="Times New Roman" w:hAnsi="Times New Roman" w:cs="Times New Roman"/>
        </w:rPr>
        <w:t xml:space="preserve">. In these works, those terms were effectively used to distinguish </w:t>
      </w:r>
      <w:r w:rsidRPr="00A472FC">
        <w:rPr>
          <w:rFonts w:ascii="Times New Roman" w:hAnsi="Times New Roman" w:cs="Times New Roman"/>
        </w:rPr>
        <w:t>between the external and internal senses on the one hand and the intellect on the other. Among early Franciscans, however, these powers tended to be interpreted along the lines of Avicenna’s distinction between the ‘two faces of the soul</w:t>
      </w:r>
      <w:r w:rsidR="007A5FF6" w:rsidRPr="00A472FC">
        <w:rPr>
          <w:rFonts w:ascii="Times New Roman" w:hAnsi="Times New Roman" w:cs="Times New Roman"/>
        </w:rPr>
        <w:t>,</w:t>
      </w:r>
      <w:r w:rsidRPr="00A472FC">
        <w:rPr>
          <w:rFonts w:ascii="Times New Roman" w:hAnsi="Times New Roman" w:cs="Times New Roman"/>
        </w:rPr>
        <w:t>’ namely, theoretical and practical reason, which involve a distinction within the intellect itself concerning its reflections on things above and even divine</w:t>
      </w:r>
      <w:r w:rsidR="00633346" w:rsidRPr="00A472FC">
        <w:rPr>
          <w:rFonts w:ascii="Times New Roman" w:hAnsi="Times New Roman" w:cs="Times New Roman"/>
        </w:rPr>
        <w:t>,</w:t>
      </w:r>
      <w:r w:rsidRPr="00A472FC">
        <w:rPr>
          <w:rFonts w:ascii="Times New Roman" w:hAnsi="Times New Roman" w:cs="Times New Roman"/>
        </w:rPr>
        <w:t xml:space="preserve"> or matters of ordinary life.</w:t>
      </w:r>
      <w:r w:rsidR="007B6667" w:rsidRPr="00A472FC">
        <w:rPr>
          <w:rStyle w:val="FootnoteReference"/>
          <w:rFonts w:ascii="Times New Roman" w:hAnsi="Times New Roman" w:cs="Times New Roman"/>
        </w:rPr>
        <w:footnoteReference w:id="641"/>
      </w:r>
      <w:r w:rsidRPr="00A472FC">
        <w:rPr>
          <w:rFonts w:ascii="Times New Roman" w:hAnsi="Times New Roman" w:cs="Times New Roman"/>
        </w:rPr>
        <w:t xml:space="preserve"> As Crowley has written:</w:t>
      </w:r>
    </w:p>
    <w:p w14:paraId="303E4721" w14:textId="77777777" w:rsidR="00E212D3" w:rsidRPr="00A472FC" w:rsidRDefault="00E212D3" w:rsidP="00E212D3">
      <w:pPr>
        <w:ind w:right="-52"/>
        <w:rPr>
          <w:rFonts w:ascii="Times New Roman" w:hAnsi="Times New Roman" w:cs="Times New Roman"/>
        </w:rPr>
      </w:pPr>
    </w:p>
    <w:p w14:paraId="603B9BC5" w14:textId="77777777" w:rsidR="00E212D3" w:rsidRPr="00A472FC" w:rsidRDefault="00E212D3" w:rsidP="00E212D3">
      <w:pPr>
        <w:ind w:left="720" w:right="-52"/>
        <w:rPr>
          <w:rFonts w:ascii="Times New Roman" w:hAnsi="Times New Roman" w:cs="Times New Roman"/>
        </w:rPr>
      </w:pPr>
      <w:r w:rsidRPr="00A472FC">
        <w:rPr>
          <w:rFonts w:ascii="Times New Roman" w:hAnsi="Times New Roman" w:cs="Times New Roman"/>
        </w:rPr>
        <w:t xml:space="preserve">The Augustinian distinction between a </w:t>
      </w:r>
      <w:r w:rsidRPr="00A472FC">
        <w:rPr>
          <w:rFonts w:ascii="Times New Roman" w:hAnsi="Times New Roman" w:cs="Times New Roman"/>
          <w:i/>
        </w:rPr>
        <w:t>ratio inferior</w:t>
      </w:r>
      <w:r w:rsidRPr="00A472FC">
        <w:rPr>
          <w:rFonts w:ascii="Times New Roman" w:hAnsi="Times New Roman" w:cs="Times New Roman"/>
        </w:rPr>
        <w:t xml:space="preserve"> and a </w:t>
      </w:r>
      <w:r w:rsidRPr="00A472FC">
        <w:rPr>
          <w:rFonts w:ascii="Times New Roman" w:hAnsi="Times New Roman" w:cs="Times New Roman"/>
          <w:i/>
        </w:rPr>
        <w:t>ratio superior</w:t>
      </w:r>
      <w:r w:rsidRPr="00A472FC">
        <w:rPr>
          <w:rFonts w:ascii="Times New Roman" w:hAnsi="Times New Roman" w:cs="Times New Roman"/>
        </w:rPr>
        <w:t xml:space="preserve"> enjoyed the particular favour of medieval theologians. Its popularity was enhanced by the prominence the distinction between the two faces of the soul received in the writings of </w:t>
      </w:r>
      <w:proofErr w:type="spellStart"/>
      <w:r w:rsidRPr="00A472FC">
        <w:rPr>
          <w:rFonts w:ascii="Times New Roman" w:hAnsi="Times New Roman" w:cs="Times New Roman"/>
        </w:rPr>
        <w:t>Algazel</w:t>
      </w:r>
      <w:proofErr w:type="spellEnd"/>
      <w:r w:rsidRPr="00A472FC">
        <w:rPr>
          <w:rFonts w:ascii="Times New Roman" w:hAnsi="Times New Roman" w:cs="Times New Roman"/>
        </w:rPr>
        <w:t xml:space="preserve">, Avicenna, and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No doubt both distinctions were offshoots of some distant </w:t>
      </w:r>
      <w:proofErr w:type="spellStart"/>
      <w:r w:rsidRPr="00A472FC">
        <w:rPr>
          <w:rFonts w:ascii="Times New Roman" w:hAnsi="Times New Roman" w:cs="Times New Roman"/>
        </w:rPr>
        <w:t>neo-Platonic</w:t>
      </w:r>
      <w:proofErr w:type="spellEnd"/>
      <w:r w:rsidRPr="00A472FC">
        <w:rPr>
          <w:rFonts w:ascii="Times New Roman" w:hAnsi="Times New Roman" w:cs="Times New Roman"/>
        </w:rPr>
        <w:t xml:space="preserve"> theme.</w:t>
      </w:r>
      <w:r w:rsidRPr="00A472FC">
        <w:rPr>
          <w:rStyle w:val="FootnoteReference"/>
          <w:rFonts w:ascii="Times New Roman" w:hAnsi="Times New Roman" w:cs="Times New Roman"/>
        </w:rPr>
        <w:footnoteReference w:id="642"/>
      </w:r>
    </w:p>
    <w:p w14:paraId="69D3CC26" w14:textId="77777777" w:rsidR="00E212D3" w:rsidRPr="00A472FC" w:rsidRDefault="00E212D3" w:rsidP="00E212D3">
      <w:pPr>
        <w:ind w:right="-52"/>
        <w:rPr>
          <w:rFonts w:ascii="Times New Roman" w:hAnsi="Times New Roman" w:cs="Times New Roman"/>
        </w:rPr>
      </w:pPr>
    </w:p>
    <w:p w14:paraId="2725BF0F" w14:textId="03F20A66" w:rsidR="00E94DA2" w:rsidRPr="00A472FC" w:rsidRDefault="00E212D3" w:rsidP="00431173">
      <w:pPr>
        <w:ind w:right="-52" w:firstLine="720"/>
        <w:rPr>
          <w:rFonts w:ascii="Times New Roman" w:hAnsi="Times New Roman" w:cs="Times New Roman"/>
        </w:rPr>
      </w:pPr>
      <w:r w:rsidRPr="00A472FC">
        <w:rPr>
          <w:rFonts w:ascii="Times New Roman" w:hAnsi="Times New Roman" w:cs="Times New Roman"/>
        </w:rPr>
        <w:t xml:space="preserve">In addition to this popular superior/inferior reason distinction, </w:t>
      </w:r>
      <w:r w:rsidR="00711B43" w:rsidRPr="00A472FC">
        <w:rPr>
          <w:rFonts w:ascii="Times New Roman" w:hAnsi="Times New Roman" w:cs="Times New Roman"/>
        </w:rPr>
        <w:t xml:space="preserve">John cites </w:t>
      </w:r>
      <w:r w:rsidRPr="00A472FC">
        <w:rPr>
          <w:rFonts w:ascii="Times New Roman" w:hAnsi="Times New Roman" w:cs="Times New Roman"/>
        </w:rPr>
        <w:t xml:space="preserve">a fourth difference </w:t>
      </w:r>
      <w:r w:rsidR="00431173" w:rsidRPr="00A472FC">
        <w:rPr>
          <w:rFonts w:ascii="Times New Roman" w:hAnsi="Times New Roman" w:cs="Times New Roman"/>
        </w:rPr>
        <w:t>between t</w:t>
      </w:r>
      <w:r w:rsidRPr="00A472FC">
        <w:rPr>
          <w:rFonts w:ascii="Times New Roman" w:hAnsi="Times New Roman" w:cs="Times New Roman"/>
        </w:rPr>
        <w:t xml:space="preserve">he intellect that is passible and inseparable from the body </w:t>
      </w:r>
      <w:r w:rsidR="00431173" w:rsidRPr="00A472FC">
        <w:rPr>
          <w:rFonts w:ascii="Times New Roman" w:hAnsi="Times New Roman" w:cs="Times New Roman"/>
        </w:rPr>
        <w:t>and</w:t>
      </w:r>
      <w:r w:rsidRPr="00A472FC">
        <w:rPr>
          <w:rFonts w:ascii="Times New Roman" w:hAnsi="Times New Roman" w:cs="Times New Roman"/>
        </w:rPr>
        <w:t xml:space="preserve"> that which is impassible and separable from the body. Lastly, there is a difference of operation or in the mode of operating. As I have already noted, this multi-faceted method of distinguishing the powers, in terms of the organ, object, act, and so on, which will be detailed further below, </w:t>
      </w:r>
      <w:r w:rsidRPr="00A472FC">
        <w:rPr>
          <w:rFonts w:ascii="Times New Roman" w:hAnsi="Times New Roman" w:cs="Times New Roman"/>
        </w:rPr>
        <w:lastRenderedPageBreak/>
        <w:t>derives first from Anonymous Gauthier but more directly from Anonymous Callus, which was a key source for John’s works on the soul.</w:t>
      </w:r>
      <w:r w:rsidRPr="00A472FC">
        <w:rPr>
          <w:rStyle w:val="FootnoteReference"/>
          <w:rFonts w:ascii="Times New Roman" w:hAnsi="Times New Roman" w:cs="Times New Roman"/>
        </w:rPr>
        <w:footnoteReference w:id="643"/>
      </w:r>
      <w:r w:rsidRPr="00A472FC">
        <w:rPr>
          <w:rFonts w:ascii="Times New Roman" w:hAnsi="Times New Roman" w:cs="Times New Roman"/>
        </w:rPr>
        <w:t xml:space="preserve"> </w:t>
      </w:r>
    </w:p>
    <w:p w14:paraId="48323D17" w14:textId="77777777" w:rsidR="00E94DA2" w:rsidRPr="00A472FC" w:rsidRDefault="00E94DA2" w:rsidP="00E212D3">
      <w:pPr>
        <w:ind w:right="-52"/>
        <w:rPr>
          <w:rFonts w:ascii="Times New Roman" w:hAnsi="Times New Roman" w:cs="Times New Roman"/>
        </w:rPr>
      </w:pPr>
    </w:p>
    <w:p w14:paraId="04A14449" w14:textId="6E1F7757" w:rsidR="00E212D3" w:rsidRPr="00A472FC" w:rsidRDefault="00E212D3" w:rsidP="00E212D3">
      <w:pPr>
        <w:ind w:right="-52"/>
        <w:rPr>
          <w:rFonts w:ascii="Times New Roman" w:hAnsi="Times New Roman" w:cs="Times New Roman"/>
        </w:rPr>
      </w:pPr>
      <w:r w:rsidRPr="00A472FC">
        <w:rPr>
          <w:rFonts w:ascii="Times New Roman" w:hAnsi="Times New Roman" w:cs="Times New Roman"/>
        </w:rPr>
        <w:t>The Organ</w:t>
      </w:r>
    </w:p>
    <w:p w14:paraId="39C546D6" w14:textId="77777777" w:rsidR="00E212D3" w:rsidRPr="00A472FC" w:rsidRDefault="00E212D3" w:rsidP="00E212D3">
      <w:pPr>
        <w:ind w:right="-52"/>
        <w:rPr>
          <w:rFonts w:ascii="Times New Roman" w:hAnsi="Times New Roman" w:cs="Times New Roman"/>
        </w:rPr>
      </w:pPr>
    </w:p>
    <w:p w14:paraId="49728ED4" w14:textId="1E49667E" w:rsidR="00B77323" w:rsidRPr="00A472FC" w:rsidRDefault="00E212D3" w:rsidP="00B77323">
      <w:pPr>
        <w:ind w:right="-52" w:firstLine="720"/>
        <w:rPr>
          <w:rFonts w:ascii="Times New Roman" w:hAnsi="Times New Roman" w:cs="Times New Roman"/>
        </w:rPr>
      </w:pPr>
      <w:r w:rsidRPr="00A472FC">
        <w:rPr>
          <w:rFonts w:ascii="Times New Roman" w:hAnsi="Times New Roman" w:cs="Times New Roman"/>
        </w:rPr>
        <w:t>In elaborating on the aforementioned modes of distinguishing the intellect, John aptly observes that every power operates through an organ, such as the power of vision through sight.</w:t>
      </w:r>
      <w:r w:rsidRPr="00A472FC">
        <w:rPr>
          <w:rStyle w:val="FootnoteReference"/>
          <w:rFonts w:ascii="Times New Roman" w:hAnsi="Times New Roman" w:cs="Times New Roman"/>
        </w:rPr>
        <w:footnoteReference w:id="644"/>
      </w:r>
      <w:r w:rsidRPr="00A472FC">
        <w:rPr>
          <w:rFonts w:ascii="Times New Roman" w:hAnsi="Times New Roman" w:cs="Times New Roman"/>
        </w:rPr>
        <w:t xml:space="preserve"> However, corporeal organs can only know corporeal objects.</w:t>
      </w:r>
      <w:r w:rsidRPr="00A472FC">
        <w:rPr>
          <w:rStyle w:val="FootnoteReference"/>
          <w:rFonts w:ascii="Times New Roman" w:hAnsi="Times New Roman" w:cs="Times New Roman"/>
        </w:rPr>
        <w:footnoteReference w:id="645"/>
      </w:r>
      <w:r w:rsidRPr="00A472FC">
        <w:rPr>
          <w:rFonts w:ascii="Times New Roman" w:hAnsi="Times New Roman" w:cs="Times New Roman"/>
        </w:rPr>
        <w:t xml:space="preserve"> If the intellect were to know through a corporeal organ, consequently, it would not be able to know intelligible and spiritual things.</w:t>
      </w:r>
      <w:r w:rsidRPr="00A472FC">
        <w:rPr>
          <w:rStyle w:val="FootnoteReference"/>
          <w:rFonts w:ascii="Times New Roman" w:hAnsi="Times New Roman" w:cs="Times New Roman"/>
        </w:rPr>
        <w:footnoteReference w:id="646"/>
      </w:r>
      <w:r w:rsidRPr="00A472FC">
        <w:rPr>
          <w:rFonts w:ascii="Times New Roman" w:hAnsi="Times New Roman" w:cs="Times New Roman"/>
        </w:rPr>
        <w:t xml:space="preserve"> However, ‘the operation of the intellectual power is always through abstraction from matter and material conditions, and every operation is according to </w:t>
      </w:r>
      <w:r w:rsidR="00543C93" w:rsidRPr="00A472FC">
        <w:rPr>
          <w:rFonts w:ascii="Times New Roman" w:hAnsi="Times New Roman" w:cs="Times New Roman"/>
        </w:rPr>
        <w:t>the nature of the</w:t>
      </w:r>
      <w:r w:rsidRPr="00A472FC">
        <w:rPr>
          <w:rFonts w:ascii="Times New Roman" w:hAnsi="Times New Roman" w:cs="Times New Roman"/>
        </w:rPr>
        <w:t xml:space="preserve"> power, from which it comes; as therefore the intellectual power is abstract from matter, it will not have a corporeal organ </w:t>
      </w:r>
      <w:r w:rsidR="00EB2CD9" w:rsidRPr="00A472FC">
        <w:rPr>
          <w:rFonts w:ascii="Times New Roman" w:hAnsi="Times New Roman" w:cs="Times New Roman"/>
        </w:rPr>
        <w:t xml:space="preserve">and will not be materially </w:t>
      </w:r>
      <w:r w:rsidRPr="00A472FC">
        <w:rPr>
          <w:rFonts w:ascii="Times New Roman" w:hAnsi="Times New Roman" w:cs="Times New Roman"/>
        </w:rPr>
        <w:t>assigned a place in the body.’</w:t>
      </w:r>
      <w:r w:rsidRPr="00A472FC">
        <w:rPr>
          <w:rStyle w:val="FootnoteReference"/>
          <w:rFonts w:ascii="Times New Roman" w:hAnsi="Times New Roman" w:cs="Times New Roman"/>
        </w:rPr>
        <w:footnoteReference w:id="647"/>
      </w:r>
      <w:r w:rsidRPr="00A472FC">
        <w:rPr>
          <w:rFonts w:ascii="Times New Roman" w:hAnsi="Times New Roman" w:cs="Times New Roman"/>
        </w:rPr>
        <w:t xml:space="preserve"> In another defence of the view that the intellect does not employ a corporeal organ, John presents a further argument, as follows:</w:t>
      </w:r>
      <w:r w:rsidR="00CF255A" w:rsidRPr="00A472FC">
        <w:rPr>
          <w:rStyle w:val="FootnoteReference"/>
          <w:rFonts w:ascii="Times New Roman" w:hAnsi="Times New Roman" w:cs="Times New Roman"/>
        </w:rPr>
        <w:footnoteReference w:id="648"/>
      </w:r>
    </w:p>
    <w:p w14:paraId="31DF0279" w14:textId="77777777" w:rsidR="00B77323" w:rsidRPr="00A472FC" w:rsidRDefault="00B77323" w:rsidP="00B77323">
      <w:pPr>
        <w:ind w:right="-52" w:firstLine="720"/>
        <w:rPr>
          <w:rFonts w:ascii="Times New Roman" w:hAnsi="Times New Roman" w:cs="Times New Roman"/>
        </w:rPr>
      </w:pPr>
    </w:p>
    <w:p w14:paraId="61022E20" w14:textId="0EAC5C5D" w:rsidR="00E212D3" w:rsidRPr="00A472FC" w:rsidRDefault="00B77323" w:rsidP="00B77323">
      <w:pPr>
        <w:ind w:left="720" w:right="-52"/>
        <w:rPr>
          <w:rFonts w:ascii="Times New Roman" w:hAnsi="Times New Roman" w:cs="Times New Roman"/>
        </w:rPr>
      </w:pPr>
      <w:r w:rsidRPr="00A472FC">
        <w:rPr>
          <w:rFonts w:ascii="Times New Roman" w:hAnsi="Times New Roman" w:cs="Times New Roman"/>
        </w:rPr>
        <w:t>No</w:t>
      </w:r>
      <w:r w:rsidR="00E212D3" w:rsidRPr="00A472FC">
        <w:rPr>
          <w:rFonts w:ascii="Times New Roman" w:hAnsi="Times New Roman" w:cs="Times New Roman"/>
        </w:rPr>
        <w:t xml:space="preserve"> power that is embodied, </w:t>
      </w:r>
      <w:r w:rsidR="00EB2CD9" w:rsidRPr="00A472FC">
        <w:rPr>
          <w:rFonts w:ascii="Times New Roman" w:hAnsi="Times New Roman" w:cs="Times New Roman"/>
        </w:rPr>
        <w:t xml:space="preserve">that is, defined within </w:t>
      </w:r>
      <w:r w:rsidR="00E212D3" w:rsidRPr="00A472FC">
        <w:rPr>
          <w:rFonts w:ascii="Times New Roman" w:hAnsi="Times New Roman" w:cs="Times New Roman"/>
        </w:rPr>
        <w:t xml:space="preserve">a part of the body, or </w:t>
      </w:r>
      <w:r w:rsidR="008D5725" w:rsidRPr="00A472FC">
        <w:rPr>
          <w:rFonts w:ascii="Times New Roman" w:hAnsi="Times New Roman" w:cs="Times New Roman"/>
        </w:rPr>
        <w:t xml:space="preserve">that </w:t>
      </w:r>
      <w:r w:rsidR="00E212D3" w:rsidRPr="00A472FC">
        <w:rPr>
          <w:rFonts w:ascii="Times New Roman" w:hAnsi="Times New Roman" w:cs="Times New Roman"/>
        </w:rPr>
        <w:t>operates through an organ</w:t>
      </w:r>
      <w:r w:rsidR="008D5725" w:rsidRPr="00A472FC">
        <w:rPr>
          <w:rFonts w:ascii="Times New Roman" w:hAnsi="Times New Roman" w:cs="Times New Roman"/>
        </w:rPr>
        <w:t>,</w:t>
      </w:r>
      <w:r w:rsidR="00E212D3" w:rsidRPr="00A472FC">
        <w:rPr>
          <w:rFonts w:ascii="Times New Roman" w:hAnsi="Times New Roman" w:cs="Times New Roman"/>
        </w:rPr>
        <w:t xml:space="preserve"> is able to know itself, because it is not able to reflect on itself, as it is embodied. Thus, </w:t>
      </w:r>
      <w:r w:rsidR="004F3C34" w:rsidRPr="00A472FC">
        <w:rPr>
          <w:rFonts w:ascii="Times New Roman" w:hAnsi="Times New Roman" w:cs="Times New Roman"/>
        </w:rPr>
        <w:t xml:space="preserve">as </w:t>
      </w:r>
      <w:r w:rsidR="00E212D3" w:rsidRPr="00A472FC">
        <w:rPr>
          <w:rFonts w:ascii="Times New Roman" w:hAnsi="Times New Roman" w:cs="Times New Roman"/>
        </w:rPr>
        <w:t>an eye does not see itself</w:t>
      </w:r>
      <w:r w:rsidR="004F3C34" w:rsidRPr="00A472FC">
        <w:rPr>
          <w:rFonts w:ascii="Times New Roman" w:hAnsi="Times New Roman" w:cs="Times New Roman"/>
        </w:rPr>
        <w:t xml:space="preserve">, neither does </w:t>
      </w:r>
      <w:r w:rsidR="00E212D3" w:rsidRPr="00A472FC">
        <w:rPr>
          <w:rFonts w:ascii="Times New Roman" w:hAnsi="Times New Roman" w:cs="Times New Roman"/>
        </w:rPr>
        <w:t>the imagination imagine</w:t>
      </w:r>
      <w:r w:rsidR="004F3C34" w:rsidRPr="00A472FC">
        <w:rPr>
          <w:rFonts w:ascii="Times New Roman" w:hAnsi="Times New Roman" w:cs="Times New Roman"/>
        </w:rPr>
        <w:t xml:space="preserve"> itself</w:t>
      </w:r>
      <w:r w:rsidR="00E212D3" w:rsidRPr="00A472FC">
        <w:rPr>
          <w:rFonts w:ascii="Times New Roman" w:hAnsi="Times New Roman" w:cs="Times New Roman"/>
        </w:rPr>
        <w:t xml:space="preserve">. As therefore the intellectual power can </w:t>
      </w:r>
      <w:proofErr w:type="spellStart"/>
      <w:r w:rsidR="00E212D3" w:rsidRPr="00A472FC">
        <w:rPr>
          <w:rFonts w:ascii="Times New Roman" w:hAnsi="Times New Roman" w:cs="Times New Roman"/>
        </w:rPr>
        <w:t>cognize</w:t>
      </w:r>
      <w:proofErr w:type="spellEnd"/>
      <w:r w:rsidR="00E212D3" w:rsidRPr="00A472FC">
        <w:rPr>
          <w:rFonts w:ascii="Times New Roman" w:hAnsi="Times New Roman" w:cs="Times New Roman"/>
        </w:rPr>
        <w:t xml:space="preserve"> itself, </w:t>
      </w:r>
      <w:r w:rsidR="004F3C34" w:rsidRPr="00A472FC">
        <w:rPr>
          <w:rFonts w:ascii="Times New Roman" w:hAnsi="Times New Roman" w:cs="Times New Roman"/>
        </w:rPr>
        <w:t>and it knows itself when it</w:t>
      </w:r>
      <w:r w:rsidR="00E212D3" w:rsidRPr="00A472FC">
        <w:rPr>
          <w:rFonts w:ascii="Times New Roman" w:hAnsi="Times New Roman" w:cs="Times New Roman"/>
        </w:rPr>
        <w:t xml:space="preserve"> reflects upon itself, this power is not embodied nor does it operate through an organ.</w:t>
      </w:r>
      <w:r w:rsidR="00E212D3" w:rsidRPr="00A472FC">
        <w:rPr>
          <w:rStyle w:val="FootnoteReference"/>
          <w:rFonts w:ascii="Times New Roman" w:hAnsi="Times New Roman" w:cs="Times New Roman"/>
        </w:rPr>
        <w:footnoteReference w:id="649"/>
      </w:r>
      <w:r w:rsidR="00E212D3" w:rsidRPr="00A472FC">
        <w:rPr>
          <w:rFonts w:ascii="Times New Roman" w:hAnsi="Times New Roman" w:cs="Times New Roman"/>
        </w:rPr>
        <w:t xml:space="preserve">  </w:t>
      </w:r>
    </w:p>
    <w:p w14:paraId="53B7522C" w14:textId="77777777" w:rsidR="00B77323" w:rsidRPr="00A472FC" w:rsidRDefault="00B77323" w:rsidP="00E212D3">
      <w:pPr>
        <w:ind w:right="-52" w:firstLine="720"/>
        <w:rPr>
          <w:rFonts w:ascii="Times New Roman" w:hAnsi="Times New Roman" w:cs="Times New Roman"/>
        </w:rPr>
      </w:pPr>
    </w:p>
    <w:p w14:paraId="2BB06D26" w14:textId="5647C149"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Further,</w:t>
      </w:r>
      <w:r w:rsidR="00B77323" w:rsidRPr="00A472FC">
        <w:rPr>
          <w:rFonts w:ascii="Times New Roman" w:hAnsi="Times New Roman" w:cs="Times New Roman"/>
        </w:rPr>
        <w:t xml:space="preserve"> he states that</w:t>
      </w:r>
      <w:r w:rsidRPr="00A472FC">
        <w:rPr>
          <w:rFonts w:ascii="Times New Roman" w:hAnsi="Times New Roman" w:cs="Times New Roman"/>
        </w:rPr>
        <w:t xml:space="preserve"> ‘what is known is in the one knowing according to the nature of the knower and not according to the nature of the thing known, </w:t>
      </w:r>
      <w:r w:rsidR="00E65021" w:rsidRPr="00A472FC">
        <w:rPr>
          <w:rFonts w:ascii="Times New Roman" w:hAnsi="Times New Roman" w:cs="Times New Roman"/>
        </w:rPr>
        <w:t xml:space="preserve">as is clear in all cases, </w:t>
      </w:r>
      <w:r w:rsidRPr="00A472FC">
        <w:rPr>
          <w:rFonts w:ascii="Times New Roman" w:hAnsi="Times New Roman" w:cs="Times New Roman"/>
        </w:rPr>
        <w:t>and generally, what is received is in the recipient according to the nature of the recipient and not according to the nature of what is received.’</w:t>
      </w:r>
      <w:r w:rsidRPr="00A472FC">
        <w:rPr>
          <w:rStyle w:val="FootnoteReference"/>
          <w:rFonts w:ascii="Times New Roman" w:hAnsi="Times New Roman" w:cs="Times New Roman"/>
        </w:rPr>
        <w:footnoteReference w:id="650"/>
      </w:r>
      <w:r w:rsidRPr="00A472FC">
        <w:rPr>
          <w:rFonts w:ascii="Times New Roman" w:hAnsi="Times New Roman" w:cs="Times New Roman"/>
        </w:rPr>
        <w:t xml:space="preserve"> Since therefore ‘corporeal and material things are in the intellect according to an immaterial mode </w:t>
      </w:r>
      <w:r w:rsidR="00EC54BE" w:rsidRPr="00A472FC">
        <w:rPr>
          <w:rFonts w:ascii="Times New Roman" w:hAnsi="Times New Roman" w:cs="Times New Roman"/>
        </w:rPr>
        <w:t>when</w:t>
      </w:r>
      <w:r w:rsidRPr="00A472FC">
        <w:rPr>
          <w:rFonts w:ascii="Times New Roman" w:hAnsi="Times New Roman" w:cs="Times New Roman"/>
        </w:rPr>
        <w:t xml:space="preserve"> they are understood, the nature of the intellect is immaterial, and simple, and does not use a corporeal organ.’</w:t>
      </w:r>
      <w:r w:rsidRPr="00A472FC">
        <w:rPr>
          <w:rStyle w:val="FootnoteReference"/>
          <w:rFonts w:ascii="Times New Roman" w:hAnsi="Times New Roman" w:cs="Times New Roman"/>
        </w:rPr>
        <w:footnoteReference w:id="651"/>
      </w:r>
      <w:r w:rsidRPr="00A472FC">
        <w:rPr>
          <w:rFonts w:ascii="Times New Roman" w:hAnsi="Times New Roman" w:cs="Times New Roman"/>
        </w:rPr>
        <w:t xml:space="preserve"> In summary, the intellectual power is not in the body, because it is not determined by any part of the body. For no part of the body ‘activates’ it as in the case of corporeal powers, like vision</w:t>
      </w:r>
      <w:r w:rsidR="009A566C" w:rsidRPr="00A472FC">
        <w:rPr>
          <w:rFonts w:ascii="Times New Roman" w:hAnsi="Times New Roman" w:cs="Times New Roman"/>
        </w:rPr>
        <w:t>,</w:t>
      </w:r>
      <w:r w:rsidRPr="00A472FC">
        <w:rPr>
          <w:rFonts w:ascii="Times New Roman" w:hAnsi="Times New Roman" w:cs="Times New Roman"/>
        </w:rPr>
        <w:t xml:space="preserve"> which is activated by the eyes and hearing by the ears. Rather, the intellectual power is in the whole body as something separate and above it which perfects it.</w:t>
      </w:r>
    </w:p>
    <w:p w14:paraId="2A581762" w14:textId="77777777" w:rsidR="00E212D3" w:rsidRPr="00A472FC" w:rsidRDefault="00E212D3" w:rsidP="00E212D3">
      <w:pPr>
        <w:ind w:right="-52"/>
        <w:rPr>
          <w:rFonts w:ascii="Times New Roman" w:hAnsi="Times New Roman" w:cs="Times New Roman"/>
        </w:rPr>
      </w:pPr>
    </w:p>
    <w:p w14:paraId="1085D682" w14:textId="77777777" w:rsidR="00E212D3" w:rsidRPr="00A472FC" w:rsidRDefault="00E212D3" w:rsidP="00E212D3">
      <w:pPr>
        <w:ind w:right="-52"/>
        <w:rPr>
          <w:rFonts w:ascii="Times New Roman" w:hAnsi="Times New Roman" w:cs="Times New Roman"/>
        </w:rPr>
      </w:pPr>
      <w:r w:rsidRPr="00A472FC">
        <w:rPr>
          <w:rFonts w:ascii="Times New Roman" w:hAnsi="Times New Roman" w:cs="Times New Roman"/>
        </w:rPr>
        <w:t>The Object</w:t>
      </w:r>
    </w:p>
    <w:p w14:paraId="7982ECC6" w14:textId="77777777" w:rsidR="00E212D3" w:rsidRPr="00A472FC" w:rsidRDefault="00E212D3" w:rsidP="00E212D3">
      <w:pPr>
        <w:ind w:right="-52"/>
        <w:rPr>
          <w:rFonts w:ascii="Times New Roman" w:hAnsi="Times New Roman" w:cs="Times New Roman"/>
        </w:rPr>
      </w:pPr>
    </w:p>
    <w:p w14:paraId="2EC266EF" w14:textId="07AAAB8F"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Next John inquires about the object of the intellectual power.</w:t>
      </w:r>
      <w:r w:rsidRPr="00A472FC">
        <w:rPr>
          <w:rStyle w:val="FootnoteReference"/>
          <w:rFonts w:ascii="Times New Roman" w:hAnsi="Times New Roman" w:cs="Times New Roman"/>
        </w:rPr>
        <w:footnoteReference w:id="652"/>
      </w:r>
      <w:r w:rsidRPr="00A472FC">
        <w:rPr>
          <w:rFonts w:ascii="Times New Roman" w:hAnsi="Times New Roman" w:cs="Times New Roman"/>
        </w:rPr>
        <w:t xml:space="preserve"> As the power of the intellect is immaterial, he </w:t>
      </w:r>
      <w:r w:rsidR="001100DD" w:rsidRPr="00A472FC">
        <w:rPr>
          <w:rFonts w:ascii="Times New Roman" w:hAnsi="Times New Roman" w:cs="Times New Roman"/>
        </w:rPr>
        <w:t>contends</w:t>
      </w:r>
      <w:r w:rsidRPr="00A472FC">
        <w:rPr>
          <w:rFonts w:ascii="Times New Roman" w:hAnsi="Times New Roman" w:cs="Times New Roman"/>
        </w:rPr>
        <w:t xml:space="preserve">, so its object </w:t>
      </w:r>
      <w:r w:rsidR="001626CD" w:rsidRPr="00A472FC">
        <w:rPr>
          <w:rFonts w:ascii="Times New Roman" w:hAnsi="Times New Roman" w:cs="Times New Roman"/>
        </w:rPr>
        <w:t>must also</w:t>
      </w:r>
      <w:r w:rsidRPr="00A472FC">
        <w:rPr>
          <w:rFonts w:ascii="Times New Roman" w:hAnsi="Times New Roman" w:cs="Times New Roman"/>
        </w:rPr>
        <w:t xml:space="preserve"> be immaterial or intelligible. The object in question is an intelligible form abstracted from matter and from all the conditions of matter. Among species or forms abstracted from matter, John observes, some are abstract through their proper nature, such as spiritual things. Some, however, become abstract through an act of the intellectual power itself, which infers a species or likeness from corporeal things. The forms that are by nature abstract from matter and from all circumstances of matter are the forms by which we know God and angels and the soul, and those things that are in the soul, such as its powers, and its knowledge. </w:t>
      </w:r>
    </w:p>
    <w:p w14:paraId="72F3B42A" w14:textId="590182C3"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The form by which God himself is known is a likeness or image of the first truth that is impressed in the soul from its initial creation. </w:t>
      </w:r>
      <w:r w:rsidR="00A27E19" w:rsidRPr="00A472FC">
        <w:rPr>
          <w:rFonts w:ascii="Times New Roman" w:hAnsi="Times New Roman" w:cs="Times New Roman"/>
        </w:rPr>
        <w:t>As J</w:t>
      </w:r>
      <w:r w:rsidRPr="00A472FC">
        <w:rPr>
          <w:rFonts w:ascii="Times New Roman" w:hAnsi="Times New Roman" w:cs="Times New Roman"/>
        </w:rPr>
        <w:t xml:space="preserve">ohn of Damascus affirms: ‘a cognition of God’s existence is naturally inserted </w:t>
      </w:r>
      <w:r w:rsidR="00A27E19" w:rsidRPr="00A472FC">
        <w:rPr>
          <w:rFonts w:ascii="Times New Roman" w:hAnsi="Times New Roman" w:cs="Times New Roman"/>
        </w:rPr>
        <w:t xml:space="preserve">in </w:t>
      </w:r>
      <w:r w:rsidR="004E747F" w:rsidRPr="00A472FC">
        <w:rPr>
          <w:rFonts w:ascii="Times New Roman" w:hAnsi="Times New Roman" w:cs="Times New Roman"/>
        </w:rPr>
        <w:t>everybody by him</w:t>
      </w:r>
      <w:r w:rsidRPr="00A472FC">
        <w:rPr>
          <w:rFonts w:ascii="Times New Roman" w:hAnsi="Times New Roman" w:cs="Times New Roman"/>
        </w:rPr>
        <w:t>.’</w:t>
      </w:r>
      <w:r w:rsidRPr="00A472FC">
        <w:rPr>
          <w:rStyle w:val="FootnoteReference"/>
          <w:rFonts w:ascii="Times New Roman" w:hAnsi="Times New Roman" w:cs="Times New Roman"/>
        </w:rPr>
        <w:footnoteReference w:id="653"/>
      </w:r>
      <w:r w:rsidRPr="00A472FC">
        <w:rPr>
          <w:rFonts w:ascii="Times New Roman" w:hAnsi="Times New Roman" w:cs="Times New Roman"/>
        </w:rPr>
        <w:t xml:space="preserve"> The image impressed with the first truth leads to the knowledge of the one of whom it is an image. For instance, the form by which the soul or an angel is known, to wit, the rational soul, when employed as a likeness of the soul itself, makes it possible for the soul to know itself and to understand itself in reference to itself. When, however, this form is considered as a likeness of another, so that it is known as a likeness of the one, above the self, that it imitates, the soul knows God through the mode of acquisition. Moreover, when the soul uses itself as a likeness of another, in whose image it is not made, but which is also made in God’s image, it knows angels next to itself. </w:t>
      </w:r>
    </w:p>
    <w:p w14:paraId="0A53AB31" w14:textId="26E49AA6" w:rsidR="00E212D3" w:rsidRPr="00A472FC" w:rsidRDefault="00800A06" w:rsidP="00E212D3">
      <w:pPr>
        <w:ind w:right="-52" w:firstLine="720"/>
        <w:rPr>
          <w:rFonts w:ascii="Times New Roman" w:hAnsi="Times New Roman" w:cs="Times New Roman"/>
        </w:rPr>
      </w:pPr>
      <w:r w:rsidRPr="00A472FC">
        <w:rPr>
          <w:rFonts w:ascii="Times New Roman" w:hAnsi="Times New Roman" w:cs="Times New Roman"/>
        </w:rPr>
        <w:t>To this effect</w:t>
      </w:r>
      <w:r w:rsidR="00E212D3" w:rsidRPr="00A472FC">
        <w:rPr>
          <w:rFonts w:ascii="Times New Roman" w:hAnsi="Times New Roman" w:cs="Times New Roman"/>
        </w:rPr>
        <w:t xml:space="preserve">, </w:t>
      </w:r>
      <w:r w:rsidR="00CA3201" w:rsidRPr="00A472FC">
        <w:rPr>
          <w:rFonts w:ascii="Times New Roman" w:hAnsi="Times New Roman" w:cs="Times New Roman"/>
        </w:rPr>
        <w:t xml:space="preserve">Rochelle quotes </w:t>
      </w:r>
      <w:r w:rsidR="00E212D3" w:rsidRPr="00A472FC">
        <w:rPr>
          <w:rFonts w:ascii="Times New Roman" w:hAnsi="Times New Roman" w:cs="Times New Roman"/>
        </w:rPr>
        <w:t>pseudo-Augustine say</w:t>
      </w:r>
      <w:r w:rsidR="00CA3201" w:rsidRPr="00A472FC">
        <w:rPr>
          <w:rFonts w:ascii="Times New Roman" w:hAnsi="Times New Roman" w:cs="Times New Roman"/>
        </w:rPr>
        <w:t>ing</w:t>
      </w:r>
      <w:r w:rsidR="00E212D3" w:rsidRPr="00A472FC">
        <w:rPr>
          <w:rFonts w:ascii="Times New Roman" w:hAnsi="Times New Roman" w:cs="Times New Roman"/>
        </w:rPr>
        <w:t xml:space="preserve"> that the soul knows God above itself, </w:t>
      </w:r>
      <w:r w:rsidR="00E31A70" w:rsidRPr="00A472FC">
        <w:rPr>
          <w:rFonts w:ascii="Times New Roman" w:hAnsi="Times New Roman" w:cs="Times New Roman"/>
        </w:rPr>
        <w:t>itself [i.e. the soul]</w:t>
      </w:r>
      <w:r w:rsidR="00E212D3" w:rsidRPr="00A472FC">
        <w:rPr>
          <w:rFonts w:ascii="Times New Roman" w:hAnsi="Times New Roman" w:cs="Times New Roman"/>
        </w:rPr>
        <w:t xml:space="preserve"> in itself, and the angel next to itself.</w:t>
      </w:r>
      <w:r w:rsidR="00E212D3" w:rsidRPr="00A472FC">
        <w:rPr>
          <w:rStyle w:val="FootnoteReference"/>
          <w:rFonts w:ascii="Times New Roman" w:hAnsi="Times New Roman" w:cs="Times New Roman"/>
        </w:rPr>
        <w:footnoteReference w:id="654"/>
      </w:r>
      <w:r w:rsidR="00E212D3" w:rsidRPr="00A472FC">
        <w:rPr>
          <w:rFonts w:ascii="Times New Roman" w:hAnsi="Times New Roman" w:cs="Times New Roman"/>
        </w:rPr>
        <w:t xml:space="preserve"> In order to know those things which are in itself, such as its powers and knowledge, John goes on to affirm, the soul uses itself as a likeness to those things which are known. In this context, the soul differs from the forms or objects that it knows only according to reason and not according to substance. This in fact is what John thinks Aristotle meant when he said that ‘in things lacking matter, there is an identity of what is known and that by which it is known.’</w:t>
      </w:r>
      <w:r w:rsidR="00E212D3" w:rsidRPr="00A472FC">
        <w:rPr>
          <w:rStyle w:val="FootnoteReference"/>
          <w:rFonts w:ascii="Times New Roman" w:hAnsi="Times New Roman" w:cs="Times New Roman"/>
        </w:rPr>
        <w:footnoteReference w:id="655"/>
      </w:r>
      <w:r w:rsidR="00E212D3" w:rsidRPr="00A472FC">
        <w:rPr>
          <w:rFonts w:ascii="Times New Roman" w:hAnsi="Times New Roman" w:cs="Times New Roman"/>
        </w:rPr>
        <w:t xml:space="preserve"> </w:t>
      </w:r>
    </w:p>
    <w:p w14:paraId="46DB3B0F" w14:textId="2AC234B2"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By contrast</w:t>
      </w:r>
      <w:r w:rsidR="00305A9E" w:rsidRPr="00A472FC">
        <w:rPr>
          <w:rFonts w:ascii="Times New Roman" w:hAnsi="Times New Roman" w:cs="Times New Roman"/>
        </w:rPr>
        <w:t xml:space="preserve"> to forms which are abstract in themselves</w:t>
      </w:r>
      <w:r w:rsidRPr="00A472FC">
        <w:rPr>
          <w:rFonts w:ascii="Times New Roman" w:hAnsi="Times New Roman" w:cs="Times New Roman"/>
        </w:rPr>
        <w:t>, John observes, those forms which are not abstract can only be abstracted through reflection on corporeal things, which are differentiated not merely mentally but really and substantially. Since the intellectual nature is superior to such things, John stresses that it has the power to reflect on them in the effort to apprehend them. In this regard, the mind abstracts them first from the senses, next from the imagination and the conditions of all matter, but in the mode of a singular</w:t>
      </w:r>
      <w:r w:rsidR="001D344C" w:rsidRPr="00A472FC">
        <w:rPr>
          <w:rFonts w:ascii="Times New Roman" w:hAnsi="Times New Roman" w:cs="Times New Roman"/>
        </w:rPr>
        <w:t xml:space="preserve">. Finally, </w:t>
      </w:r>
      <w:r w:rsidRPr="00A472FC">
        <w:rPr>
          <w:rFonts w:ascii="Times New Roman" w:hAnsi="Times New Roman" w:cs="Times New Roman"/>
        </w:rPr>
        <w:t>it knows them abstracted as universals, common and immaterial, such as genera, species, differences, and properties, according to the process outlined below.</w:t>
      </w:r>
    </w:p>
    <w:p w14:paraId="63759A7E" w14:textId="77777777" w:rsidR="00E212D3" w:rsidRPr="00A472FC" w:rsidRDefault="00E212D3" w:rsidP="00E212D3">
      <w:pPr>
        <w:ind w:right="-52" w:firstLine="720"/>
        <w:rPr>
          <w:rFonts w:ascii="Times New Roman" w:hAnsi="Times New Roman" w:cs="Times New Roman"/>
        </w:rPr>
      </w:pPr>
    </w:p>
    <w:p w14:paraId="31B4D121" w14:textId="77777777" w:rsidR="00E212D3" w:rsidRPr="00A472FC" w:rsidRDefault="00E212D3" w:rsidP="00E212D3">
      <w:pPr>
        <w:ind w:right="-52"/>
        <w:rPr>
          <w:rFonts w:ascii="Times New Roman" w:hAnsi="Times New Roman" w:cs="Times New Roman"/>
        </w:rPr>
      </w:pPr>
      <w:r w:rsidRPr="00A472FC">
        <w:rPr>
          <w:rFonts w:ascii="Times New Roman" w:hAnsi="Times New Roman" w:cs="Times New Roman"/>
        </w:rPr>
        <w:t>The Order of Abstraction</w:t>
      </w:r>
    </w:p>
    <w:p w14:paraId="00C7B469" w14:textId="77777777" w:rsidR="00E212D3" w:rsidRPr="00A472FC" w:rsidRDefault="00E212D3" w:rsidP="00E212D3">
      <w:pPr>
        <w:ind w:right="-52"/>
        <w:rPr>
          <w:rFonts w:ascii="Times New Roman" w:hAnsi="Times New Roman" w:cs="Times New Roman"/>
        </w:rPr>
      </w:pPr>
    </w:p>
    <w:p w14:paraId="0860D652" w14:textId="5245D611"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According to Avicenna, John states, the order in which a corporeal form is abstracted is as follows. First, the exterior senses such as vision grasp the likeness of a form that is in matter; nevertheless, they do not comprehend it unless as present in matter, or as a form </w:t>
      </w:r>
      <w:r w:rsidRPr="00A472FC">
        <w:rPr>
          <w:rFonts w:ascii="Times New Roman" w:hAnsi="Times New Roman" w:cs="Times New Roman"/>
        </w:rPr>
        <w:lastRenderedPageBreak/>
        <w:t>existing in matter.</w:t>
      </w:r>
      <w:r w:rsidRPr="00A472FC">
        <w:rPr>
          <w:rStyle w:val="FootnoteReference"/>
          <w:rFonts w:ascii="Times New Roman" w:hAnsi="Times New Roman" w:cs="Times New Roman"/>
        </w:rPr>
        <w:footnoteReference w:id="656"/>
      </w:r>
      <w:r w:rsidRPr="00A472FC">
        <w:rPr>
          <w:rFonts w:ascii="Times New Roman" w:hAnsi="Times New Roman" w:cs="Times New Roman"/>
        </w:rPr>
        <w:t xml:space="preserve"> The interior senses such as </w:t>
      </w:r>
      <w:r w:rsidR="00AE3BEB" w:rsidRPr="00A472FC">
        <w:rPr>
          <w:rFonts w:ascii="Times New Roman" w:hAnsi="Times New Roman" w:cs="Times New Roman"/>
        </w:rPr>
        <w:t xml:space="preserve">the </w:t>
      </w:r>
      <w:r w:rsidRPr="00A472FC">
        <w:rPr>
          <w:rFonts w:ascii="Times New Roman" w:hAnsi="Times New Roman" w:cs="Times New Roman"/>
        </w:rPr>
        <w:t xml:space="preserve">imagination abstract the form further in that they are capable of comprehending the form without matter. Even so, the imagination is not capable of stripping the form of the accidents of matter, such as figure and place, in terms of which it comprehends its objects. By contrast, estimation transcends that level of abstraction, because it apprehends forms which are the intentions of sensible things, such as good, evil, fitting, and unfitting, which do not have a likeness to material forms. </w:t>
      </w:r>
    </w:p>
    <w:p w14:paraId="060AC7C8" w14:textId="1E14A28F"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Nevertheless, estimation still does not apprehend the form in question without all accidents of matter, and it knows its object</w:t>
      </w:r>
      <w:r w:rsidR="00315FC4" w:rsidRPr="00A472FC">
        <w:rPr>
          <w:rFonts w:ascii="Times New Roman" w:hAnsi="Times New Roman" w:cs="Times New Roman"/>
        </w:rPr>
        <w:t xml:space="preserve"> only</w:t>
      </w:r>
      <w:r w:rsidRPr="00A472FC">
        <w:rPr>
          <w:rFonts w:ascii="Times New Roman" w:hAnsi="Times New Roman" w:cs="Times New Roman"/>
        </w:rPr>
        <w:t xml:space="preserve"> as a particular through comparison to the sensible form already mentioned. Thus, an animal which is capable of knowing particulars is </w:t>
      </w:r>
      <w:r w:rsidR="00AE2ACE" w:rsidRPr="00A472FC">
        <w:rPr>
          <w:rFonts w:ascii="Times New Roman" w:hAnsi="Times New Roman" w:cs="Times New Roman"/>
        </w:rPr>
        <w:t>able to know</w:t>
      </w:r>
      <w:r w:rsidRPr="00A472FC">
        <w:rPr>
          <w:rFonts w:ascii="Times New Roman" w:hAnsi="Times New Roman" w:cs="Times New Roman"/>
        </w:rPr>
        <w:t xml:space="preserve"> that ‘this wolf right here’ should be avoided, on the basis of external and internal sensation, but cannot grasp the universal that ‘wolves should be avoided.’ This </w:t>
      </w:r>
      <w:r w:rsidR="00102454" w:rsidRPr="00A472FC">
        <w:rPr>
          <w:rFonts w:ascii="Times New Roman" w:hAnsi="Times New Roman" w:cs="Times New Roman"/>
        </w:rPr>
        <w:t xml:space="preserve">truth </w:t>
      </w:r>
      <w:r w:rsidRPr="00A472FC">
        <w:rPr>
          <w:rFonts w:ascii="Times New Roman" w:hAnsi="Times New Roman" w:cs="Times New Roman"/>
        </w:rPr>
        <w:t xml:space="preserve">can only be achieved by the intellectual power, which apprehends a corporeal form in a way that strips it of all matter and all the circumstances of matter so that it is known not merely in its singularity but as a universal. </w:t>
      </w:r>
    </w:p>
    <w:p w14:paraId="669F0747" w14:textId="1D763EB1"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In this case, it becomes possible to know the human form or nature, for example, insofar as it befits all individual humans rather than just one. Because this nature is instantiated in various individuals, Rochelle observes, it is inevitably multiplied. This multiplicity does not arise from human nature itself, however. For if it were part of human nature to be multiplied, then the humanity of Peter would be different from the humanity of Paul, which is absurd.</w:t>
      </w:r>
      <w:r w:rsidR="009E7198" w:rsidRPr="00A472FC">
        <w:rPr>
          <w:rStyle w:val="FootnoteReference"/>
          <w:rFonts w:ascii="Times New Roman" w:hAnsi="Times New Roman" w:cs="Times New Roman"/>
        </w:rPr>
        <w:footnoteReference w:id="657"/>
      </w:r>
      <w:r w:rsidRPr="00A472FC">
        <w:rPr>
          <w:rFonts w:ascii="Times New Roman" w:hAnsi="Times New Roman" w:cs="Times New Roman"/>
        </w:rPr>
        <w:t xml:space="preserve"> On this basis, John contends that the multiplication and division of individual human beings is not from form or nature but from matter. Through matter, he elaborates, individual humans acquire accidents of quality and quantity, place and time, which are not part of human nature itself. These accidents cannot be said to determine human nature, otherwise it would be necessary to say that all human beings have the same accidents, and thus the same quantity, quality, location, and so on, which is clearly not the case. </w:t>
      </w:r>
    </w:p>
    <w:p w14:paraId="7DE71926" w14:textId="6D3FC875"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For this reason, John reiterates that the human form does not have such accidents by its essence; rather they come to individual humans in virtue of their particular materiality. Following Avicenna, we have seen, John construes the task of apprehending human nature as it is in itself as a matter of stripping away all the material dispositions or attributions in order to lay bare the form or forms that all humans have in common.</w:t>
      </w:r>
      <w:r w:rsidRPr="00A472FC">
        <w:rPr>
          <w:rStyle w:val="FootnoteReference"/>
          <w:rFonts w:ascii="Times New Roman" w:hAnsi="Times New Roman" w:cs="Times New Roman"/>
        </w:rPr>
        <w:footnoteReference w:id="658"/>
      </w:r>
      <w:r w:rsidRPr="00A472FC">
        <w:rPr>
          <w:rFonts w:ascii="Times New Roman" w:hAnsi="Times New Roman" w:cs="Times New Roman"/>
        </w:rPr>
        <w:t xml:space="preserve"> The levels of abstraction described above correspond to the extent to which this process has been completed. While s</w:t>
      </w:r>
      <w:proofErr w:type="spellStart"/>
      <w:r w:rsidRPr="00A472FC">
        <w:rPr>
          <w:rFonts w:ascii="Times New Roman" w:hAnsi="Times New Roman" w:cs="Times New Roman"/>
          <w:lang w:val="en-US"/>
        </w:rPr>
        <w:t>ensation</w:t>
      </w:r>
      <w:proofErr w:type="spellEnd"/>
      <w:r w:rsidRPr="00A472FC">
        <w:rPr>
          <w:rFonts w:ascii="Times New Roman" w:hAnsi="Times New Roman" w:cs="Times New Roman"/>
          <w:lang w:val="en-US"/>
        </w:rPr>
        <w:t>, imagination, and estimation involve abstraction from matter that does not yet entail the removal of the material dispositions, the intellect in abstracting removes all the conditions of matter and thereby lays bare what the object of knowledge really is.</w:t>
      </w:r>
      <w:r w:rsidR="00A4680F" w:rsidRPr="00A472FC">
        <w:rPr>
          <w:rStyle w:val="FootnoteReference"/>
          <w:rFonts w:ascii="Times New Roman" w:hAnsi="Times New Roman" w:cs="Times New Roman"/>
          <w:lang w:val="en-US"/>
        </w:rPr>
        <w:footnoteReference w:id="659"/>
      </w:r>
      <w:r w:rsidRPr="00A472FC">
        <w:rPr>
          <w:rFonts w:ascii="Times New Roman" w:hAnsi="Times New Roman" w:cs="Times New Roman"/>
          <w:lang w:val="en-US"/>
        </w:rPr>
        <w:t xml:space="preserve"> </w:t>
      </w:r>
    </w:p>
    <w:p w14:paraId="25BCD3F9" w14:textId="77777777" w:rsidR="00E212D3" w:rsidRPr="00A472FC" w:rsidRDefault="00E212D3" w:rsidP="00E212D3">
      <w:pPr>
        <w:ind w:right="-52"/>
        <w:rPr>
          <w:rFonts w:ascii="Times New Roman" w:hAnsi="Times New Roman" w:cs="Times New Roman"/>
          <w:b/>
        </w:rPr>
      </w:pPr>
    </w:p>
    <w:p w14:paraId="581CB306" w14:textId="77777777" w:rsidR="00E212D3" w:rsidRPr="00A472FC" w:rsidRDefault="00E212D3" w:rsidP="00E212D3">
      <w:pPr>
        <w:ind w:right="-52"/>
        <w:rPr>
          <w:rFonts w:ascii="Times New Roman" w:hAnsi="Times New Roman" w:cs="Times New Roman"/>
        </w:rPr>
      </w:pPr>
      <w:r w:rsidRPr="00A472FC">
        <w:rPr>
          <w:rFonts w:ascii="Times New Roman" w:hAnsi="Times New Roman" w:cs="Times New Roman"/>
        </w:rPr>
        <w:t>The Passive and Active Intellect</w:t>
      </w:r>
    </w:p>
    <w:p w14:paraId="600CD687" w14:textId="77777777" w:rsidR="00E212D3" w:rsidRPr="00A472FC" w:rsidRDefault="00E212D3" w:rsidP="00E212D3">
      <w:pPr>
        <w:ind w:right="-52"/>
        <w:rPr>
          <w:rFonts w:ascii="Times New Roman" w:hAnsi="Times New Roman" w:cs="Times New Roman"/>
        </w:rPr>
      </w:pPr>
    </w:p>
    <w:p w14:paraId="678EE1B7" w14:textId="2B86FBC5"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The next distinction John cov</w:t>
      </w:r>
      <w:r w:rsidR="001078CE" w:rsidRPr="00A472FC">
        <w:rPr>
          <w:rFonts w:ascii="Times New Roman" w:hAnsi="Times New Roman" w:cs="Times New Roman"/>
        </w:rPr>
        <w:t xml:space="preserve">ers concerns </w:t>
      </w:r>
      <w:r w:rsidRPr="00A472FC">
        <w:rPr>
          <w:rFonts w:ascii="Times New Roman" w:hAnsi="Times New Roman" w:cs="Times New Roman"/>
        </w:rPr>
        <w:t>the agent and possible intellects.</w:t>
      </w:r>
      <w:r w:rsidRPr="00A472FC">
        <w:rPr>
          <w:rStyle w:val="FootnoteReference"/>
          <w:rFonts w:ascii="Times New Roman" w:hAnsi="Times New Roman" w:cs="Times New Roman"/>
        </w:rPr>
        <w:footnoteReference w:id="660"/>
      </w:r>
      <w:r w:rsidRPr="00A472FC">
        <w:rPr>
          <w:rFonts w:ascii="Times New Roman" w:hAnsi="Times New Roman" w:cs="Times New Roman"/>
        </w:rPr>
        <w:t xml:space="preserve"> Following Anonymous Callus, John holds that ‘there is the passive and corruptible intellect which Aristotle calls material, as well as the separable and incorruptible intellect.</w:t>
      </w:r>
      <w:r w:rsidR="00A934C8" w:rsidRPr="00A472FC">
        <w:rPr>
          <w:rFonts w:ascii="Times New Roman" w:hAnsi="Times New Roman" w:cs="Times New Roman"/>
        </w:rPr>
        <w:t>’</w:t>
      </w:r>
      <w:r w:rsidRPr="00A472FC">
        <w:rPr>
          <w:rFonts w:ascii="Times New Roman" w:hAnsi="Times New Roman" w:cs="Times New Roman"/>
        </w:rPr>
        <w:t xml:space="preserve"> The passive intellect is the </w:t>
      </w:r>
      <w:r w:rsidR="002B7096" w:rsidRPr="00A472FC">
        <w:rPr>
          <w:rFonts w:ascii="Times New Roman" w:hAnsi="Times New Roman" w:cs="Times New Roman"/>
        </w:rPr>
        <w:t>lower power of</w:t>
      </w:r>
      <w:r w:rsidRPr="00A472FC">
        <w:rPr>
          <w:rFonts w:ascii="Times New Roman" w:hAnsi="Times New Roman" w:cs="Times New Roman"/>
        </w:rPr>
        <w:t xml:space="preserve"> the </w:t>
      </w:r>
      <w:r w:rsidR="002B7096" w:rsidRPr="00A472FC">
        <w:rPr>
          <w:rFonts w:ascii="Times New Roman" w:hAnsi="Times New Roman" w:cs="Times New Roman"/>
        </w:rPr>
        <w:t>rational part</w:t>
      </w:r>
      <w:r w:rsidRPr="00A472FC">
        <w:rPr>
          <w:rFonts w:ascii="Times New Roman" w:hAnsi="Times New Roman" w:cs="Times New Roman"/>
        </w:rPr>
        <w:t xml:space="preserve"> which is joined to the senses and which </w:t>
      </w:r>
      <w:r w:rsidRPr="00A472FC">
        <w:rPr>
          <w:rFonts w:ascii="Times New Roman" w:hAnsi="Times New Roman" w:cs="Times New Roman"/>
        </w:rPr>
        <w:lastRenderedPageBreak/>
        <w:t>receives intelligible species in phantasms. This power is necessary so that the intellect which is separable can understand species abstracted from phantasms.</w:t>
      </w:r>
      <w:r w:rsidRPr="00A472FC">
        <w:rPr>
          <w:rStyle w:val="FootnoteReference"/>
          <w:rFonts w:ascii="Times New Roman" w:hAnsi="Times New Roman" w:cs="Times New Roman"/>
        </w:rPr>
        <w:footnoteReference w:id="661"/>
      </w:r>
      <w:r w:rsidRPr="00A472FC">
        <w:rPr>
          <w:rFonts w:ascii="Times New Roman" w:hAnsi="Times New Roman" w:cs="Times New Roman"/>
        </w:rPr>
        <w:t xml:space="preserve"> Indeed, this power offers in a material form the intelligible species that is to be abstracted from a phantasm. </w:t>
      </w:r>
    </w:p>
    <w:p w14:paraId="6F76202A" w14:textId="7777777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For that very reason, however, the passive power is not considered part of the soul, unless insofar as it is conjoined to the body. For it originates from the union of the rational soul with the body. In this context, it is called by the name of ‘</w:t>
      </w:r>
      <w:proofErr w:type="spellStart"/>
      <w:r w:rsidRPr="00A472FC">
        <w:rPr>
          <w:rFonts w:ascii="Times New Roman" w:hAnsi="Times New Roman" w:cs="Times New Roman"/>
        </w:rPr>
        <w:t>rationability</w:t>
      </w:r>
      <w:proofErr w:type="spellEnd"/>
      <w:r w:rsidRPr="00A472FC">
        <w:rPr>
          <w:rFonts w:ascii="Times New Roman" w:hAnsi="Times New Roman" w:cs="Times New Roman"/>
        </w:rPr>
        <w:t>’, which refers to the middle lobe of the brain or the rational power, because it is able to accept universals in particulars, although not in the mode of universals. This again is what Aristotle supposedly called the passive intellect that is ‘</w:t>
      </w:r>
      <w:proofErr w:type="spellStart"/>
      <w:r w:rsidRPr="00A472FC">
        <w:rPr>
          <w:rFonts w:ascii="Times New Roman" w:hAnsi="Times New Roman" w:cs="Times New Roman"/>
        </w:rPr>
        <w:t>permixtus</w:t>
      </w:r>
      <w:proofErr w:type="spellEnd"/>
      <w:r w:rsidRPr="00A472FC">
        <w:rPr>
          <w:rFonts w:ascii="Times New Roman" w:hAnsi="Times New Roman" w:cs="Times New Roman"/>
        </w:rPr>
        <w:t>’ with the body.</w:t>
      </w:r>
      <w:r w:rsidRPr="00A472FC">
        <w:rPr>
          <w:rStyle w:val="FootnoteReference"/>
          <w:rFonts w:ascii="Times New Roman" w:hAnsi="Times New Roman" w:cs="Times New Roman"/>
        </w:rPr>
        <w:footnoteReference w:id="662"/>
      </w:r>
      <w:r w:rsidRPr="00A472FC">
        <w:rPr>
          <w:rFonts w:ascii="Times New Roman" w:hAnsi="Times New Roman" w:cs="Times New Roman"/>
        </w:rPr>
        <w:t xml:space="preserve"> In many respects, it corresponds to what we have already described as the functions of imagination and estimation. As a matter of fact, the material intellect seems to be the name Rochelle gives to the faculty of estimation when it is operative in humans seeking to know universals. </w:t>
      </w:r>
    </w:p>
    <w:p w14:paraId="21BCE0AC" w14:textId="7777777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The separable intellect has two modes.</w:t>
      </w:r>
      <w:r w:rsidRPr="00A472FC">
        <w:rPr>
          <w:rStyle w:val="FootnoteReference"/>
          <w:rFonts w:ascii="Times New Roman" w:hAnsi="Times New Roman" w:cs="Times New Roman"/>
        </w:rPr>
        <w:footnoteReference w:id="663"/>
      </w:r>
      <w:r w:rsidRPr="00A472FC">
        <w:rPr>
          <w:rFonts w:ascii="Times New Roman" w:hAnsi="Times New Roman" w:cs="Times New Roman"/>
        </w:rPr>
        <w:t xml:space="preserve"> One pertains to a difference of order, concerning which we speak of inferior and superior reason. This corresponds to a difference of nature, according to which we distinguish between the possible and agent intellects. The possible intellect is a blank slate, void of all pictures or forms, but capable of receiving all pictures, having none in act.</w:t>
      </w:r>
      <w:r w:rsidRPr="00A472FC">
        <w:rPr>
          <w:rStyle w:val="FootnoteReference"/>
          <w:rFonts w:ascii="Times New Roman" w:hAnsi="Times New Roman" w:cs="Times New Roman"/>
        </w:rPr>
        <w:footnoteReference w:id="664"/>
      </w:r>
      <w:r w:rsidRPr="00A472FC">
        <w:rPr>
          <w:rFonts w:ascii="Times New Roman" w:hAnsi="Times New Roman" w:cs="Times New Roman"/>
        </w:rPr>
        <w:t xml:space="preserve"> The agent intellect is like a light, namely, the intelligible light of the first truth that is naturally impressed in us, always acting as light, always radiating. This light makes the species or form of a thing intelligible as light makes </w:t>
      </w:r>
      <w:proofErr w:type="spellStart"/>
      <w:r w:rsidRPr="00A472FC">
        <w:rPr>
          <w:rFonts w:ascii="Times New Roman" w:hAnsi="Times New Roman" w:cs="Times New Roman"/>
        </w:rPr>
        <w:t>colors</w:t>
      </w:r>
      <w:proofErr w:type="spellEnd"/>
      <w:r w:rsidRPr="00A472FC">
        <w:rPr>
          <w:rFonts w:ascii="Times New Roman" w:hAnsi="Times New Roman" w:cs="Times New Roman"/>
        </w:rPr>
        <w:t xml:space="preserve"> visible. As </w:t>
      </w:r>
      <w:proofErr w:type="spellStart"/>
      <w:r w:rsidRPr="00A472FC">
        <w:rPr>
          <w:rFonts w:ascii="Times New Roman" w:hAnsi="Times New Roman" w:cs="Times New Roman"/>
        </w:rPr>
        <w:t>Wilpert</w:t>
      </w:r>
      <w:proofErr w:type="spellEnd"/>
      <w:r w:rsidRPr="00A472FC">
        <w:rPr>
          <w:rFonts w:ascii="Times New Roman" w:hAnsi="Times New Roman" w:cs="Times New Roman"/>
        </w:rPr>
        <w:t xml:space="preserve"> notes, this analogy of light/colours can be traced back to Aristotle who was himself probably referring to Plato’s analogy of the way that the light of the good is like a sun which exposes intelligible truths.</w:t>
      </w:r>
      <w:r w:rsidRPr="00A472FC">
        <w:rPr>
          <w:rStyle w:val="FootnoteReference"/>
          <w:rFonts w:ascii="Times New Roman" w:hAnsi="Times New Roman" w:cs="Times New Roman"/>
        </w:rPr>
        <w:footnoteReference w:id="665"/>
      </w:r>
    </w:p>
    <w:p w14:paraId="6603F23C" w14:textId="77777777" w:rsidR="00E212D3" w:rsidRPr="00A472FC" w:rsidRDefault="00E212D3" w:rsidP="00E212D3">
      <w:pPr>
        <w:ind w:right="-52" w:firstLine="720"/>
        <w:rPr>
          <w:rFonts w:ascii="Times New Roman" w:hAnsi="Times New Roman" w:cs="Times New Roman"/>
        </w:rPr>
      </w:pPr>
    </w:p>
    <w:p w14:paraId="4070DA23" w14:textId="77777777" w:rsidR="00E212D3" w:rsidRPr="00A472FC" w:rsidRDefault="00E212D3" w:rsidP="00E212D3">
      <w:pPr>
        <w:ind w:right="-52"/>
        <w:rPr>
          <w:rFonts w:ascii="Times New Roman" w:hAnsi="Times New Roman" w:cs="Times New Roman"/>
        </w:rPr>
      </w:pPr>
      <w:r w:rsidRPr="00A472FC">
        <w:rPr>
          <w:rFonts w:ascii="Times New Roman" w:hAnsi="Times New Roman" w:cs="Times New Roman"/>
        </w:rPr>
        <w:t>The Possible Intellect and its Power</w:t>
      </w:r>
    </w:p>
    <w:p w14:paraId="446D5199" w14:textId="77777777" w:rsidR="00E212D3" w:rsidRPr="00A472FC" w:rsidRDefault="00E212D3" w:rsidP="00E212D3">
      <w:pPr>
        <w:ind w:right="-52"/>
        <w:rPr>
          <w:rFonts w:ascii="Times New Roman" w:hAnsi="Times New Roman" w:cs="Times New Roman"/>
        </w:rPr>
      </w:pPr>
    </w:p>
    <w:p w14:paraId="30E02F1A" w14:textId="365AA921"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According to John, the existence of the possible intellect is certain, for unless there is a power susceptible to all intelligible species, it would be impossible to make them understood.</w:t>
      </w:r>
      <w:r w:rsidRPr="00A472FC">
        <w:rPr>
          <w:rStyle w:val="FootnoteReference"/>
          <w:rFonts w:ascii="Times New Roman" w:hAnsi="Times New Roman" w:cs="Times New Roman"/>
        </w:rPr>
        <w:footnoteReference w:id="666"/>
      </w:r>
      <w:r w:rsidRPr="00A472FC">
        <w:rPr>
          <w:rFonts w:ascii="Times New Roman" w:hAnsi="Times New Roman" w:cs="Times New Roman"/>
        </w:rPr>
        <w:t xml:space="preserve"> On this basis, he insists we must consider the different aspects of the possible intellect, which ultimately amount to Avicenna’s famous four intellects, which represent four stages whereby </w:t>
      </w:r>
      <w:r w:rsidR="00255F58" w:rsidRPr="00A472FC">
        <w:rPr>
          <w:rFonts w:ascii="Times New Roman" w:hAnsi="Times New Roman" w:cs="Times New Roman"/>
        </w:rPr>
        <w:t>the intellect</w:t>
      </w:r>
      <w:r w:rsidRPr="00A472FC">
        <w:rPr>
          <w:rFonts w:ascii="Times New Roman" w:hAnsi="Times New Roman" w:cs="Times New Roman"/>
        </w:rPr>
        <w:t xml:space="preserve"> moves from a state of pure potential </w:t>
      </w:r>
      <w:r w:rsidR="00255F58" w:rsidRPr="00A472FC">
        <w:rPr>
          <w:rFonts w:ascii="Times New Roman" w:hAnsi="Times New Roman" w:cs="Times New Roman"/>
        </w:rPr>
        <w:t xml:space="preserve">for knowledge </w:t>
      </w:r>
      <w:r w:rsidRPr="00A472FC">
        <w:rPr>
          <w:rFonts w:ascii="Times New Roman" w:hAnsi="Times New Roman" w:cs="Times New Roman"/>
        </w:rPr>
        <w:t xml:space="preserve">to various other grades of </w:t>
      </w:r>
      <w:r w:rsidR="00255F58" w:rsidRPr="00A472FC">
        <w:rPr>
          <w:rFonts w:ascii="Times New Roman" w:hAnsi="Times New Roman" w:cs="Times New Roman"/>
        </w:rPr>
        <w:t xml:space="preserve">its </w:t>
      </w:r>
      <w:proofErr w:type="spellStart"/>
      <w:r w:rsidRPr="00A472FC">
        <w:rPr>
          <w:rFonts w:ascii="Times New Roman" w:hAnsi="Times New Roman" w:cs="Times New Roman"/>
        </w:rPr>
        <w:t>actualization</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667"/>
      </w:r>
      <w:r w:rsidRPr="00A472FC">
        <w:rPr>
          <w:rFonts w:ascii="Times New Roman" w:hAnsi="Times New Roman" w:cs="Times New Roman"/>
        </w:rPr>
        <w:t xml:space="preserve"> In his </w:t>
      </w:r>
      <w:r w:rsidRPr="00A472FC">
        <w:rPr>
          <w:rFonts w:ascii="Times New Roman" w:hAnsi="Times New Roman" w:cs="Times New Roman"/>
          <w:i/>
        </w:rPr>
        <w:t>De anima</w:t>
      </w:r>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Avicenna illustrates these stages in terms </w:t>
      </w:r>
      <w:r w:rsidRPr="00A472FC">
        <w:rPr>
          <w:rFonts w:ascii="Times New Roman" w:hAnsi="Times New Roman" w:cs="Times New Roman"/>
        </w:rPr>
        <w:lastRenderedPageBreak/>
        <w:t>of the way a child who is in principle capable of learning to write proceeds to acquire the ability to write, perfects it, and uses it.</w:t>
      </w:r>
      <w:r w:rsidR="005869A0" w:rsidRPr="00A472FC">
        <w:rPr>
          <w:rStyle w:val="FootnoteReference"/>
          <w:rFonts w:ascii="Times New Roman" w:hAnsi="Times New Roman" w:cs="Times New Roman"/>
        </w:rPr>
        <w:footnoteReference w:id="668"/>
      </w:r>
    </w:p>
    <w:p w14:paraId="237BCE17" w14:textId="0D9DEBB8"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In the first case, there is what John calls a material potential for knowledge. This can be likened to prime matter, which does not itself possess any form but is subject to all forms. Here, it is worth noting that the material intellect (</w:t>
      </w:r>
      <w:proofErr w:type="spellStart"/>
      <w:r w:rsidRPr="00A472FC">
        <w:rPr>
          <w:rFonts w:ascii="Times New Roman" w:hAnsi="Times New Roman" w:cs="Times New Roman"/>
          <w:i/>
        </w:rPr>
        <w:t>intellectus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materialis</w:t>
      </w:r>
      <w:proofErr w:type="spellEnd"/>
      <w:r w:rsidRPr="00A472FC">
        <w:rPr>
          <w:rFonts w:ascii="Times New Roman" w:hAnsi="Times New Roman" w:cs="Times New Roman"/>
        </w:rPr>
        <w:t xml:space="preserve">) in question seems to be the same entity as the material intellect described above, which feeds sense forms to the possible intellect, but does not </w:t>
      </w:r>
      <w:proofErr w:type="spellStart"/>
      <w:r w:rsidRPr="00A472FC">
        <w:rPr>
          <w:rFonts w:ascii="Times New Roman" w:hAnsi="Times New Roman" w:cs="Times New Roman"/>
        </w:rPr>
        <w:t>reali</w:t>
      </w:r>
      <w:r w:rsidR="007D1F4C" w:rsidRPr="00A472FC">
        <w:rPr>
          <w:rFonts w:ascii="Times New Roman" w:hAnsi="Times New Roman" w:cs="Times New Roman"/>
        </w:rPr>
        <w:t>z</w:t>
      </w:r>
      <w:r w:rsidRPr="00A472FC">
        <w:rPr>
          <w:rFonts w:ascii="Times New Roman" w:hAnsi="Times New Roman" w:cs="Times New Roman"/>
        </w:rPr>
        <w:t>e</w:t>
      </w:r>
      <w:proofErr w:type="spellEnd"/>
      <w:r w:rsidRPr="00A472FC">
        <w:rPr>
          <w:rFonts w:ascii="Times New Roman" w:hAnsi="Times New Roman" w:cs="Times New Roman"/>
        </w:rPr>
        <w:t xml:space="preserve"> the potential for universal knowledge as yet. </w:t>
      </w:r>
    </w:p>
    <w:p w14:paraId="5F9E136F" w14:textId="7777777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In the second place, there is a disposed potential (</w:t>
      </w:r>
      <w:proofErr w:type="spellStart"/>
      <w:r w:rsidRPr="00A472FC">
        <w:rPr>
          <w:rFonts w:ascii="Times New Roman" w:hAnsi="Times New Roman" w:cs="Times New Roman"/>
          <w:i/>
        </w:rPr>
        <w:t>intellectus</w:t>
      </w:r>
      <w:proofErr w:type="spellEnd"/>
      <w:r w:rsidRPr="00A472FC">
        <w:rPr>
          <w:rFonts w:ascii="Times New Roman" w:hAnsi="Times New Roman" w:cs="Times New Roman"/>
          <w:i/>
        </w:rPr>
        <w:t xml:space="preserve"> in </w:t>
      </w:r>
      <w:proofErr w:type="spellStart"/>
      <w:r w:rsidRPr="00A472FC">
        <w:rPr>
          <w:rFonts w:ascii="Times New Roman" w:hAnsi="Times New Roman" w:cs="Times New Roman"/>
          <w:i/>
        </w:rPr>
        <w:t>effectu</w:t>
      </w:r>
      <w:proofErr w:type="spellEnd"/>
      <w:r w:rsidRPr="00A472FC">
        <w:rPr>
          <w:rFonts w:ascii="Times New Roman" w:hAnsi="Times New Roman" w:cs="Times New Roman"/>
          <w:iCs/>
        </w:rPr>
        <w:t>)</w:t>
      </w:r>
      <w:r w:rsidRPr="00A472FC">
        <w:rPr>
          <w:rFonts w:ascii="Times New Roman" w:hAnsi="Times New Roman" w:cs="Times New Roman"/>
        </w:rPr>
        <w:t>, which involves knowledge of the ‘common conceptions of the soul’ (</w:t>
      </w:r>
      <w:r w:rsidRPr="00A472FC">
        <w:rPr>
          <w:rFonts w:ascii="Times New Roman" w:hAnsi="Times New Roman" w:cs="Times New Roman"/>
          <w:i/>
        </w:rPr>
        <w:t xml:space="preserve">communes animi </w:t>
      </w:r>
      <w:proofErr w:type="spellStart"/>
      <w:r w:rsidRPr="00A472FC">
        <w:rPr>
          <w:rFonts w:ascii="Times New Roman" w:hAnsi="Times New Roman" w:cs="Times New Roman"/>
          <w:i/>
        </w:rPr>
        <w:t>conceptiones</w:t>
      </w:r>
      <w:proofErr w:type="spellEnd"/>
      <w:r w:rsidRPr="00A472FC">
        <w:rPr>
          <w:rFonts w:ascii="Times New Roman" w:hAnsi="Times New Roman" w:cs="Times New Roman"/>
        </w:rPr>
        <w:t xml:space="preserve">), that is, the principles or propositions which are </w:t>
      </w:r>
      <w:r w:rsidRPr="00A472FC">
        <w:rPr>
          <w:rFonts w:ascii="Times New Roman" w:hAnsi="Times New Roman" w:cs="Times New Roman"/>
          <w:i/>
        </w:rPr>
        <w:t>per se nota</w:t>
      </w:r>
      <w:r w:rsidRPr="00A472FC">
        <w:rPr>
          <w:rFonts w:ascii="Times New Roman" w:hAnsi="Times New Roman" w:cs="Times New Roman"/>
        </w:rPr>
        <w:t xml:space="preserve"> or self-evident to the mind, such as a whole is greater than its part. Thirdly, there is a perfected potential (</w:t>
      </w:r>
      <w:proofErr w:type="spellStart"/>
      <w:r w:rsidRPr="00A472FC">
        <w:rPr>
          <w:rFonts w:ascii="Times New Roman" w:hAnsi="Times New Roman" w:cs="Times New Roman"/>
          <w:i/>
        </w:rPr>
        <w:t>intellectus</w:t>
      </w:r>
      <w:proofErr w:type="spellEnd"/>
      <w:r w:rsidRPr="00A472FC">
        <w:rPr>
          <w:rFonts w:ascii="Times New Roman" w:hAnsi="Times New Roman" w:cs="Times New Roman"/>
        </w:rPr>
        <w:t xml:space="preserve"> </w:t>
      </w:r>
      <w:r w:rsidRPr="00A472FC">
        <w:rPr>
          <w:rFonts w:ascii="Times New Roman" w:hAnsi="Times New Roman" w:cs="Times New Roman"/>
          <w:i/>
        </w:rPr>
        <w:t xml:space="preserve">in </w:t>
      </w:r>
      <w:proofErr w:type="spellStart"/>
      <w:r w:rsidRPr="00A472FC">
        <w:rPr>
          <w:rFonts w:ascii="Times New Roman" w:hAnsi="Times New Roman" w:cs="Times New Roman"/>
          <w:i/>
        </w:rPr>
        <w:t>habitu</w:t>
      </w:r>
      <w:proofErr w:type="spellEnd"/>
      <w:r w:rsidRPr="00A472FC">
        <w:rPr>
          <w:rFonts w:ascii="Times New Roman" w:hAnsi="Times New Roman" w:cs="Times New Roman"/>
        </w:rPr>
        <w:t>), which has drawn conclusions from the aforementioned principles but is not considering them presently, while the fourth (</w:t>
      </w:r>
      <w:proofErr w:type="spellStart"/>
      <w:r w:rsidRPr="00A472FC">
        <w:rPr>
          <w:rFonts w:ascii="Times New Roman" w:hAnsi="Times New Roman" w:cs="Times New Roman"/>
          <w:i/>
        </w:rPr>
        <w:t>intellectus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adeptus</w:t>
      </w:r>
      <w:proofErr w:type="spellEnd"/>
      <w:r w:rsidRPr="00A472FC">
        <w:rPr>
          <w:rFonts w:ascii="Times New Roman" w:hAnsi="Times New Roman" w:cs="Times New Roman"/>
        </w:rPr>
        <w:t>) does just that</w:t>
      </w:r>
      <w:r w:rsidRPr="00A472FC">
        <w:rPr>
          <w:rFonts w:ascii="Times New Roman" w:hAnsi="Times New Roman" w:cs="Times New Roman"/>
          <w:i/>
        </w:rPr>
        <w:t>.</w:t>
      </w:r>
      <w:r w:rsidRPr="00A472FC">
        <w:rPr>
          <w:rStyle w:val="FootnoteReference"/>
          <w:rFonts w:ascii="Times New Roman" w:hAnsi="Times New Roman" w:cs="Times New Roman"/>
        </w:rPr>
        <w:footnoteReference w:id="669"/>
      </w:r>
    </w:p>
    <w:p w14:paraId="4E5C6350" w14:textId="7777777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 </w:t>
      </w:r>
    </w:p>
    <w:p w14:paraId="495AD3AC" w14:textId="77777777" w:rsidR="00E212D3" w:rsidRPr="00A472FC" w:rsidRDefault="00E212D3" w:rsidP="00E212D3">
      <w:pPr>
        <w:ind w:right="-52"/>
        <w:rPr>
          <w:rFonts w:ascii="Times New Roman" w:hAnsi="Times New Roman" w:cs="Times New Roman"/>
        </w:rPr>
      </w:pPr>
      <w:r w:rsidRPr="00A472FC">
        <w:rPr>
          <w:rFonts w:ascii="Times New Roman" w:hAnsi="Times New Roman" w:cs="Times New Roman"/>
        </w:rPr>
        <w:t>The Agent Intellect</w:t>
      </w:r>
    </w:p>
    <w:p w14:paraId="3C773EA2" w14:textId="77777777" w:rsidR="00E212D3" w:rsidRPr="00A472FC" w:rsidRDefault="00E212D3" w:rsidP="00E212D3">
      <w:pPr>
        <w:ind w:right="-52"/>
        <w:rPr>
          <w:rFonts w:ascii="Times New Roman" w:hAnsi="Times New Roman" w:cs="Times New Roman"/>
        </w:rPr>
      </w:pPr>
    </w:p>
    <w:p w14:paraId="45AA9BD3" w14:textId="359C5E5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In line with the Aristotelian tradition, Avicenna argued that everything that moves from potency to act does not do so unless through a cause which leads it from potency to act;</w:t>
      </w:r>
      <w:r w:rsidRPr="00A472FC">
        <w:rPr>
          <w:rStyle w:val="FootnoteReference"/>
          <w:rFonts w:ascii="Times New Roman" w:hAnsi="Times New Roman" w:cs="Times New Roman"/>
        </w:rPr>
        <w:footnoteReference w:id="670"/>
      </w:r>
      <w:r w:rsidRPr="00A472FC">
        <w:rPr>
          <w:rFonts w:ascii="Times New Roman" w:hAnsi="Times New Roman" w:cs="Times New Roman"/>
        </w:rPr>
        <w:t xml:space="preserve"> this cause is the reason why our soul actually knows intelligible things. But the cause that gives the intelligible forms is nothing other than the intellect that is in act. Therefore, it is necessary that we have an agent intellect. What John now considers, consequently, is whether the agent intellect is a separate substance from the soul, as Avicenna supposed, and if so, whether it is a created intelligence, like an angel, or uncreated, namely, God.</w:t>
      </w:r>
      <w:r w:rsidRPr="00A472FC">
        <w:rPr>
          <w:rStyle w:val="FootnoteReference"/>
          <w:rFonts w:ascii="Times New Roman" w:hAnsi="Times New Roman" w:cs="Times New Roman"/>
        </w:rPr>
        <w:footnoteReference w:id="671"/>
      </w:r>
    </w:p>
    <w:p w14:paraId="3D28D8BA" w14:textId="6B41EDE1"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The argument in favour of the idea that it is an uncreated intelligence, or God, is presented on the basis of what Augustine says in his </w:t>
      </w:r>
      <w:r w:rsidRPr="00A472FC">
        <w:rPr>
          <w:rFonts w:ascii="Times New Roman" w:hAnsi="Times New Roman" w:cs="Times New Roman"/>
          <w:i/>
        </w:rPr>
        <w:t>Soliloquies</w:t>
      </w:r>
      <w:r w:rsidRPr="00A472FC">
        <w:rPr>
          <w:rFonts w:ascii="Times New Roman" w:hAnsi="Times New Roman" w:cs="Times New Roman"/>
        </w:rPr>
        <w:t xml:space="preserve"> I.8.15, namely, that as in this material </w:t>
      </w:r>
      <w:r w:rsidR="00926D86" w:rsidRPr="00A472FC">
        <w:rPr>
          <w:rFonts w:ascii="Times New Roman" w:hAnsi="Times New Roman" w:cs="Times New Roman"/>
        </w:rPr>
        <w:t xml:space="preserve">sun </w:t>
      </w:r>
      <w:r w:rsidRPr="00A472FC">
        <w:rPr>
          <w:rFonts w:ascii="Times New Roman" w:hAnsi="Times New Roman" w:cs="Times New Roman"/>
        </w:rPr>
        <w:t>‘we find three things, that it is, that it shines and that it makes other things known, so we understand these three things in God, namely, that he is, that he understands, and that he makes other things understood.’</w:t>
      </w:r>
      <w:r w:rsidRPr="00A472FC">
        <w:rPr>
          <w:rStyle w:val="FootnoteReference"/>
          <w:rFonts w:ascii="Times New Roman" w:hAnsi="Times New Roman" w:cs="Times New Roman"/>
        </w:rPr>
        <w:footnoteReference w:id="672"/>
      </w:r>
      <w:r w:rsidRPr="00A472FC">
        <w:rPr>
          <w:rFonts w:ascii="Times New Roman" w:hAnsi="Times New Roman" w:cs="Times New Roman"/>
        </w:rPr>
        <w:t xml:space="preserve"> As one who makes things understood, this text seems to imply that God is the agent intellect.</w:t>
      </w:r>
    </w:p>
    <w:p w14:paraId="630F20B3" w14:textId="4C524ADE"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The argument in favour of the idea that the agent intellect is an angelic intelligence, </w:t>
      </w:r>
      <w:r w:rsidR="00771EEE" w:rsidRPr="00A472FC">
        <w:rPr>
          <w:rFonts w:ascii="Times New Roman" w:hAnsi="Times New Roman" w:cs="Times New Roman"/>
        </w:rPr>
        <w:t xml:space="preserve">which </w:t>
      </w:r>
      <w:r w:rsidRPr="00A472FC">
        <w:rPr>
          <w:rFonts w:ascii="Times New Roman" w:hAnsi="Times New Roman" w:cs="Times New Roman"/>
        </w:rPr>
        <w:t xml:space="preserve">John recounts, is based on the fact that God inhabits light inaccessible, as is stated in 1 Timothy 6:16, </w:t>
      </w:r>
      <w:r w:rsidR="000A6BF0" w:rsidRPr="00A472FC">
        <w:rPr>
          <w:rFonts w:ascii="Times New Roman" w:hAnsi="Times New Roman" w:cs="Times New Roman"/>
        </w:rPr>
        <w:t>which suggests that he</w:t>
      </w:r>
      <w:r w:rsidRPr="00A472FC">
        <w:rPr>
          <w:rFonts w:ascii="Times New Roman" w:hAnsi="Times New Roman" w:cs="Times New Roman"/>
        </w:rPr>
        <w:t xml:space="preserve"> cannot illumine the human mind directly. Rather, the soul must seemingly be illumined by a created intelligence that is more closely related to it. After delineating these arguments why the agent intellect might be something other than the human soul itself, John endeavours to prove that the intellect is not in fact a separate substance from the soul.</w:t>
      </w:r>
      <w:r w:rsidRPr="00A472FC">
        <w:rPr>
          <w:rStyle w:val="FootnoteReference"/>
          <w:rFonts w:ascii="Times New Roman" w:hAnsi="Times New Roman" w:cs="Times New Roman"/>
        </w:rPr>
        <w:footnoteReference w:id="673"/>
      </w:r>
      <w:r w:rsidRPr="00A472FC">
        <w:rPr>
          <w:rFonts w:ascii="Times New Roman" w:hAnsi="Times New Roman" w:cs="Times New Roman"/>
        </w:rPr>
        <w:t xml:space="preserve"> As he states, we have a light impressed at creation which enables us to know intelligible things, and on account of which we are likenesses to the divine.</w:t>
      </w:r>
      <w:r w:rsidRPr="00A472FC">
        <w:rPr>
          <w:rStyle w:val="FootnoteReference"/>
          <w:rFonts w:ascii="Times New Roman" w:hAnsi="Times New Roman" w:cs="Times New Roman"/>
        </w:rPr>
        <w:footnoteReference w:id="674"/>
      </w:r>
      <w:r w:rsidRPr="00A472FC">
        <w:rPr>
          <w:rFonts w:ascii="Times New Roman" w:hAnsi="Times New Roman" w:cs="Times New Roman"/>
        </w:rPr>
        <w:t xml:space="preserve"> </w:t>
      </w:r>
    </w:p>
    <w:p w14:paraId="566657A8" w14:textId="07E6B7EF"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lastRenderedPageBreak/>
        <w:t>This is what we call the agent intellect. For if corporeal eyes see through a light that exists in themselves, the eyes of our mind will so much more see through a light existing in the self, which is not therefore a separate substance to the soul. In response to the objection that God or an angel could be the agent intellect, John states the following.</w:t>
      </w:r>
      <w:r w:rsidRPr="00A472FC">
        <w:rPr>
          <w:rStyle w:val="FootnoteReference"/>
          <w:rFonts w:ascii="Times New Roman" w:hAnsi="Times New Roman" w:cs="Times New Roman"/>
        </w:rPr>
        <w:footnoteReference w:id="675"/>
      </w:r>
      <w:r w:rsidRPr="00A472FC">
        <w:rPr>
          <w:rFonts w:ascii="Times New Roman" w:hAnsi="Times New Roman" w:cs="Times New Roman"/>
        </w:rPr>
        <w:t xml:space="preserve"> Augustine in DSEA 11 speaks of things that are above, next to</w:t>
      </w:r>
      <w:r w:rsidR="00A442C9" w:rsidRPr="00A472FC">
        <w:rPr>
          <w:rFonts w:ascii="Times New Roman" w:hAnsi="Times New Roman" w:cs="Times New Roman"/>
        </w:rPr>
        <w:t>,</w:t>
      </w:r>
      <w:r w:rsidRPr="00A472FC">
        <w:rPr>
          <w:rFonts w:ascii="Times New Roman" w:hAnsi="Times New Roman" w:cs="Times New Roman"/>
        </w:rPr>
        <w:t xml:space="preserve"> and below the human self. Those things which are above the self are things like the divine essence and the Trinity of persons </w:t>
      </w:r>
      <w:r w:rsidR="00793A4F">
        <w:rPr>
          <w:rFonts w:ascii="Times New Roman" w:hAnsi="Times New Roman" w:cs="Times New Roman"/>
        </w:rPr>
        <w:t>that</w:t>
      </w:r>
      <w:r w:rsidRPr="00A472FC">
        <w:rPr>
          <w:rFonts w:ascii="Times New Roman" w:hAnsi="Times New Roman" w:cs="Times New Roman"/>
        </w:rPr>
        <w:t xml:space="preserve"> exceed the human capacity for understanding. Since these must be understood in a divine mode, the soul, exceptionally, needs a radiation of the light of the eternal first truth on its supreme power, which is the mind or intelligence, in order to know them, as Augustine says in DSEA. In the case of God himself, consequently, God is the agent intellect.</w:t>
      </w:r>
      <w:r w:rsidRPr="00A472FC">
        <w:rPr>
          <w:rStyle w:val="FootnoteReference"/>
          <w:rFonts w:ascii="Times New Roman" w:hAnsi="Times New Roman" w:cs="Times New Roman"/>
        </w:rPr>
        <w:footnoteReference w:id="676"/>
      </w:r>
    </w:p>
    <w:p w14:paraId="2F3D9FB3" w14:textId="7777777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In order to know those things which are next to the self, such as the angelic essences, powers, operations, and so on, the soul likewise needs an angelic revelation, and in that sense, the angelic intellect can be described as the agent intellect with respect to the human soul. To know those things that are below the self, such as the soul and its powers and virtues, however, the soul does not need an extrinsic light, for it has an innate light by which it knows its own </w:t>
      </w:r>
      <w:proofErr w:type="spellStart"/>
      <w:r w:rsidRPr="00A472FC">
        <w:rPr>
          <w:rFonts w:ascii="Times New Roman" w:hAnsi="Times New Roman" w:cs="Times New Roman"/>
          <w:i/>
          <w:iCs/>
        </w:rPr>
        <w:t>esse</w:t>
      </w:r>
      <w:proofErr w:type="spellEnd"/>
      <w:r w:rsidRPr="00A472FC">
        <w:rPr>
          <w:rFonts w:ascii="Times New Roman" w:hAnsi="Times New Roman" w:cs="Times New Roman"/>
        </w:rPr>
        <w:t>, its ability to know and to sense, and to attend to some things and to ignore others. Thus, Augustine says that it knows itself in itself.</w:t>
      </w:r>
      <w:r w:rsidRPr="00A472FC">
        <w:rPr>
          <w:rStyle w:val="FootnoteReference"/>
          <w:rFonts w:ascii="Times New Roman" w:hAnsi="Times New Roman" w:cs="Times New Roman"/>
        </w:rPr>
        <w:footnoteReference w:id="677"/>
      </w:r>
      <w:r w:rsidRPr="00A472FC">
        <w:rPr>
          <w:rFonts w:ascii="Times New Roman" w:hAnsi="Times New Roman" w:cs="Times New Roman"/>
        </w:rPr>
        <w:t xml:space="preserve"> </w:t>
      </w:r>
    </w:p>
    <w:p w14:paraId="6A245D6F" w14:textId="7777777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To know those things which are below the self, likewise, the soul does not need an external light.</w:t>
      </w:r>
      <w:r w:rsidRPr="00A472FC">
        <w:rPr>
          <w:rStyle w:val="FootnoteReference"/>
          <w:rFonts w:ascii="Times New Roman" w:hAnsi="Times New Roman" w:cs="Times New Roman"/>
        </w:rPr>
        <w:footnoteReference w:id="678"/>
      </w:r>
      <w:r w:rsidRPr="00A472FC">
        <w:rPr>
          <w:rFonts w:ascii="Times New Roman" w:hAnsi="Times New Roman" w:cs="Times New Roman"/>
        </w:rPr>
        <w:t xml:space="preserve"> For as the nature of the human intellect is superior to corporeal things, and even to incorporeal things which are in itself as in a subject, such as its powers, dispositions and affections, it does not need a separable substance or external light to achieve comprehension. The internal light of the agent intellect, the soul’s supreme power, is enough for knowledge of these affairs. In a section further elaborating these points, John notes that while the agent intellect is called an agent and a light with respect to the possible intellect and the phantasms it receives thereby, it must itself be regarded as a recipient with respect to the superior agents, namely, angels and God, from which it receives not only the knowledge of angels and God themselves but also the knowledge of the first truths which make knowledge of inferior things possible.</w:t>
      </w:r>
      <w:r w:rsidRPr="00A472FC">
        <w:rPr>
          <w:rStyle w:val="FootnoteReference"/>
          <w:rFonts w:ascii="Times New Roman" w:hAnsi="Times New Roman" w:cs="Times New Roman"/>
        </w:rPr>
        <w:footnoteReference w:id="679"/>
      </w:r>
      <w:r w:rsidRPr="00A472FC">
        <w:rPr>
          <w:rFonts w:ascii="Times New Roman" w:hAnsi="Times New Roman" w:cs="Times New Roman"/>
        </w:rPr>
        <w:t xml:space="preserve"> </w:t>
      </w:r>
    </w:p>
    <w:p w14:paraId="10214923" w14:textId="77777777" w:rsidR="00E212D3" w:rsidRPr="00A472FC" w:rsidRDefault="00E212D3" w:rsidP="00E212D3">
      <w:pPr>
        <w:ind w:right="-52" w:firstLine="720"/>
        <w:rPr>
          <w:rFonts w:ascii="Times New Roman" w:hAnsi="Times New Roman" w:cs="Times New Roman"/>
        </w:rPr>
      </w:pPr>
    </w:p>
    <w:p w14:paraId="67FF8713" w14:textId="77777777" w:rsidR="00E212D3" w:rsidRPr="00A472FC" w:rsidRDefault="00E212D3" w:rsidP="00E212D3">
      <w:pPr>
        <w:ind w:right="-52"/>
        <w:rPr>
          <w:rFonts w:ascii="Times New Roman" w:hAnsi="Times New Roman" w:cs="Times New Roman"/>
        </w:rPr>
      </w:pPr>
      <w:r w:rsidRPr="00A472FC">
        <w:rPr>
          <w:rFonts w:ascii="Times New Roman" w:hAnsi="Times New Roman" w:cs="Times New Roman"/>
        </w:rPr>
        <w:t>The Operations of the Agent and Possible Intellects</w:t>
      </w:r>
    </w:p>
    <w:p w14:paraId="50EDC90E" w14:textId="77777777" w:rsidR="00E212D3" w:rsidRPr="00A472FC" w:rsidRDefault="00E212D3" w:rsidP="00E212D3">
      <w:pPr>
        <w:ind w:right="-52" w:firstLine="720"/>
        <w:rPr>
          <w:rFonts w:ascii="Times New Roman" w:hAnsi="Times New Roman" w:cs="Times New Roman"/>
        </w:rPr>
      </w:pPr>
    </w:p>
    <w:p w14:paraId="4D47002B" w14:textId="39DA4F6E" w:rsidR="00E212D3" w:rsidRPr="00A472FC" w:rsidRDefault="00E212D3" w:rsidP="003E6754">
      <w:pPr>
        <w:ind w:right="-52" w:firstLine="720"/>
        <w:rPr>
          <w:rFonts w:ascii="Times New Roman" w:hAnsi="Times New Roman" w:cs="Times New Roman"/>
          <w:color w:val="000000" w:themeColor="text1"/>
        </w:rPr>
      </w:pPr>
      <w:r w:rsidRPr="00A472FC">
        <w:rPr>
          <w:rFonts w:ascii="Times New Roman" w:hAnsi="Times New Roman" w:cs="Times New Roman"/>
        </w:rPr>
        <w:t>In a further description of how the two components of the separable intellect, agent and possible, work together, John states that</w:t>
      </w:r>
      <w:r w:rsidRPr="00A472FC">
        <w:rPr>
          <w:rFonts w:ascii="Times New Roman" w:hAnsi="Times New Roman" w:cs="Times New Roman"/>
          <w:color w:val="000000" w:themeColor="text1"/>
        </w:rPr>
        <w:t xml:space="preserve"> the role of the possible intellect is two-fold</w:t>
      </w:r>
      <w:r w:rsidR="00AE6671" w:rsidRPr="00A472FC">
        <w:rPr>
          <w:rFonts w:ascii="Times New Roman" w:hAnsi="Times New Roman" w:cs="Times New Roman"/>
          <w:color w:val="000000" w:themeColor="text1"/>
        </w:rPr>
        <w:t xml:space="preserve">. Firstly, it ‘turns </w:t>
      </w:r>
      <w:r w:rsidRPr="00A472FC">
        <w:rPr>
          <w:rFonts w:ascii="Times New Roman" w:hAnsi="Times New Roman" w:cs="Times New Roman"/>
          <w:color w:val="000000" w:themeColor="text1"/>
        </w:rPr>
        <w:t>and consider</w:t>
      </w:r>
      <w:r w:rsidR="00AE6671" w:rsidRPr="00A472FC">
        <w:rPr>
          <w:rFonts w:ascii="Times New Roman" w:hAnsi="Times New Roman" w:cs="Times New Roman"/>
          <w:color w:val="000000" w:themeColor="text1"/>
        </w:rPr>
        <w:t>s</w:t>
      </w:r>
      <w:r w:rsidRPr="00A472FC">
        <w:rPr>
          <w:rFonts w:ascii="Times New Roman" w:hAnsi="Times New Roman" w:cs="Times New Roman"/>
          <w:color w:val="000000" w:themeColor="text1"/>
        </w:rPr>
        <w:t xml:space="preserve"> the [sense] forms that are in the imagination.’</w:t>
      </w:r>
      <w:r w:rsidRPr="00A472FC">
        <w:rPr>
          <w:rStyle w:val="FootnoteReference"/>
          <w:rFonts w:ascii="Times New Roman" w:hAnsi="Times New Roman" w:cs="Times New Roman"/>
          <w:color w:val="000000" w:themeColor="text1"/>
        </w:rPr>
        <w:footnoteReference w:id="680"/>
      </w:r>
      <w:r w:rsidRPr="00A472FC">
        <w:rPr>
          <w:rFonts w:ascii="Times New Roman" w:hAnsi="Times New Roman" w:cs="Times New Roman"/>
          <w:color w:val="000000" w:themeColor="text1"/>
        </w:rPr>
        <w:t xml:space="preserve"> In this regard, the possible intellect turns to </w:t>
      </w:r>
      <w:r w:rsidRPr="00A472FC">
        <w:rPr>
          <w:rFonts w:ascii="Times New Roman" w:hAnsi="Times New Roman" w:cs="Times New Roman"/>
        </w:rPr>
        <w:t xml:space="preserve">the material intellect, which performs the function of imagination or estimation in humans. Once the sense forms obtained there </w:t>
      </w:r>
      <w:r w:rsidRPr="00A472FC">
        <w:rPr>
          <w:rFonts w:ascii="Times New Roman" w:hAnsi="Times New Roman" w:cs="Times New Roman"/>
          <w:color w:val="000000" w:themeColor="text1"/>
        </w:rPr>
        <w:t>are illumined by the light of intelligence of the agent intellect, and abstracted or stripped of all material circumstances, the possible intellect serves its second function, whereby it receive</w:t>
      </w:r>
      <w:r w:rsidR="003E6754" w:rsidRPr="00A472FC">
        <w:rPr>
          <w:rFonts w:ascii="Times New Roman" w:hAnsi="Times New Roman" w:cs="Times New Roman"/>
          <w:color w:val="000000" w:themeColor="text1"/>
        </w:rPr>
        <w:t>s</w:t>
      </w:r>
      <w:r w:rsidRPr="00A472FC">
        <w:rPr>
          <w:rFonts w:ascii="Times New Roman" w:hAnsi="Times New Roman" w:cs="Times New Roman"/>
          <w:color w:val="000000" w:themeColor="text1"/>
        </w:rPr>
        <w:t xml:space="preserve"> imprints of those forms and thus become ‘formed’ with respect to the original sense forms. </w:t>
      </w:r>
    </w:p>
    <w:p w14:paraId="37DE428B" w14:textId="25F7890C" w:rsidR="00E212D3" w:rsidRPr="00A472FC" w:rsidRDefault="00C950C2" w:rsidP="00E212D3">
      <w:pPr>
        <w:ind w:right="-52" w:firstLine="720"/>
        <w:rPr>
          <w:rFonts w:ascii="Times New Roman" w:eastAsiaTheme="minorEastAsia" w:hAnsi="Times New Roman" w:cs="Times New Roman"/>
        </w:rPr>
      </w:pPr>
      <w:r w:rsidRPr="00A472FC">
        <w:rPr>
          <w:rFonts w:ascii="Times New Roman" w:hAnsi="Times New Roman" w:cs="Times New Roman"/>
          <w:color w:val="000000" w:themeColor="text1"/>
        </w:rPr>
        <w:t>As this suggests,</w:t>
      </w:r>
      <w:r w:rsidR="00E212D3" w:rsidRPr="00A472FC">
        <w:rPr>
          <w:rFonts w:ascii="Times New Roman" w:hAnsi="Times New Roman" w:cs="Times New Roman"/>
          <w:color w:val="000000" w:themeColor="text1"/>
        </w:rPr>
        <w:t xml:space="preserve"> the work of the agent intellect </w:t>
      </w:r>
      <w:r w:rsidR="00425388" w:rsidRPr="00A472FC">
        <w:rPr>
          <w:rFonts w:ascii="Times New Roman" w:hAnsi="Times New Roman" w:cs="Times New Roman"/>
          <w:color w:val="000000" w:themeColor="text1"/>
        </w:rPr>
        <w:t xml:space="preserve">itself </w:t>
      </w:r>
      <w:r w:rsidR="00E212D3" w:rsidRPr="00A472FC">
        <w:rPr>
          <w:rFonts w:ascii="Times New Roman" w:hAnsi="Times New Roman" w:cs="Times New Roman"/>
        </w:rPr>
        <w:t xml:space="preserve">is to illumine or to diffuse the light of understanding over sensible forms existing in the imagination or estimation, and in illumining them, to abstract them from all material circumstances, and to join or order the </w:t>
      </w:r>
      <w:r w:rsidR="00E212D3" w:rsidRPr="00A472FC">
        <w:rPr>
          <w:rFonts w:ascii="Times New Roman" w:hAnsi="Times New Roman" w:cs="Times New Roman"/>
        </w:rPr>
        <w:lastRenderedPageBreak/>
        <w:t xml:space="preserve">abstracted forms in the possible intellect, in the way that a species of </w:t>
      </w:r>
      <w:proofErr w:type="spellStart"/>
      <w:r w:rsidR="001C2B1A" w:rsidRPr="00A472FC">
        <w:rPr>
          <w:rFonts w:ascii="Times New Roman" w:hAnsi="Times New Roman" w:cs="Times New Roman"/>
        </w:rPr>
        <w:t>color</w:t>
      </w:r>
      <w:proofErr w:type="spellEnd"/>
      <w:r w:rsidR="001C2B1A" w:rsidRPr="00A472FC">
        <w:rPr>
          <w:rFonts w:ascii="Times New Roman" w:hAnsi="Times New Roman" w:cs="Times New Roman"/>
        </w:rPr>
        <w:t xml:space="preserve"> </w:t>
      </w:r>
      <w:r w:rsidR="00E212D3" w:rsidRPr="00A472FC">
        <w:rPr>
          <w:rFonts w:ascii="Times New Roman" w:hAnsi="Times New Roman" w:cs="Times New Roman"/>
        </w:rPr>
        <w:t xml:space="preserve">is abstracted </w:t>
      </w:r>
      <w:r w:rsidR="001C2B1A" w:rsidRPr="00A472FC">
        <w:rPr>
          <w:rFonts w:ascii="Times New Roman" w:hAnsi="Times New Roman" w:cs="Times New Roman"/>
        </w:rPr>
        <w:t xml:space="preserve">somehow </w:t>
      </w:r>
      <w:r w:rsidR="00E212D3" w:rsidRPr="00A472FC">
        <w:rPr>
          <w:rFonts w:ascii="Times New Roman" w:hAnsi="Times New Roman" w:cs="Times New Roman"/>
        </w:rPr>
        <w:t>and joined to the pupil through the operation of light.’</w:t>
      </w:r>
      <w:r w:rsidR="00E212D3" w:rsidRPr="00A472FC">
        <w:rPr>
          <w:rStyle w:val="FootnoteReference"/>
          <w:rFonts w:ascii="Times New Roman" w:hAnsi="Times New Roman" w:cs="Times New Roman"/>
        </w:rPr>
        <w:footnoteReference w:id="681"/>
      </w:r>
      <w:r w:rsidR="00E212D3" w:rsidRPr="00A472FC">
        <w:rPr>
          <w:rFonts w:ascii="Times New Roman" w:hAnsi="Times New Roman" w:cs="Times New Roman"/>
        </w:rPr>
        <w:t xml:space="preserve"> This ‘light’ seems to be a euphemism for the first principles of knowledge, mentioned by Avicenna</w:t>
      </w:r>
      <w:r w:rsidR="008D20A0" w:rsidRPr="00A472FC">
        <w:rPr>
          <w:rFonts w:ascii="Times New Roman" w:hAnsi="Times New Roman" w:cs="Times New Roman"/>
        </w:rPr>
        <w:t xml:space="preserve"> and, according to </w:t>
      </w:r>
      <w:r w:rsidR="00E212D3" w:rsidRPr="00A472FC">
        <w:rPr>
          <w:rFonts w:ascii="Times New Roman" w:hAnsi="Times New Roman" w:cs="Times New Roman"/>
        </w:rPr>
        <w:t xml:space="preserve">Franciscans, given by God—as a sign of his image—that allow for rendering sense forms intelligible. </w:t>
      </w:r>
      <w:r w:rsidR="00E212D3" w:rsidRPr="00A472FC">
        <w:rPr>
          <w:rFonts w:ascii="Times New Roman" w:hAnsi="Times New Roman" w:cs="Times New Roman"/>
          <w:color w:val="000000" w:themeColor="text1"/>
        </w:rPr>
        <w:t xml:space="preserve">As the DSEA stresses, this light of the agent intellect is naturally impressed in us by God, offering first and foremost an orientation to the first truth, which </w:t>
      </w:r>
      <w:r w:rsidR="00A406F2" w:rsidRPr="00A472FC">
        <w:rPr>
          <w:rFonts w:ascii="Times New Roman" w:hAnsi="Times New Roman" w:cs="Times New Roman"/>
          <w:color w:val="000000" w:themeColor="text1"/>
        </w:rPr>
        <w:t>is God himself</w:t>
      </w:r>
      <w:r w:rsidR="00E212D3" w:rsidRPr="00A472FC">
        <w:rPr>
          <w:rFonts w:ascii="Times New Roman" w:hAnsi="Times New Roman" w:cs="Times New Roman"/>
          <w:color w:val="000000" w:themeColor="text1"/>
        </w:rPr>
        <w:t>.</w:t>
      </w:r>
      <w:r w:rsidR="00E212D3" w:rsidRPr="00A472FC">
        <w:rPr>
          <w:rStyle w:val="FootnoteReference"/>
          <w:rFonts w:ascii="Times New Roman" w:hAnsi="Times New Roman" w:cs="Times New Roman"/>
          <w:color w:val="000000" w:themeColor="text1"/>
        </w:rPr>
        <w:footnoteReference w:id="682"/>
      </w:r>
      <w:r w:rsidR="00E212D3" w:rsidRPr="00A472FC">
        <w:rPr>
          <w:rFonts w:ascii="Times New Roman" w:hAnsi="Times New Roman" w:cs="Times New Roman"/>
          <w:color w:val="000000" w:themeColor="text1"/>
        </w:rPr>
        <w:t xml:space="preserve"> </w:t>
      </w:r>
    </w:p>
    <w:p w14:paraId="64ABAEED" w14:textId="599BD7AC" w:rsidR="00E212D3" w:rsidRPr="00A472FC" w:rsidRDefault="00E212D3" w:rsidP="00E212D3">
      <w:pPr>
        <w:ind w:right="-52"/>
        <w:rPr>
          <w:rFonts w:ascii="Times New Roman" w:hAnsi="Times New Roman" w:cs="Times New Roman"/>
        </w:rPr>
      </w:pPr>
      <w:r w:rsidRPr="00A472FC">
        <w:rPr>
          <w:rFonts w:ascii="Times New Roman" w:hAnsi="Times New Roman" w:cs="Times New Roman"/>
        </w:rPr>
        <w:tab/>
        <w:t xml:space="preserve">Another way John explains the co-operation of the agent and possible intellects refers to syllogistic reasoning. This involves, first, the quiddities or essences of things, that is, the sense forms, and second, the first-known concepts which are the principles of all knowledge, and third, the conclusions that are drawn </w:t>
      </w:r>
      <w:r w:rsidR="00410163" w:rsidRPr="00A472FC">
        <w:rPr>
          <w:rFonts w:ascii="Times New Roman" w:hAnsi="Times New Roman" w:cs="Times New Roman"/>
        </w:rPr>
        <w:t>about sense forms</w:t>
      </w:r>
      <w:r w:rsidRPr="00A472FC">
        <w:rPr>
          <w:rFonts w:ascii="Times New Roman" w:hAnsi="Times New Roman" w:cs="Times New Roman"/>
        </w:rPr>
        <w:t>. For example, one first knows qua quiddities some particular whole and some specific part; second, the self-evident principle that every whole is greater than its part; and third the conclusion and consequence that the whole under consideration is greater than its part.</w:t>
      </w:r>
      <w:r w:rsidRPr="00A472FC">
        <w:rPr>
          <w:rStyle w:val="FootnoteReference"/>
          <w:rFonts w:ascii="Times New Roman" w:hAnsi="Times New Roman" w:cs="Times New Roman"/>
        </w:rPr>
        <w:footnoteReference w:id="683"/>
      </w:r>
      <w:r w:rsidRPr="00A472FC">
        <w:rPr>
          <w:rFonts w:ascii="Times New Roman" w:hAnsi="Times New Roman" w:cs="Times New Roman"/>
        </w:rPr>
        <w:t xml:space="preserve"> </w:t>
      </w:r>
    </w:p>
    <w:p w14:paraId="267F69FC" w14:textId="77777777" w:rsidR="00EA7FCD" w:rsidRPr="00A472FC" w:rsidRDefault="00E212D3" w:rsidP="00EA7FCD">
      <w:pPr>
        <w:ind w:right="-52" w:firstLine="720"/>
        <w:rPr>
          <w:rFonts w:ascii="Times New Roman" w:hAnsi="Times New Roman" w:cs="Times New Roman"/>
        </w:rPr>
      </w:pPr>
      <w:r w:rsidRPr="00A472FC">
        <w:rPr>
          <w:rFonts w:ascii="Times New Roman" w:hAnsi="Times New Roman" w:cs="Times New Roman"/>
        </w:rPr>
        <w:t>This example, it bears noting, is lifted from Anonymous Callus.</w:t>
      </w:r>
      <w:r w:rsidRPr="00A472FC">
        <w:rPr>
          <w:rStyle w:val="FootnoteReference"/>
          <w:rFonts w:ascii="Times New Roman" w:hAnsi="Times New Roman" w:cs="Times New Roman"/>
        </w:rPr>
        <w:footnoteReference w:id="684"/>
      </w:r>
      <w:r w:rsidRPr="00A472FC">
        <w:rPr>
          <w:rFonts w:ascii="Times New Roman" w:hAnsi="Times New Roman" w:cs="Times New Roman"/>
        </w:rPr>
        <w:t xml:space="preserve"> In turn, Anonymous Callus obtained the illustration from Anonymous Gauthier.</w:t>
      </w:r>
      <w:r w:rsidRPr="00A472FC">
        <w:rPr>
          <w:rStyle w:val="FootnoteReference"/>
          <w:rFonts w:ascii="Times New Roman" w:hAnsi="Times New Roman" w:cs="Times New Roman"/>
        </w:rPr>
        <w:footnoteReference w:id="685"/>
      </w:r>
      <w:r w:rsidRPr="00A472FC">
        <w:rPr>
          <w:rFonts w:ascii="Times New Roman" w:hAnsi="Times New Roman" w:cs="Times New Roman"/>
        </w:rPr>
        <w:t xml:space="preserve"> </w:t>
      </w:r>
      <w:r w:rsidR="00CB5B07" w:rsidRPr="00A472FC">
        <w:rPr>
          <w:rFonts w:ascii="Times New Roman" w:hAnsi="Times New Roman" w:cs="Times New Roman"/>
        </w:rPr>
        <w:t xml:space="preserve">As Hasse has shown, however, there is precedent for </w:t>
      </w:r>
      <w:r w:rsidR="00C66E15" w:rsidRPr="00A472FC">
        <w:rPr>
          <w:rFonts w:ascii="Times New Roman" w:hAnsi="Times New Roman" w:cs="Times New Roman"/>
        </w:rPr>
        <w:t>comparing the act of knowing to one of syllogistic reasoning in Avicenna himself, who invokes the Euclidian axiom that the whole is greater than its part as an example of a primary or first known concept that makes it possible to draw conclusions about empirical data.</w:t>
      </w:r>
      <w:r w:rsidR="00F60297" w:rsidRPr="00A472FC">
        <w:rPr>
          <w:rStyle w:val="FootnoteReference"/>
          <w:rFonts w:ascii="Times New Roman" w:hAnsi="Times New Roman" w:cs="Times New Roman"/>
        </w:rPr>
        <w:footnoteReference w:id="686"/>
      </w:r>
      <w:r w:rsidR="00EA7FCD" w:rsidRPr="00A472FC">
        <w:rPr>
          <w:rFonts w:ascii="Times New Roman" w:hAnsi="Times New Roman" w:cs="Times New Roman"/>
        </w:rPr>
        <w:t xml:space="preserve"> </w:t>
      </w:r>
    </w:p>
    <w:p w14:paraId="2962B189" w14:textId="12A6FE8A" w:rsidR="00E212D3" w:rsidRPr="00A472FC" w:rsidRDefault="00E33A00" w:rsidP="00EA7FCD">
      <w:pPr>
        <w:ind w:right="-52" w:firstLine="720"/>
        <w:rPr>
          <w:rFonts w:ascii="Times New Roman" w:hAnsi="Times New Roman" w:cs="Times New Roman"/>
        </w:rPr>
      </w:pPr>
      <w:r w:rsidRPr="00A472FC">
        <w:rPr>
          <w:rFonts w:ascii="Times New Roman" w:hAnsi="Times New Roman" w:cs="Times New Roman"/>
        </w:rPr>
        <w:t>This model confirms again that there</w:t>
      </w:r>
      <w:r w:rsidR="00E212D3" w:rsidRPr="00A472FC">
        <w:rPr>
          <w:rFonts w:ascii="Times New Roman" w:hAnsi="Times New Roman" w:cs="Times New Roman"/>
        </w:rPr>
        <w:t xml:space="preserve"> is a two-fold mode of operation of the possible intellect. The first involves something like induction in which the possible intellect turns to consider the sensible forms. As John insists, the possible intellect can never receive an intelligible form unless it first turns to the phantasms. After the agent intellect considers these forms or quiddities in light of higher principles which are also seemingly stored in the possible intellect, thus obtaining an intelligible form, the possible intellect receives an imprint of it and thus becomes formed. As Anonymous Callus notes, this two-fold reasoning process is obviously not needed for forms that are abstract in themselves, which have already been mentioned. But it is necessary for all forms that can only be abstracted from matter.</w:t>
      </w:r>
      <w:r w:rsidR="00E212D3" w:rsidRPr="00A472FC">
        <w:rPr>
          <w:rStyle w:val="FootnoteReference"/>
          <w:rFonts w:ascii="Times New Roman" w:hAnsi="Times New Roman" w:cs="Times New Roman"/>
        </w:rPr>
        <w:footnoteReference w:id="687"/>
      </w:r>
    </w:p>
    <w:p w14:paraId="4A419CC6" w14:textId="77777777" w:rsidR="00E212D3" w:rsidRPr="00A472FC" w:rsidRDefault="00E212D3" w:rsidP="00E212D3">
      <w:pPr>
        <w:ind w:right="-52" w:firstLine="720"/>
        <w:rPr>
          <w:rFonts w:ascii="Times New Roman" w:hAnsi="Times New Roman" w:cs="Times New Roman"/>
        </w:rPr>
      </w:pPr>
    </w:p>
    <w:p w14:paraId="5228471F" w14:textId="77777777" w:rsidR="00E212D3" w:rsidRPr="00A472FC" w:rsidRDefault="00E212D3" w:rsidP="00E212D3">
      <w:pPr>
        <w:ind w:right="-52"/>
        <w:rPr>
          <w:rFonts w:ascii="Times New Roman" w:hAnsi="Times New Roman" w:cs="Times New Roman"/>
        </w:rPr>
      </w:pPr>
      <w:r w:rsidRPr="00A472FC">
        <w:rPr>
          <w:rFonts w:ascii="Times New Roman" w:hAnsi="Times New Roman" w:cs="Times New Roman"/>
        </w:rPr>
        <w:t>Inferior and Superior Reason</w:t>
      </w:r>
    </w:p>
    <w:p w14:paraId="6E3D5F61" w14:textId="77777777" w:rsidR="00E212D3" w:rsidRPr="00A472FC" w:rsidRDefault="00E212D3" w:rsidP="00E212D3">
      <w:pPr>
        <w:ind w:right="-52"/>
        <w:rPr>
          <w:rFonts w:ascii="Times New Roman" w:hAnsi="Times New Roman" w:cs="Times New Roman"/>
        </w:rPr>
      </w:pPr>
    </w:p>
    <w:p w14:paraId="4380F464" w14:textId="7777777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Next, John turns to consider the division between superior and inferior reason that Augustine mentions in DSEA 4.</w:t>
      </w:r>
      <w:r w:rsidRPr="00A472FC">
        <w:rPr>
          <w:rStyle w:val="FootnoteReference"/>
          <w:rFonts w:ascii="Times New Roman" w:hAnsi="Times New Roman" w:cs="Times New Roman"/>
        </w:rPr>
        <w:footnoteReference w:id="688"/>
      </w:r>
      <w:r w:rsidRPr="00A472FC">
        <w:rPr>
          <w:rFonts w:ascii="Times New Roman" w:hAnsi="Times New Roman" w:cs="Times New Roman"/>
        </w:rPr>
        <w:t xml:space="preserve"> The superior reason knows uncreated truth as the image or species of the Trinity is impressed upon it from creation. This image consists in the triad of memory, understanding, and will, which Augustine mentions in </w:t>
      </w:r>
      <w:r w:rsidRPr="00A472FC">
        <w:rPr>
          <w:rFonts w:ascii="Times New Roman" w:hAnsi="Times New Roman" w:cs="Times New Roman"/>
          <w:i/>
        </w:rPr>
        <w:t xml:space="preserve">De </w:t>
      </w:r>
      <w:proofErr w:type="spellStart"/>
      <w:r w:rsidRPr="00A472FC">
        <w:rPr>
          <w:rFonts w:ascii="Times New Roman" w:hAnsi="Times New Roman" w:cs="Times New Roman"/>
          <w:i/>
        </w:rPr>
        <w:t>Trinitate</w:t>
      </w:r>
      <w:proofErr w:type="spellEnd"/>
      <w:r w:rsidRPr="00A472FC">
        <w:rPr>
          <w:rFonts w:ascii="Times New Roman" w:hAnsi="Times New Roman" w:cs="Times New Roman"/>
          <w:i/>
        </w:rPr>
        <w:t>.</w:t>
      </w:r>
      <w:r w:rsidRPr="00A472FC">
        <w:rPr>
          <w:rStyle w:val="FootnoteReference"/>
          <w:rFonts w:ascii="Times New Roman" w:hAnsi="Times New Roman" w:cs="Times New Roman"/>
        </w:rPr>
        <w:footnoteReference w:id="689"/>
      </w:r>
      <w:r w:rsidRPr="00A472FC">
        <w:rPr>
          <w:rFonts w:ascii="Times New Roman" w:hAnsi="Times New Roman" w:cs="Times New Roman"/>
          <w:i/>
        </w:rPr>
        <w:t xml:space="preserve"> </w:t>
      </w:r>
      <w:r w:rsidRPr="00A472FC">
        <w:rPr>
          <w:rFonts w:ascii="Times New Roman" w:hAnsi="Times New Roman" w:cs="Times New Roman"/>
        </w:rPr>
        <w:t xml:space="preserve">As John elaborates, memory is the power that conserves or retains the likeness of the first truth that is </w:t>
      </w:r>
      <w:r w:rsidRPr="00A472FC">
        <w:rPr>
          <w:rFonts w:ascii="Times New Roman" w:hAnsi="Times New Roman" w:cs="Times New Roman"/>
        </w:rPr>
        <w:lastRenderedPageBreak/>
        <w:t>inserted at creation; intelligence contemplates the first truth through the impressed likeness of the truth that is present creation, presumably consisting in the aforementioned principles of knowledge; and the will loves the first truth through an appetite for it that is fixed in it from creation. Another way of distinguishing the three faculties, outlined in DSEA 35, is this.</w:t>
      </w:r>
    </w:p>
    <w:p w14:paraId="452C6663" w14:textId="617B259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 First, memory is the power of the superior intellect by which the rational creature can know its efficient principle, and by the same token become conscious that it did not always exist; intelligence is the impressed power of the superior intellect by which the rational soul is able to know that the first truth is present to it, as an exemplar cause of all knowledge. Finally, the will is the superior intellect’s power by which the soul is inclined to the first truth as to its end. As the aforementioned discussion suggests, the superior intellect is the means by which we </w:t>
      </w:r>
      <w:proofErr w:type="spellStart"/>
      <w:r w:rsidRPr="00A472FC">
        <w:rPr>
          <w:rFonts w:ascii="Times New Roman" w:hAnsi="Times New Roman" w:cs="Times New Roman"/>
        </w:rPr>
        <w:t>utili</w:t>
      </w:r>
      <w:r w:rsidR="001F0998" w:rsidRPr="00A472FC">
        <w:rPr>
          <w:rFonts w:ascii="Times New Roman" w:hAnsi="Times New Roman" w:cs="Times New Roman"/>
        </w:rPr>
        <w:t>z</w:t>
      </w:r>
      <w:r w:rsidRPr="00A472FC">
        <w:rPr>
          <w:rFonts w:ascii="Times New Roman" w:hAnsi="Times New Roman" w:cs="Times New Roman"/>
        </w:rPr>
        <w:t>e</w:t>
      </w:r>
      <w:proofErr w:type="spellEnd"/>
      <w:r w:rsidRPr="00A472FC">
        <w:rPr>
          <w:rFonts w:ascii="Times New Roman" w:hAnsi="Times New Roman" w:cs="Times New Roman"/>
        </w:rPr>
        <w:t xml:space="preserve"> the first principles of all knowledge, such as that the whole is greater than a part. These are innate or in us by nature; they are a likeness to the first truth, indeed, the image of God, through which we are able to discover truth in the world. So construed, the superior intellect is the same in substance as the agent intellect, while the inferior power of the intellect is the possible intellect, by which we engage in four activities: the search for truth, judgement about what is true, the retainment of what is true in the memory, and the interpretation or application of knowledge. </w:t>
      </w:r>
    </w:p>
    <w:p w14:paraId="5360B76F" w14:textId="77777777" w:rsidR="00E212D3" w:rsidRPr="00A472FC" w:rsidRDefault="00E212D3" w:rsidP="00E212D3">
      <w:pPr>
        <w:ind w:right="-52" w:firstLine="720"/>
        <w:rPr>
          <w:rFonts w:ascii="Times New Roman" w:hAnsi="Times New Roman" w:cs="Times New Roman"/>
        </w:rPr>
      </w:pPr>
    </w:p>
    <w:p w14:paraId="127CAA8B" w14:textId="77777777" w:rsidR="00461B34" w:rsidRPr="00A472FC" w:rsidRDefault="00461B34" w:rsidP="00461B34">
      <w:pPr>
        <w:ind w:right="-52"/>
        <w:rPr>
          <w:rFonts w:ascii="Times New Roman" w:hAnsi="Times New Roman" w:cs="Times New Roman"/>
          <w:u w:val="single"/>
        </w:rPr>
      </w:pPr>
      <w:r w:rsidRPr="00A472FC">
        <w:rPr>
          <w:rFonts w:ascii="Times New Roman" w:hAnsi="Times New Roman" w:cs="Times New Roman"/>
          <w:u w:val="single"/>
        </w:rPr>
        <w:t>The Division of the Powers in the Doctors</w:t>
      </w:r>
    </w:p>
    <w:p w14:paraId="53A755F6" w14:textId="77777777" w:rsidR="00461B34" w:rsidRPr="00A472FC" w:rsidRDefault="00461B34" w:rsidP="00461B34">
      <w:pPr>
        <w:ind w:right="-52" w:firstLine="720"/>
        <w:rPr>
          <w:rFonts w:ascii="Times New Roman" w:hAnsi="Times New Roman" w:cs="Times New Roman"/>
        </w:rPr>
      </w:pPr>
    </w:p>
    <w:p w14:paraId="55999270" w14:textId="1033C39E" w:rsidR="00461B34" w:rsidRPr="00A472FC" w:rsidRDefault="00461B34" w:rsidP="00461B34">
      <w:pPr>
        <w:ind w:right="-52" w:firstLine="720"/>
        <w:rPr>
          <w:rFonts w:ascii="Times New Roman" w:hAnsi="Times New Roman" w:cs="Times New Roman"/>
        </w:rPr>
      </w:pPr>
      <w:r w:rsidRPr="00A472FC">
        <w:rPr>
          <w:rFonts w:ascii="Times New Roman" w:hAnsi="Times New Roman" w:cs="Times New Roman"/>
        </w:rPr>
        <w:t xml:space="preserve">The next major section of John’s work treats the division of the powers of the soul according to the doctors, first and foremost, </w:t>
      </w:r>
      <w:proofErr w:type="spellStart"/>
      <w:r w:rsidRPr="00A472FC">
        <w:rPr>
          <w:rFonts w:ascii="Times New Roman" w:hAnsi="Times New Roman" w:cs="Times New Roman"/>
        </w:rPr>
        <w:t>Johannitius</w:t>
      </w:r>
      <w:proofErr w:type="spellEnd"/>
      <w:r w:rsidRPr="00A472FC">
        <w:rPr>
          <w:rFonts w:ascii="Times New Roman" w:hAnsi="Times New Roman" w:cs="Times New Roman"/>
        </w:rPr>
        <w:t>, and secondly, Avicenna in his book of medicine.</w:t>
      </w:r>
      <w:r w:rsidRPr="00A472FC">
        <w:rPr>
          <w:rStyle w:val="FootnoteReference"/>
          <w:rFonts w:ascii="Times New Roman" w:hAnsi="Times New Roman" w:cs="Times New Roman"/>
        </w:rPr>
        <w:footnoteReference w:id="690"/>
      </w:r>
      <w:r w:rsidRPr="00A472FC">
        <w:rPr>
          <w:rFonts w:ascii="Times New Roman" w:hAnsi="Times New Roman" w:cs="Times New Roman"/>
        </w:rPr>
        <w:t xml:space="preserve"> According to </w:t>
      </w:r>
      <w:proofErr w:type="spellStart"/>
      <w:r w:rsidRPr="00A472FC">
        <w:rPr>
          <w:rFonts w:ascii="Times New Roman" w:hAnsi="Times New Roman" w:cs="Times New Roman"/>
        </w:rPr>
        <w:t>Johannitius</w:t>
      </w:r>
      <w:proofErr w:type="spellEnd"/>
      <w:r w:rsidRPr="00A472FC">
        <w:rPr>
          <w:rFonts w:ascii="Times New Roman" w:hAnsi="Times New Roman" w:cs="Times New Roman"/>
        </w:rPr>
        <w:t>, John states, the powers of the soul are initially divided into three: the natural, spiritual and animal.</w:t>
      </w:r>
      <w:r w:rsidRPr="00A472FC">
        <w:rPr>
          <w:rStyle w:val="FootnoteReference"/>
          <w:rFonts w:ascii="Times New Roman" w:hAnsi="Times New Roman" w:cs="Times New Roman"/>
        </w:rPr>
        <w:footnoteReference w:id="691"/>
      </w:r>
      <w:r w:rsidRPr="00A472FC">
        <w:rPr>
          <w:rFonts w:ascii="Times New Roman" w:hAnsi="Times New Roman" w:cs="Times New Roman"/>
        </w:rPr>
        <w:t xml:space="preserve"> These powers are also called ‘spirits’ which are respectively associated with the liver, heart, and brain. The natural power itself is threefold: one is administered but does not itself minister; another is administered and ministers; and another ministers and is not administered. The natural power which is administered and does not minister is the generative. The one that ministers and is also administered is two-fold: nutritive and augmentative. The natural power that ministers only is fourfold: appetitive, retentive, digestive and </w:t>
      </w:r>
      <w:proofErr w:type="spellStart"/>
      <w:r w:rsidRPr="00A472FC">
        <w:rPr>
          <w:rFonts w:ascii="Times New Roman" w:hAnsi="Times New Roman" w:cs="Times New Roman"/>
        </w:rPr>
        <w:t>explusive</w:t>
      </w:r>
      <w:proofErr w:type="spellEnd"/>
      <w:r w:rsidRPr="00A472FC">
        <w:rPr>
          <w:rFonts w:ascii="Times New Roman" w:hAnsi="Times New Roman" w:cs="Times New Roman"/>
        </w:rPr>
        <w:t>.</w:t>
      </w:r>
    </w:p>
    <w:p w14:paraId="7F93A4E1" w14:textId="4279165D" w:rsidR="00461B34" w:rsidRPr="00A472FC" w:rsidRDefault="00461B34" w:rsidP="00461B34">
      <w:pPr>
        <w:ind w:right="-52" w:firstLine="720"/>
        <w:rPr>
          <w:rFonts w:ascii="Times New Roman" w:hAnsi="Times New Roman" w:cs="Times New Roman"/>
        </w:rPr>
      </w:pPr>
      <w:r w:rsidRPr="00A472FC">
        <w:rPr>
          <w:rFonts w:ascii="Times New Roman" w:hAnsi="Times New Roman" w:cs="Times New Roman"/>
        </w:rPr>
        <w:t>The next two powers or ‘spirits’ include the vital, which is responsible for the dilation and constriction of the arteries which cause the beating of the heart and the actual enlivenment of the body.</w:t>
      </w:r>
      <w:r w:rsidRPr="00A472FC">
        <w:rPr>
          <w:rStyle w:val="FootnoteReference"/>
          <w:rFonts w:ascii="Times New Roman" w:hAnsi="Times New Roman" w:cs="Times New Roman"/>
        </w:rPr>
        <w:footnoteReference w:id="692"/>
      </w:r>
      <w:r w:rsidRPr="00A472FC">
        <w:rPr>
          <w:rFonts w:ascii="Times New Roman" w:hAnsi="Times New Roman" w:cs="Times New Roman"/>
        </w:rPr>
        <w:t xml:space="preserve"> The other, animal, spirit has both a cognitive and a motive part, which will be discussed later. As for the cognitive part, it involves not only the five senses but </w:t>
      </w:r>
      <w:r w:rsidR="008B023D" w:rsidRPr="00A472FC">
        <w:rPr>
          <w:rFonts w:ascii="Times New Roman" w:hAnsi="Times New Roman" w:cs="Times New Roman"/>
        </w:rPr>
        <w:t xml:space="preserve">also </w:t>
      </w:r>
      <w:r w:rsidRPr="00A472FC">
        <w:rPr>
          <w:rFonts w:ascii="Times New Roman" w:hAnsi="Times New Roman" w:cs="Times New Roman"/>
        </w:rPr>
        <w:t>the apprehensive powers that are situated in the front, middle, and back of the brain, namely, imagination, reason, and memory.</w:t>
      </w:r>
      <w:r w:rsidRPr="00A472FC">
        <w:rPr>
          <w:rStyle w:val="FootnoteReference"/>
          <w:rFonts w:ascii="Times New Roman" w:hAnsi="Times New Roman" w:cs="Times New Roman"/>
        </w:rPr>
        <w:footnoteReference w:id="693"/>
      </w:r>
      <w:r w:rsidRPr="00A472FC">
        <w:rPr>
          <w:rFonts w:ascii="Times New Roman" w:hAnsi="Times New Roman" w:cs="Times New Roman"/>
        </w:rPr>
        <w:t xml:space="preserve">  Regarding these spirits, John next notes that Avicenna in his book of medicine also describes three of them, associating the natural with the liver, the vital with the heart, and the animal with the brain.</w:t>
      </w:r>
      <w:r w:rsidRPr="00A472FC">
        <w:rPr>
          <w:rStyle w:val="FootnoteReference"/>
          <w:rFonts w:ascii="Times New Roman" w:hAnsi="Times New Roman" w:cs="Times New Roman"/>
        </w:rPr>
        <w:footnoteReference w:id="694"/>
      </w:r>
      <w:r w:rsidRPr="00A472FC">
        <w:rPr>
          <w:rFonts w:ascii="Times New Roman" w:hAnsi="Times New Roman" w:cs="Times New Roman"/>
        </w:rPr>
        <w:t xml:space="preserve"> However he attributes primacy to the vital spirit associated with the heart, which is essential for the operation of the others. </w:t>
      </w:r>
    </w:p>
    <w:p w14:paraId="0C517F3D" w14:textId="4AD1DD93" w:rsidR="00461B34" w:rsidRPr="00A472FC" w:rsidRDefault="00461B34" w:rsidP="00461B34">
      <w:pPr>
        <w:ind w:right="-52" w:firstLine="720"/>
        <w:rPr>
          <w:rFonts w:ascii="Times New Roman" w:hAnsi="Times New Roman" w:cs="Times New Roman"/>
        </w:rPr>
      </w:pPr>
      <w:r w:rsidRPr="00A472FC">
        <w:rPr>
          <w:rFonts w:ascii="Times New Roman" w:hAnsi="Times New Roman" w:cs="Times New Roman"/>
        </w:rPr>
        <w:t>This observation brings John to a discussion of the other medical powers of the soul discussed by Avicenna in his book of medicine and specifically the three-fold natural powers already outlined above.</w:t>
      </w:r>
      <w:r w:rsidRPr="00A472FC">
        <w:rPr>
          <w:rStyle w:val="FootnoteReference"/>
          <w:rFonts w:ascii="Times New Roman" w:hAnsi="Times New Roman" w:cs="Times New Roman"/>
        </w:rPr>
        <w:footnoteReference w:id="695"/>
      </w:r>
      <w:r w:rsidRPr="00A472FC">
        <w:rPr>
          <w:rFonts w:ascii="Times New Roman" w:hAnsi="Times New Roman" w:cs="Times New Roman"/>
        </w:rPr>
        <w:t xml:space="preserve"> Next in the order of inquiry is Avicenna’s account in the </w:t>
      </w:r>
      <w:r w:rsidRPr="00A472FC">
        <w:rPr>
          <w:rFonts w:ascii="Times New Roman" w:hAnsi="Times New Roman" w:cs="Times New Roman"/>
          <w:i/>
          <w:iCs/>
        </w:rPr>
        <w:t xml:space="preserve">Canon of </w:t>
      </w:r>
      <w:r w:rsidR="00424B3E" w:rsidRPr="00A472FC">
        <w:rPr>
          <w:rFonts w:ascii="Times New Roman" w:hAnsi="Times New Roman" w:cs="Times New Roman"/>
          <w:i/>
          <w:iCs/>
        </w:rPr>
        <w:lastRenderedPageBreak/>
        <w:t>M</w:t>
      </w:r>
      <w:r w:rsidRPr="00A472FC">
        <w:rPr>
          <w:rFonts w:ascii="Times New Roman" w:hAnsi="Times New Roman" w:cs="Times New Roman"/>
          <w:i/>
          <w:iCs/>
        </w:rPr>
        <w:t xml:space="preserve">edicine </w:t>
      </w:r>
      <w:r w:rsidRPr="00A472FC">
        <w:rPr>
          <w:rFonts w:ascii="Times New Roman" w:hAnsi="Times New Roman" w:cs="Times New Roman"/>
        </w:rPr>
        <w:t>concerning the vital and animal powers, which as noted already are allocated to the three lobes of the brain, but in the case of Avicenna there are not just three but five internal senses which are involved in the apprehension of sense objects</w:t>
      </w:r>
      <w:r w:rsidR="001C4562" w:rsidRPr="00A472FC">
        <w:rPr>
          <w:rFonts w:ascii="Times New Roman" w:hAnsi="Times New Roman" w:cs="Times New Roman"/>
        </w:rPr>
        <w:t xml:space="preserve"> which were previously discussed.</w:t>
      </w:r>
      <w:r w:rsidRPr="00A472FC">
        <w:rPr>
          <w:rStyle w:val="FootnoteReference"/>
          <w:rFonts w:ascii="Times New Roman" w:hAnsi="Times New Roman" w:cs="Times New Roman"/>
        </w:rPr>
        <w:footnoteReference w:id="696"/>
      </w:r>
      <w:r w:rsidRPr="00A472FC">
        <w:rPr>
          <w:rFonts w:ascii="Times New Roman" w:hAnsi="Times New Roman" w:cs="Times New Roman"/>
        </w:rPr>
        <w:t xml:space="preserve"> </w:t>
      </w:r>
    </w:p>
    <w:p w14:paraId="47C6B080" w14:textId="77777777" w:rsidR="00461B34" w:rsidRPr="00A472FC" w:rsidRDefault="00461B34" w:rsidP="00E212D3">
      <w:pPr>
        <w:ind w:right="-52"/>
        <w:rPr>
          <w:rFonts w:ascii="Times New Roman" w:hAnsi="Times New Roman" w:cs="Times New Roman"/>
          <w:u w:val="single"/>
        </w:rPr>
      </w:pPr>
    </w:p>
    <w:p w14:paraId="406A0480" w14:textId="2D8AFADD" w:rsidR="00E212D3" w:rsidRPr="00A472FC" w:rsidRDefault="00E212D3" w:rsidP="00E212D3">
      <w:pPr>
        <w:ind w:right="-52"/>
        <w:rPr>
          <w:rFonts w:ascii="Times New Roman" w:hAnsi="Times New Roman" w:cs="Times New Roman"/>
          <w:u w:val="single"/>
        </w:rPr>
      </w:pPr>
      <w:r w:rsidRPr="00A472FC">
        <w:rPr>
          <w:rFonts w:ascii="Times New Roman" w:hAnsi="Times New Roman" w:cs="Times New Roman"/>
          <w:u w:val="single"/>
        </w:rPr>
        <w:t>The Division of Powers in John of Damascus</w:t>
      </w:r>
    </w:p>
    <w:p w14:paraId="3E3B80E9" w14:textId="77777777" w:rsidR="00E212D3" w:rsidRPr="00A472FC" w:rsidRDefault="00E212D3" w:rsidP="00E212D3">
      <w:pPr>
        <w:ind w:right="-52" w:firstLine="720"/>
        <w:rPr>
          <w:rFonts w:ascii="Times New Roman" w:hAnsi="Times New Roman" w:cs="Times New Roman"/>
        </w:rPr>
      </w:pPr>
    </w:p>
    <w:p w14:paraId="0BCD3F64" w14:textId="601DFF38"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After considering the division of powers according to philosophers and the doctors, </w:t>
      </w:r>
      <w:r w:rsidR="006366A7" w:rsidRPr="00A472FC">
        <w:rPr>
          <w:rFonts w:ascii="Times New Roman" w:hAnsi="Times New Roman" w:cs="Times New Roman"/>
        </w:rPr>
        <w:t xml:space="preserve">John of La </w:t>
      </w:r>
      <w:r w:rsidRPr="00A472FC">
        <w:rPr>
          <w:rFonts w:ascii="Times New Roman" w:hAnsi="Times New Roman" w:cs="Times New Roman"/>
        </w:rPr>
        <w:t>Rochelle turns to look at the division of John of Damascus, who in his view counts as both a philosopher and a doctor and a theologian.</w:t>
      </w:r>
      <w:r w:rsidRPr="00A472FC">
        <w:rPr>
          <w:rStyle w:val="FootnoteReference"/>
          <w:rFonts w:ascii="Times New Roman" w:hAnsi="Times New Roman" w:cs="Times New Roman"/>
        </w:rPr>
        <w:footnoteReference w:id="697"/>
      </w:r>
      <w:r w:rsidRPr="00A472FC">
        <w:rPr>
          <w:rFonts w:ascii="Times New Roman" w:hAnsi="Times New Roman" w:cs="Times New Roman"/>
        </w:rPr>
        <w:t xml:space="preserve"> After all, the Damascene also talks about the three vegetable powers—nutritive, augmentative, and generative—if only very briefly.</w:t>
      </w:r>
      <w:r w:rsidRPr="00A472FC">
        <w:rPr>
          <w:rStyle w:val="FootnoteReference"/>
          <w:rFonts w:ascii="Times New Roman" w:hAnsi="Times New Roman" w:cs="Times New Roman"/>
        </w:rPr>
        <w:footnoteReference w:id="698"/>
      </w:r>
      <w:r w:rsidRPr="00A472FC">
        <w:rPr>
          <w:rFonts w:ascii="Times New Roman" w:hAnsi="Times New Roman" w:cs="Times New Roman"/>
        </w:rPr>
        <w:t xml:space="preserve"> The nutritive powers are further divided according to the appetitive, digestive, retentive, and expulsive.</w:t>
      </w:r>
      <w:r w:rsidRPr="00A472FC">
        <w:rPr>
          <w:rStyle w:val="FootnoteReference"/>
          <w:rFonts w:ascii="Times New Roman" w:hAnsi="Times New Roman" w:cs="Times New Roman"/>
        </w:rPr>
        <w:footnoteReference w:id="699"/>
      </w:r>
      <w:r w:rsidRPr="00A472FC">
        <w:rPr>
          <w:rFonts w:ascii="Times New Roman" w:hAnsi="Times New Roman" w:cs="Times New Roman"/>
        </w:rPr>
        <w:t xml:space="preserve"> According to Damascus, we have seen that the soul has two kinds of powers, cognitive and appetitive.</w:t>
      </w:r>
      <w:r w:rsidRPr="00A472FC">
        <w:rPr>
          <w:rStyle w:val="FootnoteReference"/>
          <w:rFonts w:ascii="Times New Roman" w:hAnsi="Times New Roman" w:cs="Times New Roman"/>
        </w:rPr>
        <w:footnoteReference w:id="700"/>
      </w:r>
      <w:r w:rsidRPr="00A472FC">
        <w:rPr>
          <w:rFonts w:ascii="Times New Roman" w:hAnsi="Times New Roman" w:cs="Times New Roman"/>
        </w:rPr>
        <w:t xml:space="preserve"> The cognitive powers include the intellect, mind, opinion, imagination, and sense;</w:t>
      </w:r>
      <w:r w:rsidRPr="00A472FC">
        <w:rPr>
          <w:rStyle w:val="FootnoteReference"/>
          <w:rFonts w:ascii="Times New Roman" w:hAnsi="Times New Roman" w:cs="Times New Roman"/>
        </w:rPr>
        <w:footnoteReference w:id="701"/>
      </w:r>
      <w:r w:rsidRPr="00A472FC">
        <w:rPr>
          <w:rFonts w:ascii="Times New Roman" w:hAnsi="Times New Roman" w:cs="Times New Roman"/>
        </w:rPr>
        <w:t xml:space="preserve"> the appetitive, which will be dealt with in a separate chapter, are counsel and election or choice. </w:t>
      </w:r>
    </w:p>
    <w:p w14:paraId="5C05A383" w14:textId="3EB9EDAB" w:rsidR="00E212D3" w:rsidRPr="00A472FC" w:rsidRDefault="00E212D3" w:rsidP="00E212D3">
      <w:pPr>
        <w:autoSpaceDE w:val="0"/>
        <w:autoSpaceDN w:val="0"/>
        <w:adjustRightInd w:val="0"/>
        <w:ind w:right="-52" w:firstLine="720"/>
        <w:rPr>
          <w:rFonts w:ascii="Times New Roman" w:hAnsi="Times New Roman" w:cs="Times New Roman"/>
          <w:kern w:val="1"/>
          <w:lang w:val="en-US"/>
        </w:rPr>
      </w:pPr>
      <w:r w:rsidRPr="00A472FC">
        <w:rPr>
          <w:rFonts w:ascii="Times New Roman" w:hAnsi="Times New Roman" w:cs="Times New Roman"/>
        </w:rPr>
        <w:t>The senses include the five external senses which John enumerates as sight, hearing, smell, taste, and touch.</w:t>
      </w:r>
      <w:r w:rsidRPr="00A472FC">
        <w:rPr>
          <w:rStyle w:val="FootnoteReference"/>
          <w:rFonts w:ascii="Times New Roman" w:hAnsi="Times New Roman" w:cs="Times New Roman"/>
        </w:rPr>
        <w:footnoteReference w:id="702"/>
      </w:r>
      <w:r w:rsidRPr="00A472FC">
        <w:rPr>
          <w:rFonts w:ascii="Times New Roman" w:hAnsi="Times New Roman" w:cs="Times New Roman"/>
        </w:rPr>
        <w:t xml:space="preserve"> Next is imagination, which is an interior sense </w:t>
      </w:r>
      <w:r w:rsidRPr="00A472FC">
        <w:rPr>
          <w:rFonts w:ascii="Times New Roman" w:hAnsi="Times New Roman" w:cs="Times New Roman"/>
          <w:kern w:val="1"/>
          <w:lang w:val="en-US"/>
        </w:rPr>
        <w:t>which makes understood that which comes to it from the exterior senses</w:t>
      </w:r>
      <w:r w:rsidRPr="00A472FC">
        <w:rPr>
          <w:rFonts w:ascii="Times New Roman" w:hAnsi="Times New Roman" w:cs="Times New Roman"/>
        </w:rPr>
        <w:t>.</w:t>
      </w:r>
      <w:r w:rsidRPr="00A472FC">
        <w:rPr>
          <w:rStyle w:val="FootnoteReference"/>
          <w:rFonts w:ascii="Times New Roman" w:hAnsi="Times New Roman" w:cs="Times New Roman"/>
        </w:rPr>
        <w:footnoteReference w:id="703"/>
      </w:r>
      <w:r w:rsidRPr="00A472FC">
        <w:rPr>
          <w:rFonts w:ascii="Times New Roman" w:hAnsi="Times New Roman" w:cs="Times New Roman"/>
        </w:rPr>
        <w:t xml:space="preserve"> As Augustine says in DSEA 22, so Rochelle notes that this sense is located in the back of the brain, which has nerves which </w:t>
      </w:r>
      <w:r w:rsidR="00AF481B" w:rsidRPr="00A472FC">
        <w:rPr>
          <w:rFonts w:ascii="Times New Roman" w:hAnsi="Times New Roman" w:cs="Times New Roman"/>
        </w:rPr>
        <w:t>connect to</w:t>
      </w:r>
      <w:r w:rsidRPr="00A472FC">
        <w:rPr>
          <w:rFonts w:ascii="Times New Roman" w:hAnsi="Times New Roman" w:cs="Times New Roman"/>
        </w:rPr>
        <w:t xml:space="preserve"> the organs of the exterior senses.</w:t>
      </w:r>
      <w:r w:rsidRPr="00A472FC">
        <w:rPr>
          <w:rStyle w:val="FootnoteReference"/>
          <w:rFonts w:ascii="Times New Roman" w:hAnsi="Times New Roman" w:cs="Times New Roman"/>
        </w:rPr>
        <w:footnoteReference w:id="704"/>
      </w:r>
      <w:r w:rsidRPr="00A472FC">
        <w:rPr>
          <w:rFonts w:ascii="Times New Roman" w:hAnsi="Times New Roman" w:cs="Times New Roman"/>
        </w:rPr>
        <w:t xml:space="preserve"> Opinion is the power of making judgements about sensible experiences, which Damascus also calls </w:t>
      </w:r>
      <w:proofErr w:type="spellStart"/>
      <w:r w:rsidRPr="00A472FC">
        <w:rPr>
          <w:rFonts w:ascii="Times New Roman" w:hAnsi="Times New Roman" w:cs="Times New Roman"/>
        </w:rPr>
        <w:t>excogitative</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705"/>
      </w:r>
      <w:r w:rsidRPr="00A472FC">
        <w:rPr>
          <w:rFonts w:ascii="Times New Roman" w:hAnsi="Times New Roman" w:cs="Times New Roman"/>
        </w:rPr>
        <w:t xml:space="preserve"> According to Damascus, it is based in the centre or middle of the brain, </w:t>
      </w:r>
      <w:r w:rsidRPr="00A472FC">
        <w:rPr>
          <w:rFonts w:ascii="Times New Roman" w:hAnsi="Times New Roman" w:cs="Times New Roman"/>
          <w:kern w:val="1"/>
          <w:lang w:val="en-US"/>
        </w:rPr>
        <w:t>which judges the forms absent matter that are produced by the imagination.</w:t>
      </w:r>
      <w:r w:rsidRPr="00A472FC">
        <w:rPr>
          <w:rStyle w:val="FootnoteReference"/>
          <w:rFonts w:ascii="Times New Roman" w:hAnsi="Times New Roman" w:cs="Times New Roman"/>
          <w:kern w:val="1"/>
          <w:lang w:val="en-US"/>
        </w:rPr>
        <w:footnoteReference w:id="706"/>
      </w:r>
      <w:r w:rsidRPr="00A472FC">
        <w:rPr>
          <w:rFonts w:ascii="Times New Roman" w:hAnsi="Times New Roman" w:cs="Times New Roman"/>
          <w:kern w:val="1"/>
          <w:lang w:val="en-US"/>
        </w:rPr>
        <w:t xml:space="preserve"> </w:t>
      </w:r>
    </w:p>
    <w:p w14:paraId="5F5EBDAB" w14:textId="2D4A73A0"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As Rochelle </w:t>
      </w:r>
      <w:proofErr w:type="spellStart"/>
      <w:r w:rsidRPr="00A472FC">
        <w:rPr>
          <w:rFonts w:ascii="Times New Roman" w:hAnsi="Times New Roman" w:cs="Times New Roman"/>
        </w:rPr>
        <w:t>summarizes</w:t>
      </w:r>
      <w:proofErr w:type="spellEnd"/>
      <w:r w:rsidRPr="00A472FC">
        <w:rPr>
          <w:rFonts w:ascii="Times New Roman" w:hAnsi="Times New Roman" w:cs="Times New Roman"/>
        </w:rPr>
        <w:t xml:space="preserve">: ‘the exterior senses comprehend a </w:t>
      </w:r>
      <w:r w:rsidR="002221C0" w:rsidRPr="00A472FC">
        <w:rPr>
          <w:rFonts w:ascii="Times New Roman" w:hAnsi="Times New Roman" w:cs="Times New Roman"/>
        </w:rPr>
        <w:t xml:space="preserve">simple </w:t>
      </w:r>
      <w:r w:rsidRPr="00A472FC">
        <w:rPr>
          <w:rFonts w:ascii="Times New Roman" w:hAnsi="Times New Roman" w:cs="Times New Roman"/>
        </w:rPr>
        <w:t xml:space="preserve">species present in matter, the imaginative comprehends a </w:t>
      </w:r>
      <w:r w:rsidR="00986825" w:rsidRPr="00A472FC">
        <w:rPr>
          <w:rFonts w:ascii="Times New Roman" w:hAnsi="Times New Roman" w:cs="Times New Roman"/>
        </w:rPr>
        <w:t xml:space="preserve">simple </w:t>
      </w:r>
      <w:r w:rsidRPr="00A472FC">
        <w:rPr>
          <w:rFonts w:ascii="Times New Roman" w:hAnsi="Times New Roman" w:cs="Times New Roman"/>
        </w:rPr>
        <w:t xml:space="preserve">form absent from matter, and the </w:t>
      </w:r>
      <w:proofErr w:type="spellStart"/>
      <w:r w:rsidRPr="00A472FC">
        <w:rPr>
          <w:rFonts w:ascii="Times New Roman" w:hAnsi="Times New Roman" w:cs="Times New Roman"/>
        </w:rPr>
        <w:t>excogitative</w:t>
      </w:r>
      <w:proofErr w:type="spellEnd"/>
      <w:r w:rsidRPr="00A472FC">
        <w:rPr>
          <w:rFonts w:ascii="Times New Roman" w:hAnsi="Times New Roman" w:cs="Times New Roman"/>
        </w:rPr>
        <w:t xml:space="preserve"> power or opinion judges them.’</w:t>
      </w:r>
      <w:r w:rsidRPr="00A472FC">
        <w:rPr>
          <w:rStyle w:val="FootnoteReference"/>
          <w:rFonts w:ascii="Times New Roman" w:hAnsi="Times New Roman" w:cs="Times New Roman"/>
        </w:rPr>
        <w:footnoteReference w:id="707"/>
      </w:r>
      <w:r w:rsidRPr="00A472FC">
        <w:rPr>
          <w:rFonts w:ascii="Times New Roman" w:hAnsi="Times New Roman" w:cs="Times New Roman"/>
        </w:rPr>
        <w:t xml:space="preserve"> If </w:t>
      </w:r>
      <w:r w:rsidR="00C1077A" w:rsidRPr="00A472FC">
        <w:rPr>
          <w:rFonts w:ascii="Times New Roman" w:hAnsi="Times New Roman" w:cs="Times New Roman"/>
        </w:rPr>
        <w:t xml:space="preserve">the objects of opinion </w:t>
      </w:r>
      <w:r w:rsidRPr="00A472FC">
        <w:rPr>
          <w:rFonts w:ascii="Times New Roman" w:hAnsi="Times New Roman" w:cs="Times New Roman"/>
        </w:rPr>
        <w:t>are true according to reason, and if they are regarded as good or valuable, then they are pursued; otherwise they are avoided. The next faculty Damascus mentions is memory, which is located in the back of the brain and holds on to judgments or intentions the mind has achieved as a result of the process of internal sensation described above.</w:t>
      </w:r>
      <w:r w:rsidRPr="00A472FC">
        <w:rPr>
          <w:rStyle w:val="FootnoteReference"/>
          <w:rFonts w:ascii="Times New Roman" w:hAnsi="Times New Roman" w:cs="Times New Roman"/>
        </w:rPr>
        <w:footnoteReference w:id="708"/>
      </w:r>
      <w:r w:rsidRPr="00A472FC">
        <w:rPr>
          <w:rFonts w:ascii="Times New Roman" w:hAnsi="Times New Roman" w:cs="Times New Roman"/>
        </w:rPr>
        <w:t xml:space="preserve"> This is an important point to note, because Avicenna had denied intellectual memory on the ground that every case of knowing a form involves a renewed contact with an external Agent Intellect through which all forms are abstracted. </w:t>
      </w:r>
    </w:p>
    <w:p w14:paraId="509F243C" w14:textId="3F962074"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Rochelle’s advocacy of intellectual by contrast to sense memory here is another sign that he affirms a human agent intellect that is autonomously capable of knowing the self and inferior, natural things. It may also be a sign of the influence of the DSEA, which likewise affirms both sense and intellectual memory</w:t>
      </w:r>
      <w:r w:rsidR="00AE1833" w:rsidRPr="00A472FC">
        <w:rPr>
          <w:rFonts w:ascii="Times New Roman" w:hAnsi="Times New Roman" w:cs="Times New Roman"/>
        </w:rPr>
        <w:t xml:space="preserve"> in a passage John quotes as follows:</w:t>
      </w:r>
    </w:p>
    <w:p w14:paraId="043DE6D8" w14:textId="77777777" w:rsidR="00E212D3" w:rsidRPr="00A472FC" w:rsidRDefault="00E212D3" w:rsidP="00E212D3">
      <w:pPr>
        <w:ind w:right="-52" w:firstLine="720"/>
        <w:rPr>
          <w:rFonts w:ascii="Times New Roman" w:hAnsi="Times New Roman" w:cs="Times New Roman"/>
        </w:rPr>
      </w:pPr>
    </w:p>
    <w:p w14:paraId="55CDA62A" w14:textId="77777777" w:rsidR="00E212D3" w:rsidRPr="00A472FC" w:rsidRDefault="00E212D3" w:rsidP="00E212D3">
      <w:pPr>
        <w:ind w:left="720" w:right="-52"/>
        <w:rPr>
          <w:rFonts w:ascii="Times New Roman" w:hAnsi="Times New Roman" w:cs="Times New Roman"/>
        </w:rPr>
      </w:pPr>
      <w:r w:rsidRPr="00A472FC">
        <w:rPr>
          <w:rFonts w:ascii="Times New Roman" w:hAnsi="Times New Roman" w:cs="Times New Roman"/>
        </w:rPr>
        <w:t>Memory is three-fold, as is stated in DSEA 23: there is a certain memory, which is the power of conserving sensible species, which is common to us and animals; there is a memory which conserves intelligible species which is only in us [humans], for an angel does not know through the reception of species. And there is a certain memory which conserves a likeness of the divine, and this is common to us and to angels. However rational memory, which is only in us, has a three-fold act: the first is to retain intelligible species, the second is to represent these species, and the third is to recover forgotten species and thus to remember them.</w:t>
      </w:r>
      <w:r w:rsidRPr="00A472FC">
        <w:rPr>
          <w:rStyle w:val="FootnoteReference"/>
          <w:rFonts w:ascii="Times New Roman" w:hAnsi="Times New Roman" w:cs="Times New Roman"/>
        </w:rPr>
        <w:footnoteReference w:id="709"/>
      </w:r>
    </w:p>
    <w:p w14:paraId="4D6C6DDA" w14:textId="77777777" w:rsidR="00E212D3" w:rsidRPr="00A472FC" w:rsidRDefault="00E212D3" w:rsidP="00E212D3">
      <w:pPr>
        <w:ind w:right="-52" w:firstLine="720"/>
        <w:rPr>
          <w:rFonts w:ascii="Times New Roman" w:hAnsi="Times New Roman" w:cs="Times New Roman"/>
        </w:rPr>
      </w:pPr>
    </w:p>
    <w:p w14:paraId="53BF20CE" w14:textId="245DC6CE" w:rsidR="00E212D3" w:rsidRPr="00A472FC" w:rsidRDefault="00E212D3" w:rsidP="00E212D3">
      <w:pPr>
        <w:ind w:right="-52"/>
        <w:rPr>
          <w:rFonts w:ascii="Times New Roman" w:hAnsi="Times New Roman" w:cs="Times New Roman"/>
        </w:rPr>
      </w:pPr>
      <w:r w:rsidRPr="00A472FC">
        <w:rPr>
          <w:rFonts w:ascii="Times New Roman" w:hAnsi="Times New Roman" w:cs="Times New Roman"/>
        </w:rPr>
        <w:tab/>
        <w:t xml:space="preserve">According to Damascus, </w:t>
      </w:r>
      <w:r w:rsidR="004D5876" w:rsidRPr="00A472FC">
        <w:rPr>
          <w:rFonts w:ascii="Times New Roman" w:hAnsi="Times New Roman" w:cs="Times New Roman"/>
        </w:rPr>
        <w:t xml:space="preserve">the </w:t>
      </w:r>
      <w:r w:rsidRPr="00A472FC">
        <w:rPr>
          <w:rFonts w:ascii="Times New Roman" w:hAnsi="Times New Roman" w:cs="Times New Roman"/>
        </w:rPr>
        <w:t xml:space="preserve">mind </w:t>
      </w:r>
      <w:r w:rsidR="00BC7333" w:rsidRPr="00A472FC">
        <w:rPr>
          <w:rFonts w:ascii="Times New Roman" w:hAnsi="Times New Roman" w:cs="Times New Roman"/>
        </w:rPr>
        <w:t>undertakes</w:t>
      </w:r>
      <w:r w:rsidRPr="00A472FC">
        <w:rPr>
          <w:rFonts w:ascii="Times New Roman" w:hAnsi="Times New Roman" w:cs="Times New Roman"/>
        </w:rPr>
        <w:t xml:space="preserve"> the work of reason </w:t>
      </w:r>
      <w:r w:rsidR="00BC7333" w:rsidRPr="00A472FC">
        <w:rPr>
          <w:rFonts w:ascii="Times New Roman" w:hAnsi="Times New Roman" w:cs="Times New Roman"/>
        </w:rPr>
        <w:t>which</w:t>
      </w:r>
      <w:r w:rsidRPr="00A472FC">
        <w:rPr>
          <w:rFonts w:ascii="Times New Roman" w:hAnsi="Times New Roman" w:cs="Times New Roman"/>
        </w:rPr>
        <w:t xml:space="preserve"> involves </w:t>
      </w:r>
      <w:r w:rsidR="000040E9" w:rsidRPr="00A472FC">
        <w:rPr>
          <w:rFonts w:ascii="Times New Roman" w:hAnsi="Times New Roman" w:cs="Times New Roman"/>
        </w:rPr>
        <w:t xml:space="preserve">the activities of </w:t>
      </w:r>
      <w:r w:rsidRPr="00A472FC">
        <w:rPr>
          <w:rFonts w:ascii="Times New Roman" w:hAnsi="Times New Roman" w:cs="Times New Roman"/>
        </w:rPr>
        <w:t>searching (</w:t>
      </w:r>
      <w:proofErr w:type="spellStart"/>
      <w:r w:rsidRPr="00A472FC">
        <w:rPr>
          <w:rFonts w:ascii="Times New Roman" w:hAnsi="Times New Roman" w:cs="Times New Roman"/>
          <w:i/>
        </w:rPr>
        <w:t>inveniendi</w:t>
      </w:r>
      <w:proofErr w:type="spellEnd"/>
      <w:r w:rsidRPr="00A472FC">
        <w:rPr>
          <w:rFonts w:ascii="Times New Roman" w:hAnsi="Times New Roman" w:cs="Times New Roman"/>
        </w:rPr>
        <w:t>), teaching (</w:t>
      </w:r>
      <w:proofErr w:type="spellStart"/>
      <w:r w:rsidRPr="00A472FC">
        <w:rPr>
          <w:rFonts w:ascii="Times New Roman" w:hAnsi="Times New Roman" w:cs="Times New Roman"/>
          <w:i/>
        </w:rPr>
        <w:t>docendi</w:t>
      </w:r>
      <w:proofErr w:type="spellEnd"/>
      <w:r w:rsidRPr="00A472FC">
        <w:rPr>
          <w:rFonts w:ascii="Times New Roman" w:hAnsi="Times New Roman" w:cs="Times New Roman"/>
        </w:rPr>
        <w:t>), and discovering (</w:t>
      </w:r>
      <w:proofErr w:type="spellStart"/>
      <w:r w:rsidRPr="00A472FC">
        <w:rPr>
          <w:rFonts w:ascii="Times New Roman" w:hAnsi="Times New Roman" w:cs="Times New Roman"/>
          <w:i/>
        </w:rPr>
        <w:t>addiscendi</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710"/>
      </w:r>
      <w:r w:rsidRPr="00A472FC">
        <w:rPr>
          <w:rFonts w:ascii="Times New Roman" w:hAnsi="Times New Roman" w:cs="Times New Roman"/>
        </w:rPr>
        <w:t xml:space="preserve"> The first starts with experience acquired by way of the senses; such experience is needed in order to generate imagination and then an opinion, which the mind subsequently judges to be true or false. This </w:t>
      </w:r>
      <w:r w:rsidR="003D2A2B" w:rsidRPr="00A472FC">
        <w:rPr>
          <w:rFonts w:ascii="Times New Roman" w:hAnsi="Times New Roman" w:cs="Times New Roman"/>
        </w:rPr>
        <w:t xml:space="preserve">process itself </w:t>
      </w:r>
      <w:r w:rsidRPr="00A472FC">
        <w:rPr>
          <w:rFonts w:ascii="Times New Roman" w:hAnsi="Times New Roman" w:cs="Times New Roman"/>
        </w:rPr>
        <w:t xml:space="preserve">involves three steps, namely, knowing a universal principle, such as that the whole is greater than the part, then the minor premise, and then the conclusion. Once this is achieved, the mind has reached the stage of discovery. When the discovery is shared, this instigates the way of teaching. </w:t>
      </w:r>
    </w:p>
    <w:p w14:paraId="665A6C28" w14:textId="77777777" w:rsidR="00E212D3" w:rsidRPr="00A472FC" w:rsidRDefault="00E212D3" w:rsidP="00E212D3">
      <w:pPr>
        <w:ind w:right="-52"/>
        <w:rPr>
          <w:rFonts w:ascii="Times New Roman" w:hAnsi="Times New Roman" w:cs="Times New Roman"/>
          <w:u w:val="single"/>
        </w:rPr>
      </w:pPr>
    </w:p>
    <w:p w14:paraId="35F414E5" w14:textId="77777777" w:rsidR="00E212D3" w:rsidRPr="00A472FC" w:rsidRDefault="00E212D3" w:rsidP="00E212D3">
      <w:pPr>
        <w:ind w:right="-52"/>
        <w:rPr>
          <w:rFonts w:ascii="Times New Roman" w:hAnsi="Times New Roman" w:cs="Times New Roman"/>
          <w:u w:val="single"/>
        </w:rPr>
      </w:pPr>
      <w:r w:rsidRPr="00A472FC">
        <w:rPr>
          <w:rFonts w:ascii="Times New Roman" w:hAnsi="Times New Roman" w:cs="Times New Roman"/>
          <w:u w:val="single"/>
        </w:rPr>
        <w:t>The Division of Powers in Augustine</w:t>
      </w:r>
    </w:p>
    <w:p w14:paraId="6FD27147" w14:textId="77777777" w:rsidR="00E212D3" w:rsidRPr="00A472FC" w:rsidRDefault="00E212D3" w:rsidP="00E212D3">
      <w:pPr>
        <w:ind w:right="-52"/>
        <w:rPr>
          <w:rFonts w:ascii="Times New Roman" w:hAnsi="Times New Roman" w:cs="Times New Roman"/>
        </w:rPr>
      </w:pPr>
    </w:p>
    <w:p w14:paraId="775093B2" w14:textId="77777777" w:rsidR="00E212D3" w:rsidRPr="00A472FC" w:rsidRDefault="00E212D3" w:rsidP="00E212D3">
      <w:pPr>
        <w:ind w:right="-52"/>
        <w:rPr>
          <w:rFonts w:ascii="Times New Roman" w:hAnsi="Times New Roman" w:cs="Times New Roman"/>
          <w:lang w:val="en-US"/>
        </w:rPr>
      </w:pPr>
      <w:r w:rsidRPr="00A472FC">
        <w:rPr>
          <w:rFonts w:ascii="Times New Roman" w:hAnsi="Times New Roman" w:cs="Times New Roman"/>
        </w:rPr>
        <w:tab/>
        <w:t xml:space="preserve">The last set of divisions John deals with are those of Augustine in </w:t>
      </w:r>
      <w:r w:rsidRPr="00A472FC">
        <w:rPr>
          <w:rFonts w:ascii="Times New Roman" w:hAnsi="Times New Roman" w:cs="Times New Roman"/>
          <w:lang w:val="en-US"/>
        </w:rPr>
        <w:t>DSEA 20-22.</w:t>
      </w:r>
      <w:r w:rsidRPr="00A472FC">
        <w:rPr>
          <w:rStyle w:val="FootnoteReference"/>
          <w:rFonts w:ascii="Times New Roman" w:hAnsi="Times New Roman" w:cs="Times New Roman"/>
          <w:lang w:val="en-US"/>
        </w:rPr>
        <w:footnoteReference w:id="711"/>
      </w:r>
      <w:r w:rsidRPr="00A472FC">
        <w:rPr>
          <w:rFonts w:ascii="Times New Roman" w:hAnsi="Times New Roman" w:cs="Times New Roman"/>
          <w:lang w:val="en-US"/>
        </w:rPr>
        <w:t xml:space="preserve"> Here, the author states that there are three powers of the soul insofar as it is united to the body, namely, the natural, vital, and animal. The natural includes the appetitive, retentive, distributive, and expulsive powers we have already discussed, </w:t>
      </w:r>
      <w:r w:rsidRPr="00A472FC">
        <w:rPr>
          <w:rFonts w:ascii="Times New Roman" w:hAnsi="Times New Roman" w:cs="Times New Roman"/>
          <w:kern w:val="1"/>
          <w:lang w:val="en-US"/>
        </w:rPr>
        <w:t>which respectively give us an appetite for nourishment, to retain what is needed for life, expel waste, and distribute nourishment throughout the body</w:t>
      </w:r>
      <w:r w:rsidRPr="00A472FC">
        <w:rPr>
          <w:rFonts w:ascii="Times New Roman" w:hAnsi="Times New Roman" w:cs="Times New Roman"/>
          <w:lang w:val="en-US"/>
        </w:rPr>
        <w:t>. The vital power is in the heart, which pumps blood to enliven the whole body. The animal power is in the brain which receives input from the five senses and causes the members of the body to move. There are three ventricles in the brain: the front, on which the images or likeness of sensible things are imprinted; the middle, where reason examines and judges those images, and the back, where the memory stores judgements.</w:t>
      </w:r>
      <w:r w:rsidRPr="00A472FC">
        <w:rPr>
          <w:rStyle w:val="FootnoteReference"/>
          <w:rFonts w:ascii="Times New Roman" w:hAnsi="Times New Roman" w:cs="Times New Roman"/>
          <w:lang w:val="en-US"/>
        </w:rPr>
        <w:footnoteReference w:id="712"/>
      </w:r>
      <w:r w:rsidRPr="00A472FC">
        <w:rPr>
          <w:rFonts w:ascii="Times New Roman" w:hAnsi="Times New Roman" w:cs="Times New Roman"/>
          <w:lang w:val="en-US"/>
        </w:rPr>
        <w:t xml:space="preserve"> </w:t>
      </w:r>
    </w:p>
    <w:p w14:paraId="693F0ADF" w14:textId="3A03C1FC" w:rsidR="00E212D3" w:rsidRPr="00A472FC" w:rsidRDefault="00E212D3" w:rsidP="00E212D3">
      <w:pPr>
        <w:ind w:right="-52" w:firstLine="720"/>
        <w:rPr>
          <w:rFonts w:ascii="Times New Roman" w:hAnsi="Times New Roman" w:cs="Times New Roman"/>
          <w:lang w:val="en-US"/>
        </w:rPr>
      </w:pPr>
      <w:r w:rsidRPr="00A472FC">
        <w:rPr>
          <w:rFonts w:ascii="Times New Roman" w:hAnsi="Times New Roman" w:cs="Times New Roman"/>
          <w:lang w:val="en-US"/>
        </w:rPr>
        <w:t xml:space="preserve">Following this, John mentions a three-fold division found in DSEA 4 which includes the rational, irascible, and </w:t>
      </w:r>
      <w:proofErr w:type="spellStart"/>
      <w:r w:rsidRPr="00A472FC">
        <w:rPr>
          <w:rFonts w:ascii="Times New Roman" w:hAnsi="Times New Roman" w:cs="Times New Roman"/>
          <w:lang w:val="en-US"/>
        </w:rPr>
        <w:t>concupiscible</w:t>
      </w:r>
      <w:proofErr w:type="spellEnd"/>
      <w:r w:rsidRPr="00A472FC">
        <w:rPr>
          <w:rFonts w:ascii="Times New Roman" w:hAnsi="Times New Roman" w:cs="Times New Roman"/>
          <w:lang w:val="en-US"/>
        </w:rPr>
        <w:t xml:space="preserve"> powers, which can be traced all the way back to Plato’s </w:t>
      </w:r>
      <w:r w:rsidRPr="00A472FC">
        <w:rPr>
          <w:rFonts w:ascii="Times New Roman" w:hAnsi="Times New Roman" w:cs="Times New Roman"/>
          <w:i/>
          <w:lang w:val="en-US"/>
        </w:rPr>
        <w:t xml:space="preserve">Republic </w:t>
      </w:r>
      <w:r w:rsidRPr="00A472FC">
        <w:rPr>
          <w:rFonts w:ascii="Times New Roman" w:hAnsi="Times New Roman" w:cs="Times New Roman"/>
          <w:lang w:val="en-US"/>
        </w:rPr>
        <w:t>and had remained part of the tradition ever since.</w:t>
      </w:r>
      <w:r w:rsidRPr="00A472FC">
        <w:rPr>
          <w:rStyle w:val="FootnoteReference"/>
          <w:rFonts w:ascii="Times New Roman" w:hAnsi="Times New Roman" w:cs="Times New Roman"/>
          <w:lang w:val="en-US"/>
        </w:rPr>
        <w:footnoteReference w:id="713"/>
      </w:r>
      <w:r w:rsidRPr="00A472FC">
        <w:rPr>
          <w:rFonts w:ascii="Times New Roman" w:hAnsi="Times New Roman" w:cs="Times New Roman"/>
          <w:lang w:val="en-US"/>
        </w:rPr>
        <w:t xml:space="preserve"> The rational power illumines the mind with the knowledge of things that are above, next to, and below the self, namely, God, angels, and creatures, respectively. The </w:t>
      </w:r>
      <w:proofErr w:type="spellStart"/>
      <w:r w:rsidRPr="00A472FC">
        <w:rPr>
          <w:rFonts w:ascii="Times New Roman" w:hAnsi="Times New Roman" w:cs="Times New Roman"/>
          <w:lang w:val="en-US"/>
        </w:rPr>
        <w:t>concupiscible</w:t>
      </w:r>
      <w:proofErr w:type="spellEnd"/>
      <w:r w:rsidRPr="00A472FC">
        <w:rPr>
          <w:rFonts w:ascii="Times New Roman" w:hAnsi="Times New Roman" w:cs="Times New Roman"/>
          <w:lang w:val="en-US"/>
        </w:rPr>
        <w:t xml:space="preserve"> and irascible powers help us to grasp what should be desired or hated, pursued or avoided. </w:t>
      </w:r>
      <w:r w:rsidRPr="00A472FC">
        <w:rPr>
          <w:rFonts w:ascii="Times New Roman" w:hAnsi="Times New Roman" w:cs="Times New Roman"/>
          <w:kern w:val="1"/>
          <w:lang w:val="en-US"/>
        </w:rPr>
        <w:t xml:space="preserve">While the rational power is ordered towards cognition, the latter two deal with the affections—the former, with truth, the latter, what is good. </w:t>
      </w:r>
      <w:r w:rsidRPr="00A472FC">
        <w:rPr>
          <w:rFonts w:ascii="Times New Roman" w:hAnsi="Times New Roman" w:cs="Times New Roman"/>
          <w:lang w:val="en-US"/>
        </w:rPr>
        <w:t xml:space="preserve">These are the affective powers that we will discuss </w:t>
      </w:r>
      <w:r w:rsidR="008966F2" w:rsidRPr="00A472FC">
        <w:rPr>
          <w:rFonts w:ascii="Times New Roman" w:hAnsi="Times New Roman" w:cs="Times New Roman"/>
          <w:lang w:val="en-US"/>
        </w:rPr>
        <w:t>in a later chapter.</w:t>
      </w:r>
      <w:r w:rsidRPr="00A472FC">
        <w:rPr>
          <w:rFonts w:ascii="Times New Roman" w:hAnsi="Times New Roman" w:cs="Times New Roman"/>
          <w:lang w:val="en-US"/>
        </w:rPr>
        <w:t xml:space="preserve"> </w:t>
      </w:r>
    </w:p>
    <w:p w14:paraId="134D9579" w14:textId="77777777" w:rsidR="008870D7" w:rsidRPr="00A472FC" w:rsidRDefault="00E212D3" w:rsidP="00E212D3">
      <w:pPr>
        <w:ind w:right="-52" w:firstLine="720"/>
        <w:rPr>
          <w:rFonts w:ascii="Times New Roman" w:hAnsi="Times New Roman" w:cs="Times New Roman"/>
        </w:rPr>
      </w:pPr>
      <w:r w:rsidRPr="00A472FC">
        <w:rPr>
          <w:rFonts w:ascii="Times New Roman" w:hAnsi="Times New Roman" w:cs="Times New Roman"/>
          <w:lang w:val="en-US"/>
        </w:rPr>
        <w:lastRenderedPageBreak/>
        <w:t xml:space="preserve">Next, John notes that Augustine posits a three-fold division of the soul’s cognitive powers as well as a five-fold division, which he discusses in turn. The first involves corporeal, spiritual, and intellectual vision—or external senses, imagination, and intellect—which are mentioned in </w:t>
      </w:r>
      <w:r w:rsidRPr="00A472FC">
        <w:rPr>
          <w:rFonts w:ascii="Times New Roman" w:hAnsi="Times New Roman" w:cs="Times New Roman"/>
          <w:i/>
          <w:lang w:val="en-US"/>
        </w:rPr>
        <w:t xml:space="preserve">De </w:t>
      </w:r>
      <w:proofErr w:type="spellStart"/>
      <w:r w:rsidRPr="00A472FC">
        <w:rPr>
          <w:rFonts w:ascii="Times New Roman" w:hAnsi="Times New Roman" w:cs="Times New Roman"/>
          <w:i/>
          <w:lang w:val="en-US"/>
        </w:rPr>
        <w:t>Genesi</w:t>
      </w:r>
      <w:proofErr w:type="spellEnd"/>
      <w:r w:rsidRPr="00A472FC">
        <w:rPr>
          <w:rFonts w:ascii="Times New Roman" w:hAnsi="Times New Roman" w:cs="Times New Roman"/>
          <w:i/>
          <w:lang w:val="en-US"/>
        </w:rPr>
        <w:t xml:space="preserve"> ad </w:t>
      </w:r>
      <w:proofErr w:type="spellStart"/>
      <w:r w:rsidRPr="00A472FC">
        <w:rPr>
          <w:rFonts w:ascii="Times New Roman" w:hAnsi="Times New Roman" w:cs="Times New Roman"/>
          <w:i/>
          <w:lang w:val="en-US"/>
        </w:rPr>
        <w:t>litteram</w:t>
      </w:r>
      <w:proofErr w:type="spellEnd"/>
      <w:r w:rsidRPr="00A472FC">
        <w:rPr>
          <w:rFonts w:ascii="Times New Roman" w:hAnsi="Times New Roman" w:cs="Times New Roman"/>
          <w:i/>
          <w:lang w:val="en-US"/>
        </w:rPr>
        <w:t xml:space="preserve"> </w:t>
      </w:r>
      <w:r w:rsidRPr="00A472FC">
        <w:rPr>
          <w:rFonts w:ascii="Times New Roman" w:hAnsi="Times New Roman" w:cs="Times New Roman"/>
          <w:lang w:val="en-US"/>
        </w:rPr>
        <w:t>12.7.6.</w:t>
      </w:r>
      <w:r w:rsidRPr="00A472FC">
        <w:rPr>
          <w:rStyle w:val="FootnoteReference"/>
          <w:rFonts w:ascii="Times New Roman" w:hAnsi="Times New Roman" w:cs="Times New Roman"/>
          <w:lang w:val="en-US"/>
        </w:rPr>
        <w:footnoteReference w:id="714"/>
      </w:r>
      <w:r w:rsidRPr="00A472FC">
        <w:rPr>
          <w:rFonts w:ascii="Times New Roman" w:hAnsi="Times New Roman" w:cs="Times New Roman"/>
          <w:lang w:val="en-US"/>
        </w:rPr>
        <w:t xml:space="preserve"> The five-fold division is according to sense, imagination, reason, intellect, and intelligence.</w:t>
      </w:r>
      <w:r w:rsidRPr="00A472FC">
        <w:rPr>
          <w:rStyle w:val="FootnoteReference"/>
          <w:rFonts w:ascii="Times New Roman" w:hAnsi="Times New Roman" w:cs="Times New Roman"/>
          <w:lang w:val="en-US"/>
        </w:rPr>
        <w:footnoteReference w:id="715"/>
      </w:r>
      <w:r w:rsidRPr="00A472FC">
        <w:rPr>
          <w:rFonts w:ascii="Times New Roman" w:hAnsi="Times New Roman" w:cs="Times New Roman"/>
          <w:lang w:val="en-US"/>
        </w:rPr>
        <w:t xml:space="preserve"> This, John notes, is the same division that </w:t>
      </w:r>
      <w:proofErr w:type="spellStart"/>
      <w:r w:rsidRPr="00A472FC">
        <w:rPr>
          <w:rFonts w:ascii="Times New Roman" w:hAnsi="Times New Roman" w:cs="Times New Roman"/>
          <w:lang w:val="en-US"/>
        </w:rPr>
        <w:t>Boethius</w:t>
      </w:r>
      <w:proofErr w:type="spellEnd"/>
      <w:r w:rsidRPr="00A472FC">
        <w:rPr>
          <w:rFonts w:ascii="Times New Roman" w:hAnsi="Times New Roman" w:cs="Times New Roman"/>
          <w:lang w:val="en-US"/>
        </w:rPr>
        <w:t xml:space="preserve"> offered in his </w:t>
      </w:r>
      <w:r w:rsidRPr="00A472FC">
        <w:rPr>
          <w:rFonts w:ascii="Times New Roman" w:hAnsi="Times New Roman" w:cs="Times New Roman"/>
          <w:i/>
          <w:lang w:val="en-US"/>
        </w:rPr>
        <w:t xml:space="preserve">De </w:t>
      </w:r>
      <w:proofErr w:type="spellStart"/>
      <w:r w:rsidRPr="00A472FC">
        <w:rPr>
          <w:rFonts w:ascii="Times New Roman" w:hAnsi="Times New Roman" w:cs="Times New Roman"/>
          <w:i/>
          <w:lang w:val="en-US"/>
        </w:rPr>
        <w:t>consolatione</w:t>
      </w:r>
      <w:proofErr w:type="spellEnd"/>
      <w:r w:rsidRPr="00A472FC">
        <w:rPr>
          <w:rFonts w:ascii="Times New Roman" w:hAnsi="Times New Roman" w:cs="Times New Roman"/>
          <w:i/>
          <w:lang w:val="en-US"/>
        </w:rPr>
        <w:t xml:space="preserve"> </w:t>
      </w:r>
      <w:r w:rsidRPr="00A472FC">
        <w:rPr>
          <w:rFonts w:ascii="Times New Roman" w:hAnsi="Times New Roman" w:cs="Times New Roman"/>
          <w:lang w:val="en-US"/>
        </w:rPr>
        <w:t xml:space="preserve">V.4, except that his classification does not include intellect, even though he sometimes uses the term </w:t>
      </w:r>
      <w:proofErr w:type="spellStart"/>
      <w:r w:rsidRPr="00A472FC">
        <w:rPr>
          <w:rFonts w:ascii="Times New Roman" w:hAnsi="Times New Roman" w:cs="Times New Roman"/>
          <w:i/>
          <w:lang w:val="en-US"/>
        </w:rPr>
        <w:t>intellectus</w:t>
      </w:r>
      <w:proofErr w:type="spellEnd"/>
      <w:r w:rsidRPr="00A472FC">
        <w:rPr>
          <w:rFonts w:ascii="Times New Roman" w:hAnsi="Times New Roman" w:cs="Times New Roman"/>
          <w:i/>
          <w:lang w:val="en-US"/>
        </w:rPr>
        <w:t xml:space="preserve"> </w:t>
      </w:r>
      <w:r w:rsidRPr="00A472FC">
        <w:rPr>
          <w:rFonts w:ascii="Times New Roman" w:hAnsi="Times New Roman" w:cs="Times New Roman"/>
          <w:lang w:val="en-US"/>
        </w:rPr>
        <w:t>in other contexts.</w:t>
      </w:r>
      <w:r w:rsidRPr="00A472FC">
        <w:rPr>
          <w:rStyle w:val="FootnoteReference"/>
          <w:rFonts w:ascii="Times New Roman" w:hAnsi="Times New Roman" w:cs="Times New Roman"/>
          <w:lang w:val="en-US"/>
        </w:rPr>
        <w:footnoteReference w:id="716"/>
      </w:r>
      <w:r w:rsidRPr="00A472FC">
        <w:rPr>
          <w:rFonts w:ascii="Times New Roman" w:hAnsi="Times New Roman" w:cs="Times New Roman"/>
          <w:lang w:val="en-US"/>
        </w:rPr>
        <w:t xml:space="preserve"> According to </w:t>
      </w:r>
      <w:proofErr w:type="spellStart"/>
      <w:r w:rsidRPr="00A472FC">
        <w:rPr>
          <w:rFonts w:ascii="Times New Roman" w:hAnsi="Times New Roman" w:cs="Times New Roman"/>
          <w:lang w:val="en-US"/>
        </w:rPr>
        <w:t>McGinn</w:t>
      </w:r>
      <w:proofErr w:type="spellEnd"/>
      <w:r w:rsidRPr="00A472FC">
        <w:rPr>
          <w:rFonts w:ascii="Times New Roman" w:hAnsi="Times New Roman" w:cs="Times New Roman"/>
          <w:lang w:val="en-US"/>
        </w:rPr>
        <w:t xml:space="preserve">, </w:t>
      </w:r>
      <w:r w:rsidRPr="00A472FC">
        <w:rPr>
          <w:rFonts w:ascii="Times New Roman" w:hAnsi="Times New Roman" w:cs="Times New Roman"/>
        </w:rPr>
        <w:t>‘this ambiguity enabled twelfth-century commentators like Hugh and Thierry to create the five-fold scheme’</w:t>
      </w:r>
      <w:r w:rsidRPr="00A472FC">
        <w:rPr>
          <w:rStyle w:val="FootnoteReference"/>
          <w:rFonts w:ascii="Times New Roman" w:hAnsi="Times New Roman" w:cs="Times New Roman"/>
        </w:rPr>
        <w:footnoteReference w:id="717"/>
      </w:r>
      <w:r w:rsidRPr="00A472FC">
        <w:rPr>
          <w:rFonts w:ascii="Times New Roman" w:hAnsi="Times New Roman" w:cs="Times New Roman"/>
        </w:rPr>
        <w:t xml:space="preserve"> mentioned above. </w:t>
      </w:r>
    </w:p>
    <w:p w14:paraId="1B32592B" w14:textId="77777777" w:rsidR="008870D7" w:rsidRPr="00A472FC" w:rsidRDefault="00E212D3" w:rsidP="008870D7">
      <w:pPr>
        <w:ind w:right="-52" w:firstLine="720"/>
        <w:rPr>
          <w:rFonts w:ascii="Times New Roman" w:hAnsi="Times New Roman" w:cs="Times New Roman"/>
          <w:lang w:val="en-US"/>
        </w:rPr>
      </w:pPr>
      <w:r w:rsidRPr="00A472FC">
        <w:rPr>
          <w:rFonts w:ascii="Times New Roman" w:hAnsi="Times New Roman" w:cs="Times New Roman"/>
        </w:rPr>
        <w:t xml:space="preserve">This was </w:t>
      </w:r>
      <w:proofErr w:type="spellStart"/>
      <w:r w:rsidRPr="00A472FC">
        <w:rPr>
          <w:rFonts w:ascii="Times New Roman" w:hAnsi="Times New Roman" w:cs="Times New Roman"/>
        </w:rPr>
        <w:t>systematized</w:t>
      </w:r>
      <w:proofErr w:type="spellEnd"/>
      <w:r w:rsidRPr="00A472FC">
        <w:rPr>
          <w:rFonts w:ascii="Times New Roman" w:hAnsi="Times New Roman" w:cs="Times New Roman"/>
        </w:rPr>
        <w:t xml:space="preserve"> most fully, in </w:t>
      </w:r>
      <w:proofErr w:type="spellStart"/>
      <w:r w:rsidRPr="00A472FC">
        <w:rPr>
          <w:rFonts w:ascii="Times New Roman" w:hAnsi="Times New Roman" w:cs="Times New Roman"/>
        </w:rPr>
        <w:t>McGinn’s</w:t>
      </w:r>
      <w:proofErr w:type="spellEnd"/>
      <w:r w:rsidRPr="00A472FC">
        <w:rPr>
          <w:rFonts w:ascii="Times New Roman" w:hAnsi="Times New Roman" w:cs="Times New Roman"/>
        </w:rPr>
        <w:t xml:space="preserve"> opinion, by Isaac of Stella, another Cistercian who preceded the author of the DSEA and clearly influenced him. </w:t>
      </w:r>
      <w:r w:rsidRPr="00A472FC">
        <w:rPr>
          <w:rFonts w:ascii="Times New Roman" w:hAnsi="Times New Roman" w:cs="Times New Roman"/>
          <w:lang w:val="en-US"/>
        </w:rPr>
        <w:t>In DSEA 11, there is also a distinction between superior and inferior reason, ordered to things above and below, respectively.</w:t>
      </w:r>
      <w:r w:rsidRPr="00A472FC">
        <w:rPr>
          <w:rStyle w:val="FootnoteReference"/>
          <w:rFonts w:ascii="Times New Roman" w:hAnsi="Times New Roman" w:cs="Times New Roman"/>
          <w:kern w:val="1"/>
          <w:lang w:val="en-US"/>
        </w:rPr>
        <w:footnoteReference w:id="718"/>
      </w:r>
      <w:r w:rsidRPr="00A472FC">
        <w:rPr>
          <w:rFonts w:ascii="Times New Roman" w:hAnsi="Times New Roman" w:cs="Times New Roman"/>
          <w:lang w:val="en-US"/>
        </w:rPr>
        <w:t xml:space="preserve"> While the intellect and intelligence fall under the purview of superior reason, </w:t>
      </w:r>
      <w:r w:rsidRPr="00A472FC">
        <w:rPr>
          <w:rFonts w:ascii="Times New Roman" w:hAnsi="Times New Roman" w:cs="Times New Roman"/>
          <w:i/>
          <w:lang w:val="en-US"/>
        </w:rPr>
        <w:t>ratio</w:t>
      </w:r>
      <w:r w:rsidRPr="00A472FC">
        <w:rPr>
          <w:rFonts w:ascii="Times New Roman" w:hAnsi="Times New Roman" w:cs="Times New Roman"/>
          <w:lang w:val="en-US"/>
        </w:rPr>
        <w:t xml:space="preserve"> falls under inferior reason. For Augustine in DSEA 11, sense is the power of the soul that perceives corporeal forms when they are immediately present to the senses;</w:t>
      </w:r>
      <w:r w:rsidRPr="00A472FC">
        <w:rPr>
          <w:rStyle w:val="FootnoteReference"/>
          <w:rFonts w:ascii="Times New Roman" w:hAnsi="Times New Roman" w:cs="Times New Roman"/>
          <w:lang w:val="en-US"/>
        </w:rPr>
        <w:footnoteReference w:id="719"/>
      </w:r>
      <w:r w:rsidRPr="00A472FC">
        <w:rPr>
          <w:rFonts w:ascii="Times New Roman" w:hAnsi="Times New Roman" w:cs="Times New Roman"/>
          <w:lang w:val="en-US"/>
        </w:rPr>
        <w:t xml:space="preserve"> imagination is the power of the soul that represents the forms of corporeal things when they are absent. </w:t>
      </w:r>
      <w:r w:rsidRPr="00A472FC">
        <w:rPr>
          <w:rFonts w:ascii="Times New Roman" w:hAnsi="Times New Roman" w:cs="Times New Roman"/>
          <w:i/>
          <w:lang w:val="en-US"/>
        </w:rPr>
        <w:t>Ratio</w:t>
      </w:r>
      <w:r w:rsidRPr="00A472FC">
        <w:rPr>
          <w:rFonts w:ascii="Times New Roman" w:hAnsi="Times New Roman" w:cs="Times New Roman"/>
          <w:lang w:val="en-US"/>
        </w:rPr>
        <w:t xml:space="preserve"> is the power which perceives the natures, forms, differences, properties, and accidents of corporeal forms.</w:t>
      </w:r>
      <w:r w:rsidRPr="00A472FC">
        <w:rPr>
          <w:rStyle w:val="FootnoteReference"/>
          <w:rFonts w:ascii="Times New Roman" w:hAnsi="Times New Roman" w:cs="Times New Roman"/>
          <w:kern w:val="1"/>
          <w:lang w:val="en-US"/>
        </w:rPr>
        <w:footnoteReference w:id="720"/>
      </w:r>
      <w:r w:rsidRPr="00A472FC">
        <w:rPr>
          <w:rFonts w:ascii="Times New Roman" w:hAnsi="Times New Roman" w:cs="Times New Roman"/>
          <w:kern w:val="1"/>
          <w:lang w:val="en-US"/>
        </w:rPr>
        <w:t xml:space="preserve"> </w:t>
      </w:r>
      <w:r w:rsidRPr="00A472FC">
        <w:rPr>
          <w:rFonts w:ascii="Times New Roman" w:hAnsi="Times New Roman" w:cs="Times New Roman"/>
          <w:lang w:val="en-US"/>
        </w:rPr>
        <w:t>For it abstracts from the body those things which naturally embodied, not by action but by consideration.</w:t>
      </w:r>
      <w:r w:rsidR="008870D7" w:rsidRPr="00A472FC">
        <w:rPr>
          <w:rFonts w:ascii="Times New Roman" w:hAnsi="Times New Roman" w:cs="Times New Roman"/>
          <w:lang w:val="en-US"/>
        </w:rPr>
        <w:t xml:space="preserve"> </w:t>
      </w:r>
      <w:r w:rsidRPr="00A472FC">
        <w:rPr>
          <w:rFonts w:ascii="Times New Roman" w:hAnsi="Times New Roman" w:cs="Times New Roman"/>
          <w:lang w:val="en-US"/>
        </w:rPr>
        <w:t xml:space="preserve">Thus, </w:t>
      </w:r>
      <w:r w:rsidRPr="00A472FC">
        <w:rPr>
          <w:rFonts w:ascii="Times New Roman" w:hAnsi="Times New Roman" w:cs="Times New Roman"/>
          <w:i/>
          <w:lang w:val="en-US"/>
        </w:rPr>
        <w:t>ratio</w:t>
      </w:r>
      <w:r w:rsidRPr="00A472FC">
        <w:rPr>
          <w:rFonts w:ascii="Times New Roman" w:hAnsi="Times New Roman" w:cs="Times New Roman"/>
          <w:lang w:val="en-US"/>
        </w:rPr>
        <w:t xml:space="preserve"> is the power which abstracts universals from singulars which it comprehends, or abstracts the forms of corporeal things.</w:t>
      </w:r>
      <w:r w:rsidRPr="00A472FC">
        <w:rPr>
          <w:rStyle w:val="FootnoteReference"/>
          <w:rFonts w:ascii="Times New Roman" w:hAnsi="Times New Roman" w:cs="Times New Roman"/>
          <w:lang w:val="en-US"/>
        </w:rPr>
        <w:footnoteReference w:id="721"/>
      </w:r>
      <w:r w:rsidRPr="00A472FC">
        <w:rPr>
          <w:rFonts w:ascii="Times New Roman" w:hAnsi="Times New Roman" w:cs="Times New Roman"/>
          <w:lang w:val="en-US"/>
        </w:rPr>
        <w:t xml:space="preserve"> Put differently, it knows the forms of sensible things insofar as they are universal; for objects of knowledge are singular insofar as they are sensed and universal when they are understood. </w:t>
      </w:r>
    </w:p>
    <w:p w14:paraId="5668E07E" w14:textId="2F0009FC" w:rsidR="00E212D3" w:rsidRPr="00A472FC" w:rsidRDefault="00E212D3" w:rsidP="008870D7">
      <w:pPr>
        <w:ind w:right="-52" w:firstLine="720"/>
        <w:rPr>
          <w:rFonts w:ascii="Times New Roman" w:hAnsi="Times New Roman" w:cs="Times New Roman"/>
          <w:lang w:val="en-US"/>
        </w:rPr>
      </w:pPr>
      <w:r w:rsidRPr="00A472FC">
        <w:rPr>
          <w:rFonts w:ascii="Times New Roman" w:hAnsi="Times New Roman" w:cs="Times New Roman"/>
          <w:lang w:val="en-US"/>
        </w:rPr>
        <w:t xml:space="preserve">The intellect is a power of the soul which perceives invisible things like angels and souls and all spiritual creatures. Intelligence is the power of the soul which is immediately united to God; it discerns the highest truth which is the unchanging God. </w:t>
      </w:r>
      <w:r w:rsidR="003A1048" w:rsidRPr="00A472FC">
        <w:rPr>
          <w:rFonts w:ascii="Times New Roman" w:hAnsi="Times New Roman" w:cs="Times New Roman"/>
          <w:lang w:val="en-US"/>
        </w:rPr>
        <w:t>As Rochelle summari</w:t>
      </w:r>
      <w:r w:rsidR="00DE74C9" w:rsidRPr="00A472FC">
        <w:rPr>
          <w:rFonts w:ascii="Times New Roman" w:hAnsi="Times New Roman" w:cs="Times New Roman"/>
          <w:lang w:val="en-US"/>
        </w:rPr>
        <w:t>z</w:t>
      </w:r>
      <w:r w:rsidR="003A1048" w:rsidRPr="00A472FC">
        <w:rPr>
          <w:rFonts w:ascii="Times New Roman" w:hAnsi="Times New Roman" w:cs="Times New Roman"/>
          <w:lang w:val="en-US"/>
        </w:rPr>
        <w:t xml:space="preserve">es: </w:t>
      </w:r>
      <w:r w:rsidR="000D29B3" w:rsidRPr="00A472FC">
        <w:rPr>
          <w:rFonts w:ascii="Times New Roman" w:hAnsi="Times New Roman" w:cs="Times New Roman"/>
          <w:lang w:val="en-US"/>
        </w:rPr>
        <w:t xml:space="preserve">‘In this way </w:t>
      </w:r>
      <w:r w:rsidRPr="00A472FC">
        <w:rPr>
          <w:rFonts w:ascii="Times New Roman" w:hAnsi="Times New Roman" w:cs="Times New Roman"/>
          <w:lang w:val="en-US"/>
        </w:rPr>
        <w:t xml:space="preserve">therefore the soul by sense perceives bodies, </w:t>
      </w:r>
      <w:r w:rsidR="00AA2BDF" w:rsidRPr="00A472FC">
        <w:rPr>
          <w:rFonts w:ascii="Times New Roman" w:hAnsi="Times New Roman" w:cs="Times New Roman"/>
          <w:lang w:val="en-US"/>
        </w:rPr>
        <w:t xml:space="preserve">by </w:t>
      </w:r>
      <w:r w:rsidRPr="00A472FC">
        <w:rPr>
          <w:rFonts w:ascii="Times New Roman" w:hAnsi="Times New Roman" w:cs="Times New Roman"/>
          <w:lang w:val="en-US"/>
        </w:rPr>
        <w:t xml:space="preserve">the imagination, the likenesses of bodies, </w:t>
      </w:r>
      <w:r w:rsidR="00F52B16" w:rsidRPr="00A472FC">
        <w:rPr>
          <w:rFonts w:ascii="Times New Roman" w:hAnsi="Times New Roman" w:cs="Times New Roman"/>
          <w:lang w:val="en-US"/>
        </w:rPr>
        <w:t xml:space="preserve">by </w:t>
      </w:r>
      <w:r w:rsidRPr="00A472FC">
        <w:rPr>
          <w:rFonts w:ascii="Times New Roman" w:hAnsi="Times New Roman" w:cs="Times New Roman"/>
          <w:lang w:val="en-US"/>
        </w:rPr>
        <w:t>reason</w:t>
      </w:r>
      <w:r w:rsidR="00BA7166" w:rsidRPr="00A472FC">
        <w:rPr>
          <w:rFonts w:ascii="Times New Roman" w:hAnsi="Times New Roman" w:cs="Times New Roman"/>
          <w:lang w:val="en-US"/>
        </w:rPr>
        <w:t>,</w:t>
      </w:r>
      <w:r w:rsidRPr="00A472FC">
        <w:rPr>
          <w:rFonts w:ascii="Times New Roman" w:hAnsi="Times New Roman" w:cs="Times New Roman"/>
          <w:lang w:val="en-US"/>
        </w:rPr>
        <w:t xml:space="preserve"> corporeal natures, </w:t>
      </w:r>
      <w:r w:rsidR="009E6159" w:rsidRPr="00A472FC">
        <w:rPr>
          <w:rFonts w:ascii="Times New Roman" w:hAnsi="Times New Roman" w:cs="Times New Roman"/>
          <w:lang w:val="en-US"/>
        </w:rPr>
        <w:t xml:space="preserve">by </w:t>
      </w:r>
      <w:r w:rsidRPr="00A472FC">
        <w:rPr>
          <w:rFonts w:ascii="Times New Roman" w:hAnsi="Times New Roman" w:cs="Times New Roman"/>
          <w:lang w:val="en-US"/>
        </w:rPr>
        <w:t xml:space="preserve">intellect, </w:t>
      </w:r>
      <w:r w:rsidR="003C7E18" w:rsidRPr="00A472FC">
        <w:rPr>
          <w:rFonts w:ascii="Times New Roman" w:hAnsi="Times New Roman" w:cs="Times New Roman"/>
          <w:lang w:val="en-US"/>
        </w:rPr>
        <w:t xml:space="preserve">created spirits, and by </w:t>
      </w:r>
      <w:r w:rsidRPr="00A472FC">
        <w:rPr>
          <w:rFonts w:ascii="Times New Roman" w:hAnsi="Times New Roman" w:cs="Times New Roman"/>
          <w:lang w:val="en-US"/>
        </w:rPr>
        <w:t>intelligence, the unchanging truth.’</w:t>
      </w:r>
      <w:r w:rsidRPr="00A472FC">
        <w:rPr>
          <w:rStyle w:val="FootnoteReference"/>
          <w:rFonts w:ascii="Times New Roman" w:hAnsi="Times New Roman" w:cs="Times New Roman"/>
          <w:lang w:val="en-US"/>
        </w:rPr>
        <w:footnoteReference w:id="722"/>
      </w:r>
      <w:r w:rsidRPr="00A472FC">
        <w:rPr>
          <w:rFonts w:ascii="Times New Roman" w:hAnsi="Times New Roman" w:cs="Times New Roman"/>
          <w:lang w:val="en-US"/>
        </w:rPr>
        <w:t xml:space="preserve"> However these three—</w:t>
      </w:r>
      <w:r w:rsidRPr="00A472FC">
        <w:rPr>
          <w:rFonts w:ascii="Times New Roman" w:hAnsi="Times New Roman" w:cs="Times New Roman"/>
          <w:i/>
          <w:lang w:val="en-US"/>
        </w:rPr>
        <w:t xml:space="preserve">ratio, </w:t>
      </w:r>
      <w:proofErr w:type="spellStart"/>
      <w:r w:rsidRPr="00A472FC">
        <w:rPr>
          <w:rFonts w:ascii="Times New Roman" w:hAnsi="Times New Roman" w:cs="Times New Roman"/>
          <w:i/>
          <w:lang w:val="en-US"/>
        </w:rPr>
        <w:t>intellectus</w:t>
      </w:r>
      <w:proofErr w:type="spellEnd"/>
      <w:r w:rsidRPr="00A472FC">
        <w:rPr>
          <w:rFonts w:ascii="Times New Roman" w:hAnsi="Times New Roman" w:cs="Times New Roman"/>
          <w:lang w:val="en-US"/>
        </w:rPr>
        <w:t xml:space="preserve"> and </w:t>
      </w:r>
      <w:proofErr w:type="spellStart"/>
      <w:r w:rsidRPr="00A472FC">
        <w:rPr>
          <w:rFonts w:ascii="Times New Roman" w:hAnsi="Times New Roman" w:cs="Times New Roman"/>
          <w:i/>
          <w:lang w:val="en-US"/>
        </w:rPr>
        <w:t>intelligentia</w:t>
      </w:r>
      <w:proofErr w:type="spellEnd"/>
      <w:r w:rsidRPr="00A472FC">
        <w:rPr>
          <w:rFonts w:ascii="Times New Roman" w:hAnsi="Times New Roman" w:cs="Times New Roman"/>
          <w:lang w:val="en-US"/>
        </w:rPr>
        <w:t>—are understood to fall under the general power of the intellect or reason. This operates in three modes, namely, investigation (</w:t>
      </w:r>
      <w:proofErr w:type="spellStart"/>
      <w:r w:rsidRPr="00A472FC">
        <w:rPr>
          <w:rFonts w:ascii="Times New Roman" w:hAnsi="Times New Roman" w:cs="Times New Roman"/>
          <w:i/>
          <w:lang w:val="en-US"/>
        </w:rPr>
        <w:t>ingenium</w:t>
      </w:r>
      <w:proofErr w:type="spellEnd"/>
      <w:r w:rsidRPr="00A472FC">
        <w:rPr>
          <w:rFonts w:ascii="Times New Roman" w:hAnsi="Times New Roman" w:cs="Times New Roman"/>
          <w:lang w:val="en-US"/>
        </w:rPr>
        <w:t xml:space="preserve">), discernment, and retention. The first is the mode in which the soul exercises itself to know unknown things from things that </w:t>
      </w:r>
      <w:r w:rsidRPr="00A472FC">
        <w:rPr>
          <w:rFonts w:ascii="Times New Roman" w:hAnsi="Times New Roman" w:cs="Times New Roman"/>
          <w:lang w:val="en-US"/>
        </w:rPr>
        <w:lastRenderedPageBreak/>
        <w:t xml:space="preserve">are </w:t>
      </w:r>
      <w:r w:rsidR="008966F2" w:rsidRPr="00A472FC">
        <w:rPr>
          <w:rFonts w:ascii="Times New Roman" w:hAnsi="Times New Roman" w:cs="Times New Roman"/>
          <w:lang w:val="en-US"/>
        </w:rPr>
        <w:t xml:space="preserve">already </w:t>
      </w:r>
      <w:r w:rsidRPr="00A472FC">
        <w:rPr>
          <w:rFonts w:ascii="Times New Roman" w:hAnsi="Times New Roman" w:cs="Times New Roman"/>
          <w:lang w:val="en-US"/>
        </w:rPr>
        <w:t xml:space="preserve">known. The next is the one in which reason reflects about what is found, and finally, memory retains the judgment formed as a result. </w:t>
      </w:r>
    </w:p>
    <w:p w14:paraId="42085A86" w14:textId="77777777" w:rsidR="000D29B3" w:rsidRPr="00A472FC" w:rsidRDefault="000D29B3" w:rsidP="00E212D3">
      <w:pPr>
        <w:autoSpaceDE w:val="0"/>
        <w:autoSpaceDN w:val="0"/>
        <w:adjustRightInd w:val="0"/>
        <w:ind w:right="-52" w:firstLine="720"/>
        <w:rPr>
          <w:rFonts w:ascii="Times New Roman" w:hAnsi="Times New Roman" w:cs="Times New Roman"/>
          <w:lang w:val="en-US"/>
        </w:rPr>
      </w:pPr>
    </w:p>
    <w:p w14:paraId="14EDE797" w14:textId="77777777" w:rsidR="00E212D3" w:rsidRPr="00A472FC" w:rsidRDefault="00E212D3" w:rsidP="00E212D3">
      <w:pPr>
        <w:ind w:right="-52"/>
        <w:rPr>
          <w:rFonts w:ascii="Times New Roman" w:hAnsi="Times New Roman" w:cs="Times New Roman"/>
          <w:u w:val="single"/>
        </w:rPr>
      </w:pPr>
      <w:r w:rsidRPr="00A472FC">
        <w:rPr>
          <w:rFonts w:ascii="Times New Roman" w:hAnsi="Times New Roman" w:cs="Times New Roman"/>
          <w:u w:val="single"/>
        </w:rPr>
        <w:t xml:space="preserve">Comparing the </w:t>
      </w:r>
      <w:proofErr w:type="spellStart"/>
      <w:r w:rsidRPr="00A472FC">
        <w:rPr>
          <w:rFonts w:ascii="Times New Roman" w:hAnsi="Times New Roman" w:cs="Times New Roman"/>
          <w:i/>
          <w:u w:val="single"/>
        </w:rPr>
        <w:t>Tractatus</w:t>
      </w:r>
      <w:proofErr w:type="spellEnd"/>
      <w:r w:rsidRPr="00A472FC">
        <w:rPr>
          <w:rFonts w:ascii="Times New Roman" w:hAnsi="Times New Roman" w:cs="Times New Roman"/>
          <w:u w:val="single"/>
        </w:rPr>
        <w:t xml:space="preserve"> and the </w:t>
      </w:r>
      <w:r w:rsidRPr="00A472FC">
        <w:rPr>
          <w:rFonts w:ascii="Times New Roman" w:hAnsi="Times New Roman" w:cs="Times New Roman"/>
          <w:i/>
          <w:u w:val="single"/>
        </w:rPr>
        <w:t>Summa de anima</w:t>
      </w:r>
    </w:p>
    <w:p w14:paraId="05DA5584" w14:textId="77777777" w:rsidR="00E212D3" w:rsidRPr="00A472FC" w:rsidRDefault="00E212D3" w:rsidP="00E212D3">
      <w:pPr>
        <w:ind w:right="-52"/>
        <w:rPr>
          <w:rFonts w:ascii="Times New Roman" w:hAnsi="Times New Roman" w:cs="Times New Roman"/>
          <w:i/>
        </w:rPr>
      </w:pPr>
    </w:p>
    <w:p w14:paraId="240F4B46" w14:textId="2659B01B"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Now that we have carefully followed the discussion of the </w:t>
      </w:r>
      <w:proofErr w:type="spellStart"/>
      <w:r w:rsidRPr="00A472FC">
        <w:rPr>
          <w:rFonts w:ascii="Times New Roman" w:hAnsi="Times New Roman" w:cs="Times New Roman"/>
          <w:i/>
        </w:rPr>
        <w:t>Tractatus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on the powers of the soul, cross-referencing in the notes to </w:t>
      </w:r>
      <w:r w:rsidR="0080252B" w:rsidRPr="00A472FC">
        <w:rPr>
          <w:rFonts w:ascii="Times New Roman" w:hAnsi="Times New Roman" w:cs="Times New Roman"/>
        </w:rPr>
        <w:t xml:space="preserve">many of </w:t>
      </w:r>
      <w:r w:rsidRPr="00A472FC">
        <w:rPr>
          <w:rFonts w:ascii="Times New Roman" w:hAnsi="Times New Roman" w:cs="Times New Roman"/>
        </w:rPr>
        <w:t xml:space="preserve">the overlaps with the SDA, </w:t>
      </w:r>
      <w:r w:rsidR="008F22A9" w:rsidRPr="00A472FC">
        <w:rPr>
          <w:rFonts w:ascii="Times New Roman" w:hAnsi="Times New Roman" w:cs="Times New Roman"/>
        </w:rPr>
        <w:t xml:space="preserve">not to mention Avicenna’s </w:t>
      </w:r>
      <w:r w:rsidR="008F22A9" w:rsidRPr="00A472FC">
        <w:rPr>
          <w:rFonts w:ascii="Times New Roman" w:hAnsi="Times New Roman" w:cs="Times New Roman"/>
          <w:i/>
          <w:iCs/>
        </w:rPr>
        <w:t xml:space="preserve">De anima </w:t>
      </w:r>
      <w:r w:rsidR="008F22A9" w:rsidRPr="00A472FC">
        <w:rPr>
          <w:rFonts w:ascii="Times New Roman" w:hAnsi="Times New Roman" w:cs="Times New Roman"/>
        </w:rPr>
        <w:t xml:space="preserve">and the other sources John employs, </w:t>
      </w:r>
      <w:r w:rsidRPr="00A472FC">
        <w:rPr>
          <w:rFonts w:ascii="Times New Roman" w:hAnsi="Times New Roman" w:cs="Times New Roman"/>
        </w:rPr>
        <w:t xml:space="preserve">we are in a position to draw a comparison between </w:t>
      </w:r>
      <w:r w:rsidR="000A73DF" w:rsidRPr="00A472FC">
        <w:rPr>
          <w:rFonts w:ascii="Times New Roman" w:hAnsi="Times New Roman" w:cs="Times New Roman"/>
        </w:rPr>
        <w:t xml:space="preserve">John’s </w:t>
      </w:r>
      <w:r w:rsidRPr="00A472FC">
        <w:rPr>
          <w:rFonts w:ascii="Times New Roman" w:hAnsi="Times New Roman" w:cs="Times New Roman"/>
        </w:rPr>
        <w:t xml:space="preserve">two texts. Below, I </w:t>
      </w:r>
      <w:r w:rsidR="000D6EFE" w:rsidRPr="00A472FC">
        <w:rPr>
          <w:rFonts w:ascii="Times New Roman" w:hAnsi="Times New Roman" w:cs="Times New Roman"/>
        </w:rPr>
        <w:t>offer</w:t>
      </w:r>
      <w:r w:rsidRPr="00A472FC">
        <w:rPr>
          <w:rFonts w:ascii="Times New Roman" w:hAnsi="Times New Roman" w:cs="Times New Roman"/>
        </w:rPr>
        <w:t xml:space="preserve"> </w:t>
      </w:r>
      <w:r w:rsidR="00B93D78">
        <w:rPr>
          <w:rFonts w:ascii="Times New Roman" w:hAnsi="Times New Roman" w:cs="Times New Roman"/>
        </w:rPr>
        <w:t xml:space="preserve">an </w:t>
      </w:r>
      <w:r w:rsidRPr="00A472FC">
        <w:rPr>
          <w:rFonts w:ascii="Times New Roman" w:hAnsi="Times New Roman" w:cs="Times New Roman"/>
        </w:rPr>
        <w:t xml:space="preserve">outline of each text and the topics that it covers in the order in which they are covered; grey text indicates anything in the </w:t>
      </w:r>
      <w:proofErr w:type="spellStart"/>
      <w:r w:rsidRPr="00A472FC">
        <w:rPr>
          <w:rFonts w:ascii="Times New Roman" w:hAnsi="Times New Roman" w:cs="Times New Roman"/>
          <w:i/>
        </w:rPr>
        <w:t>Tractatus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that is suppressed or re-located in the </w:t>
      </w:r>
      <w:r w:rsidRPr="00A472FC">
        <w:rPr>
          <w:rFonts w:ascii="Times New Roman" w:hAnsi="Times New Roman" w:cs="Times New Roman"/>
          <w:i/>
        </w:rPr>
        <w:t xml:space="preserve">Summa de anima, </w:t>
      </w:r>
      <w:r w:rsidRPr="00A472FC">
        <w:rPr>
          <w:rFonts w:ascii="Times New Roman" w:hAnsi="Times New Roman" w:cs="Times New Roman"/>
        </w:rPr>
        <w:t xml:space="preserve">while bold text indicates anything in the </w:t>
      </w:r>
      <w:r w:rsidRPr="00A472FC">
        <w:rPr>
          <w:rFonts w:ascii="Times New Roman" w:hAnsi="Times New Roman" w:cs="Times New Roman"/>
          <w:i/>
        </w:rPr>
        <w:t xml:space="preserve">Summa de anima </w:t>
      </w:r>
      <w:r w:rsidRPr="00A472FC">
        <w:rPr>
          <w:rFonts w:ascii="Times New Roman" w:hAnsi="Times New Roman" w:cs="Times New Roman"/>
        </w:rPr>
        <w:t xml:space="preserve">that did not appear in the </w:t>
      </w:r>
      <w:proofErr w:type="spellStart"/>
      <w:r w:rsidRPr="00A472FC">
        <w:rPr>
          <w:rFonts w:ascii="Times New Roman" w:hAnsi="Times New Roman" w:cs="Times New Roman"/>
          <w:i/>
        </w:rPr>
        <w:t>Tractatus</w:t>
      </w:r>
      <w:proofErr w:type="spellEnd"/>
      <w:r w:rsidRPr="00A472FC">
        <w:rPr>
          <w:rFonts w:ascii="Times New Roman" w:hAnsi="Times New Roman" w:cs="Times New Roman"/>
          <w:i/>
        </w:rPr>
        <w:t xml:space="preserve">. </w:t>
      </w:r>
    </w:p>
    <w:p w14:paraId="79C7773F" w14:textId="11089E3D" w:rsidR="00E212D3" w:rsidRPr="00A472FC" w:rsidRDefault="00E212D3" w:rsidP="00E212D3">
      <w:pPr>
        <w:ind w:right="-52"/>
        <w:rPr>
          <w:rFonts w:ascii="Times New Roman" w:hAnsi="Times New Roman" w:cs="Times New Roman"/>
        </w:rPr>
      </w:pPr>
      <w:r w:rsidRPr="00A472FC">
        <w:rPr>
          <w:rFonts w:ascii="Times New Roman" w:hAnsi="Times New Roman" w:cs="Times New Roman"/>
        </w:rPr>
        <w:tab/>
        <w:t xml:space="preserve">As these outlines make abundantly obvious, there is almost complete overlap between the </w:t>
      </w:r>
      <w:proofErr w:type="spellStart"/>
      <w:r w:rsidRPr="00A472FC">
        <w:rPr>
          <w:rFonts w:ascii="Times New Roman" w:hAnsi="Times New Roman" w:cs="Times New Roman"/>
          <w:i/>
        </w:rPr>
        <w:t>Tractatus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and the </w:t>
      </w:r>
      <w:r w:rsidRPr="00A472FC">
        <w:rPr>
          <w:rFonts w:ascii="Times New Roman" w:hAnsi="Times New Roman" w:cs="Times New Roman"/>
          <w:i/>
        </w:rPr>
        <w:t xml:space="preserve">Summa de anima </w:t>
      </w:r>
      <w:r w:rsidRPr="00A472FC">
        <w:rPr>
          <w:rFonts w:ascii="Times New Roman" w:hAnsi="Times New Roman" w:cs="Times New Roman"/>
        </w:rPr>
        <w:t xml:space="preserve">in terms of </w:t>
      </w:r>
      <w:r w:rsidR="00122A2A" w:rsidRPr="00A472FC">
        <w:rPr>
          <w:rFonts w:ascii="Times New Roman" w:hAnsi="Times New Roman" w:cs="Times New Roman"/>
        </w:rPr>
        <w:t>the classifications of the powers of the soul</w:t>
      </w:r>
      <w:r w:rsidR="00FC1A30" w:rsidRPr="00A472FC">
        <w:rPr>
          <w:rFonts w:ascii="Times New Roman" w:hAnsi="Times New Roman" w:cs="Times New Roman"/>
        </w:rPr>
        <w:t xml:space="preserve">, with the exception of the medical powers of </w:t>
      </w:r>
      <w:proofErr w:type="spellStart"/>
      <w:r w:rsidR="00FC1A30" w:rsidRPr="00A472FC">
        <w:rPr>
          <w:rFonts w:ascii="Times New Roman" w:hAnsi="Times New Roman" w:cs="Times New Roman"/>
        </w:rPr>
        <w:t>Johannitius</w:t>
      </w:r>
      <w:proofErr w:type="spellEnd"/>
      <w:r w:rsidR="00FC1A30" w:rsidRPr="00A472FC">
        <w:rPr>
          <w:rFonts w:ascii="Times New Roman" w:hAnsi="Times New Roman" w:cs="Times New Roman"/>
        </w:rPr>
        <w:t>, which are not covered in the SDA</w:t>
      </w:r>
      <w:r w:rsidR="00122A2A" w:rsidRPr="00A472FC">
        <w:rPr>
          <w:rFonts w:ascii="Times New Roman" w:hAnsi="Times New Roman" w:cs="Times New Roman"/>
        </w:rPr>
        <w:t>.</w:t>
      </w:r>
      <w:r w:rsidRPr="00A472FC">
        <w:rPr>
          <w:rFonts w:ascii="Times New Roman" w:hAnsi="Times New Roman" w:cs="Times New Roman"/>
        </w:rPr>
        <w:t xml:space="preserve"> Indeed, the repetition of material is in most cases virtually verbatim, with some slight variations or additions here and there. Moreover, the views of Avicenna, pseudo-Augustine, and Damascus are faithfully represented, often with direct quotations or at least paraphrases with commentary. A comparison of John’s account of his sources with the sources themselves shows that he is a careful reader of his texts who is concerned to represent them accurately</w:t>
      </w:r>
      <w:r w:rsidR="001A09E7" w:rsidRPr="00A472FC">
        <w:rPr>
          <w:rFonts w:ascii="Times New Roman" w:hAnsi="Times New Roman" w:cs="Times New Roman"/>
        </w:rPr>
        <w:t>.</w:t>
      </w:r>
    </w:p>
    <w:p w14:paraId="546935EC" w14:textId="7FF9CE07" w:rsidR="0060525A" w:rsidRPr="00A472FC" w:rsidRDefault="00E212D3" w:rsidP="0040509F">
      <w:pPr>
        <w:ind w:right="-52"/>
        <w:rPr>
          <w:rFonts w:ascii="Times New Roman" w:hAnsi="Times New Roman" w:cs="Times New Roman"/>
        </w:rPr>
      </w:pPr>
      <w:r w:rsidRPr="00A472FC">
        <w:rPr>
          <w:rFonts w:ascii="Times New Roman" w:hAnsi="Times New Roman" w:cs="Times New Roman"/>
        </w:rPr>
        <w:tab/>
        <w:t xml:space="preserve">As the discussion of the three authorities has also shown, there is a good deal of overlap or at least compatibility between the three accounts, as Rochelle presents them, not least regarding the vegetative or vital powers and the external senses. Augustine and Damascus do not elaborate on the mechanics of internal sensation and cognition to the extent that Avicenna does; however they provide categories in these respects into which Avicenna’s more robust theories can seemingly be ‘slotted in’. </w:t>
      </w:r>
      <w:r w:rsidR="0040509F" w:rsidRPr="00A472FC">
        <w:rPr>
          <w:rFonts w:ascii="Times New Roman" w:hAnsi="Times New Roman" w:cs="Times New Roman"/>
        </w:rPr>
        <w:t xml:space="preserve">This is precisely what John in the </w:t>
      </w:r>
      <w:proofErr w:type="spellStart"/>
      <w:r w:rsidR="0040509F" w:rsidRPr="00A472FC">
        <w:rPr>
          <w:rFonts w:ascii="Times New Roman" w:hAnsi="Times New Roman" w:cs="Times New Roman"/>
          <w:i/>
          <w:iCs/>
        </w:rPr>
        <w:t>Tractatus</w:t>
      </w:r>
      <w:proofErr w:type="spellEnd"/>
      <w:r w:rsidR="0040509F" w:rsidRPr="00A472FC">
        <w:rPr>
          <w:rFonts w:ascii="Times New Roman" w:hAnsi="Times New Roman" w:cs="Times New Roman"/>
          <w:i/>
          <w:iCs/>
        </w:rPr>
        <w:t xml:space="preserve"> </w:t>
      </w:r>
      <w:r w:rsidR="0040509F" w:rsidRPr="00A472FC">
        <w:rPr>
          <w:rFonts w:ascii="Times New Roman" w:hAnsi="Times New Roman" w:cs="Times New Roman"/>
        </w:rPr>
        <w:t>seems to have done</w:t>
      </w:r>
      <w:r w:rsidR="001C3F8B" w:rsidRPr="00A472FC">
        <w:rPr>
          <w:rFonts w:ascii="Times New Roman" w:hAnsi="Times New Roman" w:cs="Times New Roman"/>
        </w:rPr>
        <w:t xml:space="preserve">: he imported </w:t>
      </w:r>
      <w:r w:rsidR="0060525A" w:rsidRPr="00A472FC">
        <w:rPr>
          <w:rFonts w:ascii="Times New Roman" w:hAnsi="Times New Roman" w:cs="Times New Roman"/>
          <w:iCs/>
        </w:rPr>
        <w:t xml:space="preserve">Avicenna’s specific understanding of how the cognitive faculties operated </w:t>
      </w:r>
      <w:r w:rsidR="00B60DCB" w:rsidRPr="00A472FC">
        <w:rPr>
          <w:rFonts w:ascii="Times New Roman" w:hAnsi="Times New Roman" w:cs="Times New Roman"/>
          <w:iCs/>
        </w:rPr>
        <w:t>through</w:t>
      </w:r>
      <w:r w:rsidR="0060525A" w:rsidRPr="00A472FC">
        <w:rPr>
          <w:rFonts w:ascii="Times New Roman" w:hAnsi="Times New Roman" w:cs="Times New Roman"/>
          <w:iCs/>
        </w:rPr>
        <w:t xml:space="preserve"> the terminology employed by Augustine and Damascus</w:t>
      </w:r>
      <w:r w:rsidR="00A72B86">
        <w:rPr>
          <w:rFonts w:ascii="Times New Roman" w:hAnsi="Times New Roman" w:cs="Times New Roman"/>
          <w:iCs/>
        </w:rPr>
        <w:t>, even though the latter may have defined their terms in different ways</w:t>
      </w:r>
      <w:r w:rsidR="0060525A" w:rsidRPr="00A472FC">
        <w:rPr>
          <w:rFonts w:ascii="Times New Roman" w:hAnsi="Times New Roman" w:cs="Times New Roman"/>
          <w:iCs/>
        </w:rPr>
        <w:t xml:space="preserve">. </w:t>
      </w:r>
    </w:p>
    <w:p w14:paraId="65EE5F13" w14:textId="0D3F2DAB" w:rsidR="00E212D3" w:rsidRPr="00A472FC" w:rsidRDefault="00E212D3" w:rsidP="00F516DA">
      <w:pPr>
        <w:ind w:right="-52" w:firstLine="720"/>
        <w:rPr>
          <w:rFonts w:ascii="Times New Roman" w:hAnsi="Times New Roman" w:cs="Times New Roman"/>
        </w:rPr>
      </w:pPr>
      <w:r w:rsidRPr="00A472FC">
        <w:rPr>
          <w:rFonts w:ascii="Times New Roman" w:hAnsi="Times New Roman" w:cs="Times New Roman"/>
        </w:rPr>
        <w:t>The main difference between the two accounts</w:t>
      </w:r>
      <w:r w:rsidR="00F516DA" w:rsidRPr="00A472FC">
        <w:rPr>
          <w:rFonts w:ascii="Times New Roman" w:hAnsi="Times New Roman" w:cs="Times New Roman"/>
        </w:rPr>
        <w:t xml:space="preserve"> John develops</w:t>
      </w:r>
      <w:r w:rsidRPr="00A472FC">
        <w:rPr>
          <w:rFonts w:ascii="Times New Roman" w:hAnsi="Times New Roman" w:cs="Times New Roman"/>
        </w:rPr>
        <w:t xml:space="preserve">, we have seen, concerns the order in which the key authorities are presented. The </w:t>
      </w:r>
      <w:proofErr w:type="spellStart"/>
      <w:r w:rsidRPr="00A472FC">
        <w:rPr>
          <w:rFonts w:ascii="Times New Roman" w:hAnsi="Times New Roman" w:cs="Times New Roman"/>
          <w:i/>
        </w:rPr>
        <w:t>Tractatus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gives pride of place to ‘the philosophers, especially Avicenna,’ who is followed by Damascus and finally pseudo-Augustine, while the </w:t>
      </w:r>
      <w:r w:rsidRPr="00A472FC">
        <w:rPr>
          <w:rFonts w:ascii="Times New Roman" w:hAnsi="Times New Roman" w:cs="Times New Roman"/>
          <w:i/>
        </w:rPr>
        <w:t xml:space="preserve">Summa de anima </w:t>
      </w:r>
      <w:r w:rsidRPr="00A472FC">
        <w:rPr>
          <w:rFonts w:ascii="Times New Roman" w:hAnsi="Times New Roman" w:cs="Times New Roman"/>
        </w:rPr>
        <w:t xml:space="preserve">foregrounds Augustine and Damascus, and concludes with Avicenna. The reason for this </w:t>
      </w:r>
      <w:proofErr w:type="spellStart"/>
      <w:r w:rsidRPr="00A472FC">
        <w:rPr>
          <w:rFonts w:ascii="Times New Roman" w:hAnsi="Times New Roman" w:cs="Times New Roman"/>
        </w:rPr>
        <w:t>re-organization</w:t>
      </w:r>
      <w:proofErr w:type="spellEnd"/>
      <w:r w:rsidRPr="00A472FC">
        <w:rPr>
          <w:rFonts w:ascii="Times New Roman" w:hAnsi="Times New Roman" w:cs="Times New Roman"/>
        </w:rPr>
        <w:t xml:space="preserve"> is not stated, but the </w:t>
      </w:r>
      <w:r w:rsidR="00264369" w:rsidRPr="00A472FC">
        <w:rPr>
          <w:rFonts w:ascii="Times New Roman" w:hAnsi="Times New Roman" w:cs="Times New Roman"/>
        </w:rPr>
        <w:t>likely</w:t>
      </w:r>
      <w:r w:rsidRPr="00A472FC">
        <w:rPr>
          <w:rFonts w:ascii="Times New Roman" w:hAnsi="Times New Roman" w:cs="Times New Roman"/>
        </w:rPr>
        <w:t xml:space="preserve"> goal was to give primacy to the theological sources over the philosophical ones</w:t>
      </w:r>
      <w:r w:rsidR="001D0FDD" w:rsidRPr="00A472FC">
        <w:rPr>
          <w:rFonts w:ascii="Times New Roman" w:hAnsi="Times New Roman" w:cs="Times New Roman"/>
        </w:rPr>
        <w:t>, and especially Avicenna</w:t>
      </w:r>
      <w:r w:rsidRPr="00A472FC">
        <w:rPr>
          <w:rFonts w:ascii="Times New Roman" w:hAnsi="Times New Roman" w:cs="Times New Roman"/>
        </w:rPr>
        <w:t xml:space="preserve">. With this comparison in view, we are now in a position to explore in more depth the meaning of John’s arguments on the powers of the soul in the SDA, and the cognitive powers of sense and intellect in particular, and thus to understand better the particular </w:t>
      </w:r>
      <w:r w:rsidR="00BC4E74" w:rsidRPr="00A472FC">
        <w:rPr>
          <w:rFonts w:ascii="Times New Roman" w:hAnsi="Times New Roman" w:cs="Times New Roman"/>
        </w:rPr>
        <w:t xml:space="preserve">and indeed strongly </w:t>
      </w:r>
      <w:proofErr w:type="spellStart"/>
      <w:r w:rsidR="00BC4E74" w:rsidRPr="00A472FC">
        <w:rPr>
          <w:rFonts w:ascii="Times New Roman" w:hAnsi="Times New Roman" w:cs="Times New Roman"/>
        </w:rPr>
        <w:t>Avicennian</w:t>
      </w:r>
      <w:proofErr w:type="spellEnd"/>
      <w:r w:rsidR="00BC4E74" w:rsidRPr="00A472FC">
        <w:rPr>
          <w:rFonts w:ascii="Times New Roman" w:hAnsi="Times New Roman" w:cs="Times New Roman"/>
        </w:rPr>
        <w:t xml:space="preserve"> </w:t>
      </w:r>
      <w:r w:rsidRPr="00A472FC">
        <w:rPr>
          <w:rFonts w:ascii="Times New Roman" w:hAnsi="Times New Roman" w:cs="Times New Roman"/>
        </w:rPr>
        <w:t xml:space="preserve">approach to </w:t>
      </w:r>
      <w:proofErr w:type="spellStart"/>
      <w:r w:rsidRPr="00A472FC">
        <w:rPr>
          <w:rFonts w:ascii="Times New Roman" w:hAnsi="Times New Roman" w:cs="Times New Roman"/>
        </w:rPr>
        <w:t>theorizing</w:t>
      </w:r>
      <w:proofErr w:type="spellEnd"/>
      <w:r w:rsidRPr="00A472FC">
        <w:rPr>
          <w:rFonts w:ascii="Times New Roman" w:hAnsi="Times New Roman" w:cs="Times New Roman"/>
        </w:rPr>
        <w:t xml:space="preserve"> knowledge that he develops and endorses. </w:t>
      </w:r>
    </w:p>
    <w:p w14:paraId="04C25537" w14:textId="77777777" w:rsidR="00E212D3" w:rsidRPr="00A472FC" w:rsidRDefault="00E212D3" w:rsidP="00E212D3">
      <w:pPr>
        <w:ind w:right="-52" w:firstLine="720"/>
        <w:rPr>
          <w:rFonts w:ascii="Times New Roman" w:hAnsi="Times New Roman" w:cs="Times New Roman"/>
        </w:rPr>
      </w:pPr>
    </w:p>
    <w:p w14:paraId="2E4BD561" w14:textId="77777777" w:rsidR="00E212D3" w:rsidRPr="00A472FC" w:rsidRDefault="00E212D3" w:rsidP="00E212D3">
      <w:pPr>
        <w:autoSpaceDE w:val="0"/>
        <w:autoSpaceDN w:val="0"/>
        <w:adjustRightInd w:val="0"/>
        <w:ind w:right="-52"/>
        <w:rPr>
          <w:rFonts w:ascii="Times New Roman" w:hAnsi="Times New Roman" w:cs="Times New Roman"/>
          <w:lang w:val="en-US"/>
        </w:rPr>
      </w:pPr>
    </w:p>
    <w:p w14:paraId="2E45BF22" w14:textId="77777777" w:rsidR="00E212D3" w:rsidRPr="00A472FC" w:rsidRDefault="00E212D3" w:rsidP="00E212D3">
      <w:pPr>
        <w:rPr>
          <w:rFonts w:ascii="Times New Roman" w:hAnsi="Times New Roman" w:cs="Times New Roman"/>
          <w:b/>
          <w:color w:val="000000"/>
          <w:lang w:val="en-US"/>
        </w:rPr>
      </w:pPr>
      <w:r w:rsidRPr="00A472FC">
        <w:rPr>
          <w:rFonts w:ascii="Times New Roman" w:hAnsi="Times New Roman" w:cs="Times New Roman"/>
          <w:b/>
        </w:rPr>
        <w:br w:type="page"/>
      </w:r>
    </w:p>
    <w:p w14:paraId="44C24D79" w14:textId="77777777" w:rsidR="00E212D3" w:rsidRPr="00A472FC" w:rsidRDefault="00E212D3" w:rsidP="00E212D3">
      <w:pPr>
        <w:pStyle w:val="Default"/>
        <w:ind w:right="-52"/>
        <w:rPr>
          <w:rFonts w:ascii="Times New Roman" w:hAnsi="Times New Roman" w:cs="Times New Roman"/>
          <w:b/>
        </w:rPr>
      </w:pPr>
      <w:r w:rsidRPr="00A472FC">
        <w:rPr>
          <w:rFonts w:ascii="Times New Roman" w:hAnsi="Times New Roman" w:cs="Times New Roman"/>
          <w:b/>
        </w:rPr>
        <w:lastRenderedPageBreak/>
        <w:t xml:space="preserve">John of La Rochelle’s </w:t>
      </w:r>
      <w:proofErr w:type="spellStart"/>
      <w:r w:rsidRPr="00A472FC">
        <w:rPr>
          <w:rFonts w:ascii="Times New Roman" w:hAnsi="Times New Roman" w:cs="Times New Roman"/>
          <w:b/>
          <w:i/>
        </w:rPr>
        <w:t>Tractatus</w:t>
      </w:r>
      <w:proofErr w:type="spellEnd"/>
    </w:p>
    <w:p w14:paraId="6D22F7CA" w14:textId="77777777" w:rsidR="00E212D3" w:rsidRPr="00A472FC" w:rsidRDefault="00E212D3" w:rsidP="00E212D3">
      <w:pPr>
        <w:pStyle w:val="Default"/>
        <w:ind w:right="-52"/>
        <w:rPr>
          <w:rFonts w:ascii="Times New Roman" w:hAnsi="Times New Roman" w:cs="Times New Roman"/>
          <w:u w:val="single"/>
        </w:rPr>
      </w:pPr>
    </w:p>
    <w:p w14:paraId="7189029B" w14:textId="77777777" w:rsidR="00E212D3" w:rsidRPr="00A472FC" w:rsidRDefault="00E212D3" w:rsidP="00E212D3">
      <w:pPr>
        <w:pStyle w:val="Default"/>
        <w:ind w:right="-52"/>
        <w:rPr>
          <w:rFonts w:ascii="Times New Roman" w:hAnsi="Times New Roman" w:cs="Times New Roman"/>
          <w:u w:val="single"/>
        </w:rPr>
      </w:pPr>
      <w:r w:rsidRPr="00A472FC">
        <w:rPr>
          <w:rFonts w:ascii="Times New Roman" w:hAnsi="Times New Roman" w:cs="Times New Roman"/>
          <w:u w:val="single"/>
        </w:rPr>
        <w:t>The Division of the Philosophers (or Avicenna)</w:t>
      </w:r>
    </w:p>
    <w:p w14:paraId="3035E8D3" w14:textId="77777777" w:rsidR="00E212D3" w:rsidRPr="00A472FC" w:rsidRDefault="00E212D3" w:rsidP="00E212D3">
      <w:pPr>
        <w:pStyle w:val="Default"/>
        <w:ind w:right="-52"/>
        <w:rPr>
          <w:rFonts w:ascii="Times New Roman" w:hAnsi="Times New Roman" w:cs="Times New Roman"/>
        </w:rPr>
      </w:pPr>
    </w:p>
    <w:p w14:paraId="1F31AB84"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Three-fold division of the soul: vegetative, sensitive and rational</w:t>
      </w:r>
    </w:p>
    <w:p w14:paraId="4F8D97A8"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Vegetative power: nutritive, augmentative, generative (Constantine the African)</w:t>
      </w:r>
    </w:p>
    <w:p w14:paraId="05FFE46C" w14:textId="77777777" w:rsidR="00E212D3" w:rsidRPr="00A472FC" w:rsidRDefault="00E212D3" w:rsidP="00E212D3">
      <w:pPr>
        <w:pStyle w:val="Default"/>
        <w:ind w:left="720" w:right="-52" w:firstLine="720"/>
        <w:rPr>
          <w:rFonts w:ascii="Times New Roman" w:hAnsi="Times New Roman" w:cs="Times New Roman"/>
        </w:rPr>
      </w:pPr>
      <w:r w:rsidRPr="00A472FC">
        <w:rPr>
          <w:rFonts w:ascii="Times New Roman" w:hAnsi="Times New Roman" w:cs="Times New Roman"/>
        </w:rPr>
        <w:t>Nutritive: attractive, retentive, digestive, expulsive (Constantine the African)</w:t>
      </w:r>
    </w:p>
    <w:p w14:paraId="44EAB549" w14:textId="77777777" w:rsidR="00E212D3" w:rsidRPr="00A472FC" w:rsidRDefault="00E212D3" w:rsidP="00E212D3">
      <w:pPr>
        <w:pStyle w:val="Default"/>
        <w:ind w:right="-52"/>
        <w:rPr>
          <w:rFonts w:ascii="Times New Roman" w:hAnsi="Times New Roman" w:cs="Times New Roman"/>
        </w:rPr>
      </w:pPr>
    </w:p>
    <w:p w14:paraId="7B39983E"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Spirit (Costa Ben Luca)</w:t>
      </w:r>
    </w:p>
    <w:p w14:paraId="6B9283D9"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Vital: beating of the heart</w:t>
      </w:r>
    </w:p>
    <w:p w14:paraId="6ED90973"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Animal: internal sensation</w:t>
      </w:r>
    </w:p>
    <w:p w14:paraId="174C7718" w14:textId="77777777" w:rsidR="00E212D3" w:rsidRPr="00A472FC" w:rsidRDefault="00E212D3" w:rsidP="00E212D3">
      <w:pPr>
        <w:pStyle w:val="Default"/>
        <w:ind w:right="-52"/>
        <w:rPr>
          <w:rFonts w:ascii="Times New Roman" w:hAnsi="Times New Roman" w:cs="Times New Roman"/>
        </w:rPr>
      </w:pPr>
    </w:p>
    <w:p w14:paraId="6B818000"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Senses</w:t>
      </w:r>
    </w:p>
    <w:p w14:paraId="62186740"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External: sight, hearing, smell, taste, touch</w:t>
      </w:r>
    </w:p>
    <w:p w14:paraId="5D3DE7C7"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Internal: phantasy, common sense, imagination, imaginative, estimative, memory</w:t>
      </w:r>
    </w:p>
    <w:p w14:paraId="2AF19BDB" w14:textId="77777777" w:rsidR="00E212D3" w:rsidRPr="00A472FC" w:rsidRDefault="00E212D3" w:rsidP="00E212D3">
      <w:pPr>
        <w:pStyle w:val="Default"/>
        <w:ind w:right="-52"/>
        <w:rPr>
          <w:rFonts w:ascii="Times New Roman" w:hAnsi="Times New Roman" w:cs="Times New Roman"/>
        </w:rPr>
      </w:pPr>
    </w:p>
    <w:p w14:paraId="11F4DCE1"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Three lobes of the brain (Galen)</w:t>
      </w:r>
    </w:p>
    <w:p w14:paraId="79CA5FAD"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Front: common sense (imaging function)</w:t>
      </w:r>
    </w:p>
    <w:p w14:paraId="63C57C09"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Middle: imaginative, estimation (cognitive function)</w:t>
      </w:r>
    </w:p>
    <w:p w14:paraId="2A345FC7"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Back: imagination, memory (retentive function)</w:t>
      </w:r>
    </w:p>
    <w:p w14:paraId="364B2E75" w14:textId="77777777" w:rsidR="00E212D3" w:rsidRPr="00A472FC" w:rsidRDefault="00E212D3" w:rsidP="00E212D3">
      <w:pPr>
        <w:pStyle w:val="Default"/>
        <w:ind w:right="-52"/>
        <w:rPr>
          <w:rFonts w:ascii="Times New Roman" w:hAnsi="Times New Roman" w:cs="Times New Roman"/>
        </w:rPr>
      </w:pPr>
    </w:p>
    <w:p w14:paraId="7D421E2F"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Memory</w:t>
      </w:r>
    </w:p>
    <w:p w14:paraId="6C8CEF8D"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In humans: recollection based on similar things</w:t>
      </w:r>
    </w:p>
    <w:p w14:paraId="75CEE570"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In animals: mere preservation of image</w:t>
      </w:r>
    </w:p>
    <w:p w14:paraId="1D44E536" w14:textId="77777777" w:rsidR="00E212D3" w:rsidRPr="00A472FC" w:rsidRDefault="00E212D3" w:rsidP="00E212D3">
      <w:pPr>
        <w:pStyle w:val="Default"/>
        <w:ind w:right="-52"/>
        <w:rPr>
          <w:rFonts w:ascii="Times New Roman" w:hAnsi="Times New Roman" w:cs="Times New Roman"/>
        </w:rPr>
      </w:pPr>
    </w:p>
    <w:p w14:paraId="771A1544"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Five ways to distinguish the intellectual power</w:t>
      </w:r>
    </w:p>
    <w:p w14:paraId="3EAECAF0"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Nature: agent and possible intellect</w:t>
      </w:r>
    </w:p>
    <w:p w14:paraId="52AC2F21"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Difference of objects: speculative and practical</w:t>
      </w:r>
    </w:p>
    <w:p w14:paraId="3298EBF1"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Order: superior and inferior</w:t>
      </w:r>
    </w:p>
    <w:p w14:paraId="2FA0460F"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Relation to the Body: Corruptible/inseparable versus incorruptible/separable</w:t>
      </w:r>
    </w:p>
    <w:p w14:paraId="32AC6832"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 xml:space="preserve">Mode of Operation </w:t>
      </w:r>
    </w:p>
    <w:p w14:paraId="1B26093A" w14:textId="77777777" w:rsidR="00E212D3" w:rsidRPr="00A472FC" w:rsidRDefault="00E212D3" w:rsidP="00E212D3">
      <w:pPr>
        <w:pStyle w:val="Default"/>
        <w:ind w:right="-52"/>
        <w:rPr>
          <w:rFonts w:ascii="Times New Roman" w:hAnsi="Times New Roman" w:cs="Times New Roman"/>
        </w:rPr>
      </w:pPr>
    </w:p>
    <w:p w14:paraId="1D3CBF5A"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 xml:space="preserve">Organ of cognition – none because mind abstracts from matter </w:t>
      </w:r>
    </w:p>
    <w:p w14:paraId="3E85ABE6"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Objects of cognition: above, next to, and below the self (</w:t>
      </w:r>
      <w:r w:rsidRPr="00A472FC">
        <w:rPr>
          <w:rFonts w:ascii="Times New Roman" w:hAnsi="Times New Roman" w:cs="Times New Roman"/>
          <w:i/>
        </w:rPr>
        <w:t xml:space="preserve">De </w:t>
      </w:r>
      <w:proofErr w:type="spellStart"/>
      <w:r w:rsidRPr="00A472FC">
        <w:rPr>
          <w:rFonts w:ascii="Times New Roman" w:hAnsi="Times New Roman" w:cs="Times New Roman"/>
          <w:i/>
        </w:rPr>
        <w:t>spiritu</w:t>
      </w:r>
      <w:proofErr w:type="spellEnd"/>
      <w:r w:rsidRPr="00A472FC">
        <w:rPr>
          <w:rFonts w:ascii="Times New Roman" w:hAnsi="Times New Roman" w:cs="Times New Roman"/>
          <w:i/>
        </w:rPr>
        <w:t xml:space="preserve"> et anima</w:t>
      </w:r>
      <w:r w:rsidRPr="00A472FC">
        <w:rPr>
          <w:rFonts w:ascii="Times New Roman" w:hAnsi="Times New Roman" w:cs="Times New Roman"/>
        </w:rPr>
        <w:t>)</w:t>
      </w:r>
    </w:p>
    <w:p w14:paraId="292065FB"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Order of abstraction: exterior senses, imagination, estimation, intellect</w:t>
      </w:r>
    </w:p>
    <w:p w14:paraId="5AF51657" w14:textId="77777777" w:rsidR="00E212D3" w:rsidRPr="00A472FC" w:rsidRDefault="00E212D3" w:rsidP="00E212D3">
      <w:pPr>
        <w:pStyle w:val="Default"/>
        <w:ind w:right="-52"/>
        <w:rPr>
          <w:rFonts w:ascii="Times New Roman" w:hAnsi="Times New Roman" w:cs="Times New Roman"/>
        </w:rPr>
      </w:pPr>
    </w:p>
    <w:p w14:paraId="0766DE60"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Passive (material) versus separable intellect</w:t>
      </w:r>
    </w:p>
    <w:p w14:paraId="106DC964"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Material intellect: receives intelligible species in phantasms</w:t>
      </w:r>
    </w:p>
    <w:p w14:paraId="5ED3C3DD"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Separable intellect (agent and possible): abstracts species from phantasms</w:t>
      </w:r>
    </w:p>
    <w:p w14:paraId="7D0DDA83" w14:textId="77777777" w:rsidR="00E212D3" w:rsidRPr="00A472FC" w:rsidRDefault="00E212D3" w:rsidP="00E212D3">
      <w:pPr>
        <w:pStyle w:val="Default"/>
        <w:ind w:right="-52"/>
        <w:rPr>
          <w:rFonts w:ascii="Times New Roman" w:hAnsi="Times New Roman" w:cs="Times New Roman"/>
        </w:rPr>
      </w:pPr>
    </w:p>
    <w:p w14:paraId="1784BCA4"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Separable intellect</w:t>
      </w:r>
    </w:p>
    <w:p w14:paraId="5A45AC87"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Nature: possible and agent</w:t>
      </w:r>
    </w:p>
    <w:p w14:paraId="3DF8A5CA"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Order: inferior and superior</w:t>
      </w:r>
    </w:p>
    <w:p w14:paraId="06FCFBB2"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Mode of apprehension: inductive or syllogistic</w:t>
      </w:r>
    </w:p>
    <w:p w14:paraId="32508FD1" w14:textId="77777777" w:rsidR="00E212D3" w:rsidRPr="00A472FC" w:rsidRDefault="00E212D3" w:rsidP="00E212D3">
      <w:pPr>
        <w:pStyle w:val="Default"/>
        <w:ind w:right="-52"/>
        <w:rPr>
          <w:rFonts w:ascii="Times New Roman" w:hAnsi="Times New Roman" w:cs="Times New Roman"/>
        </w:rPr>
      </w:pPr>
    </w:p>
    <w:p w14:paraId="57AA0896"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Possible Intellect</w:t>
      </w:r>
    </w:p>
    <w:p w14:paraId="31183D28" w14:textId="77777777" w:rsidR="00E212D3" w:rsidRPr="00A472FC" w:rsidRDefault="00E212D3" w:rsidP="00E212D3">
      <w:pPr>
        <w:pStyle w:val="Default"/>
        <w:ind w:right="-52"/>
        <w:rPr>
          <w:rFonts w:ascii="Times New Roman" w:hAnsi="Times New Roman" w:cs="Times New Roman"/>
          <w:i/>
          <w:iCs/>
        </w:rPr>
      </w:pPr>
      <w:r w:rsidRPr="00A472FC">
        <w:rPr>
          <w:rFonts w:ascii="Times New Roman" w:hAnsi="Times New Roman" w:cs="Times New Roman"/>
        </w:rPr>
        <w:tab/>
      </w:r>
      <w:proofErr w:type="spellStart"/>
      <w:r w:rsidRPr="00A472FC">
        <w:rPr>
          <w:rFonts w:ascii="Times New Roman" w:hAnsi="Times New Roman" w:cs="Times New Roman"/>
          <w:i/>
          <w:iCs/>
        </w:rPr>
        <w:t>intellectus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materialis</w:t>
      </w:r>
      <w:proofErr w:type="spellEnd"/>
    </w:p>
    <w:p w14:paraId="09EEF922" w14:textId="77777777" w:rsidR="00E212D3" w:rsidRPr="00A472FC" w:rsidRDefault="00E212D3" w:rsidP="00E212D3">
      <w:pPr>
        <w:pStyle w:val="Default"/>
        <w:ind w:right="-52" w:firstLine="720"/>
        <w:rPr>
          <w:rFonts w:ascii="Times New Roman" w:hAnsi="Times New Roman" w:cs="Times New Roman"/>
          <w:i/>
          <w:iCs/>
        </w:rPr>
      </w:pPr>
      <w:proofErr w:type="spellStart"/>
      <w:r w:rsidRPr="00A472FC">
        <w:rPr>
          <w:rFonts w:ascii="Times New Roman" w:hAnsi="Times New Roman" w:cs="Times New Roman"/>
          <w:i/>
          <w:iCs/>
        </w:rPr>
        <w:t>intellectus</w:t>
      </w:r>
      <w:proofErr w:type="spellEnd"/>
      <w:r w:rsidRPr="00A472FC">
        <w:rPr>
          <w:rFonts w:ascii="Times New Roman" w:hAnsi="Times New Roman" w:cs="Times New Roman"/>
          <w:i/>
          <w:iCs/>
        </w:rPr>
        <w:t xml:space="preserve"> in </w:t>
      </w:r>
      <w:proofErr w:type="spellStart"/>
      <w:r w:rsidRPr="00A472FC">
        <w:rPr>
          <w:rFonts w:ascii="Times New Roman" w:hAnsi="Times New Roman" w:cs="Times New Roman"/>
          <w:i/>
          <w:iCs/>
        </w:rPr>
        <w:t>effectu</w:t>
      </w:r>
      <w:proofErr w:type="spellEnd"/>
    </w:p>
    <w:p w14:paraId="2FD83969" w14:textId="77777777" w:rsidR="00E212D3" w:rsidRPr="00A472FC" w:rsidRDefault="00E212D3" w:rsidP="00E212D3">
      <w:pPr>
        <w:pStyle w:val="Default"/>
        <w:ind w:right="-52" w:firstLine="720"/>
        <w:rPr>
          <w:rFonts w:ascii="Times New Roman" w:hAnsi="Times New Roman" w:cs="Times New Roman"/>
          <w:i/>
          <w:iCs/>
        </w:rPr>
      </w:pPr>
      <w:proofErr w:type="spellStart"/>
      <w:r w:rsidRPr="00A472FC">
        <w:rPr>
          <w:rFonts w:ascii="Times New Roman" w:hAnsi="Times New Roman" w:cs="Times New Roman"/>
          <w:i/>
          <w:iCs/>
        </w:rPr>
        <w:t>intellectus</w:t>
      </w:r>
      <w:proofErr w:type="spellEnd"/>
      <w:r w:rsidRPr="00A472FC">
        <w:rPr>
          <w:rFonts w:ascii="Times New Roman" w:hAnsi="Times New Roman" w:cs="Times New Roman"/>
          <w:i/>
          <w:iCs/>
        </w:rPr>
        <w:t xml:space="preserve"> in </w:t>
      </w:r>
      <w:proofErr w:type="spellStart"/>
      <w:r w:rsidRPr="00A472FC">
        <w:rPr>
          <w:rFonts w:ascii="Times New Roman" w:hAnsi="Times New Roman" w:cs="Times New Roman"/>
          <w:i/>
          <w:iCs/>
        </w:rPr>
        <w:t>habitu</w:t>
      </w:r>
      <w:proofErr w:type="spellEnd"/>
    </w:p>
    <w:p w14:paraId="151F437E" w14:textId="77777777" w:rsidR="00E212D3" w:rsidRPr="00A472FC" w:rsidRDefault="00E212D3" w:rsidP="00E212D3">
      <w:pPr>
        <w:pStyle w:val="Default"/>
        <w:ind w:right="-52" w:firstLine="720"/>
        <w:rPr>
          <w:rFonts w:ascii="Times New Roman" w:hAnsi="Times New Roman" w:cs="Times New Roman"/>
          <w:i/>
          <w:iCs/>
        </w:rPr>
      </w:pPr>
      <w:proofErr w:type="spellStart"/>
      <w:r w:rsidRPr="00A472FC">
        <w:rPr>
          <w:rFonts w:ascii="Times New Roman" w:hAnsi="Times New Roman" w:cs="Times New Roman"/>
          <w:i/>
          <w:iCs/>
        </w:rPr>
        <w:t>intellectus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adeptus</w:t>
      </w:r>
      <w:proofErr w:type="spellEnd"/>
    </w:p>
    <w:p w14:paraId="6B6D0426" w14:textId="77777777" w:rsidR="00E212D3" w:rsidRPr="00A472FC" w:rsidRDefault="00E212D3" w:rsidP="00E212D3">
      <w:pPr>
        <w:pStyle w:val="Default"/>
        <w:ind w:right="-52"/>
        <w:rPr>
          <w:rFonts w:ascii="Times New Roman" w:hAnsi="Times New Roman" w:cs="Times New Roman"/>
          <w:i/>
          <w:iCs/>
        </w:rPr>
      </w:pPr>
    </w:p>
    <w:p w14:paraId="50451BAB"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Agent Intellect</w:t>
      </w:r>
    </w:p>
    <w:p w14:paraId="06433E53"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God is agent intellect for knowledge of God (</w:t>
      </w:r>
      <w:r w:rsidRPr="00A472FC">
        <w:rPr>
          <w:rFonts w:ascii="Times New Roman" w:hAnsi="Times New Roman" w:cs="Times New Roman"/>
          <w:i/>
          <w:iCs/>
        </w:rPr>
        <w:t>supra se</w:t>
      </w:r>
      <w:r w:rsidRPr="00A472FC">
        <w:rPr>
          <w:rFonts w:ascii="Times New Roman" w:hAnsi="Times New Roman" w:cs="Times New Roman"/>
        </w:rPr>
        <w:t>)</w:t>
      </w:r>
    </w:p>
    <w:p w14:paraId="5CBAA967"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Angel for knowledge of angels (</w:t>
      </w:r>
      <w:proofErr w:type="spellStart"/>
      <w:r w:rsidRPr="00A472FC">
        <w:rPr>
          <w:rFonts w:ascii="Times New Roman" w:hAnsi="Times New Roman" w:cs="Times New Roman"/>
          <w:i/>
          <w:iCs/>
        </w:rPr>
        <w:t>iuxta</w:t>
      </w:r>
      <w:proofErr w:type="spellEnd"/>
      <w:r w:rsidRPr="00A472FC">
        <w:rPr>
          <w:rFonts w:ascii="Times New Roman" w:hAnsi="Times New Roman" w:cs="Times New Roman"/>
          <w:i/>
          <w:iCs/>
        </w:rPr>
        <w:t xml:space="preserve"> se</w:t>
      </w:r>
      <w:r w:rsidRPr="00A472FC">
        <w:rPr>
          <w:rFonts w:ascii="Times New Roman" w:hAnsi="Times New Roman" w:cs="Times New Roman"/>
        </w:rPr>
        <w:t>)</w:t>
      </w:r>
    </w:p>
    <w:p w14:paraId="0001B78D"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Self for knowledge of self and things ‘below’ the self (</w:t>
      </w:r>
      <w:r w:rsidRPr="00A472FC">
        <w:rPr>
          <w:rFonts w:ascii="Times New Roman" w:hAnsi="Times New Roman" w:cs="Times New Roman"/>
          <w:i/>
          <w:iCs/>
        </w:rPr>
        <w:t>infra se</w:t>
      </w:r>
      <w:r w:rsidRPr="00A472FC">
        <w:rPr>
          <w:rFonts w:ascii="Times New Roman" w:hAnsi="Times New Roman" w:cs="Times New Roman"/>
        </w:rPr>
        <w:t>)</w:t>
      </w:r>
    </w:p>
    <w:p w14:paraId="5CEB5B9C" w14:textId="77777777" w:rsidR="00E212D3" w:rsidRPr="00A472FC" w:rsidRDefault="00E212D3" w:rsidP="00E212D3">
      <w:pPr>
        <w:pStyle w:val="Default"/>
        <w:ind w:right="-52"/>
        <w:rPr>
          <w:rFonts w:ascii="Times New Roman" w:hAnsi="Times New Roman" w:cs="Times New Roman"/>
        </w:rPr>
      </w:pPr>
    </w:p>
    <w:p w14:paraId="4C266323"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Mode of operation</w:t>
      </w:r>
    </w:p>
    <w:p w14:paraId="77B619E4"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Inductive</w:t>
      </w:r>
    </w:p>
    <w:p w14:paraId="200C3A6A"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Syllogistic</w:t>
      </w:r>
    </w:p>
    <w:p w14:paraId="1029AE48" w14:textId="77777777" w:rsidR="00E212D3" w:rsidRPr="00A472FC" w:rsidRDefault="00E212D3" w:rsidP="00E212D3">
      <w:pPr>
        <w:pStyle w:val="Default"/>
        <w:ind w:right="-52"/>
        <w:rPr>
          <w:rFonts w:ascii="Times New Roman" w:hAnsi="Times New Roman" w:cs="Times New Roman"/>
        </w:rPr>
      </w:pPr>
    </w:p>
    <w:p w14:paraId="2A0FB55B"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Inferior and superior</w:t>
      </w:r>
    </w:p>
    <w:p w14:paraId="37AD3C8D"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Superior is like agent intellect</w:t>
      </w:r>
    </w:p>
    <w:p w14:paraId="0BF8B48F" w14:textId="61D3D713"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Inferior like possible</w:t>
      </w:r>
    </w:p>
    <w:p w14:paraId="16EED503" w14:textId="636E9726" w:rsidR="003D5688" w:rsidRPr="00A472FC" w:rsidRDefault="003D5688" w:rsidP="00E212D3">
      <w:pPr>
        <w:pStyle w:val="Default"/>
        <w:ind w:right="-52"/>
        <w:rPr>
          <w:rFonts w:ascii="Times New Roman" w:hAnsi="Times New Roman" w:cs="Times New Roman"/>
        </w:rPr>
      </w:pPr>
    </w:p>
    <w:p w14:paraId="24A97C73" w14:textId="1F418F78" w:rsidR="003D5688" w:rsidRPr="00A472FC" w:rsidRDefault="003D5688" w:rsidP="00E212D3">
      <w:pPr>
        <w:pStyle w:val="Default"/>
        <w:ind w:right="-52"/>
        <w:rPr>
          <w:rFonts w:ascii="Times New Roman" w:hAnsi="Times New Roman" w:cs="Times New Roman"/>
          <w:color w:val="A5A5A5" w:themeColor="accent3"/>
          <w:u w:val="single"/>
        </w:rPr>
      </w:pPr>
      <w:r w:rsidRPr="00A472FC">
        <w:rPr>
          <w:rFonts w:ascii="Times New Roman" w:hAnsi="Times New Roman" w:cs="Times New Roman"/>
          <w:color w:val="A5A5A5" w:themeColor="accent3"/>
          <w:u w:val="single"/>
        </w:rPr>
        <w:t>The Division of the Doctors</w:t>
      </w:r>
      <w:r w:rsidR="008810A6" w:rsidRPr="00A472FC">
        <w:rPr>
          <w:rFonts w:ascii="Times New Roman" w:hAnsi="Times New Roman" w:cs="Times New Roman"/>
          <w:color w:val="A5A5A5" w:themeColor="accent3"/>
          <w:u w:val="single"/>
        </w:rPr>
        <w:t xml:space="preserve"> (</w:t>
      </w:r>
      <w:proofErr w:type="spellStart"/>
      <w:r w:rsidR="008810A6" w:rsidRPr="00A472FC">
        <w:rPr>
          <w:rFonts w:ascii="Times New Roman" w:hAnsi="Times New Roman" w:cs="Times New Roman"/>
          <w:color w:val="A5A5A5" w:themeColor="accent3"/>
          <w:u w:val="single"/>
        </w:rPr>
        <w:t>Johannitius</w:t>
      </w:r>
      <w:proofErr w:type="spellEnd"/>
      <w:r w:rsidR="008810A6" w:rsidRPr="00A472FC">
        <w:rPr>
          <w:rFonts w:ascii="Times New Roman" w:hAnsi="Times New Roman" w:cs="Times New Roman"/>
          <w:color w:val="A5A5A5" w:themeColor="accent3"/>
          <w:u w:val="single"/>
        </w:rPr>
        <w:t xml:space="preserve"> and Avicenna)</w:t>
      </w:r>
    </w:p>
    <w:p w14:paraId="228BE096" w14:textId="6B338DE4" w:rsidR="003D5688" w:rsidRPr="00A472FC" w:rsidRDefault="003D5688" w:rsidP="00E212D3">
      <w:pPr>
        <w:pStyle w:val="Default"/>
        <w:ind w:right="-52"/>
        <w:rPr>
          <w:rFonts w:ascii="Times New Roman" w:hAnsi="Times New Roman" w:cs="Times New Roman"/>
          <w:color w:val="A5A5A5" w:themeColor="accent3"/>
        </w:rPr>
      </w:pPr>
    </w:p>
    <w:p w14:paraId="2248609A" w14:textId="35131E52" w:rsidR="00CA702D" w:rsidRPr="00A472FC" w:rsidRDefault="00CA702D" w:rsidP="00323C68">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t>Natural</w:t>
      </w:r>
      <w:r w:rsidR="00323C68" w:rsidRPr="00A472FC">
        <w:rPr>
          <w:rFonts w:ascii="Times New Roman" w:hAnsi="Times New Roman" w:cs="Times New Roman"/>
          <w:color w:val="A5A5A5" w:themeColor="accent3"/>
        </w:rPr>
        <w:t xml:space="preserve"> powers</w:t>
      </w:r>
      <w:r w:rsidR="00221287" w:rsidRPr="00A472FC">
        <w:rPr>
          <w:rFonts w:ascii="Times New Roman" w:hAnsi="Times New Roman" w:cs="Times New Roman"/>
          <w:color w:val="A5A5A5" w:themeColor="accent3"/>
        </w:rPr>
        <w:t xml:space="preserve"> (liver)</w:t>
      </w:r>
    </w:p>
    <w:p w14:paraId="546DF8A0" w14:textId="77777777" w:rsidR="00323C68" w:rsidRPr="00A472FC" w:rsidRDefault="00CA702D"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t>Generative</w:t>
      </w:r>
    </w:p>
    <w:p w14:paraId="6D80861B" w14:textId="0613BBC8" w:rsidR="00323C68" w:rsidRPr="00A472FC" w:rsidRDefault="00323C68" w:rsidP="00323C68">
      <w:pPr>
        <w:pStyle w:val="Default"/>
        <w:ind w:left="720" w:right="-52" w:firstLine="720"/>
        <w:rPr>
          <w:rFonts w:ascii="Times New Roman" w:hAnsi="Times New Roman" w:cs="Times New Roman"/>
          <w:color w:val="A5A5A5" w:themeColor="accent3"/>
        </w:rPr>
      </w:pPr>
      <w:r w:rsidRPr="00A472FC">
        <w:rPr>
          <w:rFonts w:ascii="Times New Roman" w:hAnsi="Times New Roman" w:cs="Times New Roman"/>
          <w:color w:val="A5A5A5" w:themeColor="accent3"/>
        </w:rPr>
        <w:t>N</w:t>
      </w:r>
      <w:r w:rsidR="00CA702D" w:rsidRPr="00A472FC">
        <w:rPr>
          <w:rFonts w:ascii="Times New Roman" w:hAnsi="Times New Roman" w:cs="Times New Roman"/>
          <w:color w:val="A5A5A5" w:themeColor="accent3"/>
        </w:rPr>
        <w:t>utritive</w:t>
      </w:r>
    </w:p>
    <w:p w14:paraId="3E179D4E" w14:textId="6A3D7365" w:rsidR="00323C68" w:rsidRPr="00A472FC" w:rsidRDefault="00323C68" w:rsidP="00323C68">
      <w:pPr>
        <w:pStyle w:val="Default"/>
        <w:ind w:left="720" w:right="-52" w:firstLine="720"/>
        <w:rPr>
          <w:rFonts w:ascii="Times New Roman" w:hAnsi="Times New Roman" w:cs="Times New Roman"/>
          <w:color w:val="A5A5A5" w:themeColor="accent3"/>
        </w:rPr>
      </w:pPr>
      <w:r w:rsidRPr="00A472FC">
        <w:rPr>
          <w:rFonts w:ascii="Times New Roman" w:hAnsi="Times New Roman" w:cs="Times New Roman"/>
          <w:color w:val="A5A5A5" w:themeColor="accent3"/>
        </w:rPr>
        <w:tab/>
        <w:t>Appetitive, retentive, digestive, expulsive</w:t>
      </w:r>
    </w:p>
    <w:p w14:paraId="132641B9" w14:textId="76A5A6D4" w:rsidR="00CA702D" w:rsidRPr="00A472FC" w:rsidRDefault="00323C68" w:rsidP="00323C68">
      <w:pPr>
        <w:pStyle w:val="Default"/>
        <w:ind w:left="720" w:right="-52" w:firstLine="720"/>
        <w:rPr>
          <w:rFonts w:ascii="Times New Roman" w:hAnsi="Times New Roman" w:cs="Times New Roman"/>
          <w:color w:val="A5A5A5" w:themeColor="accent3"/>
        </w:rPr>
      </w:pPr>
      <w:r w:rsidRPr="00A472FC">
        <w:rPr>
          <w:rFonts w:ascii="Times New Roman" w:hAnsi="Times New Roman" w:cs="Times New Roman"/>
          <w:color w:val="A5A5A5" w:themeColor="accent3"/>
        </w:rPr>
        <w:t>A</w:t>
      </w:r>
      <w:r w:rsidR="00CA702D" w:rsidRPr="00A472FC">
        <w:rPr>
          <w:rFonts w:ascii="Times New Roman" w:hAnsi="Times New Roman" w:cs="Times New Roman"/>
          <w:color w:val="A5A5A5" w:themeColor="accent3"/>
        </w:rPr>
        <w:t>ugmentative</w:t>
      </w:r>
    </w:p>
    <w:p w14:paraId="3171FCF9" w14:textId="5A41B073" w:rsidR="00323C68" w:rsidRPr="00A472FC" w:rsidRDefault="00CA702D"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r>
      <w:r w:rsidR="00323C68" w:rsidRPr="00A472FC">
        <w:rPr>
          <w:rFonts w:ascii="Times New Roman" w:hAnsi="Times New Roman" w:cs="Times New Roman"/>
          <w:color w:val="A5A5A5" w:themeColor="accent3"/>
        </w:rPr>
        <w:t>Spiritual powers</w:t>
      </w:r>
      <w:r w:rsidR="00221287" w:rsidRPr="00A472FC">
        <w:rPr>
          <w:rFonts w:ascii="Times New Roman" w:hAnsi="Times New Roman" w:cs="Times New Roman"/>
          <w:color w:val="A5A5A5" w:themeColor="accent3"/>
        </w:rPr>
        <w:t xml:space="preserve"> (heart)</w:t>
      </w:r>
    </w:p>
    <w:p w14:paraId="16D9179B" w14:textId="77777777" w:rsidR="00323C68" w:rsidRPr="00A472FC" w:rsidRDefault="00323C68"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t>Pumping of blood through the heart</w:t>
      </w:r>
    </w:p>
    <w:p w14:paraId="4906CD77" w14:textId="083C7438" w:rsidR="00323C68" w:rsidRPr="00A472FC" w:rsidRDefault="00323C68"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t>Animal powers</w:t>
      </w:r>
      <w:r w:rsidR="00221287" w:rsidRPr="00A472FC">
        <w:rPr>
          <w:rFonts w:ascii="Times New Roman" w:hAnsi="Times New Roman" w:cs="Times New Roman"/>
          <w:color w:val="A5A5A5" w:themeColor="accent3"/>
        </w:rPr>
        <w:t xml:space="preserve"> (brain)</w:t>
      </w:r>
    </w:p>
    <w:p w14:paraId="3AE9B2D7" w14:textId="5F15E8A6" w:rsidR="00323C68" w:rsidRPr="00A472FC" w:rsidRDefault="00323C68"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t>Fantasy (front o</w:t>
      </w:r>
      <w:r w:rsidR="00AB7BC3" w:rsidRPr="00A472FC">
        <w:rPr>
          <w:rFonts w:ascii="Times New Roman" w:hAnsi="Times New Roman" w:cs="Times New Roman"/>
          <w:color w:val="A5A5A5" w:themeColor="accent3"/>
        </w:rPr>
        <w:t>f the</w:t>
      </w:r>
      <w:r w:rsidRPr="00A472FC">
        <w:rPr>
          <w:rFonts w:ascii="Times New Roman" w:hAnsi="Times New Roman" w:cs="Times New Roman"/>
          <w:color w:val="A5A5A5" w:themeColor="accent3"/>
        </w:rPr>
        <w:t xml:space="preserve"> brain)</w:t>
      </w:r>
    </w:p>
    <w:p w14:paraId="668B1732" w14:textId="298AF7AD" w:rsidR="001D6627" w:rsidRPr="00A472FC" w:rsidRDefault="001D6627"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t>Common sense (Avicenna)</w:t>
      </w:r>
    </w:p>
    <w:p w14:paraId="534C6058" w14:textId="7261A02E" w:rsidR="0086655E" w:rsidRPr="00A472FC" w:rsidRDefault="0086655E"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t>Imagination (Avicenna)</w:t>
      </w:r>
    </w:p>
    <w:p w14:paraId="0960B756" w14:textId="562A28DE" w:rsidR="00323C68" w:rsidRPr="00A472FC" w:rsidRDefault="00323C68"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t>R</w:t>
      </w:r>
      <w:r w:rsidR="00AB7BC3" w:rsidRPr="00A472FC">
        <w:rPr>
          <w:rFonts w:ascii="Times New Roman" w:hAnsi="Times New Roman" w:cs="Times New Roman"/>
          <w:color w:val="A5A5A5" w:themeColor="accent3"/>
        </w:rPr>
        <w:t>eason</w:t>
      </w:r>
      <w:r w:rsidRPr="00A472FC">
        <w:rPr>
          <w:rFonts w:ascii="Times New Roman" w:hAnsi="Times New Roman" w:cs="Times New Roman"/>
          <w:color w:val="A5A5A5" w:themeColor="accent3"/>
        </w:rPr>
        <w:t xml:space="preserve"> (middle of the brain)</w:t>
      </w:r>
    </w:p>
    <w:p w14:paraId="2A6EB83F" w14:textId="37DC6FDF" w:rsidR="001D6627" w:rsidRPr="00A472FC" w:rsidRDefault="001D6627"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t>Imaginative/</w:t>
      </w:r>
      <w:proofErr w:type="spellStart"/>
      <w:r w:rsidRPr="00A472FC">
        <w:rPr>
          <w:rFonts w:ascii="Times New Roman" w:hAnsi="Times New Roman" w:cs="Times New Roman"/>
          <w:color w:val="A5A5A5" w:themeColor="accent3"/>
        </w:rPr>
        <w:t>excogiative</w:t>
      </w:r>
      <w:proofErr w:type="spellEnd"/>
      <w:r w:rsidRPr="00A472FC">
        <w:rPr>
          <w:rFonts w:ascii="Times New Roman" w:hAnsi="Times New Roman" w:cs="Times New Roman"/>
          <w:color w:val="A5A5A5" w:themeColor="accent3"/>
        </w:rPr>
        <w:t xml:space="preserve"> power (Avicenna)</w:t>
      </w:r>
    </w:p>
    <w:p w14:paraId="1EBC80A0" w14:textId="1232215B" w:rsidR="001D6627" w:rsidRPr="00A472FC" w:rsidRDefault="001D6627"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t>Estimation (Avicenna)</w:t>
      </w:r>
    </w:p>
    <w:p w14:paraId="6B57D10D" w14:textId="327E1226" w:rsidR="00CA702D" w:rsidRPr="00A472FC" w:rsidRDefault="00323C68"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t>Memory (back of the brain)</w:t>
      </w:r>
      <w:r w:rsidRPr="00A472FC">
        <w:rPr>
          <w:rFonts w:ascii="Times New Roman" w:hAnsi="Times New Roman" w:cs="Times New Roman"/>
          <w:color w:val="A5A5A5" w:themeColor="accent3"/>
        </w:rPr>
        <w:tab/>
      </w:r>
      <w:r w:rsidR="00CA702D" w:rsidRPr="00A472FC">
        <w:rPr>
          <w:rFonts w:ascii="Times New Roman" w:hAnsi="Times New Roman" w:cs="Times New Roman"/>
          <w:color w:val="A5A5A5" w:themeColor="accent3"/>
        </w:rPr>
        <w:tab/>
      </w:r>
    </w:p>
    <w:p w14:paraId="20E30A15" w14:textId="4F046267" w:rsidR="001D6627" w:rsidRPr="00A472FC" w:rsidRDefault="001D6627"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r>
      <w:r w:rsidRPr="00A472FC">
        <w:rPr>
          <w:rFonts w:ascii="Times New Roman" w:hAnsi="Times New Roman" w:cs="Times New Roman"/>
          <w:color w:val="A5A5A5" w:themeColor="accent3"/>
        </w:rPr>
        <w:tab/>
        <w:t>Sense memory  (Avicenna)</w:t>
      </w:r>
    </w:p>
    <w:p w14:paraId="5F33826D" w14:textId="77777777" w:rsidR="00E212D3" w:rsidRPr="00A472FC" w:rsidRDefault="00E212D3" w:rsidP="00E212D3">
      <w:pPr>
        <w:pStyle w:val="Default"/>
        <w:ind w:right="-52"/>
        <w:rPr>
          <w:rFonts w:ascii="Times New Roman" w:hAnsi="Times New Roman" w:cs="Times New Roman"/>
        </w:rPr>
      </w:pPr>
    </w:p>
    <w:p w14:paraId="561F7D71" w14:textId="77777777" w:rsidR="00E212D3" w:rsidRPr="00A472FC" w:rsidRDefault="00E212D3" w:rsidP="00E212D3">
      <w:pPr>
        <w:pStyle w:val="Default"/>
        <w:ind w:right="-52"/>
        <w:rPr>
          <w:rFonts w:ascii="Times New Roman" w:hAnsi="Times New Roman" w:cs="Times New Roman"/>
          <w:u w:val="single"/>
        </w:rPr>
      </w:pPr>
      <w:r w:rsidRPr="00A472FC">
        <w:rPr>
          <w:rFonts w:ascii="Times New Roman" w:hAnsi="Times New Roman" w:cs="Times New Roman"/>
          <w:u w:val="single"/>
        </w:rPr>
        <w:t>The Division of Damascus</w:t>
      </w:r>
    </w:p>
    <w:p w14:paraId="111C3CD5" w14:textId="77777777" w:rsidR="00E212D3" w:rsidRPr="00A472FC" w:rsidRDefault="00E212D3" w:rsidP="00E212D3">
      <w:pPr>
        <w:pStyle w:val="Default"/>
        <w:ind w:right="-52"/>
        <w:rPr>
          <w:rFonts w:ascii="Times New Roman" w:hAnsi="Times New Roman" w:cs="Times New Roman"/>
        </w:rPr>
      </w:pPr>
    </w:p>
    <w:p w14:paraId="0356769F"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Cognitive powers</w:t>
      </w:r>
    </w:p>
    <w:p w14:paraId="271170EE"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Sense, imagination, opinion, mind, intellect</w:t>
      </w:r>
    </w:p>
    <w:p w14:paraId="632612A8" w14:textId="77777777" w:rsidR="00E212D3" w:rsidRPr="00A472FC" w:rsidRDefault="00E212D3" w:rsidP="00E212D3">
      <w:pPr>
        <w:pStyle w:val="Default"/>
        <w:ind w:left="720" w:right="-52" w:firstLine="720"/>
        <w:rPr>
          <w:rFonts w:ascii="Times New Roman" w:hAnsi="Times New Roman" w:cs="Times New Roman"/>
        </w:rPr>
      </w:pPr>
      <w:r w:rsidRPr="00A472FC">
        <w:rPr>
          <w:rFonts w:ascii="Times New Roman" w:hAnsi="Times New Roman" w:cs="Times New Roman"/>
        </w:rPr>
        <w:t xml:space="preserve">External senses: </w:t>
      </w:r>
      <w:r w:rsidRPr="00A472FC">
        <w:rPr>
          <w:rFonts w:ascii="Times New Roman" w:hAnsi="Times New Roman" w:cs="Times New Roman"/>
          <w:kern w:val="1"/>
        </w:rPr>
        <w:t>sight, hearing, smell, taste, and touch</w:t>
      </w:r>
    </w:p>
    <w:p w14:paraId="46A699B6" w14:textId="77777777" w:rsidR="00E212D3" w:rsidRPr="00A472FC" w:rsidRDefault="00E212D3" w:rsidP="00E212D3">
      <w:pPr>
        <w:pStyle w:val="Default"/>
        <w:ind w:left="720" w:right="-52" w:firstLine="720"/>
        <w:rPr>
          <w:rFonts w:ascii="Times New Roman" w:hAnsi="Times New Roman" w:cs="Times New Roman"/>
        </w:rPr>
      </w:pPr>
      <w:r w:rsidRPr="00A472FC">
        <w:rPr>
          <w:rFonts w:ascii="Times New Roman" w:hAnsi="Times New Roman" w:cs="Times New Roman"/>
        </w:rPr>
        <w:t>Internal sense: imagination, opinion</w:t>
      </w:r>
    </w:p>
    <w:p w14:paraId="0063BD6D" w14:textId="77777777" w:rsidR="00E212D3" w:rsidRPr="00A472FC" w:rsidRDefault="00E212D3" w:rsidP="00E212D3">
      <w:pPr>
        <w:pStyle w:val="Default"/>
        <w:ind w:left="720" w:right="-52" w:firstLine="720"/>
        <w:rPr>
          <w:rFonts w:ascii="Times New Roman" w:hAnsi="Times New Roman" w:cs="Times New Roman"/>
        </w:rPr>
      </w:pPr>
      <w:r w:rsidRPr="00A472FC">
        <w:rPr>
          <w:rFonts w:ascii="Times New Roman" w:hAnsi="Times New Roman" w:cs="Times New Roman"/>
        </w:rPr>
        <w:t>Mind: searching, discovering, teaching</w:t>
      </w:r>
    </w:p>
    <w:p w14:paraId="0D66BE11" w14:textId="77777777" w:rsidR="00E212D3" w:rsidRPr="00A472FC" w:rsidRDefault="00E212D3" w:rsidP="00E212D3">
      <w:pPr>
        <w:pStyle w:val="Default"/>
        <w:ind w:right="-52"/>
        <w:rPr>
          <w:rFonts w:ascii="Times New Roman" w:hAnsi="Times New Roman" w:cs="Times New Roman"/>
        </w:rPr>
      </w:pPr>
    </w:p>
    <w:p w14:paraId="39963FE2"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Powers obedient/not obedient to reason</w:t>
      </w:r>
    </w:p>
    <w:p w14:paraId="541DA1AA" w14:textId="77777777" w:rsidR="00E212D3" w:rsidRPr="00A472FC" w:rsidRDefault="00E212D3" w:rsidP="00E212D3">
      <w:pPr>
        <w:pStyle w:val="Default"/>
        <w:ind w:right="-52"/>
        <w:rPr>
          <w:rFonts w:ascii="Times New Roman" w:hAnsi="Times New Roman" w:cs="Times New Roman"/>
        </w:rPr>
      </w:pPr>
    </w:p>
    <w:p w14:paraId="0FCFDDA3" w14:textId="77777777" w:rsidR="00E212D3" w:rsidRPr="00A472FC" w:rsidRDefault="00E212D3" w:rsidP="00E212D3">
      <w:pPr>
        <w:pStyle w:val="Default"/>
        <w:ind w:right="-52"/>
        <w:rPr>
          <w:rFonts w:ascii="Times New Roman" w:hAnsi="Times New Roman" w:cs="Times New Roman"/>
          <w:u w:val="single"/>
        </w:rPr>
      </w:pPr>
      <w:r w:rsidRPr="00A472FC">
        <w:rPr>
          <w:rFonts w:ascii="Times New Roman" w:hAnsi="Times New Roman" w:cs="Times New Roman"/>
          <w:u w:val="single"/>
        </w:rPr>
        <w:t>The Division of Augustine (</w:t>
      </w:r>
      <w:r w:rsidRPr="00A472FC">
        <w:rPr>
          <w:rFonts w:ascii="Times New Roman" w:hAnsi="Times New Roman" w:cs="Times New Roman"/>
          <w:i/>
          <w:u w:val="single"/>
        </w:rPr>
        <w:t xml:space="preserve">De </w:t>
      </w:r>
      <w:proofErr w:type="spellStart"/>
      <w:r w:rsidRPr="00A472FC">
        <w:rPr>
          <w:rFonts w:ascii="Times New Roman" w:hAnsi="Times New Roman" w:cs="Times New Roman"/>
          <w:i/>
          <w:u w:val="single"/>
        </w:rPr>
        <w:t>spiritu</w:t>
      </w:r>
      <w:proofErr w:type="spellEnd"/>
      <w:r w:rsidRPr="00A472FC">
        <w:rPr>
          <w:rFonts w:ascii="Times New Roman" w:hAnsi="Times New Roman" w:cs="Times New Roman"/>
          <w:i/>
          <w:u w:val="single"/>
        </w:rPr>
        <w:t xml:space="preserve"> et anima</w:t>
      </w:r>
      <w:r w:rsidRPr="00A472FC">
        <w:rPr>
          <w:rFonts w:ascii="Times New Roman" w:hAnsi="Times New Roman" w:cs="Times New Roman"/>
          <w:u w:val="single"/>
        </w:rPr>
        <w:t>)</w:t>
      </w:r>
    </w:p>
    <w:p w14:paraId="347678C1" w14:textId="77777777" w:rsidR="00E212D3" w:rsidRPr="00A472FC" w:rsidRDefault="00E212D3" w:rsidP="00E212D3">
      <w:pPr>
        <w:pStyle w:val="Default"/>
        <w:ind w:right="-52"/>
        <w:rPr>
          <w:rFonts w:ascii="Times New Roman" w:hAnsi="Times New Roman" w:cs="Times New Roman"/>
        </w:rPr>
      </w:pPr>
    </w:p>
    <w:p w14:paraId="400342FA"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Natural, vital, animal</w:t>
      </w:r>
    </w:p>
    <w:p w14:paraId="582D59DE"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Natural: appetitive, retentive, distributive, expulsive</w:t>
      </w:r>
    </w:p>
    <w:p w14:paraId="5EDD8CD0" w14:textId="77777777" w:rsidR="00E212D3" w:rsidRPr="00A472FC" w:rsidRDefault="00E212D3" w:rsidP="00E212D3">
      <w:pPr>
        <w:pStyle w:val="Default"/>
        <w:ind w:right="-52"/>
        <w:rPr>
          <w:rFonts w:ascii="Times New Roman" w:hAnsi="Times New Roman" w:cs="Times New Roman"/>
        </w:rPr>
      </w:pPr>
    </w:p>
    <w:p w14:paraId="746FE85E"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Three ventricles of the brain</w:t>
      </w:r>
    </w:p>
    <w:p w14:paraId="04325211"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Front: imaging function</w:t>
      </w:r>
    </w:p>
    <w:p w14:paraId="198309A7"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lastRenderedPageBreak/>
        <w:t>Middle: reasoning function</w:t>
      </w:r>
    </w:p>
    <w:p w14:paraId="53161D57" w14:textId="77777777" w:rsidR="00E212D3" w:rsidRPr="00A472FC" w:rsidRDefault="00E212D3" w:rsidP="00E212D3">
      <w:pPr>
        <w:pStyle w:val="Default"/>
        <w:ind w:left="720" w:right="-52"/>
        <w:rPr>
          <w:rFonts w:ascii="Times New Roman" w:hAnsi="Times New Roman" w:cs="Times New Roman"/>
        </w:rPr>
      </w:pPr>
      <w:r w:rsidRPr="00A472FC">
        <w:rPr>
          <w:rFonts w:ascii="Times New Roman" w:hAnsi="Times New Roman" w:cs="Times New Roman"/>
        </w:rPr>
        <w:t>Back: retentive function</w:t>
      </w:r>
    </w:p>
    <w:p w14:paraId="12706BFF" w14:textId="77777777" w:rsidR="00E212D3" w:rsidRPr="00A472FC" w:rsidRDefault="00E212D3" w:rsidP="00E212D3">
      <w:pPr>
        <w:pStyle w:val="Default"/>
        <w:ind w:left="720" w:right="-52"/>
        <w:rPr>
          <w:rFonts w:ascii="Times New Roman" w:hAnsi="Times New Roman" w:cs="Times New Roman"/>
        </w:rPr>
      </w:pPr>
    </w:p>
    <w:p w14:paraId="7DEBE3DC"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First three-fold division</w:t>
      </w:r>
    </w:p>
    <w:p w14:paraId="5D916109"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 xml:space="preserve">Rational, irascible, </w:t>
      </w:r>
      <w:proofErr w:type="spellStart"/>
      <w:r w:rsidRPr="00A472FC">
        <w:rPr>
          <w:rFonts w:ascii="Times New Roman" w:hAnsi="Times New Roman" w:cs="Times New Roman"/>
        </w:rPr>
        <w:t>concupiscible</w:t>
      </w:r>
      <w:proofErr w:type="spellEnd"/>
    </w:p>
    <w:p w14:paraId="2D4488B0" w14:textId="77777777" w:rsidR="00E212D3" w:rsidRPr="00A472FC" w:rsidRDefault="00E212D3" w:rsidP="00E212D3">
      <w:pPr>
        <w:pStyle w:val="Default"/>
        <w:ind w:right="-52"/>
        <w:rPr>
          <w:rFonts w:ascii="Times New Roman" w:hAnsi="Times New Roman" w:cs="Times New Roman"/>
        </w:rPr>
      </w:pPr>
    </w:p>
    <w:p w14:paraId="393C896D"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Second three-fold division</w:t>
      </w:r>
    </w:p>
    <w:p w14:paraId="6270EAFE"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Corporeal, spiritual, and intellectual version – external senses, imagination, intellect</w:t>
      </w:r>
    </w:p>
    <w:p w14:paraId="20F40EA8" w14:textId="77777777" w:rsidR="00E212D3" w:rsidRPr="00A472FC" w:rsidRDefault="00E212D3" w:rsidP="00E212D3">
      <w:pPr>
        <w:pStyle w:val="Default"/>
        <w:ind w:right="-52"/>
        <w:rPr>
          <w:rFonts w:ascii="Times New Roman" w:hAnsi="Times New Roman" w:cs="Times New Roman"/>
        </w:rPr>
      </w:pPr>
    </w:p>
    <w:p w14:paraId="4DE30A96"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 xml:space="preserve">Five-fold division (based on </w:t>
      </w:r>
      <w:proofErr w:type="spellStart"/>
      <w:r w:rsidRPr="00A472FC">
        <w:rPr>
          <w:rFonts w:ascii="Times New Roman" w:hAnsi="Times New Roman" w:cs="Times New Roman"/>
        </w:rPr>
        <w:t>Boethius</w:t>
      </w:r>
      <w:proofErr w:type="spellEnd"/>
      <w:r w:rsidRPr="00A472FC">
        <w:rPr>
          <w:rFonts w:ascii="Times New Roman" w:hAnsi="Times New Roman" w:cs="Times New Roman"/>
        </w:rPr>
        <w:t>)</w:t>
      </w:r>
    </w:p>
    <w:p w14:paraId="1A1A083E"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Sense (knows corporeal forms as present)</w:t>
      </w:r>
    </w:p>
    <w:p w14:paraId="73BAEDA4"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Imagination (knows corporeal forms as absent)</w:t>
      </w:r>
    </w:p>
    <w:p w14:paraId="653B927B"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Reason (</w:t>
      </w:r>
      <w:r w:rsidRPr="00A472FC">
        <w:rPr>
          <w:rFonts w:ascii="Times New Roman" w:hAnsi="Times New Roman" w:cs="Times New Roman"/>
          <w:i/>
        </w:rPr>
        <w:t>ratio</w:t>
      </w:r>
      <w:r w:rsidRPr="00A472FC">
        <w:rPr>
          <w:rFonts w:ascii="Times New Roman" w:hAnsi="Times New Roman" w:cs="Times New Roman"/>
        </w:rPr>
        <w:t>) (knows the natures of corporeal forms)</w:t>
      </w:r>
    </w:p>
    <w:p w14:paraId="396F53B9"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Intellect (</w:t>
      </w:r>
      <w:proofErr w:type="spellStart"/>
      <w:r w:rsidRPr="00A472FC">
        <w:rPr>
          <w:rFonts w:ascii="Times New Roman" w:hAnsi="Times New Roman" w:cs="Times New Roman"/>
          <w:i/>
        </w:rPr>
        <w:t>intellectus</w:t>
      </w:r>
      <w:proofErr w:type="spellEnd"/>
      <w:r w:rsidRPr="00A472FC">
        <w:rPr>
          <w:rFonts w:ascii="Times New Roman" w:hAnsi="Times New Roman" w:cs="Times New Roman"/>
        </w:rPr>
        <w:t>) (knows angels and spiritual creatures)</w:t>
      </w:r>
    </w:p>
    <w:p w14:paraId="7EEBAE47"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Intelligence (</w:t>
      </w:r>
      <w:proofErr w:type="spellStart"/>
      <w:r w:rsidRPr="00A472FC">
        <w:rPr>
          <w:rFonts w:ascii="Times New Roman" w:hAnsi="Times New Roman" w:cs="Times New Roman"/>
          <w:i/>
        </w:rPr>
        <w:t>intelligentia</w:t>
      </w:r>
      <w:proofErr w:type="spellEnd"/>
      <w:r w:rsidRPr="00A472FC">
        <w:rPr>
          <w:rFonts w:ascii="Times New Roman" w:hAnsi="Times New Roman" w:cs="Times New Roman"/>
        </w:rPr>
        <w:t>) (knows God)</w:t>
      </w:r>
    </w:p>
    <w:p w14:paraId="3289E456" w14:textId="77777777" w:rsidR="00E212D3" w:rsidRPr="00A472FC" w:rsidRDefault="00E212D3" w:rsidP="00E212D3">
      <w:pPr>
        <w:pStyle w:val="Default"/>
        <w:ind w:right="-52"/>
        <w:rPr>
          <w:rFonts w:ascii="Times New Roman" w:hAnsi="Times New Roman" w:cs="Times New Roman"/>
        </w:rPr>
      </w:pPr>
    </w:p>
    <w:p w14:paraId="6F098B89" w14:textId="77777777" w:rsidR="00E212D3" w:rsidRPr="00A472FC" w:rsidRDefault="00E212D3" w:rsidP="00E212D3">
      <w:pPr>
        <w:ind w:right="-52"/>
        <w:rPr>
          <w:rFonts w:ascii="Times New Roman" w:hAnsi="Times New Roman" w:cs="Times New Roman"/>
        </w:rPr>
      </w:pPr>
    </w:p>
    <w:p w14:paraId="5C3AEDDF" w14:textId="35C5F25A" w:rsidR="00E212D3" w:rsidRPr="00A472FC" w:rsidRDefault="00E212D3" w:rsidP="00E212D3">
      <w:pPr>
        <w:ind w:right="-52"/>
        <w:rPr>
          <w:rFonts w:ascii="Times New Roman" w:hAnsi="Times New Roman" w:cs="Times New Roman"/>
        </w:rPr>
      </w:pPr>
      <w:r w:rsidRPr="00A472FC">
        <w:rPr>
          <w:rFonts w:ascii="Times New Roman" w:hAnsi="Times New Roman" w:cs="Times New Roman"/>
          <w:b/>
        </w:rPr>
        <w:t xml:space="preserve">John of La Rochelle’s </w:t>
      </w:r>
      <w:r w:rsidRPr="00A472FC">
        <w:rPr>
          <w:rFonts w:ascii="Times New Roman" w:hAnsi="Times New Roman" w:cs="Times New Roman"/>
          <w:b/>
          <w:i/>
        </w:rPr>
        <w:t xml:space="preserve">Summa de anima </w:t>
      </w:r>
      <w:r w:rsidRPr="00A472FC">
        <w:rPr>
          <w:rFonts w:ascii="Times New Roman" w:hAnsi="Times New Roman" w:cs="Times New Roman"/>
          <w:b/>
        </w:rPr>
        <w:t>(</w:t>
      </w:r>
      <w:r w:rsidRPr="00A472FC">
        <w:rPr>
          <w:rFonts w:ascii="Times New Roman" w:hAnsi="Times New Roman" w:cs="Times New Roman"/>
        </w:rPr>
        <w:t xml:space="preserve">Bold indicates additions in the </w:t>
      </w:r>
      <w:r w:rsidRPr="00A472FC">
        <w:rPr>
          <w:rFonts w:ascii="Times New Roman" w:hAnsi="Times New Roman" w:cs="Times New Roman"/>
          <w:i/>
        </w:rPr>
        <w:t>Summa de anima</w:t>
      </w:r>
      <w:r w:rsidRPr="00A472FC">
        <w:rPr>
          <w:rFonts w:ascii="Times New Roman" w:hAnsi="Times New Roman" w:cs="Times New Roman"/>
          <w:iCs/>
        </w:rPr>
        <w:t xml:space="preserve">; </w:t>
      </w:r>
      <w:r w:rsidRPr="00A472FC">
        <w:rPr>
          <w:rFonts w:ascii="Times New Roman" w:hAnsi="Times New Roman" w:cs="Times New Roman"/>
        </w:rPr>
        <w:t>grey indicates suppressed or in most cases re-located material)</w:t>
      </w:r>
    </w:p>
    <w:p w14:paraId="05EF2BEF" w14:textId="77777777" w:rsidR="005E143E" w:rsidRPr="00A472FC" w:rsidRDefault="005E143E" w:rsidP="00E212D3">
      <w:pPr>
        <w:ind w:right="-52"/>
        <w:rPr>
          <w:rFonts w:ascii="Times New Roman" w:hAnsi="Times New Roman" w:cs="Times New Roman"/>
          <w:color w:val="A5A5A5" w:themeColor="accent3"/>
        </w:rPr>
      </w:pPr>
    </w:p>
    <w:p w14:paraId="5BC45B74" w14:textId="77777777" w:rsidR="00E212D3" w:rsidRPr="00A472FC" w:rsidRDefault="00E212D3" w:rsidP="00E212D3">
      <w:pPr>
        <w:pStyle w:val="Default"/>
        <w:ind w:right="-52"/>
        <w:rPr>
          <w:rFonts w:ascii="Times New Roman" w:hAnsi="Times New Roman" w:cs="Times New Roman"/>
          <w:u w:val="single"/>
        </w:rPr>
      </w:pPr>
      <w:r w:rsidRPr="00A472FC">
        <w:rPr>
          <w:rFonts w:ascii="Times New Roman" w:hAnsi="Times New Roman" w:cs="Times New Roman"/>
          <w:u w:val="single"/>
        </w:rPr>
        <w:t>The Division of Augustine (</w:t>
      </w:r>
      <w:r w:rsidRPr="00A472FC">
        <w:rPr>
          <w:rFonts w:ascii="Times New Roman" w:hAnsi="Times New Roman" w:cs="Times New Roman"/>
          <w:i/>
          <w:u w:val="single"/>
        </w:rPr>
        <w:t xml:space="preserve">De </w:t>
      </w:r>
      <w:proofErr w:type="spellStart"/>
      <w:r w:rsidRPr="00A472FC">
        <w:rPr>
          <w:rFonts w:ascii="Times New Roman" w:hAnsi="Times New Roman" w:cs="Times New Roman"/>
          <w:i/>
          <w:u w:val="single"/>
        </w:rPr>
        <w:t>spiritu</w:t>
      </w:r>
      <w:proofErr w:type="spellEnd"/>
      <w:r w:rsidRPr="00A472FC">
        <w:rPr>
          <w:rFonts w:ascii="Times New Roman" w:hAnsi="Times New Roman" w:cs="Times New Roman"/>
          <w:i/>
          <w:u w:val="single"/>
        </w:rPr>
        <w:t xml:space="preserve"> et anima</w:t>
      </w:r>
      <w:r w:rsidRPr="00A472FC">
        <w:rPr>
          <w:rFonts w:ascii="Times New Roman" w:hAnsi="Times New Roman" w:cs="Times New Roman"/>
          <w:u w:val="single"/>
        </w:rPr>
        <w:t>)</w:t>
      </w:r>
    </w:p>
    <w:p w14:paraId="16F54A02" w14:textId="77777777" w:rsidR="00E212D3" w:rsidRPr="00A472FC" w:rsidRDefault="00E212D3" w:rsidP="00E212D3">
      <w:pPr>
        <w:pStyle w:val="Default"/>
        <w:ind w:right="-52"/>
        <w:rPr>
          <w:rFonts w:ascii="Times New Roman" w:hAnsi="Times New Roman" w:cs="Times New Roman"/>
        </w:rPr>
      </w:pPr>
    </w:p>
    <w:p w14:paraId="5B24F289"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Natural, vital, animal spirit</w:t>
      </w:r>
    </w:p>
    <w:p w14:paraId="33795A5F"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Natural: appetitive, retentive, distributive, expulsive</w:t>
      </w:r>
    </w:p>
    <w:p w14:paraId="518CB7DE" w14:textId="77777777" w:rsidR="00E212D3" w:rsidRPr="00A472FC" w:rsidRDefault="00E212D3" w:rsidP="00E212D3">
      <w:pPr>
        <w:pStyle w:val="Default"/>
        <w:ind w:right="-52"/>
        <w:rPr>
          <w:rFonts w:ascii="Times New Roman" w:hAnsi="Times New Roman" w:cs="Times New Roman"/>
        </w:rPr>
      </w:pPr>
    </w:p>
    <w:p w14:paraId="1E7692D2"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Three ventricles of the brain</w:t>
      </w:r>
    </w:p>
    <w:p w14:paraId="45EB4D98"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Front: imaging function</w:t>
      </w:r>
    </w:p>
    <w:p w14:paraId="6F0C88BF"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Middle: reasoning function</w:t>
      </w:r>
    </w:p>
    <w:p w14:paraId="4EE700FF" w14:textId="77777777" w:rsidR="00E212D3" w:rsidRPr="00A472FC" w:rsidRDefault="00E212D3" w:rsidP="00E212D3">
      <w:pPr>
        <w:pStyle w:val="Default"/>
        <w:ind w:left="720" w:right="-52"/>
        <w:rPr>
          <w:rFonts w:ascii="Times New Roman" w:hAnsi="Times New Roman" w:cs="Times New Roman"/>
        </w:rPr>
      </w:pPr>
      <w:r w:rsidRPr="00A472FC">
        <w:rPr>
          <w:rFonts w:ascii="Times New Roman" w:hAnsi="Times New Roman" w:cs="Times New Roman"/>
        </w:rPr>
        <w:t>Back: retentive function</w:t>
      </w:r>
    </w:p>
    <w:p w14:paraId="0F1E08FC" w14:textId="77777777" w:rsidR="00E212D3" w:rsidRPr="00A472FC" w:rsidRDefault="00E212D3" w:rsidP="00E212D3">
      <w:pPr>
        <w:pStyle w:val="Default"/>
        <w:ind w:left="720" w:right="-52"/>
        <w:rPr>
          <w:rFonts w:ascii="Times New Roman" w:hAnsi="Times New Roman" w:cs="Times New Roman"/>
        </w:rPr>
      </w:pPr>
    </w:p>
    <w:p w14:paraId="0E4B76EE"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First three-fold division</w:t>
      </w:r>
    </w:p>
    <w:p w14:paraId="001E319A"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 xml:space="preserve">Rational, irascible, </w:t>
      </w:r>
      <w:proofErr w:type="spellStart"/>
      <w:r w:rsidRPr="00A472FC">
        <w:rPr>
          <w:rFonts w:ascii="Times New Roman" w:hAnsi="Times New Roman" w:cs="Times New Roman"/>
        </w:rPr>
        <w:t>concupiscible</w:t>
      </w:r>
      <w:proofErr w:type="spellEnd"/>
    </w:p>
    <w:p w14:paraId="216189B5" w14:textId="77777777" w:rsidR="00E212D3" w:rsidRPr="00A472FC" w:rsidRDefault="00E212D3" w:rsidP="00E212D3">
      <w:pPr>
        <w:pStyle w:val="Default"/>
        <w:ind w:right="-52"/>
        <w:rPr>
          <w:rFonts w:ascii="Times New Roman" w:hAnsi="Times New Roman" w:cs="Times New Roman"/>
        </w:rPr>
      </w:pPr>
    </w:p>
    <w:p w14:paraId="35ECB767"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Second three-fold division</w:t>
      </w:r>
    </w:p>
    <w:p w14:paraId="5544B9B1"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Corporeal, spiritual, and intellectual version – external senses, imagination, intellect</w:t>
      </w:r>
    </w:p>
    <w:p w14:paraId="48949BE2" w14:textId="77777777" w:rsidR="00E212D3" w:rsidRPr="00A472FC" w:rsidRDefault="00E212D3" w:rsidP="00E212D3">
      <w:pPr>
        <w:pStyle w:val="Default"/>
        <w:ind w:right="-52"/>
        <w:rPr>
          <w:rFonts w:ascii="Times New Roman" w:hAnsi="Times New Roman" w:cs="Times New Roman"/>
        </w:rPr>
      </w:pPr>
    </w:p>
    <w:p w14:paraId="082D0C1D"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 xml:space="preserve">Five-fold division (based on </w:t>
      </w:r>
      <w:proofErr w:type="spellStart"/>
      <w:r w:rsidRPr="00A472FC">
        <w:rPr>
          <w:rFonts w:ascii="Times New Roman" w:hAnsi="Times New Roman" w:cs="Times New Roman"/>
        </w:rPr>
        <w:t>Boethius</w:t>
      </w:r>
      <w:proofErr w:type="spellEnd"/>
      <w:r w:rsidRPr="00A472FC">
        <w:rPr>
          <w:rFonts w:ascii="Times New Roman" w:hAnsi="Times New Roman" w:cs="Times New Roman"/>
        </w:rPr>
        <w:t>)</w:t>
      </w:r>
    </w:p>
    <w:p w14:paraId="4336744D"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Sense (knows corporeal forms as present)</w:t>
      </w:r>
    </w:p>
    <w:p w14:paraId="1B18778E"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Imagination (knows corporeal forms as absent)</w:t>
      </w:r>
    </w:p>
    <w:p w14:paraId="14AF444D"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Reason (</w:t>
      </w:r>
      <w:r w:rsidRPr="00A472FC">
        <w:rPr>
          <w:rFonts w:ascii="Times New Roman" w:hAnsi="Times New Roman" w:cs="Times New Roman"/>
          <w:i/>
          <w:iCs/>
        </w:rPr>
        <w:t>ratio</w:t>
      </w:r>
      <w:r w:rsidRPr="00A472FC">
        <w:rPr>
          <w:rFonts w:ascii="Times New Roman" w:hAnsi="Times New Roman" w:cs="Times New Roman"/>
        </w:rPr>
        <w:t>) (knows the natures of corporeal forms)</w:t>
      </w:r>
    </w:p>
    <w:p w14:paraId="22DBFCEA"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Intellect (</w:t>
      </w:r>
      <w:proofErr w:type="spellStart"/>
      <w:r w:rsidRPr="00A472FC">
        <w:rPr>
          <w:rFonts w:ascii="Times New Roman" w:hAnsi="Times New Roman" w:cs="Times New Roman"/>
          <w:i/>
          <w:iCs/>
        </w:rPr>
        <w:t>intellectus</w:t>
      </w:r>
      <w:proofErr w:type="spellEnd"/>
      <w:r w:rsidRPr="00A472FC">
        <w:rPr>
          <w:rFonts w:ascii="Times New Roman" w:hAnsi="Times New Roman" w:cs="Times New Roman"/>
        </w:rPr>
        <w:t>) (knows angels and spiritual creatures)</w:t>
      </w:r>
    </w:p>
    <w:p w14:paraId="6C8266A9"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Intelligence (</w:t>
      </w:r>
      <w:proofErr w:type="spellStart"/>
      <w:r w:rsidRPr="00A472FC">
        <w:rPr>
          <w:rFonts w:ascii="Times New Roman" w:hAnsi="Times New Roman" w:cs="Times New Roman"/>
          <w:i/>
          <w:iCs/>
        </w:rPr>
        <w:t>intelligentia</w:t>
      </w:r>
      <w:proofErr w:type="spellEnd"/>
      <w:r w:rsidRPr="00A472FC">
        <w:rPr>
          <w:rFonts w:ascii="Times New Roman" w:hAnsi="Times New Roman" w:cs="Times New Roman"/>
        </w:rPr>
        <w:t>) (knows God)</w:t>
      </w:r>
    </w:p>
    <w:p w14:paraId="61A95070" w14:textId="77777777" w:rsidR="00E212D3" w:rsidRPr="00A472FC" w:rsidRDefault="00E212D3" w:rsidP="00E212D3">
      <w:pPr>
        <w:pStyle w:val="Default"/>
        <w:ind w:right="-52" w:firstLine="720"/>
        <w:rPr>
          <w:rFonts w:ascii="Times New Roman" w:hAnsi="Times New Roman" w:cs="Times New Roman"/>
        </w:rPr>
      </w:pPr>
    </w:p>
    <w:p w14:paraId="377FBA05"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Irrational powers</w:t>
      </w:r>
    </w:p>
    <w:p w14:paraId="3A1029C8"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 xml:space="preserve">Obedient to reason: irascible, </w:t>
      </w:r>
      <w:proofErr w:type="spellStart"/>
      <w:r w:rsidRPr="00A472FC">
        <w:rPr>
          <w:rFonts w:ascii="Times New Roman" w:hAnsi="Times New Roman" w:cs="Times New Roman"/>
        </w:rPr>
        <w:t>concupiscible</w:t>
      </w:r>
      <w:proofErr w:type="spellEnd"/>
    </w:p>
    <w:p w14:paraId="191FC0F0"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 xml:space="preserve">Not obedient to reason: </w:t>
      </w:r>
      <w:r w:rsidRPr="00A472FC">
        <w:rPr>
          <w:rFonts w:ascii="Times New Roman" w:hAnsi="Times New Roman" w:cs="Times New Roman"/>
          <w:kern w:val="1"/>
        </w:rPr>
        <w:t>vital, generative, nutritive, and augmentative</w:t>
      </w:r>
    </w:p>
    <w:p w14:paraId="72398483" w14:textId="77777777" w:rsidR="00E212D3" w:rsidRPr="00A472FC" w:rsidRDefault="00E212D3" w:rsidP="00E212D3">
      <w:pPr>
        <w:pStyle w:val="Default"/>
        <w:ind w:right="-52"/>
        <w:rPr>
          <w:rFonts w:ascii="Times New Roman" w:hAnsi="Times New Roman" w:cs="Times New Roman"/>
          <w:u w:val="single"/>
        </w:rPr>
      </w:pPr>
    </w:p>
    <w:p w14:paraId="239D80D0" w14:textId="77777777" w:rsidR="00E212D3" w:rsidRPr="00A472FC" w:rsidRDefault="00E212D3" w:rsidP="00E212D3">
      <w:pPr>
        <w:pStyle w:val="Default"/>
        <w:ind w:right="-52"/>
        <w:rPr>
          <w:rFonts w:ascii="Times New Roman" w:hAnsi="Times New Roman" w:cs="Times New Roman"/>
          <w:u w:val="single"/>
        </w:rPr>
      </w:pPr>
      <w:r w:rsidRPr="00A472FC">
        <w:rPr>
          <w:rFonts w:ascii="Times New Roman" w:hAnsi="Times New Roman" w:cs="Times New Roman"/>
          <w:u w:val="single"/>
        </w:rPr>
        <w:t>The Division of Damascus</w:t>
      </w:r>
    </w:p>
    <w:p w14:paraId="6C6382B4" w14:textId="77777777" w:rsidR="00E212D3" w:rsidRPr="00A472FC" w:rsidRDefault="00E212D3" w:rsidP="00E212D3">
      <w:pPr>
        <w:pStyle w:val="Default"/>
        <w:ind w:right="-52"/>
        <w:rPr>
          <w:rFonts w:ascii="Times New Roman" w:hAnsi="Times New Roman" w:cs="Times New Roman"/>
        </w:rPr>
      </w:pPr>
    </w:p>
    <w:p w14:paraId="409A16BF"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Cognitive powers</w:t>
      </w:r>
    </w:p>
    <w:p w14:paraId="726771D4"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lastRenderedPageBreak/>
        <w:tab/>
        <w:t>Sense, imagination, opinion, mind, intellect</w:t>
      </w:r>
    </w:p>
    <w:p w14:paraId="0586C70F" w14:textId="77777777" w:rsidR="00E212D3" w:rsidRPr="00A472FC" w:rsidRDefault="00E212D3" w:rsidP="00E212D3">
      <w:pPr>
        <w:pStyle w:val="Default"/>
        <w:ind w:left="720" w:right="-52" w:firstLine="720"/>
        <w:rPr>
          <w:rFonts w:ascii="Times New Roman" w:hAnsi="Times New Roman" w:cs="Times New Roman"/>
        </w:rPr>
      </w:pPr>
      <w:r w:rsidRPr="00A472FC">
        <w:rPr>
          <w:rFonts w:ascii="Times New Roman" w:hAnsi="Times New Roman" w:cs="Times New Roman"/>
        </w:rPr>
        <w:t xml:space="preserve">External senses: </w:t>
      </w:r>
      <w:r w:rsidRPr="00A472FC">
        <w:rPr>
          <w:rFonts w:ascii="Times New Roman" w:hAnsi="Times New Roman" w:cs="Times New Roman"/>
          <w:kern w:val="1"/>
        </w:rPr>
        <w:t>sight, hearing, smell, taste, and touch</w:t>
      </w:r>
    </w:p>
    <w:p w14:paraId="1E8F3370" w14:textId="77777777" w:rsidR="00E212D3" w:rsidRPr="00A472FC" w:rsidRDefault="00E212D3" w:rsidP="00E212D3">
      <w:pPr>
        <w:pStyle w:val="Default"/>
        <w:ind w:left="720" w:right="-52" w:firstLine="720"/>
        <w:rPr>
          <w:rFonts w:ascii="Times New Roman" w:hAnsi="Times New Roman" w:cs="Times New Roman"/>
        </w:rPr>
      </w:pPr>
      <w:r w:rsidRPr="00A472FC">
        <w:rPr>
          <w:rFonts w:ascii="Times New Roman" w:hAnsi="Times New Roman" w:cs="Times New Roman"/>
        </w:rPr>
        <w:t>Internal sense: imagination, opinion</w:t>
      </w:r>
    </w:p>
    <w:p w14:paraId="76B510DF" w14:textId="77777777" w:rsidR="00E212D3" w:rsidRPr="00A472FC" w:rsidRDefault="00E212D3" w:rsidP="00E212D3">
      <w:pPr>
        <w:pStyle w:val="Default"/>
        <w:ind w:left="720" w:right="-52" w:firstLine="720"/>
        <w:rPr>
          <w:rFonts w:ascii="Times New Roman" w:hAnsi="Times New Roman" w:cs="Times New Roman"/>
        </w:rPr>
      </w:pPr>
      <w:r w:rsidRPr="00A472FC">
        <w:rPr>
          <w:rFonts w:ascii="Times New Roman" w:hAnsi="Times New Roman" w:cs="Times New Roman"/>
        </w:rPr>
        <w:t>Mind: searching, discovering, teaching</w:t>
      </w:r>
    </w:p>
    <w:p w14:paraId="1B553C44" w14:textId="77777777" w:rsidR="00E212D3" w:rsidRPr="00A472FC" w:rsidRDefault="00E212D3" w:rsidP="00E212D3">
      <w:pPr>
        <w:pStyle w:val="Default"/>
        <w:ind w:right="-52"/>
        <w:rPr>
          <w:rFonts w:ascii="Times New Roman" w:hAnsi="Times New Roman" w:cs="Times New Roman"/>
          <w:u w:val="single"/>
        </w:rPr>
      </w:pPr>
    </w:p>
    <w:p w14:paraId="2FF5BCEB" w14:textId="77777777" w:rsidR="00E212D3" w:rsidRPr="00A472FC" w:rsidRDefault="00E212D3" w:rsidP="00E212D3">
      <w:pPr>
        <w:pStyle w:val="Default"/>
        <w:ind w:right="-52"/>
        <w:rPr>
          <w:rFonts w:ascii="Times New Roman" w:hAnsi="Times New Roman" w:cs="Times New Roman"/>
          <w:u w:val="single"/>
        </w:rPr>
      </w:pPr>
      <w:r w:rsidRPr="00A472FC">
        <w:rPr>
          <w:rFonts w:ascii="Times New Roman" w:hAnsi="Times New Roman" w:cs="Times New Roman"/>
          <w:u w:val="single"/>
        </w:rPr>
        <w:t>The Division of Avicenna</w:t>
      </w:r>
    </w:p>
    <w:p w14:paraId="015D5067" w14:textId="77777777" w:rsidR="00E212D3" w:rsidRPr="00A472FC" w:rsidRDefault="00E212D3" w:rsidP="00E212D3">
      <w:pPr>
        <w:pStyle w:val="Default"/>
        <w:ind w:right="-52"/>
        <w:rPr>
          <w:rFonts w:ascii="Times New Roman" w:hAnsi="Times New Roman" w:cs="Times New Roman"/>
        </w:rPr>
      </w:pPr>
    </w:p>
    <w:p w14:paraId="73E22867"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Three-fold division of the soul: vegetative, sensitive and rational</w:t>
      </w:r>
    </w:p>
    <w:p w14:paraId="4634DEF8"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Vegetative power: nutritive, augmentative, generative (Constantine the African)</w:t>
      </w:r>
    </w:p>
    <w:p w14:paraId="755AB685" w14:textId="77777777" w:rsidR="00E212D3" w:rsidRPr="00A472FC" w:rsidRDefault="00E212D3" w:rsidP="00E212D3">
      <w:pPr>
        <w:pStyle w:val="Default"/>
        <w:ind w:left="720" w:right="-52" w:firstLine="720"/>
        <w:rPr>
          <w:rFonts w:ascii="Times New Roman" w:hAnsi="Times New Roman" w:cs="Times New Roman"/>
        </w:rPr>
      </w:pPr>
      <w:r w:rsidRPr="00A472FC">
        <w:rPr>
          <w:rFonts w:ascii="Times New Roman" w:hAnsi="Times New Roman" w:cs="Times New Roman"/>
        </w:rPr>
        <w:t>Nutritive: attractive, retentive, digestive, expulsive (Constantine the African)</w:t>
      </w:r>
    </w:p>
    <w:p w14:paraId="3418F1C5" w14:textId="77777777" w:rsidR="00E212D3" w:rsidRPr="00A472FC" w:rsidRDefault="00E212D3" w:rsidP="00E212D3">
      <w:pPr>
        <w:pStyle w:val="Default"/>
        <w:ind w:right="-52"/>
        <w:rPr>
          <w:rFonts w:ascii="Times New Roman" w:hAnsi="Times New Roman" w:cs="Times New Roman"/>
        </w:rPr>
      </w:pPr>
    </w:p>
    <w:p w14:paraId="3BFFEA4F" w14:textId="77777777" w:rsidR="00E212D3" w:rsidRPr="00A472FC" w:rsidRDefault="00E212D3"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Spirit (Costa Ben Luca)</w:t>
      </w:r>
    </w:p>
    <w:p w14:paraId="63CCA713" w14:textId="77777777" w:rsidR="00E212D3" w:rsidRPr="00A472FC" w:rsidRDefault="00E212D3"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t>Vital: beating of the heart</w:t>
      </w:r>
    </w:p>
    <w:p w14:paraId="3D325D98" w14:textId="77777777" w:rsidR="00E212D3" w:rsidRPr="00A472FC" w:rsidRDefault="00E212D3"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ab/>
        <w:t>Animal: internal sensation</w:t>
      </w:r>
    </w:p>
    <w:p w14:paraId="503D53F4" w14:textId="77777777" w:rsidR="00E212D3" w:rsidRPr="00A472FC" w:rsidRDefault="00E212D3" w:rsidP="00E212D3">
      <w:pPr>
        <w:pStyle w:val="Default"/>
        <w:ind w:right="-52"/>
        <w:rPr>
          <w:rFonts w:ascii="Times New Roman" w:hAnsi="Times New Roman" w:cs="Times New Roman"/>
        </w:rPr>
      </w:pPr>
    </w:p>
    <w:p w14:paraId="5BCA9945"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Senses</w:t>
      </w:r>
    </w:p>
    <w:p w14:paraId="0666DFE9"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External: sight, hearing, smell, taste, touch</w:t>
      </w:r>
    </w:p>
    <w:p w14:paraId="33A89A14"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Internal: phantasy, common sense, imagination, imaginative, estimative, memory</w:t>
      </w:r>
    </w:p>
    <w:p w14:paraId="662BC017" w14:textId="77777777" w:rsidR="00E212D3" w:rsidRPr="00A472FC" w:rsidRDefault="00E212D3" w:rsidP="00E212D3">
      <w:pPr>
        <w:pStyle w:val="Default"/>
        <w:ind w:right="-52"/>
        <w:rPr>
          <w:rFonts w:ascii="Times New Roman" w:hAnsi="Times New Roman" w:cs="Times New Roman"/>
        </w:rPr>
      </w:pPr>
    </w:p>
    <w:p w14:paraId="37750F7E"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Three lobes of the brain (Galen)</w:t>
      </w:r>
    </w:p>
    <w:p w14:paraId="20E02626"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Front: common sense (imaging function)</w:t>
      </w:r>
    </w:p>
    <w:p w14:paraId="52243D52"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Middle: imaginative, estimation (cognitive function)</w:t>
      </w:r>
    </w:p>
    <w:p w14:paraId="5351517F"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Back: imagination, memory (retentive function)</w:t>
      </w:r>
    </w:p>
    <w:p w14:paraId="71B065C0" w14:textId="77777777" w:rsidR="00E212D3" w:rsidRPr="00A472FC" w:rsidRDefault="00E212D3" w:rsidP="00E212D3">
      <w:pPr>
        <w:pStyle w:val="Default"/>
        <w:ind w:right="-52"/>
        <w:rPr>
          <w:rFonts w:ascii="Times New Roman" w:hAnsi="Times New Roman" w:cs="Times New Roman"/>
        </w:rPr>
      </w:pPr>
    </w:p>
    <w:p w14:paraId="173C772E"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Memory</w:t>
      </w:r>
    </w:p>
    <w:p w14:paraId="05B4E014"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In humans: recollection based on similar things</w:t>
      </w:r>
    </w:p>
    <w:p w14:paraId="070513DE"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In animals: mere preservation of image</w:t>
      </w:r>
    </w:p>
    <w:p w14:paraId="68D7F2C1" w14:textId="77777777" w:rsidR="00E212D3" w:rsidRPr="00A472FC" w:rsidRDefault="00E212D3" w:rsidP="00E212D3">
      <w:pPr>
        <w:pStyle w:val="Default"/>
        <w:ind w:right="-52"/>
        <w:rPr>
          <w:rFonts w:ascii="Times New Roman" w:hAnsi="Times New Roman" w:cs="Times New Roman"/>
        </w:rPr>
      </w:pPr>
    </w:p>
    <w:p w14:paraId="3F88BE6A" w14:textId="77777777" w:rsidR="00E212D3" w:rsidRPr="00A472FC" w:rsidRDefault="00E212D3" w:rsidP="00E212D3">
      <w:pPr>
        <w:pStyle w:val="Default"/>
        <w:ind w:right="-52"/>
        <w:rPr>
          <w:rFonts w:ascii="Times New Roman" w:hAnsi="Times New Roman" w:cs="Times New Roman"/>
          <w:color w:val="A5A5A5" w:themeColor="accent3"/>
        </w:rPr>
      </w:pPr>
      <w:r w:rsidRPr="00A472FC">
        <w:rPr>
          <w:rFonts w:ascii="Times New Roman" w:hAnsi="Times New Roman" w:cs="Times New Roman"/>
          <w:color w:val="A5A5A5" w:themeColor="accent3"/>
        </w:rPr>
        <w:t>Five ways to distinguish the intellectual power</w:t>
      </w:r>
    </w:p>
    <w:p w14:paraId="7BFDBC59" w14:textId="77777777" w:rsidR="00E212D3" w:rsidRPr="00A472FC" w:rsidRDefault="00E212D3" w:rsidP="00E212D3">
      <w:pPr>
        <w:pStyle w:val="Default"/>
        <w:ind w:right="-52" w:firstLine="720"/>
        <w:rPr>
          <w:rFonts w:ascii="Times New Roman" w:hAnsi="Times New Roman" w:cs="Times New Roman"/>
          <w:color w:val="A5A5A5" w:themeColor="accent3"/>
        </w:rPr>
      </w:pPr>
      <w:r w:rsidRPr="00A472FC">
        <w:rPr>
          <w:rFonts w:ascii="Times New Roman" w:hAnsi="Times New Roman" w:cs="Times New Roman"/>
          <w:color w:val="A5A5A5" w:themeColor="accent3"/>
        </w:rPr>
        <w:t>Nature: agent and possible intellect</w:t>
      </w:r>
    </w:p>
    <w:p w14:paraId="502FAC59" w14:textId="77777777" w:rsidR="00E212D3" w:rsidRPr="00A472FC" w:rsidRDefault="00E212D3" w:rsidP="00E212D3">
      <w:pPr>
        <w:pStyle w:val="Default"/>
        <w:ind w:right="-52" w:firstLine="720"/>
        <w:rPr>
          <w:rFonts w:ascii="Times New Roman" w:hAnsi="Times New Roman" w:cs="Times New Roman"/>
          <w:color w:val="A5A5A5" w:themeColor="accent3"/>
        </w:rPr>
      </w:pPr>
      <w:r w:rsidRPr="00A472FC">
        <w:rPr>
          <w:rFonts w:ascii="Times New Roman" w:hAnsi="Times New Roman" w:cs="Times New Roman"/>
          <w:color w:val="A5A5A5" w:themeColor="accent3"/>
        </w:rPr>
        <w:t>Difference of objects: speculative and practical</w:t>
      </w:r>
    </w:p>
    <w:p w14:paraId="4FF3C2A6" w14:textId="77777777" w:rsidR="00E212D3" w:rsidRPr="00A472FC" w:rsidRDefault="00E212D3" w:rsidP="00E212D3">
      <w:pPr>
        <w:pStyle w:val="Default"/>
        <w:ind w:right="-52" w:firstLine="720"/>
        <w:rPr>
          <w:rFonts w:ascii="Times New Roman" w:hAnsi="Times New Roman" w:cs="Times New Roman"/>
          <w:color w:val="A5A5A5" w:themeColor="accent3"/>
        </w:rPr>
      </w:pPr>
      <w:r w:rsidRPr="00A472FC">
        <w:rPr>
          <w:rFonts w:ascii="Times New Roman" w:hAnsi="Times New Roman" w:cs="Times New Roman"/>
          <w:color w:val="A5A5A5" w:themeColor="accent3"/>
        </w:rPr>
        <w:t>Order: superior and inferior</w:t>
      </w:r>
    </w:p>
    <w:p w14:paraId="557F3EDC" w14:textId="77777777" w:rsidR="00E212D3" w:rsidRPr="00A472FC" w:rsidRDefault="00E212D3" w:rsidP="00E212D3">
      <w:pPr>
        <w:pStyle w:val="Default"/>
        <w:ind w:right="-52" w:firstLine="720"/>
        <w:rPr>
          <w:rFonts w:ascii="Times New Roman" w:hAnsi="Times New Roman" w:cs="Times New Roman"/>
          <w:color w:val="A5A5A5" w:themeColor="accent3"/>
        </w:rPr>
      </w:pPr>
      <w:r w:rsidRPr="00A472FC">
        <w:rPr>
          <w:rFonts w:ascii="Times New Roman" w:hAnsi="Times New Roman" w:cs="Times New Roman"/>
          <w:color w:val="A5A5A5" w:themeColor="accent3"/>
        </w:rPr>
        <w:t>Relation to the Body: Corruptible/inseparable versus incorruptible/separable</w:t>
      </w:r>
    </w:p>
    <w:p w14:paraId="0D9B4EA0"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color w:val="A5A5A5" w:themeColor="accent3"/>
        </w:rPr>
        <w:t xml:space="preserve">Mode of Operation </w:t>
      </w:r>
    </w:p>
    <w:p w14:paraId="1A23F54B" w14:textId="77777777" w:rsidR="00E212D3" w:rsidRPr="00A472FC" w:rsidRDefault="00E212D3" w:rsidP="00E212D3">
      <w:pPr>
        <w:pStyle w:val="Default"/>
        <w:ind w:right="-52"/>
        <w:rPr>
          <w:rFonts w:ascii="Times New Roman" w:hAnsi="Times New Roman" w:cs="Times New Roman"/>
        </w:rPr>
      </w:pPr>
    </w:p>
    <w:p w14:paraId="7085F551"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 xml:space="preserve">Organ of cognition – none because mind abstracts from matter </w:t>
      </w:r>
    </w:p>
    <w:p w14:paraId="5E2111AB"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Objects of cognition: above, next to, and below the self (</w:t>
      </w:r>
      <w:r w:rsidRPr="00A472FC">
        <w:rPr>
          <w:rFonts w:ascii="Times New Roman" w:hAnsi="Times New Roman" w:cs="Times New Roman"/>
          <w:i/>
        </w:rPr>
        <w:t xml:space="preserve">De </w:t>
      </w:r>
      <w:proofErr w:type="spellStart"/>
      <w:r w:rsidRPr="00A472FC">
        <w:rPr>
          <w:rFonts w:ascii="Times New Roman" w:hAnsi="Times New Roman" w:cs="Times New Roman"/>
          <w:i/>
        </w:rPr>
        <w:t>spiritu</w:t>
      </w:r>
      <w:proofErr w:type="spellEnd"/>
      <w:r w:rsidRPr="00A472FC">
        <w:rPr>
          <w:rFonts w:ascii="Times New Roman" w:hAnsi="Times New Roman" w:cs="Times New Roman"/>
          <w:i/>
        </w:rPr>
        <w:t xml:space="preserve"> et anima</w:t>
      </w:r>
      <w:r w:rsidRPr="00A472FC">
        <w:rPr>
          <w:rFonts w:ascii="Times New Roman" w:hAnsi="Times New Roman" w:cs="Times New Roman"/>
        </w:rPr>
        <w:t>)</w:t>
      </w:r>
    </w:p>
    <w:p w14:paraId="35AFC708"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Act of abstraction: exterior senses, imagination, estimation, intellect</w:t>
      </w:r>
    </w:p>
    <w:p w14:paraId="337345B0"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 xml:space="preserve">(referred to in </w:t>
      </w:r>
      <w:proofErr w:type="spellStart"/>
      <w:r w:rsidRPr="00A472FC">
        <w:rPr>
          <w:rFonts w:ascii="Times New Roman" w:hAnsi="Times New Roman" w:cs="Times New Roman"/>
          <w:i/>
        </w:rPr>
        <w:t>Tractatus</w:t>
      </w:r>
      <w:proofErr w:type="spellEnd"/>
      <w:r w:rsidRPr="00A472FC">
        <w:rPr>
          <w:rFonts w:ascii="Times New Roman" w:hAnsi="Times New Roman" w:cs="Times New Roman"/>
          <w:i/>
        </w:rPr>
        <w:t xml:space="preserve"> </w:t>
      </w:r>
      <w:r w:rsidRPr="00A472FC">
        <w:rPr>
          <w:rFonts w:ascii="Times New Roman" w:hAnsi="Times New Roman" w:cs="Times New Roman"/>
        </w:rPr>
        <w:t>as ‘order of abstraction’)</w:t>
      </w:r>
    </w:p>
    <w:p w14:paraId="68454B39"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Distinction: passive (material) versus separable intellect</w:t>
      </w:r>
    </w:p>
    <w:p w14:paraId="4563C530"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Material intellect: receives intelligible species in phantasms</w:t>
      </w:r>
    </w:p>
    <w:p w14:paraId="1F90A977"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Separable intellect (agent and possible): abstracts species from phantasms</w:t>
      </w:r>
    </w:p>
    <w:p w14:paraId="0BC20AB5" w14:textId="77777777" w:rsidR="00E212D3" w:rsidRPr="00A472FC" w:rsidRDefault="00E212D3" w:rsidP="00E212D3">
      <w:pPr>
        <w:pStyle w:val="Default"/>
        <w:ind w:right="-52"/>
        <w:rPr>
          <w:rFonts w:ascii="Times New Roman" w:hAnsi="Times New Roman" w:cs="Times New Roman"/>
        </w:rPr>
      </w:pPr>
    </w:p>
    <w:p w14:paraId="2E217861"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Separable intellect</w:t>
      </w:r>
    </w:p>
    <w:p w14:paraId="5513E4AC"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Nature: possible and agent</w:t>
      </w:r>
    </w:p>
    <w:p w14:paraId="7738869A"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Order: inferior and superior</w:t>
      </w:r>
    </w:p>
    <w:p w14:paraId="4E90C645" w14:textId="77777777" w:rsidR="00E212D3" w:rsidRPr="00A472FC" w:rsidRDefault="00E212D3" w:rsidP="00E212D3">
      <w:pPr>
        <w:pStyle w:val="Default"/>
        <w:ind w:right="-52"/>
        <w:rPr>
          <w:rFonts w:ascii="Times New Roman" w:hAnsi="Times New Roman" w:cs="Times New Roman"/>
          <w:color w:val="A5A5A5" w:themeColor="accent3"/>
        </w:rPr>
      </w:pPr>
      <w:r w:rsidRPr="00A472FC">
        <w:rPr>
          <w:rFonts w:ascii="Times New Roman" w:hAnsi="Times New Roman" w:cs="Times New Roman"/>
        </w:rPr>
        <w:tab/>
      </w:r>
      <w:r w:rsidRPr="00A472FC">
        <w:rPr>
          <w:rFonts w:ascii="Times New Roman" w:hAnsi="Times New Roman" w:cs="Times New Roman"/>
          <w:color w:val="A5A5A5" w:themeColor="accent3"/>
        </w:rPr>
        <w:t>Mode of apprehension: inductive or syllogistic</w:t>
      </w:r>
    </w:p>
    <w:p w14:paraId="23131684" w14:textId="77777777" w:rsidR="00E212D3" w:rsidRPr="00A472FC" w:rsidRDefault="00E212D3" w:rsidP="00E212D3">
      <w:pPr>
        <w:pStyle w:val="Default"/>
        <w:ind w:right="-52"/>
        <w:rPr>
          <w:rFonts w:ascii="Times New Roman" w:hAnsi="Times New Roman" w:cs="Times New Roman"/>
        </w:rPr>
      </w:pPr>
    </w:p>
    <w:p w14:paraId="2E538A70"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Possible Intellect</w:t>
      </w:r>
    </w:p>
    <w:p w14:paraId="55F2C546" w14:textId="77777777" w:rsidR="00E212D3" w:rsidRPr="00A472FC" w:rsidRDefault="00E212D3" w:rsidP="00E212D3">
      <w:pPr>
        <w:pStyle w:val="Default"/>
        <w:ind w:right="-52"/>
        <w:rPr>
          <w:rFonts w:ascii="Times New Roman" w:hAnsi="Times New Roman" w:cs="Times New Roman"/>
          <w:i/>
          <w:iCs/>
        </w:rPr>
      </w:pPr>
      <w:r w:rsidRPr="00A472FC">
        <w:rPr>
          <w:rFonts w:ascii="Times New Roman" w:hAnsi="Times New Roman" w:cs="Times New Roman"/>
        </w:rPr>
        <w:tab/>
      </w:r>
      <w:proofErr w:type="spellStart"/>
      <w:r w:rsidRPr="00A472FC">
        <w:rPr>
          <w:rFonts w:ascii="Times New Roman" w:hAnsi="Times New Roman" w:cs="Times New Roman"/>
          <w:i/>
          <w:iCs/>
        </w:rPr>
        <w:t>intellectus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materialis</w:t>
      </w:r>
      <w:proofErr w:type="spellEnd"/>
    </w:p>
    <w:p w14:paraId="5D86FF6C" w14:textId="77777777" w:rsidR="00E212D3" w:rsidRPr="00A472FC" w:rsidRDefault="00E212D3" w:rsidP="00E212D3">
      <w:pPr>
        <w:pStyle w:val="Default"/>
        <w:ind w:right="-52" w:firstLine="720"/>
        <w:rPr>
          <w:rFonts w:ascii="Times New Roman" w:hAnsi="Times New Roman" w:cs="Times New Roman"/>
          <w:i/>
          <w:iCs/>
        </w:rPr>
      </w:pPr>
      <w:proofErr w:type="spellStart"/>
      <w:r w:rsidRPr="00A472FC">
        <w:rPr>
          <w:rFonts w:ascii="Times New Roman" w:hAnsi="Times New Roman" w:cs="Times New Roman"/>
          <w:i/>
          <w:iCs/>
        </w:rPr>
        <w:lastRenderedPageBreak/>
        <w:t>intellectus</w:t>
      </w:r>
      <w:proofErr w:type="spellEnd"/>
      <w:r w:rsidRPr="00A472FC">
        <w:rPr>
          <w:rFonts w:ascii="Times New Roman" w:hAnsi="Times New Roman" w:cs="Times New Roman"/>
          <w:i/>
          <w:iCs/>
        </w:rPr>
        <w:t xml:space="preserve"> in </w:t>
      </w:r>
      <w:proofErr w:type="spellStart"/>
      <w:r w:rsidRPr="00A472FC">
        <w:rPr>
          <w:rFonts w:ascii="Times New Roman" w:hAnsi="Times New Roman" w:cs="Times New Roman"/>
          <w:i/>
          <w:iCs/>
        </w:rPr>
        <w:t>effectu</w:t>
      </w:r>
      <w:proofErr w:type="spellEnd"/>
    </w:p>
    <w:p w14:paraId="1F01A8C7" w14:textId="77777777" w:rsidR="00E212D3" w:rsidRPr="00A472FC" w:rsidRDefault="00E212D3" w:rsidP="00E212D3">
      <w:pPr>
        <w:pStyle w:val="Default"/>
        <w:ind w:right="-52" w:firstLine="720"/>
        <w:rPr>
          <w:rFonts w:ascii="Times New Roman" w:hAnsi="Times New Roman" w:cs="Times New Roman"/>
          <w:i/>
          <w:iCs/>
        </w:rPr>
      </w:pPr>
      <w:proofErr w:type="spellStart"/>
      <w:r w:rsidRPr="00A472FC">
        <w:rPr>
          <w:rFonts w:ascii="Times New Roman" w:hAnsi="Times New Roman" w:cs="Times New Roman"/>
          <w:i/>
          <w:iCs/>
        </w:rPr>
        <w:t>intellectus</w:t>
      </w:r>
      <w:proofErr w:type="spellEnd"/>
      <w:r w:rsidRPr="00A472FC">
        <w:rPr>
          <w:rFonts w:ascii="Times New Roman" w:hAnsi="Times New Roman" w:cs="Times New Roman"/>
          <w:i/>
          <w:iCs/>
        </w:rPr>
        <w:t xml:space="preserve"> in </w:t>
      </w:r>
      <w:proofErr w:type="spellStart"/>
      <w:r w:rsidRPr="00A472FC">
        <w:rPr>
          <w:rFonts w:ascii="Times New Roman" w:hAnsi="Times New Roman" w:cs="Times New Roman"/>
          <w:i/>
          <w:iCs/>
        </w:rPr>
        <w:t>habitu</w:t>
      </w:r>
      <w:proofErr w:type="spellEnd"/>
    </w:p>
    <w:p w14:paraId="1DB4AC44" w14:textId="77777777" w:rsidR="00E212D3" w:rsidRPr="00A472FC" w:rsidRDefault="00E212D3" w:rsidP="00E212D3">
      <w:pPr>
        <w:pStyle w:val="Default"/>
        <w:ind w:right="-52" w:firstLine="720"/>
        <w:rPr>
          <w:rFonts w:ascii="Times New Roman" w:hAnsi="Times New Roman" w:cs="Times New Roman"/>
        </w:rPr>
      </w:pPr>
      <w:proofErr w:type="spellStart"/>
      <w:r w:rsidRPr="00A472FC">
        <w:rPr>
          <w:rFonts w:ascii="Times New Roman" w:hAnsi="Times New Roman" w:cs="Times New Roman"/>
          <w:i/>
          <w:iCs/>
        </w:rPr>
        <w:t>intellectus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adeptus</w:t>
      </w:r>
      <w:proofErr w:type="spellEnd"/>
    </w:p>
    <w:p w14:paraId="37417B9A" w14:textId="77777777" w:rsidR="00E212D3" w:rsidRPr="00A472FC" w:rsidRDefault="00E212D3" w:rsidP="00E212D3">
      <w:pPr>
        <w:pStyle w:val="Default"/>
        <w:ind w:right="-52"/>
        <w:rPr>
          <w:rFonts w:ascii="Times New Roman" w:hAnsi="Times New Roman" w:cs="Times New Roman"/>
        </w:rPr>
      </w:pPr>
    </w:p>
    <w:p w14:paraId="662FA70C"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Agent Intellect</w:t>
      </w:r>
    </w:p>
    <w:p w14:paraId="4D286AF9"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God is agent intellect for knowledge of God (</w:t>
      </w:r>
      <w:r w:rsidRPr="00A472FC">
        <w:rPr>
          <w:rFonts w:ascii="Times New Roman" w:hAnsi="Times New Roman" w:cs="Times New Roman"/>
          <w:i/>
        </w:rPr>
        <w:t>supra se</w:t>
      </w:r>
      <w:r w:rsidRPr="00A472FC">
        <w:rPr>
          <w:rFonts w:ascii="Times New Roman" w:hAnsi="Times New Roman" w:cs="Times New Roman"/>
        </w:rPr>
        <w:t>)</w:t>
      </w:r>
    </w:p>
    <w:p w14:paraId="229CB6B7"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Angel for knowledge of angels (</w:t>
      </w:r>
      <w:proofErr w:type="spellStart"/>
      <w:r w:rsidRPr="00A472FC">
        <w:rPr>
          <w:rFonts w:ascii="Times New Roman" w:hAnsi="Times New Roman" w:cs="Times New Roman"/>
          <w:i/>
        </w:rPr>
        <w:t>iuxta</w:t>
      </w:r>
      <w:proofErr w:type="spellEnd"/>
      <w:r w:rsidRPr="00A472FC">
        <w:rPr>
          <w:rFonts w:ascii="Times New Roman" w:hAnsi="Times New Roman" w:cs="Times New Roman"/>
          <w:i/>
        </w:rPr>
        <w:t xml:space="preserve"> se</w:t>
      </w:r>
      <w:r w:rsidRPr="00A472FC">
        <w:rPr>
          <w:rFonts w:ascii="Times New Roman" w:hAnsi="Times New Roman" w:cs="Times New Roman"/>
        </w:rPr>
        <w:t>)</w:t>
      </w:r>
    </w:p>
    <w:p w14:paraId="711A3F4D"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Self for knowledge of self and things ‘below’ the self (</w:t>
      </w:r>
      <w:r w:rsidRPr="00A472FC">
        <w:rPr>
          <w:rFonts w:ascii="Times New Roman" w:hAnsi="Times New Roman" w:cs="Times New Roman"/>
          <w:i/>
        </w:rPr>
        <w:t>infra se</w:t>
      </w:r>
      <w:r w:rsidRPr="00A472FC">
        <w:rPr>
          <w:rFonts w:ascii="Times New Roman" w:hAnsi="Times New Roman" w:cs="Times New Roman"/>
        </w:rPr>
        <w:t>)</w:t>
      </w:r>
    </w:p>
    <w:p w14:paraId="16FB6F5A" w14:textId="77777777" w:rsidR="00E212D3" w:rsidRPr="00A472FC" w:rsidRDefault="00E212D3" w:rsidP="00E212D3">
      <w:pPr>
        <w:pStyle w:val="Default"/>
        <w:ind w:right="-52"/>
        <w:rPr>
          <w:rFonts w:ascii="Times New Roman" w:hAnsi="Times New Roman" w:cs="Times New Roman"/>
        </w:rPr>
      </w:pPr>
    </w:p>
    <w:p w14:paraId="46EB8545"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Mode of operation</w:t>
      </w:r>
    </w:p>
    <w:p w14:paraId="54647D09"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Inductive</w:t>
      </w:r>
    </w:p>
    <w:p w14:paraId="2E1D9B5C" w14:textId="77777777" w:rsidR="00E212D3" w:rsidRPr="00A472FC" w:rsidRDefault="00E212D3" w:rsidP="00E212D3">
      <w:pPr>
        <w:pStyle w:val="Default"/>
        <w:ind w:right="-52" w:firstLine="720"/>
        <w:rPr>
          <w:rFonts w:ascii="Times New Roman" w:hAnsi="Times New Roman" w:cs="Times New Roman"/>
        </w:rPr>
      </w:pPr>
      <w:r w:rsidRPr="00A472FC">
        <w:rPr>
          <w:rFonts w:ascii="Times New Roman" w:hAnsi="Times New Roman" w:cs="Times New Roman"/>
        </w:rPr>
        <w:t>Syllogistic</w:t>
      </w:r>
    </w:p>
    <w:p w14:paraId="40DDF123" w14:textId="77777777" w:rsidR="00E212D3" w:rsidRPr="00A472FC" w:rsidRDefault="00E212D3" w:rsidP="00E212D3">
      <w:pPr>
        <w:pStyle w:val="Default"/>
        <w:ind w:right="-52"/>
        <w:rPr>
          <w:rFonts w:ascii="Times New Roman" w:hAnsi="Times New Roman" w:cs="Times New Roman"/>
        </w:rPr>
      </w:pPr>
    </w:p>
    <w:p w14:paraId="1D78A7F4"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Inferior and superior</w:t>
      </w:r>
    </w:p>
    <w:p w14:paraId="38D0061F"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Superior is like agent intellect</w:t>
      </w:r>
    </w:p>
    <w:p w14:paraId="1F879BDF" w14:textId="77777777"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r>
      <w:r w:rsidRPr="00A472FC">
        <w:rPr>
          <w:rFonts w:ascii="Times New Roman" w:hAnsi="Times New Roman" w:cs="Times New Roman"/>
        </w:rPr>
        <w:tab/>
        <w:t>Memory, understanding, will</w:t>
      </w:r>
    </w:p>
    <w:p w14:paraId="30736DDD" w14:textId="77777777" w:rsidR="00E212D3" w:rsidRPr="00A472FC" w:rsidRDefault="00E212D3" w:rsidP="00E212D3">
      <w:pPr>
        <w:pStyle w:val="Default"/>
        <w:ind w:right="-52"/>
        <w:rPr>
          <w:rFonts w:ascii="Times New Roman" w:hAnsi="Times New Roman" w:cs="Times New Roman"/>
          <w:b/>
        </w:rPr>
      </w:pP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b/>
        </w:rPr>
        <w:t xml:space="preserve">Understanding: </w:t>
      </w:r>
      <w:proofErr w:type="spellStart"/>
      <w:r w:rsidRPr="00A472FC">
        <w:rPr>
          <w:rFonts w:ascii="Times New Roman" w:hAnsi="Times New Roman" w:cs="Times New Roman"/>
          <w:b/>
          <w:i/>
          <w:iCs/>
        </w:rPr>
        <w:t>inventiva</w:t>
      </w:r>
      <w:proofErr w:type="spellEnd"/>
      <w:r w:rsidRPr="00A472FC">
        <w:rPr>
          <w:rFonts w:ascii="Times New Roman" w:hAnsi="Times New Roman" w:cs="Times New Roman"/>
          <w:b/>
        </w:rPr>
        <w:t xml:space="preserve">, </w:t>
      </w:r>
      <w:proofErr w:type="spellStart"/>
      <w:r w:rsidRPr="00A472FC">
        <w:rPr>
          <w:rFonts w:ascii="Times New Roman" w:hAnsi="Times New Roman" w:cs="Times New Roman"/>
          <w:b/>
          <w:i/>
          <w:iCs/>
        </w:rPr>
        <w:t>iudicativa</w:t>
      </w:r>
      <w:proofErr w:type="spellEnd"/>
      <w:r w:rsidRPr="00A472FC">
        <w:rPr>
          <w:rFonts w:ascii="Times New Roman" w:hAnsi="Times New Roman" w:cs="Times New Roman"/>
          <w:b/>
        </w:rPr>
        <w:t xml:space="preserve">, </w:t>
      </w:r>
      <w:proofErr w:type="spellStart"/>
      <w:r w:rsidRPr="00A472FC">
        <w:rPr>
          <w:rFonts w:ascii="Times New Roman" w:hAnsi="Times New Roman" w:cs="Times New Roman"/>
          <w:b/>
          <w:i/>
          <w:iCs/>
        </w:rPr>
        <w:t>memorativa</w:t>
      </w:r>
      <w:proofErr w:type="spellEnd"/>
      <w:r w:rsidRPr="00A472FC">
        <w:rPr>
          <w:rFonts w:ascii="Times New Roman" w:hAnsi="Times New Roman" w:cs="Times New Roman"/>
          <w:b/>
        </w:rPr>
        <w:t xml:space="preserve">, </w:t>
      </w:r>
      <w:proofErr w:type="spellStart"/>
      <w:r w:rsidRPr="00A472FC">
        <w:rPr>
          <w:rFonts w:ascii="Times New Roman" w:hAnsi="Times New Roman" w:cs="Times New Roman"/>
          <w:b/>
          <w:i/>
          <w:iCs/>
        </w:rPr>
        <w:t>interpretativa</w:t>
      </w:r>
      <w:proofErr w:type="spellEnd"/>
    </w:p>
    <w:p w14:paraId="574A856F" w14:textId="16BAC399" w:rsidR="00E212D3" w:rsidRPr="00A472FC" w:rsidRDefault="00E212D3" w:rsidP="00E212D3">
      <w:pPr>
        <w:pStyle w:val="Default"/>
        <w:ind w:right="-52"/>
        <w:rPr>
          <w:rFonts w:ascii="Times New Roman" w:hAnsi="Times New Roman" w:cs="Times New Roman"/>
        </w:rPr>
      </w:pPr>
      <w:r w:rsidRPr="00A472FC">
        <w:rPr>
          <w:rFonts w:ascii="Times New Roman" w:hAnsi="Times New Roman" w:cs="Times New Roman"/>
        </w:rPr>
        <w:tab/>
        <w:t>Inferior like possible</w:t>
      </w:r>
    </w:p>
    <w:p w14:paraId="15EE8253" w14:textId="7A0A7766" w:rsidR="00414F7E" w:rsidRPr="00A472FC" w:rsidRDefault="00414F7E" w:rsidP="00E212D3">
      <w:pPr>
        <w:pStyle w:val="Default"/>
        <w:ind w:right="-52"/>
        <w:rPr>
          <w:rFonts w:ascii="Times New Roman" w:hAnsi="Times New Roman" w:cs="Times New Roman"/>
        </w:rPr>
      </w:pPr>
    </w:p>
    <w:p w14:paraId="7E938EAB" w14:textId="7DD537D2" w:rsidR="00414F7E" w:rsidRPr="00A472FC" w:rsidRDefault="00414F7E" w:rsidP="00E212D3">
      <w:pPr>
        <w:pStyle w:val="Default"/>
        <w:ind w:right="-52"/>
        <w:rPr>
          <w:rFonts w:ascii="Times New Roman" w:hAnsi="Times New Roman" w:cs="Times New Roman"/>
        </w:rPr>
      </w:pPr>
    </w:p>
    <w:p w14:paraId="77CB5D4F" w14:textId="4FC7A0CD" w:rsidR="00414F7E" w:rsidRPr="00A472FC" w:rsidRDefault="00414F7E" w:rsidP="00E212D3">
      <w:pPr>
        <w:pStyle w:val="Default"/>
        <w:ind w:right="-52"/>
        <w:rPr>
          <w:rFonts w:ascii="Times New Roman" w:hAnsi="Times New Roman" w:cs="Times New Roman"/>
        </w:rPr>
      </w:pPr>
    </w:p>
    <w:p w14:paraId="3870B11D" w14:textId="56477ACD" w:rsidR="00414F7E" w:rsidRPr="00A472FC" w:rsidRDefault="00414F7E" w:rsidP="00E212D3">
      <w:pPr>
        <w:pStyle w:val="Default"/>
        <w:ind w:right="-52"/>
        <w:rPr>
          <w:rFonts w:ascii="Times New Roman" w:hAnsi="Times New Roman" w:cs="Times New Roman"/>
        </w:rPr>
      </w:pPr>
    </w:p>
    <w:p w14:paraId="0F3EFF70" w14:textId="7EDA33EA" w:rsidR="00414F7E" w:rsidRPr="00A472FC" w:rsidRDefault="00414F7E" w:rsidP="00E212D3">
      <w:pPr>
        <w:pStyle w:val="Default"/>
        <w:ind w:right="-52"/>
        <w:rPr>
          <w:rFonts w:ascii="Times New Roman" w:hAnsi="Times New Roman" w:cs="Times New Roman"/>
        </w:rPr>
      </w:pPr>
    </w:p>
    <w:p w14:paraId="14069C1C" w14:textId="02D77617" w:rsidR="00414F7E" w:rsidRPr="00A472FC" w:rsidRDefault="00843662" w:rsidP="00E212D3">
      <w:pPr>
        <w:pStyle w:val="Default"/>
        <w:ind w:right="-52"/>
        <w:rPr>
          <w:rFonts w:ascii="Times New Roman" w:hAnsi="Times New Roman" w:cs="Times New Roman"/>
        </w:rPr>
      </w:pPr>
      <w:r w:rsidRPr="00A472FC">
        <w:rPr>
          <w:rFonts w:ascii="Times New Roman" w:hAnsi="Times New Roman" w:cs="Times New Roman"/>
        </w:rPr>
        <w:t>*</w:t>
      </w:r>
      <w:r w:rsidR="00414F7E" w:rsidRPr="00A472FC">
        <w:rPr>
          <w:rFonts w:ascii="Times New Roman" w:hAnsi="Times New Roman" w:cs="Times New Roman"/>
        </w:rPr>
        <w:t xml:space="preserve">Grey text indicates anything in the </w:t>
      </w:r>
      <w:proofErr w:type="spellStart"/>
      <w:r w:rsidR="00414F7E" w:rsidRPr="00A472FC">
        <w:rPr>
          <w:rFonts w:ascii="Times New Roman" w:hAnsi="Times New Roman" w:cs="Times New Roman"/>
          <w:i/>
        </w:rPr>
        <w:t>Tractatus</w:t>
      </w:r>
      <w:proofErr w:type="spellEnd"/>
      <w:r w:rsidR="00414F7E" w:rsidRPr="00A472FC">
        <w:rPr>
          <w:rFonts w:ascii="Times New Roman" w:hAnsi="Times New Roman" w:cs="Times New Roman"/>
          <w:i/>
        </w:rPr>
        <w:t xml:space="preserve"> </w:t>
      </w:r>
      <w:r w:rsidR="00414F7E" w:rsidRPr="00A472FC">
        <w:rPr>
          <w:rFonts w:ascii="Times New Roman" w:hAnsi="Times New Roman" w:cs="Times New Roman"/>
        </w:rPr>
        <w:t xml:space="preserve">that is suppressed or re-located in the </w:t>
      </w:r>
      <w:r w:rsidR="00414F7E" w:rsidRPr="00A472FC">
        <w:rPr>
          <w:rFonts w:ascii="Times New Roman" w:hAnsi="Times New Roman" w:cs="Times New Roman"/>
          <w:i/>
        </w:rPr>
        <w:t xml:space="preserve">Summa de anima, </w:t>
      </w:r>
      <w:r w:rsidR="00414F7E" w:rsidRPr="00A472FC">
        <w:rPr>
          <w:rFonts w:ascii="Times New Roman" w:hAnsi="Times New Roman" w:cs="Times New Roman"/>
        </w:rPr>
        <w:t xml:space="preserve">while bold text indicates anything in the </w:t>
      </w:r>
      <w:r w:rsidR="00414F7E" w:rsidRPr="00A472FC">
        <w:rPr>
          <w:rFonts w:ascii="Times New Roman" w:hAnsi="Times New Roman" w:cs="Times New Roman"/>
          <w:i/>
        </w:rPr>
        <w:t xml:space="preserve">Summa de anima </w:t>
      </w:r>
      <w:r w:rsidR="00414F7E" w:rsidRPr="00A472FC">
        <w:rPr>
          <w:rFonts w:ascii="Times New Roman" w:hAnsi="Times New Roman" w:cs="Times New Roman"/>
        </w:rPr>
        <w:t xml:space="preserve">that did not appear in the </w:t>
      </w:r>
      <w:proofErr w:type="spellStart"/>
      <w:r w:rsidR="00414F7E" w:rsidRPr="00A472FC">
        <w:rPr>
          <w:rFonts w:ascii="Times New Roman" w:hAnsi="Times New Roman" w:cs="Times New Roman"/>
          <w:i/>
        </w:rPr>
        <w:t>Tractatus</w:t>
      </w:r>
      <w:proofErr w:type="spellEnd"/>
      <w:r w:rsidR="00414F7E" w:rsidRPr="00A472FC">
        <w:rPr>
          <w:rFonts w:ascii="Times New Roman" w:hAnsi="Times New Roman" w:cs="Times New Roman"/>
          <w:i/>
        </w:rPr>
        <w:t>.</w:t>
      </w:r>
    </w:p>
    <w:p w14:paraId="60EDDE78" w14:textId="77777777" w:rsidR="00E212D3" w:rsidRPr="00A472FC" w:rsidRDefault="00E212D3" w:rsidP="00E212D3">
      <w:pPr>
        <w:autoSpaceDE w:val="0"/>
        <w:autoSpaceDN w:val="0"/>
        <w:adjustRightInd w:val="0"/>
        <w:ind w:right="-52"/>
        <w:rPr>
          <w:rFonts w:ascii="Times New Roman" w:hAnsi="Times New Roman" w:cs="Times New Roman"/>
          <w:lang w:val="en-US"/>
        </w:rPr>
      </w:pPr>
    </w:p>
    <w:p w14:paraId="207C980F" w14:textId="77777777" w:rsidR="00E212D3" w:rsidRPr="00A472FC" w:rsidRDefault="00E212D3" w:rsidP="00E212D3">
      <w:pPr>
        <w:ind w:right="-52"/>
        <w:rPr>
          <w:rFonts w:ascii="Times New Roman" w:hAnsi="Times New Roman" w:cs="Times New Roman"/>
        </w:rPr>
        <w:sectPr w:rsidR="00E212D3" w:rsidRPr="00A472FC" w:rsidSect="00983A9E">
          <w:footnotePr>
            <w:numRestart w:val="eachSect"/>
          </w:footnotePr>
          <w:endnotePr>
            <w:numFmt w:val="decimal"/>
          </w:endnotePr>
          <w:pgSz w:w="11900" w:h="16840"/>
          <w:pgMar w:top="1440" w:right="1440" w:bottom="1440" w:left="1440" w:header="720" w:footer="720" w:gutter="0"/>
          <w:cols w:space="720"/>
          <w:docGrid w:linePitch="360"/>
        </w:sectPr>
      </w:pPr>
    </w:p>
    <w:p w14:paraId="66E23197" w14:textId="77777777" w:rsidR="00E212D3" w:rsidRPr="00A472FC" w:rsidRDefault="00E212D3" w:rsidP="00E212D3">
      <w:pPr>
        <w:ind w:right="-52"/>
        <w:rPr>
          <w:rFonts w:ascii="Times New Roman" w:hAnsi="Times New Roman" w:cs="Times New Roman"/>
        </w:rPr>
        <w:sectPr w:rsidR="00E212D3" w:rsidRPr="00A472FC" w:rsidSect="00B90B15">
          <w:footnotePr>
            <w:numRestart w:val="eachSect"/>
          </w:footnotePr>
          <w:endnotePr>
            <w:numFmt w:val="decimal"/>
          </w:endnotePr>
          <w:type w:val="continuous"/>
          <w:pgSz w:w="11900" w:h="16840"/>
          <w:pgMar w:top="1440" w:right="1440" w:bottom="1440" w:left="1440" w:header="720" w:footer="720" w:gutter="0"/>
          <w:cols w:space="720"/>
          <w:docGrid w:linePitch="360"/>
        </w:sectPr>
      </w:pPr>
    </w:p>
    <w:p w14:paraId="0E956C43" w14:textId="77777777" w:rsidR="00E212D3" w:rsidRPr="00A472FC" w:rsidRDefault="00E212D3" w:rsidP="00E212D3">
      <w:pPr>
        <w:ind w:right="-52"/>
        <w:rPr>
          <w:rFonts w:ascii="Times New Roman" w:hAnsi="Times New Roman" w:cs="Times New Roman"/>
          <w:b/>
          <w:i/>
        </w:rPr>
      </w:pPr>
      <w:r w:rsidRPr="00A472FC">
        <w:rPr>
          <w:rFonts w:ascii="Times New Roman" w:hAnsi="Times New Roman" w:cs="Times New Roman"/>
          <w:b/>
        </w:rPr>
        <w:lastRenderedPageBreak/>
        <w:t xml:space="preserve">6. Cognitive Powers in John of La Rochelle’s </w:t>
      </w:r>
      <w:r w:rsidRPr="00A472FC">
        <w:rPr>
          <w:rFonts w:ascii="Times New Roman" w:hAnsi="Times New Roman" w:cs="Times New Roman"/>
          <w:b/>
          <w:i/>
        </w:rPr>
        <w:t>Summa de anima</w:t>
      </w:r>
    </w:p>
    <w:p w14:paraId="15670A3A" w14:textId="77777777" w:rsidR="00E212D3" w:rsidRPr="00A472FC" w:rsidRDefault="00E212D3" w:rsidP="00E212D3">
      <w:pPr>
        <w:ind w:right="-52"/>
        <w:rPr>
          <w:rFonts w:ascii="Times New Roman" w:hAnsi="Times New Roman" w:cs="Times New Roman"/>
        </w:rPr>
      </w:pPr>
    </w:p>
    <w:p w14:paraId="3697B5B0" w14:textId="298D2986" w:rsidR="00ED0718" w:rsidRPr="00A472FC" w:rsidRDefault="00E212D3" w:rsidP="00E212D3">
      <w:pPr>
        <w:ind w:right="-52"/>
        <w:rPr>
          <w:rFonts w:ascii="Times New Roman" w:hAnsi="Times New Roman" w:cs="Times New Roman"/>
        </w:rPr>
      </w:pPr>
      <w:r w:rsidRPr="00A472FC">
        <w:rPr>
          <w:rFonts w:ascii="Times New Roman" w:hAnsi="Times New Roman" w:cs="Times New Roman"/>
        </w:rPr>
        <w:tab/>
        <w:t xml:space="preserve">In the previous chapter, my aim was to follow as closely as possible the account of the cognitive powers in Avicenna, </w:t>
      </w:r>
      <w:proofErr w:type="spellStart"/>
      <w:r w:rsidR="009C6C95" w:rsidRPr="00A472FC">
        <w:rPr>
          <w:rFonts w:ascii="Times New Roman" w:hAnsi="Times New Roman" w:cs="Times New Roman"/>
        </w:rPr>
        <w:t>Johannitius</w:t>
      </w:r>
      <w:proofErr w:type="spellEnd"/>
      <w:r w:rsidR="009C6C95" w:rsidRPr="00A472FC">
        <w:rPr>
          <w:rFonts w:ascii="Times New Roman" w:hAnsi="Times New Roman" w:cs="Times New Roman"/>
        </w:rPr>
        <w:t xml:space="preserve">, </w:t>
      </w:r>
      <w:r w:rsidRPr="00A472FC">
        <w:rPr>
          <w:rFonts w:ascii="Times New Roman" w:hAnsi="Times New Roman" w:cs="Times New Roman"/>
        </w:rPr>
        <w:t xml:space="preserve">John of Damascus, and </w:t>
      </w:r>
      <w:r w:rsidR="00A07731" w:rsidRPr="00A472FC">
        <w:rPr>
          <w:rFonts w:ascii="Times New Roman" w:hAnsi="Times New Roman" w:cs="Times New Roman"/>
        </w:rPr>
        <w:t>pseudo-Augustine</w:t>
      </w:r>
      <w:r w:rsidRPr="00A472FC">
        <w:rPr>
          <w:rFonts w:ascii="Times New Roman" w:hAnsi="Times New Roman" w:cs="Times New Roman"/>
        </w:rPr>
        <w:t xml:space="preserve"> that John of La Rochelle gives in his </w:t>
      </w:r>
      <w:proofErr w:type="spellStart"/>
      <w:r w:rsidRPr="00A472FC">
        <w:rPr>
          <w:rFonts w:ascii="Times New Roman" w:hAnsi="Times New Roman" w:cs="Times New Roman"/>
          <w:i/>
        </w:rPr>
        <w:t>Tractatus</w:t>
      </w:r>
      <w:proofErr w:type="spellEnd"/>
      <w:r w:rsidRPr="00A472FC">
        <w:rPr>
          <w:rFonts w:ascii="Times New Roman" w:hAnsi="Times New Roman" w:cs="Times New Roman"/>
          <w:i/>
        </w:rPr>
        <w:t xml:space="preserve">, </w:t>
      </w:r>
      <w:r w:rsidRPr="00A472FC">
        <w:rPr>
          <w:rFonts w:ascii="Times New Roman" w:hAnsi="Times New Roman" w:cs="Times New Roman"/>
        </w:rPr>
        <w:t>cross-referencing to similar passages in the SDA.</w:t>
      </w:r>
      <w:r w:rsidRPr="00A472FC">
        <w:rPr>
          <w:rStyle w:val="FootnoteReference"/>
          <w:rFonts w:ascii="Times New Roman" w:hAnsi="Times New Roman" w:cs="Times New Roman"/>
        </w:rPr>
        <w:footnoteReference w:id="723"/>
      </w:r>
      <w:r w:rsidRPr="00A472FC">
        <w:rPr>
          <w:rFonts w:ascii="Times New Roman" w:hAnsi="Times New Roman" w:cs="Times New Roman"/>
        </w:rPr>
        <w:t xml:space="preserve"> This </w:t>
      </w:r>
      <w:r w:rsidR="00C1341D" w:rsidRPr="00A472FC">
        <w:rPr>
          <w:rFonts w:ascii="Times New Roman" w:hAnsi="Times New Roman" w:cs="Times New Roman"/>
        </w:rPr>
        <w:t>highlighted</w:t>
      </w:r>
      <w:r w:rsidRPr="00A472FC">
        <w:rPr>
          <w:rFonts w:ascii="Times New Roman" w:hAnsi="Times New Roman" w:cs="Times New Roman"/>
        </w:rPr>
        <w:t xml:space="preserve"> that the SDA more or less duplicates the </w:t>
      </w:r>
      <w:proofErr w:type="spellStart"/>
      <w:r w:rsidRPr="00A472FC">
        <w:rPr>
          <w:rFonts w:ascii="Times New Roman" w:hAnsi="Times New Roman" w:cs="Times New Roman"/>
          <w:i/>
        </w:rPr>
        <w:t>Tractatus</w:t>
      </w:r>
      <w:proofErr w:type="spellEnd"/>
      <w:r w:rsidRPr="00A472FC">
        <w:rPr>
          <w:rFonts w:ascii="Times New Roman" w:hAnsi="Times New Roman" w:cs="Times New Roman"/>
          <w:i/>
        </w:rPr>
        <w:t xml:space="preserve">’ </w:t>
      </w:r>
      <w:r w:rsidRPr="00A472FC">
        <w:rPr>
          <w:rFonts w:ascii="Times New Roman" w:hAnsi="Times New Roman" w:cs="Times New Roman"/>
        </w:rPr>
        <w:t>description of the powers, with the exception of the order in which the authorities are presented, thus confirming the importance of the latter work to the formation of John’s unique psychological vision</w:t>
      </w:r>
      <w:r w:rsidR="001F4E5D" w:rsidRPr="00A472FC">
        <w:rPr>
          <w:rFonts w:ascii="Times New Roman" w:hAnsi="Times New Roman" w:cs="Times New Roman"/>
        </w:rPr>
        <w:t xml:space="preserve">. </w:t>
      </w:r>
      <w:r w:rsidR="00023D72" w:rsidRPr="00A472FC">
        <w:rPr>
          <w:rFonts w:ascii="Times New Roman" w:hAnsi="Times New Roman" w:cs="Times New Roman"/>
        </w:rPr>
        <w:t>At the same time</w:t>
      </w:r>
      <w:r w:rsidR="001F4E5D" w:rsidRPr="00A472FC">
        <w:rPr>
          <w:rFonts w:ascii="Times New Roman" w:hAnsi="Times New Roman" w:cs="Times New Roman"/>
        </w:rPr>
        <w:t xml:space="preserve">, </w:t>
      </w:r>
      <w:r w:rsidR="00835922" w:rsidRPr="00A472FC">
        <w:rPr>
          <w:rFonts w:ascii="Times New Roman" w:hAnsi="Times New Roman" w:cs="Times New Roman"/>
        </w:rPr>
        <w:t>the pre</w:t>
      </w:r>
      <w:r w:rsidR="000506B3" w:rsidRPr="00A472FC">
        <w:rPr>
          <w:rFonts w:ascii="Times New Roman" w:hAnsi="Times New Roman" w:cs="Times New Roman"/>
        </w:rPr>
        <w:t>v</w:t>
      </w:r>
      <w:r w:rsidR="00835922" w:rsidRPr="00A472FC">
        <w:rPr>
          <w:rFonts w:ascii="Times New Roman" w:hAnsi="Times New Roman" w:cs="Times New Roman"/>
        </w:rPr>
        <w:t xml:space="preserve">ious chapter </w:t>
      </w:r>
      <w:proofErr w:type="spellStart"/>
      <w:r w:rsidR="00835922" w:rsidRPr="00A472FC">
        <w:rPr>
          <w:rFonts w:ascii="Times New Roman" w:hAnsi="Times New Roman" w:cs="Times New Roman"/>
        </w:rPr>
        <w:t>emphasized</w:t>
      </w:r>
      <w:proofErr w:type="spellEnd"/>
      <w:r w:rsidR="00835922" w:rsidRPr="00A472FC">
        <w:rPr>
          <w:rFonts w:ascii="Times New Roman" w:hAnsi="Times New Roman" w:cs="Times New Roman"/>
        </w:rPr>
        <w:t xml:space="preserve"> </w:t>
      </w:r>
      <w:r w:rsidRPr="00A472FC">
        <w:rPr>
          <w:rFonts w:ascii="Times New Roman" w:hAnsi="Times New Roman" w:cs="Times New Roman"/>
        </w:rPr>
        <w:t xml:space="preserve">John’s views on the synergies between the authorities themselves. </w:t>
      </w:r>
      <w:r w:rsidR="00B73AE6" w:rsidRPr="00A472FC">
        <w:rPr>
          <w:rFonts w:ascii="Times New Roman" w:hAnsi="Times New Roman" w:cs="Times New Roman"/>
        </w:rPr>
        <w:t>In</w:t>
      </w:r>
      <w:r w:rsidRPr="00A472FC">
        <w:rPr>
          <w:rFonts w:ascii="Times New Roman" w:hAnsi="Times New Roman" w:cs="Times New Roman"/>
        </w:rPr>
        <w:t xml:space="preserve"> this chapter</w:t>
      </w:r>
      <w:r w:rsidR="00023D72" w:rsidRPr="00A472FC">
        <w:rPr>
          <w:rFonts w:ascii="Times New Roman" w:hAnsi="Times New Roman" w:cs="Times New Roman"/>
        </w:rPr>
        <w:t xml:space="preserve">, </w:t>
      </w:r>
      <w:r w:rsidR="00B73AE6" w:rsidRPr="00A472FC">
        <w:rPr>
          <w:rFonts w:ascii="Times New Roman" w:hAnsi="Times New Roman" w:cs="Times New Roman"/>
        </w:rPr>
        <w:t>I will offer a</w:t>
      </w:r>
      <w:r w:rsidR="006005BD" w:rsidRPr="00A472FC">
        <w:rPr>
          <w:rFonts w:ascii="Times New Roman" w:hAnsi="Times New Roman" w:cs="Times New Roman"/>
        </w:rPr>
        <w:t xml:space="preserve"> deeper</w:t>
      </w:r>
      <w:r w:rsidR="00B73AE6" w:rsidRPr="00A472FC">
        <w:rPr>
          <w:rFonts w:ascii="Times New Roman" w:hAnsi="Times New Roman" w:cs="Times New Roman"/>
        </w:rPr>
        <w:t xml:space="preserve"> analysis of John’s actual positions on cognition, as they emerge through </w:t>
      </w:r>
      <w:r w:rsidRPr="00A472FC">
        <w:rPr>
          <w:rFonts w:ascii="Times New Roman" w:hAnsi="Times New Roman" w:cs="Times New Roman"/>
        </w:rPr>
        <w:t xml:space="preserve">his presentation of the cognitive powers in the SDA. </w:t>
      </w:r>
    </w:p>
    <w:p w14:paraId="33633330" w14:textId="77777777" w:rsidR="00494596" w:rsidRPr="00A472FC" w:rsidRDefault="00E212D3" w:rsidP="00ED0718">
      <w:pPr>
        <w:ind w:right="-52" w:firstLine="720"/>
        <w:rPr>
          <w:rFonts w:ascii="Times New Roman" w:hAnsi="Times New Roman" w:cs="Times New Roman"/>
          <w:color w:val="000000" w:themeColor="text1"/>
          <w:kern w:val="1"/>
          <w:lang w:val="en-US"/>
        </w:rPr>
      </w:pPr>
      <w:r w:rsidRPr="00A472FC">
        <w:rPr>
          <w:rFonts w:ascii="Times New Roman" w:hAnsi="Times New Roman" w:cs="Times New Roman"/>
        </w:rPr>
        <w:t>In this regard, I will bracket the purely bodily</w:t>
      </w:r>
      <w:r w:rsidR="00ED0718" w:rsidRPr="00A472FC">
        <w:rPr>
          <w:rFonts w:ascii="Times New Roman" w:hAnsi="Times New Roman" w:cs="Times New Roman"/>
        </w:rPr>
        <w:t xml:space="preserve"> or ‘medical’</w:t>
      </w:r>
      <w:r w:rsidRPr="00A472FC">
        <w:rPr>
          <w:rFonts w:ascii="Times New Roman" w:hAnsi="Times New Roman" w:cs="Times New Roman"/>
        </w:rPr>
        <w:t xml:space="preserve"> powers, in order to </w:t>
      </w:r>
      <w:r w:rsidR="00ED0718" w:rsidRPr="00A472FC">
        <w:rPr>
          <w:rFonts w:ascii="Times New Roman" w:hAnsi="Times New Roman" w:cs="Times New Roman"/>
        </w:rPr>
        <w:t>pursue</w:t>
      </w:r>
      <w:r w:rsidRPr="00A472FC">
        <w:rPr>
          <w:rFonts w:ascii="Times New Roman" w:hAnsi="Times New Roman" w:cs="Times New Roman"/>
        </w:rPr>
        <w:t xml:space="preserve"> a better understanding of how the fundamental faculties of internal sensation and intellect operate in </w:t>
      </w:r>
      <w:r w:rsidR="00494596" w:rsidRPr="00A472FC">
        <w:rPr>
          <w:rFonts w:ascii="Times New Roman" w:hAnsi="Times New Roman" w:cs="Times New Roman"/>
        </w:rPr>
        <w:t>John’s</w:t>
      </w:r>
      <w:r w:rsidR="00023D72" w:rsidRPr="00A472FC">
        <w:rPr>
          <w:rFonts w:ascii="Times New Roman" w:hAnsi="Times New Roman" w:cs="Times New Roman"/>
        </w:rPr>
        <w:t xml:space="preserve"> understanding.</w:t>
      </w:r>
      <w:r w:rsidR="00ED0718" w:rsidRPr="00A472FC">
        <w:rPr>
          <w:rFonts w:ascii="Times New Roman" w:hAnsi="Times New Roman" w:cs="Times New Roman"/>
        </w:rPr>
        <w:t xml:space="preserve"> </w:t>
      </w:r>
      <w:r w:rsidRPr="00A472FC">
        <w:rPr>
          <w:rFonts w:ascii="Times New Roman" w:hAnsi="Times New Roman" w:cs="Times New Roman"/>
        </w:rPr>
        <w:t>This analysis will show that John advocate</w:t>
      </w:r>
      <w:r w:rsidR="002404E9" w:rsidRPr="00A472FC">
        <w:rPr>
          <w:rFonts w:ascii="Times New Roman" w:hAnsi="Times New Roman" w:cs="Times New Roman"/>
        </w:rPr>
        <w:t>s</w:t>
      </w:r>
      <w:r w:rsidRPr="00A472FC">
        <w:rPr>
          <w:rFonts w:ascii="Times New Roman" w:hAnsi="Times New Roman" w:cs="Times New Roman"/>
        </w:rPr>
        <w:t xml:space="preserve"> what has sometimes been described as an</w:t>
      </w:r>
      <w:r w:rsidRPr="00A472FC">
        <w:rPr>
          <w:rFonts w:ascii="Times New Roman" w:hAnsi="Times New Roman" w:cs="Times New Roman"/>
          <w:color w:val="000000" w:themeColor="text1"/>
          <w:kern w:val="1"/>
          <w:lang w:val="en-US"/>
        </w:rPr>
        <w:t xml:space="preserve"> ‘active’ theory of </w:t>
      </w:r>
      <w:r w:rsidR="00AD4191" w:rsidRPr="00A472FC">
        <w:rPr>
          <w:rFonts w:ascii="Times New Roman" w:hAnsi="Times New Roman" w:cs="Times New Roman"/>
          <w:color w:val="000000" w:themeColor="text1"/>
          <w:kern w:val="1"/>
          <w:lang w:val="en-US"/>
        </w:rPr>
        <w:t>cognition</w:t>
      </w:r>
      <w:r w:rsidRPr="00A472FC">
        <w:rPr>
          <w:rFonts w:ascii="Times New Roman" w:hAnsi="Times New Roman" w:cs="Times New Roman"/>
          <w:color w:val="000000" w:themeColor="text1"/>
          <w:kern w:val="1"/>
          <w:lang w:val="en-US"/>
        </w:rPr>
        <w:t xml:space="preserve">—or a theory in which the mind in some way ‘determines’ what it perceives in the world rather than simply receiving data passively. That said, </w:t>
      </w:r>
      <w:r w:rsidR="002404E9" w:rsidRPr="00A472FC">
        <w:rPr>
          <w:rFonts w:ascii="Times New Roman" w:hAnsi="Times New Roman" w:cs="Times New Roman"/>
          <w:color w:val="000000" w:themeColor="text1"/>
          <w:kern w:val="1"/>
          <w:lang w:val="en-US"/>
        </w:rPr>
        <w:t>his</w:t>
      </w:r>
      <w:r w:rsidRPr="00A472FC">
        <w:rPr>
          <w:rFonts w:ascii="Times New Roman" w:hAnsi="Times New Roman" w:cs="Times New Roman"/>
          <w:color w:val="000000" w:themeColor="text1"/>
          <w:kern w:val="1"/>
          <w:lang w:val="en-US"/>
        </w:rPr>
        <w:t xml:space="preserve"> version </w:t>
      </w:r>
      <w:r w:rsidR="005065F9" w:rsidRPr="00A472FC">
        <w:rPr>
          <w:rFonts w:ascii="Times New Roman" w:hAnsi="Times New Roman" w:cs="Times New Roman"/>
          <w:color w:val="000000" w:themeColor="text1"/>
          <w:kern w:val="1"/>
          <w:lang w:val="en-US"/>
        </w:rPr>
        <w:t xml:space="preserve">of this account </w:t>
      </w:r>
      <w:r w:rsidRPr="00A472FC">
        <w:rPr>
          <w:rFonts w:ascii="Times New Roman" w:hAnsi="Times New Roman" w:cs="Times New Roman"/>
          <w:color w:val="000000" w:themeColor="text1"/>
          <w:kern w:val="1"/>
          <w:lang w:val="en-US"/>
        </w:rPr>
        <w:t xml:space="preserve">is not as extreme as that of </w:t>
      </w:r>
      <w:r w:rsidR="00E13C4E" w:rsidRPr="00A472FC">
        <w:rPr>
          <w:rFonts w:ascii="Times New Roman" w:hAnsi="Times New Roman" w:cs="Times New Roman"/>
          <w:color w:val="000000" w:themeColor="text1"/>
          <w:kern w:val="1"/>
          <w:lang w:val="en-US"/>
        </w:rPr>
        <w:t xml:space="preserve">his </w:t>
      </w:r>
      <w:r w:rsidRPr="00A472FC">
        <w:rPr>
          <w:rFonts w:ascii="Times New Roman" w:hAnsi="Times New Roman" w:cs="Times New Roman"/>
          <w:color w:val="000000" w:themeColor="text1"/>
          <w:kern w:val="1"/>
          <w:lang w:val="en-US"/>
        </w:rPr>
        <w:t>contemporary William of Auvergne, whose account will also be briefly discussed</w:t>
      </w:r>
      <w:r w:rsidR="002404E9" w:rsidRPr="00A472FC">
        <w:rPr>
          <w:rFonts w:ascii="Times New Roman" w:hAnsi="Times New Roman" w:cs="Times New Roman"/>
          <w:color w:val="000000" w:themeColor="text1"/>
          <w:kern w:val="1"/>
          <w:lang w:val="en-US"/>
        </w:rPr>
        <w:t xml:space="preserve"> here</w:t>
      </w:r>
      <w:r w:rsidRPr="00A472FC">
        <w:rPr>
          <w:rFonts w:ascii="Times New Roman" w:hAnsi="Times New Roman" w:cs="Times New Roman"/>
          <w:color w:val="000000" w:themeColor="text1"/>
          <w:kern w:val="1"/>
          <w:lang w:val="en-US"/>
        </w:rPr>
        <w:t xml:space="preserve">. </w:t>
      </w:r>
    </w:p>
    <w:p w14:paraId="78499506" w14:textId="42042A67" w:rsidR="00E212D3" w:rsidRPr="00A472FC" w:rsidRDefault="0010259D" w:rsidP="00494596">
      <w:pPr>
        <w:ind w:right="-52" w:firstLine="720"/>
        <w:rPr>
          <w:rFonts w:ascii="Times New Roman" w:hAnsi="Times New Roman" w:cs="Times New Roman"/>
          <w:iCs/>
        </w:rPr>
      </w:pPr>
      <w:r w:rsidRPr="00A472FC">
        <w:rPr>
          <w:rFonts w:ascii="Times New Roman" w:hAnsi="Times New Roman" w:cs="Times New Roman"/>
          <w:color w:val="000000" w:themeColor="text1"/>
          <w:kern w:val="1"/>
          <w:lang w:val="en-US"/>
        </w:rPr>
        <w:t>In his more moderate account, J</w:t>
      </w:r>
      <w:r w:rsidR="007468F4" w:rsidRPr="00A472FC">
        <w:rPr>
          <w:rFonts w:ascii="Times New Roman" w:hAnsi="Times New Roman" w:cs="Times New Roman"/>
          <w:color w:val="000000" w:themeColor="text1"/>
          <w:kern w:val="1"/>
          <w:lang w:val="en-US"/>
        </w:rPr>
        <w:t xml:space="preserve">ohn </w:t>
      </w:r>
      <w:r w:rsidR="00E212D3" w:rsidRPr="00A472FC">
        <w:rPr>
          <w:rFonts w:ascii="Times New Roman" w:hAnsi="Times New Roman" w:cs="Times New Roman"/>
          <w:color w:val="000000" w:themeColor="text1"/>
          <w:kern w:val="1"/>
          <w:lang w:val="en-US"/>
        </w:rPr>
        <w:t>preserve</w:t>
      </w:r>
      <w:r w:rsidR="007468F4" w:rsidRPr="00A472FC">
        <w:rPr>
          <w:rFonts w:ascii="Times New Roman" w:hAnsi="Times New Roman" w:cs="Times New Roman"/>
          <w:color w:val="000000" w:themeColor="text1"/>
          <w:kern w:val="1"/>
          <w:lang w:val="en-US"/>
        </w:rPr>
        <w:t>d</w:t>
      </w:r>
      <w:r w:rsidR="00E212D3" w:rsidRPr="00A472FC">
        <w:rPr>
          <w:rFonts w:ascii="Times New Roman" w:hAnsi="Times New Roman" w:cs="Times New Roman"/>
          <w:color w:val="000000" w:themeColor="text1"/>
          <w:kern w:val="1"/>
          <w:lang w:val="en-US"/>
        </w:rPr>
        <w:t xml:space="preserve"> at least some role for the kind of passive reception of sense data that is so famously associated with Aristotle, while </w:t>
      </w:r>
      <w:r w:rsidR="00494596" w:rsidRPr="00A472FC">
        <w:rPr>
          <w:rFonts w:ascii="Times New Roman" w:hAnsi="Times New Roman" w:cs="Times New Roman"/>
          <w:color w:val="000000" w:themeColor="text1"/>
          <w:kern w:val="1"/>
          <w:lang w:val="en-US"/>
        </w:rPr>
        <w:t>emphasizing</w:t>
      </w:r>
      <w:r w:rsidR="00E212D3" w:rsidRPr="00A472FC">
        <w:rPr>
          <w:rFonts w:ascii="Times New Roman" w:hAnsi="Times New Roman" w:cs="Times New Roman"/>
          <w:color w:val="000000" w:themeColor="text1"/>
          <w:kern w:val="1"/>
          <w:lang w:val="en-US"/>
        </w:rPr>
        <w:t xml:space="preserve"> nonetheless that first principles acquired by God prior to experience, which are innate, structure perceptual experience and render it intelligible. For William, by contrast, sense objects play no causal role in the development of the ideas we have about them, which are generated by the intellect exclusively. To understand how the two accounts differ, </w:t>
      </w:r>
      <w:r w:rsidR="00674588" w:rsidRPr="00A472FC">
        <w:rPr>
          <w:rFonts w:ascii="Times New Roman" w:hAnsi="Times New Roman" w:cs="Times New Roman"/>
          <w:color w:val="000000" w:themeColor="text1"/>
          <w:kern w:val="1"/>
          <w:lang w:val="en-US"/>
        </w:rPr>
        <w:t>I</w:t>
      </w:r>
      <w:r w:rsidR="00E212D3" w:rsidRPr="00A472FC">
        <w:rPr>
          <w:rFonts w:ascii="Times New Roman" w:hAnsi="Times New Roman" w:cs="Times New Roman"/>
          <w:color w:val="000000" w:themeColor="text1"/>
          <w:kern w:val="1"/>
          <w:lang w:val="en-US"/>
        </w:rPr>
        <w:t xml:space="preserve"> </w:t>
      </w:r>
      <w:r w:rsidR="00C334F3" w:rsidRPr="00A472FC">
        <w:rPr>
          <w:rFonts w:ascii="Times New Roman" w:hAnsi="Times New Roman" w:cs="Times New Roman"/>
          <w:color w:val="000000" w:themeColor="text1"/>
          <w:kern w:val="1"/>
          <w:lang w:val="en-US"/>
        </w:rPr>
        <w:t>will</w:t>
      </w:r>
      <w:r w:rsidR="00E212D3" w:rsidRPr="00A472FC">
        <w:rPr>
          <w:rFonts w:ascii="Times New Roman" w:hAnsi="Times New Roman" w:cs="Times New Roman"/>
          <w:color w:val="000000" w:themeColor="text1"/>
          <w:kern w:val="1"/>
          <w:lang w:val="en-US"/>
        </w:rPr>
        <w:t xml:space="preserve"> re-iterate the </w:t>
      </w:r>
      <w:r w:rsidR="00501A2D">
        <w:rPr>
          <w:rFonts w:ascii="Times New Roman" w:hAnsi="Times New Roman" w:cs="Times New Roman"/>
          <w:color w:val="000000" w:themeColor="text1"/>
          <w:kern w:val="1"/>
          <w:lang w:val="en-US"/>
        </w:rPr>
        <w:t>distinctive features</w:t>
      </w:r>
      <w:r w:rsidR="00E212D3" w:rsidRPr="00A472FC">
        <w:rPr>
          <w:rFonts w:ascii="Times New Roman" w:hAnsi="Times New Roman" w:cs="Times New Roman"/>
          <w:color w:val="000000" w:themeColor="text1"/>
          <w:kern w:val="1"/>
          <w:lang w:val="en-US"/>
        </w:rPr>
        <w:t xml:space="preserve"> of the Summa’s position on the internal senses and the way they facilitate the process of abstracting universals, before moving on a more elaborate account of the way John sees the workings of the intellect</w:t>
      </w:r>
      <w:r w:rsidR="003521EC" w:rsidRPr="00A472FC">
        <w:rPr>
          <w:rFonts w:ascii="Times New Roman" w:hAnsi="Times New Roman" w:cs="Times New Roman"/>
          <w:color w:val="000000" w:themeColor="text1"/>
          <w:kern w:val="1"/>
          <w:lang w:val="en-US"/>
        </w:rPr>
        <w:t xml:space="preserve">. This account </w:t>
      </w:r>
      <w:r w:rsidR="00E212D3" w:rsidRPr="00A472FC">
        <w:rPr>
          <w:rFonts w:ascii="Times New Roman" w:hAnsi="Times New Roman" w:cs="Times New Roman"/>
          <w:color w:val="000000" w:themeColor="text1"/>
          <w:kern w:val="1"/>
          <w:lang w:val="en-US"/>
        </w:rPr>
        <w:t xml:space="preserve">is supplemented by some relevant passages in the </w:t>
      </w:r>
      <w:r w:rsidR="00E212D3" w:rsidRPr="00A472FC">
        <w:rPr>
          <w:rFonts w:ascii="Times New Roman" w:hAnsi="Times New Roman" w:cs="Times New Roman"/>
          <w:i/>
          <w:color w:val="000000" w:themeColor="text1"/>
          <w:kern w:val="1"/>
          <w:lang w:val="en-US"/>
        </w:rPr>
        <w:t xml:space="preserve">Summa </w:t>
      </w:r>
      <w:proofErr w:type="spellStart"/>
      <w:r w:rsidR="00E212D3" w:rsidRPr="00A472FC">
        <w:rPr>
          <w:rFonts w:ascii="Times New Roman" w:hAnsi="Times New Roman" w:cs="Times New Roman"/>
          <w:i/>
          <w:color w:val="000000" w:themeColor="text1"/>
          <w:kern w:val="1"/>
          <w:lang w:val="en-US"/>
        </w:rPr>
        <w:t>Halensis</w:t>
      </w:r>
      <w:proofErr w:type="spellEnd"/>
      <w:r w:rsidR="004F2923" w:rsidRPr="00A472FC">
        <w:rPr>
          <w:rFonts w:ascii="Times New Roman" w:hAnsi="Times New Roman" w:cs="Times New Roman"/>
          <w:i/>
          <w:color w:val="000000" w:themeColor="text1"/>
          <w:kern w:val="1"/>
          <w:lang w:val="en-US"/>
        </w:rPr>
        <w:t xml:space="preserve">, </w:t>
      </w:r>
      <w:r w:rsidR="004F2923" w:rsidRPr="00A472FC">
        <w:rPr>
          <w:rFonts w:ascii="Times New Roman" w:hAnsi="Times New Roman" w:cs="Times New Roman"/>
          <w:iCs/>
          <w:color w:val="000000" w:themeColor="text1"/>
          <w:kern w:val="1"/>
          <w:lang w:val="en-US"/>
        </w:rPr>
        <w:t>which sheds additional light on the way natural cognition for early Franciscans relates to and facilitates knowledge of God</w:t>
      </w:r>
      <w:r w:rsidR="00E74B09" w:rsidRPr="00A472FC">
        <w:rPr>
          <w:rFonts w:ascii="Times New Roman" w:hAnsi="Times New Roman" w:cs="Times New Roman"/>
          <w:iCs/>
          <w:color w:val="000000" w:themeColor="text1"/>
          <w:kern w:val="1"/>
          <w:lang w:val="en-US"/>
        </w:rPr>
        <w:t>.</w:t>
      </w:r>
    </w:p>
    <w:p w14:paraId="39E70117" w14:textId="77777777" w:rsidR="00E212D3" w:rsidRPr="00A472FC" w:rsidRDefault="00E212D3" w:rsidP="00E212D3">
      <w:pPr>
        <w:ind w:right="-52" w:firstLine="720"/>
        <w:rPr>
          <w:rFonts w:ascii="Times New Roman" w:hAnsi="Times New Roman" w:cs="Times New Roman"/>
          <w:color w:val="000000" w:themeColor="text1"/>
          <w:kern w:val="1"/>
          <w:lang w:val="en-US"/>
        </w:rPr>
      </w:pPr>
    </w:p>
    <w:p w14:paraId="6E219736" w14:textId="77777777" w:rsidR="00E212D3" w:rsidRPr="00A472FC" w:rsidRDefault="00E212D3" w:rsidP="00E212D3">
      <w:pPr>
        <w:autoSpaceDE w:val="0"/>
        <w:autoSpaceDN w:val="0"/>
        <w:adjustRightInd w:val="0"/>
        <w:ind w:right="-52"/>
        <w:rPr>
          <w:rFonts w:ascii="Times New Roman" w:hAnsi="Times New Roman" w:cs="Times New Roman"/>
          <w:color w:val="000000" w:themeColor="text1"/>
          <w:kern w:val="1"/>
          <w:u w:val="single"/>
          <w:lang w:val="en-US"/>
        </w:rPr>
      </w:pPr>
      <w:r w:rsidRPr="00A472FC">
        <w:rPr>
          <w:rFonts w:ascii="Times New Roman" w:hAnsi="Times New Roman" w:cs="Times New Roman"/>
          <w:color w:val="000000" w:themeColor="text1"/>
          <w:kern w:val="1"/>
          <w:u w:val="single"/>
          <w:lang w:val="en-US"/>
        </w:rPr>
        <w:t>The Internal Senses</w:t>
      </w:r>
    </w:p>
    <w:p w14:paraId="19B2D3E0" w14:textId="77777777" w:rsidR="00E212D3" w:rsidRPr="00A472FC" w:rsidRDefault="00E212D3" w:rsidP="00E212D3">
      <w:pPr>
        <w:autoSpaceDE w:val="0"/>
        <w:autoSpaceDN w:val="0"/>
        <w:adjustRightInd w:val="0"/>
        <w:ind w:right="-52" w:firstLine="720"/>
        <w:rPr>
          <w:rFonts w:ascii="Times New Roman" w:hAnsi="Times New Roman" w:cs="Times New Roman"/>
          <w:color w:val="000000" w:themeColor="text1"/>
          <w:kern w:val="1"/>
          <w:lang w:val="en-US"/>
        </w:rPr>
      </w:pPr>
    </w:p>
    <w:p w14:paraId="7C770985" w14:textId="6B92760A" w:rsidR="00E212D3" w:rsidRPr="00A472FC" w:rsidRDefault="00E212D3" w:rsidP="00E212D3">
      <w:pPr>
        <w:autoSpaceDE w:val="0"/>
        <w:autoSpaceDN w:val="0"/>
        <w:adjustRightInd w:val="0"/>
        <w:ind w:right="-52" w:firstLine="720"/>
        <w:rPr>
          <w:rFonts w:ascii="Times New Roman" w:hAnsi="Times New Roman" w:cs="Times New Roman"/>
          <w:color w:val="000000" w:themeColor="text1"/>
          <w:kern w:val="1"/>
          <w:lang w:val="en-US"/>
        </w:rPr>
      </w:pPr>
      <w:r w:rsidRPr="00A472FC">
        <w:rPr>
          <w:rFonts w:ascii="Times New Roman" w:hAnsi="Times New Roman" w:cs="Times New Roman"/>
          <w:color w:val="000000" w:themeColor="text1"/>
          <w:kern w:val="1"/>
          <w:lang w:val="en-US"/>
        </w:rPr>
        <w:t xml:space="preserve">As we have seen in the </w:t>
      </w:r>
      <w:proofErr w:type="spellStart"/>
      <w:r w:rsidRPr="00A472FC">
        <w:rPr>
          <w:rFonts w:ascii="Times New Roman" w:hAnsi="Times New Roman" w:cs="Times New Roman"/>
          <w:i/>
          <w:color w:val="000000" w:themeColor="text1"/>
          <w:kern w:val="1"/>
          <w:lang w:val="en-US"/>
        </w:rPr>
        <w:t>Tractatus</w:t>
      </w:r>
      <w:proofErr w:type="spellEnd"/>
      <w:r w:rsidRPr="00A472FC">
        <w:rPr>
          <w:rFonts w:ascii="Times New Roman" w:hAnsi="Times New Roman" w:cs="Times New Roman"/>
          <w:i/>
          <w:color w:val="000000" w:themeColor="text1"/>
          <w:kern w:val="1"/>
          <w:lang w:val="en-US"/>
        </w:rPr>
        <w:t xml:space="preserve">, </w:t>
      </w:r>
      <w:r w:rsidRPr="00A472FC">
        <w:rPr>
          <w:rFonts w:ascii="Times New Roman" w:hAnsi="Times New Roman" w:cs="Times New Roman"/>
          <w:color w:val="000000" w:themeColor="text1"/>
          <w:kern w:val="1"/>
          <w:lang w:val="en-US"/>
        </w:rPr>
        <w:t>John of La Rochelle follows Avicenna very closely in delineating the five internal senses, which process the data of external sensation for cognition.</w:t>
      </w:r>
      <w:r w:rsidRPr="00A472FC">
        <w:rPr>
          <w:rStyle w:val="FootnoteReference"/>
          <w:rFonts w:ascii="Times New Roman" w:hAnsi="Times New Roman" w:cs="Times New Roman"/>
        </w:rPr>
        <w:footnoteReference w:id="724"/>
      </w:r>
      <w:r w:rsidRPr="00A472FC">
        <w:rPr>
          <w:rFonts w:ascii="Times New Roman" w:hAnsi="Times New Roman" w:cs="Times New Roman"/>
          <w:color w:val="000000" w:themeColor="text1"/>
          <w:kern w:val="1"/>
          <w:lang w:val="en-US"/>
        </w:rPr>
        <w:t xml:space="preserve"> These senses include what he calls the common sense, imagination, the imaginative sense, estimation, and memory.</w:t>
      </w:r>
      <w:r w:rsidRPr="00A472FC">
        <w:rPr>
          <w:rStyle w:val="FootnoteReference"/>
          <w:rFonts w:ascii="Times New Roman" w:hAnsi="Times New Roman" w:cs="Times New Roman"/>
          <w:color w:val="000000" w:themeColor="text1"/>
          <w:kern w:val="1"/>
          <w:lang w:val="en-US"/>
        </w:rPr>
        <w:footnoteReference w:id="725"/>
      </w:r>
      <w:r w:rsidRPr="00A472FC">
        <w:rPr>
          <w:rFonts w:ascii="Times New Roman" w:hAnsi="Times New Roman" w:cs="Times New Roman"/>
          <w:color w:val="000000" w:themeColor="text1"/>
          <w:kern w:val="1"/>
          <w:lang w:val="en-US"/>
        </w:rPr>
        <w:t xml:space="preserve"> The common sense is </w:t>
      </w:r>
      <w:r w:rsidR="00EF3FCC" w:rsidRPr="00A472FC">
        <w:rPr>
          <w:rFonts w:ascii="Times New Roman" w:hAnsi="Times New Roman" w:cs="Times New Roman"/>
          <w:color w:val="000000" w:themeColor="text1"/>
          <w:kern w:val="1"/>
          <w:lang w:val="en-US"/>
        </w:rPr>
        <w:t>the power located in</w:t>
      </w:r>
      <w:r w:rsidRPr="00A472FC">
        <w:rPr>
          <w:rFonts w:ascii="Times New Roman" w:hAnsi="Times New Roman" w:cs="Times New Roman"/>
          <w:color w:val="000000" w:themeColor="text1"/>
        </w:rPr>
        <w:t xml:space="preserve"> the front lobe of the brain which receives all forms that are imprinted by the five senses and </w:t>
      </w:r>
      <w:r w:rsidR="00573D2C" w:rsidRPr="00A472FC">
        <w:rPr>
          <w:rFonts w:ascii="Times New Roman" w:hAnsi="Times New Roman" w:cs="Times New Roman"/>
          <w:color w:val="000000" w:themeColor="text1"/>
        </w:rPr>
        <w:t xml:space="preserve">are </w:t>
      </w:r>
      <w:r w:rsidR="00573D2C" w:rsidRPr="00A472FC">
        <w:rPr>
          <w:rFonts w:ascii="Times New Roman" w:hAnsi="Times New Roman" w:cs="Times New Roman"/>
          <w:color w:val="000000" w:themeColor="text1"/>
        </w:rPr>
        <w:lastRenderedPageBreak/>
        <w:t>passed on to it</w:t>
      </w:r>
      <w:r w:rsidRPr="00A472FC">
        <w:rPr>
          <w:rFonts w:ascii="Times New Roman" w:hAnsi="Times New Roman" w:cs="Times New Roman"/>
          <w:color w:val="000000" w:themeColor="text1"/>
        </w:rPr>
        <w:t>.</w:t>
      </w:r>
      <w:r w:rsidRPr="00A472FC">
        <w:rPr>
          <w:rStyle w:val="FootnoteReference"/>
          <w:rFonts w:ascii="Times New Roman" w:hAnsi="Times New Roman" w:cs="Times New Roman"/>
          <w:color w:val="000000" w:themeColor="text1"/>
        </w:rPr>
        <w:footnoteReference w:id="726"/>
      </w:r>
      <w:r w:rsidRPr="00A472FC">
        <w:rPr>
          <w:rFonts w:ascii="Times New Roman" w:hAnsi="Times New Roman" w:cs="Times New Roman"/>
          <w:color w:val="000000" w:themeColor="text1"/>
        </w:rPr>
        <w:t xml:space="preserve"> This power is common in two respects, namely, because it produces a coordinated concept of what is perceived by different senses, so that what I see is the same thing as what I hear and smell; and because it confers to sensible things all the diverse properties that they may exhibit, such as black, sweet, etc.</w:t>
      </w:r>
      <w:r w:rsidRPr="00A472FC">
        <w:rPr>
          <w:rStyle w:val="FootnoteReference"/>
          <w:rFonts w:ascii="Times New Roman" w:hAnsi="Times New Roman" w:cs="Times New Roman"/>
          <w:color w:val="000000" w:themeColor="text1"/>
        </w:rPr>
        <w:footnoteReference w:id="727"/>
      </w:r>
    </w:p>
    <w:p w14:paraId="7DB528A7" w14:textId="2B9E5D2E" w:rsidR="00E212D3" w:rsidRPr="00A472FC" w:rsidRDefault="00E212D3" w:rsidP="00E212D3">
      <w:pPr>
        <w:autoSpaceDE w:val="0"/>
        <w:autoSpaceDN w:val="0"/>
        <w:adjustRightInd w:val="0"/>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According to Avicenna the next power of imagination is </w:t>
      </w:r>
      <w:r w:rsidR="0086655E" w:rsidRPr="00A472FC">
        <w:rPr>
          <w:rFonts w:ascii="Times New Roman" w:hAnsi="Times New Roman" w:cs="Times New Roman"/>
          <w:color w:val="000000" w:themeColor="text1"/>
        </w:rPr>
        <w:t xml:space="preserve">also </w:t>
      </w:r>
      <w:r w:rsidRPr="00A472FC">
        <w:rPr>
          <w:rFonts w:ascii="Times New Roman" w:hAnsi="Times New Roman" w:cs="Times New Roman"/>
          <w:color w:val="000000" w:themeColor="text1"/>
        </w:rPr>
        <w:t xml:space="preserve">located in </w:t>
      </w:r>
      <w:r w:rsidR="0014001E" w:rsidRPr="00A472FC">
        <w:rPr>
          <w:rFonts w:ascii="Times New Roman" w:hAnsi="Times New Roman" w:cs="Times New Roman"/>
          <w:color w:val="000000" w:themeColor="text1"/>
        </w:rPr>
        <w:t xml:space="preserve">the </w:t>
      </w:r>
      <w:r w:rsidR="0086655E" w:rsidRPr="00A472FC">
        <w:rPr>
          <w:rFonts w:ascii="Times New Roman" w:hAnsi="Times New Roman" w:cs="Times New Roman"/>
          <w:color w:val="000000" w:themeColor="text1"/>
        </w:rPr>
        <w:t xml:space="preserve">front of </w:t>
      </w:r>
      <w:r w:rsidRPr="00A472FC">
        <w:rPr>
          <w:rFonts w:ascii="Times New Roman" w:hAnsi="Times New Roman" w:cs="Times New Roman"/>
          <w:color w:val="000000" w:themeColor="text1"/>
        </w:rPr>
        <w:t xml:space="preserve">the brain. While the common sense apprehends the forms of all sensible things, which it procures from external sensation, the imagination retains them </w:t>
      </w:r>
      <w:r w:rsidR="008D7253" w:rsidRPr="00A472FC">
        <w:rPr>
          <w:rFonts w:ascii="Times New Roman" w:hAnsi="Times New Roman" w:cs="Times New Roman"/>
          <w:color w:val="000000" w:themeColor="text1"/>
        </w:rPr>
        <w:t xml:space="preserve">when </w:t>
      </w:r>
      <w:r w:rsidRPr="00A472FC">
        <w:rPr>
          <w:rFonts w:ascii="Times New Roman" w:hAnsi="Times New Roman" w:cs="Times New Roman"/>
          <w:color w:val="000000" w:themeColor="text1"/>
        </w:rPr>
        <w:t>the sense objects themselves</w:t>
      </w:r>
      <w:r w:rsidR="008D7253" w:rsidRPr="00A472FC">
        <w:rPr>
          <w:rFonts w:ascii="Times New Roman" w:hAnsi="Times New Roman" w:cs="Times New Roman"/>
          <w:color w:val="000000" w:themeColor="text1"/>
        </w:rPr>
        <w:t xml:space="preserve"> are no longer present</w:t>
      </w:r>
      <w:r w:rsidRPr="00A472FC">
        <w:rPr>
          <w:rFonts w:ascii="Times New Roman" w:hAnsi="Times New Roman" w:cs="Times New Roman"/>
          <w:color w:val="000000" w:themeColor="text1"/>
        </w:rPr>
        <w:t>.</w:t>
      </w:r>
      <w:r w:rsidRPr="00A472FC">
        <w:rPr>
          <w:rStyle w:val="FootnoteReference"/>
          <w:rFonts w:ascii="Times New Roman" w:hAnsi="Times New Roman" w:cs="Times New Roman"/>
          <w:color w:val="000000" w:themeColor="text1"/>
        </w:rPr>
        <w:footnoteReference w:id="728"/>
      </w:r>
      <w:r w:rsidRPr="00A472FC">
        <w:rPr>
          <w:rFonts w:ascii="Times New Roman" w:hAnsi="Times New Roman" w:cs="Times New Roman"/>
          <w:color w:val="000000" w:themeColor="text1"/>
        </w:rPr>
        <w:t xml:space="preserve"> In that sense, these two powers are diversified not in subject but in form, with one receiving and </w:t>
      </w:r>
      <w:r w:rsidR="00D62D21" w:rsidRPr="00A472FC">
        <w:rPr>
          <w:rFonts w:ascii="Times New Roman" w:hAnsi="Times New Roman" w:cs="Times New Roman"/>
          <w:color w:val="000000" w:themeColor="text1"/>
        </w:rPr>
        <w:t>the other</w:t>
      </w:r>
      <w:r w:rsidRPr="00A472FC">
        <w:rPr>
          <w:rFonts w:ascii="Times New Roman" w:hAnsi="Times New Roman" w:cs="Times New Roman"/>
          <w:color w:val="000000" w:themeColor="text1"/>
        </w:rPr>
        <w:t xml:space="preserve"> retaining. The third power is the imaginative or </w:t>
      </w:r>
      <w:proofErr w:type="spellStart"/>
      <w:r w:rsidRPr="00A472FC">
        <w:rPr>
          <w:rFonts w:ascii="Times New Roman" w:hAnsi="Times New Roman" w:cs="Times New Roman"/>
          <w:color w:val="000000" w:themeColor="text1"/>
        </w:rPr>
        <w:t>excogitative</w:t>
      </w:r>
      <w:proofErr w:type="spellEnd"/>
      <w:r w:rsidR="00C0568B" w:rsidRPr="00A472FC">
        <w:rPr>
          <w:rFonts w:ascii="Times New Roman" w:hAnsi="Times New Roman" w:cs="Times New Roman"/>
          <w:color w:val="000000" w:themeColor="text1"/>
        </w:rPr>
        <w:t xml:space="preserve"> one</w:t>
      </w:r>
      <w:r w:rsidRPr="00A472FC">
        <w:rPr>
          <w:rFonts w:ascii="Times New Roman" w:hAnsi="Times New Roman" w:cs="Times New Roman"/>
          <w:color w:val="000000" w:themeColor="text1"/>
        </w:rPr>
        <w:t>, which is situated in the middle of the brain and has the power of composing and dividing the contents of the imagination at will.</w:t>
      </w:r>
      <w:r w:rsidRPr="00A472FC">
        <w:rPr>
          <w:rStyle w:val="FootnoteReference"/>
          <w:rFonts w:ascii="Times New Roman" w:hAnsi="Times New Roman" w:cs="Times New Roman"/>
          <w:color w:val="000000" w:themeColor="text1"/>
        </w:rPr>
        <w:footnoteReference w:id="729"/>
      </w:r>
      <w:r w:rsidRPr="00A472FC">
        <w:rPr>
          <w:rFonts w:ascii="Times New Roman" w:hAnsi="Times New Roman" w:cs="Times New Roman"/>
          <w:color w:val="000000" w:themeColor="text1"/>
        </w:rPr>
        <w:t xml:space="preserve"> In other words, it can combine and separate properties of things and recombine them to formulate images of things that have not yet been experienced or that may not even exist. </w:t>
      </w:r>
    </w:p>
    <w:p w14:paraId="16F481C2" w14:textId="1AD397F1" w:rsidR="009348AA" w:rsidRPr="00A472FC" w:rsidRDefault="00E212D3" w:rsidP="009348AA">
      <w:pPr>
        <w:autoSpaceDE w:val="0"/>
        <w:autoSpaceDN w:val="0"/>
        <w:adjustRightInd w:val="0"/>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The next power of estimation is ordained to the upper part of the middle of the brain, which apprehends whether an object of knowledge is helpful or harmful, good </w:t>
      </w:r>
      <w:r w:rsidR="00261D69" w:rsidRPr="00A472FC">
        <w:rPr>
          <w:rFonts w:ascii="Times New Roman" w:hAnsi="Times New Roman" w:cs="Times New Roman"/>
          <w:color w:val="000000" w:themeColor="text1"/>
        </w:rPr>
        <w:t>or</w:t>
      </w:r>
      <w:r w:rsidRPr="00A472FC">
        <w:rPr>
          <w:rFonts w:ascii="Times New Roman" w:hAnsi="Times New Roman" w:cs="Times New Roman"/>
          <w:color w:val="000000" w:themeColor="text1"/>
        </w:rPr>
        <w:t xml:space="preserve"> evil, and thus determines, per Avicenna’s famous example, that a wolf </w:t>
      </w:r>
      <w:r w:rsidR="00402F25" w:rsidRPr="00A472FC">
        <w:rPr>
          <w:rFonts w:ascii="Times New Roman" w:hAnsi="Times New Roman" w:cs="Times New Roman"/>
          <w:color w:val="000000" w:themeColor="text1"/>
        </w:rPr>
        <w:t>i</w:t>
      </w:r>
      <w:r w:rsidRPr="00A472FC">
        <w:rPr>
          <w:rFonts w:ascii="Times New Roman" w:hAnsi="Times New Roman" w:cs="Times New Roman"/>
          <w:color w:val="000000" w:themeColor="text1"/>
        </w:rPr>
        <w:t>s dangerous and a sheep is harmless.</w:t>
      </w:r>
      <w:r w:rsidRPr="00A472FC">
        <w:rPr>
          <w:rStyle w:val="FootnoteReference"/>
          <w:rFonts w:ascii="Times New Roman" w:hAnsi="Times New Roman" w:cs="Times New Roman"/>
          <w:color w:val="000000" w:themeColor="text1"/>
        </w:rPr>
        <w:footnoteReference w:id="730"/>
      </w:r>
      <w:r w:rsidRPr="00A472FC">
        <w:rPr>
          <w:rFonts w:ascii="Times New Roman" w:hAnsi="Times New Roman" w:cs="Times New Roman"/>
          <w:color w:val="000000" w:themeColor="text1"/>
        </w:rPr>
        <w:t xml:space="preserve"> In differentiating between objects that are to be pursued or avoided, this power does not merely grasp a sensible or material form</w:t>
      </w:r>
      <w:r w:rsidR="007A2169" w:rsidRPr="00A472FC">
        <w:rPr>
          <w:rFonts w:ascii="Times New Roman" w:hAnsi="Times New Roman" w:cs="Times New Roman"/>
          <w:color w:val="000000" w:themeColor="text1"/>
        </w:rPr>
        <w:t>, such as a wolf,</w:t>
      </w:r>
      <w:r w:rsidRPr="00A472FC">
        <w:rPr>
          <w:rFonts w:ascii="Times New Roman" w:hAnsi="Times New Roman" w:cs="Times New Roman"/>
          <w:color w:val="000000" w:themeColor="text1"/>
        </w:rPr>
        <w:t xml:space="preserve"> but </w:t>
      </w:r>
      <w:r w:rsidR="005E1806" w:rsidRPr="00A472FC">
        <w:rPr>
          <w:rFonts w:ascii="Times New Roman" w:hAnsi="Times New Roman" w:cs="Times New Roman"/>
          <w:color w:val="000000" w:themeColor="text1"/>
        </w:rPr>
        <w:t xml:space="preserve">it </w:t>
      </w:r>
      <w:r w:rsidR="0015170D" w:rsidRPr="00A472FC">
        <w:rPr>
          <w:rFonts w:ascii="Times New Roman" w:hAnsi="Times New Roman" w:cs="Times New Roman"/>
          <w:color w:val="000000" w:themeColor="text1"/>
        </w:rPr>
        <w:t>also</w:t>
      </w:r>
      <w:r w:rsidRPr="00A472FC">
        <w:rPr>
          <w:rFonts w:ascii="Times New Roman" w:hAnsi="Times New Roman" w:cs="Times New Roman"/>
          <w:color w:val="000000" w:themeColor="text1"/>
        </w:rPr>
        <w:t xml:space="preserve"> identifies qualities that are immaterial</w:t>
      </w:r>
      <w:r w:rsidR="007A2169" w:rsidRPr="00A472FC">
        <w:rPr>
          <w:rFonts w:ascii="Times New Roman" w:hAnsi="Times New Roman" w:cs="Times New Roman"/>
          <w:color w:val="000000" w:themeColor="text1"/>
        </w:rPr>
        <w:t>, such as that it is harmful</w:t>
      </w:r>
      <w:r w:rsidRPr="00A472FC">
        <w:rPr>
          <w:rFonts w:ascii="Times New Roman" w:hAnsi="Times New Roman" w:cs="Times New Roman"/>
          <w:color w:val="000000" w:themeColor="text1"/>
        </w:rPr>
        <w:t xml:space="preserve">. </w:t>
      </w:r>
    </w:p>
    <w:p w14:paraId="67FA5AFB" w14:textId="1692C0A0" w:rsidR="009348AA" w:rsidRPr="00A472FC" w:rsidRDefault="00E212D3" w:rsidP="009348AA">
      <w:pPr>
        <w:autoSpaceDE w:val="0"/>
        <w:autoSpaceDN w:val="0"/>
        <w:adjustRightInd w:val="0"/>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The product of estimation is what Avicenna calls an ‘intention’, which captures the accidents or what Avicenna called the ‘connotational attributes’ of sensible things, positive or negative, insofar as they are still attached to those things. So construed, estimation serves in three main ways, namely, to flag up what is dangerous or harmless in our experiences; </w:t>
      </w:r>
      <w:r w:rsidR="00B964BB" w:rsidRPr="00A472FC">
        <w:rPr>
          <w:rFonts w:ascii="Times New Roman" w:hAnsi="Times New Roman" w:cs="Times New Roman"/>
          <w:color w:val="000000" w:themeColor="text1"/>
        </w:rPr>
        <w:t>or to help us identify possible further dangers or harmless objects.</w:t>
      </w:r>
      <w:r w:rsidRPr="00A472FC">
        <w:rPr>
          <w:rFonts w:ascii="Times New Roman" w:hAnsi="Times New Roman" w:cs="Times New Roman"/>
          <w:color w:val="000000" w:themeColor="text1"/>
        </w:rPr>
        <w:t xml:space="preserve"> Thirdly, estimation enables us to identify from some qualities of a thing, others that may also be attributed to it. For example, from the colour of an apple, we can tell that it is also ripe and sweet. </w:t>
      </w:r>
    </w:p>
    <w:p w14:paraId="0BEC6B74" w14:textId="0F013600" w:rsidR="00E212D3" w:rsidRPr="00A472FC" w:rsidRDefault="00E212D3" w:rsidP="009348AA">
      <w:pPr>
        <w:autoSpaceDE w:val="0"/>
        <w:autoSpaceDN w:val="0"/>
        <w:adjustRightInd w:val="0"/>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The fifth of the internal senses is the memory, which is </w:t>
      </w:r>
      <w:r w:rsidR="00926A66" w:rsidRPr="00A472FC">
        <w:rPr>
          <w:rFonts w:ascii="Times New Roman" w:hAnsi="Times New Roman" w:cs="Times New Roman"/>
          <w:color w:val="000000" w:themeColor="text1"/>
        </w:rPr>
        <w:t>located in</w:t>
      </w:r>
      <w:r w:rsidRPr="00A472FC">
        <w:rPr>
          <w:rFonts w:ascii="Times New Roman" w:hAnsi="Times New Roman" w:cs="Times New Roman"/>
          <w:color w:val="000000" w:themeColor="text1"/>
        </w:rPr>
        <w:t xml:space="preserve"> the back of the brain and retains the intentions of sensible things that are apprehended by estimation.</w:t>
      </w:r>
      <w:r w:rsidR="009348AA" w:rsidRPr="00A472FC">
        <w:rPr>
          <w:rFonts w:ascii="Times New Roman" w:hAnsi="Times New Roman" w:cs="Times New Roman"/>
          <w:color w:val="000000" w:themeColor="text1"/>
        </w:rPr>
        <w:t xml:space="preserve"> </w:t>
      </w:r>
      <w:r w:rsidRPr="00A472FC">
        <w:rPr>
          <w:rFonts w:ascii="Times New Roman" w:hAnsi="Times New Roman" w:cs="Times New Roman"/>
          <w:color w:val="000000" w:themeColor="text1"/>
        </w:rPr>
        <w:t>According to Avicenna, the relationship between the two powers of estimation and memory is similar to the one between imagination and the common sense. As the imagination retains and is the thesaurus of sensible forms which are apprehended by the common sense, so the power of memory is a thesaurus conserving the intentions</w:t>
      </w:r>
      <w:r w:rsidR="00573D2C" w:rsidRPr="00A472FC">
        <w:rPr>
          <w:rFonts w:ascii="Times New Roman" w:hAnsi="Times New Roman" w:cs="Times New Roman"/>
          <w:color w:val="000000" w:themeColor="text1"/>
        </w:rPr>
        <w:t xml:space="preserve"> of sensible things</w:t>
      </w:r>
      <w:r w:rsidRPr="00A472FC">
        <w:rPr>
          <w:rFonts w:ascii="Times New Roman" w:hAnsi="Times New Roman" w:cs="Times New Roman"/>
          <w:color w:val="000000" w:themeColor="text1"/>
        </w:rPr>
        <w:t xml:space="preserve"> that are apprehended by the estimative power.</w:t>
      </w:r>
      <w:r w:rsidRPr="00A472FC">
        <w:rPr>
          <w:rStyle w:val="FootnoteReference"/>
          <w:rFonts w:ascii="Times New Roman" w:hAnsi="Times New Roman" w:cs="Times New Roman"/>
          <w:color w:val="000000" w:themeColor="text1"/>
        </w:rPr>
        <w:footnoteReference w:id="731"/>
      </w:r>
      <w:r w:rsidRPr="00A472FC">
        <w:rPr>
          <w:rFonts w:ascii="Times New Roman" w:hAnsi="Times New Roman" w:cs="Times New Roman"/>
          <w:color w:val="000000" w:themeColor="text1"/>
        </w:rPr>
        <w:t xml:space="preserve"> However, there is a difference between memory, which is in non-human animals and memory in humans. For the sheep is only able to recall that ‘this wolf is dangerous’ on seeing a particular wolf, and cannot obtain the universal knowledge that ‘all wolves are dangerous</w:t>
      </w:r>
      <w:r w:rsidR="007823E1" w:rsidRPr="00A472FC">
        <w:rPr>
          <w:rFonts w:ascii="Times New Roman" w:hAnsi="Times New Roman" w:cs="Times New Roman"/>
          <w:color w:val="000000" w:themeColor="text1"/>
        </w:rPr>
        <w:t>’ which is only proper to humans.</w:t>
      </w:r>
      <w:r w:rsidRPr="00A472FC">
        <w:rPr>
          <w:rFonts w:ascii="Times New Roman" w:hAnsi="Times New Roman" w:cs="Times New Roman"/>
          <w:color w:val="000000" w:themeColor="text1"/>
        </w:rPr>
        <w:t xml:space="preserve"> </w:t>
      </w:r>
    </w:p>
    <w:p w14:paraId="07E2EF13" w14:textId="77777777" w:rsidR="00E212D3" w:rsidRPr="00A472FC" w:rsidRDefault="00E212D3" w:rsidP="00E212D3">
      <w:pPr>
        <w:autoSpaceDE w:val="0"/>
        <w:autoSpaceDN w:val="0"/>
        <w:adjustRightInd w:val="0"/>
        <w:ind w:right="-52" w:firstLine="720"/>
        <w:rPr>
          <w:rFonts w:ascii="Times New Roman" w:hAnsi="Times New Roman" w:cs="Times New Roman"/>
          <w:color w:val="000000" w:themeColor="text1"/>
        </w:rPr>
      </w:pPr>
    </w:p>
    <w:p w14:paraId="27FA6CA4" w14:textId="77777777" w:rsidR="00E212D3" w:rsidRPr="00A472FC" w:rsidRDefault="00E212D3" w:rsidP="00E212D3">
      <w:pPr>
        <w:autoSpaceDE w:val="0"/>
        <w:autoSpaceDN w:val="0"/>
        <w:adjustRightInd w:val="0"/>
        <w:ind w:right="-52"/>
        <w:rPr>
          <w:rFonts w:ascii="Times New Roman" w:hAnsi="Times New Roman" w:cs="Times New Roman"/>
          <w:color w:val="000000" w:themeColor="text1"/>
          <w:u w:val="single"/>
        </w:rPr>
      </w:pPr>
      <w:r w:rsidRPr="00A472FC">
        <w:rPr>
          <w:rFonts w:ascii="Times New Roman" w:hAnsi="Times New Roman" w:cs="Times New Roman"/>
          <w:color w:val="000000" w:themeColor="text1"/>
          <w:u w:val="single"/>
        </w:rPr>
        <w:t>The Process of Abstraction</w:t>
      </w:r>
    </w:p>
    <w:p w14:paraId="4D26A705" w14:textId="77777777" w:rsidR="00E212D3" w:rsidRPr="00A472FC" w:rsidRDefault="00E212D3" w:rsidP="00E212D3">
      <w:pPr>
        <w:autoSpaceDE w:val="0"/>
        <w:autoSpaceDN w:val="0"/>
        <w:adjustRightInd w:val="0"/>
        <w:ind w:right="-52" w:firstLine="720"/>
        <w:rPr>
          <w:rFonts w:ascii="Times New Roman" w:hAnsi="Times New Roman" w:cs="Times New Roman"/>
          <w:color w:val="000000" w:themeColor="text1"/>
        </w:rPr>
      </w:pPr>
    </w:p>
    <w:p w14:paraId="5EE243AE" w14:textId="2D4F16CE"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In an extension of the discussion above, John explains how the abstraction of universal concepts occurs and what it entails, beginning as Avicenna does with the external senses like vision that grasp the likeness of a form that is in matter </w:t>
      </w:r>
      <w:r w:rsidR="005E3855" w:rsidRPr="00A472FC">
        <w:rPr>
          <w:rFonts w:ascii="Times New Roman" w:hAnsi="Times New Roman" w:cs="Times New Roman"/>
        </w:rPr>
        <w:t>before</w:t>
      </w:r>
      <w:r w:rsidRPr="00A472FC">
        <w:rPr>
          <w:rFonts w:ascii="Times New Roman" w:hAnsi="Times New Roman" w:cs="Times New Roman"/>
        </w:rPr>
        <w:t xml:space="preserve"> moving </w:t>
      </w:r>
      <w:r w:rsidR="005E3855" w:rsidRPr="00A472FC">
        <w:rPr>
          <w:rFonts w:ascii="Times New Roman" w:hAnsi="Times New Roman" w:cs="Times New Roman"/>
        </w:rPr>
        <w:t>on</w:t>
      </w:r>
      <w:r w:rsidRPr="00A472FC">
        <w:rPr>
          <w:rFonts w:ascii="Times New Roman" w:hAnsi="Times New Roman" w:cs="Times New Roman"/>
        </w:rPr>
        <w:t xml:space="preserve"> to the intellect.</w:t>
      </w:r>
      <w:r w:rsidRPr="00A472FC">
        <w:rPr>
          <w:rStyle w:val="FootnoteReference"/>
          <w:rFonts w:ascii="Times New Roman" w:hAnsi="Times New Roman" w:cs="Times New Roman"/>
        </w:rPr>
        <w:footnoteReference w:id="732"/>
      </w:r>
      <w:r w:rsidRPr="00A472FC">
        <w:rPr>
          <w:rFonts w:ascii="Times New Roman" w:hAnsi="Times New Roman" w:cs="Times New Roman"/>
        </w:rPr>
        <w:t xml:space="preserve"> As he notes, the external senses do not comprehend a form unless it is present in matter and indeed to the senses.</w:t>
      </w:r>
      <w:r w:rsidRPr="00A472FC">
        <w:rPr>
          <w:rStyle w:val="FootnoteReference"/>
          <w:rFonts w:ascii="Times New Roman" w:hAnsi="Times New Roman" w:cs="Times New Roman"/>
        </w:rPr>
        <w:footnoteReference w:id="733"/>
      </w:r>
      <w:r w:rsidRPr="00A472FC">
        <w:rPr>
          <w:rFonts w:ascii="Times New Roman" w:hAnsi="Times New Roman" w:cs="Times New Roman"/>
        </w:rPr>
        <w:t xml:space="preserve"> Thus, the interior senses such as imagination are required to abstract the form further, achieving comprehension of the form without matter, or procuring a mental image of an object that remains even when the object is absent. Although this is an important part of the process of abstraction, the imagination is not capable of stripping the form of the accidents of matter</w:t>
      </w:r>
      <w:r w:rsidR="006B13AA" w:rsidRPr="00A472FC">
        <w:rPr>
          <w:rFonts w:ascii="Times New Roman" w:hAnsi="Times New Roman" w:cs="Times New Roman"/>
        </w:rPr>
        <w:t xml:space="preserve"> in terms of which it comprehends its objects</w:t>
      </w:r>
      <w:r w:rsidRPr="00A472FC">
        <w:rPr>
          <w:rFonts w:ascii="Times New Roman" w:hAnsi="Times New Roman" w:cs="Times New Roman"/>
        </w:rPr>
        <w:t>, such as figure</w:t>
      </w:r>
      <w:r w:rsidR="00BC3CF2" w:rsidRPr="00A472FC">
        <w:rPr>
          <w:rFonts w:ascii="Times New Roman" w:hAnsi="Times New Roman" w:cs="Times New Roman"/>
        </w:rPr>
        <w:t>, time,</w:t>
      </w:r>
      <w:r w:rsidRPr="00A472FC">
        <w:rPr>
          <w:rFonts w:ascii="Times New Roman" w:hAnsi="Times New Roman" w:cs="Times New Roman"/>
        </w:rPr>
        <w:t xml:space="preserve"> and place. By contrast, estimation transcends that level of abstraction, because it apprehends forms which are the intentions of sensible things, such as good, evil, fitting, and unfitting, which do not have a likeness to material forms. </w:t>
      </w:r>
    </w:p>
    <w:p w14:paraId="62765037" w14:textId="77777777" w:rsidR="00B91A7C"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Nevertheless, estimation still does not apprehend the form in question without all accidents of matter, and it knows its object only as a particular, through comparison to the sensible or imagined form already mentioned. Thus, we have seen that an animal is capable of knowing that ‘this wolf right here’ should be avoided, on the basis of external and internal sensation, but cannot grasp the universal that ‘wolves should be avoided’ </w:t>
      </w:r>
      <w:r w:rsidR="00B91A7C" w:rsidRPr="00A472FC">
        <w:rPr>
          <w:rFonts w:ascii="Times New Roman" w:hAnsi="Times New Roman" w:cs="Times New Roman"/>
        </w:rPr>
        <w:t xml:space="preserve">independently of experience. </w:t>
      </w:r>
      <w:r w:rsidRPr="00A472FC">
        <w:rPr>
          <w:rFonts w:ascii="Times New Roman" w:hAnsi="Times New Roman" w:cs="Times New Roman"/>
        </w:rPr>
        <w:t xml:space="preserve">This can only be achieved by the intellectual power, which apprehends a corporeal form in a way that strips it of all matter and all the circumstances of matter so that it is known not merely in its singularity but as a universal. </w:t>
      </w:r>
    </w:p>
    <w:p w14:paraId="49F11C34" w14:textId="7F44F1F4" w:rsidR="00E212D3" w:rsidRPr="00A472FC" w:rsidRDefault="00E212D3" w:rsidP="00B91A7C">
      <w:pPr>
        <w:ind w:right="-52" w:firstLine="720"/>
        <w:rPr>
          <w:rFonts w:ascii="Times New Roman" w:hAnsi="Times New Roman" w:cs="Times New Roman"/>
        </w:rPr>
      </w:pPr>
      <w:r w:rsidRPr="00A472FC">
        <w:rPr>
          <w:rFonts w:ascii="Times New Roman" w:hAnsi="Times New Roman" w:cs="Times New Roman"/>
        </w:rPr>
        <w:t>According to Avicenna, only one instance of an intention is needed for this purpose, because there is a common essence at the basis of all things of a similar kind, which becomes evident as soon as material accidents are removed. In this regard, Avicenna’s understanding of abstraction differs quite markedly from that of Aristotle, who saw abstraction more as a matter of discerning similarities between many different sense objects of a similar kind.</w:t>
      </w:r>
      <w:r w:rsidRPr="00A472FC">
        <w:rPr>
          <w:rStyle w:val="FootnoteReference"/>
          <w:rFonts w:ascii="Times New Roman" w:hAnsi="Times New Roman" w:cs="Times New Roman"/>
        </w:rPr>
        <w:footnoteReference w:id="734"/>
      </w:r>
      <w:r w:rsidRPr="00A472FC">
        <w:rPr>
          <w:rFonts w:ascii="Times New Roman" w:hAnsi="Times New Roman" w:cs="Times New Roman"/>
        </w:rPr>
        <w:t xml:space="preserve"> For him, </w:t>
      </w:r>
      <w:r w:rsidR="00035A08" w:rsidRPr="00A472FC">
        <w:rPr>
          <w:rFonts w:ascii="Times New Roman" w:hAnsi="Times New Roman" w:cs="Times New Roman"/>
        </w:rPr>
        <w:t>consequently, abstraction</w:t>
      </w:r>
      <w:r w:rsidRPr="00A472FC">
        <w:rPr>
          <w:rFonts w:ascii="Times New Roman" w:hAnsi="Times New Roman" w:cs="Times New Roman"/>
        </w:rPr>
        <w:t xml:space="preserve"> was an ongoing process in which new experiences could always call for the revision or expansion of a previously-abstracted universal concept. In the </w:t>
      </w:r>
      <w:r w:rsidRPr="00A472FC">
        <w:rPr>
          <w:rFonts w:ascii="Times New Roman" w:hAnsi="Times New Roman" w:cs="Times New Roman"/>
          <w:i/>
        </w:rPr>
        <w:t xml:space="preserve">Summa de anima, </w:t>
      </w:r>
      <w:r w:rsidRPr="00A472FC">
        <w:rPr>
          <w:rFonts w:ascii="Times New Roman" w:hAnsi="Times New Roman" w:cs="Times New Roman"/>
        </w:rPr>
        <w:t>John shows his preference for Avicenna’s approach</w:t>
      </w:r>
      <w:r w:rsidR="00452964" w:rsidRPr="00A472FC">
        <w:rPr>
          <w:rFonts w:ascii="Times New Roman" w:hAnsi="Times New Roman" w:cs="Times New Roman"/>
        </w:rPr>
        <w:t xml:space="preserve"> to this issue</w:t>
      </w:r>
      <w:r w:rsidRPr="00A472FC">
        <w:rPr>
          <w:rFonts w:ascii="Times New Roman" w:hAnsi="Times New Roman" w:cs="Times New Roman"/>
        </w:rPr>
        <w:t xml:space="preserve">, by construing </w:t>
      </w:r>
      <w:r w:rsidR="00A45F66" w:rsidRPr="00A472FC">
        <w:rPr>
          <w:rFonts w:ascii="Times New Roman" w:hAnsi="Times New Roman" w:cs="Times New Roman"/>
        </w:rPr>
        <w:t xml:space="preserve">the </w:t>
      </w:r>
      <w:r w:rsidRPr="00A472FC">
        <w:rPr>
          <w:rFonts w:ascii="Times New Roman" w:hAnsi="Times New Roman" w:cs="Times New Roman"/>
        </w:rPr>
        <w:t xml:space="preserve">task of apprehending human nature, for instance, as a matter of stripping away all </w:t>
      </w:r>
      <w:r w:rsidR="005526C5" w:rsidRPr="00A472FC">
        <w:rPr>
          <w:rFonts w:ascii="Times New Roman" w:hAnsi="Times New Roman" w:cs="Times New Roman"/>
        </w:rPr>
        <w:t xml:space="preserve">the </w:t>
      </w:r>
      <w:r w:rsidRPr="00A472FC">
        <w:rPr>
          <w:rFonts w:ascii="Times New Roman" w:hAnsi="Times New Roman" w:cs="Times New Roman"/>
        </w:rPr>
        <w:t>material dispositions or attributions</w:t>
      </w:r>
      <w:r w:rsidR="005526C5" w:rsidRPr="00A472FC">
        <w:rPr>
          <w:rFonts w:ascii="Times New Roman" w:hAnsi="Times New Roman" w:cs="Times New Roman"/>
        </w:rPr>
        <w:t xml:space="preserve"> </w:t>
      </w:r>
      <w:r w:rsidR="007916EB" w:rsidRPr="00A472FC">
        <w:rPr>
          <w:rFonts w:ascii="Times New Roman" w:hAnsi="Times New Roman" w:cs="Times New Roman"/>
        </w:rPr>
        <w:t>of</w:t>
      </w:r>
      <w:r w:rsidR="005526C5" w:rsidRPr="00A472FC">
        <w:rPr>
          <w:rFonts w:ascii="Times New Roman" w:hAnsi="Times New Roman" w:cs="Times New Roman"/>
        </w:rPr>
        <w:t xml:space="preserve"> a given person</w:t>
      </w:r>
      <w:r w:rsidRPr="00A472FC">
        <w:rPr>
          <w:rFonts w:ascii="Times New Roman" w:hAnsi="Times New Roman" w:cs="Times New Roman"/>
        </w:rPr>
        <w:t xml:space="preserve"> in order to lay bare the form or indeed forms, such as body and soul, that all humans have in common.</w:t>
      </w:r>
      <w:r w:rsidRPr="00A472FC">
        <w:rPr>
          <w:rStyle w:val="FootnoteReference"/>
          <w:rFonts w:ascii="Times New Roman" w:hAnsi="Times New Roman" w:cs="Times New Roman"/>
        </w:rPr>
        <w:footnoteReference w:id="735"/>
      </w:r>
      <w:r w:rsidRPr="00A472FC">
        <w:rPr>
          <w:rFonts w:ascii="Times New Roman" w:hAnsi="Times New Roman" w:cs="Times New Roman"/>
        </w:rPr>
        <w:t xml:space="preserve"> </w:t>
      </w:r>
    </w:p>
    <w:p w14:paraId="41D3C03F" w14:textId="7777777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also describes this process, though perhaps not in as much detail as the contemporary philosopher would hope for, when it insists that an intelligible species is only truly comprehended in abstract terms if it </w:t>
      </w:r>
      <w:r w:rsidRPr="00A472FC">
        <w:rPr>
          <w:rFonts w:ascii="Times New Roman" w:hAnsi="Times New Roman" w:cs="Times New Roman"/>
          <w:u w:color="000000" w:themeColor="text1"/>
        </w:rPr>
        <w:t>‘is entirely and absolutely abstracted from corporeality; [when it is thus] understood as it is, it is understood only by an intellectual power that is entirely and absolutely detached from the body and from the corporeal mass.’</w:t>
      </w:r>
      <w:r w:rsidRPr="00A472FC">
        <w:rPr>
          <w:rStyle w:val="FootnoteReference"/>
          <w:rFonts w:ascii="Times New Roman" w:hAnsi="Times New Roman" w:cs="Times New Roman"/>
          <w:u w:color="000000" w:themeColor="text1"/>
        </w:rPr>
        <w:footnoteReference w:id="736"/>
      </w:r>
      <w:r w:rsidRPr="00A472FC">
        <w:rPr>
          <w:rFonts w:ascii="Times New Roman" w:hAnsi="Times New Roman" w:cs="Times New Roman"/>
          <w:u w:color="000000" w:themeColor="text1"/>
        </w:rPr>
        <w:t xml:space="preserve"> The levels of </w:t>
      </w:r>
      <w:r w:rsidRPr="00A472FC">
        <w:rPr>
          <w:rFonts w:ascii="Times New Roman" w:hAnsi="Times New Roman" w:cs="Times New Roman"/>
        </w:rPr>
        <w:t xml:space="preserve">abstraction described above correspond to the extent to which this process has </w:t>
      </w:r>
      <w:r w:rsidRPr="00A472FC">
        <w:rPr>
          <w:rFonts w:ascii="Times New Roman" w:hAnsi="Times New Roman" w:cs="Times New Roman"/>
        </w:rPr>
        <w:lastRenderedPageBreak/>
        <w:t>been completed. While s</w:t>
      </w:r>
      <w:proofErr w:type="spellStart"/>
      <w:r w:rsidRPr="00A472FC">
        <w:rPr>
          <w:rFonts w:ascii="Times New Roman" w:hAnsi="Times New Roman" w:cs="Times New Roman"/>
          <w:lang w:val="en-US"/>
        </w:rPr>
        <w:t>ensation</w:t>
      </w:r>
      <w:proofErr w:type="spellEnd"/>
      <w:r w:rsidRPr="00A472FC">
        <w:rPr>
          <w:rFonts w:ascii="Times New Roman" w:hAnsi="Times New Roman" w:cs="Times New Roman"/>
          <w:lang w:val="en-US"/>
        </w:rPr>
        <w:t>, imagination, and estimation involve abstraction from matter that does not yet entail the removal of the material dispositions, the intellect in abstracting removes all the conditions of matter and thereby lays bare what the object of knowledge really is, in a way that John elaborates in his treatment of the intellect, to which we now turn.</w:t>
      </w:r>
    </w:p>
    <w:p w14:paraId="7383040E" w14:textId="77777777" w:rsidR="00E212D3" w:rsidRPr="00A472FC" w:rsidRDefault="00E212D3" w:rsidP="00E212D3">
      <w:pPr>
        <w:rPr>
          <w:rFonts w:ascii="Times New Roman" w:hAnsi="Times New Roman" w:cs="Times New Roman"/>
          <w:color w:val="000000" w:themeColor="text1"/>
        </w:rPr>
      </w:pPr>
    </w:p>
    <w:p w14:paraId="043F7EC2" w14:textId="77777777" w:rsidR="00E212D3" w:rsidRPr="00A472FC" w:rsidRDefault="00E212D3" w:rsidP="00E212D3">
      <w:pPr>
        <w:rPr>
          <w:rFonts w:ascii="Times New Roman" w:hAnsi="Times New Roman" w:cs="Times New Roman"/>
          <w:color w:val="000000" w:themeColor="text1"/>
          <w:u w:val="single"/>
        </w:rPr>
      </w:pPr>
      <w:r w:rsidRPr="00A472FC">
        <w:rPr>
          <w:rFonts w:ascii="Times New Roman" w:hAnsi="Times New Roman" w:cs="Times New Roman"/>
          <w:color w:val="000000" w:themeColor="text1"/>
          <w:u w:val="single"/>
        </w:rPr>
        <w:t>The Intellect</w:t>
      </w:r>
    </w:p>
    <w:p w14:paraId="12EE7AB9" w14:textId="77777777" w:rsidR="00E212D3" w:rsidRPr="00A472FC" w:rsidRDefault="00E212D3" w:rsidP="00E212D3">
      <w:pPr>
        <w:rPr>
          <w:rFonts w:ascii="Times New Roman" w:hAnsi="Times New Roman" w:cs="Times New Roman"/>
          <w:color w:val="000000" w:themeColor="text1"/>
        </w:rPr>
      </w:pPr>
    </w:p>
    <w:p w14:paraId="61E6BF0E" w14:textId="2993E153" w:rsidR="00E212D3" w:rsidRPr="00A472FC" w:rsidRDefault="00E212D3" w:rsidP="00E212D3">
      <w:pPr>
        <w:ind w:firstLine="720"/>
        <w:rPr>
          <w:rFonts w:ascii="Times New Roman" w:hAnsi="Times New Roman" w:cs="Times New Roman"/>
          <w:color w:val="000000" w:themeColor="text1"/>
        </w:rPr>
      </w:pPr>
      <w:r w:rsidRPr="00A472FC">
        <w:rPr>
          <w:rFonts w:ascii="Times New Roman" w:hAnsi="Times New Roman" w:cs="Times New Roman"/>
          <w:color w:val="000000" w:themeColor="text1"/>
        </w:rPr>
        <w:t>John follows a tradition that had developed in his generation of distinguishing between a passive and corruptible intellect which he claims Aristotle calls ‘material’, as well as the separable and incorruptible intellect, which includes the agent and possible intellects.</w:t>
      </w:r>
      <w:r w:rsidRPr="00A472FC">
        <w:rPr>
          <w:rStyle w:val="FootnoteReference"/>
          <w:rFonts w:ascii="Times New Roman" w:hAnsi="Times New Roman" w:cs="Times New Roman"/>
          <w:color w:val="000000" w:themeColor="text1"/>
        </w:rPr>
        <w:footnoteReference w:id="737"/>
      </w:r>
      <w:r w:rsidRPr="00A472FC">
        <w:rPr>
          <w:rFonts w:ascii="Times New Roman" w:hAnsi="Times New Roman" w:cs="Times New Roman"/>
          <w:color w:val="000000" w:themeColor="text1"/>
        </w:rPr>
        <w:t xml:space="preserve"> There has been a great deal of debate about the precise origins of this three-fold division of material-possible-agent intellect, with some like Gauthier, de </w:t>
      </w:r>
      <w:proofErr w:type="spellStart"/>
      <w:r w:rsidRPr="00A472FC">
        <w:rPr>
          <w:rFonts w:ascii="Times New Roman" w:hAnsi="Times New Roman" w:cs="Times New Roman"/>
          <w:color w:val="000000" w:themeColor="text1"/>
        </w:rPr>
        <w:t>Vaux</w:t>
      </w:r>
      <w:proofErr w:type="spellEnd"/>
      <w:r w:rsidRPr="00A472FC">
        <w:rPr>
          <w:rFonts w:ascii="Times New Roman" w:hAnsi="Times New Roman" w:cs="Times New Roman"/>
          <w:color w:val="000000" w:themeColor="text1"/>
        </w:rPr>
        <w:t xml:space="preserve">, </w:t>
      </w:r>
      <w:proofErr w:type="spellStart"/>
      <w:r w:rsidRPr="00A472FC">
        <w:rPr>
          <w:rFonts w:ascii="Times New Roman" w:hAnsi="Times New Roman" w:cs="Times New Roman"/>
          <w:color w:val="000000" w:themeColor="text1"/>
        </w:rPr>
        <w:t>Rohmer</w:t>
      </w:r>
      <w:proofErr w:type="spellEnd"/>
      <w:r w:rsidRPr="00A472FC">
        <w:rPr>
          <w:rFonts w:ascii="Times New Roman" w:hAnsi="Times New Roman" w:cs="Times New Roman"/>
          <w:color w:val="000000" w:themeColor="text1"/>
        </w:rPr>
        <w:t xml:space="preserve">, and Salman insisting that it is an early sign of the influence of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who distinguishes between a corruptible and incorruptible intellect.</w:t>
      </w:r>
      <w:r w:rsidRPr="00A472FC">
        <w:rPr>
          <w:rStyle w:val="FootnoteReference"/>
          <w:rFonts w:ascii="Times New Roman" w:hAnsi="Times New Roman" w:cs="Times New Roman"/>
          <w:color w:val="000000" w:themeColor="text1"/>
        </w:rPr>
        <w:footnoteReference w:id="738"/>
      </w:r>
      <w:r w:rsidRPr="00A472FC">
        <w:rPr>
          <w:rFonts w:ascii="Times New Roman" w:hAnsi="Times New Roman" w:cs="Times New Roman"/>
          <w:color w:val="000000" w:themeColor="text1"/>
        </w:rPr>
        <w:t xml:space="preserve"> There are difficulties with this theory, among them, that the material intellect in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which is not in fact mentioned by Aristotle, performs the function of what John and his contemporaries ascribed to the possible intellect. </w:t>
      </w:r>
    </w:p>
    <w:p w14:paraId="6C3C7099" w14:textId="27BFE77E" w:rsidR="00E212D3" w:rsidRPr="00A472FC" w:rsidRDefault="00E212D3" w:rsidP="00E212D3">
      <w:pPr>
        <w:ind w:firstLine="720"/>
        <w:rPr>
          <w:rFonts w:ascii="Times New Roman" w:hAnsi="Times New Roman" w:cs="Times New Roman"/>
          <w:color w:val="000000" w:themeColor="text1"/>
        </w:rPr>
      </w:pPr>
      <w:r w:rsidRPr="00A472FC">
        <w:rPr>
          <w:rFonts w:ascii="Times New Roman" w:hAnsi="Times New Roman" w:cs="Times New Roman"/>
          <w:color w:val="000000" w:themeColor="text1"/>
        </w:rPr>
        <w:t>The next chapter will pursue the details o</w:t>
      </w:r>
      <w:r w:rsidR="00D51D24" w:rsidRPr="00A472FC">
        <w:rPr>
          <w:rFonts w:ascii="Times New Roman" w:hAnsi="Times New Roman" w:cs="Times New Roman"/>
          <w:color w:val="000000" w:themeColor="text1"/>
        </w:rPr>
        <w:t>f</w:t>
      </w:r>
      <w:r w:rsidRPr="00A472FC">
        <w:rPr>
          <w:rFonts w:ascii="Times New Roman" w:hAnsi="Times New Roman" w:cs="Times New Roman"/>
          <w:color w:val="000000" w:themeColor="text1"/>
        </w:rPr>
        <w:t xml:space="preserve"> this debate in order to try to achieve some new clarity on the sources </w:t>
      </w:r>
      <w:r w:rsidR="00185906" w:rsidRPr="00A472FC">
        <w:rPr>
          <w:rFonts w:ascii="Times New Roman" w:hAnsi="Times New Roman" w:cs="Times New Roman"/>
          <w:color w:val="000000" w:themeColor="text1"/>
        </w:rPr>
        <w:t>of</w:t>
      </w:r>
      <w:r w:rsidRPr="00A472FC">
        <w:rPr>
          <w:rFonts w:ascii="Times New Roman" w:hAnsi="Times New Roman" w:cs="Times New Roman"/>
          <w:color w:val="000000" w:themeColor="text1"/>
        </w:rPr>
        <w:t xml:space="preserve"> the corruptible/incorruptible distinction. For the moment, suffice it to say, as Bazán has argued, that it was a key </w:t>
      </w:r>
      <w:r w:rsidR="00DC5566" w:rsidRPr="00A472FC">
        <w:rPr>
          <w:rFonts w:ascii="Times New Roman" w:hAnsi="Times New Roman" w:cs="Times New Roman"/>
          <w:color w:val="000000" w:themeColor="text1"/>
        </w:rPr>
        <w:t>idea</w:t>
      </w:r>
      <w:r w:rsidRPr="00A472FC">
        <w:rPr>
          <w:rFonts w:ascii="Times New Roman" w:hAnsi="Times New Roman" w:cs="Times New Roman"/>
          <w:color w:val="000000" w:themeColor="text1"/>
        </w:rPr>
        <w:t xml:space="preserve"> and possibly invention of early </w:t>
      </w:r>
      <w:r w:rsidR="00D45586" w:rsidRPr="00A472FC">
        <w:rPr>
          <w:rFonts w:ascii="Times New Roman" w:hAnsi="Times New Roman" w:cs="Times New Roman"/>
          <w:color w:val="000000" w:themeColor="text1"/>
        </w:rPr>
        <w:t xml:space="preserve">Latin </w:t>
      </w:r>
      <w:r w:rsidRPr="00A472FC">
        <w:rPr>
          <w:rFonts w:ascii="Times New Roman" w:hAnsi="Times New Roman" w:cs="Times New Roman"/>
          <w:color w:val="000000" w:themeColor="text1"/>
        </w:rPr>
        <w:t>scholastics such as Philip the Chancellor and John of La Rochelle, who first found it in Anonymous Gauthier and Anonymous Callus.</w:t>
      </w:r>
      <w:r w:rsidRPr="00A472FC">
        <w:rPr>
          <w:rStyle w:val="FootnoteReference"/>
          <w:rFonts w:ascii="Times New Roman" w:hAnsi="Times New Roman" w:cs="Times New Roman"/>
          <w:color w:val="000000" w:themeColor="text1"/>
        </w:rPr>
        <w:footnoteReference w:id="739"/>
      </w:r>
      <w:r w:rsidRPr="00A472FC">
        <w:rPr>
          <w:rFonts w:ascii="Times New Roman" w:hAnsi="Times New Roman" w:cs="Times New Roman"/>
          <w:color w:val="000000" w:themeColor="text1"/>
        </w:rPr>
        <w:t xml:space="preserve"> For his part, John describes the passive or material intellect as the inferior part of reason that is joined to the senses and receives intelligible species in phantasms.</w:t>
      </w:r>
      <w:r w:rsidRPr="00A472FC">
        <w:rPr>
          <w:rStyle w:val="FootnoteReference"/>
          <w:rFonts w:ascii="Times New Roman" w:hAnsi="Times New Roman" w:cs="Times New Roman"/>
          <w:color w:val="000000" w:themeColor="text1"/>
        </w:rPr>
        <w:footnoteReference w:id="740"/>
      </w:r>
      <w:r w:rsidRPr="00A472FC">
        <w:rPr>
          <w:rFonts w:ascii="Times New Roman" w:hAnsi="Times New Roman" w:cs="Times New Roman"/>
          <w:color w:val="000000" w:themeColor="text1"/>
        </w:rPr>
        <w:t xml:space="preserve"> This passive power offers in a material form the intelligible species that still needs to be abstracted from a phantasm by the separable intellect.</w:t>
      </w:r>
      <w:r w:rsidRPr="00A472FC">
        <w:rPr>
          <w:rStyle w:val="FootnoteReference"/>
          <w:rFonts w:ascii="Times New Roman" w:hAnsi="Times New Roman" w:cs="Times New Roman"/>
          <w:color w:val="000000" w:themeColor="text1"/>
        </w:rPr>
        <w:footnoteReference w:id="741"/>
      </w:r>
      <w:r w:rsidRPr="00A472FC">
        <w:rPr>
          <w:rFonts w:ascii="Times New Roman" w:hAnsi="Times New Roman" w:cs="Times New Roman"/>
          <w:color w:val="000000" w:themeColor="text1"/>
        </w:rPr>
        <w:t xml:space="preserve"> Precisely owing to its materiality, however, it is not considered part of the soul, unless insofar as it is conjoined to the body. For it originates from the union of the rational soul with the body rather than in the soul itself.</w:t>
      </w:r>
      <w:r w:rsidRPr="00A472FC">
        <w:rPr>
          <w:rStyle w:val="FootnoteReference"/>
          <w:rFonts w:ascii="Times New Roman" w:hAnsi="Times New Roman" w:cs="Times New Roman"/>
          <w:color w:val="000000" w:themeColor="text1"/>
        </w:rPr>
        <w:footnoteReference w:id="742"/>
      </w:r>
      <w:r w:rsidRPr="00A472FC">
        <w:rPr>
          <w:rFonts w:ascii="Times New Roman" w:hAnsi="Times New Roman" w:cs="Times New Roman"/>
          <w:color w:val="000000" w:themeColor="text1"/>
        </w:rPr>
        <w:t xml:space="preserve"> </w:t>
      </w:r>
    </w:p>
    <w:p w14:paraId="65B888BA" w14:textId="4D468541" w:rsidR="00E212D3" w:rsidRPr="00A472FC" w:rsidRDefault="00E212D3" w:rsidP="00E212D3">
      <w:pPr>
        <w:ind w:firstLine="720"/>
        <w:rPr>
          <w:rFonts w:ascii="Times New Roman" w:hAnsi="Times New Roman" w:cs="Times New Roman"/>
          <w:color w:val="000000" w:themeColor="text1"/>
        </w:rPr>
      </w:pPr>
      <w:r w:rsidRPr="00A472FC">
        <w:rPr>
          <w:rFonts w:ascii="Times New Roman" w:hAnsi="Times New Roman" w:cs="Times New Roman"/>
          <w:color w:val="000000" w:themeColor="text1"/>
        </w:rPr>
        <w:t>Another name for this power is ‘</w:t>
      </w:r>
      <w:proofErr w:type="spellStart"/>
      <w:r w:rsidRPr="00A472FC">
        <w:rPr>
          <w:rFonts w:ascii="Times New Roman" w:hAnsi="Times New Roman" w:cs="Times New Roman"/>
          <w:color w:val="000000" w:themeColor="text1"/>
        </w:rPr>
        <w:t>rationability</w:t>
      </w:r>
      <w:proofErr w:type="spellEnd"/>
      <w:r w:rsidRPr="00A472FC">
        <w:rPr>
          <w:rFonts w:ascii="Times New Roman" w:hAnsi="Times New Roman" w:cs="Times New Roman"/>
          <w:color w:val="000000" w:themeColor="text1"/>
        </w:rPr>
        <w:t xml:space="preserve">’, which refers to the middle lobe of the brain and thus </w:t>
      </w:r>
      <w:r w:rsidR="00163026" w:rsidRPr="00A472FC">
        <w:rPr>
          <w:rFonts w:ascii="Times New Roman" w:hAnsi="Times New Roman" w:cs="Times New Roman"/>
          <w:color w:val="000000" w:themeColor="text1"/>
        </w:rPr>
        <w:t xml:space="preserve">to </w:t>
      </w:r>
      <w:r w:rsidRPr="00A472FC">
        <w:rPr>
          <w:rFonts w:ascii="Times New Roman" w:hAnsi="Times New Roman" w:cs="Times New Roman"/>
          <w:color w:val="000000" w:themeColor="text1"/>
        </w:rPr>
        <w:t>the cognitive power, because it is able to accept universals in particulars, although not in the mode of universals.</w:t>
      </w:r>
      <w:r w:rsidRPr="00A472FC">
        <w:rPr>
          <w:rStyle w:val="FootnoteReference"/>
          <w:rFonts w:ascii="Times New Roman" w:hAnsi="Times New Roman" w:cs="Times New Roman"/>
          <w:color w:val="000000" w:themeColor="text1"/>
        </w:rPr>
        <w:footnoteReference w:id="743"/>
      </w:r>
      <w:r w:rsidRPr="00A472FC">
        <w:rPr>
          <w:rFonts w:ascii="Times New Roman" w:hAnsi="Times New Roman" w:cs="Times New Roman"/>
          <w:color w:val="000000" w:themeColor="text1"/>
        </w:rPr>
        <w:t xml:space="preserve"> This again</w:t>
      </w:r>
      <w:r w:rsidR="00A8353A" w:rsidRPr="00A472FC">
        <w:rPr>
          <w:rFonts w:ascii="Times New Roman" w:hAnsi="Times New Roman" w:cs="Times New Roman"/>
          <w:color w:val="000000" w:themeColor="text1"/>
        </w:rPr>
        <w:t xml:space="preserve"> for John</w:t>
      </w:r>
      <w:r w:rsidRPr="00A472FC">
        <w:rPr>
          <w:rFonts w:ascii="Times New Roman" w:hAnsi="Times New Roman" w:cs="Times New Roman"/>
          <w:color w:val="000000" w:themeColor="text1"/>
        </w:rPr>
        <w:t xml:space="preserve"> is what Aristotle supposedly called the passive intellect that is ‘</w:t>
      </w:r>
      <w:proofErr w:type="spellStart"/>
      <w:r w:rsidRPr="00A472FC">
        <w:rPr>
          <w:rFonts w:ascii="Times New Roman" w:hAnsi="Times New Roman" w:cs="Times New Roman"/>
          <w:i/>
          <w:color w:val="000000" w:themeColor="text1"/>
        </w:rPr>
        <w:t>permixtus</w:t>
      </w:r>
      <w:proofErr w:type="spellEnd"/>
      <w:r w:rsidRPr="00A472FC">
        <w:rPr>
          <w:rFonts w:ascii="Times New Roman" w:hAnsi="Times New Roman" w:cs="Times New Roman"/>
          <w:color w:val="000000" w:themeColor="text1"/>
        </w:rPr>
        <w:t>’ with the body.</w:t>
      </w:r>
      <w:r w:rsidRPr="00A472FC">
        <w:rPr>
          <w:rStyle w:val="FootnoteReference"/>
          <w:rFonts w:ascii="Times New Roman" w:hAnsi="Times New Roman" w:cs="Times New Roman"/>
          <w:color w:val="000000" w:themeColor="text1"/>
        </w:rPr>
        <w:footnoteReference w:id="744"/>
      </w:r>
      <w:r w:rsidRPr="00A472FC">
        <w:rPr>
          <w:rFonts w:ascii="Times New Roman" w:hAnsi="Times New Roman" w:cs="Times New Roman"/>
          <w:color w:val="000000" w:themeColor="text1"/>
        </w:rPr>
        <w:t xml:space="preserve"> In many respects, it </w:t>
      </w:r>
      <w:r w:rsidRPr="00A472FC">
        <w:rPr>
          <w:rFonts w:ascii="Times New Roman" w:hAnsi="Times New Roman" w:cs="Times New Roman"/>
          <w:color w:val="000000" w:themeColor="text1"/>
        </w:rPr>
        <w:lastRenderedPageBreak/>
        <w:t xml:space="preserve">corresponds to what we have already described as the functions of imagination and estimation. As a matter of fact, the material intellect seems to be the name </w:t>
      </w:r>
      <w:r w:rsidR="002F42AC" w:rsidRPr="00A472FC">
        <w:rPr>
          <w:rFonts w:ascii="Times New Roman" w:hAnsi="Times New Roman" w:cs="Times New Roman"/>
          <w:color w:val="000000" w:themeColor="text1"/>
        </w:rPr>
        <w:t xml:space="preserve">John of La </w:t>
      </w:r>
      <w:r w:rsidRPr="00A472FC">
        <w:rPr>
          <w:rFonts w:ascii="Times New Roman" w:hAnsi="Times New Roman" w:cs="Times New Roman"/>
          <w:color w:val="000000" w:themeColor="text1"/>
        </w:rPr>
        <w:t>Rochelle gives to these faculties when they are operative in humans seeking to know universals</w:t>
      </w:r>
      <w:r w:rsidR="00E77D35" w:rsidRPr="00A472FC">
        <w:rPr>
          <w:rFonts w:ascii="Times New Roman" w:hAnsi="Times New Roman" w:cs="Times New Roman"/>
          <w:color w:val="000000" w:themeColor="text1"/>
        </w:rPr>
        <w:t>, as opposed to animals knowing mere particulars.</w:t>
      </w:r>
    </w:p>
    <w:p w14:paraId="73623E2E" w14:textId="2BB0E1AE" w:rsidR="00E212D3" w:rsidRPr="00A472FC" w:rsidRDefault="00E212D3" w:rsidP="00E212D3">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The separable and incorruptible intellect has two modes, namely, the agent and possible intellects. Following the Aristotelian tradition, John describes the possible intellect as a blank slate, void of all pictures, but capable of receiving all pictures, having none in act.</w:t>
      </w:r>
      <w:r w:rsidRPr="00A472FC">
        <w:rPr>
          <w:rStyle w:val="FootnoteReference"/>
          <w:rFonts w:ascii="Times New Roman" w:hAnsi="Times New Roman" w:cs="Times New Roman"/>
          <w:color w:val="000000" w:themeColor="text1"/>
        </w:rPr>
        <w:footnoteReference w:id="745"/>
      </w:r>
      <w:r w:rsidRPr="00A472FC">
        <w:rPr>
          <w:rFonts w:ascii="Times New Roman" w:hAnsi="Times New Roman" w:cs="Times New Roman"/>
          <w:color w:val="000000" w:themeColor="text1"/>
        </w:rPr>
        <w:t xml:space="preserve"> The role of this intellect is two-fold, first</w:t>
      </w:r>
      <w:r w:rsidR="00B2079F" w:rsidRPr="00A472FC">
        <w:rPr>
          <w:rFonts w:ascii="Times New Roman" w:hAnsi="Times New Roman" w:cs="Times New Roman"/>
          <w:color w:val="000000" w:themeColor="text1"/>
        </w:rPr>
        <w:t>,</w:t>
      </w:r>
      <w:r w:rsidRPr="00A472FC">
        <w:rPr>
          <w:rFonts w:ascii="Times New Roman" w:hAnsi="Times New Roman" w:cs="Times New Roman"/>
          <w:color w:val="000000" w:themeColor="text1"/>
        </w:rPr>
        <w:t xml:space="preserve"> ‘to turn and consider the [sense] forms that are in the imagination, and once they are illumined by the light of intelligence of the agent intellect, and abstracted or stripped of all material circumstances, </w:t>
      </w:r>
      <w:r w:rsidR="00BE6AB8" w:rsidRPr="00A472FC">
        <w:rPr>
          <w:rFonts w:ascii="Times New Roman" w:hAnsi="Times New Roman" w:cs="Times New Roman"/>
          <w:color w:val="000000" w:themeColor="text1"/>
        </w:rPr>
        <w:t xml:space="preserve">[to receive the abstracted forms] </w:t>
      </w:r>
      <w:r w:rsidR="00533957" w:rsidRPr="00A472FC">
        <w:rPr>
          <w:rFonts w:ascii="Times New Roman" w:hAnsi="Times New Roman" w:cs="Times New Roman"/>
          <w:color w:val="000000" w:themeColor="text1"/>
        </w:rPr>
        <w:t>imprinted in the possible intellect</w:t>
      </w:r>
      <w:r w:rsidR="002A2643" w:rsidRPr="00A472FC">
        <w:rPr>
          <w:rFonts w:ascii="Times New Roman" w:hAnsi="Times New Roman" w:cs="Times New Roman"/>
          <w:color w:val="000000" w:themeColor="text1"/>
        </w:rPr>
        <w:t>; thus it is said that the possible intellect is educed into act and so</w:t>
      </w:r>
      <w:r w:rsidRPr="00A472FC">
        <w:rPr>
          <w:rFonts w:ascii="Times New Roman" w:hAnsi="Times New Roman" w:cs="Times New Roman"/>
          <w:color w:val="000000" w:themeColor="text1"/>
        </w:rPr>
        <w:t xml:space="preserve"> become</w:t>
      </w:r>
      <w:r w:rsidR="00533957" w:rsidRPr="00A472FC">
        <w:rPr>
          <w:rFonts w:ascii="Times New Roman" w:hAnsi="Times New Roman" w:cs="Times New Roman"/>
          <w:color w:val="000000" w:themeColor="text1"/>
        </w:rPr>
        <w:t>s</w:t>
      </w:r>
      <w:r w:rsidRPr="00A472FC">
        <w:rPr>
          <w:rFonts w:ascii="Times New Roman" w:hAnsi="Times New Roman" w:cs="Times New Roman"/>
          <w:color w:val="000000" w:themeColor="text1"/>
        </w:rPr>
        <w:t xml:space="preserve"> formed</w:t>
      </w:r>
      <w:r w:rsidR="00533957" w:rsidRPr="00A472FC">
        <w:rPr>
          <w:rFonts w:ascii="Times New Roman" w:hAnsi="Times New Roman" w:cs="Times New Roman"/>
          <w:color w:val="000000" w:themeColor="text1"/>
        </w:rPr>
        <w:t>’</w:t>
      </w:r>
      <w:r w:rsidR="00533957" w:rsidRPr="00A472FC">
        <w:rPr>
          <w:rStyle w:val="FootnoteReference"/>
          <w:rFonts w:ascii="Times New Roman" w:hAnsi="Times New Roman" w:cs="Times New Roman"/>
          <w:color w:val="000000" w:themeColor="text1"/>
        </w:rPr>
        <w:footnoteReference w:id="746"/>
      </w:r>
      <w:r w:rsidRPr="00A472FC">
        <w:rPr>
          <w:rFonts w:ascii="Times New Roman" w:hAnsi="Times New Roman" w:cs="Times New Roman"/>
          <w:color w:val="000000" w:themeColor="text1"/>
        </w:rPr>
        <w:t xml:space="preserve"> with respect to the original sense forms.</w:t>
      </w:r>
    </w:p>
    <w:p w14:paraId="1AF85928" w14:textId="207EC494" w:rsidR="00E212D3" w:rsidRPr="00A472FC" w:rsidRDefault="00E212D3" w:rsidP="00E212D3">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The other </w:t>
      </w:r>
      <w:r w:rsidR="00B145F5" w:rsidRPr="00A472FC">
        <w:rPr>
          <w:rFonts w:ascii="Times New Roman" w:hAnsi="Times New Roman" w:cs="Times New Roman"/>
          <w:color w:val="000000" w:themeColor="text1"/>
        </w:rPr>
        <w:t xml:space="preserve">aspect of the separable intellect </w:t>
      </w:r>
      <w:r w:rsidRPr="00A472FC">
        <w:rPr>
          <w:rFonts w:ascii="Times New Roman" w:hAnsi="Times New Roman" w:cs="Times New Roman"/>
          <w:color w:val="000000" w:themeColor="text1"/>
        </w:rPr>
        <w:t xml:space="preserve">is the agent intellect or innate light mentioned in the pseudo-Augustinian </w:t>
      </w:r>
      <w:r w:rsidRPr="00A472FC">
        <w:rPr>
          <w:rFonts w:ascii="Times New Roman" w:hAnsi="Times New Roman" w:cs="Times New Roman"/>
          <w:i/>
          <w:color w:val="000000" w:themeColor="text1"/>
        </w:rPr>
        <w:t xml:space="preserve">De </w:t>
      </w:r>
      <w:proofErr w:type="spellStart"/>
      <w:r w:rsidRPr="00A472FC">
        <w:rPr>
          <w:rFonts w:ascii="Times New Roman" w:hAnsi="Times New Roman" w:cs="Times New Roman"/>
          <w:i/>
          <w:color w:val="000000" w:themeColor="text1"/>
        </w:rPr>
        <w:t>spiritu</w:t>
      </w:r>
      <w:proofErr w:type="spellEnd"/>
      <w:r w:rsidRPr="00A472FC">
        <w:rPr>
          <w:rFonts w:ascii="Times New Roman" w:hAnsi="Times New Roman" w:cs="Times New Roman"/>
          <w:i/>
          <w:color w:val="000000" w:themeColor="text1"/>
        </w:rPr>
        <w:t xml:space="preserve"> et anima</w:t>
      </w:r>
      <w:r w:rsidRPr="00A472FC">
        <w:rPr>
          <w:rFonts w:ascii="Times New Roman" w:hAnsi="Times New Roman" w:cs="Times New Roman"/>
          <w:color w:val="000000" w:themeColor="text1"/>
        </w:rPr>
        <w:t xml:space="preserve"> (DSEA), namely, the intelligible light of the first truth that is naturally impressed in us.</w:t>
      </w:r>
      <w:r w:rsidRPr="00A472FC">
        <w:rPr>
          <w:rStyle w:val="FootnoteReference"/>
          <w:rFonts w:ascii="Times New Roman" w:hAnsi="Times New Roman" w:cs="Times New Roman"/>
          <w:color w:val="000000" w:themeColor="text1"/>
        </w:rPr>
        <w:footnoteReference w:id="747"/>
      </w:r>
      <w:r w:rsidRPr="00A472FC">
        <w:rPr>
          <w:rFonts w:ascii="Times New Roman" w:hAnsi="Times New Roman" w:cs="Times New Roman"/>
          <w:color w:val="000000" w:themeColor="text1"/>
        </w:rPr>
        <w:t xml:space="preserve"> </w:t>
      </w:r>
      <w:r w:rsidRPr="00A472FC">
        <w:rPr>
          <w:rFonts w:ascii="Times New Roman" w:eastAsiaTheme="minorEastAsia" w:hAnsi="Times New Roman" w:cs="Times New Roman"/>
        </w:rPr>
        <w:t>The role of this agent intellect ‘is</w:t>
      </w:r>
      <w:r w:rsidRPr="00A472FC">
        <w:rPr>
          <w:rFonts w:ascii="Times New Roman" w:hAnsi="Times New Roman" w:cs="Times New Roman"/>
        </w:rPr>
        <w:t xml:space="preserve"> to illumine or diffuse the light of intelligence over sensible forms existing in the imagination or estimation; and in illumining them, to abstract them from all material circumstances, and once they are abstracted, to unite and order them in the possible intellect, in much the same way that a species of colour is abstracted through the operation of light </w:t>
      </w:r>
      <w:r w:rsidR="00651958" w:rsidRPr="00A472FC">
        <w:rPr>
          <w:rFonts w:ascii="Times New Roman" w:hAnsi="Times New Roman" w:cs="Times New Roman"/>
        </w:rPr>
        <w:t>and is joined to the pupil</w:t>
      </w:r>
      <w:r w:rsidRPr="00A472FC">
        <w:rPr>
          <w:rFonts w:ascii="Times New Roman" w:hAnsi="Times New Roman" w:cs="Times New Roman"/>
        </w:rPr>
        <w:t>.’</w:t>
      </w:r>
      <w:r w:rsidRPr="00A472FC">
        <w:rPr>
          <w:rStyle w:val="FootnoteReference"/>
          <w:rFonts w:ascii="Times New Roman" w:hAnsi="Times New Roman" w:cs="Times New Roman"/>
          <w:color w:val="000000" w:themeColor="text1"/>
        </w:rPr>
        <w:footnoteReference w:id="748"/>
      </w:r>
      <w:r w:rsidRPr="00A472FC">
        <w:rPr>
          <w:rFonts w:ascii="Times New Roman" w:hAnsi="Times New Roman" w:cs="Times New Roman"/>
        </w:rPr>
        <w:t xml:space="preserve"> Indeed, the light of the agent intellect makes </w:t>
      </w:r>
      <w:r w:rsidRPr="00A472FC">
        <w:rPr>
          <w:rFonts w:ascii="Times New Roman" w:hAnsi="Times New Roman" w:cs="Times New Roman"/>
          <w:color w:val="000000" w:themeColor="text1"/>
        </w:rPr>
        <w:t>forms or species intelligible as light makes colours visible.</w:t>
      </w:r>
      <w:r w:rsidRPr="00A472FC">
        <w:rPr>
          <w:rStyle w:val="FootnoteReference"/>
          <w:rFonts w:ascii="Times New Roman" w:hAnsi="Times New Roman" w:cs="Times New Roman"/>
          <w:color w:val="000000" w:themeColor="text1"/>
        </w:rPr>
        <w:footnoteReference w:id="749"/>
      </w:r>
      <w:r w:rsidRPr="00A472FC">
        <w:rPr>
          <w:rFonts w:ascii="Times New Roman" w:hAnsi="Times New Roman" w:cs="Times New Roman"/>
          <w:color w:val="000000" w:themeColor="text1"/>
        </w:rPr>
        <w:t xml:space="preserve"> </w:t>
      </w:r>
    </w:p>
    <w:p w14:paraId="4481237B" w14:textId="77777777" w:rsidR="00E212D3" w:rsidRPr="00A472FC" w:rsidRDefault="00E212D3" w:rsidP="00E212D3">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Following Avicenna, John divides the work of the possible intellect into four stages of potentiality in the intellect, or indeed four intellects, whereby the mind moves from a state of pure potential to various other grades of its actualisation.</w:t>
      </w:r>
      <w:r w:rsidRPr="00A472FC">
        <w:rPr>
          <w:rStyle w:val="FootnoteReference"/>
          <w:rFonts w:ascii="Times New Roman" w:hAnsi="Times New Roman" w:cs="Times New Roman"/>
          <w:color w:val="000000" w:themeColor="text1"/>
        </w:rPr>
        <w:footnoteReference w:id="750"/>
      </w:r>
      <w:r w:rsidRPr="00A472FC">
        <w:rPr>
          <w:rFonts w:ascii="Times New Roman" w:hAnsi="Times New Roman" w:cs="Times New Roman"/>
          <w:color w:val="000000" w:themeColor="text1"/>
        </w:rPr>
        <w:t xml:space="preserve"> In his </w:t>
      </w:r>
      <w:r w:rsidRPr="00A472FC">
        <w:rPr>
          <w:rFonts w:ascii="Times New Roman" w:hAnsi="Times New Roman" w:cs="Times New Roman"/>
          <w:i/>
          <w:color w:val="000000" w:themeColor="text1"/>
        </w:rPr>
        <w:t xml:space="preserve">De anima, </w:t>
      </w:r>
      <w:r w:rsidRPr="00A472FC">
        <w:rPr>
          <w:rFonts w:ascii="Times New Roman" w:hAnsi="Times New Roman" w:cs="Times New Roman"/>
          <w:color w:val="000000" w:themeColor="text1"/>
        </w:rPr>
        <w:t xml:space="preserve">Avicenna </w:t>
      </w:r>
      <w:r w:rsidRPr="00A472FC">
        <w:rPr>
          <w:rFonts w:ascii="Times New Roman" w:hAnsi="Times New Roman" w:cs="Times New Roman"/>
          <w:color w:val="000000" w:themeColor="text1"/>
        </w:rPr>
        <w:lastRenderedPageBreak/>
        <w:t>illustrates these stages in terms of the way a child who is in principle of capable of learning to write (material intellect), proceeds to acquire the ability to write (</w:t>
      </w:r>
      <w:r w:rsidRPr="00A472FC">
        <w:rPr>
          <w:rFonts w:ascii="Times New Roman" w:hAnsi="Times New Roman" w:cs="Times New Roman"/>
          <w:i/>
          <w:color w:val="000000" w:themeColor="text1"/>
        </w:rPr>
        <w:t xml:space="preserve">in </w:t>
      </w:r>
      <w:proofErr w:type="spellStart"/>
      <w:r w:rsidRPr="00A472FC">
        <w:rPr>
          <w:rFonts w:ascii="Times New Roman" w:hAnsi="Times New Roman" w:cs="Times New Roman"/>
          <w:i/>
          <w:color w:val="000000" w:themeColor="text1"/>
        </w:rPr>
        <w:t>habitu</w:t>
      </w:r>
      <w:proofErr w:type="spellEnd"/>
      <w:r w:rsidRPr="00A472FC">
        <w:rPr>
          <w:rFonts w:ascii="Times New Roman" w:hAnsi="Times New Roman" w:cs="Times New Roman"/>
          <w:color w:val="000000" w:themeColor="text1"/>
        </w:rPr>
        <w:t>), perfects it (</w:t>
      </w:r>
      <w:r w:rsidRPr="00A472FC">
        <w:rPr>
          <w:rFonts w:ascii="Times New Roman" w:hAnsi="Times New Roman" w:cs="Times New Roman"/>
          <w:i/>
          <w:color w:val="000000" w:themeColor="text1"/>
        </w:rPr>
        <w:t xml:space="preserve">in </w:t>
      </w:r>
      <w:proofErr w:type="spellStart"/>
      <w:r w:rsidRPr="00A472FC">
        <w:rPr>
          <w:rFonts w:ascii="Times New Roman" w:hAnsi="Times New Roman" w:cs="Times New Roman"/>
          <w:i/>
          <w:color w:val="000000" w:themeColor="text1"/>
        </w:rPr>
        <w:t>effectu</w:t>
      </w:r>
      <w:proofErr w:type="spellEnd"/>
      <w:r w:rsidRPr="00A472FC">
        <w:rPr>
          <w:rFonts w:ascii="Times New Roman" w:hAnsi="Times New Roman" w:cs="Times New Roman"/>
          <w:color w:val="000000" w:themeColor="text1"/>
        </w:rPr>
        <w:t>), and uses it (acquired intellect).</w:t>
      </w:r>
      <w:r w:rsidRPr="00A472FC">
        <w:rPr>
          <w:rStyle w:val="FootnoteReference"/>
          <w:rFonts w:ascii="Times New Roman" w:hAnsi="Times New Roman" w:cs="Times New Roman"/>
        </w:rPr>
        <w:footnoteReference w:id="751"/>
      </w:r>
      <w:r w:rsidRPr="00A472FC">
        <w:rPr>
          <w:rFonts w:ascii="Times New Roman" w:hAnsi="Times New Roman" w:cs="Times New Roman"/>
          <w:color w:val="000000" w:themeColor="text1"/>
        </w:rPr>
        <w:t xml:space="preserve"> </w:t>
      </w:r>
    </w:p>
    <w:p w14:paraId="293AF842" w14:textId="283065DF" w:rsidR="00E212D3" w:rsidRPr="00A472FC" w:rsidRDefault="00E212D3" w:rsidP="00E212D3">
      <w:pPr>
        <w:ind w:firstLine="720"/>
        <w:rPr>
          <w:rFonts w:ascii="Times New Roman" w:hAnsi="Times New Roman" w:cs="Times New Roman"/>
          <w:color w:val="000000" w:themeColor="text1"/>
        </w:rPr>
      </w:pPr>
      <w:r w:rsidRPr="00A472FC">
        <w:rPr>
          <w:rFonts w:ascii="Times New Roman" w:hAnsi="Times New Roman" w:cs="Times New Roman"/>
          <w:color w:val="000000" w:themeColor="text1"/>
        </w:rPr>
        <w:t>In the first case, there is what John calls a material potential for knowledge which has in no way been actualised as yet. This can be likened to prime matter, which does not itself possess any form but is subject to all forms. The material intellect (</w:t>
      </w:r>
      <w:proofErr w:type="spellStart"/>
      <w:r w:rsidRPr="00A472FC">
        <w:rPr>
          <w:rFonts w:ascii="Times New Roman" w:hAnsi="Times New Roman" w:cs="Times New Roman"/>
          <w:i/>
          <w:color w:val="000000" w:themeColor="text1"/>
        </w:rPr>
        <w:t>intellectus</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materialis</w:t>
      </w:r>
      <w:proofErr w:type="spellEnd"/>
      <w:r w:rsidRPr="00A472FC">
        <w:rPr>
          <w:rFonts w:ascii="Times New Roman" w:hAnsi="Times New Roman" w:cs="Times New Roman"/>
          <w:color w:val="000000" w:themeColor="text1"/>
        </w:rPr>
        <w:t>) in question here seems to be one and the same as the material intellect described above, which provides the possible intellect with the sense forms needed for abstraction without actually contributing to abstraction in any way.</w:t>
      </w:r>
      <w:r w:rsidRPr="00A472FC">
        <w:rPr>
          <w:rStyle w:val="FootnoteReference"/>
          <w:rFonts w:ascii="Times New Roman" w:hAnsi="Times New Roman" w:cs="Times New Roman"/>
          <w:color w:val="000000" w:themeColor="text1"/>
        </w:rPr>
        <w:footnoteReference w:id="752"/>
      </w:r>
      <w:r w:rsidRPr="00A472FC">
        <w:rPr>
          <w:rFonts w:ascii="Times New Roman" w:hAnsi="Times New Roman" w:cs="Times New Roman"/>
          <w:color w:val="000000" w:themeColor="text1"/>
        </w:rPr>
        <w:t xml:space="preserve"> In the second place, there is a disposed potential (</w:t>
      </w:r>
      <w:proofErr w:type="spellStart"/>
      <w:r w:rsidRPr="00A472FC">
        <w:rPr>
          <w:rFonts w:ascii="Times New Roman" w:hAnsi="Times New Roman" w:cs="Times New Roman"/>
          <w:i/>
          <w:color w:val="000000" w:themeColor="text1"/>
        </w:rPr>
        <w:t>intellectus</w:t>
      </w:r>
      <w:proofErr w:type="spellEnd"/>
      <w:r w:rsidRPr="00A472FC">
        <w:rPr>
          <w:rFonts w:ascii="Times New Roman" w:hAnsi="Times New Roman" w:cs="Times New Roman"/>
          <w:i/>
          <w:color w:val="000000" w:themeColor="text1"/>
        </w:rPr>
        <w:t xml:space="preserve"> in </w:t>
      </w:r>
      <w:proofErr w:type="spellStart"/>
      <w:r w:rsidRPr="00A472FC">
        <w:rPr>
          <w:rFonts w:ascii="Times New Roman" w:hAnsi="Times New Roman" w:cs="Times New Roman"/>
          <w:i/>
          <w:color w:val="000000" w:themeColor="text1"/>
        </w:rPr>
        <w:t>habitu</w:t>
      </w:r>
      <w:proofErr w:type="spellEnd"/>
      <w:r w:rsidRPr="00A472FC">
        <w:rPr>
          <w:rFonts w:ascii="Times New Roman" w:hAnsi="Times New Roman" w:cs="Times New Roman"/>
          <w:i/>
          <w:color w:val="000000" w:themeColor="text1"/>
        </w:rPr>
        <w:t>)</w:t>
      </w:r>
      <w:r w:rsidRPr="00A472FC">
        <w:rPr>
          <w:rFonts w:ascii="Times New Roman" w:hAnsi="Times New Roman" w:cs="Times New Roman"/>
          <w:color w:val="000000" w:themeColor="text1"/>
        </w:rPr>
        <w:t>, which involves knowledge of the ‘common conceptions of the soul’ (</w:t>
      </w:r>
      <w:r w:rsidRPr="00A472FC">
        <w:rPr>
          <w:rFonts w:ascii="Times New Roman" w:hAnsi="Times New Roman" w:cs="Times New Roman"/>
          <w:i/>
          <w:color w:val="000000" w:themeColor="text1"/>
        </w:rPr>
        <w:t xml:space="preserve">communes animi </w:t>
      </w:r>
      <w:proofErr w:type="spellStart"/>
      <w:r w:rsidRPr="00A472FC">
        <w:rPr>
          <w:rFonts w:ascii="Times New Roman" w:hAnsi="Times New Roman" w:cs="Times New Roman"/>
          <w:i/>
          <w:color w:val="000000" w:themeColor="text1"/>
        </w:rPr>
        <w:t>conceptiones</w:t>
      </w:r>
      <w:proofErr w:type="spellEnd"/>
      <w:r w:rsidRPr="00A472FC">
        <w:rPr>
          <w:rFonts w:ascii="Times New Roman" w:hAnsi="Times New Roman" w:cs="Times New Roman"/>
          <w:color w:val="000000" w:themeColor="text1"/>
        </w:rPr>
        <w:t xml:space="preserve">), that is, the principles or propositions which are </w:t>
      </w:r>
      <w:r w:rsidRPr="00A472FC">
        <w:rPr>
          <w:rFonts w:ascii="Times New Roman" w:hAnsi="Times New Roman" w:cs="Times New Roman"/>
          <w:i/>
          <w:color w:val="000000" w:themeColor="text1"/>
        </w:rPr>
        <w:t>per se nota</w:t>
      </w:r>
      <w:r w:rsidRPr="00A472FC">
        <w:rPr>
          <w:rFonts w:ascii="Times New Roman" w:hAnsi="Times New Roman" w:cs="Times New Roman"/>
          <w:color w:val="000000" w:themeColor="text1"/>
        </w:rPr>
        <w:t xml:space="preserve"> or self-evident to the mind, such as ‘the whole is greater than its part.’</w:t>
      </w:r>
      <w:r w:rsidRPr="00A472FC">
        <w:rPr>
          <w:rStyle w:val="FootnoteReference"/>
          <w:rFonts w:ascii="Times New Roman" w:hAnsi="Times New Roman" w:cs="Times New Roman"/>
          <w:color w:val="000000" w:themeColor="text1"/>
        </w:rPr>
        <w:footnoteReference w:id="753"/>
      </w:r>
      <w:r w:rsidRPr="00A472FC">
        <w:rPr>
          <w:rFonts w:ascii="Times New Roman" w:hAnsi="Times New Roman" w:cs="Times New Roman"/>
          <w:color w:val="000000" w:themeColor="text1"/>
        </w:rPr>
        <w:t xml:space="preserve"> </w:t>
      </w:r>
    </w:p>
    <w:p w14:paraId="4E99A6AD" w14:textId="77777777" w:rsidR="00F05D43" w:rsidRPr="00A472FC" w:rsidRDefault="00E212D3" w:rsidP="00141605">
      <w:pPr>
        <w:ind w:firstLine="720"/>
        <w:rPr>
          <w:rFonts w:ascii="Times New Roman" w:eastAsiaTheme="minorEastAsia" w:hAnsi="Times New Roman" w:cs="Times New Roman"/>
        </w:rPr>
      </w:pPr>
      <w:r w:rsidRPr="00A472FC">
        <w:rPr>
          <w:rFonts w:ascii="Times New Roman" w:hAnsi="Times New Roman" w:cs="Times New Roman"/>
          <w:color w:val="000000" w:themeColor="text1"/>
        </w:rPr>
        <w:t xml:space="preserve">In his </w:t>
      </w:r>
      <w:r w:rsidRPr="00A472FC">
        <w:rPr>
          <w:rFonts w:ascii="Times New Roman" w:hAnsi="Times New Roman" w:cs="Times New Roman"/>
          <w:i/>
          <w:iCs/>
          <w:color w:val="000000" w:themeColor="text1"/>
        </w:rPr>
        <w:t>De anima</w:t>
      </w:r>
      <w:r w:rsidRPr="00A472FC">
        <w:rPr>
          <w:rFonts w:ascii="Times New Roman" w:hAnsi="Times New Roman" w:cs="Times New Roman"/>
          <w:color w:val="000000" w:themeColor="text1"/>
        </w:rPr>
        <w:t xml:space="preserve">, Avicenna had developed </w:t>
      </w:r>
      <w:r w:rsidR="00825845" w:rsidRPr="00A472FC">
        <w:rPr>
          <w:rFonts w:ascii="Times New Roman" w:hAnsi="Times New Roman" w:cs="Times New Roman"/>
          <w:color w:val="000000" w:themeColor="text1"/>
        </w:rPr>
        <w:t xml:space="preserve">a </w:t>
      </w:r>
      <w:r w:rsidRPr="00A472FC">
        <w:rPr>
          <w:rFonts w:ascii="Times New Roman" w:hAnsi="Times New Roman" w:cs="Times New Roman"/>
          <w:color w:val="000000" w:themeColor="text1"/>
        </w:rPr>
        <w:t xml:space="preserve">sophisticated account of the role these principles or ‘primary </w:t>
      </w:r>
      <w:proofErr w:type="spellStart"/>
      <w:r w:rsidRPr="00A472FC">
        <w:rPr>
          <w:rFonts w:ascii="Times New Roman" w:hAnsi="Times New Roman" w:cs="Times New Roman"/>
          <w:color w:val="000000" w:themeColor="text1"/>
        </w:rPr>
        <w:t>intelligibles</w:t>
      </w:r>
      <w:proofErr w:type="spellEnd"/>
      <w:r w:rsidRPr="00A472FC">
        <w:rPr>
          <w:rFonts w:ascii="Times New Roman" w:hAnsi="Times New Roman" w:cs="Times New Roman"/>
          <w:color w:val="000000" w:themeColor="text1"/>
        </w:rPr>
        <w:t>’ play in human knowing.</w:t>
      </w:r>
      <w:r w:rsidRPr="00A472FC">
        <w:rPr>
          <w:rFonts w:ascii="Times New Roman" w:eastAsiaTheme="minorEastAsia" w:hAnsi="Times New Roman" w:cs="Times New Roman"/>
          <w:vertAlign w:val="superscript"/>
        </w:rPr>
        <w:footnoteReference w:id="754"/>
      </w:r>
      <w:r w:rsidRPr="00A472FC">
        <w:rPr>
          <w:rFonts w:ascii="Times New Roman" w:hAnsi="Times New Roman" w:cs="Times New Roman"/>
          <w:color w:val="000000" w:themeColor="text1"/>
        </w:rPr>
        <w:t xml:space="preserve"> On his account, the</w:t>
      </w:r>
      <w:r w:rsidRPr="00A472FC">
        <w:rPr>
          <w:rFonts w:ascii="Times New Roman" w:eastAsiaTheme="minorEastAsia" w:hAnsi="Times New Roman" w:cs="Times New Roman"/>
        </w:rPr>
        <w:t xml:space="preserve"> </w:t>
      </w:r>
      <w:proofErr w:type="spellStart"/>
      <w:r w:rsidRPr="00A472FC">
        <w:rPr>
          <w:rFonts w:ascii="Times New Roman" w:eastAsiaTheme="minorEastAsia" w:hAnsi="Times New Roman" w:cs="Times New Roman"/>
        </w:rPr>
        <w:t>intelligibles</w:t>
      </w:r>
      <w:proofErr w:type="spellEnd"/>
      <w:r w:rsidRPr="00A472FC">
        <w:rPr>
          <w:rFonts w:ascii="Times New Roman" w:eastAsiaTheme="minorEastAsia" w:hAnsi="Times New Roman" w:cs="Times New Roman"/>
        </w:rPr>
        <w:t xml:space="preserve"> are innate concepts that correspond to certain properties that are ‘transcendental’—as Duns Scotus only later called them—or common to all beings. First and foremost, and thus also ‘first known’ (</w:t>
      </w:r>
      <w:proofErr w:type="spellStart"/>
      <w:r w:rsidRPr="00A472FC">
        <w:rPr>
          <w:rFonts w:ascii="Times New Roman" w:eastAsiaTheme="minorEastAsia" w:hAnsi="Times New Roman" w:cs="Times New Roman"/>
          <w:i/>
        </w:rPr>
        <w:t>primum</w:t>
      </w:r>
      <w:proofErr w:type="spellEnd"/>
      <w:r w:rsidRPr="00A472FC">
        <w:rPr>
          <w:rFonts w:ascii="Times New Roman" w:eastAsiaTheme="minorEastAsia" w:hAnsi="Times New Roman" w:cs="Times New Roman"/>
          <w:i/>
        </w:rPr>
        <w:t xml:space="preserve"> </w:t>
      </w:r>
      <w:proofErr w:type="spellStart"/>
      <w:r w:rsidRPr="00A472FC">
        <w:rPr>
          <w:rFonts w:ascii="Times New Roman" w:eastAsiaTheme="minorEastAsia" w:hAnsi="Times New Roman" w:cs="Times New Roman"/>
          <w:i/>
        </w:rPr>
        <w:t>cognitum</w:t>
      </w:r>
      <w:proofErr w:type="spellEnd"/>
      <w:r w:rsidRPr="00A472FC">
        <w:rPr>
          <w:rFonts w:ascii="Times New Roman" w:eastAsiaTheme="minorEastAsia" w:hAnsi="Times New Roman" w:cs="Times New Roman"/>
        </w:rPr>
        <w:t xml:space="preserve">) among these </w:t>
      </w:r>
      <w:proofErr w:type="spellStart"/>
      <w:r w:rsidRPr="00A472FC">
        <w:rPr>
          <w:rFonts w:ascii="Times New Roman" w:eastAsiaTheme="minorEastAsia" w:hAnsi="Times New Roman" w:cs="Times New Roman"/>
        </w:rPr>
        <w:t>intelligibles</w:t>
      </w:r>
      <w:proofErr w:type="spellEnd"/>
      <w:r w:rsidRPr="00A472FC">
        <w:rPr>
          <w:rFonts w:ascii="Times New Roman" w:eastAsiaTheme="minorEastAsia" w:hAnsi="Times New Roman" w:cs="Times New Roman"/>
        </w:rPr>
        <w:t xml:space="preserve"> is being itself</w:t>
      </w:r>
      <w:r w:rsidR="009A30E1" w:rsidRPr="00A472FC">
        <w:rPr>
          <w:rFonts w:ascii="Times New Roman" w:eastAsiaTheme="minorEastAsia" w:hAnsi="Times New Roman" w:cs="Times New Roman"/>
        </w:rPr>
        <w:t xml:space="preserve"> (</w:t>
      </w:r>
      <w:r w:rsidR="009A30E1" w:rsidRPr="00A472FC">
        <w:rPr>
          <w:rFonts w:ascii="Times New Roman" w:eastAsiaTheme="minorEastAsia" w:hAnsi="Times New Roman" w:cs="Times New Roman"/>
          <w:i/>
          <w:iCs/>
        </w:rPr>
        <w:t>ens</w:t>
      </w:r>
      <w:r w:rsidR="009A30E1" w:rsidRPr="00A472FC">
        <w:rPr>
          <w:rFonts w:ascii="Times New Roman" w:eastAsiaTheme="minorEastAsia" w:hAnsi="Times New Roman" w:cs="Times New Roman"/>
        </w:rPr>
        <w:t>)</w:t>
      </w:r>
      <w:r w:rsidRPr="00A472FC">
        <w:rPr>
          <w:rFonts w:ascii="Times New Roman" w:eastAsiaTheme="minorEastAsia" w:hAnsi="Times New Roman" w:cs="Times New Roman"/>
        </w:rPr>
        <w:t>.</w:t>
      </w:r>
      <w:r w:rsidRPr="00A472FC">
        <w:rPr>
          <w:rFonts w:ascii="Times New Roman" w:eastAsiaTheme="minorEastAsia" w:hAnsi="Times New Roman" w:cs="Times New Roman"/>
          <w:vertAlign w:val="superscript"/>
        </w:rPr>
        <w:footnoteReference w:id="755"/>
      </w:r>
      <w:r w:rsidRPr="00A472FC">
        <w:rPr>
          <w:rFonts w:ascii="Times New Roman" w:eastAsiaTheme="minorEastAsia" w:hAnsi="Times New Roman" w:cs="Times New Roman"/>
        </w:rPr>
        <w:t xml:space="preserve"> </w:t>
      </w:r>
      <w:r w:rsidR="009A30E1" w:rsidRPr="00A472FC">
        <w:rPr>
          <w:rFonts w:ascii="Times New Roman" w:eastAsiaTheme="minorEastAsia" w:hAnsi="Times New Roman" w:cs="Times New Roman"/>
        </w:rPr>
        <w:t xml:space="preserve">As </w:t>
      </w:r>
      <w:proofErr w:type="spellStart"/>
      <w:r w:rsidR="009A30E1" w:rsidRPr="00A472FC">
        <w:rPr>
          <w:rFonts w:ascii="Times New Roman" w:eastAsiaTheme="minorEastAsia" w:hAnsi="Times New Roman" w:cs="Times New Roman"/>
        </w:rPr>
        <w:t>Aertsen</w:t>
      </w:r>
      <w:proofErr w:type="spellEnd"/>
      <w:r w:rsidR="009A30E1" w:rsidRPr="00A472FC">
        <w:rPr>
          <w:rFonts w:ascii="Times New Roman" w:eastAsiaTheme="minorEastAsia" w:hAnsi="Times New Roman" w:cs="Times New Roman"/>
        </w:rPr>
        <w:t xml:space="preserve"> notes, </w:t>
      </w:r>
      <w:r w:rsidR="001B3B9C" w:rsidRPr="00A472FC">
        <w:rPr>
          <w:rFonts w:ascii="Times New Roman" w:eastAsiaTheme="minorEastAsia" w:hAnsi="Times New Roman" w:cs="Times New Roman"/>
        </w:rPr>
        <w:t>this</w:t>
      </w:r>
      <w:r w:rsidR="009A30E1" w:rsidRPr="00A472FC">
        <w:rPr>
          <w:rFonts w:ascii="Times New Roman" w:eastAsiaTheme="minorEastAsia" w:hAnsi="Times New Roman" w:cs="Times New Roman"/>
        </w:rPr>
        <w:t xml:space="preserve"> seems to denote ‘that something is</w:t>
      </w:r>
      <w:r w:rsidR="00247221" w:rsidRPr="00A472FC">
        <w:rPr>
          <w:rFonts w:ascii="Times New Roman" w:eastAsiaTheme="minorEastAsia" w:hAnsi="Times New Roman" w:cs="Times New Roman"/>
        </w:rPr>
        <w:t xml:space="preserve">’ </w:t>
      </w:r>
      <w:r w:rsidR="009A30E1" w:rsidRPr="00A472FC">
        <w:rPr>
          <w:rFonts w:ascii="Times New Roman" w:eastAsiaTheme="minorEastAsia" w:hAnsi="Times New Roman" w:cs="Times New Roman"/>
        </w:rPr>
        <w:t>(</w:t>
      </w:r>
      <w:r w:rsidR="009A30E1" w:rsidRPr="00A472FC">
        <w:rPr>
          <w:rFonts w:ascii="Times New Roman" w:eastAsiaTheme="minorEastAsia" w:hAnsi="Times New Roman" w:cs="Times New Roman"/>
          <w:i/>
          <w:iCs/>
        </w:rPr>
        <w:t xml:space="preserve">an </w:t>
      </w:r>
      <w:r w:rsidR="00911C6D" w:rsidRPr="00A472FC">
        <w:rPr>
          <w:rFonts w:ascii="Times New Roman" w:eastAsiaTheme="minorEastAsia" w:hAnsi="Times New Roman" w:cs="Times New Roman"/>
          <w:i/>
          <w:iCs/>
        </w:rPr>
        <w:t>sit</w:t>
      </w:r>
      <w:r w:rsidR="009A30E1" w:rsidRPr="00A472FC">
        <w:rPr>
          <w:rFonts w:ascii="Times New Roman" w:eastAsiaTheme="minorEastAsia" w:hAnsi="Times New Roman" w:cs="Times New Roman"/>
        </w:rPr>
        <w:t xml:space="preserve">) or what the Latins would refer to as a thing’s existence. </w:t>
      </w:r>
      <w:r w:rsidRPr="00A472FC">
        <w:rPr>
          <w:rFonts w:ascii="Times New Roman" w:eastAsiaTheme="minorEastAsia" w:hAnsi="Times New Roman" w:cs="Times New Roman"/>
        </w:rPr>
        <w:t xml:space="preserve">This property is determined by two others, namely, ‘thing’ </w:t>
      </w:r>
      <w:r w:rsidR="009A30E1" w:rsidRPr="00A472FC">
        <w:rPr>
          <w:rFonts w:ascii="Times New Roman" w:eastAsiaTheme="minorEastAsia" w:hAnsi="Times New Roman" w:cs="Times New Roman"/>
        </w:rPr>
        <w:t>(</w:t>
      </w:r>
      <w:r w:rsidR="009A30E1" w:rsidRPr="00A472FC">
        <w:rPr>
          <w:rFonts w:ascii="Times New Roman" w:eastAsiaTheme="minorEastAsia" w:hAnsi="Times New Roman" w:cs="Times New Roman"/>
          <w:i/>
          <w:iCs/>
        </w:rPr>
        <w:t>res</w:t>
      </w:r>
      <w:r w:rsidR="009A30E1" w:rsidRPr="00A472FC">
        <w:rPr>
          <w:rFonts w:ascii="Times New Roman" w:eastAsiaTheme="minorEastAsia" w:hAnsi="Times New Roman" w:cs="Times New Roman"/>
        </w:rPr>
        <w:t xml:space="preserve">) </w:t>
      </w:r>
      <w:r w:rsidRPr="00A472FC">
        <w:rPr>
          <w:rFonts w:ascii="Times New Roman" w:eastAsiaTheme="minorEastAsia" w:hAnsi="Times New Roman" w:cs="Times New Roman"/>
        </w:rPr>
        <w:t>and ‘necessary’</w:t>
      </w:r>
      <w:r w:rsidR="00693E19" w:rsidRPr="00A472FC">
        <w:rPr>
          <w:rFonts w:ascii="Times New Roman" w:eastAsiaTheme="minorEastAsia" w:hAnsi="Times New Roman" w:cs="Times New Roman"/>
        </w:rPr>
        <w:t>.</w:t>
      </w:r>
      <w:r w:rsidR="00846629" w:rsidRPr="00A472FC">
        <w:rPr>
          <w:rStyle w:val="FootnoteReference"/>
          <w:rFonts w:ascii="Times New Roman" w:eastAsiaTheme="minorEastAsia" w:hAnsi="Times New Roman" w:cs="Times New Roman"/>
        </w:rPr>
        <w:footnoteReference w:id="756"/>
      </w:r>
      <w:r w:rsidR="00693E19" w:rsidRPr="00A472FC">
        <w:rPr>
          <w:rFonts w:ascii="Times New Roman" w:eastAsiaTheme="minorEastAsia" w:hAnsi="Times New Roman" w:cs="Times New Roman"/>
        </w:rPr>
        <w:t xml:space="preserve"> </w:t>
      </w:r>
      <w:r w:rsidR="006C312C" w:rsidRPr="00A472FC">
        <w:rPr>
          <w:rFonts w:ascii="Times New Roman" w:eastAsiaTheme="minorEastAsia" w:hAnsi="Times New Roman" w:cs="Times New Roman"/>
        </w:rPr>
        <w:t>The concept</w:t>
      </w:r>
      <w:r w:rsidR="00693E19" w:rsidRPr="00A472FC">
        <w:rPr>
          <w:rFonts w:ascii="Times New Roman" w:eastAsiaTheme="minorEastAsia" w:hAnsi="Times New Roman" w:cs="Times New Roman"/>
        </w:rPr>
        <w:t xml:space="preserve"> ‘thing’ seems to denote ‘what something is’ or what Latin thinkers would describe as its essence, </w:t>
      </w:r>
      <w:r w:rsidR="006C312C" w:rsidRPr="00A472FC">
        <w:rPr>
          <w:rFonts w:ascii="Times New Roman" w:eastAsiaTheme="minorEastAsia" w:hAnsi="Times New Roman" w:cs="Times New Roman"/>
        </w:rPr>
        <w:t xml:space="preserve">while </w:t>
      </w:r>
      <w:r w:rsidR="00693E19" w:rsidRPr="00A472FC">
        <w:rPr>
          <w:rFonts w:ascii="Times New Roman" w:eastAsiaTheme="minorEastAsia" w:hAnsi="Times New Roman" w:cs="Times New Roman"/>
        </w:rPr>
        <w:t>necessity refers to the question whether a thing actually exists in reality as opposed to a mere state of possible existence.</w:t>
      </w:r>
      <w:r w:rsidR="006C312C" w:rsidRPr="00A472FC">
        <w:rPr>
          <w:rFonts w:ascii="Times New Roman" w:eastAsiaTheme="minorEastAsia" w:hAnsi="Times New Roman" w:cs="Times New Roman"/>
        </w:rPr>
        <w:t xml:space="preserve"> </w:t>
      </w:r>
    </w:p>
    <w:p w14:paraId="3E18FBB1" w14:textId="0D6CD125" w:rsidR="00E212D3" w:rsidRPr="00A472FC" w:rsidRDefault="006C312C" w:rsidP="00B7592F">
      <w:pPr>
        <w:ind w:firstLine="720"/>
        <w:rPr>
          <w:rFonts w:ascii="Times New Roman" w:eastAsiaTheme="minorEastAsia" w:hAnsi="Times New Roman" w:cs="Times New Roman"/>
        </w:rPr>
      </w:pPr>
      <w:r w:rsidRPr="00A472FC">
        <w:rPr>
          <w:rFonts w:ascii="Times New Roman" w:eastAsiaTheme="minorEastAsia" w:hAnsi="Times New Roman" w:cs="Times New Roman"/>
        </w:rPr>
        <w:t xml:space="preserve">These two concepts of </w:t>
      </w:r>
      <w:r w:rsidR="007F022B" w:rsidRPr="00A472FC">
        <w:rPr>
          <w:rFonts w:ascii="Times New Roman" w:eastAsiaTheme="minorEastAsia" w:hAnsi="Times New Roman" w:cs="Times New Roman"/>
        </w:rPr>
        <w:t>necessity</w:t>
      </w:r>
      <w:r w:rsidRPr="00A472FC">
        <w:rPr>
          <w:rFonts w:ascii="Times New Roman" w:eastAsiaTheme="minorEastAsia" w:hAnsi="Times New Roman" w:cs="Times New Roman"/>
        </w:rPr>
        <w:t xml:space="preserve"> and possibility were foundational to</w:t>
      </w:r>
      <w:r w:rsidR="007F022B" w:rsidRPr="00A472FC">
        <w:rPr>
          <w:rFonts w:ascii="Times New Roman" w:eastAsiaTheme="minorEastAsia" w:hAnsi="Times New Roman" w:cs="Times New Roman"/>
        </w:rPr>
        <w:t xml:space="preserve"> Avicenna’s metaphysics, in which </w:t>
      </w:r>
      <w:r w:rsidR="00F05D43" w:rsidRPr="00A472FC">
        <w:rPr>
          <w:rFonts w:ascii="Times New Roman" w:eastAsiaTheme="minorEastAsia" w:hAnsi="Times New Roman" w:cs="Times New Roman"/>
        </w:rPr>
        <w:t>necessity</w:t>
      </w:r>
      <w:r w:rsidR="007F022B" w:rsidRPr="00A472FC">
        <w:rPr>
          <w:rFonts w:ascii="Times New Roman" w:eastAsiaTheme="minorEastAsia" w:hAnsi="Times New Roman" w:cs="Times New Roman"/>
        </w:rPr>
        <w:t xml:space="preserve"> </w:t>
      </w:r>
      <w:r w:rsidR="00D16226" w:rsidRPr="00A472FC">
        <w:rPr>
          <w:rFonts w:ascii="Times New Roman" w:eastAsiaTheme="minorEastAsia" w:hAnsi="Times New Roman" w:cs="Times New Roman"/>
        </w:rPr>
        <w:t xml:space="preserve">denotes that any given possible </w:t>
      </w:r>
      <w:r w:rsidR="00D16226" w:rsidRPr="00A472FC">
        <w:rPr>
          <w:rFonts w:ascii="Times New Roman" w:eastAsiaTheme="minorEastAsia" w:hAnsi="Times New Roman" w:cs="Times New Roman"/>
          <w:i/>
          <w:iCs/>
        </w:rPr>
        <w:t xml:space="preserve">res </w:t>
      </w:r>
      <w:r w:rsidR="00D16226" w:rsidRPr="00A472FC">
        <w:rPr>
          <w:rFonts w:ascii="Times New Roman" w:eastAsiaTheme="minorEastAsia" w:hAnsi="Times New Roman" w:cs="Times New Roman"/>
        </w:rPr>
        <w:t xml:space="preserve">has acquired the property of </w:t>
      </w:r>
      <w:r w:rsidR="00D16226" w:rsidRPr="00A472FC">
        <w:rPr>
          <w:rFonts w:ascii="Times New Roman" w:eastAsiaTheme="minorEastAsia" w:hAnsi="Times New Roman" w:cs="Times New Roman"/>
          <w:i/>
          <w:iCs/>
        </w:rPr>
        <w:t xml:space="preserve">ens </w:t>
      </w:r>
      <w:r w:rsidR="00D16226" w:rsidRPr="00A472FC">
        <w:rPr>
          <w:rFonts w:ascii="Times New Roman" w:eastAsiaTheme="minorEastAsia" w:hAnsi="Times New Roman" w:cs="Times New Roman"/>
        </w:rPr>
        <w:t>or</w:t>
      </w:r>
      <w:r w:rsidR="00D16226" w:rsidRPr="00A472FC">
        <w:rPr>
          <w:rFonts w:ascii="Times New Roman" w:eastAsiaTheme="minorEastAsia" w:hAnsi="Times New Roman" w:cs="Times New Roman"/>
          <w:i/>
          <w:iCs/>
        </w:rPr>
        <w:t xml:space="preserve"> </w:t>
      </w:r>
      <w:r w:rsidR="00D16226" w:rsidRPr="00A472FC">
        <w:rPr>
          <w:rFonts w:ascii="Times New Roman" w:eastAsiaTheme="minorEastAsia" w:hAnsi="Times New Roman" w:cs="Times New Roman"/>
        </w:rPr>
        <w:t xml:space="preserve">existence. </w:t>
      </w:r>
      <w:r w:rsidR="00E212D3" w:rsidRPr="00A472FC">
        <w:rPr>
          <w:rFonts w:ascii="Times New Roman" w:eastAsiaTheme="minorEastAsia" w:hAnsi="Times New Roman" w:cs="Times New Roman"/>
        </w:rPr>
        <w:t xml:space="preserve">In elaborating </w:t>
      </w:r>
      <w:r w:rsidR="00B7592F" w:rsidRPr="00A472FC">
        <w:rPr>
          <w:rFonts w:ascii="Times New Roman" w:eastAsiaTheme="minorEastAsia" w:hAnsi="Times New Roman" w:cs="Times New Roman"/>
        </w:rPr>
        <w:t xml:space="preserve">this </w:t>
      </w:r>
      <w:r w:rsidR="00E212D3" w:rsidRPr="00A472FC">
        <w:rPr>
          <w:rFonts w:ascii="Times New Roman" w:eastAsiaTheme="minorEastAsia" w:hAnsi="Times New Roman" w:cs="Times New Roman"/>
        </w:rPr>
        <w:t xml:space="preserve">highly original idea of primary notions, Avicenna was emphatic that the </w:t>
      </w:r>
      <w:proofErr w:type="spellStart"/>
      <w:r w:rsidR="00E212D3" w:rsidRPr="00A472FC">
        <w:rPr>
          <w:rFonts w:ascii="Times New Roman" w:eastAsiaTheme="minorEastAsia" w:hAnsi="Times New Roman" w:cs="Times New Roman"/>
        </w:rPr>
        <w:t>intelligibles</w:t>
      </w:r>
      <w:proofErr w:type="spellEnd"/>
      <w:r w:rsidR="00E212D3" w:rsidRPr="00A472FC">
        <w:rPr>
          <w:rFonts w:ascii="Times New Roman" w:eastAsiaTheme="minorEastAsia" w:hAnsi="Times New Roman" w:cs="Times New Roman"/>
        </w:rPr>
        <w:t xml:space="preserve"> are not themselves the objects of knowledge or universal concepts that will result from abstraction, which Avicenna calls ‘secondary </w:t>
      </w:r>
      <w:proofErr w:type="spellStart"/>
      <w:r w:rsidR="00E212D3" w:rsidRPr="00A472FC">
        <w:rPr>
          <w:rFonts w:ascii="Times New Roman" w:eastAsiaTheme="minorEastAsia" w:hAnsi="Times New Roman" w:cs="Times New Roman"/>
        </w:rPr>
        <w:t>intelligibles</w:t>
      </w:r>
      <w:proofErr w:type="spellEnd"/>
      <w:r w:rsidR="00E212D3" w:rsidRPr="00A472FC">
        <w:rPr>
          <w:rFonts w:ascii="Times New Roman" w:eastAsiaTheme="minorEastAsia" w:hAnsi="Times New Roman" w:cs="Times New Roman"/>
        </w:rPr>
        <w:t>’.</w:t>
      </w:r>
      <w:r w:rsidR="00E212D3" w:rsidRPr="00A472FC">
        <w:rPr>
          <w:rFonts w:ascii="Times New Roman" w:eastAsiaTheme="minorEastAsia" w:hAnsi="Times New Roman" w:cs="Times New Roman"/>
          <w:vertAlign w:val="superscript"/>
        </w:rPr>
        <w:footnoteReference w:id="757"/>
      </w:r>
      <w:r w:rsidR="00141605" w:rsidRPr="00A472FC">
        <w:rPr>
          <w:rFonts w:ascii="Times New Roman" w:eastAsiaTheme="minorEastAsia" w:hAnsi="Times New Roman" w:cs="Times New Roman"/>
        </w:rPr>
        <w:t xml:space="preserve"> </w:t>
      </w:r>
      <w:r w:rsidR="00E212D3" w:rsidRPr="00A472FC">
        <w:rPr>
          <w:rFonts w:ascii="Times New Roman" w:eastAsiaTheme="minorEastAsia" w:hAnsi="Times New Roman" w:cs="Times New Roman"/>
        </w:rPr>
        <w:t xml:space="preserve">Instead, they serve as means or guides in the process of abstraction, which we have seen involves stripping an intention of all its </w:t>
      </w:r>
      <w:proofErr w:type="spellStart"/>
      <w:r w:rsidR="00E212D3" w:rsidRPr="00A472FC">
        <w:rPr>
          <w:rFonts w:ascii="Times New Roman" w:eastAsiaTheme="minorEastAsia" w:hAnsi="Times New Roman" w:cs="Times New Roman"/>
        </w:rPr>
        <w:t>particularizing</w:t>
      </w:r>
      <w:proofErr w:type="spellEnd"/>
      <w:r w:rsidR="00E212D3" w:rsidRPr="00A472FC">
        <w:rPr>
          <w:rFonts w:ascii="Times New Roman" w:eastAsiaTheme="minorEastAsia" w:hAnsi="Times New Roman" w:cs="Times New Roman"/>
        </w:rPr>
        <w:t xml:space="preserve"> features or material determinations (location, time, shape, and so on), so as to seize conceptual hold of the universal essence that is at the core of the intention</w:t>
      </w:r>
      <w:r w:rsidR="00141605" w:rsidRPr="00A472FC">
        <w:rPr>
          <w:rFonts w:ascii="Times New Roman" w:eastAsiaTheme="minorEastAsia" w:hAnsi="Times New Roman" w:cs="Times New Roman"/>
        </w:rPr>
        <w:t xml:space="preserve"> and to know it as actually existing</w:t>
      </w:r>
      <w:r w:rsidR="00E212D3" w:rsidRPr="00A472FC">
        <w:rPr>
          <w:rFonts w:ascii="Times New Roman" w:eastAsiaTheme="minorEastAsia" w:hAnsi="Times New Roman" w:cs="Times New Roman"/>
        </w:rPr>
        <w:t>.</w:t>
      </w:r>
      <w:r w:rsidR="00E212D3" w:rsidRPr="00A472FC">
        <w:rPr>
          <w:rFonts w:ascii="Times New Roman" w:eastAsiaTheme="minorEastAsia" w:hAnsi="Times New Roman" w:cs="Times New Roman"/>
          <w:vertAlign w:val="superscript"/>
        </w:rPr>
        <w:footnoteReference w:id="758"/>
      </w:r>
      <w:r w:rsidR="00E212D3" w:rsidRPr="00A472FC">
        <w:rPr>
          <w:rFonts w:ascii="Times New Roman" w:eastAsiaTheme="minorEastAsia" w:hAnsi="Times New Roman" w:cs="Times New Roman"/>
        </w:rPr>
        <w:t xml:space="preserve"> Whenever the mind perceives the ‘thing in itself’ in this way, Avicenna affirms that it makes contact with an external ‘Active Intellect’, the last in a series of celestial intelligences, which is the one and only intellect that is always in act and thus constantly knows all things as they </w:t>
      </w:r>
      <w:r w:rsidR="00CB4BDC" w:rsidRPr="00A472FC">
        <w:rPr>
          <w:rFonts w:ascii="Times New Roman" w:eastAsiaTheme="minorEastAsia" w:hAnsi="Times New Roman" w:cs="Times New Roman"/>
        </w:rPr>
        <w:t xml:space="preserve">really </w:t>
      </w:r>
      <w:r w:rsidR="00E212D3" w:rsidRPr="00A472FC">
        <w:rPr>
          <w:rFonts w:ascii="Times New Roman" w:eastAsiaTheme="minorEastAsia" w:hAnsi="Times New Roman" w:cs="Times New Roman"/>
        </w:rPr>
        <w:t>are.</w:t>
      </w:r>
      <w:r w:rsidR="00E212D3" w:rsidRPr="00A472FC">
        <w:rPr>
          <w:rFonts w:ascii="Times New Roman" w:eastAsiaTheme="minorEastAsia" w:hAnsi="Times New Roman" w:cs="Times New Roman"/>
          <w:vertAlign w:val="superscript"/>
        </w:rPr>
        <w:footnoteReference w:id="759"/>
      </w:r>
      <w:r w:rsidR="00E212D3" w:rsidRPr="00A472FC">
        <w:rPr>
          <w:rFonts w:ascii="Times New Roman" w:eastAsiaTheme="minorEastAsia" w:hAnsi="Times New Roman" w:cs="Times New Roman"/>
        </w:rPr>
        <w:t xml:space="preserve"> </w:t>
      </w:r>
      <w:r w:rsidR="00E212D3" w:rsidRPr="00A472FC">
        <w:rPr>
          <w:rFonts w:ascii="Times New Roman" w:eastAsiaTheme="minorEastAsia" w:hAnsi="Times New Roman" w:cs="Times New Roman"/>
        </w:rPr>
        <w:lastRenderedPageBreak/>
        <w:t xml:space="preserve">This connection is made by the fourth of Avicenna’s intellects, namely, the </w:t>
      </w:r>
      <w:proofErr w:type="spellStart"/>
      <w:r w:rsidR="00E212D3" w:rsidRPr="00A472FC">
        <w:rPr>
          <w:rFonts w:ascii="Times New Roman" w:eastAsiaTheme="minorEastAsia" w:hAnsi="Times New Roman" w:cs="Times New Roman"/>
          <w:i/>
        </w:rPr>
        <w:t>intellectus</w:t>
      </w:r>
      <w:proofErr w:type="spellEnd"/>
      <w:r w:rsidR="00E212D3" w:rsidRPr="00A472FC">
        <w:rPr>
          <w:rFonts w:ascii="Times New Roman" w:eastAsiaTheme="minorEastAsia" w:hAnsi="Times New Roman" w:cs="Times New Roman"/>
          <w:i/>
        </w:rPr>
        <w:t xml:space="preserve"> </w:t>
      </w:r>
      <w:proofErr w:type="spellStart"/>
      <w:r w:rsidR="00E212D3" w:rsidRPr="00A472FC">
        <w:rPr>
          <w:rFonts w:ascii="Times New Roman" w:eastAsiaTheme="minorEastAsia" w:hAnsi="Times New Roman" w:cs="Times New Roman"/>
          <w:i/>
        </w:rPr>
        <w:t>adeptus</w:t>
      </w:r>
      <w:proofErr w:type="spellEnd"/>
      <w:r w:rsidR="00E212D3" w:rsidRPr="00A472FC">
        <w:rPr>
          <w:rFonts w:ascii="Times New Roman" w:eastAsiaTheme="minorEastAsia" w:hAnsi="Times New Roman" w:cs="Times New Roman"/>
          <w:i/>
        </w:rPr>
        <w:t xml:space="preserve">, </w:t>
      </w:r>
      <w:r w:rsidR="00E212D3" w:rsidRPr="00A472FC">
        <w:rPr>
          <w:rFonts w:ascii="Times New Roman" w:eastAsiaTheme="minorEastAsia" w:hAnsi="Times New Roman" w:cs="Times New Roman"/>
        </w:rPr>
        <w:t xml:space="preserve">or acquired intellect, while the third </w:t>
      </w:r>
      <w:proofErr w:type="spellStart"/>
      <w:r w:rsidR="00E212D3" w:rsidRPr="00A472FC">
        <w:rPr>
          <w:rFonts w:ascii="Times New Roman" w:eastAsiaTheme="minorEastAsia" w:hAnsi="Times New Roman" w:cs="Times New Roman"/>
          <w:i/>
        </w:rPr>
        <w:t>intellectus</w:t>
      </w:r>
      <w:proofErr w:type="spellEnd"/>
      <w:r w:rsidR="00E212D3" w:rsidRPr="00A472FC">
        <w:rPr>
          <w:rFonts w:ascii="Times New Roman" w:eastAsiaTheme="minorEastAsia" w:hAnsi="Times New Roman" w:cs="Times New Roman"/>
          <w:i/>
        </w:rPr>
        <w:t xml:space="preserve"> in </w:t>
      </w:r>
      <w:proofErr w:type="spellStart"/>
      <w:r w:rsidR="00E212D3" w:rsidRPr="00A472FC">
        <w:rPr>
          <w:rFonts w:ascii="Times New Roman" w:eastAsiaTheme="minorEastAsia" w:hAnsi="Times New Roman" w:cs="Times New Roman"/>
          <w:i/>
        </w:rPr>
        <w:t>effectu</w:t>
      </w:r>
      <w:proofErr w:type="spellEnd"/>
      <w:r w:rsidR="00E212D3" w:rsidRPr="00A472FC">
        <w:rPr>
          <w:rFonts w:ascii="Times New Roman" w:eastAsiaTheme="minorEastAsia" w:hAnsi="Times New Roman" w:cs="Times New Roman"/>
          <w:i/>
        </w:rPr>
        <w:t xml:space="preserve">, </w:t>
      </w:r>
      <w:r w:rsidR="00E212D3" w:rsidRPr="00A472FC">
        <w:rPr>
          <w:rFonts w:ascii="Times New Roman" w:eastAsiaTheme="minorEastAsia" w:hAnsi="Times New Roman" w:cs="Times New Roman"/>
        </w:rPr>
        <w:t>is the one that has made those connections previously but is not taking advantage of them presently</w:t>
      </w:r>
      <w:r w:rsidR="00E212D3" w:rsidRPr="00A472FC">
        <w:rPr>
          <w:rFonts w:ascii="Times New Roman" w:hAnsi="Times New Roman" w:cs="Times New Roman"/>
          <w:i/>
          <w:color w:val="000000" w:themeColor="text1"/>
        </w:rPr>
        <w:t>.</w:t>
      </w:r>
      <w:r w:rsidR="00E212D3" w:rsidRPr="00A472FC">
        <w:rPr>
          <w:rStyle w:val="FootnoteReference"/>
          <w:rFonts w:ascii="Times New Roman" w:hAnsi="Times New Roman" w:cs="Times New Roman"/>
          <w:color w:val="000000" w:themeColor="text1"/>
        </w:rPr>
        <w:footnoteReference w:id="760"/>
      </w:r>
      <w:r w:rsidR="00E212D3" w:rsidRPr="00A472FC">
        <w:rPr>
          <w:rFonts w:ascii="Times New Roman" w:hAnsi="Times New Roman" w:cs="Times New Roman"/>
          <w:i/>
          <w:color w:val="000000" w:themeColor="text1"/>
        </w:rPr>
        <w:t xml:space="preserve"> </w:t>
      </w:r>
    </w:p>
    <w:p w14:paraId="5F7C858C" w14:textId="3D61AC98" w:rsidR="00E212D3" w:rsidRPr="00A472FC" w:rsidRDefault="00E212D3" w:rsidP="00E212D3">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After elaborating on these four intellects, John invokes another approach to explaining the work of the possible intellect, which was circulating in some texts at the time, above all, Anonymous Callus, namely, through an analogy to syllogistic reasoning</w:t>
      </w:r>
      <w:r w:rsidR="001E1D57" w:rsidRPr="00A472FC">
        <w:rPr>
          <w:rFonts w:ascii="Times New Roman" w:hAnsi="Times New Roman" w:cs="Times New Roman"/>
          <w:color w:val="000000" w:themeColor="text1"/>
        </w:rPr>
        <w:t xml:space="preserve">, which stems also from the </w:t>
      </w:r>
      <w:proofErr w:type="spellStart"/>
      <w:r w:rsidR="007A463D" w:rsidRPr="00A472FC">
        <w:rPr>
          <w:rFonts w:ascii="Times New Roman" w:hAnsi="Times New Roman" w:cs="Times New Roman"/>
          <w:color w:val="000000" w:themeColor="text1"/>
        </w:rPr>
        <w:t>Avicennian</w:t>
      </w:r>
      <w:proofErr w:type="spellEnd"/>
      <w:r w:rsidR="001E1D57" w:rsidRPr="00A472FC">
        <w:rPr>
          <w:rFonts w:ascii="Times New Roman" w:hAnsi="Times New Roman" w:cs="Times New Roman"/>
          <w:color w:val="000000" w:themeColor="text1"/>
        </w:rPr>
        <w:t xml:space="preserve"> tradition</w:t>
      </w:r>
      <w:r w:rsidRPr="00A472FC">
        <w:rPr>
          <w:rFonts w:ascii="Times New Roman" w:hAnsi="Times New Roman" w:cs="Times New Roman"/>
          <w:color w:val="000000" w:themeColor="text1"/>
        </w:rPr>
        <w:t>.</w:t>
      </w:r>
      <w:r w:rsidRPr="00A472FC">
        <w:rPr>
          <w:rStyle w:val="FootnoteReference"/>
          <w:rFonts w:ascii="Times New Roman" w:hAnsi="Times New Roman" w:cs="Times New Roman"/>
          <w:color w:val="000000" w:themeColor="text1"/>
        </w:rPr>
        <w:footnoteReference w:id="761"/>
      </w:r>
      <w:r w:rsidRPr="00A472FC">
        <w:rPr>
          <w:rFonts w:ascii="Times New Roman" w:hAnsi="Times New Roman" w:cs="Times New Roman"/>
          <w:color w:val="000000" w:themeColor="text1"/>
        </w:rPr>
        <w:t xml:space="preserve"> This firstly involves the ‘quiddities’ of knowledge, for example, </w:t>
      </w:r>
      <w:r w:rsidRPr="00A472FC">
        <w:rPr>
          <w:rFonts w:ascii="Times New Roman" w:hAnsi="Times New Roman" w:cs="Times New Roman"/>
          <w:i/>
          <w:color w:val="000000" w:themeColor="text1"/>
        </w:rPr>
        <w:t xml:space="preserve">this </w:t>
      </w:r>
      <w:r w:rsidRPr="00A472FC">
        <w:rPr>
          <w:rFonts w:ascii="Times New Roman" w:hAnsi="Times New Roman" w:cs="Times New Roman"/>
          <w:color w:val="000000" w:themeColor="text1"/>
        </w:rPr>
        <w:t xml:space="preserve">whole and </w:t>
      </w:r>
      <w:r w:rsidRPr="00A472FC">
        <w:rPr>
          <w:rFonts w:ascii="Times New Roman" w:hAnsi="Times New Roman" w:cs="Times New Roman"/>
          <w:i/>
          <w:color w:val="000000" w:themeColor="text1"/>
        </w:rPr>
        <w:t xml:space="preserve">this </w:t>
      </w:r>
      <w:r w:rsidRPr="00A472FC">
        <w:rPr>
          <w:rFonts w:ascii="Times New Roman" w:hAnsi="Times New Roman" w:cs="Times New Roman"/>
          <w:color w:val="000000" w:themeColor="text1"/>
        </w:rPr>
        <w:t xml:space="preserve">part, otherwise known as sense forms, which the possible intellect must obtain from the imagination, via the material intellect. Then come the principles possessed in the possible intellect, in specific, the </w:t>
      </w:r>
      <w:proofErr w:type="spellStart"/>
      <w:r w:rsidRPr="00A472FC">
        <w:rPr>
          <w:rFonts w:ascii="Times New Roman" w:hAnsi="Times New Roman" w:cs="Times New Roman"/>
          <w:i/>
          <w:color w:val="000000" w:themeColor="text1"/>
        </w:rPr>
        <w:t>intellectus</w:t>
      </w:r>
      <w:proofErr w:type="spellEnd"/>
      <w:r w:rsidRPr="00A472FC">
        <w:rPr>
          <w:rFonts w:ascii="Times New Roman" w:hAnsi="Times New Roman" w:cs="Times New Roman"/>
          <w:i/>
          <w:color w:val="000000" w:themeColor="text1"/>
        </w:rPr>
        <w:t xml:space="preserve"> in </w:t>
      </w:r>
      <w:proofErr w:type="spellStart"/>
      <w:r w:rsidRPr="00A472FC">
        <w:rPr>
          <w:rFonts w:ascii="Times New Roman" w:hAnsi="Times New Roman" w:cs="Times New Roman"/>
          <w:i/>
          <w:color w:val="000000" w:themeColor="text1"/>
        </w:rPr>
        <w:t>habitu</w:t>
      </w:r>
      <w:proofErr w:type="spellEnd"/>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 xml:space="preserve">such as ‘the whole is greater than the part.’ </w:t>
      </w:r>
    </w:p>
    <w:p w14:paraId="471C3A4E" w14:textId="1F07BE0B" w:rsidR="00E212D3" w:rsidRPr="00A472FC" w:rsidRDefault="00E212D3" w:rsidP="00E212D3">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Finally, there are the conclusions that are drawn from those principles about the quiddities, such as </w:t>
      </w:r>
      <w:r w:rsidRPr="00A472FC">
        <w:rPr>
          <w:rFonts w:ascii="Times New Roman" w:hAnsi="Times New Roman" w:cs="Times New Roman"/>
          <w:i/>
          <w:color w:val="000000" w:themeColor="text1"/>
        </w:rPr>
        <w:t xml:space="preserve">this </w:t>
      </w:r>
      <w:r w:rsidRPr="00A472FC">
        <w:rPr>
          <w:rFonts w:ascii="Times New Roman" w:hAnsi="Times New Roman" w:cs="Times New Roman"/>
          <w:color w:val="000000" w:themeColor="text1"/>
        </w:rPr>
        <w:t xml:space="preserve">whole is greater than </w:t>
      </w:r>
      <w:r w:rsidRPr="00A472FC">
        <w:rPr>
          <w:rFonts w:ascii="Times New Roman" w:hAnsi="Times New Roman" w:cs="Times New Roman"/>
          <w:i/>
          <w:color w:val="000000" w:themeColor="text1"/>
        </w:rPr>
        <w:t xml:space="preserve">this </w:t>
      </w:r>
      <w:r w:rsidRPr="00A472FC">
        <w:rPr>
          <w:rFonts w:ascii="Times New Roman" w:hAnsi="Times New Roman" w:cs="Times New Roman"/>
          <w:color w:val="000000" w:themeColor="text1"/>
        </w:rPr>
        <w:t>part.</w:t>
      </w:r>
      <w:r w:rsidRPr="00A472FC">
        <w:rPr>
          <w:rStyle w:val="FootnoteReference"/>
          <w:rFonts w:ascii="Times New Roman" w:hAnsi="Times New Roman" w:cs="Times New Roman"/>
          <w:color w:val="000000" w:themeColor="text1"/>
        </w:rPr>
        <w:footnoteReference w:id="762"/>
      </w:r>
      <w:r w:rsidRPr="00A472FC">
        <w:rPr>
          <w:rFonts w:ascii="Times New Roman" w:hAnsi="Times New Roman" w:cs="Times New Roman"/>
          <w:color w:val="000000" w:themeColor="text1"/>
        </w:rPr>
        <w:t xml:space="preserve"> In drawing these conclusions, John reiterates that the possible intellect becomes ‘formed’ or complete with respect to the sense forms that it originally drew from the imagination, after the manner of Avicenna’s </w:t>
      </w:r>
      <w:proofErr w:type="spellStart"/>
      <w:r w:rsidRPr="00A472FC">
        <w:rPr>
          <w:rFonts w:ascii="Times New Roman" w:hAnsi="Times New Roman" w:cs="Times New Roman"/>
          <w:i/>
          <w:color w:val="000000" w:themeColor="text1"/>
        </w:rPr>
        <w:t>intellectus</w:t>
      </w:r>
      <w:proofErr w:type="spellEnd"/>
      <w:r w:rsidRPr="00A472FC">
        <w:rPr>
          <w:rFonts w:ascii="Times New Roman" w:hAnsi="Times New Roman" w:cs="Times New Roman"/>
          <w:i/>
          <w:color w:val="000000" w:themeColor="text1"/>
        </w:rPr>
        <w:t xml:space="preserve"> in </w:t>
      </w:r>
      <w:proofErr w:type="spellStart"/>
      <w:r w:rsidRPr="00A472FC">
        <w:rPr>
          <w:rFonts w:ascii="Times New Roman" w:hAnsi="Times New Roman" w:cs="Times New Roman"/>
          <w:i/>
          <w:color w:val="000000" w:themeColor="text1"/>
        </w:rPr>
        <w:t>effectu</w:t>
      </w:r>
      <w:proofErr w:type="spellEnd"/>
      <w:r w:rsidRPr="00A472FC">
        <w:rPr>
          <w:rFonts w:ascii="Times New Roman" w:hAnsi="Times New Roman" w:cs="Times New Roman"/>
          <w:color w:val="000000" w:themeColor="text1"/>
        </w:rPr>
        <w:t>. Thus, John highlights again that the work of the possible intellect is two-fold; first it involves induction, that is</w:t>
      </w:r>
      <w:r w:rsidR="000756CD" w:rsidRPr="00A472FC">
        <w:rPr>
          <w:rFonts w:ascii="Times New Roman" w:hAnsi="Times New Roman" w:cs="Times New Roman"/>
          <w:color w:val="000000" w:themeColor="text1"/>
        </w:rPr>
        <w:t>,</w:t>
      </w:r>
      <w:r w:rsidRPr="00A472FC">
        <w:rPr>
          <w:rFonts w:ascii="Times New Roman" w:hAnsi="Times New Roman" w:cs="Times New Roman"/>
          <w:color w:val="000000" w:themeColor="text1"/>
        </w:rPr>
        <w:t xml:space="preserve"> </w:t>
      </w:r>
      <w:r w:rsidR="009A6BBB" w:rsidRPr="00A472FC">
        <w:rPr>
          <w:rFonts w:ascii="Times New Roman" w:hAnsi="Times New Roman" w:cs="Times New Roman"/>
          <w:color w:val="000000" w:themeColor="text1"/>
        </w:rPr>
        <w:t xml:space="preserve">‘a conversion through consideration to the sensible forms that the form may </w:t>
      </w:r>
      <w:r w:rsidR="00A65F82" w:rsidRPr="00A472FC">
        <w:rPr>
          <w:rFonts w:ascii="Times New Roman" w:hAnsi="Times New Roman" w:cs="Times New Roman"/>
          <w:color w:val="000000" w:themeColor="text1"/>
        </w:rPr>
        <w:t xml:space="preserve">be </w:t>
      </w:r>
      <w:r w:rsidR="009A6BBB" w:rsidRPr="00A472FC">
        <w:rPr>
          <w:rFonts w:ascii="Times New Roman" w:hAnsi="Times New Roman" w:cs="Times New Roman"/>
          <w:color w:val="000000" w:themeColor="text1"/>
        </w:rPr>
        <w:t>abstracted through actions of the light of the agent intellect, by which it might be informed and through which it differs from the senses.’</w:t>
      </w:r>
      <w:r w:rsidR="009A6BBB" w:rsidRPr="00A472FC">
        <w:rPr>
          <w:rStyle w:val="FootnoteReference"/>
          <w:rFonts w:ascii="Times New Roman" w:hAnsi="Times New Roman" w:cs="Times New Roman"/>
          <w:color w:val="000000" w:themeColor="text1"/>
        </w:rPr>
        <w:footnoteReference w:id="763"/>
      </w:r>
      <w:r w:rsidR="009A6BBB" w:rsidRPr="00A472FC">
        <w:rPr>
          <w:rFonts w:ascii="Times New Roman" w:hAnsi="Times New Roman" w:cs="Times New Roman"/>
          <w:color w:val="000000" w:themeColor="text1"/>
        </w:rPr>
        <w:t xml:space="preserve"> </w:t>
      </w:r>
      <w:r w:rsidRPr="00A472FC">
        <w:rPr>
          <w:rFonts w:ascii="Times New Roman" w:hAnsi="Times New Roman" w:cs="Times New Roman"/>
          <w:color w:val="000000" w:themeColor="text1"/>
        </w:rPr>
        <w:t>Next, there is the reception of the form</w:t>
      </w:r>
      <w:r w:rsidR="00A77D5B" w:rsidRPr="00A472FC">
        <w:rPr>
          <w:rFonts w:ascii="Times New Roman" w:hAnsi="Times New Roman" w:cs="Times New Roman"/>
          <w:color w:val="000000" w:themeColor="text1"/>
        </w:rPr>
        <w:t xml:space="preserve"> that</w:t>
      </w:r>
      <w:r w:rsidR="002B6ED8" w:rsidRPr="00A472FC">
        <w:rPr>
          <w:rFonts w:ascii="Times New Roman" w:hAnsi="Times New Roman" w:cs="Times New Roman"/>
          <w:color w:val="000000" w:themeColor="text1"/>
        </w:rPr>
        <w:t xml:space="preserve"> </w:t>
      </w:r>
      <w:r w:rsidRPr="00A472FC">
        <w:rPr>
          <w:rFonts w:ascii="Times New Roman" w:hAnsi="Times New Roman" w:cs="Times New Roman"/>
          <w:color w:val="000000" w:themeColor="text1"/>
        </w:rPr>
        <w:t>has been abstracted by the agent intellect.</w:t>
      </w:r>
    </w:p>
    <w:p w14:paraId="23528034" w14:textId="2A73339F" w:rsidR="001F04F8" w:rsidRPr="00A472FC" w:rsidRDefault="001F04F8" w:rsidP="001F04F8">
      <w:pPr>
        <w:ind w:right="-52"/>
        <w:rPr>
          <w:rFonts w:ascii="Times New Roman" w:hAnsi="Times New Roman" w:cs="Times New Roman"/>
          <w:color w:val="000000" w:themeColor="text1"/>
        </w:rPr>
      </w:pPr>
    </w:p>
    <w:p w14:paraId="2090355A" w14:textId="74AE683F" w:rsidR="001F04F8" w:rsidRPr="00A472FC" w:rsidRDefault="00390094" w:rsidP="001F04F8">
      <w:pPr>
        <w:ind w:right="-52"/>
        <w:rPr>
          <w:rFonts w:ascii="Times New Roman" w:hAnsi="Times New Roman" w:cs="Times New Roman"/>
          <w:color w:val="000000" w:themeColor="text1"/>
          <w:u w:val="single"/>
        </w:rPr>
      </w:pPr>
      <w:r w:rsidRPr="00A472FC">
        <w:rPr>
          <w:rFonts w:ascii="Times New Roman" w:hAnsi="Times New Roman" w:cs="Times New Roman"/>
          <w:color w:val="000000" w:themeColor="text1"/>
          <w:u w:val="single"/>
        </w:rPr>
        <w:t xml:space="preserve">The </w:t>
      </w:r>
      <w:r w:rsidR="001F04F8" w:rsidRPr="00A472FC">
        <w:rPr>
          <w:rFonts w:ascii="Times New Roman" w:hAnsi="Times New Roman" w:cs="Times New Roman"/>
          <w:color w:val="000000" w:themeColor="text1"/>
          <w:u w:val="single"/>
        </w:rPr>
        <w:t xml:space="preserve">Primary </w:t>
      </w:r>
      <w:proofErr w:type="spellStart"/>
      <w:r w:rsidR="001F04F8" w:rsidRPr="00A472FC">
        <w:rPr>
          <w:rFonts w:ascii="Times New Roman" w:hAnsi="Times New Roman" w:cs="Times New Roman"/>
          <w:color w:val="000000" w:themeColor="text1"/>
          <w:u w:val="single"/>
        </w:rPr>
        <w:t>Intelligibles</w:t>
      </w:r>
      <w:proofErr w:type="spellEnd"/>
      <w:r w:rsidR="001F04F8" w:rsidRPr="00A472FC">
        <w:rPr>
          <w:rFonts w:ascii="Times New Roman" w:hAnsi="Times New Roman" w:cs="Times New Roman"/>
          <w:color w:val="000000" w:themeColor="text1"/>
          <w:u w:val="single"/>
        </w:rPr>
        <w:t xml:space="preserve"> and Divine Illumination</w:t>
      </w:r>
    </w:p>
    <w:p w14:paraId="4B96659C" w14:textId="77777777" w:rsidR="001F04F8" w:rsidRPr="00A472FC" w:rsidRDefault="001F04F8" w:rsidP="001F04F8">
      <w:pPr>
        <w:ind w:right="-52"/>
        <w:rPr>
          <w:rFonts w:ascii="Times New Roman" w:hAnsi="Times New Roman" w:cs="Times New Roman"/>
          <w:color w:val="000000" w:themeColor="text1"/>
        </w:rPr>
      </w:pPr>
    </w:p>
    <w:p w14:paraId="20F59223" w14:textId="16113EC7" w:rsidR="00E212D3" w:rsidRPr="00A472FC" w:rsidRDefault="00E212D3" w:rsidP="00E212D3">
      <w:pPr>
        <w:ind w:right="-52" w:firstLine="720"/>
        <w:rPr>
          <w:rFonts w:ascii="Times New Roman" w:hAnsi="Times New Roman" w:cs="Times New Roman"/>
          <w:u w:color="000000" w:themeColor="text1"/>
        </w:rPr>
      </w:pPr>
      <w:r w:rsidRPr="00A472FC">
        <w:rPr>
          <w:rFonts w:ascii="Times New Roman" w:hAnsi="Times New Roman" w:cs="Times New Roman"/>
          <w:color w:val="000000" w:themeColor="text1"/>
        </w:rPr>
        <w:t xml:space="preserve">Although John of La Rochelle does not describe the principles that facilitate this achievement in terms of ‘primary </w:t>
      </w:r>
      <w:proofErr w:type="spellStart"/>
      <w:r w:rsidRPr="00A472FC">
        <w:rPr>
          <w:rFonts w:ascii="Times New Roman" w:hAnsi="Times New Roman" w:cs="Times New Roman"/>
          <w:color w:val="000000" w:themeColor="text1"/>
        </w:rPr>
        <w:t>intelligibles</w:t>
      </w:r>
      <w:proofErr w:type="spellEnd"/>
      <w:r w:rsidRPr="00A472FC">
        <w:rPr>
          <w:rFonts w:ascii="Times New Roman" w:hAnsi="Times New Roman" w:cs="Times New Roman"/>
          <w:color w:val="000000" w:themeColor="text1"/>
        </w:rPr>
        <w:t xml:space="preserve">’ in his personal works, </w:t>
      </w:r>
      <w:r w:rsidRPr="00A472FC">
        <w:rPr>
          <w:rFonts w:ascii="Times New Roman" w:eastAsiaTheme="minorEastAsia" w:hAnsi="Times New Roman" w:cs="Times New Roman"/>
        </w:rPr>
        <w:t xml:space="preserve">these innate concepts do play a significant role in the </w:t>
      </w:r>
      <w:r w:rsidRPr="00A472FC">
        <w:rPr>
          <w:rFonts w:ascii="Times New Roman" w:eastAsiaTheme="minorEastAsia" w:hAnsi="Times New Roman" w:cs="Times New Roman"/>
          <w:i/>
        </w:rPr>
        <w:t xml:space="preserve">Summa </w:t>
      </w:r>
      <w:proofErr w:type="spellStart"/>
      <w:r w:rsidRPr="00A472FC">
        <w:rPr>
          <w:rFonts w:ascii="Times New Roman" w:eastAsiaTheme="minorEastAsia" w:hAnsi="Times New Roman" w:cs="Times New Roman"/>
          <w:i/>
        </w:rPr>
        <w:t>Halensis</w:t>
      </w:r>
      <w:proofErr w:type="spellEnd"/>
      <w:r w:rsidRPr="00A472FC">
        <w:rPr>
          <w:rFonts w:ascii="Times New Roman" w:eastAsiaTheme="minorEastAsia" w:hAnsi="Times New Roman" w:cs="Times New Roman"/>
          <w:i/>
        </w:rPr>
        <w:t xml:space="preserve">, </w:t>
      </w:r>
      <w:r w:rsidRPr="00A472FC">
        <w:rPr>
          <w:rFonts w:ascii="Times New Roman" w:eastAsiaTheme="minorEastAsia" w:hAnsi="Times New Roman" w:cs="Times New Roman"/>
        </w:rPr>
        <w:t xml:space="preserve">which enumerates </w:t>
      </w:r>
      <w:r w:rsidR="0080647A" w:rsidRPr="00A472FC">
        <w:rPr>
          <w:rFonts w:ascii="Times New Roman" w:eastAsiaTheme="minorEastAsia" w:hAnsi="Times New Roman" w:cs="Times New Roman"/>
        </w:rPr>
        <w:t>them</w:t>
      </w:r>
      <w:r w:rsidRPr="00A472FC">
        <w:rPr>
          <w:rFonts w:ascii="Times New Roman" w:eastAsiaTheme="minorEastAsia" w:hAnsi="Times New Roman" w:cs="Times New Roman"/>
        </w:rPr>
        <w:t xml:space="preserve"> following a model that had been introduced by Philip the Chancellor, according to which the first transcendental, namely, being (</w:t>
      </w:r>
      <w:r w:rsidRPr="00A472FC">
        <w:rPr>
          <w:rFonts w:ascii="Times New Roman" w:eastAsiaTheme="minorEastAsia" w:hAnsi="Times New Roman" w:cs="Times New Roman"/>
          <w:i/>
        </w:rPr>
        <w:t>ens</w:t>
      </w:r>
      <w:r w:rsidRPr="00A472FC">
        <w:rPr>
          <w:rFonts w:ascii="Times New Roman" w:eastAsiaTheme="minorEastAsia" w:hAnsi="Times New Roman" w:cs="Times New Roman"/>
        </w:rPr>
        <w:t xml:space="preserve">), is </w:t>
      </w:r>
      <w:proofErr w:type="spellStart"/>
      <w:r w:rsidRPr="00A472FC">
        <w:rPr>
          <w:rFonts w:ascii="Times New Roman" w:eastAsiaTheme="minorEastAsia" w:hAnsi="Times New Roman" w:cs="Times New Roman"/>
        </w:rPr>
        <w:t>characterized</w:t>
      </w:r>
      <w:proofErr w:type="spellEnd"/>
      <w:r w:rsidRPr="00A472FC">
        <w:rPr>
          <w:rFonts w:ascii="Times New Roman" w:eastAsiaTheme="minorEastAsia" w:hAnsi="Times New Roman" w:cs="Times New Roman"/>
        </w:rPr>
        <w:t xml:space="preserve"> by unity, truth, and goodness, which </w:t>
      </w:r>
      <w:r w:rsidR="007A428B" w:rsidRPr="00A472FC">
        <w:rPr>
          <w:rFonts w:ascii="Times New Roman" w:eastAsiaTheme="minorEastAsia" w:hAnsi="Times New Roman" w:cs="Times New Roman"/>
        </w:rPr>
        <w:t>correspond to the first, second, and third persons of the Trinity—</w:t>
      </w:r>
      <w:r w:rsidR="00226063" w:rsidRPr="00A472FC">
        <w:rPr>
          <w:rFonts w:ascii="Times New Roman" w:eastAsiaTheme="minorEastAsia" w:hAnsi="Times New Roman" w:cs="Times New Roman"/>
        </w:rPr>
        <w:t xml:space="preserve">or </w:t>
      </w:r>
      <w:r w:rsidR="007A428B" w:rsidRPr="00A472FC">
        <w:rPr>
          <w:rFonts w:ascii="Times New Roman" w:eastAsiaTheme="minorEastAsia" w:hAnsi="Times New Roman" w:cs="Times New Roman"/>
        </w:rPr>
        <w:t>Father, Son, and Spirit</w:t>
      </w:r>
      <w:r w:rsidR="00461F9F" w:rsidRPr="00A472FC">
        <w:rPr>
          <w:rFonts w:ascii="Times New Roman" w:eastAsiaTheme="minorEastAsia" w:hAnsi="Times New Roman" w:cs="Times New Roman"/>
        </w:rPr>
        <w:t xml:space="preserve">, who </w:t>
      </w:r>
      <w:r w:rsidR="002B6ED8" w:rsidRPr="00A472FC">
        <w:rPr>
          <w:rFonts w:ascii="Times New Roman" w:eastAsiaTheme="minorEastAsia" w:hAnsi="Times New Roman" w:cs="Times New Roman"/>
        </w:rPr>
        <w:t xml:space="preserve">respectively </w:t>
      </w:r>
      <w:r w:rsidR="00461F9F" w:rsidRPr="00A472FC">
        <w:rPr>
          <w:rFonts w:ascii="Times New Roman" w:eastAsiaTheme="minorEastAsia" w:hAnsi="Times New Roman" w:cs="Times New Roman"/>
        </w:rPr>
        <w:t>act as the efficient, formal, and final cause of all things</w:t>
      </w:r>
      <w:r w:rsidRPr="00A472FC">
        <w:rPr>
          <w:rFonts w:ascii="Times New Roman" w:eastAsiaTheme="minorEastAsia" w:hAnsi="Times New Roman" w:cs="Times New Roman"/>
        </w:rPr>
        <w:t>.</w:t>
      </w:r>
      <w:r w:rsidRPr="00A472FC">
        <w:rPr>
          <w:rFonts w:ascii="Times New Roman" w:eastAsiaTheme="minorEastAsia" w:hAnsi="Times New Roman" w:cs="Times New Roman"/>
          <w:u w:color="000000" w:themeColor="text1"/>
          <w:vertAlign w:val="superscript"/>
        </w:rPr>
        <w:footnoteReference w:id="764"/>
      </w:r>
      <w:r w:rsidRPr="00A472FC">
        <w:rPr>
          <w:rFonts w:ascii="Times New Roman" w:eastAsiaTheme="minorEastAsia" w:hAnsi="Times New Roman" w:cs="Times New Roman"/>
        </w:rPr>
        <w:t xml:space="preserve"> In a development on Philip’s account, clearly inspired by Avicenna, the </w:t>
      </w:r>
      <w:proofErr w:type="spellStart"/>
      <w:r w:rsidRPr="00A472FC">
        <w:rPr>
          <w:rFonts w:ascii="Times New Roman" w:eastAsiaTheme="minorEastAsia" w:hAnsi="Times New Roman" w:cs="Times New Roman"/>
        </w:rPr>
        <w:t>Summists</w:t>
      </w:r>
      <w:proofErr w:type="spellEnd"/>
      <w:r w:rsidRPr="00A472FC">
        <w:rPr>
          <w:rFonts w:ascii="Times New Roman" w:eastAsiaTheme="minorEastAsia" w:hAnsi="Times New Roman" w:cs="Times New Roman"/>
        </w:rPr>
        <w:t xml:space="preserve"> argue that this Trinity does not merely capture the key qualities of being</w:t>
      </w:r>
      <w:r w:rsidR="00075967" w:rsidRPr="00A472FC">
        <w:rPr>
          <w:rFonts w:ascii="Times New Roman" w:eastAsiaTheme="minorEastAsia" w:hAnsi="Times New Roman" w:cs="Times New Roman"/>
        </w:rPr>
        <w:t xml:space="preserve">s, but it </w:t>
      </w:r>
      <w:r w:rsidRPr="00A472FC">
        <w:rPr>
          <w:rFonts w:ascii="Times New Roman" w:eastAsiaTheme="minorEastAsia" w:hAnsi="Times New Roman" w:cs="Times New Roman"/>
        </w:rPr>
        <w:t xml:space="preserve">is also impressed upon the human mind, with unity, truth, and goodness </w:t>
      </w:r>
      <w:r w:rsidR="007A428B" w:rsidRPr="00A472FC">
        <w:rPr>
          <w:rFonts w:ascii="Times New Roman" w:eastAsiaTheme="minorEastAsia" w:hAnsi="Times New Roman" w:cs="Times New Roman"/>
        </w:rPr>
        <w:t xml:space="preserve">representing an image of the highest Being, the Triune God. </w:t>
      </w:r>
      <w:r w:rsidRPr="00A472FC">
        <w:rPr>
          <w:rStyle w:val="FootnoteReference"/>
          <w:rFonts w:ascii="Times New Roman" w:hAnsi="Times New Roman" w:cs="Times New Roman"/>
          <w:u w:color="000000" w:themeColor="text1"/>
        </w:rPr>
        <w:footnoteReference w:id="765"/>
      </w:r>
      <w:r w:rsidRPr="00A472FC">
        <w:rPr>
          <w:rFonts w:ascii="Times New Roman" w:hAnsi="Times New Roman" w:cs="Times New Roman"/>
          <w:u w:color="000000" w:themeColor="text1"/>
        </w:rPr>
        <w:t xml:space="preserve"> </w:t>
      </w:r>
    </w:p>
    <w:p w14:paraId="0221224F" w14:textId="506B495B" w:rsidR="000B00AD" w:rsidRPr="00A472FC" w:rsidRDefault="007A428B" w:rsidP="000B00AD">
      <w:pPr>
        <w:ind w:right="-52" w:firstLine="720"/>
        <w:rPr>
          <w:rFonts w:ascii="Times New Roman" w:hAnsi="Times New Roman" w:cs="Times New Roman"/>
          <w:color w:val="000000" w:themeColor="text1"/>
        </w:rPr>
      </w:pPr>
      <w:r w:rsidRPr="00A472FC">
        <w:rPr>
          <w:rFonts w:ascii="Times New Roman" w:eastAsiaTheme="minorEastAsia" w:hAnsi="Times New Roman" w:cs="Times New Roman"/>
        </w:rPr>
        <w:lastRenderedPageBreak/>
        <w:t>On account of this image,</w:t>
      </w:r>
      <w:r w:rsidR="00E212D3" w:rsidRPr="00A472FC">
        <w:rPr>
          <w:rFonts w:ascii="Times New Roman" w:eastAsiaTheme="minorEastAsia" w:hAnsi="Times New Roman" w:cs="Times New Roman"/>
        </w:rPr>
        <w:t xml:space="preserve"> human beings are able to know </w:t>
      </w:r>
      <w:r w:rsidR="00E212D3" w:rsidRPr="00A472FC">
        <w:rPr>
          <w:rFonts w:ascii="Times New Roman" w:eastAsiaTheme="minorEastAsia" w:hAnsi="Times New Roman" w:cs="Times New Roman"/>
          <w:u w:color="000000" w:themeColor="text1"/>
        </w:rPr>
        <w:t>any given thing as one, or indivisible in itself and distinct from other beings;</w:t>
      </w:r>
      <w:r w:rsidR="00E212D3" w:rsidRPr="00A472FC">
        <w:rPr>
          <w:rFonts w:ascii="Times New Roman" w:eastAsiaTheme="minorEastAsia" w:hAnsi="Times New Roman" w:cs="Times New Roman"/>
          <w:u w:color="000000" w:themeColor="text1"/>
          <w:vertAlign w:val="superscript"/>
        </w:rPr>
        <w:footnoteReference w:id="766"/>
      </w:r>
      <w:r w:rsidR="00E212D3" w:rsidRPr="00A472FC">
        <w:rPr>
          <w:rFonts w:ascii="Times New Roman" w:eastAsiaTheme="minorEastAsia" w:hAnsi="Times New Roman" w:cs="Times New Roman"/>
          <w:u w:color="000000" w:themeColor="text1"/>
        </w:rPr>
        <w:t xml:space="preserve"> as true, or intelligible in terms of what it is; and good, or fit for a certain purpose.</w:t>
      </w:r>
      <w:r w:rsidR="00E212D3" w:rsidRPr="00A472FC">
        <w:rPr>
          <w:rFonts w:ascii="Times New Roman" w:eastAsiaTheme="minorEastAsia" w:hAnsi="Times New Roman" w:cs="Times New Roman"/>
          <w:u w:color="000000" w:themeColor="text1"/>
          <w:vertAlign w:val="superscript"/>
        </w:rPr>
        <w:footnoteReference w:id="767"/>
      </w:r>
      <w:r w:rsidR="00E212D3" w:rsidRPr="00A472FC">
        <w:rPr>
          <w:rFonts w:ascii="Times New Roman" w:eastAsiaTheme="minorEastAsia" w:hAnsi="Times New Roman" w:cs="Times New Roman"/>
          <w:u w:color="000000" w:themeColor="text1"/>
        </w:rPr>
        <w:t xml:space="preserve"> In other words, they have the cognitive resources to do as Avicenna described when he spoke of abstraction as a matter of </w:t>
      </w:r>
      <w:r w:rsidR="00E212D3" w:rsidRPr="00A472FC">
        <w:rPr>
          <w:rFonts w:ascii="Times New Roman" w:hAnsi="Times New Roman" w:cs="Times New Roman"/>
          <w:color w:val="000000" w:themeColor="text1"/>
        </w:rPr>
        <w:t>stripping away all the material dispositions or attributions of a thing in order to lay bare the form that all things of the same kind have in common.</w:t>
      </w:r>
      <w:r w:rsidR="00E212D3" w:rsidRPr="00A472FC">
        <w:rPr>
          <w:rStyle w:val="FootnoteReference"/>
          <w:rFonts w:ascii="Times New Roman" w:hAnsi="Times New Roman" w:cs="Times New Roman"/>
          <w:color w:val="000000" w:themeColor="text1"/>
        </w:rPr>
        <w:footnoteReference w:id="768"/>
      </w:r>
      <w:r w:rsidRPr="00A472FC">
        <w:rPr>
          <w:rFonts w:ascii="Times New Roman" w:hAnsi="Times New Roman" w:cs="Times New Roman"/>
          <w:color w:val="000000" w:themeColor="text1"/>
        </w:rPr>
        <w:t xml:space="preserve"> </w:t>
      </w:r>
      <w:r w:rsidR="000B00AD" w:rsidRPr="00A472FC">
        <w:rPr>
          <w:rFonts w:ascii="Times New Roman" w:hAnsi="Times New Roman" w:cs="Times New Roman"/>
          <w:color w:val="000000" w:themeColor="text1"/>
        </w:rPr>
        <w:t xml:space="preserve">In a treatise on how we know God, </w:t>
      </w:r>
      <w:r w:rsidR="004C5F9D">
        <w:rPr>
          <w:rFonts w:ascii="Times New Roman" w:hAnsi="Times New Roman" w:cs="Times New Roman"/>
          <w:color w:val="000000" w:themeColor="text1"/>
        </w:rPr>
        <w:t xml:space="preserve">fascinatingly, </w:t>
      </w:r>
      <w:r w:rsidR="000B00AD" w:rsidRPr="00A472FC">
        <w:rPr>
          <w:rFonts w:ascii="Times New Roman" w:hAnsi="Times New Roman" w:cs="Times New Roman"/>
          <w:color w:val="000000" w:themeColor="text1"/>
        </w:rPr>
        <w:t xml:space="preserve">the </w:t>
      </w:r>
      <w:r w:rsidR="000B00AD" w:rsidRPr="00A472FC">
        <w:rPr>
          <w:rFonts w:ascii="Times New Roman" w:hAnsi="Times New Roman" w:cs="Times New Roman"/>
        </w:rPr>
        <w:t xml:space="preserve">Summa invokes Augustine’s distinction between things we can see—which are present right here—and things we believe—which are absent from our sensory or mental vision—in a way that seems to gesture implicitly towards what later Franciscans would describe as the ‘intuitive’ </w:t>
      </w:r>
      <w:r w:rsidR="00BC6974">
        <w:rPr>
          <w:rFonts w:ascii="Times New Roman" w:hAnsi="Times New Roman" w:cs="Times New Roman"/>
        </w:rPr>
        <w:t xml:space="preserve">or immediate </w:t>
      </w:r>
      <w:r w:rsidR="000B00AD" w:rsidRPr="00A472FC">
        <w:rPr>
          <w:rFonts w:ascii="Times New Roman" w:hAnsi="Times New Roman" w:cs="Times New Roman"/>
        </w:rPr>
        <w:t xml:space="preserve">knowledge we have both of the transcendentals and the objects they render intelligible for us, and the ‘abstractive’ or universal knowledge </w:t>
      </w:r>
      <w:r w:rsidR="000B00AD" w:rsidRPr="00A472FC">
        <w:rPr>
          <w:rFonts w:ascii="Times New Roman" w:hAnsi="Times New Roman" w:cs="Times New Roman"/>
          <w:color w:val="000000" w:themeColor="text1"/>
        </w:rPr>
        <w:t>of a form that remains in our minds after the moment of intuitive understanding.</w:t>
      </w:r>
      <w:r w:rsidR="000B00AD" w:rsidRPr="00A472FC">
        <w:rPr>
          <w:rStyle w:val="FootnoteReference"/>
          <w:rFonts w:ascii="Times New Roman" w:hAnsi="Times New Roman" w:cs="Times New Roman"/>
          <w:color w:val="000000" w:themeColor="text1"/>
        </w:rPr>
        <w:footnoteReference w:id="769"/>
      </w:r>
      <w:r w:rsidR="000B00AD" w:rsidRPr="00A472FC">
        <w:rPr>
          <w:rFonts w:ascii="Times New Roman" w:hAnsi="Times New Roman" w:cs="Times New Roman"/>
          <w:color w:val="000000" w:themeColor="text1"/>
        </w:rPr>
        <w:t xml:space="preserve"> </w:t>
      </w:r>
    </w:p>
    <w:p w14:paraId="0632C325" w14:textId="1BF78257" w:rsidR="0014189F" w:rsidRPr="00A472FC" w:rsidRDefault="000B00AD" w:rsidP="00D753C3">
      <w:pPr>
        <w:ind w:right="-52" w:firstLine="720"/>
        <w:rPr>
          <w:rFonts w:ascii="Times New Roman" w:hAnsi="Times New Roman" w:cs="Times New Roman"/>
        </w:rPr>
      </w:pPr>
      <w:r w:rsidRPr="00A472FC">
        <w:rPr>
          <w:rFonts w:ascii="Times New Roman" w:hAnsi="Times New Roman" w:cs="Times New Roman"/>
          <w:color w:val="000000" w:themeColor="text1"/>
        </w:rPr>
        <w:t>To know such a form correctly</w:t>
      </w:r>
      <w:r w:rsidR="00CC4826" w:rsidRPr="00A472FC">
        <w:rPr>
          <w:rFonts w:ascii="Times New Roman" w:hAnsi="Times New Roman" w:cs="Times New Roman"/>
          <w:color w:val="000000" w:themeColor="text1"/>
        </w:rPr>
        <w:t xml:space="preserve">—in terms of its unity, truth, and goodness, but in this case especially in terms of its truth—is for the </w:t>
      </w:r>
      <w:proofErr w:type="spellStart"/>
      <w:r w:rsidR="00CC4826" w:rsidRPr="00A472FC">
        <w:rPr>
          <w:rFonts w:ascii="Times New Roman" w:hAnsi="Times New Roman" w:cs="Times New Roman"/>
          <w:color w:val="000000" w:themeColor="text1"/>
        </w:rPr>
        <w:t>Summist</w:t>
      </w:r>
      <w:proofErr w:type="spellEnd"/>
      <w:r w:rsidR="00CC4826" w:rsidRPr="00A472FC">
        <w:rPr>
          <w:rFonts w:ascii="Times New Roman" w:hAnsi="Times New Roman" w:cs="Times New Roman"/>
          <w:color w:val="000000" w:themeColor="text1"/>
        </w:rPr>
        <w:t xml:space="preserve"> ultimately to know the thing in relation to the divine idea after which it is modelled. </w:t>
      </w:r>
      <w:r w:rsidR="00580207" w:rsidRPr="00A472FC">
        <w:rPr>
          <w:rFonts w:ascii="Times New Roman" w:hAnsi="Times New Roman" w:cs="Times New Roman"/>
          <w:color w:val="000000" w:themeColor="text1"/>
        </w:rPr>
        <w:t>In affirming this, the</w:t>
      </w:r>
      <w:r w:rsidR="00215870" w:rsidRPr="00A472FC">
        <w:rPr>
          <w:rFonts w:ascii="Times New Roman" w:hAnsi="Times New Roman" w:cs="Times New Roman"/>
          <w:color w:val="000000" w:themeColor="text1"/>
        </w:rPr>
        <w:t xml:space="preserve"> Summa</w:t>
      </w:r>
      <w:r w:rsidR="00580207" w:rsidRPr="00A472FC">
        <w:rPr>
          <w:rFonts w:ascii="Times New Roman" w:hAnsi="Times New Roman" w:cs="Times New Roman"/>
          <w:color w:val="000000" w:themeColor="text1"/>
        </w:rPr>
        <w:t xml:space="preserve"> hints at its</w:t>
      </w:r>
      <w:r w:rsidR="00215870" w:rsidRPr="00A472FC">
        <w:rPr>
          <w:rFonts w:ascii="Times New Roman" w:hAnsi="Times New Roman" w:cs="Times New Roman"/>
          <w:color w:val="000000" w:themeColor="text1"/>
        </w:rPr>
        <w:t xml:space="preserve"> adoption of Avicenna’s idea that all things have a three-fold existence, in matter, in themselves, and in the giver of forms, </w:t>
      </w:r>
      <w:r w:rsidR="00BA40C2" w:rsidRPr="00A472FC">
        <w:rPr>
          <w:rFonts w:ascii="Times New Roman" w:hAnsi="Times New Roman" w:cs="Times New Roman"/>
          <w:color w:val="000000" w:themeColor="text1"/>
        </w:rPr>
        <w:t>which</w:t>
      </w:r>
      <w:r w:rsidR="00215870" w:rsidRPr="00A472FC">
        <w:rPr>
          <w:rFonts w:ascii="Times New Roman" w:hAnsi="Times New Roman" w:cs="Times New Roman"/>
          <w:color w:val="000000" w:themeColor="text1"/>
        </w:rPr>
        <w:t xml:space="preserve"> Franciscans called God.</w:t>
      </w:r>
      <w:r w:rsidR="00D70E13" w:rsidRPr="00A472FC">
        <w:rPr>
          <w:rStyle w:val="FootnoteReference"/>
          <w:rFonts w:ascii="Times New Roman" w:hAnsi="Times New Roman" w:cs="Times New Roman"/>
          <w:color w:val="000000" w:themeColor="text1"/>
        </w:rPr>
        <w:footnoteReference w:id="770"/>
      </w:r>
      <w:r w:rsidR="00215870" w:rsidRPr="00A472FC">
        <w:rPr>
          <w:rFonts w:ascii="Times New Roman" w:hAnsi="Times New Roman" w:cs="Times New Roman"/>
          <w:color w:val="000000" w:themeColor="text1"/>
        </w:rPr>
        <w:t xml:space="preserve"> </w:t>
      </w:r>
      <w:r w:rsidR="007A428B" w:rsidRPr="00A472FC">
        <w:rPr>
          <w:rFonts w:ascii="Times New Roman" w:hAnsi="Times New Roman" w:cs="Times New Roman"/>
          <w:color w:val="000000" w:themeColor="text1"/>
        </w:rPr>
        <w:t>In a question devoted to th</w:t>
      </w:r>
      <w:r w:rsidR="00BA40C2" w:rsidRPr="00A472FC">
        <w:rPr>
          <w:rFonts w:ascii="Times New Roman" w:hAnsi="Times New Roman" w:cs="Times New Roman"/>
          <w:color w:val="000000" w:themeColor="text1"/>
        </w:rPr>
        <w:t>e ideas or forms in God</w:t>
      </w:r>
      <w:r w:rsidR="007A428B" w:rsidRPr="00A472FC">
        <w:rPr>
          <w:rFonts w:ascii="Times New Roman" w:hAnsi="Times New Roman" w:cs="Times New Roman"/>
          <w:color w:val="000000" w:themeColor="text1"/>
        </w:rPr>
        <w:t xml:space="preserve">, the </w:t>
      </w:r>
      <w:proofErr w:type="spellStart"/>
      <w:r w:rsidR="007A428B" w:rsidRPr="00A472FC">
        <w:rPr>
          <w:rFonts w:ascii="Times New Roman" w:hAnsi="Times New Roman" w:cs="Times New Roman"/>
          <w:color w:val="000000" w:themeColor="text1"/>
        </w:rPr>
        <w:t>Summist</w:t>
      </w:r>
      <w:proofErr w:type="spellEnd"/>
      <w:r w:rsidR="007A428B" w:rsidRPr="00A472FC">
        <w:rPr>
          <w:rFonts w:ascii="Times New Roman" w:hAnsi="Times New Roman" w:cs="Times New Roman"/>
          <w:color w:val="000000" w:themeColor="text1"/>
        </w:rPr>
        <w:t xml:space="preserve">—likely here John himself--follows the lead of Alexander of Hales, who in his disputed questions argued that </w:t>
      </w:r>
      <w:r w:rsidR="00FB56B8" w:rsidRPr="00A472FC">
        <w:rPr>
          <w:rFonts w:ascii="Times New Roman" w:hAnsi="Times New Roman" w:cs="Times New Roman"/>
          <w:color w:val="000000" w:themeColor="text1"/>
        </w:rPr>
        <w:t>that</w:t>
      </w:r>
      <w:r w:rsidR="007A428B" w:rsidRPr="00A472FC">
        <w:rPr>
          <w:rFonts w:ascii="Times New Roman" w:hAnsi="Times New Roman" w:cs="Times New Roman"/>
          <w:color w:val="000000" w:themeColor="text1"/>
        </w:rPr>
        <w:t xml:space="preserve"> divine ideas are the same as the wisdom of God ‘</w:t>
      </w:r>
      <w:proofErr w:type="spellStart"/>
      <w:r w:rsidR="007A428B" w:rsidRPr="00A472FC">
        <w:rPr>
          <w:rFonts w:ascii="Times New Roman" w:hAnsi="Times New Roman" w:cs="Times New Roman"/>
          <w:i/>
          <w:iCs/>
          <w:color w:val="000000" w:themeColor="text1"/>
        </w:rPr>
        <w:t>secundum</w:t>
      </w:r>
      <w:proofErr w:type="spellEnd"/>
      <w:r w:rsidR="007A428B" w:rsidRPr="00A472FC">
        <w:rPr>
          <w:rFonts w:ascii="Times New Roman" w:hAnsi="Times New Roman" w:cs="Times New Roman"/>
          <w:i/>
          <w:iCs/>
          <w:color w:val="000000" w:themeColor="text1"/>
        </w:rPr>
        <w:t xml:space="preserve"> rem</w:t>
      </w:r>
      <w:r w:rsidR="007A428B" w:rsidRPr="00A472FC">
        <w:rPr>
          <w:rFonts w:ascii="Times New Roman" w:hAnsi="Times New Roman" w:cs="Times New Roman"/>
          <w:color w:val="000000" w:themeColor="text1"/>
        </w:rPr>
        <w:t>’ or in</w:t>
      </w:r>
      <w:r w:rsidR="00CD3724" w:rsidRPr="00A472FC">
        <w:rPr>
          <w:rFonts w:ascii="Times New Roman" w:hAnsi="Times New Roman" w:cs="Times New Roman"/>
          <w:color w:val="000000" w:themeColor="text1"/>
        </w:rPr>
        <w:t xml:space="preserve"> </w:t>
      </w:r>
      <w:r w:rsidR="007A428B" w:rsidRPr="00A472FC">
        <w:rPr>
          <w:rFonts w:ascii="Times New Roman" w:hAnsi="Times New Roman" w:cs="Times New Roman"/>
          <w:color w:val="000000" w:themeColor="text1"/>
        </w:rPr>
        <w:t xml:space="preserve">terms of what they are, </w:t>
      </w:r>
      <w:r w:rsidR="00CD3724" w:rsidRPr="00A472FC">
        <w:rPr>
          <w:rFonts w:ascii="Times New Roman" w:hAnsi="Times New Roman" w:cs="Times New Roman"/>
          <w:color w:val="000000" w:themeColor="text1"/>
        </w:rPr>
        <w:t>and are therefore one</w:t>
      </w:r>
      <w:r w:rsidR="00FB56B8" w:rsidRPr="00A472FC">
        <w:rPr>
          <w:rFonts w:ascii="Times New Roman" w:hAnsi="Times New Roman" w:cs="Times New Roman"/>
          <w:color w:val="000000" w:themeColor="text1"/>
        </w:rPr>
        <w:t>.</w:t>
      </w:r>
      <w:r w:rsidR="00506BBA" w:rsidRPr="00A472FC">
        <w:rPr>
          <w:rStyle w:val="FootnoteReference"/>
          <w:rFonts w:ascii="Times New Roman" w:hAnsi="Times New Roman" w:cs="Times New Roman"/>
        </w:rPr>
        <w:footnoteReference w:id="771"/>
      </w:r>
      <w:r w:rsidR="00506BBA" w:rsidRPr="00A472FC">
        <w:rPr>
          <w:rFonts w:ascii="Times New Roman" w:hAnsi="Times New Roman" w:cs="Times New Roman"/>
          <w:color w:val="000000" w:themeColor="text1"/>
        </w:rPr>
        <w:t xml:space="preserve"> </w:t>
      </w:r>
      <w:r w:rsidR="00506BBA" w:rsidRPr="00A472FC">
        <w:rPr>
          <w:rFonts w:ascii="Times New Roman" w:hAnsi="Times New Roman" w:cs="Times New Roman"/>
          <w:color w:val="000000" w:themeColor="text1"/>
        </w:rPr>
        <w:lastRenderedPageBreak/>
        <w:t>However, they differ from God ‘</w:t>
      </w:r>
      <w:proofErr w:type="spellStart"/>
      <w:r w:rsidR="00506BBA" w:rsidRPr="00A472FC">
        <w:rPr>
          <w:rFonts w:ascii="Times New Roman" w:hAnsi="Times New Roman" w:cs="Times New Roman"/>
          <w:i/>
          <w:iCs/>
          <w:color w:val="000000" w:themeColor="text1"/>
        </w:rPr>
        <w:t>secundum</w:t>
      </w:r>
      <w:proofErr w:type="spellEnd"/>
      <w:r w:rsidR="00506BBA" w:rsidRPr="00A472FC">
        <w:rPr>
          <w:rFonts w:ascii="Times New Roman" w:hAnsi="Times New Roman" w:cs="Times New Roman"/>
          <w:i/>
          <w:iCs/>
          <w:color w:val="000000" w:themeColor="text1"/>
        </w:rPr>
        <w:t xml:space="preserve"> nomen</w:t>
      </w:r>
      <w:r w:rsidR="00506BBA" w:rsidRPr="00A472FC">
        <w:rPr>
          <w:rFonts w:ascii="Times New Roman" w:hAnsi="Times New Roman" w:cs="Times New Roman"/>
          <w:color w:val="000000" w:themeColor="text1"/>
        </w:rPr>
        <w:t xml:space="preserve">’ insofar as they pertain to the objects </w:t>
      </w:r>
      <w:r w:rsidR="00D22126" w:rsidRPr="00A472FC">
        <w:rPr>
          <w:rFonts w:ascii="Times New Roman" w:hAnsi="Times New Roman" w:cs="Times New Roman"/>
          <w:color w:val="000000" w:themeColor="text1"/>
        </w:rPr>
        <w:t xml:space="preserve">or creatures </w:t>
      </w:r>
      <w:r w:rsidR="00506BBA" w:rsidRPr="00A472FC">
        <w:rPr>
          <w:rFonts w:ascii="Times New Roman" w:hAnsi="Times New Roman" w:cs="Times New Roman"/>
          <w:color w:val="000000" w:themeColor="text1"/>
        </w:rPr>
        <w:t xml:space="preserve">known, which are many, and in that sense, the divine ideas themselves are many. </w:t>
      </w:r>
      <w:r w:rsidR="00236B61" w:rsidRPr="00A472FC">
        <w:rPr>
          <w:rFonts w:ascii="Times New Roman" w:hAnsi="Times New Roman" w:cs="Times New Roman"/>
          <w:color w:val="000000" w:themeColor="text1"/>
        </w:rPr>
        <w:t>As this suggests</w:t>
      </w:r>
      <w:r w:rsidR="00451C34" w:rsidRPr="00A472FC">
        <w:rPr>
          <w:rFonts w:ascii="Times New Roman" w:hAnsi="Times New Roman" w:cs="Times New Roman"/>
          <w:color w:val="000000" w:themeColor="text1"/>
        </w:rPr>
        <w:t xml:space="preserve">, the </w:t>
      </w:r>
      <w:proofErr w:type="spellStart"/>
      <w:r w:rsidR="00451C34" w:rsidRPr="00A472FC">
        <w:rPr>
          <w:rFonts w:ascii="Times New Roman" w:hAnsi="Times New Roman" w:cs="Times New Roman"/>
          <w:color w:val="000000" w:themeColor="text1"/>
        </w:rPr>
        <w:t>Summist</w:t>
      </w:r>
      <w:proofErr w:type="spellEnd"/>
      <w:r w:rsidR="00451C34" w:rsidRPr="00A472FC">
        <w:rPr>
          <w:rFonts w:ascii="Times New Roman" w:hAnsi="Times New Roman" w:cs="Times New Roman"/>
          <w:color w:val="000000" w:themeColor="text1"/>
        </w:rPr>
        <w:t xml:space="preserve"> </w:t>
      </w:r>
      <w:r w:rsidR="00451C34" w:rsidRPr="00A472FC">
        <w:rPr>
          <w:rFonts w:ascii="Times New Roman" w:hAnsi="Times New Roman" w:cs="Times New Roman"/>
        </w:rPr>
        <w:t>locates the multiplicity of divine ideas in relation to creatures as a way of preserving the unity of God. To illustrate how th</w:t>
      </w:r>
      <w:r w:rsidR="00400F39" w:rsidRPr="00A472FC">
        <w:rPr>
          <w:rFonts w:ascii="Times New Roman" w:hAnsi="Times New Roman" w:cs="Times New Roman"/>
        </w:rPr>
        <w:t>e relationship</w:t>
      </w:r>
      <w:r w:rsidR="00451C34" w:rsidRPr="00A472FC">
        <w:rPr>
          <w:rFonts w:ascii="Times New Roman" w:hAnsi="Times New Roman" w:cs="Times New Roman"/>
        </w:rPr>
        <w:t xml:space="preserve"> </w:t>
      </w:r>
      <w:r w:rsidR="00400F39" w:rsidRPr="00A472FC">
        <w:rPr>
          <w:rFonts w:ascii="Times New Roman" w:hAnsi="Times New Roman" w:cs="Times New Roman"/>
        </w:rPr>
        <w:t xml:space="preserve">between the two </w:t>
      </w:r>
      <w:r w:rsidR="00451C34" w:rsidRPr="00A472FC">
        <w:rPr>
          <w:rFonts w:ascii="Times New Roman" w:hAnsi="Times New Roman" w:cs="Times New Roman"/>
        </w:rPr>
        <w:t xml:space="preserve">works, he invokes </w:t>
      </w:r>
      <w:r w:rsidR="00D22126" w:rsidRPr="00A472FC">
        <w:rPr>
          <w:rFonts w:ascii="Times New Roman" w:hAnsi="Times New Roman" w:cs="Times New Roman"/>
        </w:rPr>
        <w:t>an example from Pseudo-Dionysius, which had a long history in the Aristotelian commentary tradition.</w:t>
      </w:r>
      <w:r w:rsidR="00E46EC5" w:rsidRPr="00A472FC">
        <w:rPr>
          <w:rStyle w:val="FootnoteReference"/>
          <w:rFonts w:ascii="Times New Roman" w:hAnsi="Times New Roman" w:cs="Times New Roman"/>
        </w:rPr>
        <w:footnoteReference w:id="772"/>
      </w:r>
      <w:r w:rsidR="00E46EC5" w:rsidRPr="00A472FC">
        <w:rPr>
          <w:rFonts w:ascii="Times New Roman" w:hAnsi="Times New Roman" w:cs="Times New Roman"/>
        </w:rPr>
        <w:t xml:space="preserve"> </w:t>
      </w:r>
      <w:r w:rsidR="00C7051E" w:rsidRPr="00A472FC">
        <w:rPr>
          <w:rFonts w:ascii="Times New Roman" w:hAnsi="Times New Roman" w:cs="Times New Roman"/>
        </w:rPr>
        <w:t>This</w:t>
      </w:r>
      <w:r w:rsidR="00D22126" w:rsidRPr="00A472FC">
        <w:rPr>
          <w:rFonts w:ascii="Times New Roman" w:hAnsi="Times New Roman" w:cs="Times New Roman"/>
        </w:rPr>
        <w:t xml:space="preserve"> observes that a point which serves as the terminus for many lines remains one even though it simultaneously serves as the principle of those lines which it virtually encompasses.</w:t>
      </w:r>
      <w:r w:rsidR="00E46EC5" w:rsidRPr="00A472FC">
        <w:rPr>
          <w:rStyle w:val="FootnoteReference"/>
          <w:rFonts w:ascii="Times New Roman" w:hAnsi="Times New Roman" w:cs="Times New Roman"/>
        </w:rPr>
        <w:footnoteReference w:id="773"/>
      </w:r>
      <w:r w:rsidR="00D22126" w:rsidRPr="00A472FC">
        <w:rPr>
          <w:rFonts w:ascii="Times New Roman" w:hAnsi="Times New Roman" w:cs="Times New Roman"/>
        </w:rPr>
        <w:t xml:space="preserve"> In much the same way, he </w:t>
      </w:r>
      <w:r w:rsidR="0014189F" w:rsidRPr="00A472FC">
        <w:rPr>
          <w:rFonts w:ascii="Times New Roman" w:hAnsi="Times New Roman" w:cs="Times New Roman"/>
        </w:rPr>
        <w:t>contends</w:t>
      </w:r>
      <w:r w:rsidR="00D22126" w:rsidRPr="00A472FC">
        <w:rPr>
          <w:rFonts w:ascii="Times New Roman" w:hAnsi="Times New Roman" w:cs="Times New Roman"/>
        </w:rPr>
        <w:t xml:space="preserve">, </w:t>
      </w:r>
      <w:r w:rsidR="002C6252" w:rsidRPr="00A472FC">
        <w:rPr>
          <w:rFonts w:ascii="Times New Roman" w:hAnsi="Times New Roman" w:cs="Times New Roman"/>
        </w:rPr>
        <w:t xml:space="preserve">God knows all things through himself </w:t>
      </w:r>
      <w:r w:rsidR="00506BBA" w:rsidRPr="00A472FC">
        <w:rPr>
          <w:rFonts w:ascii="Times New Roman" w:hAnsi="Times New Roman" w:cs="Times New Roman"/>
        </w:rPr>
        <w:t>as cause.</w:t>
      </w:r>
      <w:r w:rsidR="00506BBA" w:rsidRPr="00A472FC">
        <w:rPr>
          <w:rStyle w:val="FootnoteReference"/>
          <w:rFonts w:ascii="Times New Roman" w:hAnsi="Times New Roman" w:cs="Times New Roman"/>
        </w:rPr>
        <w:footnoteReference w:id="774"/>
      </w:r>
      <w:r w:rsidR="00506BBA" w:rsidRPr="00A472FC">
        <w:rPr>
          <w:rFonts w:ascii="Times New Roman" w:hAnsi="Times New Roman" w:cs="Times New Roman"/>
        </w:rPr>
        <w:t xml:space="preserve"> </w:t>
      </w:r>
    </w:p>
    <w:p w14:paraId="78DBEBF2" w14:textId="77777777" w:rsidR="00197AAB" w:rsidRDefault="002C6252" w:rsidP="003179CE">
      <w:pPr>
        <w:ind w:right="-52" w:firstLine="720"/>
        <w:rPr>
          <w:rFonts w:ascii="Times New Roman" w:hAnsi="Times New Roman" w:cs="Times New Roman"/>
        </w:rPr>
      </w:pPr>
      <w:r w:rsidRPr="00A472FC">
        <w:rPr>
          <w:rFonts w:ascii="Times New Roman" w:hAnsi="Times New Roman" w:cs="Times New Roman"/>
        </w:rPr>
        <w:t xml:space="preserve">In this regard,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goes so far as to say that the knowledge of God extends not just to things that exist—or finite beings—but also to those things that could exist through the divine cause. </w:t>
      </w:r>
      <w:r w:rsidR="00506BBA" w:rsidRPr="00A472FC">
        <w:rPr>
          <w:rFonts w:ascii="Times New Roman" w:hAnsi="Times New Roman" w:cs="Times New Roman"/>
        </w:rPr>
        <w:t xml:space="preserve">Thus the </w:t>
      </w:r>
      <w:proofErr w:type="spellStart"/>
      <w:r w:rsidR="00506BBA" w:rsidRPr="00A472FC">
        <w:rPr>
          <w:rFonts w:ascii="Times New Roman" w:hAnsi="Times New Roman" w:cs="Times New Roman"/>
        </w:rPr>
        <w:t>Summist</w:t>
      </w:r>
      <w:proofErr w:type="spellEnd"/>
      <w:r w:rsidR="00506BBA" w:rsidRPr="00A472FC">
        <w:rPr>
          <w:rFonts w:ascii="Times New Roman" w:hAnsi="Times New Roman" w:cs="Times New Roman"/>
        </w:rPr>
        <w:t xml:space="preserve"> reasons that God does have knowledge of infinite thing</w:t>
      </w:r>
      <w:r w:rsidR="00CB00A8" w:rsidRPr="00A472FC">
        <w:rPr>
          <w:rFonts w:ascii="Times New Roman" w:hAnsi="Times New Roman" w:cs="Times New Roman"/>
        </w:rPr>
        <w:t>s</w:t>
      </w:r>
      <w:r w:rsidR="00506BBA" w:rsidRPr="00A472FC">
        <w:rPr>
          <w:rFonts w:ascii="Times New Roman" w:hAnsi="Times New Roman" w:cs="Times New Roman"/>
        </w:rPr>
        <w:t>.</w:t>
      </w:r>
      <w:r w:rsidR="00506BBA" w:rsidRPr="00A472FC">
        <w:rPr>
          <w:rStyle w:val="FootnoteReference"/>
          <w:rFonts w:ascii="Times New Roman" w:hAnsi="Times New Roman" w:cs="Times New Roman"/>
        </w:rPr>
        <w:footnoteReference w:id="775"/>
      </w:r>
      <w:r w:rsidR="00506BBA" w:rsidRPr="00A472FC">
        <w:rPr>
          <w:rFonts w:ascii="Times New Roman" w:hAnsi="Times New Roman" w:cs="Times New Roman"/>
        </w:rPr>
        <w:t xml:space="preserve"> </w:t>
      </w:r>
      <w:r w:rsidR="00402A57" w:rsidRPr="00A472FC">
        <w:rPr>
          <w:rFonts w:ascii="Times New Roman" w:hAnsi="Times New Roman" w:cs="Times New Roman"/>
        </w:rPr>
        <w:t xml:space="preserve">This </w:t>
      </w:r>
      <w:r w:rsidR="00893E68" w:rsidRPr="00A472FC">
        <w:rPr>
          <w:rFonts w:ascii="Times New Roman" w:hAnsi="Times New Roman" w:cs="Times New Roman"/>
        </w:rPr>
        <w:t xml:space="preserve">indeed </w:t>
      </w:r>
      <w:r w:rsidR="00402A57" w:rsidRPr="00A472FC">
        <w:rPr>
          <w:rFonts w:ascii="Times New Roman" w:hAnsi="Times New Roman" w:cs="Times New Roman"/>
        </w:rPr>
        <w:t xml:space="preserve">was the logical corollary of the Summa’s appropriation of Avicenna’s metaphysics of necessary and possible beings, namely, that God knows all things that </w:t>
      </w:r>
      <w:r w:rsidR="003179CE" w:rsidRPr="00A472FC">
        <w:rPr>
          <w:rFonts w:ascii="Times New Roman" w:hAnsi="Times New Roman" w:cs="Times New Roman"/>
        </w:rPr>
        <w:t>are or could be</w:t>
      </w:r>
      <w:r w:rsidR="00893E68" w:rsidRPr="00A472FC">
        <w:rPr>
          <w:rFonts w:ascii="Times New Roman" w:hAnsi="Times New Roman" w:cs="Times New Roman"/>
        </w:rPr>
        <w:t xml:space="preserve"> and thus, </w:t>
      </w:r>
      <w:r w:rsidR="003179CE" w:rsidRPr="00A472FC">
        <w:rPr>
          <w:rFonts w:ascii="Times New Roman" w:hAnsi="Times New Roman" w:cs="Times New Roman"/>
        </w:rPr>
        <w:t>the infinite.</w:t>
      </w:r>
      <w:r w:rsidR="00400ABF" w:rsidRPr="00A472FC">
        <w:rPr>
          <w:rStyle w:val="FootnoteReference"/>
          <w:rFonts w:ascii="Times New Roman" w:hAnsi="Times New Roman" w:cs="Times New Roman"/>
        </w:rPr>
        <w:footnoteReference w:id="776"/>
      </w:r>
      <w:r w:rsidR="003179CE" w:rsidRPr="00A472FC">
        <w:rPr>
          <w:rFonts w:ascii="Times New Roman" w:hAnsi="Times New Roman" w:cs="Times New Roman"/>
        </w:rPr>
        <w:t xml:space="preserve"> </w:t>
      </w:r>
      <w:r w:rsidR="00053D1C">
        <w:rPr>
          <w:rFonts w:ascii="Times New Roman" w:hAnsi="Times New Roman" w:cs="Times New Roman"/>
        </w:rPr>
        <w:t xml:space="preserve">For the </w:t>
      </w:r>
      <w:proofErr w:type="spellStart"/>
      <w:r w:rsidR="00053D1C">
        <w:rPr>
          <w:rFonts w:ascii="Times New Roman" w:hAnsi="Times New Roman" w:cs="Times New Roman"/>
        </w:rPr>
        <w:t>Summist</w:t>
      </w:r>
      <w:proofErr w:type="spellEnd"/>
      <w:r w:rsidR="00053D1C">
        <w:rPr>
          <w:rFonts w:ascii="Times New Roman" w:hAnsi="Times New Roman" w:cs="Times New Roman"/>
        </w:rPr>
        <w:t>, consequently, God’s own fundamental nature is to be infinite, rather than simple, which was the primary quality previous medievals thinkers followed Augustine in assigning to him.</w:t>
      </w:r>
      <w:r w:rsidR="00711F15">
        <w:rPr>
          <w:rStyle w:val="FootnoteReference"/>
          <w:rFonts w:ascii="Times New Roman" w:hAnsi="Times New Roman" w:cs="Times New Roman"/>
        </w:rPr>
        <w:footnoteReference w:id="777"/>
      </w:r>
      <w:r w:rsidR="00053D1C">
        <w:rPr>
          <w:rFonts w:ascii="Times New Roman" w:hAnsi="Times New Roman" w:cs="Times New Roman"/>
        </w:rPr>
        <w:t xml:space="preserve"> </w:t>
      </w:r>
    </w:p>
    <w:p w14:paraId="2123EB92" w14:textId="77777777" w:rsidR="00197AAB" w:rsidRDefault="003179CE" w:rsidP="00197AAB">
      <w:pPr>
        <w:ind w:right="-52" w:firstLine="720"/>
        <w:rPr>
          <w:rFonts w:ascii="Times New Roman" w:hAnsi="Times New Roman" w:cs="Times New Roman"/>
          <w:color w:val="000000" w:themeColor="text1"/>
        </w:rPr>
      </w:pPr>
      <w:r w:rsidRPr="00A472FC">
        <w:rPr>
          <w:rFonts w:ascii="Times New Roman" w:hAnsi="Times New Roman" w:cs="Times New Roman"/>
        </w:rPr>
        <w:t>Th</w:t>
      </w:r>
      <w:r w:rsidR="005930F0">
        <w:rPr>
          <w:rFonts w:ascii="Times New Roman" w:hAnsi="Times New Roman" w:cs="Times New Roman"/>
        </w:rPr>
        <w:t>e</w:t>
      </w:r>
      <w:r w:rsidRPr="00A472FC">
        <w:rPr>
          <w:rFonts w:ascii="Times New Roman" w:hAnsi="Times New Roman" w:cs="Times New Roman"/>
        </w:rPr>
        <w:t xml:space="preserve"> metaphysics </w:t>
      </w:r>
      <w:r w:rsidR="005930F0">
        <w:rPr>
          <w:rFonts w:ascii="Times New Roman" w:hAnsi="Times New Roman" w:cs="Times New Roman"/>
        </w:rPr>
        <w:t xml:space="preserve">that led to this conclusion </w:t>
      </w:r>
      <w:r w:rsidRPr="00A472FC">
        <w:rPr>
          <w:rFonts w:ascii="Times New Roman" w:hAnsi="Times New Roman" w:cs="Times New Roman"/>
        </w:rPr>
        <w:t xml:space="preserve">also inspired the </w:t>
      </w:r>
      <w:proofErr w:type="spellStart"/>
      <w:r w:rsidRPr="00A472FC">
        <w:rPr>
          <w:rFonts w:ascii="Times New Roman" w:hAnsi="Times New Roman" w:cs="Times New Roman"/>
        </w:rPr>
        <w:t>Summist</w:t>
      </w:r>
      <w:r w:rsidR="00893E68" w:rsidRPr="00A472FC">
        <w:rPr>
          <w:rFonts w:ascii="Times New Roman" w:hAnsi="Times New Roman" w:cs="Times New Roman"/>
        </w:rPr>
        <w:t>’s</w:t>
      </w:r>
      <w:proofErr w:type="spellEnd"/>
      <w:r w:rsidRPr="00A472FC">
        <w:rPr>
          <w:rFonts w:ascii="Times New Roman" w:hAnsi="Times New Roman" w:cs="Times New Roman"/>
        </w:rPr>
        <w:t xml:space="preserve"> further </w:t>
      </w:r>
      <w:r w:rsidR="00155DB5">
        <w:rPr>
          <w:rFonts w:ascii="Times New Roman" w:hAnsi="Times New Roman" w:cs="Times New Roman"/>
        </w:rPr>
        <w:t xml:space="preserve">contention, namely, </w:t>
      </w:r>
      <w:r w:rsidR="00506BBA" w:rsidRPr="00A472FC">
        <w:rPr>
          <w:rFonts w:ascii="Times New Roman" w:hAnsi="Times New Roman" w:cs="Times New Roman"/>
        </w:rPr>
        <w:t xml:space="preserve">that God does not merely know the species of things </w:t>
      </w:r>
      <w:r w:rsidR="00F5743C" w:rsidRPr="00A472FC">
        <w:rPr>
          <w:rFonts w:ascii="Times New Roman" w:hAnsi="Times New Roman" w:cs="Times New Roman"/>
        </w:rPr>
        <w:t>in the way that previous thinkers like Augustine had suggested</w:t>
      </w:r>
      <w:r w:rsidR="00506BBA" w:rsidRPr="00A472FC">
        <w:rPr>
          <w:rFonts w:ascii="Times New Roman" w:hAnsi="Times New Roman" w:cs="Times New Roman"/>
        </w:rPr>
        <w:t xml:space="preserve">. He also knows individuals. As the </w:t>
      </w:r>
      <w:proofErr w:type="spellStart"/>
      <w:r w:rsidR="00506BBA" w:rsidRPr="00A472FC">
        <w:rPr>
          <w:rFonts w:ascii="Times New Roman" w:hAnsi="Times New Roman" w:cs="Times New Roman"/>
        </w:rPr>
        <w:t>Summist</w:t>
      </w:r>
      <w:proofErr w:type="spellEnd"/>
      <w:r w:rsidR="00506BBA" w:rsidRPr="00A472FC">
        <w:rPr>
          <w:rFonts w:ascii="Times New Roman" w:hAnsi="Times New Roman" w:cs="Times New Roman"/>
        </w:rPr>
        <w:t xml:space="preserve"> puts it, since God is equally the author of things great and small, therefore in his </w:t>
      </w:r>
      <w:r w:rsidR="00B96DBA" w:rsidRPr="00A472FC">
        <w:rPr>
          <w:rFonts w:ascii="Times New Roman" w:hAnsi="Times New Roman" w:cs="Times New Roman"/>
        </w:rPr>
        <w:t>wisdom</w:t>
      </w:r>
      <w:r w:rsidR="00506BBA" w:rsidRPr="00A472FC">
        <w:rPr>
          <w:rFonts w:ascii="Times New Roman" w:hAnsi="Times New Roman" w:cs="Times New Roman"/>
        </w:rPr>
        <w:t xml:space="preserve"> he must also know both great and small things’.</w:t>
      </w:r>
      <w:r w:rsidR="00506BBA" w:rsidRPr="00A472FC">
        <w:rPr>
          <w:rStyle w:val="FootnoteReference"/>
          <w:rFonts w:ascii="Times New Roman" w:hAnsi="Times New Roman" w:cs="Times New Roman"/>
        </w:rPr>
        <w:footnoteReference w:id="778"/>
      </w:r>
      <w:r w:rsidR="00506BBA" w:rsidRPr="00A472FC">
        <w:rPr>
          <w:rFonts w:ascii="Times New Roman" w:hAnsi="Times New Roman" w:cs="Times New Roman"/>
        </w:rPr>
        <w:t xml:space="preserve"> </w:t>
      </w:r>
      <w:r w:rsidR="007A428B" w:rsidRPr="00A472FC">
        <w:rPr>
          <w:rFonts w:ascii="Times New Roman" w:hAnsi="Times New Roman" w:cs="Times New Roman"/>
        </w:rPr>
        <w:t xml:space="preserve">While the </w:t>
      </w:r>
      <w:proofErr w:type="spellStart"/>
      <w:r w:rsidR="007A428B" w:rsidRPr="00A472FC">
        <w:rPr>
          <w:rFonts w:ascii="Times New Roman" w:hAnsi="Times New Roman" w:cs="Times New Roman"/>
        </w:rPr>
        <w:t>Summist</w:t>
      </w:r>
      <w:proofErr w:type="spellEnd"/>
      <w:r w:rsidR="007A428B" w:rsidRPr="00A472FC">
        <w:rPr>
          <w:rFonts w:ascii="Times New Roman" w:hAnsi="Times New Roman" w:cs="Times New Roman"/>
        </w:rPr>
        <w:t xml:space="preserve"> concedes that knowing singulars is a sign of weakness in humans who derive that knowledge from the senses, in God it is not so because he does not obtain his knowledge from the senses but through a likeness to the thing which exists in himself as cause.</w:t>
      </w:r>
      <w:r w:rsidR="00B43E88" w:rsidRPr="00A472FC">
        <w:rPr>
          <w:rStyle w:val="FootnoteReference"/>
          <w:rFonts w:ascii="Times New Roman" w:hAnsi="Times New Roman" w:cs="Times New Roman"/>
        </w:rPr>
        <w:footnoteReference w:id="779"/>
      </w:r>
      <w:r w:rsidR="007A428B" w:rsidRPr="00A472FC">
        <w:rPr>
          <w:rFonts w:ascii="Times New Roman" w:hAnsi="Times New Roman" w:cs="Times New Roman"/>
        </w:rPr>
        <w:t xml:space="preserve"> </w:t>
      </w:r>
      <w:r w:rsidR="00A13979" w:rsidRPr="00A472FC">
        <w:rPr>
          <w:rFonts w:ascii="Times New Roman" w:hAnsi="Times New Roman" w:cs="Times New Roman"/>
        </w:rPr>
        <w:t>For human beings, by contrast</w:t>
      </w:r>
      <w:r w:rsidR="00471313" w:rsidRPr="00A472FC">
        <w:rPr>
          <w:rFonts w:ascii="Times New Roman" w:hAnsi="Times New Roman" w:cs="Times New Roman"/>
        </w:rPr>
        <w:t>, the</w:t>
      </w:r>
      <w:r w:rsidR="00640CD5" w:rsidRPr="00A472FC">
        <w:rPr>
          <w:rFonts w:ascii="Times New Roman" w:hAnsi="Times New Roman" w:cs="Times New Roman"/>
        </w:rPr>
        <w:t xml:space="preserve"> ability </w:t>
      </w:r>
      <w:r w:rsidR="00992123" w:rsidRPr="00A472FC">
        <w:rPr>
          <w:rFonts w:ascii="Times New Roman" w:hAnsi="Times New Roman" w:cs="Times New Roman"/>
        </w:rPr>
        <w:t xml:space="preserve">to know material beings according to their ideal form in the divine ideas and </w:t>
      </w:r>
      <w:r w:rsidR="00A13979" w:rsidRPr="00A472FC">
        <w:rPr>
          <w:rFonts w:ascii="Times New Roman" w:hAnsi="Times New Roman" w:cs="Times New Roman"/>
        </w:rPr>
        <w:t>thus</w:t>
      </w:r>
      <w:r w:rsidR="00992123" w:rsidRPr="00A472FC">
        <w:rPr>
          <w:rFonts w:ascii="Times New Roman" w:hAnsi="Times New Roman" w:cs="Times New Roman"/>
        </w:rPr>
        <w:t xml:space="preserve"> to know them as God knows the</w:t>
      </w:r>
      <w:r w:rsidR="00471313" w:rsidRPr="00A472FC">
        <w:rPr>
          <w:rFonts w:ascii="Times New Roman" w:hAnsi="Times New Roman" w:cs="Times New Roman"/>
        </w:rPr>
        <w:t xml:space="preserve">m </w:t>
      </w:r>
      <w:r w:rsidR="00A815B5" w:rsidRPr="00A472FC">
        <w:rPr>
          <w:rFonts w:ascii="Times New Roman" w:hAnsi="Times New Roman" w:cs="Times New Roman"/>
        </w:rPr>
        <w:t xml:space="preserve">derives </w:t>
      </w:r>
      <w:r w:rsidR="00992123" w:rsidRPr="00A472FC">
        <w:rPr>
          <w:rFonts w:ascii="Times New Roman" w:hAnsi="Times New Roman" w:cs="Times New Roman"/>
        </w:rPr>
        <w:t>as noted above from the</w:t>
      </w:r>
      <w:r w:rsidR="008F0847" w:rsidRPr="00A472FC">
        <w:rPr>
          <w:rFonts w:ascii="Times New Roman" w:hAnsi="Times New Roman" w:cs="Times New Roman"/>
        </w:rPr>
        <w:t xml:space="preserve"> transcendentals, </w:t>
      </w:r>
      <w:r w:rsidR="00992123" w:rsidRPr="00A472FC">
        <w:rPr>
          <w:rFonts w:ascii="Times New Roman" w:hAnsi="Times New Roman" w:cs="Times New Roman"/>
        </w:rPr>
        <w:t xml:space="preserve">or the </w:t>
      </w:r>
      <w:r w:rsidR="008F0847" w:rsidRPr="00A472FC">
        <w:rPr>
          <w:rFonts w:ascii="Times New Roman" w:hAnsi="Times New Roman" w:cs="Times New Roman"/>
        </w:rPr>
        <w:t>image of God on the mind</w:t>
      </w:r>
      <w:r w:rsidR="008F0847" w:rsidRPr="00A472FC">
        <w:rPr>
          <w:rFonts w:ascii="Times New Roman" w:hAnsi="Times New Roman" w:cs="Times New Roman"/>
          <w:color w:val="000000" w:themeColor="text1"/>
        </w:rPr>
        <w:t xml:space="preserve">. </w:t>
      </w:r>
    </w:p>
    <w:p w14:paraId="4603D17A" w14:textId="7A110A37" w:rsidR="001A1D0B" w:rsidRPr="00197AAB" w:rsidRDefault="008F0847" w:rsidP="00197AAB">
      <w:pPr>
        <w:ind w:right="-52" w:firstLine="720"/>
        <w:rPr>
          <w:rFonts w:ascii="Times New Roman" w:hAnsi="Times New Roman" w:cs="Times New Roman"/>
        </w:rPr>
      </w:pPr>
      <w:r w:rsidRPr="00A472FC">
        <w:rPr>
          <w:rFonts w:ascii="Times New Roman" w:hAnsi="Times New Roman" w:cs="Times New Roman"/>
          <w:color w:val="000000" w:themeColor="text1"/>
        </w:rPr>
        <w:t xml:space="preserve">For this very reason, </w:t>
      </w:r>
      <w:r w:rsidR="00521C66" w:rsidRPr="00A472FC">
        <w:rPr>
          <w:rFonts w:ascii="Times New Roman" w:hAnsi="Times New Roman" w:cs="Times New Roman"/>
          <w:color w:val="000000" w:themeColor="text1"/>
        </w:rPr>
        <w:t xml:space="preserve">the </w:t>
      </w:r>
      <w:proofErr w:type="spellStart"/>
      <w:r w:rsidR="00521C66" w:rsidRPr="00A472FC">
        <w:rPr>
          <w:rFonts w:ascii="Times New Roman" w:hAnsi="Times New Roman" w:cs="Times New Roman"/>
          <w:color w:val="000000" w:themeColor="text1"/>
        </w:rPr>
        <w:t>Summist</w:t>
      </w:r>
      <w:proofErr w:type="spellEnd"/>
      <w:r w:rsidR="00521C66" w:rsidRPr="00A472FC">
        <w:rPr>
          <w:rFonts w:ascii="Times New Roman" w:hAnsi="Times New Roman" w:cs="Times New Roman"/>
          <w:color w:val="000000" w:themeColor="text1"/>
        </w:rPr>
        <w:t xml:space="preserve"> contends that </w:t>
      </w:r>
      <w:r w:rsidRPr="00A472FC">
        <w:rPr>
          <w:rFonts w:ascii="Times New Roman" w:hAnsi="Times New Roman" w:cs="Times New Roman"/>
          <w:color w:val="000000" w:themeColor="text1"/>
        </w:rPr>
        <w:t xml:space="preserve">the knowledge of ordinary beings </w:t>
      </w:r>
      <w:r w:rsidR="00034DEF" w:rsidRPr="00A472FC">
        <w:rPr>
          <w:rFonts w:ascii="Times New Roman" w:hAnsi="Times New Roman" w:cs="Times New Roman"/>
          <w:color w:val="000000" w:themeColor="text1"/>
        </w:rPr>
        <w:t xml:space="preserve">in terms of their unity, truth, and goodness </w:t>
      </w:r>
      <w:r w:rsidR="001D6D1F" w:rsidRPr="00A472FC">
        <w:rPr>
          <w:rFonts w:ascii="Times New Roman" w:hAnsi="Times New Roman" w:cs="Times New Roman"/>
          <w:color w:val="000000" w:themeColor="text1"/>
        </w:rPr>
        <w:t>simultaneously gives a g</w:t>
      </w:r>
      <w:r w:rsidR="00057868" w:rsidRPr="00A472FC">
        <w:rPr>
          <w:rFonts w:ascii="Times New Roman" w:hAnsi="Times New Roman" w:cs="Times New Roman"/>
          <w:color w:val="000000" w:themeColor="text1"/>
        </w:rPr>
        <w:t>l</w:t>
      </w:r>
      <w:r w:rsidR="001D6D1F" w:rsidRPr="00A472FC">
        <w:rPr>
          <w:rFonts w:ascii="Times New Roman" w:hAnsi="Times New Roman" w:cs="Times New Roman"/>
          <w:color w:val="000000" w:themeColor="text1"/>
        </w:rPr>
        <w:t xml:space="preserve">impse into </w:t>
      </w:r>
      <w:r w:rsidR="00034DEF" w:rsidRPr="00A472FC">
        <w:rPr>
          <w:rFonts w:ascii="Times New Roman" w:hAnsi="Times New Roman" w:cs="Times New Roman"/>
          <w:color w:val="000000" w:themeColor="text1"/>
        </w:rPr>
        <w:t xml:space="preserve">the divine being who is one, true, and good, albeit in a limited way that is circumscribed by the nature of the creature itself. </w:t>
      </w:r>
      <w:r w:rsidR="00D44C75" w:rsidRPr="00A472FC">
        <w:rPr>
          <w:rFonts w:ascii="Times New Roman" w:hAnsi="Times New Roman" w:cs="Times New Roman"/>
          <w:color w:val="000000" w:themeColor="text1"/>
        </w:rPr>
        <w:t xml:space="preserve">In fact, </w:t>
      </w:r>
      <w:r w:rsidR="000D440F" w:rsidRPr="00A472FC">
        <w:rPr>
          <w:rFonts w:ascii="Times New Roman" w:hAnsi="Times New Roman" w:cs="Times New Roman"/>
          <w:color w:val="000000" w:themeColor="text1"/>
        </w:rPr>
        <w:t>creatures</w:t>
      </w:r>
      <w:r w:rsidR="00D44C75" w:rsidRPr="00A472FC">
        <w:rPr>
          <w:rFonts w:ascii="Times New Roman" w:hAnsi="Times New Roman" w:cs="Times New Roman"/>
          <w:color w:val="000000" w:themeColor="text1"/>
        </w:rPr>
        <w:t xml:space="preserve"> are the </w:t>
      </w:r>
      <w:r w:rsidR="009047C2" w:rsidRPr="00A472FC">
        <w:rPr>
          <w:rFonts w:ascii="Times New Roman" w:hAnsi="Times New Roman" w:cs="Times New Roman"/>
          <w:color w:val="000000" w:themeColor="text1"/>
        </w:rPr>
        <w:t>only means</w:t>
      </w:r>
      <w:r w:rsidR="00D44C75" w:rsidRPr="00A472FC">
        <w:rPr>
          <w:rFonts w:ascii="Times New Roman" w:hAnsi="Times New Roman" w:cs="Times New Roman"/>
          <w:color w:val="000000" w:themeColor="text1"/>
        </w:rPr>
        <w:t xml:space="preserve"> by which God can be known </w:t>
      </w:r>
      <w:r w:rsidR="000D440F" w:rsidRPr="00A472FC">
        <w:rPr>
          <w:rFonts w:ascii="Times New Roman" w:hAnsi="Times New Roman" w:cs="Times New Roman"/>
          <w:color w:val="000000" w:themeColor="text1"/>
        </w:rPr>
        <w:t xml:space="preserve">according to the Summa, </w:t>
      </w:r>
      <w:r w:rsidR="00D44C75" w:rsidRPr="00A472FC">
        <w:rPr>
          <w:rFonts w:ascii="Times New Roman" w:hAnsi="Times New Roman" w:cs="Times New Roman"/>
          <w:color w:val="000000" w:themeColor="text1"/>
        </w:rPr>
        <w:t xml:space="preserve">since the transcendental properties of the divine are known prior to all </w:t>
      </w:r>
      <w:r w:rsidR="00E83783" w:rsidRPr="00A472FC">
        <w:rPr>
          <w:rFonts w:ascii="Times New Roman" w:hAnsi="Times New Roman" w:cs="Times New Roman"/>
          <w:color w:val="000000" w:themeColor="text1"/>
        </w:rPr>
        <w:t xml:space="preserve">experience, </w:t>
      </w:r>
      <w:r w:rsidR="00D44C75" w:rsidRPr="00A472FC">
        <w:rPr>
          <w:rFonts w:ascii="Times New Roman" w:hAnsi="Times New Roman" w:cs="Times New Roman"/>
          <w:color w:val="000000" w:themeColor="text1"/>
        </w:rPr>
        <w:t xml:space="preserve">such that the knowledge of them can only come through </w:t>
      </w:r>
      <w:r w:rsidR="009047C2" w:rsidRPr="00A472FC">
        <w:rPr>
          <w:rFonts w:ascii="Times New Roman" w:hAnsi="Times New Roman" w:cs="Times New Roman"/>
          <w:color w:val="000000" w:themeColor="text1"/>
        </w:rPr>
        <w:t>his</w:t>
      </w:r>
      <w:r w:rsidR="00D44C75" w:rsidRPr="00A472FC">
        <w:rPr>
          <w:rFonts w:ascii="Times New Roman" w:hAnsi="Times New Roman" w:cs="Times New Roman"/>
          <w:color w:val="000000" w:themeColor="text1"/>
        </w:rPr>
        <w:t xml:space="preserve"> effects</w:t>
      </w:r>
      <w:r w:rsidR="001D5440" w:rsidRPr="00A472FC">
        <w:rPr>
          <w:rFonts w:ascii="Times New Roman" w:hAnsi="Times New Roman" w:cs="Times New Roman"/>
        </w:rPr>
        <w:t>.</w:t>
      </w:r>
      <w:r w:rsidR="001D5440" w:rsidRPr="00A472FC">
        <w:rPr>
          <w:rStyle w:val="EndnoteReference"/>
          <w:rFonts w:ascii="Times New Roman" w:hAnsi="Times New Roman" w:cs="Times New Roman"/>
        </w:rPr>
        <w:endnoteReference w:id="2"/>
      </w:r>
      <w:r w:rsidR="00B502AC" w:rsidRPr="00A472FC">
        <w:rPr>
          <w:rFonts w:ascii="Times New Roman" w:hAnsi="Times New Roman" w:cs="Times New Roman"/>
          <w:color w:val="000000" w:themeColor="text1"/>
        </w:rPr>
        <w:t xml:space="preserve"> </w:t>
      </w:r>
      <w:r w:rsidR="009C2BDC" w:rsidRPr="00A472FC">
        <w:rPr>
          <w:rFonts w:ascii="Times New Roman" w:hAnsi="Times New Roman" w:cs="Times New Roman"/>
          <w:color w:val="000000" w:themeColor="text1"/>
        </w:rPr>
        <w:t xml:space="preserve">In describing how </w:t>
      </w:r>
      <w:r w:rsidR="009047C2" w:rsidRPr="00A472FC">
        <w:rPr>
          <w:rFonts w:ascii="Times New Roman" w:hAnsi="Times New Roman" w:cs="Times New Roman"/>
          <w:color w:val="000000" w:themeColor="text1"/>
        </w:rPr>
        <w:t xml:space="preserve">these </w:t>
      </w:r>
      <w:r w:rsidR="00E83783" w:rsidRPr="00A472FC">
        <w:rPr>
          <w:rFonts w:ascii="Times New Roman" w:hAnsi="Times New Roman" w:cs="Times New Roman"/>
          <w:color w:val="000000" w:themeColor="text1"/>
        </w:rPr>
        <w:t xml:space="preserve">effects </w:t>
      </w:r>
      <w:r w:rsidR="009047C2" w:rsidRPr="00A472FC">
        <w:rPr>
          <w:rFonts w:ascii="Times New Roman" w:hAnsi="Times New Roman" w:cs="Times New Roman"/>
          <w:color w:val="000000" w:themeColor="text1"/>
        </w:rPr>
        <w:t>give insight into God</w:t>
      </w:r>
      <w:r w:rsidR="009C2BDC" w:rsidRPr="00A472FC">
        <w:rPr>
          <w:rFonts w:ascii="Times New Roman" w:hAnsi="Times New Roman" w:cs="Times New Roman"/>
          <w:color w:val="000000" w:themeColor="text1"/>
        </w:rPr>
        <w:t>, the Summa again takes its cue from Avicenna</w:t>
      </w:r>
      <w:r w:rsidR="009047C2" w:rsidRPr="00A472FC">
        <w:rPr>
          <w:rFonts w:ascii="Times New Roman" w:hAnsi="Times New Roman" w:cs="Times New Roman"/>
          <w:color w:val="000000" w:themeColor="text1"/>
        </w:rPr>
        <w:t>,</w:t>
      </w:r>
      <w:r w:rsidR="002014C1" w:rsidRPr="00A472FC">
        <w:rPr>
          <w:rFonts w:ascii="Times New Roman" w:hAnsi="Times New Roman" w:cs="Times New Roman"/>
          <w:color w:val="000000" w:themeColor="text1"/>
        </w:rPr>
        <w:t xml:space="preserve"> who states in his metaphysics that Being—</w:t>
      </w:r>
      <w:r w:rsidR="00187408" w:rsidRPr="00A472FC">
        <w:rPr>
          <w:rFonts w:ascii="Times New Roman" w:hAnsi="Times New Roman" w:cs="Times New Roman"/>
          <w:color w:val="000000" w:themeColor="text1"/>
        </w:rPr>
        <w:t xml:space="preserve">or </w:t>
      </w:r>
      <w:r w:rsidR="002014C1" w:rsidRPr="00A472FC">
        <w:rPr>
          <w:rFonts w:ascii="Times New Roman" w:hAnsi="Times New Roman" w:cs="Times New Roman"/>
          <w:color w:val="000000" w:themeColor="text1"/>
        </w:rPr>
        <w:t>in the case of the Franciscans, God—is wholly other to all beings</w:t>
      </w:r>
      <w:r w:rsidR="00187408" w:rsidRPr="00A472FC">
        <w:rPr>
          <w:rFonts w:ascii="Times New Roman" w:hAnsi="Times New Roman" w:cs="Times New Roman"/>
          <w:color w:val="000000" w:themeColor="text1"/>
        </w:rPr>
        <w:t>,</w:t>
      </w:r>
      <w:r w:rsidR="00A95CE7" w:rsidRPr="00A472FC">
        <w:rPr>
          <w:rFonts w:ascii="Times New Roman" w:hAnsi="Times New Roman" w:cs="Times New Roman"/>
          <w:color w:val="000000" w:themeColor="text1"/>
        </w:rPr>
        <w:t xml:space="preserve"> while at the same time insisting that what </w:t>
      </w:r>
      <w:r w:rsidR="002014C1" w:rsidRPr="00A472FC">
        <w:rPr>
          <w:rFonts w:ascii="Times New Roman" w:hAnsi="Times New Roman" w:cs="Times New Roman"/>
          <w:color w:val="000000" w:themeColor="text1"/>
        </w:rPr>
        <w:t xml:space="preserve">belongs to it as to a substance can be </w:t>
      </w:r>
      <w:r w:rsidR="002014C1" w:rsidRPr="00A472FC">
        <w:rPr>
          <w:rFonts w:ascii="Times New Roman" w:hAnsi="Times New Roman" w:cs="Times New Roman"/>
          <w:color w:val="000000" w:themeColor="text1"/>
        </w:rPr>
        <w:lastRenderedPageBreak/>
        <w:t xml:space="preserve">said equally to belong to </w:t>
      </w:r>
      <w:r w:rsidR="00A95CE7" w:rsidRPr="00A472FC">
        <w:rPr>
          <w:rFonts w:ascii="Times New Roman" w:hAnsi="Times New Roman" w:cs="Times New Roman"/>
          <w:color w:val="000000" w:themeColor="text1"/>
        </w:rPr>
        <w:t xml:space="preserve">ordinary </w:t>
      </w:r>
      <w:r w:rsidR="002014C1" w:rsidRPr="00A472FC">
        <w:rPr>
          <w:rFonts w:ascii="Times New Roman" w:hAnsi="Times New Roman" w:cs="Times New Roman"/>
          <w:color w:val="000000" w:themeColor="text1"/>
        </w:rPr>
        <w:t>beings as to an accident.</w:t>
      </w:r>
      <w:r w:rsidR="002014C1" w:rsidRPr="00A472FC">
        <w:rPr>
          <w:rStyle w:val="FootnoteReference"/>
          <w:rFonts w:ascii="Times New Roman" w:hAnsi="Times New Roman" w:cs="Times New Roman"/>
          <w:color w:val="000000" w:themeColor="text1"/>
        </w:rPr>
        <w:footnoteReference w:id="780"/>
      </w:r>
      <w:r w:rsidR="002014C1" w:rsidRPr="00A472FC">
        <w:rPr>
          <w:rFonts w:ascii="Times New Roman" w:hAnsi="Times New Roman" w:cs="Times New Roman"/>
          <w:color w:val="000000" w:themeColor="text1"/>
        </w:rPr>
        <w:t xml:space="preserve"> </w:t>
      </w:r>
      <w:r w:rsidR="00057868" w:rsidRPr="00A472FC">
        <w:rPr>
          <w:rFonts w:ascii="Times New Roman" w:hAnsi="Times New Roman" w:cs="Times New Roman"/>
          <w:color w:val="000000" w:themeColor="text1"/>
        </w:rPr>
        <w:t>The substance has the quality as a cause or what is prior to the arrival of the accident, while the accident has it as the effect of the substance</w:t>
      </w:r>
      <w:r w:rsidR="002F0843" w:rsidRPr="00A472FC">
        <w:rPr>
          <w:rFonts w:ascii="Times New Roman" w:hAnsi="Times New Roman" w:cs="Times New Roman"/>
          <w:color w:val="000000" w:themeColor="text1"/>
        </w:rPr>
        <w:t>,</w:t>
      </w:r>
      <w:r w:rsidR="00057868" w:rsidRPr="00A472FC">
        <w:rPr>
          <w:rFonts w:ascii="Times New Roman" w:hAnsi="Times New Roman" w:cs="Times New Roman"/>
          <w:color w:val="000000" w:themeColor="text1"/>
        </w:rPr>
        <w:t xml:space="preserve"> </w:t>
      </w:r>
      <w:r w:rsidR="00E50FED" w:rsidRPr="00A472FC">
        <w:rPr>
          <w:rFonts w:ascii="Times New Roman" w:hAnsi="Times New Roman" w:cs="Times New Roman"/>
          <w:color w:val="000000" w:themeColor="text1"/>
        </w:rPr>
        <w:t>or because the substance has it</w:t>
      </w:r>
      <w:r w:rsidR="002F0843" w:rsidRPr="00A472FC">
        <w:rPr>
          <w:rFonts w:ascii="Times New Roman" w:hAnsi="Times New Roman" w:cs="Times New Roman"/>
          <w:color w:val="000000" w:themeColor="text1"/>
        </w:rPr>
        <w:t>,</w:t>
      </w:r>
      <w:r w:rsidR="00E50FED" w:rsidRPr="00A472FC">
        <w:rPr>
          <w:rFonts w:ascii="Times New Roman" w:hAnsi="Times New Roman" w:cs="Times New Roman"/>
          <w:color w:val="000000" w:themeColor="text1"/>
        </w:rPr>
        <w:t xml:space="preserve"> and thus has it in a</w:t>
      </w:r>
      <w:r w:rsidR="00057868" w:rsidRPr="00A472FC">
        <w:rPr>
          <w:rFonts w:ascii="Times New Roman" w:hAnsi="Times New Roman" w:cs="Times New Roman"/>
          <w:color w:val="000000" w:themeColor="text1"/>
        </w:rPr>
        <w:t xml:space="preserve"> posterior </w:t>
      </w:r>
      <w:r w:rsidR="00E50FED" w:rsidRPr="00A472FC">
        <w:rPr>
          <w:rFonts w:ascii="Times New Roman" w:hAnsi="Times New Roman" w:cs="Times New Roman"/>
          <w:color w:val="000000" w:themeColor="text1"/>
        </w:rPr>
        <w:t>way.</w:t>
      </w:r>
      <w:r w:rsidR="00057868" w:rsidRPr="00A472FC">
        <w:rPr>
          <w:rFonts w:ascii="Times New Roman" w:hAnsi="Times New Roman" w:cs="Times New Roman"/>
          <w:color w:val="000000" w:themeColor="text1"/>
        </w:rPr>
        <w:t xml:space="preserve"> </w:t>
      </w:r>
      <w:r w:rsidR="00E50FED" w:rsidRPr="00A472FC">
        <w:rPr>
          <w:rFonts w:ascii="Times New Roman" w:hAnsi="Times New Roman" w:cs="Times New Roman"/>
          <w:color w:val="000000" w:themeColor="text1"/>
        </w:rPr>
        <w:t>N</w:t>
      </w:r>
      <w:r w:rsidR="00057868" w:rsidRPr="00A472FC">
        <w:rPr>
          <w:rFonts w:ascii="Times New Roman" w:hAnsi="Times New Roman" w:cs="Times New Roman"/>
          <w:color w:val="000000" w:themeColor="text1"/>
        </w:rPr>
        <w:t>evertheless, the</w:t>
      </w:r>
      <w:r w:rsidR="00E50FED" w:rsidRPr="00A472FC">
        <w:rPr>
          <w:rFonts w:ascii="Times New Roman" w:hAnsi="Times New Roman" w:cs="Times New Roman"/>
          <w:color w:val="000000" w:themeColor="text1"/>
        </w:rPr>
        <w:t xml:space="preserve"> substance and accident</w:t>
      </w:r>
      <w:r w:rsidR="00AF5602" w:rsidRPr="00A472FC">
        <w:rPr>
          <w:rFonts w:ascii="Times New Roman" w:hAnsi="Times New Roman" w:cs="Times New Roman"/>
          <w:color w:val="000000" w:themeColor="text1"/>
        </w:rPr>
        <w:t>, cause and caused,</w:t>
      </w:r>
      <w:r w:rsidR="00057868" w:rsidRPr="00A472FC">
        <w:rPr>
          <w:rFonts w:ascii="Times New Roman" w:hAnsi="Times New Roman" w:cs="Times New Roman"/>
          <w:color w:val="000000" w:themeColor="text1"/>
        </w:rPr>
        <w:t xml:space="preserve"> possess the same quality. </w:t>
      </w:r>
      <w:r w:rsidR="007760F4" w:rsidRPr="00A472FC">
        <w:rPr>
          <w:rFonts w:ascii="Times New Roman" w:hAnsi="Times New Roman" w:cs="Times New Roman"/>
          <w:color w:val="000000" w:themeColor="text1"/>
        </w:rPr>
        <w:t xml:space="preserve">The </w:t>
      </w:r>
      <w:proofErr w:type="spellStart"/>
      <w:r w:rsidR="007760F4" w:rsidRPr="00A472FC">
        <w:rPr>
          <w:rFonts w:ascii="Times New Roman" w:hAnsi="Times New Roman" w:cs="Times New Roman"/>
          <w:color w:val="000000" w:themeColor="text1"/>
        </w:rPr>
        <w:t>Summist</w:t>
      </w:r>
      <w:proofErr w:type="spellEnd"/>
      <w:r w:rsidR="007760F4" w:rsidRPr="00A472FC">
        <w:rPr>
          <w:rFonts w:ascii="Times New Roman" w:hAnsi="Times New Roman" w:cs="Times New Roman"/>
          <w:color w:val="000000" w:themeColor="text1"/>
        </w:rPr>
        <w:t xml:space="preserve"> picks up on precisely this line of argument in speaking of the analogy between God and creatures</w:t>
      </w:r>
      <w:r w:rsidR="00972C9F" w:rsidRPr="00A472FC">
        <w:rPr>
          <w:rFonts w:ascii="Times New Roman" w:hAnsi="Times New Roman" w:cs="Times New Roman"/>
          <w:color w:val="000000" w:themeColor="text1"/>
        </w:rPr>
        <w:t>:</w:t>
      </w:r>
      <w:r w:rsidR="007760F4" w:rsidRPr="00A472FC">
        <w:rPr>
          <w:rFonts w:ascii="Times New Roman" w:hAnsi="Times New Roman" w:cs="Times New Roman"/>
          <w:color w:val="000000" w:themeColor="text1"/>
        </w:rPr>
        <w:t xml:space="preserve"> </w:t>
      </w:r>
      <w:r w:rsidR="001B7C27" w:rsidRPr="00A472FC">
        <w:rPr>
          <w:rFonts w:ascii="Times New Roman" w:hAnsi="Times New Roman" w:cs="Times New Roman"/>
          <w:color w:val="000000" w:themeColor="text1"/>
        </w:rPr>
        <w:t xml:space="preserve">  </w:t>
      </w:r>
    </w:p>
    <w:p w14:paraId="7DB51280" w14:textId="2693B3E9" w:rsidR="002014C1" w:rsidRPr="00A472FC" w:rsidRDefault="002014C1" w:rsidP="00E212D3">
      <w:pPr>
        <w:ind w:right="-52" w:firstLine="720"/>
        <w:rPr>
          <w:rFonts w:ascii="Times New Roman" w:hAnsi="Times New Roman" w:cs="Times New Roman"/>
          <w:color w:val="000000" w:themeColor="text1"/>
        </w:rPr>
      </w:pPr>
    </w:p>
    <w:p w14:paraId="2EC2FBF7" w14:textId="747A3BAA" w:rsidR="008A1E9F" w:rsidRPr="00A472FC" w:rsidRDefault="00972C9F" w:rsidP="00972C9F">
      <w:pPr>
        <w:pStyle w:val="TX"/>
        <w:ind w:firstLine="0"/>
        <w:rPr>
          <w:sz w:val="24"/>
          <w:szCs w:val="24"/>
        </w:rPr>
      </w:pPr>
      <w:r w:rsidRPr="00A472FC">
        <w:rPr>
          <w:sz w:val="24"/>
          <w:szCs w:val="24"/>
        </w:rPr>
        <w:t xml:space="preserve">An example of analogical agreement would be substance and accident: they agree in that they are both [a type of] being, which is predicated of them in terms of priority: substance as [a type of] being serves as a substrate to its accidents, and therefore ‘being’ is predicated in a primary sense of substance, which is ‘being’ essentially, and in a secondary sense of accidents, which are ‘beings’ [by virtue of being] in something else. Therefore, one must reply that there is no univocal agreement between God and creatures, but there is an analogical one. For example, if </w:t>
      </w:r>
      <w:r w:rsidR="00905660" w:rsidRPr="00A472FC">
        <w:rPr>
          <w:sz w:val="24"/>
          <w:szCs w:val="24"/>
        </w:rPr>
        <w:t>‘</w:t>
      </w:r>
      <w:r w:rsidRPr="00A472FC">
        <w:rPr>
          <w:sz w:val="24"/>
          <w:szCs w:val="24"/>
        </w:rPr>
        <w:t>good</w:t>
      </w:r>
      <w:r w:rsidR="00905660" w:rsidRPr="00A472FC">
        <w:rPr>
          <w:sz w:val="24"/>
          <w:szCs w:val="24"/>
        </w:rPr>
        <w:t>’</w:t>
      </w:r>
      <w:r w:rsidRPr="00A472FC">
        <w:rPr>
          <w:sz w:val="24"/>
          <w:szCs w:val="24"/>
        </w:rPr>
        <w:t xml:space="preserve"> is predicated of God and of creatures, it is predicated of God essentially, and of creatures in terms of participation. This suggests that the predication </w:t>
      </w:r>
      <w:r w:rsidR="008A1E9F" w:rsidRPr="00A472FC">
        <w:rPr>
          <w:sz w:val="24"/>
          <w:szCs w:val="24"/>
        </w:rPr>
        <w:t>‘</w:t>
      </w:r>
      <w:r w:rsidRPr="00A472FC">
        <w:rPr>
          <w:sz w:val="24"/>
          <w:szCs w:val="24"/>
        </w:rPr>
        <w:t>good</w:t>
      </w:r>
      <w:r w:rsidR="008A1E9F" w:rsidRPr="00A472FC">
        <w:rPr>
          <w:sz w:val="24"/>
          <w:szCs w:val="24"/>
        </w:rPr>
        <w:t>’</w:t>
      </w:r>
      <w:r w:rsidRPr="00A472FC">
        <w:rPr>
          <w:sz w:val="24"/>
          <w:szCs w:val="24"/>
        </w:rPr>
        <w:t xml:space="preserve"> of God and of creatures is analogical.</w:t>
      </w:r>
      <w:r w:rsidR="008A1E9F" w:rsidRPr="00A472FC">
        <w:rPr>
          <w:rStyle w:val="FootnoteReference"/>
          <w:sz w:val="24"/>
          <w:szCs w:val="24"/>
        </w:rPr>
        <w:footnoteReference w:id="781"/>
      </w:r>
    </w:p>
    <w:p w14:paraId="502FED3E" w14:textId="1A022936" w:rsidR="001A1D0B" w:rsidRPr="00A472FC" w:rsidRDefault="001A1D0B" w:rsidP="00E212D3">
      <w:pPr>
        <w:ind w:right="-52" w:firstLine="720"/>
        <w:rPr>
          <w:rFonts w:ascii="Times New Roman" w:hAnsi="Times New Roman" w:cs="Times New Roman"/>
          <w:color w:val="000000" w:themeColor="text1"/>
        </w:rPr>
      </w:pPr>
    </w:p>
    <w:p w14:paraId="7BF3CE09" w14:textId="7F309B88" w:rsidR="00AD395F" w:rsidRPr="00A472FC" w:rsidRDefault="008A1E9F" w:rsidP="00AD395F">
      <w:pPr>
        <w:pStyle w:val="TX"/>
        <w:spacing w:after="0"/>
        <w:ind w:left="0" w:firstLine="0"/>
        <w:rPr>
          <w:sz w:val="24"/>
          <w:szCs w:val="24"/>
        </w:rPr>
      </w:pPr>
      <w:r w:rsidRPr="00A472FC">
        <w:rPr>
          <w:sz w:val="24"/>
          <w:szCs w:val="24"/>
        </w:rPr>
        <w:tab/>
      </w:r>
      <w:r w:rsidR="00612518" w:rsidRPr="00A472FC">
        <w:rPr>
          <w:sz w:val="24"/>
          <w:szCs w:val="24"/>
        </w:rPr>
        <w:t>Although</w:t>
      </w:r>
      <w:r w:rsidR="009C011A" w:rsidRPr="00A472FC">
        <w:rPr>
          <w:sz w:val="24"/>
          <w:szCs w:val="24"/>
        </w:rPr>
        <w:t xml:space="preserve"> the Summa describes the creator-creature relationship in terms of analogy here</w:t>
      </w:r>
      <w:r w:rsidR="00612518" w:rsidRPr="00A472FC">
        <w:rPr>
          <w:sz w:val="24"/>
          <w:szCs w:val="24"/>
        </w:rPr>
        <w:t xml:space="preserve">, </w:t>
      </w:r>
      <w:r w:rsidRPr="00A472FC">
        <w:rPr>
          <w:sz w:val="24"/>
          <w:szCs w:val="24"/>
        </w:rPr>
        <w:t>numerous authors have noted</w:t>
      </w:r>
      <w:r w:rsidR="00612518" w:rsidRPr="00A472FC">
        <w:rPr>
          <w:sz w:val="24"/>
          <w:szCs w:val="24"/>
        </w:rPr>
        <w:t xml:space="preserve"> that</w:t>
      </w:r>
      <w:r w:rsidRPr="00A472FC">
        <w:rPr>
          <w:sz w:val="24"/>
          <w:szCs w:val="24"/>
        </w:rPr>
        <w:t xml:space="preserve"> the type of analogy </w:t>
      </w:r>
      <w:r w:rsidR="00F018E9" w:rsidRPr="00A472FC">
        <w:rPr>
          <w:sz w:val="24"/>
          <w:szCs w:val="24"/>
        </w:rPr>
        <w:t xml:space="preserve">that the </w:t>
      </w:r>
      <w:proofErr w:type="spellStart"/>
      <w:r w:rsidR="00F018E9" w:rsidRPr="00A472FC">
        <w:rPr>
          <w:sz w:val="24"/>
          <w:szCs w:val="24"/>
        </w:rPr>
        <w:t>Summist</w:t>
      </w:r>
      <w:proofErr w:type="spellEnd"/>
      <w:r w:rsidR="00F018E9" w:rsidRPr="00A472FC">
        <w:rPr>
          <w:sz w:val="24"/>
          <w:szCs w:val="24"/>
        </w:rPr>
        <w:t xml:space="preserve"> seems to have in mind </w:t>
      </w:r>
      <w:r w:rsidR="009C011A" w:rsidRPr="00A472FC">
        <w:rPr>
          <w:sz w:val="24"/>
          <w:szCs w:val="24"/>
        </w:rPr>
        <w:t>is</w:t>
      </w:r>
      <w:r w:rsidR="00D409B3" w:rsidRPr="00A472FC">
        <w:rPr>
          <w:sz w:val="24"/>
          <w:szCs w:val="24"/>
        </w:rPr>
        <w:t xml:space="preserve"> something more like an analogy of proportionality</w:t>
      </w:r>
      <w:r w:rsidR="0013558B" w:rsidRPr="00A472FC">
        <w:rPr>
          <w:sz w:val="24"/>
          <w:szCs w:val="24"/>
        </w:rPr>
        <w:t>.</w:t>
      </w:r>
      <w:r w:rsidR="0013558B" w:rsidRPr="00A472FC">
        <w:rPr>
          <w:rStyle w:val="FootnoteReference"/>
          <w:sz w:val="24"/>
          <w:szCs w:val="24"/>
        </w:rPr>
        <w:footnoteReference w:id="782"/>
      </w:r>
      <w:r w:rsidR="00612518" w:rsidRPr="00A472FC">
        <w:rPr>
          <w:sz w:val="24"/>
          <w:szCs w:val="24"/>
        </w:rPr>
        <w:t xml:space="preserve"> This </w:t>
      </w:r>
      <w:r w:rsidR="00D409B3" w:rsidRPr="00A472FC">
        <w:rPr>
          <w:sz w:val="24"/>
          <w:szCs w:val="24"/>
        </w:rPr>
        <w:t>acknowledg</w:t>
      </w:r>
      <w:r w:rsidR="00612518" w:rsidRPr="00A472FC">
        <w:rPr>
          <w:sz w:val="24"/>
          <w:szCs w:val="24"/>
        </w:rPr>
        <w:t>es</w:t>
      </w:r>
      <w:r w:rsidR="00D409B3" w:rsidRPr="00A472FC">
        <w:rPr>
          <w:sz w:val="24"/>
          <w:szCs w:val="24"/>
        </w:rPr>
        <w:t xml:space="preserve"> the disparity between the infinite God and finite beings, </w:t>
      </w:r>
      <w:r w:rsidR="00612518" w:rsidRPr="00A472FC">
        <w:rPr>
          <w:sz w:val="24"/>
          <w:szCs w:val="24"/>
        </w:rPr>
        <w:t xml:space="preserve">but </w:t>
      </w:r>
      <w:r w:rsidR="00D409B3" w:rsidRPr="00A472FC">
        <w:rPr>
          <w:sz w:val="24"/>
          <w:szCs w:val="24"/>
        </w:rPr>
        <w:t>nonetheless allows for the possibility of referring to them in the same terms with the same meaning.</w:t>
      </w:r>
      <w:r w:rsidR="007F4C56" w:rsidRPr="00A472FC">
        <w:rPr>
          <w:sz w:val="24"/>
          <w:szCs w:val="24"/>
        </w:rPr>
        <w:t xml:space="preserve"> </w:t>
      </w:r>
      <w:r w:rsidR="00AD395F" w:rsidRPr="00A472FC">
        <w:rPr>
          <w:sz w:val="24"/>
          <w:szCs w:val="24"/>
        </w:rPr>
        <w:t>Thus</w:t>
      </w:r>
      <w:r w:rsidR="007F4C56" w:rsidRPr="00A472FC">
        <w:rPr>
          <w:sz w:val="24"/>
          <w:szCs w:val="24"/>
        </w:rPr>
        <w:t>, the definition of analogy presupposed by early Franciscans differed dramatically fro</w:t>
      </w:r>
      <w:r w:rsidR="00A93D68" w:rsidRPr="00A472FC">
        <w:rPr>
          <w:sz w:val="24"/>
          <w:szCs w:val="24"/>
        </w:rPr>
        <w:t>m</w:t>
      </w:r>
      <w:r w:rsidR="007F4C56" w:rsidRPr="00A472FC">
        <w:rPr>
          <w:sz w:val="24"/>
          <w:szCs w:val="24"/>
        </w:rPr>
        <w:t xml:space="preserve"> the </w:t>
      </w:r>
      <w:r w:rsidR="00D409B3" w:rsidRPr="00A472FC">
        <w:rPr>
          <w:sz w:val="24"/>
          <w:szCs w:val="24"/>
        </w:rPr>
        <w:t xml:space="preserve">understanding of analogy that would be advocated by someone like Thomas Aquinas, </w:t>
      </w:r>
      <w:r w:rsidR="005C3D2D" w:rsidRPr="00A472FC">
        <w:rPr>
          <w:sz w:val="24"/>
          <w:szCs w:val="24"/>
        </w:rPr>
        <w:t xml:space="preserve">for whom God is </w:t>
      </w:r>
      <w:r w:rsidR="00576BD4" w:rsidRPr="00A472FC">
        <w:rPr>
          <w:sz w:val="24"/>
          <w:szCs w:val="24"/>
        </w:rPr>
        <w:t xml:space="preserve">who other to </w:t>
      </w:r>
      <w:r w:rsidR="005C3D2D" w:rsidRPr="00A472FC">
        <w:rPr>
          <w:sz w:val="24"/>
          <w:szCs w:val="24"/>
        </w:rPr>
        <w:t>anything we can know</w:t>
      </w:r>
      <w:r w:rsidR="00D409B3" w:rsidRPr="00A472FC">
        <w:rPr>
          <w:sz w:val="24"/>
          <w:szCs w:val="24"/>
        </w:rPr>
        <w:t>.</w:t>
      </w:r>
      <w:r w:rsidR="005C3D2D" w:rsidRPr="00A472FC">
        <w:rPr>
          <w:rStyle w:val="FootnoteReference"/>
          <w:sz w:val="24"/>
          <w:szCs w:val="24"/>
        </w:rPr>
        <w:footnoteReference w:id="783"/>
      </w:r>
      <w:r w:rsidR="00D409B3" w:rsidRPr="00A472FC">
        <w:rPr>
          <w:sz w:val="24"/>
          <w:szCs w:val="24"/>
        </w:rPr>
        <w:t xml:space="preserve"> The kind of analogy the </w:t>
      </w:r>
      <w:proofErr w:type="spellStart"/>
      <w:r w:rsidR="00D409B3" w:rsidRPr="00A472FC">
        <w:rPr>
          <w:sz w:val="24"/>
          <w:szCs w:val="24"/>
        </w:rPr>
        <w:t>Summist</w:t>
      </w:r>
      <w:proofErr w:type="spellEnd"/>
      <w:r w:rsidR="00D409B3" w:rsidRPr="00A472FC">
        <w:rPr>
          <w:sz w:val="24"/>
          <w:szCs w:val="24"/>
        </w:rPr>
        <w:t xml:space="preserve"> seems to have in mind here seems in fact similar to what </w:t>
      </w:r>
      <w:r w:rsidR="00F018E9" w:rsidRPr="00A472FC">
        <w:rPr>
          <w:sz w:val="24"/>
          <w:szCs w:val="24"/>
        </w:rPr>
        <w:t>Franciscans like Duns Scotus would de</w:t>
      </w:r>
      <w:r w:rsidR="00D409B3" w:rsidRPr="00A472FC">
        <w:rPr>
          <w:sz w:val="24"/>
          <w:szCs w:val="24"/>
        </w:rPr>
        <w:t>scribe as</w:t>
      </w:r>
      <w:r w:rsidR="00F018E9" w:rsidRPr="00A472FC">
        <w:rPr>
          <w:sz w:val="24"/>
          <w:szCs w:val="24"/>
        </w:rPr>
        <w:t xml:space="preserve"> </w:t>
      </w:r>
      <w:proofErr w:type="spellStart"/>
      <w:r w:rsidR="00F018E9" w:rsidRPr="00A472FC">
        <w:rPr>
          <w:sz w:val="24"/>
          <w:szCs w:val="24"/>
        </w:rPr>
        <w:t>univocity</w:t>
      </w:r>
      <w:proofErr w:type="spellEnd"/>
      <w:r w:rsidR="0013558B" w:rsidRPr="00A472FC">
        <w:rPr>
          <w:sz w:val="24"/>
          <w:szCs w:val="24"/>
        </w:rPr>
        <w:t>.</w:t>
      </w:r>
      <w:r w:rsidR="00F018E9" w:rsidRPr="00A472FC">
        <w:rPr>
          <w:sz w:val="24"/>
          <w:szCs w:val="24"/>
        </w:rPr>
        <w:t xml:space="preserve"> </w:t>
      </w:r>
    </w:p>
    <w:p w14:paraId="5AEB0432" w14:textId="5D210968" w:rsidR="009B7410" w:rsidRPr="00A472FC" w:rsidRDefault="00731B4B" w:rsidP="00AD395F">
      <w:pPr>
        <w:pStyle w:val="TX"/>
        <w:spacing w:after="0"/>
        <w:ind w:left="0"/>
        <w:rPr>
          <w:sz w:val="24"/>
          <w:szCs w:val="24"/>
        </w:rPr>
      </w:pPr>
      <w:r w:rsidRPr="00A472FC">
        <w:rPr>
          <w:sz w:val="24"/>
          <w:szCs w:val="24"/>
        </w:rPr>
        <w:t xml:space="preserve">As Jacob Wood has observed, the upshot of </w:t>
      </w:r>
      <w:proofErr w:type="spellStart"/>
      <w:r w:rsidR="008247B6" w:rsidRPr="00A472FC">
        <w:rPr>
          <w:sz w:val="24"/>
          <w:szCs w:val="24"/>
        </w:rPr>
        <w:t>univocity</w:t>
      </w:r>
      <w:proofErr w:type="spellEnd"/>
      <w:r w:rsidR="008247B6" w:rsidRPr="00A472FC">
        <w:rPr>
          <w:sz w:val="24"/>
          <w:szCs w:val="24"/>
        </w:rPr>
        <w:t xml:space="preserve"> is</w:t>
      </w:r>
      <w:r w:rsidRPr="00A472FC">
        <w:rPr>
          <w:sz w:val="24"/>
          <w:szCs w:val="24"/>
        </w:rPr>
        <w:t xml:space="preserve"> that the effects of the divine, namely, creatures, have the power to make something positive, if, again, limited, directly known about the nature of God.</w:t>
      </w:r>
      <w:r w:rsidRPr="00A472FC">
        <w:rPr>
          <w:rStyle w:val="FootnoteReference"/>
          <w:sz w:val="24"/>
          <w:szCs w:val="24"/>
        </w:rPr>
        <w:footnoteReference w:id="784"/>
      </w:r>
      <w:r w:rsidRPr="00A472FC">
        <w:rPr>
          <w:sz w:val="24"/>
          <w:szCs w:val="24"/>
        </w:rPr>
        <w:t xml:space="preserve"> </w:t>
      </w:r>
      <w:r w:rsidR="001D5440" w:rsidRPr="00A472FC">
        <w:rPr>
          <w:sz w:val="24"/>
          <w:szCs w:val="24"/>
        </w:rPr>
        <w:t xml:space="preserve">Thus, Wood rightly notes that </w:t>
      </w:r>
      <w:r w:rsidR="00C15B3F" w:rsidRPr="00A472FC">
        <w:rPr>
          <w:sz w:val="24"/>
          <w:szCs w:val="24"/>
        </w:rPr>
        <w:t>early</w:t>
      </w:r>
      <w:r w:rsidR="001D5440" w:rsidRPr="00A472FC">
        <w:rPr>
          <w:sz w:val="24"/>
          <w:szCs w:val="24"/>
        </w:rPr>
        <w:t xml:space="preserve"> </w:t>
      </w:r>
      <w:r w:rsidR="007C5EAD" w:rsidRPr="00A472FC">
        <w:rPr>
          <w:sz w:val="24"/>
          <w:szCs w:val="24"/>
        </w:rPr>
        <w:t xml:space="preserve">Franciscan thought </w:t>
      </w:r>
      <w:r w:rsidR="00C15B3F" w:rsidRPr="00A472FC">
        <w:rPr>
          <w:sz w:val="24"/>
          <w:szCs w:val="24"/>
        </w:rPr>
        <w:lastRenderedPageBreak/>
        <w:t>signals</w:t>
      </w:r>
      <w:r w:rsidR="007C5EAD" w:rsidRPr="00A472FC">
        <w:rPr>
          <w:sz w:val="24"/>
          <w:szCs w:val="24"/>
        </w:rPr>
        <w:t xml:space="preserve"> </w:t>
      </w:r>
      <w:r w:rsidR="009B7410" w:rsidRPr="00A472FC">
        <w:rPr>
          <w:sz w:val="24"/>
          <w:szCs w:val="24"/>
        </w:rPr>
        <w:t xml:space="preserve">shift </w:t>
      </w:r>
      <w:r w:rsidR="007C5EAD" w:rsidRPr="00A472FC">
        <w:rPr>
          <w:sz w:val="24"/>
          <w:szCs w:val="24"/>
        </w:rPr>
        <w:t xml:space="preserve">away from the </w:t>
      </w:r>
      <w:r w:rsidR="009B7410" w:rsidRPr="00A472FC">
        <w:rPr>
          <w:sz w:val="24"/>
          <w:szCs w:val="24"/>
        </w:rPr>
        <w:t>apophatic tradition such as had dominated in Augustine, Anselm, and Aquinas, according to which creatures can only tell us what God is not, towards a more cataphatic understanding in which something positive if partial can be known through creatures that exhibit unity, truth, and goodness about the nature of the God, who is One, True, and Good, in the proper sense of the term.</w:t>
      </w:r>
      <w:r w:rsidR="009B7410" w:rsidRPr="00A472FC">
        <w:rPr>
          <w:rStyle w:val="EndnoteReference"/>
          <w:sz w:val="24"/>
          <w:szCs w:val="24"/>
        </w:rPr>
        <w:endnoteReference w:id="3"/>
      </w:r>
    </w:p>
    <w:p w14:paraId="25029B95" w14:textId="36E44BD1" w:rsidR="001D5440" w:rsidRPr="00A472FC" w:rsidRDefault="009C4AC9" w:rsidP="0084623F">
      <w:pPr>
        <w:autoSpaceDE w:val="0"/>
        <w:autoSpaceDN w:val="0"/>
        <w:adjustRightInd w:val="0"/>
        <w:ind w:firstLine="720"/>
        <w:rPr>
          <w:rFonts w:ascii="Times New Roman" w:hAnsi="Times New Roman" w:cs="Times New Roman"/>
        </w:rPr>
      </w:pPr>
      <w:r w:rsidRPr="00A472FC">
        <w:rPr>
          <w:rFonts w:ascii="Times New Roman" w:hAnsi="Times New Roman" w:cs="Times New Roman"/>
        </w:rPr>
        <w:t>As noted, the</w:t>
      </w:r>
      <w:r w:rsidR="009B7410" w:rsidRPr="00A472FC">
        <w:rPr>
          <w:rFonts w:ascii="Times New Roman" w:hAnsi="Times New Roman" w:cs="Times New Roman"/>
        </w:rPr>
        <w:t xml:space="preserve"> inspiration behind this shift was clearly Avicenna’s metaphysics of necessary or actual and possible beings which helped early Franciscans to envisage a God who possesses an idea of all things that are and could be—of the infinite—and whose instantiation of some of those individual ideas makes himself directly accessible to the mind in a finite but nonetheless </w:t>
      </w:r>
      <w:r w:rsidR="00B456B5" w:rsidRPr="00A472FC">
        <w:rPr>
          <w:rFonts w:ascii="Times New Roman" w:hAnsi="Times New Roman" w:cs="Times New Roman"/>
        </w:rPr>
        <w:t>immediate</w:t>
      </w:r>
      <w:r w:rsidR="009B7410" w:rsidRPr="00A472FC">
        <w:rPr>
          <w:rFonts w:ascii="Times New Roman" w:hAnsi="Times New Roman" w:cs="Times New Roman"/>
        </w:rPr>
        <w:t xml:space="preserve"> way. Such an account can hardly help but bring to mind Francis’ emphasis on the value of creatures great and small, of God’s love for them</w:t>
      </w:r>
      <w:r w:rsidR="00A80D54">
        <w:rPr>
          <w:rFonts w:ascii="Times New Roman" w:hAnsi="Times New Roman" w:cs="Times New Roman"/>
        </w:rPr>
        <w:t>,</w:t>
      </w:r>
      <w:r w:rsidR="009B7410" w:rsidRPr="00A472FC">
        <w:rPr>
          <w:rFonts w:ascii="Times New Roman" w:hAnsi="Times New Roman" w:cs="Times New Roman"/>
        </w:rPr>
        <w:t xml:space="preserve"> and the way they make God known to us. Moreover, the </w:t>
      </w:r>
      <w:proofErr w:type="spellStart"/>
      <w:r w:rsidR="009B7410" w:rsidRPr="00A472FC">
        <w:rPr>
          <w:rFonts w:ascii="Times New Roman" w:hAnsi="Times New Roman" w:cs="Times New Roman"/>
        </w:rPr>
        <w:t>Avicennian</w:t>
      </w:r>
      <w:proofErr w:type="spellEnd"/>
      <w:r w:rsidR="009B7410" w:rsidRPr="00A472FC">
        <w:rPr>
          <w:rFonts w:ascii="Times New Roman" w:hAnsi="Times New Roman" w:cs="Times New Roman"/>
        </w:rPr>
        <w:t xml:space="preserve"> doctrine of the transcendentals help</w:t>
      </w:r>
      <w:r w:rsidR="0084623F" w:rsidRPr="00A472FC">
        <w:rPr>
          <w:rFonts w:ascii="Times New Roman" w:hAnsi="Times New Roman" w:cs="Times New Roman"/>
        </w:rPr>
        <w:t>ed</w:t>
      </w:r>
      <w:r w:rsidR="009B7410" w:rsidRPr="00A472FC">
        <w:rPr>
          <w:rFonts w:ascii="Times New Roman" w:hAnsi="Times New Roman" w:cs="Times New Roman"/>
        </w:rPr>
        <w:t xml:space="preserve"> to stress the intimacy of the mind to God, such as Francis enjoyed, which enabled him to find God’s love in every creature in the first place. </w:t>
      </w:r>
    </w:p>
    <w:p w14:paraId="7DCB2B0C" w14:textId="77777777" w:rsidR="001F2064" w:rsidRPr="00A472FC" w:rsidRDefault="00E212D3" w:rsidP="00C758D7">
      <w:pPr>
        <w:pStyle w:val="TX"/>
        <w:spacing w:after="0"/>
        <w:ind w:left="0"/>
        <w:rPr>
          <w:color w:val="000000" w:themeColor="text1"/>
          <w:sz w:val="24"/>
          <w:szCs w:val="24"/>
        </w:rPr>
      </w:pPr>
      <w:r w:rsidRPr="00A472FC">
        <w:rPr>
          <w:rFonts w:eastAsiaTheme="minorEastAsia"/>
          <w:sz w:val="24"/>
          <w:szCs w:val="24"/>
        </w:rPr>
        <w:t xml:space="preserve">While John’s </w:t>
      </w:r>
      <w:proofErr w:type="spellStart"/>
      <w:r w:rsidRPr="00A472FC">
        <w:rPr>
          <w:rFonts w:eastAsiaTheme="minorEastAsia"/>
          <w:i/>
          <w:sz w:val="24"/>
          <w:szCs w:val="24"/>
        </w:rPr>
        <w:t>Tractatus</w:t>
      </w:r>
      <w:proofErr w:type="spellEnd"/>
      <w:r w:rsidRPr="00A472FC">
        <w:rPr>
          <w:rFonts w:eastAsiaTheme="minorEastAsia"/>
          <w:i/>
          <w:sz w:val="24"/>
          <w:szCs w:val="24"/>
        </w:rPr>
        <w:t xml:space="preserve"> </w:t>
      </w:r>
      <w:r w:rsidRPr="00A472FC">
        <w:rPr>
          <w:rFonts w:eastAsiaTheme="minorEastAsia"/>
          <w:sz w:val="24"/>
          <w:szCs w:val="24"/>
        </w:rPr>
        <w:t xml:space="preserve">and </w:t>
      </w:r>
      <w:r w:rsidRPr="00A472FC">
        <w:rPr>
          <w:rFonts w:eastAsiaTheme="minorEastAsia"/>
          <w:i/>
          <w:sz w:val="24"/>
          <w:szCs w:val="24"/>
        </w:rPr>
        <w:t xml:space="preserve">Summa de anima </w:t>
      </w:r>
      <w:r w:rsidRPr="00A472FC">
        <w:rPr>
          <w:rFonts w:eastAsiaTheme="minorEastAsia"/>
          <w:sz w:val="24"/>
          <w:szCs w:val="24"/>
        </w:rPr>
        <w:t>do not develop the</w:t>
      </w:r>
      <w:r w:rsidR="00AF052B" w:rsidRPr="00A472FC">
        <w:rPr>
          <w:rFonts w:eastAsiaTheme="minorEastAsia"/>
          <w:sz w:val="24"/>
          <w:szCs w:val="24"/>
        </w:rPr>
        <w:t>se ideas about h</w:t>
      </w:r>
      <w:r w:rsidR="006628E7" w:rsidRPr="00A472FC">
        <w:rPr>
          <w:rFonts w:eastAsiaTheme="minorEastAsia"/>
          <w:sz w:val="24"/>
          <w:szCs w:val="24"/>
        </w:rPr>
        <w:t>o</w:t>
      </w:r>
      <w:r w:rsidR="00AF052B" w:rsidRPr="00A472FC">
        <w:rPr>
          <w:rFonts w:eastAsiaTheme="minorEastAsia"/>
          <w:sz w:val="24"/>
          <w:szCs w:val="24"/>
        </w:rPr>
        <w:t>w God can be known through his</w:t>
      </w:r>
      <w:r w:rsidR="0084623F" w:rsidRPr="00A472FC">
        <w:rPr>
          <w:rFonts w:eastAsiaTheme="minorEastAsia"/>
          <w:sz w:val="24"/>
          <w:szCs w:val="24"/>
        </w:rPr>
        <w:t xml:space="preserve"> trinitarian </w:t>
      </w:r>
      <w:r w:rsidR="00AF052B" w:rsidRPr="00A472FC">
        <w:rPr>
          <w:rFonts w:eastAsiaTheme="minorEastAsia"/>
          <w:sz w:val="24"/>
          <w:szCs w:val="24"/>
        </w:rPr>
        <w:t>image</w:t>
      </w:r>
      <w:r w:rsidRPr="00A472FC">
        <w:rPr>
          <w:rFonts w:eastAsiaTheme="minorEastAsia"/>
          <w:sz w:val="24"/>
          <w:szCs w:val="24"/>
        </w:rPr>
        <w:t xml:space="preserve">, we have seen that </w:t>
      </w:r>
      <w:r w:rsidR="006628E7" w:rsidRPr="00A472FC">
        <w:rPr>
          <w:rFonts w:eastAsiaTheme="minorEastAsia"/>
          <w:sz w:val="24"/>
          <w:szCs w:val="24"/>
        </w:rPr>
        <w:t>his works</w:t>
      </w:r>
      <w:r w:rsidRPr="00A472FC">
        <w:rPr>
          <w:rFonts w:eastAsiaTheme="minorEastAsia"/>
          <w:sz w:val="24"/>
          <w:szCs w:val="24"/>
        </w:rPr>
        <w:t xml:space="preserve"> refer to the first principles as an innate orientation to the ‘first truth’, the image of God, or the ‘light’.</w:t>
      </w:r>
      <w:r w:rsidRPr="00A472FC">
        <w:rPr>
          <w:rStyle w:val="FootnoteReference"/>
          <w:color w:val="000000" w:themeColor="text1"/>
          <w:sz w:val="24"/>
          <w:szCs w:val="24"/>
        </w:rPr>
        <w:footnoteReference w:id="785"/>
      </w:r>
      <w:r w:rsidRPr="00A472FC">
        <w:rPr>
          <w:color w:val="000000" w:themeColor="text1"/>
          <w:sz w:val="24"/>
          <w:szCs w:val="24"/>
        </w:rPr>
        <w:t xml:space="preserve"> This brings us to the question of the role of the active intellect in achieving human knowledge. In line with the prior Aristotelian tradition, Avicenna held that everything that moves from potency to act does not do so unless through a cause which leads it from potency to act. This cause is the reason why our soul actually knows intelligible things. But the cause that gives the intelligible forms must be an intellect that is in act. Therefore, it is necessary </w:t>
      </w:r>
      <w:r w:rsidR="002D5E71" w:rsidRPr="00A472FC">
        <w:rPr>
          <w:color w:val="000000" w:themeColor="text1"/>
          <w:sz w:val="24"/>
          <w:szCs w:val="24"/>
        </w:rPr>
        <w:t xml:space="preserve">to </w:t>
      </w:r>
      <w:r w:rsidRPr="00A472FC">
        <w:rPr>
          <w:color w:val="000000" w:themeColor="text1"/>
          <w:sz w:val="24"/>
          <w:szCs w:val="24"/>
        </w:rPr>
        <w:t>have an agent intellect.</w:t>
      </w:r>
      <w:r w:rsidR="00DC2360" w:rsidRPr="00A472FC">
        <w:rPr>
          <w:rStyle w:val="FootnoteReference"/>
          <w:color w:val="000000" w:themeColor="text1"/>
          <w:sz w:val="24"/>
          <w:szCs w:val="24"/>
        </w:rPr>
        <w:footnoteReference w:id="786"/>
      </w:r>
      <w:r w:rsidR="00F066D4" w:rsidRPr="00A472FC">
        <w:rPr>
          <w:color w:val="000000" w:themeColor="text1"/>
          <w:sz w:val="24"/>
          <w:szCs w:val="24"/>
        </w:rPr>
        <w:t xml:space="preserve"> </w:t>
      </w:r>
      <w:r w:rsidRPr="00A472FC">
        <w:rPr>
          <w:color w:val="000000" w:themeColor="text1"/>
          <w:sz w:val="24"/>
          <w:szCs w:val="24"/>
        </w:rPr>
        <w:t xml:space="preserve">For Avicenna, we have seen, this intellect was separate from the soul itself; some Christian interpreters identified it with God, insisting that he is ultimately responsible for all success in human cognition. </w:t>
      </w:r>
    </w:p>
    <w:p w14:paraId="0A56087C" w14:textId="77777777" w:rsidR="00AD26C1" w:rsidRPr="00A472FC" w:rsidRDefault="00E212D3" w:rsidP="00AD26C1">
      <w:pPr>
        <w:pStyle w:val="TX"/>
        <w:spacing w:after="0"/>
        <w:ind w:left="0"/>
        <w:rPr>
          <w:color w:val="000000" w:themeColor="text1"/>
          <w:sz w:val="24"/>
          <w:szCs w:val="24"/>
        </w:rPr>
      </w:pPr>
      <w:r w:rsidRPr="00A472FC">
        <w:rPr>
          <w:color w:val="000000" w:themeColor="text1"/>
          <w:sz w:val="24"/>
          <w:szCs w:val="24"/>
        </w:rPr>
        <w:t>Thus, John was constrained to consider the question whether the agent intellect is in fact a separate substance from the soul, as Avicenna supposed.</w:t>
      </w:r>
      <w:r w:rsidRPr="00A472FC">
        <w:rPr>
          <w:rStyle w:val="FootnoteReference"/>
          <w:sz w:val="24"/>
          <w:szCs w:val="24"/>
        </w:rPr>
        <w:footnoteReference w:id="787"/>
      </w:r>
      <w:r w:rsidRPr="00A472FC">
        <w:rPr>
          <w:color w:val="000000" w:themeColor="text1"/>
          <w:sz w:val="24"/>
          <w:szCs w:val="24"/>
        </w:rPr>
        <w:t xml:space="preserve"> In this regard, he invokes a distinction from the DSEA</w:t>
      </w:r>
      <w:r w:rsidRPr="00A472FC">
        <w:rPr>
          <w:i/>
          <w:color w:val="000000" w:themeColor="text1"/>
          <w:sz w:val="24"/>
          <w:szCs w:val="24"/>
        </w:rPr>
        <w:t xml:space="preserve"> </w:t>
      </w:r>
      <w:r w:rsidRPr="00A472FC">
        <w:rPr>
          <w:color w:val="000000" w:themeColor="text1"/>
          <w:sz w:val="24"/>
          <w:szCs w:val="24"/>
        </w:rPr>
        <w:t>11 concerning things that stand below, next to, or above the self, interpreting these three in terms of 1. Natural things and the human being itself; 2. Angels, and 3. God. As John notes, angels and God obviously exceed the capacities of the human mind. For this reason, the human mind must rely on angels to serve as the agent intellect for its knowledge of angels and on God to serve as the agent intellect for human knowledge of God.</w:t>
      </w:r>
      <w:r w:rsidRPr="00A472FC">
        <w:rPr>
          <w:rStyle w:val="FootnoteReference"/>
          <w:color w:val="000000" w:themeColor="text1"/>
          <w:sz w:val="24"/>
          <w:szCs w:val="24"/>
        </w:rPr>
        <w:footnoteReference w:id="788"/>
      </w:r>
      <w:r w:rsidRPr="00A472FC">
        <w:rPr>
          <w:color w:val="000000" w:themeColor="text1"/>
          <w:sz w:val="24"/>
          <w:szCs w:val="24"/>
        </w:rPr>
        <w:t xml:space="preserve"> When it comes to the soul and things ‘beneath’ the soul, by contrast, John is emphatic that the agent intellect is nothing other than the human soul itself rather than a substance separate from it. </w:t>
      </w:r>
    </w:p>
    <w:p w14:paraId="369E2EFE" w14:textId="587136F4" w:rsidR="00E212D3" w:rsidRPr="00A472FC" w:rsidRDefault="00E212D3" w:rsidP="00AD26C1">
      <w:pPr>
        <w:pStyle w:val="TX"/>
        <w:spacing w:after="0"/>
        <w:ind w:left="0"/>
        <w:rPr>
          <w:color w:val="000000" w:themeColor="text1"/>
          <w:sz w:val="24"/>
          <w:szCs w:val="24"/>
        </w:rPr>
      </w:pPr>
      <w:r w:rsidRPr="00A472FC">
        <w:rPr>
          <w:color w:val="000000" w:themeColor="text1"/>
          <w:sz w:val="24"/>
          <w:szCs w:val="24"/>
        </w:rPr>
        <w:t xml:space="preserve">Although the possible intellect is responsible for presenting the agent intellect with the sense forms to render intelligible and habitually holds the first principles of knowledge, given by God prior to all experience, or innately, which make it possible to render those forms intelligible, the actual work of utilizing those principles to produce intelligible forms </w:t>
      </w:r>
      <w:r w:rsidRPr="00A472FC">
        <w:rPr>
          <w:color w:val="000000" w:themeColor="text1"/>
          <w:sz w:val="24"/>
          <w:szCs w:val="24"/>
        </w:rPr>
        <w:lastRenderedPageBreak/>
        <w:t>and to deliver them to the possible intellect falls to the agent intellect.</w:t>
      </w:r>
      <w:r w:rsidRPr="00A472FC">
        <w:rPr>
          <w:rStyle w:val="FootnoteReference"/>
          <w:color w:val="000000" w:themeColor="text1"/>
          <w:sz w:val="24"/>
          <w:szCs w:val="24"/>
        </w:rPr>
        <w:footnoteReference w:id="789"/>
      </w:r>
      <w:r w:rsidRPr="00A472FC">
        <w:rPr>
          <w:color w:val="000000" w:themeColor="text1"/>
          <w:sz w:val="24"/>
          <w:szCs w:val="24"/>
        </w:rPr>
        <w:t xml:space="preserve"> In doing this, human beings reflect the image of a God who knows all things and makes it possible for us to do likewise, through the light of the principles which are a sign of his image upon us. </w:t>
      </w:r>
    </w:p>
    <w:p w14:paraId="6D7D9146" w14:textId="77777777" w:rsidR="00E212D3" w:rsidRPr="00A472FC" w:rsidRDefault="00E212D3" w:rsidP="0082314A">
      <w:pPr>
        <w:ind w:right="-52"/>
        <w:rPr>
          <w:rFonts w:ascii="Times New Roman" w:hAnsi="Times New Roman" w:cs="Times New Roman"/>
          <w:color w:val="000000" w:themeColor="text1"/>
        </w:rPr>
      </w:pPr>
    </w:p>
    <w:p w14:paraId="053B23D1" w14:textId="77777777" w:rsidR="00E212D3" w:rsidRPr="00A472FC" w:rsidRDefault="00E212D3" w:rsidP="00E212D3">
      <w:pPr>
        <w:ind w:right="-52"/>
        <w:rPr>
          <w:rFonts w:ascii="Times New Roman" w:hAnsi="Times New Roman" w:cs="Times New Roman"/>
          <w:color w:val="000000" w:themeColor="text1"/>
          <w:u w:val="single"/>
        </w:rPr>
      </w:pPr>
      <w:r w:rsidRPr="00A472FC">
        <w:rPr>
          <w:rFonts w:ascii="Times New Roman" w:hAnsi="Times New Roman" w:cs="Times New Roman"/>
          <w:color w:val="000000" w:themeColor="text1"/>
          <w:u w:val="single"/>
        </w:rPr>
        <w:t>William of Auvergne</w:t>
      </w:r>
    </w:p>
    <w:p w14:paraId="48D9C64B" w14:textId="77777777" w:rsidR="00E212D3" w:rsidRPr="00A472FC" w:rsidRDefault="00E212D3" w:rsidP="00E212D3">
      <w:pPr>
        <w:ind w:right="-52" w:firstLine="720"/>
        <w:rPr>
          <w:rFonts w:ascii="Times New Roman" w:hAnsi="Times New Roman" w:cs="Times New Roman"/>
          <w:color w:val="000000" w:themeColor="text1"/>
        </w:rPr>
      </w:pPr>
    </w:p>
    <w:p w14:paraId="6598FC04" w14:textId="77420F38" w:rsidR="00E212D3" w:rsidRPr="00A472FC" w:rsidRDefault="00E212D3" w:rsidP="00E212D3">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In his </w:t>
      </w:r>
      <w:r w:rsidRPr="00A472FC">
        <w:rPr>
          <w:rFonts w:ascii="Times New Roman" w:hAnsi="Times New Roman" w:cs="Times New Roman"/>
          <w:i/>
          <w:color w:val="000000" w:themeColor="text1"/>
        </w:rPr>
        <w:t xml:space="preserve">De anima, </w:t>
      </w:r>
      <w:r w:rsidRPr="00A472FC">
        <w:rPr>
          <w:rFonts w:ascii="Times New Roman" w:hAnsi="Times New Roman" w:cs="Times New Roman"/>
          <w:color w:val="000000" w:themeColor="text1"/>
        </w:rPr>
        <w:t xml:space="preserve">William of Auvergne </w:t>
      </w:r>
      <w:r w:rsidR="004C7363" w:rsidRPr="00A472FC">
        <w:rPr>
          <w:rFonts w:ascii="Times New Roman" w:hAnsi="Times New Roman" w:cs="Times New Roman"/>
          <w:color w:val="000000" w:themeColor="text1"/>
        </w:rPr>
        <w:t xml:space="preserve">seemingly </w:t>
      </w:r>
      <w:r w:rsidRPr="00A472FC">
        <w:rPr>
          <w:rFonts w:ascii="Times New Roman" w:hAnsi="Times New Roman" w:cs="Times New Roman"/>
          <w:color w:val="000000" w:themeColor="text1"/>
        </w:rPr>
        <w:t>takes issue with John of La Rochelle’s way of construing the active character of cognition, though in keeping with the practice of the time, he does not mention John by name.</w:t>
      </w:r>
      <w:r w:rsidRPr="00A472FC">
        <w:rPr>
          <w:rStyle w:val="FootnoteReference"/>
          <w:rFonts w:ascii="Times New Roman" w:hAnsi="Times New Roman" w:cs="Times New Roman"/>
          <w:color w:val="000000" w:themeColor="text1"/>
        </w:rPr>
        <w:footnoteReference w:id="790"/>
      </w:r>
      <w:r w:rsidRPr="00A472FC">
        <w:rPr>
          <w:rFonts w:ascii="Times New Roman" w:hAnsi="Times New Roman" w:cs="Times New Roman"/>
          <w:color w:val="000000" w:themeColor="text1"/>
        </w:rPr>
        <w:t xml:space="preserve"> Whereas John had allowed that innate principles acquired from God prior to experience nonetheless structure experience and render it intelligible, William preferred an account in which natural objects determine the content but are not themselves the cause of the cognitive act, which is self-caused. </w:t>
      </w:r>
    </w:p>
    <w:p w14:paraId="78E0406D" w14:textId="77777777" w:rsidR="00D41F39" w:rsidRPr="00A472FC" w:rsidRDefault="00E212D3" w:rsidP="00D41F39">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To make this case, he contests the notion that the agent intellect brings forth intelligible forms from the material intellect—which seems to be his name for the possible intellect—‘like light by its rays brings forth colours from potency to the act of being.’</w:t>
      </w:r>
      <w:r w:rsidRPr="00A472FC">
        <w:rPr>
          <w:rStyle w:val="FootnoteReference"/>
          <w:rFonts w:ascii="Times New Roman" w:hAnsi="Times New Roman" w:cs="Times New Roman"/>
          <w:color w:val="000000" w:themeColor="text1"/>
        </w:rPr>
        <w:footnoteReference w:id="791"/>
      </w:r>
      <w:r w:rsidRPr="00A472FC">
        <w:rPr>
          <w:rFonts w:ascii="Times New Roman" w:hAnsi="Times New Roman" w:cs="Times New Roman"/>
          <w:color w:val="000000" w:themeColor="text1"/>
        </w:rPr>
        <w:t xml:space="preserve"> As Gilson, </w:t>
      </w:r>
      <w:proofErr w:type="spellStart"/>
      <w:r w:rsidRPr="00A472FC">
        <w:rPr>
          <w:rFonts w:ascii="Times New Roman" w:hAnsi="Times New Roman" w:cs="Times New Roman"/>
          <w:color w:val="000000" w:themeColor="text1"/>
        </w:rPr>
        <w:t>Marrone</w:t>
      </w:r>
      <w:proofErr w:type="spellEnd"/>
      <w:r w:rsidRPr="00A472FC">
        <w:rPr>
          <w:rFonts w:ascii="Times New Roman" w:hAnsi="Times New Roman" w:cs="Times New Roman"/>
          <w:color w:val="000000" w:themeColor="text1"/>
        </w:rPr>
        <w:t>, and others have noted, William rejects the idea that the soul possesses an agent intellect of its own.</w:t>
      </w:r>
      <w:r w:rsidRPr="00A472FC">
        <w:rPr>
          <w:rStyle w:val="FootnoteReference"/>
          <w:rFonts w:ascii="Times New Roman" w:hAnsi="Times New Roman" w:cs="Times New Roman"/>
          <w:bCs/>
          <w:color w:val="000000" w:themeColor="text1"/>
        </w:rPr>
        <w:footnoteReference w:id="792"/>
      </w:r>
      <w:r w:rsidRPr="00A472FC">
        <w:rPr>
          <w:rFonts w:ascii="Times New Roman" w:hAnsi="Times New Roman" w:cs="Times New Roman"/>
          <w:color w:val="000000" w:themeColor="text1"/>
        </w:rPr>
        <w:t xml:space="preserve"> </w:t>
      </w:r>
      <w:r w:rsidR="003335B2" w:rsidRPr="00A472FC">
        <w:rPr>
          <w:rFonts w:ascii="Times New Roman" w:hAnsi="Times New Roman" w:cs="Times New Roman"/>
          <w:color w:val="000000" w:themeColor="text1"/>
        </w:rPr>
        <w:t xml:space="preserve">He </w:t>
      </w:r>
      <w:r w:rsidRPr="00A472FC">
        <w:rPr>
          <w:rFonts w:ascii="Times New Roman" w:hAnsi="Times New Roman" w:cs="Times New Roman"/>
          <w:color w:val="000000" w:themeColor="text1"/>
        </w:rPr>
        <w:t xml:space="preserve">points out that if the soul was the agent intellect as well as that substance in which intelligible forms are received, it would be both potential and actual, and this would be a contradiction. Likewise, if the soul was the agent intellect, it would always be in act and would understand all intelligible things all the time through itself, which it does not </w:t>
      </w:r>
      <w:r w:rsidR="00480F84" w:rsidRPr="00A472FC">
        <w:rPr>
          <w:rFonts w:ascii="Times New Roman" w:hAnsi="Times New Roman" w:cs="Times New Roman"/>
          <w:color w:val="000000" w:themeColor="text1"/>
        </w:rPr>
        <w:t xml:space="preserve">do </w:t>
      </w:r>
      <w:r w:rsidRPr="00A472FC">
        <w:rPr>
          <w:rFonts w:ascii="Times New Roman" w:hAnsi="Times New Roman" w:cs="Times New Roman"/>
          <w:color w:val="000000" w:themeColor="text1"/>
        </w:rPr>
        <w:t>and indeed only God can do.</w:t>
      </w:r>
      <w:r w:rsidRPr="00A472FC">
        <w:rPr>
          <w:rStyle w:val="FootnoteReference"/>
          <w:rFonts w:ascii="Times New Roman" w:hAnsi="Times New Roman" w:cs="Times New Roman"/>
          <w:color w:val="000000" w:themeColor="text1"/>
        </w:rPr>
        <w:footnoteReference w:id="793"/>
      </w:r>
      <w:r w:rsidRPr="00A472FC">
        <w:rPr>
          <w:rFonts w:ascii="Times New Roman" w:hAnsi="Times New Roman" w:cs="Times New Roman"/>
          <w:color w:val="000000" w:themeColor="text1"/>
        </w:rPr>
        <w:t xml:space="preserve"> </w:t>
      </w:r>
    </w:p>
    <w:p w14:paraId="2DDCBC61" w14:textId="59BB85F0" w:rsidR="00E212D3" w:rsidRPr="00A472FC" w:rsidRDefault="00E212D3" w:rsidP="00D41F39">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For William, the material intellect is entirely sufficient to achieve the work that John assigned to the agent intellect, that is, to transform potential into actual knowledge. For this purpose, </w:t>
      </w:r>
      <w:r w:rsidR="00E716F5" w:rsidRPr="00A472FC">
        <w:rPr>
          <w:rFonts w:ascii="Times New Roman" w:hAnsi="Times New Roman" w:cs="Times New Roman"/>
          <w:color w:val="000000" w:themeColor="text1"/>
        </w:rPr>
        <w:t xml:space="preserve">he contends, </w:t>
      </w:r>
      <w:r w:rsidR="00E716F5" w:rsidRPr="00A472FC">
        <w:rPr>
          <w:rFonts w:ascii="Times New Roman" w:eastAsia="Times New Roman" w:hAnsi="Times New Roman" w:cs="Times New Roman"/>
          <w:color w:val="000000"/>
          <w:lang w:eastAsia="en-GB"/>
        </w:rPr>
        <w:t>‘the mind does not receive anything from the object</w:t>
      </w:r>
      <w:r w:rsidR="00D41F39" w:rsidRPr="00A472FC">
        <w:rPr>
          <w:rFonts w:ascii="Times New Roman" w:eastAsia="Times New Roman" w:hAnsi="Times New Roman" w:cs="Times New Roman"/>
          <w:color w:val="000000"/>
          <w:lang w:eastAsia="en-GB"/>
        </w:rPr>
        <w:t>,</w:t>
      </w:r>
      <w:r w:rsidR="00E716F5" w:rsidRPr="00A472FC">
        <w:rPr>
          <w:rFonts w:ascii="Times New Roman" w:eastAsia="Times New Roman" w:hAnsi="Times New Roman" w:cs="Times New Roman"/>
          <w:color w:val="000000"/>
          <w:lang w:eastAsia="en-GB"/>
        </w:rPr>
        <w:t xml:space="preserve"> but it comes to have a cognitive act about that particular object affecting a sense organ on the occasion of that affection, without being caused by it</w:t>
      </w:r>
      <w:r w:rsidR="00E716F5" w:rsidRPr="00A472FC">
        <w:rPr>
          <w:rFonts w:ascii="Times New Roman" w:eastAsia="Times New Roman" w:hAnsi="Times New Roman" w:cs="Times New Roman"/>
          <w:lang w:eastAsia="en-GB"/>
        </w:rPr>
        <w:t>.’</w:t>
      </w:r>
      <w:r w:rsidR="00E716F5" w:rsidRPr="00A472FC">
        <w:rPr>
          <w:rStyle w:val="FootnoteReference"/>
          <w:rFonts w:ascii="Times New Roman" w:eastAsia="Times New Roman" w:hAnsi="Times New Roman" w:cs="Times New Roman"/>
          <w:lang w:eastAsia="en-GB"/>
        </w:rPr>
        <w:footnoteReference w:id="794"/>
      </w:r>
      <w:r w:rsidR="00E716F5" w:rsidRPr="00A472FC">
        <w:rPr>
          <w:rFonts w:ascii="Times New Roman" w:eastAsia="Times New Roman" w:hAnsi="Times New Roman" w:cs="Times New Roman"/>
          <w:lang w:eastAsia="en-GB"/>
        </w:rPr>
        <w:t xml:space="preserve"> </w:t>
      </w:r>
      <w:r w:rsidR="00E716F5" w:rsidRPr="00A472FC">
        <w:rPr>
          <w:rFonts w:ascii="Times New Roman" w:hAnsi="Times New Roman" w:cs="Times New Roman"/>
          <w:color w:val="000000" w:themeColor="text1"/>
        </w:rPr>
        <w:t>Thus</w:t>
      </w:r>
      <w:r w:rsidRPr="00A472FC">
        <w:rPr>
          <w:rFonts w:ascii="Times New Roman" w:hAnsi="Times New Roman" w:cs="Times New Roman"/>
          <w:color w:val="000000" w:themeColor="text1"/>
        </w:rPr>
        <w:t>, the mind generates the forms of things entirely within itself by reflecting on the manner in which the senses are affected by the body</w:t>
      </w:r>
      <w:r w:rsidR="00E716F5" w:rsidRPr="00A472FC">
        <w:rPr>
          <w:rFonts w:ascii="Times New Roman" w:hAnsi="Times New Roman" w:cs="Times New Roman"/>
          <w:color w:val="000000" w:themeColor="text1"/>
        </w:rPr>
        <w:t xml:space="preserve">. In this </w:t>
      </w:r>
      <w:r w:rsidR="00E716F5" w:rsidRPr="00A472FC">
        <w:rPr>
          <w:rFonts w:ascii="Times New Roman" w:hAnsi="Times New Roman" w:cs="Times New Roman"/>
          <w:color w:val="000000" w:themeColor="text1"/>
        </w:rPr>
        <w:lastRenderedPageBreak/>
        <w:t xml:space="preserve">way, it </w:t>
      </w:r>
      <w:r w:rsidRPr="00A472FC">
        <w:rPr>
          <w:rFonts w:ascii="Times New Roman" w:hAnsi="Times New Roman" w:cs="Times New Roman"/>
          <w:color w:val="000000" w:themeColor="text1"/>
        </w:rPr>
        <w:t>extracts a sign or intelligible form, which is entirely abstracted from matter.</w:t>
      </w:r>
      <w:r w:rsidRPr="00A472FC">
        <w:rPr>
          <w:rStyle w:val="FootnoteReference"/>
          <w:rFonts w:ascii="Times New Roman" w:hAnsi="Times New Roman" w:cs="Times New Roman"/>
          <w:color w:val="000000" w:themeColor="text1"/>
        </w:rPr>
        <w:footnoteReference w:id="795"/>
      </w:r>
      <w:r w:rsidRPr="00A472FC">
        <w:rPr>
          <w:rFonts w:ascii="Times New Roman" w:hAnsi="Times New Roman" w:cs="Times New Roman"/>
          <w:color w:val="000000" w:themeColor="text1"/>
        </w:rPr>
        <w:t xml:space="preserve"> </w:t>
      </w:r>
      <w:r w:rsidR="00F45B02" w:rsidRPr="00A472FC">
        <w:rPr>
          <w:rFonts w:ascii="Times New Roman" w:hAnsi="Times New Roman" w:cs="Times New Roman"/>
          <w:color w:val="000000" w:themeColor="text1"/>
        </w:rPr>
        <w:t>William</w:t>
      </w:r>
      <w:r w:rsidRPr="00A472FC">
        <w:rPr>
          <w:rFonts w:ascii="Times New Roman" w:hAnsi="Times New Roman" w:cs="Times New Roman"/>
          <w:color w:val="000000" w:themeColor="text1"/>
        </w:rPr>
        <w:t xml:space="preserve"> </w:t>
      </w:r>
      <w:proofErr w:type="spellStart"/>
      <w:r w:rsidRPr="00A472FC">
        <w:rPr>
          <w:rFonts w:ascii="Times New Roman" w:hAnsi="Times New Roman" w:cs="Times New Roman"/>
          <w:color w:val="000000" w:themeColor="text1"/>
        </w:rPr>
        <w:t>summari</w:t>
      </w:r>
      <w:r w:rsidR="00A10EB5" w:rsidRPr="00A472FC">
        <w:rPr>
          <w:rFonts w:ascii="Times New Roman" w:hAnsi="Times New Roman" w:cs="Times New Roman"/>
          <w:color w:val="000000" w:themeColor="text1"/>
        </w:rPr>
        <w:t>zes</w:t>
      </w:r>
      <w:proofErr w:type="spellEnd"/>
      <w:r w:rsidRPr="00A472FC">
        <w:rPr>
          <w:rFonts w:ascii="Times New Roman" w:hAnsi="Times New Roman" w:cs="Times New Roman"/>
          <w:color w:val="000000" w:themeColor="text1"/>
        </w:rPr>
        <w:t xml:space="preserve"> the process when he says that sensation:</w:t>
      </w:r>
    </w:p>
    <w:p w14:paraId="08339C80" w14:textId="77777777" w:rsidR="00E212D3" w:rsidRPr="00A472FC" w:rsidRDefault="00E212D3" w:rsidP="00E212D3">
      <w:pPr>
        <w:ind w:right="-52" w:firstLine="720"/>
        <w:rPr>
          <w:rFonts w:ascii="Times New Roman" w:hAnsi="Times New Roman" w:cs="Times New Roman"/>
          <w:color w:val="000000" w:themeColor="text1"/>
        </w:rPr>
      </w:pPr>
    </w:p>
    <w:p w14:paraId="3F078403" w14:textId="6C8A4DA8" w:rsidR="00E212D3" w:rsidRPr="00A472FC" w:rsidRDefault="00FC0CF3" w:rsidP="00E212D3">
      <w:pPr>
        <w:ind w:left="720" w:right="-52"/>
        <w:rPr>
          <w:rFonts w:ascii="Times New Roman" w:hAnsi="Times New Roman" w:cs="Times New Roman"/>
          <w:color w:val="000000" w:themeColor="text1"/>
        </w:rPr>
      </w:pPr>
      <w:r w:rsidRPr="00A472FC">
        <w:rPr>
          <w:rFonts w:ascii="Times New Roman" w:hAnsi="Times New Roman" w:cs="Times New Roman"/>
          <w:color w:val="000000" w:themeColor="text1"/>
        </w:rPr>
        <w:t>B</w:t>
      </w:r>
      <w:r w:rsidR="00E212D3" w:rsidRPr="00A472FC">
        <w:rPr>
          <w:rFonts w:ascii="Times New Roman" w:hAnsi="Times New Roman" w:cs="Times New Roman"/>
          <w:color w:val="000000" w:themeColor="text1"/>
        </w:rPr>
        <w:t>rings to the intellect sensible substances and intellectual ones united to bodies. But it does not imprint upon it their intelligible forms, because it [the intellect] does not receive such forms of them. Rather through itself the intellect considers that those substances underlie the variety of sensible accidents. The intellective power, then, apprehends or sees such substances under a covering.</w:t>
      </w:r>
    </w:p>
    <w:p w14:paraId="1E6032B2" w14:textId="77777777" w:rsidR="00E212D3" w:rsidRPr="00A472FC" w:rsidRDefault="00E212D3" w:rsidP="00E212D3">
      <w:pPr>
        <w:ind w:right="-52" w:firstLine="720"/>
        <w:rPr>
          <w:rFonts w:ascii="Times New Roman" w:hAnsi="Times New Roman" w:cs="Times New Roman"/>
          <w:color w:val="000000" w:themeColor="text1"/>
        </w:rPr>
      </w:pPr>
    </w:p>
    <w:p w14:paraId="6B8594B4" w14:textId="77777777" w:rsidR="00E212D3" w:rsidRPr="00A472FC" w:rsidRDefault="00E212D3" w:rsidP="00E212D3">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William defends his extraordinary view that the intellect needs nothing but intelligible forms to understand, on the ground that it is superior to the senses which do not need anything but sensible things to understand sense objects.</w:t>
      </w:r>
      <w:r w:rsidRPr="00A472FC">
        <w:rPr>
          <w:rStyle w:val="FootnoteReference"/>
          <w:rFonts w:ascii="Times New Roman" w:hAnsi="Times New Roman" w:cs="Times New Roman"/>
          <w:color w:val="000000" w:themeColor="text1"/>
        </w:rPr>
        <w:footnoteReference w:id="796"/>
      </w:r>
      <w:r w:rsidRPr="00A472FC">
        <w:rPr>
          <w:rFonts w:ascii="Times New Roman" w:hAnsi="Times New Roman" w:cs="Times New Roman"/>
          <w:color w:val="000000" w:themeColor="text1"/>
        </w:rPr>
        <w:t xml:space="preserve"> The origin of these forms entirely inside the mind is the reason why William thinks our cognitive works can be credited to us. For him, it is consistent with what we are as spiritual beings that we are incapable of being acted upon or affected by the body.</w:t>
      </w:r>
      <w:r w:rsidRPr="00A472FC">
        <w:rPr>
          <w:rStyle w:val="FootnoteReference"/>
          <w:rFonts w:ascii="Times New Roman" w:hAnsi="Times New Roman" w:cs="Times New Roman"/>
          <w:color w:val="000000" w:themeColor="text1"/>
        </w:rPr>
        <w:footnoteReference w:id="797"/>
      </w:r>
      <w:r w:rsidRPr="00A472FC">
        <w:rPr>
          <w:rFonts w:ascii="Times New Roman" w:hAnsi="Times New Roman" w:cs="Times New Roman"/>
          <w:color w:val="000000" w:themeColor="text1"/>
        </w:rPr>
        <w:t xml:space="preserve"> </w:t>
      </w:r>
    </w:p>
    <w:p w14:paraId="7EA6A683" w14:textId="025AD56C" w:rsidR="00E212D3" w:rsidRPr="00A472FC" w:rsidRDefault="00E212D3" w:rsidP="00E212D3">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For this same reason, </w:t>
      </w:r>
      <w:r w:rsidR="008E2088" w:rsidRPr="00A472FC">
        <w:rPr>
          <w:rFonts w:ascii="Times New Roman" w:hAnsi="Times New Roman" w:cs="Times New Roman"/>
          <w:color w:val="000000" w:themeColor="text1"/>
        </w:rPr>
        <w:t xml:space="preserve">he contends, </w:t>
      </w:r>
      <w:r w:rsidRPr="00A472FC">
        <w:rPr>
          <w:rFonts w:ascii="Times New Roman" w:hAnsi="Times New Roman" w:cs="Times New Roman"/>
          <w:color w:val="000000" w:themeColor="text1"/>
        </w:rPr>
        <w:t>the sensible movements of the body do not survive its death</w:t>
      </w:r>
      <w:r w:rsidR="008E2088" w:rsidRPr="00A472FC">
        <w:rPr>
          <w:rFonts w:ascii="Times New Roman" w:hAnsi="Times New Roman" w:cs="Times New Roman"/>
          <w:color w:val="000000" w:themeColor="text1"/>
        </w:rPr>
        <w:t xml:space="preserve">; </w:t>
      </w:r>
      <w:r w:rsidRPr="00A472FC">
        <w:rPr>
          <w:rFonts w:ascii="Times New Roman" w:hAnsi="Times New Roman" w:cs="Times New Roman"/>
          <w:color w:val="000000" w:themeColor="text1"/>
        </w:rPr>
        <w:t>this is only true of the forms or signs produced by the soul.</w:t>
      </w:r>
      <w:r w:rsidRPr="00A472FC">
        <w:rPr>
          <w:rStyle w:val="FootnoteReference"/>
          <w:rFonts w:ascii="Times New Roman" w:hAnsi="Times New Roman" w:cs="Times New Roman"/>
          <w:color w:val="000000" w:themeColor="text1"/>
        </w:rPr>
        <w:footnoteReference w:id="798"/>
      </w:r>
      <w:r w:rsidRPr="00A472FC">
        <w:rPr>
          <w:rFonts w:ascii="Times New Roman" w:hAnsi="Times New Roman" w:cs="Times New Roman"/>
          <w:color w:val="000000" w:themeColor="text1"/>
        </w:rPr>
        <w:t xml:space="preserve"> The material intellect is able to procure such intelligible forms on William’s account because it is impressed with certain first principles of knowledge which allow for knowing all forms in potency.</w:t>
      </w:r>
      <w:r w:rsidRPr="00A472FC">
        <w:rPr>
          <w:rStyle w:val="FootnoteReference"/>
          <w:rFonts w:ascii="Times New Roman" w:hAnsi="Times New Roman" w:cs="Times New Roman"/>
          <w:color w:val="000000" w:themeColor="text1"/>
        </w:rPr>
        <w:footnoteReference w:id="799"/>
      </w:r>
      <w:r w:rsidRPr="00A472FC">
        <w:rPr>
          <w:rFonts w:ascii="Times New Roman" w:hAnsi="Times New Roman" w:cs="Times New Roman"/>
          <w:color w:val="000000" w:themeColor="text1"/>
        </w:rPr>
        <w:t xml:space="preserve"> Thus, William says that the material intellect is ‘full of forms’.</w:t>
      </w:r>
      <w:r w:rsidRPr="00A472FC">
        <w:rPr>
          <w:rStyle w:val="FootnoteReference"/>
          <w:rFonts w:ascii="Times New Roman" w:hAnsi="Times New Roman" w:cs="Times New Roman"/>
          <w:color w:val="000000" w:themeColor="text1"/>
        </w:rPr>
        <w:footnoteReference w:id="800"/>
      </w:r>
      <w:r w:rsidRPr="00A472FC">
        <w:rPr>
          <w:rFonts w:ascii="Times New Roman" w:hAnsi="Times New Roman" w:cs="Times New Roman"/>
          <w:color w:val="000000" w:themeColor="text1"/>
        </w:rPr>
        <w:t xml:space="preserve"> Whenever the potential for knowing forms is </w:t>
      </w:r>
      <w:proofErr w:type="spellStart"/>
      <w:r w:rsidRPr="00A472FC">
        <w:rPr>
          <w:rFonts w:ascii="Times New Roman" w:hAnsi="Times New Roman" w:cs="Times New Roman"/>
          <w:color w:val="000000" w:themeColor="text1"/>
        </w:rPr>
        <w:t>realized</w:t>
      </w:r>
      <w:proofErr w:type="spellEnd"/>
      <w:r w:rsidRPr="00A472FC">
        <w:rPr>
          <w:rFonts w:ascii="Times New Roman" w:hAnsi="Times New Roman" w:cs="Times New Roman"/>
          <w:color w:val="000000" w:themeColor="text1"/>
        </w:rPr>
        <w:t xml:space="preserve">, it is nonetheless thanks to God, the true Agent Intellect, who donates the first principles in the first place. </w:t>
      </w:r>
    </w:p>
    <w:p w14:paraId="5A4EE9CC" w14:textId="77777777" w:rsidR="00E212D3" w:rsidRPr="00A472FC" w:rsidRDefault="00E212D3" w:rsidP="00E212D3">
      <w:pPr>
        <w:ind w:right="-52"/>
        <w:rPr>
          <w:rFonts w:ascii="Times New Roman" w:hAnsi="Times New Roman" w:cs="Times New Roman"/>
          <w:color w:val="000000" w:themeColor="text1"/>
        </w:rPr>
      </w:pPr>
      <w:r w:rsidRPr="00A472FC">
        <w:rPr>
          <w:rFonts w:ascii="Times New Roman" w:hAnsi="Times New Roman" w:cs="Times New Roman"/>
          <w:color w:val="000000" w:themeColor="text1"/>
        </w:rPr>
        <w:tab/>
      </w:r>
    </w:p>
    <w:p w14:paraId="206C1AD7" w14:textId="77777777" w:rsidR="00E212D3" w:rsidRPr="00A472FC" w:rsidRDefault="00E212D3" w:rsidP="00E212D3">
      <w:pPr>
        <w:ind w:right="-52"/>
        <w:rPr>
          <w:rFonts w:ascii="Times New Roman" w:hAnsi="Times New Roman" w:cs="Times New Roman"/>
          <w:color w:val="000000" w:themeColor="text1"/>
          <w:u w:val="single"/>
        </w:rPr>
      </w:pPr>
      <w:r w:rsidRPr="00A472FC">
        <w:rPr>
          <w:rFonts w:ascii="Times New Roman" w:hAnsi="Times New Roman" w:cs="Times New Roman"/>
          <w:color w:val="000000" w:themeColor="text1"/>
          <w:u w:val="single"/>
        </w:rPr>
        <w:t>Conclusion</w:t>
      </w:r>
    </w:p>
    <w:p w14:paraId="6E4E7AE0" w14:textId="77777777" w:rsidR="00E212D3" w:rsidRPr="00A472FC" w:rsidRDefault="00E212D3" w:rsidP="00E212D3">
      <w:pPr>
        <w:ind w:right="-52"/>
        <w:rPr>
          <w:rFonts w:ascii="Times New Roman" w:hAnsi="Times New Roman" w:cs="Times New Roman"/>
          <w:color w:val="000000" w:themeColor="text1"/>
        </w:rPr>
      </w:pPr>
    </w:p>
    <w:p w14:paraId="23052F17" w14:textId="77777777" w:rsidR="00E5730C" w:rsidRPr="00A472FC" w:rsidRDefault="00E212D3" w:rsidP="00E5730C">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So far, we have explored the two distinct ways in which John and William developed accounts of the ‘active’ character of </w:t>
      </w:r>
      <w:r w:rsidR="00C928C0" w:rsidRPr="00A472FC">
        <w:rPr>
          <w:rFonts w:ascii="Times New Roman" w:hAnsi="Times New Roman" w:cs="Times New Roman"/>
          <w:color w:val="000000" w:themeColor="text1"/>
        </w:rPr>
        <w:t>cognition</w:t>
      </w:r>
      <w:r w:rsidRPr="00A472FC">
        <w:rPr>
          <w:rFonts w:ascii="Times New Roman" w:hAnsi="Times New Roman" w:cs="Times New Roman"/>
          <w:color w:val="000000" w:themeColor="text1"/>
        </w:rPr>
        <w:t xml:space="preserve">. For his part, John preferred a view which nonetheless allowed for some level of passive receptivity or dependence upon the senses. The active dimension of his proposal consisted in his invocation of certain principles acquired innately, or prior to experience, from God, as the conditions of possibility for rendering sense experiences intelligible. </w:t>
      </w:r>
      <w:r w:rsidR="001E77B5" w:rsidRPr="00A472FC">
        <w:rPr>
          <w:rFonts w:ascii="Times New Roman" w:hAnsi="Times New Roman" w:cs="Times New Roman"/>
          <w:color w:val="000000" w:themeColor="text1"/>
        </w:rPr>
        <w:t xml:space="preserve">This balance between the passive and the active </w:t>
      </w:r>
      <w:r w:rsidR="008E2F9A" w:rsidRPr="00A472FC">
        <w:rPr>
          <w:rFonts w:ascii="Times New Roman" w:hAnsi="Times New Roman" w:cs="Times New Roman"/>
          <w:color w:val="000000" w:themeColor="text1"/>
        </w:rPr>
        <w:t xml:space="preserve">may have </w:t>
      </w:r>
      <w:r w:rsidR="001E77B5" w:rsidRPr="00A472FC">
        <w:rPr>
          <w:rFonts w:ascii="Times New Roman" w:hAnsi="Times New Roman" w:cs="Times New Roman"/>
          <w:color w:val="000000" w:themeColor="text1"/>
        </w:rPr>
        <w:t xml:space="preserve">allowed him to </w:t>
      </w:r>
      <w:proofErr w:type="spellStart"/>
      <w:r w:rsidR="001E77B5" w:rsidRPr="00A472FC">
        <w:rPr>
          <w:rFonts w:ascii="Times New Roman" w:hAnsi="Times New Roman" w:cs="Times New Roman"/>
          <w:color w:val="000000" w:themeColor="text1"/>
        </w:rPr>
        <w:t>emphasize</w:t>
      </w:r>
      <w:proofErr w:type="spellEnd"/>
      <w:r w:rsidR="001E77B5" w:rsidRPr="00A472FC">
        <w:rPr>
          <w:rFonts w:ascii="Times New Roman" w:hAnsi="Times New Roman" w:cs="Times New Roman"/>
          <w:color w:val="000000" w:themeColor="text1"/>
        </w:rPr>
        <w:t xml:space="preserve"> Francis’ care for creation, and his belief that all creatures are significant to God, while at the same time identifying God himself</w:t>
      </w:r>
      <w:r w:rsidR="00AF097C" w:rsidRPr="00A472FC">
        <w:rPr>
          <w:rFonts w:ascii="Times New Roman" w:hAnsi="Times New Roman" w:cs="Times New Roman"/>
          <w:color w:val="000000" w:themeColor="text1"/>
        </w:rPr>
        <w:t>,</w:t>
      </w:r>
      <w:r w:rsidR="001E77B5" w:rsidRPr="00A472FC">
        <w:rPr>
          <w:rFonts w:ascii="Times New Roman" w:hAnsi="Times New Roman" w:cs="Times New Roman"/>
          <w:color w:val="000000" w:themeColor="text1"/>
        </w:rPr>
        <w:t xml:space="preserve"> and intimacy with God</w:t>
      </w:r>
      <w:r w:rsidR="00AF097C" w:rsidRPr="00A472FC">
        <w:rPr>
          <w:rFonts w:ascii="Times New Roman" w:hAnsi="Times New Roman" w:cs="Times New Roman"/>
          <w:color w:val="000000" w:themeColor="text1"/>
        </w:rPr>
        <w:t>,</w:t>
      </w:r>
      <w:r w:rsidR="001E77B5" w:rsidRPr="00A472FC">
        <w:rPr>
          <w:rFonts w:ascii="Times New Roman" w:hAnsi="Times New Roman" w:cs="Times New Roman"/>
          <w:color w:val="000000" w:themeColor="text1"/>
        </w:rPr>
        <w:t xml:space="preserve"> as the reason we are able </w:t>
      </w:r>
      <w:r w:rsidR="00AF097C" w:rsidRPr="00A472FC">
        <w:rPr>
          <w:rFonts w:ascii="Times New Roman" w:hAnsi="Times New Roman" w:cs="Times New Roman"/>
          <w:color w:val="000000" w:themeColor="text1"/>
        </w:rPr>
        <w:t>to</w:t>
      </w:r>
      <w:r w:rsidR="001E77B5" w:rsidRPr="00A472FC">
        <w:rPr>
          <w:rFonts w:ascii="Times New Roman" w:hAnsi="Times New Roman" w:cs="Times New Roman"/>
          <w:color w:val="000000" w:themeColor="text1"/>
        </w:rPr>
        <w:t xml:space="preserve"> know anything true about them</w:t>
      </w:r>
      <w:r w:rsidR="00AF097C" w:rsidRPr="00A472FC">
        <w:rPr>
          <w:rFonts w:ascii="Times New Roman" w:hAnsi="Times New Roman" w:cs="Times New Roman"/>
          <w:color w:val="000000" w:themeColor="text1"/>
        </w:rPr>
        <w:t xml:space="preserve"> in the first place.</w:t>
      </w:r>
      <w:r w:rsidR="00E5730C" w:rsidRPr="00A472FC">
        <w:rPr>
          <w:rFonts w:ascii="Times New Roman" w:hAnsi="Times New Roman" w:cs="Times New Roman"/>
          <w:color w:val="000000" w:themeColor="text1"/>
        </w:rPr>
        <w:t xml:space="preserve"> </w:t>
      </w:r>
      <w:r w:rsidRPr="00A472FC">
        <w:rPr>
          <w:rFonts w:ascii="Times New Roman" w:hAnsi="Times New Roman" w:cs="Times New Roman"/>
          <w:color w:val="000000" w:themeColor="text1"/>
        </w:rPr>
        <w:t>By contrast</w:t>
      </w:r>
      <w:r w:rsidR="000B5C40" w:rsidRPr="00A472FC">
        <w:rPr>
          <w:rFonts w:ascii="Times New Roman" w:hAnsi="Times New Roman" w:cs="Times New Roman"/>
          <w:color w:val="000000" w:themeColor="text1"/>
        </w:rPr>
        <w:t xml:space="preserve"> to John</w:t>
      </w:r>
      <w:r w:rsidRPr="00A472FC">
        <w:rPr>
          <w:rFonts w:ascii="Times New Roman" w:hAnsi="Times New Roman" w:cs="Times New Roman"/>
          <w:color w:val="000000" w:themeColor="text1"/>
        </w:rPr>
        <w:t xml:space="preserve">, William of Auvergne considered the senses to be more or less irrelevant for obtaining knowledge. </w:t>
      </w:r>
    </w:p>
    <w:p w14:paraId="7529C32F" w14:textId="3F546075" w:rsidR="00E212D3" w:rsidRPr="00A472FC" w:rsidRDefault="00E212D3" w:rsidP="00E5730C">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In his view, the mind generates the forms of things entirely within itself by reflecting on the manner in which the senses are affected by the body and thereby extracting a sign or intelligible form, which is entirely abstracted from matter.</w:t>
      </w:r>
      <w:r w:rsidR="000B5C40" w:rsidRPr="00A472FC">
        <w:rPr>
          <w:rFonts w:ascii="Times New Roman" w:hAnsi="Times New Roman" w:cs="Times New Roman"/>
          <w:color w:val="000000" w:themeColor="text1"/>
        </w:rPr>
        <w:t xml:space="preserve"> </w:t>
      </w:r>
      <w:r w:rsidRPr="00A472FC">
        <w:rPr>
          <w:rFonts w:ascii="Times New Roman" w:hAnsi="Times New Roman" w:cs="Times New Roman"/>
          <w:color w:val="000000" w:themeColor="text1"/>
        </w:rPr>
        <w:t xml:space="preserve">In closing, it is worth noting that the two distinct accounts of active </w:t>
      </w:r>
      <w:r w:rsidR="00C928C0" w:rsidRPr="00A472FC">
        <w:rPr>
          <w:rFonts w:ascii="Times New Roman" w:hAnsi="Times New Roman" w:cs="Times New Roman"/>
          <w:color w:val="000000" w:themeColor="text1"/>
        </w:rPr>
        <w:t>cognition</w:t>
      </w:r>
      <w:r w:rsidRPr="00A472FC">
        <w:rPr>
          <w:rFonts w:ascii="Times New Roman" w:hAnsi="Times New Roman" w:cs="Times New Roman"/>
          <w:color w:val="000000" w:themeColor="text1"/>
        </w:rPr>
        <w:t xml:space="preserve"> on display here are ultimately consistent with and indicative of two different ways of rendering the body-soul dualism, which circulated during the early scholastic period. Although both John and William endorsed the </w:t>
      </w:r>
      <w:proofErr w:type="spellStart"/>
      <w:r w:rsidRPr="00A472FC">
        <w:rPr>
          <w:rFonts w:ascii="Times New Roman" w:hAnsi="Times New Roman" w:cs="Times New Roman"/>
          <w:color w:val="000000" w:themeColor="text1"/>
        </w:rPr>
        <w:t>Avicennian</w:t>
      </w:r>
      <w:proofErr w:type="spellEnd"/>
      <w:r w:rsidRPr="00A472FC">
        <w:rPr>
          <w:rFonts w:ascii="Times New Roman" w:hAnsi="Times New Roman" w:cs="Times New Roman"/>
          <w:color w:val="000000" w:themeColor="text1"/>
        </w:rPr>
        <w:t xml:space="preserve"> idea that body and soul are separate substances—by contrast to the view that would later become </w:t>
      </w:r>
      <w:r w:rsidRPr="00A472FC">
        <w:rPr>
          <w:rFonts w:ascii="Times New Roman" w:hAnsi="Times New Roman" w:cs="Times New Roman"/>
          <w:color w:val="000000" w:themeColor="text1"/>
        </w:rPr>
        <w:lastRenderedPageBreak/>
        <w:t xml:space="preserve">popular with Aquinas that they form one substance—John </w:t>
      </w:r>
      <w:r w:rsidR="008F1338" w:rsidRPr="00A472FC">
        <w:rPr>
          <w:rFonts w:ascii="Times New Roman" w:hAnsi="Times New Roman" w:cs="Times New Roman"/>
          <w:color w:val="000000" w:themeColor="text1"/>
        </w:rPr>
        <w:t>echoed</w:t>
      </w:r>
      <w:r w:rsidRPr="00A472FC">
        <w:rPr>
          <w:rFonts w:ascii="Times New Roman" w:hAnsi="Times New Roman" w:cs="Times New Roman"/>
          <w:color w:val="000000" w:themeColor="text1"/>
        </w:rPr>
        <w:t xml:space="preserve"> Hugh of St Cher in affirming that</w:t>
      </w:r>
      <w:r w:rsidR="009A6947" w:rsidRPr="00A472FC">
        <w:rPr>
          <w:rFonts w:ascii="Times New Roman" w:hAnsi="Times New Roman" w:cs="Times New Roman"/>
          <w:color w:val="000000" w:themeColor="text1"/>
        </w:rPr>
        <w:t xml:space="preserve">, </w:t>
      </w:r>
      <w:r w:rsidRPr="00A472FC">
        <w:rPr>
          <w:rFonts w:ascii="Times New Roman" w:hAnsi="Times New Roman" w:cs="Times New Roman"/>
          <w:color w:val="000000" w:themeColor="text1"/>
          <w:lang w:val="en-US"/>
        </w:rPr>
        <w:t xml:space="preserve">‘the soul by nature is </w:t>
      </w:r>
      <w:proofErr w:type="spellStart"/>
      <w:r w:rsidRPr="00A472FC">
        <w:rPr>
          <w:rFonts w:ascii="Times New Roman" w:hAnsi="Times New Roman" w:cs="Times New Roman"/>
          <w:color w:val="000000" w:themeColor="text1"/>
          <w:lang w:val="en-US"/>
        </w:rPr>
        <w:t>unitable</w:t>
      </w:r>
      <w:proofErr w:type="spellEnd"/>
      <w:r w:rsidRPr="00A472FC">
        <w:rPr>
          <w:rFonts w:ascii="Times New Roman" w:hAnsi="Times New Roman" w:cs="Times New Roman"/>
          <w:color w:val="000000" w:themeColor="text1"/>
          <w:lang w:val="en-US"/>
        </w:rPr>
        <w:t xml:space="preserve"> to the body,’</w:t>
      </w:r>
      <w:r w:rsidRPr="00A472FC">
        <w:rPr>
          <w:rStyle w:val="FootnoteReference"/>
          <w:rFonts w:ascii="Times New Roman" w:hAnsi="Times New Roman" w:cs="Times New Roman"/>
          <w:color w:val="000000" w:themeColor="text1"/>
          <w:lang w:val="en-US"/>
        </w:rPr>
        <w:footnoteReference w:id="801"/>
      </w:r>
      <w:r w:rsidRPr="00A472FC">
        <w:rPr>
          <w:rFonts w:ascii="Times New Roman" w:hAnsi="Times New Roman" w:cs="Times New Roman"/>
          <w:color w:val="000000" w:themeColor="text1"/>
          <w:lang w:val="en-US"/>
        </w:rPr>
        <w:t xml:space="preserve"> </w:t>
      </w:r>
      <w:r w:rsidRPr="00A472FC">
        <w:rPr>
          <w:rFonts w:ascii="Times New Roman" w:hAnsi="Times New Roman" w:cs="Times New Roman"/>
          <w:color w:val="000000" w:themeColor="text1"/>
        </w:rPr>
        <w:t xml:space="preserve">which is essential to what it means to be a soul. For this reason, we have seen that John affirmed that the </w:t>
      </w:r>
      <w:r w:rsidRPr="00A472FC">
        <w:rPr>
          <w:rFonts w:ascii="Times New Roman" w:hAnsi="Times New Roman" w:cs="Times New Roman"/>
          <w:color w:val="000000" w:themeColor="text1"/>
          <w:lang w:val="en-US"/>
        </w:rPr>
        <w:t>‘lower’ vegetative and sense faculties survive the death of the body, as the means by which the soul exercises itself and indeed acquires merit.</w:t>
      </w:r>
    </w:p>
    <w:p w14:paraId="5E31D6A9" w14:textId="662C2C4A" w:rsidR="00E212D3" w:rsidRPr="00A472FC" w:rsidRDefault="00E212D3" w:rsidP="00E212D3">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In William’s view, by contrast, there is no essential relationship between the body and the soul. For him, the body and all the faculties that go along with it become detached from the soul at death, and the body is just an instrument of the soul that is necessary for this life rather than an essential component thereof. As we saw previously, this was </w:t>
      </w:r>
      <w:r w:rsidR="006D48EA" w:rsidRPr="00A472FC">
        <w:rPr>
          <w:rFonts w:ascii="Times New Roman" w:hAnsi="Times New Roman" w:cs="Times New Roman"/>
          <w:color w:val="000000" w:themeColor="text1"/>
        </w:rPr>
        <w:t xml:space="preserve">a </w:t>
      </w:r>
      <w:r w:rsidRPr="00A472FC">
        <w:rPr>
          <w:rFonts w:ascii="Times New Roman" w:hAnsi="Times New Roman" w:cs="Times New Roman"/>
          <w:color w:val="000000" w:themeColor="text1"/>
        </w:rPr>
        <w:t>view to which John explicitly objected, albeit without mentioning William by name.</w:t>
      </w:r>
      <w:r w:rsidRPr="00A472FC">
        <w:rPr>
          <w:rStyle w:val="FootnoteReference"/>
          <w:rFonts w:ascii="Times New Roman" w:hAnsi="Times New Roman" w:cs="Times New Roman"/>
          <w:color w:val="000000" w:themeColor="text1"/>
        </w:rPr>
        <w:footnoteReference w:id="802"/>
      </w:r>
      <w:r w:rsidRPr="00A472FC">
        <w:rPr>
          <w:rFonts w:ascii="Times New Roman" w:hAnsi="Times New Roman" w:cs="Times New Roman"/>
          <w:color w:val="000000" w:themeColor="text1"/>
        </w:rPr>
        <w:t xml:space="preserve"> Thus, William’s more extreme form of dualism both underpinned and resonated with his equally extreme definition of the ‘active’ character of cognition. Both forms of dualism and indeed active cognition on offer here have been described as ‘Augustinian’. In another context, I have marshalled </w:t>
      </w:r>
      <w:r w:rsidRPr="00A472FC">
        <w:rPr>
          <w:rFonts w:ascii="Times New Roman" w:hAnsi="Times New Roman" w:cs="Times New Roman"/>
        </w:rPr>
        <w:t>evidence that Augustine was by no means a proponent of active cognition, let alone body-soul dualism</w:t>
      </w:r>
      <w:r w:rsidRPr="00A472FC">
        <w:rPr>
          <w:rFonts w:ascii="Times New Roman" w:hAnsi="Times New Roman" w:cs="Times New Roman"/>
          <w:color w:val="000000" w:themeColor="text1"/>
        </w:rPr>
        <w:t>.</w:t>
      </w:r>
      <w:r w:rsidRPr="00A472FC">
        <w:rPr>
          <w:rStyle w:val="FootnoteReference"/>
          <w:rFonts w:ascii="Times New Roman" w:hAnsi="Times New Roman" w:cs="Times New Roman"/>
          <w:color w:val="000000" w:themeColor="text1"/>
        </w:rPr>
        <w:footnoteReference w:id="803"/>
      </w:r>
      <w:r w:rsidRPr="00A472FC">
        <w:rPr>
          <w:rFonts w:ascii="Times New Roman" w:hAnsi="Times New Roman" w:cs="Times New Roman"/>
          <w:color w:val="000000" w:themeColor="text1"/>
        </w:rPr>
        <w:t xml:space="preserve"> This is not a point that I have space to press here. The ‘negative’ evidence, namely, that early Franciscans in particular obtain their Augustine through spurious and Arab</w:t>
      </w:r>
      <w:r w:rsidR="00ED0D68" w:rsidRPr="00A472FC">
        <w:rPr>
          <w:rFonts w:ascii="Times New Roman" w:hAnsi="Times New Roman" w:cs="Times New Roman"/>
          <w:color w:val="000000" w:themeColor="text1"/>
        </w:rPr>
        <w:t>-language</w:t>
      </w:r>
      <w:r w:rsidRPr="00A472FC">
        <w:rPr>
          <w:rFonts w:ascii="Times New Roman" w:hAnsi="Times New Roman" w:cs="Times New Roman"/>
          <w:color w:val="000000" w:themeColor="text1"/>
        </w:rPr>
        <w:t xml:space="preserve"> works is enough to </w:t>
      </w:r>
      <w:r w:rsidR="00086404" w:rsidRPr="00A472FC">
        <w:rPr>
          <w:rFonts w:ascii="Times New Roman" w:hAnsi="Times New Roman" w:cs="Times New Roman"/>
          <w:color w:val="000000" w:themeColor="text1"/>
        </w:rPr>
        <w:t xml:space="preserve">suggest that </w:t>
      </w:r>
      <w:r w:rsidRPr="00A472FC">
        <w:rPr>
          <w:rFonts w:ascii="Times New Roman" w:hAnsi="Times New Roman" w:cs="Times New Roman"/>
          <w:color w:val="000000" w:themeColor="text1"/>
        </w:rPr>
        <w:t xml:space="preserve">their interpretations of Augustine </w:t>
      </w:r>
      <w:r w:rsidR="00086404" w:rsidRPr="00A472FC">
        <w:rPr>
          <w:rFonts w:ascii="Times New Roman" w:hAnsi="Times New Roman" w:cs="Times New Roman"/>
          <w:color w:val="000000" w:themeColor="text1"/>
        </w:rPr>
        <w:t>may not have had much</w:t>
      </w:r>
      <w:r w:rsidRPr="00A472FC">
        <w:rPr>
          <w:rFonts w:ascii="Times New Roman" w:hAnsi="Times New Roman" w:cs="Times New Roman"/>
          <w:color w:val="000000" w:themeColor="text1"/>
        </w:rPr>
        <w:t xml:space="preserve"> to do with anything genuine in Augustine.</w:t>
      </w:r>
      <w:r w:rsidR="00867225" w:rsidRPr="00A472FC">
        <w:rPr>
          <w:rFonts w:ascii="Times New Roman" w:hAnsi="Times New Roman" w:cs="Times New Roman"/>
          <w:color w:val="000000" w:themeColor="text1"/>
        </w:rPr>
        <w:t xml:space="preserve"> What the </w:t>
      </w:r>
      <w:r w:rsidR="00867225" w:rsidRPr="00A472FC">
        <w:rPr>
          <w:rFonts w:ascii="Times New Roman" w:hAnsi="Times New Roman" w:cs="Times New Roman"/>
          <w:i/>
          <w:iCs/>
          <w:color w:val="000000" w:themeColor="text1"/>
        </w:rPr>
        <w:t>Summa de anima</w:t>
      </w:r>
      <w:r w:rsidR="00867225" w:rsidRPr="00A472FC">
        <w:rPr>
          <w:rFonts w:ascii="Times New Roman" w:hAnsi="Times New Roman" w:cs="Times New Roman"/>
          <w:color w:val="000000" w:themeColor="text1"/>
        </w:rPr>
        <w:t xml:space="preserve"> shows, like the </w:t>
      </w:r>
      <w:proofErr w:type="spellStart"/>
      <w:r w:rsidR="00867225" w:rsidRPr="00A472FC">
        <w:rPr>
          <w:rFonts w:ascii="Times New Roman" w:hAnsi="Times New Roman" w:cs="Times New Roman"/>
          <w:i/>
          <w:iCs/>
          <w:color w:val="000000" w:themeColor="text1"/>
        </w:rPr>
        <w:t>Tractatus</w:t>
      </w:r>
      <w:proofErr w:type="spellEnd"/>
      <w:r w:rsidR="00867225" w:rsidRPr="00A472FC">
        <w:rPr>
          <w:rFonts w:ascii="Times New Roman" w:hAnsi="Times New Roman" w:cs="Times New Roman"/>
          <w:color w:val="000000" w:themeColor="text1"/>
        </w:rPr>
        <w:t xml:space="preserve">, is that references to somewhat vaguely defined pseudo-Augustinian as well as </w:t>
      </w:r>
      <w:proofErr w:type="spellStart"/>
      <w:r w:rsidR="00867225" w:rsidRPr="00A472FC">
        <w:rPr>
          <w:rFonts w:ascii="Times New Roman" w:hAnsi="Times New Roman" w:cs="Times New Roman"/>
          <w:color w:val="000000" w:themeColor="text1"/>
        </w:rPr>
        <w:t>Damascenian</w:t>
      </w:r>
      <w:proofErr w:type="spellEnd"/>
      <w:r w:rsidR="00867225" w:rsidRPr="00A472FC">
        <w:rPr>
          <w:rFonts w:ascii="Times New Roman" w:hAnsi="Times New Roman" w:cs="Times New Roman"/>
          <w:color w:val="000000" w:themeColor="text1"/>
        </w:rPr>
        <w:t xml:space="preserve"> psychological categories provided a sort of opportunity for John to inject an </w:t>
      </w:r>
      <w:proofErr w:type="spellStart"/>
      <w:r w:rsidR="00867225" w:rsidRPr="00A472FC">
        <w:rPr>
          <w:rFonts w:ascii="Times New Roman" w:hAnsi="Times New Roman" w:cs="Times New Roman"/>
          <w:color w:val="000000" w:themeColor="text1"/>
        </w:rPr>
        <w:t>Avicennian</w:t>
      </w:r>
      <w:proofErr w:type="spellEnd"/>
      <w:r w:rsidR="00867225" w:rsidRPr="00A472FC">
        <w:rPr>
          <w:rFonts w:ascii="Times New Roman" w:hAnsi="Times New Roman" w:cs="Times New Roman"/>
          <w:color w:val="000000" w:themeColor="text1"/>
        </w:rPr>
        <w:t xml:space="preserve"> understanding of human cognition into the Christian tradition.</w:t>
      </w:r>
    </w:p>
    <w:p w14:paraId="39050383" w14:textId="0A2EA9CF" w:rsidR="00E212D3" w:rsidRPr="00A472FC" w:rsidRDefault="00E212D3" w:rsidP="00E212D3">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A question that does need to be pursued further</w:t>
      </w:r>
      <w:r w:rsidR="00492281" w:rsidRPr="00A472FC">
        <w:rPr>
          <w:rFonts w:ascii="Times New Roman" w:hAnsi="Times New Roman" w:cs="Times New Roman"/>
          <w:color w:val="000000" w:themeColor="text1"/>
        </w:rPr>
        <w:t xml:space="preserve"> in this regard</w:t>
      </w:r>
      <w:r w:rsidRPr="00A472FC">
        <w:rPr>
          <w:rFonts w:ascii="Times New Roman" w:hAnsi="Times New Roman" w:cs="Times New Roman"/>
          <w:color w:val="000000" w:themeColor="text1"/>
        </w:rPr>
        <w:t xml:space="preserve">, however, concerns the source of the corruptible (material)/incorruptible (possible and agent) intellect distinction that we have seen upholds and ties together the diverse elements of John’s theory of cognition, from his invocation of pseudo-Augustine to his use of Avicenna’s doctrine of four intellects and syllogistic reasoning. Although the three-fold scheme of material/possible/agent intellect is initially present in </w:t>
      </w:r>
      <w:r w:rsidRPr="00A472FC">
        <w:rPr>
          <w:rFonts w:ascii="Times New Roman" w:hAnsi="Times New Roman" w:cs="Times New Roman"/>
          <w:lang w:val="en-US"/>
        </w:rPr>
        <w:t>Anonymous Callus and Anonymous Gauthier, as I have noted, and appears in another, more rudimentary, format in Philip the Chancellor, it does not trace exactly to any one of the major philosophical sources we have so far found the early Franciscans to be using. For example, it is not a scheme that is found as presented in Avicenna, and it is certainly not in Aristotle, who never mentioned a material intellect. The appearance of this schema in early Latin scholasticism therefore poses something of a puzzle, which it will be the goal of the next chapter to address.</w:t>
      </w:r>
    </w:p>
    <w:p w14:paraId="10648492" w14:textId="77777777" w:rsidR="00E212D3" w:rsidRPr="00A472FC" w:rsidRDefault="00E212D3" w:rsidP="00E212D3">
      <w:pPr>
        <w:autoSpaceDE w:val="0"/>
        <w:autoSpaceDN w:val="0"/>
        <w:adjustRightInd w:val="0"/>
        <w:ind w:right="-52"/>
        <w:rPr>
          <w:rFonts w:ascii="Times New Roman" w:hAnsi="Times New Roman" w:cs="Times New Roman"/>
        </w:rPr>
      </w:pPr>
    </w:p>
    <w:p w14:paraId="7B3E8F8E" w14:textId="77777777" w:rsidR="00E212D3" w:rsidRPr="00A472FC" w:rsidRDefault="00E212D3" w:rsidP="00E212D3">
      <w:pPr>
        <w:ind w:right="-52"/>
        <w:rPr>
          <w:rFonts w:ascii="Times New Roman" w:hAnsi="Times New Roman" w:cs="Times New Roman"/>
        </w:rPr>
        <w:sectPr w:rsidR="00E212D3" w:rsidRPr="00A472FC" w:rsidSect="00983A9E">
          <w:headerReference w:type="even" r:id="rId47"/>
          <w:headerReference w:type="default" r:id="rId48"/>
          <w:footerReference w:type="even" r:id="rId49"/>
          <w:footerReference w:type="default" r:id="rId50"/>
          <w:headerReference w:type="first" r:id="rId51"/>
          <w:footerReference w:type="first" r:id="rId52"/>
          <w:footnotePr>
            <w:numRestart w:val="eachSect"/>
          </w:footnotePr>
          <w:endnotePr>
            <w:numFmt w:val="decimal"/>
          </w:endnotePr>
          <w:pgSz w:w="11900" w:h="16840"/>
          <w:pgMar w:top="1440" w:right="1440" w:bottom="1440" w:left="1440" w:header="720" w:footer="720" w:gutter="0"/>
          <w:cols w:space="720"/>
          <w:docGrid w:linePitch="360"/>
        </w:sectPr>
      </w:pPr>
    </w:p>
    <w:p w14:paraId="2A163578" w14:textId="77777777" w:rsidR="00E212D3" w:rsidRPr="00A472FC" w:rsidRDefault="00E212D3" w:rsidP="00E212D3">
      <w:pPr>
        <w:ind w:right="-52"/>
        <w:rPr>
          <w:rFonts w:ascii="Times New Roman" w:hAnsi="Times New Roman" w:cs="Times New Roman"/>
        </w:rPr>
        <w:sectPr w:rsidR="00E212D3" w:rsidRPr="00A472FC" w:rsidSect="00B90B15">
          <w:footnotePr>
            <w:numRestart w:val="eachSect"/>
          </w:footnotePr>
          <w:endnotePr>
            <w:numFmt w:val="decimal"/>
          </w:endnotePr>
          <w:type w:val="continuous"/>
          <w:pgSz w:w="11900" w:h="16840"/>
          <w:pgMar w:top="1440" w:right="1440" w:bottom="1440" w:left="1440" w:header="720" w:footer="720" w:gutter="0"/>
          <w:cols w:space="720"/>
          <w:docGrid w:linePitch="360"/>
        </w:sectPr>
      </w:pPr>
    </w:p>
    <w:p w14:paraId="0157640D" w14:textId="77777777" w:rsidR="00255546" w:rsidRPr="00A472FC" w:rsidRDefault="00255546" w:rsidP="00255546">
      <w:pPr>
        <w:autoSpaceDE w:val="0"/>
        <w:autoSpaceDN w:val="0"/>
        <w:adjustRightInd w:val="0"/>
        <w:ind w:right="-52"/>
        <w:rPr>
          <w:rFonts w:ascii="Times New Roman" w:hAnsi="Times New Roman" w:cs="Times New Roman"/>
          <w:b/>
          <w:lang w:val="en-US"/>
        </w:rPr>
      </w:pPr>
      <w:r w:rsidRPr="00A472FC">
        <w:rPr>
          <w:rFonts w:ascii="Times New Roman" w:hAnsi="Times New Roman" w:cs="Times New Roman"/>
          <w:b/>
          <w:lang w:val="en-US"/>
        </w:rPr>
        <w:lastRenderedPageBreak/>
        <w:t xml:space="preserve">7. The Reception of </w:t>
      </w:r>
      <w:proofErr w:type="spellStart"/>
      <w:r w:rsidRPr="00A472FC">
        <w:rPr>
          <w:rFonts w:ascii="Times New Roman" w:hAnsi="Times New Roman" w:cs="Times New Roman"/>
          <w:b/>
          <w:lang w:val="en-US"/>
        </w:rPr>
        <w:t>Averroes</w:t>
      </w:r>
      <w:proofErr w:type="spellEnd"/>
      <w:r w:rsidRPr="00A472FC">
        <w:rPr>
          <w:rFonts w:ascii="Times New Roman" w:hAnsi="Times New Roman" w:cs="Times New Roman"/>
          <w:b/>
          <w:lang w:val="en-US"/>
        </w:rPr>
        <w:t xml:space="preserve"> in Early Scholasticism</w:t>
      </w:r>
    </w:p>
    <w:p w14:paraId="10A5F5B5" w14:textId="77777777" w:rsidR="00255546" w:rsidRPr="00A472FC" w:rsidRDefault="00255546" w:rsidP="00255546">
      <w:pPr>
        <w:autoSpaceDE w:val="0"/>
        <w:autoSpaceDN w:val="0"/>
        <w:adjustRightInd w:val="0"/>
        <w:ind w:right="-52" w:firstLine="720"/>
        <w:rPr>
          <w:rFonts w:ascii="Times New Roman" w:hAnsi="Times New Roman" w:cs="Times New Roman"/>
          <w:lang w:val="en-US"/>
        </w:rPr>
      </w:pPr>
    </w:p>
    <w:p w14:paraId="49CFCFF6" w14:textId="263DFA98" w:rsidR="00255546" w:rsidRPr="00A472FC" w:rsidRDefault="00255546" w:rsidP="006E16A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There are a number of possible candidates for the source of the three-fold intellectual schema we have found in the </w:t>
      </w:r>
      <w:proofErr w:type="spellStart"/>
      <w:r w:rsidRPr="00A472FC">
        <w:rPr>
          <w:rFonts w:ascii="Times New Roman" w:hAnsi="Times New Roman" w:cs="Times New Roman"/>
          <w:i/>
          <w:lang w:val="en-US"/>
        </w:rPr>
        <w:t>Tractatus</w:t>
      </w:r>
      <w:proofErr w:type="spellEnd"/>
      <w:r w:rsidRPr="00A472FC">
        <w:rPr>
          <w:rFonts w:ascii="Times New Roman" w:hAnsi="Times New Roman" w:cs="Times New Roman"/>
          <w:lang w:val="en-US"/>
        </w:rPr>
        <w:t xml:space="preserve"> and which re-appears nearly verbatim in the SDA, which is the text on which the account of this chapter will be based. As we will see, the immediate source is clearly Anonymous Callus, and before this, Anonymous Gauthier, </w:t>
      </w:r>
      <w:r w:rsidR="006E16A4" w:rsidRPr="00A472FC">
        <w:rPr>
          <w:rFonts w:ascii="Times New Roman" w:hAnsi="Times New Roman" w:cs="Times New Roman"/>
          <w:lang w:val="en-US"/>
        </w:rPr>
        <w:t xml:space="preserve">though more recently, José </w:t>
      </w:r>
      <w:proofErr w:type="spellStart"/>
      <w:r w:rsidR="006E16A4" w:rsidRPr="00A472FC">
        <w:rPr>
          <w:rFonts w:ascii="Times New Roman" w:hAnsi="Times New Roman" w:cs="Times New Roman"/>
          <w:lang w:val="en-US"/>
        </w:rPr>
        <w:t>Meirinhos</w:t>
      </w:r>
      <w:proofErr w:type="spellEnd"/>
      <w:r w:rsidR="006E16A4" w:rsidRPr="00A472FC">
        <w:rPr>
          <w:rFonts w:ascii="Times New Roman" w:hAnsi="Times New Roman" w:cs="Times New Roman"/>
          <w:lang w:val="en-US"/>
        </w:rPr>
        <w:t xml:space="preserve"> has </w:t>
      </w:r>
      <w:r w:rsidR="00383CCC" w:rsidRPr="00A472FC">
        <w:rPr>
          <w:rFonts w:ascii="Times New Roman" w:hAnsi="Times New Roman" w:cs="Times New Roman"/>
          <w:lang w:val="en-US"/>
        </w:rPr>
        <w:t>suggested</w:t>
      </w:r>
      <w:r w:rsidR="006E16A4" w:rsidRPr="00A472FC">
        <w:rPr>
          <w:rFonts w:ascii="Times New Roman" w:hAnsi="Times New Roman" w:cs="Times New Roman"/>
          <w:lang w:val="en-US"/>
        </w:rPr>
        <w:t xml:space="preserve"> that these texts may have derived the tripartite intellect from John of La Rochelle rather than the other way around.</w:t>
      </w:r>
      <w:r w:rsidR="00383CCC" w:rsidRPr="00A472FC">
        <w:rPr>
          <w:rStyle w:val="FootnoteReference"/>
          <w:rFonts w:ascii="Times New Roman" w:hAnsi="Times New Roman" w:cs="Times New Roman"/>
          <w:lang w:val="en-US"/>
        </w:rPr>
        <w:footnoteReference w:id="804"/>
      </w:r>
      <w:r w:rsidR="006E16A4" w:rsidRPr="00A472FC">
        <w:rPr>
          <w:rFonts w:ascii="Times New Roman" w:hAnsi="Times New Roman" w:cs="Times New Roman"/>
          <w:lang w:val="en-US"/>
        </w:rPr>
        <w:t xml:space="preserve"> Either way, the question remains as to </w:t>
      </w:r>
      <w:r w:rsidRPr="00A472FC">
        <w:rPr>
          <w:rFonts w:ascii="Times New Roman" w:hAnsi="Times New Roman" w:cs="Times New Roman"/>
          <w:lang w:val="en-US"/>
        </w:rPr>
        <w:t xml:space="preserve">what compelled these authors to present the intellect in this format. The philosophical sources available for this purpose were of course Aristotle and Avicenna, as well as the </w:t>
      </w:r>
      <w:r w:rsidRPr="00A472FC">
        <w:rPr>
          <w:rFonts w:ascii="Times New Roman" w:hAnsi="Times New Roman" w:cs="Times New Roman"/>
          <w:i/>
          <w:lang w:val="en-US"/>
        </w:rPr>
        <w:t xml:space="preserve">De </w:t>
      </w:r>
      <w:proofErr w:type="spellStart"/>
      <w:r w:rsidRPr="00A472FC">
        <w:rPr>
          <w:rFonts w:ascii="Times New Roman" w:hAnsi="Times New Roman" w:cs="Times New Roman"/>
          <w:i/>
          <w:lang w:val="en-US"/>
        </w:rPr>
        <w:t>intellectu</w:t>
      </w:r>
      <w:proofErr w:type="spellEnd"/>
      <w:r w:rsidRPr="00A472FC">
        <w:rPr>
          <w:rFonts w:ascii="Times New Roman" w:hAnsi="Times New Roman" w:cs="Times New Roman"/>
          <w:i/>
          <w:lang w:val="en-US"/>
        </w:rPr>
        <w:t xml:space="preserve"> </w:t>
      </w:r>
      <w:r w:rsidRPr="00A472FC">
        <w:rPr>
          <w:rFonts w:ascii="Times New Roman" w:hAnsi="Times New Roman" w:cs="Times New Roman"/>
          <w:lang w:val="en-US"/>
        </w:rPr>
        <w:t xml:space="preserve">of Alexander of </w:t>
      </w:r>
      <w:proofErr w:type="spellStart"/>
      <w:r w:rsidRPr="00A472FC">
        <w:rPr>
          <w:rFonts w:ascii="Times New Roman" w:hAnsi="Times New Roman" w:cs="Times New Roman"/>
          <w:lang w:val="en-US"/>
        </w:rPr>
        <w:t>Aphrodisias</w:t>
      </w:r>
      <w:proofErr w:type="spellEnd"/>
      <w:r w:rsidRPr="00A472FC">
        <w:rPr>
          <w:rFonts w:ascii="Times New Roman" w:hAnsi="Times New Roman" w:cs="Times New Roman"/>
          <w:lang w:val="en-US"/>
        </w:rPr>
        <w:t xml:space="preserve">, to which Latin thinkers had access at this time. More controversially, there was the newly available work of </w:t>
      </w:r>
      <w:proofErr w:type="spellStart"/>
      <w:r w:rsidRPr="00A472FC">
        <w:rPr>
          <w:rFonts w:ascii="Times New Roman" w:hAnsi="Times New Roman" w:cs="Times New Roman"/>
          <w:lang w:val="en-US"/>
        </w:rPr>
        <w:t>Averroes</w:t>
      </w:r>
      <w:proofErr w:type="spellEnd"/>
      <w:r w:rsidRPr="00A472FC">
        <w:rPr>
          <w:rFonts w:ascii="Times New Roman" w:hAnsi="Times New Roman" w:cs="Times New Roman"/>
          <w:lang w:val="en-US"/>
        </w:rPr>
        <w:t xml:space="preserve">. In order to weigh these options, I will investigate more closely the presentation of the intellect in Aristotle, Alexander, and </w:t>
      </w:r>
      <w:proofErr w:type="spellStart"/>
      <w:r w:rsidRPr="00A472FC">
        <w:rPr>
          <w:rFonts w:ascii="Times New Roman" w:hAnsi="Times New Roman" w:cs="Times New Roman"/>
          <w:lang w:val="en-US"/>
        </w:rPr>
        <w:t>Averroes</w:t>
      </w:r>
      <w:proofErr w:type="spellEnd"/>
      <w:r w:rsidRPr="00A472FC">
        <w:rPr>
          <w:rFonts w:ascii="Times New Roman" w:hAnsi="Times New Roman" w:cs="Times New Roman"/>
          <w:lang w:val="en-US"/>
        </w:rPr>
        <w:t xml:space="preserve">, and the discussion surrounding the reception of </w:t>
      </w:r>
      <w:proofErr w:type="spellStart"/>
      <w:r w:rsidRPr="00A472FC">
        <w:rPr>
          <w:rFonts w:ascii="Times New Roman" w:hAnsi="Times New Roman" w:cs="Times New Roman"/>
          <w:lang w:val="en-US"/>
        </w:rPr>
        <w:t>Averroes</w:t>
      </w:r>
      <w:proofErr w:type="spellEnd"/>
      <w:r w:rsidRPr="00A472FC">
        <w:rPr>
          <w:rFonts w:ascii="Times New Roman" w:hAnsi="Times New Roman" w:cs="Times New Roman"/>
          <w:lang w:val="en-US"/>
        </w:rPr>
        <w:t xml:space="preserve"> in the secondary literature, before drawing some conclusions about the likely origin of the material-possible-agent intellect distinction.</w:t>
      </w:r>
    </w:p>
    <w:p w14:paraId="4469DFFB" w14:textId="77777777" w:rsidR="00255546" w:rsidRPr="00A472FC" w:rsidRDefault="00255546" w:rsidP="00255546">
      <w:pPr>
        <w:autoSpaceDE w:val="0"/>
        <w:autoSpaceDN w:val="0"/>
        <w:adjustRightInd w:val="0"/>
        <w:ind w:right="-52"/>
        <w:rPr>
          <w:rFonts w:ascii="Times New Roman" w:hAnsi="Times New Roman" w:cs="Times New Roman"/>
          <w:lang w:val="en-US"/>
        </w:rPr>
      </w:pPr>
    </w:p>
    <w:p w14:paraId="2CC2669E" w14:textId="77777777" w:rsidR="00255546" w:rsidRPr="00A472FC" w:rsidRDefault="00255546" w:rsidP="00255546">
      <w:pPr>
        <w:autoSpaceDE w:val="0"/>
        <w:autoSpaceDN w:val="0"/>
        <w:adjustRightInd w:val="0"/>
        <w:ind w:right="-52"/>
        <w:rPr>
          <w:rFonts w:ascii="Times New Roman" w:hAnsi="Times New Roman" w:cs="Times New Roman"/>
          <w:u w:val="single"/>
          <w:lang w:val="en-US"/>
        </w:rPr>
      </w:pPr>
      <w:r w:rsidRPr="00A472FC">
        <w:rPr>
          <w:rFonts w:ascii="Times New Roman" w:hAnsi="Times New Roman" w:cs="Times New Roman"/>
          <w:u w:val="single"/>
          <w:lang w:val="en-US"/>
        </w:rPr>
        <w:t>Aristotle (385-323 BC)</w:t>
      </w:r>
    </w:p>
    <w:p w14:paraId="38E78B59" w14:textId="77777777" w:rsidR="00255546" w:rsidRPr="00A472FC" w:rsidRDefault="00255546" w:rsidP="00255546">
      <w:pPr>
        <w:autoSpaceDE w:val="0"/>
        <w:autoSpaceDN w:val="0"/>
        <w:adjustRightInd w:val="0"/>
        <w:ind w:right="-52"/>
        <w:rPr>
          <w:rFonts w:ascii="Times New Roman" w:hAnsi="Times New Roman" w:cs="Times New Roman"/>
          <w:u w:val="single"/>
          <w:lang w:val="en-US"/>
        </w:rPr>
      </w:pPr>
    </w:p>
    <w:p w14:paraId="25D9A7E8" w14:textId="7AE967FE" w:rsidR="00255546" w:rsidRPr="00A472FC" w:rsidRDefault="00255546" w:rsidP="00255546">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Aristotle’s theory of the intellect is the focus of many books in its own right, and we can only reprise it briefly here, insofar as it is relevant to our study of John of La Rochelle. As is well known, the Greek philosopher distinguished between an active power and a passive one that is capable of being acted upon, the so-called </w:t>
      </w:r>
      <w:r w:rsidRPr="00A472FC">
        <w:rPr>
          <w:rFonts w:ascii="Times New Roman" w:hAnsi="Times New Roman" w:cs="Times New Roman"/>
          <w:i/>
        </w:rPr>
        <w:t xml:space="preserve">nous </w:t>
      </w:r>
      <w:proofErr w:type="spellStart"/>
      <w:r w:rsidRPr="00A472FC">
        <w:rPr>
          <w:rFonts w:ascii="Times New Roman" w:hAnsi="Times New Roman" w:cs="Times New Roman"/>
          <w:i/>
        </w:rPr>
        <w:t>pathetikos</w:t>
      </w:r>
      <w:proofErr w:type="spellEnd"/>
      <w:r w:rsidRPr="00A472FC">
        <w:rPr>
          <w:rFonts w:ascii="Times New Roman" w:hAnsi="Times New Roman" w:cs="Times New Roman"/>
          <w:i/>
        </w:rPr>
        <w:t>.</w:t>
      </w:r>
      <w:r w:rsidRPr="00A472FC">
        <w:rPr>
          <w:rStyle w:val="FootnoteReference"/>
          <w:rFonts w:ascii="Times New Roman" w:hAnsi="Times New Roman" w:cs="Times New Roman"/>
        </w:rPr>
        <w:footnoteReference w:id="805"/>
      </w:r>
      <w:r w:rsidRPr="00A472FC">
        <w:rPr>
          <w:rFonts w:ascii="Times New Roman" w:hAnsi="Times New Roman" w:cs="Times New Roman"/>
        </w:rPr>
        <w:t xml:space="preserve"> The Greco-Latin translation of Aristotle speaks of this power insofar as it stands in a relationship of potentiality (</w:t>
      </w:r>
      <w:proofErr w:type="spellStart"/>
      <w:r w:rsidRPr="00A472FC">
        <w:rPr>
          <w:rFonts w:ascii="Times New Roman" w:hAnsi="Times New Roman" w:cs="Times New Roman"/>
          <w:i/>
        </w:rPr>
        <w:t>potentia</w:t>
      </w:r>
      <w:proofErr w:type="spellEnd"/>
      <w:r w:rsidRPr="00A472FC">
        <w:rPr>
          <w:rFonts w:ascii="Times New Roman" w:hAnsi="Times New Roman" w:cs="Times New Roman"/>
        </w:rPr>
        <w:t>) or possibility (</w:t>
      </w:r>
      <w:proofErr w:type="spellStart"/>
      <w:r w:rsidRPr="00A472FC">
        <w:rPr>
          <w:rFonts w:ascii="Times New Roman" w:hAnsi="Times New Roman" w:cs="Times New Roman"/>
          <w:i/>
        </w:rPr>
        <w:t>possibilis</w:t>
      </w:r>
      <w:proofErr w:type="spellEnd"/>
      <w:r w:rsidRPr="00A472FC">
        <w:rPr>
          <w:rFonts w:ascii="Times New Roman" w:hAnsi="Times New Roman" w:cs="Times New Roman"/>
        </w:rPr>
        <w:t>) with regard to knowledge.</w:t>
      </w:r>
      <w:r w:rsidRPr="00A472FC">
        <w:rPr>
          <w:rStyle w:val="FootnoteReference"/>
          <w:rFonts w:ascii="Times New Roman" w:hAnsi="Times New Roman" w:cs="Times New Roman"/>
        </w:rPr>
        <w:footnoteReference w:id="806"/>
      </w:r>
      <w:r w:rsidRPr="00A472FC">
        <w:rPr>
          <w:rFonts w:ascii="Times New Roman" w:hAnsi="Times New Roman" w:cs="Times New Roman"/>
        </w:rPr>
        <w:t xml:space="preserve"> This is echoed by the </w:t>
      </w:r>
      <w:proofErr w:type="spellStart"/>
      <w:r w:rsidRPr="00A472FC">
        <w:rPr>
          <w:rFonts w:ascii="Times New Roman" w:hAnsi="Times New Roman" w:cs="Times New Roman"/>
        </w:rPr>
        <w:t>Arabo-Latin</w:t>
      </w:r>
      <w:proofErr w:type="spellEnd"/>
      <w:r w:rsidRPr="00A472FC">
        <w:rPr>
          <w:rFonts w:ascii="Times New Roman" w:hAnsi="Times New Roman" w:cs="Times New Roman"/>
        </w:rPr>
        <w:t xml:space="preserve"> translation, which also uses the terms </w:t>
      </w:r>
      <w:proofErr w:type="spellStart"/>
      <w:r w:rsidRPr="00A472FC">
        <w:rPr>
          <w:rFonts w:ascii="Times New Roman" w:hAnsi="Times New Roman" w:cs="Times New Roman"/>
          <w:i/>
        </w:rPr>
        <w:t>potentia</w:t>
      </w:r>
      <w:proofErr w:type="spellEnd"/>
      <w:r w:rsidRPr="00A472FC">
        <w:rPr>
          <w:rFonts w:ascii="Times New Roman" w:hAnsi="Times New Roman" w:cs="Times New Roman"/>
        </w:rPr>
        <w:t xml:space="preserve"> and </w:t>
      </w:r>
      <w:proofErr w:type="spellStart"/>
      <w:r w:rsidRPr="00A472FC">
        <w:rPr>
          <w:rFonts w:ascii="Times New Roman" w:hAnsi="Times New Roman" w:cs="Times New Roman"/>
          <w:i/>
        </w:rPr>
        <w:t>possibilis</w:t>
      </w:r>
      <w:proofErr w:type="spellEnd"/>
      <w:r w:rsidRPr="00A472FC">
        <w:rPr>
          <w:rFonts w:ascii="Times New Roman" w:hAnsi="Times New Roman" w:cs="Times New Roman"/>
        </w:rPr>
        <w:t xml:space="preserve"> to describe the relationship between the mind and its capacity for knowledge. This potential is </w:t>
      </w:r>
      <w:proofErr w:type="spellStart"/>
      <w:r w:rsidRPr="00A472FC">
        <w:rPr>
          <w:rFonts w:ascii="Times New Roman" w:hAnsi="Times New Roman" w:cs="Times New Roman"/>
        </w:rPr>
        <w:t>reali</w:t>
      </w:r>
      <w:r w:rsidR="00AD5A8F">
        <w:rPr>
          <w:rFonts w:ascii="Times New Roman" w:hAnsi="Times New Roman" w:cs="Times New Roman"/>
        </w:rPr>
        <w:t>zed</w:t>
      </w:r>
      <w:proofErr w:type="spellEnd"/>
      <w:r w:rsidRPr="00A472FC">
        <w:rPr>
          <w:rFonts w:ascii="Times New Roman" w:hAnsi="Times New Roman" w:cs="Times New Roman"/>
        </w:rPr>
        <w:t xml:space="preserve"> by the active power already mentioned. </w:t>
      </w:r>
    </w:p>
    <w:p w14:paraId="7F8950A3" w14:textId="77777777" w:rsidR="00830AA6" w:rsidRPr="00A472FC" w:rsidRDefault="00255546" w:rsidP="00830AA6">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rPr>
        <w:t>In Aristotle’s view, the latter aspect of the mind alone is separate from and unmixed with the body and thus impassible.</w:t>
      </w:r>
      <w:r w:rsidRPr="00A472FC">
        <w:rPr>
          <w:rStyle w:val="FootnoteReference"/>
          <w:rFonts w:ascii="Times New Roman" w:hAnsi="Times New Roman" w:cs="Times New Roman"/>
        </w:rPr>
        <w:footnoteReference w:id="807"/>
      </w:r>
      <w:r w:rsidRPr="00A472FC">
        <w:rPr>
          <w:rFonts w:ascii="Times New Roman" w:hAnsi="Times New Roman" w:cs="Times New Roman"/>
        </w:rPr>
        <w:t xml:space="preserve"> This view is rendered as follows from the Greek: ‘</w:t>
      </w:r>
      <w:proofErr w:type="spellStart"/>
      <w:r w:rsidRPr="00A472FC">
        <w:rPr>
          <w:rFonts w:ascii="Times New Roman" w:hAnsi="Times New Roman" w:cs="Times New Roman"/>
          <w:i/>
          <w:color w:val="000000"/>
        </w:rPr>
        <w:t>intellectus</w:t>
      </w:r>
      <w:proofErr w:type="spellEnd"/>
      <w:r w:rsidRPr="00A472FC">
        <w:rPr>
          <w:rFonts w:ascii="Times New Roman" w:hAnsi="Times New Roman" w:cs="Times New Roman"/>
          <w:i/>
          <w:color w:val="000000"/>
        </w:rPr>
        <w:t xml:space="preserve"> </w:t>
      </w:r>
      <w:proofErr w:type="spellStart"/>
      <w:r w:rsidRPr="00A472FC">
        <w:rPr>
          <w:rFonts w:ascii="Times New Roman" w:hAnsi="Times New Roman" w:cs="Times New Roman"/>
          <w:i/>
          <w:color w:val="000000"/>
        </w:rPr>
        <w:t>separatus</w:t>
      </w:r>
      <w:proofErr w:type="spellEnd"/>
      <w:r w:rsidRPr="00A472FC">
        <w:rPr>
          <w:rFonts w:ascii="Times New Roman" w:hAnsi="Times New Roman" w:cs="Times New Roman"/>
          <w:i/>
          <w:color w:val="000000"/>
        </w:rPr>
        <w:t xml:space="preserve"> et </w:t>
      </w:r>
      <w:proofErr w:type="spellStart"/>
      <w:r w:rsidRPr="00A472FC">
        <w:rPr>
          <w:rFonts w:ascii="Times New Roman" w:hAnsi="Times New Roman" w:cs="Times New Roman"/>
          <w:i/>
          <w:color w:val="000000"/>
        </w:rPr>
        <w:t>inmixtus</w:t>
      </w:r>
      <w:proofErr w:type="spellEnd"/>
      <w:r w:rsidRPr="00A472FC">
        <w:rPr>
          <w:rFonts w:ascii="Times New Roman" w:hAnsi="Times New Roman" w:cs="Times New Roman"/>
          <w:i/>
          <w:color w:val="000000"/>
        </w:rPr>
        <w:t xml:space="preserve"> et </w:t>
      </w:r>
      <w:proofErr w:type="spellStart"/>
      <w:r w:rsidRPr="00A472FC">
        <w:rPr>
          <w:rFonts w:ascii="Times New Roman" w:hAnsi="Times New Roman" w:cs="Times New Roman"/>
          <w:i/>
          <w:color w:val="000000"/>
        </w:rPr>
        <w:t>inpassibilis</w:t>
      </w:r>
      <w:proofErr w:type="spellEnd"/>
      <w:r w:rsidRPr="00A472FC">
        <w:rPr>
          <w:rFonts w:ascii="Times New Roman" w:hAnsi="Times New Roman" w:cs="Times New Roman"/>
          <w:color w:val="000000"/>
        </w:rPr>
        <w:t>;’ and from the Arabic, ‘</w:t>
      </w:r>
      <w:r w:rsidRPr="00A472FC">
        <w:rPr>
          <w:rFonts w:ascii="Times New Roman" w:hAnsi="Times New Roman" w:cs="Times New Roman"/>
          <w:i/>
          <w:color w:val="000000"/>
        </w:rPr>
        <w:t xml:space="preserve">non </w:t>
      </w:r>
      <w:proofErr w:type="spellStart"/>
      <w:r w:rsidRPr="00A472FC">
        <w:rPr>
          <w:rFonts w:ascii="Times New Roman" w:hAnsi="Times New Roman" w:cs="Times New Roman"/>
          <w:i/>
          <w:color w:val="000000"/>
        </w:rPr>
        <w:t>mixtus</w:t>
      </w:r>
      <w:proofErr w:type="spellEnd"/>
      <w:r w:rsidRPr="00A472FC">
        <w:rPr>
          <w:rFonts w:ascii="Times New Roman" w:hAnsi="Times New Roman" w:cs="Times New Roman"/>
          <w:i/>
          <w:color w:val="000000"/>
        </w:rPr>
        <w:t xml:space="preserve"> </w:t>
      </w:r>
      <w:proofErr w:type="spellStart"/>
      <w:r w:rsidRPr="00A472FC">
        <w:rPr>
          <w:rFonts w:ascii="Times New Roman" w:hAnsi="Times New Roman" w:cs="Times New Roman"/>
          <w:i/>
          <w:color w:val="000000"/>
        </w:rPr>
        <w:t>neque</w:t>
      </w:r>
      <w:proofErr w:type="spellEnd"/>
      <w:r w:rsidRPr="00A472FC">
        <w:rPr>
          <w:rFonts w:ascii="Times New Roman" w:hAnsi="Times New Roman" w:cs="Times New Roman"/>
          <w:i/>
          <w:color w:val="000000"/>
        </w:rPr>
        <w:t xml:space="preserve"> </w:t>
      </w:r>
      <w:proofErr w:type="spellStart"/>
      <w:r w:rsidRPr="00A472FC">
        <w:rPr>
          <w:rFonts w:ascii="Times New Roman" w:hAnsi="Times New Roman" w:cs="Times New Roman"/>
          <w:i/>
          <w:color w:val="000000"/>
        </w:rPr>
        <w:t>passibilis</w:t>
      </w:r>
      <w:proofErr w:type="spellEnd"/>
      <w:r w:rsidRPr="00A472FC">
        <w:rPr>
          <w:rFonts w:ascii="Times New Roman" w:hAnsi="Times New Roman" w:cs="Times New Roman"/>
          <w:color w:val="000000"/>
        </w:rPr>
        <w:t>.’</w:t>
      </w:r>
      <w:r w:rsidRPr="00A472FC">
        <w:rPr>
          <w:rStyle w:val="FootnoteReference"/>
          <w:rFonts w:ascii="Times New Roman" w:hAnsi="Times New Roman" w:cs="Times New Roman"/>
          <w:color w:val="000000"/>
        </w:rPr>
        <w:footnoteReference w:id="808"/>
      </w:r>
      <w:r w:rsidRPr="00A472FC">
        <w:rPr>
          <w:rFonts w:ascii="Times New Roman" w:hAnsi="Times New Roman" w:cs="Times New Roman"/>
          <w:color w:val="000000"/>
        </w:rPr>
        <w:t xml:space="preserve"> Because it is impassible, the active power is </w:t>
      </w:r>
      <w:r w:rsidRPr="00A472FC">
        <w:rPr>
          <w:rFonts w:ascii="Times New Roman" w:hAnsi="Times New Roman" w:cs="Times New Roman"/>
        </w:rPr>
        <w:t>immortal and eternal, a view which is rendered as ‘</w:t>
      </w:r>
      <w:proofErr w:type="spellStart"/>
      <w:r w:rsidRPr="00A472FC">
        <w:rPr>
          <w:rFonts w:ascii="Times New Roman" w:hAnsi="Times New Roman" w:cs="Times New Roman"/>
          <w:i/>
          <w:color w:val="000000"/>
        </w:rPr>
        <w:t>inmortale</w:t>
      </w:r>
      <w:proofErr w:type="spellEnd"/>
      <w:r w:rsidRPr="00A472FC">
        <w:rPr>
          <w:rFonts w:ascii="Times New Roman" w:hAnsi="Times New Roman" w:cs="Times New Roman"/>
          <w:i/>
          <w:color w:val="000000"/>
        </w:rPr>
        <w:t xml:space="preserve"> et </w:t>
      </w:r>
      <w:proofErr w:type="spellStart"/>
      <w:r w:rsidRPr="00A472FC">
        <w:rPr>
          <w:rFonts w:ascii="Times New Roman" w:hAnsi="Times New Roman" w:cs="Times New Roman"/>
          <w:i/>
          <w:color w:val="000000"/>
        </w:rPr>
        <w:t>perpetuum</w:t>
      </w:r>
      <w:proofErr w:type="spellEnd"/>
      <w:r w:rsidRPr="00A472FC">
        <w:rPr>
          <w:rFonts w:ascii="Times New Roman" w:hAnsi="Times New Roman" w:cs="Times New Roman"/>
          <w:color w:val="000000"/>
        </w:rPr>
        <w:t>’ from the Greek and ‘</w:t>
      </w:r>
      <w:proofErr w:type="spellStart"/>
      <w:r w:rsidRPr="00A472FC">
        <w:rPr>
          <w:rFonts w:ascii="Times New Roman" w:hAnsi="Times New Roman" w:cs="Times New Roman"/>
          <w:i/>
          <w:lang w:val="en-US"/>
        </w:rPr>
        <w:t>immortalis</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semper</w:t>
      </w:r>
      <w:proofErr w:type="spellEnd"/>
      <w:r w:rsidRPr="00A472FC">
        <w:rPr>
          <w:rFonts w:ascii="Times New Roman" w:hAnsi="Times New Roman" w:cs="Times New Roman"/>
          <w:lang w:val="en-US"/>
        </w:rPr>
        <w:t>’ from the Arabic.</w:t>
      </w:r>
      <w:r w:rsidRPr="00A472FC">
        <w:rPr>
          <w:rStyle w:val="FootnoteReference"/>
          <w:rFonts w:ascii="Times New Roman" w:hAnsi="Times New Roman" w:cs="Times New Roman"/>
        </w:rPr>
        <w:footnoteReference w:id="809"/>
      </w:r>
      <w:r w:rsidRPr="00A472FC">
        <w:rPr>
          <w:rFonts w:ascii="Times New Roman" w:hAnsi="Times New Roman" w:cs="Times New Roman"/>
        </w:rPr>
        <w:t xml:space="preserve"> Even though it is necessary for active thinking, consequently, the passive aspect of </w:t>
      </w:r>
      <w:r w:rsidRPr="00A472FC">
        <w:rPr>
          <w:rFonts w:ascii="Times New Roman" w:hAnsi="Times New Roman" w:cs="Times New Roman"/>
        </w:rPr>
        <w:lastRenderedPageBreak/>
        <w:t>the mind is destructible precisely because it is open to receiving forms of things that will pass away.</w:t>
      </w:r>
      <w:r w:rsidRPr="00A472FC">
        <w:rPr>
          <w:rStyle w:val="FootnoteReference"/>
          <w:rFonts w:ascii="Times New Roman" w:hAnsi="Times New Roman" w:cs="Times New Roman"/>
        </w:rPr>
        <w:footnoteReference w:id="810"/>
      </w:r>
      <w:r w:rsidRPr="00A472FC">
        <w:rPr>
          <w:rFonts w:ascii="Times New Roman" w:hAnsi="Times New Roman" w:cs="Times New Roman"/>
        </w:rPr>
        <w:t xml:space="preserve"> This view is rendered as ‘</w:t>
      </w:r>
      <w:proofErr w:type="spellStart"/>
      <w:r w:rsidRPr="00A472FC">
        <w:rPr>
          <w:rFonts w:ascii="Times New Roman" w:hAnsi="Times New Roman" w:cs="Times New Roman"/>
          <w:i/>
          <w:color w:val="000000"/>
          <w:shd w:val="clear" w:color="auto" w:fill="FFFFFF"/>
        </w:rPr>
        <w:t>passivus</w:t>
      </w:r>
      <w:proofErr w:type="spellEnd"/>
      <w:r w:rsidRPr="00A472FC">
        <w:rPr>
          <w:rFonts w:ascii="Times New Roman" w:hAnsi="Times New Roman" w:cs="Times New Roman"/>
          <w:i/>
          <w:color w:val="000000"/>
          <w:shd w:val="clear" w:color="auto" w:fill="FFFFFF"/>
        </w:rPr>
        <w:t xml:space="preserve"> </w:t>
      </w:r>
      <w:proofErr w:type="spellStart"/>
      <w:r w:rsidRPr="00A472FC">
        <w:rPr>
          <w:rFonts w:ascii="Times New Roman" w:hAnsi="Times New Roman" w:cs="Times New Roman"/>
          <w:i/>
          <w:color w:val="000000"/>
          <w:shd w:val="clear" w:color="auto" w:fill="FFFFFF"/>
        </w:rPr>
        <w:t>autem</w:t>
      </w:r>
      <w:proofErr w:type="spellEnd"/>
      <w:r w:rsidRPr="00A472FC">
        <w:rPr>
          <w:rFonts w:ascii="Times New Roman" w:hAnsi="Times New Roman" w:cs="Times New Roman"/>
          <w:i/>
          <w:color w:val="000000"/>
          <w:shd w:val="clear" w:color="auto" w:fill="FFFFFF"/>
        </w:rPr>
        <w:t xml:space="preserve"> </w:t>
      </w:r>
      <w:proofErr w:type="spellStart"/>
      <w:r w:rsidRPr="00A472FC">
        <w:rPr>
          <w:rFonts w:ascii="Times New Roman" w:hAnsi="Times New Roman" w:cs="Times New Roman"/>
          <w:i/>
          <w:color w:val="000000"/>
          <w:shd w:val="clear" w:color="auto" w:fill="FFFFFF"/>
        </w:rPr>
        <w:t>intellectus</w:t>
      </w:r>
      <w:proofErr w:type="spellEnd"/>
      <w:r w:rsidRPr="00A472FC">
        <w:rPr>
          <w:rFonts w:ascii="Times New Roman" w:hAnsi="Times New Roman" w:cs="Times New Roman"/>
          <w:i/>
          <w:color w:val="000000"/>
          <w:shd w:val="clear" w:color="auto" w:fill="FFFFFF"/>
        </w:rPr>
        <w:t xml:space="preserve"> </w:t>
      </w:r>
      <w:proofErr w:type="spellStart"/>
      <w:r w:rsidRPr="00A472FC">
        <w:rPr>
          <w:rFonts w:ascii="Times New Roman" w:hAnsi="Times New Roman" w:cs="Times New Roman"/>
          <w:i/>
          <w:color w:val="000000"/>
          <w:shd w:val="clear" w:color="auto" w:fill="FFFFFF"/>
        </w:rPr>
        <w:t>corruptibilis</w:t>
      </w:r>
      <w:proofErr w:type="spellEnd"/>
      <w:r w:rsidRPr="00A472FC">
        <w:rPr>
          <w:rFonts w:ascii="Times New Roman" w:hAnsi="Times New Roman" w:cs="Times New Roman"/>
          <w:color w:val="000000"/>
          <w:shd w:val="clear" w:color="auto" w:fill="FFFFFF"/>
        </w:rPr>
        <w:t xml:space="preserve">’ from Greek and </w:t>
      </w:r>
      <w:r w:rsidRPr="00A472FC">
        <w:rPr>
          <w:rFonts w:ascii="Times New Roman" w:hAnsi="Times New Roman" w:cs="Times New Roman"/>
        </w:rPr>
        <w:t>‘</w:t>
      </w:r>
      <w:proofErr w:type="spellStart"/>
      <w:r w:rsidRPr="00A472FC">
        <w:rPr>
          <w:rFonts w:ascii="Times New Roman" w:hAnsi="Times New Roman" w:cs="Times New Roman"/>
          <w:i/>
          <w:lang w:val="en-US"/>
        </w:rPr>
        <w:t>passibilis</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est</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corruptibilis</w:t>
      </w:r>
      <w:proofErr w:type="spellEnd"/>
      <w:r w:rsidRPr="00A472FC">
        <w:rPr>
          <w:rFonts w:ascii="Times New Roman" w:hAnsi="Times New Roman" w:cs="Times New Roman"/>
          <w:lang w:val="en-US"/>
        </w:rPr>
        <w:t>’ from Arab</w:t>
      </w:r>
      <w:r w:rsidR="00830AA6" w:rsidRPr="00A472FC">
        <w:rPr>
          <w:rFonts w:ascii="Times New Roman" w:hAnsi="Times New Roman" w:cs="Times New Roman"/>
          <w:lang w:val="en-US"/>
        </w:rPr>
        <w:t xml:space="preserve">ic. </w:t>
      </w:r>
    </w:p>
    <w:p w14:paraId="35E92478" w14:textId="77777777" w:rsidR="00830AA6" w:rsidRPr="00A472FC" w:rsidRDefault="00830AA6" w:rsidP="00830AA6">
      <w:pPr>
        <w:autoSpaceDE w:val="0"/>
        <w:autoSpaceDN w:val="0"/>
        <w:adjustRightInd w:val="0"/>
        <w:ind w:right="-52" w:firstLine="720"/>
        <w:rPr>
          <w:rFonts w:ascii="Times New Roman" w:hAnsi="Times New Roman" w:cs="Times New Roman"/>
          <w:lang w:val="en-US"/>
        </w:rPr>
      </w:pPr>
    </w:p>
    <w:p w14:paraId="4AD7D8E3" w14:textId="0D56068E" w:rsidR="0065780B" w:rsidRPr="00A472FC" w:rsidRDefault="00830AA6" w:rsidP="00524F8D">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noProof/>
        </w:rPr>
        <w:drawing>
          <wp:inline distT="0" distB="0" distL="0" distR="0" wp14:anchorId="36A2D717" wp14:editId="20225537">
            <wp:extent cx="4392488" cy="1045539"/>
            <wp:effectExtent l="25400" t="0" r="1460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55A1A3CA" w14:textId="77777777" w:rsidR="00255546" w:rsidRPr="00A472FC" w:rsidRDefault="00255546" w:rsidP="00255546">
      <w:pPr>
        <w:pStyle w:val="NormalWeb"/>
        <w:spacing w:before="0" w:beforeAutospacing="0" w:after="0" w:afterAutospacing="0"/>
        <w:ind w:right="-52"/>
        <w:rPr>
          <w:color w:val="000000" w:themeColor="text1"/>
          <w:u w:val="single"/>
        </w:rPr>
      </w:pPr>
      <w:r w:rsidRPr="00A472FC">
        <w:rPr>
          <w:color w:val="000000" w:themeColor="text1"/>
          <w:u w:val="single"/>
        </w:rPr>
        <w:t xml:space="preserve">Alexander of </w:t>
      </w:r>
      <w:proofErr w:type="spellStart"/>
      <w:r w:rsidRPr="00A472FC">
        <w:rPr>
          <w:color w:val="000000" w:themeColor="text1"/>
          <w:u w:val="single"/>
        </w:rPr>
        <w:t>Aphrodisias</w:t>
      </w:r>
      <w:proofErr w:type="spellEnd"/>
      <w:r w:rsidRPr="00A472FC">
        <w:rPr>
          <w:color w:val="000000" w:themeColor="text1"/>
          <w:u w:val="single"/>
        </w:rPr>
        <w:t xml:space="preserve"> (fl. 200 AD)</w:t>
      </w:r>
    </w:p>
    <w:p w14:paraId="35156AD4" w14:textId="77777777" w:rsidR="00255546" w:rsidRPr="00A472FC" w:rsidRDefault="00255546" w:rsidP="00255546">
      <w:pPr>
        <w:pStyle w:val="NormalWeb"/>
        <w:spacing w:before="0" w:beforeAutospacing="0" w:after="0" w:afterAutospacing="0"/>
        <w:ind w:right="-52" w:firstLine="720"/>
        <w:rPr>
          <w:color w:val="000000" w:themeColor="text1"/>
        </w:rPr>
      </w:pPr>
    </w:p>
    <w:p w14:paraId="11B016D1" w14:textId="2894F74A" w:rsidR="00255546" w:rsidRPr="00A472FC" w:rsidRDefault="00255546" w:rsidP="00255546">
      <w:pPr>
        <w:pStyle w:val="NormalWeb"/>
        <w:spacing w:before="0" w:beforeAutospacing="0" w:after="0" w:afterAutospacing="0"/>
        <w:ind w:right="-52" w:firstLine="720"/>
      </w:pPr>
      <w:r w:rsidRPr="00A472FC">
        <w:rPr>
          <w:color w:val="000000" w:themeColor="text1"/>
        </w:rPr>
        <w:t xml:space="preserve">As one of the first great commentators on Aristotle, and indeed one of the most influential, Alexander of </w:t>
      </w:r>
      <w:proofErr w:type="spellStart"/>
      <w:r w:rsidRPr="00A472FC">
        <w:rPr>
          <w:color w:val="000000" w:themeColor="text1"/>
        </w:rPr>
        <w:t>Aphrodisias</w:t>
      </w:r>
      <w:proofErr w:type="spellEnd"/>
      <w:r w:rsidRPr="00A472FC">
        <w:rPr>
          <w:color w:val="000000" w:themeColor="text1"/>
        </w:rPr>
        <w:t>, who lived at the end of the third century AD, produced stand-alone works in addition to his commentaries.</w:t>
      </w:r>
      <w:r w:rsidRPr="00A472FC">
        <w:rPr>
          <w:rStyle w:val="FootnoteReference"/>
          <w:color w:val="000000" w:themeColor="text1"/>
        </w:rPr>
        <w:footnoteReference w:id="811"/>
      </w:r>
      <w:r w:rsidRPr="00A472FC">
        <w:rPr>
          <w:color w:val="000000" w:themeColor="text1"/>
        </w:rPr>
        <w:t xml:space="preserve"> His </w:t>
      </w:r>
      <w:r w:rsidRPr="00A472FC">
        <w:rPr>
          <w:i/>
          <w:color w:val="000000" w:themeColor="text1"/>
        </w:rPr>
        <w:t xml:space="preserve">De anima </w:t>
      </w:r>
      <w:r w:rsidRPr="00A472FC">
        <w:rPr>
          <w:color w:val="000000" w:themeColor="text1"/>
        </w:rPr>
        <w:t xml:space="preserve">is one of these works, an extract from </w:t>
      </w:r>
      <w:r w:rsidRPr="00A472FC">
        <w:t>which</w:t>
      </w:r>
      <w:r w:rsidR="0092145A">
        <w:t>,</w:t>
      </w:r>
      <w:r w:rsidRPr="00A472FC">
        <w:t xml:space="preserve"> called the </w:t>
      </w:r>
      <w:r w:rsidRPr="00A472FC">
        <w:rPr>
          <w:i/>
        </w:rPr>
        <w:t xml:space="preserve">De </w:t>
      </w:r>
      <w:proofErr w:type="spellStart"/>
      <w:r w:rsidRPr="00A472FC">
        <w:rPr>
          <w:i/>
        </w:rPr>
        <w:t>intellectu</w:t>
      </w:r>
      <w:proofErr w:type="spellEnd"/>
      <w:r w:rsidR="0092145A">
        <w:t xml:space="preserve">, </w:t>
      </w:r>
      <w:r w:rsidRPr="00A472FC">
        <w:t>was translated into Latin by Gerard of Cremona in the mid-to-late twelfth century as part of his considerable work with</w:t>
      </w:r>
      <w:r w:rsidR="00A07A48" w:rsidRPr="00A472FC">
        <w:t xml:space="preserve">in the </w:t>
      </w:r>
      <w:r w:rsidRPr="00A472FC">
        <w:t>network of translators</w:t>
      </w:r>
      <w:r w:rsidR="00222004" w:rsidRPr="00A472FC">
        <w:t xml:space="preserve"> based in Toledo</w:t>
      </w:r>
      <w:r w:rsidRPr="00A472FC">
        <w:t>.</w:t>
      </w:r>
      <w:r w:rsidRPr="00A472FC">
        <w:rPr>
          <w:rStyle w:val="FootnoteReference"/>
        </w:rPr>
        <w:footnoteReference w:id="812"/>
      </w:r>
      <w:r w:rsidRPr="00A472FC">
        <w:t xml:space="preserve"> As </w:t>
      </w:r>
      <w:proofErr w:type="spellStart"/>
      <w:r w:rsidRPr="00A472FC">
        <w:t>Théry</w:t>
      </w:r>
      <w:proofErr w:type="spellEnd"/>
      <w:r w:rsidRPr="00A472FC">
        <w:t xml:space="preserve"> notes, this work was probably not subject to the condemnation of Aristotle’s works;</w:t>
      </w:r>
      <w:r w:rsidRPr="00A472FC">
        <w:rPr>
          <w:rStyle w:val="FootnoteReference"/>
        </w:rPr>
        <w:footnoteReference w:id="813"/>
      </w:r>
      <w:r w:rsidRPr="00A472FC">
        <w:t xml:space="preserve"> perhaps for this reason, it ‘apparently enjoyed a considerable vogue at Paris,’ during the early thirteenth century. At </w:t>
      </w:r>
      <w:r w:rsidR="005B203F">
        <w:t xml:space="preserve">the </w:t>
      </w:r>
      <w:r w:rsidRPr="00A472FC">
        <w:t>very least, William of Auvergne felt compelled to address it directly, if only to reject some of Alexander’s key positions.’</w:t>
      </w:r>
      <w:r w:rsidRPr="00A472FC">
        <w:rPr>
          <w:rStyle w:val="FootnoteReference"/>
        </w:rPr>
        <w:footnoteReference w:id="814"/>
      </w:r>
      <w:r w:rsidRPr="00A472FC">
        <w:t xml:space="preserve"> </w:t>
      </w:r>
    </w:p>
    <w:p w14:paraId="2B681490" w14:textId="77777777" w:rsidR="00255546" w:rsidRPr="00A472FC" w:rsidRDefault="00255546" w:rsidP="00255546">
      <w:pPr>
        <w:pStyle w:val="NormalWeb"/>
        <w:spacing w:before="0" w:beforeAutospacing="0" w:after="0" w:afterAutospacing="0"/>
        <w:ind w:right="-52" w:firstLine="720"/>
      </w:pPr>
      <w:r w:rsidRPr="00A472FC">
        <w:t xml:space="preserve">In the </w:t>
      </w:r>
      <w:r w:rsidRPr="00A472FC">
        <w:rPr>
          <w:i/>
        </w:rPr>
        <w:t xml:space="preserve">De </w:t>
      </w:r>
      <w:proofErr w:type="spellStart"/>
      <w:r w:rsidRPr="00A472FC">
        <w:rPr>
          <w:i/>
        </w:rPr>
        <w:t>intellectu</w:t>
      </w:r>
      <w:proofErr w:type="spellEnd"/>
      <w:r w:rsidRPr="00A472FC">
        <w:t xml:space="preserve">, Alexander </w:t>
      </w:r>
      <w:r w:rsidRPr="00A472FC">
        <w:rPr>
          <w:color w:val="000000" w:themeColor="text1"/>
        </w:rPr>
        <w:t>introduced for the first time the term ‘material intellect’ when speaking of Aristotle’s potential power, which had not strictly speaking been referred to as an intellect before.</w:t>
      </w:r>
      <w:r w:rsidRPr="00A472FC">
        <w:rPr>
          <w:rStyle w:val="FootnoteReference"/>
          <w:color w:val="000000" w:themeColor="text1"/>
        </w:rPr>
        <w:footnoteReference w:id="815"/>
      </w:r>
      <w:r w:rsidRPr="00A472FC">
        <w:rPr>
          <w:color w:val="000000" w:themeColor="text1"/>
        </w:rPr>
        <w:t xml:space="preserve"> For Alexander, this intellect is not material as such but only insofar as it is capable of receiving forms in a way analogous to matter.</w:t>
      </w:r>
      <w:r w:rsidRPr="00A472FC">
        <w:rPr>
          <w:rStyle w:val="FootnoteReference"/>
          <w:color w:val="000000" w:themeColor="text1"/>
        </w:rPr>
        <w:footnoteReference w:id="816"/>
      </w:r>
      <w:r w:rsidRPr="00A472FC">
        <w:rPr>
          <w:color w:val="000000" w:themeColor="text1"/>
        </w:rPr>
        <w:t xml:space="preserve"> As Alexander states: ‘</w:t>
      </w:r>
      <w:r w:rsidRPr="00A472FC">
        <w:rPr>
          <w:rFonts w:eastAsiaTheme="minorHAnsi"/>
          <w:color w:val="000000" w:themeColor="text1"/>
          <w:lang w:val="en-US"/>
        </w:rPr>
        <w:t xml:space="preserve">we must say, then, that the material intellect is only a kind of propensity suitable for the reception of intelligible forms; it is like a tablet on which nothing has been written, or (to </w:t>
      </w:r>
      <w:r w:rsidRPr="00A472FC">
        <w:rPr>
          <w:rFonts w:eastAsiaTheme="minorHAnsi"/>
          <w:color w:val="000000" w:themeColor="text1"/>
          <w:lang w:val="en-US"/>
        </w:rPr>
        <w:lastRenderedPageBreak/>
        <w:t>express this better) more like the blank condition of the tablet than the tablet itself.’</w:t>
      </w:r>
      <w:r w:rsidRPr="00A472FC">
        <w:rPr>
          <w:rStyle w:val="FootnoteReference"/>
          <w:rFonts w:eastAsiaTheme="minorHAnsi"/>
          <w:color w:val="000000" w:themeColor="text1"/>
          <w:lang w:val="en-US"/>
        </w:rPr>
        <w:footnoteReference w:id="817"/>
      </w:r>
      <w:r w:rsidRPr="00A472FC">
        <w:rPr>
          <w:rFonts w:eastAsiaTheme="minorHAnsi"/>
          <w:color w:val="000000" w:themeColor="text1"/>
          <w:lang w:val="en-US"/>
        </w:rPr>
        <w:t xml:space="preserve"> The reason Alexander refers to the material intellect as a disposition rather than an intellect strictly speaking, Davidson notes, is that this disposition perishes with the body, while the intellect presumably does not</w:t>
      </w:r>
      <w:r w:rsidRPr="00A472FC">
        <w:t>.</w:t>
      </w:r>
      <w:r w:rsidRPr="00A472FC">
        <w:rPr>
          <w:rStyle w:val="FootnoteReference"/>
          <w:rFonts w:eastAsiaTheme="minorHAnsi"/>
          <w:color w:val="000000" w:themeColor="text1"/>
          <w:lang w:val="en-US"/>
        </w:rPr>
        <w:footnoteReference w:id="818"/>
      </w:r>
    </w:p>
    <w:p w14:paraId="52E99A79" w14:textId="7E87F1D5" w:rsidR="00255546" w:rsidRPr="00A472FC" w:rsidRDefault="00255546" w:rsidP="00255546">
      <w:pPr>
        <w:pStyle w:val="NormalWeb"/>
        <w:spacing w:before="0" w:beforeAutospacing="0" w:after="0" w:afterAutospacing="0"/>
        <w:ind w:right="-52" w:firstLine="720"/>
      </w:pPr>
      <w:r w:rsidRPr="00A472FC">
        <w:rPr>
          <w:rFonts w:eastAsiaTheme="minorHAnsi"/>
          <w:color w:val="000000" w:themeColor="text1"/>
          <w:lang w:val="en-US"/>
        </w:rPr>
        <w:t xml:space="preserve">The next, habitual intellect, Alexander states, ‘is the form and perfection of the material intellect, a </w:t>
      </w:r>
      <w:proofErr w:type="spellStart"/>
      <w:r w:rsidRPr="00A472FC">
        <w:rPr>
          <w:rFonts w:eastAsiaTheme="minorHAnsi"/>
          <w:i/>
          <w:iCs/>
          <w:color w:val="000000" w:themeColor="text1"/>
          <w:lang w:val="en-US"/>
        </w:rPr>
        <w:t>habitus</w:t>
      </w:r>
      <w:proofErr w:type="spellEnd"/>
      <w:r w:rsidRPr="00A472FC">
        <w:rPr>
          <w:rFonts w:eastAsiaTheme="minorHAnsi"/>
          <w:color w:val="000000" w:themeColor="text1"/>
          <w:lang w:val="en-US"/>
        </w:rPr>
        <w:t xml:space="preserve"> that develops in it from its activity in apprehending the universal and in separating forms from their matter.’</w:t>
      </w:r>
      <w:r w:rsidRPr="00A472FC">
        <w:rPr>
          <w:rStyle w:val="FootnoteReference"/>
          <w:rFonts w:eastAsiaTheme="minorHAnsi"/>
          <w:color w:val="000000" w:themeColor="text1"/>
          <w:lang w:val="en-US"/>
        </w:rPr>
        <w:footnoteReference w:id="819"/>
      </w:r>
      <w:r w:rsidRPr="00A472FC">
        <w:rPr>
          <w:rFonts w:eastAsiaTheme="minorHAnsi"/>
          <w:color w:val="000000" w:themeColor="text1"/>
          <w:lang w:val="en-US"/>
        </w:rPr>
        <w:t xml:space="preserve"> In other words, ‘this second intellect is thus the material intellect once it has acquired the </w:t>
      </w:r>
      <w:proofErr w:type="spellStart"/>
      <w:r w:rsidRPr="00A472FC">
        <w:rPr>
          <w:rFonts w:eastAsiaTheme="minorHAnsi"/>
          <w:i/>
          <w:iCs/>
          <w:color w:val="000000" w:themeColor="text1"/>
          <w:lang w:val="en-US"/>
        </w:rPr>
        <w:t>habitus</w:t>
      </w:r>
      <w:proofErr w:type="spellEnd"/>
      <w:r w:rsidRPr="00A472FC">
        <w:rPr>
          <w:rFonts w:eastAsiaTheme="minorHAnsi"/>
          <w:color w:val="000000" w:themeColor="text1"/>
          <w:lang w:val="en-US"/>
        </w:rPr>
        <w:t xml:space="preserve"> of actual cognition.’</w:t>
      </w:r>
      <w:r w:rsidRPr="00A472FC">
        <w:rPr>
          <w:rStyle w:val="FootnoteReference"/>
          <w:rFonts w:eastAsiaTheme="minorHAnsi"/>
          <w:color w:val="000000" w:themeColor="text1"/>
          <w:lang w:val="en-US"/>
        </w:rPr>
        <w:footnoteReference w:id="820"/>
      </w:r>
      <w:r w:rsidRPr="00A472FC">
        <w:rPr>
          <w:rFonts w:eastAsiaTheme="minorHAnsi"/>
          <w:color w:val="000000" w:themeColor="text1"/>
          <w:lang w:val="en-US"/>
        </w:rPr>
        <w:t xml:space="preserve"> That is why Alexander also refers to the latter as the ‘acquired intellect.’</w:t>
      </w:r>
      <w:r w:rsidRPr="00A472FC">
        <w:rPr>
          <w:rStyle w:val="FootnoteReference"/>
          <w:rFonts w:eastAsiaTheme="minorHAnsi"/>
          <w:color w:val="000000" w:themeColor="text1"/>
          <w:lang w:val="en-US"/>
        </w:rPr>
        <w:footnoteReference w:id="821"/>
      </w:r>
      <w:r w:rsidRPr="00A472FC">
        <w:rPr>
          <w:rFonts w:eastAsiaTheme="minorHAnsi"/>
          <w:color w:val="000000" w:themeColor="text1"/>
          <w:lang w:val="en-US"/>
        </w:rPr>
        <w:t xml:space="preserve"> So construed, the material and habitual intellects are two sides of one coin and thus the latter perishes with the former. ‘When the intellect as </w:t>
      </w:r>
      <w:proofErr w:type="spellStart"/>
      <w:r w:rsidRPr="00A472FC">
        <w:rPr>
          <w:rFonts w:eastAsiaTheme="minorHAnsi"/>
          <w:i/>
          <w:iCs/>
          <w:color w:val="000000" w:themeColor="text1"/>
          <w:lang w:val="en-US"/>
        </w:rPr>
        <w:t>habitus</w:t>
      </w:r>
      <w:proofErr w:type="spellEnd"/>
      <w:r w:rsidRPr="00A472FC">
        <w:rPr>
          <w:rFonts w:eastAsiaTheme="minorHAnsi"/>
          <w:color w:val="000000" w:themeColor="text1"/>
          <w:lang w:val="en-US"/>
        </w:rPr>
        <w:t xml:space="preserve"> is performing acts of understanding,’ Alexander elaborates, ‘it becomes intellect </w:t>
      </w:r>
      <w:r w:rsidR="00660A49" w:rsidRPr="00A472FC">
        <w:rPr>
          <w:rFonts w:eastAsiaTheme="minorHAnsi"/>
          <w:color w:val="000000" w:themeColor="text1"/>
          <w:lang w:val="en-US"/>
        </w:rPr>
        <w:t>“</w:t>
      </w:r>
      <w:r w:rsidRPr="00A472FC">
        <w:rPr>
          <w:rFonts w:eastAsiaTheme="minorHAnsi"/>
          <w:color w:val="000000" w:themeColor="text1"/>
          <w:lang w:val="en-US"/>
        </w:rPr>
        <w:t>in act,</w:t>
      </w:r>
      <w:r w:rsidR="00660A49" w:rsidRPr="00A472FC">
        <w:rPr>
          <w:rFonts w:eastAsiaTheme="minorHAnsi"/>
          <w:color w:val="000000" w:themeColor="text1"/>
          <w:lang w:val="en-US"/>
        </w:rPr>
        <w:t>”</w:t>
      </w:r>
      <w:r w:rsidRPr="00A472FC">
        <w:rPr>
          <w:rFonts w:eastAsiaTheme="minorHAnsi"/>
          <w:color w:val="000000" w:themeColor="text1"/>
          <w:lang w:val="en-US"/>
        </w:rPr>
        <w:t xml:space="preserve"> but when it is simply in its habitual state, it is, so to speak, [all] its concepts, which lie grouped together and at rest [within it].’</w:t>
      </w:r>
      <w:r w:rsidRPr="00A472FC">
        <w:rPr>
          <w:rStyle w:val="FootnoteReference"/>
          <w:rFonts w:eastAsiaTheme="minorHAnsi"/>
          <w:color w:val="000000" w:themeColor="text1"/>
          <w:lang w:val="en-US"/>
        </w:rPr>
        <w:footnoteReference w:id="822"/>
      </w:r>
      <w:r w:rsidRPr="00A472FC">
        <w:rPr>
          <w:rFonts w:eastAsiaTheme="minorHAnsi"/>
          <w:color w:val="000000" w:themeColor="text1"/>
          <w:lang w:val="en-US"/>
        </w:rPr>
        <w:t xml:space="preserve"> It is, more or less, a repository for abstracted forms. </w:t>
      </w:r>
    </w:p>
    <w:p w14:paraId="5496B796" w14:textId="531D74C5" w:rsidR="009F7646" w:rsidRPr="00A472FC" w:rsidRDefault="00255546" w:rsidP="00A8554F">
      <w:pPr>
        <w:pStyle w:val="NormalWeb"/>
        <w:spacing w:before="0" w:beforeAutospacing="0" w:after="0" w:afterAutospacing="0"/>
        <w:ind w:right="-52" w:firstLine="720"/>
        <w:rPr>
          <w:rFonts w:eastAsiaTheme="minorHAnsi"/>
          <w:color w:val="000000" w:themeColor="text1"/>
          <w:lang w:val="en-US"/>
        </w:rPr>
      </w:pPr>
      <w:r w:rsidRPr="00A472FC">
        <w:rPr>
          <w:rFonts w:eastAsiaTheme="minorHAnsi"/>
          <w:color w:val="000000" w:themeColor="text1"/>
          <w:lang w:val="en-US"/>
        </w:rPr>
        <w:t xml:space="preserve">The work of bringing knowledge into act is achieved by the agent or productive intellect, </w:t>
      </w:r>
      <w:r w:rsidRPr="00A472FC">
        <w:t>‘through which the material intellect is caused to have a habit.’</w:t>
      </w:r>
      <w:r w:rsidRPr="00A472FC">
        <w:rPr>
          <w:rStyle w:val="FootnoteReference"/>
        </w:rPr>
        <w:footnoteReference w:id="823"/>
      </w:r>
      <w:r w:rsidRPr="00A472FC">
        <w:t xml:space="preserve"> </w:t>
      </w:r>
      <w:r w:rsidRPr="00A472FC">
        <w:rPr>
          <w:rFonts w:eastAsiaTheme="minorHAnsi"/>
          <w:color w:val="000000" w:themeColor="text1"/>
          <w:lang w:val="en-US"/>
        </w:rPr>
        <w:t xml:space="preserve">According to Alexander, ‘Aristotle compares this [agent] intellect to light: for as light is the cause that makes colors which are potentially visible to be actual objects of vision, so this third intellect transforms the material intellect from a potential to an actual intellect by producing within it the intellectual </w:t>
      </w:r>
      <w:proofErr w:type="spellStart"/>
      <w:r w:rsidRPr="00A472FC">
        <w:rPr>
          <w:rFonts w:eastAsiaTheme="minorHAnsi"/>
          <w:i/>
          <w:iCs/>
          <w:color w:val="000000" w:themeColor="text1"/>
          <w:lang w:val="en-US"/>
        </w:rPr>
        <w:t>habitus</w:t>
      </w:r>
      <w:proofErr w:type="spellEnd"/>
      <w:r w:rsidRPr="00A472FC">
        <w:rPr>
          <w:rFonts w:eastAsiaTheme="minorHAnsi"/>
          <w:color w:val="000000" w:themeColor="text1"/>
          <w:lang w:val="en-US"/>
        </w:rPr>
        <w:t>.’</w:t>
      </w:r>
      <w:r w:rsidRPr="00A472FC">
        <w:rPr>
          <w:rStyle w:val="FootnoteReference"/>
          <w:rFonts w:eastAsiaTheme="minorHAnsi"/>
          <w:color w:val="000000" w:themeColor="text1"/>
          <w:lang w:val="en-US"/>
        </w:rPr>
        <w:footnoteReference w:id="824"/>
      </w:r>
      <w:r w:rsidRPr="00A472FC">
        <w:rPr>
          <w:rFonts w:eastAsiaTheme="minorHAnsi"/>
          <w:color w:val="000000" w:themeColor="text1"/>
          <w:lang w:val="en-US"/>
        </w:rPr>
        <w:t xml:space="preserve"> With others like Plotinus and </w:t>
      </w:r>
      <w:proofErr w:type="spellStart"/>
      <w:r w:rsidR="00BD63AD" w:rsidRPr="00A472FC">
        <w:rPr>
          <w:rFonts w:eastAsiaTheme="minorHAnsi"/>
          <w:color w:val="000000" w:themeColor="text1"/>
          <w:lang w:val="en-US"/>
        </w:rPr>
        <w:t>Themistius</w:t>
      </w:r>
      <w:proofErr w:type="spellEnd"/>
      <w:r w:rsidRPr="00A472FC">
        <w:rPr>
          <w:rFonts w:eastAsiaTheme="minorHAnsi"/>
          <w:color w:val="000000" w:themeColor="text1"/>
          <w:lang w:val="en-US"/>
        </w:rPr>
        <w:t xml:space="preserve">, he describes the relationship of the agent to the material intellect as one of form to matter—a theme which will reappear in </w:t>
      </w:r>
      <w:proofErr w:type="spellStart"/>
      <w:r w:rsidRPr="00A472FC">
        <w:rPr>
          <w:rFonts w:eastAsiaTheme="minorHAnsi"/>
          <w:color w:val="000000" w:themeColor="text1"/>
          <w:lang w:val="en-US"/>
        </w:rPr>
        <w:t>Averroes</w:t>
      </w:r>
      <w:proofErr w:type="spellEnd"/>
      <w:r w:rsidRPr="00A472FC">
        <w:rPr>
          <w:rFonts w:eastAsiaTheme="minorHAnsi"/>
          <w:color w:val="000000" w:themeColor="text1"/>
          <w:lang w:val="en-US"/>
        </w:rPr>
        <w:t xml:space="preserve"> and others, not least John of La Rochelle.</w:t>
      </w:r>
      <w:r w:rsidRPr="00A472FC">
        <w:rPr>
          <w:rStyle w:val="FootnoteReference"/>
          <w:rFonts w:eastAsiaTheme="minorHAnsi"/>
          <w:color w:val="000000" w:themeColor="text1"/>
          <w:lang w:val="en-US"/>
        </w:rPr>
        <w:footnoteReference w:id="825"/>
      </w:r>
      <w:r w:rsidRPr="00A472FC">
        <w:rPr>
          <w:rFonts w:eastAsiaTheme="minorHAnsi"/>
          <w:color w:val="000000" w:themeColor="text1"/>
          <w:lang w:val="en-US"/>
        </w:rPr>
        <w:t xml:space="preserve"> Alexander was the first thinker to define the active intellect as an incorporeal intelligible being outside the soul, a view which heavily influenced many Arab philosophers.</w:t>
      </w:r>
      <w:r w:rsidRPr="00A472FC">
        <w:rPr>
          <w:rStyle w:val="FootnoteReference"/>
          <w:rFonts w:eastAsiaTheme="minorHAnsi"/>
          <w:color w:val="000000" w:themeColor="text1"/>
          <w:lang w:val="en-US"/>
        </w:rPr>
        <w:footnoteReference w:id="826"/>
      </w:r>
    </w:p>
    <w:p w14:paraId="711F1BC9" w14:textId="5179DFAF" w:rsidR="009F7646" w:rsidRPr="00A472FC" w:rsidRDefault="009F7646" w:rsidP="00255546">
      <w:pPr>
        <w:autoSpaceDE w:val="0"/>
        <w:autoSpaceDN w:val="0"/>
        <w:adjustRightInd w:val="0"/>
        <w:ind w:right="-52"/>
        <w:rPr>
          <w:rFonts w:ascii="Times New Roman" w:hAnsi="Times New Roman" w:cs="Times New Roman"/>
        </w:rPr>
      </w:pPr>
    </w:p>
    <w:p w14:paraId="4B872B8B" w14:textId="2E83B7FA" w:rsidR="009F7646" w:rsidRPr="00A472FC" w:rsidRDefault="009F7646" w:rsidP="00255546">
      <w:pPr>
        <w:autoSpaceDE w:val="0"/>
        <w:autoSpaceDN w:val="0"/>
        <w:adjustRightInd w:val="0"/>
        <w:ind w:right="-52"/>
        <w:rPr>
          <w:rFonts w:ascii="Times New Roman" w:hAnsi="Times New Roman" w:cs="Times New Roman"/>
        </w:rPr>
      </w:pPr>
      <w:r w:rsidRPr="00A472FC">
        <w:rPr>
          <w:rFonts w:ascii="Times New Roman" w:hAnsi="Times New Roman" w:cs="Times New Roman"/>
          <w:noProof/>
        </w:rPr>
        <w:drawing>
          <wp:inline distT="0" distB="0" distL="0" distR="0" wp14:anchorId="0E35C9A4" wp14:editId="253CE8EA">
            <wp:extent cx="4756935" cy="1479479"/>
            <wp:effectExtent l="0" t="25400" r="0" b="698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6910EB71" w14:textId="77777777" w:rsidR="004049B3" w:rsidRPr="00A472FC" w:rsidRDefault="004049B3" w:rsidP="00255546">
      <w:pPr>
        <w:autoSpaceDE w:val="0"/>
        <w:autoSpaceDN w:val="0"/>
        <w:adjustRightInd w:val="0"/>
        <w:ind w:right="-52"/>
        <w:rPr>
          <w:rFonts w:ascii="Times New Roman" w:hAnsi="Times New Roman" w:cs="Times New Roman"/>
        </w:rPr>
      </w:pPr>
    </w:p>
    <w:p w14:paraId="4E381BDA" w14:textId="77777777" w:rsidR="00255546" w:rsidRPr="00A472FC" w:rsidRDefault="00255546" w:rsidP="00255546">
      <w:pPr>
        <w:autoSpaceDE w:val="0"/>
        <w:autoSpaceDN w:val="0"/>
        <w:adjustRightInd w:val="0"/>
        <w:ind w:right="-52"/>
        <w:rPr>
          <w:rFonts w:ascii="Times New Roman" w:hAnsi="Times New Roman" w:cs="Times New Roman"/>
          <w:u w:val="single"/>
        </w:rPr>
      </w:pPr>
      <w:proofErr w:type="spellStart"/>
      <w:r w:rsidRPr="00A472FC">
        <w:rPr>
          <w:rFonts w:ascii="Times New Roman" w:hAnsi="Times New Roman" w:cs="Times New Roman"/>
          <w:u w:val="single"/>
        </w:rPr>
        <w:t>Averroes</w:t>
      </w:r>
      <w:proofErr w:type="spellEnd"/>
      <w:r w:rsidRPr="00A472FC">
        <w:rPr>
          <w:rFonts w:ascii="Times New Roman" w:hAnsi="Times New Roman" w:cs="Times New Roman"/>
          <w:u w:val="single"/>
        </w:rPr>
        <w:t xml:space="preserve"> (1126-98 AD)</w:t>
      </w:r>
    </w:p>
    <w:p w14:paraId="599147AC" w14:textId="77777777" w:rsidR="00255546" w:rsidRPr="00A472FC" w:rsidRDefault="00255546" w:rsidP="00255546">
      <w:pPr>
        <w:autoSpaceDE w:val="0"/>
        <w:autoSpaceDN w:val="0"/>
        <w:adjustRightInd w:val="0"/>
        <w:ind w:right="-52"/>
        <w:rPr>
          <w:rFonts w:ascii="Times New Roman" w:hAnsi="Times New Roman" w:cs="Times New Roman"/>
          <w:u w:val="single"/>
        </w:rPr>
      </w:pPr>
    </w:p>
    <w:p w14:paraId="35776448" w14:textId="2F8F1083" w:rsidR="00255546" w:rsidRPr="00A472FC" w:rsidRDefault="00255546" w:rsidP="00255546">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Although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wrote three major works on Aristotle’s </w:t>
      </w:r>
      <w:r w:rsidRPr="00A472FC">
        <w:rPr>
          <w:rFonts w:ascii="Times New Roman" w:hAnsi="Times New Roman" w:cs="Times New Roman"/>
          <w:i/>
        </w:rPr>
        <w:t>De anima</w:t>
      </w:r>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only the last and longest of these, appropriately known as the </w:t>
      </w:r>
      <w:r w:rsidRPr="00A472FC">
        <w:rPr>
          <w:rFonts w:ascii="Times New Roman" w:hAnsi="Times New Roman" w:cs="Times New Roman"/>
          <w:i/>
        </w:rPr>
        <w:t>Long Commentary</w:t>
      </w:r>
      <w:r w:rsidRPr="00A472FC">
        <w:rPr>
          <w:rFonts w:ascii="Times New Roman" w:hAnsi="Times New Roman" w:cs="Times New Roman"/>
        </w:rPr>
        <w:t>, was known to Latin thinkers.</w:t>
      </w:r>
      <w:r w:rsidRPr="00A472FC">
        <w:rPr>
          <w:rStyle w:val="FootnoteReference"/>
          <w:rFonts w:ascii="Times New Roman" w:hAnsi="Times New Roman" w:cs="Times New Roman"/>
        </w:rPr>
        <w:footnoteReference w:id="827"/>
      </w:r>
      <w:r w:rsidRPr="00A472FC">
        <w:rPr>
          <w:rFonts w:ascii="Times New Roman" w:hAnsi="Times New Roman" w:cs="Times New Roman"/>
        </w:rPr>
        <w:t xml:space="preserve"> </w:t>
      </w:r>
      <w:r w:rsidRPr="00A472FC">
        <w:rPr>
          <w:rFonts w:ascii="Times New Roman" w:hAnsi="Times New Roman" w:cs="Times New Roman"/>
          <w:color w:val="000000" w:themeColor="text1"/>
        </w:rPr>
        <w:t xml:space="preserve">Within the </w:t>
      </w:r>
      <w:r w:rsidRPr="00A472FC">
        <w:rPr>
          <w:rFonts w:ascii="Times New Roman" w:hAnsi="Times New Roman" w:cs="Times New Roman"/>
          <w:i/>
          <w:color w:val="000000" w:themeColor="text1"/>
        </w:rPr>
        <w:t>Long Commentary</w:t>
      </w:r>
      <w:r w:rsidRPr="00A472FC">
        <w:rPr>
          <w:rFonts w:ascii="Times New Roman" w:hAnsi="Times New Roman" w:cs="Times New Roman"/>
          <w:color w:val="000000" w:themeColor="text1"/>
        </w:rPr>
        <w:t xml:space="preserve">,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presents two distinct views on the material intellect with which he had engaged throughout his career.</w:t>
      </w:r>
      <w:r w:rsidRPr="00A472FC">
        <w:rPr>
          <w:rStyle w:val="FootnoteReference"/>
          <w:rFonts w:ascii="Times New Roman" w:hAnsi="Times New Roman" w:cs="Times New Roman"/>
        </w:rPr>
        <w:footnoteReference w:id="828"/>
      </w:r>
      <w:r w:rsidRPr="00A472FC">
        <w:rPr>
          <w:rFonts w:ascii="Times New Roman" w:hAnsi="Times New Roman" w:cs="Times New Roman"/>
        </w:rPr>
        <w:t xml:space="preserve"> First, there is the view of Alexander of </w:t>
      </w:r>
      <w:proofErr w:type="spellStart"/>
      <w:r w:rsidRPr="00A472FC">
        <w:rPr>
          <w:rFonts w:ascii="Times New Roman" w:hAnsi="Times New Roman" w:cs="Times New Roman"/>
        </w:rPr>
        <w:t>Aphrodisias</w:t>
      </w:r>
      <w:proofErr w:type="spellEnd"/>
      <w:r w:rsidRPr="00A472FC">
        <w:rPr>
          <w:rFonts w:ascii="Times New Roman" w:hAnsi="Times New Roman" w:cs="Times New Roman"/>
        </w:rPr>
        <w:t>, who described the material intellect as very much connected to the body.</w:t>
      </w:r>
      <w:r w:rsidRPr="00A472FC">
        <w:rPr>
          <w:rStyle w:val="FootnoteReference"/>
          <w:rFonts w:ascii="Times New Roman" w:hAnsi="Times New Roman" w:cs="Times New Roman"/>
        </w:rPr>
        <w:footnoteReference w:id="829"/>
      </w:r>
      <w:r w:rsidRPr="00A472FC">
        <w:rPr>
          <w:rFonts w:ascii="Times New Roman" w:hAnsi="Times New Roman" w:cs="Times New Roman"/>
        </w:rPr>
        <w:t xml:space="preserve"> As Salman shows, this interpretation of Alexander is reinforced by Gerard’s translation of Alexander, which states that the material intellect is entirely mixed together with and joined to the body.</w:t>
      </w:r>
      <w:r w:rsidRPr="00A472FC">
        <w:rPr>
          <w:rStyle w:val="FootnoteReference"/>
          <w:rFonts w:ascii="Times New Roman" w:hAnsi="Times New Roman" w:cs="Times New Roman"/>
        </w:rPr>
        <w:footnoteReference w:id="830"/>
      </w:r>
      <w:r w:rsidRPr="00A472FC">
        <w:rPr>
          <w:rFonts w:ascii="Times New Roman" w:hAnsi="Times New Roman" w:cs="Times New Roman"/>
        </w:rPr>
        <w:t xml:space="preserve"> The alternative viewpoint transmitted through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was that of </w:t>
      </w:r>
      <w:proofErr w:type="spellStart"/>
      <w:r w:rsidR="00BD63AD" w:rsidRPr="00A472FC">
        <w:rPr>
          <w:rFonts w:ascii="Times New Roman" w:hAnsi="Times New Roman" w:cs="Times New Roman"/>
        </w:rPr>
        <w:t>Themistius</w:t>
      </w:r>
      <w:proofErr w:type="spellEnd"/>
      <w:r w:rsidRPr="00A472FC">
        <w:rPr>
          <w:rFonts w:ascii="Times New Roman" w:hAnsi="Times New Roman" w:cs="Times New Roman"/>
        </w:rPr>
        <w:t>, who said that the possible intellect is not a material or bodily substance but is separable from the body.</w:t>
      </w:r>
      <w:r w:rsidRPr="00A472FC">
        <w:rPr>
          <w:rStyle w:val="FootnoteReference"/>
          <w:rFonts w:ascii="Times New Roman" w:hAnsi="Times New Roman" w:cs="Times New Roman"/>
        </w:rPr>
        <w:footnoteReference w:id="831"/>
      </w:r>
      <w:r w:rsidRPr="00A472FC">
        <w:rPr>
          <w:rFonts w:ascii="Times New Roman" w:hAnsi="Times New Roman" w:cs="Times New Roman"/>
        </w:rPr>
        <w:t xml:space="preserve"> </w:t>
      </w:r>
    </w:p>
    <w:p w14:paraId="404EECFB" w14:textId="0C87B5BB" w:rsidR="00255546" w:rsidRPr="00A472FC" w:rsidRDefault="00255546" w:rsidP="00255546">
      <w:pPr>
        <w:autoSpaceDE w:val="0"/>
        <w:autoSpaceDN w:val="0"/>
        <w:adjustRightInd w:val="0"/>
        <w:ind w:right="-52" w:firstLine="720"/>
        <w:rPr>
          <w:rFonts w:ascii="Times New Roman" w:hAnsi="Times New Roman" w:cs="Times New Roman"/>
          <w:color w:val="000000" w:themeColor="text1"/>
        </w:rPr>
      </w:pPr>
      <w:r w:rsidRPr="00A472FC">
        <w:rPr>
          <w:rFonts w:ascii="Times New Roman" w:hAnsi="Times New Roman" w:cs="Times New Roman"/>
        </w:rPr>
        <w:t xml:space="preserve">As Davidson notes, Alexander’s </w:t>
      </w:r>
      <w:r w:rsidRPr="00A472FC">
        <w:rPr>
          <w:rFonts w:ascii="Times New Roman" w:hAnsi="Times New Roman" w:cs="Times New Roman"/>
          <w:i/>
        </w:rPr>
        <w:t xml:space="preserve">De anima </w:t>
      </w:r>
      <w:r w:rsidRPr="00A472FC">
        <w:rPr>
          <w:rFonts w:ascii="Times New Roman" w:hAnsi="Times New Roman" w:cs="Times New Roman"/>
        </w:rPr>
        <w:t xml:space="preserve">and </w:t>
      </w:r>
      <w:r w:rsidRPr="00A472FC">
        <w:rPr>
          <w:rFonts w:ascii="Times New Roman" w:hAnsi="Times New Roman" w:cs="Times New Roman"/>
          <w:i/>
        </w:rPr>
        <w:t xml:space="preserve">De </w:t>
      </w:r>
      <w:proofErr w:type="spellStart"/>
      <w:r w:rsidRPr="00A472FC">
        <w:rPr>
          <w:rFonts w:ascii="Times New Roman" w:hAnsi="Times New Roman" w:cs="Times New Roman"/>
          <w:i/>
        </w:rPr>
        <w:t>intellectu</w:t>
      </w:r>
      <w:proofErr w:type="spellEnd"/>
      <w:r w:rsidRPr="00A472FC">
        <w:rPr>
          <w:rFonts w:ascii="Times New Roman" w:hAnsi="Times New Roman" w:cs="Times New Roman"/>
        </w:rPr>
        <w:t xml:space="preserve"> and </w:t>
      </w:r>
      <w:proofErr w:type="spellStart"/>
      <w:r w:rsidR="00BD63AD" w:rsidRPr="00A472FC">
        <w:rPr>
          <w:rFonts w:ascii="Times New Roman" w:hAnsi="Times New Roman" w:cs="Times New Roman"/>
        </w:rPr>
        <w:t>Themistius</w:t>
      </w:r>
      <w:proofErr w:type="spellEnd"/>
      <w:r w:rsidRPr="00A472FC">
        <w:rPr>
          <w:rFonts w:ascii="Times New Roman" w:hAnsi="Times New Roman" w:cs="Times New Roman"/>
        </w:rPr>
        <w:t xml:space="preserve">’ paraphrase of Aristotle’s </w:t>
      </w:r>
      <w:r w:rsidRPr="00A472FC">
        <w:rPr>
          <w:rFonts w:ascii="Times New Roman" w:hAnsi="Times New Roman" w:cs="Times New Roman"/>
          <w:i/>
        </w:rPr>
        <w:t>De anima</w:t>
      </w:r>
      <w:r w:rsidRPr="00A472FC">
        <w:rPr>
          <w:rFonts w:ascii="Times New Roman" w:hAnsi="Times New Roman" w:cs="Times New Roman"/>
        </w:rPr>
        <w:t xml:space="preserve"> were among the only commentaries on Aristotle available in Arabic translation in their entirety. Together with Plotinus’ </w:t>
      </w:r>
      <w:r w:rsidRPr="00A472FC">
        <w:rPr>
          <w:rFonts w:ascii="Times New Roman" w:hAnsi="Times New Roman" w:cs="Times New Roman"/>
          <w:i/>
        </w:rPr>
        <w:t>Enneads</w:t>
      </w:r>
      <w:r w:rsidRPr="00A472FC">
        <w:rPr>
          <w:rFonts w:ascii="Times New Roman" w:hAnsi="Times New Roman" w:cs="Times New Roman"/>
          <w:iCs/>
        </w:rPr>
        <w:t>, they</w:t>
      </w:r>
      <w:r w:rsidRPr="00A472FC">
        <w:rPr>
          <w:rFonts w:ascii="Times New Roman" w:hAnsi="Times New Roman" w:cs="Times New Roman"/>
          <w:i/>
        </w:rPr>
        <w:t xml:space="preserve"> </w:t>
      </w:r>
      <w:r w:rsidRPr="00A472FC">
        <w:rPr>
          <w:rFonts w:ascii="Times New Roman" w:hAnsi="Times New Roman" w:cs="Times New Roman"/>
        </w:rPr>
        <w:t>were the most influential sources for Arabic writings on psychology.</w:t>
      </w:r>
      <w:r w:rsidRPr="00A472FC">
        <w:rPr>
          <w:rStyle w:val="FootnoteReference"/>
          <w:rFonts w:ascii="Times New Roman" w:hAnsi="Times New Roman" w:cs="Times New Roman"/>
        </w:rPr>
        <w:footnoteReference w:id="832"/>
      </w:r>
      <w:r w:rsidRPr="00A472FC">
        <w:rPr>
          <w:rFonts w:ascii="Times New Roman" w:hAnsi="Times New Roman" w:cs="Times New Roman"/>
        </w:rPr>
        <w:t xml:space="preserve"> In the </w:t>
      </w:r>
      <w:r w:rsidRPr="00A472FC">
        <w:rPr>
          <w:rFonts w:ascii="Times New Roman" w:hAnsi="Times New Roman" w:cs="Times New Roman"/>
          <w:i/>
        </w:rPr>
        <w:t>Long Commentary</w:t>
      </w:r>
      <w:r w:rsidRPr="00A472FC">
        <w:rPr>
          <w:rFonts w:ascii="Times New Roman" w:hAnsi="Times New Roman" w:cs="Times New Roman"/>
        </w:rPr>
        <w:t xml:space="preserve">, at least,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takes a view that is more closely related to that of </w:t>
      </w:r>
      <w:proofErr w:type="spellStart"/>
      <w:r w:rsidR="00BD63AD" w:rsidRPr="00A472FC">
        <w:rPr>
          <w:rFonts w:ascii="Times New Roman" w:hAnsi="Times New Roman" w:cs="Times New Roman"/>
        </w:rPr>
        <w:t>Themistius</w:t>
      </w:r>
      <w:proofErr w:type="spellEnd"/>
      <w:r w:rsidRPr="00A472FC">
        <w:rPr>
          <w:rFonts w:ascii="Times New Roman" w:hAnsi="Times New Roman" w:cs="Times New Roman"/>
        </w:rPr>
        <w:t>, according to which the material intellect—his name for the possible intellect— is capable of receiving all forms and therefore cannot itself have a bodily form.</w:t>
      </w:r>
      <w:r w:rsidRPr="00A472FC">
        <w:rPr>
          <w:rStyle w:val="FootnoteReference"/>
          <w:rFonts w:ascii="Times New Roman" w:hAnsi="Times New Roman" w:cs="Times New Roman"/>
        </w:rPr>
        <w:footnoteReference w:id="833"/>
      </w:r>
      <w:r w:rsidRPr="00A472FC">
        <w:rPr>
          <w:rFonts w:ascii="Times New Roman" w:hAnsi="Times New Roman" w:cs="Times New Roman"/>
        </w:rPr>
        <w:t xml:space="preserve"> On this basis,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posits that the material intellect is eternal.</w:t>
      </w:r>
      <w:r w:rsidRPr="00A472FC">
        <w:rPr>
          <w:rStyle w:val="FootnoteReference"/>
          <w:rFonts w:ascii="Times New Roman" w:hAnsi="Times New Roman" w:cs="Times New Roman"/>
        </w:rPr>
        <w:footnoteReference w:id="834"/>
      </w:r>
      <w:r w:rsidRPr="00A472FC">
        <w:rPr>
          <w:rFonts w:ascii="Times New Roman" w:hAnsi="Times New Roman" w:cs="Times New Roman"/>
        </w:rPr>
        <w:t xml:space="preserve"> Furthermore, he argues that the material or possible intellect is one for all humanity, and he identifies it with a single incorporeal substance that is the penultimate link in a string of celestial intelligences.</w:t>
      </w:r>
      <w:r w:rsidRPr="00A472FC">
        <w:rPr>
          <w:rStyle w:val="FootnoteReference"/>
          <w:rFonts w:ascii="Times New Roman" w:hAnsi="Times New Roman" w:cs="Times New Roman"/>
        </w:rPr>
        <w:footnoteReference w:id="835"/>
      </w:r>
      <w:r w:rsidRPr="00A472FC">
        <w:rPr>
          <w:rFonts w:ascii="Times New Roman" w:hAnsi="Times New Roman" w:cs="Times New Roman"/>
        </w:rPr>
        <w:t xml:space="preserve"> To posit this one intellect that is accessible to all is the only way in his view to explain how different persons can have common objects of knowledge and share ideas.</w:t>
      </w:r>
      <w:r w:rsidRPr="00A472FC">
        <w:rPr>
          <w:rStyle w:val="FootnoteReference"/>
          <w:rFonts w:ascii="Times New Roman" w:hAnsi="Times New Roman" w:cs="Times New Roman"/>
        </w:rPr>
        <w:footnoteReference w:id="836"/>
      </w:r>
      <w:r w:rsidRPr="00A472FC">
        <w:rPr>
          <w:rFonts w:ascii="Times New Roman" w:hAnsi="Times New Roman" w:cs="Times New Roman"/>
        </w:rPr>
        <w:t xml:space="preserve"> </w:t>
      </w:r>
    </w:p>
    <w:p w14:paraId="2EE63652" w14:textId="14B19528" w:rsidR="00255546" w:rsidRPr="00A472FC" w:rsidRDefault="00255546" w:rsidP="00255546">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In a move beyond </w:t>
      </w:r>
      <w:proofErr w:type="spellStart"/>
      <w:r w:rsidR="00BD63AD" w:rsidRPr="00A472FC">
        <w:rPr>
          <w:rFonts w:ascii="Times New Roman" w:hAnsi="Times New Roman" w:cs="Times New Roman"/>
        </w:rPr>
        <w:t>Themistius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does argue that there must be a passible and corruptible intellect, which he describes in terms of the cogitative power.</w:t>
      </w:r>
      <w:r w:rsidRPr="00A472FC">
        <w:rPr>
          <w:rStyle w:val="FootnoteReference"/>
          <w:rFonts w:ascii="Times New Roman" w:hAnsi="Times New Roman" w:cs="Times New Roman"/>
        </w:rPr>
        <w:footnoteReference w:id="837"/>
      </w:r>
      <w:r w:rsidRPr="00A472FC">
        <w:rPr>
          <w:rFonts w:ascii="Times New Roman" w:hAnsi="Times New Roman" w:cs="Times New Roman"/>
        </w:rPr>
        <w:t xml:space="preserve"> But this as we have seen is not what he would call an intellect, whether material or possible,</w:t>
      </w:r>
      <w:r w:rsidRPr="00A472FC">
        <w:rPr>
          <w:rStyle w:val="FootnoteReference"/>
          <w:rFonts w:ascii="Times New Roman" w:hAnsi="Times New Roman" w:cs="Times New Roman"/>
        </w:rPr>
        <w:footnoteReference w:id="838"/>
      </w:r>
      <w:r w:rsidRPr="00A472FC">
        <w:rPr>
          <w:rFonts w:ascii="Times New Roman" w:hAnsi="Times New Roman" w:cs="Times New Roman"/>
        </w:rPr>
        <w:t xml:space="preserve"> strictly </w:t>
      </w:r>
      <w:r w:rsidRPr="00A472FC">
        <w:rPr>
          <w:rFonts w:ascii="Times New Roman" w:hAnsi="Times New Roman" w:cs="Times New Roman"/>
        </w:rPr>
        <w:lastRenderedPageBreak/>
        <w:t xml:space="preserve">speaking, even though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describes it in terms of Aristotle’s ‘passive intellect’.</w:t>
      </w:r>
      <w:r w:rsidRPr="00A472FC">
        <w:rPr>
          <w:rStyle w:val="FootnoteReference"/>
          <w:rFonts w:ascii="Times New Roman" w:hAnsi="Times New Roman" w:cs="Times New Roman"/>
        </w:rPr>
        <w:footnoteReference w:id="839"/>
      </w:r>
      <w:r w:rsidRPr="00A472FC">
        <w:rPr>
          <w:rFonts w:ascii="Times New Roman" w:hAnsi="Times New Roman" w:cs="Times New Roman"/>
        </w:rPr>
        <w:t xml:space="preserve"> As a matter of fact, the cogitative power seems to be little more than a name for the faculty of imagination in humans. The function of this faculty, associated with the middle ventricle of the brain, is to ‘discern the individual intention which is the individual form of the particular thing,’</w:t>
      </w:r>
      <w:r w:rsidRPr="00A472FC">
        <w:rPr>
          <w:rStyle w:val="FootnoteReference"/>
          <w:rFonts w:ascii="Times New Roman" w:hAnsi="Times New Roman" w:cs="Times New Roman"/>
        </w:rPr>
        <w:footnoteReference w:id="840"/>
      </w:r>
      <w:r w:rsidRPr="00A472FC">
        <w:rPr>
          <w:rFonts w:ascii="Times New Roman" w:hAnsi="Times New Roman" w:cs="Times New Roman"/>
        </w:rPr>
        <w:t xml:space="preserve"> thus preparing it to be abstracted by the intellect.</w:t>
      </w:r>
      <w:r w:rsidRPr="00A472FC">
        <w:rPr>
          <w:rStyle w:val="FootnoteReference"/>
          <w:rFonts w:ascii="Times New Roman" w:hAnsi="Times New Roman" w:cs="Times New Roman"/>
        </w:rPr>
        <w:footnoteReference w:id="841"/>
      </w:r>
      <w:r w:rsidRPr="00A472FC">
        <w:rPr>
          <w:rFonts w:ascii="Times New Roman" w:hAnsi="Times New Roman" w:cs="Times New Roman"/>
        </w:rPr>
        <w:t xml:space="preserve"> Although animals are also capable of this function, they are not able to perform it in a way that anticipates intellectual abstraction, and that is why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gives the function a different name in humans.</w:t>
      </w:r>
      <w:r w:rsidRPr="00A472FC">
        <w:rPr>
          <w:rStyle w:val="FootnoteReference"/>
          <w:rFonts w:ascii="Times New Roman" w:hAnsi="Times New Roman" w:cs="Times New Roman"/>
        </w:rPr>
        <w:footnoteReference w:id="842"/>
      </w:r>
    </w:p>
    <w:p w14:paraId="7A1B26DA" w14:textId="6C9EA22C" w:rsidR="00063905" w:rsidRPr="00A472FC" w:rsidRDefault="00255546" w:rsidP="00063905">
      <w:pPr>
        <w:ind w:right="-52" w:firstLine="720"/>
        <w:rPr>
          <w:rFonts w:ascii="Times New Roman" w:hAnsi="Times New Roman" w:cs="Times New Roman"/>
        </w:rPr>
      </w:pPr>
      <w:r w:rsidRPr="00A472FC">
        <w:rPr>
          <w:rFonts w:ascii="Times New Roman" w:hAnsi="Times New Roman" w:cs="Times New Roman"/>
        </w:rPr>
        <w:t xml:space="preserve">This act of abstraction is the joint operation of the material and agent intellects, which, despite being two separate substances for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are like matter and form in relation to one another, with one creating the potential for knowledge of all universal forms and the other enacting that potential. As </w:t>
      </w:r>
      <w:proofErr w:type="spellStart"/>
      <w:r w:rsidRPr="00A472FC">
        <w:rPr>
          <w:rFonts w:ascii="Times New Roman" w:hAnsi="Times New Roman" w:cs="Times New Roman"/>
        </w:rPr>
        <w:t>Zeldner</w:t>
      </w:r>
      <w:proofErr w:type="spellEnd"/>
      <w:r w:rsidRPr="00A472FC">
        <w:rPr>
          <w:rFonts w:ascii="Times New Roman" w:hAnsi="Times New Roman" w:cs="Times New Roman"/>
        </w:rPr>
        <w:t xml:space="preserve"> notes, </w:t>
      </w:r>
      <w:proofErr w:type="spellStart"/>
      <w:r w:rsidRPr="00A472FC">
        <w:rPr>
          <w:rFonts w:ascii="Times New Roman" w:hAnsi="Times New Roman" w:cs="Times New Roman"/>
          <w:i/>
          <w:color w:val="000000" w:themeColor="text1"/>
        </w:rPr>
        <w:t>intellectus</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adeptus</w:t>
      </w:r>
      <w:proofErr w:type="spellEnd"/>
      <w:r w:rsidRPr="00A472FC">
        <w:rPr>
          <w:rFonts w:ascii="Times New Roman" w:hAnsi="Times New Roman" w:cs="Times New Roman"/>
          <w:color w:val="000000" w:themeColor="text1"/>
        </w:rPr>
        <w:t xml:space="preserve"> is the term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used to describe the activation of the material intellect by the agent intellect.</w:t>
      </w:r>
      <w:r w:rsidRPr="00A472FC">
        <w:rPr>
          <w:rStyle w:val="FootnoteReference"/>
          <w:rFonts w:ascii="Times New Roman" w:hAnsi="Times New Roman" w:cs="Times New Roman"/>
          <w:color w:val="000000" w:themeColor="text1"/>
        </w:rPr>
        <w:footnoteReference w:id="843"/>
      </w:r>
      <w:r w:rsidRPr="00A472FC">
        <w:rPr>
          <w:rFonts w:ascii="Times New Roman" w:hAnsi="Times New Roman" w:cs="Times New Roman"/>
          <w:color w:val="000000" w:themeColor="text1"/>
        </w:rPr>
        <w:t xml:space="preserve"> </w:t>
      </w:r>
      <w:r w:rsidRPr="00A472FC">
        <w:rPr>
          <w:rFonts w:ascii="Times New Roman" w:hAnsi="Times New Roman" w:cs="Times New Roman"/>
        </w:rPr>
        <w:t xml:space="preserve">To </w:t>
      </w:r>
      <w:proofErr w:type="spellStart"/>
      <w:r w:rsidRPr="00A472FC">
        <w:rPr>
          <w:rFonts w:ascii="Times New Roman" w:hAnsi="Times New Roman" w:cs="Times New Roman"/>
        </w:rPr>
        <w:t>realize</w:t>
      </w:r>
      <w:proofErr w:type="spellEnd"/>
      <w:r w:rsidRPr="00A472FC">
        <w:rPr>
          <w:rFonts w:ascii="Times New Roman" w:hAnsi="Times New Roman" w:cs="Times New Roman"/>
        </w:rPr>
        <w:t xml:space="preserve"> this material potential fully is to have one’s individuality absorbed into the Agent Intellect, which is for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like so many </w:t>
      </w:r>
      <w:r w:rsidR="00133B64" w:rsidRPr="00A472FC">
        <w:rPr>
          <w:rFonts w:ascii="Times New Roman" w:hAnsi="Times New Roman" w:cs="Times New Roman"/>
        </w:rPr>
        <w:t>Islamic</w:t>
      </w:r>
      <w:r w:rsidRPr="00A472FC">
        <w:rPr>
          <w:rFonts w:ascii="Times New Roman" w:hAnsi="Times New Roman" w:cs="Times New Roman"/>
        </w:rPr>
        <w:t xml:space="preserve"> thinkers a separate entity from the human soul.</w:t>
      </w:r>
      <w:r w:rsidRPr="00A472FC">
        <w:rPr>
          <w:rStyle w:val="FootnoteReference"/>
          <w:rFonts w:ascii="Times New Roman" w:hAnsi="Times New Roman" w:cs="Times New Roman"/>
        </w:rPr>
        <w:footnoteReference w:id="844"/>
      </w:r>
      <w:r w:rsidRPr="00A472FC">
        <w:rPr>
          <w:rFonts w:ascii="Times New Roman" w:hAnsi="Times New Roman" w:cs="Times New Roman"/>
        </w:rPr>
        <w:t xml:space="preserve"> </w:t>
      </w:r>
    </w:p>
    <w:p w14:paraId="59E2AD8B" w14:textId="7B5BAD3D" w:rsidR="00FD5F65" w:rsidRPr="00A472FC" w:rsidRDefault="00FD5F65" w:rsidP="00255546">
      <w:pPr>
        <w:ind w:right="-52" w:firstLine="720"/>
        <w:rPr>
          <w:rFonts w:ascii="Times New Roman" w:hAnsi="Times New Roman" w:cs="Times New Roman"/>
        </w:rPr>
      </w:pPr>
    </w:p>
    <w:p w14:paraId="3B404FD0" w14:textId="52A1D459" w:rsidR="00FD5F65" w:rsidRPr="00A472FC" w:rsidRDefault="004A4C5B" w:rsidP="00255546">
      <w:pPr>
        <w:ind w:right="-52" w:firstLine="720"/>
        <w:rPr>
          <w:rFonts w:ascii="Times New Roman" w:hAnsi="Times New Roman" w:cs="Times New Roman"/>
          <w:color w:val="000000" w:themeColor="text1"/>
        </w:rPr>
      </w:pPr>
      <w:r w:rsidRPr="00A472FC">
        <w:rPr>
          <w:rFonts w:ascii="Times New Roman" w:hAnsi="Times New Roman" w:cs="Times New Roman"/>
          <w:noProof/>
          <w:color w:val="000000" w:themeColor="text1"/>
        </w:rPr>
        <w:drawing>
          <wp:inline distT="0" distB="0" distL="0" distR="0" wp14:anchorId="255C3034" wp14:editId="7BABE615">
            <wp:extent cx="4721211" cy="1546225"/>
            <wp:effectExtent l="0" t="2540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7F98B3A3" w14:textId="652536DF" w:rsidR="00255546" w:rsidRPr="00A472FC" w:rsidRDefault="00255546" w:rsidP="00255546">
      <w:pPr>
        <w:ind w:right="-52"/>
        <w:rPr>
          <w:rFonts w:ascii="Times New Roman" w:hAnsi="Times New Roman" w:cs="Times New Roman"/>
          <w:color w:val="000000" w:themeColor="text1"/>
          <w:u w:val="single"/>
        </w:rPr>
      </w:pPr>
      <w:r w:rsidRPr="00A472FC">
        <w:rPr>
          <w:rFonts w:ascii="Times New Roman" w:hAnsi="Times New Roman" w:cs="Times New Roman"/>
          <w:u w:val="single"/>
        </w:rPr>
        <w:t xml:space="preserve">The </w:t>
      </w:r>
      <w:r w:rsidR="00FD5F65" w:rsidRPr="00A472FC">
        <w:rPr>
          <w:rFonts w:ascii="Times New Roman" w:hAnsi="Times New Roman" w:cs="Times New Roman"/>
          <w:u w:val="single"/>
        </w:rPr>
        <w:t>Latin Reception of</w:t>
      </w:r>
      <w:r w:rsidRPr="00A472FC">
        <w:rPr>
          <w:rFonts w:ascii="Times New Roman" w:hAnsi="Times New Roman" w:cs="Times New Roman"/>
          <w:u w:val="single"/>
        </w:rPr>
        <w:t xml:space="preserve"> </w:t>
      </w:r>
      <w:proofErr w:type="spellStart"/>
      <w:r w:rsidRPr="00A472FC">
        <w:rPr>
          <w:rFonts w:ascii="Times New Roman" w:hAnsi="Times New Roman" w:cs="Times New Roman"/>
          <w:u w:val="single"/>
        </w:rPr>
        <w:t>Averroes</w:t>
      </w:r>
      <w:proofErr w:type="spellEnd"/>
    </w:p>
    <w:p w14:paraId="203064D6" w14:textId="77777777" w:rsidR="00255546" w:rsidRPr="00A472FC" w:rsidRDefault="00255546" w:rsidP="00255546">
      <w:pPr>
        <w:autoSpaceDE w:val="0"/>
        <w:autoSpaceDN w:val="0"/>
        <w:adjustRightInd w:val="0"/>
        <w:ind w:right="-52" w:firstLine="720"/>
        <w:rPr>
          <w:rFonts w:ascii="Times New Roman" w:hAnsi="Times New Roman" w:cs="Times New Roman"/>
        </w:rPr>
      </w:pPr>
    </w:p>
    <w:p w14:paraId="7B991984" w14:textId="4C2F6C99" w:rsidR="00255546" w:rsidRPr="00A472FC" w:rsidRDefault="00255546" w:rsidP="00255546">
      <w:pPr>
        <w:autoSpaceDE w:val="0"/>
        <w:autoSpaceDN w:val="0"/>
        <w:adjustRightInd w:val="0"/>
        <w:ind w:right="-52" w:firstLine="720"/>
        <w:rPr>
          <w:rFonts w:ascii="Times New Roman" w:hAnsi="Times New Roman" w:cs="Times New Roman"/>
          <w:color w:val="000000" w:themeColor="text1"/>
        </w:rPr>
      </w:pPr>
      <w:r w:rsidRPr="00A472FC">
        <w:rPr>
          <w:rFonts w:ascii="Times New Roman" w:hAnsi="Times New Roman" w:cs="Times New Roman"/>
        </w:rPr>
        <w:t xml:space="preserve">There is little that is known with certainty about the exact circumstances of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w:t>
      </w:r>
      <w:r w:rsidR="00A668C7" w:rsidRPr="00A472FC">
        <w:rPr>
          <w:rFonts w:ascii="Times New Roman" w:hAnsi="Times New Roman" w:cs="Times New Roman"/>
        </w:rPr>
        <w:t>translation into Latin</w:t>
      </w:r>
      <w:r w:rsidRPr="00A472FC">
        <w:rPr>
          <w:rFonts w:ascii="Times New Roman" w:hAnsi="Times New Roman" w:cs="Times New Roman"/>
        </w:rPr>
        <w:t xml:space="preserve">, and it is for that reason that this topic has been the subject of intensive debate. Roland de </w:t>
      </w:r>
      <w:proofErr w:type="spellStart"/>
      <w:r w:rsidRPr="00A472FC">
        <w:rPr>
          <w:rFonts w:ascii="Times New Roman" w:hAnsi="Times New Roman" w:cs="Times New Roman"/>
        </w:rPr>
        <w:t>Vaux</w:t>
      </w:r>
      <w:proofErr w:type="spellEnd"/>
      <w:r w:rsidRPr="00A472FC">
        <w:rPr>
          <w:rFonts w:ascii="Times New Roman" w:hAnsi="Times New Roman" w:cs="Times New Roman"/>
        </w:rPr>
        <w:t xml:space="preserve"> made the case that the majority of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works were prepared in the Court of Frederick II from 1227. However, this theory was roundly rejected by René A. Gauthier, who argued </w:t>
      </w:r>
      <w:r w:rsidRPr="00A472FC">
        <w:rPr>
          <w:rFonts w:ascii="Times New Roman" w:hAnsi="Times New Roman" w:cs="Times New Roman"/>
          <w:color w:val="000000" w:themeColor="text1"/>
        </w:rPr>
        <w:t>that the translations must have been in preparation from at least 1220.</w:t>
      </w:r>
      <w:r w:rsidRPr="00A472FC">
        <w:rPr>
          <w:rStyle w:val="FootnoteReference"/>
          <w:rFonts w:ascii="Times New Roman" w:hAnsi="Times New Roman" w:cs="Times New Roman"/>
          <w:color w:val="000000" w:themeColor="text1"/>
        </w:rPr>
        <w:footnoteReference w:id="845"/>
      </w:r>
      <w:r w:rsidRPr="00A472FC">
        <w:rPr>
          <w:rFonts w:ascii="Times New Roman" w:hAnsi="Times New Roman" w:cs="Times New Roman"/>
        </w:rPr>
        <w:t xml:space="preserve"> </w:t>
      </w:r>
      <w:r w:rsidRPr="00A472FC">
        <w:rPr>
          <w:rFonts w:ascii="Times New Roman" w:hAnsi="Times New Roman" w:cs="Times New Roman"/>
          <w:color w:val="000000" w:themeColor="text1"/>
        </w:rPr>
        <w:t xml:space="preserve">The main </w:t>
      </w:r>
      <w:r w:rsidR="00505A3B" w:rsidRPr="00A472FC">
        <w:rPr>
          <w:rFonts w:ascii="Times New Roman" w:hAnsi="Times New Roman" w:cs="Times New Roman"/>
          <w:color w:val="000000" w:themeColor="text1"/>
        </w:rPr>
        <w:t>scholar at</w:t>
      </w:r>
      <w:r w:rsidRPr="00A472FC">
        <w:rPr>
          <w:rFonts w:ascii="Times New Roman" w:hAnsi="Times New Roman" w:cs="Times New Roman"/>
          <w:color w:val="000000" w:themeColor="text1"/>
        </w:rPr>
        <w:t xml:space="preserve"> Frederick’s court was incontestably Michael Scot, who probably worked there between 1228-35, though he was likely active as a translator even earlier. </w:t>
      </w:r>
    </w:p>
    <w:p w14:paraId="3B74CA80" w14:textId="784AB980" w:rsidR="00255546" w:rsidRPr="00A472FC" w:rsidRDefault="00255546" w:rsidP="00255546">
      <w:pPr>
        <w:autoSpaceDE w:val="0"/>
        <w:autoSpaceDN w:val="0"/>
        <w:adjustRightInd w:val="0"/>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That said, it is difficult to determine exactly which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translations Michael was responsible for, aside from the </w:t>
      </w:r>
      <w:r w:rsidRPr="00A472FC">
        <w:rPr>
          <w:rFonts w:ascii="Times New Roman" w:hAnsi="Times New Roman" w:cs="Times New Roman"/>
          <w:i/>
          <w:color w:val="000000" w:themeColor="text1"/>
        </w:rPr>
        <w:t xml:space="preserve">De </w:t>
      </w:r>
      <w:proofErr w:type="spellStart"/>
      <w:r w:rsidRPr="00A472FC">
        <w:rPr>
          <w:rFonts w:ascii="Times New Roman" w:hAnsi="Times New Roman" w:cs="Times New Roman"/>
          <w:i/>
          <w:color w:val="000000" w:themeColor="text1"/>
        </w:rPr>
        <w:t>caelo</w:t>
      </w:r>
      <w:proofErr w:type="spellEnd"/>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 xml:space="preserve">and probably also the </w:t>
      </w:r>
      <w:r w:rsidRPr="00A472FC">
        <w:rPr>
          <w:rFonts w:ascii="Times New Roman" w:hAnsi="Times New Roman" w:cs="Times New Roman"/>
          <w:i/>
          <w:color w:val="000000" w:themeColor="text1"/>
        </w:rPr>
        <w:t>De anima</w:t>
      </w:r>
      <w:r w:rsidRPr="00A472FC">
        <w:rPr>
          <w:rFonts w:ascii="Times New Roman" w:hAnsi="Times New Roman" w:cs="Times New Roman"/>
          <w:iCs/>
          <w:color w:val="000000" w:themeColor="text1"/>
        </w:rPr>
        <w:t xml:space="preserve">, </w:t>
      </w:r>
      <w:r w:rsidRPr="00A472FC">
        <w:rPr>
          <w:rFonts w:ascii="Times New Roman" w:hAnsi="Times New Roman" w:cs="Times New Roman"/>
          <w:color w:val="000000" w:themeColor="text1"/>
        </w:rPr>
        <w:t>which is attributed to him in several manuscripts</w:t>
      </w:r>
      <w:r w:rsidR="007C4D43" w:rsidRPr="00A472FC">
        <w:rPr>
          <w:rFonts w:ascii="Times New Roman" w:hAnsi="Times New Roman" w:cs="Times New Roman"/>
          <w:color w:val="000000" w:themeColor="text1"/>
        </w:rPr>
        <w:t xml:space="preserve">—although </w:t>
      </w:r>
      <w:proofErr w:type="spellStart"/>
      <w:r w:rsidR="007C4D43" w:rsidRPr="00A472FC">
        <w:rPr>
          <w:rFonts w:ascii="Times New Roman" w:hAnsi="Times New Roman" w:cs="Times New Roman"/>
          <w:color w:val="000000" w:themeColor="text1"/>
        </w:rPr>
        <w:t>Dag</w:t>
      </w:r>
      <w:proofErr w:type="spellEnd"/>
      <w:r w:rsidR="007C4D43" w:rsidRPr="00A472FC">
        <w:rPr>
          <w:rFonts w:ascii="Times New Roman" w:hAnsi="Times New Roman" w:cs="Times New Roman"/>
          <w:color w:val="000000" w:themeColor="text1"/>
        </w:rPr>
        <w:t xml:space="preserve"> Hasse has recently offered convin</w:t>
      </w:r>
      <w:r w:rsidR="00072C46" w:rsidRPr="00A472FC">
        <w:rPr>
          <w:rFonts w:ascii="Times New Roman" w:hAnsi="Times New Roman" w:cs="Times New Roman"/>
          <w:color w:val="000000" w:themeColor="text1"/>
        </w:rPr>
        <w:t>c</w:t>
      </w:r>
      <w:r w:rsidR="007C4D43" w:rsidRPr="00A472FC">
        <w:rPr>
          <w:rFonts w:ascii="Times New Roman" w:hAnsi="Times New Roman" w:cs="Times New Roman"/>
          <w:color w:val="000000" w:themeColor="text1"/>
        </w:rPr>
        <w:t xml:space="preserve">ing proof </w:t>
      </w:r>
      <w:r w:rsidR="00072C46" w:rsidRPr="00A472FC">
        <w:rPr>
          <w:rFonts w:ascii="Times New Roman" w:hAnsi="Times New Roman" w:cs="Times New Roman"/>
          <w:color w:val="000000" w:themeColor="text1"/>
        </w:rPr>
        <w:lastRenderedPageBreak/>
        <w:t>t</w:t>
      </w:r>
      <w:r w:rsidR="007C4D43" w:rsidRPr="00A472FC">
        <w:rPr>
          <w:rFonts w:ascii="Times New Roman" w:hAnsi="Times New Roman" w:cs="Times New Roman"/>
          <w:color w:val="000000" w:themeColor="text1"/>
        </w:rPr>
        <w:t xml:space="preserve">hat </w:t>
      </w:r>
      <w:r w:rsidR="00C15C17" w:rsidRPr="00A472FC">
        <w:rPr>
          <w:rFonts w:ascii="Times New Roman" w:hAnsi="Times New Roman" w:cs="Times New Roman"/>
          <w:color w:val="000000" w:themeColor="text1"/>
        </w:rPr>
        <w:t xml:space="preserve">Michael translated at least seven of </w:t>
      </w:r>
      <w:proofErr w:type="spellStart"/>
      <w:r w:rsidR="00C15C17" w:rsidRPr="00A472FC">
        <w:rPr>
          <w:rFonts w:ascii="Times New Roman" w:hAnsi="Times New Roman" w:cs="Times New Roman"/>
          <w:color w:val="000000" w:themeColor="text1"/>
        </w:rPr>
        <w:t>Averroes</w:t>
      </w:r>
      <w:proofErr w:type="spellEnd"/>
      <w:r w:rsidR="00C15C17" w:rsidRPr="00A472FC">
        <w:rPr>
          <w:rFonts w:ascii="Times New Roman" w:hAnsi="Times New Roman" w:cs="Times New Roman"/>
          <w:color w:val="000000" w:themeColor="text1"/>
        </w:rPr>
        <w:t>’ major works</w:t>
      </w:r>
      <w:r w:rsidRPr="00A472FC">
        <w:rPr>
          <w:rFonts w:ascii="Times New Roman" w:hAnsi="Times New Roman" w:cs="Times New Roman"/>
          <w:color w:val="000000" w:themeColor="text1"/>
        </w:rPr>
        <w:t>.</w:t>
      </w:r>
      <w:r w:rsidRPr="00A472FC">
        <w:rPr>
          <w:rStyle w:val="FootnoteReference"/>
          <w:rFonts w:ascii="Times New Roman" w:hAnsi="Times New Roman" w:cs="Times New Roman"/>
          <w:color w:val="000000" w:themeColor="text1"/>
        </w:rPr>
        <w:footnoteReference w:id="846"/>
      </w:r>
      <w:r w:rsidRPr="00A472FC">
        <w:rPr>
          <w:rFonts w:ascii="Times New Roman" w:hAnsi="Times New Roman" w:cs="Times New Roman"/>
          <w:color w:val="000000" w:themeColor="text1"/>
        </w:rPr>
        <w:t xml:space="preserve"> In keeping with the testimony of Roger Bacon, de </w:t>
      </w:r>
      <w:proofErr w:type="spellStart"/>
      <w:r w:rsidRPr="00A472FC">
        <w:rPr>
          <w:rFonts w:ascii="Times New Roman" w:hAnsi="Times New Roman" w:cs="Times New Roman"/>
          <w:color w:val="000000" w:themeColor="text1"/>
        </w:rPr>
        <w:t>Vaux</w:t>
      </w:r>
      <w:proofErr w:type="spellEnd"/>
      <w:r w:rsidRPr="00A472FC">
        <w:rPr>
          <w:rFonts w:ascii="Times New Roman" w:hAnsi="Times New Roman" w:cs="Times New Roman"/>
          <w:color w:val="000000" w:themeColor="text1"/>
        </w:rPr>
        <w:t xml:space="preserve"> credits Michael with the introduction of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oeuvre in Paris by 1231. The apparent responsibility of Michael for bringing the works to Paris explains the well-known fact that they were received by Latin thinkers all at once. By contrast, Gauthier believes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may have appeared in Paris as early as 1225, for reasons I will explain in due course. As de </w:t>
      </w:r>
      <w:proofErr w:type="spellStart"/>
      <w:r w:rsidRPr="00A472FC">
        <w:rPr>
          <w:rFonts w:ascii="Times New Roman" w:hAnsi="Times New Roman" w:cs="Times New Roman"/>
          <w:color w:val="000000" w:themeColor="text1"/>
        </w:rPr>
        <w:t>Vaux</w:t>
      </w:r>
      <w:proofErr w:type="spellEnd"/>
      <w:r w:rsidRPr="00A472FC">
        <w:rPr>
          <w:rFonts w:ascii="Times New Roman" w:hAnsi="Times New Roman" w:cs="Times New Roman"/>
          <w:color w:val="000000" w:themeColor="text1"/>
        </w:rPr>
        <w:t xml:space="preserve"> notes, however, this date is called into question by the fact that William of Auxerre does not mention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in his </w:t>
      </w:r>
      <w:r w:rsidRPr="00A472FC">
        <w:rPr>
          <w:rFonts w:ascii="Times New Roman" w:hAnsi="Times New Roman" w:cs="Times New Roman"/>
          <w:i/>
          <w:iCs/>
          <w:color w:val="000000" w:themeColor="text1"/>
        </w:rPr>
        <w:t xml:space="preserve">Summa </w:t>
      </w:r>
      <w:proofErr w:type="spellStart"/>
      <w:r w:rsidRPr="00A472FC">
        <w:rPr>
          <w:rFonts w:ascii="Times New Roman" w:hAnsi="Times New Roman" w:cs="Times New Roman"/>
          <w:i/>
          <w:iCs/>
          <w:color w:val="000000" w:themeColor="text1"/>
        </w:rPr>
        <w:t>aurea</w:t>
      </w:r>
      <w:proofErr w:type="spellEnd"/>
      <w:r w:rsidRPr="00A472FC">
        <w:rPr>
          <w:rFonts w:ascii="Times New Roman" w:hAnsi="Times New Roman" w:cs="Times New Roman"/>
          <w:color w:val="000000" w:themeColor="text1"/>
        </w:rPr>
        <w:t>,</w:t>
      </w:r>
      <w:r w:rsidRPr="00A472FC">
        <w:rPr>
          <w:rFonts w:ascii="Times New Roman" w:hAnsi="Times New Roman" w:cs="Times New Roman"/>
          <w:i/>
          <w:iCs/>
          <w:color w:val="000000" w:themeColor="text1"/>
        </w:rPr>
        <w:t xml:space="preserve"> </w:t>
      </w:r>
      <w:r w:rsidRPr="00A472FC">
        <w:rPr>
          <w:rFonts w:ascii="Times New Roman" w:hAnsi="Times New Roman" w:cs="Times New Roman"/>
          <w:iCs/>
          <w:color w:val="000000" w:themeColor="text1"/>
        </w:rPr>
        <w:t xml:space="preserve">completed between </w:t>
      </w:r>
      <w:r w:rsidRPr="00A472FC">
        <w:rPr>
          <w:rFonts w:ascii="Times New Roman" w:hAnsi="Times New Roman" w:cs="Times New Roman"/>
          <w:color w:val="000000" w:themeColor="text1"/>
        </w:rPr>
        <w:t>1215-26 and in a second version between 1226-29, but William of Auvergne clearly knows him in works that were written before 1235.</w:t>
      </w:r>
      <w:r w:rsidRPr="00A472FC">
        <w:rPr>
          <w:rStyle w:val="FootnoteReference"/>
          <w:rFonts w:ascii="Times New Roman" w:hAnsi="Times New Roman" w:cs="Times New Roman"/>
          <w:color w:val="000000" w:themeColor="text1"/>
        </w:rPr>
        <w:footnoteReference w:id="847"/>
      </w:r>
    </w:p>
    <w:p w14:paraId="506D4506" w14:textId="77777777" w:rsidR="00D41A69" w:rsidRDefault="00255546" w:rsidP="00255546">
      <w:pPr>
        <w:autoSpaceDE w:val="0"/>
        <w:autoSpaceDN w:val="0"/>
        <w:adjustRightInd w:val="0"/>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More contentiously, de </w:t>
      </w:r>
      <w:proofErr w:type="spellStart"/>
      <w:r w:rsidRPr="00A472FC">
        <w:rPr>
          <w:rFonts w:ascii="Times New Roman" w:hAnsi="Times New Roman" w:cs="Times New Roman"/>
          <w:color w:val="000000" w:themeColor="text1"/>
        </w:rPr>
        <w:t>Vaux</w:t>
      </w:r>
      <w:proofErr w:type="spellEnd"/>
      <w:r w:rsidRPr="00A472FC">
        <w:rPr>
          <w:rFonts w:ascii="Times New Roman" w:hAnsi="Times New Roman" w:cs="Times New Roman"/>
          <w:color w:val="000000" w:themeColor="text1"/>
        </w:rPr>
        <w:t xml:space="preserve"> argued that Frederick’s motive for sending the translations via Michael to Paris, after having circulated them first around Italy, was to irritate Pope Gregory IX, with whom he was supposedly in conflict at the time.</w:t>
      </w:r>
      <w:r w:rsidRPr="00A472FC">
        <w:rPr>
          <w:rStyle w:val="FootnoteReference"/>
          <w:rFonts w:ascii="Times New Roman" w:hAnsi="Times New Roman" w:cs="Times New Roman"/>
          <w:color w:val="000000" w:themeColor="text1"/>
        </w:rPr>
        <w:footnoteReference w:id="848"/>
      </w:r>
      <w:r w:rsidRPr="00A472FC">
        <w:rPr>
          <w:rFonts w:ascii="Times New Roman" w:hAnsi="Times New Roman" w:cs="Times New Roman"/>
          <w:color w:val="000000" w:themeColor="text1"/>
        </w:rPr>
        <w:t xml:space="preserve"> As noted in chapter one, Gregory had issued </w:t>
      </w:r>
      <w:r w:rsidR="00917780" w:rsidRPr="00A472FC">
        <w:rPr>
          <w:rFonts w:ascii="Times New Roman" w:hAnsi="Times New Roman" w:cs="Times New Roman"/>
          <w:color w:val="000000" w:themeColor="text1"/>
        </w:rPr>
        <w:t xml:space="preserve">a </w:t>
      </w:r>
      <w:r w:rsidRPr="00A472FC">
        <w:rPr>
          <w:rFonts w:ascii="Times New Roman" w:hAnsi="Times New Roman" w:cs="Times New Roman"/>
          <w:color w:val="000000" w:themeColor="text1"/>
        </w:rPr>
        <w:t xml:space="preserve">condemnation in Paris which implicated not only the works of Aristotle but also those who had commented on them. By sending the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works to Paris, de </w:t>
      </w:r>
      <w:proofErr w:type="spellStart"/>
      <w:r w:rsidRPr="00A472FC">
        <w:rPr>
          <w:rFonts w:ascii="Times New Roman" w:hAnsi="Times New Roman" w:cs="Times New Roman"/>
          <w:color w:val="000000" w:themeColor="text1"/>
        </w:rPr>
        <w:t>Vaux</w:t>
      </w:r>
      <w:proofErr w:type="spellEnd"/>
      <w:r w:rsidRPr="00A472FC">
        <w:rPr>
          <w:rFonts w:ascii="Times New Roman" w:hAnsi="Times New Roman" w:cs="Times New Roman"/>
          <w:color w:val="000000" w:themeColor="text1"/>
        </w:rPr>
        <w:t xml:space="preserve"> hypothesises—and he admits it is a hypothesis—Frederick rendered the implementation of the ban effectively impossible, due to the tremendous increase in the number of works that now needed to be assessed. </w:t>
      </w:r>
    </w:p>
    <w:p w14:paraId="523D7A3F" w14:textId="0AFDD990" w:rsidR="00255546" w:rsidRPr="00A472FC" w:rsidRDefault="00255546" w:rsidP="00D41A69">
      <w:pPr>
        <w:autoSpaceDE w:val="0"/>
        <w:autoSpaceDN w:val="0"/>
        <w:adjustRightInd w:val="0"/>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At very least, he made this work unnecessary, since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would now presumably explain points of doubt in the </w:t>
      </w:r>
      <w:proofErr w:type="spellStart"/>
      <w:r w:rsidRPr="00A472FC">
        <w:rPr>
          <w:rFonts w:ascii="Times New Roman" w:hAnsi="Times New Roman" w:cs="Times New Roman"/>
          <w:color w:val="000000" w:themeColor="text1"/>
        </w:rPr>
        <w:t>Stagirite’s</w:t>
      </w:r>
      <w:proofErr w:type="spellEnd"/>
      <w:r w:rsidRPr="00A472FC">
        <w:rPr>
          <w:rFonts w:ascii="Times New Roman" w:hAnsi="Times New Roman" w:cs="Times New Roman"/>
          <w:color w:val="000000" w:themeColor="text1"/>
        </w:rPr>
        <w:t xml:space="preserve"> works, even though the only way to find out if this was the case was of course to read them.</w:t>
      </w:r>
      <w:r w:rsidRPr="00A472FC">
        <w:rPr>
          <w:rStyle w:val="FootnoteReference"/>
          <w:rFonts w:ascii="Times New Roman" w:hAnsi="Times New Roman" w:cs="Times New Roman"/>
          <w:color w:val="000000" w:themeColor="text1"/>
        </w:rPr>
        <w:footnoteReference w:id="849"/>
      </w:r>
      <w:r w:rsidRPr="00A472FC">
        <w:rPr>
          <w:rFonts w:ascii="Times New Roman" w:hAnsi="Times New Roman" w:cs="Times New Roman"/>
          <w:color w:val="000000" w:themeColor="text1"/>
        </w:rPr>
        <w:t xml:space="preserve"> According to de </w:t>
      </w:r>
      <w:proofErr w:type="spellStart"/>
      <w:r w:rsidRPr="00A472FC">
        <w:rPr>
          <w:rFonts w:ascii="Times New Roman" w:hAnsi="Times New Roman" w:cs="Times New Roman"/>
          <w:color w:val="000000" w:themeColor="text1"/>
        </w:rPr>
        <w:t>Vaux</w:t>
      </w:r>
      <w:proofErr w:type="spellEnd"/>
      <w:r w:rsidRPr="00A472FC">
        <w:rPr>
          <w:rFonts w:ascii="Times New Roman" w:hAnsi="Times New Roman" w:cs="Times New Roman"/>
          <w:color w:val="000000" w:themeColor="text1"/>
        </w:rPr>
        <w:t xml:space="preserve">, Frederick’s intervention was the likely reason why the condemnation of Aristotle was effectively dropped in 1231. Although this theory is intriguing, it is called into doubt by what we have learned in the first chapter about Pope Gregory’s already positive attitude towards natural philosophy. There was seemingly no way to spite a Pope by circulating material that he already clearly welcomed through an emissary, namely, Michael Scot, whose work he clearly admired. </w:t>
      </w:r>
    </w:p>
    <w:p w14:paraId="37CA15DC" w14:textId="5EB57C80" w:rsidR="00F71BC2" w:rsidRPr="00A472FC" w:rsidRDefault="00F71BC2" w:rsidP="00F71BC2">
      <w:pPr>
        <w:autoSpaceDE w:val="0"/>
        <w:autoSpaceDN w:val="0"/>
        <w:adjustRightInd w:val="0"/>
        <w:ind w:right="-52"/>
        <w:rPr>
          <w:rFonts w:ascii="Times New Roman" w:hAnsi="Times New Roman" w:cs="Times New Roman"/>
          <w:color w:val="000000" w:themeColor="text1"/>
        </w:rPr>
      </w:pPr>
    </w:p>
    <w:p w14:paraId="737623B2" w14:textId="42806F7B" w:rsidR="00F71BC2" w:rsidRPr="00A472FC" w:rsidRDefault="00F71BC2" w:rsidP="00F71BC2">
      <w:pPr>
        <w:autoSpaceDE w:val="0"/>
        <w:autoSpaceDN w:val="0"/>
        <w:adjustRightInd w:val="0"/>
        <w:ind w:right="-52"/>
        <w:rPr>
          <w:rFonts w:ascii="Times New Roman" w:hAnsi="Times New Roman" w:cs="Times New Roman"/>
          <w:color w:val="000000" w:themeColor="text1"/>
          <w:u w:val="single"/>
        </w:rPr>
      </w:pPr>
      <w:r w:rsidRPr="00A472FC">
        <w:rPr>
          <w:rFonts w:ascii="Times New Roman" w:hAnsi="Times New Roman" w:cs="Times New Roman"/>
          <w:color w:val="000000" w:themeColor="text1"/>
          <w:u w:val="single"/>
        </w:rPr>
        <w:t xml:space="preserve">The Historiography of </w:t>
      </w:r>
      <w:proofErr w:type="spellStart"/>
      <w:r w:rsidRPr="00A472FC">
        <w:rPr>
          <w:rFonts w:ascii="Times New Roman" w:hAnsi="Times New Roman" w:cs="Times New Roman"/>
          <w:color w:val="000000" w:themeColor="text1"/>
          <w:u w:val="single"/>
        </w:rPr>
        <w:t>Averroes</w:t>
      </w:r>
      <w:proofErr w:type="spellEnd"/>
      <w:r w:rsidRPr="00A472FC">
        <w:rPr>
          <w:rFonts w:ascii="Times New Roman" w:hAnsi="Times New Roman" w:cs="Times New Roman"/>
          <w:color w:val="000000" w:themeColor="text1"/>
          <w:u w:val="single"/>
        </w:rPr>
        <w:t>’ Reception</w:t>
      </w:r>
    </w:p>
    <w:p w14:paraId="5441A8A2" w14:textId="77777777" w:rsidR="00F71BC2" w:rsidRPr="00A472FC" w:rsidRDefault="00F71BC2" w:rsidP="00F71BC2">
      <w:pPr>
        <w:autoSpaceDE w:val="0"/>
        <w:autoSpaceDN w:val="0"/>
        <w:adjustRightInd w:val="0"/>
        <w:ind w:right="-52"/>
        <w:rPr>
          <w:rFonts w:ascii="Times New Roman" w:hAnsi="Times New Roman" w:cs="Times New Roman"/>
          <w:color w:val="000000" w:themeColor="text1"/>
          <w:u w:val="single"/>
        </w:rPr>
      </w:pPr>
    </w:p>
    <w:p w14:paraId="1B879EAD" w14:textId="6EEC1822" w:rsidR="00255546" w:rsidRPr="00A472FC" w:rsidRDefault="00255546" w:rsidP="00255546">
      <w:pPr>
        <w:autoSpaceDE w:val="0"/>
        <w:autoSpaceDN w:val="0"/>
        <w:adjustRightInd w:val="0"/>
        <w:ind w:right="-52" w:firstLine="720"/>
        <w:rPr>
          <w:rFonts w:ascii="Times New Roman" w:hAnsi="Times New Roman" w:cs="Times New Roman"/>
          <w:color w:val="000000" w:themeColor="text1"/>
        </w:rPr>
      </w:pPr>
      <w:r w:rsidRPr="00A472FC">
        <w:rPr>
          <w:rFonts w:ascii="Times New Roman" w:hAnsi="Times New Roman" w:cs="Times New Roman"/>
        </w:rPr>
        <w:t xml:space="preserve">In the early twentieth century, Dominique Salman argued that early scholastics and especially John of La Rochelle undertook an initial reception of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which was distinct from the</w:t>
      </w:r>
      <w:r w:rsidRPr="00A472FC">
        <w:rPr>
          <w:rFonts w:ascii="Times New Roman" w:hAnsi="Times New Roman" w:cs="Times New Roman"/>
          <w:color w:val="000000" w:themeColor="text1"/>
        </w:rPr>
        <w:t xml:space="preserve"> ‘radical </w:t>
      </w:r>
      <w:proofErr w:type="spellStart"/>
      <w:r w:rsidRPr="00A472FC">
        <w:rPr>
          <w:rFonts w:ascii="Times New Roman" w:hAnsi="Times New Roman" w:cs="Times New Roman"/>
          <w:color w:val="000000" w:themeColor="text1"/>
        </w:rPr>
        <w:t>Averroist</w:t>
      </w:r>
      <w:proofErr w:type="spellEnd"/>
      <w:r w:rsidRPr="00A472FC">
        <w:rPr>
          <w:rFonts w:ascii="Times New Roman" w:hAnsi="Times New Roman" w:cs="Times New Roman"/>
          <w:color w:val="000000" w:themeColor="text1"/>
        </w:rPr>
        <w:t xml:space="preserve"> Aristotelianism’, which modern scholars have associated most closely with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reception.</w:t>
      </w:r>
      <w:r w:rsidRPr="00A472FC">
        <w:rPr>
          <w:rStyle w:val="FootnoteReference"/>
          <w:rFonts w:ascii="Times New Roman" w:hAnsi="Times New Roman" w:cs="Times New Roman"/>
          <w:color w:val="000000" w:themeColor="text1"/>
        </w:rPr>
        <w:footnoteReference w:id="850"/>
      </w:r>
      <w:r w:rsidRPr="00A472FC">
        <w:rPr>
          <w:rFonts w:ascii="Times New Roman" w:hAnsi="Times New Roman" w:cs="Times New Roman"/>
          <w:color w:val="000000" w:themeColor="text1"/>
        </w:rPr>
        <w:t xml:space="preserve"> This </w:t>
      </w:r>
      <w:r w:rsidR="00F74068" w:rsidRPr="00A472FC">
        <w:rPr>
          <w:rFonts w:ascii="Times New Roman" w:hAnsi="Times New Roman" w:cs="Times New Roman"/>
          <w:color w:val="000000" w:themeColor="text1"/>
        </w:rPr>
        <w:t xml:space="preserve">interpretation </w:t>
      </w:r>
      <w:r w:rsidRPr="00A472FC">
        <w:rPr>
          <w:rFonts w:ascii="Times New Roman" w:hAnsi="Times New Roman" w:cs="Times New Roman"/>
          <w:color w:val="000000" w:themeColor="text1"/>
        </w:rPr>
        <w:t xml:space="preserve">of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developed from the mid-thirteenth century and was ultimately condemned in 1270 and 1277. Although numerous doctrines were the subject of these condemnations, one of the most sensitive issues—vociferously objected to by Aquinas, for instance—was the idea of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that the possible intellect was separate and universal for all. </w:t>
      </w:r>
    </w:p>
    <w:p w14:paraId="3CDF19E1" w14:textId="77777777" w:rsidR="00255546" w:rsidRPr="00A472FC" w:rsidRDefault="00255546" w:rsidP="00255546">
      <w:pPr>
        <w:autoSpaceDE w:val="0"/>
        <w:autoSpaceDN w:val="0"/>
        <w:adjustRightInd w:val="0"/>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lastRenderedPageBreak/>
        <w:t xml:space="preserve">As Salman notes, this question does not even arise in scholars of the earlier generation at Paris, who show little to no awareness of what later came to be regarded as heretical </w:t>
      </w:r>
      <w:proofErr w:type="spellStart"/>
      <w:r w:rsidRPr="00A472FC">
        <w:rPr>
          <w:rFonts w:ascii="Times New Roman" w:hAnsi="Times New Roman" w:cs="Times New Roman"/>
          <w:color w:val="000000" w:themeColor="text1"/>
        </w:rPr>
        <w:t>Averroist</w:t>
      </w:r>
      <w:proofErr w:type="spellEnd"/>
      <w:r w:rsidRPr="00A472FC">
        <w:rPr>
          <w:rFonts w:ascii="Times New Roman" w:hAnsi="Times New Roman" w:cs="Times New Roman"/>
          <w:color w:val="000000" w:themeColor="text1"/>
        </w:rPr>
        <w:t xml:space="preserve"> positions.</w:t>
      </w:r>
      <w:r w:rsidRPr="00A472FC">
        <w:rPr>
          <w:rStyle w:val="FootnoteReference"/>
          <w:rFonts w:ascii="Times New Roman" w:hAnsi="Times New Roman" w:cs="Times New Roman"/>
          <w:color w:val="000000" w:themeColor="text1"/>
        </w:rPr>
        <w:footnoteReference w:id="851"/>
      </w:r>
      <w:r w:rsidRPr="00A472FC">
        <w:rPr>
          <w:rFonts w:ascii="Times New Roman" w:hAnsi="Times New Roman" w:cs="Times New Roman"/>
          <w:color w:val="000000" w:themeColor="text1"/>
        </w:rPr>
        <w:t xml:space="preserve"> What some Latin thinkers working between around 1240 and 1250 did associate with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on his account, was the idea that the agent intellect is a power proper to the soul, rather than the separate substance Avicenna made it out to be. This idea, which Salman traces specifically to Roger Bacon, Albert the Great, and Adam of Buckfield, is what he referred to as ‘First </w:t>
      </w:r>
      <w:proofErr w:type="spellStart"/>
      <w:r w:rsidRPr="00A472FC">
        <w:rPr>
          <w:rFonts w:ascii="Times New Roman" w:hAnsi="Times New Roman" w:cs="Times New Roman"/>
          <w:color w:val="000000" w:themeColor="text1"/>
        </w:rPr>
        <w:t>Averroism</w:t>
      </w:r>
      <w:proofErr w:type="spellEnd"/>
      <w:r w:rsidRPr="00A472FC">
        <w:rPr>
          <w:rFonts w:ascii="Times New Roman" w:hAnsi="Times New Roman" w:cs="Times New Roman"/>
          <w:color w:val="000000" w:themeColor="text1"/>
        </w:rPr>
        <w:t>,’ a position that was also later advocated by Gauthier.</w:t>
      </w:r>
      <w:r w:rsidRPr="00A472FC">
        <w:rPr>
          <w:rStyle w:val="FootnoteReference"/>
          <w:rFonts w:ascii="Times New Roman" w:hAnsi="Times New Roman" w:cs="Times New Roman"/>
          <w:color w:val="000000" w:themeColor="text1"/>
        </w:rPr>
        <w:footnoteReference w:id="852"/>
      </w:r>
      <w:r w:rsidRPr="00A472FC">
        <w:rPr>
          <w:rFonts w:ascii="Times New Roman" w:hAnsi="Times New Roman" w:cs="Times New Roman"/>
          <w:color w:val="000000" w:themeColor="text1"/>
        </w:rPr>
        <w:t xml:space="preserve"> Crowley nicely </w:t>
      </w:r>
      <w:proofErr w:type="spellStart"/>
      <w:r w:rsidRPr="00A472FC">
        <w:rPr>
          <w:rFonts w:ascii="Times New Roman" w:hAnsi="Times New Roman" w:cs="Times New Roman"/>
          <w:color w:val="000000" w:themeColor="text1"/>
        </w:rPr>
        <w:t>summarizes</w:t>
      </w:r>
      <w:proofErr w:type="spellEnd"/>
      <w:r w:rsidRPr="00A472FC">
        <w:rPr>
          <w:rFonts w:ascii="Times New Roman" w:hAnsi="Times New Roman" w:cs="Times New Roman"/>
          <w:color w:val="000000" w:themeColor="text1"/>
        </w:rPr>
        <w:t xml:space="preserve"> their views as follows:</w:t>
      </w:r>
    </w:p>
    <w:p w14:paraId="55F0AE12" w14:textId="77777777" w:rsidR="00255546" w:rsidRPr="00A472FC" w:rsidRDefault="00255546" w:rsidP="00255546">
      <w:pPr>
        <w:autoSpaceDE w:val="0"/>
        <w:autoSpaceDN w:val="0"/>
        <w:adjustRightInd w:val="0"/>
        <w:ind w:right="-52" w:firstLine="720"/>
        <w:rPr>
          <w:rFonts w:ascii="Times New Roman" w:hAnsi="Times New Roman" w:cs="Times New Roman"/>
          <w:color w:val="000000" w:themeColor="text1"/>
        </w:rPr>
      </w:pPr>
    </w:p>
    <w:p w14:paraId="0D52C082" w14:textId="77777777" w:rsidR="00255546" w:rsidRPr="00A472FC" w:rsidRDefault="00255546" w:rsidP="00255546">
      <w:pPr>
        <w:autoSpaceDE w:val="0"/>
        <w:autoSpaceDN w:val="0"/>
        <w:adjustRightInd w:val="0"/>
        <w:ind w:left="720" w:right="-52"/>
        <w:rPr>
          <w:rFonts w:ascii="Times New Roman" w:hAnsi="Times New Roman" w:cs="Times New Roman"/>
        </w:rPr>
      </w:pPr>
      <w:r w:rsidRPr="00A472FC">
        <w:rPr>
          <w:rFonts w:ascii="Times New Roman" w:hAnsi="Times New Roman" w:cs="Times New Roman"/>
        </w:rPr>
        <w:t xml:space="preserve">Before 1250, far from being considered an advocate of </w:t>
      </w:r>
      <w:proofErr w:type="spellStart"/>
      <w:r w:rsidRPr="00A472FC">
        <w:rPr>
          <w:rFonts w:ascii="Times New Roman" w:hAnsi="Times New Roman" w:cs="Times New Roman"/>
        </w:rPr>
        <w:t>monopsychism</w:t>
      </w:r>
      <w:proofErr w:type="spellEnd"/>
      <w:r w:rsidRPr="00A472FC">
        <w:rPr>
          <w:rFonts w:ascii="Times New Roman" w:hAnsi="Times New Roman" w:cs="Times New Roman"/>
        </w:rPr>
        <w:t xml:space="preserve"> which denied the presence not only of an active intellect within the individual soul but also of even a possible intellect,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was accredited with the opinion that the active intellect was immanent in man and a faculty of the soul, and his authority was invoked against Avicenna, </w:t>
      </w:r>
      <w:proofErr w:type="spellStart"/>
      <w:r w:rsidRPr="00A472FC">
        <w:rPr>
          <w:rFonts w:ascii="Times New Roman" w:hAnsi="Times New Roman" w:cs="Times New Roman"/>
        </w:rPr>
        <w:t>Algazel</w:t>
      </w:r>
      <w:proofErr w:type="spellEnd"/>
      <w:r w:rsidRPr="00A472FC">
        <w:rPr>
          <w:rFonts w:ascii="Times New Roman" w:hAnsi="Times New Roman" w:cs="Times New Roman"/>
        </w:rPr>
        <w:t xml:space="preserve"> and the theologians who, whilst admitting the persona and immanent nature of the possible intellect, made of the active intellect an immaterial form or substance existing altogether apart. The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against which [Roger] Bacon in common with many other scholastics then raised his voice had nothing in common with the primitive </w:t>
      </w:r>
      <w:proofErr w:type="spellStart"/>
      <w:r w:rsidRPr="00A472FC">
        <w:rPr>
          <w:rFonts w:ascii="Times New Roman" w:hAnsi="Times New Roman" w:cs="Times New Roman"/>
        </w:rPr>
        <w:t>Averroism</w:t>
      </w:r>
      <w:proofErr w:type="spellEnd"/>
      <w:r w:rsidRPr="00A472FC">
        <w:rPr>
          <w:rFonts w:ascii="Times New Roman" w:hAnsi="Times New Roman" w:cs="Times New Roman"/>
        </w:rPr>
        <w:t xml:space="preserve"> known before 1250; it had become synonymous with </w:t>
      </w:r>
      <w:proofErr w:type="spellStart"/>
      <w:r w:rsidRPr="00A472FC">
        <w:rPr>
          <w:rFonts w:ascii="Times New Roman" w:hAnsi="Times New Roman" w:cs="Times New Roman"/>
        </w:rPr>
        <w:t>monopsychism</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853"/>
      </w:r>
    </w:p>
    <w:p w14:paraId="3AAFF825" w14:textId="77777777" w:rsidR="00255546" w:rsidRPr="00A472FC" w:rsidRDefault="00255546" w:rsidP="00255546">
      <w:pPr>
        <w:autoSpaceDE w:val="0"/>
        <w:autoSpaceDN w:val="0"/>
        <w:adjustRightInd w:val="0"/>
        <w:ind w:right="-52" w:firstLine="720"/>
        <w:rPr>
          <w:rFonts w:ascii="Times New Roman" w:hAnsi="Times New Roman" w:cs="Times New Roman"/>
          <w:color w:val="000000" w:themeColor="text1"/>
        </w:rPr>
      </w:pPr>
    </w:p>
    <w:p w14:paraId="0BCF70C5" w14:textId="77777777" w:rsidR="00255546" w:rsidRPr="00A472FC" w:rsidRDefault="00255546" w:rsidP="00255546">
      <w:pPr>
        <w:ind w:right="-52" w:firstLine="720"/>
        <w:rPr>
          <w:rFonts w:ascii="Times New Roman" w:hAnsi="Times New Roman" w:cs="Times New Roman"/>
        </w:rPr>
      </w:pPr>
      <w:r w:rsidRPr="00A472FC">
        <w:rPr>
          <w:rFonts w:ascii="Times New Roman" w:hAnsi="Times New Roman" w:cs="Times New Roman"/>
        </w:rPr>
        <w:t xml:space="preserve">In a further study, Salman identifies what he sees as additional evidence for the reception of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in early scholasticism, and specifically, in John of La Rochelle. Although John of La Rochelle only includes one quote from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in his work, and more specifically, the </w:t>
      </w:r>
      <w:proofErr w:type="spellStart"/>
      <w:r w:rsidRPr="00A472FC">
        <w:rPr>
          <w:rFonts w:ascii="Times New Roman" w:hAnsi="Times New Roman" w:cs="Times New Roman"/>
          <w:i/>
        </w:rPr>
        <w:t>Tractatus</w:t>
      </w:r>
      <w:proofErr w:type="spellEnd"/>
      <w:r w:rsidRPr="00A472FC">
        <w:rPr>
          <w:rFonts w:ascii="Times New Roman" w:hAnsi="Times New Roman" w:cs="Times New Roman"/>
          <w:iCs/>
        </w:rPr>
        <w:t>, the</w:t>
      </w:r>
      <w:r w:rsidRPr="00A472FC">
        <w:rPr>
          <w:rFonts w:ascii="Times New Roman" w:hAnsi="Times New Roman" w:cs="Times New Roman"/>
        </w:rPr>
        <w:t xml:space="preserve"> idea of this passage is subsumed into the SDA as well: ‘reason is corruptible, as the Commentator says in the book </w:t>
      </w:r>
      <w:r w:rsidRPr="00A472FC">
        <w:rPr>
          <w:rFonts w:ascii="Times New Roman" w:hAnsi="Times New Roman" w:cs="Times New Roman"/>
          <w:i/>
        </w:rPr>
        <w:t>De anima</w:t>
      </w:r>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for he says: reason is corruptible and the intellect is incorruptible</w:t>
      </w:r>
      <w:r w:rsidRPr="00A472FC">
        <w:rPr>
          <w:rFonts w:ascii="Times New Roman" w:hAnsi="Times New Roman" w:cs="Times New Roman"/>
          <w:lang w:val="en-US"/>
        </w:rPr>
        <w:t>.’</w:t>
      </w:r>
      <w:r w:rsidRPr="00A472FC">
        <w:rPr>
          <w:rStyle w:val="FootnoteReference"/>
          <w:rFonts w:ascii="Times New Roman" w:hAnsi="Times New Roman" w:cs="Times New Roman"/>
          <w:color w:val="000000" w:themeColor="text1"/>
        </w:rPr>
        <w:footnoteReference w:id="854"/>
      </w:r>
      <w:r w:rsidRPr="00A472FC">
        <w:rPr>
          <w:rFonts w:ascii="Times New Roman" w:hAnsi="Times New Roman" w:cs="Times New Roman"/>
          <w:lang w:val="en-US"/>
        </w:rPr>
        <w:t xml:space="preserve"> </w:t>
      </w:r>
      <w:r w:rsidRPr="00A472FC">
        <w:rPr>
          <w:rFonts w:ascii="Times New Roman" w:hAnsi="Times New Roman" w:cs="Times New Roman"/>
        </w:rPr>
        <w:t xml:space="preserve">A similar reference appears in the DAR of the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i/>
          <w:iCs/>
        </w:rPr>
        <w:t>.</w:t>
      </w:r>
      <w:r w:rsidRPr="00A472FC">
        <w:rPr>
          <w:rFonts w:ascii="Times New Roman" w:hAnsi="Times New Roman" w:cs="Times New Roman"/>
        </w:rPr>
        <w:t xml:space="preserve"> </w:t>
      </w:r>
      <w:r w:rsidRPr="00A472FC">
        <w:rPr>
          <w:rFonts w:ascii="Times New Roman" w:hAnsi="Times New Roman" w:cs="Times New Roman"/>
          <w:lang w:val="en-US"/>
        </w:rPr>
        <w:t xml:space="preserve">On the basis of this quotation, Salman claims that John obtained the </w:t>
      </w:r>
      <w:r w:rsidRPr="00A472FC">
        <w:rPr>
          <w:rFonts w:ascii="Times New Roman" w:hAnsi="Times New Roman" w:cs="Times New Roman"/>
        </w:rPr>
        <w:t xml:space="preserve">distinction between a passive corruptible and separate and incorruptible intellect from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and he points to this as constitutive of the ‘First </w:t>
      </w:r>
      <w:proofErr w:type="spellStart"/>
      <w:r w:rsidRPr="00A472FC">
        <w:rPr>
          <w:rFonts w:ascii="Times New Roman" w:hAnsi="Times New Roman" w:cs="Times New Roman"/>
        </w:rPr>
        <w:t>Averroism</w:t>
      </w:r>
      <w:proofErr w:type="spellEnd"/>
      <w:r w:rsidRPr="00A472FC">
        <w:rPr>
          <w:rFonts w:ascii="Times New Roman" w:hAnsi="Times New Roman" w:cs="Times New Roman"/>
        </w:rPr>
        <w:t xml:space="preserve">’ that dominated before the birth of heretical </w:t>
      </w:r>
      <w:proofErr w:type="spellStart"/>
      <w:r w:rsidRPr="00A472FC">
        <w:rPr>
          <w:rFonts w:ascii="Times New Roman" w:hAnsi="Times New Roman" w:cs="Times New Roman"/>
        </w:rPr>
        <w:t>Averroism</w:t>
      </w:r>
      <w:proofErr w:type="spellEnd"/>
      <w:r w:rsidRPr="00A472FC">
        <w:rPr>
          <w:rFonts w:ascii="Times New Roman" w:hAnsi="Times New Roman" w:cs="Times New Roman"/>
        </w:rPr>
        <w:t xml:space="preserve"> around 1265.</w:t>
      </w:r>
      <w:r w:rsidRPr="00A472FC">
        <w:rPr>
          <w:rStyle w:val="FootnoteReference"/>
          <w:rFonts w:ascii="Times New Roman" w:hAnsi="Times New Roman" w:cs="Times New Roman"/>
        </w:rPr>
        <w:footnoteReference w:id="855"/>
      </w:r>
    </w:p>
    <w:p w14:paraId="3025FA6D" w14:textId="2025A92A" w:rsidR="00255546" w:rsidRPr="00A472FC" w:rsidRDefault="00255546" w:rsidP="00255546">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As Salman further observes, John in this quotation conflates the </w:t>
      </w:r>
      <w:r w:rsidRPr="00A472FC">
        <w:rPr>
          <w:rFonts w:ascii="Times New Roman" w:hAnsi="Times New Roman" w:cs="Times New Roman"/>
          <w:i/>
          <w:color w:val="000000" w:themeColor="text1"/>
        </w:rPr>
        <w:t xml:space="preserve">ratio </w:t>
      </w:r>
      <w:r w:rsidRPr="00A472FC">
        <w:rPr>
          <w:rFonts w:ascii="Times New Roman" w:hAnsi="Times New Roman" w:cs="Times New Roman"/>
          <w:color w:val="000000" w:themeColor="text1"/>
        </w:rPr>
        <w:t xml:space="preserve">of the DSEA with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idea of cogitation, which takes place in the passible and corruptible intellect.</w:t>
      </w:r>
      <w:r w:rsidRPr="00A472FC">
        <w:rPr>
          <w:rStyle w:val="FootnoteReference"/>
          <w:rFonts w:ascii="Times New Roman" w:hAnsi="Times New Roman" w:cs="Times New Roman"/>
          <w:color w:val="000000" w:themeColor="text1"/>
        </w:rPr>
        <w:footnoteReference w:id="856"/>
      </w:r>
      <w:r w:rsidRPr="00A472FC">
        <w:rPr>
          <w:rFonts w:ascii="Times New Roman" w:hAnsi="Times New Roman" w:cs="Times New Roman"/>
          <w:color w:val="000000" w:themeColor="text1"/>
        </w:rPr>
        <w:t xml:space="preserve"> On the ground that the material intellect in Rochelle performs a similar function to </w:t>
      </w:r>
      <w:r w:rsidRPr="00A472FC">
        <w:rPr>
          <w:rFonts w:ascii="Times New Roman" w:hAnsi="Times New Roman" w:cs="Times New Roman"/>
          <w:i/>
          <w:color w:val="000000" w:themeColor="text1"/>
        </w:rPr>
        <w:t>ratio</w:t>
      </w:r>
      <w:r w:rsidRPr="00A472FC">
        <w:rPr>
          <w:rFonts w:ascii="Times New Roman" w:hAnsi="Times New Roman" w:cs="Times New Roman"/>
          <w:iCs/>
          <w:color w:val="000000" w:themeColor="text1"/>
        </w:rPr>
        <w:t>,</w:t>
      </w:r>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Salman concluded that this intellect performs the same work as cogitation</w:t>
      </w:r>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as well.</w:t>
      </w:r>
      <w:r w:rsidRPr="00A472FC">
        <w:rPr>
          <w:rStyle w:val="FootnoteReference"/>
          <w:rFonts w:ascii="Times New Roman" w:hAnsi="Times New Roman" w:cs="Times New Roman"/>
          <w:color w:val="000000" w:themeColor="text1"/>
        </w:rPr>
        <w:footnoteReference w:id="857"/>
      </w:r>
      <w:r w:rsidRPr="00A472FC">
        <w:rPr>
          <w:rFonts w:ascii="Times New Roman" w:hAnsi="Times New Roman" w:cs="Times New Roman"/>
          <w:color w:val="000000" w:themeColor="text1"/>
        </w:rPr>
        <w:t xml:space="preserve"> As Salman notes, the passage quoted by John already appeared in the </w:t>
      </w:r>
      <w:r w:rsidRPr="00A472FC">
        <w:rPr>
          <w:rFonts w:ascii="Times New Roman" w:hAnsi="Times New Roman" w:cs="Times New Roman"/>
          <w:i/>
          <w:color w:val="000000" w:themeColor="text1"/>
        </w:rPr>
        <w:t xml:space="preserve">Summa de bono </w:t>
      </w:r>
      <w:r w:rsidRPr="00A472FC">
        <w:rPr>
          <w:rFonts w:ascii="Times New Roman" w:hAnsi="Times New Roman" w:cs="Times New Roman"/>
          <w:color w:val="000000" w:themeColor="text1"/>
        </w:rPr>
        <w:t xml:space="preserve">of Philip the Chancellor, which probably dates to 1228-36, which is consistent with the idea that </w:t>
      </w:r>
      <w:proofErr w:type="spellStart"/>
      <w:r w:rsidRPr="00A472FC">
        <w:rPr>
          <w:rFonts w:ascii="Times New Roman" w:hAnsi="Times New Roman" w:cs="Times New Roman"/>
          <w:color w:val="000000" w:themeColor="text1"/>
        </w:rPr>
        <w:lastRenderedPageBreak/>
        <w:t>Averroes</w:t>
      </w:r>
      <w:proofErr w:type="spellEnd"/>
      <w:r w:rsidRPr="00A472FC">
        <w:rPr>
          <w:rFonts w:ascii="Times New Roman" w:hAnsi="Times New Roman" w:cs="Times New Roman"/>
          <w:color w:val="000000" w:themeColor="text1"/>
        </w:rPr>
        <w:t xml:space="preserve"> appeared in Paris in 1230.</w:t>
      </w:r>
      <w:r w:rsidRPr="00A472FC">
        <w:rPr>
          <w:rStyle w:val="FootnoteReference"/>
          <w:rFonts w:ascii="Times New Roman" w:hAnsi="Times New Roman" w:cs="Times New Roman"/>
          <w:color w:val="000000" w:themeColor="text1"/>
        </w:rPr>
        <w:footnoteReference w:id="858"/>
      </w:r>
      <w:r w:rsidRPr="00A472FC">
        <w:rPr>
          <w:rFonts w:ascii="Times New Roman" w:hAnsi="Times New Roman" w:cs="Times New Roman"/>
          <w:color w:val="000000" w:themeColor="text1"/>
        </w:rPr>
        <w:t xml:space="preserve"> This passage states: ‘The Commentator in his book </w:t>
      </w:r>
      <w:r w:rsidRPr="00A472FC">
        <w:rPr>
          <w:rFonts w:ascii="Times New Roman" w:hAnsi="Times New Roman" w:cs="Times New Roman"/>
          <w:i/>
          <w:color w:val="000000" w:themeColor="text1"/>
        </w:rPr>
        <w:t xml:space="preserve">De anima </w:t>
      </w:r>
      <w:r w:rsidRPr="00A472FC">
        <w:rPr>
          <w:rFonts w:ascii="Times New Roman" w:hAnsi="Times New Roman" w:cs="Times New Roman"/>
          <w:color w:val="000000" w:themeColor="text1"/>
        </w:rPr>
        <w:t>posits that reason is corruptible but the intellect is incorruptible</w:t>
      </w:r>
      <w:r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859"/>
      </w:r>
      <w:r w:rsidRPr="00A472FC">
        <w:rPr>
          <w:rFonts w:ascii="Times New Roman" w:hAnsi="Times New Roman" w:cs="Times New Roman"/>
          <w:lang w:val="en-US"/>
        </w:rPr>
        <w:t xml:space="preserve"> For Salman, this not only p</w:t>
      </w:r>
      <w:r w:rsidRPr="00A472FC">
        <w:rPr>
          <w:rFonts w:ascii="Times New Roman" w:hAnsi="Times New Roman" w:cs="Times New Roman"/>
          <w:color w:val="000000" w:themeColor="text1"/>
        </w:rPr>
        <w:t xml:space="preserve">roves Philip’s influence on the Franciscan but also </w:t>
      </w:r>
      <w:r w:rsidRPr="00A472FC">
        <w:rPr>
          <w:rFonts w:ascii="Times New Roman" w:hAnsi="Times New Roman" w:cs="Times New Roman"/>
          <w:lang w:val="en-US"/>
        </w:rPr>
        <w:t xml:space="preserve">the dependence of both John and Philip on </w:t>
      </w:r>
      <w:proofErr w:type="spellStart"/>
      <w:r w:rsidRPr="00A472FC">
        <w:rPr>
          <w:rFonts w:ascii="Times New Roman" w:hAnsi="Times New Roman" w:cs="Times New Roman"/>
          <w:lang w:val="en-US"/>
        </w:rPr>
        <w:t>Averroes</w:t>
      </w:r>
      <w:proofErr w:type="spellEnd"/>
      <w:r w:rsidRPr="00A472FC">
        <w:rPr>
          <w:rFonts w:ascii="Times New Roman" w:hAnsi="Times New Roman" w:cs="Times New Roman"/>
          <w:lang w:val="en-US"/>
        </w:rPr>
        <w:t xml:space="preserve">. </w:t>
      </w:r>
    </w:p>
    <w:p w14:paraId="3C04FEAA" w14:textId="77777777" w:rsidR="00255546" w:rsidRPr="00A472FC" w:rsidRDefault="00255546" w:rsidP="00255546">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Almost a decade before Salman’s articles, J. </w:t>
      </w:r>
      <w:proofErr w:type="spellStart"/>
      <w:r w:rsidRPr="00A472FC">
        <w:rPr>
          <w:rFonts w:ascii="Times New Roman" w:hAnsi="Times New Roman" w:cs="Times New Roman"/>
          <w:color w:val="000000" w:themeColor="text1"/>
        </w:rPr>
        <w:t>Rohmer</w:t>
      </w:r>
      <w:proofErr w:type="spellEnd"/>
      <w:r w:rsidRPr="00A472FC">
        <w:rPr>
          <w:rFonts w:ascii="Times New Roman" w:hAnsi="Times New Roman" w:cs="Times New Roman"/>
          <w:color w:val="000000" w:themeColor="text1"/>
        </w:rPr>
        <w:t xml:space="preserve"> made a similar argument in a more abbreviated form. He claimed that Alexander of Hales, whom he conflates with the author or the </w:t>
      </w:r>
      <w:r w:rsidRPr="00A472FC">
        <w:rPr>
          <w:rFonts w:ascii="Times New Roman" w:hAnsi="Times New Roman" w:cs="Times New Roman"/>
          <w:i/>
          <w:color w:val="000000" w:themeColor="text1"/>
        </w:rPr>
        <w:t xml:space="preserve">Summa </w:t>
      </w:r>
      <w:proofErr w:type="spellStart"/>
      <w:r w:rsidRPr="00A472FC">
        <w:rPr>
          <w:rFonts w:ascii="Times New Roman" w:hAnsi="Times New Roman" w:cs="Times New Roman"/>
          <w:i/>
          <w:color w:val="000000" w:themeColor="text1"/>
        </w:rPr>
        <w:t>Halensis</w:t>
      </w:r>
      <w:proofErr w:type="spellEnd"/>
      <w:r w:rsidRPr="00A472FC">
        <w:rPr>
          <w:rFonts w:ascii="Times New Roman" w:hAnsi="Times New Roman" w:cs="Times New Roman"/>
          <w:iCs/>
          <w:color w:val="000000" w:themeColor="text1"/>
        </w:rPr>
        <w:t>,</w:t>
      </w:r>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 xml:space="preserve">equated the material intellect with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cogitation and claimed that the distinction between the corruptible intellect and the incorruptible (i.e. agent and possible) intellect comes from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as well.</w:t>
      </w:r>
      <w:r w:rsidRPr="00A472FC">
        <w:rPr>
          <w:rStyle w:val="FootnoteReference"/>
          <w:rFonts w:ascii="Times New Roman" w:hAnsi="Times New Roman" w:cs="Times New Roman"/>
          <w:color w:val="000000" w:themeColor="text1"/>
        </w:rPr>
        <w:footnoteReference w:id="860"/>
      </w:r>
      <w:r w:rsidRPr="00A472FC">
        <w:rPr>
          <w:rFonts w:ascii="Times New Roman" w:hAnsi="Times New Roman" w:cs="Times New Roman"/>
          <w:color w:val="000000" w:themeColor="text1"/>
        </w:rPr>
        <w:t xml:space="preserve"> In that sense, </w:t>
      </w:r>
      <w:proofErr w:type="spellStart"/>
      <w:r w:rsidRPr="00A472FC">
        <w:rPr>
          <w:rFonts w:ascii="Times New Roman" w:hAnsi="Times New Roman" w:cs="Times New Roman"/>
          <w:color w:val="000000" w:themeColor="text1"/>
        </w:rPr>
        <w:t>Rohmer</w:t>
      </w:r>
      <w:proofErr w:type="spellEnd"/>
      <w:r w:rsidRPr="00A472FC">
        <w:rPr>
          <w:rFonts w:ascii="Times New Roman" w:hAnsi="Times New Roman" w:cs="Times New Roman"/>
          <w:color w:val="000000" w:themeColor="text1"/>
        </w:rPr>
        <w:t xml:space="preserve"> claims, the </w:t>
      </w:r>
      <w:proofErr w:type="spellStart"/>
      <w:r w:rsidRPr="00A472FC">
        <w:rPr>
          <w:rFonts w:ascii="Times New Roman" w:hAnsi="Times New Roman" w:cs="Times New Roman"/>
          <w:color w:val="000000" w:themeColor="text1"/>
        </w:rPr>
        <w:t>Summist</w:t>
      </w:r>
      <w:proofErr w:type="spellEnd"/>
      <w:r w:rsidRPr="00A472FC">
        <w:rPr>
          <w:rFonts w:ascii="Times New Roman" w:hAnsi="Times New Roman" w:cs="Times New Roman"/>
          <w:color w:val="000000" w:themeColor="text1"/>
        </w:rPr>
        <w:t xml:space="preserve"> identifies the material intellect with the possible intellect of Aristotle, provided this is understood in the sense of what Augustine meant by the term </w:t>
      </w:r>
      <w:r w:rsidRPr="00A472FC">
        <w:rPr>
          <w:rFonts w:ascii="Times New Roman" w:hAnsi="Times New Roman" w:cs="Times New Roman"/>
          <w:i/>
          <w:color w:val="000000" w:themeColor="text1"/>
        </w:rPr>
        <w:t>ratio</w:t>
      </w:r>
      <w:r w:rsidRPr="00A472FC">
        <w:rPr>
          <w:rFonts w:ascii="Times New Roman" w:hAnsi="Times New Roman" w:cs="Times New Roman"/>
          <w:iCs/>
          <w:color w:val="000000" w:themeColor="text1"/>
        </w:rPr>
        <w:t xml:space="preserve">, </w:t>
      </w:r>
      <w:r w:rsidRPr="00A472FC">
        <w:rPr>
          <w:rFonts w:ascii="Times New Roman" w:hAnsi="Times New Roman" w:cs="Times New Roman"/>
          <w:color w:val="000000" w:themeColor="text1"/>
        </w:rPr>
        <w:t>which involves the apprehension of an intelligible form in or by the sensitive, i.e. imaginative power.</w:t>
      </w:r>
      <w:r w:rsidRPr="00A472FC">
        <w:rPr>
          <w:rStyle w:val="FootnoteReference"/>
          <w:rFonts w:ascii="Times New Roman" w:hAnsi="Times New Roman" w:cs="Times New Roman"/>
          <w:color w:val="000000" w:themeColor="text1"/>
        </w:rPr>
        <w:footnoteReference w:id="861"/>
      </w:r>
    </w:p>
    <w:p w14:paraId="26AA9C25" w14:textId="5BAF2032" w:rsidR="00255546" w:rsidRPr="00A472FC" w:rsidRDefault="00255546" w:rsidP="00255546">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While the </w:t>
      </w:r>
      <w:proofErr w:type="spellStart"/>
      <w:r w:rsidRPr="00A472FC">
        <w:rPr>
          <w:rFonts w:ascii="Times New Roman" w:hAnsi="Times New Roman" w:cs="Times New Roman"/>
          <w:color w:val="000000" w:themeColor="text1"/>
        </w:rPr>
        <w:t>Summist</w:t>
      </w:r>
      <w:proofErr w:type="spellEnd"/>
      <w:r w:rsidRPr="00A472FC">
        <w:rPr>
          <w:rFonts w:ascii="Times New Roman" w:hAnsi="Times New Roman" w:cs="Times New Roman"/>
          <w:color w:val="000000" w:themeColor="text1"/>
        </w:rPr>
        <w:t xml:space="preserve"> acknowledges that Aristotle might be read as having only an agent and a possible—not a material—intellect, he insists that we cannot explain the work of the material intellect </w:t>
      </w:r>
      <w:r w:rsidR="006E70A4">
        <w:rPr>
          <w:rFonts w:ascii="Times New Roman" w:hAnsi="Times New Roman" w:cs="Times New Roman"/>
          <w:color w:val="000000" w:themeColor="text1"/>
        </w:rPr>
        <w:t>solely</w:t>
      </w:r>
      <w:r w:rsidRPr="00A472FC">
        <w:rPr>
          <w:rFonts w:ascii="Times New Roman" w:hAnsi="Times New Roman" w:cs="Times New Roman"/>
          <w:color w:val="000000" w:themeColor="text1"/>
        </w:rPr>
        <w:t xml:space="preserve"> with recourse to the imagination, because imagination in animals is not oriented towards the knowledge of universals. This is only the case for the material intellect.</w:t>
      </w:r>
      <w:r w:rsidRPr="00A472FC">
        <w:rPr>
          <w:rStyle w:val="FootnoteReference"/>
          <w:rFonts w:ascii="Times New Roman" w:hAnsi="Times New Roman" w:cs="Times New Roman"/>
          <w:color w:val="000000" w:themeColor="text1"/>
        </w:rPr>
        <w:footnoteReference w:id="862"/>
      </w:r>
      <w:r w:rsidRPr="00A472FC">
        <w:rPr>
          <w:rFonts w:ascii="Times New Roman" w:hAnsi="Times New Roman" w:cs="Times New Roman"/>
          <w:color w:val="000000" w:themeColor="text1"/>
        </w:rPr>
        <w:t xml:space="preserve"> Where the </w:t>
      </w:r>
      <w:proofErr w:type="spellStart"/>
      <w:r w:rsidRPr="00A472FC">
        <w:rPr>
          <w:rFonts w:ascii="Times New Roman" w:hAnsi="Times New Roman" w:cs="Times New Roman"/>
          <w:color w:val="000000" w:themeColor="text1"/>
        </w:rPr>
        <w:t>Summist</w:t>
      </w:r>
      <w:proofErr w:type="spellEnd"/>
      <w:r w:rsidRPr="00A472FC">
        <w:rPr>
          <w:rFonts w:ascii="Times New Roman" w:hAnsi="Times New Roman" w:cs="Times New Roman"/>
          <w:color w:val="000000" w:themeColor="text1"/>
        </w:rPr>
        <w:t xml:space="preserve"> clearly departs from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and the Arab view more generally is in affirming that the agent intellect is not a separate substance but subsists in the soul, with the exception of the knowledge of angels and God, which require assistance from angels and God, respectively, as agent intellects.</w:t>
      </w:r>
      <w:r w:rsidRPr="00A472FC">
        <w:rPr>
          <w:rStyle w:val="FootnoteReference"/>
          <w:rFonts w:ascii="Times New Roman" w:hAnsi="Times New Roman" w:cs="Times New Roman"/>
          <w:color w:val="000000" w:themeColor="text1"/>
        </w:rPr>
        <w:footnoteReference w:id="863"/>
      </w:r>
      <w:r w:rsidRPr="00A472FC">
        <w:rPr>
          <w:rFonts w:ascii="Times New Roman" w:hAnsi="Times New Roman" w:cs="Times New Roman"/>
          <w:color w:val="000000" w:themeColor="text1"/>
        </w:rPr>
        <w:t xml:space="preserve"> Although Alexander rejects the idea, well known from Avicenna, of a separate agent intellect, </w:t>
      </w:r>
      <w:proofErr w:type="spellStart"/>
      <w:r w:rsidRPr="00A472FC">
        <w:rPr>
          <w:rFonts w:ascii="Times New Roman" w:hAnsi="Times New Roman" w:cs="Times New Roman"/>
          <w:color w:val="000000" w:themeColor="text1"/>
        </w:rPr>
        <w:t>Rohmer</w:t>
      </w:r>
      <w:proofErr w:type="spellEnd"/>
      <w:r w:rsidRPr="00A472FC">
        <w:rPr>
          <w:rFonts w:ascii="Times New Roman" w:hAnsi="Times New Roman" w:cs="Times New Roman"/>
          <w:color w:val="000000" w:themeColor="text1"/>
        </w:rPr>
        <w:t xml:space="preserve"> insists that he shows no awareness of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idea of a separate possible intellect.</w:t>
      </w:r>
      <w:r w:rsidRPr="00A472FC">
        <w:rPr>
          <w:rStyle w:val="FootnoteReference"/>
          <w:rFonts w:ascii="Times New Roman" w:hAnsi="Times New Roman" w:cs="Times New Roman"/>
          <w:color w:val="000000" w:themeColor="text1"/>
        </w:rPr>
        <w:footnoteReference w:id="864"/>
      </w:r>
    </w:p>
    <w:p w14:paraId="51E105B6" w14:textId="40A4E6FE" w:rsidR="007F19F7" w:rsidRPr="00A472FC" w:rsidRDefault="007F19F7" w:rsidP="00D95817">
      <w:pPr>
        <w:ind w:right="-52"/>
        <w:rPr>
          <w:rFonts w:ascii="Times New Roman" w:hAnsi="Times New Roman" w:cs="Times New Roman"/>
          <w:color w:val="000000" w:themeColor="text1"/>
        </w:rPr>
      </w:pPr>
    </w:p>
    <w:p w14:paraId="54EEAD6B" w14:textId="477F6F9A" w:rsidR="007F19F7" w:rsidRPr="00A472FC" w:rsidRDefault="007F19F7" w:rsidP="00D95817">
      <w:pPr>
        <w:ind w:right="-52" w:firstLine="720"/>
        <w:rPr>
          <w:rFonts w:ascii="Times New Roman" w:hAnsi="Times New Roman" w:cs="Times New Roman"/>
          <w:color w:val="000000" w:themeColor="text1"/>
        </w:rPr>
      </w:pPr>
      <w:r w:rsidRPr="00A472FC">
        <w:rPr>
          <w:rFonts w:ascii="Times New Roman" w:hAnsi="Times New Roman" w:cs="Times New Roman"/>
          <w:noProof/>
          <w:color w:val="000000" w:themeColor="text1"/>
        </w:rPr>
        <w:drawing>
          <wp:inline distT="0" distB="0" distL="0" distR="0" wp14:anchorId="35683144" wp14:editId="1FC79A84">
            <wp:extent cx="4720590" cy="1464353"/>
            <wp:effectExtent l="0" t="2540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14:paraId="7A350FDB" w14:textId="77777777" w:rsidR="00255546" w:rsidRPr="00A472FC" w:rsidRDefault="00255546" w:rsidP="00255546">
      <w:pPr>
        <w:ind w:right="-52"/>
        <w:rPr>
          <w:rFonts w:ascii="Times New Roman" w:hAnsi="Times New Roman" w:cs="Times New Roman"/>
          <w:color w:val="000000" w:themeColor="text1"/>
        </w:rPr>
      </w:pPr>
      <w:r w:rsidRPr="00A472FC">
        <w:rPr>
          <w:rFonts w:ascii="Times New Roman" w:hAnsi="Times New Roman" w:cs="Times New Roman"/>
          <w:color w:val="000000" w:themeColor="text1"/>
        </w:rPr>
        <w:tab/>
        <w:t xml:space="preserve">In a more recent intervention, Bazán points out that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along with virtually all Arab philosophers, their main mediator </w:t>
      </w:r>
      <w:proofErr w:type="spellStart"/>
      <w:r w:rsidRPr="00A472FC">
        <w:rPr>
          <w:rFonts w:ascii="Times New Roman" w:hAnsi="Times New Roman" w:cs="Times New Roman"/>
          <w:color w:val="000000" w:themeColor="text1"/>
        </w:rPr>
        <w:t>Gundissalinus</w:t>
      </w:r>
      <w:proofErr w:type="spellEnd"/>
      <w:r w:rsidRPr="00A472FC">
        <w:rPr>
          <w:rFonts w:ascii="Times New Roman" w:hAnsi="Times New Roman" w:cs="Times New Roman"/>
          <w:color w:val="000000" w:themeColor="text1"/>
        </w:rPr>
        <w:t xml:space="preserve">, and Alexander of </w:t>
      </w:r>
      <w:proofErr w:type="spellStart"/>
      <w:r w:rsidRPr="00A472FC">
        <w:rPr>
          <w:rFonts w:ascii="Times New Roman" w:hAnsi="Times New Roman" w:cs="Times New Roman"/>
          <w:color w:val="000000" w:themeColor="text1"/>
        </w:rPr>
        <w:t>Aphrodisias</w:t>
      </w:r>
      <w:proofErr w:type="spellEnd"/>
      <w:r w:rsidRPr="00A472FC">
        <w:rPr>
          <w:rFonts w:ascii="Times New Roman" w:hAnsi="Times New Roman" w:cs="Times New Roman"/>
          <w:color w:val="000000" w:themeColor="text1"/>
        </w:rPr>
        <w:t>, held that there is a separate agent intellect.</w:t>
      </w:r>
      <w:r w:rsidRPr="00A472FC">
        <w:rPr>
          <w:rStyle w:val="FootnoteReference"/>
          <w:rFonts w:ascii="Times New Roman" w:hAnsi="Times New Roman" w:cs="Times New Roman"/>
          <w:color w:val="000000" w:themeColor="text1"/>
        </w:rPr>
        <w:footnoteReference w:id="865"/>
      </w:r>
      <w:r w:rsidRPr="00A472FC">
        <w:rPr>
          <w:rFonts w:ascii="Times New Roman" w:hAnsi="Times New Roman" w:cs="Times New Roman"/>
          <w:color w:val="000000" w:themeColor="text1"/>
        </w:rPr>
        <w:t xml:space="preserve"> On this basis, he rejects the idea that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could have been the source for the Latin idea that the agent intellect is proper to the soul. In defence of this view, he notes that figures like John </w:t>
      </w:r>
      <w:proofErr w:type="spellStart"/>
      <w:r w:rsidRPr="00A472FC">
        <w:rPr>
          <w:rFonts w:ascii="Times New Roman" w:hAnsi="Times New Roman" w:cs="Times New Roman"/>
          <w:color w:val="000000" w:themeColor="text1"/>
        </w:rPr>
        <w:t>Blund</w:t>
      </w:r>
      <w:proofErr w:type="spellEnd"/>
      <w:r w:rsidRPr="00A472FC">
        <w:rPr>
          <w:rFonts w:ascii="Times New Roman" w:hAnsi="Times New Roman" w:cs="Times New Roman"/>
          <w:color w:val="000000" w:themeColor="text1"/>
        </w:rPr>
        <w:t xml:space="preserve">, Philip the Chancellor, John of La Rochelle, and the author of the </w:t>
      </w:r>
      <w:r w:rsidRPr="00A472FC">
        <w:rPr>
          <w:rFonts w:ascii="Times New Roman" w:hAnsi="Times New Roman" w:cs="Times New Roman"/>
          <w:i/>
          <w:color w:val="000000" w:themeColor="text1"/>
        </w:rPr>
        <w:t xml:space="preserve">Summa </w:t>
      </w:r>
      <w:proofErr w:type="spellStart"/>
      <w:r w:rsidRPr="00A472FC">
        <w:rPr>
          <w:rFonts w:ascii="Times New Roman" w:hAnsi="Times New Roman" w:cs="Times New Roman"/>
          <w:i/>
          <w:color w:val="000000" w:themeColor="text1"/>
        </w:rPr>
        <w:t>Halensis</w:t>
      </w:r>
      <w:proofErr w:type="spellEnd"/>
      <w:r w:rsidRPr="00A472FC">
        <w:rPr>
          <w:rFonts w:ascii="Times New Roman" w:hAnsi="Times New Roman" w:cs="Times New Roman"/>
          <w:iCs/>
          <w:color w:val="000000" w:themeColor="text1"/>
        </w:rPr>
        <w:t xml:space="preserve">, </w:t>
      </w:r>
      <w:r w:rsidRPr="00A472FC">
        <w:rPr>
          <w:rFonts w:ascii="Times New Roman" w:hAnsi="Times New Roman" w:cs="Times New Roman"/>
          <w:color w:val="000000" w:themeColor="text1"/>
        </w:rPr>
        <w:t xml:space="preserve">all of whom held the agent intellect to be a power of the soul, did not attribute this view to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w:t>
      </w:r>
      <w:r w:rsidRPr="00A472FC">
        <w:rPr>
          <w:rStyle w:val="FootnoteReference"/>
          <w:rFonts w:ascii="Times New Roman" w:hAnsi="Times New Roman" w:cs="Times New Roman"/>
          <w:color w:val="000000" w:themeColor="text1"/>
        </w:rPr>
        <w:footnoteReference w:id="866"/>
      </w:r>
    </w:p>
    <w:p w14:paraId="60AE2B49" w14:textId="77777777" w:rsidR="00255546" w:rsidRPr="00A472FC" w:rsidRDefault="00255546" w:rsidP="00255546">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lastRenderedPageBreak/>
        <w:t xml:space="preserve">Although he </w:t>
      </w:r>
      <w:proofErr w:type="spellStart"/>
      <w:r w:rsidRPr="00A472FC">
        <w:rPr>
          <w:rFonts w:ascii="Times New Roman" w:hAnsi="Times New Roman" w:cs="Times New Roman"/>
          <w:color w:val="000000" w:themeColor="text1"/>
        </w:rPr>
        <w:t>recognizes</w:t>
      </w:r>
      <w:proofErr w:type="spellEnd"/>
      <w:r w:rsidRPr="00A472FC">
        <w:rPr>
          <w:rFonts w:ascii="Times New Roman" w:hAnsi="Times New Roman" w:cs="Times New Roman"/>
          <w:color w:val="000000" w:themeColor="text1"/>
        </w:rPr>
        <w:t xml:space="preserve"> that Roger Bacon attributed to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the idea that the agent intellect is the human soul, he argues that Bacon deliberately took the Commentator’s words out of context in order to construct a ‘straw man’ which he could attack in order to support his own view that the agent intellect is a separate substance, namely, God.</w:t>
      </w:r>
      <w:r w:rsidRPr="00A472FC">
        <w:rPr>
          <w:rStyle w:val="FootnoteReference"/>
          <w:rFonts w:ascii="Times New Roman" w:hAnsi="Times New Roman" w:cs="Times New Roman"/>
          <w:color w:val="000000" w:themeColor="text1"/>
        </w:rPr>
        <w:footnoteReference w:id="867"/>
      </w:r>
      <w:r w:rsidRPr="00A472FC">
        <w:rPr>
          <w:rFonts w:ascii="Times New Roman" w:hAnsi="Times New Roman" w:cs="Times New Roman"/>
          <w:color w:val="000000" w:themeColor="text1"/>
        </w:rPr>
        <w:t xml:space="preserve"> As Bazán notes, it was not uncommon at the time for scholastics to manipulate their sources along these lines to achieve ends of their own.</w:t>
      </w:r>
      <w:r w:rsidRPr="00A472FC">
        <w:rPr>
          <w:rStyle w:val="FootnoteReference"/>
          <w:rFonts w:ascii="Times New Roman" w:hAnsi="Times New Roman" w:cs="Times New Roman"/>
          <w:color w:val="000000" w:themeColor="text1"/>
        </w:rPr>
        <w:footnoteReference w:id="868"/>
      </w:r>
      <w:r w:rsidRPr="00A472FC">
        <w:rPr>
          <w:rFonts w:ascii="Times New Roman" w:hAnsi="Times New Roman" w:cs="Times New Roman"/>
          <w:color w:val="000000" w:themeColor="text1"/>
        </w:rPr>
        <w:t xml:space="preserve"> The real source for the view that the agent intellect belongs to the human being alone, in his view, is the distinctly Latin conviction that the soul is a form and </w:t>
      </w:r>
      <w:r w:rsidRPr="00A472FC">
        <w:rPr>
          <w:rFonts w:ascii="Times New Roman" w:hAnsi="Times New Roman" w:cs="Times New Roman"/>
          <w:i/>
          <w:color w:val="000000" w:themeColor="text1"/>
        </w:rPr>
        <w:t xml:space="preserve">hoc </w:t>
      </w:r>
      <w:proofErr w:type="spellStart"/>
      <w:r w:rsidRPr="00A472FC">
        <w:rPr>
          <w:rFonts w:ascii="Times New Roman" w:hAnsi="Times New Roman" w:cs="Times New Roman"/>
          <w:i/>
          <w:color w:val="000000" w:themeColor="text1"/>
        </w:rPr>
        <w:t>aliquid</w:t>
      </w:r>
      <w:proofErr w:type="spellEnd"/>
      <w:r w:rsidRPr="00A472FC">
        <w:rPr>
          <w:rFonts w:ascii="Times New Roman" w:hAnsi="Times New Roman" w:cs="Times New Roman"/>
          <w:color w:val="000000" w:themeColor="text1"/>
        </w:rPr>
        <w:t xml:space="preserve"> that is distinct from the body. </w:t>
      </w:r>
    </w:p>
    <w:p w14:paraId="14BF6A8F" w14:textId="77777777" w:rsidR="00255546" w:rsidRPr="00A472FC" w:rsidRDefault="00255546" w:rsidP="00255546">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As a </w:t>
      </w:r>
      <w:r w:rsidRPr="00A472FC">
        <w:rPr>
          <w:rFonts w:ascii="Times New Roman" w:hAnsi="Times New Roman" w:cs="Times New Roman"/>
          <w:i/>
          <w:color w:val="000000" w:themeColor="text1"/>
        </w:rPr>
        <w:t xml:space="preserve">hoc </w:t>
      </w:r>
      <w:proofErr w:type="spellStart"/>
      <w:r w:rsidRPr="00A472FC">
        <w:rPr>
          <w:rFonts w:ascii="Times New Roman" w:hAnsi="Times New Roman" w:cs="Times New Roman"/>
          <w:i/>
          <w:color w:val="000000" w:themeColor="text1"/>
        </w:rPr>
        <w:t>aliquid</w:t>
      </w:r>
      <w:proofErr w:type="spellEnd"/>
      <w:r w:rsidRPr="00A472FC">
        <w:rPr>
          <w:rFonts w:ascii="Times New Roman" w:hAnsi="Times New Roman" w:cs="Times New Roman"/>
          <w:color w:val="000000" w:themeColor="text1"/>
        </w:rPr>
        <w:t>, or substance in its own right, the soul needed to have what all substances have, namely, matter and form. These are constituted by the agent and possible intellects, which thus belong to the soul itself.</w:t>
      </w:r>
      <w:r w:rsidRPr="00A472FC">
        <w:rPr>
          <w:rStyle w:val="FootnoteReference"/>
          <w:rFonts w:ascii="Times New Roman" w:hAnsi="Times New Roman" w:cs="Times New Roman"/>
          <w:color w:val="000000" w:themeColor="text1"/>
        </w:rPr>
        <w:footnoteReference w:id="869"/>
      </w:r>
      <w:r w:rsidRPr="00A472FC">
        <w:rPr>
          <w:rFonts w:ascii="Times New Roman" w:hAnsi="Times New Roman" w:cs="Times New Roman"/>
          <w:color w:val="000000" w:themeColor="text1"/>
        </w:rPr>
        <w:t xml:space="preserve"> This position, which was commonly held at the early University of Paris, had enough of a foundation in Aristotle and even Avicenna in Bazán’s view that no appeal to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was needed.</w:t>
      </w:r>
      <w:r w:rsidRPr="00A472FC">
        <w:rPr>
          <w:rStyle w:val="FootnoteReference"/>
          <w:rFonts w:ascii="Times New Roman" w:hAnsi="Times New Roman" w:cs="Times New Roman"/>
          <w:color w:val="000000" w:themeColor="text1"/>
        </w:rPr>
        <w:footnoteReference w:id="870"/>
      </w:r>
      <w:r w:rsidRPr="00A472FC">
        <w:rPr>
          <w:rFonts w:ascii="Times New Roman" w:hAnsi="Times New Roman" w:cs="Times New Roman"/>
          <w:color w:val="000000" w:themeColor="text1"/>
        </w:rPr>
        <w:t xml:space="preserve"> As a matter of fact, Bazán sees the idea that the soul is its own agent intellect as an eclectic interpretation of Avicenna, which represents a unique invention of early Latin scholasticism.</w:t>
      </w:r>
      <w:r w:rsidRPr="00A472FC">
        <w:rPr>
          <w:rStyle w:val="FootnoteReference"/>
          <w:rFonts w:ascii="Times New Roman" w:hAnsi="Times New Roman" w:cs="Times New Roman"/>
          <w:color w:val="000000" w:themeColor="text1"/>
        </w:rPr>
        <w:footnoteReference w:id="871"/>
      </w:r>
    </w:p>
    <w:p w14:paraId="0E67BE07" w14:textId="77777777" w:rsidR="00255546" w:rsidRPr="00A472FC" w:rsidRDefault="00255546" w:rsidP="00255546">
      <w:pPr>
        <w:ind w:right="-52"/>
        <w:rPr>
          <w:rFonts w:ascii="Times New Roman" w:hAnsi="Times New Roman" w:cs="Times New Roman"/>
          <w:color w:val="000000" w:themeColor="text1"/>
        </w:rPr>
      </w:pPr>
      <w:r w:rsidRPr="00A472FC">
        <w:rPr>
          <w:rFonts w:ascii="Times New Roman" w:hAnsi="Times New Roman" w:cs="Times New Roman"/>
          <w:color w:val="000000" w:themeColor="text1"/>
        </w:rPr>
        <w:tab/>
        <w:t xml:space="preserve">Although Bazán acknowledges that some references to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can be found in texts from this period, including the </w:t>
      </w:r>
      <w:proofErr w:type="spellStart"/>
      <w:r w:rsidRPr="00A472FC">
        <w:rPr>
          <w:rFonts w:ascii="Times New Roman" w:hAnsi="Times New Roman" w:cs="Times New Roman"/>
          <w:i/>
          <w:iCs/>
          <w:color w:val="000000" w:themeColor="text1"/>
        </w:rPr>
        <w:t>Tractatus</w:t>
      </w:r>
      <w:proofErr w:type="spellEnd"/>
      <w:r w:rsidRPr="00A472FC">
        <w:rPr>
          <w:rFonts w:ascii="Times New Roman" w:hAnsi="Times New Roman" w:cs="Times New Roman"/>
          <w:color w:val="000000" w:themeColor="text1"/>
        </w:rPr>
        <w:t xml:space="preserve"> of John of La Rochelle, he insists that the use of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was merely a tactical move. By making a reference, however brief, to the most important interpretive tool of Aristotle available, early scholastics paid lip service to a new source they may not have understood entirely by associating with him a view they perhaps took to be Aristotle’s own. In Bazán’s view, there is no legitimacy therefore to the idea of ‘First </w:t>
      </w:r>
      <w:proofErr w:type="spellStart"/>
      <w:r w:rsidRPr="00A472FC">
        <w:rPr>
          <w:rFonts w:ascii="Times New Roman" w:hAnsi="Times New Roman" w:cs="Times New Roman"/>
          <w:color w:val="000000" w:themeColor="text1"/>
        </w:rPr>
        <w:t>Averroism</w:t>
      </w:r>
      <w:proofErr w:type="spellEnd"/>
      <w:r w:rsidRPr="00A472FC">
        <w:rPr>
          <w:rFonts w:ascii="Times New Roman" w:hAnsi="Times New Roman" w:cs="Times New Roman"/>
          <w:color w:val="000000" w:themeColor="text1"/>
        </w:rPr>
        <w:t>’</w:t>
      </w:r>
      <w:r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872"/>
      </w:r>
    </w:p>
    <w:p w14:paraId="3CF1D05C" w14:textId="77777777" w:rsidR="00255546" w:rsidRPr="00A472FC" w:rsidRDefault="00255546" w:rsidP="00255546">
      <w:pPr>
        <w:ind w:right="-52"/>
        <w:rPr>
          <w:rFonts w:ascii="Times New Roman" w:hAnsi="Times New Roman" w:cs="Times New Roman"/>
          <w:color w:val="000000" w:themeColor="text1"/>
        </w:rPr>
      </w:pPr>
    </w:p>
    <w:p w14:paraId="23D32DA5" w14:textId="77777777" w:rsidR="00255546" w:rsidRPr="00A472FC" w:rsidRDefault="00255546" w:rsidP="00255546">
      <w:pPr>
        <w:ind w:right="-52"/>
        <w:rPr>
          <w:rFonts w:ascii="Times New Roman" w:hAnsi="Times New Roman" w:cs="Times New Roman"/>
          <w:color w:val="000000" w:themeColor="text1"/>
          <w:u w:val="single"/>
        </w:rPr>
      </w:pPr>
      <w:r w:rsidRPr="00A472FC">
        <w:rPr>
          <w:rFonts w:ascii="Times New Roman" w:hAnsi="Times New Roman" w:cs="Times New Roman"/>
          <w:color w:val="000000" w:themeColor="text1"/>
          <w:u w:val="single"/>
        </w:rPr>
        <w:t xml:space="preserve">‘First </w:t>
      </w:r>
      <w:proofErr w:type="spellStart"/>
      <w:r w:rsidRPr="00A472FC">
        <w:rPr>
          <w:rFonts w:ascii="Times New Roman" w:hAnsi="Times New Roman" w:cs="Times New Roman"/>
          <w:color w:val="000000" w:themeColor="text1"/>
          <w:u w:val="single"/>
        </w:rPr>
        <w:t>Averroism</w:t>
      </w:r>
      <w:proofErr w:type="spellEnd"/>
      <w:r w:rsidRPr="00A472FC">
        <w:rPr>
          <w:rFonts w:ascii="Times New Roman" w:hAnsi="Times New Roman" w:cs="Times New Roman"/>
          <w:color w:val="000000" w:themeColor="text1"/>
          <w:u w:val="single"/>
        </w:rPr>
        <w:t>’ Reconsidered: Anonymous Gauthier, Callus, and Philip the Chancellor</w:t>
      </w:r>
    </w:p>
    <w:p w14:paraId="778ACCB5" w14:textId="77777777" w:rsidR="00255546" w:rsidRPr="00A472FC" w:rsidRDefault="00255546" w:rsidP="00255546">
      <w:pPr>
        <w:ind w:right="-52"/>
        <w:rPr>
          <w:rFonts w:ascii="Times New Roman" w:hAnsi="Times New Roman" w:cs="Times New Roman"/>
          <w:color w:val="000000" w:themeColor="text1"/>
        </w:rPr>
      </w:pPr>
    </w:p>
    <w:p w14:paraId="22DC3DAF" w14:textId="1017620B" w:rsidR="00255546" w:rsidRPr="00A472FC" w:rsidRDefault="00255546" w:rsidP="00255546">
      <w:pPr>
        <w:ind w:right="-52" w:firstLine="720"/>
        <w:rPr>
          <w:rFonts w:ascii="Times New Roman" w:hAnsi="Times New Roman" w:cs="Times New Roman"/>
        </w:rPr>
      </w:pPr>
      <w:r w:rsidRPr="00A472FC">
        <w:rPr>
          <w:rFonts w:ascii="Times New Roman" w:hAnsi="Times New Roman" w:cs="Times New Roman"/>
          <w:color w:val="000000" w:themeColor="text1"/>
        </w:rPr>
        <w:t xml:space="preserve">When Salman originally wrote his articles on First </w:t>
      </w:r>
      <w:proofErr w:type="spellStart"/>
      <w:r w:rsidRPr="00A472FC">
        <w:rPr>
          <w:rFonts w:ascii="Times New Roman" w:hAnsi="Times New Roman" w:cs="Times New Roman"/>
          <w:color w:val="000000" w:themeColor="text1"/>
        </w:rPr>
        <w:t>Averroism</w:t>
      </w:r>
      <w:proofErr w:type="spellEnd"/>
      <w:r w:rsidRPr="00A472FC">
        <w:rPr>
          <w:rFonts w:ascii="Times New Roman" w:hAnsi="Times New Roman" w:cs="Times New Roman"/>
        </w:rPr>
        <w:t xml:space="preserve">, he postulated that there must have been some sort of intermediary between </w:t>
      </w:r>
      <w:proofErr w:type="spellStart"/>
      <w:r w:rsidRPr="00A472FC">
        <w:rPr>
          <w:rFonts w:ascii="Times New Roman" w:hAnsi="Times New Roman" w:cs="Times New Roman"/>
        </w:rPr>
        <w:t>Averroes</w:t>
      </w:r>
      <w:proofErr w:type="spellEnd"/>
      <w:r w:rsidRPr="00A472FC">
        <w:rPr>
          <w:rFonts w:ascii="Times New Roman" w:hAnsi="Times New Roman" w:cs="Times New Roman"/>
        </w:rPr>
        <w:t>, on the one hand, and Philip the Chancellor and John of La Rochelle, on the other, which could explain how they came by the distinction between the corruptible (formal/material) and incorruptible (agent and possible) intellects. At the time, however, he did not know what that source was.</w:t>
      </w:r>
      <w:r w:rsidRPr="00A472FC">
        <w:rPr>
          <w:rStyle w:val="FootnoteReference"/>
          <w:rFonts w:ascii="Times New Roman" w:hAnsi="Times New Roman" w:cs="Times New Roman"/>
        </w:rPr>
        <w:footnoteReference w:id="873"/>
      </w:r>
      <w:r w:rsidRPr="00A472FC">
        <w:rPr>
          <w:rFonts w:ascii="Times New Roman" w:hAnsi="Times New Roman" w:cs="Times New Roman"/>
        </w:rPr>
        <w:t xml:space="preserve"> The answer only came later with the publication of Anonymous Gauthier and Anonymous Callus. The latter particularly is clearly the source for the way that both John and Philip think about the distinction of intellectual powers</w:t>
      </w:r>
      <w:r w:rsidR="00727367" w:rsidRPr="00A472FC">
        <w:rPr>
          <w:rFonts w:ascii="Times New Roman" w:hAnsi="Times New Roman" w:cs="Times New Roman"/>
        </w:rPr>
        <w:t>.</w:t>
      </w:r>
    </w:p>
    <w:p w14:paraId="763714D9" w14:textId="77777777" w:rsidR="00255546" w:rsidRPr="00A472FC" w:rsidRDefault="00255546" w:rsidP="00255546">
      <w:pPr>
        <w:ind w:right="-52" w:firstLine="720"/>
        <w:rPr>
          <w:rFonts w:ascii="Times New Roman" w:hAnsi="Times New Roman" w:cs="Times New Roman"/>
          <w:color w:val="000000" w:themeColor="text1"/>
        </w:rPr>
      </w:pPr>
      <w:r w:rsidRPr="00A472FC">
        <w:rPr>
          <w:rFonts w:ascii="Times New Roman" w:hAnsi="Times New Roman" w:cs="Times New Roman"/>
        </w:rPr>
        <w:t xml:space="preserve">Although John quotes the Callus text explicitly, the key doctrines he extracts from it actually originated in Anonymous Gauthier, which was the earlier of the two texts, although it was edited only after Callus’ edition appeared. </w:t>
      </w:r>
      <w:r w:rsidRPr="00A472FC">
        <w:rPr>
          <w:rFonts w:ascii="Times New Roman" w:hAnsi="Times New Roman" w:cs="Times New Roman"/>
          <w:color w:val="000000" w:themeColor="text1"/>
        </w:rPr>
        <w:t xml:space="preserve">The main differences between the two texts can be explained by the fact that Callus’ was clearly written by a theologian, while Gauthier’s was the work of a master of the arts. This would also explain why John, a theologian, quotes Anonymous Callus rather than Anonymous Gauthier. </w:t>
      </w:r>
      <w:r w:rsidRPr="00A472FC">
        <w:rPr>
          <w:rFonts w:ascii="Times New Roman" w:hAnsi="Times New Roman" w:cs="Times New Roman"/>
        </w:rPr>
        <w:t xml:space="preserve">Although Gauthier himself acknowledges that there is no explicit reference to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in his text, he follows Salman in arguing for an </w:t>
      </w:r>
      <w:proofErr w:type="spellStart"/>
      <w:r w:rsidRPr="00A472FC">
        <w:rPr>
          <w:rFonts w:ascii="Times New Roman" w:hAnsi="Times New Roman" w:cs="Times New Roman"/>
        </w:rPr>
        <w:t>Averroist</w:t>
      </w:r>
      <w:proofErr w:type="spellEnd"/>
      <w:r w:rsidRPr="00A472FC">
        <w:rPr>
          <w:rFonts w:ascii="Times New Roman" w:hAnsi="Times New Roman" w:cs="Times New Roman"/>
        </w:rPr>
        <w:t xml:space="preserve"> influence, which he sees as nowhere more evident than in the three-fold schema </w:t>
      </w:r>
      <w:r w:rsidRPr="00A472FC">
        <w:rPr>
          <w:rFonts w:ascii="Times New Roman" w:hAnsi="Times New Roman" w:cs="Times New Roman"/>
          <w:color w:val="000000" w:themeColor="text1"/>
        </w:rPr>
        <w:t xml:space="preserve">of material (corruptible) and possible/agent (incorruptible) intellect, which his text was the first known source to present, as follows: </w:t>
      </w:r>
    </w:p>
    <w:p w14:paraId="3A27C477" w14:textId="77777777" w:rsidR="00255546" w:rsidRPr="00A472FC" w:rsidRDefault="00255546" w:rsidP="00255546">
      <w:pPr>
        <w:ind w:right="-52"/>
        <w:rPr>
          <w:rFonts w:ascii="Times New Roman" w:hAnsi="Times New Roman" w:cs="Times New Roman"/>
          <w:color w:val="000000" w:themeColor="text1"/>
        </w:rPr>
      </w:pPr>
    </w:p>
    <w:p w14:paraId="22A8D7FB" w14:textId="4AF6F840" w:rsidR="00255546" w:rsidRPr="00A472FC" w:rsidRDefault="00255546" w:rsidP="00255546">
      <w:pPr>
        <w:ind w:left="720" w:right="-52"/>
        <w:rPr>
          <w:rFonts w:ascii="Times New Roman" w:hAnsi="Times New Roman" w:cs="Times New Roman"/>
          <w:color w:val="000000" w:themeColor="text1"/>
        </w:rPr>
      </w:pPr>
      <w:r w:rsidRPr="00A472FC">
        <w:rPr>
          <w:rFonts w:ascii="Times New Roman" w:hAnsi="Times New Roman" w:cs="Times New Roman"/>
          <w:color w:val="000000" w:themeColor="text1"/>
        </w:rPr>
        <w:t>The rational soul has two parts: one that is inseparable from the body and another that is separable from it. The inseparable part is called rationality, by which the human is called rational. And this is also called the material intellect, which Aristotle described as passible and corruptible. This power is a medium between the sensible power and the separable intellect; for the sensible power concerns phantasms, but the separable intellect concerns species; thus the material intellect considers species in phantasms, so that it apprehends the species with accidents</w:t>
      </w:r>
      <w:r w:rsidR="003C560F" w:rsidRPr="00A472FC">
        <w:rPr>
          <w:rFonts w:ascii="Times New Roman" w:hAnsi="Times New Roman" w:cs="Times New Roman"/>
          <w:color w:val="000000" w:themeColor="text1"/>
        </w:rPr>
        <w:t xml:space="preserve"> and distinguishes between the species and accidents, nevertheless not abstrac</w:t>
      </w:r>
      <w:r w:rsidR="00126125" w:rsidRPr="00A472FC">
        <w:rPr>
          <w:rFonts w:ascii="Times New Roman" w:hAnsi="Times New Roman" w:cs="Times New Roman"/>
          <w:color w:val="000000" w:themeColor="text1"/>
        </w:rPr>
        <w:t>ti</w:t>
      </w:r>
      <w:r w:rsidR="003C560F" w:rsidRPr="00A472FC">
        <w:rPr>
          <w:rFonts w:ascii="Times New Roman" w:hAnsi="Times New Roman" w:cs="Times New Roman"/>
          <w:color w:val="000000" w:themeColor="text1"/>
        </w:rPr>
        <w:t>ng them but</w:t>
      </w:r>
      <w:r w:rsidRPr="00A472FC">
        <w:rPr>
          <w:rFonts w:ascii="Times New Roman" w:hAnsi="Times New Roman" w:cs="Times New Roman"/>
          <w:color w:val="000000" w:themeColor="text1"/>
        </w:rPr>
        <w:t xml:space="preserve"> preparing the species </w:t>
      </w:r>
      <w:r w:rsidR="003C560F" w:rsidRPr="00A472FC">
        <w:rPr>
          <w:rFonts w:ascii="Times New Roman" w:hAnsi="Times New Roman" w:cs="Times New Roman"/>
          <w:color w:val="000000" w:themeColor="text1"/>
        </w:rPr>
        <w:t xml:space="preserve">‘as matter’ </w:t>
      </w:r>
      <w:r w:rsidRPr="00A472FC">
        <w:rPr>
          <w:rFonts w:ascii="Times New Roman" w:hAnsi="Times New Roman" w:cs="Times New Roman"/>
          <w:color w:val="000000" w:themeColor="text1"/>
        </w:rPr>
        <w:t>for the separable intellect.</w:t>
      </w:r>
      <w:r w:rsidRPr="00A472FC">
        <w:rPr>
          <w:rStyle w:val="FootnoteReference"/>
          <w:rFonts w:ascii="Times New Roman" w:hAnsi="Times New Roman" w:cs="Times New Roman"/>
          <w:color w:val="000000" w:themeColor="text1"/>
        </w:rPr>
        <w:footnoteReference w:id="874"/>
      </w:r>
    </w:p>
    <w:p w14:paraId="42728E5A" w14:textId="77777777" w:rsidR="00255546" w:rsidRPr="00A472FC" w:rsidRDefault="00255546" w:rsidP="00255546">
      <w:pPr>
        <w:ind w:left="720" w:right="-52"/>
        <w:rPr>
          <w:rFonts w:ascii="Times New Roman" w:hAnsi="Times New Roman" w:cs="Times New Roman"/>
          <w:color w:val="000000" w:themeColor="text1"/>
        </w:rPr>
      </w:pPr>
    </w:p>
    <w:p w14:paraId="3FCBE830" w14:textId="7D535B07" w:rsidR="00255546" w:rsidRPr="00A472FC" w:rsidRDefault="00255546" w:rsidP="00255546">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The further description of the separable intellect, which Anonymous Gauthier insists includes the agent and possible intellects, sounds very similar to what we have </w:t>
      </w:r>
      <w:r w:rsidR="00F508F1" w:rsidRPr="00A472FC">
        <w:rPr>
          <w:rFonts w:ascii="Times New Roman" w:hAnsi="Times New Roman" w:cs="Times New Roman"/>
          <w:color w:val="000000" w:themeColor="text1"/>
        </w:rPr>
        <w:t>found in</w:t>
      </w:r>
      <w:r w:rsidRPr="00A472FC">
        <w:rPr>
          <w:rFonts w:ascii="Times New Roman" w:hAnsi="Times New Roman" w:cs="Times New Roman"/>
          <w:color w:val="000000" w:themeColor="text1"/>
        </w:rPr>
        <w:t xml:space="preserve"> John of La Rochelle. The possible intellect ‘is a blank slate which has no pictures </w:t>
      </w:r>
      <w:r w:rsidR="009C7644" w:rsidRPr="00A472FC">
        <w:rPr>
          <w:rFonts w:ascii="Times New Roman" w:hAnsi="Times New Roman" w:cs="Times New Roman"/>
          <w:color w:val="000000" w:themeColor="text1"/>
        </w:rPr>
        <w:t>and not even a greater</w:t>
      </w:r>
      <w:r w:rsidRPr="00A472FC">
        <w:rPr>
          <w:rFonts w:ascii="Times New Roman" w:hAnsi="Times New Roman" w:cs="Times New Roman"/>
          <w:color w:val="000000" w:themeColor="text1"/>
        </w:rPr>
        <w:t xml:space="preserve"> aptitude </w:t>
      </w:r>
      <w:r w:rsidR="00B144FB" w:rsidRPr="00A472FC">
        <w:rPr>
          <w:rFonts w:ascii="Times New Roman" w:hAnsi="Times New Roman" w:cs="Times New Roman"/>
          <w:color w:val="000000" w:themeColor="text1"/>
        </w:rPr>
        <w:t>to [receive] one rather than another, though it is capable of receiving any of them</w:t>
      </w:r>
      <w:r w:rsidRPr="00A472FC">
        <w:rPr>
          <w:rFonts w:ascii="Times New Roman" w:hAnsi="Times New Roman" w:cs="Times New Roman"/>
          <w:color w:val="000000" w:themeColor="text1"/>
        </w:rPr>
        <w:t>.’</w:t>
      </w:r>
      <w:r w:rsidRPr="00A472FC">
        <w:rPr>
          <w:rStyle w:val="FootnoteReference"/>
          <w:rFonts w:ascii="Times New Roman" w:hAnsi="Times New Roman" w:cs="Times New Roman"/>
          <w:color w:val="000000" w:themeColor="text1"/>
        </w:rPr>
        <w:footnoteReference w:id="875"/>
      </w:r>
      <w:r w:rsidRPr="00A472FC">
        <w:rPr>
          <w:rFonts w:ascii="Times New Roman" w:hAnsi="Times New Roman" w:cs="Times New Roman"/>
          <w:color w:val="000000" w:themeColor="text1"/>
        </w:rPr>
        <w:t xml:space="preserve"> As he elaborates:</w:t>
      </w:r>
    </w:p>
    <w:p w14:paraId="0C975CF2" w14:textId="77777777" w:rsidR="00255546" w:rsidRPr="00A472FC" w:rsidRDefault="00255546" w:rsidP="00255546">
      <w:pPr>
        <w:ind w:right="-52" w:firstLine="720"/>
        <w:rPr>
          <w:rFonts w:ascii="Times New Roman" w:hAnsi="Times New Roman" w:cs="Times New Roman"/>
          <w:color w:val="000000" w:themeColor="text1"/>
        </w:rPr>
      </w:pPr>
    </w:p>
    <w:p w14:paraId="25D56BC9" w14:textId="0E9BB752" w:rsidR="00255546" w:rsidRPr="00A472FC" w:rsidRDefault="00255546" w:rsidP="00255546">
      <w:pPr>
        <w:ind w:left="720" w:right="-52"/>
        <w:rPr>
          <w:rFonts w:ascii="Times New Roman" w:hAnsi="Times New Roman" w:cs="Times New Roman"/>
          <w:color w:val="000000" w:themeColor="text1"/>
        </w:rPr>
      </w:pPr>
      <w:r w:rsidRPr="00A472FC">
        <w:rPr>
          <w:rFonts w:ascii="Times New Roman" w:hAnsi="Times New Roman" w:cs="Times New Roman"/>
          <w:color w:val="000000" w:themeColor="text1"/>
        </w:rPr>
        <w:t xml:space="preserve">The relation of the agent to the possible intellect is like that of light to vision. </w:t>
      </w:r>
      <w:r w:rsidRPr="00A472FC">
        <w:rPr>
          <w:rFonts w:ascii="Times New Roman" w:hAnsi="Times New Roman" w:cs="Times New Roman"/>
          <w:lang w:val="en-US"/>
        </w:rPr>
        <w:t xml:space="preserve">As the light ensures that </w:t>
      </w:r>
      <w:r w:rsidR="004871A8" w:rsidRPr="00A472FC">
        <w:rPr>
          <w:rFonts w:ascii="Times New Roman" w:hAnsi="Times New Roman" w:cs="Times New Roman"/>
          <w:lang w:val="en-US"/>
        </w:rPr>
        <w:t>the species of</w:t>
      </w:r>
      <w:r w:rsidRPr="00A472FC">
        <w:rPr>
          <w:rFonts w:ascii="Times New Roman" w:hAnsi="Times New Roman" w:cs="Times New Roman"/>
          <w:lang w:val="en-US"/>
        </w:rPr>
        <w:t xml:space="preserve"> color </w:t>
      </w:r>
      <w:r w:rsidR="000A343D" w:rsidRPr="00A472FC">
        <w:rPr>
          <w:rFonts w:ascii="Times New Roman" w:hAnsi="Times New Roman" w:cs="Times New Roman"/>
          <w:lang w:val="en-US"/>
        </w:rPr>
        <w:t>‘jump’ from a</w:t>
      </w:r>
      <w:r w:rsidRPr="00A472FC">
        <w:rPr>
          <w:rFonts w:ascii="Times New Roman" w:hAnsi="Times New Roman" w:cs="Times New Roman"/>
          <w:lang w:val="en-US"/>
        </w:rPr>
        <w:t xml:space="preserve"> colored [object]</w:t>
      </w:r>
      <w:r w:rsidR="000A343D" w:rsidRPr="00A472FC">
        <w:rPr>
          <w:rFonts w:ascii="Times New Roman" w:hAnsi="Times New Roman" w:cs="Times New Roman"/>
          <w:lang w:val="en-US"/>
        </w:rPr>
        <w:t xml:space="preserve"> to the eye</w:t>
      </w:r>
      <w:r w:rsidRPr="00A472FC">
        <w:rPr>
          <w:rFonts w:ascii="Times New Roman" w:hAnsi="Times New Roman" w:cs="Times New Roman"/>
          <w:lang w:val="en-US"/>
        </w:rPr>
        <w:t xml:space="preserve">, </w:t>
      </w:r>
      <w:r w:rsidRPr="00A472FC">
        <w:rPr>
          <w:rFonts w:ascii="Times New Roman" w:hAnsi="Times New Roman" w:cs="Times New Roman"/>
          <w:color w:val="000000" w:themeColor="text1"/>
        </w:rPr>
        <w:t>so the agent intellect abstracts species from phantasms, which the material intellect has prepared for it, and makes them in a certain way to appear subsequently in the possible intellect. Thus the act of the agent intellect is twofold: one is to abstract species from phantasms and the other is to ordain abstracted species in the possible intellect.</w:t>
      </w:r>
      <w:r w:rsidRPr="00A472FC">
        <w:rPr>
          <w:rStyle w:val="FootnoteReference"/>
          <w:rFonts w:ascii="Times New Roman" w:hAnsi="Times New Roman" w:cs="Times New Roman"/>
          <w:color w:val="000000" w:themeColor="text1"/>
        </w:rPr>
        <w:footnoteReference w:id="876"/>
      </w:r>
    </w:p>
    <w:p w14:paraId="0794B685" w14:textId="77777777" w:rsidR="00255546" w:rsidRPr="00A472FC" w:rsidRDefault="00255546" w:rsidP="00255546">
      <w:pPr>
        <w:ind w:right="-52"/>
        <w:rPr>
          <w:rFonts w:ascii="Times New Roman" w:hAnsi="Times New Roman" w:cs="Times New Roman"/>
          <w:color w:val="000000" w:themeColor="text1"/>
        </w:rPr>
      </w:pPr>
    </w:p>
    <w:p w14:paraId="6F2ABE24" w14:textId="77777777" w:rsidR="00255546" w:rsidRPr="00A472FC" w:rsidRDefault="00255546" w:rsidP="00255546">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In this connection, Anonymous Gauthier insists that the separable intellect belongs to the human soul, and states explicitly that Avicenna had erred in denying this. In Gauthier’s opinion, this reinforces Salman’s claims about a ‘First </w:t>
      </w:r>
      <w:proofErr w:type="spellStart"/>
      <w:r w:rsidRPr="00A472FC">
        <w:rPr>
          <w:rFonts w:ascii="Times New Roman" w:hAnsi="Times New Roman" w:cs="Times New Roman"/>
          <w:color w:val="000000" w:themeColor="text1"/>
        </w:rPr>
        <w:t>Averroism</w:t>
      </w:r>
      <w:proofErr w:type="spellEnd"/>
      <w:r w:rsidRPr="00A472FC">
        <w:rPr>
          <w:rFonts w:ascii="Times New Roman" w:hAnsi="Times New Roman" w:cs="Times New Roman"/>
          <w:color w:val="000000" w:themeColor="text1"/>
        </w:rPr>
        <w:t xml:space="preserve">’, which identifies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as the source of the notion that the intellect is part of the soul rather than separate from it.</w:t>
      </w:r>
      <w:r w:rsidRPr="00A472FC">
        <w:rPr>
          <w:rStyle w:val="FootnoteReference"/>
          <w:rFonts w:ascii="Times New Roman" w:hAnsi="Times New Roman" w:cs="Times New Roman"/>
          <w:color w:val="000000" w:themeColor="text1"/>
        </w:rPr>
        <w:footnoteReference w:id="877"/>
      </w:r>
      <w:r w:rsidRPr="00A472FC">
        <w:rPr>
          <w:rFonts w:ascii="Times New Roman" w:hAnsi="Times New Roman" w:cs="Times New Roman"/>
          <w:color w:val="000000" w:themeColor="text1"/>
        </w:rPr>
        <w:t xml:space="preserve"> According to Gauthier, his anonymous text, written around 1225, was the first Latin work to advocate this opinion, which required him to posit 1225 rather than 1230 as the date of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introduction in Paris.</w:t>
      </w:r>
      <w:r w:rsidRPr="00A472FC">
        <w:rPr>
          <w:rStyle w:val="FootnoteReference"/>
          <w:rFonts w:ascii="Times New Roman" w:hAnsi="Times New Roman" w:cs="Times New Roman"/>
          <w:color w:val="000000" w:themeColor="text1"/>
        </w:rPr>
        <w:footnoteReference w:id="878"/>
      </w:r>
      <w:r w:rsidRPr="00A472FC">
        <w:rPr>
          <w:rFonts w:ascii="Times New Roman" w:hAnsi="Times New Roman" w:cs="Times New Roman"/>
          <w:color w:val="000000" w:themeColor="text1"/>
        </w:rPr>
        <w:t xml:space="preserve"> Following Salman, he names William of Auvergne, Adam of Buckfield, Roger Bacon, and Albert the Great, among those who associate this position </w:t>
      </w:r>
      <w:r w:rsidRPr="00A472FC">
        <w:rPr>
          <w:rFonts w:ascii="Times New Roman" w:hAnsi="Times New Roman" w:cs="Times New Roman"/>
          <w:color w:val="000000" w:themeColor="text1"/>
        </w:rPr>
        <w:lastRenderedPageBreak/>
        <w:t xml:space="preserve">with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either in order to reject it or to accept it.</w:t>
      </w:r>
      <w:r w:rsidRPr="00A472FC">
        <w:rPr>
          <w:rStyle w:val="FootnoteReference"/>
          <w:rFonts w:ascii="Times New Roman" w:hAnsi="Times New Roman" w:cs="Times New Roman"/>
          <w:color w:val="000000" w:themeColor="text1"/>
        </w:rPr>
        <w:footnoteReference w:id="879"/>
      </w:r>
      <w:r w:rsidRPr="00A472FC">
        <w:rPr>
          <w:rFonts w:ascii="Times New Roman" w:hAnsi="Times New Roman" w:cs="Times New Roman"/>
          <w:color w:val="000000" w:themeColor="text1"/>
        </w:rPr>
        <w:t xml:space="preserve"> As he illustrates, William of Auvergne clearly thinks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 holds that the agent intellect belongs to the soul, and he rejects that view in favour of the more </w:t>
      </w:r>
      <w:proofErr w:type="spellStart"/>
      <w:r w:rsidRPr="00A472FC">
        <w:rPr>
          <w:rFonts w:ascii="Times New Roman" w:hAnsi="Times New Roman" w:cs="Times New Roman"/>
          <w:color w:val="000000" w:themeColor="text1"/>
        </w:rPr>
        <w:t>Avicennian</w:t>
      </w:r>
      <w:proofErr w:type="spellEnd"/>
      <w:r w:rsidRPr="00A472FC">
        <w:rPr>
          <w:rFonts w:ascii="Times New Roman" w:hAnsi="Times New Roman" w:cs="Times New Roman"/>
          <w:color w:val="000000" w:themeColor="text1"/>
        </w:rPr>
        <w:t xml:space="preserve"> idea that God is the Agent Intellect.</w:t>
      </w:r>
      <w:r w:rsidRPr="00A472FC">
        <w:rPr>
          <w:rStyle w:val="FootnoteReference"/>
          <w:rFonts w:ascii="Times New Roman" w:hAnsi="Times New Roman" w:cs="Times New Roman"/>
          <w:color w:val="000000" w:themeColor="text1"/>
        </w:rPr>
        <w:footnoteReference w:id="880"/>
      </w:r>
    </w:p>
    <w:p w14:paraId="55CD6343" w14:textId="77777777" w:rsidR="00255546" w:rsidRPr="00A472FC" w:rsidRDefault="00255546" w:rsidP="00255546">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Interestingly, Daniel Callus, the editor of a text similar to Gauthier’s, comes to the opposite conclusion about the influence of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To Gauthier’s dismay, he denied that there is any evidence of this influence.</w:t>
      </w:r>
      <w:r w:rsidRPr="00A472FC">
        <w:rPr>
          <w:rStyle w:val="FootnoteReference"/>
          <w:rFonts w:ascii="Times New Roman" w:hAnsi="Times New Roman" w:cs="Times New Roman"/>
          <w:color w:val="000000" w:themeColor="text1"/>
        </w:rPr>
        <w:footnoteReference w:id="881"/>
      </w:r>
      <w:r w:rsidRPr="00A472FC">
        <w:rPr>
          <w:rFonts w:ascii="Times New Roman" w:hAnsi="Times New Roman" w:cs="Times New Roman"/>
          <w:color w:val="000000" w:themeColor="text1"/>
        </w:rPr>
        <w:t xml:space="preserve"> While Callus himself suggested a date of 1220-30 for his text, Gauthier believed it was written between 1228-32, because it possibly exhibits the influence of Alexander of Hales’ treatment of the irascible and </w:t>
      </w:r>
      <w:proofErr w:type="spellStart"/>
      <w:r w:rsidRPr="00A472FC">
        <w:rPr>
          <w:rFonts w:ascii="Times New Roman" w:hAnsi="Times New Roman" w:cs="Times New Roman"/>
          <w:color w:val="000000" w:themeColor="text1"/>
        </w:rPr>
        <w:t>concupiscible</w:t>
      </w:r>
      <w:proofErr w:type="spellEnd"/>
      <w:r w:rsidRPr="00A472FC">
        <w:rPr>
          <w:rFonts w:ascii="Times New Roman" w:hAnsi="Times New Roman" w:cs="Times New Roman"/>
          <w:color w:val="000000" w:themeColor="text1"/>
        </w:rPr>
        <w:t xml:space="preserve"> powers in his Gloss on Lombard’s </w:t>
      </w:r>
      <w:r w:rsidRPr="00A472FC">
        <w:rPr>
          <w:rFonts w:ascii="Times New Roman" w:hAnsi="Times New Roman" w:cs="Times New Roman"/>
          <w:i/>
          <w:color w:val="000000" w:themeColor="text1"/>
        </w:rPr>
        <w:t>Sentences</w:t>
      </w:r>
      <w:r w:rsidRPr="00A472FC">
        <w:rPr>
          <w:rFonts w:ascii="Times New Roman" w:hAnsi="Times New Roman" w:cs="Times New Roman"/>
          <w:color w:val="000000" w:themeColor="text1"/>
        </w:rPr>
        <w:t>, which was completed between 1222-27.</w:t>
      </w:r>
      <w:r w:rsidRPr="00A472FC">
        <w:rPr>
          <w:rStyle w:val="FootnoteReference"/>
          <w:rFonts w:ascii="Times New Roman" w:hAnsi="Times New Roman" w:cs="Times New Roman"/>
          <w:color w:val="000000" w:themeColor="text1"/>
        </w:rPr>
        <w:footnoteReference w:id="882"/>
      </w:r>
      <w:r w:rsidRPr="00A472FC">
        <w:rPr>
          <w:rFonts w:ascii="Times New Roman" w:hAnsi="Times New Roman" w:cs="Times New Roman"/>
          <w:color w:val="000000" w:themeColor="text1"/>
        </w:rPr>
        <w:t xml:space="preserve"> Following the Gauthier text, Anonymous Callus elaborates the division between the passible-corruptible and impassible-incorruptible intellect that Philip and John attributed to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w:t>
      </w:r>
    </w:p>
    <w:p w14:paraId="4365E8AB" w14:textId="77777777" w:rsidR="00255546" w:rsidRPr="00A472FC" w:rsidRDefault="00255546" w:rsidP="00255546">
      <w:pPr>
        <w:ind w:right="-52"/>
        <w:rPr>
          <w:rFonts w:ascii="Times New Roman" w:hAnsi="Times New Roman" w:cs="Times New Roman"/>
          <w:color w:val="000000" w:themeColor="text1"/>
        </w:rPr>
      </w:pPr>
    </w:p>
    <w:p w14:paraId="379BAE1B" w14:textId="4C3717D6" w:rsidR="00255546" w:rsidRPr="00A472FC" w:rsidRDefault="0077036F" w:rsidP="00255546">
      <w:pPr>
        <w:autoSpaceDE w:val="0"/>
        <w:autoSpaceDN w:val="0"/>
        <w:adjustRightInd w:val="0"/>
        <w:ind w:left="720" w:right="-52"/>
        <w:rPr>
          <w:rFonts w:ascii="Times New Roman" w:hAnsi="Times New Roman" w:cs="Times New Roman"/>
        </w:rPr>
      </w:pPr>
      <w:r w:rsidRPr="00A472FC">
        <w:rPr>
          <w:rFonts w:ascii="Times New Roman" w:hAnsi="Times New Roman" w:cs="Times New Roman"/>
        </w:rPr>
        <w:t>Let us speak</w:t>
      </w:r>
      <w:r w:rsidR="00255546" w:rsidRPr="00A472FC">
        <w:rPr>
          <w:rFonts w:ascii="Times New Roman" w:hAnsi="Times New Roman" w:cs="Times New Roman"/>
        </w:rPr>
        <w:t xml:space="preserve"> first of the first power in the order of the rational soul, namely, the material intellect, which is described in the </w:t>
      </w:r>
      <w:r w:rsidR="00255546" w:rsidRPr="00A472FC">
        <w:rPr>
          <w:rFonts w:ascii="Times New Roman" w:hAnsi="Times New Roman" w:cs="Times New Roman"/>
          <w:i/>
        </w:rPr>
        <w:t xml:space="preserve">De anima </w:t>
      </w:r>
      <w:r w:rsidR="00255546" w:rsidRPr="00A472FC">
        <w:rPr>
          <w:rFonts w:ascii="Times New Roman" w:hAnsi="Times New Roman" w:cs="Times New Roman"/>
        </w:rPr>
        <w:t xml:space="preserve">as passive and corruptible. This receives the intelligible species in phantasms. This power is necessary so that the separable intellect can understand intelligible species abstracted from matter. However, this power never pertains to the rational soul except insofar as it is joined to the body. This [power] is nevertheless called rationality or reason because it is able to receive universals in particulars, </w:t>
      </w:r>
      <w:r w:rsidR="008E0CAC" w:rsidRPr="00A472FC">
        <w:rPr>
          <w:rFonts w:ascii="Times New Roman" w:hAnsi="Times New Roman" w:cs="Times New Roman"/>
        </w:rPr>
        <w:t>but not</w:t>
      </w:r>
      <w:r w:rsidR="00255546" w:rsidRPr="00A472FC">
        <w:rPr>
          <w:rFonts w:ascii="Times New Roman" w:hAnsi="Times New Roman" w:cs="Times New Roman"/>
        </w:rPr>
        <w:t xml:space="preserve"> universals through the mode of universals</w:t>
      </w:r>
      <w:r w:rsidR="008056C0" w:rsidRPr="00A472FC">
        <w:rPr>
          <w:rFonts w:ascii="Times New Roman" w:hAnsi="Times New Roman" w:cs="Times New Roman"/>
        </w:rPr>
        <w:t xml:space="preserve"> nor</w:t>
      </w:r>
      <w:r w:rsidR="00255546" w:rsidRPr="00A472FC">
        <w:rPr>
          <w:rFonts w:ascii="Times New Roman" w:hAnsi="Times New Roman" w:cs="Times New Roman"/>
        </w:rPr>
        <w:t xml:space="preserve"> particulars through the mode of particulars. This therefore is the power that is inseparable from the body, namely, the passible intellect, which receives species abstracted from the body.</w:t>
      </w:r>
      <w:r w:rsidR="00255546" w:rsidRPr="00A472FC">
        <w:rPr>
          <w:rStyle w:val="FootnoteReference"/>
          <w:rFonts w:ascii="Times New Roman" w:hAnsi="Times New Roman" w:cs="Times New Roman"/>
        </w:rPr>
        <w:footnoteReference w:id="883"/>
      </w:r>
    </w:p>
    <w:p w14:paraId="6A730E4F" w14:textId="77777777" w:rsidR="00255546" w:rsidRPr="00A472FC" w:rsidRDefault="00255546" w:rsidP="00255546">
      <w:pPr>
        <w:ind w:right="-52"/>
        <w:rPr>
          <w:rFonts w:ascii="Times New Roman" w:hAnsi="Times New Roman" w:cs="Times New Roman"/>
          <w:color w:val="000000" w:themeColor="text1"/>
        </w:rPr>
      </w:pPr>
    </w:p>
    <w:p w14:paraId="5AF8D7FF" w14:textId="2D80F79A" w:rsidR="00255546" w:rsidRPr="00A472FC" w:rsidRDefault="00255546" w:rsidP="00255546">
      <w:pPr>
        <w:autoSpaceDE w:val="0"/>
        <w:autoSpaceDN w:val="0"/>
        <w:adjustRightInd w:val="0"/>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After describing the work of the material intellect, Anonymous Callus like Anonymous Gauthier states that ‘there is an intellect, </w:t>
      </w:r>
      <w:r w:rsidRPr="00A472FC">
        <w:rPr>
          <w:rFonts w:ascii="Times New Roman" w:hAnsi="Times New Roman" w:cs="Times New Roman"/>
        </w:rPr>
        <w:t xml:space="preserve">which is separable from the body, which </w:t>
      </w:r>
      <w:r w:rsidR="00A265BE" w:rsidRPr="00A472FC">
        <w:rPr>
          <w:rFonts w:ascii="Times New Roman" w:hAnsi="Times New Roman" w:cs="Times New Roman"/>
        </w:rPr>
        <w:t>is of two</w:t>
      </w:r>
      <w:r w:rsidRPr="00A472FC">
        <w:rPr>
          <w:rFonts w:ascii="Times New Roman" w:hAnsi="Times New Roman" w:cs="Times New Roman"/>
        </w:rPr>
        <w:t xml:space="preserve"> </w:t>
      </w:r>
      <w:r w:rsidR="00E47745">
        <w:rPr>
          <w:rFonts w:ascii="Times New Roman" w:hAnsi="Times New Roman" w:cs="Times New Roman"/>
        </w:rPr>
        <w:t>different</w:t>
      </w:r>
      <w:r w:rsidR="00A265BE" w:rsidRPr="00A472FC">
        <w:rPr>
          <w:rFonts w:ascii="Times New Roman" w:hAnsi="Times New Roman" w:cs="Times New Roman"/>
        </w:rPr>
        <w:t xml:space="preserve"> types</w:t>
      </w:r>
      <w:r w:rsidRPr="00A472FC">
        <w:rPr>
          <w:rFonts w:ascii="Times New Roman" w:hAnsi="Times New Roman" w:cs="Times New Roman"/>
        </w:rPr>
        <w:t xml:space="preserve">: the agent and the possible intellect. The agent intellect </w:t>
      </w:r>
      <w:r w:rsidR="005A0CE1" w:rsidRPr="00A472FC">
        <w:rPr>
          <w:rFonts w:ascii="Times New Roman" w:hAnsi="Times New Roman" w:cs="Times New Roman"/>
        </w:rPr>
        <w:t>is related</w:t>
      </w:r>
      <w:r w:rsidRPr="00A472FC">
        <w:rPr>
          <w:rFonts w:ascii="Times New Roman" w:hAnsi="Times New Roman" w:cs="Times New Roman"/>
        </w:rPr>
        <w:t xml:space="preserve"> to the possible as light is to vision. There is however a difference in that light is separate from the substance of vision, but the agent intellect is not separate from the substance of the soul.’</w:t>
      </w:r>
      <w:r w:rsidRPr="00A472FC">
        <w:rPr>
          <w:rStyle w:val="FootnoteReference"/>
          <w:rFonts w:ascii="Times New Roman" w:hAnsi="Times New Roman" w:cs="Times New Roman"/>
        </w:rPr>
        <w:footnoteReference w:id="884"/>
      </w:r>
      <w:r w:rsidRPr="00A472FC">
        <w:rPr>
          <w:rFonts w:ascii="Times New Roman" w:hAnsi="Times New Roman" w:cs="Times New Roman"/>
          <w:color w:val="000000" w:themeColor="text1"/>
        </w:rPr>
        <w:t xml:space="preserve"> Like Anonymous Gauthier, consequently, Anonymous Callus rejects the idea of certain philosophers (‘</w:t>
      </w:r>
      <w:proofErr w:type="spellStart"/>
      <w:r w:rsidRPr="00A472FC">
        <w:rPr>
          <w:rFonts w:ascii="Times New Roman" w:hAnsi="Times New Roman" w:cs="Times New Roman"/>
          <w:i/>
          <w:color w:val="000000" w:themeColor="text1"/>
        </w:rPr>
        <w:t>quidam</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philosophorum</w:t>
      </w:r>
      <w:proofErr w:type="spellEnd"/>
      <w:r w:rsidRPr="00A472FC">
        <w:rPr>
          <w:rFonts w:ascii="Times New Roman" w:hAnsi="Times New Roman" w:cs="Times New Roman"/>
          <w:color w:val="000000" w:themeColor="text1"/>
        </w:rPr>
        <w:t>’) who said that the agent intellect is a separate substance from the soul.</w:t>
      </w:r>
      <w:r w:rsidRPr="00A472FC">
        <w:rPr>
          <w:rStyle w:val="FootnoteReference"/>
          <w:rFonts w:ascii="Times New Roman" w:hAnsi="Times New Roman" w:cs="Times New Roman"/>
          <w:color w:val="000000" w:themeColor="text1"/>
        </w:rPr>
        <w:footnoteReference w:id="885"/>
      </w:r>
      <w:r w:rsidRPr="00A472FC">
        <w:rPr>
          <w:rFonts w:ascii="Times New Roman" w:hAnsi="Times New Roman" w:cs="Times New Roman"/>
          <w:color w:val="000000" w:themeColor="text1"/>
        </w:rPr>
        <w:t xml:space="preserve"> </w:t>
      </w:r>
      <w:r w:rsidRPr="00A472FC">
        <w:rPr>
          <w:rFonts w:ascii="Times New Roman" w:hAnsi="Times New Roman" w:cs="Times New Roman"/>
        </w:rPr>
        <w:t xml:space="preserve">In affirming this, Anonymous Callus insists, as had Anonymous Gauthier, against Avicenna, and before him, </w:t>
      </w:r>
      <w:proofErr w:type="spellStart"/>
      <w:r w:rsidRPr="00A472FC">
        <w:rPr>
          <w:rFonts w:ascii="Times New Roman" w:hAnsi="Times New Roman" w:cs="Times New Roman"/>
        </w:rPr>
        <w:t>Alfarabi</w:t>
      </w:r>
      <w:proofErr w:type="spellEnd"/>
      <w:r w:rsidRPr="00A472FC">
        <w:rPr>
          <w:rFonts w:ascii="Times New Roman" w:hAnsi="Times New Roman" w:cs="Times New Roman"/>
        </w:rPr>
        <w:t xml:space="preserve">, that there is no separate agent intellect which works on behalf of the human mind, which in turn stands only in a relationship of </w:t>
      </w:r>
      <w:r w:rsidRPr="00A472FC">
        <w:rPr>
          <w:rFonts w:ascii="Times New Roman" w:hAnsi="Times New Roman" w:cs="Times New Roman"/>
        </w:rPr>
        <w:lastRenderedPageBreak/>
        <w:t>possibility to it.</w:t>
      </w:r>
      <w:r w:rsidRPr="00A472FC">
        <w:rPr>
          <w:rStyle w:val="FootnoteReference"/>
          <w:rFonts w:ascii="Times New Roman" w:hAnsi="Times New Roman" w:cs="Times New Roman"/>
        </w:rPr>
        <w:footnoteReference w:id="886"/>
      </w:r>
      <w:r w:rsidRPr="00A472FC">
        <w:rPr>
          <w:rFonts w:ascii="Times New Roman" w:hAnsi="Times New Roman" w:cs="Times New Roman"/>
        </w:rPr>
        <w:t xml:space="preserve"> The corollary of the </w:t>
      </w:r>
      <w:proofErr w:type="spellStart"/>
      <w:r w:rsidRPr="00A472FC">
        <w:rPr>
          <w:rFonts w:ascii="Times New Roman" w:hAnsi="Times New Roman" w:cs="Times New Roman"/>
        </w:rPr>
        <w:t>Avicennian</w:t>
      </w:r>
      <w:proofErr w:type="spellEnd"/>
      <w:r w:rsidRPr="00A472FC">
        <w:rPr>
          <w:rFonts w:ascii="Times New Roman" w:hAnsi="Times New Roman" w:cs="Times New Roman"/>
        </w:rPr>
        <w:t xml:space="preserve"> view is of course that the possible intellect is all that can be said properly to belong to the human being.</w:t>
      </w:r>
      <w:r w:rsidRPr="00A472FC">
        <w:rPr>
          <w:rStyle w:val="FootnoteReference"/>
          <w:rFonts w:ascii="Times New Roman" w:hAnsi="Times New Roman" w:cs="Times New Roman"/>
        </w:rPr>
        <w:footnoteReference w:id="887"/>
      </w:r>
      <w:r w:rsidRPr="00A472FC">
        <w:rPr>
          <w:rFonts w:ascii="Times New Roman" w:hAnsi="Times New Roman" w:cs="Times New Roman"/>
        </w:rPr>
        <w:t xml:space="preserve"> </w:t>
      </w:r>
    </w:p>
    <w:p w14:paraId="17832FAD" w14:textId="77777777" w:rsidR="00255546" w:rsidRPr="00A472FC" w:rsidRDefault="00255546" w:rsidP="00255546">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As Anonymous Callus affirms, the only case in which an illumination from above is needed is for the knowledge of the divine essence, which must be understood in a divine mode. The same holds true for angels, which are also above our knowledge, though in a different way from God. When it comes to corporeal things, however, ‘because the intellectual nature is superior to corporeal things and superior to the incorporeal things which are in it, therefore, it does not need an illumination of a separate substance in order to know these things. Rather, the agent intellect, which is an interior light, is sufficient, with the possible intellect.’</w:t>
      </w:r>
      <w:r w:rsidRPr="00A472FC">
        <w:rPr>
          <w:rStyle w:val="FootnoteReference"/>
          <w:rFonts w:ascii="Times New Roman" w:hAnsi="Times New Roman" w:cs="Times New Roman"/>
        </w:rPr>
        <w:footnoteReference w:id="888"/>
      </w:r>
      <w:r w:rsidRPr="00A472FC">
        <w:rPr>
          <w:rFonts w:ascii="Times New Roman" w:hAnsi="Times New Roman" w:cs="Times New Roman"/>
        </w:rPr>
        <w:t xml:space="preserve"> </w:t>
      </w:r>
    </w:p>
    <w:p w14:paraId="1EC8B1C1" w14:textId="77777777" w:rsidR="00255546" w:rsidRPr="00A472FC" w:rsidRDefault="00255546" w:rsidP="00255546">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color w:val="000000" w:themeColor="text1"/>
        </w:rPr>
        <w:t xml:space="preserve">As noted already, </w:t>
      </w:r>
      <w:r w:rsidRPr="00A472FC">
        <w:rPr>
          <w:rFonts w:ascii="Times New Roman" w:hAnsi="Times New Roman" w:cs="Times New Roman"/>
        </w:rPr>
        <w:t>Philip the Chancellor also distinguishes an intellect that is corruptible from one that is incorruptible; one that is mixed with the body and inseparable from it or unmixed and separable.</w:t>
      </w:r>
      <w:r w:rsidRPr="00A472FC">
        <w:rPr>
          <w:rStyle w:val="FootnoteReference"/>
          <w:rFonts w:ascii="Times New Roman" w:hAnsi="Times New Roman" w:cs="Times New Roman"/>
        </w:rPr>
        <w:footnoteReference w:id="889"/>
      </w:r>
      <w:r w:rsidRPr="00A472FC">
        <w:rPr>
          <w:rFonts w:ascii="Times New Roman" w:hAnsi="Times New Roman" w:cs="Times New Roman"/>
        </w:rPr>
        <w:t xml:space="preserve"> In the context of explaining the immortality of the soul and how the immaterial object of the intellect renders it eternal, Philip also mentions, albeit in passing, a formal intellect, which was a</w:t>
      </w:r>
      <w:r w:rsidRPr="00A472FC">
        <w:rPr>
          <w:rFonts w:ascii="Times New Roman" w:hAnsi="Times New Roman" w:cs="Times New Roman"/>
          <w:lang w:val="en-US"/>
        </w:rPr>
        <w:t xml:space="preserve"> term used in Anonymous Callus to denote the functions that John ascribes to the material intellect, and which is, like the material intellect, ‘destructible like an accident and part of the body.’</w:t>
      </w:r>
      <w:r w:rsidRPr="00A472FC">
        <w:rPr>
          <w:rStyle w:val="FootnoteReference"/>
          <w:rFonts w:ascii="Times New Roman" w:hAnsi="Times New Roman" w:cs="Times New Roman"/>
          <w:lang w:val="en-US"/>
        </w:rPr>
        <w:footnoteReference w:id="890"/>
      </w:r>
      <w:r w:rsidRPr="00A472FC">
        <w:rPr>
          <w:rFonts w:ascii="Times New Roman" w:hAnsi="Times New Roman" w:cs="Times New Roman"/>
          <w:lang w:val="en-US"/>
        </w:rPr>
        <w:t xml:space="preserve"> More specifically, the formal intellect seems to entail a similarity to the thing considered which is not yet subject to abstraction but makes abstraction possible.</w:t>
      </w:r>
      <w:r w:rsidRPr="00A472FC">
        <w:rPr>
          <w:rStyle w:val="FootnoteReference"/>
          <w:rFonts w:ascii="Times New Roman" w:hAnsi="Times New Roman" w:cs="Times New Roman"/>
          <w:lang w:val="en-US"/>
        </w:rPr>
        <w:footnoteReference w:id="891"/>
      </w:r>
    </w:p>
    <w:p w14:paraId="1457EB8B" w14:textId="5A0AE8E1" w:rsidR="00255546" w:rsidRPr="00A472FC" w:rsidRDefault="00255546" w:rsidP="00255546">
      <w:pPr>
        <w:autoSpaceDE w:val="0"/>
        <w:autoSpaceDN w:val="0"/>
        <w:adjustRightInd w:val="0"/>
        <w:ind w:right="-52" w:firstLine="720"/>
        <w:rPr>
          <w:rFonts w:ascii="Times New Roman" w:hAnsi="Times New Roman" w:cs="Times New Roman"/>
          <w:color w:val="000000" w:themeColor="text1"/>
        </w:rPr>
      </w:pPr>
      <w:r w:rsidRPr="00A472FC">
        <w:rPr>
          <w:rFonts w:ascii="Times New Roman" w:hAnsi="Times New Roman" w:cs="Times New Roman"/>
          <w:lang w:val="en-US"/>
        </w:rPr>
        <w:t>By contrast, the agent and possible intellects constitute the incorruptible intellect.</w:t>
      </w:r>
      <w:r w:rsidRPr="00A472FC">
        <w:rPr>
          <w:rStyle w:val="FootnoteReference"/>
          <w:rFonts w:ascii="Times New Roman" w:hAnsi="Times New Roman" w:cs="Times New Roman"/>
        </w:rPr>
        <w:footnoteReference w:id="892"/>
      </w:r>
      <w:r w:rsidRPr="00A472FC">
        <w:rPr>
          <w:rFonts w:ascii="Times New Roman" w:hAnsi="Times New Roman" w:cs="Times New Roman"/>
        </w:rPr>
        <w:t xml:space="preserve"> </w:t>
      </w:r>
      <w:r w:rsidR="00192F5D" w:rsidRPr="00A472FC">
        <w:rPr>
          <w:rFonts w:ascii="Times New Roman" w:hAnsi="Times New Roman" w:cs="Times New Roman"/>
        </w:rPr>
        <w:t>As Philip writ</w:t>
      </w:r>
      <w:r w:rsidR="009A41C9" w:rsidRPr="00A472FC">
        <w:rPr>
          <w:rFonts w:ascii="Times New Roman" w:hAnsi="Times New Roman" w:cs="Times New Roman"/>
        </w:rPr>
        <w:t xml:space="preserve">es, </w:t>
      </w:r>
      <w:r w:rsidRPr="00A472FC">
        <w:rPr>
          <w:rFonts w:ascii="Times New Roman" w:hAnsi="Times New Roman" w:cs="Times New Roman"/>
          <w:lang w:val="en-US"/>
        </w:rPr>
        <w:t xml:space="preserve">‘The agent intellect abstracts species from phantasms, and in abstracting them, it unites </w:t>
      </w:r>
      <w:r w:rsidR="003D1C65" w:rsidRPr="00A472FC">
        <w:rPr>
          <w:rFonts w:ascii="Times New Roman" w:hAnsi="Times New Roman" w:cs="Times New Roman"/>
          <w:lang w:val="en-US"/>
        </w:rPr>
        <w:t xml:space="preserve">them </w:t>
      </w:r>
      <w:r w:rsidRPr="00A472FC">
        <w:rPr>
          <w:rFonts w:ascii="Times New Roman" w:hAnsi="Times New Roman" w:cs="Times New Roman"/>
          <w:lang w:val="en-US"/>
        </w:rPr>
        <w:t>with the possible intellect, which is receptive. Formally speaking, it is called the intellect that receives, and it is therefore properly in the human intellect, which in itself is not however able to understand things.’</w:t>
      </w:r>
      <w:r w:rsidRPr="00A472FC">
        <w:rPr>
          <w:rStyle w:val="FootnoteReference"/>
          <w:rFonts w:ascii="Times New Roman" w:hAnsi="Times New Roman" w:cs="Times New Roman"/>
          <w:lang w:val="en-US"/>
        </w:rPr>
        <w:footnoteReference w:id="893"/>
      </w:r>
      <w:r w:rsidRPr="00A472FC">
        <w:rPr>
          <w:rFonts w:ascii="Times New Roman" w:hAnsi="Times New Roman" w:cs="Times New Roman"/>
          <w:lang w:val="en-US"/>
        </w:rPr>
        <w:t xml:space="preserve"> Although Philip’s account of these intellects is too brief to provide much basis for analysis, it clearly supports the claims that have been made regarding the likely influence of the anonymous texts upon him, and his influence upon John, which is documented by Lottin in other areas as well. </w:t>
      </w:r>
      <w:r w:rsidRPr="00A472FC">
        <w:rPr>
          <w:rFonts w:ascii="Times New Roman" w:hAnsi="Times New Roman" w:cs="Times New Roman"/>
          <w:color w:val="000000" w:themeColor="text1"/>
        </w:rPr>
        <w:t xml:space="preserve">With these sources in mind, it is time to revisit the writing of John of La Rochelle on the intellectual powers, this time in the SDA. </w:t>
      </w:r>
    </w:p>
    <w:p w14:paraId="0BF3F057" w14:textId="77777777" w:rsidR="00255546" w:rsidRPr="00A472FC" w:rsidRDefault="00255546" w:rsidP="00255546">
      <w:pPr>
        <w:ind w:right="-52"/>
        <w:rPr>
          <w:rFonts w:ascii="Times New Roman" w:hAnsi="Times New Roman" w:cs="Times New Roman"/>
          <w:color w:val="000000" w:themeColor="text1"/>
        </w:rPr>
      </w:pPr>
    </w:p>
    <w:p w14:paraId="2857FFF7" w14:textId="77777777" w:rsidR="00255546" w:rsidRPr="00A472FC" w:rsidRDefault="00255546" w:rsidP="00255546">
      <w:pPr>
        <w:ind w:right="-52"/>
        <w:rPr>
          <w:rFonts w:ascii="Times New Roman" w:hAnsi="Times New Roman" w:cs="Times New Roman"/>
          <w:color w:val="000000" w:themeColor="text1"/>
          <w:u w:val="single"/>
        </w:rPr>
      </w:pPr>
      <w:r w:rsidRPr="00A472FC">
        <w:rPr>
          <w:rFonts w:ascii="Times New Roman" w:hAnsi="Times New Roman" w:cs="Times New Roman"/>
          <w:color w:val="000000" w:themeColor="text1"/>
          <w:u w:val="single"/>
        </w:rPr>
        <w:t>John of La Rochelle on the Intellectual Powers</w:t>
      </w:r>
    </w:p>
    <w:p w14:paraId="53036FB6" w14:textId="77777777" w:rsidR="00255546" w:rsidRPr="00A472FC" w:rsidRDefault="00255546" w:rsidP="00255546">
      <w:pPr>
        <w:ind w:right="-52"/>
        <w:rPr>
          <w:rFonts w:ascii="Times New Roman" w:hAnsi="Times New Roman" w:cs="Times New Roman"/>
          <w:color w:val="000000" w:themeColor="text1"/>
          <w:u w:val="single"/>
        </w:rPr>
      </w:pPr>
    </w:p>
    <w:p w14:paraId="45E16FCF" w14:textId="77777777" w:rsidR="00255546" w:rsidRPr="00A472FC" w:rsidRDefault="00255546" w:rsidP="00255546">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lastRenderedPageBreak/>
        <w:t>The intellectual powers in question consist of the passive or corruptible intellect which John claims that Aristotle calls the material intellect, on the one hand, and the incorruptible and separable intellect, on the other.</w:t>
      </w:r>
      <w:r w:rsidRPr="00A472FC">
        <w:rPr>
          <w:rStyle w:val="FootnoteReference"/>
          <w:rFonts w:ascii="Times New Roman" w:hAnsi="Times New Roman" w:cs="Times New Roman"/>
        </w:rPr>
        <w:footnoteReference w:id="894"/>
      </w:r>
      <w:r w:rsidRPr="00A472FC">
        <w:rPr>
          <w:rFonts w:ascii="Times New Roman" w:hAnsi="Times New Roman" w:cs="Times New Roman"/>
        </w:rPr>
        <w:t xml:space="preserve"> According to John, the material intellect is the inferior part of the intellect, which is conjoined to the senses and receives intelligible species in phantasms. As such, it is part of the rational soul only insofar as it is joined to the body. In turn, this intellect offers in a material form the intelligible species that needs to be abstracted by the separable intellect. It is situated in the middle, rational, part of the brain, because it is able to </w:t>
      </w:r>
      <w:proofErr w:type="spellStart"/>
      <w:r w:rsidRPr="00A472FC">
        <w:rPr>
          <w:rFonts w:ascii="Times New Roman" w:hAnsi="Times New Roman" w:cs="Times New Roman"/>
        </w:rPr>
        <w:t>cognize</w:t>
      </w:r>
      <w:proofErr w:type="spellEnd"/>
      <w:r w:rsidRPr="00A472FC">
        <w:rPr>
          <w:rFonts w:ascii="Times New Roman" w:hAnsi="Times New Roman" w:cs="Times New Roman"/>
        </w:rPr>
        <w:t xml:space="preserve"> the forms of things, albeit as particulars and not as universals. </w:t>
      </w:r>
    </w:p>
    <w:p w14:paraId="748B381B" w14:textId="77777777" w:rsidR="00255546" w:rsidRPr="00A472FC" w:rsidRDefault="00255546" w:rsidP="00255546">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Though John is clearly influenced by the author of Anonymous Callus—not to mention Gauthier—in his description of the material intellect, Daniel Callus stresses that his author does not, like John, claim that Aristotle actually spoke of a material intellect. Rather, like Gauthier, he makes the more modest claim that the material intellect is that faculty which Aristotle had described in terms of the ‘passive and corruptible’ intellect in </w:t>
      </w:r>
      <w:r w:rsidRPr="00A472FC">
        <w:rPr>
          <w:rFonts w:ascii="Times New Roman" w:hAnsi="Times New Roman" w:cs="Times New Roman"/>
          <w:i/>
        </w:rPr>
        <w:t>De anima</w:t>
      </w:r>
      <w:r w:rsidRPr="00A472FC">
        <w:rPr>
          <w:rFonts w:ascii="Times New Roman" w:hAnsi="Times New Roman" w:cs="Times New Roman"/>
        </w:rPr>
        <w:t>.</w:t>
      </w:r>
      <w:r w:rsidRPr="00A472FC">
        <w:rPr>
          <w:rStyle w:val="FootnoteReference"/>
          <w:rFonts w:ascii="Times New Roman" w:hAnsi="Times New Roman" w:cs="Times New Roman"/>
        </w:rPr>
        <w:footnoteReference w:id="895"/>
      </w:r>
      <w:r w:rsidRPr="00A472FC">
        <w:rPr>
          <w:rFonts w:ascii="Times New Roman" w:hAnsi="Times New Roman" w:cs="Times New Roman"/>
        </w:rPr>
        <w:t xml:space="preserve"> As we have seen, Alexander of </w:t>
      </w:r>
      <w:proofErr w:type="spellStart"/>
      <w:r w:rsidRPr="00A472FC">
        <w:rPr>
          <w:rFonts w:ascii="Times New Roman" w:hAnsi="Times New Roman" w:cs="Times New Roman"/>
        </w:rPr>
        <w:t>Aphrodisias</w:t>
      </w:r>
      <w:proofErr w:type="spellEnd"/>
      <w:r w:rsidRPr="00A472FC">
        <w:rPr>
          <w:rFonts w:ascii="Times New Roman" w:hAnsi="Times New Roman" w:cs="Times New Roman"/>
        </w:rPr>
        <w:t xml:space="preserve"> was the first to speak of the material intellect, which is not mentioned by Aristotle himself. </w:t>
      </w:r>
    </w:p>
    <w:p w14:paraId="1BF450D5" w14:textId="5BF2DFE4" w:rsidR="00255546" w:rsidRPr="00A472FC" w:rsidRDefault="00255546" w:rsidP="00255546">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While this intellect as John conceives of it remains inseparable from the body and thus ‘corruptible’, the possible and agent intellects are separable from the body and thus incorruptible. As John elaborates, the possible</w:t>
      </w:r>
      <w:r w:rsidR="00FF2CE1" w:rsidRPr="00A472FC">
        <w:rPr>
          <w:rFonts w:ascii="Times New Roman" w:hAnsi="Times New Roman" w:cs="Times New Roman"/>
        </w:rPr>
        <w:t xml:space="preserve"> </w:t>
      </w:r>
      <w:r w:rsidRPr="00A472FC">
        <w:rPr>
          <w:rFonts w:ascii="Times New Roman" w:hAnsi="Times New Roman" w:cs="Times New Roman"/>
        </w:rPr>
        <w:t>intellect is like a slate that is void of all forms or pictures, but which is susceptible to all of them.</w:t>
      </w:r>
      <w:r w:rsidRPr="00A472FC">
        <w:rPr>
          <w:rStyle w:val="FootnoteReference"/>
          <w:rFonts w:ascii="Times New Roman" w:hAnsi="Times New Roman" w:cs="Times New Roman"/>
        </w:rPr>
        <w:footnoteReference w:id="896"/>
      </w:r>
      <w:r w:rsidRPr="00A472FC">
        <w:rPr>
          <w:rFonts w:ascii="Times New Roman" w:hAnsi="Times New Roman" w:cs="Times New Roman"/>
        </w:rPr>
        <w:t xml:space="preserve"> That is to say, it is capable of receiving all intelligible forms or species but not of making them intelligible. The agent intellect, by contrast, is like the intelligible light of the first truth which is impressed on us by nature, always acting as a light, and thereby making manifest the intelligible species of things that are presented to it by the possible intellect, </w:t>
      </w:r>
      <w:r w:rsidR="00884A9B" w:rsidRPr="00A472FC">
        <w:rPr>
          <w:rFonts w:ascii="Times New Roman" w:hAnsi="Times New Roman" w:cs="Times New Roman"/>
        </w:rPr>
        <w:t>thus</w:t>
      </w:r>
      <w:r w:rsidRPr="00A472FC">
        <w:rPr>
          <w:rFonts w:ascii="Times New Roman" w:hAnsi="Times New Roman" w:cs="Times New Roman"/>
        </w:rPr>
        <w:t xml:space="preserve"> ‘perfecting’ the possible intellect.</w:t>
      </w:r>
    </w:p>
    <w:p w14:paraId="06CDB9F3" w14:textId="065C7D06" w:rsidR="00255546" w:rsidRPr="00A472FC" w:rsidRDefault="00255546" w:rsidP="00255546">
      <w:pPr>
        <w:ind w:right="-52"/>
        <w:rPr>
          <w:rFonts w:ascii="Times New Roman" w:hAnsi="Times New Roman" w:cs="Times New Roman"/>
        </w:rPr>
      </w:pPr>
      <w:r w:rsidRPr="00A472FC">
        <w:rPr>
          <w:rFonts w:ascii="Times New Roman" w:hAnsi="Times New Roman" w:cs="Times New Roman"/>
          <w:color w:val="000000" w:themeColor="text1"/>
        </w:rPr>
        <w:tab/>
        <w:t>In delin</w:t>
      </w:r>
      <w:r w:rsidR="00501513" w:rsidRPr="00A472FC">
        <w:rPr>
          <w:rFonts w:ascii="Times New Roman" w:hAnsi="Times New Roman" w:cs="Times New Roman"/>
          <w:color w:val="000000" w:themeColor="text1"/>
        </w:rPr>
        <w:t>e</w:t>
      </w:r>
      <w:r w:rsidRPr="00A472FC">
        <w:rPr>
          <w:rFonts w:ascii="Times New Roman" w:hAnsi="Times New Roman" w:cs="Times New Roman"/>
          <w:color w:val="000000" w:themeColor="text1"/>
        </w:rPr>
        <w:t xml:space="preserve">ating </w:t>
      </w:r>
      <w:r w:rsidR="00884A9B" w:rsidRPr="00A472FC">
        <w:rPr>
          <w:rFonts w:ascii="Times New Roman" w:hAnsi="Times New Roman" w:cs="Times New Roman"/>
          <w:color w:val="000000" w:themeColor="text1"/>
        </w:rPr>
        <w:t>t</w:t>
      </w:r>
      <w:r w:rsidRPr="00A472FC">
        <w:rPr>
          <w:rFonts w:ascii="Times New Roman" w:hAnsi="Times New Roman" w:cs="Times New Roman"/>
          <w:color w:val="000000" w:themeColor="text1"/>
        </w:rPr>
        <w:t xml:space="preserve">his three-fold schema of the intellect, John clearly follows a trend which already runs through Anonymous Gauthier, Anonymous Callus, and the Chancellor, who also adhere to the corruptible/incorruptible intellect distinction. The question that remains concerns which of the main philosophical sources available at the time—Aristotle, Alexander of </w:t>
      </w:r>
      <w:proofErr w:type="spellStart"/>
      <w:r w:rsidRPr="00A472FC">
        <w:rPr>
          <w:rFonts w:ascii="Times New Roman" w:hAnsi="Times New Roman" w:cs="Times New Roman"/>
          <w:color w:val="000000" w:themeColor="text1"/>
        </w:rPr>
        <w:t>Aphrodisias</w:t>
      </w:r>
      <w:proofErr w:type="spellEnd"/>
      <w:r w:rsidRPr="00A472FC">
        <w:rPr>
          <w:rFonts w:ascii="Times New Roman" w:hAnsi="Times New Roman" w:cs="Times New Roman"/>
          <w:color w:val="000000" w:themeColor="text1"/>
        </w:rPr>
        <w:t xml:space="preserve">, Avicenna, and </w:t>
      </w:r>
      <w:proofErr w:type="spellStart"/>
      <w:r w:rsidRPr="00A472FC">
        <w:rPr>
          <w:rFonts w:ascii="Times New Roman" w:hAnsi="Times New Roman" w:cs="Times New Roman"/>
          <w:color w:val="000000" w:themeColor="text1"/>
        </w:rPr>
        <w:t>Averroes</w:t>
      </w:r>
      <w:proofErr w:type="spellEnd"/>
      <w:r w:rsidRPr="00A472FC">
        <w:rPr>
          <w:rFonts w:ascii="Times New Roman" w:hAnsi="Times New Roman" w:cs="Times New Roman"/>
          <w:color w:val="000000" w:themeColor="text1"/>
        </w:rPr>
        <w:t xml:space="preserve">—was most influential in constructing the cognitive scheme they seem to share in common. </w:t>
      </w:r>
      <w:r w:rsidRPr="00A472FC">
        <w:rPr>
          <w:rFonts w:ascii="Times New Roman" w:hAnsi="Times New Roman" w:cs="Times New Roman"/>
        </w:rPr>
        <w:t>According to Callus, the identification of Aristotle’s ‘</w:t>
      </w:r>
      <w:proofErr w:type="spellStart"/>
      <w:r w:rsidRPr="00A472FC">
        <w:rPr>
          <w:rFonts w:ascii="Times New Roman" w:hAnsi="Times New Roman" w:cs="Times New Roman"/>
          <w:i/>
        </w:rPr>
        <w:t>intellectus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passibilis</w:t>
      </w:r>
      <w:proofErr w:type="spellEnd"/>
      <w:r w:rsidRPr="00A472FC">
        <w:rPr>
          <w:rFonts w:ascii="Times New Roman" w:hAnsi="Times New Roman" w:cs="Times New Roman"/>
          <w:i/>
        </w:rPr>
        <w:t xml:space="preserve"> et </w:t>
      </w:r>
      <w:proofErr w:type="spellStart"/>
      <w:r w:rsidRPr="00A472FC">
        <w:rPr>
          <w:rFonts w:ascii="Times New Roman" w:hAnsi="Times New Roman" w:cs="Times New Roman"/>
          <w:i/>
        </w:rPr>
        <w:t>corruptibilis</w:t>
      </w:r>
      <w:proofErr w:type="spellEnd"/>
      <w:r w:rsidRPr="00A472FC">
        <w:rPr>
          <w:rFonts w:ascii="Times New Roman" w:hAnsi="Times New Roman" w:cs="Times New Roman"/>
        </w:rPr>
        <w:t xml:space="preserve">’ with the material intellect ‘might perhaps have originated from a superficial understanding of the opening words of Alexander of </w:t>
      </w:r>
      <w:proofErr w:type="spellStart"/>
      <w:r w:rsidRPr="00A472FC">
        <w:rPr>
          <w:rFonts w:ascii="Times New Roman" w:hAnsi="Times New Roman" w:cs="Times New Roman"/>
        </w:rPr>
        <w:t>Aphrodisias</w:t>
      </w:r>
      <w:proofErr w:type="spellEnd"/>
      <w:r w:rsidRPr="00A472FC">
        <w:rPr>
          <w:rFonts w:ascii="Times New Roman" w:hAnsi="Times New Roman" w:cs="Times New Roman"/>
        </w:rPr>
        <w:t xml:space="preserve">’ </w:t>
      </w:r>
      <w:r w:rsidRPr="00A472FC">
        <w:rPr>
          <w:rFonts w:ascii="Times New Roman" w:hAnsi="Times New Roman" w:cs="Times New Roman"/>
          <w:i/>
        </w:rPr>
        <w:t xml:space="preserve">De </w:t>
      </w:r>
      <w:proofErr w:type="spellStart"/>
      <w:r w:rsidRPr="00A472FC">
        <w:rPr>
          <w:rFonts w:ascii="Times New Roman" w:hAnsi="Times New Roman" w:cs="Times New Roman"/>
          <w:i/>
        </w:rPr>
        <w:t>intellectu</w:t>
      </w:r>
      <w:proofErr w:type="spellEnd"/>
      <w:r w:rsidRPr="00A472FC">
        <w:rPr>
          <w:rFonts w:ascii="Times New Roman" w:hAnsi="Times New Roman" w:cs="Times New Roman"/>
          <w:i/>
        </w:rPr>
        <w:t xml:space="preserve"> et </w:t>
      </w:r>
      <w:proofErr w:type="spellStart"/>
      <w:r w:rsidRPr="00A472FC">
        <w:rPr>
          <w:rFonts w:ascii="Times New Roman" w:hAnsi="Times New Roman" w:cs="Times New Roman"/>
          <w:i/>
        </w:rPr>
        <w:t>intellectu</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897"/>
      </w:r>
      <w:r w:rsidRPr="00A472FC">
        <w:rPr>
          <w:rFonts w:ascii="Times New Roman" w:hAnsi="Times New Roman" w:cs="Times New Roman"/>
        </w:rPr>
        <w:t xml:space="preserve"> the first line of which distinguishes between the material intellect, the intellect </w:t>
      </w:r>
      <w:r w:rsidRPr="00A472FC">
        <w:rPr>
          <w:rFonts w:ascii="Times New Roman" w:hAnsi="Times New Roman" w:cs="Times New Roman"/>
          <w:i/>
        </w:rPr>
        <w:t xml:space="preserve">in </w:t>
      </w:r>
      <w:proofErr w:type="spellStart"/>
      <w:r w:rsidRPr="00A472FC">
        <w:rPr>
          <w:rFonts w:ascii="Times New Roman" w:hAnsi="Times New Roman" w:cs="Times New Roman"/>
          <w:i/>
        </w:rPr>
        <w:t>habitu</w:t>
      </w:r>
      <w:proofErr w:type="spellEnd"/>
      <w:r w:rsidRPr="00A472FC">
        <w:rPr>
          <w:rFonts w:ascii="Times New Roman" w:hAnsi="Times New Roman" w:cs="Times New Roman"/>
        </w:rPr>
        <w:t>, and the agent intellect.</w:t>
      </w:r>
      <w:r w:rsidR="00494A46" w:rsidRPr="00A472FC">
        <w:rPr>
          <w:rStyle w:val="FootnoteReference"/>
          <w:rFonts w:ascii="Times New Roman" w:hAnsi="Times New Roman" w:cs="Times New Roman"/>
        </w:rPr>
        <w:footnoteReference w:id="898"/>
      </w:r>
      <w:r w:rsidRPr="00A472FC">
        <w:rPr>
          <w:rFonts w:ascii="Times New Roman" w:hAnsi="Times New Roman" w:cs="Times New Roman"/>
          <w:i/>
        </w:rPr>
        <w:t xml:space="preserve"> </w:t>
      </w:r>
    </w:p>
    <w:p w14:paraId="1D634618" w14:textId="2B2BE95D" w:rsidR="00255546" w:rsidRPr="00A472FC" w:rsidRDefault="00255546" w:rsidP="00255546">
      <w:pPr>
        <w:ind w:right="-52"/>
        <w:rPr>
          <w:rFonts w:ascii="Times New Roman" w:hAnsi="Times New Roman" w:cs="Times New Roman"/>
        </w:rPr>
      </w:pPr>
      <w:r w:rsidRPr="00A472FC">
        <w:rPr>
          <w:rFonts w:ascii="Times New Roman" w:hAnsi="Times New Roman" w:cs="Times New Roman"/>
          <w:color w:val="000000" w:themeColor="text1"/>
        </w:rPr>
        <w:tab/>
      </w:r>
      <w:r w:rsidR="00525215" w:rsidRPr="00A472FC">
        <w:rPr>
          <w:rFonts w:ascii="Times New Roman" w:hAnsi="Times New Roman" w:cs="Times New Roman"/>
          <w:color w:val="000000" w:themeColor="text1"/>
        </w:rPr>
        <w:t>H</w:t>
      </w:r>
      <w:r w:rsidRPr="00A472FC">
        <w:rPr>
          <w:rFonts w:ascii="Times New Roman" w:hAnsi="Times New Roman" w:cs="Times New Roman"/>
          <w:color w:val="000000" w:themeColor="text1"/>
        </w:rPr>
        <w:t>owever, this explanation breaks down if we try to relate the functions of Alexander’s three intellects to those described by John and his predecessors</w:t>
      </w:r>
      <w:r w:rsidR="000A1902" w:rsidRPr="00A472FC">
        <w:rPr>
          <w:rFonts w:ascii="Times New Roman" w:hAnsi="Times New Roman" w:cs="Times New Roman"/>
          <w:color w:val="000000" w:themeColor="text1"/>
        </w:rPr>
        <w:t xml:space="preserve">, for </w:t>
      </w:r>
      <w:r w:rsidRPr="00A472FC">
        <w:rPr>
          <w:rFonts w:ascii="Times New Roman" w:hAnsi="Times New Roman" w:cs="Times New Roman"/>
          <w:color w:val="000000" w:themeColor="text1"/>
        </w:rPr>
        <w:t xml:space="preserve">there is no correlation between them. </w:t>
      </w:r>
      <w:r w:rsidRPr="00A472FC">
        <w:rPr>
          <w:rFonts w:ascii="Times New Roman" w:hAnsi="Times New Roman" w:cs="Times New Roman"/>
        </w:rPr>
        <w:t xml:space="preserve">Alexander’s material intellect and intellect </w:t>
      </w:r>
      <w:r w:rsidRPr="00A472FC">
        <w:rPr>
          <w:rFonts w:ascii="Times New Roman" w:hAnsi="Times New Roman" w:cs="Times New Roman"/>
          <w:i/>
          <w:iCs/>
        </w:rPr>
        <w:t xml:space="preserve">in </w:t>
      </w:r>
      <w:proofErr w:type="spellStart"/>
      <w:r w:rsidRPr="00A472FC">
        <w:rPr>
          <w:rFonts w:ascii="Times New Roman" w:hAnsi="Times New Roman" w:cs="Times New Roman"/>
          <w:i/>
          <w:iCs/>
        </w:rPr>
        <w:t>habitu</w:t>
      </w:r>
      <w:proofErr w:type="spellEnd"/>
      <w:r w:rsidRPr="00A472FC">
        <w:rPr>
          <w:rFonts w:ascii="Times New Roman" w:hAnsi="Times New Roman" w:cs="Times New Roman"/>
        </w:rPr>
        <w:t xml:space="preserve"> perform a function more closely aligned to John’s understanding of the possible intellect. This for John is separable from the body and not intrinsically united to it as it is for Alexander. As we have ruled out Aristotle implicitly, since he does not mention the material intellect or indeed any ‘intellect’ in the strictly </w:t>
      </w:r>
      <w:proofErr w:type="spellStart"/>
      <w:r w:rsidRPr="00A472FC">
        <w:rPr>
          <w:rFonts w:ascii="Times New Roman" w:hAnsi="Times New Roman" w:cs="Times New Roman"/>
        </w:rPr>
        <w:t>hypostasized</w:t>
      </w:r>
      <w:proofErr w:type="spellEnd"/>
      <w:r w:rsidRPr="00A472FC">
        <w:rPr>
          <w:rFonts w:ascii="Times New Roman" w:hAnsi="Times New Roman" w:cs="Times New Roman"/>
        </w:rPr>
        <w:t xml:space="preserve"> sense, another remaining candidate is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He presented a three-fold schema of a corruptible power that is not separable from the body (cogitation) and a </w:t>
      </w:r>
      <w:r w:rsidRPr="00A472FC">
        <w:rPr>
          <w:rFonts w:ascii="Times New Roman" w:hAnsi="Times New Roman" w:cs="Times New Roman"/>
        </w:rPr>
        <w:lastRenderedPageBreak/>
        <w:t>two-fold intellect (material and agent) that is not corruptible but is separable and indeed separate from the body.</w:t>
      </w:r>
      <w:r w:rsidRPr="00A472FC">
        <w:rPr>
          <w:rStyle w:val="FootnoteReference"/>
          <w:rFonts w:ascii="Times New Roman" w:hAnsi="Times New Roman" w:cs="Times New Roman"/>
        </w:rPr>
        <w:footnoteReference w:id="899"/>
      </w:r>
      <w:r w:rsidRPr="00A472FC">
        <w:rPr>
          <w:rFonts w:ascii="Times New Roman" w:hAnsi="Times New Roman" w:cs="Times New Roman"/>
        </w:rPr>
        <w:t xml:space="preserve"> </w:t>
      </w:r>
    </w:p>
    <w:p w14:paraId="0484BDA5" w14:textId="77777777" w:rsidR="00255546" w:rsidRPr="00A472FC" w:rsidRDefault="00255546" w:rsidP="00255546">
      <w:pPr>
        <w:ind w:right="-52" w:firstLine="720"/>
        <w:rPr>
          <w:rFonts w:ascii="Times New Roman" w:hAnsi="Times New Roman" w:cs="Times New Roman"/>
        </w:rPr>
      </w:pPr>
      <w:r w:rsidRPr="00A472FC">
        <w:rPr>
          <w:rFonts w:ascii="Times New Roman" w:hAnsi="Times New Roman" w:cs="Times New Roman"/>
        </w:rPr>
        <w:t xml:space="preserve">The functions these powers perform certainly seem to correlate more closely to those that John and his colleagues described. The problem that Gauthier himself noted, however, is that the terminology that John used to describe the intellects does not match that of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John’s material intellect designates something like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cogitation, not the possible intellect to which it refers in </w:t>
      </w:r>
      <w:proofErr w:type="spellStart"/>
      <w:r w:rsidRPr="00A472FC">
        <w:rPr>
          <w:rFonts w:ascii="Times New Roman" w:hAnsi="Times New Roman" w:cs="Times New Roman"/>
        </w:rPr>
        <w:t>Averroes</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900"/>
      </w:r>
      <w:r w:rsidRPr="00A472FC">
        <w:rPr>
          <w:rFonts w:ascii="Times New Roman" w:hAnsi="Times New Roman" w:cs="Times New Roman"/>
        </w:rPr>
        <w:t xml:space="preserve"> Despite the problem around vocabulary, Gauthier insists that the correlation in the concepts of cogitation in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and material intellect in John is enough of an argument in favour of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influence. His view is that the originator of the Latin three-fold schema, the author of Anonymous Gauthier, deliberately chose to change the terminology, for unknown reasons. </w:t>
      </w:r>
    </w:p>
    <w:p w14:paraId="736C1BE2" w14:textId="1B1A2BF4" w:rsidR="00255546" w:rsidRPr="00A472FC" w:rsidRDefault="00623BE7" w:rsidP="00255546">
      <w:pPr>
        <w:ind w:right="-52" w:firstLine="720"/>
        <w:rPr>
          <w:rFonts w:ascii="Times New Roman" w:hAnsi="Times New Roman" w:cs="Times New Roman"/>
        </w:rPr>
      </w:pPr>
      <w:r w:rsidRPr="00A472FC">
        <w:rPr>
          <w:rFonts w:ascii="Times New Roman" w:hAnsi="Times New Roman" w:cs="Times New Roman"/>
        </w:rPr>
        <w:t>On this basis</w:t>
      </w:r>
      <w:r w:rsidR="00255546" w:rsidRPr="00A472FC">
        <w:rPr>
          <w:rFonts w:ascii="Times New Roman" w:hAnsi="Times New Roman" w:cs="Times New Roman"/>
        </w:rPr>
        <w:t xml:space="preserve">, Gauthier goes so far as to say that his text and those that came in its wake are an indicator that Avicenna was being replaced by </w:t>
      </w:r>
      <w:proofErr w:type="spellStart"/>
      <w:r w:rsidR="00255546" w:rsidRPr="00A472FC">
        <w:rPr>
          <w:rFonts w:ascii="Times New Roman" w:hAnsi="Times New Roman" w:cs="Times New Roman"/>
        </w:rPr>
        <w:t>Averroes</w:t>
      </w:r>
      <w:proofErr w:type="spellEnd"/>
      <w:r w:rsidR="00255546" w:rsidRPr="00A472FC">
        <w:rPr>
          <w:rFonts w:ascii="Times New Roman" w:hAnsi="Times New Roman" w:cs="Times New Roman"/>
        </w:rPr>
        <w:t xml:space="preserve"> </w:t>
      </w:r>
      <w:r w:rsidR="009B1DD6" w:rsidRPr="00A472FC">
        <w:rPr>
          <w:rFonts w:ascii="Times New Roman" w:hAnsi="Times New Roman" w:cs="Times New Roman"/>
        </w:rPr>
        <w:t xml:space="preserve">as a leading source for Latin thinkers </w:t>
      </w:r>
      <w:r w:rsidR="00255546" w:rsidRPr="00A472FC">
        <w:rPr>
          <w:rFonts w:ascii="Times New Roman" w:hAnsi="Times New Roman" w:cs="Times New Roman"/>
        </w:rPr>
        <w:t>in this period.</w:t>
      </w:r>
      <w:r w:rsidR="00255546" w:rsidRPr="00A472FC">
        <w:rPr>
          <w:rStyle w:val="FootnoteReference"/>
          <w:rFonts w:ascii="Times New Roman" w:hAnsi="Times New Roman" w:cs="Times New Roman"/>
        </w:rPr>
        <w:footnoteReference w:id="901"/>
      </w:r>
      <w:r w:rsidR="00255546" w:rsidRPr="00A472FC">
        <w:rPr>
          <w:rFonts w:ascii="Times New Roman" w:hAnsi="Times New Roman" w:cs="Times New Roman"/>
        </w:rPr>
        <w:t xml:space="preserve"> </w:t>
      </w:r>
      <w:r w:rsidR="009B1DD6" w:rsidRPr="00A472FC">
        <w:rPr>
          <w:rFonts w:ascii="Times New Roman" w:hAnsi="Times New Roman" w:cs="Times New Roman"/>
        </w:rPr>
        <w:t>This</w:t>
      </w:r>
      <w:r w:rsidR="00255546" w:rsidRPr="00A472FC">
        <w:rPr>
          <w:rFonts w:ascii="Times New Roman" w:hAnsi="Times New Roman" w:cs="Times New Roman"/>
        </w:rPr>
        <w:t xml:space="preserve"> hypothesis loses plausibility</w:t>
      </w:r>
      <w:r w:rsidR="009B1DD6" w:rsidRPr="00A472FC">
        <w:rPr>
          <w:rFonts w:ascii="Times New Roman" w:hAnsi="Times New Roman" w:cs="Times New Roman"/>
        </w:rPr>
        <w:t>, however,</w:t>
      </w:r>
      <w:r w:rsidR="00255546" w:rsidRPr="00A472FC">
        <w:rPr>
          <w:rFonts w:ascii="Times New Roman" w:hAnsi="Times New Roman" w:cs="Times New Roman"/>
        </w:rPr>
        <w:t xml:space="preserve"> when we consider that neither Anonymous Gauthier </w:t>
      </w:r>
      <w:r w:rsidR="00F12ECD" w:rsidRPr="00A472FC">
        <w:rPr>
          <w:rFonts w:ascii="Times New Roman" w:hAnsi="Times New Roman" w:cs="Times New Roman"/>
        </w:rPr>
        <w:t xml:space="preserve">nor </w:t>
      </w:r>
      <w:r w:rsidR="00255546" w:rsidRPr="00A472FC">
        <w:rPr>
          <w:rFonts w:ascii="Times New Roman" w:hAnsi="Times New Roman" w:cs="Times New Roman"/>
        </w:rPr>
        <w:t>Anonymous Callus explicitly cite</w:t>
      </w:r>
      <w:r w:rsidR="00902C58" w:rsidRPr="00A472FC">
        <w:rPr>
          <w:rFonts w:ascii="Times New Roman" w:hAnsi="Times New Roman" w:cs="Times New Roman"/>
        </w:rPr>
        <w:t>s</w:t>
      </w:r>
      <w:r w:rsidR="00255546" w:rsidRPr="00A472FC">
        <w:rPr>
          <w:rFonts w:ascii="Times New Roman" w:hAnsi="Times New Roman" w:cs="Times New Roman"/>
        </w:rPr>
        <w:t xml:space="preserve"> </w:t>
      </w:r>
      <w:proofErr w:type="spellStart"/>
      <w:r w:rsidR="00255546" w:rsidRPr="00A472FC">
        <w:rPr>
          <w:rFonts w:ascii="Times New Roman" w:hAnsi="Times New Roman" w:cs="Times New Roman"/>
        </w:rPr>
        <w:t>Averroes</w:t>
      </w:r>
      <w:proofErr w:type="spellEnd"/>
      <w:r w:rsidR="00255546" w:rsidRPr="00A472FC">
        <w:rPr>
          <w:rFonts w:ascii="Times New Roman" w:hAnsi="Times New Roman" w:cs="Times New Roman"/>
        </w:rPr>
        <w:t xml:space="preserve">, as the editors of both texts acknowledge. That does not necessarily indicate that the authors had no knowledge of </w:t>
      </w:r>
      <w:proofErr w:type="spellStart"/>
      <w:r w:rsidR="00255546" w:rsidRPr="00A472FC">
        <w:rPr>
          <w:rFonts w:ascii="Times New Roman" w:hAnsi="Times New Roman" w:cs="Times New Roman"/>
        </w:rPr>
        <w:t>Averroes</w:t>
      </w:r>
      <w:proofErr w:type="spellEnd"/>
      <w:r w:rsidR="00255546" w:rsidRPr="00A472FC">
        <w:rPr>
          <w:rFonts w:ascii="Times New Roman" w:hAnsi="Times New Roman" w:cs="Times New Roman"/>
        </w:rPr>
        <w:t xml:space="preserve"> or were not influenced by him. The Arab philosopher’s ideas certainly could have circulated in the Parisian milieu before his works were supposedly introduced at Paris in 1230. In that sense, the 1225 date proposed by Gauthier could be more accurate. </w:t>
      </w:r>
    </w:p>
    <w:p w14:paraId="09E14157" w14:textId="0F22CE6A" w:rsidR="00403CB3" w:rsidRPr="00A472FC" w:rsidRDefault="00255546" w:rsidP="00DF364D">
      <w:pPr>
        <w:ind w:right="-52" w:firstLine="720"/>
        <w:rPr>
          <w:rFonts w:ascii="Times New Roman" w:hAnsi="Times New Roman" w:cs="Times New Roman"/>
        </w:rPr>
      </w:pPr>
      <w:r w:rsidRPr="00A472FC">
        <w:rPr>
          <w:rFonts w:ascii="Times New Roman" w:hAnsi="Times New Roman" w:cs="Times New Roman"/>
        </w:rPr>
        <w:t xml:space="preserve">Still, we do not have hard evidence for any of this. </w:t>
      </w:r>
      <w:r w:rsidRPr="00A472FC">
        <w:rPr>
          <w:rFonts w:ascii="Times New Roman" w:hAnsi="Times New Roman" w:cs="Times New Roman"/>
          <w:bCs/>
        </w:rPr>
        <w:t>In the absence of such evidence,</w:t>
      </w:r>
      <w:r w:rsidRPr="00A472FC">
        <w:rPr>
          <w:rFonts w:ascii="Times New Roman" w:hAnsi="Times New Roman" w:cs="Times New Roman"/>
        </w:rPr>
        <w:t xml:space="preserve"> I am inclined to be cautious about positing an early </w:t>
      </w:r>
      <w:proofErr w:type="spellStart"/>
      <w:r w:rsidRPr="00A472FC">
        <w:rPr>
          <w:rFonts w:ascii="Times New Roman" w:hAnsi="Times New Roman" w:cs="Times New Roman"/>
        </w:rPr>
        <w:t>Averroist</w:t>
      </w:r>
      <w:proofErr w:type="spellEnd"/>
      <w:r w:rsidRPr="00A472FC">
        <w:rPr>
          <w:rFonts w:ascii="Times New Roman" w:hAnsi="Times New Roman" w:cs="Times New Roman"/>
        </w:rPr>
        <w:t xml:space="preserve"> reception. As </w:t>
      </w:r>
      <w:proofErr w:type="spellStart"/>
      <w:r w:rsidRPr="00A472FC">
        <w:rPr>
          <w:rFonts w:ascii="Times New Roman" w:hAnsi="Times New Roman" w:cs="Times New Roman"/>
        </w:rPr>
        <w:t>Wicki</w:t>
      </w:r>
      <w:proofErr w:type="spellEnd"/>
      <w:r w:rsidRPr="00A472FC">
        <w:rPr>
          <w:rFonts w:ascii="Times New Roman" w:hAnsi="Times New Roman" w:cs="Times New Roman"/>
        </w:rPr>
        <w:t xml:space="preserve"> and Callus have noted with respect to Philip the Chancellor and Anonymous Callus, respectively, the three-fold schema could have been cobbled together in an eclectic way from existing sources, not least Avicenna.</w:t>
      </w:r>
      <w:r w:rsidRPr="00A472FC">
        <w:rPr>
          <w:rStyle w:val="FootnoteReference"/>
          <w:rFonts w:ascii="Times New Roman" w:hAnsi="Times New Roman" w:cs="Times New Roman"/>
        </w:rPr>
        <w:footnoteReference w:id="902"/>
      </w:r>
      <w:r w:rsidRPr="00A472FC">
        <w:rPr>
          <w:rFonts w:ascii="Times New Roman" w:hAnsi="Times New Roman" w:cs="Times New Roman"/>
        </w:rPr>
        <w:t xml:space="preserve"> This theory makes particular sense in the case of John of La Rochelle, whose </w:t>
      </w:r>
      <w:proofErr w:type="spellStart"/>
      <w:r w:rsidRPr="00A472FC">
        <w:rPr>
          <w:rFonts w:ascii="Times New Roman" w:hAnsi="Times New Roman" w:cs="Times New Roman"/>
          <w:i/>
          <w:iCs/>
        </w:rPr>
        <w:t>Tractatus</w:t>
      </w:r>
      <w:proofErr w:type="spellEnd"/>
      <w:r w:rsidRPr="00A472FC">
        <w:rPr>
          <w:rFonts w:ascii="Times New Roman" w:hAnsi="Times New Roman" w:cs="Times New Roman"/>
        </w:rPr>
        <w:t xml:space="preserve"> and SDA </w:t>
      </w:r>
      <w:proofErr w:type="spellStart"/>
      <w:r w:rsidRPr="00A472FC">
        <w:rPr>
          <w:rFonts w:ascii="Times New Roman" w:hAnsi="Times New Roman" w:cs="Times New Roman"/>
        </w:rPr>
        <w:t>epitomized</w:t>
      </w:r>
      <w:proofErr w:type="spellEnd"/>
      <w:r w:rsidRPr="00A472FC">
        <w:rPr>
          <w:rFonts w:ascii="Times New Roman" w:hAnsi="Times New Roman" w:cs="Times New Roman"/>
        </w:rPr>
        <w:t xml:space="preserve"> the height of Avicenna’s reception, which continued, as the next chapter will show, in an altered form as Aristotle came to the fore in the 1240s. </w:t>
      </w:r>
    </w:p>
    <w:p w14:paraId="70FEE0E7" w14:textId="53C96982" w:rsidR="00605CDA" w:rsidRPr="00A472FC" w:rsidRDefault="00255546" w:rsidP="00605CDA">
      <w:pPr>
        <w:ind w:right="-52" w:firstLine="720"/>
        <w:rPr>
          <w:rFonts w:ascii="Times New Roman" w:hAnsi="Times New Roman" w:cs="Times New Roman"/>
        </w:rPr>
      </w:pPr>
      <w:r w:rsidRPr="00A472FC">
        <w:rPr>
          <w:rFonts w:ascii="Times New Roman" w:hAnsi="Times New Roman" w:cs="Times New Roman"/>
        </w:rPr>
        <w:t xml:space="preserve">The influence of Avicenna in John’s rendering of the three-fold schema might be difficult to discern at first glance, but it comes into relief when we consider that the material intellect which is the first of Avicenna’s four stages of potential in the intellect does indeed equate nicely with John’s understanding of the material intellect as the one that makes available the sense form needed by the possible intellect for abstraction, without </w:t>
      </w:r>
      <w:r w:rsidR="00D972CC" w:rsidRPr="00A472FC">
        <w:rPr>
          <w:rFonts w:ascii="Times New Roman" w:hAnsi="Times New Roman" w:cs="Times New Roman"/>
        </w:rPr>
        <w:t xml:space="preserve">yet </w:t>
      </w:r>
      <w:proofErr w:type="spellStart"/>
      <w:r w:rsidRPr="00A472FC">
        <w:rPr>
          <w:rFonts w:ascii="Times New Roman" w:hAnsi="Times New Roman" w:cs="Times New Roman"/>
        </w:rPr>
        <w:t>reali</w:t>
      </w:r>
      <w:r w:rsidR="00D972CC" w:rsidRPr="00A472FC">
        <w:rPr>
          <w:rFonts w:ascii="Times New Roman" w:hAnsi="Times New Roman" w:cs="Times New Roman"/>
        </w:rPr>
        <w:t>z</w:t>
      </w:r>
      <w:r w:rsidRPr="00A472FC">
        <w:rPr>
          <w:rFonts w:ascii="Times New Roman" w:hAnsi="Times New Roman" w:cs="Times New Roman"/>
        </w:rPr>
        <w:t>ing</w:t>
      </w:r>
      <w:proofErr w:type="spellEnd"/>
      <w:r w:rsidRPr="00A472FC">
        <w:rPr>
          <w:rFonts w:ascii="Times New Roman" w:hAnsi="Times New Roman" w:cs="Times New Roman"/>
        </w:rPr>
        <w:t xml:space="preserve"> any potential in this regard.</w:t>
      </w:r>
      <w:r w:rsidRPr="00A472FC">
        <w:rPr>
          <w:rStyle w:val="FootnoteReference"/>
          <w:rFonts w:ascii="Times New Roman" w:hAnsi="Times New Roman" w:cs="Times New Roman"/>
        </w:rPr>
        <w:footnoteReference w:id="903"/>
      </w:r>
      <w:r w:rsidRPr="00A472FC">
        <w:rPr>
          <w:rFonts w:ascii="Times New Roman" w:hAnsi="Times New Roman" w:cs="Times New Roman"/>
        </w:rPr>
        <w:t xml:space="preserve"> Although it is described here as part of the possible intellect proper, we have learned that the material intellect so construed is effectively the name for estimation and imagination when they are operative in humans</w:t>
      </w:r>
      <w:r w:rsidR="00526DCA" w:rsidRPr="00A472FC">
        <w:rPr>
          <w:rFonts w:ascii="Times New Roman" w:hAnsi="Times New Roman" w:cs="Times New Roman"/>
        </w:rPr>
        <w:t xml:space="preserve">. These are </w:t>
      </w:r>
      <w:r w:rsidRPr="00A472FC">
        <w:rPr>
          <w:rFonts w:ascii="Times New Roman" w:hAnsi="Times New Roman" w:cs="Times New Roman"/>
        </w:rPr>
        <w:t xml:space="preserve">the </w:t>
      </w:r>
      <w:proofErr w:type="spellStart"/>
      <w:r w:rsidRPr="00A472FC">
        <w:rPr>
          <w:rFonts w:ascii="Times New Roman" w:hAnsi="Times New Roman" w:cs="Times New Roman"/>
        </w:rPr>
        <w:t>Avicennian</w:t>
      </w:r>
      <w:proofErr w:type="spellEnd"/>
      <w:r w:rsidRPr="00A472FC">
        <w:rPr>
          <w:rFonts w:ascii="Times New Roman" w:hAnsi="Times New Roman" w:cs="Times New Roman"/>
        </w:rPr>
        <w:t xml:space="preserve"> internal senses that produce intentions of sense objects for the purpose of abstraction. Thus, the material intellect is intricately connected with the body in just the way John describes.</w:t>
      </w:r>
    </w:p>
    <w:p w14:paraId="7D0B0FA7" w14:textId="77777777" w:rsidR="0034613F" w:rsidRPr="00A472FC" w:rsidRDefault="0034613F" w:rsidP="00DF364D">
      <w:pPr>
        <w:ind w:right="-52" w:firstLine="720"/>
        <w:rPr>
          <w:rFonts w:ascii="Times New Roman" w:hAnsi="Times New Roman" w:cs="Times New Roman"/>
        </w:rPr>
      </w:pPr>
    </w:p>
    <w:tbl>
      <w:tblPr>
        <w:tblStyle w:val="TableGrid"/>
        <w:tblW w:w="0" w:type="auto"/>
        <w:tblLook w:val="04A0" w:firstRow="1" w:lastRow="0" w:firstColumn="1" w:lastColumn="0" w:noHBand="0" w:noVBand="1"/>
      </w:tblPr>
      <w:tblGrid>
        <w:gridCol w:w="3003"/>
        <w:gridCol w:w="3003"/>
        <w:gridCol w:w="3004"/>
      </w:tblGrid>
      <w:tr w:rsidR="00DF364D" w:rsidRPr="00A472FC" w14:paraId="69C613D3" w14:textId="77777777" w:rsidTr="00722252">
        <w:tc>
          <w:tcPr>
            <w:tcW w:w="3003" w:type="dxa"/>
          </w:tcPr>
          <w:p w14:paraId="007C5869" w14:textId="77777777" w:rsidR="00DF364D" w:rsidRPr="00A472FC" w:rsidRDefault="00DF364D" w:rsidP="00722252">
            <w:pPr>
              <w:ind w:right="-52"/>
              <w:rPr>
                <w:rFonts w:ascii="Times New Roman" w:hAnsi="Times New Roman" w:cs="Times New Roman"/>
              </w:rPr>
            </w:pPr>
          </w:p>
        </w:tc>
        <w:tc>
          <w:tcPr>
            <w:tcW w:w="3003" w:type="dxa"/>
          </w:tcPr>
          <w:p w14:paraId="3D586EF7" w14:textId="77777777" w:rsidR="00DF364D" w:rsidRPr="00A472FC" w:rsidRDefault="00DF364D" w:rsidP="00722252">
            <w:pPr>
              <w:ind w:right="-52"/>
              <w:jc w:val="center"/>
              <w:rPr>
                <w:rFonts w:ascii="Times New Roman" w:hAnsi="Times New Roman" w:cs="Times New Roman"/>
                <w:b/>
                <w:bCs/>
              </w:rPr>
            </w:pPr>
            <w:proofErr w:type="spellStart"/>
            <w:r w:rsidRPr="00A472FC">
              <w:rPr>
                <w:rFonts w:ascii="Times New Roman" w:hAnsi="Times New Roman" w:cs="Times New Roman"/>
                <w:b/>
                <w:bCs/>
              </w:rPr>
              <w:t>Tri-Partite</w:t>
            </w:r>
            <w:proofErr w:type="spellEnd"/>
            <w:r w:rsidRPr="00A472FC">
              <w:rPr>
                <w:rFonts w:ascii="Times New Roman" w:hAnsi="Times New Roman" w:cs="Times New Roman"/>
                <w:b/>
                <w:bCs/>
              </w:rPr>
              <w:t xml:space="preserve"> Intellect</w:t>
            </w:r>
          </w:p>
        </w:tc>
        <w:tc>
          <w:tcPr>
            <w:tcW w:w="3004" w:type="dxa"/>
          </w:tcPr>
          <w:p w14:paraId="04A5DAC3" w14:textId="02FAB166" w:rsidR="00DF364D" w:rsidRPr="00A472FC" w:rsidRDefault="003F0FBB" w:rsidP="00722252">
            <w:pPr>
              <w:ind w:right="-52"/>
              <w:jc w:val="center"/>
              <w:rPr>
                <w:rFonts w:ascii="Times New Roman" w:hAnsi="Times New Roman" w:cs="Times New Roman"/>
                <w:b/>
                <w:bCs/>
              </w:rPr>
            </w:pPr>
            <w:r w:rsidRPr="00A472FC">
              <w:rPr>
                <w:rFonts w:ascii="Times New Roman" w:hAnsi="Times New Roman" w:cs="Times New Roman"/>
                <w:b/>
                <w:bCs/>
              </w:rPr>
              <w:t>Avicenna’s Four Intellects</w:t>
            </w:r>
          </w:p>
        </w:tc>
      </w:tr>
      <w:tr w:rsidR="00DF364D" w:rsidRPr="00A472FC" w14:paraId="78D608BB" w14:textId="77777777" w:rsidTr="00722252">
        <w:tc>
          <w:tcPr>
            <w:tcW w:w="3003" w:type="dxa"/>
          </w:tcPr>
          <w:p w14:paraId="6EF36D33" w14:textId="77777777" w:rsidR="00DF364D" w:rsidRPr="00A472FC" w:rsidRDefault="00DF364D" w:rsidP="00722252">
            <w:pPr>
              <w:ind w:right="-52"/>
              <w:rPr>
                <w:rFonts w:ascii="Times New Roman" w:hAnsi="Times New Roman" w:cs="Times New Roman"/>
              </w:rPr>
            </w:pPr>
            <w:r w:rsidRPr="00A472FC">
              <w:rPr>
                <w:rFonts w:ascii="Times New Roman" w:hAnsi="Times New Roman" w:cs="Times New Roman"/>
              </w:rPr>
              <w:t>Inseparable from the body</w:t>
            </w:r>
          </w:p>
          <w:p w14:paraId="0BB13EC8" w14:textId="77777777" w:rsidR="00DF364D" w:rsidRPr="00A472FC" w:rsidRDefault="00DF364D" w:rsidP="00722252">
            <w:pPr>
              <w:ind w:right="-52"/>
              <w:rPr>
                <w:rFonts w:ascii="Times New Roman" w:hAnsi="Times New Roman" w:cs="Times New Roman"/>
              </w:rPr>
            </w:pPr>
          </w:p>
        </w:tc>
        <w:tc>
          <w:tcPr>
            <w:tcW w:w="3003" w:type="dxa"/>
          </w:tcPr>
          <w:p w14:paraId="29C23EDF" w14:textId="77777777" w:rsidR="00DF364D" w:rsidRPr="00A472FC" w:rsidRDefault="00DF364D" w:rsidP="00722252">
            <w:pPr>
              <w:ind w:right="-52"/>
              <w:rPr>
                <w:rFonts w:ascii="Times New Roman" w:hAnsi="Times New Roman" w:cs="Times New Roman"/>
              </w:rPr>
            </w:pPr>
            <w:r w:rsidRPr="00A472FC">
              <w:rPr>
                <w:rFonts w:ascii="Times New Roman" w:hAnsi="Times New Roman" w:cs="Times New Roman"/>
              </w:rPr>
              <w:t xml:space="preserve">Material Intellect </w:t>
            </w:r>
          </w:p>
        </w:tc>
        <w:tc>
          <w:tcPr>
            <w:tcW w:w="3004" w:type="dxa"/>
          </w:tcPr>
          <w:p w14:paraId="1BF2BE0A" w14:textId="77777777" w:rsidR="00DF364D" w:rsidRPr="00A472FC" w:rsidRDefault="00DF364D" w:rsidP="00722252">
            <w:pPr>
              <w:ind w:right="-52"/>
              <w:rPr>
                <w:rFonts w:ascii="Times New Roman" w:hAnsi="Times New Roman" w:cs="Times New Roman"/>
              </w:rPr>
            </w:pPr>
            <w:r w:rsidRPr="00A472FC">
              <w:rPr>
                <w:rFonts w:ascii="Times New Roman" w:hAnsi="Times New Roman" w:cs="Times New Roman"/>
              </w:rPr>
              <w:t>Material Intellect</w:t>
            </w:r>
          </w:p>
          <w:p w14:paraId="4A7154FB" w14:textId="77777777" w:rsidR="00DF364D" w:rsidRPr="00A472FC" w:rsidRDefault="00DF364D" w:rsidP="00722252">
            <w:pPr>
              <w:ind w:right="-52"/>
              <w:rPr>
                <w:rFonts w:ascii="Times New Roman" w:hAnsi="Times New Roman" w:cs="Times New Roman"/>
              </w:rPr>
            </w:pPr>
            <w:r w:rsidRPr="00A472FC">
              <w:rPr>
                <w:rFonts w:ascii="Times New Roman" w:hAnsi="Times New Roman" w:cs="Times New Roman"/>
              </w:rPr>
              <w:t>(imagination + estimation)</w:t>
            </w:r>
          </w:p>
        </w:tc>
      </w:tr>
      <w:tr w:rsidR="00DF364D" w:rsidRPr="00A472FC" w14:paraId="4847E5A4" w14:textId="77777777" w:rsidTr="00722252">
        <w:tc>
          <w:tcPr>
            <w:tcW w:w="3003" w:type="dxa"/>
          </w:tcPr>
          <w:p w14:paraId="4619EF2F" w14:textId="77777777" w:rsidR="00DF364D" w:rsidRPr="00A472FC" w:rsidRDefault="00DF364D" w:rsidP="00722252">
            <w:pPr>
              <w:ind w:right="-52"/>
              <w:rPr>
                <w:rFonts w:ascii="Times New Roman" w:hAnsi="Times New Roman" w:cs="Times New Roman"/>
              </w:rPr>
            </w:pPr>
            <w:r w:rsidRPr="00A472FC">
              <w:rPr>
                <w:rFonts w:ascii="Times New Roman" w:hAnsi="Times New Roman" w:cs="Times New Roman"/>
              </w:rPr>
              <w:t>Separable Intellect</w:t>
            </w:r>
          </w:p>
        </w:tc>
        <w:tc>
          <w:tcPr>
            <w:tcW w:w="3003" w:type="dxa"/>
          </w:tcPr>
          <w:p w14:paraId="6BF9C4A6" w14:textId="77777777" w:rsidR="00DF364D" w:rsidRPr="00A472FC" w:rsidRDefault="00DF364D" w:rsidP="00722252">
            <w:pPr>
              <w:ind w:right="-52"/>
              <w:rPr>
                <w:rFonts w:ascii="Times New Roman" w:hAnsi="Times New Roman" w:cs="Times New Roman"/>
              </w:rPr>
            </w:pPr>
            <w:r w:rsidRPr="00A472FC">
              <w:rPr>
                <w:rFonts w:ascii="Times New Roman" w:hAnsi="Times New Roman" w:cs="Times New Roman"/>
              </w:rPr>
              <w:t>Possible Intellect</w:t>
            </w:r>
          </w:p>
        </w:tc>
        <w:tc>
          <w:tcPr>
            <w:tcW w:w="3004" w:type="dxa"/>
          </w:tcPr>
          <w:p w14:paraId="67FA07B1" w14:textId="77777777" w:rsidR="00DF364D" w:rsidRPr="00A472FC" w:rsidRDefault="00DF364D" w:rsidP="00722252">
            <w:pPr>
              <w:ind w:right="-52"/>
              <w:rPr>
                <w:rFonts w:ascii="Times New Roman" w:hAnsi="Times New Roman" w:cs="Times New Roman"/>
                <w:i/>
                <w:iCs/>
              </w:rPr>
            </w:pPr>
            <w:r w:rsidRPr="00A472FC">
              <w:rPr>
                <w:rFonts w:ascii="Times New Roman" w:hAnsi="Times New Roman" w:cs="Times New Roman"/>
                <w:i/>
                <w:iCs/>
              </w:rPr>
              <w:t xml:space="preserve">Intellect in </w:t>
            </w:r>
            <w:proofErr w:type="spellStart"/>
            <w:r w:rsidRPr="00A472FC">
              <w:rPr>
                <w:rFonts w:ascii="Times New Roman" w:hAnsi="Times New Roman" w:cs="Times New Roman"/>
                <w:i/>
                <w:iCs/>
              </w:rPr>
              <w:t>habitu</w:t>
            </w:r>
            <w:proofErr w:type="spellEnd"/>
          </w:p>
          <w:p w14:paraId="7E060702" w14:textId="77777777" w:rsidR="00DF364D" w:rsidRPr="00A472FC" w:rsidRDefault="00DF364D" w:rsidP="00722252">
            <w:pPr>
              <w:ind w:right="-52"/>
              <w:rPr>
                <w:rFonts w:ascii="Times New Roman" w:hAnsi="Times New Roman" w:cs="Times New Roman"/>
              </w:rPr>
            </w:pPr>
            <w:r w:rsidRPr="00A472FC">
              <w:rPr>
                <w:rFonts w:ascii="Times New Roman" w:hAnsi="Times New Roman" w:cs="Times New Roman"/>
                <w:i/>
                <w:iCs/>
              </w:rPr>
              <w:t xml:space="preserve">Intellect in </w:t>
            </w:r>
            <w:proofErr w:type="spellStart"/>
            <w:r w:rsidRPr="00A472FC">
              <w:rPr>
                <w:rFonts w:ascii="Times New Roman" w:hAnsi="Times New Roman" w:cs="Times New Roman"/>
                <w:i/>
                <w:iCs/>
              </w:rPr>
              <w:t>effectu</w:t>
            </w:r>
            <w:proofErr w:type="spellEnd"/>
          </w:p>
        </w:tc>
      </w:tr>
      <w:tr w:rsidR="00DF364D" w:rsidRPr="00A472FC" w14:paraId="132EEEF0" w14:textId="77777777" w:rsidTr="00722252">
        <w:tc>
          <w:tcPr>
            <w:tcW w:w="3003" w:type="dxa"/>
          </w:tcPr>
          <w:p w14:paraId="09419F9F" w14:textId="77777777" w:rsidR="00DF364D" w:rsidRPr="00A472FC" w:rsidRDefault="00DF364D" w:rsidP="00722252">
            <w:pPr>
              <w:ind w:right="-52"/>
              <w:rPr>
                <w:rFonts w:ascii="Times New Roman" w:hAnsi="Times New Roman" w:cs="Times New Roman"/>
              </w:rPr>
            </w:pPr>
            <w:r w:rsidRPr="00A472FC">
              <w:rPr>
                <w:rFonts w:ascii="Times New Roman" w:hAnsi="Times New Roman" w:cs="Times New Roman"/>
              </w:rPr>
              <w:t>Separable Intellect</w:t>
            </w:r>
          </w:p>
        </w:tc>
        <w:tc>
          <w:tcPr>
            <w:tcW w:w="3003" w:type="dxa"/>
          </w:tcPr>
          <w:p w14:paraId="35953E7A" w14:textId="77777777" w:rsidR="00DF364D" w:rsidRPr="00A472FC" w:rsidRDefault="00DF364D" w:rsidP="00722252">
            <w:pPr>
              <w:ind w:right="-52"/>
              <w:rPr>
                <w:rFonts w:ascii="Times New Roman" w:hAnsi="Times New Roman" w:cs="Times New Roman"/>
              </w:rPr>
            </w:pPr>
            <w:r w:rsidRPr="00A472FC">
              <w:rPr>
                <w:rFonts w:ascii="Times New Roman" w:hAnsi="Times New Roman" w:cs="Times New Roman"/>
              </w:rPr>
              <w:t>Active Intellect</w:t>
            </w:r>
          </w:p>
        </w:tc>
        <w:tc>
          <w:tcPr>
            <w:tcW w:w="3004" w:type="dxa"/>
          </w:tcPr>
          <w:p w14:paraId="398A8C23" w14:textId="77777777" w:rsidR="00DF364D" w:rsidRPr="00A472FC" w:rsidRDefault="00DF364D" w:rsidP="00722252">
            <w:pPr>
              <w:ind w:right="-52"/>
              <w:rPr>
                <w:rFonts w:ascii="Times New Roman" w:hAnsi="Times New Roman" w:cs="Times New Roman"/>
              </w:rPr>
            </w:pPr>
            <w:r w:rsidRPr="00A472FC">
              <w:rPr>
                <w:rFonts w:ascii="Times New Roman" w:hAnsi="Times New Roman" w:cs="Times New Roman"/>
              </w:rPr>
              <w:t>Active Intellect</w:t>
            </w:r>
          </w:p>
        </w:tc>
      </w:tr>
    </w:tbl>
    <w:p w14:paraId="77C4025C" w14:textId="0D3B1EB6" w:rsidR="00255546" w:rsidRPr="00A472FC" w:rsidRDefault="00255546" w:rsidP="00605CDA">
      <w:pPr>
        <w:ind w:right="-52" w:firstLine="720"/>
        <w:rPr>
          <w:rFonts w:ascii="Times New Roman" w:hAnsi="Times New Roman" w:cs="Times New Roman"/>
        </w:rPr>
      </w:pPr>
      <w:r w:rsidRPr="00A472FC">
        <w:rPr>
          <w:rFonts w:ascii="Times New Roman" w:hAnsi="Times New Roman" w:cs="Times New Roman"/>
        </w:rPr>
        <w:lastRenderedPageBreak/>
        <w:t xml:space="preserve">As for the ‘separable and incorruptible’ intellect, Bazán has rightly noted that there was sufficient momentum in the indigenous Latin tradition for describing this as a possession of the soul itself and not an external force such as Avicenna envisaged. On his view, this impetus came from the belief that the soul is both a form of the body and a </w:t>
      </w:r>
      <w:r w:rsidRPr="00A472FC">
        <w:rPr>
          <w:rFonts w:ascii="Times New Roman" w:hAnsi="Times New Roman" w:cs="Times New Roman"/>
          <w:i/>
        </w:rPr>
        <w:t xml:space="preserve">hoc </w:t>
      </w:r>
      <w:proofErr w:type="spellStart"/>
      <w:r w:rsidRPr="00A472FC">
        <w:rPr>
          <w:rFonts w:ascii="Times New Roman" w:hAnsi="Times New Roman" w:cs="Times New Roman"/>
          <w:i/>
        </w:rPr>
        <w:t>aliquid</w:t>
      </w:r>
      <w:proofErr w:type="spellEnd"/>
      <w:r w:rsidRPr="00A472FC">
        <w:rPr>
          <w:rFonts w:ascii="Times New Roman" w:hAnsi="Times New Roman" w:cs="Times New Roman"/>
        </w:rPr>
        <w:t xml:space="preserve"> or substance in its own right within the human person, a view that I have discussed at length in chapter </w:t>
      </w:r>
      <w:r w:rsidR="00E274C5" w:rsidRPr="00A472FC">
        <w:rPr>
          <w:rFonts w:ascii="Times New Roman" w:hAnsi="Times New Roman" w:cs="Times New Roman"/>
        </w:rPr>
        <w:t>four</w:t>
      </w:r>
      <w:r w:rsidRPr="00A472FC">
        <w:rPr>
          <w:rFonts w:ascii="Times New Roman" w:hAnsi="Times New Roman" w:cs="Times New Roman"/>
        </w:rPr>
        <w:t xml:space="preserve"> of this book. Likewise, the language of possible and agent intellects was already in the tradition, for instance in the </w:t>
      </w:r>
      <w:proofErr w:type="spellStart"/>
      <w:r w:rsidRPr="00A472FC">
        <w:rPr>
          <w:rFonts w:ascii="Times New Roman" w:hAnsi="Times New Roman" w:cs="Times New Roman"/>
        </w:rPr>
        <w:t>Arabo-Latin</w:t>
      </w:r>
      <w:proofErr w:type="spellEnd"/>
      <w:r w:rsidRPr="00A472FC">
        <w:rPr>
          <w:rFonts w:ascii="Times New Roman" w:hAnsi="Times New Roman" w:cs="Times New Roman"/>
        </w:rPr>
        <w:t xml:space="preserve"> translation of Aristotle and in Avicenna.  </w:t>
      </w:r>
    </w:p>
    <w:p w14:paraId="0CA37254" w14:textId="008F5916" w:rsidR="006C7B56" w:rsidRPr="00A472FC" w:rsidRDefault="00255546" w:rsidP="006C7B56">
      <w:pPr>
        <w:ind w:right="-52" w:firstLine="720"/>
        <w:rPr>
          <w:rFonts w:ascii="Times New Roman" w:hAnsi="Times New Roman" w:cs="Times New Roman"/>
        </w:rPr>
      </w:pPr>
      <w:r w:rsidRPr="00A472FC">
        <w:rPr>
          <w:rFonts w:ascii="Times New Roman" w:hAnsi="Times New Roman" w:cs="Times New Roman"/>
        </w:rPr>
        <w:t xml:space="preserve">Although early scholastics often used sources without naming them, the </w:t>
      </w:r>
      <w:r w:rsidR="003022CC" w:rsidRPr="00A472FC">
        <w:rPr>
          <w:rFonts w:ascii="Times New Roman" w:hAnsi="Times New Roman" w:cs="Times New Roman"/>
        </w:rPr>
        <w:t>scarcity</w:t>
      </w:r>
      <w:r w:rsidRPr="00A472FC">
        <w:rPr>
          <w:rFonts w:ascii="Times New Roman" w:hAnsi="Times New Roman" w:cs="Times New Roman"/>
        </w:rPr>
        <w:t xml:space="preserve"> of references to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in the period when the anonymous texts, at least, were written lends credence to the idea that the cognitive schema they present was not the result of his influence but an invention of the Latin tradition working if anything under the influence of Avicenna.</w:t>
      </w:r>
      <w:r w:rsidRPr="00A472FC">
        <w:rPr>
          <w:rStyle w:val="FootnoteReference"/>
          <w:rFonts w:ascii="Times New Roman" w:hAnsi="Times New Roman" w:cs="Times New Roman"/>
        </w:rPr>
        <w:footnoteReference w:id="904"/>
      </w:r>
      <w:r w:rsidRPr="00A472FC">
        <w:rPr>
          <w:rFonts w:ascii="Times New Roman" w:hAnsi="Times New Roman" w:cs="Times New Roman"/>
        </w:rPr>
        <w:t xml:space="preserve"> </w:t>
      </w:r>
      <w:r w:rsidR="00BE6CB4" w:rsidRPr="00A472FC">
        <w:rPr>
          <w:rFonts w:ascii="Times New Roman" w:hAnsi="Times New Roman" w:cs="Times New Roman"/>
        </w:rPr>
        <w:t>This can be argued notwithstanding the fact that</w:t>
      </w:r>
      <w:r w:rsidRPr="00A472FC">
        <w:rPr>
          <w:rFonts w:ascii="Times New Roman" w:hAnsi="Times New Roman" w:cs="Times New Roman"/>
        </w:rPr>
        <w:t xml:space="preserve"> Philip the Chancellor and John of La Rochelle identif</w:t>
      </w:r>
      <w:r w:rsidR="006D0BC8" w:rsidRPr="00A472FC">
        <w:rPr>
          <w:rFonts w:ascii="Times New Roman" w:hAnsi="Times New Roman" w:cs="Times New Roman"/>
        </w:rPr>
        <w:t>ied</w:t>
      </w:r>
      <w:r w:rsidRPr="00A472FC">
        <w:rPr>
          <w:rFonts w:ascii="Times New Roman" w:hAnsi="Times New Roman" w:cs="Times New Roman"/>
        </w:rPr>
        <w:t xml:space="preserve"> synergy between the three-fold schema of the anonymous texts and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distinction between the corruptible/incorruptible intellect, which they presumably encountered for the first time when his works were introduced around 1230. </w:t>
      </w:r>
      <w:r w:rsidR="00420448" w:rsidRPr="00A472FC">
        <w:rPr>
          <w:rFonts w:ascii="Times New Roman" w:hAnsi="Times New Roman" w:cs="Times New Roman"/>
        </w:rPr>
        <w:t xml:space="preserve">For </w:t>
      </w:r>
      <w:r w:rsidR="002C3714" w:rsidRPr="00A472FC">
        <w:rPr>
          <w:rFonts w:ascii="Times New Roman" w:hAnsi="Times New Roman" w:cs="Times New Roman"/>
        </w:rPr>
        <w:t xml:space="preserve">they may </w:t>
      </w:r>
      <w:r w:rsidR="0076090D" w:rsidRPr="00A472FC">
        <w:rPr>
          <w:rFonts w:ascii="Times New Roman" w:hAnsi="Times New Roman" w:cs="Times New Roman"/>
        </w:rPr>
        <w:t xml:space="preserve">have </w:t>
      </w:r>
      <w:r w:rsidRPr="00A472FC">
        <w:rPr>
          <w:rFonts w:ascii="Times New Roman" w:hAnsi="Times New Roman" w:cs="Times New Roman"/>
        </w:rPr>
        <w:t xml:space="preserve">aligned the two schemes retrospectively, to add rhetorical force or authority to opinions that already existed in </w:t>
      </w:r>
      <w:r w:rsidR="009C587E" w:rsidRPr="00A472FC">
        <w:rPr>
          <w:rFonts w:ascii="Times New Roman" w:hAnsi="Times New Roman" w:cs="Times New Roman"/>
        </w:rPr>
        <w:t xml:space="preserve">the tradition inherited through Anonymous Gauthier and Callus. </w:t>
      </w:r>
      <w:r w:rsidRPr="00A472FC">
        <w:rPr>
          <w:rFonts w:ascii="Times New Roman" w:hAnsi="Times New Roman" w:cs="Times New Roman"/>
        </w:rPr>
        <w:t xml:space="preserve"> </w:t>
      </w:r>
    </w:p>
    <w:p w14:paraId="1FD41724" w14:textId="4002502F" w:rsidR="00566889" w:rsidRPr="00A472FC" w:rsidRDefault="00255546" w:rsidP="002E331E">
      <w:pPr>
        <w:ind w:right="-52" w:firstLine="720"/>
        <w:rPr>
          <w:rFonts w:ascii="Times New Roman" w:hAnsi="Times New Roman" w:cs="Times New Roman"/>
        </w:rPr>
      </w:pPr>
      <w:r w:rsidRPr="00A472FC">
        <w:rPr>
          <w:rFonts w:ascii="Times New Roman" w:hAnsi="Times New Roman" w:cs="Times New Roman"/>
        </w:rPr>
        <w:t xml:space="preserve">As we have learned from Bazán, the medieval scholars who supposedly advocated ‘First </w:t>
      </w:r>
      <w:proofErr w:type="spellStart"/>
      <w:r w:rsidRPr="00A472FC">
        <w:rPr>
          <w:rFonts w:ascii="Times New Roman" w:hAnsi="Times New Roman" w:cs="Times New Roman"/>
        </w:rPr>
        <w:t>Averroism</w:t>
      </w:r>
      <w:proofErr w:type="spellEnd"/>
      <w:r w:rsidRPr="00A472FC">
        <w:rPr>
          <w:rFonts w:ascii="Times New Roman" w:hAnsi="Times New Roman" w:cs="Times New Roman"/>
        </w:rPr>
        <w:t xml:space="preserve">’ in Salman’s sense did something similar to this, identifying proof texts in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for a view he did not actually hold, namely, that the agent intellect belongs to the soul and is not a separate substance. This </w:t>
      </w:r>
      <w:r w:rsidR="00AB5BCA" w:rsidRPr="00A472FC">
        <w:rPr>
          <w:rFonts w:ascii="Times New Roman" w:hAnsi="Times New Roman" w:cs="Times New Roman"/>
        </w:rPr>
        <w:t>practice</w:t>
      </w:r>
      <w:r w:rsidR="007E0216" w:rsidRPr="00A472FC">
        <w:rPr>
          <w:rFonts w:ascii="Times New Roman" w:hAnsi="Times New Roman" w:cs="Times New Roman"/>
        </w:rPr>
        <w:t xml:space="preserve"> of</w:t>
      </w:r>
      <w:r w:rsidR="00AB5BCA" w:rsidRPr="00A472FC">
        <w:rPr>
          <w:rFonts w:ascii="Times New Roman" w:hAnsi="Times New Roman" w:cs="Times New Roman"/>
        </w:rPr>
        <w:t xml:space="preserve"> </w:t>
      </w:r>
      <w:r w:rsidR="00040B3E" w:rsidRPr="00A472FC">
        <w:rPr>
          <w:rFonts w:ascii="Times New Roman" w:hAnsi="Times New Roman" w:cs="Times New Roman"/>
        </w:rPr>
        <w:t>attribut</w:t>
      </w:r>
      <w:r w:rsidR="007E0216" w:rsidRPr="00A472FC">
        <w:rPr>
          <w:rFonts w:ascii="Times New Roman" w:hAnsi="Times New Roman" w:cs="Times New Roman"/>
        </w:rPr>
        <w:t>ing</w:t>
      </w:r>
      <w:r w:rsidR="00040B3E" w:rsidRPr="00A472FC">
        <w:rPr>
          <w:rFonts w:ascii="Times New Roman" w:hAnsi="Times New Roman" w:cs="Times New Roman"/>
        </w:rPr>
        <w:t xml:space="preserve"> views to authorities which they did not actually hold</w:t>
      </w:r>
      <w:r w:rsidR="00F60C6E" w:rsidRPr="00A472FC">
        <w:rPr>
          <w:rFonts w:ascii="Times New Roman" w:hAnsi="Times New Roman" w:cs="Times New Roman"/>
        </w:rPr>
        <w:t xml:space="preserve"> was common amongst early scholastics including Franciscans, who </w:t>
      </w:r>
      <w:r w:rsidR="000A435B" w:rsidRPr="00A472FC">
        <w:rPr>
          <w:rFonts w:ascii="Times New Roman" w:hAnsi="Times New Roman" w:cs="Times New Roman"/>
        </w:rPr>
        <w:t>sought to bolster th</w:t>
      </w:r>
      <w:r w:rsidR="00AE5189" w:rsidRPr="00A472FC">
        <w:rPr>
          <w:rFonts w:ascii="Times New Roman" w:hAnsi="Times New Roman" w:cs="Times New Roman"/>
        </w:rPr>
        <w:t>eir own arguments, o</w:t>
      </w:r>
      <w:r w:rsidR="00040B3E" w:rsidRPr="00A472FC">
        <w:rPr>
          <w:rFonts w:ascii="Times New Roman" w:hAnsi="Times New Roman" w:cs="Times New Roman"/>
        </w:rPr>
        <w:t xml:space="preserve">r in this case, to create a contrast with the view of the otherwise popular Avicenna. </w:t>
      </w:r>
      <w:r w:rsidR="009F4B19" w:rsidRPr="00A472FC">
        <w:rPr>
          <w:rFonts w:ascii="Times New Roman" w:hAnsi="Times New Roman" w:cs="Times New Roman"/>
        </w:rPr>
        <w:t xml:space="preserve">The theory that John and Philip </w:t>
      </w:r>
      <w:r w:rsidR="001A72E3" w:rsidRPr="00A472FC">
        <w:rPr>
          <w:rFonts w:ascii="Times New Roman" w:hAnsi="Times New Roman" w:cs="Times New Roman"/>
        </w:rPr>
        <w:t>employed such a tactic</w:t>
      </w:r>
      <w:r w:rsidR="009F4B19" w:rsidRPr="00A472FC">
        <w:rPr>
          <w:rFonts w:ascii="Times New Roman" w:hAnsi="Times New Roman" w:cs="Times New Roman"/>
        </w:rPr>
        <w:t xml:space="preserve"> is strengthened by the fact that they quote only one and the </w:t>
      </w:r>
      <w:r w:rsidR="00756E11" w:rsidRPr="00A472FC">
        <w:rPr>
          <w:rFonts w:ascii="Times New Roman" w:hAnsi="Times New Roman" w:cs="Times New Roman"/>
        </w:rPr>
        <w:t xml:space="preserve">same </w:t>
      </w:r>
      <w:r w:rsidR="006C7B56" w:rsidRPr="00A472FC">
        <w:rPr>
          <w:rFonts w:ascii="Times New Roman" w:hAnsi="Times New Roman" w:cs="Times New Roman"/>
        </w:rPr>
        <w:t>passage</w:t>
      </w:r>
      <w:r w:rsidR="009F4B19" w:rsidRPr="00A472FC">
        <w:rPr>
          <w:rFonts w:ascii="Times New Roman" w:hAnsi="Times New Roman" w:cs="Times New Roman"/>
        </w:rPr>
        <w:t xml:space="preserve"> from </w:t>
      </w:r>
      <w:proofErr w:type="spellStart"/>
      <w:r w:rsidR="009F4B19" w:rsidRPr="00A472FC">
        <w:rPr>
          <w:rFonts w:ascii="Times New Roman" w:hAnsi="Times New Roman" w:cs="Times New Roman"/>
        </w:rPr>
        <w:t>Averroes</w:t>
      </w:r>
      <w:proofErr w:type="spellEnd"/>
      <w:r w:rsidR="009F4B19" w:rsidRPr="00A472FC">
        <w:rPr>
          <w:rFonts w:ascii="Times New Roman" w:hAnsi="Times New Roman" w:cs="Times New Roman"/>
        </w:rPr>
        <w:t xml:space="preserve">, </w:t>
      </w:r>
      <w:r w:rsidR="006C7B56" w:rsidRPr="00A472FC">
        <w:rPr>
          <w:rFonts w:ascii="Times New Roman" w:hAnsi="Times New Roman" w:cs="Times New Roman"/>
        </w:rPr>
        <w:t xml:space="preserve">which suggests they had not fully engaged with the commentator’s writings and possibly inherited their single proof text </w:t>
      </w:r>
      <w:r w:rsidR="00C13299" w:rsidRPr="00A472FC">
        <w:rPr>
          <w:rFonts w:ascii="Times New Roman" w:hAnsi="Times New Roman" w:cs="Times New Roman"/>
        </w:rPr>
        <w:t xml:space="preserve">on the corruptible/incorruptible intellect </w:t>
      </w:r>
      <w:r w:rsidR="006C7B56" w:rsidRPr="00A472FC">
        <w:rPr>
          <w:rFonts w:ascii="Times New Roman" w:hAnsi="Times New Roman" w:cs="Times New Roman"/>
        </w:rPr>
        <w:t xml:space="preserve">through another source. </w:t>
      </w:r>
    </w:p>
    <w:p w14:paraId="235E055E" w14:textId="3E072EDB" w:rsidR="00255546" w:rsidRPr="00A472FC" w:rsidRDefault="002E331E" w:rsidP="00AA214A">
      <w:pPr>
        <w:ind w:right="-52" w:firstLine="720"/>
        <w:rPr>
          <w:rFonts w:ascii="Times New Roman" w:hAnsi="Times New Roman" w:cs="Times New Roman"/>
        </w:rPr>
      </w:pPr>
      <w:r w:rsidRPr="00A472FC">
        <w:rPr>
          <w:rFonts w:ascii="Times New Roman" w:hAnsi="Times New Roman" w:cs="Times New Roman"/>
        </w:rPr>
        <w:t xml:space="preserve">As noted already, this </w:t>
      </w:r>
      <w:r w:rsidR="001A72E3" w:rsidRPr="00A472FC">
        <w:rPr>
          <w:rFonts w:ascii="Times New Roman" w:hAnsi="Times New Roman" w:cs="Times New Roman"/>
        </w:rPr>
        <w:t>p</w:t>
      </w:r>
      <w:r w:rsidR="00C13299" w:rsidRPr="00A472FC">
        <w:rPr>
          <w:rFonts w:ascii="Times New Roman" w:hAnsi="Times New Roman" w:cs="Times New Roman"/>
        </w:rPr>
        <w:t xml:space="preserve">assage </w:t>
      </w:r>
      <w:r w:rsidR="00A35DAA" w:rsidRPr="00A472FC">
        <w:rPr>
          <w:rFonts w:ascii="Times New Roman" w:hAnsi="Times New Roman" w:cs="Times New Roman"/>
        </w:rPr>
        <w:t xml:space="preserve">does </w:t>
      </w:r>
      <w:r w:rsidR="006C7B56" w:rsidRPr="00A472FC">
        <w:rPr>
          <w:rFonts w:ascii="Times New Roman" w:hAnsi="Times New Roman" w:cs="Times New Roman"/>
        </w:rPr>
        <w:t xml:space="preserve">not even mention the </w:t>
      </w:r>
      <w:r w:rsidR="00255546" w:rsidRPr="00A472FC">
        <w:rPr>
          <w:rFonts w:ascii="Times New Roman" w:hAnsi="Times New Roman" w:cs="Times New Roman"/>
        </w:rPr>
        <w:t xml:space="preserve">material-possible-agent intellect distinction, which casts further doubt on the notion that </w:t>
      </w:r>
      <w:proofErr w:type="spellStart"/>
      <w:r w:rsidR="00255546" w:rsidRPr="00A472FC">
        <w:rPr>
          <w:rFonts w:ascii="Times New Roman" w:hAnsi="Times New Roman" w:cs="Times New Roman"/>
        </w:rPr>
        <w:t>Averroes</w:t>
      </w:r>
      <w:proofErr w:type="spellEnd"/>
      <w:r w:rsidR="00255546" w:rsidRPr="00A472FC">
        <w:rPr>
          <w:rFonts w:ascii="Times New Roman" w:hAnsi="Times New Roman" w:cs="Times New Roman"/>
        </w:rPr>
        <w:t xml:space="preserve"> </w:t>
      </w:r>
      <w:r w:rsidR="006C7B56" w:rsidRPr="00A472FC">
        <w:rPr>
          <w:rFonts w:ascii="Times New Roman" w:hAnsi="Times New Roman" w:cs="Times New Roman"/>
        </w:rPr>
        <w:t xml:space="preserve">directly </w:t>
      </w:r>
      <w:r w:rsidR="00255546" w:rsidRPr="00A472FC">
        <w:rPr>
          <w:rFonts w:ascii="Times New Roman" w:hAnsi="Times New Roman" w:cs="Times New Roman"/>
        </w:rPr>
        <w:t xml:space="preserve">inspired </w:t>
      </w:r>
      <w:r w:rsidR="00AA214A" w:rsidRPr="00A472FC">
        <w:rPr>
          <w:rFonts w:ascii="Times New Roman" w:hAnsi="Times New Roman" w:cs="Times New Roman"/>
        </w:rPr>
        <w:t>Philip and John</w:t>
      </w:r>
      <w:r w:rsidR="00991091" w:rsidRPr="00A472FC">
        <w:rPr>
          <w:rFonts w:ascii="Times New Roman" w:hAnsi="Times New Roman" w:cs="Times New Roman"/>
        </w:rPr>
        <w:t>. At the same time, it lends</w:t>
      </w:r>
      <w:r w:rsidR="00566889" w:rsidRPr="00A472FC">
        <w:rPr>
          <w:rFonts w:ascii="Times New Roman" w:hAnsi="Times New Roman" w:cs="Times New Roman"/>
        </w:rPr>
        <w:t xml:space="preserve"> additional support to the </w:t>
      </w:r>
      <w:r w:rsidR="00991091" w:rsidRPr="00A472FC">
        <w:rPr>
          <w:rFonts w:ascii="Times New Roman" w:hAnsi="Times New Roman" w:cs="Times New Roman"/>
        </w:rPr>
        <w:t>conclusion that</w:t>
      </w:r>
      <w:r w:rsidR="00566889" w:rsidRPr="00A472FC">
        <w:rPr>
          <w:rFonts w:ascii="Times New Roman" w:hAnsi="Times New Roman" w:cs="Times New Roman"/>
        </w:rPr>
        <w:t xml:space="preserve"> </w:t>
      </w:r>
      <w:r w:rsidR="00CC0E23" w:rsidRPr="00A472FC">
        <w:rPr>
          <w:rFonts w:ascii="Times New Roman" w:hAnsi="Times New Roman" w:cs="Times New Roman"/>
        </w:rPr>
        <w:t xml:space="preserve">they simply invoked </w:t>
      </w:r>
      <w:proofErr w:type="spellStart"/>
      <w:r w:rsidR="00786D15" w:rsidRPr="00A472FC">
        <w:rPr>
          <w:rFonts w:ascii="Times New Roman" w:hAnsi="Times New Roman" w:cs="Times New Roman"/>
        </w:rPr>
        <w:t>Averroes</w:t>
      </w:r>
      <w:proofErr w:type="spellEnd"/>
      <w:r w:rsidR="00786D15" w:rsidRPr="00A472FC">
        <w:rPr>
          <w:rFonts w:ascii="Times New Roman" w:hAnsi="Times New Roman" w:cs="Times New Roman"/>
        </w:rPr>
        <w:t xml:space="preserve">’ </w:t>
      </w:r>
      <w:r w:rsidR="00CC0E23" w:rsidRPr="00A472FC">
        <w:rPr>
          <w:rFonts w:ascii="Times New Roman" w:hAnsi="Times New Roman" w:cs="Times New Roman"/>
        </w:rPr>
        <w:t xml:space="preserve">reference to the ‘corruptible/incorruptible’ intellect </w:t>
      </w:r>
      <w:r w:rsidR="005E357C" w:rsidRPr="00A472FC">
        <w:rPr>
          <w:rFonts w:ascii="Times New Roman" w:hAnsi="Times New Roman" w:cs="Times New Roman"/>
        </w:rPr>
        <w:t xml:space="preserve">retrospectively to </w:t>
      </w:r>
      <w:proofErr w:type="spellStart"/>
      <w:r w:rsidR="005E357C" w:rsidRPr="00A472FC">
        <w:rPr>
          <w:rFonts w:ascii="Times New Roman" w:hAnsi="Times New Roman" w:cs="Times New Roman"/>
        </w:rPr>
        <w:t>legi</w:t>
      </w:r>
      <w:r w:rsidR="00DA2896" w:rsidRPr="00A472FC">
        <w:rPr>
          <w:rFonts w:ascii="Times New Roman" w:hAnsi="Times New Roman" w:cs="Times New Roman"/>
        </w:rPr>
        <w:t>ti</w:t>
      </w:r>
      <w:r w:rsidR="005E357C" w:rsidRPr="00A472FC">
        <w:rPr>
          <w:rFonts w:ascii="Times New Roman" w:hAnsi="Times New Roman" w:cs="Times New Roman"/>
        </w:rPr>
        <w:t>mize</w:t>
      </w:r>
      <w:proofErr w:type="spellEnd"/>
      <w:r w:rsidR="005E357C" w:rsidRPr="00A472FC">
        <w:rPr>
          <w:rFonts w:ascii="Times New Roman" w:hAnsi="Times New Roman" w:cs="Times New Roman"/>
        </w:rPr>
        <w:t xml:space="preserve"> a view that had already developed in their own indigenous tradition, under the influence of Avicenna and others. </w:t>
      </w:r>
      <w:r w:rsidR="004B17ED" w:rsidRPr="00A472FC">
        <w:rPr>
          <w:rFonts w:ascii="Times New Roman" w:hAnsi="Times New Roman" w:cs="Times New Roman"/>
        </w:rPr>
        <w:t>This conclusion also makes</w:t>
      </w:r>
      <w:r w:rsidR="00720948" w:rsidRPr="00A472FC">
        <w:rPr>
          <w:rFonts w:ascii="Times New Roman" w:hAnsi="Times New Roman" w:cs="Times New Roman"/>
        </w:rPr>
        <w:t xml:space="preserve"> the most sense of the fac</w:t>
      </w:r>
      <w:r w:rsidR="003A559B" w:rsidRPr="00A472FC">
        <w:rPr>
          <w:rFonts w:ascii="Times New Roman" w:hAnsi="Times New Roman" w:cs="Times New Roman"/>
        </w:rPr>
        <w:t>t</w:t>
      </w:r>
      <w:r w:rsidR="00720948" w:rsidRPr="00A472FC">
        <w:rPr>
          <w:rFonts w:ascii="Times New Roman" w:hAnsi="Times New Roman" w:cs="Times New Roman"/>
        </w:rPr>
        <w:t xml:space="preserve"> that </w:t>
      </w:r>
      <w:r w:rsidR="00255546" w:rsidRPr="00A472FC">
        <w:rPr>
          <w:rFonts w:ascii="Times New Roman" w:hAnsi="Times New Roman" w:cs="Times New Roman"/>
        </w:rPr>
        <w:t xml:space="preserve">Rochelle and his contemporaries </w:t>
      </w:r>
      <w:r w:rsidR="004B17ED" w:rsidRPr="00A472FC">
        <w:rPr>
          <w:rFonts w:ascii="Times New Roman" w:hAnsi="Times New Roman" w:cs="Times New Roman"/>
        </w:rPr>
        <w:t>do not men</w:t>
      </w:r>
      <w:r w:rsidR="00DB4653" w:rsidRPr="00A472FC">
        <w:rPr>
          <w:rFonts w:ascii="Times New Roman" w:hAnsi="Times New Roman" w:cs="Times New Roman"/>
        </w:rPr>
        <w:t>tion</w:t>
      </w:r>
      <w:r w:rsidR="00255546" w:rsidRPr="00A472FC">
        <w:rPr>
          <w:rFonts w:ascii="Times New Roman" w:hAnsi="Times New Roman" w:cs="Times New Roman"/>
        </w:rPr>
        <w:t xml:space="preserve"> the ideas for which </w:t>
      </w:r>
      <w:proofErr w:type="spellStart"/>
      <w:r w:rsidR="00255546" w:rsidRPr="00A472FC">
        <w:rPr>
          <w:rFonts w:ascii="Times New Roman" w:hAnsi="Times New Roman" w:cs="Times New Roman"/>
        </w:rPr>
        <w:t>Averroes</w:t>
      </w:r>
      <w:proofErr w:type="spellEnd"/>
      <w:r w:rsidR="00255546" w:rsidRPr="00A472FC">
        <w:rPr>
          <w:rFonts w:ascii="Times New Roman" w:hAnsi="Times New Roman" w:cs="Times New Roman"/>
        </w:rPr>
        <w:t xml:space="preserve"> would later become infamous, such as that there is one possible intellect for all. In the next generation, and between 1270 and 1277 especially, the question of the unicity of the possible intellect would become a major topic of debate, with figures like Aquinas and Bonaventure seeking to refute colleagues in the arts faculty, like </w:t>
      </w:r>
      <w:proofErr w:type="spellStart"/>
      <w:r w:rsidR="00255546" w:rsidRPr="00A472FC">
        <w:rPr>
          <w:rFonts w:ascii="Times New Roman" w:hAnsi="Times New Roman" w:cs="Times New Roman"/>
        </w:rPr>
        <w:t>Siger</w:t>
      </w:r>
      <w:proofErr w:type="spellEnd"/>
      <w:r w:rsidR="00255546" w:rsidRPr="00A472FC">
        <w:rPr>
          <w:rFonts w:ascii="Times New Roman" w:hAnsi="Times New Roman" w:cs="Times New Roman"/>
        </w:rPr>
        <w:t xml:space="preserve"> of Brabant and </w:t>
      </w:r>
      <w:proofErr w:type="spellStart"/>
      <w:r w:rsidR="00255546" w:rsidRPr="00A472FC">
        <w:rPr>
          <w:rFonts w:ascii="Times New Roman" w:hAnsi="Times New Roman" w:cs="Times New Roman"/>
        </w:rPr>
        <w:t>Boethius</w:t>
      </w:r>
      <w:proofErr w:type="spellEnd"/>
      <w:r w:rsidR="00255546" w:rsidRPr="00A472FC">
        <w:rPr>
          <w:rFonts w:ascii="Times New Roman" w:hAnsi="Times New Roman" w:cs="Times New Roman"/>
        </w:rPr>
        <w:t xml:space="preserve"> of Dacia, who advocated it.</w:t>
      </w:r>
      <w:r w:rsidR="00255546" w:rsidRPr="00A472FC">
        <w:rPr>
          <w:rStyle w:val="FootnoteReference"/>
          <w:rFonts w:ascii="Times New Roman" w:hAnsi="Times New Roman" w:cs="Times New Roman"/>
        </w:rPr>
        <w:footnoteReference w:id="905"/>
      </w:r>
      <w:r w:rsidR="00255546" w:rsidRPr="00A472FC">
        <w:rPr>
          <w:rFonts w:ascii="Times New Roman" w:hAnsi="Times New Roman" w:cs="Times New Roman"/>
        </w:rPr>
        <w:t xml:space="preserve"> Before Aristotle’s works themselves came into the spotlight, and thus before </w:t>
      </w:r>
      <w:r w:rsidR="00796BF1" w:rsidRPr="00A472FC">
        <w:rPr>
          <w:rFonts w:ascii="Times New Roman" w:hAnsi="Times New Roman" w:cs="Times New Roman"/>
        </w:rPr>
        <w:t xml:space="preserve">the </w:t>
      </w:r>
      <w:r w:rsidR="00255546" w:rsidRPr="00A472FC">
        <w:rPr>
          <w:rFonts w:ascii="Times New Roman" w:hAnsi="Times New Roman" w:cs="Times New Roman"/>
        </w:rPr>
        <w:t>1250</w:t>
      </w:r>
      <w:r w:rsidR="00CC71D8" w:rsidRPr="00A472FC">
        <w:rPr>
          <w:rFonts w:ascii="Times New Roman" w:hAnsi="Times New Roman" w:cs="Times New Roman"/>
        </w:rPr>
        <w:t>/</w:t>
      </w:r>
      <w:r w:rsidR="00255546" w:rsidRPr="00A472FC">
        <w:rPr>
          <w:rFonts w:ascii="Times New Roman" w:hAnsi="Times New Roman" w:cs="Times New Roman"/>
        </w:rPr>
        <w:t>60</w:t>
      </w:r>
      <w:r w:rsidR="00796BF1" w:rsidRPr="00A472FC">
        <w:rPr>
          <w:rFonts w:ascii="Times New Roman" w:hAnsi="Times New Roman" w:cs="Times New Roman"/>
        </w:rPr>
        <w:t>s</w:t>
      </w:r>
      <w:r w:rsidR="00255546" w:rsidRPr="00A472FC">
        <w:rPr>
          <w:rFonts w:ascii="Times New Roman" w:hAnsi="Times New Roman" w:cs="Times New Roman"/>
        </w:rPr>
        <w:t xml:space="preserve">, however, the work of John of La Rochelle among others </w:t>
      </w:r>
      <w:r w:rsidR="004C4746" w:rsidRPr="00A472FC">
        <w:rPr>
          <w:rFonts w:ascii="Times New Roman" w:hAnsi="Times New Roman" w:cs="Times New Roman"/>
        </w:rPr>
        <w:t>suggests</w:t>
      </w:r>
      <w:r w:rsidR="00255546" w:rsidRPr="00A472FC">
        <w:rPr>
          <w:rFonts w:ascii="Times New Roman" w:hAnsi="Times New Roman" w:cs="Times New Roman"/>
        </w:rPr>
        <w:t xml:space="preserve"> that there was not much of a basis for robust and informed engagement with his commentator, </w:t>
      </w:r>
      <w:proofErr w:type="spellStart"/>
      <w:r w:rsidR="00255546" w:rsidRPr="00A472FC">
        <w:rPr>
          <w:rFonts w:ascii="Times New Roman" w:hAnsi="Times New Roman" w:cs="Times New Roman"/>
        </w:rPr>
        <w:t>Averroes</w:t>
      </w:r>
      <w:proofErr w:type="spellEnd"/>
      <w:r w:rsidR="00255546" w:rsidRPr="00A472FC">
        <w:rPr>
          <w:rFonts w:ascii="Times New Roman" w:hAnsi="Times New Roman" w:cs="Times New Roman"/>
        </w:rPr>
        <w:t xml:space="preserve">. </w:t>
      </w:r>
    </w:p>
    <w:p w14:paraId="6900BD50" w14:textId="77777777" w:rsidR="00255546" w:rsidRPr="00A472FC" w:rsidRDefault="00255546" w:rsidP="00255546">
      <w:pPr>
        <w:ind w:right="-52"/>
        <w:rPr>
          <w:rFonts w:ascii="Times New Roman" w:hAnsi="Times New Roman" w:cs="Times New Roman"/>
        </w:rPr>
      </w:pPr>
    </w:p>
    <w:p w14:paraId="5C6BA1EB" w14:textId="77777777" w:rsidR="00255546" w:rsidRPr="00A472FC" w:rsidRDefault="00255546" w:rsidP="00255546">
      <w:pPr>
        <w:ind w:right="-52"/>
        <w:rPr>
          <w:rFonts w:ascii="Times New Roman" w:hAnsi="Times New Roman" w:cs="Times New Roman"/>
        </w:rPr>
      </w:pPr>
    </w:p>
    <w:p w14:paraId="282F97E1" w14:textId="77777777" w:rsidR="00255546" w:rsidRPr="00A472FC" w:rsidRDefault="00255546" w:rsidP="00255546">
      <w:pPr>
        <w:rPr>
          <w:rFonts w:ascii="Times New Roman" w:hAnsi="Times New Roman" w:cs="Times New Roman"/>
        </w:rPr>
      </w:pPr>
    </w:p>
    <w:p w14:paraId="44E24E9B" w14:textId="77777777" w:rsidR="00255546" w:rsidRPr="00A472FC" w:rsidRDefault="00255546" w:rsidP="00255546">
      <w:pPr>
        <w:rPr>
          <w:rFonts w:ascii="Times New Roman" w:hAnsi="Times New Roman" w:cs="Times New Roman"/>
        </w:rPr>
      </w:pPr>
    </w:p>
    <w:p w14:paraId="38EE6F2B" w14:textId="77777777" w:rsidR="00255546" w:rsidRPr="00A472FC" w:rsidRDefault="00255546" w:rsidP="00255546">
      <w:pPr>
        <w:rPr>
          <w:rFonts w:ascii="Times New Roman" w:hAnsi="Times New Roman" w:cs="Times New Roman"/>
        </w:rPr>
      </w:pPr>
    </w:p>
    <w:p w14:paraId="214E1F44" w14:textId="77777777" w:rsidR="00E212D3" w:rsidRPr="00A472FC" w:rsidRDefault="00E212D3" w:rsidP="00E212D3">
      <w:pPr>
        <w:ind w:right="-52"/>
        <w:rPr>
          <w:rFonts w:ascii="Times New Roman" w:hAnsi="Times New Roman" w:cs="Times New Roman"/>
          <w:color w:val="000000" w:themeColor="text1"/>
        </w:rPr>
      </w:pPr>
    </w:p>
    <w:p w14:paraId="4D124A78" w14:textId="77777777" w:rsidR="00E212D3" w:rsidRPr="00A472FC" w:rsidRDefault="00E212D3" w:rsidP="00E212D3">
      <w:pPr>
        <w:ind w:right="-52"/>
        <w:rPr>
          <w:rFonts w:ascii="Times New Roman" w:hAnsi="Times New Roman" w:cs="Times New Roman"/>
          <w:color w:val="000000" w:themeColor="text1"/>
        </w:rPr>
      </w:pPr>
    </w:p>
    <w:p w14:paraId="51BFC478" w14:textId="77777777" w:rsidR="00E212D3" w:rsidRPr="00A472FC" w:rsidRDefault="00E212D3" w:rsidP="00E212D3">
      <w:pPr>
        <w:ind w:right="-52"/>
        <w:rPr>
          <w:rFonts w:ascii="Times New Roman" w:hAnsi="Times New Roman" w:cs="Times New Roman"/>
        </w:rPr>
        <w:sectPr w:rsidR="00E212D3" w:rsidRPr="00A472FC" w:rsidSect="00B90B15">
          <w:footerReference w:type="even" r:id="rId73"/>
          <w:footerReference w:type="default" r:id="rId74"/>
          <w:footnotePr>
            <w:numRestart w:val="eachSect"/>
          </w:footnotePr>
          <w:endnotePr>
            <w:numFmt w:val="decimal"/>
          </w:endnotePr>
          <w:pgSz w:w="11900" w:h="16840"/>
          <w:pgMar w:top="1440" w:right="1440" w:bottom="1440" w:left="1440" w:header="720" w:footer="720" w:gutter="0"/>
          <w:cols w:space="720"/>
          <w:docGrid w:linePitch="360"/>
        </w:sectPr>
      </w:pPr>
    </w:p>
    <w:p w14:paraId="44E1187E" w14:textId="77777777" w:rsidR="00E212D3" w:rsidRPr="00A472FC" w:rsidRDefault="00E212D3" w:rsidP="00E212D3">
      <w:pPr>
        <w:ind w:right="-52"/>
        <w:rPr>
          <w:rFonts w:ascii="Times New Roman" w:hAnsi="Times New Roman" w:cs="Times New Roman"/>
        </w:rPr>
        <w:sectPr w:rsidR="00E212D3" w:rsidRPr="00A472FC" w:rsidSect="00B90B15">
          <w:footnotePr>
            <w:numRestart w:val="eachSect"/>
          </w:footnotePr>
          <w:endnotePr>
            <w:numFmt w:val="decimal"/>
          </w:endnotePr>
          <w:type w:val="continuous"/>
          <w:pgSz w:w="11900" w:h="16840"/>
          <w:pgMar w:top="1440" w:right="1440" w:bottom="1440" w:left="1440" w:header="720" w:footer="720" w:gutter="0"/>
          <w:cols w:space="720"/>
          <w:docGrid w:linePitch="360"/>
        </w:sectPr>
      </w:pPr>
    </w:p>
    <w:p w14:paraId="0A757F01" w14:textId="77777777" w:rsidR="00E212D3" w:rsidRPr="00A472FC" w:rsidRDefault="00E212D3" w:rsidP="00E212D3">
      <w:pPr>
        <w:ind w:right="-52"/>
        <w:rPr>
          <w:rFonts w:ascii="Times New Roman" w:hAnsi="Times New Roman" w:cs="Times New Roman"/>
          <w:b/>
        </w:rPr>
      </w:pPr>
      <w:r w:rsidRPr="00A472FC">
        <w:rPr>
          <w:rFonts w:ascii="Times New Roman" w:hAnsi="Times New Roman" w:cs="Times New Roman"/>
          <w:b/>
        </w:rPr>
        <w:lastRenderedPageBreak/>
        <w:t xml:space="preserve">8. Cognitive Powers: </w:t>
      </w:r>
      <w:r w:rsidRPr="00A472FC">
        <w:rPr>
          <w:rFonts w:ascii="Times New Roman" w:hAnsi="Times New Roman" w:cs="Times New Roman"/>
          <w:b/>
          <w:i/>
        </w:rPr>
        <w:t xml:space="preserve">The Summa </w:t>
      </w:r>
      <w:proofErr w:type="spellStart"/>
      <w:r w:rsidRPr="00A472FC">
        <w:rPr>
          <w:rFonts w:ascii="Times New Roman" w:hAnsi="Times New Roman" w:cs="Times New Roman"/>
          <w:b/>
          <w:i/>
        </w:rPr>
        <w:t>Halensis</w:t>
      </w:r>
      <w:proofErr w:type="spellEnd"/>
    </w:p>
    <w:p w14:paraId="58960C0C" w14:textId="77777777" w:rsidR="00E212D3" w:rsidRPr="00A472FC" w:rsidRDefault="00E212D3" w:rsidP="00E212D3">
      <w:pPr>
        <w:ind w:right="-52"/>
        <w:rPr>
          <w:rFonts w:ascii="Times New Roman" w:hAnsi="Times New Roman" w:cs="Times New Roman"/>
          <w:u w:val="single"/>
        </w:rPr>
      </w:pPr>
    </w:p>
    <w:p w14:paraId="0F591B87" w14:textId="2FB98A6C" w:rsidR="00E212D3" w:rsidRPr="00A472FC" w:rsidRDefault="009A2373" w:rsidP="00E212D3">
      <w:pPr>
        <w:autoSpaceDE w:val="0"/>
        <w:autoSpaceDN w:val="0"/>
        <w:adjustRightInd w:val="0"/>
        <w:ind w:right="-52" w:firstLine="720"/>
        <w:rPr>
          <w:rFonts w:ascii="Times New Roman" w:hAnsi="Times New Roman" w:cs="Times New Roman"/>
          <w:kern w:val="1"/>
          <w:lang w:val="en-US"/>
        </w:rPr>
      </w:pPr>
      <w:r>
        <w:rPr>
          <w:rFonts w:ascii="Times New Roman" w:hAnsi="Times New Roman" w:cs="Times New Roman"/>
          <w:kern w:val="1"/>
          <w:lang w:val="en-US"/>
        </w:rPr>
        <w:t>The</w:t>
      </w:r>
      <w:r w:rsidR="00E212D3" w:rsidRPr="00A472FC">
        <w:rPr>
          <w:rFonts w:ascii="Times New Roman" w:hAnsi="Times New Roman" w:cs="Times New Roman"/>
          <w:kern w:val="1"/>
          <w:lang w:val="en-US"/>
        </w:rPr>
        <w:t xml:space="preserve"> </w:t>
      </w:r>
      <w:r w:rsidR="001D0B1F">
        <w:rPr>
          <w:rFonts w:ascii="Times New Roman" w:hAnsi="Times New Roman" w:cs="Times New Roman"/>
          <w:kern w:val="1"/>
          <w:lang w:val="en-US"/>
        </w:rPr>
        <w:t>s</w:t>
      </w:r>
      <w:r w:rsidR="00E212D3" w:rsidRPr="00A472FC">
        <w:rPr>
          <w:rFonts w:ascii="Times New Roman" w:hAnsi="Times New Roman" w:cs="Times New Roman"/>
          <w:kern w:val="1"/>
          <w:lang w:val="en-US"/>
        </w:rPr>
        <w:t xml:space="preserve">ection of the </w:t>
      </w:r>
      <w:r w:rsidR="00E212D3" w:rsidRPr="00A472FC">
        <w:rPr>
          <w:rFonts w:ascii="Times New Roman" w:hAnsi="Times New Roman" w:cs="Times New Roman"/>
          <w:i/>
          <w:kern w:val="1"/>
          <w:lang w:val="en-US"/>
        </w:rPr>
        <w:t xml:space="preserve">Summa </w:t>
      </w:r>
      <w:proofErr w:type="spellStart"/>
      <w:r w:rsidR="00E212D3" w:rsidRPr="00A472FC">
        <w:rPr>
          <w:rFonts w:ascii="Times New Roman" w:hAnsi="Times New Roman" w:cs="Times New Roman"/>
          <w:i/>
          <w:kern w:val="1"/>
          <w:lang w:val="en-US"/>
        </w:rPr>
        <w:t>Halensis</w:t>
      </w:r>
      <w:proofErr w:type="spellEnd"/>
      <w:r w:rsidR="00E212D3" w:rsidRPr="00A472FC">
        <w:rPr>
          <w:rFonts w:ascii="Times New Roman" w:hAnsi="Times New Roman" w:cs="Times New Roman"/>
          <w:i/>
          <w:kern w:val="1"/>
          <w:lang w:val="en-US"/>
        </w:rPr>
        <w:t xml:space="preserve"> </w:t>
      </w:r>
      <w:r w:rsidR="001D0B1F" w:rsidRPr="001D0B1F">
        <w:rPr>
          <w:rFonts w:ascii="Times New Roman" w:hAnsi="Times New Roman" w:cs="Times New Roman"/>
          <w:iCs/>
          <w:kern w:val="1"/>
          <w:lang w:val="en-US"/>
        </w:rPr>
        <w:t xml:space="preserve">on the rational soul </w:t>
      </w:r>
      <w:r w:rsidR="001D0B1F">
        <w:rPr>
          <w:rFonts w:ascii="Times New Roman" w:hAnsi="Times New Roman" w:cs="Times New Roman"/>
          <w:iCs/>
          <w:kern w:val="1"/>
          <w:lang w:val="en-US"/>
        </w:rPr>
        <w:t>(</w:t>
      </w:r>
      <w:r w:rsidR="001D0B1F" w:rsidRPr="00A472FC">
        <w:rPr>
          <w:rFonts w:ascii="Times New Roman" w:hAnsi="Times New Roman" w:cs="Times New Roman"/>
          <w:i/>
          <w:kern w:val="1"/>
          <w:lang w:val="en-US"/>
        </w:rPr>
        <w:t xml:space="preserve">De anima </w:t>
      </w:r>
      <w:proofErr w:type="spellStart"/>
      <w:r w:rsidR="001D0B1F" w:rsidRPr="001D0B1F">
        <w:rPr>
          <w:rFonts w:ascii="Times New Roman" w:hAnsi="Times New Roman" w:cs="Times New Roman"/>
          <w:iCs/>
          <w:kern w:val="1"/>
          <w:lang w:val="en-US"/>
        </w:rPr>
        <w:t>rationali</w:t>
      </w:r>
      <w:proofErr w:type="spellEnd"/>
      <w:r w:rsidR="001D0B1F">
        <w:rPr>
          <w:rFonts w:ascii="Times New Roman" w:hAnsi="Times New Roman" w:cs="Times New Roman"/>
          <w:iCs/>
          <w:kern w:val="1"/>
          <w:lang w:val="en-US"/>
        </w:rPr>
        <w:t xml:space="preserve">) </w:t>
      </w:r>
      <w:r w:rsidR="00E212D3" w:rsidRPr="001D0B1F">
        <w:rPr>
          <w:rFonts w:ascii="Times New Roman" w:hAnsi="Times New Roman" w:cs="Times New Roman"/>
          <w:iCs/>
          <w:kern w:val="1"/>
          <w:lang w:val="en-US"/>
        </w:rPr>
        <w:t>follows</w:t>
      </w:r>
      <w:r w:rsidR="00E212D3" w:rsidRPr="00A472FC">
        <w:rPr>
          <w:rFonts w:ascii="Times New Roman" w:hAnsi="Times New Roman" w:cs="Times New Roman"/>
          <w:kern w:val="1"/>
          <w:lang w:val="en-US"/>
        </w:rPr>
        <w:t xml:space="preserve"> closely the structure of the discussion in the </w:t>
      </w:r>
      <w:r w:rsidR="00E212D3" w:rsidRPr="00A472FC">
        <w:rPr>
          <w:rFonts w:ascii="Times New Roman" w:hAnsi="Times New Roman" w:cs="Times New Roman"/>
          <w:i/>
          <w:kern w:val="1"/>
          <w:lang w:val="en-US"/>
        </w:rPr>
        <w:t>Summa de anima</w:t>
      </w:r>
      <w:r w:rsidR="00E212D3" w:rsidRPr="00A472FC">
        <w:rPr>
          <w:rFonts w:ascii="Times New Roman" w:hAnsi="Times New Roman" w:cs="Times New Roman"/>
          <w:iCs/>
          <w:kern w:val="1"/>
          <w:lang w:val="en-US"/>
        </w:rPr>
        <w:t>,</w:t>
      </w:r>
      <w:r w:rsidR="00E212D3" w:rsidRPr="00A472FC">
        <w:rPr>
          <w:rFonts w:ascii="Times New Roman" w:hAnsi="Times New Roman" w:cs="Times New Roman"/>
          <w:i/>
          <w:kern w:val="1"/>
          <w:lang w:val="en-US"/>
        </w:rPr>
        <w:t xml:space="preserve"> </w:t>
      </w:r>
      <w:r w:rsidR="00E212D3" w:rsidRPr="00A472FC">
        <w:rPr>
          <w:rFonts w:ascii="Times New Roman" w:hAnsi="Times New Roman" w:cs="Times New Roman"/>
          <w:kern w:val="1"/>
          <w:lang w:val="en-US"/>
        </w:rPr>
        <w:t>as the table below illustrates.</w:t>
      </w:r>
      <w:r w:rsidR="00E212D3" w:rsidRPr="00A472FC">
        <w:rPr>
          <w:rStyle w:val="FootnoteReference"/>
          <w:rFonts w:ascii="Times New Roman" w:hAnsi="Times New Roman" w:cs="Times New Roman"/>
          <w:kern w:val="1"/>
          <w:lang w:val="en-US"/>
        </w:rPr>
        <w:footnoteReference w:id="906"/>
      </w:r>
      <w:r w:rsidR="00E212D3" w:rsidRPr="00A472FC">
        <w:rPr>
          <w:rFonts w:ascii="Times New Roman" w:hAnsi="Times New Roman" w:cs="Times New Roman"/>
          <w:kern w:val="1"/>
          <w:lang w:val="en-US"/>
        </w:rPr>
        <w:t xml:space="preserve"> The only components it lacks include a discussion of the immortality and passibility of the soul, as well as the separated soul. These issues—especially passibility—are however treated to some extent in a section that was </w:t>
      </w:r>
      <w:r w:rsidR="00BB4305" w:rsidRPr="00A472FC">
        <w:rPr>
          <w:rFonts w:ascii="Times New Roman" w:hAnsi="Times New Roman" w:cs="Times New Roman"/>
          <w:kern w:val="1"/>
          <w:lang w:val="en-US"/>
        </w:rPr>
        <w:t xml:space="preserve">later </w:t>
      </w:r>
      <w:r w:rsidR="00E212D3" w:rsidRPr="00A472FC">
        <w:rPr>
          <w:rFonts w:ascii="Times New Roman" w:hAnsi="Times New Roman" w:cs="Times New Roman"/>
          <w:kern w:val="1"/>
          <w:lang w:val="en-US"/>
        </w:rPr>
        <w:t>added to the Summa, between 1255-</w:t>
      </w:r>
      <w:r w:rsidR="00F361E1" w:rsidRPr="00A472FC">
        <w:rPr>
          <w:rFonts w:ascii="Times New Roman" w:hAnsi="Times New Roman" w:cs="Times New Roman"/>
          <w:kern w:val="1"/>
          <w:lang w:val="en-US"/>
        </w:rPr>
        <w:t>5</w:t>
      </w:r>
      <w:r w:rsidR="00E212D3" w:rsidRPr="00A472FC">
        <w:rPr>
          <w:rFonts w:ascii="Times New Roman" w:hAnsi="Times New Roman" w:cs="Times New Roman"/>
          <w:kern w:val="1"/>
          <w:lang w:val="en-US"/>
        </w:rPr>
        <w:t xml:space="preserve">6, entitled </w:t>
      </w:r>
      <w:r w:rsidR="00E212D3" w:rsidRPr="00A472FC">
        <w:rPr>
          <w:rFonts w:ascii="Times New Roman" w:hAnsi="Times New Roman" w:cs="Times New Roman"/>
          <w:i/>
          <w:kern w:val="1"/>
          <w:lang w:val="en-US"/>
        </w:rPr>
        <w:t xml:space="preserve">De </w:t>
      </w:r>
      <w:proofErr w:type="spellStart"/>
      <w:r w:rsidR="00E212D3" w:rsidRPr="00A472FC">
        <w:rPr>
          <w:rFonts w:ascii="Times New Roman" w:hAnsi="Times New Roman" w:cs="Times New Roman"/>
          <w:i/>
          <w:kern w:val="1"/>
          <w:lang w:val="en-US"/>
        </w:rPr>
        <w:t>coniuncto</w:t>
      </w:r>
      <w:proofErr w:type="spellEnd"/>
      <w:r w:rsidR="00E212D3" w:rsidRPr="00A472FC">
        <w:rPr>
          <w:rFonts w:ascii="Times New Roman" w:hAnsi="Times New Roman" w:cs="Times New Roman"/>
          <w:kern w:val="1"/>
          <w:lang w:val="en-US"/>
        </w:rPr>
        <w:t xml:space="preserve">. Where John was a careful and </w:t>
      </w:r>
      <w:r w:rsidR="00D83445" w:rsidRPr="00A472FC">
        <w:rPr>
          <w:rFonts w:ascii="Times New Roman" w:hAnsi="Times New Roman" w:cs="Times New Roman"/>
          <w:kern w:val="1"/>
          <w:lang w:val="en-US"/>
        </w:rPr>
        <w:t xml:space="preserve">reasonably </w:t>
      </w:r>
      <w:r w:rsidR="00E212D3" w:rsidRPr="00A472FC">
        <w:rPr>
          <w:rFonts w:ascii="Times New Roman" w:hAnsi="Times New Roman" w:cs="Times New Roman"/>
          <w:kern w:val="1"/>
          <w:lang w:val="en-US"/>
        </w:rPr>
        <w:t xml:space="preserve">faithful reader of texts, however, the redactor of the DAR, while drawing on the SDA, takes considerable creative license with </w:t>
      </w:r>
      <w:r w:rsidR="00410519" w:rsidRPr="00A472FC">
        <w:rPr>
          <w:rFonts w:ascii="Times New Roman" w:hAnsi="Times New Roman" w:cs="Times New Roman"/>
          <w:kern w:val="1"/>
          <w:lang w:val="en-US"/>
        </w:rPr>
        <w:t>his</w:t>
      </w:r>
      <w:r w:rsidR="00E212D3" w:rsidRPr="00A472FC">
        <w:rPr>
          <w:rFonts w:ascii="Times New Roman" w:hAnsi="Times New Roman" w:cs="Times New Roman"/>
          <w:kern w:val="1"/>
          <w:lang w:val="en-US"/>
        </w:rPr>
        <w:t xml:space="preserve"> material. Interestingly, </w:t>
      </w:r>
      <w:r w:rsidR="002E2DC9" w:rsidRPr="00A472FC">
        <w:rPr>
          <w:rFonts w:ascii="Times New Roman" w:hAnsi="Times New Roman" w:cs="Times New Roman"/>
          <w:kern w:val="1"/>
          <w:lang w:val="en-US"/>
        </w:rPr>
        <w:t xml:space="preserve">however, </w:t>
      </w:r>
      <w:r w:rsidR="00E212D3" w:rsidRPr="00A472FC">
        <w:rPr>
          <w:rFonts w:ascii="Times New Roman" w:hAnsi="Times New Roman" w:cs="Times New Roman"/>
          <w:kern w:val="1"/>
          <w:lang w:val="en-US"/>
        </w:rPr>
        <w:t xml:space="preserve">the resulting views on cognition are not really significantly different from John’s originals. </w:t>
      </w:r>
      <w:r w:rsidR="001A698E" w:rsidRPr="00A472FC">
        <w:rPr>
          <w:rFonts w:ascii="Times New Roman" w:hAnsi="Times New Roman" w:cs="Times New Roman"/>
          <w:kern w:val="1"/>
          <w:lang w:val="en-US"/>
        </w:rPr>
        <w:t>Still,</w:t>
      </w:r>
      <w:r w:rsidR="00C35B1A" w:rsidRPr="00A472FC">
        <w:rPr>
          <w:rFonts w:ascii="Times New Roman" w:hAnsi="Times New Roman" w:cs="Times New Roman"/>
          <w:kern w:val="1"/>
          <w:lang w:val="en-US"/>
        </w:rPr>
        <w:t xml:space="preserve"> </w:t>
      </w:r>
      <w:r w:rsidR="00E212D3" w:rsidRPr="00A472FC">
        <w:rPr>
          <w:rFonts w:ascii="Times New Roman" w:hAnsi="Times New Roman" w:cs="Times New Roman"/>
          <w:kern w:val="1"/>
          <w:lang w:val="en-US"/>
        </w:rPr>
        <w:t>the way they are attributed to authorities involves a great deal of mental gymnastics that results in an almost comedic attempt to integrate the perspectives of the three authorities—pseudo-Augustine, Damascus, and ‘the Philosopher’, and in some cases to make them agree with one another.</w:t>
      </w:r>
    </w:p>
    <w:p w14:paraId="6881C47C" w14:textId="38B0E90F" w:rsidR="00E212D3" w:rsidRPr="00A472FC" w:rsidRDefault="00E212D3" w:rsidP="00E212D3">
      <w:pPr>
        <w:autoSpaceDE w:val="0"/>
        <w:autoSpaceDN w:val="0"/>
        <w:adjustRightInd w:val="0"/>
        <w:ind w:right="-52" w:firstLine="720"/>
        <w:rPr>
          <w:rFonts w:ascii="Times New Roman" w:hAnsi="Times New Roman" w:cs="Times New Roman"/>
        </w:rPr>
      </w:pPr>
      <w:r w:rsidRPr="00A472FC">
        <w:rPr>
          <w:rFonts w:ascii="Times New Roman" w:hAnsi="Times New Roman" w:cs="Times New Roman"/>
          <w:kern w:val="1"/>
          <w:lang w:val="en-US"/>
        </w:rPr>
        <w:t xml:space="preserve">This attempt at synchronization is undertaken in two contexts, namely, in dealing with the sense and then the intellectual powers. The Summa’s study of the sense powers focuses first on how they are </w:t>
      </w:r>
      <w:r w:rsidRPr="00A472FC">
        <w:rPr>
          <w:rFonts w:ascii="Times New Roman" w:hAnsi="Times New Roman" w:cs="Times New Roman"/>
        </w:rPr>
        <w:t>described by pseudo-Augustine, and then by Damascus and Avicenna, who is named explicitly here as the Philosopher. In elaborating the Summa’s explanation and comparison of these schemes, we will see how it</w:t>
      </w:r>
      <w:r w:rsidR="00E619DB" w:rsidRPr="00A472FC">
        <w:rPr>
          <w:rFonts w:ascii="Times New Roman" w:hAnsi="Times New Roman" w:cs="Times New Roman"/>
        </w:rPr>
        <w:t>s author</w:t>
      </w:r>
      <w:r w:rsidRPr="00A472FC">
        <w:rPr>
          <w:rFonts w:ascii="Times New Roman" w:hAnsi="Times New Roman" w:cs="Times New Roman"/>
        </w:rPr>
        <w:t xml:space="preserve"> tries to justify the argument that the sense</w:t>
      </w:r>
      <w:r w:rsidR="00275284">
        <w:rPr>
          <w:rFonts w:ascii="Times New Roman" w:hAnsi="Times New Roman" w:cs="Times New Roman"/>
        </w:rPr>
        <w:t xml:space="preserve"> </w:t>
      </w:r>
      <w:r w:rsidRPr="00A472FC">
        <w:rPr>
          <w:rFonts w:ascii="Times New Roman" w:hAnsi="Times New Roman" w:cs="Times New Roman"/>
        </w:rPr>
        <w:t xml:space="preserve">knowledge schemes of both Damascus and Avicenna can be placed under Augustine’s category of the imagination. In the context of dealing with the intellectual powers, the Summa starts with a comparison between four different schemata: one from pseudo-Augustine, one from the Philosopher, whom the editors identify with Aristotle, though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only calls him ‘the Philosopher’, another one from pseudo-Augustine, and two from Damascus. </w:t>
      </w:r>
    </w:p>
    <w:p w14:paraId="555BBCF6" w14:textId="562EF798"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Each of these schemes is treated relatively succinctly: the coverage of Augustine totals only around 2.5 pages; the Philosopher, 5; and Damascus, 2.5. The comparison of all four schemes that appears at the outset runs over 3 pages. My discussion of these schemes below will take the comparison as its foundation, integrating the </w:t>
      </w:r>
      <w:r w:rsidR="008A25AF" w:rsidRPr="00A472FC">
        <w:rPr>
          <w:rFonts w:ascii="Times New Roman" w:hAnsi="Times New Roman" w:cs="Times New Roman"/>
        </w:rPr>
        <w:t>relatively</w:t>
      </w:r>
      <w:r w:rsidRPr="00A472FC">
        <w:rPr>
          <w:rFonts w:ascii="Times New Roman" w:hAnsi="Times New Roman" w:cs="Times New Roman"/>
        </w:rPr>
        <w:t xml:space="preserve"> brief and largely repetitive material on the schemes of Damascus and Augustine into this discussion before moving on to examine more closely the scheme attributed to the Philosopher, which is dealt with in the most depth by the Summa. What we will find through this analysis, as noted already, is that the redactor of DAR does not radically change the view of the intellect that was endorsed by John of La Rochelle. However, he tries to eliminate </w:t>
      </w:r>
      <w:r w:rsidR="00C10153" w:rsidRPr="00A472FC">
        <w:rPr>
          <w:rFonts w:ascii="Times New Roman" w:hAnsi="Times New Roman" w:cs="Times New Roman"/>
        </w:rPr>
        <w:t xml:space="preserve">any trace of Avicenna from </w:t>
      </w:r>
      <w:r w:rsidRPr="00A472FC">
        <w:rPr>
          <w:rFonts w:ascii="Times New Roman" w:hAnsi="Times New Roman" w:cs="Times New Roman"/>
        </w:rPr>
        <w:t>the understanding of the Philosopher’s views on the intellect, perhaps in order to suggest that he associates the Philosopher more with Aristotle in this instance instead.</w:t>
      </w:r>
    </w:p>
    <w:p w14:paraId="790EC898" w14:textId="24860946" w:rsidR="00E212D3" w:rsidRDefault="00E212D3" w:rsidP="00F067F6">
      <w:pPr>
        <w:ind w:right="-52" w:firstLine="720"/>
        <w:rPr>
          <w:rFonts w:ascii="Times New Roman" w:hAnsi="Times New Roman" w:cs="Times New Roman"/>
        </w:rPr>
      </w:pPr>
      <w:r w:rsidRPr="00A472FC">
        <w:rPr>
          <w:rFonts w:ascii="Times New Roman" w:hAnsi="Times New Roman" w:cs="Times New Roman"/>
        </w:rPr>
        <w:t xml:space="preserve">In order to do this, he removes Avicenna’s signature doctrine of the ‘four intellects,’ among other things, from the discussion of the Philosopher. However, he betrays his </w:t>
      </w:r>
      <w:proofErr w:type="spellStart"/>
      <w:r w:rsidRPr="00A472FC">
        <w:rPr>
          <w:rFonts w:ascii="Times New Roman" w:hAnsi="Times New Roman" w:cs="Times New Roman"/>
        </w:rPr>
        <w:t>Avicennian</w:t>
      </w:r>
      <w:proofErr w:type="spellEnd"/>
      <w:r w:rsidRPr="00A472FC">
        <w:rPr>
          <w:rFonts w:ascii="Times New Roman" w:hAnsi="Times New Roman" w:cs="Times New Roman"/>
        </w:rPr>
        <w:t xml:space="preserve"> leanings when he re-introduces this doctrine by conflating it with the second cognitive scheme presented by John of Damascus. Pseudo-Augustine’s first division, we will see, takes priority over both of these as a wider framework for thinking about knowledge into which the other schemes can be integrated. Through such machinations, we </w:t>
      </w:r>
      <w:r w:rsidR="009E50A2" w:rsidRPr="00A472FC">
        <w:rPr>
          <w:rFonts w:ascii="Times New Roman" w:hAnsi="Times New Roman" w:cs="Times New Roman"/>
        </w:rPr>
        <w:t>discover</w:t>
      </w:r>
      <w:r w:rsidRPr="00A472FC">
        <w:rPr>
          <w:rFonts w:ascii="Times New Roman" w:hAnsi="Times New Roman" w:cs="Times New Roman"/>
        </w:rPr>
        <w:t xml:space="preserve"> the great lengths to which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will go to bring Avicenna into the Latin tradition</w:t>
      </w:r>
      <w:r w:rsidR="00F067F6" w:rsidRPr="00A472FC">
        <w:rPr>
          <w:rFonts w:ascii="Times New Roman" w:hAnsi="Times New Roman" w:cs="Times New Roman"/>
        </w:rPr>
        <w:t xml:space="preserve">. </w:t>
      </w:r>
      <w:r w:rsidR="000D7E0E" w:rsidRPr="00A472FC">
        <w:rPr>
          <w:rFonts w:ascii="Times New Roman" w:hAnsi="Times New Roman" w:cs="Times New Roman"/>
        </w:rPr>
        <w:t xml:space="preserve">More than in the two previous texts by John, we come to appreciate the respects in which pseudo-Augustine and the Damascene serve </w:t>
      </w:r>
      <w:r w:rsidR="00F067F6" w:rsidRPr="00A472FC">
        <w:rPr>
          <w:rFonts w:ascii="Times New Roman" w:hAnsi="Times New Roman" w:cs="Times New Roman"/>
        </w:rPr>
        <w:t>primarily as</w:t>
      </w:r>
      <w:r w:rsidR="000D7E0E" w:rsidRPr="00A472FC">
        <w:rPr>
          <w:rFonts w:ascii="Times New Roman" w:hAnsi="Times New Roman" w:cs="Times New Roman"/>
        </w:rPr>
        <w:t xml:space="preserve"> foils for this purpose.</w:t>
      </w:r>
      <w:r w:rsidR="00F067F6" w:rsidRPr="00A472FC">
        <w:rPr>
          <w:rFonts w:ascii="Times New Roman" w:hAnsi="Times New Roman" w:cs="Times New Roman"/>
        </w:rPr>
        <w:t xml:space="preserve"> Their own views on how the powers of the soul operate</w:t>
      </w:r>
      <w:r w:rsidR="00305B0C" w:rsidRPr="00A472FC">
        <w:rPr>
          <w:rFonts w:ascii="Times New Roman" w:hAnsi="Times New Roman" w:cs="Times New Roman"/>
        </w:rPr>
        <w:t>—somewhat loosely defined in any event—</w:t>
      </w:r>
      <w:r w:rsidR="00F067F6" w:rsidRPr="00A472FC">
        <w:rPr>
          <w:rFonts w:ascii="Times New Roman" w:hAnsi="Times New Roman" w:cs="Times New Roman"/>
        </w:rPr>
        <w:t xml:space="preserve">are eclipsed by the </w:t>
      </w:r>
      <w:proofErr w:type="spellStart"/>
      <w:r w:rsidR="00F067F6" w:rsidRPr="00A472FC">
        <w:rPr>
          <w:rFonts w:ascii="Times New Roman" w:hAnsi="Times New Roman" w:cs="Times New Roman"/>
        </w:rPr>
        <w:t>Avicennian</w:t>
      </w:r>
      <w:proofErr w:type="spellEnd"/>
      <w:r w:rsidR="00F067F6" w:rsidRPr="00A472FC">
        <w:rPr>
          <w:rFonts w:ascii="Times New Roman" w:hAnsi="Times New Roman" w:cs="Times New Roman"/>
        </w:rPr>
        <w:t xml:space="preserve"> views that are attributed to them—and also </w:t>
      </w:r>
      <w:r w:rsidR="00C35B1A" w:rsidRPr="00A472FC">
        <w:rPr>
          <w:rFonts w:ascii="Times New Roman" w:hAnsi="Times New Roman" w:cs="Times New Roman"/>
        </w:rPr>
        <w:t xml:space="preserve">now </w:t>
      </w:r>
      <w:r w:rsidR="00F067F6" w:rsidRPr="00A472FC">
        <w:rPr>
          <w:rFonts w:ascii="Times New Roman" w:hAnsi="Times New Roman" w:cs="Times New Roman"/>
        </w:rPr>
        <w:t>to Aristotle</w:t>
      </w:r>
      <w:r w:rsidR="00C35B1A" w:rsidRPr="00A472FC">
        <w:rPr>
          <w:rFonts w:ascii="Times New Roman" w:hAnsi="Times New Roman" w:cs="Times New Roman"/>
        </w:rPr>
        <w:t>,</w:t>
      </w:r>
      <w:r w:rsidR="00F067F6" w:rsidRPr="00A472FC">
        <w:rPr>
          <w:rFonts w:ascii="Times New Roman" w:hAnsi="Times New Roman" w:cs="Times New Roman"/>
        </w:rPr>
        <w:t xml:space="preserve"> in the context of his increased popularity in the 1240s.</w:t>
      </w:r>
      <w:r w:rsidR="00C77E74">
        <w:rPr>
          <w:rFonts w:ascii="Times New Roman" w:hAnsi="Times New Roman" w:cs="Times New Roman"/>
        </w:rPr>
        <w:t xml:space="preserve"> We have entered the phase Amos Bertolucci describes </w:t>
      </w:r>
      <w:r w:rsidR="00C77E74">
        <w:rPr>
          <w:rFonts w:ascii="Times New Roman" w:hAnsi="Times New Roman" w:cs="Times New Roman"/>
        </w:rPr>
        <w:lastRenderedPageBreak/>
        <w:t xml:space="preserve">as characterised by the reading of Aristotle (and Augustine, and the </w:t>
      </w:r>
      <w:r w:rsidR="00D41026">
        <w:rPr>
          <w:rFonts w:ascii="Times New Roman" w:hAnsi="Times New Roman" w:cs="Times New Roman"/>
        </w:rPr>
        <w:t>Damascene) with Avicenna, who is the dominant authority in all these cases.</w:t>
      </w:r>
    </w:p>
    <w:p w14:paraId="451E8125" w14:textId="77777777" w:rsidR="00D41026" w:rsidRPr="00A472FC" w:rsidRDefault="00D41026" w:rsidP="00F067F6">
      <w:pPr>
        <w:ind w:right="-52" w:firstLine="720"/>
        <w:rPr>
          <w:rFonts w:ascii="Times New Roman" w:hAnsi="Times New Roman" w:cs="Times New Roman"/>
        </w:rPr>
      </w:pPr>
    </w:p>
    <w:tbl>
      <w:tblPr>
        <w:tblStyle w:val="TableGrid"/>
        <w:tblW w:w="0" w:type="auto"/>
        <w:tblLook w:val="04A0" w:firstRow="1" w:lastRow="0" w:firstColumn="1" w:lastColumn="0" w:noHBand="0" w:noVBand="1"/>
      </w:tblPr>
      <w:tblGrid>
        <w:gridCol w:w="2252"/>
        <w:gridCol w:w="2252"/>
      </w:tblGrid>
      <w:tr w:rsidR="00E212D3" w:rsidRPr="00A472FC" w14:paraId="4A457609" w14:textId="77777777" w:rsidTr="00B90B15">
        <w:tc>
          <w:tcPr>
            <w:tcW w:w="2252" w:type="dxa"/>
          </w:tcPr>
          <w:p w14:paraId="4732636F"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SDA</w:t>
            </w:r>
          </w:p>
        </w:tc>
        <w:tc>
          <w:tcPr>
            <w:tcW w:w="2252" w:type="dxa"/>
          </w:tcPr>
          <w:p w14:paraId="731D68AC"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DAR</w:t>
            </w:r>
          </w:p>
        </w:tc>
      </w:tr>
      <w:tr w:rsidR="00E212D3" w:rsidRPr="00A472FC" w14:paraId="1B8C461D" w14:textId="77777777" w:rsidTr="00B90B15">
        <w:tc>
          <w:tcPr>
            <w:tcW w:w="2252" w:type="dxa"/>
          </w:tcPr>
          <w:p w14:paraId="65CE124E"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Whether there is a soul</w:t>
            </w:r>
          </w:p>
        </w:tc>
        <w:tc>
          <w:tcPr>
            <w:tcW w:w="2252" w:type="dxa"/>
          </w:tcPr>
          <w:p w14:paraId="2DA12EC7"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Whether there is a soul</w:t>
            </w:r>
          </w:p>
        </w:tc>
      </w:tr>
      <w:tr w:rsidR="00E212D3" w:rsidRPr="00A472FC" w14:paraId="351E8A81" w14:textId="77777777" w:rsidTr="00B90B15">
        <w:tc>
          <w:tcPr>
            <w:tcW w:w="2252" w:type="dxa"/>
          </w:tcPr>
          <w:p w14:paraId="6F6A7464"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What is the soul</w:t>
            </w:r>
          </w:p>
        </w:tc>
        <w:tc>
          <w:tcPr>
            <w:tcW w:w="2252" w:type="dxa"/>
          </w:tcPr>
          <w:p w14:paraId="62000076"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What is the soul</w:t>
            </w:r>
          </w:p>
        </w:tc>
      </w:tr>
      <w:tr w:rsidR="00E212D3" w:rsidRPr="00A472FC" w14:paraId="32E9D414" w14:textId="77777777" w:rsidTr="00B90B15">
        <w:tc>
          <w:tcPr>
            <w:tcW w:w="2252" w:type="dxa"/>
          </w:tcPr>
          <w:p w14:paraId="6FB45652"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The causes of the soul</w:t>
            </w:r>
          </w:p>
        </w:tc>
        <w:tc>
          <w:tcPr>
            <w:tcW w:w="2252" w:type="dxa"/>
          </w:tcPr>
          <w:p w14:paraId="7460715C"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The causes of the soul</w:t>
            </w:r>
          </w:p>
        </w:tc>
      </w:tr>
      <w:tr w:rsidR="00E212D3" w:rsidRPr="00A472FC" w14:paraId="686F2FB8" w14:textId="77777777" w:rsidTr="00B90B15">
        <w:tc>
          <w:tcPr>
            <w:tcW w:w="2252" w:type="dxa"/>
          </w:tcPr>
          <w:p w14:paraId="4F79CE45"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The properties of the soul (image of God is treated in a separate section)</w:t>
            </w:r>
          </w:p>
        </w:tc>
        <w:tc>
          <w:tcPr>
            <w:tcW w:w="2252" w:type="dxa"/>
          </w:tcPr>
          <w:p w14:paraId="0EEB0017"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The properties of the soul (including image of God)</w:t>
            </w:r>
          </w:p>
        </w:tc>
      </w:tr>
      <w:tr w:rsidR="00E212D3" w:rsidRPr="00A472FC" w14:paraId="13CFBB87" w14:textId="77777777" w:rsidTr="00B90B15">
        <w:tc>
          <w:tcPr>
            <w:tcW w:w="2252" w:type="dxa"/>
          </w:tcPr>
          <w:p w14:paraId="0C869CFC"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Soul related to body</w:t>
            </w:r>
          </w:p>
        </w:tc>
        <w:tc>
          <w:tcPr>
            <w:tcW w:w="2252" w:type="dxa"/>
          </w:tcPr>
          <w:p w14:paraId="23411BAF"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Soul related to body</w:t>
            </w:r>
          </w:p>
        </w:tc>
      </w:tr>
      <w:tr w:rsidR="00E212D3" w:rsidRPr="00A472FC" w14:paraId="07C6DE70" w14:textId="77777777" w:rsidTr="00B90B15">
        <w:tc>
          <w:tcPr>
            <w:tcW w:w="2252" w:type="dxa"/>
          </w:tcPr>
          <w:p w14:paraId="2359F14D"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Immortality of the soul</w:t>
            </w:r>
          </w:p>
        </w:tc>
        <w:tc>
          <w:tcPr>
            <w:tcW w:w="2252" w:type="dxa"/>
          </w:tcPr>
          <w:p w14:paraId="4C8AE6D9"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w:t>
            </w:r>
            <w:r w:rsidRPr="00A472FC">
              <w:rPr>
                <w:rStyle w:val="FootnoteReference"/>
                <w:rFonts w:ascii="Times New Roman" w:hAnsi="Times New Roman" w:cs="Times New Roman"/>
              </w:rPr>
              <w:footnoteReference w:id="907"/>
            </w:r>
          </w:p>
        </w:tc>
      </w:tr>
      <w:tr w:rsidR="00E212D3" w:rsidRPr="00A472FC" w14:paraId="1516B483" w14:textId="77777777" w:rsidTr="00B90B15">
        <w:tc>
          <w:tcPr>
            <w:tcW w:w="2252" w:type="dxa"/>
          </w:tcPr>
          <w:p w14:paraId="73502CBA"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Passibility of the soul</w:t>
            </w:r>
          </w:p>
        </w:tc>
        <w:tc>
          <w:tcPr>
            <w:tcW w:w="2252" w:type="dxa"/>
          </w:tcPr>
          <w:p w14:paraId="65D0C4B1"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w:t>
            </w:r>
            <w:r w:rsidRPr="00A472FC">
              <w:rPr>
                <w:rStyle w:val="FootnoteReference"/>
                <w:rFonts w:ascii="Times New Roman" w:hAnsi="Times New Roman" w:cs="Times New Roman"/>
              </w:rPr>
              <w:footnoteReference w:id="908"/>
            </w:r>
          </w:p>
        </w:tc>
      </w:tr>
      <w:tr w:rsidR="00E212D3" w:rsidRPr="00A472FC" w14:paraId="3DCD97E6" w14:textId="77777777" w:rsidTr="00B90B15">
        <w:tc>
          <w:tcPr>
            <w:tcW w:w="2252" w:type="dxa"/>
          </w:tcPr>
          <w:p w14:paraId="2317C2E2"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Location of the soul</w:t>
            </w:r>
          </w:p>
        </w:tc>
        <w:tc>
          <w:tcPr>
            <w:tcW w:w="2252" w:type="dxa"/>
          </w:tcPr>
          <w:p w14:paraId="619C21E7"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Under properties</w:t>
            </w:r>
          </w:p>
        </w:tc>
      </w:tr>
      <w:tr w:rsidR="00E212D3" w:rsidRPr="00A472FC" w14:paraId="6D1D027C" w14:textId="77777777" w:rsidTr="00B90B15">
        <w:tc>
          <w:tcPr>
            <w:tcW w:w="2252" w:type="dxa"/>
          </w:tcPr>
          <w:p w14:paraId="13492B7F"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Separated soul</w:t>
            </w:r>
          </w:p>
        </w:tc>
        <w:tc>
          <w:tcPr>
            <w:tcW w:w="2252" w:type="dxa"/>
          </w:tcPr>
          <w:p w14:paraId="791671E9"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w:t>
            </w:r>
            <w:r w:rsidRPr="00A472FC">
              <w:rPr>
                <w:rStyle w:val="FootnoteReference"/>
                <w:rFonts w:ascii="Times New Roman" w:hAnsi="Times New Roman" w:cs="Times New Roman"/>
              </w:rPr>
              <w:footnoteReference w:id="909"/>
            </w:r>
          </w:p>
        </w:tc>
      </w:tr>
      <w:tr w:rsidR="00E212D3" w:rsidRPr="00A472FC" w14:paraId="4FD86164" w14:textId="77777777" w:rsidTr="00B90B15">
        <w:tc>
          <w:tcPr>
            <w:tcW w:w="2252" w:type="dxa"/>
          </w:tcPr>
          <w:p w14:paraId="0CF53F38"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Identity of soul with its powers</w:t>
            </w:r>
          </w:p>
        </w:tc>
        <w:tc>
          <w:tcPr>
            <w:tcW w:w="2252" w:type="dxa"/>
          </w:tcPr>
          <w:p w14:paraId="3786F7AC"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Identity of soul with its powers</w:t>
            </w:r>
          </w:p>
        </w:tc>
      </w:tr>
      <w:tr w:rsidR="00E212D3" w:rsidRPr="00A472FC" w14:paraId="214E3CA6" w14:textId="77777777" w:rsidTr="00B90B15">
        <w:tc>
          <w:tcPr>
            <w:tcW w:w="2252" w:type="dxa"/>
          </w:tcPr>
          <w:p w14:paraId="3B1D2659"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Division of Augustine</w:t>
            </w:r>
          </w:p>
        </w:tc>
        <w:tc>
          <w:tcPr>
            <w:tcW w:w="2252" w:type="dxa"/>
          </w:tcPr>
          <w:p w14:paraId="6855092F"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Division of Aristotle</w:t>
            </w:r>
          </w:p>
        </w:tc>
      </w:tr>
      <w:tr w:rsidR="00E212D3" w:rsidRPr="00A472FC" w14:paraId="49D72FDD" w14:textId="77777777" w:rsidTr="00B90B15">
        <w:tc>
          <w:tcPr>
            <w:tcW w:w="2252" w:type="dxa"/>
          </w:tcPr>
          <w:p w14:paraId="51796759"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Division of Damascus</w:t>
            </w:r>
          </w:p>
        </w:tc>
        <w:tc>
          <w:tcPr>
            <w:tcW w:w="2252" w:type="dxa"/>
          </w:tcPr>
          <w:p w14:paraId="397EA044"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Division of Augustine</w:t>
            </w:r>
          </w:p>
        </w:tc>
      </w:tr>
      <w:tr w:rsidR="00E212D3" w:rsidRPr="00A472FC" w14:paraId="5F58E6B6" w14:textId="77777777" w:rsidTr="00B90B15">
        <w:tc>
          <w:tcPr>
            <w:tcW w:w="2252" w:type="dxa"/>
          </w:tcPr>
          <w:p w14:paraId="5F53FEFC"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Division of Avicenna</w:t>
            </w:r>
          </w:p>
        </w:tc>
        <w:tc>
          <w:tcPr>
            <w:tcW w:w="2252" w:type="dxa"/>
          </w:tcPr>
          <w:p w14:paraId="3469F140" w14:textId="77777777" w:rsidR="00E212D3" w:rsidRPr="00A472FC" w:rsidRDefault="00E212D3" w:rsidP="00B90B15">
            <w:pPr>
              <w:ind w:right="-52"/>
              <w:rPr>
                <w:rFonts w:ascii="Times New Roman" w:hAnsi="Times New Roman" w:cs="Times New Roman"/>
              </w:rPr>
            </w:pPr>
            <w:r w:rsidRPr="00A472FC">
              <w:rPr>
                <w:rFonts w:ascii="Times New Roman" w:hAnsi="Times New Roman" w:cs="Times New Roman"/>
              </w:rPr>
              <w:t>Division of Damascus</w:t>
            </w:r>
          </w:p>
        </w:tc>
      </w:tr>
    </w:tbl>
    <w:p w14:paraId="7097B260" w14:textId="77777777" w:rsidR="00E212D3" w:rsidRPr="00A472FC" w:rsidRDefault="00E212D3" w:rsidP="00E212D3">
      <w:pPr>
        <w:ind w:right="-52"/>
        <w:rPr>
          <w:rFonts w:ascii="Times New Roman" w:hAnsi="Times New Roman" w:cs="Times New Roman"/>
        </w:rPr>
      </w:pPr>
    </w:p>
    <w:p w14:paraId="06A2FA0D" w14:textId="77777777" w:rsidR="00E212D3" w:rsidRPr="00A472FC" w:rsidRDefault="00E212D3" w:rsidP="00E212D3">
      <w:pPr>
        <w:ind w:right="-52"/>
        <w:rPr>
          <w:rFonts w:ascii="Times New Roman" w:hAnsi="Times New Roman" w:cs="Times New Roman"/>
          <w:u w:val="single"/>
        </w:rPr>
      </w:pPr>
      <w:r w:rsidRPr="00A472FC">
        <w:rPr>
          <w:rFonts w:ascii="Times New Roman" w:hAnsi="Times New Roman" w:cs="Times New Roman"/>
          <w:u w:val="single"/>
        </w:rPr>
        <w:t>The Senses</w:t>
      </w:r>
    </w:p>
    <w:p w14:paraId="355F6ADD" w14:textId="77777777" w:rsidR="00E212D3" w:rsidRPr="00A472FC" w:rsidRDefault="00E212D3" w:rsidP="00E212D3">
      <w:pPr>
        <w:ind w:right="-52"/>
        <w:rPr>
          <w:rFonts w:ascii="Times New Roman" w:hAnsi="Times New Roman" w:cs="Times New Roman"/>
        </w:rPr>
      </w:pPr>
    </w:p>
    <w:p w14:paraId="28936539" w14:textId="7E7178BD"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As the Summa notes, the DSEA 4 and 11 distinguish five cognitive faculties—sense, imagination, </w:t>
      </w:r>
      <w:r w:rsidRPr="00A472FC">
        <w:rPr>
          <w:rFonts w:ascii="Times New Roman" w:hAnsi="Times New Roman" w:cs="Times New Roman"/>
          <w:i/>
          <w:iCs/>
        </w:rPr>
        <w:t>ratio</w:t>
      </w:r>
      <w:r w:rsidRPr="00A472FC">
        <w:rPr>
          <w:rFonts w:ascii="Times New Roman" w:hAnsi="Times New Roman" w:cs="Times New Roman"/>
        </w:rPr>
        <w:t xml:space="preserve">, </w:t>
      </w:r>
      <w:proofErr w:type="spellStart"/>
      <w:r w:rsidRPr="00A472FC">
        <w:rPr>
          <w:rFonts w:ascii="Times New Roman" w:hAnsi="Times New Roman" w:cs="Times New Roman"/>
          <w:i/>
          <w:iCs/>
        </w:rPr>
        <w:t>intellectus</w:t>
      </w:r>
      <w:proofErr w:type="spellEnd"/>
      <w:r w:rsidRPr="00A472FC">
        <w:rPr>
          <w:rFonts w:ascii="Times New Roman" w:hAnsi="Times New Roman" w:cs="Times New Roman"/>
        </w:rPr>
        <w:t>,</w:t>
      </w:r>
      <w:r w:rsidRPr="00A472FC">
        <w:rPr>
          <w:rFonts w:ascii="Times New Roman" w:hAnsi="Times New Roman" w:cs="Times New Roman"/>
          <w:i/>
          <w:iCs/>
        </w:rPr>
        <w:t xml:space="preserve"> </w:t>
      </w:r>
      <w:r w:rsidRPr="00A472FC">
        <w:rPr>
          <w:rFonts w:ascii="Times New Roman" w:hAnsi="Times New Roman" w:cs="Times New Roman"/>
        </w:rPr>
        <w:t xml:space="preserve">and </w:t>
      </w:r>
      <w:proofErr w:type="spellStart"/>
      <w:r w:rsidRPr="00A472FC">
        <w:rPr>
          <w:rFonts w:ascii="Times New Roman" w:hAnsi="Times New Roman" w:cs="Times New Roman"/>
          <w:i/>
          <w:iCs/>
        </w:rPr>
        <w:t>intelligentia</w:t>
      </w:r>
      <w:proofErr w:type="spellEnd"/>
      <w:r w:rsidRPr="00A472FC">
        <w:rPr>
          <w:rFonts w:ascii="Times New Roman" w:hAnsi="Times New Roman" w:cs="Times New Roman"/>
        </w:rPr>
        <w:t>. Two of these, namely, sense and imagination, pertain to what is described as the sensitive part of the soul.</w:t>
      </w:r>
      <w:r w:rsidRPr="00A472FC">
        <w:rPr>
          <w:rStyle w:val="FootnoteReference"/>
          <w:rFonts w:ascii="Times New Roman" w:hAnsi="Times New Roman" w:cs="Times New Roman"/>
        </w:rPr>
        <w:footnoteReference w:id="910"/>
      </w:r>
      <w:r w:rsidRPr="00A472FC">
        <w:rPr>
          <w:rFonts w:ascii="Times New Roman" w:hAnsi="Times New Roman" w:cs="Times New Roman"/>
        </w:rPr>
        <w:t xml:space="preserve"> The former involves the five external senses of sight, hearing, smell, taste, and touch, which correspond to the five sense organs, namely, the eyes, ears, nose, mouth, and skin, respectively.</w:t>
      </w:r>
      <w:r w:rsidRPr="00A472FC">
        <w:rPr>
          <w:rStyle w:val="FootnoteReference"/>
          <w:rFonts w:ascii="Times New Roman" w:hAnsi="Times New Roman" w:cs="Times New Roman"/>
        </w:rPr>
        <w:footnoteReference w:id="911"/>
      </w:r>
      <w:r w:rsidRPr="00A472FC">
        <w:rPr>
          <w:rFonts w:ascii="Times New Roman" w:hAnsi="Times New Roman" w:cs="Times New Roman"/>
        </w:rPr>
        <w:t xml:space="preserve"> As the Summa </w:t>
      </w:r>
      <w:proofErr w:type="spellStart"/>
      <w:r w:rsidRPr="00A472FC">
        <w:rPr>
          <w:rFonts w:ascii="Times New Roman" w:hAnsi="Times New Roman" w:cs="Times New Roman"/>
        </w:rPr>
        <w:t>summarizes</w:t>
      </w:r>
      <w:proofErr w:type="spellEnd"/>
      <w:r w:rsidRPr="00A472FC">
        <w:rPr>
          <w:rFonts w:ascii="Times New Roman" w:hAnsi="Times New Roman" w:cs="Times New Roman"/>
        </w:rPr>
        <w:t xml:space="preserve">, ‘the sense concerns sensible forms </w:t>
      </w:r>
      <w:r w:rsidR="0087774A" w:rsidRPr="00A472FC">
        <w:rPr>
          <w:rFonts w:ascii="Times New Roman" w:hAnsi="Times New Roman" w:cs="Times New Roman"/>
        </w:rPr>
        <w:t>in the presence of matter</w:t>
      </w:r>
      <w:r w:rsidRPr="00A472FC">
        <w:rPr>
          <w:rFonts w:ascii="Times New Roman" w:hAnsi="Times New Roman" w:cs="Times New Roman"/>
        </w:rPr>
        <w:t xml:space="preserve">; the imagination concerns sensible forms absent matter; reason concerns intelligible forms found in sensible things; memory is the cognition of past things, such as what has been sensed or comprehended by reason; intellect </w:t>
      </w:r>
      <w:r w:rsidR="00A0648D" w:rsidRPr="00A472FC">
        <w:rPr>
          <w:rFonts w:ascii="Times New Roman" w:hAnsi="Times New Roman" w:cs="Times New Roman"/>
        </w:rPr>
        <w:t>deals with</w:t>
      </w:r>
      <w:r w:rsidRPr="00A472FC">
        <w:rPr>
          <w:rFonts w:ascii="Times New Roman" w:hAnsi="Times New Roman" w:cs="Times New Roman"/>
        </w:rPr>
        <w:t xml:space="preserve"> forms </w:t>
      </w:r>
      <w:r w:rsidR="00A0648D" w:rsidRPr="00A472FC">
        <w:rPr>
          <w:rFonts w:ascii="Times New Roman" w:hAnsi="Times New Roman" w:cs="Times New Roman"/>
        </w:rPr>
        <w:t xml:space="preserve">that are </w:t>
      </w:r>
      <w:r w:rsidRPr="00A472FC">
        <w:rPr>
          <w:rFonts w:ascii="Times New Roman" w:hAnsi="Times New Roman" w:cs="Times New Roman"/>
        </w:rPr>
        <w:t>intelligible</w:t>
      </w:r>
      <w:r w:rsidR="00A0648D" w:rsidRPr="00A472FC">
        <w:rPr>
          <w:rFonts w:ascii="Times New Roman" w:hAnsi="Times New Roman" w:cs="Times New Roman"/>
        </w:rPr>
        <w:t>,</w:t>
      </w:r>
      <w:r w:rsidRPr="00A472FC">
        <w:rPr>
          <w:rFonts w:ascii="Times New Roman" w:hAnsi="Times New Roman" w:cs="Times New Roman"/>
        </w:rPr>
        <w:t xml:space="preserve"> </w:t>
      </w:r>
      <w:r w:rsidR="00A0648D" w:rsidRPr="00A472FC">
        <w:rPr>
          <w:rFonts w:ascii="Times New Roman" w:hAnsi="Times New Roman" w:cs="Times New Roman"/>
        </w:rPr>
        <w:t xml:space="preserve">created, and </w:t>
      </w:r>
      <w:r w:rsidRPr="00A472FC">
        <w:rPr>
          <w:rFonts w:ascii="Times New Roman" w:hAnsi="Times New Roman" w:cs="Times New Roman"/>
        </w:rPr>
        <w:t>separate from sensible things, and intelligence concerns the divine.’</w:t>
      </w:r>
      <w:r w:rsidRPr="00A472FC">
        <w:rPr>
          <w:rStyle w:val="FootnoteReference"/>
          <w:rFonts w:ascii="Times New Roman" w:hAnsi="Times New Roman" w:cs="Times New Roman"/>
        </w:rPr>
        <w:footnoteReference w:id="912"/>
      </w:r>
    </w:p>
    <w:p w14:paraId="33FAE8AC" w14:textId="386A27DD" w:rsidR="00351FE4" w:rsidRPr="00A472FC" w:rsidRDefault="00E212D3" w:rsidP="00351FE4">
      <w:pPr>
        <w:ind w:right="-52" w:firstLine="720"/>
        <w:rPr>
          <w:rFonts w:ascii="Times New Roman" w:hAnsi="Times New Roman" w:cs="Times New Roman"/>
        </w:rPr>
      </w:pPr>
      <w:r w:rsidRPr="00A472FC">
        <w:rPr>
          <w:rFonts w:ascii="Times New Roman" w:hAnsi="Times New Roman" w:cs="Times New Roman"/>
        </w:rPr>
        <w:lastRenderedPageBreak/>
        <w:t xml:space="preserve">According to John of Damascus, there are three facets of the sensitive soul, namely, </w:t>
      </w:r>
      <w:r w:rsidR="006077E3" w:rsidRPr="00A472FC">
        <w:rPr>
          <w:rFonts w:ascii="Times New Roman" w:hAnsi="Times New Roman" w:cs="Times New Roman"/>
        </w:rPr>
        <w:t>the i</w:t>
      </w:r>
      <w:r w:rsidRPr="00A472FC">
        <w:rPr>
          <w:rFonts w:ascii="Times New Roman" w:hAnsi="Times New Roman" w:cs="Times New Roman"/>
        </w:rPr>
        <w:t xml:space="preserve">maginative, </w:t>
      </w:r>
      <w:proofErr w:type="spellStart"/>
      <w:r w:rsidRPr="00A472FC">
        <w:rPr>
          <w:rFonts w:ascii="Times New Roman" w:hAnsi="Times New Roman" w:cs="Times New Roman"/>
        </w:rPr>
        <w:t>excogitative</w:t>
      </w:r>
      <w:proofErr w:type="spellEnd"/>
      <w:r w:rsidRPr="00A472FC">
        <w:rPr>
          <w:rFonts w:ascii="Times New Roman" w:hAnsi="Times New Roman" w:cs="Times New Roman"/>
        </w:rPr>
        <w:t xml:space="preserve">, and </w:t>
      </w:r>
      <w:proofErr w:type="spellStart"/>
      <w:r w:rsidRPr="00A472FC">
        <w:rPr>
          <w:rFonts w:ascii="Times New Roman" w:hAnsi="Times New Roman" w:cs="Times New Roman"/>
        </w:rPr>
        <w:t>memor</w:t>
      </w:r>
      <w:r w:rsidR="00275CE6" w:rsidRPr="00A472FC">
        <w:rPr>
          <w:rFonts w:ascii="Times New Roman" w:hAnsi="Times New Roman" w:cs="Times New Roman"/>
        </w:rPr>
        <w:t>ative</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913"/>
      </w:r>
      <w:r w:rsidRPr="00A472FC">
        <w:rPr>
          <w:rFonts w:ascii="Times New Roman" w:hAnsi="Times New Roman" w:cs="Times New Roman"/>
        </w:rPr>
        <w:t xml:space="preserve"> The imaginative is located in the front of the brain and captures images of sense objects apart from matter; the memory is</w:t>
      </w:r>
      <w:r w:rsidR="00D21BCB" w:rsidRPr="00A472FC">
        <w:rPr>
          <w:rFonts w:ascii="Times New Roman" w:hAnsi="Times New Roman" w:cs="Times New Roman"/>
        </w:rPr>
        <w:t xml:space="preserve"> based</w:t>
      </w:r>
      <w:r w:rsidRPr="00A472FC">
        <w:rPr>
          <w:rFonts w:ascii="Times New Roman" w:hAnsi="Times New Roman" w:cs="Times New Roman"/>
        </w:rPr>
        <w:t xml:space="preserve"> in the back of the brain and retains those images; the </w:t>
      </w:r>
      <w:proofErr w:type="spellStart"/>
      <w:r w:rsidRPr="00A472FC">
        <w:rPr>
          <w:rFonts w:ascii="Times New Roman" w:hAnsi="Times New Roman" w:cs="Times New Roman"/>
        </w:rPr>
        <w:t>excogitative</w:t>
      </w:r>
      <w:proofErr w:type="spellEnd"/>
      <w:r w:rsidRPr="00A472FC">
        <w:rPr>
          <w:rFonts w:ascii="Times New Roman" w:hAnsi="Times New Roman" w:cs="Times New Roman"/>
        </w:rPr>
        <w:t xml:space="preserve"> is in the middle and composes and divides different features of imaged objects.</w:t>
      </w:r>
      <w:r w:rsidRPr="00A472FC">
        <w:rPr>
          <w:rStyle w:val="FootnoteReference"/>
          <w:rFonts w:ascii="Times New Roman" w:hAnsi="Times New Roman" w:cs="Times New Roman"/>
        </w:rPr>
        <w:footnoteReference w:id="914"/>
      </w:r>
      <w:r w:rsidRPr="00A472FC">
        <w:rPr>
          <w:rFonts w:ascii="Times New Roman" w:hAnsi="Times New Roman" w:cs="Times New Roman"/>
        </w:rPr>
        <w:t xml:space="preserve"> According to Avicenna, there are five of what he describes as internal senses, namely, the common sense, fantasy</w:t>
      </w:r>
      <w:r w:rsidR="001813FF" w:rsidRPr="00A472FC">
        <w:rPr>
          <w:rFonts w:ascii="Times New Roman" w:hAnsi="Times New Roman" w:cs="Times New Roman"/>
        </w:rPr>
        <w:t xml:space="preserve"> or imagination</w:t>
      </w:r>
      <w:r w:rsidRPr="00A472FC">
        <w:rPr>
          <w:rFonts w:ascii="Times New Roman" w:hAnsi="Times New Roman" w:cs="Times New Roman"/>
        </w:rPr>
        <w:t xml:space="preserve">, </w:t>
      </w:r>
      <w:proofErr w:type="spellStart"/>
      <w:r w:rsidR="00351FE4" w:rsidRPr="00A472FC">
        <w:rPr>
          <w:rFonts w:ascii="Times New Roman" w:hAnsi="Times New Roman" w:cs="Times New Roman"/>
        </w:rPr>
        <w:t>excogitative</w:t>
      </w:r>
      <w:proofErr w:type="spellEnd"/>
      <w:r w:rsidR="00351FE4" w:rsidRPr="00A472FC">
        <w:rPr>
          <w:rFonts w:ascii="Times New Roman" w:hAnsi="Times New Roman" w:cs="Times New Roman"/>
        </w:rPr>
        <w:t xml:space="preserve"> or imaginative</w:t>
      </w:r>
      <w:r w:rsidRPr="00A472FC">
        <w:rPr>
          <w:rFonts w:ascii="Times New Roman" w:hAnsi="Times New Roman" w:cs="Times New Roman"/>
        </w:rPr>
        <w:t>, estimative, and memory.</w:t>
      </w:r>
      <w:r w:rsidRPr="00A472FC">
        <w:rPr>
          <w:rStyle w:val="FootnoteReference"/>
          <w:rFonts w:ascii="Times New Roman" w:hAnsi="Times New Roman" w:cs="Times New Roman"/>
        </w:rPr>
        <w:footnoteReference w:id="915"/>
      </w:r>
      <w:r w:rsidRPr="00A472FC">
        <w:rPr>
          <w:rFonts w:ascii="Times New Roman" w:hAnsi="Times New Roman" w:cs="Times New Roman"/>
        </w:rPr>
        <w:t xml:space="preserve"> The first question the Summa pursues in this context is whether Damascus’ scheme pertains only to the sensitive or also to rational part of the soul.</w:t>
      </w:r>
      <w:r w:rsidRPr="00A472FC">
        <w:rPr>
          <w:rStyle w:val="FootnoteReference"/>
          <w:rFonts w:ascii="Times New Roman" w:hAnsi="Times New Roman" w:cs="Times New Roman"/>
        </w:rPr>
        <w:footnoteReference w:id="916"/>
      </w:r>
      <w:r w:rsidRPr="00A472FC">
        <w:rPr>
          <w:rFonts w:ascii="Times New Roman" w:hAnsi="Times New Roman" w:cs="Times New Roman"/>
        </w:rPr>
        <w:t xml:space="preserve"> The conclusion reached is that in animals, it pertains only to the sensitive part of the soul, but in those ruled by the power of reason, the three powers he names contribute to the work of reason. </w:t>
      </w:r>
    </w:p>
    <w:p w14:paraId="3D389B14" w14:textId="374F4B4F" w:rsidR="007A652E" w:rsidRPr="00A472FC" w:rsidRDefault="00E212D3" w:rsidP="00F43B1F">
      <w:pPr>
        <w:ind w:right="-52" w:firstLine="720"/>
        <w:rPr>
          <w:rFonts w:ascii="Times New Roman" w:hAnsi="Times New Roman" w:cs="Times New Roman"/>
        </w:rPr>
      </w:pPr>
      <w:r w:rsidRPr="00A472FC">
        <w:rPr>
          <w:rFonts w:ascii="Times New Roman" w:hAnsi="Times New Roman" w:cs="Times New Roman"/>
        </w:rPr>
        <w:t>In a remarkable conceptual move, the Summa then argues that Damascus’ three powers basically perform the functions described by Avicenna in delineating his five internal senses.</w:t>
      </w:r>
      <w:r w:rsidRPr="00A472FC">
        <w:rPr>
          <w:rStyle w:val="FootnoteReference"/>
          <w:rFonts w:ascii="Times New Roman" w:hAnsi="Times New Roman" w:cs="Times New Roman"/>
        </w:rPr>
        <w:footnoteReference w:id="917"/>
      </w:r>
      <w:r w:rsidRPr="00A472FC">
        <w:rPr>
          <w:rFonts w:ascii="Times New Roman" w:hAnsi="Times New Roman" w:cs="Times New Roman"/>
        </w:rPr>
        <w:t xml:space="preserve"> Like Avicenna</w:t>
      </w:r>
      <w:r w:rsidR="00155818" w:rsidRPr="00A472FC">
        <w:rPr>
          <w:rFonts w:ascii="Times New Roman" w:hAnsi="Times New Roman" w:cs="Times New Roman"/>
        </w:rPr>
        <w:t>’s</w:t>
      </w:r>
      <w:r w:rsidRPr="00A472FC">
        <w:rPr>
          <w:rFonts w:ascii="Times New Roman" w:hAnsi="Times New Roman" w:cs="Times New Roman"/>
        </w:rPr>
        <w:t>, Damascus’ imagination performs an apprehending function</w:t>
      </w:r>
      <w:r w:rsidR="000E50B9" w:rsidRPr="00A472FC">
        <w:rPr>
          <w:rFonts w:ascii="Times New Roman" w:hAnsi="Times New Roman" w:cs="Times New Roman"/>
        </w:rPr>
        <w:t>, as does the common sense</w:t>
      </w:r>
      <w:r w:rsidRPr="00A472FC">
        <w:rPr>
          <w:rFonts w:ascii="Times New Roman" w:hAnsi="Times New Roman" w:cs="Times New Roman"/>
        </w:rPr>
        <w:t xml:space="preserve">. His </w:t>
      </w:r>
      <w:proofErr w:type="spellStart"/>
      <w:r w:rsidRPr="00A472FC">
        <w:rPr>
          <w:rFonts w:ascii="Times New Roman" w:hAnsi="Times New Roman" w:cs="Times New Roman"/>
        </w:rPr>
        <w:t>excogitative</w:t>
      </w:r>
      <w:proofErr w:type="spellEnd"/>
      <w:r w:rsidRPr="00A472FC">
        <w:rPr>
          <w:rFonts w:ascii="Times New Roman" w:hAnsi="Times New Roman" w:cs="Times New Roman"/>
        </w:rPr>
        <w:t xml:space="preserve"> faculty seemingly performs the functions that could be attributed to the imaginative </w:t>
      </w:r>
      <w:r w:rsidR="007A652E" w:rsidRPr="00A472FC">
        <w:rPr>
          <w:rFonts w:ascii="Times New Roman" w:hAnsi="Times New Roman" w:cs="Times New Roman"/>
        </w:rPr>
        <w:t xml:space="preserve">or </w:t>
      </w:r>
      <w:proofErr w:type="spellStart"/>
      <w:r w:rsidR="007A652E" w:rsidRPr="00A472FC">
        <w:rPr>
          <w:rFonts w:ascii="Times New Roman" w:hAnsi="Times New Roman" w:cs="Times New Roman"/>
        </w:rPr>
        <w:t>excogitative</w:t>
      </w:r>
      <w:proofErr w:type="spellEnd"/>
      <w:r w:rsidR="007A652E" w:rsidRPr="00A472FC">
        <w:rPr>
          <w:rFonts w:ascii="Times New Roman" w:hAnsi="Times New Roman" w:cs="Times New Roman"/>
        </w:rPr>
        <w:t xml:space="preserve"> </w:t>
      </w:r>
      <w:r w:rsidRPr="00A472FC">
        <w:rPr>
          <w:rFonts w:ascii="Times New Roman" w:hAnsi="Times New Roman" w:cs="Times New Roman"/>
        </w:rPr>
        <w:t xml:space="preserve">faculty and estimation; while his memory performs the work that is assigned to </w:t>
      </w:r>
      <w:r w:rsidR="00BB7CBA" w:rsidRPr="00A472FC">
        <w:rPr>
          <w:rFonts w:ascii="Times New Roman" w:hAnsi="Times New Roman" w:cs="Times New Roman"/>
        </w:rPr>
        <w:t>imagination and</w:t>
      </w:r>
      <w:r w:rsidR="00837C87" w:rsidRPr="00A472FC">
        <w:rPr>
          <w:rFonts w:ascii="Times New Roman" w:hAnsi="Times New Roman" w:cs="Times New Roman"/>
        </w:rPr>
        <w:t xml:space="preserve"> </w:t>
      </w:r>
      <w:r w:rsidRPr="00A472FC">
        <w:rPr>
          <w:rFonts w:ascii="Times New Roman" w:hAnsi="Times New Roman" w:cs="Times New Roman"/>
        </w:rPr>
        <w:t>the sense memory.</w:t>
      </w:r>
      <w:r w:rsidRPr="00A472FC">
        <w:rPr>
          <w:rStyle w:val="FootnoteReference"/>
          <w:rFonts w:ascii="Times New Roman" w:hAnsi="Times New Roman" w:cs="Times New Roman"/>
        </w:rPr>
        <w:footnoteReference w:id="918"/>
      </w:r>
      <w:r w:rsidRPr="00A472FC">
        <w:rPr>
          <w:rFonts w:ascii="Times New Roman" w:hAnsi="Times New Roman" w:cs="Times New Roman"/>
        </w:rPr>
        <w:t xml:space="preserve"> </w:t>
      </w:r>
    </w:p>
    <w:p w14:paraId="148440AE" w14:textId="30B2051D" w:rsidR="00BB7CBA" w:rsidRPr="00A472FC" w:rsidRDefault="00BB7CBA" w:rsidP="00F43B1F">
      <w:pPr>
        <w:ind w:right="-52" w:firstLine="720"/>
        <w:rPr>
          <w:rFonts w:ascii="Times New Roman" w:hAnsi="Times New Roman" w:cs="Times New Roman"/>
        </w:rPr>
      </w:pPr>
    </w:p>
    <w:p w14:paraId="387B0253" w14:textId="210D873F" w:rsidR="00BB7CBA" w:rsidRPr="00A472FC" w:rsidRDefault="00BB7CBA" w:rsidP="00F43B1F">
      <w:pPr>
        <w:ind w:right="-52" w:firstLine="720"/>
        <w:rPr>
          <w:rFonts w:ascii="Times New Roman" w:hAnsi="Times New Roman" w:cs="Times New Roman"/>
          <w:b/>
          <w:bCs/>
        </w:rPr>
      </w:pPr>
      <w:r w:rsidRPr="00A472FC">
        <w:rPr>
          <w:rFonts w:ascii="Times New Roman" w:hAnsi="Times New Roman" w:cs="Times New Roman"/>
          <w:b/>
          <w:bCs/>
        </w:rPr>
        <w:t>Damascene’s categories</w:t>
      </w:r>
      <w:r w:rsidRPr="00A472FC">
        <w:rPr>
          <w:rFonts w:ascii="Times New Roman" w:hAnsi="Times New Roman" w:cs="Times New Roman"/>
          <w:b/>
          <w:bCs/>
        </w:rPr>
        <w:tab/>
      </w:r>
      <w:r w:rsidRPr="00A472FC">
        <w:rPr>
          <w:rFonts w:ascii="Times New Roman" w:hAnsi="Times New Roman" w:cs="Times New Roman"/>
          <w:b/>
          <w:bCs/>
        </w:rPr>
        <w:tab/>
      </w:r>
      <w:r w:rsidRPr="00A472FC">
        <w:rPr>
          <w:rFonts w:ascii="Times New Roman" w:hAnsi="Times New Roman" w:cs="Times New Roman"/>
          <w:b/>
          <w:bCs/>
        </w:rPr>
        <w:tab/>
        <w:t>Avicenna’s categories</w:t>
      </w:r>
    </w:p>
    <w:p w14:paraId="1F0A45FE" w14:textId="682BED66" w:rsidR="00BB7CBA" w:rsidRPr="00A472FC" w:rsidRDefault="00BB7CBA" w:rsidP="00F43B1F">
      <w:pPr>
        <w:ind w:right="-52" w:firstLine="720"/>
        <w:rPr>
          <w:rFonts w:ascii="Times New Roman" w:hAnsi="Times New Roman" w:cs="Times New Roman"/>
        </w:rPr>
      </w:pPr>
    </w:p>
    <w:p w14:paraId="783F50DF" w14:textId="0F0CB66B" w:rsidR="00BB7CBA" w:rsidRPr="00A472FC" w:rsidRDefault="00BB7CBA" w:rsidP="00F43B1F">
      <w:pPr>
        <w:ind w:right="-52" w:firstLine="720"/>
        <w:rPr>
          <w:rFonts w:ascii="Times New Roman" w:hAnsi="Times New Roman" w:cs="Times New Roman"/>
        </w:rPr>
      </w:pPr>
      <w:r w:rsidRPr="00A472FC">
        <w:rPr>
          <w:rFonts w:ascii="Times New Roman" w:hAnsi="Times New Roman" w:cs="Times New Roman"/>
        </w:rPr>
        <w:t>Imaginative (front of brain)</w:t>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t>Common sense</w:t>
      </w:r>
    </w:p>
    <w:p w14:paraId="75BED925" w14:textId="6C5EA8EA" w:rsidR="00206B63" w:rsidRPr="00A472FC" w:rsidRDefault="00206B63" w:rsidP="00F43B1F">
      <w:pPr>
        <w:ind w:right="-52" w:firstLine="720"/>
        <w:rPr>
          <w:rFonts w:ascii="Times New Roman" w:hAnsi="Times New Roman" w:cs="Times New Roman"/>
        </w:rPr>
      </w:pP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t>Imagination</w:t>
      </w:r>
    </w:p>
    <w:p w14:paraId="7FB093F2" w14:textId="34289BC2" w:rsidR="00BB7CBA" w:rsidRPr="00A472FC" w:rsidRDefault="00BB7CBA" w:rsidP="00F43B1F">
      <w:pPr>
        <w:ind w:right="-52" w:firstLine="720"/>
        <w:rPr>
          <w:rFonts w:ascii="Times New Roman" w:hAnsi="Times New Roman" w:cs="Times New Roman"/>
        </w:rPr>
      </w:pPr>
    </w:p>
    <w:p w14:paraId="4EE870F2" w14:textId="77777777" w:rsidR="00BB7CBA" w:rsidRPr="00A472FC" w:rsidRDefault="00BB7CBA" w:rsidP="00F43B1F">
      <w:pPr>
        <w:ind w:right="-52" w:firstLine="720"/>
        <w:rPr>
          <w:rFonts w:ascii="Times New Roman" w:hAnsi="Times New Roman" w:cs="Times New Roman"/>
        </w:rPr>
      </w:pPr>
      <w:proofErr w:type="spellStart"/>
      <w:r w:rsidRPr="00A472FC">
        <w:rPr>
          <w:rFonts w:ascii="Times New Roman" w:hAnsi="Times New Roman" w:cs="Times New Roman"/>
        </w:rPr>
        <w:t>Excogitative</w:t>
      </w:r>
      <w:proofErr w:type="spellEnd"/>
      <w:r w:rsidRPr="00A472FC">
        <w:rPr>
          <w:rFonts w:ascii="Times New Roman" w:hAnsi="Times New Roman" w:cs="Times New Roman"/>
        </w:rPr>
        <w:t xml:space="preserve"> (middle of brain)</w:t>
      </w:r>
      <w:r w:rsidRPr="00A472FC">
        <w:rPr>
          <w:rFonts w:ascii="Times New Roman" w:hAnsi="Times New Roman" w:cs="Times New Roman"/>
        </w:rPr>
        <w:tab/>
      </w:r>
      <w:r w:rsidRPr="00A472FC">
        <w:rPr>
          <w:rFonts w:ascii="Times New Roman" w:hAnsi="Times New Roman" w:cs="Times New Roman"/>
        </w:rPr>
        <w:tab/>
        <w:t>Imaginative/</w:t>
      </w:r>
      <w:proofErr w:type="spellStart"/>
      <w:r w:rsidRPr="00A472FC">
        <w:rPr>
          <w:rFonts w:ascii="Times New Roman" w:hAnsi="Times New Roman" w:cs="Times New Roman"/>
        </w:rPr>
        <w:t>excogitative</w:t>
      </w:r>
      <w:proofErr w:type="spellEnd"/>
    </w:p>
    <w:p w14:paraId="14EC2A3C" w14:textId="487FF7C5" w:rsidR="00BB7CBA" w:rsidRPr="00A472FC" w:rsidRDefault="00BB7CBA" w:rsidP="00F43B1F">
      <w:pPr>
        <w:ind w:right="-52" w:firstLine="720"/>
        <w:rPr>
          <w:rFonts w:ascii="Times New Roman" w:hAnsi="Times New Roman" w:cs="Times New Roman"/>
        </w:rPr>
      </w:pP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t>Estimation</w:t>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r>
    </w:p>
    <w:p w14:paraId="3AD76E23" w14:textId="75A8FC0B" w:rsidR="00BB7CBA" w:rsidRPr="00A472FC" w:rsidRDefault="00BB7CBA" w:rsidP="00F43B1F">
      <w:pPr>
        <w:ind w:right="-52" w:firstLine="720"/>
        <w:rPr>
          <w:rFonts w:ascii="Times New Roman" w:hAnsi="Times New Roman" w:cs="Times New Roman"/>
        </w:rPr>
      </w:pPr>
    </w:p>
    <w:p w14:paraId="060AA534" w14:textId="78C3D25E" w:rsidR="00BB7CBA" w:rsidRPr="00A472FC" w:rsidRDefault="00BB7CBA" w:rsidP="00DE32DB">
      <w:pPr>
        <w:ind w:right="-52" w:firstLine="720"/>
        <w:rPr>
          <w:rFonts w:ascii="Times New Roman" w:hAnsi="Times New Roman" w:cs="Times New Roman"/>
        </w:rPr>
      </w:pPr>
      <w:proofErr w:type="spellStart"/>
      <w:r w:rsidRPr="00A472FC">
        <w:rPr>
          <w:rFonts w:ascii="Times New Roman" w:hAnsi="Times New Roman" w:cs="Times New Roman"/>
        </w:rPr>
        <w:t>Memorative</w:t>
      </w:r>
      <w:proofErr w:type="spellEnd"/>
      <w:r w:rsidRPr="00A472FC">
        <w:rPr>
          <w:rFonts w:ascii="Times New Roman" w:hAnsi="Times New Roman" w:cs="Times New Roman"/>
        </w:rPr>
        <w:t xml:space="preserve"> (back of brain)</w:t>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t>Sense memory</w:t>
      </w:r>
    </w:p>
    <w:p w14:paraId="7A51E8E7" w14:textId="77777777" w:rsidR="00BB7CBA" w:rsidRPr="00A472FC" w:rsidRDefault="00BB7CBA" w:rsidP="00B7010C">
      <w:pPr>
        <w:ind w:right="-52"/>
        <w:rPr>
          <w:rFonts w:ascii="Times New Roman" w:hAnsi="Times New Roman" w:cs="Times New Roman"/>
        </w:rPr>
      </w:pPr>
    </w:p>
    <w:p w14:paraId="68AC35A7" w14:textId="1A772DB0"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This conclusion leads to </w:t>
      </w:r>
      <w:r w:rsidR="00B0732B" w:rsidRPr="00A472FC">
        <w:rPr>
          <w:rFonts w:ascii="Times New Roman" w:hAnsi="Times New Roman" w:cs="Times New Roman"/>
        </w:rPr>
        <w:t>the</w:t>
      </w:r>
      <w:r w:rsidRPr="00A472FC">
        <w:rPr>
          <w:rFonts w:ascii="Times New Roman" w:hAnsi="Times New Roman" w:cs="Times New Roman"/>
        </w:rPr>
        <w:t xml:space="preserve"> more general question whether Avicenna’s five-fold and Damascus’ three-fold account of the internal senses can both be contained under pseudo-Augustine’s category of imagination. Since all interior powers of the sensitive cognition deal with sensible forms absent matter, the Summa concludes that they can indeed be reduced to this faculty.</w:t>
      </w:r>
      <w:r w:rsidRPr="00A472FC">
        <w:rPr>
          <w:rStyle w:val="FootnoteReference"/>
          <w:rFonts w:ascii="Times New Roman" w:hAnsi="Times New Roman" w:cs="Times New Roman"/>
        </w:rPr>
        <w:footnoteReference w:id="919"/>
      </w:r>
      <w:r w:rsidRPr="00A472FC">
        <w:rPr>
          <w:rFonts w:ascii="Times New Roman" w:hAnsi="Times New Roman" w:cs="Times New Roman"/>
        </w:rPr>
        <w:t xml:space="preserve"> Obviously, there are more specific ways to define the work of the imagination than Augustine employs, as we have seen in discussing Avicenna. In the broad sense of the term, however,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believes that all the sensitive powers or internal senses described by both Damascus and Avicenna can be considered as aspects or functions of the imagination. </w:t>
      </w:r>
    </w:p>
    <w:p w14:paraId="31932AE0" w14:textId="7777777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lastRenderedPageBreak/>
        <w:t>In a further turn of the argument, the Summa contends that the organ that achieves all of the work that is associated with imagination is precisely Avicenna’s category of estimation.</w:t>
      </w:r>
      <w:r w:rsidRPr="00A472FC">
        <w:rPr>
          <w:rStyle w:val="FootnoteReference"/>
          <w:rFonts w:ascii="Times New Roman" w:hAnsi="Times New Roman" w:cs="Times New Roman"/>
        </w:rPr>
        <w:footnoteReference w:id="920"/>
      </w:r>
      <w:r w:rsidRPr="00A472FC">
        <w:rPr>
          <w:rFonts w:ascii="Times New Roman" w:hAnsi="Times New Roman" w:cs="Times New Roman"/>
        </w:rPr>
        <w:t xml:space="preserve"> This is the faculty in Avicenna which produces the final product of a whole process of internal sensation—the so-called intention, which represents a sensible form absent matter, qua particular, together with certain ‘connotational attributes’, which signify its helpful or harmful nature.</w:t>
      </w:r>
      <w:r w:rsidRPr="00A472FC">
        <w:rPr>
          <w:rStyle w:val="FootnoteReference"/>
          <w:rFonts w:ascii="Times New Roman" w:hAnsi="Times New Roman" w:cs="Times New Roman"/>
        </w:rPr>
        <w:footnoteReference w:id="921"/>
      </w:r>
      <w:r w:rsidRPr="00A472FC">
        <w:rPr>
          <w:rFonts w:ascii="Times New Roman" w:hAnsi="Times New Roman" w:cs="Times New Roman"/>
        </w:rPr>
        <w:t xml:space="preserve"> In the final analysis, there is a summary of Avicenna’s account of the interior senses as follows: </w:t>
      </w:r>
    </w:p>
    <w:p w14:paraId="75E099BB" w14:textId="77777777" w:rsidR="00E212D3" w:rsidRPr="00A472FC" w:rsidRDefault="00E212D3" w:rsidP="00E212D3">
      <w:pPr>
        <w:ind w:right="-52" w:firstLine="720"/>
        <w:rPr>
          <w:rFonts w:ascii="Times New Roman" w:hAnsi="Times New Roman" w:cs="Times New Roman"/>
        </w:rPr>
      </w:pPr>
    </w:p>
    <w:p w14:paraId="44768A47" w14:textId="6231DCA0" w:rsidR="00E212D3" w:rsidRPr="00A472FC" w:rsidRDefault="00E212D3" w:rsidP="00E212D3">
      <w:pPr>
        <w:ind w:left="720" w:right="-52"/>
        <w:rPr>
          <w:rFonts w:ascii="Times New Roman" w:hAnsi="Times New Roman" w:cs="Times New Roman"/>
        </w:rPr>
      </w:pPr>
      <w:r w:rsidRPr="00A472FC">
        <w:rPr>
          <w:rFonts w:ascii="Times New Roman" w:hAnsi="Times New Roman" w:cs="Times New Roman"/>
        </w:rPr>
        <w:t>Sensible forms are either apprehended or preserved or transformed or united absent matter. The act of apprehending is attributed to the common sense; preserving to the imagination or fantasy, while transforming or uniting forms absent matter pertains to the imaginative faculty. If we speak of intentions, like good or evil, or what is helpful or harmful, as a sheep nearing either a lamb or a wolf, there is either apprehending or preserving. If there is apprehending, this is called estimation, if preserving, memory. In the distinction of Avicenna, the common sense is in the front of the brain, imagination in the same part, imaginative or cogitative in the middle, likewise estimation, and the memory in the back of the brain.</w:t>
      </w:r>
      <w:r w:rsidRPr="00A472FC">
        <w:rPr>
          <w:rStyle w:val="FootnoteReference"/>
          <w:rFonts w:ascii="Times New Roman" w:hAnsi="Times New Roman" w:cs="Times New Roman"/>
        </w:rPr>
        <w:footnoteReference w:id="922"/>
      </w:r>
    </w:p>
    <w:p w14:paraId="12A39CA3" w14:textId="77777777" w:rsidR="00E212D3" w:rsidRPr="00A472FC" w:rsidRDefault="00E212D3" w:rsidP="00E212D3">
      <w:pPr>
        <w:ind w:right="-52"/>
        <w:rPr>
          <w:rFonts w:ascii="Times New Roman" w:hAnsi="Times New Roman" w:cs="Times New Roman"/>
        </w:rPr>
      </w:pPr>
    </w:p>
    <w:p w14:paraId="29BCE0B3" w14:textId="77777777" w:rsidR="00E212D3" w:rsidRPr="00A472FC" w:rsidRDefault="00E212D3" w:rsidP="00E212D3">
      <w:pPr>
        <w:ind w:right="-52"/>
        <w:rPr>
          <w:rFonts w:ascii="Times New Roman" w:hAnsi="Times New Roman" w:cs="Times New Roman"/>
          <w:u w:val="single"/>
        </w:rPr>
      </w:pPr>
      <w:r w:rsidRPr="00A472FC">
        <w:rPr>
          <w:rFonts w:ascii="Times New Roman" w:hAnsi="Times New Roman" w:cs="Times New Roman"/>
          <w:u w:val="single"/>
        </w:rPr>
        <w:t xml:space="preserve">Intellectual Cognition </w:t>
      </w:r>
    </w:p>
    <w:p w14:paraId="4E04F171" w14:textId="77777777" w:rsidR="00E212D3" w:rsidRPr="00A472FC" w:rsidRDefault="00E212D3" w:rsidP="00E212D3">
      <w:pPr>
        <w:ind w:right="-52"/>
        <w:rPr>
          <w:rFonts w:ascii="Times New Roman" w:hAnsi="Times New Roman" w:cs="Times New Roman"/>
        </w:rPr>
      </w:pPr>
    </w:p>
    <w:p w14:paraId="2EAF61A8" w14:textId="390F9DAB"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The first task the Summa undertakes in the context of treating the rational soul is to offer an explanation and comparison of the different divisions of the cognitive part of the soul that will be its focus. In the order they are presented, these schemes include an initial one derived from the pseudo-Augustinian DSEA</w:t>
      </w:r>
      <w:r w:rsidRPr="00A472FC">
        <w:rPr>
          <w:rFonts w:ascii="Times New Roman" w:hAnsi="Times New Roman" w:cs="Times New Roman"/>
          <w:i/>
        </w:rPr>
        <w:t xml:space="preserve"> </w:t>
      </w:r>
      <w:r w:rsidRPr="00A472FC">
        <w:rPr>
          <w:rFonts w:ascii="Times New Roman" w:hAnsi="Times New Roman" w:cs="Times New Roman"/>
        </w:rPr>
        <w:t>4 and 11, which divides cognition into reason (</w:t>
      </w:r>
      <w:r w:rsidRPr="00A472FC">
        <w:rPr>
          <w:rFonts w:ascii="Times New Roman" w:hAnsi="Times New Roman" w:cs="Times New Roman"/>
          <w:i/>
        </w:rPr>
        <w:t>ratio</w:t>
      </w:r>
      <w:r w:rsidRPr="00A472FC">
        <w:rPr>
          <w:rFonts w:ascii="Times New Roman" w:hAnsi="Times New Roman" w:cs="Times New Roman"/>
        </w:rPr>
        <w:t>), intellect (</w:t>
      </w:r>
      <w:proofErr w:type="spellStart"/>
      <w:r w:rsidRPr="00A472FC">
        <w:rPr>
          <w:rFonts w:ascii="Times New Roman" w:hAnsi="Times New Roman" w:cs="Times New Roman"/>
          <w:i/>
        </w:rPr>
        <w:t>intellectus</w:t>
      </w:r>
      <w:proofErr w:type="spellEnd"/>
      <w:r w:rsidRPr="00A472FC">
        <w:rPr>
          <w:rFonts w:ascii="Times New Roman" w:hAnsi="Times New Roman" w:cs="Times New Roman"/>
        </w:rPr>
        <w:t>), and intelligence (</w:t>
      </w:r>
      <w:proofErr w:type="spellStart"/>
      <w:r w:rsidRPr="00A472FC">
        <w:rPr>
          <w:rFonts w:ascii="Times New Roman" w:hAnsi="Times New Roman" w:cs="Times New Roman"/>
          <w:i/>
        </w:rPr>
        <w:t>intelligentia</w:t>
      </w:r>
      <w:proofErr w:type="spellEnd"/>
      <w:r w:rsidRPr="00A472FC">
        <w:rPr>
          <w:rFonts w:ascii="Times New Roman" w:hAnsi="Times New Roman" w:cs="Times New Roman"/>
        </w:rPr>
        <w:t>)</w:t>
      </w:r>
      <w:r w:rsidRPr="00A472FC">
        <w:rPr>
          <w:rFonts w:ascii="Times New Roman" w:hAnsi="Times New Roman" w:cs="Times New Roman"/>
          <w:i/>
        </w:rPr>
        <w:t xml:space="preserve">. </w:t>
      </w:r>
      <w:r w:rsidRPr="00A472FC">
        <w:rPr>
          <w:rFonts w:ascii="Times New Roman" w:hAnsi="Times New Roman" w:cs="Times New Roman"/>
        </w:rPr>
        <w:t>A second scheme attributed to the Philosopher, who at this stage is unnamed, separates the cognitive part of the soul into the material intellect, which knows a species in phantasms, and the possible intellect, which knows abstracted species, after they are generated by the agent intellect. A third, attributed to Augustine’s DSEA 11, distinguishes between ingenuity (</w:t>
      </w:r>
      <w:proofErr w:type="spellStart"/>
      <w:r w:rsidRPr="00A472FC">
        <w:rPr>
          <w:rFonts w:ascii="Times New Roman" w:hAnsi="Times New Roman" w:cs="Times New Roman"/>
          <w:i/>
          <w:iCs/>
        </w:rPr>
        <w:t>ingenium</w:t>
      </w:r>
      <w:proofErr w:type="spellEnd"/>
      <w:r w:rsidRPr="00A472FC">
        <w:rPr>
          <w:rFonts w:ascii="Times New Roman" w:hAnsi="Times New Roman" w:cs="Times New Roman"/>
        </w:rPr>
        <w:t>), memory (</w:t>
      </w:r>
      <w:r w:rsidRPr="00A472FC">
        <w:rPr>
          <w:rFonts w:ascii="Times New Roman" w:hAnsi="Times New Roman" w:cs="Times New Roman"/>
          <w:i/>
          <w:iCs/>
        </w:rPr>
        <w:t>memoriam</w:t>
      </w:r>
      <w:r w:rsidRPr="00A472FC">
        <w:rPr>
          <w:rFonts w:ascii="Times New Roman" w:hAnsi="Times New Roman" w:cs="Times New Roman"/>
        </w:rPr>
        <w:t>), reason (</w:t>
      </w:r>
      <w:proofErr w:type="spellStart"/>
      <w:r w:rsidRPr="00A472FC">
        <w:rPr>
          <w:rFonts w:ascii="Times New Roman" w:hAnsi="Times New Roman" w:cs="Times New Roman"/>
          <w:i/>
          <w:iCs/>
        </w:rPr>
        <w:t>rationem</w:t>
      </w:r>
      <w:proofErr w:type="spellEnd"/>
      <w:r w:rsidRPr="00A472FC">
        <w:rPr>
          <w:rFonts w:ascii="Times New Roman" w:hAnsi="Times New Roman" w:cs="Times New Roman"/>
        </w:rPr>
        <w:t>), and intelligence (</w:t>
      </w:r>
      <w:proofErr w:type="spellStart"/>
      <w:r w:rsidRPr="00A472FC">
        <w:rPr>
          <w:rFonts w:ascii="Times New Roman" w:hAnsi="Times New Roman" w:cs="Times New Roman"/>
          <w:i/>
          <w:iCs/>
        </w:rPr>
        <w:t>intelligentiam</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923"/>
      </w:r>
      <w:r w:rsidRPr="00A472FC">
        <w:rPr>
          <w:rFonts w:ascii="Times New Roman" w:hAnsi="Times New Roman" w:cs="Times New Roman"/>
        </w:rPr>
        <w:t xml:space="preserve"> </w:t>
      </w:r>
      <w:r w:rsidR="00702856" w:rsidRPr="00A472FC">
        <w:rPr>
          <w:rFonts w:ascii="Times New Roman" w:hAnsi="Times New Roman" w:cs="Times New Roman"/>
        </w:rPr>
        <w:t>Ingenuity discriminates between truth and falsity and thus searches for the knowledge of something unknown; reason makes a judgment</w:t>
      </w:r>
      <w:r w:rsidR="004E0F2F" w:rsidRPr="00A472FC">
        <w:rPr>
          <w:rFonts w:ascii="Times New Roman" w:hAnsi="Times New Roman" w:cs="Times New Roman"/>
        </w:rPr>
        <w:t xml:space="preserve"> based on </w:t>
      </w:r>
      <w:r w:rsidR="009C5C4F" w:rsidRPr="00A472FC">
        <w:rPr>
          <w:rFonts w:ascii="Times New Roman" w:hAnsi="Times New Roman" w:cs="Times New Roman"/>
        </w:rPr>
        <w:t xml:space="preserve">the intelligible forms found in </w:t>
      </w:r>
      <w:r w:rsidR="004E0F2F" w:rsidRPr="00A472FC">
        <w:rPr>
          <w:rFonts w:ascii="Times New Roman" w:hAnsi="Times New Roman" w:cs="Times New Roman"/>
        </w:rPr>
        <w:t>sensible things</w:t>
      </w:r>
      <w:r w:rsidR="00702856" w:rsidRPr="00A472FC">
        <w:rPr>
          <w:rFonts w:ascii="Times New Roman" w:hAnsi="Times New Roman" w:cs="Times New Roman"/>
        </w:rPr>
        <w:t xml:space="preserve">; </w:t>
      </w:r>
      <w:r w:rsidR="004E0F2F" w:rsidRPr="00A472FC">
        <w:rPr>
          <w:rFonts w:ascii="Times New Roman" w:hAnsi="Times New Roman" w:cs="Times New Roman"/>
        </w:rPr>
        <w:t xml:space="preserve">intelligence produces an intelligible form separate from the senses; and </w:t>
      </w:r>
      <w:r w:rsidR="00702856" w:rsidRPr="00A472FC">
        <w:rPr>
          <w:rFonts w:ascii="Times New Roman" w:hAnsi="Times New Roman" w:cs="Times New Roman"/>
        </w:rPr>
        <w:t>this is stored in the memory</w:t>
      </w:r>
      <w:r w:rsidR="004E0F2F" w:rsidRPr="00A472FC">
        <w:rPr>
          <w:rFonts w:ascii="Times New Roman" w:hAnsi="Times New Roman" w:cs="Times New Roman"/>
        </w:rPr>
        <w:t>.</w:t>
      </w:r>
      <w:r w:rsidR="004E0F2F" w:rsidRPr="00A472FC">
        <w:rPr>
          <w:rStyle w:val="FootnoteReference"/>
          <w:rFonts w:ascii="Times New Roman" w:hAnsi="Times New Roman" w:cs="Times New Roman"/>
        </w:rPr>
        <w:footnoteReference w:id="924"/>
      </w:r>
    </w:p>
    <w:p w14:paraId="247B5721" w14:textId="77777777" w:rsidR="002B5D62" w:rsidRPr="00A472FC" w:rsidRDefault="00E212D3" w:rsidP="00907A2B">
      <w:pPr>
        <w:ind w:right="-52" w:firstLine="720"/>
        <w:rPr>
          <w:rFonts w:ascii="Times New Roman" w:hAnsi="Times New Roman" w:cs="Times New Roman"/>
        </w:rPr>
      </w:pPr>
      <w:r w:rsidRPr="00A472FC">
        <w:rPr>
          <w:rFonts w:ascii="Times New Roman" w:hAnsi="Times New Roman" w:cs="Times New Roman"/>
        </w:rPr>
        <w:t xml:space="preserve">Finally, the scheme associated with the DFO of John of Damascus is divided according to intellect, mind, and opinion, which are the faculties he enumerates beyond sense and imagination, discussed above. </w:t>
      </w:r>
      <w:r w:rsidR="00702856" w:rsidRPr="00A472FC">
        <w:rPr>
          <w:rFonts w:ascii="Times New Roman" w:hAnsi="Times New Roman" w:cs="Times New Roman"/>
        </w:rPr>
        <w:t xml:space="preserve">Thus, John says that ‘through the senses of the soul is constituted a passion which is called an imagination, from imagination, opinion, then [comes] </w:t>
      </w:r>
      <w:r w:rsidR="00702856" w:rsidRPr="00A472FC">
        <w:rPr>
          <w:rFonts w:ascii="Times New Roman" w:hAnsi="Times New Roman" w:cs="Times New Roman"/>
        </w:rPr>
        <w:lastRenderedPageBreak/>
        <w:t>mind which adjudicates about opinions, whether they are true and false, while choosing the true. In summary, mind refers to the process of measuring and thinking and judging, but what is judged and determined as true is rightly called intellect.’</w:t>
      </w:r>
      <w:r w:rsidR="00702856" w:rsidRPr="00A472FC">
        <w:rPr>
          <w:rStyle w:val="FootnoteReference"/>
          <w:rFonts w:ascii="Times New Roman" w:hAnsi="Times New Roman" w:cs="Times New Roman"/>
        </w:rPr>
        <w:footnoteReference w:id="925"/>
      </w:r>
      <w:r w:rsidR="00702856" w:rsidRPr="00A472FC">
        <w:rPr>
          <w:rFonts w:ascii="Times New Roman" w:hAnsi="Times New Roman" w:cs="Times New Roman"/>
        </w:rPr>
        <w:t xml:space="preserve"> </w:t>
      </w:r>
    </w:p>
    <w:p w14:paraId="7326FD0F" w14:textId="77777777" w:rsidR="00067B50" w:rsidRPr="00A472FC" w:rsidRDefault="00E212D3" w:rsidP="00067B50">
      <w:pPr>
        <w:ind w:right="-52" w:firstLine="720"/>
        <w:rPr>
          <w:rFonts w:ascii="Times New Roman" w:hAnsi="Times New Roman" w:cs="Times New Roman"/>
        </w:rPr>
      </w:pPr>
      <w:r w:rsidRPr="00A472FC">
        <w:rPr>
          <w:rFonts w:ascii="Times New Roman" w:hAnsi="Times New Roman" w:cs="Times New Roman"/>
        </w:rPr>
        <w:t>The first scheme mentioned in the context of discussing the cognitive powers is Augustine’s division between reason, intellect, and intelligence.</w:t>
      </w:r>
      <w:r w:rsidRPr="00A472FC">
        <w:rPr>
          <w:rStyle w:val="FootnoteReference"/>
          <w:rFonts w:ascii="Times New Roman" w:hAnsi="Times New Roman" w:cs="Times New Roman"/>
        </w:rPr>
        <w:footnoteReference w:id="926"/>
      </w:r>
      <w:r w:rsidRPr="00A472FC">
        <w:rPr>
          <w:rFonts w:ascii="Times New Roman" w:hAnsi="Times New Roman" w:cs="Times New Roman"/>
        </w:rPr>
        <w:t xml:space="preserve"> These powers correspond to different intelligible objects that are either below, next to, or above the self.</w:t>
      </w:r>
      <w:r w:rsidRPr="00A472FC">
        <w:rPr>
          <w:rStyle w:val="FootnoteReference"/>
          <w:rFonts w:ascii="Times New Roman" w:hAnsi="Times New Roman" w:cs="Times New Roman"/>
        </w:rPr>
        <w:footnoteReference w:id="927"/>
      </w:r>
      <w:r w:rsidRPr="00A472FC">
        <w:rPr>
          <w:rFonts w:ascii="Times New Roman" w:hAnsi="Times New Roman" w:cs="Times New Roman"/>
        </w:rPr>
        <w:t xml:space="preserve"> Reason knows corporeal natures: those things that are below reason or included in it, such as the self and the soul’s own powers and knowledge.</w:t>
      </w:r>
      <w:r w:rsidRPr="00A472FC">
        <w:rPr>
          <w:rStyle w:val="FootnoteReference"/>
          <w:rFonts w:ascii="Times New Roman" w:hAnsi="Times New Roman" w:cs="Times New Roman"/>
        </w:rPr>
        <w:footnoteReference w:id="928"/>
      </w:r>
      <w:r w:rsidRPr="00A472FC">
        <w:rPr>
          <w:rFonts w:ascii="Times New Roman" w:hAnsi="Times New Roman" w:cs="Times New Roman"/>
        </w:rPr>
        <w:t xml:space="preserve"> Following John of La Rochelle, the Summa insists that a separate agent intellect is not needed to know such things because the mind has the power to know them of its own accord.</w:t>
      </w:r>
      <w:r w:rsidRPr="00A472FC">
        <w:rPr>
          <w:rStyle w:val="FootnoteReference"/>
          <w:rFonts w:ascii="Times New Roman" w:hAnsi="Times New Roman" w:cs="Times New Roman"/>
        </w:rPr>
        <w:footnoteReference w:id="929"/>
      </w:r>
      <w:r w:rsidRPr="00A472FC">
        <w:rPr>
          <w:rFonts w:ascii="Times New Roman" w:hAnsi="Times New Roman" w:cs="Times New Roman"/>
        </w:rPr>
        <w:t xml:space="preserve"> In order to know things that are next to and above the self, namely, angels and God, by contrast, the soul does need assistance from angels and God, respectively. These are the proper objects of the intellect and intelligence, respectively, the second of which unites the mind to God. </w:t>
      </w:r>
      <w:r w:rsidR="00907A2B" w:rsidRPr="00A472FC">
        <w:rPr>
          <w:rFonts w:ascii="Times New Roman" w:hAnsi="Times New Roman" w:cs="Times New Roman"/>
        </w:rPr>
        <w:t>Whereas</w:t>
      </w:r>
      <w:r w:rsidRPr="00A472FC">
        <w:rPr>
          <w:rFonts w:ascii="Times New Roman" w:hAnsi="Times New Roman" w:cs="Times New Roman"/>
        </w:rPr>
        <w:t xml:space="preserve"> the act of the intellect comes after the act of reason and before the act of intelligence in this scheme, we have seen that Damascus by contrast places the act of the mind after opinion and before the intellect.</w:t>
      </w:r>
      <w:r w:rsidRPr="00A472FC">
        <w:rPr>
          <w:rStyle w:val="FootnoteReference"/>
          <w:rFonts w:ascii="Times New Roman" w:hAnsi="Times New Roman" w:cs="Times New Roman"/>
        </w:rPr>
        <w:footnoteReference w:id="930"/>
      </w:r>
      <w:r w:rsidRPr="00A472FC">
        <w:rPr>
          <w:rFonts w:ascii="Times New Roman" w:hAnsi="Times New Roman" w:cs="Times New Roman"/>
        </w:rPr>
        <w:t xml:space="preserve"> For him, the mind adjudicates about opinions, and on this basis, the intellect attains the truth. </w:t>
      </w:r>
    </w:p>
    <w:p w14:paraId="10EDC057" w14:textId="77777777" w:rsidR="008C4E27" w:rsidRPr="00A472FC" w:rsidRDefault="00E212D3" w:rsidP="005F0971">
      <w:pPr>
        <w:ind w:right="-52" w:firstLine="720"/>
        <w:rPr>
          <w:rFonts w:ascii="Times New Roman" w:hAnsi="Times New Roman" w:cs="Times New Roman"/>
        </w:rPr>
      </w:pPr>
      <w:r w:rsidRPr="00A472FC">
        <w:rPr>
          <w:rFonts w:ascii="Times New Roman" w:hAnsi="Times New Roman" w:cs="Times New Roman"/>
        </w:rPr>
        <w:t>Another</w:t>
      </w:r>
      <w:r w:rsidR="003070BA" w:rsidRPr="00A472FC">
        <w:rPr>
          <w:rFonts w:ascii="Times New Roman" w:hAnsi="Times New Roman" w:cs="Times New Roman"/>
        </w:rPr>
        <w:t xml:space="preserve"> key </w:t>
      </w:r>
      <w:r w:rsidRPr="00A472FC">
        <w:rPr>
          <w:rFonts w:ascii="Times New Roman" w:hAnsi="Times New Roman" w:cs="Times New Roman"/>
        </w:rPr>
        <w:t>difference between the two schemes is this: Augustine’s distinctions are according to different intelligible forms which lack complexion</w:t>
      </w:r>
      <w:r w:rsidR="00B90494" w:rsidRPr="00A472FC">
        <w:rPr>
          <w:rFonts w:ascii="Times New Roman" w:hAnsi="Times New Roman" w:cs="Times New Roman"/>
        </w:rPr>
        <w:t>.</w:t>
      </w:r>
      <w:r w:rsidRPr="00A472FC">
        <w:rPr>
          <w:rStyle w:val="FootnoteReference"/>
          <w:rFonts w:ascii="Times New Roman" w:hAnsi="Times New Roman" w:cs="Times New Roman"/>
        </w:rPr>
        <w:footnoteReference w:id="931"/>
      </w:r>
      <w:r w:rsidRPr="00A472FC">
        <w:rPr>
          <w:rFonts w:ascii="Times New Roman" w:hAnsi="Times New Roman" w:cs="Times New Roman"/>
        </w:rPr>
        <w:t xml:space="preserve"> </w:t>
      </w:r>
      <w:r w:rsidR="003070BA" w:rsidRPr="00A472FC">
        <w:rPr>
          <w:rFonts w:ascii="Times New Roman" w:hAnsi="Times New Roman" w:cs="Times New Roman"/>
        </w:rPr>
        <w:t xml:space="preserve">However, the division of John of Damascus presupposes complexion. </w:t>
      </w:r>
      <w:r w:rsidR="00B11BAD" w:rsidRPr="00A472FC">
        <w:rPr>
          <w:rFonts w:ascii="Times New Roman" w:hAnsi="Times New Roman" w:cs="Times New Roman"/>
        </w:rPr>
        <w:t xml:space="preserve">Although John does not state precisely what he means by ‘complexion’ in this context, it surely </w:t>
      </w:r>
      <w:r w:rsidR="008C4E27" w:rsidRPr="00A472FC">
        <w:rPr>
          <w:rFonts w:ascii="Times New Roman" w:hAnsi="Times New Roman" w:cs="Times New Roman"/>
        </w:rPr>
        <w:t>differs from</w:t>
      </w:r>
      <w:r w:rsidR="00B11BAD" w:rsidRPr="00A472FC">
        <w:rPr>
          <w:rFonts w:ascii="Times New Roman" w:hAnsi="Times New Roman" w:cs="Times New Roman"/>
        </w:rPr>
        <w:t xml:space="preserve"> the</w:t>
      </w:r>
      <w:r w:rsidR="00F2483A" w:rsidRPr="00A472FC">
        <w:rPr>
          <w:rFonts w:ascii="Times New Roman" w:hAnsi="Times New Roman" w:cs="Times New Roman"/>
        </w:rPr>
        <w:t xml:space="preserve"> </w:t>
      </w:r>
      <w:r w:rsidR="00912026" w:rsidRPr="00A472FC">
        <w:rPr>
          <w:rFonts w:ascii="Times New Roman" w:hAnsi="Times New Roman" w:cs="Times New Roman"/>
        </w:rPr>
        <w:t xml:space="preserve">kind discussed </w:t>
      </w:r>
      <w:r w:rsidR="00593C64" w:rsidRPr="00A472FC">
        <w:rPr>
          <w:rFonts w:ascii="Times New Roman" w:hAnsi="Times New Roman" w:cs="Times New Roman"/>
        </w:rPr>
        <w:t>in the medical context</w:t>
      </w:r>
      <w:r w:rsidR="00912026" w:rsidRPr="00A472FC">
        <w:rPr>
          <w:rFonts w:ascii="Times New Roman" w:hAnsi="Times New Roman" w:cs="Times New Roman"/>
        </w:rPr>
        <w:t xml:space="preserve">, which pertains to the temperament resulting from the </w:t>
      </w:r>
      <w:r w:rsidR="00ED178D" w:rsidRPr="00A472FC">
        <w:rPr>
          <w:rFonts w:ascii="Times New Roman" w:hAnsi="Times New Roman" w:cs="Times New Roman"/>
        </w:rPr>
        <w:t xml:space="preserve">composition </w:t>
      </w:r>
      <w:r w:rsidR="00912026" w:rsidRPr="00A472FC">
        <w:rPr>
          <w:rFonts w:ascii="Times New Roman" w:hAnsi="Times New Roman" w:cs="Times New Roman"/>
        </w:rPr>
        <w:t xml:space="preserve">of the four humours in a given person. </w:t>
      </w:r>
      <w:r w:rsidR="007379D6" w:rsidRPr="00A472FC">
        <w:rPr>
          <w:rFonts w:ascii="Times New Roman" w:hAnsi="Times New Roman" w:cs="Times New Roman"/>
        </w:rPr>
        <w:t xml:space="preserve">The complexion referred to </w:t>
      </w:r>
      <w:r w:rsidR="003D6110" w:rsidRPr="00A472FC">
        <w:rPr>
          <w:rFonts w:ascii="Times New Roman" w:hAnsi="Times New Roman" w:cs="Times New Roman"/>
        </w:rPr>
        <w:t>here</w:t>
      </w:r>
      <w:r w:rsidR="007379D6" w:rsidRPr="00A472FC">
        <w:rPr>
          <w:rFonts w:ascii="Times New Roman" w:hAnsi="Times New Roman" w:cs="Times New Roman"/>
        </w:rPr>
        <w:t xml:space="preserve"> </w:t>
      </w:r>
      <w:r w:rsidR="00070F08" w:rsidRPr="00A472FC">
        <w:rPr>
          <w:rFonts w:ascii="Times New Roman" w:hAnsi="Times New Roman" w:cs="Times New Roman"/>
        </w:rPr>
        <w:t>presupposes instead a</w:t>
      </w:r>
      <w:r w:rsidR="007379D6" w:rsidRPr="00A472FC">
        <w:rPr>
          <w:rFonts w:ascii="Times New Roman" w:hAnsi="Times New Roman" w:cs="Times New Roman"/>
        </w:rPr>
        <w:t xml:space="preserve"> distinction medieval thinkers drew between simple and complex cognition, which itself was inspired by Aristotle.</w:t>
      </w:r>
      <w:r w:rsidR="00B9164D" w:rsidRPr="00A472FC">
        <w:rPr>
          <w:rStyle w:val="FootnoteReference"/>
          <w:rFonts w:ascii="Times New Roman" w:hAnsi="Times New Roman" w:cs="Times New Roman"/>
        </w:rPr>
        <w:footnoteReference w:id="932"/>
      </w:r>
      <w:r w:rsidR="00B53A33" w:rsidRPr="00A472FC">
        <w:rPr>
          <w:rFonts w:ascii="Times New Roman" w:hAnsi="Times New Roman" w:cs="Times New Roman"/>
        </w:rPr>
        <w:t xml:space="preserve"> In simple cognition, the mind </w:t>
      </w:r>
      <w:proofErr w:type="spellStart"/>
      <w:r w:rsidR="00B53A33" w:rsidRPr="00A472FC">
        <w:rPr>
          <w:rFonts w:ascii="Times New Roman" w:hAnsi="Times New Roman" w:cs="Times New Roman"/>
        </w:rPr>
        <w:t>cognizes</w:t>
      </w:r>
      <w:proofErr w:type="spellEnd"/>
      <w:r w:rsidR="00B53A33" w:rsidRPr="00A472FC">
        <w:rPr>
          <w:rFonts w:ascii="Times New Roman" w:hAnsi="Times New Roman" w:cs="Times New Roman"/>
        </w:rPr>
        <w:t xml:space="preserve"> a single object, for instance, one of the abstract types of form referred to in Augustine’s </w:t>
      </w:r>
      <w:r w:rsidR="00B53A33" w:rsidRPr="00A472FC">
        <w:rPr>
          <w:rFonts w:ascii="Times New Roman" w:hAnsi="Times New Roman" w:cs="Times New Roman"/>
          <w:i/>
          <w:iCs/>
        </w:rPr>
        <w:t xml:space="preserve">ratio, </w:t>
      </w:r>
      <w:proofErr w:type="spellStart"/>
      <w:r w:rsidR="00B53A33" w:rsidRPr="00A472FC">
        <w:rPr>
          <w:rFonts w:ascii="Times New Roman" w:hAnsi="Times New Roman" w:cs="Times New Roman"/>
          <w:i/>
          <w:iCs/>
        </w:rPr>
        <w:t>intellectus</w:t>
      </w:r>
      <w:proofErr w:type="spellEnd"/>
      <w:r w:rsidR="00B53A33" w:rsidRPr="00A472FC">
        <w:rPr>
          <w:rFonts w:ascii="Times New Roman" w:hAnsi="Times New Roman" w:cs="Times New Roman"/>
          <w:i/>
          <w:iCs/>
        </w:rPr>
        <w:t xml:space="preserve">, </w:t>
      </w:r>
      <w:proofErr w:type="spellStart"/>
      <w:r w:rsidR="00B53A33" w:rsidRPr="00A472FC">
        <w:rPr>
          <w:rFonts w:ascii="Times New Roman" w:hAnsi="Times New Roman" w:cs="Times New Roman"/>
          <w:i/>
          <w:iCs/>
        </w:rPr>
        <w:t>intelligentia</w:t>
      </w:r>
      <w:proofErr w:type="spellEnd"/>
      <w:r w:rsidR="00B53A33" w:rsidRPr="00A472FC">
        <w:rPr>
          <w:rFonts w:ascii="Times New Roman" w:hAnsi="Times New Roman" w:cs="Times New Roman"/>
        </w:rPr>
        <w:t xml:space="preserve"> distinction. </w:t>
      </w:r>
    </w:p>
    <w:p w14:paraId="582229B4" w14:textId="71685EB1" w:rsidR="00B11BAD" w:rsidRPr="00A472FC" w:rsidRDefault="004A46DC" w:rsidP="008C4E27">
      <w:pPr>
        <w:ind w:right="-52" w:firstLine="720"/>
        <w:rPr>
          <w:rFonts w:ascii="Times New Roman" w:hAnsi="Times New Roman" w:cs="Times New Roman"/>
        </w:rPr>
      </w:pPr>
      <w:r w:rsidRPr="00A472FC">
        <w:rPr>
          <w:rFonts w:ascii="Times New Roman" w:hAnsi="Times New Roman" w:cs="Times New Roman"/>
        </w:rPr>
        <w:t xml:space="preserve">Particularly in the case of </w:t>
      </w:r>
      <w:r w:rsidRPr="00A472FC">
        <w:rPr>
          <w:rFonts w:ascii="Times New Roman" w:hAnsi="Times New Roman" w:cs="Times New Roman"/>
          <w:i/>
          <w:iCs/>
        </w:rPr>
        <w:t xml:space="preserve">ratio, </w:t>
      </w:r>
      <w:r w:rsidRPr="00A472FC">
        <w:rPr>
          <w:rFonts w:ascii="Times New Roman" w:hAnsi="Times New Roman" w:cs="Times New Roman"/>
        </w:rPr>
        <w:t>which involves knowledge of natural forms—not angels or God—this simple cognition</w:t>
      </w:r>
      <w:r w:rsidR="00E62029" w:rsidRPr="00A472FC">
        <w:rPr>
          <w:rFonts w:ascii="Times New Roman" w:hAnsi="Times New Roman" w:cs="Times New Roman"/>
        </w:rPr>
        <w:t>,</w:t>
      </w:r>
      <w:r w:rsidRPr="00A472FC">
        <w:rPr>
          <w:rFonts w:ascii="Times New Roman" w:hAnsi="Times New Roman" w:cs="Times New Roman"/>
        </w:rPr>
        <w:t xml:space="preserve"> at least </w:t>
      </w:r>
      <w:r w:rsidR="00E62029" w:rsidRPr="00A472FC">
        <w:rPr>
          <w:rFonts w:ascii="Times New Roman" w:hAnsi="Times New Roman" w:cs="Times New Roman"/>
        </w:rPr>
        <w:t xml:space="preserve">when it is true, </w:t>
      </w:r>
      <w:r w:rsidR="008C4E27" w:rsidRPr="00A472FC">
        <w:rPr>
          <w:rFonts w:ascii="Times New Roman" w:hAnsi="Times New Roman" w:cs="Times New Roman"/>
        </w:rPr>
        <w:t xml:space="preserve">entails </w:t>
      </w:r>
      <w:r w:rsidR="007056E1" w:rsidRPr="00A472FC">
        <w:rPr>
          <w:rFonts w:ascii="Times New Roman" w:hAnsi="Times New Roman" w:cs="Times New Roman"/>
        </w:rPr>
        <w:t>the correspondence between the human knowledge of a form and the way it exists in the mind of God or a divine idea.</w:t>
      </w:r>
      <w:r w:rsidR="00CE5359" w:rsidRPr="00A472FC">
        <w:rPr>
          <w:rStyle w:val="FootnoteReference"/>
          <w:rFonts w:ascii="Times New Roman" w:hAnsi="Times New Roman" w:cs="Times New Roman"/>
        </w:rPr>
        <w:footnoteReference w:id="933"/>
      </w:r>
      <w:r w:rsidR="008C4E27" w:rsidRPr="00A472FC">
        <w:rPr>
          <w:rFonts w:ascii="Times New Roman" w:hAnsi="Times New Roman" w:cs="Times New Roman"/>
        </w:rPr>
        <w:t xml:space="preserve"> </w:t>
      </w:r>
      <w:r w:rsidR="00B53A33" w:rsidRPr="00A472FC">
        <w:rPr>
          <w:rFonts w:ascii="Times New Roman" w:hAnsi="Times New Roman" w:cs="Times New Roman"/>
        </w:rPr>
        <w:t xml:space="preserve">In complex cognition, by contrast, the mind combines or relates two or more such </w:t>
      </w:r>
      <w:r w:rsidR="00D339E2" w:rsidRPr="00A472FC">
        <w:rPr>
          <w:rFonts w:ascii="Times New Roman" w:hAnsi="Times New Roman" w:cs="Times New Roman"/>
        </w:rPr>
        <w:t>forms</w:t>
      </w:r>
      <w:r w:rsidR="00B53A33" w:rsidRPr="00A472FC">
        <w:rPr>
          <w:rFonts w:ascii="Times New Roman" w:hAnsi="Times New Roman" w:cs="Times New Roman"/>
        </w:rPr>
        <w:t xml:space="preserve"> to one another, </w:t>
      </w:r>
      <w:r w:rsidR="00D94A70" w:rsidRPr="00A472FC">
        <w:rPr>
          <w:rFonts w:ascii="Times New Roman" w:hAnsi="Times New Roman" w:cs="Times New Roman"/>
        </w:rPr>
        <w:t xml:space="preserve">in a way that can be conveyed through propositions such as </w:t>
      </w:r>
      <w:r w:rsidR="00A71F96" w:rsidRPr="00A472FC">
        <w:rPr>
          <w:rFonts w:ascii="Times New Roman" w:hAnsi="Times New Roman" w:cs="Times New Roman"/>
        </w:rPr>
        <w:t>‘Peter is a man.’</w:t>
      </w:r>
      <w:r w:rsidR="002A38D7" w:rsidRPr="00A472FC">
        <w:rPr>
          <w:rStyle w:val="FootnoteReference"/>
          <w:rFonts w:ascii="Times New Roman" w:hAnsi="Times New Roman" w:cs="Times New Roman"/>
        </w:rPr>
        <w:footnoteReference w:id="934"/>
      </w:r>
      <w:r w:rsidR="00A71F96" w:rsidRPr="00A472FC">
        <w:rPr>
          <w:rFonts w:ascii="Times New Roman" w:hAnsi="Times New Roman" w:cs="Times New Roman"/>
        </w:rPr>
        <w:t xml:space="preserve"> </w:t>
      </w:r>
      <w:r w:rsidR="00141AC2" w:rsidRPr="00A472FC">
        <w:rPr>
          <w:rFonts w:ascii="Times New Roman" w:hAnsi="Times New Roman" w:cs="Times New Roman"/>
        </w:rPr>
        <w:t xml:space="preserve">As </w:t>
      </w:r>
      <w:proofErr w:type="spellStart"/>
      <w:r w:rsidR="00141AC2" w:rsidRPr="00A472FC">
        <w:rPr>
          <w:rFonts w:ascii="Times New Roman" w:hAnsi="Times New Roman" w:cs="Times New Roman"/>
        </w:rPr>
        <w:t>Marrone</w:t>
      </w:r>
      <w:proofErr w:type="spellEnd"/>
      <w:r w:rsidR="00141AC2" w:rsidRPr="00A472FC">
        <w:rPr>
          <w:rFonts w:ascii="Times New Roman" w:hAnsi="Times New Roman" w:cs="Times New Roman"/>
        </w:rPr>
        <w:t xml:space="preserve"> notes, such propositions were particularly interesting to Aristotle in his </w:t>
      </w:r>
      <w:r w:rsidR="00141AC2" w:rsidRPr="00A472FC">
        <w:rPr>
          <w:rFonts w:ascii="Times New Roman" w:hAnsi="Times New Roman" w:cs="Times New Roman"/>
          <w:i/>
          <w:iCs/>
        </w:rPr>
        <w:t xml:space="preserve">Posterior Analytics, </w:t>
      </w:r>
      <w:r w:rsidR="00141AC2" w:rsidRPr="00A472FC">
        <w:rPr>
          <w:rFonts w:ascii="Times New Roman" w:hAnsi="Times New Roman" w:cs="Times New Roman"/>
        </w:rPr>
        <w:t>which was starting to be used at the time of the Summa’s authorship.</w:t>
      </w:r>
      <w:r w:rsidR="00141AC2" w:rsidRPr="00A472FC">
        <w:rPr>
          <w:rStyle w:val="FootnoteReference"/>
          <w:rFonts w:ascii="Times New Roman" w:hAnsi="Times New Roman" w:cs="Times New Roman"/>
        </w:rPr>
        <w:footnoteReference w:id="935"/>
      </w:r>
      <w:r w:rsidR="008346E9" w:rsidRPr="00A472FC">
        <w:rPr>
          <w:rFonts w:ascii="Times New Roman" w:hAnsi="Times New Roman" w:cs="Times New Roman"/>
        </w:rPr>
        <w:t xml:space="preserve"> </w:t>
      </w:r>
      <w:r w:rsidR="008346E9" w:rsidRPr="00A472FC">
        <w:rPr>
          <w:rFonts w:ascii="Times New Roman" w:hAnsi="Times New Roman" w:cs="Times New Roman"/>
        </w:rPr>
        <w:lastRenderedPageBreak/>
        <w:t xml:space="preserve">There </w:t>
      </w:r>
      <w:r w:rsidR="00C21B6C" w:rsidRPr="00A472FC">
        <w:rPr>
          <w:rFonts w:ascii="Times New Roman" w:hAnsi="Times New Roman" w:cs="Times New Roman"/>
        </w:rPr>
        <w:t>Aristotle</w:t>
      </w:r>
      <w:r w:rsidR="008346E9" w:rsidRPr="00A472FC">
        <w:rPr>
          <w:rFonts w:ascii="Times New Roman" w:hAnsi="Times New Roman" w:cs="Times New Roman"/>
        </w:rPr>
        <w:t xml:space="preserve"> explains the process</w:t>
      </w:r>
      <w:r w:rsidR="00E707DD" w:rsidRPr="00A472FC">
        <w:rPr>
          <w:rFonts w:ascii="Times New Roman" w:hAnsi="Times New Roman" w:cs="Times New Roman"/>
        </w:rPr>
        <w:t>—called demonstration—</w:t>
      </w:r>
      <w:r w:rsidR="008346E9" w:rsidRPr="00A472FC">
        <w:rPr>
          <w:rFonts w:ascii="Times New Roman" w:hAnsi="Times New Roman" w:cs="Times New Roman"/>
        </w:rPr>
        <w:t xml:space="preserve">through which it is possible to obtain certain knowledge about the nature of </w:t>
      </w:r>
      <w:r w:rsidR="005E2143" w:rsidRPr="00A472FC">
        <w:rPr>
          <w:rFonts w:ascii="Times New Roman" w:hAnsi="Times New Roman" w:cs="Times New Roman"/>
        </w:rPr>
        <w:t>a</w:t>
      </w:r>
      <w:r w:rsidR="008346E9" w:rsidRPr="00A472FC">
        <w:rPr>
          <w:rFonts w:ascii="Times New Roman" w:hAnsi="Times New Roman" w:cs="Times New Roman"/>
        </w:rPr>
        <w:t xml:space="preserve"> thing on the basis of something else that </w:t>
      </w:r>
      <w:r w:rsidR="00440923" w:rsidRPr="00A472FC">
        <w:rPr>
          <w:rFonts w:ascii="Times New Roman" w:hAnsi="Times New Roman" w:cs="Times New Roman"/>
        </w:rPr>
        <w:t>i</w:t>
      </w:r>
      <w:r w:rsidR="008346E9" w:rsidRPr="00A472FC">
        <w:rPr>
          <w:rFonts w:ascii="Times New Roman" w:hAnsi="Times New Roman" w:cs="Times New Roman"/>
        </w:rPr>
        <w:t xml:space="preserve">s already known to be true. </w:t>
      </w:r>
      <w:r w:rsidR="008C651B" w:rsidRPr="00A472FC">
        <w:rPr>
          <w:rFonts w:ascii="Times New Roman" w:hAnsi="Times New Roman" w:cs="Times New Roman"/>
        </w:rPr>
        <w:t>If we know ‘Peter is a man</w:t>
      </w:r>
      <w:r w:rsidR="00D00D0F" w:rsidRPr="00A472FC">
        <w:rPr>
          <w:rFonts w:ascii="Times New Roman" w:hAnsi="Times New Roman" w:cs="Times New Roman"/>
        </w:rPr>
        <w:t>,</w:t>
      </w:r>
      <w:r w:rsidR="008C651B" w:rsidRPr="00A472FC">
        <w:rPr>
          <w:rFonts w:ascii="Times New Roman" w:hAnsi="Times New Roman" w:cs="Times New Roman"/>
        </w:rPr>
        <w:t>’ for instance, and that ‘man is a rational animal,’ then we can conclude that ‘Peter is a rational animal.’</w:t>
      </w:r>
      <w:r w:rsidR="005F0971" w:rsidRPr="00A472FC">
        <w:rPr>
          <w:rFonts w:ascii="Times New Roman" w:hAnsi="Times New Roman" w:cs="Times New Roman"/>
        </w:rPr>
        <w:t xml:space="preserve"> </w:t>
      </w:r>
      <w:r w:rsidR="004B6441" w:rsidRPr="00A472FC">
        <w:rPr>
          <w:rFonts w:ascii="Times New Roman" w:hAnsi="Times New Roman" w:cs="Times New Roman"/>
        </w:rPr>
        <w:t xml:space="preserve">We can also conclude that it is false to say that ‘Peter is a cat.’ This </w:t>
      </w:r>
      <w:r w:rsidR="006A2247" w:rsidRPr="00A472FC">
        <w:rPr>
          <w:rFonts w:ascii="Times New Roman" w:hAnsi="Times New Roman" w:cs="Times New Roman"/>
        </w:rPr>
        <w:t xml:space="preserve">indeed </w:t>
      </w:r>
      <w:r w:rsidR="004B6441" w:rsidRPr="00A472FC">
        <w:rPr>
          <w:rFonts w:ascii="Times New Roman" w:hAnsi="Times New Roman" w:cs="Times New Roman"/>
        </w:rPr>
        <w:t>is what it means to</w:t>
      </w:r>
      <w:r w:rsidR="005F0971" w:rsidRPr="00A472FC">
        <w:rPr>
          <w:rFonts w:ascii="Times New Roman" w:hAnsi="Times New Roman" w:cs="Times New Roman"/>
        </w:rPr>
        <w:t xml:space="preserve"> distinguish between truth and falsity while moving from something unknown to something known</w:t>
      </w:r>
      <w:r w:rsidR="005E2143" w:rsidRPr="00A472FC">
        <w:rPr>
          <w:rFonts w:ascii="Times New Roman" w:hAnsi="Times New Roman" w:cs="Times New Roman"/>
        </w:rPr>
        <w:t>, namely, to engage in a process like demonstration</w:t>
      </w:r>
      <w:r w:rsidR="005F0971" w:rsidRPr="00A472FC">
        <w:rPr>
          <w:rFonts w:ascii="Times New Roman" w:hAnsi="Times New Roman" w:cs="Times New Roman"/>
        </w:rPr>
        <w:t>.</w:t>
      </w:r>
      <w:r w:rsidR="004B6441" w:rsidRPr="00A472FC">
        <w:rPr>
          <w:rStyle w:val="FootnoteReference"/>
          <w:rFonts w:ascii="Times New Roman" w:hAnsi="Times New Roman" w:cs="Times New Roman"/>
        </w:rPr>
        <w:footnoteReference w:id="936"/>
      </w:r>
      <w:r w:rsidR="002A38D7" w:rsidRPr="00A472FC">
        <w:rPr>
          <w:rFonts w:ascii="Times New Roman" w:hAnsi="Times New Roman" w:cs="Times New Roman"/>
        </w:rPr>
        <w:t xml:space="preserve"> </w:t>
      </w:r>
      <w:r w:rsidR="00B8780E" w:rsidRPr="00A472FC">
        <w:rPr>
          <w:rFonts w:ascii="Times New Roman" w:hAnsi="Times New Roman" w:cs="Times New Roman"/>
        </w:rPr>
        <w:t xml:space="preserve">Whether the Damascene had this process in mind </w:t>
      </w:r>
      <w:r w:rsidR="00A4400A" w:rsidRPr="00A472FC">
        <w:rPr>
          <w:rFonts w:ascii="Times New Roman" w:hAnsi="Times New Roman" w:cs="Times New Roman"/>
        </w:rPr>
        <w:t xml:space="preserve">when he distinguished between opinion, mind, and intellect is open to question. However the </w:t>
      </w:r>
      <w:proofErr w:type="spellStart"/>
      <w:r w:rsidR="00A4400A" w:rsidRPr="00A472FC">
        <w:rPr>
          <w:rFonts w:ascii="Times New Roman" w:hAnsi="Times New Roman" w:cs="Times New Roman"/>
        </w:rPr>
        <w:t>Summist</w:t>
      </w:r>
      <w:proofErr w:type="spellEnd"/>
      <w:r w:rsidR="00A4400A" w:rsidRPr="00A472FC">
        <w:rPr>
          <w:rFonts w:ascii="Times New Roman" w:hAnsi="Times New Roman" w:cs="Times New Roman"/>
        </w:rPr>
        <w:t xml:space="preserve"> takes advantage of the open-ended nature of his categories to define them on his own terms. </w:t>
      </w:r>
    </w:p>
    <w:p w14:paraId="0470F166" w14:textId="5F11BA39" w:rsidR="00E212D3" w:rsidRPr="00A472FC" w:rsidRDefault="00E212D3" w:rsidP="00A87000">
      <w:pPr>
        <w:ind w:right="-52" w:firstLine="720"/>
        <w:rPr>
          <w:rFonts w:ascii="Times New Roman" w:hAnsi="Times New Roman" w:cs="Times New Roman"/>
        </w:rPr>
      </w:pPr>
      <w:r w:rsidRPr="00A472FC">
        <w:rPr>
          <w:rFonts w:ascii="Times New Roman" w:hAnsi="Times New Roman" w:cs="Times New Roman"/>
        </w:rPr>
        <w:t xml:space="preserve">The next comparison </w:t>
      </w:r>
      <w:r w:rsidR="00280CB8" w:rsidRPr="00A472FC">
        <w:rPr>
          <w:rFonts w:ascii="Times New Roman" w:hAnsi="Times New Roman" w:cs="Times New Roman"/>
        </w:rPr>
        <w:t xml:space="preserve">the </w:t>
      </w:r>
      <w:proofErr w:type="spellStart"/>
      <w:r w:rsidR="00280CB8" w:rsidRPr="00A472FC">
        <w:rPr>
          <w:rFonts w:ascii="Times New Roman" w:hAnsi="Times New Roman" w:cs="Times New Roman"/>
        </w:rPr>
        <w:t>Summist</w:t>
      </w:r>
      <w:proofErr w:type="spellEnd"/>
      <w:r w:rsidR="00280CB8" w:rsidRPr="00A472FC">
        <w:rPr>
          <w:rFonts w:ascii="Times New Roman" w:hAnsi="Times New Roman" w:cs="Times New Roman"/>
        </w:rPr>
        <w:t xml:space="preserve"> draws is</w:t>
      </w:r>
      <w:r w:rsidRPr="00A472FC">
        <w:rPr>
          <w:rFonts w:ascii="Times New Roman" w:hAnsi="Times New Roman" w:cs="Times New Roman"/>
        </w:rPr>
        <w:t xml:space="preserve"> between the division of the philosopher, in this case, Aristotle, on the one hand, and Augustine, on the other</w:t>
      </w:r>
      <w:r w:rsidR="00561058" w:rsidRPr="00A472FC">
        <w:rPr>
          <w:rFonts w:ascii="Times New Roman" w:hAnsi="Times New Roman" w:cs="Times New Roman"/>
        </w:rPr>
        <w:t>, both of whom present schemes for attain</w:t>
      </w:r>
      <w:r w:rsidR="00D05DDE" w:rsidRPr="00A472FC">
        <w:rPr>
          <w:rFonts w:ascii="Times New Roman" w:hAnsi="Times New Roman" w:cs="Times New Roman"/>
        </w:rPr>
        <w:t>ing</w:t>
      </w:r>
      <w:r w:rsidR="00561058" w:rsidRPr="00A472FC">
        <w:rPr>
          <w:rFonts w:ascii="Times New Roman" w:hAnsi="Times New Roman" w:cs="Times New Roman"/>
        </w:rPr>
        <w:t xml:space="preserve"> simple rather than complex knowledge</w:t>
      </w:r>
      <w:r w:rsidRPr="00A472FC">
        <w:rPr>
          <w:rFonts w:ascii="Times New Roman" w:hAnsi="Times New Roman" w:cs="Times New Roman"/>
        </w:rPr>
        <w:t>.</w:t>
      </w:r>
      <w:r w:rsidRPr="00A472FC">
        <w:rPr>
          <w:rStyle w:val="FootnoteReference"/>
          <w:rFonts w:ascii="Times New Roman" w:hAnsi="Times New Roman" w:cs="Times New Roman"/>
        </w:rPr>
        <w:footnoteReference w:id="937"/>
      </w:r>
      <w:r w:rsidRPr="00A472FC">
        <w:rPr>
          <w:rFonts w:ascii="Times New Roman" w:hAnsi="Times New Roman" w:cs="Times New Roman"/>
        </w:rPr>
        <w:t xml:space="preserve"> As we have seen, the three differences posited by Augustine are distinguished according to intelligible differences in forms of greater or lesser nobility.</w:t>
      </w:r>
      <w:r w:rsidRPr="00A472FC">
        <w:rPr>
          <w:rStyle w:val="FootnoteReference"/>
          <w:rFonts w:ascii="Times New Roman" w:hAnsi="Times New Roman" w:cs="Times New Roman"/>
        </w:rPr>
        <w:footnoteReference w:id="938"/>
      </w:r>
      <w:r w:rsidRPr="00A472FC">
        <w:rPr>
          <w:rFonts w:ascii="Times New Roman" w:hAnsi="Times New Roman" w:cs="Times New Roman"/>
        </w:rPr>
        <w:t xml:space="preserve"> The uncreated intelligible or God is more noble than the created intelligible, and an intelligible being that is created separately from corporeal forms, that is, an angel, is more noble than the one that subsists in a corporeal form. However, the different categories posited by the philosopher pertain to different degrees in the act of abstraction. These include the material intellect, which is the power which possesses </w:t>
      </w:r>
      <w:r w:rsidR="00185CF9" w:rsidRPr="00A472FC">
        <w:rPr>
          <w:rFonts w:ascii="Times New Roman" w:hAnsi="Times New Roman" w:cs="Times New Roman"/>
        </w:rPr>
        <w:t>the particular form</w:t>
      </w:r>
      <w:r w:rsidRPr="00A472FC">
        <w:rPr>
          <w:rFonts w:ascii="Times New Roman" w:hAnsi="Times New Roman" w:cs="Times New Roman"/>
        </w:rPr>
        <w:t xml:space="preserve"> on the basis of which abstraction is performed; a power that presents that form for scrutiny in abstraction, or the possible intellect; and a power that comprehends abstract forms, to wit, the agent intellect.</w:t>
      </w:r>
      <w:r w:rsidRPr="00A472FC">
        <w:rPr>
          <w:rStyle w:val="FootnoteReference"/>
          <w:rFonts w:ascii="Times New Roman" w:hAnsi="Times New Roman" w:cs="Times New Roman"/>
        </w:rPr>
        <w:footnoteReference w:id="939"/>
      </w:r>
      <w:r w:rsidRPr="00A472FC">
        <w:rPr>
          <w:rFonts w:ascii="Times New Roman" w:hAnsi="Times New Roman" w:cs="Times New Roman"/>
        </w:rPr>
        <w:t xml:space="preserve"> In summary, the Summa states, the differences posited by the philosopher relate to forms that can be abstracted, but those of Augustine pertain to forms that are abstracted already, as well as others which cannot strictly speaking be abstracted by the mind, such as angels and God. In that sense, the divisions cannot be conflated.</w:t>
      </w:r>
      <w:r w:rsidRPr="00A472FC">
        <w:rPr>
          <w:rStyle w:val="FootnoteReference"/>
          <w:rFonts w:ascii="Times New Roman" w:hAnsi="Times New Roman" w:cs="Times New Roman"/>
        </w:rPr>
        <w:footnoteReference w:id="940"/>
      </w:r>
      <w:r w:rsidRPr="00A472FC">
        <w:rPr>
          <w:rFonts w:ascii="Times New Roman" w:hAnsi="Times New Roman" w:cs="Times New Roman"/>
        </w:rPr>
        <w:t xml:space="preserve">  </w:t>
      </w:r>
    </w:p>
    <w:p w14:paraId="7BE983C2" w14:textId="08DAECFD" w:rsidR="00E212D3" w:rsidRPr="00A472FC" w:rsidRDefault="00E212D3" w:rsidP="00196D99">
      <w:pPr>
        <w:ind w:right="-52" w:firstLine="720"/>
        <w:rPr>
          <w:rFonts w:ascii="Times New Roman" w:hAnsi="Times New Roman" w:cs="Times New Roman"/>
        </w:rPr>
      </w:pPr>
      <w:r w:rsidRPr="00A472FC">
        <w:rPr>
          <w:rFonts w:ascii="Times New Roman" w:hAnsi="Times New Roman" w:cs="Times New Roman"/>
        </w:rPr>
        <w:t>Following this</w:t>
      </w:r>
      <w:r w:rsidR="00F12570" w:rsidRPr="00A472FC">
        <w:rPr>
          <w:rFonts w:ascii="Times New Roman" w:hAnsi="Times New Roman" w:cs="Times New Roman"/>
        </w:rPr>
        <w:t xml:space="preserve"> discussion</w:t>
      </w:r>
      <w:r w:rsidRPr="00A472FC">
        <w:rPr>
          <w:rFonts w:ascii="Times New Roman" w:hAnsi="Times New Roman" w:cs="Times New Roman"/>
        </w:rPr>
        <w:t xml:space="preserve">, the Summa undertakes a comparison between the division of the philosopher </w:t>
      </w:r>
      <w:r w:rsidR="001009AF" w:rsidRPr="00A472FC">
        <w:rPr>
          <w:rFonts w:ascii="Times New Roman" w:hAnsi="Times New Roman" w:cs="Times New Roman"/>
        </w:rPr>
        <w:t>and</w:t>
      </w:r>
      <w:r w:rsidRPr="00A472FC">
        <w:rPr>
          <w:rFonts w:ascii="Times New Roman" w:hAnsi="Times New Roman" w:cs="Times New Roman"/>
        </w:rPr>
        <w:t xml:space="preserve"> that of Damascus. These two thinkers have the idea of intellect in common, but the commonality ends there, because the philosopher is concerned with intelligible forms that are considered without complexion, but the intellect of Damascus grasps intelligible forms with complexion.</w:t>
      </w:r>
      <w:r w:rsidRPr="00A472FC">
        <w:rPr>
          <w:rStyle w:val="FootnoteReference"/>
          <w:rFonts w:ascii="Times New Roman" w:hAnsi="Times New Roman" w:cs="Times New Roman"/>
        </w:rPr>
        <w:footnoteReference w:id="941"/>
      </w:r>
      <w:r w:rsidRPr="00A472FC">
        <w:rPr>
          <w:rFonts w:ascii="Times New Roman" w:hAnsi="Times New Roman" w:cs="Times New Roman"/>
        </w:rPr>
        <w:t xml:space="preserve"> </w:t>
      </w:r>
      <w:r w:rsidR="00546B47" w:rsidRPr="00A472FC">
        <w:rPr>
          <w:rFonts w:ascii="Times New Roman" w:hAnsi="Times New Roman" w:cs="Times New Roman"/>
        </w:rPr>
        <w:t xml:space="preserve">As noted above, the latter involves distinguishing between truth and falsity, moving from something unknown to something known, but the former involves simple knowledge of a thing in itself. </w:t>
      </w:r>
      <w:r w:rsidRPr="00A472FC">
        <w:rPr>
          <w:rFonts w:ascii="Times New Roman" w:hAnsi="Times New Roman" w:cs="Times New Roman"/>
        </w:rPr>
        <w:t xml:space="preserve">That is why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states that </w:t>
      </w:r>
      <w:r w:rsidR="00196D99" w:rsidRPr="00A472FC">
        <w:rPr>
          <w:rFonts w:ascii="Times New Roman" w:hAnsi="Times New Roman" w:cs="Times New Roman"/>
        </w:rPr>
        <w:t xml:space="preserve">simple </w:t>
      </w:r>
      <w:r w:rsidRPr="00A472FC">
        <w:rPr>
          <w:rFonts w:ascii="Times New Roman" w:hAnsi="Times New Roman" w:cs="Times New Roman"/>
        </w:rPr>
        <w:t xml:space="preserve">knowledge pertains to what is necessary and </w:t>
      </w:r>
      <w:r w:rsidR="00196D99" w:rsidRPr="00A472FC">
        <w:rPr>
          <w:rFonts w:ascii="Times New Roman" w:hAnsi="Times New Roman" w:cs="Times New Roman"/>
        </w:rPr>
        <w:t>complex</w:t>
      </w:r>
      <w:r w:rsidRPr="00A472FC">
        <w:rPr>
          <w:rFonts w:ascii="Times New Roman" w:hAnsi="Times New Roman" w:cs="Times New Roman"/>
        </w:rPr>
        <w:t xml:space="preserve"> to what is contingent. </w:t>
      </w:r>
    </w:p>
    <w:p w14:paraId="7C2FA28E" w14:textId="77777777" w:rsidR="00243517" w:rsidRPr="00A472FC" w:rsidRDefault="00E212D3" w:rsidP="00243517">
      <w:pPr>
        <w:ind w:right="-52" w:firstLine="720"/>
        <w:rPr>
          <w:rFonts w:ascii="Times New Roman" w:hAnsi="Times New Roman" w:cs="Times New Roman"/>
        </w:rPr>
      </w:pPr>
      <w:r w:rsidRPr="00A472FC">
        <w:rPr>
          <w:rFonts w:ascii="Times New Roman" w:hAnsi="Times New Roman" w:cs="Times New Roman"/>
        </w:rPr>
        <w:t xml:space="preserve">After this,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compares the first division of Augustine to the second one proposed by </w:t>
      </w:r>
      <w:r w:rsidR="00386A6F" w:rsidRPr="00A472FC">
        <w:rPr>
          <w:rFonts w:ascii="Times New Roman" w:hAnsi="Times New Roman" w:cs="Times New Roman"/>
        </w:rPr>
        <w:t>the same</w:t>
      </w:r>
      <w:r w:rsidRPr="00A472FC">
        <w:rPr>
          <w:rFonts w:ascii="Times New Roman" w:hAnsi="Times New Roman" w:cs="Times New Roman"/>
        </w:rPr>
        <w:t>, namely, between ingenuity, reason, memory, and intelligence.</w:t>
      </w:r>
      <w:r w:rsidRPr="00A472FC">
        <w:rPr>
          <w:rStyle w:val="FootnoteReference"/>
          <w:rFonts w:ascii="Times New Roman" w:hAnsi="Times New Roman" w:cs="Times New Roman"/>
        </w:rPr>
        <w:footnoteReference w:id="942"/>
      </w:r>
      <w:r w:rsidRPr="00A472FC">
        <w:rPr>
          <w:rFonts w:ascii="Times New Roman" w:hAnsi="Times New Roman" w:cs="Times New Roman"/>
        </w:rPr>
        <w:t xml:space="preserve"> This division is concerned with the stages involved in the act of knowing in the one that has the power to know.</w:t>
      </w:r>
      <w:r w:rsidRPr="00A472FC">
        <w:rPr>
          <w:rStyle w:val="FootnoteReference"/>
          <w:rFonts w:ascii="Times New Roman" w:hAnsi="Times New Roman" w:cs="Times New Roman"/>
        </w:rPr>
        <w:footnoteReference w:id="943"/>
      </w:r>
      <w:r w:rsidRPr="00A472FC">
        <w:rPr>
          <w:rFonts w:ascii="Times New Roman" w:hAnsi="Times New Roman" w:cs="Times New Roman"/>
        </w:rPr>
        <w:t xml:space="preserve"> First there is an inquiry after the truth (</w:t>
      </w:r>
      <w:proofErr w:type="spellStart"/>
      <w:r w:rsidRPr="00A472FC">
        <w:rPr>
          <w:rFonts w:ascii="Times New Roman" w:hAnsi="Times New Roman" w:cs="Times New Roman"/>
          <w:i/>
        </w:rPr>
        <w:t>ingenium</w:t>
      </w:r>
      <w:proofErr w:type="spellEnd"/>
      <w:r w:rsidRPr="00A472FC">
        <w:rPr>
          <w:rFonts w:ascii="Times New Roman" w:hAnsi="Times New Roman" w:cs="Times New Roman"/>
        </w:rPr>
        <w:t>), second, adjudication concerning it (</w:t>
      </w:r>
      <w:r w:rsidRPr="00A472FC">
        <w:rPr>
          <w:rFonts w:ascii="Times New Roman" w:hAnsi="Times New Roman" w:cs="Times New Roman"/>
          <w:i/>
        </w:rPr>
        <w:t>ratio</w:t>
      </w:r>
      <w:r w:rsidRPr="00A472FC">
        <w:rPr>
          <w:rFonts w:ascii="Times New Roman" w:hAnsi="Times New Roman" w:cs="Times New Roman"/>
        </w:rPr>
        <w:t>), third, preserving a judgment (</w:t>
      </w:r>
      <w:proofErr w:type="spellStart"/>
      <w:r w:rsidRPr="00A472FC">
        <w:rPr>
          <w:rFonts w:ascii="Times New Roman" w:hAnsi="Times New Roman" w:cs="Times New Roman"/>
          <w:i/>
        </w:rPr>
        <w:t>memoria</w:t>
      </w:r>
      <w:proofErr w:type="spellEnd"/>
      <w:r w:rsidRPr="00A472FC">
        <w:rPr>
          <w:rFonts w:ascii="Times New Roman" w:hAnsi="Times New Roman" w:cs="Times New Roman"/>
        </w:rPr>
        <w:t xml:space="preserve">), and fourthly, a full </w:t>
      </w:r>
      <w:r w:rsidRPr="00A472FC">
        <w:rPr>
          <w:rFonts w:ascii="Times New Roman" w:hAnsi="Times New Roman" w:cs="Times New Roman"/>
        </w:rPr>
        <w:lastRenderedPageBreak/>
        <w:t>comprehension of what is preserved (</w:t>
      </w:r>
      <w:proofErr w:type="spellStart"/>
      <w:r w:rsidRPr="00A472FC">
        <w:rPr>
          <w:rFonts w:ascii="Times New Roman" w:hAnsi="Times New Roman" w:cs="Times New Roman"/>
          <w:i/>
        </w:rPr>
        <w:t>intelligentia</w:t>
      </w:r>
      <w:proofErr w:type="spellEnd"/>
      <w:r w:rsidRPr="00A472FC">
        <w:rPr>
          <w:rFonts w:ascii="Times New Roman" w:hAnsi="Times New Roman" w:cs="Times New Roman"/>
        </w:rPr>
        <w:t xml:space="preserve">). As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notes, this scheme contains two members of Augustine’s first division, namely, reason and intelligence, but lacks a reference to the intellect. Furthermore, it posits a retentive power, namely, memory, which was not listed in the first division. Likewise, ingenuity was not part of the first division. </w:t>
      </w:r>
    </w:p>
    <w:p w14:paraId="302D5B6D" w14:textId="59117B62" w:rsidR="00F1338C" w:rsidRPr="00A472FC" w:rsidRDefault="00E212D3" w:rsidP="000F349B">
      <w:pPr>
        <w:ind w:right="-52" w:firstLine="720"/>
        <w:rPr>
          <w:rFonts w:ascii="Times New Roman" w:hAnsi="Times New Roman" w:cs="Times New Roman"/>
        </w:rPr>
      </w:pPr>
      <w:r w:rsidRPr="00A472FC">
        <w:rPr>
          <w:rFonts w:ascii="Times New Roman" w:hAnsi="Times New Roman" w:cs="Times New Roman"/>
        </w:rPr>
        <w:t xml:space="preserve">In this connection,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notes that </w:t>
      </w:r>
      <w:r w:rsidR="00B0732B" w:rsidRPr="00A472FC">
        <w:rPr>
          <w:rFonts w:ascii="Times New Roman" w:hAnsi="Times New Roman" w:cs="Times New Roman"/>
        </w:rPr>
        <w:t xml:space="preserve">for </w:t>
      </w:r>
      <w:r w:rsidRPr="00A472FC">
        <w:rPr>
          <w:rFonts w:ascii="Times New Roman" w:hAnsi="Times New Roman" w:cs="Times New Roman"/>
        </w:rPr>
        <w:t>Augustine reason and ingenuity are basically the same power and differ mainly in terms of the phase they represent in the process of deliberation: searching for it versus achieving it.</w:t>
      </w:r>
      <w:r w:rsidRPr="00A472FC">
        <w:rPr>
          <w:rStyle w:val="FootnoteReference"/>
          <w:rFonts w:ascii="Times New Roman" w:hAnsi="Times New Roman" w:cs="Times New Roman"/>
        </w:rPr>
        <w:footnoteReference w:id="944"/>
      </w:r>
      <w:r w:rsidRPr="00A472FC">
        <w:rPr>
          <w:rFonts w:ascii="Times New Roman" w:hAnsi="Times New Roman" w:cs="Times New Roman"/>
        </w:rPr>
        <w:t xml:space="preserve"> As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elaborates, the former discerns between truth and falsity and other attributes of a thing, and seeks to move from what is unknown to something known</w:t>
      </w:r>
      <w:r w:rsidR="00372175" w:rsidRPr="00A472FC">
        <w:rPr>
          <w:rFonts w:ascii="Times New Roman" w:hAnsi="Times New Roman" w:cs="Times New Roman"/>
        </w:rPr>
        <w:t>. This scheme therefore involves complexion, like the aforementioned scheme of Damascus</w:t>
      </w:r>
      <w:r w:rsidR="00FF258E" w:rsidRPr="00A472FC">
        <w:rPr>
          <w:rFonts w:ascii="Times New Roman" w:hAnsi="Times New Roman" w:cs="Times New Roman"/>
        </w:rPr>
        <w:t xml:space="preserve">—at least in the view of the </w:t>
      </w:r>
      <w:proofErr w:type="spellStart"/>
      <w:r w:rsidR="00FF258E" w:rsidRPr="00A472FC">
        <w:rPr>
          <w:rFonts w:ascii="Times New Roman" w:hAnsi="Times New Roman" w:cs="Times New Roman"/>
        </w:rPr>
        <w:t>Summist</w:t>
      </w:r>
      <w:proofErr w:type="spellEnd"/>
      <w:r w:rsidR="00372175" w:rsidRPr="00A472FC">
        <w:rPr>
          <w:rFonts w:ascii="Times New Roman" w:hAnsi="Times New Roman" w:cs="Times New Roman"/>
        </w:rPr>
        <w:t xml:space="preserve">. On the basis of ingenuity’s operations, reason makes a discovery or </w:t>
      </w:r>
      <w:r w:rsidRPr="00A472FC">
        <w:rPr>
          <w:rFonts w:ascii="Times New Roman" w:hAnsi="Times New Roman" w:cs="Times New Roman"/>
        </w:rPr>
        <w:t xml:space="preserve">draws a conclusion </w:t>
      </w:r>
      <w:r w:rsidR="00742C02" w:rsidRPr="00A472FC">
        <w:rPr>
          <w:rFonts w:ascii="Times New Roman" w:hAnsi="Times New Roman" w:cs="Times New Roman"/>
        </w:rPr>
        <w:t xml:space="preserve">about a particular sense form </w:t>
      </w:r>
      <w:r w:rsidR="00372175" w:rsidRPr="00A472FC">
        <w:rPr>
          <w:rFonts w:ascii="Times New Roman" w:hAnsi="Times New Roman" w:cs="Times New Roman"/>
        </w:rPr>
        <w:t>which is then transformed by intelligence into an intelligible form that is stored in the memory</w:t>
      </w:r>
      <w:r w:rsidRPr="00A472FC">
        <w:rPr>
          <w:rFonts w:ascii="Times New Roman" w:hAnsi="Times New Roman" w:cs="Times New Roman"/>
        </w:rPr>
        <w:t>.</w:t>
      </w:r>
      <w:r w:rsidRPr="00A472FC">
        <w:rPr>
          <w:rStyle w:val="FootnoteReference"/>
          <w:rFonts w:ascii="Times New Roman" w:hAnsi="Times New Roman" w:cs="Times New Roman"/>
        </w:rPr>
        <w:footnoteReference w:id="945"/>
      </w:r>
      <w:r w:rsidRPr="00A472FC">
        <w:rPr>
          <w:rFonts w:ascii="Times New Roman" w:hAnsi="Times New Roman" w:cs="Times New Roman"/>
        </w:rPr>
        <w:t xml:space="preserve"> </w:t>
      </w:r>
    </w:p>
    <w:p w14:paraId="7255EB83" w14:textId="566801FD"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Here, </w:t>
      </w:r>
      <w:r w:rsidR="000F349B" w:rsidRPr="00A472FC">
        <w:rPr>
          <w:rFonts w:ascii="Times New Roman" w:hAnsi="Times New Roman" w:cs="Times New Roman"/>
        </w:rPr>
        <w:t xml:space="preserve">however, </w:t>
      </w:r>
      <w:r w:rsidRPr="00A472FC">
        <w:rPr>
          <w:rFonts w:ascii="Times New Roman" w:hAnsi="Times New Roman" w:cs="Times New Roman"/>
        </w:rPr>
        <w:t xml:space="preserve">intelligence </w:t>
      </w:r>
      <w:r w:rsidR="00F1338C" w:rsidRPr="00A472FC">
        <w:rPr>
          <w:rFonts w:ascii="Times New Roman" w:hAnsi="Times New Roman" w:cs="Times New Roman"/>
        </w:rPr>
        <w:t xml:space="preserve">clearly </w:t>
      </w:r>
      <w:r w:rsidRPr="00A472FC">
        <w:rPr>
          <w:rFonts w:ascii="Times New Roman" w:hAnsi="Times New Roman" w:cs="Times New Roman"/>
        </w:rPr>
        <w:t xml:space="preserve">means something different than it does in the first scheme of Augustine. For it refers now to a complex truth, and in the first division, it concerns the non-complex and highest truth that is God. As the Summa therefore concludes, intelligence can sometimes be defined </w:t>
      </w:r>
      <w:r w:rsidR="00FB1323" w:rsidRPr="00A472FC">
        <w:rPr>
          <w:rFonts w:ascii="Times New Roman" w:hAnsi="Times New Roman" w:cs="Times New Roman"/>
        </w:rPr>
        <w:t>in the context of relating or distinguishing two entities</w:t>
      </w:r>
      <w:r w:rsidRPr="00A472FC">
        <w:rPr>
          <w:rFonts w:ascii="Times New Roman" w:hAnsi="Times New Roman" w:cs="Times New Roman"/>
        </w:rPr>
        <w:t>, or with complexion</w:t>
      </w:r>
      <w:r w:rsidR="00EB6A39">
        <w:rPr>
          <w:rFonts w:ascii="Times New Roman" w:hAnsi="Times New Roman" w:cs="Times New Roman"/>
        </w:rPr>
        <w:t xml:space="preserve">. Alternatively, </w:t>
      </w:r>
      <w:r w:rsidRPr="00A472FC">
        <w:rPr>
          <w:rFonts w:ascii="Times New Roman" w:hAnsi="Times New Roman" w:cs="Times New Roman"/>
        </w:rPr>
        <w:t>it can be understood as the cognitive power to know all intelligible forms without complexion</w:t>
      </w:r>
      <w:r w:rsidR="00831003" w:rsidRPr="00A472FC">
        <w:rPr>
          <w:rFonts w:ascii="Times New Roman" w:hAnsi="Times New Roman" w:cs="Times New Roman"/>
        </w:rPr>
        <w:t xml:space="preserve"> or as standalone entities</w:t>
      </w:r>
      <w:r w:rsidRPr="00A472FC">
        <w:rPr>
          <w:rFonts w:ascii="Times New Roman" w:hAnsi="Times New Roman" w:cs="Times New Roman"/>
        </w:rPr>
        <w:t>, and thus the Philosopher says that ‘all indivisible things are intelligible.’</w:t>
      </w:r>
      <w:r w:rsidRPr="00A472FC">
        <w:rPr>
          <w:rStyle w:val="FootnoteReference"/>
          <w:rFonts w:ascii="Times New Roman" w:hAnsi="Times New Roman" w:cs="Times New Roman"/>
        </w:rPr>
        <w:footnoteReference w:id="946"/>
      </w:r>
      <w:r w:rsidRPr="00A472FC">
        <w:rPr>
          <w:rFonts w:ascii="Times New Roman" w:hAnsi="Times New Roman" w:cs="Times New Roman"/>
        </w:rPr>
        <w:t xml:space="preserve"> In another sense, intelligence can involve the cognitive power of receiving intelligible forms concerning what is uncreated and highest, as in Augustine’s first division.</w:t>
      </w:r>
    </w:p>
    <w:p w14:paraId="6538F135" w14:textId="6482E32B"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John of Damascus speaks of intelligence in yet another sense in a second division he posits between intelligence, intention, excogitation, and </w:t>
      </w:r>
      <w:proofErr w:type="spellStart"/>
      <w:r w:rsidRPr="00A472FC">
        <w:rPr>
          <w:rFonts w:ascii="Times New Roman" w:hAnsi="Times New Roman" w:cs="Times New Roman"/>
        </w:rPr>
        <w:t>phronesis</w:t>
      </w:r>
      <w:proofErr w:type="spellEnd"/>
      <w:r w:rsidRPr="00A472FC">
        <w:rPr>
          <w:rFonts w:ascii="Times New Roman" w:hAnsi="Times New Roman" w:cs="Times New Roman"/>
        </w:rPr>
        <w:t>. Intelligence is the intellectual power</w:t>
      </w:r>
      <w:r w:rsidR="00D614D9" w:rsidRPr="00A472FC">
        <w:rPr>
          <w:rFonts w:ascii="Times New Roman" w:hAnsi="Times New Roman" w:cs="Times New Roman"/>
        </w:rPr>
        <w:t>’s act</w:t>
      </w:r>
      <w:r w:rsidRPr="00A472FC">
        <w:rPr>
          <w:rFonts w:ascii="Times New Roman" w:hAnsi="Times New Roman" w:cs="Times New Roman"/>
        </w:rPr>
        <w:t xml:space="preserve"> of grasping something; intention is </w:t>
      </w:r>
      <w:r w:rsidR="00A2067C" w:rsidRPr="00A472FC">
        <w:rPr>
          <w:rFonts w:ascii="Times New Roman" w:hAnsi="Times New Roman" w:cs="Times New Roman"/>
        </w:rPr>
        <w:t xml:space="preserve">actual </w:t>
      </w:r>
      <w:r w:rsidRPr="00A472FC">
        <w:rPr>
          <w:rFonts w:ascii="Times New Roman" w:hAnsi="Times New Roman" w:cs="Times New Roman"/>
        </w:rPr>
        <w:t>intelligence about or understanding of something</w:t>
      </w:r>
      <w:r w:rsidR="005C413F" w:rsidRPr="00A472FC">
        <w:rPr>
          <w:rFonts w:ascii="Times New Roman" w:hAnsi="Times New Roman" w:cs="Times New Roman"/>
        </w:rPr>
        <w:t>;</w:t>
      </w:r>
      <w:r w:rsidRPr="00A472FC">
        <w:rPr>
          <w:rFonts w:ascii="Times New Roman" w:hAnsi="Times New Roman" w:cs="Times New Roman"/>
        </w:rPr>
        <w:t xml:space="preserve"> excogitation is the preliminary movement of reason to gain understanding</w:t>
      </w:r>
      <w:r w:rsidR="005C413F" w:rsidRPr="00A472FC">
        <w:rPr>
          <w:rFonts w:ascii="Times New Roman" w:hAnsi="Times New Roman" w:cs="Times New Roman"/>
        </w:rPr>
        <w:t>;</w:t>
      </w:r>
      <w:r w:rsidRPr="00A472FC">
        <w:rPr>
          <w:rFonts w:ascii="Times New Roman" w:hAnsi="Times New Roman" w:cs="Times New Roman"/>
        </w:rPr>
        <w:t xml:space="preserve"> and </w:t>
      </w:r>
      <w:proofErr w:type="spellStart"/>
      <w:r w:rsidRPr="00A472FC">
        <w:rPr>
          <w:rFonts w:ascii="Times New Roman" w:hAnsi="Times New Roman" w:cs="Times New Roman"/>
        </w:rPr>
        <w:t>phronesis</w:t>
      </w:r>
      <w:proofErr w:type="spellEnd"/>
      <w:r w:rsidRPr="00A472FC">
        <w:rPr>
          <w:rFonts w:ascii="Times New Roman" w:hAnsi="Times New Roman" w:cs="Times New Roman"/>
        </w:rPr>
        <w:t xml:space="preserve"> is the consequent movement of reason to draw a conclusion about what is to be understood.</w:t>
      </w:r>
      <w:r w:rsidRPr="00A472FC">
        <w:rPr>
          <w:rStyle w:val="FootnoteReference"/>
          <w:rFonts w:ascii="Times New Roman" w:hAnsi="Times New Roman" w:cs="Times New Roman"/>
        </w:rPr>
        <w:footnoteReference w:id="947"/>
      </w:r>
      <w:r w:rsidRPr="00A472FC">
        <w:rPr>
          <w:rFonts w:ascii="Times New Roman" w:hAnsi="Times New Roman" w:cs="Times New Roman"/>
        </w:rPr>
        <w:t xml:space="preserve"> According to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these four acts are precisely the ones performed by the possible intellect of the Philosopher. More specifically, the Summa later claims in the section on Damascus that they correspond to the four intellects of Avicenna, which represent four grades of potentiality with respect to obtaining knowledge.</w:t>
      </w:r>
      <w:r w:rsidRPr="00A472FC">
        <w:rPr>
          <w:rStyle w:val="FootnoteReference"/>
          <w:rFonts w:ascii="Times New Roman" w:hAnsi="Times New Roman" w:cs="Times New Roman"/>
        </w:rPr>
        <w:footnoteReference w:id="948"/>
      </w:r>
      <w:r w:rsidRPr="00A472FC">
        <w:rPr>
          <w:rFonts w:ascii="Times New Roman" w:hAnsi="Times New Roman" w:cs="Times New Roman"/>
        </w:rPr>
        <w:t xml:space="preserve"> </w:t>
      </w:r>
    </w:p>
    <w:p w14:paraId="548A5864" w14:textId="2EF24B84"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These are listed as follows: the possible (material) intellect, intellect </w:t>
      </w:r>
      <w:r w:rsidRPr="00A472FC">
        <w:rPr>
          <w:rFonts w:ascii="Times New Roman" w:hAnsi="Times New Roman" w:cs="Times New Roman"/>
          <w:i/>
        </w:rPr>
        <w:t xml:space="preserve">in </w:t>
      </w:r>
      <w:proofErr w:type="spellStart"/>
      <w:r w:rsidRPr="00A472FC">
        <w:rPr>
          <w:rFonts w:ascii="Times New Roman" w:hAnsi="Times New Roman" w:cs="Times New Roman"/>
          <w:i/>
        </w:rPr>
        <w:t>effectu</w:t>
      </w:r>
      <w:proofErr w:type="spellEnd"/>
      <w:r w:rsidRPr="00A472FC">
        <w:rPr>
          <w:rFonts w:ascii="Times New Roman" w:hAnsi="Times New Roman" w:cs="Times New Roman"/>
        </w:rPr>
        <w:t xml:space="preserve">, </w:t>
      </w:r>
      <w:r w:rsidRPr="00A472FC">
        <w:rPr>
          <w:rFonts w:ascii="Times New Roman" w:hAnsi="Times New Roman" w:cs="Times New Roman"/>
          <w:i/>
        </w:rPr>
        <w:t xml:space="preserve">in </w:t>
      </w:r>
      <w:proofErr w:type="spellStart"/>
      <w:r w:rsidRPr="00A472FC">
        <w:rPr>
          <w:rFonts w:ascii="Times New Roman" w:hAnsi="Times New Roman" w:cs="Times New Roman"/>
          <w:i/>
        </w:rPr>
        <w:t>habitu</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and </w:t>
      </w:r>
      <w:proofErr w:type="spellStart"/>
      <w:r w:rsidRPr="00A472FC">
        <w:rPr>
          <w:rFonts w:ascii="Times New Roman" w:hAnsi="Times New Roman" w:cs="Times New Roman"/>
          <w:i/>
        </w:rPr>
        <w:t>intellectus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adeptus</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949"/>
      </w:r>
      <w:r w:rsidRPr="00A472FC">
        <w:rPr>
          <w:rFonts w:ascii="Times New Roman" w:hAnsi="Times New Roman" w:cs="Times New Roman"/>
        </w:rPr>
        <w:t xml:space="preserve"> The first, material intellect does not yet obtain intelligible </w:t>
      </w:r>
      <w:r w:rsidRPr="00A472FC">
        <w:rPr>
          <w:rFonts w:ascii="Times New Roman" w:hAnsi="Times New Roman" w:cs="Times New Roman"/>
        </w:rPr>
        <w:lastRenderedPageBreak/>
        <w:t xml:space="preserve">forms but has the potential to acquire the disposition to do so (intelligence); the second is the intellect </w:t>
      </w:r>
      <w:r w:rsidRPr="00A472FC">
        <w:rPr>
          <w:rFonts w:ascii="Times New Roman" w:hAnsi="Times New Roman" w:cs="Times New Roman"/>
          <w:i/>
        </w:rPr>
        <w:t xml:space="preserve">in </w:t>
      </w:r>
      <w:proofErr w:type="spellStart"/>
      <w:r w:rsidRPr="00A472FC">
        <w:rPr>
          <w:rFonts w:ascii="Times New Roman" w:hAnsi="Times New Roman" w:cs="Times New Roman"/>
          <w:i/>
        </w:rPr>
        <w:t>effectu</w:t>
      </w:r>
      <w:proofErr w:type="spellEnd"/>
      <w:r w:rsidRPr="00A472FC">
        <w:rPr>
          <w:rFonts w:ascii="Times New Roman" w:hAnsi="Times New Roman" w:cs="Times New Roman"/>
        </w:rPr>
        <w:t xml:space="preserve"> or </w:t>
      </w:r>
      <w:proofErr w:type="spellStart"/>
      <w:r w:rsidRPr="00A472FC">
        <w:rPr>
          <w:rFonts w:ascii="Times New Roman" w:hAnsi="Times New Roman" w:cs="Times New Roman"/>
          <w:i/>
        </w:rPr>
        <w:t>formatus</w:t>
      </w:r>
      <w:proofErr w:type="spellEnd"/>
      <w:r w:rsidRPr="00A472FC">
        <w:rPr>
          <w:rFonts w:ascii="Times New Roman" w:hAnsi="Times New Roman" w:cs="Times New Roman"/>
          <w:i/>
        </w:rPr>
        <w:t xml:space="preserve"> </w:t>
      </w:r>
      <w:r w:rsidRPr="00A472FC">
        <w:rPr>
          <w:rFonts w:ascii="Times New Roman" w:hAnsi="Times New Roman" w:cs="Times New Roman"/>
        </w:rPr>
        <w:t>which is a disposition to receive forms (</w:t>
      </w:r>
      <w:proofErr w:type="spellStart"/>
      <w:r w:rsidRPr="00A472FC">
        <w:rPr>
          <w:rFonts w:ascii="Times New Roman" w:hAnsi="Times New Roman" w:cs="Times New Roman"/>
          <w:i/>
        </w:rPr>
        <w:t>intentio</w:t>
      </w:r>
      <w:proofErr w:type="spellEnd"/>
      <w:r w:rsidRPr="00A472FC">
        <w:rPr>
          <w:rFonts w:ascii="Times New Roman" w:hAnsi="Times New Roman" w:cs="Times New Roman"/>
        </w:rPr>
        <w:t xml:space="preserve">); the intellect </w:t>
      </w:r>
      <w:r w:rsidRPr="00A472FC">
        <w:rPr>
          <w:rFonts w:ascii="Times New Roman" w:hAnsi="Times New Roman" w:cs="Times New Roman"/>
          <w:i/>
        </w:rPr>
        <w:t xml:space="preserve">in </w:t>
      </w:r>
      <w:proofErr w:type="spellStart"/>
      <w:r w:rsidRPr="00A472FC">
        <w:rPr>
          <w:rFonts w:ascii="Times New Roman" w:hAnsi="Times New Roman" w:cs="Times New Roman"/>
          <w:i/>
        </w:rPr>
        <w:t>habitu</w:t>
      </w:r>
      <w:proofErr w:type="spellEnd"/>
      <w:r w:rsidRPr="00A472FC">
        <w:rPr>
          <w:rFonts w:ascii="Times New Roman" w:hAnsi="Times New Roman" w:cs="Times New Roman"/>
        </w:rPr>
        <w:t xml:space="preserve"> invokes </w:t>
      </w:r>
      <w:r w:rsidR="00DB7BDC" w:rsidRPr="00A472FC">
        <w:rPr>
          <w:rFonts w:ascii="Times New Roman" w:hAnsi="Times New Roman" w:cs="Times New Roman"/>
        </w:rPr>
        <w:t>previously</w:t>
      </w:r>
      <w:r w:rsidRPr="00A472FC">
        <w:rPr>
          <w:rFonts w:ascii="Times New Roman" w:hAnsi="Times New Roman" w:cs="Times New Roman"/>
        </w:rPr>
        <w:t xml:space="preserve">-attained understanding when it wills (excogitation), and the fourth is the </w:t>
      </w:r>
      <w:proofErr w:type="spellStart"/>
      <w:r w:rsidRPr="00A472FC">
        <w:rPr>
          <w:rFonts w:ascii="Times New Roman" w:hAnsi="Times New Roman" w:cs="Times New Roman"/>
          <w:i/>
        </w:rPr>
        <w:t>intellectus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adeptus</w:t>
      </w:r>
      <w:proofErr w:type="spellEnd"/>
      <w:r w:rsidRPr="00A472FC">
        <w:rPr>
          <w:rFonts w:ascii="Times New Roman" w:hAnsi="Times New Roman" w:cs="Times New Roman"/>
        </w:rPr>
        <w:t>, which brings knowledge into act (</w:t>
      </w:r>
      <w:proofErr w:type="spellStart"/>
      <w:r w:rsidRPr="00A472FC">
        <w:rPr>
          <w:rFonts w:ascii="Times New Roman" w:hAnsi="Times New Roman" w:cs="Times New Roman"/>
          <w:i/>
          <w:iCs/>
        </w:rPr>
        <w:t>phronesis</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950"/>
      </w:r>
      <w:r w:rsidRPr="00A472FC">
        <w:rPr>
          <w:rFonts w:ascii="Times New Roman" w:hAnsi="Times New Roman" w:cs="Times New Roman"/>
        </w:rPr>
        <w:t xml:space="preserve"> </w:t>
      </w:r>
      <w:r w:rsidR="00425FFC" w:rsidRPr="00A472FC">
        <w:rPr>
          <w:rFonts w:ascii="Times New Roman" w:hAnsi="Times New Roman" w:cs="Times New Roman"/>
        </w:rPr>
        <w:t>As</w:t>
      </w:r>
      <w:r w:rsidRPr="00A472FC">
        <w:rPr>
          <w:rFonts w:ascii="Times New Roman" w:hAnsi="Times New Roman" w:cs="Times New Roman"/>
        </w:rPr>
        <w:t xml:space="preserve"> the </w:t>
      </w:r>
      <w:proofErr w:type="spellStart"/>
      <w:r w:rsidRPr="00A472FC">
        <w:rPr>
          <w:rFonts w:ascii="Times New Roman" w:hAnsi="Times New Roman" w:cs="Times New Roman"/>
        </w:rPr>
        <w:t>Summist</w:t>
      </w:r>
      <w:proofErr w:type="spellEnd"/>
      <w:r w:rsidR="00425FFC" w:rsidRPr="00A472FC">
        <w:rPr>
          <w:rFonts w:ascii="Times New Roman" w:hAnsi="Times New Roman" w:cs="Times New Roman"/>
        </w:rPr>
        <w:t xml:space="preserve"> posits</w:t>
      </w:r>
      <w:r w:rsidRPr="00A472FC">
        <w:rPr>
          <w:rFonts w:ascii="Times New Roman" w:hAnsi="Times New Roman" w:cs="Times New Roman"/>
        </w:rPr>
        <w:t xml:space="preserve">, </w:t>
      </w:r>
      <w:proofErr w:type="spellStart"/>
      <w:r w:rsidRPr="00A472FC">
        <w:rPr>
          <w:rFonts w:ascii="Times New Roman" w:hAnsi="Times New Roman" w:cs="Times New Roman"/>
          <w:i/>
          <w:iCs/>
        </w:rPr>
        <w:t>phronesis</w:t>
      </w:r>
      <w:proofErr w:type="spellEnd"/>
      <w:r w:rsidRPr="00A472FC">
        <w:rPr>
          <w:rFonts w:ascii="Times New Roman" w:hAnsi="Times New Roman" w:cs="Times New Roman"/>
        </w:rPr>
        <w:t xml:space="preserve">, ‘is seen to be nothing other than the </w:t>
      </w:r>
      <w:proofErr w:type="spellStart"/>
      <w:r w:rsidRPr="00A472FC">
        <w:rPr>
          <w:rFonts w:ascii="Times New Roman" w:hAnsi="Times New Roman" w:cs="Times New Roman"/>
          <w:i/>
        </w:rPr>
        <w:t>intellectus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adeptus</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951"/>
      </w:r>
      <w:r w:rsidRPr="00A472FC">
        <w:rPr>
          <w:rFonts w:ascii="Times New Roman" w:hAnsi="Times New Roman" w:cs="Times New Roman"/>
        </w:rPr>
        <w:t xml:space="preserve"> excogitation is </w:t>
      </w:r>
      <w:proofErr w:type="spellStart"/>
      <w:r w:rsidRPr="00A472FC">
        <w:rPr>
          <w:rFonts w:ascii="Times New Roman" w:hAnsi="Times New Roman" w:cs="Times New Roman"/>
          <w:i/>
        </w:rPr>
        <w:t>intellectus</w:t>
      </w:r>
      <w:proofErr w:type="spellEnd"/>
      <w:r w:rsidRPr="00A472FC">
        <w:rPr>
          <w:rFonts w:ascii="Times New Roman" w:hAnsi="Times New Roman" w:cs="Times New Roman"/>
          <w:i/>
        </w:rPr>
        <w:t xml:space="preserve"> in </w:t>
      </w:r>
      <w:proofErr w:type="spellStart"/>
      <w:r w:rsidRPr="00A472FC">
        <w:rPr>
          <w:rFonts w:ascii="Times New Roman" w:hAnsi="Times New Roman" w:cs="Times New Roman"/>
          <w:i/>
        </w:rPr>
        <w:t>habitu</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intentio</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is </w:t>
      </w:r>
      <w:proofErr w:type="spellStart"/>
      <w:r w:rsidRPr="00A472FC">
        <w:rPr>
          <w:rFonts w:ascii="Times New Roman" w:hAnsi="Times New Roman" w:cs="Times New Roman"/>
          <w:i/>
        </w:rPr>
        <w:t>intellectus</w:t>
      </w:r>
      <w:proofErr w:type="spellEnd"/>
      <w:r w:rsidRPr="00A472FC">
        <w:rPr>
          <w:rFonts w:ascii="Times New Roman" w:hAnsi="Times New Roman" w:cs="Times New Roman"/>
          <w:i/>
        </w:rPr>
        <w:t xml:space="preserve"> in </w:t>
      </w:r>
      <w:proofErr w:type="spellStart"/>
      <w:r w:rsidRPr="00A472FC">
        <w:rPr>
          <w:rFonts w:ascii="Times New Roman" w:hAnsi="Times New Roman" w:cs="Times New Roman"/>
          <w:i/>
        </w:rPr>
        <w:t>effectu</w:t>
      </w:r>
      <w:proofErr w:type="spellEnd"/>
      <w:r w:rsidRPr="00A472FC">
        <w:rPr>
          <w:rFonts w:ascii="Times New Roman" w:hAnsi="Times New Roman" w:cs="Times New Roman"/>
        </w:rPr>
        <w:t>, and intelligence is the material intellect, here defined as the first stage of the possible intellect.</w:t>
      </w:r>
    </w:p>
    <w:p w14:paraId="5A6DE1DF" w14:textId="38D6515B"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In </w:t>
      </w:r>
      <w:proofErr w:type="spellStart"/>
      <w:r w:rsidRPr="00A472FC">
        <w:rPr>
          <w:rFonts w:ascii="Times New Roman" w:hAnsi="Times New Roman" w:cs="Times New Roman"/>
        </w:rPr>
        <w:t>summarizing</w:t>
      </w:r>
      <w:proofErr w:type="spellEnd"/>
      <w:r w:rsidRPr="00A472FC">
        <w:rPr>
          <w:rFonts w:ascii="Times New Roman" w:hAnsi="Times New Roman" w:cs="Times New Roman"/>
        </w:rPr>
        <w:t xml:space="preserve"> these comparisons, the Summa states that there are some distinctions to be drawn between cognitive powers which concern intelligible forms or truth without complexion, and those with complexion.</w:t>
      </w:r>
      <w:r w:rsidRPr="00A472FC">
        <w:rPr>
          <w:rStyle w:val="FootnoteReference"/>
          <w:rFonts w:ascii="Times New Roman" w:hAnsi="Times New Roman" w:cs="Times New Roman"/>
        </w:rPr>
        <w:footnoteReference w:id="952"/>
      </w:r>
      <w:r w:rsidRPr="00A472FC">
        <w:rPr>
          <w:rFonts w:ascii="Times New Roman" w:hAnsi="Times New Roman" w:cs="Times New Roman"/>
        </w:rPr>
        <w:t xml:space="preserve"> Augustine’s first division and that of the philosopher fall into the former category. However, they differ in that Augustine concerns himself with different kinds of </w:t>
      </w:r>
      <w:r w:rsidR="00E13FC0" w:rsidRPr="00A472FC">
        <w:rPr>
          <w:rFonts w:ascii="Times New Roman" w:hAnsi="Times New Roman" w:cs="Times New Roman"/>
        </w:rPr>
        <w:t xml:space="preserve">simple </w:t>
      </w:r>
      <w:r w:rsidRPr="00A472FC">
        <w:rPr>
          <w:rFonts w:ascii="Times New Roman" w:hAnsi="Times New Roman" w:cs="Times New Roman"/>
        </w:rPr>
        <w:t>intelligible forms</w:t>
      </w:r>
      <w:r w:rsidRPr="00A472FC">
        <w:rPr>
          <w:rFonts w:ascii="Times New Roman" w:hAnsi="Times New Roman" w:cs="Times New Roman"/>
          <w:iCs/>
        </w:rPr>
        <w:t>,</w:t>
      </w:r>
      <w:r w:rsidRPr="00A472FC">
        <w:rPr>
          <w:rFonts w:ascii="Times New Roman" w:hAnsi="Times New Roman" w:cs="Times New Roman"/>
        </w:rPr>
        <w:t xml:space="preserve"> while the Philosopher is concerned with the different stages or modes of seeking to know the intelligible forms which come to the intellect through abstraction from sensible phantasms.</w:t>
      </w:r>
      <w:r w:rsidRPr="00A472FC">
        <w:rPr>
          <w:rStyle w:val="FootnoteReference"/>
          <w:rFonts w:ascii="Times New Roman" w:hAnsi="Times New Roman" w:cs="Times New Roman"/>
        </w:rPr>
        <w:footnoteReference w:id="953"/>
      </w:r>
      <w:r w:rsidRPr="00A472FC">
        <w:rPr>
          <w:rFonts w:ascii="Times New Roman" w:hAnsi="Times New Roman" w:cs="Times New Roman"/>
        </w:rPr>
        <w:t xml:space="preserve"> Another way of putting this is to say that Augustine is </w:t>
      </w:r>
      <w:r w:rsidR="000A5850">
        <w:rPr>
          <w:rFonts w:ascii="Times New Roman" w:hAnsi="Times New Roman" w:cs="Times New Roman"/>
        </w:rPr>
        <w:t xml:space="preserve">interested in </w:t>
      </w:r>
      <w:r w:rsidRPr="00A472FC">
        <w:rPr>
          <w:rFonts w:ascii="Times New Roman" w:hAnsi="Times New Roman" w:cs="Times New Roman"/>
        </w:rPr>
        <w:t xml:space="preserve">the products of </w:t>
      </w:r>
      <w:r w:rsidR="00101404" w:rsidRPr="00A472FC">
        <w:rPr>
          <w:rFonts w:ascii="Times New Roman" w:hAnsi="Times New Roman" w:cs="Times New Roman"/>
        </w:rPr>
        <w:t xml:space="preserve">simple </w:t>
      </w:r>
      <w:r w:rsidRPr="00A472FC">
        <w:rPr>
          <w:rFonts w:ascii="Times New Roman" w:hAnsi="Times New Roman" w:cs="Times New Roman"/>
        </w:rPr>
        <w:t>cognition—forms that are abstract in one way or another—while Aristotle is concerned with the process</w:t>
      </w:r>
      <w:r w:rsidR="00917397" w:rsidRPr="00A472FC">
        <w:rPr>
          <w:rFonts w:ascii="Times New Roman" w:hAnsi="Times New Roman" w:cs="Times New Roman"/>
        </w:rPr>
        <w:t xml:space="preserve"> of simple cognition</w:t>
      </w:r>
      <w:r w:rsidRPr="00A472FC">
        <w:rPr>
          <w:rFonts w:ascii="Times New Roman" w:hAnsi="Times New Roman" w:cs="Times New Roman"/>
        </w:rPr>
        <w:t>, or the means by which forms are abstracted.</w:t>
      </w:r>
      <w:r w:rsidRPr="00A472FC">
        <w:rPr>
          <w:rStyle w:val="FootnoteReference"/>
          <w:rFonts w:ascii="Times New Roman" w:hAnsi="Times New Roman" w:cs="Times New Roman"/>
        </w:rPr>
        <w:footnoteReference w:id="954"/>
      </w:r>
      <w:r w:rsidRPr="00A472FC">
        <w:rPr>
          <w:rFonts w:ascii="Times New Roman" w:hAnsi="Times New Roman" w:cs="Times New Roman"/>
        </w:rPr>
        <w:t xml:space="preserve"> </w:t>
      </w:r>
    </w:p>
    <w:p w14:paraId="447F1748" w14:textId="594F3410"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In that sense, the Summa affirms, the philosopher is principally concerned with what could be described as Augustine’s </w:t>
      </w:r>
      <w:r w:rsidRPr="00A472FC">
        <w:rPr>
          <w:rFonts w:ascii="Times New Roman" w:hAnsi="Times New Roman" w:cs="Times New Roman"/>
          <w:i/>
        </w:rPr>
        <w:t>ratio</w:t>
      </w:r>
      <w:r w:rsidRPr="00A472FC">
        <w:rPr>
          <w:rFonts w:ascii="Times New Roman" w:hAnsi="Times New Roman" w:cs="Times New Roman"/>
        </w:rPr>
        <w:t>, rather than his intellect and intelligence. For while the latter two pertain to uncreated and created spirits, namely, angels and God, reason concerns those forms which are separated from the conditions of the body or sensible conditions. Similarly, Aristotle’s three intellects—material, possible, and agent—</w:t>
      </w:r>
      <w:r w:rsidR="0087640F">
        <w:rPr>
          <w:rFonts w:ascii="Times New Roman" w:hAnsi="Times New Roman" w:cs="Times New Roman"/>
        </w:rPr>
        <w:t>pertain to</w:t>
      </w:r>
      <w:r w:rsidRPr="00A472FC">
        <w:rPr>
          <w:rFonts w:ascii="Times New Roman" w:hAnsi="Times New Roman" w:cs="Times New Roman"/>
        </w:rPr>
        <w:t xml:space="preserve"> those intelligible forms that can be abstracted from sensible conditions. For instance, the material intellect </w:t>
      </w:r>
      <w:r w:rsidR="00767538">
        <w:rPr>
          <w:rFonts w:ascii="Times New Roman" w:hAnsi="Times New Roman" w:cs="Times New Roman"/>
        </w:rPr>
        <w:t>knows</w:t>
      </w:r>
      <w:r w:rsidRPr="00A472FC">
        <w:rPr>
          <w:rFonts w:ascii="Times New Roman" w:hAnsi="Times New Roman" w:cs="Times New Roman"/>
        </w:rPr>
        <w:t xml:space="preserve"> intelligible forms in phantasms, while the possible intellect enables those forms to be abstracted from phantasms. The only sense in which the intellect of Augustine might overlap with Aristotle’s scheme concerns the agent intellect, which </w:t>
      </w:r>
      <w:r w:rsidR="00393DF4" w:rsidRPr="00A472FC">
        <w:rPr>
          <w:rFonts w:ascii="Times New Roman" w:hAnsi="Times New Roman" w:cs="Times New Roman"/>
        </w:rPr>
        <w:t>not</w:t>
      </w:r>
      <w:r w:rsidRPr="00A472FC">
        <w:rPr>
          <w:rFonts w:ascii="Times New Roman" w:hAnsi="Times New Roman" w:cs="Times New Roman"/>
        </w:rPr>
        <w:t xml:space="preserve"> only perform</w:t>
      </w:r>
      <w:r w:rsidR="00393DF4" w:rsidRPr="00A472FC">
        <w:rPr>
          <w:rFonts w:ascii="Times New Roman" w:hAnsi="Times New Roman" w:cs="Times New Roman"/>
        </w:rPr>
        <w:t>s</w:t>
      </w:r>
      <w:r w:rsidRPr="00A472FC">
        <w:rPr>
          <w:rFonts w:ascii="Times New Roman" w:hAnsi="Times New Roman" w:cs="Times New Roman"/>
        </w:rPr>
        <w:t xml:space="preserve"> the act of abstraction but also ultimately possesses knowledge of the forms that are entirely abstracted or separate from matter.</w:t>
      </w:r>
      <w:r w:rsidRPr="00A472FC">
        <w:rPr>
          <w:rStyle w:val="FootnoteReference"/>
          <w:rFonts w:ascii="Times New Roman" w:hAnsi="Times New Roman" w:cs="Times New Roman"/>
        </w:rPr>
        <w:footnoteReference w:id="955"/>
      </w:r>
      <w:r w:rsidRPr="00A472FC">
        <w:rPr>
          <w:rFonts w:ascii="Times New Roman" w:hAnsi="Times New Roman" w:cs="Times New Roman"/>
        </w:rPr>
        <w:t xml:space="preserve"> This second function of the agent intellect is one that can be likened to Augustine’s intellect. </w:t>
      </w:r>
    </w:p>
    <w:p w14:paraId="5AACF4E1" w14:textId="5A7A92E9"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A further comparison is </w:t>
      </w:r>
      <w:r w:rsidR="00B371DF" w:rsidRPr="00A472FC">
        <w:rPr>
          <w:rFonts w:ascii="Times New Roman" w:hAnsi="Times New Roman" w:cs="Times New Roman"/>
        </w:rPr>
        <w:t xml:space="preserve">drawn </w:t>
      </w:r>
      <w:r w:rsidRPr="00A472FC">
        <w:rPr>
          <w:rFonts w:ascii="Times New Roman" w:hAnsi="Times New Roman" w:cs="Times New Roman"/>
        </w:rPr>
        <w:t xml:space="preserve">between Aristotle and Damascus. According to the Summa, their schemes have nothing in common because Damascus considers forms </w:t>
      </w:r>
      <w:r w:rsidR="00A97166" w:rsidRPr="00A472FC">
        <w:rPr>
          <w:rFonts w:ascii="Times New Roman" w:hAnsi="Times New Roman" w:cs="Times New Roman"/>
        </w:rPr>
        <w:t>with</w:t>
      </w:r>
      <w:r w:rsidRPr="00A472FC">
        <w:rPr>
          <w:rFonts w:ascii="Times New Roman" w:hAnsi="Times New Roman" w:cs="Times New Roman"/>
        </w:rPr>
        <w:t xml:space="preserve"> complexion</w:t>
      </w:r>
      <w:r w:rsidR="0041264D" w:rsidRPr="00A472FC">
        <w:rPr>
          <w:rFonts w:ascii="Times New Roman" w:hAnsi="Times New Roman" w:cs="Times New Roman"/>
        </w:rPr>
        <w:t>,</w:t>
      </w:r>
      <w:r w:rsidRPr="00A472FC">
        <w:rPr>
          <w:rFonts w:ascii="Times New Roman" w:hAnsi="Times New Roman" w:cs="Times New Roman"/>
        </w:rPr>
        <w:t xml:space="preserve"> and the Philosopher assesses forms without it.</w:t>
      </w:r>
      <w:r w:rsidRPr="00A472FC">
        <w:rPr>
          <w:rStyle w:val="FootnoteReference"/>
          <w:rFonts w:ascii="Times New Roman" w:hAnsi="Times New Roman" w:cs="Times New Roman"/>
        </w:rPr>
        <w:footnoteReference w:id="956"/>
      </w:r>
      <w:r w:rsidRPr="00A472FC">
        <w:rPr>
          <w:rFonts w:ascii="Times New Roman" w:hAnsi="Times New Roman" w:cs="Times New Roman"/>
        </w:rPr>
        <w:t xml:space="preserve"> The former approach of Damascus—which is also implicit in Augustine’s second division—generates what the </w:t>
      </w:r>
      <w:r w:rsidRPr="00A472FC">
        <w:rPr>
          <w:rFonts w:ascii="Times New Roman" w:hAnsi="Times New Roman" w:cs="Times New Roman"/>
        </w:rPr>
        <w:lastRenderedPageBreak/>
        <w:t>Summa calls imperfect cognition.</w:t>
      </w:r>
      <w:r w:rsidRPr="00A472FC">
        <w:rPr>
          <w:rStyle w:val="FootnoteReference"/>
          <w:rFonts w:ascii="Times New Roman" w:hAnsi="Times New Roman" w:cs="Times New Roman"/>
        </w:rPr>
        <w:footnoteReference w:id="957"/>
      </w:r>
      <w:r w:rsidRPr="00A472FC">
        <w:rPr>
          <w:rFonts w:ascii="Times New Roman" w:hAnsi="Times New Roman" w:cs="Times New Roman"/>
        </w:rPr>
        <w:t xml:space="preserve"> The imperfection derives from the admixture of truth and falsity, which it falls to the mind to discern </w:t>
      </w:r>
      <w:r w:rsidR="001B0E07" w:rsidRPr="00A472FC">
        <w:rPr>
          <w:rFonts w:ascii="Times New Roman" w:hAnsi="Times New Roman" w:cs="Times New Roman"/>
        </w:rPr>
        <w:t xml:space="preserve">between </w:t>
      </w:r>
      <w:r w:rsidRPr="00A472FC">
        <w:rPr>
          <w:rFonts w:ascii="Times New Roman" w:hAnsi="Times New Roman" w:cs="Times New Roman"/>
        </w:rPr>
        <w:t>as it moves from unknown to known</w:t>
      </w:r>
      <w:r w:rsidR="00FB3264" w:rsidRPr="00A472FC">
        <w:rPr>
          <w:rFonts w:ascii="Times New Roman" w:hAnsi="Times New Roman" w:cs="Times New Roman"/>
        </w:rPr>
        <w:t>, presumably in the course of undertaking demonstration in the Aristotelian sense</w:t>
      </w:r>
      <w:r w:rsidRPr="00A472FC">
        <w:rPr>
          <w:rFonts w:ascii="Times New Roman" w:hAnsi="Times New Roman" w:cs="Times New Roman"/>
        </w:rPr>
        <w:t xml:space="preserve">. In describing this work, Damascus’ scheme generates its only point of contact with Aristotle’s, insofar as the possible intellect, like the mind, </w:t>
      </w:r>
      <w:r w:rsidR="00734704" w:rsidRPr="00A472FC">
        <w:rPr>
          <w:rFonts w:ascii="Times New Roman" w:hAnsi="Times New Roman" w:cs="Times New Roman"/>
        </w:rPr>
        <w:t>moves from unknowing to knowing a specific form</w:t>
      </w:r>
      <w:r w:rsidRPr="00A472FC">
        <w:rPr>
          <w:rFonts w:ascii="Times New Roman" w:hAnsi="Times New Roman" w:cs="Times New Roman"/>
        </w:rPr>
        <w:t>.</w:t>
      </w:r>
      <w:r w:rsidRPr="00A472FC">
        <w:rPr>
          <w:rStyle w:val="FootnoteReference"/>
          <w:rFonts w:ascii="Times New Roman" w:hAnsi="Times New Roman" w:cs="Times New Roman"/>
        </w:rPr>
        <w:footnoteReference w:id="958"/>
      </w:r>
      <w:r w:rsidRPr="00A472FC">
        <w:rPr>
          <w:rFonts w:ascii="Times New Roman" w:hAnsi="Times New Roman" w:cs="Times New Roman"/>
        </w:rPr>
        <w:t xml:space="preserve"> When certainly attaches to this judgment, what Damascus calls the intellect is achieved.</w:t>
      </w:r>
      <w:r w:rsidRPr="00A472FC">
        <w:rPr>
          <w:rStyle w:val="FootnoteReference"/>
          <w:rFonts w:ascii="Times New Roman" w:hAnsi="Times New Roman" w:cs="Times New Roman"/>
        </w:rPr>
        <w:footnoteReference w:id="959"/>
      </w:r>
      <w:r w:rsidRPr="00A472FC">
        <w:rPr>
          <w:rFonts w:ascii="Times New Roman" w:hAnsi="Times New Roman" w:cs="Times New Roman"/>
        </w:rPr>
        <w:t xml:space="preserve">  </w:t>
      </w:r>
    </w:p>
    <w:p w14:paraId="383B3FC5" w14:textId="06D7B709" w:rsidR="00E212D3" w:rsidRPr="00A472FC" w:rsidRDefault="00E212D3" w:rsidP="00C10CF6">
      <w:pPr>
        <w:ind w:right="-52" w:firstLine="720"/>
        <w:rPr>
          <w:rFonts w:ascii="Times New Roman" w:hAnsi="Times New Roman" w:cs="Times New Roman"/>
        </w:rPr>
      </w:pPr>
      <w:r w:rsidRPr="00A472FC">
        <w:rPr>
          <w:rFonts w:ascii="Times New Roman" w:hAnsi="Times New Roman" w:cs="Times New Roman"/>
        </w:rPr>
        <w:t xml:space="preserve">As this suggests, there is a difference between the way Augustine and Damascus understand the intellect. For Augustine, this is the power of knowing creaturely forms that are separated from matter and lack complexion, but for Damascus, it involves knowing </w:t>
      </w:r>
      <w:r w:rsidR="00FB0B07" w:rsidRPr="00A472FC">
        <w:rPr>
          <w:rFonts w:ascii="Times New Roman" w:hAnsi="Times New Roman" w:cs="Times New Roman"/>
        </w:rPr>
        <w:t>a complex truth</w:t>
      </w:r>
      <w:r w:rsidRPr="00A472FC">
        <w:rPr>
          <w:rFonts w:ascii="Times New Roman" w:hAnsi="Times New Roman" w:cs="Times New Roman"/>
        </w:rPr>
        <w:t xml:space="preserve"> on the basis of a prior judgment of the mind. Likewise, the way the two thinkers understand mind is different. Whereas mind in Damascus is a faculty that discerns truth from falsity, Augustine understands mind in terms of intelligence, which is the supreme power that extends itself to the contemplation of God. Neither is Damascus’ </w:t>
      </w:r>
      <w:r w:rsidR="00342C9F" w:rsidRPr="00A472FC">
        <w:rPr>
          <w:rFonts w:ascii="Times New Roman" w:hAnsi="Times New Roman" w:cs="Times New Roman"/>
        </w:rPr>
        <w:t>‘</w:t>
      </w:r>
      <w:r w:rsidRPr="00A472FC">
        <w:rPr>
          <w:rFonts w:ascii="Times New Roman" w:hAnsi="Times New Roman" w:cs="Times New Roman"/>
        </w:rPr>
        <w:t>opinion</w:t>
      </w:r>
      <w:r w:rsidR="00342C9F" w:rsidRPr="00A472FC">
        <w:rPr>
          <w:rFonts w:ascii="Times New Roman" w:hAnsi="Times New Roman" w:cs="Times New Roman"/>
        </w:rPr>
        <w:t>’</w:t>
      </w:r>
      <w:r w:rsidRPr="00A472FC">
        <w:rPr>
          <w:rFonts w:ascii="Times New Roman" w:hAnsi="Times New Roman" w:cs="Times New Roman"/>
        </w:rPr>
        <w:t xml:space="preserve"> the same as </w:t>
      </w:r>
      <w:r w:rsidRPr="00A472FC">
        <w:rPr>
          <w:rFonts w:ascii="Times New Roman" w:hAnsi="Times New Roman" w:cs="Times New Roman"/>
          <w:i/>
        </w:rPr>
        <w:t>ratio</w:t>
      </w:r>
      <w:r w:rsidRPr="00A472FC">
        <w:rPr>
          <w:rFonts w:ascii="Times New Roman" w:hAnsi="Times New Roman" w:cs="Times New Roman"/>
        </w:rPr>
        <w:t xml:space="preserve">, because for Augustine, reason is the power that attains the forms abstracted from the body and corporeal accidents, but </w:t>
      </w:r>
      <w:r w:rsidR="00342C9F" w:rsidRPr="00A472FC">
        <w:rPr>
          <w:rFonts w:ascii="Times New Roman" w:hAnsi="Times New Roman" w:cs="Times New Roman"/>
        </w:rPr>
        <w:t xml:space="preserve">for the Damascene, opinions are those entities which are related to one another in a complex cognition, the veracity of which the mind must adjudicate. </w:t>
      </w:r>
      <w:r w:rsidR="00154BB8" w:rsidRPr="00A472FC">
        <w:rPr>
          <w:rFonts w:ascii="Times New Roman" w:hAnsi="Times New Roman" w:cs="Times New Roman"/>
        </w:rPr>
        <w:t>That said,</w:t>
      </w:r>
      <w:r w:rsidRPr="00A472FC">
        <w:rPr>
          <w:rFonts w:ascii="Times New Roman" w:hAnsi="Times New Roman" w:cs="Times New Roman"/>
        </w:rPr>
        <w:t xml:space="preserve"> we have seen that the philosopher does speak obliquely of reason in Augustine’s sense when he talks about his three intellects, and especially the material one.</w:t>
      </w:r>
    </w:p>
    <w:p w14:paraId="540A2ED9" w14:textId="19DA4E0F"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The reason that Augustine’s reason, intellect, and intelligence triad is treated before all the others pertains to the </w:t>
      </w:r>
      <w:proofErr w:type="spellStart"/>
      <w:r w:rsidR="00283C25">
        <w:rPr>
          <w:rFonts w:ascii="Times New Roman" w:hAnsi="Times New Roman" w:cs="Times New Roman"/>
        </w:rPr>
        <w:t>Summist’s</w:t>
      </w:r>
      <w:proofErr w:type="spellEnd"/>
      <w:r w:rsidR="00283C25">
        <w:rPr>
          <w:rFonts w:ascii="Times New Roman" w:hAnsi="Times New Roman" w:cs="Times New Roman"/>
        </w:rPr>
        <w:t xml:space="preserve"> </w:t>
      </w:r>
      <w:r w:rsidRPr="00A472FC">
        <w:rPr>
          <w:rFonts w:ascii="Times New Roman" w:hAnsi="Times New Roman" w:cs="Times New Roman"/>
        </w:rPr>
        <w:t>belief that divisions which have to do with intelligible forms without complexion are prior to the others.</w:t>
      </w:r>
      <w:r w:rsidRPr="00A472FC">
        <w:rPr>
          <w:rStyle w:val="FootnoteReference"/>
          <w:rFonts w:ascii="Times New Roman" w:hAnsi="Times New Roman" w:cs="Times New Roman"/>
        </w:rPr>
        <w:footnoteReference w:id="960"/>
      </w:r>
      <w:r w:rsidRPr="00A472FC">
        <w:rPr>
          <w:rFonts w:ascii="Times New Roman" w:hAnsi="Times New Roman" w:cs="Times New Roman"/>
        </w:rPr>
        <w:t xml:space="preserve"> In this regard, moreover, Augustine’s first division is prior to Aristotle’s for the reason already mentioned, namely, that it attends to the intelligible forms that the philosopher’s division seeks. For Augustine, these forms come from a superior part through illumination; this is true in the sense that angels and God must deliver knowledge of themselves, respectively, and furthermore, insofar as the innate light of the first truth is needed as a means to grasping any particular truth inferior or equal to the self. While the forms of which Augustine speaks are a product of innate cognition, those that </w:t>
      </w:r>
      <w:r w:rsidR="004C5F87">
        <w:rPr>
          <w:rFonts w:ascii="Times New Roman" w:hAnsi="Times New Roman" w:cs="Times New Roman"/>
        </w:rPr>
        <w:t>interest</w:t>
      </w:r>
      <w:r w:rsidRPr="00A472FC">
        <w:rPr>
          <w:rFonts w:ascii="Times New Roman" w:hAnsi="Times New Roman" w:cs="Times New Roman"/>
        </w:rPr>
        <w:t xml:space="preserve"> Aristotle are acquired through abstraction and thus come second in an order of priority.</w:t>
      </w:r>
      <w:r w:rsidRPr="00A472FC">
        <w:rPr>
          <w:rStyle w:val="FootnoteReference"/>
          <w:rFonts w:ascii="Times New Roman" w:hAnsi="Times New Roman" w:cs="Times New Roman"/>
        </w:rPr>
        <w:footnoteReference w:id="961"/>
      </w:r>
      <w:r w:rsidRPr="00A472FC">
        <w:rPr>
          <w:rFonts w:ascii="Times New Roman" w:hAnsi="Times New Roman" w:cs="Times New Roman"/>
        </w:rPr>
        <w:t xml:space="preserve"> </w:t>
      </w:r>
    </w:p>
    <w:p w14:paraId="6EFFFDAD" w14:textId="45587CBE" w:rsidR="00AA2014" w:rsidRPr="00A472FC" w:rsidRDefault="00E212D3" w:rsidP="002C59C5">
      <w:pPr>
        <w:ind w:right="-52" w:firstLine="720"/>
        <w:rPr>
          <w:rFonts w:ascii="Times New Roman" w:hAnsi="Times New Roman" w:cs="Times New Roman"/>
        </w:rPr>
      </w:pPr>
      <w:r w:rsidRPr="00A472FC">
        <w:rPr>
          <w:rFonts w:ascii="Times New Roman" w:hAnsi="Times New Roman" w:cs="Times New Roman"/>
        </w:rPr>
        <w:t xml:space="preserve">In the discussion above, I have tried to follow the lines of the Summa’s account fairly closely. These lines are certainly rather meandering and sometimes even a bit convoluted. However, we can take a few </w:t>
      </w:r>
      <w:r w:rsidR="007E7EE5">
        <w:rPr>
          <w:rFonts w:ascii="Times New Roman" w:hAnsi="Times New Roman" w:cs="Times New Roman"/>
        </w:rPr>
        <w:t>points</w:t>
      </w:r>
      <w:r w:rsidRPr="00A472FC">
        <w:rPr>
          <w:rFonts w:ascii="Times New Roman" w:hAnsi="Times New Roman" w:cs="Times New Roman"/>
        </w:rPr>
        <w:t xml:space="preserve"> from what we have </w:t>
      </w:r>
      <w:r w:rsidR="0014277A" w:rsidRPr="00A472FC">
        <w:rPr>
          <w:rFonts w:ascii="Times New Roman" w:hAnsi="Times New Roman" w:cs="Times New Roman"/>
        </w:rPr>
        <w:t>learned</w:t>
      </w:r>
      <w:r w:rsidRPr="00A472FC">
        <w:rPr>
          <w:rFonts w:ascii="Times New Roman" w:hAnsi="Times New Roman" w:cs="Times New Roman"/>
        </w:rPr>
        <w:t xml:space="preserve">. First of all, Augustine’s initial scheme provides a </w:t>
      </w:r>
      <w:r w:rsidR="00B00A9F" w:rsidRPr="00A472FC">
        <w:rPr>
          <w:rFonts w:ascii="Times New Roman" w:hAnsi="Times New Roman" w:cs="Times New Roman"/>
        </w:rPr>
        <w:t xml:space="preserve">basic </w:t>
      </w:r>
      <w:r w:rsidRPr="00A472FC">
        <w:rPr>
          <w:rFonts w:ascii="Times New Roman" w:hAnsi="Times New Roman" w:cs="Times New Roman"/>
        </w:rPr>
        <w:t xml:space="preserve">framework which renders it prior to the others in that it establishes the three kinds of forms human beings might seek to know—not only natural forms but also angels and God. The Philosopher’s scheme can be inserted into this one because it also pertains to different stages of knowing forms without complexion, although it only seeks knowledge of natural forms. The second scheme of Damascus </w:t>
      </w:r>
      <w:r w:rsidR="000B6373" w:rsidRPr="00A472FC">
        <w:rPr>
          <w:rFonts w:ascii="Times New Roman" w:hAnsi="Times New Roman" w:cs="Times New Roman"/>
        </w:rPr>
        <w:t xml:space="preserve">supposedly </w:t>
      </w:r>
      <w:r w:rsidRPr="00A472FC">
        <w:rPr>
          <w:rFonts w:ascii="Times New Roman" w:hAnsi="Times New Roman" w:cs="Times New Roman"/>
        </w:rPr>
        <w:t xml:space="preserve">elaborates the four grades of potentiality with respect to obtaining knowledge, which were already described by Avicenna’s doctrine of the four aspects of the possible intellect. The aforementioned schemes </w:t>
      </w:r>
      <w:r w:rsidRPr="00A472FC">
        <w:rPr>
          <w:rFonts w:ascii="Times New Roman" w:hAnsi="Times New Roman" w:cs="Times New Roman"/>
        </w:rPr>
        <w:lastRenderedPageBreak/>
        <w:t xml:space="preserve">consider forms without complexion. For this reason, they are described as perfect kinds of cognition. </w:t>
      </w:r>
    </w:p>
    <w:p w14:paraId="6AA7136C" w14:textId="28340B9B" w:rsidR="002C59C5" w:rsidRPr="00A472FC" w:rsidRDefault="00E212D3" w:rsidP="00CF2EE6">
      <w:pPr>
        <w:ind w:right="-52" w:firstLine="720"/>
        <w:rPr>
          <w:rFonts w:ascii="Times New Roman" w:hAnsi="Times New Roman" w:cs="Times New Roman"/>
        </w:rPr>
      </w:pPr>
      <w:r w:rsidRPr="00A472FC">
        <w:rPr>
          <w:rFonts w:ascii="Times New Roman" w:hAnsi="Times New Roman" w:cs="Times New Roman"/>
        </w:rPr>
        <w:t xml:space="preserve">By contrast, Augustine’s second and Damascus’ first scheme deal with imperfect forms of cognition insofar as they </w:t>
      </w:r>
      <w:r w:rsidR="00691F0D">
        <w:rPr>
          <w:rFonts w:ascii="Times New Roman" w:hAnsi="Times New Roman" w:cs="Times New Roman"/>
        </w:rPr>
        <w:t>deal with</w:t>
      </w:r>
      <w:r w:rsidRPr="00A472FC">
        <w:rPr>
          <w:rFonts w:ascii="Times New Roman" w:hAnsi="Times New Roman" w:cs="Times New Roman"/>
        </w:rPr>
        <w:t xml:space="preserve"> acts of cognition with complexion, which involve discerning truth and falsity or moving from what is unknown to what is known. </w:t>
      </w:r>
      <w:r w:rsidR="00607642" w:rsidRPr="00A472FC">
        <w:rPr>
          <w:rFonts w:ascii="Times New Roman" w:hAnsi="Times New Roman" w:cs="Times New Roman"/>
        </w:rPr>
        <w:t xml:space="preserve">This at least is what the </w:t>
      </w:r>
      <w:proofErr w:type="spellStart"/>
      <w:r w:rsidR="00607642" w:rsidRPr="00A472FC">
        <w:rPr>
          <w:rFonts w:ascii="Times New Roman" w:hAnsi="Times New Roman" w:cs="Times New Roman"/>
        </w:rPr>
        <w:t>Summist</w:t>
      </w:r>
      <w:proofErr w:type="spellEnd"/>
      <w:r w:rsidR="00607642" w:rsidRPr="00A472FC">
        <w:rPr>
          <w:rFonts w:ascii="Times New Roman" w:hAnsi="Times New Roman" w:cs="Times New Roman"/>
        </w:rPr>
        <w:t xml:space="preserve"> would like his readers to believe, for the sake of his argument; whether the texts of Pseudo-</w:t>
      </w:r>
      <w:r w:rsidR="00B5420A" w:rsidRPr="00A472FC">
        <w:rPr>
          <w:rFonts w:ascii="Times New Roman" w:hAnsi="Times New Roman" w:cs="Times New Roman"/>
        </w:rPr>
        <w:t>A</w:t>
      </w:r>
      <w:r w:rsidR="00607642" w:rsidRPr="00A472FC">
        <w:rPr>
          <w:rFonts w:ascii="Times New Roman" w:hAnsi="Times New Roman" w:cs="Times New Roman"/>
        </w:rPr>
        <w:t xml:space="preserve">ugustine and Damascus actually support such a reading is open to </w:t>
      </w:r>
      <w:r w:rsidR="00F403B9" w:rsidRPr="00A472FC">
        <w:rPr>
          <w:rFonts w:ascii="Times New Roman" w:hAnsi="Times New Roman" w:cs="Times New Roman"/>
        </w:rPr>
        <w:t>contention</w:t>
      </w:r>
      <w:r w:rsidR="00607642" w:rsidRPr="00A472FC">
        <w:rPr>
          <w:rFonts w:ascii="Times New Roman" w:hAnsi="Times New Roman" w:cs="Times New Roman"/>
        </w:rPr>
        <w:t xml:space="preserve">. </w:t>
      </w:r>
      <w:r w:rsidR="00A73676" w:rsidRPr="00A472FC">
        <w:rPr>
          <w:rFonts w:ascii="Times New Roman" w:hAnsi="Times New Roman" w:cs="Times New Roman"/>
        </w:rPr>
        <w:t>Although they communicate important intellectual processes,</w:t>
      </w:r>
      <w:r w:rsidRPr="00A472FC">
        <w:rPr>
          <w:rFonts w:ascii="Times New Roman" w:hAnsi="Times New Roman" w:cs="Times New Roman"/>
        </w:rPr>
        <w:t xml:space="preserve"> </w:t>
      </w:r>
      <w:r w:rsidR="00A73676" w:rsidRPr="00A472FC">
        <w:rPr>
          <w:rFonts w:ascii="Times New Roman" w:hAnsi="Times New Roman" w:cs="Times New Roman"/>
        </w:rPr>
        <w:t>these</w:t>
      </w:r>
      <w:r w:rsidRPr="00A472FC">
        <w:rPr>
          <w:rFonts w:ascii="Times New Roman" w:hAnsi="Times New Roman" w:cs="Times New Roman"/>
        </w:rPr>
        <w:t xml:space="preserve"> are secondary in the order of nobility to those that are perfect. Despite the many differences which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has highlighted, consequently, the five schemes discussed all fit within a larger picture of cognition in which each has some role to play. While the Summa does not go so far as in the context of discussing sense knowledge as to say that pseudo-Augustine, Damascus, and Aristotle all basically agree, he does find a way to integrate their accounts in a harmonious way which allows his readers to conclude that they are fundamentally compatible thinkers. </w:t>
      </w:r>
      <w:r w:rsidR="00590A09" w:rsidRPr="00A472FC">
        <w:rPr>
          <w:rFonts w:ascii="Times New Roman" w:hAnsi="Times New Roman" w:cs="Times New Roman"/>
        </w:rPr>
        <w:t xml:space="preserve">Above all, they are compatible with the </w:t>
      </w:r>
      <w:proofErr w:type="spellStart"/>
      <w:r w:rsidR="00590A09" w:rsidRPr="00A472FC">
        <w:rPr>
          <w:rFonts w:ascii="Times New Roman" w:hAnsi="Times New Roman" w:cs="Times New Roman"/>
        </w:rPr>
        <w:t>Avicennian</w:t>
      </w:r>
      <w:proofErr w:type="spellEnd"/>
      <w:r w:rsidR="00590A09" w:rsidRPr="00A472FC">
        <w:rPr>
          <w:rFonts w:ascii="Times New Roman" w:hAnsi="Times New Roman" w:cs="Times New Roman"/>
        </w:rPr>
        <w:t xml:space="preserve"> understanding of cognition that he himself wants to convey. </w:t>
      </w:r>
    </w:p>
    <w:p w14:paraId="331AB7CD" w14:textId="77777777" w:rsidR="00F403B9" w:rsidRPr="00A472FC" w:rsidRDefault="00F403B9" w:rsidP="00CF2EE6">
      <w:pPr>
        <w:ind w:right="-52" w:firstLine="720"/>
        <w:rPr>
          <w:rFonts w:ascii="Times New Roman" w:hAnsi="Times New Roman" w:cs="Times New Roman"/>
        </w:rPr>
      </w:pPr>
    </w:p>
    <w:p w14:paraId="1A67D6EC" w14:textId="33ABE7FA" w:rsidR="00D11B53" w:rsidRPr="00A472FC" w:rsidRDefault="006F53A5" w:rsidP="00F8038F">
      <w:pPr>
        <w:rPr>
          <w:rFonts w:ascii="Times New Roman" w:hAnsi="Times New Roman" w:cs="Times New Roman"/>
          <w:b/>
          <w:bCs/>
          <w:i/>
          <w:iCs/>
        </w:rPr>
      </w:pPr>
      <w:r w:rsidRPr="00A472FC">
        <w:rPr>
          <w:rFonts w:ascii="Times New Roman" w:hAnsi="Times New Roman" w:cs="Times New Roman"/>
          <w:b/>
          <w:bCs/>
          <w:i/>
          <w:iCs/>
          <w:noProof/>
        </w:rPr>
        <w:drawing>
          <wp:inline distT="0" distB="0" distL="0" distR="0" wp14:anchorId="71C1B159" wp14:editId="61038CE7">
            <wp:extent cx="5486400" cy="2537927"/>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14:paraId="0326D007" w14:textId="77777777" w:rsidR="00BC19EA" w:rsidRPr="00A472FC" w:rsidRDefault="00BC19EA" w:rsidP="00E212D3">
      <w:pPr>
        <w:ind w:right="-52"/>
        <w:rPr>
          <w:rFonts w:ascii="Times New Roman" w:hAnsi="Times New Roman" w:cs="Times New Roman"/>
          <w:i/>
        </w:rPr>
      </w:pPr>
    </w:p>
    <w:p w14:paraId="2268DE29" w14:textId="77777777" w:rsidR="00BC19EA" w:rsidRPr="00A472FC" w:rsidRDefault="00BC19EA" w:rsidP="00BC19EA">
      <w:pPr>
        <w:rPr>
          <w:rFonts w:ascii="Times New Roman" w:hAnsi="Times New Roman" w:cs="Times New Roman"/>
          <w:b/>
          <w:bCs/>
          <w:i/>
          <w:iCs/>
        </w:rPr>
      </w:pPr>
      <w:r w:rsidRPr="00A472FC">
        <w:rPr>
          <w:rFonts w:ascii="Times New Roman" w:hAnsi="Times New Roman" w:cs="Times New Roman"/>
          <w:b/>
          <w:bCs/>
          <w:i/>
          <w:iCs/>
          <w:noProof/>
        </w:rPr>
        <w:drawing>
          <wp:inline distT="0" distB="0" distL="0" distR="0" wp14:anchorId="2C1F7FA5" wp14:editId="174B8466">
            <wp:extent cx="5486400" cy="2071396"/>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14:paraId="63756D69" w14:textId="77777777" w:rsidR="00BC19EA" w:rsidRPr="00A472FC" w:rsidRDefault="00BC19EA" w:rsidP="00E212D3">
      <w:pPr>
        <w:ind w:right="-52"/>
        <w:rPr>
          <w:rFonts w:ascii="Times New Roman" w:hAnsi="Times New Roman" w:cs="Times New Roman"/>
          <w:i/>
        </w:rPr>
      </w:pPr>
    </w:p>
    <w:p w14:paraId="5C70CA4B" w14:textId="77A3D6D4" w:rsidR="00E212D3" w:rsidRPr="00A472FC" w:rsidRDefault="00E212D3" w:rsidP="00E212D3">
      <w:pPr>
        <w:ind w:right="-52"/>
        <w:rPr>
          <w:rFonts w:ascii="Times New Roman" w:hAnsi="Times New Roman" w:cs="Times New Roman"/>
          <w:i/>
        </w:rPr>
      </w:pPr>
      <w:r w:rsidRPr="00A472FC">
        <w:rPr>
          <w:rFonts w:ascii="Times New Roman" w:hAnsi="Times New Roman" w:cs="Times New Roman"/>
          <w:i/>
        </w:rPr>
        <w:t>The Division of Powers in Aristotle</w:t>
      </w:r>
    </w:p>
    <w:p w14:paraId="6E0D98B4" w14:textId="77777777" w:rsidR="00E212D3" w:rsidRPr="00A472FC" w:rsidRDefault="00E212D3" w:rsidP="00E212D3">
      <w:pPr>
        <w:ind w:right="-52"/>
        <w:rPr>
          <w:rFonts w:ascii="Times New Roman" w:hAnsi="Times New Roman" w:cs="Times New Roman"/>
        </w:rPr>
      </w:pPr>
    </w:p>
    <w:p w14:paraId="1AA81C17" w14:textId="7777777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As noted above, the Philosopher—who is listed as Aristotle in the editor’s heading but not named specifically in the body of the text—is said to present a three-fold distinction </w:t>
      </w:r>
      <w:r w:rsidRPr="00A472FC">
        <w:rPr>
          <w:rFonts w:ascii="Times New Roman" w:hAnsi="Times New Roman" w:cs="Times New Roman"/>
        </w:rPr>
        <w:lastRenderedPageBreak/>
        <w:t>between the material, possible, and agent intellects.</w:t>
      </w:r>
      <w:r w:rsidRPr="00A472FC">
        <w:rPr>
          <w:rStyle w:val="FootnoteReference"/>
          <w:rFonts w:ascii="Times New Roman" w:hAnsi="Times New Roman" w:cs="Times New Roman"/>
        </w:rPr>
        <w:footnoteReference w:id="962"/>
      </w:r>
      <w:r w:rsidRPr="00A472FC">
        <w:rPr>
          <w:rFonts w:ascii="Times New Roman" w:hAnsi="Times New Roman" w:cs="Times New Roman"/>
        </w:rPr>
        <w:t xml:space="preserve"> The material intellect understands species in phantasms. The agent intellect abstracts and understands a species entirely separated from matter and then unites itself with the possible intellect.</w:t>
      </w:r>
      <w:r w:rsidRPr="00A472FC">
        <w:rPr>
          <w:rStyle w:val="FootnoteReference"/>
          <w:rFonts w:ascii="Times New Roman" w:hAnsi="Times New Roman" w:cs="Times New Roman"/>
        </w:rPr>
        <w:footnoteReference w:id="963"/>
      </w:r>
      <w:r w:rsidRPr="00A472FC">
        <w:rPr>
          <w:rFonts w:ascii="Times New Roman" w:hAnsi="Times New Roman" w:cs="Times New Roman"/>
        </w:rPr>
        <w:t xml:space="preserve"> The possible intellect is a blank slate, capable of understanding all forms abstracted from phantasms but not yet doing so actually, that is, until it receives the form from the agent intellect. While the material intellect is part of the soul that is nonetheless inseparable from the body, through which it obtains phantasms, the possible and agent intellects are part of the ‘separable intellect’ which is a substance or a ‘</w:t>
      </w:r>
      <w:r w:rsidRPr="00A472FC">
        <w:rPr>
          <w:rFonts w:ascii="Times New Roman" w:hAnsi="Times New Roman" w:cs="Times New Roman"/>
          <w:i/>
        </w:rPr>
        <w:t xml:space="preserve">hoc </w:t>
      </w:r>
      <w:proofErr w:type="spellStart"/>
      <w:r w:rsidRPr="00A472FC">
        <w:rPr>
          <w:rFonts w:ascii="Times New Roman" w:hAnsi="Times New Roman" w:cs="Times New Roman"/>
          <w:i/>
        </w:rPr>
        <w:t>aliquid</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964"/>
      </w:r>
      <w:r w:rsidRPr="00A472FC">
        <w:rPr>
          <w:rFonts w:ascii="Times New Roman" w:hAnsi="Times New Roman" w:cs="Times New Roman"/>
        </w:rPr>
        <w:t xml:space="preserve"> over and above the body and can survive without it. </w:t>
      </w:r>
    </w:p>
    <w:p w14:paraId="3E4A6B02" w14:textId="0083B5B1"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At the outset of its discussion of these three intellects,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acknowledges that the material intellect might not seem to be needed, because there is a sensible power which receives and stores phantasms that have yet to be abstracted and thus provides the material for doing so.</w:t>
      </w:r>
      <w:r w:rsidRPr="00A472FC">
        <w:rPr>
          <w:rStyle w:val="FootnoteReference"/>
          <w:rFonts w:ascii="Times New Roman" w:hAnsi="Times New Roman" w:cs="Times New Roman"/>
        </w:rPr>
        <w:footnoteReference w:id="965"/>
      </w:r>
      <w:r w:rsidRPr="00A472FC">
        <w:rPr>
          <w:rFonts w:ascii="Times New Roman" w:hAnsi="Times New Roman" w:cs="Times New Roman"/>
        </w:rPr>
        <w:t xml:space="preserve"> In addressing this issue,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states that the material intellect of which the Commentator,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speaks is different from </w:t>
      </w:r>
      <w:r w:rsidR="00253042" w:rsidRPr="00A472FC">
        <w:rPr>
          <w:rFonts w:ascii="Times New Roman" w:hAnsi="Times New Roman" w:cs="Times New Roman"/>
        </w:rPr>
        <w:t>imagination</w:t>
      </w:r>
      <w:r w:rsidRPr="00A472FC">
        <w:rPr>
          <w:rFonts w:ascii="Times New Roman" w:hAnsi="Times New Roman" w:cs="Times New Roman"/>
        </w:rPr>
        <w:t xml:space="preserve">, in that the latter is not susceptible to the operations of the intellect, as </w:t>
      </w:r>
      <w:r w:rsidR="007C7D58" w:rsidRPr="00A472FC">
        <w:rPr>
          <w:rFonts w:ascii="Times New Roman" w:hAnsi="Times New Roman" w:cs="Times New Roman"/>
        </w:rPr>
        <w:t>is evidenced by</w:t>
      </w:r>
      <w:r w:rsidRPr="00A472FC">
        <w:rPr>
          <w:rFonts w:ascii="Times New Roman" w:hAnsi="Times New Roman" w:cs="Times New Roman"/>
        </w:rPr>
        <w:t xml:space="preserve"> animals.</w:t>
      </w:r>
      <w:r w:rsidRPr="00A472FC">
        <w:rPr>
          <w:rStyle w:val="FootnoteReference"/>
          <w:rFonts w:ascii="Times New Roman" w:hAnsi="Times New Roman" w:cs="Times New Roman"/>
        </w:rPr>
        <w:footnoteReference w:id="966"/>
      </w:r>
      <w:r w:rsidRPr="00A472FC">
        <w:rPr>
          <w:rFonts w:ascii="Times New Roman" w:hAnsi="Times New Roman" w:cs="Times New Roman"/>
        </w:rPr>
        <w:t xml:space="preserve"> These creatures are only able to know singulars such as ‘this wolf is dangerous’ and not universals such as ‘wolves are dangerous’, but humans are capable of knowing both. </w:t>
      </w:r>
    </w:p>
    <w:p w14:paraId="47F7FE99" w14:textId="64EF299A"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While </w:t>
      </w:r>
      <w:r w:rsidR="007C7D58" w:rsidRPr="00A472FC">
        <w:rPr>
          <w:rFonts w:ascii="Times New Roman" w:hAnsi="Times New Roman" w:cs="Times New Roman"/>
        </w:rPr>
        <w:t>imagination</w:t>
      </w:r>
      <w:r w:rsidRPr="00A472FC">
        <w:rPr>
          <w:rFonts w:ascii="Times New Roman" w:hAnsi="Times New Roman" w:cs="Times New Roman"/>
        </w:rPr>
        <w:t xml:space="preserve"> is common to humans and animals, consequently, it does not anticipate the possibility of species being abstracted by the intellect. By contrast, the material intellect, which possesses species in phantasms, allows for the possibility of those species being abstracted through the agent intellect, when the latter is united with the possible.</w:t>
      </w:r>
      <w:r w:rsidRPr="00A472FC">
        <w:rPr>
          <w:rStyle w:val="FootnoteReference"/>
          <w:rFonts w:ascii="Times New Roman" w:hAnsi="Times New Roman" w:cs="Times New Roman"/>
        </w:rPr>
        <w:footnoteReference w:id="967"/>
      </w:r>
      <w:r w:rsidRPr="00A472FC">
        <w:rPr>
          <w:rFonts w:ascii="Times New Roman" w:hAnsi="Times New Roman" w:cs="Times New Roman"/>
        </w:rPr>
        <w:t xml:space="preserve"> That is why it is necessary to posit a material intellect, which according to the Philosopher is corruptible precisely because it depends upon a union with the body through which </w:t>
      </w:r>
      <w:r w:rsidR="00C94050" w:rsidRPr="00A472FC">
        <w:rPr>
          <w:rFonts w:ascii="Times New Roman" w:hAnsi="Times New Roman" w:cs="Times New Roman"/>
        </w:rPr>
        <w:t xml:space="preserve">the </w:t>
      </w:r>
      <w:r w:rsidRPr="00A472FC">
        <w:rPr>
          <w:rFonts w:ascii="Times New Roman" w:hAnsi="Times New Roman" w:cs="Times New Roman"/>
        </w:rPr>
        <w:t xml:space="preserve">phantasms are received. </w:t>
      </w:r>
    </w:p>
    <w:p w14:paraId="0FEF0961" w14:textId="69C01D9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In treating the agent intellect, the author reiterates the Aristotelian principle that nothing can be </w:t>
      </w:r>
      <w:r w:rsidR="00441891" w:rsidRPr="00A472FC">
        <w:rPr>
          <w:rFonts w:ascii="Times New Roman" w:hAnsi="Times New Roman" w:cs="Times New Roman"/>
        </w:rPr>
        <w:t>moved</w:t>
      </w:r>
      <w:r w:rsidRPr="00A472FC">
        <w:rPr>
          <w:rFonts w:ascii="Times New Roman" w:hAnsi="Times New Roman" w:cs="Times New Roman"/>
        </w:rPr>
        <w:t xml:space="preserve"> from potency into act unless by something that is in act.</w:t>
      </w:r>
      <w:r w:rsidRPr="00A472FC">
        <w:rPr>
          <w:rStyle w:val="FootnoteReference"/>
          <w:rFonts w:ascii="Times New Roman" w:hAnsi="Times New Roman" w:cs="Times New Roman"/>
        </w:rPr>
        <w:footnoteReference w:id="968"/>
      </w:r>
      <w:r w:rsidRPr="00A472FC">
        <w:rPr>
          <w:rFonts w:ascii="Times New Roman" w:hAnsi="Times New Roman" w:cs="Times New Roman"/>
        </w:rPr>
        <w:t xml:space="preserve"> If the possible intellect is to realise its potential for knowledge, therefore, it must be led into act by the agent intellect which performs abstraction and thus unites with the possible intellect.</w:t>
      </w:r>
      <w:r w:rsidRPr="00A472FC">
        <w:rPr>
          <w:rStyle w:val="FootnoteReference"/>
          <w:rFonts w:ascii="Times New Roman" w:hAnsi="Times New Roman" w:cs="Times New Roman"/>
        </w:rPr>
        <w:footnoteReference w:id="969"/>
      </w:r>
      <w:r w:rsidRPr="00A472FC">
        <w:rPr>
          <w:rFonts w:ascii="Times New Roman" w:hAnsi="Times New Roman" w:cs="Times New Roman"/>
        </w:rPr>
        <w:t xml:space="preserve"> In this regard, the Summa insists that we do not need to posit a separate agent intellect outside the substance of the soul. If this existed, then the whole substance of the intellectual soul would entail only the possible intellect, and that is all that would belong to the human being of the separable intellect.</w:t>
      </w:r>
      <w:r w:rsidRPr="00A472FC">
        <w:rPr>
          <w:rStyle w:val="FootnoteReference"/>
          <w:rFonts w:ascii="Times New Roman" w:hAnsi="Times New Roman" w:cs="Times New Roman"/>
        </w:rPr>
        <w:footnoteReference w:id="970"/>
      </w:r>
      <w:r w:rsidRPr="00A472FC">
        <w:rPr>
          <w:rFonts w:ascii="Times New Roman" w:hAnsi="Times New Roman" w:cs="Times New Roman"/>
        </w:rPr>
        <w:t xml:space="preserve"> </w:t>
      </w:r>
    </w:p>
    <w:p w14:paraId="604780E3" w14:textId="2CDA42BE"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In the view of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it would be unfitting to say that the intellectual part of the soul is unable to gain understanding of its own accord, as it is more perfect than the vegetative and sensitive powers which are sufficient for knowing in their own ways. As the Summa insists, the soul has a natural light by reason </w:t>
      </w:r>
      <w:r w:rsidR="00F8038F" w:rsidRPr="00A472FC">
        <w:rPr>
          <w:rFonts w:ascii="Times New Roman" w:hAnsi="Times New Roman" w:cs="Times New Roman"/>
        </w:rPr>
        <w:t>of</w:t>
      </w:r>
      <w:r w:rsidRPr="00A472FC">
        <w:rPr>
          <w:rFonts w:ascii="Times New Roman" w:hAnsi="Times New Roman" w:cs="Times New Roman"/>
        </w:rPr>
        <w:t xml:space="preserve"> which it has the ability to know intelligible things, from its beginning or creation, </w:t>
      </w:r>
      <w:r w:rsidR="00C920B9" w:rsidRPr="00A472FC">
        <w:rPr>
          <w:rFonts w:ascii="Times New Roman" w:hAnsi="Times New Roman" w:cs="Times New Roman"/>
        </w:rPr>
        <w:t>by virtue of</w:t>
      </w:r>
      <w:r w:rsidRPr="00A472FC">
        <w:rPr>
          <w:rFonts w:ascii="Times New Roman" w:hAnsi="Times New Roman" w:cs="Times New Roman"/>
        </w:rPr>
        <w:t xml:space="preserve"> the part of </w:t>
      </w:r>
      <w:r w:rsidR="00661060" w:rsidRPr="00A472FC">
        <w:rPr>
          <w:rFonts w:ascii="Times New Roman" w:hAnsi="Times New Roman" w:cs="Times New Roman"/>
        </w:rPr>
        <w:t>itself that is</w:t>
      </w:r>
      <w:r w:rsidRPr="00A472FC">
        <w:rPr>
          <w:rFonts w:ascii="Times New Roman" w:hAnsi="Times New Roman" w:cs="Times New Roman"/>
        </w:rPr>
        <w:t xml:space="preserve"> an immaterial substance that is separate in itself, </w:t>
      </w:r>
      <w:r w:rsidR="009F5B66" w:rsidRPr="00A472FC">
        <w:rPr>
          <w:rFonts w:ascii="Times New Roman" w:hAnsi="Times New Roman" w:cs="Times New Roman"/>
        </w:rPr>
        <w:t>although by virtue of another part it can be</w:t>
      </w:r>
      <w:r w:rsidRPr="00A472FC">
        <w:rPr>
          <w:rFonts w:ascii="Times New Roman" w:hAnsi="Times New Roman" w:cs="Times New Roman"/>
        </w:rPr>
        <w:t xml:space="preserve"> conjoined to the </w:t>
      </w:r>
      <w:r w:rsidRPr="00A472FC">
        <w:rPr>
          <w:rFonts w:ascii="Times New Roman" w:hAnsi="Times New Roman" w:cs="Times New Roman"/>
        </w:rPr>
        <w:lastRenderedPageBreak/>
        <w:t>body. In fact, it would not be possible to say that the rational soul is an image of God unless it had the perfection of being able to know of its own accord.</w:t>
      </w:r>
      <w:r w:rsidRPr="00A472FC">
        <w:rPr>
          <w:rStyle w:val="FootnoteReference"/>
          <w:rFonts w:ascii="Times New Roman" w:hAnsi="Times New Roman" w:cs="Times New Roman"/>
        </w:rPr>
        <w:footnoteReference w:id="971"/>
      </w:r>
    </w:p>
    <w:p w14:paraId="32287C93" w14:textId="77777777" w:rsidR="00E212D3" w:rsidRPr="00A472FC" w:rsidRDefault="00E212D3" w:rsidP="00E212D3">
      <w:pPr>
        <w:ind w:right="-52" w:firstLine="720"/>
        <w:rPr>
          <w:rFonts w:ascii="Times New Roman" w:hAnsi="Times New Roman" w:cs="Times New Roman"/>
        </w:rPr>
      </w:pPr>
    </w:p>
    <w:p w14:paraId="563FF3C2" w14:textId="269A14D4" w:rsidR="00E212D3" w:rsidRPr="00A472FC" w:rsidRDefault="00E212D3" w:rsidP="00E212D3">
      <w:pPr>
        <w:ind w:left="720" w:right="-52"/>
        <w:rPr>
          <w:rFonts w:ascii="Times New Roman" w:hAnsi="Times New Roman" w:cs="Times New Roman"/>
        </w:rPr>
      </w:pPr>
      <w:r w:rsidRPr="00A472FC">
        <w:rPr>
          <w:rFonts w:ascii="Times New Roman" w:hAnsi="Times New Roman" w:cs="Times New Roman"/>
        </w:rPr>
        <w:t xml:space="preserve">Therefore </w:t>
      </w:r>
      <w:r w:rsidR="007B3C3B" w:rsidRPr="00A472FC">
        <w:rPr>
          <w:rFonts w:ascii="Times New Roman" w:hAnsi="Times New Roman" w:cs="Times New Roman"/>
        </w:rPr>
        <w:t xml:space="preserve">on account of that </w:t>
      </w:r>
      <w:r w:rsidRPr="00A472FC">
        <w:rPr>
          <w:rFonts w:ascii="Times New Roman" w:hAnsi="Times New Roman" w:cs="Times New Roman"/>
        </w:rPr>
        <w:t>part</w:t>
      </w:r>
      <w:r w:rsidR="007B3C3B" w:rsidRPr="00A472FC">
        <w:rPr>
          <w:rFonts w:ascii="Times New Roman" w:hAnsi="Times New Roman" w:cs="Times New Roman"/>
        </w:rPr>
        <w:t>, by which</w:t>
      </w:r>
      <w:r w:rsidRPr="00A472FC">
        <w:rPr>
          <w:rFonts w:ascii="Times New Roman" w:hAnsi="Times New Roman" w:cs="Times New Roman"/>
        </w:rPr>
        <w:t xml:space="preserve"> the soul which has this perfection of knowing knowable things, according to a certain likeness to the First, </w:t>
      </w:r>
      <w:r w:rsidR="007B3C3B" w:rsidRPr="00A472FC">
        <w:rPr>
          <w:rFonts w:ascii="Times New Roman" w:hAnsi="Times New Roman" w:cs="Times New Roman"/>
        </w:rPr>
        <w:t xml:space="preserve">it </w:t>
      </w:r>
      <w:r w:rsidRPr="00A472FC">
        <w:rPr>
          <w:rFonts w:ascii="Times New Roman" w:hAnsi="Times New Roman" w:cs="Times New Roman"/>
        </w:rPr>
        <w:t xml:space="preserve">is the agent intellect; </w:t>
      </w:r>
      <w:r w:rsidR="007B3C3B" w:rsidRPr="00A472FC">
        <w:rPr>
          <w:rFonts w:ascii="Times New Roman" w:hAnsi="Times New Roman" w:cs="Times New Roman"/>
        </w:rPr>
        <w:t>when this</w:t>
      </w:r>
      <w:r w:rsidRPr="00A472FC">
        <w:rPr>
          <w:rFonts w:ascii="Times New Roman" w:hAnsi="Times New Roman" w:cs="Times New Roman"/>
        </w:rPr>
        <w:t xml:space="preserve"> part </w:t>
      </w:r>
      <w:r w:rsidR="007B3C3B" w:rsidRPr="00A472FC">
        <w:rPr>
          <w:rFonts w:ascii="Times New Roman" w:hAnsi="Times New Roman" w:cs="Times New Roman"/>
        </w:rPr>
        <w:t>encounters</w:t>
      </w:r>
      <w:r w:rsidRPr="00A472FC">
        <w:rPr>
          <w:rFonts w:ascii="Times New Roman" w:hAnsi="Times New Roman" w:cs="Times New Roman"/>
        </w:rPr>
        <w:t xml:space="preserve"> intelligible forms in existing phantasms, </w:t>
      </w:r>
      <w:r w:rsidR="007B3C3B" w:rsidRPr="00A472FC">
        <w:rPr>
          <w:rFonts w:ascii="Times New Roman" w:hAnsi="Times New Roman" w:cs="Times New Roman"/>
        </w:rPr>
        <w:t xml:space="preserve">it </w:t>
      </w:r>
      <w:r w:rsidRPr="00A472FC">
        <w:rPr>
          <w:rFonts w:ascii="Times New Roman" w:hAnsi="Times New Roman" w:cs="Times New Roman"/>
        </w:rPr>
        <w:t xml:space="preserve">abstracts them </w:t>
      </w:r>
      <w:r w:rsidR="00192F56" w:rsidRPr="00A472FC">
        <w:rPr>
          <w:rFonts w:ascii="Times New Roman" w:hAnsi="Times New Roman" w:cs="Times New Roman"/>
        </w:rPr>
        <w:t xml:space="preserve">in order that they may be understood in act; while on account of the part, by which the soul </w:t>
      </w:r>
      <w:r w:rsidRPr="00A472FC">
        <w:rPr>
          <w:rFonts w:ascii="Times New Roman" w:hAnsi="Times New Roman" w:cs="Times New Roman"/>
        </w:rPr>
        <w:t>does not yet have those intelligible forms</w:t>
      </w:r>
      <w:r w:rsidR="002C0D5C" w:rsidRPr="00A472FC">
        <w:rPr>
          <w:rFonts w:ascii="Times New Roman" w:hAnsi="Times New Roman" w:cs="Times New Roman"/>
        </w:rPr>
        <w:t>, it</w:t>
      </w:r>
      <w:r w:rsidRPr="00A472FC">
        <w:rPr>
          <w:rFonts w:ascii="Times New Roman" w:hAnsi="Times New Roman" w:cs="Times New Roman"/>
        </w:rPr>
        <w:t xml:space="preserve"> is called the possible intellect.</w:t>
      </w:r>
      <w:r w:rsidRPr="00A472FC">
        <w:rPr>
          <w:rStyle w:val="FootnoteReference"/>
          <w:rFonts w:ascii="Times New Roman" w:hAnsi="Times New Roman" w:cs="Times New Roman"/>
        </w:rPr>
        <w:footnoteReference w:id="972"/>
      </w:r>
    </w:p>
    <w:p w14:paraId="6E7749F1" w14:textId="77777777" w:rsidR="00E212D3" w:rsidRPr="00A472FC" w:rsidRDefault="00E212D3" w:rsidP="00E212D3">
      <w:pPr>
        <w:ind w:right="-52" w:firstLine="720"/>
        <w:rPr>
          <w:rFonts w:ascii="Times New Roman" w:hAnsi="Times New Roman" w:cs="Times New Roman"/>
        </w:rPr>
      </w:pPr>
    </w:p>
    <w:p w14:paraId="715C950A" w14:textId="77777777"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The only exception to this rule, the Summa concedes, concerns things that are next to or above the self, including angels and God, which respectively require an illumination from an angel or from God to be known.</w:t>
      </w:r>
      <w:r w:rsidRPr="00A472FC">
        <w:rPr>
          <w:rStyle w:val="FootnoteReference"/>
          <w:rFonts w:ascii="Times New Roman" w:hAnsi="Times New Roman" w:cs="Times New Roman"/>
        </w:rPr>
        <w:footnoteReference w:id="973"/>
      </w:r>
      <w:r w:rsidRPr="00A472FC">
        <w:rPr>
          <w:rFonts w:ascii="Times New Roman" w:hAnsi="Times New Roman" w:cs="Times New Roman"/>
        </w:rPr>
        <w:t xml:space="preserve"> In moving on to the possible intellect, the Summa describes its relationship to the agent intellect as follows: while the agent is like the form of the intellect, which performs its proper act, the possible intellect is like its matter, which comprises the potential of the soul with respect to those things which are done in it.</w:t>
      </w:r>
      <w:r w:rsidRPr="00A472FC">
        <w:rPr>
          <w:rStyle w:val="FootnoteReference"/>
          <w:rFonts w:ascii="Times New Roman" w:hAnsi="Times New Roman" w:cs="Times New Roman"/>
        </w:rPr>
        <w:footnoteReference w:id="974"/>
      </w:r>
      <w:r w:rsidRPr="00A472FC">
        <w:rPr>
          <w:rFonts w:ascii="Times New Roman" w:hAnsi="Times New Roman" w:cs="Times New Roman"/>
        </w:rPr>
        <w:t xml:space="preserve"> As the Summa re-iterates, the possible intellect is a ‘blank slate’ which has no forms in itself but is capable of receiving all forms which are abstracted by the agent intellect. </w:t>
      </w:r>
      <w:r w:rsidRPr="00A472FC">
        <w:rPr>
          <w:rFonts w:ascii="Times New Roman" w:hAnsi="Times New Roman" w:cs="Times New Roman"/>
          <w:color w:val="020202"/>
          <w:lang w:val="en-US"/>
        </w:rPr>
        <w:t xml:space="preserve">This happens </w:t>
      </w:r>
      <w:r w:rsidRPr="00A472FC">
        <w:rPr>
          <w:rFonts w:ascii="Times New Roman" w:hAnsi="Times New Roman" w:cs="Times New Roman"/>
        </w:rPr>
        <w:t>when the agent intellect unites itself to the possible intellect following the act of abstraction.</w:t>
      </w:r>
    </w:p>
    <w:p w14:paraId="07CE8F75" w14:textId="001DCC3B"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While the possible and agent intellects are separable from the body and incorruptible, by contrast to the material intellect, which in grasping species in phantasms is necessarily connected with the body and thus corruptible, the product of the possible intellect—a form abstracted from a phantasm—always has a </w:t>
      </w:r>
      <w:r w:rsidR="00405A3A" w:rsidRPr="00A472FC">
        <w:rPr>
          <w:rFonts w:ascii="Times New Roman" w:hAnsi="Times New Roman" w:cs="Times New Roman"/>
        </w:rPr>
        <w:t>relation to</w:t>
      </w:r>
      <w:r w:rsidRPr="00A472FC">
        <w:rPr>
          <w:rFonts w:ascii="Times New Roman" w:hAnsi="Times New Roman" w:cs="Times New Roman"/>
        </w:rPr>
        <w:t xml:space="preserve"> the phantasm from which it is abstracted and thus to the body.</w:t>
      </w:r>
      <w:r w:rsidRPr="00A472FC">
        <w:rPr>
          <w:rStyle w:val="FootnoteReference"/>
          <w:rFonts w:ascii="Times New Roman" w:hAnsi="Times New Roman" w:cs="Times New Roman"/>
        </w:rPr>
        <w:footnoteReference w:id="975"/>
      </w:r>
      <w:r w:rsidRPr="00A472FC">
        <w:rPr>
          <w:rFonts w:ascii="Times New Roman" w:hAnsi="Times New Roman" w:cs="Times New Roman"/>
        </w:rPr>
        <w:t xml:space="preserve"> Notwithstanding its separation from the body, it is conjoin-able or relatable to the body in the way the agent intellect is not. Thus, it serves as a mediator between the agent intellect and the material intellect which is both conjoin-able to the body and separable from it.</w:t>
      </w:r>
      <w:r w:rsidRPr="00A472FC">
        <w:rPr>
          <w:rStyle w:val="FootnoteReference"/>
          <w:rFonts w:ascii="Times New Roman" w:hAnsi="Times New Roman" w:cs="Times New Roman"/>
        </w:rPr>
        <w:footnoteReference w:id="976"/>
      </w:r>
      <w:r w:rsidRPr="00A472FC">
        <w:rPr>
          <w:rFonts w:ascii="Times New Roman" w:hAnsi="Times New Roman" w:cs="Times New Roman"/>
        </w:rPr>
        <w:t xml:space="preserve"> </w:t>
      </w:r>
    </w:p>
    <w:p w14:paraId="1A62217F" w14:textId="2A921218" w:rsidR="00E212D3" w:rsidRPr="00A472FC" w:rsidRDefault="00E212D3" w:rsidP="00E212D3">
      <w:pPr>
        <w:ind w:right="-52" w:firstLine="720"/>
        <w:rPr>
          <w:rFonts w:ascii="Times New Roman" w:hAnsi="Times New Roman" w:cs="Times New Roman"/>
          <w:color w:val="020202"/>
          <w:lang w:val="en-US"/>
        </w:rPr>
      </w:pPr>
      <w:r w:rsidRPr="00A472FC">
        <w:rPr>
          <w:rFonts w:ascii="Times New Roman" w:hAnsi="Times New Roman" w:cs="Times New Roman"/>
        </w:rPr>
        <w:t xml:space="preserve">By understanding a species abstracted from a phantasm, </w:t>
      </w:r>
      <w:r w:rsidR="00BA589F" w:rsidRPr="00A472FC">
        <w:rPr>
          <w:rFonts w:ascii="Times New Roman" w:hAnsi="Times New Roman" w:cs="Times New Roman"/>
        </w:rPr>
        <w:t>consequently</w:t>
      </w:r>
      <w:r w:rsidRPr="00A472FC">
        <w:rPr>
          <w:rFonts w:ascii="Times New Roman" w:hAnsi="Times New Roman" w:cs="Times New Roman"/>
        </w:rPr>
        <w:t xml:space="preserve">, the possible intellect coordinates the knowledge of a species in a phantasm (material intellect) and that of a species entirely separated from matter (agent intellect). In </w:t>
      </w:r>
      <w:proofErr w:type="spellStart"/>
      <w:r w:rsidRPr="00A472FC">
        <w:rPr>
          <w:rFonts w:ascii="Times New Roman" w:hAnsi="Times New Roman" w:cs="Times New Roman"/>
        </w:rPr>
        <w:t>summarizing</w:t>
      </w:r>
      <w:proofErr w:type="spellEnd"/>
      <w:r w:rsidRPr="00A472FC">
        <w:rPr>
          <w:rFonts w:ascii="Times New Roman" w:hAnsi="Times New Roman" w:cs="Times New Roman"/>
        </w:rPr>
        <w:t xml:space="preserve"> the relationship between the three intellects, the Summa states the following: ‘the sensible powers prepare the intelligible form so that it is ready to be abstracted, </w:t>
      </w:r>
      <w:r w:rsidR="00A53327" w:rsidRPr="00A472FC">
        <w:rPr>
          <w:rFonts w:ascii="Times New Roman" w:hAnsi="Times New Roman" w:cs="Times New Roman"/>
        </w:rPr>
        <w:t xml:space="preserve">while </w:t>
      </w:r>
      <w:r w:rsidRPr="00A472FC">
        <w:rPr>
          <w:rFonts w:ascii="Times New Roman" w:hAnsi="Times New Roman" w:cs="Times New Roman"/>
        </w:rPr>
        <w:t xml:space="preserve">the agent intellect </w:t>
      </w:r>
      <w:r w:rsidR="00CC5577" w:rsidRPr="00A472FC">
        <w:rPr>
          <w:rFonts w:ascii="Times New Roman" w:hAnsi="Times New Roman" w:cs="Times New Roman"/>
        </w:rPr>
        <w:t>actually</w:t>
      </w:r>
      <w:r w:rsidRPr="00A472FC">
        <w:rPr>
          <w:rFonts w:ascii="Times New Roman" w:hAnsi="Times New Roman" w:cs="Times New Roman"/>
        </w:rPr>
        <w:t xml:space="preserve"> abstracts </w:t>
      </w:r>
      <w:r w:rsidRPr="00A472FC">
        <w:rPr>
          <w:rFonts w:ascii="Times New Roman" w:hAnsi="Times New Roman" w:cs="Times New Roman"/>
        </w:rPr>
        <w:lastRenderedPageBreak/>
        <w:t>the form</w:t>
      </w:r>
      <w:r w:rsidR="003F0A4B" w:rsidRPr="00A472FC">
        <w:rPr>
          <w:rFonts w:ascii="Times New Roman" w:hAnsi="Times New Roman" w:cs="Times New Roman"/>
        </w:rPr>
        <w:t xml:space="preserve"> and unites it</w:t>
      </w:r>
      <w:r w:rsidRPr="00A472FC">
        <w:rPr>
          <w:rFonts w:ascii="Times New Roman" w:hAnsi="Times New Roman" w:cs="Times New Roman"/>
        </w:rPr>
        <w:t xml:space="preserve"> to the possible intellect. In turn, the possible intellect is completed in receiving the intelligible species abstracted </w:t>
      </w:r>
      <w:r w:rsidR="00C721E6" w:rsidRPr="00A472FC">
        <w:rPr>
          <w:rFonts w:ascii="Times New Roman" w:hAnsi="Times New Roman" w:cs="Times New Roman"/>
        </w:rPr>
        <w:t xml:space="preserve">from a </w:t>
      </w:r>
      <w:r w:rsidRPr="00A472FC">
        <w:rPr>
          <w:rFonts w:ascii="Times New Roman" w:hAnsi="Times New Roman" w:cs="Times New Roman"/>
        </w:rPr>
        <w:t>phantasm</w:t>
      </w:r>
      <w:r w:rsidRPr="00A472FC">
        <w:rPr>
          <w:rFonts w:ascii="Times New Roman" w:hAnsi="Times New Roman" w:cs="Times New Roman"/>
          <w:color w:val="020202"/>
          <w:lang w:val="en-US"/>
        </w:rPr>
        <w:t>.’</w:t>
      </w:r>
      <w:r w:rsidRPr="00A472FC">
        <w:rPr>
          <w:rStyle w:val="FootnoteReference"/>
          <w:rFonts w:ascii="Times New Roman" w:hAnsi="Times New Roman" w:cs="Times New Roman"/>
          <w:color w:val="020202"/>
          <w:lang w:val="en-US"/>
        </w:rPr>
        <w:footnoteReference w:id="977"/>
      </w:r>
      <w:r w:rsidRPr="00A472FC">
        <w:rPr>
          <w:rFonts w:ascii="Times New Roman" w:hAnsi="Times New Roman" w:cs="Times New Roman"/>
          <w:color w:val="020202"/>
          <w:lang w:val="en-US"/>
        </w:rPr>
        <w:t xml:space="preserve"> </w:t>
      </w:r>
    </w:p>
    <w:p w14:paraId="41ABBC22" w14:textId="17243B00"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The heading under which the foregoing material is developed is ‘</w:t>
      </w:r>
      <w:r w:rsidRPr="00A472FC">
        <w:rPr>
          <w:rFonts w:ascii="Times New Roman" w:hAnsi="Times New Roman" w:cs="Times New Roman"/>
          <w:i/>
        </w:rPr>
        <w:t xml:space="preserve">De </w:t>
      </w:r>
      <w:proofErr w:type="spellStart"/>
      <w:r w:rsidRPr="00A472FC">
        <w:rPr>
          <w:rFonts w:ascii="Times New Roman" w:hAnsi="Times New Roman" w:cs="Times New Roman"/>
          <w:i/>
        </w:rPr>
        <w:t>divisione</w:t>
      </w:r>
      <w:proofErr w:type="spellEnd"/>
      <w:r w:rsidRPr="00A472FC">
        <w:rPr>
          <w:rFonts w:ascii="Times New Roman" w:hAnsi="Times New Roman" w:cs="Times New Roman"/>
          <w:i/>
        </w:rPr>
        <w:t xml:space="preserve"> Aristoteles</w:t>
      </w:r>
      <w:r w:rsidRPr="00A472FC">
        <w:rPr>
          <w:rFonts w:ascii="Times New Roman" w:hAnsi="Times New Roman" w:cs="Times New Roman"/>
        </w:rPr>
        <w:t xml:space="preserve">’: the division of Aristotle of the cognitive powers of the soul. </w:t>
      </w:r>
      <w:r w:rsidR="003C3237" w:rsidRPr="00A472FC">
        <w:rPr>
          <w:rFonts w:ascii="Times New Roman" w:hAnsi="Times New Roman" w:cs="Times New Roman"/>
        </w:rPr>
        <w:t>H</w:t>
      </w:r>
      <w:r w:rsidRPr="00A472FC">
        <w:rPr>
          <w:rFonts w:ascii="Times New Roman" w:hAnsi="Times New Roman" w:cs="Times New Roman"/>
        </w:rPr>
        <w:t xml:space="preserve">owever, </w:t>
      </w:r>
      <w:r w:rsidR="0056755A" w:rsidRPr="00A472FC">
        <w:rPr>
          <w:rFonts w:ascii="Times New Roman" w:hAnsi="Times New Roman" w:cs="Times New Roman"/>
        </w:rPr>
        <w:t xml:space="preserve">I have noted that </w:t>
      </w:r>
      <w:r w:rsidRPr="00A472FC">
        <w:rPr>
          <w:rFonts w:ascii="Times New Roman" w:hAnsi="Times New Roman" w:cs="Times New Roman"/>
        </w:rPr>
        <w:t xml:space="preserve">there are no references to the name of Aristotle in the material of this section itself. We only find references to ‘the Philosopher’, a term which had earlier been used to refer to Avicenna in treating his doctrine of internal senses. There are quotations from Aristotle’s texts in this section; however, they </w:t>
      </w:r>
      <w:r w:rsidR="009B76A7" w:rsidRPr="00A472FC">
        <w:rPr>
          <w:rFonts w:ascii="Times New Roman" w:hAnsi="Times New Roman" w:cs="Times New Roman"/>
        </w:rPr>
        <w:t xml:space="preserve">do not seem to represent </w:t>
      </w:r>
      <w:r w:rsidRPr="00A472FC">
        <w:rPr>
          <w:rFonts w:ascii="Times New Roman" w:hAnsi="Times New Roman" w:cs="Times New Roman"/>
        </w:rPr>
        <w:t>a genuine readin</w:t>
      </w:r>
      <w:r w:rsidR="00DA77F5" w:rsidRPr="00A472FC">
        <w:rPr>
          <w:rFonts w:ascii="Times New Roman" w:hAnsi="Times New Roman" w:cs="Times New Roman"/>
        </w:rPr>
        <w:t>g</w:t>
      </w:r>
      <w:r w:rsidRPr="00A472FC">
        <w:rPr>
          <w:rFonts w:ascii="Times New Roman" w:hAnsi="Times New Roman" w:cs="Times New Roman"/>
        </w:rPr>
        <w:t xml:space="preserve">, let alone an attempt to present faithfully, the Greek philosopher’s thought. </w:t>
      </w:r>
    </w:p>
    <w:p w14:paraId="745D4AA0" w14:textId="6A4A927F"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For example, there is a reference to an intellect that is corruptible.</w:t>
      </w:r>
      <w:r w:rsidRPr="00A472FC">
        <w:rPr>
          <w:rStyle w:val="FootnoteReference"/>
          <w:rFonts w:ascii="Times New Roman" w:hAnsi="Times New Roman" w:cs="Times New Roman"/>
        </w:rPr>
        <w:footnoteReference w:id="978"/>
      </w:r>
      <w:r w:rsidRPr="00A472FC">
        <w:rPr>
          <w:rFonts w:ascii="Times New Roman" w:hAnsi="Times New Roman" w:cs="Times New Roman"/>
        </w:rPr>
        <w:t xml:space="preserve"> However, this is used to describe the material intellect which has no place in Aristotle’s thought. As I showed in the previous chapter, Aristotle only referred to a passive and an agent intellect, and even then, he did not do so in strongly </w:t>
      </w:r>
      <w:proofErr w:type="spellStart"/>
      <w:r w:rsidRPr="00A472FC">
        <w:rPr>
          <w:rFonts w:ascii="Times New Roman" w:hAnsi="Times New Roman" w:cs="Times New Roman"/>
        </w:rPr>
        <w:t>hypostatized</w:t>
      </w:r>
      <w:proofErr w:type="spellEnd"/>
      <w:r w:rsidRPr="00A472FC">
        <w:rPr>
          <w:rFonts w:ascii="Times New Roman" w:hAnsi="Times New Roman" w:cs="Times New Roman"/>
        </w:rPr>
        <w:t xml:space="preserve"> terms. Still, there is one place where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like John in the SDA, actually ascribes his three-fold doctrine of the intellect to Aristotle, which simply is not plausible.</w:t>
      </w:r>
      <w:r w:rsidRPr="00A472FC">
        <w:rPr>
          <w:rStyle w:val="FootnoteReference"/>
          <w:rFonts w:ascii="Times New Roman" w:hAnsi="Times New Roman" w:cs="Times New Roman"/>
        </w:rPr>
        <w:footnoteReference w:id="979"/>
      </w:r>
      <w:r w:rsidRPr="00A472FC">
        <w:rPr>
          <w:rFonts w:ascii="Times New Roman" w:hAnsi="Times New Roman" w:cs="Times New Roman"/>
        </w:rPr>
        <w:t xml:space="preserve"> There are some other Aristotelian references to the idea of deriving species from phantasms;</w:t>
      </w:r>
      <w:r w:rsidRPr="00A472FC">
        <w:rPr>
          <w:rStyle w:val="FootnoteReference"/>
          <w:rFonts w:ascii="Times New Roman" w:hAnsi="Times New Roman" w:cs="Times New Roman"/>
        </w:rPr>
        <w:footnoteReference w:id="980"/>
      </w:r>
      <w:r w:rsidRPr="00A472FC">
        <w:rPr>
          <w:rFonts w:ascii="Times New Roman" w:hAnsi="Times New Roman" w:cs="Times New Roman"/>
        </w:rPr>
        <w:t xml:space="preserve"> and to the notion that anything possible can only be brought into act by something that is in act.</w:t>
      </w:r>
      <w:r w:rsidRPr="00A472FC">
        <w:rPr>
          <w:rStyle w:val="FootnoteReference"/>
          <w:rFonts w:ascii="Times New Roman" w:hAnsi="Times New Roman" w:cs="Times New Roman"/>
        </w:rPr>
        <w:footnoteReference w:id="981"/>
      </w:r>
      <w:r w:rsidRPr="00A472FC">
        <w:rPr>
          <w:rFonts w:ascii="Times New Roman" w:hAnsi="Times New Roman" w:cs="Times New Roman"/>
        </w:rPr>
        <w:t xml:space="preserve"> But these are basically truisms, </w:t>
      </w:r>
      <w:r w:rsidR="003F29CA" w:rsidRPr="00A472FC">
        <w:rPr>
          <w:rFonts w:ascii="Times New Roman" w:hAnsi="Times New Roman" w:cs="Times New Roman"/>
        </w:rPr>
        <w:t xml:space="preserve">which can </w:t>
      </w:r>
      <w:r w:rsidR="001C7595">
        <w:rPr>
          <w:rFonts w:ascii="Times New Roman" w:hAnsi="Times New Roman" w:cs="Times New Roman"/>
        </w:rPr>
        <w:t>be</w:t>
      </w:r>
      <w:r w:rsidR="003F29CA" w:rsidRPr="00A472FC">
        <w:rPr>
          <w:rFonts w:ascii="Times New Roman" w:hAnsi="Times New Roman" w:cs="Times New Roman"/>
        </w:rPr>
        <w:t xml:space="preserve"> interpreted in different ways, </w:t>
      </w:r>
      <w:r w:rsidR="005830A7" w:rsidRPr="00A472FC">
        <w:rPr>
          <w:rFonts w:ascii="Times New Roman" w:hAnsi="Times New Roman" w:cs="Times New Roman"/>
        </w:rPr>
        <w:t xml:space="preserve">rather than deciding factors for the </w:t>
      </w:r>
      <w:r w:rsidRPr="00A472FC">
        <w:rPr>
          <w:rFonts w:ascii="Times New Roman" w:hAnsi="Times New Roman" w:cs="Times New Roman"/>
        </w:rPr>
        <w:t xml:space="preserve">actual substance of the theory the Summa develops subsequently. </w:t>
      </w:r>
    </w:p>
    <w:p w14:paraId="3A04DA01" w14:textId="5E8F239A"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When we compare this account of the intellect with those presented in the </w:t>
      </w:r>
      <w:r w:rsidRPr="00A472FC">
        <w:rPr>
          <w:rFonts w:ascii="Times New Roman" w:hAnsi="Times New Roman" w:cs="Times New Roman"/>
          <w:i/>
        </w:rPr>
        <w:t xml:space="preserve">Summa de anima </w:t>
      </w:r>
      <w:r w:rsidRPr="00A472FC">
        <w:rPr>
          <w:rFonts w:ascii="Times New Roman" w:hAnsi="Times New Roman" w:cs="Times New Roman"/>
        </w:rPr>
        <w:t xml:space="preserve">and the </w:t>
      </w:r>
      <w:proofErr w:type="spellStart"/>
      <w:r w:rsidRPr="00A472FC">
        <w:rPr>
          <w:rFonts w:ascii="Times New Roman" w:hAnsi="Times New Roman" w:cs="Times New Roman"/>
          <w:i/>
        </w:rPr>
        <w:t>Tractatus</w:t>
      </w:r>
      <w:proofErr w:type="spellEnd"/>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the similarities are striking. In all cases, the three-fold scheme of material/possible/agent intellect described in Anonymous Callus is employed. In the SDA, we saw that John inserted Avicenna’s doctrine of the four intellects under the auspices of the possible intellect. This is removed from the discussion of Aristotle or ‘the Philosopher’ in the DAR, perhaps because it is too obviously </w:t>
      </w:r>
      <w:proofErr w:type="spellStart"/>
      <w:r w:rsidRPr="00A472FC">
        <w:rPr>
          <w:rFonts w:ascii="Times New Roman" w:hAnsi="Times New Roman" w:cs="Times New Roman"/>
        </w:rPr>
        <w:t>Avicennian</w:t>
      </w:r>
      <w:proofErr w:type="spellEnd"/>
      <w:r w:rsidR="00662E56" w:rsidRPr="00A472FC">
        <w:rPr>
          <w:rFonts w:ascii="Times New Roman" w:hAnsi="Times New Roman" w:cs="Times New Roman"/>
        </w:rPr>
        <w:t>. Yet</w:t>
      </w:r>
      <w:r w:rsidRPr="00A472FC">
        <w:rPr>
          <w:rFonts w:ascii="Times New Roman" w:hAnsi="Times New Roman" w:cs="Times New Roman"/>
        </w:rPr>
        <w:t xml:space="preserve"> we have seen that the relevant material is simply relocated to the section on John of Damascus. Likewise, the DAR jettisons the material in the SDA on inductive/syllogistic modes of reasoning which </w:t>
      </w:r>
      <w:r w:rsidR="00DA426A" w:rsidRPr="00A472FC">
        <w:rPr>
          <w:rFonts w:ascii="Times New Roman" w:hAnsi="Times New Roman" w:cs="Times New Roman"/>
        </w:rPr>
        <w:t>drew its inspiration from Avicenna</w:t>
      </w:r>
      <w:r w:rsidRPr="00A472FC">
        <w:rPr>
          <w:rFonts w:ascii="Times New Roman" w:hAnsi="Times New Roman" w:cs="Times New Roman"/>
        </w:rPr>
        <w:t xml:space="preserve"> </w:t>
      </w:r>
      <w:r w:rsidR="008667D8" w:rsidRPr="00A472FC">
        <w:rPr>
          <w:rFonts w:ascii="Times New Roman" w:hAnsi="Times New Roman" w:cs="Times New Roman"/>
        </w:rPr>
        <w:t xml:space="preserve">to </w:t>
      </w:r>
      <w:r w:rsidRPr="00A472FC">
        <w:rPr>
          <w:rFonts w:ascii="Times New Roman" w:hAnsi="Times New Roman" w:cs="Times New Roman"/>
        </w:rPr>
        <w:t>explain how the possible intellect comes to receive a form abstracted from a phantasm, perhaps because it is also too obviously non-Aristotelian.</w:t>
      </w:r>
    </w:p>
    <w:p w14:paraId="672C3832" w14:textId="5FD8D34F"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Indeed, the strategy of the Summa as exemplified in such cases is seemingly to relocate or cut material that cannot be in some loose fashion attributed to Aristotle. But the basics of </w:t>
      </w:r>
      <w:r w:rsidR="00A21FBF" w:rsidRPr="00A472FC">
        <w:rPr>
          <w:rFonts w:ascii="Times New Roman" w:hAnsi="Times New Roman" w:cs="Times New Roman"/>
        </w:rPr>
        <w:t>its</w:t>
      </w:r>
      <w:r w:rsidRPr="00A472FC">
        <w:rPr>
          <w:rFonts w:ascii="Times New Roman" w:hAnsi="Times New Roman" w:cs="Times New Roman"/>
        </w:rPr>
        <w:t xml:space="preserve"> cognitive theory remain the same. This involves an </w:t>
      </w:r>
      <w:proofErr w:type="spellStart"/>
      <w:r w:rsidRPr="00A472FC">
        <w:rPr>
          <w:rFonts w:ascii="Times New Roman" w:hAnsi="Times New Roman" w:cs="Times New Roman"/>
        </w:rPr>
        <w:t>Avicennian</w:t>
      </w:r>
      <w:proofErr w:type="spellEnd"/>
      <w:r w:rsidRPr="00A472FC">
        <w:rPr>
          <w:rFonts w:ascii="Times New Roman" w:hAnsi="Times New Roman" w:cs="Times New Roman"/>
        </w:rPr>
        <w:t xml:space="preserve"> understanding of intellectual cognition, inscribed into a three-fold theory of the intellect which was inherited from Anonymous Callus. The </w:t>
      </w:r>
      <w:proofErr w:type="spellStart"/>
      <w:r w:rsidRPr="00A472FC">
        <w:rPr>
          <w:rFonts w:ascii="Times New Roman" w:hAnsi="Times New Roman" w:cs="Times New Roman"/>
        </w:rPr>
        <w:t>Avicennian</w:t>
      </w:r>
      <w:proofErr w:type="spellEnd"/>
      <w:r w:rsidRPr="00A472FC">
        <w:rPr>
          <w:rFonts w:ascii="Times New Roman" w:hAnsi="Times New Roman" w:cs="Times New Roman"/>
        </w:rPr>
        <w:t xml:space="preserve"> nature of the </w:t>
      </w:r>
      <w:proofErr w:type="spellStart"/>
      <w:r w:rsidRPr="00A472FC">
        <w:rPr>
          <w:rFonts w:ascii="Times New Roman" w:hAnsi="Times New Roman" w:cs="Times New Roman"/>
        </w:rPr>
        <w:t>Summist’s</w:t>
      </w:r>
      <w:proofErr w:type="spellEnd"/>
      <w:r w:rsidRPr="00A472FC">
        <w:rPr>
          <w:rFonts w:ascii="Times New Roman" w:hAnsi="Times New Roman" w:cs="Times New Roman"/>
        </w:rPr>
        <w:t xml:space="preserve"> theory is reinforced by the fact that Avicenna is explicitly named in treating his doctrine of the five internal senses. </w:t>
      </w:r>
    </w:p>
    <w:p w14:paraId="2674BC38" w14:textId="77BFF62C" w:rsidR="00E212D3" w:rsidRPr="00A472FC" w:rsidRDefault="00E212D3" w:rsidP="00E212D3">
      <w:pPr>
        <w:ind w:right="-52" w:firstLine="720"/>
        <w:rPr>
          <w:rFonts w:ascii="Times New Roman" w:hAnsi="Times New Roman" w:cs="Times New Roman"/>
          <w:lang w:val="en-US"/>
        </w:rPr>
      </w:pPr>
      <w:r w:rsidRPr="00A472FC">
        <w:rPr>
          <w:rFonts w:ascii="Times New Roman" w:hAnsi="Times New Roman" w:cs="Times New Roman"/>
        </w:rPr>
        <w:t xml:space="preserve">As Hasse and Alpina have shown, </w:t>
      </w:r>
      <w:r w:rsidRPr="00A472FC">
        <w:rPr>
          <w:rFonts w:ascii="Times New Roman" w:hAnsi="Times New Roman" w:cs="Times New Roman"/>
          <w:lang w:val="en-US"/>
        </w:rPr>
        <w:t xml:space="preserve">the major work of abstraction in Avicenna’s perspective takes place at the level of producing an intention by the internal senses, which means that it is difficult if not impossible to hold explicitly to his theory of internal senses without also presupposing Avicenna’s idea of how the four intellects finish the job of </w:t>
      </w:r>
      <w:r w:rsidRPr="00A472FC">
        <w:rPr>
          <w:rFonts w:ascii="Times New Roman" w:hAnsi="Times New Roman" w:cs="Times New Roman"/>
          <w:lang w:val="en-US"/>
        </w:rPr>
        <w:lastRenderedPageBreak/>
        <w:t>abstraction.</w:t>
      </w:r>
      <w:r w:rsidRPr="00A472FC">
        <w:rPr>
          <w:rStyle w:val="FootnoteReference"/>
          <w:rFonts w:ascii="Times New Roman" w:hAnsi="Times New Roman" w:cs="Times New Roman"/>
          <w:lang w:val="en-US"/>
        </w:rPr>
        <w:footnoteReference w:id="982"/>
      </w:r>
      <w:r w:rsidRPr="00A472FC">
        <w:rPr>
          <w:rFonts w:ascii="Times New Roman" w:hAnsi="Times New Roman" w:cs="Times New Roman"/>
          <w:lang w:val="en-US"/>
        </w:rPr>
        <w:t xml:space="preserve"> This is reinforced by the account of the stages of abstraction in both John and the DAR, which begin with external sensation before moving </w:t>
      </w:r>
      <w:r w:rsidR="00AE78D3" w:rsidRPr="00A472FC">
        <w:rPr>
          <w:rFonts w:ascii="Times New Roman" w:hAnsi="Times New Roman" w:cs="Times New Roman"/>
          <w:lang w:val="en-US"/>
        </w:rPr>
        <w:t xml:space="preserve">on </w:t>
      </w:r>
      <w:r w:rsidRPr="00A472FC">
        <w:rPr>
          <w:rFonts w:ascii="Times New Roman" w:hAnsi="Times New Roman" w:cs="Times New Roman"/>
          <w:lang w:val="en-US"/>
        </w:rPr>
        <w:t xml:space="preserve">to imagination/estimation and finally the work of the intellect. Clearly, the early Franciscans see internal sensation and intellection as a continuous process, which is further confirmed by the use of the term ‘material intellect’ </w:t>
      </w:r>
      <w:r w:rsidR="000C14F0" w:rsidRPr="00A472FC">
        <w:rPr>
          <w:rFonts w:ascii="Times New Roman" w:hAnsi="Times New Roman" w:cs="Times New Roman"/>
          <w:lang w:val="en-US"/>
        </w:rPr>
        <w:t xml:space="preserve">to refer to </w:t>
      </w:r>
      <w:r w:rsidRPr="00A472FC">
        <w:rPr>
          <w:rFonts w:ascii="Times New Roman" w:hAnsi="Times New Roman" w:cs="Times New Roman"/>
          <w:lang w:val="en-US"/>
        </w:rPr>
        <w:t>estimation in humans.</w:t>
      </w:r>
    </w:p>
    <w:p w14:paraId="676572F4" w14:textId="5BA1B8F4" w:rsidR="00E212D3" w:rsidRPr="00A472FC" w:rsidRDefault="00E212D3" w:rsidP="00E212D3">
      <w:pPr>
        <w:ind w:right="-52" w:firstLine="720"/>
        <w:rPr>
          <w:rFonts w:ascii="Times New Roman" w:hAnsi="Times New Roman" w:cs="Times New Roman"/>
          <w:lang w:val="en-US"/>
        </w:rPr>
      </w:pPr>
      <w:r w:rsidRPr="00A472FC">
        <w:rPr>
          <w:rFonts w:ascii="Times New Roman" w:hAnsi="Times New Roman" w:cs="Times New Roman"/>
          <w:lang w:val="en-US"/>
        </w:rPr>
        <w:t xml:space="preserve">Despite the references to Aristotle in the DAR, therefore, we can conclude on the basis of the text </w:t>
      </w:r>
      <w:r w:rsidR="00E413A7" w:rsidRPr="00A472FC">
        <w:rPr>
          <w:rFonts w:ascii="Times New Roman" w:hAnsi="Times New Roman" w:cs="Times New Roman"/>
          <w:lang w:val="en-US"/>
        </w:rPr>
        <w:t>studied here</w:t>
      </w:r>
      <w:r w:rsidRPr="00A472FC">
        <w:rPr>
          <w:rFonts w:ascii="Times New Roman" w:hAnsi="Times New Roman" w:cs="Times New Roman"/>
          <w:lang w:val="en-US"/>
        </w:rPr>
        <w:t xml:space="preserve"> that </w:t>
      </w:r>
      <w:r w:rsidR="00A879B5" w:rsidRPr="00A472FC">
        <w:rPr>
          <w:rFonts w:ascii="Times New Roman" w:hAnsi="Times New Roman" w:cs="Times New Roman"/>
          <w:lang w:val="en-US"/>
        </w:rPr>
        <w:t>it is emblematic of a</w:t>
      </w:r>
      <w:r w:rsidRPr="00A472FC">
        <w:rPr>
          <w:rFonts w:ascii="Times New Roman" w:hAnsi="Times New Roman" w:cs="Times New Roman"/>
          <w:lang w:val="en-US"/>
        </w:rPr>
        <w:t xml:space="preserve"> phase that Amos </w:t>
      </w:r>
      <w:proofErr w:type="spellStart"/>
      <w:r w:rsidRPr="00A472FC">
        <w:rPr>
          <w:rFonts w:ascii="Times New Roman" w:hAnsi="Times New Roman" w:cs="Times New Roman"/>
          <w:lang w:val="en-US"/>
        </w:rPr>
        <w:t>Bertolacci</w:t>
      </w:r>
      <w:proofErr w:type="spellEnd"/>
      <w:r w:rsidRPr="00A472FC">
        <w:rPr>
          <w:rFonts w:ascii="Times New Roman" w:hAnsi="Times New Roman" w:cs="Times New Roman"/>
          <w:lang w:val="en-US"/>
        </w:rPr>
        <w:t xml:space="preserve"> has </w:t>
      </w:r>
      <w:r w:rsidR="00826AE9" w:rsidRPr="00A472FC">
        <w:rPr>
          <w:rFonts w:ascii="Times New Roman" w:hAnsi="Times New Roman" w:cs="Times New Roman"/>
          <w:lang w:val="en-US"/>
        </w:rPr>
        <w:t xml:space="preserve">characterized </w:t>
      </w:r>
      <w:r w:rsidR="00EF402A" w:rsidRPr="00A472FC">
        <w:rPr>
          <w:rFonts w:ascii="Times New Roman" w:hAnsi="Times New Roman" w:cs="Times New Roman"/>
          <w:lang w:val="en-US"/>
        </w:rPr>
        <w:t>as one in which Aristotle was commonly read together with or in light of</w:t>
      </w:r>
      <w:r w:rsidRPr="00A472FC">
        <w:rPr>
          <w:rFonts w:ascii="Times New Roman" w:hAnsi="Times New Roman" w:cs="Times New Roman"/>
          <w:lang w:val="en-US"/>
        </w:rPr>
        <w:t xml:space="preserve"> Avicenna. While an earlier generation might have turned to Avicenna in his own right, as we have seen in the work of John of La Rochelle, </w:t>
      </w:r>
      <w:r w:rsidR="00A879B5" w:rsidRPr="00A472FC">
        <w:rPr>
          <w:rFonts w:ascii="Times New Roman" w:hAnsi="Times New Roman" w:cs="Times New Roman"/>
          <w:lang w:val="en-US"/>
        </w:rPr>
        <w:t xml:space="preserve">the </w:t>
      </w:r>
      <w:proofErr w:type="spellStart"/>
      <w:r w:rsidR="00A879B5" w:rsidRPr="00A472FC">
        <w:rPr>
          <w:rFonts w:ascii="Times New Roman" w:hAnsi="Times New Roman" w:cs="Times New Roman"/>
          <w:lang w:val="en-US"/>
        </w:rPr>
        <w:t>Summists</w:t>
      </w:r>
      <w:proofErr w:type="spellEnd"/>
      <w:r w:rsidR="00A879B5" w:rsidRPr="00A472FC">
        <w:rPr>
          <w:rFonts w:ascii="Times New Roman" w:hAnsi="Times New Roman" w:cs="Times New Roman"/>
          <w:lang w:val="en-US"/>
        </w:rPr>
        <w:t xml:space="preserve"> and other authors of </w:t>
      </w:r>
      <w:r w:rsidRPr="00A472FC">
        <w:rPr>
          <w:rFonts w:ascii="Times New Roman" w:hAnsi="Times New Roman" w:cs="Times New Roman"/>
          <w:lang w:val="en-US"/>
        </w:rPr>
        <w:t xml:space="preserve">the 1240s tried to pay lip service to Aristotle even while relying heavily on the </w:t>
      </w:r>
      <w:proofErr w:type="spellStart"/>
      <w:r w:rsidRPr="00A472FC">
        <w:rPr>
          <w:rFonts w:ascii="Times New Roman" w:hAnsi="Times New Roman" w:cs="Times New Roman"/>
          <w:lang w:val="en-US"/>
        </w:rPr>
        <w:t>Avicennian</w:t>
      </w:r>
      <w:proofErr w:type="spellEnd"/>
      <w:r w:rsidRPr="00A472FC">
        <w:rPr>
          <w:rFonts w:ascii="Times New Roman" w:hAnsi="Times New Roman" w:cs="Times New Roman"/>
          <w:lang w:val="en-US"/>
        </w:rPr>
        <w:t xml:space="preserve"> theories of which they had a better grasp and which they still regarded as a legitimate and indeed privileged means of interpreting the Greek philosopher’s thought. </w:t>
      </w:r>
    </w:p>
    <w:p w14:paraId="39F7E6D6" w14:textId="0B54B7EE" w:rsidR="00E212D3" w:rsidRPr="00A472FC" w:rsidRDefault="00E212D3" w:rsidP="00E212D3">
      <w:pPr>
        <w:ind w:right="-52" w:firstLine="720"/>
        <w:rPr>
          <w:rFonts w:ascii="Times New Roman" w:hAnsi="Times New Roman" w:cs="Times New Roman"/>
          <w:lang w:val="en-US"/>
        </w:rPr>
      </w:pPr>
      <w:r w:rsidRPr="00A472FC">
        <w:rPr>
          <w:rFonts w:ascii="Times New Roman" w:hAnsi="Times New Roman" w:cs="Times New Roman"/>
          <w:lang w:val="en-US"/>
        </w:rPr>
        <w:t xml:space="preserve">This is precisely the pattern we find in the transition from the SDA to the DAR. A growing awareness of Aristotle’s importance, perhaps precipitated by the recent introduction of the </w:t>
      </w:r>
      <w:proofErr w:type="spellStart"/>
      <w:r w:rsidRPr="00A472FC">
        <w:rPr>
          <w:rFonts w:ascii="Times New Roman" w:hAnsi="Times New Roman" w:cs="Times New Roman"/>
          <w:lang w:val="en-US"/>
        </w:rPr>
        <w:t>Averroes</w:t>
      </w:r>
      <w:proofErr w:type="spellEnd"/>
      <w:r w:rsidRPr="00A472FC">
        <w:rPr>
          <w:rFonts w:ascii="Times New Roman" w:hAnsi="Times New Roman" w:cs="Times New Roman"/>
          <w:lang w:val="en-US"/>
        </w:rPr>
        <w:t xml:space="preserve"> commentaries, called for an attempt to engage with him in a more concerted fashion. Although the reading of </w:t>
      </w:r>
      <w:proofErr w:type="spellStart"/>
      <w:r w:rsidRPr="00A472FC">
        <w:rPr>
          <w:rFonts w:ascii="Times New Roman" w:hAnsi="Times New Roman" w:cs="Times New Roman"/>
          <w:lang w:val="en-US"/>
        </w:rPr>
        <w:t>Averroes</w:t>
      </w:r>
      <w:proofErr w:type="spellEnd"/>
      <w:r w:rsidRPr="00A472FC">
        <w:rPr>
          <w:rFonts w:ascii="Times New Roman" w:hAnsi="Times New Roman" w:cs="Times New Roman"/>
          <w:lang w:val="en-US"/>
        </w:rPr>
        <w:t xml:space="preserve"> may have led to a retrospective attribution to him of the three-fold scheme of material/possible/agent intellect, the limited engagement with </w:t>
      </w:r>
      <w:proofErr w:type="spellStart"/>
      <w:r w:rsidRPr="00A472FC">
        <w:rPr>
          <w:rFonts w:ascii="Times New Roman" w:hAnsi="Times New Roman" w:cs="Times New Roman"/>
          <w:lang w:val="en-US"/>
        </w:rPr>
        <w:t>Averroes</w:t>
      </w:r>
      <w:proofErr w:type="spellEnd"/>
      <w:r w:rsidRPr="00A472FC">
        <w:rPr>
          <w:rFonts w:ascii="Times New Roman" w:hAnsi="Times New Roman" w:cs="Times New Roman"/>
          <w:lang w:val="en-US"/>
        </w:rPr>
        <w:t xml:space="preserve"> suggests that his work likewise had yet to be fully absorbed. Thus, we find the </w:t>
      </w:r>
      <w:proofErr w:type="spellStart"/>
      <w:r w:rsidRPr="00A472FC">
        <w:rPr>
          <w:rFonts w:ascii="Times New Roman" w:hAnsi="Times New Roman" w:cs="Times New Roman"/>
          <w:lang w:val="en-US"/>
        </w:rPr>
        <w:t>Summist</w:t>
      </w:r>
      <w:proofErr w:type="spellEnd"/>
      <w:r w:rsidRPr="00A472FC">
        <w:rPr>
          <w:rFonts w:ascii="Times New Roman" w:hAnsi="Times New Roman" w:cs="Times New Roman"/>
          <w:lang w:val="en-US"/>
        </w:rPr>
        <w:t xml:space="preserve"> clinging to the essentials he learned from the reading of John of La Rochelle, and those were in key respects </w:t>
      </w:r>
      <w:proofErr w:type="spellStart"/>
      <w:r w:rsidRPr="00A472FC">
        <w:rPr>
          <w:rFonts w:ascii="Times New Roman" w:hAnsi="Times New Roman" w:cs="Times New Roman"/>
          <w:lang w:val="en-US"/>
        </w:rPr>
        <w:t>Avicennian</w:t>
      </w:r>
      <w:proofErr w:type="spellEnd"/>
      <w:r w:rsidRPr="00A472FC">
        <w:rPr>
          <w:rFonts w:ascii="Times New Roman" w:hAnsi="Times New Roman" w:cs="Times New Roman"/>
          <w:lang w:val="en-US"/>
        </w:rPr>
        <w:t>. Together with these, however, he draws in components o</w:t>
      </w:r>
      <w:r w:rsidR="00506CE2" w:rsidRPr="00A472FC">
        <w:rPr>
          <w:rFonts w:ascii="Times New Roman" w:hAnsi="Times New Roman" w:cs="Times New Roman"/>
          <w:lang w:val="en-US"/>
        </w:rPr>
        <w:t>f</w:t>
      </w:r>
      <w:r w:rsidRPr="00A472FC">
        <w:rPr>
          <w:rFonts w:ascii="Times New Roman" w:hAnsi="Times New Roman" w:cs="Times New Roman"/>
          <w:lang w:val="en-US"/>
        </w:rPr>
        <w:t xml:space="preserve"> the DSEA, such as the distinction of what is below, next to, and above the self, such that the Philosopher of which he speaks in this section, while broadly </w:t>
      </w:r>
      <w:proofErr w:type="spellStart"/>
      <w:r w:rsidRPr="00A472FC">
        <w:rPr>
          <w:rFonts w:ascii="Times New Roman" w:hAnsi="Times New Roman" w:cs="Times New Roman"/>
          <w:lang w:val="en-US"/>
        </w:rPr>
        <w:t>Avicennian</w:t>
      </w:r>
      <w:proofErr w:type="spellEnd"/>
      <w:r w:rsidRPr="00A472FC">
        <w:rPr>
          <w:rFonts w:ascii="Times New Roman" w:hAnsi="Times New Roman" w:cs="Times New Roman"/>
          <w:lang w:val="en-US"/>
        </w:rPr>
        <w:t xml:space="preserve"> </w:t>
      </w:r>
      <w:r w:rsidR="00506CE2" w:rsidRPr="00A472FC">
        <w:rPr>
          <w:rFonts w:ascii="Times New Roman" w:hAnsi="Times New Roman" w:cs="Times New Roman"/>
          <w:lang w:val="en-US"/>
        </w:rPr>
        <w:t>on fundamentals</w:t>
      </w:r>
      <w:r w:rsidRPr="00A472FC">
        <w:rPr>
          <w:rFonts w:ascii="Times New Roman" w:hAnsi="Times New Roman" w:cs="Times New Roman"/>
          <w:lang w:val="en-US"/>
        </w:rPr>
        <w:t xml:space="preserve">, is ultimately an amalgam and a name for no one. The philosophical authority on which the </w:t>
      </w:r>
      <w:proofErr w:type="spellStart"/>
      <w:r w:rsidRPr="00A472FC">
        <w:rPr>
          <w:rFonts w:ascii="Times New Roman" w:hAnsi="Times New Roman" w:cs="Times New Roman"/>
          <w:lang w:val="en-US"/>
        </w:rPr>
        <w:t>Summist’s</w:t>
      </w:r>
      <w:proofErr w:type="spellEnd"/>
      <w:r w:rsidRPr="00A472FC">
        <w:rPr>
          <w:rFonts w:ascii="Times New Roman" w:hAnsi="Times New Roman" w:cs="Times New Roman"/>
          <w:lang w:val="en-US"/>
        </w:rPr>
        <w:t xml:space="preserve"> account rests in this section ‘</w:t>
      </w:r>
      <w:r w:rsidRPr="00A472FC">
        <w:rPr>
          <w:rFonts w:ascii="Times New Roman" w:hAnsi="Times New Roman" w:cs="Times New Roman"/>
          <w:i/>
          <w:lang w:val="en-US"/>
        </w:rPr>
        <w:t xml:space="preserve">de </w:t>
      </w:r>
      <w:proofErr w:type="spellStart"/>
      <w:r w:rsidRPr="00A472FC">
        <w:rPr>
          <w:rFonts w:ascii="Times New Roman" w:hAnsi="Times New Roman" w:cs="Times New Roman"/>
          <w:i/>
          <w:lang w:val="en-US"/>
        </w:rPr>
        <w:t>divisione</w:t>
      </w:r>
      <w:proofErr w:type="spellEnd"/>
      <w:r w:rsidRPr="00A472FC">
        <w:rPr>
          <w:rFonts w:ascii="Times New Roman" w:hAnsi="Times New Roman" w:cs="Times New Roman"/>
          <w:i/>
          <w:lang w:val="en-US"/>
        </w:rPr>
        <w:t xml:space="preserve"> Aristoteles</w:t>
      </w:r>
      <w:r w:rsidRPr="00A472FC">
        <w:rPr>
          <w:rFonts w:ascii="Times New Roman" w:hAnsi="Times New Roman" w:cs="Times New Roman"/>
          <w:lang w:val="en-US"/>
        </w:rPr>
        <w:t xml:space="preserve">’ is one the </w:t>
      </w:r>
      <w:proofErr w:type="spellStart"/>
      <w:r w:rsidRPr="00A472FC">
        <w:rPr>
          <w:rFonts w:ascii="Times New Roman" w:hAnsi="Times New Roman" w:cs="Times New Roman"/>
          <w:lang w:val="en-US"/>
        </w:rPr>
        <w:t>Summist</w:t>
      </w:r>
      <w:proofErr w:type="spellEnd"/>
      <w:r w:rsidRPr="00A472FC">
        <w:rPr>
          <w:rFonts w:ascii="Times New Roman" w:hAnsi="Times New Roman" w:cs="Times New Roman"/>
          <w:lang w:val="en-US"/>
        </w:rPr>
        <w:t>, following John, has constructed himself</w:t>
      </w:r>
      <w:r w:rsidR="00A05D47" w:rsidRPr="00A472FC">
        <w:rPr>
          <w:rFonts w:ascii="Times New Roman" w:hAnsi="Times New Roman" w:cs="Times New Roman"/>
          <w:lang w:val="en-US"/>
        </w:rPr>
        <w:t xml:space="preserve">: it is </w:t>
      </w:r>
      <w:r w:rsidR="00CB1D51" w:rsidRPr="00A472FC">
        <w:rPr>
          <w:rFonts w:ascii="Times New Roman" w:hAnsi="Times New Roman" w:cs="Times New Roman"/>
          <w:lang w:val="en-US"/>
        </w:rPr>
        <w:t xml:space="preserve">based on </w:t>
      </w:r>
      <w:r w:rsidR="00A05D47" w:rsidRPr="00A472FC">
        <w:rPr>
          <w:rFonts w:ascii="Times New Roman" w:hAnsi="Times New Roman" w:cs="Times New Roman"/>
          <w:lang w:val="en-US"/>
        </w:rPr>
        <w:t>the theory</w:t>
      </w:r>
      <w:r w:rsidR="00CB1D51" w:rsidRPr="00A472FC">
        <w:rPr>
          <w:rFonts w:ascii="Times New Roman" w:hAnsi="Times New Roman" w:cs="Times New Roman"/>
          <w:lang w:val="en-US"/>
        </w:rPr>
        <w:t xml:space="preserve"> of John of La Rochelle.</w:t>
      </w:r>
    </w:p>
    <w:p w14:paraId="765F84AB" w14:textId="77777777" w:rsidR="00E212D3" w:rsidRPr="00A472FC" w:rsidRDefault="00E212D3" w:rsidP="00E212D3">
      <w:pPr>
        <w:ind w:right="-52"/>
        <w:rPr>
          <w:rFonts w:ascii="Times New Roman" w:hAnsi="Times New Roman" w:cs="Times New Roman"/>
          <w:lang w:val="en-US"/>
        </w:rPr>
      </w:pPr>
    </w:p>
    <w:p w14:paraId="497187A9" w14:textId="77777777" w:rsidR="00E212D3" w:rsidRPr="00A472FC" w:rsidRDefault="00E212D3" w:rsidP="00E212D3">
      <w:pPr>
        <w:ind w:right="-52"/>
        <w:rPr>
          <w:rFonts w:ascii="Times New Roman" w:hAnsi="Times New Roman" w:cs="Times New Roman"/>
          <w:iCs/>
          <w:u w:val="single"/>
        </w:rPr>
      </w:pPr>
      <w:r w:rsidRPr="00A472FC">
        <w:rPr>
          <w:rFonts w:ascii="Times New Roman" w:hAnsi="Times New Roman" w:cs="Times New Roman"/>
          <w:iCs/>
          <w:u w:val="single"/>
        </w:rPr>
        <w:t>Revisiting Franciscan ‘</w:t>
      </w:r>
      <w:proofErr w:type="spellStart"/>
      <w:r w:rsidRPr="00A472FC">
        <w:rPr>
          <w:rFonts w:ascii="Times New Roman" w:hAnsi="Times New Roman" w:cs="Times New Roman"/>
          <w:iCs/>
          <w:u w:val="single"/>
        </w:rPr>
        <w:t>Augustinianism</w:t>
      </w:r>
      <w:proofErr w:type="spellEnd"/>
      <w:r w:rsidRPr="00A472FC">
        <w:rPr>
          <w:rFonts w:ascii="Times New Roman" w:hAnsi="Times New Roman" w:cs="Times New Roman"/>
          <w:iCs/>
          <w:u w:val="single"/>
        </w:rPr>
        <w:t>’</w:t>
      </w:r>
    </w:p>
    <w:p w14:paraId="236E3BD5" w14:textId="77777777" w:rsidR="00E212D3" w:rsidRPr="00A472FC" w:rsidRDefault="00E212D3" w:rsidP="00E212D3">
      <w:pPr>
        <w:ind w:right="-52"/>
        <w:rPr>
          <w:rFonts w:ascii="Times New Roman" w:hAnsi="Times New Roman" w:cs="Times New Roman"/>
        </w:rPr>
      </w:pPr>
    </w:p>
    <w:p w14:paraId="56FA2143" w14:textId="183C22EA" w:rsidR="00E212D3" w:rsidRPr="00A472FC" w:rsidRDefault="00CB1D51" w:rsidP="00E212D3">
      <w:pPr>
        <w:ind w:right="-52" w:firstLine="720"/>
        <w:rPr>
          <w:rFonts w:ascii="Times New Roman" w:eastAsia="Times New Roman" w:hAnsi="Times New Roman" w:cs="Times New Roman"/>
          <w:color w:val="000000" w:themeColor="text1"/>
          <w:lang w:eastAsia="en-GB"/>
        </w:rPr>
      </w:pPr>
      <w:r w:rsidRPr="00A472FC">
        <w:rPr>
          <w:rFonts w:ascii="Times New Roman" w:hAnsi="Times New Roman" w:cs="Times New Roman"/>
        </w:rPr>
        <w:t>This</w:t>
      </w:r>
      <w:r w:rsidR="00E212D3" w:rsidRPr="00A472FC">
        <w:rPr>
          <w:rFonts w:ascii="Times New Roman" w:hAnsi="Times New Roman" w:cs="Times New Roman"/>
        </w:rPr>
        <w:t xml:space="preserve"> conclusion calls for </w:t>
      </w:r>
      <w:r w:rsidRPr="00A472FC">
        <w:rPr>
          <w:rFonts w:ascii="Times New Roman" w:hAnsi="Times New Roman" w:cs="Times New Roman"/>
        </w:rPr>
        <w:t xml:space="preserve">reconsidering </w:t>
      </w:r>
      <w:r w:rsidR="00E212D3" w:rsidRPr="00A472FC">
        <w:rPr>
          <w:rFonts w:ascii="Times New Roman" w:hAnsi="Times New Roman" w:cs="Times New Roman"/>
        </w:rPr>
        <w:t xml:space="preserve">some strongly held opinions </w:t>
      </w:r>
      <w:r w:rsidR="00FD2098" w:rsidRPr="00A472FC">
        <w:rPr>
          <w:rFonts w:ascii="Times New Roman" w:hAnsi="Times New Roman" w:cs="Times New Roman"/>
        </w:rPr>
        <w:t xml:space="preserve">advocated </w:t>
      </w:r>
      <w:r w:rsidR="00E212D3" w:rsidRPr="00A472FC">
        <w:rPr>
          <w:rFonts w:ascii="Times New Roman" w:hAnsi="Times New Roman" w:cs="Times New Roman"/>
        </w:rPr>
        <w:t xml:space="preserve">in the scholarly literature on early Franciscan </w:t>
      </w:r>
      <w:r w:rsidR="00181019" w:rsidRPr="00A472FC">
        <w:rPr>
          <w:rFonts w:ascii="Times New Roman" w:hAnsi="Times New Roman" w:cs="Times New Roman"/>
        </w:rPr>
        <w:t>thought</w:t>
      </w:r>
      <w:r w:rsidR="00E212D3" w:rsidRPr="00A472FC">
        <w:rPr>
          <w:rFonts w:ascii="Times New Roman" w:hAnsi="Times New Roman" w:cs="Times New Roman"/>
        </w:rPr>
        <w:t>, according to which this tradition represents little but an unsophisticated attempt to systematise the tradition of Augustine. In a</w:t>
      </w:r>
      <w:r w:rsidR="00F56803">
        <w:rPr>
          <w:rFonts w:ascii="Times New Roman" w:hAnsi="Times New Roman" w:cs="Times New Roman"/>
        </w:rPr>
        <w:t xml:space="preserve">n </w:t>
      </w:r>
      <w:r w:rsidR="00E212D3" w:rsidRPr="00A472FC">
        <w:rPr>
          <w:rFonts w:ascii="Times New Roman" w:hAnsi="Times New Roman" w:cs="Times New Roman"/>
        </w:rPr>
        <w:t>article</w:t>
      </w:r>
      <w:r w:rsidR="00181019" w:rsidRPr="00A472FC">
        <w:rPr>
          <w:rFonts w:ascii="Times New Roman" w:hAnsi="Times New Roman" w:cs="Times New Roman"/>
        </w:rPr>
        <w:t xml:space="preserve"> </w:t>
      </w:r>
      <w:r w:rsidR="00F56803">
        <w:rPr>
          <w:rFonts w:ascii="Times New Roman" w:hAnsi="Times New Roman" w:cs="Times New Roman"/>
        </w:rPr>
        <w:t>devoted to</w:t>
      </w:r>
      <w:r w:rsidR="00181019" w:rsidRPr="00A472FC">
        <w:rPr>
          <w:rFonts w:ascii="Times New Roman" w:hAnsi="Times New Roman" w:cs="Times New Roman"/>
        </w:rPr>
        <w:t xml:space="preserve"> the theory of </w:t>
      </w:r>
      <w:r w:rsidR="007C3F9A" w:rsidRPr="00A472FC">
        <w:rPr>
          <w:rFonts w:ascii="Times New Roman" w:hAnsi="Times New Roman" w:cs="Times New Roman"/>
        </w:rPr>
        <w:t xml:space="preserve">the agent </w:t>
      </w:r>
      <w:r w:rsidR="00181019" w:rsidRPr="00A472FC">
        <w:rPr>
          <w:rFonts w:ascii="Times New Roman" w:hAnsi="Times New Roman" w:cs="Times New Roman"/>
        </w:rPr>
        <w:t>intellect</w:t>
      </w:r>
      <w:r w:rsidR="00E212D3" w:rsidRPr="00A472FC">
        <w:rPr>
          <w:rFonts w:ascii="Times New Roman" w:hAnsi="Times New Roman" w:cs="Times New Roman"/>
        </w:rPr>
        <w:t xml:space="preserve">, for example, Leonard Bowman completely ignores the </w:t>
      </w:r>
      <w:r w:rsidR="00E212D3" w:rsidRPr="00A472FC">
        <w:rPr>
          <w:rFonts w:ascii="Times New Roman" w:eastAsia="Times New Roman" w:hAnsi="Times New Roman" w:cs="Times New Roman"/>
          <w:color w:val="000000" w:themeColor="text1"/>
          <w:lang w:eastAsia="en-GB"/>
        </w:rPr>
        <w:t xml:space="preserve">pseudo-Augustinian and </w:t>
      </w:r>
      <w:proofErr w:type="spellStart"/>
      <w:r w:rsidR="00E212D3" w:rsidRPr="00A472FC">
        <w:rPr>
          <w:rFonts w:ascii="Times New Roman" w:eastAsia="Times New Roman" w:hAnsi="Times New Roman" w:cs="Times New Roman"/>
          <w:color w:val="000000" w:themeColor="text1"/>
          <w:lang w:eastAsia="en-GB"/>
        </w:rPr>
        <w:t>Avicennian</w:t>
      </w:r>
      <w:proofErr w:type="spellEnd"/>
      <w:r w:rsidR="00E212D3" w:rsidRPr="00A472FC">
        <w:rPr>
          <w:rFonts w:ascii="Times New Roman" w:eastAsia="Times New Roman" w:hAnsi="Times New Roman" w:cs="Times New Roman"/>
          <w:color w:val="000000" w:themeColor="text1"/>
          <w:lang w:eastAsia="en-GB"/>
        </w:rPr>
        <w:t xml:space="preserve"> sources of th</w:t>
      </w:r>
      <w:r w:rsidR="007C3F9A" w:rsidRPr="00A472FC">
        <w:rPr>
          <w:rFonts w:ascii="Times New Roman" w:eastAsia="Times New Roman" w:hAnsi="Times New Roman" w:cs="Times New Roman"/>
          <w:color w:val="000000" w:themeColor="text1"/>
          <w:lang w:eastAsia="en-GB"/>
        </w:rPr>
        <w:t>is</w:t>
      </w:r>
      <w:r w:rsidR="00E212D3" w:rsidRPr="00A472FC">
        <w:rPr>
          <w:rFonts w:ascii="Times New Roman" w:eastAsia="Times New Roman" w:hAnsi="Times New Roman" w:cs="Times New Roman"/>
          <w:color w:val="000000" w:themeColor="text1"/>
          <w:lang w:eastAsia="en-GB"/>
        </w:rPr>
        <w:t xml:space="preserve"> doctrine in John and the DAR, which he implausibly ascribes to Augustine, even though the texts themselves attribute the </w:t>
      </w:r>
      <w:r w:rsidR="007C3F9A" w:rsidRPr="00A472FC">
        <w:rPr>
          <w:rFonts w:ascii="Times New Roman" w:eastAsia="Times New Roman" w:hAnsi="Times New Roman" w:cs="Times New Roman"/>
          <w:color w:val="000000" w:themeColor="text1"/>
          <w:lang w:eastAsia="en-GB"/>
        </w:rPr>
        <w:t xml:space="preserve">Franciscan </w:t>
      </w:r>
      <w:r w:rsidR="00E212D3" w:rsidRPr="00A472FC">
        <w:rPr>
          <w:rFonts w:ascii="Times New Roman" w:eastAsia="Times New Roman" w:hAnsi="Times New Roman" w:cs="Times New Roman"/>
          <w:color w:val="000000" w:themeColor="text1"/>
          <w:lang w:eastAsia="en-GB"/>
        </w:rPr>
        <w:t>view to Avicenna and to Aristotle, respectively, and even though neither Augustine nor pseudo-Augustine ever spoke of the possible or agent intellects.</w:t>
      </w:r>
      <w:r w:rsidR="00E212D3" w:rsidRPr="00A472FC">
        <w:rPr>
          <w:rStyle w:val="FootnoteReference"/>
          <w:rFonts w:ascii="Times New Roman" w:eastAsia="Times New Roman" w:hAnsi="Times New Roman" w:cs="Times New Roman"/>
          <w:color w:val="000000" w:themeColor="text1"/>
          <w:lang w:eastAsia="en-GB"/>
        </w:rPr>
        <w:footnoteReference w:id="983"/>
      </w:r>
      <w:r w:rsidR="00E212D3" w:rsidRPr="00A472FC">
        <w:rPr>
          <w:rFonts w:ascii="Times New Roman" w:eastAsia="Times New Roman" w:hAnsi="Times New Roman" w:cs="Times New Roman"/>
          <w:color w:val="000000" w:themeColor="text1"/>
          <w:lang w:eastAsia="en-GB"/>
        </w:rPr>
        <w:t xml:space="preserve"> </w:t>
      </w:r>
    </w:p>
    <w:p w14:paraId="54DADABC" w14:textId="77777777" w:rsidR="00E212D3" w:rsidRPr="00A472FC" w:rsidRDefault="00E212D3" w:rsidP="00E212D3">
      <w:pPr>
        <w:ind w:right="-52" w:firstLine="720"/>
        <w:rPr>
          <w:rFonts w:ascii="Times New Roman" w:eastAsia="Times New Roman" w:hAnsi="Times New Roman" w:cs="Times New Roman"/>
          <w:color w:val="000000" w:themeColor="text1"/>
          <w:shd w:val="clear" w:color="auto" w:fill="FFFFFF"/>
          <w:lang w:eastAsia="en-GB"/>
        </w:rPr>
      </w:pPr>
      <w:r w:rsidRPr="00A472FC">
        <w:rPr>
          <w:rFonts w:ascii="Times New Roman" w:eastAsia="Times New Roman" w:hAnsi="Times New Roman" w:cs="Times New Roman"/>
          <w:color w:val="000000" w:themeColor="text1"/>
          <w:lang w:eastAsia="en-GB"/>
        </w:rPr>
        <w:t xml:space="preserve">Likewise, Margaret Curtin attributes all the pseudo-Augustinian material in the DAR </w:t>
      </w:r>
      <w:r w:rsidRPr="00A472FC">
        <w:rPr>
          <w:rFonts w:ascii="Times New Roman" w:eastAsia="Times New Roman" w:hAnsi="Times New Roman" w:cs="Times New Roman"/>
          <w:color w:val="000000" w:themeColor="text1"/>
          <w:shd w:val="clear" w:color="auto" w:fill="FFFFFF"/>
          <w:lang w:eastAsia="en-GB"/>
        </w:rPr>
        <w:t xml:space="preserve">to Augustine himself, even though most of the quotations are obviously not authentic. Furthermore, she shows no awareness of the </w:t>
      </w:r>
      <w:proofErr w:type="spellStart"/>
      <w:r w:rsidRPr="00A472FC">
        <w:rPr>
          <w:rFonts w:ascii="Times New Roman" w:eastAsia="Times New Roman" w:hAnsi="Times New Roman" w:cs="Times New Roman"/>
          <w:color w:val="000000" w:themeColor="text1"/>
          <w:shd w:val="clear" w:color="auto" w:fill="FFFFFF"/>
          <w:lang w:eastAsia="en-GB"/>
        </w:rPr>
        <w:t>Avicennian</w:t>
      </w:r>
      <w:proofErr w:type="spellEnd"/>
      <w:r w:rsidRPr="00A472FC">
        <w:rPr>
          <w:rFonts w:ascii="Times New Roman" w:eastAsia="Times New Roman" w:hAnsi="Times New Roman" w:cs="Times New Roman"/>
          <w:color w:val="000000" w:themeColor="text1"/>
          <w:shd w:val="clear" w:color="auto" w:fill="FFFFFF"/>
          <w:lang w:eastAsia="en-GB"/>
        </w:rPr>
        <w:t xml:space="preserve"> and other philosophical sources for </w:t>
      </w:r>
      <w:r w:rsidRPr="00A472FC">
        <w:rPr>
          <w:rFonts w:ascii="Times New Roman" w:eastAsia="Times New Roman" w:hAnsi="Times New Roman" w:cs="Times New Roman"/>
          <w:color w:val="000000" w:themeColor="text1"/>
          <w:shd w:val="clear" w:color="auto" w:fill="FFFFFF"/>
          <w:lang w:eastAsia="en-GB"/>
        </w:rPr>
        <w:lastRenderedPageBreak/>
        <w:t>the reading of Aristotle that is given in this context</w:t>
      </w:r>
      <w:r w:rsidRPr="00A472FC">
        <w:rPr>
          <w:rFonts w:ascii="Times New Roman" w:hAnsi="Times New Roman" w:cs="Times New Roman"/>
        </w:rPr>
        <w:t>.</w:t>
      </w:r>
      <w:r w:rsidRPr="00A472FC">
        <w:rPr>
          <w:rStyle w:val="FootnoteReference"/>
          <w:rFonts w:ascii="Times New Roman" w:hAnsi="Times New Roman" w:cs="Times New Roman"/>
        </w:rPr>
        <w:footnoteReference w:id="984"/>
      </w:r>
      <w:r w:rsidRPr="00A472FC">
        <w:rPr>
          <w:rFonts w:ascii="Times New Roman" w:hAnsi="Times New Roman" w:cs="Times New Roman"/>
        </w:rPr>
        <w:t xml:space="preserve"> </w:t>
      </w:r>
      <w:r w:rsidRPr="00A472FC">
        <w:rPr>
          <w:rFonts w:ascii="Times New Roman" w:eastAsia="Times New Roman" w:hAnsi="Times New Roman" w:cs="Times New Roman"/>
          <w:color w:val="000000" w:themeColor="text1"/>
          <w:shd w:val="clear" w:color="auto" w:fill="FFFFFF"/>
          <w:lang w:eastAsia="en-GB"/>
        </w:rPr>
        <w:t xml:space="preserve">After offering a summary of the divisions of Augustine, Damascus, and Aristotle in the </w:t>
      </w:r>
      <w:r w:rsidRPr="00A472FC">
        <w:rPr>
          <w:rFonts w:ascii="Times New Roman" w:eastAsia="Times New Roman" w:hAnsi="Times New Roman" w:cs="Times New Roman"/>
          <w:i/>
          <w:color w:val="000000" w:themeColor="text1"/>
          <w:shd w:val="clear" w:color="auto" w:fill="FFFFFF"/>
          <w:lang w:eastAsia="en-GB"/>
        </w:rPr>
        <w:t xml:space="preserve">Summa </w:t>
      </w:r>
      <w:proofErr w:type="spellStart"/>
      <w:r w:rsidRPr="00A472FC">
        <w:rPr>
          <w:rFonts w:ascii="Times New Roman" w:eastAsia="Times New Roman" w:hAnsi="Times New Roman" w:cs="Times New Roman"/>
          <w:i/>
          <w:color w:val="000000" w:themeColor="text1"/>
          <w:shd w:val="clear" w:color="auto" w:fill="FFFFFF"/>
          <w:lang w:eastAsia="en-GB"/>
        </w:rPr>
        <w:t>Halensis</w:t>
      </w:r>
      <w:proofErr w:type="spellEnd"/>
      <w:r w:rsidRPr="00A472FC">
        <w:rPr>
          <w:rFonts w:ascii="Times New Roman" w:eastAsia="Times New Roman" w:hAnsi="Times New Roman" w:cs="Times New Roman"/>
          <w:color w:val="000000" w:themeColor="text1"/>
          <w:shd w:val="clear" w:color="auto" w:fill="FFFFFF"/>
          <w:lang w:eastAsia="en-GB"/>
        </w:rPr>
        <w:t>, moreover, she argues they are not reducible to one another, even though the whole point of this section is to show that they can in fact be integrated.</w:t>
      </w:r>
      <w:r w:rsidRPr="00A472FC">
        <w:rPr>
          <w:rStyle w:val="FootnoteReference"/>
          <w:rFonts w:ascii="Times New Roman" w:eastAsia="Times New Roman" w:hAnsi="Times New Roman" w:cs="Times New Roman"/>
          <w:color w:val="000000" w:themeColor="text1"/>
          <w:shd w:val="clear" w:color="auto" w:fill="FFFFFF"/>
          <w:lang w:eastAsia="en-GB"/>
        </w:rPr>
        <w:footnoteReference w:id="985"/>
      </w:r>
      <w:r w:rsidRPr="00A472FC">
        <w:rPr>
          <w:rFonts w:ascii="Times New Roman" w:eastAsia="Times New Roman" w:hAnsi="Times New Roman" w:cs="Times New Roman"/>
          <w:color w:val="000000" w:themeColor="text1"/>
          <w:shd w:val="clear" w:color="auto" w:fill="FFFFFF"/>
          <w:lang w:eastAsia="en-GB"/>
        </w:rPr>
        <w:tab/>
      </w:r>
    </w:p>
    <w:p w14:paraId="6B063E81" w14:textId="4066BE96" w:rsidR="00E212D3" w:rsidRPr="00A472FC" w:rsidRDefault="00E212D3" w:rsidP="00E212D3">
      <w:pPr>
        <w:ind w:right="-52" w:firstLine="720"/>
        <w:rPr>
          <w:rFonts w:ascii="Times New Roman" w:hAnsi="Times New Roman" w:cs="Times New Roman"/>
        </w:rPr>
      </w:pPr>
      <w:r w:rsidRPr="00A472FC">
        <w:rPr>
          <w:rFonts w:ascii="Times New Roman" w:eastAsia="Times New Roman" w:hAnsi="Times New Roman" w:cs="Times New Roman"/>
          <w:color w:val="000000" w:themeColor="text1"/>
          <w:shd w:val="clear" w:color="auto" w:fill="FFFFFF"/>
          <w:lang w:eastAsia="en-GB"/>
        </w:rPr>
        <w:t xml:space="preserve">The German scholars Otto </w:t>
      </w:r>
      <w:proofErr w:type="spellStart"/>
      <w:r w:rsidRPr="00A472FC">
        <w:rPr>
          <w:rFonts w:ascii="Times New Roman" w:eastAsia="Times New Roman" w:hAnsi="Times New Roman" w:cs="Times New Roman"/>
          <w:color w:val="000000" w:themeColor="text1"/>
          <w:shd w:val="clear" w:color="auto" w:fill="FFFFFF"/>
          <w:lang w:eastAsia="en-GB"/>
        </w:rPr>
        <w:t>Keicher</w:t>
      </w:r>
      <w:proofErr w:type="spellEnd"/>
      <w:r w:rsidRPr="00A472FC">
        <w:rPr>
          <w:rFonts w:ascii="Times New Roman" w:eastAsia="Times New Roman" w:hAnsi="Times New Roman" w:cs="Times New Roman"/>
          <w:color w:val="000000" w:themeColor="text1"/>
          <w:shd w:val="clear" w:color="auto" w:fill="FFFFFF"/>
          <w:lang w:eastAsia="en-GB"/>
        </w:rPr>
        <w:t xml:space="preserve"> and Paul </w:t>
      </w:r>
      <w:proofErr w:type="spellStart"/>
      <w:r w:rsidRPr="00A472FC">
        <w:rPr>
          <w:rFonts w:ascii="Times New Roman" w:eastAsia="Times New Roman" w:hAnsi="Times New Roman" w:cs="Times New Roman"/>
          <w:color w:val="000000" w:themeColor="text1"/>
          <w:shd w:val="clear" w:color="auto" w:fill="FFFFFF"/>
          <w:lang w:eastAsia="en-GB"/>
        </w:rPr>
        <w:t>Wilpert</w:t>
      </w:r>
      <w:proofErr w:type="spellEnd"/>
      <w:r w:rsidRPr="00A472FC">
        <w:rPr>
          <w:rFonts w:ascii="Times New Roman" w:eastAsia="Times New Roman" w:hAnsi="Times New Roman" w:cs="Times New Roman"/>
          <w:color w:val="000000" w:themeColor="text1"/>
          <w:shd w:val="clear" w:color="auto" w:fill="FFFFFF"/>
          <w:lang w:eastAsia="en-GB"/>
        </w:rPr>
        <w:t xml:space="preserve">, who wrote in the early twentieth century, are more sensitive to the </w:t>
      </w:r>
      <w:r w:rsidRPr="00A472FC">
        <w:rPr>
          <w:rFonts w:ascii="Times New Roman" w:hAnsi="Times New Roman" w:cs="Times New Roman"/>
        </w:rPr>
        <w:t>influence that Arab thinkers had on the Latin reception of Aristotle, as well as Augustine.</w:t>
      </w:r>
      <w:r w:rsidRPr="00A472FC">
        <w:rPr>
          <w:rStyle w:val="FootnoteReference"/>
          <w:rFonts w:ascii="Times New Roman" w:hAnsi="Times New Roman" w:cs="Times New Roman"/>
        </w:rPr>
        <w:footnoteReference w:id="986"/>
      </w:r>
      <w:r w:rsidRPr="00A472FC">
        <w:rPr>
          <w:rFonts w:ascii="Times New Roman" w:hAnsi="Times New Roman" w:cs="Times New Roman"/>
        </w:rPr>
        <w:t xml:space="preserve"> In particular, they </w:t>
      </w:r>
      <w:proofErr w:type="spellStart"/>
      <w:r w:rsidRPr="00A472FC">
        <w:rPr>
          <w:rFonts w:ascii="Times New Roman" w:hAnsi="Times New Roman" w:cs="Times New Roman"/>
        </w:rPr>
        <w:t>recogni</w:t>
      </w:r>
      <w:r w:rsidR="00AF09D2">
        <w:rPr>
          <w:rFonts w:ascii="Times New Roman" w:hAnsi="Times New Roman" w:cs="Times New Roman"/>
        </w:rPr>
        <w:t>zed</w:t>
      </w:r>
      <w:proofErr w:type="spellEnd"/>
      <w:r w:rsidRPr="00A472FC">
        <w:rPr>
          <w:rFonts w:ascii="Times New Roman" w:hAnsi="Times New Roman" w:cs="Times New Roman"/>
        </w:rPr>
        <w:t xml:space="preserve"> that Avicenna’s </w:t>
      </w:r>
      <w:proofErr w:type="spellStart"/>
      <w:r w:rsidRPr="00A472FC">
        <w:rPr>
          <w:rFonts w:ascii="Times New Roman" w:hAnsi="Times New Roman" w:cs="Times New Roman"/>
        </w:rPr>
        <w:t>Neo-Platonized</w:t>
      </w:r>
      <w:proofErr w:type="spellEnd"/>
      <w:r w:rsidRPr="00A472FC">
        <w:rPr>
          <w:rFonts w:ascii="Times New Roman" w:hAnsi="Times New Roman" w:cs="Times New Roman"/>
        </w:rPr>
        <w:t xml:space="preserve"> Aristotelianism was perceived by early Franciscans as conducive to interpreting both of these </w:t>
      </w:r>
      <w:r w:rsidR="000D1412" w:rsidRPr="00A472FC">
        <w:rPr>
          <w:rFonts w:ascii="Times New Roman" w:hAnsi="Times New Roman" w:cs="Times New Roman"/>
        </w:rPr>
        <w:t>ancient philosophical traditions</w:t>
      </w:r>
      <w:r w:rsidRPr="00A472FC">
        <w:rPr>
          <w:rFonts w:ascii="Times New Roman" w:hAnsi="Times New Roman" w:cs="Times New Roman"/>
        </w:rPr>
        <w:t xml:space="preserve">. However, their preliminary and indeed very early observations clearly do not appear to have been taken very much to heart by subsequent generations of scholars working on early Franciscan theories of the intellect. </w:t>
      </w:r>
    </w:p>
    <w:p w14:paraId="6998BD64" w14:textId="73974B48" w:rsidR="00E212D3" w:rsidRPr="00A472FC" w:rsidRDefault="00E212D3" w:rsidP="00E212D3">
      <w:pPr>
        <w:ind w:right="-52" w:firstLine="720"/>
        <w:rPr>
          <w:rFonts w:ascii="Times New Roman" w:hAnsi="Times New Roman" w:cs="Times New Roman"/>
        </w:rPr>
      </w:pPr>
      <w:r w:rsidRPr="00A472FC">
        <w:rPr>
          <w:rFonts w:ascii="Times New Roman" w:hAnsi="Times New Roman" w:cs="Times New Roman"/>
        </w:rPr>
        <w:t xml:space="preserve">In this context, the current chapter has sought to challenge the </w:t>
      </w:r>
      <w:r w:rsidRPr="00A472FC">
        <w:rPr>
          <w:rFonts w:ascii="Times New Roman" w:hAnsi="Times New Roman" w:cs="Times New Roman"/>
          <w:i/>
          <w:iCs/>
        </w:rPr>
        <w:t xml:space="preserve">status quo </w:t>
      </w:r>
      <w:r w:rsidRPr="00A472FC">
        <w:rPr>
          <w:rFonts w:ascii="Times New Roman" w:hAnsi="Times New Roman" w:cs="Times New Roman"/>
        </w:rPr>
        <w:t xml:space="preserve">and show definitively that, far from a mere reiteration of any Augustinian theory,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weaves a complicated picture in which Avicenna and other important philosophical sources are incorporated into the Christian tradition on the basis of spurious Augustinian texts and </w:t>
      </w:r>
      <w:r w:rsidR="00004BD8" w:rsidRPr="00A472FC">
        <w:rPr>
          <w:rFonts w:ascii="Times New Roman" w:hAnsi="Times New Roman" w:cs="Times New Roman"/>
        </w:rPr>
        <w:t xml:space="preserve">a rather implausible reading of </w:t>
      </w:r>
      <w:r w:rsidRPr="00A472FC">
        <w:rPr>
          <w:rFonts w:ascii="Times New Roman" w:hAnsi="Times New Roman" w:cs="Times New Roman"/>
        </w:rPr>
        <w:t>John of Damascus</w:t>
      </w:r>
      <w:r w:rsidR="00741227" w:rsidRPr="00A472FC">
        <w:rPr>
          <w:rFonts w:ascii="Times New Roman" w:hAnsi="Times New Roman" w:cs="Times New Roman"/>
        </w:rPr>
        <w:t xml:space="preserve"> not to mention pseudo-Augustine</w:t>
      </w:r>
      <w:r w:rsidRPr="00A472FC">
        <w:rPr>
          <w:rFonts w:ascii="Times New Roman" w:hAnsi="Times New Roman" w:cs="Times New Roman"/>
        </w:rPr>
        <w:t xml:space="preserve">. What it throws into relief, in summary, is that the story of Augustine’s reception in this context is far more complex than it has been made to appear, and that the early Franciscans who supposedly simply rehearsed his old arguments are actually </w:t>
      </w:r>
      <w:r w:rsidR="003D7265" w:rsidRPr="00A472FC">
        <w:rPr>
          <w:rFonts w:ascii="Times New Roman" w:hAnsi="Times New Roman" w:cs="Times New Roman"/>
        </w:rPr>
        <w:t>innovative t</w:t>
      </w:r>
      <w:r w:rsidRPr="00A472FC">
        <w:rPr>
          <w:rFonts w:ascii="Times New Roman" w:hAnsi="Times New Roman" w:cs="Times New Roman"/>
        </w:rPr>
        <w:t xml:space="preserve">hinkers </w:t>
      </w:r>
      <w:r w:rsidR="003D7265" w:rsidRPr="00A472FC">
        <w:rPr>
          <w:rFonts w:ascii="Times New Roman" w:hAnsi="Times New Roman" w:cs="Times New Roman"/>
        </w:rPr>
        <w:t>whose primary debts if any are to Avicenna.</w:t>
      </w:r>
    </w:p>
    <w:p w14:paraId="23A6A023" w14:textId="77777777" w:rsidR="00E212D3" w:rsidRPr="00A472FC" w:rsidRDefault="00E212D3" w:rsidP="00E212D3">
      <w:pPr>
        <w:ind w:right="-52"/>
        <w:rPr>
          <w:rFonts w:ascii="Times New Roman" w:hAnsi="Times New Roman" w:cs="Times New Roman"/>
        </w:rPr>
      </w:pPr>
    </w:p>
    <w:p w14:paraId="4A5A2D64" w14:textId="77777777" w:rsidR="00E212D3" w:rsidRPr="00A472FC" w:rsidRDefault="00E212D3" w:rsidP="00E212D3">
      <w:pPr>
        <w:ind w:right="-52"/>
        <w:rPr>
          <w:rFonts w:ascii="Times New Roman" w:hAnsi="Times New Roman" w:cs="Times New Roman"/>
        </w:rPr>
        <w:sectPr w:rsidR="00E212D3" w:rsidRPr="00A472FC" w:rsidSect="00983A9E">
          <w:footerReference w:type="even" r:id="rId85"/>
          <w:footerReference w:type="default" r:id="rId86"/>
          <w:footnotePr>
            <w:numRestart w:val="eachSect"/>
          </w:footnotePr>
          <w:endnotePr>
            <w:numFmt w:val="decimal"/>
          </w:endnotePr>
          <w:pgSz w:w="11900" w:h="16840"/>
          <w:pgMar w:top="1440" w:right="1440" w:bottom="1440" w:left="1440" w:header="720" w:footer="720" w:gutter="0"/>
          <w:cols w:space="720"/>
          <w:docGrid w:linePitch="360"/>
        </w:sectPr>
      </w:pPr>
    </w:p>
    <w:p w14:paraId="008C2488" w14:textId="77777777" w:rsidR="00E212D3" w:rsidRPr="00A472FC" w:rsidRDefault="00E212D3" w:rsidP="00E212D3">
      <w:pPr>
        <w:ind w:right="-52"/>
        <w:rPr>
          <w:rFonts w:ascii="Times New Roman" w:hAnsi="Times New Roman" w:cs="Times New Roman"/>
        </w:rPr>
        <w:sectPr w:rsidR="00E212D3" w:rsidRPr="00A472FC" w:rsidSect="00B90B15">
          <w:footnotePr>
            <w:numRestart w:val="eachSect"/>
          </w:footnotePr>
          <w:endnotePr>
            <w:numFmt w:val="decimal"/>
          </w:endnotePr>
          <w:type w:val="continuous"/>
          <w:pgSz w:w="11900" w:h="16840"/>
          <w:pgMar w:top="1440" w:right="1440" w:bottom="1440" w:left="1440" w:header="720" w:footer="720" w:gutter="0"/>
          <w:cols w:space="720"/>
          <w:docGrid w:linePitch="360"/>
        </w:sectPr>
      </w:pPr>
    </w:p>
    <w:p w14:paraId="6CC43769" w14:textId="77777777" w:rsidR="000D3D92" w:rsidRPr="00A472FC" w:rsidRDefault="000D3D92" w:rsidP="00881604">
      <w:pPr>
        <w:ind w:right="-52"/>
        <w:rPr>
          <w:rFonts w:ascii="Times New Roman" w:hAnsi="Times New Roman" w:cs="Times New Roman"/>
          <w:b/>
        </w:rPr>
      </w:pPr>
      <w:r w:rsidRPr="00A472FC">
        <w:rPr>
          <w:rFonts w:ascii="Times New Roman" w:hAnsi="Times New Roman" w:cs="Times New Roman"/>
          <w:b/>
        </w:rPr>
        <w:lastRenderedPageBreak/>
        <w:t>9. The Motive Powers</w:t>
      </w:r>
    </w:p>
    <w:p w14:paraId="3E8EAE81" w14:textId="77777777" w:rsidR="000D3D92" w:rsidRPr="00A472FC" w:rsidRDefault="000D3D92" w:rsidP="00881604">
      <w:pPr>
        <w:ind w:right="-52"/>
        <w:rPr>
          <w:rFonts w:ascii="Times New Roman" w:hAnsi="Times New Roman" w:cs="Times New Roman"/>
        </w:rPr>
      </w:pPr>
    </w:p>
    <w:p w14:paraId="32F373D5" w14:textId="77777777" w:rsidR="00F32D93" w:rsidRPr="00A472FC" w:rsidRDefault="000D3D92" w:rsidP="007C2AB1">
      <w:pPr>
        <w:ind w:right="-52" w:firstLine="720"/>
        <w:rPr>
          <w:rFonts w:ascii="Times New Roman" w:hAnsi="Times New Roman" w:cs="Times New Roman"/>
        </w:rPr>
      </w:pPr>
      <w:r w:rsidRPr="00A472FC">
        <w:rPr>
          <w:rFonts w:ascii="Times New Roman" w:hAnsi="Times New Roman" w:cs="Times New Roman"/>
        </w:rPr>
        <w:t>While the cognitive powers we have been discussing so far are ordered towards the knowledge of the truth, the motive powers, as John of La Rochelle understands them, are ordered towards the good</w:t>
      </w:r>
      <w:r w:rsidR="00536676" w:rsidRPr="00A472FC">
        <w:rPr>
          <w:rFonts w:ascii="Times New Roman" w:hAnsi="Times New Roman" w:cs="Times New Roman"/>
        </w:rPr>
        <w:t xml:space="preserve">. At an initial level, they help to register what is </w:t>
      </w:r>
      <w:r w:rsidR="00266D28" w:rsidRPr="00A472FC">
        <w:rPr>
          <w:rFonts w:ascii="Times New Roman" w:hAnsi="Times New Roman" w:cs="Times New Roman"/>
        </w:rPr>
        <w:t>helpful or harmful</w:t>
      </w:r>
      <w:r w:rsidR="00127AE0" w:rsidRPr="00A472FC">
        <w:rPr>
          <w:rFonts w:ascii="Times New Roman" w:hAnsi="Times New Roman" w:cs="Times New Roman"/>
        </w:rPr>
        <w:t>,</w:t>
      </w:r>
      <w:r w:rsidR="00266D28" w:rsidRPr="00A472FC">
        <w:rPr>
          <w:rFonts w:ascii="Times New Roman" w:hAnsi="Times New Roman" w:cs="Times New Roman"/>
        </w:rPr>
        <w:t xml:space="preserve"> </w:t>
      </w:r>
      <w:r w:rsidR="00536676" w:rsidRPr="00A472FC">
        <w:rPr>
          <w:rFonts w:ascii="Times New Roman" w:hAnsi="Times New Roman" w:cs="Times New Roman"/>
        </w:rPr>
        <w:t xml:space="preserve">good or evil in sensory things and ultimately therefore provide a basis for </w:t>
      </w:r>
      <w:r w:rsidRPr="00A472FC">
        <w:rPr>
          <w:rFonts w:ascii="Times New Roman" w:hAnsi="Times New Roman" w:cs="Times New Roman"/>
        </w:rPr>
        <w:t xml:space="preserve">making choices about how to deal with </w:t>
      </w:r>
      <w:r w:rsidR="00F93A6D" w:rsidRPr="00A472FC">
        <w:rPr>
          <w:rFonts w:ascii="Times New Roman" w:hAnsi="Times New Roman" w:cs="Times New Roman"/>
        </w:rPr>
        <w:t>ordinary circumstances</w:t>
      </w:r>
      <w:r w:rsidRPr="00A472FC">
        <w:rPr>
          <w:rFonts w:ascii="Times New Roman" w:hAnsi="Times New Roman" w:cs="Times New Roman"/>
        </w:rPr>
        <w:t xml:space="preserve">. </w:t>
      </w:r>
      <w:r w:rsidR="00724FDC" w:rsidRPr="00A472FC">
        <w:rPr>
          <w:rFonts w:ascii="Times New Roman" w:hAnsi="Times New Roman" w:cs="Times New Roman"/>
        </w:rPr>
        <w:t>Whereas the present</w:t>
      </w:r>
      <w:r w:rsidR="00B74D18" w:rsidRPr="00A472FC">
        <w:rPr>
          <w:rFonts w:ascii="Times New Roman" w:hAnsi="Times New Roman" w:cs="Times New Roman"/>
        </w:rPr>
        <w:t xml:space="preserve"> chapter is concerned with the motive powers</w:t>
      </w:r>
      <w:r w:rsidR="0061227A" w:rsidRPr="00A472FC">
        <w:rPr>
          <w:rFonts w:ascii="Times New Roman" w:hAnsi="Times New Roman" w:cs="Times New Roman"/>
        </w:rPr>
        <w:t>—or so-called passions—</w:t>
      </w:r>
      <w:r w:rsidR="00B74D18" w:rsidRPr="00A472FC">
        <w:rPr>
          <w:rFonts w:ascii="Times New Roman" w:hAnsi="Times New Roman" w:cs="Times New Roman"/>
        </w:rPr>
        <w:t>that perform the former function, the next chapter will be concerned with the lat</w:t>
      </w:r>
      <w:r w:rsidR="009F35CD" w:rsidRPr="00A472FC">
        <w:rPr>
          <w:rFonts w:ascii="Times New Roman" w:hAnsi="Times New Roman" w:cs="Times New Roman"/>
        </w:rPr>
        <w:t>t</w:t>
      </w:r>
      <w:r w:rsidR="00B74D18" w:rsidRPr="00A472FC">
        <w:rPr>
          <w:rFonts w:ascii="Times New Roman" w:hAnsi="Times New Roman" w:cs="Times New Roman"/>
        </w:rPr>
        <w:t xml:space="preserve">er, and thus the doctrine of free will. </w:t>
      </w:r>
    </w:p>
    <w:p w14:paraId="7BB4B6C8" w14:textId="25ABC751" w:rsidR="007C2AB1" w:rsidRPr="00A472FC" w:rsidRDefault="000D3D92" w:rsidP="00F32D93">
      <w:pPr>
        <w:ind w:right="-52" w:firstLine="720"/>
        <w:rPr>
          <w:rFonts w:ascii="Times New Roman" w:hAnsi="Times New Roman" w:cs="Times New Roman"/>
        </w:rPr>
      </w:pPr>
      <w:r w:rsidRPr="00A472FC">
        <w:rPr>
          <w:rFonts w:ascii="Times New Roman" w:hAnsi="Times New Roman" w:cs="Times New Roman"/>
        </w:rPr>
        <w:t xml:space="preserve">The order in which John presents the motive powers in his two works, the </w:t>
      </w:r>
      <w:proofErr w:type="spellStart"/>
      <w:r w:rsidR="00040053" w:rsidRPr="00A472FC">
        <w:rPr>
          <w:rFonts w:ascii="Times New Roman" w:hAnsi="Times New Roman" w:cs="Times New Roman"/>
          <w:i/>
        </w:rPr>
        <w:t>Tractatus</w:t>
      </w:r>
      <w:proofErr w:type="spellEnd"/>
      <w:r w:rsidRPr="00A472FC">
        <w:rPr>
          <w:rFonts w:ascii="Times New Roman" w:hAnsi="Times New Roman" w:cs="Times New Roman"/>
        </w:rPr>
        <w:t xml:space="preserve"> and </w:t>
      </w:r>
      <w:r w:rsidRPr="00A472FC">
        <w:rPr>
          <w:rFonts w:ascii="Times New Roman" w:hAnsi="Times New Roman" w:cs="Times New Roman"/>
          <w:i/>
        </w:rPr>
        <w:t>Summa de anima</w:t>
      </w:r>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mirrors the order in which he presents the cognitive powers. The </w:t>
      </w:r>
      <w:proofErr w:type="spellStart"/>
      <w:r w:rsidR="00040053" w:rsidRPr="00A472FC">
        <w:rPr>
          <w:rFonts w:ascii="Times New Roman" w:hAnsi="Times New Roman" w:cs="Times New Roman"/>
          <w:i/>
        </w:rPr>
        <w:t>Tractatus</w:t>
      </w:r>
      <w:proofErr w:type="spellEnd"/>
      <w:r w:rsidRPr="00A472FC">
        <w:rPr>
          <w:rFonts w:ascii="Times New Roman" w:hAnsi="Times New Roman" w:cs="Times New Roman"/>
        </w:rPr>
        <w:t xml:space="preserve"> first treats the account of the motive powers in the philosophers, especially Avicenna, then Damascus and pseudo-Augustine. </w:t>
      </w:r>
      <w:r w:rsidR="00B62B2B" w:rsidRPr="00A472FC">
        <w:rPr>
          <w:rFonts w:ascii="Times New Roman" w:hAnsi="Times New Roman" w:cs="Times New Roman"/>
        </w:rPr>
        <w:t xml:space="preserve">Although John in this context only makes reference to Aristotle’s </w:t>
      </w:r>
      <w:r w:rsidR="00B62B2B" w:rsidRPr="00A472FC">
        <w:rPr>
          <w:rFonts w:ascii="Times New Roman" w:hAnsi="Times New Roman" w:cs="Times New Roman"/>
          <w:i/>
          <w:iCs/>
        </w:rPr>
        <w:t xml:space="preserve">Ethics </w:t>
      </w:r>
      <w:r w:rsidR="00B62B2B" w:rsidRPr="00A472FC">
        <w:rPr>
          <w:rFonts w:ascii="Times New Roman" w:hAnsi="Times New Roman" w:cs="Times New Roman"/>
        </w:rPr>
        <w:t xml:space="preserve">books I-III, which were </w:t>
      </w:r>
      <w:r w:rsidR="000D76FB" w:rsidRPr="00A472FC">
        <w:rPr>
          <w:rFonts w:ascii="Times New Roman" w:hAnsi="Times New Roman" w:cs="Times New Roman"/>
        </w:rPr>
        <w:t xml:space="preserve">likely </w:t>
      </w:r>
      <w:r w:rsidR="00B62B2B" w:rsidRPr="00A472FC">
        <w:rPr>
          <w:rFonts w:ascii="Times New Roman" w:hAnsi="Times New Roman" w:cs="Times New Roman"/>
        </w:rPr>
        <w:t xml:space="preserve">the only </w:t>
      </w:r>
      <w:r w:rsidR="000D76FB" w:rsidRPr="00A472FC">
        <w:rPr>
          <w:rFonts w:ascii="Times New Roman" w:hAnsi="Times New Roman" w:cs="Times New Roman"/>
        </w:rPr>
        <w:t>sections</w:t>
      </w:r>
      <w:r w:rsidR="00B62B2B" w:rsidRPr="00A472FC">
        <w:rPr>
          <w:rFonts w:ascii="Times New Roman" w:hAnsi="Times New Roman" w:cs="Times New Roman"/>
        </w:rPr>
        <w:t xml:space="preserve"> available to him at the time, </w:t>
      </w:r>
      <w:r w:rsidR="004B4776" w:rsidRPr="00A472FC">
        <w:rPr>
          <w:rFonts w:ascii="Times New Roman" w:hAnsi="Times New Roman" w:cs="Times New Roman"/>
        </w:rPr>
        <w:t xml:space="preserve">he is part of a generation that was dominated by the reception of the Damascene in the field of ethics </w:t>
      </w:r>
      <w:r w:rsidR="00842F5E">
        <w:rPr>
          <w:rFonts w:ascii="Times New Roman" w:hAnsi="Times New Roman" w:cs="Times New Roman"/>
        </w:rPr>
        <w:t xml:space="preserve">more </w:t>
      </w:r>
      <w:r w:rsidR="004B4776" w:rsidRPr="00A472FC">
        <w:rPr>
          <w:rFonts w:ascii="Times New Roman" w:hAnsi="Times New Roman" w:cs="Times New Roman"/>
        </w:rPr>
        <w:t xml:space="preserve">than Aristotle, whose ethics became prominent only with Aquinas and his generation. </w:t>
      </w:r>
      <w:r w:rsidR="00F32D93" w:rsidRPr="00A472FC">
        <w:rPr>
          <w:rFonts w:ascii="Times New Roman" w:hAnsi="Times New Roman" w:cs="Times New Roman"/>
        </w:rPr>
        <w:t xml:space="preserve">Thus, the SDA focuses on the same authorities as the </w:t>
      </w:r>
      <w:proofErr w:type="spellStart"/>
      <w:r w:rsidR="00F32D93" w:rsidRPr="00A472FC">
        <w:rPr>
          <w:rFonts w:ascii="Times New Roman" w:hAnsi="Times New Roman" w:cs="Times New Roman"/>
          <w:i/>
          <w:iCs/>
        </w:rPr>
        <w:t>Tractatus</w:t>
      </w:r>
      <w:proofErr w:type="spellEnd"/>
      <w:r w:rsidR="00F32D93" w:rsidRPr="00A472FC">
        <w:rPr>
          <w:rFonts w:ascii="Times New Roman" w:hAnsi="Times New Roman" w:cs="Times New Roman"/>
          <w:i/>
          <w:iCs/>
        </w:rPr>
        <w:t xml:space="preserve">, </w:t>
      </w:r>
      <w:r w:rsidR="00F32D93" w:rsidRPr="00A472FC">
        <w:rPr>
          <w:rFonts w:ascii="Times New Roman" w:hAnsi="Times New Roman" w:cs="Times New Roman"/>
        </w:rPr>
        <w:t xml:space="preserve">but in the following order: </w:t>
      </w:r>
      <w:r w:rsidRPr="00A472FC">
        <w:rPr>
          <w:rFonts w:ascii="Times New Roman" w:hAnsi="Times New Roman" w:cs="Times New Roman"/>
        </w:rPr>
        <w:t>pseudo-Augustine, Damascus, and Avicenna.</w:t>
      </w:r>
      <w:r w:rsidR="00B9325F" w:rsidRPr="00A472FC">
        <w:rPr>
          <w:rStyle w:val="FootnoteReference"/>
          <w:rFonts w:ascii="Times New Roman" w:hAnsi="Times New Roman" w:cs="Times New Roman"/>
        </w:rPr>
        <w:footnoteReference w:id="987"/>
      </w:r>
    </w:p>
    <w:p w14:paraId="05344787" w14:textId="51709234" w:rsidR="000D3D92" w:rsidRPr="00A472FC" w:rsidRDefault="000D3D92" w:rsidP="007C2AB1">
      <w:pPr>
        <w:ind w:right="-52" w:firstLine="720"/>
        <w:rPr>
          <w:rFonts w:ascii="Times New Roman" w:hAnsi="Times New Roman" w:cs="Times New Roman"/>
        </w:rPr>
      </w:pPr>
      <w:r w:rsidRPr="00A472FC">
        <w:rPr>
          <w:rFonts w:ascii="Times New Roman" w:hAnsi="Times New Roman" w:cs="Times New Roman"/>
        </w:rPr>
        <w:t xml:space="preserve">What ultimately emerges from the following study of </w:t>
      </w:r>
      <w:r w:rsidR="004B12E3" w:rsidRPr="00A472FC">
        <w:rPr>
          <w:rFonts w:ascii="Times New Roman" w:hAnsi="Times New Roman" w:cs="Times New Roman"/>
        </w:rPr>
        <w:t xml:space="preserve">the passions in </w:t>
      </w:r>
      <w:r w:rsidRPr="00A472FC">
        <w:rPr>
          <w:rFonts w:ascii="Times New Roman" w:hAnsi="Times New Roman" w:cs="Times New Roman"/>
        </w:rPr>
        <w:t xml:space="preserve">both texts, as well as in the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rPr>
        <w:t>, however, is that John—with some justification—regards his major authorities as basically compatible in their way of thinking about</w:t>
      </w:r>
      <w:r w:rsidR="006A0012" w:rsidRPr="00A472FC">
        <w:rPr>
          <w:rFonts w:ascii="Times New Roman" w:hAnsi="Times New Roman" w:cs="Times New Roman"/>
        </w:rPr>
        <w:t xml:space="preserve"> this topic</w:t>
      </w:r>
      <w:r w:rsidRPr="00A472FC">
        <w:rPr>
          <w:rFonts w:ascii="Times New Roman" w:hAnsi="Times New Roman" w:cs="Times New Roman"/>
        </w:rPr>
        <w:t xml:space="preserve">. Through a synthetic reading of his sources, he not only builds on a pre-existing tradition but also lays the foundation for further scholastic engagement with three main issues related to these powers: the typology of the passions, </w:t>
      </w:r>
      <w:r w:rsidR="006A0012" w:rsidRPr="00A472FC">
        <w:rPr>
          <w:rFonts w:ascii="Times New Roman" w:hAnsi="Times New Roman" w:cs="Times New Roman"/>
        </w:rPr>
        <w:t xml:space="preserve">or the motivated reactions humans have to sense objects, </w:t>
      </w:r>
      <w:r w:rsidRPr="00A472FC">
        <w:rPr>
          <w:rFonts w:ascii="Times New Roman" w:hAnsi="Times New Roman" w:cs="Times New Roman"/>
        </w:rPr>
        <w:t>the question whether they are intrinsically sinful, and their relationship to the governing powers of reason and will. These topics are treated in turn below.</w:t>
      </w:r>
    </w:p>
    <w:p w14:paraId="41A8CA4E" w14:textId="77777777" w:rsidR="000D3D92" w:rsidRPr="00A472FC" w:rsidRDefault="000D3D92" w:rsidP="00881604">
      <w:pPr>
        <w:ind w:right="-52" w:firstLine="720"/>
        <w:rPr>
          <w:rFonts w:ascii="Times New Roman" w:hAnsi="Times New Roman" w:cs="Times New Roman"/>
        </w:rPr>
      </w:pPr>
    </w:p>
    <w:p w14:paraId="0365EF04" w14:textId="77777777" w:rsidR="000D3D92" w:rsidRPr="00A472FC" w:rsidRDefault="000D3D92" w:rsidP="00881604">
      <w:pPr>
        <w:ind w:right="-52"/>
        <w:rPr>
          <w:rFonts w:ascii="Times New Roman" w:hAnsi="Times New Roman" w:cs="Times New Roman"/>
          <w:u w:val="single"/>
        </w:rPr>
      </w:pPr>
      <w:r w:rsidRPr="00A472FC">
        <w:rPr>
          <w:rFonts w:ascii="Times New Roman" w:hAnsi="Times New Roman" w:cs="Times New Roman"/>
          <w:u w:val="single"/>
        </w:rPr>
        <w:t>Typology of the Passions</w:t>
      </w:r>
    </w:p>
    <w:p w14:paraId="788F2B17" w14:textId="77777777" w:rsidR="000D3D92" w:rsidRPr="00A472FC" w:rsidRDefault="000D3D92" w:rsidP="00881604">
      <w:pPr>
        <w:ind w:right="-52"/>
        <w:rPr>
          <w:rFonts w:ascii="Times New Roman" w:hAnsi="Times New Roman" w:cs="Times New Roman"/>
        </w:rPr>
      </w:pPr>
    </w:p>
    <w:p w14:paraId="27750BDD" w14:textId="5FE8D335"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 xml:space="preserve">In both the </w:t>
      </w:r>
      <w:proofErr w:type="spellStart"/>
      <w:r w:rsidR="00040053" w:rsidRPr="00A472FC">
        <w:rPr>
          <w:rFonts w:ascii="Times New Roman" w:hAnsi="Times New Roman" w:cs="Times New Roman"/>
          <w:i/>
        </w:rPr>
        <w:t>Tractatus</w:t>
      </w:r>
      <w:proofErr w:type="spellEnd"/>
      <w:r w:rsidRPr="00A472FC">
        <w:rPr>
          <w:rFonts w:ascii="Times New Roman" w:hAnsi="Times New Roman" w:cs="Times New Roman"/>
        </w:rPr>
        <w:t xml:space="preserve"> and </w:t>
      </w:r>
      <w:r w:rsidRPr="00A472FC">
        <w:rPr>
          <w:rFonts w:ascii="Times New Roman" w:hAnsi="Times New Roman" w:cs="Times New Roman"/>
          <w:i/>
        </w:rPr>
        <w:t>Summa de anima</w:t>
      </w:r>
      <w:r w:rsidRPr="00A472FC">
        <w:rPr>
          <w:rFonts w:ascii="Times New Roman" w:hAnsi="Times New Roman" w:cs="Times New Roman"/>
        </w:rPr>
        <w:t>, John draws a fundamental distinction between natural and animal sensible motive powers. The natural ones are non-voluntary and are not therefore subject to the rule of reason. These include the vital power, which causes the heart to beat.</w:t>
      </w:r>
      <w:r w:rsidRPr="00A472FC">
        <w:rPr>
          <w:rStyle w:val="FootnoteReference"/>
          <w:rFonts w:ascii="Times New Roman" w:hAnsi="Times New Roman" w:cs="Times New Roman"/>
        </w:rPr>
        <w:footnoteReference w:id="988"/>
      </w:r>
      <w:r w:rsidRPr="00A472FC">
        <w:rPr>
          <w:rFonts w:ascii="Times New Roman" w:hAnsi="Times New Roman" w:cs="Times New Roman"/>
        </w:rPr>
        <w:t xml:space="preserve"> By contrast to the natural powers, the animal powers dispose a being to voluntary motion.</w:t>
      </w:r>
      <w:r w:rsidRPr="00A472FC">
        <w:rPr>
          <w:rStyle w:val="FootnoteReference"/>
          <w:rFonts w:ascii="Times New Roman" w:hAnsi="Times New Roman" w:cs="Times New Roman"/>
        </w:rPr>
        <w:footnoteReference w:id="989"/>
      </w:r>
      <w:r w:rsidRPr="00A472FC">
        <w:rPr>
          <w:rFonts w:ascii="Times New Roman" w:hAnsi="Times New Roman" w:cs="Times New Roman"/>
        </w:rPr>
        <w:t xml:space="preserve"> Following Avicenna—in the </w:t>
      </w:r>
      <w:r w:rsidRPr="00A472FC">
        <w:rPr>
          <w:rFonts w:ascii="Times New Roman" w:hAnsi="Times New Roman" w:cs="Times New Roman"/>
          <w:i/>
          <w:iCs/>
        </w:rPr>
        <w:t>Summa de anima</w:t>
      </w:r>
      <w:r w:rsidRPr="00A472FC">
        <w:rPr>
          <w:rFonts w:ascii="Times New Roman" w:hAnsi="Times New Roman" w:cs="Times New Roman"/>
        </w:rPr>
        <w:t xml:space="preserve">, and ‘the philosophers’ in the </w:t>
      </w:r>
      <w:proofErr w:type="spellStart"/>
      <w:r w:rsidR="00040053" w:rsidRPr="00A472FC">
        <w:rPr>
          <w:rFonts w:ascii="Times New Roman" w:hAnsi="Times New Roman" w:cs="Times New Roman"/>
          <w:i/>
        </w:rPr>
        <w:t>Tractatus</w:t>
      </w:r>
      <w:proofErr w:type="spellEnd"/>
      <w:r w:rsidRPr="00A472FC">
        <w:rPr>
          <w:rFonts w:ascii="Times New Roman" w:hAnsi="Times New Roman" w:cs="Times New Roman"/>
        </w:rPr>
        <w:t>—John insists that the animal powers turn on fantasy and estimation, because fantasy presents the appetite with an image or sensible form, and estimation attaches to it a notion of whether it is good or evil</w:t>
      </w:r>
      <w:r w:rsidR="00CC4E93" w:rsidRPr="00A472FC">
        <w:rPr>
          <w:rFonts w:ascii="Times New Roman" w:hAnsi="Times New Roman" w:cs="Times New Roman"/>
        </w:rPr>
        <w:t xml:space="preserve">, which </w:t>
      </w:r>
      <w:r w:rsidR="003D1A16" w:rsidRPr="00A472FC">
        <w:rPr>
          <w:rFonts w:ascii="Times New Roman" w:hAnsi="Times New Roman" w:cs="Times New Roman"/>
        </w:rPr>
        <w:t xml:space="preserve">in turn </w:t>
      </w:r>
      <w:r w:rsidR="00CC4E93" w:rsidRPr="00A472FC">
        <w:rPr>
          <w:rFonts w:ascii="Times New Roman" w:hAnsi="Times New Roman" w:cs="Times New Roman"/>
        </w:rPr>
        <w:t>motivates the movement of the body towards or away from an object</w:t>
      </w:r>
      <w:r w:rsidRPr="00A472FC">
        <w:rPr>
          <w:rFonts w:ascii="Times New Roman" w:hAnsi="Times New Roman" w:cs="Times New Roman"/>
        </w:rPr>
        <w:t>.</w:t>
      </w:r>
      <w:r w:rsidRPr="00A472FC">
        <w:rPr>
          <w:rStyle w:val="FootnoteReference"/>
          <w:rFonts w:ascii="Times New Roman" w:hAnsi="Times New Roman" w:cs="Times New Roman"/>
        </w:rPr>
        <w:footnoteReference w:id="990"/>
      </w:r>
      <w:r w:rsidRPr="00A472FC">
        <w:rPr>
          <w:rFonts w:ascii="Times New Roman" w:hAnsi="Times New Roman" w:cs="Times New Roman"/>
        </w:rPr>
        <w:t xml:space="preserve"> This discussion </w:t>
      </w:r>
      <w:r w:rsidR="009A52BC" w:rsidRPr="00A472FC">
        <w:rPr>
          <w:rFonts w:ascii="Times New Roman" w:hAnsi="Times New Roman" w:cs="Times New Roman"/>
        </w:rPr>
        <w:t xml:space="preserve">therefore </w:t>
      </w:r>
      <w:r w:rsidRPr="00A472FC">
        <w:rPr>
          <w:rFonts w:ascii="Times New Roman" w:hAnsi="Times New Roman" w:cs="Times New Roman"/>
        </w:rPr>
        <w:t xml:space="preserve">brings John to what Avicenna describes in terms of the irascible and </w:t>
      </w:r>
      <w:proofErr w:type="spellStart"/>
      <w:r w:rsidRPr="00A472FC">
        <w:rPr>
          <w:rFonts w:ascii="Times New Roman" w:hAnsi="Times New Roman" w:cs="Times New Roman"/>
        </w:rPr>
        <w:t>concupisicible</w:t>
      </w:r>
      <w:proofErr w:type="spellEnd"/>
      <w:r w:rsidRPr="00A472FC">
        <w:rPr>
          <w:rFonts w:ascii="Times New Roman" w:hAnsi="Times New Roman" w:cs="Times New Roman"/>
        </w:rPr>
        <w:t xml:space="preserve"> powers in </w:t>
      </w:r>
      <w:r w:rsidRPr="00A472FC">
        <w:rPr>
          <w:rFonts w:ascii="Times New Roman" w:hAnsi="Times New Roman" w:cs="Times New Roman"/>
          <w:i/>
        </w:rPr>
        <w:t>De anima</w:t>
      </w:r>
      <w:r w:rsidRPr="00A472FC">
        <w:rPr>
          <w:rFonts w:ascii="Times New Roman" w:hAnsi="Times New Roman" w:cs="Times New Roman"/>
        </w:rPr>
        <w:t xml:space="preserve"> IV.4. </w:t>
      </w:r>
    </w:p>
    <w:p w14:paraId="5054F686" w14:textId="480B2745" w:rsidR="000D3D92" w:rsidRPr="00A472FC" w:rsidRDefault="000D3D92" w:rsidP="00F06B0C">
      <w:pPr>
        <w:ind w:right="-52" w:firstLine="720"/>
        <w:rPr>
          <w:rFonts w:ascii="Times New Roman" w:hAnsi="Times New Roman" w:cs="Times New Roman"/>
        </w:rPr>
      </w:pPr>
      <w:r w:rsidRPr="00A472FC">
        <w:rPr>
          <w:rFonts w:ascii="Times New Roman" w:hAnsi="Times New Roman" w:cs="Times New Roman"/>
        </w:rPr>
        <w:lastRenderedPageBreak/>
        <w:t>These powers produce the passions which represent an ‘interior motion following on the apprehension of good or evil,’</w:t>
      </w:r>
      <w:r w:rsidRPr="00A472FC">
        <w:rPr>
          <w:rStyle w:val="FootnoteReference"/>
          <w:rFonts w:ascii="Times New Roman" w:hAnsi="Times New Roman" w:cs="Times New Roman"/>
        </w:rPr>
        <w:footnoteReference w:id="991"/>
      </w:r>
      <w:r w:rsidRPr="00A472FC">
        <w:rPr>
          <w:rFonts w:ascii="Times New Roman" w:hAnsi="Times New Roman" w:cs="Times New Roman"/>
        </w:rPr>
        <w:t xml:space="preserve"> and thereby cause the actual movement of a being</w:t>
      </w:r>
      <w:r w:rsidR="002020DB" w:rsidRPr="00A472FC">
        <w:rPr>
          <w:rFonts w:ascii="Times New Roman" w:hAnsi="Times New Roman" w:cs="Times New Roman"/>
        </w:rPr>
        <w:t xml:space="preserve"> towards or away from its </w:t>
      </w:r>
      <w:r w:rsidR="000E017E" w:rsidRPr="00A472FC">
        <w:rPr>
          <w:rFonts w:ascii="Times New Roman" w:hAnsi="Times New Roman" w:cs="Times New Roman"/>
        </w:rPr>
        <w:t>object</w:t>
      </w:r>
      <w:r w:rsidRPr="00A472FC">
        <w:rPr>
          <w:rFonts w:ascii="Times New Roman" w:hAnsi="Times New Roman" w:cs="Times New Roman"/>
        </w:rPr>
        <w:t xml:space="preserve">. While the </w:t>
      </w:r>
      <w:proofErr w:type="spellStart"/>
      <w:r w:rsidRPr="00A472FC">
        <w:rPr>
          <w:rFonts w:ascii="Times New Roman" w:hAnsi="Times New Roman" w:cs="Times New Roman"/>
        </w:rPr>
        <w:t>concupisicible</w:t>
      </w:r>
      <w:proofErr w:type="spellEnd"/>
      <w:r w:rsidRPr="00A472FC">
        <w:rPr>
          <w:rFonts w:ascii="Times New Roman" w:hAnsi="Times New Roman" w:cs="Times New Roman"/>
        </w:rPr>
        <w:t xml:space="preserve"> power is the one that moves us to acquire things that are necessary or useful for satisfying the appetite for what is good, the irascible power repels us from what is harmful or inspires us to conquer what is dangerous.</w:t>
      </w:r>
      <w:r w:rsidRPr="00A472FC">
        <w:rPr>
          <w:rStyle w:val="FootnoteReference"/>
          <w:rFonts w:ascii="Times New Roman" w:hAnsi="Times New Roman" w:cs="Times New Roman"/>
        </w:rPr>
        <w:footnoteReference w:id="992"/>
      </w:r>
      <w:r w:rsidRPr="00A472FC">
        <w:rPr>
          <w:rFonts w:ascii="Times New Roman" w:hAnsi="Times New Roman" w:cs="Times New Roman"/>
        </w:rPr>
        <w:t xml:space="preserve"> Thus, the power that is moved to and rests with the good is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and what is moved against evil and recedes from it is the irascible. That said, Damascus notes that evil can also serve as a principle of movement towards the good insofar</w:t>
      </w:r>
      <w:r w:rsidR="00F06B0C" w:rsidRPr="00A472FC">
        <w:rPr>
          <w:rFonts w:ascii="Times New Roman" w:hAnsi="Times New Roman" w:cs="Times New Roman"/>
        </w:rPr>
        <w:t xml:space="preserve"> </w:t>
      </w:r>
      <w:r w:rsidRPr="00A472FC">
        <w:rPr>
          <w:rFonts w:ascii="Times New Roman" w:hAnsi="Times New Roman" w:cs="Times New Roman"/>
        </w:rPr>
        <w:t>as it leads us to love what is excellent or proper to order.</w:t>
      </w:r>
      <w:r w:rsidRPr="00A472FC">
        <w:rPr>
          <w:rStyle w:val="FootnoteReference"/>
          <w:rFonts w:ascii="Times New Roman" w:hAnsi="Times New Roman" w:cs="Times New Roman"/>
        </w:rPr>
        <w:footnoteReference w:id="993"/>
      </w:r>
      <w:r w:rsidRPr="00A472FC">
        <w:rPr>
          <w:rFonts w:ascii="Times New Roman" w:hAnsi="Times New Roman" w:cs="Times New Roman"/>
        </w:rPr>
        <w:t xml:space="preserve"> </w:t>
      </w:r>
    </w:p>
    <w:p w14:paraId="59951141" w14:textId="77777777" w:rsidR="000408B6" w:rsidRPr="00A472FC" w:rsidRDefault="000D3D92" w:rsidP="00881604">
      <w:pPr>
        <w:ind w:right="-52" w:firstLine="720"/>
        <w:rPr>
          <w:rFonts w:ascii="Times New Roman" w:hAnsi="Times New Roman" w:cs="Times New Roman"/>
          <w:kern w:val="1"/>
          <w:lang w:val="en-US"/>
        </w:rPr>
      </w:pPr>
      <w:r w:rsidRPr="00A472FC">
        <w:rPr>
          <w:rFonts w:ascii="Times New Roman" w:hAnsi="Times New Roman" w:cs="Times New Roman"/>
        </w:rPr>
        <w:t xml:space="preserve">On this basis, John contends that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appetite concerns goods that are desirable without qualification, while the irascible appetite pertains to the arduous good that is expeditious or useful.</w:t>
      </w:r>
      <w:r w:rsidRPr="00A472FC">
        <w:rPr>
          <w:rFonts w:ascii="Times New Roman" w:hAnsi="Times New Roman" w:cs="Times New Roman"/>
          <w:vertAlign w:val="superscript"/>
        </w:rPr>
        <w:footnoteReference w:id="994"/>
      </w:r>
      <w:r w:rsidRPr="00A472FC">
        <w:rPr>
          <w:rFonts w:ascii="Times New Roman" w:hAnsi="Times New Roman" w:cs="Times New Roman"/>
        </w:rPr>
        <w:t xml:space="preserve"> An example of the former is food, and of the latter, medicine or other things needed for the health of the body. Following pseudo-Augustine and the Damascene, John states that all passions spring from these two powers.</w:t>
      </w:r>
      <w:r w:rsidRPr="00A472FC">
        <w:rPr>
          <w:rStyle w:val="FootnoteReference"/>
          <w:rFonts w:ascii="Times New Roman" w:hAnsi="Times New Roman" w:cs="Times New Roman"/>
          <w:lang w:val="en-US"/>
        </w:rPr>
        <w:footnoteReference w:id="995"/>
      </w:r>
      <w:r w:rsidRPr="00A472FC">
        <w:rPr>
          <w:rFonts w:ascii="Times New Roman" w:hAnsi="Times New Roman" w:cs="Times New Roman"/>
        </w:rPr>
        <w:t xml:space="preserve"> In this connection, he enumerates four primary </w:t>
      </w:r>
      <w:r w:rsidR="00AC570B" w:rsidRPr="00A472FC">
        <w:rPr>
          <w:rFonts w:ascii="Times New Roman" w:hAnsi="Times New Roman" w:cs="Times New Roman"/>
        </w:rPr>
        <w:t>passions</w:t>
      </w:r>
      <w:r w:rsidRPr="00A472FC">
        <w:rPr>
          <w:rFonts w:ascii="Times New Roman" w:hAnsi="Times New Roman" w:cs="Times New Roman"/>
        </w:rPr>
        <w:t xml:space="preserve"> of desire or hope (</w:t>
      </w:r>
      <w:proofErr w:type="spellStart"/>
      <w:r w:rsidRPr="00A472FC">
        <w:rPr>
          <w:rFonts w:ascii="Times New Roman" w:hAnsi="Times New Roman" w:cs="Times New Roman"/>
          <w:i/>
        </w:rPr>
        <w:t>spes</w:t>
      </w:r>
      <w:proofErr w:type="spellEnd"/>
      <w:r w:rsidRPr="00A472FC">
        <w:rPr>
          <w:rFonts w:ascii="Times New Roman" w:hAnsi="Times New Roman" w:cs="Times New Roman"/>
        </w:rPr>
        <w:t>), joy (</w:t>
      </w:r>
      <w:proofErr w:type="spellStart"/>
      <w:r w:rsidRPr="00A472FC">
        <w:rPr>
          <w:rFonts w:ascii="Times New Roman" w:hAnsi="Times New Roman" w:cs="Times New Roman"/>
          <w:i/>
        </w:rPr>
        <w:t>gaudium</w:t>
      </w:r>
      <w:proofErr w:type="spellEnd"/>
      <w:r w:rsidRPr="00A472FC">
        <w:rPr>
          <w:rFonts w:ascii="Times New Roman" w:hAnsi="Times New Roman" w:cs="Times New Roman"/>
        </w:rPr>
        <w:t>), pain (</w:t>
      </w:r>
      <w:proofErr w:type="spellStart"/>
      <w:r w:rsidRPr="00A472FC">
        <w:rPr>
          <w:rFonts w:ascii="Times New Roman" w:hAnsi="Times New Roman" w:cs="Times New Roman"/>
          <w:i/>
        </w:rPr>
        <w:t>dolor</w:t>
      </w:r>
      <w:proofErr w:type="spellEnd"/>
      <w:r w:rsidRPr="00A472FC">
        <w:rPr>
          <w:rFonts w:ascii="Times New Roman" w:hAnsi="Times New Roman" w:cs="Times New Roman"/>
        </w:rPr>
        <w:t>), and fear (</w:t>
      </w:r>
      <w:proofErr w:type="spellStart"/>
      <w:r w:rsidRPr="00A472FC">
        <w:rPr>
          <w:rFonts w:ascii="Times New Roman" w:hAnsi="Times New Roman" w:cs="Times New Roman"/>
          <w:i/>
        </w:rPr>
        <w:t>metus</w:t>
      </w:r>
      <w:proofErr w:type="spellEnd"/>
      <w:r w:rsidRPr="00A472FC">
        <w:rPr>
          <w:rFonts w:ascii="Times New Roman" w:hAnsi="Times New Roman" w:cs="Times New Roman"/>
        </w:rPr>
        <w:t xml:space="preserve">), echoing pseudo-Augustine again in affirming that the first two are the product of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and the latter two the irascible.</w:t>
      </w:r>
      <w:r w:rsidRPr="00A472FC">
        <w:rPr>
          <w:rStyle w:val="FootnoteReference"/>
          <w:rFonts w:ascii="Times New Roman" w:hAnsi="Times New Roman" w:cs="Times New Roman"/>
        </w:rPr>
        <w:footnoteReference w:id="996"/>
      </w:r>
      <w:r w:rsidRPr="00A472FC">
        <w:rPr>
          <w:rFonts w:ascii="Times New Roman" w:hAnsi="Times New Roman" w:cs="Times New Roman"/>
        </w:rPr>
        <w:t xml:space="preserve"> He further divides the passions according to whether they pertain to present or future concerns. While </w:t>
      </w:r>
      <w:r w:rsidRPr="00A472FC">
        <w:rPr>
          <w:rFonts w:ascii="Times New Roman" w:hAnsi="Times New Roman" w:cs="Times New Roman"/>
          <w:kern w:val="1"/>
          <w:lang w:val="en-US"/>
        </w:rPr>
        <w:t>joy refers to a present good and hope to a future or desired good, pain concerns a present evil and fear a future one.</w:t>
      </w:r>
      <w:r w:rsidRPr="00A472FC">
        <w:rPr>
          <w:rStyle w:val="FootnoteReference"/>
          <w:rFonts w:ascii="Times New Roman" w:hAnsi="Times New Roman" w:cs="Times New Roman"/>
          <w:kern w:val="1"/>
          <w:lang w:val="en-US"/>
        </w:rPr>
        <w:footnoteReference w:id="997"/>
      </w:r>
      <w:r w:rsidRPr="00A472FC">
        <w:rPr>
          <w:rFonts w:ascii="Times New Roman" w:hAnsi="Times New Roman" w:cs="Times New Roman"/>
          <w:kern w:val="1"/>
          <w:lang w:val="en-US"/>
        </w:rPr>
        <w:t xml:space="preserve"> </w:t>
      </w:r>
    </w:p>
    <w:p w14:paraId="31A9E5E0" w14:textId="30EB42C6" w:rsidR="000D3D92" w:rsidRPr="00A472FC" w:rsidRDefault="000D3D92" w:rsidP="000408B6">
      <w:pPr>
        <w:ind w:right="-52" w:firstLine="720"/>
        <w:rPr>
          <w:rFonts w:ascii="Times New Roman" w:hAnsi="Times New Roman" w:cs="Times New Roman"/>
        </w:rPr>
      </w:pPr>
      <w:r w:rsidRPr="00A472FC">
        <w:rPr>
          <w:rFonts w:ascii="Times New Roman" w:hAnsi="Times New Roman" w:cs="Times New Roman"/>
          <w:kern w:val="1"/>
          <w:lang w:val="en-US"/>
        </w:rPr>
        <w:t xml:space="preserve">Although he specifically invokes pseudo-Augustine as his authority in affirming this, his typology of the passions was far from unique </w:t>
      </w:r>
      <w:r w:rsidRPr="00A472FC">
        <w:rPr>
          <w:rFonts w:ascii="Times New Roman" w:hAnsi="Times New Roman" w:cs="Times New Roman"/>
        </w:rPr>
        <w:t xml:space="preserve">at the time he was writing. As a matter of fact, John built upon a long tradition of </w:t>
      </w:r>
      <w:proofErr w:type="spellStart"/>
      <w:r w:rsidRPr="00A472FC">
        <w:rPr>
          <w:rFonts w:ascii="Times New Roman" w:hAnsi="Times New Roman" w:cs="Times New Roman"/>
        </w:rPr>
        <w:t>categorizing</w:t>
      </w:r>
      <w:proofErr w:type="spellEnd"/>
      <w:r w:rsidRPr="00A472FC">
        <w:rPr>
          <w:rFonts w:ascii="Times New Roman" w:hAnsi="Times New Roman" w:cs="Times New Roman"/>
        </w:rPr>
        <w:t xml:space="preserve"> the passions that had been evolving since antiquity, specifically in the Stoic tradition. This was the initial context in which the four passions were divided according to whether they pertained to pleasures and pains in the present (joy and sadness) or in the future (desire and fear). The Stoic division can also be found in Constantine the African, who gave a ‘ps</w:t>
      </w:r>
      <w:r w:rsidR="00530E56" w:rsidRPr="00A472FC">
        <w:rPr>
          <w:rFonts w:ascii="Times New Roman" w:hAnsi="Times New Roman" w:cs="Times New Roman"/>
        </w:rPr>
        <w:t>y</w:t>
      </w:r>
      <w:r w:rsidRPr="00A472FC">
        <w:rPr>
          <w:rFonts w:ascii="Times New Roman" w:hAnsi="Times New Roman" w:cs="Times New Roman"/>
        </w:rPr>
        <w:t xml:space="preserve">cho-physical’ analysis of the passions in terms of the physical responses they involve, based on Galen’s medical philosophy, which is reiterated in </w:t>
      </w:r>
      <w:proofErr w:type="spellStart"/>
      <w:r w:rsidRPr="00A472FC">
        <w:rPr>
          <w:rFonts w:ascii="Times New Roman" w:hAnsi="Times New Roman" w:cs="Times New Roman"/>
        </w:rPr>
        <w:t>Nemesius</w:t>
      </w:r>
      <w:proofErr w:type="spellEnd"/>
      <w:r w:rsidRPr="00A472FC">
        <w:rPr>
          <w:rFonts w:ascii="Times New Roman" w:hAnsi="Times New Roman" w:cs="Times New Roman"/>
        </w:rPr>
        <w:t xml:space="preserve"> of </w:t>
      </w:r>
      <w:proofErr w:type="spellStart"/>
      <w:r w:rsidRPr="00A472FC">
        <w:rPr>
          <w:rFonts w:ascii="Times New Roman" w:hAnsi="Times New Roman" w:cs="Times New Roman"/>
        </w:rPr>
        <w:t>Emesa</w:t>
      </w:r>
      <w:proofErr w:type="spellEnd"/>
      <w:r w:rsidRPr="00A472FC">
        <w:rPr>
          <w:rFonts w:ascii="Times New Roman" w:hAnsi="Times New Roman" w:cs="Times New Roman"/>
        </w:rPr>
        <w:t xml:space="preserve"> and John of Damascus.</w:t>
      </w:r>
      <w:r w:rsidRPr="00A472FC">
        <w:rPr>
          <w:rStyle w:val="FootnoteReference"/>
          <w:rFonts w:ascii="Times New Roman" w:hAnsi="Times New Roman" w:cs="Times New Roman"/>
          <w:lang w:val="en-US"/>
        </w:rPr>
        <w:footnoteReference w:id="998"/>
      </w:r>
    </w:p>
    <w:p w14:paraId="5DE48D9A" w14:textId="6FE5494A"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 xml:space="preserve">Although these more recent precedents certainly informed John’s depiction of the passions, it was likely through Augustine as well as </w:t>
      </w:r>
      <w:proofErr w:type="spellStart"/>
      <w:r w:rsidRPr="00A472FC">
        <w:rPr>
          <w:rFonts w:ascii="Times New Roman" w:hAnsi="Times New Roman" w:cs="Times New Roman"/>
        </w:rPr>
        <w:t>Boethius</w:t>
      </w:r>
      <w:proofErr w:type="spellEnd"/>
      <w:r w:rsidRPr="00A472FC">
        <w:rPr>
          <w:rFonts w:ascii="Times New Roman" w:hAnsi="Times New Roman" w:cs="Times New Roman"/>
        </w:rPr>
        <w:t xml:space="preserve"> that the Stoic division was initially passed on to Latin thinkers, for whom it </w:t>
      </w:r>
      <w:r w:rsidR="00F06B0C" w:rsidRPr="00A472FC">
        <w:rPr>
          <w:rFonts w:ascii="Times New Roman" w:hAnsi="Times New Roman" w:cs="Times New Roman"/>
        </w:rPr>
        <w:t>became</w:t>
      </w:r>
      <w:r w:rsidRPr="00A472FC">
        <w:rPr>
          <w:rFonts w:ascii="Times New Roman" w:hAnsi="Times New Roman" w:cs="Times New Roman"/>
        </w:rPr>
        <w:t xml:space="preserve"> a staple.</w:t>
      </w:r>
      <w:r w:rsidRPr="00A472FC">
        <w:rPr>
          <w:rStyle w:val="FootnoteReference"/>
          <w:rFonts w:ascii="Times New Roman" w:hAnsi="Times New Roman" w:cs="Times New Roman"/>
        </w:rPr>
        <w:footnoteReference w:id="999"/>
      </w:r>
      <w:r w:rsidRPr="00A472FC">
        <w:rPr>
          <w:rFonts w:ascii="Times New Roman" w:hAnsi="Times New Roman" w:cs="Times New Roman"/>
        </w:rPr>
        <w:t xml:space="preserve"> In time, that four-fold division came to be combined with the idea that some of the passions are related to the good </w:t>
      </w:r>
      <w:r w:rsidRPr="00A472FC">
        <w:rPr>
          <w:rFonts w:ascii="Times New Roman" w:hAnsi="Times New Roman" w:cs="Times New Roman"/>
        </w:rPr>
        <w:lastRenderedPageBreak/>
        <w:t xml:space="preserve">and thus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power and others to evil and the irascible power. For instance, the idea that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power is ordered to the good and the irascible to evil was a common one which is also found in Avicenna</w:t>
      </w:r>
      <w:r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1000"/>
      </w:r>
      <w:r w:rsidRPr="00A472FC">
        <w:rPr>
          <w:rFonts w:ascii="Times New Roman" w:hAnsi="Times New Roman" w:cs="Times New Roman"/>
        </w:rPr>
        <w:t xml:space="preserve"> In his </w:t>
      </w:r>
      <w:r w:rsidRPr="00A472FC">
        <w:rPr>
          <w:rFonts w:ascii="Times New Roman" w:hAnsi="Times New Roman" w:cs="Times New Roman"/>
          <w:i/>
        </w:rPr>
        <w:t>Letter on the Soul</w:t>
      </w:r>
      <w:r w:rsidRPr="00A472FC">
        <w:rPr>
          <w:rFonts w:ascii="Times New Roman" w:hAnsi="Times New Roman" w:cs="Times New Roman"/>
        </w:rPr>
        <w:t>, the Cistercian</w:t>
      </w:r>
      <w:r w:rsidRPr="00A472FC">
        <w:rPr>
          <w:rFonts w:ascii="Times New Roman" w:hAnsi="Times New Roman" w:cs="Times New Roman"/>
          <w:i/>
        </w:rPr>
        <w:t xml:space="preserve"> </w:t>
      </w:r>
      <w:r w:rsidRPr="00A472FC">
        <w:rPr>
          <w:rFonts w:ascii="Times New Roman" w:hAnsi="Times New Roman" w:cs="Times New Roman"/>
        </w:rPr>
        <w:t xml:space="preserve">Isaac of Stella </w:t>
      </w:r>
      <w:proofErr w:type="spellStart"/>
      <w:r w:rsidRPr="00A472FC">
        <w:rPr>
          <w:rFonts w:ascii="Times New Roman" w:hAnsi="Times New Roman" w:cs="Times New Roman"/>
        </w:rPr>
        <w:t>summarizes</w:t>
      </w:r>
      <w:proofErr w:type="spellEnd"/>
      <w:r w:rsidRPr="00A472FC">
        <w:rPr>
          <w:rFonts w:ascii="Times New Roman" w:hAnsi="Times New Roman" w:cs="Times New Roman"/>
        </w:rPr>
        <w:t xml:space="preserve"> this way of thinking as follows:</w:t>
      </w:r>
    </w:p>
    <w:p w14:paraId="241934DF" w14:textId="77777777" w:rsidR="000D3D92" w:rsidRPr="00A472FC" w:rsidRDefault="000D3D92" w:rsidP="00881604">
      <w:pPr>
        <w:ind w:right="-52" w:firstLine="720"/>
        <w:rPr>
          <w:rFonts w:ascii="Times New Roman" w:hAnsi="Times New Roman" w:cs="Times New Roman"/>
        </w:rPr>
      </w:pPr>
    </w:p>
    <w:p w14:paraId="760E2660" w14:textId="77777777" w:rsidR="000D3D92" w:rsidRPr="00A472FC" w:rsidRDefault="000D3D92" w:rsidP="00881604">
      <w:pPr>
        <w:autoSpaceDE w:val="0"/>
        <w:autoSpaceDN w:val="0"/>
        <w:adjustRightInd w:val="0"/>
        <w:ind w:left="720" w:right="-52"/>
        <w:rPr>
          <w:rFonts w:ascii="Times New Roman" w:hAnsi="Times New Roman" w:cs="Times New Roman"/>
          <w:lang w:val="en-US"/>
        </w:rPr>
      </w:pPr>
      <w:r w:rsidRPr="00A472FC">
        <w:rPr>
          <w:rFonts w:ascii="Times New Roman" w:hAnsi="Times New Roman" w:cs="Times New Roman"/>
          <w:lang w:val="en-US"/>
        </w:rPr>
        <w:t xml:space="preserve">Affect is fourfold: as for things which we love, we either rejoice as present or hope for as future, while with respect to things which we hate, we are already plunged into distress or else are in fear of being plunged into distress. And so joy and hope arise from the </w:t>
      </w:r>
      <w:proofErr w:type="spellStart"/>
      <w:r w:rsidRPr="00A472FC">
        <w:rPr>
          <w:rFonts w:ascii="Times New Roman" w:hAnsi="Times New Roman" w:cs="Times New Roman"/>
          <w:lang w:val="en-US"/>
        </w:rPr>
        <w:t>concupiscible</w:t>
      </w:r>
      <w:proofErr w:type="spellEnd"/>
      <w:r w:rsidRPr="00A472FC">
        <w:rPr>
          <w:rFonts w:ascii="Times New Roman" w:hAnsi="Times New Roman" w:cs="Times New Roman"/>
          <w:lang w:val="en-US"/>
        </w:rPr>
        <w:t xml:space="preserve"> power, while distress and fear arise from the irascible power.</w:t>
      </w:r>
      <w:r w:rsidRPr="00A472FC">
        <w:rPr>
          <w:rStyle w:val="FootnoteReference"/>
          <w:rFonts w:ascii="Times New Roman" w:hAnsi="Times New Roman" w:cs="Times New Roman"/>
          <w:lang w:val="en-US"/>
        </w:rPr>
        <w:footnoteReference w:id="1001"/>
      </w:r>
    </w:p>
    <w:p w14:paraId="17E32923" w14:textId="77777777" w:rsidR="000D3D92" w:rsidRPr="00A472FC" w:rsidRDefault="000D3D92" w:rsidP="00881604">
      <w:pPr>
        <w:ind w:right="-52" w:firstLine="720"/>
        <w:rPr>
          <w:rFonts w:ascii="Times New Roman" w:hAnsi="Times New Roman" w:cs="Times New Roman"/>
        </w:rPr>
      </w:pPr>
    </w:p>
    <w:p w14:paraId="4BD3E79E" w14:textId="77777777" w:rsidR="00CB4320" w:rsidRPr="00A472FC" w:rsidRDefault="000D3D92" w:rsidP="00881604">
      <w:pPr>
        <w:ind w:right="-52" w:firstLine="720"/>
        <w:rPr>
          <w:rFonts w:ascii="Times New Roman" w:hAnsi="Times New Roman" w:cs="Times New Roman"/>
          <w:lang w:val="en-US"/>
        </w:rPr>
      </w:pPr>
      <w:r w:rsidRPr="00A472FC">
        <w:rPr>
          <w:rFonts w:ascii="Times New Roman" w:hAnsi="Times New Roman" w:cs="Times New Roman"/>
        </w:rPr>
        <w:t xml:space="preserve">As recent research has shown, Isaac’s </w:t>
      </w:r>
      <w:r w:rsidR="00991F2F" w:rsidRPr="00A472FC">
        <w:rPr>
          <w:rFonts w:ascii="Times New Roman" w:hAnsi="Times New Roman" w:cs="Times New Roman"/>
        </w:rPr>
        <w:t>schema</w:t>
      </w:r>
      <w:r w:rsidRPr="00A472FC">
        <w:rPr>
          <w:rFonts w:ascii="Times New Roman" w:hAnsi="Times New Roman" w:cs="Times New Roman"/>
        </w:rPr>
        <w:t xml:space="preserve"> was reiterated in some form not only in the pseudo-Augustinian </w:t>
      </w:r>
      <w:r w:rsidRPr="00A472FC">
        <w:rPr>
          <w:rFonts w:ascii="Times New Roman" w:hAnsi="Times New Roman" w:cs="Times New Roman"/>
          <w:i/>
        </w:rPr>
        <w:t xml:space="preserve">De </w:t>
      </w:r>
      <w:proofErr w:type="spellStart"/>
      <w:r w:rsidRPr="00A472FC">
        <w:rPr>
          <w:rFonts w:ascii="Times New Roman" w:hAnsi="Times New Roman" w:cs="Times New Roman"/>
          <w:i/>
        </w:rPr>
        <w:t>spiritu</w:t>
      </w:r>
      <w:proofErr w:type="spellEnd"/>
      <w:r w:rsidRPr="00A472FC">
        <w:rPr>
          <w:rFonts w:ascii="Times New Roman" w:hAnsi="Times New Roman" w:cs="Times New Roman"/>
          <w:i/>
        </w:rPr>
        <w:t xml:space="preserve"> et anima </w:t>
      </w:r>
      <w:r w:rsidRPr="00A472FC">
        <w:rPr>
          <w:rFonts w:ascii="Times New Roman" w:hAnsi="Times New Roman" w:cs="Times New Roman"/>
        </w:rPr>
        <w:t>which John cites;</w:t>
      </w:r>
      <w:r w:rsidRPr="00A472FC">
        <w:rPr>
          <w:rStyle w:val="FootnoteReference"/>
          <w:rFonts w:ascii="Times New Roman" w:hAnsi="Times New Roman" w:cs="Times New Roman"/>
        </w:rPr>
        <w:footnoteReference w:id="1002"/>
      </w:r>
      <w:r w:rsidRPr="00A472FC">
        <w:rPr>
          <w:rFonts w:ascii="Times New Roman" w:hAnsi="Times New Roman" w:cs="Times New Roman"/>
        </w:rPr>
        <w:t xml:space="preserve"> but also in John </w:t>
      </w:r>
      <w:proofErr w:type="spellStart"/>
      <w:r w:rsidRPr="00A472FC">
        <w:rPr>
          <w:rFonts w:ascii="Times New Roman" w:hAnsi="Times New Roman" w:cs="Times New Roman"/>
        </w:rPr>
        <w:t>Blund</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1003"/>
      </w:r>
      <w:r w:rsidRPr="00A472FC">
        <w:rPr>
          <w:rFonts w:ascii="Times New Roman" w:hAnsi="Times New Roman" w:cs="Times New Roman"/>
        </w:rPr>
        <w:t xml:space="preserve"> the anonymous </w:t>
      </w:r>
      <w:r w:rsidRPr="00A472FC">
        <w:rPr>
          <w:rFonts w:ascii="Times New Roman" w:hAnsi="Times New Roman" w:cs="Times New Roman"/>
          <w:i/>
        </w:rPr>
        <w:t xml:space="preserve">De anima et </w:t>
      </w:r>
      <w:proofErr w:type="spellStart"/>
      <w:r w:rsidRPr="00A472FC">
        <w:rPr>
          <w:rFonts w:ascii="Times New Roman" w:hAnsi="Times New Roman" w:cs="Times New Roman"/>
          <w:i/>
        </w:rPr>
        <w:t>potentiis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eius</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1004"/>
      </w:r>
      <w:r w:rsidRPr="00A472FC">
        <w:rPr>
          <w:rFonts w:ascii="Times New Roman" w:hAnsi="Times New Roman" w:cs="Times New Roman"/>
        </w:rPr>
        <w:t xml:space="preserve"> and </w:t>
      </w:r>
      <w:r w:rsidRPr="00A472FC">
        <w:rPr>
          <w:rFonts w:ascii="Times New Roman" w:hAnsi="Times New Roman" w:cs="Times New Roman"/>
          <w:lang w:val="en-US"/>
        </w:rPr>
        <w:t>Philip the Chancellor</w:t>
      </w:r>
      <w:r w:rsidR="00CD0512" w:rsidRPr="00A472FC">
        <w:rPr>
          <w:rFonts w:ascii="Times New Roman" w:hAnsi="Times New Roman" w:cs="Times New Roman"/>
          <w:lang w:val="en-US"/>
        </w:rPr>
        <w:t>’</w:t>
      </w:r>
      <w:r w:rsidRPr="00A472FC">
        <w:rPr>
          <w:rFonts w:ascii="Times New Roman" w:hAnsi="Times New Roman" w:cs="Times New Roman"/>
          <w:lang w:val="en-US"/>
        </w:rPr>
        <w:t xml:space="preserve">s </w:t>
      </w:r>
      <w:r w:rsidRPr="00A472FC">
        <w:rPr>
          <w:rFonts w:ascii="Times New Roman" w:hAnsi="Times New Roman" w:cs="Times New Roman"/>
          <w:i/>
          <w:lang w:val="en-US"/>
        </w:rPr>
        <w:t>Summa de bono</w:t>
      </w:r>
      <w:r w:rsidRPr="00A472FC">
        <w:rPr>
          <w:rFonts w:ascii="Times New Roman" w:hAnsi="Times New Roman" w:cs="Times New Roman"/>
          <w:lang w:val="en-US"/>
        </w:rPr>
        <w:t>.</w:t>
      </w:r>
      <w:r w:rsidRPr="00A472FC">
        <w:rPr>
          <w:rStyle w:val="FootnoteReference"/>
          <w:rFonts w:ascii="Times New Roman" w:hAnsi="Times New Roman" w:cs="Times New Roman"/>
          <w:lang w:val="en-US"/>
        </w:rPr>
        <w:footnoteReference w:id="1005"/>
      </w:r>
      <w:r w:rsidRPr="00A472FC">
        <w:rPr>
          <w:rFonts w:ascii="Times New Roman" w:hAnsi="Times New Roman" w:cs="Times New Roman"/>
        </w:rPr>
        <w:t xml:space="preserve"> </w:t>
      </w:r>
      <w:r w:rsidRPr="00A472FC">
        <w:rPr>
          <w:rFonts w:ascii="Times New Roman" w:hAnsi="Times New Roman" w:cs="Times New Roman"/>
          <w:lang w:val="en-US"/>
        </w:rPr>
        <w:t xml:space="preserve">This was one of the likely </w:t>
      </w:r>
      <w:r w:rsidR="000338E6" w:rsidRPr="00A472FC">
        <w:rPr>
          <w:rFonts w:ascii="Times New Roman" w:hAnsi="Times New Roman" w:cs="Times New Roman"/>
          <w:lang w:val="en-US"/>
        </w:rPr>
        <w:t>channels</w:t>
      </w:r>
      <w:r w:rsidRPr="00A472FC">
        <w:rPr>
          <w:rFonts w:ascii="Times New Roman" w:hAnsi="Times New Roman" w:cs="Times New Roman"/>
          <w:lang w:val="en-US"/>
        </w:rPr>
        <w:t xml:space="preserve"> by which it came to John of La Rochelle.</w:t>
      </w:r>
      <w:r w:rsidRPr="00A472FC">
        <w:rPr>
          <w:rStyle w:val="FootnoteReference"/>
          <w:rFonts w:ascii="Times New Roman" w:hAnsi="Times New Roman" w:cs="Times New Roman"/>
          <w:lang w:val="en-US"/>
        </w:rPr>
        <w:footnoteReference w:id="1006"/>
      </w:r>
      <w:r w:rsidRPr="00A472FC">
        <w:rPr>
          <w:rFonts w:ascii="Times New Roman" w:hAnsi="Times New Roman" w:cs="Times New Roman"/>
          <w:lang w:val="en-US"/>
        </w:rPr>
        <w:t xml:space="preserve"> Through John, however, this scheme took</w:t>
      </w:r>
      <w:r w:rsidRPr="00A472FC">
        <w:rPr>
          <w:rFonts w:ascii="Times New Roman" w:hAnsi="Times New Roman" w:cs="Times New Roman"/>
        </w:rPr>
        <w:t xml:space="preserve"> on a properly scientific character and achieved a level of  detail and sophistication that had not been present in any prior thinker.</w:t>
      </w:r>
      <w:r w:rsidRPr="00A472FC">
        <w:rPr>
          <w:rStyle w:val="FootnoteReference"/>
          <w:rFonts w:ascii="Times New Roman" w:hAnsi="Times New Roman" w:cs="Times New Roman"/>
        </w:rPr>
        <w:footnoteReference w:id="1007"/>
      </w:r>
      <w:r w:rsidRPr="00A472FC">
        <w:rPr>
          <w:rFonts w:ascii="Times New Roman" w:hAnsi="Times New Roman" w:cs="Times New Roman"/>
        </w:rPr>
        <w:t xml:space="preserve"> </w:t>
      </w:r>
      <w:r w:rsidRPr="00A472FC">
        <w:rPr>
          <w:rFonts w:ascii="Times New Roman" w:hAnsi="Times New Roman" w:cs="Times New Roman"/>
          <w:lang w:val="en-US"/>
        </w:rPr>
        <w:t xml:space="preserve">As Silvana </w:t>
      </w:r>
      <w:proofErr w:type="spellStart"/>
      <w:r w:rsidRPr="00A472FC">
        <w:rPr>
          <w:rFonts w:ascii="Times New Roman" w:hAnsi="Times New Roman" w:cs="Times New Roman"/>
          <w:lang w:val="en-US"/>
        </w:rPr>
        <w:t>Veccio</w:t>
      </w:r>
      <w:proofErr w:type="spellEnd"/>
      <w:r w:rsidRPr="00A472FC">
        <w:rPr>
          <w:rFonts w:ascii="Times New Roman" w:hAnsi="Times New Roman" w:cs="Times New Roman"/>
          <w:lang w:val="en-US"/>
        </w:rPr>
        <w:t xml:space="preserve"> notes, John goes beyond past precedent, albeit claiming to follow Avicenna, in delineating 15 further passions associated with the irascible power and </w:t>
      </w:r>
      <w:r w:rsidR="00DB6220" w:rsidRPr="00A472FC">
        <w:rPr>
          <w:rFonts w:ascii="Times New Roman" w:hAnsi="Times New Roman" w:cs="Times New Roman"/>
          <w:lang w:val="en-US"/>
        </w:rPr>
        <w:t>8</w:t>
      </w:r>
      <w:r w:rsidRPr="00A472FC">
        <w:rPr>
          <w:rFonts w:ascii="Times New Roman" w:hAnsi="Times New Roman" w:cs="Times New Roman"/>
          <w:lang w:val="en-US"/>
        </w:rPr>
        <w:t xml:space="preserve"> with the </w:t>
      </w:r>
      <w:proofErr w:type="spellStart"/>
      <w:r w:rsidRPr="00A472FC">
        <w:rPr>
          <w:rFonts w:ascii="Times New Roman" w:hAnsi="Times New Roman" w:cs="Times New Roman"/>
          <w:lang w:val="en-US"/>
        </w:rPr>
        <w:t>concupiscible</w:t>
      </w:r>
      <w:proofErr w:type="spellEnd"/>
      <w:r w:rsidR="00CB4320" w:rsidRPr="00A472FC">
        <w:rPr>
          <w:rFonts w:ascii="Times New Roman" w:hAnsi="Times New Roman" w:cs="Times New Roman"/>
          <w:lang w:val="en-US"/>
        </w:rPr>
        <w:t>.</w:t>
      </w:r>
      <w:r w:rsidRPr="00A472FC">
        <w:rPr>
          <w:rFonts w:ascii="Times New Roman" w:hAnsi="Times New Roman" w:cs="Times New Roman"/>
          <w:lang w:val="en-US"/>
        </w:rPr>
        <w:t xml:space="preserve"> </w:t>
      </w:r>
    </w:p>
    <w:p w14:paraId="2B38E10A" w14:textId="34E7152F" w:rsidR="000D3D92" w:rsidRPr="00A472FC" w:rsidRDefault="00FE78B2" w:rsidP="00CB4320">
      <w:pPr>
        <w:ind w:right="-52" w:firstLine="720"/>
        <w:rPr>
          <w:rFonts w:ascii="Times New Roman" w:hAnsi="Times New Roman" w:cs="Times New Roman"/>
        </w:rPr>
      </w:pPr>
      <w:r w:rsidRPr="00A472FC">
        <w:rPr>
          <w:rFonts w:ascii="Times New Roman" w:hAnsi="Times New Roman" w:cs="Times New Roman"/>
          <w:lang w:val="en-US"/>
        </w:rPr>
        <w:t>For instance</w:t>
      </w:r>
      <w:r w:rsidR="00036883">
        <w:rPr>
          <w:rFonts w:ascii="Times New Roman" w:hAnsi="Times New Roman" w:cs="Times New Roman"/>
          <w:lang w:val="en-US"/>
        </w:rPr>
        <w:t xml:space="preserve">, </w:t>
      </w:r>
      <w:r w:rsidR="000D3D92" w:rsidRPr="00A472FC">
        <w:rPr>
          <w:rFonts w:ascii="Times New Roman" w:hAnsi="Times New Roman" w:cs="Times New Roman"/>
          <w:lang w:val="en-US"/>
        </w:rPr>
        <w:t xml:space="preserve">he names </w:t>
      </w:r>
      <w:proofErr w:type="spellStart"/>
      <w:r w:rsidR="000D3D92" w:rsidRPr="00A472FC">
        <w:rPr>
          <w:rFonts w:ascii="Times New Roman" w:hAnsi="Times New Roman" w:cs="Times New Roman"/>
          <w:i/>
        </w:rPr>
        <w:t>paupertas</w:t>
      </w:r>
      <w:proofErr w:type="spellEnd"/>
      <w:r w:rsidR="000D3D92" w:rsidRPr="00A472FC">
        <w:rPr>
          <w:rFonts w:ascii="Times New Roman" w:hAnsi="Times New Roman" w:cs="Times New Roman"/>
        </w:rPr>
        <w:t xml:space="preserve"> (poverty), </w:t>
      </w:r>
      <w:proofErr w:type="spellStart"/>
      <w:r w:rsidR="000D3D92" w:rsidRPr="00A472FC">
        <w:rPr>
          <w:rFonts w:ascii="Times New Roman" w:hAnsi="Times New Roman" w:cs="Times New Roman"/>
          <w:i/>
        </w:rPr>
        <w:t>desperacio</w:t>
      </w:r>
      <w:proofErr w:type="spellEnd"/>
      <w:r w:rsidR="000D3D92" w:rsidRPr="00A472FC">
        <w:rPr>
          <w:rFonts w:ascii="Times New Roman" w:hAnsi="Times New Roman" w:cs="Times New Roman"/>
        </w:rPr>
        <w:t xml:space="preserve"> (despair), </w:t>
      </w:r>
      <w:proofErr w:type="spellStart"/>
      <w:r w:rsidR="000D3D92" w:rsidRPr="00A472FC">
        <w:rPr>
          <w:rFonts w:ascii="Times New Roman" w:hAnsi="Times New Roman" w:cs="Times New Roman"/>
          <w:i/>
        </w:rPr>
        <w:t>humiliacio</w:t>
      </w:r>
      <w:proofErr w:type="spellEnd"/>
      <w:r w:rsidR="000D3D92" w:rsidRPr="00A472FC">
        <w:rPr>
          <w:rFonts w:ascii="Times New Roman" w:hAnsi="Times New Roman" w:cs="Times New Roman"/>
          <w:i/>
        </w:rPr>
        <w:t xml:space="preserve"> </w:t>
      </w:r>
      <w:r w:rsidR="000D3D92" w:rsidRPr="00A472FC">
        <w:rPr>
          <w:rFonts w:ascii="Times New Roman" w:hAnsi="Times New Roman" w:cs="Times New Roman"/>
        </w:rPr>
        <w:t xml:space="preserve">(humiliation), </w:t>
      </w:r>
      <w:proofErr w:type="spellStart"/>
      <w:r w:rsidR="000D3D92" w:rsidRPr="00A472FC">
        <w:rPr>
          <w:rFonts w:ascii="Times New Roman" w:hAnsi="Times New Roman" w:cs="Times New Roman"/>
          <w:i/>
        </w:rPr>
        <w:t>reverencia</w:t>
      </w:r>
      <w:proofErr w:type="spellEnd"/>
      <w:r w:rsidR="000D3D92" w:rsidRPr="00A472FC">
        <w:rPr>
          <w:rFonts w:ascii="Times New Roman" w:hAnsi="Times New Roman" w:cs="Times New Roman"/>
        </w:rPr>
        <w:t xml:space="preserve"> (reverence), </w:t>
      </w:r>
      <w:proofErr w:type="spellStart"/>
      <w:r w:rsidR="000D3D92" w:rsidRPr="00A472FC">
        <w:rPr>
          <w:rFonts w:ascii="Times New Roman" w:hAnsi="Times New Roman" w:cs="Times New Roman"/>
          <w:i/>
        </w:rPr>
        <w:t>penitencia</w:t>
      </w:r>
      <w:proofErr w:type="spellEnd"/>
      <w:r w:rsidR="000D3D92" w:rsidRPr="00A472FC">
        <w:rPr>
          <w:rFonts w:ascii="Times New Roman" w:hAnsi="Times New Roman" w:cs="Times New Roman"/>
        </w:rPr>
        <w:t xml:space="preserve"> (penitence), </w:t>
      </w:r>
      <w:proofErr w:type="spellStart"/>
      <w:r w:rsidR="000D3D92" w:rsidRPr="00A472FC">
        <w:rPr>
          <w:rFonts w:ascii="Times New Roman" w:hAnsi="Times New Roman" w:cs="Times New Roman"/>
          <w:i/>
        </w:rPr>
        <w:t>impaciencia</w:t>
      </w:r>
      <w:proofErr w:type="spellEnd"/>
      <w:r w:rsidR="000D3D92" w:rsidRPr="00A472FC">
        <w:rPr>
          <w:rFonts w:ascii="Times New Roman" w:hAnsi="Times New Roman" w:cs="Times New Roman"/>
        </w:rPr>
        <w:t xml:space="preserve"> (impatience), </w:t>
      </w:r>
      <w:r w:rsidR="000D3D92" w:rsidRPr="00A472FC">
        <w:rPr>
          <w:rFonts w:ascii="Times New Roman" w:hAnsi="Times New Roman" w:cs="Times New Roman"/>
          <w:i/>
        </w:rPr>
        <w:t xml:space="preserve">timor </w:t>
      </w:r>
      <w:r w:rsidR="000D3D92" w:rsidRPr="00A472FC">
        <w:rPr>
          <w:rFonts w:ascii="Times New Roman" w:hAnsi="Times New Roman" w:cs="Times New Roman"/>
        </w:rPr>
        <w:t xml:space="preserve">(fear), </w:t>
      </w:r>
      <w:proofErr w:type="spellStart"/>
      <w:r w:rsidR="000D3D92" w:rsidRPr="00A472FC">
        <w:rPr>
          <w:rFonts w:ascii="Times New Roman" w:hAnsi="Times New Roman" w:cs="Times New Roman"/>
          <w:i/>
        </w:rPr>
        <w:t>ambicio</w:t>
      </w:r>
      <w:proofErr w:type="spellEnd"/>
      <w:r w:rsidR="000D3D92" w:rsidRPr="00A472FC">
        <w:rPr>
          <w:rFonts w:ascii="Times New Roman" w:hAnsi="Times New Roman" w:cs="Times New Roman"/>
        </w:rPr>
        <w:t xml:space="preserve"> (ambition), </w:t>
      </w:r>
      <w:proofErr w:type="spellStart"/>
      <w:r w:rsidR="000D3D92" w:rsidRPr="00A472FC">
        <w:rPr>
          <w:rFonts w:ascii="Times New Roman" w:hAnsi="Times New Roman" w:cs="Times New Roman"/>
          <w:i/>
        </w:rPr>
        <w:t>spes</w:t>
      </w:r>
      <w:proofErr w:type="spellEnd"/>
      <w:r w:rsidR="000D3D92" w:rsidRPr="00A472FC">
        <w:rPr>
          <w:rFonts w:ascii="Times New Roman" w:hAnsi="Times New Roman" w:cs="Times New Roman"/>
          <w:i/>
        </w:rPr>
        <w:t xml:space="preserve"> </w:t>
      </w:r>
      <w:r w:rsidR="000D3D92" w:rsidRPr="00A472FC">
        <w:rPr>
          <w:rFonts w:ascii="Times New Roman" w:hAnsi="Times New Roman" w:cs="Times New Roman"/>
        </w:rPr>
        <w:t xml:space="preserve">(hope), </w:t>
      </w:r>
      <w:proofErr w:type="spellStart"/>
      <w:r w:rsidR="000D3D92" w:rsidRPr="00A472FC">
        <w:rPr>
          <w:rFonts w:ascii="Times New Roman" w:hAnsi="Times New Roman" w:cs="Times New Roman"/>
          <w:i/>
        </w:rPr>
        <w:t>superbia</w:t>
      </w:r>
      <w:proofErr w:type="spellEnd"/>
      <w:r w:rsidR="000D3D92" w:rsidRPr="00A472FC">
        <w:rPr>
          <w:rFonts w:ascii="Times New Roman" w:hAnsi="Times New Roman" w:cs="Times New Roman"/>
        </w:rPr>
        <w:t xml:space="preserve"> (pride), </w:t>
      </w:r>
      <w:proofErr w:type="spellStart"/>
      <w:r w:rsidR="000D3D92" w:rsidRPr="00A472FC">
        <w:rPr>
          <w:rFonts w:ascii="Times New Roman" w:hAnsi="Times New Roman" w:cs="Times New Roman"/>
          <w:i/>
        </w:rPr>
        <w:t>contemptus</w:t>
      </w:r>
      <w:proofErr w:type="spellEnd"/>
      <w:r w:rsidR="000D3D92" w:rsidRPr="00A472FC">
        <w:rPr>
          <w:rFonts w:ascii="Times New Roman" w:hAnsi="Times New Roman" w:cs="Times New Roman"/>
        </w:rPr>
        <w:t xml:space="preserve"> (contempt), </w:t>
      </w:r>
      <w:proofErr w:type="spellStart"/>
      <w:r w:rsidR="000D3D92" w:rsidRPr="00A472FC">
        <w:rPr>
          <w:rFonts w:ascii="Times New Roman" w:hAnsi="Times New Roman" w:cs="Times New Roman"/>
          <w:i/>
        </w:rPr>
        <w:t>audacia</w:t>
      </w:r>
      <w:proofErr w:type="spellEnd"/>
      <w:r w:rsidR="000D3D92" w:rsidRPr="00A472FC">
        <w:rPr>
          <w:rFonts w:ascii="Times New Roman" w:hAnsi="Times New Roman" w:cs="Times New Roman"/>
          <w:i/>
        </w:rPr>
        <w:t xml:space="preserve"> </w:t>
      </w:r>
      <w:r w:rsidR="000D3D92" w:rsidRPr="00A472FC">
        <w:rPr>
          <w:rFonts w:ascii="Times New Roman" w:hAnsi="Times New Roman" w:cs="Times New Roman"/>
        </w:rPr>
        <w:t xml:space="preserve">(audacity), </w:t>
      </w:r>
      <w:r w:rsidR="000D3D92" w:rsidRPr="00A472FC">
        <w:rPr>
          <w:rFonts w:ascii="Times New Roman" w:hAnsi="Times New Roman" w:cs="Times New Roman"/>
          <w:i/>
        </w:rPr>
        <w:t>ira</w:t>
      </w:r>
      <w:r w:rsidR="000D3D92" w:rsidRPr="00A472FC">
        <w:rPr>
          <w:rFonts w:ascii="Times New Roman" w:hAnsi="Times New Roman" w:cs="Times New Roman"/>
        </w:rPr>
        <w:t xml:space="preserve"> (anger), </w:t>
      </w:r>
      <w:proofErr w:type="spellStart"/>
      <w:r w:rsidR="000D3D92" w:rsidRPr="00A472FC">
        <w:rPr>
          <w:rFonts w:ascii="Times New Roman" w:hAnsi="Times New Roman" w:cs="Times New Roman"/>
          <w:i/>
        </w:rPr>
        <w:t>magnanimitas</w:t>
      </w:r>
      <w:proofErr w:type="spellEnd"/>
      <w:r w:rsidR="000D3D92" w:rsidRPr="00A472FC">
        <w:rPr>
          <w:rFonts w:ascii="Times New Roman" w:hAnsi="Times New Roman" w:cs="Times New Roman"/>
        </w:rPr>
        <w:t xml:space="preserve"> (greatness), and </w:t>
      </w:r>
      <w:proofErr w:type="spellStart"/>
      <w:r w:rsidR="000D3D92" w:rsidRPr="00A472FC">
        <w:rPr>
          <w:rFonts w:ascii="Times New Roman" w:hAnsi="Times New Roman" w:cs="Times New Roman"/>
          <w:i/>
        </w:rPr>
        <w:t>insurgere</w:t>
      </w:r>
      <w:proofErr w:type="spellEnd"/>
      <w:r w:rsidR="000D3D92" w:rsidRPr="00A472FC">
        <w:rPr>
          <w:rFonts w:ascii="Times New Roman" w:hAnsi="Times New Roman" w:cs="Times New Roman"/>
        </w:rPr>
        <w:t xml:space="preserve"> (rising up/insurgence) as passions associated with the irascible power</w:t>
      </w:r>
      <w:r w:rsidR="00A013C4" w:rsidRPr="00A472FC">
        <w:rPr>
          <w:rFonts w:ascii="Times New Roman" w:hAnsi="Times New Roman" w:cs="Times New Roman"/>
        </w:rPr>
        <w:t>.</w:t>
      </w:r>
      <w:r w:rsidR="007836AA" w:rsidRPr="00A472FC">
        <w:rPr>
          <w:rStyle w:val="FootnoteReference"/>
          <w:rFonts w:ascii="Times New Roman" w:hAnsi="Times New Roman" w:cs="Times New Roman"/>
        </w:rPr>
        <w:footnoteReference w:id="1008"/>
      </w:r>
      <w:r w:rsidR="007836AA" w:rsidRPr="00A472FC">
        <w:rPr>
          <w:rFonts w:ascii="Times New Roman" w:hAnsi="Times New Roman" w:cs="Times New Roman"/>
        </w:rPr>
        <w:t xml:space="preserve"> </w:t>
      </w:r>
      <w:r w:rsidR="000D3D92" w:rsidRPr="00A472FC">
        <w:rPr>
          <w:rFonts w:ascii="Times New Roman" w:hAnsi="Times New Roman" w:cs="Times New Roman"/>
        </w:rPr>
        <w:t xml:space="preserve">He also describes the following </w:t>
      </w:r>
      <w:proofErr w:type="spellStart"/>
      <w:r w:rsidR="000D3D92" w:rsidRPr="00A472FC">
        <w:rPr>
          <w:rFonts w:ascii="Times New Roman" w:hAnsi="Times New Roman" w:cs="Times New Roman"/>
        </w:rPr>
        <w:t>concupiscible</w:t>
      </w:r>
      <w:proofErr w:type="spellEnd"/>
      <w:r w:rsidR="000D3D92" w:rsidRPr="00A472FC">
        <w:rPr>
          <w:rFonts w:ascii="Times New Roman" w:hAnsi="Times New Roman" w:cs="Times New Roman"/>
        </w:rPr>
        <w:t xml:space="preserve"> passions in relation to their opposites: </w:t>
      </w:r>
      <w:proofErr w:type="spellStart"/>
      <w:r w:rsidR="000D3D92" w:rsidRPr="00A472FC">
        <w:rPr>
          <w:rFonts w:ascii="Times New Roman" w:hAnsi="Times New Roman" w:cs="Times New Roman"/>
          <w:i/>
        </w:rPr>
        <w:t>concupiscere</w:t>
      </w:r>
      <w:proofErr w:type="spellEnd"/>
      <w:r w:rsidR="000D3D92" w:rsidRPr="00A472FC">
        <w:rPr>
          <w:rFonts w:ascii="Times New Roman" w:hAnsi="Times New Roman" w:cs="Times New Roman"/>
        </w:rPr>
        <w:t xml:space="preserve"> (to long for)</w:t>
      </w:r>
      <w:r w:rsidR="00DB6220" w:rsidRPr="00A472FC">
        <w:rPr>
          <w:rFonts w:ascii="Times New Roman" w:hAnsi="Times New Roman" w:cs="Times New Roman"/>
        </w:rPr>
        <w:t xml:space="preserve"> or</w:t>
      </w:r>
      <w:r w:rsidR="000D3D92" w:rsidRPr="00A472FC">
        <w:rPr>
          <w:rFonts w:ascii="Times New Roman" w:hAnsi="Times New Roman" w:cs="Times New Roman"/>
        </w:rPr>
        <w:t xml:space="preserve"> </w:t>
      </w:r>
      <w:proofErr w:type="spellStart"/>
      <w:r w:rsidR="000D3D92" w:rsidRPr="00A472FC">
        <w:rPr>
          <w:rFonts w:ascii="Times New Roman" w:hAnsi="Times New Roman" w:cs="Times New Roman"/>
          <w:i/>
        </w:rPr>
        <w:t>desiderare</w:t>
      </w:r>
      <w:proofErr w:type="spellEnd"/>
      <w:r w:rsidR="000D3D92" w:rsidRPr="00A472FC">
        <w:rPr>
          <w:rFonts w:ascii="Times New Roman" w:hAnsi="Times New Roman" w:cs="Times New Roman"/>
        </w:rPr>
        <w:t xml:space="preserve"> (to desire) vs. </w:t>
      </w:r>
      <w:proofErr w:type="spellStart"/>
      <w:r w:rsidR="000D3D92" w:rsidRPr="00A472FC">
        <w:rPr>
          <w:rFonts w:ascii="Times New Roman" w:hAnsi="Times New Roman" w:cs="Times New Roman"/>
          <w:i/>
        </w:rPr>
        <w:t>abhominari</w:t>
      </w:r>
      <w:proofErr w:type="spellEnd"/>
      <w:r w:rsidR="000D3D92" w:rsidRPr="00A472FC">
        <w:rPr>
          <w:rFonts w:ascii="Times New Roman" w:hAnsi="Times New Roman" w:cs="Times New Roman"/>
        </w:rPr>
        <w:t xml:space="preserve"> (to abhor), </w:t>
      </w:r>
      <w:proofErr w:type="spellStart"/>
      <w:r w:rsidR="000D3D92" w:rsidRPr="00A472FC">
        <w:rPr>
          <w:rFonts w:ascii="Times New Roman" w:hAnsi="Times New Roman" w:cs="Times New Roman"/>
          <w:i/>
        </w:rPr>
        <w:t>gaudere</w:t>
      </w:r>
      <w:proofErr w:type="spellEnd"/>
      <w:r w:rsidR="000D3D92" w:rsidRPr="00A472FC">
        <w:rPr>
          <w:rFonts w:ascii="Times New Roman" w:hAnsi="Times New Roman" w:cs="Times New Roman"/>
        </w:rPr>
        <w:t xml:space="preserve"> (to take pleasure in) vs. </w:t>
      </w:r>
      <w:proofErr w:type="spellStart"/>
      <w:r w:rsidR="000D3D92" w:rsidRPr="00A472FC">
        <w:rPr>
          <w:rFonts w:ascii="Times New Roman" w:hAnsi="Times New Roman" w:cs="Times New Roman"/>
          <w:i/>
        </w:rPr>
        <w:t>dolere</w:t>
      </w:r>
      <w:proofErr w:type="spellEnd"/>
      <w:r w:rsidR="000D3D92" w:rsidRPr="00A472FC">
        <w:rPr>
          <w:rFonts w:ascii="Times New Roman" w:hAnsi="Times New Roman" w:cs="Times New Roman"/>
        </w:rPr>
        <w:t xml:space="preserve"> (to suffer), </w:t>
      </w:r>
      <w:proofErr w:type="spellStart"/>
      <w:r w:rsidR="000D3D92" w:rsidRPr="00A472FC">
        <w:rPr>
          <w:rFonts w:ascii="Times New Roman" w:hAnsi="Times New Roman" w:cs="Times New Roman"/>
          <w:i/>
        </w:rPr>
        <w:t>letari</w:t>
      </w:r>
      <w:proofErr w:type="spellEnd"/>
      <w:r w:rsidR="000D3D92" w:rsidRPr="00A472FC">
        <w:rPr>
          <w:rFonts w:ascii="Times New Roman" w:hAnsi="Times New Roman" w:cs="Times New Roman"/>
          <w:i/>
        </w:rPr>
        <w:t xml:space="preserve"> </w:t>
      </w:r>
      <w:r w:rsidR="000D3D92" w:rsidRPr="00A472FC">
        <w:rPr>
          <w:rFonts w:ascii="Times New Roman" w:hAnsi="Times New Roman" w:cs="Times New Roman"/>
        </w:rPr>
        <w:t xml:space="preserve">(to rejoice) vs. </w:t>
      </w:r>
      <w:proofErr w:type="spellStart"/>
      <w:r w:rsidR="000D3D92" w:rsidRPr="00A472FC">
        <w:rPr>
          <w:rFonts w:ascii="Times New Roman" w:hAnsi="Times New Roman" w:cs="Times New Roman"/>
          <w:i/>
        </w:rPr>
        <w:t>tristari</w:t>
      </w:r>
      <w:proofErr w:type="spellEnd"/>
      <w:r w:rsidR="000D3D92" w:rsidRPr="00A472FC">
        <w:rPr>
          <w:rFonts w:ascii="Times New Roman" w:hAnsi="Times New Roman" w:cs="Times New Roman"/>
        </w:rPr>
        <w:t xml:space="preserve"> (to be sad), </w:t>
      </w:r>
      <w:proofErr w:type="spellStart"/>
      <w:r w:rsidR="000D3D92" w:rsidRPr="00A472FC">
        <w:rPr>
          <w:rFonts w:ascii="Times New Roman" w:hAnsi="Times New Roman" w:cs="Times New Roman"/>
          <w:i/>
        </w:rPr>
        <w:t>amare</w:t>
      </w:r>
      <w:proofErr w:type="spellEnd"/>
      <w:r w:rsidR="000D3D92" w:rsidRPr="00A472FC">
        <w:rPr>
          <w:rFonts w:ascii="Times New Roman" w:hAnsi="Times New Roman" w:cs="Times New Roman"/>
        </w:rPr>
        <w:t xml:space="preserve"> (to love) and </w:t>
      </w:r>
      <w:proofErr w:type="spellStart"/>
      <w:r w:rsidR="000D3D92" w:rsidRPr="00A472FC">
        <w:rPr>
          <w:rFonts w:ascii="Times New Roman" w:hAnsi="Times New Roman" w:cs="Times New Roman"/>
          <w:i/>
        </w:rPr>
        <w:t>diligere</w:t>
      </w:r>
      <w:proofErr w:type="spellEnd"/>
      <w:r w:rsidR="000D3D92" w:rsidRPr="00A472FC">
        <w:rPr>
          <w:rFonts w:ascii="Times New Roman" w:hAnsi="Times New Roman" w:cs="Times New Roman"/>
          <w:i/>
        </w:rPr>
        <w:t xml:space="preserve"> </w:t>
      </w:r>
      <w:r w:rsidR="000D3D92" w:rsidRPr="00A472FC">
        <w:rPr>
          <w:rFonts w:ascii="Times New Roman" w:hAnsi="Times New Roman" w:cs="Times New Roman"/>
        </w:rPr>
        <w:t xml:space="preserve">(to prize) vs. </w:t>
      </w:r>
      <w:proofErr w:type="spellStart"/>
      <w:r w:rsidR="000D3D92" w:rsidRPr="00A472FC">
        <w:rPr>
          <w:rFonts w:ascii="Times New Roman" w:hAnsi="Times New Roman" w:cs="Times New Roman"/>
          <w:i/>
        </w:rPr>
        <w:t>odire</w:t>
      </w:r>
      <w:proofErr w:type="spellEnd"/>
      <w:r w:rsidR="000D3D92" w:rsidRPr="00A472FC">
        <w:rPr>
          <w:rFonts w:ascii="Times New Roman" w:hAnsi="Times New Roman" w:cs="Times New Roman"/>
        </w:rPr>
        <w:t xml:space="preserve"> (to hate).</w:t>
      </w:r>
      <w:r w:rsidR="000D3D92" w:rsidRPr="00A472FC">
        <w:rPr>
          <w:rStyle w:val="FootnoteReference"/>
          <w:rFonts w:ascii="Times New Roman" w:hAnsi="Times New Roman" w:cs="Times New Roman"/>
        </w:rPr>
        <w:footnoteReference w:id="1009"/>
      </w:r>
      <w:r w:rsidR="000D3D92" w:rsidRPr="00A472FC">
        <w:rPr>
          <w:rFonts w:ascii="Times New Roman" w:hAnsi="Times New Roman" w:cs="Times New Roman"/>
        </w:rPr>
        <w:t xml:space="preserve"> This framework subsequently became the key point of reference for later scholastics, particularly Thomas Aquinas, who sought to develop more advanced typologies of the passions</w:t>
      </w:r>
      <w:r w:rsidR="000D3D92" w:rsidRPr="00A472FC">
        <w:rPr>
          <w:rFonts w:ascii="Times New Roman" w:hAnsi="Times New Roman" w:cs="Times New Roman"/>
          <w:lang w:val="en-US"/>
        </w:rPr>
        <w:t>.</w:t>
      </w:r>
      <w:r w:rsidR="000D3D92" w:rsidRPr="00A472FC">
        <w:rPr>
          <w:rStyle w:val="FootnoteReference"/>
          <w:rFonts w:ascii="Times New Roman" w:hAnsi="Times New Roman" w:cs="Times New Roman"/>
          <w:lang w:val="en-US"/>
        </w:rPr>
        <w:footnoteReference w:id="1010"/>
      </w:r>
      <w:r w:rsidR="000D3D92" w:rsidRPr="00A472FC">
        <w:rPr>
          <w:rFonts w:ascii="Times New Roman" w:hAnsi="Times New Roman" w:cs="Times New Roman"/>
        </w:rPr>
        <w:t xml:space="preserve"> With good reason, therefore, Alain </w:t>
      </w:r>
      <w:proofErr w:type="spellStart"/>
      <w:r w:rsidR="000D3D92" w:rsidRPr="00A472FC">
        <w:rPr>
          <w:rFonts w:ascii="Times New Roman" w:hAnsi="Times New Roman" w:cs="Times New Roman"/>
        </w:rPr>
        <w:t>Boureau</w:t>
      </w:r>
      <w:proofErr w:type="spellEnd"/>
      <w:r w:rsidR="000D3D92" w:rsidRPr="00A472FC">
        <w:rPr>
          <w:rFonts w:ascii="Times New Roman" w:hAnsi="Times New Roman" w:cs="Times New Roman"/>
        </w:rPr>
        <w:t xml:space="preserve"> identifies Rochelle and Aquinas as the two key figures in the medieval development of passion theory.</w:t>
      </w:r>
      <w:r w:rsidR="000D3D92" w:rsidRPr="00A472FC">
        <w:rPr>
          <w:rStyle w:val="FootnoteReference"/>
          <w:rFonts w:ascii="Times New Roman" w:hAnsi="Times New Roman" w:cs="Times New Roman"/>
        </w:rPr>
        <w:footnoteReference w:id="1011"/>
      </w:r>
      <w:r w:rsidR="000D3D92" w:rsidRPr="00A472FC">
        <w:rPr>
          <w:rFonts w:ascii="Times New Roman" w:hAnsi="Times New Roman" w:cs="Times New Roman"/>
        </w:rPr>
        <w:t xml:space="preserve"> </w:t>
      </w:r>
    </w:p>
    <w:p w14:paraId="401E0564" w14:textId="77777777" w:rsidR="000D3D92" w:rsidRPr="00A472FC" w:rsidRDefault="000D3D92" w:rsidP="00881604">
      <w:pPr>
        <w:ind w:right="-52" w:firstLine="720"/>
        <w:rPr>
          <w:rFonts w:ascii="Times New Roman" w:hAnsi="Times New Roman" w:cs="Times New Roman"/>
          <w:lang w:val="en-US"/>
        </w:rPr>
      </w:pPr>
    </w:p>
    <w:p w14:paraId="5AC19A9E" w14:textId="77777777" w:rsidR="000D3D92" w:rsidRPr="00A472FC" w:rsidRDefault="000D3D92" w:rsidP="00881604">
      <w:pPr>
        <w:ind w:right="-52"/>
        <w:rPr>
          <w:rFonts w:ascii="Times New Roman" w:hAnsi="Times New Roman" w:cs="Times New Roman"/>
          <w:u w:val="single"/>
        </w:rPr>
      </w:pPr>
      <w:r w:rsidRPr="00A472FC">
        <w:rPr>
          <w:rFonts w:ascii="Times New Roman" w:hAnsi="Times New Roman" w:cs="Times New Roman"/>
          <w:u w:val="single"/>
        </w:rPr>
        <w:lastRenderedPageBreak/>
        <w:t>Passions and Sin</w:t>
      </w:r>
    </w:p>
    <w:p w14:paraId="505573EB" w14:textId="77777777" w:rsidR="000D3D92" w:rsidRPr="00A472FC" w:rsidRDefault="000D3D92" w:rsidP="00881604">
      <w:pPr>
        <w:ind w:right="-52"/>
        <w:rPr>
          <w:rFonts w:ascii="Times New Roman" w:hAnsi="Times New Roman" w:cs="Times New Roman"/>
        </w:rPr>
      </w:pPr>
    </w:p>
    <w:p w14:paraId="794CD403" w14:textId="3A4A2838" w:rsidR="000D3D92" w:rsidRPr="00A472FC" w:rsidRDefault="000D3D92"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In delineating his typology of the passions, John raises a question which greatly concerned scholars at this time as to whether the movements of the sense powers, or passions, such as desire and fear, are intrinsically sinful or merely neutral in their significance.</w:t>
      </w:r>
      <w:r w:rsidRPr="00A472FC">
        <w:rPr>
          <w:rStyle w:val="FootnoteReference"/>
          <w:rFonts w:ascii="Times New Roman" w:hAnsi="Times New Roman" w:cs="Times New Roman"/>
        </w:rPr>
        <w:footnoteReference w:id="1012"/>
      </w:r>
      <w:r w:rsidRPr="00A472FC">
        <w:rPr>
          <w:rFonts w:ascii="Times New Roman" w:hAnsi="Times New Roman" w:cs="Times New Roman"/>
        </w:rPr>
        <w:t xml:space="preserve"> This discussion can be traced back to Augustine, </w:t>
      </w:r>
      <w:r w:rsidRPr="00A472FC">
        <w:rPr>
          <w:rFonts w:ascii="Times New Roman" w:hAnsi="Times New Roman" w:cs="Times New Roman"/>
          <w:lang w:val="en-US"/>
        </w:rPr>
        <w:t xml:space="preserve">who presupposed a distinction between the unavoidable initial stage of a movement towards sin, and </w:t>
      </w:r>
      <w:r w:rsidR="00585F01" w:rsidRPr="00A472FC">
        <w:rPr>
          <w:rFonts w:ascii="Times New Roman" w:hAnsi="Times New Roman" w:cs="Times New Roman"/>
          <w:lang w:val="en-US"/>
        </w:rPr>
        <w:t xml:space="preserve">a second stage involving </w:t>
      </w:r>
      <w:r w:rsidRPr="00A472FC">
        <w:rPr>
          <w:rFonts w:ascii="Times New Roman" w:hAnsi="Times New Roman" w:cs="Times New Roman"/>
          <w:lang w:val="en-US"/>
        </w:rPr>
        <w:t>its continuation and encouragement, which could be prevented by the controlling will.</w:t>
      </w:r>
      <w:r w:rsidRPr="00A472FC">
        <w:rPr>
          <w:rStyle w:val="FootnoteReference"/>
          <w:rFonts w:ascii="Times New Roman" w:hAnsi="Times New Roman" w:cs="Times New Roman"/>
          <w:lang w:val="en-US"/>
        </w:rPr>
        <w:footnoteReference w:id="1013"/>
      </w:r>
      <w:r w:rsidRPr="00A472FC">
        <w:rPr>
          <w:rFonts w:ascii="Times New Roman" w:hAnsi="Times New Roman" w:cs="Times New Roman"/>
          <w:lang w:val="en-US"/>
        </w:rPr>
        <w:t xml:space="preserve"> For Augustine, the first stage is not imputable as sin, but simply represents a benign movement of the sense appetite, which only becomes sinful when it produces distorted appetites which are implemented by the will.</w:t>
      </w:r>
      <w:r w:rsidRPr="00A472FC">
        <w:rPr>
          <w:rStyle w:val="FootnoteReference"/>
          <w:rFonts w:ascii="Times New Roman" w:hAnsi="Times New Roman" w:cs="Times New Roman"/>
        </w:rPr>
        <w:footnoteReference w:id="1014"/>
      </w:r>
      <w:r w:rsidRPr="00A472FC">
        <w:rPr>
          <w:rFonts w:ascii="Times New Roman" w:hAnsi="Times New Roman" w:cs="Times New Roman"/>
        </w:rPr>
        <w:t xml:space="preserve"> </w:t>
      </w:r>
    </w:p>
    <w:p w14:paraId="136E6889" w14:textId="28503D8D" w:rsidR="000D3D92" w:rsidRPr="00A472FC" w:rsidRDefault="000D3D92" w:rsidP="008816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rPr>
        <w:t>This is the thrust of Augustine’s account of sensuality or concupiscence, which involves a disordered love for temporal things, which does not denigrate those things as such but involves mistaking them for the highest goods of the soul. This type of perverted love is contrasted to that which is rightly ordered by reason, and thus preserves the proper order of lesser to greater goods.</w:t>
      </w:r>
      <w:r w:rsidRPr="00A472FC">
        <w:rPr>
          <w:rStyle w:val="FootnoteReference"/>
          <w:rFonts w:ascii="Times New Roman" w:hAnsi="Times New Roman" w:cs="Times New Roman"/>
        </w:rPr>
        <w:footnoteReference w:id="1015"/>
      </w:r>
      <w:r w:rsidRPr="00A472FC">
        <w:rPr>
          <w:rFonts w:ascii="Times New Roman" w:hAnsi="Times New Roman" w:cs="Times New Roman"/>
        </w:rPr>
        <w:t xml:space="preserve"> Not unlike Augustine, John of Damascus held that the passions are not strictly speaking sinful but are capable of turning for or against reason.</w:t>
      </w:r>
      <w:r w:rsidRPr="00A472FC">
        <w:rPr>
          <w:rStyle w:val="FootnoteReference"/>
          <w:rFonts w:ascii="Times New Roman" w:hAnsi="Times New Roman" w:cs="Times New Roman"/>
        </w:rPr>
        <w:footnoteReference w:id="1016"/>
      </w:r>
      <w:r w:rsidRPr="00A472FC">
        <w:rPr>
          <w:rFonts w:ascii="Times New Roman" w:hAnsi="Times New Roman" w:cs="Times New Roman"/>
          <w:lang w:val="en-US"/>
        </w:rPr>
        <w:t xml:space="preserve"> According to </w:t>
      </w:r>
      <w:proofErr w:type="spellStart"/>
      <w:r w:rsidRPr="00A472FC">
        <w:rPr>
          <w:rFonts w:ascii="Times New Roman" w:hAnsi="Times New Roman" w:cs="Times New Roman"/>
          <w:lang w:val="en-US"/>
        </w:rPr>
        <w:t>Knuu</w:t>
      </w:r>
      <w:r w:rsidR="009A30BE" w:rsidRPr="00A472FC">
        <w:rPr>
          <w:rFonts w:ascii="Times New Roman" w:hAnsi="Times New Roman" w:cs="Times New Roman"/>
          <w:lang w:val="en-US"/>
        </w:rPr>
        <w:t>t</w:t>
      </w:r>
      <w:r w:rsidRPr="00A472FC">
        <w:rPr>
          <w:rFonts w:ascii="Times New Roman" w:hAnsi="Times New Roman" w:cs="Times New Roman"/>
          <w:lang w:val="en-US"/>
        </w:rPr>
        <w:t>tila</w:t>
      </w:r>
      <w:proofErr w:type="spellEnd"/>
      <w:r w:rsidRPr="00A472FC">
        <w:rPr>
          <w:rFonts w:ascii="Times New Roman" w:hAnsi="Times New Roman" w:cs="Times New Roman"/>
          <w:lang w:val="en-US"/>
        </w:rPr>
        <w:t>, a position like Augustine’s was in some form or another carried forward by Anselm of Canterbury and even by Peter Abelard in his own way.</w:t>
      </w:r>
      <w:r w:rsidRPr="00A472FC">
        <w:rPr>
          <w:rStyle w:val="FootnoteReference"/>
          <w:rFonts w:ascii="Times New Roman" w:hAnsi="Times New Roman" w:cs="Times New Roman"/>
          <w:lang w:val="en-US"/>
        </w:rPr>
        <w:footnoteReference w:id="1017"/>
      </w:r>
      <w:r w:rsidRPr="00A472FC">
        <w:rPr>
          <w:rFonts w:ascii="Times New Roman" w:hAnsi="Times New Roman" w:cs="Times New Roman"/>
          <w:lang w:val="en-US"/>
        </w:rPr>
        <w:t xml:space="preserve"> However, Peter Lombard, who mediated the theological and </w:t>
      </w:r>
      <w:r w:rsidR="003A0273" w:rsidRPr="00A472FC">
        <w:rPr>
          <w:rFonts w:ascii="Times New Roman" w:hAnsi="Times New Roman" w:cs="Times New Roman"/>
          <w:lang w:val="en-US"/>
        </w:rPr>
        <w:t>indeed</w:t>
      </w:r>
      <w:r w:rsidRPr="00A472FC">
        <w:rPr>
          <w:rFonts w:ascii="Times New Roman" w:hAnsi="Times New Roman" w:cs="Times New Roman"/>
          <w:lang w:val="en-US"/>
        </w:rPr>
        <w:t xml:space="preserve"> Augustinian tradition to early scholastics, articulated a different understanding of the connotations of the passions. </w:t>
      </w:r>
    </w:p>
    <w:p w14:paraId="0DAD038C" w14:textId="45218FC5" w:rsidR="000D3D92" w:rsidRPr="00A472FC" w:rsidRDefault="000D3D92" w:rsidP="00881604">
      <w:pPr>
        <w:autoSpaceDE w:val="0"/>
        <w:autoSpaceDN w:val="0"/>
        <w:adjustRightInd w:val="0"/>
        <w:ind w:right="-52" w:firstLine="720"/>
        <w:rPr>
          <w:rFonts w:ascii="Times New Roman" w:hAnsi="Times New Roman" w:cs="Times New Roman"/>
          <w:lang w:val="en-US"/>
        </w:rPr>
      </w:pPr>
      <w:r w:rsidRPr="00A472FC">
        <w:rPr>
          <w:rFonts w:ascii="Times New Roman" w:hAnsi="Times New Roman" w:cs="Times New Roman"/>
          <w:lang w:val="en-US"/>
        </w:rPr>
        <w:t xml:space="preserve">For him, any passionate reaction to a sense object is a venial sin. In Lombard’s view, these reactions are not entirely outside of human control, and that is why they are culpable. They can in principle be controlled by reason and thus prevented from occurring. This position, also found in Hugh of St Victor’s </w:t>
      </w:r>
      <w:r w:rsidRPr="00A472FC">
        <w:rPr>
          <w:rFonts w:ascii="Times New Roman" w:hAnsi="Times New Roman" w:cs="Times New Roman"/>
          <w:i/>
          <w:lang w:val="en-US"/>
        </w:rPr>
        <w:t xml:space="preserve">De </w:t>
      </w:r>
      <w:proofErr w:type="spellStart"/>
      <w:r w:rsidRPr="00A472FC">
        <w:rPr>
          <w:rFonts w:ascii="Times New Roman" w:hAnsi="Times New Roman" w:cs="Times New Roman"/>
          <w:i/>
          <w:lang w:val="en-US"/>
        </w:rPr>
        <w:t>sacramentis</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Christianae</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fidei</w:t>
      </w:r>
      <w:proofErr w:type="spellEnd"/>
      <w:r w:rsidRPr="00A472FC">
        <w:rPr>
          <w:rFonts w:ascii="Times New Roman" w:hAnsi="Times New Roman" w:cs="Times New Roman"/>
          <w:iCs/>
          <w:lang w:val="en-US"/>
        </w:rPr>
        <w:t>,</w:t>
      </w:r>
      <w:r w:rsidRPr="00A472FC">
        <w:rPr>
          <w:rFonts w:ascii="Times New Roman" w:hAnsi="Times New Roman" w:cs="Times New Roman"/>
          <w:i/>
          <w:lang w:val="en-US"/>
        </w:rPr>
        <w:t xml:space="preserve"> </w:t>
      </w:r>
      <w:r w:rsidRPr="00A472FC">
        <w:rPr>
          <w:rFonts w:ascii="Times New Roman" w:hAnsi="Times New Roman" w:cs="Times New Roman"/>
          <w:lang w:val="en-US"/>
        </w:rPr>
        <w:t xml:space="preserve">is actually </w:t>
      </w:r>
      <w:r w:rsidRPr="00A472FC">
        <w:rPr>
          <w:rFonts w:ascii="Times New Roman" w:hAnsi="Times New Roman" w:cs="Times New Roman"/>
          <w:lang w:val="en-US"/>
        </w:rPr>
        <w:lastRenderedPageBreak/>
        <w:t>closer to that of Gregory the Great than Augustine.</w:t>
      </w:r>
      <w:r w:rsidRPr="00A472FC">
        <w:rPr>
          <w:rStyle w:val="FootnoteReference"/>
          <w:rFonts w:ascii="Times New Roman" w:hAnsi="Times New Roman" w:cs="Times New Roman"/>
          <w:lang w:val="en-US"/>
        </w:rPr>
        <w:footnoteReference w:id="1018"/>
      </w:r>
      <w:r w:rsidRPr="00A472FC">
        <w:rPr>
          <w:rFonts w:ascii="Times New Roman" w:hAnsi="Times New Roman" w:cs="Times New Roman"/>
          <w:lang w:val="en-US"/>
        </w:rPr>
        <w:t xml:space="preserve"> Nevertheless, Lombard attributed it to Augustine and to Jerome, who was another key figure in this debate.</w:t>
      </w:r>
      <w:r w:rsidRPr="00A472FC">
        <w:rPr>
          <w:rStyle w:val="FootnoteReference"/>
          <w:rFonts w:ascii="Times New Roman" w:hAnsi="Times New Roman" w:cs="Times New Roman"/>
          <w:lang w:val="en-US"/>
        </w:rPr>
        <w:footnoteReference w:id="1019"/>
      </w:r>
      <w:r w:rsidRPr="00A472FC">
        <w:rPr>
          <w:rFonts w:ascii="Times New Roman" w:hAnsi="Times New Roman" w:cs="Times New Roman"/>
          <w:lang w:val="en-US"/>
        </w:rPr>
        <w:t xml:space="preserve"> His term ‘pro-passion’, which </w:t>
      </w:r>
      <w:proofErr w:type="spellStart"/>
      <w:r w:rsidRPr="00A472FC">
        <w:rPr>
          <w:rFonts w:ascii="Times New Roman" w:hAnsi="Times New Roman" w:cs="Times New Roman"/>
          <w:lang w:val="en-US"/>
        </w:rPr>
        <w:t>Knuut</w:t>
      </w:r>
      <w:r w:rsidR="00C320A0" w:rsidRPr="00A472FC">
        <w:rPr>
          <w:rFonts w:ascii="Times New Roman" w:hAnsi="Times New Roman" w:cs="Times New Roman"/>
          <w:lang w:val="en-US"/>
        </w:rPr>
        <w:t>t</w:t>
      </w:r>
      <w:r w:rsidRPr="00A472FC">
        <w:rPr>
          <w:rFonts w:ascii="Times New Roman" w:hAnsi="Times New Roman" w:cs="Times New Roman"/>
          <w:lang w:val="en-US"/>
        </w:rPr>
        <w:t>ila</w:t>
      </w:r>
      <w:proofErr w:type="spellEnd"/>
      <w:r w:rsidRPr="00A472FC">
        <w:rPr>
          <w:rFonts w:ascii="Times New Roman" w:hAnsi="Times New Roman" w:cs="Times New Roman"/>
          <w:lang w:val="en-US"/>
        </w:rPr>
        <w:t xml:space="preserve"> translates as ‘pre-passion’, was often used in the </w:t>
      </w:r>
      <w:r w:rsidR="00D611BE" w:rsidRPr="00A472FC">
        <w:rPr>
          <w:rFonts w:ascii="Times New Roman" w:hAnsi="Times New Roman" w:cs="Times New Roman"/>
          <w:lang w:val="en-US"/>
        </w:rPr>
        <w:t>Middle Ages</w:t>
      </w:r>
      <w:r w:rsidRPr="00A472FC">
        <w:rPr>
          <w:rFonts w:ascii="Times New Roman" w:hAnsi="Times New Roman" w:cs="Times New Roman"/>
          <w:lang w:val="en-US"/>
        </w:rPr>
        <w:t xml:space="preserve"> to denote an involuntary response to external stimuli—something which was also described in Stoic thought as a ‘first movement’ of the soul, which is to be contrasted with the ‘second movement’ which involves actual consent of the will to the feeling in question.</w:t>
      </w:r>
      <w:r w:rsidRPr="00A472FC">
        <w:rPr>
          <w:rStyle w:val="FootnoteReference"/>
          <w:rFonts w:ascii="Times New Roman" w:hAnsi="Times New Roman" w:cs="Times New Roman"/>
          <w:lang w:val="en-US"/>
        </w:rPr>
        <w:footnoteReference w:id="1020"/>
      </w:r>
      <w:r w:rsidRPr="00A472FC">
        <w:rPr>
          <w:rFonts w:ascii="Times New Roman" w:hAnsi="Times New Roman" w:cs="Times New Roman"/>
          <w:lang w:val="en-US"/>
        </w:rPr>
        <w:t xml:space="preserve"> While Lombard counts even pre-passions as venial sins, he acknowledges that the sin only becomes mortal once it becomes a matter of reason’s approval and consent.</w:t>
      </w:r>
      <w:r w:rsidRPr="00A472FC">
        <w:rPr>
          <w:rStyle w:val="FootnoteReference"/>
          <w:rFonts w:ascii="Times New Roman" w:hAnsi="Times New Roman" w:cs="Times New Roman"/>
          <w:lang w:val="en-US"/>
        </w:rPr>
        <w:footnoteReference w:id="1021"/>
      </w:r>
    </w:p>
    <w:p w14:paraId="416DD90B" w14:textId="6D4932F3"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lang w:val="en-US"/>
        </w:rPr>
        <w:t xml:space="preserve">Although Lombard’s view was influential, it was not uncontested. Around 1160, Simon of </w:t>
      </w:r>
      <w:proofErr w:type="spellStart"/>
      <w:r w:rsidRPr="00A472FC">
        <w:rPr>
          <w:rFonts w:ascii="Times New Roman" w:hAnsi="Times New Roman" w:cs="Times New Roman"/>
          <w:lang w:val="en-US"/>
        </w:rPr>
        <w:t>Tournai</w:t>
      </w:r>
      <w:proofErr w:type="spellEnd"/>
      <w:r w:rsidRPr="00A472FC">
        <w:rPr>
          <w:rFonts w:ascii="Times New Roman" w:hAnsi="Times New Roman" w:cs="Times New Roman"/>
          <w:lang w:val="en-US"/>
        </w:rPr>
        <w:t xml:space="preserve"> questioned whether first movements are indeed sinful. In his view, first movements do constitute the ‘tinder of sin’, which can lead to sin, but they do not become venial sins until we take pleasure in them, even before we consent to them or act on them. A similar view was held by Alan of Lille.</w:t>
      </w:r>
      <w:r w:rsidRPr="00A472FC">
        <w:rPr>
          <w:rStyle w:val="FootnoteReference"/>
          <w:rFonts w:ascii="Times New Roman" w:hAnsi="Times New Roman" w:cs="Times New Roman"/>
          <w:lang w:val="en-US"/>
        </w:rPr>
        <w:footnoteReference w:id="1022"/>
      </w:r>
      <w:r w:rsidRPr="00A472FC">
        <w:rPr>
          <w:rFonts w:ascii="Times New Roman" w:hAnsi="Times New Roman" w:cs="Times New Roman"/>
          <w:lang w:val="en-US"/>
        </w:rPr>
        <w:t xml:space="preserve"> Nevertheless, the </w:t>
      </w:r>
      <w:r w:rsidRPr="00A472FC">
        <w:rPr>
          <w:rFonts w:ascii="Times New Roman" w:hAnsi="Times New Roman" w:cs="Times New Roman"/>
        </w:rPr>
        <w:t>position of the Lombard was accepted by William of Auxerre, who undertakes a more elaborate discussion of the matter.</w:t>
      </w:r>
      <w:r w:rsidRPr="00A472FC">
        <w:rPr>
          <w:rStyle w:val="FootnoteReference"/>
          <w:rFonts w:ascii="Times New Roman" w:hAnsi="Times New Roman" w:cs="Times New Roman"/>
        </w:rPr>
        <w:footnoteReference w:id="1023"/>
      </w:r>
      <w:r w:rsidRPr="00A472FC">
        <w:rPr>
          <w:rFonts w:ascii="Times New Roman" w:hAnsi="Times New Roman" w:cs="Times New Roman"/>
        </w:rPr>
        <w:t xml:space="preserve"> In his view, the first movements of the irascible and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powers are sinful because they are indirectly voluntary.</w:t>
      </w:r>
      <w:r w:rsidRPr="00A472FC">
        <w:rPr>
          <w:rStyle w:val="FootnoteReference"/>
          <w:rFonts w:ascii="Times New Roman" w:hAnsi="Times New Roman" w:cs="Times New Roman"/>
        </w:rPr>
        <w:footnoteReference w:id="1024"/>
      </w:r>
      <w:r w:rsidRPr="00A472FC">
        <w:rPr>
          <w:rFonts w:ascii="Times New Roman" w:hAnsi="Times New Roman" w:cs="Times New Roman"/>
        </w:rPr>
        <w:t xml:space="preserve"> Although we cannot control or stop them universally, they are in our power as individual movements, which we can prevent from occurring.</w:t>
      </w:r>
      <w:r w:rsidRPr="00A472FC">
        <w:rPr>
          <w:rStyle w:val="FootnoteReference"/>
          <w:rFonts w:ascii="Times New Roman" w:hAnsi="Times New Roman" w:cs="Times New Roman"/>
          <w:lang w:val="en-US"/>
        </w:rPr>
        <w:footnoteReference w:id="1025"/>
      </w:r>
      <w:r w:rsidRPr="00A472FC">
        <w:rPr>
          <w:rFonts w:ascii="Times New Roman" w:hAnsi="Times New Roman" w:cs="Times New Roman"/>
        </w:rPr>
        <w:t xml:space="preserve"> </w:t>
      </w:r>
    </w:p>
    <w:p w14:paraId="2E2C43E7" w14:textId="77777777"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 xml:space="preserve">By contrast to William, Hugh of St Cher insists that the first movements of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and irascible powers are in no way sinful, because these powers are not rational in their essence, and sin can only occur at the level of the rational approval of and consent to wrongdoing.</w:t>
      </w:r>
      <w:r w:rsidRPr="00A472FC">
        <w:rPr>
          <w:rStyle w:val="FootnoteReference"/>
          <w:rFonts w:ascii="Times New Roman" w:hAnsi="Times New Roman" w:cs="Times New Roman"/>
        </w:rPr>
        <w:footnoteReference w:id="1026"/>
      </w:r>
      <w:r w:rsidRPr="00A472FC">
        <w:rPr>
          <w:rFonts w:ascii="Times New Roman" w:hAnsi="Times New Roman" w:cs="Times New Roman"/>
        </w:rPr>
        <w:t xml:space="preserve"> This view is also upheld by Roland of Cremona.</w:t>
      </w:r>
      <w:r w:rsidRPr="00A472FC">
        <w:rPr>
          <w:rStyle w:val="FootnoteReference"/>
          <w:rFonts w:ascii="Times New Roman" w:hAnsi="Times New Roman" w:cs="Times New Roman"/>
        </w:rPr>
        <w:footnoteReference w:id="1027"/>
      </w:r>
      <w:r w:rsidRPr="00A472FC">
        <w:rPr>
          <w:rFonts w:ascii="Times New Roman" w:hAnsi="Times New Roman" w:cs="Times New Roman"/>
        </w:rPr>
        <w:t xml:space="preserve"> For his part, Philip the Chancellor elaborates the traditional position also advocated by Auxerre.</w:t>
      </w:r>
      <w:r w:rsidRPr="00A472FC">
        <w:rPr>
          <w:rStyle w:val="FootnoteReference"/>
          <w:rFonts w:ascii="Times New Roman" w:hAnsi="Times New Roman" w:cs="Times New Roman"/>
        </w:rPr>
        <w:footnoteReference w:id="1028"/>
      </w:r>
      <w:r w:rsidRPr="00A472FC">
        <w:rPr>
          <w:rFonts w:ascii="Times New Roman" w:hAnsi="Times New Roman" w:cs="Times New Roman"/>
        </w:rPr>
        <w:t xml:space="preserve"> The very fact that sensible movements in humans, by contrast to animals, are able to be subjected to reason implies that first movements, which are prior to the influence of reason, are indeed sinful, </w:t>
      </w:r>
      <w:r w:rsidRPr="00A472FC">
        <w:rPr>
          <w:rFonts w:ascii="Times New Roman" w:hAnsi="Times New Roman" w:cs="Times New Roman"/>
        </w:rPr>
        <w:lastRenderedPageBreak/>
        <w:t>although they are only venially so until approved not only by reason but even more so by the will that chooses to follow them.</w:t>
      </w:r>
      <w:r w:rsidRPr="00A472FC">
        <w:rPr>
          <w:rStyle w:val="FootnoteReference"/>
          <w:rFonts w:ascii="Times New Roman" w:hAnsi="Times New Roman" w:cs="Times New Roman"/>
        </w:rPr>
        <w:footnoteReference w:id="1029"/>
      </w:r>
      <w:r w:rsidRPr="00A472FC">
        <w:rPr>
          <w:rFonts w:ascii="Times New Roman" w:hAnsi="Times New Roman" w:cs="Times New Roman"/>
        </w:rPr>
        <w:t xml:space="preserve"> </w:t>
      </w:r>
    </w:p>
    <w:p w14:paraId="7335C4A4" w14:textId="6E8C84D3"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John of La Rochelle partly follows in the argumentative line of Philip the Chancellor, affirming that the passions count as venial sins because they are in principle capable of being checked by reason.</w:t>
      </w:r>
      <w:r w:rsidRPr="00A472FC">
        <w:rPr>
          <w:rStyle w:val="FootnoteReference"/>
          <w:rFonts w:ascii="Times New Roman" w:hAnsi="Times New Roman" w:cs="Times New Roman"/>
        </w:rPr>
        <w:t xml:space="preserve"> </w:t>
      </w:r>
      <w:r w:rsidRPr="00A472FC">
        <w:rPr>
          <w:rFonts w:ascii="Times New Roman" w:hAnsi="Times New Roman" w:cs="Times New Roman"/>
        </w:rPr>
        <w:t xml:space="preserve">Nevertheless, John seems to think that these movements of the irascible and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powers are not strictly speaking sinful, because we cannot help but have them. In this connection, he distinguishes between natural and unnatural passions that are the result of the fall. The first, constitutive of human nature, include the ability to receive intelligible species of cognitive objects and grace from God. The unnatural passions include the feelings of joy, pain, fear, and desire that were described above.</w:t>
      </w:r>
    </w:p>
    <w:p w14:paraId="70C5AB9B" w14:textId="35D56737"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As Vecc</w:t>
      </w:r>
      <w:r w:rsidR="00292FC9" w:rsidRPr="00A472FC">
        <w:rPr>
          <w:rFonts w:ascii="Times New Roman" w:hAnsi="Times New Roman" w:cs="Times New Roman"/>
        </w:rPr>
        <w:t>h</w:t>
      </w:r>
      <w:r w:rsidRPr="00A472FC">
        <w:rPr>
          <w:rFonts w:ascii="Times New Roman" w:hAnsi="Times New Roman" w:cs="Times New Roman"/>
        </w:rPr>
        <w:t xml:space="preserve">io and Casagrande write, such passions are in effect ‘a sign of necessity that now overwhelms man, both in his soul in his body, and represent the pain that reaches the soul because of </w:t>
      </w:r>
      <w:r w:rsidR="00B638FC">
        <w:rPr>
          <w:rFonts w:ascii="Times New Roman" w:hAnsi="Times New Roman" w:cs="Times New Roman"/>
        </w:rPr>
        <w:t>its</w:t>
      </w:r>
      <w:r w:rsidRPr="00A472FC">
        <w:rPr>
          <w:rFonts w:ascii="Times New Roman" w:hAnsi="Times New Roman" w:cs="Times New Roman"/>
        </w:rPr>
        <w:t xml:space="preserve"> junction to a crippled body.’</w:t>
      </w:r>
      <w:r w:rsidRPr="00A472FC">
        <w:rPr>
          <w:rFonts w:ascii="Times New Roman" w:hAnsi="Times New Roman" w:cs="Times New Roman"/>
          <w:vertAlign w:val="superscript"/>
        </w:rPr>
        <w:footnoteReference w:id="1030"/>
      </w:r>
      <w:r w:rsidRPr="00A472FC">
        <w:rPr>
          <w:rFonts w:ascii="Times New Roman" w:hAnsi="Times New Roman" w:cs="Times New Roman"/>
        </w:rPr>
        <w:t xml:space="preserve"> In other words, they are a product of original sin, namely, Augustine’s concupiscence, or ‘</w:t>
      </w:r>
      <w:r w:rsidRPr="00A472FC">
        <w:rPr>
          <w:rFonts w:ascii="Times New Roman" w:hAnsi="Times New Roman" w:cs="Times New Roman"/>
          <w:lang w:val="en-US"/>
        </w:rPr>
        <w:t>the permanent inherited weakness we have for sinful things [that] inclines us to evil desires,’ even though they are ‘not counted as fresh additional sins if they are immediately defeated. They become sins only through consent.’</w:t>
      </w:r>
      <w:r w:rsidRPr="00A472FC">
        <w:rPr>
          <w:rFonts w:ascii="Times New Roman" w:hAnsi="Times New Roman" w:cs="Times New Roman"/>
          <w:vertAlign w:val="superscript"/>
          <w:lang w:val="en-US"/>
        </w:rPr>
        <w:footnoteReference w:id="1031"/>
      </w:r>
      <w:r w:rsidRPr="00A472FC">
        <w:rPr>
          <w:rFonts w:ascii="Times New Roman" w:hAnsi="Times New Roman" w:cs="Times New Roman"/>
          <w:lang w:val="en-US"/>
        </w:rPr>
        <w:t xml:space="preserve"> </w:t>
      </w:r>
      <w:r w:rsidRPr="00A472FC">
        <w:rPr>
          <w:rFonts w:ascii="Times New Roman" w:hAnsi="Times New Roman" w:cs="Times New Roman"/>
        </w:rPr>
        <w:t xml:space="preserve">In his account, </w:t>
      </w:r>
      <w:proofErr w:type="spellStart"/>
      <w:r w:rsidRPr="00A472FC">
        <w:rPr>
          <w:rFonts w:ascii="Times New Roman" w:hAnsi="Times New Roman" w:cs="Times New Roman"/>
        </w:rPr>
        <w:t>Knuut</w:t>
      </w:r>
      <w:r w:rsidR="002B087C" w:rsidRPr="00A472FC">
        <w:rPr>
          <w:rFonts w:ascii="Times New Roman" w:hAnsi="Times New Roman" w:cs="Times New Roman"/>
        </w:rPr>
        <w:t>t</w:t>
      </w:r>
      <w:r w:rsidRPr="00A472FC">
        <w:rPr>
          <w:rFonts w:ascii="Times New Roman" w:hAnsi="Times New Roman" w:cs="Times New Roman"/>
        </w:rPr>
        <w:t>ila</w:t>
      </w:r>
      <w:proofErr w:type="spellEnd"/>
      <w:r w:rsidRPr="00A472FC">
        <w:rPr>
          <w:rFonts w:ascii="Times New Roman" w:hAnsi="Times New Roman" w:cs="Times New Roman"/>
        </w:rPr>
        <w:t xml:space="preserve"> notes that John’s view became highly influential for subsequent thirteenth-century thinkers and is found in some form in William of Middleton, Bonaventure, as well as the Dominican masters </w:t>
      </w:r>
      <w:proofErr w:type="spellStart"/>
      <w:r w:rsidRPr="00A472FC">
        <w:rPr>
          <w:rFonts w:ascii="Times New Roman" w:hAnsi="Times New Roman" w:cs="Times New Roman"/>
        </w:rPr>
        <w:t>Guerric</w:t>
      </w:r>
      <w:proofErr w:type="spellEnd"/>
      <w:r w:rsidRPr="00A472FC">
        <w:rPr>
          <w:rFonts w:ascii="Times New Roman" w:hAnsi="Times New Roman" w:cs="Times New Roman"/>
        </w:rPr>
        <w:t xml:space="preserve"> of St Quentin and Albert the Great.</w:t>
      </w:r>
      <w:r w:rsidRPr="00A472FC">
        <w:rPr>
          <w:rStyle w:val="FootnoteReference"/>
          <w:rFonts w:ascii="Times New Roman" w:hAnsi="Times New Roman" w:cs="Times New Roman"/>
        </w:rPr>
        <w:footnoteReference w:id="1032"/>
      </w:r>
      <w:r w:rsidRPr="00A472FC">
        <w:rPr>
          <w:rFonts w:ascii="Times New Roman" w:hAnsi="Times New Roman" w:cs="Times New Roman"/>
        </w:rPr>
        <w:t xml:space="preserve"> </w:t>
      </w:r>
    </w:p>
    <w:p w14:paraId="6A554607" w14:textId="3E32B56B"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 xml:space="preserve">Although I have noted that Thomas Aquinas was heavily dependent on John of La Rochelle in terms of his actual classification of the passions, he turned under the influence of Aristotle to the idea closer to Augustine’s that the passions are neutral movements of the sense appetite, whose positive or negative connotations are determined at a higher level, that of the will. While this represents a crucial innovation in the medieval theory of the passions, it remains the case that his typology of the passions—if not the connotations assigned to them—drew a great deal </w:t>
      </w:r>
      <w:r w:rsidR="002B087C" w:rsidRPr="00A472FC">
        <w:rPr>
          <w:rFonts w:ascii="Times New Roman" w:hAnsi="Times New Roman" w:cs="Times New Roman"/>
        </w:rPr>
        <w:t>from</w:t>
      </w:r>
      <w:r w:rsidRPr="00A472FC">
        <w:rPr>
          <w:rFonts w:ascii="Times New Roman" w:hAnsi="Times New Roman" w:cs="Times New Roman"/>
        </w:rPr>
        <w:t xml:space="preserve"> the foundational work of John of La Rochelle. </w:t>
      </w:r>
    </w:p>
    <w:p w14:paraId="646C69F6" w14:textId="77777777" w:rsidR="000D3D92" w:rsidRPr="00A472FC" w:rsidRDefault="000D3D92" w:rsidP="00881604">
      <w:pPr>
        <w:ind w:right="-52"/>
        <w:rPr>
          <w:rFonts w:ascii="Times New Roman" w:hAnsi="Times New Roman" w:cs="Times New Roman"/>
        </w:rPr>
      </w:pPr>
    </w:p>
    <w:p w14:paraId="2E29E007" w14:textId="33B44D50" w:rsidR="000D3D92" w:rsidRPr="00A472FC" w:rsidRDefault="000D3D92" w:rsidP="00881604">
      <w:pPr>
        <w:ind w:right="-52"/>
        <w:rPr>
          <w:rFonts w:ascii="Times New Roman" w:hAnsi="Times New Roman" w:cs="Times New Roman"/>
          <w:u w:val="single"/>
        </w:rPr>
      </w:pPr>
      <w:r w:rsidRPr="00A472FC">
        <w:rPr>
          <w:rFonts w:ascii="Times New Roman" w:hAnsi="Times New Roman" w:cs="Times New Roman"/>
          <w:u w:val="single"/>
        </w:rPr>
        <w:t>Natural and Rational Will (</w:t>
      </w:r>
      <w:proofErr w:type="spellStart"/>
      <w:r w:rsidRPr="00A472FC">
        <w:rPr>
          <w:rFonts w:ascii="Times New Roman" w:hAnsi="Times New Roman" w:cs="Times New Roman"/>
          <w:i/>
          <w:u w:val="single"/>
        </w:rPr>
        <w:t>Thelesis</w:t>
      </w:r>
      <w:proofErr w:type="spellEnd"/>
      <w:r w:rsidRPr="00A472FC">
        <w:rPr>
          <w:rFonts w:ascii="Times New Roman" w:hAnsi="Times New Roman" w:cs="Times New Roman"/>
          <w:i/>
          <w:u w:val="single"/>
        </w:rPr>
        <w:t>/</w:t>
      </w:r>
      <w:proofErr w:type="spellStart"/>
      <w:r w:rsidRPr="00A472FC">
        <w:rPr>
          <w:rFonts w:ascii="Times New Roman" w:hAnsi="Times New Roman" w:cs="Times New Roman"/>
          <w:i/>
          <w:u w:val="single"/>
        </w:rPr>
        <w:t>B</w:t>
      </w:r>
      <w:r w:rsidR="00884E4A" w:rsidRPr="00A472FC">
        <w:rPr>
          <w:rFonts w:ascii="Times New Roman" w:hAnsi="Times New Roman" w:cs="Times New Roman"/>
          <w:i/>
          <w:u w:val="single"/>
        </w:rPr>
        <w:t>o</w:t>
      </w:r>
      <w:r w:rsidRPr="00A472FC">
        <w:rPr>
          <w:rFonts w:ascii="Times New Roman" w:hAnsi="Times New Roman" w:cs="Times New Roman"/>
          <w:i/>
          <w:u w:val="single"/>
        </w:rPr>
        <w:t>ulesis</w:t>
      </w:r>
      <w:proofErr w:type="spellEnd"/>
      <w:r w:rsidRPr="00A472FC">
        <w:rPr>
          <w:rFonts w:ascii="Times New Roman" w:hAnsi="Times New Roman" w:cs="Times New Roman"/>
          <w:u w:val="single"/>
        </w:rPr>
        <w:t>)</w:t>
      </w:r>
    </w:p>
    <w:p w14:paraId="17844855" w14:textId="77777777" w:rsidR="000D3D92" w:rsidRPr="00A472FC" w:rsidRDefault="000D3D92" w:rsidP="00881604">
      <w:pPr>
        <w:ind w:right="-52" w:firstLine="720"/>
        <w:rPr>
          <w:rFonts w:ascii="Times New Roman" w:hAnsi="Times New Roman" w:cs="Times New Roman"/>
        </w:rPr>
      </w:pPr>
    </w:p>
    <w:p w14:paraId="48D7ABE9" w14:textId="7D537CB7"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A crucial aspect of John’s motive power theory draws on John of Damascu</w:t>
      </w:r>
      <w:r w:rsidR="00895D0B" w:rsidRPr="00A472FC">
        <w:rPr>
          <w:rFonts w:ascii="Times New Roman" w:hAnsi="Times New Roman" w:cs="Times New Roman"/>
        </w:rPr>
        <w:t>s</w:t>
      </w:r>
      <w:r w:rsidRPr="00A472FC">
        <w:rPr>
          <w:rFonts w:ascii="Times New Roman" w:hAnsi="Times New Roman" w:cs="Times New Roman"/>
        </w:rPr>
        <w:t xml:space="preserve">. </w:t>
      </w:r>
      <w:r w:rsidR="00884E4A" w:rsidRPr="00A472FC">
        <w:rPr>
          <w:rFonts w:ascii="Times New Roman" w:hAnsi="Times New Roman" w:cs="Times New Roman"/>
        </w:rPr>
        <w:t xml:space="preserve">This concerns </w:t>
      </w:r>
      <w:r w:rsidRPr="00A472FC">
        <w:rPr>
          <w:rFonts w:ascii="Times New Roman" w:hAnsi="Times New Roman" w:cs="Times New Roman"/>
        </w:rPr>
        <w:t xml:space="preserve">his distinction between so-called </w:t>
      </w:r>
      <w:proofErr w:type="spellStart"/>
      <w:r w:rsidRPr="00A472FC">
        <w:rPr>
          <w:rFonts w:ascii="Times New Roman" w:hAnsi="Times New Roman" w:cs="Times New Roman"/>
          <w:i/>
        </w:rPr>
        <w:t>thelesis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or natural appetite and </w:t>
      </w:r>
      <w:proofErr w:type="spellStart"/>
      <w:r w:rsidRPr="00A472FC">
        <w:rPr>
          <w:rFonts w:ascii="Times New Roman" w:hAnsi="Times New Roman" w:cs="Times New Roman"/>
          <w:i/>
        </w:rPr>
        <w:t>b</w:t>
      </w:r>
      <w:r w:rsidR="00884E4A" w:rsidRPr="00A472FC">
        <w:rPr>
          <w:rFonts w:ascii="Times New Roman" w:hAnsi="Times New Roman" w:cs="Times New Roman"/>
          <w:i/>
        </w:rPr>
        <w:t>o</w:t>
      </w:r>
      <w:r w:rsidRPr="00A472FC">
        <w:rPr>
          <w:rFonts w:ascii="Times New Roman" w:hAnsi="Times New Roman" w:cs="Times New Roman"/>
          <w:i/>
        </w:rPr>
        <w:t>ulesis</w:t>
      </w:r>
      <w:proofErr w:type="spellEnd"/>
      <w:r w:rsidRPr="00A472FC">
        <w:rPr>
          <w:rFonts w:ascii="Times New Roman" w:hAnsi="Times New Roman" w:cs="Times New Roman"/>
          <w:i/>
        </w:rPr>
        <w:t xml:space="preserve"> </w:t>
      </w:r>
      <w:r w:rsidRPr="00A472FC">
        <w:rPr>
          <w:rFonts w:ascii="Times New Roman" w:hAnsi="Times New Roman" w:cs="Times New Roman"/>
        </w:rPr>
        <w:t>or rational and deliberative will.</w:t>
      </w:r>
      <w:r w:rsidRPr="00A472FC">
        <w:rPr>
          <w:rStyle w:val="FootnoteReference"/>
          <w:rFonts w:ascii="Times New Roman" w:hAnsi="Times New Roman" w:cs="Times New Roman"/>
        </w:rPr>
        <w:footnoteReference w:id="1033"/>
      </w:r>
      <w:r w:rsidRPr="00A472FC">
        <w:rPr>
          <w:rFonts w:ascii="Times New Roman" w:hAnsi="Times New Roman" w:cs="Times New Roman"/>
        </w:rPr>
        <w:t xml:space="preserve"> As </w:t>
      </w:r>
      <w:proofErr w:type="spellStart"/>
      <w:r w:rsidRPr="00A472FC">
        <w:rPr>
          <w:rFonts w:ascii="Times New Roman" w:hAnsi="Times New Roman" w:cs="Times New Roman"/>
        </w:rPr>
        <w:t>Adelman</w:t>
      </w:r>
      <w:proofErr w:type="spellEnd"/>
      <w:r w:rsidRPr="00A472FC">
        <w:rPr>
          <w:rFonts w:ascii="Times New Roman" w:hAnsi="Times New Roman" w:cs="Times New Roman"/>
        </w:rPr>
        <w:t xml:space="preserve"> notes, the term </w:t>
      </w:r>
      <w:proofErr w:type="spellStart"/>
      <w:r w:rsidRPr="00A472FC">
        <w:rPr>
          <w:rFonts w:ascii="Times New Roman" w:hAnsi="Times New Roman" w:cs="Times New Roman"/>
          <w:i/>
        </w:rPr>
        <w:t>thelesis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has no precedent in the Aristotelian tradition, whether in Aristotle himself, or in his commentators, Alexander of </w:t>
      </w:r>
      <w:proofErr w:type="spellStart"/>
      <w:r w:rsidRPr="00A472FC">
        <w:rPr>
          <w:rFonts w:ascii="Times New Roman" w:hAnsi="Times New Roman" w:cs="Times New Roman"/>
        </w:rPr>
        <w:t>Aphrodisias</w:t>
      </w:r>
      <w:proofErr w:type="spellEnd"/>
      <w:r w:rsidRPr="00A472FC">
        <w:rPr>
          <w:rFonts w:ascii="Times New Roman" w:hAnsi="Times New Roman" w:cs="Times New Roman"/>
        </w:rPr>
        <w:t xml:space="preserve"> or John </w:t>
      </w:r>
      <w:proofErr w:type="spellStart"/>
      <w:r w:rsidRPr="00A472FC">
        <w:rPr>
          <w:rFonts w:ascii="Times New Roman" w:hAnsi="Times New Roman" w:cs="Times New Roman"/>
        </w:rPr>
        <w:t>Philoponus</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1034"/>
      </w:r>
      <w:r w:rsidRPr="00A472FC">
        <w:rPr>
          <w:rFonts w:ascii="Times New Roman" w:hAnsi="Times New Roman" w:cs="Times New Roman"/>
        </w:rPr>
        <w:t xml:space="preserve"> The origins of this term seem to come </w:t>
      </w:r>
      <w:r w:rsidR="007838E4" w:rsidRPr="00A472FC">
        <w:rPr>
          <w:rFonts w:ascii="Times New Roman" w:hAnsi="Times New Roman" w:cs="Times New Roman"/>
        </w:rPr>
        <w:t xml:space="preserve">principally </w:t>
      </w:r>
      <w:r w:rsidR="00740D63" w:rsidRPr="00A472FC">
        <w:rPr>
          <w:rFonts w:ascii="Times New Roman" w:hAnsi="Times New Roman" w:cs="Times New Roman"/>
        </w:rPr>
        <w:t>from</w:t>
      </w:r>
      <w:r w:rsidR="00530E56" w:rsidRPr="00A472FC">
        <w:rPr>
          <w:rFonts w:ascii="Times New Roman" w:hAnsi="Times New Roman" w:cs="Times New Roman"/>
        </w:rPr>
        <w:t xml:space="preserve"> </w:t>
      </w:r>
      <w:r w:rsidRPr="00A472FC">
        <w:rPr>
          <w:rFonts w:ascii="Times New Roman" w:hAnsi="Times New Roman" w:cs="Times New Roman"/>
        </w:rPr>
        <w:t>Maximus Confessor</w:t>
      </w:r>
      <w:r w:rsidR="00227FC8" w:rsidRPr="00A472FC">
        <w:rPr>
          <w:rFonts w:ascii="Times New Roman" w:hAnsi="Times New Roman" w:cs="Times New Roman"/>
        </w:rPr>
        <w:t xml:space="preserve">, who used the distinction between </w:t>
      </w:r>
      <w:proofErr w:type="spellStart"/>
      <w:r w:rsidR="00227FC8" w:rsidRPr="00A472FC">
        <w:rPr>
          <w:rFonts w:ascii="Times New Roman" w:hAnsi="Times New Roman" w:cs="Times New Roman"/>
          <w:i/>
          <w:iCs/>
        </w:rPr>
        <w:t>thelesis</w:t>
      </w:r>
      <w:proofErr w:type="spellEnd"/>
      <w:r w:rsidR="00227FC8" w:rsidRPr="00A472FC">
        <w:rPr>
          <w:rFonts w:ascii="Times New Roman" w:hAnsi="Times New Roman" w:cs="Times New Roman"/>
          <w:i/>
          <w:iCs/>
        </w:rPr>
        <w:t xml:space="preserve"> </w:t>
      </w:r>
      <w:r w:rsidR="00227FC8" w:rsidRPr="00A472FC">
        <w:rPr>
          <w:rFonts w:ascii="Times New Roman" w:hAnsi="Times New Roman" w:cs="Times New Roman"/>
        </w:rPr>
        <w:t xml:space="preserve">and </w:t>
      </w:r>
      <w:proofErr w:type="spellStart"/>
      <w:r w:rsidR="00227FC8" w:rsidRPr="00A472FC">
        <w:rPr>
          <w:rFonts w:ascii="Times New Roman" w:hAnsi="Times New Roman" w:cs="Times New Roman"/>
          <w:i/>
          <w:iCs/>
        </w:rPr>
        <w:t>boulesis</w:t>
      </w:r>
      <w:proofErr w:type="spellEnd"/>
      <w:r w:rsidR="003F7FCF" w:rsidRPr="00A472FC">
        <w:rPr>
          <w:rFonts w:ascii="Times New Roman" w:hAnsi="Times New Roman" w:cs="Times New Roman"/>
          <w:i/>
          <w:iCs/>
        </w:rPr>
        <w:t xml:space="preserve">, </w:t>
      </w:r>
      <w:r w:rsidR="003F7FCF" w:rsidRPr="00A472FC">
        <w:rPr>
          <w:rFonts w:ascii="Times New Roman" w:hAnsi="Times New Roman" w:cs="Times New Roman"/>
        </w:rPr>
        <w:t>which was subsequently copied by Damascene,</w:t>
      </w:r>
      <w:r w:rsidR="00227FC8" w:rsidRPr="00A472FC">
        <w:rPr>
          <w:rFonts w:ascii="Times New Roman" w:hAnsi="Times New Roman" w:cs="Times New Roman"/>
          <w:i/>
          <w:iCs/>
        </w:rPr>
        <w:t xml:space="preserve"> </w:t>
      </w:r>
      <w:r w:rsidR="00227FC8" w:rsidRPr="00A472FC">
        <w:rPr>
          <w:rFonts w:ascii="Times New Roman" w:hAnsi="Times New Roman" w:cs="Times New Roman"/>
        </w:rPr>
        <w:t>to differentiate between Christ’s human and divine wills</w:t>
      </w:r>
      <w:r w:rsidR="00896366" w:rsidRPr="00A472FC">
        <w:rPr>
          <w:rFonts w:ascii="Times New Roman" w:hAnsi="Times New Roman" w:cs="Times New Roman"/>
        </w:rPr>
        <w:t>,</w:t>
      </w:r>
      <w:r w:rsidR="00227FC8" w:rsidRPr="00A472FC">
        <w:rPr>
          <w:rFonts w:ascii="Times New Roman" w:hAnsi="Times New Roman" w:cs="Times New Roman"/>
        </w:rPr>
        <w:t xml:space="preserve"> </w:t>
      </w:r>
      <w:r w:rsidR="00896366" w:rsidRPr="00A472FC">
        <w:rPr>
          <w:rFonts w:ascii="Times New Roman" w:hAnsi="Times New Roman" w:cs="Times New Roman"/>
        </w:rPr>
        <w:lastRenderedPageBreak/>
        <w:t>in opposition to the</w:t>
      </w:r>
      <w:r w:rsidR="00227FC8" w:rsidRPr="00A472FC">
        <w:rPr>
          <w:rFonts w:ascii="Times New Roman" w:hAnsi="Times New Roman" w:cs="Times New Roman"/>
        </w:rPr>
        <w:t xml:space="preserve"> heresy of </w:t>
      </w:r>
      <w:proofErr w:type="spellStart"/>
      <w:r w:rsidR="00227FC8" w:rsidRPr="00A472FC">
        <w:rPr>
          <w:rFonts w:ascii="Times New Roman" w:hAnsi="Times New Roman" w:cs="Times New Roman"/>
        </w:rPr>
        <w:t>monotheletism</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1035"/>
      </w:r>
      <w:r w:rsidRPr="00A472FC">
        <w:rPr>
          <w:rFonts w:ascii="Times New Roman" w:hAnsi="Times New Roman" w:cs="Times New Roman"/>
        </w:rPr>
        <w:t xml:space="preserve"> For his part, ‘the </w:t>
      </w:r>
      <w:proofErr w:type="spellStart"/>
      <w:r w:rsidRPr="00A472FC">
        <w:rPr>
          <w:rFonts w:ascii="Times New Roman" w:hAnsi="Times New Roman" w:cs="Times New Roman"/>
        </w:rPr>
        <w:t>Stagirite</w:t>
      </w:r>
      <w:proofErr w:type="spellEnd"/>
      <w:r w:rsidRPr="00A472FC">
        <w:rPr>
          <w:rFonts w:ascii="Times New Roman" w:hAnsi="Times New Roman" w:cs="Times New Roman"/>
        </w:rPr>
        <w:t xml:space="preserve"> believed that man with his intellect could control his lower appetites in a deliberative process that entailed reasoning about the means for what is thought to be good and proper as a kind of goal. Thus, for Aristotle the will is appetitive reason or reasoning appetite, and he refers to this activity as </w:t>
      </w:r>
      <w:proofErr w:type="spellStart"/>
      <w:r w:rsidRPr="00A472FC">
        <w:rPr>
          <w:rFonts w:ascii="Times New Roman" w:hAnsi="Times New Roman" w:cs="Times New Roman"/>
          <w:i/>
        </w:rPr>
        <w:t>boulesis</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1036"/>
      </w:r>
      <w:r w:rsidRPr="00A472FC">
        <w:rPr>
          <w:rFonts w:ascii="Times New Roman" w:hAnsi="Times New Roman" w:cs="Times New Roman"/>
        </w:rPr>
        <w:t xml:space="preserve"> </w:t>
      </w:r>
    </w:p>
    <w:p w14:paraId="14EAEAFB" w14:textId="4BD671E1"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 xml:space="preserve">As </w:t>
      </w:r>
      <w:proofErr w:type="spellStart"/>
      <w:r w:rsidRPr="00A472FC">
        <w:rPr>
          <w:rFonts w:ascii="Times New Roman" w:hAnsi="Times New Roman" w:cs="Times New Roman"/>
        </w:rPr>
        <w:t>Adelman</w:t>
      </w:r>
      <w:proofErr w:type="spellEnd"/>
      <w:r w:rsidRPr="00A472FC">
        <w:rPr>
          <w:rFonts w:ascii="Times New Roman" w:hAnsi="Times New Roman" w:cs="Times New Roman"/>
        </w:rPr>
        <w:t xml:space="preserve"> further notes, the ‘Damascene </w:t>
      </w:r>
      <w:proofErr w:type="spellStart"/>
      <w:r w:rsidRPr="00A472FC">
        <w:rPr>
          <w:rFonts w:ascii="Times New Roman" w:hAnsi="Times New Roman" w:cs="Times New Roman"/>
        </w:rPr>
        <w:t>emphasizes</w:t>
      </w:r>
      <w:proofErr w:type="spellEnd"/>
      <w:r w:rsidRPr="00A472FC">
        <w:rPr>
          <w:rFonts w:ascii="Times New Roman" w:hAnsi="Times New Roman" w:cs="Times New Roman"/>
        </w:rPr>
        <w:t xml:space="preserve"> that </w:t>
      </w:r>
      <w:proofErr w:type="spellStart"/>
      <w:r w:rsidRPr="00A472FC">
        <w:rPr>
          <w:rFonts w:ascii="Times New Roman" w:hAnsi="Times New Roman" w:cs="Times New Roman"/>
          <w:i/>
        </w:rPr>
        <w:t>boulesis</w:t>
      </w:r>
      <w:proofErr w:type="spellEnd"/>
      <w:r w:rsidRPr="00A472FC">
        <w:rPr>
          <w:rFonts w:ascii="Times New Roman" w:hAnsi="Times New Roman" w:cs="Times New Roman"/>
        </w:rPr>
        <w:t xml:space="preserve"> refers to willing the end and not the means. The end, then, is that which one wishes or wills; that which concerns the means is that about which one deliberates (</w:t>
      </w:r>
      <w:proofErr w:type="spellStart"/>
      <w:r w:rsidRPr="00A472FC">
        <w:rPr>
          <w:rFonts w:ascii="Times New Roman" w:hAnsi="Times New Roman" w:cs="Times New Roman"/>
          <w:i/>
        </w:rPr>
        <w:t>bouleuton</w:t>
      </w:r>
      <w:proofErr w:type="spellEnd"/>
      <w:r w:rsidRPr="00A472FC">
        <w:rPr>
          <w:rFonts w:ascii="Times New Roman" w:hAnsi="Times New Roman" w:cs="Times New Roman"/>
        </w:rPr>
        <w:t xml:space="preserve">) [concerning] the way in which we are able to accomplish the end or goal. Thus </w:t>
      </w:r>
      <w:proofErr w:type="spellStart"/>
      <w:r w:rsidRPr="00A472FC">
        <w:rPr>
          <w:rFonts w:ascii="Times New Roman" w:hAnsi="Times New Roman" w:cs="Times New Roman"/>
          <w:i/>
        </w:rPr>
        <w:t>bouleusis</w:t>
      </w:r>
      <w:proofErr w:type="spellEnd"/>
      <w:r w:rsidRPr="00A472FC">
        <w:rPr>
          <w:rFonts w:ascii="Times New Roman" w:hAnsi="Times New Roman" w:cs="Times New Roman"/>
        </w:rPr>
        <w:t xml:space="preserve"> differs from </w:t>
      </w:r>
      <w:proofErr w:type="spellStart"/>
      <w:r w:rsidRPr="00A472FC">
        <w:rPr>
          <w:rFonts w:ascii="Times New Roman" w:hAnsi="Times New Roman" w:cs="Times New Roman"/>
          <w:i/>
        </w:rPr>
        <w:t>boulesis</w:t>
      </w:r>
      <w:proofErr w:type="spellEnd"/>
      <w:r w:rsidRPr="00A472FC">
        <w:rPr>
          <w:rFonts w:ascii="Times New Roman" w:hAnsi="Times New Roman" w:cs="Times New Roman"/>
        </w:rPr>
        <w:t xml:space="preserve"> as the deliberative process differs from the definite act of first willing the end.’</w:t>
      </w:r>
      <w:r w:rsidRPr="00A472FC">
        <w:rPr>
          <w:rStyle w:val="FootnoteReference"/>
          <w:rFonts w:ascii="Times New Roman" w:hAnsi="Times New Roman" w:cs="Times New Roman"/>
        </w:rPr>
        <w:footnoteReference w:id="1037"/>
      </w:r>
      <w:r w:rsidRPr="00A472FC">
        <w:rPr>
          <w:rFonts w:ascii="Times New Roman" w:hAnsi="Times New Roman" w:cs="Times New Roman"/>
        </w:rPr>
        <w:t xml:space="preserve"> As Lottin has explained, however, a common mistake made by Philip the Chancellor up through Thomas Aquinas was to assume that Damascus’ term ‘</w:t>
      </w:r>
      <w:proofErr w:type="spellStart"/>
      <w:r w:rsidRPr="00A472FC">
        <w:rPr>
          <w:rFonts w:ascii="Times New Roman" w:hAnsi="Times New Roman" w:cs="Times New Roman"/>
          <w:i/>
        </w:rPr>
        <w:t>boulesis</w:t>
      </w:r>
      <w:proofErr w:type="spellEnd"/>
      <w:r w:rsidRPr="00A472FC">
        <w:rPr>
          <w:rFonts w:ascii="Times New Roman" w:hAnsi="Times New Roman" w:cs="Times New Roman"/>
        </w:rPr>
        <w:t xml:space="preserve">’ refers to willing the means as well </w:t>
      </w:r>
      <w:r w:rsidR="0043122D" w:rsidRPr="00A472FC">
        <w:rPr>
          <w:rFonts w:ascii="Times New Roman" w:hAnsi="Times New Roman" w:cs="Times New Roman"/>
        </w:rPr>
        <w:t xml:space="preserve">as or </w:t>
      </w:r>
      <w:r w:rsidR="00C840FA" w:rsidRPr="00A472FC">
        <w:rPr>
          <w:rFonts w:ascii="Times New Roman" w:hAnsi="Times New Roman" w:cs="Times New Roman"/>
        </w:rPr>
        <w:t xml:space="preserve">instead of </w:t>
      </w:r>
      <w:r w:rsidRPr="00A472FC">
        <w:rPr>
          <w:rFonts w:ascii="Times New Roman" w:hAnsi="Times New Roman" w:cs="Times New Roman"/>
        </w:rPr>
        <w:t>the ends, which is technically not correct.</w:t>
      </w:r>
      <w:r w:rsidRPr="00A472FC">
        <w:rPr>
          <w:rStyle w:val="FootnoteReference"/>
          <w:rFonts w:ascii="Times New Roman" w:hAnsi="Times New Roman" w:cs="Times New Roman"/>
        </w:rPr>
        <w:footnoteReference w:id="1038"/>
      </w:r>
      <w:r w:rsidRPr="00A472FC">
        <w:rPr>
          <w:rFonts w:ascii="Times New Roman" w:hAnsi="Times New Roman" w:cs="Times New Roman"/>
        </w:rPr>
        <w:t xml:space="preserve"> </w:t>
      </w:r>
    </w:p>
    <w:p w14:paraId="134550CA" w14:textId="29DDF4BF"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 xml:space="preserve">In both the </w:t>
      </w:r>
      <w:proofErr w:type="spellStart"/>
      <w:r w:rsidR="00040053" w:rsidRPr="00A472FC">
        <w:rPr>
          <w:rFonts w:ascii="Times New Roman" w:hAnsi="Times New Roman" w:cs="Times New Roman"/>
          <w:i/>
        </w:rPr>
        <w:t>Tractatus</w:t>
      </w:r>
      <w:proofErr w:type="spellEnd"/>
      <w:r w:rsidRPr="00A472FC">
        <w:rPr>
          <w:rFonts w:ascii="Times New Roman" w:hAnsi="Times New Roman" w:cs="Times New Roman"/>
        </w:rPr>
        <w:t xml:space="preserve"> and the </w:t>
      </w:r>
      <w:r w:rsidRPr="00A472FC">
        <w:rPr>
          <w:rFonts w:ascii="Times New Roman" w:hAnsi="Times New Roman" w:cs="Times New Roman"/>
          <w:i/>
        </w:rPr>
        <w:t>Summa de anima</w:t>
      </w:r>
      <w:r w:rsidRPr="00A472FC">
        <w:rPr>
          <w:rFonts w:ascii="Times New Roman" w:hAnsi="Times New Roman" w:cs="Times New Roman"/>
        </w:rPr>
        <w:t xml:space="preserve">, John works towards explaining </w:t>
      </w:r>
      <w:proofErr w:type="spellStart"/>
      <w:r w:rsidRPr="00A472FC">
        <w:rPr>
          <w:rFonts w:ascii="Times New Roman" w:hAnsi="Times New Roman" w:cs="Times New Roman"/>
          <w:i/>
        </w:rPr>
        <w:t>thelesis</w:t>
      </w:r>
      <w:proofErr w:type="spellEnd"/>
      <w:r w:rsidRPr="00A472FC">
        <w:rPr>
          <w:rFonts w:ascii="Times New Roman" w:hAnsi="Times New Roman" w:cs="Times New Roman"/>
          <w:i/>
        </w:rPr>
        <w:t>/</w:t>
      </w:r>
      <w:proofErr w:type="spellStart"/>
      <w:r w:rsidRPr="00A472FC">
        <w:rPr>
          <w:rFonts w:ascii="Times New Roman" w:hAnsi="Times New Roman" w:cs="Times New Roman"/>
          <w:i/>
        </w:rPr>
        <w:t>boulesis</w:t>
      </w:r>
      <w:proofErr w:type="spellEnd"/>
      <w:r w:rsidRPr="00A472FC">
        <w:rPr>
          <w:rFonts w:ascii="Times New Roman" w:hAnsi="Times New Roman" w:cs="Times New Roman"/>
          <w:i/>
        </w:rPr>
        <w:t xml:space="preserve"> </w:t>
      </w:r>
      <w:r w:rsidRPr="00A472FC">
        <w:rPr>
          <w:rFonts w:ascii="Times New Roman" w:hAnsi="Times New Roman" w:cs="Times New Roman"/>
        </w:rPr>
        <w:t>by distinguishing between motive powers that rule and are not ruled; that rule and are ruled; and that are ruled only.</w:t>
      </w:r>
      <w:r w:rsidRPr="00A472FC">
        <w:rPr>
          <w:rStyle w:val="FootnoteReference"/>
          <w:rFonts w:ascii="Times New Roman" w:hAnsi="Times New Roman" w:cs="Times New Roman"/>
        </w:rPr>
        <w:footnoteReference w:id="1039"/>
      </w:r>
      <w:r w:rsidRPr="00A472FC">
        <w:rPr>
          <w:rFonts w:ascii="Times New Roman" w:hAnsi="Times New Roman" w:cs="Times New Roman"/>
        </w:rPr>
        <w:t xml:space="preserve"> This is a distinction he attributes both to Avicenna/the philosophers and to John of Damascus.</w:t>
      </w:r>
      <w:r w:rsidRPr="00A472FC">
        <w:rPr>
          <w:rStyle w:val="FootnoteReference"/>
          <w:rFonts w:ascii="Times New Roman" w:hAnsi="Times New Roman" w:cs="Times New Roman"/>
        </w:rPr>
        <w:footnoteReference w:id="1040"/>
      </w:r>
      <w:r w:rsidRPr="00A472FC">
        <w:rPr>
          <w:rFonts w:ascii="Times New Roman" w:hAnsi="Times New Roman" w:cs="Times New Roman"/>
        </w:rPr>
        <w:t xml:space="preserve"> The motive powers that rule and are not ruled are two-fold. There is a rational motive power which is undetermined to </w:t>
      </w:r>
      <w:r w:rsidR="00E342BB" w:rsidRPr="00A472FC">
        <w:rPr>
          <w:rFonts w:ascii="Times New Roman" w:hAnsi="Times New Roman" w:cs="Times New Roman"/>
        </w:rPr>
        <w:t xml:space="preserve">either </w:t>
      </w:r>
      <w:r w:rsidRPr="00A472FC">
        <w:rPr>
          <w:rFonts w:ascii="Times New Roman" w:hAnsi="Times New Roman" w:cs="Times New Roman"/>
        </w:rPr>
        <w:t xml:space="preserve">good or evil. Moreover, there is a motive power </w:t>
      </w:r>
      <w:proofErr w:type="spellStart"/>
      <w:r w:rsidRPr="00A472FC">
        <w:rPr>
          <w:rFonts w:ascii="Times New Roman" w:hAnsi="Times New Roman" w:cs="Times New Roman"/>
          <w:i/>
        </w:rPr>
        <w:t>ut</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natura</w:t>
      </w:r>
      <w:proofErr w:type="spellEnd"/>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which is determined to the good in one of three ways. Firstly, it is determined to the </w:t>
      </w:r>
      <w:proofErr w:type="spellStart"/>
      <w:r w:rsidRPr="00A472FC">
        <w:rPr>
          <w:rFonts w:ascii="Times New Roman" w:hAnsi="Times New Roman" w:cs="Times New Roman"/>
          <w:i/>
        </w:rPr>
        <w:t>bonum</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honestum</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or the spiritual or moral good, ultimately, God, by means of </w:t>
      </w:r>
      <w:proofErr w:type="spellStart"/>
      <w:r w:rsidRPr="00A472FC">
        <w:rPr>
          <w:rFonts w:ascii="Times New Roman" w:hAnsi="Times New Roman" w:cs="Times New Roman"/>
          <w:i/>
          <w:iCs/>
        </w:rPr>
        <w:t>synderesis</w:t>
      </w:r>
      <w:proofErr w:type="spellEnd"/>
      <w:r w:rsidRPr="00A472FC">
        <w:rPr>
          <w:rFonts w:ascii="Times New Roman" w:hAnsi="Times New Roman" w:cs="Times New Roman"/>
        </w:rPr>
        <w:t xml:space="preserve"> or an innate appetite for the good; or it is determined to the natural good, through </w:t>
      </w:r>
      <w:proofErr w:type="spellStart"/>
      <w:r w:rsidRPr="00A472FC">
        <w:rPr>
          <w:rFonts w:ascii="Times New Roman" w:hAnsi="Times New Roman" w:cs="Times New Roman"/>
          <w:i/>
        </w:rPr>
        <w:t>thelesis</w:t>
      </w:r>
      <w:proofErr w:type="spellEnd"/>
      <w:r w:rsidRPr="00A472FC">
        <w:rPr>
          <w:rFonts w:ascii="Times New Roman" w:hAnsi="Times New Roman" w:cs="Times New Roman"/>
        </w:rPr>
        <w:t>, or the natural will that is mentioned by Damascus.</w:t>
      </w:r>
      <w:r w:rsidRPr="00A472FC">
        <w:rPr>
          <w:rStyle w:val="FootnoteReference"/>
          <w:rFonts w:ascii="Times New Roman" w:hAnsi="Times New Roman" w:cs="Times New Roman"/>
        </w:rPr>
        <w:footnoteReference w:id="1041"/>
      </w:r>
      <w:r w:rsidRPr="00A472FC">
        <w:rPr>
          <w:rFonts w:ascii="Times New Roman" w:hAnsi="Times New Roman" w:cs="Times New Roman"/>
        </w:rPr>
        <w:t xml:space="preserve"> This will concerns human activities like being, living, understanding, feeling</w:t>
      </w:r>
      <w:r w:rsidR="00D914B5" w:rsidRPr="00A472FC">
        <w:rPr>
          <w:rFonts w:ascii="Times New Roman" w:hAnsi="Times New Roman" w:cs="Times New Roman"/>
        </w:rPr>
        <w:t>.</w:t>
      </w:r>
      <w:r w:rsidRPr="00A472FC">
        <w:rPr>
          <w:rStyle w:val="FootnoteReference"/>
          <w:rFonts w:ascii="Times New Roman" w:hAnsi="Times New Roman" w:cs="Times New Roman"/>
        </w:rPr>
        <w:t xml:space="preserve"> </w:t>
      </w:r>
      <w:r w:rsidRPr="00A472FC">
        <w:rPr>
          <w:rStyle w:val="FootnoteReference"/>
          <w:rFonts w:ascii="Times New Roman" w:hAnsi="Times New Roman" w:cs="Times New Roman"/>
        </w:rPr>
        <w:footnoteReference w:id="1042"/>
      </w:r>
      <w:r w:rsidRPr="00A472FC">
        <w:rPr>
          <w:rFonts w:ascii="Times New Roman" w:hAnsi="Times New Roman" w:cs="Times New Roman"/>
        </w:rPr>
        <w:t xml:space="preserve"> </w:t>
      </w:r>
    </w:p>
    <w:p w14:paraId="6539124C" w14:textId="5C2D765D" w:rsidR="000D3D92" w:rsidRPr="00A472FC" w:rsidRDefault="000D3D92" w:rsidP="00881604">
      <w:pPr>
        <w:ind w:right="-52" w:firstLine="720"/>
        <w:rPr>
          <w:rFonts w:ascii="Times New Roman" w:hAnsi="Times New Roman" w:cs="Times New Roman"/>
          <w:lang w:val="en-US"/>
        </w:rPr>
      </w:pPr>
      <w:r w:rsidRPr="00A472FC">
        <w:rPr>
          <w:rFonts w:ascii="Times New Roman" w:hAnsi="Times New Roman" w:cs="Times New Roman"/>
        </w:rPr>
        <w:t xml:space="preserve">The rational motive power that is </w:t>
      </w:r>
      <w:r w:rsidRPr="00A472FC">
        <w:rPr>
          <w:rFonts w:ascii="Times New Roman" w:hAnsi="Times New Roman" w:cs="Times New Roman"/>
          <w:i/>
        </w:rPr>
        <w:t xml:space="preserve">not </w:t>
      </w:r>
      <w:r w:rsidRPr="00A472FC">
        <w:rPr>
          <w:rFonts w:ascii="Times New Roman" w:hAnsi="Times New Roman" w:cs="Times New Roman"/>
        </w:rPr>
        <w:t>determined to the good is also two-fold. In the first place, it considers and discerns what is to be done, and this is called right reason (</w:t>
      </w:r>
      <w:r w:rsidRPr="00A472FC">
        <w:rPr>
          <w:rFonts w:ascii="Times New Roman" w:hAnsi="Times New Roman" w:cs="Times New Roman"/>
          <w:i/>
        </w:rPr>
        <w:t>ratio recta</w:t>
      </w:r>
      <w:r w:rsidRPr="00A472FC">
        <w:rPr>
          <w:rFonts w:ascii="Times New Roman" w:hAnsi="Times New Roman" w:cs="Times New Roman"/>
        </w:rPr>
        <w:t>)</w:t>
      </w:r>
      <w:r w:rsidR="0043122D" w:rsidRPr="00A472FC">
        <w:rPr>
          <w:rFonts w:ascii="Times New Roman" w:hAnsi="Times New Roman" w:cs="Times New Roman"/>
        </w:rPr>
        <w:t>. S</w:t>
      </w:r>
      <w:r w:rsidRPr="00A472FC">
        <w:rPr>
          <w:rFonts w:ascii="Times New Roman" w:hAnsi="Times New Roman" w:cs="Times New Roman"/>
        </w:rPr>
        <w:t xml:space="preserve">econdly, it desires the good known and moves towards it, which is </w:t>
      </w:r>
      <w:proofErr w:type="spellStart"/>
      <w:r w:rsidRPr="00A472FC">
        <w:rPr>
          <w:rFonts w:ascii="Times New Roman" w:hAnsi="Times New Roman" w:cs="Times New Roman"/>
          <w:i/>
        </w:rPr>
        <w:t>b</w:t>
      </w:r>
      <w:r w:rsidR="00D914B5" w:rsidRPr="00A472FC">
        <w:rPr>
          <w:rFonts w:ascii="Times New Roman" w:hAnsi="Times New Roman" w:cs="Times New Roman"/>
          <w:i/>
        </w:rPr>
        <w:t>o</w:t>
      </w:r>
      <w:r w:rsidRPr="00A472FC">
        <w:rPr>
          <w:rFonts w:ascii="Times New Roman" w:hAnsi="Times New Roman" w:cs="Times New Roman"/>
          <w:i/>
        </w:rPr>
        <w:t>ulesis</w:t>
      </w:r>
      <w:proofErr w:type="spellEnd"/>
      <w:r w:rsidRPr="00A472FC">
        <w:rPr>
          <w:rFonts w:ascii="Times New Roman" w:hAnsi="Times New Roman" w:cs="Times New Roman"/>
        </w:rPr>
        <w:t xml:space="preserve"> or the deliberative will of which Damascus speaks.</w:t>
      </w:r>
      <w:r w:rsidRPr="00A472FC">
        <w:rPr>
          <w:rStyle w:val="FootnoteReference"/>
          <w:rFonts w:ascii="Times New Roman" w:hAnsi="Times New Roman" w:cs="Times New Roman"/>
        </w:rPr>
        <w:footnoteReference w:id="1043"/>
      </w:r>
      <w:r w:rsidRPr="00A472FC">
        <w:rPr>
          <w:rFonts w:ascii="Times New Roman" w:hAnsi="Times New Roman" w:cs="Times New Roman"/>
        </w:rPr>
        <w:t xml:space="preserve"> Thus, John holds that </w:t>
      </w:r>
      <w:proofErr w:type="spellStart"/>
      <w:r w:rsidRPr="00A472FC">
        <w:rPr>
          <w:rFonts w:ascii="Times New Roman" w:hAnsi="Times New Roman" w:cs="Times New Roman"/>
          <w:i/>
          <w:iCs/>
        </w:rPr>
        <w:t>b</w:t>
      </w:r>
      <w:r w:rsidR="00D914B5" w:rsidRPr="00A472FC">
        <w:rPr>
          <w:rFonts w:ascii="Times New Roman" w:hAnsi="Times New Roman" w:cs="Times New Roman"/>
          <w:i/>
          <w:iCs/>
        </w:rPr>
        <w:t>o</w:t>
      </w:r>
      <w:r w:rsidRPr="00A472FC">
        <w:rPr>
          <w:rFonts w:ascii="Times New Roman" w:hAnsi="Times New Roman" w:cs="Times New Roman"/>
          <w:i/>
          <w:iCs/>
        </w:rPr>
        <w:t>ulesis</w:t>
      </w:r>
      <w:proofErr w:type="spellEnd"/>
      <w:r w:rsidRPr="00A472FC">
        <w:rPr>
          <w:rFonts w:ascii="Times New Roman" w:hAnsi="Times New Roman" w:cs="Times New Roman"/>
        </w:rPr>
        <w:t xml:space="preserve"> encompasses deliberation about both</w:t>
      </w:r>
      <w:r w:rsidRPr="00A472FC">
        <w:rPr>
          <w:rFonts w:ascii="Times New Roman" w:hAnsi="Times New Roman" w:cs="Times New Roman"/>
          <w:kern w:val="1"/>
          <w:lang w:val="en-US"/>
        </w:rPr>
        <w:t xml:space="preserve"> ends and means to ends.</w:t>
      </w:r>
      <w:r w:rsidRPr="00A472FC">
        <w:rPr>
          <w:rStyle w:val="FootnoteReference"/>
          <w:rFonts w:ascii="Times New Roman" w:hAnsi="Times New Roman" w:cs="Times New Roman"/>
          <w:kern w:val="1"/>
          <w:lang w:val="en-US"/>
        </w:rPr>
        <w:footnoteReference w:id="1044"/>
      </w:r>
      <w:r w:rsidRPr="00A472FC">
        <w:rPr>
          <w:rFonts w:ascii="Times New Roman" w:hAnsi="Times New Roman" w:cs="Times New Roman"/>
          <w:kern w:val="1"/>
          <w:lang w:val="en-US"/>
        </w:rPr>
        <w:t xml:space="preserve"> </w:t>
      </w:r>
      <w:r w:rsidRPr="00A472FC">
        <w:rPr>
          <w:rFonts w:ascii="Times New Roman" w:hAnsi="Times New Roman" w:cs="Times New Roman"/>
        </w:rPr>
        <w:t xml:space="preserve">More generally, John concludes that the </w:t>
      </w:r>
      <w:r w:rsidRPr="00A472FC">
        <w:rPr>
          <w:rFonts w:ascii="Times New Roman" w:hAnsi="Times New Roman" w:cs="Times New Roman"/>
        </w:rPr>
        <w:lastRenderedPageBreak/>
        <w:t xml:space="preserve">rational will in its two phases is the same in substance with free will or </w:t>
      </w:r>
      <w:proofErr w:type="spellStart"/>
      <w:r w:rsidRPr="00A472FC">
        <w:rPr>
          <w:rFonts w:ascii="Times New Roman" w:hAnsi="Times New Roman" w:cs="Times New Roman"/>
          <w:i/>
        </w:rPr>
        <w:t>liberum</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arbitrium</w:t>
      </w:r>
      <w:proofErr w:type="spellEnd"/>
      <w:r w:rsidRPr="00A472FC">
        <w:rPr>
          <w:rFonts w:ascii="Times New Roman" w:hAnsi="Times New Roman" w:cs="Times New Roman"/>
        </w:rPr>
        <w:t>, which is the power that John says the philosophers, namely, Aristotle, called the practical intellect,</w:t>
      </w:r>
      <w:r w:rsidRPr="00A472FC">
        <w:rPr>
          <w:rFonts w:ascii="Times New Roman" w:hAnsi="Times New Roman" w:cs="Times New Roman"/>
          <w:lang w:val="en-US"/>
        </w:rPr>
        <w:t xml:space="preserve"> insofar</w:t>
      </w:r>
      <w:r w:rsidRPr="00A472FC">
        <w:rPr>
          <w:rFonts w:ascii="Times New Roman" w:hAnsi="Times New Roman" w:cs="Times New Roman"/>
        </w:rPr>
        <w:t xml:space="preserve"> as it entails the judgment of reason (</w:t>
      </w:r>
      <w:proofErr w:type="spellStart"/>
      <w:r w:rsidRPr="00A472FC">
        <w:rPr>
          <w:rFonts w:ascii="Times New Roman" w:hAnsi="Times New Roman" w:cs="Times New Roman"/>
          <w:i/>
        </w:rPr>
        <w:t>arbitrium</w:t>
      </w:r>
      <w:proofErr w:type="spellEnd"/>
      <w:r w:rsidRPr="00A472FC">
        <w:rPr>
          <w:rFonts w:ascii="Times New Roman" w:hAnsi="Times New Roman" w:cs="Times New Roman"/>
        </w:rPr>
        <w:t>) and the free movement of the will (</w:t>
      </w:r>
      <w:proofErr w:type="spellStart"/>
      <w:r w:rsidRPr="00A472FC">
        <w:rPr>
          <w:rFonts w:ascii="Times New Roman" w:hAnsi="Times New Roman" w:cs="Times New Roman"/>
          <w:i/>
        </w:rPr>
        <w:t>liberum</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1045"/>
      </w:r>
    </w:p>
    <w:p w14:paraId="597FE14C" w14:textId="68184860" w:rsidR="000D3D92" w:rsidRPr="00A472FC" w:rsidRDefault="000D3D92" w:rsidP="00881604">
      <w:pPr>
        <w:ind w:right="-52" w:firstLine="720"/>
        <w:rPr>
          <w:rFonts w:ascii="Times New Roman" w:hAnsi="Times New Roman" w:cs="Times New Roman"/>
          <w:lang w:val="en-US"/>
        </w:rPr>
      </w:pPr>
      <w:r w:rsidRPr="00A472FC">
        <w:rPr>
          <w:rFonts w:ascii="Times New Roman" w:hAnsi="Times New Roman" w:cs="Times New Roman"/>
          <w:lang w:val="en-US"/>
        </w:rPr>
        <w:t>As we will see in the next chapter, free will for John is not so</w:t>
      </w:r>
      <w:r w:rsidR="00096CC8" w:rsidRPr="00A472FC">
        <w:rPr>
          <w:rFonts w:ascii="Times New Roman" w:hAnsi="Times New Roman" w:cs="Times New Roman"/>
          <w:lang w:val="en-US"/>
        </w:rPr>
        <w:t xml:space="preserve"> </w:t>
      </w:r>
      <w:r w:rsidRPr="00A472FC">
        <w:rPr>
          <w:rFonts w:ascii="Times New Roman" w:hAnsi="Times New Roman" w:cs="Times New Roman"/>
          <w:lang w:val="en-US"/>
        </w:rPr>
        <w:t xml:space="preserve">called because it is flexible between good and evil but because, as John of Damascus affirmed, it is able to do or not to do </w:t>
      </w:r>
      <w:r w:rsidRPr="00A472FC">
        <w:rPr>
          <w:rFonts w:ascii="Times New Roman" w:hAnsi="Times New Roman" w:cs="Times New Roman"/>
        </w:rPr>
        <w:t>any given thing</w:t>
      </w:r>
      <w:r w:rsidRPr="00A472FC">
        <w:rPr>
          <w:rFonts w:ascii="Times New Roman" w:hAnsi="Times New Roman" w:cs="Times New Roman"/>
          <w:lang w:val="en-US"/>
        </w:rPr>
        <w:t xml:space="preserve">, as it consults and is instigated by </w:t>
      </w:r>
      <w:proofErr w:type="spellStart"/>
      <w:r w:rsidRPr="00A472FC">
        <w:rPr>
          <w:rFonts w:ascii="Times New Roman" w:hAnsi="Times New Roman" w:cs="Times New Roman"/>
          <w:i/>
          <w:iCs/>
          <w:lang w:val="en-US"/>
        </w:rPr>
        <w:t>synderesis</w:t>
      </w:r>
      <w:proofErr w:type="spellEnd"/>
      <w:r w:rsidRPr="00A472FC">
        <w:rPr>
          <w:rFonts w:ascii="Times New Roman" w:hAnsi="Times New Roman" w:cs="Times New Roman"/>
          <w:lang w:val="en-US"/>
        </w:rPr>
        <w:t>, the innate orientation towards excellence or the supreme good; or as it is suggested by sensuality, that is, the base tendency to confuse goods of the body with the supreme ends of human life.</w:t>
      </w:r>
      <w:r w:rsidRPr="00A472FC">
        <w:rPr>
          <w:rStyle w:val="FootnoteReference"/>
          <w:rFonts w:ascii="Times New Roman" w:hAnsi="Times New Roman" w:cs="Times New Roman"/>
          <w:lang w:val="en-US"/>
        </w:rPr>
        <w:footnoteReference w:id="1046"/>
      </w:r>
      <w:r w:rsidRPr="00A472FC">
        <w:rPr>
          <w:rFonts w:ascii="Times New Roman" w:hAnsi="Times New Roman" w:cs="Times New Roman"/>
          <w:lang w:val="en-US"/>
        </w:rPr>
        <w:t xml:space="preserve"> </w:t>
      </w:r>
      <w:r w:rsidRPr="00A472FC">
        <w:rPr>
          <w:rFonts w:ascii="Times New Roman" w:hAnsi="Times New Roman" w:cs="Times New Roman"/>
        </w:rPr>
        <w:t>For John, in fact, the life of the soul consists in the turning of free will to the unchanging good which is God, while death or evil come from an aversion to the incommunicable good and conversion to commutable goods as if they were the ultimate source of happiness in life.</w:t>
      </w:r>
    </w:p>
    <w:p w14:paraId="19F30BD6" w14:textId="4F351096"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 xml:space="preserve">In turning next to the powers that rule and are ruled, John invokes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and irascible</w:t>
      </w:r>
      <w:r w:rsidR="00E9175F" w:rsidRPr="00A472FC">
        <w:rPr>
          <w:rFonts w:ascii="Times New Roman" w:hAnsi="Times New Roman" w:cs="Times New Roman"/>
        </w:rPr>
        <w:t xml:space="preserve"> passions</w:t>
      </w:r>
      <w:r w:rsidRPr="00A472FC">
        <w:rPr>
          <w:rFonts w:ascii="Times New Roman" w:hAnsi="Times New Roman" w:cs="Times New Roman"/>
        </w:rPr>
        <w:t>.</w:t>
      </w:r>
      <w:r w:rsidRPr="00A472FC">
        <w:rPr>
          <w:rStyle w:val="FootnoteReference"/>
          <w:rFonts w:ascii="Times New Roman" w:hAnsi="Times New Roman" w:cs="Times New Roman"/>
        </w:rPr>
        <w:footnoteReference w:id="1047"/>
      </w:r>
      <w:r w:rsidRPr="00A472FC">
        <w:rPr>
          <w:rFonts w:ascii="Times New Roman" w:hAnsi="Times New Roman" w:cs="Times New Roman"/>
        </w:rPr>
        <w:t xml:space="preserve"> According to Avicenna, he </w:t>
      </w:r>
      <w:r w:rsidR="000F5DCC" w:rsidRPr="00A472FC">
        <w:rPr>
          <w:rFonts w:ascii="Times New Roman" w:hAnsi="Times New Roman" w:cs="Times New Roman"/>
        </w:rPr>
        <w:t xml:space="preserve">reminds </w:t>
      </w:r>
      <w:r w:rsidRPr="00A472FC">
        <w:rPr>
          <w:rFonts w:ascii="Times New Roman" w:hAnsi="Times New Roman" w:cs="Times New Roman"/>
        </w:rPr>
        <w:t xml:space="preserve">us,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power is the ruling motivator which concerns the appetite for useful or pleasing things.</w:t>
      </w:r>
      <w:r w:rsidRPr="00A472FC">
        <w:rPr>
          <w:rStyle w:val="FootnoteReference"/>
          <w:rFonts w:ascii="Times New Roman" w:hAnsi="Times New Roman" w:cs="Times New Roman"/>
        </w:rPr>
        <w:footnoteReference w:id="1048"/>
      </w:r>
      <w:r w:rsidRPr="00A472FC">
        <w:rPr>
          <w:rFonts w:ascii="Times New Roman" w:hAnsi="Times New Roman" w:cs="Times New Roman"/>
        </w:rPr>
        <w:t xml:space="preserve"> The irascible power is the ruling motivator that repels from what is dangerous or what corrupts the appetite for overcoming evil to obtain the good.</w:t>
      </w:r>
      <w:r w:rsidRPr="00A472FC">
        <w:rPr>
          <w:rStyle w:val="FootnoteReference"/>
          <w:rFonts w:ascii="Times New Roman" w:hAnsi="Times New Roman" w:cs="Times New Roman"/>
        </w:rPr>
        <w:footnoteReference w:id="1049"/>
      </w:r>
      <w:r w:rsidRPr="00A472FC">
        <w:rPr>
          <w:rFonts w:ascii="Times New Roman" w:hAnsi="Times New Roman" w:cs="Times New Roman"/>
        </w:rPr>
        <w:t xml:space="preserve"> While these motive powers are not rational in themselves like free will, John follows Aristotle in affirming that they can be described as such in a qualified sense insofar as they are ruled by reason to pursue what is excellent (</w:t>
      </w:r>
      <w:proofErr w:type="spellStart"/>
      <w:r w:rsidRPr="00A472FC">
        <w:rPr>
          <w:rFonts w:ascii="Times New Roman" w:hAnsi="Times New Roman" w:cs="Times New Roman"/>
          <w:i/>
          <w:iCs/>
        </w:rPr>
        <w:t>honestum</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1050"/>
      </w:r>
      <w:r w:rsidRPr="00A472FC">
        <w:rPr>
          <w:rFonts w:ascii="Times New Roman" w:hAnsi="Times New Roman" w:cs="Times New Roman"/>
        </w:rPr>
        <w:t xml:space="preserve"> In turn, these powers serve as the efficient cause of movement, through which Avicenna states that the nerves and muscles relax or extend, contracting the ligaments and tendons conjoined to the members of the body, which are powers that are ruled only.</w:t>
      </w:r>
      <w:r w:rsidRPr="00A472FC">
        <w:rPr>
          <w:rStyle w:val="FootnoteReference"/>
          <w:rFonts w:ascii="Times New Roman" w:hAnsi="Times New Roman" w:cs="Times New Roman"/>
        </w:rPr>
        <w:footnoteReference w:id="1051"/>
      </w:r>
      <w:r w:rsidRPr="00A472FC">
        <w:rPr>
          <w:rFonts w:ascii="Times New Roman" w:hAnsi="Times New Roman" w:cs="Times New Roman"/>
        </w:rPr>
        <w:t xml:space="preserve"> </w:t>
      </w:r>
    </w:p>
    <w:p w14:paraId="1C19C173" w14:textId="0D2647CE"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 xml:space="preserve">Although these members can be subject to the rule of reason, via the irascible and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powers, </w:t>
      </w:r>
      <w:r w:rsidR="00A45420" w:rsidRPr="00A472FC">
        <w:rPr>
          <w:rFonts w:ascii="Times New Roman" w:hAnsi="Times New Roman" w:cs="Times New Roman"/>
        </w:rPr>
        <w:t xml:space="preserve">the Damascene </w:t>
      </w:r>
      <w:r w:rsidRPr="00A472FC">
        <w:rPr>
          <w:rFonts w:ascii="Times New Roman" w:hAnsi="Times New Roman" w:cs="Times New Roman"/>
        </w:rPr>
        <w:t xml:space="preserve">adds a further group that are not subject to the rule of reason. This includes </w:t>
      </w:r>
      <w:r w:rsidRPr="00A472FC">
        <w:rPr>
          <w:rFonts w:ascii="Times New Roman" w:hAnsi="Times New Roman" w:cs="Times New Roman"/>
          <w:kern w:val="1"/>
          <w:lang w:val="en-US"/>
        </w:rPr>
        <w:t xml:space="preserve">the already-mentioned vital power which is called </w:t>
      </w:r>
      <w:proofErr w:type="spellStart"/>
      <w:r w:rsidRPr="00A472FC">
        <w:rPr>
          <w:rFonts w:ascii="Times New Roman" w:hAnsi="Times New Roman" w:cs="Times New Roman"/>
          <w:kern w:val="1"/>
          <w:lang w:val="en-US"/>
        </w:rPr>
        <w:t>pulsative</w:t>
      </w:r>
      <w:proofErr w:type="spellEnd"/>
      <w:r w:rsidRPr="00A472FC">
        <w:rPr>
          <w:rFonts w:ascii="Times New Roman" w:hAnsi="Times New Roman" w:cs="Times New Roman"/>
          <w:kern w:val="1"/>
          <w:lang w:val="en-US"/>
        </w:rPr>
        <w:t>, the generative power, the nutritive power, and the augmentative power, which are governed by nature, not reason.</w:t>
      </w:r>
      <w:r w:rsidRPr="00A472FC">
        <w:rPr>
          <w:rStyle w:val="FootnoteReference"/>
          <w:rFonts w:ascii="Times New Roman" w:hAnsi="Times New Roman" w:cs="Times New Roman"/>
        </w:rPr>
        <w:footnoteReference w:id="1052"/>
      </w:r>
      <w:r w:rsidRPr="00A472FC">
        <w:rPr>
          <w:rFonts w:ascii="Times New Roman" w:hAnsi="Times New Roman" w:cs="Times New Roman"/>
          <w:kern w:val="1"/>
          <w:lang w:val="en-US"/>
        </w:rPr>
        <w:t xml:space="preserve"> As Saccenti has shown, the distinction between powers that are irrational or rational, </w:t>
      </w:r>
      <w:r w:rsidRPr="00A472FC">
        <w:rPr>
          <w:rFonts w:ascii="Times New Roman" w:hAnsi="Times New Roman" w:cs="Times New Roman"/>
        </w:rPr>
        <w:t>that is, which can or cannot be persuaded or made obedient to reason, dates back to Aristotle.</w:t>
      </w:r>
      <w:r w:rsidRPr="00A472FC">
        <w:rPr>
          <w:rStyle w:val="FootnoteReference"/>
          <w:rFonts w:ascii="Times New Roman" w:hAnsi="Times New Roman" w:cs="Times New Roman"/>
        </w:rPr>
        <w:footnoteReference w:id="1053"/>
      </w:r>
      <w:r w:rsidRPr="00A472FC">
        <w:rPr>
          <w:rFonts w:ascii="Times New Roman" w:hAnsi="Times New Roman" w:cs="Times New Roman"/>
        </w:rPr>
        <w:t xml:space="preserve"> </w:t>
      </w:r>
    </w:p>
    <w:p w14:paraId="231F0ECE" w14:textId="6BC3B040"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 xml:space="preserve">However this is one of a number of cases where Aristotle is </w:t>
      </w:r>
      <w:r w:rsidR="006B3D20">
        <w:rPr>
          <w:rFonts w:ascii="Times New Roman" w:hAnsi="Times New Roman" w:cs="Times New Roman"/>
        </w:rPr>
        <w:t xml:space="preserve">broadly </w:t>
      </w:r>
      <w:r w:rsidRPr="00A472FC">
        <w:rPr>
          <w:rFonts w:ascii="Times New Roman" w:hAnsi="Times New Roman" w:cs="Times New Roman"/>
        </w:rPr>
        <w:t xml:space="preserve">compatible with Damascus not to mention Avicenna, no doubt due in part to the Damascene’s Greek </w:t>
      </w:r>
      <w:r w:rsidRPr="00A472FC">
        <w:rPr>
          <w:rFonts w:ascii="Times New Roman" w:hAnsi="Times New Roman" w:cs="Times New Roman"/>
        </w:rPr>
        <w:lastRenderedPageBreak/>
        <w:t>philosophical inheritance.</w:t>
      </w:r>
      <w:r w:rsidRPr="00A472FC">
        <w:rPr>
          <w:rStyle w:val="FootnoteReference"/>
          <w:rFonts w:ascii="Times New Roman" w:hAnsi="Times New Roman" w:cs="Times New Roman"/>
          <w:lang w:val="en-US"/>
        </w:rPr>
        <w:footnoteReference w:id="1054"/>
      </w:r>
      <w:r w:rsidRPr="00A472FC">
        <w:rPr>
          <w:rFonts w:ascii="Times New Roman" w:hAnsi="Times New Roman" w:cs="Times New Roman"/>
        </w:rPr>
        <w:t xml:space="preserve"> In addition to distinguishing between things which are or are not in our power or subject to voluntary action, John further follows the Damascene</w:t>
      </w:r>
      <w:r w:rsidR="00664BEC" w:rsidRPr="00A472FC">
        <w:rPr>
          <w:rFonts w:ascii="Times New Roman" w:hAnsi="Times New Roman" w:cs="Times New Roman"/>
        </w:rPr>
        <w:t>, who in turn follows Aristotle,</w:t>
      </w:r>
      <w:r w:rsidRPr="00A472FC">
        <w:rPr>
          <w:rFonts w:ascii="Times New Roman" w:hAnsi="Times New Roman" w:cs="Times New Roman"/>
        </w:rPr>
        <w:t xml:space="preserve"> in speaking of acts that are part </w:t>
      </w:r>
      <w:r w:rsidRPr="00A472FC">
        <w:rPr>
          <w:rFonts w:ascii="Times New Roman" w:hAnsi="Times New Roman" w:cs="Times New Roman"/>
          <w:kern w:val="1"/>
          <w:lang w:val="en-US"/>
        </w:rPr>
        <w:t>voluntary and part involuntary.</w:t>
      </w:r>
      <w:r w:rsidRPr="00A472FC">
        <w:rPr>
          <w:rStyle w:val="FootnoteReference"/>
          <w:rFonts w:ascii="Times New Roman" w:hAnsi="Times New Roman" w:cs="Times New Roman"/>
          <w:kern w:val="1"/>
          <w:lang w:val="en-US"/>
        </w:rPr>
        <w:footnoteReference w:id="1055"/>
      </w:r>
      <w:r w:rsidRPr="00A472FC">
        <w:rPr>
          <w:rFonts w:ascii="Times New Roman" w:hAnsi="Times New Roman" w:cs="Times New Roman"/>
          <w:kern w:val="1"/>
          <w:lang w:val="en-US"/>
        </w:rPr>
        <w:t xml:space="preserve"> These actions become possible through violence or ignorance, for instance, when one is forced of necessity or by another person to do something that one would prefer not to do, or when one does something without being aware of it, perhaps because of being in an altered state of mind (i.e. sleepy, drunk).</w:t>
      </w:r>
      <w:r w:rsidRPr="00A472FC">
        <w:rPr>
          <w:rStyle w:val="FootnoteReference"/>
          <w:rFonts w:ascii="Times New Roman" w:hAnsi="Times New Roman" w:cs="Times New Roman"/>
          <w:kern w:val="1"/>
          <w:lang w:val="en-US"/>
        </w:rPr>
        <w:footnoteReference w:id="1056"/>
      </w:r>
      <w:r w:rsidRPr="00A472FC">
        <w:rPr>
          <w:rFonts w:ascii="Times New Roman" w:hAnsi="Times New Roman" w:cs="Times New Roman"/>
          <w:kern w:val="1"/>
          <w:lang w:val="en-US"/>
        </w:rPr>
        <w:t xml:space="preserve"> </w:t>
      </w:r>
    </w:p>
    <w:p w14:paraId="7987A6E3" w14:textId="15604C6A" w:rsidR="000D3D92" w:rsidRPr="00A472FC" w:rsidRDefault="000D3D92" w:rsidP="00881604">
      <w:pPr>
        <w:ind w:right="-52" w:firstLine="720"/>
        <w:rPr>
          <w:rFonts w:ascii="Times New Roman" w:hAnsi="Times New Roman" w:cs="Times New Roman"/>
          <w:kern w:val="1"/>
          <w:lang w:val="en-US"/>
        </w:rPr>
      </w:pPr>
      <w:r w:rsidRPr="00A472FC">
        <w:rPr>
          <w:rFonts w:ascii="Times New Roman" w:hAnsi="Times New Roman" w:cs="Times New Roman"/>
          <w:kern w:val="1"/>
          <w:lang w:val="en-US"/>
        </w:rPr>
        <w:t xml:space="preserve">The circumstances of an action mitigate the severity of these cases, namely, who did what, what was done, by what means, where, when, how, and for what reason. For example, if a sailor needs to throw cargo overboard to save his ship in the </w:t>
      </w:r>
      <w:r w:rsidR="00384C82">
        <w:rPr>
          <w:rFonts w:ascii="Times New Roman" w:hAnsi="Times New Roman" w:cs="Times New Roman"/>
          <w:kern w:val="1"/>
          <w:lang w:val="en-US"/>
        </w:rPr>
        <w:t>middle</w:t>
      </w:r>
      <w:r w:rsidRPr="00A472FC">
        <w:rPr>
          <w:rFonts w:ascii="Times New Roman" w:hAnsi="Times New Roman" w:cs="Times New Roman"/>
          <w:kern w:val="1"/>
          <w:lang w:val="en-US"/>
        </w:rPr>
        <w:t xml:space="preserve"> of a storm, this lessens the evil of waste. This discussion of semi-voluntary acts was an</w:t>
      </w:r>
      <w:r w:rsidR="00703A6A" w:rsidRPr="00A472FC">
        <w:rPr>
          <w:rFonts w:ascii="Times New Roman" w:hAnsi="Times New Roman" w:cs="Times New Roman"/>
          <w:kern w:val="1"/>
          <w:lang w:val="en-US"/>
        </w:rPr>
        <w:t>other Aristotelian</w:t>
      </w:r>
      <w:r w:rsidRPr="00A472FC">
        <w:rPr>
          <w:rFonts w:ascii="Times New Roman" w:hAnsi="Times New Roman" w:cs="Times New Roman"/>
          <w:kern w:val="1"/>
          <w:lang w:val="en-US"/>
        </w:rPr>
        <w:t xml:space="preserve"> aspect of Damascus’ thought that would also be picked up by Thomas Aquinas. What this material shows is that Aquinas was not the first to address this question, which may be another case in which he followed the typology that John of La Rochelle laid down before him. </w:t>
      </w:r>
      <w:r w:rsidRPr="00A472FC">
        <w:rPr>
          <w:rFonts w:ascii="Times New Roman" w:hAnsi="Times New Roman" w:cs="Times New Roman"/>
        </w:rPr>
        <w:t xml:space="preserve">This aspect of the Damascene’s thinking, </w:t>
      </w:r>
      <w:proofErr w:type="spellStart"/>
      <w:r w:rsidRPr="00A472FC">
        <w:rPr>
          <w:rFonts w:ascii="Times New Roman" w:hAnsi="Times New Roman" w:cs="Times New Roman"/>
        </w:rPr>
        <w:t>synthesized</w:t>
      </w:r>
      <w:proofErr w:type="spellEnd"/>
      <w:r w:rsidRPr="00A472FC">
        <w:rPr>
          <w:rFonts w:ascii="Times New Roman" w:hAnsi="Times New Roman" w:cs="Times New Roman"/>
        </w:rPr>
        <w:t xml:space="preserve"> with </w:t>
      </w:r>
      <w:proofErr w:type="spellStart"/>
      <w:r w:rsidRPr="00A472FC">
        <w:rPr>
          <w:rFonts w:ascii="Times New Roman" w:hAnsi="Times New Roman" w:cs="Times New Roman"/>
        </w:rPr>
        <w:t>Avicennian</w:t>
      </w:r>
      <w:proofErr w:type="spellEnd"/>
      <w:r w:rsidRPr="00A472FC">
        <w:rPr>
          <w:rFonts w:ascii="Times New Roman" w:hAnsi="Times New Roman" w:cs="Times New Roman"/>
        </w:rPr>
        <w:t xml:space="preserve"> or philosophical elements both as regards the irrational/rational distinction and the ruler/ruled distinction can be summed up as </w:t>
      </w:r>
      <w:r w:rsidR="00437725" w:rsidRPr="00A472FC">
        <w:rPr>
          <w:rFonts w:ascii="Times New Roman" w:hAnsi="Times New Roman" w:cs="Times New Roman"/>
        </w:rPr>
        <w:t>below</w:t>
      </w:r>
      <w:r w:rsidRPr="00A472FC">
        <w:rPr>
          <w:rFonts w:ascii="Times New Roman" w:hAnsi="Times New Roman" w:cs="Times New Roman"/>
        </w:rPr>
        <w:t xml:space="preserve">. The chart found in an appendix to this chapter further depicts the overlaps in the </w:t>
      </w:r>
      <w:proofErr w:type="spellStart"/>
      <w:r w:rsidR="00040053" w:rsidRPr="00A472FC">
        <w:rPr>
          <w:rFonts w:ascii="Times New Roman" w:hAnsi="Times New Roman" w:cs="Times New Roman"/>
          <w:i/>
        </w:rPr>
        <w:t>Tractatus</w:t>
      </w:r>
      <w:proofErr w:type="spellEnd"/>
      <w:r w:rsidRPr="00A472FC">
        <w:rPr>
          <w:rFonts w:ascii="Times New Roman" w:hAnsi="Times New Roman" w:cs="Times New Roman"/>
        </w:rPr>
        <w:t xml:space="preserve"> and </w:t>
      </w:r>
      <w:r w:rsidRPr="00A472FC">
        <w:rPr>
          <w:rFonts w:ascii="Times New Roman" w:hAnsi="Times New Roman" w:cs="Times New Roman"/>
          <w:i/>
          <w:iCs/>
        </w:rPr>
        <w:t>Summa de anima</w:t>
      </w:r>
      <w:r w:rsidRPr="00A472FC">
        <w:rPr>
          <w:rFonts w:ascii="Times New Roman" w:hAnsi="Times New Roman" w:cs="Times New Roman"/>
        </w:rPr>
        <w:t xml:space="preserve">’s use of these sources to treat </w:t>
      </w:r>
      <w:r w:rsidRPr="00A472FC">
        <w:rPr>
          <w:rFonts w:ascii="Times New Roman" w:hAnsi="Times New Roman" w:cs="Times New Roman"/>
          <w:kern w:val="1"/>
          <w:lang w:val="en-US"/>
        </w:rPr>
        <w:t>these and other aspects of the theory of motive powers.</w:t>
      </w:r>
    </w:p>
    <w:p w14:paraId="641A3931" w14:textId="77777777" w:rsidR="000D3D92" w:rsidRPr="00A472FC" w:rsidRDefault="000D3D92" w:rsidP="00881604">
      <w:pPr>
        <w:ind w:right="-52"/>
        <w:rPr>
          <w:rFonts w:ascii="Times New Roman" w:hAnsi="Times New Roman" w:cs="Times New Roman"/>
          <w:lang w:val="en-US"/>
        </w:rPr>
      </w:pPr>
    </w:p>
    <w:p w14:paraId="5D10E7D6" w14:textId="77777777" w:rsidR="000D3D92" w:rsidRPr="00A472FC" w:rsidRDefault="000D3D92" w:rsidP="00881604">
      <w:pPr>
        <w:autoSpaceDE w:val="0"/>
        <w:autoSpaceDN w:val="0"/>
        <w:adjustRightInd w:val="0"/>
        <w:ind w:right="-52"/>
        <w:rPr>
          <w:rFonts w:ascii="Times New Roman" w:hAnsi="Times New Roman" w:cs="Times New Roman"/>
          <w:lang w:val="en-US"/>
        </w:rPr>
      </w:pPr>
      <w:r w:rsidRPr="00A472FC">
        <w:rPr>
          <w:rFonts w:ascii="Times New Roman" w:hAnsi="Times New Roman" w:cs="Times New Roman"/>
          <w:lang w:val="en-US"/>
        </w:rPr>
        <w:t xml:space="preserve">Powers that rule and are not ruled – </w:t>
      </w:r>
      <w:r w:rsidRPr="00A472FC">
        <w:rPr>
          <w:rFonts w:ascii="Times New Roman" w:hAnsi="Times New Roman" w:cs="Times New Roman"/>
          <w:i/>
          <w:lang w:val="en-US"/>
        </w:rPr>
        <w:t>persuadable by reason/rational</w:t>
      </w:r>
    </w:p>
    <w:p w14:paraId="6C9AF12E" w14:textId="77777777" w:rsidR="000D3D92" w:rsidRPr="00A472FC" w:rsidRDefault="000D3D92" w:rsidP="00881604">
      <w:pPr>
        <w:pStyle w:val="ListParagraph"/>
        <w:numPr>
          <w:ilvl w:val="0"/>
          <w:numId w:val="10"/>
        </w:numPr>
        <w:autoSpaceDE w:val="0"/>
        <w:autoSpaceDN w:val="0"/>
        <w:adjustRightInd w:val="0"/>
        <w:ind w:right="-52"/>
        <w:rPr>
          <w:rFonts w:ascii="Times New Roman" w:hAnsi="Times New Roman" w:cs="Times New Roman"/>
          <w:lang w:val="en-US"/>
        </w:rPr>
      </w:pPr>
      <w:r w:rsidRPr="00A472FC">
        <w:rPr>
          <w:rFonts w:ascii="Times New Roman" w:hAnsi="Times New Roman" w:cs="Times New Roman"/>
          <w:lang w:val="en-US"/>
        </w:rPr>
        <w:t>Determined to the good</w:t>
      </w:r>
    </w:p>
    <w:p w14:paraId="0F2355E5" w14:textId="77777777" w:rsidR="000D3D92" w:rsidRPr="00A472FC" w:rsidRDefault="000D3D92" w:rsidP="00881604">
      <w:pPr>
        <w:pStyle w:val="ListParagraph"/>
        <w:numPr>
          <w:ilvl w:val="0"/>
          <w:numId w:val="6"/>
        </w:numPr>
        <w:autoSpaceDE w:val="0"/>
        <w:autoSpaceDN w:val="0"/>
        <w:adjustRightInd w:val="0"/>
        <w:ind w:right="-52"/>
        <w:rPr>
          <w:rFonts w:ascii="Times New Roman" w:hAnsi="Times New Roman" w:cs="Times New Roman"/>
          <w:lang w:val="en-US"/>
        </w:rPr>
      </w:pPr>
      <w:proofErr w:type="spellStart"/>
      <w:r w:rsidRPr="00A472FC">
        <w:rPr>
          <w:rFonts w:ascii="Times New Roman" w:hAnsi="Times New Roman" w:cs="Times New Roman"/>
          <w:lang w:val="en-US"/>
        </w:rPr>
        <w:t>Synderesis</w:t>
      </w:r>
      <w:proofErr w:type="spellEnd"/>
      <w:r w:rsidRPr="00A472FC">
        <w:rPr>
          <w:rFonts w:ascii="Times New Roman" w:hAnsi="Times New Roman" w:cs="Times New Roman"/>
          <w:lang w:val="en-US"/>
        </w:rPr>
        <w:t xml:space="preserve"> determined to the highest good, namely God</w:t>
      </w:r>
    </w:p>
    <w:p w14:paraId="59A2E01F" w14:textId="77777777" w:rsidR="000D3D92" w:rsidRPr="00A472FC" w:rsidRDefault="000D3D92" w:rsidP="00881604">
      <w:pPr>
        <w:pStyle w:val="ListParagraph"/>
        <w:numPr>
          <w:ilvl w:val="0"/>
          <w:numId w:val="6"/>
        </w:numPr>
        <w:autoSpaceDE w:val="0"/>
        <w:autoSpaceDN w:val="0"/>
        <w:adjustRightInd w:val="0"/>
        <w:ind w:right="-52"/>
        <w:rPr>
          <w:rFonts w:ascii="Times New Roman" w:hAnsi="Times New Roman" w:cs="Times New Roman"/>
          <w:lang w:val="en-US"/>
        </w:rPr>
      </w:pPr>
      <w:r w:rsidRPr="00A472FC">
        <w:rPr>
          <w:rFonts w:ascii="Times New Roman" w:hAnsi="Times New Roman" w:cs="Times New Roman"/>
          <w:lang w:val="en-US"/>
        </w:rPr>
        <w:t>Natural will (</w:t>
      </w:r>
      <w:proofErr w:type="spellStart"/>
      <w:r w:rsidRPr="00A472FC">
        <w:rPr>
          <w:rFonts w:ascii="Times New Roman" w:hAnsi="Times New Roman" w:cs="Times New Roman"/>
          <w:i/>
          <w:lang w:val="en-US"/>
        </w:rPr>
        <w:t>thelesis</w:t>
      </w:r>
      <w:proofErr w:type="spellEnd"/>
      <w:r w:rsidRPr="00A472FC">
        <w:rPr>
          <w:rFonts w:ascii="Times New Roman" w:hAnsi="Times New Roman" w:cs="Times New Roman"/>
          <w:lang w:val="en-US"/>
        </w:rPr>
        <w:t>) determined to natural good</w:t>
      </w:r>
    </w:p>
    <w:p w14:paraId="587CEC5D" w14:textId="77777777" w:rsidR="000D3D92" w:rsidRPr="00A472FC" w:rsidRDefault="000D3D92" w:rsidP="00881604">
      <w:pPr>
        <w:pStyle w:val="ListParagraph"/>
        <w:numPr>
          <w:ilvl w:val="0"/>
          <w:numId w:val="10"/>
        </w:numPr>
        <w:autoSpaceDE w:val="0"/>
        <w:autoSpaceDN w:val="0"/>
        <w:adjustRightInd w:val="0"/>
        <w:ind w:right="-52"/>
        <w:rPr>
          <w:rFonts w:ascii="Times New Roman" w:hAnsi="Times New Roman" w:cs="Times New Roman"/>
          <w:lang w:val="en-US"/>
        </w:rPr>
      </w:pPr>
      <w:r w:rsidRPr="00A472FC">
        <w:rPr>
          <w:rFonts w:ascii="Times New Roman" w:hAnsi="Times New Roman" w:cs="Times New Roman"/>
          <w:lang w:val="en-US"/>
        </w:rPr>
        <w:t>Undetermined to the good = free will/practical intellect</w:t>
      </w:r>
    </w:p>
    <w:p w14:paraId="4B84833A" w14:textId="77777777" w:rsidR="000D3D92" w:rsidRPr="00A472FC" w:rsidRDefault="000D3D92" w:rsidP="00881604">
      <w:pPr>
        <w:pStyle w:val="ListParagraph"/>
        <w:numPr>
          <w:ilvl w:val="0"/>
          <w:numId w:val="7"/>
        </w:numPr>
        <w:autoSpaceDE w:val="0"/>
        <w:autoSpaceDN w:val="0"/>
        <w:adjustRightInd w:val="0"/>
        <w:ind w:right="-52"/>
        <w:rPr>
          <w:rFonts w:ascii="Times New Roman" w:hAnsi="Times New Roman" w:cs="Times New Roman"/>
          <w:lang w:val="en-US"/>
        </w:rPr>
      </w:pPr>
      <w:r w:rsidRPr="00A472FC">
        <w:rPr>
          <w:rFonts w:ascii="Times New Roman" w:hAnsi="Times New Roman" w:cs="Times New Roman"/>
          <w:lang w:val="en-US"/>
        </w:rPr>
        <w:t>Right reason—knows what is to be done</w:t>
      </w:r>
    </w:p>
    <w:p w14:paraId="35AB20F0" w14:textId="6211EF0B" w:rsidR="000D3D92" w:rsidRPr="00A472FC" w:rsidRDefault="000D3D92" w:rsidP="00881604">
      <w:pPr>
        <w:pStyle w:val="ListParagraph"/>
        <w:numPr>
          <w:ilvl w:val="0"/>
          <w:numId w:val="7"/>
        </w:numPr>
        <w:autoSpaceDE w:val="0"/>
        <w:autoSpaceDN w:val="0"/>
        <w:adjustRightInd w:val="0"/>
        <w:ind w:right="-52"/>
        <w:rPr>
          <w:rFonts w:ascii="Times New Roman" w:hAnsi="Times New Roman" w:cs="Times New Roman"/>
          <w:lang w:val="en-US"/>
        </w:rPr>
      </w:pPr>
      <w:r w:rsidRPr="00A472FC">
        <w:rPr>
          <w:rFonts w:ascii="Times New Roman" w:hAnsi="Times New Roman" w:cs="Times New Roman"/>
          <w:lang w:val="en-US"/>
        </w:rPr>
        <w:t>Deliberative will (</w:t>
      </w:r>
      <w:proofErr w:type="spellStart"/>
      <w:r w:rsidRPr="00A472FC">
        <w:rPr>
          <w:rFonts w:ascii="Times New Roman" w:hAnsi="Times New Roman" w:cs="Times New Roman"/>
          <w:i/>
          <w:lang w:val="en-US"/>
        </w:rPr>
        <w:t>b</w:t>
      </w:r>
      <w:r w:rsidR="00987882" w:rsidRPr="00A472FC">
        <w:rPr>
          <w:rFonts w:ascii="Times New Roman" w:hAnsi="Times New Roman" w:cs="Times New Roman"/>
          <w:i/>
          <w:lang w:val="en-US"/>
        </w:rPr>
        <w:t>o</w:t>
      </w:r>
      <w:r w:rsidRPr="00A472FC">
        <w:rPr>
          <w:rFonts w:ascii="Times New Roman" w:hAnsi="Times New Roman" w:cs="Times New Roman"/>
          <w:i/>
          <w:lang w:val="en-US"/>
        </w:rPr>
        <w:t>ulesis</w:t>
      </w:r>
      <w:proofErr w:type="spellEnd"/>
      <w:r w:rsidRPr="00A472FC">
        <w:rPr>
          <w:rFonts w:ascii="Times New Roman" w:hAnsi="Times New Roman" w:cs="Times New Roman"/>
          <w:lang w:val="en-US"/>
        </w:rPr>
        <w:t>)—moves towards the good known</w:t>
      </w:r>
    </w:p>
    <w:p w14:paraId="011B5B00" w14:textId="77777777" w:rsidR="000D3D92" w:rsidRPr="00A472FC" w:rsidRDefault="000D3D92" w:rsidP="00881604">
      <w:pPr>
        <w:autoSpaceDE w:val="0"/>
        <w:autoSpaceDN w:val="0"/>
        <w:adjustRightInd w:val="0"/>
        <w:ind w:right="-52"/>
        <w:rPr>
          <w:rFonts w:ascii="Times New Roman" w:hAnsi="Times New Roman" w:cs="Times New Roman"/>
          <w:lang w:val="en-US"/>
        </w:rPr>
      </w:pPr>
    </w:p>
    <w:p w14:paraId="117ED13D" w14:textId="77777777" w:rsidR="000D3D92" w:rsidRPr="00A472FC" w:rsidRDefault="000D3D92" w:rsidP="00881604">
      <w:pPr>
        <w:autoSpaceDE w:val="0"/>
        <w:autoSpaceDN w:val="0"/>
        <w:adjustRightInd w:val="0"/>
        <w:ind w:right="-52"/>
        <w:rPr>
          <w:rFonts w:ascii="Times New Roman" w:hAnsi="Times New Roman" w:cs="Times New Roman"/>
          <w:lang w:val="en-US"/>
        </w:rPr>
      </w:pPr>
      <w:r w:rsidRPr="00A472FC">
        <w:rPr>
          <w:rFonts w:ascii="Times New Roman" w:hAnsi="Times New Roman" w:cs="Times New Roman"/>
          <w:lang w:val="en-US"/>
        </w:rPr>
        <w:t xml:space="preserve">Powers that rule and are ruled – </w:t>
      </w:r>
      <w:r w:rsidRPr="00A472FC">
        <w:rPr>
          <w:rFonts w:ascii="Times New Roman" w:hAnsi="Times New Roman" w:cs="Times New Roman"/>
          <w:i/>
          <w:lang w:val="en-US"/>
        </w:rPr>
        <w:t>persuadable by reason/rational</w:t>
      </w:r>
    </w:p>
    <w:p w14:paraId="492DDA84" w14:textId="77777777" w:rsidR="000D3D92" w:rsidRPr="00A472FC" w:rsidRDefault="000D3D92" w:rsidP="00881604">
      <w:pPr>
        <w:pStyle w:val="ListParagraph"/>
        <w:numPr>
          <w:ilvl w:val="0"/>
          <w:numId w:val="9"/>
        </w:numPr>
        <w:autoSpaceDE w:val="0"/>
        <w:autoSpaceDN w:val="0"/>
        <w:adjustRightInd w:val="0"/>
        <w:ind w:right="-52"/>
        <w:rPr>
          <w:rFonts w:ascii="Times New Roman" w:hAnsi="Times New Roman" w:cs="Times New Roman"/>
          <w:lang w:val="en-US"/>
        </w:rPr>
      </w:pPr>
      <w:proofErr w:type="spellStart"/>
      <w:r w:rsidRPr="00A472FC">
        <w:rPr>
          <w:rFonts w:ascii="Times New Roman" w:hAnsi="Times New Roman" w:cs="Times New Roman"/>
          <w:lang w:val="en-US"/>
        </w:rPr>
        <w:t>Concupiscible</w:t>
      </w:r>
      <w:proofErr w:type="spellEnd"/>
      <w:r w:rsidRPr="00A472FC">
        <w:rPr>
          <w:rFonts w:ascii="Times New Roman" w:hAnsi="Times New Roman" w:cs="Times New Roman"/>
          <w:lang w:val="en-US"/>
        </w:rPr>
        <w:t>/Irascible powers</w:t>
      </w:r>
    </w:p>
    <w:p w14:paraId="7F24D89F" w14:textId="77777777" w:rsidR="000D3D92" w:rsidRPr="00A472FC" w:rsidRDefault="000D3D92" w:rsidP="00881604">
      <w:pPr>
        <w:pStyle w:val="ListParagraph"/>
        <w:numPr>
          <w:ilvl w:val="0"/>
          <w:numId w:val="8"/>
        </w:numPr>
        <w:autoSpaceDE w:val="0"/>
        <w:autoSpaceDN w:val="0"/>
        <w:adjustRightInd w:val="0"/>
        <w:ind w:left="1843" w:right="-52" w:hanging="425"/>
        <w:rPr>
          <w:rFonts w:ascii="Times New Roman" w:hAnsi="Times New Roman" w:cs="Times New Roman"/>
          <w:lang w:val="en-US"/>
        </w:rPr>
      </w:pPr>
      <w:r w:rsidRPr="00A472FC">
        <w:rPr>
          <w:rFonts w:ascii="Times New Roman" w:hAnsi="Times New Roman" w:cs="Times New Roman"/>
          <w:lang w:val="en-US"/>
        </w:rPr>
        <w:t>Efficient cause of voluntary physical movement</w:t>
      </w:r>
    </w:p>
    <w:p w14:paraId="43974C0A" w14:textId="77777777" w:rsidR="000D3D92" w:rsidRPr="00A472FC" w:rsidRDefault="000D3D92" w:rsidP="00881604">
      <w:pPr>
        <w:pStyle w:val="ListParagraph"/>
        <w:numPr>
          <w:ilvl w:val="0"/>
          <w:numId w:val="8"/>
        </w:numPr>
        <w:autoSpaceDE w:val="0"/>
        <w:autoSpaceDN w:val="0"/>
        <w:adjustRightInd w:val="0"/>
        <w:ind w:left="1843" w:right="-52" w:hanging="425"/>
        <w:rPr>
          <w:rFonts w:ascii="Times New Roman" w:hAnsi="Times New Roman" w:cs="Times New Roman"/>
          <w:lang w:val="en-US"/>
        </w:rPr>
      </w:pPr>
      <w:r w:rsidRPr="00A472FC">
        <w:rPr>
          <w:rFonts w:ascii="Times New Roman" w:hAnsi="Times New Roman" w:cs="Times New Roman"/>
          <w:lang w:val="en-US"/>
        </w:rPr>
        <w:t>Moving powers of the bodily members are ruled only</w:t>
      </w:r>
    </w:p>
    <w:p w14:paraId="1E4CF446" w14:textId="77777777" w:rsidR="000D3D92" w:rsidRPr="00A472FC" w:rsidRDefault="000D3D92" w:rsidP="00881604">
      <w:pPr>
        <w:autoSpaceDE w:val="0"/>
        <w:autoSpaceDN w:val="0"/>
        <w:adjustRightInd w:val="0"/>
        <w:ind w:right="-52"/>
        <w:rPr>
          <w:rFonts w:ascii="Times New Roman" w:hAnsi="Times New Roman" w:cs="Times New Roman"/>
          <w:lang w:val="en-US"/>
        </w:rPr>
      </w:pPr>
    </w:p>
    <w:p w14:paraId="0943F6B4" w14:textId="77777777" w:rsidR="000D3D92" w:rsidRPr="00A472FC" w:rsidRDefault="000D3D92" w:rsidP="00881604">
      <w:pPr>
        <w:autoSpaceDE w:val="0"/>
        <w:autoSpaceDN w:val="0"/>
        <w:adjustRightInd w:val="0"/>
        <w:ind w:right="-52"/>
        <w:rPr>
          <w:rFonts w:ascii="Times New Roman" w:hAnsi="Times New Roman" w:cs="Times New Roman"/>
          <w:i/>
          <w:lang w:val="en-US"/>
        </w:rPr>
      </w:pPr>
      <w:r w:rsidRPr="00A472FC">
        <w:rPr>
          <w:rFonts w:ascii="Times New Roman" w:hAnsi="Times New Roman" w:cs="Times New Roman"/>
          <w:i/>
          <w:lang w:val="en-US"/>
        </w:rPr>
        <w:t>Powers that are not persuadable by reason/irrational</w:t>
      </w:r>
    </w:p>
    <w:p w14:paraId="0F5BFFA1" w14:textId="77777777" w:rsidR="000D3D92" w:rsidRPr="00A472FC" w:rsidRDefault="000D3D92" w:rsidP="00881604">
      <w:pPr>
        <w:pStyle w:val="ListParagraph"/>
        <w:numPr>
          <w:ilvl w:val="0"/>
          <w:numId w:val="11"/>
        </w:numPr>
        <w:autoSpaceDE w:val="0"/>
        <w:autoSpaceDN w:val="0"/>
        <w:adjustRightInd w:val="0"/>
        <w:ind w:left="1843" w:right="-52" w:hanging="425"/>
        <w:rPr>
          <w:rFonts w:ascii="Times New Roman" w:hAnsi="Times New Roman" w:cs="Times New Roman"/>
          <w:lang w:val="en-US"/>
        </w:rPr>
      </w:pPr>
      <w:proofErr w:type="spellStart"/>
      <w:r w:rsidRPr="00A472FC">
        <w:rPr>
          <w:rFonts w:ascii="Times New Roman" w:hAnsi="Times New Roman" w:cs="Times New Roman"/>
          <w:kern w:val="1"/>
          <w:lang w:val="en-US"/>
        </w:rPr>
        <w:t>Pulsative</w:t>
      </w:r>
      <w:proofErr w:type="spellEnd"/>
      <w:r w:rsidRPr="00A472FC">
        <w:rPr>
          <w:rFonts w:ascii="Times New Roman" w:hAnsi="Times New Roman" w:cs="Times New Roman"/>
          <w:kern w:val="1"/>
          <w:lang w:val="en-US"/>
        </w:rPr>
        <w:t>, generative power, nutritive power, and augmentative powers</w:t>
      </w:r>
    </w:p>
    <w:p w14:paraId="576A8BB8" w14:textId="77777777" w:rsidR="000D3D92" w:rsidRPr="00A472FC" w:rsidRDefault="000D3D92" w:rsidP="00881604">
      <w:pPr>
        <w:pStyle w:val="ListParagraph"/>
        <w:numPr>
          <w:ilvl w:val="0"/>
          <w:numId w:val="11"/>
        </w:numPr>
        <w:autoSpaceDE w:val="0"/>
        <w:autoSpaceDN w:val="0"/>
        <w:adjustRightInd w:val="0"/>
        <w:ind w:left="1843" w:right="-52" w:hanging="425"/>
        <w:rPr>
          <w:rFonts w:ascii="Times New Roman" w:hAnsi="Times New Roman" w:cs="Times New Roman"/>
          <w:lang w:val="en-US"/>
        </w:rPr>
      </w:pPr>
      <w:r w:rsidRPr="00A472FC">
        <w:rPr>
          <w:rFonts w:ascii="Times New Roman" w:hAnsi="Times New Roman" w:cs="Times New Roman"/>
          <w:lang w:val="en-US"/>
        </w:rPr>
        <w:t>Part-voluntary and part-involuntary acts from ignorance or force</w:t>
      </w:r>
    </w:p>
    <w:p w14:paraId="2D7EEF95" w14:textId="77777777" w:rsidR="000D3D92" w:rsidRPr="00A472FC" w:rsidRDefault="000D3D92" w:rsidP="00881604">
      <w:pPr>
        <w:ind w:right="-52"/>
        <w:rPr>
          <w:rFonts w:ascii="Times New Roman" w:hAnsi="Times New Roman" w:cs="Times New Roman"/>
        </w:rPr>
      </w:pPr>
    </w:p>
    <w:p w14:paraId="79B9E385" w14:textId="77777777" w:rsidR="000D3D92" w:rsidRPr="00A472FC" w:rsidRDefault="000D3D92" w:rsidP="00881604">
      <w:pPr>
        <w:ind w:right="-52"/>
        <w:rPr>
          <w:rFonts w:ascii="Times New Roman" w:hAnsi="Times New Roman" w:cs="Times New Roman"/>
          <w:i/>
          <w:u w:val="single"/>
        </w:rPr>
      </w:pPr>
      <w:r w:rsidRPr="00A472FC">
        <w:rPr>
          <w:rFonts w:ascii="Times New Roman" w:hAnsi="Times New Roman" w:cs="Times New Roman"/>
          <w:u w:val="single"/>
        </w:rPr>
        <w:t>The</w:t>
      </w:r>
      <w:r w:rsidRPr="00A472FC">
        <w:rPr>
          <w:rFonts w:ascii="Times New Roman" w:hAnsi="Times New Roman" w:cs="Times New Roman"/>
          <w:i/>
          <w:u w:val="single"/>
        </w:rPr>
        <w:t xml:space="preserve"> Summa </w:t>
      </w:r>
      <w:proofErr w:type="spellStart"/>
      <w:r w:rsidRPr="00A472FC">
        <w:rPr>
          <w:rFonts w:ascii="Times New Roman" w:hAnsi="Times New Roman" w:cs="Times New Roman"/>
          <w:i/>
          <w:u w:val="single"/>
        </w:rPr>
        <w:t>Halensis</w:t>
      </w:r>
      <w:proofErr w:type="spellEnd"/>
    </w:p>
    <w:p w14:paraId="6B5A4E97" w14:textId="77777777" w:rsidR="000D3D92" w:rsidRPr="00A472FC" w:rsidRDefault="000D3D92" w:rsidP="00881604">
      <w:pPr>
        <w:ind w:right="-52"/>
        <w:rPr>
          <w:rFonts w:ascii="Times New Roman" w:hAnsi="Times New Roman" w:cs="Times New Roman"/>
        </w:rPr>
      </w:pPr>
    </w:p>
    <w:p w14:paraId="0285D8A4" w14:textId="1188BAD4"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 xml:space="preserve">In drawing this chapter to a close, it is worth recounting the Summa’s discussion of what it calls the sensible or motive powers. This has only recently been treated in an excellent </w:t>
      </w:r>
      <w:r w:rsidRPr="00A472FC">
        <w:rPr>
          <w:rFonts w:ascii="Times New Roman" w:hAnsi="Times New Roman" w:cs="Times New Roman"/>
        </w:rPr>
        <w:lastRenderedPageBreak/>
        <w:t>article by Silvana Vecc</w:t>
      </w:r>
      <w:r w:rsidR="00D80285" w:rsidRPr="00A472FC">
        <w:rPr>
          <w:rFonts w:ascii="Times New Roman" w:hAnsi="Times New Roman" w:cs="Times New Roman"/>
        </w:rPr>
        <w:t>h</w:t>
      </w:r>
      <w:r w:rsidRPr="00A472FC">
        <w:rPr>
          <w:rFonts w:ascii="Times New Roman" w:hAnsi="Times New Roman" w:cs="Times New Roman"/>
        </w:rPr>
        <w:t xml:space="preserve">io, who rightly observes that this text seems much less interested than John </w:t>
      </w:r>
      <w:r w:rsidR="0035195F" w:rsidRPr="00A472FC">
        <w:rPr>
          <w:rFonts w:ascii="Times New Roman" w:hAnsi="Times New Roman" w:cs="Times New Roman"/>
        </w:rPr>
        <w:t xml:space="preserve">of La Rochelle </w:t>
      </w:r>
      <w:r w:rsidRPr="00A472FC">
        <w:rPr>
          <w:rFonts w:ascii="Times New Roman" w:hAnsi="Times New Roman" w:cs="Times New Roman"/>
        </w:rPr>
        <w:t>in the question of the passions.</w:t>
      </w:r>
      <w:r w:rsidRPr="00A472FC">
        <w:rPr>
          <w:rStyle w:val="FootnoteReference"/>
          <w:rFonts w:ascii="Times New Roman" w:hAnsi="Times New Roman" w:cs="Times New Roman"/>
        </w:rPr>
        <w:footnoteReference w:id="1057"/>
      </w:r>
      <w:r w:rsidRPr="00A472FC">
        <w:rPr>
          <w:rFonts w:ascii="Times New Roman" w:hAnsi="Times New Roman" w:cs="Times New Roman"/>
        </w:rPr>
        <w:t xml:space="preserve"> Nevertheless, the Summa basically codifies some of the material that we have seen can be found in the writings of John of La Rochelle</w:t>
      </w:r>
      <w:r w:rsidRPr="00A472FC">
        <w:rPr>
          <w:rFonts w:ascii="Times New Roman" w:hAnsi="Times New Roman" w:cs="Times New Roman"/>
          <w:i/>
          <w:kern w:val="1"/>
          <w:lang w:val="en-US"/>
        </w:rPr>
        <w:t>.</w:t>
      </w:r>
      <w:r w:rsidRPr="00A472FC">
        <w:rPr>
          <w:rStyle w:val="FootnoteReference"/>
          <w:rFonts w:ascii="Times New Roman" w:hAnsi="Times New Roman" w:cs="Times New Roman"/>
          <w:kern w:val="1"/>
          <w:lang w:val="en-US"/>
        </w:rPr>
        <w:footnoteReference w:id="1058"/>
      </w:r>
      <w:r w:rsidRPr="00A472FC">
        <w:rPr>
          <w:rFonts w:ascii="Times New Roman" w:hAnsi="Times New Roman" w:cs="Times New Roman"/>
        </w:rPr>
        <w:t xml:space="preserve"> In that sense, </w:t>
      </w:r>
      <w:r w:rsidR="00FB16F8" w:rsidRPr="00A472FC">
        <w:rPr>
          <w:rFonts w:ascii="Times New Roman" w:hAnsi="Times New Roman" w:cs="Times New Roman"/>
        </w:rPr>
        <w:t>the Summa</w:t>
      </w:r>
      <w:r w:rsidRPr="00A472FC">
        <w:rPr>
          <w:rFonts w:ascii="Times New Roman" w:hAnsi="Times New Roman" w:cs="Times New Roman"/>
        </w:rPr>
        <w:t xml:space="preserve"> is not terribly innovative but goes to show the influence of </w:t>
      </w:r>
      <w:r w:rsidR="00FB16F8" w:rsidRPr="00A472FC">
        <w:rPr>
          <w:rFonts w:ascii="Times New Roman" w:hAnsi="Times New Roman" w:cs="Times New Roman"/>
        </w:rPr>
        <w:t xml:space="preserve">Rochelle </w:t>
      </w:r>
      <w:r w:rsidRPr="00A472FC">
        <w:rPr>
          <w:rFonts w:ascii="Times New Roman" w:hAnsi="Times New Roman" w:cs="Times New Roman"/>
        </w:rPr>
        <w:t xml:space="preserve">on its authorship. </w:t>
      </w:r>
      <w:r w:rsidR="00FC3A3C" w:rsidRPr="00A472FC">
        <w:rPr>
          <w:rFonts w:ascii="Times New Roman" w:hAnsi="Times New Roman" w:cs="Times New Roman"/>
        </w:rPr>
        <w:t>In line with the</w:t>
      </w:r>
      <w:r w:rsidR="006234C7" w:rsidRPr="00A472FC">
        <w:rPr>
          <w:rFonts w:ascii="Times New Roman" w:hAnsi="Times New Roman" w:cs="Times New Roman"/>
        </w:rPr>
        <w:t xml:space="preserve"> latter’</w:t>
      </w:r>
      <w:r w:rsidRPr="00A472FC">
        <w:rPr>
          <w:rFonts w:ascii="Times New Roman" w:hAnsi="Times New Roman" w:cs="Times New Roman"/>
        </w:rPr>
        <w:t>s works</w:t>
      </w:r>
      <w:r w:rsidR="00FC3A3C" w:rsidRPr="00A472FC">
        <w:rPr>
          <w:rFonts w:ascii="Times New Roman" w:hAnsi="Times New Roman" w:cs="Times New Roman"/>
        </w:rPr>
        <w:t>,</w:t>
      </w:r>
      <w:r w:rsidRPr="00A472FC">
        <w:rPr>
          <w:rFonts w:ascii="Times New Roman" w:hAnsi="Times New Roman" w:cs="Times New Roman"/>
        </w:rPr>
        <w:t xml:space="preserve"> the Summa observes that </w:t>
      </w:r>
      <w:r w:rsidR="009457C6" w:rsidRPr="00A472FC">
        <w:rPr>
          <w:rFonts w:ascii="Times New Roman" w:hAnsi="Times New Roman" w:cs="Times New Roman"/>
        </w:rPr>
        <w:t xml:space="preserve">the </w:t>
      </w:r>
      <w:r w:rsidRPr="00A472FC">
        <w:rPr>
          <w:rFonts w:ascii="Times New Roman" w:hAnsi="Times New Roman" w:cs="Times New Roman"/>
        </w:rPr>
        <w:t xml:space="preserve">Philosopher—evidently Avicenna, posits </w:t>
      </w:r>
      <w:proofErr w:type="spellStart"/>
      <w:r w:rsidRPr="00A472FC">
        <w:rPr>
          <w:rFonts w:ascii="Times New Roman" w:hAnsi="Times New Roman" w:cs="Times New Roman"/>
        </w:rPr>
        <w:t>phantasia</w:t>
      </w:r>
      <w:proofErr w:type="spellEnd"/>
      <w:r w:rsidRPr="00A472FC">
        <w:rPr>
          <w:rFonts w:ascii="Times New Roman" w:hAnsi="Times New Roman" w:cs="Times New Roman"/>
        </w:rPr>
        <w:t xml:space="preserve"> and </w:t>
      </w:r>
      <w:r w:rsidR="00D61798" w:rsidRPr="00A472FC">
        <w:rPr>
          <w:rFonts w:ascii="Times New Roman" w:hAnsi="Times New Roman" w:cs="Times New Roman"/>
        </w:rPr>
        <w:t xml:space="preserve">estimation as motive powers, along with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and irascible</w:t>
      </w:r>
      <w:r w:rsidR="00D61798" w:rsidRPr="00A472FC">
        <w:rPr>
          <w:rFonts w:ascii="Times New Roman" w:hAnsi="Times New Roman" w:cs="Times New Roman"/>
        </w:rPr>
        <w:t xml:space="preserve"> passions</w:t>
      </w:r>
      <w:r w:rsidRPr="00A472FC">
        <w:rPr>
          <w:rFonts w:ascii="Times New Roman" w:hAnsi="Times New Roman" w:cs="Times New Roman"/>
        </w:rPr>
        <w:t>,</w:t>
      </w:r>
      <w:r w:rsidR="00D61798" w:rsidRPr="00A472FC">
        <w:rPr>
          <w:rFonts w:ascii="Times New Roman" w:hAnsi="Times New Roman" w:cs="Times New Roman"/>
        </w:rPr>
        <w:t xml:space="preserve"> to which the </w:t>
      </w:r>
      <w:proofErr w:type="spellStart"/>
      <w:r w:rsidR="00D61798" w:rsidRPr="00A472FC">
        <w:rPr>
          <w:rFonts w:ascii="Times New Roman" w:hAnsi="Times New Roman" w:cs="Times New Roman"/>
        </w:rPr>
        <w:t>Summist</w:t>
      </w:r>
      <w:proofErr w:type="spellEnd"/>
      <w:r w:rsidR="00D61798" w:rsidRPr="00A472FC">
        <w:rPr>
          <w:rFonts w:ascii="Times New Roman" w:hAnsi="Times New Roman" w:cs="Times New Roman"/>
        </w:rPr>
        <w:t xml:space="preserve"> adds</w:t>
      </w:r>
      <w:r w:rsidRPr="00A472FC">
        <w:rPr>
          <w:rFonts w:ascii="Times New Roman" w:hAnsi="Times New Roman" w:cs="Times New Roman"/>
        </w:rPr>
        <w:t xml:space="preserve"> and pseudo-Augustinian sensuality.</w:t>
      </w:r>
      <w:r w:rsidRPr="00A472FC">
        <w:rPr>
          <w:rStyle w:val="FootnoteReference"/>
          <w:rFonts w:ascii="Times New Roman" w:hAnsi="Times New Roman" w:cs="Times New Roman"/>
        </w:rPr>
        <w:footnoteReference w:id="1059"/>
      </w:r>
      <w:r w:rsidRPr="00A472FC">
        <w:rPr>
          <w:rFonts w:ascii="Times New Roman" w:hAnsi="Times New Roman" w:cs="Times New Roman"/>
        </w:rPr>
        <w:t xml:space="preserve"> The affection of joy (</w:t>
      </w:r>
      <w:proofErr w:type="spellStart"/>
      <w:r w:rsidRPr="00A472FC">
        <w:rPr>
          <w:rFonts w:ascii="Times New Roman" w:hAnsi="Times New Roman" w:cs="Times New Roman"/>
          <w:i/>
        </w:rPr>
        <w:t>gaudium</w:t>
      </w:r>
      <w:proofErr w:type="spellEnd"/>
      <w:r w:rsidRPr="00A472FC">
        <w:rPr>
          <w:rFonts w:ascii="Times New Roman" w:hAnsi="Times New Roman" w:cs="Times New Roman"/>
        </w:rPr>
        <w:t xml:space="preserve">) belongs to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power, while pain (</w:t>
      </w:r>
      <w:proofErr w:type="spellStart"/>
      <w:r w:rsidRPr="00A472FC">
        <w:rPr>
          <w:rFonts w:ascii="Times New Roman" w:hAnsi="Times New Roman" w:cs="Times New Roman"/>
          <w:i/>
        </w:rPr>
        <w:t>dolor</w:t>
      </w:r>
      <w:proofErr w:type="spellEnd"/>
      <w:r w:rsidRPr="00A472FC">
        <w:rPr>
          <w:rFonts w:ascii="Times New Roman" w:hAnsi="Times New Roman" w:cs="Times New Roman"/>
        </w:rPr>
        <w:t>), anger (</w:t>
      </w:r>
      <w:r w:rsidRPr="00A472FC">
        <w:rPr>
          <w:rFonts w:ascii="Times New Roman" w:hAnsi="Times New Roman" w:cs="Times New Roman"/>
          <w:i/>
        </w:rPr>
        <w:t>ira</w:t>
      </w:r>
      <w:r w:rsidRPr="00A472FC">
        <w:rPr>
          <w:rFonts w:ascii="Times New Roman" w:hAnsi="Times New Roman" w:cs="Times New Roman"/>
        </w:rPr>
        <w:t>) and fear (</w:t>
      </w:r>
      <w:r w:rsidRPr="00A472FC">
        <w:rPr>
          <w:rFonts w:ascii="Times New Roman" w:hAnsi="Times New Roman" w:cs="Times New Roman"/>
          <w:i/>
        </w:rPr>
        <w:t>timor</w:t>
      </w:r>
      <w:r w:rsidRPr="00A472FC">
        <w:rPr>
          <w:rFonts w:ascii="Times New Roman" w:hAnsi="Times New Roman" w:cs="Times New Roman"/>
        </w:rPr>
        <w:t xml:space="preserve">) belong to the irascible. </w:t>
      </w:r>
    </w:p>
    <w:p w14:paraId="63D4C0B3" w14:textId="77777777"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 xml:space="preserve">The first question the Summa considers in treating the motive powers is why phantasy and estimation are </w:t>
      </w:r>
      <w:proofErr w:type="spellStart"/>
      <w:r w:rsidRPr="00A472FC">
        <w:rPr>
          <w:rFonts w:ascii="Times New Roman" w:hAnsi="Times New Roman" w:cs="Times New Roman"/>
        </w:rPr>
        <w:t>categorized</w:t>
      </w:r>
      <w:proofErr w:type="spellEnd"/>
      <w:r w:rsidRPr="00A472FC">
        <w:rPr>
          <w:rFonts w:ascii="Times New Roman" w:hAnsi="Times New Roman" w:cs="Times New Roman"/>
        </w:rPr>
        <w:t xml:space="preserve"> as such powers, when they are also listed amongst the cognitive powers. According to the Summa, they are called motive powers, because they dispose one to motion through the mode of </w:t>
      </w:r>
      <w:proofErr w:type="spellStart"/>
      <w:r w:rsidRPr="00A472FC">
        <w:rPr>
          <w:rFonts w:ascii="Times New Roman" w:hAnsi="Times New Roman" w:cs="Times New Roman"/>
        </w:rPr>
        <w:t>cognizing</w:t>
      </w:r>
      <w:proofErr w:type="spellEnd"/>
      <w:r w:rsidRPr="00A472FC">
        <w:rPr>
          <w:rFonts w:ascii="Times New Roman" w:hAnsi="Times New Roman" w:cs="Times New Roman"/>
        </w:rPr>
        <w:t xml:space="preserve"> good or evil, inclining one to pursue or avoid’</w:t>
      </w:r>
      <w:r w:rsidRPr="00A472FC">
        <w:rPr>
          <w:rStyle w:val="FootnoteReference"/>
          <w:rFonts w:ascii="Times New Roman" w:hAnsi="Times New Roman" w:cs="Times New Roman"/>
        </w:rPr>
        <w:footnoteReference w:id="1060"/>
      </w:r>
      <w:r w:rsidRPr="00A472FC">
        <w:rPr>
          <w:rFonts w:ascii="Times New Roman" w:hAnsi="Times New Roman" w:cs="Times New Roman"/>
        </w:rPr>
        <w:t xml:space="preserve"> an object in question.</w:t>
      </w:r>
      <w:r w:rsidRPr="00A472FC">
        <w:rPr>
          <w:rStyle w:val="FootnoteReference"/>
          <w:rFonts w:ascii="Times New Roman" w:hAnsi="Times New Roman" w:cs="Times New Roman"/>
        </w:rPr>
        <w:footnoteReference w:id="1061"/>
      </w:r>
      <w:r w:rsidRPr="00A472FC">
        <w:rPr>
          <w:rFonts w:ascii="Times New Roman" w:hAnsi="Times New Roman" w:cs="Times New Roman"/>
        </w:rPr>
        <w:t xml:space="preserve"> They differ in the way they do this, however, because ‘phantasy disposes to motion through the apprehension of a sensible form of what is fitting or unfitting, but estimation disposes to motion through the apprehension of an intention in the sensible thing.’</w:t>
      </w:r>
      <w:r w:rsidRPr="00A472FC">
        <w:rPr>
          <w:rStyle w:val="FootnoteReference"/>
          <w:rFonts w:ascii="Times New Roman" w:hAnsi="Times New Roman" w:cs="Times New Roman"/>
        </w:rPr>
        <w:footnoteReference w:id="1062"/>
      </w:r>
      <w:r w:rsidRPr="00A472FC">
        <w:rPr>
          <w:rFonts w:ascii="Times New Roman" w:hAnsi="Times New Roman" w:cs="Times New Roman"/>
        </w:rPr>
        <w:t xml:space="preserve"> In other words, phantasy incites motion through apprehension of the object itself, while estimation does so through the apprehension of some quality in it. </w:t>
      </w:r>
    </w:p>
    <w:p w14:paraId="73F18AE9" w14:textId="4775F2AB" w:rsidR="000D3D92" w:rsidRPr="00A472FC" w:rsidRDefault="000D3D92"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The Summa next shifts to discuss the motive power of sensuality which is mentioned by Augustine.</w:t>
      </w:r>
      <w:r w:rsidRPr="00A472FC">
        <w:rPr>
          <w:rStyle w:val="FootnoteReference"/>
          <w:rFonts w:ascii="Times New Roman" w:hAnsi="Times New Roman" w:cs="Times New Roman"/>
        </w:rPr>
        <w:footnoteReference w:id="1063"/>
      </w:r>
      <w:r w:rsidRPr="00A472FC">
        <w:rPr>
          <w:rFonts w:ascii="Times New Roman" w:hAnsi="Times New Roman" w:cs="Times New Roman"/>
        </w:rPr>
        <w:t xml:space="preserve"> Sensuality is a faculty which pertains to the senses, which suggests whether an object of sense is good or bad and thus compels movement towards or away from it. In humans, who possess reason, Augustine also refers to it as the ‘exterior man’ or lower reason, which is concerned with external things, by contrast to</w:t>
      </w:r>
      <w:r w:rsidR="002A7BC9">
        <w:rPr>
          <w:rFonts w:ascii="Times New Roman" w:hAnsi="Times New Roman" w:cs="Times New Roman"/>
        </w:rPr>
        <w:t xml:space="preserve"> the</w:t>
      </w:r>
      <w:r w:rsidRPr="00A472FC">
        <w:rPr>
          <w:rFonts w:ascii="Times New Roman" w:hAnsi="Times New Roman" w:cs="Times New Roman"/>
        </w:rPr>
        <w:t xml:space="preserve"> interior man or higher reason</w:t>
      </w:r>
      <w:r w:rsidR="0076124A">
        <w:rPr>
          <w:rFonts w:ascii="Times New Roman" w:hAnsi="Times New Roman" w:cs="Times New Roman"/>
        </w:rPr>
        <w:t>,</w:t>
      </w:r>
      <w:r w:rsidRPr="00A472FC">
        <w:rPr>
          <w:rFonts w:ascii="Times New Roman" w:hAnsi="Times New Roman" w:cs="Times New Roman"/>
        </w:rPr>
        <w:t xml:space="preserve"> which is concerned with intelligible goods and ultimately God.</w:t>
      </w:r>
      <w:r w:rsidRPr="00A472FC">
        <w:rPr>
          <w:rStyle w:val="FootnoteReference"/>
          <w:rFonts w:ascii="Times New Roman" w:hAnsi="Times New Roman" w:cs="Times New Roman"/>
        </w:rPr>
        <w:footnoteReference w:id="1064"/>
      </w:r>
      <w:r w:rsidRPr="00A472FC">
        <w:rPr>
          <w:rFonts w:ascii="Times New Roman" w:hAnsi="Times New Roman" w:cs="Times New Roman"/>
        </w:rPr>
        <w:t xml:space="preserve"> Although it is a power held in common with animals, sensuality can or should be ordered to and participate in the work of reason in those beings who have the rational power.</w:t>
      </w:r>
      <w:r w:rsidRPr="00A472FC">
        <w:rPr>
          <w:rStyle w:val="FootnoteReference"/>
          <w:rFonts w:ascii="Times New Roman" w:hAnsi="Times New Roman" w:cs="Times New Roman"/>
        </w:rPr>
        <w:footnoteReference w:id="1065"/>
      </w:r>
      <w:r w:rsidRPr="00A472FC">
        <w:rPr>
          <w:rFonts w:ascii="Times New Roman" w:hAnsi="Times New Roman" w:cs="Times New Roman"/>
        </w:rPr>
        <w:t xml:space="preserve"> </w:t>
      </w:r>
    </w:p>
    <w:p w14:paraId="146B1577" w14:textId="648014DA" w:rsidR="000D3D92" w:rsidRPr="00A472FC" w:rsidRDefault="000D3D92"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When it fails to do so, the result is a perverted desire for sense objects which is the definition of sin.</w:t>
      </w:r>
      <w:r w:rsidRPr="00A472FC">
        <w:rPr>
          <w:rStyle w:val="FootnoteReference"/>
          <w:rFonts w:ascii="Times New Roman" w:hAnsi="Times New Roman" w:cs="Times New Roman"/>
        </w:rPr>
        <w:footnoteReference w:id="1066"/>
      </w:r>
      <w:r w:rsidRPr="00A472FC">
        <w:rPr>
          <w:rFonts w:ascii="Times New Roman" w:hAnsi="Times New Roman" w:cs="Times New Roman"/>
        </w:rPr>
        <w:t xml:space="preserve"> As DSEA 9 elaborates, ‘when the exterior sense pursues its good of the flesh, the interior sense of the mind falls asleep. Thus, </w:t>
      </w:r>
      <w:r w:rsidR="00AA493A" w:rsidRPr="00A472FC">
        <w:rPr>
          <w:rFonts w:ascii="Times New Roman" w:hAnsi="Times New Roman" w:cs="Times New Roman"/>
        </w:rPr>
        <w:t xml:space="preserve">the person who is </w:t>
      </w:r>
      <w:r w:rsidRPr="00A472FC">
        <w:rPr>
          <w:rFonts w:ascii="Times New Roman" w:hAnsi="Times New Roman" w:cs="Times New Roman"/>
        </w:rPr>
        <w:t>captivated by an exterior good</w:t>
      </w:r>
      <w:r w:rsidR="00DB6E1B" w:rsidRPr="00A472FC">
        <w:rPr>
          <w:rFonts w:ascii="Times New Roman" w:hAnsi="Times New Roman" w:cs="Times New Roman"/>
        </w:rPr>
        <w:t xml:space="preserve"> does not think of the goods in the inferior sense</w:t>
      </w:r>
      <w:r w:rsidRPr="00A472FC">
        <w:rPr>
          <w:rFonts w:ascii="Times New Roman" w:hAnsi="Times New Roman" w:cs="Times New Roman"/>
        </w:rPr>
        <w:t>.’</w:t>
      </w:r>
      <w:r w:rsidRPr="00A472FC">
        <w:rPr>
          <w:rStyle w:val="FootnoteReference"/>
          <w:rFonts w:ascii="Times New Roman" w:hAnsi="Times New Roman" w:cs="Times New Roman"/>
        </w:rPr>
        <w:footnoteReference w:id="1067"/>
      </w:r>
      <w:r w:rsidRPr="00A472FC">
        <w:rPr>
          <w:rFonts w:ascii="Times New Roman" w:hAnsi="Times New Roman" w:cs="Times New Roman"/>
        </w:rPr>
        <w:t xml:space="preserve"> In light of its perceived </w:t>
      </w:r>
      <w:r w:rsidRPr="00A472FC">
        <w:rPr>
          <w:rFonts w:ascii="Times New Roman" w:hAnsi="Times New Roman" w:cs="Times New Roman"/>
        </w:rPr>
        <w:lastRenderedPageBreak/>
        <w:t xml:space="preserve">importance, the Summa inquires why the philosophers did not know about sensuality, even though they knew about other faculties shared in common with animals, like phantasy and estimation. The reason for this is that sensuality concerns a power which is able to rebel against reason, while the irascible and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powers, which the philosophers also knew, are defined by being able to be guided by reason. </w:t>
      </w:r>
    </w:p>
    <w:p w14:paraId="6B2343C7" w14:textId="53F0AFF4" w:rsidR="000D3D92" w:rsidRPr="00A472FC" w:rsidRDefault="00385747" w:rsidP="00881604">
      <w:pPr>
        <w:autoSpaceDE w:val="0"/>
        <w:autoSpaceDN w:val="0"/>
        <w:adjustRightInd w:val="0"/>
        <w:ind w:right="-52" w:firstLine="720"/>
        <w:rPr>
          <w:rFonts w:ascii="Times New Roman" w:hAnsi="Times New Roman" w:cs="Times New Roman"/>
        </w:rPr>
      </w:pPr>
      <w:r>
        <w:rPr>
          <w:rFonts w:ascii="Times New Roman" w:hAnsi="Times New Roman" w:cs="Times New Roman"/>
        </w:rPr>
        <w:t>Thus</w:t>
      </w:r>
      <w:r w:rsidR="000D3D92" w:rsidRPr="00A472FC">
        <w:rPr>
          <w:rFonts w:ascii="Times New Roman" w:hAnsi="Times New Roman" w:cs="Times New Roman"/>
        </w:rPr>
        <w:t>, the reason for their ignorance of sensuality concerns their ignorance of the root of all sin, which is sensuality itself.</w:t>
      </w:r>
      <w:r w:rsidR="000D3D92" w:rsidRPr="00A472FC">
        <w:rPr>
          <w:rStyle w:val="FootnoteReference"/>
          <w:rFonts w:ascii="Times New Roman" w:hAnsi="Times New Roman" w:cs="Times New Roman"/>
        </w:rPr>
        <w:footnoteReference w:id="1068"/>
      </w:r>
      <w:r w:rsidR="000D3D92" w:rsidRPr="00A472FC">
        <w:rPr>
          <w:rFonts w:ascii="Times New Roman" w:hAnsi="Times New Roman" w:cs="Times New Roman"/>
        </w:rPr>
        <w:t xml:space="preserve"> This highlights the theological or indeed religious motivation behind the early Franciscan theory of the passions</w:t>
      </w:r>
      <w:r w:rsidR="00F44EEC">
        <w:rPr>
          <w:rFonts w:ascii="Times New Roman" w:hAnsi="Times New Roman" w:cs="Times New Roman"/>
        </w:rPr>
        <w:t>, namely, to explain how sin is possible</w:t>
      </w:r>
      <w:r w:rsidR="000D3D92" w:rsidRPr="00A472FC">
        <w:rPr>
          <w:rFonts w:ascii="Times New Roman" w:hAnsi="Times New Roman" w:cs="Times New Roman"/>
        </w:rPr>
        <w:t xml:space="preserve">. Finally, in this section, the Summa comes to those sensible motive powers which are described as irascible and </w:t>
      </w:r>
      <w:proofErr w:type="spellStart"/>
      <w:r w:rsidR="000D3D92" w:rsidRPr="00A472FC">
        <w:rPr>
          <w:rFonts w:ascii="Times New Roman" w:hAnsi="Times New Roman" w:cs="Times New Roman"/>
        </w:rPr>
        <w:t>concupiscible</w:t>
      </w:r>
      <w:proofErr w:type="spellEnd"/>
      <w:r w:rsidR="000D3D92" w:rsidRPr="00A472FC">
        <w:rPr>
          <w:rFonts w:ascii="Times New Roman" w:hAnsi="Times New Roman" w:cs="Times New Roman"/>
        </w:rPr>
        <w:t xml:space="preserve">. As regards the question whether these are part of the rational or sensible part of the soul, John of La Rochelle follows John of Damascus in saying that the irascible and </w:t>
      </w:r>
      <w:proofErr w:type="spellStart"/>
      <w:r w:rsidR="000D3D92" w:rsidRPr="00A472FC">
        <w:rPr>
          <w:rFonts w:ascii="Times New Roman" w:hAnsi="Times New Roman" w:cs="Times New Roman"/>
        </w:rPr>
        <w:t>concupiscible</w:t>
      </w:r>
      <w:proofErr w:type="spellEnd"/>
      <w:r w:rsidR="000D3D92" w:rsidRPr="00A472FC">
        <w:rPr>
          <w:rFonts w:ascii="Times New Roman" w:hAnsi="Times New Roman" w:cs="Times New Roman"/>
        </w:rPr>
        <w:t xml:space="preserve"> powers include elements of both. While they strictly speaking belong to the irrational part of the soul, they are discussed in terms of the way they can be obedient to reason, moving sometimes according to right reason, and sometimes according to what is not right and thus according to themselves.</w:t>
      </w:r>
      <w:r w:rsidR="000D3D92" w:rsidRPr="00A472FC">
        <w:rPr>
          <w:rStyle w:val="FootnoteReference"/>
          <w:rFonts w:ascii="Times New Roman" w:hAnsi="Times New Roman" w:cs="Times New Roman"/>
        </w:rPr>
        <w:footnoteReference w:id="1069"/>
      </w:r>
    </w:p>
    <w:p w14:paraId="42EC296C" w14:textId="77777777" w:rsidR="000D3D92" w:rsidRPr="00A472FC" w:rsidRDefault="000D3D92"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According to Damascus in DFO II.12, the Summa claims,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passions are determined by the good and irascible by the bad. For these two affections, namely, happiness (</w:t>
      </w:r>
      <w:proofErr w:type="spellStart"/>
      <w:r w:rsidRPr="00A472FC">
        <w:rPr>
          <w:rFonts w:ascii="Times New Roman" w:hAnsi="Times New Roman" w:cs="Times New Roman"/>
          <w:i/>
        </w:rPr>
        <w:t>laetitia</w:t>
      </w:r>
      <w:proofErr w:type="spellEnd"/>
      <w:r w:rsidRPr="00A472FC">
        <w:rPr>
          <w:rFonts w:ascii="Times New Roman" w:hAnsi="Times New Roman" w:cs="Times New Roman"/>
        </w:rPr>
        <w:t>) and desire respectively concern a present or an absent or expected good. Likewise, sadness and fear concern a present and future or expected evil.</w:t>
      </w:r>
      <w:r w:rsidRPr="00A472FC">
        <w:rPr>
          <w:rStyle w:val="FootnoteReference"/>
          <w:rFonts w:ascii="Times New Roman" w:hAnsi="Times New Roman" w:cs="Times New Roman"/>
        </w:rPr>
        <w:footnoteReference w:id="1070"/>
      </w:r>
      <w:r w:rsidRPr="00A472FC">
        <w:rPr>
          <w:rFonts w:ascii="Times New Roman" w:hAnsi="Times New Roman" w:cs="Times New Roman"/>
        </w:rPr>
        <w:t xml:space="preserve"> This opinion is supposedly affirmed in DSEA 14, which states that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power chooses and the irascible nature reproves. For choosing and reproving concern good and evil, respectively.’</w:t>
      </w:r>
      <w:r w:rsidRPr="00A472FC">
        <w:rPr>
          <w:rStyle w:val="FootnoteReference"/>
          <w:rFonts w:ascii="Times New Roman" w:hAnsi="Times New Roman" w:cs="Times New Roman"/>
        </w:rPr>
        <w:footnoteReference w:id="1071"/>
      </w:r>
      <w:r w:rsidRPr="00A472FC">
        <w:rPr>
          <w:rFonts w:ascii="Times New Roman" w:hAnsi="Times New Roman" w:cs="Times New Roman"/>
        </w:rPr>
        <w:t xml:space="preserve"> John of Damascus’ conclusions on these two powers are as follows and as depicted in the chart below:</w:t>
      </w:r>
    </w:p>
    <w:p w14:paraId="78FDDF16" w14:textId="77777777" w:rsidR="000D3D92" w:rsidRPr="00A472FC" w:rsidRDefault="000D3D92" w:rsidP="00881604">
      <w:pPr>
        <w:ind w:right="-52" w:firstLine="720"/>
        <w:rPr>
          <w:rFonts w:ascii="Times New Roman" w:hAnsi="Times New Roman" w:cs="Times New Roman"/>
        </w:rPr>
      </w:pPr>
    </w:p>
    <w:p w14:paraId="2622C6D0" w14:textId="21D8791F" w:rsidR="000D3D92" w:rsidRPr="00A472FC" w:rsidRDefault="000D3D92" w:rsidP="00881604">
      <w:pPr>
        <w:ind w:left="720" w:right="-52"/>
        <w:rPr>
          <w:rFonts w:ascii="Times New Roman" w:hAnsi="Times New Roman" w:cs="Times New Roman"/>
        </w:rPr>
      </w:pPr>
      <w:r w:rsidRPr="00A472FC">
        <w:rPr>
          <w:rFonts w:ascii="Times New Roman" w:hAnsi="Times New Roman" w:cs="Times New Roman"/>
        </w:rPr>
        <w:t xml:space="preserve">The irascible and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powers are understood and thus distinguished in three ways: one mode is according to an appetite for the good and an aversion to evil, and in this regard good and evil distinguish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from irascible. In another way, they are distinguished according to different appetites, as the </w:t>
      </w:r>
      <w:proofErr w:type="spellStart"/>
      <w:r w:rsidRPr="00A472FC">
        <w:rPr>
          <w:rFonts w:ascii="Times New Roman" w:hAnsi="Times New Roman" w:cs="Times New Roman"/>
        </w:rPr>
        <w:t>concupisicible</w:t>
      </w:r>
      <w:proofErr w:type="spellEnd"/>
      <w:r w:rsidRPr="00A472FC">
        <w:rPr>
          <w:rFonts w:ascii="Times New Roman" w:hAnsi="Times New Roman" w:cs="Times New Roman"/>
        </w:rPr>
        <w:t xml:space="preserve"> is according to the appetite for what is pleasing, and the irascible for what is arduous or </w:t>
      </w:r>
      <w:proofErr w:type="spellStart"/>
      <w:r w:rsidRPr="00A472FC">
        <w:rPr>
          <w:rFonts w:ascii="Times New Roman" w:hAnsi="Times New Roman" w:cs="Times New Roman"/>
        </w:rPr>
        <w:t>honorable</w:t>
      </w:r>
      <w:proofErr w:type="spellEnd"/>
      <w:r w:rsidRPr="00A472FC">
        <w:rPr>
          <w:rFonts w:ascii="Times New Roman" w:hAnsi="Times New Roman" w:cs="Times New Roman"/>
        </w:rPr>
        <w:t>. The third mode concerns a present good and its opposite and a future good with its opposite. In the first mode, both joy (</w:t>
      </w:r>
      <w:proofErr w:type="spellStart"/>
      <w:r w:rsidRPr="00A472FC">
        <w:rPr>
          <w:rFonts w:ascii="Times New Roman" w:hAnsi="Times New Roman" w:cs="Times New Roman"/>
          <w:i/>
        </w:rPr>
        <w:t>gaudium</w:t>
      </w:r>
      <w:proofErr w:type="spellEnd"/>
      <w:r w:rsidRPr="00A472FC">
        <w:rPr>
          <w:rFonts w:ascii="Times New Roman" w:hAnsi="Times New Roman" w:cs="Times New Roman"/>
        </w:rPr>
        <w:t xml:space="preserve">) and desire, which are respectively said to concern a present good and a future good, pertain to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power. Pain and fear which consist in an aversion to evil whether present or the future, pertain to the irascible power. This is the way in which the philosophers distinguished between the four affections according to which it is possible to will or not to will: for these [affections] pertain to appetite and aversion. In the second mode, these two powers are understood insofar as they respond to the </w:t>
      </w:r>
      <w:r w:rsidRPr="00A472FC">
        <w:rPr>
          <w:rFonts w:ascii="Times New Roman" w:hAnsi="Times New Roman" w:cs="Times New Roman"/>
        </w:rPr>
        <w:lastRenderedPageBreak/>
        <w:t xml:space="preserve">cardinal virtues of temperance and fortitude, for temperance concerns desirable things, while fortitude concerns the appetite for what is arduous or </w:t>
      </w:r>
      <w:proofErr w:type="spellStart"/>
      <w:r w:rsidRPr="00A472FC">
        <w:rPr>
          <w:rFonts w:ascii="Times New Roman" w:hAnsi="Times New Roman" w:cs="Times New Roman"/>
        </w:rPr>
        <w:t>honorable</w:t>
      </w:r>
      <w:proofErr w:type="spellEnd"/>
      <w:r w:rsidRPr="00A472FC">
        <w:rPr>
          <w:rFonts w:ascii="Times New Roman" w:hAnsi="Times New Roman" w:cs="Times New Roman"/>
        </w:rPr>
        <w:t xml:space="preserve">. That is why it can include sadness and undesirable things. As regards the third mode, pain and joy are said to pertain to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hope and fear to the irascible. This is how Damascus distinguishes them, saying that desire and sadness pertain to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and fear and anger to the irascible.</w:t>
      </w:r>
      <w:r w:rsidRPr="00A472FC">
        <w:rPr>
          <w:rStyle w:val="FootnoteReference"/>
          <w:rFonts w:ascii="Times New Roman" w:hAnsi="Times New Roman" w:cs="Times New Roman"/>
        </w:rPr>
        <w:footnoteReference w:id="1072"/>
      </w:r>
    </w:p>
    <w:p w14:paraId="08AB5B27" w14:textId="77777777" w:rsidR="00D25AF5" w:rsidRPr="00A472FC" w:rsidRDefault="00D25AF5" w:rsidP="00881604">
      <w:pPr>
        <w:ind w:left="720" w:right="-52"/>
        <w:rPr>
          <w:rFonts w:ascii="Times New Roman" w:hAnsi="Times New Roman" w:cs="Times New Roman"/>
        </w:rPr>
      </w:pPr>
    </w:p>
    <w:p w14:paraId="1F31D129" w14:textId="77777777" w:rsidR="000D3D92" w:rsidRPr="00A472FC" w:rsidRDefault="000D3D92" w:rsidP="00881604">
      <w:pPr>
        <w:ind w:left="2160" w:right="-52" w:firstLine="720"/>
        <w:rPr>
          <w:rFonts w:ascii="Times New Roman" w:hAnsi="Times New Roman" w:cs="Times New Roman"/>
          <w:b/>
          <w:bCs/>
        </w:rPr>
      </w:pPr>
      <w:r w:rsidRPr="00A472FC">
        <w:rPr>
          <w:rFonts w:ascii="Times New Roman" w:hAnsi="Times New Roman" w:cs="Times New Roman"/>
          <w:b/>
          <w:bCs/>
        </w:rPr>
        <w:t>Irascible</w:t>
      </w:r>
      <w:r w:rsidRPr="00A472FC">
        <w:rPr>
          <w:rFonts w:ascii="Times New Roman" w:hAnsi="Times New Roman" w:cs="Times New Roman"/>
          <w:b/>
          <w:bCs/>
        </w:rPr>
        <w:tab/>
      </w:r>
      <w:proofErr w:type="spellStart"/>
      <w:r w:rsidRPr="00A472FC">
        <w:rPr>
          <w:rFonts w:ascii="Times New Roman" w:hAnsi="Times New Roman" w:cs="Times New Roman"/>
          <w:b/>
          <w:bCs/>
        </w:rPr>
        <w:t>Concupiscible</w:t>
      </w:r>
      <w:proofErr w:type="spellEnd"/>
    </w:p>
    <w:p w14:paraId="5531E331" w14:textId="77777777" w:rsidR="000D3D92" w:rsidRPr="00A472FC" w:rsidRDefault="000D3D92" w:rsidP="00881604">
      <w:pPr>
        <w:ind w:left="720" w:right="-52"/>
        <w:rPr>
          <w:rFonts w:ascii="Times New Roman" w:hAnsi="Times New Roman" w:cs="Times New Roman"/>
        </w:rPr>
      </w:pPr>
    </w:p>
    <w:p w14:paraId="75E5ABB5" w14:textId="3A6AFE36" w:rsidR="000D3D92" w:rsidRPr="00A472FC" w:rsidRDefault="000D3D92" w:rsidP="00881604">
      <w:pPr>
        <w:ind w:left="720" w:right="-52"/>
        <w:rPr>
          <w:rFonts w:ascii="Times New Roman" w:hAnsi="Times New Roman" w:cs="Times New Roman"/>
        </w:rPr>
      </w:pPr>
      <w:r w:rsidRPr="00A472FC">
        <w:rPr>
          <w:rFonts w:ascii="Times New Roman" w:hAnsi="Times New Roman" w:cs="Times New Roman"/>
          <w:b/>
          <w:bCs/>
        </w:rPr>
        <w:t>Object</w:t>
      </w:r>
      <w:r w:rsidRPr="00A472FC">
        <w:rPr>
          <w:rFonts w:ascii="Times New Roman" w:hAnsi="Times New Roman" w:cs="Times New Roman"/>
        </w:rPr>
        <w:t xml:space="preserve"> </w:t>
      </w:r>
      <w:r w:rsidRPr="00A472FC">
        <w:rPr>
          <w:rFonts w:ascii="Times New Roman" w:hAnsi="Times New Roman" w:cs="Times New Roman"/>
        </w:rPr>
        <w:tab/>
      </w:r>
      <w:r w:rsidRPr="00A472FC">
        <w:rPr>
          <w:rFonts w:ascii="Times New Roman" w:hAnsi="Times New Roman" w:cs="Times New Roman"/>
        </w:rPr>
        <w:tab/>
        <w:t>evil</w:t>
      </w:r>
      <w:r w:rsidRPr="00A472FC">
        <w:rPr>
          <w:rFonts w:ascii="Times New Roman" w:hAnsi="Times New Roman" w:cs="Times New Roman"/>
        </w:rPr>
        <w:tab/>
      </w:r>
      <w:r w:rsidRPr="00A472FC">
        <w:rPr>
          <w:rFonts w:ascii="Times New Roman" w:hAnsi="Times New Roman" w:cs="Times New Roman"/>
        </w:rPr>
        <w:tab/>
        <w:t>good</w:t>
      </w:r>
    </w:p>
    <w:p w14:paraId="06F947F4" w14:textId="77777777" w:rsidR="000D3D92" w:rsidRPr="00A472FC" w:rsidRDefault="000D3D92" w:rsidP="00881604">
      <w:pPr>
        <w:ind w:left="720" w:right="-52"/>
        <w:rPr>
          <w:rFonts w:ascii="Times New Roman" w:hAnsi="Times New Roman" w:cs="Times New Roman"/>
        </w:rPr>
      </w:pPr>
      <w:r w:rsidRPr="00A472FC">
        <w:rPr>
          <w:rFonts w:ascii="Times New Roman" w:hAnsi="Times New Roman" w:cs="Times New Roman"/>
          <w:b/>
          <w:bCs/>
        </w:rPr>
        <w:t>Appetite</w:t>
      </w:r>
      <w:r w:rsidRPr="00A472FC">
        <w:rPr>
          <w:rFonts w:ascii="Times New Roman" w:hAnsi="Times New Roman" w:cs="Times New Roman"/>
        </w:rPr>
        <w:t xml:space="preserve"> </w:t>
      </w:r>
      <w:r w:rsidRPr="00A472FC">
        <w:rPr>
          <w:rFonts w:ascii="Times New Roman" w:hAnsi="Times New Roman" w:cs="Times New Roman"/>
        </w:rPr>
        <w:tab/>
      </w:r>
      <w:r w:rsidRPr="00A472FC">
        <w:rPr>
          <w:rFonts w:ascii="Times New Roman" w:hAnsi="Times New Roman" w:cs="Times New Roman"/>
        </w:rPr>
        <w:tab/>
        <w:t>honour</w:t>
      </w:r>
      <w:r w:rsidRPr="00A472FC">
        <w:rPr>
          <w:rFonts w:ascii="Times New Roman" w:hAnsi="Times New Roman" w:cs="Times New Roman"/>
        </w:rPr>
        <w:tab/>
      </w:r>
      <w:r w:rsidRPr="00A472FC">
        <w:rPr>
          <w:rFonts w:ascii="Times New Roman" w:hAnsi="Times New Roman" w:cs="Times New Roman"/>
        </w:rPr>
        <w:tab/>
        <w:t xml:space="preserve">pleasure </w:t>
      </w:r>
    </w:p>
    <w:p w14:paraId="2449FF3C" w14:textId="77777777" w:rsidR="000D3D92" w:rsidRPr="00A472FC" w:rsidRDefault="000D3D92" w:rsidP="00881604">
      <w:pPr>
        <w:ind w:left="720" w:right="-52"/>
        <w:rPr>
          <w:rFonts w:ascii="Times New Roman" w:hAnsi="Times New Roman" w:cs="Times New Roman"/>
        </w:rPr>
      </w:pPr>
      <w:r w:rsidRPr="00A472FC">
        <w:rPr>
          <w:rFonts w:ascii="Times New Roman" w:hAnsi="Times New Roman" w:cs="Times New Roman"/>
          <w:b/>
          <w:bCs/>
        </w:rPr>
        <w:t>Virtue</w:t>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t>fortitude</w:t>
      </w:r>
      <w:r w:rsidRPr="00A472FC">
        <w:rPr>
          <w:rFonts w:ascii="Times New Roman" w:hAnsi="Times New Roman" w:cs="Times New Roman"/>
        </w:rPr>
        <w:tab/>
        <w:t>temperance</w:t>
      </w:r>
    </w:p>
    <w:p w14:paraId="45D15EFD" w14:textId="77777777" w:rsidR="000D3D92" w:rsidRPr="00A472FC" w:rsidRDefault="000D3D92" w:rsidP="00881604">
      <w:pPr>
        <w:ind w:left="720" w:right="-52"/>
        <w:rPr>
          <w:rFonts w:ascii="Times New Roman" w:hAnsi="Times New Roman" w:cs="Times New Roman"/>
        </w:rPr>
      </w:pPr>
    </w:p>
    <w:p w14:paraId="0C35E09D" w14:textId="77777777" w:rsidR="000D3D92" w:rsidRPr="00A472FC" w:rsidRDefault="000D3D92" w:rsidP="00881604">
      <w:pPr>
        <w:ind w:left="720" w:right="-52"/>
        <w:rPr>
          <w:rFonts w:ascii="Times New Roman" w:hAnsi="Times New Roman" w:cs="Times New Roman"/>
          <w:b/>
          <w:bCs/>
        </w:rPr>
      </w:pP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b/>
          <w:bCs/>
        </w:rPr>
        <w:t>Evil</w:t>
      </w:r>
      <w:r w:rsidRPr="00A472FC">
        <w:rPr>
          <w:rFonts w:ascii="Times New Roman" w:hAnsi="Times New Roman" w:cs="Times New Roman"/>
          <w:b/>
          <w:bCs/>
        </w:rPr>
        <w:tab/>
      </w:r>
      <w:r w:rsidRPr="00A472FC">
        <w:rPr>
          <w:rFonts w:ascii="Times New Roman" w:hAnsi="Times New Roman" w:cs="Times New Roman"/>
          <w:b/>
          <w:bCs/>
        </w:rPr>
        <w:tab/>
        <w:t>Good</w:t>
      </w:r>
    </w:p>
    <w:p w14:paraId="09F68C34" w14:textId="77777777" w:rsidR="000D3D92" w:rsidRPr="00A472FC" w:rsidRDefault="000D3D92" w:rsidP="00881604">
      <w:pPr>
        <w:ind w:left="720" w:right="-52"/>
        <w:rPr>
          <w:rFonts w:ascii="Times New Roman" w:hAnsi="Times New Roman" w:cs="Times New Roman"/>
        </w:rPr>
      </w:pPr>
    </w:p>
    <w:p w14:paraId="526D5DF6" w14:textId="77777777" w:rsidR="000D3D92" w:rsidRPr="00A472FC" w:rsidRDefault="000D3D92" w:rsidP="00881604">
      <w:pPr>
        <w:ind w:left="720" w:right="-52"/>
        <w:rPr>
          <w:rFonts w:ascii="Times New Roman" w:hAnsi="Times New Roman" w:cs="Times New Roman"/>
        </w:rPr>
      </w:pPr>
      <w:r w:rsidRPr="00A472FC">
        <w:rPr>
          <w:rFonts w:ascii="Times New Roman" w:hAnsi="Times New Roman" w:cs="Times New Roman"/>
          <w:b/>
          <w:bCs/>
        </w:rPr>
        <w:t>Present</w:t>
      </w:r>
      <w:r w:rsidRPr="00A472FC">
        <w:rPr>
          <w:rFonts w:ascii="Times New Roman" w:hAnsi="Times New Roman" w:cs="Times New Roman"/>
        </w:rPr>
        <w:t xml:space="preserve"> </w:t>
      </w:r>
      <w:r w:rsidRPr="00A472FC">
        <w:rPr>
          <w:rFonts w:ascii="Times New Roman" w:hAnsi="Times New Roman" w:cs="Times New Roman"/>
        </w:rPr>
        <w:tab/>
      </w:r>
      <w:r w:rsidRPr="00A472FC">
        <w:rPr>
          <w:rFonts w:ascii="Times New Roman" w:hAnsi="Times New Roman" w:cs="Times New Roman"/>
        </w:rPr>
        <w:tab/>
        <w:t>pain</w:t>
      </w:r>
      <w:r w:rsidRPr="00A472FC">
        <w:rPr>
          <w:rFonts w:ascii="Times New Roman" w:hAnsi="Times New Roman" w:cs="Times New Roman"/>
        </w:rPr>
        <w:tab/>
      </w:r>
      <w:r w:rsidRPr="00A472FC">
        <w:rPr>
          <w:rFonts w:ascii="Times New Roman" w:hAnsi="Times New Roman" w:cs="Times New Roman"/>
        </w:rPr>
        <w:tab/>
        <w:t>pleasure/joy</w:t>
      </w:r>
    </w:p>
    <w:p w14:paraId="48BA939D" w14:textId="77777777" w:rsidR="000D3D92" w:rsidRPr="00A472FC" w:rsidRDefault="000D3D92" w:rsidP="00881604">
      <w:pPr>
        <w:ind w:left="720" w:right="-52"/>
        <w:rPr>
          <w:rFonts w:ascii="Times New Roman" w:hAnsi="Times New Roman" w:cs="Times New Roman"/>
        </w:rPr>
      </w:pPr>
      <w:r w:rsidRPr="00A472FC">
        <w:rPr>
          <w:rFonts w:ascii="Times New Roman" w:hAnsi="Times New Roman" w:cs="Times New Roman"/>
          <w:b/>
          <w:bCs/>
        </w:rPr>
        <w:t>Future</w:t>
      </w:r>
      <w:r w:rsidRPr="00A472FC">
        <w:rPr>
          <w:rFonts w:ascii="Times New Roman" w:hAnsi="Times New Roman" w:cs="Times New Roman"/>
        </w:rPr>
        <w:tab/>
      </w:r>
      <w:r w:rsidRPr="00A472FC">
        <w:rPr>
          <w:rFonts w:ascii="Times New Roman" w:hAnsi="Times New Roman" w:cs="Times New Roman"/>
        </w:rPr>
        <w:tab/>
      </w:r>
      <w:r w:rsidRPr="00A472FC">
        <w:rPr>
          <w:rFonts w:ascii="Times New Roman" w:hAnsi="Times New Roman" w:cs="Times New Roman"/>
        </w:rPr>
        <w:tab/>
        <w:t>fear</w:t>
      </w:r>
      <w:r w:rsidRPr="00A472FC">
        <w:rPr>
          <w:rFonts w:ascii="Times New Roman" w:hAnsi="Times New Roman" w:cs="Times New Roman"/>
        </w:rPr>
        <w:tab/>
      </w:r>
      <w:r w:rsidRPr="00A472FC">
        <w:rPr>
          <w:rFonts w:ascii="Times New Roman" w:hAnsi="Times New Roman" w:cs="Times New Roman"/>
        </w:rPr>
        <w:tab/>
        <w:t>desire</w:t>
      </w:r>
    </w:p>
    <w:p w14:paraId="38BDC16E" w14:textId="77777777" w:rsidR="000D3D92" w:rsidRPr="00A472FC" w:rsidRDefault="000D3D92" w:rsidP="00881604">
      <w:pPr>
        <w:ind w:right="-52"/>
        <w:rPr>
          <w:rFonts w:ascii="Times New Roman" w:hAnsi="Times New Roman" w:cs="Times New Roman"/>
        </w:rPr>
      </w:pPr>
    </w:p>
    <w:p w14:paraId="62B2792B" w14:textId="3F74DD93" w:rsidR="000D3D92" w:rsidRPr="00A472FC" w:rsidRDefault="000D3D92" w:rsidP="00881604">
      <w:pPr>
        <w:ind w:right="-52" w:firstLine="720"/>
        <w:rPr>
          <w:rFonts w:ascii="Times New Roman" w:hAnsi="Times New Roman" w:cs="Times New Roman"/>
        </w:rPr>
      </w:pPr>
      <w:r w:rsidRPr="00A472FC">
        <w:rPr>
          <w:rFonts w:ascii="Times New Roman" w:hAnsi="Times New Roman" w:cs="Times New Roman"/>
        </w:rPr>
        <w:t xml:space="preserve">In a summary of the motive powers the Summa writes: ‘John of Damascus posits a division between </w:t>
      </w:r>
      <w:proofErr w:type="spellStart"/>
      <w:r w:rsidRPr="00A472FC">
        <w:rPr>
          <w:rFonts w:ascii="Times New Roman" w:hAnsi="Times New Roman" w:cs="Times New Roman"/>
          <w:i/>
        </w:rPr>
        <w:t>thelesis</w:t>
      </w:r>
      <w:proofErr w:type="spellEnd"/>
      <w:r w:rsidRPr="00A472FC">
        <w:rPr>
          <w:rFonts w:ascii="Times New Roman" w:hAnsi="Times New Roman" w:cs="Times New Roman"/>
        </w:rPr>
        <w:t xml:space="preserve"> and </w:t>
      </w:r>
      <w:proofErr w:type="spellStart"/>
      <w:r w:rsidRPr="00A472FC">
        <w:rPr>
          <w:rFonts w:ascii="Times New Roman" w:hAnsi="Times New Roman" w:cs="Times New Roman"/>
          <w:i/>
        </w:rPr>
        <w:t>boulesis</w:t>
      </w:r>
      <w:proofErr w:type="spellEnd"/>
      <w:r w:rsidRPr="00A472FC">
        <w:rPr>
          <w:rFonts w:ascii="Times New Roman" w:hAnsi="Times New Roman" w:cs="Times New Roman"/>
        </w:rPr>
        <w:t>, or through natural and elective will; by the name however of elective will one understands free will.’</w:t>
      </w:r>
      <w:r w:rsidRPr="00A472FC">
        <w:rPr>
          <w:rStyle w:val="FootnoteReference"/>
          <w:rFonts w:ascii="Times New Roman" w:hAnsi="Times New Roman" w:cs="Times New Roman"/>
        </w:rPr>
        <w:footnoteReference w:id="1073"/>
      </w:r>
      <w:r w:rsidRPr="00A472FC">
        <w:rPr>
          <w:rFonts w:ascii="Times New Roman" w:hAnsi="Times New Roman" w:cs="Times New Roman"/>
        </w:rPr>
        <w:t xml:space="preserve"> ‘Augustine in the book </w:t>
      </w:r>
      <w:r w:rsidRPr="00A472FC">
        <w:rPr>
          <w:rFonts w:ascii="Times New Roman" w:hAnsi="Times New Roman" w:cs="Times New Roman"/>
          <w:i/>
        </w:rPr>
        <w:t xml:space="preserve">De </w:t>
      </w:r>
      <w:proofErr w:type="spellStart"/>
      <w:r w:rsidRPr="00A472FC">
        <w:rPr>
          <w:rFonts w:ascii="Times New Roman" w:hAnsi="Times New Roman" w:cs="Times New Roman"/>
          <w:i/>
        </w:rPr>
        <w:t>spiritu</w:t>
      </w:r>
      <w:proofErr w:type="spellEnd"/>
      <w:r w:rsidRPr="00A472FC">
        <w:rPr>
          <w:rFonts w:ascii="Times New Roman" w:hAnsi="Times New Roman" w:cs="Times New Roman"/>
          <w:i/>
        </w:rPr>
        <w:t xml:space="preserve"> et anima </w:t>
      </w:r>
      <w:r w:rsidRPr="00A472FC">
        <w:rPr>
          <w:rFonts w:ascii="Times New Roman" w:hAnsi="Times New Roman" w:cs="Times New Roman"/>
        </w:rPr>
        <w:t xml:space="preserve">posits reason,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and irascible, and says </w:t>
      </w:r>
      <w:r w:rsidR="008A53E9">
        <w:rPr>
          <w:rFonts w:ascii="Times New Roman" w:hAnsi="Times New Roman" w:cs="Times New Roman"/>
        </w:rPr>
        <w:t xml:space="preserve">the </w:t>
      </w:r>
      <w:r w:rsidRPr="00A472FC">
        <w:rPr>
          <w:rFonts w:ascii="Times New Roman" w:hAnsi="Times New Roman" w:cs="Times New Roman"/>
        </w:rPr>
        <w:t>whole soul consists in these powers.’</w:t>
      </w:r>
      <w:r w:rsidRPr="00A472FC">
        <w:rPr>
          <w:rStyle w:val="FootnoteReference"/>
          <w:rFonts w:ascii="Times New Roman" w:hAnsi="Times New Roman" w:cs="Times New Roman"/>
        </w:rPr>
        <w:footnoteReference w:id="1074"/>
      </w:r>
      <w:r w:rsidRPr="00A472FC">
        <w:rPr>
          <w:rFonts w:ascii="Times New Roman" w:hAnsi="Times New Roman" w:cs="Times New Roman"/>
          <w:i/>
        </w:rPr>
        <w:t xml:space="preserve"> </w:t>
      </w:r>
      <w:r w:rsidRPr="00A472FC">
        <w:rPr>
          <w:rFonts w:ascii="Times New Roman" w:hAnsi="Times New Roman" w:cs="Times New Roman"/>
        </w:rPr>
        <w:t xml:space="preserve">These powers are however distinguished in the sense that the latter two are motive and the first is cognitive. Following this, there is what is called </w:t>
      </w:r>
      <w:proofErr w:type="spellStart"/>
      <w:r w:rsidRPr="00A472FC">
        <w:rPr>
          <w:rFonts w:ascii="Times New Roman" w:hAnsi="Times New Roman" w:cs="Times New Roman"/>
          <w:i/>
          <w:iCs/>
        </w:rPr>
        <w:t>synderesis</w:t>
      </w:r>
      <w:proofErr w:type="spellEnd"/>
      <w:r w:rsidRPr="00A472FC">
        <w:rPr>
          <w:rFonts w:ascii="Times New Roman" w:hAnsi="Times New Roman" w:cs="Times New Roman"/>
        </w:rPr>
        <w:t>, which is posited by Gregory the Great and in other places.</w:t>
      </w:r>
      <w:r w:rsidRPr="00A472FC">
        <w:rPr>
          <w:rStyle w:val="FootnoteReference"/>
          <w:rFonts w:ascii="Times New Roman" w:hAnsi="Times New Roman" w:cs="Times New Roman"/>
        </w:rPr>
        <w:footnoteReference w:id="1075"/>
      </w:r>
      <w:r w:rsidRPr="00A472FC">
        <w:rPr>
          <w:rFonts w:ascii="Times New Roman" w:hAnsi="Times New Roman" w:cs="Times New Roman"/>
        </w:rPr>
        <w:t xml:space="preserve"> For his part, the Philosopher only spoke of the practical intellect as a motive power of the soul, which is known as free will.</w:t>
      </w:r>
      <w:r w:rsidRPr="00A472FC">
        <w:rPr>
          <w:rStyle w:val="FootnoteReference"/>
          <w:rFonts w:ascii="Times New Roman" w:hAnsi="Times New Roman" w:cs="Times New Roman"/>
        </w:rPr>
        <w:footnoteReference w:id="1076"/>
      </w:r>
      <w:r w:rsidRPr="00A472FC">
        <w:rPr>
          <w:rFonts w:ascii="Times New Roman" w:hAnsi="Times New Roman" w:cs="Times New Roman"/>
        </w:rPr>
        <w:t xml:space="preserve"> This for the Summa is convertible with free will, which is the topic of the next chapter.</w:t>
      </w:r>
    </w:p>
    <w:p w14:paraId="73DF4926" w14:textId="77777777" w:rsidR="000D3D92" w:rsidRPr="00A472FC" w:rsidRDefault="000D3D92" w:rsidP="00881604">
      <w:pPr>
        <w:ind w:right="-52"/>
        <w:rPr>
          <w:rFonts w:ascii="Times New Roman" w:hAnsi="Times New Roman" w:cs="Times New Roman"/>
        </w:rPr>
      </w:pPr>
      <w:r w:rsidRPr="00A472FC">
        <w:rPr>
          <w:rFonts w:ascii="Times New Roman" w:hAnsi="Times New Roman" w:cs="Times New Roman"/>
        </w:rPr>
        <w:br w:type="page"/>
      </w:r>
    </w:p>
    <w:p w14:paraId="58063189" w14:textId="77777777" w:rsidR="000D3D92" w:rsidRPr="00A472FC" w:rsidRDefault="000D3D92" w:rsidP="00881604">
      <w:pPr>
        <w:ind w:right="-52"/>
        <w:jc w:val="center"/>
        <w:rPr>
          <w:rFonts w:ascii="Times New Roman" w:hAnsi="Times New Roman" w:cs="Times New Roman"/>
          <w:b/>
          <w:kern w:val="1"/>
          <w:lang w:val="en-US"/>
        </w:rPr>
      </w:pPr>
      <w:r w:rsidRPr="00A472FC">
        <w:rPr>
          <w:rFonts w:ascii="Times New Roman" w:hAnsi="Times New Roman" w:cs="Times New Roman"/>
          <w:b/>
          <w:kern w:val="1"/>
          <w:lang w:val="en-US"/>
        </w:rPr>
        <w:lastRenderedPageBreak/>
        <w:t>Motive Powers in John of La Rochelle</w:t>
      </w:r>
    </w:p>
    <w:p w14:paraId="00A742FE" w14:textId="77777777" w:rsidR="000D3D92" w:rsidRPr="00A472FC" w:rsidRDefault="000D3D92" w:rsidP="00881604">
      <w:pPr>
        <w:ind w:right="-52"/>
        <w:jc w:val="center"/>
        <w:rPr>
          <w:rFonts w:ascii="Times New Roman" w:hAnsi="Times New Roman" w:cs="Times New Roman"/>
          <w:kern w:val="1"/>
          <w:lang w:val="en-US"/>
        </w:rPr>
      </w:pPr>
    </w:p>
    <w:p w14:paraId="2BC1C52B" w14:textId="77777777" w:rsidR="000D3D92" w:rsidRPr="00A472FC" w:rsidRDefault="000D3D92" w:rsidP="00881604">
      <w:pPr>
        <w:ind w:right="-52"/>
        <w:jc w:val="center"/>
        <w:rPr>
          <w:rFonts w:ascii="Times New Roman" w:hAnsi="Times New Roman" w:cs="Times New Roman"/>
          <w:kern w:val="1"/>
          <w:lang w:val="en-US"/>
        </w:rPr>
      </w:pPr>
    </w:p>
    <w:tbl>
      <w:tblPr>
        <w:tblStyle w:val="TableGrid"/>
        <w:tblW w:w="0" w:type="auto"/>
        <w:tblLook w:val="04A0" w:firstRow="1" w:lastRow="0" w:firstColumn="1" w:lastColumn="0" w:noHBand="0" w:noVBand="1"/>
      </w:tblPr>
      <w:tblGrid>
        <w:gridCol w:w="2265"/>
        <w:gridCol w:w="2251"/>
        <w:gridCol w:w="2247"/>
        <w:gridCol w:w="2247"/>
      </w:tblGrid>
      <w:tr w:rsidR="000D3D92" w:rsidRPr="00A472FC" w14:paraId="623C61AB" w14:textId="77777777" w:rsidTr="009B726A">
        <w:tc>
          <w:tcPr>
            <w:tcW w:w="2265" w:type="dxa"/>
          </w:tcPr>
          <w:p w14:paraId="43B5D39F" w14:textId="35A73E6D" w:rsidR="000D3D92" w:rsidRPr="00A472FC" w:rsidRDefault="00040053" w:rsidP="00881604">
            <w:pPr>
              <w:ind w:right="-52"/>
              <w:jc w:val="center"/>
              <w:rPr>
                <w:rFonts w:ascii="Times New Roman" w:hAnsi="Times New Roman" w:cs="Times New Roman"/>
                <w:b/>
                <w:kern w:val="1"/>
                <w:lang w:val="en-US"/>
              </w:rPr>
            </w:pPr>
            <w:proofErr w:type="spellStart"/>
            <w:r w:rsidRPr="00A472FC">
              <w:rPr>
                <w:rFonts w:ascii="Times New Roman" w:hAnsi="Times New Roman" w:cs="Times New Roman"/>
                <w:b/>
                <w:i/>
                <w:kern w:val="1"/>
                <w:lang w:val="en-US"/>
              </w:rPr>
              <w:t>TRACTATUS</w:t>
            </w:r>
            <w:proofErr w:type="spellEnd"/>
          </w:p>
        </w:tc>
        <w:tc>
          <w:tcPr>
            <w:tcW w:w="2251" w:type="dxa"/>
          </w:tcPr>
          <w:p w14:paraId="3184474D" w14:textId="77777777" w:rsidR="000D3D92" w:rsidRPr="00A472FC" w:rsidRDefault="000D3D92" w:rsidP="00881604">
            <w:pPr>
              <w:ind w:right="-52"/>
              <w:jc w:val="center"/>
              <w:rPr>
                <w:rFonts w:ascii="Times New Roman" w:hAnsi="Times New Roman" w:cs="Times New Roman"/>
                <w:b/>
                <w:kern w:val="1"/>
                <w:lang w:val="en-US"/>
              </w:rPr>
            </w:pPr>
            <w:r w:rsidRPr="00A472FC">
              <w:rPr>
                <w:rFonts w:ascii="Times New Roman" w:hAnsi="Times New Roman" w:cs="Times New Roman"/>
                <w:b/>
                <w:kern w:val="1"/>
                <w:lang w:val="en-US"/>
              </w:rPr>
              <w:t>Philosophers</w:t>
            </w:r>
          </w:p>
        </w:tc>
        <w:tc>
          <w:tcPr>
            <w:tcW w:w="2247" w:type="dxa"/>
          </w:tcPr>
          <w:p w14:paraId="3AB03089" w14:textId="468C970D" w:rsidR="000D3D92" w:rsidRPr="00A472FC" w:rsidRDefault="0018798E" w:rsidP="00881604">
            <w:pPr>
              <w:ind w:right="-52"/>
              <w:jc w:val="center"/>
              <w:rPr>
                <w:rFonts w:ascii="Times New Roman" w:hAnsi="Times New Roman" w:cs="Times New Roman"/>
                <w:b/>
                <w:kern w:val="1"/>
                <w:lang w:val="en-US"/>
              </w:rPr>
            </w:pPr>
            <w:r w:rsidRPr="00A472FC">
              <w:rPr>
                <w:rFonts w:ascii="Times New Roman" w:hAnsi="Times New Roman" w:cs="Times New Roman"/>
                <w:b/>
                <w:kern w:val="1"/>
                <w:lang w:val="en-US"/>
              </w:rPr>
              <w:t>Pseudo-</w:t>
            </w:r>
            <w:r w:rsidR="000D3D92" w:rsidRPr="00A472FC">
              <w:rPr>
                <w:rFonts w:ascii="Times New Roman" w:hAnsi="Times New Roman" w:cs="Times New Roman"/>
                <w:b/>
                <w:kern w:val="1"/>
                <w:lang w:val="en-US"/>
              </w:rPr>
              <w:t>Augustine</w:t>
            </w:r>
          </w:p>
        </w:tc>
        <w:tc>
          <w:tcPr>
            <w:tcW w:w="2247" w:type="dxa"/>
          </w:tcPr>
          <w:p w14:paraId="1442D043" w14:textId="77777777" w:rsidR="000D3D92" w:rsidRPr="00A472FC" w:rsidRDefault="000D3D92" w:rsidP="00881604">
            <w:pPr>
              <w:ind w:right="-52"/>
              <w:jc w:val="center"/>
              <w:rPr>
                <w:rFonts w:ascii="Times New Roman" w:hAnsi="Times New Roman" w:cs="Times New Roman"/>
                <w:b/>
                <w:kern w:val="1"/>
                <w:lang w:val="en-US"/>
              </w:rPr>
            </w:pPr>
            <w:r w:rsidRPr="00A472FC">
              <w:rPr>
                <w:rFonts w:ascii="Times New Roman" w:hAnsi="Times New Roman" w:cs="Times New Roman"/>
                <w:b/>
                <w:kern w:val="1"/>
                <w:lang w:val="en-US"/>
              </w:rPr>
              <w:t>Damascus</w:t>
            </w:r>
          </w:p>
        </w:tc>
      </w:tr>
      <w:tr w:rsidR="000D3D92" w:rsidRPr="00A472FC" w14:paraId="7F3EBDB2" w14:textId="77777777" w:rsidTr="009B726A">
        <w:tc>
          <w:tcPr>
            <w:tcW w:w="2265" w:type="dxa"/>
          </w:tcPr>
          <w:p w14:paraId="417BDA54"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 xml:space="preserve">Natural powers: </w:t>
            </w:r>
            <w:proofErr w:type="spellStart"/>
            <w:r w:rsidRPr="00A472FC">
              <w:rPr>
                <w:rFonts w:ascii="Times New Roman" w:hAnsi="Times New Roman" w:cs="Times New Roman"/>
                <w:kern w:val="1"/>
                <w:lang w:val="en-US"/>
              </w:rPr>
              <w:t>pulsative</w:t>
            </w:r>
            <w:proofErr w:type="spellEnd"/>
            <w:r w:rsidRPr="00A472FC">
              <w:rPr>
                <w:rFonts w:ascii="Times New Roman" w:hAnsi="Times New Roman" w:cs="Times New Roman"/>
                <w:kern w:val="1"/>
                <w:lang w:val="en-US"/>
              </w:rPr>
              <w:t>, generative, nutritive, augmentative</w:t>
            </w:r>
          </w:p>
        </w:tc>
        <w:tc>
          <w:tcPr>
            <w:tcW w:w="2251" w:type="dxa"/>
          </w:tcPr>
          <w:p w14:paraId="47738FFF"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47" w:type="dxa"/>
          </w:tcPr>
          <w:p w14:paraId="37680E6B"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47" w:type="dxa"/>
          </w:tcPr>
          <w:p w14:paraId="2DFDDE1D"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r>
      <w:tr w:rsidR="000D3D92" w:rsidRPr="00A472FC" w14:paraId="1B145B98" w14:textId="77777777" w:rsidTr="009B726A">
        <w:tc>
          <w:tcPr>
            <w:tcW w:w="2265" w:type="dxa"/>
          </w:tcPr>
          <w:p w14:paraId="25005A97"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Animal powers: phantasy/estimation</w:t>
            </w:r>
          </w:p>
        </w:tc>
        <w:tc>
          <w:tcPr>
            <w:tcW w:w="2251" w:type="dxa"/>
          </w:tcPr>
          <w:p w14:paraId="19A00F53"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47" w:type="dxa"/>
          </w:tcPr>
          <w:p w14:paraId="2C78AD08"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47" w:type="dxa"/>
          </w:tcPr>
          <w:p w14:paraId="2C92E97E"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r>
      <w:tr w:rsidR="000D3D92" w:rsidRPr="00A472FC" w14:paraId="57AEE346" w14:textId="77777777" w:rsidTr="009B726A">
        <w:tc>
          <w:tcPr>
            <w:tcW w:w="2265" w:type="dxa"/>
          </w:tcPr>
          <w:p w14:paraId="770AA15E"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Animal powers: physical motion</w:t>
            </w:r>
          </w:p>
        </w:tc>
        <w:tc>
          <w:tcPr>
            <w:tcW w:w="2251" w:type="dxa"/>
          </w:tcPr>
          <w:p w14:paraId="6DDD9A77"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47" w:type="dxa"/>
          </w:tcPr>
          <w:p w14:paraId="697BC93B"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47" w:type="dxa"/>
          </w:tcPr>
          <w:p w14:paraId="4CE3BBF7"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r>
      <w:tr w:rsidR="000D3D92" w:rsidRPr="00A472FC" w14:paraId="36AFC0F9" w14:textId="77777777" w:rsidTr="009B726A">
        <w:tc>
          <w:tcPr>
            <w:tcW w:w="2265" w:type="dxa"/>
          </w:tcPr>
          <w:p w14:paraId="6B51C786"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 xml:space="preserve">Animal powers: irascible and </w:t>
            </w:r>
            <w:proofErr w:type="spellStart"/>
            <w:r w:rsidRPr="00A472FC">
              <w:rPr>
                <w:rFonts w:ascii="Times New Roman" w:hAnsi="Times New Roman" w:cs="Times New Roman"/>
                <w:kern w:val="1"/>
                <w:lang w:val="en-US"/>
              </w:rPr>
              <w:t>concupiscible</w:t>
            </w:r>
            <w:proofErr w:type="spellEnd"/>
          </w:p>
        </w:tc>
        <w:tc>
          <w:tcPr>
            <w:tcW w:w="2251" w:type="dxa"/>
          </w:tcPr>
          <w:p w14:paraId="3B604A61"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47" w:type="dxa"/>
          </w:tcPr>
          <w:p w14:paraId="781237E3"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47" w:type="dxa"/>
          </w:tcPr>
          <w:p w14:paraId="6DF6F8B2"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r>
      <w:tr w:rsidR="000D3D92" w:rsidRPr="00A472FC" w14:paraId="11677EC4" w14:textId="77777777" w:rsidTr="009B726A">
        <w:tc>
          <w:tcPr>
            <w:tcW w:w="2265" w:type="dxa"/>
          </w:tcPr>
          <w:p w14:paraId="0F8AD120"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The four affections (joy, hope, pain, fear)</w:t>
            </w:r>
          </w:p>
        </w:tc>
        <w:tc>
          <w:tcPr>
            <w:tcW w:w="2251" w:type="dxa"/>
          </w:tcPr>
          <w:p w14:paraId="5B8562BC"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47" w:type="dxa"/>
          </w:tcPr>
          <w:p w14:paraId="2729A349"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47" w:type="dxa"/>
          </w:tcPr>
          <w:p w14:paraId="0369EAF6"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r>
      <w:tr w:rsidR="000D3D92" w:rsidRPr="00A472FC" w14:paraId="65D77C0C" w14:textId="77777777" w:rsidTr="009B726A">
        <w:tc>
          <w:tcPr>
            <w:tcW w:w="2265" w:type="dxa"/>
          </w:tcPr>
          <w:p w14:paraId="4A76DCCD" w14:textId="53996885"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 xml:space="preserve">Rational power </w:t>
            </w:r>
            <w:proofErr w:type="spellStart"/>
            <w:r w:rsidRPr="00A472FC">
              <w:rPr>
                <w:rFonts w:ascii="Times New Roman" w:hAnsi="Times New Roman" w:cs="Times New Roman"/>
                <w:i/>
                <w:kern w:val="1"/>
                <w:lang w:val="en-US"/>
              </w:rPr>
              <w:t>ut</w:t>
            </w:r>
            <w:proofErr w:type="spellEnd"/>
            <w:r w:rsidRPr="00A472FC">
              <w:rPr>
                <w:rFonts w:ascii="Times New Roman" w:hAnsi="Times New Roman" w:cs="Times New Roman"/>
                <w:i/>
                <w:kern w:val="1"/>
                <w:lang w:val="en-US"/>
              </w:rPr>
              <w:t xml:space="preserve"> </w:t>
            </w:r>
            <w:proofErr w:type="spellStart"/>
            <w:r w:rsidRPr="00A472FC">
              <w:rPr>
                <w:rFonts w:ascii="Times New Roman" w:hAnsi="Times New Roman" w:cs="Times New Roman"/>
                <w:i/>
                <w:kern w:val="1"/>
                <w:lang w:val="en-US"/>
              </w:rPr>
              <w:t>natura</w:t>
            </w:r>
            <w:proofErr w:type="spellEnd"/>
            <w:r w:rsidRPr="00A472FC">
              <w:rPr>
                <w:rFonts w:ascii="Times New Roman" w:hAnsi="Times New Roman" w:cs="Times New Roman"/>
                <w:kern w:val="1"/>
                <w:lang w:val="en-US"/>
              </w:rPr>
              <w:t xml:space="preserve">: </w:t>
            </w:r>
            <w:proofErr w:type="spellStart"/>
            <w:r w:rsidRPr="00A472FC">
              <w:rPr>
                <w:rFonts w:ascii="Times New Roman" w:hAnsi="Times New Roman" w:cs="Times New Roman"/>
                <w:kern w:val="1"/>
                <w:lang w:val="en-US"/>
              </w:rPr>
              <w:t>synderesis</w:t>
            </w:r>
            <w:proofErr w:type="spellEnd"/>
            <w:r w:rsidRPr="00A472FC">
              <w:rPr>
                <w:rFonts w:ascii="Times New Roman" w:hAnsi="Times New Roman" w:cs="Times New Roman"/>
                <w:kern w:val="1"/>
                <w:lang w:val="en-US"/>
              </w:rPr>
              <w:t>, sensuality, natural will (</w:t>
            </w:r>
            <w:proofErr w:type="spellStart"/>
            <w:r w:rsidRPr="00A472FC">
              <w:rPr>
                <w:rFonts w:ascii="Times New Roman" w:hAnsi="Times New Roman" w:cs="Times New Roman"/>
                <w:i/>
                <w:kern w:val="1"/>
                <w:lang w:val="en-US"/>
              </w:rPr>
              <w:t>thelesis</w:t>
            </w:r>
            <w:proofErr w:type="spellEnd"/>
            <w:r w:rsidRPr="00A472FC">
              <w:rPr>
                <w:rFonts w:ascii="Times New Roman" w:hAnsi="Times New Roman" w:cs="Times New Roman"/>
                <w:kern w:val="1"/>
                <w:lang w:val="en-US"/>
              </w:rPr>
              <w:t>)</w:t>
            </w:r>
          </w:p>
        </w:tc>
        <w:tc>
          <w:tcPr>
            <w:tcW w:w="2251" w:type="dxa"/>
          </w:tcPr>
          <w:p w14:paraId="4D0175C5"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47" w:type="dxa"/>
          </w:tcPr>
          <w:p w14:paraId="4C0FE37A"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47" w:type="dxa"/>
          </w:tcPr>
          <w:p w14:paraId="1896A227"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r>
      <w:tr w:rsidR="000D3D92" w:rsidRPr="00A472FC" w14:paraId="5F005FEF" w14:textId="77777777" w:rsidTr="009B726A">
        <w:tc>
          <w:tcPr>
            <w:tcW w:w="2265" w:type="dxa"/>
          </w:tcPr>
          <w:p w14:paraId="16BEB5F3" w14:textId="6F05FBCA"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 xml:space="preserve">Rational power </w:t>
            </w:r>
            <w:proofErr w:type="spellStart"/>
            <w:r w:rsidRPr="00A472FC">
              <w:rPr>
                <w:rFonts w:ascii="Times New Roman" w:hAnsi="Times New Roman" w:cs="Times New Roman"/>
                <w:i/>
                <w:kern w:val="1"/>
                <w:lang w:val="en-US"/>
              </w:rPr>
              <w:t>ut</w:t>
            </w:r>
            <w:proofErr w:type="spellEnd"/>
            <w:r w:rsidRPr="00A472FC">
              <w:rPr>
                <w:rFonts w:ascii="Times New Roman" w:hAnsi="Times New Roman" w:cs="Times New Roman"/>
                <w:i/>
                <w:kern w:val="1"/>
                <w:lang w:val="en-US"/>
              </w:rPr>
              <w:t xml:space="preserve"> ratio: </w:t>
            </w:r>
            <w:r w:rsidRPr="00A472FC">
              <w:rPr>
                <w:rFonts w:ascii="Times New Roman" w:hAnsi="Times New Roman" w:cs="Times New Roman"/>
                <w:kern w:val="1"/>
                <w:lang w:val="en-US"/>
              </w:rPr>
              <w:t>determined to a changing good (</w:t>
            </w:r>
            <w:proofErr w:type="spellStart"/>
            <w:r w:rsidRPr="00A472FC">
              <w:rPr>
                <w:rFonts w:ascii="Times New Roman" w:hAnsi="Times New Roman" w:cs="Times New Roman"/>
                <w:i/>
                <w:iCs/>
                <w:kern w:val="1"/>
                <w:lang w:val="en-US"/>
              </w:rPr>
              <w:t>synderesis</w:t>
            </w:r>
            <w:proofErr w:type="spellEnd"/>
            <w:r w:rsidRPr="00A472FC">
              <w:rPr>
                <w:rFonts w:ascii="Times New Roman" w:hAnsi="Times New Roman" w:cs="Times New Roman"/>
                <w:kern w:val="1"/>
                <w:lang w:val="en-US"/>
              </w:rPr>
              <w:t>), unchanging good (sensuality), or undetermined (free will)</w:t>
            </w:r>
          </w:p>
        </w:tc>
        <w:tc>
          <w:tcPr>
            <w:tcW w:w="2251" w:type="dxa"/>
          </w:tcPr>
          <w:p w14:paraId="2D56D9BC"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47" w:type="dxa"/>
          </w:tcPr>
          <w:p w14:paraId="77EBCC72"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47" w:type="dxa"/>
          </w:tcPr>
          <w:p w14:paraId="2C0F38BC"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r>
      <w:tr w:rsidR="000D3D92" w:rsidRPr="00A472FC" w14:paraId="3E351529" w14:textId="77777777" w:rsidTr="009B726A">
        <w:tc>
          <w:tcPr>
            <w:tcW w:w="2265" w:type="dxa"/>
          </w:tcPr>
          <w:p w14:paraId="2C6D3349" w14:textId="77777777" w:rsidR="000D3D92" w:rsidRPr="00A472FC" w:rsidRDefault="000D3D92" w:rsidP="00881604">
            <w:pPr>
              <w:ind w:right="-52"/>
              <w:jc w:val="center"/>
              <w:rPr>
                <w:rFonts w:ascii="Times New Roman" w:hAnsi="Times New Roman" w:cs="Times New Roman"/>
                <w:i/>
                <w:kern w:val="1"/>
                <w:lang w:val="en-US"/>
              </w:rPr>
            </w:pPr>
            <w:r w:rsidRPr="00A472FC">
              <w:rPr>
                <w:rFonts w:ascii="Times New Roman" w:hAnsi="Times New Roman" w:cs="Times New Roman"/>
                <w:i/>
                <w:kern w:val="1"/>
                <w:lang w:val="en-US"/>
              </w:rPr>
              <w:t xml:space="preserve">Ratio, </w:t>
            </w:r>
            <w:proofErr w:type="spellStart"/>
            <w:r w:rsidRPr="00A472FC">
              <w:rPr>
                <w:rFonts w:ascii="Times New Roman" w:hAnsi="Times New Roman" w:cs="Times New Roman"/>
                <w:i/>
                <w:kern w:val="1"/>
                <w:lang w:val="en-US"/>
              </w:rPr>
              <w:t>voluntas</w:t>
            </w:r>
            <w:proofErr w:type="spellEnd"/>
            <w:r w:rsidRPr="00A472FC">
              <w:rPr>
                <w:rFonts w:ascii="Times New Roman" w:hAnsi="Times New Roman" w:cs="Times New Roman"/>
                <w:i/>
                <w:kern w:val="1"/>
                <w:lang w:val="en-US"/>
              </w:rPr>
              <w:t xml:space="preserve">, </w:t>
            </w:r>
            <w:proofErr w:type="spellStart"/>
            <w:r w:rsidRPr="00A472FC">
              <w:rPr>
                <w:rFonts w:ascii="Times New Roman" w:hAnsi="Times New Roman" w:cs="Times New Roman"/>
                <w:i/>
                <w:kern w:val="1"/>
                <w:lang w:val="en-US"/>
              </w:rPr>
              <w:t>liberum</w:t>
            </w:r>
            <w:proofErr w:type="spellEnd"/>
            <w:r w:rsidRPr="00A472FC">
              <w:rPr>
                <w:rFonts w:ascii="Times New Roman" w:hAnsi="Times New Roman" w:cs="Times New Roman"/>
                <w:i/>
                <w:kern w:val="1"/>
                <w:lang w:val="en-US"/>
              </w:rPr>
              <w:t xml:space="preserve"> </w:t>
            </w:r>
            <w:proofErr w:type="spellStart"/>
            <w:r w:rsidRPr="00A472FC">
              <w:rPr>
                <w:rFonts w:ascii="Times New Roman" w:hAnsi="Times New Roman" w:cs="Times New Roman"/>
                <w:i/>
                <w:kern w:val="1"/>
                <w:lang w:val="en-US"/>
              </w:rPr>
              <w:t>arbitrium</w:t>
            </w:r>
            <w:proofErr w:type="spellEnd"/>
          </w:p>
        </w:tc>
        <w:tc>
          <w:tcPr>
            <w:tcW w:w="2251" w:type="dxa"/>
          </w:tcPr>
          <w:p w14:paraId="74553ABA"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47" w:type="dxa"/>
          </w:tcPr>
          <w:p w14:paraId="04BAEF27"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47" w:type="dxa"/>
          </w:tcPr>
          <w:p w14:paraId="12756F22"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r>
      <w:tr w:rsidR="000D3D92" w:rsidRPr="00A472FC" w14:paraId="43C05836" w14:textId="77777777" w:rsidTr="009B726A">
        <w:tc>
          <w:tcPr>
            <w:tcW w:w="2265" w:type="dxa"/>
          </w:tcPr>
          <w:p w14:paraId="1579AD60" w14:textId="77777777" w:rsidR="000D3D92" w:rsidRPr="00A472FC" w:rsidRDefault="000D3D92" w:rsidP="00881604">
            <w:pPr>
              <w:ind w:right="-52"/>
              <w:jc w:val="center"/>
              <w:rPr>
                <w:rFonts w:ascii="Times New Roman" w:hAnsi="Times New Roman" w:cs="Times New Roman"/>
                <w:i/>
                <w:kern w:val="1"/>
                <w:lang w:val="en-US"/>
              </w:rPr>
            </w:pPr>
            <w:proofErr w:type="spellStart"/>
            <w:r w:rsidRPr="00A472FC">
              <w:rPr>
                <w:rFonts w:ascii="Times New Roman" w:hAnsi="Times New Roman" w:cs="Times New Roman"/>
                <w:i/>
                <w:kern w:val="1"/>
                <w:lang w:val="en-US"/>
              </w:rPr>
              <w:t>Thelesis</w:t>
            </w:r>
            <w:proofErr w:type="spellEnd"/>
            <w:r w:rsidRPr="00A472FC">
              <w:rPr>
                <w:rFonts w:ascii="Times New Roman" w:hAnsi="Times New Roman" w:cs="Times New Roman"/>
                <w:i/>
                <w:kern w:val="1"/>
                <w:lang w:val="en-US"/>
              </w:rPr>
              <w:t>/</w:t>
            </w:r>
            <w:proofErr w:type="spellStart"/>
            <w:r w:rsidRPr="00A472FC">
              <w:rPr>
                <w:rFonts w:ascii="Times New Roman" w:hAnsi="Times New Roman" w:cs="Times New Roman"/>
                <w:i/>
                <w:kern w:val="1"/>
                <w:lang w:val="en-US"/>
              </w:rPr>
              <w:t>boulesis</w:t>
            </w:r>
            <w:proofErr w:type="spellEnd"/>
          </w:p>
        </w:tc>
        <w:tc>
          <w:tcPr>
            <w:tcW w:w="2251" w:type="dxa"/>
          </w:tcPr>
          <w:p w14:paraId="77FCE96E"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47" w:type="dxa"/>
          </w:tcPr>
          <w:p w14:paraId="3C940B96"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47" w:type="dxa"/>
          </w:tcPr>
          <w:p w14:paraId="168D3F41"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r>
      <w:tr w:rsidR="000D3D92" w:rsidRPr="00A472FC" w14:paraId="60C51227" w14:textId="77777777" w:rsidTr="009B726A">
        <w:tc>
          <w:tcPr>
            <w:tcW w:w="2265" w:type="dxa"/>
          </w:tcPr>
          <w:p w14:paraId="4504E0EA"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Voluntariness</w:t>
            </w:r>
          </w:p>
        </w:tc>
        <w:tc>
          <w:tcPr>
            <w:tcW w:w="2251" w:type="dxa"/>
          </w:tcPr>
          <w:p w14:paraId="67354DEB"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47" w:type="dxa"/>
          </w:tcPr>
          <w:p w14:paraId="02FB1335"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47" w:type="dxa"/>
          </w:tcPr>
          <w:p w14:paraId="751C7BC4"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r>
    </w:tbl>
    <w:p w14:paraId="03564DFE" w14:textId="77777777" w:rsidR="000D3D92" w:rsidRPr="00A472FC" w:rsidRDefault="000D3D92" w:rsidP="00881604">
      <w:pPr>
        <w:ind w:right="-52"/>
        <w:jc w:val="center"/>
        <w:rPr>
          <w:rFonts w:ascii="Times New Roman" w:hAnsi="Times New Roman" w:cs="Times New Roman"/>
          <w:kern w:val="1"/>
          <w:lang w:val="en-US"/>
        </w:rPr>
      </w:pPr>
    </w:p>
    <w:p w14:paraId="20FACB5D" w14:textId="77777777" w:rsidR="000D3D92" w:rsidRPr="00A472FC" w:rsidRDefault="000D3D92" w:rsidP="00881604">
      <w:pPr>
        <w:autoSpaceDE w:val="0"/>
        <w:autoSpaceDN w:val="0"/>
        <w:adjustRightInd w:val="0"/>
        <w:ind w:right="-52" w:firstLine="720"/>
        <w:jc w:val="center"/>
        <w:rPr>
          <w:rFonts w:ascii="Times New Roman" w:hAnsi="Times New Roman" w:cs="Times New Roman"/>
        </w:rPr>
      </w:pPr>
    </w:p>
    <w:p w14:paraId="50586A34" w14:textId="77777777" w:rsidR="000D3D92" w:rsidRPr="00A472FC" w:rsidRDefault="000D3D92" w:rsidP="00881604">
      <w:pPr>
        <w:ind w:right="-52"/>
        <w:jc w:val="center"/>
        <w:rPr>
          <w:rFonts w:ascii="Times New Roman" w:hAnsi="Times New Roman" w:cs="Times New Roman"/>
          <w:kern w:val="1"/>
          <w:lang w:val="en-US"/>
        </w:rPr>
      </w:pPr>
    </w:p>
    <w:tbl>
      <w:tblPr>
        <w:tblStyle w:val="TableGrid"/>
        <w:tblW w:w="0" w:type="auto"/>
        <w:tblLook w:val="04A0" w:firstRow="1" w:lastRow="0" w:firstColumn="1" w:lastColumn="0" w:noHBand="0" w:noVBand="1"/>
      </w:tblPr>
      <w:tblGrid>
        <w:gridCol w:w="2256"/>
        <w:gridCol w:w="2250"/>
        <w:gridCol w:w="2252"/>
        <w:gridCol w:w="2252"/>
      </w:tblGrid>
      <w:tr w:rsidR="000D3D92" w:rsidRPr="00A472FC" w14:paraId="5C831EF3" w14:textId="77777777" w:rsidTr="009B726A">
        <w:tc>
          <w:tcPr>
            <w:tcW w:w="2256" w:type="dxa"/>
          </w:tcPr>
          <w:p w14:paraId="6AEF284D" w14:textId="77777777" w:rsidR="000D3D92" w:rsidRPr="00A472FC" w:rsidRDefault="000D3D92" w:rsidP="00881604">
            <w:pPr>
              <w:ind w:right="-52"/>
              <w:jc w:val="center"/>
              <w:rPr>
                <w:rFonts w:ascii="Times New Roman" w:hAnsi="Times New Roman" w:cs="Times New Roman"/>
                <w:b/>
                <w:i/>
                <w:iCs/>
                <w:kern w:val="1"/>
                <w:lang w:val="en-US"/>
              </w:rPr>
            </w:pPr>
            <w:r w:rsidRPr="00A472FC">
              <w:rPr>
                <w:rFonts w:ascii="Times New Roman" w:hAnsi="Times New Roman" w:cs="Times New Roman"/>
                <w:b/>
                <w:i/>
                <w:iCs/>
                <w:kern w:val="1"/>
                <w:lang w:val="en-US"/>
              </w:rPr>
              <w:t>SUMMA DE ANIMA</w:t>
            </w:r>
          </w:p>
        </w:tc>
        <w:tc>
          <w:tcPr>
            <w:tcW w:w="2250" w:type="dxa"/>
          </w:tcPr>
          <w:p w14:paraId="73EA02E3" w14:textId="77777777" w:rsidR="000D3D92" w:rsidRPr="00A472FC" w:rsidRDefault="000D3D92" w:rsidP="00881604">
            <w:pPr>
              <w:ind w:right="-52"/>
              <w:jc w:val="center"/>
              <w:rPr>
                <w:rFonts w:ascii="Times New Roman" w:hAnsi="Times New Roman" w:cs="Times New Roman"/>
                <w:b/>
                <w:kern w:val="1"/>
                <w:lang w:val="en-US"/>
              </w:rPr>
            </w:pPr>
            <w:r w:rsidRPr="00A472FC">
              <w:rPr>
                <w:rFonts w:ascii="Times New Roman" w:hAnsi="Times New Roman" w:cs="Times New Roman"/>
                <w:b/>
                <w:kern w:val="1"/>
                <w:lang w:val="en-US"/>
              </w:rPr>
              <w:t>Avicenna</w:t>
            </w:r>
          </w:p>
        </w:tc>
        <w:tc>
          <w:tcPr>
            <w:tcW w:w="2252" w:type="dxa"/>
          </w:tcPr>
          <w:p w14:paraId="737DB479" w14:textId="24B9FE6C" w:rsidR="000D3D92" w:rsidRPr="00A472FC" w:rsidRDefault="0008266A" w:rsidP="00881604">
            <w:pPr>
              <w:ind w:right="-52"/>
              <w:jc w:val="center"/>
              <w:rPr>
                <w:rFonts w:ascii="Times New Roman" w:hAnsi="Times New Roman" w:cs="Times New Roman"/>
                <w:b/>
                <w:kern w:val="1"/>
                <w:lang w:val="en-US"/>
              </w:rPr>
            </w:pPr>
            <w:r w:rsidRPr="00A472FC">
              <w:rPr>
                <w:rFonts w:ascii="Times New Roman" w:hAnsi="Times New Roman" w:cs="Times New Roman"/>
                <w:b/>
                <w:kern w:val="1"/>
                <w:lang w:val="en-US"/>
              </w:rPr>
              <w:t>Pseudo-</w:t>
            </w:r>
            <w:r w:rsidR="000D3D92" w:rsidRPr="00A472FC">
              <w:rPr>
                <w:rFonts w:ascii="Times New Roman" w:hAnsi="Times New Roman" w:cs="Times New Roman"/>
                <w:b/>
                <w:kern w:val="1"/>
                <w:lang w:val="en-US"/>
              </w:rPr>
              <w:t>Augustine</w:t>
            </w:r>
          </w:p>
        </w:tc>
        <w:tc>
          <w:tcPr>
            <w:tcW w:w="2252" w:type="dxa"/>
          </w:tcPr>
          <w:p w14:paraId="38818975" w14:textId="77777777" w:rsidR="000D3D92" w:rsidRPr="00A472FC" w:rsidRDefault="000D3D92" w:rsidP="00881604">
            <w:pPr>
              <w:ind w:right="-52"/>
              <w:jc w:val="center"/>
              <w:rPr>
                <w:rFonts w:ascii="Times New Roman" w:hAnsi="Times New Roman" w:cs="Times New Roman"/>
                <w:b/>
                <w:kern w:val="1"/>
                <w:lang w:val="en-US"/>
              </w:rPr>
            </w:pPr>
            <w:r w:rsidRPr="00A472FC">
              <w:rPr>
                <w:rFonts w:ascii="Times New Roman" w:hAnsi="Times New Roman" w:cs="Times New Roman"/>
                <w:b/>
                <w:kern w:val="1"/>
                <w:lang w:val="en-US"/>
              </w:rPr>
              <w:t>Damascus</w:t>
            </w:r>
          </w:p>
        </w:tc>
      </w:tr>
      <w:tr w:rsidR="000D3D92" w:rsidRPr="00A472FC" w14:paraId="3CBEBBF4" w14:textId="77777777" w:rsidTr="009B726A">
        <w:tc>
          <w:tcPr>
            <w:tcW w:w="2256" w:type="dxa"/>
          </w:tcPr>
          <w:p w14:paraId="2D473B20"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 xml:space="preserve">Natural powers: </w:t>
            </w:r>
            <w:proofErr w:type="spellStart"/>
            <w:r w:rsidRPr="00A472FC">
              <w:rPr>
                <w:rFonts w:ascii="Times New Roman" w:hAnsi="Times New Roman" w:cs="Times New Roman"/>
                <w:kern w:val="1"/>
                <w:lang w:val="en-US"/>
              </w:rPr>
              <w:t>pulsative</w:t>
            </w:r>
            <w:proofErr w:type="spellEnd"/>
            <w:r w:rsidRPr="00A472FC">
              <w:rPr>
                <w:rFonts w:ascii="Times New Roman" w:hAnsi="Times New Roman" w:cs="Times New Roman"/>
                <w:kern w:val="1"/>
                <w:lang w:val="en-US"/>
              </w:rPr>
              <w:t>, generative, nutritive, augmentative</w:t>
            </w:r>
          </w:p>
        </w:tc>
        <w:tc>
          <w:tcPr>
            <w:tcW w:w="2250" w:type="dxa"/>
          </w:tcPr>
          <w:p w14:paraId="20B41537"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52" w:type="dxa"/>
          </w:tcPr>
          <w:p w14:paraId="379EA99C"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52" w:type="dxa"/>
          </w:tcPr>
          <w:p w14:paraId="5CDD9C36"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r>
      <w:tr w:rsidR="000D3D92" w:rsidRPr="00A472FC" w14:paraId="6A900564" w14:textId="77777777" w:rsidTr="009B726A">
        <w:tc>
          <w:tcPr>
            <w:tcW w:w="2256" w:type="dxa"/>
          </w:tcPr>
          <w:p w14:paraId="7C3D4E89"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Animal powers: phantasy/estimation</w:t>
            </w:r>
          </w:p>
        </w:tc>
        <w:tc>
          <w:tcPr>
            <w:tcW w:w="2250" w:type="dxa"/>
          </w:tcPr>
          <w:p w14:paraId="56FAE83C"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52" w:type="dxa"/>
          </w:tcPr>
          <w:p w14:paraId="72AC3969"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52" w:type="dxa"/>
          </w:tcPr>
          <w:p w14:paraId="54235566"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r>
      <w:tr w:rsidR="000D3D92" w:rsidRPr="00A472FC" w14:paraId="3A2EF623" w14:textId="77777777" w:rsidTr="009B726A">
        <w:tc>
          <w:tcPr>
            <w:tcW w:w="2256" w:type="dxa"/>
          </w:tcPr>
          <w:p w14:paraId="322BB747"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Animal powers: physical motion</w:t>
            </w:r>
          </w:p>
        </w:tc>
        <w:tc>
          <w:tcPr>
            <w:tcW w:w="2250" w:type="dxa"/>
          </w:tcPr>
          <w:p w14:paraId="5222F27D"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52" w:type="dxa"/>
          </w:tcPr>
          <w:p w14:paraId="21BD7B21"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52" w:type="dxa"/>
          </w:tcPr>
          <w:p w14:paraId="7D297308"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r>
      <w:tr w:rsidR="000D3D92" w:rsidRPr="00A472FC" w14:paraId="65A3E59F" w14:textId="77777777" w:rsidTr="009B726A">
        <w:tc>
          <w:tcPr>
            <w:tcW w:w="2256" w:type="dxa"/>
          </w:tcPr>
          <w:p w14:paraId="36A57CD9"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 xml:space="preserve">Animal powers: irascible and </w:t>
            </w:r>
            <w:proofErr w:type="spellStart"/>
            <w:r w:rsidRPr="00A472FC">
              <w:rPr>
                <w:rFonts w:ascii="Times New Roman" w:hAnsi="Times New Roman" w:cs="Times New Roman"/>
                <w:kern w:val="1"/>
                <w:lang w:val="en-US"/>
              </w:rPr>
              <w:t>concupiscible</w:t>
            </w:r>
            <w:proofErr w:type="spellEnd"/>
          </w:p>
        </w:tc>
        <w:tc>
          <w:tcPr>
            <w:tcW w:w="2250" w:type="dxa"/>
          </w:tcPr>
          <w:p w14:paraId="05B36C66"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52" w:type="dxa"/>
          </w:tcPr>
          <w:p w14:paraId="4F52372E"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52" w:type="dxa"/>
          </w:tcPr>
          <w:p w14:paraId="201BCD69"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r>
      <w:tr w:rsidR="000D3D92" w:rsidRPr="00A472FC" w14:paraId="00069FF3" w14:textId="77777777" w:rsidTr="009B726A">
        <w:tc>
          <w:tcPr>
            <w:tcW w:w="2256" w:type="dxa"/>
          </w:tcPr>
          <w:p w14:paraId="5BACF29B"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lastRenderedPageBreak/>
              <w:t>The four affections (joy, hope, pain, fear)</w:t>
            </w:r>
          </w:p>
        </w:tc>
        <w:tc>
          <w:tcPr>
            <w:tcW w:w="2250" w:type="dxa"/>
          </w:tcPr>
          <w:p w14:paraId="14E40917" w14:textId="447215AA" w:rsidR="000D3D92" w:rsidRPr="00A472FC" w:rsidRDefault="00263EAB"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52" w:type="dxa"/>
          </w:tcPr>
          <w:p w14:paraId="0B3D7699"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52" w:type="dxa"/>
          </w:tcPr>
          <w:p w14:paraId="4FFB8ABF"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r>
      <w:tr w:rsidR="000D3D92" w:rsidRPr="00A472FC" w14:paraId="4BAEE37C" w14:textId="77777777" w:rsidTr="009B726A">
        <w:tc>
          <w:tcPr>
            <w:tcW w:w="2256" w:type="dxa"/>
          </w:tcPr>
          <w:p w14:paraId="1932E999" w14:textId="77777777" w:rsidR="000D3D92" w:rsidRPr="00A472FC" w:rsidRDefault="000D3D92" w:rsidP="00881604">
            <w:pPr>
              <w:ind w:right="-52"/>
              <w:jc w:val="center"/>
              <w:rPr>
                <w:rFonts w:ascii="Times New Roman" w:hAnsi="Times New Roman" w:cs="Times New Roman"/>
                <w:i/>
                <w:kern w:val="1"/>
                <w:lang w:val="en-US"/>
              </w:rPr>
            </w:pPr>
            <w:r w:rsidRPr="00A472FC">
              <w:rPr>
                <w:rFonts w:ascii="Times New Roman" w:hAnsi="Times New Roman" w:cs="Times New Roman"/>
                <w:kern w:val="1"/>
                <w:lang w:val="en-US"/>
              </w:rPr>
              <w:t xml:space="preserve">Rational power </w:t>
            </w:r>
            <w:proofErr w:type="spellStart"/>
            <w:r w:rsidRPr="00A472FC">
              <w:rPr>
                <w:rFonts w:ascii="Times New Roman" w:hAnsi="Times New Roman" w:cs="Times New Roman"/>
                <w:i/>
                <w:kern w:val="1"/>
                <w:lang w:val="en-US"/>
              </w:rPr>
              <w:t>ut</w:t>
            </w:r>
            <w:proofErr w:type="spellEnd"/>
            <w:r w:rsidRPr="00A472FC">
              <w:rPr>
                <w:rFonts w:ascii="Times New Roman" w:hAnsi="Times New Roman" w:cs="Times New Roman"/>
                <w:i/>
                <w:kern w:val="1"/>
                <w:lang w:val="en-US"/>
              </w:rPr>
              <w:t xml:space="preserve"> </w:t>
            </w:r>
            <w:proofErr w:type="spellStart"/>
            <w:r w:rsidRPr="00A472FC">
              <w:rPr>
                <w:rFonts w:ascii="Times New Roman" w:hAnsi="Times New Roman" w:cs="Times New Roman"/>
                <w:i/>
                <w:kern w:val="1"/>
                <w:lang w:val="en-US"/>
              </w:rPr>
              <w:t>natura</w:t>
            </w:r>
            <w:proofErr w:type="spellEnd"/>
            <w:r w:rsidRPr="00A472FC">
              <w:rPr>
                <w:rFonts w:ascii="Times New Roman" w:hAnsi="Times New Roman" w:cs="Times New Roman"/>
                <w:kern w:val="1"/>
                <w:lang w:val="en-US"/>
              </w:rPr>
              <w:t xml:space="preserve">: </w:t>
            </w:r>
            <w:proofErr w:type="spellStart"/>
            <w:r w:rsidRPr="00A472FC">
              <w:rPr>
                <w:rFonts w:ascii="Times New Roman" w:hAnsi="Times New Roman" w:cs="Times New Roman"/>
                <w:i/>
                <w:iCs/>
                <w:kern w:val="1"/>
                <w:lang w:val="en-US"/>
              </w:rPr>
              <w:t>synderesis</w:t>
            </w:r>
            <w:proofErr w:type="spellEnd"/>
            <w:r w:rsidRPr="00A472FC">
              <w:rPr>
                <w:rFonts w:ascii="Times New Roman" w:hAnsi="Times New Roman" w:cs="Times New Roman"/>
                <w:kern w:val="1"/>
                <w:lang w:val="en-US"/>
              </w:rPr>
              <w:t>, sensuality, natural will</w:t>
            </w:r>
          </w:p>
        </w:tc>
        <w:tc>
          <w:tcPr>
            <w:tcW w:w="2250" w:type="dxa"/>
          </w:tcPr>
          <w:p w14:paraId="51384E86"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52" w:type="dxa"/>
          </w:tcPr>
          <w:p w14:paraId="78295E29"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52" w:type="dxa"/>
          </w:tcPr>
          <w:p w14:paraId="660E3FB5"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r>
      <w:tr w:rsidR="000D3D92" w:rsidRPr="00A472FC" w14:paraId="644DD91D" w14:textId="77777777" w:rsidTr="009B726A">
        <w:tc>
          <w:tcPr>
            <w:tcW w:w="2256" w:type="dxa"/>
          </w:tcPr>
          <w:p w14:paraId="0F59F8FF"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 xml:space="preserve">Rational power </w:t>
            </w:r>
            <w:proofErr w:type="spellStart"/>
            <w:r w:rsidRPr="00A472FC">
              <w:rPr>
                <w:rFonts w:ascii="Times New Roman" w:hAnsi="Times New Roman" w:cs="Times New Roman"/>
                <w:i/>
                <w:kern w:val="1"/>
                <w:lang w:val="en-US"/>
              </w:rPr>
              <w:t>ut</w:t>
            </w:r>
            <w:proofErr w:type="spellEnd"/>
            <w:r w:rsidRPr="00A472FC">
              <w:rPr>
                <w:rFonts w:ascii="Times New Roman" w:hAnsi="Times New Roman" w:cs="Times New Roman"/>
                <w:i/>
                <w:kern w:val="1"/>
                <w:lang w:val="en-US"/>
              </w:rPr>
              <w:t xml:space="preserve"> ratio: </w:t>
            </w:r>
            <w:r w:rsidRPr="00A472FC">
              <w:rPr>
                <w:rFonts w:ascii="Times New Roman" w:hAnsi="Times New Roman" w:cs="Times New Roman"/>
                <w:kern w:val="1"/>
                <w:lang w:val="en-US"/>
              </w:rPr>
              <w:t>determined to a changing good, unchanging good, or undetermined</w:t>
            </w:r>
          </w:p>
        </w:tc>
        <w:tc>
          <w:tcPr>
            <w:tcW w:w="2250" w:type="dxa"/>
          </w:tcPr>
          <w:p w14:paraId="09B2062A"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c>
          <w:tcPr>
            <w:tcW w:w="2252" w:type="dxa"/>
          </w:tcPr>
          <w:p w14:paraId="0DA31D3A"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52" w:type="dxa"/>
          </w:tcPr>
          <w:p w14:paraId="45A4F4BD"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r>
      <w:tr w:rsidR="000D3D92" w:rsidRPr="00A472FC" w14:paraId="1B7409E6" w14:textId="77777777" w:rsidTr="009B726A">
        <w:tc>
          <w:tcPr>
            <w:tcW w:w="2256" w:type="dxa"/>
          </w:tcPr>
          <w:p w14:paraId="198F214D" w14:textId="77777777" w:rsidR="000D3D92" w:rsidRPr="00A472FC" w:rsidRDefault="000D3D92" w:rsidP="00881604">
            <w:pPr>
              <w:ind w:right="-52"/>
              <w:jc w:val="center"/>
              <w:rPr>
                <w:rFonts w:ascii="Times New Roman" w:hAnsi="Times New Roman" w:cs="Times New Roman"/>
                <w:i/>
                <w:kern w:val="1"/>
                <w:lang w:val="en-US"/>
              </w:rPr>
            </w:pPr>
            <w:r w:rsidRPr="00A472FC">
              <w:rPr>
                <w:rFonts w:ascii="Times New Roman" w:hAnsi="Times New Roman" w:cs="Times New Roman"/>
                <w:i/>
                <w:kern w:val="1"/>
                <w:lang w:val="en-US"/>
              </w:rPr>
              <w:t xml:space="preserve">Ratio, </w:t>
            </w:r>
            <w:proofErr w:type="spellStart"/>
            <w:r w:rsidRPr="00A472FC">
              <w:rPr>
                <w:rFonts w:ascii="Times New Roman" w:hAnsi="Times New Roman" w:cs="Times New Roman"/>
                <w:i/>
                <w:kern w:val="1"/>
                <w:lang w:val="en-US"/>
              </w:rPr>
              <w:t>voluntas</w:t>
            </w:r>
            <w:proofErr w:type="spellEnd"/>
            <w:r w:rsidRPr="00A472FC">
              <w:rPr>
                <w:rFonts w:ascii="Times New Roman" w:hAnsi="Times New Roman" w:cs="Times New Roman"/>
                <w:i/>
                <w:kern w:val="1"/>
                <w:lang w:val="en-US"/>
              </w:rPr>
              <w:t xml:space="preserve">, </w:t>
            </w:r>
            <w:proofErr w:type="spellStart"/>
            <w:r w:rsidRPr="00A472FC">
              <w:rPr>
                <w:rFonts w:ascii="Times New Roman" w:hAnsi="Times New Roman" w:cs="Times New Roman"/>
                <w:i/>
                <w:kern w:val="1"/>
                <w:lang w:val="en-US"/>
              </w:rPr>
              <w:t>liberum</w:t>
            </w:r>
            <w:proofErr w:type="spellEnd"/>
            <w:r w:rsidRPr="00A472FC">
              <w:rPr>
                <w:rFonts w:ascii="Times New Roman" w:hAnsi="Times New Roman" w:cs="Times New Roman"/>
                <w:i/>
                <w:kern w:val="1"/>
                <w:lang w:val="en-US"/>
              </w:rPr>
              <w:t xml:space="preserve"> </w:t>
            </w:r>
            <w:proofErr w:type="spellStart"/>
            <w:r w:rsidRPr="00A472FC">
              <w:rPr>
                <w:rFonts w:ascii="Times New Roman" w:hAnsi="Times New Roman" w:cs="Times New Roman"/>
                <w:i/>
                <w:kern w:val="1"/>
                <w:lang w:val="en-US"/>
              </w:rPr>
              <w:t>arbitrium</w:t>
            </w:r>
            <w:proofErr w:type="spellEnd"/>
          </w:p>
        </w:tc>
        <w:tc>
          <w:tcPr>
            <w:tcW w:w="2250" w:type="dxa"/>
          </w:tcPr>
          <w:p w14:paraId="22FD52CD"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52" w:type="dxa"/>
          </w:tcPr>
          <w:p w14:paraId="6B5E556A"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52" w:type="dxa"/>
          </w:tcPr>
          <w:p w14:paraId="1CFFC6A3"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 (</w:t>
            </w:r>
            <w:proofErr w:type="spellStart"/>
            <w:r w:rsidRPr="00A472FC">
              <w:rPr>
                <w:rFonts w:ascii="Times New Roman" w:hAnsi="Times New Roman" w:cs="Times New Roman"/>
                <w:i/>
                <w:kern w:val="1"/>
                <w:lang w:val="en-US"/>
              </w:rPr>
              <w:t>liberum</w:t>
            </w:r>
            <w:proofErr w:type="spellEnd"/>
            <w:r w:rsidRPr="00A472FC">
              <w:rPr>
                <w:rFonts w:ascii="Times New Roman" w:hAnsi="Times New Roman" w:cs="Times New Roman"/>
                <w:i/>
                <w:kern w:val="1"/>
                <w:lang w:val="en-US"/>
              </w:rPr>
              <w:t xml:space="preserve"> </w:t>
            </w:r>
            <w:proofErr w:type="spellStart"/>
            <w:r w:rsidRPr="00A472FC">
              <w:rPr>
                <w:rFonts w:ascii="Times New Roman" w:hAnsi="Times New Roman" w:cs="Times New Roman"/>
                <w:i/>
                <w:kern w:val="1"/>
                <w:lang w:val="en-US"/>
              </w:rPr>
              <w:t>arbitrium</w:t>
            </w:r>
            <w:proofErr w:type="spellEnd"/>
            <w:r w:rsidRPr="00A472FC">
              <w:rPr>
                <w:rFonts w:ascii="Times New Roman" w:hAnsi="Times New Roman" w:cs="Times New Roman"/>
                <w:kern w:val="1"/>
                <w:lang w:val="en-US"/>
              </w:rPr>
              <w:t xml:space="preserve"> only)</w:t>
            </w:r>
          </w:p>
        </w:tc>
      </w:tr>
      <w:tr w:rsidR="000D3D92" w:rsidRPr="00A472FC" w14:paraId="5654D0DB" w14:textId="77777777" w:rsidTr="009B726A">
        <w:tc>
          <w:tcPr>
            <w:tcW w:w="2256" w:type="dxa"/>
          </w:tcPr>
          <w:p w14:paraId="4DAC7640" w14:textId="77777777" w:rsidR="000D3D92" w:rsidRPr="00A472FC" w:rsidRDefault="000D3D92" w:rsidP="00881604">
            <w:pPr>
              <w:ind w:right="-52"/>
              <w:jc w:val="center"/>
              <w:rPr>
                <w:rFonts w:ascii="Times New Roman" w:hAnsi="Times New Roman" w:cs="Times New Roman"/>
                <w:i/>
                <w:kern w:val="1"/>
                <w:lang w:val="en-US"/>
              </w:rPr>
            </w:pPr>
            <w:proofErr w:type="spellStart"/>
            <w:r w:rsidRPr="00A472FC">
              <w:rPr>
                <w:rFonts w:ascii="Times New Roman" w:hAnsi="Times New Roman" w:cs="Times New Roman"/>
                <w:i/>
                <w:kern w:val="1"/>
                <w:lang w:val="en-US"/>
              </w:rPr>
              <w:t>Thelesis</w:t>
            </w:r>
            <w:proofErr w:type="spellEnd"/>
            <w:r w:rsidRPr="00A472FC">
              <w:rPr>
                <w:rFonts w:ascii="Times New Roman" w:hAnsi="Times New Roman" w:cs="Times New Roman"/>
                <w:i/>
                <w:kern w:val="1"/>
                <w:lang w:val="en-US"/>
              </w:rPr>
              <w:t>/</w:t>
            </w:r>
            <w:proofErr w:type="spellStart"/>
            <w:r w:rsidRPr="00A472FC">
              <w:rPr>
                <w:rFonts w:ascii="Times New Roman" w:hAnsi="Times New Roman" w:cs="Times New Roman"/>
                <w:i/>
                <w:kern w:val="1"/>
                <w:lang w:val="en-US"/>
              </w:rPr>
              <w:t>boulesis</w:t>
            </w:r>
            <w:proofErr w:type="spellEnd"/>
          </w:p>
        </w:tc>
        <w:tc>
          <w:tcPr>
            <w:tcW w:w="2250" w:type="dxa"/>
          </w:tcPr>
          <w:p w14:paraId="6C4149D7"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52" w:type="dxa"/>
          </w:tcPr>
          <w:p w14:paraId="1FBAC015"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52" w:type="dxa"/>
          </w:tcPr>
          <w:p w14:paraId="5A67AC96"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r>
      <w:tr w:rsidR="000D3D92" w:rsidRPr="00A472FC" w14:paraId="3C71140B" w14:textId="77777777" w:rsidTr="009B726A">
        <w:tc>
          <w:tcPr>
            <w:tcW w:w="2256" w:type="dxa"/>
          </w:tcPr>
          <w:p w14:paraId="0EDD3DA6"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Voluntariness</w:t>
            </w:r>
          </w:p>
        </w:tc>
        <w:tc>
          <w:tcPr>
            <w:tcW w:w="2250" w:type="dxa"/>
          </w:tcPr>
          <w:p w14:paraId="5892C5D8"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52" w:type="dxa"/>
          </w:tcPr>
          <w:p w14:paraId="11BCE6AF"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w:t>
            </w:r>
          </w:p>
        </w:tc>
        <w:tc>
          <w:tcPr>
            <w:tcW w:w="2252" w:type="dxa"/>
          </w:tcPr>
          <w:p w14:paraId="16EA7AAE" w14:textId="77777777" w:rsidR="000D3D92" w:rsidRPr="00A472FC" w:rsidRDefault="000D3D92" w:rsidP="00881604">
            <w:pPr>
              <w:ind w:right="-52"/>
              <w:jc w:val="center"/>
              <w:rPr>
                <w:rFonts w:ascii="Times New Roman" w:hAnsi="Times New Roman" w:cs="Times New Roman"/>
                <w:kern w:val="1"/>
                <w:lang w:val="en-US"/>
              </w:rPr>
            </w:pPr>
            <w:r w:rsidRPr="00A472FC">
              <w:rPr>
                <w:rFonts w:ascii="Times New Roman" w:hAnsi="Times New Roman" w:cs="Times New Roman"/>
                <w:kern w:val="1"/>
                <w:lang w:val="en-US"/>
              </w:rPr>
              <w:t>X</w:t>
            </w:r>
          </w:p>
        </w:tc>
      </w:tr>
    </w:tbl>
    <w:p w14:paraId="591AB1A0" w14:textId="77777777" w:rsidR="000D3D92" w:rsidRPr="00A472FC" w:rsidRDefault="000D3D92" w:rsidP="00881604">
      <w:pPr>
        <w:ind w:right="-52"/>
        <w:jc w:val="center"/>
        <w:rPr>
          <w:rFonts w:ascii="Times New Roman" w:hAnsi="Times New Roman" w:cs="Times New Roman"/>
          <w:kern w:val="1"/>
          <w:lang w:val="en-US"/>
        </w:rPr>
      </w:pPr>
    </w:p>
    <w:p w14:paraId="50878907" w14:textId="77777777" w:rsidR="0018798E" w:rsidRPr="00A472FC" w:rsidRDefault="0018798E">
      <w:pPr>
        <w:rPr>
          <w:rFonts w:ascii="Times New Roman" w:hAnsi="Times New Roman" w:cs="Times New Roman"/>
        </w:rPr>
      </w:pPr>
      <w:r w:rsidRPr="00A472FC">
        <w:rPr>
          <w:rFonts w:ascii="Times New Roman" w:hAnsi="Times New Roman" w:cs="Times New Roman"/>
        </w:rPr>
        <w:br w:type="page"/>
      </w:r>
    </w:p>
    <w:p w14:paraId="797C5354" w14:textId="46B60917" w:rsidR="00665333" w:rsidRPr="00A472FC" w:rsidRDefault="00665333" w:rsidP="00881604">
      <w:pPr>
        <w:autoSpaceDE w:val="0"/>
        <w:autoSpaceDN w:val="0"/>
        <w:adjustRightInd w:val="0"/>
        <w:ind w:right="-52"/>
        <w:rPr>
          <w:rFonts w:ascii="Times New Roman" w:hAnsi="Times New Roman" w:cs="Times New Roman"/>
          <w:b/>
        </w:rPr>
      </w:pPr>
      <w:r w:rsidRPr="00A472FC">
        <w:rPr>
          <w:rFonts w:ascii="Times New Roman" w:hAnsi="Times New Roman" w:cs="Times New Roman"/>
          <w:b/>
        </w:rPr>
        <w:lastRenderedPageBreak/>
        <w:t xml:space="preserve">10. Free Will </w:t>
      </w:r>
    </w:p>
    <w:p w14:paraId="3195BB52" w14:textId="77777777" w:rsidR="00665333" w:rsidRPr="00A472FC" w:rsidRDefault="00665333" w:rsidP="00881604">
      <w:pPr>
        <w:autoSpaceDE w:val="0"/>
        <w:autoSpaceDN w:val="0"/>
        <w:adjustRightInd w:val="0"/>
        <w:ind w:right="-52"/>
        <w:rPr>
          <w:rFonts w:ascii="Times New Roman" w:hAnsi="Times New Roman" w:cs="Times New Roman"/>
          <w:b/>
        </w:rPr>
      </w:pPr>
    </w:p>
    <w:p w14:paraId="584011BA" w14:textId="5F557B1D" w:rsidR="00665333" w:rsidRPr="00A472FC" w:rsidRDefault="00665333" w:rsidP="00881604">
      <w:pPr>
        <w:ind w:right="-52"/>
        <w:rPr>
          <w:rFonts w:ascii="Times New Roman" w:hAnsi="Times New Roman" w:cs="Times New Roman"/>
          <w:color w:val="000000" w:themeColor="text1"/>
        </w:rPr>
      </w:pPr>
      <w:r w:rsidRPr="00A472FC">
        <w:rPr>
          <w:rFonts w:ascii="Times New Roman" w:hAnsi="Times New Roman" w:cs="Times New Roman"/>
          <w:color w:val="000000" w:themeColor="text1"/>
        </w:rPr>
        <w:tab/>
        <w:t>The doctrine of free will (</w:t>
      </w:r>
      <w:proofErr w:type="spellStart"/>
      <w:r w:rsidRPr="00A472FC">
        <w:rPr>
          <w:rFonts w:ascii="Times New Roman" w:hAnsi="Times New Roman" w:cs="Times New Roman"/>
          <w:i/>
          <w:color w:val="000000" w:themeColor="text1"/>
        </w:rPr>
        <w:t>liberum</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arbitrium</w:t>
      </w:r>
      <w:proofErr w:type="spellEnd"/>
      <w:r w:rsidRPr="00A472FC">
        <w:rPr>
          <w:rFonts w:ascii="Times New Roman" w:hAnsi="Times New Roman" w:cs="Times New Roman"/>
          <w:color w:val="000000" w:themeColor="text1"/>
        </w:rPr>
        <w:t>) represents an area of intensive early scholastic interest.</w:t>
      </w:r>
      <w:r w:rsidR="000D0BF9" w:rsidRPr="00A472FC">
        <w:rPr>
          <w:rStyle w:val="FootnoteReference"/>
          <w:rFonts w:ascii="Times New Roman" w:hAnsi="Times New Roman" w:cs="Times New Roman"/>
          <w:color w:val="000000" w:themeColor="text1"/>
        </w:rPr>
        <w:footnoteReference w:id="1077"/>
      </w:r>
      <w:r w:rsidRPr="00A472FC">
        <w:rPr>
          <w:rFonts w:ascii="Times New Roman" w:hAnsi="Times New Roman" w:cs="Times New Roman"/>
          <w:color w:val="000000" w:themeColor="text1"/>
        </w:rPr>
        <w:t xml:space="preserve"> While Augustine and Anselm’s writings by the title </w:t>
      </w:r>
      <w:r w:rsidRPr="00A472FC">
        <w:rPr>
          <w:rFonts w:ascii="Times New Roman" w:hAnsi="Times New Roman" w:cs="Times New Roman"/>
          <w:i/>
          <w:color w:val="000000" w:themeColor="text1"/>
        </w:rPr>
        <w:t xml:space="preserve">De </w:t>
      </w:r>
      <w:proofErr w:type="spellStart"/>
      <w:r w:rsidRPr="00A472FC">
        <w:rPr>
          <w:rFonts w:ascii="Times New Roman" w:hAnsi="Times New Roman" w:cs="Times New Roman"/>
          <w:i/>
          <w:color w:val="000000" w:themeColor="text1"/>
        </w:rPr>
        <w:t>libero</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arbitrio</w:t>
      </w:r>
      <w:proofErr w:type="spellEnd"/>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 xml:space="preserve">were </w:t>
      </w:r>
      <w:r w:rsidR="00167765" w:rsidRPr="00A472FC">
        <w:rPr>
          <w:rFonts w:ascii="Times New Roman" w:hAnsi="Times New Roman" w:cs="Times New Roman"/>
          <w:color w:val="000000" w:themeColor="text1"/>
        </w:rPr>
        <w:t>well</w:t>
      </w:r>
      <w:r w:rsidRPr="00A472FC">
        <w:rPr>
          <w:rFonts w:ascii="Times New Roman" w:hAnsi="Times New Roman" w:cs="Times New Roman"/>
          <w:color w:val="000000" w:themeColor="text1"/>
        </w:rPr>
        <w:t xml:space="preserve"> known in the Middle Ages, </w:t>
      </w:r>
      <w:r w:rsidR="00DB44F7">
        <w:rPr>
          <w:rFonts w:ascii="Times New Roman" w:hAnsi="Times New Roman" w:cs="Times New Roman"/>
          <w:color w:val="000000" w:themeColor="text1"/>
        </w:rPr>
        <w:t>works</w:t>
      </w:r>
      <w:r w:rsidRPr="00A472FC">
        <w:rPr>
          <w:rFonts w:ascii="Times New Roman" w:hAnsi="Times New Roman" w:cs="Times New Roman"/>
          <w:color w:val="000000" w:themeColor="text1"/>
        </w:rPr>
        <w:t xml:space="preserve"> by John of Damascus, Bernard of </w:t>
      </w:r>
      <w:proofErr w:type="spellStart"/>
      <w:r w:rsidRPr="00A472FC">
        <w:rPr>
          <w:rFonts w:ascii="Times New Roman" w:hAnsi="Times New Roman" w:cs="Times New Roman"/>
          <w:color w:val="000000" w:themeColor="text1"/>
        </w:rPr>
        <w:t>Clairvaux</w:t>
      </w:r>
      <w:proofErr w:type="spellEnd"/>
      <w:r w:rsidRPr="00A472FC">
        <w:rPr>
          <w:rFonts w:ascii="Times New Roman" w:hAnsi="Times New Roman" w:cs="Times New Roman"/>
          <w:color w:val="000000" w:themeColor="text1"/>
        </w:rPr>
        <w:t xml:space="preserve">, and Abelard, among others, </w:t>
      </w:r>
      <w:r w:rsidR="00E24AD8" w:rsidRPr="00A472FC">
        <w:rPr>
          <w:rFonts w:ascii="Times New Roman" w:hAnsi="Times New Roman" w:cs="Times New Roman"/>
          <w:color w:val="000000" w:themeColor="text1"/>
        </w:rPr>
        <w:t xml:space="preserve">which had become available more recently, </w:t>
      </w:r>
      <w:r w:rsidRPr="00A472FC">
        <w:rPr>
          <w:rFonts w:ascii="Times New Roman" w:hAnsi="Times New Roman" w:cs="Times New Roman"/>
          <w:color w:val="000000" w:themeColor="text1"/>
        </w:rPr>
        <w:t xml:space="preserve">stimulated new discussion and debate on the topic in </w:t>
      </w:r>
      <w:r w:rsidR="00F81773" w:rsidRPr="00A472FC">
        <w:rPr>
          <w:rFonts w:ascii="Times New Roman" w:hAnsi="Times New Roman" w:cs="Times New Roman"/>
          <w:color w:val="000000" w:themeColor="text1"/>
        </w:rPr>
        <w:t>this</w:t>
      </w:r>
      <w:r w:rsidRPr="00A472FC">
        <w:rPr>
          <w:rFonts w:ascii="Times New Roman" w:hAnsi="Times New Roman" w:cs="Times New Roman"/>
          <w:color w:val="000000" w:themeColor="text1"/>
        </w:rPr>
        <w:t xml:space="preserve"> period. This chapter will show that the </w:t>
      </w:r>
      <w:r w:rsidRPr="00A472FC">
        <w:rPr>
          <w:rFonts w:ascii="Times New Roman" w:hAnsi="Times New Roman" w:cs="Times New Roman"/>
          <w:i/>
          <w:color w:val="000000" w:themeColor="text1"/>
        </w:rPr>
        <w:t xml:space="preserve">Summa </w:t>
      </w:r>
      <w:proofErr w:type="spellStart"/>
      <w:r w:rsidRPr="00A472FC">
        <w:rPr>
          <w:rFonts w:ascii="Times New Roman" w:hAnsi="Times New Roman" w:cs="Times New Roman"/>
          <w:i/>
          <w:color w:val="000000" w:themeColor="text1"/>
        </w:rPr>
        <w:t>Halensis</w:t>
      </w:r>
      <w:proofErr w:type="spellEnd"/>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 xml:space="preserve">takes a decisive new stance on the nature of free will, locating it more in the will than in reason, and defining it as capable of both good and evil rather than simply the good. </w:t>
      </w:r>
    </w:p>
    <w:p w14:paraId="2CF4FDB7" w14:textId="1CBD6095" w:rsidR="00665333" w:rsidRPr="00A472FC" w:rsidRDefault="00665333" w:rsidP="00881604">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In these respects, the Summa’s source of inspiration, rather exceptionally, was not John of La Rochelle but Alexander of Hales, whose evident interest in the subject can be noted in his fairly extensive writings on the topic. The voluntarism he endorses, along with his definition of free will</w:t>
      </w:r>
      <w:r w:rsidR="00A72419">
        <w:rPr>
          <w:rFonts w:ascii="Times New Roman" w:hAnsi="Times New Roman" w:cs="Times New Roman"/>
          <w:color w:val="000000" w:themeColor="text1"/>
        </w:rPr>
        <w:t>,</w:t>
      </w:r>
      <w:r w:rsidRPr="00A472FC">
        <w:rPr>
          <w:rFonts w:ascii="Times New Roman" w:hAnsi="Times New Roman" w:cs="Times New Roman"/>
          <w:color w:val="000000" w:themeColor="text1"/>
        </w:rPr>
        <w:t xml:space="preserve"> would become defining features of the Franciscan school, not least in the work of John Duns Scotus. Here, consequently, the </w:t>
      </w:r>
      <w:proofErr w:type="spellStart"/>
      <w:r w:rsidRPr="00A472FC">
        <w:rPr>
          <w:rFonts w:ascii="Times New Roman" w:hAnsi="Times New Roman" w:cs="Times New Roman"/>
          <w:color w:val="000000" w:themeColor="text1"/>
        </w:rPr>
        <w:t>Halensian</w:t>
      </w:r>
      <w:proofErr w:type="spellEnd"/>
      <w:r w:rsidRPr="00A472FC">
        <w:rPr>
          <w:rFonts w:ascii="Times New Roman" w:hAnsi="Times New Roman" w:cs="Times New Roman"/>
          <w:color w:val="000000" w:themeColor="text1"/>
        </w:rPr>
        <w:t xml:space="preserve"> sources of later Franciscan thought are highlighted for the first time. As important as those sources are, I wish to show in this chapter that the Summa’s account emerges as part of a conversation amongst predecessors and contemporaries, whose theories in some respects lay the groundwork for—though none goes so far as—the Summa itself. </w:t>
      </w:r>
    </w:p>
    <w:p w14:paraId="4DB61398" w14:textId="34198F39" w:rsidR="00665333" w:rsidRPr="00A472FC" w:rsidRDefault="00665333" w:rsidP="00881604">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The demonstration of this point in the present chapter will take the following form. I will first recount briefly the doctrine of free will advocated by Augustine, for whom free choice was a matter of reason and will’s orientation to the good. This view, we will see, was elaborated further by Anselm. John of Damascus added new terms and arguments to the discussion, which factored into key aspects of twelfth-century thought on the subject, which will then be treated briefly. The result will be to place on full display the constellation of sources and concepts that was at Alexander of Hales’ disposal and that he was to some extent constrained to reconcile with his own opinions. A recounting of his theory of free choice as well as that of John of La Rochelle and the Summa will reveal that the latter depends upon </w:t>
      </w:r>
      <w:r w:rsidR="00103022" w:rsidRPr="00A472FC">
        <w:rPr>
          <w:rFonts w:ascii="Times New Roman" w:hAnsi="Times New Roman" w:cs="Times New Roman"/>
          <w:color w:val="000000" w:themeColor="text1"/>
        </w:rPr>
        <w:t>Alexander</w:t>
      </w:r>
      <w:r w:rsidRPr="00A472FC">
        <w:rPr>
          <w:rFonts w:ascii="Times New Roman" w:hAnsi="Times New Roman" w:cs="Times New Roman"/>
          <w:color w:val="000000" w:themeColor="text1"/>
        </w:rPr>
        <w:t>, even while taking the ‘</w:t>
      </w:r>
      <w:proofErr w:type="spellStart"/>
      <w:r w:rsidRPr="00A472FC">
        <w:rPr>
          <w:rFonts w:ascii="Times New Roman" w:hAnsi="Times New Roman" w:cs="Times New Roman"/>
          <w:color w:val="000000" w:themeColor="text1"/>
        </w:rPr>
        <w:t>irrefragible</w:t>
      </w:r>
      <w:proofErr w:type="spellEnd"/>
      <w:r w:rsidRPr="00A472FC">
        <w:rPr>
          <w:rFonts w:ascii="Times New Roman" w:hAnsi="Times New Roman" w:cs="Times New Roman"/>
          <w:color w:val="000000" w:themeColor="text1"/>
        </w:rPr>
        <w:t xml:space="preserve"> doctor’s’ position to new heights. </w:t>
      </w:r>
    </w:p>
    <w:p w14:paraId="5D1A9E4F" w14:textId="77777777" w:rsidR="00665333" w:rsidRPr="00A472FC" w:rsidRDefault="00665333" w:rsidP="00881604">
      <w:pPr>
        <w:ind w:right="-52"/>
        <w:rPr>
          <w:rFonts w:ascii="Times New Roman" w:hAnsi="Times New Roman" w:cs="Times New Roman"/>
          <w:color w:val="000000" w:themeColor="text1"/>
        </w:rPr>
      </w:pPr>
    </w:p>
    <w:p w14:paraId="613832B6" w14:textId="77777777" w:rsidR="00665333" w:rsidRPr="00A472FC" w:rsidRDefault="00665333" w:rsidP="00881604">
      <w:pPr>
        <w:ind w:right="-52"/>
        <w:rPr>
          <w:rFonts w:ascii="Times New Roman" w:hAnsi="Times New Roman" w:cs="Times New Roman"/>
          <w:color w:val="000000" w:themeColor="text1"/>
          <w:u w:val="single"/>
        </w:rPr>
      </w:pPr>
      <w:r w:rsidRPr="00A472FC">
        <w:rPr>
          <w:rFonts w:ascii="Times New Roman" w:hAnsi="Times New Roman" w:cs="Times New Roman"/>
          <w:color w:val="000000" w:themeColor="text1"/>
          <w:u w:val="single"/>
        </w:rPr>
        <w:t>Augustine</w:t>
      </w:r>
    </w:p>
    <w:p w14:paraId="43FE4D2E" w14:textId="77777777" w:rsidR="00665333" w:rsidRPr="00A472FC" w:rsidRDefault="00665333" w:rsidP="00881604">
      <w:pPr>
        <w:ind w:right="-52"/>
        <w:rPr>
          <w:rFonts w:ascii="Times New Roman" w:hAnsi="Times New Roman" w:cs="Times New Roman"/>
          <w:color w:val="000000" w:themeColor="text1"/>
        </w:rPr>
      </w:pPr>
    </w:p>
    <w:p w14:paraId="36116B8B" w14:textId="1A198560" w:rsidR="00291502" w:rsidRPr="00A472FC" w:rsidRDefault="00665333" w:rsidP="0061044D">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There are many different interpretations of Augustine on free will, and there are some who would say he changed his mind on the subject over the course of his career.</w:t>
      </w:r>
      <w:r w:rsidRPr="00A472FC">
        <w:rPr>
          <w:rStyle w:val="FootnoteReference"/>
          <w:rFonts w:ascii="Times New Roman" w:hAnsi="Times New Roman" w:cs="Times New Roman"/>
          <w:color w:val="000000" w:themeColor="text1"/>
        </w:rPr>
        <w:footnoteReference w:id="1078"/>
      </w:r>
      <w:r w:rsidRPr="00A472FC">
        <w:rPr>
          <w:rFonts w:ascii="Times New Roman" w:hAnsi="Times New Roman" w:cs="Times New Roman"/>
          <w:color w:val="000000" w:themeColor="text1"/>
        </w:rPr>
        <w:t xml:space="preserve"> </w:t>
      </w:r>
      <w:r w:rsidR="0048308B" w:rsidRPr="00A472FC">
        <w:rPr>
          <w:rFonts w:ascii="Times New Roman" w:hAnsi="Times New Roman" w:cs="Times New Roman"/>
          <w:color w:val="000000" w:themeColor="text1"/>
        </w:rPr>
        <w:t>By contrast,</w:t>
      </w:r>
      <w:r w:rsidRPr="00A472FC">
        <w:rPr>
          <w:rFonts w:ascii="Times New Roman" w:hAnsi="Times New Roman" w:cs="Times New Roman"/>
          <w:color w:val="000000" w:themeColor="text1"/>
        </w:rPr>
        <w:t xml:space="preserve"> </w:t>
      </w:r>
      <w:proofErr w:type="spellStart"/>
      <w:r w:rsidRPr="00A472FC">
        <w:rPr>
          <w:rFonts w:ascii="Times New Roman" w:hAnsi="Times New Roman" w:cs="Times New Roman"/>
          <w:color w:val="000000" w:themeColor="text1"/>
        </w:rPr>
        <w:t>Eleonore</w:t>
      </w:r>
      <w:proofErr w:type="spellEnd"/>
      <w:r w:rsidRPr="00A472FC">
        <w:rPr>
          <w:rFonts w:ascii="Times New Roman" w:hAnsi="Times New Roman" w:cs="Times New Roman"/>
          <w:color w:val="000000" w:themeColor="text1"/>
        </w:rPr>
        <w:t xml:space="preserve"> Stump observes that Augustine himself states in his </w:t>
      </w:r>
      <w:proofErr w:type="spellStart"/>
      <w:r w:rsidRPr="00A472FC">
        <w:rPr>
          <w:rFonts w:ascii="Times New Roman" w:hAnsi="Times New Roman" w:cs="Times New Roman"/>
          <w:i/>
          <w:color w:val="000000" w:themeColor="text1"/>
        </w:rPr>
        <w:t>Retractationes</w:t>
      </w:r>
      <w:proofErr w:type="spellEnd"/>
      <w:r w:rsidRPr="00A472FC">
        <w:rPr>
          <w:rFonts w:ascii="Times New Roman" w:hAnsi="Times New Roman" w:cs="Times New Roman"/>
          <w:color w:val="000000" w:themeColor="text1"/>
        </w:rPr>
        <w:t xml:space="preserve"> that his earlier thought </w:t>
      </w:r>
      <w:r w:rsidR="00B51F4E" w:rsidRPr="00A472FC">
        <w:rPr>
          <w:rFonts w:ascii="Times New Roman" w:hAnsi="Times New Roman" w:cs="Times New Roman"/>
          <w:color w:val="000000" w:themeColor="text1"/>
        </w:rPr>
        <w:t>o</w:t>
      </w:r>
      <w:r w:rsidRPr="00A472FC">
        <w:rPr>
          <w:rFonts w:ascii="Times New Roman" w:hAnsi="Times New Roman" w:cs="Times New Roman"/>
          <w:color w:val="000000" w:themeColor="text1"/>
        </w:rPr>
        <w:t>n this topic was simply underdeveloped by comparison to his later views and is ultimately consistent with them.</w:t>
      </w:r>
      <w:r w:rsidRPr="00A472FC">
        <w:rPr>
          <w:rStyle w:val="FootnoteReference"/>
          <w:rFonts w:ascii="Times New Roman" w:hAnsi="Times New Roman" w:cs="Times New Roman"/>
          <w:color w:val="000000" w:themeColor="text1"/>
        </w:rPr>
        <w:footnoteReference w:id="1079"/>
      </w:r>
      <w:r w:rsidRPr="00A472FC">
        <w:rPr>
          <w:rFonts w:ascii="Times New Roman" w:hAnsi="Times New Roman" w:cs="Times New Roman"/>
          <w:color w:val="000000" w:themeColor="text1"/>
        </w:rPr>
        <w:t xml:space="preserve"> The views presented in his early work are very clearly outlined in the </w:t>
      </w:r>
      <w:r w:rsidRPr="00A472FC">
        <w:rPr>
          <w:rFonts w:ascii="Times New Roman" w:hAnsi="Times New Roman" w:cs="Times New Roman"/>
          <w:i/>
          <w:color w:val="000000" w:themeColor="text1"/>
        </w:rPr>
        <w:t xml:space="preserve">De </w:t>
      </w:r>
      <w:proofErr w:type="spellStart"/>
      <w:r w:rsidRPr="00A472FC">
        <w:rPr>
          <w:rFonts w:ascii="Times New Roman" w:hAnsi="Times New Roman" w:cs="Times New Roman"/>
          <w:i/>
          <w:color w:val="000000" w:themeColor="text1"/>
        </w:rPr>
        <w:t>libero</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arbitrio</w:t>
      </w:r>
      <w:proofErr w:type="spellEnd"/>
      <w:r w:rsidRPr="00A472FC">
        <w:rPr>
          <w:rFonts w:ascii="Times New Roman" w:hAnsi="Times New Roman" w:cs="Times New Roman"/>
          <w:iCs/>
          <w:color w:val="000000" w:themeColor="text1"/>
        </w:rPr>
        <w:t xml:space="preserve">, </w:t>
      </w:r>
      <w:r w:rsidRPr="00A472FC">
        <w:rPr>
          <w:rFonts w:ascii="Times New Roman" w:hAnsi="Times New Roman" w:cs="Times New Roman"/>
          <w:color w:val="000000" w:themeColor="text1"/>
        </w:rPr>
        <w:t xml:space="preserve">one of the texts that was most well known and most cited by the </w:t>
      </w:r>
      <w:proofErr w:type="spellStart"/>
      <w:r w:rsidRPr="00A472FC">
        <w:rPr>
          <w:rFonts w:ascii="Times New Roman" w:hAnsi="Times New Roman" w:cs="Times New Roman"/>
          <w:color w:val="000000" w:themeColor="text1"/>
        </w:rPr>
        <w:t>Summists</w:t>
      </w:r>
      <w:proofErr w:type="spellEnd"/>
      <w:r w:rsidRPr="00A472FC">
        <w:rPr>
          <w:rFonts w:ascii="Times New Roman" w:hAnsi="Times New Roman" w:cs="Times New Roman"/>
          <w:color w:val="000000" w:themeColor="text1"/>
        </w:rPr>
        <w:t xml:space="preserve"> and their contemporaries.</w:t>
      </w:r>
      <w:r w:rsidRPr="00A472FC">
        <w:rPr>
          <w:rStyle w:val="FootnoteReference"/>
          <w:rFonts w:ascii="Times New Roman" w:hAnsi="Times New Roman" w:cs="Times New Roman"/>
          <w:color w:val="000000" w:themeColor="text1"/>
        </w:rPr>
        <w:footnoteReference w:id="1080"/>
      </w:r>
      <w:r w:rsidRPr="00A472FC">
        <w:rPr>
          <w:rFonts w:ascii="Times New Roman" w:hAnsi="Times New Roman" w:cs="Times New Roman"/>
          <w:color w:val="000000" w:themeColor="text1"/>
        </w:rPr>
        <w:t xml:space="preserve"> There, Augustine states that free will is given for the purpose of </w:t>
      </w:r>
      <w:r w:rsidR="003756BE" w:rsidRPr="00A472FC">
        <w:rPr>
          <w:rFonts w:ascii="Times New Roman" w:hAnsi="Times New Roman" w:cs="Times New Roman"/>
          <w:color w:val="000000" w:themeColor="text1"/>
        </w:rPr>
        <w:t>choosing the goo</w:t>
      </w:r>
      <w:r w:rsidR="0024281C" w:rsidRPr="00A472FC">
        <w:rPr>
          <w:rFonts w:ascii="Times New Roman" w:hAnsi="Times New Roman" w:cs="Times New Roman"/>
          <w:color w:val="000000" w:themeColor="text1"/>
        </w:rPr>
        <w:t>d. As</w:t>
      </w:r>
      <w:r w:rsidR="0082567E" w:rsidRPr="00A472FC">
        <w:rPr>
          <w:rFonts w:ascii="Times New Roman" w:hAnsi="Times New Roman" w:cs="Times New Roman"/>
          <w:color w:val="000000" w:themeColor="text1"/>
        </w:rPr>
        <w:t xml:space="preserve"> such, it is incompatible with</w:t>
      </w:r>
      <w:r w:rsidRPr="00A472FC">
        <w:rPr>
          <w:rFonts w:ascii="Times New Roman" w:hAnsi="Times New Roman" w:cs="Times New Roman"/>
          <w:color w:val="000000" w:themeColor="text1"/>
        </w:rPr>
        <w:t xml:space="preserve"> sin and evil.</w:t>
      </w:r>
      <w:r w:rsidRPr="00A472FC">
        <w:rPr>
          <w:rStyle w:val="FootnoteReference"/>
          <w:rFonts w:ascii="Times New Roman" w:hAnsi="Times New Roman" w:cs="Times New Roman"/>
          <w:color w:val="000000" w:themeColor="text1"/>
        </w:rPr>
        <w:footnoteReference w:id="1081"/>
      </w:r>
      <w:r w:rsidRPr="00A472FC">
        <w:rPr>
          <w:rFonts w:ascii="Times New Roman" w:hAnsi="Times New Roman" w:cs="Times New Roman"/>
          <w:color w:val="000000" w:themeColor="text1"/>
        </w:rPr>
        <w:t xml:space="preserve"> </w:t>
      </w:r>
      <w:r w:rsidR="00E57C08" w:rsidRPr="00A472FC">
        <w:rPr>
          <w:rFonts w:ascii="Times New Roman" w:hAnsi="Times New Roman" w:cs="Times New Roman"/>
          <w:color w:val="000000" w:themeColor="text1"/>
        </w:rPr>
        <w:t xml:space="preserve">At the </w:t>
      </w:r>
      <w:r w:rsidR="00E57C08" w:rsidRPr="00A472FC">
        <w:rPr>
          <w:rFonts w:ascii="Times New Roman" w:hAnsi="Times New Roman" w:cs="Times New Roman"/>
          <w:color w:val="000000" w:themeColor="text1"/>
        </w:rPr>
        <w:lastRenderedPageBreak/>
        <w:t>foundations of this opinion is his privation theory of evil</w:t>
      </w:r>
      <w:r w:rsidR="00291502" w:rsidRPr="00A472FC">
        <w:rPr>
          <w:rFonts w:ascii="Times New Roman" w:hAnsi="Times New Roman" w:cs="Times New Roman"/>
          <w:color w:val="000000" w:themeColor="text1"/>
        </w:rPr>
        <w:t>,</w:t>
      </w:r>
      <w:r w:rsidR="00E57C08" w:rsidRPr="00A472FC">
        <w:rPr>
          <w:rFonts w:ascii="Times New Roman" w:hAnsi="Times New Roman" w:cs="Times New Roman"/>
          <w:color w:val="000000" w:themeColor="text1"/>
        </w:rPr>
        <w:t xml:space="preserve"> according to which evil is not a substance </w:t>
      </w:r>
      <w:r w:rsidR="00291502" w:rsidRPr="00A472FC">
        <w:rPr>
          <w:rFonts w:ascii="Times New Roman" w:hAnsi="Times New Roman" w:cs="Times New Roman"/>
          <w:color w:val="000000" w:themeColor="text1"/>
        </w:rPr>
        <w:t>in its own right but rather represents an absence of the good</w:t>
      </w:r>
      <w:r w:rsidR="0061044D" w:rsidRPr="00A472FC">
        <w:rPr>
          <w:rFonts w:ascii="Times New Roman" w:hAnsi="Times New Roman" w:cs="Times New Roman"/>
          <w:color w:val="000000" w:themeColor="text1"/>
        </w:rPr>
        <w:t xml:space="preserve">. </w:t>
      </w:r>
      <w:r w:rsidR="00551F9B" w:rsidRPr="00A472FC">
        <w:rPr>
          <w:rFonts w:ascii="Times New Roman" w:hAnsi="Times New Roman" w:cs="Times New Roman"/>
          <w:color w:val="000000" w:themeColor="text1"/>
        </w:rPr>
        <w:t xml:space="preserve">In the view of many modern theorists, this kind of theory </w:t>
      </w:r>
      <w:r w:rsidR="00E57C08" w:rsidRPr="00A472FC">
        <w:rPr>
          <w:rFonts w:ascii="Times New Roman" w:hAnsi="Times New Roman" w:cs="Times New Roman"/>
          <w:color w:val="000000" w:themeColor="text1"/>
        </w:rPr>
        <w:t>den</w:t>
      </w:r>
      <w:r w:rsidR="00551F9B" w:rsidRPr="00A472FC">
        <w:rPr>
          <w:rFonts w:ascii="Times New Roman" w:hAnsi="Times New Roman" w:cs="Times New Roman"/>
          <w:color w:val="000000" w:themeColor="text1"/>
        </w:rPr>
        <w:t>ies</w:t>
      </w:r>
      <w:r w:rsidR="00E57C08" w:rsidRPr="00A472FC">
        <w:rPr>
          <w:rFonts w:ascii="Times New Roman" w:hAnsi="Times New Roman" w:cs="Times New Roman"/>
          <w:color w:val="000000" w:themeColor="text1"/>
        </w:rPr>
        <w:t xml:space="preserve"> the reality of evil </w:t>
      </w:r>
      <w:r w:rsidR="00DF6729" w:rsidRPr="00A472FC">
        <w:rPr>
          <w:rFonts w:ascii="Times New Roman" w:hAnsi="Times New Roman" w:cs="Times New Roman"/>
          <w:color w:val="000000" w:themeColor="text1"/>
        </w:rPr>
        <w:t>and</w:t>
      </w:r>
      <w:r w:rsidR="00E57C08" w:rsidRPr="00A472FC">
        <w:rPr>
          <w:rFonts w:ascii="Times New Roman" w:hAnsi="Times New Roman" w:cs="Times New Roman"/>
          <w:color w:val="000000" w:themeColor="text1"/>
        </w:rPr>
        <w:t xml:space="preserve"> the devastation it causes</w:t>
      </w:r>
      <w:r w:rsidR="00A7745E" w:rsidRPr="00A472FC">
        <w:rPr>
          <w:rFonts w:ascii="Times New Roman" w:hAnsi="Times New Roman" w:cs="Times New Roman"/>
          <w:color w:val="000000" w:themeColor="text1"/>
        </w:rPr>
        <w:t xml:space="preserve">. For a proponent like Augustine, however, the concept of privation simply </w:t>
      </w:r>
      <w:proofErr w:type="spellStart"/>
      <w:r w:rsidR="00A7745E" w:rsidRPr="00A472FC">
        <w:rPr>
          <w:rFonts w:ascii="Times New Roman" w:hAnsi="Times New Roman" w:cs="Times New Roman"/>
          <w:color w:val="000000" w:themeColor="text1"/>
        </w:rPr>
        <w:t>emphasizes</w:t>
      </w:r>
      <w:proofErr w:type="spellEnd"/>
      <w:r w:rsidR="00A7745E" w:rsidRPr="00A472FC">
        <w:rPr>
          <w:rFonts w:ascii="Times New Roman" w:hAnsi="Times New Roman" w:cs="Times New Roman"/>
          <w:color w:val="000000" w:themeColor="text1"/>
        </w:rPr>
        <w:t xml:space="preserve"> that evil distorts or detracts from the order </w:t>
      </w:r>
      <w:r w:rsidR="00BF4E7E" w:rsidRPr="00A472FC">
        <w:rPr>
          <w:rFonts w:ascii="Times New Roman" w:hAnsi="Times New Roman" w:cs="Times New Roman"/>
          <w:color w:val="000000" w:themeColor="text1"/>
        </w:rPr>
        <w:t xml:space="preserve">of things that God intended. </w:t>
      </w:r>
      <w:r w:rsidR="0061044D" w:rsidRPr="00A472FC">
        <w:rPr>
          <w:rFonts w:ascii="Times New Roman" w:hAnsi="Times New Roman" w:cs="Times New Roman"/>
          <w:color w:val="000000" w:themeColor="text1"/>
        </w:rPr>
        <w:t xml:space="preserve">To choose evil is not to take up a legitimate option, consequently, but to reject </w:t>
      </w:r>
      <w:r w:rsidR="008D642A" w:rsidRPr="00A472FC">
        <w:rPr>
          <w:rFonts w:ascii="Times New Roman" w:hAnsi="Times New Roman" w:cs="Times New Roman"/>
          <w:color w:val="000000" w:themeColor="text1"/>
        </w:rPr>
        <w:t>or turn away from what is good.</w:t>
      </w:r>
      <w:r w:rsidR="00DC1E9A" w:rsidRPr="00A472FC">
        <w:rPr>
          <w:rStyle w:val="FootnoteReference"/>
          <w:rFonts w:ascii="Times New Roman" w:hAnsi="Times New Roman" w:cs="Times New Roman"/>
          <w:color w:val="000000" w:themeColor="text1"/>
        </w:rPr>
        <w:footnoteReference w:id="1082"/>
      </w:r>
    </w:p>
    <w:p w14:paraId="28D4E7F3" w14:textId="52985F6B" w:rsidR="00DF2A72" w:rsidRPr="00A472FC" w:rsidRDefault="00513CA1" w:rsidP="00D636B0">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While Augustine does acknowledge in a later work,</w:t>
      </w:r>
      <w:r w:rsidR="00D636B0" w:rsidRPr="00A472FC">
        <w:rPr>
          <w:rFonts w:ascii="Times New Roman" w:hAnsi="Times New Roman" w:cs="Times New Roman"/>
          <w:color w:val="000000" w:themeColor="text1"/>
        </w:rPr>
        <w:t xml:space="preserve"> </w:t>
      </w:r>
      <w:r w:rsidR="00665333" w:rsidRPr="00A472FC">
        <w:rPr>
          <w:rFonts w:ascii="Times New Roman" w:hAnsi="Times New Roman" w:cs="Times New Roman"/>
          <w:i/>
          <w:color w:val="000000" w:themeColor="text1"/>
        </w:rPr>
        <w:t xml:space="preserve">De </w:t>
      </w:r>
      <w:proofErr w:type="spellStart"/>
      <w:r w:rsidR="00665333" w:rsidRPr="00A472FC">
        <w:rPr>
          <w:rFonts w:ascii="Times New Roman" w:hAnsi="Times New Roman" w:cs="Times New Roman"/>
          <w:i/>
          <w:color w:val="000000" w:themeColor="text1"/>
        </w:rPr>
        <w:t>correptione</w:t>
      </w:r>
      <w:proofErr w:type="spellEnd"/>
      <w:r w:rsidR="00665333" w:rsidRPr="00A472FC">
        <w:rPr>
          <w:rFonts w:ascii="Times New Roman" w:hAnsi="Times New Roman" w:cs="Times New Roman"/>
          <w:i/>
          <w:color w:val="000000" w:themeColor="text1"/>
        </w:rPr>
        <w:t xml:space="preserve"> et </w:t>
      </w:r>
      <w:proofErr w:type="spellStart"/>
      <w:r w:rsidR="00665333" w:rsidRPr="00A472FC">
        <w:rPr>
          <w:rFonts w:ascii="Times New Roman" w:hAnsi="Times New Roman" w:cs="Times New Roman"/>
          <w:i/>
          <w:color w:val="000000" w:themeColor="text1"/>
        </w:rPr>
        <w:t>gratia</w:t>
      </w:r>
      <w:proofErr w:type="spellEnd"/>
      <w:r w:rsidR="00665333" w:rsidRPr="00A472FC">
        <w:rPr>
          <w:rFonts w:ascii="Times New Roman" w:hAnsi="Times New Roman" w:cs="Times New Roman"/>
          <w:iCs/>
          <w:color w:val="000000" w:themeColor="text1"/>
        </w:rPr>
        <w:t>, that</w:t>
      </w:r>
      <w:r w:rsidR="00665333" w:rsidRPr="00A472FC">
        <w:rPr>
          <w:rFonts w:ascii="Times New Roman" w:hAnsi="Times New Roman" w:cs="Times New Roman"/>
          <w:color w:val="000000" w:themeColor="text1"/>
        </w:rPr>
        <w:t xml:space="preserve"> humans are free to do good or evil after the fall</w:t>
      </w:r>
      <w:r w:rsidR="00046B05" w:rsidRPr="00A472FC">
        <w:rPr>
          <w:rFonts w:ascii="Times New Roman" w:hAnsi="Times New Roman" w:cs="Times New Roman"/>
          <w:color w:val="000000" w:themeColor="text1"/>
        </w:rPr>
        <w:t>, he qualifies this claim in insisting that choosing evil renders us ‘</w:t>
      </w:r>
      <w:r w:rsidR="00046B05" w:rsidRPr="00A472FC">
        <w:rPr>
          <w:rFonts w:ascii="Times New Roman" w:hAnsi="Times New Roman" w:cs="Times New Roman"/>
          <w:lang w:val="en-US"/>
        </w:rPr>
        <w:t>free of justice but enslaved to</w:t>
      </w:r>
      <w:r w:rsidR="00046B05" w:rsidRPr="00A472FC">
        <w:rPr>
          <w:rFonts w:ascii="Times New Roman" w:hAnsi="Times New Roman" w:cs="Times New Roman"/>
          <w:color w:val="000000" w:themeColor="text1"/>
        </w:rPr>
        <w:t xml:space="preserve"> </w:t>
      </w:r>
      <w:r w:rsidR="00046B05" w:rsidRPr="00A472FC">
        <w:rPr>
          <w:rFonts w:ascii="Times New Roman" w:hAnsi="Times New Roman" w:cs="Times New Roman"/>
          <w:lang w:val="en-US"/>
        </w:rPr>
        <w:t>sin.’</w:t>
      </w:r>
      <w:r w:rsidR="00665333" w:rsidRPr="00A472FC">
        <w:rPr>
          <w:rStyle w:val="FootnoteReference"/>
          <w:rFonts w:ascii="Times New Roman" w:hAnsi="Times New Roman" w:cs="Times New Roman"/>
          <w:color w:val="000000" w:themeColor="text1"/>
        </w:rPr>
        <w:footnoteReference w:id="1083"/>
      </w:r>
      <w:r w:rsidR="00665333" w:rsidRPr="00A472FC">
        <w:rPr>
          <w:rFonts w:ascii="Times New Roman" w:hAnsi="Times New Roman" w:cs="Times New Roman"/>
          <w:color w:val="000000" w:themeColor="text1"/>
        </w:rPr>
        <w:t xml:space="preserve"> This enslavement comes from confusing greater goods—</w:t>
      </w:r>
      <w:r w:rsidR="002B52B8" w:rsidRPr="00A472FC">
        <w:rPr>
          <w:rFonts w:ascii="Times New Roman" w:hAnsi="Times New Roman" w:cs="Times New Roman"/>
          <w:color w:val="000000" w:themeColor="text1"/>
        </w:rPr>
        <w:t>above all,</w:t>
      </w:r>
      <w:r w:rsidR="00665333" w:rsidRPr="00A472FC">
        <w:rPr>
          <w:rFonts w:ascii="Times New Roman" w:hAnsi="Times New Roman" w:cs="Times New Roman"/>
          <w:color w:val="000000" w:themeColor="text1"/>
        </w:rPr>
        <w:t xml:space="preserve"> God—with lesser goods which are perceived as </w:t>
      </w:r>
      <w:r w:rsidR="00621AB8" w:rsidRPr="00A472FC">
        <w:rPr>
          <w:rFonts w:ascii="Times New Roman" w:hAnsi="Times New Roman" w:cs="Times New Roman"/>
          <w:color w:val="000000" w:themeColor="text1"/>
        </w:rPr>
        <w:t xml:space="preserve">ultimate </w:t>
      </w:r>
      <w:r w:rsidR="00665333" w:rsidRPr="00A472FC">
        <w:rPr>
          <w:rFonts w:ascii="Times New Roman" w:hAnsi="Times New Roman" w:cs="Times New Roman"/>
          <w:color w:val="000000" w:themeColor="text1"/>
        </w:rPr>
        <w:t xml:space="preserve">sources of happiness and fulfilment, something Augustine elsewhere describes in terms of concupiscence, which was mentioned in the last chapter. The finite and fleeting, or changeable nature of goods other than God </w:t>
      </w:r>
      <w:r w:rsidR="006B4C09" w:rsidRPr="00A472FC">
        <w:rPr>
          <w:rFonts w:ascii="Times New Roman" w:hAnsi="Times New Roman" w:cs="Times New Roman"/>
          <w:color w:val="000000" w:themeColor="text1"/>
        </w:rPr>
        <w:t>means that</w:t>
      </w:r>
      <w:r w:rsidR="00665333" w:rsidRPr="00A472FC">
        <w:rPr>
          <w:rFonts w:ascii="Times New Roman" w:hAnsi="Times New Roman" w:cs="Times New Roman"/>
          <w:color w:val="000000" w:themeColor="text1"/>
        </w:rPr>
        <w:t xml:space="preserve"> pursuing them as matters of supreme importance for our happiness inevitably leads to the frustration of our desires.</w:t>
      </w:r>
      <w:r w:rsidR="00665333" w:rsidRPr="00A472FC">
        <w:rPr>
          <w:rStyle w:val="FootnoteReference"/>
          <w:rFonts w:ascii="Times New Roman" w:hAnsi="Times New Roman" w:cs="Times New Roman"/>
          <w:color w:val="000000" w:themeColor="text1"/>
        </w:rPr>
        <w:footnoteReference w:id="1084"/>
      </w:r>
      <w:r w:rsidR="00665333" w:rsidRPr="00A472FC">
        <w:rPr>
          <w:rFonts w:ascii="Times New Roman" w:hAnsi="Times New Roman" w:cs="Times New Roman"/>
          <w:color w:val="000000" w:themeColor="text1"/>
        </w:rPr>
        <w:t xml:space="preserve"> </w:t>
      </w:r>
    </w:p>
    <w:p w14:paraId="6626185A" w14:textId="54356886" w:rsidR="00E13CC8" w:rsidRPr="00A472FC" w:rsidRDefault="00101BEC" w:rsidP="00DF2A72">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To seek</w:t>
      </w:r>
      <w:r w:rsidR="00665333" w:rsidRPr="00A472FC">
        <w:rPr>
          <w:rFonts w:ascii="Times New Roman" w:hAnsi="Times New Roman" w:cs="Times New Roman"/>
          <w:color w:val="000000" w:themeColor="text1"/>
        </w:rPr>
        <w:t xml:space="preserve"> those goods as a matter of priority, </w:t>
      </w:r>
      <w:r w:rsidRPr="00A472FC">
        <w:rPr>
          <w:rFonts w:ascii="Times New Roman" w:hAnsi="Times New Roman" w:cs="Times New Roman"/>
          <w:color w:val="000000" w:themeColor="text1"/>
        </w:rPr>
        <w:t>consequently,</w:t>
      </w:r>
      <w:r w:rsidR="00665333" w:rsidRPr="00A472FC">
        <w:rPr>
          <w:rFonts w:ascii="Times New Roman" w:hAnsi="Times New Roman" w:cs="Times New Roman"/>
          <w:color w:val="000000" w:themeColor="text1"/>
        </w:rPr>
        <w:t xml:space="preserve"> </w:t>
      </w:r>
      <w:r w:rsidR="00E57C08" w:rsidRPr="00A472FC">
        <w:rPr>
          <w:rFonts w:ascii="Times New Roman" w:hAnsi="Times New Roman" w:cs="Times New Roman"/>
          <w:color w:val="000000" w:themeColor="text1"/>
        </w:rPr>
        <w:t xml:space="preserve">enslaves us </w:t>
      </w:r>
      <w:r w:rsidR="00665333" w:rsidRPr="00A472FC">
        <w:rPr>
          <w:rFonts w:ascii="Times New Roman" w:hAnsi="Times New Roman" w:cs="Times New Roman"/>
          <w:color w:val="000000" w:themeColor="text1"/>
        </w:rPr>
        <w:t xml:space="preserve">to the pursuit of things we cannot always possess and </w:t>
      </w:r>
      <w:r w:rsidR="000A222A" w:rsidRPr="00A472FC">
        <w:rPr>
          <w:rFonts w:ascii="Times New Roman" w:hAnsi="Times New Roman" w:cs="Times New Roman"/>
          <w:color w:val="000000" w:themeColor="text1"/>
        </w:rPr>
        <w:t>therefore ensures that we will</w:t>
      </w:r>
      <w:r w:rsidR="00665333" w:rsidRPr="00A472FC">
        <w:rPr>
          <w:rFonts w:ascii="Times New Roman" w:hAnsi="Times New Roman" w:cs="Times New Roman"/>
          <w:color w:val="000000" w:themeColor="text1"/>
        </w:rPr>
        <w:t xml:space="preserve"> never be happy.</w:t>
      </w:r>
      <w:r w:rsidR="00665333" w:rsidRPr="00A472FC">
        <w:rPr>
          <w:rStyle w:val="FootnoteReference"/>
          <w:rFonts w:ascii="Times New Roman" w:hAnsi="Times New Roman" w:cs="Times New Roman"/>
          <w:color w:val="000000" w:themeColor="text1"/>
        </w:rPr>
        <w:footnoteReference w:id="1085"/>
      </w:r>
      <w:r w:rsidR="00665333" w:rsidRPr="00A472FC">
        <w:rPr>
          <w:rFonts w:ascii="Times New Roman" w:hAnsi="Times New Roman" w:cs="Times New Roman"/>
          <w:color w:val="000000" w:themeColor="text1"/>
        </w:rPr>
        <w:t xml:space="preserve"> </w:t>
      </w:r>
      <w:r w:rsidR="00D636B0" w:rsidRPr="00A472FC">
        <w:rPr>
          <w:rFonts w:ascii="Times New Roman" w:hAnsi="Times New Roman" w:cs="Times New Roman"/>
          <w:color w:val="000000" w:themeColor="text1"/>
        </w:rPr>
        <w:t xml:space="preserve">That said, </w:t>
      </w:r>
      <w:r w:rsidR="00665333" w:rsidRPr="00A472FC">
        <w:rPr>
          <w:rFonts w:ascii="Times New Roman" w:hAnsi="Times New Roman" w:cs="Times New Roman"/>
          <w:color w:val="000000" w:themeColor="text1"/>
        </w:rPr>
        <w:t>Augustine is quick to stress</w:t>
      </w:r>
      <w:r w:rsidR="00D636B0" w:rsidRPr="00A472FC">
        <w:rPr>
          <w:rFonts w:ascii="Times New Roman" w:hAnsi="Times New Roman" w:cs="Times New Roman"/>
          <w:color w:val="000000" w:themeColor="text1"/>
        </w:rPr>
        <w:t xml:space="preserve"> that</w:t>
      </w:r>
      <w:r w:rsidR="00665333" w:rsidRPr="00A472FC">
        <w:rPr>
          <w:rFonts w:ascii="Times New Roman" w:hAnsi="Times New Roman" w:cs="Times New Roman"/>
          <w:color w:val="000000" w:themeColor="text1"/>
        </w:rPr>
        <w:t xml:space="preserve"> the objects of our desires themselves are not good or evil—only the use we make of them and the </w:t>
      </w:r>
      <w:r w:rsidR="004B57B1">
        <w:rPr>
          <w:rFonts w:ascii="Times New Roman" w:hAnsi="Times New Roman" w:cs="Times New Roman"/>
          <w:color w:val="000000" w:themeColor="text1"/>
        </w:rPr>
        <w:t xml:space="preserve">proportional or disproportional </w:t>
      </w:r>
      <w:r w:rsidR="00665333" w:rsidRPr="00A472FC">
        <w:rPr>
          <w:rFonts w:ascii="Times New Roman" w:hAnsi="Times New Roman" w:cs="Times New Roman"/>
          <w:color w:val="000000" w:themeColor="text1"/>
        </w:rPr>
        <w:t>level of significance we attribute to them.</w:t>
      </w:r>
      <w:r w:rsidR="00665333" w:rsidRPr="00A472FC">
        <w:rPr>
          <w:rStyle w:val="FootnoteReference"/>
          <w:rFonts w:ascii="Times New Roman" w:hAnsi="Times New Roman" w:cs="Times New Roman"/>
          <w:color w:val="000000" w:themeColor="text1"/>
        </w:rPr>
        <w:footnoteReference w:id="1086"/>
      </w:r>
      <w:r w:rsidR="00665333" w:rsidRPr="00A472FC">
        <w:rPr>
          <w:rFonts w:ascii="Times New Roman" w:hAnsi="Times New Roman" w:cs="Times New Roman"/>
          <w:color w:val="000000" w:themeColor="text1"/>
        </w:rPr>
        <w:t xml:space="preserve"> That is why it is so important to attribute absolute significance to God alone: not because other goods are insignificant or devalued in Augustine’s thought, but because we can only perceive their significance accurately and avoid enslavement to desires for them when we keep them in proper perspective.</w:t>
      </w:r>
      <w:r w:rsidR="00665333" w:rsidRPr="00A472FC">
        <w:rPr>
          <w:rStyle w:val="FootnoteReference"/>
          <w:rFonts w:ascii="Times New Roman" w:hAnsi="Times New Roman" w:cs="Times New Roman"/>
          <w:color w:val="000000" w:themeColor="text1"/>
        </w:rPr>
        <w:footnoteReference w:id="1087"/>
      </w:r>
      <w:r w:rsidR="007831A1" w:rsidRPr="00A472FC">
        <w:rPr>
          <w:rFonts w:ascii="Times New Roman" w:hAnsi="Times New Roman" w:cs="Times New Roman"/>
          <w:color w:val="000000" w:themeColor="text1"/>
        </w:rPr>
        <w:t xml:space="preserve"> </w:t>
      </w:r>
      <w:r w:rsidR="00665333" w:rsidRPr="00A472FC">
        <w:rPr>
          <w:rFonts w:ascii="Times New Roman" w:hAnsi="Times New Roman" w:cs="Times New Roman"/>
          <w:color w:val="000000" w:themeColor="text1"/>
        </w:rPr>
        <w:t xml:space="preserve">The success or failure to do just this, that is, to exercise free will, is precisely the realm of our moral responsibility in Augustine’s paradigm. </w:t>
      </w:r>
    </w:p>
    <w:p w14:paraId="52AC8E1A" w14:textId="1EA6B9A7" w:rsidR="00665333" w:rsidRPr="00A472FC" w:rsidRDefault="009D03F0" w:rsidP="00E13CC8">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In this regard,</w:t>
      </w:r>
      <w:r w:rsidR="00665333" w:rsidRPr="00A472FC">
        <w:rPr>
          <w:rFonts w:ascii="Times New Roman" w:hAnsi="Times New Roman" w:cs="Times New Roman"/>
          <w:color w:val="000000" w:themeColor="text1"/>
        </w:rPr>
        <w:t xml:space="preserve"> Augustine </w:t>
      </w:r>
      <w:r w:rsidRPr="00A472FC">
        <w:rPr>
          <w:rFonts w:ascii="Times New Roman" w:hAnsi="Times New Roman" w:cs="Times New Roman"/>
          <w:color w:val="000000" w:themeColor="text1"/>
        </w:rPr>
        <w:t>states</w:t>
      </w:r>
      <w:r w:rsidR="00665333" w:rsidRPr="00A472FC">
        <w:rPr>
          <w:rFonts w:ascii="Times New Roman" w:hAnsi="Times New Roman" w:cs="Times New Roman"/>
          <w:color w:val="000000" w:themeColor="text1"/>
        </w:rPr>
        <w:t xml:space="preserve"> in his later works that we require God’s grace for all the good that we do, in opposition to Pelagius who supposedly affirmed the possibility of achieving perfection without God’s aid.</w:t>
      </w:r>
      <w:r w:rsidR="00665333" w:rsidRPr="00A472FC">
        <w:rPr>
          <w:rStyle w:val="FootnoteReference"/>
          <w:rFonts w:ascii="Times New Roman" w:hAnsi="Times New Roman" w:cs="Times New Roman"/>
          <w:color w:val="000000" w:themeColor="text1"/>
        </w:rPr>
        <w:footnoteReference w:id="1088"/>
      </w:r>
      <w:r w:rsidR="00665333" w:rsidRPr="00A472FC">
        <w:rPr>
          <w:rFonts w:ascii="Times New Roman" w:hAnsi="Times New Roman" w:cs="Times New Roman"/>
          <w:color w:val="000000" w:themeColor="text1"/>
        </w:rPr>
        <w:t xml:space="preserve"> Apart from the ongoing support of grace, Augustine insists, a person would simply revert to evil and sin. </w:t>
      </w:r>
      <w:r w:rsidR="00B451F6" w:rsidRPr="00A472FC">
        <w:rPr>
          <w:rFonts w:ascii="Times New Roman" w:hAnsi="Times New Roman" w:cs="Times New Roman"/>
          <w:color w:val="000000" w:themeColor="text1"/>
        </w:rPr>
        <w:t xml:space="preserve">In contrast to some interpretations of Augustine, </w:t>
      </w:r>
      <w:r w:rsidR="00665333" w:rsidRPr="00A472FC">
        <w:rPr>
          <w:rFonts w:ascii="Times New Roman" w:hAnsi="Times New Roman" w:cs="Times New Roman"/>
          <w:color w:val="000000" w:themeColor="text1"/>
        </w:rPr>
        <w:t xml:space="preserve">however, this does not imply that the human being is ‘totally depraved’ and defunct </w:t>
      </w:r>
      <w:r w:rsidR="007831A1" w:rsidRPr="00A472FC">
        <w:rPr>
          <w:rFonts w:ascii="Times New Roman" w:hAnsi="Times New Roman" w:cs="Times New Roman"/>
          <w:color w:val="000000" w:themeColor="text1"/>
        </w:rPr>
        <w:t>for the purpose of performing any</w:t>
      </w:r>
      <w:r w:rsidR="00665333" w:rsidRPr="00A472FC">
        <w:rPr>
          <w:rFonts w:ascii="Times New Roman" w:hAnsi="Times New Roman" w:cs="Times New Roman"/>
          <w:color w:val="000000" w:themeColor="text1"/>
        </w:rPr>
        <w:t xml:space="preserve"> good act. What it suggests</w:t>
      </w:r>
      <w:r w:rsidR="00E32BF8" w:rsidRPr="00A472FC">
        <w:rPr>
          <w:rFonts w:ascii="Times New Roman" w:hAnsi="Times New Roman" w:cs="Times New Roman"/>
          <w:color w:val="000000" w:themeColor="text1"/>
        </w:rPr>
        <w:t xml:space="preserve"> </w:t>
      </w:r>
      <w:r w:rsidR="00665333" w:rsidRPr="00A472FC">
        <w:rPr>
          <w:rFonts w:ascii="Times New Roman" w:hAnsi="Times New Roman" w:cs="Times New Roman"/>
          <w:color w:val="000000" w:themeColor="text1"/>
        </w:rPr>
        <w:t xml:space="preserve">is </w:t>
      </w:r>
      <w:r w:rsidR="00E32BF8" w:rsidRPr="00A472FC">
        <w:rPr>
          <w:rFonts w:ascii="Times New Roman" w:hAnsi="Times New Roman" w:cs="Times New Roman"/>
          <w:color w:val="000000" w:themeColor="text1"/>
        </w:rPr>
        <w:t xml:space="preserve">simply </w:t>
      </w:r>
      <w:r w:rsidR="00665333" w:rsidRPr="00A472FC">
        <w:rPr>
          <w:rFonts w:ascii="Times New Roman" w:hAnsi="Times New Roman" w:cs="Times New Roman"/>
          <w:color w:val="000000" w:themeColor="text1"/>
        </w:rPr>
        <w:t xml:space="preserve">that God is the one who gives the ability to </w:t>
      </w:r>
      <w:proofErr w:type="spellStart"/>
      <w:r w:rsidR="00D02DB3" w:rsidRPr="00A472FC">
        <w:rPr>
          <w:rFonts w:ascii="Times New Roman" w:hAnsi="Times New Roman" w:cs="Times New Roman"/>
          <w:color w:val="000000" w:themeColor="text1"/>
        </w:rPr>
        <w:t>prioritize</w:t>
      </w:r>
      <w:proofErr w:type="spellEnd"/>
      <w:r w:rsidR="00D02DB3" w:rsidRPr="00A472FC">
        <w:rPr>
          <w:rFonts w:ascii="Times New Roman" w:hAnsi="Times New Roman" w:cs="Times New Roman"/>
          <w:color w:val="000000" w:themeColor="text1"/>
        </w:rPr>
        <w:t xml:space="preserve"> the greater over the lesser good</w:t>
      </w:r>
      <w:r w:rsidR="00665333" w:rsidRPr="00A472FC">
        <w:rPr>
          <w:rFonts w:ascii="Times New Roman" w:hAnsi="Times New Roman" w:cs="Times New Roman"/>
          <w:color w:val="000000" w:themeColor="text1"/>
        </w:rPr>
        <w:t xml:space="preserve"> in the first place and restores it following its loss to sin</w:t>
      </w:r>
      <w:r w:rsidR="000E4161" w:rsidRPr="00A472FC">
        <w:rPr>
          <w:rFonts w:ascii="Times New Roman" w:hAnsi="Times New Roman" w:cs="Times New Roman"/>
          <w:color w:val="000000" w:themeColor="text1"/>
        </w:rPr>
        <w:t xml:space="preserve">, by restoring the knowledge of himself through the </w:t>
      </w:r>
      <w:r w:rsidR="00813588" w:rsidRPr="00A472FC">
        <w:rPr>
          <w:rFonts w:ascii="Times New Roman" w:hAnsi="Times New Roman" w:cs="Times New Roman"/>
          <w:color w:val="000000" w:themeColor="text1"/>
        </w:rPr>
        <w:t>Incarnation of</w:t>
      </w:r>
      <w:r w:rsidR="000E4161" w:rsidRPr="00A472FC">
        <w:rPr>
          <w:rFonts w:ascii="Times New Roman" w:hAnsi="Times New Roman" w:cs="Times New Roman"/>
          <w:color w:val="000000" w:themeColor="text1"/>
        </w:rPr>
        <w:t xml:space="preserve"> his Son</w:t>
      </w:r>
      <w:r w:rsidR="00665333" w:rsidRPr="00A472FC">
        <w:rPr>
          <w:rFonts w:ascii="Times New Roman" w:hAnsi="Times New Roman" w:cs="Times New Roman"/>
          <w:color w:val="000000" w:themeColor="text1"/>
        </w:rPr>
        <w:t xml:space="preserve">. </w:t>
      </w:r>
      <w:r w:rsidR="007831A1" w:rsidRPr="00A472FC">
        <w:rPr>
          <w:rFonts w:ascii="Times New Roman" w:hAnsi="Times New Roman" w:cs="Times New Roman"/>
          <w:color w:val="000000" w:themeColor="text1"/>
        </w:rPr>
        <w:t xml:space="preserve">Only insofar as we </w:t>
      </w:r>
      <w:r w:rsidR="00027C34" w:rsidRPr="00A472FC">
        <w:rPr>
          <w:rFonts w:ascii="Times New Roman" w:hAnsi="Times New Roman" w:cs="Times New Roman"/>
          <w:color w:val="000000" w:themeColor="text1"/>
        </w:rPr>
        <w:t xml:space="preserve">ourselves </w:t>
      </w:r>
      <w:r w:rsidR="007831A1" w:rsidRPr="00A472FC">
        <w:rPr>
          <w:rFonts w:ascii="Times New Roman" w:hAnsi="Times New Roman" w:cs="Times New Roman"/>
          <w:color w:val="000000" w:themeColor="text1"/>
        </w:rPr>
        <w:t xml:space="preserve">make use of a God-given ability, therefore, can be described as truly free. </w:t>
      </w:r>
    </w:p>
    <w:p w14:paraId="40D46FA9" w14:textId="77777777" w:rsidR="00665333" w:rsidRPr="00A472FC" w:rsidRDefault="00665333" w:rsidP="00881604">
      <w:pPr>
        <w:ind w:right="-52"/>
        <w:rPr>
          <w:rFonts w:ascii="Times New Roman" w:hAnsi="Times New Roman" w:cs="Times New Roman"/>
          <w:color w:val="000000" w:themeColor="text1"/>
        </w:rPr>
      </w:pPr>
    </w:p>
    <w:p w14:paraId="30CC75AB" w14:textId="77777777" w:rsidR="00665333" w:rsidRPr="00A472FC" w:rsidRDefault="00665333" w:rsidP="00881604">
      <w:pPr>
        <w:ind w:right="-52"/>
        <w:rPr>
          <w:rFonts w:ascii="Times New Roman" w:hAnsi="Times New Roman" w:cs="Times New Roman"/>
          <w:color w:val="000000" w:themeColor="text1"/>
          <w:u w:val="single"/>
        </w:rPr>
      </w:pPr>
      <w:r w:rsidRPr="00A472FC">
        <w:rPr>
          <w:rFonts w:ascii="Times New Roman" w:hAnsi="Times New Roman" w:cs="Times New Roman"/>
          <w:color w:val="000000" w:themeColor="text1"/>
          <w:u w:val="single"/>
        </w:rPr>
        <w:t>Anselm</w:t>
      </w:r>
    </w:p>
    <w:p w14:paraId="2ECB01B4" w14:textId="77777777" w:rsidR="00665333" w:rsidRPr="00A472FC" w:rsidRDefault="00665333" w:rsidP="00881604">
      <w:pPr>
        <w:ind w:right="-52"/>
        <w:rPr>
          <w:rFonts w:ascii="Times New Roman" w:hAnsi="Times New Roman" w:cs="Times New Roman"/>
          <w:color w:val="000000" w:themeColor="text1"/>
        </w:rPr>
      </w:pPr>
    </w:p>
    <w:p w14:paraId="17FC4063" w14:textId="77777777" w:rsidR="0056490E" w:rsidRPr="00A472FC" w:rsidRDefault="00665333" w:rsidP="00B15849">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Anselm’s account of free will in the </w:t>
      </w:r>
      <w:r w:rsidRPr="00A472FC">
        <w:rPr>
          <w:rFonts w:ascii="Times New Roman" w:hAnsi="Times New Roman" w:cs="Times New Roman"/>
          <w:i/>
          <w:color w:val="000000" w:themeColor="text1"/>
        </w:rPr>
        <w:t xml:space="preserve">De </w:t>
      </w:r>
      <w:proofErr w:type="spellStart"/>
      <w:r w:rsidRPr="00A472FC">
        <w:rPr>
          <w:rFonts w:ascii="Times New Roman" w:hAnsi="Times New Roman" w:cs="Times New Roman"/>
          <w:i/>
          <w:color w:val="000000" w:themeColor="text1"/>
        </w:rPr>
        <w:t>libero</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arbitrio</w:t>
      </w:r>
      <w:proofErr w:type="spellEnd"/>
      <w:r w:rsidRPr="00A472FC">
        <w:rPr>
          <w:rFonts w:ascii="Times New Roman" w:hAnsi="Times New Roman" w:cs="Times New Roman"/>
          <w:iCs/>
          <w:color w:val="000000" w:themeColor="text1"/>
        </w:rPr>
        <w:t xml:space="preserve">, </w:t>
      </w:r>
      <w:r w:rsidRPr="00A472FC">
        <w:rPr>
          <w:rFonts w:ascii="Times New Roman" w:hAnsi="Times New Roman" w:cs="Times New Roman"/>
          <w:color w:val="000000" w:themeColor="text1"/>
        </w:rPr>
        <w:t xml:space="preserve">which was the text that was most well-known to the </w:t>
      </w:r>
      <w:proofErr w:type="spellStart"/>
      <w:r w:rsidRPr="00A472FC">
        <w:rPr>
          <w:rFonts w:ascii="Times New Roman" w:hAnsi="Times New Roman" w:cs="Times New Roman"/>
          <w:color w:val="000000" w:themeColor="text1"/>
        </w:rPr>
        <w:t>Summists</w:t>
      </w:r>
      <w:proofErr w:type="spellEnd"/>
      <w:r w:rsidRPr="00A472FC">
        <w:rPr>
          <w:rFonts w:ascii="Times New Roman" w:hAnsi="Times New Roman" w:cs="Times New Roman"/>
          <w:color w:val="000000" w:themeColor="text1"/>
        </w:rPr>
        <w:t xml:space="preserve"> and their contemporaries, follows </w:t>
      </w:r>
      <w:r w:rsidR="007720A0" w:rsidRPr="00A472FC">
        <w:rPr>
          <w:rFonts w:ascii="Times New Roman" w:hAnsi="Times New Roman" w:cs="Times New Roman"/>
          <w:color w:val="000000" w:themeColor="text1"/>
        </w:rPr>
        <w:t xml:space="preserve">the early </w:t>
      </w:r>
      <w:r w:rsidRPr="00A472FC">
        <w:rPr>
          <w:rFonts w:ascii="Times New Roman" w:hAnsi="Times New Roman" w:cs="Times New Roman"/>
          <w:color w:val="000000" w:themeColor="text1"/>
        </w:rPr>
        <w:t xml:space="preserve">Augustine </w:t>
      </w:r>
      <w:r w:rsidR="007720A0" w:rsidRPr="00A472FC">
        <w:rPr>
          <w:rFonts w:ascii="Times New Roman" w:hAnsi="Times New Roman" w:cs="Times New Roman"/>
          <w:color w:val="000000" w:themeColor="text1"/>
        </w:rPr>
        <w:t xml:space="preserve">in </w:t>
      </w:r>
      <w:r w:rsidRPr="00A472FC">
        <w:rPr>
          <w:rFonts w:ascii="Times New Roman" w:hAnsi="Times New Roman" w:cs="Times New Roman"/>
          <w:color w:val="000000" w:themeColor="text1"/>
        </w:rPr>
        <w:t>stating in no uncertain terms that the power of sinning is not a matter of free will.</w:t>
      </w:r>
      <w:r w:rsidRPr="00A472FC">
        <w:rPr>
          <w:rStyle w:val="FootnoteReference"/>
          <w:rFonts w:ascii="Times New Roman" w:hAnsi="Times New Roman" w:cs="Times New Roman"/>
          <w:color w:val="000000" w:themeColor="text1"/>
        </w:rPr>
        <w:footnoteReference w:id="1089"/>
      </w:r>
      <w:r w:rsidRPr="00A472FC">
        <w:rPr>
          <w:rFonts w:ascii="Times New Roman" w:hAnsi="Times New Roman" w:cs="Times New Roman"/>
          <w:color w:val="000000" w:themeColor="text1"/>
        </w:rPr>
        <w:t xml:space="preserve"> </w:t>
      </w:r>
      <w:r w:rsidR="00A42A82" w:rsidRPr="00A472FC">
        <w:rPr>
          <w:rFonts w:ascii="Times New Roman" w:hAnsi="Times New Roman" w:cs="Times New Roman"/>
          <w:color w:val="000000" w:themeColor="text1"/>
        </w:rPr>
        <w:t xml:space="preserve">As noted </w:t>
      </w:r>
      <w:r w:rsidR="00A42A82" w:rsidRPr="00A472FC">
        <w:rPr>
          <w:rFonts w:ascii="Times New Roman" w:hAnsi="Times New Roman" w:cs="Times New Roman"/>
          <w:color w:val="000000" w:themeColor="text1"/>
        </w:rPr>
        <w:lastRenderedPageBreak/>
        <w:t xml:space="preserve">already, </w:t>
      </w:r>
      <w:r w:rsidRPr="00A472FC">
        <w:rPr>
          <w:rFonts w:ascii="Times New Roman" w:hAnsi="Times New Roman" w:cs="Times New Roman"/>
          <w:color w:val="000000" w:themeColor="text1"/>
        </w:rPr>
        <w:t xml:space="preserve">sin enslaves us to desires for things that </w:t>
      </w:r>
      <w:r w:rsidR="00154A10" w:rsidRPr="00A472FC">
        <w:rPr>
          <w:rFonts w:ascii="Times New Roman" w:hAnsi="Times New Roman" w:cs="Times New Roman"/>
          <w:color w:val="000000" w:themeColor="text1"/>
        </w:rPr>
        <w:t>cannot fully satisfy us and</w:t>
      </w:r>
      <w:r w:rsidRPr="00A472FC">
        <w:rPr>
          <w:rFonts w:ascii="Times New Roman" w:hAnsi="Times New Roman" w:cs="Times New Roman"/>
          <w:color w:val="000000" w:themeColor="text1"/>
        </w:rPr>
        <w:t xml:space="preserve"> limits our freedom accordingly.</w:t>
      </w:r>
      <w:r w:rsidRPr="00A472FC">
        <w:rPr>
          <w:rStyle w:val="FootnoteReference"/>
          <w:rFonts w:ascii="Times New Roman" w:hAnsi="Times New Roman" w:cs="Times New Roman"/>
          <w:color w:val="000000" w:themeColor="text1"/>
        </w:rPr>
        <w:footnoteReference w:id="1090"/>
      </w:r>
      <w:r w:rsidRPr="00A472FC">
        <w:rPr>
          <w:rFonts w:ascii="Times New Roman" w:hAnsi="Times New Roman" w:cs="Times New Roman"/>
          <w:color w:val="000000" w:themeColor="text1"/>
        </w:rPr>
        <w:t xml:space="preserve"> </w:t>
      </w:r>
      <w:r w:rsidR="00A42A82" w:rsidRPr="00A472FC">
        <w:rPr>
          <w:rFonts w:ascii="Times New Roman" w:hAnsi="Times New Roman" w:cs="Times New Roman"/>
          <w:color w:val="000000" w:themeColor="text1"/>
        </w:rPr>
        <w:t>Thus</w:t>
      </w:r>
      <w:r w:rsidRPr="00A472FC">
        <w:rPr>
          <w:rFonts w:ascii="Times New Roman" w:hAnsi="Times New Roman" w:cs="Times New Roman"/>
          <w:color w:val="000000" w:themeColor="text1"/>
        </w:rPr>
        <w:t xml:space="preserve">, Anselm concludes that free will strictly speaking can only will what is good. As Anselm puts it, in language which had been hinted at but not employed to the same extent by Augustine, </w:t>
      </w:r>
      <w:r w:rsidR="0085254C" w:rsidRPr="00A472FC">
        <w:rPr>
          <w:rFonts w:ascii="Times New Roman" w:hAnsi="Times New Roman" w:cs="Times New Roman"/>
          <w:color w:val="000000" w:themeColor="text1"/>
        </w:rPr>
        <w:t xml:space="preserve">the purpose of free will is to </w:t>
      </w:r>
      <w:r w:rsidRPr="00A472FC">
        <w:rPr>
          <w:rFonts w:ascii="Times New Roman" w:hAnsi="Times New Roman" w:cs="Times New Roman"/>
          <w:color w:val="000000" w:themeColor="text1"/>
        </w:rPr>
        <w:t xml:space="preserve">preserve the rectitude, justice, or </w:t>
      </w:r>
      <w:r w:rsidR="005D2B20" w:rsidRPr="00A472FC">
        <w:rPr>
          <w:rFonts w:ascii="Times New Roman" w:hAnsi="Times New Roman" w:cs="Times New Roman"/>
          <w:color w:val="000000" w:themeColor="text1"/>
        </w:rPr>
        <w:t xml:space="preserve">the </w:t>
      </w:r>
      <w:r w:rsidRPr="00A472FC">
        <w:rPr>
          <w:rFonts w:ascii="Times New Roman" w:hAnsi="Times New Roman" w:cs="Times New Roman"/>
          <w:color w:val="000000" w:themeColor="text1"/>
        </w:rPr>
        <w:t>righteousness of the will, for its own sake.</w:t>
      </w:r>
      <w:r w:rsidRPr="00A472FC">
        <w:rPr>
          <w:rStyle w:val="FootnoteReference"/>
          <w:rFonts w:ascii="Times New Roman" w:hAnsi="Times New Roman" w:cs="Times New Roman"/>
          <w:color w:val="000000" w:themeColor="text1"/>
        </w:rPr>
        <w:footnoteReference w:id="1091"/>
      </w:r>
      <w:r w:rsidRPr="00A472FC">
        <w:rPr>
          <w:rFonts w:ascii="Times New Roman" w:hAnsi="Times New Roman" w:cs="Times New Roman"/>
          <w:color w:val="000000" w:themeColor="text1"/>
        </w:rPr>
        <w:t xml:space="preserve"> </w:t>
      </w:r>
    </w:p>
    <w:p w14:paraId="3EC6702F" w14:textId="4FAD3F5C" w:rsidR="00665333" w:rsidRPr="00A472FC" w:rsidRDefault="00665333" w:rsidP="00B15849">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To do precisely this is what Anselm following Augustine affirms that human beings fittingly ‘owe’ to God</w:t>
      </w:r>
      <w:r w:rsidR="00B15849" w:rsidRPr="00A472FC">
        <w:rPr>
          <w:rFonts w:ascii="Times New Roman" w:hAnsi="Times New Roman" w:cs="Times New Roman"/>
          <w:color w:val="000000" w:themeColor="text1"/>
        </w:rPr>
        <w:t>; it is the way we fulfil his will for us</w:t>
      </w:r>
      <w:r w:rsidRPr="00A472FC">
        <w:rPr>
          <w:rFonts w:ascii="Times New Roman" w:hAnsi="Times New Roman" w:cs="Times New Roman"/>
          <w:color w:val="000000" w:themeColor="text1"/>
        </w:rPr>
        <w:t>.</w:t>
      </w:r>
      <w:r w:rsidRPr="00A472FC">
        <w:rPr>
          <w:rStyle w:val="FootnoteReference"/>
          <w:rFonts w:ascii="Times New Roman" w:hAnsi="Times New Roman" w:cs="Times New Roman"/>
          <w:color w:val="000000" w:themeColor="text1"/>
        </w:rPr>
        <w:footnoteReference w:id="1092"/>
      </w:r>
      <w:r w:rsidR="00E6743E" w:rsidRPr="00A472FC">
        <w:rPr>
          <w:rFonts w:ascii="Times New Roman" w:hAnsi="Times New Roman" w:cs="Times New Roman"/>
          <w:color w:val="000000" w:themeColor="text1"/>
        </w:rPr>
        <w:t xml:space="preserve"> At the same time, </w:t>
      </w:r>
      <w:r w:rsidR="00B15849" w:rsidRPr="00A472FC">
        <w:rPr>
          <w:rFonts w:ascii="Times New Roman" w:hAnsi="Times New Roman" w:cs="Times New Roman"/>
          <w:color w:val="000000" w:themeColor="text1"/>
        </w:rPr>
        <w:t xml:space="preserve">preserving justice is in our own interests, since there is nothing about being a slave to sin that is </w:t>
      </w:r>
      <w:r w:rsidRPr="00A472FC">
        <w:rPr>
          <w:rFonts w:ascii="Times New Roman" w:hAnsi="Times New Roman" w:cs="Times New Roman"/>
          <w:color w:val="000000" w:themeColor="text1"/>
        </w:rPr>
        <w:t xml:space="preserve">consistent with human happiness and flourishing. As Augustine had affirmed, so Anselm posits that willing what God wants us to will, which is to will to treat him as the supreme good and regard all other goods as second to him, helps us put </w:t>
      </w:r>
      <w:r w:rsidR="0056490E" w:rsidRPr="00A472FC">
        <w:rPr>
          <w:rFonts w:ascii="Times New Roman" w:hAnsi="Times New Roman" w:cs="Times New Roman"/>
          <w:color w:val="000000" w:themeColor="text1"/>
        </w:rPr>
        <w:t>ordinary</w:t>
      </w:r>
      <w:r w:rsidRPr="00A472FC">
        <w:rPr>
          <w:rFonts w:ascii="Times New Roman" w:hAnsi="Times New Roman" w:cs="Times New Roman"/>
          <w:color w:val="000000" w:themeColor="text1"/>
        </w:rPr>
        <w:t xml:space="preserve"> goods in proper perspective so that desires </w:t>
      </w:r>
      <w:r w:rsidR="008E45AB" w:rsidRPr="00A472FC">
        <w:rPr>
          <w:rFonts w:ascii="Times New Roman" w:hAnsi="Times New Roman" w:cs="Times New Roman"/>
          <w:color w:val="000000" w:themeColor="text1"/>
        </w:rPr>
        <w:t>for them</w:t>
      </w:r>
      <w:r w:rsidRPr="00A472FC">
        <w:rPr>
          <w:rFonts w:ascii="Times New Roman" w:hAnsi="Times New Roman" w:cs="Times New Roman"/>
          <w:color w:val="000000" w:themeColor="text1"/>
        </w:rPr>
        <w:t xml:space="preserve"> do not become inordinate and enslaving. In summary, the will to preserve the just and proper order of our will, first to God, and then to other things, is what truly liberates the will.  </w:t>
      </w:r>
    </w:p>
    <w:p w14:paraId="5DCA84A7" w14:textId="77777777" w:rsidR="00665333" w:rsidRPr="00A472FC" w:rsidRDefault="00665333" w:rsidP="00881604">
      <w:pPr>
        <w:ind w:right="-52" w:firstLine="720"/>
        <w:rPr>
          <w:rFonts w:ascii="Times New Roman" w:hAnsi="Times New Roman" w:cs="Times New Roman"/>
          <w:color w:val="000000" w:themeColor="text1"/>
        </w:rPr>
      </w:pPr>
    </w:p>
    <w:p w14:paraId="3D4FE2BE" w14:textId="77777777" w:rsidR="00665333" w:rsidRPr="00A472FC" w:rsidRDefault="00665333" w:rsidP="00881604">
      <w:pPr>
        <w:ind w:right="-52"/>
        <w:rPr>
          <w:rFonts w:ascii="Times New Roman" w:hAnsi="Times New Roman" w:cs="Times New Roman"/>
          <w:color w:val="000000" w:themeColor="text1"/>
          <w:u w:val="single"/>
        </w:rPr>
      </w:pPr>
      <w:r w:rsidRPr="00A472FC">
        <w:rPr>
          <w:rFonts w:ascii="Times New Roman" w:hAnsi="Times New Roman" w:cs="Times New Roman"/>
          <w:color w:val="000000" w:themeColor="text1"/>
          <w:u w:val="single"/>
        </w:rPr>
        <w:t>John of Damascus</w:t>
      </w:r>
    </w:p>
    <w:p w14:paraId="3CBA7854" w14:textId="77777777" w:rsidR="00665333" w:rsidRPr="00A472FC" w:rsidRDefault="00665333" w:rsidP="00881604">
      <w:pPr>
        <w:ind w:right="-52" w:firstLine="720"/>
        <w:rPr>
          <w:rFonts w:ascii="Times New Roman" w:hAnsi="Times New Roman" w:cs="Times New Roman"/>
          <w:color w:val="000000" w:themeColor="text1"/>
        </w:rPr>
      </w:pPr>
    </w:p>
    <w:p w14:paraId="58A6F82B" w14:textId="7A9E4630" w:rsidR="00665333" w:rsidRPr="00A472FC" w:rsidRDefault="00665333" w:rsidP="00881604">
      <w:pPr>
        <w:autoSpaceDE w:val="0"/>
        <w:autoSpaceDN w:val="0"/>
        <w:adjustRightInd w:val="0"/>
        <w:ind w:right="-52"/>
        <w:rPr>
          <w:rFonts w:ascii="Times New Roman" w:hAnsi="Times New Roman" w:cs="Times New Roman"/>
        </w:rPr>
      </w:pPr>
      <w:r w:rsidRPr="00A472FC">
        <w:rPr>
          <w:rFonts w:ascii="Times New Roman" w:hAnsi="Times New Roman" w:cs="Times New Roman"/>
        </w:rPr>
        <w:tab/>
      </w:r>
      <w:r w:rsidR="00C35C60" w:rsidRPr="00A472FC">
        <w:rPr>
          <w:rFonts w:ascii="Times New Roman" w:hAnsi="Times New Roman" w:cs="Times New Roman"/>
        </w:rPr>
        <w:t>Already, we have</w:t>
      </w:r>
      <w:r w:rsidRPr="00A472FC">
        <w:rPr>
          <w:rFonts w:ascii="Times New Roman" w:hAnsi="Times New Roman" w:cs="Times New Roman"/>
        </w:rPr>
        <w:t xml:space="preserve"> </w:t>
      </w:r>
      <w:r w:rsidR="00AF6F65">
        <w:rPr>
          <w:rFonts w:ascii="Times New Roman" w:hAnsi="Times New Roman" w:cs="Times New Roman"/>
        </w:rPr>
        <w:t>learned about</w:t>
      </w:r>
      <w:r w:rsidRPr="00A472FC">
        <w:rPr>
          <w:rFonts w:ascii="Times New Roman" w:hAnsi="Times New Roman" w:cs="Times New Roman"/>
        </w:rPr>
        <w:t xml:space="preserve"> the significant role that John of Damascus plays in early Franciscan accounts of the cognitive as well as the motive powers. This principle also applies to the doctrine of free will. From Damascus, early Franciscans adopt the idea that ‘everything that is generable is changeable</w:t>
      </w:r>
      <w:r w:rsidR="00DB7585" w:rsidRPr="00A472FC">
        <w:rPr>
          <w:rFonts w:ascii="Times New Roman" w:hAnsi="Times New Roman" w:cs="Times New Roman"/>
        </w:rPr>
        <w:t xml:space="preserve"> (</w:t>
      </w:r>
      <w:proofErr w:type="spellStart"/>
      <w:r w:rsidR="00DB7585" w:rsidRPr="00A472FC">
        <w:rPr>
          <w:rFonts w:ascii="Times New Roman" w:hAnsi="Times New Roman" w:cs="Times New Roman"/>
          <w:i/>
        </w:rPr>
        <w:t>vertibilis</w:t>
      </w:r>
      <w:proofErr w:type="spellEnd"/>
      <w:r w:rsidR="00DB7585" w:rsidRPr="00A472FC">
        <w:rPr>
          <w:rFonts w:ascii="Times New Roman" w:hAnsi="Times New Roman" w:cs="Times New Roman"/>
        </w:rPr>
        <w:t>)</w:t>
      </w:r>
      <w:r w:rsidRPr="00A472FC">
        <w:rPr>
          <w:rFonts w:ascii="Times New Roman" w:hAnsi="Times New Roman" w:cs="Times New Roman"/>
        </w:rPr>
        <w:t>.’</w:t>
      </w:r>
      <w:r w:rsidRPr="00A472FC">
        <w:rPr>
          <w:rStyle w:val="FootnoteReference"/>
          <w:rFonts w:ascii="Times New Roman" w:hAnsi="Times New Roman" w:cs="Times New Roman"/>
        </w:rPr>
        <w:footnoteReference w:id="1093"/>
      </w:r>
      <w:r w:rsidRPr="00A472FC">
        <w:rPr>
          <w:rFonts w:ascii="Times New Roman" w:hAnsi="Times New Roman" w:cs="Times New Roman"/>
        </w:rPr>
        <w:t xml:space="preserve"> In the case of human beings, </w:t>
      </w:r>
      <w:r w:rsidR="0072636F" w:rsidRPr="00A472FC">
        <w:rPr>
          <w:rFonts w:ascii="Times New Roman" w:hAnsi="Times New Roman" w:cs="Times New Roman"/>
        </w:rPr>
        <w:t>changeability for the Damascene</w:t>
      </w:r>
      <w:r w:rsidRPr="00A472FC">
        <w:rPr>
          <w:rFonts w:ascii="Times New Roman" w:hAnsi="Times New Roman" w:cs="Times New Roman"/>
        </w:rPr>
        <w:t xml:space="preserve"> entails that </w:t>
      </w:r>
      <w:r w:rsidR="000660FC" w:rsidRPr="00A472FC">
        <w:rPr>
          <w:rFonts w:ascii="Times New Roman" w:hAnsi="Times New Roman" w:cs="Times New Roman"/>
        </w:rPr>
        <w:t>we can</w:t>
      </w:r>
      <w:r w:rsidRPr="00A472FC">
        <w:rPr>
          <w:rFonts w:ascii="Times New Roman" w:hAnsi="Times New Roman" w:cs="Times New Roman"/>
        </w:rPr>
        <w:t xml:space="preserve"> will to do or not to do any given thing (</w:t>
      </w:r>
      <w:proofErr w:type="spellStart"/>
      <w:r w:rsidRPr="00A472FC">
        <w:rPr>
          <w:rFonts w:ascii="Times New Roman" w:hAnsi="Times New Roman" w:cs="Times New Roman"/>
          <w:i/>
        </w:rPr>
        <w:t>facere</w:t>
      </w:r>
      <w:proofErr w:type="spellEnd"/>
      <w:r w:rsidRPr="00A472FC">
        <w:rPr>
          <w:rFonts w:ascii="Times New Roman" w:hAnsi="Times New Roman" w:cs="Times New Roman"/>
          <w:i/>
        </w:rPr>
        <w:t xml:space="preserve"> et non </w:t>
      </w:r>
      <w:proofErr w:type="spellStart"/>
      <w:r w:rsidRPr="00A472FC">
        <w:rPr>
          <w:rFonts w:ascii="Times New Roman" w:hAnsi="Times New Roman" w:cs="Times New Roman"/>
          <w:i/>
        </w:rPr>
        <w:t>facere</w:t>
      </w:r>
      <w:proofErr w:type="spellEnd"/>
      <w:r w:rsidRPr="00A472FC">
        <w:rPr>
          <w:rFonts w:ascii="Times New Roman" w:hAnsi="Times New Roman" w:cs="Times New Roman"/>
        </w:rPr>
        <w:t xml:space="preserve">). In other words, </w:t>
      </w:r>
      <w:r w:rsidR="00F261F4" w:rsidRPr="00A472FC">
        <w:rPr>
          <w:rFonts w:ascii="Times New Roman" w:hAnsi="Times New Roman" w:cs="Times New Roman"/>
        </w:rPr>
        <w:t xml:space="preserve">we can </w:t>
      </w:r>
      <w:r w:rsidRPr="00A472FC">
        <w:rPr>
          <w:rFonts w:ascii="Times New Roman" w:hAnsi="Times New Roman" w:cs="Times New Roman"/>
        </w:rPr>
        <w:t>voluntarily desire one thing but not another.</w:t>
      </w:r>
      <w:r w:rsidRPr="00A472FC">
        <w:rPr>
          <w:rStyle w:val="FootnoteReference"/>
          <w:rFonts w:ascii="Times New Roman" w:hAnsi="Times New Roman" w:cs="Times New Roman"/>
        </w:rPr>
        <w:footnoteReference w:id="1094"/>
      </w:r>
      <w:r w:rsidRPr="00A472FC">
        <w:rPr>
          <w:rFonts w:ascii="Times New Roman" w:hAnsi="Times New Roman" w:cs="Times New Roman"/>
        </w:rPr>
        <w:t xml:space="preserve"> As we will see, Alexander of Hales stretched the idea that free will entails wanting </w:t>
      </w:r>
      <w:r w:rsidR="00545123">
        <w:rPr>
          <w:rFonts w:ascii="Times New Roman" w:hAnsi="Times New Roman" w:cs="Times New Roman"/>
        </w:rPr>
        <w:t>‘</w:t>
      </w:r>
      <w:r w:rsidR="003F6D76">
        <w:rPr>
          <w:rFonts w:ascii="Times New Roman" w:hAnsi="Times New Roman" w:cs="Times New Roman"/>
        </w:rPr>
        <w:t>opposites</w:t>
      </w:r>
      <w:r w:rsidR="00545123">
        <w:rPr>
          <w:rFonts w:ascii="Times New Roman" w:hAnsi="Times New Roman" w:cs="Times New Roman"/>
        </w:rPr>
        <w:t>’</w:t>
      </w:r>
      <w:r w:rsidR="003F6D76">
        <w:rPr>
          <w:rFonts w:ascii="Times New Roman" w:hAnsi="Times New Roman" w:cs="Times New Roman"/>
        </w:rPr>
        <w:t xml:space="preserve"> in the sense</w:t>
      </w:r>
      <w:r w:rsidR="00545123">
        <w:rPr>
          <w:rFonts w:ascii="Times New Roman" w:hAnsi="Times New Roman" w:cs="Times New Roman"/>
        </w:rPr>
        <w:t xml:space="preserve"> of</w:t>
      </w:r>
      <w:r w:rsidR="003F6D76">
        <w:rPr>
          <w:rFonts w:ascii="Times New Roman" w:hAnsi="Times New Roman" w:cs="Times New Roman"/>
        </w:rPr>
        <w:t xml:space="preserve"> </w:t>
      </w:r>
      <w:r w:rsidRPr="00A472FC">
        <w:rPr>
          <w:rFonts w:ascii="Times New Roman" w:hAnsi="Times New Roman" w:cs="Times New Roman"/>
        </w:rPr>
        <w:t>‘this and not that’ so far as to suggest that it allows for willing good or evil.</w:t>
      </w:r>
      <w:r w:rsidRPr="00A472FC">
        <w:rPr>
          <w:rStyle w:val="FootnoteReference"/>
          <w:rFonts w:ascii="Times New Roman" w:hAnsi="Times New Roman" w:cs="Times New Roman"/>
        </w:rPr>
        <w:footnoteReference w:id="1095"/>
      </w:r>
      <w:r w:rsidRPr="00A472FC">
        <w:rPr>
          <w:rFonts w:ascii="Times New Roman" w:hAnsi="Times New Roman" w:cs="Times New Roman"/>
          <w:u w:color="000000" w:themeColor="text1"/>
        </w:rPr>
        <w:t xml:space="preserve"> </w:t>
      </w:r>
    </w:p>
    <w:p w14:paraId="188B78AB" w14:textId="673A1A81" w:rsidR="00665333" w:rsidRPr="00A472FC" w:rsidRDefault="00665333" w:rsidP="00881604">
      <w:pPr>
        <w:autoSpaceDE w:val="0"/>
        <w:autoSpaceDN w:val="0"/>
        <w:adjustRightInd w:val="0"/>
        <w:ind w:right="-52" w:firstLine="720"/>
        <w:rPr>
          <w:rFonts w:ascii="Times New Roman" w:hAnsi="Times New Roman" w:cs="Times New Roman"/>
          <w:u w:color="000000" w:themeColor="text1"/>
        </w:rPr>
      </w:pPr>
      <w:r w:rsidRPr="00A472FC">
        <w:rPr>
          <w:rFonts w:ascii="Times New Roman" w:hAnsi="Times New Roman" w:cs="Times New Roman"/>
          <w:u w:color="000000" w:themeColor="text1"/>
        </w:rPr>
        <w:t>This perspective on the will represents a rather extreme take on the position of John of Damascus.</w:t>
      </w:r>
      <w:r w:rsidRPr="00A472FC">
        <w:rPr>
          <w:rStyle w:val="FootnoteReference"/>
          <w:rFonts w:ascii="Times New Roman" w:hAnsi="Times New Roman" w:cs="Times New Roman"/>
          <w:u w:color="000000" w:themeColor="text1"/>
        </w:rPr>
        <w:footnoteReference w:id="1096"/>
      </w:r>
      <w:r w:rsidRPr="00A472FC">
        <w:rPr>
          <w:rFonts w:ascii="Times New Roman" w:hAnsi="Times New Roman" w:cs="Times New Roman"/>
          <w:u w:color="000000" w:themeColor="text1"/>
        </w:rPr>
        <w:t xml:space="preserve"> As Michael </w:t>
      </w:r>
      <w:proofErr w:type="spellStart"/>
      <w:r w:rsidRPr="00A472FC">
        <w:rPr>
          <w:rFonts w:ascii="Times New Roman" w:hAnsi="Times New Roman" w:cs="Times New Roman"/>
          <w:u w:color="000000" w:themeColor="text1"/>
        </w:rPr>
        <w:t>Frede</w:t>
      </w:r>
      <w:proofErr w:type="spellEnd"/>
      <w:r w:rsidRPr="00A472FC">
        <w:rPr>
          <w:rFonts w:ascii="Times New Roman" w:hAnsi="Times New Roman" w:cs="Times New Roman"/>
          <w:u w:color="000000" w:themeColor="text1"/>
        </w:rPr>
        <w:t xml:space="preserve"> writes, ‘</w:t>
      </w:r>
      <w:r w:rsidR="00C357F6" w:rsidRPr="00A472FC">
        <w:rPr>
          <w:rFonts w:ascii="Times New Roman" w:hAnsi="Times New Roman" w:cs="Times New Roman"/>
          <w:u w:color="000000" w:themeColor="text1"/>
        </w:rPr>
        <w:t>l</w:t>
      </w:r>
      <w:r w:rsidRPr="00A472FC">
        <w:rPr>
          <w:rFonts w:ascii="Times New Roman" w:hAnsi="Times New Roman" w:cs="Times New Roman"/>
          <w:u w:color="000000" w:themeColor="text1"/>
        </w:rPr>
        <w:t>ooking at John of Damascus’ account shows us that he does not construe choice as inherently a choice between two options, the good and the evil.’</w:t>
      </w:r>
      <w:r w:rsidRPr="00A472FC">
        <w:rPr>
          <w:rStyle w:val="FootnoteReference"/>
          <w:rFonts w:ascii="Times New Roman" w:hAnsi="Times New Roman" w:cs="Times New Roman"/>
          <w:u w:color="000000" w:themeColor="text1"/>
        </w:rPr>
        <w:footnoteReference w:id="1097"/>
      </w:r>
      <w:r w:rsidRPr="00A472FC">
        <w:rPr>
          <w:rFonts w:ascii="Times New Roman" w:hAnsi="Times New Roman" w:cs="Times New Roman"/>
          <w:u w:color="000000" w:themeColor="text1"/>
        </w:rPr>
        <w:t xml:space="preserve"> The Damascene’s much simpler point, which is the product of his complex reception of Aristotle, the Stoics, and the Greek Church Fathers, is that the human will is not fixed to one object or another.</w:t>
      </w:r>
      <w:r w:rsidRPr="00A472FC">
        <w:rPr>
          <w:rStyle w:val="FootnoteReference"/>
          <w:rFonts w:ascii="Times New Roman" w:hAnsi="Times New Roman" w:cs="Times New Roman"/>
          <w:u w:color="000000" w:themeColor="text1"/>
        </w:rPr>
        <w:footnoteReference w:id="1098"/>
      </w:r>
      <w:r w:rsidRPr="00A472FC">
        <w:rPr>
          <w:rFonts w:ascii="Times New Roman" w:hAnsi="Times New Roman" w:cs="Times New Roman"/>
          <w:u w:color="000000" w:themeColor="text1"/>
        </w:rPr>
        <w:t xml:space="preserve"> </w:t>
      </w:r>
      <w:r w:rsidR="00E37B89" w:rsidRPr="00A472FC">
        <w:rPr>
          <w:rFonts w:ascii="Times New Roman" w:hAnsi="Times New Roman" w:cs="Times New Roman"/>
          <w:u w:color="000000" w:themeColor="text1"/>
        </w:rPr>
        <w:t xml:space="preserve">The differences amongst individuals and their interests amount to </w:t>
      </w:r>
      <w:r w:rsidR="00E37B89" w:rsidRPr="00A472FC">
        <w:rPr>
          <w:rFonts w:ascii="Times New Roman" w:hAnsi="Times New Roman" w:cs="Times New Roman"/>
          <w:u w:color="000000" w:themeColor="text1"/>
        </w:rPr>
        <w:lastRenderedPageBreak/>
        <w:t xml:space="preserve">different objects of desire. </w:t>
      </w:r>
      <w:r w:rsidRPr="00A472FC">
        <w:rPr>
          <w:rFonts w:ascii="Times New Roman" w:hAnsi="Times New Roman" w:cs="Times New Roman"/>
          <w:u w:color="000000" w:themeColor="text1"/>
        </w:rPr>
        <w:t xml:space="preserve">Moreover, the desires and preferences </w:t>
      </w:r>
      <w:r w:rsidR="00D51E3E" w:rsidRPr="00A472FC">
        <w:rPr>
          <w:rFonts w:ascii="Times New Roman" w:hAnsi="Times New Roman" w:cs="Times New Roman"/>
          <w:u w:color="000000" w:themeColor="text1"/>
        </w:rPr>
        <w:t xml:space="preserve">of </w:t>
      </w:r>
      <w:r w:rsidR="00454E52" w:rsidRPr="00A472FC">
        <w:rPr>
          <w:rFonts w:ascii="Times New Roman" w:hAnsi="Times New Roman" w:cs="Times New Roman"/>
          <w:u w:color="000000" w:themeColor="text1"/>
        </w:rPr>
        <w:t>individuals</w:t>
      </w:r>
      <w:r w:rsidR="00D51E3E" w:rsidRPr="00A472FC">
        <w:rPr>
          <w:rFonts w:ascii="Times New Roman" w:hAnsi="Times New Roman" w:cs="Times New Roman"/>
          <w:u w:color="000000" w:themeColor="text1"/>
        </w:rPr>
        <w:t xml:space="preserve"> </w:t>
      </w:r>
      <w:r w:rsidRPr="00A472FC">
        <w:rPr>
          <w:rFonts w:ascii="Times New Roman" w:hAnsi="Times New Roman" w:cs="Times New Roman"/>
          <w:u w:color="000000" w:themeColor="text1"/>
        </w:rPr>
        <w:t>can change</w:t>
      </w:r>
      <w:r w:rsidR="003A646A" w:rsidRPr="00A472FC">
        <w:rPr>
          <w:rFonts w:ascii="Times New Roman" w:hAnsi="Times New Roman" w:cs="Times New Roman"/>
          <w:u w:color="000000" w:themeColor="text1"/>
        </w:rPr>
        <w:t xml:space="preserve"> over time</w:t>
      </w:r>
      <w:r w:rsidRPr="00A472FC">
        <w:rPr>
          <w:rFonts w:ascii="Times New Roman" w:hAnsi="Times New Roman" w:cs="Times New Roman"/>
          <w:u w:color="000000" w:themeColor="text1"/>
        </w:rPr>
        <w:t xml:space="preserve">. To observe this is </w:t>
      </w:r>
      <w:r w:rsidR="00994AB2" w:rsidRPr="00A472FC">
        <w:rPr>
          <w:rFonts w:ascii="Times New Roman" w:hAnsi="Times New Roman" w:cs="Times New Roman"/>
          <w:u w:color="000000" w:themeColor="text1"/>
        </w:rPr>
        <w:t>far from affirming that</w:t>
      </w:r>
      <w:r w:rsidRPr="00A472FC">
        <w:rPr>
          <w:rFonts w:ascii="Times New Roman" w:hAnsi="Times New Roman" w:cs="Times New Roman"/>
          <w:u w:color="000000" w:themeColor="text1"/>
        </w:rPr>
        <w:t xml:space="preserve"> evil is a legitimate object of free will. </w:t>
      </w:r>
    </w:p>
    <w:p w14:paraId="39A0F2F1" w14:textId="77777777" w:rsidR="00665333" w:rsidRPr="00A472FC" w:rsidRDefault="00665333" w:rsidP="00881604">
      <w:pPr>
        <w:autoSpaceDE w:val="0"/>
        <w:autoSpaceDN w:val="0"/>
        <w:adjustRightInd w:val="0"/>
        <w:ind w:right="-52" w:firstLine="720"/>
        <w:rPr>
          <w:rFonts w:ascii="Times New Roman" w:hAnsi="Times New Roman" w:cs="Times New Roman"/>
        </w:rPr>
      </w:pPr>
    </w:p>
    <w:p w14:paraId="6E94D194" w14:textId="77777777" w:rsidR="00665333" w:rsidRPr="00A472FC" w:rsidRDefault="00665333" w:rsidP="00881604">
      <w:pPr>
        <w:ind w:right="-52"/>
        <w:rPr>
          <w:rFonts w:ascii="Times New Roman" w:hAnsi="Times New Roman" w:cs="Times New Roman"/>
          <w:color w:val="000000" w:themeColor="text1"/>
          <w:u w:val="single"/>
        </w:rPr>
      </w:pPr>
      <w:r w:rsidRPr="00A472FC">
        <w:rPr>
          <w:rFonts w:ascii="Times New Roman" w:hAnsi="Times New Roman" w:cs="Times New Roman"/>
          <w:color w:val="000000" w:themeColor="text1"/>
          <w:u w:val="single"/>
        </w:rPr>
        <w:t>Twelfth-Century Developments</w:t>
      </w:r>
    </w:p>
    <w:p w14:paraId="5E390649" w14:textId="77777777" w:rsidR="00665333" w:rsidRPr="00A472FC" w:rsidRDefault="00665333" w:rsidP="00881604">
      <w:pPr>
        <w:ind w:right="-52"/>
        <w:rPr>
          <w:rFonts w:ascii="Times New Roman" w:hAnsi="Times New Roman" w:cs="Times New Roman"/>
          <w:color w:val="000000" w:themeColor="text1"/>
        </w:rPr>
      </w:pPr>
    </w:p>
    <w:p w14:paraId="4CB31189" w14:textId="440DA990" w:rsidR="00665333" w:rsidRPr="00A472FC" w:rsidRDefault="00665333" w:rsidP="00881604">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In addition to Augustine, Anselm, and Damascus, the thirteenth-century canon of authorities on free will expanded to include Bernard of </w:t>
      </w:r>
      <w:proofErr w:type="spellStart"/>
      <w:r w:rsidRPr="00A472FC">
        <w:rPr>
          <w:rFonts w:ascii="Times New Roman" w:hAnsi="Times New Roman" w:cs="Times New Roman"/>
          <w:color w:val="000000" w:themeColor="text1"/>
        </w:rPr>
        <w:t>Clairvaux</w:t>
      </w:r>
      <w:proofErr w:type="spellEnd"/>
      <w:r w:rsidRPr="00A472FC">
        <w:rPr>
          <w:rFonts w:ascii="Times New Roman" w:hAnsi="Times New Roman" w:cs="Times New Roman"/>
          <w:color w:val="000000" w:themeColor="text1"/>
        </w:rPr>
        <w:t>, who wrote his account of ‘grace and free will’ around 1128.</w:t>
      </w:r>
      <w:r w:rsidR="000F2726" w:rsidRPr="00A472FC">
        <w:rPr>
          <w:rStyle w:val="FootnoteReference"/>
          <w:rFonts w:ascii="Times New Roman" w:hAnsi="Times New Roman" w:cs="Times New Roman"/>
          <w:color w:val="000000" w:themeColor="text1"/>
        </w:rPr>
        <w:footnoteReference w:id="1099"/>
      </w:r>
      <w:r w:rsidRPr="00A472FC">
        <w:rPr>
          <w:rFonts w:ascii="Times New Roman" w:hAnsi="Times New Roman" w:cs="Times New Roman"/>
          <w:color w:val="000000" w:themeColor="text1"/>
        </w:rPr>
        <w:t xml:space="preserve"> There, he argued</w:t>
      </w:r>
      <w:r w:rsidR="003A7CFA" w:rsidRPr="00A472FC">
        <w:rPr>
          <w:rFonts w:ascii="Times New Roman" w:hAnsi="Times New Roman" w:cs="Times New Roman"/>
          <w:color w:val="000000" w:themeColor="text1"/>
        </w:rPr>
        <w:t>, among other things,</w:t>
      </w:r>
      <w:r w:rsidRPr="00A472FC">
        <w:rPr>
          <w:rFonts w:ascii="Times New Roman" w:hAnsi="Times New Roman" w:cs="Times New Roman"/>
          <w:color w:val="000000" w:themeColor="text1"/>
        </w:rPr>
        <w:t xml:space="preserve"> that free will consists in consent which is not subject to any constraint or necessity.</w:t>
      </w:r>
      <w:r w:rsidRPr="00A472FC">
        <w:rPr>
          <w:rStyle w:val="FootnoteReference"/>
          <w:rFonts w:ascii="Times New Roman" w:hAnsi="Times New Roman" w:cs="Times New Roman"/>
          <w:color w:val="000000" w:themeColor="text1"/>
        </w:rPr>
        <w:footnoteReference w:id="1100"/>
      </w:r>
      <w:r w:rsidRPr="00A472FC">
        <w:rPr>
          <w:rFonts w:ascii="Times New Roman" w:hAnsi="Times New Roman" w:cs="Times New Roman"/>
          <w:color w:val="000000" w:themeColor="text1"/>
        </w:rPr>
        <w:t xml:space="preserve"> This consent is ultimately to God and thus to the good which is the source of all freedom. Although free will can </w:t>
      </w:r>
      <w:r w:rsidR="002004E7" w:rsidRPr="00A472FC">
        <w:rPr>
          <w:rFonts w:ascii="Times New Roman" w:hAnsi="Times New Roman" w:cs="Times New Roman"/>
          <w:color w:val="000000" w:themeColor="text1"/>
        </w:rPr>
        <w:t>choose</w:t>
      </w:r>
      <w:r w:rsidRPr="00A472FC">
        <w:rPr>
          <w:rFonts w:ascii="Times New Roman" w:hAnsi="Times New Roman" w:cs="Times New Roman"/>
          <w:color w:val="000000" w:themeColor="text1"/>
        </w:rPr>
        <w:t xml:space="preserve"> evil since its definition is not to be compelled to one thing or another, sin diminishes freedom which is more ordered or genuine in doing good than evil.</w:t>
      </w:r>
      <w:r w:rsidRPr="00A472FC">
        <w:rPr>
          <w:rStyle w:val="FootnoteReference"/>
          <w:rFonts w:ascii="Times New Roman" w:hAnsi="Times New Roman" w:cs="Times New Roman"/>
          <w:color w:val="000000" w:themeColor="text1"/>
        </w:rPr>
        <w:footnoteReference w:id="1101"/>
      </w:r>
      <w:r w:rsidRPr="00A472FC">
        <w:rPr>
          <w:rFonts w:ascii="Times New Roman" w:hAnsi="Times New Roman" w:cs="Times New Roman"/>
          <w:color w:val="000000" w:themeColor="text1"/>
        </w:rPr>
        <w:t xml:space="preserve"> </w:t>
      </w:r>
    </w:p>
    <w:p w14:paraId="0CB487A5" w14:textId="681A3568" w:rsidR="00665333" w:rsidRPr="00A472FC" w:rsidRDefault="00665333" w:rsidP="00881604">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In this connection, Bernard formulated a distinction between a three-fold freedom, namely, from necessity</w:t>
      </w:r>
      <w:r w:rsidR="004F550F" w:rsidRPr="00A472FC">
        <w:rPr>
          <w:rFonts w:ascii="Times New Roman" w:hAnsi="Times New Roman" w:cs="Times New Roman"/>
          <w:color w:val="000000" w:themeColor="text1"/>
        </w:rPr>
        <w:t xml:space="preserve"> or compulsion</w:t>
      </w:r>
      <w:r w:rsidRPr="00A472FC">
        <w:rPr>
          <w:rFonts w:ascii="Times New Roman" w:hAnsi="Times New Roman" w:cs="Times New Roman"/>
          <w:color w:val="000000" w:themeColor="text1"/>
        </w:rPr>
        <w:t xml:space="preserve">, from sin, and from </w:t>
      </w:r>
      <w:r w:rsidR="00AE11FB" w:rsidRPr="00A472FC">
        <w:rPr>
          <w:rFonts w:ascii="Times New Roman" w:hAnsi="Times New Roman" w:cs="Times New Roman"/>
          <w:color w:val="000000" w:themeColor="text1"/>
        </w:rPr>
        <w:t xml:space="preserve">the </w:t>
      </w:r>
      <w:r w:rsidRPr="00A472FC">
        <w:rPr>
          <w:rFonts w:ascii="Times New Roman" w:hAnsi="Times New Roman" w:cs="Times New Roman"/>
          <w:color w:val="000000" w:themeColor="text1"/>
        </w:rPr>
        <w:t>misery</w:t>
      </w:r>
      <w:r w:rsidR="00AE11FB" w:rsidRPr="00A472FC">
        <w:rPr>
          <w:rFonts w:ascii="Times New Roman" w:hAnsi="Times New Roman" w:cs="Times New Roman"/>
          <w:color w:val="000000" w:themeColor="text1"/>
        </w:rPr>
        <w:t xml:space="preserve"> of punishment for sin</w:t>
      </w:r>
      <w:r w:rsidRPr="00A472FC">
        <w:rPr>
          <w:rFonts w:ascii="Times New Roman" w:hAnsi="Times New Roman" w:cs="Times New Roman"/>
          <w:color w:val="000000" w:themeColor="text1"/>
        </w:rPr>
        <w:t xml:space="preserve">, which became a fixture of medieval discussions of this topic, not least because it was included in Lombard’s </w:t>
      </w:r>
      <w:r w:rsidR="00040053" w:rsidRPr="00A472FC">
        <w:rPr>
          <w:rFonts w:ascii="Times New Roman" w:hAnsi="Times New Roman" w:cs="Times New Roman"/>
          <w:i/>
          <w:color w:val="000000" w:themeColor="text1"/>
        </w:rPr>
        <w:t>Sentences</w:t>
      </w:r>
      <w:r w:rsidRPr="00A472FC">
        <w:rPr>
          <w:rFonts w:ascii="Times New Roman" w:hAnsi="Times New Roman" w:cs="Times New Roman"/>
          <w:color w:val="000000" w:themeColor="text1"/>
        </w:rPr>
        <w:t>.</w:t>
      </w:r>
      <w:r w:rsidRPr="00A472FC">
        <w:rPr>
          <w:rStyle w:val="FootnoteReference"/>
          <w:rFonts w:ascii="Times New Roman" w:hAnsi="Times New Roman" w:cs="Times New Roman"/>
          <w:color w:val="000000" w:themeColor="text1"/>
        </w:rPr>
        <w:footnoteReference w:id="1102"/>
      </w:r>
      <w:r w:rsidRPr="00A472FC">
        <w:rPr>
          <w:rFonts w:ascii="Times New Roman" w:hAnsi="Times New Roman" w:cs="Times New Roman"/>
          <w:color w:val="000000" w:themeColor="text1"/>
        </w:rPr>
        <w:t xml:space="preserve"> The first freedom is a gift of nature</w:t>
      </w:r>
      <w:r w:rsidR="00451791" w:rsidRPr="00A472FC">
        <w:rPr>
          <w:rFonts w:ascii="Times New Roman" w:hAnsi="Times New Roman" w:cs="Times New Roman"/>
          <w:color w:val="000000" w:themeColor="text1"/>
        </w:rPr>
        <w:t xml:space="preserve"> or natural life</w:t>
      </w:r>
      <w:r w:rsidRPr="00A472FC">
        <w:rPr>
          <w:rFonts w:ascii="Times New Roman" w:hAnsi="Times New Roman" w:cs="Times New Roman"/>
          <w:color w:val="000000" w:themeColor="text1"/>
        </w:rPr>
        <w:t>, the second of grace</w:t>
      </w:r>
      <w:r w:rsidR="00451791" w:rsidRPr="00A472FC">
        <w:rPr>
          <w:rFonts w:ascii="Times New Roman" w:hAnsi="Times New Roman" w:cs="Times New Roman"/>
          <w:color w:val="000000" w:themeColor="text1"/>
        </w:rPr>
        <w:t xml:space="preserve"> or redeemed life</w:t>
      </w:r>
      <w:r w:rsidRPr="00A472FC">
        <w:rPr>
          <w:rFonts w:ascii="Times New Roman" w:hAnsi="Times New Roman" w:cs="Times New Roman"/>
          <w:color w:val="000000" w:themeColor="text1"/>
        </w:rPr>
        <w:t>, and the third of glory</w:t>
      </w:r>
      <w:r w:rsidR="00451791" w:rsidRPr="00A472FC">
        <w:rPr>
          <w:rFonts w:ascii="Times New Roman" w:hAnsi="Times New Roman" w:cs="Times New Roman"/>
          <w:color w:val="000000" w:themeColor="text1"/>
        </w:rPr>
        <w:t xml:space="preserve"> or eternal life</w:t>
      </w:r>
      <w:r w:rsidRPr="00A472FC">
        <w:rPr>
          <w:rFonts w:ascii="Times New Roman" w:hAnsi="Times New Roman" w:cs="Times New Roman"/>
          <w:color w:val="000000" w:themeColor="text1"/>
        </w:rPr>
        <w:t xml:space="preserve">. In his </w:t>
      </w:r>
      <w:r w:rsidRPr="00A472FC">
        <w:rPr>
          <w:rFonts w:ascii="Times New Roman" w:hAnsi="Times New Roman" w:cs="Times New Roman"/>
          <w:i/>
          <w:color w:val="000000" w:themeColor="text1"/>
        </w:rPr>
        <w:t xml:space="preserve">De </w:t>
      </w:r>
      <w:proofErr w:type="spellStart"/>
      <w:r w:rsidRPr="00A472FC">
        <w:rPr>
          <w:rFonts w:ascii="Times New Roman" w:hAnsi="Times New Roman" w:cs="Times New Roman"/>
          <w:i/>
          <w:color w:val="000000" w:themeColor="text1"/>
        </w:rPr>
        <w:t>sacramentis</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fidei</w:t>
      </w:r>
      <w:proofErr w:type="spellEnd"/>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(1135-40),</w:t>
      </w:r>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Hugh of St Victor also espoused the basic idea of free will as not being subject to any compulsion.</w:t>
      </w:r>
      <w:r w:rsidRPr="00A472FC">
        <w:rPr>
          <w:rStyle w:val="FootnoteReference"/>
          <w:rFonts w:ascii="Times New Roman" w:hAnsi="Times New Roman" w:cs="Times New Roman"/>
          <w:color w:val="000000" w:themeColor="text1"/>
        </w:rPr>
        <w:footnoteReference w:id="1103"/>
      </w:r>
      <w:r w:rsidRPr="00A472FC">
        <w:rPr>
          <w:rFonts w:ascii="Times New Roman" w:hAnsi="Times New Roman" w:cs="Times New Roman"/>
          <w:color w:val="000000" w:themeColor="text1"/>
        </w:rPr>
        <w:t xml:space="preserve"> So construed, freedom could be attributed not only to humans, but also to angels and God</w:t>
      </w:r>
      <w:r w:rsidR="00EC0988" w:rsidRPr="00A472FC">
        <w:rPr>
          <w:rFonts w:ascii="Times New Roman" w:hAnsi="Times New Roman" w:cs="Times New Roman"/>
          <w:color w:val="000000" w:themeColor="text1"/>
        </w:rPr>
        <w:t>. As Tobias Hoffman has shown,</w:t>
      </w:r>
      <w:r w:rsidRPr="00A472FC">
        <w:rPr>
          <w:rFonts w:ascii="Times New Roman" w:hAnsi="Times New Roman" w:cs="Times New Roman"/>
          <w:color w:val="000000" w:themeColor="text1"/>
        </w:rPr>
        <w:t xml:space="preserve"> </w:t>
      </w:r>
      <w:r w:rsidR="00EC0988" w:rsidRPr="00A472FC">
        <w:rPr>
          <w:rFonts w:ascii="Times New Roman" w:hAnsi="Times New Roman" w:cs="Times New Roman"/>
          <w:color w:val="000000" w:themeColor="text1"/>
        </w:rPr>
        <w:t>it was</w:t>
      </w:r>
      <w:r w:rsidRPr="00A472FC">
        <w:rPr>
          <w:rFonts w:ascii="Times New Roman" w:hAnsi="Times New Roman" w:cs="Times New Roman"/>
          <w:color w:val="000000" w:themeColor="text1"/>
        </w:rPr>
        <w:t xml:space="preserve"> a priority for scholars </w:t>
      </w:r>
      <w:r w:rsidR="00EC0988" w:rsidRPr="00A472FC">
        <w:rPr>
          <w:rFonts w:ascii="Times New Roman" w:hAnsi="Times New Roman" w:cs="Times New Roman"/>
          <w:color w:val="000000" w:themeColor="text1"/>
        </w:rPr>
        <w:t xml:space="preserve">in this period </w:t>
      </w:r>
      <w:r w:rsidRPr="00A472FC">
        <w:rPr>
          <w:rFonts w:ascii="Times New Roman" w:hAnsi="Times New Roman" w:cs="Times New Roman"/>
          <w:color w:val="000000" w:themeColor="text1"/>
        </w:rPr>
        <w:t>to find a definition that applied across the board.</w:t>
      </w:r>
      <w:r w:rsidR="001D7814" w:rsidRPr="00A472FC">
        <w:rPr>
          <w:rStyle w:val="FootnoteReference"/>
          <w:rFonts w:ascii="Times New Roman" w:hAnsi="Times New Roman" w:cs="Times New Roman"/>
          <w:color w:val="000000" w:themeColor="text1"/>
        </w:rPr>
        <w:footnoteReference w:id="1104"/>
      </w:r>
      <w:r w:rsidRPr="00A472FC">
        <w:rPr>
          <w:rFonts w:ascii="Times New Roman" w:hAnsi="Times New Roman" w:cs="Times New Roman"/>
          <w:color w:val="000000" w:themeColor="text1"/>
        </w:rPr>
        <w:t xml:space="preserve"> </w:t>
      </w:r>
    </w:p>
    <w:p w14:paraId="04C47460" w14:textId="77777777" w:rsidR="00665333" w:rsidRPr="00A472FC" w:rsidRDefault="00665333" w:rsidP="00881604">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Another key moment in the history of free will theory came with Peter Abelard, who introduced the definition of </w:t>
      </w:r>
      <w:proofErr w:type="spellStart"/>
      <w:r w:rsidRPr="00A472FC">
        <w:rPr>
          <w:rFonts w:ascii="Times New Roman" w:hAnsi="Times New Roman" w:cs="Times New Roman"/>
          <w:color w:val="000000" w:themeColor="text1"/>
        </w:rPr>
        <w:t>Boethius</w:t>
      </w:r>
      <w:proofErr w:type="spellEnd"/>
      <w:r w:rsidRPr="00A472FC">
        <w:rPr>
          <w:rFonts w:ascii="Times New Roman" w:hAnsi="Times New Roman" w:cs="Times New Roman"/>
          <w:color w:val="000000" w:themeColor="text1"/>
        </w:rPr>
        <w:t xml:space="preserve">, or ‘the philosophers’ in his </w:t>
      </w:r>
      <w:proofErr w:type="spellStart"/>
      <w:r w:rsidRPr="00A472FC">
        <w:rPr>
          <w:rFonts w:ascii="Times New Roman" w:hAnsi="Times New Roman" w:cs="Times New Roman"/>
          <w:i/>
          <w:color w:val="000000" w:themeColor="text1"/>
        </w:rPr>
        <w:t>Introductio</w:t>
      </w:r>
      <w:proofErr w:type="spellEnd"/>
      <w:r w:rsidRPr="00A472FC">
        <w:rPr>
          <w:rFonts w:ascii="Times New Roman" w:hAnsi="Times New Roman" w:cs="Times New Roman"/>
          <w:i/>
          <w:color w:val="000000" w:themeColor="text1"/>
        </w:rPr>
        <w:t xml:space="preserve"> ad </w:t>
      </w:r>
      <w:proofErr w:type="spellStart"/>
      <w:r w:rsidRPr="00A472FC">
        <w:rPr>
          <w:rFonts w:ascii="Times New Roman" w:hAnsi="Times New Roman" w:cs="Times New Roman"/>
          <w:i/>
          <w:color w:val="000000" w:themeColor="text1"/>
        </w:rPr>
        <w:t>theologiam</w:t>
      </w:r>
      <w:proofErr w:type="spellEnd"/>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around 1138. This involved the idea of free will as ‘</w:t>
      </w:r>
      <w:proofErr w:type="spellStart"/>
      <w:r w:rsidRPr="00A472FC">
        <w:rPr>
          <w:rFonts w:ascii="Times New Roman" w:hAnsi="Times New Roman" w:cs="Times New Roman"/>
          <w:i/>
          <w:color w:val="000000" w:themeColor="text1"/>
        </w:rPr>
        <w:t>voluntate</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iudicium</w:t>
      </w:r>
      <w:proofErr w:type="spellEnd"/>
      <w:r w:rsidRPr="00A472FC">
        <w:rPr>
          <w:rFonts w:ascii="Times New Roman" w:hAnsi="Times New Roman" w:cs="Times New Roman"/>
          <w:color w:val="000000" w:themeColor="text1"/>
        </w:rPr>
        <w:t>’, or a ‘free judgment concerning the will’ whereby we decide whether or not we will follow an inclination of the will.</w:t>
      </w:r>
      <w:r w:rsidRPr="00A472FC">
        <w:rPr>
          <w:rStyle w:val="FootnoteReference"/>
          <w:rFonts w:ascii="Times New Roman" w:hAnsi="Times New Roman" w:cs="Times New Roman"/>
          <w:color w:val="000000" w:themeColor="text1"/>
        </w:rPr>
        <w:footnoteReference w:id="1105"/>
      </w:r>
      <w:r w:rsidRPr="00A472FC">
        <w:rPr>
          <w:rFonts w:ascii="Times New Roman" w:hAnsi="Times New Roman" w:cs="Times New Roman"/>
          <w:color w:val="000000" w:themeColor="text1"/>
        </w:rPr>
        <w:t xml:space="preserve"> As Lottin notes, the deliberation in question is free, because it is exempt from any necessity. Thus, Abelard upholds the growing consensus that free will is the power to achieve what reason decides without any force or compulsion. That is not to say that free will entails freedom to sin, for sin diminishes freedom. The kind of freedom Abelard has in mind is of a different sort, and pertains to the power to choose between different good alternatives. </w:t>
      </w:r>
    </w:p>
    <w:p w14:paraId="7FB13986" w14:textId="124D9FEB" w:rsidR="00665333" w:rsidRPr="00A472FC" w:rsidRDefault="00665333" w:rsidP="00881604">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 xml:space="preserve">A further advance which Lottin identifies in the twelfth-century history of free will concerns the anonymous </w:t>
      </w:r>
      <w:r w:rsidRPr="00A472FC">
        <w:rPr>
          <w:rFonts w:ascii="Times New Roman" w:hAnsi="Times New Roman" w:cs="Times New Roman"/>
          <w:i/>
          <w:color w:val="000000" w:themeColor="text1"/>
        </w:rPr>
        <w:t xml:space="preserve">Summa </w:t>
      </w:r>
      <w:proofErr w:type="spellStart"/>
      <w:r w:rsidRPr="00A472FC">
        <w:rPr>
          <w:rFonts w:ascii="Times New Roman" w:hAnsi="Times New Roman" w:cs="Times New Roman"/>
          <w:i/>
          <w:color w:val="000000" w:themeColor="text1"/>
        </w:rPr>
        <w:t>Sententiarum</w:t>
      </w:r>
      <w:proofErr w:type="spellEnd"/>
      <w:r w:rsidRPr="00A472FC">
        <w:rPr>
          <w:rFonts w:ascii="Times New Roman" w:hAnsi="Times New Roman" w:cs="Times New Roman"/>
          <w:iCs/>
          <w:color w:val="000000" w:themeColor="text1"/>
        </w:rPr>
        <w:t>, which</w:t>
      </w:r>
      <w:r w:rsidRPr="00A472FC">
        <w:rPr>
          <w:rFonts w:ascii="Times New Roman" w:hAnsi="Times New Roman" w:cs="Times New Roman"/>
          <w:color w:val="000000" w:themeColor="text1"/>
        </w:rPr>
        <w:t xml:space="preserve"> has sometimes been attributed to Hugh of St Victor, but which Lottin assigns to Ot</w:t>
      </w:r>
      <w:r w:rsidR="00AB2757" w:rsidRPr="00A472FC">
        <w:rPr>
          <w:rFonts w:ascii="Times New Roman" w:hAnsi="Times New Roman" w:cs="Times New Roman"/>
          <w:color w:val="000000" w:themeColor="text1"/>
        </w:rPr>
        <w:t>to</w:t>
      </w:r>
      <w:r w:rsidRPr="00A472FC">
        <w:rPr>
          <w:rFonts w:ascii="Times New Roman" w:hAnsi="Times New Roman" w:cs="Times New Roman"/>
          <w:color w:val="000000" w:themeColor="text1"/>
        </w:rPr>
        <w:t xml:space="preserve"> of </w:t>
      </w:r>
      <w:proofErr w:type="spellStart"/>
      <w:r w:rsidRPr="00A472FC">
        <w:rPr>
          <w:rFonts w:ascii="Times New Roman" w:hAnsi="Times New Roman" w:cs="Times New Roman"/>
          <w:color w:val="000000" w:themeColor="text1"/>
        </w:rPr>
        <w:t>Lucca</w:t>
      </w:r>
      <w:proofErr w:type="spellEnd"/>
      <w:r w:rsidRPr="00A472FC">
        <w:rPr>
          <w:rFonts w:ascii="Times New Roman" w:hAnsi="Times New Roman" w:cs="Times New Roman"/>
          <w:color w:val="000000" w:themeColor="text1"/>
        </w:rPr>
        <w:t>, and which has more recently been traced to the school of Gilbert of Poitiers.</w:t>
      </w:r>
      <w:r w:rsidRPr="00A472FC">
        <w:rPr>
          <w:rStyle w:val="FootnoteReference"/>
          <w:rFonts w:ascii="Times New Roman" w:hAnsi="Times New Roman" w:cs="Times New Roman"/>
          <w:color w:val="000000" w:themeColor="text1"/>
        </w:rPr>
        <w:footnoteReference w:id="1106"/>
      </w:r>
      <w:r w:rsidRPr="00A472FC">
        <w:rPr>
          <w:rFonts w:ascii="Times New Roman" w:hAnsi="Times New Roman" w:cs="Times New Roman"/>
          <w:color w:val="000000" w:themeColor="text1"/>
        </w:rPr>
        <w:t xml:space="preserve"> This is the text that would formulate the </w:t>
      </w:r>
      <w:r w:rsidRPr="00A472FC">
        <w:rPr>
          <w:rFonts w:ascii="Times New Roman" w:hAnsi="Times New Roman" w:cs="Times New Roman"/>
          <w:color w:val="000000" w:themeColor="text1"/>
        </w:rPr>
        <w:lastRenderedPageBreak/>
        <w:t>definition of free will as the ability or ‘</w:t>
      </w:r>
      <w:proofErr w:type="spellStart"/>
      <w:r w:rsidRPr="00A472FC">
        <w:rPr>
          <w:rFonts w:ascii="Times New Roman" w:hAnsi="Times New Roman" w:cs="Times New Roman"/>
          <w:i/>
          <w:iCs/>
          <w:color w:val="000000" w:themeColor="text1"/>
        </w:rPr>
        <w:t>facultas</w:t>
      </w:r>
      <w:proofErr w:type="spellEnd"/>
      <w:r w:rsidRPr="00A472FC">
        <w:rPr>
          <w:rFonts w:ascii="Times New Roman" w:hAnsi="Times New Roman" w:cs="Times New Roman"/>
          <w:color w:val="000000" w:themeColor="text1"/>
        </w:rPr>
        <w:t>’ of reason and will to choose the good, if the grace of God assists, and to choose evil, if grace ceases.</w:t>
      </w:r>
      <w:r w:rsidRPr="00A472FC">
        <w:rPr>
          <w:rStyle w:val="FootnoteReference"/>
          <w:rFonts w:ascii="Times New Roman" w:hAnsi="Times New Roman" w:cs="Times New Roman"/>
          <w:color w:val="000000" w:themeColor="text1"/>
        </w:rPr>
        <w:footnoteReference w:id="1107"/>
      </w:r>
      <w:r w:rsidRPr="00A472FC">
        <w:rPr>
          <w:rFonts w:ascii="Times New Roman" w:hAnsi="Times New Roman" w:cs="Times New Roman"/>
          <w:color w:val="000000" w:themeColor="text1"/>
        </w:rPr>
        <w:t xml:space="preserve"> Although the author supports this idea with citations from Bernard, Peter Lombard would later associate it with Augustine.</w:t>
      </w:r>
      <w:r w:rsidRPr="00A472FC">
        <w:rPr>
          <w:rStyle w:val="FootnoteReference"/>
          <w:rFonts w:ascii="Times New Roman" w:hAnsi="Times New Roman" w:cs="Times New Roman"/>
          <w:color w:val="000000" w:themeColor="text1"/>
        </w:rPr>
        <w:footnoteReference w:id="1108"/>
      </w:r>
      <w:r w:rsidRPr="00A472FC">
        <w:rPr>
          <w:rFonts w:ascii="Times New Roman" w:hAnsi="Times New Roman" w:cs="Times New Roman"/>
          <w:color w:val="000000" w:themeColor="text1"/>
        </w:rPr>
        <w:t xml:space="preserve"> </w:t>
      </w:r>
    </w:p>
    <w:p w14:paraId="4CF8C1CA" w14:textId="6B01C822" w:rsidR="00665333" w:rsidRPr="00A472FC" w:rsidRDefault="00665333" w:rsidP="00881604">
      <w:pPr>
        <w:ind w:right="-52" w:firstLine="720"/>
        <w:rPr>
          <w:rFonts w:ascii="Times New Roman" w:hAnsi="Times New Roman" w:cs="Times New Roman"/>
          <w:color w:val="000000" w:themeColor="text1"/>
        </w:rPr>
      </w:pPr>
      <w:r w:rsidRPr="00A472FC">
        <w:rPr>
          <w:rFonts w:ascii="Times New Roman" w:hAnsi="Times New Roman" w:cs="Times New Roman"/>
          <w:color w:val="000000" w:themeColor="text1"/>
        </w:rPr>
        <w:t>The Lombard’s work thus gave rise inadvertently to the subsequent debate on whether free will consists mainly in reason or in the will or even some other faculty that perhaps contains or exceeds those two.</w:t>
      </w:r>
      <w:r w:rsidRPr="00A472FC">
        <w:rPr>
          <w:rStyle w:val="FootnoteReference"/>
          <w:rFonts w:ascii="Times New Roman" w:hAnsi="Times New Roman" w:cs="Times New Roman"/>
          <w:color w:val="000000" w:themeColor="text1"/>
        </w:rPr>
        <w:footnoteReference w:id="1109"/>
      </w:r>
      <w:r w:rsidRPr="00A472FC">
        <w:rPr>
          <w:rFonts w:ascii="Times New Roman" w:hAnsi="Times New Roman" w:cs="Times New Roman"/>
          <w:color w:val="000000" w:themeColor="text1"/>
        </w:rPr>
        <w:t xml:space="preserve"> While Lombard continued to maintain the idea</w:t>
      </w:r>
      <w:r w:rsidR="00E14A26" w:rsidRPr="00A472FC">
        <w:rPr>
          <w:rFonts w:ascii="Times New Roman" w:hAnsi="Times New Roman" w:cs="Times New Roman"/>
          <w:color w:val="000000" w:themeColor="text1"/>
        </w:rPr>
        <w:t>,</w:t>
      </w:r>
      <w:r w:rsidRPr="00A472FC">
        <w:rPr>
          <w:rFonts w:ascii="Times New Roman" w:hAnsi="Times New Roman" w:cs="Times New Roman"/>
          <w:color w:val="000000" w:themeColor="text1"/>
        </w:rPr>
        <w:t xml:space="preserve"> also found in the </w:t>
      </w:r>
      <w:r w:rsidRPr="00A472FC">
        <w:rPr>
          <w:rFonts w:ascii="Times New Roman" w:hAnsi="Times New Roman" w:cs="Times New Roman"/>
          <w:i/>
          <w:color w:val="000000" w:themeColor="text1"/>
        </w:rPr>
        <w:t xml:space="preserve">Summa </w:t>
      </w:r>
      <w:proofErr w:type="spellStart"/>
      <w:r w:rsidRPr="00A472FC">
        <w:rPr>
          <w:rFonts w:ascii="Times New Roman" w:hAnsi="Times New Roman" w:cs="Times New Roman"/>
          <w:i/>
          <w:color w:val="000000" w:themeColor="text1"/>
        </w:rPr>
        <w:t>sententiarum</w:t>
      </w:r>
      <w:proofErr w:type="spellEnd"/>
      <w:r w:rsidR="00E14A26" w:rsidRPr="00A472FC">
        <w:rPr>
          <w:rFonts w:ascii="Times New Roman" w:hAnsi="Times New Roman" w:cs="Times New Roman"/>
          <w:i/>
          <w:color w:val="000000" w:themeColor="text1"/>
        </w:rPr>
        <w:t>,</w:t>
      </w:r>
      <w:r w:rsidRPr="00A472FC">
        <w:rPr>
          <w:rFonts w:ascii="Times New Roman" w:hAnsi="Times New Roman" w:cs="Times New Roman"/>
          <w:i/>
          <w:color w:val="000000" w:themeColor="text1"/>
        </w:rPr>
        <w:t xml:space="preserve"> </w:t>
      </w:r>
      <w:r w:rsidRPr="00A472FC">
        <w:rPr>
          <w:rFonts w:ascii="Times New Roman" w:hAnsi="Times New Roman" w:cs="Times New Roman"/>
          <w:color w:val="000000" w:themeColor="text1"/>
        </w:rPr>
        <w:t>that free will is essentially the power to choose between different alternatives, he and his followers still did not count evil as a legitimate one of those options. This is why God can be said to have free choice in the truest sense of the term.</w:t>
      </w:r>
      <w:r w:rsidRPr="00A472FC">
        <w:rPr>
          <w:rStyle w:val="FootnoteReference"/>
          <w:rFonts w:ascii="Times New Roman" w:hAnsi="Times New Roman" w:cs="Times New Roman"/>
          <w:color w:val="000000" w:themeColor="text1"/>
        </w:rPr>
        <w:footnoteReference w:id="1110"/>
      </w:r>
      <w:r w:rsidRPr="00A472FC">
        <w:rPr>
          <w:rFonts w:ascii="Times New Roman" w:hAnsi="Times New Roman" w:cs="Times New Roman"/>
          <w:color w:val="000000" w:themeColor="text1"/>
        </w:rPr>
        <w:t xml:space="preserve"> For Lombard, free choice is unequivocally freer when one is not able to sin.</w:t>
      </w:r>
      <w:r w:rsidRPr="00A472FC">
        <w:rPr>
          <w:rStyle w:val="FootnoteReference"/>
          <w:rFonts w:ascii="Times New Roman" w:hAnsi="Times New Roman" w:cs="Times New Roman"/>
          <w:color w:val="000000" w:themeColor="text1"/>
        </w:rPr>
        <w:footnoteReference w:id="1111"/>
      </w:r>
    </w:p>
    <w:p w14:paraId="7E2F42D0" w14:textId="5B05C897" w:rsidR="00665333" w:rsidRPr="00A472FC" w:rsidRDefault="00665333" w:rsidP="00881604">
      <w:pPr>
        <w:ind w:right="-52"/>
        <w:rPr>
          <w:rFonts w:ascii="Times New Roman" w:hAnsi="Times New Roman" w:cs="Times New Roman"/>
          <w:color w:val="000000" w:themeColor="text1"/>
        </w:rPr>
      </w:pPr>
      <w:r w:rsidRPr="00A472FC">
        <w:rPr>
          <w:rFonts w:ascii="Times New Roman" w:hAnsi="Times New Roman" w:cs="Times New Roman"/>
          <w:color w:val="000000" w:themeColor="text1"/>
        </w:rPr>
        <w:tab/>
        <w:t xml:space="preserve">The situation changed with </w:t>
      </w:r>
      <w:proofErr w:type="spellStart"/>
      <w:r w:rsidRPr="00A472FC">
        <w:rPr>
          <w:rFonts w:ascii="Times New Roman" w:hAnsi="Times New Roman" w:cs="Times New Roman"/>
          <w:color w:val="000000" w:themeColor="text1"/>
        </w:rPr>
        <w:t>Gandolph</w:t>
      </w:r>
      <w:proofErr w:type="spellEnd"/>
      <w:r w:rsidRPr="00A472FC">
        <w:rPr>
          <w:rFonts w:ascii="Times New Roman" w:hAnsi="Times New Roman" w:cs="Times New Roman"/>
          <w:color w:val="000000" w:themeColor="text1"/>
        </w:rPr>
        <w:t xml:space="preserve"> of Bologna, </w:t>
      </w:r>
      <w:r w:rsidRPr="00A472FC">
        <w:rPr>
          <w:rFonts w:ascii="Times New Roman" w:hAnsi="Times New Roman" w:cs="Times New Roman"/>
          <w:color w:val="000000" w:themeColor="text1"/>
          <w:lang w:val="de-DE"/>
        </w:rPr>
        <w:t>w</w:t>
      </w:r>
      <w:r w:rsidRPr="00A472FC">
        <w:rPr>
          <w:rFonts w:ascii="Times New Roman" w:hAnsi="Times New Roman" w:cs="Times New Roman"/>
          <w:color w:val="000000" w:themeColor="text1"/>
        </w:rPr>
        <w:t xml:space="preserve">ho around 1160-70 argued that free will involves </w:t>
      </w:r>
      <w:r w:rsidR="00E14A26" w:rsidRPr="00A472FC">
        <w:rPr>
          <w:rFonts w:ascii="Times New Roman" w:hAnsi="Times New Roman" w:cs="Times New Roman"/>
          <w:color w:val="000000" w:themeColor="text1"/>
        </w:rPr>
        <w:t xml:space="preserve">a </w:t>
      </w:r>
      <w:r w:rsidRPr="00A472FC">
        <w:rPr>
          <w:rFonts w:ascii="Times New Roman" w:hAnsi="Times New Roman" w:cs="Times New Roman"/>
          <w:color w:val="000000" w:themeColor="text1"/>
        </w:rPr>
        <w:t>choice between good and evil, although Lottin notes that it is difficult to identify the sources of inspiration for this rather unconventional view.</w:t>
      </w:r>
      <w:r w:rsidRPr="00A472FC">
        <w:rPr>
          <w:rStyle w:val="FootnoteReference"/>
          <w:rFonts w:ascii="Times New Roman" w:hAnsi="Times New Roman" w:cs="Times New Roman"/>
          <w:color w:val="000000" w:themeColor="text1"/>
        </w:rPr>
        <w:footnoteReference w:id="1112"/>
      </w:r>
      <w:r w:rsidRPr="00A472FC">
        <w:rPr>
          <w:rFonts w:ascii="Times New Roman" w:hAnsi="Times New Roman" w:cs="Times New Roman"/>
          <w:color w:val="000000" w:themeColor="text1"/>
        </w:rPr>
        <w:t xml:space="preserve"> Simon of </w:t>
      </w:r>
      <w:proofErr w:type="spellStart"/>
      <w:r w:rsidRPr="00A472FC">
        <w:rPr>
          <w:rFonts w:ascii="Times New Roman" w:hAnsi="Times New Roman" w:cs="Times New Roman"/>
          <w:color w:val="000000" w:themeColor="text1"/>
        </w:rPr>
        <w:t>Tournai</w:t>
      </w:r>
      <w:proofErr w:type="spellEnd"/>
      <w:r w:rsidRPr="00A472FC">
        <w:rPr>
          <w:rFonts w:ascii="Times New Roman" w:hAnsi="Times New Roman" w:cs="Times New Roman"/>
          <w:color w:val="000000" w:themeColor="text1"/>
        </w:rPr>
        <w:t>, a follower of the school of Gilbert of Poitiers, further elaborated a case for the idea that there are two different kinds of free will, namely, to do good, and to do evil.</w:t>
      </w:r>
      <w:r w:rsidRPr="00A472FC">
        <w:rPr>
          <w:rStyle w:val="FootnoteReference"/>
          <w:rFonts w:ascii="Times New Roman" w:hAnsi="Times New Roman" w:cs="Times New Roman"/>
          <w:color w:val="000000" w:themeColor="text1"/>
        </w:rPr>
        <w:footnoteReference w:id="1113"/>
      </w:r>
      <w:r w:rsidRPr="00A472FC">
        <w:rPr>
          <w:rFonts w:ascii="Times New Roman" w:hAnsi="Times New Roman" w:cs="Times New Roman"/>
          <w:color w:val="000000" w:themeColor="text1"/>
        </w:rPr>
        <w:t xml:space="preserve"> In some respects, he argued, the freedom to do evil is greater than that to do good, because we need grace to avoid evil. Nevertheless, the natural inclination of reason untainted by sin, and its true and proper end, is to choose the good.</w:t>
      </w:r>
      <w:r w:rsidR="00526550" w:rsidRPr="00A472FC">
        <w:rPr>
          <w:rFonts w:ascii="Times New Roman" w:hAnsi="Times New Roman" w:cs="Times New Roman"/>
          <w:color w:val="000000" w:themeColor="text1"/>
        </w:rPr>
        <w:t xml:space="preserve"> </w:t>
      </w:r>
    </w:p>
    <w:p w14:paraId="0F663318" w14:textId="77777777" w:rsidR="00310708" w:rsidRPr="00A472FC" w:rsidRDefault="00310708" w:rsidP="00881604">
      <w:pPr>
        <w:ind w:right="-52" w:firstLine="720"/>
        <w:rPr>
          <w:rFonts w:ascii="Times New Roman" w:hAnsi="Times New Roman" w:cs="Times New Roman"/>
          <w:color w:val="000000" w:themeColor="text1"/>
        </w:rPr>
      </w:pPr>
    </w:p>
    <w:p w14:paraId="5EC2C961" w14:textId="77777777" w:rsidR="00310708" w:rsidRPr="00A472FC" w:rsidRDefault="00310708" w:rsidP="00310708">
      <w:pPr>
        <w:autoSpaceDE w:val="0"/>
        <w:autoSpaceDN w:val="0"/>
        <w:adjustRightInd w:val="0"/>
        <w:ind w:right="-52"/>
        <w:rPr>
          <w:rFonts w:ascii="Times New Roman" w:hAnsi="Times New Roman" w:cs="Times New Roman"/>
          <w:u w:val="single"/>
        </w:rPr>
      </w:pPr>
      <w:r w:rsidRPr="00A472FC">
        <w:rPr>
          <w:rFonts w:ascii="Times New Roman" w:hAnsi="Times New Roman" w:cs="Times New Roman"/>
          <w:u w:val="single"/>
        </w:rPr>
        <w:t>Early Thirteenth-Century Developments</w:t>
      </w:r>
    </w:p>
    <w:p w14:paraId="30FE1975" w14:textId="77777777" w:rsidR="00310708" w:rsidRPr="00A472FC" w:rsidRDefault="00310708" w:rsidP="00881604">
      <w:pPr>
        <w:ind w:right="-52" w:firstLine="720"/>
        <w:rPr>
          <w:rFonts w:ascii="Times New Roman" w:hAnsi="Times New Roman" w:cs="Times New Roman"/>
          <w:color w:val="000000" w:themeColor="text1"/>
        </w:rPr>
      </w:pPr>
    </w:p>
    <w:p w14:paraId="76231CFF" w14:textId="6354F020" w:rsidR="00665333" w:rsidRPr="00A472FC" w:rsidRDefault="00F45D9A" w:rsidP="00881604">
      <w:pPr>
        <w:ind w:right="-52" w:firstLine="720"/>
        <w:rPr>
          <w:rFonts w:ascii="Times New Roman" w:hAnsi="Times New Roman" w:cs="Times New Roman"/>
        </w:rPr>
      </w:pPr>
      <w:r>
        <w:rPr>
          <w:rFonts w:ascii="Times New Roman" w:hAnsi="Times New Roman" w:cs="Times New Roman"/>
          <w:color w:val="000000" w:themeColor="text1"/>
        </w:rPr>
        <w:t>Although he is considered part of</w:t>
      </w:r>
      <w:r w:rsidR="00665333" w:rsidRPr="00A472FC">
        <w:rPr>
          <w:rFonts w:ascii="Times New Roman" w:hAnsi="Times New Roman" w:cs="Times New Roman"/>
          <w:color w:val="000000" w:themeColor="text1"/>
        </w:rPr>
        <w:t xml:space="preserve"> the </w:t>
      </w:r>
      <w:r>
        <w:rPr>
          <w:rFonts w:ascii="Times New Roman" w:hAnsi="Times New Roman" w:cs="Times New Roman"/>
          <w:color w:val="000000" w:themeColor="text1"/>
        </w:rPr>
        <w:t>school</w:t>
      </w:r>
      <w:r w:rsidR="00665333" w:rsidRPr="00A472FC">
        <w:rPr>
          <w:rFonts w:ascii="Times New Roman" w:hAnsi="Times New Roman" w:cs="Times New Roman"/>
          <w:color w:val="000000" w:themeColor="text1"/>
        </w:rPr>
        <w:t xml:space="preserve"> of Peter Lombard, </w:t>
      </w:r>
      <w:proofErr w:type="spellStart"/>
      <w:r w:rsidR="00665333" w:rsidRPr="00A472FC">
        <w:rPr>
          <w:rFonts w:ascii="Times New Roman" w:hAnsi="Times New Roman" w:cs="Times New Roman"/>
          <w:color w:val="000000" w:themeColor="text1"/>
        </w:rPr>
        <w:t>Praepositinus</w:t>
      </w:r>
      <w:proofErr w:type="spellEnd"/>
      <w:r w:rsidR="00665333" w:rsidRPr="00A472FC">
        <w:rPr>
          <w:rFonts w:ascii="Times New Roman" w:hAnsi="Times New Roman" w:cs="Times New Roman"/>
          <w:color w:val="000000" w:themeColor="text1"/>
        </w:rPr>
        <w:t xml:space="preserve"> of Cremona</w:t>
      </w:r>
      <w:r w:rsidR="008331D5" w:rsidRPr="00A472FC">
        <w:rPr>
          <w:rFonts w:ascii="Times New Roman" w:hAnsi="Times New Roman" w:cs="Times New Roman"/>
          <w:color w:val="000000" w:themeColor="text1"/>
        </w:rPr>
        <w:t>, whose career spanned the late twelfth and early thirteenth centuries,</w:t>
      </w:r>
      <w:r w:rsidR="00585084" w:rsidRPr="00A472FC">
        <w:rPr>
          <w:rFonts w:ascii="Times New Roman" w:hAnsi="Times New Roman" w:cs="Times New Roman"/>
          <w:color w:val="000000" w:themeColor="text1"/>
        </w:rPr>
        <w:t xml:space="preserve"> pushed</w:t>
      </w:r>
      <w:r w:rsidR="00913F2D" w:rsidRPr="00A472FC">
        <w:rPr>
          <w:rFonts w:ascii="Times New Roman" w:hAnsi="Times New Roman" w:cs="Times New Roman"/>
          <w:color w:val="000000" w:themeColor="text1"/>
        </w:rPr>
        <w:t xml:space="preserve"> </w:t>
      </w:r>
      <w:r w:rsidR="00665333" w:rsidRPr="00A472FC">
        <w:rPr>
          <w:rFonts w:ascii="Times New Roman" w:hAnsi="Times New Roman" w:cs="Times New Roman"/>
          <w:color w:val="000000" w:themeColor="text1"/>
        </w:rPr>
        <w:t xml:space="preserve">much further the idea </w:t>
      </w:r>
      <w:r w:rsidR="007B685B">
        <w:rPr>
          <w:rFonts w:ascii="Times New Roman" w:hAnsi="Times New Roman" w:cs="Times New Roman"/>
          <w:color w:val="000000" w:themeColor="text1"/>
        </w:rPr>
        <w:t>that</w:t>
      </w:r>
      <w:r w:rsidR="00665333" w:rsidRPr="00A472FC">
        <w:rPr>
          <w:rFonts w:ascii="Times New Roman" w:hAnsi="Times New Roman" w:cs="Times New Roman"/>
          <w:color w:val="000000" w:themeColor="text1"/>
        </w:rPr>
        <w:t xml:space="preserve"> free will consist</w:t>
      </w:r>
      <w:r w:rsidR="007B685B">
        <w:rPr>
          <w:rFonts w:ascii="Times New Roman" w:hAnsi="Times New Roman" w:cs="Times New Roman"/>
          <w:color w:val="000000" w:themeColor="text1"/>
        </w:rPr>
        <w:t>s</w:t>
      </w:r>
      <w:r w:rsidR="00665333" w:rsidRPr="00A472FC">
        <w:rPr>
          <w:rFonts w:ascii="Times New Roman" w:hAnsi="Times New Roman" w:cs="Times New Roman"/>
          <w:color w:val="000000" w:themeColor="text1"/>
        </w:rPr>
        <w:t xml:space="preserve"> primarily in reason rather than the faculty of both reason and will, as Lombard supposed.</w:t>
      </w:r>
      <w:r w:rsidR="00665333" w:rsidRPr="00A472FC">
        <w:rPr>
          <w:rStyle w:val="FootnoteReference"/>
          <w:rFonts w:ascii="Times New Roman" w:hAnsi="Times New Roman" w:cs="Times New Roman"/>
          <w:color w:val="000000" w:themeColor="text1"/>
        </w:rPr>
        <w:footnoteReference w:id="1114"/>
      </w:r>
      <w:r w:rsidR="00665333" w:rsidRPr="00A472FC">
        <w:rPr>
          <w:rFonts w:ascii="Times New Roman" w:hAnsi="Times New Roman" w:cs="Times New Roman"/>
          <w:color w:val="000000" w:themeColor="text1"/>
        </w:rPr>
        <w:t xml:space="preserve"> On his account, reason plays the </w:t>
      </w:r>
      <w:r w:rsidR="00E14A26" w:rsidRPr="00A472FC">
        <w:rPr>
          <w:rFonts w:ascii="Times New Roman" w:hAnsi="Times New Roman" w:cs="Times New Roman"/>
          <w:color w:val="000000" w:themeColor="text1"/>
        </w:rPr>
        <w:t xml:space="preserve">crucial </w:t>
      </w:r>
      <w:r w:rsidR="00665333" w:rsidRPr="00A472FC">
        <w:rPr>
          <w:rFonts w:ascii="Times New Roman" w:hAnsi="Times New Roman" w:cs="Times New Roman"/>
          <w:color w:val="000000" w:themeColor="text1"/>
        </w:rPr>
        <w:t xml:space="preserve">role of discerning between good and evil; it chooses the good and detests evil. The will simply executes the orders of reason regarding our moral or immoral activities. As we move into the early thirteenth century, </w:t>
      </w:r>
      <w:r w:rsidR="00665333" w:rsidRPr="00A472FC">
        <w:rPr>
          <w:rFonts w:ascii="Times New Roman" w:hAnsi="Times New Roman" w:cs="Times New Roman"/>
        </w:rPr>
        <w:t xml:space="preserve">John </w:t>
      </w:r>
      <w:proofErr w:type="spellStart"/>
      <w:r w:rsidR="00665333" w:rsidRPr="00A472FC">
        <w:rPr>
          <w:rFonts w:ascii="Times New Roman" w:hAnsi="Times New Roman" w:cs="Times New Roman"/>
        </w:rPr>
        <w:t>Blund</w:t>
      </w:r>
      <w:proofErr w:type="spellEnd"/>
      <w:r w:rsidR="00665333" w:rsidRPr="00A472FC">
        <w:rPr>
          <w:rFonts w:ascii="Times New Roman" w:hAnsi="Times New Roman" w:cs="Times New Roman"/>
        </w:rPr>
        <w:t xml:space="preserve"> takes the</w:t>
      </w:r>
      <w:r w:rsidR="00FF1A56" w:rsidRPr="00A472FC">
        <w:rPr>
          <w:rFonts w:ascii="Times New Roman" w:hAnsi="Times New Roman" w:cs="Times New Roman"/>
        </w:rPr>
        <w:t xml:space="preserve"> more</w:t>
      </w:r>
      <w:r w:rsidR="00665333" w:rsidRPr="00A472FC">
        <w:rPr>
          <w:rFonts w:ascii="Times New Roman" w:hAnsi="Times New Roman" w:cs="Times New Roman"/>
        </w:rPr>
        <w:t xml:space="preserve"> traditional line on the nature of free will.</w:t>
      </w:r>
      <w:r w:rsidR="00665333" w:rsidRPr="00A472FC">
        <w:rPr>
          <w:rStyle w:val="FootnoteReference"/>
          <w:rFonts w:ascii="Times New Roman" w:hAnsi="Times New Roman" w:cs="Times New Roman"/>
        </w:rPr>
        <w:footnoteReference w:id="1115"/>
      </w:r>
      <w:r w:rsidR="00665333" w:rsidRPr="00A472FC">
        <w:rPr>
          <w:rFonts w:ascii="Times New Roman" w:hAnsi="Times New Roman" w:cs="Times New Roman"/>
        </w:rPr>
        <w:t xml:space="preserve"> He sees free will as entailing both reason and will, where reason knows what is good and the will chooses it, thus ‘preserving righteousness’ and rejecting its opposite. </w:t>
      </w:r>
    </w:p>
    <w:p w14:paraId="41019CCF" w14:textId="66FD8714" w:rsidR="00F30E05" w:rsidRPr="00A472FC" w:rsidRDefault="00665333" w:rsidP="00310708">
      <w:pPr>
        <w:ind w:right="-52" w:firstLine="720"/>
        <w:rPr>
          <w:rFonts w:ascii="Times New Roman" w:hAnsi="Times New Roman" w:cs="Times New Roman"/>
          <w:color w:val="000000" w:themeColor="text1"/>
        </w:rPr>
      </w:pPr>
      <w:r w:rsidRPr="00A472FC">
        <w:rPr>
          <w:rFonts w:ascii="Times New Roman" w:hAnsi="Times New Roman" w:cs="Times New Roman"/>
        </w:rPr>
        <w:t xml:space="preserve">Although </w:t>
      </w:r>
      <w:r w:rsidR="0080551B" w:rsidRPr="00A472FC">
        <w:rPr>
          <w:rFonts w:ascii="Times New Roman" w:hAnsi="Times New Roman" w:cs="Times New Roman"/>
        </w:rPr>
        <w:t>John does not mention Anselm</w:t>
      </w:r>
      <w:r w:rsidRPr="00A472FC">
        <w:rPr>
          <w:rFonts w:ascii="Times New Roman" w:hAnsi="Times New Roman" w:cs="Times New Roman"/>
        </w:rPr>
        <w:t xml:space="preserve"> by name, </w:t>
      </w:r>
      <w:r w:rsidR="00D868BF" w:rsidRPr="00A472FC">
        <w:rPr>
          <w:rFonts w:ascii="Times New Roman" w:hAnsi="Times New Roman" w:cs="Times New Roman"/>
        </w:rPr>
        <w:t>the latter</w:t>
      </w:r>
      <w:r w:rsidR="0080551B" w:rsidRPr="00A472FC">
        <w:rPr>
          <w:rFonts w:ascii="Times New Roman" w:hAnsi="Times New Roman" w:cs="Times New Roman"/>
        </w:rPr>
        <w:t xml:space="preserve"> </w:t>
      </w:r>
      <w:r w:rsidRPr="00A472FC">
        <w:rPr>
          <w:rFonts w:ascii="Times New Roman" w:hAnsi="Times New Roman" w:cs="Times New Roman"/>
        </w:rPr>
        <w:t xml:space="preserve">is clearly at the background here, as is Augustine, whose spurious definition of free will is quoted, albeit from the </w:t>
      </w:r>
      <w:r w:rsidR="00040053" w:rsidRPr="00A472FC">
        <w:rPr>
          <w:rFonts w:ascii="Times New Roman" w:hAnsi="Times New Roman" w:cs="Times New Roman"/>
          <w:i/>
        </w:rPr>
        <w:t>Sentences</w:t>
      </w:r>
      <w:r w:rsidRPr="00A472FC">
        <w:rPr>
          <w:rFonts w:ascii="Times New Roman" w:hAnsi="Times New Roman" w:cs="Times New Roman"/>
        </w:rPr>
        <w:t>, as ‘a faculty of reason and understanding by which, with the help of grace, the good is chosen, and by which, when grace ceases, evil is chosen.’</w:t>
      </w:r>
      <w:r w:rsidRPr="00A472FC">
        <w:rPr>
          <w:rStyle w:val="FootnoteReference"/>
          <w:rFonts w:ascii="Times New Roman" w:hAnsi="Times New Roman" w:cs="Times New Roman"/>
        </w:rPr>
        <w:footnoteReference w:id="1116"/>
      </w:r>
      <w:r w:rsidRPr="00A472FC">
        <w:rPr>
          <w:rFonts w:ascii="Times New Roman" w:hAnsi="Times New Roman" w:cs="Times New Roman"/>
        </w:rPr>
        <w:t xml:space="preserve"> Augustine’s own wording of this sentiment states that ‘free choice must be acknowledged as the ability we have </w:t>
      </w:r>
      <w:r w:rsidRPr="00A472FC">
        <w:rPr>
          <w:rFonts w:ascii="Times New Roman" w:hAnsi="Times New Roman" w:cs="Times New Roman"/>
        </w:rPr>
        <w:lastRenderedPageBreak/>
        <w:t>to do good and to do evil.’</w:t>
      </w:r>
      <w:r w:rsidRPr="00A472FC">
        <w:rPr>
          <w:rStyle w:val="FootnoteReference"/>
          <w:rFonts w:ascii="Times New Roman" w:hAnsi="Times New Roman" w:cs="Times New Roman"/>
        </w:rPr>
        <w:footnoteReference w:id="1117"/>
      </w:r>
      <w:r w:rsidRPr="00A472FC">
        <w:rPr>
          <w:rFonts w:ascii="Times New Roman" w:hAnsi="Times New Roman" w:cs="Times New Roman"/>
        </w:rPr>
        <w:t xml:space="preserve"> </w:t>
      </w:r>
      <w:proofErr w:type="spellStart"/>
      <w:r w:rsidRPr="00A472FC">
        <w:rPr>
          <w:rFonts w:ascii="Times New Roman" w:hAnsi="Times New Roman" w:cs="Times New Roman"/>
        </w:rPr>
        <w:t>Blund’s</w:t>
      </w:r>
      <w:proofErr w:type="spellEnd"/>
      <w:r w:rsidRPr="00A472FC">
        <w:rPr>
          <w:rFonts w:ascii="Times New Roman" w:hAnsi="Times New Roman" w:cs="Times New Roman"/>
        </w:rPr>
        <w:t xml:space="preserve"> indebtedness to Augustine becomes evident in his emphatic rejection of the notion that it is possible for free will to sin. As he stresses, this would involve slavery to </w:t>
      </w:r>
      <w:r w:rsidR="007A1EE2" w:rsidRPr="00A472FC">
        <w:rPr>
          <w:rFonts w:ascii="Times New Roman" w:hAnsi="Times New Roman" w:cs="Times New Roman"/>
        </w:rPr>
        <w:t>evil</w:t>
      </w:r>
      <w:r w:rsidRPr="00A472FC">
        <w:rPr>
          <w:rFonts w:ascii="Times New Roman" w:hAnsi="Times New Roman" w:cs="Times New Roman"/>
        </w:rPr>
        <w:t xml:space="preserve"> desires, which </w:t>
      </w:r>
      <w:r w:rsidR="00D71C73" w:rsidRPr="00A472FC">
        <w:rPr>
          <w:rFonts w:ascii="Times New Roman" w:hAnsi="Times New Roman" w:cs="Times New Roman"/>
        </w:rPr>
        <w:t>is incompatible with</w:t>
      </w:r>
      <w:r w:rsidRPr="00A472FC">
        <w:rPr>
          <w:rFonts w:ascii="Times New Roman" w:hAnsi="Times New Roman" w:cs="Times New Roman"/>
        </w:rPr>
        <w:t xml:space="preserve"> </w:t>
      </w:r>
      <w:r w:rsidR="00D71C73" w:rsidRPr="00A472FC">
        <w:rPr>
          <w:rFonts w:ascii="Times New Roman" w:hAnsi="Times New Roman" w:cs="Times New Roman"/>
        </w:rPr>
        <w:t>freedom</w:t>
      </w:r>
      <w:r w:rsidRPr="00A472FC">
        <w:rPr>
          <w:rFonts w:ascii="Times New Roman" w:hAnsi="Times New Roman" w:cs="Times New Roman"/>
        </w:rPr>
        <w:t>.</w:t>
      </w:r>
      <w:r w:rsidRPr="00A472FC">
        <w:rPr>
          <w:rStyle w:val="FootnoteReference"/>
          <w:rFonts w:ascii="Times New Roman" w:hAnsi="Times New Roman" w:cs="Times New Roman"/>
        </w:rPr>
        <w:footnoteReference w:id="1118"/>
      </w:r>
    </w:p>
    <w:p w14:paraId="404ADFE0" w14:textId="516051DA" w:rsidR="0051561A" w:rsidRPr="00A472FC" w:rsidRDefault="00665333"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William of </w:t>
      </w:r>
      <w:proofErr w:type="spellStart"/>
      <w:r w:rsidRPr="00A472FC">
        <w:rPr>
          <w:rFonts w:ascii="Times New Roman" w:hAnsi="Times New Roman" w:cs="Times New Roman"/>
        </w:rPr>
        <w:t>Auxerre’s</w:t>
      </w:r>
      <w:proofErr w:type="spellEnd"/>
      <w:r w:rsidRPr="00A472FC">
        <w:rPr>
          <w:rFonts w:ascii="Times New Roman" w:hAnsi="Times New Roman" w:cs="Times New Roman"/>
        </w:rPr>
        <w:t xml:space="preserve"> </w:t>
      </w:r>
      <w:r w:rsidRPr="00A472FC">
        <w:rPr>
          <w:rFonts w:ascii="Times New Roman" w:hAnsi="Times New Roman" w:cs="Times New Roman"/>
          <w:i/>
        </w:rPr>
        <w:t xml:space="preserve">Summa </w:t>
      </w:r>
      <w:proofErr w:type="spellStart"/>
      <w:r w:rsidRPr="00A472FC">
        <w:rPr>
          <w:rFonts w:ascii="Times New Roman" w:hAnsi="Times New Roman" w:cs="Times New Roman"/>
          <w:i/>
        </w:rPr>
        <w:t>aurea</w:t>
      </w:r>
      <w:proofErr w:type="spellEnd"/>
      <w:r w:rsidRPr="00A472FC">
        <w:rPr>
          <w:rFonts w:ascii="Times New Roman" w:hAnsi="Times New Roman" w:cs="Times New Roman"/>
          <w:i/>
        </w:rPr>
        <w:t xml:space="preserve"> </w:t>
      </w:r>
      <w:r w:rsidRPr="00A472FC">
        <w:rPr>
          <w:rFonts w:ascii="Times New Roman" w:hAnsi="Times New Roman" w:cs="Times New Roman"/>
        </w:rPr>
        <w:t>offers one of the first in-depth treatises on free will in the period post-Lombard.</w:t>
      </w:r>
      <w:r w:rsidR="00F30E05" w:rsidRPr="00A472FC">
        <w:rPr>
          <w:rStyle w:val="FootnoteReference"/>
          <w:rFonts w:ascii="Times New Roman" w:hAnsi="Times New Roman" w:cs="Times New Roman"/>
        </w:rPr>
        <w:footnoteReference w:id="1119"/>
      </w:r>
      <w:r w:rsidRPr="00A472FC">
        <w:rPr>
          <w:rFonts w:ascii="Times New Roman" w:hAnsi="Times New Roman" w:cs="Times New Roman"/>
        </w:rPr>
        <w:t xml:space="preserve"> However, the author</w:t>
      </w:r>
      <w:r w:rsidRPr="00A472FC">
        <w:rPr>
          <w:rFonts w:ascii="Times New Roman" w:hAnsi="Times New Roman" w:cs="Times New Roman"/>
          <w:i/>
        </w:rPr>
        <w:t xml:space="preserve"> </w:t>
      </w:r>
      <w:r w:rsidRPr="00A472FC">
        <w:rPr>
          <w:rFonts w:ascii="Times New Roman" w:hAnsi="Times New Roman" w:cs="Times New Roman"/>
        </w:rPr>
        <w:t>proves resistant to departing from the traditional Augustinian line in his account of free will.</w:t>
      </w:r>
      <w:r w:rsidRPr="00A472FC">
        <w:rPr>
          <w:rStyle w:val="FootnoteReference"/>
          <w:rFonts w:ascii="Times New Roman" w:hAnsi="Times New Roman" w:cs="Times New Roman"/>
        </w:rPr>
        <w:footnoteReference w:id="1120"/>
      </w:r>
      <w:r w:rsidRPr="00A472FC">
        <w:rPr>
          <w:rFonts w:ascii="Times New Roman" w:hAnsi="Times New Roman" w:cs="Times New Roman"/>
        </w:rPr>
        <w:t xml:space="preserve"> Like </w:t>
      </w:r>
      <w:proofErr w:type="spellStart"/>
      <w:r w:rsidRPr="00A472FC">
        <w:rPr>
          <w:rFonts w:ascii="Times New Roman" w:hAnsi="Times New Roman" w:cs="Times New Roman"/>
        </w:rPr>
        <w:t>Blund</w:t>
      </w:r>
      <w:proofErr w:type="spellEnd"/>
      <w:r w:rsidRPr="00A472FC">
        <w:rPr>
          <w:rFonts w:ascii="Times New Roman" w:hAnsi="Times New Roman" w:cs="Times New Roman"/>
        </w:rPr>
        <w:t>, he states Augustine’s view as represented by Lombard:</w:t>
      </w:r>
      <w:r w:rsidRPr="00A472FC">
        <w:rPr>
          <w:rStyle w:val="FootnoteReference"/>
          <w:rFonts w:ascii="Times New Roman" w:hAnsi="Times New Roman" w:cs="Times New Roman"/>
        </w:rPr>
        <w:footnoteReference w:id="1121"/>
      </w:r>
      <w:r w:rsidRPr="00A472FC">
        <w:rPr>
          <w:rFonts w:ascii="Times New Roman" w:hAnsi="Times New Roman" w:cs="Times New Roman"/>
        </w:rPr>
        <w:t xml:space="preserve"> ‘free will is the</w:t>
      </w:r>
      <w:r w:rsidR="00A20144" w:rsidRPr="00A472FC">
        <w:rPr>
          <w:rFonts w:ascii="Times New Roman" w:hAnsi="Times New Roman" w:cs="Times New Roman"/>
        </w:rPr>
        <w:t xml:space="preserve"> power of </w:t>
      </w:r>
      <w:r w:rsidRPr="00A472FC">
        <w:rPr>
          <w:rFonts w:ascii="Times New Roman" w:hAnsi="Times New Roman" w:cs="Times New Roman"/>
        </w:rPr>
        <w:t>will and reason by which good is chosen with the assistance of grace and evil when grace is lacking.’</w:t>
      </w:r>
      <w:r w:rsidRPr="00A472FC">
        <w:rPr>
          <w:rStyle w:val="FootnoteReference"/>
          <w:rFonts w:ascii="Times New Roman" w:hAnsi="Times New Roman" w:cs="Times New Roman"/>
        </w:rPr>
        <w:footnoteReference w:id="1122"/>
      </w:r>
      <w:r w:rsidRPr="00A472FC">
        <w:rPr>
          <w:rFonts w:ascii="Times New Roman" w:hAnsi="Times New Roman" w:cs="Times New Roman"/>
        </w:rPr>
        <w:t xml:space="preserve"> In this connection, he expounds on </w:t>
      </w:r>
      <w:proofErr w:type="spellStart"/>
      <w:r w:rsidRPr="00A472FC">
        <w:rPr>
          <w:rFonts w:ascii="Times New Roman" w:hAnsi="Times New Roman" w:cs="Times New Roman"/>
        </w:rPr>
        <w:t>Praepositinus</w:t>
      </w:r>
      <w:proofErr w:type="spellEnd"/>
      <w:r w:rsidRPr="00A472FC">
        <w:rPr>
          <w:rFonts w:ascii="Times New Roman" w:hAnsi="Times New Roman" w:cs="Times New Roman"/>
        </w:rPr>
        <w:t xml:space="preserve">’ argument that free will consists primarily in reason—which he now perhaps under Aristotle’s </w:t>
      </w:r>
      <w:r w:rsidR="00B93C48" w:rsidRPr="00A472FC">
        <w:rPr>
          <w:rFonts w:ascii="Times New Roman" w:hAnsi="Times New Roman" w:cs="Times New Roman"/>
        </w:rPr>
        <w:t>incip</w:t>
      </w:r>
      <w:r w:rsidR="00E35D41" w:rsidRPr="00A472FC">
        <w:rPr>
          <w:rFonts w:ascii="Times New Roman" w:hAnsi="Times New Roman" w:cs="Times New Roman"/>
        </w:rPr>
        <w:t>i</w:t>
      </w:r>
      <w:r w:rsidR="00B93C48" w:rsidRPr="00A472FC">
        <w:rPr>
          <w:rFonts w:ascii="Times New Roman" w:hAnsi="Times New Roman" w:cs="Times New Roman"/>
        </w:rPr>
        <w:t xml:space="preserve">ent </w:t>
      </w:r>
      <w:r w:rsidRPr="00A472FC">
        <w:rPr>
          <w:rFonts w:ascii="Times New Roman" w:hAnsi="Times New Roman" w:cs="Times New Roman"/>
        </w:rPr>
        <w:t>influence refers to specifically as ‘practical reason’. He makes his case by distinguishing between two levels of judgment, the first of which discriminates between two options and the second of which elects one over the other.</w:t>
      </w:r>
      <w:r w:rsidRPr="00A472FC">
        <w:rPr>
          <w:rStyle w:val="FootnoteReference"/>
          <w:rFonts w:ascii="Times New Roman" w:hAnsi="Times New Roman" w:cs="Times New Roman"/>
        </w:rPr>
        <w:footnoteReference w:id="1123"/>
      </w:r>
      <w:r w:rsidRPr="00A472FC">
        <w:rPr>
          <w:rFonts w:ascii="Times New Roman" w:hAnsi="Times New Roman" w:cs="Times New Roman"/>
        </w:rPr>
        <w:t xml:space="preserve"> </w:t>
      </w:r>
    </w:p>
    <w:p w14:paraId="4599245B" w14:textId="3A9E08DB" w:rsidR="00665333" w:rsidRPr="00A472FC" w:rsidRDefault="00665333" w:rsidP="00F26A75">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The </w:t>
      </w:r>
      <w:r w:rsidR="00FF0C7F" w:rsidRPr="00A472FC">
        <w:rPr>
          <w:rFonts w:ascii="Times New Roman" w:hAnsi="Times New Roman" w:cs="Times New Roman"/>
        </w:rPr>
        <w:t>latter</w:t>
      </w:r>
      <w:r w:rsidRPr="00A472FC">
        <w:rPr>
          <w:rFonts w:ascii="Times New Roman" w:hAnsi="Times New Roman" w:cs="Times New Roman"/>
        </w:rPr>
        <w:t xml:space="preserve"> is the proper act of free will and the locus of merit. For William, </w:t>
      </w:r>
      <w:r w:rsidR="0051561A" w:rsidRPr="00A472FC">
        <w:rPr>
          <w:rFonts w:ascii="Times New Roman" w:hAnsi="Times New Roman" w:cs="Times New Roman"/>
        </w:rPr>
        <w:t xml:space="preserve">consequently, </w:t>
      </w:r>
      <w:r w:rsidRPr="00A472FC">
        <w:rPr>
          <w:rFonts w:ascii="Times New Roman" w:hAnsi="Times New Roman" w:cs="Times New Roman"/>
        </w:rPr>
        <w:t>there is</w:t>
      </w:r>
      <w:r w:rsidR="00852C68" w:rsidRPr="00A472FC">
        <w:rPr>
          <w:rFonts w:ascii="Times New Roman" w:hAnsi="Times New Roman" w:cs="Times New Roman"/>
        </w:rPr>
        <w:t>,</w:t>
      </w:r>
      <w:r w:rsidRPr="00A472FC">
        <w:rPr>
          <w:rFonts w:ascii="Times New Roman" w:hAnsi="Times New Roman" w:cs="Times New Roman"/>
        </w:rPr>
        <w:t xml:space="preserve"> as Augustine said</w:t>
      </w:r>
      <w:r w:rsidR="00852C68" w:rsidRPr="00A472FC">
        <w:rPr>
          <w:rFonts w:ascii="Times New Roman" w:hAnsi="Times New Roman" w:cs="Times New Roman"/>
        </w:rPr>
        <w:t>,</w:t>
      </w:r>
      <w:r w:rsidRPr="00A472FC">
        <w:rPr>
          <w:rFonts w:ascii="Times New Roman" w:hAnsi="Times New Roman" w:cs="Times New Roman"/>
        </w:rPr>
        <w:t xml:space="preserve"> a place for the will proper as well as reason within free will</w:t>
      </w:r>
      <w:r w:rsidR="005519F6" w:rsidRPr="00A472FC">
        <w:rPr>
          <w:rFonts w:ascii="Times New Roman" w:hAnsi="Times New Roman" w:cs="Times New Roman"/>
        </w:rPr>
        <w:t>. This</w:t>
      </w:r>
      <w:r w:rsidRPr="00A472FC">
        <w:rPr>
          <w:rFonts w:ascii="Times New Roman" w:hAnsi="Times New Roman" w:cs="Times New Roman"/>
        </w:rPr>
        <w:t xml:space="preserve"> can therefore be said to include both</w:t>
      </w:r>
      <w:r w:rsidR="005519F6" w:rsidRPr="00A472FC">
        <w:rPr>
          <w:rFonts w:ascii="Times New Roman" w:hAnsi="Times New Roman" w:cs="Times New Roman"/>
        </w:rPr>
        <w:t xml:space="preserve">, </w:t>
      </w:r>
      <w:r w:rsidR="00F26A75" w:rsidRPr="00A472FC">
        <w:rPr>
          <w:rFonts w:ascii="Times New Roman" w:hAnsi="Times New Roman" w:cs="Times New Roman"/>
        </w:rPr>
        <w:t>yet</w:t>
      </w:r>
      <w:r w:rsidRPr="00A472FC">
        <w:rPr>
          <w:rFonts w:ascii="Times New Roman" w:hAnsi="Times New Roman" w:cs="Times New Roman"/>
        </w:rPr>
        <w:t xml:space="preserve"> only insofar as the will is part of reason’s second act.</w:t>
      </w:r>
      <w:r w:rsidRPr="00A472FC">
        <w:rPr>
          <w:rStyle w:val="FootnoteReference"/>
          <w:rFonts w:ascii="Times New Roman" w:hAnsi="Times New Roman" w:cs="Times New Roman"/>
        </w:rPr>
        <w:footnoteReference w:id="1124"/>
      </w:r>
      <w:r w:rsidRPr="00A472FC">
        <w:rPr>
          <w:rFonts w:ascii="Times New Roman" w:hAnsi="Times New Roman" w:cs="Times New Roman"/>
        </w:rPr>
        <w:t xml:space="preserve"> In addition to this, William insists that free will is more related to good than evil, citing Augustine’s </w:t>
      </w:r>
      <w:r w:rsidRPr="00A472FC">
        <w:rPr>
          <w:rFonts w:ascii="Times New Roman" w:hAnsi="Times New Roman" w:cs="Times New Roman"/>
          <w:i/>
        </w:rPr>
        <w:t xml:space="preserve">De </w:t>
      </w:r>
      <w:proofErr w:type="spellStart"/>
      <w:r w:rsidRPr="00A472FC">
        <w:rPr>
          <w:rFonts w:ascii="Times New Roman" w:hAnsi="Times New Roman" w:cs="Times New Roman"/>
          <w:i/>
        </w:rPr>
        <w:t>civitate</w:t>
      </w:r>
      <w:proofErr w:type="spellEnd"/>
      <w:r w:rsidRPr="00A472FC">
        <w:rPr>
          <w:rFonts w:ascii="Times New Roman" w:hAnsi="Times New Roman" w:cs="Times New Roman"/>
          <w:i/>
        </w:rPr>
        <w:t xml:space="preserve"> Dei </w:t>
      </w:r>
      <w:r w:rsidRPr="00A472FC">
        <w:rPr>
          <w:rFonts w:ascii="Times New Roman" w:hAnsi="Times New Roman" w:cs="Times New Roman"/>
        </w:rPr>
        <w:t xml:space="preserve">XII.7, </w:t>
      </w:r>
      <w:r w:rsidR="00D4047C" w:rsidRPr="00A472FC">
        <w:rPr>
          <w:rFonts w:ascii="Times New Roman" w:hAnsi="Times New Roman" w:cs="Times New Roman"/>
        </w:rPr>
        <w:t>which</w:t>
      </w:r>
      <w:r w:rsidRPr="00A472FC">
        <w:rPr>
          <w:rFonts w:ascii="Times New Roman" w:hAnsi="Times New Roman" w:cs="Times New Roman"/>
        </w:rPr>
        <w:t xml:space="preserve"> states that ‘</w:t>
      </w:r>
      <w:r w:rsidR="00D62BD1" w:rsidRPr="00A472FC">
        <w:rPr>
          <w:rFonts w:ascii="Times New Roman" w:hAnsi="Times New Roman" w:cs="Times New Roman"/>
        </w:rPr>
        <w:t>the cause of evil is not</w:t>
      </w:r>
      <w:r w:rsidRPr="00A472FC">
        <w:rPr>
          <w:rFonts w:ascii="Times New Roman" w:hAnsi="Times New Roman" w:cs="Times New Roman"/>
        </w:rPr>
        <w:t xml:space="preserve"> efficient but deficient.’</w:t>
      </w:r>
      <w:r w:rsidRPr="00A472FC">
        <w:rPr>
          <w:rStyle w:val="FootnoteReference"/>
          <w:rFonts w:ascii="Times New Roman" w:hAnsi="Times New Roman" w:cs="Times New Roman"/>
        </w:rPr>
        <w:footnoteReference w:id="1125"/>
      </w:r>
      <w:r w:rsidRPr="00A472FC">
        <w:rPr>
          <w:rFonts w:ascii="Times New Roman" w:hAnsi="Times New Roman" w:cs="Times New Roman"/>
        </w:rPr>
        <w:t xml:space="preserve"> Later on, he reiterates this view, and its association with Augustine, quoting the latter’s </w:t>
      </w:r>
      <w:r w:rsidRPr="00A472FC">
        <w:rPr>
          <w:rFonts w:ascii="Times New Roman" w:hAnsi="Times New Roman" w:cs="Times New Roman"/>
          <w:i/>
        </w:rPr>
        <w:t xml:space="preserve">De </w:t>
      </w:r>
      <w:proofErr w:type="spellStart"/>
      <w:r w:rsidRPr="00A472FC">
        <w:rPr>
          <w:rFonts w:ascii="Times New Roman" w:hAnsi="Times New Roman" w:cs="Times New Roman"/>
          <w:i/>
        </w:rPr>
        <w:t>libero</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arbitrio</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II.19.53, which states that ‘the ability to sin is not an ability’ strictly speaking, for precisely the reason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already mentioned, namely, that it limits the scope of free will rather than facilitates it.</w:t>
      </w:r>
      <w:r w:rsidRPr="00A472FC">
        <w:rPr>
          <w:rStyle w:val="FootnoteReference"/>
          <w:rFonts w:ascii="Times New Roman" w:hAnsi="Times New Roman" w:cs="Times New Roman"/>
        </w:rPr>
        <w:footnoteReference w:id="1126"/>
      </w:r>
      <w:r w:rsidRPr="00A472FC">
        <w:rPr>
          <w:rFonts w:ascii="Times New Roman" w:hAnsi="Times New Roman" w:cs="Times New Roman"/>
        </w:rPr>
        <w:t xml:space="preserve"> </w:t>
      </w:r>
    </w:p>
    <w:p w14:paraId="1F149BD7" w14:textId="0A33099F" w:rsidR="00665333" w:rsidRPr="00A472FC" w:rsidRDefault="00665333"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In summary, for William, free will is the power of choosing to do what </w:t>
      </w:r>
      <w:proofErr w:type="spellStart"/>
      <w:r w:rsidRPr="00A472FC">
        <w:rPr>
          <w:rFonts w:ascii="Times New Roman" w:hAnsi="Times New Roman" w:cs="Times New Roman"/>
          <w:i/>
          <w:iCs/>
        </w:rPr>
        <w:t>synderesis</w:t>
      </w:r>
      <w:proofErr w:type="spellEnd"/>
      <w:r w:rsidRPr="00A472FC">
        <w:rPr>
          <w:rFonts w:ascii="Times New Roman" w:hAnsi="Times New Roman" w:cs="Times New Roman"/>
        </w:rPr>
        <w:t xml:space="preserve"> dictates.</w:t>
      </w:r>
      <w:r w:rsidRPr="00A472FC">
        <w:rPr>
          <w:rStyle w:val="FootnoteReference"/>
          <w:rFonts w:ascii="Times New Roman" w:hAnsi="Times New Roman" w:cs="Times New Roman"/>
        </w:rPr>
        <w:footnoteReference w:customMarkFollows="1" w:id="1127"/>
        <w:t>2</w:t>
      </w:r>
      <w:r w:rsidRPr="00A472FC">
        <w:rPr>
          <w:rFonts w:ascii="Times New Roman" w:hAnsi="Times New Roman" w:cs="Times New Roman"/>
        </w:rPr>
        <w:t xml:space="preserve"> As has been noted, </w:t>
      </w:r>
      <w:proofErr w:type="spellStart"/>
      <w:r w:rsidRPr="00A472FC">
        <w:rPr>
          <w:rFonts w:ascii="Times New Roman" w:hAnsi="Times New Roman" w:cs="Times New Roman"/>
          <w:i/>
          <w:iCs/>
        </w:rPr>
        <w:t>synderesis</w:t>
      </w:r>
      <w:proofErr w:type="spellEnd"/>
      <w:r w:rsidRPr="00A472FC">
        <w:rPr>
          <w:rFonts w:ascii="Times New Roman" w:hAnsi="Times New Roman" w:cs="Times New Roman"/>
        </w:rPr>
        <w:t xml:space="preserve"> or right reason, also described by some as natural law, was a term derived from the writings of Jerome and first given an extended treatment by </w:t>
      </w:r>
      <w:proofErr w:type="spellStart"/>
      <w:r w:rsidRPr="00A472FC">
        <w:rPr>
          <w:rFonts w:ascii="Times New Roman" w:hAnsi="Times New Roman" w:cs="Times New Roman"/>
        </w:rPr>
        <w:t>Auxerre</w:t>
      </w:r>
      <w:proofErr w:type="spellEnd"/>
      <w:r w:rsidRPr="00A472FC">
        <w:rPr>
          <w:rFonts w:ascii="Times New Roman" w:hAnsi="Times New Roman" w:cs="Times New Roman"/>
        </w:rPr>
        <w:t xml:space="preserve">, after which it became a standard topic in the schools. The proper motion of free will is to choose to do or not to do one thing over another—but its options must always be consistent with what </w:t>
      </w:r>
      <w:proofErr w:type="spellStart"/>
      <w:r w:rsidRPr="00A472FC">
        <w:rPr>
          <w:rFonts w:ascii="Times New Roman" w:hAnsi="Times New Roman" w:cs="Times New Roman"/>
          <w:i/>
          <w:iCs/>
        </w:rPr>
        <w:t>synderesis</w:t>
      </w:r>
      <w:proofErr w:type="spellEnd"/>
      <w:r w:rsidRPr="00A472FC">
        <w:rPr>
          <w:rFonts w:ascii="Times New Roman" w:hAnsi="Times New Roman" w:cs="Times New Roman"/>
        </w:rPr>
        <w:t xml:space="preserve"> would require.</w:t>
      </w:r>
      <w:r w:rsidRPr="00A472FC">
        <w:rPr>
          <w:rStyle w:val="FootnoteReference"/>
          <w:rFonts w:ascii="Times New Roman" w:hAnsi="Times New Roman" w:cs="Times New Roman"/>
        </w:rPr>
        <w:footnoteReference w:id="1128"/>
      </w:r>
    </w:p>
    <w:p w14:paraId="74AB4658" w14:textId="109D5584" w:rsidR="00665333" w:rsidRPr="00A472FC" w:rsidRDefault="00665333"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lastRenderedPageBreak/>
        <w:t>As Saccenti observes, Philip the Chancellor represents a new phase in work on free will.</w:t>
      </w:r>
      <w:r w:rsidR="00AE4915" w:rsidRPr="00A472FC">
        <w:rPr>
          <w:rStyle w:val="FootnoteReference"/>
          <w:rFonts w:ascii="Times New Roman" w:hAnsi="Times New Roman" w:cs="Times New Roman"/>
        </w:rPr>
        <w:footnoteReference w:id="1129"/>
      </w:r>
      <w:r w:rsidRPr="00A472FC">
        <w:rPr>
          <w:rFonts w:ascii="Times New Roman" w:hAnsi="Times New Roman" w:cs="Times New Roman"/>
        </w:rPr>
        <w:t xml:space="preserve"> This is not only because his account of free will takes up more space in his section on human nature than all other topics combined: around 75 pages of an approximately 150-page text.</w:t>
      </w:r>
      <w:r w:rsidRPr="00A472FC">
        <w:rPr>
          <w:rStyle w:val="FootnoteReference"/>
          <w:rFonts w:ascii="Times New Roman" w:hAnsi="Times New Roman" w:cs="Times New Roman"/>
        </w:rPr>
        <w:footnoteReference w:id="1130"/>
      </w:r>
      <w:r w:rsidRPr="00A472FC">
        <w:rPr>
          <w:rFonts w:ascii="Times New Roman" w:hAnsi="Times New Roman" w:cs="Times New Roman"/>
        </w:rPr>
        <w:t xml:space="preserve"> Nor is it simply because he introduces the </w:t>
      </w:r>
      <w:proofErr w:type="spellStart"/>
      <w:r w:rsidRPr="00A472FC">
        <w:rPr>
          <w:rFonts w:ascii="Times New Roman" w:hAnsi="Times New Roman" w:cs="Times New Roman"/>
          <w:i/>
        </w:rPr>
        <w:t>thelesis</w:t>
      </w:r>
      <w:proofErr w:type="spellEnd"/>
      <w:r w:rsidRPr="00A472FC">
        <w:rPr>
          <w:rFonts w:ascii="Times New Roman" w:hAnsi="Times New Roman" w:cs="Times New Roman"/>
          <w:i/>
        </w:rPr>
        <w:t>/</w:t>
      </w:r>
      <w:proofErr w:type="spellStart"/>
      <w:r w:rsidRPr="00A472FC">
        <w:rPr>
          <w:rFonts w:ascii="Times New Roman" w:hAnsi="Times New Roman" w:cs="Times New Roman"/>
          <w:i/>
        </w:rPr>
        <w:t>b</w:t>
      </w:r>
      <w:r w:rsidR="00C4375E" w:rsidRPr="00A472FC">
        <w:rPr>
          <w:rFonts w:ascii="Times New Roman" w:hAnsi="Times New Roman" w:cs="Times New Roman"/>
          <w:i/>
        </w:rPr>
        <w:t>o</w:t>
      </w:r>
      <w:r w:rsidRPr="00A472FC">
        <w:rPr>
          <w:rFonts w:ascii="Times New Roman" w:hAnsi="Times New Roman" w:cs="Times New Roman"/>
          <w:i/>
        </w:rPr>
        <w:t>ulesis</w:t>
      </w:r>
      <w:proofErr w:type="spellEnd"/>
      <w:r w:rsidRPr="00A472FC">
        <w:rPr>
          <w:rFonts w:ascii="Times New Roman" w:hAnsi="Times New Roman" w:cs="Times New Roman"/>
        </w:rPr>
        <w:t xml:space="preserve"> distinction as well as the distinction between cognitive and motive powers which are found in John of Damascus and would later be more or less adopted in the same way by John of La Rochelle.</w:t>
      </w:r>
      <w:r w:rsidRPr="00A472FC">
        <w:rPr>
          <w:rStyle w:val="FootnoteReference"/>
          <w:rFonts w:ascii="Times New Roman" w:hAnsi="Times New Roman" w:cs="Times New Roman"/>
        </w:rPr>
        <w:footnoteReference w:id="1131"/>
      </w:r>
      <w:r w:rsidRPr="00A472FC">
        <w:rPr>
          <w:rFonts w:ascii="Times New Roman" w:hAnsi="Times New Roman" w:cs="Times New Roman"/>
        </w:rPr>
        <w:t xml:space="preserve"> Although Philip is indebted to the main sources—Augustine, Anselm, and Bernard</w:t>
      </w:r>
      <w:r w:rsidRPr="00A472FC">
        <w:rPr>
          <w:rStyle w:val="FootnoteReference"/>
          <w:rFonts w:ascii="Times New Roman" w:hAnsi="Times New Roman" w:cs="Times New Roman"/>
        </w:rPr>
        <w:footnoteReference w:id="1132"/>
      </w:r>
      <w:r w:rsidRPr="00A472FC">
        <w:rPr>
          <w:rFonts w:ascii="Times New Roman" w:hAnsi="Times New Roman" w:cs="Times New Roman"/>
        </w:rPr>
        <w:t xml:space="preserve">—that also feature in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rPr>
        <w:t>, he breaks from his predecessors to argue that free will is identical with the will rather than reason. In his opinion, it is the will rather than reason that possesses the power to act or not to act and thus to acquire or lose merit.</w:t>
      </w:r>
      <w:r w:rsidRPr="00A472FC">
        <w:rPr>
          <w:rStyle w:val="FootnoteReference"/>
          <w:rFonts w:ascii="Times New Roman" w:hAnsi="Times New Roman" w:cs="Times New Roman"/>
        </w:rPr>
        <w:footnoteReference w:id="1133"/>
      </w:r>
      <w:r w:rsidRPr="00A472FC">
        <w:rPr>
          <w:rFonts w:ascii="Times New Roman" w:hAnsi="Times New Roman" w:cs="Times New Roman"/>
        </w:rPr>
        <w:t xml:space="preserve"> </w:t>
      </w:r>
    </w:p>
    <w:p w14:paraId="69B6837F" w14:textId="2F7F57BC" w:rsidR="00665333" w:rsidRPr="00A472FC" w:rsidRDefault="00F851EE"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While</w:t>
      </w:r>
      <w:r w:rsidR="00665333" w:rsidRPr="00A472FC">
        <w:rPr>
          <w:rFonts w:ascii="Times New Roman" w:hAnsi="Times New Roman" w:cs="Times New Roman"/>
        </w:rPr>
        <w:t xml:space="preserve"> Philip</w:t>
      </w:r>
      <w:r w:rsidRPr="00A472FC">
        <w:rPr>
          <w:rFonts w:ascii="Times New Roman" w:hAnsi="Times New Roman" w:cs="Times New Roman"/>
        </w:rPr>
        <w:t xml:space="preserve"> by no means denies that</w:t>
      </w:r>
      <w:r w:rsidR="00665333" w:rsidRPr="00A472FC">
        <w:rPr>
          <w:rFonts w:ascii="Times New Roman" w:hAnsi="Times New Roman" w:cs="Times New Roman"/>
        </w:rPr>
        <w:t xml:space="preserve"> reason has </w:t>
      </w:r>
      <w:r w:rsidR="00B548DB" w:rsidRPr="00A472FC">
        <w:rPr>
          <w:rFonts w:ascii="Times New Roman" w:hAnsi="Times New Roman" w:cs="Times New Roman"/>
        </w:rPr>
        <w:t>a</w:t>
      </w:r>
      <w:r w:rsidR="00665333" w:rsidRPr="00A472FC">
        <w:rPr>
          <w:rFonts w:ascii="Times New Roman" w:hAnsi="Times New Roman" w:cs="Times New Roman"/>
        </w:rPr>
        <w:t xml:space="preserve"> role to play in </w:t>
      </w:r>
      <w:r w:rsidRPr="00A472FC">
        <w:rPr>
          <w:rFonts w:ascii="Times New Roman" w:hAnsi="Times New Roman" w:cs="Times New Roman"/>
        </w:rPr>
        <w:t xml:space="preserve">the work of </w:t>
      </w:r>
      <w:r w:rsidR="00665333" w:rsidRPr="00A472FC">
        <w:rPr>
          <w:rFonts w:ascii="Times New Roman" w:hAnsi="Times New Roman" w:cs="Times New Roman"/>
        </w:rPr>
        <w:t>free will</w:t>
      </w:r>
      <w:r w:rsidRPr="00A472FC">
        <w:rPr>
          <w:rFonts w:ascii="Times New Roman" w:hAnsi="Times New Roman" w:cs="Times New Roman"/>
        </w:rPr>
        <w:t xml:space="preserve">, he does not attribute it the primacy it once had in this context. </w:t>
      </w:r>
      <w:r w:rsidR="00665333" w:rsidRPr="00A472FC">
        <w:rPr>
          <w:rFonts w:ascii="Times New Roman" w:hAnsi="Times New Roman" w:cs="Times New Roman"/>
        </w:rPr>
        <w:t>According to Philip, free choice is ultimately the power to do what one wills, that is, the power of self-determination. As Lottin explains, however, this power for Philip does not include that of doing evil, which diminishes freedom.</w:t>
      </w:r>
      <w:r w:rsidR="00665333" w:rsidRPr="00A472FC">
        <w:rPr>
          <w:rStyle w:val="FootnoteReference"/>
          <w:rFonts w:ascii="Times New Roman" w:hAnsi="Times New Roman" w:cs="Times New Roman"/>
          <w:color w:val="000000" w:themeColor="text1"/>
        </w:rPr>
        <w:footnoteReference w:id="1134"/>
      </w:r>
      <w:r w:rsidR="00665333" w:rsidRPr="00A472FC">
        <w:rPr>
          <w:rFonts w:ascii="Times New Roman" w:hAnsi="Times New Roman" w:cs="Times New Roman"/>
        </w:rPr>
        <w:t xml:space="preserve"> Although Philip in that sense adheres to Anselm’s definition of free will, he acknowledges that it is not adequate to explaining how those who do evil can have free will. To address this problem, he argues that the power of preserving the rectitude of which Anselm speaks remains even in the person who fails to use it.</w:t>
      </w:r>
      <w:r w:rsidR="00665333" w:rsidRPr="00A472FC">
        <w:rPr>
          <w:rStyle w:val="FootnoteReference"/>
          <w:rFonts w:ascii="Times New Roman" w:hAnsi="Times New Roman" w:cs="Times New Roman"/>
        </w:rPr>
        <w:footnoteReference w:id="1135"/>
      </w:r>
      <w:r w:rsidR="00665333" w:rsidRPr="00A472FC">
        <w:rPr>
          <w:rFonts w:ascii="Times New Roman" w:hAnsi="Times New Roman" w:cs="Times New Roman"/>
        </w:rPr>
        <w:t xml:space="preserve"> </w:t>
      </w:r>
    </w:p>
    <w:p w14:paraId="19DF7DC6" w14:textId="124F8342" w:rsidR="00665333" w:rsidRPr="00A472FC" w:rsidRDefault="00665333"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By contrast to Philip, Hugh of St Cher takes a more ‘intellectualist’ line on free will. He acknowledges that some see free will as reason, others as will, others as a composite of these two, adding that </w:t>
      </w:r>
      <w:r w:rsidR="00BA5D28" w:rsidRPr="00A472FC">
        <w:rPr>
          <w:rFonts w:ascii="Times New Roman" w:hAnsi="Times New Roman" w:cs="Times New Roman"/>
        </w:rPr>
        <w:t xml:space="preserve">still </w:t>
      </w:r>
      <w:r w:rsidRPr="00A472FC">
        <w:rPr>
          <w:rFonts w:ascii="Times New Roman" w:hAnsi="Times New Roman" w:cs="Times New Roman"/>
        </w:rPr>
        <w:t>others, presumably Godfrey of Poitiers, regard it as something over and above reason and will.</w:t>
      </w:r>
      <w:r w:rsidRPr="00A472FC">
        <w:rPr>
          <w:rStyle w:val="FootnoteReference"/>
          <w:rFonts w:ascii="Times New Roman" w:hAnsi="Times New Roman" w:cs="Times New Roman"/>
        </w:rPr>
        <w:footnoteReference w:id="1136"/>
      </w:r>
      <w:r w:rsidRPr="00A472FC">
        <w:rPr>
          <w:rFonts w:ascii="Times New Roman" w:hAnsi="Times New Roman" w:cs="Times New Roman"/>
        </w:rPr>
        <w:t xml:space="preserve"> Nevertheless, he refuses to accept that there is any faculty in the person that is superior to reason, which has the power to determine how to act, </w:t>
      </w:r>
      <w:r w:rsidR="00085D82" w:rsidRPr="00A472FC">
        <w:rPr>
          <w:rFonts w:ascii="Times New Roman" w:hAnsi="Times New Roman" w:cs="Times New Roman"/>
        </w:rPr>
        <w:t>which</w:t>
      </w:r>
      <w:r w:rsidRPr="00A472FC">
        <w:rPr>
          <w:rFonts w:ascii="Times New Roman" w:hAnsi="Times New Roman" w:cs="Times New Roman"/>
        </w:rPr>
        <w:t xml:space="preserve"> determination that is executed by free will. In this regard, as Lottin notes, he is visibly influenced firstly by William of </w:t>
      </w:r>
      <w:proofErr w:type="spellStart"/>
      <w:r w:rsidRPr="00A472FC">
        <w:rPr>
          <w:rFonts w:ascii="Times New Roman" w:hAnsi="Times New Roman" w:cs="Times New Roman"/>
        </w:rPr>
        <w:t>Auxerre</w:t>
      </w:r>
      <w:proofErr w:type="spellEnd"/>
      <w:r w:rsidRPr="00A472FC">
        <w:rPr>
          <w:rFonts w:ascii="Times New Roman" w:hAnsi="Times New Roman" w:cs="Times New Roman"/>
        </w:rPr>
        <w:t>, whose work, we have learned, he often reiterates while sometimes making additions or changes to William’s solutions.</w:t>
      </w:r>
      <w:r w:rsidRPr="00A472FC">
        <w:rPr>
          <w:rStyle w:val="FootnoteReference"/>
          <w:rFonts w:ascii="Times New Roman" w:hAnsi="Times New Roman" w:cs="Times New Roman"/>
        </w:rPr>
        <w:footnoteReference w:id="1137"/>
      </w:r>
      <w:r w:rsidRPr="00A472FC">
        <w:rPr>
          <w:rFonts w:ascii="Times New Roman" w:hAnsi="Times New Roman" w:cs="Times New Roman"/>
        </w:rPr>
        <w:t xml:space="preserve"> </w:t>
      </w:r>
    </w:p>
    <w:p w14:paraId="5C558F62" w14:textId="0E4AF4B7" w:rsidR="0004100B" w:rsidRPr="00A472FC" w:rsidRDefault="00665333"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Elsewhere, Hugh acknowledges that free will can be defined as flexible to do whatever it wants</w:t>
      </w:r>
      <w:r w:rsidR="00A342E5" w:rsidRPr="00A472FC">
        <w:rPr>
          <w:rFonts w:ascii="Times New Roman" w:hAnsi="Times New Roman" w:cs="Times New Roman"/>
        </w:rPr>
        <w:t>,</w:t>
      </w:r>
      <w:r w:rsidRPr="00A472FC">
        <w:rPr>
          <w:rFonts w:ascii="Times New Roman" w:hAnsi="Times New Roman" w:cs="Times New Roman"/>
        </w:rPr>
        <w:t xml:space="preserve"> or as flexible between good and evil. In his view, however, free will is not flexible between good and evil but only to do what it wants within the parameters of the </w:t>
      </w:r>
      <w:r w:rsidRPr="00A472FC">
        <w:rPr>
          <w:rFonts w:ascii="Times New Roman" w:hAnsi="Times New Roman" w:cs="Times New Roman"/>
        </w:rPr>
        <w:lastRenderedPageBreak/>
        <w:t>good.</w:t>
      </w:r>
      <w:r w:rsidRPr="00A472FC">
        <w:rPr>
          <w:rStyle w:val="FootnoteReference"/>
          <w:rFonts w:ascii="Times New Roman" w:hAnsi="Times New Roman" w:cs="Times New Roman"/>
        </w:rPr>
        <w:footnoteReference w:id="1138"/>
      </w:r>
      <w:r w:rsidRPr="00A472FC">
        <w:rPr>
          <w:rFonts w:ascii="Times New Roman" w:hAnsi="Times New Roman" w:cs="Times New Roman"/>
        </w:rPr>
        <w:t xml:space="preserve"> Further details of the accounts given by both Philip and Hugh are superbly outlined by Riccardo Saccenti in his book on the subject</w:t>
      </w:r>
      <w:r w:rsidR="00DF1E02" w:rsidRPr="00A472FC">
        <w:rPr>
          <w:rFonts w:ascii="Times New Roman" w:hAnsi="Times New Roman" w:cs="Times New Roman"/>
        </w:rPr>
        <w:t xml:space="preserve"> and are not therefore elaborated here</w:t>
      </w:r>
      <w:r w:rsidRPr="00A472FC">
        <w:rPr>
          <w:rFonts w:ascii="Times New Roman" w:hAnsi="Times New Roman" w:cs="Times New Roman"/>
        </w:rPr>
        <w:t>.</w:t>
      </w:r>
      <w:r w:rsidRPr="00A472FC">
        <w:rPr>
          <w:rStyle w:val="FootnoteReference"/>
          <w:rFonts w:ascii="Times New Roman" w:hAnsi="Times New Roman" w:cs="Times New Roman"/>
        </w:rPr>
        <w:footnoteReference w:id="1139"/>
      </w:r>
      <w:r w:rsidRPr="00A472FC">
        <w:rPr>
          <w:rFonts w:ascii="Times New Roman" w:hAnsi="Times New Roman" w:cs="Times New Roman"/>
        </w:rPr>
        <w:t xml:space="preserve"> </w:t>
      </w:r>
    </w:p>
    <w:p w14:paraId="58BB942A" w14:textId="497457F0" w:rsidR="00665333" w:rsidRPr="00A472FC" w:rsidRDefault="00665333" w:rsidP="0004100B">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Although Roland of Cremona was Hugh’s teacher, we know that he was probably more influenced by his student than the other way around, since he</w:t>
      </w:r>
      <w:r w:rsidR="00690BF8">
        <w:rPr>
          <w:rFonts w:ascii="Times New Roman" w:hAnsi="Times New Roman" w:cs="Times New Roman"/>
        </w:rPr>
        <w:t xml:space="preserve"> likely</w:t>
      </w:r>
      <w:r w:rsidRPr="00A472FC">
        <w:rPr>
          <w:rFonts w:ascii="Times New Roman" w:hAnsi="Times New Roman" w:cs="Times New Roman"/>
        </w:rPr>
        <w:t xml:space="preserve"> only wrote his own Summa after Hugh’s major </w:t>
      </w:r>
      <w:r w:rsidR="00040053" w:rsidRPr="00A472FC">
        <w:rPr>
          <w:rFonts w:ascii="Times New Roman" w:hAnsi="Times New Roman" w:cs="Times New Roman"/>
          <w:i/>
        </w:rPr>
        <w:t>Sentences</w:t>
      </w:r>
      <w:r w:rsidRPr="00A472FC">
        <w:rPr>
          <w:rFonts w:ascii="Times New Roman" w:hAnsi="Times New Roman" w:cs="Times New Roman"/>
        </w:rPr>
        <w:t xml:space="preserve"> Commentary was completed. </w:t>
      </w:r>
      <w:r w:rsidR="000C642A" w:rsidRPr="00A472FC">
        <w:rPr>
          <w:rFonts w:ascii="Times New Roman" w:hAnsi="Times New Roman" w:cs="Times New Roman"/>
        </w:rPr>
        <w:t>H</w:t>
      </w:r>
      <w:r w:rsidRPr="00A472FC">
        <w:rPr>
          <w:rFonts w:ascii="Times New Roman" w:hAnsi="Times New Roman" w:cs="Times New Roman"/>
        </w:rPr>
        <w:t>owever, he offers a somewhat unique solution, which seemingly seeks to accommodate in a qualified way the idea that free will can choose evil. To this end, Roland invokes the famous Augustinian distinction between higher and lower reason, which was codified by Lombard, arguing that while lower reason</w:t>
      </w:r>
      <w:r w:rsidR="00431656" w:rsidRPr="00A472FC">
        <w:rPr>
          <w:rFonts w:ascii="Times New Roman" w:hAnsi="Times New Roman" w:cs="Times New Roman"/>
        </w:rPr>
        <w:t>,</w:t>
      </w:r>
      <w:r w:rsidRPr="00A472FC">
        <w:rPr>
          <w:rFonts w:ascii="Times New Roman" w:hAnsi="Times New Roman" w:cs="Times New Roman"/>
        </w:rPr>
        <w:t xml:space="preserve"> which is linked to the body</w:t>
      </w:r>
      <w:r w:rsidR="00431656" w:rsidRPr="00A472FC">
        <w:rPr>
          <w:rFonts w:ascii="Times New Roman" w:hAnsi="Times New Roman" w:cs="Times New Roman"/>
        </w:rPr>
        <w:t>,</w:t>
      </w:r>
      <w:r w:rsidRPr="00A472FC">
        <w:rPr>
          <w:rFonts w:ascii="Times New Roman" w:hAnsi="Times New Roman" w:cs="Times New Roman"/>
        </w:rPr>
        <w:t xml:space="preserve"> is capable of choosing good and evil, higher reason is independent of it and always retains its preference for the good.</w:t>
      </w:r>
      <w:r w:rsidRPr="00A472FC">
        <w:rPr>
          <w:rStyle w:val="FootnoteReference"/>
          <w:rFonts w:ascii="Times New Roman" w:hAnsi="Times New Roman" w:cs="Times New Roman"/>
        </w:rPr>
        <w:footnoteReference w:id="1140"/>
      </w:r>
      <w:r w:rsidRPr="00A472FC">
        <w:rPr>
          <w:rFonts w:ascii="Times New Roman" w:hAnsi="Times New Roman" w:cs="Times New Roman"/>
        </w:rPr>
        <w:t xml:space="preserve"> At this level, consequently, free will only involves the power to discriminate and choose amongst various good options</w:t>
      </w:r>
      <w:r w:rsidR="00607B81" w:rsidRPr="00A472FC">
        <w:rPr>
          <w:rFonts w:ascii="Times New Roman" w:hAnsi="Times New Roman" w:cs="Times New Roman"/>
        </w:rPr>
        <w:t xml:space="preserve">, without being determined to </w:t>
      </w:r>
      <w:r w:rsidR="00096259" w:rsidRPr="00A472FC">
        <w:rPr>
          <w:rFonts w:ascii="Times New Roman" w:hAnsi="Times New Roman" w:cs="Times New Roman"/>
        </w:rPr>
        <w:t>prefer</w:t>
      </w:r>
      <w:r w:rsidR="00607B81" w:rsidRPr="00A472FC">
        <w:rPr>
          <w:rFonts w:ascii="Times New Roman" w:hAnsi="Times New Roman" w:cs="Times New Roman"/>
        </w:rPr>
        <w:t xml:space="preserve"> any one in particular</w:t>
      </w:r>
      <w:r w:rsidRPr="00A472FC">
        <w:rPr>
          <w:rFonts w:ascii="Times New Roman" w:hAnsi="Times New Roman" w:cs="Times New Roman"/>
        </w:rPr>
        <w:t>.</w:t>
      </w:r>
      <w:r w:rsidRPr="00A472FC">
        <w:rPr>
          <w:rStyle w:val="FootnoteReference"/>
          <w:rFonts w:ascii="Times New Roman" w:hAnsi="Times New Roman" w:cs="Times New Roman"/>
        </w:rPr>
        <w:footnoteReference w:id="1141"/>
      </w:r>
      <w:r w:rsidRPr="00A472FC">
        <w:rPr>
          <w:rFonts w:ascii="Times New Roman" w:hAnsi="Times New Roman" w:cs="Times New Roman"/>
        </w:rPr>
        <w:t xml:space="preserve"> As this suggests, Roland follows Hugh or at least William of </w:t>
      </w:r>
      <w:proofErr w:type="spellStart"/>
      <w:r w:rsidRPr="00A472FC">
        <w:rPr>
          <w:rFonts w:ascii="Times New Roman" w:hAnsi="Times New Roman" w:cs="Times New Roman"/>
        </w:rPr>
        <w:t>Auxerre</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rPr>
        <w:t>emphasizing</w:t>
      </w:r>
      <w:proofErr w:type="spellEnd"/>
      <w:r w:rsidRPr="00A472FC">
        <w:rPr>
          <w:rFonts w:ascii="Times New Roman" w:hAnsi="Times New Roman" w:cs="Times New Roman"/>
        </w:rPr>
        <w:t xml:space="preserve"> that free will—at least higher by contrast to lower free will—is basically reason.</w:t>
      </w:r>
      <w:r w:rsidRPr="00A472FC">
        <w:rPr>
          <w:rStyle w:val="FootnoteReference"/>
          <w:rFonts w:ascii="Times New Roman" w:hAnsi="Times New Roman" w:cs="Times New Roman"/>
        </w:rPr>
        <w:footnoteReference w:id="1142"/>
      </w:r>
    </w:p>
    <w:p w14:paraId="2F2FF576" w14:textId="77777777" w:rsidR="00665333" w:rsidRPr="00A472FC" w:rsidRDefault="00665333" w:rsidP="00881604">
      <w:pPr>
        <w:autoSpaceDE w:val="0"/>
        <w:autoSpaceDN w:val="0"/>
        <w:adjustRightInd w:val="0"/>
        <w:ind w:right="-52"/>
        <w:rPr>
          <w:rFonts w:ascii="Times New Roman" w:hAnsi="Times New Roman" w:cs="Times New Roman"/>
        </w:rPr>
      </w:pPr>
    </w:p>
    <w:p w14:paraId="5DE8806A" w14:textId="77777777" w:rsidR="00665333" w:rsidRPr="00A472FC" w:rsidRDefault="00665333" w:rsidP="00881604">
      <w:pPr>
        <w:autoSpaceDE w:val="0"/>
        <w:autoSpaceDN w:val="0"/>
        <w:adjustRightInd w:val="0"/>
        <w:ind w:right="-52"/>
        <w:rPr>
          <w:rFonts w:ascii="Times New Roman" w:hAnsi="Times New Roman" w:cs="Times New Roman"/>
          <w:u w:val="single"/>
        </w:rPr>
      </w:pPr>
      <w:r w:rsidRPr="00A472FC">
        <w:rPr>
          <w:rFonts w:ascii="Times New Roman" w:hAnsi="Times New Roman" w:cs="Times New Roman"/>
          <w:u w:val="single"/>
        </w:rPr>
        <w:t>John of La Rochelle</w:t>
      </w:r>
    </w:p>
    <w:p w14:paraId="3B934676" w14:textId="77777777" w:rsidR="00665333" w:rsidRPr="00A472FC" w:rsidRDefault="00665333" w:rsidP="00881604">
      <w:pPr>
        <w:autoSpaceDE w:val="0"/>
        <w:autoSpaceDN w:val="0"/>
        <w:adjustRightInd w:val="0"/>
        <w:ind w:right="-52"/>
        <w:rPr>
          <w:rFonts w:ascii="Times New Roman" w:hAnsi="Times New Roman" w:cs="Times New Roman"/>
        </w:rPr>
      </w:pPr>
    </w:p>
    <w:p w14:paraId="1C03028C" w14:textId="2CB7FA17" w:rsidR="00665333" w:rsidRPr="00A472FC" w:rsidRDefault="00665333"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Before moving on to Alexander of Hales, it is worth pausing to reflect on John of La Rochelle’s treatment of free will. Although John </w:t>
      </w:r>
      <w:r w:rsidR="0059299C" w:rsidRPr="00A472FC">
        <w:rPr>
          <w:rFonts w:ascii="Times New Roman" w:hAnsi="Times New Roman" w:cs="Times New Roman"/>
        </w:rPr>
        <w:t>was</w:t>
      </w:r>
      <w:r w:rsidRPr="00A472FC">
        <w:rPr>
          <w:rFonts w:ascii="Times New Roman" w:hAnsi="Times New Roman" w:cs="Times New Roman"/>
        </w:rPr>
        <w:t xml:space="preserve"> influenced by Philip the Chancellor in his account of many matters, this is a case where he does not take Philip’s radical line of referring free choice to the will. </w:t>
      </w:r>
      <w:r w:rsidR="00CA445F" w:rsidRPr="00A472FC">
        <w:rPr>
          <w:rFonts w:ascii="Times New Roman" w:hAnsi="Times New Roman" w:cs="Times New Roman"/>
        </w:rPr>
        <w:t>As</w:t>
      </w:r>
      <w:r w:rsidRPr="00A472FC">
        <w:rPr>
          <w:rFonts w:ascii="Times New Roman" w:hAnsi="Times New Roman" w:cs="Times New Roman"/>
        </w:rPr>
        <w:t xml:space="preserve"> Lottin</w:t>
      </w:r>
      <w:r w:rsidR="00CA445F" w:rsidRPr="00A472FC">
        <w:rPr>
          <w:rFonts w:ascii="Times New Roman" w:hAnsi="Times New Roman" w:cs="Times New Roman"/>
        </w:rPr>
        <w:t xml:space="preserve"> observes</w:t>
      </w:r>
      <w:r w:rsidRPr="00A472FC">
        <w:rPr>
          <w:rFonts w:ascii="Times New Roman" w:hAnsi="Times New Roman" w:cs="Times New Roman"/>
        </w:rPr>
        <w:t>, he instead identifies free choice (</w:t>
      </w:r>
      <w:proofErr w:type="spellStart"/>
      <w:r w:rsidRPr="00A472FC">
        <w:rPr>
          <w:rFonts w:ascii="Times New Roman" w:hAnsi="Times New Roman" w:cs="Times New Roman"/>
          <w:i/>
        </w:rPr>
        <w:t>liberum</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arbitrium</w:t>
      </w:r>
      <w:proofErr w:type="spellEnd"/>
      <w:r w:rsidRPr="00A472FC">
        <w:rPr>
          <w:rFonts w:ascii="Times New Roman" w:hAnsi="Times New Roman" w:cs="Times New Roman"/>
        </w:rPr>
        <w:t>) with the rational faculty, more specifically, the practical intellect, which is comprised of reason (</w:t>
      </w:r>
      <w:r w:rsidRPr="00A472FC">
        <w:rPr>
          <w:rFonts w:ascii="Times New Roman" w:hAnsi="Times New Roman" w:cs="Times New Roman"/>
          <w:i/>
        </w:rPr>
        <w:t>ratio</w:t>
      </w:r>
      <w:r w:rsidRPr="00A472FC">
        <w:rPr>
          <w:rFonts w:ascii="Times New Roman" w:hAnsi="Times New Roman" w:cs="Times New Roman"/>
        </w:rPr>
        <w:t>) and will (</w:t>
      </w:r>
      <w:proofErr w:type="spellStart"/>
      <w:r w:rsidRPr="00A472FC">
        <w:rPr>
          <w:rFonts w:ascii="Times New Roman" w:hAnsi="Times New Roman" w:cs="Times New Roman"/>
          <w:i/>
        </w:rPr>
        <w:t>voluntas</w:t>
      </w:r>
      <w:proofErr w:type="spellEnd"/>
      <w:r w:rsidRPr="00A472FC">
        <w:rPr>
          <w:rFonts w:ascii="Times New Roman" w:hAnsi="Times New Roman" w:cs="Times New Roman"/>
        </w:rPr>
        <w:t xml:space="preserve">) and their </w:t>
      </w:r>
      <w:r w:rsidR="00CA445F" w:rsidRPr="00A472FC">
        <w:rPr>
          <w:rFonts w:ascii="Times New Roman" w:hAnsi="Times New Roman" w:cs="Times New Roman"/>
        </w:rPr>
        <w:t>co-</w:t>
      </w:r>
      <w:r w:rsidRPr="00A472FC">
        <w:rPr>
          <w:rFonts w:ascii="Times New Roman" w:hAnsi="Times New Roman" w:cs="Times New Roman"/>
        </w:rPr>
        <w:t xml:space="preserve">operation, which is </w:t>
      </w:r>
      <w:r w:rsidR="00FC71CB" w:rsidRPr="00A472FC">
        <w:rPr>
          <w:rFonts w:ascii="Times New Roman" w:hAnsi="Times New Roman" w:cs="Times New Roman"/>
        </w:rPr>
        <w:t>the purview of</w:t>
      </w:r>
      <w:r w:rsidRPr="00A472FC">
        <w:rPr>
          <w:rFonts w:ascii="Times New Roman" w:hAnsi="Times New Roman" w:cs="Times New Roman"/>
        </w:rPr>
        <w:t xml:space="preserve"> </w:t>
      </w:r>
      <w:proofErr w:type="spellStart"/>
      <w:r w:rsidRPr="00A472FC">
        <w:rPr>
          <w:rFonts w:ascii="Times New Roman" w:hAnsi="Times New Roman" w:cs="Times New Roman"/>
          <w:i/>
        </w:rPr>
        <w:t>liberum</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arbitrium</w:t>
      </w:r>
      <w:proofErr w:type="spellEnd"/>
      <w:r w:rsidRPr="00A472FC">
        <w:rPr>
          <w:rFonts w:ascii="Times New Roman" w:hAnsi="Times New Roman" w:cs="Times New Roman"/>
          <w:i/>
        </w:rPr>
        <w:t xml:space="preserve"> </w:t>
      </w:r>
      <w:r w:rsidRPr="00A472FC">
        <w:rPr>
          <w:rFonts w:ascii="Times New Roman" w:hAnsi="Times New Roman" w:cs="Times New Roman"/>
        </w:rPr>
        <w:t>itself. For John, these three represent one and the same faculty that only differs according to its acts.</w:t>
      </w:r>
      <w:r w:rsidRPr="00A472FC">
        <w:rPr>
          <w:rStyle w:val="FootnoteReference"/>
          <w:rFonts w:ascii="Times New Roman" w:hAnsi="Times New Roman" w:cs="Times New Roman"/>
        </w:rPr>
        <w:footnoteReference w:id="1143"/>
      </w:r>
      <w:r w:rsidRPr="00A472FC">
        <w:rPr>
          <w:rFonts w:ascii="Times New Roman" w:hAnsi="Times New Roman" w:cs="Times New Roman"/>
        </w:rPr>
        <w:t xml:space="preserve"> While reason discerns or refrains from knowledge (</w:t>
      </w:r>
      <w:proofErr w:type="spellStart"/>
      <w:r w:rsidRPr="00A472FC">
        <w:rPr>
          <w:rFonts w:ascii="Times New Roman" w:hAnsi="Times New Roman" w:cs="Times New Roman"/>
          <w:i/>
        </w:rPr>
        <w:t>agnoscit</w:t>
      </w:r>
      <w:proofErr w:type="spellEnd"/>
      <w:r w:rsidRPr="00A472FC">
        <w:rPr>
          <w:rFonts w:ascii="Times New Roman" w:hAnsi="Times New Roman" w:cs="Times New Roman"/>
        </w:rPr>
        <w:t xml:space="preserve">) of what is to be done, the will, previously described as </w:t>
      </w:r>
      <w:proofErr w:type="spellStart"/>
      <w:r w:rsidRPr="00A472FC">
        <w:rPr>
          <w:rFonts w:ascii="Times New Roman" w:hAnsi="Times New Roman" w:cs="Times New Roman"/>
          <w:i/>
          <w:iCs/>
        </w:rPr>
        <w:t>b</w:t>
      </w:r>
      <w:r w:rsidR="00C63393" w:rsidRPr="00A472FC">
        <w:rPr>
          <w:rFonts w:ascii="Times New Roman" w:hAnsi="Times New Roman" w:cs="Times New Roman"/>
          <w:i/>
          <w:iCs/>
        </w:rPr>
        <w:t>o</w:t>
      </w:r>
      <w:r w:rsidRPr="00A472FC">
        <w:rPr>
          <w:rFonts w:ascii="Times New Roman" w:hAnsi="Times New Roman" w:cs="Times New Roman"/>
          <w:i/>
          <w:iCs/>
        </w:rPr>
        <w:t>ulesis</w:t>
      </w:r>
      <w:proofErr w:type="spellEnd"/>
      <w:r w:rsidRPr="00A472FC">
        <w:rPr>
          <w:rFonts w:ascii="Times New Roman" w:hAnsi="Times New Roman" w:cs="Times New Roman"/>
        </w:rPr>
        <w:t xml:space="preserve">, desires the good to be done, and </w:t>
      </w:r>
      <w:proofErr w:type="spellStart"/>
      <w:r w:rsidRPr="00A472FC">
        <w:rPr>
          <w:rFonts w:ascii="Times New Roman" w:hAnsi="Times New Roman" w:cs="Times New Roman"/>
          <w:i/>
        </w:rPr>
        <w:t>liberum</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arbitrium</w:t>
      </w:r>
      <w:proofErr w:type="spellEnd"/>
      <w:r w:rsidRPr="00A472FC">
        <w:rPr>
          <w:rFonts w:ascii="Times New Roman" w:hAnsi="Times New Roman" w:cs="Times New Roman"/>
        </w:rPr>
        <w:t xml:space="preserve"> chooses the desired good.</w:t>
      </w:r>
      <w:r w:rsidRPr="00A472FC">
        <w:rPr>
          <w:rStyle w:val="FootnoteReference"/>
          <w:rFonts w:ascii="Times New Roman" w:hAnsi="Times New Roman" w:cs="Times New Roman"/>
        </w:rPr>
        <w:footnoteReference w:id="1144"/>
      </w:r>
      <w:r w:rsidRPr="00A472FC">
        <w:rPr>
          <w:rStyle w:val="FootnoteReference"/>
          <w:rFonts w:ascii="Times New Roman" w:hAnsi="Times New Roman" w:cs="Times New Roman"/>
        </w:rPr>
        <w:t xml:space="preserve"> </w:t>
      </w:r>
      <w:r w:rsidRPr="00A472FC">
        <w:rPr>
          <w:rFonts w:ascii="Times New Roman" w:hAnsi="Times New Roman" w:cs="Times New Roman"/>
        </w:rPr>
        <w:t xml:space="preserve"> </w:t>
      </w:r>
    </w:p>
    <w:p w14:paraId="3A857AFE" w14:textId="37FF5074" w:rsidR="00665333" w:rsidRPr="00A472FC" w:rsidRDefault="009C6E62"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As Augustine put it, consequently, free choice</w:t>
      </w:r>
      <w:r w:rsidR="00CF2365" w:rsidRPr="00A472FC">
        <w:rPr>
          <w:rFonts w:ascii="Times New Roman" w:hAnsi="Times New Roman" w:cs="Times New Roman"/>
        </w:rPr>
        <w:t xml:space="preserve"> </w:t>
      </w:r>
      <w:r w:rsidRPr="00A472FC">
        <w:rPr>
          <w:rFonts w:ascii="Times New Roman" w:hAnsi="Times New Roman" w:cs="Times New Roman"/>
        </w:rPr>
        <w:t>is one power in its root but three in its branches.</w:t>
      </w:r>
      <w:r w:rsidRPr="00A472FC">
        <w:rPr>
          <w:rStyle w:val="FootnoteReference"/>
          <w:rFonts w:ascii="Times New Roman" w:hAnsi="Times New Roman" w:cs="Times New Roman"/>
        </w:rPr>
        <w:footnoteReference w:id="1145"/>
      </w:r>
      <w:r w:rsidRPr="00A472FC">
        <w:rPr>
          <w:rFonts w:ascii="Times New Roman" w:hAnsi="Times New Roman" w:cs="Times New Roman"/>
        </w:rPr>
        <w:t xml:space="preserve"> </w:t>
      </w:r>
      <w:r w:rsidR="00ED2B15" w:rsidRPr="00A472FC">
        <w:rPr>
          <w:rFonts w:ascii="Times New Roman" w:hAnsi="Times New Roman" w:cs="Times New Roman"/>
        </w:rPr>
        <w:t xml:space="preserve">This </w:t>
      </w:r>
      <w:r w:rsidR="00895483" w:rsidRPr="00A472FC">
        <w:rPr>
          <w:rFonts w:ascii="Times New Roman" w:hAnsi="Times New Roman" w:cs="Times New Roman"/>
        </w:rPr>
        <w:t xml:space="preserve">for John </w:t>
      </w:r>
      <w:r w:rsidR="00ED2B15" w:rsidRPr="00A472FC">
        <w:rPr>
          <w:rFonts w:ascii="Times New Roman" w:hAnsi="Times New Roman" w:cs="Times New Roman"/>
        </w:rPr>
        <w:t xml:space="preserve">was consistent with Augustine’s broader view, presented in </w:t>
      </w:r>
      <w:r w:rsidR="00ED2B15" w:rsidRPr="00A472FC">
        <w:rPr>
          <w:rFonts w:ascii="Times New Roman" w:hAnsi="Times New Roman" w:cs="Times New Roman"/>
          <w:i/>
          <w:iCs/>
        </w:rPr>
        <w:t xml:space="preserve">De </w:t>
      </w:r>
      <w:proofErr w:type="spellStart"/>
      <w:r w:rsidR="00ED2B15" w:rsidRPr="00A472FC">
        <w:rPr>
          <w:rFonts w:ascii="Times New Roman" w:hAnsi="Times New Roman" w:cs="Times New Roman"/>
          <w:i/>
          <w:iCs/>
        </w:rPr>
        <w:t>Trinitate</w:t>
      </w:r>
      <w:proofErr w:type="spellEnd"/>
      <w:r w:rsidR="00ED2B15" w:rsidRPr="00A472FC">
        <w:rPr>
          <w:rFonts w:ascii="Times New Roman" w:hAnsi="Times New Roman" w:cs="Times New Roman"/>
          <w:i/>
          <w:iCs/>
        </w:rPr>
        <w:t xml:space="preserve">, </w:t>
      </w:r>
      <w:r w:rsidR="00ED2B15" w:rsidRPr="00A472FC">
        <w:rPr>
          <w:rFonts w:ascii="Times New Roman" w:hAnsi="Times New Roman" w:cs="Times New Roman"/>
        </w:rPr>
        <w:t>that the mind, its knowledge and its will represent an image of the Trinity</w:t>
      </w:r>
      <w:r w:rsidR="002A574D" w:rsidRPr="00A472FC">
        <w:rPr>
          <w:rFonts w:ascii="Times New Roman" w:hAnsi="Times New Roman" w:cs="Times New Roman"/>
        </w:rPr>
        <w:t>. To</w:t>
      </w:r>
      <w:r w:rsidR="00ED2B15" w:rsidRPr="00A472FC">
        <w:rPr>
          <w:rFonts w:ascii="Times New Roman" w:hAnsi="Times New Roman" w:cs="Times New Roman"/>
        </w:rPr>
        <w:t xml:space="preserve"> give one primacy over the other would be to imply inequality within the Trinity and thus heresy.</w:t>
      </w:r>
      <w:r w:rsidR="00ED2B15" w:rsidRPr="00A472FC">
        <w:rPr>
          <w:rStyle w:val="FootnoteReference"/>
          <w:rFonts w:ascii="Times New Roman" w:hAnsi="Times New Roman" w:cs="Times New Roman"/>
        </w:rPr>
        <w:footnoteReference w:id="1146"/>
      </w:r>
      <w:r w:rsidR="00ED2B15" w:rsidRPr="00A472FC">
        <w:rPr>
          <w:rFonts w:ascii="Times New Roman" w:hAnsi="Times New Roman" w:cs="Times New Roman"/>
        </w:rPr>
        <w:t xml:space="preserve"> </w:t>
      </w:r>
      <w:r w:rsidR="00665333" w:rsidRPr="00A472FC">
        <w:rPr>
          <w:rFonts w:ascii="Times New Roman" w:hAnsi="Times New Roman" w:cs="Times New Roman"/>
        </w:rPr>
        <w:t xml:space="preserve">In this connection, John notes that free choice can be understood in two ways, distinctly or indistinctly. In a distinct or specific sense, free choice is the final arbiter of the work of will and reason. In this case, each of the three faculties </w:t>
      </w:r>
      <w:r w:rsidR="007A0AE0" w:rsidRPr="00A472FC">
        <w:rPr>
          <w:rFonts w:ascii="Times New Roman" w:hAnsi="Times New Roman" w:cs="Times New Roman"/>
        </w:rPr>
        <w:t>has its</w:t>
      </w:r>
      <w:r w:rsidR="00665333" w:rsidRPr="00A472FC">
        <w:rPr>
          <w:rFonts w:ascii="Times New Roman" w:hAnsi="Times New Roman" w:cs="Times New Roman"/>
        </w:rPr>
        <w:t xml:space="preserve"> own proper operation: reason </w:t>
      </w:r>
      <w:r w:rsidR="00665333" w:rsidRPr="00A472FC">
        <w:rPr>
          <w:rFonts w:ascii="Times New Roman" w:hAnsi="Times New Roman" w:cs="Times New Roman"/>
        </w:rPr>
        <w:lastRenderedPageBreak/>
        <w:t>discerns, the will desires, free will chooses. In an indistinct sense, however, Damascus says that free will can be said to apply to any aspect of the process of free willing and thus to the work of reason and will individually, as when we say that one thinks freely, wills freely, and chooses freely.</w:t>
      </w:r>
      <w:r w:rsidR="00665333" w:rsidRPr="00A472FC">
        <w:rPr>
          <w:rStyle w:val="FootnoteReference"/>
          <w:rFonts w:ascii="Times New Roman" w:hAnsi="Times New Roman" w:cs="Times New Roman"/>
        </w:rPr>
        <w:footnoteReference w:id="1147"/>
      </w:r>
    </w:p>
    <w:p w14:paraId="2DCC3CB7" w14:textId="03E6E63C" w:rsidR="00665333" w:rsidRPr="00A472FC" w:rsidRDefault="00665333"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Although John </w:t>
      </w:r>
      <w:r w:rsidR="007D595B" w:rsidRPr="00A472FC">
        <w:rPr>
          <w:rFonts w:ascii="Times New Roman" w:hAnsi="Times New Roman" w:cs="Times New Roman"/>
        </w:rPr>
        <w:t>agrees with</w:t>
      </w:r>
      <w:r w:rsidRPr="00A472FC">
        <w:rPr>
          <w:rFonts w:ascii="Times New Roman" w:hAnsi="Times New Roman" w:cs="Times New Roman"/>
        </w:rPr>
        <w:t xml:space="preserve"> his contemporaries that free will is the power to act without determination or external pressures, this does not amount for him to a power to choose between good and evil. As John notes, ‘</w:t>
      </w:r>
      <w:r w:rsidRPr="00A472FC">
        <w:rPr>
          <w:rFonts w:ascii="Times New Roman" w:hAnsi="Times New Roman" w:cs="Times New Roman"/>
          <w:lang w:val="en-US"/>
        </w:rPr>
        <w:t xml:space="preserve">free will is not called </w:t>
      </w:r>
      <w:proofErr w:type="spellStart"/>
      <w:r w:rsidRPr="00A472FC">
        <w:rPr>
          <w:rFonts w:ascii="Times New Roman" w:hAnsi="Times New Roman" w:cs="Times New Roman"/>
          <w:i/>
          <w:lang w:val="en-US"/>
        </w:rPr>
        <w:t>liberum</w:t>
      </w:r>
      <w:proofErr w:type="spellEnd"/>
      <w:r w:rsidRPr="00A472FC">
        <w:rPr>
          <w:rFonts w:ascii="Times New Roman" w:hAnsi="Times New Roman" w:cs="Times New Roman"/>
          <w:i/>
          <w:lang w:val="en-US"/>
        </w:rPr>
        <w:t xml:space="preserve"> </w:t>
      </w:r>
      <w:r w:rsidRPr="00A472FC">
        <w:rPr>
          <w:rFonts w:ascii="Times New Roman" w:hAnsi="Times New Roman" w:cs="Times New Roman"/>
          <w:lang w:val="en-US"/>
        </w:rPr>
        <w:t>because it is flexible between good and evil</w:t>
      </w:r>
      <w:r w:rsidR="00ED1500" w:rsidRPr="00A472FC">
        <w:rPr>
          <w:rFonts w:ascii="Times New Roman" w:hAnsi="Times New Roman" w:cs="Times New Roman"/>
          <w:lang w:val="en-US"/>
        </w:rPr>
        <w:t>,</w:t>
      </w:r>
      <w:r w:rsidRPr="00A472FC">
        <w:rPr>
          <w:rFonts w:ascii="Times New Roman" w:hAnsi="Times New Roman" w:cs="Times New Roman"/>
          <w:lang w:val="en-US"/>
        </w:rPr>
        <w:t xml:space="preserve"> but because it is able to do or not to do </w:t>
      </w:r>
      <w:r w:rsidRPr="00A472FC">
        <w:rPr>
          <w:rFonts w:ascii="Times New Roman" w:hAnsi="Times New Roman" w:cs="Times New Roman"/>
        </w:rPr>
        <w:t>something</w:t>
      </w:r>
      <w:r w:rsidRPr="00A472FC">
        <w:rPr>
          <w:rFonts w:ascii="Times New Roman" w:hAnsi="Times New Roman" w:cs="Times New Roman"/>
          <w:lang w:val="en-US"/>
        </w:rPr>
        <w:t xml:space="preserve">, as it consults and is instigated by </w:t>
      </w:r>
      <w:proofErr w:type="spellStart"/>
      <w:r w:rsidRPr="00A472FC">
        <w:rPr>
          <w:rFonts w:ascii="Times New Roman" w:hAnsi="Times New Roman" w:cs="Times New Roman"/>
          <w:lang w:val="en-US"/>
        </w:rPr>
        <w:t>synderesis</w:t>
      </w:r>
      <w:proofErr w:type="spellEnd"/>
      <w:r w:rsidRPr="00A472FC">
        <w:rPr>
          <w:rFonts w:ascii="Times New Roman" w:hAnsi="Times New Roman" w:cs="Times New Roman"/>
          <w:lang w:val="en-US"/>
        </w:rPr>
        <w:t>, or as it is suggested by sensuality.’</w:t>
      </w:r>
      <w:r w:rsidRPr="00A472FC">
        <w:rPr>
          <w:rStyle w:val="FootnoteReference"/>
          <w:rFonts w:ascii="Times New Roman" w:hAnsi="Times New Roman" w:cs="Times New Roman"/>
          <w:lang w:val="en-US"/>
        </w:rPr>
        <w:footnoteReference w:id="1148"/>
      </w:r>
      <w:r w:rsidRPr="00A472FC">
        <w:rPr>
          <w:rFonts w:ascii="Times New Roman" w:hAnsi="Times New Roman" w:cs="Times New Roman"/>
        </w:rPr>
        <w:t xml:space="preserve"> </w:t>
      </w:r>
      <w:r w:rsidR="001B2650" w:rsidRPr="00A472FC">
        <w:rPr>
          <w:rFonts w:ascii="Times New Roman" w:hAnsi="Times New Roman" w:cs="Times New Roman"/>
        </w:rPr>
        <w:t>On his account, t</w:t>
      </w:r>
      <w:r w:rsidR="000A5B8B" w:rsidRPr="00A472FC">
        <w:rPr>
          <w:rFonts w:ascii="Times New Roman" w:hAnsi="Times New Roman" w:cs="Times New Roman"/>
        </w:rPr>
        <w:t xml:space="preserve">he power to </w:t>
      </w:r>
      <w:r w:rsidR="00102D22" w:rsidRPr="00A472FC">
        <w:rPr>
          <w:rFonts w:ascii="Times New Roman" w:hAnsi="Times New Roman" w:cs="Times New Roman"/>
        </w:rPr>
        <w:t>w</w:t>
      </w:r>
      <w:r w:rsidR="000A5B8B" w:rsidRPr="00A472FC">
        <w:rPr>
          <w:rFonts w:ascii="Times New Roman" w:hAnsi="Times New Roman" w:cs="Times New Roman"/>
        </w:rPr>
        <w:t>ill freely is</w:t>
      </w:r>
      <w:r w:rsidRPr="00A472FC">
        <w:rPr>
          <w:rFonts w:ascii="Times New Roman" w:hAnsi="Times New Roman" w:cs="Times New Roman"/>
        </w:rPr>
        <w:t xml:space="preserve"> what sets human beings apart from animals, which operate under the force of instinct and are in that sense tied to their desires for material objects. Since volitions follow intelligible goals which are free from matter, </w:t>
      </w:r>
      <w:r w:rsidR="007E761C" w:rsidRPr="00A472FC">
        <w:rPr>
          <w:rFonts w:ascii="Times New Roman" w:hAnsi="Times New Roman" w:cs="Times New Roman"/>
        </w:rPr>
        <w:t xml:space="preserve">by contrast, </w:t>
      </w:r>
      <w:r w:rsidR="008E25B6" w:rsidRPr="00A472FC">
        <w:rPr>
          <w:rFonts w:ascii="Times New Roman" w:hAnsi="Times New Roman" w:cs="Times New Roman"/>
        </w:rPr>
        <w:t xml:space="preserve">John concludes that </w:t>
      </w:r>
      <w:r w:rsidRPr="00A472FC">
        <w:rPr>
          <w:rFonts w:ascii="Times New Roman" w:hAnsi="Times New Roman" w:cs="Times New Roman"/>
        </w:rPr>
        <w:t xml:space="preserve">they are undetermined and can be focussed on any good end or object whatever. </w:t>
      </w:r>
    </w:p>
    <w:p w14:paraId="0F41F52D" w14:textId="77777777" w:rsidR="00665333" w:rsidRPr="00A472FC" w:rsidRDefault="00665333" w:rsidP="00881604">
      <w:pPr>
        <w:autoSpaceDE w:val="0"/>
        <w:autoSpaceDN w:val="0"/>
        <w:adjustRightInd w:val="0"/>
        <w:ind w:right="-52"/>
        <w:rPr>
          <w:rFonts w:ascii="Times New Roman" w:hAnsi="Times New Roman" w:cs="Times New Roman"/>
          <w:b/>
        </w:rPr>
      </w:pPr>
    </w:p>
    <w:p w14:paraId="706777C4" w14:textId="77777777" w:rsidR="00665333" w:rsidRPr="00A472FC" w:rsidRDefault="00665333" w:rsidP="00881604">
      <w:pPr>
        <w:autoSpaceDE w:val="0"/>
        <w:autoSpaceDN w:val="0"/>
        <w:adjustRightInd w:val="0"/>
        <w:ind w:right="-52"/>
        <w:rPr>
          <w:rFonts w:ascii="Times New Roman" w:hAnsi="Times New Roman" w:cs="Times New Roman"/>
          <w:u w:val="single"/>
        </w:rPr>
      </w:pPr>
      <w:r w:rsidRPr="00A472FC">
        <w:rPr>
          <w:rFonts w:ascii="Times New Roman" w:hAnsi="Times New Roman" w:cs="Times New Roman"/>
          <w:u w:val="single"/>
        </w:rPr>
        <w:t>Alexander of Hales</w:t>
      </w:r>
    </w:p>
    <w:p w14:paraId="4C6A91CA" w14:textId="77777777" w:rsidR="00665333" w:rsidRPr="00A472FC" w:rsidRDefault="00665333" w:rsidP="00881604">
      <w:pPr>
        <w:autoSpaceDE w:val="0"/>
        <w:autoSpaceDN w:val="0"/>
        <w:adjustRightInd w:val="0"/>
        <w:ind w:right="-52"/>
        <w:rPr>
          <w:rFonts w:ascii="Times New Roman" w:hAnsi="Times New Roman" w:cs="Times New Roman"/>
        </w:rPr>
      </w:pPr>
    </w:p>
    <w:p w14:paraId="2F67C854" w14:textId="77777777" w:rsidR="00665333" w:rsidRPr="00A472FC" w:rsidRDefault="00665333"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As Lottin has aptly observed, Alexander of Hales has little in common with his Franciscan contemporary John of La Rochelle as regards free will.</w:t>
      </w:r>
      <w:r w:rsidRPr="00A472FC">
        <w:rPr>
          <w:rStyle w:val="FootnoteReference"/>
          <w:rFonts w:ascii="Times New Roman" w:hAnsi="Times New Roman" w:cs="Times New Roman"/>
        </w:rPr>
        <w:footnoteReference w:id="1149"/>
      </w:r>
      <w:r w:rsidRPr="00A472FC">
        <w:rPr>
          <w:rFonts w:ascii="Times New Roman" w:hAnsi="Times New Roman" w:cs="Times New Roman"/>
        </w:rPr>
        <w:t xml:space="preserve"> This is a topic Alexander covers in both his Glossa and his disputed questions, and the level of interest he had in the subject is apparent from the amount of space he devotes to it in both places.</w:t>
      </w:r>
      <w:r w:rsidRPr="00A472FC">
        <w:rPr>
          <w:rStyle w:val="FootnoteReference"/>
          <w:rFonts w:ascii="Times New Roman" w:hAnsi="Times New Roman" w:cs="Times New Roman"/>
        </w:rPr>
        <w:footnoteReference w:id="1150"/>
      </w:r>
      <w:r w:rsidRPr="00A472FC">
        <w:rPr>
          <w:rFonts w:ascii="Times New Roman" w:hAnsi="Times New Roman" w:cs="Times New Roman"/>
        </w:rPr>
        <w:t xml:space="preserve"> For instance, questions about the relationship between sin, grace, and free will consume around half of the second volume of his Gloss.</w:t>
      </w:r>
      <w:r w:rsidRPr="00A472FC">
        <w:rPr>
          <w:rStyle w:val="FootnoteReference"/>
          <w:rFonts w:ascii="Times New Roman" w:hAnsi="Times New Roman" w:cs="Times New Roman"/>
        </w:rPr>
        <w:footnoteReference w:id="1151"/>
      </w:r>
      <w:r w:rsidRPr="00A472FC">
        <w:rPr>
          <w:rFonts w:ascii="Times New Roman" w:hAnsi="Times New Roman" w:cs="Times New Roman"/>
        </w:rPr>
        <w:t xml:space="preserve"> The three volumes of disputed questions that date from before Alexander became a friar are highly selective in the topics they cover; the questions overwhelmingly deal with issues in moral and sacramental theology and the Trinity. </w:t>
      </w:r>
    </w:p>
    <w:p w14:paraId="3B7CFF1B" w14:textId="4A6B369A" w:rsidR="00665333" w:rsidRPr="00A472FC" w:rsidRDefault="00665333"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Among these is Alexander’s lengthy question 33 on free will and several appended questions, which witness to his preoccupation with the subject matter. Although much of the material from the Gloss is repeated in the disputed questions—most importantly question 33—the account </w:t>
      </w:r>
      <w:r w:rsidR="00521DF8" w:rsidRPr="00A472FC">
        <w:rPr>
          <w:rFonts w:ascii="Times New Roman" w:hAnsi="Times New Roman" w:cs="Times New Roman"/>
        </w:rPr>
        <w:t>of free</w:t>
      </w:r>
      <w:r w:rsidRPr="00A472FC">
        <w:rPr>
          <w:rFonts w:ascii="Times New Roman" w:hAnsi="Times New Roman" w:cs="Times New Roman"/>
        </w:rPr>
        <w:t xml:space="preserve"> </w:t>
      </w:r>
      <w:r w:rsidR="00EA79FE" w:rsidRPr="00A472FC">
        <w:rPr>
          <w:rFonts w:ascii="Times New Roman" w:hAnsi="Times New Roman" w:cs="Times New Roman"/>
        </w:rPr>
        <w:t xml:space="preserve">will </w:t>
      </w:r>
      <w:r w:rsidRPr="00A472FC">
        <w:rPr>
          <w:rFonts w:ascii="Times New Roman" w:hAnsi="Times New Roman" w:cs="Times New Roman"/>
        </w:rPr>
        <w:t xml:space="preserve">in that question is the most coherent and extensive one he left us, partly because the Gloss format constrained Alexander to follow Lombard’s line of reasoning, more than his own. The overlaps between Alexander of Hales’ question 33 on free will and the account of this topic in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rPr>
        <w:t xml:space="preserve"> are countless and striking and make evident that his work</w:t>
      </w:r>
      <w:r w:rsidR="00750488" w:rsidRPr="00A472FC">
        <w:rPr>
          <w:rFonts w:ascii="Times New Roman" w:hAnsi="Times New Roman" w:cs="Times New Roman"/>
        </w:rPr>
        <w:t>, not John’s,</w:t>
      </w:r>
      <w:r w:rsidRPr="00A472FC">
        <w:rPr>
          <w:rFonts w:ascii="Times New Roman" w:hAnsi="Times New Roman" w:cs="Times New Roman"/>
        </w:rPr>
        <w:t xml:space="preserve"> is the source for the Summa’s treatment of this </w:t>
      </w:r>
      <w:r w:rsidR="00FE4920" w:rsidRPr="00A472FC">
        <w:rPr>
          <w:rFonts w:ascii="Times New Roman" w:hAnsi="Times New Roman" w:cs="Times New Roman"/>
        </w:rPr>
        <w:t>issue</w:t>
      </w:r>
      <w:r w:rsidRPr="00A472FC">
        <w:rPr>
          <w:rFonts w:ascii="Times New Roman" w:hAnsi="Times New Roman" w:cs="Times New Roman"/>
        </w:rPr>
        <w:t>.</w:t>
      </w:r>
      <w:r w:rsidRPr="00A472FC">
        <w:rPr>
          <w:rStyle w:val="FootnoteReference"/>
          <w:rFonts w:ascii="Times New Roman" w:hAnsi="Times New Roman" w:cs="Times New Roman"/>
        </w:rPr>
        <w:footnoteReference w:id="1152"/>
      </w:r>
      <w:r w:rsidRPr="00A472FC">
        <w:rPr>
          <w:rFonts w:ascii="Times New Roman" w:hAnsi="Times New Roman" w:cs="Times New Roman"/>
        </w:rPr>
        <w:t xml:space="preserve"> </w:t>
      </w:r>
    </w:p>
    <w:p w14:paraId="45537850" w14:textId="3186953F" w:rsidR="00665333" w:rsidRPr="00A472FC" w:rsidRDefault="00665333" w:rsidP="00881604">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Alexander’s reasoning in this context proceeds as follows</w:t>
      </w:r>
      <w:r w:rsidR="006B0E89" w:rsidRPr="00A472FC">
        <w:rPr>
          <w:rFonts w:ascii="Times New Roman" w:hAnsi="Times New Roman" w:cs="Times New Roman"/>
        </w:rPr>
        <w:t>. E</w:t>
      </w:r>
      <w:r w:rsidRPr="00A472FC">
        <w:rPr>
          <w:rFonts w:ascii="Times New Roman" w:hAnsi="Times New Roman" w:cs="Times New Roman"/>
        </w:rPr>
        <w:t>very creature that comes into being moves from non-being</w:t>
      </w:r>
      <w:r w:rsidR="004F6A17" w:rsidRPr="00A472FC">
        <w:rPr>
          <w:rFonts w:ascii="Times New Roman" w:hAnsi="Times New Roman" w:cs="Times New Roman"/>
        </w:rPr>
        <w:t>:</w:t>
      </w:r>
      <w:r w:rsidR="005B1A3C" w:rsidRPr="00A472FC">
        <w:rPr>
          <w:rFonts w:ascii="Times New Roman" w:hAnsi="Times New Roman" w:cs="Times New Roman"/>
        </w:rPr>
        <w:t xml:space="preserve"> it is created from nothing</w:t>
      </w:r>
      <w:r w:rsidRPr="00A472FC">
        <w:rPr>
          <w:rFonts w:ascii="Times New Roman" w:hAnsi="Times New Roman" w:cs="Times New Roman"/>
        </w:rPr>
        <w:t>.</w:t>
      </w:r>
      <w:r w:rsidR="00DA487B" w:rsidRPr="00A472FC">
        <w:rPr>
          <w:rStyle w:val="FootnoteReference"/>
          <w:rFonts w:ascii="Times New Roman" w:hAnsi="Times New Roman" w:cs="Times New Roman"/>
        </w:rPr>
        <w:footnoteReference w:id="1153"/>
      </w:r>
      <w:r w:rsidR="00DA487B" w:rsidRPr="00A472FC">
        <w:rPr>
          <w:rFonts w:ascii="Times New Roman" w:hAnsi="Times New Roman" w:cs="Times New Roman"/>
        </w:rPr>
        <w:t xml:space="preserve"> </w:t>
      </w:r>
      <w:r w:rsidRPr="00A472FC">
        <w:rPr>
          <w:rFonts w:ascii="Times New Roman" w:hAnsi="Times New Roman" w:cs="Times New Roman"/>
        </w:rPr>
        <w:t>Thus, he says, as Damascus writes</w:t>
      </w:r>
      <w:r w:rsidR="00DA5388" w:rsidRPr="00A472FC">
        <w:rPr>
          <w:rFonts w:ascii="Times New Roman" w:hAnsi="Times New Roman" w:cs="Times New Roman"/>
        </w:rPr>
        <w:t>,</w:t>
      </w:r>
      <w:r w:rsidRPr="00A472FC">
        <w:rPr>
          <w:rFonts w:ascii="Times New Roman" w:hAnsi="Times New Roman" w:cs="Times New Roman"/>
        </w:rPr>
        <w:t xml:space="preserve"> everything generable is changeable.</w:t>
      </w:r>
      <w:r w:rsidRPr="00A472FC">
        <w:rPr>
          <w:rStyle w:val="FootnoteReference"/>
          <w:rFonts w:ascii="Times New Roman" w:hAnsi="Times New Roman" w:cs="Times New Roman"/>
        </w:rPr>
        <w:footnoteReference w:id="1154"/>
      </w:r>
      <w:r w:rsidRPr="00A472FC">
        <w:rPr>
          <w:rFonts w:ascii="Times New Roman" w:hAnsi="Times New Roman" w:cs="Times New Roman"/>
        </w:rPr>
        <w:t xml:space="preserve"> The ability to change can be </w:t>
      </w:r>
      <w:proofErr w:type="spellStart"/>
      <w:r w:rsidRPr="00A472FC">
        <w:rPr>
          <w:rFonts w:ascii="Times New Roman" w:hAnsi="Times New Roman" w:cs="Times New Roman"/>
          <w:i/>
          <w:iCs/>
        </w:rPr>
        <w:t>simpliciter</w:t>
      </w:r>
      <w:proofErr w:type="spellEnd"/>
      <w:r w:rsidR="002E37AB" w:rsidRPr="00A472FC">
        <w:rPr>
          <w:rFonts w:ascii="Times New Roman" w:hAnsi="Times New Roman" w:cs="Times New Roman"/>
        </w:rPr>
        <w:t xml:space="preserve"> or unqualified</w:t>
      </w:r>
      <w:r w:rsidRPr="00A472FC">
        <w:rPr>
          <w:rFonts w:ascii="Times New Roman" w:hAnsi="Times New Roman" w:cs="Times New Roman"/>
        </w:rPr>
        <w:t xml:space="preserve">, </w:t>
      </w:r>
      <w:r w:rsidR="004D1978" w:rsidRPr="00A472FC">
        <w:rPr>
          <w:rFonts w:ascii="Times New Roman" w:hAnsi="Times New Roman" w:cs="Times New Roman"/>
        </w:rPr>
        <w:t xml:space="preserve">involving a simple reversion from being back into non-being, </w:t>
      </w:r>
      <w:r w:rsidR="00493341" w:rsidRPr="00A472FC">
        <w:rPr>
          <w:rFonts w:ascii="Times New Roman" w:hAnsi="Times New Roman" w:cs="Times New Roman"/>
        </w:rPr>
        <w:t>except in the case of</w:t>
      </w:r>
      <w:r w:rsidRPr="00A472FC">
        <w:rPr>
          <w:rFonts w:ascii="Times New Roman" w:hAnsi="Times New Roman" w:cs="Times New Roman"/>
        </w:rPr>
        <w:t xml:space="preserve"> rational beings </w:t>
      </w:r>
      <w:r w:rsidR="00493341" w:rsidRPr="00A472FC">
        <w:rPr>
          <w:rFonts w:ascii="Times New Roman" w:hAnsi="Times New Roman" w:cs="Times New Roman"/>
        </w:rPr>
        <w:t>which</w:t>
      </w:r>
      <w:r w:rsidRPr="00A472FC">
        <w:rPr>
          <w:rFonts w:ascii="Times New Roman" w:hAnsi="Times New Roman" w:cs="Times New Roman"/>
        </w:rPr>
        <w:t xml:space="preserve"> are immortal</w:t>
      </w:r>
      <w:r w:rsidR="003D126F" w:rsidRPr="00A472FC">
        <w:rPr>
          <w:rFonts w:ascii="Times New Roman" w:hAnsi="Times New Roman" w:cs="Times New Roman"/>
        </w:rPr>
        <w:t xml:space="preserve"> and </w:t>
      </w:r>
      <w:r w:rsidR="00656481" w:rsidRPr="00A472FC">
        <w:rPr>
          <w:rFonts w:ascii="Times New Roman" w:hAnsi="Times New Roman" w:cs="Times New Roman"/>
        </w:rPr>
        <w:t xml:space="preserve">cannot </w:t>
      </w:r>
      <w:r w:rsidR="003D126F" w:rsidRPr="00A472FC">
        <w:rPr>
          <w:rFonts w:ascii="Times New Roman" w:hAnsi="Times New Roman" w:cs="Times New Roman"/>
        </w:rPr>
        <w:t xml:space="preserve">therefore </w:t>
      </w:r>
      <w:r w:rsidR="008223FF" w:rsidRPr="00A472FC">
        <w:rPr>
          <w:rFonts w:ascii="Times New Roman" w:hAnsi="Times New Roman" w:cs="Times New Roman"/>
        </w:rPr>
        <w:t>cease to exist</w:t>
      </w:r>
      <w:r w:rsidRPr="00A472FC">
        <w:rPr>
          <w:rFonts w:ascii="Times New Roman" w:hAnsi="Times New Roman" w:cs="Times New Roman"/>
        </w:rPr>
        <w:t>.</w:t>
      </w:r>
      <w:r w:rsidRPr="00A472FC">
        <w:rPr>
          <w:rStyle w:val="FootnoteReference"/>
          <w:rFonts w:ascii="Times New Roman" w:hAnsi="Times New Roman" w:cs="Times New Roman"/>
        </w:rPr>
        <w:footnoteReference w:id="1155"/>
      </w:r>
      <w:r w:rsidRPr="00A472FC">
        <w:rPr>
          <w:rFonts w:ascii="Times New Roman" w:hAnsi="Times New Roman" w:cs="Times New Roman"/>
        </w:rPr>
        <w:t xml:space="preserve"> </w:t>
      </w:r>
      <w:r w:rsidR="008223FF" w:rsidRPr="00A472FC">
        <w:rPr>
          <w:rFonts w:ascii="Times New Roman" w:hAnsi="Times New Roman" w:cs="Times New Roman"/>
        </w:rPr>
        <w:t xml:space="preserve">For this reason, </w:t>
      </w:r>
      <w:r w:rsidR="008223FF" w:rsidRPr="00A472FC">
        <w:rPr>
          <w:rFonts w:ascii="Times New Roman" w:hAnsi="Times New Roman" w:cs="Times New Roman"/>
        </w:rPr>
        <w:lastRenderedPageBreak/>
        <w:t xml:space="preserve">Alexander insists, changeability for </w:t>
      </w:r>
      <w:r w:rsidR="00895315" w:rsidRPr="00A472FC">
        <w:rPr>
          <w:rFonts w:ascii="Times New Roman" w:hAnsi="Times New Roman" w:cs="Times New Roman"/>
        </w:rPr>
        <w:t>human beings must</w:t>
      </w:r>
      <w:r w:rsidRPr="00A472FC">
        <w:rPr>
          <w:rFonts w:ascii="Times New Roman" w:hAnsi="Times New Roman" w:cs="Times New Roman"/>
        </w:rPr>
        <w:t xml:space="preserve"> involve an ability to </w:t>
      </w:r>
      <w:r w:rsidR="0095768F" w:rsidRPr="00A472FC">
        <w:rPr>
          <w:rFonts w:ascii="Times New Roman" w:hAnsi="Times New Roman" w:cs="Times New Roman"/>
        </w:rPr>
        <w:t>alternate</w:t>
      </w:r>
      <w:r w:rsidRPr="00A472FC">
        <w:rPr>
          <w:rFonts w:ascii="Times New Roman" w:hAnsi="Times New Roman" w:cs="Times New Roman"/>
        </w:rPr>
        <w:t xml:space="preserve"> between the good </w:t>
      </w:r>
      <w:r w:rsidR="009273BB" w:rsidRPr="00A472FC">
        <w:rPr>
          <w:rFonts w:ascii="Times New Roman" w:hAnsi="Times New Roman" w:cs="Times New Roman"/>
        </w:rPr>
        <w:t xml:space="preserve">in which they were made and evil </w:t>
      </w:r>
      <w:r w:rsidR="0025023A" w:rsidRPr="00A472FC">
        <w:rPr>
          <w:rFonts w:ascii="Times New Roman" w:hAnsi="Times New Roman" w:cs="Times New Roman"/>
        </w:rPr>
        <w:t>according to which they were not made</w:t>
      </w:r>
      <w:r w:rsidRPr="00A472FC">
        <w:rPr>
          <w:rFonts w:ascii="Times New Roman" w:hAnsi="Times New Roman" w:cs="Times New Roman"/>
        </w:rPr>
        <w:t xml:space="preserve">. </w:t>
      </w:r>
      <w:r w:rsidR="006F7646" w:rsidRPr="00A472FC">
        <w:rPr>
          <w:rFonts w:ascii="Times New Roman" w:hAnsi="Times New Roman" w:cs="Times New Roman"/>
        </w:rPr>
        <w:t>As regards free will, in other wo</w:t>
      </w:r>
      <w:r w:rsidR="00701443" w:rsidRPr="00A472FC">
        <w:rPr>
          <w:rFonts w:ascii="Times New Roman" w:hAnsi="Times New Roman" w:cs="Times New Roman"/>
        </w:rPr>
        <w:t>r</w:t>
      </w:r>
      <w:r w:rsidR="006F7646" w:rsidRPr="00A472FC">
        <w:rPr>
          <w:rFonts w:ascii="Times New Roman" w:hAnsi="Times New Roman" w:cs="Times New Roman"/>
        </w:rPr>
        <w:t>ds,</w:t>
      </w:r>
      <w:r w:rsidRPr="00A472FC">
        <w:rPr>
          <w:rFonts w:ascii="Times New Roman" w:hAnsi="Times New Roman" w:cs="Times New Roman"/>
        </w:rPr>
        <w:t xml:space="preserve"> Alexander says that the rational creature must be changeable </w:t>
      </w:r>
      <w:r w:rsidR="00743F77" w:rsidRPr="00A472FC">
        <w:rPr>
          <w:rFonts w:ascii="Times New Roman" w:hAnsi="Times New Roman" w:cs="Times New Roman"/>
        </w:rPr>
        <w:t>in the sense of being</w:t>
      </w:r>
      <w:r w:rsidRPr="00A472FC">
        <w:rPr>
          <w:rFonts w:ascii="Times New Roman" w:hAnsi="Times New Roman" w:cs="Times New Roman"/>
        </w:rPr>
        <w:t xml:space="preserve"> flexible between good and evil. </w:t>
      </w:r>
    </w:p>
    <w:p w14:paraId="3A31390C" w14:textId="3FF495EB" w:rsidR="00665333" w:rsidRPr="00A472FC" w:rsidRDefault="0009778F" w:rsidP="007B4391">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In response to </w:t>
      </w:r>
      <w:r w:rsidR="00665333" w:rsidRPr="00A472FC">
        <w:rPr>
          <w:rFonts w:ascii="Times New Roman" w:hAnsi="Times New Roman" w:cs="Times New Roman"/>
        </w:rPr>
        <w:t xml:space="preserve">the objection that </w:t>
      </w:r>
      <w:r w:rsidR="00AC0AE6" w:rsidRPr="00A472FC">
        <w:rPr>
          <w:rFonts w:ascii="Times New Roman" w:hAnsi="Times New Roman" w:cs="Times New Roman"/>
        </w:rPr>
        <w:t>humans should not be able to will evil because</w:t>
      </w:r>
      <w:r w:rsidR="00665333" w:rsidRPr="00A472FC">
        <w:rPr>
          <w:rFonts w:ascii="Times New Roman" w:hAnsi="Times New Roman" w:cs="Times New Roman"/>
        </w:rPr>
        <w:t xml:space="preserve"> God is good, and humans are made in </w:t>
      </w:r>
      <w:r w:rsidR="00350EA3" w:rsidRPr="00A472FC">
        <w:rPr>
          <w:rFonts w:ascii="Times New Roman" w:hAnsi="Times New Roman" w:cs="Times New Roman"/>
        </w:rPr>
        <w:t>his</w:t>
      </w:r>
      <w:r w:rsidR="00665333" w:rsidRPr="00A472FC">
        <w:rPr>
          <w:rFonts w:ascii="Times New Roman" w:hAnsi="Times New Roman" w:cs="Times New Roman"/>
        </w:rPr>
        <w:t xml:space="preserve"> image, Alexander observes that creatures are unlike God, </w:t>
      </w:r>
      <w:r w:rsidR="00921C8A" w:rsidRPr="00A472FC">
        <w:rPr>
          <w:rFonts w:ascii="Times New Roman" w:hAnsi="Times New Roman" w:cs="Times New Roman"/>
        </w:rPr>
        <w:t xml:space="preserve">precisely </w:t>
      </w:r>
      <w:r w:rsidR="00665333" w:rsidRPr="00A472FC">
        <w:rPr>
          <w:rFonts w:ascii="Times New Roman" w:hAnsi="Times New Roman" w:cs="Times New Roman"/>
        </w:rPr>
        <w:t>because they are made from nothing and are therefore changeable and able by nature to turn away from the good in which they were made.</w:t>
      </w:r>
      <w:r w:rsidR="00665333" w:rsidRPr="00A472FC">
        <w:rPr>
          <w:rStyle w:val="FootnoteReference"/>
          <w:rFonts w:ascii="Times New Roman" w:hAnsi="Times New Roman" w:cs="Times New Roman"/>
        </w:rPr>
        <w:footnoteReference w:id="1156"/>
      </w:r>
      <w:r w:rsidR="00665333" w:rsidRPr="00A472FC">
        <w:rPr>
          <w:rFonts w:ascii="Times New Roman" w:hAnsi="Times New Roman" w:cs="Times New Roman"/>
        </w:rPr>
        <w:t xml:space="preserve"> In response to Anselm’s claim that ‘willing evil is a defect of liberty,’ Alexander states that this is only the case when we think of graced human nature—and that, Alexander claims, is the state to which Anselm refers.</w:t>
      </w:r>
      <w:r w:rsidR="00665333" w:rsidRPr="00A472FC">
        <w:rPr>
          <w:rStyle w:val="FootnoteReference"/>
          <w:rFonts w:ascii="Times New Roman" w:hAnsi="Times New Roman" w:cs="Times New Roman"/>
        </w:rPr>
        <w:footnoteReference w:id="1157"/>
      </w:r>
      <w:r w:rsidR="00665333" w:rsidRPr="00A472FC">
        <w:rPr>
          <w:rFonts w:ascii="Times New Roman" w:hAnsi="Times New Roman" w:cs="Times New Roman"/>
        </w:rPr>
        <w:t xml:space="preserve"> In the case of the liberty of nature, humans are able to do good as </w:t>
      </w:r>
      <w:r w:rsidR="00D46B4C" w:rsidRPr="00A472FC">
        <w:rPr>
          <w:rFonts w:ascii="Times New Roman" w:hAnsi="Times New Roman" w:cs="Times New Roman"/>
        </w:rPr>
        <w:t>easily as evil</w:t>
      </w:r>
      <w:r w:rsidRPr="00A472FC">
        <w:rPr>
          <w:rFonts w:ascii="Times New Roman" w:hAnsi="Times New Roman" w:cs="Times New Roman"/>
        </w:rPr>
        <w:t xml:space="preserve">. </w:t>
      </w:r>
      <w:r w:rsidR="005D3794" w:rsidRPr="00A472FC">
        <w:rPr>
          <w:rFonts w:ascii="Times New Roman" w:hAnsi="Times New Roman" w:cs="Times New Roman"/>
        </w:rPr>
        <w:t>The</w:t>
      </w:r>
      <w:r w:rsidR="00665333" w:rsidRPr="00A472FC">
        <w:rPr>
          <w:rFonts w:ascii="Times New Roman" w:hAnsi="Times New Roman" w:cs="Times New Roman"/>
        </w:rPr>
        <w:t xml:space="preserve"> power of doing evil is not called servitude</w:t>
      </w:r>
      <w:r w:rsidRPr="00A472FC">
        <w:rPr>
          <w:rFonts w:ascii="Times New Roman" w:hAnsi="Times New Roman" w:cs="Times New Roman"/>
        </w:rPr>
        <w:t xml:space="preserve"> in this instance</w:t>
      </w:r>
      <w:r w:rsidR="00665333" w:rsidRPr="00A472FC">
        <w:rPr>
          <w:rFonts w:ascii="Times New Roman" w:hAnsi="Times New Roman" w:cs="Times New Roman"/>
        </w:rPr>
        <w:t xml:space="preserve">, </w:t>
      </w:r>
      <w:r w:rsidR="005D3794" w:rsidRPr="00A472FC">
        <w:rPr>
          <w:rFonts w:ascii="Times New Roman" w:hAnsi="Times New Roman" w:cs="Times New Roman"/>
        </w:rPr>
        <w:t xml:space="preserve">moreover, </w:t>
      </w:r>
      <w:r w:rsidR="00665333" w:rsidRPr="00A472FC">
        <w:rPr>
          <w:rFonts w:ascii="Times New Roman" w:hAnsi="Times New Roman" w:cs="Times New Roman"/>
        </w:rPr>
        <w:t>because it is not simply a matter of being compelled by nature or instinct to do something, as is the case with animal</w:t>
      </w:r>
      <w:r w:rsidR="00006A8C" w:rsidRPr="00A472FC">
        <w:rPr>
          <w:rFonts w:ascii="Times New Roman" w:hAnsi="Times New Roman" w:cs="Times New Roman"/>
        </w:rPr>
        <w:t>s</w:t>
      </w:r>
      <w:r w:rsidR="00665333" w:rsidRPr="00A472FC">
        <w:rPr>
          <w:rFonts w:ascii="Times New Roman" w:hAnsi="Times New Roman" w:cs="Times New Roman"/>
        </w:rPr>
        <w:t>. Later on in the question, Alexander reinforces this point when he says that Anselm’s definition only really applies insofar as free will is common to God, good angels, and graced human beings.</w:t>
      </w:r>
      <w:r w:rsidR="00665333" w:rsidRPr="00A472FC">
        <w:rPr>
          <w:rStyle w:val="FootnoteReference"/>
          <w:rFonts w:ascii="Times New Roman" w:hAnsi="Times New Roman" w:cs="Times New Roman"/>
        </w:rPr>
        <w:footnoteReference w:id="1158"/>
      </w:r>
      <w:r w:rsidR="00665333" w:rsidRPr="00A472FC">
        <w:rPr>
          <w:rFonts w:ascii="Times New Roman" w:hAnsi="Times New Roman" w:cs="Times New Roman"/>
        </w:rPr>
        <w:t xml:space="preserve"> This, Alexander believes, is how Lombard understands free will in his </w:t>
      </w:r>
      <w:r w:rsidR="00040053" w:rsidRPr="00A472FC">
        <w:rPr>
          <w:rFonts w:ascii="Times New Roman" w:hAnsi="Times New Roman" w:cs="Times New Roman"/>
          <w:i/>
        </w:rPr>
        <w:t>Sentences</w:t>
      </w:r>
      <w:r w:rsidR="00665333" w:rsidRPr="00A472FC">
        <w:rPr>
          <w:rFonts w:ascii="Times New Roman" w:hAnsi="Times New Roman" w:cs="Times New Roman"/>
        </w:rPr>
        <w:t>, namely, insofar as it is common to God and creatures and thus not related to evil.</w:t>
      </w:r>
      <w:r w:rsidR="00665333" w:rsidRPr="00A472FC">
        <w:rPr>
          <w:rStyle w:val="FootnoteReference"/>
          <w:rFonts w:ascii="Times New Roman" w:hAnsi="Times New Roman" w:cs="Times New Roman"/>
        </w:rPr>
        <w:footnoteReference w:id="1159"/>
      </w:r>
      <w:r w:rsidR="00665333" w:rsidRPr="00A472FC">
        <w:rPr>
          <w:rFonts w:ascii="Times New Roman" w:hAnsi="Times New Roman" w:cs="Times New Roman"/>
        </w:rPr>
        <w:t xml:space="preserve"> When it comes to rational beings in their own right, however, </w:t>
      </w:r>
      <w:r w:rsidR="008F4FBE" w:rsidRPr="00A472FC">
        <w:rPr>
          <w:rFonts w:ascii="Times New Roman" w:hAnsi="Times New Roman" w:cs="Times New Roman"/>
        </w:rPr>
        <w:t xml:space="preserve">he reiterates that </w:t>
      </w:r>
      <w:r w:rsidR="00665333" w:rsidRPr="00A472FC">
        <w:rPr>
          <w:rFonts w:ascii="Times New Roman" w:hAnsi="Times New Roman" w:cs="Times New Roman"/>
        </w:rPr>
        <w:t>free will pertains to both good and evil.</w:t>
      </w:r>
      <w:r w:rsidR="00665333" w:rsidRPr="00A472FC">
        <w:rPr>
          <w:rStyle w:val="FootnoteReference"/>
          <w:rFonts w:ascii="Times New Roman" w:hAnsi="Times New Roman" w:cs="Times New Roman"/>
        </w:rPr>
        <w:footnoteReference w:id="1160"/>
      </w:r>
      <w:r w:rsidR="00665333" w:rsidRPr="00A472FC">
        <w:rPr>
          <w:rFonts w:ascii="Times New Roman" w:hAnsi="Times New Roman" w:cs="Times New Roman"/>
        </w:rPr>
        <w:t xml:space="preserve"> In short, it involves consent to </w:t>
      </w:r>
      <w:r w:rsidR="00B97D73" w:rsidRPr="00A472FC">
        <w:rPr>
          <w:rFonts w:ascii="Times New Roman" w:hAnsi="Times New Roman" w:cs="Times New Roman"/>
        </w:rPr>
        <w:t>one or the other</w:t>
      </w:r>
      <w:r w:rsidR="00665333" w:rsidRPr="00A472FC">
        <w:rPr>
          <w:rFonts w:ascii="Times New Roman" w:hAnsi="Times New Roman" w:cs="Times New Roman"/>
        </w:rPr>
        <w:t>.</w:t>
      </w:r>
      <w:r w:rsidR="00665333" w:rsidRPr="00A472FC">
        <w:rPr>
          <w:rStyle w:val="FootnoteReference"/>
          <w:rFonts w:ascii="Times New Roman" w:hAnsi="Times New Roman" w:cs="Times New Roman"/>
        </w:rPr>
        <w:footnoteReference w:id="1161"/>
      </w:r>
      <w:r w:rsidR="00665333" w:rsidRPr="00A472FC">
        <w:rPr>
          <w:rFonts w:ascii="Times New Roman" w:hAnsi="Times New Roman" w:cs="Times New Roman"/>
        </w:rPr>
        <w:t xml:space="preserve"> </w:t>
      </w:r>
    </w:p>
    <w:p w14:paraId="0D664AA5" w14:textId="4E04D1C0" w:rsidR="00665333" w:rsidRPr="00A472FC" w:rsidRDefault="009E1463" w:rsidP="00BB666C">
      <w:pPr>
        <w:autoSpaceDE w:val="0"/>
        <w:autoSpaceDN w:val="0"/>
        <w:adjustRightInd w:val="0"/>
        <w:ind w:right="-52" w:firstLine="720"/>
        <w:rPr>
          <w:rFonts w:ascii="Times New Roman" w:hAnsi="Times New Roman" w:cs="Times New Roman"/>
        </w:rPr>
      </w:pPr>
      <w:r w:rsidRPr="00A472FC">
        <w:rPr>
          <w:rFonts w:ascii="Times New Roman" w:hAnsi="Times New Roman" w:cs="Times New Roman"/>
        </w:rPr>
        <w:t xml:space="preserve">In </w:t>
      </w:r>
      <w:r w:rsidR="00665333" w:rsidRPr="00A472FC">
        <w:rPr>
          <w:rFonts w:ascii="Times New Roman" w:hAnsi="Times New Roman" w:cs="Times New Roman"/>
        </w:rPr>
        <w:t xml:space="preserve">relation to </w:t>
      </w:r>
      <w:r w:rsidR="00BB666C" w:rsidRPr="00A472FC">
        <w:rPr>
          <w:rFonts w:ascii="Times New Roman" w:hAnsi="Times New Roman" w:cs="Times New Roman"/>
        </w:rPr>
        <w:t>another</w:t>
      </w:r>
      <w:r w:rsidR="00665333" w:rsidRPr="00A472FC">
        <w:rPr>
          <w:rFonts w:ascii="Times New Roman" w:hAnsi="Times New Roman" w:cs="Times New Roman"/>
        </w:rPr>
        <w:t xml:space="preserve"> contemporary debate, </w:t>
      </w:r>
      <w:r w:rsidR="00BB666C" w:rsidRPr="00A472FC">
        <w:rPr>
          <w:rFonts w:ascii="Times New Roman" w:hAnsi="Times New Roman" w:cs="Times New Roman"/>
        </w:rPr>
        <w:t xml:space="preserve">Alexander takes the view </w:t>
      </w:r>
      <w:r w:rsidR="00665333" w:rsidRPr="00A472FC">
        <w:rPr>
          <w:rFonts w:ascii="Times New Roman" w:hAnsi="Times New Roman" w:cs="Times New Roman"/>
        </w:rPr>
        <w:t xml:space="preserve">that free will is a </w:t>
      </w:r>
      <w:r w:rsidR="008012D3" w:rsidRPr="00A472FC">
        <w:rPr>
          <w:rFonts w:ascii="Times New Roman" w:hAnsi="Times New Roman" w:cs="Times New Roman"/>
        </w:rPr>
        <w:t xml:space="preserve">distinct </w:t>
      </w:r>
      <w:r w:rsidR="00665333" w:rsidRPr="00A472FC">
        <w:rPr>
          <w:rFonts w:ascii="Times New Roman" w:hAnsi="Times New Roman" w:cs="Times New Roman"/>
        </w:rPr>
        <w:t>faculty which contains both reason and will.</w:t>
      </w:r>
      <w:r w:rsidR="00ED70BA" w:rsidRPr="00A472FC">
        <w:rPr>
          <w:rStyle w:val="FootnoteReference"/>
          <w:rFonts w:ascii="Times New Roman" w:hAnsi="Times New Roman" w:cs="Times New Roman"/>
        </w:rPr>
        <w:footnoteReference w:id="1162"/>
      </w:r>
      <w:r w:rsidR="00665333" w:rsidRPr="00A472FC">
        <w:rPr>
          <w:rFonts w:ascii="Times New Roman" w:hAnsi="Times New Roman" w:cs="Times New Roman"/>
        </w:rPr>
        <w:t xml:space="preserve"> This </w:t>
      </w:r>
      <w:proofErr w:type="spellStart"/>
      <w:r w:rsidR="00665333" w:rsidRPr="00A472FC">
        <w:rPr>
          <w:rFonts w:ascii="Times New Roman" w:hAnsi="Times New Roman" w:cs="Times New Roman"/>
        </w:rPr>
        <w:t>tri-partite</w:t>
      </w:r>
      <w:proofErr w:type="spellEnd"/>
      <w:r w:rsidR="00665333" w:rsidRPr="00A472FC">
        <w:rPr>
          <w:rFonts w:ascii="Times New Roman" w:hAnsi="Times New Roman" w:cs="Times New Roman"/>
        </w:rPr>
        <w:t xml:space="preserve"> dimension is what renders free will an image of the Trinity—where the Son represents knowledge or reason, the Spirit, will, and the Father an ultimate decision—that therefore involves both reason, will, and their </w:t>
      </w:r>
      <w:r w:rsidR="004069FF">
        <w:rPr>
          <w:rFonts w:ascii="Times New Roman" w:hAnsi="Times New Roman" w:cs="Times New Roman"/>
        </w:rPr>
        <w:t>co-</w:t>
      </w:r>
      <w:r w:rsidR="00665333" w:rsidRPr="00A472FC">
        <w:rPr>
          <w:rFonts w:ascii="Times New Roman" w:hAnsi="Times New Roman" w:cs="Times New Roman"/>
        </w:rPr>
        <w:t>operation (</w:t>
      </w:r>
      <w:proofErr w:type="spellStart"/>
      <w:r w:rsidR="00665333" w:rsidRPr="00A472FC">
        <w:rPr>
          <w:rFonts w:ascii="Times New Roman" w:hAnsi="Times New Roman" w:cs="Times New Roman"/>
          <w:i/>
        </w:rPr>
        <w:t>facultas</w:t>
      </w:r>
      <w:proofErr w:type="spellEnd"/>
      <w:r w:rsidR="00665333" w:rsidRPr="00A472FC">
        <w:rPr>
          <w:rFonts w:ascii="Times New Roman" w:hAnsi="Times New Roman" w:cs="Times New Roman"/>
        </w:rPr>
        <w:t>).</w:t>
      </w:r>
      <w:r w:rsidR="00665333" w:rsidRPr="00A472FC">
        <w:rPr>
          <w:rStyle w:val="FootnoteReference"/>
          <w:rFonts w:ascii="Times New Roman" w:hAnsi="Times New Roman" w:cs="Times New Roman"/>
        </w:rPr>
        <w:footnoteReference w:id="1163"/>
      </w:r>
      <w:r w:rsidR="00665333" w:rsidRPr="00A472FC">
        <w:rPr>
          <w:rFonts w:ascii="Times New Roman" w:hAnsi="Times New Roman" w:cs="Times New Roman"/>
        </w:rPr>
        <w:t xml:space="preserve"> After marshalling a series of proof texts from some of the usual suspects—Bernard, Damascus, and Augustine, however—Alexander draws the conclusion that even though a preliminary cognitive act is needed to weigh what one should do, free will is ultimately a matter of willing to do it and thus in essence pertains more to the will than reason.</w:t>
      </w:r>
      <w:r w:rsidR="00665333" w:rsidRPr="00A472FC">
        <w:rPr>
          <w:rStyle w:val="FootnoteReference"/>
          <w:rFonts w:ascii="Times New Roman" w:hAnsi="Times New Roman" w:cs="Times New Roman"/>
        </w:rPr>
        <w:footnoteReference w:id="1164"/>
      </w:r>
      <w:r w:rsidR="00665333" w:rsidRPr="00A472FC">
        <w:rPr>
          <w:rFonts w:ascii="Times New Roman" w:hAnsi="Times New Roman" w:cs="Times New Roman"/>
        </w:rPr>
        <w:t xml:space="preserve"> In fact, Alexander goes so far as to say, following Philip the Chancellor, that it is </w:t>
      </w:r>
      <w:r w:rsidR="00071F74" w:rsidRPr="00A472FC">
        <w:rPr>
          <w:rFonts w:ascii="Times New Roman" w:hAnsi="Times New Roman" w:cs="Times New Roman"/>
        </w:rPr>
        <w:t xml:space="preserve">really </w:t>
      </w:r>
      <w:r w:rsidR="00665333" w:rsidRPr="00A472FC">
        <w:rPr>
          <w:rFonts w:ascii="Times New Roman" w:hAnsi="Times New Roman" w:cs="Times New Roman"/>
        </w:rPr>
        <w:t>just a matter of the will.</w:t>
      </w:r>
      <w:r w:rsidR="00665333" w:rsidRPr="00A472FC">
        <w:rPr>
          <w:rStyle w:val="FootnoteReference"/>
          <w:rFonts w:ascii="Times New Roman" w:hAnsi="Times New Roman" w:cs="Times New Roman"/>
        </w:rPr>
        <w:footnoteReference w:id="1165"/>
      </w:r>
      <w:r w:rsidR="00665333" w:rsidRPr="00A472FC">
        <w:rPr>
          <w:rFonts w:ascii="Times New Roman" w:hAnsi="Times New Roman" w:cs="Times New Roman"/>
        </w:rPr>
        <w:t xml:space="preserve"> To justify this</w:t>
      </w:r>
      <w:r w:rsidR="00134248" w:rsidRPr="00A472FC">
        <w:rPr>
          <w:rFonts w:ascii="Times New Roman" w:hAnsi="Times New Roman" w:cs="Times New Roman"/>
        </w:rPr>
        <w:t xml:space="preserve"> claim</w:t>
      </w:r>
      <w:r w:rsidR="00665333" w:rsidRPr="00A472FC">
        <w:rPr>
          <w:rFonts w:ascii="Times New Roman" w:hAnsi="Times New Roman" w:cs="Times New Roman"/>
        </w:rPr>
        <w:t xml:space="preserve"> in relation to Augustine, he notes like John that one can speak of free will distinctly or indistinctly. To speak of free will indistinctly is to speak of reason, will, and their operation as Augustine does.</w:t>
      </w:r>
      <w:r w:rsidR="00665333" w:rsidRPr="00A472FC">
        <w:rPr>
          <w:rStyle w:val="FootnoteReference"/>
          <w:rFonts w:ascii="Times New Roman" w:hAnsi="Times New Roman" w:cs="Times New Roman"/>
        </w:rPr>
        <w:footnoteReference w:id="1166"/>
      </w:r>
      <w:r w:rsidR="00665333" w:rsidRPr="00A472FC">
        <w:rPr>
          <w:rFonts w:ascii="Times New Roman" w:hAnsi="Times New Roman" w:cs="Times New Roman"/>
        </w:rPr>
        <w:t xml:space="preserve"> But to speak of it distinctly is only to speak </w:t>
      </w:r>
      <w:r w:rsidR="004A584D" w:rsidRPr="00A472FC">
        <w:rPr>
          <w:rFonts w:ascii="Times New Roman" w:hAnsi="Times New Roman" w:cs="Times New Roman"/>
        </w:rPr>
        <w:t>only o</w:t>
      </w:r>
      <w:r w:rsidR="00665333" w:rsidRPr="00A472FC">
        <w:rPr>
          <w:rFonts w:ascii="Times New Roman" w:hAnsi="Times New Roman" w:cs="Times New Roman"/>
        </w:rPr>
        <w:t>f the will.</w:t>
      </w:r>
      <w:r w:rsidR="00665333" w:rsidRPr="00A472FC">
        <w:rPr>
          <w:rStyle w:val="FootnoteReference"/>
          <w:rFonts w:ascii="Times New Roman" w:hAnsi="Times New Roman" w:cs="Times New Roman"/>
        </w:rPr>
        <w:footnoteReference w:id="1167"/>
      </w:r>
      <w:r w:rsidR="00665333" w:rsidRPr="00A472FC">
        <w:rPr>
          <w:rFonts w:ascii="Times New Roman" w:hAnsi="Times New Roman" w:cs="Times New Roman"/>
        </w:rPr>
        <w:t xml:space="preserve"> </w:t>
      </w:r>
    </w:p>
    <w:p w14:paraId="1F9061F6" w14:textId="42C19E5D" w:rsidR="007D35EA" w:rsidRPr="00A472FC" w:rsidRDefault="004A584D" w:rsidP="00FF418E">
      <w:pPr>
        <w:ind w:right="-52" w:firstLine="720"/>
        <w:rPr>
          <w:rFonts w:ascii="Times New Roman" w:hAnsi="Times New Roman" w:cs="Times New Roman"/>
        </w:rPr>
      </w:pPr>
      <w:r w:rsidRPr="00A472FC">
        <w:rPr>
          <w:rFonts w:ascii="Times New Roman" w:hAnsi="Times New Roman" w:cs="Times New Roman"/>
        </w:rPr>
        <w:lastRenderedPageBreak/>
        <w:t>On this basis</w:t>
      </w:r>
      <w:r w:rsidR="00665333" w:rsidRPr="00A472FC">
        <w:rPr>
          <w:rFonts w:ascii="Times New Roman" w:hAnsi="Times New Roman" w:cs="Times New Roman"/>
        </w:rPr>
        <w:t xml:space="preserve"> Alexander further argues that sin is primarily in the will.</w:t>
      </w:r>
      <w:r w:rsidR="00665333" w:rsidRPr="00A472FC">
        <w:rPr>
          <w:rStyle w:val="FootnoteReference"/>
          <w:rFonts w:ascii="Times New Roman" w:hAnsi="Times New Roman" w:cs="Times New Roman"/>
        </w:rPr>
        <w:footnoteReference w:id="1168"/>
      </w:r>
      <w:r w:rsidR="00665333" w:rsidRPr="00A472FC">
        <w:rPr>
          <w:rFonts w:ascii="Times New Roman" w:hAnsi="Times New Roman" w:cs="Times New Roman"/>
        </w:rPr>
        <w:t xml:space="preserve"> In other words, it is not a matter of </w:t>
      </w:r>
      <w:r w:rsidR="009F3D4D" w:rsidRPr="00A472FC">
        <w:rPr>
          <w:rFonts w:ascii="Times New Roman" w:hAnsi="Times New Roman" w:cs="Times New Roman"/>
        </w:rPr>
        <w:t>possessing the knowledge of</w:t>
      </w:r>
      <w:r w:rsidR="00665333" w:rsidRPr="00A472FC">
        <w:rPr>
          <w:rFonts w:ascii="Times New Roman" w:hAnsi="Times New Roman" w:cs="Times New Roman"/>
        </w:rPr>
        <w:t xml:space="preserve"> </w:t>
      </w:r>
      <w:r w:rsidR="00B52134" w:rsidRPr="00A472FC">
        <w:rPr>
          <w:rFonts w:ascii="Times New Roman" w:hAnsi="Times New Roman" w:cs="Times New Roman"/>
        </w:rPr>
        <w:t xml:space="preserve">what is </w:t>
      </w:r>
      <w:r w:rsidR="00665333" w:rsidRPr="00A472FC">
        <w:rPr>
          <w:rFonts w:ascii="Times New Roman" w:hAnsi="Times New Roman" w:cs="Times New Roman"/>
        </w:rPr>
        <w:t>right or wrong</w:t>
      </w:r>
      <w:r w:rsidR="00FF418E" w:rsidRPr="00A472FC">
        <w:rPr>
          <w:rFonts w:ascii="Times New Roman" w:hAnsi="Times New Roman" w:cs="Times New Roman"/>
        </w:rPr>
        <w:t xml:space="preserve">. This </w:t>
      </w:r>
      <w:r w:rsidR="00665333" w:rsidRPr="00A472FC">
        <w:rPr>
          <w:rFonts w:ascii="Times New Roman" w:hAnsi="Times New Roman" w:cs="Times New Roman"/>
        </w:rPr>
        <w:t xml:space="preserve">is instilled in us by </w:t>
      </w:r>
      <w:proofErr w:type="spellStart"/>
      <w:r w:rsidR="00665333" w:rsidRPr="00A472FC">
        <w:rPr>
          <w:rFonts w:ascii="Times New Roman" w:hAnsi="Times New Roman" w:cs="Times New Roman"/>
          <w:i/>
          <w:iCs/>
        </w:rPr>
        <w:t>synderesis</w:t>
      </w:r>
      <w:proofErr w:type="spellEnd"/>
      <w:r w:rsidR="00665333" w:rsidRPr="00A472FC">
        <w:rPr>
          <w:rFonts w:ascii="Times New Roman" w:hAnsi="Times New Roman" w:cs="Times New Roman"/>
        </w:rPr>
        <w:t xml:space="preserve"> or the natural law, which gives us an innate orientation to the good. </w:t>
      </w:r>
      <w:r w:rsidR="00FF418E" w:rsidRPr="00A472FC">
        <w:rPr>
          <w:rFonts w:ascii="Times New Roman" w:hAnsi="Times New Roman" w:cs="Times New Roman"/>
        </w:rPr>
        <w:t xml:space="preserve">Thus, sin is simply </w:t>
      </w:r>
      <w:r w:rsidR="00665333" w:rsidRPr="00A472FC">
        <w:rPr>
          <w:rFonts w:ascii="Times New Roman" w:hAnsi="Times New Roman" w:cs="Times New Roman"/>
        </w:rPr>
        <w:t xml:space="preserve">a matter of refusing to do what </w:t>
      </w:r>
      <w:r w:rsidR="00FF418E" w:rsidRPr="00A472FC">
        <w:rPr>
          <w:rFonts w:ascii="Times New Roman" w:hAnsi="Times New Roman" w:cs="Times New Roman"/>
        </w:rPr>
        <w:t xml:space="preserve">we know </w:t>
      </w:r>
      <w:r w:rsidR="00665333" w:rsidRPr="00A472FC">
        <w:rPr>
          <w:rFonts w:ascii="Times New Roman" w:hAnsi="Times New Roman" w:cs="Times New Roman"/>
        </w:rPr>
        <w:t xml:space="preserve">is good. </w:t>
      </w:r>
      <w:r w:rsidR="00994D9F" w:rsidRPr="00A472FC">
        <w:rPr>
          <w:rFonts w:ascii="Times New Roman" w:hAnsi="Times New Roman" w:cs="Times New Roman"/>
        </w:rPr>
        <w:t xml:space="preserve">When we do this on a consistent basis, Alexander allows, the will can gradually obscure its knowledge of God and the natural law, thereby compromising its ability to will what is good. However, we cannot simply forget what we know about God as the highest good, </w:t>
      </w:r>
      <w:r w:rsidR="00994D9F" w:rsidRPr="00A472FC">
        <w:rPr>
          <w:rFonts w:ascii="Times New Roman" w:eastAsia="Times New Roman" w:hAnsi="Times New Roman" w:cs="Times New Roman"/>
          <w:color w:val="000000"/>
        </w:rPr>
        <w:t xml:space="preserve">for this would imply a deficiency in God and his ability constantly to make himself knowable to us through his image in us. While a bad will can make us ignorant of the good, consequently, Alexander concludes that the knowledge of it in </w:t>
      </w:r>
      <w:proofErr w:type="spellStart"/>
      <w:r w:rsidR="00994D9F" w:rsidRPr="00A472FC">
        <w:rPr>
          <w:rFonts w:ascii="Times New Roman" w:eastAsia="Times New Roman" w:hAnsi="Times New Roman" w:cs="Times New Roman"/>
          <w:i/>
          <w:iCs/>
          <w:color w:val="000000"/>
        </w:rPr>
        <w:t>synderesis</w:t>
      </w:r>
      <w:proofErr w:type="spellEnd"/>
      <w:r w:rsidR="00994D9F" w:rsidRPr="00A472FC">
        <w:rPr>
          <w:rFonts w:ascii="Times New Roman" w:eastAsia="Times New Roman" w:hAnsi="Times New Roman" w:cs="Times New Roman"/>
          <w:color w:val="000000"/>
        </w:rPr>
        <w:t xml:space="preserve"> can never be extinguished. </w:t>
      </w:r>
    </w:p>
    <w:p w14:paraId="7E7C9FB9" w14:textId="391B4F22" w:rsidR="00285F39" w:rsidRPr="00A472FC" w:rsidRDefault="00285F39" w:rsidP="00285F39">
      <w:pPr>
        <w:ind w:right="-52" w:firstLine="720"/>
        <w:rPr>
          <w:rFonts w:ascii="Times New Roman" w:eastAsia="Times New Roman" w:hAnsi="Times New Roman" w:cs="Times New Roman"/>
          <w:color w:val="000000"/>
        </w:rPr>
      </w:pPr>
      <w:r w:rsidRPr="00A472FC">
        <w:rPr>
          <w:rFonts w:ascii="Times New Roman" w:eastAsia="Times New Roman" w:hAnsi="Times New Roman" w:cs="Times New Roman"/>
          <w:color w:val="000000"/>
        </w:rPr>
        <w:t xml:space="preserve">This view represents quite a contrast to that of Augustine and after him Anselm and Aquinas, who held that sin was a matter of </w:t>
      </w:r>
      <w:r w:rsidR="004A584D" w:rsidRPr="00A472FC">
        <w:rPr>
          <w:rFonts w:ascii="Times New Roman" w:eastAsia="Times New Roman" w:hAnsi="Times New Roman" w:cs="Times New Roman"/>
          <w:color w:val="000000"/>
        </w:rPr>
        <w:t xml:space="preserve">both </w:t>
      </w:r>
      <w:r w:rsidRPr="00A472FC">
        <w:rPr>
          <w:rFonts w:ascii="Times New Roman" w:eastAsia="Times New Roman" w:hAnsi="Times New Roman" w:cs="Times New Roman"/>
          <w:color w:val="000000"/>
        </w:rPr>
        <w:t xml:space="preserve">reason and will. In the account of these thinkers, reason starts to regard its supreme good as consisting in something other than God—as this or that ‘lesser good’—and therefore </w:t>
      </w:r>
      <w:proofErr w:type="spellStart"/>
      <w:r w:rsidRPr="00A472FC">
        <w:rPr>
          <w:rFonts w:ascii="Times New Roman" w:eastAsia="Times New Roman" w:hAnsi="Times New Roman" w:cs="Times New Roman"/>
          <w:color w:val="000000"/>
        </w:rPr>
        <w:t>organizes</w:t>
      </w:r>
      <w:proofErr w:type="spellEnd"/>
      <w:r w:rsidRPr="00A472FC">
        <w:rPr>
          <w:rFonts w:ascii="Times New Roman" w:eastAsia="Times New Roman" w:hAnsi="Times New Roman" w:cs="Times New Roman"/>
          <w:color w:val="000000"/>
        </w:rPr>
        <w:t xml:space="preserve"> life around obtaining that good, by virtue of a will to do so.</w:t>
      </w:r>
      <w:r w:rsidRPr="00A472FC">
        <w:rPr>
          <w:rStyle w:val="FootnoteReference"/>
          <w:rFonts w:ascii="Times New Roman" w:eastAsia="Times New Roman" w:hAnsi="Times New Roman" w:cs="Times New Roman"/>
          <w:color w:val="000000"/>
        </w:rPr>
        <w:footnoteReference w:id="1169"/>
      </w:r>
      <w:r w:rsidRPr="00A472FC">
        <w:rPr>
          <w:rFonts w:ascii="Times New Roman" w:eastAsia="Times New Roman" w:hAnsi="Times New Roman" w:cs="Times New Roman"/>
          <w:color w:val="000000"/>
        </w:rPr>
        <w:t xml:space="preserve"> The co-operation of reason and will in Augustine’s account of free </w:t>
      </w:r>
      <w:r w:rsidR="004A584D" w:rsidRPr="00A472FC">
        <w:rPr>
          <w:rFonts w:ascii="Times New Roman" w:eastAsia="Times New Roman" w:hAnsi="Times New Roman" w:cs="Times New Roman"/>
          <w:color w:val="000000"/>
        </w:rPr>
        <w:t>will</w:t>
      </w:r>
      <w:r w:rsidRPr="00A472FC">
        <w:rPr>
          <w:rFonts w:ascii="Times New Roman" w:eastAsia="Times New Roman" w:hAnsi="Times New Roman" w:cs="Times New Roman"/>
          <w:color w:val="000000"/>
        </w:rPr>
        <w:t xml:space="preserve"> therefore calls into question the legitimacy of the kind of voluntarist reading of his thought that was offered by early Franciscans</w:t>
      </w:r>
      <w:r w:rsidRPr="00A472FC">
        <w:rPr>
          <w:rFonts w:ascii="Times New Roman" w:hAnsi="Times New Roman" w:cs="Times New Roman"/>
        </w:rPr>
        <w:t>.</w:t>
      </w:r>
      <w:r w:rsidRPr="00A472FC">
        <w:rPr>
          <w:rStyle w:val="FootnoteReference"/>
          <w:rFonts w:ascii="Times New Roman" w:hAnsi="Times New Roman" w:cs="Times New Roman"/>
        </w:rPr>
        <w:footnoteReference w:id="1170"/>
      </w:r>
      <w:r w:rsidRPr="00A472FC">
        <w:rPr>
          <w:rFonts w:ascii="Times New Roman" w:hAnsi="Times New Roman" w:cs="Times New Roman"/>
        </w:rPr>
        <w:t xml:space="preserve"> Although many modern scholars have taken that reading to be legitimate, Alexander’s writings provide evidence that early Franciscans departed from Augustine’s thinking on this matter in the very act of interpreting him. They illustrate how far someone like Alexander had to stretch Augustine’s words in order to make a case to readers that the bishop attributed primacy to the will. </w:t>
      </w:r>
    </w:p>
    <w:p w14:paraId="3B11E016" w14:textId="54122221" w:rsidR="007D35EA" w:rsidRPr="00A472FC" w:rsidRDefault="00F52E9B" w:rsidP="007D35EA">
      <w:pPr>
        <w:ind w:right="-52" w:firstLine="720"/>
        <w:rPr>
          <w:rFonts w:ascii="Times New Roman" w:hAnsi="Times New Roman" w:cs="Times New Roman"/>
        </w:rPr>
      </w:pPr>
      <w:r w:rsidRPr="00A472FC">
        <w:rPr>
          <w:rFonts w:ascii="Times New Roman" w:hAnsi="Times New Roman" w:cs="Times New Roman"/>
        </w:rPr>
        <w:t>In light of this</w:t>
      </w:r>
      <w:r w:rsidR="0009565E">
        <w:rPr>
          <w:rFonts w:ascii="Times New Roman" w:hAnsi="Times New Roman" w:cs="Times New Roman"/>
        </w:rPr>
        <w:t xml:space="preserve"> attribution</w:t>
      </w:r>
      <w:r w:rsidR="00994D9F" w:rsidRPr="00A472FC">
        <w:rPr>
          <w:rFonts w:ascii="Times New Roman" w:hAnsi="Times New Roman" w:cs="Times New Roman"/>
        </w:rPr>
        <w:t xml:space="preserve">, Alexander </w:t>
      </w:r>
      <w:r w:rsidR="00D561C2" w:rsidRPr="00A472FC">
        <w:rPr>
          <w:rFonts w:ascii="Times New Roman" w:hAnsi="Times New Roman" w:cs="Times New Roman"/>
        </w:rPr>
        <w:t xml:space="preserve">insists that we cannot accumulate merit </w:t>
      </w:r>
      <w:r w:rsidR="00F56BBD" w:rsidRPr="00A472FC">
        <w:rPr>
          <w:rFonts w:ascii="Times New Roman" w:hAnsi="Times New Roman" w:cs="Times New Roman"/>
        </w:rPr>
        <w:t>on account of</w:t>
      </w:r>
      <w:r w:rsidR="00D561C2" w:rsidRPr="00A472FC">
        <w:rPr>
          <w:rFonts w:ascii="Times New Roman" w:hAnsi="Times New Roman" w:cs="Times New Roman"/>
        </w:rPr>
        <w:t xml:space="preserve"> what we know, </w:t>
      </w:r>
      <w:r w:rsidR="00623A88" w:rsidRPr="00A472FC">
        <w:rPr>
          <w:rFonts w:ascii="Times New Roman" w:hAnsi="Times New Roman" w:cs="Times New Roman"/>
        </w:rPr>
        <w:t>since this</w:t>
      </w:r>
      <w:r w:rsidR="00D561C2" w:rsidRPr="00A472FC">
        <w:rPr>
          <w:rFonts w:ascii="Times New Roman" w:hAnsi="Times New Roman" w:cs="Times New Roman"/>
        </w:rPr>
        <w:t xml:space="preserve"> is common and infallible in all. </w:t>
      </w:r>
      <w:r w:rsidR="00623A88" w:rsidRPr="00A472FC">
        <w:rPr>
          <w:rFonts w:ascii="Times New Roman" w:hAnsi="Times New Roman" w:cs="Times New Roman"/>
        </w:rPr>
        <w:t>Instead</w:t>
      </w:r>
      <w:r w:rsidR="00994D9F" w:rsidRPr="00A472FC">
        <w:rPr>
          <w:rFonts w:ascii="Times New Roman" w:hAnsi="Times New Roman" w:cs="Times New Roman"/>
        </w:rPr>
        <w:t>, merit and demerit consist</w:t>
      </w:r>
      <w:r w:rsidR="00D561C2" w:rsidRPr="00A472FC">
        <w:rPr>
          <w:rFonts w:ascii="Times New Roman" w:hAnsi="Times New Roman" w:cs="Times New Roman"/>
        </w:rPr>
        <w:t xml:space="preserve"> in what we decide to do with that knowledge.</w:t>
      </w:r>
      <w:r w:rsidR="00D561C2" w:rsidRPr="00A472FC">
        <w:rPr>
          <w:rStyle w:val="FootnoteReference"/>
          <w:rFonts w:ascii="Times New Roman" w:hAnsi="Times New Roman" w:cs="Times New Roman"/>
        </w:rPr>
        <w:footnoteReference w:id="1171"/>
      </w:r>
      <w:r w:rsidR="00D561C2" w:rsidRPr="00A472FC">
        <w:rPr>
          <w:rFonts w:ascii="Times New Roman" w:hAnsi="Times New Roman" w:cs="Times New Roman"/>
        </w:rPr>
        <w:t xml:space="preserve"> As such, they depend primarily on</w:t>
      </w:r>
      <w:r w:rsidR="00994D9F" w:rsidRPr="00A472FC">
        <w:rPr>
          <w:rFonts w:ascii="Times New Roman" w:hAnsi="Times New Roman" w:cs="Times New Roman"/>
        </w:rPr>
        <w:t xml:space="preserve"> the will.</w:t>
      </w:r>
      <w:r w:rsidR="00994D9F" w:rsidRPr="00A472FC">
        <w:rPr>
          <w:rStyle w:val="FootnoteReference"/>
          <w:rFonts w:ascii="Times New Roman" w:hAnsi="Times New Roman" w:cs="Times New Roman"/>
        </w:rPr>
        <w:footnoteReference w:id="1172"/>
      </w:r>
      <w:r w:rsidR="00994D9F" w:rsidRPr="00A472FC">
        <w:rPr>
          <w:rFonts w:ascii="Times New Roman" w:hAnsi="Times New Roman" w:cs="Times New Roman"/>
        </w:rPr>
        <w:t xml:space="preserve"> </w:t>
      </w:r>
      <w:r w:rsidR="007D35EA" w:rsidRPr="00A472FC">
        <w:rPr>
          <w:rFonts w:ascii="Times New Roman" w:hAnsi="Times New Roman" w:cs="Times New Roman"/>
        </w:rPr>
        <w:t>According to Alexander, the philosophers, particularly Aristotle, did not know about free will precisely because they did not know the principle of meriting by consenting to the divine will.</w:t>
      </w:r>
      <w:r w:rsidR="007D35EA" w:rsidRPr="00A472FC">
        <w:rPr>
          <w:rStyle w:val="FootnoteReference"/>
          <w:rFonts w:ascii="Times New Roman" w:hAnsi="Times New Roman" w:cs="Times New Roman"/>
        </w:rPr>
        <w:footnoteReference w:id="1173"/>
      </w:r>
      <w:r w:rsidR="007D35EA" w:rsidRPr="00A472FC">
        <w:rPr>
          <w:rFonts w:ascii="Times New Roman" w:hAnsi="Times New Roman" w:cs="Times New Roman"/>
        </w:rPr>
        <w:t xml:space="preserve"> Through the natural grace that all human beings possess (</w:t>
      </w:r>
      <w:proofErr w:type="spellStart"/>
      <w:r w:rsidR="007D35EA" w:rsidRPr="00A472FC">
        <w:rPr>
          <w:rFonts w:ascii="Times New Roman" w:hAnsi="Times New Roman" w:cs="Times New Roman"/>
          <w:i/>
        </w:rPr>
        <w:t>gratia</w:t>
      </w:r>
      <w:proofErr w:type="spellEnd"/>
      <w:r w:rsidR="007D35EA" w:rsidRPr="00A472FC">
        <w:rPr>
          <w:rFonts w:ascii="Times New Roman" w:hAnsi="Times New Roman" w:cs="Times New Roman"/>
          <w:i/>
        </w:rPr>
        <w:t xml:space="preserve"> gratis data</w:t>
      </w:r>
      <w:r w:rsidR="007D35EA" w:rsidRPr="00A472FC">
        <w:rPr>
          <w:rFonts w:ascii="Times New Roman" w:hAnsi="Times New Roman" w:cs="Times New Roman"/>
        </w:rPr>
        <w:t>), Alexander claims, human beings are able to resist venial though not mortal sin.</w:t>
      </w:r>
      <w:r w:rsidR="007D35EA" w:rsidRPr="00A472FC">
        <w:rPr>
          <w:rStyle w:val="FootnoteReference"/>
          <w:rFonts w:ascii="Times New Roman" w:hAnsi="Times New Roman" w:cs="Times New Roman"/>
        </w:rPr>
        <w:footnoteReference w:id="1174"/>
      </w:r>
      <w:r w:rsidR="007D35EA" w:rsidRPr="00A472FC">
        <w:rPr>
          <w:rFonts w:ascii="Times New Roman" w:hAnsi="Times New Roman" w:cs="Times New Roman"/>
        </w:rPr>
        <w:t xml:space="preserve"> The latter can only be overcome or resisted with so-called sanctifying grace (</w:t>
      </w:r>
      <w:proofErr w:type="spellStart"/>
      <w:r w:rsidR="007D35EA" w:rsidRPr="00A472FC">
        <w:rPr>
          <w:rFonts w:ascii="Times New Roman" w:hAnsi="Times New Roman" w:cs="Times New Roman"/>
          <w:i/>
        </w:rPr>
        <w:t>gratia</w:t>
      </w:r>
      <w:proofErr w:type="spellEnd"/>
      <w:r w:rsidR="007D35EA" w:rsidRPr="00A472FC">
        <w:rPr>
          <w:rFonts w:ascii="Times New Roman" w:hAnsi="Times New Roman" w:cs="Times New Roman"/>
          <w:i/>
        </w:rPr>
        <w:t xml:space="preserve"> </w:t>
      </w:r>
      <w:proofErr w:type="spellStart"/>
      <w:r w:rsidR="007D35EA" w:rsidRPr="00A472FC">
        <w:rPr>
          <w:rFonts w:ascii="Times New Roman" w:hAnsi="Times New Roman" w:cs="Times New Roman"/>
          <w:i/>
        </w:rPr>
        <w:t>gratum</w:t>
      </w:r>
      <w:proofErr w:type="spellEnd"/>
      <w:r w:rsidR="007D35EA" w:rsidRPr="00A472FC">
        <w:rPr>
          <w:rFonts w:ascii="Times New Roman" w:hAnsi="Times New Roman" w:cs="Times New Roman"/>
          <w:i/>
        </w:rPr>
        <w:t xml:space="preserve"> </w:t>
      </w:r>
      <w:proofErr w:type="spellStart"/>
      <w:r w:rsidR="007D35EA" w:rsidRPr="00A472FC">
        <w:rPr>
          <w:rFonts w:ascii="Times New Roman" w:hAnsi="Times New Roman" w:cs="Times New Roman"/>
          <w:i/>
        </w:rPr>
        <w:t>faciente</w:t>
      </w:r>
      <w:proofErr w:type="spellEnd"/>
      <w:r w:rsidR="007D35EA" w:rsidRPr="00A472FC">
        <w:rPr>
          <w:rFonts w:ascii="Times New Roman" w:hAnsi="Times New Roman" w:cs="Times New Roman"/>
        </w:rPr>
        <w:t xml:space="preserve">), which works on those who are open to receiving it by faith, which is a movement of the will to conform to the will of God. </w:t>
      </w:r>
    </w:p>
    <w:p w14:paraId="5F7A14E5" w14:textId="77777777" w:rsidR="00665333" w:rsidRPr="00A472FC" w:rsidRDefault="00665333" w:rsidP="00881604">
      <w:pPr>
        <w:ind w:right="-52"/>
        <w:rPr>
          <w:rFonts w:ascii="Times New Roman" w:hAnsi="Times New Roman" w:cs="Times New Roman"/>
        </w:rPr>
      </w:pPr>
    </w:p>
    <w:p w14:paraId="69807E17" w14:textId="77777777" w:rsidR="00665333" w:rsidRPr="00A472FC" w:rsidRDefault="00665333" w:rsidP="00881604">
      <w:pPr>
        <w:ind w:right="-52"/>
        <w:rPr>
          <w:rFonts w:ascii="Times New Roman" w:hAnsi="Times New Roman" w:cs="Times New Roman"/>
          <w:i/>
          <w:u w:val="single"/>
        </w:rPr>
      </w:pPr>
      <w:r w:rsidRPr="00A472FC">
        <w:rPr>
          <w:rFonts w:ascii="Times New Roman" w:hAnsi="Times New Roman" w:cs="Times New Roman"/>
          <w:u w:val="single"/>
        </w:rPr>
        <w:t>The</w:t>
      </w:r>
      <w:r w:rsidRPr="00A472FC">
        <w:rPr>
          <w:rFonts w:ascii="Times New Roman" w:hAnsi="Times New Roman" w:cs="Times New Roman"/>
          <w:i/>
          <w:u w:val="single"/>
        </w:rPr>
        <w:t xml:space="preserve"> Summa </w:t>
      </w:r>
      <w:proofErr w:type="spellStart"/>
      <w:r w:rsidRPr="00A472FC">
        <w:rPr>
          <w:rFonts w:ascii="Times New Roman" w:hAnsi="Times New Roman" w:cs="Times New Roman"/>
          <w:i/>
          <w:u w:val="single"/>
        </w:rPr>
        <w:t>Halensis</w:t>
      </w:r>
      <w:proofErr w:type="spellEnd"/>
    </w:p>
    <w:p w14:paraId="01721D96" w14:textId="77777777" w:rsidR="00665333" w:rsidRPr="00A472FC" w:rsidRDefault="00665333" w:rsidP="00881604">
      <w:pPr>
        <w:ind w:right="-52"/>
        <w:rPr>
          <w:rFonts w:ascii="Times New Roman" w:hAnsi="Times New Roman" w:cs="Times New Roman"/>
        </w:rPr>
      </w:pPr>
    </w:p>
    <w:p w14:paraId="18E495F7" w14:textId="77777777" w:rsidR="00592221" w:rsidRPr="00A472FC" w:rsidRDefault="00665333" w:rsidP="00881604">
      <w:pPr>
        <w:autoSpaceDE w:val="0"/>
        <w:autoSpaceDN w:val="0"/>
        <w:adjustRightInd w:val="0"/>
        <w:ind w:right="-52"/>
        <w:rPr>
          <w:rFonts w:ascii="Times New Roman" w:hAnsi="Times New Roman" w:cs="Times New Roman"/>
        </w:rPr>
      </w:pPr>
      <w:r w:rsidRPr="00A472FC">
        <w:rPr>
          <w:rFonts w:ascii="Times New Roman" w:hAnsi="Times New Roman" w:cs="Times New Roman"/>
        </w:rPr>
        <w:lastRenderedPageBreak/>
        <w:tab/>
        <w:t xml:space="preserve">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clearly follows the lead of Alexander of Hales on the matter of free will. </w:t>
      </w:r>
      <w:r w:rsidR="005A07DB" w:rsidRPr="00A472FC">
        <w:rPr>
          <w:rFonts w:ascii="Times New Roman" w:hAnsi="Times New Roman" w:cs="Times New Roman"/>
        </w:rPr>
        <w:t xml:space="preserve">This becomes clear at the very outset of its </w:t>
      </w:r>
      <w:r w:rsidR="00547F72" w:rsidRPr="00A472FC">
        <w:rPr>
          <w:rFonts w:ascii="Times New Roman" w:hAnsi="Times New Roman" w:cs="Times New Roman"/>
        </w:rPr>
        <w:t>inquiry into</w:t>
      </w:r>
      <w:r w:rsidR="005A07DB" w:rsidRPr="00A472FC">
        <w:rPr>
          <w:rFonts w:ascii="Times New Roman" w:hAnsi="Times New Roman" w:cs="Times New Roman"/>
        </w:rPr>
        <w:t xml:space="preserve"> whether free will exists</w:t>
      </w:r>
      <w:r w:rsidR="007E7418" w:rsidRPr="00A472FC">
        <w:rPr>
          <w:rFonts w:ascii="Times New Roman" w:hAnsi="Times New Roman" w:cs="Times New Roman"/>
        </w:rPr>
        <w:t>.</w:t>
      </w:r>
      <w:r w:rsidRPr="00A472FC">
        <w:rPr>
          <w:rStyle w:val="FootnoteReference"/>
          <w:rFonts w:ascii="Times New Roman" w:hAnsi="Times New Roman" w:cs="Times New Roman"/>
        </w:rPr>
        <w:footnoteReference w:id="1175"/>
      </w:r>
      <w:r w:rsidRPr="00A472FC">
        <w:rPr>
          <w:rFonts w:ascii="Times New Roman" w:hAnsi="Times New Roman" w:cs="Times New Roman"/>
        </w:rPr>
        <w:t xml:space="preserve"> </w:t>
      </w:r>
      <w:r w:rsidR="00122DD3" w:rsidRPr="00A472FC">
        <w:rPr>
          <w:rFonts w:ascii="Times New Roman" w:hAnsi="Times New Roman" w:cs="Times New Roman"/>
        </w:rPr>
        <w:t xml:space="preserve">In this context, the </w:t>
      </w:r>
      <w:proofErr w:type="spellStart"/>
      <w:r w:rsidR="00122DD3" w:rsidRPr="00A472FC">
        <w:rPr>
          <w:rFonts w:ascii="Times New Roman" w:hAnsi="Times New Roman" w:cs="Times New Roman"/>
        </w:rPr>
        <w:t>Summist</w:t>
      </w:r>
      <w:proofErr w:type="spellEnd"/>
      <w:r w:rsidR="00122DD3" w:rsidRPr="00A472FC">
        <w:rPr>
          <w:rFonts w:ascii="Times New Roman" w:hAnsi="Times New Roman" w:cs="Times New Roman"/>
        </w:rPr>
        <w:t xml:space="preserve"> addresses the question raised by Alexander </w:t>
      </w:r>
      <w:r w:rsidR="00FD7E69" w:rsidRPr="00A472FC">
        <w:rPr>
          <w:rFonts w:ascii="Times New Roman" w:hAnsi="Times New Roman" w:cs="Times New Roman"/>
        </w:rPr>
        <w:t xml:space="preserve">as to </w:t>
      </w:r>
      <w:r w:rsidR="00122DD3" w:rsidRPr="00A472FC">
        <w:rPr>
          <w:rFonts w:ascii="Times New Roman" w:hAnsi="Times New Roman" w:cs="Times New Roman"/>
        </w:rPr>
        <w:t xml:space="preserve">how human beings can will evil as well as good given that they are made in the image of a good God. </w:t>
      </w:r>
      <w:r w:rsidR="00C002AD" w:rsidRPr="00A472FC">
        <w:rPr>
          <w:rFonts w:ascii="Times New Roman" w:hAnsi="Times New Roman" w:cs="Times New Roman"/>
        </w:rPr>
        <w:t xml:space="preserve">The counter-argument to this cites the standard passage from the Damascene’s </w:t>
      </w:r>
      <w:r w:rsidR="00C002AD" w:rsidRPr="00A472FC">
        <w:rPr>
          <w:rFonts w:ascii="Times New Roman" w:hAnsi="Times New Roman" w:cs="Times New Roman"/>
          <w:i/>
          <w:iCs/>
        </w:rPr>
        <w:t xml:space="preserve">De fide </w:t>
      </w:r>
      <w:proofErr w:type="spellStart"/>
      <w:r w:rsidR="00C002AD" w:rsidRPr="00A472FC">
        <w:rPr>
          <w:rFonts w:ascii="Times New Roman" w:hAnsi="Times New Roman" w:cs="Times New Roman"/>
          <w:i/>
          <w:iCs/>
        </w:rPr>
        <w:t>orthodoxa</w:t>
      </w:r>
      <w:proofErr w:type="spellEnd"/>
      <w:r w:rsidR="00C002AD" w:rsidRPr="00A472FC">
        <w:rPr>
          <w:rFonts w:ascii="Times New Roman" w:hAnsi="Times New Roman" w:cs="Times New Roman"/>
          <w:i/>
          <w:iCs/>
        </w:rPr>
        <w:t xml:space="preserve"> </w:t>
      </w:r>
      <w:r w:rsidR="00C002AD" w:rsidRPr="00A472FC">
        <w:rPr>
          <w:rFonts w:ascii="Times New Roman" w:hAnsi="Times New Roman" w:cs="Times New Roman"/>
        </w:rPr>
        <w:t xml:space="preserve">II.27 which highlights the difference between God and creatures which are generated </w:t>
      </w:r>
      <w:r w:rsidR="00BA0159" w:rsidRPr="00A472FC">
        <w:rPr>
          <w:rFonts w:ascii="Times New Roman" w:hAnsi="Times New Roman" w:cs="Times New Roman"/>
        </w:rPr>
        <w:t xml:space="preserve">from nothing </w:t>
      </w:r>
      <w:r w:rsidR="00C002AD" w:rsidRPr="00A472FC">
        <w:rPr>
          <w:rFonts w:ascii="Times New Roman" w:hAnsi="Times New Roman" w:cs="Times New Roman"/>
        </w:rPr>
        <w:t xml:space="preserve">and thus subject to change. </w:t>
      </w:r>
    </w:p>
    <w:p w14:paraId="65AC1C65" w14:textId="118849C7" w:rsidR="00051594" w:rsidRPr="00A472FC" w:rsidRDefault="00051594" w:rsidP="00592221">
      <w:pPr>
        <w:autoSpaceDE w:val="0"/>
        <w:autoSpaceDN w:val="0"/>
        <w:adjustRightInd w:val="0"/>
        <w:ind w:right="-52" w:firstLine="720"/>
        <w:rPr>
          <w:rFonts w:ascii="Times New Roman" w:hAnsi="Times New Roman" w:cs="Times New Roman"/>
          <w:color w:val="030303"/>
          <w:lang w:val="en-US"/>
        </w:rPr>
      </w:pPr>
      <w:r w:rsidRPr="00A472FC">
        <w:rPr>
          <w:rFonts w:ascii="Times New Roman" w:hAnsi="Times New Roman" w:cs="Times New Roman"/>
        </w:rPr>
        <w:t>For the Damascene himself, this simply implied that free will is the power ‘to be moved or not to be moved, to order to do or not to do, to desire or not to desire.’</w:t>
      </w:r>
      <w:r w:rsidRPr="00A472FC">
        <w:rPr>
          <w:rStyle w:val="FootnoteReference"/>
          <w:rFonts w:ascii="Times New Roman" w:hAnsi="Times New Roman" w:cs="Times New Roman"/>
        </w:rPr>
        <w:footnoteReference w:id="1176"/>
      </w:r>
      <w:r w:rsidRPr="00A472FC">
        <w:rPr>
          <w:rFonts w:ascii="Times New Roman" w:hAnsi="Times New Roman" w:cs="Times New Roman"/>
        </w:rPr>
        <w:t xml:space="preserve"> In other words, it instils the ability to choose between multiple good options.</w:t>
      </w:r>
      <w:r w:rsidRPr="00A472FC">
        <w:rPr>
          <w:rStyle w:val="FootnoteReference"/>
          <w:rFonts w:ascii="Times New Roman" w:hAnsi="Times New Roman" w:cs="Times New Roman"/>
        </w:rPr>
        <w:footnoteReference w:id="1177"/>
      </w:r>
      <w:r w:rsidR="00E8045F" w:rsidRPr="00A472FC">
        <w:rPr>
          <w:rFonts w:ascii="Times New Roman" w:hAnsi="Times New Roman" w:cs="Times New Roman"/>
        </w:rPr>
        <w:t xml:space="preserve"> Following Alexander, the </w:t>
      </w:r>
      <w:proofErr w:type="spellStart"/>
      <w:r w:rsidR="00E8045F" w:rsidRPr="00A472FC">
        <w:rPr>
          <w:rFonts w:ascii="Times New Roman" w:hAnsi="Times New Roman" w:cs="Times New Roman"/>
        </w:rPr>
        <w:t>Summist</w:t>
      </w:r>
      <w:proofErr w:type="spellEnd"/>
      <w:r w:rsidR="00E8045F" w:rsidRPr="00A472FC">
        <w:rPr>
          <w:rFonts w:ascii="Times New Roman" w:hAnsi="Times New Roman" w:cs="Times New Roman"/>
        </w:rPr>
        <w:t xml:space="preserve"> stretches this position to support the idea that</w:t>
      </w:r>
      <w:r w:rsidRPr="00A472FC">
        <w:rPr>
          <w:rFonts w:ascii="Times New Roman" w:hAnsi="Times New Roman" w:cs="Times New Roman"/>
        </w:rPr>
        <w:t xml:space="preserve"> ‘free will is that by which one is able to sin or do right.’</w:t>
      </w:r>
      <w:r w:rsidRPr="00A472FC">
        <w:rPr>
          <w:rStyle w:val="FootnoteReference"/>
          <w:rFonts w:ascii="Times New Roman" w:hAnsi="Times New Roman" w:cs="Times New Roman"/>
        </w:rPr>
        <w:footnoteReference w:id="1178"/>
      </w:r>
      <w:r w:rsidRPr="00A472FC">
        <w:rPr>
          <w:rFonts w:ascii="Times New Roman" w:hAnsi="Times New Roman" w:cs="Times New Roman"/>
        </w:rPr>
        <w:t xml:space="preserve"> </w:t>
      </w:r>
      <w:r w:rsidR="00C002AD" w:rsidRPr="00A472FC">
        <w:rPr>
          <w:rFonts w:ascii="Times New Roman" w:hAnsi="Times New Roman" w:cs="Times New Roman"/>
        </w:rPr>
        <w:t xml:space="preserve">While irrational beings undergo physical changes, the </w:t>
      </w:r>
      <w:proofErr w:type="spellStart"/>
      <w:r w:rsidR="00C002AD" w:rsidRPr="00A472FC">
        <w:rPr>
          <w:rFonts w:ascii="Times New Roman" w:hAnsi="Times New Roman" w:cs="Times New Roman"/>
        </w:rPr>
        <w:t>Summist</w:t>
      </w:r>
      <w:proofErr w:type="spellEnd"/>
      <w:r w:rsidR="00C002AD" w:rsidRPr="00A472FC">
        <w:rPr>
          <w:rFonts w:ascii="Times New Roman" w:hAnsi="Times New Roman" w:cs="Times New Roman"/>
        </w:rPr>
        <w:t xml:space="preserve"> elaborates, rational beings </w:t>
      </w:r>
      <w:r w:rsidR="00325407" w:rsidRPr="00A472FC">
        <w:rPr>
          <w:rFonts w:ascii="Times New Roman" w:hAnsi="Times New Roman" w:cs="Times New Roman"/>
        </w:rPr>
        <w:t>change</w:t>
      </w:r>
      <w:r w:rsidR="00222D58" w:rsidRPr="00A472FC">
        <w:rPr>
          <w:rFonts w:ascii="Times New Roman" w:hAnsi="Times New Roman" w:cs="Times New Roman"/>
        </w:rPr>
        <w:t xml:space="preserve"> by means of </w:t>
      </w:r>
      <w:r w:rsidR="00A52E96" w:rsidRPr="00A472FC">
        <w:rPr>
          <w:rFonts w:ascii="Times New Roman" w:hAnsi="Times New Roman" w:cs="Times New Roman"/>
        </w:rPr>
        <w:t xml:space="preserve">what they think and what they choose. </w:t>
      </w:r>
      <w:r w:rsidR="00876AB5" w:rsidRPr="00A472FC">
        <w:rPr>
          <w:rFonts w:ascii="Times New Roman" w:hAnsi="Times New Roman" w:cs="Times New Roman"/>
        </w:rPr>
        <w:t>Thus,</w:t>
      </w:r>
      <w:r w:rsidR="009D46F4" w:rsidRPr="00A472FC">
        <w:rPr>
          <w:rFonts w:ascii="Times New Roman" w:hAnsi="Times New Roman" w:cs="Times New Roman"/>
        </w:rPr>
        <w:t xml:space="preserve"> </w:t>
      </w:r>
      <w:r w:rsidR="000C3B35" w:rsidRPr="00A472FC">
        <w:rPr>
          <w:rFonts w:ascii="Times New Roman" w:hAnsi="Times New Roman" w:cs="Times New Roman"/>
        </w:rPr>
        <w:t xml:space="preserve">the </w:t>
      </w:r>
      <w:proofErr w:type="spellStart"/>
      <w:r w:rsidR="009D46F4" w:rsidRPr="00A472FC">
        <w:rPr>
          <w:rFonts w:ascii="Times New Roman" w:hAnsi="Times New Roman" w:cs="Times New Roman"/>
        </w:rPr>
        <w:t>Summist</w:t>
      </w:r>
      <w:proofErr w:type="spellEnd"/>
      <w:r w:rsidR="009D46F4" w:rsidRPr="00A472FC">
        <w:rPr>
          <w:rFonts w:ascii="Times New Roman" w:hAnsi="Times New Roman" w:cs="Times New Roman"/>
        </w:rPr>
        <w:t xml:space="preserve"> concludes that rational beings are flexible between good and evil. </w:t>
      </w:r>
    </w:p>
    <w:p w14:paraId="49F07D00" w14:textId="4A17A596" w:rsidR="00665333" w:rsidRPr="00A472FC" w:rsidRDefault="004600F4" w:rsidP="001155B7">
      <w:pPr>
        <w:ind w:right="-52"/>
        <w:rPr>
          <w:rFonts w:ascii="Times New Roman" w:hAnsi="Times New Roman" w:cs="Times New Roman"/>
        </w:rPr>
      </w:pPr>
      <w:r w:rsidRPr="00A472FC">
        <w:rPr>
          <w:rFonts w:ascii="Times New Roman" w:hAnsi="Times New Roman" w:cs="Times New Roman"/>
        </w:rPr>
        <w:tab/>
        <w:t xml:space="preserve">The Summa provides </w:t>
      </w:r>
      <w:r w:rsidR="007E7418" w:rsidRPr="00A472FC">
        <w:rPr>
          <w:rFonts w:ascii="Times New Roman" w:hAnsi="Times New Roman" w:cs="Times New Roman"/>
        </w:rPr>
        <w:t>additional</w:t>
      </w:r>
      <w:r w:rsidRPr="00A472FC">
        <w:rPr>
          <w:rFonts w:ascii="Times New Roman" w:hAnsi="Times New Roman" w:cs="Times New Roman"/>
        </w:rPr>
        <w:t xml:space="preserve"> support for this </w:t>
      </w:r>
      <w:r w:rsidR="009F7BF5" w:rsidRPr="00A472FC">
        <w:rPr>
          <w:rFonts w:ascii="Times New Roman" w:hAnsi="Times New Roman" w:cs="Times New Roman"/>
        </w:rPr>
        <w:t>contention in</w:t>
      </w:r>
      <w:r w:rsidRPr="00A472FC">
        <w:rPr>
          <w:rFonts w:ascii="Times New Roman" w:hAnsi="Times New Roman" w:cs="Times New Roman"/>
          <w:color w:val="030303"/>
          <w:lang w:val="en-US"/>
        </w:rPr>
        <w:t xml:space="preserve"> a further section </w:t>
      </w:r>
      <w:r w:rsidR="0058440D" w:rsidRPr="00A472FC">
        <w:rPr>
          <w:rFonts w:ascii="Times New Roman" w:hAnsi="Times New Roman" w:cs="Times New Roman"/>
          <w:color w:val="030303"/>
          <w:lang w:val="en-US"/>
        </w:rPr>
        <w:t>which more specifically addresses the question</w:t>
      </w:r>
      <w:r w:rsidRPr="00A472FC">
        <w:rPr>
          <w:rFonts w:ascii="Times New Roman" w:hAnsi="Times New Roman" w:cs="Times New Roman"/>
          <w:color w:val="030303"/>
          <w:lang w:val="en-US"/>
        </w:rPr>
        <w:t xml:space="preserve"> ‘whether free will is indifferent to good and evil.’</w:t>
      </w:r>
      <w:r w:rsidRPr="00A472FC">
        <w:rPr>
          <w:rStyle w:val="FootnoteReference"/>
          <w:rFonts w:ascii="Times New Roman" w:hAnsi="Times New Roman" w:cs="Times New Roman"/>
          <w:color w:val="030303"/>
          <w:lang w:val="en-US"/>
        </w:rPr>
        <w:footnoteReference w:id="1179"/>
      </w:r>
      <w:r w:rsidR="00DB668B" w:rsidRPr="00A472FC">
        <w:rPr>
          <w:rFonts w:ascii="Times New Roman" w:hAnsi="Times New Roman" w:cs="Times New Roman"/>
          <w:color w:val="030303"/>
          <w:lang w:val="en-US"/>
        </w:rPr>
        <w:t xml:space="preserve"> Here again, </w:t>
      </w:r>
      <w:r w:rsidR="00665333" w:rsidRPr="00A472FC">
        <w:rPr>
          <w:rFonts w:ascii="Times New Roman" w:hAnsi="Times New Roman" w:cs="Times New Roman"/>
        </w:rPr>
        <w:t xml:space="preserve">the Summa quotes </w:t>
      </w:r>
      <w:r w:rsidR="00390216" w:rsidRPr="00A472FC">
        <w:rPr>
          <w:rFonts w:ascii="Times New Roman" w:hAnsi="Times New Roman" w:cs="Times New Roman"/>
        </w:rPr>
        <w:t>the Damascene</w:t>
      </w:r>
      <w:r w:rsidR="00665333" w:rsidRPr="00A472FC">
        <w:rPr>
          <w:rFonts w:ascii="Times New Roman" w:hAnsi="Times New Roman" w:cs="Times New Roman"/>
        </w:rPr>
        <w:t xml:space="preserve"> </w:t>
      </w:r>
      <w:r w:rsidR="00665333" w:rsidRPr="00A472FC">
        <w:rPr>
          <w:rFonts w:ascii="Times New Roman" w:hAnsi="Times New Roman" w:cs="Times New Roman"/>
          <w:color w:val="030303"/>
          <w:lang w:val="en-US"/>
        </w:rPr>
        <w:t>saying that ‘the rational creature is changeable so far as choice is concerned.’</w:t>
      </w:r>
      <w:r w:rsidR="00665333" w:rsidRPr="00A472FC">
        <w:rPr>
          <w:rStyle w:val="FootnoteReference"/>
          <w:rFonts w:ascii="Times New Roman" w:hAnsi="Times New Roman" w:cs="Times New Roman"/>
          <w:color w:val="030303"/>
          <w:lang w:val="en-US"/>
        </w:rPr>
        <w:footnoteReference w:id="1180"/>
      </w:r>
      <w:r w:rsidR="00665333" w:rsidRPr="00A472FC">
        <w:rPr>
          <w:rFonts w:ascii="Times New Roman" w:hAnsi="Times New Roman" w:cs="Times New Roman"/>
          <w:color w:val="030303"/>
          <w:lang w:val="en-US"/>
        </w:rPr>
        <w:t xml:space="preserve"> From this, the Summa concludes that free will is what is able to choose or to refuse</w:t>
      </w:r>
      <w:r w:rsidR="00A256D8" w:rsidRPr="00A472FC">
        <w:rPr>
          <w:rFonts w:ascii="Times New Roman" w:hAnsi="Times New Roman" w:cs="Times New Roman"/>
          <w:color w:val="030303"/>
          <w:lang w:val="en-US"/>
        </w:rPr>
        <w:t xml:space="preserve"> something.</w:t>
      </w:r>
      <w:r w:rsidR="00665333" w:rsidRPr="00A472FC">
        <w:rPr>
          <w:rFonts w:ascii="Times New Roman" w:hAnsi="Times New Roman" w:cs="Times New Roman"/>
          <w:color w:val="030303"/>
          <w:lang w:val="en-US"/>
        </w:rPr>
        <w:t xml:space="preserve"> As therefore choice is indifferent to the two options, free will is indifferent to good or evil.’</w:t>
      </w:r>
      <w:r w:rsidR="00665333" w:rsidRPr="00A472FC">
        <w:rPr>
          <w:rStyle w:val="FootnoteReference"/>
          <w:rFonts w:ascii="Times New Roman" w:hAnsi="Times New Roman" w:cs="Times New Roman"/>
          <w:color w:val="030303"/>
          <w:lang w:val="en-US"/>
        </w:rPr>
        <w:footnoteReference w:id="1181"/>
      </w:r>
      <w:r w:rsidR="00665333" w:rsidRPr="00A472FC">
        <w:rPr>
          <w:rFonts w:ascii="Times New Roman" w:hAnsi="Times New Roman" w:cs="Times New Roman"/>
          <w:color w:val="030303"/>
          <w:lang w:val="en-US"/>
        </w:rPr>
        <w:t xml:space="preserve"> In this regard, the Summa acknowledges that Anselm and Bernard denied that the power of sinning is part of free choice.</w:t>
      </w:r>
      <w:r w:rsidR="00665333" w:rsidRPr="00A472FC">
        <w:rPr>
          <w:rStyle w:val="FootnoteReference"/>
          <w:rFonts w:ascii="Times New Roman" w:hAnsi="Times New Roman" w:cs="Times New Roman"/>
          <w:color w:val="030303"/>
          <w:lang w:val="en-US"/>
        </w:rPr>
        <w:footnoteReference w:id="1182"/>
      </w:r>
      <w:r w:rsidR="00665333" w:rsidRPr="00A472FC">
        <w:rPr>
          <w:rFonts w:ascii="Times New Roman" w:hAnsi="Times New Roman" w:cs="Times New Roman"/>
          <w:color w:val="030303"/>
          <w:lang w:val="en-US"/>
        </w:rPr>
        <w:t xml:space="preserve"> The same objection is traced to Augustine’s </w:t>
      </w:r>
      <w:r w:rsidR="00665333" w:rsidRPr="00A472FC">
        <w:rPr>
          <w:rFonts w:ascii="Times New Roman" w:hAnsi="Times New Roman" w:cs="Times New Roman"/>
          <w:i/>
          <w:color w:val="030303"/>
          <w:lang w:val="en-US"/>
        </w:rPr>
        <w:t xml:space="preserve">De </w:t>
      </w:r>
      <w:proofErr w:type="spellStart"/>
      <w:r w:rsidR="00665333" w:rsidRPr="00A472FC">
        <w:rPr>
          <w:rFonts w:ascii="Times New Roman" w:hAnsi="Times New Roman" w:cs="Times New Roman"/>
          <w:i/>
          <w:color w:val="030303"/>
          <w:lang w:val="en-US"/>
        </w:rPr>
        <w:t>libero</w:t>
      </w:r>
      <w:proofErr w:type="spellEnd"/>
      <w:r w:rsidR="00665333" w:rsidRPr="00A472FC">
        <w:rPr>
          <w:rFonts w:ascii="Times New Roman" w:hAnsi="Times New Roman" w:cs="Times New Roman"/>
          <w:i/>
          <w:color w:val="030303"/>
          <w:lang w:val="en-US"/>
        </w:rPr>
        <w:t xml:space="preserve"> </w:t>
      </w:r>
      <w:proofErr w:type="spellStart"/>
      <w:r w:rsidR="00665333" w:rsidRPr="00A472FC">
        <w:rPr>
          <w:rFonts w:ascii="Times New Roman" w:hAnsi="Times New Roman" w:cs="Times New Roman"/>
          <w:i/>
          <w:color w:val="030303"/>
          <w:lang w:val="en-US"/>
        </w:rPr>
        <w:t>arbitrio</w:t>
      </w:r>
      <w:proofErr w:type="spellEnd"/>
      <w:r w:rsidR="00665333" w:rsidRPr="00A472FC">
        <w:rPr>
          <w:rFonts w:ascii="Times New Roman" w:hAnsi="Times New Roman" w:cs="Times New Roman"/>
          <w:i/>
          <w:color w:val="030303"/>
          <w:lang w:val="en-US"/>
        </w:rPr>
        <w:t xml:space="preserve"> </w:t>
      </w:r>
      <w:r w:rsidR="00665333" w:rsidRPr="00A472FC">
        <w:rPr>
          <w:rFonts w:ascii="Times New Roman" w:hAnsi="Times New Roman" w:cs="Times New Roman"/>
          <w:color w:val="030303"/>
          <w:lang w:val="en-US"/>
        </w:rPr>
        <w:t>II.1-2</w:t>
      </w:r>
      <w:r w:rsidR="001037DF" w:rsidRPr="00A472FC">
        <w:rPr>
          <w:rFonts w:ascii="Times New Roman" w:hAnsi="Times New Roman" w:cs="Times New Roman"/>
          <w:color w:val="030303"/>
          <w:lang w:val="en-US"/>
        </w:rPr>
        <w:t>,</w:t>
      </w:r>
      <w:r w:rsidR="00665333" w:rsidRPr="00A472FC">
        <w:rPr>
          <w:rFonts w:ascii="Times New Roman" w:hAnsi="Times New Roman" w:cs="Times New Roman"/>
          <w:color w:val="030303"/>
          <w:lang w:val="en-US"/>
        </w:rPr>
        <w:t xml:space="preserve"> which states that God gives human beings free will </w:t>
      </w:r>
      <w:r w:rsidR="001037DF" w:rsidRPr="00A472FC">
        <w:rPr>
          <w:rFonts w:ascii="Times New Roman" w:hAnsi="Times New Roman" w:cs="Times New Roman"/>
          <w:color w:val="030303"/>
          <w:lang w:val="en-US"/>
        </w:rPr>
        <w:t xml:space="preserve">so </w:t>
      </w:r>
      <w:r w:rsidR="00665333" w:rsidRPr="00A472FC">
        <w:rPr>
          <w:rFonts w:ascii="Times New Roman" w:hAnsi="Times New Roman" w:cs="Times New Roman"/>
          <w:color w:val="030303"/>
          <w:lang w:val="en-US"/>
        </w:rPr>
        <w:t xml:space="preserve">that it can be rightly used, not so that it can be used for wrongdoing.  </w:t>
      </w:r>
    </w:p>
    <w:p w14:paraId="29F83847" w14:textId="0D640C88" w:rsidR="00665333" w:rsidRPr="00A472FC" w:rsidRDefault="00665333" w:rsidP="003E55CE">
      <w:pPr>
        <w:ind w:right="-52" w:firstLine="720"/>
        <w:rPr>
          <w:rFonts w:ascii="Times New Roman" w:hAnsi="Times New Roman" w:cs="Times New Roman"/>
          <w:color w:val="030303"/>
          <w:lang w:val="en-US"/>
        </w:rPr>
      </w:pPr>
      <w:r w:rsidRPr="00A472FC">
        <w:rPr>
          <w:rFonts w:ascii="Times New Roman" w:hAnsi="Times New Roman" w:cs="Times New Roman"/>
          <w:color w:val="030303"/>
          <w:lang w:val="en-US"/>
        </w:rPr>
        <w:t xml:space="preserve">Additionally, the </w:t>
      </w:r>
      <w:proofErr w:type="spellStart"/>
      <w:r w:rsidRPr="00A472FC">
        <w:rPr>
          <w:rFonts w:ascii="Times New Roman" w:hAnsi="Times New Roman" w:cs="Times New Roman"/>
          <w:color w:val="030303"/>
          <w:lang w:val="en-US"/>
        </w:rPr>
        <w:t>Summist</w:t>
      </w:r>
      <w:proofErr w:type="spellEnd"/>
      <w:r w:rsidRPr="00A472FC">
        <w:rPr>
          <w:rFonts w:ascii="Times New Roman" w:hAnsi="Times New Roman" w:cs="Times New Roman"/>
          <w:color w:val="030303"/>
          <w:lang w:val="en-US"/>
        </w:rPr>
        <w:t xml:space="preserve"> quotes</w:t>
      </w:r>
      <w:r w:rsidR="00DB668B" w:rsidRPr="00A472FC">
        <w:rPr>
          <w:rFonts w:ascii="Times New Roman" w:hAnsi="Times New Roman" w:cs="Times New Roman"/>
          <w:color w:val="030303"/>
          <w:lang w:val="en-US"/>
        </w:rPr>
        <w:t xml:space="preserve"> Augustine’s</w:t>
      </w:r>
      <w:r w:rsidRPr="00A472FC">
        <w:rPr>
          <w:rFonts w:ascii="Times New Roman" w:hAnsi="Times New Roman" w:cs="Times New Roman"/>
          <w:color w:val="030303"/>
          <w:lang w:val="en-US"/>
        </w:rPr>
        <w:t xml:space="preserve"> </w:t>
      </w:r>
      <w:r w:rsidRPr="00A472FC">
        <w:rPr>
          <w:rFonts w:ascii="Times New Roman" w:hAnsi="Times New Roman" w:cs="Times New Roman"/>
          <w:i/>
          <w:color w:val="030303"/>
          <w:lang w:val="en-US"/>
        </w:rPr>
        <w:t xml:space="preserve">De </w:t>
      </w:r>
      <w:proofErr w:type="spellStart"/>
      <w:r w:rsidRPr="00A472FC">
        <w:rPr>
          <w:rFonts w:ascii="Times New Roman" w:hAnsi="Times New Roman" w:cs="Times New Roman"/>
          <w:i/>
          <w:color w:val="030303"/>
          <w:lang w:val="en-US"/>
        </w:rPr>
        <w:t>civitate</w:t>
      </w:r>
      <w:proofErr w:type="spellEnd"/>
      <w:r w:rsidRPr="00A472FC">
        <w:rPr>
          <w:rFonts w:ascii="Times New Roman" w:hAnsi="Times New Roman" w:cs="Times New Roman"/>
          <w:i/>
          <w:color w:val="030303"/>
          <w:lang w:val="en-US"/>
        </w:rPr>
        <w:t xml:space="preserve"> Dei</w:t>
      </w:r>
      <w:r w:rsidRPr="00A472FC">
        <w:rPr>
          <w:rFonts w:ascii="Times New Roman" w:hAnsi="Times New Roman" w:cs="Times New Roman"/>
          <w:color w:val="030303"/>
          <w:lang w:val="en-US"/>
        </w:rPr>
        <w:t xml:space="preserve"> 14.11.1, which states that free will is free </w:t>
      </w:r>
      <w:r w:rsidR="003E5CFA" w:rsidRPr="00A472FC">
        <w:rPr>
          <w:rFonts w:ascii="Times New Roman" w:hAnsi="Times New Roman" w:cs="Times New Roman"/>
          <w:color w:val="030303"/>
          <w:lang w:val="en-US"/>
        </w:rPr>
        <w:t xml:space="preserve">insofar </w:t>
      </w:r>
      <w:r w:rsidRPr="00A472FC">
        <w:rPr>
          <w:rFonts w:ascii="Times New Roman" w:hAnsi="Times New Roman" w:cs="Times New Roman"/>
          <w:color w:val="030303"/>
          <w:lang w:val="en-US"/>
        </w:rPr>
        <w:t>as it is not enslaved to sin.</w:t>
      </w:r>
      <w:r w:rsidRPr="00A472FC">
        <w:rPr>
          <w:rStyle w:val="FootnoteReference"/>
          <w:rFonts w:ascii="Times New Roman" w:hAnsi="Times New Roman" w:cs="Times New Roman"/>
          <w:color w:val="030303"/>
          <w:lang w:val="en-US"/>
        </w:rPr>
        <w:footnoteReference w:id="1183"/>
      </w:r>
      <w:r w:rsidRPr="00A472FC">
        <w:rPr>
          <w:rFonts w:ascii="Times New Roman" w:hAnsi="Times New Roman" w:cs="Times New Roman"/>
          <w:color w:val="030303"/>
          <w:lang w:val="en-US"/>
        </w:rPr>
        <w:t xml:space="preserve"> In </w:t>
      </w:r>
      <w:r w:rsidR="00A639D4" w:rsidRPr="00A472FC">
        <w:rPr>
          <w:rFonts w:ascii="Times New Roman" w:hAnsi="Times New Roman" w:cs="Times New Roman"/>
          <w:color w:val="030303"/>
          <w:lang w:val="en-US"/>
        </w:rPr>
        <w:t>reckoning with these</w:t>
      </w:r>
      <w:r w:rsidR="00E06620" w:rsidRPr="00A472FC">
        <w:rPr>
          <w:rFonts w:ascii="Times New Roman" w:hAnsi="Times New Roman" w:cs="Times New Roman"/>
          <w:color w:val="030303"/>
          <w:lang w:val="en-US"/>
        </w:rPr>
        <w:t xml:space="preserve"> references</w:t>
      </w:r>
      <w:r w:rsidRPr="00A472FC">
        <w:rPr>
          <w:rFonts w:ascii="Times New Roman" w:hAnsi="Times New Roman" w:cs="Times New Roman"/>
          <w:color w:val="030303"/>
          <w:lang w:val="en-US"/>
        </w:rPr>
        <w:t xml:space="preserve">, the </w:t>
      </w:r>
      <w:proofErr w:type="spellStart"/>
      <w:r w:rsidRPr="00A472FC">
        <w:rPr>
          <w:rFonts w:ascii="Times New Roman" w:hAnsi="Times New Roman" w:cs="Times New Roman"/>
          <w:color w:val="030303"/>
          <w:lang w:val="en-US"/>
        </w:rPr>
        <w:t>Summist</w:t>
      </w:r>
      <w:proofErr w:type="spellEnd"/>
      <w:r w:rsidRPr="00A472FC">
        <w:rPr>
          <w:rFonts w:ascii="Times New Roman" w:hAnsi="Times New Roman" w:cs="Times New Roman"/>
          <w:color w:val="030303"/>
          <w:lang w:val="en-US"/>
        </w:rPr>
        <w:t xml:space="preserve"> states that free will can be considered in three ways.</w:t>
      </w:r>
      <w:r w:rsidRPr="00A472FC">
        <w:rPr>
          <w:rStyle w:val="FootnoteReference"/>
          <w:rFonts w:ascii="Times New Roman" w:hAnsi="Times New Roman" w:cs="Times New Roman"/>
          <w:color w:val="030303"/>
          <w:lang w:val="en-US"/>
        </w:rPr>
        <w:footnoteReference w:id="1184"/>
      </w:r>
      <w:r w:rsidRPr="00A472FC">
        <w:rPr>
          <w:rFonts w:ascii="Times New Roman" w:hAnsi="Times New Roman" w:cs="Times New Roman"/>
          <w:color w:val="030303"/>
          <w:lang w:val="en-US"/>
        </w:rPr>
        <w:t xml:space="preserve"> In the first way, it is considered insofar as it is not restricted (</w:t>
      </w:r>
      <w:r w:rsidRPr="00A472FC">
        <w:rPr>
          <w:rFonts w:ascii="Times New Roman" w:hAnsi="Times New Roman" w:cs="Times New Roman"/>
          <w:i/>
          <w:color w:val="030303"/>
          <w:lang w:val="en-US"/>
        </w:rPr>
        <w:t xml:space="preserve">non </w:t>
      </w:r>
      <w:proofErr w:type="spellStart"/>
      <w:r w:rsidRPr="00A472FC">
        <w:rPr>
          <w:rFonts w:ascii="Times New Roman" w:hAnsi="Times New Roman" w:cs="Times New Roman"/>
          <w:i/>
          <w:color w:val="030303"/>
          <w:lang w:val="en-US"/>
        </w:rPr>
        <w:t>cogitur</w:t>
      </w:r>
      <w:proofErr w:type="spellEnd"/>
      <w:r w:rsidRPr="00A472FC">
        <w:rPr>
          <w:rFonts w:ascii="Times New Roman" w:hAnsi="Times New Roman" w:cs="Times New Roman"/>
          <w:color w:val="030303"/>
          <w:lang w:val="en-US"/>
        </w:rPr>
        <w:t>), and in this sense, it is indifferent to good or evil</w:t>
      </w:r>
      <w:r w:rsidR="003E55CE" w:rsidRPr="00A472FC">
        <w:rPr>
          <w:rFonts w:ascii="Times New Roman" w:hAnsi="Times New Roman" w:cs="Times New Roman"/>
          <w:color w:val="030303"/>
          <w:lang w:val="en-US"/>
        </w:rPr>
        <w:t xml:space="preserve">. In </w:t>
      </w:r>
      <w:r w:rsidRPr="00A472FC">
        <w:rPr>
          <w:rFonts w:ascii="Times New Roman" w:hAnsi="Times New Roman" w:cs="Times New Roman"/>
          <w:color w:val="030303"/>
          <w:lang w:val="en-US"/>
        </w:rPr>
        <w:t>another mode, free will is considered according to nature, which is assimilated to God and thus ordained to the good, and in this way, as Anselm says, the ability to do evil is not a part of freedom.</w:t>
      </w:r>
      <w:r w:rsidRPr="00A472FC">
        <w:rPr>
          <w:rStyle w:val="FootnoteReference"/>
          <w:rFonts w:ascii="Times New Roman" w:hAnsi="Times New Roman" w:cs="Times New Roman"/>
          <w:color w:val="030303"/>
          <w:lang w:val="en-US"/>
        </w:rPr>
        <w:footnoteReference w:id="1185"/>
      </w:r>
      <w:r w:rsidRPr="00A472FC">
        <w:rPr>
          <w:rFonts w:ascii="Times New Roman" w:hAnsi="Times New Roman" w:cs="Times New Roman"/>
          <w:color w:val="030303"/>
          <w:lang w:val="en-US"/>
        </w:rPr>
        <w:t xml:space="preserve"> The third </w:t>
      </w:r>
      <w:r w:rsidR="00C11123" w:rsidRPr="00A472FC">
        <w:rPr>
          <w:rFonts w:ascii="Times New Roman" w:hAnsi="Times New Roman" w:cs="Times New Roman"/>
          <w:color w:val="030303"/>
          <w:lang w:val="en-US"/>
        </w:rPr>
        <w:t>way</w:t>
      </w:r>
      <w:r w:rsidRPr="00A472FC">
        <w:rPr>
          <w:rFonts w:ascii="Times New Roman" w:hAnsi="Times New Roman" w:cs="Times New Roman"/>
          <w:color w:val="030303"/>
          <w:lang w:val="en-US"/>
        </w:rPr>
        <w:t xml:space="preserve"> </w:t>
      </w:r>
      <w:r w:rsidR="00C11123" w:rsidRPr="00A472FC">
        <w:rPr>
          <w:rFonts w:ascii="Times New Roman" w:hAnsi="Times New Roman" w:cs="Times New Roman"/>
          <w:color w:val="030303"/>
          <w:lang w:val="en-US"/>
        </w:rPr>
        <w:t>interprets</w:t>
      </w:r>
      <w:r w:rsidRPr="00A472FC">
        <w:rPr>
          <w:rFonts w:ascii="Times New Roman" w:hAnsi="Times New Roman" w:cs="Times New Roman"/>
          <w:color w:val="030303"/>
          <w:lang w:val="en-US"/>
        </w:rPr>
        <w:t xml:space="preserve"> free will in relation to the defect of nature which it </w:t>
      </w:r>
      <w:r w:rsidR="008B3581" w:rsidRPr="00A472FC">
        <w:rPr>
          <w:rFonts w:ascii="Times New Roman" w:hAnsi="Times New Roman" w:cs="Times New Roman"/>
          <w:color w:val="030303"/>
          <w:lang w:val="en-US"/>
        </w:rPr>
        <w:t>possesses</w:t>
      </w:r>
      <w:r w:rsidRPr="00A472FC">
        <w:rPr>
          <w:rFonts w:ascii="Times New Roman" w:hAnsi="Times New Roman" w:cs="Times New Roman"/>
          <w:color w:val="030303"/>
          <w:lang w:val="en-US"/>
        </w:rPr>
        <w:t xml:space="preserve"> </w:t>
      </w:r>
      <w:r w:rsidR="008B3581" w:rsidRPr="00A472FC">
        <w:rPr>
          <w:rFonts w:ascii="Times New Roman" w:hAnsi="Times New Roman" w:cs="Times New Roman"/>
          <w:color w:val="030303"/>
          <w:lang w:val="en-US"/>
        </w:rPr>
        <w:t>as the faculty of a</w:t>
      </w:r>
      <w:r w:rsidRPr="00A472FC">
        <w:rPr>
          <w:rFonts w:ascii="Times New Roman" w:hAnsi="Times New Roman" w:cs="Times New Roman"/>
          <w:color w:val="030303"/>
          <w:lang w:val="en-US"/>
        </w:rPr>
        <w:t xml:space="preserve"> creature, </w:t>
      </w:r>
      <w:r w:rsidR="00652204" w:rsidRPr="00A472FC">
        <w:rPr>
          <w:rFonts w:ascii="Times New Roman" w:hAnsi="Times New Roman" w:cs="Times New Roman"/>
          <w:color w:val="030303"/>
          <w:lang w:val="en-US"/>
        </w:rPr>
        <w:t>as a result of which</w:t>
      </w:r>
      <w:r w:rsidRPr="00A472FC">
        <w:rPr>
          <w:rFonts w:ascii="Times New Roman" w:hAnsi="Times New Roman" w:cs="Times New Roman"/>
          <w:color w:val="030303"/>
          <w:lang w:val="en-US"/>
        </w:rPr>
        <w:t xml:space="preserve"> it tends more to </w:t>
      </w:r>
      <w:r w:rsidRPr="00A472FC">
        <w:rPr>
          <w:rFonts w:ascii="Times New Roman" w:hAnsi="Times New Roman" w:cs="Times New Roman"/>
          <w:color w:val="030303"/>
          <w:lang w:val="en-US"/>
        </w:rPr>
        <w:lastRenderedPageBreak/>
        <w:t xml:space="preserve">evil than to the good. </w:t>
      </w:r>
      <w:r w:rsidR="004376C5" w:rsidRPr="00A472FC">
        <w:rPr>
          <w:rFonts w:ascii="Times New Roman" w:hAnsi="Times New Roman" w:cs="Times New Roman"/>
          <w:color w:val="030303"/>
          <w:lang w:val="en-US"/>
        </w:rPr>
        <w:t>At the same time,</w:t>
      </w:r>
      <w:r w:rsidRPr="00A472FC">
        <w:rPr>
          <w:rFonts w:ascii="Times New Roman" w:hAnsi="Times New Roman" w:cs="Times New Roman"/>
          <w:color w:val="030303"/>
          <w:lang w:val="en-US"/>
        </w:rPr>
        <w:t xml:space="preserve"> however, the Summa denies that there is any fundamental difference between free will in the states of nature, grace, or glory. </w:t>
      </w:r>
    </w:p>
    <w:p w14:paraId="475897AB" w14:textId="654E2B19" w:rsidR="00665333" w:rsidRPr="00A472FC" w:rsidRDefault="00665333" w:rsidP="007E7BCF">
      <w:pPr>
        <w:ind w:right="-52" w:firstLine="720"/>
        <w:rPr>
          <w:rFonts w:ascii="Times New Roman" w:hAnsi="Times New Roman" w:cs="Times New Roman"/>
          <w:color w:val="030303"/>
          <w:lang w:val="en-US"/>
        </w:rPr>
      </w:pPr>
      <w:r w:rsidRPr="00A472FC">
        <w:rPr>
          <w:rFonts w:ascii="Times New Roman" w:hAnsi="Times New Roman" w:cs="Times New Roman"/>
          <w:color w:val="030303"/>
          <w:lang w:val="en-US"/>
        </w:rPr>
        <w:t xml:space="preserve">In all cases, </w:t>
      </w:r>
      <w:r w:rsidR="00D1448D" w:rsidRPr="00A472FC">
        <w:rPr>
          <w:rFonts w:ascii="Times New Roman" w:hAnsi="Times New Roman" w:cs="Times New Roman"/>
          <w:color w:val="030303"/>
          <w:lang w:val="en-US"/>
        </w:rPr>
        <w:t>free will entails the ability to choose</w:t>
      </w:r>
      <w:r w:rsidRPr="00A472FC">
        <w:rPr>
          <w:rFonts w:ascii="Times New Roman" w:hAnsi="Times New Roman" w:cs="Times New Roman"/>
          <w:color w:val="030303"/>
          <w:lang w:val="en-US"/>
        </w:rPr>
        <w:t xml:space="preserve"> either good or evil. The main difference between the </w:t>
      </w:r>
      <w:proofErr w:type="spellStart"/>
      <w:r w:rsidRPr="00A472FC">
        <w:rPr>
          <w:rFonts w:ascii="Times New Roman" w:hAnsi="Times New Roman" w:cs="Times New Roman"/>
          <w:color w:val="030303"/>
          <w:lang w:val="en-US"/>
        </w:rPr>
        <w:t>pre-lapsarian</w:t>
      </w:r>
      <w:proofErr w:type="spellEnd"/>
      <w:r w:rsidRPr="00A472FC">
        <w:rPr>
          <w:rFonts w:ascii="Times New Roman" w:hAnsi="Times New Roman" w:cs="Times New Roman"/>
          <w:color w:val="030303"/>
          <w:lang w:val="en-US"/>
        </w:rPr>
        <w:t xml:space="preserve"> state and the present one is simply that humans started out </w:t>
      </w:r>
      <w:r w:rsidR="00285426" w:rsidRPr="00A472FC">
        <w:rPr>
          <w:rFonts w:ascii="Times New Roman" w:hAnsi="Times New Roman" w:cs="Times New Roman"/>
          <w:color w:val="030303"/>
          <w:lang w:val="en-US"/>
        </w:rPr>
        <w:t>adhering to the</w:t>
      </w:r>
      <w:r w:rsidRPr="00A472FC">
        <w:rPr>
          <w:rFonts w:ascii="Times New Roman" w:hAnsi="Times New Roman" w:cs="Times New Roman"/>
          <w:color w:val="030303"/>
          <w:lang w:val="en-US"/>
        </w:rPr>
        <w:t xml:space="preserve"> good, and were indeed designed by God to </w:t>
      </w:r>
      <w:r w:rsidR="001335E5" w:rsidRPr="00A472FC">
        <w:rPr>
          <w:rFonts w:ascii="Times New Roman" w:hAnsi="Times New Roman" w:cs="Times New Roman"/>
          <w:color w:val="030303"/>
          <w:lang w:val="en-US"/>
        </w:rPr>
        <w:t xml:space="preserve">do </w:t>
      </w:r>
      <w:r w:rsidR="00BF3618" w:rsidRPr="00A472FC">
        <w:rPr>
          <w:rFonts w:ascii="Times New Roman" w:hAnsi="Times New Roman" w:cs="Times New Roman"/>
          <w:color w:val="030303"/>
          <w:lang w:val="en-US"/>
        </w:rPr>
        <w:t>good</w:t>
      </w:r>
      <w:r w:rsidRPr="00A472FC">
        <w:rPr>
          <w:rFonts w:ascii="Times New Roman" w:hAnsi="Times New Roman" w:cs="Times New Roman"/>
          <w:color w:val="030303"/>
          <w:lang w:val="en-US"/>
        </w:rPr>
        <w:t xml:space="preserve">, even though they did not use the power they had to remain steadfast in it. </w:t>
      </w:r>
      <w:r w:rsidR="00931B00" w:rsidRPr="00A472FC">
        <w:rPr>
          <w:rFonts w:ascii="Times New Roman" w:hAnsi="Times New Roman" w:cs="Times New Roman"/>
          <w:color w:val="030303"/>
          <w:lang w:val="en-US"/>
        </w:rPr>
        <w:t>As the Summa summarizes: ‘</w:t>
      </w:r>
      <w:r w:rsidRPr="00A472FC">
        <w:rPr>
          <w:rFonts w:ascii="Times New Roman" w:hAnsi="Times New Roman" w:cs="Times New Roman"/>
        </w:rPr>
        <w:t>Just as humans could change their choice and remained flexible in the first state [of innocence], so [they can] in the states of sin and grace.</w:t>
      </w:r>
      <w:r w:rsidR="00931B00" w:rsidRPr="00A472FC">
        <w:rPr>
          <w:rFonts w:ascii="Times New Roman" w:hAnsi="Times New Roman" w:cs="Times New Roman"/>
        </w:rPr>
        <w:t>’</w:t>
      </w:r>
      <w:r w:rsidRPr="00A472FC">
        <w:rPr>
          <w:rStyle w:val="FootnoteReference"/>
          <w:rFonts w:ascii="Times New Roman" w:hAnsi="Times New Roman" w:cs="Times New Roman"/>
        </w:rPr>
        <w:footnoteReference w:id="1186"/>
      </w:r>
      <w:r w:rsidR="007E7BCF" w:rsidRPr="00A472FC">
        <w:rPr>
          <w:rFonts w:ascii="Times New Roman" w:hAnsi="Times New Roman" w:cs="Times New Roman"/>
          <w:color w:val="030303"/>
          <w:lang w:val="en-US"/>
        </w:rPr>
        <w:t xml:space="preserve"> </w:t>
      </w:r>
      <w:r w:rsidRPr="00A472FC">
        <w:rPr>
          <w:rFonts w:ascii="Times New Roman" w:hAnsi="Times New Roman" w:cs="Times New Roman"/>
        </w:rPr>
        <w:t>On this basis, the Summa concludes that ‘the servitude of sin is not compatible with the freedom of grace, but it is compatible with natural freedom. For this reason humans</w:t>
      </w:r>
      <w:r w:rsidR="00CC447B">
        <w:rPr>
          <w:rFonts w:ascii="Times New Roman" w:hAnsi="Times New Roman" w:cs="Times New Roman"/>
        </w:rPr>
        <w:t>,</w:t>
      </w:r>
      <w:r w:rsidRPr="00A472FC">
        <w:rPr>
          <w:rFonts w:ascii="Times New Roman" w:hAnsi="Times New Roman" w:cs="Times New Roman"/>
        </w:rPr>
        <w:t xml:space="preserve"> do possess free choice that stems from natural freedom in both states, i.e., of grace and sin.</w:t>
      </w:r>
      <w:r w:rsidRPr="00A472FC">
        <w:rPr>
          <w:rStyle w:val="FootnoteReference"/>
          <w:rFonts w:ascii="Times New Roman" w:hAnsi="Times New Roman" w:cs="Times New Roman"/>
        </w:rPr>
        <w:footnoteReference w:id="1187"/>
      </w:r>
      <w:r w:rsidRPr="00A472FC">
        <w:rPr>
          <w:rFonts w:ascii="Times New Roman" w:hAnsi="Times New Roman" w:cs="Times New Roman"/>
        </w:rPr>
        <w:t xml:space="preserve"> </w:t>
      </w:r>
      <w:r w:rsidRPr="00A472FC">
        <w:rPr>
          <w:rFonts w:ascii="Times New Roman" w:hAnsi="Times New Roman" w:cs="Times New Roman"/>
          <w:color w:val="030303"/>
          <w:lang w:val="en-US"/>
        </w:rPr>
        <w:t>Perhaps conscious that its radical position was not so easy to reconcile with the leading authorities on free will, namely, Anselm, Augustine, and Bernard, the Summa proceeds to dedicate an entire section to the exposition of their opinions, which are also found already in Alexander of Hales’ question 33, and to seek essentially to explain away the thrust of their perspectives in order to justify its own.</w:t>
      </w:r>
      <w:r w:rsidRPr="00A472FC">
        <w:rPr>
          <w:rStyle w:val="FootnoteReference"/>
          <w:rFonts w:ascii="Times New Roman" w:hAnsi="Times New Roman" w:cs="Times New Roman"/>
          <w:color w:val="030303"/>
          <w:lang w:val="en-US"/>
        </w:rPr>
        <w:footnoteReference w:id="1188"/>
      </w:r>
      <w:r w:rsidRPr="00A472FC">
        <w:rPr>
          <w:rFonts w:ascii="Times New Roman" w:hAnsi="Times New Roman" w:cs="Times New Roman"/>
          <w:color w:val="030303"/>
          <w:lang w:val="en-US"/>
        </w:rPr>
        <w:t xml:space="preserve"> </w:t>
      </w:r>
    </w:p>
    <w:p w14:paraId="2CBF448D" w14:textId="77777777" w:rsidR="00665333" w:rsidRPr="00A472FC" w:rsidRDefault="00665333" w:rsidP="00881604">
      <w:pPr>
        <w:autoSpaceDE w:val="0"/>
        <w:autoSpaceDN w:val="0"/>
        <w:adjustRightInd w:val="0"/>
        <w:ind w:right="-52"/>
        <w:rPr>
          <w:rFonts w:ascii="Times New Roman" w:hAnsi="Times New Roman" w:cs="Times New Roman"/>
        </w:rPr>
      </w:pPr>
    </w:p>
    <w:p w14:paraId="40B5AF5D" w14:textId="77777777" w:rsidR="00665333" w:rsidRPr="00A472FC" w:rsidRDefault="00665333" w:rsidP="00881604">
      <w:pPr>
        <w:autoSpaceDE w:val="0"/>
        <w:autoSpaceDN w:val="0"/>
        <w:adjustRightInd w:val="0"/>
        <w:ind w:right="-52"/>
        <w:rPr>
          <w:rFonts w:ascii="Times New Roman" w:hAnsi="Times New Roman" w:cs="Times New Roman"/>
          <w:u w:val="single"/>
        </w:rPr>
      </w:pPr>
      <w:r w:rsidRPr="00A472FC">
        <w:rPr>
          <w:rFonts w:ascii="Times New Roman" w:hAnsi="Times New Roman" w:cs="Times New Roman"/>
          <w:u w:val="single"/>
        </w:rPr>
        <w:t>Anselm, Augustine, and Bernard on Free Will</w:t>
      </w:r>
    </w:p>
    <w:p w14:paraId="151549F8" w14:textId="77777777" w:rsidR="00665333" w:rsidRPr="00A472FC" w:rsidRDefault="00665333" w:rsidP="00881604">
      <w:pPr>
        <w:autoSpaceDE w:val="0"/>
        <w:autoSpaceDN w:val="0"/>
        <w:adjustRightInd w:val="0"/>
        <w:ind w:right="-52"/>
        <w:rPr>
          <w:rFonts w:ascii="Times New Roman" w:hAnsi="Times New Roman" w:cs="Times New Roman"/>
        </w:rPr>
      </w:pPr>
    </w:p>
    <w:p w14:paraId="6CC377FF" w14:textId="1131DCBC" w:rsidR="00665333" w:rsidRPr="00A472FC" w:rsidRDefault="00665333" w:rsidP="00881604">
      <w:pPr>
        <w:autoSpaceDE w:val="0"/>
        <w:autoSpaceDN w:val="0"/>
        <w:adjustRightInd w:val="0"/>
        <w:ind w:right="-52"/>
        <w:rPr>
          <w:rFonts w:ascii="Times New Roman" w:hAnsi="Times New Roman" w:cs="Times New Roman"/>
          <w:color w:val="020202"/>
          <w:lang w:val="en-US"/>
        </w:rPr>
      </w:pPr>
      <w:r w:rsidRPr="00A472FC">
        <w:rPr>
          <w:rFonts w:ascii="Times New Roman" w:hAnsi="Times New Roman" w:cs="Times New Roman"/>
          <w:color w:val="030303"/>
          <w:lang w:val="en-US"/>
        </w:rPr>
        <w:tab/>
        <w:t xml:space="preserve">The first definition of free will the Summa considers is that of Anselm in </w:t>
      </w:r>
      <w:r w:rsidRPr="00A472FC">
        <w:rPr>
          <w:rFonts w:ascii="Times New Roman" w:hAnsi="Times New Roman" w:cs="Times New Roman"/>
          <w:i/>
          <w:color w:val="030303"/>
          <w:lang w:val="en-US"/>
        </w:rPr>
        <w:t xml:space="preserve">De </w:t>
      </w:r>
      <w:proofErr w:type="spellStart"/>
      <w:r w:rsidRPr="00A472FC">
        <w:rPr>
          <w:rFonts w:ascii="Times New Roman" w:hAnsi="Times New Roman" w:cs="Times New Roman"/>
          <w:i/>
          <w:color w:val="030303"/>
          <w:lang w:val="en-US"/>
        </w:rPr>
        <w:t>libero</w:t>
      </w:r>
      <w:proofErr w:type="spellEnd"/>
      <w:r w:rsidRPr="00A472FC">
        <w:rPr>
          <w:rFonts w:ascii="Times New Roman" w:hAnsi="Times New Roman" w:cs="Times New Roman"/>
          <w:i/>
          <w:color w:val="030303"/>
          <w:lang w:val="en-US"/>
        </w:rPr>
        <w:t xml:space="preserve"> </w:t>
      </w:r>
      <w:proofErr w:type="spellStart"/>
      <w:r w:rsidRPr="00A472FC">
        <w:rPr>
          <w:rFonts w:ascii="Times New Roman" w:hAnsi="Times New Roman" w:cs="Times New Roman"/>
          <w:i/>
          <w:color w:val="030303"/>
          <w:lang w:val="en-US"/>
        </w:rPr>
        <w:t>arbitrio</w:t>
      </w:r>
      <w:proofErr w:type="spellEnd"/>
      <w:r w:rsidRPr="00A472FC">
        <w:rPr>
          <w:rFonts w:ascii="Times New Roman" w:hAnsi="Times New Roman" w:cs="Times New Roman"/>
          <w:i/>
          <w:color w:val="030303"/>
          <w:lang w:val="en-US"/>
        </w:rPr>
        <w:t xml:space="preserve"> </w:t>
      </w:r>
      <w:r w:rsidRPr="00A472FC">
        <w:rPr>
          <w:rFonts w:ascii="Times New Roman" w:hAnsi="Times New Roman" w:cs="Times New Roman"/>
          <w:color w:val="030303"/>
          <w:lang w:val="en-US"/>
        </w:rPr>
        <w:t>13, which states that ‘</w:t>
      </w:r>
      <w:r w:rsidRPr="00A472FC">
        <w:rPr>
          <w:rFonts w:ascii="Times New Roman" w:hAnsi="Times New Roman" w:cs="Times New Roman"/>
        </w:rPr>
        <w:t>free choice is the power of preserving rectitude for its own sake.’</w:t>
      </w:r>
      <w:r w:rsidRPr="00A472FC">
        <w:rPr>
          <w:rStyle w:val="FootnoteReference"/>
          <w:rFonts w:ascii="Times New Roman" w:hAnsi="Times New Roman" w:cs="Times New Roman"/>
          <w:color w:val="020202"/>
          <w:lang w:val="en-US"/>
        </w:rPr>
        <w:footnoteReference w:id="1189"/>
      </w:r>
      <w:r w:rsidRPr="00A472FC">
        <w:rPr>
          <w:rFonts w:ascii="Times New Roman" w:hAnsi="Times New Roman" w:cs="Times New Roman"/>
          <w:color w:val="020202"/>
          <w:lang w:val="en-US"/>
        </w:rPr>
        <w:t xml:space="preserve"> On this account</w:t>
      </w:r>
      <w:r w:rsidRPr="00A472FC">
        <w:rPr>
          <w:rFonts w:ascii="Times New Roman" w:hAnsi="Times New Roman" w:cs="Times New Roman"/>
          <w:color w:val="030303"/>
          <w:lang w:val="en-US"/>
        </w:rPr>
        <w:t xml:space="preserve">, the power of sinning lessens freedom and is no part of free will. </w:t>
      </w:r>
      <w:r w:rsidRPr="00A472FC">
        <w:rPr>
          <w:rFonts w:ascii="Times New Roman" w:hAnsi="Times New Roman" w:cs="Times New Roman"/>
          <w:color w:val="020202"/>
          <w:lang w:val="en-US"/>
        </w:rPr>
        <w:t xml:space="preserve">The problem this poses for the Summa is that its definition entails that free choice involves </w:t>
      </w:r>
      <w:r w:rsidR="0000537D" w:rsidRPr="00A472FC">
        <w:rPr>
          <w:rFonts w:ascii="Times New Roman" w:hAnsi="Times New Roman" w:cs="Times New Roman"/>
          <w:color w:val="020202"/>
          <w:lang w:val="en-US"/>
        </w:rPr>
        <w:t>b</w:t>
      </w:r>
      <w:r w:rsidR="00F20D32" w:rsidRPr="00A472FC">
        <w:rPr>
          <w:rFonts w:ascii="Times New Roman" w:hAnsi="Times New Roman" w:cs="Times New Roman"/>
          <w:color w:val="020202"/>
          <w:lang w:val="en-US"/>
        </w:rPr>
        <w:t xml:space="preserve">oth  </w:t>
      </w:r>
      <w:r w:rsidR="0000537D" w:rsidRPr="00A472FC">
        <w:rPr>
          <w:rFonts w:ascii="Times New Roman" w:hAnsi="Times New Roman" w:cs="Times New Roman"/>
          <w:color w:val="020202"/>
          <w:lang w:val="en-US"/>
        </w:rPr>
        <w:t xml:space="preserve">the the </w:t>
      </w:r>
      <w:r w:rsidRPr="00A472FC">
        <w:rPr>
          <w:rFonts w:ascii="Times New Roman" w:hAnsi="Times New Roman" w:cs="Times New Roman"/>
          <w:color w:val="020202"/>
          <w:lang w:val="en-US"/>
        </w:rPr>
        <w:t xml:space="preserve">options of preserving </w:t>
      </w:r>
      <w:r w:rsidR="00B15D41" w:rsidRPr="00A472FC">
        <w:rPr>
          <w:rFonts w:ascii="Times New Roman" w:hAnsi="Times New Roman" w:cs="Times New Roman"/>
          <w:color w:val="020202"/>
          <w:lang w:val="en-US"/>
        </w:rPr>
        <w:t>and</w:t>
      </w:r>
      <w:r w:rsidRPr="00A472FC">
        <w:rPr>
          <w:rFonts w:ascii="Times New Roman" w:hAnsi="Times New Roman" w:cs="Times New Roman"/>
          <w:color w:val="020202"/>
          <w:lang w:val="en-US"/>
        </w:rPr>
        <w:t xml:space="preserve"> deserting rectitude.</w:t>
      </w:r>
      <w:r w:rsidRPr="00A472FC">
        <w:rPr>
          <w:rStyle w:val="FootnoteReference"/>
          <w:rFonts w:ascii="Times New Roman" w:hAnsi="Times New Roman" w:cs="Times New Roman"/>
          <w:color w:val="020202"/>
          <w:lang w:val="en-US"/>
        </w:rPr>
        <w:footnoteReference w:id="1190"/>
      </w:r>
      <w:r w:rsidRPr="00A472FC">
        <w:rPr>
          <w:rFonts w:ascii="Times New Roman" w:hAnsi="Times New Roman" w:cs="Times New Roman"/>
          <w:color w:val="020202"/>
          <w:lang w:val="en-US"/>
        </w:rPr>
        <w:t xml:space="preserve"> To get around the problem, the Summa observes that the power of preserving rectitude can be understood in several ways, namely, on the part of the one who preserves rectitude, on the part of what is preserved, that is, ‘the right thing to do’, and on the part of the means through which </w:t>
      </w:r>
      <w:r w:rsidR="00986B00" w:rsidRPr="00A472FC">
        <w:rPr>
          <w:rFonts w:ascii="Times New Roman" w:hAnsi="Times New Roman" w:cs="Times New Roman"/>
          <w:color w:val="020202"/>
          <w:lang w:val="en-US"/>
        </w:rPr>
        <w:t>rectitude</w:t>
      </w:r>
      <w:r w:rsidRPr="00A472FC">
        <w:rPr>
          <w:rFonts w:ascii="Times New Roman" w:hAnsi="Times New Roman" w:cs="Times New Roman"/>
          <w:color w:val="020202"/>
          <w:lang w:val="en-US"/>
        </w:rPr>
        <w:t xml:space="preserve"> is preserved. </w:t>
      </w:r>
    </w:p>
    <w:p w14:paraId="21DF67BA" w14:textId="4B84C004" w:rsidR="00665333" w:rsidRPr="00A472FC" w:rsidRDefault="00665333" w:rsidP="00881604">
      <w:pPr>
        <w:autoSpaceDE w:val="0"/>
        <w:autoSpaceDN w:val="0"/>
        <w:adjustRightInd w:val="0"/>
        <w:ind w:right="-52" w:firstLine="720"/>
        <w:rPr>
          <w:rFonts w:ascii="Times New Roman" w:hAnsi="Times New Roman" w:cs="Times New Roman"/>
          <w:color w:val="020202"/>
          <w:lang w:val="en-US"/>
        </w:rPr>
      </w:pPr>
      <w:r w:rsidRPr="00A472FC">
        <w:rPr>
          <w:rFonts w:ascii="Times New Roman" w:hAnsi="Times New Roman" w:cs="Times New Roman"/>
          <w:color w:val="020202"/>
          <w:lang w:val="en-US"/>
        </w:rPr>
        <w:t>When all three of these factors are taken into account, there is no power of preserving rectitude without rectitude</w:t>
      </w:r>
      <w:r w:rsidR="001E5CD3" w:rsidRPr="00A472FC">
        <w:rPr>
          <w:rFonts w:ascii="Times New Roman" w:hAnsi="Times New Roman" w:cs="Times New Roman"/>
          <w:color w:val="020202"/>
          <w:lang w:val="en-US"/>
        </w:rPr>
        <w:t xml:space="preserve"> itself</w:t>
      </w:r>
      <w:r w:rsidRPr="00A472FC">
        <w:rPr>
          <w:rFonts w:ascii="Times New Roman" w:hAnsi="Times New Roman" w:cs="Times New Roman"/>
          <w:color w:val="020202"/>
          <w:lang w:val="en-US"/>
        </w:rPr>
        <w:t xml:space="preserve">. However, when we consider the power to preserve only in terms of the nature of the one who has the power, </w:t>
      </w:r>
      <w:r w:rsidR="00567884" w:rsidRPr="00A472FC">
        <w:rPr>
          <w:rFonts w:ascii="Times New Roman" w:hAnsi="Times New Roman" w:cs="Times New Roman"/>
          <w:color w:val="020202"/>
          <w:lang w:val="en-US"/>
        </w:rPr>
        <w:t xml:space="preserve">then </w:t>
      </w:r>
      <w:r w:rsidRPr="00A472FC">
        <w:rPr>
          <w:rFonts w:ascii="Times New Roman" w:hAnsi="Times New Roman" w:cs="Times New Roman"/>
          <w:color w:val="020202"/>
          <w:lang w:val="en-US"/>
        </w:rPr>
        <w:t xml:space="preserve">the power of preserving rectitude can be said to exist even if there is no rectitude. This, the </w:t>
      </w:r>
      <w:proofErr w:type="spellStart"/>
      <w:r w:rsidRPr="00A472FC">
        <w:rPr>
          <w:rFonts w:ascii="Times New Roman" w:hAnsi="Times New Roman" w:cs="Times New Roman"/>
          <w:color w:val="020202"/>
          <w:lang w:val="en-US"/>
        </w:rPr>
        <w:t>Summist</w:t>
      </w:r>
      <w:proofErr w:type="spellEnd"/>
      <w:r w:rsidRPr="00A472FC">
        <w:rPr>
          <w:rFonts w:ascii="Times New Roman" w:hAnsi="Times New Roman" w:cs="Times New Roman"/>
          <w:color w:val="020202"/>
          <w:lang w:val="en-US"/>
        </w:rPr>
        <w:t xml:space="preserve"> surmises, is the view of Anselm and what he intends to convey with the analogy of vision he presents in his </w:t>
      </w:r>
      <w:r w:rsidRPr="00A472FC">
        <w:rPr>
          <w:rFonts w:ascii="Times New Roman" w:hAnsi="Times New Roman" w:cs="Times New Roman"/>
          <w:i/>
          <w:color w:val="020202"/>
          <w:lang w:val="en-US"/>
        </w:rPr>
        <w:t xml:space="preserve">De </w:t>
      </w:r>
      <w:proofErr w:type="spellStart"/>
      <w:r w:rsidRPr="00A472FC">
        <w:rPr>
          <w:rFonts w:ascii="Times New Roman" w:hAnsi="Times New Roman" w:cs="Times New Roman"/>
          <w:i/>
          <w:color w:val="020202"/>
          <w:lang w:val="en-US"/>
        </w:rPr>
        <w:t>libero</w:t>
      </w:r>
      <w:proofErr w:type="spellEnd"/>
      <w:r w:rsidRPr="00A472FC">
        <w:rPr>
          <w:rFonts w:ascii="Times New Roman" w:hAnsi="Times New Roman" w:cs="Times New Roman"/>
          <w:i/>
          <w:color w:val="020202"/>
          <w:lang w:val="en-US"/>
        </w:rPr>
        <w:t xml:space="preserve"> </w:t>
      </w:r>
      <w:proofErr w:type="spellStart"/>
      <w:r w:rsidRPr="00A472FC">
        <w:rPr>
          <w:rFonts w:ascii="Times New Roman" w:hAnsi="Times New Roman" w:cs="Times New Roman"/>
          <w:i/>
          <w:color w:val="020202"/>
          <w:lang w:val="en-US"/>
        </w:rPr>
        <w:t>arbitrio</w:t>
      </w:r>
      <w:proofErr w:type="spellEnd"/>
      <w:r w:rsidRPr="00A472FC">
        <w:rPr>
          <w:rFonts w:ascii="Times New Roman" w:hAnsi="Times New Roman" w:cs="Times New Roman"/>
          <w:iCs/>
          <w:color w:val="020202"/>
          <w:lang w:val="en-US"/>
        </w:rPr>
        <w:t xml:space="preserve">, </w:t>
      </w:r>
      <w:r w:rsidRPr="00A472FC">
        <w:rPr>
          <w:rFonts w:ascii="Times New Roman" w:hAnsi="Times New Roman" w:cs="Times New Roman"/>
          <w:color w:val="020202"/>
          <w:lang w:val="en-US"/>
        </w:rPr>
        <w:t xml:space="preserve">which notes that the power of seeing remains in the agent even if there is no object of vision—as in the dark—and no actual vision is taking place. </w:t>
      </w:r>
    </w:p>
    <w:p w14:paraId="129B083D" w14:textId="2566BC8A" w:rsidR="00665333" w:rsidRPr="00A472FC" w:rsidRDefault="00DA3687" w:rsidP="00881604">
      <w:pPr>
        <w:autoSpaceDE w:val="0"/>
        <w:autoSpaceDN w:val="0"/>
        <w:adjustRightInd w:val="0"/>
        <w:ind w:right="-52" w:firstLine="720"/>
        <w:rPr>
          <w:rFonts w:ascii="Times New Roman" w:hAnsi="Times New Roman" w:cs="Times New Roman"/>
          <w:color w:val="020202"/>
          <w:lang w:val="en-US"/>
        </w:rPr>
      </w:pPr>
      <w:r w:rsidRPr="00A472FC">
        <w:rPr>
          <w:rFonts w:ascii="Times New Roman" w:hAnsi="Times New Roman" w:cs="Times New Roman"/>
          <w:color w:val="020202"/>
          <w:lang w:val="en-US"/>
        </w:rPr>
        <w:t>That of course was</w:t>
      </w:r>
      <w:r w:rsidR="00665333" w:rsidRPr="00A472FC">
        <w:rPr>
          <w:rFonts w:ascii="Times New Roman" w:hAnsi="Times New Roman" w:cs="Times New Roman"/>
          <w:color w:val="020202"/>
          <w:lang w:val="en-US"/>
        </w:rPr>
        <w:t xml:space="preserve"> not the sense in which Anselm clearly intended his analogy to be interpreted in </w:t>
      </w:r>
      <w:r w:rsidR="00665333" w:rsidRPr="00A472FC">
        <w:rPr>
          <w:rFonts w:ascii="Times New Roman" w:hAnsi="Times New Roman" w:cs="Times New Roman"/>
          <w:i/>
          <w:color w:val="020202"/>
          <w:lang w:val="en-US"/>
        </w:rPr>
        <w:t xml:space="preserve">De </w:t>
      </w:r>
      <w:proofErr w:type="spellStart"/>
      <w:r w:rsidR="00665333" w:rsidRPr="00A472FC">
        <w:rPr>
          <w:rFonts w:ascii="Times New Roman" w:hAnsi="Times New Roman" w:cs="Times New Roman"/>
          <w:i/>
          <w:color w:val="020202"/>
          <w:lang w:val="en-US"/>
        </w:rPr>
        <w:t>libero</w:t>
      </w:r>
      <w:proofErr w:type="spellEnd"/>
      <w:r w:rsidR="00665333" w:rsidRPr="00A472FC">
        <w:rPr>
          <w:rFonts w:ascii="Times New Roman" w:hAnsi="Times New Roman" w:cs="Times New Roman"/>
          <w:i/>
          <w:color w:val="020202"/>
          <w:lang w:val="en-US"/>
        </w:rPr>
        <w:t xml:space="preserve"> </w:t>
      </w:r>
      <w:proofErr w:type="spellStart"/>
      <w:r w:rsidR="00665333" w:rsidRPr="00A472FC">
        <w:rPr>
          <w:rFonts w:ascii="Times New Roman" w:hAnsi="Times New Roman" w:cs="Times New Roman"/>
          <w:i/>
          <w:color w:val="020202"/>
          <w:lang w:val="en-US"/>
        </w:rPr>
        <w:t>arbitrio</w:t>
      </w:r>
      <w:proofErr w:type="spellEnd"/>
      <w:r w:rsidR="00665333" w:rsidRPr="00A472FC">
        <w:rPr>
          <w:rFonts w:ascii="Times New Roman" w:hAnsi="Times New Roman" w:cs="Times New Roman"/>
          <w:i/>
          <w:color w:val="020202"/>
          <w:lang w:val="en-US"/>
        </w:rPr>
        <w:t xml:space="preserve"> </w:t>
      </w:r>
      <w:r w:rsidR="00665333" w:rsidRPr="00A472FC">
        <w:rPr>
          <w:rFonts w:ascii="Times New Roman" w:hAnsi="Times New Roman" w:cs="Times New Roman"/>
          <w:color w:val="020202"/>
          <w:lang w:val="en-US"/>
        </w:rPr>
        <w:t>7. His objective was only to suggest that free will is present even when we are not using it, as when asleep. Nevertheless, this same justification for effectively rejecting Anselm’s position was given by Alexander of Hales in his question 33, namely, that the power of preserving rectitude remains even when the right thing is not done but evil is done instead.</w:t>
      </w:r>
      <w:r w:rsidR="00665333" w:rsidRPr="00A472FC">
        <w:rPr>
          <w:rStyle w:val="FootnoteReference"/>
          <w:rFonts w:ascii="Times New Roman" w:hAnsi="Times New Roman" w:cs="Times New Roman"/>
          <w:color w:val="020202"/>
          <w:lang w:val="en-US"/>
        </w:rPr>
        <w:footnoteReference w:id="1191"/>
      </w:r>
      <w:r w:rsidR="00665333" w:rsidRPr="00A472FC">
        <w:rPr>
          <w:rFonts w:ascii="Times New Roman" w:hAnsi="Times New Roman" w:cs="Times New Roman"/>
          <w:color w:val="020202"/>
          <w:lang w:val="en-US"/>
        </w:rPr>
        <w:t xml:space="preserve"> On this basis, the </w:t>
      </w:r>
      <w:proofErr w:type="spellStart"/>
      <w:r w:rsidR="00665333" w:rsidRPr="00A472FC">
        <w:rPr>
          <w:rFonts w:ascii="Times New Roman" w:hAnsi="Times New Roman" w:cs="Times New Roman"/>
          <w:color w:val="020202"/>
          <w:lang w:val="en-US"/>
        </w:rPr>
        <w:t>Summist</w:t>
      </w:r>
      <w:proofErr w:type="spellEnd"/>
      <w:r w:rsidR="00665333" w:rsidRPr="00A472FC">
        <w:rPr>
          <w:rFonts w:ascii="Times New Roman" w:hAnsi="Times New Roman" w:cs="Times New Roman"/>
          <w:color w:val="020202"/>
          <w:lang w:val="en-US"/>
        </w:rPr>
        <w:t xml:space="preserve"> concludes that</w:t>
      </w:r>
      <w:r w:rsidR="005D0C7D" w:rsidRPr="00A472FC">
        <w:rPr>
          <w:rFonts w:ascii="Times New Roman" w:hAnsi="Times New Roman" w:cs="Times New Roman"/>
          <w:color w:val="020202"/>
          <w:lang w:val="en-US"/>
        </w:rPr>
        <w:t>, for</w:t>
      </w:r>
      <w:r w:rsidR="00665333" w:rsidRPr="00A472FC">
        <w:rPr>
          <w:rFonts w:ascii="Times New Roman" w:hAnsi="Times New Roman" w:cs="Times New Roman"/>
          <w:color w:val="020202"/>
          <w:lang w:val="en-US"/>
        </w:rPr>
        <w:t xml:space="preserve"> Anselm</w:t>
      </w:r>
      <w:r w:rsidR="005D0C7D" w:rsidRPr="00A472FC">
        <w:rPr>
          <w:rFonts w:ascii="Times New Roman" w:hAnsi="Times New Roman" w:cs="Times New Roman"/>
          <w:color w:val="020202"/>
          <w:lang w:val="en-US"/>
        </w:rPr>
        <w:t xml:space="preserve">, </w:t>
      </w:r>
      <w:r w:rsidR="00665333" w:rsidRPr="00A472FC">
        <w:rPr>
          <w:rFonts w:ascii="Times New Roman" w:hAnsi="Times New Roman" w:cs="Times New Roman"/>
          <w:color w:val="020202"/>
          <w:lang w:val="en-US"/>
        </w:rPr>
        <w:t xml:space="preserve">the power to preserve rectitude which is the definition of free will does not actually depend on acting rightly. In this way, he paves the way for the view that free will can also serve evil. </w:t>
      </w:r>
    </w:p>
    <w:p w14:paraId="6097D271" w14:textId="37F2735A" w:rsidR="00665333" w:rsidRPr="00A472FC" w:rsidRDefault="00665333" w:rsidP="00881604">
      <w:pPr>
        <w:autoSpaceDE w:val="0"/>
        <w:autoSpaceDN w:val="0"/>
        <w:adjustRightInd w:val="0"/>
        <w:ind w:right="-52" w:firstLine="720"/>
        <w:rPr>
          <w:rFonts w:ascii="Times New Roman" w:hAnsi="Times New Roman" w:cs="Times New Roman"/>
          <w:color w:val="020202"/>
          <w:lang w:val="en-US"/>
        </w:rPr>
      </w:pPr>
      <w:r w:rsidRPr="00A472FC">
        <w:rPr>
          <w:rFonts w:ascii="Times New Roman" w:hAnsi="Times New Roman" w:cs="Times New Roman"/>
          <w:color w:val="020202"/>
          <w:lang w:val="en-US"/>
        </w:rPr>
        <w:t xml:space="preserve">The next definition the </w:t>
      </w:r>
      <w:proofErr w:type="spellStart"/>
      <w:r w:rsidRPr="00A472FC">
        <w:rPr>
          <w:rFonts w:ascii="Times New Roman" w:hAnsi="Times New Roman" w:cs="Times New Roman"/>
          <w:color w:val="020202"/>
          <w:lang w:val="en-US"/>
        </w:rPr>
        <w:t>Summist</w:t>
      </w:r>
      <w:proofErr w:type="spellEnd"/>
      <w:r w:rsidRPr="00A472FC">
        <w:rPr>
          <w:rFonts w:ascii="Times New Roman" w:hAnsi="Times New Roman" w:cs="Times New Roman"/>
          <w:color w:val="020202"/>
          <w:lang w:val="en-US"/>
        </w:rPr>
        <w:t xml:space="preserve"> considers if that of Augustine, or at least Lombard’s rendering of Augustine, as follows: </w:t>
      </w:r>
      <w:r w:rsidRPr="00A472FC">
        <w:rPr>
          <w:rFonts w:ascii="Times New Roman" w:hAnsi="Times New Roman" w:cs="Times New Roman"/>
          <w:color w:val="030303"/>
          <w:lang w:val="en-US"/>
        </w:rPr>
        <w:t xml:space="preserve">‘free will is the </w:t>
      </w:r>
      <w:r w:rsidR="005A43E9" w:rsidRPr="00A472FC">
        <w:rPr>
          <w:rFonts w:ascii="Times New Roman" w:hAnsi="Times New Roman" w:cs="Times New Roman"/>
          <w:color w:val="030303"/>
          <w:lang w:val="en-US"/>
        </w:rPr>
        <w:t>power of</w:t>
      </w:r>
      <w:r w:rsidRPr="00A472FC">
        <w:rPr>
          <w:rFonts w:ascii="Times New Roman" w:hAnsi="Times New Roman" w:cs="Times New Roman"/>
          <w:color w:val="030303"/>
          <w:lang w:val="en-US"/>
        </w:rPr>
        <w:t xml:space="preserve"> will and reason by which the </w:t>
      </w:r>
      <w:r w:rsidRPr="00A472FC">
        <w:rPr>
          <w:rFonts w:ascii="Times New Roman" w:hAnsi="Times New Roman" w:cs="Times New Roman"/>
          <w:color w:val="030303"/>
          <w:lang w:val="en-US"/>
        </w:rPr>
        <w:lastRenderedPageBreak/>
        <w:t xml:space="preserve">good is chosen through the assistance of grace and evil resisted </w:t>
      </w:r>
      <w:r w:rsidR="005A43E9" w:rsidRPr="00A472FC">
        <w:rPr>
          <w:rFonts w:ascii="Times New Roman" w:hAnsi="Times New Roman" w:cs="Times New Roman"/>
          <w:color w:val="030303"/>
          <w:lang w:val="en-US"/>
        </w:rPr>
        <w:t>when grace is absent</w:t>
      </w:r>
      <w:r w:rsidRPr="00A472FC">
        <w:rPr>
          <w:rFonts w:ascii="Times New Roman" w:hAnsi="Times New Roman" w:cs="Times New Roman"/>
          <w:color w:val="030303"/>
          <w:lang w:val="en-US"/>
        </w:rPr>
        <w:t>.’</w:t>
      </w:r>
      <w:r w:rsidRPr="00A472FC">
        <w:rPr>
          <w:rStyle w:val="FootnoteReference"/>
          <w:rFonts w:ascii="Times New Roman" w:hAnsi="Times New Roman" w:cs="Times New Roman"/>
          <w:color w:val="020202"/>
          <w:lang w:val="en-US"/>
        </w:rPr>
        <w:footnoteReference w:id="1192"/>
      </w:r>
      <w:r w:rsidRPr="00A472FC">
        <w:rPr>
          <w:rFonts w:ascii="Times New Roman" w:hAnsi="Times New Roman" w:cs="Times New Roman"/>
          <w:color w:val="020202"/>
          <w:lang w:val="en-US"/>
        </w:rPr>
        <w:t xml:space="preserve"> As Anselm says, so the Summa </w:t>
      </w:r>
      <w:r w:rsidR="008119CF" w:rsidRPr="00A472FC">
        <w:rPr>
          <w:rFonts w:ascii="Times New Roman" w:hAnsi="Times New Roman" w:cs="Times New Roman"/>
          <w:color w:val="020202"/>
          <w:lang w:val="en-US"/>
        </w:rPr>
        <w:t xml:space="preserve">here </w:t>
      </w:r>
      <w:r w:rsidR="00415A3A" w:rsidRPr="00A472FC">
        <w:rPr>
          <w:rFonts w:ascii="Times New Roman" w:hAnsi="Times New Roman" w:cs="Times New Roman"/>
          <w:color w:val="020202"/>
          <w:lang w:val="en-US"/>
        </w:rPr>
        <w:t>admits</w:t>
      </w:r>
      <w:r w:rsidRPr="00A472FC">
        <w:rPr>
          <w:rFonts w:ascii="Times New Roman" w:hAnsi="Times New Roman" w:cs="Times New Roman"/>
          <w:color w:val="020202"/>
          <w:lang w:val="en-US"/>
        </w:rPr>
        <w:t xml:space="preserve"> that the power of sinning lessens freedom, and </w:t>
      </w:r>
      <w:r w:rsidR="005909EF" w:rsidRPr="00A472FC">
        <w:rPr>
          <w:rFonts w:ascii="Times New Roman" w:hAnsi="Times New Roman" w:cs="Times New Roman"/>
          <w:color w:val="020202"/>
          <w:lang w:val="en-US"/>
        </w:rPr>
        <w:t>thus</w:t>
      </w:r>
      <w:r w:rsidRPr="00A472FC">
        <w:rPr>
          <w:rFonts w:ascii="Times New Roman" w:hAnsi="Times New Roman" w:cs="Times New Roman"/>
          <w:color w:val="020202"/>
          <w:lang w:val="en-US"/>
        </w:rPr>
        <w:t xml:space="preserve"> the one who is able to act rightly and </w:t>
      </w:r>
      <w:r w:rsidR="005A2F2A" w:rsidRPr="00A472FC">
        <w:rPr>
          <w:rFonts w:ascii="Times New Roman" w:hAnsi="Times New Roman" w:cs="Times New Roman"/>
          <w:color w:val="020202"/>
          <w:lang w:val="en-US"/>
        </w:rPr>
        <w:t xml:space="preserve">is </w:t>
      </w:r>
      <w:r w:rsidRPr="00A472FC">
        <w:rPr>
          <w:rFonts w:ascii="Times New Roman" w:hAnsi="Times New Roman" w:cs="Times New Roman"/>
          <w:color w:val="020202"/>
          <w:lang w:val="en-US"/>
        </w:rPr>
        <w:t>not able not to do so is more free.</w:t>
      </w:r>
      <w:r w:rsidRPr="00A472FC">
        <w:rPr>
          <w:rStyle w:val="FootnoteReference"/>
          <w:rFonts w:ascii="Times New Roman" w:hAnsi="Times New Roman" w:cs="Times New Roman"/>
          <w:color w:val="020202"/>
          <w:lang w:val="en-US"/>
        </w:rPr>
        <w:footnoteReference w:id="1193"/>
      </w:r>
      <w:r w:rsidRPr="00A472FC">
        <w:rPr>
          <w:rFonts w:ascii="Times New Roman" w:hAnsi="Times New Roman" w:cs="Times New Roman"/>
          <w:color w:val="020202"/>
          <w:lang w:val="en-US"/>
        </w:rPr>
        <w:t xml:space="preserve"> </w:t>
      </w:r>
      <w:r w:rsidR="00415A3A" w:rsidRPr="00A472FC">
        <w:rPr>
          <w:rFonts w:ascii="Times New Roman" w:hAnsi="Times New Roman" w:cs="Times New Roman"/>
          <w:color w:val="020202"/>
          <w:lang w:val="en-US"/>
        </w:rPr>
        <w:t xml:space="preserve">In </w:t>
      </w:r>
      <w:r w:rsidR="004C2DCC" w:rsidRPr="00A472FC">
        <w:rPr>
          <w:rFonts w:ascii="Times New Roman" w:hAnsi="Times New Roman" w:cs="Times New Roman"/>
          <w:color w:val="020202"/>
          <w:lang w:val="en-US"/>
        </w:rPr>
        <w:t>order to allow for the possibility of willing evil, consequently,</w:t>
      </w:r>
      <w:r w:rsidR="005909EF" w:rsidRPr="00A472FC">
        <w:rPr>
          <w:rFonts w:ascii="Times New Roman" w:hAnsi="Times New Roman" w:cs="Times New Roman"/>
          <w:color w:val="020202"/>
          <w:lang w:val="en-US"/>
        </w:rPr>
        <w:t xml:space="preserve"> the Summa outlines</w:t>
      </w:r>
      <w:r w:rsidRPr="00A472FC">
        <w:rPr>
          <w:rFonts w:ascii="Times New Roman" w:hAnsi="Times New Roman" w:cs="Times New Roman"/>
          <w:color w:val="020202"/>
          <w:lang w:val="en-US"/>
        </w:rPr>
        <w:t xml:space="preserve"> a three-fold liberty, namely, of nature, grace</w:t>
      </w:r>
      <w:r w:rsidR="008D757A" w:rsidRPr="00A472FC">
        <w:rPr>
          <w:rFonts w:ascii="Times New Roman" w:hAnsi="Times New Roman" w:cs="Times New Roman"/>
          <w:color w:val="020202"/>
          <w:lang w:val="en-US"/>
        </w:rPr>
        <w:t>,</w:t>
      </w:r>
      <w:r w:rsidRPr="00A472FC">
        <w:rPr>
          <w:rFonts w:ascii="Times New Roman" w:hAnsi="Times New Roman" w:cs="Times New Roman"/>
          <w:color w:val="020202"/>
          <w:lang w:val="en-US"/>
        </w:rPr>
        <w:t xml:space="preserve"> and glory. The liberty of nature is from force or compulsion, the liberty of grace from sin, and the liberty of glory from </w:t>
      </w:r>
      <w:r w:rsidR="008D757A" w:rsidRPr="00A472FC">
        <w:rPr>
          <w:rFonts w:ascii="Times New Roman" w:hAnsi="Times New Roman" w:cs="Times New Roman"/>
          <w:color w:val="020202"/>
          <w:lang w:val="en-US"/>
        </w:rPr>
        <w:t>the misery of eternal punishment.</w:t>
      </w:r>
      <w:r w:rsidRPr="00A472FC">
        <w:rPr>
          <w:rFonts w:ascii="Times New Roman" w:hAnsi="Times New Roman" w:cs="Times New Roman"/>
          <w:color w:val="020202"/>
          <w:lang w:val="en-US"/>
        </w:rPr>
        <w:t xml:space="preserve"> </w:t>
      </w:r>
    </w:p>
    <w:p w14:paraId="3B71216D" w14:textId="6C631831" w:rsidR="00665333" w:rsidRPr="00A472FC" w:rsidRDefault="00665333" w:rsidP="00881604">
      <w:pPr>
        <w:autoSpaceDE w:val="0"/>
        <w:autoSpaceDN w:val="0"/>
        <w:adjustRightInd w:val="0"/>
        <w:ind w:right="-52" w:firstLine="720"/>
        <w:rPr>
          <w:rFonts w:ascii="Times New Roman" w:hAnsi="Times New Roman" w:cs="Times New Roman"/>
          <w:color w:val="020202"/>
          <w:lang w:val="en-US"/>
        </w:rPr>
      </w:pPr>
      <w:r w:rsidRPr="00A472FC">
        <w:rPr>
          <w:rFonts w:ascii="Times New Roman" w:hAnsi="Times New Roman" w:cs="Times New Roman"/>
          <w:color w:val="020202"/>
          <w:lang w:val="en-US"/>
        </w:rPr>
        <w:t>According to the Summa, the liberty of nature</w:t>
      </w:r>
      <w:r w:rsidR="00AA6A50" w:rsidRPr="00A472FC">
        <w:rPr>
          <w:rFonts w:ascii="Times New Roman" w:hAnsi="Times New Roman" w:cs="Times New Roman"/>
          <w:color w:val="020202"/>
          <w:lang w:val="en-US"/>
        </w:rPr>
        <w:t xml:space="preserve"> does not preclude sin</w:t>
      </w:r>
      <w:r w:rsidRPr="00A472FC">
        <w:rPr>
          <w:rFonts w:ascii="Times New Roman" w:hAnsi="Times New Roman" w:cs="Times New Roman"/>
          <w:color w:val="020202"/>
          <w:lang w:val="en-US"/>
        </w:rPr>
        <w:t>, for as Bernard says, ‘as in the good, so in the bad, the will equally endures.’</w:t>
      </w:r>
      <w:r w:rsidRPr="00A472FC">
        <w:rPr>
          <w:rStyle w:val="FootnoteReference"/>
          <w:rFonts w:ascii="Times New Roman" w:hAnsi="Times New Roman" w:cs="Times New Roman"/>
          <w:color w:val="020202"/>
          <w:lang w:val="en-US"/>
        </w:rPr>
        <w:footnoteReference w:id="1194"/>
      </w:r>
      <w:r w:rsidRPr="00A472FC">
        <w:rPr>
          <w:rFonts w:ascii="Times New Roman" w:hAnsi="Times New Roman" w:cs="Times New Roman"/>
          <w:color w:val="020202"/>
          <w:lang w:val="en-US"/>
        </w:rPr>
        <w:t xml:space="preserve"> Rather, it concerns the liberty </w:t>
      </w:r>
      <w:r w:rsidR="00F01CA3" w:rsidRPr="00A472FC">
        <w:rPr>
          <w:rFonts w:ascii="Times New Roman" w:hAnsi="Times New Roman" w:cs="Times New Roman"/>
          <w:color w:val="020202"/>
          <w:lang w:val="en-US"/>
        </w:rPr>
        <w:t>from</w:t>
      </w:r>
      <w:r w:rsidRPr="00A472FC">
        <w:rPr>
          <w:rFonts w:ascii="Times New Roman" w:hAnsi="Times New Roman" w:cs="Times New Roman"/>
          <w:color w:val="020202"/>
          <w:lang w:val="en-US"/>
        </w:rPr>
        <w:t xml:space="preserve"> guilt and misery. For guilt can be augmented and lessened as can misery, </w:t>
      </w:r>
      <w:r w:rsidR="006C0509" w:rsidRPr="00A472FC">
        <w:rPr>
          <w:rFonts w:ascii="Times New Roman" w:hAnsi="Times New Roman" w:cs="Times New Roman"/>
          <w:color w:val="020202"/>
          <w:lang w:val="en-US"/>
        </w:rPr>
        <w:t xml:space="preserve">rendering the will less free, </w:t>
      </w:r>
      <w:r w:rsidRPr="00A472FC">
        <w:rPr>
          <w:rFonts w:ascii="Times New Roman" w:hAnsi="Times New Roman" w:cs="Times New Roman"/>
          <w:color w:val="020202"/>
          <w:lang w:val="en-US"/>
        </w:rPr>
        <w:t xml:space="preserve">but this is not the case with nature, which is </w:t>
      </w:r>
      <w:r w:rsidR="00337E8C" w:rsidRPr="00A472FC">
        <w:rPr>
          <w:rFonts w:ascii="Times New Roman" w:hAnsi="Times New Roman" w:cs="Times New Roman"/>
          <w:color w:val="020202"/>
          <w:lang w:val="en-US"/>
        </w:rPr>
        <w:t>always changeable between good and evil</w:t>
      </w:r>
      <w:r w:rsidRPr="00A472FC">
        <w:rPr>
          <w:rFonts w:ascii="Times New Roman" w:hAnsi="Times New Roman" w:cs="Times New Roman"/>
          <w:color w:val="020202"/>
          <w:lang w:val="en-US"/>
        </w:rPr>
        <w:t xml:space="preserve">. Thus, the power of choosing evil when grace is lacking is part of liberty, not insofar as it is enjoyed in common with God, </w:t>
      </w:r>
      <w:r w:rsidR="009A0D32" w:rsidRPr="00A472FC">
        <w:rPr>
          <w:rFonts w:ascii="Times New Roman" w:hAnsi="Times New Roman" w:cs="Times New Roman"/>
          <w:color w:val="020202"/>
          <w:lang w:val="en-US"/>
        </w:rPr>
        <w:t xml:space="preserve">under grace, </w:t>
      </w:r>
      <w:r w:rsidRPr="00A472FC">
        <w:rPr>
          <w:rFonts w:ascii="Times New Roman" w:hAnsi="Times New Roman" w:cs="Times New Roman"/>
          <w:color w:val="020202"/>
          <w:lang w:val="en-US"/>
        </w:rPr>
        <w:t>but insofar as it pertains to creatures only</w:t>
      </w:r>
      <w:r w:rsidR="009A0D32" w:rsidRPr="00A472FC">
        <w:rPr>
          <w:rFonts w:ascii="Times New Roman" w:hAnsi="Times New Roman" w:cs="Times New Roman"/>
          <w:color w:val="020202"/>
          <w:lang w:val="en-US"/>
        </w:rPr>
        <w:t>, by nature</w:t>
      </w:r>
      <w:r w:rsidRPr="00A472FC">
        <w:rPr>
          <w:rFonts w:ascii="Times New Roman" w:hAnsi="Times New Roman" w:cs="Times New Roman"/>
          <w:color w:val="020202"/>
          <w:lang w:val="en-US"/>
        </w:rPr>
        <w:t>. As in the case of Anselm above, so this justification for rejecting Augustine is reproduced virtually verbatim from Alexander of Hales’ question 33.</w:t>
      </w:r>
      <w:r w:rsidRPr="00A472FC">
        <w:rPr>
          <w:rStyle w:val="FootnoteReference"/>
          <w:rFonts w:ascii="Times New Roman" w:hAnsi="Times New Roman" w:cs="Times New Roman"/>
          <w:color w:val="020202"/>
          <w:lang w:val="en-US"/>
        </w:rPr>
        <w:footnoteReference w:id="1195"/>
      </w:r>
    </w:p>
    <w:p w14:paraId="7E1C2D68" w14:textId="7E0CB48B" w:rsidR="00665333" w:rsidRPr="00A472FC" w:rsidRDefault="00665333" w:rsidP="00881604">
      <w:pPr>
        <w:ind w:right="-52" w:firstLine="720"/>
        <w:rPr>
          <w:rFonts w:ascii="Times New Roman" w:hAnsi="Times New Roman" w:cs="Times New Roman"/>
          <w:color w:val="020202"/>
          <w:lang w:val="en-US"/>
        </w:rPr>
      </w:pPr>
      <w:r w:rsidRPr="00A472FC">
        <w:rPr>
          <w:rFonts w:ascii="Times New Roman" w:hAnsi="Times New Roman" w:cs="Times New Roman"/>
          <w:color w:val="020202"/>
          <w:lang w:val="en-US"/>
        </w:rPr>
        <w:t xml:space="preserve">Finally, the Summa addresses the definition of Bernard of </w:t>
      </w:r>
      <w:proofErr w:type="spellStart"/>
      <w:r w:rsidRPr="00A472FC">
        <w:rPr>
          <w:rFonts w:ascii="Times New Roman" w:hAnsi="Times New Roman" w:cs="Times New Roman"/>
          <w:color w:val="020202"/>
          <w:lang w:val="en-US"/>
        </w:rPr>
        <w:t>Clairvaux</w:t>
      </w:r>
      <w:proofErr w:type="spellEnd"/>
      <w:r w:rsidRPr="00A472FC">
        <w:rPr>
          <w:rFonts w:ascii="Times New Roman" w:hAnsi="Times New Roman" w:cs="Times New Roman"/>
          <w:color w:val="020202"/>
          <w:lang w:val="en-US"/>
        </w:rPr>
        <w:t xml:space="preserve"> in </w:t>
      </w:r>
      <w:r w:rsidRPr="00A472FC">
        <w:rPr>
          <w:rFonts w:ascii="Times New Roman" w:hAnsi="Times New Roman" w:cs="Times New Roman"/>
          <w:color w:val="030303"/>
          <w:lang w:val="en-US"/>
        </w:rPr>
        <w:t xml:space="preserve">his </w:t>
      </w:r>
      <w:r w:rsidRPr="00A472FC">
        <w:rPr>
          <w:rFonts w:ascii="Times New Roman" w:hAnsi="Times New Roman" w:cs="Times New Roman"/>
          <w:i/>
          <w:color w:val="030303"/>
          <w:lang w:val="en-US"/>
        </w:rPr>
        <w:t xml:space="preserve">De </w:t>
      </w:r>
      <w:proofErr w:type="spellStart"/>
      <w:r w:rsidRPr="00A472FC">
        <w:rPr>
          <w:rFonts w:ascii="Times New Roman" w:hAnsi="Times New Roman" w:cs="Times New Roman"/>
          <w:i/>
          <w:color w:val="030303"/>
          <w:lang w:val="en-US"/>
        </w:rPr>
        <w:t>libero</w:t>
      </w:r>
      <w:proofErr w:type="spellEnd"/>
      <w:r w:rsidRPr="00A472FC">
        <w:rPr>
          <w:rFonts w:ascii="Times New Roman" w:hAnsi="Times New Roman" w:cs="Times New Roman"/>
          <w:i/>
          <w:color w:val="030303"/>
          <w:lang w:val="en-US"/>
        </w:rPr>
        <w:t xml:space="preserve"> </w:t>
      </w:r>
      <w:proofErr w:type="spellStart"/>
      <w:r w:rsidRPr="00A472FC">
        <w:rPr>
          <w:rFonts w:ascii="Times New Roman" w:hAnsi="Times New Roman" w:cs="Times New Roman"/>
          <w:i/>
          <w:color w:val="030303"/>
          <w:lang w:val="en-US"/>
        </w:rPr>
        <w:t>arbitrio</w:t>
      </w:r>
      <w:proofErr w:type="spellEnd"/>
      <w:r w:rsidRPr="00A472FC">
        <w:rPr>
          <w:rFonts w:ascii="Times New Roman" w:hAnsi="Times New Roman" w:cs="Times New Roman"/>
          <w:i/>
          <w:color w:val="030303"/>
          <w:lang w:val="en-US"/>
        </w:rPr>
        <w:t xml:space="preserve"> </w:t>
      </w:r>
      <w:r w:rsidRPr="00A472FC">
        <w:rPr>
          <w:rFonts w:ascii="Times New Roman" w:hAnsi="Times New Roman" w:cs="Times New Roman"/>
          <w:color w:val="030303"/>
          <w:lang w:val="en-US"/>
        </w:rPr>
        <w:t>II.4: ‘free choice is consent on the basis of the freedom of the will that cannot be lost and the judgment of reason that cannot be changed.’</w:t>
      </w:r>
      <w:r w:rsidRPr="00A472FC">
        <w:rPr>
          <w:rStyle w:val="FootnoteReference"/>
          <w:rFonts w:ascii="Times New Roman" w:hAnsi="Times New Roman" w:cs="Times New Roman"/>
          <w:color w:val="020202"/>
          <w:lang w:val="en-US"/>
        </w:rPr>
        <w:footnoteReference w:id="1196"/>
      </w:r>
      <w:r w:rsidRPr="00A472FC">
        <w:rPr>
          <w:rFonts w:ascii="Times New Roman" w:hAnsi="Times New Roman" w:cs="Times New Roman"/>
          <w:color w:val="020202"/>
          <w:lang w:val="en-US"/>
        </w:rPr>
        <w:t xml:space="preserve"> According to Bernard, this consent is a medium between the sense of the mind and the sense of the flesh. While the sense of the mind cannot pertain to evil, the sense of the flesh cannot </w:t>
      </w:r>
      <w:r w:rsidR="009C5C5F">
        <w:rPr>
          <w:rFonts w:ascii="Times New Roman" w:hAnsi="Times New Roman" w:cs="Times New Roman"/>
          <w:color w:val="020202"/>
          <w:lang w:val="en-US"/>
        </w:rPr>
        <w:t xml:space="preserve">produce </w:t>
      </w:r>
      <w:r w:rsidRPr="00A472FC">
        <w:rPr>
          <w:rFonts w:ascii="Times New Roman" w:hAnsi="Times New Roman" w:cs="Times New Roman"/>
          <w:color w:val="020202"/>
          <w:lang w:val="en-US"/>
        </w:rPr>
        <w:t xml:space="preserve">anything good. When understood in terms </w:t>
      </w:r>
      <w:r w:rsidR="0027436E" w:rsidRPr="00A472FC">
        <w:rPr>
          <w:rFonts w:ascii="Times New Roman" w:hAnsi="Times New Roman" w:cs="Times New Roman"/>
          <w:color w:val="020202"/>
          <w:lang w:val="en-US"/>
        </w:rPr>
        <w:t xml:space="preserve">of </w:t>
      </w:r>
      <w:r w:rsidRPr="00A472FC">
        <w:rPr>
          <w:rFonts w:ascii="Times New Roman" w:hAnsi="Times New Roman" w:cs="Times New Roman"/>
          <w:color w:val="020202"/>
          <w:lang w:val="en-US"/>
        </w:rPr>
        <w:t xml:space="preserve">the mind, consequently, Bernard says that ‘no one would </w:t>
      </w:r>
      <w:r w:rsidR="004713F0" w:rsidRPr="00A472FC">
        <w:rPr>
          <w:rFonts w:ascii="Times New Roman" w:hAnsi="Times New Roman" w:cs="Times New Roman"/>
          <w:color w:val="020202"/>
          <w:lang w:val="en-US"/>
        </w:rPr>
        <w:t>think</w:t>
      </w:r>
      <w:r w:rsidRPr="00A472FC">
        <w:rPr>
          <w:rFonts w:ascii="Times New Roman" w:hAnsi="Times New Roman" w:cs="Times New Roman"/>
          <w:color w:val="020202"/>
          <w:lang w:val="en-US"/>
        </w:rPr>
        <w:t xml:space="preserve"> that free will is </w:t>
      </w:r>
      <w:r w:rsidR="004713F0" w:rsidRPr="00A472FC">
        <w:rPr>
          <w:rFonts w:ascii="Times New Roman" w:hAnsi="Times New Roman" w:cs="Times New Roman"/>
          <w:color w:val="020202"/>
          <w:lang w:val="en-US"/>
        </w:rPr>
        <w:t xml:space="preserve">so called because it is </w:t>
      </w:r>
      <w:r w:rsidRPr="00A472FC">
        <w:rPr>
          <w:rFonts w:ascii="Times New Roman" w:hAnsi="Times New Roman" w:cs="Times New Roman"/>
          <w:color w:val="020202"/>
          <w:lang w:val="en-US"/>
        </w:rPr>
        <w:t>a power or faculty that can alternate between good and evil.’</w:t>
      </w:r>
      <w:r w:rsidRPr="00A472FC">
        <w:rPr>
          <w:rStyle w:val="FootnoteReference"/>
          <w:rFonts w:ascii="Times New Roman" w:hAnsi="Times New Roman" w:cs="Times New Roman"/>
          <w:color w:val="020202"/>
          <w:lang w:val="en-US"/>
        </w:rPr>
        <w:footnoteReference w:id="1197"/>
      </w:r>
      <w:r w:rsidRPr="00A472FC">
        <w:rPr>
          <w:rFonts w:ascii="Times New Roman" w:hAnsi="Times New Roman" w:cs="Times New Roman"/>
          <w:color w:val="020202"/>
          <w:lang w:val="en-US"/>
        </w:rPr>
        <w:t xml:space="preserve"> As the medium between the mind and the senses, however, consensus is indifferent to good and evil. For it is capable of preferring what is good and ultimately God or of declining </w:t>
      </w:r>
      <w:r w:rsidR="002E3CFE" w:rsidRPr="00A472FC">
        <w:rPr>
          <w:rFonts w:ascii="Times New Roman" w:hAnsi="Times New Roman" w:cs="Times New Roman"/>
          <w:color w:val="020202"/>
          <w:lang w:val="en-US"/>
        </w:rPr>
        <w:t>the good</w:t>
      </w:r>
      <w:r w:rsidRPr="00A472FC">
        <w:rPr>
          <w:rFonts w:ascii="Times New Roman" w:hAnsi="Times New Roman" w:cs="Times New Roman"/>
          <w:color w:val="020202"/>
          <w:lang w:val="en-US"/>
        </w:rPr>
        <w:t>.</w:t>
      </w:r>
      <w:r w:rsidRPr="00A472FC">
        <w:rPr>
          <w:rStyle w:val="FootnoteReference"/>
          <w:rFonts w:ascii="Times New Roman" w:hAnsi="Times New Roman" w:cs="Times New Roman"/>
          <w:color w:val="020202"/>
          <w:lang w:val="en-US"/>
        </w:rPr>
        <w:footnoteReference w:id="1198"/>
      </w:r>
      <w:r w:rsidRPr="00A472FC">
        <w:rPr>
          <w:rFonts w:ascii="Times New Roman" w:hAnsi="Times New Roman" w:cs="Times New Roman"/>
          <w:color w:val="020202"/>
          <w:lang w:val="en-US"/>
        </w:rPr>
        <w:t xml:space="preserve"> This again is a position largely repeated from Alexander of Hales.</w:t>
      </w:r>
      <w:r w:rsidRPr="00A472FC">
        <w:rPr>
          <w:rStyle w:val="FootnoteReference"/>
          <w:rFonts w:ascii="Times New Roman" w:hAnsi="Times New Roman" w:cs="Times New Roman"/>
          <w:color w:val="020202"/>
          <w:lang w:val="en-US"/>
        </w:rPr>
        <w:footnoteReference w:id="1199"/>
      </w:r>
    </w:p>
    <w:p w14:paraId="3F330C35" w14:textId="77777777" w:rsidR="00F52EA0" w:rsidRPr="00A472FC" w:rsidRDefault="00F52EA0" w:rsidP="00881604">
      <w:pPr>
        <w:ind w:right="-52" w:firstLine="720"/>
        <w:rPr>
          <w:rFonts w:ascii="Times New Roman" w:hAnsi="Times New Roman" w:cs="Times New Roman"/>
          <w:color w:val="030303"/>
          <w:lang w:val="en-US"/>
        </w:rPr>
      </w:pPr>
    </w:p>
    <w:p w14:paraId="17E58178" w14:textId="77777777" w:rsidR="00665333" w:rsidRPr="00A472FC" w:rsidRDefault="00665333" w:rsidP="00881604">
      <w:pPr>
        <w:ind w:right="-52"/>
        <w:rPr>
          <w:rFonts w:ascii="Times New Roman" w:hAnsi="Times New Roman" w:cs="Times New Roman"/>
          <w:color w:val="030303"/>
          <w:u w:val="single"/>
          <w:lang w:val="en-US"/>
        </w:rPr>
      </w:pPr>
      <w:r w:rsidRPr="00A472FC">
        <w:rPr>
          <w:rFonts w:ascii="Times New Roman" w:hAnsi="Times New Roman" w:cs="Times New Roman"/>
          <w:color w:val="030303"/>
          <w:u w:val="single"/>
          <w:lang w:val="en-US"/>
        </w:rPr>
        <w:t>Free Will: Will or Reason?</w:t>
      </w:r>
    </w:p>
    <w:p w14:paraId="5AA48C4B" w14:textId="77777777" w:rsidR="00665333" w:rsidRPr="00A472FC" w:rsidRDefault="00665333" w:rsidP="00881604">
      <w:pPr>
        <w:ind w:right="-52"/>
        <w:rPr>
          <w:rFonts w:ascii="Times New Roman" w:hAnsi="Times New Roman" w:cs="Times New Roman"/>
          <w:color w:val="030303"/>
          <w:lang w:val="en-US"/>
        </w:rPr>
      </w:pPr>
    </w:p>
    <w:p w14:paraId="75A6FFD2" w14:textId="07ACD08D" w:rsidR="00665333" w:rsidRPr="00A472FC" w:rsidRDefault="00665333" w:rsidP="00881604">
      <w:pPr>
        <w:ind w:right="-52"/>
        <w:rPr>
          <w:rFonts w:ascii="Times New Roman" w:hAnsi="Times New Roman" w:cs="Times New Roman"/>
        </w:rPr>
      </w:pPr>
      <w:r w:rsidRPr="00A472FC">
        <w:rPr>
          <w:rFonts w:ascii="Times New Roman" w:hAnsi="Times New Roman" w:cs="Times New Roman"/>
        </w:rPr>
        <w:tab/>
        <w:t xml:space="preserve">As noted already, Alexander and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take the position that free will is comprised of both reason and will and cannot be reduced to just one of them. As the Summa nicely puts it, free will ‘is </w:t>
      </w:r>
      <w:proofErr w:type="spellStart"/>
      <w:r w:rsidRPr="00A472FC">
        <w:rPr>
          <w:rFonts w:ascii="Times New Roman" w:hAnsi="Times New Roman" w:cs="Times New Roman"/>
          <w:i/>
        </w:rPr>
        <w:t>arbitrium</w:t>
      </w:r>
      <w:proofErr w:type="spellEnd"/>
      <w:r w:rsidRPr="00A472FC">
        <w:rPr>
          <w:rFonts w:ascii="Times New Roman" w:hAnsi="Times New Roman" w:cs="Times New Roman"/>
        </w:rPr>
        <w:t xml:space="preserve"> according to reason and</w:t>
      </w:r>
      <w:r w:rsidRPr="00A472FC">
        <w:rPr>
          <w:rFonts w:ascii="Times New Roman" w:hAnsi="Times New Roman" w:cs="Times New Roman"/>
          <w:i/>
        </w:rPr>
        <w:t xml:space="preserve"> </w:t>
      </w:r>
      <w:proofErr w:type="spellStart"/>
      <w:r w:rsidRPr="00A472FC">
        <w:rPr>
          <w:rFonts w:ascii="Times New Roman" w:hAnsi="Times New Roman" w:cs="Times New Roman"/>
          <w:i/>
        </w:rPr>
        <w:t>liberum</w:t>
      </w:r>
      <w:proofErr w:type="spellEnd"/>
      <w:r w:rsidRPr="00A472FC">
        <w:rPr>
          <w:rFonts w:ascii="Times New Roman" w:hAnsi="Times New Roman" w:cs="Times New Roman"/>
        </w:rPr>
        <w:t xml:space="preserve"> according to will,’</w:t>
      </w:r>
      <w:r w:rsidRPr="00A472FC">
        <w:rPr>
          <w:rStyle w:val="FootnoteReference"/>
          <w:rFonts w:ascii="Times New Roman" w:hAnsi="Times New Roman" w:cs="Times New Roman"/>
        </w:rPr>
        <w:footnoteReference w:id="1200"/>
      </w:r>
      <w:r w:rsidRPr="00A472FC">
        <w:rPr>
          <w:rFonts w:ascii="Times New Roman" w:hAnsi="Times New Roman" w:cs="Times New Roman"/>
        </w:rPr>
        <w:t xml:space="preserve"> although the operation of </w:t>
      </w:r>
      <w:proofErr w:type="spellStart"/>
      <w:r w:rsidRPr="00A472FC">
        <w:rPr>
          <w:rFonts w:ascii="Times New Roman" w:hAnsi="Times New Roman" w:cs="Times New Roman"/>
          <w:i/>
          <w:iCs/>
        </w:rPr>
        <w:t>liberum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arbitrium</w:t>
      </w:r>
      <w:proofErr w:type="spellEnd"/>
      <w:r w:rsidRPr="00A472FC">
        <w:rPr>
          <w:rFonts w:ascii="Times New Roman" w:hAnsi="Times New Roman" w:cs="Times New Roman"/>
        </w:rPr>
        <w:t xml:space="preserve"> is something over and above reason and will which </w:t>
      </w:r>
      <w:r w:rsidR="007F6AA1" w:rsidRPr="00A472FC">
        <w:rPr>
          <w:rFonts w:ascii="Times New Roman" w:hAnsi="Times New Roman" w:cs="Times New Roman"/>
        </w:rPr>
        <w:t>presupposes both of their operations</w:t>
      </w:r>
      <w:r w:rsidRPr="00A472FC">
        <w:rPr>
          <w:rFonts w:ascii="Times New Roman" w:hAnsi="Times New Roman" w:cs="Times New Roman"/>
        </w:rPr>
        <w:t xml:space="preserve">. On this basis, Lottin </w:t>
      </w:r>
      <w:r w:rsidR="00B07435" w:rsidRPr="00A472FC">
        <w:rPr>
          <w:rFonts w:ascii="Times New Roman" w:hAnsi="Times New Roman" w:cs="Times New Roman"/>
        </w:rPr>
        <w:t>notes</w:t>
      </w:r>
      <w:r w:rsidRPr="00A472FC">
        <w:rPr>
          <w:rFonts w:ascii="Times New Roman" w:hAnsi="Times New Roman" w:cs="Times New Roman"/>
        </w:rPr>
        <w:t xml:space="preserve"> that free will for </w:t>
      </w:r>
      <w:r w:rsidR="009F29E6" w:rsidRPr="00A472FC">
        <w:rPr>
          <w:rFonts w:ascii="Times New Roman" w:hAnsi="Times New Roman" w:cs="Times New Roman"/>
        </w:rPr>
        <w:t xml:space="preserve">the </w:t>
      </w:r>
      <w:proofErr w:type="spellStart"/>
      <w:r w:rsidR="009F29E6" w:rsidRPr="00A472FC">
        <w:rPr>
          <w:rFonts w:ascii="Times New Roman" w:hAnsi="Times New Roman" w:cs="Times New Roman"/>
        </w:rPr>
        <w:t>Summist</w:t>
      </w:r>
      <w:proofErr w:type="spellEnd"/>
      <w:r w:rsidR="009F29E6" w:rsidRPr="00A472FC">
        <w:rPr>
          <w:rFonts w:ascii="Times New Roman" w:hAnsi="Times New Roman" w:cs="Times New Roman"/>
        </w:rPr>
        <w:t xml:space="preserve"> takes place in</w:t>
      </w:r>
      <w:r w:rsidRPr="00A472FC">
        <w:rPr>
          <w:rFonts w:ascii="Times New Roman" w:hAnsi="Times New Roman" w:cs="Times New Roman"/>
        </w:rPr>
        <w:t xml:space="preserve"> two stages, namely, deliberation and choice. In its first stage, free will judges what to do according to the moral law</w:t>
      </w:r>
      <w:r w:rsidR="00213BC4" w:rsidRPr="00A472FC">
        <w:rPr>
          <w:rFonts w:ascii="Times New Roman" w:hAnsi="Times New Roman" w:cs="Times New Roman"/>
        </w:rPr>
        <w:t>. S</w:t>
      </w:r>
      <w:r w:rsidRPr="00A472FC">
        <w:rPr>
          <w:rFonts w:ascii="Times New Roman" w:hAnsi="Times New Roman" w:cs="Times New Roman"/>
        </w:rPr>
        <w:t>econdly, it chooses, and in this sense, it can become released from the law to do as it pleases.</w:t>
      </w:r>
      <w:r w:rsidRPr="00A472FC">
        <w:rPr>
          <w:rStyle w:val="FootnoteReference"/>
          <w:rFonts w:ascii="Times New Roman" w:hAnsi="Times New Roman" w:cs="Times New Roman"/>
        </w:rPr>
        <w:footnoteReference w:id="1201"/>
      </w:r>
      <w:r w:rsidRPr="00A472FC">
        <w:rPr>
          <w:rFonts w:ascii="Times New Roman" w:hAnsi="Times New Roman" w:cs="Times New Roman"/>
        </w:rPr>
        <w:t xml:space="preserve"> </w:t>
      </w:r>
    </w:p>
    <w:p w14:paraId="22B10EAE" w14:textId="0C858E67" w:rsidR="00665333" w:rsidRPr="00A472FC" w:rsidRDefault="00665333" w:rsidP="00881604">
      <w:pPr>
        <w:ind w:right="-52" w:firstLine="720"/>
        <w:rPr>
          <w:rFonts w:ascii="Times New Roman" w:hAnsi="Times New Roman" w:cs="Times New Roman"/>
          <w:color w:val="030303"/>
          <w:lang w:val="en-US"/>
        </w:rPr>
      </w:pPr>
      <w:r w:rsidRPr="00A472FC">
        <w:rPr>
          <w:rFonts w:ascii="Times New Roman" w:hAnsi="Times New Roman" w:cs="Times New Roman"/>
        </w:rPr>
        <w:lastRenderedPageBreak/>
        <w:t xml:space="preserve">To defend its position, the Summa marshals quotations from both Bernard of </w:t>
      </w:r>
      <w:proofErr w:type="spellStart"/>
      <w:r w:rsidRPr="00A472FC">
        <w:rPr>
          <w:rFonts w:ascii="Times New Roman" w:hAnsi="Times New Roman" w:cs="Times New Roman"/>
        </w:rPr>
        <w:t>Clairvaux</w:t>
      </w:r>
      <w:proofErr w:type="spellEnd"/>
      <w:r w:rsidRPr="00A472FC">
        <w:rPr>
          <w:rFonts w:ascii="Times New Roman" w:hAnsi="Times New Roman" w:cs="Times New Roman"/>
        </w:rPr>
        <w:t xml:space="preserve"> and Augustine which </w:t>
      </w:r>
      <w:r w:rsidR="00C44BC4" w:rsidRPr="00A472FC">
        <w:rPr>
          <w:rFonts w:ascii="Times New Roman" w:hAnsi="Times New Roman" w:cs="Times New Roman"/>
        </w:rPr>
        <w:t xml:space="preserve">respectively </w:t>
      </w:r>
      <w:r w:rsidR="007F2BA0">
        <w:rPr>
          <w:rFonts w:ascii="Times New Roman" w:hAnsi="Times New Roman" w:cs="Times New Roman"/>
        </w:rPr>
        <w:t xml:space="preserve">seem to </w:t>
      </w:r>
      <w:r w:rsidR="00991860" w:rsidRPr="00A472FC">
        <w:rPr>
          <w:rFonts w:ascii="Times New Roman" w:hAnsi="Times New Roman" w:cs="Times New Roman"/>
        </w:rPr>
        <w:t xml:space="preserve">deny and </w:t>
      </w:r>
      <w:r w:rsidR="009F29E6" w:rsidRPr="00A472FC">
        <w:rPr>
          <w:rFonts w:ascii="Times New Roman" w:hAnsi="Times New Roman" w:cs="Times New Roman"/>
        </w:rPr>
        <w:t>suppor</w:t>
      </w:r>
      <w:r w:rsidR="00991860" w:rsidRPr="00A472FC">
        <w:rPr>
          <w:rFonts w:ascii="Times New Roman" w:hAnsi="Times New Roman" w:cs="Times New Roman"/>
        </w:rPr>
        <w:t xml:space="preserve">t </w:t>
      </w:r>
      <w:r w:rsidRPr="00A472FC">
        <w:rPr>
          <w:rFonts w:ascii="Times New Roman" w:hAnsi="Times New Roman" w:cs="Times New Roman"/>
          <w:color w:val="030303"/>
          <w:lang w:val="en-US"/>
        </w:rPr>
        <w:t>the idea that free will primarily concerns the will rather than reason.</w:t>
      </w:r>
      <w:r w:rsidRPr="00A472FC">
        <w:rPr>
          <w:rStyle w:val="FootnoteReference"/>
          <w:rFonts w:ascii="Times New Roman" w:hAnsi="Times New Roman" w:cs="Times New Roman"/>
          <w:color w:val="030303"/>
          <w:lang w:val="en-US"/>
        </w:rPr>
        <w:footnoteReference w:id="1202"/>
      </w:r>
      <w:r w:rsidRPr="00A472FC">
        <w:rPr>
          <w:rFonts w:ascii="Times New Roman" w:hAnsi="Times New Roman" w:cs="Times New Roman"/>
          <w:color w:val="030303"/>
          <w:lang w:val="en-US"/>
        </w:rPr>
        <w:t xml:space="preserve"> On the authority of Augustine, who says that nothing is in our control except the will, the Summa eventually concludes that free will is primarily a matter of the will.</w:t>
      </w:r>
      <w:r w:rsidRPr="00A472FC">
        <w:rPr>
          <w:rStyle w:val="FootnoteReference"/>
          <w:rFonts w:ascii="Times New Roman" w:hAnsi="Times New Roman" w:cs="Times New Roman"/>
          <w:color w:val="030303"/>
          <w:lang w:val="en-US"/>
        </w:rPr>
        <w:footnoteReference w:id="1203"/>
      </w:r>
      <w:r w:rsidRPr="00A472FC">
        <w:rPr>
          <w:rFonts w:ascii="Times New Roman" w:hAnsi="Times New Roman" w:cs="Times New Roman"/>
          <w:color w:val="030303"/>
          <w:lang w:val="en-US"/>
        </w:rPr>
        <w:t xml:space="preserve"> This is because</w:t>
      </w:r>
      <w:r w:rsidRPr="00A472FC">
        <w:rPr>
          <w:rFonts w:ascii="Times New Roman" w:hAnsi="Times New Roman" w:cs="Times New Roman"/>
        </w:rPr>
        <w:t xml:space="preserve"> the will is the one that ultimately exercises the power of free choice. The Summa responds to the objections to its position as follows: </w:t>
      </w:r>
    </w:p>
    <w:p w14:paraId="7D8CF88E" w14:textId="77777777" w:rsidR="00665333" w:rsidRPr="00A472FC" w:rsidRDefault="00665333" w:rsidP="00881604">
      <w:pPr>
        <w:ind w:right="-52"/>
        <w:rPr>
          <w:rFonts w:ascii="Times New Roman" w:hAnsi="Times New Roman" w:cs="Times New Roman"/>
        </w:rPr>
      </w:pPr>
    </w:p>
    <w:p w14:paraId="24286D81" w14:textId="1373BE3A" w:rsidR="00665333" w:rsidRPr="00A472FC" w:rsidRDefault="00665333" w:rsidP="00881604">
      <w:pPr>
        <w:ind w:left="720" w:right="-52"/>
        <w:rPr>
          <w:rFonts w:ascii="Times New Roman" w:hAnsi="Times New Roman" w:cs="Times New Roman"/>
        </w:rPr>
      </w:pPr>
      <w:r w:rsidRPr="00A472FC">
        <w:rPr>
          <w:rFonts w:ascii="Times New Roman" w:hAnsi="Times New Roman" w:cs="Times New Roman"/>
        </w:rPr>
        <w:t>Therefore, to those authoritative statements of the saints that seem to conclude that free choice is the will, one must reply that the saints do not intend to say that free choice is essentially the will, but that freedom mostly has to do with the will, and free choice is called will for this reason alone</w:t>
      </w:r>
      <w:r w:rsidR="00290802" w:rsidRPr="00A472FC">
        <w:rPr>
          <w:rFonts w:ascii="Times New Roman" w:hAnsi="Times New Roman" w:cs="Times New Roman"/>
        </w:rPr>
        <w:t>, namely, that it [the will] has mostly to do with freedom</w:t>
      </w:r>
      <w:r w:rsidRPr="00A472FC">
        <w:rPr>
          <w:rFonts w:ascii="Times New Roman" w:hAnsi="Times New Roman" w:cs="Times New Roman"/>
        </w:rPr>
        <w:t>.</w:t>
      </w:r>
      <w:r w:rsidRPr="00A472FC">
        <w:rPr>
          <w:rStyle w:val="FootnoteReference"/>
          <w:rFonts w:ascii="Times New Roman" w:hAnsi="Times New Roman" w:cs="Times New Roman"/>
        </w:rPr>
        <w:footnoteReference w:id="1204"/>
      </w:r>
    </w:p>
    <w:p w14:paraId="3194729B" w14:textId="77777777" w:rsidR="001C5683" w:rsidRPr="00A472FC" w:rsidRDefault="001C5683" w:rsidP="00881604">
      <w:pPr>
        <w:ind w:left="720" w:right="-52"/>
        <w:rPr>
          <w:rFonts w:ascii="Times New Roman" w:hAnsi="Times New Roman" w:cs="Times New Roman"/>
        </w:rPr>
      </w:pPr>
    </w:p>
    <w:p w14:paraId="10281191" w14:textId="6CECA2D2" w:rsidR="00156C0B" w:rsidRPr="00A472FC" w:rsidRDefault="00665333" w:rsidP="00881604">
      <w:pPr>
        <w:ind w:right="-52"/>
        <w:rPr>
          <w:rFonts w:ascii="Times New Roman" w:hAnsi="Times New Roman" w:cs="Times New Roman"/>
        </w:rPr>
      </w:pPr>
      <w:r w:rsidRPr="00A472FC">
        <w:rPr>
          <w:rFonts w:ascii="Times New Roman" w:hAnsi="Times New Roman" w:cs="Times New Roman"/>
        </w:rPr>
        <w:tab/>
      </w:r>
      <w:r w:rsidR="001C5683" w:rsidRPr="00A472FC">
        <w:rPr>
          <w:rFonts w:ascii="Times New Roman" w:hAnsi="Times New Roman" w:cs="Times New Roman"/>
        </w:rPr>
        <w:t>On the basis of this conclusion, the Summa addresses the further question</w:t>
      </w:r>
      <w:r w:rsidRPr="00A472FC">
        <w:rPr>
          <w:rFonts w:ascii="Times New Roman" w:hAnsi="Times New Roman" w:cs="Times New Roman"/>
        </w:rPr>
        <w:t xml:space="preserve"> whether merit and demerit are based on the will only or </w:t>
      </w:r>
      <w:r w:rsidR="00653A65" w:rsidRPr="00A472FC">
        <w:rPr>
          <w:rFonts w:ascii="Times New Roman" w:hAnsi="Times New Roman" w:cs="Times New Roman"/>
        </w:rPr>
        <w:t xml:space="preserve">on </w:t>
      </w:r>
      <w:r w:rsidRPr="00A472FC">
        <w:rPr>
          <w:rFonts w:ascii="Times New Roman" w:hAnsi="Times New Roman" w:cs="Times New Roman"/>
        </w:rPr>
        <w:t xml:space="preserve">the work of both reason and will. The Summa’s </w:t>
      </w:r>
      <w:r w:rsidR="005E3D43" w:rsidRPr="00A472FC">
        <w:rPr>
          <w:rFonts w:ascii="Times New Roman" w:hAnsi="Times New Roman" w:cs="Times New Roman"/>
        </w:rPr>
        <w:t>answer</w:t>
      </w:r>
      <w:r w:rsidRPr="00A472FC">
        <w:rPr>
          <w:rFonts w:ascii="Times New Roman" w:hAnsi="Times New Roman" w:cs="Times New Roman"/>
        </w:rPr>
        <w:t xml:space="preserve"> </w:t>
      </w:r>
      <w:r w:rsidR="005E3D43" w:rsidRPr="00A472FC">
        <w:rPr>
          <w:rFonts w:ascii="Times New Roman" w:hAnsi="Times New Roman" w:cs="Times New Roman"/>
        </w:rPr>
        <w:t>to this question</w:t>
      </w:r>
      <w:r w:rsidRPr="00A472FC">
        <w:rPr>
          <w:rFonts w:ascii="Times New Roman" w:hAnsi="Times New Roman" w:cs="Times New Roman"/>
        </w:rPr>
        <w:t xml:space="preserve"> clearly states that merit consists in a general sense in all aspects of free will, namely, reason, will, and their </w:t>
      </w:r>
      <w:r w:rsidR="002A0045">
        <w:rPr>
          <w:rFonts w:ascii="Times New Roman" w:hAnsi="Times New Roman" w:cs="Times New Roman"/>
        </w:rPr>
        <w:t>co-</w:t>
      </w:r>
      <w:r w:rsidRPr="00A472FC">
        <w:rPr>
          <w:rFonts w:ascii="Times New Roman" w:hAnsi="Times New Roman" w:cs="Times New Roman"/>
        </w:rPr>
        <w:t xml:space="preserve">operation through the exercise of free choice. The involvement of all three renders free choice an image of the Trinity, where the Son represents reason, the Spirit, will, and the Father the ultimate arbiter of free choice. The fact that free will pertains more to the will than to anything else, however, suggests that merit is accumulated mostly through the will. The reason the philosophers, presumably Aristotle, did not know about free choice or discuss it explicitly,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argues, is that they did not concern themselves with the principle of merit and demerit before God. </w:t>
      </w:r>
    </w:p>
    <w:p w14:paraId="75A75D8A" w14:textId="781EDAA6" w:rsidR="00665333" w:rsidRPr="00A472FC" w:rsidRDefault="00665333" w:rsidP="00156C0B">
      <w:pPr>
        <w:ind w:right="-52" w:firstLine="720"/>
        <w:rPr>
          <w:rFonts w:ascii="Times New Roman" w:hAnsi="Times New Roman" w:cs="Times New Roman"/>
        </w:rPr>
      </w:pPr>
      <w:r w:rsidRPr="00A472FC">
        <w:rPr>
          <w:rFonts w:ascii="Times New Roman" w:hAnsi="Times New Roman" w:cs="Times New Roman"/>
        </w:rPr>
        <w:t xml:space="preserve">They </w:t>
      </w:r>
      <w:r w:rsidR="00972EA9" w:rsidRPr="00A472FC">
        <w:rPr>
          <w:rFonts w:ascii="Times New Roman" w:hAnsi="Times New Roman" w:cs="Times New Roman"/>
        </w:rPr>
        <w:t xml:space="preserve">apparently </w:t>
      </w:r>
      <w:r w:rsidRPr="00A472FC">
        <w:rPr>
          <w:rFonts w:ascii="Times New Roman" w:hAnsi="Times New Roman" w:cs="Times New Roman"/>
        </w:rPr>
        <w:t xml:space="preserve">knew about the power of choosing opposites, though they did not speak of it in terms of </w:t>
      </w:r>
      <w:proofErr w:type="spellStart"/>
      <w:r w:rsidRPr="00A472FC">
        <w:rPr>
          <w:rFonts w:ascii="Times New Roman" w:hAnsi="Times New Roman" w:cs="Times New Roman"/>
          <w:i/>
        </w:rPr>
        <w:t>liberum</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arbitrium</w:t>
      </w:r>
      <w:proofErr w:type="spellEnd"/>
      <w:r w:rsidR="00ED1575" w:rsidRPr="00A472FC">
        <w:rPr>
          <w:rFonts w:ascii="Times New Roman" w:hAnsi="Times New Roman" w:cs="Times New Roman"/>
          <w:i/>
        </w:rPr>
        <w:t xml:space="preserve"> </w:t>
      </w:r>
      <w:r w:rsidR="00ED1575" w:rsidRPr="00A472FC">
        <w:rPr>
          <w:rFonts w:ascii="Times New Roman" w:hAnsi="Times New Roman" w:cs="Times New Roman"/>
          <w:iCs/>
        </w:rPr>
        <w:t xml:space="preserve">as the </w:t>
      </w:r>
      <w:proofErr w:type="spellStart"/>
      <w:r w:rsidR="00ED1575" w:rsidRPr="00A472FC">
        <w:rPr>
          <w:rFonts w:ascii="Times New Roman" w:hAnsi="Times New Roman" w:cs="Times New Roman"/>
          <w:iCs/>
        </w:rPr>
        <w:t>Summists</w:t>
      </w:r>
      <w:proofErr w:type="spellEnd"/>
      <w:r w:rsidR="00ED1575" w:rsidRPr="00A472FC">
        <w:rPr>
          <w:rFonts w:ascii="Times New Roman" w:hAnsi="Times New Roman" w:cs="Times New Roman"/>
          <w:iCs/>
        </w:rPr>
        <w:t xml:space="preserve"> do</w:t>
      </w:r>
      <w:r w:rsidRPr="00A472FC">
        <w:rPr>
          <w:rFonts w:ascii="Times New Roman" w:hAnsi="Times New Roman" w:cs="Times New Roman"/>
        </w:rPr>
        <w:t>.</w:t>
      </w:r>
      <w:r w:rsidRPr="00A472FC">
        <w:rPr>
          <w:rStyle w:val="FootnoteReference"/>
          <w:rFonts w:ascii="Times New Roman" w:hAnsi="Times New Roman" w:cs="Times New Roman"/>
        </w:rPr>
        <w:footnoteReference w:id="1205"/>
      </w:r>
      <w:r w:rsidRPr="00A472FC">
        <w:rPr>
          <w:rFonts w:ascii="Times New Roman" w:hAnsi="Times New Roman" w:cs="Times New Roman"/>
        </w:rPr>
        <w:t xml:space="preserve"> However, they did not know about the grace that makes free willing meritoriously possible. With such words,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introduces what would soon become one of the defining features of the Franciscan school: its voluntarism. As we have seen, all human beings on the early Franciscan view have an innate knowledge of the Highest Good that gives them equal access in principle to the knowledge of what is good to do and ultimately God. What determines whether that access is </w:t>
      </w:r>
      <w:proofErr w:type="spellStart"/>
      <w:r w:rsidRPr="00A472FC">
        <w:rPr>
          <w:rFonts w:ascii="Times New Roman" w:hAnsi="Times New Roman" w:cs="Times New Roman"/>
        </w:rPr>
        <w:t>utilized</w:t>
      </w:r>
      <w:proofErr w:type="spellEnd"/>
      <w:r w:rsidRPr="00A472FC">
        <w:rPr>
          <w:rFonts w:ascii="Times New Roman" w:hAnsi="Times New Roman" w:cs="Times New Roman"/>
        </w:rPr>
        <w:t xml:space="preserve"> is however the will. According to the Summa, all human beings have in principle the complete freedom to choose without any compulsion between good and evil. </w:t>
      </w:r>
      <w:r w:rsidR="003F057C" w:rsidRPr="00A472FC">
        <w:rPr>
          <w:rFonts w:ascii="Times New Roman" w:hAnsi="Times New Roman" w:cs="Times New Roman"/>
        </w:rPr>
        <w:t xml:space="preserve">For </w:t>
      </w:r>
      <w:r w:rsidRPr="00A472FC">
        <w:rPr>
          <w:rFonts w:ascii="Times New Roman" w:hAnsi="Times New Roman" w:cs="Times New Roman"/>
        </w:rPr>
        <w:t>this very reason</w:t>
      </w:r>
      <w:r w:rsidR="003F057C" w:rsidRPr="00A472FC">
        <w:rPr>
          <w:rFonts w:ascii="Times New Roman" w:hAnsi="Times New Roman" w:cs="Times New Roman"/>
        </w:rPr>
        <w:t xml:space="preserve">, </w:t>
      </w:r>
      <w:r w:rsidRPr="00A472FC">
        <w:rPr>
          <w:rFonts w:ascii="Times New Roman" w:hAnsi="Times New Roman" w:cs="Times New Roman"/>
        </w:rPr>
        <w:t xml:space="preserve">the choices they make to prefer the good </w:t>
      </w:r>
      <w:r w:rsidR="00CF2D05" w:rsidRPr="00A472FC">
        <w:rPr>
          <w:rFonts w:ascii="Times New Roman" w:hAnsi="Times New Roman" w:cs="Times New Roman"/>
        </w:rPr>
        <w:t>can be</w:t>
      </w:r>
      <w:r w:rsidRPr="00A472FC">
        <w:rPr>
          <w:rFonts w:ascii="Times New Roman" w:hAnsi="Times New Roman" w:cs="Times New Roman"/>
        </w:rPr>
        <w:t xml:space="preserve"> credited to them as meritorious.</w:t>
      </w:r>
    </w:p>
    <w:p w14:paraId="30BC7DA1" w14:textId="77777777" w:rsidR="00665333" w:rsidRPr="00A472FC" w:rsidRDefault="00665333" w:rsidP="00881604">
      <w:pPr>
        <w:ind w:right="-52"/>
        <w:rPr>
          <w:rFonts w:ascii="Times New Roman" w:hAnsi="Times New Roman" w:cs="Times New Roman"/>
        </w:rPr>
      </w:pPr>
    </w:p>
    <w:p w14:paraId="4A2C6520" w14:textId="77777777" w:rsidR="00665333" w:rsidRPr="00A472FC" w:rsidRDefault="00665333" w:rsidP="00881604">
      <w:pPr>
        <w:ind w:right="-52"/>
        <w:rPr>
          <w:rFonts w:ascii="Times New Roman" w:hAnsi="Times New Roman" w:cs="Times New Roman"/>
          <w:u w:val="single"/>
        </w:rPr>
      </w:pPr>
      <w:r w:rsidRPr="00A472FC">
        <w:rPr>
          <w:rFonts w:ascii="Times New Roman" w:hAnsi="Times New Roman" w:cs="Times New Roman"/>
          <w:u w:val="single"/>
        </w:rPr>
        <w:t>A Metaphysics of Evil</w:t>
      </w:r>
    </w:p>
    <w:p w14:paraId="24305C16" w14:textId="77777777" w:rsidR="00665333" w:rsidRPr="00A472FC" w:rsidRDefault="00665333" w:rsidP="00881604">
      <w:pPr>
        <w:ind w:right="-52"/>
        <w:rPr>
          <w:rFonts w:ascii="Times New Roman" w:hAnsi="Times New Roman" w:cs="Times New Roman"/>
        </w:rPr>
      </w:pPr>
    </w:p>
    <w:p w14:paraId="6E497B33" w14:textId="1231B259"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The early Franciscan view that evil can vacillate between good and evil was not an isolated position. A broader metaphysics of evil runs throughout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Cs/>
        </w:rPr>
        <w:t xml:space="preserve">, </w:t>
      </w:r>
      <w:r w:rsidRPr="00A472FC">
        <w:rPr>
          <w:rFonts w:ascii="Times New Roman" w:hAnsi="Times New Roman" w:cs="Times New Roman"/>
        </w:rPr>
        <w:t xml:space="preserve">which derives mostly from Alexander of Hales. As Oleg </w:t>
      </w:r>
      <w:proofErr w:type="spellStart"/>
      <w:r w:rsidRPr="00A472FC">
        <w:rPr>
          <w:rFonts w:ascii="Times New Roman" w:hAnsi="Times New Roman" w:cs="Times New Roman"/>
        </w:rPr>
        <w:t>Bychkov</w:t>
      </w:r>
      <w:proofErr w:type="spellEnd"/>
      <w:r w:rsidRPr="00A472FC">
        <w:rPr>
          <w:rFonts w:ascii="Times New Roman" w:hAnsi="Times New Roman" w:cs="Times New Roman"/>
        </w:rPr>
        <w:t xml:space="preserve"> has shown, Alexander was the pioneer of a quite remarkable position that evil contributes to the beauty of the universe by throwing the good into greater relief.</w:t>
      </w:r>
      <w:r w:rsidRPr="00A472FC">
        <w:rPr>
          <w:rStyle w:val="FootnoteReference"/>
          <w:rFonts w:ascii="Times New Roman" w:hAnsi="Times New Roman" w:cs="Times New Roman"/>
        </w:rPr>
        <w:footnoteReference w:id="1206"/>
      </w:r>
      <w:r w:rsidRPr="00A472FC">
        <w:rPr>
          <w:rFonts w:ascii="Times New Roman" w:hAnsi="Times New Roman" w:cs="Times New Roman"/>
        </w:rPr>
        <w:t xml:space="preserve"> </w:t>
      </w:r>
      <w:r w:rsidR="00AC617C" w:rsidRPr="00A472FC">
        <w:rPr>
          <w:rFonts w:ascii="Times New Roman" w:hAnsi="Times New Roman" w:cs="Times New Roman"/>
        </w:rPr>
        <w:t>Alexander</w:t>
      </w:r>
      <w:r w:rsidRPr="00A472FC">
        <w:rPr>
          <w:rFonts w:ascii="Times New Roman" w:hAnsi="Times New Roman" w:cs="Times New Roman"/>
        </w:rPr>
        <w:t xml:space="preserve"> </w:t>
      </w:r>
      <w:r w:rsidR="00614377" w:rsidRPr="00A472FC">
        <w:rPr>
          <w:rFonts w:ascii="Times New Roman" w:hAnsi="Times New Roman" w:cs="Times New Roman"/>
        </w:rPr>
        <w:t>argued this</w:t>
      </w:r>
      <w:r w:rsidRPr="00A472FC">
        <w:rPr>
          <w:rFonts w:ascii="Times New Roman" w:hAnsi="Times New Roman" w:cs="Times New Roman"/>
        </w:rPr>
        <w:t xml:space="preserve"> in sharp contrast to Peter </w:t>
      </w:r>
      <w:r w:rsidRPr="00A472FC">
        <w:rPr>
          <w:rFonts w:ascii="Times New Roman" w:hAnsi="Times New Roman" w:cs="Times New Roman"/>
        </w:rPr>
        <w:lastRenderedPageBreak/>
        <w:t xml:space="preserve">Lombard before him, who insisted that God did not want evil to exist or to emerge, and to Albert the Great, who strongly opposed </w:t>
      </w:r>
      <w:r w:rsidR="00C267D5" w:rsidRPr="00A472FC">
        <w:rPr>
          <w:rFonts w:ascii="Times New Roman" w:hAnsi="Times New Roman" w:cs="Times New Roman"/>
        </w:rPr>
        <w:t>Alexander’s</w:t>
      </w:r>
      <w:r w:rsidRPr="00A472FC">
        <w:rPr>
          <w:rFonts w:ascii="Times New Roman" w:hAnsi="Times New Roman" w:cs="Times New Roman"/>
        </w:rPr>
        <w:t xml:space="preserve"> position.</w:t>
      </w:r>
      <w:r w:rsidRPr="00A472FC">
        <w:rPr>
          <w:rStyle w:val="FootnoteReference"/>
          <w:rFonts w:ascii="Times New Roman" w:hAnsi="Times New Roman" w:cs="Times New Roman"/>
        </w:rPr>
        <w:footnoteReference w:id="1207"/>
      </w:r>
      <w:r w:rsidRPr="00A472FC">
        <w:rPr>
          <w:rFonts w:ascii="Times New Roman" w:hAnsi="Times New Roman" w:cs="Times New Roman"/>
        </w:rPr>
        <w:t xml:space="preserve"> </w:t>
      </w:r>
    </w:p>
    <w:p w14:paraId="1408511C" w14:textId="38E2C810"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In addition to what </w:t>
      </w:r>
      <w:proofErr w:type="spellStart"/>
      <w:r w:rsidRPr="00A472FC">
        <w:rPr>
          <w:rFonts w:ascii="Times New Roman" w:hAnsi="Times New Roman" w:cs="Times New Roman"/>
        </w:rPr>
        <w:t>Bychkov</w:t>
      </w:r>
      <w:proofErr w:type="spellEnd"/>
      <w:r w:rsidRPr="00A472FC">
        <w:rPr>
          <w:rFonts w:ascii="Times New Roman" w:hAnsi="Times New Roman" w:cs="Times New Roman"/>
        </w:rPr>
        <w:t xml:space="preserve"> describes as the ‘aesthetic value’ of evil, </w:t>
      </w:r>
      <w:r w:rsidR="008F1451" w:rsidRPr="00A472FC">
        <w:rPr>
          <w:rFonts w:ascii="Times New Roman" w:hAnsi="Times New Roman" w:cs="Times New Roman"/>
        </w:rPr>
        <w:t xml:space="preserve">we have seen that </w:t>
      </w:r>
      <w:r w:rsidRPr="00A472FC">
        <w:rPr>
          <w:rFonts w:ascii="Times New Roman" w:hAnsi="Times New Roman" w:cs="Times New Roman"/>
        </w:rPr>
        <w:t xml:space="preserve">early Franciscans regarded evil as essential to free choice, precisely because freedom and merit </w:t>
      </w:r>
      <w:r w:rsidR="00412FFA" w:rsidRPr="00A472FC">
        <w:rPr>
          <w:rFonts w:ascii="Times New Roman" w:hAnsi="Times New Roman" w:cs="Times New Roman"/>
        </w:rPr>
        <w:t>can only be</w:t>
      </w:r>
      <w:r w:rsidRPr="00A472FC">
        <w:rPr>
          <w:rFonts w:ascii="Times New Roman" w:hAnsi="Times New Roman" w:cs="Times New Roman"/>
        </w:rPr>
        <w:t xml:space="preserve"> attained when there are two legitimate options to choose fro</w:t>
      </w:r>
      <w:r w:rsidR="00325FED" w:rsidRPr="00A472FC">
        <w:rPr>
          <w:rFonts w:ascii="Times New Roman" w:hAnsi="Times New Roman" w:cs="Times New Roman"/>
        </w:rPr>
        <w:t>m, namely,</w:t>
      </w:r>
      <w:r w:rsidRPr="00A472FC">
        <w:rPr>
          <w:rFonts w:ascii="Times New Roman" w:hAnsi="Times New Roman" w:cs="Times New Roman"/>
        </w:rPr>
        <w:t xml:space="preserve"> good and evil. A</w:t>
      </w:r>
      <w:r w:rsidR="008F1451" w:rsidRPr="00A472FC">
        <w:rPr>
          <w:rFonts w:ascii="Times New Roman" w:hAnsi="Times New Roman" w:cs="Times New Roman"/>
        </w:rPr>
        <w:t>s noted already</w:t>
      </w:r>
      <w:r w:rsidRPr="00A472FC">
        <w:rPr>
          <w:rFonts w:ascii="Times New Roman" w:hAnsi="Times New Roman" w:cs="Times New Roman"/>
        </w:rPr>
        <w:t xml:space="preserve">, evil </w:t>
      </w:r>
      <w:r w:rsidR="00FD64CB" w:rsidRPr="00A472FC">
        <w:rPr>
          <w:rFonts w:ascii="Times New Roman" w:hAnsi="Times New Roman" w:cs="Times New Roman"/>
        </w:rPr>
        <w:t>is an option</w:t>
      </w:r>
      <w:r w:rsidRPr="00A472FC">
        <w:rPr>
          <w:rFonts w:ascii="Times New Roman" w:hAnsi="Times New Roman" w:cs="Times New Roman"/>
        </w:rPr>
        <w:t xml:space="preserve"> because human beings are created from nothing and can </w:t>
      </w:r>
      <w:r w:rsidR="00496F3F" w:rsidRPr="00A472FC">
        <w:rPr>
          <w:rFonts w:ascii="Times New Roman" w:hAnsi="Times New Roman" w:cs="Times New Roman"/>
        </w:rPr>
        <w:t xml:space="preserve">therefore </w:t>
      </w:r>
      <w:r w:rsidRPr="00A472FC">
        <w:rPr>
          <w:rFonts w:ascii="Times New Roman" w:hAnsi="Times New Roman" w:cs="Times New Roman"/>
        </w:rPr>
        <w:t>alternate between the good God intended for them, and its opposite.</w:t>
      </w:r>
      <w:r w:rsidRPr="00A472FC">
        <w:rPr>
          <w:rStyle w:val="FootnoteReference"/>
          <w:rFonts w:ascii="Times New Roman" w:hAnsi="Times New Roman" w:cs="Times New Roman"/>
        </w:rPr>
        <w:footnoteReference w:id="1208"/>
      </w:r>
      <w:r w:rsidRPr="00A472FC">
        <w:rPr>
          <w:rFonts w:ascii="Times New Roman" w:hAnsi="Times New Roman" w:cs="Times New Roman"/>
        </w:rPr>
        <w:t xml:space="preserve"> The reason God is not responsible for evil, on this showing, is that he is only the cause of the good in which he originally created humans, albeit with the power to will the opposite of the good, namely, evil, to their own merit or demerit.</w:t>
      </w:r>
      <w:r w:rsidRPr="00A472FC">
        <w:rPr>
          <w:rStyle w:val="FootnoteReference"/>
          <w:rFonts w:ascii="Times New Roman" w:hAnsi="Times New Roman" w:cs="Times New Roman"/>
        </w:rPr>
        <w:footnoteReference w:id="1209"/>
      </w:r>
      <w:r w:rsidRPr="00A472FC">
        <w:rPr>
          <w:rFonts w:ascii="Times New Roman" w:hAnsi="Times New Roman" w:cs="Times New Roman"/>
        </w:rPr>
        <w:t xml:space="preserve"> </w:t>
      </w:r>
    </w:p>
    <w:p w14:paraId="651F4C34" w14:textId="0F3A295C" w:rsidR="00B638E4" w:rsidRPr="00A472FC" w:rsidRDefault="006F60B9" w:rsidP="00B638E4">
      <w:pPr>
        <w:ind w:right="-52" w:firstLine="720"/>
        <w:rPr>
          <w:rFonts w:ascii="Times New Roman" w:hAnsi="Times New Roman" w:cs="Times New Roman"/>
        </w:rPr>
      </w:pPr>
      <w:r w:rsidRPr="00A472FC">
        <w:rPr>
          <w:rFonts w:ascii="Times New Roman" w:hAnsi="Times New Roman" w:cs="Times New Roman"/>
        </w:rPr>
        <w:t>A significant consequence of this position is that it attribute</w:t>
      </w:r>
      <w:r w:rsidR="00A843FE" w:rsidRPr="00A472FC">
        <w:rPr>
          <w:rFonts w:ascii="Times New Roman" w:hAnsi="Times New Roman" w:cs="Times New Roman"/>
        </w:rPr>
        <w:t>s</w:t>
      </w:r>
      <w:r w:rsidRPr="00A472FC">
        <w:rPr>
          <w:rFonts w:ascii="Times New Roman" w:hAnsi="Times New Roman" w:cs="Times New Roman"/>
        </w:rPr>
        <w:t xml:space="preserve"> </w:t>
      </w:r>
      <w:r w:rsidR="0005676D" w:rsidRPr="00A472FC">
        <w:rPr>
          <w:rFonts w:ascii="Times New Roman" w:hAnsi="Times New Roman" w:cs="Times New Roman"/>
        </w:rPr>
        <w:t>some</w:t>
      </w:r>
      <w:r w:rsidR="00665333" w:rsidRPr="00A472FC">
        <w:rPr>
          <w:rFonts w:ascii="Times New Roman" w:hAnsi="Times New Roman" w:cs="Times New Roman"/>
        </w:rPr>
        <w:t xml:space="preserve"> kind of substantiality to evil, </w:t>
      </w:r>
      <w:r w:rsidR="00C80D85" w:rsidRPr="00A472FC">
        <w:rPr>
          <w:rFonts w:ascii="Times New Roman" w:hAnsi="Times New Roman" w:cs="Times New Roman"/>
        </w:rPr>
        <w:t>in contrast to</w:t>
      </w:r>
      <w:r w:rsidR="00665333" w:rsidRPr="00A472FC">
        <w:rPr>
          <w:rFonts w:ascii="Times New Roman" w:hAnsi="Times New Roman" w:cs="Times New Roman"/>
        </w:rPr>
        <w:t xml:space="preserve"> the previous Western tradition, which was dominated by the idea that evil is not strictly speaking ‘something’ but an absence of the good. This is certainly a view to which the </w:t>
      </w:r>
      <w:r w:rsidR="00665333" w:rsidRPr="00A472FC">
        <w:rPr>
          <w:rFonts w:ascii="Times New Roman" w:hAnsi="Times New Roman" w:cs="Times New Roman"/>
          <w:i/>
        </w:rPr>
        <w:t xml:space="preserve">Summa </w:t>
      </w:r>
      <w:r w:rsidR="00665333" w:rsidRPr="00A472FC">
        <w:rPr>
          <w:rFonts w:ascii="Times New Roman" w:hAnsi="Times New Roman" w:cs="Times New Roman"/>
        </w:rPr>
        <w:t>pays lip service, not least through quotations to the major proponents of the theory, including Augustine, Pseudo-Dionysius, Isidore of Seville, and Gregory the Great.</w:t>
      </w:r>
      <w:r w:rsidR="00665333" w:rsidRPr="00A472FC">
        <w:rPr>
          <w:rStyle w:val="FootnoteReference"/>
          <w:rFonts w:ascii="Times New Roman" w:hAnsi="Times New Roman" w:cs="Times New Roman"/>
        </w:rPr>
        <w:footnoteReference w:id="1210"/>
      </w:r>
      <w:r w:rsidR="00665333" w:rsidRPr="00A472FC">
        <w:rPr>
          <w:rFonts w:ascii="Times New Roman" w:hAnsi="Times New Roman" w:cs="Times New Roman"/>
        </w:rPr>
        <w:t xml:space="preserve"> All of these thinkers deny that evil is a substance and treat it as a privation of the good. In a radical departure from the tradition, however, the Summa tries to create a space for a positive conception of evil by distinguishing between three different ways of defining a being, in terms of </w:t>
      </w:r>
      <w:proofErr w:type="spellStart"/>
      <w:r w:rsidR="00665333" w:rsidRPr="00A472FC">
        <w:rPr>
          <w:rFonts w:ascii="Times New Roman" w:hAnsi="Times New Roman" w:cs="Times New Roman"/>
          <w:i/>
        </w:rPr>
        <w:t>esse</w:t>
      </w:r>
      <w:proofErr w:type="spellEnd"/>
      <w:r w:rsidR="00665333" w:rsidRPr="00A472FC">
        <w:rPr>
          <w:rFonts w:ascii="Times New Roman" w:hAnsi="Times New Roman" w:cs="Times New Roman"/>
          <w:i/>
        </w:rPr>
        <w:t xml:space="preserve"> </w:t>
      </w:r>
      <w:proofErr w:type="spellStart"/>
      <w:r w:rsidR="00665333" w:rsidRPr="00A472FC">
        <w:rPr>
          <w:rFonts w:ascii="Times New Roman" w:hAnsi="Times New Roman" w:cs="Times New Roman"/>
          <w:i/>
        </w:rPr>
        <w:t>rationis</w:t>
      </w:r>
      <w:proofErr w:type="spellEnd"/>
      <w:r w:rsidR="00665333" w:rsidRPr="00A472FC">
        <w:rPr>
          <w:rFonts w:ascii="Times New Roman" w:hAnsi="Times New Roman" w:cs="Times New Roman"/>
          <w:iCs/>
        </w:rPr>
        <w:t>,</w:t>
      </w:r>
      <w:r w:rsidR="00665333" w:rsidRPr="00A472FC">
        <w:rPr>
          <w:rFonts w:ascii="Times New Roman" w:hAnsi="Times New Roman" w:cs="Times New Roman"/>
          <w:i/>
        </w:rPr>
        <w:t xml:space="preserve"> </w:t>
      </w:r>
      <w:proofErr w:type="spellStart"/>
      <w:r w:rsidR="00665333" w:rsidRPr="00A472FC">
        <w:rPr>
          <w:rFonts w:ascii="Times New Roman" w:hAnsi="Times New Roman" w:cs="Times New Roman"/>
          <w:i/>
        </w:rPr>
        <w:t>esse</w:t>
      </w:r>
      <w:proofErr w:type="spellEnd"/>
      <w:r w:rsidR="00665333" w:rsidRPr="00A472FC">
        <w:rPr>
          <w:rFonts w:ascii="Times New Roman" w:hAnsi="Times New Roman" w:cs="Times New Roman"/>
          <w:i/>
        </w:rPr>
        <w:t xml:space="preserve"> </w:t>
      </w:r>
      <w:proofErr w:type="spellStart"/>
      <w:r w:rsidR="00665333" w:rsidRPr="00A472FC">
        <w:rPr>
          <w:rFonts w:ascii="Times New Roman" w:hAnsi="Times New Roman" w:cs="Times New Roman"/>
          <w:i/>
        </w:rPr>
        <w:t>naturae</w:t>
      </w:r>
      <w:proofErr w:type="spellEnd"/>
      <w:r w:rsidR="00665333" w:rsidRPr="00A472FC">
        <w:rPr>
          <w:rFonts w:ascii="Times New Roman" w:hAnsi="Times New Roman" w:cs="Times New Roman"/>
          <w:iCs/>
        </w:rPr>
        <w:t>,</w:t>
      </w:r>
      <w:r w:rsidR="00665333" w:rsidRPr="00A472FC">
        <w:rPr>
          <w:rFonts w:ascii="Times New Roman" w:hAnsi="Times New Roman" w:cs="Times New Roman"/>
          <w:i/>
        </w:rPr>
        <w:t xml:space="preserve"> </w:t>
      </w:r>
      <w:r w:rsidR="00665333" w:rsidRPr="00A472FC">
        <w:rPr>
          <w:rFonts w:ascii="Times New Roman" w:hAnsi="Times New Roman" w:cs="Times New Roman"/>
        </w:rPr>
        <w:t xml:space="preserve">and </w:t>
      </w:r>
      <w:proofErr w:type="spellStart"/>
      <w:r w:rsidR="00665333" w:rsidRPr="00A472FC">
        <w:rPr>
          <w:rFonts w:ascii="Times New Roman" w:hAnsi="Times New Roman" w:cs="Times New Roman"/>
          <w:i/>
        </w:rPr>
        <w:t>esse</w:t>
      </w:r>
      <w:proofErr w:type="spellEnd"/>
      <w:r w:rsidR="00665333" w:rsidRPr="00A472FC">
        <w:rPr>
          <w:rFonts w:ascii="Times New Roman" w:hAnsi="Times New Roman" w:cs="Times New Roman"/>
          <w:i/>
        </w:rPr>
        <w:t xml:space="preserve"> </w:t>
      </w:r>
      <w:proofErr w:type="spellStart"/>
      <w:r w:rsidR="00665333" w:rsidRPr="00A472FC">
        <w:rPr>
          <w:rFonts w:ascii="Times New Roman" w:hAnsi="Times New Roman" w:cs="Times New Roman"/>
          <w:i/>
        </w:rPr>
        <w:t>moris</w:t>
      </w:r>
      <w:proofErr w:type="spellEnd"/>
      <w:r w:rsidR="00665333" w:rsidRPr="00A472FC">
        <w:rPr>
          <w:rFonts w:ascii="Times New Roman" w:hAnsi="Times New Roman" w:cs="Times New Roman"/>
        </w:rPr>
        <w:t xml:space="preserve">. </w:t>
      </w:r>
    </w:p>
    <w:p w14:paraId="0E292C4D" w14:textId="6B57E04D" w:rsidR="006F54CE" w:rsidRDefault="00665333" w:rsidP="008326CE">
      <w:pPr>
        <w:ind w:right="-52" w:firstLine="720"/>
        <w:rPr>
          <w:rFonts w:ascii="Times New Roman" w:hAnsi="Times New Roman" w:cs="Times New Roman"/>
        </w:rPr>
      </w:pPr>
      <w:r w:rsidRPr="00A472FC">
        <w:rPr>
          <w:rFonts w:ascii="Times New Roman" w:hAnsi="Times New Roman" w:cs="Times New Roman"/>
        </w:rPr>
        <w:t xml:space="preserve">In the first sense, something is an entity if there </w:t>
      </w:r>
      <w:r w:rsidR="008B19C0" w:rsidRPr="00A472FC">
        <w:rPr>
          <w:rFonts w:ascii="Times New Roman" w:hAnsi="Times New Roman" w:cs="Times New Roman"/>
        </w:rPr>
        <w:t>is</w:t>
      </w:r>
      <w:r w:rsidRPr="00A472FC">
        <w:rPr>
          <w:rFonts w:ascii="Times New Roman" w:hAnsi="Times New Roman" w:cs="Times New Roman"/>
        </w:rPr>
        <w:t xml:space="preserve"> a correspondence between </w:t>
      </w:r>
      <w:r w:rsidR="008B19C0" w:rsidRPr="00A472FC">
        <w:rPr>
          <w:rFonts w:ascii="Times New Roman" w:hAnsi="Times New Roman" w:cs="Times New Roman"/>
        </w:rPr>
        <w:t>a</w:t>
      </w:r>
      <w:r w:rsidRPr="00A472FC">
        <w:rPr>
          <w:rFonts w:ascii="Times New Roman" w:hAnsi="Times New Roman" w:cs="Times New Roman"/>
        </w:rPr>
        <w:t xml:space="preserve"> thing and the mind. Here, evil is something because it deforms that in which it exists, namely, the human mind.</w:t>
      </w:r>
      <w:r w:rsidRPr="00A472FC">
        <w:rPr>
          <w:rStyle w:val="FootnoteReference"/>
          <w:rFonts w:ascii="Times New Roman" w:hAnsi="Times New Roman" w:cs="Times New Roman"/>
        </w:rPr>
        <w:footnoteReference w:id="1211"/>
      </w:r>
      <w:r w:rsidRPr="00A472FC">
        <w:rPr>
          <w:rFonts w:ascii="Times New Roman" w:hAnsi="Times New Roman" w:cs="Times New Roman"/>
        </w:rPr>
        <w:t xml:space="preserve"> As regards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naturae</w:t>
      </w:r>
      <w:proofErr w:type="spellEnd"/>
      <w:r w:rsidRPr="00A472FC">
        <w:rPr>
          <w:rFonts w:ascii="Times New Roman" w:hAnsi="Times New Roman" w:cs="Times New Roman"/>
        </w:rPr>
        <w:t>, moreover, evil is something, by virtue of the fact that it is diffused in the world through evil acts which are in fact ‘something’.</w:t>
      </w:r>
      <w:r w:rsidRPr="00A472FC">
        <w:rPr>
          <w:rStyle w:val="FootnoteReference"/>
          <w:rFonts w:ascii="Times New Roman" w:hAnsi="Times New Roman" w:cs="Times New Roman"/>
        </w:rPr>
        <w:footnoteReference w:id="1212"/>
      </w:r>
      <w:r w:rsidRPr="00A472FC">
        <w:rPr>
          <w:rFonts w:ascii="Times New Roman" w:hAnsi="Times New Roman" w:cs="Times New Roman"/>
        </w:rPr>
        <w:t xml:space="preserve"> When talking about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moris</w:t>
      </w:r>
      <w:proofErr w:type="spellEnd"/>
      <w:r w:rsidRPr="00A472FC">
        <w:rPr>
          <w:rFonts w:ascii="Times New Roman" w:hAnsi="Times New Roman" w:cs="Times New Roman"/>
          <w:iCs/>
        </w:rPr>
        <w:t xml:space="preserve">, </w:t>
      </w:r>
      <w:r w:rsidRPr="00A472FC">
        <w:rPr>
          <w:rFonts w:ascii="Times New Roman" w:hAnsi="Times New Roman" w:cs="Times New Roman"/>
        </w:rPr>
        <w:t xml:space="preserve">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admits that evil is not strictly speaking ‘something’, because </w:t>
      </w:r>
      <w:proofErr w:type="spellStart"/>
      <w:r w:rsidRPr="00A472FC">
        <w:rPr>
          <w:rFonts w:ascii="Times New Roman" w:hAnsi="Times New Roman" w:cs="Times New Roman"/>
          <w:i/>
        </w:rPr>
        <w:t>esse</w:t>
      </w:r>
      <w:proofErr w:type="spellEnd"/>
      <w:r w:rsidRPr="00A472FC">
        <w:rPr>
          <w:rFonts w:ascii="Times New Roman" w:hAnsi="Times New Roman" w:cs="Times New Roman"/>
        </w:rPr>
        <w:t xml:space="preserve"> in this sense refers to the order human beings have to God</w:t>
      </w:r>
      <w:r w:rsidR="007C2710" w:rsidRPr="00A472FC">
        <w:rPr>
          <w:rFonts w:ascii="Times New Roman" w:hAnsi="Times New Roman" w:cs="Times New Roman"/>
        </w:rPr>
        <w:t xml:space="preserve">, which is lacking in evil persons. In that sense, </w:t>
      </w:r>
      <w:proofErr w:type="spellStart"/>
      <w:r w:rsidR="008326CE" w:rsidRPr="00A472FC">
        <w:rPr>
          <w:rFonts w:ascii="Times New Roman" w:hAnsi="Times New Roman" w:cs="Times New Roman"/>
          <w:i/>
          <w:iCs/>
        </w:rPr>
        <w:t>esse</w:t>
      </w:r>
      <w:proofErr w:type="spellEnd"/>
      <w:r w:rsidR="008326CE" w:rsidRPr="00A472FC">
        <w:rPr>
          <w:rFonts w:ascii="Times New Roman" w:hAnsi="Times New Roman" w:cs="Times New Roman"/>
          <w:i/>
          <w:iCs/>
        </w:rPr>
        <w:t xml:space="preserve"> </w:t>
      </w:r>
      <w:proofErr w:type="spellStart"/>
      <w:r w:rsidR="008326CE" w:rsidRPr="00A472FC">
        <w:rPr>
          <w:rFonts w:ascii="Times New Roman" w:hAnsi="Times New Roman" w:cs="Times New Roman"/>
          <w:i/>
          <w:iCs/>
        </w:rPr>
        <w:t>moris</w:t>
      </w:r>
      <w:proofErr w:type="spellEnd"/>
      <w:r w:rsidR="008326CE" w:rsidRPr="00A472FC">
        <w:rPr>
          <w:rFonts w:ascii="Times New Roman" w:hAnsi="Times New Roman" w:cs="Times New Roman"/>
          <w:i/>
          <w:iCs/>
        </w:rPr>
        <w:t xml:space="preserve"> </w:t>
      </w:r>
      <w:r w:rsidR="008326CE" w:rsidRPr="00A472FC">
        <w:rPr>
          <w:rFonts w:ascii="Times New Roman" w:hAnsi="Times New Roman" w:cs="Times New Roman"/>
        </w:rPr>
        <w:t xml:space="preserve">refers only to ‘graced’ human nature rather than human nature as such, defined in terms of </w:t>
      </w:r>
      <w:proofErr w:type="spellStart"/>
      <w:r w:rsidR="008326CE" w:rsidRPr="00A472FC">
        <w:rPr>
          <w:rFonts w:ascii="Times New Roman" w:hAnsi="Times New Roman" w:cs="Times New Roman"/>
          <w:i/>
          <w:iCs/>
        </w:rPr>
        <w:t>esse</w:t>
      </w:r>
      <w:proofErr w:type="spellEnd"/>
      <w:r w:rsidR="008326CE" w:rsidRPr="00A472FC">
        <w:rPr>
          <w:rFonts w:ascii="Times New Roman" w:hAnsi="Times New Roman" w:cs="Times New Roman"/>
          <w:i/>
          <w:iCs/>
        </w:rPr>
        <w:t xml:space="preserve"> </w:t>
      </w:r>
      <w:proofErr w:type="spellStart"/>
      <w:r w:rsidR="008326CE" w:rsidRPr="00A472FC">
        <w:rPr>
          <w:rFonts w:ascii="Times New Roman" w:hAnsi="Times New Roman" w:cs="Times New Roman"/>
          <w:i/>
          <w:iCs/>
        </w:rPr>
        <w:t>rationis</w:t>
      </w:r>
      <w:proofErr w:type="spellEnd"/>
      <w:r w:rsidR="008326CE" w:rsidRPr="00A472FC">
        <w:rPr>
          <w:rFonts w:ascii="Times New Roman" w:hAnsi="Times New Roman" w:cs="Times New Roman"/>
          <w:i/>
          <w:iCs/>
        </w:rPr>
        <w:t xml:space="preserve"> </w:t>
      </w:r>
      <w:r w:rsidR="008326CE" w:rsidRPr="00A472FC">
        <w:rPr>
          <w:rFonts w:ascii="Times New Roman" w:hAnsi="Times New Roman" w:cs="Times New Roman"/>
        </w:rPr>
        <w:t xml:space="preserve">and </w:t>
      </w:r>
      <w:proofErr w:type="spellStart"/>
      <w:r w:rsidR="008326CE" w:rsidRPr="00A472FC">
        <w:rPr>
          <w:rFonts w:ascii="Times New Roman" w:hAnsi="Times New Roman" w:cs="Times New Roman"/>
          <w:i/>
          <w:iCs/>
        </w:rPr>
        <w:t>esse</w:t>
      </w:r>
      <w:proofErr w:type="spellEnd"/>
      <w:r w:rsidR="008326CE" w:rsidRPr="00A472FC">
        <w:rPr>
          <w:rFonts w:ascii="Times New Roman" w:hAnsi="Times New Roman" w:cs="Times New Roman"/>
          <w:i/>
          <w:iCs/>
        </w:rPr>
        <w:t xml:space="preserve"> </w:t>
      </w:r>
      <w:proofErr w:type="spellStart"/>
      <w:r w:rsidR="008326CE" w:rsidRPr="00A472FC">
        <w:rPr>
          <w:rFonts w:ascii="Times New Roman" w:hAnsi="Times New Roman" w:cs="Times New Roman"/>
          <w:i/>
          <w:iCs/>
        </w:rPr>
        <w:t>naturae</w:t>
      </w:r>
      <w:proofErr w:type="spellEnd"/>
      <w:r w:rsidRPr="00A472FC">
        <w:rPr>
          <w:rFonts w:ascii="Times New Roman" w:hAnsi="Times New Roman" w:cs="Times New Roman"/>
        </w:rPr>
        <w:t>.</w:t>
      </w:r>
      <w:r w:rsidRPr="00A472FC">
        <w:rPr>
          <w:rStyle w:val="FootnoteReference"/>
          <w:rFonts w:ascii="Times New Roman" w:hAnsi="Times New Roman" w:cs="Times New Roman"/>
        </w:rPr>
        <w:footnoteReference w:id="1213"/>
      </w:r>
      <w:r w:rsidRPr="00A472FC">
        <w:rPr>
          <w:rFonts w:ascii="Times New Roman" w:hAnsi="Times New Roman" w:cs="Times New Roman"/>
        </w:rPr>
        <w:t xml:space="preserve"> </w:t>
      </w:r>
    </w:p>
    <w:p w14:paraId="4D736170" w14:textId="77C8557C" w:rsidR="006608E3" w:rsidRDefault="00367B84" w:rsidP="00CA5851">
      <w:pPr>
        <w:ind w:right="-52" w:firstLine="720"/>
        <w:rPr>
          <w:rFonts w:ascii="Times New Roman" w:hAnsi="Times New Roman" w:cs="Times New Roman"/>
        </w:rPr>
      </w:pPr>
      <w:r w:rsidRPr="00A472FC">
        <w:rPr>
          <w:rFonts w:ascii="Times New Roman" w:hAnsi="Times New Roman" w:cs="Times New Roman"/>
        </w:rPr>
        <w:t xml:space="preserve">As Theo </w:t>
      </w:r>
      <w:proofErr w:type="spellStart"/>
      <w:r w:rsidRPr="00A472FC">
        <w:rPr>
          <w:rFonts w:ascii="Times New Roman" w:hAnsi="Times New Roman" w:cs="Times New Roman"/>
        </w:rPr>
        <w:t>Kobusch</w:t>
      </w:r>
      <w:proofErr w:type="spellEnd"/>
      <w:r w:rsidRPr="00A472FC">
        <w:rPr>
          <w:rFonts w:ascii="Times New Roman" w:hAnsi="Times New Roman" w:cs="Times New Roman"/>
        </w:rPr>
        <w:t xml:space="preserve"> has shown, this way of </w:t>
      </w:r>
      <w:proofErr w:type="spellStart"/>
      <w:r w:rsidRPr="00A472FC">
        <w:rPr>
          <w:rFonts w:ascii="Times New Roman" w:hAnsi="Times New Roman" w:cs="Times New Roman"/>
        </w:rPr>
        <w:t>categorizing</w:t>
      </w:r>
      <w:proofErr w:type="spellEnd"/>
      <w:r w:rsidRPr="00A472FC">
        <w:rPr>
          <w:rFonts w:ascii="Times New Roman" w:hAnsi="Times New Roman" w:cs="Times New Roman"/>
        </w:rPr>
        <w:t xml:space="preserve"> modes of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is unique to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iCs/>
        </w:rPr>
        <w:t xml:space="preserve">and the latter category of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morale </w:t>
      </w:r>
      <w:r w:rsidRPr="00A472FC">
        <w:rPr>
          <w:rFonts w:ascii="Times New Roman" w:hAnsi="Times New Roman" w:cs="Times New Roman"/>
          <w:iCs/>
        </w:rPr>
        <w:t>in particular</w:t>
      </w:r>
      <w:r w:rsidR="00F14084">
        <w:rPr>
          <w:rFonts w:ascii="Times New Roman" w:hAnsi="Times New Roman" w:cs="Times New Roman"/>
          <w:iCs/>
        </w:rPr>
        <w:t xml:space="preserve"> </w:t>
      </w:r>
      <w:r w:rsidRPr="00A472FC">
        <w:rPr>
          <w:rFonts w:ascii="Times New Roman" w:hAnsi="Times New Roman" w:cs="Times New Roman"/>
          <w:iCs/>
        </w:rPr>
        <w:t xml:space="preserve">was crucial to establishing the freedom of the will, as defined in the </w:t>
      </w:r>
      <w:r w:rsidR="008F400A">
        <w:rPr>
          <w:rFonts w:ascii="Times New Roman" w:hAnsi="Times New Roman" w:cs="Times New Roman"/>
          <w:iCs/>
        </w:rPr>
        <w:t>present</w:t>
      </w:r>
      <w:r w:rsidRPr="00A472FC">
        <w:rPr>
          <w:rFonts w:ascii="Times New Roman" w:hAnsi="Times New Roman" w:cs="Times New Roman"/>
          <w:iCs/>
        </w:rPr>
        <w:t xml:space="preserve"> chapter, as the fundamental feature of human nature</w:t>
      </w:r>
      <w:r w:rsidRPr="00A472FC">
        <w:rPr>
          <w:rFonts w:ascii="Times New Roman" w:hAnsi="Times New Roman" w:cs="Times New Roman"/>
        </w:rPr>
        <w:t>.</w:t>
      </w:r>
      <w:r w:rsidRPr="00A472FC">
        <w:rPr>
          <w:rStyle w:val="FootnoteReference"/>
          <w:rFonts w:ascii="Times New Roman" w:hAnsi="Times New Roman" w:cs="Times New Roman"/>
        </w:rPr>
        <w:footnoteReference w:id="1214"/>
      </w:r>
      <w:r w:rsidRPr="00A472FC">
        <w:rPr>
          <w:rFonts w:ascii="Times New Roman" w:hAnsi="Times New Roman" w:cs="Times New Roman"/>
        </w:rPr>
        <w:t xml:space="preserve"> </w:t>
      </w:r>
      <w:r w:rsidR="00F14084">
        <w:rPr>
          <w:rFonts w:ascii="Times New Roman" w:hAnsi="Times New Roman" w:cs="Times New Roman"/>
        </w:rPr>
        <w:t xml:space="preserve">The </w:t>
      </w:r>
      <w:r w:rsidR="00F22C1D" w:rsidRPr="008809E6">
        <w:rPr>
          <w:rFonts w:ascii="Times New Roman" w:hAnsi="Times New Roman" w:cs="Times New Roman"/>
          <w:i/>
          <w:iCs/>
        </w:rPr>
        <w:t xml:space="preserve">Summa </w:t>
      </w:r>
      <w:proofErr w:type="spellStart"/>
      <w:r w:rsidR="00F22C1D" w:rsidRPr="008809E6">
        <w:rPr>
          <w:rFonts w:ascii="Times New Roman" w:hAnsi="Times New Roman" w:cs="Times New Roman"/>
          <w:i/>
          <w:iCs/>
        </w:rPr>
        <w:t>Halensis</w:t>
      </w:r>
      <w:proofErr w:type="spellEnd"/>
      <w:r w:rsidR="00F22C1D">
        <w:rPr>
          <w:rFonts w:ascii="Times New Roman" w:hAnsi="Times New Roman" w:cs="Times New Roman"/>
        </w:rPr>
        <w:t xml:space="preserve"> actually </w:t>
      </w:r>
      <w:r w:rsidR="00F14084">
        <w:rPr>
          <w:rFonts w:ascii="Times New Roman" w:hAnsi="Times New Roman" w:cs="Times New Roman"/>
        </w:rPr>
        <w:t xml:space="preserve">appears to have </w:t>
      </w:r>
      <w:r w:rsidR="00F22C1D">
        <w:rPr>
          <w:rFonts w:ascii="Times New Roman" w:hAnsi="Times New Roman" w:cs="Times New Roman"/>
        </w:rPr>
        <w:t xml:space="preserve">created </w:t>
      </w:r>
      <w:r w:rsidR="00541145">
        <w:rPr>
          <w:rFonts w:ascii="Times New Roman" w:hAnsi="Times New Roman" w:cs="Times New Roman"/>
        </w:rPr>
        <w:t>this</w:t>
      </w:r>
      <w:r w:rsidR="00ED67FB">
        <w:rPr>
          <w:rFonts w:ascii="Times New Roman" w:hAnsi="Times New Roman" w:cs="Times New Roman"/>
        </w:rPr>
        <w:t xml:space="preserve"> third </w:t>
      </w:r>
      <w:r w:rsidR="00F22C1D">
        <w:rPr>
          <w:rFonts w:ascii="Times New Roman" w:hAnsi="Times New Roman" w:cs="Times New Roman"/>
        </w:rPr>
        <w:t>category</w:t>
      </w:r>
      <w:r w:rsidR="00CA4300">
        <w:rPr>
          <w:rFonts w:ascii="Times New Roman" w:hAnsi="Times New Roman" w:cs="Times New Roman"/>
        </w:rPr>
        <w:t xml:space="preserve"> </w:t>
      </w:r>
      <w:r w:rsidR="00B942A8">
        <w:rPr>
          <w:rFonts w:ascii="Times New Roman" w:hAnsi="Times New Roman" w:cs="Times New Roman"/>
        </w:rPr>
        <w:t xml:space="preserve">partly </w:t>
      </w:r>
      <w:r w:rsidR="00541145">
        <w:rPr>
          <w:rFonts w:ascii="Times New Roman" w:hAnsi="Times New Roman" w:cs="Times New Roman"/>
        </w:rPr>
        <w:t>in order</w:t>
      </w:r>
      <w:r w:rsidR="00F22C1D">
        <w:rPr>
          <w:rFonts w:ascii="Times New Roman" w:hAnsi="Times New Roman" w:cs="Times New Roman"/>
        </w:rPr>
        <w:t xml:space="preserve"> to establish a sphere of grace over and above that of nature</w:t>
      </w:r>
      <w:r w:rsidR="00B14092">
        <w:rPr>
          <w:rFonts w:ascii="Times New Roman" w:hAnsi="Times New Roman" w:cs="Times New Roman"/>
        </w:rPr>
        <w:t xml:space="preserve">, </w:t>
      </w:r>
      <w:r w:rsidR="006E4A4C">
        <w:rPr>
          <w:rFonts w:ascii="Times New Roman" w:hAnsi="Times New Roman" w:cs="Times New Roman"/>
        </w:rPr>
        <w:t xml:space="preserve">which in turn allowed it to attribute substantially to evil in precisely the two areas </w:t>
      </w:r>
      <w:r w:rsidR="00E63672">
        <w:rPr>
          <w:rFonts w:ascii="Times New Roman" w:hAnsi="Times New Roman" w:cs="Times New Roman"/>
        </w:rPr>
        <w:t xml:space="preserve">of </w:t>
      </w:r>
      <w:proofErr w:type="spellStart"/>
      <w:r w:rsidR="00E63672" w:rsidRPr="00E63672">
        <w:rPr>
          <w:rFonts w:ascii="Times New Roman" w:hAnsi="Times New Roman" w:cs="Times New Roman"/>
          <w:i/>
          <w:iCs/>
        </w:rPr>
        <w:t>esse</w:t>
      </w:r>
      <w:proofErr w:type="spellEnd"/>
      <w:r w:rsidR="00E63672" w:rsidRPr="00E63672">
        <w:rPr>
          <w:rFonts w:ascii="Times New Roman" w:hAnsi="Times New Roman" w:cs="Times New Roman"/>
          <w:i/>
          <w:iCs/>
        </w:rPr>
        <w:t xml:space="preserve"> </w:t>
      </w:r>
      <w:proofErr w:type="spellStart"/>
      <w:r w:rsidR="00E63672" w:rsidRPr="00E63672">
        <w:rPr>
          <w:rFonts w:ascii="Times New Roman" w:hAnsi="Times New Roman" w:cs="Times New Roman"/>
          <w:i/>
          <w:iCs/>
        </w:rPr>
        <w:t>rationis</w:t>
      </w:r>
      <w:proofErr w:type="spellEnd"/>
      <w:r w:rsidR="00E63672" w:rsidRPr="00E63672">
        <w:rPr>
          <w:rFonts w:ascii="Times New Roman" w:hAnsi="Times New Roman" w:cs="Times New Roman"/>
          <w:i/>
          <w:iCs/>
        </w:rPr>
        <w:t xml:space="preserve"> </w:t>
      </w:r>
      <w:r w:rsidR="00E63672" w:rsidRPr="00E63672">
        <w:rPr>
          <w:rFonts w:ascii="Times New Roman" w:hAnsi="Times New Roman" w:cs="Times New Roman"/>
        </w:rPr>
        <w:t>and</w:t>
      </w:r>
      <w:r w:rsidR="00E63672" w:rsidRPr="00E63672">
        <w:rPr>
          <w:rFonts w:ascii="Times New Roman" w:hAnsi="Times New Roman" w:cs="Times New Roman"/>
          <w:i/>
          <w:iCs/>
        </w:rPr>
        <w:t xml:space="preserve"> </w:t>
      </w:r>
      <w:proofErr w:type="spellStart"/>
      <w:r w:rsidR="00E63672" w:rsidRPr="00E63672">
        <w:rPr>
          <w:rFonts w:ascii="Times New Roman" w:hAnsi="Times New Roman" w:cs="Times New Roman"/>
          <w:i/>
          <w:iCs/>
        </w:rPr>
        <w:t>esse</w:t>
      </w:r>
      <w:proofErr w:type="spellEnd"/>
      <w:r w:rsidR="00E63672" w:rsidRPr="00E63672">
        <w:rPr>
          <w:rFonts w:ascii="Times New Roman" w:hAnsi="Times New Roman" w:cs="Times New Roman"/>
          <w:i/>
          <w:iCs/>
        </w:rPr>
        <w:t xml:space="preserve"> </w:t>
      </w:r>
      <w:proofErr w:type="spellStart"/>
      <w:r w:rsidR="00E63672" w:rsidRPr="00E63672">
        <w:rPr>
          <w:rFonts w:ascii="Times New Roman" w:hAnsi="Times New Roman" w:cs="Times New Roman"/>
          <w:i/>
          <w:iCs/>
        </w:rPr>
        <w:t>naturae</w:t>
      </w:r>
      <w:proofErr w:type="spellEnd"/>
      <w:r w:rsidR="00E63672" w:rsidRPr="00E63672">
        <w:rPr>
          <w:rFonts w:ascii="Times New Roman" w:hAnsi="Times New Roman" w:cs="Times New Roman"/>
          <w:i/>
          <w:iCs/>
        </w:rPr>
        <w:t xml:space="preserve"> </w:t>
      </w:r>
      <w:r w:rsidR="00E63672">
        <w:rPr>
          <w:rFonts w:ascii="Times New Roman" w:hAnsi="Times New Roman" w:cs="Times New Roman"/>
        </w:rPr>
        <w:t xml:space="preserve">where the prior tradition stemming from Augustine had denied it. </w:t>
      </w:r>
      <w:r w:rsidR="00CA5851">
        <w:rPr>
          <w:rFonts w:ascii="Times New Roman" w:hAnsi="Times New Roman" w:cs="Times New Roman"/>
        </w:rPr>
        <w:t>F</w:t>
      </w:r>
      <w:r w:rsidR="00CA4300">
        <w:rPr>
          <w:rFonts w:ascii="Times New Roman" w:hAnsi="Times New Roman" w:cs="Times New Roman"/>
        </w:rPr>
        <w:t>or</w:t>
      </w:r>
      <w:r w:rsidR="00665333" w:rsidRPr="00A472FC">
        <w:rPr>
          <w:rFonts w:ascii="Times New Roman" w:hAnsi="Times New Roman" w:cs="Times New Roman"/>
        </w:rPr>
        <w:t xml:space="preserve"> </w:t>
      </w:r>
      <w:r w:rsidR="00287884">
        <w:rPr>
          <w:rFonts w:ascii="Times New Roman" w:hAnsi="Times New Roman" w:cs="Times New Roman"/>
        </w:rPr>
        <w:t>him,</w:t>
      </w:r>
      <w:r w:rsidR="00477D8D" w:rsidRPr="00A472FC">
        <w:rPr>
          <w:rFonts w:ascii="Times New Roman" w:hAnsi="Times New Roman" w:cs="Times New Roman"/>
        </w:rPr>
        <w:t xml:space="preserve"> </w:t>
      </w:r>
      <w:r w:rsidR="00665333" w:rsidRPr="00A472FC">
        <w:rPr>
          <w:rFonts w:ascii="Times New Roman" w:hAnsi="Times New Roman" w:cs="Times New Roman"/>
        </w:rPr>
        <w:t>evil thoughts (</w:t>
      </w:r>
      <w:proofErr w:type="spellStart"/>
      <w:r w:rsidR="00665333" w:rsidRPr="00A472FC">
        <w:rPr>
          <w:rFonts w:ascii="Times New Roman" w:hAnsi="Times New Roman" w:cs="Times New Roman"/>
          <w:i/>
        </w:rPr>
        <w:t>esse</w:t>
      </w:r>
      <w:proofErr w:type="spellEnd"/>
      <w:r w:rsidR="00665333" w:rsidRPr="00A472FC">
        <w:rPr>
          <w:rFonts w:ascii="Times New Roman" w:hAnsi="Times New Roman" w:cs="Times New Roman"/>
          <w:i/>
        </w:rPr>
        <w:t xml:space="preserve"> </w:t>
      </w:r>
      <w:proofErr w:type="spellStart"/>
      <w:r w:rsidR="00665333" w:rsidRPr="00A472FC">
        <w:rPr>
          <w:rFonts w:ascii="Times New Roman" w:hAnsi="Times New Roman" w:cs="Times New Roman"/>
          <w:i/>
        </w:rPr>
        <w:t>rationis</w:t>
      </w:r>
      <w:proofErr w:type="spellEnd"/>
      <w:r w:rsidR="00665333" w:rsidRPr="00A472FC">
        <w:rPr>
          <w:rFonts w:ascii="Times New Roman" w:hAnsi="Times New Roman" w:cs="Times New Roman"/>
        </w:rPr>
        <w:t>) and evil actions (</w:t>
      </w:r>
      <w:proofErr w:type="spellStart"/>
      <w:r w:rsidR="00665333" w:rsidRPr="00A472FC">
        <w:rPr>
          <w:rFonts w:ascii="Times New Roman" w:hAnsi="Times New Roman" w:cs="Times New Roman"/>
          <w:i/>
        </w:rPr>
        <w:t>esse</w:t>
      </w:r>
      <w:proofErr w:type="spellEnd"/>
      <w:r w:rsidR="00665333" w:rsidRPr="00A472FC">
        <w:rPr>
          <w:rFonts w:ascii="Times New Roman" w:hAnsi="Times New Roman" w:cs="Times New Roman"/>
          <w:i/>
        </w:rPr>
        <w:t xml:space="preserve"> </w:t>
      </w:r>
      <w:proofErr w:type="spellStart"/>
      <w:r w:rsidR="00665333" w:rsidRPr="00A472FC">
        <w:rPr>
          <w:rFonts w:ascii="Times New Roman" w:hAnsi="Times New Roman" w:cs="Times New Roman"/>
          <w:i/>
        </w:rPr>
        <w:t>naturae</w:t>
      </w:r>
      <w:proofErr w:type="spellEnd"/>
      <w:r w:rsidR="00665333" w:rsidRPr="00A472FC">
        <w:rPr>
          <w:rFonts w:ascii="Times New Roman" w:hAnsi="Times New Roman" w:cs="Times New Roman"/>
        </w:rPr>
        <w:t>) lack substance</w:t>
      </w:r>
      <w:r w:rsidR="004E292B" w:rsidRPr="00A472FC">
        <w:rPr>
          <w:rFonts w:ascii="Times New Roman" w:hAnsi="Times New Roman" w:cs="Times New Roman"/>
        </w:rPr>
        <w:t xml:space="preserve">, </w:t>
      </w:r>
      <w:r w:rsidR="00665333" w:rsidRPr="00A472FC">
        <w:rPr>
          <w:rFonts w:ascii="Times New Roman" w:hAnsi="Times New Roman" w:cs="Times New Roman"/>
        </w:rPr>
        <w:t xml:space="preserve">because they lack the qualities that God intended human thoughts and acts to possess: they exhibit a deficiency in the good that reduced their quality as beings. In the view of the </w:t>
      </w:r>
      <w:proofErr w:type="spellStart"/>
      <w:r w:rsidR="00665333" w:rsidRPr="00A472FC">
        <w:rPr>
          <w:rFonts w:ascii="Times New Roman" w:hAnsi="Times New Roman" w:cs="Times New Roman"/>
        </w:rPr>
        <w:t>Summist</w:t>
      </w:r>
      <w:proofErr w:type="spellEnd"/>
      <w:r w:rsidR="00665333" w:rsidRPr="00A472FC">
        <w:rPr>
          <w:rFonts w:ascii="Times New Roman" w:hAnsi="Times New Roman" w:cs="Times New Roman"/>
        </w:rPr>
        <w:t>,</w:t>
      </w:r>
      <w:r w:rsidR="00BE15F0">
        <w:rPr>
          <w:rFonts w:ascii="Times New Roman" w:hAnsi="Times New Roman" w:cs="Times New Roman"/>
        </w:rPr>
        <w:t xml:space="preserve"> </w:t>
      </w:r>
      <w:r w:rsidR="001F3286">
        <w:rPr>
          <w:rFonts w:ascii="Times New Roman" w:hAnsi="Times New Roman" w:cs="Times New Roman"/>
        </w:rPr>
        <w:t xml:space="preserve">by contrast, </w:t>
      </w:r>
      <w:r w:rsidR="00665333" w:rsidRPr="00A472FC">
        <w:rPr>
          <w:rFonts w:ascii="Times New Roman" w:hAnsi="Times New Roman" w:cs="Times New Roman"/>
        </w:rPr>
        <w:t xml:space="preserve">the </w:t>
      </w:r>
      <w:r w:rsidR="002A5298" w:rsidRPr="00A472FC">
        <w:rPr>
          <w:rFonts w:ascii="Times New Roman" w:hAnsi="Times New Roman" w:cs="Times New Roman"/>
        </w:rPr>
        <w:lastRenderedPageBreak/>
        <w:t xml:space="preserve">reality of the </w:t>
      </w:r>
      <w:r w:rsidR="00665333" w:rsidRPr="00A472FC">
        <w:rPr>
          <w:rFonts w:ascii="Times New Roman" w:hAnsi="Times New Roman" w:cs="Times New Roman"/>
        </w:rPr>
        <w:t xml:space="preserve">thoughts and actions in </w:t>
      </w:r>
      <w:r w:rsidR="001F4D08">
        <w:rPr>
          <w:rFonts w:ascii="Times New Roman" w:hAnsi="Times New Roman" w:cs="Times New Roman"/>
        </w:rPr>
        <w:t xml:space="preserve">the realms of </w:t>
      </w:r>
      <w:proofErr w:type="spellStart"/>
      <w:r w:rsidR="001F4D08" w:rsidRPr="00FB6012">
        <w:rPr>
          <w:rFonts w:ascii="Times New Roman" w:hAnsi="Times New Roman" w:cs="Times New Roman"/>
          <w:i/>
          <w:iCs/>
        </w:rPr>
        <w:t>esse</w:t>
      </w:r>
      <w:proofErr w:type="spellEnd"/>
      <w:r w:rsidR="001F4D08" w:rsidRPr="00FB6012">
        <w:rPr>
          <w:rFonts w:ascii="Times New Roman" w:hAnsi="Times New Roman" w:cs="Times New Roman"/>
          <w:i/>
          <w:iCs/>
        </w:rPr>
        <w:t xml:space="preserve"> </w:t>
      </w:r>
      <w:proofErr w:type="spellStart"/>
      <w:r w:rsidR="00FB6012" w:rsidRPr="00FB6012">
        <w:rPr>
          <w:rFonts w:ascii="Times New Roman" w:hAnsi="Times New Roman" w:cs="Times New Roman"/>
          <w:i/>
          <w:iCs/>
        </w:rPr>
        <w:t>naturae</w:t>
      </w:r>
      <w:proofErr w:type="spellEnd"/>
      <w:r w:rsidR="00FB6012" w:rsidRPr="00FB6012">
        <w:rPr>
          <w:rFonts w:ascii="Times New Roman" w:hAnsi="Times New Roman" w:cs="Times New Roman"/>
          <w:i/>
          <w:iCs/>
        </w:rPr>
        <w:t xml:space="preserve"> </w:t>
      </w:r>
      <w:r w:rsidR="00FB6012" w:rsidRPr="00FB6012">
        <w:rPr>
          <w:rFonts w:ascii="Times New Roman" w:hAnsi="Times New Roman" w:cs="Times New Roman"/>
        </w:rPr>
        <w:t>and</w:t>
      </w:r>
      <w:r w:rsidR="00FB6012" w:rsidRPr="00FB6012">
        <w:rPr>
          <w:rFonts w:ascii="Times New Roman" w:hAnsi="Times New Roman" w:cs="Times New Roman"/>
          <w:i/>
          <w:iCs/>
        </w:rPr>
        <w:t xml:space="preserve"> </w:t>
      </w:r>
      <w:proofErr w:type="spellStart"/>
      <w:r w:rsidR="00FB6012" w:rsidRPr="00FB6012">
        <w:rPr>
          <w:rFonts w:ascii="Times New Roman" w:hAnsi="Times New Roman" w:cs="Times New Roman"/>
          <w:i/>
          <w:iCs/>
        </w:rPr>
        <w:t>rationis</w:t>
      </w:r>
      <w:proofErr w:type="spellEnd"/>
      <w:r w:rsidR="00FB6012" w:rsidRPr="00FB6012">
        <w:rPr>
          <w:rFonts w:ascii="Times New Roman" w:hAnsi="Times New Roman" w:cs="Times New Roman"/>
          <w:i/>
          <w:iCs/>
        </w:rPr>
        <w:t xml:space="preserve"> </w:t>
      </w:r>
      <w:r w:rsidR="00665333" w:rsidRPr="00A472FC">
        <w:rPr>
          <w:rFonts w:ascii="Times New Roman" w:hAnsi="Times New Roman" w:cs="Times New Roman"/>
        </w:rPr>
        <w:t xml:space="preserve">needs to be </w:t>
      </w:r>
      <w:proofErr w:type="spellStart"/>
      <w:r w:rsidR="00665333" w:rsidRPr="00A472FC">
        <w:rPr>
          <w:rFonts w:ascii="Times New Roman" w:hAnsi="Times New Roman" w:cs="Times New Roman"/>
        </w:rPr>
        <w:t>recognized</w:t>
      </w:r>
      <w:proofErr w:type="spellEnd"/>
      <w:r w:rsidR="00665333" w:rsidRPr="00A472FC">
        <w:rPr>
          <w:rFonts w:ascii="Times New Roman" w:hAnsi="Times New Roman" w:cs="Times New Roman"/>
        </w:rPr>
        <w:t xml:space="preserve"> </w:t>
      </w:r>
      <w:r w:rsidR="005C4891" w:rsidRPr="00A472FC">
        <w:rPr>
          <w:rFonts w:ascii="Times New Roman" w:hAnsi="Times New Roman" w:cs="Times New Roman"/>
        </w:rPr>
        <w:t>so that they can be</w:t>
      </w:r>
      <w:r w:rsidR="00665333" w:rsidRPr="00A472FC">
        <w:rPr>
          <w:rFonts w:ascii="Times New Roman" w:hAnsi="Times New Roman" w:cs="Times New Roman"/>
        </w:rPr>
        <w:t xml:space="preserve"> considered </w:t>
      </w:r>
      <w:r w:rsidR="005C4891" w:rsidRPr="00A472FC">
        <w:rPr>
          <w:rFonts w:ascii="Times New Roman" w:hAnsi="Times New Roman" w:cs="Times New Roman"/>
        </w:rPr>
        <w:t xml:space="preserve">as </w:t>
      </w:r>
      <w:r w:rsidR="00665333" w:rsidRPr="00A472FC">
        <w:rPr>
          <w:rFonts w:ascii="Times New Roman" w:hAnsi="Times New Roman" w:cs="Times New Roman"/>
        </w:rPr>
        <w:t>legitimate objects of free choice</w:t>
      </w:r>
      <w:r w:rsidR="007D207E" w:rsidRPr="00A472FC">
        <w:rPr>
          <w:rFonts w:ascii="Times New Roman" w:hAnsi="Times New Roman" w:cs="Times New Roman"/>
        </w:rPr>
        <w:t>,</w:t>
      </w:r>
      <w:r w:rsidR="00665333" w:rsidRPr="00A472FC">
        <w:rPr>
          <w:rFonts w:ascii="Times New Roman" w:hAnsi="Times New Roman" w:cs="Times New Roman"/>
        </w:rPr>
        <w:t xml:space="preserve"> per the Summa’s account of this topic above. </w:t>
      </w:r>
    </w:p>
    <w:p w14:paraId="6680476C" w14:textId="3788C4F0" w:rsidR="00BE15F0" w:rsidRDefault="006608E3" w:rsidP="00FB6012">
      <w:pPr>
        <w:ind w:right="-52" w:firstLine="720"/>
        <w:rPr>
          <w:rFonts w:ascii="Times New Roman" w:hAnsi="Times New Roman" w:cs="Times New Roman"/>
        </w:rPr>
      </w:pPr>
      <w:r>
        <w:rPr>
          <w:rFonts w:ascii="Times New Roman" w:hAnsi="Times New Roman" w:cs="Times New Roman"/>
        </w:rPr>
        <w:t>Thus, the Summa attributes substantiality to evil in precisely the two areas where earlier thinkers followed Augustine in rejecting it.</w:t>
      </w:r>
      <w:r w:rsidRPr="00A472FC">
        <w:rPr>
          <w:rFonts w:ascii="Times New Roman" w:hAnsi="Times New Roman" w:cs="Times New Roman"/>
        </w:rPr>
        <w:t xml:space="preserve"> </w:t>
      </w:r>
    </w:p>
    <w:p w14:paraId="6DC45596" w14:textId="76DD2261" w:rsidR="007E478D" w:rsidRPr="00FB6012" w:rsidRDefault="00444D16" w:rsidP="00FB6012">
      <w:pPr>
        <w:ind w:right="-52" w:firstLine="720"/>
        <w:rPr>
          <w:rFonts w:ascii="Times New Roman" w:hAnsi="Times New Roman" w:cs="Times New Roman"/>
        </w:rPr>
      </w:pPr>
      <w:r>
        <w:rPr>
          <w:rFonts w:ascii="Times New Roman" w:hAnsi="Times New Roman" w:cs="Times New Roman"/>
        </w:rPr>
        <w:t>For all practical purposes,</w:t>
      </w:r>
      <w:r w:rsidR="0011506D">
        <w:rPr>
          <w:rFonts w:ascii="Times New Roman" w:hAnsi="Times New Roman" w:cs="Times New Roman"/>
        </w:rPr>
        <w:t xml:space="preserve"> consequently, </w:t>
      </w:r>
      <w:r w:rsidR="0011506D" w:rsidRPr="00A472FC">
        <w:rPr>
          <w:rFonts w:ascii="Times New Roman" w:hAnsi="Times New Roman" w:cs="Times New Roman"/>
        </w:rPr>
        <w:t xml:space="preserve">the </w:t>
      </w:r>
      <w:proofErr w:type="spellStart"/>
      <w:r w:rsidR="0011506D" w:rsidRPr="00A472FC">
        <w:rPr>
          <w:rFonts w:ascii="Times New Roman" w:hAnsi="Times New Roman" w:cs="Times New Roman"/>
        </w:rPr>
        <w:t>Summist</w:t>
      </w:r>
      <w:proofErr w:type="spellEnd"/>
      <w:r w:rsidR="0011506D" w:rsidRPr="00A472FC">
        <w:rPr>
          <w:rFonts w:ascii="Times New Roman" w:hAnsi="Times New Roman" w:cs="Times New Roman"/>
        </w:rPr>
        <w:t xml:space="preserve"> rejects the idea of evil as a privation of the good in </w:t>
      </w:r>
      <w:proofErr w:type="spellStart"/>
      <w:r w:rsidR="0011506D" w:rsidRPr="00A472FC">
        <w:rPr>
          <w:rFonts w:ascii="Times New Roman" w:hAnsi="Times New Roman" w:cs="Times New Roman"/>
        </w:rPr>
        <w:t>favor</w:t>
      </w:r>
      <w:proofErr w:type="spellEnd"/>
      <w:r w:rsidR="0011506D" w:rsidRPr="00A472FC">
        <w:rPr>
          <w:rFonts w:ascii="Times New Roman" w:hAnsi="Times New Roman" w:cs="Times New Roman"/>
        </w:rPr>
        <w:t xml:space="preserve"> of one which renders it a positive reality, </w:t>
      </w:r>
      <w:r w:rsidR="00BE15F0">
        <w:rPr>
          <w:rFonts w:ascii="Times New Roman" w:hAnsi="Times New Roman" w:cs="Times New Roman"/>
        </w:rPr>
        <w:t>even if it is one that</w:t>
      </w:r>
      <w:r w:rsidR="0011506D" w:rsidRPr="00A472FC">
        <w:rPr>
          <w:rFonts w:ascii="Times New Roman" w:hAnsi="Times New Roman" w:cs="Times New Roman"/>
        </w:rPr>
        <w:t xml:space="preserve"> is </w:t>
      </w:r>
      <w:r w:rsidR="00BE15F0">
        <w:rPr>
          <w:rFonts w:ascii="Times New Roman" w:hAnsi="Times New Roman" w:cs="Times New Roman"/>
        </w:rPr>
        <w:t xml:space="preserve">only </w:t>
      </w:r>
      <w:r w:rsidR="0011506D" w:rsidRPr="00A472FC">
        <w:rPr>
          <w:rFonts w:ascii="Times New Roman" w:hAnsi="Times New Roman" w:cs="Times New Roman"/>
        </w:rPr>
        <w:t xml:space="preserve">entertained by those </w:t>
      </w:r>
      <w:r w:rsidR="00BE15F0">
        <w:rPr>
          <w:rFonts w:ascii="Times New Roman" w:hAnsi="Times New Roman" w:cs="Times New Roman"/>
        </w:rPr>
        <w:t xml:space="preserve">who disobey the will of </w:t>
      </w:r>
      <w:r w:rsidR="0011506D" w:rsidRPr="00A472FC">
        <w:rPr>
          <w:rFonts w:ascii="Times New Roman" w:hAnsi="Times New Roman" w:cs="Times New Roman"/>
        </w:rPr>
        <w:t>God.</w:t>
      </w:r>
      <w:r w:rsidR="0011506D">
        <w:rPr>
          <w:rFonts w:ascii="Times New Roman" w:hAnsi="Times New Roman" w:cs="Times New Roman"/>
        </w:rPr>
        <w:t xml:space="preserve"> </w:t>
      </w:r>
      <w:r w:rsidR="009969BA">
        <w:rPr>
          <w:rFonts w:ascii="Times New Roman" w:hAnsi="Times New Roman" w:cs="Times New Roman"/>
        </w:rPr>
        <w:t>By offering such an account</w:t>
      </w:r>
      <w:r w:rsidR="00665333" w:rsidRPr="00A472FC">
        <w:rPr>
          <w:rFonts w:ascii="Times New Roman" w:hAnsi="Times New Roman" w:cs="Times New Roman"/>
        </w:rPr>
        <w:t xml:space="preserve">, however, </w:t>
      </w:r>
      <w:r w:rsidR="009969BA">
        <w:rPr>
          <w:rFonts w:ascii="Times New Roman" w:hAnsi="Times New Roman" w:cs="Times New Roman"/>
        </w:rPr>
        <w:t>early Franciscans aimed to define</w:t>
      </w:r>
      <w:r w:rsidR="006F6E38" w:rsidRPr="00A472FC">
        <w:rPr>
          <w:rFonts w:ascii="Times New Roman" w:hAnsi="Times New Roman" w:cs="Times New Roman"/>
        </w:rPr>
        <w:t xml:space="preserve"> </w:t>
      </w:r>
      <w:r w:rsidR="00665333" w:rsidRPr="00A472FC">
        <w:rPr>
          <w:rFonts w:ascii="Times New Roman" w:hAnsi="Times New Roman" w:cs="Times New Roman"/>
        </w:rPr>
        <w:t>evil is something that God can incorporate into accomplishing the good. In summary, the substantiality attributed to</w:t>
      </w:r>
      <w:r w:rsidR="00485D21" w:rsidRPr="00A472FC">
        <w:rPr>
          <w:rFonts w:ascii="Times New Roman" w:hAnsi="Times New Roman" w:cs="Times New Roman"/>
        </w:rPr>
        <w:t xml:space="preserve"> evil</w:t>
      </w:r>
      <w:r w:rsidR="00665333" w:rsidRPr="00A472FC">
        <w:rPr>
          <w:rFonts w:ascii="Times New Roman" w:hAnsi="Times New Roman" w:cs="Times New Roman"/>
        </w:rPr>
        <w:t xml:space="preserve"> by early Franciscans means that it is material that can be employed, whether by God or by good humans, to achieve his ends, at the impetus of the will to do so</w:t>
      </w:r>
      <w:r w:rsidR="007E478D" w:rsidRPr="00A472FC">
        <w:rPr>
          <w:rFonts w:ascii="Times New Roman" w:hAnsi="Times New Roman" w:cs="Times New Roman"/>
        </w:rPr>
        <w:t>.</w:t>
      </w:r>
    </w:p>
    <w:p w14:paraId="6A809618" w14:textId="77777777" w:rsidR="007E478D" w:rsidRPr="00A472FC" w:rsidRDefault="007E478D">
      <w:pPr>
        <w:rPr>
          <w:rFonts w:ascii="Times New Roman" w:hAnsi="Times New Roman" w:cs="Times New Roman"/>
        </w:rPr>
      </w:pPr>
      <w:r w:rsidRPr="00A472FC">
        <w:rPr>
          <w:rFonts w:ascii="Times New Roman" w:hAnsi="Times New Roman" w:cs="Times New Roman"/>
        </w:rPr>
        <w:br w:type="page"/>
      </w:r>
    </w:p>
    <w:p w14:paraId="407083FD" w14:textId="77777777" w:rsidR="00665333" w:rsidRPr="00A472FC" w:rsidRDefault="00665333" w:rsidP="00881604">
      <w:pPr>
        <w:ind w:right="-52" w:firstLine="720"/>
        <w:rPr>
          <w:rFonts w:ascii="Times New Roman" w:hAnsi="Times New Roman" w:cs="Times New Roman"/>
        </w:rPr>
        <w:sectPr w:rsidR="00665333" w:rsidRPr="00A472FC" w:rsidSect="00983A9E">
          <w:footerReference w:type="even" r:id="rId87"/>
          <w:footerReference w:type="default" r:id="rId88"/>
          <w:footnotePr>
            <w:numRestart w:val="eachSect"/>
          </w:footnotePr>
          <w:endnotePr>
            <w:numFmt w:val="decimal"/>
          </w:endnotePr>
          <w:pgSz w:w="11900" w:h="16840"/>
          <w:pgMar w:top="1440" w:right="1440" w:bottom="1440" w:left="1440" w:header="720" w:footer="720" w:gutter="0"/>
          <w:cols w:space="720"/>
          <w:docGrid w:linePitch="360"/>
        </w:sectPr>
      </w:pPr>
    </w:p>
    <w:p w14:paraId="0E377012" w14:textId="77777777" w:rsidR="009B6602" w:rsidRPr="00A472FC" w:rsidRDefault="009B6602" w:rsidP="009B6602">
      <w:pPr>
        <w:ind w:right="-52"/>
        <w:rPr>
          <w:rFonts w:ascii="Times New Roman" w:hAnsi="Times New Roman" w:cs="Times New Roman"/>
          <w:b/>
        </w:rPr>
      </w:pPr>
      <w:r w:rsidRPr="00A472FC">
        <w:rPr>
          <w:rFonts w:ascii="Times New Roman" w:hAnsi="Times New Roman" w:cs="Times New Roman"/>
          <w:b/>
        </w:rPr>
        <w:lastRenderedPageBreak/>
        <w:t>10. Angels</w:t>
      </w:r>
    </w:p>
    <w:p w14:paraId="7FD32958" w14:textId="77777777" w:rsidR="009B6602" w:rsidRPr="00A472FC" w:rsidRDefault="009B6602" w:rsidP="009B6602">
      <w:pPr>
        <w:ind w:right="-52"/>
        <w:rPr>
          <w:rFonts w:ascii="Times New Roman" w:hAnsi="Times New Roman" w:cs="Times New Roman"/>
        </w:rPr>
      </w:pPr>
    </w:p>
    <w:p w14:paraId="62E607C2" w14:textId="77777777" w:rsidR="009B6602" w:rsidRPr="00A472FC" w:rsidRDefault="009B6602" w:rsidP="009B6602">
      <w:pPr>
        <w:ind w:right="-52" w:firstLine="720"/>
        <w:rPr>
          <w:rFonts w:ascii="Times New Roman" w:hAnsi="Times New Roman" w:cs="Times New Roman"/>
        </w:rPr>
      </w:pPr>
      <w:r w:rsidRPr="00A472FC">
        <w:rPr>
          <w:rFonts w:ascii="Times New Roman" w:hAnsi="Times New Roman" w:cs="Times New Roman"/>
        </w:rPr>
        <w:t>In the modern period, the study of human nature has often laid emphasis on the similarities between human and other animals, and in many ways, rightly so.</w:t>
      </w:r>
      <w:r w:rsidRPr="00A472FC">
        <w:rPr>
          <w:rStyle w:val="FootnoteReference"/>
          <w:rFonts w:ascii="Times New Roman" w:hAnsi="Times New Roman" w:cs="Times New Roman"/>
        </w:rPr>
        <w:footnoteReference w:id="1215"/>
      </w:r>
      <w:r w:rsidRPr="00A472FC">
        <w:rPr>
          <w:rFonts w:ascii="Times New Roman" w:hAnsi="Times New Roman" w:cs="Times New Roman"/>
        </w:rPr>
        <w:t xml:space="preserve"> For medieval thinkers, however, scholars have observed that the way into understanding human nature was often in comparison with angels. Although the two species—angels and humans—were associated with different purposes, namely, to minister to humanity and govern creation, respectively, they were regarded as similar insofar as they are both rational beings made in the image of God.</w:t>
      </w:r>
      <w:r w:rsidRPr="00A472FC">
        <w:rPr>
          <w:rStyle w:val="FootnoteReference"/>
          <w:rFonts w:ascii="Times New Roman" w:hAnsi="Times New Roman" w:cs="Times New Roman"/>
        </w:rPr>
        <w:footnoteReference w:id="1216"/>
      </w:r>
      <w:r w:rsidRPr="00A472FC">
        <w:rPr>
          <w:rFonts w:ascii="Times New Roman" w:hAnsi="Times New Roman" w:cs="Times New Roman"/>
        </w:rPr>
        <w:t xml:space="preserve"> The present work therefore fittingly concludes with a brief postscript on the early Franciscan account of the similarities and differences between humans and angels. </w:t>
      </w:r>
    </w:p>
    <w:p w14:paraId="2DC481CF" w14:textId="7EFA81F0" w:rsidR="009B6602" w:rsidRPr="00A472FC" w:rsidRDefault="009B6602" w:rsidP="003377FA">
      <w:pPr>
        <w:ind w:right="-52" w:firstLine="720"/>
        <w:rPr>
          <w:rFonts w:ascii="Times New Roman" w:hAnsi="Times New Roman" w:cs="Times New Roman"/>
        </w:rPr>
      </w:pPr>
      <w:r w:rsidRPr="00A472FC">
        <w:rPr>
          <w:rFonts w:ascii="Times New Roman" w:hAnsi="Times New Roman" w:cs="Times New Roman"/>
        </w:rPr>
        <w:t>This account and some others contemporaneous with it mark a sharp rise in the level of sophistication with which scholars treated the nature of angels. The increased interest in defining the metaphysical status and cognitive work of angels was undoubtedly attributable to the translation of many Greek and especially Arabic philosophical works, which offered Latin thinkers a resource as well as an example for explaining the nature of ‘separate spiritual substances’, namely, angels, in a philosophically advanced way.</w:t>
      </w:r>
      <w:r w:rsidRPr="00A472FC">
        <w:rPr>
          <w:rStyle w:val="FootnoteReference"/>
          <w:rFonts w:ascii="Times New Roman" w:hAnsi="Times New Roman" w:cs="Times New Roman"/>
        </w:rPr>
        <w:footnoteReference w:id="1217"/>
      </w:r>
      <w:r w:rsidRPr="00A472FC">
        <w:rPr>
          <w:rFonts w:ascii="Times New Roman" w:hAnsi="Times New Roman" w:cs="Times New Roman"/>
        </w:rPr>
        <w:t xml:space="preserve"> The </w:t>
      </w:r>
      <w:r w:rsidRPr="00A472FC">
        <w:rPr>
          <w:rFonts w:ascii="Times New Roman" w:hAnsi="Times New Roman" w:cs="Times New Roman"/>
          <w:i/>
          <w:iCs/>
        </w:rPr>
        <w:t xml:space="preserve">Summa </w:t>
      </w:r>
      <w:r w:rsidRPr="00A472FC">
        <w:rPr>
          <w:rFonts w:ascii="Times New Roman" w:hAnsi="Times New Roman" w:cs="Times New Roman"/>
        </w:rPr>
        <w:t xml:space="preserve">delineates the differences between humans and angels with the help of a four-fold distinction </w:t>
      </w:r>
      <w:r w:rsidR="00367B84">
        <w:rPr>
          <w:rFonts w:ascii="Times New Roman" w:hAnsi="Times New Roman" w:cs="Times New Roman"/>
        </w:rPr>
        <w:t>mentioned</w:t>
      </w:r>
      <w:r w:rsidR="00F35B99">
        <w:rPr>
          <w:rFonts w:ascii="Times New Roman" w:hAnsi="Times New Roman" w:cs="Times New Roman"/>
        </w:rPr>
        <w:t xml:space="preserve"> in th</w:t>
      </w:r>
      <w:r w:rsidR="00571541">
        <w:rPr>
          <w:rFonts w:ascii="Times New Roman" w:hAnsi="Times New Roman" w:cs="Times New Roman"/>
        </w:rPr>
        <w:t>e</w:t>
      </w:r>
      <w:r w:rsidR="00F35B99">
        <w:rPr>
          <w:rFonts w:ascii="Times New Roman" w:hAnsi="Times New Roman" w:cs="Times New Roman"/>
        </w:rPr>
        <w:t xml:space="preserve"> last chapter, </w:t>
      </w:r>
      <w:r w:rsidR="00571541">
        <w:rPr>
          <w:rFonts w:ascii="Times New Roman" w:hAnsi="Times New Roman" w:cs="Times New Roman"/>
        </w:rPr>
        <w:t xml:space="preserve">which concerns </w:t>
      </w:r>
      <w:r w:rsidRPr="00A472FC">
        <w:rPr>
          <w:rFonts w:ascii="Times New Roman" w:hAnsi="Times New Roman" w:cs="Times New Roman"/>
        </w:rPr>
        <w:t xml:space="preserve">the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naturale</w:t>
      </w:r>
      <w:proofErr w:type="spellEnd"/>
      <w:r w:rsidR="00CE2FE7" w:rsidRPr="00A472FC">
        <w:rPr>
          <w:rFonts w:ascii="Times New Roman" w:hAnsi="Times New Roman" w:cs="Times New Roman"/>
          <w:i/>
        </w:rPr>
        <w:t xml:space="preserve"> </w:t>
      </w:r>
      <w:r w:rsidR="00CE2FE7" w:rsidRPr="00A472FC">
        <w:rPr>
          <w:rFonts w:ascii="Times New Roman" w:hAnsi="Times New Roman" w:cs="Times New Roman"/>
          <w:iCs/>
        </w:rPr>
        <w:t>(natural being)</w:t>
      </w:r>
      <w:r w:rsidRPr="00A472FC">
        <w:rPr>
          <w:rFonts w:ascii="Times New Roman" w:hAnsi="Times New Roman" w:cs="Times New Roman"/>
          <w:iCs/>
        </w:rPr>
        <w:t xml:space="preserve">,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metaphysico</w:t>
      </w:r>
      <w:proofErr w:type="spellEnd"/>
      <w:r w:rsidR="00AA1AC1" w:rsidRPr="00A472FC">
        <w:rPr>
          <w:rFonts w:ascii="Times New Roman" w:hAnsi="Times New Roman" w:cs="Times New Roman"/>
          <w:i/>
        </w:rPr>
        <w:t xml:space="preserve"> </w:t>
      </w:r>
      <w:r w:rsidR="00AA1AC1" w:rsidRPr="00A472FC">
        <w:rPr>
          <w:rFonts w:ascii="Times New Roman" w:hAnsi="Times New Roman" w:cs="Times New Roman"/>
          <w:iCs/>
        </w:rPr>
        <w:t>(metaphysical being)</w:t>
      </w:r>
      <w:r w:rsidRPr="00A472FC">
        <w:rPr>
          <w:rFonts w:ascii="Times New Roman" w:hAnsi="Times New Roman" w:cs="Times New Roman"/>
          <w:i/>
        </w:rPr>
        <w:t xml:space="preserve">,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rationale</w:t>
      </w:r>
      <w:r w:rsidR="00AA1AC1" w:rsidRPr="00A472FC">
        <w:rPr>
          <w:rFonts w:ascii="Times New Roman" w:hAnsi="Times New Roman" w:cs="Times New Roman"/>
          <w:i/>
        </w:rPr>
        <w:t xml:space="preserve"> </w:t>
      </w:r>
      <w:r w:rsidR="00AA1AC1" w:rsidRPr="00A472FC">
        <w:rPr>
          <w:rFonts w:ascii="Times New Roman" w:hAnsi="Times New Roman" w:cs="Times New Roman"/>
          <w:iCs/>
        </w:rPr>
        <w:t>(rational being)</w:t>
      </w:r>
      <w:r w:rsidRPr="00A472FC">
        <w:rPr>
          <w:rFonts w:ascii="Times New Roman" w:hAnsi="Times New Roman" w:cs="Times New Roman"/>
          <w:iCs/>
        </w:rPr>
        <w:t xml:space="preserve">, and </w:t>
      </w:r>
      <w:r w:rsidR="007D207E" w:rsidRPr="00A472FC">
        <w:rPr>
          <w:rFonts w:ascii="Times New Roman" w:hAnsi="Times New Roman" w:cs="Times New Roman"/>
          <w:iCs/>
        </w:rPr>
        <w:t xml:space="preserve">the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theologicum</w:t>
      </w:r>
      <w:proofErr w:type="spellEnd"/>
      <w:r w:rsidR="0045631D" w:rsidRPr="00A472FC">
        <w:rPr>
          <w:rFonts w:ascii="Times New Roman" w:hAnsi="Times New Roman" w:cs="Times New Roman"/>
          <w:i/>
        </w:rPr>
        <w:t xml:space="preserve"> </w:t>
      </w:r>
      <w:r w:rsidR="0045631D" w:rsidRPr="00A472FC">
        <w:rPr>
          <w:rFonts w:ascii="Times New Roman" w:hAnsi="Times New Roman" w:cs="Times New Roman"/>
          <w:iCs/>
        </w:rPr>
        <w:t>(theological being)</w:t>
      </w:r>
      <w:r w:rsidRPr="00A472FC">
        <w:rPr>
          <w:rFonts w:ascii="Times New Roman" w:hAnsi="Times New Roman" w:cs="Times New Roman"/>
        </w:rPr>
        <w:t xml:space="preserve"> or </w:t>
      </w:r>
      <w:proofErr w:type="spellStart"/>
      <w:r w:rsidRPr="00A472FC">
        <w:rPr>
          <w:rFonts w:ascii="Times New Roman" w:hAnsi="Times New Roman" w:cs="Times New Roman"/>
          <w:i/>
          <w:iCs/>
        </w:rPr>
        <w:t>esse</w:t>
      </w:r>
      <w:proofErr w:type="spellEnd"/>
      <w:r w:rsidRPr="00A472FC">
        <w:rPr>
          <w:rFonts w:ascii="Times New Roman" w:hAnsi="Times New Roman" w:cs="Times New Roman"/>
          <w:i/>
          <w:iCs/>
        </w:rPr>
        <w:t xml:space="preserve"> morale </w:t>
      </w:r>
      <w:r w:rsidR="00C406B7" w:rsidRPr="00A472FC">
        <w:rPr>
          <w:rFonts w:ascii="Times New Roman" w:hAnsi="Times New Roman" w:cs="Times New Roman"/>
        </w:rPr>
        <w:t xml:space="preserve">(moral being) </w:t>
      </w:r>
      <w:r w:rsidRPr="00A472FC">
        <w:rPr>
          <w:rFonts w:ascii="Times New Roman" w:hAnsi="Times New Roman" w:cs="Times New Roman"/>
        </w:rPr>
        <w:t>of the rational beings in question.</w:t>
      </w:r>
      <w:r w:rsidRPr="00A472FC">
        <w:rPr>
          <w:rStyle w:val="FootnoteReference"/>
          <w:rFonts w:ascii="Times New Roman" w:hAnsi="Times New Roman" w:cs="Times New Roman"/>
        </w:rPr>
        <w:footnoteReference w:id="1218"/>
      </w:r>
      <w:r w:rsidRPr="00A472FC">
        <w:rPr>
          <w:rFonts w:ascii="Times New Roman" w:hAnsi="Times New Roman" w:cs="Times New Roman"/>
        </w:rPr>
        <w:t xml:space="preserve"> </w:t>
      </w:r>
    </w:p>
    <w:p w14:paraId="66B49DFD" w14:textId="4D79D528" w:rsidR="009B6602" w:rsidRPr="00A472FC" w:rsidRDefault="009B6602" w:rsidP="009B6602">
      <w:pPr>
        <w:ind w:right="-52" w:firstLine="720"/>
        <w:rPr>
          <w:rFonts w:ascii="Times New Roman" w:hAnsi="Times New Roman" w:cs="Times New Roman"/>
        </w:rPr>
      </w:pPr>
      <w:r w:rsidRPr="00A472FC">
        <w:rPr>
          <w:rFonts w:ascii="Times New Roman" w:hAnsi="Times New Roman" w:cs="Times New Roman"/>
        </w:rPr>
        <w:t xml:space="preserve">In the context of distinguishing human beings and angels, to </w:t>
      </w:r>
      <w:proofErr w:type="spellStart"/>
      <w:r w:rsidRPr="00A472FC">
        <w:rPr>
          <w:rFonts w:ascii="Times New Roman" w:hAnsi="Times New Roman" w:cs="Times New Roman"/>
        </w:rPr>
        <w:t>summarize</w:t>
      </w:r>
      <w:proofErr w:type="spellEnd"/>
      <w:r w:rsidRPr="00A472FC">
        <w:rPr>
          <w:rFonts w:ascii="Times New Roman" w:hAnsi="Times New Roman" w:cs="Times New Roman"/>
        </w:rPr>
        <w:t xml:space="preserve">, the category of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naturale</w:t>
      </w:r>
      <w:proofErr w:type="spellEnd"/>
      <w:r w:rsidRPr="00A472FC">
        <w:rPr>
          <w:rFonts w:ascii="Times New Roman" w:hAnsi="Times New Roman" w:cs="Times New Roman"/>
          <w:i/>
        </w:rPr>
        <w:t xml:space="preserve"> </w:t>
      </w:r>
      <w:r w:rsidRPr="00A472FC">
        <w:rPr>
          <w:rFonts w:ascii="Times New Roman" w:hAnsi="Times New Roman" w:cs="Times New Roman"/>
        </w:rPr>
        <w:t>refers to beings which are either ‘</w:t>
      </w:r>
      <w:proofErr w:type="spellStart"/>
      <w:r w:rsidRPr="00A472FC">
        <w:rPr>
          <w:rFonts w:ascii="Times New Roman" w:hAnsi="Times New Roman" w:cs="Times New Roman"/>
        </w:rPr>
        <w:t>unitable</w:t>
      </w:r>
      <w:proofErr w:type="spellEnd"/>
      <w:r w:rsidRPr="00A472FC">
        <w:rPr>
          <w:rFonts w:ascii="Times New Roman" w:hAnsi="Times New Roman" w:cs="Times New Roman"/>
        </w:rPr>
        <w:t xml:space="preserve"> according to substance’ (</w:t>
      </w:r>
      <w:proofErr w:type="spellStart"/>
      <w:r w:rsidRPr="00A472FC">
        <w:rPr>
          <w:rFonts w:ascii="Times New Roman" w:hAnsi="Times New Roman" w:cs="Times New Roman"/>
          <w:i/>
          <w:iCs/>
        </w:rPr>
        <w:t>unibile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secundum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substantiam</w:t>
      </w:r>
      <w:proofErr w:type="spellEnd"/>
      <w:r w:rsidRPr="00A472FC">
        <w:rPr>
          <w:rFonts w:ascii="Times New Roman" w:hAnsi="Times New Roman" w:cs="Times New Roman"/>
        </w:rPr>
        <w:t>) with the body, namely, humans, or ‘separate according to substance’ (</w:t>
      </w:r>
      <w:proofErr w:type="spellStart"/>
      <w:r w:rsidRPr="00A472FC">
        <w:rPr>
          <w:rFonts w:ascii="Times New Roman" w:hAnsi="Times New Roman" w:cs="Times New Roman"/>
          <w:i/>
          <w:iCs/>
        </w:rPr>
        <w:t>separatum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secundum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substantiam</w:t>
      </w:r>
      <w:proofErr w:type="spellEnd"/>
      <w:r w:rsidRPr="00A472FC">
        <w:rPr>
          <w:rFonts w:ascii="Times New Roman" w:hAnsi="Times New Roman" w:cs="Times New Roman"/>
        </w:rPr>
        <w:t>) from the body, like angels.</w:t>
      </w:r>
      <w:r w:rsidRPr="00A472FC">
        <w:rPr>
          <w:rStyle w:val="FootnoteReference"/>
          <w:rFonts w:ascii="Times New Roman" w:hAnsi="Times New Roman" w:cs="Times New Roman"/>
        </w:rPr>
        <w:footnoteReference w:id="1219"/>
      </w:r>
      <w:r w:rsidRPr="00A472FC">
        <w:rPr>
          <w:rFonts w:ascii="Times New Roman" w:hAnsi="Times New Roman" w:cs="Times New Roman"/>
        </w:rPr>
        <w:t xml:space="preserve"> </w:t>
      </w:r>
      <w:r w:rsidRPr="00A472FC">
        <w:rPr>
          <w:rFonts w:ascii="Times New Roman" w:hAnsi="Times New Roman" w:cs="Times New Roman"/>
          <w:iCs/>
        </w:rPr>
        <w:t>The category of</w:t>
      </w:r>
      <w:r w:rsidRPr="00A472FC">
        <w:rPr>
          <w:rFonts w:ascii="Times New Roman" w:hAnsi="Times New Roman" w:cs="Times New Roman"/>
        </w:rPr>
        <w:t xml:space="preserve"> </w:t>
      </w:r>
      <w:proofErr w:type="spellStart"/>
      <w:r w:rsidRPr="00A472FC">
        <w:rPr>
          <w:rFonts w:ascii="Times New Roman" w:hAnsi="Times New Roman" w:cs="Times New Roman"/>
          <w:i/>
          <w:iCs/>
        </w:rPr>
        <w:t>esse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metaphysico</w:t>
      </w:r>
      <w:proofErr w:type="spellEnd"/>
      <w:r w:rsidRPr="00A472FC">
        <w:rPr>
          <w:rFonts w:ascii="Times New Roman" w:hAnsi="Times New Roman" w:cs="Times New Roman"/>
          <w:i/>
          <w:iCs/>
        </w:rPr>
        <w:t xml:space="preserve"> </w:t>
      </w:r>
      <w:r w:rsidRPr="00A472FC">
        <w:rPr>
          <w:rFonts w:ascii="Times New Roman" w:hAnsi="Times New Roman" w:cs="Times New Roman"/>
        </w:rPr>
        <w:t xml:space="preserve">further distinguishes human beings that pursue knowledge and make discoveries using their senses from angels that ‘just know’ what is true in the intellect or mind. In terms of their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rationale</w:t>
      </w:r>
      <w:r w:rsidRPr="00A472FC">
        <w:rPr>
          <w:rFonts w:ascii="Times New Roman" w:hAnsi="Times New Roman" w:cs="Times New Roman"/>
        </w:rPr>
        <w:t xml:space="preserve"> or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logicum</w:t>
      </w:r>
      <w:proofErr w:type="spellEnd"/>
      <w:r w:rsidRPr="00A472FC">
        <w:rPr>
          <w:rFonts w:ascii="Times New Roman" w:hAnsi="Times New Roman" w:cs="Times New Roman"/>
          <w:i/>
        </w:rPr>
        <w:t xml:space="preserve">, </w:t>
      </w:r>
      <w:r w:rsidRPr="00A472FC">
        <w:rPr>
          <w:rFonts w:ascii="Times New Roman" w:hAnsi="Times New Roman" w:cs="Times New Roman"/>
        </w:rPr>
        <w:t>consequently, rational souls differ from angels because they engage in discursive reasoning where angels know simply.</w:t>
      </w:r>
      <w:r w:rsidRPr="00A472FC">
        <w:rPr>
          <w:rStyle w:val="FootnoteReference"/>
          <w:rFonts w:ascii="Times New Roman" w:hAnsi="Times New Roman" w:cs="Times New Roman"/>
        </w:rPr>
        <w:footnoteReference w:id="1220"/>
      </w:r>
      <w:r w:rsidRPr="00A472FC">
        <w:rPr>
          <w:rFonts w:ascii="Times New Roman" w:hAnsi="Times New Roman" w:cs="Times New Roman"/>
        </w:rPr>
        <w:t xml:space="preserve"> Nevertheless, the Summa insists that both can be described as images of God in virtue of the rational power to know him and other things in relation to him.</w:t>
      </w:r>
      <w:r w:rsidRPr="00A472FC">
        <w:rPr>
          <w:rStyle w:val="FootnoteReference"/>
          <w:rFonts w:ascii="Times New Roman" w:hAnsi="Times New Roman" w:cs="Times New Roman"/>
        </w:rPr>
        <w:footnoteReference w:id="1221"/>
      </w:r>
      <w:r w:rsidRPr="00A472FC">
        <w:rPr>
          <w:rFonts w:ascii="Times New Roman" w:hAnsi="Times New Roman" w:cs="Times New Roman"/>
        </w:rPr>
        <w:t xml:space="preserve"> Finally, angels and humans differ in terms of their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theologicum</w:t>
      </w:r>
      <w:proofErr w:type="spellEnd"/>
      <w:r w:rsidRPr="00A472FC">
        <w:rPr>
          <w:rFonts w:ascii="Times New Roman" w:hAnsi="Times New Roman" w:cs="Times New Roman"/>
          <w:i/>
        </w:rPr>
        <w:t xml:space="preserve">, </w:t>
      </w:r>
      <w:r w:rsidRPr="00A472FC">
        <w:rPr>
          <w:rFonts w:ascii="Times New Roman" w:hAnsi="Times New Roman" w:cs="Times New Roman"/>
          <w:iCs/>
        </w:rPr>
        <w:t xml:space="preserve">otherwise known as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morale, </w:t>
      </w:r>
      <w:r w:rsidRPr="00A472FC">
        <w:rPr>
          <w:rFonts w:ascii="Times New Roman" w:hAnsi="Times New Roman" w:cs="Times New Roman"/>
          <w:iCs/>
        </w:rPr>
        <w:t xml:space="preserve">which concerns their capacity </w:t>
      </w:r>
      <w:r w:rsidR="00B65C81" w:rsidRPr="00A472FC">
        <w:rPr>
          <w:rFonts w:ascii="Times New Roman" w:hAnsi="Times New Roman" w:cs="Times New Roman"/>
          <w:iCs/>
        </w:rPr>
        <w:t>to will free</w:t>
      </w:r>
      <w:r w:rsidR="00C62551" w:rsidRPr="00A472FC">
        <w:rPr>
          <w:rFonts w:ascii="Times New Roman" w:hAnsi="Times New Roman" w:cs="Times New Roman"/>
          <w:iCs/>
        </w:rPr>
        <w:t>l</w:t>
      </w:r>
      <w:r w:rsidR="00B65C81" w:rsidRPr="00A472FC">
        <w:rPr>
          <w:rFonts w:ascii="Times New Roman" w:hAnsi="Times New Roman" w:cs="Times New Roman"/>
          <w:iCs/>
        </w:rPr>
        <w:t>y the good and thus to follow the will of God</w:t>
      </w:r>
      <w:r w:rsidRPr="00A472FC">
        <w:rPr>
          <w:rFonts w:ascii="Times New Roman" w:hAnsi="Times New Roman" w:cs="Times New Roman"/>
          <w:iCs/>
        </w:rPr>
        <w:t>. In angels, this capacity is fixed following an initial decision to pursue good or evil, while human beings can continually vacillate between good and evil over the course of life.</w:t>
      </w:r>
    </w:p>
    <w:p w14:paraId="3A1DF12A" w14:textId="77777777" w:rsidR="009B6602" w:rsidRPr="00A472FC" w:rsidRDefault="009B6602" w:rsidP="009B6602">
      <w:pPr>
        <w:ind w:right="-52"/>
        <w:rPr>
          <w:rFonts w:ascii="Times New Roman" w:hAnsi="Times New Roman" w:cs="Times New Roman"/>
        </w:rPr>
      </w:pPr>
    </w:p>
    <w:p w14:paraId="29B9B492" w14:textId="77777777" w:rsidR="009B6602" w:rsidRPr="00A472FC" w:rsidRDefault="009B6602" w:rsidP="009B6602">
      <w:pPr>
        <w:ind w:right="-52"/>
        <w:rPr>
          <w:rFonts w:ascii="Times New Roman" w:hAnsi="Times New Roman" w:cs="Times New Roman"/>
          <w:i/>
          <w:u w:val="single"/>
        </w:rPr>
      </w:pPr>
      <w:r w:rsidRPr="00A472FC">
        <w:rPr>
          <w:rFonts w:ascii="Times New Roman" w:hAnsi="Times New Roman" w:cs="Times New Roman"/>
          <w:u w:val="single"/>
        </w:rPr>
        <w:t>Relation to the Body</w:t>
      </w:r>
      <w:r w:rsidRPr="00A472FC">
        <w:rPr>
          <w:rFonts w:ascii="Times New Roman" w:hAnsi="Times New Roman" w:cs="Times New Roman"/>
          <w:i/>
          <w:u w:val="single"/>
        </w:rPr>
        <w:t xml:space="preserve"> (</w:t>
      </w:r>
      <w:proofErr w:type="spellStart"/>
      <w:r w:rsidRPr="00A472FC">
        <w:rPr>
          <w:rFonts w:ascii="Times New Roman" w:hAnsi="Times New Roman" w:cs="Times New Roman"/>
          <w:i/>
          <w:u w:val="single"/>
        </w:rPr>
        <w:t>Esse</w:t>
      </w:r>
      <w:proofErr w:type="spellEnd"/>
      <w:r w:rsidRPr="00A472FC">
        <w:rPr>
          <w:rFonts w:ascii="Times New Roman" w:hAnsi="Times New Roman" w:cs="Times New Roman"/>
          <w:i/>
          <w:u w:val="single"/>
        </w:rPr>
        <w:t xml:space="preserve"> </w:t>
      </w:r>
      <w:proofErr w:type="spellStart"/>
      <w:r w:rsidRPr="00A472FC">
        <w:rPr>
          <w:rFonts w:ascii="Times New Roman" w:hAnsi="Times New Roman" w:cs="Times New Roman"/>
          <w:i/>
          <w:u w:val="single"/>
        </w:rPr>
        <w:t>naturale</w:t>
      </w:r>
      <w:proofErr w:type="spellEnd"/>
      <w:r w:rsidRPr="00A472FC">
        <w:rPr>
          <w:rFonts w:ascii="Times New Roman" w:hAnsi="Times New Roman" w:cs="Times New Roman"/>
          <w:i/>
          <w:u w:val="single"/>
        </w:rPr>
        <w:t>)</w:t>
      </w:r>
    </w:p>
    <w:p w14:paraId="5451167C" w14:textId="77777777" w:rsidR="009B6602" w:rsidRPr="00A472FC" w:rsidRDefault="009B6602" w:rsidP="009B6602">
      <w:pPr>
        <w:ind w:right="-52"/>
        <w:rPr>
          <w:rFonts w:ascii="Times New Roman" w:hAnsi="Times New Roman" w:cs="Times New Roman"/>
          <w:i/>
          <w:u w:val="single"/>
        </w:rPr>
      </w:pPr>
    </w:p>
    <w:p w14:paraId="45D87DE5" w14:textId="1963C60D" w:rsidR="009B6602" w:rsidRPr="00A472FC" w:rsidRDefault="009B6602" w:rsidP="009B6602">
      <w:pPr>
        <w:ind w:right="-52" w:firstLine="720"/>
        <w:rPr>
          <w:rFonts w:ascii="Times New Roman" w:hAnsi="Times New Roman" w:cs="Times New Roman"/>
        </w:rPr>
      </w:pPr>
      <w:r w:rsidRPr="00A472FC">
        <w:rPr>
          <w:rFonts w:ascii="Times New Roman" w:hAnsi="Times New Roman" w:cs="Times New Roman"/>
        </w:rPr>
        <w:t xml:space="preserve">In defining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naturale</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more specifically, the Summa reiterates that the essential difference between an angel and the rational human soul is that ‘an angel is a substance separate from the body, but the soul is </w:t>
      </w:r>
      <w:proofErr w:type="spellStart"/>
      <w:r w:rsidRPr="00A472FC">
        <w:rPr>
          <w:rFonts w:ascii="Times New Roman" w:hAnsi="Times New Roman" w:cs="Times New Roman"/>
        </w:rPr>
        <w:t>unitable</w:t>
      </w:r>
      <w:proofErr w:type="spellEnd"/>
      <w:r w:rsidRPr="00A472FC">
        <w:rPr>
          <w:rFonts w:ascii="Times New Roman" w:hAnsi="Times New Roman" w:cs="Times New Roman"/>
        </w:rPr>
        <w:t xml:space="preserve"> to the body.’</w:t>
      </w:r>
      <w:r w:rsidRPr="00A472FC">
        <w:rPr>
          <w:rStyle w:val="FootnoteReference"/>
          <w:rFonts w:ascii="Times New Roman" w:hAnsi="Times New Roman" w:cs="Times New Roman"/>
        </w:rPr>
        <w:footnoteReference w:id="1222"/>
      </w:r>
      <w:r w:rsidRPr="00A472FC">
        <w:rPr>
          <w:rFonts w:ascii="Times New Roman" w:hAnsi="Times New Roman" w:cs="Times New Roman"/>
        </w:rPr>
        <w:t xml:space="preserve"> As we have seen, the idea of </w:t>
      </w:r>
      <w:proofErr w:type="spellStart"/>
      <w:r w:rsidRPr="00A472FC">
        <w:rPr>
          <w:rFonts w:ascii="Times New Roman" w:hAnsi="Times New Roman" w:cs="Times New Roman"/>
          <w:i/>
          <w:iCs/>
        </w:rPr>
        <w:t>unibilitas</w:t>
      </w:r>
      <w:proofErr w:type="spellEnd"/>
      <w:r w:rsidRPr="00A472FC">
        <w:rPr>
          <w:rFonts w:ascii="Times New Roman" w:hAnsi="Times New Roman" w:cs="Times New Roman"/>
        </w:rPr>
        <w:t xml:space="preserve"> came into wide circulation following its introduction by Hugh of St Cher, and it blossomed in the work of John of La Rochelle, who saw it as the key feature which sets the rational soul apart from the angel. In an expansion of John’s position, the author of the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rPr>
        <w:t xml:space="preserve"> observes that angels can actually be united to bodies in a merely instrumental sense, </w:t>
      </w:r>
      <w:r w:rsidR="000A4A0E" w:rsidRPr="00A472FC">
        <w:rPr>
          <w:rFonts w:ascii="Times New Roman" w:hAnsi="Times New Roman" w:cs="Times New Roman"/>
        </w:rPr>
        <w:t xml:space="preserve">despite the fact that </w:t>
      </w:r>
      <w:r w:rsidRPr="00A472FC">
        <w:rPr>
          <w:rFonts w:ascii="Times New Roman" w:hAnsi="Times New Roman" w:cs="Times New Roman"/>
        </w:rPr>
        <w:t>it is not natural for them to do so.</w:t>
      </w:r>
      <w:r w:rsidRPr="00A472FC">
        <w:rPr>
          <w:rStyle w:val="FootnoteReference"/>
          <w:rFonts w:ascii="Times New Roman" w:hAnsi="Times New Roman" w:cs="Times New Roman"/>
        </w:rPr>
        <w:footnoteReference w:id="1223"/>
      </w:r>
      <w:r w:rsidRPr="00A472FC">
        <w:rPr>
          <w:rFonts w:ascii="Times New Roman" w:hAnsi="Times New Roman" w:cs="Times New Roman"/>
        </w:rPr>
        <w:t xml:space="preserve"> That is to say, they can rule and be moved by a body, even though they do not rely upon it for their life in the way of the human soul.</w:t>
      </w:r>
      <w:r w:rsidRPr="00A472FC">
        <w:rPr>
          <w:rStyle w:val="FootnoteReference"/>
          <w:rFonts w:ascii="Times New Roman" w:hAnsi="Times New Roman" w:cs="Times New Roman"/>
        </w:rPr>
        <w:footnoteReference w:id="1224"/>
      </w:r>
      <w:r w:rsidRPr="00A472FC">
        <w:rPr>
          <w:rFonts w:ascii="Times New Roman" w:hAnsi="Times New Roman" w:cs="Times New Roman"/>
        </w:rPr>
        <w:t xml:space="preserve"> In such cases, consequently,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insists that the angel is not joined to a human body as a ‘perfection to a perfectible,’ like the human soul that is naturally inclined to a specific body, but merely as a motor to a moved,’</w:t>
      </w:r>
      <w:r w:rsidRPr="00A472FC">
        <w:rPr>
          <w:rStyle w:val="FootnoteReference"/>
          <w:rFonts w:ascii="Times New Roman" w:hAnsi="Times New Roman" w:cs="Times New Roman"/>
        </w:rPr>
        <w:footnoteReference w:id="1225"/>
      </w:r>
      <w:r w:rsidRPr="00A472FC">
        <w:rPr>
          <w:rFonts w:ascii="Times New Roman" w:hAnsi="Times New Roman" w:cs="Times New Roman"/>
        </w:rPr>
        <w:t xml:space="preserve"> as Avicenna put it. </w:t>
      </w:r>
    </w:p>
    <w:p w14:paraId="21BD0877" w14:textId="31A6ACA5" w:rsidR="00E07B85" w:rsidRPr="00A472FC" w:rsidRDefault="009B6602" w:rsidP="009B6602">
      <w:pPr>
        <w:ind w:right="-52" w:firstLine="720"/>
        <w:rPr>
          <w:rFonts w:ascii="Times New Roman" w:hAnsi="Times New Roman" w:cs="Times New Roman"/>
        </w:rPr>
      </w:pPr>
      <w:r w:rsidRPr="00A472FC">
        <w:rPr>
          <w:rFonts w:ascii="Times New Roman" w:hAnsi="Times New Roman" w:cs="Times New Roman"/>
        </w:rPr>
        <w:t xml:space="preserve">In Aristotle’s terms, to </w:t>
      </w:r>
      <w:proofErr w:type="spellStart"/>
      <w:r w:rsidRPr="00A472FC">
        <w:rPr>
          <w:rFonts w:ascii="Times New Roman" w:hAnsi="Times New Roman" w:cs="Times New Roman"/>
        </w:rPr>
        <w:t>summarize</w:t>
      </w:r>
      <w:proofErr w:type="spellEnd"/>
      <w:r w:rsidRPr="00A472FC">
        <w:rPr>
          <w:rFonts w:ascii="Times New Roman" w:hAnsi="Times New Roman" w:cs="Times New Roman"/>
        </w:rPr>
        <w:t>, angels relate to the body as a sailor relates to the ship that he navigates but from which he remains separate in terms of his essence.</w:t>
      </w:r>
      <w:r w:rsidRPr="00A472FC">
        <w:rPr>
          <w:rStyle w:val="FootnoteReference"/>
          <w:rFonts w:ascii="Times New Roman" w:hAnsi="Times New Roman" w:cs="Times New Roman"/>
        </w:rPr>
        <w:footnoteReference w:id="1226"/>
      </w:r>
      <w:r w:rsidRPr="00A472FC">
        <w:rPr>
          <w:rFonts w:ascii="Times New Roman" w:hAnsi="Times New Roman" w:cs="Times New Roman"/>
        </w:rPr>
        <w:t xml:space="preserve"> On this basis, the Summa elaborates, angels cannot really be said to perform the natural functions they might seem to perform when they assume human bodies. Though an angel might appear to eat, or laugh, or talk, for instance, it only does so to show familiarity with human beings which eat, and laugh, and communicate verbally—not because such activities are necessary to the angelic mode of being.</w:t>
      </w:r>
      <w:r w:rsidRPr="00A472FC">
        <w:rPr>
          <w:rStyle w:val="FootnoteReference"/>
          <w:rFonts w:ascii="Times New Roman" w:hAnsi="Times New Roman" w:cs="Times New Roman"/>
        </w:rPr>
        <w:footnoteReference w:id="1227"/>
      </w:r>
      <w:r w:rsidRPr="00A472FC">
        <w:rPr>
          <w:rFonts w:ascii="Times New Roman" w:hAnsi="Times New Roman" w:cs="Times New Roman"/>
        </w:rPr>
        <w:t xml:space="preserve"> </w:t>
      </w:r>
      <w:r w:rsidR="00E07B85" w:rsidRPr="00A472FC">
        <w:rPr>
          <w:rFonts w:ascii="Times New Roman" w:hAnsi="Times New Roman" w:cs="Times New Roman"/>
        </w:rPr>
        <w:t>Likewise, angels do not really possess sense organs like a mouth or eyes</w:t>
      </w:r>
      <w:r w:rsidR="00A259E2" w:rsidRPr="00A472FC">
        <w:rPr>
          <w:rFonts w:ascii="Times New Roman" w:hAnsi="Times New Roman" w:cs="Times New Roman"/>
        </w:rPr>
        <w:t>,</w:t>
      </w:r>
      <w:r w:rsidR="00E07B85" w:rsidRPr="00A472FC">
        <w:rPr>
          <w:rFonts w:ascii="Times New Roman" w:hAnsi="Times New Roman" w:cs="Times New Roman"/>
        </w:rPr>
        <w:t xml:space="preserve"> but only seem to </w:t>
      </w:r>
      <w:r w:rsidR="00A25945" w:rsidRPr="00A472FC">
        <w:rPr>
          <w:rFonts w:ascii="Times New Roman" w:hAnsi="Times New Roman" w:cs="Times New Roman"/>
        </w:rPr>
        <w:t xml:space="preserve">do so </w:t>
      </w:r>
      <w:r w:rsidR="00E07B85" w:rsidRPr="00A472FC">
        <w:rPr>
          <w:rFonts w:ascii="Times New Roman" w:hAnsi="Times New Roman" w:cs="Times New Roman"/>
        </w:rPr>
        <w:t>for the sake of relating to humans.</w:t>
      </w:r>
      <w:r w:rsidR="003F0D8B" w:rsidRPr="00A472FC">
        <w:rPr>
          <w:rStyle w:val="FootnoteReference"/>
          <w:rFonts w:ascii="Times New Roman" w:hAnsi="Times New Roman" w:cs="Times New Roman"/>
        </w:rPr>
        <w:footnoteReference w:id="1228"/>
      </w:r>
      <w:r w:rsidR="00E07B85" w:rsidRPr="00A472FC">
        <w:rPr>
          <w:rFonts w:ascii="Times New Roman" w:hAnsi="Times New Roman" w:cs="Times New Roman"/>
        </w:rPr>
        <w:t xml:space="preserve"> The</w:t>
      </w:r>
      <w:r w:rsidRPr="00A472FC">
        <w:rPr>
          <w:rFonts w:ascii="Times New Roman" w:hAnsi="Times New Roman" w:cs="Times New Roman"/>
        </w:rPr>
        <w:t xml:space="preserve"> </w:t>
      </w:r>
      <w:r w:rsidR="00A259E2" w:rsidRPr="00A472FC">
        <w:rPr>
          <w:rFonts w:ascii="Times New Roman" w:hAnsi="Times New Roman" w:cs="Times New Roman"/>
        </w:rPr>
        <w:t xml:space="preserve">sole </w:t>
      </w:r>
      <w:r w:rsidRPr="00A472FC">
        <w:rPr>
          <w:rFonts w:ascii="Times New Roman" w:hAnsi="Times New Roman" w:cs="Times New Roman"/>
        </w:rPr>
        <w:t>purpose of assuming a human body, for the angel</w:t>
      </w:r>
      <w:r w:rsidR="00D20B28" w:rsidRPr="00A472FC">
        <w:rPr>
          <w:rFonts w:ascii="Times New Roman" w:hAnsi="Times New Roman" w:cs="Times New Roman"/>
        </w:rPr>
        <w:t>,</w:t>
      </w:r>
      <w:r w:rsidRPr="00A472FC">
        <w:rPr>
          <w:rFonts w:ascii="Times New Roman" w:hAnsi="Times New Roman" w:cs="Times New Roman"/>
        </w:rPr>
        <w:t xml:space="preserve"> </w:t>
      </w:r>
      <w:r w:rsidR="00EC150A" w:rsidRPr="00A472FC">
        <w:rPr>
          <w:rFonts w:ascii="Times New Roman" w:hAnsi="Times New Roman" w:cs="Times New Roman"/>
        </w:rPr>
        <w:t xml:space="preserve">in summary, </w:t>
      </w:r>
      <w:r w:rsidRPr="00A472FC">
        <w:rPr>
          <w:rFonts w:ascii="Times New Roman" w:hAnsi="Times New Roman" w:cs="Times New Roman"/>
        </w:rPr>
        <w:t>is to imprint upon the senses and thus communicate divine instructions or support to human beings.</w:t>
      </w:r>
      <w:r w:rsidRPr="00A472FC">
        <w:rPr>
          <w:rStyle w:val="FootnoteReference"/>
          <w:rFonts w:ascii="Times New Roman" w:hAnsi="Times New Roman" w:cs="Times New Roman"/>
        </w:rPr>
        <w:footnoteReference w:id="1229"/>
      </w:r>
      <w:r w:rsidRPr="00A472FC">
        <w:rPr>
          <w:rFonts w:ascii="Times New Roman" w:hAnsi="Times New Roman" w:cs="Times New Roman"/>
        </w:rPr>
        <w:t xml:space="preserve"> </w:t>
      </w:r>
    </w:p>
    <w:p w14:paraId="5B4F4B40" w14:textId="77777777" w:rsidR="001865B5" w:rsidRPr="00A472FC" w:rsidRDefault="009B6602" w:rsidP="00E07B85">
      <w:pPr>
        <w:ind w:right="-52" w:firstLine="720"/>
        <w:rPr>
          <w:rFonts w:ascii="Times New Roman" w:hAnsi="Times New Roman" w:cs="Times New Roman"/>
        </w:rPr>
      </w:pPr>
      <w:r w:rsidRPr="00A472FC">
        <w:rPr>
          <w:rFonts w:ascii="Times New Roman" w:hAnsi="Times New Roman" w:cs="Times New Roman"/>
        </w:rPr>
        <w:t>Although angels are not naturally embodied, the Summa affirms that they, like all spiritual substances, are comprised of both form and matter.</w:t>
      </w:r>
      <w:r w:rsidRPr="00A472FC">
        <w:rPr>
          <w:rStyle w:val="FootnoteReference"/>
          <w:rFonts w:ascii="Times New Roman" w:hAnsi="Times New Roman" w:cs="Times New Roman"/>
        </w:rPr>
        <w:footnoteReference w:id="1230"/>
      </w:r>
      <w:r w:rsidRPr="00A472FC">
        <w:rPr>
          <w:rFonts w:ascii="Times New Roman" w:hAnsi="Times New Roman" w:cs="Times New Roman"/>
        </w:rPr>
        <w:t xml:space="preserve"> In this regard, the Summa acknowledges that some philosophers like Avicenna construed intelligences or angels as forms without matter in order to affirm their simplicity. However the Summa denies that the </w:t>
      </w:r>
      <w:r w:rsidRPr="00A472FC">
        <w:rPr>
          <w:rFonts w:ascii="Times New Roman" w:hAnsi="Times New Roman" w:cs="Times New Roman"/>
        </w:rPr>
        <w:lastRenderedPageBreak/>
        <w:t>composition of angels undermines their simplicity</w:t>
      </w:r>
      <w:r w:rsidR="006F057E" w:rsidRPr="00A472FC">
        <w:rPr>
          <w:rFonts w:ascii="Times New Roman" w:hAnsi="Times New Roman" w:cs="Times New Roman"/>
        </w:rPr>
        <w:t>, at least in comparison to physical creatures,</w:t>
      </w:r>
      <w:r w:rsidRPr="00A472FC">
        <w:rPr>
          <w:rFonts w:ascii="Times New Roman" w:hAnsi="Times New Roman" w:cs="Times New Roman"/>
        </w:rPr>
        <w:t xml:space="preserve"> on the grounds that their matter is spiritual and of a different order from corporeal matter-form compounds. In the case of angels, matter simply refers to the capacity to receive intelligible forms from God. The reason for the composition of angels, the Summa follows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in </w:t>
      </w:r>
      <w:r w:rsidR="00CB3FC6" w:rsidRPr="00A472FC">
        <w:rPr>
          <w:rFonts w:ascii="Times New Roman" w:hAnsi="Times New Roman" w:cs="Times New Roman"/>
        </w:rPr>
        <w:t>affirming</w:t>
      </w:r>
      <w:r w:rsidRPr="00A472FC">
        <w:rPr>
          <w:rFonts w:ascii="Times New Roman" w:hAnsi="Times New Roman" w:cs="Times New Roman"/>
        </w:rPr>
        <w:t xml:space="preserve">, is that everything other than God is composed of </w:t>
      </w:r>
      <w:r w:rsidRPr="00A472FC">
        <w:rPr>
          <w:rFonts w:ascii="Times New Roman" w:hAnsi="Times New Roman" w:cs="Times New Roman"/>
          <w:i/>
        </w:rPr>
        <w:t>quod</w:t>
      </w:r>
      <w:r w:rsidRPr="00A472FC">
        <w:rPr>
          <w:rFonts w:ascii="Times New Roman" w:hAnsi="Times New Roman" w:cs="Times New Roman"/>
        </w:rPr>
        <w:t xml:space="preserve"> and </w:t>
      </w:r>
      <w:r w:rsidRPr="00A472FC">
        <w:rPr>
          <w:rFonts w:ascii="Times New Roman" w:hAnsi="Times New Roman" w:cs="Times New Roman"/>
          <w:i/>
        </w:rPr>
        <w:t>quo est</w:t>
      </w:r>
      <w:r w:rsidRPr="00A472FC">
        <w:rPr>
          <w:rFonts w:ascii="Times New Roman" w:hAnsi="Times New Roman" w:cs="Times New Roman"/>
        </w:rPr>
        <w:t>.</w:t>
      </w:r>
      <w:r w:rsidRPr="00A472FC">
        <w:rPr>
          <w:rStyle w:val="FootnoteReference"/>
          <w:rFonts w:ascii="Times New Roman" w:hAnsi="Times New Roman" w:cs="Times New Roman"/>
        </w:rPr>
        <w:footnoteReference w:id="1231"/>
      </w:r>
      <w:r w:rsidRPr="00A472FC">
        <w:rPr>
          <w:rFonts w:ascii="Times New Roman" w:hAnsi="Times New Roman" w:cs="Times New Roman"/>
        </w:rPr>
        <w:t xml:space="preserve"> </w:t>
      </w:r>
    </w:p>
    <w:p w14:paraId="1F440610" w14:textId="0E299068" w:rsidR="001865B5" w:rsidRPr="00A472FC" w:rsidRDefault="009B6602" w:rsidP="001865B5">
      <w:pPr>
        <w:ind w:right="-52" w:firstLine="720"/>
        <w:rPr>
          <w:rFonts w:ascii="Times New Roman" w:hAnsi="Times New Roman" w:cs="Times New Roman"/>
        </w:rPr>
      </w:pPr>
      <w:r w:rsidRPr="00A472FC">
        <w:rPr>
          <w:rFonts w:ascii="Times New Roman" w:hAnsi="Times New Roman" w:cs="Times New Roman"/>
        </w:rPr>
        <w:t>For this same reason, the multiple powers angels possess as images of God, such as memory, intelligence and will, are not the same as their essence, since essence and power are only the same in God.</w:t>
      </w:r>
      <w:r w:rsidRPr="00A472FC">
        <w:rPr>
          <w:rStyle w:val="FootnoteReference"/>
          <w:rFonts w:ascii="Times New Roman" w:hAnsi="Times New Roman" w:cs="Times New Roman"/>
        </w:rPr>
        <w:footnoteReference w:id="1232"/>
      </w:r>
      <w:r w:rsidRPr="00A472FC">
        <w:rPr>
          <w:rFonts w:ascii="Times New Roman" w:hAnsi="Times New Roman" w:cs="Times New Roman"/>
        </w:rPr>
        <w:t xml:space="preserve"> The very fact that angels possess a plurality </w:t>
      </w:r>
      <w:r w:rsidR="00951C63" w:rsidRPr="00A472FC">
        <w:rPr>
          <w:rFonts w:ascii="Times New Roman" w:hAnsi="Times New Roman" w:cs="Times New Roman"/>
        </w:rPr>
        <w:t xml:space="preserve">of </w:t>
      </w:r>
      <w:r w:rsidRPr="00A472FC">
        <w:rPr>
          <w:rFonts w:ascii="Times New Roman" w:hAnsi="Times New Roman" w:cs="Times New Roman"/>
        </w:rPr>
        <w:t xml:space="preserve">powers is another sign for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of their difference from the Creator, whose powers are invisible.</w:t>
      </w:r>
      <w:r w:rsidRPr="00A472FC">
        <w:rPr>
          <w:rStyle w:val="FootnoteReference"/>
          <w:rFonts w:ascii="Times New Roman" w:hAnsi="Times New Roman" w:cs="Times New Roman"/>
        </w:rPr>
        <w:footnoteReference w:id="1233"/>
      </w:r>
      <w:r w:rsidR="001865B5" w:rsidRPr="00A472FC">
        <w:rPr>
          <w:rFonts w:ascii="Times New Roman" w:hAnsi="Times New Roman" w:cs="Times New Roman"/>
        </w:rPr>
        <w:t xml:space="preserve"> </w:t>
      </w:r>
      <w:r w:rsidRPr="00A472FC">
        <w:rPr>
          <w:rFonts w:ascii="Times New Roman" w:hAnsi="Times New Roman" w:cs="Times New Roman"/>
        </w:rPr>
        <w:t>The composition of angels is further cited by the Summa as the reason why there are multiple individuals of every species of angel.</w:t>
      </w:r>
      <w:r w:rsidRPr="00A472FC">
        <w:rPr>
          <w:rStyle w:val="FootnoteReference"/>
          <w:rFonts w:ascii="Times New Roman" w:hAnsi="Times New Roman" w:cs="Times New Roman"/>
        </w:rPr>
        <w:footnoteReference w:id="1234"/>
      </w:r>
      <w:r w:rsidRPr="00A472FC">
        <w:rPr>
          <w:rFonts w:ascii="Times New Roman" w:hAnsi="Times New Roman" w:cs="Times New Roman"/>
        </w:rPr>
        <w:t xml:space="preserve"> Since matter is the principle of individuation, Keck writes, ‘distinction between angelic persons rises from the actual conjunction of each angel’s form with matter.’</w:t>
      </w:r>
      <w:r w:rsidRPr="00A472FC">
        <w:rPr>
          <w:rStyle w:val="FootnoteReference"/>
          <w:rFonts w:ascii="Times New Roman" w:hAnsi="Times New Roman" w:cs="Times New Roman"/>
        </w:rPr>
        <w:t xml:space="preserve"> </w:t>
      </w:r>
      <w:r w:rsidRPr="00A472FC">
        <w:rPr>
          <w:rStyle w:val="FootnoteReference"/>
          <w:rFonts w:ascii="Times New Roman" w:hAnsi="Times New Roman" w:cs="Times New Roman"/>
        </w:rPr>
        <w:footnoteReference w:id="1235"/>
      </w:r>
      <w:r w:rsidRPr="00A472FC">
        <w:rPr>
          <w:rFonts w:ascii="Times New Roman" w:hAnsi="Times New Roman" w:cs="Times New Roman"/>
        </w:rPr>
        <w:t xml:space="preserve"> This is also why the Summa argues that multiple angels cannot occupy the same place at once, and individual angels can only be in one place at one time.</w:t>
      </w:r>
      <w:r w:rsidRPr="00A472FC">
        <w:rPr>
          <w:rStyle w:val="FootnoteReference"/>
          <w:rFonts w:ascii="Times New Roman" w:hAnsi="Times New Roman" w:cs="Times New Roman"/>
        </w:rPr>
        <w:footnoteReference w:id="1236"/>
      </w:r>
      <w:r w:rsidRPr="00A472FC">
        <w:rPr>
          <w:rFonts w:ascii="Times New Roman" w:hAnsi="Times New Roman" w:cs="Times New Roman"/>
        </w:rPr>
        <w:t xml:space="preserve"> </w:t>
      </w:r>
    </w:p>
    <w:p w14:paraId="705381C8" w14:textId="6B13686E" w:rsidR="009B6602" w:rsidRPr="00A472FC" w:rsidRDefault="009B6602" w:rsidP="001865B5">
      <w:pPr>
        <w:ind w:right="-52" w:firstLine="720"/>
        <w:rPr>
          <w:rFonts w:ascii="Times New Roman" w:hAnsi="Times New Roman" w:cs="Times New Roman"/>
        </w:rPr>
      </w:pPr>
      <w:r w:rsidRPr="00A472FC">
        <w:rPr>
          <w:rFonts w:ascii="Times New Roman" w:hAnsi="Times New Roman" w:cs="Times New Roman"/>
        </w:rPr>
        <w:t xml:space="preserve">Although </w:t>
      </w:r>
      <w:r w:rsidR="008F515D" w:rsidRPr="00A472FC">
        <w:rPr>
          <w:rFonts w:ascii="Times New Roman" w:hAnsi="Times New Roman" w:cs="Times New Roman"/>
        </w:rPr>
        <w:t>angelic</w:t>
      </w:r>
      <w:r w:rsidRPr="00A472FC">
        <w:rPr>
          <w:rFonts w:ascii="Times New Roman" w:hAnsi="Times New Roman" w:cs="Times New Roman"/>
        </w:rPr>
        <w:t xml:space="preserve"> matter is only spiritual, it nonetheless affords </w:t>
      </w:r>
      <w:r w:rsidR="008F515D" w:rsidRPr="00A472FC">
        <w:rPr>
          <w:rFonts w:ascii="Times New Roman" w:hAnsi="Times New Roman" w:cs="Times New Roman"/>
        </w:rPr>
        <w:t>angels</w:t>
      </w:r>
      <w:r w:rsidRPr="00A472FC">
        <w:rPr>
          <w:rFonts w:ascii="Times New Roman" w:hAnsi="Times New Roman" w:cs="Times New Roman"/>
        </w:rPr>
        <w:t xml:space="preserve"> a sort of location in space and time that cannot be occupied by more than one of them</w:t>
      </w:r>
      <w:r w:rsidR="00895124" w:rsidRPr="00A472FC">
        <w:rPr>
          <w:rFonts w:ascii="Times New Roman" w:hAnsi="Times New Roman" w:cs="Times New Roman"/>
        </w:rPr>
        <w:t>,</w:t>
      </w:r>
      <w:r w:rsidRPr="00A472FC">
        <w:rPr>
          <w:rFonts w:ascii="Times New Roman" w:hAnsi="Times New Roman" w:cs="Times New Roman"/>
        </w:rPr>
        <w:t xml:space="preserve"> and that requires them to move from one place to another.</w:t>
      </w:r>
      <w:r w:rsidRPr="00A472FC">
        <w:rPr>
          <w:rStyle w:val="FootnoteReference"/>
          <w:rFonts w:ascii="Times New Roman" w:hAnsi="Times New Roman" w:cs="Times New Roman"/>
        </w:rPr>
        <w:footnoteReference w:id="1237"/>
      </w:r>
      <w:r w:rsidRPr="00A472FC">
        <w:rPr>
          <w:rFonts w:ascii="Times New Roman" w:hAnsi="Times New Roman" w:cs="Times New Roman"/>
        </w:rPr>
        <w:t xml:space="preserve"> By contrast</w:t>
      </w:r>
      <w:r w:rsidR="0068471C" w:rsidRPr="00A472FC">
        <w:rPr>
          <w:rFonts w:ascii="Times New Roman" w:hAnsi="Times New Roman" w:cs="Times New Roman"/>
        </w:rPr>
        <w:t xml:space="preserve"> to his earlier Franciscan contemporaries</w:t>
      </w:r>
      <w:r w:rsidRPr="00A472FC">
        <w:rPr>
          <w:rFonts w:ascii="Times New Roman" w:hAnsi="Times New Roman" w:cs="Times New Roman"/>
        </w:rPr>
        <w:t xml:space="preserve">, </w:t>
      </w:r>
      <w:r w:rsidR="00557211" w:rsidRPr="00A472FC">
        <w:rPr>
          <w:rFonts w:ascii="Times New Roman" w:hAnsi="Times New Roman" w:cs="Times New Roman"/>
        </w:rPr>
        <w:t xml:space="preserve">Thomas </w:t>
      </w:r>
      <w:r w:rsidRPr="00A472FC">
        <w:rPr>
          <w:rFonts w:ascii="Times New Roman" w:hAnsi="Times New Roman" w:cs="Times New Roman"/>
        </w:rPr>
        <w:t>Aquinas held that multiple angels can occupy the same place</w:t>
      </w:r>
      <w:r w:rsidR="00895124" w:rsidRPr="00A472FC">
        <w:rPr>
          <w:rFonts w:ascii="Times New Roman" w:hAnsi="Times New Roman" w:cs="Times New Roman"/>
        </w:rPr>
        <w:t>,</w:t>
      </w:r>
      <w:r w:rsidRPr="00A472FC">
        <w:rPr>
          <w:rFonts w:ascii="Times New Roman" w:hAnsi="Times New Roman" w:cs="Times New Roman"/>
        </w:rPr>
        <w:t xml:space="preserve"> and that their movement is not bound by </w:t>
      </w:r>
      <w:proofErr w:type="spellStart"/>
      <w:r w:rsidRPr="00A472FC">
        <w:rPr>
          <w:rFonts w:ascii="Times New Roman" w:hAnsi="Times New Roman" w:cs="Times New Roman"/>
        </w:rPr>
        <w:t>quasi-spatio-temporal</w:t>
      </w:r>
      <w:proofErr w:type="spellEnd"/>
      <w:r w:rsidRPr="00A472FC">
        <w:rPr>
          <w:rFonts w:ascii="Times New Roman" w:hAnsi="Times New Roman" w:cs="Times New Roman"/>
        </w:rPr>
        <w:t xml:space="preserve"> constraints. This is because he regarded angels as pure form rather than matter-form composites, which can coincide insofar as they share a similar form.</w:t>
      </w:r>
      <w:r w:rsidRPr="00A472FC">
        <w:rPr>
          <w:rStyle w:val="FootnoteReference"/>
          <w:rFonts w:ascii="Times New Roman" w:hAnsi="Times New Roman" w:cs="Times New Roman"/>
        </w:rPr>
        <w:footnoteReference w:id="1238"/>
      </w:r>
      <w:r w:rsidRPr="00A472FC">
        <w:rPr>
          <w:rFonts w:ascii="Times New Roman" w:hAnsi="Times New Roman" w:cs="Times New Roman"/>
        </w:rPr>
        <w:t xml:space="preserve"> For the same reason, namely, because angels are </w:t>
      </w:r>
      <w:r w:rsidR="009D19BF" w:rsidRPr="00A472FC">
        <w:rPr>
          <w:rFonts w:ascii="Times New Roman" w:hAnsi="Times New Roman" w:cs="Times New Roman"/>
        </w:rPr>
        <w:t xml:space="preserve">entirely </w:t>
      </w:r>
      <w:r w:rsidRPr="00A472FC">
        <w:rPr>
          <w:rFonts w:ascii="Times New Roman" w:hAnsi="Times New Roman" w:cs="Times New Roman"/>
        </w:rPr>
        <w:t xml:space="preserve">immaterial, each one in his view </w:t>
      </w:r>
      <w:r w:rsidR="00895124" w:rsidRPr="00A472FC">
        <w:rPr>
          <w:rFonts w:ascii="Times New Roman" w:hAnsi="Times New Roman" w:cs="Times New Roman"/>
        </w:rPr>
        <w:t xml:space="preserve">is </w:t>
      </w:r>
      <w:r w:rsidRPr="00A472FC">
        <w:rPr>
          <w:rFonts w:ascii="Times New Roman" w:hAnsi="Times New Roman" w:cs="Times New Roman"/>
        </w:rPr>
        <w:t xml:space="preserve">a species unto itself, and there are no individuals within species. </w:t>
      </w:r>
      <w:r w:rsidR="00EB7520" w:rsidRPr="00A472FC">
        <w:rPr>
          <w:rFonts w:ascii="Times New Roman" w:hAnsi="Times New Roman" w:cs="Times New Roman"/>
        </w:rPr>
        <w:t>Thus</w:t>
      </w:r>
      <w:r w:rsidR="00F82401" w:rsidRPr="00A472FC">
        <w:rPr>
          <w:rFonts w:ascii="Times New Roman" w:hAnsi="Times New Roman" w:cs="Times New Roman"/>
        </w:rPr>
        <w:t>,</w:t>
      </w:r>
      <w:r w:rsidR="00EB7520" w:rsidRPr="00A472FC">
        <w:rPr>
          <w:rFonts w:ascii="Times New Roman" w:hAnsi="Times New Roman" w:cs="Times New Roman"/>
        </w:rPr>
        <w:t xml:space="preserve"> the topic of angels emerges as a prime example o</w:t>
      </w:r>
      <w:r w:rsidR="00A80B7C" w:rsidRPr="00A472FC">
        <w:rPr>
          <w:rFonts w:ascii="Times New Roman" w:hAnsi="Times New Roman" w:cs="Times New Roman"/>
        </w:rPr>
        <w:t xml:space="preserve">f </w:t>
      </w:r>
      <w:r w:rsidR="00EB7520" w:rsidRPr="00A472FC">
        <w:rPr>
          <w:rFonts w:ascii="Times New Roman" w:hAnsi="Times New Roman" w:cs="Times New Roman"/>
        </w:rPr>
        <w:t>the way Franciscan and Dominican views diverged on fundamental philosophical grounds in the generation of Aquinas himself.</w:t>
      </w:r>
    </w:p>
    <w:p w14:paraId="4EA6CAEB" w14:textId="77777777" w:rsidR="009B6602" w:rsidRPr="00A472FC" w:rsidRDefault="009B6602" w:rsidP="009B6602">
      <w:pPr>
        <w:ind w:right="-52"/>
        <w:rPr>
          <w:rFonts w:ascii="Times New Roman" w:hAnsi="Times New Roman" w:cs="Times New Roman"/>
        </w:rPr>
      </w:pPr>
    </w:p>
    <w:p w14:paraId="6FC37D8C" w14:textId="77777777" w:rsidR="009B6602" w:rsidRPr="00A472FC" w:rsidRDefault="009B6602" w:rsidP="009B6602">
      <w:pPr>
        <w:ind w:right="-52"/>
        <w:rPr>
          <w:rFonts w:ascii="Times New Roman" w:hAnsi="Times New Roman" w:cs="Times New Roman"/>
          <w:i/>
          <w:u w:val="single"/>
        </w:rPr>
      </w:pPr>
      <w:r w:rsidRPr="00A472FC">
        <w:rPr>
          <w:rFonts w:ascii="Times New Roman" w:hAnsi="Times New Roman" w:cs="Times New Roman"/>
          <w:u w:val="single"/>
        </w:rPr>
        <w:t>Metaphysical Status</w:t>
      </w:r>
      <w:r w:rsidRPr="00A472FC">
        <w:rPr>
          <w:rFonts w:ascii="Times New Roman" w:hAnsi="Times New Roman" w:cs="Times New Roman"/>
          <w:i/>
          <w:u w:val="single"/>
        </w:rPr>
        <w:t xml:space="preserve"> (</w:t>
      </w:r>
      <w:proofErr w:type="spellStart"/>
      <w:r w:rsidRPr="00A472FC">
        <w:rPr>
          <w:rFonts w:ascii="Times New Roman" w:hAnsi="Times New Roman" w:cs="Times New Roman"/>
          <w:i/>
          <w:u w:val="single"/>
        </w:rPr>
        <w:t>Esse</w:t>
      </w:r>
      <w:proofErr w:type="spellEnd"/>
      <w:r w:rsidRPr="00A472FC">
        <w:rPr>
          <w:rFonts w:ascii="Times New Roman" w:hAnsi="Times New Roman" w:cs="Times New Roman"/>
          <w:i/>
          <w:u w:val="single"/>
        </w:rPr>
        <w:t xml:space="preserve"> </w:t>
      </w:r>
      <w:proofErr w:type="spellStart"/>
      <w:r w:rsidRPr="00A472FC">
        <w:rPr>
          <w:rFonts w:ascii="Times New Roman" w:hAnsi="Times New Roman" w:cs="Times New Roman"/>
          <w:i/>
          <w:u w:val="single"/>
        </w:rPr>
        <w:t>metaphysicum</w:t>
      </w:r>
      <w:proofErr w:type="spellEnd"/>
      <w:r w:rsidRPr="00A472FC">
        <w:rPr>
          <w:rFonts w:ascii="Times New Roman" w:hAnsi="Times New Roman" w:cs="Times New Roman"/>
          <w:i/>
          <w:u w:val="single"/>
        </w:rPr>
        <w:t>)</w:t>
      </w:r>
    </w:p>
    <w:p w14:paraId="39B45E71" w14:textId="77777777" w:rsidR="009B6602" w:rsidRPr="00A472FC" w:rsidRDefault="009B6602" w:rsidP="009B6602">
      <w:pPr>
        <w:ind w:right="-52"/>
        <w:rPr>
          <w:rFonts w:ascii="Times New Roman" w:hAnsi="Times New Roman" w:cs="Times New Roman"/>
          <w:i/>
          <w:u w:val="single"/>
        </w:rPr>
      </w:pPr>
    </w:p>
    <w:p w14:paraId="5797F52F" w14:textId="77777777" w:rsidR="009B6602" w:rsidRPr="00A472FC" w:rsidRDefault="009B6602" w:rsidP="009B6602">
      <w:pPr>
        <w:ind w:right="-52" w:firstLine="720"/>
        <w:rPr>
          <w:rFonts w:ascii="Times New Roman" w:hAnsi="Times New Roman" w:cs="Times New Roman"/>
        </w:rPr>
      </w:pPr>
      <w:r w:rsidRPr="00A472FC">
        <w:rPr>
          <w:rFonts w:ascii="Times New Roman" w:hAnsi="Times New Roman" w:cs="Times New Roman"/>
        </w:rPr>
        <w:t xml:space="preserve">The next category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invokes to distinguish angels from rational souls concerns their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metaphysicum</w:t>
      </w:r>
      <w:proofErr w:type="spellEnd"/>
      <w:r w:rsidRPr="00A472FC">
        <w:rPr>
          <w:rFonts w:ascii="Times New Roman" w:hAnsi="Times New Roman" w:cs="Times New Roman"/>
          <w:iCs/>
        </w:rPr>
        <w:t xml:space="preserve">, </w:t>
      </w:r>
      <w:r w:rsidRPr="00A472FC">
        <w:rPr>
          <w:rFonts w:ascii="Times New Roman" w:hAnsi="Times New Roman" w:cs="Times New Roman"/>
        </w:rPr>
        <w:t xml:space="preserve">or way of being receptive or in a state of potentiality with </w:t>
      </w:r>
      <w:r w:rsidRPr="00A472FC">
        <w:rPr>
          <w:rFonts w:ascii="Times New Roman" w:hAnsi="Times New Roman" w:cs="Times New Roman"/>
        </w:rPr>
        <w:lastRenderedPageBreak/>
        <w:t>respect to knowing.</w:t>
      </w:r>
      <w:r w:rsidRPr="00A472FC">
        <w:rPr>
          <w:rStyle w:val="FootnoteReference"/>
          <w:rFonts w:ascii="Times New Roman" w:hAnsi="Times New Roman" w:cs="Times New Roman"/>
        </w:rPr>
        <w:footnoteReference w:id="1239"/>
      </w:r>
      <w:r w:rsidRPr="00A472FC">
        <w:rPr>
          <w:rFonts w:ascii="Times New Roman" w:hAnsi="Times New Roman" w:cs="Times New Roman"/>
        </w:rPr>
        <w:t xml:space="preserve"> Here, the key difference is between human beings, who depend upon receiving phantasms or images of sense objects, as if from below, in order to abstract knowledge on the basis of them, and angelic beings whose knowledge of things is not triggered by and dependent upon the senses but is purely intellectual.</w:t>
      </w:r>
      <w:r w:rsidRPr="00A472FC">
        <w:rPr>
          <w:rStyle w:val="FootnoteReference"/>
          <w:rFonts w:ascii="Times New Roman" w:hAnsi="Times New Roman" w:cs="Times New Roman"/>
        </w:rPr>
        <w:footnoteReference w:id="1240"/>
      </w:r>
      <w:r w:rsidRPr="00A472FC">
        <w:rPr>
          <w:rFonts w:ascii="Times New Roman" w:hAnsi="Times New Roman" w:cs="Times New Roman"/>
        </w:rPr>
        <w:t xml:space="preserve"> The reason that human beings possess sense as well as intellectual faculties is precisely that they mediate between creatures and God, knowing the former in relation to the latter.</w:t>
      </w:r>
      <w:r w:rsidRPr="00A472FC">
        <w:rPr>
          <w:rStyle w:val="FootnoteReference"/>
          <w:rFonts w:ascii="Times New Roman" w:hAnsi="Times New Roman" w:cs="Times New Roman"/>
        </w:rPr>
        <w:footnoteReference w:id="1241"/>
      </w:r>
      <w:r w:rsidRPr="00A472FC">
        <w:rPr>
          <w:rFonts w:ascii="Times New Roman" w:hAnsi="Times New Roman" w:cs="Times New Roman"/>
        </w:rPr>
        <w:t xml:space="preserve"> Because angels only mediate between intellectual creatures, that is, humans, and God, they do not need sense faculties to know sense objects, even when they assume a body that possesses those faculties.</w:t>
      </w:r>
      <w:r w:rsidRPr="00A472FC">
        <w:rPr>
          <w:rStyle w:val="FootnoteReference"/>
          <w:rFonts w:ascii="Times New Roman" w:hAnsi="Times New Roman" w:cs="Times New Roman"/>
        </w:rPr>
        <w:footnoteReference w:id="1242"/>
      </w:r>
    </w:p>
    <w:p w14:paraId="7BA5E7A2" w14:textId="77777777" w:rsidR="009B6602" w:rsidRPr="00A472FC" w:rsidRDefault="009B6602" w:rsidP="009B6602">
      <w:pPr>
        <w:ind w:right="-52" w:firstLine="720"/>
        <w:rPr>
          <w:rFonts w:ascii="Times New Roman" w:hAnsi="Times New Roman" w:cs="Times New Roman"/>
        </w:rPr>
      </w:pPr>
      <w:r w:rsidRPr="00A472FC">
        <w:rPr>
          <w:rFonts w:ascii="Times New Roman" w:hAnsi="Times New Roman" w:cs="Times New Roman"/>
        </w:rPr>
        <w:t>As noted above, the only reason angels assume a body is in order to communicate with the human intellect, namely, by imprinting on the senses, which are visual, auditory, and so forth.</w:t>
      </w:r>
      <w:r w:rsidRPr="00A472FC">
        <w:rPr>
          <w:rStyle w:val="FootnoteReference"/>
          <w:rFonts w:ascii="Times New Roman" w:hAnsi="Times New Roman" w:cs="Times New Roman"/>
        </w:rPr>
        <w:footnoteReference w:id="1243"/>
      </w:r>
      <w:r w:rsidRPr="00A472FC">
        <w:rPr>
          <w:rFonts w:ascii="Times New Roman" w:hAnsi="Times New Roman" w:cs="Times New Roman"/>
        </w:rPr>
        <w:t xml:space="preserve"> Although angels therefore need a body in order to accomplish aspects of God’s mission amongst human beings, they remain separate from the body even when they assume one.</w:t>
      </w:r>
      <w:r w:rsidRPr="00A472FC">
        <w:rPr>
          <w:rStyle w:val="FootnoteReference"/>
          <w:rFonts w:ascii="Times New Roman" w:hAnsi="Times New Roman" w:cs="Times New Roman"/>
        </w:rPr>
        <w:footnoteReference w:id="1244"/>
      </w:r>
      <w:r w:rsidRPr="00A472FC">
        <w:rPr>
          <w:rFonts w:ascii="Times New Roman" w:hAnsi="Times New Roman" w:cs="Times New Roman"/>
        </w:rPr>
        <w:t xml:space="preserve"> According to the Summa, consequently, the only manner in which angels exist in a state of potentiality or receptivity concerns their ability to receive knowledge from God and from superior angels, if they have superiors.</w:t>
      </w:r>
      <w:r w:rsidRPr="00A472FC">
        <w:rPr>
          <w:rStyle w:val="FootnoteReference"/>
          <w:rFonts w:ascii="Times New Roman" w:hAnsi="Times New Roman" w:cs="Times New Roman"/>
        </w:rPr>
        <w:footnoteReference w:id="1245"/>
      </w:r>
      <w:r w:rsidRPr="00A472FC">
        <w:rPr>
          <w:rFonts w:ascii="Times New Roman" w:hAnsi="Times New Roman" w:cs="Times New Roman"/>
        </w:rPr>
        <w:t xml:space="preserve"> Through illumination from above, they receive the forms of all things that are or ever could be, from the moment of their creation.</w:t>
      </w:r>
      <w:r w:rsidRPr="00A472FC">
        <w:rPr>
          <w:rStyle w:val="FootnoteReference"/>
          <w:rFonts w:ascii="Times New Roman" w:hAnsi="Times New Roman" w:cs="Times New Roman"/>
        </w:rPr>
        <w:footnoteReference w:id="1246"/>
      </w:r>
      <w:r w:rsidRPr="00A472FC">
        <w:rPr>
          <w:rFonts w:ascii="Times New Roman" w:hAnsi="Times New Roman" w:cs="Times New Roman"/>
        </w:rPr>
        <w:t xml:space="preserve"> </w:t>
      </w:r>
    </w:p>
    <w:p w14:paraId="26B430B5" w14:textId="0908530B" w:rsidR="009B6602" w:rsidRPr="00A472FC" w:rsidRDefault="009B6602" w:rsidP="009B6602">
      <w:pPr>
        <w:ind w:right="-52" w:firstLine="720"/>
        <w:rPr>
          <w:rFonts w:ascii="Times New Roman" w:hAnsi="Times New Roman" w:cs="Times New Roman"/>
        </w:rPr>
      </w:pPr>
      <w:r w:rsidRPr="00A472FC">
        <w:rPr>
          <w:rFonts w:ascii="Times New Roman" w:hAnsi="Times New Roman" w:cs="Times New Roman"/>
        </w:rPr>
        <w:t xml:space="preserve">According to a tradition stemming from Augustine, the Summa holds that angels can possess </w:t>
      </w:r>
      <w:r w:rsidR="005E2006" w:rsidRPr="00A472FC">
        <w:rPr>
          <w:rFonts w:ascii="Times New Roman" w:hAnsi="Times New Roman" w:cs="Times New Roman"/>
        </w:rPr>
        <w:t xml:space="preserve">such </w:t>
      </w:r>
      <w:r w:rsidRPr="00A472FC">
        <w:rPr>
          <w:rFonts w:ascii="Times New Roman" w:hAnsi="Times New Roman" w:cs="Times New Roman"/>
        </w:rPr>
        <w:t>knowledge in one of two respects, which are described in terms of ‘morning’ or ‘evening’ knowledge.</w:t>
      </w:r>
      <w:r w:rsidRPr="00A472FC">
        <w:rPr>
          <w:rStyle w:val="FootnoteReference"/>
          <w:rFonts w:ascii="Times New Roman" w:hAnsi="Times New Roman" w:cs="Times New Roman"/>
        </w:rPr>
        <w:footnoteReference w:id="1247"/>
      </w:r>
      <w:r w:rsidRPr="00A472FC">
        <w:rPr>
          <w:rFonts w:ascii="Times New Roman" w:hAnsi="Times New Roman" w:cs="Times New Roman"/>
        </w:rPr>
        <w:t xml:space="preserve"> While morning knowledge entails knowledge of things in the Word, evening knowledge concerns knowledge of things in the self and in themselves, or in terms of their species alone.</w:t>
      </w:r>
      <w:r w:rsidRPr="00A472FC">
        <w:rPr>
          <w:rStyle w:val="FootnoteReference"/>
          <w:rFonts w:ascii="Times New Roman" w:hAnsi="Times New Roman" w:cs="Times New Roman"/>
        </w:rPr>
        <w:footnoteReference w:id="1248"/>
      </w:r>
      <w:r w:rsidRPr="00A472FC">
        <w:rPr>
          <w:rFonts w:ascii="Times New Roman" w:hAnsi="Times New Roman" w:cs="Times New Roman"/>
        </w:rPr>
        <w:t xml:space="preserve"> So construed, the two kinds of knowledge do not concern different objects but different modes of knowing the same object. The morning knowledge is superior because it is in the mode of knowing in relation to the divine.</w:t>
      </w:r>
      <w:r w:rsidRPr="00A472FC">
        <w:rPr>
          <w:rStyle w:val="FootnoteReference"/>
          <w:rFonts w:ascii="Times New Roman" w:hAnsi="Times New Roman" w:cs="Times New Roman"/>
        </w:rPr>
        <w:footnoteReference w:id="1249"/>
      </w:r>
      <w:r w:rsidRPr="00A472FC">
        <w:rPr>
          <w:rFonts w:ascii="Times New Roman" w:hAnsi="Times New Roman" w:cs="Times New Roman"/>
        </w:rPr>
        <w:t xml:space="preserve"> Either way, however, the angels possess innate species of all things which they receive at their origins from God.</w:t>
      </w:r>
    </w:p>
    <w:p w14:paraId="69BD5729" w14:textId="77777777" w:rsidR="009B6602" w:rsidRPr="00A472FC" w:rsidRDefault="009B6602" w:rsidP="009B6602">
      <w:pPr>
        <w:ind w:right="-52"/>
        <w:rPr>
          <w:rFonts w:ascii="Times New Roman" w:hAnsi="Times New Roman" w:cs="Times New Roman"/>
        </w:rPr>
      </w:pPr>
    </w:p>
    <w:p w14:paraId="1FC59DB5" w14:textId="77777777" w:rsidR="009B6602" w:rsidRPr="00A472FC" w:rsidRDefault="009B6602" w:rsidP="009B6602">
      <w:pPr>
        <w:ind w:right="-52"/>
        <w:rPr>
          <w:rFonts w:ascii="Times New Roman" w:hAnsi="Times New Roman" w:cs="Times New Roman"/>
          <w:i/>
          <w:u w:val="single"/>
        </w:rPr>
      </w:pPr>
      <w:r w:rsidRPr="00A472FC">
        <w:rPr>
          <w:rFonts w:ascii="Times New Roman" w:hAnsi="Times New Roman" w:cs="Times New Roman"/>
          <w:u w:val="single"/>
        </w:rPr>
        <w:t>Cognition</w:t>
      </w:r>
      <w:r w:rsidRPr="00A472FC">
        <w:rPr>
          <w:rFonts w:ascii="Times New Roman" w:hAnsi="Times New Roman" w:cs="Times New Roman"/>
          <w:i/>
          <w:u w:val="single"/>
        </w:rPr>
        <w:t xml:space="preserve"> (</w:t>
      </w:r>
      <w:proofErr w:type="spellStart"/>
      <w:r w:rsidRPr="00A472FC">
        <w:rPr>
          <w:rFonts w:ascii="Times New Roman" w:hAnsi="Times New Roman" w:cs="Times New Roman"/>
          <w:i/>
          <w:u w:val="single"/>
        </w:rPr>
        <w:t>Esse</w:t>
      </w:r>
      <w:proofErr w:type="spellEnd"/>
      <w:r w:rsidRPr="00A472FC">
        <w:rPr>
          <w:rFonts w:ascii="Times New Roman" w:hAnsi="Times New Roman" w:cs="Times New Roman"/>
          <w:i/>
          <w:u w:val="single"/>
        </w:rPr>
        <w:t xml:space="preserve"> rationale)</w:t>
      </w:r>
    </w:p>
    <w:p w14:paraId="7B3FEC1C" w14:textId="77777777" w:rsidR="009B6602" w:rsidRPr="00A472FC" w:rsidRDefault="009B6602" w:rsidP="009B6602">
      <w:pPr>
        <w:ind w:right="-52"/>
        <w:rPr>
          <w:rFonts w:ascii="Times New Roman" w:hAnsi="Times New Roman" w:cs="Times New Roman"/>
        </w:rPr>
      </w:pPr>
    </w:p>
    <w:p w14:paraId="5E51F9B0" w14:textId="77777777" w:rsidR="009B6602" w:rsidRPr="00A472FC" w:rsidRDefault="009B6602" w:rsidP="009B6602">
      <w:pPr>
        <w:ind w:right="-52" w:firstLine="720"/>
        <w:rPr>
          <w:rFonts w:ascii="Times New Roman" w:hAnsi="Times New Roman" w:cs="Times New Roman"/>
        </w:rPr>
      </w:pPr>
      <w:r w:rsidRPr="00A472FC">
        <w:rPr>
          <w:rFonts w:ascii="Times New Roman" w:hAnsi="Times New Roman" w:cs="Times New Roman"/>
        </w:rPr>
        <w:t xml:space="preserve">As the Summa is quick to stress, these species are universals. In order to know particular or singular things, consequently, the angelic mind must actively combine all the </w:t>
      </w:r>
      <w:r w:rsidRPr="00A472FC">
        <w:rPr>
          <w:rFonts w:ascii="Times New Roman" w:hAnsi="Times New Roman" w:cs="Times New Roman"/>
        </w:rPr>
        <w:lastRenderedPageBreak/>
        <w:t xml:space="preserve">forms that make up a particular thing in the mode the Summa describes in terms of its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rationale</w:t>
      </w:r>
      <w:r w:rsidRPr="00A472FC">
        <w:rPr>
          <w:rFonts w:ascii="Times New Roman" w:hAnsi="Times New Roman" w:cs="Times New Roman"/>
        </w:rPr>
        <w:t>. This allows for comparing the mental concept to the real object without ever even seeing it. Although angelic knowledge is thus distinct from human knowledge, which relies on the senses, the Summa describes it as more similar to human than divine knowledge, insofar as it involves an act of composition, such as humans undertake when they abstract species from phantasms. This as we have seen is something that the human mind achieves with the help of ‘transcendental’ concepts received by illumination, which are not the objects of knowledge as for angels but the means of rendering sense objects intelligible.</w:t>
      </w:r>
      <w:r w:rsidRPr="00A472FC">
        <w:rPr>
          <w:rStyle w:val="FootnoteReference"/>
          <w:rFonts w:ascii="Times New Roman" w:hAnsi="Times New Roman" w:cs="Times New Roman"/>
        </w:rPr>
        <w:footnoteReference w:id="1250"/>
      </w:r>
      <w:r w:rsidRPr="00A472FC">
        <w:rPr>
          <w:rFonts w:ascii="Times New Roman" w:hAnsi="Times New Roman" w:cs="Times New Roman"/>
        </w:rPr>
        <w:t xml:space="preserve"> </w:t>
      </w:r>
    </w:p>
    <w:p w14:paraId="09E4B72C" w14:textId="12A5EC40" w:rsidR="009B6602" w:rsidRPr="00A472FC" w:rsidRDefault="009B6602" w:rsidP="009B6602">
      <w:pPr>
        <w:ind w:right="-52" w:firstLine="720"/>
        <w:rPr>
          <w:rFonts w:ascii="Times New Roman" w:hAnsi="Times New Roman" w:cs="Times New Roman"/>
        </w:rPr>
      </w:pPr>
      <w:r w:rsidRPr="00A472FC">
        <w:rPr>
          <w:rFonts w:ascii="Times New Roman" w:hAnsi="Times New Roman" w:cs="Times New Roman"/>
        </w:rPr>
        <w:t>By contrast to early Franciscans, Aquinas saw the knowledge of angels as more similar to divine than human knowledge.</w:t>
      </w:r>
      <w:r w:rsidRPr="00A472FC">
        <w:rPr>
          <w:rStyle w:val="FootnoteReference"/>
          <w:rFonts w:ascii="Times New Roman" w:hAnsi="Times New Roman" w:cs="Times New Roman"/>
        </w:rPr>
        <w:footnoteReference w:id="1251"/>
      </w:r>
      <w:r w:rsidRPr="00A472FC">
        <w:rPr>
          <w:rFonts w:ascii="Times New Roman" w:hAnsi="Times New Roman" w:cs="Times New Roman"/>
        </w:rPr>
        <w:t xml:space="preserve"> For him, angels know particulars in virtue of knowing universals and do not therefore have to engage in a further act of composition in order to know singulars specifically. The angels that are closer to God need fewer species because their knowledge is more universal and therefore entails knowledge of a broader range of particulars.</w:t>
      </w:r>
      <w:r w:rsidRPr="00A472FC">
        <w:rPr>
          <w:rStyle w:val="FootnoteReference"/>
          <w:rFonts w:ascii="Times New Roman" w:hAnsi="Times New Roman" w:cs="Times New Roman"/>
        </w:rPr>
        <w:footnoteReference w:id="1252"/>
      </w:r>
      <w:r w:rsidRPr="00A472FC">
        <w:rPr>
          <w:rFonts w:ascii="Times New Roman" w:hAnsi="Times New Roman" w:cs="Times New Roman"/>
        </w:rPr>
        <w:t xml:space="preserve"> Whereas Aquinas’ account clearly distinguishes</w:t>
      </w:r>
      <w:r w:rsidR="00E7325D" w:rsidRPr="00A472FC">
        <w:rPr>
          <w:rFonts w:ascii="Times New Roman" w:hAnsi="Times New Roman" w:cs="Times New Roman"/>
        </w:rPr>
        <w:t xml:space="preserve"> angelic</w:t>
      </w:r>
      <w:r w:rsidRPr="00A472FC">
        <w:rPr>
          <w:rFonts w:ascii="Times New Roman" w:hAnsi="Times New Roman" w:cs="Times New Roman"/>
        </w:rPr>
        <w:t xml:space="preserve"> knowledge from that of humans, Dominik Perler has pointed out that the similarities—despite differences—between angels and humans in the Franciscan account lent itself to the construction of ‘thought experiments’,</w:t>
      </w:r>
      <w:r w:rsidRPr="00A472FC">
        <w:rPr>
          <w:rStyle w:val="FootnoteReference"/>
          <w:rFonts w:ascii="Times New Roman" w:hAnsi="Times New Roman" w:cs="Times New Roman"/>
        </w:rPr>
        <w:footnoteReference w:id="1253"/>
      </w:r>
      <w:r w:rsidRPr="00A472FC">
        <w:rPr>
          <w:rFonts w:ascii="Times New Roman" w:hAnsi="Times New Roman" w:cs="Times New Roman"/>
        </w:rPr>
        <w:t xml:space="preserve"> which allow</w:t>
      </w:r>
      <w:r w:rsidR="000B25BD" w:rsidRPr="00A472FC">
        <w:rPr>
          <w:rFonts w:ascii="Times New Roman" w:hAnsi="Times New Roman" w:cs="Times New Roman"/>
        </w:rPr>
        <w:t>ed</w:t>
      </w:r>
      <w:r w:rsidRPr="00A472FC">
        <w:rPr>
          <w:rFonts w:ascii="Times New Roman" w:hAnsi="Times New Roman" w:cs="Times New Roman"/>
        </w:rPr>
        <w:t xml:space="preserve"> for assessing </w:t>
      </w:r>
      <w:r w:rsidR="00542243" w:rsidRPr="00A472FC">
        <w:rPr>
          <w:rFonts w:ascii="Times New Roman" w:hAnsi="Times New Roman" w:cs="Times New Roman"/>
        </w:rPr>
        <w:t xml:space="preserve">the </w:t>
      </w:r>
      <w:r w:rsidRPr="00A472FC">
        <w:rPr>
          <w:rFonts w:ascii="Times New Roman" w:hAnsi="Times New Roman" w:cs="Times New Roman"/>
        </w:rPr>
        <w:t>functions that angels share in common with humans, like cognition, ‘under ideal conditions,’</w:t>
      </w:r>
      <w:r w:rsidRPr="00A472FC">
        <w:rPr>
          <w:rStyle w:val="FootnoteReference"/>
          <w:rFonts w:ascii="Times New Roman" w:hAnsi="Times New Roman" w:cs="Times New Roman"/>
        </w:rPr>
        <w:footnoteReference w:id="1254"/>
      </w:r>
      <w:r w:rsidRPr="00A472FC">
        <w:rPr>
          <w:rFonts w:ascii="Times New Roman" w:hAnsi="Times New Roman" w:cs="Times New Roman"/>
        </w:rPr>
        <w:t xml:space="preserve"> that is, without reference to the weaknesses or constraints that </w:t>
      </w:r>
      <w:proofErr w:type="spellStart"/>
      <w:r w:rsidRPr="00A472FC">
        <w:rPr>
          <w:rFonts w:ascii="Times New Roman" w:hAnsi="Times New Roman" w:cs="Times New Roman"/>
        </w:rPr>
        <w:t>characterize</w:t>
      </w:r>
      <w:proofErr w:type="spellEnd"/>
      <w:r w:rsidRPr="00A472FC">
        <w:rPr>
          <w:rFonts w:ascii="Times New Roman" w:hAnsi="Times New Roman" w:cs="Times New Roman"/>
        </w:rPr>
        <w:t xml:space="preserve"> human life. </w:t>
      </w:r>
    </w:p>
    <w:p w14:paraId="2653CB7B" w14:textId="77777777" w:rsidR="009B6602" w:rsidRPr="00A472FC" w:rsidRDefault="009B6602" w:rsidP="009B6602">
      <w:pPr>
        <w:ind w:right="-52" w:firstLine="720"/>
        <w:rPr>
          <w:rFonts w:ascii="Times New Roman" w:hAnsi="Times New Roman" w:cs="Times New Roman"/>
        </w:rPr>
      </w:pPr>
      <w:r w:rsidRPr="00A472FC">
        <w:rPr>
          <w:rFonts w:ascii="Times New Roman" w:hAnsi="Times New Roman" w:cs="Times New Roman"/>
        </w:rPr>
        <w:t>Through the study of angels, in other words, medieval and specifically Franciscan ‘philosophers could isolate the intellect from the body and study it in an unmixed environment.’</w:t>
      </w:r>
      <w:r w:rsidRPr="00A472FC">
        <w:rPr>
          <w:rStyle w:val="FootnoteReference"/>
          <w:rFonts w:ascii="Times New Roman" w:hAnsi="Times New Roman" w:cs="Times New Roman"/>
        </w:rPr>
        <w:footnoteReference w:id="1255"/>
      </w:r>
      <w:r w:rsidRPr="00A472FC">
        <w:rPr>
          <w:rFonts w:ascii="Times New Roman" w:hAnsi="Times New Roman" w:cs="Times New Roman"/>
        </w:rPr>
        <w:t xml:space="preserve"> Indeed, the ability of angels to receive forms immediately from God contributes on the Summa’s account to the velocity with which they can acquire knowledge of things by comparison to humans.</w:t>
      </w:r>
      <w:r w:rsidRPr="00A472FC">
        <w:rPr>
          <w:rStyle w:val="FootnoteReference"/>
          <w:rFonts w:ascii="Times New Roman" w:hAnsi="Times New Roman" w:cs="Times New Roman"/>
        </w:rPr>
        <w:footnoteReference w:id="1256"/>
      </w:r>
      <w:r w:rsidRPr="00A472FC">
        <w:rPr>
          <w:rFonts w:ascii="Times New Roman" w:hAnsi="Times New Roman" w:cs="Times New Roman"/>
        </w:rPr>
        <w:t xml:space="preserve"> Moreover, it allows them know the future in a way that humans and indeed evil angels cannot—though the latter can make some conjectures.</w:t>
      </w:r>
      <w:r w:rsidRPr="00A472FC">
        <w:rPr>
          <w:rStyle w:val="FootnoteReference"/>
          <w:rFonts w:ascii="Times New Roman" w:hAnsi="Times New Roman" w:cs="Times New Roman"/>
        </w:rPr>
        <w:footnoteReference w:id="1257"/>
      </w:r>
    </w:p>
    <w:p w14:paraId="77B205DF" w14:textId="77777777" w:rsidR="009B6602" w:rsidRPr="00A472FC" w:rsidRDefault="009B6602" w:rsidP="009B6602">
      <w:pPr>
        <w:ind w:right="-52"/>
        <w:rPr>
          <w:rFonts w:ascii="Times New Roman" w:hAnsi="Times New Roman" w:cs="Times New Roman"/>
        </w:rPr>
      </w:pPr>
    </w:p>
    <w:p w14:paraId="03983433" w14:textId="77777777" w:rsidR="009B6602" w:rsidRPr="00A472FC" w:rsidRDefault="009B6602" w:rsidP="009B6602">
      <w:pPr>
        <w:ind w:right="-52"/>
        <w:rPr>
          <w:rFonts w:ascii="Times New Roman" w:hAnsi="Times New Roman" w:cs="Times New Roman"/>
          <w:i/>
          <w:u w:val="single"/>
        </w:rPr>
      </w:pPr>
      <w:r w:rsidRPr="00A472FC">
        <w:rPr>
          <w:rFonts w:ascii="Times New Roman" w:hAnsi="Times New Roman" w:cs="Times New Roman"/>
          <w:u w:val="single"/>
        </w:rPr>
        <w:t>Free Will</w:t>
      </w:r>
      <w:r w:rsidRPr="00A472FC">
        <w:rPr>
          <w:rFonts w:ascii="Times New Roman" w:hAnsi="Times New Roman" w:cs="Times New Roman"/>
          <w:i/>
          <w:u w:val="single"/>
        </w:rPr>
        <w:t xml:space="preserve"> (</w:t>
      </w:r>
      <w:proofErr w:type="spellStart"/>
      <w:r w:rsidRPr="00A472FC">
        <w:rPr>
          <w:rFonts w:ascii="Times New Roman" w:hAnsi="Times New Roman" w:cs="Times New Roman"/>
          <w:i/>
          <w:u w:val="single"/>
        </w:rPr>
        <w:t>Esse</w:t>
      </w:r>
      <w:proofErr w:type="spellEnd"/>
      <w:r w:rsidRPr="00A472FC">
        <w:rPr>
          <w:rFonts w:ascii="Times New Roman" w:hAnsi="Times New Roman" w:cs="Times New Roman"/>
          <w:i/>
          <w:u w:val="single"/>
        </w:rPr>
        <w:t xml:space="preserve"> </w:t>
      </w:r>
      <w:proofErr w:type="spellStart"/>
      <w:r w:rsidRPr="00A472FC">
        <w:rPr>
          <w:rFonts w:ascii="Times New Roman" w:hAnsi="Times New Roman" w:cs="Times New Roman"/>
          <w:i/>
          <w:u w:val="single"/>
        </w:rPr>
        <w:t>theologicum</w:t>
      </w:r>
      <w:proofErr w:type="spellEnd"/>
      <w:r w:rsidRPr="00A472FC">
        <w:rPr>
          <w:rFonts w:ascii="Times New Roman" w:hAnsi="Times New Roman" w:cs="Times New Roman"/>
          <w:i/>
          <w:u w:val="single"/>
        </w:rPr>
        <w:t>)</w:t>
      </w:r>
    </w:p>
    <w:p w14:paraId="0117497F" w14:textId="77777777" w:rsidR="009B6602" w:rsidRPr="00A472FC" w:rsidRDefault="009B6602" w:rsidP="009B6602">
      <w:pPr>
        <w:ind w:right="-52"/>
        <w:rPr>
          <w:rFonts w:ascii="Times New Roman" w:hAnsi="Times New Roman" w:cs="Times New Roman"/>
        </w:rPr>
      </w:pPr>
    </w:p>
    <w:p w14:paraId="756B2CC1" w14:textId="37A1D359" w:rsidR="009B6602" w:rsidRPr="00A472FC" w:rsidRDefault="009B6602" w:rsidP="009B6602">
      <w:pPr>
        <w:ind w:right="-52" w:firstLine="720"/>
        <w:rPr>
          <w:rFonts w:ascii="Times New Roman" w:hAnsi="Times New Roman" w:cs="Times New Roman"/>
        </w:rPr>
      </w:pPr>
      <w:r w:rsidRPr="00A472FC">
        <w:rPr>
          <w:rFonts w:ascii="Times New Roman" w:hAnsi="Times New Roman" w:cs="Times New Roman"/>
        </w:rPr>
        <w:t xml:space="preserve">A final distinction the Summa draws between the rational soul and angels concerns their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theologicum</w:t>
      </w:r>
      <w:proofErr w:type="spellEnd"/>
      <w:r w:rsidRPr="00A472FC">
        <w:rPr>
          <w:rFonts w:ascii="Times New Roman" w:hAnsi="Times New Roman" w:cs="Times New Roman"/>
          <w:i/>
        </w:rPr>
        <w:t xml:space="preserve">, </w:t>
      </w:r>
      <w:r w:rsidRPr="00A472FC">
        <w:rPr>
          <w:rFonts w:ascii="Times New Roman" w:hAnsi="Times New Roman" w:cs="Times New Roman"/>
          <w:iCs/>
        </w:rPr>
        <w:t xml:space="preserve">which the Summa refers to in other contexts as </w:t>
      </w:r>
      <w:proofErr w:type="spellStart"/>
      <w:r w:rsidRPr="00A472FC">
        <w:rPr>
          <w:rFonts w:ascii="Times New Roman" w:hAnsi="Times New Roman" w:cs="Times New Roman"/>
          <w:i/>
        </w:rPr>
        <w:t>esse</w:t>
      </w:r>
      <w:proofErr w:type="spellEnd"/>
      <w:r w:rsidRPr="00A472FC">
        <w:rPr>
          <w:rFonts w:ascii="Times New Roman" w:hAnsi="Times New Roman" w:cs="Times New Roman"/>
          <w:i/>
        </w:rPr>
        <w:t xml:space="preserve"> morale</w:t>
      </w:r>
      <w:r w:rsidRPr="00A472FC">
        <w:rPr>
          <w:rFonts w:ascii="Times New Roman" w:hAnsi="Times New Roman" w:cs="Times New Roman"/>
          <w:iCs/>
        </w:rPr>
        <w:t>.</w:t>
      </w:r>
      <w:r w:rsidRPr="00A472FC">
        <w:rPr>
          <w:rStyle w:val="FootnoteReference"/>
          <w:rFonts w:ascii="Times New Roman" w:hAnsi="Times New Roman" w:cs="Times New Roman"/>
          <w:iCs/>
        </w:rPr>
        <w:footnoteReference w:id="1258"/>
      </w:r>
      <w:r w:rsidRPr="00A472FC">
        <w:rPr>
          <w:rFonts w:ascii="Times New Roman" w:hAnsi="Times New Roman" w:cs="Times New Roman"/>
          <w:iCs/>
        </w:rPr>
        <w:t xml:space="preserve"> This </w:t>
      </w:r>
      <w:r w:rsidRPr="00A472FC">
        <w:rPr>
          <w:rFonts w:ascii="Times New Roman" w:hAnsi="Times New Roman" w:cs="Times New Roman"/>
        </w:rPr>
        <w:t xml:space="preserve">distinguishes between beings that are changeable mutably </w:t>
      </w:r>
      <w:r w:rsidR="00893123" w:rsidRPr="00A472FC">
        <w:rPr>
          <w:rFonts w:ascii="Times New Roman" w:hAnsi="Times New Roman" w:cs="Times New Roman"/>
        </w:rPr>
        <w:t xml:space="preserve">or non-permanently </w:t>
      </w:r>
      <w:r w:rsidRPr="00A472FC">
        <w:rPr>
          <w:rFonts w:ascii="Times New Roman" w:hAnsi="Times New Roman" w:cs="Times New Roman"/>
        </w:rPr>
        <w:t>versus immutably</w:t>
      </w:r>
      <w:r w:rsidR="00893123" w:rsidRPr="00A472FC">
        <w:rPr>
          <w:rFonts w:ascii="Times New Roman" w:hAnsi="Times New Roman" w:cs="Times New Roman"/>
        </w:rPr>
        <w:t xml:space="preserve"> or permanently</w:t>
      </w:r>
      <w:r w:rsidRPr="00A472FC">
        <w:rPr>
          <w:rFonts w:ascii="Times New Roman" w:hAnsi="Times New Roman" w:cs="Times New Roman"/>
        </w:rPr>
        <w:t>.</w:t>
      </w:r>
      <w:r w:rsidRPr="00A472FC">
        <w:rPr>
          <w:rStyle w:val="FootnoteReference"/>
          <w:rFonts w:ascii="Times New Roman" w:hAnsi="Times New Roman" w:cs="Times New Roman"/>
        </w:rPr>
        <w:footnoteReference w:id="1259"/>
      </w:r>
      <w:r w:rsidRPr="00A472FC">
        <w:rPr>
          <w:rFonts w:ascii="Times New Roman" w:hAnsi="Times New Roman" w:cs="Times New Roman"/>
        </w:rPr>
        <w:t xml:space="preserve"> </w:t>
      </w:r>
      <w:r w:rsidR="00893123" w:rsidRPr="00A472FC">
        <w:rPr>
          <w:rFonts w:ascii="Times New Roman" w:hAnsi="Times New Roman" w:cs="Times New Roman"/>
        </w:rPr>
        <w:t xml:space="preserve">Unlike God whose freedom entails that he does not alternate between good and evil but remains fast in the good, </w:t>
      </w:r>
      <w:r w:rsidRPr="00A472FC">
        <w:rPr>
          <w:rFonts w:ascii="Times New Roman" w:hAnsi="Times New Roman" w:cs="Times New Roman"/>
        </w:rPr>
        <w:t xml:space="preserve">angels and human beings are free </w:t>
      </w:r>
      <w:r w:rsidR="00627BC3" w:rsidRPr="00A472FC">
        <w:rPr>
          <w:rFonts w:ascii="Times New Roman" w:hAnsi="Times New Roman" w:cs="Times New Roman"/>
        </w:rPr>
        <w:t xml:space="preserve">in the sense that they are </w:t>
      </w:r>
      <w:r w:rsidRPr="00A472FC">
        <w:rPr>
          <w:rFonts w:ascii="Times New Roman" w:hAnsi="Times New Roman" w:cs="Times New Roman"/>
        </w:rPr>
        <w:t xml:space="preserve">changeable or able to alternate between good and evil options. </w:t>
      </w:r>
      <w:r w:rsidR="000E56C0" w:rsidRPr="00A472FC">
        <w:rPr>
          <w:rFonts w:ascii="Times New Roman" w:hAnsi="Times New Roman" w:cs="Times New Roman"/>
        </w:rPr>
        <w:t xml:space="preserve">This is because they are both </w:t>
      </w:r>
      <w:r w:rsidR="003C6B87" w:rsidRPr="00A472FC">
        <w:rPr>
          <w:rFonts w:ascii="Times New Roman" w:hAnsi="Times New Roman" w:cs="Times New Roman"/>
        </w:rPr>
        <w:t>beings</w:t>
      </w:r>
      <w:r w:rsidR="000E56C0" w:rsidRPr="00A472FC">
        <w:rPr>
          <w:rFonts w:ascii="Times New Roman" w:hAnsi="Times New Roman" w:cs="Times New Roman"/>
        </w:rPr>
        <w:t xml:space="preserve"> which are created from nothing. </w:t>
      </w:r>
      <w:r w:rsidRPr="00A472FC">
        <w:rPr>
          <w:rFonts w:ascii="Times New Roman" w:hAnsi="Times New Roman" w:cs="Times New Roman"/>
        </w:rPr>
        <w:t xml:space="preserve">However, they differ in that the angelic will, once it has turned in a certain direction, remains determined in its decision for </w:t>
      </w:r>
      <w:r w:rsidRPr="00A472FC">
        <w:rPr>
          <w:rFonts w:ascii="Times New Roman" w:hAnsi="Times New Roman" w:cs="Times New Roman"/>
        </w:rPr>
        <w:lastRenderedPageBreak/>
        <w:t>eternity.</w:t>
      </w:r>
      <w:r w:rsidRPr="00A472FC">
        <w:rPr>
          <w:rStyle w:val="FootnoteReference"/>
          <w:rFonts w:ascii="Times New Roman" w:hAnsi="Times New Roman" w:cs="Times New Roman"/>
        </w:rPr>
        <w:footnoteReference w:id="1260"/>
      </w:r>
      <w:r w:rsidRPr="00A472FC">
        <w:rPr>
          <w:rFonts w:ascii="Times New Roman" w:hAnsi="Times New Roman" w:cs="Times New Roman"/>
        </w:rPr>
        <w:t xml:space="preserve"> Thus the angel that chooses initially to serve the good remains good forever, and the angel that chooses at its origins to follow evil remains evil forever</w:t>
      </w:r>
      <w:r w:rsidR="003C6B87" w:rsidRPr="00A472FC">
        <w:rPr>
          <w:rFonts w:ascii="Times New Roman" w:hAnsi="Times New Roman" w:cs="Times New Roman"/>
        </w:rPr>
        <w:t>—a demon</w:t>
      </w:r>
      <w:r w:rsidRPr="00A472FC">
        <w:rPr>
          <w:rFonts w:ascii="Times New Roman" w:hAnsi="Times New Roman" w:cs="Times New Roman"/>
        </w:rPr>
        <w:t>. By contrast, the rational soul remains perpetually capable of alternating between good and evil, even if it has shown a preference for one or the other in the past. On this basis, the Summa posits that freedom can be described as highest in the good angels, less in humans, even less in evil humans, and not at all existing in demons.</w:t>
      </w:r>
      <w:r w:rsidRPr="00A472FC">
        <w:rPr>
          <w:rStyle w:val="FootnoteReference"/>
          <w:rFonts w:ascii="Times New Roman" w:hAnsi="Times New Roman" w:cs="Times New Roman"/>
        </w:rPr>
        <w:footnoteReference w:id="1261"/>
      </w:r>
      <w:r w:rsidRPr="00A472FC">
        <w:rPr>
          <w:rFonts w:ascii="Times New Roman" w:hAnsi="Times New Roman" w:cs="Times New Roman"/>
        </w:rPr>
        <w:t xml:space="preserve"> </w:t>
      </w:r>
    </w:p>
    <w:p w14:paraId="2BA0DAFB" w14:textId="77777777" w:rsidR="009B6602" w:rsidRPr="00A472FC" w:rsidRDefault="009B6602" w:rsidP="009B6602">
      <w:pPr>
        <w:ind w:right="-52" w:firstLine="720"/>
        <w:rPr>
          <w:rFonts w:ascii="Times New Roman" w:hAnsi="Times New Roman" w:cs="Times New Roman"/>
        </w:rPr>
      </w:pPr>
    </w:p>
    <w:p w14:paraId="54FD9FBB" w14:textId="77777777" w:rsidR="009B6602" w:rsidRPr="00A472FC" w:rsidRDefault="009B6602" w:rsidP="009B6602">
      <w:pPr>
        <w:ind w:right="-52"/>
        <w:rPr>
          <w:rFonts w:ascii="Times New Roman" w:hAnsi="Times New Roman" w:cs="Times New Roman"/>
          <w:u w:val="single"/>
        </w:rPr>
      </w:pPr>
      <w:r w:rsidRPr="00A472FC">
        <w:rPr>
          <w:rFonts w:ascii="Times New Roman" w:hAnsi="Times New Roman" w:cs="Times New Roman"/>
          <w:u w:val="single"/>
        </w:rPr>
        <w:t>Conclusion</w:t>
      </w:r>
    </w:p>
    <w:p w14:paraId="20E5ACE4" w14:textId="77777777" w:rsidR="009B6602" w:rsidRPr="00A472FC" w:rsidRDefault="009B6602" w:rsidP="009B6602">
      <w:pPr>
        <w:ind w:right="-52"/>
        <w:rPr>
          <w:rFonts w:ascii="Times New Roman" w:hAnsi="Times New Roman" w:cs="Times New Roman"/>
        </w:rPr>
      </w:pPr>
    </w:p>
    <w:p w14:paraId="26266625" w14:textId="6ACC7D57" w:rsidR="009B6602" w:rsidRPr="00A472FC" w:rsidRDefault="009B6602" w:rsidP="009B6602">
      <w:pPr>
        <w:ind w:right="-52" w:firstLine="720"/>
        <w:rPr>
          <w:rFonts w:ascii="Times New Roman" w:hAnsi="Times New Roman" w:cs="Times New Roman"/>
        </w:rPr>
      </w:pPr>
      <w:r w:rsidRPr="00A472FC">
        <w:rPr>
          <w:rFonts w:ascii="Times New Roman" w:hAnsi="Times New Roman" w:cs="Times New Roman"/>
        </w:rPr>
        <w:t>In light of the analysis above, we can discern both the similarities and differences the Summa envisages between angels and human beings, whose nature has been the subject of previous chapters in this book. The fundamental difference is between beings that are or are not essentially united to a body, that is, beings which are spiritual and corporeal or spiritual only. Despite this difference, angels share with the human soul the quality of being composed of form and spiritual matter, which renders them individuals. This distinguishes both humans and angels from God and thus entails that the powers of both beings are not identical with their essence and that the</w:t>
      </w:r>
      <w:r w:rsidR="004D12DC" w:rsidRPr="00A472FC">
        <w:rPr>
          <w:rFonts w:ascii="Times New Roman" w:hAnsi="Times New Roman" w:cs="Times New Roman"/>
        </w:rPr>
        <w:t>se</w:t>
      </w:r>
      <w:r w:rsidRPr="00A472FC">
        <w:rPr>
          <w:rFonts w:ascii="Times New Roman" w:hAnsi="Times New Roman" w:cs="Times New Roman"/>
        </w:rPr>
        <w:t xml:space="preserve"> powers are multiple where God’s are indivisible. As noted above, both angels and humans achieve knowledge of reality through an act of composition. </w:t>
      </w:r>
    </w:p>
    <w:p w14:paraId="2A295F93" w14:textId="46E20334" w:rsidR="009B6602" w:rsidRPr="00A472FC" w:rsidRDefault="009B6602" w:rsidP="009B6602">
      <w:pPr>
        <w:ind w:right="-52" w:firstLine="720"/>
        <w:rPr>
          <w:rFonts w:ascii="Times New Roman" w:hAnsi="Times New Roman" w:cs="Times New Roman"/>
        </w:rPr>
        <w:sectPr w:rsidR="009B6602" w:rsidRPr="00A472FC" w:rsidSect="009B6602">
          <w:footerReference w:type="even" r:id="rId89"/>
          <w:footerReference w:type="default" r:id="rId90"/>
          <w:footnotePr>
            <w:numRestart w:val="eachSect"/>
          </w:footnotePr>
          <w:endnotePr>
            <w:numFmt w:val="decimal"/>
          </w:endnotePr>
          <w:type w:val="continuous"/>
          <w:pgSz w:w="11900" w:h="16840"/>
          <w:pgMar w:top="1440" w:right="1440" w:bottom="1440" w:left="1440" w:header="720" w:footer="720" w:gutter="0"/>
          <w:cols w:space="720"/>
          <w:docGrid w:linePitch="360"/>
        </w:sectPr>
      </w:pPr>
      <w:r w:rsidRPr="00A472FC">
        <w:rPr>
          <w:rFonts w:ascii="Times New Roman" w:hAnsi="Times New Roman" w:cs="Times New Roman"/>
        </w:rPr>
        <w:t xml:space="preserve">For humans, this involves abstracting a universal from sense knowledge with the help of illumined principles of knowledge, whereas for angels, it simply involves combining the right forms to construct the right object, without reference to the senses. The nature of free will in angels and humans is also similar, with the exception that angelic decisions are permanent in their effects whereas humans can alternate between good and evil over the whole course of their lives. This and the other differences </w:t>
      </w:r>
      <w:r w:rsidR="00EA2B15" w:rsidRPr="00A472FC">
        <w:rPr>
          <w:rFonts w:ascii="Times New Roman" w:hAnsi="Times New Roman" w:cs="Times New Roman"/>
        </w:rPr>
        <w:t>fundamentally</w:t>
      </w:r>
      <w:r w:rsidRPr="00A472FC">
        <w:rPr>
          <w:rFonts w:ascii="Times New Roman" w:hAnsi="Times New Roman" w:cs="Times New Roman"/>
        </w:rPr>
        <w:t xml:space="preserve"> arise from the fact that angels are not corporeal but spiritual in their nature and are as such not subject to change in the way of humans. Nevertheless, the study of the angelic nature and operations goes a long way, as Perler rightly notes, to shedding light on the way in which human operations might function without the limitations of the body.</w:t>
      </w:r>
    </w:p>
    <w:p w14:paraId="3086B654" w14:textId="77777777" w:rsidR="009B6602" w:rsidRPr="00A472FC" w:rsidRDefault="009B6602" w:rsidP="00881604">
      <w:pPr>
        <w:ind w:right="-52"/>
        <w:rPr>
          <w:rFonts w:ascii="Times New Roman" w:hAnsi="Times New Roman" w:cs="Times New Roman"/>
          <w:b/>
        </w:rPr>
      </w:pPr>
    </w:p>
    <w:p w14:paraId="0EBCB188" w14:textId="77777777" w:rsidR="009B6602" w:rsidRPr="00A472FC" w:rsidRDefault="009B6602">
      <w:pPr>
        <w:rPr>
          <w:rFonts w:ascii="Times New Roman" w:hAnsi="Times New Roman" w:cs="Times New Roman"/>
          <w:b/>
        </w:rPr>
      </w:pPr>
      <w:r w:rsidRPr="00A472FC">
        <w:rPr>
          <w:rFonts w:ascii="Times New Roman" w:hAnsi="Times New Roman" w:cs="Times New Roman"/>
          <w:b/>
        </w:rPr>
        <w:br w:type="page"/>
      </w:r>
    </w:p>
    <w:p w14:paraId="649D32FD" w14:textId="1A02DA2E" w:rsidR="00665333" w:rsidRPr="00A472FC" w:rsidRDefault="00665333" w:rsidP="00881604">
      <w:pPr>
        <w:ind w:right="-52"/>
        <w:rPr>
          <w:rFonts w:ascii="Times New Roman" w:hAnsi="Times New Roman" w:cs="Times New Roman"/>
          <w:b/>
        </w:rPr>
      </w:pPr>
      <w:r w:rsidRPr="00A472FC">
        <w:rPr>
          <w:rFonts w:ascii="Times New Roman" w:hAnsi="Times New Roman" w:cs="Times New Roman"/>
          <w:b/>
        </w:rPr>
        <w:lastRenderedPageBreak/>
        <w:t>Conclusion</w:t>
      </w:r>
    </w:p>
    <w:p w14:paraId="7DBA0619" w14:textId="77777777" w:rsidR="00665333" w:rsidRPr="00A472FC" w:rsidRDefault="00665333" w:rsidP="00881604">
      <w:pPr>
        <w:ind w:right="-52" w:firstLine="720"/>
        <w:rPr>
          <w:rFonts w:ascii="Times New Roman" w:hAnsi="Times New Roman" w:cs="Times New Roman"/>
        </w:rPr>
      </w:pPr>
    </w:p>
    <w:p w14:paraId="0DD08706" w14:textId="77777777" w:rsidR="000B221F" w:rsidRPr="00A472FC" w:rsidRDefault="00665333" w:rsidP="00F04920">
      <w:pPr>
        <w:ind w:right="-52" w:firstLine="720"/>
        <w:rPr>
          <w:rFonts w:ascii="Times New Roman" w:hAnsi="Times New Roman" w:cs="Times New Roman"/>
        </w:rPr>
      </w:pPr>
      <w:r w:rsidRPr="00A472FC">
        <w:rPr>
          <w:rFonts w:ascii="Times New Roman" w:hAnsi="Times New Roman" w:cs="Times New Roman"/>
        </w:rPr>
        <w:t xml:space="preserve">In an important article </w:t>
      </w:r>
      <w:r w:rsidR="00F11E09" w:rsidRPr="00A472FC">
        <w:rPr>
          <w:rFonts w:ascii="Times New Roman" w:hAnsi="Times New Roman" w:cs="Times New Roman"/>
        </w:rPr>
        <w:t>concerning</w:t>
      </w:r>
      <w:r w:rsidRPr="00A472FC">
        <w:rPr>
          <w:rFonts w:ascii="Times New Roman" w:hAnsi="Times New Roman" w:cs="Times New Roman"/>
        </w:rPr>
        <w:t xml:space="preserve"> </w:t>
      </w:r>
      <w:proofErr w:type="spellStart"/>
      <w:r w:rsidRPr="00A472FC">
        <w:rPr>
          <w:rFonts w:ascii="Times New Roman" w:hAnsi="Times New Roman" w:cs="Times New Roman"/>
        </w:rPr>
        <w:t>Avicebron’s</w:t>
      </w:r>
      <w:proofErr w:type="spellEnd"/>
      <w:r w:rsidRPr="00A472FC">
        <w:rPr>
          <w:rFonts w:ascii="Times New Roman" w:hAnsi="Times New Roman" w:cs="Times New Roman"/>
        </w:rPr>
        <w:t xml:space="preserve"> influence on the medieval doctrine of universal hylomorphism</w:t>
      </w:r>
      <w:r w:rsidR="004A034B" w:rsidRPr="00A472FC">
        <w:rPr>
          <w:rFonts w:ascii="Times New Roman" w:hAnsi="Times New Roman" w:cs="Times New Roman"/>
        </w:rPr>
        <w:t>,</w:t>
      </w:r>
      <w:r w:rsidRPr="00A472FC">
        <w:rPr>
          <w:rFonts w:ascii="Times New Roman" w:hAnsi="Times New Roman" w:cs="Times New Roman"/>
        </w:rPr>
        <w:t xml:space="preserve"> James A. </w:t>
      </w:r>
      <w:proofErr w:type="spellStart"/>
      <w:r w:rsidRPr="00A472FC">
        <w:rPr>
          <w:rFonts w:ascii="Times New Roman" w:hAnsi="Times New Roman" w:cs="Times New Roman"/>
        </w:rPr>
        <w:t>Weisheipl</w:t>
      </w:r>
      <w:proofErr w:type="spellEnd"/>
      <w:r w:rsidRPr="00A472FC">
        <w:rPr>
          <w:rFonts w:ascii="Times New Roman" w:hAnsi="Times New Roman" w:cs="Times New Roman"/>
        </w:rPr>
        <w:t xml:space="preserve"> notes that</w:t>
      </w:r>
      <w:r w:rsidR="004568AB" w:rsidRPr="00A472FC">
        <w:rPr>
          <w:rFonts w:ascii="Times New Roman" w:hAnsi="Times New Roman" w:cs="Times New Roman"/>
        </w:rPr>
        <w:t>,</w:t>
      </w:r>
      <w:r w:rsidRPr="00A472FC">
        <w:rPr>
          <w:rFonts w:ascii="Times New Roman" w:hAnsi="Times New Roman" w:cs="Times New Roman"/>
        </w:rPr>
        <w:t xml:space="preserve"> following the Oxford and Paris condemnations of 1277,</w:t>
      </w:r>
      <w:r w:rsidR="00B70F19" w:rsidRPr="00A472FC">
        <w:rPr>
          <w:rFonts w:ascii="Times New Roman" w:hAnsi="Times New Roman" w:cs="Times New Roman"/>
        </w:rPr>
        <w:t xml:space="preserve"> which was d</w:t>
      </w:r>
      <w:r w:rsidRPr="00A472FC">
        <w:rPr>
          <w:rFonts w:ascii="Times New Roman" w:hAnsi="Times New Roman" w:cs="Times New Roman"/>
        </w:rPr>
        <w:t xml:space="preserve">irected at radical </w:t>
      </w:r>
      <w:proofErr w:type="spellStart"/>
      <w:r w:rsidRPr="00A472FC">
        <w:rPr>
          <w:rFonts w:ascii="Times New Roman" w:hAnsi="Times New Roman" w:cs="Times New Roman"/>
        </w:rPr>
        <w:t>Averroist</w:t>
      </w:r>
      <w:proofErr w:type="spellEnd"/>
      <w:r w:rsidRPr="00A472FC">
        <w:rPr>
          <w:rFonts w:ascii="Times New Roman" w:hAnsi="Times New Roman" w:cs="Times New Roman"/>
        </w:rPr>
        <w:t xml:space="preserve"> Aristotelians, John </w:t>
      </w:r>
      <w:proofErr w:type="spellStart"/>
      <w:r w:rsidRPr="00A472FC">
        <w:rPr>
          <w:rFonts w:ascii="Times New Roman" w:hAnsi="Times New Roman" w:cs="Times New Roman"/>
        </w:rPr>
        <w:t>Pecham</w:t>
      </w:r>
      <w:proofErr w:type="spellEnd"/>
      <w:r w:rsidRPr="00A472FC">
        <w:rPr>
          <w:rFonts w:ascii="Times New Roman" w:hAnsi="Times New Roman" w:cs="Times New Roman"/>
        </w:rPr>
        <w:t>, Franciscan Archbishop of Canterbury ‘wrote in 1285 that the authority of Saint Augustine and traditional, orthodox Christianity had been challenged by irreverent innovations in language introduced within the last twenty years into the depths of theology against philosophical truth.’</w:t>
      </w:r>
      <w:r w:rsidRPr="00A472FC">
        <w:rPr>
          <w:rStyle w:val="FootnoteReference"/>
          <w:rFonts w:ascii="Times New Roman" w:hAnsi="Times New Roman" w:cs="Times New Roman"/>
        </w:rPr>
        <w:footnoteReference w:id="1262"/>
      </w:r>
      <w:r w:rsidR="00F04920" w:rsidRPr="00A472FC">
        <w:rPr>
          <w:rFonts w:ascii="Times New Roman" w:hAnsi="Times New Roman" w:cs="Times New Roman"/>
        </w:rPr>
        <w:t xml:space="preserve"> </w:t>
      </w:r>
      <w:r w:rsidR="006B2FC7" w:rsidRPr="00A472FC">
        <w:rPr>
          <w:rFonts w:ascii="Times New Roman" w:hAnsi="Times New Roman" w:cs="Times New Roman"/>
        </w:rPr>
        <w:t>In speaking of</w:t>
      </w:r>
      <w:r w:rsidRPr="00A472FC">
        <w:rPr>
          <w:rFonts w:ascii="Times New Roman" w:hAnsi="Times New Roman" w:cs="Times New Roman"/>
        </w:rPr>
        <w:t xml:space="preserve"> these ‘innovations’, </w:t>
      </w:r>
      <w:proofErr w:type="spellStart"/>
      <w:r w:rsidRPr="00A472FC">
        <w:rPr>
          <w:rFonts w:ascii="Times New Roman" w:hAnsi="Times New Roman" w:cs="Times New Roman"/>
        </w:rPr>
        <w:t>Pecham</w:t>
      </w:r>
      <w:proofErr w:type="spellEnd"/>
      <w:r w:rsidRPr="00A472FC">
        <w:rPr>
          <w:rFonts w:ascii="Times New Roman" w:hAnsi="Times New Roman" w:cs="Times New Roman"/>
        </w:rPr>
        <w:t xml:space="preserve"> almost certainly </w:t>
      </w:r>
      <w:r w:rsidR="00ED6313" w:rsidRPr="00A472FC">
        <w:rPr>
          <w:rFonts w:ascii="Times New Roman" w:hAnsi="Times New Roman" w:cs="Times New Roman"/>
        </w:rPr>
        <w:t xml:space="preserve">implicated </w:t>
      </w:r>
      <w:r w:rsidRPr="00A472FC">
        <w:rPr>
          <w:rFonts w:ascii="Times New Roman" w:hAnsi="Times New Roman" w:cs="Times New Roman"/>
        </w:rPr>
        <w:t xml:space="preserve">the works of Dominicans Albert the Great and Thomas Aquinas who had </w:t>
      </w:r>
      <w:r w:rsidR="00E4629C" w:rsidRPr="00A472FC">
        <w:rPr>
          <w:rFonts w:ascii="Times New Roman" w:hAnsi="Times New Roman" w:cs="Times New Roman"/>
        </w:rPr>
        <w:t xml:space="preserve">recently </w:t>
      </w:r>
      <w:r w:rsidRPr="00A472FC">
        <w:rPr>
          <w:rFonts w:ascii="Times New Roman" w:hAnsi="Times New Roman" w:cs="Times New Roman"/>
        </w:rPr>
        <w:t xml:space="preserve">sought to recover Aristotle on his own terms. </w:t>
      </w:r>
    </w:p>
    <w:p w14:paraId="253A3EC2" w14:textId="77777777" w:rsidR="00F05CB1" w:rsidRPr="00A472FC" w:rsidRDefault="00665333" w:rsidP="00EA67DD">
      <w:pPr>
        <w:ind w:right="-52" w:firstLine="720"/>
        <w:rPr>
          <w:rFonts w:ascii="Times New Roman" w:hAnsi="Times New Roman" w:cs="Times New Roman"/>
        </w:rPr>
      </w:pPr>
      <w:r w:rsidRPr="00A472FC">
        <w:rPr>
          <w:rFonts w:ascii="Times New Roman" w:hAnsi="Times New Roman" w:cs="Times New Roman"/>
        </w:rPr>
        <w:t xml:space="preserve">By contrast, John </w:t>
      </w:r>
      <w:proofErr w:type="spellStart"/>
      <w:r w:rsidRPr="00A472FC">
        <w:rPr>
          <w:rFonts w:ascii="Times New Roman" w:hAnsi="Times New Roman" w:cs="Times New Roman"/>
        </w:rPr>
        <w:t>Pecham</w:t>
      </w:r>
      <w:proofErr w:type="spellEnd"/>
      <w:r w:rsidRPr="00A472FC">
        <w:rPr>
          <w:rFonts w:ascii="Times New Roman" w:hAnsi="Times New Roman" w:cs="Times New Roman"/>
        </w:rPr>
        <w:t xml:space="preserve"> states that the doctrines of Augustine had been upheld by the sons of St Francis, namely, Alexander of Hales, Bonaventure, and others like them. These doctrines, as </w:t>
      </w:r>
      <w:proofErr w:type="spellStart"/>
      <w:r w:rsidRPr="00A472FC">
        <w:rPr>
          <w:rFonts w:ascii="Times New Roman" w:hAnsi="Times New Roman" w:cs="Times New Roman"/>
        </w:rPr>
        <w:t>Weisheipl</w:t>
      </w:r>
      <w:proofErr w:type="spellEnd"/>
      <w:r w:rsidRPr="00A472FC">
        <w:rPr>
          <w:rFonts w:ascii="Times New Roman" w:hAnsi="Times New Roman" w:cs="Times New Roman"/>
        </w:rPr>
        <w:t xml:space="preserve"> enumerates them, included</w:t>
      </w:r>
      <w:r w:rsidR="003A56BA" w:rsidRPr="00A472FC">
        <w:rPr>
          <w:rFonts w:ascii="Times New Roman" w:hAnsi="Times New Roman" w:cs="Times New Roman"/>
        </w:rPr>
        <w:t>:</w:t>
      </w:r>
      <w:r w:rsidRPr="00A472FC">
        <w:rPr>
          <w:rFonts w:ascii="Times New Roman" w:hAnsi="Times New Roman" w:cs="Times New Roman"/>
        </w:rPr>
        <w:t xml:space="preserve"> 1. voluntarism; 2. universal hylomorphism; 3. a plurality of forms in every creature; 4. an </w:t>
      </w:r>
      <w:proofErr w:type="spellStart"/>
      <w:r w:rsidRPr="00A472FC">
        <w:rPr>
          <w:rFonts w:ascii="Times New Roman" w:hAnsi="Times New Roman" w:cs="Times New Roman"/>
        </w:rPr>
        <w:t>Avicennian</w:t>
      </w:r>
      <w:proofErr w:type="spellEnd"/>
      <w:r w:rsidRPr="00A472FC">
        <w:rPr>
          <w:rFonts w:ascii="Times New Roman" w:hAnsi="Times New Roman" w:cs="Times New Roman"/>
        </w:rPr>
        <w:t xml:space="preserve"> interpretation of knowledge and divine illumination; and 5. the identity of the soul with its powers.</w:t>
      </w:r>
      <w:r w:rsidRPr="00A472FC">
        <w:rPr>
          <w:rStyle w:val="FootnoteReference"/>
          <w:rFonts w:ascii="Times New Roman" w:hAnsi="Times New Roman" w:cs="Times New Roman"/>
        </w:rPr>
        <w:footnoteReference w:id="1263"/>
      </w:r>
      <w:r w:rsidRPr="00A472FC">
        <w:rPr>
          <w:rFonts w:ascii="Times New Roman" w:hAnsi="Times New Roman" w:cs="Times New Roman"/>
        </w:rPr>
        <w:t xml:space="preserve"> Although </w:t>
      </w:r>
      <w:proofErr w:type="spellStart"/>
      <w:r w:rsidRPr="00A472FC">
        <w:rPr>
          <w:rFonts w:ascii="Times New Roman" w:hAnsi="Times New Roman" w:cs="Times New Roman"/>
        </w:rPr>
        <w:t>Pecham</w:t>
      </w:r>
      <w:proofErr w:type="spellEnd"/>
      <w:r w:rsidRPr="00A472FC">
        <w:rPr>
          <w:rFonts w:ascii="Times New Roman" w:hAnsi="Times New Roman" w:cs="Times New Roman"/>
        </w:rPr>
        <w:t xml:space="preserve"> presented </w:t>
      </w:r>
      <w:r w:rsidR="00010820" w:rsidRPr="00A472FC">
        <w:rPr>
          <w:rFonts w:ascii="Times New Roman" w:hAnsi="Times New Roman" w:cs="Times New Roman"/>
        </w:rPr>
        <w:t>such</w:t>
      </w:r>
      <w:r w:rsidRPr="00A472FC">
        <w:rPr>
          <w:rFonts w:ascii="Times New Roman" w:hAnsi="Times New Roman" w:cs="Times New Roman"/>
        </w:rPr>
        <w:t xml:space="preserve"> doctrines as authentic to Augustine, </w:t>
      </w:r>
      <w:proofErr w:type="spellStart"/>
      <w:r w:rsidRPr="00A472FC">
        <w:rPr>
          <w:rFonts w:ascii="Times New Roman" w:hAnsi="Times New Roman" w:cs="Times New Roman"/>
        </w:rPr>
        <w:t>We</w:t>
      </w:r>
      <w:r w:rsidR="0057349D" w:rsidRPr="00A472FC">
        <w:rPr>
          <w:rFonts w:ascii="Times New Roman" w:hAnsi="Times New Roman" w:cs="Times New Roman"/>
        </w:rPr>
        <w:t>i</w:t>
      </w:r>
      <w:r w:rsidRPr="00A472FC">
        <w:rPr>
          <w:rFonts w:ascii="Times New Roman" w:hAnsi="Times New Roman" w:cs="Times New Roman"/>
        </w:rPr>
        <w:t>shepl</w:t>
      </w:r>
      <w:proofErr w:type="spellEnd"/>
      <w:r w:rsidRPr="00A472FC">
        <w:rPr>
          <w:rFonts w:ascii="Times New Roman" w:hAnsi="Times New Roman" w:cs="Times New Roman"/>
        </w:rPr>
        <w:t xml:space="preserve"> rightly notes that </w:t>
      </w:r>
      <w:proofErr w:type="spellStart"/>
      <w:r w:rsidRPr="00A472FC">
        <w:rPr>
          <w:rFonts w:ascii="Times New Roman" w:hAnsi="Times New Roman" w:cs="Times New Roman"/>
        </w:rPr>
        <w:t>Pecham’s</w:t>
      </w:r>
      <w:proofErr w:type="spellEnd"/>
      <w:r w:rsidRPr="00A472FC">
        <w:rPr>
          <w:rFonts w:ascii="Times New Roman" w:hAnsi="Times New Roman" w:cs="Times New Roman"/>
        </w:rPr>
        <w:t xml:space="preserve"> own writings</w:t>
      </w:r>
      <w:r w:rsidR="001F6C4A" w:rsidRPr="00A472FC">
        <w:rPr>
          <w:rFonts w:ascii="Times New Roman" w:hAnsi="Times New Roman" w:cs="Times New Roman"/>
        </w:rPr>
        <w:t xml:space="preserve"> make abundantly clear </w:t>
      </w:r>
      <w:r w:rsidRPr="00A472FC">
        <w:rPr>
          <w:rFonts w:ascii="Times New Roman" w:hAnsi="Times New Roman" w:cs="Times New Roman"/>
        </w:rPr>
        <w:t xml:space="preserve">that his personal understanding of these issues comes from sources far removed from Augustine. </w:t>
      </w:r>
      <w:r w:rsidR="00A00226" w:rsidRPr="00A472FC">
        <w:rPr>
          <w:rFonts w:ascii="Times New Roman" w:hAnsi="Times New Roman" w:cs="Times New Roman"/>
        </w:rPr>
        <w:t>As a matter of fact,</w:t>
      </w:r>
      <w:r w:rsidR="00BA5BE6" w:rsidRPr="00A472FC">
        <w:rPr>
          <w:rFonts w:ascii="Times New Roman" w:hAnsi="Times New Roman" w:cs="Times New Roman"/>
        </w:rPr>
        <w:t xml:space="preserve"> the</w:t>
      </w:r>
      <w:r w:rsidRPr="00A472FC">
        <w:rPr>
          <w:rFonts w:ascii="Times New Roman" w:hAnsi="Times New Roman" w:cs="Times New Roman"/>
        </w:rPr>
        <w:t xml:space="preserve"> ‘Augustinian’ tradition he claims that his views represent was effectively the invention of Franciscans like Alexander of Hales and John of La Rochelle who worked in the 1220s</w:t>
      </w:r>
      <w:r w:rsidR="00AF0FA0" w:rsidRPr="00A472FC">
        <w:rPr>
          <w:rFonts w:ascii="Times New Roman" w:hAnsi="Times New Roman" w:cs="Times New Roman"/>
        </w:rPr>
        <w:softHyphen/>
      </w:r>
      <w:r w:rsidR="009C6CAD" w:rsidRPr="00A472FC">
        <w:rPr>
          <w:rFonts w:ascii="Times New Roman" w:hAnsi="Times New Roman" w:cs="Times New Roman"/>
        </w:rPr>
        <w:t>-</w:t>
      </w:r>
      <w:r w:rsidRPr="00A472FC">
        <w:rPr>
          <w:rFonts w:ascii="Times New Roman" w:hAnsi="Times New Roman" w:cs="Times New Roman"/>
        </w:rPr>
        <w:t xml:space="preserve">40s under the influence of philosophical works by Avicenna and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that had been translated from Arabic in the twelfth century. </w:t>
      </w:r>
    </w:p>
    <w:p w14:paraId="4E5547B4" w14:textId="1B42C477" w:rsidR="00A0180D" w:rsidRPr="00A472FC" w:rsidRDefault="00665333" w:rsidP="00F05CB1">
      <w:pPr>
        <w:ind w:right="-52" w:firstLine="720"/>
        <w:rPr>
          <w:rFonts w:ascii="Times New Roman" w:hAnsi="Times New Roman" w:cs="Times New Roman"/>
        </w:rPr>
      </w:pPr>
      <w:r w:rsidRPr="00A472FC">
        <w:rPr>
          <w:rFonts w:ascii="Times New Roman" w:hAnsi="Times New Roman" w:cs="Times New Roman"/>
        </w:rPr>
        <w:t xml:space="preserve">Far from longstanding, this tradition was barely a generation old when </w:t>
      </w:r>
      <w:proofErr w:type="spellStart"/>
      <w:r w:rsidRPr="00A472FC">
        <w:rPr>
          <w:rFonts w:ascii="Times New Roman" w:hAnsi="Times New Roman" w:cs="Times New Roman"/>
        </w:rPr>
        <w:t>Pecham</w:t>
      </w:r>
      <w:proofErr w:type="spellEnd"/>
      <w:r w:rsidRPr="00A472FC">
        <w:rPr>
          <w:rFonts w:ascii="Times New Roman" w:hAnsi="Times New Roman" w:cs="Times New Roman"/>
        </w:rPr>
        <w:t xml:space="preserve"> encountered it.</w:t>
      </w:r>
      <w:r w:rsidR="00F05CB1" w:rsidRPr="00A472FC">
        <w:rPr>
          <w:rFonts w:ascii="Times New Roman" w:hAnsi="Times New Roman" w:cs="Times New Roman"/>
        </w:rPr>
        <w:t xml:space="preserve"> </w:t>
      </w:r>
      <w:r w:rsidR="00402F7F" w:rsidRPr="00A472FC">
        <w:rPr>
          <w:rFonts w:ascii="Times New Roman" w:hAnsi="Times New Roman" w:cs="Times New Roman"/>
        </w:rPr>
        <w:t>While</w:t>
      </w:r>
      <w:r w:rsidRPr="00A472FC">
        <w:rPr>
          <w:rFonts w:ascii="Times New Roman" w:hAnsi="Times New Roman" w:cs="Times New Roman"/>
        </w:rPr>
        <w:t xml:space="preserve"> Étienne Gilson </w:t>
      </w:r>
      <w:r w:rsidR="008B0868" w:rsidRPr="00A472FC">
        <w:rPr>
          <w:rFonts w:ascii="Times New Roman" w:hAnsi="Times New Roman" w:cs="Times New Roman"/>
        </w:rPr>
        <w:t>wa</w:t>
      </w:r>
      <w:r w:rsidRPr="00A472FC">
        <w:rPr>
          <w:rFonts w:ascii="Times New Roman" w:hAnsi="Times New Roman" w:cs="Times New Roman"/>
        </w:rPr>
        <w:t xml:space="preserve">s </w:t>
      </w:r>
      <w:r w:rsidR="00402F7F" w:rsidRPr="00A472FC">
        <w:rPr>
          <w:rFonts w:ascii="Times New Roman" w:hAnsi="Times New Roman" w:cs="Times New Roman"/>
        </w:rPr>
        <w:t xml:space="preserve">therefore </w:t>
      </w:r>
      <w:r w:rsidRPr="00A472FC">
        <w:rPr>
          <w:rFonts w:ascii="Times New Roman" w:hAnsi="Times New Roman" w:cs="Times New Roman"/>
        </w:rPr>
        <w:t xml:space="preserve">right to say that ‘the positions of </w:t>
      </w:r>
      <w:proofErr w:type="spellStart"/>
      <w:r w:rsidRPr="00A472FC">
        <w:rPr>
          <w:rFonts w:ascii="Times New Roman" w:hAnsi="Times New Roman" w:cs="Times New Roman"/>
        </w:rPr>
        <w:t>Pecham</w:t>
      </w:r>
      <w:proofErr w:type="spellEnd"/>
      <w:r w:rsidRPr="00A472FC">
        <w:rPr>
          <w:rFonts w:ascii="Times New Roman" w:hAnsi="Times New Roman" w:cs="Times New Roman"/>
        </w:rPr>
        <w:t xml:space="preserve"> conform to the </w:t>
      </w:r>
      <w:proofErr w:type="spellStart"/>
      <w:r w:rsidRPr="00A472FC">
        <w:rPr>
          <w:rFonts w:ascii="Times New Roman" w:hAnsi="Times New Roman" w:cs="Times New Roman"/>
          <w:i/>
        </w:rPr>
        <w:t>theologia</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communis</w:t>
      </w:r>
      <w:proofErr w:type="spellEnd"/>
      <w:r w:rsidRPr="00A472FC">
        <w:rPr>
          <w:rFonts w:ascii="Times New Roman" w:hAnsi="Times New Roman" w:cs="Times New Roman"/>
          <w:i/>
        </w:rPr>
        <w:t xml:space="preserve"> </w:t>
      </w:r>
      <w:r w:rsidRPr="00A472FC">
        <w:rPr>
          <w:rFonts w:ascii="Times New Roman" w:hAnsi="Times New Roman" w:cs="Times New Roman"/>
        </w:rPr>
        <w:t>of the thirteenth century</w:t>
      </w:r>
      <w:r w:rsidR="009019FD" w:rsidRPr="00A472FC">
        <w:rPr>
          <w:rFonts w:ascii="Times New Roman" w:hAnsi="Times New Roman" w:cs="Times New Roman"/>
        </w:rPr>
        <w:t>,</w:t>
      </w:r>
      <w:r w:rsidRPr="00A472FC">
        <w:rPr>
          <w:rFonts w:ascii="Times New Roman" w:hAnsi="Times New Roman" w:cs="Times New Roman"/>
        </w:rPr>
        <w:t>’</w:t>
      </w:r>
      <w:r w:rsidRPr="00A472FC">
        <w:rPr>
          <w:rStyle w:val="FootnoteReference"/>
          <w:rFonts w:ascii="Times New Roman" w:hAnsi="Times New Roman" w:cs="Times New Roman"/>
        </w:rPr>
        <w:footnoteReference w:id="1264"/>
      </w:r>
      <w:r w:rsidR="008B0868" w:rsidRPr="00A472FC">
        <w:rPr>
          <w:rFonts w:ascii="Times New Roman" w:hAnsi="Times New Roman" w:cs="Times New Roman"/>
        </w:rPr>
        <w:t xml:space="preserve"> </w:t>
      </w:r>
      <w:r w:rsidR="00342C8B" w:rsidRPr="00A472FC">
        <w:rPr>
          <w:rFonts w:ascii="Times New Roman" w:hAnsi="Times New Roman" w:cs="Times New Roman"/>
        </w:rPr>
        <w:t>his</w:t>
      </w:r>
      <w:r w:rsidR="009019FD" w:rsidRPr="00A472FC">
        <w:rPr>
          <w:rFonts w:ascii="Times New Roman" w:hAnsi="Times New Roman" w:cs="Times New Roman"/>
        </w:rPr>
        <w:t xml:space="preserve"> statement is correct only so far as that theology </w:t>
      </w:r>
      <w:r w:rsidRPr="00A472FC">
        <w:rPr>
          <w:rFonts w:ascii="Times New Roman" w:hAnsi="Times New Roman" w:cs="Times New Roman"/>
        </w:rPr>
        <w:t xml:space="preserve">is defined not in relation to Augustine himself but to the first generation of Franciscan masters who either supplanted or heavily revised </w:t>
      </w:r>
      <w:proofErr w:type="spellStart"/>
      <w:r w:rsidRPr="00A472FC">
        <w:rPr>
          <w:rFonts w:ascii="Times New Roman" w:hAnsi="Times New Roman" w:cs="Times New Roman"/>
        </w:rPr>
        <w:t>Augustinianism</w:t>
      </w:r>
      <w:proofErr w:type="spellEnd"/>
      <w:r w:rsidRPr="00A472FC">
        <w:rPr>
          <w:rFonts w:ascii="Times New Roman" w:hAnsi="Times New Roman" w:cs="Times New Roman"/>
        </w:rPr>
        <w:t xml:space="preserve"> in the act of re-interpreting. A primary objective of this book has been to lay bare for the first time how early scholastics debated and re-conceived what it meant to be an Augustinian in their period by highlighting all the sources foreign to Augustine that they used for this purpose, including spurious Augustinian works. As I have demonstrated, readings of Augustine in this period were closely linked with readings of the other great authority</w:t>
      </w:r>
      <w:r w:rsidR="000F655E" w:rsidRPr="00A472FC">
        <w:rPr>
          <w:rFonts w:ascii="Times New Roman" w:hAnsi="Times New Roman" w:cs="Times New Roman"/>
        </w:rPr>
        <w:t>,</w:t>
      </w:r>
      <w:r w:rsidRPr="00A472FC">
        <w:rPr>
          <w:rFonts w:ascii="Times New Roman" w:hAnsi="Times New Roman" w:cs="Times New Roman"/>
        </w:rPr>
        <w:t xml:space="preserve"> Aristotle, whose thinking was likewise distorted as a result of a belief, based on Avicenna and the </w:t>
      </w:r>
      <w:r w:rsidRPr="00A472FC">
        <w:rPr>
          <w:rFonts w:ascii="Times New Roman" w:hAnsi="Times New Roman" w:cs="Times New Roman"/>
          <w:i/>
        </w:rPr>
        <w:t xml:space="preserve">Liber de </w:t>
      </w:r>
      <w:proofErr w:type="spellStart"/>
      <w:r w:rsidRPr="00A472FC">
        <w:rPr>
          <w:rFonts w:ascii="Times New Roman" w:hAnsi="Times New Roman" w:cs="Times New Roman"/>
          <w:i/>
        </w:rPr>
        <w:t>causis</w:t>
      </w:r>
      <w:proofErr w:type="spellEnd"/>
      <w:r w:rsidRPr="00A472FC">
        <w:rPr>
          <w:rFonts w:ascii="Times New Roman" w:hAnsi="Times New Roman" w:cs="Times New Roman"/>
          <w:iCs/>
        </w:rPr>
        <w:t xml:space="preserve">, </w:t>
      </w:r>
      <w:r w:rsidRPr="00A472FC">
        <w:rPr>
          <w:rFonts w:ascii="Times New Roman" w:hAnsi="Times New Roman" w:cs="Times New Roman"/>
        </w:rPr>
        <w:t xml:space="preserve">that he was himself a </w:t>
      </w:r>
      <w:proofErr w:type="spellStart"/>
      <w:r w:rsidRPr="00A472FC">
        <w:rPr>
          <w:rFonts w:ascii="Times New Roman" w:hAnsi="Times New Roman" w:cs="Times New Roman"/>
        </w:rPr>
        <w:t>Neo-Platonist</w:t>
      </w:r>
      <w:proofErr w:type="spellEnd"/>
      <w:r w:rsidRPr="00A472FC">
        <w:rPr>
          <w:rFonts w:ascii="Times New Roman" w:hAnsi="Times New Roman" w:cs="Times New Roman"/>
        </w:rPr>
        <w:t xml:space="preserve"> of sorts like Augustine. </w:t>
      </w:r>
    </w:p>
    <w:p w14:paraId="1BE0D8DF" w14:textId="77777777" w:rsidR="00A506B9" w:rsidRPr="00A472FC" w:rsidRDefault="00665333" w:rsidP="00A506B9">
      <w:pPr>
        <w:ind w:right="-52" w:firstLine="720"/>
        <w:rPr>
          <w:rFonts w:ascii="Times New Roman" w:hAnsi="Times New Roman" w:cs="Times New Roman"/>
        </w:rPr>
      </w:pPr>
      <w:r w:rsidRPr="00A472FC">
        <w:rPr>
          <w:rFonts w:ascii="Times New Roman" w:hAnsi="Times New Roman" w:cs="Times New Roman"/>
        </w:rPr>
        <w:t xml:space="preserve">After revised translations of Aristotle were introduced from around 1250, and the </w:t>
      </w:r>
      <w:r w:rsidRPr="00A472FC">
        <w:rPr>
          <w:rFonts w:ascii="Times New Roman" w:hAnsi="Times New Roman" w:cs="Times New Roman"/>
          <w:i/>
        </w:rPr>
        <w:t xml:space="preserve">Liber </w:t>
      </w:r>
      <w:r w:rsidRPr="00A472FC">
        <w:rPr>
          <w:rFonts w:ascii="Times New Roman" w:hAnsi="Times New Roman" w:cs="Times New Roman"/>
        </w:rPr>
        <w:t xml:space="preserve">was identified as spurious by Aquinas, it became possible for the next generation and Aquinas above all to begin to disentangle Aristotle’s </w:t>
      </w:r>
      <w:r w:rsidR="005773B9" w:rsidRPr="00A472FC">
        <w:rPr>
          <w:rFonts w:ascii="Times New Roman" w:hAnsi="Times New Roman" w:cs="Times New Roman"/>
        </w:rPr>
        <w:t>legacy</w:t>
      </w:r>
      <w:r w:rsidRPr="00A472FC">
        <w:rPr>
          <w:rFonts w:ascii="Times New Roman" w:hAnsi="Times New Roman" w:cs="Times New Roman"/>
        </w:rPr>
        <w:t xml:space="preserve"> from Augustine,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and Avicenna, and to understand him in his own right. However, the same rite of purification was never undertaken for Augustine and other presumed members of his tradition, like Anselm of Canterbury, as well as Plato and </w:t>
      </w:r>
      <w:proofErr w:type="spellStart"/>
      <w:r w:rsidRPr="00A472FC">
        <w:rPr>
          <w:rFonts w:ascii="Times New Roman" w:hAnsi="Times New Roman" w:cs="Times New Roman"/>
        </w:rPr>
        <w:t>Platonists</w:t>
      </w:r>
      <w:proofErr w:type="spellEnd"/>
      <w:r w:rsidRPr="00A472FC">
        <w:rPr>
          <w:rFonts w:ascii="Times New Roman" w:hAnsi="Times New Roman" w:cs="Times New Roman"/>
        </w:rPr>
        <w:t xml:space="preserve"> more generally. For this reason, there are many respects in which, throughout the </w:t>
      </w:r>
      <w:r w:rsidR="00202711" w:rsidRPr="00A472FC">
        <w:rPr>
          <w:rFonts w:ascii="Times New Roman" w:hAnsi="Times New Roman" w:cs="Times New Roman"/>
        </w:rPr>
        <w:t>Middle Ages</w:t>
      </w:r>
      <w:r w:rsidRPr="00A472FC">
        <w:rPr>
          <w:rFonts w:ascii="Times New Roman" w:hAnsi="Times New Roman" w:cs="Times New Roman"/>
        </w:rPr>
        <w:t xml:space="preserve">, the Reformation, </w:t>
      </w:r>
      <w:r w:rsidR="00EF7589" w:rsidRPr="00A472FC">
        <w:rPr>
          <w:rFonts w:ascii="Times New Roman" w:hAnsi="Times New Roman" w:cs="Times New Roman"/>
        </w:rPr>
        <w:t>and beyond</w:t>
      </w:r>
      <w:r w:rsidRPr="00A472FC">
        <w:rPr>
          <w:rFonts w:ascii="Times New Roman" w:hAnsi="Times New Roman" w:cs="Times New Roman"/>
        </w:rPr>
        <w:t xml:space="preserve">, the way Augustine and members of his tradition are understood has been heavily slanted by the interpretation of him that early Franciscans above all, but among others, offered in the early thirteenth century. </w:t>
      </w:r>
    </w:p>
    <w:p w14:paraId="2D6CDD59" w14:textId="27991FD4" w:rsidR="00665333" w:rsidRPr="00A472FC" w:rsidRDefault="00A506B9" w:rsidP="00A506B9">
      <w:pPr>
        <w:ind w:right="-52" w:firstLine="720"/>
        <w:rPr>
          <w:rFonts w:ascii="Times New Roman" w:hAnsi="Times New Roman" w:cs="Times New Roman"/>
        </w:rPr>
      </w:pPr>
      <w:r w:rsidRPr="00A472FC">
        <w:rPr>
          <w:rFonts w:ascii="Times New Roman" w:hAnsi="Times New Roman" w:cs="Times New Roman"/>
        </w:rPr>
        <w:lastRenderedPageBreak/>
        <w:t>That is not to deny that</w:t>
      </w:r>
      <w:r w:rsidR="00665333" w:rsidRPr="00A472FC">
        <w:rPr>
          <w:rFonts w:ascii="Times New Roman" w:hAnsi="Times New Roman" w:cs="Times New Roman"/>
        </w:rPr>
        <w:t xml:space="preserve"> there are scholars like </w:t>
      </w:r>
      <w:proofErr w:type="spellStart"/>
      <w:r w:rsidR="00665333" w:rsidRPr="00A472FC">
        <w:rPr>
          <w:rFonts w:ascii="Times New Roman" w:hAnsi="Times New Roman" w:cs="Times New Roman"/>
        </w:rPr>
        <w:t>Weishepl</w:t>
      </w:r>
      <w:proofErr w:type="spellEnd"/>
      <w:r w:rsidR="00665333" w:rsidRPr="00A472FC">
        <w:rPr>
          <w:rFonts w:ascii="Times New Roman" w:hAnsi="Times New Roman" w:cs="Times New Roman"/>
        </w:rPr>
        <w:t xml:space="preserve"> who have paid tribute to this distortion in one way or another.</w:t>
      </w:r>
      <w:r w:rsidR="00665333" w:rsidRPr="00A472FC">
        <w:rPr>
          <w:rStyle w:val="FootnoteReference"/>
          <w:rFonts w:ascii="Times New Roman" w:hAnsi="Times New Roman" w:cs="Times New Roman"/>
        </w:rPr>
        <w:footnoteReference w:id="1265"/>
      </w:r>
      <w:r w:rsidR="00665333" w:rsidRPr="00A472FC">
        <w:rPr>
          <w:rFonts w:ascii="Times New Roman" w:hAnsi="Times New Roman" w:cs="Times New Roman"/>
        </w:rPr>
        <w:t xml:space="preserve"> Gilbert </w:t>
      </w:r>
      <w:proofErr w:type="spellStart"/>
      <w:r w:rsidR="00665333" w:rsidRPr="00A472FC">
        <w:rPr>
          <w:rFonts w:ascii="Times New Roman" w:hAnsi="Times New Roman" w:cs="Times New Roman"/>
        </w:rPr>
        <w:t>Dahan</w:t>
      </w:r>
      <w:proofErr w:type="spellEnd"/>
      <w:r w:rsidR="00665333" w:rsidRPr="00A472FC">
        <w:rPr>
          <w:rFonts w:ascii="Times New Roman" w:hAnsi="Times New Roman" w:cs="Times New Roman"/>
        </w:rPr>
        <w:t xml:space="preserve"> also notes that the first half of the thirteenth century was a unique period when </w:t>
      </w:r>
      <w:proofErr w:type="spellStart"/>
      <w:r w:rsidR="00665333" w:rsidRPr="00A472FC">
        <w:rPr>
          <w:rFonts w:ascii="Times New Roman" w:hAnsi="Times New Roman" w:cs="Times New Roman"/>
        </w:rPr>
        <w:t>Averroes</w:t>
      </w:r>
      <w:proofErr w:type="spellEnd"/>
      <w:r w:rsidR="00665333" w:rsidRPr="00A472FC">
        <w:rPr>
          <w:rFonts w:ascii="Times New Roman" w:hAnsi="Times New Roman" w:cs="Times New Roman"/>
        </w:rPr>
        <w:t xml:space="preserve"> and Maimonides were largely unknown, and scholars read both Augustine and Aristotle in light of the </w:t>
      </w:r>
      <w:r w:rsidR="00665333" w:rsidRPr="00A472FC">
        <w:rPr>
          <w:rFonts w:ascii="Times New Roman" w:hAnsi="Times New Roman" w:cs="Times New Roman"/>
          <w:i/>
        </w:rPr>
        <w:t xml:space="preserve">Liber de </w:t>
      </w:r>
      <w:proofErr w:type="spellStart"/>
      <w:r w:rsidR="00665333" w:rsidRPr="00A472FC">
        <w:rPr>
          <w:rFonts w:ascii="Times New Roman" w:hAnsi="Times New Roman" w:cs="Times New Roman"/>
          <w:i/>
        </w:rPr>
        <w:t>causis</w:t>
      </w:r>
      <w:proofErr w:type="spellEnd"/>
      <w:r w:rsidR="00665333" w:rsidRPr="00A472FC">
        <w:rPr>
          <w:rFonts w:ascii="Times New Roman" w:hAnsi="Times New Roman" w:cs="Times New Roman"/>
          <w:iCs/>
        </w:rPr>
        <w:t xml:space="preserve">, </w:t>
      </w:r>
      <w:proofErr w:type="spellStart"/>
      <w:r w:rsidR="00665333" w:rsidRPr="00A472FC">
        <w:rPr>
          <w:rFonts w:ascii="Times New Roman" w:hAnsi="Times New Roman" w:cs="Times New Roman"/>
        </w:rPr>
        <w:t>Avicebron</w:t>
      </w:r>
      <w:proofErr w:type="spellEnd"/>
      <w:r w:rsidR="00665333" w:rsidRPr="00A472FC">
        <w:rPr>
          <w:rFonts w:ascii="Times New Roman" w:hAnsi="Times New Roman" w:cs="Times New Roman"/>
        </w:rPr>
        <w:t xml:space="preserve">, Avicenna, and their translator, </w:t>
      </w:r>
      <w:proofErr w:type="spellStart"/>
      <w:r w:rsidR="00665333" w:rsidRPr="00A472FC">
        <w:rPr>
          <w:rFonts w:ascii="Times New Roman" w:hAnsi="Times New Roman" w:cs="Times New Roman"/>
        </w:rPr>
        <w:t>Gundissalinus</w:t>
      </w:r>
      <w:proofErr w:type="spellEnd"/>
      <w:r w:rsidR="00665333" w:rsidRPr="00A472FC">
        <w:rPr>
          <w:rFonts w:ascii="Times New Roman" w:hAnsi="Times New Roman" w:cs="Times New Roman"/>
        </w:rPr>
        <w:t xml:space="preserve">, thus producing variations on </w:t>
      </w:r>
      <w:r w:rsidR="00075FE8" w:rsidRPr="00A472FC">
        <w:rPr>
          <w:rFonts w:ascii="Times New Roman" w:hAnsi="Times New Roman" w:cs="Times New Roman"/>
        </w:rPr>
        <w:t>‘</w:t>
      </w:r>
      <w:proofErr w:type="spellStart"/>
      <w:r w:rsidR="00665333" w:rsidRPr="00A472FC">
        <w:rPr>
          <w:rFonts w:ascii="Times New Roman" w:hAnsi="Times New Roman" w:cs="Times New Roman"/>
        </w:rPr>
        <w:t>Augustinisme</w:t>
      </w:r>
      <w:proofErr w:type="spellEnd"/>
      <w:r w:rsidR="00665333" w:rsidRPr="00A472FC">
        <w:rPr>
          <w:rFonts w:ascii="Times New Roman" w:hAnsi="Times New Roman" w:cs="Times New Roman"/>
        </w:rPr>
        <w:t xml:space="preserve"> </w:t>
      </w:r>
      <w:proofErr w:type="spellStart"/>
      <w:r w:rsidR="00665333" w:rsidRPr="00A472FC">
        <w:rPr>
          <w:rFonts w:ascii="Times New Roman" w:hAnsi="Times New Roman" w:cs="Times New Roman"/>
        </w:rPr>
        <w:t>Avicennisant</w:t>
      </w:r>
      <w:proofErr w:type="spellEnd"/>
      <w:r w:rsidR="00075FE8" w:rsidRPr="00A472FC">
        <w:rPr>
          <w:rFonts w:ascii="Times New Roman" w:hAnsi="Times New Roman" w:cs="Times New Roman"/>
        </w:rPr>
        <w:t>’</w:t>
      </w:r>
      <w:r w:rsidR="00665333" w:rsidRPr="00A472FC">
        <w:rPr>
          <w:rFonts w:ascii="Times New Roman" w:hAnsi="Times New Roman" w:cs="Times New Roman"/>
        </w:rPr>
        <w:t xml:space="preserve"> or </w:t>
      </w:r>
      <w:r w:rsidR="00075FE8" w:rsidRPr="00A472FC">
        <w:rPr>
          <w:rFonts w:ascii="Times New Roman" w:hAnsi="Times New Roman" w:cs="Times New Roman"/>
        </w:rPr>
        <w:t>‘</w:t>
      </w:r>
      <w:proofErr w:type="spellStart"/>
      <w:r w:rsidR="00665333" w:rsidRPr="00A472FC">
        <w:rPr>
          <w:rFonts w:ascii="Times New Roman" w:hAnsi="Times New Roman" w:cs="Times New Roman"/>
        </w:rPr>
        <w:t>Augustinisme</w:t>
      </w:r>
      <w:proofErr w:type="spellEnd"/>
      <w:r w:rsidR="00665333" w:rsidRPr="00A472FC">
        <w:rPr>
          <w:rFonts w:ascii="Times New Roman" w:hAnsi="Times New Roman" w:cs="Times New Roman"/>
        </w:rPr>
        <w:t xml:space="preserve"> </w:t>
      </w:r>
      <w:proofErr w:type="spellStart"/>
      <w:r w:rsidR="00665333" w:rsidRPr="00A472FC">
        <w:rPr>
          <w:rFonts w:ascii="Times New Roman" w:hAnsi="Times New Roman" w:cs="Times New Roman"/>
        </w:rPr>
        <w:t>Avicébrolisant</w:t>
      </w:r>
      <w:proofErr w:type="spellEnd"/>
      <w:r w:rsidR="00075FE8" w:rsidRPr="00A472FC">
        <w:rPr>
          <w:rFonts w:ascii="Times New Roman" w:hAnsi="Times New Roman" w:cs="Times New Roman"/>
        </w:rPr>
        <w:t>’</w:t>
      </w:r>
      <w:r w:rsidR="00665333" w:rsidRPr="00A472FC">
        <w:rPr>
          <w:rFonts w:ascii="Times New Roman" w:hAnsi="Times New Roman" w:cs="Times New Roman"/>
        </w:rPr>
        <w:t>.</w:t>
      </w:r>
      <w:r w:rsidR="00665333" w:rsidRPr="00A472FC">
        <w:rPr>
          <w:rFonts w:ascii="Times New Roman" w:hAnsi="Times New Roman" w:cs="Times New Roman"/>
          <w:vertAlign w:val="superscript"/>
        </w:rPr>
        <w:footnoteReference w:id="1266"/>
      </w:r>
      <w:r w:rsidR="00665333" w:rsidRPr="00A472FC">
        <w:rPr>
          <w:rFonts w:ascii="Times New Roman" w:hAnsi="Times New Roman" w:cs="Times New Roman"/>
        </w:rPr>
        <w:t xml:space="preserve"> Already at the origins of modern studies of the Middle Ages</w:t>
      </w:r>
      <w:r w:rsidR="0096244F" w:rsidRPr="00A472FC">
        <w:rPr>
          <w:rFonts w:ascii="Times New Roman" w:hAnsi="Times New Roman" w:cs="Times New Roman"/>
        </w:rPr>
        <w:t xml:space="preserve">, </w:t>
      </w:r>
      <w:proofErr w:type="spellStart"/>
      <w:r w:rsidR="00665333" w:rsidRPr="00A472FC">
        <w:rPr>
          <w:rFonts w:ascii="Times New Roman" w:hAnsi="Times New Roman" w:cs="Times New Roman"/>
        </w:rPr>
        <w:t>Fernand</w:t>
      </w:r>
      <w:proofErr w:type="spellEnd"/>
      <w:r w:rsidR="00665333" w:rsidRPr="00A472FC">
        <w:rPr>
          <w:rFonts w:ascii="Times New Roman" w:hAnsi="Times New Roman" w:cs="Times New Roman"/>
        </w:rPr>
        <w:t xml:space="preserve"> Van </w:t>
      </w:r>
      <w:proofErr w:type="spellStart"/>
      <w:r w:rsidR="00665333" w:rsidRPr="00A472FC">
        <w:rPr>
          <w:rFonts w:ascii="Times New Roman" w:hAnsi="Times New Roman" w:cs="Times New Roman"/>
        </w:rPr>
        <w:t>Steenberghen</w:t>
      </w:r>
      <w:proofErr w:type="spellEnd"/>
      <w:r w:rsidR="00665333" w:rsidRPr="00A472FC">
        <w:rPr>
          <w:rFonts w:ascii="Times New Roman" w:hAnsi="Times New Roman" w:cs="Times New Roman"/>
        </w:rPr>
        <w:t xml:space="preserve"> had ‘advanced the view that what has been called the traditional Augustinian school was neither traditional nor essentially Augustinian but had its origin in the new literature which found its way into the faculties of arts and later into the faculties of theology of the medieval universities.’</w:t>
      </w:r>
      <w:r w:rsidR="00665333" w:rsidRPr="00A472FC">
        <w:rPr>
          <w:rStyle w:val="FootnoteReference"/>
          <w:rFonts w:ascii="Times New Roman" w:hAnsi="Times New Roman" w:cs="Times New Roman"/>
        </w:rPr>
        <w:footnoteReference w:id="1267"/>
      </w:r>
    </w:p>
    <w:p w14:paraId="4474597A" w14:textId="1A69BE71" w:rsidR="00665333" w:rsidRPr="00A472FC" w:rsidRDefault="00B53140" w:rsidP="00881604">
      <w:pPr>
        <w:ind w:right="-52" w:firstLine="720"/>
        <w:rPr>
          <w:rFonts w:ascii="Times New Roman" w:hAnsi="Times New Roman" w:cs="Times New Roman"/>
        </w:rPr>
      </w:pPr>
      <w:r w:rsidRPr="00A472FC">
        <w:rPr>
          <w:rFonts w:ascii="Times New Roman" w:hAnsi="Times New Roman" w:cs="Times New Roman"/>
        </w:rPr>
        <w:t>These</w:t>
      </w:r>
      <w:r w:rsidR="00665333" w:rsidRPr="00A472FC">
        <w:rPr>
          <w:rFonts w:ascii="Times New Roman" w:hAnsi="Times New Roman" w:cs="Times New Roman"/>
        </w:rPr>
        <w:t xml:space="preserve"> </w:t>
      </w:r>
      <w:r w:rsidR="009A62AC" w:rsidRPr="00A472FC">
        <w:rPr>
          <w:rFonts w:ascii="Times New Roman" w:hAnsi="Times New Roman" w:cs="Times New Roman"/>
        </w:rPr>
        <w:t>examples</w:t>
      </w:r>
      <w:r w:rsidRPr="00A472FC">
        <w:rPr>
          <w:rFonts w:ascii="Times New Roman" w:hAnsi="Times New Roman" w:cs="Times New Roman"/>
        </w:rPr>
        <w:t xml:space="preserve"> notwithstanding,</w:t>
      </w:r>
      <w:r w:rsidR="00665333" w:rsidRPr="00A472FC">
        <w:rPr>
          <w:rFonts w:ascii="Times New Roman" w:hAnsi="Times New Roman" w:cs="Times New Roman"/>
        </w:rPr>
        <w:t xml:space="preserve"> a nuanced understanding of how Augustine not to mention Aristotle </w:t>
      </w:r>
      <w:r w:rsidR="004B7E10" w:rsidRPr="00A472FC">
        <w:rPr>
          <w:rFonts w:ascii="Times New Roman" w:hAnsi="Times New Roman" w:cs="Times New Roman"/>
        </w:rPr>
        <w:t>was</w:t>
      </w:r>
      <w:r w:rsidR="00665333" w:rsidRPr="00A472FC">
        <w:rPr>
          <w:rFonts w:ascii="Times New Roman" w:hAnsi="Times New Roman" w:cs="Times New Roman"/>
        </w:rPr>
        <w:t xml:space="preserve"> employed in this period has largely been buried in the overwhelming flood of literature that takes early Franciscan claims about Augustine at face value, however obvious it is in the texts themselves that his words, or in many cases, words that were not even his, were being manipulated to new ends. In drawing the discussion of this book to a close, therefore, it is worth </w:t>
      </w:r>
      <w:proofErr w:type="spellStart"/>
      <w:r w:rsidR="00665333" w:rsidRPr="00A472FC">
        <w:rPr>
          <w:rFonts w:ascii="Times New Roman" w:hAnsi="Times New Roman" w:cs="Times New Roman"/>
        </w:rPr>
        <w:t>summarizing</w:t>
      </w:r>
      <w:proofErr w:type="spellEnd"/>
      <w:r w:rsidR="00665333" w:rsidRPr="00A472FC">
        <w:rPr>
          <w:rFonts w:ascii="Times New Roman" w:hAnsi="Times New Roman" w:cs="Times New Roman"/>
        </w:rPr>
        <w:t xml:space="preserve"> the findings of every single chapter</w:t>
      </w:r>
      <w:r w:rsidR="001812A1" w:rsidRPr="00A472FC">
        <w:rPr>
          <w:rFonts w:ascii="Times New Roman" w:hAnsi="Times New Roman" w:cs="Times New Roman"/>
        </w:rPr>
        <w:t xml:space="preserve"> i</w:t>
      </w:r>
      <w:r w:rsidR="009E7883" w:rsidRPr="00A472FC">
        <w:rPr>
          <w:rFonts w:ascii="Times New Roman" w:hAnsi="Times New Roman" w:cs="Times New Roman"/>
        </w:rPr>
        <w:t xml:space="preserve">n order to clarify how each one contributes to deconstructing the </w:t>
      </w:r>
      <w:proofErr w:type="spellStart"/>
      <w:r w:rsidR="00665333" w:rsidRPr="00A472FC">
        <w:rPr>
          <w:rFonts w:ascii="Times New Roman" w:hAnsi="Times New Roman" w:cs="Times New Roman"/>
        </w:rPr>
        <w:t>Augustinianism</w:t>
      </w:r>
      <w:proofErr w:type="spellEnd"/>
      <w:r w:rsidR="00665333" w:rsidRPr="00A472FC">
        <w:rPr>
          <w:rFonts w:ascii="Times New Roman" w:hAnsi="Times New Roman" w:cs="Times New Roman"/>
        </w:rPr>
        <w:t xml:space="preserve"> and indeed the Aristotelianism of the early Franciscan tradition</w:t>
      </w:r>
      <w:r w:rsidR="007C189E" w:rsidRPr="00A472FC">
        <w:rPr>
          <w:rFonts w:ascii="Times New Roman" w:hAnsi="Times New Roman" w:cs="Times New Roman"/>
        </w:rPr>
        <w:t>. This effort will further</w:t>
      </w:r>
      <w:r w:rsidR="007651E4" w:rsidRPr="00A472FC">
        <w:rPr>
          <w:rFonts w:ascii="Times New Roman" w:hAnsi="Times New Roman" w:cs="Times New Roman"/>
        </w:rPr>
        <w:t xml:space="preserve"> </w:t>
      </w:r>
      <w:r w:rsidR="00665333" w:rsidRPr="00A472FC">
        <w:rPr>
          <w:rFonts w:ascii="Times New Roman" w:hAnsi="Times New Roman" w:cs="Times New Roman"/>
        </w:rPr>
        <w:t xml:space="preserve">highlight </w:t>
      </w:r>
      <w:r w:rsidR="008E0D80" w:rsidRPr="00A472FC">
        <w:rPr>
          <w:rFonts w:ascii="Times New Roman" w:hAnsi="Times New Roman" w:cs="Times New Roman"/>
        </w:rPr>
        <w:t>the respects in which the early scholastic period</w:t>
      </w:r>
      <w:r w:rsidR="00665333" w:rsidRPr="00A472FC">
        <w:rPr>
          <w:rFonts w:ascii="Times New Roman" w:hAnsi="Times New Roman" w:cs="Times New Roman"/>
        </w:rPr>
        <w:t xml:space="preserve"> </w:t>
      </w:r>
      <w:r w:rsidR="008E0D80" w:rsidRPr="00A472FC">
        <w:rPr>
          <w:rFonts w:ascii="Times New Roman" w:hAnsi="Times New Roman" w:cs="Times New Roman"/>
        </w:rPr>
        <w:t xml:space="preserve">was unique in the way it interpreted both sources, in conversation with </w:t>
      </w:r>
      <w:r w:rsidR="00665333" w:rsidRPr="00A472FC">
        <w:rPr>
          <w:rFonts w:ascii="Times New Roman" w:hAnsi="Times New Roman" w:cs="Times New Roman"/>
        </w:rPr>
        <w:t>Islamic and Jewish sources originally written in Arabic</w:t>
      </w:r>
      <w:r w:rsidR="005F29A1" w:rsidRPr="00A472FC">
        <w:rPr>
          <w:rFonts w:ascii="Times New Roman" w:hAnsi="Times New Roman" w:cs="Times New Roman"/>
        </w:rPr>
        <w:t>.</w:t>
      </w:r>
      <w:r w:rsidR="00937507" w:rsidRPr="00A472FC">
        <w:rPr>
          <w:rFonts w:ascii="Times New Roman" w:hAnsi="Times New Roman" w:cs="Times New Roman"/>
        </w:rPr>
        <w:t xml:space="preserve"> </w:t>
      </w:r>
      <w:r w:rsidR="00017A37" w:rsidRPr="00A472FC">
        <w:rPr>
          <w:rFonts w:ascii="Times New Roman" w:hAnsi="Times New Roman" w:cs="Times New Roman"/>
        </w:rPr>
        <w:t xml:space="preserve">Ultimately, moreover, </w:t>
      </w:r>
      <w:r w:rsidR="008F0841" w:rsidRPr="00A472FC">
        <w:rPr>
          <w:rFonts w:ascii="Times New Roman" w:hAnsi="Times New Roman" w:cs="Times New Roman"/>
        </w:rPr>
        <w:t>the conclusion</w:t>
      </w:r>
      <w:r w:rsidR="00937507" w:rsidRPr="00A472FC">
        <w:rPr>
          <w:rFonts w:ascii="Times New Roman" w:hAnsi="Times New Roman" w:cs="Times New Roman"/>
        </w:rPr>
        <w:t xml:space="preserve"> provide</w:t>
      </w:r>
      <w:r w:rsidR="008F0841" w:rsidRPr="00A472FC">
        <w:rPr>
          <w:rFonts w:ascii="Times New Roman" w:hAnsi="Times New Roman" w:cs="Times New Roman"/>
        </w:rPr>
        <w:t>s</w:t>
      </w:r>
      <w:r w:rsidR="00937507" w:rsidRPr="00A472FC">
        <w:rPr>
          <w:rFonts w:ascii="Times New Roman" w:hAnsi="Times New Roman" w:cs="Times New Roman"/>
        </w:rPr>
        <w:t xml:space="preserve"> a</w:t>
      </w:r>
      <w:r w:rsidR="004A259D" w:rsidRPr="00A472FC">
        <w:rPr>
          <w:rFonts w:ascii="Times New Roman" w:hAnsi="Times New Roman" w:cs="Times New Roman"/>
        </w:rPr>
        <w:t xml:space="preserve">n opportunity to reflect on the theological significance of </w:t>
      </w:r>
      <w:r w:rsidR="002A4326" w:rsidRPr="00A472FC">
        <w:rPr>
          <w:rFonts w:ascii="Times New Roman" w:hAnsi="Times New Roman" w:cs="Times New Roman"/>
        </w:rPr>
        <w:t xml:space="preserve">early Franciscan </w:t>
      </w:r>
      <w:r w:rsidR="004A259D" w:rsidRPr="00A472FC">
        <w:rPr>
          <w:rFonts w:ascii="Times New Roman" w:hAnsi="Times New Roman" w:cs="Times New Roman"/>
        </w:rPr>
        <w:t xml:space="preserve">philosophical </w:t>
      </w:r>
      <w:r w:rsidR="00927AB4" w:rsidRPr="00A472FC">
        <w:rPr>
          <w:rFonts w:ascii="Times New Roman" w:hAnsi="Times New Roman" w:cs="Times New Roman"/>
        </w:rPr>
        <w:t>views on human nature</w:t>
      </w:r>
      <w:r w:rsidR="004A259D" w:rsidRPr="00A472FC">
        <w:rPr>
          <w:rFonts w:ascii="Times New Roman" w:hAnsi="Times New Roman" w:cs="Times New Roman"/>
        </w:rPr>
        <w:t xml:space="preserve">, which were not </w:t>
      </w:r>
      <w:r w:rsidR="00770D22" w:rsidRPr="00A472FC">
        <w:rPr>
          <w:rFonts w:ascii="Times New Roman" w:hAnsi="Times New Roman" w:cs="Times New Roman"/>
        </w:rPr>
        <w:t>presented</w:t>
      </w:r>
      <w:r w:rsidR="004A259D" w:rsidRPr="00A472FC">
        <w:rPr>
          <w:rFonts w:ascii="Times New Roman" w:hAnsi="Times New Roman" w:cs="Times New Roman"/>
        </w:rPr>
        <w:t xml:space="preserve"> in a vacuum but with a view to laying down a distinctly </w:t>
      </w:r>
      <w:r w:rsidR="00927AB4" w:rsidRPr="00A472FC">
        <w:rPr>
          <w:rFonts w:ascii="Times New Roman" w:hAnsi="Times New Roman" w:cs="Times New Roman"/>
        </w:rPr>
        <w:t>Franciscan</w:t>
      </w:r>
      <w:r w:rsidR="004A259D" w:rsidRPr="00A472FC">
        <w:rPr>
          <w:rFonts w:ascii="Times New Roman" w:hAnsi="Times New Roman" w:cs="Times New Roman"/>
        </w:rPr>
        <w:t xml:space="preserve"> intellectual tradition for the first time.</w:t>
      </w:r>
      <w:r w:rsidR="00A4329A" w:rsidRPr="00A472FC">
        <w:rPr>
          <w:rStyle w:val="FootnoteReference"/>
          <w:rFonts w:ascii="Times New Roman" w:hAnsi="Times New Roman" w:cs="Times New Roman"/>
        </w:rPr>
        <w:footnoteReference w:id="1268"/>
      </w:r>
    </w:p>
    <w:p w14:paraId="18CEF87B" w14:textId="571F3464" w:rsidR="003F1587" w:rsidRPr="00A472FC" w:rsidRDefault="00665333" w:rsidP="003F1587">
      <w:pPr>
        <w:ind w:right="-52" w:firstLine="720"/>
        <w:rPr>
          <w:rFonts w:ascii="Times New Roman" w:hAnsi="Times New Roman" w:cs="Times New Roman"/>
        </w:rPr>
      </w:pPr>
      <w:r w:rsidRPr="00A472FC">
        <w:rPr>
          <w:rFonts w:ascii="Times New Roman" w:hAnsi="Times New Roman" w:cs="Times New Roman"/>
        </w:rPr>
        <w:t xml:space="preserve">The </w:t>
      </w:r>
      <w:r w:rsidRPr="00A472FC">
        <w:rPr>
          <w:rFonts w:ascii="Times New Roman" w:hAnsi="Times New Roman" w:cs="Times New Roman"/>
          <w:b/>
        </w:rPr>
        <w:t>first chapter</w:t>
      </w:r>
      <w:r w:rsidRPr="00A472FC">
        <w:rPr>
          <w:rFonts w:ascii="Times New Roman" w:hAnsi="Times New Roman" w:cs="Times New Roman"/>
        </w:rPr>
        <w:t xml:space="preserve"> laid the groundwork for the </w:t>
      </w:r>
      <w:r w:rsidR="001C00FC" w:rsidRPr="00A472FC">
        <w:rPr>
          <w:rFonts w:ascii="Times New Roman" w:hAnsi="Times New Roman" w:cs="Times New Roman"/>
        </w:rPr>
        <w:t xml:space="preserve">present </w:t>
      </w:r>
      <w:r w:rsidR="008865D9" w:rsidRPr="00A472FC">
        <w:rPr>
          <w:rFonts w:ascii="Times New Roman" w:hAnsi="Times New Roman" w:cs="Times New Roman"/>
        </w:rPr>
        <w:t>study</w:t>
      </w:r>
      <w:r w:rsidRPr="00A472FC">
        <w:rPr>
          <w:rFonts w:ascii="Times New Roman" w:hAnsi="Times New Roman" w:cs="Times New Roman"/>
        </w:rPr>
        <w:t xml:space="preserve"> by outlining the various currents of thought that converged in the early thirteenth century to </w:t>
      </w:r>
      <w:r w:rsidR="00585BC7" w:rsidRPr="00A472FC">
        <w:rPr>
          <w:rFonts w:ascii="Times New Roman" w:hAnsi="Times New Roman" w:cs="Times New Roman"/>
        </w:rPr>
        <w:t>make</w:t>
      </w:r>
      <w:r w:rsidRPr="00A472FC">
        <w:rPr>
          <w:rFonts w:ascii="Times New Roman" w:hAnsi="Times New Roman" w:cs="Times New Roman"/>
        </w:rPr>
        <w:t xml:space="preserve"> John of La Rochelle’s innovations possible. By contrast to earlier medieval thinkers, whose reflections on the powers of the soul, especially the natural or physical powers and their relation to the body, remained relatively under-developed, I noted a new interest </w:t>
      </w:r>
      <w:r w:rsidR="00857632" w:rsidRPr="00A472FC">
        <w:rPr>
          <w:rFonts w:ascii="Times New Roman" w:hAnsi="Times New Roman" w:cs="Times New Roman"/>
        </w:rPr>
        <w:t xml:space="preserve">that emerged </w:t>
      </w:r>
      <w:r w:rsidRPr="00A472FC">
        <w:rPr>
          <w:rFonts w:ascii="Times New Roman" w:hAnsi="Times New Roman" w:cs="Times New Roman"/>
        </w:rPr>
        <w:t>amongst twelfth-century Cistercians</w:t>
      </w:r>
      <w:r w:rsidR="00CC0DFA" w:rsidRPr="00A472FC">
        <w:rPr>
          <w:rFonts w:ascii="Times New Roman" w:hAnsi="Times New Roman" w:cs="Times New Roman"/>
        </w:rPr>
        <w:t>,</w:t>
      </w:r>
      <w:r w:rsidR="002625CB" w:rsidRPr="00A472FC">
        <w:rPr>
          <w:rFonts w:ascii="Times New Roman" w:hAnsi="Times New Roman" w:cs="Times New Roman"/>
        </w:rPr>
        <w:t xml:space="preserve"> </w:t>
      </w:r>
      <w:r w:rsidR="00BB0C62" w:rsidRPr="00A472FC">
        <w:rPr>
          <w:rFonts w:ascii="Times New Roman" w:hAnsi="Times New Roman" w:cs="Times New Roman"/>
        </w:rPr>
        <w:t xml:space="preserve">among </w:t>
      </w:r>
      <w:r w:rsidR="00AC7BB5" w:rsidRPr="00A472FC">
        <w:rPr>
          <w:rFonts w:ascii="Times New Roman" w:hAnsi="Times New Roman" w:cs="Times New Roman"/>
        </w:rPr>
        <w:t>others</w:t>
      </w:r>
      <w:r w:rsidR="002625CB" w:rsidRPr="00A472FC">
        <w:rPr>
          <w:rFonts w:ascii="Times New Roman" w:hAnsi="Times New Roman" w:cs="Times New Roman"/>
        </w:rPr>
        <w:t>,</w:t>
      </w:r>
      <w:r w:rsidRPr="00A472FC">
        <w:rPr>
          <w:rFonts w:ascii="Times New Roman" w:hAnsi="Times New Roman" w:cs="Times New Roman"/>
        </w:rPr>
        <w:t xml:space="preserve"> in precisely these topics and in the </w:t>
      </w:r>
      <w:proofErr w:type="spellStart"/>
      <w:r w:rsidRPr="00A472FC">
        <w:rPr>
          <w:rFonts w:ascii="Times New Roman" w:hAnsi="Times New Roman" w:cs="Times New Roman"/>
        </w:rPr>
        <w:t>Galenic</w:t>
      </w:r>
      <w:proofErr w:type="spellEnd"/>
      <w:r w:rsidRPr="00A472FC">
        <w:rPr>
          <w:rFonts w:ascii="Times New Roman" w:hAnsi="Times New Roman" w:cs="Times New Roman"/>
        </w:rPr>
        <w:t xml:space="preserve"> medical tradition that facilitated efforts to discuss them. </w:t>
      </w:r>
      <w:r w:rsidR="0003783C" w:rsidRPr="00A472FC">
        <w:rPr>
          <w:rFonts w:ascii="Times New Roman" w:hAnsi="Times New Roman" w:cs="Times New Roman"/>
        </w:rPr>
        <w:t xml:space="preserve">The </w:t>
      </w:r>
      <w:r w:rsidRPr="00A472FC">
        <w:rPr>
          <w:rFonts w:ascii="Times New Roman" w:hAnsi="Times New Roman" w:cs="Times New Roman"/>
        </w:rPr>
        <w:t>Cistercian work</w:t>
      </w:r>
      <w:r w:rsidR="0003783C" w:rsidRPr="00A472FC">
        <w:rPr>
          <w:rFonts w:ascii="Times New Roman" w:hAnsi="Times New Roman" w:cs="Times New Roman"/>
        </w:rPr>
        <w:t xml:space="preserve"> that was</w:t>
      </w:r>
      <w:r w:rsidRPr="00A472FC">
        <w:rPr>
          <w:rFonts w:ascii="Times New Roman" w:hAnsi="Times New Roman" w:cs="Times New Roman"/>
        </w:rPr>
        <w:t xml:space="preserve"> most influential for </w:t>
      </w:r>
      <w:r w:rsidR="008F2033" w:rsidRPr="00A472FC">
        <w:rPr>
          <w:rFonts w:ascii="Times New Roman" w:hAnsi="Times New Roman" w:cs="Times New Roman"/>
        </w:rPr>
        <w:t>early Franciscans</w:t>
      </w:r>
      <w:r w:rsidRPr="00A472FC">
        <w:rPr>
          <w:rFonts w:ascii="Times New Roman" w:hAnsi="Times New Roman" w:cs="Times New Roman"/>
        </w:rPr>
        <w:t xml:space="preserve"> was undoubtedly the anonymous </w:t>
      </w:r>
      <w:r w:rsidRPr="00A472FC">
        <w:rPr>
          <w:rFonts w:ascii="Times New Roman" w:hAnsi="Times New Roman" w:cs="Times New Roman"/>
          <w:i/>
        </w:rPr>
        <w:t xml:space="preserve">De </w:t>
      </w:r>
      <w:proofErr w:type="spellStart"/>
      <w:r w:rsidRPr="00A472FC">
        <w:rPr>
          <w:rFonts w:ascii="Times New Roman" w:hAnsi="Times New Roman" w:cs="Times New Roman"/>
          <w:i/>
        </w:rPr>
        <w:t>spiritu</w:t>
      </w:r>
      <w:proofErr w:type="spellEnd"/>
      <w:r w:rsidRPr="00A472FC">
        <w:rPr>
          <w:rFonts w:ascii="Times New Roman" w:hAnsi="Times New Roman" w:cs="Times New Roman"/>
          <w:i/>
        </w:rPr>
        <w:t xml:space="preserve"> et anima</w:t>
      </w:r>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wrongly attributed to Augustine until the 1240s. </w:t>
      </w:r>
    </w:p>
    <w:p w14:paraId="203834AC" w14:textId="1ABB26DF" w:rsidR="00665333" w:rsidRPr="00A472FC" w:rsidRDefault="00665333" w:rsidP="0003783C">
      <w:pPr>
        <w:ind w:right="-52" w:firstLine="720"/>
        <w:rPr>
          <w:rFonts w:ascii="Times New Roman" w:hAnsi="Times New Roman" w:cs="Times New Roman"/>
        </w:rPr>
      </w:pPr>
      <w:r w:rsidRPr="00A472FC">
        <w:rPr>
          <w:rFonts w:ascii="Times New Roman" w:hAnsi="Times New Roman" w:cs="Times New Roman"/>
        </w:rPr>
        <w:t xml:space="preserve">Even more significant than the Cistercian background were the philosophical resources that became available in Latin from the second half of the twelfth century through the Greco-Arabic translation movement. Among these, the most important sources were not only Aristotle’s works on natural philosophy but also Avicenna’s </w:t>
      </w:r>
      <w:r w:rsidRPr="00A472FC">
        <w:rPr>
          <w:rFonts w:ascii="Times New Roman" w:hAnsi="Times New Roman" w:cs="Times New Roman"/>
          <w:i/>
        </w:rPr>
        <w:t xml:space="preserve">Book of the Cure </w:t>
      </w:r>
      <w:r w:rsidRPr="00A472FC">
        <w:rPr>
          <w:rFonts w:ascii="Times New Roman" w:hAnsi="Times New Roman" w:cs="Times New Roman"/>
        </w:rPr>
        <w:t>which was available in Latin translation by 1166. Although this massive treatise covered standard topics in the Aristotelian tradition—such as</w:t>
      </w:r>
      <w:r w:rsidR="008F2033" w:rsidRPr="00A472FC">
        <w:rPr>
          <w:rFonts w:ascii="Times New Roman" w:hAnsi="Times New Roman" w:cs="Times New Roman"/>
        </w:rPr>
        <w:t xml:space="preserve"> </w:t>
      </w:r>
      <w:r w:rsidRPr="00A472FC">
        <w:rPr>
          <w:rFonts w:ascii="Times New Roman" w:hAnsi="Times New Roman" w:cs="Times New Roman"/>
        </w:rPr>
        <w:t xml:space="preserve">metaphysics, psychology, physics, </w:t>
      </w:r>
      <w:r w:rsidR="00AA07EB" w:rsidRPr="00A472FC">
        <w:rPr>
          <w:rFonts w:ascii="Times New Roman" w:hAnsi="Times New Roman" w:cs="Times New Roman"/>
        </w:rPr>
        <w:t xml:space="preserve">theology, </w:t>
      </w:r>
      <w:r w:rsidRPr="00A472FC">
        <w:rPr>
          <w:rFonts w:ascii="Times New Roman" w:hAnsi="Times New Roman" w:cs="Times New Roman"/>
        </w:rPr>
        <w:t xml:space="preserve">and logic—Avicenna approached these matters in an original way that was nonetheless marked by his Neo-Platonism. </w:t>
      </w:r>
    </w:p>
    <w:p w14:paraId="274973B1" w14:textId="71A2BF90"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lastRenderedPageBreak/>
        <w:t xml:space="preserve">Following a longstanding tradition in Greek and Arabic philosophy, we have seen that Avicenna regarded Aristotle as himself a kind of </w:t>
      </w:r>
      <w:proofErr w:type="spellStart"/>
      <w:r w:rsidRPr="00A472FC">
        <w:rPr>
          <w:rFonts w:ascii="Times New Roman" w:hAnsi="Times New Roman" w:cs="Times New Roman"/>
        </w:rPr>
        <w:t>Neo-Platonist</w:t>
      </w:r>
      <w:proofErr w:type="spellEnd"/>
      <w:r w:rsidRPr="00A472FC">
        <w:rPr>
          <w:rFonts w:ascii="Times New Roman" w:hAnsi="Times New Roman" w:cs="Times New Roman"/>
        </w:rPr>
        <w:t xml:space="preserve">. The wide-scale reception of Avicenna in this period therefore encouraged Latin thinkers to read not only Aristotle but also their own Christian Neo-Platonic sources like Augustine both in line with Avicenna and relation to each other. As noted above, the reading of Aristotle in his own right only matured in the 1250s and 60s, when improved translations of his works were produced, which could be studied with the aid of the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commentaries that appeared from a</w:t>
      </w:r>
      <w:r w:rsidR="00E71D02" w:rsidRPr="00A472FC">
        <w:rPr>
          <w:rFonts w:ascii="Times New Roman" w:hAnsi="Times New Roman" w:cs="Times New Roman"/>
        </w:rPr>
        <w:t>round 1230</w:t>
      </w:r>
      <w:r w:rsidRPr="00A472FC">
        <w:rPr>
          <w:rFonts w:ascii="Times New Roman" w:hAnsi="Times New Roman" w:cs="Times New Roman"/>
        </w:rPr>
        <w:t xml:space="preserve">. </w:t>
      </w:r>
    </w:p>
    <w:p w14:paraId="47E81289" w14:textId="129A2916"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In addition to Avicenna, a number of other Arabic-language sources influenced Latin thinkers working in the first half of the thirteenth century, including the Jewish philosopher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w:t>
      </w:r>
      <w:r w:rsidR="00CF5149" w:rsidRPr="00A472FC">
        <w:rPr>
          <w:rFonts w:ascii="Times New Roman" w:hAnsi="Times New Roman" w:cs="Times New Roman"/>
        </w:rPr>
        <w:t xml:space="preserve">who is </w:t>
      </w:r>
      <w:r w:rsidRPr="00A472FC">
        <w:rPr>
          <w:rFonts w:ascii="Times New Roman" w:hAnsi="Times New Roman" w:cs="Times New Roman"/>
        </w:rPr>
        <w:t xml:space="preserve">known for his universal hylomorphism, or the theory that all things including the soul and angels consist of matter and form; and Costa Ben Luca, a Syrian Christian who </w:t>
      </w:r>
      <w:proofErr w:type="spellStart"/>
      <w:r w:rsidRPr="00A472FC">
        <w:rPr>
          <w:rFonts w:ascii="Times New Roman" w:hAnsi="Times New Roman" w:cs="Times New Roman"/>
        </w:rPr>
        <w:t>popularized</w:t>
      </w:r>
      <w:proofErr w:type="spellEnd"/>
      <w:r w:rsidRPr="00A472FC">
        <w:rPr>
          <w:rFonts w:ascii="Times New Roman" w:hAnsi="Times New Roman" w:cs="Times New Roman"/>
        </w:rPr>
        <w:t xml:space="preserve"> the idea of a physical medium between the body and the soul. An important transmitter of these sources was </w:t>
      </w:r>
      <w:proofErr w:type="spellStart"/>
      <w:r w:rsidRPr="00A472FC">
        <w:rPr>
          <w:rFonts w:ascii="Times New Roman" w:hAnsi="Times New Roman" w:cs="Times New Roman"/>
        </w:rPr>
        <w:t>Dominicus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Gundissalinus</w:t>
      </w:r>
      <w:proofErr w:type="spellEnd"/>
      <w:r w:rsidR="00463636" w:rsidRPr="00A472FC">
        <w:rPr>
          <w:rFonts w:ascii="Times New Roman" w:hAnsi="Times New Roman" w:cs="Times New Roman"/>
        </w:rPr>
        <w:t>,</w:t>
      </w:r>
      <w:r w:rsidRPr="00A472FC">
        <w:rPr>
          <w:rFonts w:ascii="Times New Roman" w:hAnsi="Times New Roman" w:cs="Times New Roman"/>
        </w:rPr>
        <w:t xml:space="preserve"> who divided the work of translating them with </w:t>
      </w:r>
      <w:proofErr w:type="spellStart"/>
      <w:r w:rsidR="005D5B21" w:rsidRPr="00A472FC">
        <w:rPr>
          <w:rFonts w:ascii="Times New Roman" w:hAnsi="Times New Roman" w:cs="Times New Roman"/>
        </w:rPr>
        <w:t>Avendauth</w:t>
      </w:r>
      <w:proofErr w:type="spellEnd"/>
      <w:r w:rsidRPr="00A472FC">
        <w:rPr>
          <w:rFonts w:ascii="Times New Roman" w:hAnsi="Times New Roman" w:cs="Times New Roman"/>
        </w:rPr>
        <w:t xml:space="preserve"> and served to channel the ideas of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and Avicenna particularly to Latin thinkers through his own writings. </w:t>
      </w:r>
    </w:p>
    <w:p w14:paraId="2D1BE551" w14:textId="1290753B"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Although these sources were available from the late twelfth century, their reception in the West was delayed and mitigated by a variety of factors. In the first place, theologians were initially hesitant about the idea of incorporating natural philosophy into their own curriculum and thinking, not least because of certain misuses of it in the arts faculty that led to the 1210 condemnation of Aristotle’s major works in this area. The renewal of the condemnation in 1215 and 1228 basically prevented public lecturing on Aristotle, though it did not inhibit private study, which was certainly taking place in the 1220s and 1230s, increasingly with </w:t>
      </w:r>
      <w:r w:rsidR="001651DC" w:rsidRPr="00A472FC">
        <w:rPr>
          <w:rFonts w:ascii="Times New Roman" w:hAnsi="Times New Roman" w:cs="Times New Roman"/>
        </w:rPr>
        <w:t xml:space="preserve">implicit </w:t>
      </w:r>
      <w:r w:rsidRPr="00A472FC">
        <w:rPr>
          <w:rFonts w:ascii="Times New Roman" w:hAnsi="Times New Roman" w:cs="Times New Roman"/>
        </w:rPr>
        <w:t xml:space="preserve">Papal support and approval. </w:t>
      </w:r>
    </w:p>
    <w:p w14:paraId="22391C36" w14:textId="77777777"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Over the course of this time frame, theologians started to warm to the idea of Aristotle’s natural philosophy, at least as interpreted through Avicenna and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Still, the majority delved into the subject matter only so far as they considered it consistent with the limits and goals of their discipline and the broadly Augustinian tradition from which they drew their primary inspiration. From the combined consideration of these translated sources and their own Christian sources, they developed a common set of questions that most sought to address in one way or another. These included the following: </w:t>
      </w:r>
    </w:p>
    <w:p w14:paraId="03FBF78C" w14:textId="77777777" w:rsidR="00665333" w:rsidRPr="00A472FC" w:rsidRDefault="00665333" w:rsidP="00881604">
      <w:pPr>
        <w:ind w:right="-52" w:firstLine="720"/>
        <w:rPr>
          <w:rFonts w:ascii="Times New Roman" w:hAnsi="Times New Roman" w:cs="Times New Roman"/>
        </w:rPr>
      </w:pPr>
    </w:p>
    <w:p w14:paraId="7454649D" w14:textId="6D6181C1" w:rsidR="00665333" w:rsidRPr="00A472FC" w:rsidRDefault="00665333" w:rsidP="003B4F15">
      <w:pPr>
        <w:pStyle w:val="ListParagraph"/>
        <w:numPr>
          <w:ilvl w:val="0"/>
          <w:numId w:val="27"/>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 xml:space="preserve">Is </w:t>
      </w:r>
      <w:r w:rsidR="003B4F15" w:rsidRPr="00A472FC">
        <w:rPr>
          <w:rFonts w:ascii="Times New Roman" w:hAnsi="Times New Roman" w:cs="Times New Roman"/>
          <w:color w:val="000000" w:themeColor="text1"/>
        </w:rPr>
        <w:t>the soul composed of matter and form, per universal hylomorphism?</w:t>
      </w:r>
    </w:p>
    <w:p w14:paraId="64A4C20F" w14:textId="5B50950C" w:rsidR="00665333" w:rsidRPr="00A472FC" w:rsidRDefault="003B4F15" w:rsidP="003B4F15">
      <w:pPr>
        <w:pStyle w:val="ListParagraph"/>
        <w:numPr>
          <w:ilvl w:val="0"/>
          <w:numId w:val="27"/>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Is</w:t>
      </w:r>
      <w:r w:rsidR="009E6FA8" w:rsidRPr="00A472FC">
        <w:rPr>
          <w:rFonts w:ascii="Times New Roman" w:hAnsi="Times New Roman" w:cs="Times New Roman"/>
          <w:color w:val="000000" w:themeColor="text1"/>
        </w:rPr>
        <w:t xml:space="preserve"> </w:t>
      </w:r>
      <w:r w:rsidRPr="00A472FC">
        <w:rPr>
          <w:rFonts w:ascii="Times New Roman" w:hAnsi="Times New Roman" w:cs="Times New Roman"/>
          <w:color w:val="000000" w:themeColor="text1"/>
        </w:rPr>
        <w:t>the soul united to the body accidentally or substantially?</w:t>
      </w:r>
    </w:p>
    <w:p w14:paraId="1FB5B05D" w14:textId="77777777" w:rsidR="00665333" w:rsidRPr="00A472FC" w:rsidRDefault="00665333" w:rsidP="00881604">
      <w:pPr>
        <w:pStyle w:val="ListParagraph"/>
        <w:numPr>
          <w:ilvl w:val="0"/>
          <w:numId w:val="27"/>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Is the soul united to the body through a medium?</w:t>
      </w:r>
    </w:p>
    <w:p w14:paraId="183B9D61" w14:textId="77777777" w:rsidR="00665333" w:rsidRPr="00A472FC" w:rsidRDefault="00665333" w:rsidP="00881604">
      <w:pPr>
        <w:pStyle w:val="ListParagraph"/>
        <w:numPr>
          <w:ilvl w:val="0"/>
          <w:numId w:val="27"/>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Are the vegetative, sensitive, and rational powers three substances in the soul?</w:t>
      </w:r>
    </w:p>
    <w:p w14:paraId="4211518E" w14:textId="77777777" w:rsidR="00665333" w:rsidRPr="00A472FC" w:rsidRDefault="00665333" w:rsidP="00881604">
      <w:pPr>
        <w:pStyle w:val="ListParagraph"/>
        <w:numPr>
          <w:ilvl w:val="0"/>
          <w:numId w:val="27"/>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Is the essence of the soul identical with its powers?</w:t>
      </w:r>
    </w:p>
    <w:p w14:paraId="2D727AB8" w14:textId="77777777" w:rsidR="00665333" w:rsidRPr="00A472FC" w:rsidRDefault="00665333" w:rsidP="00881604">
      <w:pPr>
        <w:pStyle w:val="ListParagraph"/>
        <w:numPr>
          <w:ilvl w:val="0"/>
          <w:numId w:val="27"/>
        </w:numPr>
        <w:ind w:right="-52"/>
        <w:rPr>
          <w:rFonts w:ascii="Times New Roman" w:hAnsi="Times New Roman" w:cs="Times New Roman"/>
          <w:color w:val="000000" w:themeColor="text1"/>
        </w:rPr>
      </w:pPr>
      <w:r w:rsidRPr="00A472FC">
        <w:rPr>
          <w:rFonts w:ascii="Times New Roman" w:hAnsi="Times New Roman" w:cs="Times New Roman"/>
          <w:color w:val="000000" w:themeColor="text1"/>
        </w:rPr>
        <w:t>Do the vegetative and sense powers survive the death of the body?</w:t>
      </w:r>
    </w:p>
    <w:p w14:paraId="1BDABF49" w14:textId="77777777" w:rsidR="00665333" w:rsidRPr="00A472FC" w:rsidRDefault="00665333" w:rsidP="00881604">
      <w:pPr>
        <w:ind w:right="-52" w:firstLine="720"/>
        <w:rPr>
          <w:rFonts w:ascii="Times New Roman" w:hAnsi="Times New Roman" w:cs="Times New Roman"/>
        </w:rPr>
      </w:pPr>
    </w:p>
    <w:p w14:paraId="30227F20" w14:textId="4D68E094" w:rsidR="00796963" w:rsidRPr="00A472FC" w:rsidRDefault="00665333" w:rsidP="00796963">
      <w:pPr>
        <w:ind w:right="-52" w:firstLine="720"/>
        <w:rPr>
          <w:rFonts w:ascii="Times New Roman" w:hAnsi="Times New Roman" w:cs="Times New Roman"/>
        </w:rPr>
      </w:pPr>
      <w:r w:rsidRPr="00A472FC">
        <w:rPr>
          <w:rFonts w:ascii="Times New Roman" w:hAnsi="Times New Roman" w:cs="Times New Roman"/>
        </w:rPr>
        <w:t xml:space="preserve">As I showed in </w:t>
      </w:r>
      <w:r w:rsidRPr="00A472FC">
        <w:rPr>
          <w:rFonts w:ascii="Times New Roman" w:hAnsi="Times New Roman" w:cs="Times New Roman"/>
          <w:b/>
          <w:bCs/>
        </w:rPr>
        <w:t>chapter two,</w:t>
      </w:r>
      <w:r w:rsidRPr="00A472FC">
        <w:rPr>
          <w:rFonts w:ascii="Times New Roman" w:hAnsi="Times New Roman" w:cs="Times New Roman"/>
        </w:rPr>
        <w:t xml:space="preserve"> </w:t>
      </w:r>
      <w:r w:rsidR="00090108" w:rsidRPr="00A472FC">
        <w:rPr>
          <w:rFonts w:ascii="Times New Roman" w:hAnsi="Times New Roman" w:cs="Times New Roman"/>
        </w:rPr>
        <w:t xml:space="preserve">a relatively </w:t>
      </w:r>
      <w:r w:rsidRPr="00A472FC">
        <w:rPr>
          <w:rFonts w:ascii="Times New Roman" w:hAnsi="Times New Roman" w:cs="Times New Roman"/>
        </w:rPr>
        <w:t xml:space="preserve">limited engagement with these questions is found in William of </w:t>
      </w:r>
      <w:proofErr w:type="spellStart"/>
      <w:r w:rsidRPr="00A472FC">
        <w:rPr>
          <w:rFonts w:ascii="Times New Roman" w:hAnsi="Times New Roman" w:cs="Times New Roman"/>
        </w:rPr>
        <w:t>Auxerre</w:t>
      </w:r>
      <w:proofErr w:type="spellEnd"/>
      <w:r w:rsidRPr="00A472FC">
        <w:rPr>
          <w:rFonts w:ascii="Times New Roman" w:hAnsi="Times New Roman" w:cs="Times New Roman"/>
        </w:rPr>
        <w:t xml:space="preserve"> and Alexander of Hales, who were nevertheless among the most sophisticated and influential figures of the 1220s. </w:t>
      </w:r>
      <w:r w:rsidR="006973DF" w:rsidRPr="00A472FC">
        <w:rPr>
          <w:rFonts w:ascii="Times New Roman" w:hAnsi="Times New Roman" w:cs="Times New Roman"/>
        </w:rPr>
        <w:t xml:space="preserve">The </w:t>
      </w:r>
      <w:r w:rsidRPr="00A472FC">
        <w:rPr>
          <w:rFonts w:ascii="Times New Roman" w:hAnsi="Times New Roman" w:cs="Times New Roman"/>
        </w:rPr>
        <w:t xml:space="preserve">first to reckon with them more seriously was Philip the Chancellor, whose work </w:t>
      </w:r>
      <w:r w:rsidR="000657BD" w:rsidRPr="00A472FC">
        <w:rPr>
          <w:rFonts w:ascii="Times New Roman" w:hAnsi="Times New Roman" w:cs="Times New Roman"/>
        </w:rPr>
        <w:t xml:space="preserve">greatly </w:t>
      </w:r>
      <w:r w:rsidRPr="00A472FC">
        <w:rPr>
          <w:rFonts w:ascii="Times New Roman" w:hAnsi="Times New Roman" w:cs="Times New Roman"/>
        </w:rPr>
        <w:t xml:space="preserve">impacted the development of early Franciscan thought. Also important was the earlier, though anonymous, text edited by Daniel Callus, which was itself influenced by an anonymous text edited by Gauthier. Although the Dominicans Hugh of St Cher and Roland of Cremona worked in the early 1230s, as Paris started to emerge from the weight of the condemnations, they still proved timid in treating the work of Aristotle. They addressed some of the questions mentioned above, albeit briefly, which they felt were appropriate for theologians, but left most others to one side. </w:t>
      </w:r>
    </w:p>
    <w:p w14:paraId="75F469B8" w14:textId="77777777" w:rsidR="009C7686" w:rsidRPr="00A472FC" w:rsidRDefault="00665333" w:rsidP="00C117CF">
      <w:pPr>
        <w:ind w:right="-52" w:firstLine="720"/>
        <w:rPr>
          <w:rFonts w:ascii="Times New Roman" w:hAnsi="Times New Roman" w:cs="Times New Roman"/>
        </w:rPr>
      </w:pPr>
      <w:r w:rsidRPr="00A472FC">
        <w:rPr>
          <w:rFonts w:ascii="Times New Roman" w:hAnsi="Times New Roman" w:cs="Times New Roman"/>
        </w:rPr>
        <w:t xml:space="preserve">In this context, </w:t>
      </w:r>
      <w:r w:rsidR="00796963" w:rsidRPr="00A472FC">
        <w:rPr>
          <w:rFonts w:ascii="Times New Roman" w:hAnsi="Times New Roman" w:cs="Times New Roman"/>
        </w:rPr>
        <w:t xml:space="preserve">therefore, </w:t>
      </w:r>
      <w:r w:rsidRPr="00A472FC">
        <w:rPr>
          <w:rFonts w:ascii="Times New Roman" w:hAnsi="Times New Roman" w:cs="Times New Roman"/>
        </w:rPr>
        <w:t xml:space="preserve">John of La Rochelle emerges as a daring figure who was prepared as early as 1232 and 1236 in his </w:t>
      </w:r>
      <w:proofErr w:type="spellStart"/>
      <w:r w:rsidR="00040053" w:rsidRPr="00A472FC">
        <w:rPr>
          <w:rFonts w:ascii="Times New Roman" w:hAnsi="Times New Roman" w:cs="Times New Roman"/>
          <w:i/>
        </w:rPr>
        <w:t>Tractatus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and </w:t>
      </w:r>
      <w:r w:rsidRPr="00A472FC">
        <w:rPr>
          <w:rFonts w:ascii="Times New Roman" w:hAnsi="Times New Roman" w:cs="Times New Roman"/>
          <w:i/>
        </w:rPr>
        <w:t>Summa de anima</w:t>
      </w:r>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respectively,</w:t>
      </w:r>
      <w:r w:rsidRPr="00A472FC">
        <w:rPr>
          <w:rFonts w:ascii="Times New Roman" w:hAnsi="Times New Roman" w:cs="Times New Roman"/>
          <w:i/>
        </w:rPr>
        <w:t xml:space="preserve"> </w:t>
      </w:r>
      <w:r w:rsidRPr="00A472FC">
        <w:rPr>
          <w:rFonts w:ascii="Times New Roman" w:hAnsi="Times New Roman" w:cs="Times New Roman"/>
        </w:rPr>
        <w:t xml:space="preserve">to </w:t>
      </w:r>
      <w:r w:rsidRPr="00A472FC">
        <w:rPr>
          <w:rFonts w:ascii="Times New Roman" w:hAnsi="Times New Roman" w:cs="Times New Roman"/>
        </w:rPr>
        <w:lastRenderedPageBreak/>
        <w:t>branch out into completely new territory and to encompass</w:t>
      </w:r>
      <w:r w:rsidR="005F5022" w:rsidRPr="00A472FC">
        <w:rPr>
          <w:rFonts w:ascii="Times New Roman" w:hAnsi="Times New Roman" w:cs="Times New Roman"/>
        </w:rPr>
        <w:t xml:space="preserve"> not only the new medical material but also</w:t>
      </w:r>
      <w:r w:rsidRPr="00A472FC">
        <w:rPr>
          <w:rFonts w:ascii="Times New Roman" w:hAnsi="Times New Roman" w:cs="Times New Roman"/>
        </w:rPr>
        <w:t xml:space="preserve"> the full scale of Avicenna’s theories of external and internal sensation and intellection. As we have seen, he read these theories in relation to </w:t>
      </w:r>
      <w:r w:rsidR="001651DC" w:rsidRPr="00A472FC">
        <w:rPr>
          <w:rFonts w:ascii="Times New Roman" w:hAnsi="Times New Roman" w:cs="Times New Roman"/>
        </w:rPr>
        <w:t>pseudo-</w:t>
      </w:r>
      <w:r w:rsidRPr="00A472FC">
        <w:rPr>
          <w:rFonts w:ascii="Times New Roman" w:hAnsi="Times New Roman" w:cs="Times New Roman"/>
        </w:rPr>
        <w:t xml:space="preserve">Augustine and the new authority for systematic theologians, John of Damascus, in order to highlight the relevance or importance of his effort in relation to the Christian tradition. In the </w:t>
      </w:r>
      <w:r w:rsidRPr="00A472FC">
        <w:rPr>
          <w:rFonts w:ascii="Times New Roman" w:hAnsi="Times New Roman" w:cs="Times New Roman"/>
          <w:i/>
        </w:rPr>
        <w:t xml:space="preserve">Summa de anima </w:t>
      </w:r>
      <w:r w:rsidRPr="00A472FC">
        <w:rPr>
          <w:rFonts w:ascii="Times New Roman" w:hAnsi="Times New Roman" w:cs="Times New Roman"/>
        </w:rPr>
        <w:t>in particular, he additionally reckoned in the most extensive manner to date with the questions mentioned above.</w:t>
      </w:r>
      <w:r w:rsidR="002E40FE" w:rsidRPr="00A472FC">
        <w:rPr>
          <w:rFonts w:ascii="Times New Roman" w:hAnsi="Times New Roman" w:cs="Times New Roman"/>
        </w:rPr>
        <w:t xml:space="preserve"> </w:t>
      </w:r>
    </w:p>
    <w:p w14:paraId="551FC667" w14:textId="3A239784" w:rsidR="00665333" w:rsidRPr="00A472FC" w:rsidRDefault="00957F7D" w:rsidP="00C117CF">
      <w:pPr>
        <w:ind w:right="-52" w:firstLine="720"/>
        <w:rPr>
          <w:rFonts w:ascii="Times New Roman" w:hAnsi="Times New Roman" w:cs="Times New Roman"/>
        </w:rPr>
      </w:pPr>
      <w:r w:rsidRPr="00A472FC">
        <w:rPr>
          <w:rFonts w:ascii="Times New Roman" w:hAnsi="Times New Roman" w:cs="Times New Roman"/>
        </w:rPr>
        <w:t xml:space="preserve">The reason for his boldness in these respects is not one he discloses to us, and thus we can only guess that he may have been motivated by a desire to establish the scholarly primacy of the Franciscan order in a university context where the legitimacy of their presence was often questioned, precisely on the grounds of the religious ethos for which they were famous. This emphasised care for the poor and downtrodden and for creation, in the one hand, as well as spiritual </w:t>
      </w:r>
      <w:r w:rsidR="009C7686" w:rsidRPr="00A472FC">
        <w:rPr>
          <w:rFonts w:ascii="Times New Roman" w:hAnsi="Times New Roman" w:cs="Times New Roman"/>
        </w:rPr>
        <w:t>fervour and ecstatic union with God, on the other</w:t>
      </w:r>
      <w:r w:rsidR="00A6266D" w:rsidRPr="00A472FC">
        <w:rPr>
          <w:rFonts w:ascii="Times New Roman" w:hAnsi="Times New Roman" w:cs="Times New Roman"/>
        </w:rPr>
        <w:t xml:space="preserve">, both of which might have seemed I compatible with a robust intellectual life. </w:t>
      </w:r>
    </w:p>
    <w:p w14:paraId="7978A4B7" w14:textId="717B7FFE" w:rsidR="0064744E" w:rsidRPr="00A472FC" w:rsidRDefault="00A6266D" w:rsidP="00881604">
      <w:pPr>
        <w:ind w:right="-52" w:firstLine="720"/>
        <w:rPr>
          <w:rFonts w:ascii="Times New Roman" w:hAnsi="Times New Roman" w:cs="Times New Roman"/>
        </w:rPr>
      </w:pPr>
      <w:r w:rsidRPr="00A472FC">
        <w:rPr>
          <w:rFonts w:ascii="Times New Roman" w:hAnsi="Times New Roman" w:cs="Times New Roman"/>
        </w:rPr>
        <w:t>Whatever John’s reasons</w:t>
      </w:r>
      <w:r w:rsidR="009B75E9" w:rsidRPr="00A472FC">
        <w:rPr>
          <w:rFonts w:ascii="Times New Roman" w:hAnsi="Times New Roman" w:cs="Times New Roman"/>
        </w:rPr>
        <w:t xml:space="preserve"> for engaging so heavily in philosophy</w:t>
      </w:r>
      <w:r w:rsidRPr="00A472FC">
        <w:rPr>
          <w:rFonts w:ascii="Times New Roman" w:hAnsi="Times New Roman" w:cs="Times New Roman"/>
        </w:rPr>
        <w:t xml:space="preserve">, </w:t>
      </w:r>
      <w:r w:rsidR="00665333" w:rsidRPr="00A472FC">
        <w:rPr>
          <w:rFonts w:ascii="Times New Roman" w:hAnsi="Times New Roman" w:cs="Times New Roman"/>
        </w:rPr>
        <w:t xml:space="preserve">we saw in </w:t>
      </w:r>
      <w:r w:rsidR="00665333" w:rsidRPr="00A472FC">
        <w:rPr>
          <w:rFonts w:ascii="Times New Roman" w:hAnsi="Times New Roman" w:cs="Times New Roman"/>
          <w:b/>
        </w:rPr>
        <w:t>chapter three</w:t>
      </w:r>
      <w:r w:rsidRPr="00A472FC">
        <w:rPr>
          <w:rFonts w:ascii="Times New Roman" w:hAnsi="Times New Roman" w:cs="Times New Roman"/>
        </w:rPr>
        <w:t xml:space="preserve"> that </w:t>
      </w:r>
      <w:r w:rsidR="009B75E9" w:rsidRPr="00A472FC">
        <w:rPr>
          <w:rFonts w:ascii="Times New Roman" w:hAnsi="Times New Roman" w:cs="Times New Roman"/>
        </w:rPr>
        <w:t>he</w:t>
      </w:r>
      <w:r w:rsidR="00665333" w:rsidRPr="00A472FC">
        <w:rPr>
          <w:rFonts w:ascii="Times New Roman" w:hAnsi="Times New Roman" w:cs="Times New Roman"/>
        </w:rPr>
        <w:t xml:space="preserve"> went further than any of his immediate predecessors or contemporaries in trying to describe the interaction between the body and the soul. While he followed Avicenna, like most others at the time, in affirming that the soul and body are separate </w:t>
      </w:r>
      <w:r w:rsidR="00166E1F" w:rsidRPr="00A472FC">
        <w:rPr>
          <w:rFonts w:ascii="Times New Roman" w:hAnsi="Times New Roman" w:cs="Times New Roman"/>
        </w:rPr>
        <w:t>substances</w:t>
      </w:r>
      <w:r w:rsidR="00665333" w:rsidRPr="00A472FC">
        <w:rPr>
          <w:rFonts w:ascii="Times New Roman" w:hAnsi="Times New Roman" w:cs="Times New Roman"/>
        </w:rPr>
        <w:t xml:space="preserve">, he took Hugh of St Cher’s theory of the substantial </w:t>
      </w:r>
      <w:proofErr w:type="spellStart"/>
      <w:r w:rsidR="00665333" w:rsidRPr="00A472FC">
        <w:rPr>
          <w:rFonts w:ascii="Times New Roman" w:hAnsi="Times New Roman" w:cs="Times New Roman"/>
        </w:rPr>
        <w:t>unitability</w:t>
      </w:r>
      <w:proofErr w:type="spellEnd"/>
      <w:r w:rsidR="00665333" w:rsidRPr="00A472FC">
        <w:rPr>
          <w:rFonts w:ascii="Times New Roman" w:hAnsi="Times New Roman" w:cs="Times New Roman"/>
        </w:rPr>
        <w:t xml:space="preserve"> of the soul and the body to new lengths in expounding the notion that it is an essential property of of the soul to assume a body. Theologically, this was crucial for affirming the value of the body as God’s creation and the possibility of its final resurrection. </w:t>
      </w:r>
      <w:r w:rsidR="00DD3EFE" w:rsidRPr="00A472FC">
        <w:rPr>
          <w:rFonts w:ascii="Times New Roman" w:hAnsi="Times New Roman" w:cs="Times New Roman"/>
        </w:rPr>
        <w:t xml:space="preserve">For the Franciscans in particular, </w:t>
      </w:r>
      <w:r w:rsidR="00DA4399" w:rsidRPr="00A472FC">
        <w:rPr>
          <w:rFonts w:ascii="Times New Roman" w:hAnsi="Times New Roman" w:cs="Times New Roman"/>
        </w:rPr>
        <w:t xml:space="preserve">the notion of </w:t>
      </w:r>
      <w:proofErr w:type="spellStart"/>
      <w:r w:rsidR="00DA4399" w:rsidRPr="00A472FC">
        <w:rPr>
          <w:rFonts w:ascii="Times New Roman" w:hAnsi="Times New Roman" w:cs="Times New Roman"/>
          <w:i/>
          <w:iCs/>
        </w:rPr>
        <w:t>unibilitas</w:t>
      </w:r>
      <w:proofErr w:type="spellEnd"/>
      <w:r w:rsidR="00DA4399" w:rsidRPr="00A472FC">
        <w:rPr>
          <w:rFonts w:ascii="Times New Roman" w:hAnsi="Times New Roman" w:cs="Times New Roman"/>
          <w:i/>
          <w:iCs/>
        </w:rPr>
        <w:t xml:space="preserve"> </w:t>
      </w:r>
      <w:proofErr w:type="spellStart"/>
      <w:r w:rsidR="00DA4399" w:rsidRPr="00A472FC">
        <w:rPr>
          <w:rFonts w:ascii="Times New Roman" w:hAnsi="Times New Roman" w:cs="Times New Roman"/>
          <w:i/>
          <w:iCs/>
        </w:rPr>
        <w:t>substantialis</w:t>
      </w:r>
      <w:proofErr w:type="spellEnd"/>
      <w:r w:rsidR="00DA4399" w:rsidRPr="00A472FC">
        <w:rPr>
          <w:rFonts w:ascii="Times New Roman" w:hAnsi="Times New Roman" w:cs="Times New Roman"/>
          <w:i/>
          <w:iCs/>
        </w:rPr>
        <w:t xml:space="preserve"> </w:t>
      </w:r>
      <w:r w:rsidR="0064744E" w:rsidRPr="00A472FC">
        <w:rPr>
          <w:rFonts w:ascii="Times New Roman" w:hAnsi="Times New Roman" w:cs="Times New Roman"/>
        </w:rPr>
        <w:t xml:space="preserve">seemingly helped to affirm the value </w:t>
      </w:r>
      <w:r w:rsidR="00993483" w:rsidRPr="00A472FC">
        <w:rPr>
          <w:rFonts w:ascii="Times New Roman" w:hAnsi="Times New Roman" w:cs="Times New Roman"/>
        </w:rPr>
        <w:t>Francis of Assisi attributed to</w:t>
      </w:r>
      <w:r w:rsidR="0064744E" w:rsidRPr="00A472FC">
        <w:rPr>
          <w:rFonts w:ascii="Times New Roman" w:hAnsi="Times New Roman" w:cs="Times New Roman"/>
        </w:rPr>
        <w:t xml:space="preserve"> every person, no matter how poor or lowly, as well as </w:t>
      </w:r>
      <w:r w:rsidR="00BD4BE8" w:rsidRPr="00A472FC">
        <w:rPr>
          <w:rFonts w:ascii="Times New Roman" w:hAnsi="Times New Roman" w:cs="Times New Roman"/>
        </w:rPr>
        <w:t>his concern</w:t>
      </w:r>
      <w:r w:rsidR="0064744E" w:rsidRPr="00A472FC">
        <w:rPr>
          <w:rFonts w:ascii="Times New Roman" w:hAnsi="Times New Roman" w:cs="Times New Roman"/>
        </w:rPr>
        <w:t xml:space="preserve"> </w:t>
      </w:r>
      <w:r w:rsidR="00BD4BE8" w:rsidRPr="00A472FC">
        <w:rPr>
          <w:rFonts w:ascii="Times New Roman" w:hAnsi="Times New Roman" w:cs="Times New Roman"/>
        </w:rPr>
        <w:t>for</w:t>
      </w:r>
      <w:r w:rsidR="0064744E" w:rsidRPr="00A472FC">
        <w:rPr>
          <w:rFonts w:ascii="Times New Roman" w:hAnsi="Times New Roman" w:cs="Times New Roman"/>
        </w:rPr>
        <w:t xml:space="preserve"> </w:t>
      </w:r>
      <w:r w:rsidR="00BD4BE8" w:rsidRPr="00A472FC">
        <w:rPr>
          <w:rFonts w:ascii="Times New Roman" w:hAnsi="Times New Roman" w:cs="Times New Roman"/>
        </w:rPr>
        <w:t xml:space="preserve">all </w:t>
      </w:r>
      <w:r w:rsidR="0064744E" w:rsidRPr="00A472FC">
        <w:rPr>
          <w:rFonts w:ascii="Times New Roman" w:hAnsi="Times New Roman" w:cs="Times New Roman"/>
        </w:rPr>
        <w:t xml:space="preserve">creatures, each of which serves as a reflection of God’s love that deserves our care and attention in turn. </w:t>
      </w:r>
    </w:p>
    <w:p w14:paraId="3B4B371D" w14:textId="12B2F899" w:rsidR="009C697E" w:rsidRPr="00A472FC" w:rsidRDefault="00665333" w:rsidP="009C697E">
      <w:pPr>
        <w:ind w:right="-52" w:firstLine="720"/>
        <w:rPr>
          <w:rFonts w:ascii="Times New Roman" w:hAnsi="Times New Roman" w:cs="Times New Roman"/>
        </w:rPr>
      </w:pPr>
      <w:r w:rsidRPr="00A472FC">
        <w:rPr>
          <w:rFonts w:ascii="Times New Roman" w:hAnsi="Times New Roman" w:cs="Times New Roman"/>
        </w:rPr>
        <w:t xml:space="preserve">Following the trend of the 1230s, </w:t>
      </w:r>
      <w:r w:rsidR="00820A5D" w:rsidRPr="00A472FC">
        <w:rPr>
          <w:rFonts w:ascii="Times New Roman" w:hAnsi="Times New Roman" w:cs="Times New Roman"/>
        </w:rPr>
        <w:t>John of La Rochelle</w:t>
      </w:r>
      <w:r w:rsidRPr="00A472FC">
        <w:rPr>
          <w:rFonts w:ascii="Times New Roman" w:hAnsi="Times New Roman" w:cs="Times New Roman"/>
        </w:rPr>
        <w:t xml:space="preserve"> </w:t>
      </w:r>
      <w:r w:rsidR="003E38C6" w:rsidRPr="00A472FC">
        <w:rPr>
          <w:rFonts w:ascii="Times New Roman" w:hAnsi="Times New Roman" w:cs="Times New Roman"/>
        </w:rPr>
        <w:t>went on to</w:t>
      </w:r>
      <w:r w:rsidR="0087428D" w:rsidRPr="00A472FC">
        <w:rPr>
          <w:rFonts w:ascii="Times New Roman" w:hAnsi="Times New Roman" w:cs="Times New Roman"/>
        </w:rPr>
        <w:t xml:space="preserve"> </w:t>
      </w:r>
      <w:r w:rsidRPr="00A472FC">
        <w:rPr>
          <w:rFonts w:ascii="Times New Roman" w:hAnsi="Times New Roman" w:cs="Times New Roman"/>
        </w:rPr>
        <w:t xml:space="preserve">reject </w:t>
      </w:r>
      <w:proofErr w:type="spellStart"/>
      <w:r w:rsidRPr="00A472FC">
        <w:rPr>
          <w:rFonts w:ascii="Times New Roman" w:hAnsi="Times New Roman" w:cs="Times New Roman"/>
        </w:rPr>
        <w:t>Avicebron’s</w:t>
      </w:r>
      <w:proofErr w:type="spellEnd"/>
      <w:r w:rsidRPr="00A472FC">
        <w:rPr>
          <w:rFonts w:ascii="Times New Roman" w:hAnsi="Times New Roman" w:cs="Times New Roman"/>
        </w:rPr>
        <w:t xml:space="preserve"> idea that the soul itself is comprised of matter and form, in favour of Avicenna’s theory of the soul as a single form, insisting that this was more consistent with the Augustinian principle of the soul’s simplicity, and giving arguments to this effect which far exceeded earlier precedents. This move was important to affirming that the soul is a spiritual, non-bodily substance capable of relation to God.</w:t>
      </w:r>
      <w:r w:rsidR="0010235D" w:rsidRPr="00A472FC">
        <w:rPr>
          <w:rFonts w:ascii="Times New Roman" w:hAnsi="Times New Roman" w:cs="Times New Roman"/>
        </w:rPr>
        <w:t xml:space="preserve"> </w:t>
      </w:r>
      <w:r w:rsidRPr="00A472FC">
        <w:rPr>
          <w:rFonts w:ascii="Times New Roman" w:hAnsi="Times New Roman" w:cs="Times New Roman"/>
        </w:rPr>
        <w:t xml:space="preserve">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took the opposite position on this matter, affirming universal hylomorphism, or </w:t>
      </w:r>
      <w:proofErr w:type="spellStart"/>
      <w:r w:rsidRPr="00A472FC">
        <w:rPr>
          <w:rFonts w:ascii="Times New Roman" w:hAnsi="Times New Roman" w:cs="Times New Roman"/>
        </w:rPr>
        <w:t>Avicebron’s</w:t>
      </w:r>
      <w:proofErr w:type="spellEnd"/>
      <w:r w:rsidRPr="00A472FC">
        <w:rPr>
          <w:rFonts w:ascii="Times New Roman" w:hAnsi="Times New Roman" w:cs="Times New Roman"/>
        </w:rPr>
        <w:t xml:space="preserve"> idea that the soul is comprised of form and ‘spiritual’ matter, which by the 1240s had come to be conceived as the position more compatible with </w:t>
      </w:r>
      <w:proofErr w:type="spellStart"/>
      <w:r w:rsidRPr="00A472FC">
        <w:rPr>
          <w:rFonts w:ascii="Times New Roman" w:hAnsi="Times New Roman" w:cs="Times New Roman"/>
        </w:rPr>
        <w:t>Augustinianism</w:t>
      </w:r>
      <w:proofErr w:type="spellEnd"/>
      <w:r w:rsidR="005C4D59" w:rsidRPr="00A472FC">
        <w:rPr>
          <w:rFonts w:ascii="Times New Roman" w:hAnsi="Times New Roman" w:cs="Times New Roman"/>
        </w:rPr>
        <w:t>.</w:t>
      </w:r>
      <w:r w:rsidR="00DB74D9" w:rsidRPr="00A472FC">
        <w:rPr>
          <w:rFonts w:ascii="Times New Roman" w:hAnsi="Times New Roman" w:cs="Times New Roman"/>
        </w:rPr>
        <w:t xml:space="preserve"> </w:t>
      </w:r>
    </w:p>
    <w:p w14:paraId="2B091F86" w14:textId="12BA57B5" w:rsidR="00665333" w:rsidRPr="00A472FC" w:rsidRDefault="00665333" w:rsidP="005C4D59">
      <w:pPr>
        <w:ind w:right="-52" w:firstLine="720"/>
        <w:rPr>
          <w:rFonts w:ascii="Times New Roman" w:hAnsi="Times New Roman" w:cs="Times New Roman"/>
        </w:rPr>
      </w:pPr>
      <w:r w:rsidRPr="00A472FC">
        <w:rPr>
          <w:rFonts w:ascii="Times New Roman" w:hAnsi="Times New Roman" w:cs="Times New Roman"/>
        </w:rPr>
        <w:t xml:space="preserve">This shift in opinion illustrates nicely that what it meant to be an Augustinian in the early thirteenth century was very much up for debate. While many found Avicenna more faithful to Augustine on the question of the soul’s simplicity in the 1230s, the consensus opinion shifted in the 1240s in favour of </w:t>
      </w:r>
      <w:proofErr w:type="spellStart"/>
      <w:r w:rsidRPr="00A472FC">
        <w:rPr>
          <w:rFonts w:ascii="Times New Roman" w:hAnsi="Times New Roman" w:cs="Times New Roman"/>
        </w:rPr>
        <w:t>Avicebron</w:t>
      </w:r>
      <w:proofErr w:type="spellEnd"/>
      <w:r w:rsidR="009C697E" w:rsidRPr="00A472FC">
        <w:rPr>
          <w:rFonts w:ascii="Times New Roman" w:hAnsi="Times New Roman" w:cs="Times New Roman"/>
        </w:rPr>
        <w:t xml:space="preserve">, particularly amongst Franciscans. As we have seen, the doctrine of universal hylomorphism as they upheld it allowed them to attribute a kind of matter to angels </w:t>
      </w:r>
      <w:r w:rsidR="00B438FB" w:rsidRPr="00A472FC">
        <w:rPr>
          <w:rFonts w:ascii="Times New Roman" w:hAnsi="Times New Roman" w:cs="Times New Roman"/>
        </w:rPr>
        <w:t xml:space="preserve">and human souls </w:t>
      </w:r>
      <w:r w:rsidR="009C697E" w:rsidRPr="00A472FC">
        <w:rPr>
          <w:rFonts w:ascii="Times New Roman" w:hAnsi="Times New Roman" w:cs="Times New Roman"/>
        </w:rPr>
        <w:t>which therefore renders each one an individual</w:t>
      </w:r>
      <w:r w:rsidR="005C4D59" w:rsidRPr="00A472FC">
        <w:rPr>
          <w:rFonts w:ascii="Times New Roman" w:hAnsi="Times New Roman" w:cs="Times New Roman"/>
        </w:rPr>
        <w:t xml:space="preserve">. This was </w:t>
      </w:r>
      <w:r w:rsidR="00124D71" w:rsidRPr="00A472FC">
        <w:rPr>
          <w:rFonts w:ascii="Times New Roman" w:hAnsi="Times New Roman" w:cs="Times New Roman"/>
        </w:rPr>
        <w:t xml:space="preserve">consistent </w:t>
      </w:r>
      <w:r w:rsidR="009C697E" w:rsidRPr="00A472FC">
        <w:rPr>
          <w:rFonts w:ascii="Times New Roman" w:hAnsi="Times New Roman" w:cs="Times New Roman"/>
        </w:rPr>
        <w:t>with a broader Franciscan tradition of stressing God’s knowledge of and care</w:t>
      </w:r>
      <w:r w:rsidR="00B937A6" w:rsidRPr="00A472FC">
        <w:rPr>
          <w:rFonts w:ascii="Times New Roman" w:hAnsi="Times New Roman" w:cs="Times New Roman"/>
        </w:rPr>
        <w:t xml:space="preserve"> for </w:t>
      </w:r>
      <w:r w:rsidR="009C697E" w:rsidRPr="00A472FC">
        <w:rPr>
          <w:rFonts w:ascii="Times New Roman" w:hAnsi="Times New Roman" w:cs="Times New Roman"/>
        </w:rPr>
        <w:t xml:space="preserve">individuals rather than mere universals. </w:t>
      </w:r>
      <w:r w:rsidRPr="00A472FC">
        <w:rPr>
          <w:rFonts w:ascii="Times New Roman" w:hAnsi="Times New Roman" w:cs="Times New Roman"/>
        </w:rPr>
        <w:t xml:space="preserve">As regards the question of a physical medium between the soul and the body, </w:t>
      </w:r>
      <w:r w:rsidR="00390F72" w:rsidRPr="00A472FC">
        <w:rPr>
          <w:rFonts w:ascii="Times New Roman" w:hAnsi="Times New Roman" w:cs="Times New Roman"/>
        </w:rPr>
        <w:t xml:space="preserve">moreover, </w:t>
      </w:r>
      <w:r w:rsidRPr="00A472FC">
        <w:rPr>
          <w:rFonts w:ascii="Times New Roman" w:hAnsi="Times New Roman" w:cs="Times New Roman"/>
        </w:rPr>
        <w:t xml:space="preserve">John worked in the context of efforts already undertaken by Philip the Chancellor, who introduced the topic at Paris, </w:t>
      </w:r>
      <w:r w:rsidR="00237D05" w:rsidRPr="00A472FC">
        <w:rPr>
          <w:rFonts w:ascii="Times New Roman" w:hAnsi="Times New Roman" w:cs="Times New Roman"/>
        </w:rPr>
        <w:t>along with</w:t>
      </w:r>
      <w:r w:rsidRPr="00A472FC">
        <w:rPr>
          <w:rFonts w:ascii="Times New Roman" w:hAnsi="Times New Roman" w:cs="Times New Roman"/>
        </w:rPr>
        <w:t xml:space="preserve"> Hugh of St Cher and Roland of Cremona, who affirmed the theory in their writings. </w:t>
      </w:r>
    </w:p>
    <w:p w14:paraId="7C75EC43" w14:textId="42430E40" w:rsidR="002F5C72" w:rsidRPr="00A472FC" w:rsidRDefault="00665333" w:rsidP="002F5C72">
      <w:pPr>
        <w:ind w:right="-52" w:firstLine="720"/>
        <w:rPr>
          <w:rFonts w:ascii="Times New Roman" w:hAnsi="Times New Roman" w:cs="Times New Roman"/>
        </w:rPr>
      </w:pPr>
      <w:r w:rsidRPr="00A472FC">
        <w:rPr>
          <w:rFonts w:ascii="Times New Roman" w:hAnsi="Times New Roman" w:cs="Times New Roman"/>
        </w:rPr>
        <w:t xml:space="preserve">While Costa Ben Luca was the lead source for the general idea of a medium, early scholastic accounts of this topic particularly in the Chancellor were supplemented by recourse to </w:t>
      </w:r>
      <w:proofErr w:type="spellStart"/>
      <w:r w:rsidRPr="00A472FC">
        <w:rPr>
          <w:rFonts w:ascii="Times New Roman" w:hAnsi="Times New Roman" w:cs="Times New Roman"/>
        </w:rPr>
        <w:t>Avicebron</w:t>
      </w:r>
      <w:proofErr w:type="spellEnd"/>
      <w:r w:rsidRPr="00A472FC">
        <w:rPr>
          <w:rFonts w:ascii="Times New Roman" w:hAnsi="Times New Roman" w:cs="Times New Roman"/>
        </w:rPr>
        <w:t>, who delineated a hierarchy of forms through which the soul is connected to the body. This scheme was adapted by John of La Rochelle, who posits four media in total, two on the side of the body—the four humo</w:t>
      </w:r>
      <w:r w:rsidR="006F7C72" w:rsidRPr="00A472FC">
        <w:rPr>
          <w:rFonts w:ascii="Times New Roman" w:hAnsi="Times New Roman" w:cs="Times New Roman"/>
        </w:rPr>
        <w:t>u</w:t>
      </w:r>
      <w:r w:rsidRPr="00A472FC">
        <w:rPr>
          <w:rFonts w:ascii="Times New Roman" w:hAnsi="Times New Roman" w:cs="Times New Roman"/>
        </w:rPr>
        <w:t xml:space="preserve">rs and the vital spirit of Costa—and two on the side </w:t>
      </w:r>
      <w:r w:rsidRPr="00A472FC">
        <w:rPr>
          <w:rFonts w:ascii="Times New Roman" w:hAnsi="Times New Roman" w:cs="Times New Roman"/>
        </w:rPr>
        <w:lastRenderedPageBreak/>
        <w:t xml:space="preserve">of the soul, namely, the vegetative and sensible souls. Despite affirming this position, which is repeated in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John of La Rochelle also posits that the soul is united to the body without an intermediary</w:t>
      </w:r>
      <w:r w:rsidR="002F5C72" w:rsidRPr="00A472FC">
        <w:rPr>
          <w:rFonts w:ascii="Times New Roman" w:hAnsi="Times New Roman" w:cs="Times New Roman"/>
        </w:rPr>
        <w:t xml:space="preserve">, </w:t>
      </w:r>
      <w:r w:rsidRPr="00A472FC">
        <w:rPr>
          <w:rFonts w:ascii="Times New Roman" w:hAnsi="Times New Roman" w:cs="Times New Roman"/>
        </w:rPr>
        <w:t xml:space="preserve">as it is essentially and not accidentally united to the body. </w:t>
      </w:r>
    </w:p>
    <w:p w14:paraId="180B1845" w14:textId="3769A887" w:rsidR="00665333" w:rsidRPr="00A472FC" w:rsidRDefault="00665333" w:rsidP="002F5C72">
      <w:pPr>
        <w:ind w:right="-52" w:firstLine="720"/>
        <w:rPr>
          <w:rFonts w:ascii="Times New Roman" w:hAnsi="Times New Roman" w:cs="Times New Roman"/>
        </w:rPr>
      </w:pPr>
      <w:r w:rsidRPr="00A472FC">
        <w:rPr>
          <w:rFonts w:ascii="Times New Roman" w:hAnsi="Times New Roman" w:cs="Times New Roman"/>
        </w:rPr>
        <w:t>Theologically, this was important for highlighting that the soul made in God’s image bears the same kind of direct relationship to its body as God does to the soul</w:t>
      </w:r>
      <w:r w:rsidR="006A697C" w:rsidRPr="00A472FC">
        <w:rPr>
          <w:rFonts w:ascii="Times New Roman" w:hAnsi="Times New Roman" w:cs="Times New Roman"/>
        </w:rPr>
        <w:t>,</w:t>
      </w:r>
      <w:r w:rsidRPr="00A472FC">
        <w:rPr>
          <w:rFonts w:ascii="Times New Roman" w:hAnsi="Times New Roman" w:cs="Times New Roman"/>
        </w:rPr>
        <w:t xml:space="preserve"> as the one who creates it. </w:t>
      </w:r>
      <w:r w:rsidR="005C4D59" w:rsidRPr="00A472FC">
        <w:rPr>
          <w:rFonts w:ascii="Times New Roman" w:hAnsi="Times New Roman" w:cs="Times New Roman"/>
        </w:rPr>
        <w:t xml:space="preserve">In the Franciscan context particularly, the immediacy of the soul’s relationship with God </w:t>
      </w:r>
      <w:r w:rsidR="00BD44C6" w:rsidRPr="00A472FC">
        <w:rPr>
          <w:rFonts w:ascii="Times New Roman" w:hAnsi="Times New Roman" w:cs="Times New Roman"/>
        </w:rPr>
        <w:t xml:space="preserve">and by implication the body </w:t>
      </w:r>
      <w:r w:rsidR="005C4D59" w:rsidRPr="00A472FC">
        <w:rPr>
          <w:rFonts w:ascii="Times New Roman" w:hAnsi="Times New Roman" w:cs="Times New Roman"/>
        </w:rPr>
        <w:t xml:space="preserve">went a long way towards </w:t>
      </w:r>
      <w:proofErr w:type="spellStart"/>
      <w:r w:rsidR="005C4D59" w:rsidRPr="00A472FC">
        <w:rPr>
          <w:rFonts w:ascii="Times New Roman" w:hAnsi="Times New Roman" w:cs="Times New Roman"/>
        </w:rPr>
        <w:t>emphasizing</w:t>
      </w:r>
      <w:proofErr w:type="spellEnd"/>
      <w:r w:rsidR="005C4D59" w:rsidRPr="00A472FC">
        <w:rPr>
          <w:rFonts w:ascii="Times New Roman" w:hAnsi="Times New Roman" w:cs="Times New Roman"/>
        </w:rPr>
        <w:t xml:space="preserve"> the intimacy with God that Francis enjoyed</w:t>
      </w:r>
      <w:r w:rsidR="004C455B" w:rsidRPr="00A472FC">
        <w:rPr>
          <w:rFonts w:ascii="Times New Roman" w:hAnsi="Times New Roman" w:cs="Times New Roman"/>
        </w:rPr>
        <w:t xml:space="preserve">. </w:t>
      </w:r>
      <w:r w:rsidRPr="00A472FC">
        <w:rPr>
          <w:rFonts w:ascii="Times New Roman" w:hAnsi="Times New Roman" w:cs="Times New Roman"/>
        </w:rPr>
        <w:t>The apparent contradiction that has been associated with John’s thought on this score can be overcome</w:t>
      </w:r>
      <w:r w:rsidR="002B1599" w:rsidRPr="00A472FC">
        <w:rPr>
          <w:rFonts w:ascii="Times New Roman" w:hAnsi="Times New Roman" w:cs="Times New Roman"/>
        </w:rPr>
        <w:t xml:space="preserve">, as we have seen, </w:t>
      </w:r>
      <w:r w:rsidRPr="00A472FC">
        <w:rPr>
          <w:rFonts w:ascii="Times New Roman" w:hAnsi="Times New Roman" w:cs="Times New Roman"/>
        </w:rPr>
        <w:t xml:space="preserve">by </w:t>
      </w:r>
      <w:proofErr w:type="spellStart"/>
      <w:r w:rsidRPr="00A472FC">
        <w:rPr>
          <w:rFonts w:ascii="Times New Roman" w:hAnsi="Times New Roman" w:cs="Times New Roman"/>
        </w:rPr>
        <w:t>emphasizing</w:t>
      </w:r>
      <w:proofErr w:type="spellEnd"/>
      <w:r w:rsidRPr="00A472FC">
        <w:rPr>
          <w:rFonts w:ascii="Times New Roman" w:hAnsi="Times New Roman" w:cs="Times New Roman"/>
        </w:rPr>
        <w:t xml:space="preserve"> that the media </w:t>
      </w:r>
      <w:r w:rsidR="00163891" w:rsidRPr="00A472FC">
        <w:rPr>
          <w:rFonts w:ascii="Times New Roman" w:hAnsi="Times New Roman" w:cs="Times New Roman"/>
        </w:rPr>
        <w:t xml:space="preserve">between the soul and body </w:t>
      </w:r>
      <w:r w:rsidRPr="00A472FC">
        <w:rPr>
          <w:rFonts w:ascii="Times New Roman" w:hAnsi="Times New Roman" w:cs="Times New Roman"/>
        </w:rPr>
        <w:t xml:space="preserve">simply serve as the means to rendering the soul’s intentions into act. They do not </w:t>
      </w:r>
      <w:r w:rsidR="003D06EF" w:rsidRPr="00A472FC">
        <w:rPr>
          <w:rFonts w:ascii="Times New Roman" w:hAnsi="Times New Roman" w:cs="Times New Roman"/>
        </w:rPr>
        <w:t xml:space="preserve">disrupt the immediate connection between the </w:t>
      </w:r>
      <w:r w:rsidR="00163891" w:rsidRPr="00A472FC">
        <w:rPr>
          <w:rFonts w:ascii="Times New Roman" w:hAnsi="Times New Roman" w:cs="Times New Roman"/>
        </w:rPr>
        <w:t>two</w:t>
      </w:r>
      <w:r w:rsidR="002D48D7" w:rsidRPr="00A472FC">
        <w:rPr>
          <w:rFonts w:ascii="Times New Roman" w:hAnsi="Times New Roman" w:cs="Times New Roman"/>
        </w:rPr>
        <w:t xml:space="preserve"> </w:t>
      </w:r>
      <w:r w:rsidRPr="00A472FC">
        <w:rPr>
          <w:rFonts w:ascii="Times New Roman" w:hAnsi="Times New Roman" w:cs="Times New Roman"/>
        </w:rPr>
        <w:t xml:space="preserve">strictly speaking. </w:t>
      </w:r>
    </w:p>
    <w:p w14:paraId="7CAED891" w14:textId="7BA679FF"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Where chapter three examined John’s account of the first three questions mentioned above in the context of his early scholastic interlocutors, </w:t>
      </w:r>
      <w:r w:rsidRPr="00A472FC">
        <w:rPr>
          <w:rFonts w:ascii="Times New Roman" w:hAnsi="Times New Roman" w:cs="Times New Roman"/>
          <w:b/>
        </w:rPr>
        <w:t>chapter four</w:t>
      </w:r>
      <w:r w:rsidRPr="00A472FC">
        <w:rPr>
          <w:rFonts w:ascii="Times New Roman" w:hAnsi="Times New Roman" w:cs="Times New Roman"/>
        </w:rPr>
        <w:t xml:space="preserve"> looks at his approach to the latter three. The debate over whether there are three—vegetative, sensible, and rational</w:t>
      </w:r>
      <w:r w:rsidR="00593657" w:rsidRPr="00A472FC">
        <w:rPr>
          <w:rFonts w:ascii="Times New Roman" w:hAnsi="Times New Roman" w:cs="Times New Roman"/>
        </w:rPr>
        <w:t>—</w:t>
      </w:r>
      <w:r w:rsidRPr="00A472FC">
        <w:rPr>
          <w:rFonts w:ascii="Times New Roman" w:hAnsi="Times New Roman" w:cs="Times New Roman"/>
        </w:rPr>
        <w:t xml:space="preserve">souls or just one was fundamentally a debate over whether to follow Aristotle or Avicenna and pseudo-Augustine, and most early scholastics of the generation in question followed the latter pair of thinkers. Moreover, </w:t>
      </w:r>
      <w:r w:rsidR="00A66867" w:rsidRPr="00A472FC">
        <w:rPr>
          <w:rFonts w:ascii="Times New Roman" w:hAnsi="Times New Roman" w:cs="Times New Roman"/>
        </w:rPr>
        <w:t>this</w:t>
      </w:r>
      <w:r w:rsidRPr="00A472FC">
        <w:rPr>
          <w:rFonts w:ascii="Times New Roman" w:hAnsi="Times New Roman" w:cs="Times New Roman"/>
        </w:rPr>
        <w:t xml:space="preserve"> was another manifestation of the debate about how to affirm the simplicity of the soul. The first recorded discussion of this topic in the university context is found in the arts master John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though it had been treated before him by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who mediated the unicity theory to the West. </w:t>
      </w:r>
    </w:p>
    <w:p w14:paraId="5AB73A25" w14:textId="77777777"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The first theologian to engage with the question was Philip the Chancellor, whose view on this subject, like others, is famously ambiguous, in part because he transformed the discussion of three souls into one concerning three substances, the existence of which he affirmed. For him as for his predecessors, the first two substances—vegetative and sensitive—are passed on through generation and are corruptible, while the latter is created by God and survives death. These souls are progressive in that the first two prepare for the arrival of the third into which they are ultimately assimilated, which suggests that Philip endorsed the unicity theory in the last analysis. The Dominicans Roland of Cremona and Hugh of St Cher advocated this theory much more emphatically, as part of an effort to safeguard the simplicity of the soul, which they saw as an Augustinian theological axiom. </w:t>
      </w:r>
    </w:p>
    <w:p w14:paraId="423E86DE" w14:textId="2DB95C3F"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Amongst his contemporaries, Alexander of Hales was unique for arguing that the vegetative, sense and rational powers are so tightly bound together that the former two are actually immortal, a view that was adopted by John of La Rochelle and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These two sources also clearly support the unity thesis, which John following his contemporaries defends on the basis of spurious Augustinian texts like </w:t>
      </w:r>
      <w:r w:rsidRPr="00A472FC">
        <w:rPr>
          <w:rFonts w:ascii="Times New Roman" w:hAnsi="Times New Roman" w:cs="Times New Roman"/>
          <w:i/>
        </w:rPr>
        <w:t xml:space="preserve">De </w:t>
      </w:r>
      <w:proofErr w:type="spellStart"/>
      <w:r w:rsidRPr="00A472FC">
        <w:rPr>
          <w:rFonts w:ascii="Times New Roman" w:hAnsi="Times New Roman" w:cs="Times New Roman"/>
          <w:i/>
        </w:rPr>
        <w:t>ecclesiasticis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dogmati</w:t>
      </w:r>
      <w:r w:rsidR="008F724A" w:rsidRPr="00A472FC">
        <w:rPr>
          <w:rFonts w:ascii="Times New Roman" w:hAnsi="Times New Roman" w:cs="Times New Roman"/>
          <w:i/>
        </w:rPr>
        <w:t>bus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and the </w:t>
      </w:r>
      <w:r w:rsidRPr="00A472FC">
        <w:rPr>
          <w:rFonts w:ascii="Times New Roman" w:hAnsi="Times New Roman" w:cs="Times New Roman"/>
          <w:i/>
        </w:rPr>
        <w:t xml:space="preserve">De </w:t>
      </w:r>
      <w:proofErr w:type="spellStart"/>
      <w:r w:rsidRPr="00A472FC">
        <w:rPr>
          <w:rFonts w:ascii="Times New Roman" w:hAnsi="Times New Roman" w:cs="Times New Roman"/>
          <w:i/>
        </w:rPr>
        <w:t>spiritu</w:t>
      </w:r>
      <w:proofErr w:type="spellEnd"/>
      <w:r w:rsidRPr="00A472FC">
        <w:rPr>
          <w:rFonts w:ascii="Times New Roman" w:hAnsi="Times New Roman" w:cs="Times New Roman"/>
          <w:i/>
        </w:rPr>
        <w:t xml:space="preserve"> et anima. </w:t>
      </w:r>
      <w:r w:rsidRPr="00A472FC">
        <w:rPr>
          <w:rFonts w:ascii="Times New Roman" w:hAnsi="Times New Roman" w:cs="Times New Roman"/>
        </w:rPr>
        <w:t xml:space="preserve">For his part, John advocates what has come to be known as a ‘double theory’ of the vegetative and sensitive souls, which differentiates between these souls insofar as they exist before and after the arrival of the rational soul. While the first set of souls merely dispose an embryo to receive the infusion of the rational soul, the second set gives expression to its operation. </w:t>
      </w:r>
    </w:p>
    <w:p w14:paraId="73C8BBED" w14:textId="0EB3358A"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The Summa endorses </w:t>
      </w:r>
      <w:r w:rsidR="00523729" w:rsidRPr="00A472FC">
        <w:rPr>
          <w:rFonts w:ascii="Times New Roman" w:hAnsi="Times New Roman" w:cs="Times New Roman"/>
        </w:rPr>
        <w:t>a similar</w:t>
      </w:r>
      <w:r w:rsidRPr="00A472FC">
        <w:rPr>
          <w:rFonts w:ascii="Times New Roman" w:hAnsi="Times New Roman" w:cs="Times New Roman"/>
        </w:rPr>
        <w:t xml:space="preserve"> theory but denies that it implies two distinct sets of vegetative and sensitive souls. For the Summa, rather, the vegetative and sensitive functions that pre-exist the arrival of the intellect are ultimately fused with it. Although the human body cannot be prepared and </w:t>
      </w:r>
      <w:proofErr w:type="spellStart"/>
      <w:r w:rsidRPr="00A472FC">
        <w:rPr>
          <w:rFonts w:ascii="Times New Roman" w:hAnsi="Times New Roman" w:cs="Times New Roman"/>
        </w:rPr>
        <w:t>organized</w:t>
      </w:r>
      <w:proofErr w:type="spellEnd"/>
      <w:r w:rsidRPr="00A472FC">
        <w:rPr>
          <w:rFonts w:ascii="Times New Roman" w:hAnsi="Times New Roman" w:cs="Times New Roman"/>
        </w:rPr>
        <w:t xml:space="preserve"> to receive the rational soul without the prior development of the vegetative and sensible souls, the </w:t>
      </w:r>
      <w:proofErr w:type="spellStart"/>
      <w:r w:rsidRPr="00A472FC">
        <w:rPr>
          <w:rFonts w:ascii="Times New Roman" w:hAnsi="Times New Roman" w:cs="Times New Roman"/>
        </w:rPr>
        <w:t>Summist</w:t>
      </w:r>
      <w:proofErr w:type="spellEnd"/>
      <w:r w:rsidRPr="00A472FC">
        <w:rPr>
          <w:rFonts w:ascii="Times New Roman" w:hAnsi="Times New Roman" w:cs="Times New Roman"/>
        </w:rPr>
        <w:t xml:space="preserve"> takes the view that a human being is not really human until it receives this ultimate perfection of the rational soul. At its purely vegetative stage, consequently, it can only be said to live in the way that an apple lives. Like many others at the time, including William of Auvergne, </w:t>
      </w:r>
      <w:r w:rsidR="00EC31BB" w:rsidRPr="00A472FC">
        <w:rPr>
          <w:rFonts w:ascii="Times New Roman" w:hAnsi="Times New Roman" w:cs="Times New Roman"/>
        </w:rPr>
        <w:t xml:space="preserve">therefore, </w:t>
      </w:r>
      <w:r w:rsidRPr="00A472FC">
        <w:rPr>
          <w:rFonts w:ascii="Times New Roman" w:hAnsi="Times New Roman" w:cs="Times New Roman"/>
        </w:rPr>
        <w:t>the Summa holds to a relatively late infusion of the rational soul.</w:t>
      </w:r>
    </w:p>
    <w:p w14:paraId="76DE65A9" w14:textId="77777777"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lastRenderedPageBreak/>
        <w:t xml:space="preserve">Another major question dealt with in this context is whether the soul is identical with its powers. Although this question was widely attributed to Augustine in the twelfth and thirteenth centuries on the basis of the DSEA, its source is actually Isidore of Seville’s interpretation of Augustine. This evidently stuck in the cases of Bernard of </w:t>
      </w:r>
      <w:proofErr w:type="spellStart"/>
      <w:r w:rsidRPr="00A472FC">
        <w:rPr>
          <w:rFonts w:ascii="Times New Roman" w:hAnsi="Times New Roman" w:cs="Times New Roman"/>
        </w:rPr>
        <w:t>Clairvaux</w:t>
      </w:r>
      <w:proofErr w:type="spellEnd"/>
      <w:r w:rsidRPr="00A472FC">
        <w:rPr>
          <w:rFonts w:ascii="Times New Roman" w:hAnsi="Times New Roman" w:cs="Times New Roman"/>
        </w:rPr>
        <w:t xml:space="preserve">, Hugh of St Victor, and ultimately Peter Lombard, who was responsible for introducing the identity thesis as a topic of early scholastic discussion. While William of </w:t>
      </w:r>
      <w:proofErr w:type="spellStart"/>
      <w:r w:rsidRPr="00A472FC">
        <w:rPr>
          <w:rFonts w:ascii="Times New Roman" w:hAnsi="Times New Roman" w:cs="Times New Roman"/>
        </w:rPr>
        <w:t>Auxerre</w:t>
      </w:r>
      <w:proofErr w:type="spellEnd"/>
      <w:r w:rsidRPr="00A472FC">
        <w:rPr>
          <w:rFonts w:ascii="Times New Roman" w:hAnsi="Times New Roman" w:cs="Times New Roman"/>
        </w:rPr>
        <w:t xml:space="preserve"> rejected both the identity thesis and its association with Augustine, he was exceptional in this regard. </w:t>
      </w:r>
    </w:p>
    <w:p w14:paraId="268A5ABD" w14:textId="7BFD0AC0" w:rsidR="00C3037B" w:rsidRPr="00A472FC" w:rsidRDefault="00665333" w:rsidP="00866DF5">
      <w:pPr>
        <w:ind w:right="-52" w:firstLine="720"/>
        <w:rPr>
          <w:rFonts w:ascii="Times New Roman" w:hAnsi="Times New Roman" w:cs="Times New Roman"/>
        </w:rPr>
      </w:pPr>
      <w:r w:rsidRPr="00A472FC">
        <w:rPr>
          <w:rFonts w:ascii="Times New Roman" w:hAnsi="Times New Roman" w:cs="Times New Roman"/>
        </w:rPr>
        <w:t xml:space="preserve">In one way or another, Philip the Chancellor, Hugh of St Cher and Roland of Cremona all </w:t>
      </w:r>
      <w:r w:rsidR="003B18BE" w:rsidRPr="00A472FC">
        <w:rPr>
          <w:rFonts w:ascii="Times New Roman" w:hAnsi="Times New Roman" w:cs="Times New Roman"/>
        </w:rPr>
        <w:t>supported</w:t>
      </w:r>
      <w:r w:rsidRPr="00A472FC">
        <w:rPr>
          <w:rFonts w:ascii="Times New Roman" w:hAnsi="Times New Roman" w:cs="Times New Roman"/>
        </w:rPr>
        <w:t xml:space="preserve"> the theory, in Hugh’s case particularly, on the grounds that this was the only way to affirm the Augustinian principle of the simplicity of the soul. Alexander of Hales developed a unique ‘middle way’ by distinguishing between the substance, essence, and powers of the soul. While he denied that the powers of the soul are identical with its essence, he affirmed that they are the same as the soul’s substance, which is that by which it subsists. For Alexander, in other words, the powers are important as means by which the soul exercises itself, but they do not reflect what the soul fundamentally is. According to the doctrine of </w:t>
      </w:r>
      <w:proofErr w:type="spellStart"/>
      <w:r w:rsidRPr="00A472FC">
        <w:rPr>
          <w:rFonts w:ascii="Times New Roman" w:hAnsi="Times New Roman" w:cs="Times New Roman"/>
          <w:i/>
        </w:rPr>
        <w:t>unibilitas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substantialis</w:t>
      </w:r>
      <w:proofErr w:type="spellEnd"/>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the essence of the soul consists </w:t>
      </w:r>
      <w:r w:rsidR="00AE5CFF" w:rsidRPr="00A472FC">
        <w:rPr>
          <w:rFonts w:ascii="Times New Roman" w:hAnsi="Times New Roman" w:cs="Times New Roman"/>
        </w:rPr>
        <w:t xml:space="preserve">in </w:t>
      </w:r>
      <w:r w:rsidRPr="00A472FC">
        <w:rPr>
          <w:rFonts w:ascii="Times New Roman" w:hAnsi="Times New Roman" w:cs="Times New Roman"/>
        </w:rPr>
        <w:t xml:space="preserve">its union with the body. </w:t>
      </w:r>
      <w:r w:rsidR="00467951" w:rsidRPr="00A472FC">
        <w:rPr>
          <w:rFonts w:ascii="Times New Roman" w:hAnsi="Times New Roman" w:cs="Times New Roman"/>
        </w:rPr>
        <w:t xml:space="preserve">Theologically, this </w:t>
      </w:r>
      <w:r w:rsidR="00DA1B33" w:rsidRPr="00A472FC">
        <w:rPr>
          <w:rFonts w:ascii="Times New Roman" w:hAnsi="Times New Roman" w:cs="Times New Roman"/>
        </w:rPr>
        <w:t xml:space="preserve">view </w:t>
      </w:r>
      <w:r w:rsidR="00467951" w:rsidRPr="00A472FC">
        <w:rPr>
          <w:rFonts w:ascii="Times New Roman" w:hAnsi="Times New Roman" w:cs="Times New Roman"/>
        </w:rPr>
        <w:t xml:space="preserve">was important </w:t>
      </w:r>
      <w:r w:rsidR="00C3037B" w:rsidRPr="00A472FC">
        <w:rPr>
          <w:rFonts w:ascii="Times New Roman" w:hAnsi="Times New Roman" w:cs="Times New Roman"/>
        </w:rPr>
        <w:t xml:space="preserve">for affirming the value of human life without reference to intellectual activities, in keeping with the </w:t>
      </w:r>
      <w:r w:rsidR="00BD3D48" w:rsidRPr="00A472FC">
        <w:rPr>
          <w:rFonts w:ascii="Times New Roman" w:hAnsi="Times New Roman" w:cs="Times New Roman"/>
        </w:rPr>
        <w:t>value Francis placed on all human li</w:t>
      </w:r>
      <w:r w:rsidR="00F845CE" w:rsidRPr="00A472FC">
        <w:rPr>
          <w:rFonts w:ascii="Times New Roman" w:hAnsi="Times New Roman" w:cs="Times New Roman"/>
        </w:rPr>
        <w:t xml:space="preserve">ves, </w:t>
      </w:r>
      <w:r w:rsidR="00B32D4A" w:rsidRPr="00A472FC">
        <w:rPr>
          <w:rFonts w:ascii="Times New Roman" w:hAnsi="Times New Roman" w:cs="Times New Roman"/>
        </w:rPr>
        <w:t>especially</w:t>
      </w:r>
      <w:r w:rsidR="00F845CE" w:rsidRPr="00A472FC">
        <w:rPr>
          <w:rFonts w:ascii="Times New Roman" w:hAnsi="Times New Roman" w:cs="Times New Roman"/>
        </w:rPr>
        <w:t xml:space="preserve"> the poor</w:t>
      </w:r>
      <w:r w:rsidR="00B32D4A" w:rsidRPr="00A472FC">
        <w:rPr>
          <w:rFonts w:ascii="Times New Roman" w:hAnsi="Times New Roman" w:cs="Times New Roman"/>
        </w:rPr>
        <w:t>, uneducated,</w:t>
      </w:r>
      <w:r w:rsidR="00F845CE" w:rsidRPr="00A472FC">
        <w:rPr>
          <w:rFonts w:ascii="Times New Roman" w:hAnsi="Times New Roman" w:cs="Times New Roman"/>
        </w:rPr>
        <w:t xml:space="preserve"> and </w:t>
      </w:r>
      <w:r w:rsidR="00477711" w:rsidRPr="00A472FC">
        <w:rPr>
          <w:rFonts w:ascii="Times New Roman" w:hAnsi="Times New Roman" w:cs="Times New Roman"/>
        </w:rPr>
        <w:t>downtrodden</w:t>
      </w:r>
      <w:r w:rsidR="00F845CE" w:rsidRPr="00A472FC">
        <w:rPr>
          <w:rFonts w:ascii="Times New Roman" w:hAnsi="Times New Roman" w:cs="Times New Roman"/>
        </w:rPr>
        <w:t>,</w:t>
      </w:r>
      <w:r w:rsidR="00B32D4A" w:rsidRPr="00A472FC">
        <w:rPr>
          <w:rFonts w:ascii="Times New Roman" w:hAnsi="Times New Roman" w:cs="Times New Roman"/>
        </w:rPr>
        <w:t xml:space="preserve"> </w:t>
      </w:r>
      <w:r w:rsidR="00C3037B" w:rsidRPr="00A472FC">
        <w:rPr>
          <w:rFonts w:ascii="Times New Roman" w:hAnsi="Times New Roman" w:cs="Times New Roman"/>
        </w:rPr>
        <w:t xml:space="preserve">and indeed the Franciscan view that </w:t>
      </w:r>
      <w:r w:rsidR="00866DF5" w:rsidRPr="00A472FC">
        <w:rPr>
          <w:rFonts w:ascii="Times New Roman" w:hAnsi="Times New Roman" w:cs="Times New Roman"/>
        </w:rPr>
        <w:t>love for God supersedes knowledge.</w:t>
      </w:r>
    </w:p>
    <w:p w14:paraId="446CAD61" w14:textId="77777777" w:rsidR="004D6531" w:rsidRPr="00A472FC" w:rsidRDefault="00665333" w:rsidP="006F2DE8">
      <w:pPr>
        <w:ind w:right="-52" w:firstLine="720"/>
        <w:rPr>
          <w:rFonts w:ascii="Times New Roman" w:hAnsi="Times New Roman" w:cs="Times New Roman"/>
          <w:i/>
        </w:rPr>
      </w:pPr>
      <w:r w:rsidRPr="00A472FC">
        <w:rPr>
          <w:rFonts w:ascii="Times New Roman" w:hAnsi="Times New Roman" w:cs="Times New Roman"/>
        </w:rPr>
        <w:t xml:space="preserve">The </w:t>
      </w:r>
      <w:r w:rsidRPr="00A472FC">
        <w:rPr>
          <w:rFonts w:ascii="Times New Roman" w:hAnsi="Times New Roman" w:cs="Times New Roman"/>
          <w:b/>
        </w:rPr>
        <w:t>fifth chapter</w:t>
      </w:r>
      <w:r w:rsidRPr="00A472FC">
        <w:rPr>
          <w:rFonts w:ascii="Times New Roman" w:hAnsi="Times New Roman" w:cs="Times New Roman"/>
        </w:rPr>
        <w:t xml:space="preserve"> turns from the discussion of the ‘systematic’ questions dealt with in John’s </w:t>
      </w:r>
      <w:r w:rsidRPr="00A472FC">
        <w:rPr>
          <w:rFonts w:ascii="Times New Roman" w:hAnsi="Times New Roman" w:cs="Times New Roman"/>
          <w:i/>
        </w:rPr>
        <w:t xml:space="preserve">Summa de anima </w:t>
      </w:r>
      <w:r w:rsidRPr="00A472FC">
        <w:rPr>
          <w:rFonts w:ascii="Times New Roman" w:hAnsi="Times New Roman" w:cs="Times New Roman"/>
        </w:rPr>
        <w:t xml:space="preserve">and his contemporaries to John’s </w:t>
      </w:r>
      <w:proofErr w:type="spellStart"/>
      <w:r w:rsidR="00040053" w:rsidRPr="00A472FC">
        <w:rPr>
          <w:rFonts w:ascii="Times New Roman" w:hAnsi="Times New Roman" w:cs="Times New Roman"/>
          <w:i/>
        </w:rPr>
        <w:t>Tractatus</w:t>
      </w:r>
      <w:proofErr w:type="spellEnd"/>
      <w:r w:rsidRPr="00A472FC">
        <w:rPr>
          <w:rFonts w:ascii="Times New Roman" w:hAnsi="Times New Roman" w:cs="Times New Roman"/>
          <w:iCs/>
        </w:rPr>
        <w:t xml:space="preserve">, </w:t>
      </w:r>
      <w:r w:rsidRPr="00A472FC">
        <w:rPr>
          <w:rFonts w:ascii="Times New Roman" w:hAnsi="Times New Roman" w:cs="Times New Roman"/>
        </w:rPr>
        <w:t xml:space="preserve">which does not address these questions as such but deals exclusively with the powers of the soul delineated by </w:t>
      </w:r>
      <w:r w:rsidR="008574B9" w:rsidRPr="00A472FC">
        <w:rPr>
          <w:rFonts w:ascii="Times New Roman" w:hAnsi="Times New Roman" w:cs="Times New Roman"/>
        </w:rPr>
        <w:t xml:space="preserve">philosophers, principally </w:t>
      </w:r>
      <w:r w:rsidRPr="00A472FC">
        <w:rPr>
          <w:rFonts w:ascii="Times New Roman" w:hAnsi="Times New Roman" w:cs="Times New Roman"/>
        </w:rPr>
        <w:t xml:space="preserve">Avicenna, </w:t>
      </w:r>
      <w:r w:rsidR="0082339C" w:rsidRPr="00A472FC">
        <w:rPr>
          <w:rFonts w:ascii="Times New Roman" w:hAnsi="Times New Roman" w:cs="Times New Roman"/>
        </w:rPr>
        <w:t xml:space="preserve">the medical doctors, especially </w:t>
      </w:r>
      <w:proofErr w:type="spellStart"/>
      <w:r w:rsidR="0082339C" w:rsidRPr="00A472FC">
        <w:rPr>
          <w:rFonts w:ascii="Times New Roman" w:hAnsi="Times New Roman" w:cs="Times New Roman"/>
        </w:rPr>
        <w:t>Johannitius</w:t>
      </w:r>
      <w:proofErr w:type="spellEnd"/>
      <w:r w:rsidR="0082339C" w:rsidRPr="00A472FC">
        <w:rPr>
          <w:rFonts w:ascii="Times New Roman" w:hAnsi="Times New Roman" w:cs="Times New Roman"/>
        </w:rPr>
        <w:t xml:space="preserve">, </w:t>
      </w:r>
      <w:r w:rsidRPr="00A472FC">
        <w:rPr>
          <w:rFonts w:ascii="Times New Roman" w:hAnsi="Times New Roman" w:cs="Times New Roman"/>
        </w:rPr>
        <w:t xml:space="preserve">Damascus, and </w:t>
      </w:r>
      <w:r w:rsidR="00F559E2" w:rsidRPr="00A472FC">
        <w:rPr>
          <w:rFonts w:ascii="Times New Roman" w:hAnsi="Times New Roman" w:cs="Times New Roman"/>
        </w:rPr>
        <w:t>pseudo</w:t>
      </w:r>
      <w:r w:rsidRPr="00A472FC">
        <w:rPr>
          <w:rFonts w:ascii="Times New Roman" w:hAnsi="Times New Roman" w:cs="Times New Roman"/>
        </w:rPr>
        <w:t xml:space="preserve">-Augustine. For this reason, the editor of the </w:t>
      </w:r>
      <w:proofErr w:type="spellStart"/>
      <w:r w:rsidR="00040053" w:rsidRPr="00A472FC">
        <w:rPr>
          <w:rFonts w:ascii="Times New Roman" w:hAnsi="Times New Roman" w:cs="Times New Roman"/>
          <w:i/>
        </w:rPr>
        <w:t>Tractatus</w:t>
      </w:r>
      <w:proofErr w:type="spellEnd"/>
      <w:r w:rsidRPr="00A472FC">
        <w:rPr>
          <w:rFonts w:ascii="Times New Roman" w:hAnsi="Times New Roman" w:cs="Times New Roman"/>
        </w:rPr>
        <w:t xml:space="preserve">, Pierre </w:t>
      </w:r>
      <w:proofErr w:type="spellStart"/>
      <w:r w:rsidRPr="00A472FC">
        <w:rPr>
          <w:rFonts w:ascii="Times New Roman" w:hAnsi="Times New Roman" w:cs="Times New Roman"/>
        </w:rPr>
        <w:t>Michaud-Quantin</w:t>
      </w:r>
      <w:proofErr w:type="spellEnd"/>
      <w:r w:rsidRPr="00A472FC">
        <w:rPr>
          <w:rFonts w:ascii="Times New Roman" w:hAnsi="Times New Roman" w:cs="Times New Roman"/>
        </w:rPr>
        <w:t xml:space="preserve">, has argued for the relative insignificance of the work by comparison to the slightly later </w:t>
      </w:r>
      <w:r w:rsidRPr="00A472FC">
        <w:rPr>
          <w:rFonts w:ascii="Times New Roman" w:hAnsi="Times New Roman" w:cs="Times New Roman"/>
          <w:i/>
        </w:rPr>
        <w:t xml:space="preserve">Summa de anima. </w:t>
      </w:r>
      <w:r w:rsidRPr="00A472FC">
        <w:rPr>
          <w:rFonts w:ascii="Times New Roman" w:hAnsi="Times New Roman" w:cs="Times New Roman"/>
        </w:rPr>
        <w:t xml:space="preserve">As this chapter demonstrates, however, the </w:t>
      </w:r>
      <w:proofErr w:type="spellStart"/>
      <w:r w:rsidR="00040053" w:rsidRPr="00A472FC">
        <w:rPr>
          <w:rFonts w:ascii="Times New Roman" w:hAnsi="Times New Roman" w:cs="Times New Roman"/>
          <w:i/>
        </w:rPr>
        <w:t>Tractatus</w:t>
      </w:r>
      <w:proofErr w:type="spellEnd"/>
      <w:r w:rsidRPr="00A472FC">
        <w:rPr>
          <w:rFonts w:ascii="Times New Roman" w:hAnsi="Times New Roman" w:cs="Times New Roman"/>
        </w:rPr>
        <w:t xml:space="preserve"> is crucial precisely insofar as it provides the initial statement of John’s views on human psychology, which would be largely replicated in the </w:t>
      </w:r>
      <w:r w:rsidRPr="00A472FC">
        <w:rPr>
          <w:rFonts w:ascii="Times New Roman" w:hAnsi="Times New Roman" w:cs="Times New Roman"/>
          <w:i/>
        </w:rPr>
        <w:t>Summa de anima</w:t>
      </w:r>
      <w:r w:rsidRPr="00A472FC">
        <w:rPr>
          <w:rFonts w:ascii="Times New Roman" w:hAnsi="Times New Roman" w:cs="Times New Roman"/>
          <w:iCs/>
        </w:rPr>
        <w:t>,</w:t>
      </w:r>
      <w:r w:rsidRPr="00A472FC">
        <w:rPr>
          <w:rFonts w:ascii="Times New Roman" w:hAnsi="Times New Roman" w:cs="Times New Roman"/>
          <w:i/>
        </w:rPr>
        <w:t xml:space="preserve"> </w:t>
      </w:r>
      <w:r w:rsidRPr="00A472FC">
        <w:rPr>
          <w:rFonts w:ascii="Times New Roman" w:hAnsi="Times New Roman" w:cs="Times New Roman"/>
        </w:rPr>
        <w:t xml:space="preserve">and in a different format in the </w:t>
      </w:r>
      <w:r w:rsidRPr="00A472FC">
        <w:rPr>
          <w:rFonts w:ascii="Times New Roman" w:hAnsi="Times New Roman" w:cs="Times New Roman"/>
          <w:i/>
        </w:rPr>
        <w:t xml:space="preserve">De anima </w:t>
      </w:r>
      <w:proofErr w:type="spellStart"/>
      <w:r w:rsidRPr="00A472FC">
        <w:rPr>
          <w:rFonts w:ascii="Times New Roman" w:hAnsi="Times New Roman" w:cs="Times New Roman"/>
          <w:i/>
        </w:rPr>
        <w:t>rationali</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section of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
        </w:rPr>
        <w:t xml:space="preserve">. </w:t>
      </w:r>
    </w:p>
    <w:p w14:paraId="2D18E8F7" w14:textId="399902F8" w:rsidR="00665333" w:rsidRPr="00A472FC" w:rsidRDefault="00AB61F5" w:rsidP="004D6531">
      <w:pPr>
        <w:ind w:right="-52" w:firstLine="720"/>
        <w:rPr>
          <w:rFonts w:ascii="Times New Roman" w:hAnsi="Times New Roman" w:cs="Times New Roman"/>
        </w:rPr>
      </w:pPr>
      <w:r w:rsidRPr="00A472FC">
        <w:rPr>
          <w:rFonts w:ascii="Times New Roman" w:hAnsi="Times New Roman" w:cs="Times New Roman"/>
        </w:rPr>
        <w:t xml:space="preserve">In some respects, one could argue that John sought </w:t>
      </w:r>
      <w:r w:rsidR="00866DF5" w:rsidRPr="00A472FC">
        <w:rPr>
          <w:rFonts w:ascii="Times New Roman" w:hAnsi="Times New Roman" w:cs="Times New Roman"/>
        </w:rPr>
        <w:t>in</w:t>
      </w:r>
      <w:r w:rsidR="004B1B48" w:rsidRPr="00A472FC">
        <w:rPr>
          <w:rFonts w:ascii="Times New Roman" w:hAnsi="Times New Roman" w:cs="Times New Roman"/>
        </w:rPr>
        <w:t xml:space="preserve"> t</w:t>
      </w:r>
      <w:r w:rsidR="00866DF5" w:rsidRPr="00A472FC">
        <w:rPr>
          <w:rFonts w:ascii="Times New Roman" w:hAnsi="Times New Roman" w:cs="Times New Roman"/>
        </w:rPr>
        <w:t>his early work</w:t>
      </w:r>
      <w:r w:rsidR="000B70FF" w:rsidRPr="00A472FC">
        <w:rPr>
          <w:rFonts w:ascii="Times New Roman" w:hAnsi="Times New Roman" w:cs="Times New Roman"/>
        </w:rPr>
        <w:t xml:space="preserve"> </w:t>
      </w:r>
      <w:r w:rsidRPr="00A472FC">
        <w:rPr>
          <w:rFonts w:ascii="Times New Roman" w:hAnsi="Times New Roman" w:cs="Times New Roman"/>
        </w:rPr>
        <w:t xml:space="preserve">to offer a </w:t>
      </w:r>
      <w:proofErr w:type="spellStart"/>
      <w:r w:rsidRPr="00A472FC">
        <w:rPr>
          <w:rFonts w:ascii="Times New Roman" w:hAnsi="Times New Roman" w:cs="Times New Roman"/>
        </w:rPr>
        <w:t>Christianized</w:t>
      </w:r>
      <w:proofErr w:type="spellEnd"/>
      <w:r w:rsidRPr="00A472FC">
        <w:rPr>
          <w:rFonts w:ascii="Times New Roman" w:hAnsi="Times New Roman" w:cs="Times New Roman"/>
        </w:rPr>
        <w:t xml:space="preserve"> </w:t>
      </w:r>
      <w:r w:rsidR="007312CA" w:rsidRPr="00A472FC">
        <w:rPr>
          <w:rFonts w:ascii="Times New Roman" w:hAnsi="Times New Roman" w:cs="Times New Roman"/>
        </w:rPr>
        <w:t>counterpart to the new</w:t>
      </w:r>
      <w:r w:rsidR="004D6531" w:rsidRPr="00A472FC">
        <w:rPr>
          <w:rFonts w:ascii="Times New Roman" w:hAnsi="Times New Roman" w:cs="Times New Roman"/>
        </w:rPr>
        <w:t xml:space="preserve"> natural philosophy and especially psychology whose primary source of </w:t>
      </w:r>
      <w:r w:rsidRPr="00A472FC">
        <w:rPr>
          <w:rFonts w:ascii="Times New Roman" w:hAnsi="Times New Roman" w:cs="Times New Roman"/>
        </w:rPr>
        <w:t xml:space="preserve">inspiration </w:t>
      </w:r>
      <w:r w:rsidR="004D6531" w:rsidRPr="00A472FC">
        <w:rPr>
          <w:rFonts w:ascii="Times New Roman" w:hAnsi="Times New Roman" w:cs="Times New Roman"/>
        </w:rPr>
        <w:t xml:space="preserve">was </w:t>
      </w:r>
      <w:r w:rsidRPr="00A472FC">
        <w:rPr>
          <w:rFonts w:ascii="Times New Roman" w:hAnsi="Times New Roman" w:cs="Times New Roman"/>
        </w:rPr>
        <w:t>Avicenna.</w:t>
      </w:r>
      <w:r w:rsidR="004D6531" w:rsidRPr="00A472FC">
        <w:rPr>
          <w:rFonts w:ascii="Times New Roman" w:hAnsi="Times New Roman" w:cs="Times New Roman"/>
        </w:rPr>
        <w:t xml:space="preserve"> Indeed, the</w:t>
      </w:r>
      <w:r w:rsidR="00665333" w:rsidRPr="00A472FC">
        <w:rPr>
          <w:rFonts w:ascii="Times New Roman" w:hAnsi="Times New Roman" w:cs="Times New Roman"/>
        </w:rPr>
        <w:t xml:space="preserve"> explicit use of Avicenna at a time when some other contemporaries preferred to invoke Avicenna under the guise of Aristotle</w:t>
      </w:r>
      <w:r w:rsidR="00426351" w:rsidRPr="00A472FC">
        <w:rPr>
          <w:rFonts w:ascii="Times New Roman" w:hAnsi="Times New Roman" w:cs="Times New Roman"/>
        </w:rPr>
        <w:t>, or avoided his psychology overall,</w:t>
      </w:r>
      <w:r w:rsidR="00665333" w:rsidRPr="00A472FC">
        <w:rPr>
          <w:rFonts w:ascii="Times New Roman" w:hAnsi="Times New Roman" w:cs="Times New Roman"/>
        </w:rPr>
        <w:t xml:space="preserve"> is a clear indication of John’s </w:t>
      </w:r>
      <w:r w:rsidR="006E4ABC" w:rsidRPr="00A472FC">
        <w:rPr>
          <w:rFonts w:ascii="Times New Roman" w:hAnsi="Times New Roman" w:cs="Times New Roman"/>
        </w:rPr>
        <w:t>enthusiasm</w:t>
      </w:r>
      <w:r w:rsidR="00665333" w:rsidRPr="00A472FC">
        <w:rPr>
          <w:rFonts w:ascii="Times New Roman" w:hAnsi="Times New Roman" w:cs="Times New Roman"/>
        </w:rPr>
        <w:t xml:space="preserve"> for the Islamic thinker’s approach to human knowledge. </w:t>
      </w:r>
      <w:r w:rsidR="00665333" w:rsidRPr="00A472FC">
        <w:rPr>
          <w:rFonts w:ascii="Times New Roman" w:eastAsia="Times New Roman" w:hAnsi="Times New Roman" w:cs="Times New Roman"/>
          <w:color w:val="222222"/>
          <w:shd w:val="clear" w:color="auto" w:fill="FFFFFF"/>
        </w:rPr>
        <w:t xml:space="preserve">Although the majority of the material drawn on in this section is derived directly and faithfully from Avicenna, we discovered that John’s idea of ‘the Philosopher’ is </w:t>
      </w:r>
      <w:r w:rsidR="009817AC" w:rsidRPr="00A472FC">
        <w:rPr>
          <w:rFonts w:ascii="Times New Roman" w:eastAsia="Times New Roman" w:hAnsi="Times New Roman" w:cs="Times New Roman"/>
          <w:color w:val="222222"/>
          <w:shd w:val="clear" w:color="auto" w:fill="FFFFFF"/>
        </w:rPr>
        <w:t>in some respects</w:t>
      </w:r>
      <w:r w:rsidR="00665333" w:rsidRPr="00A472FC">
        <w:rPr>
          <w:rFonts w:ascii="Times New Roman" w:eastAsia="Times New Roman" w:hAnsi="Times New Roman" w:cs="Times New Roman"/>
          <w:color w:val="222222"/>
          <w:shd w:val="clear" w:color="auto" w:fill="FFFFFF"/>
        </w:rPr>
        <w:t xml:space="preserve"> a construct of his own making which incorporates categories from Anonymous Callus</w:t>
      </w:r>
      <w:r w:rsidR="00A1102D" w:rsidRPr="00A472FC">
        <w:rPr>
          <w:rFonts w:ascii="Times New Roman" w:eastAsia="Times New Roman" w:hAnsi="Times New Roman" w:cs="Times New Roman"/>
          <w:color w:val="222222"/>
          <w:shd w:val="clear" w:color="auto" w:fill="FFFFFF"/>
        </w:rPr>
        <w:t>,</w:t>
      </w:r>
      <w:r w:rsidR="00665333" w:rsidRPr="00A472FC">
        <w:rPr>
          <w:rFonts w:ascii="Times New Roman" w:eastAsia="Times New Roman" w:hAnsi="Times New Roman" w:cs="Times New Roman"/>
          <w:color w:val="222222"/>
          <w:shd w:val="clear" w:color="auto" w:fill="FFFFFF"/>
        </w:rPr>
        <w:t xml:space="preserve"> and even ones from Damascus and Augustine</w:t>
      </w:r>
      <w:r w:rsidR="00A1102D" w:rsidRPr="00A472FC">
        <w:rPr>
          <w:rFonts w:ascii="Times New Roman" w:eastAsia="Times New Roman" w:hAnsi="Times New Roman" w:cs="Times New Roman"/>
          <w:color w:val="222222"/>
          <w:shd w:val="clear" w:color="auto" w:fill="FFFFFF"/>
        </w:rPr>
        <w:t>,</w:t>
      </w:r>
      <w:r w:rsidR="00665333" w:rsidRPr="00A472FC">
        <w:rPr>
          <w:rFonts w:ascii="Times New Roman" w:eastAsia="Times New Roman" w:hAnsi="Times New Roman" w:cs="Times New Roman"/>
          <w:color w:val="222222"/>
          <w:shd w:val="clear" w:color="auto" w:fill="FFFFFF"/>
        </w:rPr>
        <w:t xml:space="preserve"> that can be roughly aligned with Avicenna’s thinking. </w:t>
      </w:r>
    </w:p>
    <w:p w14:paraId="2FAE0880" w14:textId="6F2DD497" w:rsidR="00665333" w:rsidRPr="00A472FC" w:rsidRDefault="00665333" w:rsidP="00881604">
      <w:pPr>
        <w:ind w:right="-52" w:firstLine="720"/>
        <w:rPr>
          <w:rFonts w:ascii="Times New Roman" w:eastAsia="Times New Roman" w:hAnsi="Times New Roman" w:cs="Times New Roman"/>
          <w:color w:val="222222"/>
          <w:shd w:val="clear" w:color="auto" w:fill="FFFFFF"/>
        </w:rPr>
      </w:pPr>
      <w:r w:rsidRPr="00A472FC">
        <w:rPr>
          <w:rFonts w:ascii="Times New Roman" w:eastAsia="Times New Roman" w:hAnsi="Times New Roman" w:cs="Times New Roman"/>
          <w:color w:val="222222"/>
          <w:shd w:val="clear" w:color="auto" w:fill="FFFFFF"/>
        </w:rPr>
        <w:t>This syncretistic approach to reading sources facilitate</w:t>
      </w:r>
      <w:r w:rsidR="00715FA9" w:rsidRPr="00A472FC">
        <w:rPr>
          <w:rFonts w:ascii="Times New Roman" w:eastAsia="Times New Roman" w:hAnsi="Times New Roman" w:cs="Times New Roman"/>
          <w:color w:val="222222"/>
          <w:shd w:val="clear" w:color="auto" w:fill="FFFFFF"/>
        </w:rPr>
        <w:t>d</w:t>
      </w:r>
      <w:r w:rsidRPr="00A472FC">
        <w:rPr>
          <w:rFonts w:ascii="Times New Roman" w:eastAsia="Times New Roman" w:hAnsi="Times New Roman" w:cs="Times New Roman"/>
          <w:color w:val="222222"/>
          <w:shd w:val="clear" w:color="auto" w:fill="FFFFFF"/>
        </w:rPr>
        <w:t xml:space="preserve"> John’s efforts to reconcile </w:t>
      </w:r>
      <w:r w:rsidRPr="00A472FC">
        <w:rPr>
          <w:rFonts w:ascii="Times New Roman" w:hAnsi="Times New Roman" w:cs="Times New Roman"/>
        </w:rPr>
        <w:t>Avicenna with the Christian tradition, which he accomplishe</w:t>
      </w:r>
      <w:r w:rsidR="00715FA9" w:rsidRPr="00A472FC">
        <w:rPr>
          <w:rFonts w:ascii="Times New Roman" w:hAnsi="Times New Roman" w:cs="Times New Roman"/>
        </w:rPr>
        <w:t>d</w:t>
      </w:r>
      <w:r w:rsidRPr="00A472FC">
        <w:rPr>
          <w:rFonts w:ascii="Times New Roman" w:hAnsi="Times New Roman" w:cs="Times New Roman"/>
        </w:rPr>
        <w:t xml:space="preserve"> conclusively by juxtaposing Avicenna</w:t>
      </w:r>
      <w:r w:rsidR="00AC722F" w:rsidRPr="00A472FC">
        <w:rPr>
          <w:rFonts w:ascii="Times New Roman" w:hAnsi="Times New Roman" w:cs="Times New Roman"/>
        </w:rPr>
        <w:t xml:space="preserve">, </w:t>
      </w:r>
      <w:r w:rsidRPr="00A472FC">
        <w:rPr>
          <w:rFonts w:ascii="Times New Roman" w:hAnsi="Times New Roman" w:cs="Times New Roman"/>
        </w:rPr>
        <w:t xml:space="preserve">Damascus and </w:t>
      </w:r>
      <w:r w:rsidR="00F81BA0" w:rsidRPr="00A472FC">
        <w:rPr>
          <w:rFonts w:ascii="Times New Roman" w:hAnsi="Times New Roman" w:cs="Times New Roman"/>
        </w:rPr>
        <w:t>pseudo</w:t>
      </w:r>
      <w:r w:rsidRPr="00A472FC">
        <w:rPr>
          <w:rFonts w:ascii="Times New Roman" w:hAnsi="Times New Roman" w:cs="Times New Roman"/>
        </w:rPr>
        <w:t>-Augustine.</w:t>
      </w:r>
      <w:r w:rsidRPr="00A472FC">
        <w:rPr>
          <w:rFonts w:ascii="Times New Roman" w:eastAsia="Times New Roman" w:hAnsi="Times New Roman" w:cs="Times New Roman"/>
          <w:color w:val="222222"/>
          <w:shd w:val="clear" w:color="auto" w:fill="FFFFFF"/>
        </w:rPr>
        <w:t xml:space="preserve"> </w:t>
      </w:r>
      <w:r w:rsidRPr="00A472FC">
        <w:rPr>
          <w:rFonts w:ascii="Times New Roman" w:hAnsi="Times New Roman" w:cs="Times New Roman"/>
        </w:rPr>
        <w:t>The choice of these authorities was timely, in that Damascus had become increasingly important since Peter Lombard, particularly in the Franciscan tradition, as an authority in systematic theology. Although Augustine’s authority was always crucial, John’s neglect of his authentic works in favour of the DSEA, which was already effectively known to be inauthentic, shows that he was not so much interested in the ‘real Augustine’ as in one that he could form for his own purposes.</w:t>
      </w:r>
    </w:p>
    <w:p w14:paraId="76D11DF2" w14:textId="666C824A" w:rsidR="00F438E0" w:rsidRPr="00A472FC" w:rsidRDefault="00A5050F" w:rsidP="00881604">
      <w:pPr>
        <w:ind w:right="-52" w:firstLine="720"/>
        <w:rPr>
          <w:rFonts w:ascii="Times New Roman" w:hAnsi="Times New Roman" w:cs="Times New Roman"/>
        </w:rPr>
      </w:pPr>
      <w:r w:rsidRPr="00A472FC">
        <w:rPr>
          <w:rFonts w:ascii="Times New Roman" w:hAnsi="Times New Roman" w:cs="Times New Roman"/>
        </w:rPr>
        <w:t>In this regard, the</w:t>
      </w:r>
      <w:r w:rsidR="00665333" w:rsidRPr="00A472FC">
        <w:rPr>
          <w:rFonts w:ascii="Times New Roman" w:hAnsi="Times New Roman" w:cs="Times New Roman"/>
        </w:rPr>
        <w:t xml:space="preserve"> fifth chapter lays out the powers of the soul as John describes them with relatively little commentary, which is reserved for the </w:t>
      </w:r>
      <w:r w:rsidR="00191178" w:rsidRPr="00A472FC">
        <w:rPr>
          <w:rFonts w:ascii="Times New Roman" w:hAnsi="Times New Roman" w:cs="Times New Roman"/>
        </w:rPr>
        <w:t>sixth</w:t>
      </w:r>
      <w:r w:rsidR="00665333" w:rsidRPr="00A472FC">
        <w:rPr>
          <w:rFonts w:ascii="Times New Roman" w:hAnsi="Times New Roman" w:cs="Times New Roman"/>
        </w:rPr>
        <w:t xml:space="preserve"> chapter, </w:t>
      </w:r>
      <w:r w:rsidR="00191178" w:rsidRPr="00A472FC">
        <w:rPr>
          <w:rFonts w:ascii="Times New Roman" w:hAnsi="Times New Roman" w:cs="Times New Roman"/>
        </w:rPr>
        <w:t xml:space="preserve">on the </w:t>
      </w:r>
      <w:r w:rsidR="00665333" w:rsidRPr="00A472FC">
        <w:rPr>
          <w:rFonts w:ascii="Times New Roman" w:hAnsi="Times New Roman" w:cs="Times New Roman"/>
          <w:i/>
        </w:rPr>
        <w:t xml:space="preserve">Summa de </w:t>
      </w:r>
      <w:r w:rsidR="00665333" w:rsidRPr="00A472FC">
        <w:rPr>
          <w:rFonts w:ascii="Times New Roman" w:hAnsi="Times New Roman" w:cs="Times New Roman"/>
          <w:i/>
        </w:rPr>
        <w:lastRenderedPageBreak/>
        <w:t xml:space="preserve">anima. </w:t>
      </w:r>
      <w:r w:rsidR="00665333" w:rsidRPr="00A472FC">
        <w:rPr>
          <w:rFonts w:ascii="Times New Roman" w:hAnsi="Times New Roman" w:cs="Times New Roman"/>
        </w:rPr>
        <w:t xml:space="preserve">Under the first heading, as mentioned, John deals with the division of the powers according the philosophers, especially Avicenna. He starts with the vegetative powers, which are nutritive, augmentative, and generative, and in turn treats the four nutritive powers of attraction, retention, digestion, and expulsion. </w:t>
      </w:r>
      <w:r w:rsidR="00985D37" w:rsidRPr="00A472FC">
        <w:rPr>
          <w:rFonts w:ascii="Times New Roman" w:hAnsi="Times New Roman" w:cs="Times New Roman"/>
        </w:rPr>
        <w:t>These</w:t>
      </w:r>
      <w:r w:rsidR="00665333" w:rsidRPr="00A472FC">
        <w:rPr>
          <w:rFonts w:ascii="Times New Roman" w:hAnsi="Times New Roman" w:cs="Times New Roman"/>
        </w:rPr>
        <w:t xml:space="preserve"> </w:t>
      </w:r>
      <w:r w:rsidR="00985D37" w:rsidRPr="00A472FC">
        <w:rPr>
          <w:rFonts w:ascii="Times New Roman" w:hAnsi="Times New Roman" w:cs="Times New Roman"/>
        </w:rPr>
        <w:t>same</w:t>
      </w:r>
      <w:r w:rsidR="00665333" w:rsidRPr="00A472FC">
        <w:rPr>
          <w:rFonts w:ascii="Times New Roman" w:hAnsi="Times New Roman" w:cs="Times New Roman"/>
        </w:rPr>
        <w:t xml:space="preserve"> powers were </w:t>
      </w:r>
      <w:r w:rsidR="00985D37" w:rsidRPr="00A472FC">
        <w:rPr>
          <w:rFonts w:ascii="Times New Roman" w:hAnsi="Times New Roman" w:cs="Times New Roman"/>
        </w:rPr>
        <w:t xml:space="preserve">also </w:t>
      </w:r>
      <w:r w:rsidR="00665333" w:rsidRPr="00A472FC">
        <w:rPr>
          <w:rFonts w:ascii="Times New Roman" w:hAnsi="Times New Roman" w:cs="Times New Roman"/>
        </w:rPr>
        <w:t>subjects of the so-called ‘new medicine’ of which John was a beneficiary</w:t>
      </w:r>
      <w:r w:rsidR="00397178" w:rsidRPr="00A472FC">
        <w:rPr>
          <w:rFonts w:ascii="Times New Roman" w:hAnsi="Times New Roman" w:cs="Times New Roman"/>
        </w:rPr>
        <w:t xml:space="preserve">, via Avicenna and </w:t>
      </w:r>
      <w:proofErr w:type="spellStart"/>
      <w:r w:rsidR="00397178" w:rsidRPr="00A472FC">
        <w:rPr>
          <w:rFonts w:ascii="Times New Roman" w:hAnsi="Times New Roman" w:cs="Times New Roman"/>
        </w:rPr>
        <w:t>Johannitius</w:t>
      </w:r>
      <w:proofErr w:type="spellEnd"/>
      <w:r w:rsidR="00397178" w:rsidRPr="00A472FC">
        <w:rPr>
          <w:rFonts w:ascii="Times New Roman" w:hAnsi="Times New Roman" w:cs="Times New Roman"/>
        </w:rPr>
        <w:t>.</w:t>
      </w:r>
    </w:p>
    <w:p w14:paraId="168258EF" w14:textId="13C79B09" w:rsidR="00665333" w:rsidRPr="00A472FC" w:rsidRDefault="00665333" w:rsidP="00F438E0">
      <w:pPr>
        <w:ind w:right="-52" w:firstLine="720"/>
        <w:rPr>
          <w:rFonts w:ascii="Times New Roman" w:eastAsia="Times New Roman" w:hAnsi="Times New Roman" w:cs="Times New Roman"/>
          <w:color w:val="222222"/>
          <w:shd w:val="clear" w:color="auto" w:fill="FFFFFF"/>
        </w:rPr>
      </w:pPr>
      <w:r w:rsidRPr="00A472FC">
        <w:rPr>
          <w:rFonts w:ascii="Times New Roman" w:hAnsi="Times New Roman" w:cs="Times New Roman"/>
        </w:rPr>
        <w:t xml:space="preserve">John moves next to the five external senses before going on to deal with Avicenna’s signature doctrine of the five internal senses of common sense, </w:t>
      </w:r>
      <w:r w:rsidRPr="00A472FC">
        <w:rPr>
          <w:rFonts w:ascii="Times New Roman" w:eastAsia="Times New Roman" w:hAnsi="Times New Roman" w:cs="Times New Roman"/>
          <w:color w:val="222222"/>
          <w:shd w:val="clear" w:color="auto" w:fill="FFFFFF"/>
        </w:rPr>
        <w:t xml:space="preserve">the retentive imagination, </w:t>
      </w:r>
      <w:proofErr w:type="spellStart"/>
      <w:r w:rsidRPr="00A472FC">
        <w:rPr>
          <w:rFonts w:ascii="Times New Roman" w:eastAsia="Times New Roman" w:hAnsi="Times New Roman" w:cs="Times New Roman"/>
          <w:color w:val="222222"/>
          <w:shd w:val="clear" w:color="auto" w:fill="FFFFFF"/>
        </w:rPr>
        <w:t>compositive</w:t>
      </w:r>
      <w:proofErr w:type="spellEnd"/>
      <w:r w:rsidRPr="00A472FC">
        <w:rPr>
          <w:rFonts w:ascii="Times New Roman" w:eastAsia="Times New Roman" w:hAnsi="Times New Roman" w:cs="Times New Roman"/>
          <w:color w:val="222222"/>
          <w:shd w:val="clear" w:color="auto" w:fill="FFFFFF"/>
        </w:rPr>
        <w:t xml:space="preserve"> imagination, estimati</w:t>
      </w:r>
      <w:r w:rsidR="00AB7E5B" w:rsidRPr="00A472FC">
        <w:rPr>
          <w:rFonts w:ascii="Times New Roman" w:eastAsia="Times New Roman" w:hAnsi="Times New Roman" w:cs="Times New Roman"/>
          <w:color w:val="222222"/>
          <w:shd w:val="clear" w:color="auto" w:fill="FFFFFF"/>
        </w:rPr>
        <w:t>on</w:t>
      </w:r>
      <w:r w:rsidRPr="00A472FC">
        <w:rPr>
          <w:rFonts w:ascii="Times New Roman" w:eastAsia="Times New Roman" w:hAnsi="Times New Roman" w:cs="Times New Roman"/>
          <w:color w:val="222222"/>
          <w:shd w:val="clear" w:color="auto" w:fill="FFFFFF"/>
        </w:rPr>
        <w:t xml:space="preserve">, and memory. Following Anonymous Callus, a theological text from between 1220-30 that greatly influenced John, the </w:t>
      </w:r>
      <w:proofErr w:type="spellStart"/>
      <w:r w:rsidR="00040053" w:rsidRPr="00A472FC">
        <w:rPr>
          <w:rFonts w:ascii="Times New Roman" w:eastAsia="Times New Roman" w:hAnsi="Times New Roman" w:cs="Times New Roman"/>
          <w:i/>
          <w:color w:val="222222"/>
          <w:shd w:val="clear" w:color="auto" w:fill="FFFFFF"/>
        </w:rPr>
        <w:t>Tractatus</w:t>
      </w:r>
      <w:proofErr w:type="spellEnd"/>
      <w:r w:rsidRPr="00A472FC">
        <w:rPr>
          <w:rFonts w:ascii="Times New Roman" w:eastAsia="Times New Roman" w:hAnsi="Times New Roman" w:cs="Times New Roman"/>
          <w:color w:val="222222"/>
          <w:shd w:val="clear" w:color="auto" w:fill="FFFFFF"/>
        </w:rPr>
        <w:t xml:space="preserve"> considers the intellectual powers in terms of their organ, object, and the order of abstraction. As the goal of the intellect is to abstract from matter, John states, there is no physical organ associated with its work. There are three types of form abstracted from matter that can be the object of the intellect: two are abstract in themselves, namely, God and angels, and the third is produced through intellectual cognition on the basis of knowledge of natural things. </w:t>
      </w:r>
    </w:p>
    <w:p w14:paraId="219A78C8" w14:textId="2A2297C8" w:rsidR="00665333" w:rsidRPr="00A472FC" w:rsidRDefault="00665333" w:rsidP="00881604">
      <w:pPr>
        <w:ind w:right="-52" w:firstLine="720"/>
        <w:rPr>
          <w:rFonts w:ascii="Times New Roman" w:eastAsia="Times New Roman" w:hAnsi="Times New Roman" w:cs="Times New Roman"/>
          <w:color w:val="222222"/>
          <w:shd w:val="clear" w:color="auto" w:fill="FFFFFF"/>
        </w:rPr>
      </w:pPr>
      <w:r w:rsidRPr="00A472FC">
        <w:rPr>
          <w:rFonts w:ascii="Times New Roman" w:eastAsia="Times New Roman" w:hAnsi="Times New Roman" w:cs="Times New Roman"/>
          <w:color w:val="222222"/>
          <w:shd w:val="clear" w:color="auto" w:fill="FFFFFF"/>
        </w:rPr>
        <w:t>The order of abstraction begins with external sensation and then moves on to internal sensation, in particular, estimation, which is the closest the internal senses can come to achieving a form apart from matter</w:t>
      </w:r>
      <w:r w:rsidR="0068064C" w:rsidRPr="00A472FC">
        <w:rPr>
          <w:rFonts w:ascii="Times New Roman" w:eastAsia="Times New Roman" w:hAnsi="Times New Roman" w:cs="Times New Roman"/>
          <w:color w:val="222222"/>
          <w:shd w:val="clear" w:color="auto" w:fill="FFFFFF"/>
        </w:rPr>
        <w:t xml:space="preserve">. Subsequently the order moves </w:t>
      </w:r>
      <w:r w:rsidRPr="00A472FC">
        <w:rPr>
          <w:rFonts w:ascii="Times New Roman" w:eastAsia="Times New Roman" w:hAnsi="Times New Roman" w:cs="Times New Roman"/>
          <w:color w:val="222222"/>
          <w:shd w:val="clear" w:color="auto" w:fill="FFFFFF"/>
        </w:rPr>
        <w:t xml:space="preserve">on to the intellect. According to John, this is divided into a passive and corruptible component, inseparable from the body, which is called the material intellect. This is another name for estimation insofar as it operates exclusively in human beings. There is also an incorruptible component that is separable from the body, which consists of the agent and possible intellects. </w:t>
      </w:r>
    </w:p>
    <w:p w14:paraId="3E184DB9" w14:textId="06AFB4B2" w:rsidR="00665333" w:rsidRPr="00A472FC" w:rsidRDefault="00665333" w:rsidP="00D7236F">
      <w:pPr>
        <w:ind w:right="-52" w:firstLine="720"/>
        <w:rPr>
          <w:rFonts w:ascii="Times New Roman" w:eastAsia="Times New Roman" w:hAnsi="Times New Roman" w:cs="Times New Roman"/>
          <w:color w:val="222222"/>
          <w:shd w:val="clear" w:color="auto" w:fill="FFFFFF"/>
        </w:rPr>
      </w:pPr>
      <w:r w:rsidRPr="00A472FC">
        <w:rPr>
          <w:rFonts w:ascii="Times New Roman" w:eastAsia="Times New Roman" w:hAnsi="Times New Roman" w:cs="Times New Roman"/>
          <w:color w:val="222222"/>
          <w:shd w:val="clear" w:color="auto" w:fill="FFFFFF"/>
        </w:rPr>
        <w:t xml:space="preserve">When describing the </w:t>
      </w:r>
      <w:r w:rsidR="00682F0A" w:rsidRPr="00A472FC">
        <w:rPr>
          <w:rFonts w:ascii="Times New Roman" w:eastAsia="Times New Roman" w:hAnsi="Times New Roman" w:cs="Times New Roman"/>
          <w:color w:val="222222"/>
          <w:shd w:val="clear" w:color="auto" w:fill="FFFFFF"/>
        </w:rPr>
        <w:t xml:space="preserve">work of the </w:t>
      </w:r>
      <w:r w:rsidRPr="00A472FC">
        <w:rPr>
          <w:rFonts w:ascii="Times New Roman" w:eastAsia="Times New Roman" w:hAnsi="Times New Roman" w:cs="Times New Roman"/>
          <w:color w:val="222222"/>
          <w:shd w:val="clear" w:color="auto" w:fill="FFFFFF"/>
        </w:rPr>
        <w:t xml:space="preserve">possible intellect, John refers to Avicenna’s famous doctrine of four intellects, which represent four stages in the transition from potentiality to act in knowledge. These include the material intellect, which is here understood </w:t>
      </w:r>
      <w:r w:rsidR="00D4412C" w:rsidRPr="00A472FC">
        <w:rPr>
          <w:rFonts w:ascii="Times New Roman" w:eastAsia="Times New Roman" w:hAnsi="Times New Roman" w:cs="Times New Roman"/>
          <w:color w:val="222222"/>
          <w:shd w:val="clear" w:color="auto" w:fill="FFFFFF"/>
        </w:rPr>
        <w:t>a</w:t>
      </w:r>
      <w:r w:rsidRPr="00A472FC">
        <w:rPr>
          <w:rFonts w:ascii="Times New Roman" w:eastAsia="Times New Roman" w:hAnsi="Times New Roman" w:cs="Times New Roman"/>
          <w:color w:val="222222"/>
          <w:shd w:val="clear" w:color="auto" w:fill="FFFFFF"/>
        </w:rPr>
        <w:t xml:space="preserve">s a state of potential for knowing that has not been actualised. </w:t>
      </w:r>
      <w:r w:rsidR="00D4412C" w:rsidRPr="00A472FC">
        <w:rPr>
          <w:rFonts w:ascii="Times New Roman" w:eastAsia="Times New Roman" w:hAnsi="Times New Roman" w:cs="Times New Roman"/>
          <w:color w:val="222222"/>
          <w:shd w:val="clear" w:color="auto" w:fill="FFFFFF"/>
        </w:rPr>
        <w:t xml:space="preserve">This is effectively convertible with the material intellect described above, as passive and corruptible. </w:t>
      </w:r>
      <w:r w:rsidRPr="00A472FC">
        <w:rPr>
          <w:rFonts w:ascii="Times New Roman" w:eastAsia="Times New Roman" w:hAnsi="Times New Roman" w:cs="Times New Roman"/>
          <w:color w:val="222222"/>
          <w:shd w:val="clear" w:color="auto" w:fill="FFFFFF"/>
        </w:rPr>
        <w:t xml:space="preserve">The second intellect in </w:t>
      </w:r>
      <w:proofErr w:type="spellStart"/>
      <w:r w:rsidRPr="00A472FC">
        <w:rPr>
          <w:rFonts w:ascii="Times New Roman" w:eastAsia="Times New Roman" w:hAnsi="Times New Roman" w:cs="Times New Roman"/>
          <w:i/>
          <w:color w:val="222222"/>
          <w:shd w:val="clear" w:color="auto" w:fill="FFFFFF"/>
        </w:rPr>
        <w:t>habitu</w:t>
      </w:r>
      <w:proofErr w:type="spellEnd"/>
      <w:r w:rsidRPr="00A472FC">
        <w:rPr>
          <w:rFonts w:ascii="Times New Roman" w:eastAsia="Times New Roman" w:hAnsi="Times New Roman" w:cs="Times New Roman"/>
          <w:i/>
          <w:color w:val="222222"/>
          <w:shd w:val="clear" w:color="auto" w:fill="FFFFFF"/>
        </w:rPr>
        <w:t xml:space="preserve"> </w:t>
      </w:r>
      <w:r w:rsidRPr="00A472FC">
        <w:rPr>
          <w:rFonts w:ascii="Times New Roman" w:eastAsia="Times New Roman" w:hAnsi="Times New Roman" w:cs="Times New Roman"/>
          <w:color w:val="222222"/>
          <w:shd w:val="clear" w:color="auto" w:fill="FFFFFF"/>
        </w:rPr>
        <w:t xml:space="preserve">has acquired </w:t>
      </w:r>
      <w:r w:rsidR="007E593E" w:rsidRPr="00A472FC">
        <w:rPr>
          <w:rFonts w:ascii="Times New Roman" w:eastAsia="Times New Roman" w:hAnsi="Times New Roman" w:cs="Times New Roman"/>
          <w:color w:val="222222"/>
          <w:shd w:val="clear" w:color="auto" w:fill="FFFFFF"/>
        </w:rPr>
        <w:t>the</w:t>
      </w:r>
      <w:r w:rsidRPr="00A472FC">
        <w:rPr>
          <w:rFonts w:ascii="Times New Roman" w:eastAsia="Times New Roman" w:hAnsi="Times New Roman" w:cs="Times New Roman"/>
          <w:color w:val="222222"/>
          <w:shd w:val="clear" w:color="auto" w:fill="FFFFFF"/>
        </w:rPr>
        <w:t xml:space="preserve"> potential</w:t>
      </w:r>
      <w:r w:rsidR="007E593E" w:rsidRPr="00A472FC">
        <w:rPr>
          <w:rFonts w:ascii="Times New Roman" w:eastAsia="Times New Roman" w:hAnsi="Times New Roman" w:cs="Times New Roman"/>
          <w:color w:val="222222"/>
          <w:shd w:val="clear" w:color="auto" w:fill="FFFFFF"/>
        </w:rPr>
        <w:t xml:space="preserve"> for knowing. </w:t>
      </w:r>
      <w:r w:rsidR="0022624A" w:rsidRPr="00A472FC">
        <w:rPr>
          <w:rFonts w:ascii="Times New Roman" w:eastAsia="Times New Roman" w:hAnsi="Times New Roman" w:cs="Times New Roman"/>
          <w:color w:val="222222"/>
          <w:shd w:val="clear" w:color="auto" w:fill="FFFFFF"/>
        </w:rPr>
        <w:t xml:space="preserve">This consists in certain first principles of knowledge, such as that a whole is greater than its part, which are innately given by God and represent his image, insofar as they enable human </w:t>
      </w:r>
      <w:r w:rsidR="005816C5" w:rsidRPr="00A472FC">
        <w:rPr>
          <w:rFonts w:ascii="Times New Roman" w:eastAsia="Times New Roman" w:hAnsi="Times New Roman" w:cs="Times New Roman"/>
          <w:color w:val="222222"/>
          <w:shd w:val="clear" w:color="auto" w:fill="FFFFFF"/>
        </w:rPr>
        <w:t xml:space="preserve">beings to render sense objects intelligible by stripping them bare of all material determinations </w:t>
      </w:r>
      <w:r w:rsidR="00D7236F" w:rsidRPr="00A472FC">
        <w:rPr>
          <w:rFonts w:ascii="Times New Roman" w:eastAsia="Times New Roman" w:hAnsi="Times New Roman" w:cs="Times New Roman"/>
          <w:color w:val="222222"/>
          <w:shd w:val="clear" w:color="auto" w:fill="FFFFFF"/>
        </w:rPr>
        <w:t>to see</w:t>
      </w:r>
      <w:r w:rsidR="005816C5" w:rsidRPr="00A472FC">
        <w:rPr>
          <w:rFonts w:ascii="Times New Roman" w:eastAsia="Times New Roman" w:hAnsi="Times New Roman" w:cs="Times New Roman"/>
          <w:color w:val="222222"/>
          <w:shd w:val="clear" w:color="auto" w:fill="FFFFFF"/>
        </w:rPr>
        <w:t xml:space="preserve"> the form that lies beneath. </w:t>
      </w:r>
      <w:r w:rsidR="00D7236F" w:rsidRPr="00A472FC">
        <w:rPr>
          <w:rFonts w:ascii="Times New Roman" w:eastAsia="Times New Roman" w:hAnsi="Times New Roman" w:cs="Times New Roman"/>
          <w:color w:val="222222"/>
          <w:shd w:val="clear" w:color="auto" w:fill="FFFFFF"/>
        </w:rPr>
        <w:t xml:space="preserve">The </w:t>
      </w:r>
      <w:r w:rsidRPr="00A472FC">
        <w:rPr>
          <w:rFonts w:ascii="Times New Roman" w:eastAsia="Times New Roman" w:hAnsi="Times New Roman" w:cs="Times New Roman"/>
          <w:color w:val="222222"/>
          <w:shd w:val="clear" w:color="auto" w:fill="FFFFFF"/>
        </w:rPr>
        <w:t xml:space="preserve">intellect </w:t>
      </w:r>
      <w:r w:rsidRPr="00A472FC">
        <w:rPr>
          <w:rFonts w:ascii="Times New Roman" w:eastAsia="Times New Roman" w:hAnsi="Times New Roman" w:cs="Times New Roman"/>
          <w:i/>
          <w:color w:val="222222"/>
          <w:shd w:val="clear" w:color="auto" w:fill="FFFFFF"/>
        </w:rPr>
        <w:t xml:space="preserve">in </w:t>
      </w:r>
      <w:proofErr w:type="spellStart"/>
      <w:r w:rsidRPr="00A472FC">
        <w:rPr>
          <w:rFonts w:ascii="Times New Roman" w:eastAsia="Times New Roman" w:hAnsi="Times New Roman" w:cs="Times New Roman"/>
          <w:i/>
          <w:color w:val="222222"/>
          <w:shd w:val="clear" w:color="auto" w:fill="FFFFFF"/>
        </w:rPr>
        <w:t>effectu</w:t>
      </w:r>
      <w:proofErr w:type="spellEnd"/>
      <w:r w:rsidRPr="00A472FC">
        <w:rPr>
          <w:rFonts w:ascii="Times New Roman" w:eastAsia="Times New Roman" w:hAnsi="Times New Roman" w:cs="Times New Roman"/>
          <w:i/>
          <w:color w:val="222222"/>
          <w:shd w:val="clear" w:color="auto" w:fill="FFFFFF"/>
        </w:rPr>
        <w:t xml:space="preserve"> </w:t>
      </w:r>
      <w:r w:rsidR="00D7236F" w:rsidRPr="00A472FC">
        <w:rPr>
          <w:rFonts w:ascii="Times New Roman" w:eastAsia="Times New Roman" w:hAnsi="Times New Roman" w:cs="Times New Roman"/>
          <w:color w:val="222222"/>
          <w:shd w:val="clear" w:color="auto" w:fill="FFFFFF"/>
        </w:rPr>
        <w:t>is the one that has</w:t>
      </w:r>
      <w:r w:rsidRPr="00A472FC">
        <w:rPr>
          <w:rFonts w:ascii="Times New Roman" w:eastAsia="Times New Roman" w:hAnsi="Times New Roman" w:cs="Times New Roman"/>
          <w:color w:val="222222"/>
          <w:shd w:val="clear" w:color="auto" w:fill="FFFFFF"/>
        </w:rPr>
        <w:t xml:space="preserve"> </w:t>
      </w:r>
      <w:proofErr w:type="spellStart"/>
      <w:r w:rsidRPr="00A472FC">
        <w:rPr>
          <w:rFonts w:ascii="Times New Roman" w:eastAsia="Times New Roman" w:hAnsi="Times New Roman" w:cs="Times New Roman"/>
          <w:color w:val="222222"/>
          <w:shd w:val="clear" w:color="auto" w:fill="FFFFFF"/>
        </w:rPr>
        <w:t>actualized</w:t>
      </w:r>
      <w:proofErr w:type="spellEnd"/>
      <w:r w:rsidRPr="00A472FC">
        <w:rPr>
          <w:rFonts w:ascii="Times New Roman" w:eastAsia="Times New Roman" w:hAnsi="Times New Roman" w:cs="Times New Roman"/>
          <w:color w:val="222222"/>
          <w:shd w:val="clear" w:color="auto" w:fill="FFFFFF"/>
        </w:rPr>
        <w:t xml:space="preserve"> that potential in the past but is not doing so currently. Finally, the </w:t>
      </w:r>
      <w:proofErr w:type="spellStart"/>
      <w:r w:rsidRPr="00A472FC">
        <w:rPr>
          <w:rFonts w:ascii="Times New Roman" w:eastAsia="Times New Roman" w:hAnsi="Times New Roman" w:cs="Times New Roman"/>
          <w:i/>
          <w:color w:val="222222"/>
          <w:shd w:val="clear" w:color="auto" w:fill="FFFFFF"/>
        </w:rPr>
        <w:t>intellecus</w:t>
      </w:r>
      <w:proofErr w:type="spellEnd"/>
      <w:r w:rsidRPr="00A472FC">
        <w:rPr>
          <w:rFonts w:ascii="Times New Roman" w:eastAsia="Times New Roman" w:hAnsi="Times New Roman" w:cs="Times New Roman"/>
          <w:i/>
          <w:color w:val="222222"/>
          <w:shd w:val="clear" w:color="auto" w:fill="FFFFFF"/>
        </w:rPr>
        <w:t xml:space="preserve"> </w:t>
      </w:r>
      <w:proofErr w:type="spellStart"/>
      <w:r w:rsidRPr="00A472FC">
        <w:rPr>
          <w:rFonts w:ascii="Times New Roman" w:eastAsia="Times New Roman" w:hAnsi="Times New Roman" w:cs="Times New Roman"/>
          <w:i/>
          <w:color w:val="222222"/>
          <w:shd w:val="clear" w:color="auto" w:fill="FFFFFF"/>
        </w:rPr>
        <w:t>adeptus</w:t>
      </w:r>
      <w:proofErr w:type="spellEnd"/>
      <w:r w:rsidRPr="00A472FC">
        <w:rPr>
          <w:rFonts w:ascii="Times New Roman" w:eastAsia="Times New Roman" w:hAnsi="Times New Roman" w:cs="Times New Roman"/>
          <w:i/>
          <w:color w:val="222222"/>
          <w:shd w:val="clear" w:color="auto" w:fill="FFFFFF"/>
        </w:rPr>
        <w:t xml:space="preserve"> </w:t>
      </w:r>
      <w:r w:rsidRPr="00A472FC">
        <w:rPr>
          <w:rFonts w:ascii="Times New Roman" w:eastAsia="Times New Roman" w:hAnsi="Times New Roman" w:cs="Times New Roman"/>
          <w:color w:val="222222"/>
          <w:shd w:val="clear" w:color="auto" w:fill="FFFFFF"/>
        </w:rPr>
        <w:t>is the one that performs the act of knowing presently.</w:t>
      </w:r>
    </w:p>
    <w:p w14:paraId="456A8D78" w14:textId="1FFE0D2F" w:rsidR="00665333" w:rsidRPr="00A472FC" w:rsidRDefault="00665333" w:rsidP="00881604">
      <w:pPr>
        <w:ind w:right="-52" w:firstLine="720"/>
        <w:rPr>
          <w:rFonts w:ascii="Times New Roman" w:eastAsia="Times New Roman" w:hAnsi="Times New Roman" w:cs="Times New Roman"/>
          <w:color w:val="222222"/>
          <w:shd w:val="clear" w:color="auto" w:fill="FFFFFF"/>
        </w:rPr>
      </w:pPr>
      <w:r w:rsidRPr="00A472FC">
        <w:rPr>
          <w:rFonts w:ascii="Times New Roman" w:eastAsia="Times New Roman" w:hAnsi="Times New Roman" w:cs="Times New Roman"/>
          <w:color w:val="222222"/>
          <w:shd w:val="clear" w:color="auto" w:fill="FFFFFF"/>
        </w:rPr>
        <w:t xml:space="preserve">Another way John </w:t>
      </w:r>
      <w:r w:rsidR="00016B89" w:rsidRPr="00A472FC">
        <w:rPr>
          <w:rFonts w:ascii="Times New Roman" w:eastAsia="Times New Roman" w:hAnsi="Times New Roman" w:cs="Times New Roman"/>
          <w:color w:val="222222"/>
          <w:shd w:val="clear" w:color="auto" w:fill="FFFFFF"/>
        </w:rPr>
        <w:t xml:space="preserve">describes this process </w:t>
      </w:r>
      <w:r w:rsidRPr="00A472FC">
        <w:rPr>
          <w:rFonts w:ascii="Times New Roman" w:eastAsia="Times New Roman" w:hAnsi="Times New Roman" w:cs="Times New Roman"/>
          <w:color w:val="222222"/>
          <w:shd w:val="clear" w:color="auto" w:fill="FFFFFF"/>
        </w:rPr>
        <w:t>is drawn from Anonymous Callus, which invokes the example of syllogistic reasoning involving quiddities or knowable forms</w:t>
      </w:r>
      <w:r w:rsidR="003F6A29" w:rsidRPr="00A472FC">
        <w:rPr>
          <w:rFonts w:ascii="Times New Roman" w:eastAsia="Times New Roman" w:hAnsi="Times New Roman" w:cs="Times New Roman"/>
          <w:color w:val="222222"/>
          <w:shd w:val="clear" w:color="auto" w:fill="FFFFFF"/>
        </w:rPr>
        <w:t>; the aforementioned</w:t>
      </w:r>
      <w:r w:rsidRPr="00A472FC">
        <w:rPr>
          <w:rFonts w:ascii="Times New Roman" w:eastAsia="Times New Roman" w:hAnsi="Times New Roman" w:cs="Times New Roman"/>
          <w:color w:val="222222"/>
          <w:shd w:val="clear" w:color="auto" w:fill="FFFFFF"/>
        </w:rPr>
        <w:t xml:space="preserve"> first principles of knowledge—such as that a whole is greater than its part</w:t>
      </w:r>
      <w:r w:rsidR="00593657" w:rsidRPr="00A472FC">
        <w:rPr>
          <w:rFonts w:ascii="Times New Roman" w:eastAsia="Times New Roman" w:hAnsi="Times New Roman" w:cs="Times New Roman"/>
          <w:color w:val="222222"/>
          <w:shd w:val="clear" w:color="auto" w:fill="FFFFFF"/>
        </w:rPr>
        <w:t>—</w:t>
      </w:r>
      <w:r w:rsidRPr="00A472FC">
        <w:rPr>
          <w:rFonts w:ascii="Times New Roman" w:eastAsia="Times New Roman" w:hAnsi="Times New Roman" w:cs="Times New Roman"/>
          <w:color w:val="222222"/>
          <w:shd w:val="clear" w:color="auto" w:fill="FFFFFF"/>
        </w:rPr>
        <w:t xml:space="preserve">and the conclusions that can be drawn from them about the quiddities. The process by which the conclusions are reached represents the way that the possible intellect becomes </w:t>
      </w:r>
      <w:proofErr w:type="spellStart"/>
      <w:r w:rsidRPr="00A472FC">
        <w:rPr>
          <w:rFonts w:ascii="Times New Roman" w:eastAsia="Times New Roman" w:hAnsi="Times New Roman" w:cs="Times New Roman"/>
          <w:color w:val="222222"/>
          <w:shd w:val="clear" w:color="auto" w:fill="FFFFFF"/>
        </w:rPr>
        <w:t>actualized</w:t>
      </w:r>
      <w:proofErr w:type="spellEnd"/>
      <w:r w:rsidRPr="00A472FC">
        <w:rPr>
          <w:rFonts w:ascii="Times New Roman" w:eastAsia="Times New Roman" w:hAnsi="Times New Roman" w:cs="Times New Roman"/>
          <w:color w:val="222222"/>
          <w:shd w:val="clear" w:color="auto" w:fill="FFFFFF"/>
        </w:rPr>
        <w:t xml:space="preserve"> by the agent intellect, which is ultimately responsible for achieving knowledge. </w:t>
      </w:r>
    </w:p>
    <w:p w14:paraId="39761BFD" w14:textId="116D6634" w:rsidR="00D34520" w:rsidRPr="00A472FC" w:rsidRDefault="00665333" w:rsidP="00881604">
      <w:pPr>
        <w:ind w:right="-52" w:firstLine="720"/>
        <w:rPr>
          <w:rFonts w:ascii="Times New Roman" w:eastAsia="Times New Roman" w:hAnsi="Times New Roman" w:cs="Times New Roman"/>
          <w:color w:val="222222"/>
          <w:shd w:val="clear" w:color="auto" w:fill="FFFFFF"/>
        </w:rPr>
      </w:pPr>
      <w:r w:rsidRPr="00A472FC">
        <w:rPr>
          <w:rFonts w:ascii="Times New Roman" w:eastAsia="Times New Roman" w:hAnsi="Times New Roman" w:cs="Times New Roman"/>
          <w:color w:val="222222"/>
          <w:shd w:val="clear" w:color="auto" w:fill="FFFFFF"/>
        </w:rPr>
        <w:t>Whereas Avicenna affirmed that the agent intellect is in fact a separate intelligence, which some scholastics at the time identified with God, John rejects the notion that God serves as the agent intellect in human knowledge of ordinary things. For this purpose, namely, that of knowing things ‘beneath’ and including the self</w:t>
      </w:r>
      <w:r w:rsidR="00207B34" w:rsidRPr="00A472FC">
        <w:rPr>
          <w:rFonts w:ascii="Times New Roman" w:eastAsia="Times New Roman" w:hAnsi="Times New Roman" w:cs="Times New Roman"/>
          <w:color w:val="222222"/>
          <w:shd w:val="clear" w:color="auto" w:fill="FFFFFF"/>
        </w:rPr>
        <w:t xml:space="preserve"> and its powers</w:t>
      </w:r>
      <w:r w:rsidRPr="00A472FC">
        <w:rPr>
          <w:rFonts w:ascii="Times New Roman" w:eastAsia="Times New Roman" w:hAnsi="Times New Roman" w:cs="Times New Roman"/>
          <w:color w:val="222222"/>
          <w:shd w:val="clear" w:color="auto" w:fill="FFFFFF"/>
        </w:rPr>
        <w:t xml:space="preserve">, the human intellect itself is sufficient. As </w:t>
      </w:r>
      <w:r w:rsidR="000A4596" w:rsidRPr="00A472FC">
        <w:rPr>
          <w:rFonts w:ascii="Times New Roman" w:eastAsia="Times New Roman" w:hAnsi="Times New Roman" w:cs="Times New Roman"/>
          <w:color w:val="222222"/>
          <w:shd w:val="clear" w:color="auto" w:fill="FFFFFF"/>
        </w:rPr>
        <w:t>note</w:t>
      </w:r>
      <w:r w:rsidR="00052483" w:rsidRPr="00A472FC">
        <w:rPr>
          <w:rFonts w:ascii="Times New Roman" w:eastAsia="Times New Roman" w:hAnsi="Times New Roman" w:cs="Times New Roman"/>
          <w:color w:val="222222"/>
          <w:shd w:val="clear" w:color="auto" w:fill="FFFFFF"/>
        </w:rPr>
        <w:t>d</w:t>
      </w:r>
      <w:r w:rsidR="000A4596" w:rsidRPr="00A472FC">
        <w:rPr>
          <w:rFonts w:ascii="Times New Roman" w:eastAsia="Times New Roman" w:hAnsi="Times New Roman" w:cs="Times New Roman"/>
          <w:color w:val="222222"/>
          <w:shd w:val="clear" w:color="auto" w:fill="FFFFFF"/>
        </w:rPr>
        <w:t xml:space="preserve"> already,</w:t>
      </w:r>
      <w:r w:rsidRPr="00A472FC">
        <w:rPr>
          <w:rFonts w:ascii="Times New Roman" w:eastAsia="Times New Roman" w:hAnsi="Times New Roman" w:cs="Times New Roman"/>
          <w:color w:val="222222"/>
          <w:shd w:val="clear" w:color="auto" w:fill="FFFFFF"/>
        </w:rPr>
        <w:t xml:space="preserve"> John insists</w:t>
      </w:r>
      <w:r w:rsidR="000A4596" w:rsidRPr="00A472FC">
        <w:rPr>
          <w:rFonts w:ascii="Times New Roman" w:eastAsia="Times New Roman" w:hAnsi="Times New Roman" w:cs="Times New Roman"/>
          <w:color w:val="222222"/>
          <w:shd w:val="clear" w:color="auto" w:fill="FFFFFF"/>
        </w:rPr>
        <w:t xml:space="preserve"> that </w:t>
      </w:r>
      <w:r w:rsidRPr="00A472FC">
        <w:rPr>
          <w:rFonts w:ascii="Times New Roman" w:eastAsia="Times New Roman" w:hAnsi="Times New Roman" w:cs="Times New Roman"/>
          <w:color w:val="222222"/>
          <w:shd w:val="clear" w:color="auto" w:fill="FFFFFF"/>
        </w:rPr>
        <w:t>the human mind possesses an innate knowledge of the First Truth—</w:t>
      </w:r>
      <w:r w:rsidR="001303A0" w:rsidRPr="00A472FC">
        <w:rPr>
          <w:rFonts w:ascii="Times New Roman" w:eastAsia="Times New Roman" w:hAnsi="Times New Roman" w:cs="Times New Roman"/>
          <w:color w:val="222222"/>
          <w:shd w:val="clear" w:color="auto" w:fill="FFFFFF"/>
        </w:rPr>
        <w:t xml:space="preserve">the first principle of all principles of knowledge—and </w:t>
      </w:r>
      <w:r w:rsidRPr="00A472FC">
        <w:rPr>
          <w:rFonts w:ascii="Times New Roman" w:eastAsia="Times New Roman" w:hAnsi="Times New Roman" w:cs="Times New Roman"/>
          <w:color w:val="222222"/>
          <w:shd w:val="clear" w:color="auto" w:fill="FFFFFF"/>
        </w:rPr>
        <w:t xml:space="preserve">an image of the Trinity—which serves as the condition of possibility for knowing all truth. </w:t>
      </w:r>
    </w:p>
    <w:p w14:paraId="680F3A37" w14:textId="7096F692" w:rsidR="00665333" w:rsidRPr="00A472FC" w:rsidRDefault="00665333" w:rsidP="00D34520">
      <w:pPr>
        <w:ind w:right="-52" w:firstLine="720"/>
        <w:rPr>
          <w:rFonts w:ascii="Times New Roman" w:eastAsia="Times New Roman" w:hAnsi="Times New Roman" w:cs="Times New Roman"/>
          <w:color w:val="222222"/>
          <w:shd w:val="clear" w:color="auto" w:fill="FFFFFF"/>
        </w:rPr>
      </w:pPr>
      <w:r w:rsidRPr="00A472FC">
        <w:rPr>
          <w:rFonts w:ascii="Times New Roman" w:eastAsia="Times New Roman" w:hAnsi="Times New Roman" w:cs="Times New Roman"/>
          <w:color w:val="222222"/>
          <w:shd w:val="clear" w:color="auto" w:fill="FFFFFF"/>
        </w:rPr>
        <w:t>The only way we can say that the human being is akin to God, in his opinion, is if the human mind is self-sufficient in terms of knowing inferior things.</w:t>
      </w:r>
      <w:r w:rsidR="00D34520" w:rsidRPr="00A472FC">
        <w:rPr>
          <w:rFonts w:ascii="Times New Roman" w:eastAsia="Times New Roman" w:hAnsi="Times New Roman" w:cs="Times New Roman"/>
          <w:color w:val="222222"/>
          <w:shd w:val="clear" w:color="auto" w:fill="FFFFFF"/>
        </w:rPr>
        <w:t xml:space="preserve"> </w:t>
      </w:r>
      <w:r w:rsidRPr="00A472FC">
        <w:rPr>
          <w:rFonts w:ascii="Times New Roman" w:eastAsia="Times New Roman" w:hAnsi="Times New Roman" w:cs="Times New Roman"/>
          <w:color w:val="222222"/>
          <w:shd w:val="clear" w:color="auto" w:fill="FFFFFF"/>
        </w:rPr>
        <w:t xml:space="preserve">When it comes to knowing things next to and above the self, namely, angels and God, </w:t>
      </w:r>
      <w:r w:rsidR="00D34520" w:rsidRPr="00A472FC">
        <w:rPr>
          <w:rFonts w:ascii="Times New Roman" w:eastAsia="Times New Roman" w:hAnsi="Times New Roman" w:cs="Times New Roman"/>
          <w:color w:val="222222"/>
          <w:shd w:val="clear" w:color="auto" w:fill="FFFFFF"/>
        </w:rPr>
        <w:t xml:space="preserve">John insists that </w:t>
      </w:r>
      <w:r w:rsidRPr="00A472FC">
        <w:rPr>
          <w:rFonts w:ascii="Times New Roman" w:eastAsia="Times New Roman" w:hAnsi="Times New Roman" w:cs="Times New Roman"/>
          <w:color w:val="222222"/>
          <w:shd w:val="clear" w:color="auto" w:fill="FFFFFF"/>
        </w:rPr>
        <w:t xml:space="preserve">angels and God, respectively, must serve as the agent intellect, in order to compensate for the human mind’s inadequacy to reach beyond itself in these respects. As we have learned, this </w:t>
      </w:r>
      <w:r w:rsidR="00991F2F" w:rsidRPr="00A472FC">
        <w:rPr>
          <w:rFonts w:ascii="Times New Roman" w:eastAsia="Times New Roman" w:hAnsi="Times New Roman" w:cs="Times New Roman"/>
          <w:color w:val="222222"/>
          <w:shd w:val="clear" w:color="auto" w:fill="FFFFFF"/>
        </w:rPr>
        <w:t>schema</w:t>
      </w:r>
      <w:r w:rsidRPr="00A472FC">
        <w:rPr>
          <w:rFonts w:ascii="Times New Roman" w:eastAsia="Times New Roman" w:hAnsi="Times New Roman" w:cs="Times New Roman"/>
          <w:color w:val="222222"/>
          <w:shd w:val="clear" w:color="auto" w:fill="FFFFFF"/>
        </w:rPr>
        <w:t xml:space="preserve"> </w:t>
      </w:r>
      <w:r w:rsidRPr="00A472FC">
        <w:rPr>
          <w:rFonts w:ascii="Times New Roman" w:eastAsia="Times New Roman" w:hAnsi="Times New Roman" w:cs="Times New Roman"/>
          <w:color w:val="222222"/>
          <w:shd w:val="clear" w:color="auto" w:fill="FFFFFF"/>
        </w:rPr>
        <w:lastRenderedPageBreak/>
        <w:t>concerning what is ‘below’</w:t>
      </w:r>
      <w:r w:rsidR="00593657" w:rsidRPr="00A472FC">
        <w:rPr>
          <w:rFonts w:ascii="Times New Roman" w:eastAsia="Times New Roman" w:hAnsi="Times New Roman" w:cs="Times New Roman"/>
          <w:color w:val="222222"/>
          <w:shd w:val="clear" w:color="auto" w:fill="FFFFFF"/>
        </w:rPr>
        <w:t>,</w:t>
      </w:r>
      <w:r w:rsidRPr="00A472FC">
        <w:rPr>
          <w:rFonts w:ascii="Times New Roman" w:eastAsia="Times New Roman" w:hAnsi="Times New Roman" w:cs="Times New Roman"/>
          <w:color w:val="222222"/>
          <w:shd w:val="clear" w:color="auto" w:fill="FFFFFF"/>
        </w:rPr>
        <w:t xml:space="preserve"> ‘next to’</w:t>
      </w:r>
      <w:r w:rsidR="00593657" w:rsidRPr="00A472FC">
        <w:rPr>
          <w:rFonts w:ascii="Times New Roman" w:eastAsia="Times New Roman" w:hAnsi="Times New Roman" w:cs="Times New Roman"/>
          <w:color w:val="222222"/>
          <w:shd w:val="clear" w:color="auto" w:fill="FFFFFF"/>
        </w:rPr>
        <w:t>,</w:t>
      </w:r>
      <w:r w:rsidRPr="00A472FC">
        <w:rPr>
          <w:rFonts w:ascii="Times New Roman" w:eastAsia="Times New Roman" w:hAnsi="Times New Roman" w:cs="Times New Roman"/>
          <w:color w:val="222222"/>
          <w:shd w:val="clear" w:color="auto" w:fill="FFFFFF"/>
        </w:rPr>
        <w:t xml:space="preserve"> and ‘above’</w:t>
      </w:r>
      <w:r w:rsidR="00593657" w:rsidRPr="00A472FC">
        <w:rPr>
          <w:rFonts w:ascii="Times New Roman" w:eastAsia="Times New Roman" w:hAnsi="Times New Roman" w:cs="Times New Roman"/>
          <w:color w:val="222222"/>
          <w:shd w:val="clear" w:color="auto" w:fill="FFFFFF"/>
        </w:rPr>
        <w:t>,</w:t>
      </w:r>
      <w:r w:rsidRPr="00A472FC">
        <w:rPr>
          <w:rFonts w:ascii="Times New Roman" w:eastAsia="Times New Roman" w:hAnsi="Times New Roman" w:cs="Times New Roman"/>
          <w:color w:val="222222"/>
          <w:shd w:val="clear" w:color="auto" w:fill="FFFFFF"/>
        </w:rPr>
        <w:t xml:space="preserve"> the self was derived from DSEA and was used by John as a means of linking his account, however tenuously, to Augustine. </w:t>
      </w:r>
    </w:p>
    <w:p w14:paraId="2B394BB0" w14:textId="201337D2" w:rsidR="00665333" w:rsidRPr="00A472FC" w:rsidRDefault="00665333" w:rsidP="00881604">
      <w:pPr>
        <w:ind w:right="-52" w:firstLine="720"/>
        <w:rPr>
          <w:rFonts w:ascii="Times New Roman" w:eastAsia="Times New Roman" w:hAnsi="Times New Roman" w:cs="Times New Roman"/>
          <w:color w:val="222222"/>
          <w:shd w:val="clear" w:color="auto" w:fill="FFFFFF"/>
        </w:rPr>
      </w:pPr>
      <w:r w:rsidRPr="00A472FC">
        <w:rPr>
          <w:rFonts w:ascii="Times New Roman" w:eastAsia="Times New Roman" w:hAnsi="Times New Roman" w:cs="Times New Roman"/>
          <w:color w:val="222222"/>
          <w:shd w:val="clear" w:color="auto" w:fill="FFFFFF"/>
        </w:rPr>
        <w:t xml:space="preserve">The same strategy was employed in John’s use of the distinction between inferior and superior reason. While Augustine saw these as performing the functions of internal sensation and intellection, respectively, John follows Avicenna in treating them as two aspects of the intellect itself, namely, theoretical and practical, which Avicenna described in terms of the ‘two faces of the soul’. For John, in fact, lower and higher reason correspond to the possible and agent intellects, respectively, although </w:t>
      </w:r>
      <w:r w:rsidR="002847B8" w:rsidRPr="00A472FC">
        <w:rPr>
          <w:rFonts w:ascii="Times New Roman" w:eastAsia="Times New Roman" w:hAnsi="Times New Roman" w:cs="Times New Roman"/>
          <w:color w:val="222222"/>
          <w:shd w:val="clear" w:color="auto" w:fill="FFFFFF"/>
        </w:rPr>
        <w:t xml:space="preserve">he </w:t>
      </w:r>
      <w:proofErr w:type="spellStart"/>
      <w:r w:rsidR="002847B8" w:rsidRPr="00A472FC">
        <w:rPr>
          <w:rFonts w:ascii="Times New Roman" w:eastAsia="Times New Roman" w:hAnsi="Times New Roman" w:cs="Times New Roman"/>
          <w:color w:val="222222"/>
          <w:shd w:val="clear" w:color="auto" w:fill="FFFFFF"/>
        </w:rPr>
        <w:t>recognizes</w:t>
      </w:r>
      <w:proofErr w:type="spellEnd"/>
      <w:r w:rsidR="002847B8" w:rsidRPr="00A472FC">
        <w:rPr>
          <w:rFonts w:ascii="Times New Roman" w:eastAsia="Times New Roman" w:hAnsi="Times New Roman" w:cs="Times New Roman"/>
          <w:color w:val="222222"/>
          <w:shd w:val="clear" w:color="auto" w:fill="FFFFFF"/>
        </w:rPr>
        <w:t xml:space="preserve"> that </w:t>
      </w:r>
      <w:r w:rsidRPr="00A472FC">
        <w:rPr>
          <w:rFonts w:ascii="Times New Roman" w:eastAsia="Times New Roman" w:hAnsi="Times New Roman" w:cs="Times New Roman"/>
          <w:color w:val="222222"/>
          <w:shd w:val="clear" w:color="auto" w:fill="FFFFFF"/>
        </w:rPr>
        <w:t>there is another sense in which they can correspond to the material intellect on the one hand and the separable—possible and agent—intellect on the other.</w:t>
      </w:r>
    </w:p>
    <w:p w14:paraId="6FC50E3B" w14:textId="77777777" w:rsidR="00201CB6" w:rsidRPr="00A472FC" w:rsidRDefault="00665333" w:rsidP="00881604">
      <w:pPr>
        <w:ind w:right="-52" w:firstLine="720"/>
        <w:rPr>
          <w:rFonts w:ascii="Times New Roman" w:eastAsia="Times New Roman" w:hAnsi="Times New Roman" w:cs="Times New Roman"/>
          <w:color w:val="222222"/>
          <w:shd w:val="clear" w:color="auto" w:fill="FFFFFF"/>
        </w:rPr>
      </w:pPr>
      <w:r w:rsidRPr="00A472FC">
        <w:rPr>
          <w:rFonts w:ascii="Times New Roman" w:eastAsia="Times New Roman" w:hAnsi="Times New Roman" w:cs="Times New Roman"/>
          <w:color w:val="222222"/>
          <w:shd w:val="clear" w:color="auto" w:fill="FFFFFF"/>
        </w:rPr>
        <w:t xml:space="preserve">When he passes on to the scheme of John of Damascus, we find that Rochelle is often reiterating themes he </w:t>
      </w:r>
      <w:r w:rsidR="002F2BEE" w:rsidRPr="00A472FC">
        <w:rPr>
          <w:rFonts w:ascii="Times New Roman" w:eastAsia="Times New Roman" w:hAnsi="Times New Roman" w:cs="Times New Roman"/>
          <w:color w:val="222222"/>
          <w:shd w:val="clear" w:color="auto" w:fill="FFFFFF"/>
        </w:rPr>
        <w:t xml:space="preserve">had </w:t>
      </w:r>
      <w:r w:rsidRPr="00A472FC">
        <w:rPr>
          <w:rFonts w:ascii="Times New Roman" w:eastAsia="Times New Roman" w:hAnsi="Times New Roman" w:cs="Times New Roman"/>
          <w:color w:val="222222"/>
          <w:shd w:val="clear" w:color="auto" w:fill="FFFFFF"/>
        </w:rPr>
        <w:t xml:space="preserve">already mentioned in </w:t>
      </w:r>
      <w:r w:rsidR="007F1504" w:rsidRPr="00A472FC">
        <w:rPr>
          <w:rFonts w:ascii="Times New Roman" w:eastAsia="Times New Roman" w:hAnsi="Times New Roman" w:cs="Times New Roman"/>
          <w:color w:val="222222"/>
          <w:shd w:val="clear" w:color="auto" w:fill="FFFFFF"/>
        </w:rPr>
        <w:t xml:space="preserve">relation to </w:t>
      </w:r>
      <w:r w:rsidRPr="00A472FC">
        <w:rPr>
          <w:rFonts w:ascii="Times New Roman" w:eastAsia="Times New Roman" w:hAnsi="Times New Roman" w:cs="Times New Roman"/>
          <w:color w:val="222222"/>
          <w:shd w:val="clear" w:color="auto" w:fill="FFFFFF"/>
        </w:rPr>
        <w:t xml:space="preserve">Avicenna. This is because, as Rochelle surely wanted to </w:t>
      </w:r>
      <w:proofErr w:type="spellStart"/>
      <w:r w:rsidRPr="00A472FC">
        <w:rPr>
          <w:rFonts w:ascii="Times New Roman" w:eastAsia="Times New Roman" w:hAnsi="Times New Roman" w:cs="Times New Roman"/>
          <w:color w:val="222222"/>
          <w:shd w:val="clear" w:color="auto" w:fill="FFFFFF"/>
        </w:rPr>
        <w:t>emphasize</w:t>
      </w:r>
      <w:proofErr w:type="spellEnd"/>
      <w:r w:rsidRPr="00A472FC">
        <w:rPr>
          <w:rFonts w:ascii="Times New Roman" w:eastAsia="Times New Roman" w:hAnsi="Times New Roman" w:cs="Times New Roman"/>
          <w:color w:val="222222"/>
          <w:shd w:val="clear" w:color="auto" w:fill="FFFFFF"/>
        </w:rPr>
        <w:t>, there were common</w:t>
      </w:r>
      <w:r w:rsidR="005B3F68" w:rsidRPr="00A472FC">
        <w:rPr>
          <w:rFonts w:ascii="Times New Roman" w:eastAsia="Times New Roman" w:hAnsi="Times New Roman" w:cs="Times New Roman"/>
          <w:color w:val="222222"/>
          <w:shd w:val="clear" w:color="auto" w:fill="FFFFFF"/>
        </w:rPr>
        <w:t>,</w:t>
      </w:r>
      <w:r w:rsidRPr="00A472FC">
        <w:rPr>
          <w:rFonts w:ascii="Times New Roman" w:eastAsia="Times New Roman" w:hAnsi="Times New Roman" w:cs="Times New Roman"/>
          <w:color w:val="222222"/>
          <w:shd w:val="clear" w:color="auto" w:fill="FFFFFF"/>
        </w:rPr>
        <w:t xml:space="preserve"> </w:t>
      </w:r>
      <w:r w:rsidR="008C6A05" w:rsidRPr="00A472FC">
        <w:rPr>
          <w:rFonts w:ascii="Times New Roman" w:eastAsia="Times New Roman" w:hAnsi="Times New Roman" w:cs="Times New Roman"/>
          <w:color w:val="222222"/>
          <w:shd w:val="clear" w:color="auto" w:fill="FFFFFF"/>
        </w:rPr>
        <w:t>if very general</w:t>
      </w:r>
      <w:r w:rsidR="005B3F68" w:rsidRPr="00A472FC">
        <w:rPr>
          <w:rFonts w:ascii="Times New Roman" w:eastAsia="Times New Roman" w:hAnsi="Times New Roman" w:cs="Times New Roman"/>
          <w:color w:val="222222"/>
          <w:shd w:val="clear" w:color="auto" w:fill="FFFFFF"/>
        </w:rPr>
        <w:t xml:space="preserve">, </w:t>
      </w:r>
      <w:r w:rsidR="008C6A05" w:rsidRPr="00A472FC">
        <w:rPr>
          <w:rFonts w:ascii="Times New Roman" w:eastAsia="Times New Roman" w:hAnsi="Times New Roman" w:cs="Times New Roman"/>
          <w:color w:val="222222"/>
          <w:shd w:val="clear" w:color="auto" w:fill="FFFFFF"/>
        </w:rPr>
        <w:t xml:space="preserve">conceptual </w:t>
      </w:r>
      <w:r w:rsidRPr="00A472FC">
        <w:rPr>
          <w:rFonts w:ascii="Times New Roman" w:eastAsia="Times New Roman" w:hAnsi="Times New Roman" w:cs="Times New Roman"/>
          <w:color w:val="222222"/>
          <w:shd w:val="clear" w:color="auto" w:fill="FFFFFF"/>
        </w:rPr>
        <w:t>threads in those sources</w:t>
      </w:r>
      <w:r w:rsidR="005B3F68" w:rsidRPr="00A472FC">
        <w:rPr>
          <w:rFonts w:ascii="Times New Roman" w:eastAsia="Times New Roman" w:hAnsi="Times New Roman" w:cs="Times New Roman"/>
          <w:color w:val="222222"/>
          <w:shd w:val="clear" w:color="auto" w:fill="FFFFFF"/>
        </w:rPr>
        <w:t>,</w:t>
      </w:r>
      <w:r w:rsidRPr="00A472FC">
        <w:rPr>
          <w:rFonts w:ascii="Times New Roman" w:eastAsia="Times New Roman" w:hAnsi="Times New Roman" w:cs="Times New Roman"/>
          <w:color w:val="222222"/>
          <w:shd w:val="clear" w:color="auto" w:fill="FFFFFF"/>
        </w:rPr>
        <w:t xml:space="preserve"> due to their shared Aristotelian and Neo-Platonic heritage. On account of this, </w:t>
      </w:r>
      <w:r w:rsidR="000A5AB1" w:rsidRPr="00A472FC">
        <w:rPr>
          <w:rFonts w:ascii="Times New Roman" w:eastAsia="Times New Roman" w:hAnsi="Times New Roman" w:cs="Times New Roman"/>
          <w:color w:val="222222"/>
          <w:shd w:val="clear" w:color="auto" w:fill="FFFFFF"/>
        </w:rPr>
        <w:t>he repeats from the</w:t>
      </w:r>
      <w:r w:rsidRPr="00A472FC">
        <w:rPr>
          <w:rFonts w:ascii="Times New Roman" w:eastAsia="Times New Roman" w:hAnsi="Times New Roman" w:cs="Times New Roman"/>
          <w:color w:val="222222"/>
          <w:shd w:val="clear" w:color="auto" w:fill="FFFFFF"/>
        </w:rPr>
        <w:t xml:space="preserve"> Damascene much of the medical material we saw in Avicenna </w:t>
      </w:r>
      <w:r w:rsidR="00026E84" w:rsidRPr="00A472FC">
        <w:rPr>
          <w:rFonts w:ascii="Times New Roman" w:eastAsia="Times New Roman" w:hAnsi="Times New Roman" w:cs="Times New Roman"/>
          <w:color w:val="222222"/>
          <w:shd w:val="clear" w:color="auto" w:fill="FFFFFF"/>
        </w:rPr>
        <w:t xml:space="preserve">and </w:t>
      </w:r>
      <w:proofErr w:type="spellStart"/>
      <w:r w:rsidR="00026E84" w:rsidRPr="00A472FC">
        <w:rPr>
          <w:rFonts w:ascii="Times New Roman" w:eastAsia="Times New Roman" w:hAnsi="Times New Roman" w:cs="Times New Roman"/>
          <w:color w:val="222222"/>
          <w:shd w:val="clear" w:color="auto" w:fill="FFFFFF"/>
        </w:rPr>
        <w:t>Johannitius</w:t>
      </w:r>
      <w:proofErr w:type="spellEnd"/>
      <w:r w:rsidR="00026E84" w:rsidRPr="00A472FC">
        <w:rPr>
          <w:rFonts w:ascii="Times New Roman" w:eastAsia="Times New Roman" w:hAnsi="Times New Roman" w:cs="Times New Roman"/>
          <w:color w:val="222222"/>
          <w:shd w:val="clear" w:color="auto" w:fill="FFFFFF"/>
        </w:rPr>
        <w:t xml:space="preserve"> </w:t>
      </w:r>
      <w:r w:rsidRPr="00A472FC">
        <w:rPr>
          <w:rFonts w:ascii="Times New Roman" w:eastAsia="Times New Roman" w:hAnsi="Times New Roman" w:cs="Times New Roman"/>
          <w:color w:val="222222"/>
          <w:shd w:val="clear" w:color="auto" w:fill="FFFFFF"/>
        </w:rPr>
        <w:t>concerning the nutritive, augmentative and generative powers and the five external senses. He gives a more simplistic account of the imagination or interior senses and of the intellect, which is nonetheless broadly compatible with Avicenna’s</w:t>
      </w:r>
      <w:r w:rsidR="00A178CA" w:rsidRPr="00A472FC">
        <w:rPr>
          <w:rFonts w:ascii="Times New Roman" w:eastAsia="Times New Roman" w:hAnsi="Times New Roman" w:cs="Times New Roman"/>
          <w:color w:val="222222"/>
          <w:shd w:val="clear" w:color="auto" w:fill="FFFFFF"/>
        </w:rPr>
        <w:t xml:space="preserve"> in his view</w:t>
      </w:r>
      <w:r w:rsidRPr="00A472FC">
        <w:rPr>
          <w:rFonts w:ascii="Times New Roman" w:eastAsia="Times New Roman" w:hAnsi="Times New Roman" w:cs="Times New Roman"/>
          <w:color w:val="222222"/>
          <w:shd w:val="clear" w:color="auto" w:fill="FFFFFF"/>
        </w:rPr>
        <w:t xml:space="preserve">. </w:t>
      </w:r>
    </w:p>
    <w:p w14:paraId="349879B1" w14:textId="2C61A44C" w:rsidR="00F941C1" w:rsidRPr="00A472FC" w:rsidRDefault="00665333" w:rsidP="00940CEA">
      <w:pPr>
        <w:ind w:right="-52" w:firstLine="720"/>
        <w:rPr>
          <w:rFonts w:ascii="Times New Roman" w:eastAsia="Times New Roman" w:hAnsi="Times New Roman" w:cs="Times New Roman"/>
          <w:color w:val="222222"/>
          <w:shd w:val="clear" w:color="auto" w:fill="FFFFFF"/>
        </w:rPr>
      </w:pPr>
      <w:r w:rsidRPr="00A472FC">
        <w:rPr>
          <w:rFonts w:ascii="Times New Roman" w:eastAsia="Times New Roman" w:hAnsi="Times New Roman" w:cs="Times New Roman"/>
          <w:color w:val="222222"/>
          <w:shd w:val="clear" w:color="auto" w:fill="FFFFFF"/>
        </w:rPr>
        <w:t>One major difference is that the Damascene as well as pseudo-Augustine advocate an intellectual memory, which had been rejected by Avicenna, who believed every act of knowing involve</w:t>
      </w:r>
      <w:r w:rsidR="00201CB6" w:rsidRPr="00A472FC">
        <w:rPr>
          <w:rFonts w:ascii="Times New Roman" w:eastAsia="Times New Roman" w:hAnsi="Times New Roman" w:cs="Times New Roman"/>
          <w:color w:val="222222"/>
          <w:shd w:val="clear" w:color="auto" w:fill="FFFFFF"/>
        </w:rPr>
        <w:t>s</w:t>
      </w:r>
      <w:r w:rsidRPr="00A472FC">
        <w:rPr>
          <w:rFonts w:ascii="Times New Roman" w:eastAsia="Times New Roman" w:hAnsi="Times New Roman" w:cs="Times New Roman"/>
          <w:color w:val="222222"/>
          <w:shd w:val="clear" w:color="auto" w:fill="FFFFFF"/>
        </w:rPr>
        <w:t xml:space="preserve"> fresh contact with an external Agent Intellect.</w:t>
      </w:r>
      <w:r w:rsidR="00201CB6" w:rsidRPr="00A472FC">
        <w:rPr>
          <w:rFonts w:ascii="Times New Roman" w:eastAsia="Times New Roman" w:hAnsi="Times New Roman" w:cs="Times New Roman"/>
          <w:color w:val="222222"/>
          <w:shd w:val="clear" w:color="auto" w:fill="FFFFFF"/>
        </w:rPr>
        <w:t xml:space="preserve"> </w:t>
      </w:r>
      <w:r w:rsidR="00A65883" w:rsidRPr="00A472FC">
        <w:rPr>
          <w:rFonts w:ascii="Times New Roman" w:eastAsia="Times New Roman" w:hAnsi="Times New Roman" w:cs="Times New Roman"/>
          <w:color w:val="222222"/>
          <w:shd w:val="clear" w:color="auto" w:fill="FFFFFF"/>
        </w:rPr>
        <w:t xml:space="preserve">Here as in the discussion to the agent intellect itself, John seeks to stress that God created human beings with the capacity to know natural beings of their own accord; </w:t>
      </w:r>
      <w:r w:rsidR="0018310F" w:rsidRPr="00A472FC">
        <w:rPr>
          <w:rFonts w:ascii="Times New Roman" w:eastAsia="Times New Roman" w:hAnsi="Times New Roman" w:cs="Times New Roman"/>
          <w:color w:val="222222"/>
          <w:shd w:val="clear" w:color="auto" w:fill="FFFFFF"/>
        </w:rPr>
        <w:t xml:space="preserve">for him, this </w:t>
      </w:r>
      <w:r w:rsidR="008C1B6B" w:rsidRPr="00A472FC">
        <w:rPr>
          <w:rFonts w:ascii="Times New Roman" w:eastAsia="Times New Roman" w:hAnsi="Times New Roman" w:cs="Times New Roman"/>
          <w:color w:val="222222"/>
          <w:shd w:val="clear" w:color="auto" w:fill="FFFFFF"/>
        </w:rPr>
        <w:t xml:space="preserve">is essential to the integrity of human nature, and God would not make a nature that is intrinsically defunct. </w:t>
      </w:r>
      <w:r w:rsidRPr="00A472FC">
        <w:rPr>
          <w:rFonts w:ascii="Times New Roman" w:eastAsia="Times New Roman" w:hAnsi="Times New Roman" w:cs="Times New Roman"/>
          <w:color w:val="222222"/>
          <w:shd w:val="clear" w:color="auto" w:fill="FFFFFF"/>
        </w:rPr>
        <w:t>The last set of divisions that Rochelle treats are those of pseudo-Augustine in the DSEA. Here, he mentions the natural, vital, and animal powers</w:t>
      </w:r>
      <w:r w:rsidR="00945681" w:rsidRPr="00A472FC">
        <w:rPr>
          <w:rFonts w:ascii="Times New Roman" w:eastAsia="Times New Roman" w:hAnsi="Times New Roman" w:cs="Times New Roman"/>
          <w:color w:val="222222"/>
          <w:shd w:val="clear" w:color="auto" w:fill="FFFFFF"/>
        </w:rPr>
        <w:t>,</w:t>
      </w:r>
      <w:r w:rsidRPr="00A472FC">
        <w:rPr>
          <w:rFonts w:ascii="Times New Roman" w:eastAsia="Times New Roman" w:hAnsi="Times New Roman" w:cs="Times New Roman"/>
          <w:color w:val="222222"/>
          <w:shd w:val="clear" w:color="auto" w:fill="FFFFFF"/>
        </w:rPr>
        <w:t xml:space="preserve"> which respectively oversee nutrition, circulation, and sensation. </w:t>
      </w:r>
      <w:r w:rsidR="00217DA1" w:rsidRPr="00A472FC">
        <w:rPr>
          <w:rFonts w:ascii="Times New Roman" w:eastAsia="Times New Roman" w:hAnsi="Times New Roman" w:cs="Times New Roman"/>
          <w:color w:val="222222"/>
          <w:shd w:val="clear" w:color="auto" w:fill="FFFFFF"/>
        </w:rPr>
        <w:t>Then he speaks of</w:t>
      </w:r>
      <w:r w:rsidRPr="00A472FC">
        <w:rPr>
          <w:rFonts w:ascii="Times New Roman" w:eastAsia="Times New Roman" w:hAnsi="Times New Roman" w:cs="Times New Roman"/>
          <w:color w:val="222222"/>
          <w:shd w:val="clear" w:color="auto" w:fill="FFFFFF"/>
        </w:rPr>
        <w:t xml:space="preserve"> the Platonic division between the rational, irascible, and </w:t>
      </w:r>
      <w:proofErr w:type="spellStart"/>
      <w:r w:rsidRPr="00A472FC">
        <w:rPr>
          <w:rFonts w:ascii="Times New Roman" w:eastAsia="Times New Roman" w:hAnsi="Times New Roman" w:cs="Times New Roman"/>
          <w:color w:val="222222"/>
          <w:shd w:val="clear" w:color="auto" w:fill="FFFFFF"/>
        </w:rPr>
        <w:t>concupiscible</w:t>
      </w:r>
      <w:proofErr w:type="spellEnd"/>
      <w:r w:rsidRPr="00A472FC">
        <w:rPr>
          <w:rFonts w:ascii="Times New Roman" w:eastAsia="Times New Roman" w:hAnsi="Times New Roman" w:cs="Times New Roman"/>
          <w:color w:val="222222"/>
          <w:shd w:val="clear" w:color="auto" w:fill="FFFFFF"/>
        </w:rPr>
        <w:t xml:space="preserve"> powers; and the five-fold division of sense, imagination, reason, intellect, and intelligence, which respectively pertain to external and internal sensation, and knowledge of things below, next, to, or above the self. </w:t>
      </w:r>
    </w:p>
    <w:p w14:paraId="4F665A0B" w14:textId="329A67FC" w:rsidR="00AD6706" w:rsidRPr="00A472FC" w:rsidRDefault="00665333" w:rsidP="00320338">
      <w:pPr>
        <w:ind w:right="-52" w:firstLine="720"/>
        <w:rPr>
          <w:rFonts w:ascii="Times New Roman" w:eastAsia="Times New Roman" w:hAnsi="Times New Roman" w:cs="Times New Roman"/>
          <w:color w:val="222222"/>
          <w:shd w:val="clear" w:color="auto" w:fill="FFFFFF"/>
        </w:rPr>
      </w:pPr>
      <w:r w:rsidRPr="00A472FC">
        <w:rPr>
          <w:rFonts w:ascii="Times New Roman" w:eastAsia="Times New Roman" w:hAnsi="Times New Roman" w:cs="Times New Roman"/>
          <w:color w:val="222222"/>
          <w:shd w:val="clear" w:color="auto" w:fill="FFFFFF"/>
        </w:rPr>
        <w:t>While things below are subjects of lower reason, those which are next to or above the self are dealt with by higher reason.</w:t>
      </w:r>
      <w:r w:rsidR="00F941C1" w:rsidRPr="00A472FC">
        <w:rPr>
          <w:rFonts w:ascii="Times New Roman" w:eastAsia="Times New Roman" w:hAnsi="Times New Roman" w:cs="Times New Roman"/>
          <w:color w:val="222222"/>
          <w:shd w:val="clear" w:color="auto" w:fill="FFFFFF"/>
        </w:rPr>
        <w:t xml:space="preserve"> </w:t>
      </w:r>
      <w:r w:rsidRPr="00A472FC">
        <w:rPr>
          <w:rFonts w:ascii="Times New Roman" w:eastAsia="Times New Roman" w:hAnsi="Times New Roman" w:cs="Times New Roman"/>
          <w:color w:val="222222"/>
          <w:shd w:val="clear" w:color="auto" w:fill="FFFFFF"/>
        </w:rPr>
        <w:t>Although these categories do not map on exactly to those of the Damascene and Avicenna, there are clearly many</w:t>
      </w:r>
      <w:r w:rsidR="005D1F5B">
        <w:rPr>
          <w:rFonts w:ascii="Times New Roman" w:eastAsia="Times New Roman" w:hAnsi="Times New Roman" w:cs="Times New Roman"/>
          <w:color w:val="222222"/>
          <w:shd w:val="clear" w:color="auto" w:fill="FFFFFF"/>
        </w:rPr>
        <w:t xml:space="preserve"> broad</w:t>
      </w:r>
      <w:r w:rsidRPr="00A472FC">
        <w:rPr>
          <w:rFonts w:ascii="Times New Roman" w:eastAsia="Times New Roman" w:hAnsi="Times New Roman" w:cs="Times New Roman"/>
          <w:color w:val="222222"/>
          <w:shd w:val="clear" w:color="auto" w:fill="FFFFFF"/>
        </w:rPr>
        <w:t xml:space="preserve"> points of contact between them, which it is surely Rochelle’s intent to highlight, simply by juxtaposing the three schemes. </w:t>
      </w:r>
      <w:r w:rsidR="004B1B88" w:rsidRPr="00A472FC">
        <w:rPr>
          <w:rFonts w:ascii="Times New Roman" w:eastAsia="Times New Roman" w:hAnsi="Times New Roman" w:cs="Times New Roman"/>
          <w:color w:val="222222"/>
          <w:shd w:val="clear" w:color="auto" w:fill="FFFFFF"/>
        </w:rPr>
        <w:t xml:space="preserve">Furthermore, the outline at the end of the chapter and the cross-references within it highlight the extent to which the SDA largely duplicates </w:t>
      </w:r>
      <w:r w:rsidR="00DC2F7F" w:rsidRPr="00A472FC">
        <w:rPr>
          <w:rFonts w:ascii="Times New Roman" w:eastAsia="Times New Roman" w:hAnsi="Times New Roman" w:cs="Times New Roman"/>
          <w:color w:val="222222"/>
          <w:shd w:val="clear" w:color="auto" w:fill="FFFFFF"/>
        </w:rPr>
        <w:t xml:space="preserve">the </w:t>
      </w:r>
      <w:proofErr w:type="spellStart"/>
      <w:r w:rsidR="00DC2F7F" w:rsidRPr="00A472FC">
        <w:rPr>
          <w:rFonts w:ascii="Times New Roman" w:eastAsia="Times New Roman" w:hAnsi="Times New Roman" w:cs="Times New Roman"/>
          <w:i/>
          <w:color w:val="222222"/>
          <w:shd w:val="clear" w:color="auto" w:fill="FFFFFF"/>
        </w:rPr>
        <w:t>Tractatus</w:t>
      </w:r>
      <w:proofErr w:type="spellEnd"/>
      <w:r w:rsidR="00DC2F7F" w:rsidRPr="00A472FC">
        <w:rPr>
          <w:rFonts w:ascii="Times New Roman" w:eastAsia="Times New Roman" w:hAnsi="Times New Roman" w:cs="Times New Roman"/>
          <w:i/>
          <w:color w:val="222222"/>
          <w:shd w:val="clear" w:color="auto" w:fill="FFFFFF"/>
        </w:rPr>
        <w:t xml:space="preserve">’ </w:t>
      </w:r>
      <w:r w:rsidR="00DC2F7F" w:rsidRPr="00A472FC">
        <w:rPr>
          <w:rFonts w:ascii="Times New Roman" w:eastAsia="Times New Roman" w:hAnsi="Times New Roman" w:cs="Times New Roman"/>
          <w:color w:val="222222"/>
          <w:shd w:val="clear" w:color="auto" w:fill="FFFFFF"/>
        </w:rPr>
        <w:t xml:space="preserve">treatment of the powers of the soul, with the exception of the order in which the </w:t>
      </w:r>
      <w:r w:rsidR="002A6FA7" w:rsidRPr="00A472FC">
        <w:rPr>
          <w:rFonts w:ascii="Times New Roman" w:eastAsia="Times New Roman" w:hAnsi="Times New Roman" w:cs="Times New Roman"/>
          <w:color w:val="222222"/>
          <w:shd w:val="clear" w:color="auto" w:fill="FFFFFF"/>
        </w:rPr>
        <w:t>authorities</w:t>
      </w:r>
      <w:r w:rsidR="00DC2F7F" w:rsidRPr="00A472FC">
        <w:rPr>
          <w:rFonts w:ascii="Times New Roman" w:eastAsia="Times New Roman" w:hAnsi="Times New Roman" w:cs="Times New Roman"/>
          <w:color w:val="222222"/>
          <w:shd w:val="clear" w:color="auto" w:fill="FFFFFF"/>
        </w:rPr>
        <w:t xml:space="preserve"> are presented. </w:t>
      </w:r>
    </w:p>
    <w:p w14:paraId="7C3BA2F1" w14:textId="1ABCB44E" w:rsidR="00D67899" w:rsidRPr="00A472FC" w:rsidRDefault="00320338" w:rsidP="00AD6706">
      <w:pPr>
        <w:ind w:right="-52" w:firstLine="720"/>
        <w:rPr>
          <w:rFonts w:ascii="Times New Roman" w:eastAsia="Times New Roman" w:hAnsi="Times New Roman" w:cs="Times New Roman"/>
          <w:color w:val="222222"/>
          <w:shd w:val="clear" w:color="auto" w:fill="FFFFFF"/>
        </w:rPr>
      </w:pPr>
      <w:r w:rsidRPr="00A472FC">
        <w:rPr>
          <w:rFonts w:ascii="Times New Roman" w:eastAsia="Times New Roman" w:hAnsi="Times New Roman" w:cs="Times New Roman"/>
          <w:color w:val="222222"/>
          <w:shd w:val="clear" w:color="auto" w:fill="FFFFFF"/>
        </w:rPr>
        <w:t xml:space="preserve">While the </w:t>
      </w:r>
      <w:proofErr w:type="spellStart"/>
      <w:r w:rsidRPr="00A472FC">
        <w:rPr>
          <w:rFonts w:ascii="Times New Roman" w:eastAsia="Times New Roman" w:hAnsi="Times New Roman" w:cs="Times New Roman"/>
          <w:i/>
          <w:color w:val="222222"/>
          <w:shd w:val="clear" w:color="auto" w:fill="FFFFFF"/>
        </w:rPr>
        <w:t>Tractatus</w:t>
      </w:r>
      <w:proofErr w:type="spellEnd"/>
      <w:r w:rsidRPr="00A472FC">
        <w:rPr>
          <w:rFonts w:ascii="Times New Roman" w:eastAsia="Times New Roman" w:hAnsi="Times New Roman" w:cs="Times New Roman"/>
          <w:color w:val="222222"/>
          <w:shd w:val="clear" w:color="auto" w:fill="FFFFFF"/>
        </w:rPr>
        <w:t xml:space="preserve"> first discusses the division of the Philosophers, especially Avicenna, followed by </w:t>
      </w:r>
      <w:proofErr w:type="spellStart"/>
      <w:r w:rsidR="00782A11" w:rsidRPr="00A472FC">
        <w:rPr>
          <w:rFonts w:ascii="Times New Roman" w:eastAsia="Times New Roman" w:hAnsi="Times New Roman" w:cs="Times New Roman"/>
          <w:color w:val="222222"/>
          <w:shd w:val="clear" w:color="auto" w:fill="FFFFFF"/>
        </w:rPr>
        <w:t>Johannitius</w:t>
      </w:r>
      <w:proofErr w:type="spellEnd"/>
      <w:r w:rsidR="00782A11" w:rsidRPr="00A472FC">
        <w:rPr>
          <w:rFonts w:ascii="Times New Roman" w:eastAsia="Times New Roman" w:hAnsi="Times New Roman" w:cs="Times New Roman"/>
          <w:color w:val="222222"/>
          <w:shd w:val="clear" w:color="auto" w:fill="FFFFFF"/>
        </w:rPr>
        <w:t xml:space="preserve">, </w:t>
      </w:r>
      <w:r w:rsidRPr="00A472FC">
        <w:rPr>
          <w:rFonts w:ascii="Times New Roman" w:eastAsia="Times New Roman" w:hAnsi="Times New Roman" w:cs="Times New Roman"/>
          <w:color w:val="222222"/>
          <w:shd w:val="clear" w:color="auto" w:fill="FFFFFF"/>
        </w:rPr>
        <w:t xml:space="preserve">Damascus, and pseudo-Augustine, the </w:t>
      </w:r>
      <w:r w:rsidRPr="00A472FC">
        <w:rPr>
          <w:rFonts w:ascii="Times New Roman" w:eastAsia="Times New Roman" w:hAnsi="Times New Roman" w:cs="Times New Roman"/>
          <w:i/>
          <w:iCs/>
          <w:color w:val="222222"/>
          <w:shd w:val="clear" w:color="auto" w:fill="FFFFFF"/>
        </w:rPr>
        <w:t>Summa de anima</w:t>
      </w:r>
      <w:r w:rsidRPr="00A472FC">
        <w:rPr>
          <w:rFonts w:ascii="Times New Roman" w:eastAsia="Times New Roman" w:hAnsi="Times New Roman" w:cs="Times New Roman"/>
          <w:color w:val="222222"/>
          <w:shd w:val="clear" w:color="auto" w:fill="FFFFFF"/>
        </w:rPr>
        <w:t xml:space="preserve"> starts with pseudo-Augustine before moving on to Damascus and Avicenna. This re-arrangement of the material is clearly intended to place Augustine and Christian authorities front and centre and thus to subject Avicenna to them rather than the other way around, lessening the blow that might have been perceived in John’s initial bold strategy of presenting Avicenna first in the </w:t>
      </w:r>
      <w:proofErr w:type="spellStart"/>
      <w:r w:rsidRPr="00A472FC">
        <w:rPr>
          <w:rFonts w:ascii="Times New Roman" w:eastAsia="Times New Roman" w:hAnsi="Times New Roman" w:cs="Times New Roman"/>
          <w:i/>
          <w:color w:val="222222"/>
          <w:shd w:val="clear" w:color="auto" w:fill="FFFFFF"/>
        </w:rPr>
        <w:t>Tractatus</w:t>
      </w:r>
      <w:proofErr w:type="spellEnd"/>
      <w:r w:rsidRPr="00A472FC">
        <w:rPr>
          <w:rFonts w:ascii="Times New Roman" w:eastAsia="Times New Roman" w:hAnsi="Times New Roman" w:cs="Times New Roman"/>
          <w:color w:val="222222"/>
          <w:shd w:val="clear" w:color="auto" w:fill="FFFFFF"/>
        </w:rPr>
        <w:t>.</w:t>
      </w:r>
      <w:r w:rsidR="00D67899" w:rsidRPr="00A472FC">
        <w:rPr>
          <w:rFonts w:ascii="Times New Roman" w:eastAsia="Times New Roman" w:hAnsi="Times New Roman" w:cs="Times New Roman"/>
          <w:color w:val="222222"/>
          <w:shd w:val="clear" w:color="auto" w:fill="FFFFFF"/>
        </w:rPr>
        <w:t xml:space="preserve"> </w:t>
      </w:r>
      <w:r w:rsidR="006D62BC" w:rsidRPr="00A472FC">
        <w:rPr>
          <w:rFonts w:ascii="Times New Roman" w:hAnsi="Times New Roman" w:cs="Times New Roman"/>
        </w:rPr>
        <w:t xml:space="preserve">The upshot </w:t>
      </w:r>
      <w:r w:rsidR="00E25CEC" w:rsidRPr="00A472FC">
        <w:rPr>
          <w:rFonts w:ascii="Times New Roman" w:hAnsi="Times New Roman" w:cs="Times New Roman"/>
        </w:rPr>
        <w:t xml:space="preserve">in any case </w:t>
      </w:r>
      <w:r w:rsidR="006D62BC" w:rsidRPr="00A472FC">
        <w:rPr>
          <w:rFonts w:ascii="Times New Roman" w:hAnsi="Times New Roman" w:cs="Times New Roman"/>
        </w:rPr>
        <w:t xml:space="preserve">is that the </w:t>
      </w:r>
      <w:proofErr w:type="spellStart"/>
      <w:r w:rsidR="006D62BC" w:rsidRPr="00A472FC">
        <w:rPr>
          <w:rFonts w:ascii="Times New Roman" w:hAnsi="Times New Roman" w:cs="Times New Roman"/>
          <w:i/>
        </w:rPr>
        <w:t>Tractatus</w:t>
      </w:r>
      <w:proofErr w:type="spellEnd"/>
      <w:r w:rsidR="006D62BC" w:rsidRPr="00A472FC">
        <w:rPr>
          <w:rFonts w:ascii="Times New Roman" w:hAnsi="Times New Roman" w:cs="Times New Roman"/>
        </w:rPr>
        <w:t xml:space="preserve"> is not the insignificant psychological encyclopaedia that </w:t>
      </w:r>
      <w:proofErr w:type="spellStart"/>
      <w:r w:rsidR="006D62BC" w:rsidRPr="00A472FC">
        <w:rPr>
          <w:rFonts w:ascii="Times New Roman" w:hAnsi="Times New Roman" w:cs="Times New Roman"/>
        </w:rPr>
        <w:t>Michaud-Quantin</w:t>
      </w:r>
      <w:proofErr w:type="spellEnd"/>
      <w:r w:rsidR="006D62BC" w:rsidRPr="00A472FC">
        <w:rPr>
          <w:rFonts w:ascii="Times New Roman" w:hAnsi="Times New Roman" w:cs="Times New Roman"/>
        </w:rPr>
        <w:t xml:space="preserve"> made it out to be, but the beginning of a sophisticated psychology that is largely re-iterated in the </w:t>
      </w:r>
      <w:r w:rsidR="006D62BC" w:rsidRPr="00A472FC">
        <w:rPr>
          <w:rFonts w:ascii="Times New Roman" w:hAnsi="Times New Roman" w:cs="Times New Roman"/>
          <w:i/>
        </w:rPr>
        <w:t>Summa de anima</w:t>
      </w:r>
      <w:r w:rsidR="00D67899" w:rsidRPr="00A472FC">
        <w:rPr>
          <w:rFonts w:ascii="Times New Roman" w:hAnsi="Times New Roman" w:cs="Times New Roman"/>
          <w:i/>
        </w:rPr>
        <w:t>.</w:t>
      </w:r>
    </w:p>
    <w:p w14:paraId="3EE0912E" w14:textId="01F517BC" w:rsidR="001451CA" w:rsidRPr="00A472FC" w:rsidRDefault="00665333" w:rsidP="006A5B35">
      <w:pPr>
        <w:ind w:right="-52" w:firstLine="720"/>
        <w:rPr>
          <w:rFonts w:ascii="Times New Roman" w:hAnsi="Times New Roman" w:cs="Times New Roman"/>
          <w:color w:val="000000" w:themeColor="text1"/>
          <w:kern w:val="1"/>
          <w:lang w:val="en-US"/>
        </w:rPr>
      </w:pPr>
      <w:r w:rsidRPr="00A472FC">
        <w:rPr>
          <w:rFonts w:ascii="Times New Roman" w:eastAsia="Times New Roman" w:hAnsi="Times New Roman" w:cs="Times New Roman"/>
          <w:color w:val="222222"/>
          <w:shd w:val="clear" w:color="auto" w:fill="FFFFFF"/>
        </w:rPr>
        <w:t xml:space="preserve">The </w:t>
      </w:r>
      <w:r w:rsidR="00F941C1" w:rsidRPr="00A472FC">
        <w:rPr>
          <w:rFonts w:ascii="Times New Roman" w:eastAsia="Times New Roman" w:hAnsi="Times New Roman" w:cs="Times New Roman"/>
          <w:b/>
          <w:bCs/>
          <w:color w:val="222222"/>
          <w:shd w:val="clear" w:color="auto" w:fill="FFFFFF"/>
        </w:rPr>
        <w:t>sixth</w:t>
      </w:r>
      <w:r w:rsidRPr="00A472FC">
        <w:rPr>
          <w:rFonts w:ascii="Times New Roman" w:eastAsia="Times New Roman" w:hAnsi="Times New Roman" w:cs="Times New Roman"/>
          <w:b/>
          <w:bCs/>
          <w:color w:val="222222"/>
          <w:shd w:val="clear" w:color="auto" w:fill="FFFFFF"/>
        </w:rPr>
        <w:t xml:space="preserve"> chapter </w:t>
      </w:r>
      <w:r w:rsidR="00D67899" w:rsidRPr="00A472FC">
        <w:rPr>
          <w:rFonts w:ascii="Times New Roman" w:eastAsia="Times New Roman" w:hAnsi="Times New Roman" w:cs="Times New Roman"/>
          <w:bCs/>
          <w:color w:val="222222"/>
          <w:shd w:val="clear" w:color="auto" w:fill="FFFFFF"/>
        </w:rPr>
        <w:t xml:space="preserve">takes a more focussed </w:t>
      </w:r>
      <w:r w:rsidR="00536278" w:rsidRPr="00A472FC">
        <w:rPr>
          <w:rFonts w:ascii="Times New Roman" w:eastAsia="Times New Roman" w:hAnsi="Times New Roman" w:cs="Times New Roman"/>
          <w:bCs/>
          <w:color w:val="222222"/>
          <w:shd w:val="clear" w:color="auto" w:fill="FFFFFF"/>
        </w:rPr>
        <w:t xml:space="preserve">approach to </w:t>
      </w:r>
      <w:r w:rsidR="002B72B9" w:rsidRPr="00A472FC">
        <w:rPr>
          <w:rFonts w:ascii="Times New Roman" w:eastAsia="Times New Roman" w:hAnsi="Times New Roman" w:cs="Times New Roman"/>
          <w:bCs/>
          <w:color w:val="222222"/>
          <w:shd w:val="clear" w:color="auto" w:fill="FFFFFF"/>
        </w:rPr>
        <w:t xml:space="preserve">assessing </w:t>
      </w:r>
      <w:r w:rsidR="00536278" w:rsidRPr="00A472FC">
        <w:rPr>
          <w:rFonts w:ascii="Times New Roman" w:eastAsia="Times New Roman" w:hAnsi="Times New Roman" w:cs="Times New Roman"/>
          <w:bCs/>
          <w:color w:val="222222"/>
          <w:shd w:val="clear" w:color="auto" w:fill="FFFFFF"/>
        </w:rPr>
        <w:t>t</w:t>
      </w:r>
      <w:r w:rsidR="00D67899" w:rsidRPr="00A472FC">
        <w:rPr>
          <w:rFonts w:ascii="Times New Roman" w:eastAsia="Times New Roman" w:hAnsi="Times New Roman" w:cs="Times New Roman"/>
          <w:bCs/>
          <w:color w:val="222222"/>
          <w:shd w:val="clear" w:color="auto" w:fill="FFFFFF"/>
        </w:rPr>
        <w:t>he SDA,</w:t>
      </w:r>
      <w:r w:rsidR="00D67899" w:rsidRPr="00A472FC">
        <w:rPr>
          <w:rFonts w:ascii="Times New Roman" w:eastAsia="Times New Roman" w:hAnsi="Times New Roman" w:cs="Times New Roman"/>
          <w:b/>
          <w:bCs/>
          <w:color w:val="222222"/>
          <w:shd w:val="clear" w:color="auto" w:fill="FFFFFF"/>
        </w:rPr>
        <w:t xml:space="preserve"> </w:t>
      </w:r>
      <w:r w:rsidR="005962DB" w:rsidRPr="00A472FC">
        <w:rPr>
          <w:rFonts w:ascii="Times New Roman" w:eastAsia="Times New Roman" w:hAnsi="Times New Roman" w:cs="Times New Roman"/>
          <w:bCs/>
          <w:color w:val="222222"/>
          <w:shd w:val="clear" w:color="auto" w:fill="FFFFFF"/>
        </w:rPr>
        <w:t>seeking to come to grips with the way of understanding knowledge</w:t>
      </w:r>
      <w:r w:rsidR="00D05F9D" w:rsidRPr="00A472FC">
        <w:rPr>
          <w:rFonts w:ascii="Times New Roman" w:eastAsia="Times New Roman" w:hAnsi="Times New Roman" w:cs="Times New Roman"/>
          <w:bCs/>
          <w:color w:val="222222"/>
          <w:shd w:val="clear" w:color="auto" w:fill="FFFFFF"/>
        </w:rPr>
        <w:t xml:space="preserve"> </w:t>
      </w:r>
      <w:r w:rsidR="005962DB" w:rsidRPr="00A472FC">
        <w:rPr>
          <w:rFonts w:ascii="Times New Roman" w:eastAsia="Times New Roman" w:hAnsi="Times New Roman" w:cs="Times New Roman"/>
          <w:bCs/>
          <w:color w:val="222222"/>
          <w:shd w:val="clear" w:color="auto" w:fill="FFFFFF"/>
        </w:rPr>
        <w:t xml:space="preserve">that John outlines there. </w:t>
      </w:r>
      <w:r w:rsidR="00D05F9D" w:rsidRPr="00A472FC">
        <w:rPr>
          <w:rFonts w:ascii="Times New Roman" w:eastAsia="Times New Roman" w:hAnsi="Times New Roman" w:cs="Times New Roman"/>
          <w:bCs/>
          <w:color w:val="222222"/>
          <w:shd w:val="clear" w:color="auto" w:fill="FFFFFF"/>
        </w:rPr>
        <w:t xml:space="preserve">Through a more detailed inquiry into John’s understanding of the transition from sensation to the intellect’s work of abstraction, </w:t>
      </w:r>
      <w:r w:rsidR="00C45AAF" w:rsidRPr="00A472FC">
        <w:rPr>
          <w:rFonts w:ascii="Times New Roman" w:eastAsia="Times New Roman" w:hAnsi="Times New Roman" w:cs="Times New Roman"/>
          <w:bCs/>
          <w:color w:val="222222"/>
          <w:shd w:val="clear" w:color="auto" w:fill="FFFFFF"/>
        </w:rPr>
        <w:t xml:space="preserve">this chapter demonstrates </w:t>
      </w:r>
      <w:r w:rsidR="00FC3788" w:rsidRPr="00A472FC">
        <w:rPr>
          <w:rFonts w:ascii="Times New Roman" w:eastAsia="Times New Roman" w:hAnsi="Times New Roman" w:cs="Times New Roman"/>
          <w:bCs/>
          <w:color w:val="222222"/>
          <w:shd w:val="clear" w:color="auto" w:fill="FFFFFF"/>
        </w:rPr>
        <w:t xml:space="preserve">that </w:t>
      </w:r>
      <w:r w:rsidR="00C04ADC" w:rsidRPr="00A472FC">
        <w:rPr>
          <w:rFonts w:ascii="Times New Roman" w:hAnsi="Times New Roman" w:cs="Times New Roman"/>
        </w:rPr>
        <w:t xml:space="preserve">John and his Franciscan </w:t>
      </w:r>
      <w:r w:rsidR="00C04ADC" w:rsidRPr="00A472FC">
        <w:rPr>
          <w:rFonts w:ascii="Times New Roman" w:hAnsi="Times New Roman" w:cs="Times New Roman"/>
        </w:rPr>
        <w:lastRenderedPageBreak/>
        <w:t>contemporaries advocate what has sometimes been described as an</w:t>
      </w:r>
      <w:r w:rsidR="00C04ADC" w:rsidRPr="00A472FC">
        <w:rPr>
          <w:rFonts w:ascii="Times New Roman" w:hAnsi="Times New Roman" w:cs="Times New Roman"/>
          <w:color w:val="000000" w:themeColor="text1"/>
          <w:kern w:val="1"/>
          <w:lang w:val="en-US"/>
        </w:rPr>
        <w:t xml:space="preserve"> ‘active’ theory of </w:t>
      </w:r>
      <w:r w:rsidR="00752C9A" w:rsidRPr="00A472FC">
        <w:rPr>
          <w:rFonts w:ascii="Times New Roman" w:hAnsi="Times New Roman" w:cs="Times New Roman"/>
          <w:color w:val="000000" w:themeColor="text1"/>
          <w:kern w:val="1"/>
          <w:lang w:val="en-US"/>
        </w:rPr>
        <w:t>cognition</w:t>
      </w:r>
      <w:r w:rsidR="00C04ADC" w:rsidRPr="00A472FC">
        <w:rPr>
          <w:rFonts w:ascii="Times New Roman" w:hAnsi="Times New Roman" w:cs="Times New Roman"/>
          <w:color w:val="000000" w:themeColor="text1"/>
          <w:kern w:val="1"/>
          <w:lang w:val="en-US"/>
        </w:rPr>
        <w:t xml:space="preserve">—or a theory in which the mind in some way ‘determines’ what it perceives in the world rather than simply receiving data passively. That said, their version is not as extreme as that of their contemporary William of Auvergne, whose account </w:t>
      </w:r>
      <w:r w:rsidR="006F2FC9" w:rsidRPr="00A472FC">
        <w:rPr>
          <w:rFonts w:ascii="Times New Roman" w:hAnsi="Times New Roman" w:cs="Times New Roman"/>
          <w:color w:val="000000" w:themeColor="text1"/>
          <w:kern w:val="1"/>
          <w:lang w:val="en-US"/>
        </w:rPr>
        <w:t>is</w:t>
      </w:r>
      <w:r w:rsidR="003D1E58" w:rsidRPr="00A472FC">
        <w:rPr>
          <w:rFonts w:ascii="Times New Roman" w:hAnsi="Times New Roman" w:cs="Times New Roman"/>
          <w:color w:val="000000" w:themeColor="text1"/>
          <w:kern w:val="1"/>
          <w:lang w:val="en-US"/>
        </w:rPr>
        <w:t xml:space="preserve"> also</w:t>
      </w:r>
      <w:r w:rsidR="00C04ADC" w:rsidRPr="00A472FC">
        <w:rPr>
          <w:rFonts w:ascii="Times New Roman" w:hAnsi="Times New Roman" w:cs="Times New Roman"/>
          <w:color w:val="000000" w:themeColor="text1"/>
          <w:kern w:val="1"/>
          <w:lang w:val="en-US"/>
        </w:rPr>
        <w:t xml:space="preserve"> briefly discussed</w:t>
      </w:r>
      <w:r w:rsidR="003D1E58" w:rsidRPr="00A472FC">
        <w:rPr>
          <w:rFonts w:ascii="Times New Roman" w:hAnsi="Times New Roman" w:cs="Times New Roman"/>
          <w:color w:val="000000" w:themeColor="text1"/>
          <w:kern w:val="1"/>
          <w:lang w:val="en-US"/>
        </w:rPr>
        <w:t xml:space="preserve"> here</w:t>
      </w:r>
      <w:r w:rsidR="00C04ADC" w:rsidRPr="00A472FC">
        <w:rPr>
          <w:rFonts w:ascii="Times New Roman" w:hAnsi="Times New Roman" w:cs="Times New Roman"/>
          <w:color w:val="000000" w:themeColor="text1"/>
          <w:kern w:val="1"/>
          <w:lang w:val="en-US"/>
        </w:rPr>
        <w:t xml:space="preserve">. </w:t>
      </w:r>
    </w:p>
    <w:p w14:paraId="1E40324C" w14:textId="6A2F3794" w:rsidR="00C61965" w:rsidRPr="00A472FC" w:rsidRDefault="00C04ADC" w:rsidP="00F70696">
      <w:pPr>
        <w:ind w:right="-52" w:firstLine="720"/>
        <w:rPr>
          <w:rFonts w:ascii="Times New Roman" w:eastAsia="Times New Roman" w:hAnsi="Times New Roman" w:cs="Times New Roman"/>
          <w:bCs/>
          <w:color w:val="222222"/>
          <w:shd w:val="clear" w:color="auto" w:fill="FFFFFF"/>
        </w:rPr>
      </w:pPr>
      <w:r w:rsidRPr="00A472FC">
        <w:rPr>
          <w:rFonts w:ascii="Times New Roman" w:hAnsi="Times New Roman" w:cs="Times New Roman"/>
          <w:color w:val="000000" w:themeColor="text1"/>
          <w:kern w:val="1"/>
          <w:lang w:val="en-US"/>
        </w:rPr>
        <w:t xml:space="preserve">This is because the Franciscans preserve at least some role for the kind of passive reception of sense data that is so famously associated with Aristotle, while </w:t>
      </w:r>
      <w:r w:rsidR="008025C3" w:rsidRPr="00A472FC">
        <w:rPr>
          <w:rFonts w:ascii="Times New Roman" w:hAnsi="Times New Roman" w:cs="Times New Roman"/>
          <w:color w:val="000000" w:themeColor="text1"/>
          <w:kern w:val="1"/>
          <w:lang w:val="en-US"/>
        </w:rPr>
        <w:t>emphasizing</w:t>
      </w:r>
      <w:r w:rsidRPr="00A472FC">
        <w:rPr>
          <w:rFonts w:ascii="Times New Roman" w:hAnsi="Times New Roman" w:cs="Times New Roman"/>
          <w:color w:val="000000" w:themeColor="text1"/>
          <w:kern w:val="1"/>
          <w:lang w:val="en-US"/>
        </w:rPr>
        <w:t xml:space="preserve"> nonetheless that first principles acquired by God prior to experience, which are innate, structure perceptual experience and render it intelligible. For William, by contrast, sense objects play no causal role in the development of the ideas we have about them, which are generated by the intellect exclusively.</w:t>
      </w:r>
      <w:r w:rsidR="00D92087" w:rsidRPr="00A472FC">
        <w:rPr>
          <w:rFonts w:ascii="Times New Roman" w:eastAsia="Times New Roman" w:hAnsi="Times New Roman" w:cs="Times New Roman"/>
          <w:bCs/>
          <w:color w:val="222222"/>
          <w:shd w:val="clear" w:color="auto" w:fill="FFFFFF"/>
        </w:rPr>
        <w:t xml:space="preserve"> </w:t>
      </w:r>
      <w:r w:rsidR="00C61965" w:rsidRPr="00A472FC">
        <w:rPr>
          <w:rFonts w:ascii="Times New Roman" w:eastAsia="Times New Roman" w:hAnsi="Times New Roman" w:cs="Times New Roman"/>
          <w:bCs/>
          <w:color w:val="222222"/>
          <w:shd w:val="clear" w:color="auto" w:fill="FFFFFF"/>
        </w:rPr>
        <w:t>The reason the Franciscans did not go so far as to discount the value of the senses in human knowledge</w:t>
      </w:r>
      <w:r w:rsidR="006E5C3A" w:rsidRPr="00A472FC">
        <w:rPr>
          <w:rFonts w:ascii="Times New Roman" w:eastAsia="Times New Roman" w:hAnsi="Times New Roman" w:cs="Times New Roman"/>
          <w:bCs/>
          <w:color w:val="222222"/>
          <w:shd w:val="clear" w:color="auto" w:fill="FFFFFF"/>
        </w:rPr>
        <w:t>,</w:t>
      </w:r>
      <w:r w:rsidR="00C61965" w:rsidRPr="00A472FC">
        <w:rPr>
          <w:rFonts w:ascii="Times New Roman" w:eastAsia="Times New Roman" w:hAnsi="Times New Roman" w:cs="Times New Roman"/>
          <w:bCs/>
          <w:color w:val="222222"/>
          <w:shd w:val="clear" w:color="auto" w:fill="FFFFFF"/>
        </w:rPr>
        <w:t xml:space="preserve"> I suggested, comes back to their </w:t>
      </w:r>
      <w:r w:rsidR="00BF7929" w:rsidRPr="00A472FC">
        <w:rPr>
          <w:rFonts w:ascii="Times New Roman" w:eastAsia="Times New Roman" w:hAnsi="Times New Roman" w:cs="Times New Roman"/>
          <w:bCs/>
          <w:color w:val="222222"/>
          <w:shd w:val="clear" w:color="auto" w:fill="FFFFFF"/>
        </w:rPr>
        <w:t xml:space="preserve">order’s </w:t>
      </w:r>
      <w:r w:rsidR="00C61965" w:rsidRPr="00A472FC">
        <w:rPr>
          <w:rFonts w:ascii="Times New Roman" w:eastAsia="Times New Roman" w:hAnsi="Times New Roman" w:cs="Times New Roman"/>
          <w:bCs/>
          <w:color w:val="222222"/>
          <w:shd w:val="clear" w:color="auto" w:fill="FFFFFF"/>
        </w:rPr>
        <w:t>emphasis on the preciousness of creation</w:t>
      </w:r>
      <w:r w:rsidR="005E46EC" w:rsidRPr="00A472FC">
        <w:rPr>
          <w:rFonts w:ascii="Times New Roman" w:eastAsia="Times New Roman" w:hAnsi="Times New Roman" w:cs="Times New Roman"/>
          <w:bCs/>
          <w:color w:val="222222"/>
          <w:shd w:val="clear" w:color="auto" w:fill="FFFFFF"/>
        </w:rPr>
        <w:t xml:space="preserve"> i</w:t>
      </w:r>
      <w:r w:rsidR="00C61965" w:rsidRPr="00A472FC">
        <w:rPr>
          <w:rFonts w:ascii="Times New Roman" w:eastAsia="Times New Roman" w:hAnsi="Times New Roman" w:cs="Times New Roman"/>
          <w:bCs/>
          <w:color w:val="222222"/>
          <w:shd w:val="clear" w:color="auto" w:fill="FFFFFF"/>
        </w:rPr>
        <w:t xml:space="preserve">n God’s sight </w:t>
      </w:r>
      <w:r w:rsidR="005E46EC" w:rsidRPr="00A472FC">
        <w:rPr>
          <w:rFonts w:ascii="Times New Roman" w:eastAsia="Times New Roman" w:hAnsi="Times New Roman" w:cs="Times New Roman"/>
          <w:bCs/>
          <w:color w:val="222222"/>
          <w:shd w:val="clear" w:color="auto" w:fill="FFFFFF"/>
        </w:rPr>
        <w:t xml:space="preserve">and </w:t>
      </w:r>
      <w:r w:rsidR="004D468C" w:rsidRPr="00A472FC">
        <w:rPr>
          <w:rFonts w:ascii="Times New Roman" w:eastAsia="Times New Roman" w:hAnsi="Times New Roman" w:cs="Times New Roman"/>
          <w:bCs/>
          <w:color w:val="222222"/>
          <w:shd w:val="clear" w:color="auto" w:fill="FFFFFF"/>
        </w:rPr>
        <w:t xml:space="preserve">on the senses </w:t>
      </w:r>
      <w:r w:rsidR="00C61965" w:rsidRPr="00A472FC">
        <w:rPr>
          <w:rFonts w:ascii="Times New Roman" w:eastAsia="Times New Roman" w:hAnsi="Times New Roman" w:cs="Times New Roman"/>
          <w:bCs/>
          <w:color w:val="222222"/>
          <w:shd w:val="clear" w:color="auto" w:fill="FFFFFF"/>
        </w:rPr>
        <w:t xml:space="preserve">as a window into the knowledge of God. </w:t>
      </w:r>
      <w:r w:rsidR="00327FB8" w:rsidRPr="00A472FC">
        <w:rPr>
          <w:rFonts w:ascii="Times New Roman" w:eastAsia="Times New Roman" w:hAnsi="Times New Roman" w:cs="Times New Roman"/>
          <w:bCs/>
          <w:color w:val="222222"/>
          <w:shd w:val="clear" w:color="auto" w:fill="FFFFFF"/>
        </w:rPr>
        <w:t xml:space="preserve">Although early Franciscans </w:t>
      </w:r>
      <w:proofErr w:type="spellStart"/>
      <w:r w:rsidR="00327FB8" w:rsidRPr="00A472FC">
        <w:rPr>
          <w:rFonts w:ascii="Times New Roman" w:eastAsia="Times New Roman" w:hAnsi="Times New Roman" w:cs="Times New Roman"/>
          <w:bCs/>
          <w:color w:val="222222"/>
          <w:shd w:val="clear" w:color="auto" w:fill="FFFFFF"/>
        </w:rPr>
        <w:t>recognized</w:t>
      </w:r>
      <w:proofErr w:type="spellEnd"/>
      <w:r w:rsidR="00327FB8" w:rsidRPr="00A472FC">
        <w:rPr>
          <w:rFonts w:ascii="Times New Roman" w:eastAsia="Times New Roman" w:hAnsi="Times New Roman" w:cs="Times New Roman"/>
          <w:bCs/>
          <w:color w:val="222222"/>
          <w:shd w:val="clear" w:color="auto" w:fill="FFFFFF"/>
        </w:rPr>
        <w:t xml:space="preserve"> that </w:t>
      </w:r>
      <w:r w:rsidR="006E5C3A" w:rsidRPr="00A472FC">
        <w:rPr>
          <w:rFonts w:ascii="Times New Roman" w:eastAsia="Times New Roman" w:hAnsi="Times New Roman" w:cs="Times New Roman"/>
          <w:bCs/>
          <w:color w:val="222222"/>
          <w:shd w:val="clear" w:color="auto" w:fill="FFFFFF"/>
        </w:rPr>
        <w:t>all knowledge begins with s</w:t>
      </w:r>
      <w:r w:rsidR="00327FB8" w:rsidRPr="00A472FC">
        <w:rPr>
          <w:rFonts w:ascii="Times New Roman" w:eastAsia="Times New Roman" w:hAnsi="Times New Roman" w:cs="Times New Roman"/>
          <w:bCs/>
          <w:color w:val="222222"/>
          <w:shd w:val="clear" w:color="auto" w:fill="FFFFFF"/>
        </w:rPr>
        <w:t xml:space="preserve">ense data, </w:t>
      </w:r>
      <w:r w:rsidR="00B22098" w:rsidRPr="00A472FC">
        <w:rPr>
          <w:rFonts w:ascii="Times New Roman" w:eastAsia="Times New Roman" w:hAnsi="Times New Roman" w:cs="Times New Roman"/>
          <w:bCs/>
          <w:color w:val="222222"/>
          <w:shd w:val="clear" w:color="auto" w:fill="FFFFFF"/>
        </w:rPr>
        <w:t xml:space="preserve">their </w:t>
      </w:r>
      <w:r w:rsidR="00921288" w:rsidRPr="00A472FC">
        <w:rPr>
          <w:rFonts w:ascii="Times New Roman" w:eastAsia="Times New Roman" w:hAnsi="Times New Roman" w:cs="Times New Roman"/>
          <w:bCs/>
          <w:color w:val="222222"/>
          <w:shd w:val="clear" w:color="auto" w:fill="FFFFFF"/>
        </w:rPr>
        <w:t xml:space="preserve">simultaneous </w:t>
      </w:r>
      <w:r w:rsidR="00A347EA" w:rsidRPr="00A472FC">
        <w:rPr>
          <w:rFonts w:ascii="Times New Roman" w:eastAsia="Times New Roman" w:hAnsi="Times New Roman" w:cs="Times New Roman"/>
          <w:bCs/>
          <w:color w:val="222222"/>
          <w:shd w:val="clear" w:color="auto" w:fill="FFFFFF"/>
        </w:rPr>
        <w:t xml:space="preserve">stress on the </w:t>
      </w:r>
      <w:r w:rsidR="00327FB8" w:rsidRPr="00A472FC">
        <w:rPr>
          <w:rFonts w:ascii="Times New Roman" w:eastAsia="Times New Roman" w:hAnsi="Times New Roman" w:cs="Times New Roman"/>
          <w:bCs/>
          <w:color w:val="222222"/>
          <w:shd w:val="clear" w:color="auto" w:fill="FFFFFF"/>
        </w:rPr>
        <w:t xml:space="preserve">innate knowledge of the transcendentals as the condition </w:t>
      </w:r>
      <w:r w:rsidR="00921288" w:rsidRPr="00A472FC">
        <w:rPr>
          <w:rFonts w:ascii="Times New Roman" w:eastAsia="Times New Roman" w:hAnsi="Times New Roman" w:cs="Times New Roman"/>
          <w:bCs/>
          <w:color w:val="222222"/>
          <w:shd w:val="clear" w:color="auto" w:fill="FFFFFF"/>
        </w:rPr>
        <w:t xml:space="preserve">for knowing </w:t>
      </w:r>
      <w:r w:rsidR="00327FB8" w:rsidRPr="00A472FC">
        <w:rPr>
          <w:rFonts w:ascii="Times New Roman" w:eastAsia="Times New Roman" w:hAnsi="Times New Roman" w:cs="Times New Roman"/>
          <w:bCs/>
          <w:color w:val="222222"/>
          <w:shd w:val="clear" w:color="auto" w:fill="FFFFFF"/>
        </w:rPr>
        <w:t>creatures</w:t>
      </w:r>
      <w:r w:rsidR="00EA567A" w:rsidRPr="00A472FC">
        <w:rPr>
          <w:rFonts w:ascii="Times New Roman" w:eastAsia="Times New Roman" w:hAnsi="Times New Roman" w:cs="Times New Roman"/>
          <w:bCs/>
          <w:color w:val="222222"/>
          <w:shd w:val="clear" w:color="auto" w:fill="FFFFFF"/>
        </w:rPr>
        <w:t xml:space="preserve"> </w:t>
      </w:r>
      <w:r w:rsidR="00A347EA" w:rsidRPr="00A472FC">
        <w:rPr>
          <w:rFonts w:ascii="Times New Roman" w:eastAsia="Times New Roman" w:hAnsi="Times New Roman" w:cs="Times New Roman"/>
          <w:bCs/>
          <w:color w:val="222222"/>
          <w:shd w:val="clear" w:color="auto" w:fill="FFFFFF"/>
        </w:rPr>
        <w:t>reinforce</w:t>
      </w:r>
      <w:r w:rsidR="00921288" w:rsidRPr="00A472FC">
        <w:rPr>
          <w:rFonts w:ascii="Times New Roman" w:eastAsia="Times New Roman" w:hAnsi="Times New Roman" w:cs="Times New Roman"/>
          <w:bCs/>
          <w:color w:val="222222"/>
          <w:shd w:val="clear" w:color="auto" w:fill="FFFFFF"/>
        </w:rPr>
        <w:t>d</w:t>
      </w:r>
      <w:r w:rsidR="00A347EA" w:rsidRPr="00A472FC">
        <w:rPr>
          <w:rFonts w:ascii="Times New Roman" w:eastAsia="Times New Roman" w:hAnsi="Times New Roman" w:cs="Times New Roman"/>
          <w:bCs/>
          <w:color w:val="222222"/>
          <w:shd w:val="clear" w:color="auto" w:fill="FFFFFF"/>
        </w:rPr>
        <w:t xml:space="preserve"> the Franciscan idea that</w:t>
      </w:r>
      <w:r w:rsidR="00327FB8" w:rsidRPr="00A472FC">
        <w:rPr>
          <w:rFonts w:ascii="Times New Roman" w:eastAsia="Times New Roman" w:hAnsi="Times New Roman" w:cs="Times New Roman"/>
          <w:bCs/>
          <w:color w:val="222222"/>
          <w:shd w:val="clear" w:color="auto" w:fill="FFFFFF"/>
        </w:rPr>
        <w:t xml:space="preserve"> intimacy with God, and thus the purity of the will, </w:t>
      </w:r>
      <w:r w:rsidR="00A347EA" w:rsidRPr="00A472FC">
        <w:rPr>
          <w:rFonts w:ascii="Times New Roman" w:eastAsia="Times New Roman" w:hAnsi="Times New Roman" w:cs="Times New Roman"/>
          <w:bCs/>
          <w:color w:val="222222"/>
          <w:shd w:val="clear" w:color="auto" w:fill="FFFFFF"/>
        </w:rPr>
        <w:t>is</w:t>
      </w:r>
      <w:r w:rsidR="00327FB8" w:rsidRPr="00A472FC">
        <w:rPr>
          <w:rFonts w:ascii="Times New Roman" w:eastAsia="Times New Roman" w:hAnsi="Times New Roman" w:cs="Times New Roman"/>
          <w:bCs/>
          <w:color w:val="222222"/>
          <w:shd w:val="clear" w:color="auto" w:fill="FFFFFF"/>
        </w:rPr>
        <w:t xml:space="preserve"> the key to opening the doors of </w:t>
      </w:r>
      <w:r w:rsidR="003D2BF4" w:rsidRPr="00A472FC">
        <w:rPr>
          <w:rFonts w:ascii="Times New Roman" w:eastAsia="Times New Roman" w:hAnsi="Times New Roman" w:cs="Times New Roman"/>
          <w:bCs/>
          <w:color w:val="222222"/>
          <w:shd w:val="clear" w:color="auto" w:fill="FFFFFF"/>
        </w:rPr>
        <w:t xml:space="preserve">genuine </w:t>
      </w:r>
      <w:r w:rsidR="00327FB8" w:rsidRPr="00A472FC">
        <w:rPr>
          <w:rFonts w:ascii="Times New Roman" w:eastAsia="Times New Roman" w:hAnsi="Times New Roman" w:cs="Times New Roman"/>
          <w:bCs/>
          <w:color w:val="222222"/>
          <w:shd w:val="clear" w:color="auto" w:fill="FFFFFF"/>
        </w:rPr>
        <w:t xml:space="preserve">knowledge. </w:t>
      </w:r>
    </w:p>
    <w:p w14:paraId="2A5FBE0E" w14:textId="2A393658" w:rsidR="00871AFB" w:rsidRPr="00A472FC" w:rsidRDefault="00871AFB" w:rsidP="001B78EB">
      <w:pPr>
        <w:ind w:right="-52" w:firstLine="720"/>
        <w:rPr>
          <w:rFonts w:ascii="Times New Roman" w:eastAsia="Times New Roman" w:hAnsi="Times New Roman" w:cs="Times New Roman"/>
          <w:bCs/>
          <w:color w:val="222222"/>
          <w:shd w:val="clear" w:color="auto" w:fill="FFFFFF"/>
        </w:rPr>
      </w:pPr>
      <w:r w:rsidRPr="00A472FC">
        <w:rPr>
          <w:rFonts w:ascii="Times New Roman" w:eastAsia="Times New Roman" w:hAnsi="Times New Roman" w:cs="Times New Roman"/>
          <w:color w:val="222222"/>
          <w:shd w:val="clear" w:color="auto" w:fill="FFFFFF"/>
        </w:rPr>
        <w:t xml:space="preserve">A lingering question that remains at the end of this discussion, however, concerns the three-fold distinction between the material, possible, and agent intellect, which does not have an obvious source in any of the available authorities of the time, whether Aristotle, Avicenna, Augustine, Damascus, or otherwise. Thus, it raises the question of a possible early reception of </w:t>
      </w:r>
      <w:proofErr w:type="spellStart"/>
      <w:r w:rsidRPr="00A472FC">
        <w:rPr>
          <w:rFonts w:ascii="Times New Roman" w:eastAsia="Times New Roman" w:hAnsi="Times New Roman" w:cs="Times New Roman"/>
          <w:color w:val="222222"/>
          <w:shd w:val="clear" w:color="auto" w:fill="FFFFFF"/>
        </w:rPr>
        <w:t>Averroes</w:t>
      </w:r>
      <w:proofErr w:type="spellEnd"/>
      <w:r w:rsidRPr="00A472FC">
        <w:rPr>
          <w:rFonts w:ascii="Times New Roman" w:eastAsia="Times New Roman" w:hAnsi="Times New Roman" w:cs="Times New Roman"/>
          <w:color w:val="222222"/>
          <w:shd w:val="clear" w:color="auto" w:fill="FFFFFF"/>
        </w:rPr>
        <w:t xml:space="preserve">, which is addressed in </w:t>
      </w:r>
      <w:r w:rsidRPr="00A472FC">
        <w:rPr>
          <w:rFonts w:ascii="Times New Roman" w:eastAsia="Times New Roman" w:hAnsi="Times New Roman" w:cs="Times New Roman"/>
          <w:b/>
          <w:color w:val="222222"/>
          <w:shd w:val="clear" w:color="auto" w:fill="FFFFFF"/>
        </w:rPr>
        <w:t>chapter seven.</w:t>
      </w:r>
      <w:r w:rsidRPr="00A472FC">
        <w:rPr>
          <w:rFonts w:ascii="Times New Roman" w:eastAsia="Times New Roman" w:hAnsi="Times New Roman" w:cs="Times New Roman"/>
          <w:color w:val="222222"/>
          <w:shd w:val="clear" w:color="auto" w:fill="FFFFFF"/>
        </w:rPr>
        <w:t xml:space="preserve"> The immediate source for the three-fold distinction between the material-possible-agent intellect is clearly Anonymous Callus (c. 1220-30), which is itself based itself on Anonymous Gauthier (c. 1225). The editors of these texts respectively denied and affirmed that the distinction was introduced in their works as a result of the influence of </w:t>
      </w:r>
      <w:proofErr w:type="spellStart"/>
      <w:r w:rsidRPr="00A472FC">
        <w:rPr>
          <w:rFonts w:ascii="Times New Roman" w:eastAsia="Times New Roman" w:hAnsi="Times New Roman" w:cs="Times New Roman"/>
          <w:color w:val="222222"/>
          <w:shd w:val="clear" w:color="auto" w:fill="FFFFFF"/>
        </w:rPr>
        <w:t>Averroes</w:t>
      </w:r>
      <w:proofErr w:type="spellEnd"/>
      <w:r w:rsidRPr="00A472FC">
        <w:rPr>
          <w:rFonts w:ascii="Times New Roman" w:eastAsia="Times New Roman" w:hAnsi="Times New Roman" w:cs="Times New Roman"/>
          <w:color w:val="222222"/>
          <w:shd w:val="clear" w:color="auto" w:fill="FFFFFF"/>
        </w:rPr>
        <w:t xml:space="preserve">’ incorruptible/corruptible intellect distinction. The evidence on Callus’ side is that there are no references to </w:t>
      </w:r>
      <w:proofErr w:type="spellStart"/>
      <w:r w:rsidRPr="00A472FC">
        <w:rPr>
          <w:rFonts w:ascii="Times New Roman" w:eastAsia="Times New Roman" w:hAnsi="Times New Roman" w:cs="Times New Roman"/>
          <w:color w:val="222222"/>
          <w:shd w:val="clear" w:color="auto" w:fill="FFFFFF"/>
        </w:rPr>
        <w:t>Averroes</w:t>
      </w:r>
      <w:proofErr w:type="spellEnd"/>
      <w:r w:rsidRPr="00A472FC">
        <w:rPr>
          <w:rFonts w:ascii="Times New Roman" w:eastAsia="Times New Roman" w:hAnsi="Times New Roman" w:cs="Times New Roman"/>
          <w:color w:val="222222"/>
          <w:shd w:val="clear" w:color="auto" w:fill="FFFFFF"/>
        </w:rPr>
        <w:t xml:space="preserve"> in the texts themselves or in any other texts from the period, such as the </w:t>
      </w:r>
      <w:r w:rsidRPr="00A472FC">
        <w:rPr>
          <w:rFonts w:ascii="Times New Roman" w:eastAsia="Times New Roman" w:hAnsi="Times New Roman" w:cs="Times New Roman"/>
          <w:i/>
          <w:color w:val="222222"/>
          <w:shd w:val="clear" w:color="auto" w:fill="FFFFFF"/>
        </w:rPr>
        <w:t xml:space="preserve">Summa </w:t>
      </w:r>
      <w:proofErr w:type="spellStart"/>
      <w:r w:rsidRPr="00A472FC">
        <w:rPr>
          <w:rFonts w:ascii="Times New Roman" w:eastAsia="Times New Roman" w:hAnsi="Times New Roman" w:cs="Times New Roman"/>
          <w:i/>
          <w:color w:val="222222"/>
          <w:shd w:val="clear" w:color="auto" w:fill="FFFFFF"/>
        </w:rPr>
        <w:t>aurea</w:t>
      </w:r>
      <w:proofErr w:type="spellEnd"/>
      <w:r w:rsidRPr="00A472FC">
        <w:rPr>
          <w:rFonts w:ascii="Times New Roman" w:eastAsia="Times New Roman" w:hAnsi="Times New Roman" w:cs="Times New Roman"/>
          <w:i/>
          <w:color w:val="222222"/>
          <w:shd w:val="clear" w:color="auto" w:fill="FFFFFF"/>
        </w:rPr>
        <w:t xml:space="preserve"> </w:t>
      </w:r>
      <w:r w:rsidRPr="00A472FC">
        <w:rPr>
          <w:rFonts w:ascii="Times New Roman" w:eastAsia="Times New Roman" w:hAnsi="Times New Roman" w:cs="Times New Roman"/>
          <w:color w:val="222222"/>
          <w:shd w:val="clear" w:color="auto" w:fill="FFFFFF"/>
        </w:rPr>
        <w:t xml:space="preserve">of William of </w:t>
      </w:r>
      <w:proofErr w:type="spellStart"/>
      <w:r w:rsidRPr="00A472FC">
        <w:rPr>
          <w:rFonts w:ascii="Times New Roman" w:eastAsia="Times New Roman" w:hAnsi="Times New Roman" w:cs="Times New Roman"/>
          <w:color w:val="222222"/>
          <w:shd w:val="clear" w:color="auto" w:fill="FFFFFF"/>
        </w:rPr>
        <w:t>Auxerrre</w:t>
      </w:r>
      <w:proofErr w:type="spellEnd"/>
      <w:r w:rsidRPr="00A472FC">
        <w:rPr>
          <w:rFonts w:ascii="Times New Roman" w:eastAsia="Times New Roman" w:hAnsi="Times New Roman" w:cs="Times New Roman"/>
          <w:color w:val="222222"/>
          <w:shd w:val="clear" w:color="auto" w:fill="FFFFFF"/>
        </w:rPr>
        <w:t xml:space="preserve">. Explicit references to </w:t>
      </w:r>
      <w:proofErr w:type="spellStart"/>
      <w:r w:rsidRPr="00A472FC">
        <w:rPr>
          <w:rFonts w:ascii="Times New Roman" w:eastAsia="Times New Roman" w:hAnsi="Times New Roman" w:cs="Times New Roman"/>
          <w:color w:val="222222"/>
          <w:shd w:val="clear" w:color="auto" w:fill="FFFFFF"/>
        </w:rPr>
        <w:t>Averroes</w:t>
      </w:r>
      <w:proofErr w:type="spellEnd"/>
      <w:r w:rsidRPr="00A472FC">
        <w:rPr>
          <w:rFonts w:ascii="Times New Roman" w:eastAsia="Times New Roman" w:hAnsi="Times New Roman" w:cs="Times New Roman"/>
          <w:color w:val="222222"/>
          <w:shd w:val="clear" w:color="auto" w:fill="FFFFFF"/>
        </w:rPr>
        <w:t xml:space="preserve"> only begin after 1230/1, which is the date normally associated with the introduction of his complete oeuvre of works to Paris, although Gauthier posits an earlier date of 1225, which is consistent with </w:t>
      </w:r>
      <w:r w:rsidR="001075DA" w:rsidRPr="00A472FC">
        <w:rPr>
          <w:rFonts w:ascii="Times New Roman" w:eastAsia="Times New Roman" w:hAnsi="Times New Roman" w:cs="Times New Roman"/>
          <w:color w:val="222222"/>
          <w:shd w:val="clear" w:color="auto" w:fill="FFFFFF"/>
        </w:rPr>
        <w:t>the date he assigns to</w:t>
      </w:r>
      <w:r w:rsidRPr="00A472FC">
        <w:rPr>
          <w:rFonts w:ascii="Times New Roman" w:eastAsia="Times New Roman" w:hAnsi="Times New Roman" w:cs="Times New Roman"/>
          <w:color w:val="222222"/>
          <w:shd w:val="clear" w:color="auto" w:fill="FFFFFF"/>
        </w:rPr>
        <w:t xml:space="preserve"> his anonymous author’s work.</w:t>
      </w:r>
    </w:p>
    <w:p w14:paraId="360AE31F" w14:textId="3BA4146C" w:rsidR="00871AFB" w:rsidRPr="00A472FC" w:rsidRDefault="00871AFB" w:rsidP="00911D5C">
      <w:pPr>
        <w:ind w:right="-52" w:firstLine="720"/>
        <w:rPr>
          <w:rFonts w:ascii="Times New Roman" w:eastAsia="Times New Roman" w:hAnsi="Times New Roman" w:cs="Times New Roman"/>
          <w:color w:val="222222"/>
          <w:shd w:val="clear" w:color="auto" w:fill="FFFFFF"/>
        </w:rPr>
      </w:pPr>
      <w:r w:rsidRPr="00A472FC">
        <w:rPr>
          <w:rFonts w:ascii="Times New Roman" w:eastAsia="Times New Roman" w:hAnsi="Times New Roman" w:cs="Times New Roman"/>
          <w:color w:val="222222"/>
          <w:shd w:val="clear" w:color="auto" w:fill="FFFFFF"/>
        </w:rPr>
        <w:t xml:space="preserve">Notwithstanding Callus’ </w:t>
      </w:r>
      <w:r w:rsidR="00A71CF8" w:rsidRPr="00A472FC">
        <w:rPr>
          <w:rFonts w:ascii="Times New Roman" w:eastAsia="Times New Roman" w:hAnsi="Times New Roman" w:cs="Times New Roman"/>
          <w:color w:val="222222"/>
          <w:shd w:val="clear" w:color="auto" w:fill="FFFFFF"/>
        </w:rPr>
        <w:t xml:space="preserve">sound </w:t>
      </w:r>
      <w:r w:rsidRPr="00A472FC">
        <w:rPr>
          <w:rFonts w:ascii="Times New Roman" w:eastAsia="Times New Roman" w:hAnsi="Times New Roman" w:cs="Times New Roman"/>
          <w:color w:val="222222"/>
          <w:shd w:val="clear" w:color="auto" w:fill="FFFFFF"/>
        </w:rPr>
        <w:t xml:space="preserve">objections, there is a compelling case to be made on Gauthier’s side, which was articulated </w:t>
      </w:r>
      <w:r w:rsidR="007E3AAB" w:rsidRPr="00A472FC">
        <w:rPr>
          <w:rFonts w:ascii="Times New Roman" w:eastAsia="Times New Roman" w:hAnsi="Times New Roman" w:cs="Times New Roman"/>
          <w:color w:val="222222"/>
          <w:shd w:val="clear" w:color="auto" w:fill="FFFFFF"/>
        </w:rPr>
        <w:t xml:space="preserve">before him </w:t>
      </w:r>
      <w:r w:rsidRPr="00A472FC">
        <w:rPr>
          <w:rFonts w:ascii="Times New Roman" w:eastAsia="Times New Roman" w:hAnsi="Times New Roman" w:cs="Times New Roman"/>
          <w:color w:val="222222"/>
          <w:shd w:val="clear" w:color="auto" w:fill="FFFFFF"/>
        </w:rPr>
        <w:t xml:space="preserve">by Salman and </w:t>
      </w:r>
      <w:proofErr w:type="spellStart"/>
      <w:r w:rsidRPr="00A472FC">
        <w:rPr>
          <w:rFonts w:ascii="Times New Roman" w:eastAsia="Times New Roman" w:hAnsi="Times New Roman" w:cs="Times New Roman"/>
          <w:color w:val="222222"/>
          <w:shd w:val="clear" w:color="auto" w:fill="FFFFFF"/>
        </w:rPr>
        <w:t>Rohmer</w:t>
      </w:r>
      <w:proofErr w:type="spellEnd"/>
      <w:r w:rsidRPr="00A472FC">
        <w:rPr>
          <w:rFonts w:ascii="Times New Roman" w:eastAsia="Times New Roman" w:hAnsi="Times New Roman" w:cs="Times New Roman"/>
          <w:color w:val="222222"/>
          <w:shd w:val="clear" w:color="auto" w:fill="FFFFFF"/>
        </w:rPr>
        <w:t>, who drew their comparisons only on the basis of Rochelle’s work, since they did not yet have the editions of the anonymous texts. The evidence consists in the fact that the material</w:t>
      </w:r>
      <w:r w:rsidR="00782A11" w:rsidRPr="00A472FC">
        <w:rPr>
          <w:rFonts w:ascii="Times New Roman" w:eastAsia="Times New Roman" w:hAnsi="Times New Roman" w:cs="Times New Roman"/>
          <w:color w:val="222222"/>
          <w:shd w:val="clear" w:color="auto" w:fill="FFFFFF"/>
        </w:rPr>
        <w:t xml:space="preserve">, </w:t>
      </w:r>
      <w:r w:rsidRPr="00A472FC">
        <w:rPr>
          <w:rFonts w:ascii="Times New Roman" w:eastAsia="Times New Roman" w:hAnsi="Times New Roman" w:cs="Times New Roman"/>
          <w:color w:val="222222"/>
          <w:shd w:val="clear" w:color="auto" w:fill="FFFFFF"/>
        </w:rPr>
        <w:t>possible</w:t>
      </w:r>
      <w:r w:rsidR="00782A11" w:rsidRPr="00A472FC">
        <w:rPr>
          <w:rFonts w:ascii="Times New Roman" w:eastAsia="Times New Roman" w:hAnsi="Times New Roman" w:cs="Times New Roman"/>
          <w:color w:val="222222"/>
          <w:shd w:val="clear" w:color="auto" w:fill="FFFFFF"/>
        </w:rPr>
        <w:t xml:space="preserve">, and </w:t>
      </w:r>
      <w:r w:rsidRPr="00A472FC">
        <w:rPr>
          <w:rFonts w:ascii="Times New Roman" w:eastAsia="Times New Roman" w:hAnsi="Times New Roman" w:cs="Times New Roman"/>
          <w:color w:val="222222"/>
          <w:shd w:val="clear" w:color="auto" w:fill="FFFFFF"/>
        </w:rPr>
        <w:t xml:space="preserve">agent intellects, as understood by John of La Rochelle, have no exact counterpart in Aristotle, Augustine, Avicenna, or even Alexander of </w:t>
      </w:r>
      <w:proofErr w:type="spellStart"/>
      <w:r w:rsidRPr="00A472FC">
        <w:rPr>
          <w:rFonts w:ascii="Times New Roman" w:eastAsia="Times New Roman" w:hAnsi="Times New Roman" w:cs="Times New Roman"/>
          <w:color w:val="222222"/>
          <w:shd w:val="clear" w:color="auto" w:fill="FFFFFF"/>
        </w:rPr>
        <w:t>Aphrodisias</w:t>
      </w:r>
      <w:proofErr w:type="spellEnd"/>
      <w:r w:rsidRPr="00A472FC">
        <w:rPr>
          <w:rFonts w:ascii="Times New Roman" w:eastAsia="Times New Roman" w:hAnsi="Times New Roman" w:cs="Times New Roman"/>
          <w:color w:val="222222"/>
          <w:shd w:val="clear" w:color="auto" w:fill="FFFFFF"/>
        </w:rPr>
        <w:t xml:space="preserve">, </w:t>
      </w:r>
      <w:r w:rsidR="00C31930" w:rsidRPr="00A472FC">
        <w:rPr>
          <w:rFonts w:ascii="Times New Roman" w:eastAsia="Times New Roman" w:hAnsi="Times New Roman" w:cs="Times New Roman"/>
          <w:color w:val="222222"/>
          <w:shd w:val="clear" w:color="auto" w:fill="FFFFFF"/>
        </w:rPr>
        <w:t xml:space="preserve">some of </w:t>
      </w:r>
      <w:r w:rsidRPr="00A472FC">
        <w:rPr>
          <w:rFonts w:ascii="Times New Roman" w:eastAsia="Times New Roman" w:hAnsi="Times New Roman" w:cs="Times New Roman"/>
          <w:color w:val="222222"/>
          <w:shd w:val="clear" w:color="auto" w:fill="FFFFFF"/>
        </w:rPr>
        <w:t xml:space="preserve">whose works were available at the time. As Gauthier observes, the schema corresponds closely to the way that </w:t>
      </w:r>
      <w:proofErr w:type="spellStart"/>
      <w:r w:rsidRPr="00A472FC">
        <w:rPr>
          <w:rFonts w:ascii="Times New Roman" w:eastAsia="Times New Roman" w:hAnsi="Times New Roman" w:cs="Times New Roman"/>
          <w:color w:val="222222"/>
          <w:shd w:val="clear" w:color="auto" w:fill="FFFFFF"/>
        </w:rPr>
        <w:t>Averroes</w:t>
      </w:r>
      <w:proofErr w:type="spellEnd"/>
      <w:r w:rsidRPr="00A472FC">
        <w:rPr>
          <w:rFonts w:ascii="Times New Roman" w:eastAsia="Times New Roman" w:hAnsi="Times New Roman" w:cs="Times New Roman"/>
          <w:color w:val="222222"/>
          <w:shd w:val="clear" w:color="auto" w:fill="FFFFFF"/>
        </w:rPr>
        <w:t xml:space="preserve"> understands the relationship between cogitation and the material and agent intellects. </w:t>
      </w:r>
    </w:p>
    <w:p w14:paraId="7577BBA7" w14:textId="53830D5D" w:rsidR="00911D5C" w:rsidRPr="00A472FC" w:rsidRDefault="00871AFB" w:rsidP="00911D5C">
      <w:pPr>
        <w:ind w:right="-52" w:firstLine="720"/>
        <w:rPr>
          <w:rFonts w:ascii="Times New Roman" w:eastAsia="Times New Roman" w:hAnsi="Times New Roman" w:cs="Times New Roman"/>
          <w:color w:val="222222"/>
          <w:shd w:val="clear" w:color="auto" w:fill="FFFFFF"/>
        </w:rPr>
      </w:pPr>
      <w:r w:rsidRPr="00A472FC">
        <w:rPr>
          <w:rFonts w:ascii="Times New Roman" w:eastAsia="Times New Roman" w:hAnsi="Times New Roman" w:cs="Times New Roman"/>
          <w:color w:val="222222"/>
          <w:shd w:val="clear" w:color="auto" w:fill="FFFFFF"/>
        </w:rPr>
        <w:t xml:space="preserve">The problem here of course is that the terminology does not match, although this is something Gauthier dismisses as irrelevant. While there is certainly a resemblance between the two schemes conceptually, </w:t>
      </w:r>
      <w:r w:rsidR="0036061F" w:rsidRPr="00A472FC">
        <w:rPr>
          <w:rFonts w:ascii="Times New Roman" w:eastAsia="Times New Roman" w:hAnsi="Times New Roman" w:cs="Times New Roman"/>
          <w:color w:val="222222"/>
          <w:shd w:val="clear" w:color="auto" w:fill="FFFFFF"/>
        </w:rPr>
        <w:t>however</w:t>
      </w:r>
      <w:r w:rsidRPr="00A472FC">
        <w:rPr>
          <w:rFonts w:ascii="Times New Roman" w:eastAsia="Times New Roman" w:hAnsi="Times New Roman" w:cs="Times New Roman"/>
          <w:color w:val="222222"/>
          <w:shd w:val="clear" w:color="auto" w:fill="FFFFFF"/>
        </w:rPr>
        <w:t xml:space="preserve">, John and Philip the Chancellor do not mention </w:t>
      </w:r>
      <w:proofErr w:type="spellStart"/>
      <w:r w:rsidRPr="00A472FC">
        <w:rPr>
          <w:rFonts w:ascii="Times New Roman" w:eastAsia="Times New Roman" w:hAnsi="Times New Roman" w:cs="Times New Roman"/>
          <w:color w:val="222222"/>
          <w:shd w:val="clear" w:color="auto" w:fill="FFFFFF"/>
        </w:rPr>
        <w:t>Averroes</w:t>
      </w:r>
      <w:proofErr w:type="spellEnd"/>
      <w:r w:rsidRPr="00A472FC">
        <w:rPr>
          <w:rFonts w:ascii="Times New Roman" w:eastAsia="Times New Roman" w:hAnsi="Times New Roman" w:cs="Times New Roman"/>
          <w:color w:val="222222"/>
          <w:shd w:val="clear" w:color="auto" w:fill="FFFFFF"/>
        </w:rPr>
        <w:t xml:space="preserve">’ account of cogitation, material and agent intellects and only cite his distinction between the incorruptible and corruptible intellects. That does not necessarily mean that they were not aware of his three-fold scheme, but the further evidence from the anonymous texts does mitigate against this prospect, in that these were written at a time when it seems unlikely there was any direct knowledge of </w:t>
      </w:r>
      <w:proofErr w:type="spellStart"/>
      <w:r w:rsidRPr="00A472FC">
        <w:rPr>
          <w:rFonts w:ascii="Times New Roman" w:eastAsia="Times New Roman" w:hAnsi="Times New Roman" w:cs="Times New Roman"/>
          <w:color w:val="222222"/>
          <w:shd w:val="clear" w:color="auto" w:fill="FFFFFF"/>
        </w:rPr>
        <w:t>Averroes</w:t>
      </w:r>
      <w:proofErr w:type="spellEnd"/>
      <w:r w:rsidRPr="00A472FC">
        <w:rPr>
          <w:rFonts w:ascii="Times New Roman" w:eastAsia="Times New Roman" w:hAnsi="Times New Roman" w:cs="Times New Roman"/>
          <w:color w:val="222222"/>
          <w:shd w:val="clear" w:color="auto" w:fill="FFFFFF"/>
        </w:rPr>
        <w:t xml:space="preserve">. </w:t>
      </w:r>
    </w:p>
    <w:p w14:paraId="28AB2886" w14:textId="5C80B2D8" w:rsidR="002B7292" w:rsidRPr="00A472FC" w:rsidRDefault="00871AFB" w:rsidP="00AD00E7">
      <w:pPr>
        <w:ind w:right="-52" w:firstLine="720"/>
        <w:rPr>
          <w:rFonts w:ascii="Times New Roman" w:hAnsi="Times New Roman" w:cs="Times New Roman"/>
        </w:rPr>
      </w:pPr>
      <w:r w:rsidRPr="00A472FC">
        <w:rPr>
          <w:rFonts w:ascii="Times New Roman" w:eastAsia="Times New Roman" w:hAnsi="Times New Roman" w:cs="Times New Roman"/>
          <w:color w:val="222222"/>
          <w:shd w:val="clear" w:color="auto" w:fill="FFFFFF"/>
        </w:rPr>
        <w:t xml:space="preserve">My own inclination is to </w:t>
      </w:r>
      <w:r w:rsidR="00524C68" w:rsidRPr="00A472FC">
        <w:rPr>
          <w:rFonts w:ascii="Times New Roman" w:eastAsia="Times New Roman" w:hAnsi="Times New Roman" w:cs="Times New Roman"/>
          <w:color w:val="222222"/>
          <w:shd w:val="clear" w:color="auto" w:fill="FFFFFF"/>
        </w:rPr>
        <w:t xml:space="preserve">conclude </w:t>
      </w:r>
      <w:r w:rsidRPr="00A472FC">
        <w:rPr>
          <w:rFonts w:ascii="Times New Roman" w:eastAsia="Times New Roman" w:hAnsi="Times New Roman" w:cs="Times New Roman"/>
          <w:color w:val="222222"/>
          <w:shd w:val="clear" w:color="auto" w:fill="FFFFFF"/>
        </w:rPr>
        <w:t>with Bazán that the material-possible-agent intellect scheme was a unique invention of the Latin Christian tradition</w:t>
      </w:r>
      <w:r w:rsidR="002B7292" w:rsidRPr="00A472FC">
        <w:rPr>
          <w:rFonts w:ascii="Times New Roman" w:eastAsia="Times New Roman" w:hAnsi="Times New Roman" w:cs="Times New Roman"/>
          <w:color w:val="222222"/>
          <w:shd w:val="clear" w:color="auto" w:fill="FFFFFF"/>
        </w:rPr>
        <w:t xml:space="preserve">, which drew eclectically on a variety of sources, including Aristotle and Avicenna. The material intellect as Avicenna defined it, for instance, seems to perform much the same function as </w:t>
      </w:r>
      <w:r w:rsidR="001B2CDA" w:rsidRPr="00A472FC">
        <w:rPr>
          <w:rFonts w:ascii="Times New Roman" w:eastAsia="Times New Roman" w:hAnsi="Times New Roman" w:cs="Times New Roman"/>
          <w:color w:val="222222"/>
          <w:shd w:val="clear" w:color="auto" w:fill="FFFFFF"/>
        </w:rPr>
        <w:t xml:space="preserve">in </w:t>
      </w:r>
      <w:r w:rsidR="002B7292" w:rsidRPr="00A472FC">
        <w:rPr>
          <w:rFonts w:ascii="Times New Roman" w:eastAsia="Times New Roman" w:hAnsi="Times New Roman" w:cs="Times New Roman"/>
          <w:color w:val="222222"/>
          <w:shd w:val="clear" w:color="auto" w:fill="FFFFFF"/>
        </w:rPr>
        <w:t xml:space="preserve">John. </w:t>
      </w:r>
      <w:r w:rsidR="002B7292" w:rsidRPr="00A472FC">
        <w:rPr>
          <w:rFonts w:ascii="Times New Roman" w:hAnsi="Times New Roman" w:cs="Times New Roman"/>
        </w:rPr>
        <w:t xml:space="preserve">Likewise, the </w:t>
      </w:r>
      <w:r w:rsidR="002B7292" w:rsidRPr="00A472FC">
        <w:rPr>
          <w:rFonts w:ascii="Times New Roman" w:hAnsi="Times New Roman" w:cs="Times New Roman"/>
        </w:rPr>
        <w:lastRenderedPageBreak/>
        <w:t xml:space="preserve">language of possible and agent intellects was already </w:t>
      </w:r>
      <w:r w:rsidR="00EF7B5B" w:rsidRPr="00A472FC">
        <w:rPr>
          <w:rFonts w:ascii="Times New Roman" w:hAnsi="Times New Roman" w:cs="Times New Roman"/>
        </w:rPr>
        <w:t xml:space="preserve">present </w:t>
      </w:r>
      <w:r w:rsidR="002B7292" w:rsidRPr="00A472FC">
        <w:rPr>
          <w:rFonts w:ascii="Times New Roman" w:hAnsi="Times New Roman" w:cs="Times New Roman"/>
        </w:rPr>
        <w:t>in the tradition, for instance</w:t>
      </w:r>
      <w:r w:rsidR="004F1019" w:rsidRPr="00A472FC">
        <w:rPr>
          <w:rFonts w:ascii="Times New Roman" w:hAnsi="Times New Roman" w:cs="Times New Roman"/>
        </w:rPr>
        <w:t>,</w:t>
      </w:r>
      <w:r w:rsidR="002B7292" w:rsidRPr="00A472FC">
        <w:rPr>
          <w:rFonts w:ascii="Times New Roman" w:hAnsi="Times New Roman" w:cs="Times New Roman"/>
        </w:rPr>
        <w:t xml:space="preserve"> in the </w:t>
      </w:r>
      <w:proofErr w:type="spellStart"/>
      <w:r w:rsidR="002B7292" w:rsidRPr="00A472FC">
        <w:rPr>
          <w:rFonts w:ascii="Times New Roman" w:hAnsi="Times New Roman" w:cs="Times New Roman"/>
        </w:rPr>
        <w:t>Arabo-Latin</w:t>
      </w:r>
      <w:r w:rsidR="00AE7C7B" w:rsidRPr="00A472FC">
        <w:rPr>
          <w:rFonts w:ascii="Times New Roman" w:hAnsi="Times New Roman" w:cs="Times New Roman"/>
        </w:rPr>
        <w:t>s</w:t>
      </w:r>
      <w:proofErr w:type="spellEnd"/>
      <w:r w:rsidR="002B7292" w:rsidRPr="00A472FC">
        <w:rPr>
          <w:rFonts w:ascii="Times New Roman" w:hAnsi="Times New Roman" w:cs="Times New Roman"/>
        </w:rPr>
        <w:t xml:space="preserve"> translation of Aristotle and Avicenna. </w:t>
      </w:r>
      <w:r w:rsidR="00AD00E7" w:rsidRPr="00A472FC">
        <w:rPr>
          <w:rFonts w:ascii="Times New Roman" w:hAnsi="Times New Roman" w:cs="Times New Roman"/>
        </w:rPr>
        <w:t>As regards the agent intellect, moreover,</w:t>
      </w:r>
      <w:r w:rsidR="002B7292" w:rsidRPr="00A472FC">
        <w:rPr>
          <w:rFonts w:ascii="Times New Roman" w:hAnsi="Times New Roman" w:cs="Times New Roman"/>
        </w:rPr>
        <w:t xml:space="preserve"> Bazán has noted</w:t>
      </w:r>
      <w:r w:rsidR="00AD00E7" w:rsidRPr="00A472FC">
        <w:rPr>
          <w:rFonts w:ascii="Times New Roman" w:hAnsi="Times New Roman" w:cs="Times New Roman"/>
        </w:rPr>
        <w:t xml:space="preserve"> that</w:t>
      </w:r>
      <w:r w:rsidR="002B7292" w:rsidRPr="00A472FC">
        <w:rPr>
          <w:rFonts w:ascii="Times New Roman" w:hAnsi="Times New Roman" w:cs="Times New Roman"/>
        </w:rPr>
        <w:t xml:space="preserve"> </w:t>
      </w:r>
      <w:r w:rsidR="00AD00E7" w:rsidRPr="00A472FC">
        <w:rPr>
          <w:rFonts w:ascii="Times New Roman" w:hAnsi="Times New Roman" w:cs="Times New Roman"/>
        </w:rPr>
        <w:t xml:space="preserve">early Latin scholastics already held commonly to the belief that the </w:t>
      </w:r>
      <w:r w:rsidR="002B7292" w:rsidRPr="00A472FC">
        <w:rPr>
          <w:rFonts w:ascii="Times New Roman" w:hAnsi="Times New Roman" w:cs="Times New Roman"/>
        </w:rPr>
        <w:t xml:space="preserve">soul is both a form of the body and a </w:t>
      </w:r>
      <w:r w:rsidR="002B7292" w:rsidRPr="00A472FC">
        <w:rPr>
          <w:rFonts w:ascii="Times New Roman" w:hAnsi="Times New Roman" w:cs="Times New Roman"/>
          <w:i/>
        </w:rPr>
        <w:t xml:space="preserve">hoc </w:t>
      </w:r>
      <w:proofErr w:type="spellStart"/>
      <w:r w:rsidR="002B7292" w:rsidRPr="00A472FC">
        <w:rPr>
          <w:rFonts w:ascii="Times New Roman" w:hAnsi="Times New Roman" w:cs="Times New Roman"/>
          <w:i/>
        </w:rPr>
        <w:t>aliquid</w:t>
      </w:r>
      <w:proofErr w:type="spellEnd"/>
      <w:r w:rsidR="002B7292" w:rsidRPr="00A472FC">
        <w:rPr>
          <w:rFonts w:ascii="Times New Roman" w:hAnsi="Times New Roman" w:cs="Times New Roman"/>
        </w:rPr>
        <w:t xml:space="preserve"> or substance in its own right within the human person</w:t>
      </w:r>
      <w:r w:rsidR="00FB20D1" w:rsidRPr="00A472FC">
        <w:rPr>
          <w:rFonts w:ascii="Times New Roman" w:hAnsi="Times New Roman" w:cs="Times New Roman"/>
        </w:rPr>
        <w:t>—as opposed to an independently-existing, external substance</w:t>
      </w:r>
      <w:r w:rsidR="00AD00E7" w:rsidRPr="00A472FC">
        <w:rPr>
          <w:rFonts w:ascii="Times New Roman" w:hAnsi="Times New Roman" w:cs="Times New Roman"/>
        </w:rPr>
        <w:t xml:space="preserve">. </w:t>
      </w:r>
    </w:p>
    <w:p w14:paraId="12E97FEE" w14:textId="2A573109" w:rsidR="00871AFB" w:rsidRPr="00A472FC" w:rsidRDefault="00871AFB" w:rsidP="00871AFB">
      <w:pPr>
        <w:ind w:right="-52" w:firstLine="720"/>
        <w:rPr>
          <w:rFonts w:ascii="Times New Roman" w:eastAsia="Times New Roman" w:hAnsi="Times New Roman" w:cs="Times New Roman"/>
          <w:color w:val="222222"/>
          <w:shd w:val="clear" w:color="auto" w:fill="FFFFFF"/>
        </w:rPr>
      </w:pPr>
      <w:r w:rsidRPr="00A472FC">
        <w:rPr>
          <w:rFonts w:ascii="Times New Roman" w:eastAsia="Times New Roman" w:hAnsi="Times New Roman" w:cs="Times New Roman"/>
          <w:color w:val="222222"/>
          <w:shd w:val="clear" w:color="auto" w:fill="FFFFFF"/>
        </w:rPr>
        <w:t xml:space="preserve">When </w:t>
      </w:r>
      <w:proofErr w:type="spellStart"/>
      <w:r w:rsidRPr="00A472FC">
        <w:rPr>
          <w:rFonts w:ascii="Times New Roman" w:eastAsia="Times New Roman" w:hAnsi="Times New Roman" w:cs="Times New Roman"/>
          <w:color w:val="222222"/>
          <w:shd w:val="clear" w:color="auto" w:fill="FFFFFF"/>
        </w:rPr>
        <w:t>Averroes</w:t>
      </w:r>
      <w:proofErr w:type="spellEnd"/>
      <w:r w:rsidRPr="00A472FC">
        <w:rPr>
          <w:rFonts w:ascii="Times New Roman" w:eastAsia="Times New Roman" w:hAnsi="Times New Roman" w:cs="Times New Roman"/>
          <w:color w:val="222222"/>
          <w:shd w:val="clear" w:color="auto" w:fill="FFFFFF"/>
        </w:rPr>
        <w:t xml:space="preserve"> became available, his early readers </w:t>
      </w:r>
      <w:r w:rsidR="0048009F" w:rsidRPr="00A472FC">
        <w:rPr>
          <w:rFonts w:ascii="Times New Roman" w:eastAsia="Times New Roman" w:hAnsi="Times New Roman" w:cs="Times New Roman"/>
          <w:color w:val="222222"/>
          <w:shd w:val="clear" w:color="auto" w:fill="FFFFFF"/>
        </w:rPr>
        <w:t xml:space="preserve">evidently </w:t>
      </w:r>
      <w:r w:rsidR="004F1019" w:rsidRPr="00A472FC">
        <w:rPr>
          <w:rFonts w:ascii="Times New Roman" w:eastAsia="Times New Roman" w:hAnsi="Times New Roman" w:cs="Times New Roman"/>
          <w:color w:val="222222"/>
          <w:shd w:val="clear" w:color="auto" w:fill="FFFFFF"/>
        </w:rPr>
        <w:t>discerned</w:t>
      </w:r>
      <w:r w:rsidRPr="00A472FC">
        <w:rPr>
          <w:rFonts w:ascii="Times New Roman" w:eastAsia="Times New Roman" w:hAnsi="Times New Roman" w:cs="Times New Roman"/>
          <w:color w:val="222222"/>
          <w:shd w:val="clear" w:color="auto" w:fill="FFFFFF"/>
        </w:rPr>
        <w:t xml:space="preserve"> a point of contact between their three-fold scheme and his corruptible/incorruptible intellect distinction. </w:t>
      </w:r>
      <w:r w:rsidR="0085485E" w:rsidRPr="00A472FC">
        <w:rPr>
          <w:rFonts w:ascii="Times New Roman" w:eastAsia="Times New Roman" w:hAnsi="Times New Roman" w:cs="Times New Roman"/>
          <w:color w:val="222222"/>
          <w:shd w:val="clear" w:color="auto" w:fill="FFFFFF"/>
        </w:rPr>
        <w:t>As a result,</w:t>
      </w:r>
      <w:r w:rsidRPr="00A472FC">
        <w:rPr>
          <w:rFonts w:ascii="Times New Roman" w:eastAsia="Times New Roman" w:hAnsi="Times New Roman" w:cs="Times New Roman"/>
          <w:color w:val="222222"/>
          <w:shd w:val="clear" w:color="auto" w:fill="FFFFFF"/>
        </w:rPr>
        <w:t xml:space="preserve"> </w:t>
      </w:r>
      <w:r w:rsidR="008110A1" w:rsidRPr="00A472FC">
        <w:rPr>
          <w:rFonts w:ascii="Times New Roman" w:eastAsia="Times New Roman" w:hAnsi="Times New Roman" w:cs="Times New Roman"/>
          <w:color w:val="222222"/>
          <w:shd w:val="clear" w:color="auto" w:fill="FFFFFF"/>
        </w:rPr>
        <w:t>John</w:t>
      </w:r>
      <w:r w:rsidRPr="00A472FC">
        <w:rPr>
          <w:rFonts w:ascii="Times New Roman" w:eastAsia="Times New Roman" w:hAnsi="Times New Roman" w:cs="Times New Roman"/>
          <w:color w:val="222222"/>
          <w:shd w:val="clear" w:color="auto" w:fill="FFFFFF"/>
        </w:rPr>
        <w:t xml:space="preserve"> </w:t>
      </w:r>
      <w:r w:rsidR="008C3720" w:rsidRPr="00A472FC">
        <w:rPr>
          <w:rFonts w:ascii="Times New Roman" w:eastAsia="Times New Roman" w:hAnsi="Times New Roman" w:cs="Times New Roman"/>
          <w:color w:val="222222"/>
          <w:shd w:val="clear" w:color="auto" w:fill="FFFFFF"/>
        </w:rPr>
        <w:t xml:space="preserve">and his contemporaries </w:t>
      </w:r>
      <w:r w:rsidR="0085485E" w:rsidRPr="00A472FC">
        <w:rPr>
          <w:rFonts w:ascii="Times New Roman" w:eastAsia="Times New Roman" w:hAnsi="Times New Roman" w:cs="Times New Roman"/>
          <w:color w:val="222222"/>
          <w:shd w:val="clear" w:color="auto" w:fill="FFFFFF"/>
        </w:rPr>
        <w:t>may have determined to</w:t>
      </w:r>
      <w:r w:rsidRPr="00A472FC">
        <w:rPr>
          <w:rFonts w:ascii="Times New Roman" w:eastAsia="Times New Roman" w:hAnsi="Times New Roman" w:cs="Times New Roman"/>
          <w:color w:val="222222"/>
          <w:shd w:val="clear" w:color="auto" w:fill="FFFFFF"/>
        </w:rPr>
        <w:t xml:space="preserve"> invoke </w:t>
      </w:r>
      <w:proofErr w:type="spellStart"/>
      <w:r w:rsidR="008C3720" w:rsidRPr="00A472FC">
        <w:rPr>
          <w:rFonts w:ascii="Times New Roman" w:eastAsia="Times New Roman" w:hAnsi="Times New Roman" w:cs="Times New Roman"/>
          <w:color w:val="222222"/>
          <w:shd w:val="clear" w:color="auto" w:fill="FFFFFF"/>
        </w:rPr>
        <w:t>Averroes</w:t>
      </w:r>
      <w:proofErr w:type="spellEnd"/>
      <w:r w:rsidRPr="00A472FC">
        <w:rPr>
          <w:rFonts w:ascii="Times New Roman" w:eastAsia="Times New Roman" w:hAnsi="Times New Roman" w:cs="Times New Roman"/>
          <w:color w:val="222222"/>
          <w:shd w:val="clear" w:color="auto" w:fill="FFFFFF"/>
        </w:rPr>
        <w:t xml:space="preserve"> retrospectively as an authority, </w:t>
      </w:r>
      <w:r w:rsidR="008C3720" w:rsidRPr="00A472FC">
        <w:rPr>
          <w:rFonts w:ascii="Times New Roman" w:eastAsia="Times New Roman" w:hAnsi="Times New Roman" w:cs="Times New Roman"/>
          <w:color w:val="222222"/>
          <w:shd w:val="clear" w:color="auto" w:fill="FFFFFF"/>
        </w:rPr>
        <w:t xml:space="preserve">in order </w:t>
      </w:r>
      <w:r w:rsidRPr="00A472FC">
        <w:rPr>
          <w:rFonts w:ascii="Times New Roman" w:eastAsia="Times New Roman" w:hAnsi="Times New Roman" w:cs="Times New Roman"/>
          <w:color w:val="222222"/>
          <w:shd w:val="clear" w:color="auto" w:fill="FFFFFF"/>
        </w:rPr>
        <w:t xml:space="preserve">to lend credence to </w:t>
      </w:r>
      <w:r w:rsidR="008C3720" w:rsidRPr="00A472FC">
        <w:rPr>
          <w:rFonts w:ascii="Times New Roman" w:eastAsia="Times New Roman" w:hAnsi="Times New Roman" w:cs="Times New Roman"/>
          <w:color w:val="222222"/>
          <w:shd w:val="clear" w:color="auto" w:fill="FFFFFF"/>
        </w:rPr>
        <w:t>their</w:t>
      </w:r>
      <w:r w:rsidRPr="00A472FC">
        <w:rPr>
          <w:rFonts w:ascii="Times New Roman" w:eastAsia="Times New Roman" w:hAnsi="Times New Roman" w:cs="Times New Roman"/>
          <w:color w:val="222222"/>
          <w:shd w:val="clear" w:color="auto" w:fill="FFFFFF"/>
        </w:rPr>
        <w:t xml:space="preserve"> preconceived notion </w:t>
      </w:r>
      <w:r w:rsidR="008C3720" w:rsidRPr="00A472FC">
        <w:rPr>
          <w:rFonts w:ascii="Times New Roman" w:eastAsia="Times New Roman" w:hAnsi="Times New Roman" w:cs="Times New Roman"/>
          <w:color w:val="222222"/>
          <w:shd w:val="clear" w:color="auto" w:fill="FFFFFF"/>
        </w:rPr>
        <w:t>of the intellect</w:t>
      </w:r>
      <w:r w:rsidR="00744B86" w:rsidRPr="00A472FC">
        <w:rPr>
          <w:rFonts w:ascii="Times New Roman" w:eastAsia="Times New Roman" w:hAnsi="Times New Roman" w:cs="Times New Roman"/>
          <w:color w:val="222222"/>
          <w:shd w:val="clear" w:color="auto" w:fill="FFFFFF"/>
        </w:rPr>
        <w:t>,</w:t>
      </w:r>
      <w:r w:rsidR="008C3720" w:rsidRPr="00A472FC">
        <w:rPr>
          <w:rFonts w:ascii="Times New Roman" w:eastAsia="Times New Roman" w:hAnsi="Times New Roman" w:cs="Times New Roman"/>
          <w:color w:val="222222"/>
          <w:shd w:val="clear" w:color="auto" w:fill="FFFFFF"/>
        </w:rPr>
        <w:t xml:space="preserve"> </w:t>
      </w:r>
      <w:r w:rsidRPr="00A472FC">
        <w:rPr>
          <w:rFonts w:ascii="Times New Roman" w:eastAsia="Times New Roman" w:hAnsi="Times New Roman" w:cs="Times New Roman"/>
          <w:color w:val="222222"/>
          <w:shd w:val="clear" w:color="auto" w:fill="FFFFFF"/>
        </w:rPr>
        <w:t xml:space="preserve">or perhaps to create a contrast with Avicenna’s view that the human intellect relies on an external Agent Intellect. In the absence of more definitive evidence, it is difficult to rule out an early reception of </w:t>
      </w:r>
      <w:proofErr w:type="spellStart"/>
      <w:r w:rsidRPr="00A472FC">
        <w:rPr>
          <w:rFonts w:ascii="Times New Roman" w:eastAsia="Times New Roman" w:hAnsi="Times New Roman" w:cs="Times New Roman"/>
          <w:color w:val="222222"/>
          <w:shd w:val="clear" w:color="auto" w:fill="FFFFFF"/>
        </w:rPr>
        <w:t>Averroes</w:t>
      </w:r>
      <w:proofErr w:type="spellEnd"/>
      <w:r w:rsidRPr="00A472FC">
        <w:rPr>
          <w:rFonts w:ascii="Times New Roman" w:eastAsia="Times New Roman" w:hAnsi="Times New Roman" w:cs="Times New Roman"/>
          <w:color w:val="222222"/>
          <w:shd w:val="clear" w:color="auto" w:fill="FFFFFF"/>
        </w:rPr>
        <w:t xml:space="preserve"> altogether; but given the circumstances, the more modest case made above seems the </w:t>
      </w:r>
      <w:r w:rsidR="00AD5F81" w:rsidRPr="00A472FC">
        <w:rPr>
          <w:rFonts w:ascii="Times New Roman" w:eastAsia="Times New Roman" w:hAnsi="Times New Roman" w:cs="Times New Roman"/>
          <w:color w:val="222222"/>
          <w:shd w:val="clear" w:color="auto" w:fill="FFFFFF"/>
        </w:rPr>
        <w:t>most</w:t>
      </w:r>
      <w:r w:rsidR="00F425A1" w:rsidRPr="00A472FC">
        <w:rPr>
          <w:rFonts w:ascii="Times New Roman" w:eastAsia="Times New Roman" w:hAnsi="Times New Roman" w:cs="Times New Roman"/>
          <w:color w:val="222222"/>
          <w:shd w:val="clear" w:color="auto" w:fill="FFFFFF"/>
        </w:rPr>
        <w:t xml:space="preserve"> plausible.</w:t>
      </w:r>
    </w:p>
    <w:p w14:paraId="6B8FC289" w14:textId="3CC2C002" w:rsidR="00665333" w:rsidRPr="00A472FC" w:rsidRDefault="007B252A" w:rsidP="007B252A">
      <w:pPr>
        <w:ind w:right="-52" w:firstLine="720"/>
        <w:rPr>
          <w:rFonts w:ascii="Times New Roman" w:eastAsia="Times New Roman" w:hAnsi="Times New Roman" w:cs="Times New Roman"/>
          <w:i/>
          <w:color w:val="222222"/>
          <w:shd w:val="clear" w:color="auto" w:fill="FFFFFF"/>
        </w:rPr>
      </w:pPr>
      <w:r w:rsidRPr="00A472FC">
        <w:rPr>
          <w:rFonts w:ascii="Times New Roman" w:eastAsia="Times New Roman" w:hAnsi="Times New Roman" w:cs="Times New Roman"/>
          <w:color w:val="222222"/>
          <w:shd w:val="clear" w:color="auto" w:fill="FFFFFF"/>
        </w:rPr>
        <w:t xml:space="preserve">Following this discussion, </w:t>
      </w:r>
      <w:r w:rsidRPr="00A472FC">
        <w:rPr>
          <w:rFonts w:ascii="Times New Roman" w:eastAsia="Times New Roman" w:hAnsi="Times New Roman" w:cs="Times New Roman"/>
          <w:b/>
          <w:color w:val="222222"/>
          <w:shd w:val="clear" w:color="auto" w:fill="FFFFFF"/>
        </w:rPr>
        <w:t>chapter eight</w:t>
      </w:r>
      <w:r w:rsidRPr="00A472FC">
        <w:rPr>
          <w:rFonts w:ascii="Times New Roman" w:eastAsia="Times New Roman" w:hAnsi="Times New Roman" w:cs="Times New Roman"/>
          <w:color w:val="222222"/>
          <w:shd w:val="clear" w:color="auto" w:fill="FFFFFF"/>
        </w:rPr>
        <w:t xml:space="preserve"> moves on to explore the DAR section of the </w:t>
      </w:r>
      <w:r w:rsidR="000F5C5F" w:rsidRPr="00A472FC">
        <w:rPr>
          <w:rFonts w:ascii="Times New Roman" w:eastAsia="Times New Roman" w:hAnsi="Times New Roman" w:cs="Times New Roman"/>
          <w:i/>
          <w:color w:val="222222"/>
          <w:shd w:val="clear" w:color="auto" w:fill="FFFFFF"/>
        </w:rPr>
        <w:t xml:space="preserve">Summa </w:t>
      </w:r>
      <w:proofErr w:type="spellStart"/>
      <w:r w:rsidR="000F5C5F" w:rsidRPr="00A472FC">
        <w:rPr>
          <w:rFonts w:ascii="Times New Roman" w:eastAsia="Times New Roman" w:hAnsi="Times New Roman" w:cs="Times New Roman"/>
          <w:i/>
          <w:color w:val="222222"/>
          <w:shd w:val="clear" w:color="auto" w:fill="FFFFFF"/>
        </w:rPr>
        <w:t>Halensis</w:t>
      </w:r>
      <w:proofErr w:type="spellEnd"/>
      <w:r w:rsidRPr="00A472FC">
        <w:rPr>
          <w:rFonts w:ascii="Times New Roman" w:eastAsia="Times New Roman" w:hAnsi="Times New Roman" w:cs="Times New Roman"/>
          <w:i/>
          <w:color w:val="222222"/>
          <w:shd w:val="clear" w:color="auto" w:fill="FFFFFF"/>
        </w:rPr>
        <w:t xml:space="preserve">. </w:t>
      </w:r>
      <w:r w:rsidR="00665333" w:rsidRPr="00A472FC">
        <w:rPr>
          <w:rFonts w:ascii="Times New Roman" w:hAnsi="Times New Roman" w:cs="Times New Roman"/>
        </w:rPr>
        <w:t xml:space="preserve">Although </w:t>
      </w:r>
      <w:r w:rsidRPr="00A472FC">
        <w:rPr>
          <w:rFonts w:ascii="Times New Roman" w:hAnsi="Times New Roman" w:cs="Times New Roman"/>
        </w:rPr>
        <w:t>this text</w:t>
      </w:r>
      <w:r w:rsidR="00665333" w:rsidRPr="00A472FC">
        <w:rPr>
          <w:rFonts w:ascii="Times New Roman" w:hAnsi="Times New Roman" w:cs="Times New Roman"/>
        </w:rPr>
        <w:t xml:space="preserve"> is based on John’s works, it clearly had a different redactor who </w:t>
      </w:r>
      <w:proofErr w:type="spellStart"/>
      <w:r w:rsidR="00665333" w:rsidRPr="00A472FC">
        <w:rPr>
          <w:rFonts w:ascii="Times New Roman" w:hAnsi="Times New Roman" w:cs="Times New Roman"/>
        </w:rPr>
        <w:t>re-organized</w:t>
      </w:r>
      <w:proofErr w:type="spellEnd"/>
      <w:r w:rsidR="00665333" w:rsidRPr="00A472FC">
        <w:rPr>
          <w:rFonts w:ascii="Times New Roman" w:hAnsi="Times New Roman" w:cs="Times New Roman"/>
        </w:rPr>
        <w:t xml:space="preserve"> the relevant material, starting with pseudo-Augustine before moving on to the Philosopher—whom the editors identify with Aristotle—before concluding with John of Damascus. Despite these changes, the psychological outlook presented is largely the same, although the redactor takes a much more syncretistic approach to dealing with it. Rather than simply juxtaposing the three authors and allowing their compatibilities to come into relief that way, </w:t>
      </w:r>
      <w:r w:rsidR="00C11492" w:rsidRPr="00A472FC">
        <w:rPr>
          <w:rFonts w:ascii="Times New Roman" w:hAnsi="Times New Roman" w:cs="Times New Roman"/>
        </w:rPr>
        <w:t>he</w:t>
      </w:r>
      <w:r w:rsidR="00665333" w:rsidRPr="00A472FC">
        <w:rPr>
          <w:rFonts w:ascii="Times New Roman" w:hAnsi="Times New Roman" w:cs="Times New Roman"/>
        </w:rPr>
        <w:t xml:space="preserve"> takes great pains to show that the schemes are compatible or can be nestled within or even reduced to one another. </w:t>
      </w:r>
    </w:p>
    <w:p w14:paraId="105D34CE" w14:textId="77777777" w:rsidR="00D83A2B" w:rsidRPr="00A472FC" w:rsidRDefault="00665333" w:rsidP="00D83A2B">
      <w:pPr>
        <w:ind w:right="-52" w:firstLine="720"/>
        <w:rPr>
          <w:rFonts w:ascii="Times New Roman" w:hAnsi="Times New Roman" w:cs="Times New Roman"/>
        </w:rPr>
      </w:pPr>
      <w:r w:rsidRPr="00A472FC">
        <w:rPr>
          <w:rFonts w:ascii="Times New Roman" w:hAnsi="Times New Roman" w:cs="Times New Roman"/>
        </w:rPr>
        <w:t xml:space="preserve">In this regard, he begins with the sense powers, arguing first that John of Damascus’ three internal senses of imagination, excogitation, and memory can basically be reduced to Avicenna’s doctrine of the five internal senses. </w:t>
      </w:r>
      <w:r w:rsidR="00EA49DD" w:rsidRPr="00A472FC">
        <w:rPr>
          <w:rFonts w:ascii="Times New Roman" w:hAnsi="Times New Roman" w:cs="Times New Roman"/>
        </w:rPr>
        <w:t>This striking manoeuvre</w:t>
      </w:r>
      <w:r w:rsidRPr="00A472FC">
        <w:rPr>
          <w:rFonts w:ascii="Times New Roman" w:hAnsi="Times New Roman" w:cs="Times New Roman"/>
        </w:rPr>
        <w:t xml:space="preserve"> shows the lengths to which the redactor is prepared to go to make his sources agree. To that end, he goes one step further to argue that the schemes of both Damascus and Avicenna can ultimately be reduced to </w:t>
      </w:r>
      <w:r w:rsidR="007F79E9" w:rsidRPr="00A472FC">
        <w:rPr>
          <w:rFonts w:ascii="Times New Roman" w:hAnsi="Times New Roman" w:cs="Times New Roman"/>
        </w:rPr>
        <w:t>pseudo-</w:t>
      </w:r>
      <w:r w:rsidRPr="00A472FC">
        <w:rPr>
          <w:rFonts w:ascii="Times New Roman" w:hAnsi="Times New Roman" w:cs="Times New Roman"/>
        </w:rPr>
        <w:t xml:space="preserve">Augustine’s category of imagination. In his view, this concept provides the broad banner under which the other schemes can be situated. By the same token, those schemes specify the work of the imagination more than Augustine himself had done, at least in the spurious works. A similar strategy is pursued when the redactor moves on to discuss the cognitive faculties. </w:t>
      </w:r>
    </w:p>
    <w:p w14:paraId="421F3AD3" w14:textId="5B420F99" w:rsidR="00665333" w:rsidRPr="00A472FC" w:rsidRDefault="00665333" w:rsidP="00D83A2B">
      <w:pPr>
        <w:ind w:right="-52" w:firstLine="720"/>
        <w:rPr>
          <w:rFonts w:ascii="Times New Roman" w:hAnsi="Times New Roman" w:cs="Times New Roman"/>
        </w:rPr>
      </w:pPr>
      <w:r w:rsidRPr="00A472FC">
        <w:rPr>
          <w:rFonts w:ascii="Times New Roman" w:hAnsi="Times New Roman" w:cs="Times New Roman"/>
        </w:rPr>
        <w:t xml:space="preserve">Here things become quite complicated given the sheer number of cognitive </w:t>
      </w:r>
      <w:r w:rsidR="00991F2F" w:rsidRPr="00A472FC">
        <w:rPr>
          <w:rFonts w:ascii="Times New Roman" w:hAnsi="Times New Roman" w:cs="Times New Roman"/>
        </w:rPr>
        <w:t>schemata</w:t>
      </w:r>
      <w:r w:rsidRPr="00A472FC">
        <w:rPr>
          <w:rFonts w:ascii="Times New Roman" w:hAnsi="Times New Roman" w:cs="Times New Roman"/>
        </w:rPr>
        <w:t xml:space="preserve"> the redactor discusses—two from Augustine, one from the Philosopher, and two from Damascus</w:t>
      </w:r>
      <w:r w:rsidR="000D0F5B" w:rsidRPr="00A472FC">
        <w:rPr>
          <w:rFonts w:ascii="Times New Roman" w:hAnsi="Times New Roman" w:cs="Times New Roman"/>
        </w:rPr>
        <w:t xml:space="preserve">. In treating these schemes, the author </w:t>
      </w:r>
      <w:r w:rsidRPr="00A472FC">
        <w:rPr>
          <w:rFonts w:ascii="Times New Roman" w:hAnsi="Times New Roman" w:cs="Times New Roman"/>
        </w:rPr>
        <w:t xml:space="preserve">attempts to identify every single point of contact between them. Although the discussion seems at times convoluted, it is ultimately fairly straightforward. </w:t>
      </w:r>
      <w:r w:rsidR="00B30BC4" w:rsidRPr="00A472FC">
        <w:rPr>
          <w:rFonts w:ascii="Times New Roman" w:hAnsi="Times New Roman" w:cs="Times New Roman"/>
        </w:rPr>
        <w:t>P</w:t>
      </w:r>
      <w:r w:rsidR="00F50F91" w:rsidRPr="00A472FC">
        <w:rPr>
          <w:rFonts w:ascii="Times New Roman" w:hAnsi="Times New Roman" w:cs="Times New Roman"/>
        </w:rPr>
        <w:t>seudo</w:t>
      </w:r>
      <w:r w:rsidRPr="00A472FC">
        <w:rPr>
          <w:rFonts w:ascii="Times New Roman" w:hAnsi="Times New Roman" w:cs="Times New Roman"/>
        </w:rPr>
        <w:t xml:space="preserve">-Augustine’s scheme of </w:t>
      </w:r>
      <w:r w:rsidRPr="00A472FC">
        <w:rPr>
          <w:rFonts w:ascii="Times New Roman" w:hAnsi="Times New Roman" w:cs="Times New Roman"/>
          <w:i/>
        </w:rPr>
        <w:t>ratio</w:t>
      </w:r>
      <w:r w:rsidRPr="00A472FC">
        <w:rPr>
          <w:rFonts w:ascii="Times New Roman" w:hAnsi="Times New Roman" w:cs="Times New Roman"/>
          <w:iCs/>
        </w:rPr>
        <w:t>,</w:t>
      </w:r>
      <w:r w:rsidRPr="00A472FC">
        <w:rPr>
          <w:rFonts w:ascii="Times New Roman" w:hAnsi="Times New Roman" w:cs="Times New Roman"/>
          <w:i/>
        </w:rPr>
        <w:t xml:space="preserve"> </w:t>
      </w:r>
      <w:proofErr w:type="spellStart"/>
      <w:r w:rsidRPr="00A472FC">
        <w:rPr>
          <w:rFonts w:ascii="Times New Roman" w:hAnsi="Times New Roman" w:cs="Times New Roman"/>
          <w:i/>
        </w:rPr>
        <w:t>intellectus</w:t>
      </w:r>
      <w:proofErr w:type="spellEnd"/>
      <w:r w:rsidRPr="00A472FC">
        <w:rPr>
          <w:rFonts w:ascii="Times New Roman" w:hAnsi="Times New Roman" w:cs="Times New Roman"/>
          <w:iCs/>
        </w:rPr>
        <w:t xml:space="preserve">, </w:t>
      </w:r>
      <w:r w:rsidRPr="00A472FC">
        <w:rPr>
          <w:rFonts w:ascii="Times New Roman" w:hAnsi="Times New Roman" w:cs="Times New Roman"/>
        </w:rPr>
        <w:t xml:space="preserve">and </w:t>
      </w:r>
      <w:proofErr w:type="spellStart"/>
      <w:r w:rsidRPr="00A472FC">
        <w:rPr>
          <w:rFonts w:ascii="Times New Roman" w:hAnsi="Times New Roman" w:cs="Times New Roman"/>
          <w:i/>
        </w:rPr>
        <w:t>intelligentia</w:t>
      </w:r>
      <w:proofErr w:type="spellEnd"/>
      <w:r w:rsidRPr="00A472FC">
        <w:rPr>
          <w:rFonts w:ascii="Times New Roman" w:hAnsi="Times New Roman" w:cs="Times New Roman"/>
        </w:rPr>
        <w:t xml:space="preserve">, which respectively </w:t>
      </w:r>
      <w:r w:rsidR="00754FFC" w:rsidRPr="00A472FC">
        <w:rPr>
          <w:rFonts w:ascii="Times New Roman" w:hAnsi="Times New Roman" w:cs="Times New Roman"/>
        </w:rPr>
        <w:t xml:space="preserve">pertains to </w:t>
      </w:r>
      <w:r w:rsidRPr="00A472FC">
        <w:rPr>
          <w:rFonts w:ascii="Times New Roman" w:hAnsi="Times New Roman" w:cs="Times New Roman"/>
        </w:rPr>
        <w:t>know</w:t>
      </w:r>
      <w:r w:rsidR="00754FFC" w:rsidRPr="00A472FC">
        <w:rPr>
          <w:rFonts w:ascii="Times New Roman" w:hAnsi="Times New Roman" w:cs="Times New Roman"/>
        </w:rPr>
        <w:t>ledge of</w:t>
      </w:r>
      <w:r w:rsidRPr="00A472FC">
        <w:rPr>
          <w:rFonts w:ascii="Times New Roman" w:hAnsi="Times New Roman" w:cs="Times New Roman"/>
        </w:rPr>
        <w:t xml:space="preserve"> things below, next to, and above the self—creatures, angels, and God—provides a broad framework into which all other cognitive </w:t>
      </w:r>
      <w:r w:rsidR="00991F2F" w:rsidRPr="00A472FC">
        <w:rPr>
          <w:rFonts w:ascii="Times New Roman" w:hAnsi="Times New Roman" w:cs="Times New Roman"/>
        </w:rPr>
        <w:t>schemata</w:t>
      </w:r>
      <w:r w:rsidRPr="00A472FC">
        <w:rPr>
          <w:rFonts w:ascii="Times New Roman" w:hAnsi="Times New Roman" w:cs="Times New Roman"/>
        </w:rPr>
        <w:t xml:space="preserve"> can be slotted. This is because it establishes the three main kinds of forms that human beings </w:t>
      </w:r>
      <w:r w:rsidR="00DC013F" w:rsidRPr="00A472FC">
        <w:rPr>
          <w:rFonts w:ascii="Times New Roman" w:hAnsi="Times New Roman" w:cs="Times New Roman"/>
        </w:rPr>
        <w:t>can</w:t>
      </w:r>
      <w:r w:rsidRPr="00A472FC">
        <w:rPr>
          <w:rFonts w:ascii="Times New Roman" w:hAnsi="Times New Roman" w:cs="Times New Roman"/>
        </w:rPr>
        <w:t xml:space="preserve"> know</w:t>
      </w:r>
      <w:r w:rsidR="008C272E" w:rsidRPr="00A472FC">
        <w:rPr>
          <w:rFonts w:ascii="Times New Roman" w:hAnsi="Times New Roman" w:cs="Times New Roman"/>
        </w:rPr>
        <w:t xml:space="preserve"> and thus exceeds the aspiration </w:t>
      </w:r>
      <w:r w:rsidR="006A18B7" w:rsidRPr="00A472FC">
        <w:rPr>
          <w:rFonts w:ascii="Times New Roman" w:hAnsi="Times New Roman" w:cs="Times New Roman"/>
        </w:rPr>
        <w:t>merely to know the kinds of</w:t>
      </w:r>
      <w:r w:rsidRPr="00A472FC">
        <w:rPr>
          <w:rFonts w:ascii="Times New Roman" w:hAnsi="Times New Roman" w:cs="Times New Roman"/>
        </w:rPr>
        <w:t xml:space="preserve"> natural things which concern the Philosopher</w:t>
      </w:r>
      <w:r w:rsidR="000F6905" w:rsidRPr="00A472FC">
        <w:rPr>
          <w:rFonts w:ascii="Times New Roman" w:hAnsi="Times New Roman" w:cs="Times New Roman"/>
        </w:rPr>
        <w:t>.</w:t>
      </w:r>
    </w:p>
    <w:p w14:paraId="43209368" w14:textId="1A630570"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The </w:t>
      </w:r>
      <w:r w:rsidR="000F6905" w:rsidRPr="00A472FC">
        <w:rPr>
          <w:rFonts w:ascii="Times New Roman" w:hAnsi="Times New Roman" w:cs="Times New Roman"/>
        </w:rPr>
        <w:t xml:space="preserve">latter’s </w:t>
      </w:r>
      <w:r w:rsidRPr="00A472FC">
        <w:rPr>
          <w:rFonts w:ascii="Times New Roman" w:hAnsi="Times New Roman" w:cs="Times New Roman"/>
        </w:rPr>
        <w:t xml:space="preserve">scheme of material-possible-agent intellect can be inserted into this one because it also pertains to different stages of knowing natural forms abstracted from matter. According to the redactor, the second intellectual scheme of Damascus (intelligence, intention, excogitation, and </w:t>
      </w:r>
      <w:proofErr w:type="spellStart"/>
      <w:r w:rsidRPr="00A472FC">
        <w:rPr>
          <w:rFonts w:ascii="Times New Roman" w:hAnsi="Times New Roman" w:cs="Times New Roman"/>
        </w:rPr>
        <w:t>phronesis</w:t>
      </w:r>
      <w:proofErr w:type="spellEnd"/>
      <w:r w:rsidRPr="00A472FC">
        <w:rPr>
          <w:rFonts w:ascii="Times New Roman" w:hAnsi="Times New Roman" w:cs="Times New Roman"/>
        </w:rPr>
        <w:t xml:space="preserve">) corresponds to Avicenna’s doctrine of the four stages of the possible intellect, which can therefore be integrated into the three-fold scheme. This comparison is particularly </w:t>
      </w:r>
      <w:r w:rsidR="00826350" w:rsidRPr="00A472FC">
        <w:rPr>
          <w:rFonts w:ascii="Times New Roman" w:hAnsi="Times New Roman" w:cs="Times New Roman"/>
        </w:rPr>
        <w:t>striking</w:t>
      </w:r>
      <w:r w:rsidRPr="00A472FC">
        <w:rPr>
          <w:rFonts w:ascii="Times New Roman" w:hAnsi="Times New Roman" w:cs="Times New Roman"/>
        </w:rPr>
        <w:t xml:space="preserve"> because there is of course no sense in which Damascus could have or did anticipate the famous </w:t>
      </w:r>
      <w:proofErr w:type="spellStart"/>
      <w:r w:rsidRPr="00A472FC">
        <w:rPr>
          <w:rFonts w:ascii="Times New Roman" w:hAnsi="Times New Roman" w:cs="Times New Roman"/>
        </w:rPr>
        <w:t>Avicennian</w:t>
      </w:r>
      <w:proofErr w:type="spellEnd"/>
      <w:r w:rsidRPr="00A472FC">
        <w:rPr>
          <w:rFonts w:ascii="Times New Roman" w:hAnsi="Times New Roman" w:cs="Times New Roman"/>
        </w:rPr>
        <w:t xml:space="preserve"> doctrine. The attribution of the doctrine to </w:t>
      </w:r>
      <w:r w:rsidRPr="00A472FC">
        <w:rPr>
          <w:rFonts w:ascii="Times New Roman" w:hAnsi="Times New Roman" w:cs="Times New Roman"/>
        </w:rPr>
        <w:lastRenderedPageBreak/>
        <w:t>Damascus was therefore a way of ‘smuggling’ that ostensibly non-Aristotelian doctrine back into the mix, without necessarily attributing it to the Philosopher himself.</w:t>
      </w:r>
    </w:p>
    <w:p w14:paraId="0B03D32D" w14:textId="0CE1A2D2" w:rsidR="00005A78" w:rsidRPr="00A472FC" w:rsidRDefault="00665333" w:rsidP="0018316E">
      <w:pPr>
        <w:ind w:right="-52" w:firstLine="720"/>
        <w:rPr>
          <w:rFonts w:ascii="Times New Roman" w:hAnsi="Times New Roman" w:cs="Times New Roman"/>
        </w:rPr>
      </w:pPr>
      <w:r w:rsidRPr="00A472FC">
        <w:rPr>
          <w:rFonts w:ascii="Times New Roman" w:hAnsi="Times New Roman" w:cs="Times New Roman"/>
        </w:rPr>
        <w:t xml:space="preserve">According to the redactor, the schemes mentioned so far consider abstracted </w:t>
      </w:r>
      <w:r w:rsidR="00EE7A70" w:rsidRPr="00A472FC">
        <w:rPr>
          <w:rFonts w:ascii="Times New Roman" w:hAnsi="Times New Roman" w:cs="Times New Roman"/>
        </w:rPr>
        <w:t xml:space="preserve">forms </w:t>
      </w:r>
      <w:r w:rsidRPr="00A472FC">
        <w:rPr>
          <w:rFonts w:ascii="Times New Roman" w:hAnsi="Times New Roman" w:cs="Times New Roman"/>
        </w:rPr>
        <w:t>without complexion</w:t>
      </w:r>
      <w:r w:rsidR="00EE7A70" w:rsidRPr="00A472FC">
        <w:rPr>
          <w:rFonts w:ascii="Times New Roman" w:hAnsi="Times New Roman" w:cs="Times New Roman"/>
        </w:rPr>
        <w:t>,</w:t>
      </w:r>
      <w:r w:rsidR="009D6B00" w:rsidRPr="00A472FC">
        <w:rPr>
          <w:rFonts w:ascii="Times New Roman" w:hAnsi="Times New Roman" w:cs="Times New Roman"/>
        </w:rPr>
        <w:t xml:space="preserve"> that is, forms which are considered in isolation rather than in relation to other forms, i.e. ‘woman’ rather than ‘</w:t>
      </w:r>
      <w:r w:rsidR="00C15CBA" w:rsidRPr="00A472FC">
        <w:rPr>
          <w:rFonts w:ascii="Times New Roman" w:hAnsi="Times New Roman" w:cs="Times New Roman"/>
        </w:rPr>
        <w:t>Lydia is a woman.’</w:t>
      </w:r>
      <w:r w:rsidRPr="00A472FC">
        <w:rPr>
          <w:rFonts w:ascii="Times New Roman" w:hAnsi="Times New Roman" w:cs="Times New Roman"/>
        </w:rPr>
        <w:t xml:space="preserve">. </w:t>
      </w:r>
      <w:r w:rsidR="00C15CBA" w:rsidRPr="00A472FC">
        <w:rPr>
          <w:rFonts w:ascii="Times New Roman" w:hAnsi="Times New Roman" w:cs="Times New Roman"/>
        </w:rPr>
        <w:t xml:space="preserve">The </w:t>
      </w:r>
      <w:proofErr w:type="spellStart"/>
      <w:r w:rsidR="00C15CBA" w:rsidRPr="00A472FC">
        <w:rPr>
          <w:rFonts w:ascii="Times New Roman" w:hAnsi="Times New Roman" w:cs="Times New Roman"/>
        </w:rPr>
        <w:t>Summist</w:t>
      </w:r>
      <w:proofErr w:type="spellEnd"/>
      <w:r w:rsidR="00C15CBA" w:rsidRPr="00A472FC">
        <w:rPr>
          <w:rFonts w:ascii="Times New Roman" w:hAnsi="Times New Roman" w:cs="Times New Roman"/>
        </w:rPr>
        <w:t xml:space="preserve"> </w:t>
      </w:r>
      <w:r w:rsidRPr="00A472FC">
        <w:rPr>
          <w:rFonts w:ascii="Times New Roman" w:hAnsi="Times New Roman" w:cs="Times New Roman"/>
        </w:rPr>
        <w:t>describe</w:t>
      </w:r>
      <w:r w:rsidR="00C15CBA" w:rsidRPr="00A472FC">
        <w:rPr>
          <w:rFonts w:ascii="Times New Roman" w:hAnsi="Times New Roman" w:cs="Times New Roman"/>
        </w:rPr>
        <w:t>s such</w:t>
      </w:r>
      <w:r w:rsidR="00725155" w:rsidRPr="00A472FC">
        <w:rPr>
          <w:rFonts w:ascii="Times New Roman" w:hAnsi="Times New Roman" w:cs="Times New Roman"/>
        </w:rPr>
        <w:t xml:space="preserve"> kinds of cognition which lack complexion or complexity as</w:t>
      </w:r>
      <w:r w:rsidRPr="00A472FC">
        <w:rPr>
          <w:rFonts w:ascii="Times New Roman" w:hAnsi="Times New Roman" w:cs="Times New Roman"/>
        </w:rPr>
        <w:t xml:space="preserve"> perfect. By contrast, Augustine’s second and Damascus’ first scheme deal with imperfect forms of cognition</w:t>
      </w:r>
      <w:r w:rsidR="00603158" w:rsidRPr="00A472FC">
        <w:rPr>
          <w:rFonts w:ascii="Times New Roman" w:hAnsi="Times New Roman" w:cs="Times New Roman"/>
        </w:rPr>
        <w:t xml:space="preserve">. These </w:t>
      </w:r>
      <w:r w:rsidRPr="00A472FC">
        <w:rPr>
          <w:rFonts w:ascii="Times New Roman" w:hAnsi="Times New Roman" w:cs="Times New Roman"/>
        </w:rPr>
        <w:t xml:space="preserve">involve </w:t>
      </w:r>
      <w:r w:rsidR="00EC2766" w:rsidRPr="00A472FC">
        <w:rPr>
          <w:rFonts w:ascii="Times New Roman" w:hAnsi="Times New Roman" w:cs="Times New Roman"/>
        </w:rPr>
        <w:t xml:space="preserve">discriminating between </w:t>
      </w:r>
      <w:r w:rsidRPr="00A472FC">
        <w:rPr>
          <w:rFonts w:ascii="Times New Roman" w:hAnsi="Times New Roman" w:cs="Times New Roman"/>
        </w:rPr>
        <w:t xml:space="preserve">truth </w:t>
      </w:r>
      <w:r w:rsidR="00EC2766" w:rsidRPr="00A472FC">
        <w:rPr>
          <w:rFonts w:ascii="Times New Roman" w:hAnsi="Times New Roman" w:cs="Times New Roman"/>
        </w:rPr>
        <w:t>and</w:t>
      </w:r>
      <w:r w:rsidRPr="00A472FC">
        <w:rPr>
          <w:rFonts w:ascii="Times New Roman" w:hAnsi="Times New Roman" w:cs="Times New Roman"/>
        </w:rPr>
        <w:t xml:space="preserve"> falsity or moving from what is unknown to what is known</w:t>
      </w:r>
      <w:r w:rsidR="0018316E" w:rsidRPr="00A472FC">
        <w:rPr>
          <w:rFonts w:ascii="Times New Roman" w:hAnsi="Times New Roman" w:cs="Times New Roman"/>
        </w:rPr>
        <w:t xml:space="preserve">. That </w:t>
      </w:r>
      <w:r w:rsidRPr="00A472FC">
        <w:rPr>
          <w:rFonts w:ascii="Times New Roman" w:hAnsi="Times New Roman" w:cs="Times New Roman"/>
        </w:rPr>
        <w:t xml:space="preserve">in turn </w:t>
      </w:r>
      <w:r w:rsidR="008E445C" w:rsidRPr="00A472FC">
        <w:rPr>
          <w:rFonts w:ascii="Times New Roman" w:hAnsi="Times New Roman" w:cs="Times New Roman"/>
        </w:rPr>
        <w:t>entails</w:t>
      </w:r>
      <w:r w:rsidRPr="00A472FC">
        <w:rPr>
          <w:rFonts w:ascii="Times New Roman" w:hAnsi="Times New Roman" w:cs="Times New Roman"/>
        </w:rPr>
        <w:t xml:space="preserve"> moving </w:t>
      </w:r>
      <w:r w:rsidR="00603158" w:rsidRPr="00A472FC">
        <w:rPr>
          <w:rFonts w:ascii="Times New Roman" w:hAnsi="Times New Roman" w:cs="Times New Roman"/>
        </w:rPr>
        <w:t xml:space="preserve">syllogistically from the knowledge of a universal principle and a particular to the </w:t>
      </w:r>
      <w:r w:rsidR="00D129FB" w:rsidRPr="00A472FC">
        <w:rPr>
          <w:rFonts w:ascii="Times New Roman" w:hAnsi="Times New Roman" w:cs="Times New Roman"/>
        </w:rPr>
        <w:t>understanding</w:t>
      </w:r>
      <w:r w:rsidR="00603158" w:rsidRPr="00A472FC">
        <w:rPr>
          <w:rFonts w:ascii="Times New Roman" w:hAnsi="Times New Roman" w:cs="Times New Roman"/>
        </w:rPr>
        <w:t xml:space="preserve"> of the particular in universal terms, i.e. </w:t>
      </w:r>
      <w:r w:rsidR="00D129FB" w:rsidRPr="00A472FC">
        <w:rPr>
          <w:rFonts w:ascii="Times New Roman" w:hAnsi="Times New Roman" w:cs="Times New Roman"/>
        </w:rPr>
        <w:t>‘</w:t>
      </w:r>
      <w:r w:rsidR="00891312" w:rsidRPr="00A472FC">
        <w:rPr>
          <w:rFonts w:ascii="Times New Roman" w:hAnsi="Times New Roman" w:cs="Times New Roman"/>
        </w:rPr>
        <w:t>Humans are rational animals,’ and ‘Lydia is a human woman,’ therefore ‘Lydia is a rational animal.’</w:t>
      </w:r>
      <w:r w:rsidR="008901EC" w:rsidRPr="00A472FC">
        <w:rPr>
          <w:rFonts w:ascii="Times New Roman" w:hAnsi="Times New Roman" w:cs="Times New Roman"/>
        </w:rPr>
        <w:t xml:space="preserve"> </w:t>
      </w:r>
    </w:p>
    <w:p w14:paraId="53C3E60E" w14:textId="068A8458" w:rsidR="00665333" w:rsidRPr="00A472FC" w:rsidRDefault="0018316E" w:rsidP="0018316E">
      <w:pPr>
        <w:ind w:right="-52" w:firstLine="720"/>
        <w:rPr>
          <w:rFonts w:ascii="Times New Roman" w:hAnsi="Times New Roman" w:cs="Times New Roman"/>
        </w:rPr>
      </w:pPr>
      <w:r w:rsidRPr="00A472FC">
        <w:rPr>
          <w:rFonts w:ascii="Times New Roman" w:hAnsi="Times New Roman" w:cs="Times New Roman"/>
        </w:rPr>
        <w:t xml:space="preserve">Although such lines of reasoning are important and are </w:t>
      </w:r>
      <w:r w:rsidR="00665333" w:rsidRPr="00A472FC">
        <w:rPr>
          <w:rFonts w:ascii="Times New Roman" w:hAnsi="Times New Roman" w:cs="Times New Roman"/>
        </w:rPr>
        <w:t xml:space="preserve">presupposed in the above-mentioned ‘perfect’ </w:t>
      </w:r>
      <w:r w:rsidRPr="00A472FC">
        <w:rPr>
          <w:rFonts w:ascii="Times New Roman" w:hAnsi="Times New Roman" w:cs="Times New Roman"/>
        </w:rPr>
        <w:t>forms</w:t>
      </w:r>
      <w:r w:rsidR="00665333" w:rsidRPr="00A472FC">
        <w:rPr>
          <w:rFonts w:ascii="Times New Roman" w:hAnsi="Times New Roman" w:cs="Times New Roman"/>
        </w:rPr>
        <w:t xml:space="preserve"> of cognition</w:t>
      </w:r>
      <w:r w:rsidRPr="00A472FC">
        <w:rPr>
          <w:rFonts w:ascii="Times New Roman" w:hAnsi="Times New Roman" w:cs="Times New Roman"/>
        </w:rPr>
        <w:t>, ne</w:t>
      </w:r>
      <w:r w:rsidR="00665333" w:rsidRPr="00A472FC">
        <w:rPr>
          <w:rFonts w:ascii="Times New Roman" w:hAnsi="Times New Roman" w:cs="Times New Roman"/>
        </w:rPr>
        <w:t xml:space="preserve">vertheless, they are secondary in the order of nobility to those that are perfect. Despite the many differences which the </w:t>
      </w:r>
      <w:proofErr w:type="spellStart"/>
      <w:r w:rsidR="00665333" w:rsidRPr="00A472FC">
        <w:rPr>
          <w:rFonts w:ascii="Times New Roman" w:hAnsi="Times New Roman" w:cs="Times New Roman"/>
        </w:rPr>
        <w:t>Summist</w:t>
      </w:r>
      <w:proofErr w:type="spellEnd"/>
      <w:r w:rsidR="00665333" w:rsidRPr="00A472FC">
        <w:rPr>
          <w:rFonts w:ascii="Times New Roman" w:hAnsi="Times New Roman" w:cs="Times New Roman"/>
        </w:rPr>
        <w:t xml:space="preserve"> has highlighted, consequently, the five schemes discussed all fit within a larger picture of cognition in which each has some role to play. While the Summa does not go so far as in the context of discussing sense knowledge as to say that </w:t>
      </w:r>
      <w:r w:rsidR="00F50F91" w:rsidRPr="00A472FC">
        <w:rPr>
          <w:rFonts w:ascii="Times New Roman" w:hAnsi="Times New Roman" w:cs="Times New Roman"/>
        </w:rPr>
        <w:t>pseudo</w:t>
      </w:r>
      <w:r w:rsidR="00665333" w:rsidRPr="00A472FC">
        <w:rPr>
          <w:rFonts w:ascii="Times New Roman" w:hAnsi="Times New Roman" w:cs="Times New Roman"/>
        </w:rPr>
        <w:t xml:space="preserve">-Augustine, Damascus, and the Philosopher all basically agree, he does find a way to integrate their accounts in a harmonious way which allows his readers to conclude that they are fundamentally compatible thinkers. </w:t>
      </w:r>
    </w:p>
    <w:p w14:paraId="1D5D88CB" w14:textId="1F432B62"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While the Philosopher does not take first place because he, unlike Augustine, was not concerned with knowledge of higher things like angels and God, he remains nonetheless significant as the chief source for understanding the mechanics of knowledge of natural forms. In this case, however, it is worth stressing that we are not dealing here with any specific philosopher, but with a construct, who ascribes to the material-possible-agent intellect distinction that is not actually traceable to any </w:t>
      </w:r>
      <w:r w:rsidR="00ED09C5" w:rsidRPr="00A472FC">
        <w:rPr>
          <w:rFonts w:ascii="Times New Roman" w:hAnsi="Times New Roman" w:cs="Times New Roman"/>
        </w:rPr>
        <w:t xml:space="preserve">one </w:t>
      </w:r>
      <w:r w:rsidRPr="00A472FC">
        <w:rPr>
          <w:rFonts w:ascii="Times New Roman" w:hAnsi="Times New Roman" w:cs="Times New Roman"/>
        </w:rPr>
        <w:t>philosophical authority at the time</w:t>
      </w:r>
      <w:r w:rsidR="00C61F27" w:rsidRPr="00A472FC">
        <w:rPr>
          <w:rFonts w:ascii="Times New Roman" w:hAnsi="Times New Roman" w:cs="Times New Roman"/>
        </w:rPr>
        <w:t>,</w:t>
      </w:r>
      <w:r w:rsidRPr="00A472FC">
        <w:rPr>
          <w:rFonts w:ascii="Times New Roman" w:hAnsi="Times New Roman" w:cs="Times New Roman"/>
        </w:rPr>
        <w:t xml:space="preserve"> but whose thought is supplemented by Avicenna, brought in under the guise of John of Damascus. In light of all this, the chapter concludes by revisiting and rejecting the standard narrative that John of La Rochelle, the DAR, and early Franciscans more generally are pure and simple Augustinians in the field of psychology. While they </w:t>
      </w:r>
      <w:r w:rsidR="006B57A0" w:rsidRPr="00A472FC">
        <w:rPr>
          <w:rFonts w:ascii="Times New Roman" w:hAnsi="Times New Roman" w:cs="Times New Roman"/>
        </w:rPr>
        <w:t xml:space="preserve">do </w:t>
      </w:r>
      <w:r w:rsidRPr="00A472FC">
        <w:rPr>
          <w:rFonts w:ascii="Times New Roman" w:hAnsi="Times New Roman" w:cs="Times New Roman"/>
        </w:rPr>
        <w:t xml:space="preserve">subject other authors to </w:t>
      </w:r>
      <w:r w:rsidR="006B57A0" w:rsidRPr="00A472FC">
        <w:rPr>
          <w:rFonts w:ascii="Times New Roman" w:hAnsi="Times New Roman" w:cs="Times New Roman"/>
        </w:rPr>
        <w:t>pseudo-</w:t>
      </w:r>
      <w:r w:rsidRPr="00A472FC">
        <w:rPr>
          <w:rFonts w:ascii="Times New Roman" w:hAnsi="Times New Roman" w:cs="Times New Roman"/>
        </w:rPr>
        <w:t>Augustine, they completely revise what it means to be an Augustinian in the process.</w:t>
      </w:r>
    </w:p>
    <w:p w14:paraId="2855A831" w14:textId="77777777"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After examining John’s account of the cognitive powers that seek to know the truth, I turn in </w:t>
      </w:r>
      <w:r w:rsidRPr="00A472FC">
        <w:rPr>
          <w:rFonts w:ascii="Times New Roman" w:hAnsi="Times New Roman" w:cs="Times New Roman"/>
          <w:b/>
          <w:bCs/>
        </w:rPr>
        <w:t xml:space="preserve">chapter nine </w:t>
      </w:r>
      <w:r w:rsidRPr="00A472FC">
        <w:rPr>
          <w:rFonts w:ascii="Times New Roman" w:hAnsi="Times New Roman" w:cs="Times New Roman"/>
        </w:rPr>
        <w:t xml:space="preserve">to assess his discussion of the so-called motive powers that seek what is good. In the first instance, these powers include the passions or immediate reactions we have to our experiences in the body. From the Stoic tradition, John inherited a classification of the passions according to those concerned with present and future or anticipated goods, namely, joy and desire, or present and future evils, namely, pain and fear. He followed a more recent tradition of associating the passions concerning the good with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power and those with evil with the irascible, although he went further than any prior thinker in further dividing the </w:t>
      </w:r>
      <w:proofErr w:type="spellStart"/>
      <w:r w:rsidRPr="00A472FC">
        <w:rPr>
          <w:rFonts w:ascii="Times New Roman" w:hAnsi="Times New Roman" w:cs="Times New Roman"/>
        </w:rPr>
        <w:t>concupiscible</w:t>
      </w:r>
      <w:proofErr w:type="spellEnd"/>
      <w:r w:rsidRPr="00A472FC">
        <w:rPr>
          <w:rFonts w:ascii="Times New Roman" w:hAnsi="Times New Roman" w:cs="Times New Roman"/>
        </w:rPr>
        <w:t xml:space="preserve"> into eight additional passions and the irascible into fifteen. </w:t>
      </w:r>
    </w:p>
    <w:p w14:paraId="79222E79" w14:textId="6E4D0703"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In thus presenting the most developed typology of the passions to that point, John laid the groundwork for the account of Thomas Aquinas, who nonetheless departed from him under Aristotle’s influence in </w:t>
      </w:r>
      <w:r w:rsidR="00D50E13" w:rsidRPr="00A472FC">
        <w:rPr>
          <w:rFonts w:ascii="Times New Roman" w:hAnsi="Times New Roman" w:cs="Times New Roman"/>
        </w:rPr>
        <w:t xml:space="preserve">defining their </w:t>
      </w:r>
      <w:r w:rsidR="00BB7DCE" w:rsidRPr="00A472FC">
        <w:rPr>
          <w:rFonts w:ascii="Times New Roman" w:hAnsi="Times New Roman" w:cs="Times New Roman"/>
        </w:rPr>
        <w:t xml:space="preserve">connotations as </w:t>
      </w:r>
      <w:r w:rsidRPr="00A472FC">
        <w:rPr>
          <w:rFonts w:ascii="Times New Roman" w:hAnsi="Times New Roman" w:cs="Times New Roman"/>
        </w:rPr>
        <w:t xml:space="preserve">neutral rather than negative. Although John did not regard the passions as intrinsically sinful, since we cannot help but experience them as a result of the fall, he nonetheless describes them as venial sins because they are in principle capable of being checked by reason. This is a matter he addresses in his account of the motive powers that rule and are not ruled; rule and are ruled; or are ruled only. The powers that rule and are not rule include two natural or innate powers, one of which is orientated towards the highest good and one of which, </w:t>
      </w:r>
      <w:proofErr w:type="spellStart"/>
      <w:r w:rsidRPr="00A472FC">
        <w:rPr>
          <w:rFonts w:ascii="Times New Roman" w:hAnsi="Times New Roman" w:cs="Times New Roman"/>
          <w:i/>
        </w:rPr>
        <w:t>thelesis</w:t>
      </w:r>
      <w:proofErr w:type="spellEnd"/>
      <w:r w:rsidRPr="00A472FC">
        <w:rPr>
          <w:rFonts w:ascii="Times New Roman" w:hAnsi="Times New Roman" w:cs="Times New Roman"/>
          <w:iCs/>
        </w:rPr>
        <w:t xml:space="preserve">, </w:t>
      </w:r>
      <w:r w:rsidRPr="00A472FC">
        <w:rPr>
          <w:rFonts w:ascii="Times New Roman" w:hAnsi="Times New Roman" w:cs="Times New Roman"/>
        </w:rPr>
        <w:t xml:space="preserve">is oriented towards the natural human goods of living and understanding; </w:t>
      </w:r>
      <w:r w:rsidR="003F255B" w:rsidRPr="00A472FC">
        <w:rPr>
          <w:rFonts w:ascii="Times New Roman" w:hAnsi="Times New Roman" w:cs="Times New Roman"/>
        </w:rPr>
        <w:t>there are then</w:t>
      </w:r>
      <w:r w:rsidRPr="00A472FC">
        <w:rPr>
          <w:rFonts w:ascii="Times New Roman" w:hAnsi="Times New Roman" w:cs="Times New Roman"/>
        </w:rPr>
        <w:t xml:space="preserve"> two rational powers of determining </w:t>
      </w:r>
      <w:r w:rsidRPr="00A472FC">
        <w:rPr>
          <w:rFonts w:ascii="Times New Roman" w:hAnsi="Times New Roman" w:cs="Times New Roman"/>
        </w:rPr>
        <w:lastRenderedPageBreak/>
        <w:t>what is right to do and moving or desiring to do it (</w:t>
      </w:r>
      <w:proofErr w:type="spellStart"/>
      <w:r w:rsidRPr="00A472FC">
        <w:rPr>
          <w:rFonts w:ascii="Times New Roman" w:hAnsi="Times New Roman" w:cs="Times New Roman"/>
          <w:i/>
        </w:rPr>
        <w:t>b</w:t>
      </w:r>
      <w:r w:rsidR="00542BEB" w:rsidRPr="00A472FC">
        <w:rPr>
          <w:rFonts w:ascii="Times New Roman" w:hAnsi="Times New Roman" w:cs="Times New Roman"/>
          <w:i/>
        </w:rPr>
        <w:t>o</w:t>
      </w:r>
      <w:r w:rsidRPr="00A472FC">
        <w:rPr>
          <w:rFonts w:ascii="Times New Roman" w:hAnsi="Times New Roman" w:cs="Times New Roman"/>
          <w:i/>
        </w:rPr>
        <w:t>ulesis</w:t>
      </w:r>
      <w:proofErr w:type="spellEnd"/>
      <w:r w:rsidRPr="00A472FC">
        <w:rPr>
          <w:rFonts w:ascii="Times New Roman" w:hAnsi="Times New Roman" w:cs="Times New Roman"/>
        </w:rPr>
        <w:t xml:space="preserve">), which together are described in terms of free will which decides what is right and freely does it. </w:t>
      </w:r>
    </w:p>
    <w:p w14:paraId="2F5DCD85" w14:textId="20004D77"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The powers that rule and are ruled are the irascible and </w:t>
      </w:r>
      <w:proofErr w:type="spellStart"/>
      <w:r w:rsidRPr="00A472FC">
        <w:rPr>
          <w:rFonts w:ascii="Times New Roman" w:hAnsi="Times New Roman" w:cs="Times New Roman"/>
        </w:rPr>
        <w:t>concupisicible</w:t>
      </w:r>
      <w:proofErr w:type="spellEnd"/>
      <w:r w:rsidRPr="00A472FC">
        <w:rPr>
          <w:rFonts w:ascii="Times New Roman" w:hAnsi="Times New Roman" w:cs="Times New Roman"/>
        </w:rPr>
        <w:t xml:space="preserve"> which are or should be ruled by reason and in turn rule the movements of the body, while those which are ruled only concern the powers of movement in the members of the body, which are facilitated by muscles and nerves. Following a discussion of the motive powers which serve as a sort of preamble to free choice, the </w:t>
      </w:r>
      <w:r w:rsidRPr="00A472FC">
        <w:rPr>
          <w:rFonts w:ascii="Times New Roman" w:hAnsi="Times New Roman" w:cs="Times New Roman"/>
          <w:b/>
        </w:rPr>
        <w:t>tenth chapter</w:t>
      </w:r>
      <w:r w:rsidRPr="00A472FC">
        <w:rPr>
          <w:rFonts w:ascii="Times New Roman" w:hAnsi="Times New Roman" w:cs="Times New Roman"/>
        </w:rPr>
        <w:t xml:space="preserve"> of the book examines the early Franciscan doctrine of free choice itself, which pioneered not only a </w:t>
      </w:r>
      <w:r w:rsidR="00E86D5C" w:rsidRPr="00A472FC">
        <w:rPr>
          <w:rFonts w:ascii="Times New Roman" w:hAnsi="Times New Roman" w:cs="Times New Roman"/>
        </w:rPr>
        <w:t xml:space="preserve">form of </w:t>
      </w:r>
      <w:r w:rsidRPr="00A472FC">
        <w:rPr>
          <w:rFonts w:ascii="Times New Roman" w:hAnsi="Times New Roman" w:cs="Times New Roman"/>
        </w:rPr>
        <w:t xml:space="preserve">voluntarism, which lent primacy to the will over reason, but also the new theory that free will is flexible between good and evil rather than merely anchored in the good. </w:t>
      </w:r>
    </w:p>
    <w:p w14:paraId="3CA24102" w14:textId="77777777" w:rsidR="00665333" w:rsidRPr="00A472FC" w:rsidRDefault="00665333" w:rsidP="00881604">
      <w:pPr>
        <w:ind w:right="-52" w:firstLine="720"/>
        <w:rPr>
          <w:rFonts w:ascii="Times New Roman" w:eastAsia="Times New Roman" w:hAnsi="Times New Roman" w:cs="Times New Roman"/>
          <w:color w:val="000000"/>
        </w:rPr>
      </w:pPr>
      <w:r w:rsidRPr="00A472FC">
        <w:rPr>
          <w:rFonts w:ascii="Times New Roman" w:hAnsi="Times New Roman" w:cs="Times New Roman"/>
        </w:rPr>
        <w:t xml:space="preserve">In both these respects, it was Alexander of Hales more than John of La Rochelle who was the source of the Summa’s innovations. Although Alexander certainly paid lip service to the standard authorities on free choice at the time, namely, Anselm, Bernard of </w:t>
      </w:r>
      <w:proofErr w:type="spellStart"/>
      <w:r w:rsidRPr="00A472FC">
        <w:rPr>
          <w:rFonts w:ascii="Times New Roman" w:hAnsi="Times New Roman" w:cs="Times New Roman"/>
        </w:rPr>
        <w:t>Clairvaux</w:t>
      </w:r>
      <w:proofErr w:type="spellEnd"/>
      <w:r w:rsidRPr="00A472FC">
        <w:rPr>
          <w:rFonts w:ascii="Times New Roman" w:hAnsi="Times New Roman" w:cs="Times New Roman"/>
        </w:rPr>
        <w:t xml:space="preserve">, and above all, Augustine, he ultimately rejected their views in the act of re-interpreting them. As is well known, Augustine for one held that free choice is not merely a matter of the will but of both reason and will. In his account, sin occurs when </w:t>
      </w:r>
      <w:r w:rsidRPr="00A472FC">
        <w:rPr>
          <w:rFonts w:ascii="Times New Roman" w:eastAsia="Times New Roman" w:hAnsi="Times New Roman" w:cs="Times New Roman"/>
          <w:color w:val="000000"/>
        </w:rPr>
        <w:t xml:space="preserve">reason starts to think of its supreme good as consisting in something other than God—as this or that ‘lesser good’—and therefore </w:t>
      </w:r>
      <w:proofErr w:type="spellStart"/>
      <w:r w:rsidRPr="00A472FC">
        <w:rPr>
          <w:rFonts w:ascii="Times New Roman" w:eastAsia="Times New Roman" w:hAnsi="Times New Roman" w:cs="Times New Roman"/>
          <w:color w:val="000000"/>
        </w:rPr>
        <w:t>organizes</w:t>
      </w:r>
      <w:proofErr w:type="spellEnd"/>
      <w:r w:rsidRPr="00A472FC">
        <w:rPr>
          <w:rFonts w:ascii="Times New Roman" w:eastAsia="Times New Roman" w:hAnsi="Times New Roman" w:cs="Times New Roman"/>
          <w:color w:val="000000"/>
        </w:rPr>
        <w:t xml:space="preserve"> life around obtaining that good, by virtue of a will to do so. </w:t>
      </w:r>
    </w:p>
    <w:p w14:paraId="37A4AD76" w14:textId="57F6AA82" w:rsidR="00665333" w:rsidRPr="00A472FC" w:rsidRDefault="00665333" w:rsidP="00881604">
      <w:pPr>
        <w:ind w:right="-52" w:firstLine="720"/>
        <w:rPr>
          <w:rFonts w:ascii="Times New Roman" w:eastAsia="Times New Roman" w:hAnsi="Times New Roman" w:cs="Times New Roman"/>
          <w:color w:val="000000"/>
        </w:rPr>
      </w:pPr>
      <w:r w:rsidRPr="00A472FC">
        <w:rPr>
          <w:rFonts w:ascii="Times New Roman" w:eastAsia="Times New Roman" w:hAnsi="Times New Roman" w:cs="Times New Roman"/>
          <w:color w:val="000000"/>
        </w:rPr>
        <w:t xml:space="preserve">Since things other than God are finite and fleeting, pursuing them above all else involves putting one’s happiness at the mercy of circumstances that are out of </w:t>
      </w:r>
      <w:r w:rsidR="005D5625" w:rsidRPr="00A472FC">
        <w:rPr>
          <w:rFonts w:ascii="Times New Roman" w:eastAsia="Times New Roman" w:hAnsi="Times New Roman" w:cs="Times New Roman"/>
          <w:color w:val="000000"/>
        </w:rPr>
        <w:t>one’s</w:t>
      </w:r>
      <w:r w:rsidRPr="00A472FC">
        <w:rPr>
          <w:rFonts w:ascii="Times New Roman" w:eastAsia="Times New Roman" w:hAnsi="Times New Roman" w:cs="Times New Roman"/>
          <w:color w:val="000000"/>
        </w:rPr>
        <w:t xml:space="preserve"> control, which is the definition of slavery and indeed misery. That is why Augustine, in common with Anselm and Bernard, held that free choice cannot strictly speaking prefer evil. In a break from this tradition, and indeed from the entire consensus opinion in the Western </w:t>
      </w:r>
      <w:r w:rsidR="00A6023A" w:rsidRPr="00A472FC">
        <w:rPr>
          <w:rFonts w:ascii="Times New Roman" w:eastAsia="Times New Roman" w:hAnsi="Times New Roman" w:cs="Times New Roman"/>
          <w:color w:val="000000"/>
        </w:rPr>
        <w:t>Middle Ages</w:t>
      </w:r>
      <w:r w:rsidRPr="00A472FC">
        <w:rPr>
          <w:rFonts w:ascii="Times New Roman" w:eastAsia="Times New Roman" w:hAnsi="Times New Roman" w:cs="Times New Roman"/>
          <w:color w:val="000000"/>
        </w:rPr>
        <w:t xml:space="preserve">, represented not least in Lombard, William of </w:t>
      </w:r>
      <w:proofErr w:type="spellStart"/>
      <w:r w:rsidRPr="00A472FC">
        <w:rPr>
          <w:rFonts w:ascii="Times New Roman" w:eastAsia="Times New Roman" w:hAnsi="Times New Roman" w:cs="Times New Roman"/>
          <w:color w:val="000000"/>
        </w:rPr>
        <w:t>Auxerre</w:t>
      </w:r>
      <w:proofErr w:type="spellEnd"/>
      <w:r w:rsidRPr="00A472FC">
        <w:rPr>
          <w:rFonts w:ascii="Times New Roman" w:eastAsia="Times New Roman" w:hAnsi="Times New Roman" w:cs="Times New Roman"/>
          <w:color w:val="000000"/>
        </w:rPr>
        <w:t xml:space="preserve">, Philip the Chancellor, and the Dominicans Hugh of St Cher and Roland of Cremona, Alexander of Hales argued that free will is able to choose between equally viable good and evil options. </w:t>
      </w:r>
    </w:p>
    <w:p w14:paraId="439F6980" w14:textId="4DDD26CC" w:rsidR="00665333" w:rsidRPr="00A472FC" w:rsidRDefault="00665333" w:rsidP="00881604">
      <w:pPr>
        <w:ind w:right="-52" w:firstLine="720"/>
        <w:rPr>
          <w:rFonts w:ascii="Times New Roman" w:hAnsi="Times New Roman" w:cs="Times New Roman"/>
        </w:rPr>
      </w:pPr>
      <w:r w:rsidRPr="00A472FC">
        <w:rPr>
          <w:rFonts w:ascii="Times New Roman" w:eastAsia="Times New Roman" w:hAnsi="Times New Roman" w:cs="Times New Roman"/>
          <w:color w:val="000000"/>
        </w:rPr>
        <w:t xml:space="preserve">In this regard, his argument is based entirely on John of Damascus, who writes in </w:t>
      </w:r>
      <w:r w:rsidRPr="00A472FC">
        <w:rPr>
          <w:rFonts w:ascii="Times New Roman" w:eastAsia="Times New Roman" w:hAnsi="Times New Roman" w:cs="Times New Roman"/>
          <w:i/>
          <w:color w:val="000000"/>
        </w:rPr>
        <w:t xml:space="preserve">De fide </w:t>
      </w:r>
      <w:proofErr w:type="spellStart"/>
      <w:r w:rsidRPr="00A472FC">
        <w:rPr>
          <w:rFonts w:ascii="Times New Roman" w:eastAsia="Times New Roman" w:hAnsi="Times New Roman" w:cs="Times New Roman"/>
          <w:i/>
          <w:color w:val="000000"/>
        </w:rPr>
        <w:t>orthodoxa</w:t>
      </w:r>
      <w:proofErr w:type="spellEnd"/>
      <w:r w:rsidRPr="00A472FC">
        <w:rPr>
          <w:rFonts w:ascii="Times New Roman" w:eastAsia="Times New Roman" w:hAnsi="Times New Roman" w:cs="Times New Roman"/>
          <w:i/>
          <w:color w:val="000000"/>
        </w:rPr>
        <w:t xml:space="preserve"> </w:t>
      </w:r>
      <w:r w:rsidRPr="00A472FC">
        <w:rPr>
          <w:rFonts w:ascii="Times New Roman" w:eastAsia="Times New Roman" w:hAnsi="Times New Roman" w:cs="Times New Roman"/>
          <w:color w:val="000000"/>
        </w:rPr>
        <w:t>II.27 that every creature that comes into being moves from non-being into being and is therefore changeable. For the Damascene himself, this was the basis for the claim that free will can ch</w:t>
      </w:r>
      <w:r w:rsidR="008377BD" w:rsidRPr="00A472FC">
        <w:rPr>
          <w:rFonts w:ascii="Times New Roman" w:eastAsia="Times New Roman" w:hAnsi="Times New Roman" w:cs="Times New Roman"/>
          <w:color w:val="000000"/>
        </w:rPr>
        <w:t>o</w:t>
      </w:r>
      <w:r w:rsidRPr="00A472FC">
        <w:rPr>
          <w:rFonts w:ascii="Times New Roman" w:eastAsia="Times New Roman" w:hAnsi="Times New Roman" w:cs="Times New Roman"/>
          <w:color w:val="000000"/>
        </w:rPr>
        <w:t xml:space="preserve">ose between a variety of equally legitimate or good options: it is not fixed or determined to any one option but can alternate between them. </w:t>
      </w:r>
      <w:r w:rsidRPr="00A472FC">
        <w:rPr>
          <w:rFonts w:ascii="Times New Roman" w:hAnsi="Times New Roman" w:cs="Times New Roman"/>
        </w:rPr>
        <w:t xml:space="preserve">Alexander stretches this line of thinking to allow for the possibility of willing both good and evil. In his view, this is the only way to place merit and demerit squarely in the realm of responsibility of the individual person, namely, to make </w:t>
      </w:r>
      <w:r w:rsidR="00AB12AB" w:rsidRPr="00A472FC">
        <w:rPr>
          <w:rFonts w:ascii="Times New Roman" w:hAnsi="Times New Roman" w:cs="Times New Roman"/>
        </w:rPr>
        <w:t>evil</w:t>
      </w:r>
      <w:r w:rsidRPr="00A472FC">
        <w:rPr>
          <w:rFonts w:ascii="Times New Roman" w:hAnsi="Times New Roman" w:cs="Times New Roman"/>
        </w:rPr>
        <w:t xml:space="preserve"> a viable option. </w:t>
      </w:r>
    </w:p>
    <w:p w14:paraId="559F20FA" w14:textId="47AEB6DB"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 xml:space="preserve">The effort to do so meant that Alexander had to attribute some kind of positive substantiality to evil, where previous generations following Augustine had </w:t>
      </w:r>
      <w:r w:rsidR="00752AF4" w:rsidRPr="00A472FC">
        <w:rPr>
          <w:rFonts w:ascii="Times New Roman" w:hAnsi="Times New Roman" w:cs="Times New Roman"/>
        </w:rPr>
        <w:t xml:space="preserve">more or less </w:t>
      </w:r>
      <w:r w:rsidRPr="00A472FC">
        <w:rPr>
          <w:rFonts w:ascii="Times New Roman" w:hAnsi="Times New Roman" w:cs="Times New Roman"/>
        </w:rPr>
        <w:t xml:space="preserve">unanimously described evil as a mere absence or privation of the good.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repeats Alexander’s conclusions as well as his attempt to justify his position on free choice in relation to Anselm, Augustine and Bernard. I will re-iterate here only the example from Augustine, simply to show how far he departs from Augustine’s own intended meaning. </w:t>
      </w:r>
    </w:p>
    <w:p w14:paraId="54C0E99D" w14:textId="77777777" w:rsidR="00665333" w:rsidRPr="00A472FC" w:rsidRDefault="00665333" w:rsidP="00881604">
      <w:pPr>
        <w:ind w:right="-52" w:firstLine="720"/>
        <w:rPr>
          <w:rFonts w:ascii="Times New Roman" w:eastAsia="Times New Roman" w:hAnsi="Times New Roman" w:cs="Times New Roman"/>
          <w:color w:val="000000"/>
        </w:rPr>
      </w:pPr>
      <w:r w:rsidRPr="00A472FC">
        <w:rPr>
          <w:rFonts w:ascii="Times New Roman" w:hAnsi="Times New Roman" w:cs="Times New Roman"/>
        </w:rPr>
        <w:t>The starting point for his discussion is a definition of free choice that had been attributed to Augustine by Peter Lombard and others but was actually spurious and only resembled Augustine’s personal definition vaguely:</w:t>
      </w:r>
      <w:r w:rsidRPr="00A472FC">
        <w:rPr>
          <w:rFonts w:ascii="Times New Roman" w:hAnsi="Times New Roman" w:cs="Times New Roman"/>
          <w:color w:val="020202"/>
          <w:lang w:val="en-US"/>
        </w:rPr>
        <w:t xml:space="preserve"> </w:t>
      </w:r>
      <w:r w:rsidRPr="00A472FC">
        <w:rPr>
          <w:rFonts w:ascii="Times New Roman" w:hAnsi="Times New Roman" w:cs="Times New Roman"/>
          <w:color w:val="030303"/>
          <w:lang w:val="en-US"/>
        </w:rPr>
        <w:t>‘free will is the operation of will and reason by which the good is chosen through the assistance of grace and evil resisted also by grace.’</w:t>
      </w:r>
      <w:r w:rsidRPr="00A472FC">
        <w:rPr>
          <w:rFonts w:ascii="Times New Roman" w:hAnsi="Times New Roman" w:cs="Times New Roman"/>
          <w:color w:val="020202"/>
          <w:lang w:val="en-US"/>
        </w:rPr>
        <w:t xml:space="preserve"> In dealing with this quotation, the </w:t>
      </w:r>
      <w:proofErr w:type="spellStart"/>
      <w:r w:rsidRPr="00A472FC">
        <w:rPr>
          <w:rFonts w:ascii="Times New Roman" w:hAnsi="Times New Roman" w:cs="Times New Roman"/>
          <w:color w:val="020202"/>
          <w:lang w:val="en-US"/>
        </w:rPr>
        <w:t>Summist</w:t>
      </w:r>
      <w:proofErr w:type="spellEnd"/>
      <w:r w:rsidRPr="00A472FC">
        <w:rPr>
          <w:rFonts w:ascii="Times New Roman" w:hAnsi="Times New Roman" w:cs="Times New Roman"/>
          <w:color w:val="020202"/>
          <w:lang w:val="en-US"/>
        </w:rPr>
        <w:t xml:space="preserve"> follows Alexander in distinguishing between a three-fold liberty of nature, grace, and glory. </w:t>
      </w:r>
    </w:p>
    <w:p w14:paraId="07CF213A" w14:textId="29E1544A"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color w:val="020202"/>
          <w:lang w:val="en-US"/>
        </w:rPr>
        <w:t xml:space="preserve">The liberty of nature is from force or compulsion, the liberty of grace from sin, and the liberty of glory from </w:t>
      </w:r>
      <w:r w:rsidR="00956D93" w:rsidRPr="00A472FC">
        <w:rPr>
          <w:rFonts w:ascii="Times New Roman" w:hAnsi="Times New Roman" w:cs="Times New Roman"/>
          <w:color w:val="020202"/>
          <w:lang w:val="en-US"/>
        </w:rPr>
        <w:t xml:space="preserve">the </w:t>
      </w:r>
      <w:r w:rsidRPr="00A472FC">
        <w:rPr>
          <w:rFonts w:ascii="Times New Roman" w:hAnsi="Times New Roman" w:cs="Times New Roman"/>
          <w:color w:val="020202"/>
          <w:lang w:val="en-US"/>
        </w:rPr>
        <w:t>misery</w:t>
      </w:r>
      <w:r w:rsidR="00956D93" w:rsidRPr="00A472FC">
        <w:rPr>
          <w:rFonts w:ascii="Times New Roman" w:hAnsi="Times New Roman" w:cs="Times New Roman"/>
          <w:color w:val="020202"/>
          <w:lang w:val="en-US"/>
        </w:rPr>
        <w:t xml:space="preserve"> of </w:t>
      </w:r>
      <w:r w:rsidR="00AC79A4" w:rsidRPr="00A472FC">
        <w:rPr>
          <w:rFonts w:ascii="Times New Roman" w:hAnsi="Times New Roman" w:cs="Times New Roman"/>
          <w:color w:val="020202"/>
          <w:lang w:val="en-US"/>
        </w:rPr>
        <w:t xml:space="preserve">eternal </w:t>
      </w:r>
      <w:r w:rsidR="00956D93" w:rsidRPr="00A472FC">
        <w:rPr>
          <w:rFonts w:ascii="Times New Roman" w:hAnsi="Times New Roman" w:cs="Times New Roman"/>
          <w:color w:val="020202"/>
          <w:lang w:val="en-US"/>
        </w:rPr>
        <w:t>punishment for sin</w:t>
      </w:r>
      <w:r w:rsidRPr="00A472FC">
        <w:rPr>
          <w:rFonts w:ascii="Times New Roman" w:hAnsi="Times New Roman" w:cs="Times New Roman"/>
          <w:color w:val="020202"/>
          <w:lang w:val="en-US"/>
        </w:rPr>
        <w:t xml:space="preserve">. According to the </w:t>
      </w:r>
      <w:proofErr w:type="spellStart"/>
      <w:r w:rsidRPr="00A472FC">
        <w:rPr>
          <w:rFonts w:ascii="Times New Roman" w:hAnsi="Times New Roman" w:cs="Times New Roman"/>
          <w:color w:val="020202"/>
          <w:lang w:val="en-US"/>
        </w:rPr>
        <w:t>Summist</w:t>
      </w:r>
      <w:proofErr w:type="spellEnd"/>
      <w:r w:rsidRPr="00A472FC">
        <w:rPr>
          <w:rFonts w:ascii="Times New Roman" w:hAnsi="Times New Roman" w:cs="Times New Roman"/>
          <w:color w:val="020202"/>
          <w:lang w:val="en-US"/>
        </w:rPr>
        <w:t xml:space="preserve">, free choice is incompatible with evil in the contexts of grace and glory but not in the state of nature, which is always flexible between good and evil. This was clearly </w:t>
      </w:r>
      <w:r w:rsidR="00507490" w:rsidRPr="00A472FC">
        <w:rPr>
          <w:rFonts w:ascii="Times New Roman" w:hAnsi="Times New Roman" w:cs="Times New Roman"/>
          <w:color w:val="020202"/>
          <w:lang w:val="en-US"/>
        </w:rPr>
        <w:t>inconsistent</w:t>
      </w:r>
      <w:r w:rsidRPr="00A472FC">
        <w:rPr>
          <w:rFonts w:ascii="Times New Roman" w:hAnsi="Times New Roman" w:cs="Times New Roman"/>
          <w:color w:val="020202"/>
          <w:lang w:val="en-US"/>
        </w:rPr>
        <w:t xml:space="preserve"> with </w:t>
      </w:r>
      <w:r w:rsidRPr="00A472FC">
        <w:rPr>
          <w:rFonts w:ascii="Times New Roman" w:hAnsi="Times New Roman" w:cs="Times New Roman"/>
          <w:color w:val="020202"/>
          <w:lang w:val="en-US"/>
        </w:rPr>
        <w:lastRenderedPageBreak/>
        <w:t xml:space="preserve">Augustine’s own argument that even in the state of nature, as the </w:t>
      </w:r>
      <w:proofErr w:type="spellStart"/>
      <w:r w:rsidRPr="00A472FC">
        <w:rPr>
          <w:rFonts w:ascii="Times New Roman" w:hAnsi="Times New Roman" w:cs="Times New Roman"/>
          <w:color w:val="020202"/>
          <w:lang w:val="en-US"/>
        </w:rPr>
        <w:t>Summist</w:t>
      </w:r>
      <w:proofErr w:type="spellEnd"/>
      <w:r w:rsidRPr="00A472FC">
        <w:rPr>
          <w:rFonts w:ascii="Times New Roman" w:hAnsi="Times New Roman" w:cs="Times New Roman"/>
          <w:color w:val="020202"/>
          <w:lang w:val="en-US"/>
        </w:rPr>
        <w:t xml:space="preserve"> calls it, free choice properly prefers the good. However, it was the way the </w:t>
      </w:r>
      <w:proofErr w:type="spellStart"/>
      <w:r w:rsidRPr="00A472FC">
        <w:rPr>
          <w:rFonts w:ascii="Times New Roman" w:hAnsi="Times New Roman" w:cs="Times New Roman"/>
          <w:color w:val="020202"/>
          <w:lang w:val="en-US"/>
        </w:rPr>
        <w:t>Summist</w:t>
      </w:r>
      <w:proofErr w:type="spellEnd"/>
      <w:r w:rsidRPr="00A472FC">
        <w:rPr>
          <w:rFonts w:ascii="Times New Roman" w:hAnsi="Times New Roman" w:cs="Times New Roman"/>
          <w:color w:val="020202"/>
          <w:lang w:val="en-US"/>
        </w:rPr>
        <w:t xml:space="preserve">, in typical scholastic fashion, re-interpreted his source in order to justify his own views. </w:t>
      </w:r>
    </w:p>
    <w:p w14:paraId="303A64D8" w14:textId="0F74B10B" w:rsidR="00665333" w:rsidRPr="00A472FC" w:rsidRDefault="00665333" w:rsidP="00881604">
      <w:pPr>
        <w:ind w:right="-52" w:firstLine="720"/>
        <w:rPr>
          <w:rFonts w:ascii="Times New Roman" w:hAnsi="Times New Roman" w:cs="Times New Roman"/>
          <w:color w:val="020202"/>
          <w:lang w:val="en-US"/>
        </w:rPr>
      </w:pPr>
      <w:r w:rsidRPr="00A472FC">
        <w:rPr>
          <w:rFonts w:ascii="Times New Roman" w:hAnsi="Times New Roman" w:cs="Times New Roman"/>
          <w:color w:val="020202"/>
          <w:lang w:val="en-US"/>
        </w:rPr>
        <w:t xml:space="preserve">A similar </w:t>
      </w:r>
      <w:proofErr w:type="spellStart"/>
      <w:r w:rsidRPr="00A472FC">
        <w:rPr>
          <w:rFonts w:ascii="Times New Roman" w:hAnsi="Times New Roman" w:cs="Times New Roman"/>
          <w:color w:val="020202"/>
          <w:lang w:val="en-US"/>
        </w:rPr>
        <w:t>manoeuvre</w:t>
      </w:r>
      <w:proofErr w:type="spellEnd"/>
      <w:r w:rsidRPr="00A472FC">
        <w:rPr>
          <w:rFonts w:ascii="Times New Roman" w:hAnsi="Times New Roman" w:cs="Times New Roman"/>
          <w:color w:val="020202"/>
          <w:lang w:val="en-US"/>
        </w:rPr>
        <w:t xml:space="preserve"> characterizes the </w:t>
      </w:r>
      <w:proofErr w:type="spellStart"/>
      <w:r w:rsidRPr="00A472FC">
        <w:rPr>
          <w:rFonts w:ascii="Times New Roman" w:hAnsi="Times New Roman" w:cs="Times New Roman"/>
          <w:color w:val="020202"/>
          <w:lang w:val="en-US"/>
        </w:rPr>
        <w:t>Summist’s</w:t>
      </w:r>
      <w:proofErr w:type="spellEnd"/>
      <w:r w:rsidRPr="00A472FC">
        <w:rPr>
          <w:rFonts w:ascii="Times New Roman" w:hAnsi="Times New Roman" w:cs="Times New Roman"/>
          <w:color w:val="020202"/>
          <w:lang w:val="en-US"/>
        </w:rPr>
        <w:t xml:space="preserve"> attempt to locate free choice primarily in the will rather than in the co-operation of reason and will, as Augustine himself had done. In this regard, he builds first and foremost on Alexander of Hales and secondarily on Philip the Chancellor, who was the first major Western thinker to promote this perspective. Although Alexander had allowed that reason and will do both play a role in free choice, he ultimately concluded that free choice pertains more to the will than to reason because this is the faculty that </w:t>
      </w:r>
      <w:r w:rsidR="00752AF4" w:rsidRPr="00A472FC">
        <w:rPr>
          <w:rFonts w:ascii="Times New Roman" w:hAnsi="Times New Roman" w:cs="Times New Roman"/>
          <w:color w:val="020202"/>
          <w:lang w:val="en-US"/>
        </w:rPr>
        <w:t>fulfills</w:t>
      </w:r>
      <w:r w:rsidRPr="00A472FC">
        <w:rPr>
          <w:rFonts w:ascii="Times New Roman" w:hAnsi="Times New Roman" w:cs="Times New Roman"/>
          <w:color w:val="020202"/>
          <w:lang w:val="en-US"/>
        </w:rPr>
        <w:t xml:space="preserve"> the </w:t>
      </w:r>
      <w:r w:rsidR="00064B89" w:rsidRPr="00A472FC">
        <w:rPr>
          <w:rFonts w:ascii="Times New Roman" w:hAnsi="Times New Roman" w:cs="Times New Roman"/>
          <w:color w:val="020202"/>
          <w:lang w:val="en-US"/>
        </w:rPr>
        <w:t>preferences</w:t>
      </w:r>
      <w:r w:rsidRPr="00A472FC">
        <w:rPr>
          <w:rFonts w:ascii="Times New Roman" w:hAnsi="Times New Roman" w:cs="Times New Roman"/>
          <w:color w:val="020202"/>
          <w:lang w:val="en-US"/>
        </w:rPr>
        <w:t xml:space="preserve"> of free choice. As we know, this position would be taken to further extremes in the later Franciscan tradition, where figures like Duns Scotus would develop a more robust version of voluntarism.</w:t>
      </w:r>
    </w:p>
    <w:p w14:paraId="39E280FD" w14:textId="4FF04240" w:rsidR="003A2AB2" w:rsidRPr="00A472FC" w:rsidRDefault="00665333" w:rsidP="00C746BC">
      <w:pPr>
        <w:ind w:right="-52" w:firstLine="720"/>
        <w:rPr>
          <w:rFonts w:ascii="Times New Roman" w:hAnsi="Times New Roman" w:cs="Times New Roman"/>
          <w:color w:val="020202"/>
          <w:lang w:val="en-US"/>
        </w:rPr>
      </w:pPr>
      <w:r w:rsidRPr="00A472FC">
        <w:rPr>
          <w:rFonts w:ascii="Times New Roman" w:hAnsi="Times New Roman" w:cs="Times New Roman"/>
          <w:color w:val="020202"/>
          <w:lang w:val="en-US"/>
        </w:rPr>
        <w:t xml:space="preserve">The fact that early on, a more tempered version of this position was justified in terms of a heavily qualified reading of Augustine means that modern scholars have tended to accept the voluntarist reading of Augustine that early Franciscans offered. This however, does an injustice to Augustine, who we have seen had a more balanced perspective </w:t>
      </w:r>
      <w:r w:rsidR="00227547" w:rsidRPr="00A472FC">
        <w:rPr>
          <w:rFonts w:ascii="Times New Roman" w:hAnsi="Times New Roman" w:cs="Times New Roman"/>
          <w:color w:val="020202"/>
          <w:lang w:val="en-US"/>
        </w:rPr>
        <w:t>on</w:t>
      </w:r>
      <w:r w:rsidRPr="00A472FC">
        <w:rPr>
          <w:rFonts w:ascii="Times New Roman" w:hAnsi="Times New Roman" w:cs="Times New Roman"/>
          <w:color w:val="020202"/>
          <w:lang w:val="en-US"/>
        </w:rPr>
        <w:t xml:space="preserve"> the role that both reason and will play in free choice and indeed </w:t>
      </w:r>
      <w:r w:rsidR="00C27BBB" w:rsidRPr="00A472FC">
        <w:rPr>
          <w:rFonts w:ascii="Times New Roman" w:hAnsi="Times New Roman" w:cs="Times New Roman"/>
          <w:color w:val="020202"/>
          <w:lang w:val="en-US"/>
        </w:rPr>
        <w:t xml:space="preserve">on </w:t>
      </w:r>
      <w:r w:rsidRPr="00A472FC">
        <w:rPr>
          <w:rFonts w:ascii="Times New Roman" w:hAnsi="Times New Roman" w:cs="Times New Roman"/>
          <w:color w:val="020202"/>
          <w:lang w:val="en-US"/>
        </w:rPr>
        <w:t xml:space="preserve">sin which </w:t>
      </w:r>
      <w:r w:rsidR="00FC5C30" w:rsidRPr="00A472FC">
        <w:rPr>
          <w:rFonts w:ascii="Times New Roman" w:hAnsi="Times New Roman" w:cs="Times New Roman"/>
          <w:color w:val="020202"/>
          <w:lang w:val="en-US"/>
        </w:rPr>
        <w:t>in</w:t>
      </w:r>
      <w:r w:rsidRPr="00A472FC">
        <w:rPr>
          <w:rFonts w:ascii="Times New Roman" w:hAnsi="Times New Roman" w:cs="Times New Roman"/>
          <w:color w:val="020202"/>
          <w:lang w:val="en-US"/>
        </w:rPr>
        <w:t xml:space="preserve"> his view </w:t>
      </w:r>
      <w:r w:rsidR="00FC5C30" w:rsidRPr="00A472FC">
        <w:rPr>
          <w:rFonts w:ascii="Times New Roman" w:hAnsi="Times New Roman" w:cs="Times New Roman"/>
          <w:color w:val="020202"/>
          <w:lang w:val="en-US"/>
        </w:rPr>
        <w:t xml:space="preserve">is incompatible with </w:t>
      </w:r>
      <w:r w:rsidRPr="00A472FC">
        <w:rPr>
          <w:rFonts w:ascii="Times New Roman" w:hAnsi="Times New Roman" w:cs="Times New Roman"/>
          <w:color w:val="020202"/>
          <w:lang w:val="en-US"/>
        </w:rPr>
        <w:t xml:space="preserve">free choice. Thus, the Franciscans departed from Augustine in the very act of offering a reading of his thought. </w:t>
      </w:r>
      <w:r w:rsidR="00400E05" w:rsidRPr="00A472FC">
        <w:rPr>
          <w:rFonts w:ascii="Times New Roman" w:hAnsi="Times New Roman" w:cs="Times New Roman"/>
          <w:color w:val="020202"/>
          <w:lang w:val="en-US"/>
        </w:rPr>
        <w:t>Here as in the other examples</w:t>
      </w:r>
      <w:r w:rsidR="003A2AB2" w:rsidRPr="00A472FC">
        <w:rPr>
          <w:rFonts w:ascii="Times New Roman" w:hAnsi="Times New Roman" w:cs="Times New Roman"/>
          <w:color w:val="020202"/>
          <w:lang w:val="en-US"/>
        </w:rPr>
        <w:t xml:space="preserve">, moreover, </w:t>
      </w:r>
      <w:r w:rsidR="0020448F" w:rsidRPr="00A472FC">
        <w:rPr>
          <w:rFonts w:ascii="Times New Roman" w:hAnsi="Times New Roman" w:cs="Times New Roman"/>
          <w:color w:val="020202"/>
          <w:lang w:val="en-US"/>
        </w:rPr>
        <w:t>they do so</w:t>
      </w:r>
      <w:r w:rsidR="003A2AB2" w:rsidRPr="00A472FC">
        <w:rPr>
          <w:rFonts w:ascii="Times New Roman" w:hAnsi="Times New Roman" w:cs="Times New Roman"/>
          <w:color w:val="020202"/>
          <w:lang w:val="en-US"/>
        </w:rPr>
        <w:t xml:space="preserve"> </w:t>
      </w:r>
      <w:r w:rsidR="0020448F" w:rsidRPr="00A472FC">
        <w:rPr>
          <w:rFonts w:ascii="Times New Roman" w:hAnsi="Times New Roman" w:cs="Times New Roman"/>
          <w:color w:val="020202"/>
          <w:lang w:val="en-US"/>
        </w:rPr>
        <w:t>for</w:t>
      </w:r>
      <w:r w:rsidR="003A2AB2" w:rsidRPr="00A472FC">
        <w:rPr>
          <w:rFonts w:ascii="Times New Roman" w:hAnsi="Times New Roman" w:cs="Times New Roman"/>
          <w:color w:val="020202"/>
          <w:lang w:val="en-US"/>
        </w:rPr>
        <w:t xml:space="preserve"> seemingly ‘Franciscan’</w:t>
      </w:r>
      <w:r w:rsidR="00505BBA" w:rsidRPr="00A472FC">
        <w:rPr>
          <w:rFonts w:ascii="Times New Roman" w:hAnsi="Times New Roman" w:cs="Times New Roman"/>
          <w:color w:val="020202"/>
          <w:lang w:val="en-US"/>
        </w:rPr>
        <w:t xml:space="preserve"> reasons</w:t>
      </w:r>
      <w:r w:rsidR="003A2AB2" w:rsidRPr="00A472FC">
        <w:rPr>
          <w:rFonts w:ascii="Times New Roman" w:hAnsi="Times New Roman" w:cs="Times New Roman"/>
          <w:color w:val="020202"/>
          <w:lang w:val="en-US"/>
        </w:rPr>
        <w:t xml:space="preserve">. In this case, the goal was to assert the view of Francis that love for God takes priority over knowledge and is the key to attaining knowledge of God or anything else. </w:t>
      </w:r>
    </w:p>
    <w:p w14:paraId="453DB2FC" w14:textId="2759FB4E"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color w:val="020202"/>
          <w:lang w:val="en-US"/>
        </w:rPr>
        <w:t xml:space="preserve">The last </w:t>
      </w:r>
      <w:r w:rsidR="00A501A7" w:rsidRPr="00A472FC">
        <w:rPr>
          <w:rFonts w:ascii="Times New Roman" w:hAnsi="Times New Roman" w:cs="Times New Roman"/>
          <w:color w:val="020202"/>
          <w:lang w:val="en-US"/>
        </w:rPr>
        <w:t xml:space="preserve">topic of the book is angels, </w:t>
      </w:r>
      <w:r w:rsidRPr="00A472FC">
        <w:rPr>
          <w:rFonts w:ascii="Times New Roman" w:hAnsi="Times New Roman" w:cs="Times New Roman"/>
          <w:color w:val="020202"/>
          <w:lang w:val="en-US"/>
        </w:rPr>
        <w:t xml:space="preserve">covered in </w:t>
      </w:r>
      <w:r w:rsidRPr="00A472FC">
        <w:rPr>
          <w:rFonts w:ascii="Times New Roman" w:hAnsi="Times New Roman" w:cs="Times New Roman"/>
          <w:b/>
          <w:color w:val="020202"/>
          <w:lang w:val="en-US"/>
        </w:rPr>
        <w:t>chapter eleven</w:t>
      </w:r>
      <w:r w:rsidRPr="00A472FC">
        <w:rPr>
          <w:rFonts w:ascii="Times New Roman" w:hAnsi="Times New Roman" w:cs="Times New Roman"/>
          <w:color w:val="020202"/>
          <w:lang w:val="en-US"/>
        </w:rPr>
        <w:t xml:space="preserve">, which early Franciscans regarded as useful for understanding various aspects of human nature in a ‘pure environment’, that is, without reference to the limitations of the body. </w:t>
      </w:r>
      <w:r w:rsidR="0065696A" w:rsidRPr="00A472FC">
        <w:rPr>
          <w:rFonts w:ascii="Times New Roman" w:hAnsi="Times New Roman" w:cs="Times New Roman"/>
          <w:color w:val="020202"/>
          <w:lang w:val="en-US"/>
        </w:rPr>
        <w:t>In fact</w:t>
      </w:r>
      <w:r w:rsidRPr="00A472FC">
        <w:rPr>
          <w:rFonts w:ascii="Times New Roman" w:hAnsi="Times New Roman" w:cs="Times New Roman"/>
          <w:color w:val="020202"/>
          <w:lang w:val="en-US"/>
        </w:rPr>
        <w:t xml:space="preserve">, the fundamental difference between angels and humans concerns beings that are or are not essentially united to a body, </w:t>
      </w:r>
      <w:r w:rsidRPr="00A472FC">
        <w:rPr>
          <w:rFonts w:ascii="Times New Roman" w:hAnsi="Times New Roman" w:cs="Times New Roman"/>
        </w:rPr>
        <w:t>that is, beings which are spiritual and corporeal</w:t>
      </w:r>
      <w:r w:rsidR="00064B89" w:rsidRPr="00A472FC">
        <w:rPr>
          <w:rFonts w:ascii="Times New Roman" w:hAnsi="Times New Roman" w:cs="Times New Roman"/>
        </w:rPr>
        <w:t>, versus</w:t>
      </w:r>
      <w:r w:rsidRPr="00A472FC">
        <w:rPr>
          <w:rFonts w:ascii="Times New Roman" w:hAnsi="Times New Roman" w:cs="Times New Roman"/>
        </w:rPr>
        <w:t xml:space="preserve"> spiritual only. Despite this difference, angels share with the human soul the quality of being composed of form and spiritual matter, which renders them individuals, and distinguishes them from God, who is not subject to composition. </w:t>
      </w:r>
    </w:p>
    <w:p w14:paraId="6B084C41" w14:textId="7F1B86ED" w:rsidR="00665333" w:rsidRPr="00A472FC" w:rsidRDefault="00665333" w:rsidP="00881604">
      <w:pPr>
        <w:ind w:right="-52" w:firstLine="720"/>
        <w:rPr>
          <w:rFonts w:ascii="Times New Roman" w:hAnsi="Times New Roman" w:cs="Times New Roman"/>
        </w:rPr>
      </w:pPr>
      <w:r w:rsidRPr="00A472FC">
        <w:rPr>
          <w:rFonts w:ascii="Times New Roman" w:hAnsi="Times New Roman" w:cs="Times New Roman"/>
        </w:rPr>
        <w:t>In treating another similarity-in-difference, John notes that both angels and humans achieve knowledge of things through an act of composition, with the difference that this involves abstracting a universal from sense knowledge with the help of illumined principles of knowledge, in humans, whereas for angels, it simply involves combining the right forms to construct the right object, without reference to the senses. The nature of free will in angels and humans is also similar with the exception that angelic decisions are permanent in their effects whereas humans can always vacillate between good and evil.</w:t>
      </w:r>
      <w:r w:rsidR="00C815CD" w:rsidRPr="00A472FC">
        <w:rPr>
          <w:rFonts w:ascii="Times New Roman" w:hAnsi="Times New Roman" w:cs="Times New Roman"/>
        </w:rPr>
        <w:t xml:space="preserve"> </w:t>
      </w:r>
    </w:p>
    <w:p w14:paraId="24EFB18A" w14:textId="20359F48" w:rsidR="00455736" w:rsidRPr="00A472FC" w:rsidRDefault="00665333" w:rsidP="00881604">
      <w:pPr>
        <w:ind w:right="-52" w:firstLine="720"/>
        <w:rPr>
          <w:rFonts w:ascii="Times New Roman" w:hAnsi="Times New Roman" w:cs="Times New Roman"/>
          <w:color w:val="020202"/>
          <w:lang w:val="en-US"/>
        </w:rPr>
      </w:pPr>
      <w:r w:rsidRPr="00A472FC">
        <w:rPr>
          <w:rFonts w:ascii="Times New Roman" w:hAnsi="Times New Roman" w:cs="Times New Roman"/>
        </w:rPr>
        <w:t xml:space="preserve">Thus, we see that the tendency to redefine Augustinian or other theological principles in light of the introduction of Arabic </w:t>
      </w:r>
      <w:r w:rsidRPr="00A472FC">
        <w:rPr>
          <w:rFonts w:ascii="Times New Roman" w:hAnsi="Times New Roman" w:cs="Times New Roman"/>
          <w:color w:val="020202"/>
          <w:lang w:val="en-US"/>
        </w:rPr>
        <w:t xml:space="preserve">and other new philosophical and theological sources extended to all levels of creaturely existence. The result, however, </w:t>
      </w:r>
      <w:r w:rsidR="007A6F53" w:rsidRPr="00A472FC">
        <w:rPr>
          <w:rFonts w:ascii="Times New Roman" w:hAnsi="Times New Roman" w:cs="Times New Roman"/>
          <w:color w:val="020202"/>
          <w:lang w:val="en-US"/>
        </w:rPr>
        <w:t>was</w:t>
      </w:r>
      <w:r w:rsidRPr="00A472FC">
        <w:rPr>
          <w:rFonts w:ascii="Times New Roman" w:hAnsi="Times New Roman" w:cs="Times New Roman"/>
          <w:color w:val="020202"/>
          <w:lang w:val="en-US"/>
        </w:rPr>
        <w:t xml:space="preserve"> some altogether new ways of thinking, presented most robustly and most extensively in the early Franciscan intellectual tradition, which have colored philosophical debates and indeed scholarly understanding of </w:t>
      </w:r>
      <w:proofErr w:type="spellStart"/>
      <w:r w:rsidRPr="00A472FC">
        <w:rPr>
          <w:rFonts w:ascii="Times New Roman" w:hAnsi="Times New Roman" w:cs="Times New Roman"/>
          <w:color w:val="020202"/>
          <w:lang w:val="en-US"/>
        </w:rPr>
        <w:t>Augustinianism</w:t>
      </w:r>
      <w:proofErr w:type="spellEnd"/>
      <w:r w:rsidRPr="00A472FC">
        <w:rPr>
          <w:rFonts w:ascii="Times New Roman" w:hAnsi="Times New Roman" w:cs="Times New Roman"/>
          <w:color w:val="020202"/>
          <w:lang w:val="en-US"/>
        </w:rPr>
        <w:t xml:space="preserve"> ever since. </w:t>
      </w:r>
      <w:r w:rsidR="00064B89" w:rsidRPr="00A472FC">
        <w:rPr>
          <w:rFonts w:ascii="Times New Roman" w:hAnsi="Times New Roman" w:cs="Times New Roman"/>
          <w:color w:val="020202"/>
          <w:lang w:val="en-US"/>
        </w:rPr>
        <w:t xml:space="preserve">The motivation for thus redefining </w:t>
      </w:r>
      <w:proofErr w:type="spellStart"/>
      <w:r w:rsidR="00064B89" w:rsidRPr="00A472FC">
        <w:rPr>
          <w:rFonts w:ascii="Times New Roman" w:hAnsi="Times New Roman" w:cs="Times New Roman"/>
          <w:color w:val="020202"/>
          <w:lang w:val="en-US"/>
        </w:rPr>
        <w:t>Augustinianism</w:t>
      </w:r>
      <w:proofErr w:type="spellEnd"/>
      <w:r w:rsidR="00064B89" w:rsidRPr="00A472FC">
        <w:rPr>
          <w:rFonts w:ascii="Times New Roman" w:hAnsi="Times New Roman" w:cs="Times New Roman"/>
          <w:color w:val="020202"/>
          <w:lang w:val="en-US"/>
        </w:rPr>
        <w:t xml:space="preserve"> was undoubtedly to some extent </w:t>
      </w:r>
      <w:r w:rsidR="00680B99" w:rsidRPr="00A472FC">
        <w:rPr>
          <w:rFonts w:ascii="Times New Roman" w:hAnsi="Times New Roman" w:cs="Times New Roman"/>
          <w:color w:val="020202"/>
          <w:lang w:val="en-US"/>
        </w:rPr>
        <w:t xml:space="preserve">the availability of the new philosophical works themselves, especially Avicenna, and the desire to provide a Christian or even Franciscan counterpart </w:t>
      </w:r>
      <w:r w:rsidR="00F16DC1" w:rsidRPr="00A472FC">
        <w:rPr>
          <w:rFonts w:ascii="Times New Roman" w:hAnsi="Times New Roman" w:cs="Times New Roman"/>
          <w:color w:val="020202"/>
          <w:lang w:val="en-US"/>
        </w:rPr>
        <w:t xml:space="preserve">to the system of thought he offered. </w:t>
      </w:r>
    </w:p>
    <w:p w14:paraId="38624A3B" w14:textId="168130BF" w:rsidR="00665333" w:rsidRPr="00A472FC" w:rsidRDefault="00F16DC1" w:rsidP="00881604">
      <w:pPr>
        <w:ind w:right="-52" w:firstLine="720"/>
        <w:rPr>
          <w:rFonts w:ascii="Times New Roman" w:hAnsi="Times New Roman" w:cs="Times New Roman"/>
          <w:color w:val="020202"/>
          <w:lang w:val="en-US"/>
        </w:rPr>
      </w:pPr>
      <w:r w:rsidRPr="00A472FC">
        <w:rPr>
          <w:rFonts w:ascii="Times New Roman" w:hAnsi="Times New Roman" w:cs="Times New Roman"/>
          <w:color w:val="020202"/>
          <w:lang w:val="en-US"/>
        </w:rPr>
        <w:t xml:space="preserve">At the same time, however, the philosophical works of Avicenna and others </w:t>
      </w:r>
      <w:r w:rsidR="003E6BB7" w:rsidRPr="00A472FC">
        <w:rPr>
          <w:rFonts w:ascii="Times New Roman" w:hAnsi="Times New Roman" w:cs="Times New Roman"/>
          <w:color w:val="020202"/>
          <w:lang w:val="en-US"/>
        </w:rPr>
        <w:t xml:space="preserve">provided a </w:t>
      </w:r>
      <w:r w:rsidR="00525A35" w:rsidRPr="00A472FC">
        <w:rPr>
          <w:rFonts w:ascii="Times New Roman" w:hAnsi="Times New Roman" w:cs="Times New Roman"/>
          <w:color w:val="020202"/>
          <w:lang w:val="en-US"/>
        </w:rPr>
        <w:t>crucial</w:t>
      </w:r>
      <w:r w:rsidR="00A0620C" w:rsidRPr="00A472FC">
        <w:rPr>
          <w:rFonts w:ascii="Times New Roman" w:hAnsi="Times New Roman" w:cs="Times New Roman"/>
          <w:color w:val="020202"/>
          <w:lang w:val="en-US"/>
        </w:rPr>
        <w:t xml:space="preserve"> </w:t>
      </w:r>
      <w:r w:rsidR="003E6BB7" w:rsidRPr="00A472FC">
        <w:rPr>
          <w:rFonts w:ascii="Times New Roman" w:hAnsi="Times New Roman" w:cs="Times New Roman"/>
          <w:color w:val="020202"/>
          <w:lang w:val="en-US"/>
        </w:rPr>
        <w:t>means to parsing</w:t>
      </w:r>
      <w:r w:rsidR="00A0620C" w:rsidRPr="00A472FC">
        <w:rPr>
          <w:rFonts w:ascii="Times New Roman" w:hAnsi="Times New Roman" w:cs="Times New Roman"/>
          <w:color w:val="020202"/>
          <w:lang w:val="en-US"/>
        </w:rPr>
        <w:t xml:space="preserve"> </w:t>
      </w:r>
      <w:r w:rsidR="003E6BB7" w:rsidRPr="00A472FC">
        <w:rPr>
          <w:rFonts w:ascii="Times New Roman" w:hAnsi="Times New Roman" w:cs="Times New Roman"/>
          <w:color w:val="020202"/>
          <w:lang w:val="en-US"/>
        </w:rPr>
        <w:t>theological principles stemming from the Augustinian tradition</w:t>
      </w:r>
      <w:r w:rsidR="00A53120" w:rsidRPr="00A472FC">
        <w:rPr>
          <w:rFonts w:ascii="Times New Roman" w:hAnsi="Times New Roman" w:cs="Times New Roman"/>
          <w:color w:val="020202"/>
          <w:lang w:val="en-US"/>
        </w:rPr>
        <w:t>,</w:t>
      </w:r>
      <w:r w:rsidR="003E6BB7" w:rsidRPr="00A472FC">
        <w:rPr>
          <w:rFonts w:ascii="Times New Roman" w:hAnsi="Times New Roman" w:cs="Times New Roman"/>
          <w:color w:val="020202"/>
          <w:lang w:val="en-US"/>
        </w:rPr>
        <w:t xml:space="preserve"> that had only been loosely defined </w:t>
      </w:r>
      <w:r w:rsidR="00455736" w:rsidRPr="00A472FC">
        <w:rPr>
          <w:rFonts w:ascii="Times New Roman" w:hAnsi="Times New Roman" w:cs="Times New Roman"/>
          <w:color w:val="020202"/>
          <w:lang w:val="en-US"/>
        </w:rPr>
        <w:t xml:space="preserve">in the past or indeed in the work of Augustine himself. The principles in question pertained to some of the most central tenets of Christianity, </w:t>
      </w:r>
      <w:r w:rsidR="008C65C8" w:rsidRPr="00A472FC">
        <w:rPr>
          <w:rFonts w:ascii="Times New Roman" w:hAnsi="Times New Roman" w:cs="Times New Roman"/>
          <w:color w:val="020202"/>
          <w:lang w:val="en-US"/>
        </w:rPr>
        <w:t xml:space="preserve">at least as scholars of this period understood it. They included the idea that </w:t>
      </w:r>
      <w:r w:rsidR="00E27B5F" w:rsidRPr="00A472FC">
        <w:rPr>
          <w:rFonts w:ascii="Times New Roman" w:hAnsi="Times New Roman" w:cs="Times New Roman"/>
          <w:color w:val="020202"/>
          <w:lang w:val="en-US"/>
        </w:rPr>
        <w:t>the</w:t>
      </w:r>
      <w:r w:rsidR="008C65C8" w:rsidRPr="00A472FC">
        <w:rPr>
          <w:rFonts w:ascii="Times New Roman" w:hAnsi="Times New Roman" w:cs="Times New Roman"/>
          <w:color w:val="020202"/>
          <w:lang w:val="en-US"/>
        </w:rPr>
        <w:t xml:space="preserve"> human being, soul and </w:t>
      </w:r>
      <w:r w:rsidR="008C65C8" w:rsidRPr="00A472FC">
        <w:rPr>
          <w:rFonts w:ascii="Times New Roman" w:hAnsi="Times New Roman" w:cs="Times New Roman"/>
          <w:color w:val="020202"/>
          <w:lang w:val="en-US"/>
        </w:rPr>
        <w:lastRenderedPageBreak/>
        <w:t xml:space="preserve">body, is made in the image of God, that creation is good, and that the body will be resurrected after death. </w:t>
      </w:r>
      <w:r w:rsidR="00E27B5F" w:rsidRPr="00A472FC">
        <w:rPr>
          <w:rFonts w:ascii="Times New Roman" w:hAnsi="Times New Roman" w:cs="Times New Roman"/>
          <w:color w:val="020202"/>
          <w:lang w:val="en-US"/>
        </w:rPr>
        <w:t xml:space="preserve">Another key concept concerns the status of the soul as a substance that is simple, like God, though not in the way that he is simple. </w:t>
      </w:r>
      <w:r w:rsidR="00112718" w:rsidRPr="00A472FC">
        <w:rPr>
          <w:rFonts w:ascii="Times New Roman" w:hAnsi="Times New Roman" w:cs="Times New Roman"/>
          <w:color w:val="020202"/>
          <w:lang w:val="en-US"/>
        </w:rPr>
        <w:t xml:space="preserve">The soul reflects his image in part through the exercise of intellectual </w:t>
      </w:r>
      <w:r w:rsidR="00A53120" w:rsidRPr="00A472FC">
        <w:rPr>
          <w:rFonts w:ascii="Times New Roman" w:hAnsi="Times New Roman" w:cs="Times New Roman"/>
          <w:color w:val="020202"/>
          <w:lang w:val="en-US"/>
        </w:rPr>
        <w:t xml:space="preserve">and volitional </w:t>
      </w:r>
      <w:r w:rsidR="00112718" w:rsidRPr="00A472FC">
        <w:rPr>
          <w:rFonts w:ascii="Times New Roman" w:hAnsi="Times New Roman" w:cs="Times New Roman"/>
          <w:color w:val="020202"/>
          <w:lang w:val="en-US"/>
        </w:rPr>
        <w:t>powers that are unique to humans</w:t>
      </w:r>
      <w:r w:rsidR="004C4B0B" w:rsidRPr="00A472FC">
        <w:rPr>
          <w:rFonts w:ascii="Times New Roman" w:hAnsi="Times New Roman" w:cs="Times New Roman"/>
          <w:color w:val="020202"/>
          <w:lang w:val="en-US"/>
        </w:rPr>
        <w:t xml:space="preserve">, who are nonetheless limited in exercising them in a way God is not. </w:t>
      </w:r>
    </w:p>
    <w:p w14:paraId="1C63B7E6" w14:textId="4900650E" w:rsidR="00FE3323" w:rsidRPr="00A472FC" w:rsidRDefault="00BF0A2B" w:rsidP="002C10D8">
      <w:pPr>
        <w:ind w:right="-52" w:firstLine="720"/>
        <w:rPr>
          <w:rFonts w:ascii="Times New Roman" w:hAnsi="Times New Roman" w:cs="Times New Roman"/>
          <w:color w:val="020202"/>
          <w:lang w:val="en-US"/>
        </w:rPr>
      </w:pPr>
      <w:r w:rsidRPr="00A472FC">
        <w:rPr>
          <w:rFonts w:ascii="Times New Roman" w:hAnsi="Times New Roman" w:cs="Times New Roman"/>
          <w:color w:val="020202"/>
          <w:lang w:val="en-US"/>
        </w:rPr>
        <w:t>As we have seen, some</w:t>
      </w:r>
      <w:r w:rsidR="00077FE5" w:rsidRPr="00A472FC">
        <w:rPr>
          <w:rFonts w:ascii="Times New Roman" w:hAnsi="Times New Roman" w:cs="Times New Roman"/>
          <w:color w:val="020202"/>
          <w:lang w:val="en-US"/>
        </w:rPr>
        <w:t xml:space="preserve"> early scholastic theologians hesitated to specify the meaning of </w:t>
      </w:r>
      <w:r w:rsidR="002C10D8" w:rsidRPr="00A472FC">
        <w:rPr>
          <w:rFonts w:ascii="Times New Roman" w:hAnsi="Times New Roman" w:cs="Times New Roman"/>
          <w:color w:val="020202"/>
          <w:lang w:val="en-US"/>
        </w:rPr>
        <w:t>such theological</w:t>
      </w:r>
      <w:r w:rsidR="00077FE5" w:rsidRPr="00A472FC">
        <w:rPr>
          <w:rFonts w:ascii="Times New Roman" w:hAnsi="Times New Roman" w:cs="Times New Roman"/>
          <w:color w:val="020202"/>
          <w:lang w:val="en-US"/>
        </w:rPr>
        <w:t xml:space="preserve"> </w:t>
      </w:r>
      <w:r w:rsidR="002C10D8" w:rsidRPr="00A472FC">
        <w:rPr>
          <w:rFonts w:ascii="Times New Roman" w:hAnsi="Times New Roman" w:cs="Times New Roman"/>
          <w:color w:val="020202"/>
          <w:lang w:val="en-US"/>
        </w:rPr>
        <w:t>ideals</w:t>
      </w:r>
      <w:r w:rsidR="00077FE5" w:rsidRPr="00A472FC">
        <w:rPr>
          <w:rFonts w:ascii="Times New Roman" w:hAnsi="Times New Roman" w:cs="Times New Roman"/>
          <w:color w:val="020202"/>
          <w:lang w:val="en-US"/>
        </w:rPr>
        <w:t xml:space="preserve"> </w:t>
      </w:r>
      <w:r w:rsidR="008B3AAA" w:rsidRPr="00A472FC">
        <w:rPr>
          <w:rFonts w:ascii="Times New Roman" w:hAnsi="Times New Roman" w:cs="Times New Roman"/>
          <w:color w:val="020202"/>
          <w:lang w:val="en-US"/>
        </w:rPr>
        <w:t xml:space="preserve">with the help of the new philosophical sources on the grounds that this would </w:t>
      </w:r>
      <w:r w:rsidR="005F62E5" w:rsidRPr="00A472FC">
        <w:rPr>
          <w:rFonts w:ascii="Times New Roman" w:hAnsi="Times New Roman" w:cs="Times New Roman"/>
          <w:color w:val="020202"/>
          <w:lang w:val="en-US"/>
        </w:rPr>
        <w:t xml:space="preserve">take them </w:t>
      </w:r>
      <w:r w:rsidR="00821C24" w:rsidRPr="00A472FC">
        <w:rPr>
          <w:rFonts w:ascii="Times New Roman" w:hAnsi="Times New Roman" w:cs="Times New Roman"/>
          <w:color w:val="020202"/>
          <w:lang w:val="en-US"/>
        </w:rPr>
        <w:t xml:space="preserve">too </w:t>
      </w:r>
      <w:r w:rsidR="005F62E5" w:rsidRPr="00A472FC">
        <w:rPr>
          <w:rFonts w:ascii="Times New Roman" w:hAnsi="Times New Roman" w:cs="Times New Roman"/>
          <w:color w:val="020202"/>
          <w:lang w:val="en-US"/>
        </w:rPr>
        <w:t>far from the principles themselves</w:t>
      </w:r>
      <w:r w:rsidR="007B5836" w:rsidRPr="00A472FC">
        <w:rPr>
          <w:rFonts w:ascii="Times New Roman" w:hAnsi="Times New Roman" w:cs="Times New Roman"/>
          <w:color w:val="020202"/>
          <w:lang w:val="en-US"/>
        </w:rPr>
        <w:t xml:space="preserve">. </w:t>
      </w:r>
      <w:r w:rsidR="005F62E5" w:rsidRPr="00A472FC">
        <w:rPr>
          <w:rFonts w:ascii="Times New Roman" w:hAnsi="Times New Roman" w:cs="Times New Roman"/>
          <w:color w:val="020202"/>
          <w:lang w:val="en-US"/>
        </w:rPr>
        <w:t xml:space="preserve">John was unique in his generation precisely because he did not see </w:t>
      </w:r>
      <w:r w:rsidR="002025F5" w:rsidRPr="00A472FC">
        <w:rPr>
          <w:rFonts w:ascii="Times New Roman" w:hAnsi="Times New Roman" w:cs="Times New Roman"/>
          <w:color w:val="020202"/>
          <w:lang w:val="en-US"/>
        </w:rPr>
        <w:t>the</w:t>
      </w:r>
      <w:r w:rsidR="005F62E5" w:rsidRPr="00A472FC">
        <w:rPr>
          <w:rFonts w:ascii="Times New Roman" w:hAnsi="Times New Roman" w:cs="Times New Roman"/>
          <w:color w:val="020202"/>
          <w:lang w:val="en-US"/>
        </w:rPr>
        <w:t xml:space="preserve"> work of defining </w:t>
      </w:r>
      <w:r w:rsidR="002025F5" w:rsidRPr="00A472FC">
        <w:rPr>
          <w:rFonts w:ascii="Times New Roman" w:hAnsi="Times New Roman" w:cs="Times New Roman"/>
          <w:color w:val="020202"/>
          <w:lang w:val="en-US"/>
        </w:rPr>
        <w:t>theological</w:t>
      </w:r>
      <w:r w:rsidR="005F62E5" w:rsidRPr="00A472FC">
        <w:rPr>
          <w:rFonts w:ascii="Times New Roman" w:hAnsi="Times New Roman" w:cs="Times New Roman"/>
          <w:color w:val="020202"/>
          <w:lang w:val="en-US"/>
        </w:rPr>
        <w:t xml:space="preserve"> c</w:t>
      </w:r>
      <w:r w:rsidR="002025F5" w:rsidRPr="00A472FC">
        <w:rPr>
          <w:rFonts w:ascii="Times New Roman" w:hAnsi="Times New Roman" w:cs="Times New Roman"/>
          <w:color w:val="020202"/>
          <w:lang w:val="en-US"/>
        </w:rPr>
        <w:t xml:space="preserve">oncepts as incompatible with philosophical specificity and sophistication. </w:t>
      </w:r>
      <w:r w:rsidR="00210E7E" w:rsidRPr="00A472FC">
        <w:rPr>
          <w:rFonts w:ascii="Times New Roman" w:hAnsi="Times New Roman" w:cs="Times New Roman"/>
          <w:color w:val="020202"/>
          <w:lang w:val="en-US"/>
        </w:rPr>
        <w:t>On the contrary</w:t>
      </w:r>
      <w:r w:rsidR="002025F5" w:rsidRPr="00A472FC">
        <w:rPr>
          <w:rFonts w:ascii="Times New Roman" w:hAnsi="Times New Roman" w:cs="Times New Roman"/>
          <w:color w:val="020202"/>
          <w:lang w:val="en-US"/>
        </w:rPr>
        <w:t xml:space="preserve">, he saw </w:t>
      </w:r>
      <w:r w:rsidR="008C0F79" w:rsidRPr="00A472FC">
        <w:rPr>
          <w:rFonts w:ascii="Times New Roman" w:hAnsi="Times New Roman" w:cs="Times New Roman"/>
          <w:color w:val="020202"/>
          <w:lang w:val="en-US"/>
        </w:rPr>
        <w:t xml:space="preserve">philosophy </w:t>
      </w:r>
      <w:r w:rsidR="00486FF3" w:rsidRPr="00A472FC">
        <w:rPr>
          <w:rFonts w:ascii="Times New Roman" w:hAnsi="Times New Roman" w:cs="Times New Roman"/>
          <w:color w:val="020202"/>
          <w:lang w:val="en-US"/>
        </w:rPr>
        <w:t xml:space="preserve">as essential to a robust elaboration and defense of </w:t>
      </w:r>
      <w:r w:rsidR="008C0F79" w:rsidRPr="00A472FC">
        <w:rPr>
          <w:rFonts w:ascii="Times New Roman" w:hAnsi="Times New Roman" w:cs="Times New Roman"/>
          <w:color w:val="020202"/>
          <w:lang w:val="en-US"/>
        </w:rPr>
        <w:t>his most cherished theological assumptions</w:t>
      </w:r>
      <w:r w:rsidR="00486FF3" w:rsidRPr="00A472FC">
        <w:rPr>
          <w:rFonts w:ascii="Times New Roman" w:hAnsi="Times New Roman" w:cs="Times New Roman"/>
          <w:color w:val="020202"/>
          <w:lang w:val="en-US"/>
        </w:rPr>
        <w:t xml:space="preserve">. </w:t>
      </w:r>
      <w:r w:rsidR="00E027C5" w:rsidRPr="00A472FC">
        <w:rPr>
          <w:rFonts w:ascii="Times New Roman" w:hAnsi="Times New Roman" w:cs="Times New Roman"/>
          <w:color w:val="020202"/>
          <w:lang w:val="en-US"/>
        </w:rPr>
        <w:t xml:space="preserve">In the process of </w:t>
      </w:r>
      <w:r w:rsidR="007A4DDE" w:rsidRPr="00A472FC">
        <w:rPr>
          <w:rFonts w:ascii="Times New Roman" w:hAnsi="Times New Roman" w:cs="Times New Roman"/>
          <w:color w:val="020202"/>
          <w:lang w:val="en-US"/>
        </w:rPr>
        <w:t xml:space="preserve">providing such an elaboration of </w:t>
      </w:r>
      <w:r w:rsidR="00E027C5" w:rsidRPr="00A472FC">
        <w:rPr>
          <w:rFonts w:ascii="Times New Roman" w:hAnsi="Times New Roman" w:cs="Times New Roman"/>
          <w:color w:val="020202"/>
          <w:lang w:val="en-US"/>
        </w:rPr>
        <w:t>human nature</w:t>
      </w:r>
      <w:r w:rsidR="0000090A" w:rsidRPr="00A472FC">
        <w:rPr>
          <w:rFonts w:ascii="Times New Roman" w:hAnsi="Times New Roman" w:cs="Times New Roman"/>
          <w:color w:val="020202"/>
          <w:lang w:val="en-US"/>
        </w:rPr>
        <w:t xml:space="preserve">, I have tried to show that John did in fact interpret </w:t>
      </w:r>
      <w:r w:rsidR="007A4DDE" w:rsidRPr="00A472FC">
        <w:rPr>
          <w:rFonts w:ascii="Times New Roman" w:hAnsi="Times New Roman" w:cs="Times New Roman"/>
          <w:color w:val="020202"/>
          <w:lang w:val="en-US"/>
        </w:rPr>
        <w:t xml:space="preserve">many of the fundamentals of his tradition </w:t>
      </w:r>
      <w:r w:rsidR="0000090A" w:rsidRPr="00A472FC">
        <w:rPr>
          <w:rFonts w:ascii="Times New Roman" w:hAnsi="Times New Roman" w:cs="Times New Roman"/>
          <w:color w:val="020202"/>
          <w:lang w:val="en-US"/>
        </w:rPr>
        <w:t xml:space="preserve">in a way that was perhaps not entirely implausible but </w:t>
      </w:r>
      <w:r w:rsidR="004721EE" w:rsidRPr="00A472FC">
        <w:rPr>
          <w:rFonts w:ascii="Times New Roman" w:hAnsi="Times New Roman" w:cs="Times New Roman"/>
          <w:color w:val="020202"/>
          <w:lang w:val="en-US"/>
        </w:rPr>
        <w:t xml:space="preserve">was nonetheless foreign to </w:t>
      </w:r>
      <w:r w:rsidR="007A4DDE" w:rsidRPr="00A472FC">
        <w:rPr>
          <w:rFonts w:ascii="Times New Roman" w:hAnsi="Times New Roman" w:cs="Times New Roman"/>
          <w:color w:val="020202"/>
          <w:lang w:val="en-US"/>
        </w:rPr>
        <w:t xml:space="preserve">Augustine’s </w:t>
      </w:r>
      <w:r w:rsidR="004721EE" w:rsidRPr="00A472FC">
        <w:rPr>
          <w:rFonts w:ascii="Times New Roman" w:hAnsi="Times New Roman" w:cs="Times New Roman"/>
          <w:color w:val="020202"/>
          <w:lang w:val="en-US"/>
        </w:rPr>
        <w:t xml:space="preserve">own thought. </w:t>
      </w:r>
    </w:p>
    <w:p w14:paraId="16B6E1F9" w14:textId="40DF08F0" w:rsidR="00E12913" w:rsidRPr="00A472FC" w:rsidRDefault="004721EE" w:rsidP="004F19DC">
      <w:pPr>
        <w:ind w:right="-52" w:firstLine="720"/>
        <w:rPr>
          <w:rFonts w:ascii="Times New Roman" w:hAnsi="Times New Roman" w:cs="Times New Roman"/>
          <w:color w:val="020202"/>
          <w:lang w:val="en-US"/>
        </w:rPr>
      </w:pPr>
      <w:r w:rsidRPr="00A472FC">
        <w:rPr>
          <w:rFonts w:ascii="Times New Roman" w:hAnsi="Times New Roman" w:cs="Times New Roman"/>
          <w:color w:val="020202"/>
          <w:lang w:val="en-US"/>
        </w:rPr>
        <w:t xml:space="preserve">This interpretation held significance not only in John’s own intellectual </w:t>
      </w:r>
      <w:r w:rsidR="00581036" w:rsidRPr="00A472FC">
        <w:rPr>
          <w:rFonts w:ascii="Times New Roman" w:hAnsi="Times New Roman" w:cs="Times New Roman"/>
          <w:color w:val="020202"/>
          <w:lang w:val="en-US"/>
        </w:rPr>
        <w:t>milieu</w:t>
      </w:r>
      <w:r w:rsidRPr="00A472FC">
        <w:rPr>
          <w:rFonts w:ascii="Times New Roman" w:hAnsi="Times New Roman" w:cs="Times New Roman"/>
          <w:color w:val="020202"/>
          <w:lang w:val="en-US"/>
        </w:rPr>
        <w:t xml:space="preserve"> but also in the context of his religious order</w:t>
      </w:r>
      <w:r w:rsidR="000B1C13" w:rsidRPr="00A472FC">
        <w:rPr>
          <w:rFonts w:ascii="Times New Roman" w:hAnsi="Times New Roman" w:cs="Times New Roman"/>
          <w:color w:val="020202"/>
          <w:lang w:val="en-US"/>
        </w:rPr>
        <w:t>,</w:t>
      </w:r>
      <w:r w:rsidRPr="00A472FC">
        <w:rPr>
          <w:rFonts w:ascii="Times New Roman" w:hAnsi="Times New Roman" w:cs="Times New Roman"/>
          <w:color w:val="020202"/>
          <w:lang w:val="en-US"/>
        </w:rPr>
        <w:t xml:space="preserve"> which was seeking at the time to forge its own precise theological identity, which </w:t>
      </w:r>
      <w:r w:rsidR="00FE3323" w:rsidRPr="00A472FC">
        <w:rPr>
          <w:rFonts w:ascii="Times New Roman" w:hAnsi="Times New Roman" w:cs="Times New Roman"/>
          <w:color w:val="020202"/>
          <w:lang w:val="en-US"/>
        </w:rPr>
        <w:t xml:space="preserve">now </w:t>
      </w:r>
      <w:r w:rsidRPr="00A472FC">
        <w:rPr>
          <w:rFonts w:ascii="Times New Roman" w:hAnsi="Times New Roman" w:cs="Times New Roman"/>
          <w:color w:val="020202"/>
          <w:lang w:val="en-US"/>
        </w:rPr>
        <w:t xml:space="preserve">required </w:t>
      </w:r>
      <w:r w:rsidR="00FE3323" w:rsidRPr="00A472FC">
        <w:rPr>
          <w:rFonts w:ascii="Times New Roman" w:hAnsi="Times New Roman" w:cs="Times New Roman"/>
          <w:color w:val="020202"/>
          <w:lang w:val="en-US"/>
        </w:rPr>
        <w:t>a stance on philosophy</w:t>
      </w:r>
      <w:r w:rsidR="00756306" w:rsidRPr="00A472FC">
        <w:rPr>
          <w:rFonts w:ascii="Times New Roman" w:hAnsi="Times New Roman" w:cs="Times New Roman"/>
          <w:color w:val="020202"/>
          <w:lang w:val="en-US"/>
        </w:rPr>
        <w:t xml:space="preserve"> as well</w:t>
      </w:r>
      <w:r w:rsidR="00FE3323" w:rsidRPr="00A472FC">
        <w:rPr>
          <w:rFonts w:ascii="Times New Roman" w:hAnsi="Times New Roman" w:cs="Times New Roman"/>
          <w:color w:val="020202"/>
          <w:lang w:val="en-US"/>
        </w:rPr>
        <w:t xml:space="preserve">—even if </w:t>
      </w:r>
      <w:r w:rsidR="00D63143" w:rsidRPr="00A472FC">
        <w:rPr>
          <w:rFonts w:ascii="Times New Roman" w:hAnsi="Times New Roman" w:cs="Times New Roman"/>
          <w:color w:val="020202"/>
          <w:lang w:val="en-US"/>
        </w:rPr>
        <w:t xml:space="preserve">it was </w:t>
      </w:r>
      <w:r w:rsidR="00FE3323" w:rsidRPr="00A472FC">
        <w:rPr>
          <w:rFonts w:ascii="Times New Roman" w:hAnsi="Times New Roman" w:cs="Times New Roman"/>
          <w:color w:val="020202"/>
          <w:lang w:val="en-US"/>
        </w:rPr>
        <w:t xml:space="preserve">an apathetic, agnostic, or antagonistic one. </w:t>
      </w:r>
      <w:r w:rsidR="00C52082" w:rsidRPr="00A472FC">
        <w:rPr>
          <w:rFonts w:ascii="Times New Roman" w:hAnsi="Times New Roman" w:cs="Times New Roman"/>
          <w:color w:val="020202"/>
          <w:lang w:val="en-US"/>
        </w:rPr>
        <w:t>Although scholastic authors like John did not explicitly reflect on their reasons for writing</w:t>
      </w:r>
      <w:r w:rsidR="00273621" w:rsidRPr="00A472FC">
        <w:rPr>
          <w:rFonts w:ascii="Times New Roman" w:hAnsi="Times New Roman" w:cs="Times New Roman"/>
          <w:color w:val="020202"/>
          <w:lang w:val="en-US"/>
        </w:rPr>
        <w:t xml:space="preserve">, </w:t>
      </w:r>
      <w:r w:rsidR="009B1F49" w:rsidRPr="00A472FC">
        <w:rPr>
          <w:rFonts w:ascii="Times New Roman" w:hAnsi="Times New Roman" w:cs="Times New Roman"/>
          <w:color w:val="020202"/>
          <w:lang w:val="en-US"/>
        </w:rPr>
        <w:t>I have suggested that many of John’s philosophical choices—and his preference for Avicenna</w:t>
      </w:r>
      <w:r w:rsidR="004E5619" w:rsidRPr="00A472FC">
        <w:rPr>
          <w:rFonts w:ascii="Times New Roman" w:hAnsi="Times New Roman" w:cs="Times New Roman"/>
          <w:color w:val="020202"/>
          <w:lang w:val="en-US"/>
        </w:rPr>
        <w:t>—</w:t>
      </w:r>
      <w:r w:rsidR="00273621" w:rsidRPr="00A472FC">
        <w:rPr>
          <w:rFonts w:ascii="Times New Roman" w:hAnsi="Times New Roman" w:cs="Times New Roman"/>
          <w:color w:val="020202"/>
          <w:lang w:val="en-US"/>
        </w:rPr>
        <w:t xml:space="preserve">seem consistent with an attempt to offer </w:t>
      </w:r>
      <w:r w:rsidR="004E5619" w:rsidRPr="00A472FC">
        <w:rPr>
          <w:rFonts w:ascii="Times New Roman" w:hAnsi="Times New Roman" w:cs="Times New Roman"/>
          <w:color w:val="020202"/>
          <w:lang w:val="en-US"/>
        </w:rPr>
        <w:t>a philosophical account of human nature, as it was conceived by Francis of Assisi</w:t>
      </w:r>
      <w:r w:rsidR="00B71777" w:rsidRPr="00A472FC">
        <w:rPr>
          <w:rFonts w:ascii="Times New Roman" w:hAnsi="Times New Roman" w:cs="Times New Roman"/>
          <w:color w:val="020202"/>
          <w:lang w:val="en-US"/>
        </w:rPr>
        <w:t xml:space="preserve">, or </w:t>
      </w:r>
      <w:r w:rsidR="00A8279E" w:rsidRPr="00A472FC">
        <w:rPr>
          <w:rFonts w:ascii="Times New Roman" w:hAnsi="Times New Roman" w:cs="Times New Roman"/>
          <w:color w:val="020202"/>
          <w:lang w:val="en-US"/>
        </w:rPr>
        <w:t xml:space="preserve">at least an account that took Francis as a model. </w:t>
      </w:r>
      <w:r w:rsidR="002D6B41" w:rsidRPr="00A472FC">
        <w:rPr>
          <w:rFonts w:ascii="Times New Roman" w:hAnsi="Times New Roman" w:cs="Times New Roman"/>
          <w:color w:val="020202"/>
          <w:lang w:val="en-US"/>
        </w:rPr>
        <w:t xml:space="preserve">For instance, John may have championed Hugh’s idea of </w:t>
      </w:r>
      <w:proofErr w:type="spellStart"/>
      <w:r w:rsidR="002D6B41" w:rsidRPr="00A472FC">
        <w:rPr>
          <w:rFonts w:ascii="Times New Roman" w:hAnsi="Times New Roman" w:cs="Times New Roman"/>
          <w:i/>
          <w:iCs/>
          <w:color w:val="020202"/>
          <w:lang w:val="en-US"/>
        </w:rPr>
        <w:t>unibilitas</w:t>
      </w:r>
      <w:proofErr w:type="spellEnd"/>
      <w:r w:rsidR="002D6B41" w:rsidRPr="00A472FC">
        <w:rPr>
          <w:rFonts w:ascii="Times New Roman" w:hAnsi="Times New Roman" w:cs="Times New Roman"/>
          <w:i/>
          <w:iCs/>
          <w:color w:val="020202"/>
          <w:lang w:val="en-US"/>
        </w:rPr>
        <w:t xml:space="preserve"> </w:t>
      </w:r>
      <w:proofErr w:type="spellStart"/>
      <w:r w:rsidR="002D6B41" w:rsidRPr="00A472FC">
        <w:rPr>
          <w:rFonts w:ascii="Times New Roman" w:hAnsi="Times New Roman" w:cs="Times New Roman"/>
          <w:i/>
          <w:iCs/>
          <w:color w:val="020202"/>
          <w:lang w:val="en-US"/>
        </w:rPr>
        <w:t>substantialis</w:t>
      </w:r>
      <w:proofErr w:type="spellEnd"/>
      <w:r w:rsidR="002D6B41" w:rsidRPr="00A472FC">
        <w:rPr>
          <w:rFonts w:ascii="Times New Roman" w:hAnsi="Times New Roman" w:cs="Times New Roman"/>
          <w:i/>
          <w:iCs/>
          <w:color w:val="020202"/>
          <w:lang w:val="en-US"/>
        </w:rPr>
        <w:t xml:space="preserve"> </w:t>
      </w:r>
      <w:r w:rsidR="002D6B41" w:rsidRPr="00A472FC">
        <w:rPr>
          <w:rFonts w:ascii="Times New Roman" w:hAnsi="Times New Roman" w:cs="Times New Roman"/>
          <w:color w:val="020202"/>
          <w:lang w:val="en-US"/>
        </w:rPr>
        <w:t xml:space="preserve">not merely because he—like all theologians at the time—wanted to affirm the goodness of creation and the idea of a bodily resurrection—but </w:t>
      </w:r>
      <w:r w:rsidR="0048576A" w:rsidRPr="00A472FC">
        <w:rPr>
          <w:rFonts w:ascii="Times New Roman" w:hAnsi="Times New Roman" w:cs="Times New Roman"/>
          <w:color w:val="020202"/>
          <w:lang w:val="en-US"/>
        </w:rPr>
        <w:t xml:space="preserve">especially because he followed Francis in affirming the value of all </w:t>
      </w:r>
      <w:r w:rsidR="00E4030A" w:rsidRPr="00A472FC">
        <w:rPr>
          <w:rFonts w:ascii="Times New Roman" w:hAnsi="Times New Roman" w:cs="Times New Roman"/>
          <w:color w:val="020202"/>
          <w:lang w:val="en-US"/>
        </w:rPr>
        <w:t xml:space="preserve">physical </w:t>
      </w:r>
      <w:r w:rsidR="0048576A" w:rsidRPr="00A472FC">
        <w:rPr>
          <w:rFonts w:ascii="Times New Roman" w:hAnsi="Times New Roman" w:cs="Times New Roman"/>
          <w:color w:val="020202"/>
          <w:lang w:val="en-US"/>
        </w:rPr>
        <w:t xml:space="preserve">creatures. </w:t>
      </w:r>
    </w:p>
    <w:p w14:paraId="29708743" w14:textId="1BBA7A94" w:rsidR="00DD5D52" w:rsidRPr="00A472FC" w:rsidRDefault="0048576A" w:rsidP="004F19DC">
      <w:pPr>
        <w:ind w:right="-52" w:firstLine="720"/>
        <w:rPr>
          <w:rFonts w:ascii="Times New Roman" w:hAnsi="Times New Roman" w:cs="Times New Roman"/>
          <w:color w:val="020202"/>
          <w:lang w:val="en-US"/>
        </w:rPr>
      </w:pPr>
      <w:r w:rsidRPr="00A472FC">
        <w:rPr>
          <w:rFonts w:ascii="Times New Roman" w:hAnsi="Times New Roman" w:cs="Times New Roman"/>
          <w:color w:val="020202"/>
          <w:lang w:val="en-US"/>
        </w:rPr>
        <w:t xml:space="preserve">This fundamental emphasis is the likely reason why John did not go to the extreme of William of Auvergne in discounting the value of the senses to human knowledge. </w:t>
      </w:r>
      <w:r w:rsidR="002143A5" w:rsidRPr="00A472FC">
        <w:rPr>
          <w:rFonts w:ascii="Times New Roman" w:hAnsi="Times New Roman" w:cs="Times New Roman"/>
          <w:color w:val="020202"/>
          <w:lang w:val="en-US"/>
        </w:rPr>
        <w:t xml:space="preserve">At the same time, </w:t>
      </w:r>
      <w:r w:rsidR="00B74A83" w:rsidRPr="00A472FC">
        <w:rPr>
          <w:rFonts w:ascii="Times New Roman" w:hAnsi="Times New Roman" w:cs="Times New Roman"/>
          <w:color w:val="020202"/>
          <w:lang w:val="en-US"/>
        </w:rPr>
        <w:t xml:space="preserve">however, </w:t>
      </w:r>
      <w:r w:rsidR="002143A5" w:rsidRPr="00A472FC">
        <w:rPr>
          <w:rFonts w:ascii="Times New Roman" w:hAnsi="Times New Roman" w:cs="Times New Roman"/>
          <w:color w:val="020202"/>
          <w:lang w:val="en-US"/>
        </w:rPr>
        <w:t xml:space="preserve">he </w:t>
      </w:r>
      <w:r w:rsidR="00E12913" w:rsidRPr="00A472FC">
        <w:rPr>
          <w:rFonts w:ascii="Times New Roman" w:hAnsi="Times New Roman" w:cs="Times New Roman"/>
          <w:color w:val="020202"/>
          <w:lang w:val="en-US"/>
        </w:rPr>
        <w:t xml:space="preserve">described God’s image—consisting in the transcendentals—as the </w:t>
      </w:r>
      <w:r w:rsidR="00B74A83" w:rsidRPr="00A472FC">
        <w:rPr>
          <w:rFonts w:ascii="Times New Roman" w:hAnsi="Times New Roman" w:cs="Times New Roman"/>
          <w:color w:val="020202"/>
          <w:lang w:val="en-US"/>
        </w:rPr>
        <w:t xml:space="preserve">condition for </w:t>
      </w:r>
      <w:r w:rsidR="00E12913" w:rsidRPr="00A472FC">
        <w:rPr>
          <w:rFonts w:ascii="Times New Roman" w:hAnsi="Times New Roman" w:cs="Times New Roman"/>
          <w:color w:val="020202"/>
          <w:lang w:val="en-US"/>
        </w:rPr>
        <w:t>genuine knowledge</w:t>
      </w:r>
      <w:r w:rsidR="002143A5" w:rsidRPr="00A472FC">
        <w:rPr>
          <w:rFonts w:ascii="Times New Roman" w:hAnsi="Times New Roman" w:cs="Times New Roman"/>
          <w:color w:val="020202"/>
          <w:lang w:val="en-US"/>
        </w:rPr>
        <w:t xml:space="preserve">, seemingly in order </w:t>
      </w:r>
      <w:r w:rsidR="00E12913" w:rsidRPr="00A472FC">
        <w:rPr>
          <w:rFonts w:ascii="Times New Roman" w:hAnsi="Times New Roman" w:cs="Times New Roman"/>
          <w:color w:val="020202"/>
          <w:lang w:val="en-US"/>
        </w:rPr>
        <w:t>to explain why Francis enjoyed such insight into the world</w:t>
      </w:r>
      <w:r w:rsidR="00643D11" w:rsidRPr="00A472FC">
        <w:rPr>
          <w:rFonts w:ascii="Times New Roman" w:hAnsi="Times New Roman" w:cs="Times New Roman"/>
          <w:color w:val="020202"/>
          <w:lang w:val="en-US"/>
        </w:rPr>
        <w:t xml:space="preserve">. This </w:t>
      </w:r>
      <w:r w:rsidR="00E12913" w:rsidRPr="00A472FC">
        <w:rPr>
          <w:rFonts w:ascii="Times New Roman" w:hAnsi="Times New Roman" w:cs="Times New Roman"/>
          <w:color w:val="020202"/>
          <w:lang w:val="en-US"/>
        </w:rPr>
        <w:t>was due to his intimacy with God</w:t>
      </w:r>
      <w:r w:rsidR="00643D11" w:rsidRPr="00A472FC">
        <w:rPr>
          <w:rFonts w:ascii="Times New Roman" w:hAnsi="Times New Roman" w:cs="Times New Roman"/>
          <w:color w:val="020202"/>
          <w:lang w:val="en-US"/>
        </w:rPr>
        <w:t xml:space="preserve">, which </w:t>
      </w:r>
      <w:r w:rsidR="00E12913" w:rsidRPr="00A472FC">
        <w:rPr>
          <w:rFonts w:ascii="Times New Roman" w:hAnsi="Times New Roman" w:cs="Times New Roman"/>
          <w:color w:val="020202"/>
          <w:lang w:val="en-US"/>
        </w:rPr>
        <w:t xml:space="preserve">in turn was fostered by </w:t>
      </w:r>
      <w:r w:rsidR="00740C2C" w:rsidRPr="00A472FC">
        <w:rPr>
          <w:rFonts w:ascii="Times New Roman" w:hAnsi="Times New Roman" w:cs="Times New Roman"/>
          <w:color w:val="020202"/>
          <w:lang w:val="en-US"/>
        </w:rPr>
        <w:t xml:space="preserve">his will and love for God, which took priority over the intellect in Francis’ estimation. </w:t>
      </w:r>
    </w:p>
    <w:p w14:paraId="21CEE311" w14:textId="0E0DEF65" w:rsidR="005833E0" w:rsidRPr="00A472FC" w:rsidRDefault="00C50F08" w:rsidP="00DD5D52">
      <w:pPr>
        <w:ind w:right="-52" w:firstLine="720"/>
        <w:rPr>
          <w:rFonts w:ascii="Times New Roman" w:hAnsi="Times New Roman" w:cs="Times New Roman"/>
          <w:color w:val="020202"/>
          <w:lang w:val="en-US"/>
        </w:rPr>
      </w:pPr>
      <w:r w:rsidRPr="00A472FC">
        <w:rPr>
          <w:rFonts w:ascii="Times New Roman" w:hAnsi="Times New Roman" w:cs="Times New Roman"/>
          <w:color w:val="020202"/>
          <w:lang w:val="en-US"/>
        </w:rPr>
        <w:t xml:space="preserve">While the views early Franciscans adopted on these and other issues were in some cases shared or even invented by their contemporaries, they were quickly appropriated by John and his contemporaries who developed them far more extensively than anyone else at the time. From this point, they were passed down to subsequent Franciscans </w:t>
      </w:r>
      <w:r w:rsidR="00F2695A" w:rsidRPr="00A472FC">
        <w:rPr>
          <w:rFonts w:ascii="Times New Roman" w:hAnsi="Times New Roman" w:cs="Times New Roman"/>
          <w:color w:val="020202"/>
          <w:lang w:val="en-US"/>
        </w:rPr>
        <w:t>like Bonaventure</w:t>
      </w:r>
      <w:r w:rsidR="00717FAF" w:rsidRPr="00A472FC">
        <w:rPr>
          <w:rFonts w:ascii="Times New Roman" w:hAnsi="Times New Roman" w:cs="Times New Roman"/>
          <w:color w:val="020202"/>
          <w:lang w:val="en-US"/>
        </w:rPr>
        <w:t xml:space="preserve">, John </w:t>
      </w:r>
      <w:proofErr w:type="spellStart"/>
      <w:r w:rsidR="00717FAF" w:rsidRPr="00A472FC">
        <w:rPr>
          <w:rFonts w:ascii="Times New Roman" w:hAnsi="Times New Roman" w:cs="Times New Roman"/>
          <w:color w:val="020202"/>
          <w:lang w:val="en-US"/>
        </w:rPr>
        <w:t>Pecham</w:t>
      </w:r>
      <w:proofErr w:type="spellEnd"/>
      <w:r w:rsidR="00717FAF" w:rsidRPr="00A472FC">
        <w:rPr>
          <w:rFonts w:ascii="Times New Roman" w:hAnsi="Times New Roman" w:cs="Times New Roman"/>
          <w:color w:val="020202"/>
          <w:lang w:val="en-US"/>
        </w:rPr>
        <w:t xml:space="preserve"> and even Duns Scotus, </w:t>
      </w:r>
      <w:r w:rsidRPr="00A472FC">
        <w:rPr>
          <w:rFonts w:ascii="Times New Roman" w:hAnsi="Times New Roman" w:cs="Times New Roman"/>
          <w:color w:val="020202"/>
          <w:lang w:val="en-US"/>
        </w:rPr>
        <w:t xml:space="preserve">who elaborated them in their own ways </w:t>
      </w:r>
      <w:r w:rsidR="008A7963" w:rsidRPr="00A472FC">
        <w:rPr>
          <w:rFonts w:ascii="Times New Roman" w:hAnsi="Times New Roman" w:cs="Times New Roman"/>
          <w:color w:val="020202"/>
          <w:lang w:val="en-US"/>
        </w:rPr>
        <w:t>and defended them in the face of opposition from other parties</w:t>
      </w:r>
      <w:r w:rsidR="00717FAF" w:rsidRPr="00A472FC">
        <w:rPr>
          <w:rFonts w:ascii="Times New Roman" w:hAnsi="Times New Roman" w:cs="Times New Roman"/>
          <w:color w:val="020202"/>
          <w:lang w:val="en-US"/>
        </w:rPr>
        <w:t xml:space="preserve">, especially followers of Aristotle like </w:t>
      </w:r>
      <w:r w:rsidR="00DD5D52" w:rsidRPr="00A472FC">
        <w:rPr>
          <w:rFonts w:ascii="Times New Roman" w:hAnsi="Times New Roman" w:cs="Times New Roman"/>
          <w:color w:val="020202"/>
          <w:lang w:val="en-US"/>
        </w:rPr>
        <w:t xml:space="preserve">Albert the Great </w:t>
      </w:r>
      <w:r w:rsidR="00DD3521" w:rsidRPr="00A472FC">
        <w:rPr>
          <w:rFonts w:ascii="Times New Roman" w:hAnsi="Times New Roman" w:cs="Times New Roman"/>
          <w:color w:val="020202"/>
          <w:lang w:val="en-US"/>
        </w:rPr>
        <w:t xml:space="preserve">and </w:t>
      </w:r>
      <w:r w:rsidR="00717FAF" w:rsidRPr="00A472FC">
        <w:rPr>
          <w:rFonts w:ascii="Times New Roman" w:hAnsi="Times New Roman" w:cs="Times New Roman"/>
          <w:color w:val="020202"/>
          <w:lang w:val="en-US"/>
        </w:rPr>
        <w:t>Thomas Aquinas</w:t>
      </w:r>
      <w:r w:rsidR="008A7963" w:rsidRPr="00A472FC">
        <w:rPr>
          <w:rFonts w:ascii="Times New Roman" w:hAnsi="Times New Roman" w:cs="Times New Roman"/>
          <w:color w:val="020202"/>
          <w:lang w:val="en-US"/>
        </w:rPr>
        <w:t xml:space="preserve">. </w:t>
      </w:r>
      <w:r w:rsidR="00717FAF" w:rsidRPr="00A472FC">
        <w:rPr>
          <w:rFonts w:ascii="Times New Roman" w:hAnsi="Times New Roman" w:cs="Times New Roman"/>
          <w:color w:val="020202"/>
          <w:lang w:val="en-US"/>
        </w:rPr>
        <w:t xml:space="preserve">In this </w:t>
      </w:r>
      <w:r w:rsidR="005833E0" w:rsidRPr="00A472FC">
        <w:rPr>
          <w:rFonts w:ascii="Times New Roman" w:hAnsi="Times New Roman" w:cs="Times New Roman"/>
          <w:color w:val="020202"/>
          <w:lang w:val="en-US"/>
        </w:rPr>
        <w:t xml:space="preserve">later polemical </w:t>
      </w:r>
      <w:r w:rsidR="00717FAF" w:rsidRPr="00A472FC">
        <w:rPr>
          <w:rFonts w:ascii="Times New Roman" w:hAnsi="Times New Roman" w:cs="Times New Roman"/>
          <w:color w:val="020202"/>
          <w:lang w:val="en-US"/>
        </w:rPr>
        <w:t xml:space="preserve">context, the references to Avicenna and </w:t>
      </w:r>
      <w:proofErr w:type="spellStart"/>
      <w:r w:rsidR="00717FAF" w:rsidRPr="00A472FC">
        <w:rPr>
          <w:rFonts w:ascii="Times New Roman" w:hAnsi="Times New Roman" w:cs="Times New Roman"/>
          <w:color w:val="020202"/>
          <w:lang w:val="en-US"/>
        </w:rPr>
        <w:t>Avicebron</w:t>
      </w:r>
      <w:proofErr w:type="spellEnd"/>
      <w:r w:rsidR="00717FAF" w:rsidRPr="00A472FC">
        <w:rPr>
          <w:rFonts w:ascii="Times New Roman" w:hAnsi="Times New Roman" w:cs="Times New Roman"/>
          <w:color w:val="020202"/>
          <w:lang w:val="en-US"/>
        </w:rPr>
        <w:t xml:space="preserve"> fell away and the kinds of views we have been discussing became </w:t>
      </w:r>
      <w:r w:rsidR="00E21594" w:rsidRPr="00A472FC">
        <w:rPr>
          <w:rFonts w:ascii="Times New Roman" w:hAnsi="Times New Roman" w:cs="Times New Roman"/>
          <w:color w:val="020202"/>
          <w:lang w:val="en-US"/>
        </w:rPr>
        <w:t xml:space="preserve">more </w:t>
      </w:r>
      <w:r w:rsidR="00717FAF" w:rsidRPr="00A472FC">
        <w:rPr>
          <w:rFonts w:ascii="Times New Roman" w:hAnsi="Times New Roman" w:cs="Times New Roman"/>
          <w:color w:val="020202"/>
          <w:lang w:val="en-US"/>
        </w:rPr>
        <w:t>exclusively associated with Augustine</w:t>
      </w:r>
      <w:r w:rsidR="005833E0" w:rsidRPr="00A472FC">
        <w:rPr>
          <w:rFonts w:ascii="Times New Roman" w:hAnsi="Times New Roman" w:cs="Times New Roman"/>
          <w:color w:val="020202"/>
          <w:lang w:val="en-US"/>
        </w:rPr>
        <w:t>, starting not least with Bonaventure.</w:t>
      </w:r>
      <w:r w:rsidR="00451342" w:rsidRPr="00A472FC">
        <w:rPr>
          <w:rFonts w:ascii="Times New Roman" w:hAnsi="Times New Roman" w:cs="Times New Roman"/>
          <w:color w:val="020202"/>
          <w:lang w:val="en-US"/>
        </w:rPr>
        <w:t xml:space="preserve"> </w:t>
      </w:r>
    </w:p>
    <w:p w14:paraId="5B08CC8F" w14:textId="1CD03EA3" w:rsidR="00756306" w:rsidRPr="00A472FC" w:rsidRDefault="00E21594" w:rsidP="00DD5D52">
      <w:pPr>
        <w:ind w:right="-52" w:firstLine="720"/>
        <w:rPr>
          <w:rFonts w:ascii="Times New Roman" w:hAnsi="Times New Roman" w:cs="Times New Roman"/>
          <w:color w:val="020202"/>
          <w:lang w:val="en-US"/>
        </w:rPr>
      </w:pPr>
      <w:r w:rsidRPr="00A472FC">
        <w:rPr>
          <w:rFonts w:ascii="Times New Roman" w:hAnsi="Times New Roman" w:cs="Times New Roman"/>
          <w:color w:val="020202"/>
          <w:lang w:val="en-US"/>
        </w:rPr>
        <w:t>Through this study of human nature in Franciscan thought</w:t>
      </w:r>
      <w:r w:rsidR="005833E0" w:rsidRPr="00A472FC">
        <w:rPr>
          <w:rFonts w:ascii="Times New Roman" w:hAnsi="Times New Roman" w:cs="Times New Roman"/>
          <w:color w:val="020202"/>
          <w:lang w:val="en-US"/>
        </w:rPr>
        <w:t xml:space="preserve"> </w:t>
      </w:r>
      <w:r w:rsidR="005833E0" w:rsidRPr="00A472FC">
        <w:rPr>
          <w:rFonts w:ascii="Times New Roman" w:hAnsi="Times New Roman" w:cs="Times New Roman"/>
          <w:i/>
          <w:iCs/>
          <w:color w:val="020202"/>
          <w:lang w:val="en-US"/>
        </w:rPr>
        <w:t>before</w:t>
      </w:r>
      <w:r w:rsidR="005833E0" w:rsidRPr="00A472FC">
        <w:rPr>
          <w:rFonts w:ascii="Times New Roman" w:hAnsi="Times New Roman" w:cs="Times New Roman"/>
          <w:color w:val="020202"/>
          <w:lang w:val="en-US"/>
        </w:rPr>
        <w:t xml:space="preserve"> Bonaventure</w:t>
      </w:r>
      <w:r w:rsidRPr="00A472FC">
        <w:rPr>
          <w:rFonts w:ascii="Times New Roman" w:hAnsi="Times New Roman" w:cs="Times New Roman"/>
          <w:color w:val="020202"/>
          <w:lang w:val="en-US"/>
        </w:rPr>
        <w:t xml:space="preserve">, I have been seeking to bring those original sources back into the light along with the </w:t>
      </w:r>
      <w:r w:rsidR="00650A91" w:rsidRPr="00A472FC">
        <w:rPr>
          <w:rFonts w:ascii="Times New Roman" w:hAnsi="Times New Roman" w:cs="Times New Roman"/>
          <w:color w:val="020202"/>
          <w:lang w:val="en-US"/>
        </w:rPr>
        <w:t xml:space="preserve">theological motives for </w:t>
      </w:r>
      <w:r w:rsidR="0052133E" w:rsidRPr="00A472FC">
        <w:rPr>
          <w:rFonts w:ascii="Times New Roman" w:hAnsi="Times New Roman" w:cs="Times New Roman"/>
          <w:color w:val="020202"/>
          <w:lang w:val="en-US"/>
        </w:rPr>
        <w:t>adopting</w:t>
      </w:r>
      <w:r w:rsidR="00650A91" w:rsidRPr="00A472FC">
        <w:rPr>
          <w:rFonts w:ascii="Times New Roman" w:hAnsi="Times New Roman" w:cs="Times New Roman"/>
          <w:color w:val="020202"/>
          <w:lang w:val="en-US"/>
        </w:rPr>
        <w:t xml:space="preserve"> them in certain ways in the first place. The </w:t>
      </w:r>
      <w:proofErr w:type="spellStart"/>
      <w:r w:rsidR="00650A91" w:rsidRPr="00A472FC">
        <w:rPr>
          <w:rFonts w:ascii="Times New Roman" w:hAnsi="Times New Roman" w:cs="Times New Roman"/>
          <w:color w:val="020202"/>
          <w:lang w:val="en-US"/>
        </w:rPr>
        <w:t>Arabo-Latin</w:t>
      </w:r>
      <w:proofErr w:type="spellEnd"/>
      <w:r w:rsidR="00650A91" w:rsidRPr="00A472FC">
        <w:rPr>
          <w:rFonts w:ascii="Times New Roman" w:hAnsi="Times New Roman" w:cs="Times New Roman"/>
          <w:color w:val="020202"/>
          <w:lang w:val="en-US"/>
        </w:rPr>
        <w:t xml:space="preserve"> translation movement certainly inspired early scholastics—not just Franciscans</w:t>
      </w:r>
      <w:r w:rsidR="0018206F" w:rsidRPr="00A472FC">
        <w:rPr>
          <w:rFonts w:ascii="Times New Roman" w:hAnsi="Times New Roman" w:cs="Times New Roman"/>
          <w:color w:val="020202"/>
          <w:lang w:val="en-US"/>
        </w:rPr>
        <w:t xml:space="preserve">—to define some of their cherished theological principles more specifically. However, the reason early Franciscans favored certain interpretations of those principles and continued to champion them long after they had been abandoned by Dominican and even secular counterparts, comes down to </w:t>
      </w:r>
      <w:r w:rsidR="0052133E" w:rsidRPr="00A472FC">
        <w:rPr>
          <w:rFonts w:ascii="Times New Roman" w:hAnsi="Times New Roman" w:cs="Times New Roman"/>
          <w:color w:val="020202"/>
          <w:lang w:val="en-US"/>
        </w:rPr>
        <w:t xml:space="preserve">way they gave expression to </w:t>
      </w:r>
      <w:r w:rsidR="0018206F" w:rsidRPr="00A472FC">
        <w:rPr>
          <w:rFonts w:ascii="Times New Roman" w:hAnsi="Times New Roman" w:cs="Times New Roman"/>
          <w:color w:val="020202"/>
          <w:lang w:val="en-US"/>
        </w:rPr>
        <w:t>the distinctly Franciscan ethos</w:t>
      </w:r>
      <w:r w:rsidR="00283C4A" w:rsidRPr="00A472FC">
        <w:rPr>
          <w:rFonts w:ascii="Times New Roman" w:hAnsi="Times New Roman" w:cs="Times New Roman"/>
          <w:color w:val="020202"/>
          <w:lang w:val="en-US"/>
        </w:rPr>
        <w:t>,</w:t>
      </w:r>
      <w:r w:rsidR="0018206F" w:rsidRPr="00A472FC">
        <w:rPr>
          <w:rFonts w:ascii="Times New Roman" w:hAnsi="Times New Roman" w:cs="Times New Roman"/>
          <w:color w:val="020202"/>
          <w:lang w:val="en-US"/>
        </w:rPr>
        <w:t xml:space="preserve"> and </w:t>
      </w:r>
      <w:r w:rsidR="0052133E" w:rsidRPr="00A472FC">
        <w:rPr>
          <w:rFonts w:ascii="Times New Roman" w:hAnsi="Times New Roman" w:cs="Times New Roman"/>
          <w:color w:val="020202"/>
          <w:lang w:val="en-US"/>
        </w:rPr>
        <w:t xml:space="preserve">helped to </w:t>
      </w:r>
      <w:r w:rsidR="003314FE" w:rsidRPr="00A472FC">
        <w:rPr>
          <w:rFonts w:ascii="Times New Roman" w:hAnsi="Times New Roman" w:cs="Times New Roman"/>
          <w:color w:val="020202"/>
          <w:lang w:val="en-US"/>
        </w:rPr>
        <w:t>achieve</w:t>
      </w:r>
      <w:r w:rsidR="0018206F" w:rsidRPr="00A472FC">
        <w:rPr>
          <w:rFonts w:ascii="Times New Roman" w:hAnsi="Times New Roman" w:cs="Times New Roman"/>
          <w:color w:val="020202"/>
          <w:lang w:val="en-US"/>
        </w:rPr>
        <w:t xml:space="preserve"> specif</w:t>
      </w:r>
      <w:r w:rsidR="00E73EDB" w:rsidRPr="00A472FC">
        <w:rPr>
          <w:rFonts w:ascii="Times New Roman" w:hAnsi="Times New Roman" w:cs="Times New Roman"/>
          <w:color w:val="020202"/>
          <w:lang w:val="en-US"/>
        </w:rPr>
        <w:t>i</w:t>
      </w:r>
      <w:r w:rsidR="0018206F" w:rsidRPr="00A472FC">
        <w:rPr>
          <w:rFonts w:ascii="Times New Roman" w:hAnsi="Times New Roman" w:cs="Times New Roman"/>
          <w:color w:val="020202"/>
          <w:lang w:val="en-US"/>
        </w:rPr>
        <w:t>cally Franciscan ends</w:t>
      </w:r>
      <w:r w:rsidR="003314FE" w:rsidRPr="00A472FC">
        <w:rPr>
          <w:rFonts w:ascii="Times New Roman" w:hAnsi="Times New Roman" w:cs="Times New Roman"/>
          <w:color w:val="020202"/>
          <w:lang w:val="en-US"/>
        </w:rPr>
        <w:t>, in the context of the new universities.</w:t>
      </w:r>
    </w:p>
    <w:p w14:paraId="5F2EC4BD" w14:textId="77777777" w:rsidR="00665333" w:rsidRPr="00A472FC" w:rsidRDefault="00665333" w:rsidP="00EB51A0">
      <w:pPr>
        <w:ind w:right="-52"/>
        <w:rPr>
          <w:rFonts w:ascii="Times New Roman" w:eastAsia="Times New Roman" w:hAnsi="Times New Roman" w:cs="Times New Roman"/>
          <w:color w:val="222222"/>
          <w:shd w:val="clear" w:color="auto" w:fill="FFFFFF"/>
        </w:rPr>
        <w:sectPr w:rsidR="00665333" w:rsidRPr="00A472FC" w:rsidSect="009B726A">
          <w:footerReference w:type="even" r:id="rId91"/>
          <w:footerReference w:type="default" r:id="rId92"/>
          <w:footnotePr>
            <w:numRestart w:val="eachSect"/>
          </w:footnotePr>
          <w:endnotePr>
            <w:numFmt w:val="decimal"/>
          </w:endnotePr>
          <w:type w:val="continuous"/>
          <w:pgSz w:w="11900" w:h="16840"/>
          <w:pgMar w:top="1440" w:right="1440" w:bottom="1440" w:left="1440" w:header="720" w:footer="720" w:gutter="0"/>
          <w:cols w:space="720"/>
          <w:docGrid w:linePitch="360"/>
        </w:sectPr>
      </w:pPr>
    </w:p>
    <w:p w14:paraId="01F9EB45" w14:textId="77777777" w:rsidR="006A6E61" w:rsidRPr="00A472FC" w:rsidRDefault="006A6E61" w:rsidP="00881604">
      <w:pPr>
        <w:ind w:right="-52"/>
        <w:jc w:val="center"/>
        <w:rPr>
          <w:rFonts w:ascii="Times New Roman" w:eastAsia="Times New Roman" w:hAnsi="Times New Roman" w:cs="Times New Roman"/>
          <w:b/>
          <w:color w:val="222222"/>
          <w:shd w:val="clear" w:color="auto" w:fill="FFFFFF"/>
        </w:rPr>
      </w:pPr>
      <w:r w:rsidRPr="00A472FC">
        <w:rPr>
          <w:rFonts w:ascii="Times New Roman" w:eastAsia="Times New Roman" w:hAnsi="Times New Roman" w:cs="Times New Roman"/>
          <w:b/>
          <w:color w:val="222222"/>
          <w:shd w:val="clear" w:color="auto" w:fill="FFFFFF"/>
        </w:rPr>
        <w:lastRenderedPageBreak/>
        <w:t>Bibliography</w:t>
      </w:r>
    </w:p>
    <w:p w14:paraId="6BC35DA0" w14:textId="77777777" w:rsidR="006A6E61" w:rsidRPr="00A472FC" w:rsidRDefault="006A6E61" w:rsidP="00881604">
      <w:pPr>
        <w:ind w:right="-52"/>
        <w:rPr>
          <w:rFonts w:ascii="Times New Roman" w:hAnsi="Times New Roman" w:cs="Times New Roman"/>
          <w:b/>
        </w:rPr>
      </w:pPr>
    </w:p>
    <w:p w14:paraId="40EBBFBC" w14:textId="77777777" w:rsidR="006A6E61" w:rsidRPr="00A472FC" w:rsidRDefault="006A6E61" w:rsidP="00881604">
      <w:pPr>
        <w:ind w:right="-52"/>
        <w:rPr>
          <w:rFonts w:ascii="Times New Roman" w:hAnsi="Times New Roman" w:cs="Times New Roman"/>
          <w:b/>
        </w:rPr>
      </w:pPr>
      <w:r w:rsidRPr="00A472FC">
        <w:rPr>
          <w:rFonts w:ascii="Times New Roman" w:hAnsi="Times New Roman" w:cs="Times New Roman"/>
          <w:b/>
        </w:rPr>
        <w:t>Primary Literature</w:t>
      </w:r>
    </w:p>
    <w:p w14:paraId="2F275C66" w14:textId="77777777" w:rsidR="006A6E61" w:rsidRPr="00A472FC" w:rsidRDefault="006A6E61" w:rsidP="00881604">
      <w:pPr>
        <w:ind w:right="-52"/>
        <w:rPr>
          <w:rFonts w:ascii="Times New Roman" w:hAnsi="Times New Roman" w:cs="Times New Roman"/>
        </w:rPr>
      </w:pPr>
    </w:p>
    <w:p w14:paraId="14108B60" w14:textId="6360E33A" w:rsidR="006A6E61" w:rsidRPr="00A472FC" w:rsidRDefault="006A6E61" w:rsidP="00881604">
      <w:pPr>
        <w:ind w:left="426" w:right="-52" w:hanging="426"/>
        <w:rPr>
          <w:rFonts w:ascii="Times New Roman" w:hAnsi="Times New Roman" w:cs="Times New Roman"/>
        </w:rPr>
      </w:pPr>
      <w:proofErr w:type="spellStart"/>
      <w:r w:rsidRPr="00A472FC">
        <w:rPr>
          <w:rFonts w:ascii="Times New Roman" w:hAnsi="Times New Roman" w:cs="Times New Roman"/>
        </w:rPr>
        <w:t>Aelr</w:t>
      </w:r>
      <w:r w:rsidR="0038021C" w:rsidRPr="00A472FC">
        <w:rPr>
          <w:rFonts w:ascii="Times New Roman" w:hAnsi="Times New Roman" w:cs="Times New Roman"/>
        </w:rPr>
        <w:t>e</w:t>
      </w:r>
      <w:r w:rsidRPr="00A472FC">
        <w:rPr>
          <w:rFonts w:ascii="Times New Roman" w:hAnsi="Times New Roman" w:cs="Times New Roman"/>
        </w:rPr>
        <w:t>d</w:t>
      </w:r>
      <w:proofErr w:type="spellEnd"/>
      <w:r w:rsidRPr="00A472FC">
        <w:rPr>
          <w:rFonts w:ascii="Times New Roman" w:hAnsi="Times New Roman" w:cs="Times New Roman"/>
        </w:rPr>
        <w:t xml:space="preserve"> of </w:t>
      </w:r>
      <w:proofErr w:type="spellStart"/>
      <w:r w:rsidR="00E206BE" w:rsidRPr="00A472FC">
        <w:rPr>
          <w:rFonts w:ascii="Times New Roman" w:hAnsi="Times New Roman" w:cs="Times New Roman"/>
        </w:rPr>
        <w:t>Rievaulx</w:t>
      </w:r>
      <w:proofErr w:type="spellEnd"/>
      <w:r w:rsidR="00203782" w:rsidRPr="00A472FC">
        <w:rPr>
          <w:rFonts w:ascii="Times New Roman" w:hAnsi="Times New Roman" w:cs="Times New Roman"/>
        </w:rPr>
        <w:t>.</w:t>
      </w:r>
      <w:r w:rsidRPr="00A472FC">
        <w:rPr>
          <w:rFonts w:ascii="Times New Roman" w:hAnsi="Times New Roman" w:cs="Times New Roman"/>
        </w:rPr>
        <w:t xml:space="preserve"> </w:t>
      </w:r>
      <w:r w:rsidRPr="00A472FC">
        <w:rPr>
          <w:rFonts w:ascii="Times New Roman" w:hAnsi="Times New Roman" w:cs="Times New Roman"/>
          <w:i/>
        </w:rPr>
        <w:t xml:space="preserve">De anima. </w:t>
      </w:r>
      <w:r w:rsidRPr="00A472FC">
        <w:rPr>
          <w:rFonts w:ascii="Times New Roman" w:hAnsi="Times New Roman" w:cs="Times New Roman"/>
        </w:rPr>
        <w:t xml:space="preserve">London: Warburg Institute, 1952.  </w:t>
      </w:r>
    </w:p>
    <w:p w14:paraId="59BF9EF1" w14:textId="5DB30352" w:rsidR="006A6E61" w:rsidRPr="00A472FC" w:rsidRDefault="006A6E61" w:rsidP="00881604">
      <w:pPr>
        <w:ind w:left="426" w:right="-52" w:hanging="426"/>
        <w:rPr>
          <w:rFonts w:ascii="Times New Roman" w:hAnsi="Times New Roman" w:cs="Times New Roman"/>
          <w:color w:val="000000" w:themeColor="text1"/>
        </w:rPr>
      </w:pPr>
      <w:proofErr w:type="spellStart"/>
      <w:r w:rsidRPr="00A472FC">
        <w:rPr>
          <w:rFonts w:ascii="Times New Roman" w:hAnsi="Times New Roman" w:cs="Times New Roman"/>
          <w:iCs/>
          <w:color w:val="000000" w:themeColor="text1"/>
          <w:lang w:val="fr-FR"/>
        </w:rPr>
        <w:t>Alcher</w:t>
      </w:r>
      <w:proofErr w:type="spellEnd"/>
      <w:r w:rsidRPr="00A472FC">
        <w:rPr>
          <w:rFonts w:ascii="Times New Roman" w:hAnsi="Times New Roman" w:cs="Times New Roman"/>
          <w:iCs/>
          <w:color w:val="000000" w:themeColor="text1"/>
          <w:lang w:val="fr-FR"/>
        </w:rPr>
        <w:t xml:space="preserve"> of </w:t>
      </w:r>
      <w:proofErr w:type="spellStart"/>
      <w:r w:rsidRPr="00A472FC">
        <w:rPr>
          <w:rFonts w:ascii="Times New Roman" w:hAnsi="Times New Roman" w:cs="Times New Roman"/>
          <w:iCs/>
          <w:color w:val="000000" w:themeColor="text1"/>
          <w:lang w:val="fr-FR"/>
        </w:rPr>
        <w:t>Clairvaux</w:t>
      </w:r>
      <w:proofErr w:type="spellEnd"/>
      <w:r w:rsidRPr="00A472FC">
        <w:rPr>
          <w:rFonts w:ascii="Times New Roman" w:hAnsi="Times New Roman" w:cs="Times New Roman"/>
          <w:iCs/>
          <w:color w:val="000000" w:themeColor="text1"/>
          <w:lang w:val="fr-FR"/>
        </w:rPr>
        <w:t>.</w:t>
      </w:r>
      <w:r w:rsidRPr="00A472FC">
        <w:rPr>
          <w:rFonts w:ascii="Times New Roman" w:hAnsi="Times New Roman" w:cs="Times New Roman"/>
          <w:i/>
          <w:iCs/>
          <w:color w:val="000000" w:themeColor="text1"/>
          <w:lang w:val="fr-FR"/>
        </w:rPr>
        <w:t xml:space="preserve"> </w:t>
      </w:r>
      <w:r w:rsidRPr="00A472FC">
        <w:rPr>
          <w:rFonts w:ascii="Times New Roman" w:hAnsi="Times New Roman" w:cs="Times New Roman"/>
          <w:i/>
          <w:color w:val="000000" w:themeColor="text1"/>
          <w:lang w:val="en-US"/>
        </w:rPr>
        <w:t xml:space="preserve">De </w:t>
      </w:r>
      <w:proofErr w:type="spellStart"/>
      <w:r w:rsidRPr="00A472FC">
        <w:rPr>
          <w:rFonts w:ascii="Times New Roman" w:hAnsi="Times New Roman" w:cs="Times New Roman"/>
          <w:i/>
          <w:color w:val="000000" w:themeColor="text1"/>
          <w:lang w:val="en-US"/>
        </w:rPr>
        <w:t>spiritu</w:t>
      </w:r>
      <w:proofErr w:type="spellEnd"/>
      <w:r w:rsidRPr="00A472FC">
        <w:rPr>
          <w:rFonts w:ascii="Times New Roman" w:hAnsi="Times New Roman" w:cs="Times New Roman"/>
          <w:i/>
          <w:color w:val="000000" w:themeColor="text1"/>
          <w:lang w:val="en-US"/>
        </w:rPr>
        <w:t xml:space="preserve"> et anima. </w:t>
      </w:r>
      <w:r w:rsidRPr="00A472FC">
        <w:rPr>
          <w:rFonts w:ascii="Times New Roman" w:hAnsi="Times New Roman" w:cs="Times New Roman"/>
          <w:color w:val="000000" w:themeColor="text1"/>
          <w:lang w:val="en-US"/>
        </w:rPr>
        <w:t xml:space="preserve">PL 40. </w:t>
      </w:r>
      <w:r w:rsidR="00203782" w:rsidRPr="00A472FC">
        <w:rPr>
          <w:rFonts w:ascii="Times New Roman" w:hAnsi="Times New Roman" w:cs="Times New Roman"/>
          <w:color w:val="000000" w:themeColor="text1"/>
        </w:rPr>
        <w:t xml:space="preserve">In </w:t>
      </w:r>
      <w:r w:rsidRPr="00A472FC">
        <w:rPr>
          <w:rFonts w:ascii="Times New Roman" w:hAnsi="Times New Roman" w:cs="Times New Roman"/>
          <w:i/>
          <w:iCs/>
          <w:color w:val="000000" w:themeColor="text1"/>
        </w:rPr>
        <w:t xml:space="preserve">Three Treatises on Man: </w:t>
      </w:r>
      <w:r w:rsidR="00203782" w:rsidRPr="00A472FC">
        <w:rPr>
          <w:rFonts w:ascii="Times New Roman" w:hAnsi="Times New Roman" w:cs="Times New Roman"/>
          <w:i/>
          <w:iCs/>
          <w:color w:val="000000" w:themeColor="text1"/>
        </w:rPr>
        <w:t xml:space="preserve">A </w:t>
      </w:r>
      <w:r w:rsidRPr="00A472FC">
        <w:rPr>
          <w:rFonts w:ascii="Times New Roman" w:hAnsi="Times New Roman" w:cs="Times New Roman"/>
          <w:i/>
          <w:iCs/>
          <w:color w:val="000000" w:themeColor="text1"/>
        </w:rPr>
        <w:t>Cistercian Anthropology</w:t>
      </w:r>
      <w:r w:rsidRPr="00A472FC">
        <w:rPr>
          <w:rFonts w:ascii="Times New Roman" w:hAnsi="Times New Roman" w:cs="Times New Roman"/>
          <w:color w:val="000000" w:themeColor="text1"/>
        </w:rPr>
        <w:t xml:space="preserve">. </w:t>
      </w:r>
      <w:r w:rsidR="00F71825" w:rsidRPr="00A472FC">
        <w:rPr>
          <w:rFonts w:ascii="Times New Roman" w:hAnsi="Times New Roman" w:cs="Times New Roman"/>
          <w:color w:val="000000" w:themeColor="text1"/>
        </w:rPr>
        <w:t xml:space="preserve">Translated by Benjamin Clark. </w:t>
      </w:r>
      <w:r w:rsidR="002C3249" w:rsidRPr="00A472FC">
        <w:rPr>
          <w:rFonts w:ascii="Times New Roman" w:hAnsi="Times New Roman" w:cs="Times New Roman"/>
          <w:color w:val="000000" w:themeColor="text1"/>
        </w:rPr>
        <w:t xml:space="preserve">Edited by Bernard </w:t>
      </w:r>
      <w:proofErr w:type="spellStart"/>
      <w:r w:rsidR="002C3249" w:rsidRPr="00A472FC">
        <w:rPr>
          <w:rFonts w:ascii="Times New Roman" w:hAnsi="Times New Roman" w:cs="Times New Roman"/>
          <w:color w:val="000000" w:themeColor="text1"/>
        </w:rPr>
        <w:t>McGinn</w:t>
      </w:r>
      <w:proofErr w:type="spellEnd"/>
      <w:r w:rsidR="002C3249" w:rsidRPr="00A472FC">
        <w:rPr>
          <w:rFonts w:ascii="Times New Roman" w:hAnsi="Times New Roman" w:cs="Times New Roman"/>
          <w:color w:val="000000" w:themeColor="text1"/>
        </w:rPr>
        <w:t xml:space="preserve">. </w:t>
      </w:r>
      <w:r w:rsidRPr="00A472FC">
        <w:rPr>
          <w:rFonts w:ascii="Times New Roman" w:hAnsi="Times New Roman" w:cs="Times New Roman"/>
          <w:color w:val="000000" w:themeColor="text1"/>
        </w:rPr>
        <w:t>Kalamazoo, MI: Cistercian Publishers, 1977.  </w:t>
      </w:r>
    </w:p>
    <w:p w14:paraId="6339FF6B" w14:textId="2EEC480B" w:rsidR="00450BC6" w:rsidRPr="00A472FC" w:rsidRDefault="006A6E61" w:rsidP="00881604">
      <w:pPr>
        <w:autoSpaceDE w:val="0"/>
        <w:autoSpaceDN w:val="0"/>
        <w:adjustRightInd w:val="0"/>
        <w:ind w:left="720" w:right="-52" w:hanging="720"/>
        <w:rPr>
          <w:rFonts w:ascii="Times New Roman" w:hAnsi="Times New Roman" w:cs="Times New Roman"/>
          <w:lang w:val="en-US"/>
        </w:rPr>
      </w:pPr>
      <w:r w:rsidRPr="00A472FC">
        <w:rPr>
          <w:rFonts w:ascii="Times New Roman" w:hAnsi="Times New Roman" w:cs="Times New Roman"/>
        </w:rPr>
        <w:t xml:space="preserve">Alexander of </w:t>
      </w:r>
      <w:proofErr w:type="spellStart"/>
      <w:r w:rsidRPr="00A472FC">
        <w:rPr>
          <w:rFonts w:ascii="Times New Roman" w:hAnsi="Times New Roman" w:cs="Times New Roman"/>
        </w:rPr>
        <w:t>Aphrodisias</w:t>
      </w:r>
      <w:proofErr w:type="spellEnd"/>
      <w:r w:rsidRPr="00A472FC">
        <w:rPr>
          <w:rFonts w:ascii="Times New Roman" w:hAnsi="Times New Roman" w:cs="Times New Roman"/>
        </w:rPr>
        <w:t xml:space="preserve">. </w:t>
      </w:r>
      <w:r w:rsidR="00450BC6" w:rsidRPr="00A472FC">
        <w:rPr>
          <w:rFonts w:ascii="Times New Roman" w:hAnsi="Times New Roman" w:cs="Times New Roman"/>
          <w:i/>
          <w:iCs/>
          <w:lang w:val="en-US"/>
        </w:rPr>
        <w:t xml:space="preserve">De anima. </w:t>
      </w:r>
      <w:r w:rsidR="00450BC6" w:rsidRPr="00A472FC">
        <w:rPr>
          <w:rFonts w:ascii="Times New Roman" w:hAnsi="Times New Roman" w:cs="Times New Roman"/>
          <w:iCs/>
          <w:lang w:val="en-US"/>
        </w:rPr>
        <w:t>Edited by</w:t>
      </w:r>
      <w:r w:rsidR="00450BC6" w:rsidRPr="00A472FC">
        <w:rPr>
          <w:rFonts w:ascii="Times New Roman" w:hAnsi="Times New Roman" w:cs="Times New Roman"/>
          <w:lang w:val="en-US"/>
        </w:rPr>
        <w:t xml:space="preserve"> Ivo </w:t>
      </w:r>
      <w:proofErr w:type="spellStart"/>
      <w:r w:rsidR="00450BC6" w:rsidRPr="00A472FC">
        <w:rPr>
          <w:rFonts w:ascii="Times New Roman" w:hAnsi="Times New Roman" w:cs="Times New Roman"/>
          <w:lang w:val="en-US"/>
        </w:rPr>
        <w:t>Bruns</w:t>
      </w:r>
      <w:proofErr w:type="spellEnd"/>
      <w:r w:rsidR="00DA0D0F" w:rsidRPr="00A472FC">
        <w:rPr>
          <w:rFonts w:ascii="Times New Roman" w:hAnsi="Times New Roman" w:cs="Times New Roman"/>
          <w:lang w:val="en-US"/>
        </w:rPr>
        <w:t xml:space="preserve">. In </w:t>
      </w:r>
      <w:r w:rsidR="00450BC6" w:rsidRPr="00A472FC">
        <w:rPr>
          <w:rFonts w:ascii="Times New Roman" w:hAnsi="Times New Roman" w:cs="Times New Roman"/>
          <w:i/>
          <w:iCs/>
          <w:lang w:val="en-US"/>
        </w:rPr>
        <w:t xml:space="preserve">Pars I, </w:t>
      </w:r>
      <w:proofErr w:type="spellStart"/>
      <w:r w:rsidR="00450BC6" w:rsidRPr="00A472FC">
        <w:rPr>
          <w:rFonts w:ascii="Times New Roman" w:hAnsi="Times New Roman" w:cs="Times New Roman"/>
          <w:i/>
          <w:iCs/>
          <w:lang w:val="en-US"/>
        </w:rPr>
        <w:t>Voluminis</w:t>
      </w:r>
      <w:proofErr w:type="spellEnd"/>
      <w:r w:rsidR="00450BC6" w:rsidRPr="00A472FC">
        <w:rPr>
          <w:rFonts w:ascii="Times New Roman" w:hAnsi="Times New Roman" w:cs="Times New Roman"/>
          <w:i/>
          <w:iCs/>
          <w:lang w:val="en-US"/>
        </w:rPr>
        <w:t xml:space="preserve"> II: </w:t>
      </w:r>
      <w:proofErr w:type="spellStart"/>
      <w:r w:rsidR="00450BC6" w:rsidRPr="00A472FC">
        <w:rPr>
          <w:rFonts w:ascii="Times New Roman" w:hAnsi="Times New Roman" w:cs="Times New Roman"/>
          <w:i/>
          <w:iCs/>
          <w:lang w:val="en-US"/>
        </w:rPr>
        <w:t>Alexandri</w:t>
      </w:r>
      <w:proofErr w:type="spellEnd"/>
      <w:r w:rsidR="00450BC6" w:rsidRPr="00A472FC">
        <w:rPr>
          <w:rFonts w:ascii="Times New Roman" w:hAnsi="Times New Roman" w:cs="Times New Roman"/>
          <w:i/>
          <w:iCs/>
          <w:lang w:val="en-US"/>
        </w:rPr>
        <w:t xml:space="preserve"> </w:t>
      </w:r>
      <w:proofErr w:type="spellStart"/>
      <w:r w:rsidR="00450BC6" w:rsidRPr="00A472FC">
        <w:rPr>
          <w:rFonts w:ascii="Times New Roman" w:hAnsi="Times New Roman" w:cs="Times New Roman"/>
          <w:i/>
          <w:iCs/>
          <w:lang w:val="en-US"/>
        </w:rPr>
        <w:t>Aphrodisiensis</w:t>
      </w:r>
      <w:proofErr w:type="spellEnd"/>
      <w:r w:rsidR="00450BC6" w:rsidRPr="00A472FC">
        <w:rPr>
          <w:rFonts w:ascii="Times New Roman" w:hAnsi="Times New Roman" w:cs="Times New Roman"/>
          <w:i/>
          <w:iCs/>
          <w:lang w:val="en-US"/>
        </w:rPr>
        <w:t xml:space="preserve">, </w:t>
      </w:r>
      <w:proofErr w:type="spellStart"/>
      <w:r w:rsidR="00450BC6" w:rsidRPr="00A472FC">
        <w:rPr>
          <w:rFonts w:ascii="Times New Roman" w:hAnsi="Times New Roman" w:cs="Times New Roman"/>
          <w:i/>
          <w:iCs/>
          <w:lang w:val="en-US"/>
        </w:rPr>
        <w:t>Praeter</w:t>
      </w:r>
      <w:proofErr w:type="spellEnd"/>
      <w:r w:rsidR="00450BC6" w:rsidRPr="00A472FC">
        <w:rPr>
          <w:rFonts w:ascii="Times New Roman" w:hAnsi="Times New Roman" w:cs="Times New Roman"/>
          <w:i/>
          <w:iCs/>
          <w:lang w:val="en-US"/>
        </w:rPr>
        <w:t xml:space="preserve"> </w:t>
      </w:r>
      <w:proofErr w:type="spellStart"/>
      <w:r w:rsidR="00450BC6" w:rsidRPr="00A472FC">
        <w:rPr>
          <w:rFonts w:ascii="Times New Roman" w:hAnsi="Times New Roman" w:cs="Times New Roman"/>
          <w:i/>
          <w:iCs/>
          <w:lang w:val="en-US"/>
        </w:rPr>
        <w:t>Commentaria</w:t>
      </w:r>
      <w:proofErr w:type="spellEnd"/>
      <w:r w:rsidR="00450BC6" w:rsidRPr="00A472FC">
        <w:rPr>
          <w:rFonts w:ascii="Times New Roman" w:hAnsi="Times New Roman" w:cs="Times New Roman"/>
          <w:i/>
          <w:iCs/>
          <w:lang w:val="en-US"/>
        </w:rPr>
        <w:t xml:space="preserve"> </w:t>
      </w:r>
      <w:proofErr w:type="spellStart"/>
      <w:r w:rsidR="00450BC6" w:rsidRPr="00A472FC">
        <w:rPr>
          <w:rFonts w:ascii="Times New Roman" w:hAnsi="Times New Roman" w:cs="Times New Roman"/>
          <w:i/>
          <w:iCs/>
          <w:lang w:val="en-US"/>
        </w:rPr>
        <w:t>Scripta</w:t>
      </w:r>
      <w:proofErr w:type="spellEnd"/>
      <w:r w:rsidR="00450BC6" w:rsidRPr="00A472FC">
        <w:rPr>
          <w:rFonts w:ascii="Times New Roman" w:hAnsi="Times New Roman" w:cs="Times New Roman"/>
          <w:i/>
          <w:iCs/>
          <w:lang w:val="en-US"/>
        </w:rPr>
        <w:t xml:space="preserve"> </w:t>
      </w:r>
      <w:proofErr w:type="spellStart"/>
      <w:r w:rsidR="00450BC6" w:rsidRPr="00A472FC">
        <w:rPr>
          <w:rFonts w:ascii="Times New Roman" w:hAnsi="Times New Roman" w:cs="Times New Roman"/>
          <w:i/>
          <w:iCs/>
          <w:lang w:val="en-US"/>
        </w:rPr>
        <w:t>Minora</w:t>
      </w:r>
      <w:proofErr w:type="spellEnd"/>
      <w:r w:rsidR="00450BC6" w:rsidRPr="00A472FC">
        <w:rPr>
          <w:rFonts w:ascii="Times New Roman" w:hAnsi="Times New Roman" w:cs="Times New Roman"/>
          <w:i/>
          <w:iCs/>
          <w:lang w:val="en-US"/>
        </w:rPr>
        <w:t xml:space="preserve">, </w:t>
      </w:r>
      <w:proofErr w:type="spellStart"/>
      <w:r w:rsidR="00450BC6" w:rsidRPr="00A472FC">
        <w:rPr>
          <w:rFonts w:ascii="Times New Roman" w:hAnsi="Times New Roman" w:cs="Times New Roman"/>
          <w:i/>
          <w:iCs/>
          <w:lang w:val="en-US"/>
        </w:rPr>
        <w:t>Commentaria</w:t>
      </w:r>
      <w:proofErr w:type="spellEnd"/>
      <w:r w:rsidR="00450BC6" w:rsidRPr="00A472FC">
        <w:rPr>
          <w:rFonts w:ascii="Times New Roman" w:hAnsi="Times New Roman" w:cs="Times New Roman"/>
          <w:i/>
          <w:iCs/>
          <w:lang w:val="en-US"/>
        </w:rPr>
        <w:t xml:space="preserve"> in </w:t>
      </w:r>
      <w:proofErr w:type="spellStart"/>
      <w:r w:rsidR="00450BC6" w:rsidRPr="00A472FC">
        <w:rPr>
          <w:rFonts w:ascii="Times New Roman" w:hAnsi="Times New Roman" w:cs="Times New Roman"/>
          <w:i/>
          <w:iCs/>
          <w:lang w:val="en-US"/>
        </w:rPr>
        <w:t>Aristotelem</w:t>
      </w:r>
      <w:proofErr w:type="spellEnd"/>
      <w:r w:rsidR="00450BC6" w:rsidRPr="00A472FC">
        <w:rPr>
          <w:rFonts w:ascii="Times New Roman" w:hAnsi="Times New Roman" w:cs="Times New Roman"/>
          <w:i/>
          <w:iCs/>
          <w:lang w:val="en-US"/>
        </w:rPr>
        <w:t xml:space="preserve"> </w:t>
      </w:r>
      <w:proofErr w:type="spellStart"/>
      <w:r w:rsidR="00450BC6" w:rsidRPr="00A472FC">
        <w:rPr>
          <w:rFonts w:ascii="Times New Roman" w:hAnsi="Times New Roman" w:cs="Times New Roman"/>
          <w:i/>
          <w:iCs/>
          <w:lang w:val="en-US"/>
        </w:rPr>
        <w:t>Graeca</w:t>
      </w:r>
      <w:proofErr w:type="spellEnd"/>
      <w:r w:rsidR="00450BC6" w:rsidRPr="00A472FC">
        <w:rPr>
          <w:rFonts w:ascii="Times New Roman" w:hAnsi="Times New Roman" w:cs="Times New Roman"/>
          <w:lang w:val="en-US"/>
        </w:rPr>
        <w:t xml:space="preserve">. </w:t>
      </w:r>
      <w:proofErr w:type="spellStart"/>
      <w:r w:rsidR="00450BC6" w:rsidRPr="00A472FC">
        <w:rPr>
          <w:rFonts w:ascii="Times New Roman" w:hAnsi="Times New Roman" w:cs="Times New Roman"/>
          <w:lang w:val="en-US"/>
        </w:rPr>
        <w:t>Berolini</w:t>
      </w:r>
      <w:proofErr w:type="spellEnd"/>
      <w:r w:rsidR="00450BC6" w:rsidRPr="00A472FC">
        <w:rPr>
          <w:rFonts w:ascii="Times New Roman" w:hAnsi="Times New Roman" w:cs="Times New Roman"/>
          <w:lang w:val="en-US"/>
        </w:rPr>
        <w:t xml:space="preserve">: </w:t>
      </w:r>
      <w:proofErr w:type="spellStart"/>
      <w:r w:rsidR="00450BC6" w:rsidRPr="00A472FC">
        <w:rPr>
          <w:rFonts w:ascii="Times New Roman" w:hAnsi="Times New Roman" w:cs="Times New Roman"/>
          <w:lang w:val="en-US"/>
        </w:rPr>
        <w:t>Typis</w:t>
      </w:r>
      <w:proofErr w:type="spellEnd"/>
      <w:r w:rsidR="00450BC6" w:rsidRPr="00A472FC">
        <w:rPr>
          <w:rFonts w:ascii="Times New Roman" w:hAnsi="Times New Roman" w:cs="Times New Roman"/>
          <w:lang w:val="en-US"/>
        </w:rPr>
        <w:t xml:space="preserve"> et </w:t>
      </w:r>
      <w:proofErr w:type="spellStart"/>
      <w:r w:rsidR="00450BC6" w:rsidRPr="00A472FC">
        <w:rPr>
          <w:rFonts w:ascii="Times New Roman" w:hAnsi="Times New Roman" w:cs="Times New Roman"/>
          <w:lang w:val="en-US"/>
        </w:rPr>
        <w:t>Impensis</w:t>
      </w:r>
      <w:proofErr w:type="spellEnd"/>
      <w:r w:rsidR="00450BC6" w:rsidRPr="00A472FC">
        <w:rPr>
          <w:rFonts w:ascii="Times New Roman" w:hAnsi="Times New Roman" w:cs="Times New Roman"/>
          <w:lang w:val="en-US"/>
        </w:rPr>
        <w:t xml:space="preserve"> </w:t>
      </w:r>
      <w:proofErr w:type="spellStart"/>
      <w:r w:rsidR="00450BC6" w:rsidRPr="00A472FC">
        <w:rPr>
          <w:rFonts w:ascii="Times New Roman" w:hAnsi="Times New Roman" w:cs="Times New Roman"/>
          <w:lang w:val="en-US"/>
        </w:rPr>
        <w:t>Georgii</w:t>
      </w:r>
      <w:proofErr w:type="spellEnd"/>
      <w:r w:rsidR="00450BC6" w:rsidRPr="00A472FC">
        <w:rPr>
          <w:rFonts w:ascii="Times New Roman" w:hAnsi="Times New Roman" w:cs="Times New Roman"/>
          <w:lang w:val="en-US"/>
        </w:rPr>
        <w:t xml:space="preserve"> </w:t>
      </w:r>
      <w:proofErr w:type="spellStart"/>
      <w:r w:rsidR="00450BC6" w:rsidRPr="00A472FC">
        <w:rPr>
          <w:rFonts w:ascii="Times New Roman" w:hAnsi="Times New Roman" w:cs="Times New Roman"/>
          <w:lang w:val="en-US"/>
        </w:rPr>
        <w:t>Reimeri</w:t>
      </w:r>
      <w:proofErr w:type="spellEnd"/>
      <w:r w:rsidR="00450BC6" w:rsidRPr="00A472FC">
        <w:rPr>
          <w:rFonts w:ascii="Times New Roman" w:hAnsi="Times New Roman" w:cs="Times New Roman"/>
          <w:lang w:val="en-US"/>
        </w:rPr>
        <w:t xml:space="preserve">, 1887. </w:t>
      </w:r>
    </w:p>
    <w:p w14:paraId="27415ED1" w14:textId="73B9D6BC" w:rsidR="006A6E61" w:rsidRPr="00A472FC" w:rsidRDefault="00450BC6" w:rsidP="00450BC6">
      <w:pPr>
        <w:autoSpaceDE w:val="0"/>
        <w:autoSpaceDN w:val="0"/>
        <w:adjustRightInd w:val="0"/>
        <w:ind w:left="720" w:right="-52" w:hanging="720"/>
        <w:rPr>
          <w:rFonts w:ascii="Times New Roman" w:hAnsi="Times New Roman" w:cs="Times New Roman"/>
          <w:lang w:val="en-US"/>
        </w:rPr>
      </w:pPr>
      <w:r w:rsidRPr="00A472FC">
        <w:rPr>
          <w:rFonts w:ascii="Times New Roman" w:hAnsi="Times New Roman" w:cs="Times New Roman"/>
        </w:rPr>
        <w:t xml:space="preserve">———. </w:t>
      </w:r>
      <w:r w:rsidR="006A6E61" w:rsidRPr="00A472FC">
        <w:rPr>
          <w:rFonts w:ascii="Times New Roman" w:hAnsi="Times New Roman" w:cs="Times New Roman"/>
        </w:rPr>
        <w:t xml:space="preserve">‘The </w:t>
      </w:r>
      <w:r w:rsidR="006A6E61" w:rsidRPr="00A472FC">
        <w:rPr>
          <w:rFonts w:ascii="Times New Roman" w:hAnsi="Times New Roman" w:cs="Times New Roman"/>
          <w:i/>
        </w:rPr>
        <w:t>De anima</w:t>
      </w:r>
      <w:r w:rsidR="006A6E61" w:rsidRPr="00A472FC">
        <w:rPr>
          <w:rFonts w:ascii="Times New Roman" w:hAnsi="Times New Roman" w:cs="Times New Roman"/>
        </w:rPr>
        <w:t xml:space="preserve"> of Alexander of </w:t>
      </w:r>
      <w:proofErr w:type="spellStart"/>
      <w:r w:rsidR="006A6E61" w:rsidRPr="00A472FC">
        <w:rPr>
          <w:rFonts w:ascii="Times New Roman" w:hAnsi="Times New Roman" w:cs="Times New Roman"/>
        </w:rPr>
        <w:t>Aphrodisias</w:t>
      </w:r>
      <w:proofErr w:type="spellEnd"/>
      <w:r w:rsidR="006A6E61" w:rsidRPr="00A472FC">
        <w:rPr>
          <w:rFonts w:ascii="Times New Roman" w:hAnsi="Times New Roman" w:cs="Times New Roman"/>
        </w:rPr>
        <w:t xml:space="preserve">: A Translation and Commentary.’ Edited and translated by </w:t>
      </w:r>
      <w:proofErr w:type="spellStart"/>
      <w:r w:rsidR="006A6E61" w:rsidRPr="00A472FC">
        <w:rPr>
          <w:rFonts w:ascii="Times New Roman" w:hAnsi="Times New Roman" w:cs="Times New Roman"/>
        </w:rPr>
        <w:t>Athanasios</w:t>
      </w:r>
      <w:proofErr w:type="spellEnd"/>
      <w:r w:rsidR="006A6E61" w:rsidRPr="00A472FC">
        <w:rPr>
          <w:rFonts w:ascii="Times New Roman" w:hAnsi="Times New Roman" w:cs="Times New Roman"/>
        </w:rPr>
        <w:t xml:space="preserve"> P. </w:t>
      </w:r>
      <w:proofErr w:type="spellStart"/>
      <w:r w:rsidR="006A6E61" w:rsidRPr="00A472FC">
        <w:rPr>
          <w:rFonts w:ascii="Times New Roman" w:hAnsi="Times New Roman" w:cs="Times New Roman"/>
        </w:rPr>
        <w:t>Fotonis</w:t>
      </w:r>
      <w:proofErr w:type="spellEnd"/>
      <w:r w:rsidR="006A6E61" w:rsidRPr="00A472FC">
        <w:rPr>
          <w:rFonts w:ascii="Times New Roman" w:hAnsi="Times New Roman" w:cs="Times New Roman"/>
        </w:rPr>
        <w:t>. PhD, Marquette University, 1978.</w:t>
      </w:r>
    </w:p>
    <w:p w14:paraId="384D6A46" w14:textId="77777777" w:rsidR="00B5061A" w:rsidRPr="00A472FC" w:rsidRDefault="006A6E61" w:rsidP="00B5061A">
      <w:pPr>
        <w:pStyle w:val="p2"/>
        <w:spacing w:after="0"/>
        <w:ind w:left="426" w:right="-52" w:hanging="426"/>
        <w:rPr>
          <w:rFonts w:ascii="Times New Roman" w:hAnsi="Times New Roman"/>
          <w:bCs/>
          <w:color w:val="auto"/>
          <w:sz w:val="24"/>
          <w:szCs w:val="24"/>
        </w:rPr>
      </w:pPr>
      <w:r w:rsidRPr="00A472FC">
        <w:rPr>
          <w:rFonts w:ascii="Times New Roman" w:hAnsi="Times New Roman"/>
          <w:iCs/>
          <w:color w:val="auto"/>
          <w:sz w:val="24"/>
          <w:szCs w:val="24"/>
        </w:rPr>
        <w:t xml:space="preserve">Alexander of Hales. </w:t>
      </w:r>
      <w:proofErr w:type="spellStart"/>
      <w:r w:rsidR="00B5061A" w:rsidRPr="00A472FC">
        <w:rPr>
          <w:rFonts w:ascii="Times New Roman" w:hAnsi="Times New Roman"/>
          <w:bCs/>
          <w:i/>
          <w:color w:val="auto"/>
          <w:sz w:val="24"/>
          <w:szCs w:val="24"/>
          <w:lang w:val="en-US"/>
        </w:rPr>
        <w:t>Doctoris</w:t>
      </w:r>
      <w:proofErr w:type="spellEnd"/>
      <w:r w:rsidR="00B5061A" w:rsidRPr="00A472FC">
        <w:rPr>
          <w:rFonts w:ascii="Times New Roman" w:hAnsi="Times New Roman"/>
          <w:bCs/>
          <w:i/>
          <w:color w:val="auto"/>
          <w:sz w:val="24"/>
          <w:szCs w:val="24"/>
          <w:lang w:val="en-US"/>
        </w:rPr>
        <w:t xml:space="preserve"> </w:t>
      </w:r>
      <w:proofErr w:type="spellStart"/>
      <w:r w:rsidR="00B5061A" w:rsidRPr="00A472FC">
        <w:rPr>
          <w:rFonts w:ascii="Times New Roman" w:hAnsi="Times New Roman"/>
          <w:bCs/>
          <w:i/>
          <w:color w:val="auto"/>
          <w:sz w:val="24"/>
          <w:szCs w:val="24"/>
          <w:lang w:val="en-US"/>
        </w:rPr>
        <w:t>irrefragabilis</w:t>
      </w:r>
      <w:proofErr w:type="spellEnd"/>
      <w:r w:rsidR="00B5061A" w:rsidRPr="00A472FC">
        <w:rPr>
          <w:rFonts w:ascii="Times New Roman" w:hAnsi="Times New Roman"/>
          <w:bCs/>
          <w:i/>
          <w:color w:val="auto"/>
          <w:sz w:val="24"/>
          <w:szCs w:val="24"/>
          <w:lang w:val="en-US"/>
        </w:rPr>
        <w:t xml:space="preserve"> </w:t>
      </w:r>
      <w:proofErr w:type="spellStart"/>
      <w:r w:rsidR="00B5061A" w:rsidRPr="00A472FC">
        <w:rPr>
          <w:rFonts w:ascii="Times New Roman" w:hAnsi="Times New Roman"/>
          <w:bCs/>
          <w:i/>
          <w:color w:val="auto"/>
          <w:sz w:val="24"/>
          <w:szCs w:val="24"/>
          <w:lang w:val="en-US"/>
        </w:rPr>
        <w:t>Alexandri</w:t>
      </w:r>
      <w:proofErr w:type="spellEnd"/>
      <w:r w:rsidR="00B5061A" w:rsidRPr="00A472FC">
        <w:rPr>
          <w:rFonts w:ascii="Times New Roman" w:hAnsi="Times New Roman"/>
          <w:bCs/>
          <w:i/>
          <w:color w:val="auto"/>
          <w:sz w:val="24"/>
          <w:szCs w:val="24"/>
          <w:lang w:val="en-US"/>
        </w:rPr>
        <w:t xml:space="preserve"> de Hales </w:t>
      </w:r>
      <w:proofErr w:type="spellStart"/>
      <w:r w:rsidR="00B5061A" w:rsidRPr="00A472FC">
        <w:rPr>
          <w:rFonts w:ascii="Times New Roman" w:hAnsi="Times New Roman"/>
          <w:bCs/>
          <w:i/>
          <w:color w:val="auto"/>
          <w:sz w:val="24"/>
          <w:szCs w:val="24"/>
          <w:lang w:val="en-US"/>
        </w:rPr>
        <w:t>Ordinis</w:t>
      </w:r>
      <w:proofErr w:type="spellEnd"/>
      <w:r w:rsidR="00B5061A" w:rsidRPr="00A472FC">
        <w:rPr>
          <w:rFonts w:ascii="Times New Roman" w:hAnsi="Times New Roman"/>
          <w:bCs/>
          <w:i/>
          <w:color w:val="auto"/>
          <w:sz w:val="24"/>
          <w:szCs w:val="24"/>
          <w:lang w:val="en-US"/>
        </w:rPr>
        <w:t xml:space="preserve"> </w:t>
      </w:r>
      <w:proofErr w:type="spellStart"/>
      <w:r w:rsidR="00B5061A" w:rsidRPr="00A472FC">
        <w:rPr>
          <w:rFonts w:ascii="Times New Roman" w:hAnsi="Times New Roman"/>
          <w:bCs/>
          <w:i/>
          <w:color w:val="auto"/>
          <w:sz w:val="24"/>
          <w:szCs w:val="24"/>
          <w:lang w:val="en-US"/>
        </w:rPr>
        <w:t>minorum</w:t>
      </w:r>
      <w:proofErr w:type="spellEnd"/>
      <w:r w:rsidR="00B5061A" w:rsidRPr="00A472FC">
        <w:rPr>
          <w:rFonts w:ascii="Times New Roman" w:hAnsi="Times New Roman"/>
          <w:bCs/>
          <w:i/>
          <w:color w:val="auto"/>
          <w:sz w:val="24"/>
          <w:szCs w:val="24"/>
          <w:lang w:val="en-US"/>
        </w:rPr>
        <w:t xml:space="preserve"> Summa </w:t>
      </w:r>
      <w:proofErr w:type="spellStart"/>
      <w:r w:rsidR="00B5061A" w:rsidRPr="00A472FC">
        <w:rPr>
          <w:rFonts w:ascii="Times New Roman" w:hAnsi="Times New Roman"/>
          <w:bCs/>
          <w:i/>
          <w:color w:val="auto"/>
          <w:sz w:val="24"/>
          <w:szCs w:val="24"/>
          <w:lang w:val="en-US"/>
        </w:rPr>
        <w:t>theologica</w:t>
      </w:r>
      <w:proofErr w:type="spellEnd"/>
      <w:r w:rsidR="00B5061A" w:rsidRPr="00A472FC">
        <w:rPr>
          <w:rFonts w:ascii="Times New Roman" w:hAnsi="Times New Roman"/>
          <w:bCs/>
          <w:color w:val="auto"/>
          <w:sz w:val="24"/>
          <w:szCs w:val="24"/>
          <w:lang w:val="en-US"/>
        </w:rPr>
        <w:t xml:space="preserve">, 4 </w:t>
      </w:r>
      <w:proofErr w:type="spellStart"/>
      <w:r w:rsidR="00B5061A" w:rsidRPr="00A472FC">
        <w:rPr>
          <w:rFonts w:ascii="Times New Roman" w:hAnsi="Times New Roman"/>
          <w:bCs/>
          <w:color w:val="auto"/>
          <w:sz w:val="24"/>
          <w:szCs w:val="24"/>
          <w:lang w:val="en-US"/>
        </w:rPr>
        <w:t>vols</w:t>
      </w:r>
      <w:proofErr w:type="spellEnd"/>
      <w:r w:rsidR="00B5061A" w:rsidRPr="00A472FC">
        <w:rPr>
          <w:rFonts w:ascii="Times New Roman" w:hAnsi="Times New Roman"/>
          <w:bCs/>
          <w:color w:val="auto"/>
          <w:sz w:val="24"/>
          <w:szCs w:val="24"/>
        </w:rPr>
        <w:t>.</w:t>
      </w:r>
      <w:r w:rsidR="00B5061A" w:rsidRPr="00A472FC">
        <w:rPr>
          <w:rFonts w:ascii="Times New Roman" w:hAnsi="Times New Roman"/>
          <w:bCs/>
          <w:color w:val="auto"/>
          <w:sz w:val="24"/>
          <w:szCs w:val="24"/>
          <w:lang w:val="en-US"/>
        </w:rPr>
        <w:t xml:space="preserve"> </w:t>
      </w:r>
      <w:proofErr w:type="spellStart"/>
      <w:r w:rsidR="00B5061A" w:rsidRPr="00A472FC">
        <w:rPr>
          <w:rFonts w:ascii="Times New Roman" w:hAnsi="Times New Roman"/>
          <w:bCs/>
          <w:color w:val="auto"/>
          <w:sz w:val="24"/>
          <w:szCs w:val="24"/>
        </w:rPr>
        <w:t>Quaracchi</w:t>
      </w:r>
      <w:proofErr w:type="spellEnd"/>
      <w:r w:rsidR="00B5061A" w:rsidRPr="00A472FC">
        <w:rPr>
          <w:rFonts w:ascii="Times New Roman" w:hAnsi="Times New Roman"/>
          <w:bCs/>
          <w:color w:val="auto"/>
          <w:sz w:val="24"/>
          <w:szCs w:val="24"/>
        </w:rPr>
        <w:t xml:space="preserve">, </w:t>
      </w:r>
      <w:proofErr w:type="spellStart"/>
      <w:r w:rsidR="00B5061A" w:rsidRPr="00A472FC">
        <w:rPr>
          <w:rFonts w:ascii="Times New Roman" w:hAnsi="Times New Roman"/>
          <w:bCs/>
          <w:color w:val="auto"/>
          <w:sz w:val="24"/>
          <w:szCs w:val="24"/>
        </w:rPr>
        <w:t>Florentiae</w:t>
      </w:r>
      <w:proofErr w:type="spellEnd"/>
      <w:r w:rsidR="00B5061A" w:rsidRPr="00A472FC">
        <w:rPr>
          <w:rFonts w:ascii="Times New Roman" w:hAnsi="Times New Roman"/>
          <w:bCs/>
          <w:color w:val="auto"/>
          <w:sz w:val="24"/>
          <w:szCs w:val="24"/>
        </w:rPr>
        <w:t>: Collegii S. Bonaventurae</w:t>
      </w:r>
      <w:r w:rsidR="00B5061A" w:rsidRPr="00A472FC">
        <w:rPr>
          <w:rFonts w:ascii="Times New Roman" w:hAnsi="Times New Roman"/>
          <w:bCs/>
          <w:color w:val="auto"/>
          <w:sz w:val="24"/>
          <w:szCs w:val="24"/>
          <w:lang w:val="en-US"/>
        </w:rPr>
        <w:t xml:space="preserve">, 1924-48. </w:t>
      </w:r>
    </w:p>
    <w:p w14:paraId="11DF348C" w14:textId="132EDA00" w:rsidR="006A6E61" w:rsidRPr="00A472FC" w:rsidRDefault="00B5061A" w:rsidP="00B5061A">
      <w:pPr>
        <w:pStyle w:val="p2"/>
        <w:spacing w:after="0"/>
        <w:ind w:left="426" w:right="-52" w:hanging="426"/>
        <w:rPr>
          <w:rFonts w:ascii="Times New Roman" w:hAnsi="Times New Roman"/>
          <w:bCs/>
          <w:color w:val="auto"/>
          <w:sz w:val="24"/>
          <w:szCs w:val="24"/>
        </w:rPr>
      </w:pPr>
      <w:r w:rsidRPr="00A472FC">
        <w:rPr>
          <w:rFonts w:ascii="Times New Roman" w:hAnsi="Times New Roman"/>
          <w:color w:val="auto"/>
          <w:sz w:val="24"/>
          <w:szCs w:val="24"/>
        </w:rPr>
        <w:t xml:space="preserve">———. </w:t>
      </w:r>
      <w:proofErr w:type="spellStart"/>
      <w:r w:rsidR="006A6E61" w:rsidRPr="00A472FC">
        <w:rPr>
          <w:rFonts w:ascii="Times New Roman" w:hAnsi="Times New Roman"/>
          <w:i/>
          <w:iCs/>
          <w:color w:val="auto"/>
          <w:sz w:val="24"/>
          <w:szCs w:val="24"/>
        </w:rPr>
        <w:t>Magistri</w:t>
      </w:r>
      <w:proofErr w:type="spellEnd"/>
      <w:r w:rsidR="006A6E61" w:rsidRPr="00A472FC">
        <w:rPr>
          <w:rFonts w:ascii="Times New Roman" w:hAnsi="Times New Roman"/>
          <w:i/>
          <w:iCs/>
          <w:color w:val="auto"/>
          <w:sz w:val="24"/>
          <w:szCs w:val="24"/>
        </w:rPr>
        <w:t xml:space="preserve"> </w:t>
      </w:r>
      <w:proofErr w:type="spellStart"/>
      <w:r w:rsidR="006A6E61" w:rsidRPr="00A472FC">
        <w:rPr>
          <w:rFonts w:ascii="Times New Roman" w:hAnsi="Times New Roman"/>
          <w:i/>
          <w:iCs/>
          <w:color w:val="auto"/>
          <w:sz w:val="24"/>
          <w:szCs w:val="24"/>
        </w:rPr>
        <w:t>Alexandri</w:t>
      </w:r>
      <w:proofErr w:type="spellEnd"/>
      <w:r w:rsidR="006A6E61" w:rsidRPr="00A472FC">
        <w:rPr>
          <w:rFonts w:ascii="Times New Roman" w:hAnsi="Times New Roman"/>
          <w:i/>
          <w:iCs/>
          <w:color w:val="auto"/>
          <w:sz w:val="24"/>
          <w:szCs w:val="24"/>
        </w:rPr>
        <w:t xml:space="preserve"> de Hales Glossa in </w:t>
      </w:r>
      <w:proofErr w:type="spellStart"/>
      <w:r w:rsidR="006A6E61" w:rsidRPr="00A472FC">
        <w:rPr>
          <w:rFonts w:ascii="Times New Roman" w:hAnsi="Times New Roman"/>
          <w:i/>
          <w:iCs/>
          <w:color w:val="auto"/>
          <w:sz w:val="24"/>
          <w:szCs w:val="24"/>
        </w:rPr>
        <w:t>quatuor</w:t>
      </w:r>
      <w:proofErr w:type="spellEnd"/>
      <w:r w:rsidR="006A6E61" w:rsidRPr="00A472FC">
        <w:rPr>
          <w:rFonts w:ascii="Times New Roman" w:hAnsi="Times New Roman"/>
          <w:i/>
          <w:iCs/>
          <w:color w:val="auto"/>
          <w:sz w:val="24"/>
          <w:szCs w:val="24"/>
        </w:rPr>
        <w:t xml:space="preserve"> </w:t>
      </w:r>
      <w:proofErr w:type="spellStart"/>
      <w:r w:rsidR="006A6E61" w:rsidRPr="00A472FC">
        <w:rPr>
          <w:rFonts w:ascii="Times New Roman" w:hAnsi="Times New Roman"/>
          <w:i/>
          <w:iCs/>
          <w:color w:val="auto"/>
          <w:sz w:val="24"/>
          <w:szCs w:val="24"/>
        </w:rPr>
        <w:t>libros</w:t>
      </w:r>
      <w:proofErr w:type="spellEnd"/>
      <w:r w:rsidR="006A6E61" w:rsidRPr="00A472FC">
        <w:rPr>
          <w:rFonts w:ascii="Times New Roman" w:hAnsi="Times New Roman"/>
          <w:i/>
          <w:iCs/>
          <w:color w:val="auto"/>
          <w:sz w:val="24"/>
          <w:szCs w:val="24"/>
        </w:rPr>
        <w:t xml:space="preserve"> </w:t>
      </w:r>
      <w:proofErr w:type="spellStart"/>
      <w:r w:rsidR="006A6E61" w:rsidRPr="00A472FC">
        <w:rPr>
          <w:rFonts w:ascii="Times New Roman" w:hAnsi="Times New Roman"/>
          <w:i/>
          <w:iCs/>
          <w:color w:val="auto"/>
          <w:sz w:val="24"/>
          <w:szCs w:val="24"/>
        </w:rPr>
        <w:t>Sententiarum</w:t>
      </w:r>
      <w:proofErr w:type="spellEnd"/>
      <w:r w:rsidR="006A6E61" w:rsidRPr="00A472FC">
        <w:rPr>
          <w:rFonts w:ascii="Times New Roman" w:hAnsi="Times New Roman"/>
          <w:i/>
          <w:iCs/>
          <w:color w:val="auto"/>
          <w:sz w:val="24"/>
          <w:szCs w:val="24"/>
        </w:rPr>
        <w:t xml:space="preserve"> Petri Lombardi</w:t>
      </w:r>
      <w:r w:rsidR="006A6E61" w:rsidRPr="00A472FC">
        <w:rPr>
          <w:rFonts w:ascii="Times New Roman" w:hAnsi="Times New Roman"/>
          <w:color w:val="auto"/>
          <w:sz w:val="24"/>
          <w:szCs w:val="24"/>
        </w:rPr>
        <w:t xml:space="preserve">, vol. 1, </w:t>
      </w:r>
      <w:proofErr w:type="spellStart"/>
      <w:r w:rsidR="006A6E61" w:rsidRPr="00A472FC">
        <w:rPr>
          <w:rFonts w:ascii="Times New Roman" w:hAnsi="Times New Roman"/>
          <w:color w:val="auto"/>
          <w:sz w:val="24"/>
          <w:szCs w:val="24"/>
        </w:rPr>
        <w:t>Quaracchi</w:t>
      </w:r>
      <w:proofErr w:type="spellEnd"/>
      <w:r w:rsidR="006A6E61" w:rsidRPr="00A472FC">
        <w:rPr>
          <w:rFonts w:ascii="Times New Roman" w:hAnsi="Times New Roman"/>
          <w:color w:val="auto"/>
          <w:sz w:val="24"/>
          <w:szCs w:val="24"/>
        </w:rPr>
        <w:t>: Collegii S</w:t>
      </w:r>
      <w:r w:rsidR="00DA0D0F" w:rsidRPr="00A472FC">
        <w:rPr>
          <w:rFonts w:ascii="Times New Roman" w:hAnsi="Times New Roman"/>
          <w:color w:val="auto"/>
          <w:sz w:val="24"/>
          <w:szCs w:val="24"/>
        </w:rPr>
        <w:t>.</w:t>
      </w:r>
      <w:r w:rsidR="006A6E61" w:rsidRPr="00A472FC">
        <w:rPr>
          <w:rFonts w:ascii="Times New Roman" w:hAnsi="Times New Roman"/>
          <w:color w:val="auto"/>
          <w:sz w:val="24"/>
          <w:szCs w:val="24"/>
        </w:rPr>
        <w:t xml:space="preserve"> Bonaventurae, 1951.</w:t>
      </w:r>
    </w:p>
    <w:p w14:paraId="3AEF9050" w14:textId="39948E96"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iCs/>
        </w:rPr>
        <w:t>Magistri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Alexandri</w:t>
      </w:r>
      <w:proofErr w:type="spellEnd"/>
      <w:r w:rsidRPr="00A472FC">
        <w:rPr>
          <w:rFonts w:ascii="Times New Roman" w:hAnsi="Times New Roman" w:cs="Times New Roman"/>
          <w:i/>
          <w:iCs/>
        </w:rPr>
        <w:t xml:space="preserve"> de Hales </w:t>
      </w:r>
      <w:proofErr w:type="spellStart"/>
      <w:r w:rsidRPr="00A472FC">
        <w:rPr>
          <w:rFonts w:ascii="Times New Roman" w:hAnsi="Times New Roman" w:cs="Times New Roman"/>
          <w:i/>
          <w:iCs/>
        </w:rPr>
        <w:t>Quaestiones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disputatae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Antequam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esset</w:t>
      </w:r>
      <w:proofErr w:type="spellEnd"/>
      <w:r w:rsidRPr="00A472FC">
        <w:rPr>
          <w:rFonts w:ascii="Times New Roman" w:hAnsi="Times New Roman" w:cs="Times New Roman"/>
          <w:i/>
          <w:iCs/>
        </w:rPr>
        <w:t xml:space="preserve"> frater’.</w:t>
      </w:r>
      <w:r w:rsidRPr="00A472FC">
        <w:rPr>
          <w:rFonts w:ascii="Times New Roman" w:hAnsi="Times New Roman" w:cs="Times New Roman"/>
        </w:rPr>
        <w:t xml:space="preserve"> </w:t>
      </w:r>
      <w:proofErr w:type="spellStart"/>
      <w:r w:rsidRPr="00A472FC">
        <w:rPr>
          <w:rFonts w:ascii="Times New Roman" w:hAnsi="Times New Roman" w:cs="Times New Roman"/>
        </w:rPr>
        <w:t>Quaracchi</w:t>
      </w:r>
      <w:proofErr w:type="spellEnd"/>
      <w:r w:rsidRPr="00A472FC">
        <w:rPr>
          <w:rFonts w:ascii="Times New Roman" w:hAnsi="Times New Roman" w:cs="Times New Roman"/>
        </w:rPr>
        <w:t>: Collegii S</w:t>
      </w:r>
      <w:r w:rsidR="00DA0D0F" w:rsidRPr="00A472FC">
        <w:rPr>
          <w:rFonts w:ascii="Times New Roman" w:hAnsi="Times New Roman" w:cs="Times New Roman"/>
        </w:rPr>
        <w:t>.</w:t>
      </w:r>
      <w:r w:rsidRPr="00A472FC">
        <w:rPr>
          <w:rFonts w:ascii="Times New Roman" w:hAnsi="Times New Roman" w:cs="Times New Roman"/>
        </w:rPr>
        <w:t xml:space="preserve"> Bonaventurae, 1960.</w:t>
      </w:r>
    </w:p>
    <w:p w14:paraId="7303D1CD"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rPr>
        <w:t>Alexandri</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di</w:t>
      </w:r>
      <w:proofErr w:type="spellEnd"/>
      <w:r w:rsidRPr="00A472FC">
        <w:rPr>
          <w:rFonts w:ascii="Times New Roman" w:hAnsi="Times New Roman" w:cs="Times New Roman"/>
          <w:i/>
        </w:rPr>
        <w:t xml:space="preserve"> Hales </w:t>
      </w:r>
      <w:proofErr w:type="spellStart"/>
      <w:r w:rsidRPr="00A472FC">
        <w:rPr>
          <w:rFonts w:ascii="Times New Roman" w:hAnsi="Times New Roman" w:cs="Times New Roman"/>
          <w:i/>
        </w:rPr>
        <w:t>Quaestiones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disputatae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quae</w:t>
      </w:r>
      <w:proofErr w:type="spellEnd"/>
      <w:r w:rsidRPr="00A472FC">
        <w:rPr>
          <w:rFonts w:ascii="Times New Roman" w:hAnsi="Times New Roman" w:cs="Times New Roman"/>
          <w:i/>
        </w:rPr>
        <w:t xml:space="preserve"> ad </w:t>
      </w:r>
      <w:proofErr w:type="spellStart"/>
      <w:r w:rsidRPr="00A472FC">
        <w:rPr>
          <w:rFonts w:ascii="Times New Roman" w:hAnsi="Times New Roman" w:cs="Times New Roman"/>
          <w:i/>
        </w:rPr>
        <w:t>rerum</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universitatem</w:t>
      </w:r>
      <w:proofErr w:type="spellEnd"/>
      <w:r w:rsidRPr="00A472FC">
        <w:rPr>
          <w:rFonts w:ascii="Times New Roman" w:hAnsi="Times New Roman" w:cs="Times New Roman"/>
          <w:i/>
        </w:rPr>
        <w:t xml:space="preserve"> pertinent</w:t>
      </w:r>
      <w:r w:rsidRPr="00A472FC">
        <w:rPr>
          <w:rFonts w:ascii="Times New Roman" w:hAnsi="Times New Roman" w:cs="Times New Roman"/>
        </w:rPr>
        <w:t xml:space="preserve">. Bibliotheca </w:t>
      </w:r>
      <w:proofErr w:type="spellStart"/>
      <w:r w:rsidRPr="00A472FC">
        <w:rPr>
          <w:rFonts w:ascii="Times New Roman" w:hAnsi="Times New Roman" w:cs="Times New Roman"/>
        </w:rPr>
        <w:t>Franciscana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Scholastica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medii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aevi</w:t>
      </w:r>
      <w:proofErr w:type="spellEnd"/>
      <w:r w:rsidRPr="00A472FC">
        <w:rPr>
          <w:rFonts w:ascii="Times New Roman" w:hAnsi="Times New Roman" w:cs="Times New Roman"/>
        </w:rPr>
        <w:t xml:space="preserve">, XXIX. Edited by H. M. </w:t>
      </w:r>
      <w:proofErr w:type="spellStart"/>
      <w:r w:rsidRPr="00A472FC">
        <w:rPr>
          <w:rFonts w:ascii="Times New Roman" w:hAnsi="Times New Roman" w:cs="Times New Roman"/>
        </w:rPr>
        <w:t>Wierzbicki</w:t>
      </w:r>
      <w:proofErr w:type="spellEnd"/>
      <w:r w:rsidRPr="00A472FC">
        <w:rPr>
          <w:rFonts w:ascii="Times New Roman" w:hAnsi="Times New Roman" w:cs="Times New Roman"/>
        </w:rPr>
        <w:t xml:space="preserve">. Rome: </w:t>
      </w:r>
      <w:r w:rsidRPr="00A472FC">
        <w:rPr>
          <w:rFonts w:ascii="Times New Roman" w:hAnsi="Times New Roman" w:cs="Times New Roman"/>
          <w:color w:val="000000"/>
        </w:rPr>
        <w:t>Collegii S. Bonaventure</w:t>
      </w:r>
      <w:r w:rsidRPr="00A472FC">
        <w:rPr>
          <w:rFonts w:ascii="Times New Roman" w:hAnsi="Times New Roman" w:cs="Times New Roman"/>
        </w:rPr>
        <w:t>, 2013.</w:t>
      </w:r>
    </w:p>
    <w:p w14:paraId="7494A9F1"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rPr>
        <w:t>Alexandri</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di</w:t>
      </w:r>
      <w:proofErr w:type="spellEnd"/>
      <w:r w:rsidRPr="00A472FC">
        <w:rPr>
          <w:rFonts w:ascii="Times New Roman" w:hAnsi="Times New Roman" w:cs="Times New Roman"/>
          <w:i/>
        </w:rPr>
        <w:t xml:space="preserve"> Hales </w:t>
      </w:r>
      <w:proofErr w:type="spellStart"/>
      <w:r w:rsidRPr="00A472FC">
        <w:rPr>
          <w:rFonts w:ascii="Times New Roman" w:hAnsi="Times New Roman" w:cs="Times New Roman"/>
          <w:i/>
        </w:rPr>
        <w:t>Quaestiones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disputatae</w:t>
      </w:r>
      <w:proofErr w:type="spellEnd"/>
      <w:r w:rsidRPr="00A472FC">
        <w:rPr>
          <w:rFonts w:ascii="Times New Roman" w:hAnsi="Times New Roman" w:cs="Times New Roman"/>
          <w:i/>
        </w:rPr>
        <w:t xml:space="preserve"> de </w:t>
      </w:r>
      <w:proofErr w:type="spellStart"/>
      <w:r w:rsidRPr="00A472FC">
        <w:rPr>
          <w:rFonts w:ascii="Times New Roman" w:hAnsi="Times New Roman" w:cs="Times New Roman"/>
          <w:i/>
        </w:rPr>
        <w:t>peccato</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originali</w:t>
      </w:r>
      <w:proofErr w:type="spellEnd"/>
      <w:r w:rsidRPr="00A472FC">
        <w:rPr>
          <w:rFonts w:ascii="Times New Roman" w:hAnsi="Times New Roman" w:cs="Times New Roman"/>
        </w:rPr>
        <w:t xml:space="preserve">. Bibliotheca </w:t>
      </w:r>
      <w:proofErr w:type="spellStart"/>
      <w:r w:rsidRPr="00A472FC">
        <w:rPr>
          <w:rFonts w:ascii="Times New Roman" w:hAnsi="Times New Roman" w:cs="Times New Roman"/>
        </w:rPr>
        <w:t>Franciscana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Scholastica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medii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aevi</w:t>
      </w:r>
      <w:proofErr w:type="spellEnd"/>
      <w:r w:rsidRPr="00A472FC">
        <w:rPr>
          <w:rFonts w:ascii="Times New Roman" w:hAnsi="Times New Roman" w:cs="Times New Roman"/>
        </w:rPr>
        <w:t xml:space="preserve">, XXX. Edited by H. M. </w:t>
      </w:r>
      <w:proofErr w:type="spellStart"/>
      <w:r w:rsidRPr="00A472FC">
        <w:rPr>
          <w:rFonts w:ascii="Times New Roman" w:hAnsi="Times New Roman" w:cs="Times New Roman"/>
        </w:rPr>
        <w:t>Wierzbicki</w:t>
      </w:r>
      <w:proofErr w:type="spellEnd"/>
      <w:r w:rsidRPr="00A472FC">
        <w:rPr>
          <w:rFonts w:ascii="Times New Roman" w:hAnsi="Times New Roman" w:cs="Times New Roman"/>
        </w:rPr>
        <w:t xml:space="preserve">. Rome: </w:t>
      </w:r>
      <w:r w:rsidRPr="00A472FC">
        <w:rPr>
          <w:rFonts w:ascii="Times New Roman" w:hAnsi="Times New Roman" w:cs="Times New Roman"/>
          <w:color w:val="000000"/>
        </w:rPr>
        <w:t>Collegii S. Bonaventure</w:t>
      </w:r>
      <w:r w:rsidRPr="00A472FC">
        <w:rPr>
          <w:rFonts w:ascii="Times New Roman" w:hAnsi="Times New Roman" w:cs="Times New Roman"/>
        </w:rPr>
        <w:t xml:space="preserve">, 2013. </w:t>
      </w:r>
    </w:p>
    <w:p w14:paraId="06488827"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rPr>
        <w:t>Alexandri</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di</w:t>
      </w:r>
      <w:proofErr w:type="spellEnd"/>
      <w:r w:rsidRPr="00A472FC">
        <w:rPr>
          <w:rFonts w:ascii="Times New Roman" w:hAnsi="Times New Roman" w:cs="Times New Roman"/>
          <w:i/>
        </w:rPr>
        <w:t xml:space="preserve"> Hales </w:t>
      </w:r>
      <w:proofErr w:type="spellStart"/>
      <w:r w:rsidRPr="00A472FC">
        <w:rPr>
          <w:rFonts w:ascii="Times New Roman" w:hAnsi="Times New Roman" w:cs="Times New Roman"/>
          <w:i/>
        </w:rPr>
        <w:t>Quaestiones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disputatae</w:t>
      </w:r>
      <w:proofErr w:type="spellEnd"/>
      <w:r w:rsidRPr="00A472FC">
        <w:rPr>
          <w:rFonts w:ascii="Times New Roman" w:hAnsi="Times New Roman" w:cs="Times New Roman"/>
          <w:i/>
        </w:rPr>
        <w:t xml:space="preserve"> de </w:t>
      </w:r>
      <w:proofErr w:type="spellStart"/>
      <w:r w:rsidRPr="00A472FC">
        <w:rPr>
          <w:rFonts w:ascii="Times New Roman" w:hAnsi="Times New Roman" w:cs="Times New Roman"/>
          <w:i/>
        </w:rPr>
        <w:t>peccato</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veniali</w:t>
      </w:r>
      <w:proofErr w:type="spellEnd"/>
      <w:r w:rsidRPr="00A472FC">
        <w:rPr>
          <w:rFonts w:ascii="Times New Roman" w:hAnsi="Times New Roman" w:cs="Times New Roman"/>
          <w:i/>
        </w:rPr>
        <w:t xml:space="preserve"> et de </w:t>
      </w:r>
      <w:proofErr w:type="spellStart"/>
      <w:r w:rsidRPr="00A472FC">
        <w:rPr>
          <w:rFonts w:ascii="Times New Roman" w:hAnsi="Times New Roman" w:cs="Times New Roman"/>
          <w:i/>
        </w:rPr>
        <w:t>conscientia</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Bibliotheca </w:t>
      </w:r>
      <w:proofErr w:type="spellStart"/>
      <w:r w:rsidRPr="00A472FC">
        <w:rPr>
          <w:rFonts w:ascii="Times New Roman" w:hAnsi="Times New Roman" w:cs="Times New Roman"/>
        </w:rPr>
        <w:t>Franciscana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Scholastica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medii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aevi</w:t>
      </w:r>
      <w:proofErr w:type="spellEnd"/>
      <w:r w:rsidRPr="00A472FC">
        <w:rPr>
          <w:rFonts w:ascii="Times New Roman" w:hAnsi="Times New Roman" w:cs="Times New Roman"/>
        </w:rPr>
        <w:t xml:space="preserve">, XXXII. Edited by H. M. </w:t>
      </w:r>
      <w:proofErr w:type="spellStart"/>
      <w:r w:rsidRPr="00A472FC">
        <w:rPr>
          <w:rFonts w:ascii="Times New Roman" w:hAnsi="Times New Roman" w:cs="Times New Roman"/>
        </w:rPr>
        <w:t>Wierzbicki</w:t>
      </w:r>
      <w:proofErr w:type="spellEnd"/>
      <w:r w:rsidRPr="00A472FC">
        <w:rPr>
          <w:rFonts w:ascii="Times New Roman" w:hAnsi="Times New Roman" w:cs="Times New Roman"/>
        </w:rPr>
        <w:t xml:space="preserve">. Rome: </w:t>
      </w:r>
      <w:r w:rsidRPr="00A472FC">
        <w:rPr>
          <w:rFonts w:ascii="Times New Roman" w:hAnsi="Times New Roman" w:cs="Times New Roman"/>
          <w:color w:val="000000"/>
        </w:rPr>
        <w:t>Collegii S. Bonaventure</w:t>
      </w:r>
      <w:r w:rsidRPr="00A472FC">
        <w:rPr>
          <w:rFonts w:ascii="Times New Roman" w:hAnsi="Times New Roman" w:cs="Times New Roman"/>
        </w:rPr>
        <w:t xml:space="preserve">, 2013. </w:t>
      </w:r>
    </w:p>
    <w:p w14:paraId="279BEE8D" w14:textId="4279B4DB"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rPr>
        <w:t>Alexandri</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di</w:t>
      </w:r>
      <w:proofErr w:type="spellEnd"/>
      <w:r w:rsidRPr="00A472FC">
        <w:rPr>
          <w:rFonts w:ascii="Times New Roman" w:hAnsi="Times New Roman" w:cs="Times New Roman"/>
          <w:i/>
        </w:rPr>
        <w:t xml:space="preserve"> Hales </w:t>
      </w:r>
      <w:proofErr w:type="spellStart"/>
      <w:r w:rsidRPr="00A472FC">
        <w:rPr>
          <w:rFonts w:ascii="Times New Roman" w:hAnsi="Times New Roman" w:cs="Times New Roman"/>
          <w:i/>
        </w:rPr>
        <w:t>Quaestiones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disputatae</w:t>
      </w:r>
      <w:proofErr w:type="spellEnd"/>
      <w:r w:rsidRPr="00A472FC">
        <w:rPr>
          <w:rFonts w:ascii="Times New Roman" w:hAnsi="Times New Roman" w:cs="Times New Roman"/>
          <w:i/>
        </w:rPr>
        <w:t xml:space="preserve"> de </w:t>
      </w:r>
      <w:proofErr w:type="spellStart"/>
      <w:r w:rsidRPr="00A472FC">
        <w:rPr>
          <w:rFonts w:ascii="Times New Roman" w:hAnsi="Times New Roman" w:cs="Times New Roman"/>
          <w:i/>
        </w:rPr>
        <w:t>lapsu</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angelorum</w:t>
      </w:r>
      <w:proofErr w:type="spellEnd"/>
      <w:r w:rsidRPr="00A472FC">
        <w:rPr>
          <w:rFonts w:ascii="Times New Roman" w:hAnsi="Times New Roman" w:cs="Times New Roman"/>
          <w:i/>
        </w:rPr>
        <w:t xml:space="preserve"> ac </w:t>
      </w:r>
      <w:proofErr w:type="spellStart"/>
      <w:r w:rsidRPr="00A472FC">
        <w:rPr>
          <w:rFonts w:ascii="Times New Roman" w:hAnsi="Times New Roman" w:cs="Times New Roman"/>
          <w:i/>
        </w:rPr>
        <w:t>protoparentum</w:t>
      </w:r>
      <w:proofErr w:type="spellEnd"/>
      <w:r w:rsidRPr="00A472FC">
        <w:rPr>
          <w:rFonts w:ascii="Times New Roman" w:hAnsi="Times New Roman" w:cs="Times New Roman"/>
          <w:i/>
        </w:rPr>
        <w:t xml:space="preserve">. </w:t>
      </w:r>
      <w:r w:rsidRPr="00A472FC">
        <w:rPr>
          <w:rFonts w:ascii="Times New Roman" w:hAnsi="Times New Roman" w:cs="Times New Roman"/>
        </w:rPr>
        <w:t xml:space="preserve">Bibliotheca </w:t>
      </w:r>
      <w:proofErr w:type="spellStart"/>
      <w:r w:rsidRPr="00A472FC">
        <w:rPr>
          <w:rFonts w:ascii="Times New Roman" w:hAnsi="Times New Roman" w:cs="Times New Roman"/>
        </w:rPr>
        <w:t>Franciscana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Scholastica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medii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aevi</w:t>
      </w:r>
      <w:proofErr w:type="spellEnd"/>
      <w:r w:rsidRPr="00A472FC">
        <w:rPr>
          <w:rFonts w:ascii="Times New Roman" w:hAnsi="Times New Roman" w:cs="Times New Roman"/>
        </w:rPr>
        <w:t xml:space="preserve">, XXXI. Edited by H. M. </w:t>
      </w:r>
      <w:proofErr w:type="spellStart"/>
      <w:r w:rsidRPr="00A472FC">
        <w:rPr>
          <w:rFonts w:ascii="Times New Roman" w:hAnsi="Times New Roman" w:cs="Times New Roman"/>
        </w:rPr>
        <w:t>Wierzbicki</w:t>
      </w:r>
      <w:proofErr w:type="spellEnd"/>
      <w:r w:rsidRPr="00A472FC">
        <w:rPr>
          <w:rFonts w:ascii="Times New Roman" w:hAnsi="Times New Roman" w:cs="Times New Roman"/>
        </w:rPr>
        <w:t xml:space="preserve">. Rome: </w:t>
      </w:r>
      <w:r w:rsidRPr="00A472FC">
        <w:rPr>
          <w:rFonts w:ascii="Times New Roman" w:hAnsi="Times New Roman" w:cs="Times New Roman"/>
          <w:color w:val="000000"/>
        </w:rPr>
        <w:t>Collegii S. Bonaventure</w:t>
      </w:r>
      <w:r w:rsidRPr="00A472FC">
        <w:rPr>
          <w:rFonts w:ascii="Times New Roman" w:hAnsi="Times New Roman" w:cs="Times New Roman"/>
        </w:rPr>
        <w:t>, 2015.</w:t>
      </w:r>
    </w:p>
    <w:p w14:paraId="521C0C7A" w14:textId="0258C33B" w:rsidR="00A35A78" w:rsidRPr="00A472FC" w:rsidRDefault="00A35A78" w:rsidP="00A35A78">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008126F0" w:rsidRPr="00A472FC">
        <w:rPr>
          <w:rFonts w:ascii="Times New Roman" w:hAnsi="Times New Roman" w:cs="Times New Roman"/>
          <w:i/>
          <w:iCs/>
        </w:rPr>
        <w:t xml:space="preserve">A Reader in Early Franciscan Theology: </w:t>
      </w:r>
      <w:r w:rsidRPr="00A472FC">
        <w:rPr>
          <w:rFonts w:ascii="Times New Roman" w:hAnsi="Times New Roman" w:cs="Times New Roman"/>
          <w:i/>
          <w:iCs/>
        </w:rPr>
        <w:t xml:space="preserve">The 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i/>
          <w:iCs/>
        </w:rPr>
        <w:t>.</w:t>
      </w:r>
      <w:r w:rsidRPr="00A472FC">
        <w:rPr>
          <w:rFonts w:ascii="Times New Roman" w:hAnsi="Times New Roman" w:cs="Times New Roman"/>
        </w:rPr>
        <w:t xml:space="preserve"> Translated by Lydia Schumacher and Oleg </w:t>
      </w:r>
      <w:proofErr w:type="spellStart"/>
      <w:r w:rsidRPr="00A472FC">
        <w:rPr>
          <w:rFonts w:ascii="Times New Roman" w:hAnsi="Times New Roman" w:cs="Times New Roman"/>
        </w:rPr>
        <w:t>Bychkov</w:t>
      </w:r>
      <w:proofErr w:type="spellEnd"/>
      <w:r w:rsidRPr="00A472FC">
        <w:rPr>
          <w:rFonts w:ascii="Times New Roman" w:hAnsi="Times New Roman" w:cs="Times New Roman"/>
        </w:rPr>
        <w:t>. New York: Fordham University Press, 202</w:t>
      </w:r>
      <w:r w:rsidR="00E506AE" w:rsidRPr="00A472FC">
        <w:rPr>
          <w:rFonts w:ascii="Times New Roman" w:hAnsi="Times New Roman" w:cs="Times New Roman"/>
        </w:rPr>
        <w:t>2</w:t>
      </w:r>
      <w:r w:rsidRPr="00A472FC">
        <w:rPr>
          <w:rFonts w:ascii="Times New Roman" w:hAnsi="Times New Roman" w:cs="Times New Roman"/>
        </w:rPr>
        <w:t>.</w:t>
      </w:r>
    </w:p>
    <w:p w14:paraId="241B5B69"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Alfredus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Anglicus</w:t>
      </w:r>
      <w:proofErr w:type="spellEnd"/>
      <w:r w:rsidRPr="00A472FC">
        <w:rPr>
          <w:rFonts w:ascii="Times New Roman" w:hAnsi="Times New Roman" w:cs="Times New Roman"/>
        </w:rPr>
        <w:t xml:space="preserve"> and Costa Ben Luca. </w:t>
      </w:r>
      <w:proofErr w:type="spellStart"/>
      <w:r w:rsidRPr="00A472FC">
        <w:rPr>
          <w:rFonts w:ascii="Times New Roman" w:hAnsi="Times New Roman" w:cs="Times New Roman"/>
          <w:i/>
          <w:iCs/>
        </w:rPr>
        <w:t>Excerpta</w:t>
      </w:r>
      <w:proofErr w:type="spellEnd"/>
      <w:r w:rsidRPr="00A472FC">
        <w:rPr>
          <w:rFonts w:ascii="Times New Roman" w:hAnsi="Times New Roman" w:cs="Times New Roman"/>
          <w:i/>
          <w:iCs/>
        </w:rPr>
        <w:t xml:space="preserve"> e </w:t>
      </w:r>
      <w:proofErr w:type="spellStart"/>
      <w:r w:rsidRPr="00A472FC">
        <w:rPr>
          <w:rFonts w:ascii="Times New Roman" w:hAnsi="Times New Roman" w:cs="Times New Roman"/>
          <w:i/>
          <w:iCs/>
        </w:rPr>
        <w:t>libro</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Alfredi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Angelici</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motu</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cordis</w:t>
      </w:r>
      <w:proofErr w:type="spellEnd"/>
      <w:r w:rsidRPr="00A472FC">
        <w:rPr>
          <w:rFonts w:ascii="Times New Roman" w:hAnsi="Times New Roman" w:cs="Times New Roman"/>
          <w:i/>
          <w:iCs/>
        </w:rPr>
        <w:t xml:space="preserve"> item Costa Ben </w:t>
      </w:r>
      <w:proofErr w:type="spellStart"/>
      <w:r w:rsidRPr="00A472FC">
        <w:rPr>
          <w:rFonts w:ascii="Times New Roman" w:hAnsi="Times New Roman" w:cs="Times New Roman"/>
          <w:i/>
          <w:iCs/>
        </w:rPr>
        <w:t>Lucae</w:t>
      </w:r>
      <w:proofErr w:type="spellEnd"/>
      <w:r w:rsidRPr="00A472FC">
        <w:rPr>
          <w:rFonts w:ascii="Times New Roman" w:hAnsi="Times New Roman" w:cs="Times New Roman"/>
          <w:i/>
          <w:iCs/>
        </w:rPr>
        <w:t xml:space="preserve"> De differentia </w:t>
      </w:r>
      <w:proofErr w:type="spellStart"/>
      <w:r w:rsidRPr="00A472FC">
        <w:rPr>
          <w:rFonts w:ascii="Times New Roman" w:hAnsi="Times New Roman" w:cs="Times New Roman"/>
          <w:i/>
          <w:iCs/>
        </w:rPr>
        <w:t>animae</w:t>
      </w:r>
      <w:proofErr w:type="spellEnd"/>
      <w:r w:rsidRPr="00A472FC">
        <w:rPr>
          <w:rFonts w:ascii="Times New Roman" w:hAnsi="Times New Roman" w:cs="Times New Roman"/>
          <w:i/>
          <w:iCs/>
        </w:rPr>
        <w:t xml:space="preserve"> et spiritus liber translates a Johanne </w:t>
      </w:r>
      <w:proofErr w:type="spellStart"/>
      <w:r w:rsidRPr="00A472FC">
        <w:rPr>
          <w:rFonts w:ascii="Times New Roman" w:hAnsi="Times New Roman" w:cs="Times New Roman"/>
          <w:i/>
          <w:iCs/>
        </w:rPr>
        <w:t>Hispalensi</w:t>
      </w:r>
      <w:proofErr w:type="spellEnd"/>
      <w:r w:rsidRPr="00A472FC">
        <w:rPr>
          <w:rFonts w:ascii="Times New Roman" w:hAnsi="Times New Roman" w:cs="Times New Roman"/>
          <w:i/>
          <w:iCs/>
        </w:rPr>
        <w:t xml:space="preserve">. </w:t>
      </w:r>
      <w:r w:rsidRPr="00A472FC">
        <w:rPr>
          <w:rFonts w:ascii="Times New Roman" w:hAnsi="Times New Roman" w:cs="Times New Roman"/>
          <w:iCs/>
        </w:rPr>
        <w:t xml:space="preserve">Edited by Carl Sigmund </w:t>
      </w:r>
      <w:r w:rsidRPr="00A472FC">
        <w:rPr>
          <w:rFonts w:ascii="Times New Roman" w:hAnsi="Times New Roman" w:cs="Times New Roman"/>
        </w:rPr>
        <w:t>Baruch.</w:t>
      </w:r>
      <w:r w:rsidRPr="00A472FC">
        <w:rPr>
          <w:rFonts w:ascii="Times New Roman" w:hAnsi="Times New Roman" w:cs="Times New Roman"/>
          <w:i/>
          <w:iCs/>
        </w:rPr>
        <w:t xml:space="preserve"> </w:t>
      </w:r>
      <w:r w:rsidRPr="00A472FC">
        <w:rPr>
          <w:rFonts w:ascii="Times New Roman" w:hAnsi="Times New Roman" w:cs="Times New Roman"/>
        </w:rPr>
        <w:t xml:space="preserve">Innsbruck: Verlag </w:t>
      </w:r>
      <w:proofErr w:type="spellStart"/>
      <w:r w:rsidRPr="00A472FC">
        <w:rPr>
          <w:rFonts w:ascii="Times New Roman" w:hAnsi="Times New Roman" w:cs="Times New Roman"/>
        </w:rPr>
        <w:t>der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Wagnerschen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Universitaets</w:t>
      </w:r>
      <w:proofErr w:type="spellEnd"/>
      <w:r w:rsidRPr="00A472FC">
        <w:rPr>
          <w:rFonts w:ascii="Times New Roman" w:hAnsi="Times New Roman" w:cs="Times New Roman"/>
        </w:rPr>
        <w:t>-</w:t>
      </w:r>
      <w:proofErr w:type="spellStart"/>
      <w:r w:rsidRPr="00A472FC">
        <w:rPr>
          <w:rFonts w:ascii="Times New Roman" w:hAnsi="Times New Roman" w:cs="Times New Roman"/>
        </w:rPr>
        <w:t>Buchhandlung</w:t>
      </w:r>
      <w:proofErr w:type="spellEnd"/>
      <w:r w:rsidRPr="00A472FC">
        <w:rPr>
          <w:rFonts w:ascii="Times New Roman" w:hAnsi="Times New Roman" w:cs="Times New Roman"/>
        </w:rPr>
        <w:t>, 1878.</w:t>
      </w:r>
    </w:p>
    <w:p w14:paraId="488E89DC" w14:textId="32C5FEED"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Alexander </w:t>
      </w:r>
      <w:proofErr w:type="spellStart"/>
      <w:r w:rsidRPr="00A472FC">
        <w:rPr>
          <w:rFonts w:ascii="Times New Roman" w:hAnsi="Times New Roman" w:cs="Times New Roman"/>
        </w:rPr>
        <w:t>Nequam</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Alexander </w:t>
      </w:r>
      <w:proofErr w:type="spellStart"/>
      <w:r w:rsidRPr="00A472FC">
        <w:rPr>
          <w:rFonts w:ascii="Times New Roman" w:hAnsi="Times New Roman" w:cs="Times New Roman"/>
          <w:i/>
          <w:iCs/>
        </w:rPr>
        <w:t>Nequam</w:t>
      </w:r>
      <w:proofErr w:type="spellEnd"/>
      <w:r w:rsidRPr="00A472FC">
        <w:rPr>
          <w:rFonts w:ascii="Times New Roman" w:hAnsi="Times New Roman" w:cs="Times New Roman"/>
          <w:i/>
          <w:iCs/>
        </w:rPr>
        <w:t xml:space="preserve"> Speculum </w:t>
      </w:r>
      <w:proofErr w:type="spellStart"/>
      <w:r w:rsidRPr="00A472FC">
        <w:rPr>
          <w:rFonts w:ascii="Times New Roman" w:hAnsi="Times New Roman" w:cs="Times New Roman"/>
          <w:i/>
          <w:iCs/>
        </w:rPr>
        <w:t>Speculationum</w:t>
      </w:r>
      <w:proofErr w:type="spellEnd"/>
      <w:r w:rsidRPr="00A472FC">
        <w:rPr>
          <w:rFonts w:ascii="Times New Roman" w:hAnsi="Times New Roman" w:cs="Times New Roman"/>
          <w:i/>
          <w:iCs/>
        </w:rPr>
        <w:t xml:space="preserve">. </w:t>
      </w:r>
      <w:r w:rsidRPr="00A472FC">
        <w:rPr>
          <w:rFonts w:ascii="Times New Roman" w:hAnsi="Times New Roman" w:cs="Times New Roman"/>
          <w:iCs/>
        </w:rPr>
        <w:t>Edited by</w:t>
      </w:r>
      <w:r w:rsidRPr="00A472FC">
        <w:rPr>
          <w:rFonts w:ascii="Times New Roman" w:hAnsi="Times New Roman" w:cs="Times New Roman"/>
          <w:i/>
          <w:iCs/>
        </w:rPr>
        <w:t xml:space="preserve"> </w:t>
      </w:r>
      <w:r w:rsidRPr="00A472FC">
        <w:rPr>
          <w:rFonts w:ascii="Times New Roman" w:hAnsi="Times New Roman" w:cs="Times New Roman"/>
        </w:rPr>
        <w:t xml:space="preserve">Rodney M. Thomson. </w:t>
      </w:r>
      <w:proofErr w:type="spellStart"/>
      <w:r w:rsidRPr="00A472FC">
        <w:rPr>
          <w:rFonts w:ascii="Times New Roman" w:hAnsi="Times New Roman" w:cs="Times New Roman"/>
        </w:rPr>
        <w:t>Auctores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Britannici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Medii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Aevi</w:t>
      </w:r>
      <w:proofErr w:type="spellEnd"/>
      <w:r w:rsidRPr="00A472FC">
        <w:rPr>
          <w:rFonts w:ascii="Times New Roman" w:hAnsi="Times New Roman" w:cs="Times New Roman"/>
        </w:rPr>
        <w:t>, vol. 11. London</w:t>
      </w:r>
      <w:r w:rsidR="00B66A06" w:rsidRPr="00A472FC">
        <w:rPr>
          <w:rFonts w:ascii="Times New Roman" w:hAnsi="Times New Roman" w:cs="Times New Roman"/>
        </w:rPr>
        <w:t>: British Academy</w:t>
      </w:r>
      <w:r w:rsidRPr="00A472FC">
        <w:rPr>
          <w:rFonts w:ascii="Times New Roman" w:hAnsi="Times New Roman" w:cs="Times New Roman"/>
        </w:rPr>
        <w:t>, 1988.</w:t>
      </w:r>
    </w:p>
    <w:p w14:paraId="1F4B9809" w14:textId="39623B38" w:rsidR="006A6E61" w:rsidRPr="00A472FC" w:rsidRDefault="006A6E61" w:rsidP="00881604">
      <w:pPr>
        <w:ind w:left="426" w:right="-52" w:hanging="426"/>
        <w:rPr>
          <w:rFonts w:ascii="Times New Roman" w:hAnsi="Times New Roman" w:cs="Times New Roman"/>
          <w:color w:val="000000" w:themeColor="text1"/>
          <w:lang w:val="fr-FR"/>
        </w:rPr>
      </w:pPr>
      <w:r w:rsidRPr="00A472FC">
        <w:rPr>
          <w:rFonts w:ascii="Times New Roman" w:hAnsi="Times New Roman" w:cs="Times New Roman"/>
          <w:iCs/>
          <w:color w:val="000000" w:themeColor="text1"/>
          <w:lang w:val="fr-FR"/>
        </w:rPr>
        <w:t>Anonymous.</w:t>
      </w:r>
      <w:r w:rsidRPr="00A472FC">
        <w:rPr>
          <w:rFonts w:ascii="Times New Roman" w:hAnsi="Times New Roman" w:cs="Times New Roman"/>
          <w:i/>
          <w:iCs/>
          <w:color w:val="000000" w:themeColor="text1"/>
          <w:lang w:val="fr-FR"/>
        </w:rPr>
        <w:t xml:space="preserve"> De </w:t>
      </w:r>
      <w:proofErr w:type="spellStart"/>
      <w:r w:rsidRPr="00A472FC">
        <w:rPr>
          <w:rFonts w:ascii="Times New Roman" w:hAnsi="Times New Roman" w:cs="Times New Roman"/>
          <w:i/>
          <w:iCs/>
          <w:color w:val="000000" w:themeColor="text1"/>
          <w:lang w:val="fr-FR"/>
        </w:rPr>
        <w:t>potentiis</w:t>
      </w:r>
      <w:proofErr w:type="spellEnd"/>
      <w:r w:rsidRPr="00A472FC">
        <w:rPr>
          <w:rFonts w:ascii="Times New Roman" w:hAnsi="Times New Roman" w:cs="Times New Roman"/>
          <w:i/>
          <w:iCs/>
          <w:color w:val="000000" w:themeColor="text1"/>
          <w:lang w:val="fr-FR"/>
        </w:rPr>
        <w:t xml:space="preserve"> </w:t>
      </w:r>
      <w:proofErr w:type="spellStart"/>
      <w:r w:rsidRPr="00A472FC">
        <w:rPr>
          <w:rFonts w:ascii="Times New Roman" w:hAnsi="Times New Roman" w:cs="Times New Roman"/>
          <w:i/>
          <w:iCs/>
          <w:color w:val="000000" w:themeColor="text1"/>
          <w:lang w:val="fr-FR"/>
        </w:rPr>
        <w:t>animae</w:t>
      </w:r>
      <w:proofErr w:type="spellEnd"/>
      <w:r w:rsidRPr="00A472FC">
        <w:rPr>
          <w:rFonts w:ascii="Times New Roman" w:hAnsi="Times New Roman" w:cs="Times New Roman"/>
          <w:i/>
          <w:iCs/>
          <w:color w:val="000000" w:themeColor="text1"/>
          <w:lang w:val="fr-FR"/>
        </w:rPr>
        <w:t xml:space="preserve"> et </w:t>
      </w:r>
      <w:proofErr w:type="spellStart"/>
      <w:r w:rsidRPr="00A472FC">
        <w:rPr>
          <w:rFonts w:ascii="Times New Roman" w:hAnsi="Times New Roman" w:cs="Times New Roman"/>
          <w:i/>
          <w:iCs/>
          <w:color w:val="000000" w:themeColor="text1"/>
          <w:lang w:val="fr-FR"/>
        </w:rPr>
        <w:t>obiectis</w:t>
      </w:r>
      <w:proofErr w:type="spellEnd"/>
      <w:r w:rsidRPr="00A472FC">
        <w:rPr>
          <w:rFonts w:ascii="Times New Roman" w:hAnsi="Times New Roman" w:cs="Times New Roman"/>
          <w:color w:val="000000" w:themeColor="text1"/>
          <w:lang w:val="fr-FR"/>
        </w:rPr>
        <w:t xml:space="preserve">. </w:t>
      </w:r>
      <w:proofErr w:type="spellStart"/>
      <w:r w:rsidRPr="00A472FC">
        <w:rPr>
          <w:rFonts w:ascii="Times New Roman" w:hAnsi="Times New Roman" w:cs="Times New Roman"/>
          <w:color w:val="000000" w:themeColor="text1"/>
          <w:lang w:val="fr-FR"/>
        </w:rPr>
        <w:t>Edited</w:t>
      </w:r>
      <w:proofErr w:type="spellEnd"/>
      <w:r w:rsidRPr="00A472FC">
        <w:rPr>
          <w:rFonts w:ascii="Times New Roman" w:hAnsi="Times New Roman" w:cs="Times New Roman"/>
          <w:color w:val="000000" w:themeColor="text1"/>
          <w:lang w:val="fr-FR"/>
        </w:rPr>
        <w:t xml:space="preserve"> by</w:t>
      </w:r>
      <w:r w:rsidRPr="00A472FC">
        <w:rPr>
          <w:rFonts w:ascii="Times New Roman" w:hAnsi="Times New Roman" w:cs="Times New Roman"/>
          <w:color w:val="000000" w:themeColor="text1"/>
        </w:rPr>
        <w:t xml:space="preserve"> Daniel A. Callus. In ‘The Powers of the Soul: An Early Unpublished Text.’ </w:t>
      </w:r>
      <w:proofErr w:type="spellStart"/>
      <w:r w:rsidR="00AB5B86" w:rsidRPr="00A472FC">
        <w:rPr>
          <w:rFonts w:ascii="Times New Roman" w:hAnsi="Times New Roman" w:cs="Times New Roman"/>
          <w:i/>
          <w:iCs/>
          <w:color w:val="000000" w:themeColor="text1"/>
        </w:rPr>
        <w:t>Recherches</w:t>
      </w:r>
      <w:proofErr w:type="spellEnd"/>
      <w:r w:rsidR="00AB5B86" w:rsidRPr="00A472FC">
        <w:rPr>
          <w:rFonts w:ascii="Times New Roman" w:hAnsi="Times New Roman" w:cs="Times New Roman"/>
          <w:i/>
          <w:iCs/>
          <w:color w:val="000000" w:themeColor="text1"/>
        </w:rPr>
        <w:t xml:space="preserve"> de </w:t>
      </w:r>
      <w:proofErr w:type="spellStart"/>
      <w:r w:rsidR="00AB5B86" w:rsidRPr="00A472FC">
        <w:rPr>
          <w:rFonts w:ascii="Times New Roman" w:hAnsi="Times New Roman" w:cs="Times New Roman"/>
          <w:i/>
          <w:iCs/>
          <w:color w:val="000000" w:themeColor="text1"/>
        </w:rPr>
        <w:t>théologie</w:t>
      </w:r>
      <w:proofErr w:type="spellEnd"/>
      <w:r w:rsidR="00AB5B86" w:rsidRPr="00A472FC">
        <w:rPr>
          <w:rFonts w:ascii="Times New Roman" w:hAnsi="Times New Roman" w:cs="Times New Roman"/>
          <w:i/>
          <w:iCs/>
          <w:color w:val="000000" w:themeColor="text1"/>
        </w:rPr>
        <w:t xml:space="preserve"> </w:t>
      </w:r>
      <w:proofErr w:type="spellStart"/>
      <w:r w:rsidR="00AB5B86" w:rsidRPr="00A472FC">
        <w:rPr>
          <w:rFonts w:ascii="Times New Roman" w:hAnsi="Times New Roman" w:cs="Times New Roman"/>
          <w:i/>
          <w:iCs/>
          <w:color w:val="000000" w:themeColor="text1"/>
        </w:rPr>
        <w:t>ancienne</w:t>
      </w:r>
      <w:proofErr w:type="spellEnd"/>
      <w:r w:rsidR="00AB5B86" w:rsidRPr="00A472FC">
        <w:rPr>
          <w:rFonts w:ascii="Times New Roman" w:hAnsi="Times New Roman" w:cs="Times New Roman"/>
          <w:i/>
          <w:iCs/>
          <w:color w:val="000000" w:themeColor="text1"/>
        </w:rPr>
        <w:t xml:space="preserve"> et </w:t>
      </w:r>
      <w:proofErr w:type="spellStart"/>
      <w:r w:rsidR="00AB5B86" w:rsidRPr="00A472FC">
        <w:rPr>
          <w:rFonts w:ascii="Times New Roman" w:hAnsi="Times New Roman" w:cs="Times New Roman"/>
          <w:i/>
          <w:iCs/>
          <w:color w:val="000000" w:themeColor="text1"/>
        </w:rPr>
        <w:t>médiévale</w:t>
      </w:r>
      <w:proofErr w:type="spellEnd"/>
      <w:r w:rsidR="00AB5B86" w:rsidRPr="00A472FC">
        <w:rPr>
          <w:rFonts w:ascii="Times New Roman" w:hAnsi="Times New Roman" w:cs="Times New Roman"/>
          <w:color w:val="000000" w:themeColor="text1"/>
        </w:rPr>
        <w:t xml:space="preserve"> </w:t>
      </w:r>
      <w:r w:rsidRPr="00A472FC">
        <w:rPr>
          <w:rFonts w:ascii="Times New Roman" w:hAnsi="Times New Roman" w:cs="Times New Roman"/>
          <w:color w:val="000000" w:themeColor="text1"/>
          <w:lang w:val="fr-FR"/>
        </w:rPr>
        <w:t>19 (1952): 131</w:t>
      </w:r>
      <w:r w:rsidRPr="00A472FC">
        <w:rPr>
          <w:rFonts w:ascii="Times New Roman" w:hAnsi="Times New Roman" w:cs="Times New Roman"/>
          <w:color w:val="000000" w:themeColor="text1"/>
        </w:rPr>
        <w:t>-</w:t>
      </w:r>
      <w:r w:rsidRPr="00A472FC">
        <w:rPr>
          <w:rFonts w:ascii="Times New Roman" w:hAnsi="Times New Roman" w:cs="Times New Roman"/>
          <w:color w:val="000000" w:themeColor="text1"/>
          <w:lang w:val="fr-FR"/>
        </w:rPr>
        <w:t>70.</w:t>
      </w:r>
    </w:p>
    <w:p w14:paraId="32146650" w14:textId="7DB4477C" w:rsidR="006A6E61" w:rsidRPr="00A472FC" w:rsidRDefault="006A6E61" w:rsidP="00881604">
      <w:pPr>
        <w:ind w:left="426" w:right="-52" w:hanging="426"/>
        <w:rPr>
          <w:rFonts w:ascii="Times New Roman" w:hAnsi="Times New Roman" w:cs="Times New Roman"/>
          <w:color w:val="000000" w:themeColor="text1"/>
        </w:rPr>
      </w:pPr>
      <w:r w:rsidRPr="00A472FC">
        <w:rPr>
          <w:rFonts w:ascii="Times New Roman" w:hAnsi="Times New Roman" w:cs="Times New Roman"/>
          <w:iCs/>
          <w:color w:val="000000" w:themeColor="text1"/>
          <w:lang w:val="fr-FR"/>
        </w:rPr>
        <w:t>Anonymous.</w:t>
      </w:r>
      <w:r w:rsidRPr="00A472FC">
        <w:rPr>
          <w:rFonts w:ascii="Times New Roman" w:hAnsi="Times New Roman" w:cs="Times New Roman"/>
          <w:i/>
          <w:iCs/>
          <w:color w:val="000000" w:themeColor="text1"/>
          <w:lang w:val="fr-FR"/>
        </w:rPr>
        <w:t xml:space="preserve"> De anima et </w:t>
      </w:r>
      <w:proofErr w:type="spellStart"/>
      <w:r w:rsidRPr="00A472FC">
        <w:rPr>
          <w:rFonts w:ascii="Times New Roman" w:hAnsi="Times New Roman" w:cs="Times New Roman"/>
          <w:i/>
          <w:iCs/>
          <w:color w:val="000000" w:themeColor="text1"/>
          <w:lang w:val="fr-FR"/>
        </w:rPr>
        <w:t>potenciis</w:t>
      </w:r>
      <w:proofErr w:type="spellEnd"/>
      <w:r w:rsidRPr="00A472FC">
        <w:rPr>
          <w:rFonts w:ascii="Times New Roman" w:hAnsi="Times New Roman" w:cs="Times New Roman"/>
          <w:i/>
          <w:iCs/>
          <w:color w:val="000000" w:themeColor="text1"/>
          <w:lang w:val="fr-FR"/>
        </w:rPr>
        <w:t xml:space="preserve"> </w:t>
      </w:r>
      <w:proofErr w:type="spellStart"/>
      <w:r w:rsidRPr="00A472FC">
        <w:rPr>
          <w:rFonts w:ascii="Times New Roman" w:hAnsi="Times New Roman" w:cs="Times New Roman"/>
          <w:i/>
          <w:iCs/>
          <w:color w:val="000000" w:themeColor="text1"/>
          <w:lang w:val="fr-FR"/>
        </w:rPr>
        <w:t>eius</w:t>
      </w:r>
      <w:proofErr w:type="spellEnd"/>
      <w:r w:rsidRPr="00A472FC">
        <w:rPr>
          <w:rFonts w:ascii="Times New Roman" w:hAnsi="Times New Roman" w:cs="Times New Roman"/>
          <w:color w:val="000000" w:themeColor="text1"/>
          <w:lang w:val="fr-FR"/>
        </w:rPr>
        <w:t xml:space="preserve">. </w:t>
      </w:r>
      <w:proofErr w:type="spellStart"/>
      <w:r w:rsidRPr="00A472FC">
        <w:rPr>
          <w:rFonts w:ascii="Times New Roman" w:hAnsi="Times New Roman" w:cs="Times New Roman"/>
          <w:color w:val="000000" w:themeColor="text1"/>
          <w:lang w:val="fr-FR"/>
        </w:rPr>
        <w:t>Edited</w:t>
      </w:r>
      <w:proofErr w:type="spellEnd"/>
      <w:r w:rsidRPr="00A472FC">
        <w:rPr>
          <w:rFonts w:ascii="Times New Roman" w:hAnsi="Times New Roman" w:cs="Times New Roman"/>
          <w:color w:val="000000" w:themeColor="text1"/>
          <w:lang w:val="fr-FR"/>
        </w:rPr>
        <w:t xml:space="preserve"> by </w:t>
      </w:r>
      <w:r w:rsidRPr="00A472FC">
        <w:rPr>
          <w:rFonts w:ascii="Times New Roman" w:hAnsi="Times New Roman" w:cs="Times New Roman"/>
          <w:color w:val="000000" w:themeColor="text1"/>
          <w:shd w:val="clear" w:color="auto" w:fill="FFFFFF"/>
        </w:rPr>
        <w:t>René</w:t>
      </w:r>
      <w:r w:rsidRPr="00A472FC" w:rsidDel="001E5926">
        <w:rPr>
          <w:rFonts w:ascii="Times New Roman" w:hAnsi="Times New Roman" w:cs="Times New Roman"/>
          <w:color w:val="000000" w:themeColor="text1"/>
          <w:lang w:val="fr-FR"/>
        </w:rPr>
        <w:t xml:space="preserve"> </w:t>
      </w:r>
      <w:r w:rsidRPr="00A472FC">
        <w:rPr>
          <w:rFonts w:ascii="Times New Roman" w:hAnsi="Times New Roman" w:cs="Times New Roman"/>
          <w:color w:val="000000" w:themeColor="text1"/>
          <w:lang w:val="fr-FR"/>
        </w:rPr>
        <w:t xml:space="preserve">A. Gauthier. In ‘Le Traité </w:t>
      </w:r>
      <w:r w:rsidRPr="00A472FC">
        <w:rPr>
          <w:rFonts w:ascii="Times New Roman" w:hAnsi="Times New Roman" w:cs="Times New Roman"/>
          <w:i/>
          <w:iCs/>
          <w:color w:val="000000" w:themeColor="text1"/>
          <w:lang w:val="fr-FR"/>
        </w:rPr>
        <w:t xml:space="preserve">De anima et </w:t>
      </w:r>
      <w:proofErr w:type="spellStart"/>
      <w:r w:rsidRPr="00A472FC">
        <w:rPr>
          <w:rFonts w:ascii="Times New Roman" w:hAnsi="Times New Roman" w:cs="Times New Roman"/>
          <w:i/>
          <w:iCs/>
          <w:color w:val="000000" w:themeColor="text1"/>
          <w:lang w:val="fr-FR"/>
        </w:rPr>
        <w:t>potenciis</w:t>
      </w:r>
      <w:proofErr w:type="spellEnd"/>
      <w:r w:rsidRPr="00A472FC">
        <w:rPr>
          <w:rFonts w:ascii="Times New Roman" w:hAnsi="Times New Roman" w:cs="Times New Roman"/>
          <w:i/>
          <w:iCs/>
          <w:color w:val="000000" w:themeColor="text1"/>
          <w:lang w:val="fr-FR"/>
        </w:rPr>
        <w:t xml:space="preserve"> </w:t>
      </w:r>
      <w:proofErr w:type="spellStart"/>
      <w:r w:rsidRPr="00A472FC">
        <w:rPr>
          <w:rFonts w:ascii="Times New Roman" w:hAnsi="Times New Roman" w:cs="Times New Roman"/>
          <w:i/>
          <w:iCs/>
          <w:color w:val="000000" w:themeColor="text1"/>
          <w:lang w:val="fr-FR"/>
        </w:rPr>
        <w:t>eius</w:t>
      </w:r>
      <w:proofErr w:type="spellEnd"/>
      <w:r w:rsidRPr="00A472FC">
        <w:rPr>
          <w:rFonts w:ascii="Times New Roman" w:hAnsi="Times New Roman" w:cs="Times New Roman"/>
          <w:color w:val="000000" w:themeColor="text1"/>
          <w:lang w:val="fr-FR"/>
        </w:rPr>
        <w:t xml:space="preserve"> d’un maître ès Arts (vers 1225).’ </w:t>
      </w:r>
      <w:r w:rsidRPr="00A472FC">
        <w:rPr>
          <w:rFonts w:ascii="Times New Roman" w:hAnsi="Times New Roman" w:cs="Times New Roman"/>
          <w:i/>
          <w:iCs/>
          <w:color w:val="000000" w:themeColor="text1"/>
        </w:rPr>
        <w:t xml:space="preserve">Revue des </w:t>
      </w:r>
      <w:r w:rsidR="00E4277C" w:rsidRPr="00A472FC">
        <w:rPr>
          <w:rFonts w:ascii="Times New Roman" w:hAnsi="Times New Roman" w:cs="Times New Roman"/>
          <w:i/>
          <w:iCs/>
          <w:color w:val="000000" w:themeColor="text1"/>
        </w:rPr>
        <w:t>s</w:t>
      </w:r>
      <w:r w:rsidRPr="00A472FC">
        <w:rPr>
          <w:rFonts w:ascii="Times New Roman" w:hAnsi="Times New Roman" w:cs="Times New Roman"/>
          <w:i/>
          <w:iCs/>
          <w:color w:val="000000" w:themeColor="text1"/>
        </w:rPr>
        <w:t xml:space="preserve">ciences </w:t>
      </w:r>
      <w:proofErr w:type="spellStart"/>
      <w:r w:rsidR="00E329D7" w:rsidRPr="00A472FC">
        <w:rPr>
          <w:rFonts w:ascii="Times New Roman" w:hAnsi="Times New Roman" w:cs="Times New Roman"/>
          <w:i/>
          <w:iCs/>
          <w:color w:val="000000" w:themeColor="text1"/>
        </w:rPr>
        <w:t>p</w:t>
      </w:r>
      <w:r w:rsidRPr="00A472FC">
        <w:rPr>
          <w:rFonts w:ascii="Times New Roman" w:hAnsi="Times New Roman" w:cs="Times New Roman"/>
          <w:i/>
          <w:iCs/>
          <w:color w:val="000000" w:themeColor="text1"/>
        </w:rPr>
        <w:t>hilosophiques</w:t>
      </w:r>
      <w:proofErr w:type="spellEnd"/>
      <w:r w:rsidRPr="00A472FC">
        <w:rPr>
          <w:rFonts w:ascii="Times New Roman" w:hAnsi="Times New Roman" w:cs="Times New Roman"/>
          <w:i/>
          <w:iCs/>
          <w:color w:val="000000" w:themeColor="text1"/>
        </w:rPr>
        <w:t xml:space="preserve"> et </w:t>
      </w:r>
      <w:proofErr w:type="spellStart"/>
      <w:r w:rsidR="00E329D7" w:rsidRPr="00A472FC">
        <w:rPr>
          <w:rFonts w:ascii="Times New Roman" w:hAnsi="Times New Roman" w:cs="Times New Roman"/>
          <w:i/>
          <w:iCs/>
          <w:color w:val="000000" w:themeColor="text1"/>
        </w:rPr>
        <w:t>t</w:t>
      </w:r>
      <w:r w:rsidRPr="00A472FC">
        <w:rPr>
          <w:rFonts w:ascii="Times New Roman" w:hAnsi="Times New Roman" w:cs="Times New Roman"/>
          <w:i/>
          <w:iCs/>
          <w:color w:val="000000" w:themeColor="text1"/>
        </w:rPr>
        <w:t>héologiques</w:t>
      </w:r>
      <w:proofErr w:type="spellEnd"/>
      <w:r w:rsidRPr="00A472FC">
        <w:rPr>
          <w:rFonts w:ascii="Times New Roman" w:hAnsi="Times New Roman" w:cs="Times New Roman"/>
          <w:color w:val="000000" w:themeColor="text1"/>
        </w:rPr>
        <w:t xml:space="preserve"> 66 (1985): 27-54. </w:t>
      </w:r>
    </w:p>
    <w:p w14:paraId="53A5EB1F" w14:textId="4352CC80"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Anonymous.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sententiarum</w:t>
      </w:r>
      <w:proofErr w:type="spellEnd"/>
      <w:r w:rsidRPr="00A472FC">
        <w:rPr>
          <w:rFonts w:ascii="Times New Roman" w:hAnsi="Times New Roman" w:cs="Times New Roman"/>
          <w:i/>
          <w:iCs/>
        </w:rPr>
        <w:t>.</w:t>
      </w:r>
      <w:r w:rsidRPr="00A472FC">
        <w:rPr>
          <w:rFonts w:ascii="Times New Roman" w:hAnsi="Times New Roman" w:cs="Times New Roman"/>
        </w:rPr>
        <w:t xml:space="preserve"> PL 176.</w:t>
      </w:r>
    </w:p>
    <w:p w14:paraId="1F39D8DC" w14:textId="3016409C" w:rsidR="006A6E61" w:rsidRPr="00A472FC" w:rsidRDefault="006A6E61" w:rsidP="00881604">
      <w:pPr>
        <w:ind w:left="426" w:right="-52" w:hanging="426"/>
        <w:rPr>
          <w:rFonts w:ascii="Times New Roman" w:hAnsi="Times New Roman" w:cs="Times New Roman"/>
          <w:color w:val="000000" w:themeColor="text1"/>
          <w:lang w:val="de-DE"/>
        </w:rPr>
      </w:pPr>
      <w:r w:rsidRPr="00A472FC">
        <w:rPr>
          <w:rFonts w:ascii="Times New Roman" w:hAnsi="Times New Roman" w:cs="Times New Roman"/>
          <w:color w:val="000000" w:themeColor="text1"/>
          <w:lang w:val="en-US"/>
        </w:rPr>
        <w:t xml:space="preserve">Anselm </w:t>
      </w:r>
      <w:r w:rsidR="00E56EBE" w:rsidRPr="00A472FC">
        <w:rPr>
          <w:rFonts w:ascii="Times New Roman" w:hAnsi="Times New Roman" w:cs="Times New Roman"/>
          <w:color w:val="000000" w:themeColor="text1"/>
          <w:lang w:val="en-US"/>
        </w:rPr>
        <w:t>o</w:t>
      </w:r>
      <w:r w:rsidRPr="00A472FC">
        <w:rPr>
          <w:rFonts w:ascii="Times New Roman" w:hAnsi="Times New Roman" w:cs="Times New Roman"/>
          <w:color w:val="000000" w:themeColor="text1"/>
          <w:lang w:val="en-US"/>
        </w:rPr>
        <w:t xml:space="preserve">f Canterbury. </w:t>
      </w:r>
      <w:r w:rsidRPr="00A472FC">
        <w:rPr>
          <w:rFonts w:ascii="Times New Roman" w:hAnsi="Times New Roman" w:cs="Times New Roman"/>
          <w:i/>
          <w:color w:val="000000" w:themeColor="text1"/>
          <w:lang w:val="en-US"/>
        </w:rPr>
        <w:t xml:space="preserve">S. </w:t>
      </w:r>
      <w:proofErr w:type="spellStart"/>
      <w:r w:rsidRPr="00A472FC">
        <w:rPr>
          <w:rFonts w:ascii="Times New Roman" w:hAnsi="Times New Roman" w:cs="Times New Roman"/>
          <w:i/>
          <w:color w:val="000000" w:themeColor="text1"/>
          <w:lang w:val="en-US"/>
        </w:rPr>
        <w:t>Anselmi</w:t>
      </w:r>
      <w:proofErr w:type="spellEnd"/>
      <w:r w:rsidRPr="00A472FC">
        <w:rPr>
          <w:rFonts w:ascii="Times New Roman" w:hAnsi="Times New Roman" w:cs="Times New Roman"/>
          <w:i/>
          <w:color w:val="000000" w:themeColor="text1"/>
          <w:lang w:val="en-US"/>
        </w:rPr>
        <w:t xml:space="preserve"> </w:t>
      </w:r>
      <w:proofErr w:type="spellStart"/>
      <w:r w:rsidRPr="00A472FC">
        <w:rPr>
          <w:rFonts w:ascii="Times New Roman" w:hAnsi="Times New Roman" w:cs="Times New Roman"/>
          <w:i/>
          <w:color w:val="000000" w:themeColor="text1"/>
          <w:lang w:val="en-US"/>
        </w:rPr>
        <w:t>Cantuariensis</w:t>
      </w:r>
      <w:proofErr w:type="spellEnd"/>
      <w:r w:rsidRPr="00A472FC">
        <w:rPr>
          <w:rFonts w:ascii="Times New Roman" w:hAnsi="Times New Roman" w:cs="Times New Roman"/>
          <w:i/>
          <w:color w:val="000000" w:themeColor="text1"/>
          <w:lang w:val="en-US"/>
        </w:rPr>
        <w:t xml:space="preserve"> </w:t>
      </w:r>
      <w:proofErr w:type="spellStart"/>
      <w:r w:rsidRPr="00A472FC">
        <w:rPr>
          <w:rFonts w:ascii="Times New Roman" w:hAnsi="Times New Roman" w:cs="Times New Roman"/>
          <w:i/>
          <w:color w:val="000000" w:themeColor="text1"/>
          <w:lang w:val="en-US"/>
        </w:rPr>
        <w:t>Archiepiscopi</w:t>
      </w:r>
      <w:proofErr w:type="spellEnd"/>
      <w:r w:rsidRPr="00A472FC">
        <w:rPr>
          <w:rFonts w:ascii="Times New Roman" w:hAnsi="Times New Roman" w:cs="Times New Roman"/>
          <w:i/>
          <w:color w:val="000000" w:themeColor="text1"/>
          <w:lang w:val="en-US"/>
        </w:rPr>
        <w:t xml:space="preserve"> Opera </w:t>
      </w:r>
      <w:proofErr w:type="spellStart"/>
      <w:r w:rsidRPr="00A472FC">
        <w:rPr>
          <w:rFonts w:ascii="Times New Roman" w:hAnsi="Times New Roman" w:cs="Times New Roman"/>
          <w:i/>
          <w:color w:val="000000" w:themeColor="text1"/>
          <w:lang w:val="en-US"/>
        </w:rPr>
        <w:t>Omnia</w:t>
      </w:r>
      <w:proofErr w:type="spellEnd"/>
      <w:r w:rsidRPr="00A472FC">
        <w:rPr>
          <w:rFonts w:ascii="Times New Roman" w:hAnsi="Times New Roman" w:cs="Times New Roman"/>
          <w:color w:val="000000" w:themeColor="text1"/>
          <w:lang w:val="en-US"/>
        </w:rPr>
        <w:t xml:space="preserve">, 2 vols. Edited by </w:t>
      </w:r>
      <w:proofErr w:type="spellStart"/>
      <w:r w:rsidRPr="00A472FC">
        <w:rPr>
          <w:rFonts w:ascii="Times New Roman" w:hAnsi="Times New Roman" w:cs="Times New Roman"/>
          <w:color w:val="000000" w:themeColor="text1"/>
          <w:lang w:val="en-US"/>
        </w:rPr>
        <w:t>Franciscus</w:t>
      </w:r>
      <w:proofErr w:type="spellEnd"/>
      <w:r w:rsidRPr="00A472FC">
        <w:rPr>
          <w:rFonts w:ascii="Times New Roman" w:hAnsi="Times New Roman" w:cs="Times New Roman"/>
          <w:color w:val="000000" w:themeColor="text1"/>
          <w:lang w:val="en-US"/>
        </w:rPr>
        <w:t xml:space="preserve"> </w:t>
      </w:r>
      <w:proofErr w:type="spellStart"/>
      <w:r w:rsidRPr="00A472FC">
        <w:rPr>
          <w:rFonts w:ascii="Times New Roman" w:hAnsi="Times New Roman" w:cs="Times New Roman"/>
          <w:color w:val="000000" w:themeColor="text1"/>
          <w:lang w:val="en-US"/>
        </w:rPr>
        <w:t>Salesius</w:t>
      </w:r>
      <w:proofErr w:type="spellEnd"/>
      <w:r w:rsidRPr="00A472FC">
        <w:rPr>
          <w:rFonts w:ascii="Times New Roman" w:hAnsi="Times New Roman" w:cs="Times New Roman"/>
          <w:color w:val="000000" w:themeColor="text1"/>
          <w:lang w:val="en-US"/>
        </w:rPr>
        <w:t xml:space="preserve"> Schmitt. </w:t>
      </w:r>
      <w:r w:rsidRPr="00A472FC">
        <w:rPr>
          <w:rFonts w:ascii="Times New Roman" w:hAnsi="Times New Roman" w:cs="Times New Roman"/>
          <w:color w:val="000000" w:themeColor="text1"/>
          <w:lang w:val="de-DE"/>
        </w:rPr>
        <w:t xml:space="preserve">Stuttgart-Bad </w:t>
      </w:r>
      <w:proofErr w:type="spellStart"/>
      <w:r w:rsidRPr="00A472FC">
        <w:rPr>
          <w:rFonts w:ascii="Times New Roman" w:hAnsi="Times New Roman" w:cs="Times New Roman"/>
          <w:color w:val="000000" w:themeColor="text1"/>
          <w:lang w:val="de-DE"/>
        </w:rPr>
        <w:t>Cannstatt</w:t>
      </w:r>
      <w:proofErr w:type="spellEnd"/>
      <w:r w:rsidRPr="00A472FC">
        <w:rPr>
          <w:rFonts w:ascii="Times New Roman" w:hAnsi="Times New Roman" w:cs="Times New Roman"/>
          <w:color w:val="000000" w:themeColor="text1"/>
          <w:lang w:val="de-DE"/>
        </w:rPr>
        <w:t xml:space="preserve">: Friedrich Frommann Verlag, 1968-84. </w:t>
      </w:r>
    </w:p>
    <w:p w14:paraId="0941262C"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Aristotle. </w:t>
      </w:r>
      <w:proofErr w:type="spellStart"/>
      <w:r w:rsidRPr="00A472FC">
        <w:rPr>
          <w:rFonts w:ascii="Times New Roman" w:hAnsi="Times New Roman" w:cs="Times New Roman"/>
          <w:i/>
          <w:iCs/>
        </w:rPr>
        <w:t>Iacobus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Veneticus</w:t>
      </w:r>
      <w:proofErr w:type="spellEnd"/>
      <w:r w:rsidRPr="00A472FC">
        <w:rPr>
          <w:rFonts w:ascii="Times New Roman" w:hAnsi="Times New Roman" w:cs="Times New Roman"/>
          <w:i/>
          <w:iCs/>
        </w:rPr>
        <w:t xml:space="preserve"> translator </w:t>
      </w:r>
      <w:proofErr w:type="spellStart"/>
      <w:r w:rsidRPr="00A472FC">
        <w:rPr>
          <w:rFonts w:ascii="Times New Roman" w:hAnsi="Times New Roman" w:cs="Times New Roman"/>
          <w:i/>
          <w:iCs/>
        </w:rPr>
        <w:t>Aristotelis</w:t>
      </w:r>
      <w:proofErr w:type="spellEnd"/>
      <w:r w:rsidRPr="00A472FC">
        <w:rPr>
          <w:rFonts w:ascii="Times New Roman" w:hAnsi="Times New Roman" w:cs="Times New Roman"/>
          <w:i/>
          <w:iCs/>
        </w:rPr>
        <w:t xml:space="preserve"> - De anima.</w:t>
      </w:r>
      <w:r w:rsidRPr="00A472FC">
        <w:rPr>
          <w:rFonts w:ascii="Times New Roman" w:hAnsi="Times New Roman" w:cs="Times New Roman"/>
        </w:rPr>
        <w:t xml:space="preserve"> TAGL.12.1.</w:t>
      </w:r>
    </w:p>
    <w:p w14:paraId="23622CF2" w14:textId="1D4B2703" w:rsidR="006A6E61" w:rsidRPr="00A472FC" w:rsidRDefault="00F72909" w:rsidP="00881604">
      <w:pPr>
        <w:ind w:left="426" w:right="-52" w:hanging="426"/>
        <w:rPr>
          <w:rFonts w:ascii="Times New Roman" w:hAnsi="Times New Roman" w:cs="Times New Roman"/>
          <w:color w:val="000000" w:themeColor="text1"/>
          <w:lang w:val="en-US"/>
        </w:rPr>
      </w:pPr>
      <w:r w:rsidRPr="00A472FC">
        <w:rPr>
          <w:rFonts w:ascii="Times New Roman" w:hAnsi="Times New Roman" w:cs="Times New Roman"/>
        </w:rPr>
        <w:lastRenderedPageBreak/>
        <w:t xml:space="preserve">———. </w:t>
      </w:r>
      <w:r w:rsidR="006A6E61" w:rsidRPr="00A472FC">
        <w:rPr>
          <w:rFonts w:ascii="Times New Roman" w:hAnsi="Times New Roman" w:cs="Times New Roman"/>
          <w:i/>
          <w:color w:val="000000" w:themeColor="text1"/>
        </w:rPr>
        <w:t>Aristoteles </w:t>
      </w:r>
      <w:proofErr w:type="spellStart"/>
      <w:r w:rsidR="006A6E61" w:rsidRPr="00A472FC">
        <w:rPr>
          <w:rFonts w:ascii="Times New Roman" w:hAnsi="Times New Roman" w:cs="Times New Roman"/>
          <w:i/>
          <w:color w:val="000000" w:themeColor="text1"/>
        </w:rPr>
        <w:t>Latinus</w:t>
      </w:r>
      <w:proofErr w:type="spellEnd"/>
      <w:r w:rsidR="006A6E61" w:rsidRPr="00A472FC">
        <w:rPr>
          <w:rFonts w:ascii="Times New Roman" w:hAnsi="Times New Roman" w:cs="Times New Roman"/>
          <w:i/>
          <w:color w:val="000000" w:themeColor="text1"/>
        </w:rPr>
        <w:t>: Codices</w:t>
      </w:r>
      <w:r w:rsidR="007E26D2" w:rsidRPr="00A472FC">
        <w:rPr>
          <w:rFonts w:ascii="Times New Roman" w:hAnsi="Times New Roman" w:cs="Times New Roman"/>
          <w:color w:val="000000" w:themeColor="text1"/>
        </w:rPr>
        <w:t xml:space="preserve">, </w:t>
      </w:r>
      <w:r w:rsidR="006A6E61" w:rsidRPr="00A472FC">
        <w:rPr>
          <w:rFonts w:ascii="Times New Roman" w:hAnsi="Times New Roman" w:cs="Times New Roman"/>
          <w:color w:val="000000" w:themeColor="text1"/>
        </w:rPr>
        <w:t xml:space="preserve">3 vols. Edited by George </w:t>
      </w:r>
      <w:proofErr w:type="spellStart"/>
      <w:r w:rsidR="006A6E61" w:rsidRPr="00A472FC">
        <w:rPr>
          <w:rFonts w:ascii="Times New Roman" w:hAnsi="Times New Roman" w:cs="Times New Roman"/>
          <w:color w:val="000000" w:themeColor="text1"/>
        </w:rPr>
        <w:t>Lacombe</w:t>
      </w:r>
      <w:proofErr w:type="spellEnd"/>
      <w:r w:rsidR="006A6E61" w:rsidRPr="00A472FC">
        <w:rPr>
          <w:rFonts w:ascii="Times New Roman" w:hAnsi="Times New Roman" w:cs="Times New Roman"/>
          <w:color w:val="000000" w:themeColor="text1"/>
        </w:rPr>
        <w:t xml:space="preserve"> et al.</w:t>
      </w:r>
      <w:r w:rsidR="005E40AE" w:rsidRPr="00A472FC">
        <w:rPr>
          <w:rFonts w:ascii="Times New Roman" w:hAnsi="Times New Roman" w:cs="Times New Roman"/>
          <w:color w:val="000000" w:themeColor="text1"/>
        </w:rPr>
        <w:t xml:space="preserve"> </w:t>
      </w:r>
      <w:r w:rsidR="006A6E61" w:rsidRPr="00A472FC">
        <w:rPr>
          <w:rFonts w:ascii="Times New Roman" w:hAnsi="Times New Roman" w:cs="Times New Roman"/>
          <w:color w:val="000000" w:themeColor="text1"/>
        </w:rPr>
        <w:t>Rom</w:t>
      </w:r>
      <w:r w:rsidR="005E40AE" w:rsidRPr="00A472FC">
        <w:rPr>
          <w:rFonts w:ascii="Times New Roman" w:hAnsi="Times New Roman" w:cs="Times New Roman"/>
          <w:color w:val="000000" w:themeColor="text1"/>
        </w:rPr>
        <w:t>e</w:t>
      </w:r>
      <w:r w:rsidR="006A6E61" w:rsidRPr="00A472FC">
        <w:rPr>
          <w:rFonts w:ascii="Times New Roman" w:hAnsi="Times New Roman" w:cs="Times New Roman"/>
          <w:color w:val="000000" w:themeColor="text1"/>
        </w:rPr>
        <w:t xml:space="preserve">: </w:t>
      </w:r>
      <w:proofErr w:type="spellStart"/>
      <w:r w:rsidR="006A6E61" w:rsidRPr="00A472FC">
        <w:rPr>
          <w:rFonts w:ascii="Times New Roman" w:hAnsi="Times New Roman" w:cs="Times New Roman"/>
          <w:color w:val="000000" w:themeColor="text1"/>
        </w:rPr>
        <w:t>Libreria</w:t>
      </w:r>
      <w:proofErr w:type="spellEnd"/>
      <w:r w:rsidR="006A6E61" w:rsidRPr="00A472FC">
        <w:rPr>
          <w:rFonts w:ascii="Times New Roman" w:hAnsi="Times New Roman" w:cs="Times New Roman"/>
          <w:color w:val="000000" w:themeColor="text1"/>
        </w:rPr>
        <w:t xml:space="preserve"> </w:t>
      </w:r>
      <w:proofErr w:type="spellStart"/>
      <w:r w:rsidR="006A6E61" w:rsidRPr="00A472FC">
        <w:rPr>
          <w:rFonts w:ascii="Times New Roman" w:hAnsi="Times New Roman" w:cs="Times New Roman"/>
          <w:color w:val="000000" w:themeColor="text1"/>
        </w:rPr>
        <w:t>dello</w:t>
      </w:r>
      <w:proofErr w:type="spellEnd"/>
      <w:r w:rsidR="006A6E61" w:rsidRPr="00A472FC">
        <w:rPr>
          <w:rFonts w:ascii="Times New Roman" w:hAnsi="Times New Roman" w:cs="Times New Roman"/>
          <w:color w:val="000000" w:themeColor="text1"/>
        </w:rPr>
        <w:t xml:space="preserve"> </w:t>
      </w:r>
      <w:proofErr w:type="spellStart"/>
      <w:r w:rsidR="006A6E61" w:rsidRPr="00A472FC">
        <w:rPr>
          <w:rFonts w:ascii="Times New Roman" w:hAnsi="Times New Roman" w:cs="Times New Roman"/>
          <w:color w:val="000000" w:themeColor="text1"/>
        </w:rPr>
        <w:t>Stato</w:t>
      </w:r>
      <w:proofErr w:type="spellEnd"/>
      <w:r w:rsidR="006A6E61" w:rsidRPr="00A472FC">
        <w:rPr>
          <w:rFonts w:ascii="Times New Roman" w:hAnsi="Times New Roman" w:cs="Times New Roman"/>
          <w:color w:val="000000" w:themeColor="text1"/>
        </w:rPr>
        <w:t>, 1939-61.</w:t>
      </w:r>
      <w:r w:rsidR="006A6E61" w:rsidRPr="00A472FC">
        <w:rPr>
          <w:rFonts w:ascii="Times New Roman" w:hAnsi="Times New Roman" w:cs="Times New Roman"/>
          <w:color w:val="000000" w:themeColor="text1"/>
          <w:lang w:val="en-US"/>
        </w:rPr>
        <w:t xml:space="preserve"> </w:t>
      </w:r>
    </w:p>
    <w:p w14:paraId="1A02385F" w14:textId="38F80015" w:rsidR="00F72909" w:rsidRPr="00A472FC" w:rsidRDefault="00F72909" w:rsidP="004F0CE3">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iCs/>
        </w:rPr>
        <w:t>Ethica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nicomachea</w:t>
      </w:r>
      <w:proofErr w:type="spellEnd"/>
      <w:r w:rsidRPr="00A472FC">
        <w:rPr>
          <w:rFonts w:ascii="Times New Roman" w:hAnsi="Times New Roman" w:cs="Times New Roman"/>
        </w:rPr>
        <w:t>. Edited by René-Antoine Gauthier</w:t>
      </w:r>
      <w:r w:rsidR="00013496" w:rsidRPr="00A472FC">
        <w:rPr>
          <w:rFonts w:ascii="Times New Roman" w:hAnsi="Times New Roman" w:cs="Times New Roman"/>
        </w:rPr>
        <w:t xml:space="preserve">. </w:t>
      </w:r>
      <w:r w:rsidRPr="00A472FC">
        <w:rPr>
          <w:rFonts w:ascii="Times New Roman" w:hAnsi="Times New Roman" w:cs="Times New Roman"/>
        </w:rPr>
        <w:t>Leiden: Brill, 1972-</w:t>
      </w:r>
      <w:r w:rsidR="00013496" w:rsidRPr="00A472FC">
        <w:rPr>
          <w:rFonts w:ascii="Times New Roman" w:hAnsi="Times New Roman" w:cs="Times New Roman"/>
        </w:rPr>
        <w:t>7</w:t>
      </w:r>
      <w:r w:rsidRPr="00A472FC">
        <w:rPr>
          <w:rFonts w:ascii="Times New Roman" w:hAnsi="Times New Roman" w:cs="Times New Roman"/>
        </w:rPr>
        <w:t>4</w:t>
      </w:r>
      <w:r w:rsidR="00013496" w:rsidRPr="00A472FC">
        <w:rPr>
          <w:rFonts w:ascii="Times New Roman" w:hAnsi="Times New Roman" w:cs="Times New Roman"/>
        </w:rPr>
        <w:t>.</w:t>
      </w:r>
    </w:p>
    <w:p w14:paraId="3141FC6F" w14:textId="77777777" w:rsidR="00BF7AAB" w:rsidRPr="00A472FC" w:rsidRDefault="006A6E61" w:rsidP="004F0CE3">
      <w:pPr>
        <w:autoSpaceDE w:val="0"/>
        <w:autoSpaceDN w:val="0"/>
        <w:adjustRightInd w:val="0"/>
        <w:ind w:left="709" w:right="-52" w:hanging="709"/>
        <w:rPr>
          <w:rFonts w:ascii="Times New Roman" w:hAnsi="Times New Roman" w:cs="Times New Roman"/>
          <w:lang w:val="en-US"/>
        </w:rPr>
      </w:pPr>
      <w:r w:rsidRPr="00A472FC">
        <w:rPr>
          <w:rFonts w:ascii="Times New Roman" w:hAnsi="Times New Roman" w:cs="Times New Roman"/>
          <w:iCs/>
        </w:rPr>
        <w:t xml:space="preserve">Augustine. </w:t>
      </w:r>
      <w:r w:rsidR="00BF7AAB" w:rsidRPr="00A472FC">
        <w:rPr>
          <w:rFonts w:ascii="Times New Roman" w:hAnsi="Times New Roman" w:cs="Times New Roman"/>
          <w:i/>
        </w:rPr>
        <w:t xml:space="preserve">De </w:t>
      </w:r>
      <w:proofErr w:type="spellStart"/>
      <w:r w:rsidR="00BF7AAB" w:rsidRPr="00A472FC">
        <w:rPr>
          <w:rFonts w:ascii="Times New Roman" w:hAnsi="Times New Roman" w:cs="Times New Roman"/>
          <w:i/>
        </w:rPr>
        <w:t>Genesi</w:t>
      </w:r>
      <w:proofErr w:type="spellEnd"/>
      <w:r w:rsidR="00BF7AAB" w:rsidRPr="00A472FC">
        <w:rPr>
          <w:rFonts w:ascii="Times New Roman" w:hAnsi="Times New Roman" w:cs="Times New Roman"/>
          <w:i/>
        </w:rPr>
        <w:t xml:space="preserve"> ad </w:t>
      </w:r>
      <w:proofErr w:type="spellStart"/>
      <w:r w:rsidR="00BF7AAB" w:rsidRPr="00A472FC">
        <w:rPr>
          <w:rFonts w:ascii="Times New Roman" w:hAnsi="Times New Roman" w:cs="Times New Roman"/>
          <w:i/>
        </w:rPr>
        <w:t>litteram</w:t>
      </w:r>
      <w:proofErr w:type="spellEnd"/>
      <w:r w:rsidR="00BF7AAB" w:rsidRPr="00A472FC">
        <w:rPr>
          <w:rFonts w:ascii="Times New Roman" w:hAnsi="Times New Roman" w:cs="Times New Roman"/>
          <w:i/>
        </w:rPr>
        <w:t xml:space="preserve">. </w:t>
      </w:r>
      <w:r w:rsidR="00BF7AAB" w:rsidRPr="00A472FC">
        <w:rPr>
          <w:rFonts w:ascii="Times New Roman" w:hAnsi="Times New Roman" w:cs="Times New Roman"/>
        </w:rPr>
        <w:t xml:space="preserve">Edited by. </w:t>
      </w:r>
      <w:r w:rsidR="00BF7AAB" w:rsidRPr="00A472FC">
        <w:rPr>
          <w:rFonts w:ascii="Times New Roman" w:hAnsi="Times New Roman" w:cs="Times New Roman"/>
          <w:lang w:val="en-US"/>
        </w:rPr>
        <w:t xml:space="preserve">J. </w:t>
      </w:r>
      <w:proofErr w:type="spellStart"/>
      <w:r w:rsidR="00BF7AAB" w:rsidRPr="00A472FC">
        <w:rPr>
          <w:rFonts w:ascii="Times New Roman" w:hAnsi="Times New Roman" w:cs="Times New Roman"/>
          <w:lang w:val="en-US"/>
        </w:rPr>
        <w:t>Zycha</w:t>
      </w:r>
      <w:proofErr w:type="spellEnd"/>
      <w:r w:rsidR="00BF7AAB" w:rsidRPr="00A472FC">
        <w:rPr>
          <w:rFonts w:ascii="Times New Roman" w:hAnsi="Times New Roman" w:cs="Times New Roman"/>
          <w:lang w:val="en-US"/>
        </w:rPr>
        <w:t xml:space="preserve">, CSEL 28.1. Vienna: F. </w:t>
      </w:r>
      <w:proofErr w:type="spellStart"/>
      <w:r w:rsidR="00BF7AAB" w:rsidRPr="00A472FC">
        <w:rPr>
          <w:rFonts w:ascii="Times New Roman" w:hAnsi="Times New Roman" w:cs="Times New Roman"/>
          <w:lang w:val="en-US"/>
        </w:rPr>
        <w:t>Tempsky</w:t>
      </w:r>
      <w:proofErr w:type="spellEnd"/>
      <w:r w:rsidR="00BF7AAB" w:rsidRPr="00A472FC">
        <w:rPr>
          <w:rFonts w:ascii="Times New Roman" w:hAnsi="Times New Roman" w:cs="Times New Roman"/>
          <w:lang w:val="en-US"/>
        </w:rPr>
        <w:t xml:space="preserve">, 1894. </w:t>
      </w:r>
    </w:p>
    <w:p w14:paraId="1D1D3C6F" w14:textId="77777777" w:rsidR="00BF7AAB" w:rsidRPr="00A472FC" w:rsidRDefault="00BF7AAB" w:rsidP="00BF7AAB">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Edited by W.J. Mountain and F. </w:t>
      </w:r>
      <w:proofErr w:type="spellStart"/>
      <w:r w:rsidRPr="00A472FC">
        <w:rPr>
          <w:rFonts w:ascii="Times New Roman" w:hAnsi="Times New Roman" w:cs="Times New Roman"/>
        </w:rPr>
        <w:t>Glorie</w:t>
      </w:r>
      <w:proofErr w:type="spellEnd"/>
      <w:r w:rsidRPr="00A472FC">
        <w:rPr>
          <w:rFonts w:ascii="Times New Roman" w:hAnsi="Times New Roman" w:cs="Times New Roman"/>
        </w:rPr>
        <w:t xml:space="preserve">, CCSL 50-50A.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xml:space="preserve">, 1968. </w:t>
      </w:r>
    </w:p>
    <w:p w14:paraId="07356A2E" w14:textId="77777777" w:rsidR="00BF7AAB" w:rsidRPr="00A472FC" w:rsidRDefault="00BF7AAB" w:rsidP="00BF7AAB">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iCs/>
        </w:rPr>
        <w:t>Sancti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Aurelii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Augustini</w:t>
      </w:r>
      <w:proofErr w:type="spellEnd"/>
      <w:r w:rsidRPr="00A472FC">
        <w:rPr>
          <w:rFonts w:ascii="Times New Roman" w:hAnsi="Times New Roman" w:cs="Times New Roman"/>
          <w:i/>
          <w:iCs/>
        </w:rPr>
        <w:t xml:space="preserve"> Contra </w:t>
      </w:r>
      <w:proofErr w:type="spellStart"/>
      <w:r w:rsidRPr="00A472FC">
        <w:rPr>
          <w:rFonts w:ascii="Times New Roman" w:hAnsi="Times New Roman" w:cs="Times New Roman"/>
          <w:i/>
          <w:iCs/>
        </w:rPr>
        <w:t>academicos</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beata</w:t>
      </w:r>
      <w:proofErr w:type="spellEnd"/>
      <w:r w:rsidRPr="00A472FC">
        <w:rPr>
          <w:rFonts w:ascii="Times New Roman" w:hAnsi="Times New Roman" w:cs="Times New Roman"/>
          <w:i/>
          <w:iCs/>
        </w:rPr>
        <w:t xml:space="preserve"> vita; De </w:t>
      </w:r>
      <w:proofErr w:type="spellStart"/>
      <w:r w:rsidRPr="00A472FC">
        <w:rPr>
          <w:rFonts w:ascii="Times New Roman" w:hAnsi="Times New Roman" w:cs="Times New Roman"/>
          <w:i/>
          <w:iCs/>
        </w:rPr>
        <w:t>ordine</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magistro</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libero</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arbitrio</w:t>
      </w:r>
      <w:proofErr w:type="spellEnd"/>
      <w:r w:rsidRPr="00A472FC">
        <w:rPr>
          <w:rFonts w:ascii="Times New Roman" w:hAnsi="Times New Roman" w:cs="Times New Roman"/>
        </w:rPr>
        <w:t xml:space="preserve">. Edited by Klaus </w:t>
      </w:r>
      <w:proofErr w:type="spellStart"/>
      <w:r w:rsidRPr="00A472FC">
        <w:rPr>
          <w:rFonts w:ascii="Times New Roman" w:hAnsi="Times New Roman" w:cs="Times New Roman"/>
        </w:rPr>
        <w:t>Daur</w:t>
      </w:r>
      <w:proofErr w:type="spellEnd"/>
      <w:r w:rsidRPr="00A472FC">
        <w:rPr>
          <w:rFonts w:ascii="Times New Roman" w:hAnsi="Times New Roman" w:cs="Times New Roman"/>
        </w:rPr>
        <w:t xml:space="preserve">, William M. Green, CCSL 29.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1970.</w:t>
      </w:r>
    </w:p>
    <w:p w14:paraId="57343418" w14:textId="0500502A" w:rsidR="006A6E61" w:rsidRPr="00A472FC" w:rsidRDefault="006A6E61" w:rsidP="00BF7AAB">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w:t>
      </w:r>
      <w:r w:rsidR="00BF7AAB" w:rsidRPr="00A472FC">
        <w:rPr>
          <w:rFonts w:ascii="Times New Roman" w:hAnsi="Times New Roman" w:cs="Times New Roman"/>
          <w:i/>
          <w:iCs/>
        </w:rPr>
        <w:t>On the Free Choice of the Will, On Grace and Free Choice, and Other Writings.</w:t>
      </w:r>
      <w:r w:rsidR="00BF7AAB" w:rsidRPr="00A472FC">
        <w:rPr>
          <w:rFonts w:ascii="Times New Roman" w:hAnsi="Times New Roman" w:cs="Times New Roman"/>
        </w:rPr>
        <w:t xml:space="preserve"> Edited by Peter King. Cambridge: Cambridge University Press, 2010.</w:t>
      </w:r>
    </w:p>
    <w:p w14:paraId="53C67E50" w14:textId="326131C1" w:rsidR="004F0CE3" w:rsidRPr="00A472FC" w:rsidRDefault="003206E6" w:rsidP="004F0CE3">
      <w:pPr>
        <w:autoSpaceDE w:val="0"/>
        <w:autoSpaceDN w:val="0"/>
        <w:adjustRightInd w:val="0"/>
        <w:ind w:left="709" w:right="-720" w:hanging="709"/>
        <w:rPr>
          <w:rFonts w:ascii="Times New Roman" w:hAnsi="Times New Roman" w:cs="Times New Roman"/>
        </w:rPr>
      </w:pPr>
      <w:r w:rsidRPr="00A472FC">
        <w:rPr>
          <w:rFonts w:ascii="Times New Roman" w:hAnsi="Times New Roman" w:cs="Times New Roman"/>
        </w:rPr>
        <w:t xml:space="preserve">———. </w:t>
      </w:r>
      <w:proofErr w:type="spellStart"/>
      <w:r w:rsidR="004F0CE3" w:rsidRPr="00A472FC">
        <w:rPr>
          <w:rFonts w:ascii="Times New Roman" w:hAnsi="Times New Roman" w:cs="Times New Roman"/>
          <w:i/>
          <w:iCs/>
        </w:rPr>
        <w:t>Augustinus</w:t>
      </w:r>
      <w:proofErr w:type="spellEnd"/>
      <w:r w:rsidR="004F0CE3" w:rsidRPr="00A472FC">
        <w:rPr>
          <w:rFonts w:ascii="Times New Roman" w:hAnsi="Times New Roman" w:cs="Times New Roman"/>
          <w:i/>
          <w:iCs/>
        </w:rPr>
        <w:t xml:space="preserve"> </w:t>
      </w:r>
      <w:proofErr w:type="spellStart"/>
      <w:r w:rsidR="004F0CE3" w:rsidRPr="00A472FC">
        <w:rPr>
          <w:rFonts w:ascii="Times New Roman" w:hAnsi="Times New Roman" w:cs="Times New Roman"/>
          <w:i/>
          <w:iCs/>
        </w:rPr>
        <w:t>Epistulae</w:t>
      </w:r>
      <w:proofErr w:type="spellEnd"/>
      <w:r w:rsidR="004F0CE3" w:rsidRPr="00A472FC">
        <w:rPr>
          <w:rFonts w:ascii="Times New Roman" w:hAnsi="Times New Roman" w:cs="Times New Roman"/>
          <w:i/>
          <w:iCs/>
        </w:rPr>
        <w:t xml:space="preserve"> 124-184. </w:t>
      </w:r>
      <w:r w:rsidR="004F0CE3" w:rsidRPr="00A472FC">
        <w:rPr>
          <w:rFonts w:ascii="Times New Roman" w:hAnsi="Times New Roman" w:cs="Times New Roman"/>
        </w:rPr>
        <w:t xml:space="preserve">Edited by A. </w:t>
      </w:r>
      <w:proofErr w:type="spellStart"/>
      <w:r w:rsidR="004F0CE3" w:rsidRPr="00A472FC">
        <w:rPr>
          <w:rFonts w:ascii="Times New Roman" w:hAnsi="Times New Roman" w:cs="Times New Roman"/>
        </w:rPr>
        <w:t>Goldbacher</w:t>
      </w:r>
      <w:proofErr w:type="spellEnd"/>
      <w:r w:rsidR="004F0CE3" w:rsidRPr="00A472FC">
        <w:rPr>
          <w:rFonts w:ascii="Times New Roman" w:hAnsi="Times New Roman" w:cs="Times New Roman"/>
        </w:rPr>
        <w:t xml:space="preserve">, CSEL 44. Vienna: Verlag </w:t>
      </w:r>
      <w:proofErr w:type="spellStart"/>
      <w:r w:rsidR="004F0CE3" w:rsidRPr="00A472FC">
        <w:rPr>
          <w:rFonts w:ascii="Times New Roman" w:hAnsi="Times New Roman" w:cs="Times New Roman"/>
        </w:rPr>
        <w:t>der</w:t>
      </w:r>
      <w:proofErr w:type="spellEnd"/>
      <w:r w:rsidR="004F0CE3" w:rsidRPr="00A472FC">
        <w:rPr>
          <w:rFonts w:ascii="Times New Roman" w:hAnsi="Times New Roman" w:cs="Times New Roman"/>
        </w:rPr>
        <w:t xml:space="preserve"> </w:t>
      </w:r>
      <w:proofErr w:type="spellStart"/>
      <w:r w:rsidR="004F0CE3" w:rsidRPr="00A472FC">
        <w:rPr>
          <w:rFonts w:ascii="Times New Roman" w:hAnsi="Times New Roman" w:cs="Times New Roman"/>
        </w:rPr>
        <w:t>österreichischen</w:t>
      </w:r>
      <w:proofErr w:type="spellEnd"/>
      <w:r w:rsidR="004F0CE3" w:rsidRPr="00A472FC">
        <w:rPr>
          <w:rFonts w:ascii="Times New Roman" w:hAnsi="Times New Roman" w:cs="Times New Roman"/>
        </w:rPr>
        <w:t xml:space="preserve"> </w:t>
      </w:r>
      <w:proofErr w:type="spellStart"/>
      <w:r w:rsidR="004F0CE3" w:rsidRPr="00A472FC">
        <w:rPr>
          <w:rFonts w:ascii="Times New Roman" w:hAnsi="Times New Roman" w:cs="Times New Roman"/>
        </w:rPr>
        <w:t>Akademie</w:t>
      </w:r>
      <w:proofErr w:type="spellEnd"/>
      <w:r w:rsidR="004F0CE3" w:rsidRPr="00A472FC">
        <w:rPr>
          <w:rFonts w:ascii="Times New Roman" w:hAnsi="Times New Roman" w:cs="Times New Roman"/>
        </w:rPr>
        <w:t xml:space="preserve"> </w:t>
      </w:r>
      <w:proofErr w:type="spellStart"/>
      <w:r w:rsidR="004F0CE3" w:rsidRPr="00A472FC">
        <w:rPr>
          <w:rFonts w:ascii="Times New Roman" w:hAnsi="Times New Roman" w:cs="Times New Roman"/>
        </w:rPr>
        <w:t>der</w:t>
      </w:r>
      <w:proofErr w:type="spellEnd"/>
      <w:r w:rsidR="004F0CE3" w:rsidRPr="00A472FC">
        <w:rPr>
          <w:rFonts w:ascii="Times New Roman" w:hAnsi="Times New Roman" w:cs="Times New Roman"/>
        </w:rPr>
        <w:t xml:space="preserve"> </w:t>
      </w:r>
      <w:proofErr w:type="spellStart"/>
      <w:r w:rsidR="004F0CE3" w:rsidRPr="00A472FC">
        <w:rPr>
          <w:rFonts w:ascii="Times New Roman" w:hAnsi="Times New Roman" w:cs="Times New Roman"/>
        </w:rPr>
        <w:t>Wissenschaften</w:t>
      </w:r>
      <w:proofErr w:type="spellEnd"/>
      <w:r w:rsidR="004F0CE3" w:rsidRPr="00A472FC">
        <w:rPr>
          <w:rFonts w:ascii="Times New Roman" w:hAnsi="Times New Roman" w:cs="Times New Roman"/>
        </w:rPr>
        <w:t xml:space="preserve">, 1904; </w:t>
      </w:r>
      <w:proofErr w:type="spellStart"/>
      <w:r w:rsidR="004F0CE3" w:rsidRPr="00A472FC">
        <w:rPr>
          <w:rFonts w:ascii="Times New Roman" w:hAnsi="Times New Roman" w:cs="Times New Roman"/>
        </w:rPr>
        <w:t>repr</w:t>
      </w:r>
      <w:proofErr w:type="spellEnd"/>
      <w:r w:rsidR="004F0CE3" w:rsidRPr="00A472FC">
        <w:rPr>
          <w:rFonts w:ascii="Times New Roman" w:hAnsi="Times New Roman" w:cs="Times New Roman"/>
        </w:rPr>
        <w:t xml:space="preserve">. 2013. </w:t>
      </w:r>
    </w:p>
    <w:p w14:paraId="08BF5FA1" w14:textId="259B3E6E" w:rsidR="006A6E61" w:rsidRPr="00A472FC" w:rsidRDefault="006A6E61" w:rsidP="004F0CE3">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iCs/>
        </w:rPr>
        <w:t>Avicebron</w:t>
      </w:r>
      <w:proofErr w:type="spellEnd"/>
      <w:r w:rsidRPr="00A472FC">
        <w:rPr>
          <w:rFonts w:ascii="Times New Roman" w:hAnsi="Times New Roman" w:cs="Times New Roman"/>
          <w:iCs/>
        </w:rPr>
        <w:t xml:space="preserve">. </w:t>
      </w:r>
      <w:proofErr w:type="spellStart"/>
      <w:r w:rsidRPr="00A472FC">
        <w:rPr>
          <w:rStyle w:val="Emphasis"/>
          <w:rFonts w:ascii="Times New Roman" w:hAnsi="Times New Roman" w:cs="Times New Roman"/>
          <w:color w:val="1A1A1A"/>
        </w:rPr>
        <w:t>Avencebrolis</w:t>
      </w:r>
      <w:proofErr w:type="spellEnd"/>
      <w:r w:rsidRPr="00A472FC">
        <w:rPr>
          <w:rStyle w:val="Emphasis"/>
          <w:rFonts w:ascii="Times New Roman" w:hAnsi="Times New Roman" w:cs="Times New Roman"/>
          <w:color w:val="1A1A1A"/>
        </w:rPr>
        <w:t xml:space="preserve"> (Ibn </w:t>
      </w:r>
      <w:proofErr w:type="spellStart"/>
      <w:r w:rsidRPr="00A472FC">
        <w:rPr>
          <w:rStyle w:val="Emphasis"/>
          <w:rFonts w:ascii="Times New Roman" w:hAnsi="Times New Roman" w:cs="Times New Roman"/>
          <w:color w:val="1A1A1A"/>
        </w:rPr>
        <w:t>Gabirol</w:t>
      </w:r>
      <w:proofErr w:type="spellEnd"/>
      <w:r w:rsidRPr="00A472FC">
        <w:rPr>
          <w:rStyle w:val="Emphasis"/>
          <w:rFonts w:ascii="Times New Roman" w:hAnsi="Times New Roman" w:cs="Times New Roman"/>
          <w:color w:val="1A1A1A"/>
        </w:rPr>
        <w:t xml:space="preserve">) Fons Vitae, ex </w:t>
      </w:r>
      <w:proofErr w:type="spellStart"/>
      <w:r w:rsidRPr="00A472FC">
        <w:rPr>
          <w:rStyle w:val="Emphasis"/>
          <w:rFonts w:ascii="Times New Roman" w:hAnsi="Times New Roman" w:cs="Times New Roman"/>
          <w:color w:val="1A1A1A"/>
        </w:rPr>
        <w:t>Arabico</w:t>
      </w:r>
      <w:proofErr w:type="spellEnd"/>
      <w:r w:rsidRPr="00A472FC">
        <w:rPr>
          <w:rStyle w:val="Emphasis"/>
          <w:rFonts w:ascii="Times New Roman" w:hAnsi="Times New Roman" w:cs="Times New Roman"/>
          <w:color w:val="1A1A1A"/>
        </w:rPr>
        <w:t xml:space="preserve"> in </w:t>
      </w:r>
      <w:proofErr w:type="spellStart"/>
      <w:r w:rsidRPr="00A472FC">
        <w:rPr>
          <w:rStyle w:val="Emphasis"/>
          <w:rFonts w:ascii="Times New Roman" w:hAnsi="Times New Roman" w:cs="Times New Roman"/>
          <w:color w:val="1A1A1A"/>
        </w:rPr>
        <w:t>Latinum</w:t>
      </w:r>
      <w:proofErr w:type="spellEnd"/>
      <w:r w:rsidRPr="00A472FC">
        <w:rPr>
          <w:rStyle w:val="Emphasis"/>
          <w:rFonts w:ascii="Times New Roman" w:hAnsi="Times New Roman" w:cs="Times New Roman"/>
          <w:color w:val="1A1A1A"/>
        </w:rPr>
        <w:t xml:space="preserve"> </w:t>
      </w:r>
      <w:proofErr w:type="spellStart"/>
      <w:r w:rsidRPr="00A472FC">
        <w:rPr>
          <w:rStyle w:val="Emphasis"/>
          <w:rFonts w:ascii="Times New Roman" w:hAnsi="Times New Roman" w:cs="Times New Roman"/>
          <w:color w:val="1A1A1A"/>
        </w:rPr>
        <w:t>Translatus</w:t>
      </w:r>
      <w:proofErr w:type="spellEnd"/>
      <w:r w:rsidRPr="00A472FC">
        <w:rPr>
          <w:rStyle w:val="Emphasis"/>
          <w:rFonts w:ascii="Times New Roman" w:hAnsi="Times New Roman" w:cs="Times New Roman"/>
          <w:color w:val="1A1A1A"/>
        </w:rPr>
        <w:t xml:space="preserve"> ab Johanne Hispano et </w:t>
      </w:r>
      <w:proofErr w:type="spellStart"/>
      <w:r w:rsidRPr="00A472FC">
        <w:rPr>
          <w:rStyle w:val="Emphasis"/>
          <w:rFonts w:ascii="Times New Roman" w:hAnsi="Times New Roman" w:cs="Times New Roman"/>
          <w:color w:val="1A1A1A"/>
        </w:rPr>
        <w:t>Dominico</w:t>
      </w:r>
      <w:proofErr w:type="spellEnd"/>
      <w:r w:rsidRPr="00A472FC">
        <w:rPr>
          <w:rStyle w:val="Emphasis"/>
          <w:rFonts w:ascii="Times New Roman" w:hAnsi="Times New Roman" w:cs="Times New Roman"/>
          <w:color w:val="1A1A1A"/>
        </w:rPr>
        <w:t xml:space="preserve"> </w:t>
      </w:r>
      <w:proofErr w:type="spellStart"/>
      <w:r w:rsidRPr="00A472FC">
        <w:rPr>
          <w:rStyle w:val="Emphasis"/>
          <w:rFonts w:ascii="Times New Roman" w:hAnsi="Times New Roman" w:cs="Times New Roman"/>
          <w:color w:val="1A1A1A"/>
        </w:rPr>
        <w:t>Gundissalino</w:t>
      </w:r>
      <w:proofErr w:type="spellEnd"/>
      <w:r w:rsidRPr="00A472FC">
        <w:rPr>
          <w:rFonts w:ascii="Times New Roman" w:hAnsi="Times New Roman" w:cs="Times New Roman"/>
          <w:iCs/>
        </w:rPr>
        <w:t xml:space="preserve">. Edited by Clemens </w:t>
      </w:r>
      <w:proofErr w:type="spellStart"/>
      <w:r w:rsidRPr="00A472FC">
        <w:rPr>
          <w:rFonts w:ascii="Times New Roman" w:hAnsi="Times New Roman" w:cs="Times New Roman"/>
          <w:iCs/>
        </w:rPr>
        <w:t>Baeumker</w:t>
      </w:r>
      <w:proofErr w:type="spellEnd"/>
      <w:r w:rsidR="009B7B4B" w:rsidRPr="00A472FC">
        <w:rPr>
          <w:rFonts w:ascii="Times New Roman" w:hAnsi="Times New Roman" w:cs="Times New Roman"/>
          <w:iCs/>
        </w:rPr>
        <w:t xml:space="preserve">. </w:t>
      </w:r>
      <w:proofErr w:type="spellStart"/>
      <w:r w:rsidRPr="00A472FC">
        <w:rPr>
          <w:rFonts w:ascii="Times New Roman" w:hAnsi="Times New Roman" w:cs="Times New Roman"/>
          <w:iCs/>
        </w:rPr>
        <w:t>Beiträge</w:t>
      </w:r>
      <w:proofErr w:type="spellEnd"/>
      <w:r w:rsidRPr="00A472FC">
        <w:rPr>
          <w:rFonts w:ascii="Times New Roman" w:hAnsi="Times New Roman" w:cs="Times New Roman"/>
          <w:iCs/>
        </w:rPr>
        <w:t xml:space="preserve"> </w:t>
      </w:r>
      <w:proofErr w:type="spellStart"/>
      <w:r w:rsidRPr="00A472FC">
        <w:rPr>
          <w:rFonts w:ascii="Times New Roman" w:hAnsi="Times New Roman" w:cs="Times New Roman"/>
          <w:iCs/>
        </w:rPr>
        <w:t>zur</w:t>
      </w:r>
      <w:proofErr w:type="spellEnd"/>
      <w:r w:rsidRPr="00A472FC">
        <w:rPr>
          <w:rFonts w:ascii="Times New Roman" w:hAnsi="Times New Roman" w:cs="Times New Roman"/>
          <w:iCs/>
        </w:rPr>
        <w:t xml:space="preserve"> </w:t>
      </w:r>
      <w:proofErr w:type="spellStart"/>
      <w:r w:rsidRPr="00A472FC">
        <w:rPr>
          <w:rFonts w:ascii="Times New Roman" w:hAnsi="Times New Roman" w:cs="Times New Roman"/>
          <w:iCs/>
        </w:rPr>
        <w:t>Geschichte</w:t>
      </w:r>
      <w:proofErr w:type="spellEnd"/>
      <w:r w:rsidRPr="00A472FC">
        <w:rPr>
          <w:rFonts w:ascii="Times New Roman" w:hAnsi="Times New Roman" w:cs="Times New Roman"/>
          <w:iCs/>
        </w:rPr>
        <w:t xml:space="preserve"> </w:t>
      </w:r>
      <w:proofErr w:type="spellStart"/>
      <w:r w:rsidRPr="00A472FC">
        <w:rPr>
          <w:rFonts w:ascii="Times New Roman" w:hAnsi="Times New Roman" w:cs="Times New Roman"/>
          <w:iCs/>
        </w:rPr>
        <w:t>der</w:t>
      </w:r>
      <w:proofErr w:type="spellEnd"/>
      <w:r w:rsidRPr="00A472FC">
        <w:rPr>
          <w:rFonts w:ascii="Times New Roman" w:hAnsi="Times New Roman" w:cs="Times New Roman"/>
          <w:iCs/>
        </w:rPr>
        <w:t xml:space="preserve"> Philosophie des </w:t>
      </w:r>
      <w:proofErr w:type="spellStart"/>
      <w:r w:rsidRPr="00A472FC">
        <w:rPr>
          <w:rFonts w:ascii="Times New Roman" w:hAnsi="Times New Roman" w:cs="Times New Roman"/>
          <w:iCs/>
        </w:rPr>
        <w:t>Mittelalters</w:t>
      </w:r>
      <w:proofErr w:type="spellEnd"/>
      <w:r w:rsidRPr="00A472FC">
        <w:rPr>
          <w:rFonts w:ascii="Times New Roman" w:hAnsi="Times New Roman" w:cs="Times New Roman"/>
          <w:iCs/>
        </w:rPr>
        <w:t>, Band I, Heft 2-4</w:t>
      </w:r>
      <w:r w:rsidRPr="00A472FC">
        <w:rPr>
          <w:rFonts w:ascii="Times New Roman" w:hAnsi="Times New Roman" w:cs="Times New Roman"/>
          <w:i/>
          <w:iCs/>
        </w:rPr>
        <w:t>.</w:t>
      </w:r>
      <w:r w:rsidRPr="00A472FC">
        <w:rPr>
          <w:rFonts w:ascii="Times New Roman" w:hAnsi="Times New Roman" w:cs="Times New Roman"/>
        </w:rPr>
        <w:t xml:space="preserve"> Münster: </w:t>
      </w:r>
      <w:proofErr w:type="spellStart"/>
      <w:r w:rsidRPr="00A472FC">
        <w:rPr>
          <w:rFonts w:ascii="Times New Roman" w:hAnsi="Times New Roman" w:cs="Times New Roman"/>
        </w:rPr>
        <w:t>Aschendorff</w:t>
      </w:r>
      <w:proofErr w:type="spellEnd"/>
      <w:r w:rsidRPr="00A472FC">
        <w:rPr>
          <w:rFonts w:ascii="Times New Roman" w:hAnsi="Times New Roman" w:cs="Times New Roman"/>
        </w:rPr>
        <w:t>, 1892-95.</w:t>
      </w:r>
    </w:p>
    <w:p w14:paraId="30C44DF9" w14:textId="77777777" w:rsidR="006A6E61" w:rsidRPr="00A472FC" w:rsidRDefault="006A6E61" w:rsidP="00BF5D98">
      <w:pPr>
        <w:ind w:left="709" w:right="-52" w:hanging="709"/>
        <w:rPr>
          <w:rFonts w:ascii="Times New Roman" w:hAnsi="Times New Roman" w:cs="Times New Roman"/>
          <w:iCs/>
          <w:color w:val="000000" w:themeColor="text1"/>
        </w:rPr>
      </w:pPr>
      <w:r w:rsidRPr="00A472FC">
        <w:rPr>
          <w:rFonts w:ascii="Times New Roman" w:hAnsi="Times New Roman" w:cs="Times New Roman"/>
          <w:iCs/>
          <w:color w:val="000000" w:themeColor="text1"/>
        </w:rPr>
        <w:t xml:space="preserve">Avicenna. </w:t>
      </w:r>
      <w:r w:rsidRPr="00A472FC">
        <w:rPr>
          <w:rFonts w:ascii="Times New Roman" w:hAnsi="Times New Roman" w:cs="Times New Roman"/>
          <w:i/>
          <w:iCs/>
          <w:color w:val="000000" w:themeColor="text1"/>
        </w:rPr>
        <w:t xml:space="preserve">Avicenna </w:t>
      </w:r>
      <w:proofErr w:type="spellStart"/>
      <w:r w:rsidRPr="00A472FC">
        <w:rPr>
          <w:rFonts w:ascii="Times New Roman" w:hAnsi="Times New Roman" w:cs="Times New Roman"/>
          <w:i/>
          <w:iCs/>
          <w:color w:val="000000" w:themeColor="text1"/>
        </w:rPr>
        <w:t>Latinus</w:t>
      </w:r>
      <w:proofErr w:type="spellEnd"/>
      <w:r w:rsidRPr="00A472FC">
        <w:rPr>
          <w:rFonts w:ascii="Times New Roman" w:hAnsi="Times New Roman" w:cs="Times New Roman"/>
          <w:i/>
          <w:iCs/>
          <w:color w:val="000000" w:themeColor="text1"/>
        </w:rPr>
        <w:t xml:space="preserve">: Liber de Anima </w:t>
      </w:r>
      <w:proofErr w:type="spellStart"/>
      <w:r w:rsidRPr="00A472FC">
        <w:rPr>
          <w:rFonts w:ascii="Times New Roman" w:hAnsi="Times New Roman" w:cs="Times New Roman"/>
          <w:i/>
          <w:iCs/>
          <w:color w:val="000000" w:themeColor="text1"/>
        </w:rPr>
        <w:t>seu</w:t>
      </w:r>
      <w:proofErr w:type="spellEnd"/>
      <w:r w:rsidRPr="00A472FC">
        <w:rPr>
          <w:rFonts w:ascii="Times New Roman" w:hAnsi="Times New Roman" w:cs="Times New Roman"/>
          <w:i/>
          <w:iCs/>
          <w:color w:val="000000" w:themeColor="text1"/>
        </w:rPr>
        <w:t xml:space="preserve"> </w:t>
      </w:r>
      <w:proofErr w:type="spellStart"/>
      <w:r w:rsidRPr="00A472FC">
        <w:rPr>
          <w:rFonts w:ascii="Times New Roman" w:hAnsi="Times New Roman" w:cs="Times New Roman"/>
          <w:i/>
          <w:iCs/>
          <w:color w:val="000000" w:themeColor="text1"/>
        </w:rPr>
        <w:t>Sextus</w:t>
      </w:r>
      <w:proofErr w:type="spellEnd"/>
      <w:r w:rsidRPr="00A472FC">
        <w:rPr>
          <w:rFonts w:ascii="Times New Roman" w:hAnsi="Times New Roman" w:cs="Times New Roman"/>
          <w:i/>
          <w:iCs/>
          <w:color w:val="000000" w:themeColor="text1"/>
        </w:rPr>
        <w:t xml:space="preserve"> de </w:t>
      </w:r>
      <w:proofErr w:type="spellStart"/>
      <w:r w:rsidRPr="00A472FC">
        <w:rPr>
          <w:rFonts w:ascii="Times New Roman" w:hAnsi="Times New Roman" w:cs="Times New Roman"/>
          <w:i/>
          <w:iCs/>
          <w:color w:val="000000" w:themeColor="text1"/>
        </w:rPr>
        <w:t>Naturalibus</w:t>
      </w:r>
      <w:proofErr w:type="spellEnd"/>
      <w:r w:rsidRPr="00A472FC">
        <w:rPr>
          <w:rFonts w:ascii="Times New Roman" w:hAnsi="Times New Roman" w:cs="Times New Roman"/>
          <w:i/>
          <w:iCs/>
          <w:color w:val="000000" w:themeColor="text1"/>
        </w:rPr>
        <w:t xml:space="preserve">, </w:t>
      </w:r>
      <w:r w:rsidRPr="00A472FC">
        <w:rPr>
          <w:rFonts w:ascii="Times New Roman" w:hAnsi="Times New Roman" w:cs="Times New Roman"/>
          <w:iCs/>
          <w:color w:val="000000" w:themeColor="text1"/>
        </w:rPr>
        <w:t xml:space="preserve">2 vols. Edited by Simone Van </w:t>
      </w:r>
      <w:proofErr w:type="spellStart"/>
      <w:r w:rsidRPr="00A472FC">
        <w:rPr>
          <w:rFonts w:ascii="Times New Roman" w:hAnsi="Times New Roman" w:cs="Times New Roman"/>
          <w:iCs/>
          <w:color w:val="000000" w:themeColor="text1"/>
        </w:rPr>
        <w:t>Riet</w:t>
      </w:r>
      <w:proofErr w:type="spellEnd"/>
      <w:r w:rsidRPr="00A472FC">
        <w:rPr>
          <w:rFonts w:ascii="Times New Roman" w:hAnsi="Times New Roman" w:cs="Times New Roman"/>
          <w:iCs/>
          <w:color w:val="000000" w:themeColor="text1"/>
        </w:rPr>
        <w:t>. Leiden: Brill, 1972.</w:t>
      </w:r>
    </w:p>
    <w:p w14:paraId="75F022EB" w14:textId="77777777" w:rsidR="006A6E61" w:rsidRPr="00A472FC" w:rsidRDefault="006A6E61" w:rsidP="001272B8">
      <w:pPr>
        <w:autoSpaceDE w:val="0"/>
        <w:autoSpaceDN w:val="0"/>
        <w:adjustRightInd w:val="0"/>
        <w:ind w:left="709" w:right="-52" w:hanging="709"/>
        <w:rPr>
          <w:rFonts w:ascii="Times New Roman" w:hAnsi="Times New Roman" w:cs="Times New Roman"/>
          <w:i/>
          <w:color w:val="262424"/>
          <w:lang w:val="en-US"/>
        </w:rPr>
      </w:pPr>
      <w:r w:rsidRPr="00A472FC">
        <w:rPr>
          <w:rFonts w:ascii="Times New Roman" w:hAnsi="Times New Roman" w:cs="Times New Roman"/>
        </w:rPr>
        <w:t xml:space="preserve">———. </w:t>
      </w:r>
      <w:r w:rsidRPr="00A472FC">
        <w:rPr>
          <w:rFonts w:ascii="Times New Roman" w:hAnsi="Times New Roman" w:cs="Times New Roman"/>
          <w:i/>
          <w:color w:val="262424"/>
          <w:lang w:val="en-US"/>
        </w:rPr>
        <w:t xml:space="preserve">Avicenna </w:t>
      </w:r>
      <w:proofErr w:type="spellStart"/>
      <w:r w:rsidRPr="00A472FC">
        <w:rPr>
          <w:rFonts w:ascii="Times New Roman" w:hAnsi="Times New Roman" w:cs="Times New Roman"/>
          <w:i/>
          <w:color w:val="262424"/>
          <w:lang w:val="en-US"/>
        </w:rPr>
        <w:t>Latinus</w:t>
      </w:r>
      <w:proofErr w:type="spellEnd"/>
      <w:r w:rsidRPr="00A472FC">
        <w:rPr>
          <w:rFonts w:ascii="Times New Roman" w:hAnsi="Times New Roman" w:cs="Times New Roman"/>
          <w:i/>
          <w:color w:val="262424"/>
          <w:lang w:val="en-US"/>
        </w:rPr>
        <w:t xml:space="preserve">: Liber de </w:t>
      </w:r>
      <w:proofErr w:type="spellStart"/>
      <w:r w:rsidRPr="00A472FC">
        <w:rPr>
          <w:rFonts w:ascii="Times New Roman" w:hAnsi="Times New Roman" w:cs="Times New Roman"/>
          <w:i/>
          <w:color w:val="262424"/>
          <w:lang w:val="en-US"/>
        </w:rPr>
        <w:t>Philosophia</w:t>
      </w:r>
      <w:proofErr w:type="spellEnd"/>
      <w:r w:rsidRPr="00A472FC">
        <w:rPr>
          <w:rFonts w:ascii="Times New Roman" w:hAnsi="Times New Roman" w:cs="Times New Roman"/>
          <w:i/>
          <w:color w:val="262424"/>
          <w:lang w:val="en-US"/>
        </w:rPr>
        <w:t xml:space="preserve"> Prima </w:t>
      </w:r>
      <w:proofErr w:type="spellStart"/>
      <w:r w:rsidRPr="00A472FC">
        <w:rPr>
          <w:rFonts w:ascii="Times New Roman" w:hAnsi="Times New Roman" w:cs="Times New Roman"/>
          <w:i/>
          <w:color w:val="262424"/>
          <w:lang w:val="en-US"/>
        </w:rPr>
        <w:t>sive</w:t>
      </w:r>
      <w:proofErr w:type="spellEnd"/>
      <w:r w:rsidRPr="00A472FC">
        <w:rPr>
          <w:rFonts w:ascii="Times New Roman" w:hAnsi="Times New Roman" w:cs="Times New Roman"/>
          <w:i/>
          <w:color w:val="262424"/>
          <w:lang w:val="en-US"/>
        </w:rPr>
        <w:t xml:space="preserve"> </w:t>
      </w:r>
      <w:proofErr w:type="spellStart"/>
      <w:r w:rsidRPr="00A472FC">
        <w:rPr>
          <w:rFonts w:ascii="Times New Roman" w:hAnsi="Times New Roman" w:cs="Times New Roman"/>
          <w:i/>
          <w:color w:val="262424"/>
          <w:lang w:val="en-US"/>
        </w:rPr>
        <w:t>Scientia</w:t>
      </w:r>
      <w:proofErr w:type="spellEnd"/>
      <w:r w:rsidRPr="00A472FC">
        <w:rPr>
          <w:rFonts w:ascii="Times New Roman" w:hAnsi="Times New Roman" w:cs="Times New Roman"/>
          <w:i/>
          <w:color w:val="262424"/>
          <w:lang w:val="en-US"/>
        </w:rPr>
        <w:t xml:space="preserve"> </w:t>
      </w:r>
      <w:proofErr w:type="spellStart"/>
      <w:r w:rsidRPr="00A472FC">
        <w:rPr>
          <w:rFonts w:ascii="Times New Roman" w:hAnsi="Times New Roman" w:cs="Times New Roman"/>
          <w:i/>
          <w:color w:val="262424"/>
          <w:lang w:val="en-US"/>
        </w:rPr>
        <w:t>Divina</w:t>
      </w:r>
      <w:proofErr w:type="spellEnd"/>
      <w:r w:rsidRPr="00A472FC">
        <w:rPr>
          <w:rFonts w:ascii="Times New Roman" w:hAnsi="Times New Roman" w:cs="Times New Roman"/>
          <w:color w:val="262424"/>
          <w:lang w:val="en-US"/>
        </w:rPr>
        <w:t xml:space="preserve">. Edited by Simone van </w:t>
      </w:r>
      <w:proofErr w:type="spellStart"/>
      <w:r w:rsidRPr="00A472FC">
        <w:rPr>
          <w:rFonts w:ascii="Times New Roman" w:hAnsi="Times New Roman" w:cs="Times New Roman"/>
          <w:color w:val="262424"/>
          <w:lang w:val="en-US"/>
        </w:rPr>
        <w:t>Riet</w:t>
      </w:r>
      <w:proofErr w:type="spellEnd"/>
      <w:r w:rsidRPr="00A472FC">
        <w:rPr>
          <w:rFonts w:ascii="Times New Roman" w:hAnsi="Times New Roman" w:cs="Times New Roman"/>
          <w:color w:val="262424"/>
          <w:lang w:val="en-US"/>
        </w:rPr>
        <w:t xml:space="preserve">, introduction by G. Verbeke. </w:t>
      </w:r>
      <w:proofErr w:type="spellStart"/>
      <w:r w:rsidRPr="00A472FC">
        <w:rPr>
          <w:rFonts w:ascii="Times New Roman" w:hAnsi="Times New Roman" w:cs="Times New Roman"/>
          <w:color w:val="262424"/>
          <w:lang w:val="en-US"/>
        </w:rPr>
        <w:t>Louvain</w:t>
      </w:r>
      <w:proofErr w:type="spellEnd"/>
      <w:r w:rsidRPr="00A472FC">
        <w:rPr>
          <w:rFonts w:ascii="Times New Roman" w:hAnsi="Times New Roman" w:cs="Times New Roman"/>
          <w:color w:val="262424"/>
          <w:lang w:val="en-US"/>
        </w:rPr>
        <w:t>: Peeters/Leiden: E.J. Brill, 1977, 1980, 1983.</w:t>
      </w:r>
    </w:p>
    <w:p w14:paraId="6D6763C4" w14:textId="35DC5742" w:rsidR="00DF3205" w:rsidRPr="00A472FC" w:rsidRDefault="00DF3205" w:rsidP="001272B8">
      <w:pPr>
        <w:pStyle w:val="NormalWeb"/>
        <w:spacing w:before="0" w:beforeAutospacing="0" w:after="0" w:afterAutospacing="0"/>
        <w:ind w:left="709" w:hanging="709"/>
        <w:rPr>
          <w:lang w:eastAsia="en-GB"/>
        </w:rPr>
      </w:pPr>
      <w:r w:rsidRPr="00A472FC">
        <w:t xml:space="preserve">———. </w:t>
      </w:r>
      <w:proofErr w:type="spellStart"/>
      <w:r w:rsidR="001272B8" w:rsidRPr="00A472FC">
        <w:rPr>
          <w:i/>
          <w:iCs/>
          <w:lang w:eastAsia="en-GB"/>
        </w:rPr>
        <w:t>Libri</w:t>
      </w:r>
      <w:proofErr w:type="spellEnd"/>
      <w:r w:rsidR="001272B8" w:rsidRPr="00A472FC">
        <w:rPr>
          <w:i/>
          <w:iCs/>
          <w:lang w:eastAsia="en-GB"/>
        </w:rPr>
        <w:t xml:space="preserve"> </w:t>
      </w:r>
      <w:proofErr w:type="spellStart"/>
      <w:r w:rsidR="001272B8" w:rsidRPr="00A472FC">
        <w:rPr>
          <w:i/>
          <w:iCs/>
          <w:lang w:eastAsia="en-GB"/>
        </w:rPr>
        <w:t>quinque</w:t>
      </w:r>
      <w:proofErr w:type="spellEnd"/>
      <w:r w:rsidR="001272B8" w:rsidRPr="00A472FC">
        <w:rPr>
          <w:i/>
          <w:iCs/>
          <w:lang w:eastAsia="en-GB"/>
        </w:rPr>
        <w:t xml:space="preserve"> </w:t>
      </w:r>
      <w:proofErr w:type="spellStart"/>
      <w:r w:rsidR="001272B8" w:rsidRPr="00A472FC">
        <w:rPr>
          <w:i/>
          <w:iCs/>
          <w:lang w:eastAsia="en-GB"/>
        </w:rPr>
        <w:t>canonis</w:t>
      </w:r>
      <w:proofErr w:type="spellEnd"/>
      <w:r w:rsidR="001272B8" w:rsidRPr="00A472FC">
        <w:rPr>
          <w:i/>
          <w:iCs/>
          <w:lang w:eastAsia="en-GB"/>
        </w:rPr>
        <w:t xml:space="preserve"> </w:t>
      </w:r>
      <w:proofErr w:type="spellStart"/>
      <w:r w:rsidR="001272B8" w:rsidRPr="00A472FC">
        <w:rPr>
          <w:i/>
          <w:iCs/>
          <w:lang w:eastAsia="en-GB"/>
        </w:rPr>
        <w:t>mecininae</w:t>
      </w:r>
      <w:proofErr w:type="spellEnd"/>
      <w:r w:rsidR="001272B8" w:rsidRPr="00A472FC">
        <w:rPr>
          <w:lang w:eastAsia="en-GB"/>
        </w:rPr>
        <w:t xml:space="preserve">. </w:t>
      </w:r>
      <w:r w:rsidR="00EE6916" w:rsidRPr="00A472FC">
        <w:rPr>
          <w:color w:val="333333"/>
          <w:spacing w:val="2"/>
          <w:kern w:val="1"/>
        </w:rPr>
        <w:t>T</w:t>
      </w:r>
      <w:r w:rsidRPr="00A472FC">
        <w:rPr>
          <w:color w:val="333333"/>
          <w:spacing w:val="2"/>
          <w:kern w:val="1"/>
        </w:rPr>
        <w:t>rans</w:t>
      </w:r>
      <w:r w:rsidR="00EE6916" w:rsidRPr="00A472FC">
        <w:rPr>
          <w:color w:val="333333"/>
          <w:spacing w:val="2"/>
          <w:kern w:val="1"/>
        </w:rPr>
        <w:t>lated by</w:t>
      </w:r>
      <w:r w:rsidRPr="00A472FC">
        <w:rPr>
          <w:color w:val="333333"/>
          <w:spacing w:val="2"/>
          <w:kern w:val="1"/>
        </w:rPr>
        <w:t xml:space="preserve"> Gerard of Cremona</w:t>
      </w:r>
      <w:r w:rsidR="0043618E" w:rsidRPr="00A472FC">
        <w:rPr>
          <w:color w:val="333333"/>
          <w:spacing w:val="2"/>
          <w:kern w:val="1"/>
        </w:rPr>
        <w:t xml:space="preserve">. </w:t>
      </w:r>
      <w:r w:rsidRPr="00A472FC">
        <w:rPr>
          <w:color w:val="333333"/>
          <w:spacing w:val="2"/>
          <w:kern w:val="1"/>
        </w:rPr>
        <w:t xml:space="preserve">Venice: </w:t>
      </w:r>
      <w:proofErr w:type="spellStart"/>
      <w:r w:rsidRPr="00A472FC">
        <w:rPr>
          <w:color w:val="333333"/>
          <w:spacing w:val="2"/>
          <w:kern w:val="1"/>
        </w:rPr>
        <w:t>Paganino</w:t>
      </w:r>
      <w:proofErr w:type="spellEnd"/>
      <w:r w:rsidRPr="00A472FC">
        <w:rPr>
          <w:color w:val="333333"/>
          <w:spacing w:val="2"/>
          <w:kern w:val="1"/>
        </w:rPr>
        <w:t xml:space="preserve"> de Paganini, 1507; </w:t>
      </w:r>
      <w:proofErr w:type="spellStart"/>
      <w:r w:rsidRPr="00A472FC">
        <w:rPr>
          <w:color w:val="333333"/>
          <w:spacing w:val="2"/>
          <w:kern w:val="1"/>
        </w:rPr>
        <w:t>repr</w:t>
      </w:r>
      <w:proofErr w:type="spellEnd"/>
      <w:r w:rsidRPr="00A472FC">
        <w:rPr>
          <w:color w:val="333333"/>
          <w:spacing w:val="2"/>
          <w:kern w:val="1"/>
        </w:rPr>
        <w:t>. Hildesheim</w:t>
      </w:r>
      <w:r w:rsidR="00640FE1" w:rsidRPr="00A472FC">
        <w:rPr>
          <w:color w:val="333333"/>
          <w:spacing w:val="2"/>
          <w:kern w:val="1"/>
        </w:rPr>
        <w:t xml:space="preserve">: </w:t>
      </w:r>
      <w:proofErr w:type="spellStart"/>
      <w:r w:rsidR="00640FE1" w:rsidRPr="00A472FC">
        <w:rPr>
          <w:color w:val="333333"/>
          <w:spacing w:val="2"/>
          <w:kern w:val="1"/>
        </w:rPr>
        <w:t>Olms</w:t>
      </w:r>
      <w:proofErr w:type="spellEnd"/>
      <w:r w:rsidR="00640FE1" w:rsidRPr="00A472FC">
        <w:rPr>
          <w:color w:val="333333"/>
          <w:spacing w:val="2"/>
          <w:kern w:val="1"/>
        </w:rPr>
        <w:t xml:space="preserve"> Verlag, 2</w:t>
      </w:r>
      <w:r w:rsidRPr="00A472FC">
        <w:rPr>
          <w:color w:val="333333"/>
          <w:spacing w:val="2"/>
          <w:kern w:val="1"/>
        </w:rPr>
        <w:t>003.</w:t>
      </w:r>
    </w:p>
    <w:p w14:paraId="0D28820A" w14:textId="0A9B9957" w:rsidR="00DF3205" w:rsidRPr="00A472FC" w:rsidRDefault="00FB1024" w:rsidP="001272B8">
      <w:pPr>
        <w:autoSpaceDE w:val="0"/>
        <w:autoSpaceDN w:val="0"/>
        <w:adjustRightInd w:val="0"/>
        <w:ind w:left="709" w:right="-52" w:hanging="709"/>
        <w:rPr>
          <w:rFonts w:ascii="Times New Roman" w:hAnsi="Times New Roman" w:cs="Times New Roman"/>
          <w:color w:val="333333"/>
          <w:spacing w:val="2"/>
          <w:kern w:val="1"/>
        </w:rPr>
      </w:pPr>
      <w:r w:rsidRPr="00A472FC">
        <w:rPr>
          <w:rFonts w:ascii="Times New Roman" w:hAnsi="Times New Roman" w:cs="Times New Roman"/>
        </w:rPr>
        <w:t xml:space="preserve">———. </w:t>
      </w:r>
      <w:r w:rsidR="00DF3205" w:rsidRPr="00A472FC">
        <w:rPr>
          <w:rFonts w:ascii="Times New Roman" w:hAnsi="Times New Roman" w:cs="Times New Roman"/>
          <w:i/>
          <w:iCs/>
          <w:color w:val="333333"/>
          <w:spacing w:val="2"/>
          <w:kern w:val="1"/>
        </w:rPr>
        <w:t>Avicenna’s Medicine: A New Translation</w:t>
      </w:r>
      <w:r w:rsidRPr="00A472FC">
        <w:rPr>
          <w:rFonts w:ascii="Times New Roman" w:hAnsi="Times New Roman" w:cs="Times New Roman"/>
          <w:i/>
          <w:iCs/>
          <w:color w:val="333333"/>
          <w:spacing w:val="2"/>
          <w:kern w:val="1"/>
        </w:rPr>
        <w:t xml:space="preserve">. </w:t>
      </w:r>
      <w:r w:rsidRPr="00A472FC">
        <w:rPr>
          <w:rFonts w:ascii="Times New Roman" w:hAnsi="Times New Roman" w:cs="Times New Roman"/>
          <w:color w:val="333333"/>
          <w:spacing w:val="2"/>
          <w:kern w:val="1"/>
        </w:rPr>
        <w:t>Edited by</w:t>
      </w:r>
      <w:r w:rsidR="00DF3205" w:rsidRPr="00A472FC">
        <w:rPr>
          <w:rFonts w:ascii="Times New Roman" w:hAnsi="Times New Roman" w:cs="Times New Roman"/>
          <w:color w:val="333333"/>
          <w:spacing w:val="2"/>
          <w:kern w:val="1"/>
        </w:rPr>
        <w:t xml:space="preserve"> </w:t>
      </w:r>
      <w:proofErr w:type="spellStart"/>
      <w:r w:rsidR="00DF3205" w:rsidRPr="00A472FC">
        <w:rPr>
          <w:rFonts w:ascii="Times New Roman" w:hAnsi="Times New Roman" w:cs="Times New Roman"/>
          <w:color w:val="333333"/>
          <w:spacing w:val="2"/>
          <w:kern w:val="1"/>
        </w:rPr>
        <w:t>Mones</w:t>
      </w:r>
      <w:proofErr w:type="spellEnd"/>
      <w:r w:rsidR="00DF3205" w:rsidRPr="00A472FC">
        <w:rPr>
          <w:rFonts w:ascii="Times New Roman" w:hAnsi="Times New Roman" w:cs="Times New Roman"/>
          <w:color w:val="333333"/>
          <w:spacing w:val="2"/>
          <w:kern w:val="1"/>
        </w:rPr>
        <w:t xml:space="preserve"> </w:t>
      </w:r>
      <w:proofErr w:type="spellStart"/>
      <w:r w:rsidR="00DF3205" w:rsidRPr="00A472FC">
        <w:rPr>
          <w:rFonts w:ascii="Times New Roman" w:hAnsi="Times New Roman" w:cs="Times New Roman"/>
          <w:color w:val="333333"/>
          <w:spacing w:val="2"/>
          <w:kern w:val="1"/>
        </w:rPr>
        <w:t>Abu-Asab</w:t>
      </w:r>
      <w:proofErr w:type="spellEnd"/>
      <w:r w:rsidR="00DF3205" w:rsidRPr="00A472FC">
        <w:rPr>
          <w:rFonts w:ascii="Times New Roman" w:hAnsi="Times New Roman" w:cs="Times New Roman"/>
          <w:color w:val="333333"/>
          <w:spacing w:val="2"/>
          <w:kern w:val="1"/>
        </w:rPr>
        <w:t xml:space="preserve">, </w:t>
      </w:r>
      <w:proofErr w:type="spellStart"/>
      <w:r w:rsidR="00DF3205" w:rsidRPr="00A472FC">
        <w:rPr>
          <w:rFonts w:ascii="Times New Roman" w:hAnsi="Times New Roman" w:cs="Times New Roman"/>
          <w:color w:val="333333"/>
          <w:spacing w:val="2"/>
          <w:kern w:val="1"/>
        </w:rPr>
        <w:t>Hakima</w:t>
      </w:r>
      <w:proofErr w:type="spellEnd"/>
      <w:r w:rsidR="00DF3205" w:rsidRPr="00A472FC">
        <w:rPr>
          <w:rFonts w:ascii="Times New Roman" w:hAnsi="Times New Roman" w:cs="Times New Roman"/>
          <w:color w:val="333333"/>
          <w:spacing w:val="2"/>
          <w:kern w:val="1"/>
        </w:rPr>
        <w:t xml:space="preserve"> </w:t>
      </w:r>
      <w:proofErr w:type="spellStart"/>
      <w:r w:rsidR="00DF3205" w:rsidRPr="00A472FC">
        <w:rPr>
          <w:rFonts w:ascii="Times New Roman" w:hAnsi="Times New Roman" w:cs="Times New Roman"/>
          <w:color w:val="333333"/>
          <w:spacing w:val="2"/>
          <w:kern w:val="1"/>
        </w:rPr>
        <w:t>Amri</w:t>
      </w:r>
      <w:proofErr w:type="spellEnd"/>
      <w:r w:rsidR="00DF3205" w:rsidRPr="00A472FC">
        <w:rPr>
          <w:rFonts w:ascii="Times New Roman" w:hAnsi="Times New Roman" w:cs="Times New Roman"/>
          <w:color w:val="333333"/>
          <w:spacing w:val="2"/>
          <w:kern w:val="1"/>
        </w:rPr>
        <w:t xml:space="preserve">, Marc S. </w:t>
      </w:r>
      <w:proofErr w:type="spellStart"/>
      <w:r w:rsidR="00DF3205" w:rsidRPr="00A472FC">
        <w:rPr>
          <w:rFonts w:ascii="Times New Roman" w:hAnsi="Times New Roman" w:cs="Times New Roman"/>
          <w:color w:val="333333"/>
          <w:spacing w:val="2"/>
          <w:kern w:val="1"/>
        </w:rPr>
        <w:t>Micozzi</w:t>
      </w:r>
      <w:proofErr w:type="spellEnd"/>
      <w:r w:rsidRPr="00A472FC">
        <w:rPr>
          <w:rFonts w:ascii="Times New Roman" w:hAnsi="Times New Roman" w:cs="Times New Roman"/>
          <w:color w:val="333333"/>
          <w:spacing w:val="2"/>
          <w:kern w:val="1"/>
        </w:rPr>
        <w:t xml:space="preserve">. </w:t>
      </w:r>
      <w:r w:rsidR="00DF3205" w:rsidRPr="00A472FC">
        <w:rPr>
          <w:rFonts w:ascii="Times New Roman" w:hAnsi="Times New Roman" w:cs="Times New Roman"/>
          <w:color w:val="333333"/>
          <w:spacing w:val="2"/>
          <w:kern w:val="1"/>
        </w:rPr>
        <w:t>Toronto: Healing Arts Press, 2013.</w:t>
      </w:r>
    </w:p>
    <w:p w14:paraId="18788CEE" w14:textId="0DBB3A11" w:rsidR="006A6E61" w:rsidRPr="00A472FC" w:rsidRDefault="006A6E61" w:rsidP="001272B8">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iCs/>
        </w:rPr>
        <w:t>Averrois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Cordubensis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Commentarium</w:t>
      </w:r>
      <w:proofErr w:type="spellEnd"/>
      <w:r w:rsidRPr="00A472FC">
        <w:rPr>
          <w:rFonts w:ascii="Times New Roman" w:hAnsi="Times New Roman" w:cs="Times New Roman"/>
          <w:i/>
          <w:iCs/>
        </w:rPr>
        <w:t xml:space="preserve"> Magnum in </w:t>
      </w:r>
      <w:proofErr w:type="spellStart"/>
      <w:r w:rsidRPr="00A472FC">
        <w:rPr>
          <w:rFonts w:ascii="Times New Roman" w:hAnsi="Times New Roman" w:cs="Times New Roman"/>
          <w:i/>
          <w:iCs/>
        </w:rPr>
        <w:t>Aristotelis</w:t>
      </w:r>
      <w:proofErr w:type="spellEnd"/>
      <w:r w:rsidRPr="00A472FC">
        <w:rPr>
          <w:rFonts w:ascii="Times New Roman" w:hAnsi="Times New Roman" w:cs="Times New Roman"/>
          <w:i/>
          <w:iCs/>
        </w:rPr>
        <w:t xml:space="preserve"> De Anima </w:t>
      </w:r>
      <w:proofErr w:type="spellStart"/>
      <w:r w:rsidRPr="00A472FC">
        <w:rPr>
          <w:rFonts w:ascii="Times New Roman" w:hAnsi="Times New Roman" w:cs="Times New Roman"/>
          <w:i/>
          <w:iCs/>
        </w:rPr>
        <w:t>Libros</w:t>
      </w:r>
      <w:proofErr w:type="spellEnd"/>
      <w:r w:rsidRPr="00A472FC">
        <w:rPr>
          <w:rFonts w:ascii="Times New Roman" w:hAnsi="Times New Roman" w:cs="Times New Roman"/>
          <w:i/>
          <w:iCs/>
        </w:rPr>
        <w:t>.</w:t>
      </w:r>
      <w:r w:rsidRPr="00A472FC">
        <w:rPr>
          <w:rFonts w:ascii="Times New Roman" w:hAnsi="Times New Roman" w:cs="Times New Roman"/>
        </w:rPr>
        <w:t xml:space="preserve"> Edited by F.S. Crawford. Cambridge, Mass.</w:t>
      </w:r>
      <w:r w:rsidR="000417A5" w:rsidRPr="00A472FC">
        <w:rPr>
          <w:rFonts w:ascii="Times New Roman" w:hAnsi="Times New Roman" w:cs="Times New Roman"/>
        </w:rPr>
        <w:t>: The Medieval Academy of America,</w:t>
      </w:r>
      <w:r w:rsidRPr="00A472FC">
        <w:rPr>
          <w:rFonts w:ascii="Times New Roman" w:hAnsi="Times New Roman" w:cs="Times New Roman"/>
        </w:rPr>
        <w:t xml:space="preserve"> 1953.</w:t>
      </w:r>
    </w:p>
    <w:p w14:paraId="63C34E2A" w14:textId="77777777" w:rsidR="006A6E61" w:rsidRPr="00A472FC" w:rsidRDefault="006A6E61" w:rsidP="001272B8">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iCs/>
        </w:rPr>
        <w:t>Averroes</w:t>
      </w:r>
      <w:proofErr w:type="spellEnd"/>
      <w:r w:rsidRPr="00A472FC">
        <w:rPr>
          <w:rFonts w:ascii="Times New Roman" w:hAnsi="Times New Roman" w:cs="Times New Roman"/>
          <w:i/>
          <w:iCs/>
        </w:rPr>
        <w:t xml:space="preserve"> (Ibn </w:t>
      </w:r>
      <w:proofErr w:type="spellStart"/>
      <w:r w:rsidRPr="00A472FC">
        <w:rPr>
          <w:rFonts w:ascii="Times New Roman" w:hAnsi="Times New Roman" w:cs="Times New Roman"/>
          <w:i/>
          <w:iCs/>
        </w:rPr>
        <w:t>Rushd</w:t>
      </w:r>
      <w:proofErr w:type="spellEnd"/>
      <w:r w:rsidRPr="00A472FC">
        <w:rPr>
          <w:rFonts w:ascii="Times New Roman" w:hAnsi="Times New Roman" w:cs="Times New Roman"/>
          <w:i/>
          <w:iCs/>
        </w:rPr>
        <w:t>) of Cordova: Long Commentary on The De Anima of Aristotle.</w:t>
      </w:r>
      <w:r w:rsidRPr="00A472FC">
        <w:rPr>
          <w:rFonts w:ascii="Times New Roman" w:hAnsi="Times New Roman" w:cs="Times New Roman"/>
        </w:rPr>
        <w:t xml:space="preserve"> Translated by Richard Taylor. New Haven: Yale University Press, 2009.</w:t>
      </w:r>
    </w:p>
    <w:p w14:paraId="569A9AF1" w14:textId="77777777" w:rsidR="006A6E61" w:rsidRPr="00A472FC" w:rsidRDefault="006A6E61" w:rsidP="00BF5D98">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Bernard of </w:t>
      </w:r>
      <w:proofErr w:type="spellStart"/>
      <w:r w:rsidRPr="00A472FC">
        <w:rPr>
          <w:rFonts w:ascii="Times New Roman" w:hAnsi="Times New Roman" w:cs="Times New Roman"/>
        </w:rPr>
        <w:t>Clairvaux</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The Treatise of St Bernard, </w:t>
      </w:r>
      <w:proofErr w:type="spellStart"/>
      <w:r w:rsidRPr="00A472FC">
        <w:rPr>
          <w:rFonts w:ascii="Times New Roman" w:hAnsi="Times New Roman" w:cs="Times New Roman"/>
          <w:i/>
          <w:iCs/>
        </w:rPr>
        <w:t>Abbat</w:t>
      </w:r>
      <w:proofErr w:type="spellEnd"/>
      <w:r w:rsidRPr="00A472FC">
        <w:rPr>
          <w:rFonts w:ascii="Times New Roman" w:hAnsi="Times New Roman" w:cs="Times New Roman"/>
          <w:i/>
          <w:iCs/>
        </w:rPr>
        <w:t xml:space="preserve"> of </w:t>
      </w:r>
      <w:proofErr w:type="spellStart"/>
      <w:r w:rsidRPr="00A472FC">
        <w:rPr>
          <w:rFonts w:ascii="Times New Roman" w:hAnsi="Times New Roman" w:cs="Times New Roman"/>
          <w:i/>
          <w:iCs/>
        </w:rPr>
        <w:t>Clairvaux</w:t>
      </w:r>
      <w:proofErr w:type="spellEnd"/>
      <w:r w:rsidRPr="00A472FC">
        <w:rPr>
          <w:rFonts w:ascii="Times New Roman" w:hAnsi="Times New Roman" w:cs="Times New Roman"/>
          <w:i/>
          <w:iCs/>
        </w:rPr>
        <w:t>, Concerning Grace and Free Will.</w:t>
      </w:r>
      <w:r w:rsidRPr="00A472FC">
        <w:rPr>
          <w:rFonts w:ascii="Times New Roman" w:hAnsi="Times New Roman" w:cs="Times New Roman"/>
        </w:rPr>
        <w:t xml:space="preserve"> Translated by </w:t>
      </w:r>
      <w:proofErr w:type="spellStart"/>
      <w:r w:rsidRPr="00A472FC">
        <w:rPr>
          <w:rFonts w:ascii="Times New Roman" w:hAnsi="Times New Roman" w:cs="Times New Roman"/>
        </w:rPr>
        <w:t>Watkin</w:t>
      </w:r>
      <w:proofErr w:type="spellEnd"/>
      <w:r w:rsidRPr="00A472FC">
        <w:rPr>
          <w:rFonts w:ascii="Times New Roman" w:hAnsi="Times New Roman" w:cs="Times New Roman"/>
        </w:rPr>
        <w:t xml:space="preserve"> Wynn Williams. New York: MacMillan, 1920.</w:t>
      </w:r>
    </w:p>
    <w:p w14:paraId="0436E8CB"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 xml:space="preserve">Ad </w:t>
      </w:r>
      <w:proofErr w:type="spellStart"/>
      <w:r w:rsidRPr="00A472FC">
        <w:rPr>
          <w:rFonts w:ascii="Times New Roman" w:hAnsi="Times New Roman" w:cs="Times New Roman"/>
          <w:i/>
          <w:iCs/>
        </w:rPr>
        <w:t>clericos</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conversione</w:t>
      </w:r>
      <w:proofErr w:type="spellEnd"/>
      <w:r w:rsidRPr="00A472FC">
        <w:rPr>
          <w:rFonts w:ascii="Times New Roman" w:hAnsi="Times New Roman" w:cs="Times New Roman"/>
          <w:i/>
          <w:iCs/>
        </w:rPr>
        <w:t>.</w:t>
      </w:r>
      <w:r w:rsidRPr="00A472FC">
        <w:rPr>
          <w:rFonts w:ascii="Times New Roman" w:hAnsi="Times New Roman" w:cs="Times New Roman"/>
        </w:rPr>
        <w:t xml:space="preserve"> Edited by J. </w:t>
      </w:r>
      <w:proofErr w:type="spellStart"/>
      <w:r w:rsidRPr="00A472FC">
        <w:rPr>
          <w:rFonts w:ascii="Times New Roman" w:hAnsi="Times New Roman" w:cs="Times New Roman"/>
        </w:rPr>
        <w:t>Leclercq</w:t>
      </w:r>
      <w:proofErr w:type="spellEnd"/>
      <w:r w:rsidRPr="00A472FC">
        <w:rPr>
          <w:rFonts w:ascii="Times New Roman" w:hAnsi="Times New Roman" w:cs="Times New Roman"/>
        </w:rPr>
        <w:t xml:space="preserve"> and H.-M. </w:t>
      </w:r>
      <w:proofErr w:type="spellStart"/>
      <w:r w:rsidRPr="00A472FC">
        <w:rPr>
          <w:rFonts w:ascii="Times New Roman" w:hAnsi="Times New Roman" w:cs="Times New Roman"/>
        </w:rPr>
        <w:t>Rochais</w:t>
      </w:r>
      <w:proofErr w:type="spellEnd"/>
      <w:r w:rsidRPr="00A472FC">
        <w:rPr>
          <w:rFonts w:ascii="Times New Roman" w:hAnsi="Times New Roman" w:cs="Times New Roman"/>
        </w:rPr>
        <w:t xml:space="preserve">. Rome: </w:t>
      </w:r>
      <w:proofErr w:type="spellStart"/>
      <w:r w:rsidRPr="00A472FC">
        <w:rPr>
          <w:rFonts w:ascii="Times New Roman" w:hAnsi="Times New Roman" w:cs="Times New Roman"/>
        </w:rPr>
        <w:t>Editiones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Cistercienses</w:t>
      </w:r>
      <w:proofErr w:type="spellEnd"/>
      <w:r w:rsidRPr="00A472FC">
        <w:rPr>
          <w:rFonts w:ascii="Times New Roman" w:hAnsi="Times New Roman" w:cs="Times New Roman"/>
        </w:rPr>
        <w:t>, 1974.</w:t>
      </w:r>
    </w:p>
    <w:p w14:paraId="19B1404A" w14:textId="202930A6" w:rsidR="005E203A" w:rsidRPr="00A472FC" w:rsidRDefault="005E203A" w:rsidP="00881604">
      <w:pPr>
        <w:ind w:left="426" w:right="-52" w:hanging="426"/>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 xml:space="preserve">On Grace and Free Choice. </w:t>
      </w:r>
      <w:r w:rsidRPr="00A472FC">
        <w:rPr>
          <w:rFonts w:ascii="Times New Roman" w:hAnsi="Times New Roman" w:cs="Times New Roman"/>
        </w:rPr>
        <w:t>Edited by</w:t>
      </w:r>
      <w:r w:rsidR="009F7283" w:rsidRPr="00A472FC">
        <w:rPr>
          <w:rFonts w:ascii="Times New Roman" w:hAnsi="Times New Roman" w:cs="Times New Roman"/>
        </w:rPr>
        <w:t xml:space="preserve"> </w:t>
      </w:r>
      <w:r w:rsidRPr="00A472FC">
        <w:rPr>
          <w:rFonts w:ascii="Times New Roman" w:hAnsi="Times New Roman" w:cs="Times New Roman"/>
        </w:rPr>
        <w:t>Daniel O'Donovan, intro</w:t>
      </w:r>
      <w:r w:rsidR="009F7283" w:rsidRPr="00A472FC">
        <w:rPr>
          <w:rFonts w:ascii="Times New Roman" w:hAnsi="Times New Roman" w:cs="Times New Roman"/>
        </w:rPr>
        <w:t xml:space="preserve">duction </w:t>
      </w:r>
      <w:r w:rsidRPr="00A472FC">
        <w:rPr>
          <w:rFonts w:ascii="Times New Roman" w:hAnsi="Times New Roman" w:cs="Times New Roman"/>
        </w:rPr>
        <w:t xml:space="preserve">by Bernard </w:t>
      </w:r>
      <w:proofErr w:type="spellStart"/>
      <w:r w:rsidRPr="00A472FC">
        <w:rPr>
          <w:rFonts w:ascii="Times New Roman" w:hAnsi="Times New Roman" w:cs="Times New Roman"/>
        </w:rPr>
        <w:t>McGinn</w:t>
      </w:r>
      <w:proofErr w:type="spellEnd"/>
      <w:r w:rsidR="00BD1102" w:rsidRPr="00A472FC">
        <w:rPr>
          <w:rFonts w:ascii="Times New Roman" w:hAnsi="Times New Roman" w:cs="Times New Roman"/>
        </w:rPr>
        <w:t xml:space="preserve">. </w:t>
      </w:r>
      <w:r w:rsidRPr="00A472FC">
        <w:rPr>
          <w:rFonts w:ascii="Times New Roman" w:hAnsi="Times New Roman" w:cs="Times New Roman"/>
        </w:rPr>
        <w:t>Kalamazoo: Cistercian Publications, 1997</w:t>
      </w:r>
      <w:r w:rsidR="00BD1102" w:rsidRPr="00A472FC">
        <w:rPr>
          <w:rFonts w:ascii="Times New Roman" w:hAnsi="Times New Roman" w:cs="Times New Roman"/>
        </w:rPr>
        <w:t>.</w:t>
      </w:r>
    </w:p>
    <w:p w14:paraId="498D7409" w14:textId="14B16EC5" w:rsidR="006A6E61" w:rsidRPr="00A472FC" w:rsidRDefault="006A6E61" w:rsidP="00881604">
      <w:pPr>
        <w:ind w:left="426" w:right="-52" w:hanging="426"/>
        <w:rPr>
          <w:rFonts w:ascii="Times New Roman" w:hAnsi="Times New Roman" w:cs="Times New Roman"/>
          <w:color w:val="000000" w:themeColor="text1"/>
          <w:lang w:val="en-US"/>
        </w:rPr>
      </w:pPr>
      <w:r w:rsidRPr="00A472FC">
        <w:rPr>
          <w:rFonts w:ascii="Times New Roman" w:hAnsi="Times New Roman" w:cs="Times New Roman"/>
          <w:color w:val="000000" w:themeColor="text1"/>
          <w:lang w:val="en-US"/>
        </w:rPr>
        <w:t xml:space="preserve">Bonaventure, </w:t>
      </w:r>
      <w:hyperlink r:id="rId93" w:history="1">
        <w:proofErr w:type="spellStart"/>
        <w:r w:rsidRPr="00A472FC">
          <w:rPr>
            <w:rFonts w:ascii="Times New Roman" w:eastAsia="Arial Unicode MS" w:hAnsi="Times New Roman" w:cs="Times New Roman"/>
            <w:i/>
            <w:color w:val="000000" w:themeColor="text1"/>
            <w:lang w:val="en-US"/>
          </w:rPr>
          <w:t>Commentaria</w:t>
        </w:r>
        <w:proofErr w:type="spellEnd"/>
        <w:r w:rsidRPr="00A472FC">
          <w:rPr>
            <w:rFonts w:ascii="Times New Roman" w:eastAsia="Arial Unicode MS" w:hAnsi="Times New Roman" w:cs="Times New Roman"/>
            <w:i/>
            <w:color w:val="000000" w:themeColor="text1"/>
            <w:lang w:val="en-US"/>
          </w:rPr>
          <w:t xml:space="preserve"> in </w:t>
        </w:r>
        <w:proofErr w:type="spellStart"/>
        <w:r w:rsidRPr="00A472FC">
          <w:rPr>
            <w:rFonts w:ascii="Times New Roman" w:eastAsia="Arial Unicode MS" w:hAnsi="Times New Roman" w:cs="Times New Roman"/>
            <w:i/>
            <w:color w:val="000000" w:themeColor="text1"/>
            <w:lang w:val="en-US"/>
          </w:rPr>
          <w:t>quattuor</w:t>
        </w:r>
        <w:proofErr w:type="spellEnd"/>
        <w:r w:rsidRPr="00A472FC">
          <w:rPr>
            <w:rFonts w:ascii="Times New Roman" w:eastAsia="Arial Unicode MS" w:hAnsi="Times New Roman" w:cs="Times New Roman"/>
            <w:i/>
            <w:color w:val="000000" w:themeColor="text1"/>
            <w:lang w:val="en-US"/>
          </w:rPr>
          <w:t xml:space="preserve"> </w:t>
        </w:r>
        <w:proofErr w:type="spellStart"/>
        <w:r w:rsidRPr="00A472FC">
          <w:rPr>
            <w:rFonts w:ascii="Times New Roman" w:eastAsia="Arial Unicode MS" w:hAnsi="Times New Roman" w:cs="Times New Roman"/>
            <w:i/>
            <w:color w:val="000000" w:themeColor="text1"/>
            <w:lang w:val="en-US"/>
          </w:rPr>
          <w:t>libros</w:t>
        </w:r>
        <w:proofErr w:type="spellEnd"/>
        <w:r w:rsidRPr="00A472FC">
          <w:rPr>
            <w:rFonts w:ascii="Times New Roman" w:eastAsia="Arial Unicode MS" w:hAnsi="Times New Roman" w:cs="Times New Roman"/>
            <w:i/>
            <w:color w:val="000000" w:themeColor="text1"/>
            <w:lang w:val="en-US"/>
          </w:rPr>
          <w:t xml:space="preserve"> </w:t>
        </w:r>
        <w:proofErr w:type="spellStart"/>
        <w:r w:rsidRPr="00A472FC">
          <w:rPr>
            <w:rFonts w:ascii="Times New Roman" w:eastAsia="Arial Unicode MS" w:hAnsi="Times New Roman" w:cs="Times New Roman"/>
            <w:i/>
            <w:color w:val="000000" w:themeColor="text1"/>
            <w:lang w:val="en-US"/>
          </w:rPr>
          <w:t>Sententiarum</w:t>
        </w:r>
        <w:proofErr w:type="spellEnd"/>
        <w:r w:rsidRPr="00A472FC">
          <w:rPr>
            <w:rFonts w:ascii="Times New Roman" w:eastAsia="Arial Unicode MS" w:hAnsi="Times New Roman" w:cs="Times New Roman"/>
            <w:i/>
            <w:color w:val="000000" w:themeColor="text1"/>
            <w:lang w:val="en-US"/>
          </w:rPr>
          <w:t xml:space="preserve"> </w:t>
        </w:r>
        <w:proofErr w:type="spellStart"/>
        <w:r w:rsidRPr="00A472FC">
          <w:rPr>
            <w:rFonts w:ascii="Times New Roman" w:eastAsia="Arial Unicode MS" w:hAnsi="Times New Roman" w:cs="Times New Roman"/>
            <w:i/>
            <w:color w:val="000000" w:themeColor="text1"/>
            <w:lang w:val="en-US"/>
          </w:rPr>
          <w:t>Magistri</w:t>
        </w:r>
        <w:proofErr w:type="spellEnd"/>
        <w:r w:rsidRPr="00A472FC">
          <w:rPr>
            <w:rFonts w:ascii="Times New Roman" w:eastAsia="Arial Unicode MS" w:hAnsi="Times New Roman" w:cs="Times New Roman"/>
            <w:i/>
            <w:color w:val="000000" w:themeColor="text1"/>
            <w:lang w:val="en-US"/>
          </w:rPr>
          <w:t xml:space="preserve"> Petri Lombardi: </w:t>
        </w:r>
        <w:r w:rsidR="000839AF" w:rsidRPr="00A472FC">
          <w:rPr>
            <w:rFonts w:ascii="Times New Roman" w:eastAsia="Arial Unicode MS" w:hAnsi="Times New Roman" w:cs="Times New Roman"/>
            <w:i/>
            <w:color w:val="000000" w:themeColor="text1"/>
            <w:lang w:val="en-US"/>
          </w:rPr>
          <w:t xml:space="preserve">In </w:t>
        </w:r>
        <w:proofErr w:type="spellStart"/>
        <w:r w:rsidRPr="00A472FC">
          <w:rPr>
            <w:rFonts w:ascii="Times New Roman" w:eastAsia="Arial Unicode MS" w:hAnsi="Times New Roman" w:cs="Times New Roman"/>
            <w:i/>
            <w:color w:val="000000" w:themeColor="text1"/>
            <w:lang w:val="en-US"/>
          </w:rPr>
          <w:t>librum</w:t>
        </w:r>
        <w:proofErr w:type="spellEnd"/>
        <w:r w:rsidRPr="00A472FC">
          <w:rPr>
            <w:rFonts w:ascii="Times New Roman" w:eastAsia="Arial Unicode MS" w:hAnsi="Times New Roman" w:cs="Times New Roman"/>
            <w:i/>
            <w:color w:val="000000" w:themeColor="text1"/>
            <w:lang w:val="en-US"/>
          </w:rPr>
          <w:t xml:space="preserve"> II</w:t>
        </w:r>
      </w:hyperlink>
      <w:r w:rsidRPr="00A472FC">
        <w:rPr>
          <w:rFonts w:ascii="Times New Roman" w:hAnsi="Times New Roman" w:cs="Times New Roman"/>
          <w:color w:val="000000" w:themeColor="text1"/>
          <w:lang w:val="en-US"/>
        </w:rPr>
        <w:t xml:space="preserve">. </w:t>
      </w:r>
      <w:proofErr w:type="spellStart"/>
      <w:r w:rsidRPr="00A472FC">
        <w:rPr>
          <w:rFonts w:ascii="Times New Roman" w:hAnsi="Times New Roman" w:cs="Times New Roman"/>
          <w:bCs/>
          <w:color w:val="000000" w:themeColor="text1"/>
        </w:rPr>
        <w:t>Quaracchi</w:t>
      </w:r>
      <w:proofErr w:type="spellEnd"/>
      <w:r w:rsidRPr="00A472FC">
        <w:rPr>
          <w:rFonts w:ascii="Times New Roman" w:hAnsi="Times New Roman" w:cs="Times New Roman"/>
          <w:bCs/>
          <w:color w:val="000000" w:themeColor="text1"/>
        </w:rPr>
        <w:t xml:space="preserve">, </w:t>
      </w:r>
      <w:proofErr w:type="spellStart"/>
      <w:r w:rsidRPr="00A472FC">
        <w:rPr>
          <w:rFonts w:ascii="Times New Roman" w:hAnsi="Times New Roman" w:cs="Times New Roman"/>
          <w:bCs/>
          <w:color w:val="000000" w:themeColor="text1"/>
        </w:rPr>
        <w:t>Florentiae</w:t>
      </w:r>
      <w:proofErr w:type="spellEnd"/>
      <w:r w:rsidRPr="00A472FC">
        <w:rPr>
          <w:rFonts w:ascii="Times New Roman" w:hAnsi="Times New Roman" w:cs="Times New Roman"/>
          <w:bCs/>
          <w:color w:val="000000" w:themeColor="text1"/>
        </w:rPr>
        <w:t>: Collegii S. Bonaventurae, 1885.</w:t>
      </w:r>
    </w:p>
    <w:p w14:paraId="52A95143" w14:textId="553998CD" w:rsidR="006A6E61" w:rsidRPr="00A472FC" w:rsidRDefault="006A6E61" w:rsidP="00881604">
      <w:pPr>
        <w:autoSpaceDE w:val="0"/>
        <w:autoSpaceDN w:val="0"/>
        <w:adjustRightInd w:val="0"/>
        <w:ind w:left="720" w:right="-52" w:hanging="720"/>
        <w:rPr>
          <w:rFonts w:ascii="Times New Roman" w:hAnsi="Times New Roman" w:cs="Times New Roman"/>
          <w:lang w:val="en-US"/>
        </w:rPr>
      </w:pPr>
      <w:proofErr w:type="spellStart"/>
      <w:r w:rsidRPr="00A472FC">
        <w:rPr>
          <w:rFonts w:ascii="Times New Roman" w:hAnsi="Times New Roman" w:cs="Times New Roman"/>
          <w:i/>
          <w:lang w:val="en-US"/>
        </w:rPr>
        <w:t>Chartularium</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Universitatis</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Parisiensis</w:t>
      </w:r>
      <w:proofErr w:type="spellEnd"/>
      <w:r w:rsidRPr="00A472FC">
        <w:rPr>
          <w:rFonts w:ascii="Times New Roman" w:hAnsi="Times New Roman" w:cs="Times New Roman"/>
          <w:i/>
          <w:lang w:val="en-US"/>
        </w:rPr>
        <w:t xml:space="preserve"> </w:t>
      </w:r>
      <w:r w:rsidRPr="00A472FC">
        <w:rPr>
          <w:rFonts w:ascii="Times New Roman" w:hAnsi="Times New Roman" w:cs="Times New Roman"/>
          <w:lang w:val="en-US"/>
        </w:rPr>
        <w:t xml:space="preserve">(CUP). Edited by H. </w:t>
      </w:r>
      <w:proofErr w:type="spellStart"/>
      <w:r w:rsidRPr="00A472FC">
        <w:rPr>
          <w:rFonts w:ascii="Times New Roman" w:hAnsi="Times New Roman" w:cs="Times New Roman"/>
          <w:lang w:val="en-US"/>
        </w:rPr>
        <w:t>Denifle</w:t>
      </w:r>
      <w:proofErr w:type="spellEnd"/>
      <w:r w:rsidRPr="00A472FC">
        <w:rPr>
          <w:rFonts w:ascii="Times New Roman" w:hAnsi="Times New Roman" w:cs="Times New Roman"/>
          <w:lang w:val="en-US"/>
        </w:rPr>
        <w:t xml:space="preserve"> and É. Chatelain. Paris: </w:t>
      </w:r>
      <w:proofErr w:type="spellStart"/>
      <w:r w:rsidRPr="00A472FC">
        <w:rPr>
          <w:rFonts w:ascii="Times New Roman" w:hAnsi="Times New Roman" w:cs="Times New Roman"/>
          <w:lang w:val="en-US"/>
        </w:rPr>
        <w:t>Delalain</w:t>
      </w:r>
      <w:proofErr w:type="spellEnd"/>
      <w:r w:rsidRPr="00A472FC">
        <w:rPr>
          <w:rFonts w:ascii="Times New Roman" w:hAnsi="Times New Roman" w:cs="Times New Roman"/>
          <w:lang w:val="en-US"/>
        </w:rPr>
        <w:t xml:space="preserve">, 1889-94; </w:t>
      </w:r>
      <w:proofErr w:type="spellStart"/>
      <w:r w:rsidRPr="00A472FC">
        <w:rPr>
          <w:rFonts w:ascii="Times New Roman" w:hAnsi="Times New Roman" w:cs="Times New Roman"/>
          <w:lang w:val="en-US"/>
        </w:rPr>
        <w:t>repr</w:t>
      </w:r>
      <w:proofErr w:type="spellEnd"/>
      <w:r w:rsidRPr="00A472FC">
        <w:rPr>
          <w:rFonts w:ascii="Times New Roman" w:hAnsi="Times New Roman" w:cs="Times New Roman"/>
          <w:lang w:val="en-US"/>
        </w:rPr>
        <w:t xml:space="preserve">. Bruxelles: Culture et </w:t>
      </w:r>
      <w:proofErr w:type="spellStart"/>
      <w:r w:rsidRPr="00A472FC">
        <w:rPr>
          <w:rFonts w:ascii="Times New Roman" w:hAnsi="Times New Roman" w:cs="Times New Roman"/>
          <w:lang w:val="en-US"/>
        </w:rPr>
        <w:t>Civilisation</w:t>
      </w:r>
      <w:proofErr w:type="spellEnd"/>
      <w:r w:rsidRPr="00A472FC">
        <w:rPr>
          <w:rFonts w:ascii="Times New Roman" w:hAnsi="Times New Roman" w:cs="Times New Roman"/>
          <w:lang w:val="en-US"/>
        </w:rPr>
        <w:t xml:space="preserve">, 1964. </w:t>
      </w:r>
    </w:p>
    <w:p w14:paraId="41DE7FE1" w14:textId="4FB6D5A8" w:rsidR="00D6024B"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Dominicus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w:t>
      </w:r>
      <w:r w:rsidR="00D6024B" w:rsidRPr="00A472FC">
        <w:rPr>
          <w:rFonts w:ascii="Times New Roman" w:hAnsi="Times New Roman" w:cs="Times New Roman"/>
        </w:rPr>
        <w:t xml:space="preserve">‘De </w:t>
      </w:r>
      <w:proofErr w:type="spellStart"/>
      <w:r w:rsidR="00D6024B" w:rsidRPr="00A472FC">
        <w:rPr>
          <w:rFonts w:ascii="Times New Roman" w:hAnsi="Times New Roman" w:cs="Times New Roman"/>
        </w:rPr>
        <w:t>unitate</w:t>
      </w:r>
      <w:proofErr w:type="spellEnd"/>
      <w:r w:rsidR="00D6024B" w:rsidRPr="00A472FC">
        <w:rPr>
          <w:rFonts w:ascii="Times New Roman" w:hAnsi="Times New Roman" w:cs="Times New Roman"/>
        </w:rPr>
        <w:t xml:space="preserve">: Die </w:t>
      </w:r>
      <w:proofErr w:type="spellStart"/>
      <w:r w:rsidR="00D6024B" w:rsidRPr="00A472FC">
        <w:rPr>
          <w:rFonts w:ascii="Times New Roman" w:hAnsi="Times New Roman" w:cs="Times New Roman"/>
        </w:rPr>
        <w:t>dem</w:t>
      </w:r>
      <w:proofErr w:type="spellEnd"/>
      <w:r w:rsidR="00D6024B" w:rsidRPr="00A472FC">
        <w:rPr>
          <w:rFonts w:ascii="Times New Roman" w:hAnsi="Times New Roman" w:cs="Times New Roman"/>
        </w:rPr>
        <w:t xml:space="preserve"> </w:t>
      </w:r>
      <w:proofErr w:type="spellStart"/>
      <w:r w:rsidR="00D6024B" w:rsidRPr="00A472FC">
        <w:rPr>
          <w:rFonts w:ascii="Times New Roman" w:hAnsi="Times New Roman" w:cs="Times New Roman"/>
        </w:rPr>
        <w:t>Boethius</w:t>
      </w:r>
      <w:proofErr w:type="spellEnd"/>
      <w:r w:rsidR="00D6024B" w:rsidRPr="00A472FC">
        <w:rPr>
          <w:rFonts w:ascii="Times New Roman" w:hAnsi="Times New Roman" w:cs="Times New Roman"/>
        </w:rPr>
        <w:t xml:space="preserve"> </w:t>
      </w:r>
      <w:proofErr w:type="spellStart"/>
      <w:r w:rsidR="00D6024B" w:rsidRPr="00A472FC">
        <w:rPr>
          <w:rFonts w:ascii="Times New Roman" w:hAnsi="Times New Roman" w:cs="Times New Roman"/>
        </w:rPr>
        <w:t>fälschlich</w:t>
      </w:r>
      <w:proofErr w:type="spellEnd"/>
      <w:r w:rsidR="00D6024B" w:rsidRPr="00A472FC">
        <w:rPr>
          <w:rFonts w:ascii="Times New Roman" w:hAnsi="Times New Roman" w:cs="Times New Roman"/>
        </w:rPr>
        <w:t xml:space="preserve"> </w:t>
      </w:r>
      <w:proofErr w:type="spellStart"/>
      <w:r w:rsidR="00D6024B" w:rsidRPr="00A472FC">
        <w:rPr>
          <w:rFonts w:ascii="Times New Roman" w:hAnsi="Times New Roman" w:cs="Times New Roman"/>
        </w:rPr>
        <w:t>zugeschriebene</w:t>
      </w:r>
      <w:proofErr w:type="spellEnd"/>
      <w:r w:rsidR="00D6024B" w:rsidRPr="00A472FC">
        <w:rPr>
          <w:rFonts w:ascii="Times New Roman" w:hAnsi="Times New Roman" w:cs="Times New Roman"/>
        </w:rPr>
        <w:t xml:space="preserve"> </w:t>
      </w:r>
      <w:proofErr w:type="spellStart"/>
      <w:r w:rsidR="00D6024B" w:rsidRPr="00A472FC">
        <w:rPr>
          <w:rFonts w:ascii="Times New Roman" w:hAnsi="Times New Roman" w:cs="Times New Roman"/>
        </w:rPr>
        <w:t>Abhandlung</w:t>
      </w:r>
      <w:proofErr w:type="spellEnd"/>
      <w:r w:rsidR="00D6024B" w:rsidRPr="00A472FC">
        <w:rPr>
          <w:rFonts w:ascii="Times New Roman" w:hAnsi="Times New Roman" w:cs="Times New Roman"/>
        </w:rPr>
        <w:t xml:space="preserve"> des </w:t>
      </w:r>
      <w:proofErr w:type="spellStart"/>
      <w:r w:rsidR="00D6024B" w:rsidRPr="00A472FC">
        <w:rPr>
          <w:rFonts w:ascii="Times New Roman" w:hAnsi="Times New Roman" w:cs="Times New Roman"/>
        </w:rPr>
        <w:t>Dominicus</w:t>
      </w:r>
      <w:proofErr w:type="spellEnd"/>
      <w:r w:rsidR="00D6024B" w:rsidRPr="00A472FC">
        <w:rPr>
          <w:rFonts w:ascii="Times New Roman" w:hAnsi="Times New Roman" w:cs="Times New Roman"/>
        </w:rPr>
        <w:t xml:space="preserve"> </w:t>
      </w:r>
      <w:proofErr w:type="spellStart"/>
      <w:r w:rsidR="00D6024B" w:rsidRPr="00A472FC">
        <w:rPr>
          <w:rFonts w:ascii="Times New Roman" w:hAnsi="Times New Roman" w:cs="Times New Roman"/>
        </w:rPr>
        <w:t>Gundisalvi</w:t>
      </w:r>
      <w:proofErr w:type="spellEnd"/>
      <w:r w:rsidR="00D6024B" w:rsidRPr="00A472FC">
        <w:rPr>
          <w:rFonts w:ascii="Times New Roman" w:hAnsi="Times New Roman" w:cs="Times New Roman"/>
        </w:rPr>
        <w:t xml:space="preserve"> De </w:t>
      </w:r>
      <w:proofErr w:type="spellStart"/>
      <w:r w:rsidR="00D6024B" w:rsidRPr="00A472FC">
        <w:rPr>
          <w:rFonts w:ascii="Times New Roman" w:hAnsi="Times New Roman" w:cs="Times New Roman"/>
        </w:rPr>
        <w:t>Unitate</w:t>
      </w:r>
      <w:proofErr w:type="spellEnd"/>
      <w:r w:rsidR="00D6024B" w:rsidRPr="00A472FC">
        <w:rPr>
          <w:rFonts w:ascii="Times New Roman" w:hAnsi="Times New Roman" w:cs="Times New Roman"/>
        </w:rPr>
        <w:t xml:space="preserve">.’ Edited by Paul </w:t>
      </w:r>
      <w:proofErr w:type="spellStart"/>
      <w:r w:rsidR="00D6024B" w:rsidRPr="00A472FC">
        <w:rPr>
          <w:rFonts w:ascii="Times New Roman" w:hAnsi="Times New Roman" w:cs="Times New Roman"/>
        </w:rPr>
        <w:t>Correns</w:t>
      </w:r>
      <w:proofErr w:type="spellEnd"/>
      <w:r w:rsidR="00D6024B" w:rsidRPr="00A472FC">
        <w:rPr>
          <w:rFonts w:ascii="Times New Roman" w:hAnsi="Times New Roman" w:cs="Times New Roman"/>
        </w:rPr>
        <w:t xml:space="preserve">. </w:t>
      </w:r>
      <w:proofErr w:type="spellStart"/>
      <w:r w:rsidR="00BC0CA5" w:rsidRPr="00A472FC">
        <w:rPr>
          <w:rFonts w:ascii="Times New Roman" w:hAnsi="Times New Roman" w:cs="Times New Roman"/>
        </w:rPr>
        <w:t>Beiträge</w:t>
      </w:r>
      <w:proofErr w:type="spellEnd"/>
      <w:r w:rsidR="00BC0CA5" w:rsidRPr="00A472FC">
        <w:rPr>
          <w:rFonts w:ascii="Times New Roman" w:hAnsi="Times New Roman" w:cs="Times New Roman"/>
        </w:rPr>
        <w:t xml:space="preserve"> </w:t>
      </w:r>
      <w:proofErr w:type="spellStart"/>
      <w:r w:rsidR="00BC0CA5" w:rsidRPr="00A472FC">
        <w:rPr>
          <w:rFonts w:ascii="Times New Roman" w:hAnsi="Times New Roman" w:cs="Times New Roman"/>
        </w:rPr>
        <w:t>zur</w:t>
      </w:r>
      <w:proofErr w:type="spellEnd"/>
      <w:r w:rsidR="00BC0CA5" w:rsidRPr="00A472FC">
        <w:rPr>
          <w:rFonts w:ascii="Times New Roman" w:hAnsi="Times New Roman" w:cs="Times New Roman"/>
        </w:rPr>
        <w:t xml:space="preserve"> </w:t>
      </w:r>
      <w:proofErr w:type="spellStart"/>
      <w:r w:rsidR="00BC0CA5" w:rsidRPr="00A472FC">
        <w:rPr>
          <w:rFonts w:ascii="Times New Roman" w:hAnsi="Times New Roman" w:cs="Times New Roman"/>
        </w:rPr>
        <w:t>Geschichte</w:t>
      </w:r>
      <w:proofErr w:type="spellEnd"/>
      <w:r w:rsidR="00BC0CA5" w:rsidRPr="00A472FC">
        <w:rPr>
          <w:rFonts w:ascii="Times New Roman" w:hAnsi="Times New Roman" w:cs="Times New Roman"/>
        </w:rPr>
        <w:t xml:space="preserve"> </w:t>
      </w:r>
      <w:proofErr w:type="spellStart"/>
      <w:r w:rsidR="00BC0CA5" w:rsidRPr="00A472FC">
        <w:rPr>
          <w:rFonts w:ascii="Times New Roman" w:hAnsi="Times New Roman" w:cs="Times New Roman"/>
        </w:rPr>
        <w:t>der</w:t>
      </w:r>
      <w:proofErr w:type="spellEnd"/>
      <w:r w:rsidR="00BC0CA5" w:rsidRPr="00A472FC">
        <w:rPr>
          <w:rFonts w:ascii="Times New Roman" w:hAnsi="Times New Roman" w:cs="Times New Roman"/>
        </w:rPr>
        <w:t xml:space="preserve"> Philosophie des </w:t>
      </w:r>
      <w:proofErr w:type="spellStart"/>
      <w:r w:rsidR="00BC0CA5" w:rsidRPr="00A472FC">
        <w:rPr>
          <w:rFonts w:ascii="Times New Roman" w:hAnsi="Times New Roman" w:cs="Times New Roman"/>
        </w:rPr>
        <w:t>Mittelalters</w:t>
      </w:r>
      <w:proofErr w:type="spellEnd"/>
      <w:r w:rsidR="00BC0CA5" w:rsidRPr="00A472FC">
        <w:rPr>
          <w:rFonts w:ascii="Times New Roman" w:hAnsi="Times New Roman" w:cs="Times New Roman"/>
        </w:rPr>
        <w:t>,</w:t>
      </w:r>
      <w:r w:rsidR="00BC0CA5" w:rsidRPr="00A472FC">
        <w:rPr>
          <w:rFonts w:ascii="Times New Roman" w:hAnsi="Times New Roman" w:cs="Times New Roman"/>
          <w:i/>
          <w:iCs/>
        </w:rPr>
        <w:t xml:space="preserve"> </w:t>
      </w:r>
      <w:r w:rsidR="00BC0CA5" w:rsidRPr="00A472FC">
        <w:rPr>
          <w:rFonts w:ascii="Times New Roman" w:hAnsi="Times New Roman" w:cs="Times New Roman"/>
        </w:rPr>
        <w:t xml:space="preserve">Band I, Heft 1. </w:t>
      </w:r>
      <w:r w:rsidR="00D6024B" w:rsidRPr="00A472FC">
        <w:rPr>
          <w:rFonts w:ascii="Times New Roman" w:hAnsi="Times New Roman" w:cs="Times New Roman"/>
        </w:rPr>
        <w:t xml:space="preserve">Münster: </w:t>
      </w:r>
      <w:proofErr w:type="spellStart"/>
      <w:r w:rsidR="00D6024B" w:rsidRPr="00A472FC">
        <w:rPr>
          <w:rFonts w:ascii="Times New Roman" w:hAnsi="Times New Roman" w:cs="Times New Roman"/>
        </w:rPr>
        <w:t>Aschendorff</w:t>
      </w:r>
      <w:proofErr w:type="spellEnd"/>
      <w:r w:rsidR="00D6024B" w:rsidRPr="00A472FC">
        <w:rPr>
          <w:rFonts w:ascii="Times New Roman" w:hAnsi="Times New Roman" w:cs="Times New Roman"/>
        </w:rPr>
        <w:t>, 1891.</w:t>
      </w:r>
    </w:p>
    <w:p w14:paraId="0B9C9CA6" w14:textId="77FCFDF9" w:rsidR="00D6024B" w:rsidRPr="00A472FC" w:rsidRDefault="00D6024B" w:rsidP="00D6024B">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 xml:space="preserve">Des </w:t>
      </w:r>
      <w:proofErr w:type="spellStart"/>
      <w:r w:rsidRPr="00A472FC">
        <w:rPr>
          <w:rFonts w:ascii="Times New Roman" w:hAnsi="Times New Roman" w:cs="Times New Roman"/>
          <w:i/>
          <w:iCs/>
        </w:rPr>
        <w:t>Dominicus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Gundissalinus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Schrift</w:t>
      </w:r>
      <w:proofErr w:type="spellEnd"/>
      <w:r w:rsidRPr="00A472FC">
        <w:rPr>
          <w:rFonts w:ascii="Times New Roman" w:hAnsi="Times New Roman" w:cs="Times New Roman"/>
          <w:i/>
          <w:iCs/>
        </w:rPr>
        <w:t xml:space="preserve"> von </w:t>
      </w:r>
      <w:proofErr w:type="spellStart"/>
      <w:r w:rsidRPr="00A472FC">
        <w:rPr>
          <w:rFonts w:ascii="Times New Roman" w:hAnsi="Times New Roman" w:cs="Times New Roman"/>
          <w:i/>
          <w:iCs/>
        </w:rPr>
        <w:t>dem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Hervorgange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der</w:t>
      </w:r>
      <w:proofErr w:type="spellEnd"/>
      <w:r w:rsidRPr="00A472FC">
        <w:rPr>
          <w:rFonts w:ascii="Times New Roman" w:hAnsi="Times New Roman" w:cs="Times New Roman"/>
          <w:i/>
          <w:iCs/>
        </w:rPr>
        <w:t xml:space="preserve"> Welt (De </w:t>
      </w:r>
      <w:proofErr w:type="spellStart"/>
      <w:r w:rsidRPr="00A472FC">
        <w:rPr>
          <w:rFonts w:ascii="Times New Roman" w:hAnsi="Times New Roman" w:cs="Times New Roman"/>
          <w:i/>
          <w:iCs/>
        </w:rPr>
        <w:t>processione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mundi</w:t>
      </w:r>
      <w:proofErr w:type="spellEnd"/>
      <w:r w:rsidRPr="00A472FC">
        <w:rPr>
          <w:rFonts w:ascii="Times New Roman" w:hAnsi="Times New Roman" w:cs="Times New Roman"/>
          <w:i/>
          <w:iCs/>
        </w:rPr>
        <w:t>).</w:t>
      </w:r>
      <w:r w:rsidRPr="00A472FC">
        <w:rPr>
          <w:rFonts w:ascii="Times New Roman" w:hAnsi="Times New Roman" w:cs="Times New Roman"/>
        </w:rPr>
        <w:t xml:space="preserve"> </w:t>
      </w:r>
      <w:proofErr w:type="spellStart"/>
      <w:r w:rsidRPr="00A472FC">
        <w:rPr>
          <w:rFonts w:ascii="Times New Roman" w:hAnsi="Times New Roman" w:cs="Times New Roman"/>
        </w:rPr>
        <w:t>Beiträge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zur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Geschichte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der</w:t>
      </w:r>
      <w:proofErr w:type="spellEnd"/>
      <w:r w:rsidRPr="00A472FC">
        <w:rPr>
          <w:rFonts w:ascii="Times New Roman" w:hAnsi="Times New Roman" w:cs="Times New Roman"/>
        </w:rPr>
        <w:t xml:space="preserve"> Philosophie des </w:t>
      </w:r>
      <w:proofErr w:type="spellStart"/>
      <w:r w:rsidRPr="00A472FC">
        <w:rPr>
          <w:rFonts w:ascii="Times New Roman" w:hAnsi="Times New Roman" w:cs="Times New Roman"/>
        </w:rPr>
        <w:t>Mittelalters</w:t>
      </w:r>
      <w:proofErr w:type="spellEnd"/>
      <w:r w:rsidRPr="00A472FC">
        <w:rPr>
          <w:rFonts w:ascii="Times New Roman" w:hAnsi="Times New Roman" w:cs="Times New Roman"/>
        </w:rPr>
        <w:t xml:space="preserve">, Band 24, Heft 3. Edited by Georg Bülow. Münster: </w:t>
      </w:r>
      <w:proofErr w:type="spellStart"/>
      <w:r w:rsidRPr="00A472FC">
        <w:rPr>
          <w:rFonts w:ascii="Times New Roman" w:hAnsi="Times New Roman" w:cs="Times New Roman"/>
        </w:rPr>
        <w:t>Aschendorff</w:t>
      </w:r>
      <w:proofErr w:type="spellEnd"/>
      <w:r w:rsidRPr="00A472FC">
        <w:rPr>
          <w:rFonts w:ascii="Times New Roman" w:hAnsi="Times New Roman" w:cs="Times New Roman"/>
        </w:rPr>
        <w:t>, 1925.</w:t>
      </w:r>
    </w:p>
    <w:p w14:paraId="2AA385E7" w14:textId="5D22AAD4" w:rsidR="00D6024B" w:rsidRPr="00A472FC" w:rsidRDefault="00D6024B" w:rsidP="00D6024B">
      <w:pPr>
        <w:widowControl w:val="0"/>
        <w:autoSpaceDE w:val="0"/>
        <w:autoSpaceDN w:val="0"/>
        <w:adjustRightInd w:val="0"/>
        <w:ind w:left="426" w:right="-52" w:hanging="426"/>
        <w:rPr>
          <w:rFonts w:ascii="Times New Roman" w:hAnsi="Times New Roman" w:cs="Times New Roman"/>
          <w:color w:val="000000" w:themeColor="text1"/>
        </w:rPr>
      </w:pPr>
      <w:r w:rsidRPr="00A472FC">
        <w:rPr>
          <w:rFonts w:ascii="Times New Roman" w:hAnsi="Times New Roman" w:cs="Times New Roman"/>
        </w:rPr>
        <w:t xml:space="preserve">———. </w:t>
      </w:r>
      <w:r w:rsidRPr="00A472FC">
        <w:rPr>
          <w:rFonts w:ascii="Times New Roman" w:hAnsi="Times New Roman" w:cs="Times New Roman"/>
          <w:i/>
          <w:color w:val="000000" w:themeColor="text1"/>
        </w:rPr>
        <w:t>De anima</w:t>
      </w:r>
      <w:r w:rsidRPr="00A472FC">
        <w:rPr>
          <w:rFonts w:ascii="Times New Roman" w:hAnsi="Times New Roman" w:cs="Times New Roman"/>
          <w:color w:val="000000" w:themeColor="text1"/>
        </w:rPr>
        <w:t xml:space="preserve">. ‘The Treatise </w:t>
      </w:r>
      <w:r w:rsidRPr="00A472FC">
        <w:rPr>
          <w:rFonts w:ascii="Times New Roman" w:hAnsi="Times New Roman" w:cs="Times New Roman"/>
          <w:i/>
          <w:iCs/>
          <w:color w:val="000000" w:themeColor="text1"/>
        </w:rPr>
        <w:t xml:space="preserve">De </w:t>
      </w:r>
      <w:r w:rsidR="00BD1492" w:rsidRPr="00A472FC">
        <w:rPr>
          <w:rFonts w:ascii="Times New Roman" w:hAnsi="Times New Roman" w:cs="Times New Roman"/>
          <w:i/>
          <w:iCs/>
          <w:color w:val="000000" w:themeColor="text1"/>
        </w:rPr>
        <w:t>a</w:t>
      </w:r>
      <w:r w:rsidRPr="00A472FC">
        <w:rPr>
          <w:rFonts w:ascii="Times New Roman" w:hAnsi="Times New Roman" w:cs="Times New Roman"/>
          <w:i/>
          <w:iCs/>
          <w:color w:val="000000" w:themeColor="text1"/>
        </w:rPr>
        <w:t>nima</w:t>
      </w:r>
      <w:r w:rsidRPr="00A472FC">
        <w:rPr>
          <w:rFonts w:ascii="Times New Roman" w:hAnsi="Times New Roman" w:cs="Times New Roman"/>
          <w:color w:val="000000" w:themeColor="text1"/>
        </w:rPr>
        <w:t xml:space="preserve"> of </w:t>
      </w:r>
      <w:proofErr w:type="spellStart"/>
      <w:r w:rsidRPr="00A472FC">
        <w:rPr>
          <w:rFonts w:ascii="Times New Roman" w:hAnsi="Times New Roman" w:cs="Times New Roman"/>
          <w:color w:val="000000" w:themeColor="text1"/>
        </w:rPr>
        <w:t>Dominicus</w:t>
      </w:r>
      <w:proofErr w:type="spellEnd"/>
      <w:r w:rsidRPr="00A472FC">
        <w:rPr>
          <w:rFonts w:ascii="Times New Roman" w:hAnsi="Times New Roman" w:cs="Times New Roman"/>
          <w:color w:val="000000" w:themeColor="text1"/>
        </w:rPr>
        <w:t xml:space="preserve"> </w:t>
      </w:r>
      <w:proofErr w:type="spellStart"/>
      <w:r w:rsidRPr="00A472FC">
        <w:rPr>
          <w:rFonts w:ascii="Times New Roman" w:hAnsi="Times New Roman" w:cs="Times New Roman"/>
          <w:color w:val="000000" w:themeColor="text1"/>
        </w:rPr>
        <w:t>Gundissalinus</w:t>
      </w:r>
      <w:proofErr w:type="spellEnd"/>
      <w:r w:rsidRPr="00A472FC">
        <w:rPr>
          <w:rFonts w:ascii="Times New Roman" w:hAnsi="Times New Roman" w:cs="Times New Roman"/>
          <w:color w:val="000000" w:themeColor="text1"/>
        </w:rPr>
        <w:t xml:space="preserve">.’ Edited by Joseph Thomas </w:t>
      </w:r>
      <w:proofErr w:type="spellStart"/>
      <w:r w:rsidRPr="00A472FC">
        <w:rPr>
          <w:rFonts w:ascii="Times New Roman" w:hAnsi="Times New Roman" w:cs="Times New Roman"/>
          <w:color w:val="000000" w:themeColor="text1"/>
        </w:rPr>
        <w:t>Muckle</w:t>
      </w:r>
      <w:proofErr w:type="spellEnd"/>
      <w:r w:rsidRPr="00A472FC">
        <w:rPr>
          <w:rFonts w:ascii="Times New Roman" w:hAnsi="Times New Roman" w:cs="Times New Roman"/>
          <w:color w:val="000000" w:themeColor="text1"/>
        </w:rPr>
        <w:t xml:space="preserve">. </w:t>
      </w:r>
      <w:r w:rsidRPr="00A472FC">
        <w:rPr>
          <w:rFonts w:ascii="Times New Roman" w:hAnsi="Times New Roman" w:cs="Times New Roman"/>
          <w:i/>
          <w:color w:val="000000" w:themeColor="text1"/>
        </w:rPr>
        <w:t>Mediaeval Studies</w:t>
      </w:r>
      <w:r w:rsidRPr="00A472FC">
        <w:rPr>
          <w:rFonts w:ascii="Times New Roman" w:hAnsi="Times New Roman" w:cs="Times New Roman"/>
          <w:color w:val="000000" w:themeColor="text1"/>
        </w:rPr>
        <w:t xml:space="preserve"> 2 (1940): 23</w:t>
      </w:r>
      <w:r w:rsidRPr="00A472FC">
        <w:rPr>
          <w:rFonts w:ascii="Times New Roman" w:eastAsia="Calibri" w:hAnsi="Times New Roman" w:cs="Times New Roman"/>
          <w:color w:val="000000" w:themeColor="text1"/>
        </w:rPr>
        <w:t>-</w:t>
      </w:r>
      <w:r w:rsidRPr="00A472FC">
        <w:rPr>
          <w:rFonts w:ascii="Times New Roman" w:hAnsi="Times New Roman" w:cs="Times New Roman"/>
          <w:color w:val="000000" w:themeColor="text1"/>
        </w:rPr>
        <w:t xml:space="preserve">103. </w:t>
      </w:r>
    </w:p>
    <w:p w14:paraId="32895A63" w14:textId="14405E28" w:rsidR="006A6E61" w:rsidRPr="00A472FC" w:rsidRDefault="006A6E61"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lastRenderedPageBreak/>
        <w:t xml:space="preserve">———. ‘El Liber </w:t>
      </w:r>
      <w:r w:rsidR="004F36BC" w:rsidRPr="00A472FC">
        <w:rPr>
          <w:rFonts w:ascii="Times New Roman" w:hAnsi="Times New Roman" w:cs="Times New Roman"/>
          <w:i/>
          <w:iCs/>
        </w:rPr>
        <w:t>D</w:t>
      </w:r>
      <w:r w:rsidRPr="00A472FC">
        <w:rPr>
          <w:rFonts w:ascii="Times New Roman" w:hAnsi="Times New Roman" w:cs="Times New Roman"/>
          <w:i/>
          <w:iCs/>
        </w:rPr>
        <w:t xml:space="preserve">e </w:t>
      </w:r>
      <w:proofErr w:type="spellStart"/>
      <w:r w:rsidRPr="00A472FC">
        <w:rPr>
          <w:rFonts w:ascii="Times New Roman" w:hAnsi="Times New Roman" w:cs="Times New Roman"/>
          <w:i/>
          <w:iCs/>
        </w:rPr>
        <w:t>unitate</w:t>
      </w:r>
      <w:proofErr w:type="spellEnd"/>
      <w:r w:rsidRPr="00A472FC">
        <w:rPr>
          <w:rFonts w:ascii="Times New Roman" w:hAnsi="Times New Roman" w:cs="Times New Roman"/>
          <w:i/>
          <w:iCs/>
        </w:rPr>
        <w:t xml:space="preserve"> et uno</w:t>
      </w:r>
      <w:r w:rsidRPr="00A472FC">
        <w:rPr>
          <w:rFonts w:ascii="Times New Roman" w:hAnsi="Times New Roman" w:cs="Times New Roman"/>
        </w:rPr>
        <w:t>.’ Edited by M. Alonso</w:t>
      </w:r>
      <w:r w:rsidR="00652918" w:rsidRPr="00A472FC">
        <w:rPr>
          <w:rFonts w:ascii="Times New Roman" w:hAnsi="Times New Roman" w:cs="Times New Roman"/>
        </w:rPr>
        <w:t xml:space="preserve"> Alonso.</w:t>
      </w:r>
      <w:r w:rsidRPr="00A472FC">
        <w:rPr>
          <w:rFonts w:ascii="Times New Roman" w:hAnsi="Times New Roman" w:cs="Times New Roman"/>
        </w:rPr>
        <w:t xml:space="preserve"> </w:t>
      </w:r>
      <w:proofErr w:type="spellStart"/>
      <w:r w:rsidRPr="00A472FC">
        <w:rPr>
          <w:rFonts w:ascii="Times New Roman" w:hAnsi="Times New Roman" w:cs="Times New Roman"/>
          <w:i/>
          <w:iCs/>
        </w:rPr>
        <w:t>Pensamiento</w:t>
      </w:r>
      <w:proofErr w:type="spellEnd"/>
      <w:r w:rsidRPr="00A472FC">
        <w:rPr>
          <w:rFonts w:ascii="Times New Roman" w:hAnsi="Times New Roman" w:cs="Times New Roman"/>
          <w:i/>
          <w:iCs/>
        </w:rPr>
        <w:t xml:space="preserve"> </w:t>
      </w:r>
      <w:r w:rsidRPr="00A472FC">
        <w:rPr>
          <w:rFonts w:ascii="Times New Roman" w:hAnsi="Times New Roman" w:cs="Times New Roman"/>
        </w:rPr>
        <w:t>12 (1956): 179-202.</w:t>
      </w:r>
    </w:p>
    <w:p w14:paraId="38A06410" w14:textId="77777777" w:rsidR="00361EB4" w:rsidRPr="00A472FC" w:rsidRDefault="00361EB4" w:rsidP="00361EB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 xml:space="preserve">De </w:t>
      </w:r>
      <w:proofErr w:type="spellStart"/>
      <w:r w:rsidRPr="00A472FC">
        <w:rPr>
          <w:rFonts w:ascii="Times New Roman" w:hAnsi="Times New Roman" w:cs="Times New Roman"/>
          <w:i/>
          <w:iCs/>
        </w:rPr>
        <w:t>processione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mundi</w:t>
      </w:r>
      <w:proofErr w:type="spellEnd"/>
      <w:r w:rsidRPr="00A472FC">
        <w:rPr>
          <w:rFonts w:ascii="Times New Roman" w:hAnsi="Times New Roman" w:cs="Times New Roman"/>
          <w:i/>
          <w:iCs/>
        </w:rPr>
        <w:t>.</w:t>
      </w:r>
      <w:r w:rsidRPr="00A472FC">
        <w:rPr>
          <w:rFonts w:ascii="Times New Roman" w:hAnsi="Times New Roman" w:cs="Times New Roman"/>
        </w:rPr>
        <w:t xml:space="preserve"> Edited by </w:t>
      </w:r>
      <w:proofErr w:type="spellStart"/>
      <w:r w:rsidRPr="00A472FC">
        <w:rPr>
          <w:rFonts w:ascii="Times New Roman" w:hAnsi="Times New Roman" w:cs="Times New Roman"/>
        </w:rPr>
        <w:t>Jesús</w:t>
      </w:r>
      <w:proofErr w:type="spellEnd"/>
      <w:r w:rsidRPr="00A472FC">
        <w:rPr>
          <w:rFonts w:ascii="Times New Roman" w:hAnsi="Times New Roman" w:cs="Times New Roman"/>
        </w:rPr>
        <w:t xml:space="preserve"> Soto Bruno Concepción Alonso del Real. Pamplona: EUNSA, 1999.</w:t>
      </w:r>
    </w:p>
    <w:p w14:paraId="4B1F11C6" w14:textId="2F55AB03" w:rsidR="006A6E61" w:rsidRPr="00A472FC" w:rsidRDefault="006A6E61" w:rsidP="00D6024B">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00D6024B" w:rsidRPr="00A472FC">
        <w:rPr>
          <w:rFonts w:ascii="Times New Roman" w:hAnsi="Times New Roman" w:cs="Times New Roman"/>
          <w:i/>
          <w:iCs/>
        </w:rPr>
        <w:t xml:space="preserve">De </w:t>
      </w:r>
      <w:proofErr w:type="spellStart"/>
      <w:r w:rsidR="00D6024B" w:rsidRPr="00A472FC">
        <w:rPr>
          <w:rFonts w:ascii="Times New Roman" w:hAnsi="Times New Roman" w:cs="Times New Roman"/>
          <w:i/>
          <w:iCs/>
        </w:rPr>
        <w:t>unitate</w:t>
      </w:r>
      <w:proofErr w:type="spellEnd"/>
      <w:r w:rsidR="00D6024B" w:rsidRPr="00A472FC">
        <w:rPr>
          <w:rFonts w:ascii="Times New Roman" w:hAnsi="Times New Roman" w:cs="Times New Roman"/>
          <w:i/>
          <w:iCs/>
        </w:rPr>
        <w:t xml:space="preserve"> et uno de </w:t>
      </w:r>
      <w:proofErr w:type="spellStart"/>
      <w:r w:rsidR="00D6024B" w:rsidRPr="00A472FC">
        <w:rPr>
          <w:rFonts w:ascii="Times New Roman" w:hAnsi="Times New Roman" w:cs="Times New Roman"/>
          <w:i/>
          <w:iCs/>
        </w:rPr>
        <w:t>Dominicus</w:t>
      </w:r>
      <w:proofErr w:type="spellEnd"/>
      <w:r w:rsidR="00D6024B" w:rsidRPr="00A472FC">
        <w:rPr>
          <w:rFonts w:ascii="Times New Roman" w:hAnsi="Times New Roman" w:cs="Times New Roman"/>
          <w:i/>
          <w:iCs/>
        </w:rPr>
        <w:t xml:space="preserve"> </w:t>
      </w:r>
      <w:proofErr w:type="spellStart"/>
      <w:r w:rsidR="00D6024B" w:rsidRPr="00A472FC">
        <w:rPr>
          <w:rFonts w:ascii="Times New Roman" w:hAnsi="Times New Roman" w:cs="Times New Roman"/>
          <w:i/>
          <w:iCs/>
        </w:rPr>
        <w:t>Gundissalinus</w:t>
      </w:r>
      <w:proofErr w:type="spellEnd"/>
      <w:r w:rsidR="00D6024B" w:rsidRPr="00A472FC">
        <w:rPr>
          <w:rFonts w:ascii="Times New Roman" w:hAnsi="Times New Roman" w:cs="Times New Roman"/>
          <w:i/>
          <w:iCs/>
        </w:rPr>
        <w:t>.</w:t>
      </w:r>
      <w:r w:rsidR="00D6024B" w:rsidRPr="00A472FC">
        <w:rPr>
          <w:rFonts w:ascii="Times New Roman" w:hAnsi="Times New Roman" w:cs="Times New Roman"/>
        </w:rPr>
        <w:t xml:space="preserve"> Edited by M.J. Bruno Soto and C. Alonso del Real. Pamplona: EUNSA, 2015.</w:t>
      </w:r>
    </w:p>
    <w:p w14:paraId="13CE8F31" w14:textId="721BFA9C" w:rsidR="00992359" w:rsidRPr="00A472FC" w:rsidRDefault="006A6E61" w:rsidP="00992359">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Gregory of </w:t>
      </w:r>
      <w:proofErr w:type="spellStart"/>
      <w:r w:rsidRPr="00A472FC">
        <w:rPr>
          <w:rFonts w:ascii="Times New Roman" w:hAnsi="Times New Roman" w:cs="Times New Roman"/>
        </w:rPr>
        <w:t>Nyssa</w:t>
      </w:r>
      <w:proofErr w:type="spellEnd"/>
      <w:r w:rsidRPr="00A472FC">
        <w:rPr>
          <w:rFonts w:ascii="Times New Roman" w:hAnsi="Times New Roman" w:cs="Times New Roman"/>
        </w:rPr>
        <w:t xml:space="preserve">. </w:t>
      </w:r>
      <w:proofErr w:type="spellStart"/>
      <w:r w:rsidR="00992359" w:rsidRPr="00A472FC">
        <w:rPr>
          <w:rFonts w:ascii="Times New Roman" w:hAnsi="Times New Roman" w:cs="Times New Roman"/>
          <w:i/>
          <w:iCs/>
        </w:rPr>
        <w:t>Gregorius</w:t>
      </w:r>
      <w:proofErr w:type="spellEnd"/>
      <w:r w:rsidR="00992359" w:rsidRPr="00A472FC">
        <w:rPr>
          <w:rFonts w:ascii="Times New Roman" w:hAnsi="Times New Roman" w:cs="Times New Roman"/>
          <w:i/>
          <w:iCs/>
        </w:rPr>
        <w:t xml:space="preserve"> </w:t>
      </w:r>
      <w:proofErr w:type="spellStart"/>
      <w:r w:rsidR="00992359" w:rsidRPr="00A472FC">
        <w:rPr>
          <w:rFonts w:ascii="Times New Roman" w:hAnsi="Times New Roman" w:cs="Times New Roman"/>
          <w:i/>
          <w:iCs/>
        </w:rPr>
        <w:t>Nyssenus</w:t>
      </w:r>
      <w:proofErr w:type="spellEnd"/>
      <w:r w:rsidR="00992359" w:rsidRPr="00A472FC">
        <w:rPr>
          <w:rFonts w:ascii="Times New Roman" w:hAnsi="Times New Roman" w:cs="Times New Roman"/>
          <w:i/>
          <w:iCs/>
        </w:rPr>
        <w:t xml:space="preserve"> </w:t>
      </w:r>
      <w:proofErr w:type="spellStart"/>
      <w:r w:rsidR="00992359" w:rsidRPr="00A472FC">
        <w:rPr>
          <w:rFonts w:ascii="Times New Roman" w:hAnsi="Times New Roman" w:cs="Times New Roman"/>
          <w:i/>
          <w:iCs/>
        </w:rPr>
        <w:t>Latinus</w:t>
      </w:r>
      <w:proofErr w:type="spellEnd"/>
      <w:r w:rsidR="00992359" w:rsidRPr="00A472FC">
        <w:rPr>
          <w:rFonts w:ascii="Times New Roman" w:hAnsi="Times New Roman" w:cs="Times New Roman"/>
          <w:i/>
          <w:iCs/>
        </w:rPr>
        <w:t xml:space="preserve">. </w:t>
      </w:r>
      <w:r w:rsidR="00992359" w:rsidRPr="00A472FC">
        <w:rPr>
          <w:rFonts w:ascii="Times New Roman" w:hAnsi="Times New Roman" w:cs="Times New Roman"/>
        </w:rPr>
        <w:t xml:space="preserve">Edited by G. Verbeke. Leiden: Brill, 1975. </w:t>
      </w:r>
    </w:p>
    <w:p w14:paraId="0EEF46B5" w14:textId="6A770DE6" w:rsidR="006A6E61" w:rsidRPr="00A472FC" w:rsidRDefault="00992359"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006A6E61" w:rsidRPr="00A472FC">
        <w:rPr>
          <w:rFonts w:ascii="Times New Roman" w:hAnsi="Times New Roman" w:cs="Times New Roman"/>
          <w:i/>
          <w:iCs/>
        </w:rPr>
        <w:t>Gregorii</w:t>
      </w:r>
      <w:proofErr w:type="spellEnd"/>
      <w:r w:rsidR="006A6E61" w:rsidRPr="00A472FC">
        <w:rPr>
          <w:rFonts w:ascii="Times New Roman" w:hAnsi="Times New Roman" w:cs="Times New Roman"/>
          <w:i/>
          <w:iCs/>
        </w:rPr>
        <w:t xml:space="preserve"> </w:t>
      </w:r>
      <w:proofErr w:type="spellStart"/>
      <w:r w:rsidR="006A6E61" w:rsidRPr="00A472FC">
        <w:rPr>
          <w:rFonts w:ascii="Times New Roman" w:hAnsi="Times New Roman" w:cs="Times New Roman"/>
          <w:i/>
          <w:iCs/>
        </w:rPr>
        <w:t>Nysseni</w:t>
      </w:r>
      <w:proofErr w:type="spellEnd"/>
      <w:r w:rsidR="006A6E61" w:rsidRPr="00A472FC">
        <w:rPr>
          <w:rFonts w:ascii="Times New Roman" w:hAnsi="Times New Roman" w:cs="Times New Roman"/>
          <w:i/>
          <w:iCs/>
        </w:rPr>
        <w:t xml:space="preserve"> (</w:t>
      </w:r>
      <w:proofErr w:type="spellStart"/>
      <w:r w:rsidR="006A6E61" w:rsidRPr="00A472FC">
        <w:rPr>
          <w:rFonts w:ascii="Times New Roman" w:hAnsi="Times New Roman" w:cs="Times New Roman"/>
          <w:i/>
          <w:iCs/>
        </w:rPr>
        <w:t>Nemesii</w:t>
      </w:r>
      <w:proofErr w:type="spellEnd"/>
      <w:r w:rsidR="006A6E61" w:rsidRPr="00A472FC">
        <w:rPr>
          <w:rFonts w:ascii="Times New Roman" w:hAnsi="Times New Roman" w:cs="Times New Roman"/>
          <w:i/>
          <w:iCs/>
        </w:rPr>
        <w:t xml:space="preserve"> </w:t>
      </w:r>
      <w:proofErr w:type="spellStart"/>
      <w:r w:rsidR="006A6E61" w:rsidRPr="00A472FC">
        <w:rPr>
          <w:rFonts w:ascii="Times New Roman" w:hAnsi="Times New Roman" w:cs="Times New Roman"/>
          <w:i/>
          <w:iCs/>
        </w:rPr>
        <w:t>Emesini</w:t>
      </w:r>
      <w:proofErr w:type="spellEnd"/>
      <w:r w:rsidR="006A6E61" w:rsidRPr="00A472FC">
        <w:rPr>
          <w:rFonts w:ascii="Times New Roman" w:hAnsi="Times New Roman" w:cs="Times New Roman"/>
          <w:i/>
          <w:iCs/>
        </w:rPr>
        <w:t xml:space="preserve">) Peri </w:t>
      </w:r>
      <w:proofErr w:type="spellStart"/>
      <w:r w:rsidR="006A6E61" w:rsidRPr="00A472FC">
        <w:rPr>
          <w:rFonts w:ascii="Times New Roman" w:hAnsi="Times New Roman" w:cs="Times New Roman"/>
          <w:i/>
          <w:iCs/>
        </w:rPr>
        <w:t>Physeos</w:t>
      </w:r>
      <w:proofErr w:type="spellEnd"/>
      <w:r w:rsidR="006A6E61" w:rsidRPr="00A472FC">
        <w:rPr>
          <w:rFonts w:ascii="Times New Roman" w:hAnsi="Times New Roman" w:cs="Times New Roman"/>
          <w:i/>
          <w:iCs/>
        </w:rPr>
        <w:t xml:space="preserve"> </w:t>
      </w:r>
      <w:proofErr w:type="spellStart"/>
      <w:r w:rsidR="006A6E61" w:rsidRPr="00A472FC">
        <w:rPr>
          <w:rFonts w:ascii="Times New Roman" w:hAnsi="Times New Roman" w:cs="Times New Roman"/>
          <w:i/>
          <w:iCs/>
        </w:rPr>
        <w:t>Anthropou</w:t>
      </w:r>
      <w:proofErr w:type="spellEnd"/>
      <w:r w:rsidR="006A6E61" w:rsidRPr="00A472FC">
        <w:rPr>
          <w:rFonts w:ascii="Times New Roman" w:hAnsi="Times New Roman" w:cs="Times New Roman"/>
          <w:i/>
          <w:iCs/>
        </w:rPr>
        <w:t xml:space="preserve">, liber a </w:t>
      </w:r>
      <w:proofErr w:type="spellStart"/>
      <w:r w:rsidR="006A6E61" w:rsidRPr="00A472FC">
        <w:rPr>
          <w:rFonts w:ascii="Times New Roman" w:hAnsi="Times New Roman" w:cs="Times New Roman"/>
          <w:i/>
          <w:iCs/>
        </w:rPr>
        <w:t>Burgundio</w:t>
      </w:r>
      <w:proofErr w:type="spellEnd"/>
      <w:r w:rsidR="006A6E61" w:rsidRPr="00A472FC">
        <w:rPr>
          <w:rFonts w:ascii="Times New Roman" w:hAnsi="Times New Roman" w:cs="Times New Roman"/>
          <w:i/>
          <w:iCs/>
        </w:rPr>
        <w:t xml:space="preserve"> in </w:t>
      </w:r>
      <w:proofErr w:type="spellStart"/>
      <w:r w:rsidR="006A6E61" w:rsidRPr="00A472FC">
        <w:rPr>
          <w:rFonts w:ascii="Times New Roman" w:hAnsi="Times New Roman" w:cs="Times New Roman"/>
          <w:i/>
          <w:iCs/>
        </w:rPr>
        <w:t>latinam</w:t>
      </w:r>
      <w:proofErr w:type="spellEnd"/>
      <w:r w:rsidR="006A6E61" w:rsidRPr="00A472FC">
        <w:rPr>
          <w:rFonts w:ascii="Times New Roman" w:hAnsi="Times New Roman" w:cs="Times New Roman"/>
          <w:i/>
          <w:iCs/>
        </w:rPr>
        <w:t>.</w:t>
      </w:r>
      <w:r w:rsidR="006A6E61" w:rsidRPr="00A472FC">
        <w:rPr>
          <w:rFonts w:ascii="Times New Roman" w:hAnsi="Times New Roman" w:cs="Times New Roman"/>
        </w:rPr>
        <w:t xml:space="preserve"> Edited by C. </w:t>
      </w:r>
      <w:proofErr w:type="spellStart"/>
      <w:r w:rsidR="006A6E61" w:rsidRPr="00A472FC">
        <w:rPr>
          <w:rFonts w:ascii="Times New Roman" w:hAnsi="Times New Roman" w:cs="Times New Roman"/>
        </w:rPr>
        <w:t>Burkhard</w:t>
      </w:r>
      <w:proofErr w:type="spellEnd"/>
      <w:r w:rsidR="006A6E61" w:rsidRPr="00A472FC">
        <w:rPr>
          <w:rFonts w:ascii="Times New Roman" w:hAnsi="Times New Roman" w:cs="Times New Roman"/>
        </w:rPr>
        <w:t>. Vienna</w:t>
      </w:r>
      <w:r w:rsidR="00B473E0" w:rsidRPr="00A472FC">
        <w:rPr>
          <w:rFonts w:ascii="Times New Roman" w:hAnsi="Times New Roman" w:cs="Times New Roman"/>
        </w:rPr>
        <w:t xml:space="preserve">: B.G. </w:t>
      </w:r>
      <w:proofErr w:type="spellStart"/>
      <w:r w:rsidR="00B473E0" w:rsidRPr="00A472FC">
        <w:rPr>
          <w:rFonts w:ascii="Times New Roman" w:hAnsi="Times New Roman" w:cs="Times New Roman"/>
        </w:rPr>
        <w:t>Teubneri</w:t>
      </w:r>
      <w:proofErr w:type="spellEnd"/>
      <w:r w:rsidR="006A6E61" w:rsidRPr="00A472FC">
        <w:rPr>
          <w:rFonts w:ascii="Times New Roman" w:hAnsi="Times New Roman" w:cs="Times New Roman"/>
        </w:rPr>
        <w:t>, 19</w:t>
      </w:r>
      <w:r w:rsidR="00D44A33" w:rsidRPr="00A472FC">
        <w:rPr>
          <w:rFonts w:ascii="Times New Roman" w:hAnsi="Times New Roman" w:cs="Times New Roman"/>
        </w:rPr>
        <w:t>17/</w:t>
      </w:r>
      <w:r w:rsidR="006A6E61" w:rsidRPr="00A472FC">
        <w:rPr>
          <w:rFonts w:ascii="Times New Roman" w:hAnsi="Times New Roman" w:cs="Times New Roman"/>
        </w:rPr>
        <w:t>81.</w:t>
      </w:r>
    </w:p>
    <w:p w14:paraId="0C783FCF"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On the Making of Man</w:t>
      </w:r>
      <w:r w:rsidRPr="00A472FC">
        <w:rPr>
          <w:rFonts w:ascii="Times New Roman" w:hAnsi="Times New Roman" w:cs="Times New Roman"/>
        </w:rPr>
        <w:t>. Translated by H.A. Wilson. New York: Christian Literature Company, 1893.</w:t>
      </w:r>
    </w:p>
    <w:p w14:paraId="7C34A88F" w14:textId="7E82E9FC"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Guerric</w:t>
      </w:r>
      <w:proofErr w:type="spellEnd"/>
      <w:r w:rsidRPr="00A472FC">
        <w:rPr>
          <w:rFonts w:ascii="Times New Roman" w:hAnsi="Times New Roman" w:cs="Times New Roman"/>
        </w:rPr>
        <w:t xml:space="preserve"> of Saint-Quentin. </w:t>
      </w:r>
      <w:proofErr w:type="spellStart"/>
      <w:r w:rsidRPr="00A472FC">
        <w:rPr>
          <w:rFonts w:ascii="Times New Roman" w:hAnsi="Times New Roman" w:cs="Times New Roman"/>
          <w:i/>
          <w:iCs/>
        </w:rPr>
        <w:t>Quaestiones</w:t>
      </w:r>
      <w:proofErr w:type="spellEnd"/>
      <w:r w:rsidRPr="00A472FC">
        <w:rPr>
          <w:rFonts w:ascii="Times New Roman" w:hAnsi="Times New Roman" w:cs="Times New Roman"/>
          <w:i/>
          <w:iCs/>
        </w:rPr>
        <w:t xml:space="preserve"> de quo</w:t>
      </w:r>
      <w:r w:rsidR="004D4D87" w:rsidRPr="00A472FC">
        <w:rPr>
          <w:rFonts w:ascii="Times New Roman" w:hAnsi="Times New Roman" w:cs="Times New Roman"/>
          <w:i/>
          <w:iCs/>
        </w:rPr>
        <w:t>d</w:t>
      </w:r>
      <w:r w:rsidRPr="00A472FC">
        <w:rPr>
          <w:rFonts w:ascii="Times New Roman" w:hAnsi="Times New Roman" w:cs="Times New Roman"/>
          <w:i/>
          <w:iCs/>
        </w:rPr>
        <w:t>libet</w:t>
      </w:r>
      <w:r w:rsidR="00227DFA" w:rsidRPr="00A472FC">
        <w:rPr>
          <w:rFonts w:ascii="Times New Roman" w:hAnsi="Times New Roman" w:cs="Times New Roman"/>
          <w:i/>
          <w:iCs/>
        </w:rPr>
        <w:t>:</w:t>
      </w:r>
      <w:r w:rsidRPr="00A472FC">
        <w:rPr>
          <w:rFonts w:ascii="Times New Roman" w:hAnsi="Times New Roman" w:cs="Times New Roman"/>
          <w:i/>
          <w:iCs/>
        </w:rPr>
        <w:t xml:space="preserve"> A Critical Edition.</w:t>
      </w:r>
      <w:r w:rsidRPr="00A472FC">
        <w:rPr>
          <w:rFonts w:ascii="Times New Roman" w:hAnsi="Times New Roman" w:cs="Times New Roman"/>
        </w:rPr>
        <w:t xml:space="preserve"> Edited by Walter H. Principe. Toronto: Pontific</w:t>
      </w:r>
      <w:r w:rsidR="00227DFA" w:rsidRPr="00A472FC">
        <w:rPr>
          <w:rFonts w:ascii="Times New Roman" w:hAnsi="Times New Roman" w:cs="Times New Roman"/>
        </w:rPr>
        <w:t>a</w:t>
      </w:r>
      <w:r w:rsidRPr="00A472FC">
        <w:rPr>
          <w:rFonts w:ascii="Times New Roman" w:hAnsi="Times New Roman" w:cs="Times New Roman"/>
        </w:rPr>
        <w:t>l Institute of Mediaeval Studies, 2002.</w:t>
      </w:r>
    </w:p>
    <w:p w14:paraId="405ED68E" w14:textId="433B1D42" w:rsidR="00AA73A5" w:rsidRPr="00A472FC" w:rsidRDefault="00AA73A5"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Johannitius</w:t>
      </w:r>
      <w:proofErr w:type="spellEnd"/>
      <w:r w:rsidRPr="00A472FC">
        <w:rPr>
          <w:rFonts w:ascii="Times New Roman" w:hAnsi="Times New Roman" w:cs="Times New Roman"/>
        </w:rPr>
        <w:t>. ‘</w:t>
      </w:r>
      <w:proofErr w:type="spellStart"/>
      <w:r w:rsidRPr="00A472FC">
        <w:rPr>
          <w:rFonts w:ascii="Times New Roman" w:hAnsi="Times New Roman" w:cs="Times New Roman"/>
        </w:rPr>
        <w:t>Johannicius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iCs/>
        </w:rPr>
        <w:t>Isagoge</w:t>
      </w:r>
      <w:proofErr w:type="spellEnd"/>
      <w:r w:rsidRPr="00A472FC">
        <w:rPr>
          <w:rFonts w:ascii="Times New Roman" w:hAnsi="Times New Roman" w:cs="Times New Roman"/>
          <w:i/>
          <w:iCs/>
        </w:rPr>
        <w:t xml:space="preserve"> ad </w:t>
      </w:r>
      <w:proofErr w:type="spellStart"/>
      <w:r w:rsidRPr="00A472FC">
        <w:rPr>
          <w:rFonts w:ascii="Times New Roman" w:hAnsi="Times New Roman" w:cs="Times New Roman"/>
          <w:i/>
          <w:iCs/>
        </w:rPr>
        <w:t>Techne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Galieni</w:t>
      </w:r>
      <w:proofErr w:type="spellEnd"/>
      <w:r w:rsidRPr="00A472FC">
        <w:rPr>
          <w:rFonts w:ascii="Times New Roman" w:hAnsi="Times New Roman" w:cs="Times New Roman"/>
        </w:rPr>
        <w:t xml:space="preserve">.’ Edited by Gregor </w:t>
      </w:r>
      <w:proofErr w:type="spellStart"/>
      <w:r w:rsidRPr="00A472FC">
        <w:rPr>
          <w:rFonts w:ascii="Times New Roman" w:hAnsi="Times New Roman" w:cs="Times New Roman"/>
        </w:rPr>
        <w:t>Maurach</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iCs/>
        </w:rPr>
        <w:t>Sudhoffs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Archiv</w:t>
      </w:r>
      <w:proofErr w:type="spellEnd"/>
      <w:r w:rsidRPr="00A472FC">
        <w:rPr>
          <w:rFonts w:ascii="Times New Roman" w:hAnsi="Times New Roman" w:cs="Times New Roman"/>
        </w:rPr>
        <w:t xml:space="preserve"> 62:2 (1978:2)</w:t>
      </w:r>
      <w:r w:rsidR="002C415C" w:rsidRPr="00A472FC">
        <w:rPr>
          <w:rFonts w:ascii="Times New Roman" w:hAnsi="Times New Roman" w:cs="Times New Roman"/>
        </w:rPr>
        <w:t>:</w:t>
      </w:r>
      <w:r w:rsidRPr="00A472FC">
        <w:rPr>
          <w:rFonts w:ascii="Times New Roman" w:hAnsi="Times New Roman" w:cs="Times New Roman"/>
        </w:rPr>
        <w:t xml:space="preserve"> 148-74. </w:t>
      </w:r>
    </w:p>
    <w:p w14:paraId="0B337747" w14:textId="2ED00078"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John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w:t>
      </w:r>
      <w:proofErr w:type="spellStart"/>
      <w:r w:rsidR="00B82AC4" w:rsidRPr="00A472FC">
        <w:rPr>
          <w:rFonts w:ascii="Times New Roman" w:hAnsi="Times New Roman" w:cs="Times New Roman"/>
          <w:i/>
          <w:iCs/>
        </w:rPr>
        <w:t>Iohannes</w:t>
      </w:r>
      <w:proofErr w:type="spellEnd"/>
      <w:r w:rsidR="00B82AC4" w:rsidRPr="00A472FC">
        <w:rPr>
          <w:rFonts w:ascii="Times New Roman" w:hAnsi="Times New Roman" w:cs="Times New Roman"/>
          <w:i/>
          <w:iCs/>
        </w:rPr>
        <w:t xml:space="preserve"> </w:t>
      </w:r>
      <w:proofErr w:type="spellStart"/>
      <w:r w:rsidR="00B82AC4" w:rsidRPr="00A472FC">
        <w:rPr>
          <w:rFonts w:ascii="Times New Roman" w:hAnsi="Times New Roman" w:cs="Times New Roman"/>
          <w:i/>
          <w:iCs/>
        </w:rPr>
        <w:t>Blund</w:t>
      </w:r>
      <w:proofErr w:type="spellEnd"/>
      <w:r w:rsidR="00B82AC4" w:rsidRPr="00A472FC">
        <w:rPr>
          <w:rFonts w:ascii="Times New Roman" w:hAnsi="Times New Roman" w:cs="Times New Roman"/>
          <w:i/>
          <w:iCs/>
        </w:rPr>
        <w:t xml:space="preserve"> </w:t>
      </w:r>
      <w:proofErr w:type="spellStart"/>
      <w:r w:rsidR="00B82AC4" w:rsidRPr="00A472FC">
        <w:rPr>
          <w:rFonts w:ascii="Times New Roman" w:hAnsi="Times New Roman" w:cs="Times New Roman"/>
          <w:i/>
          <w:iCs/>
        </w:rPr>
        <w:t>Tractatus</w:t>
      </w:r>
      <w:proofErr w:type="spellEnd"/>
      <w:r w:rsidR="00B82AC4" w:rsidRPr="00A472FC">
        <w:rPr>
          <w:rFonts w:ascii="Times New Roman" w:hAnsi="Times New Roman" w:cs="Times New Roman"/>
          <w:i/>
          <w:iCs/>
        </w:rPr>
        <w:t xml:space="preserve"> De anima </w:t>
      </w:r>
      <w:r w:rsidR="00B82AC4" w:rsidRPr="00A472FC">
        <w:rPr>
          <w:rFonts w:ascii="Times New Roman" w:hAnsi="Times New Roman" w:cs="Times New Roman"/>
        </w:rPr>
        <w:t>(</w:t>
      </w:r>
      <w:r w:rsidRPr="00A472FC">
        <w:rPr>
          <w:rFonts w:ascii="Times New Roman" w:hAnsi="Times New Roman" w:cs="Times New Roman"/>
          <w:i/>
          <w:iCs/>
        </w:rPr>
        <w:t>Treatise on the Soul</w:t>
      </w:r>
      <w:r w:rsidR="00B82AC4" w:rsidRPr="00A472FC">
        <w:rPr>
          <w:rFonts w:ascii="Times New Roman" w:hAnsi="Times New Roman" w:cs="Times New Roman"/>
        </w:rPr>
        <w:t>)</w:t>
      </w:r>
      <w:r w:rsidRPr="00A472FC">
        <w:rPr>
          <w:rFonts w:ascii="Times New Roman" w:hAnsi="Times New Roman" w:cs="Times New Roman"/>
          <w:i/>
          <w:iCs/>
        </w:rPr>
        <w:t>.</w:t>
      </w:r>
      <w:r w:rsidRPr="00A472FC">
        <w:rPr>
          <w:rFonts w:ascii="Times New Roman" w:hAnsi="Times New Roman" w:cs="Times New Roman"/>
        </w:rPr>
        <w:t xml:space="preserve"> </w:t>
      </w:r>
      <w:proofErr w:type="spellStart"/>
      <w:r w:rsidR="00B82AC4" w:rsidRPr="00A472FC">
        <w:rPr>
          <w:rFonts w:ascii="Times New Roman" w:hAnsi="Times New Roman" w:cs="Times New Roman"/>
        </w:rPr>
        <w:t>Auctores</w:t>
      </w:r>
      <w:proofErr w:type="spellEnd"/>
      <w:r w:rsidR="00B82AC4" w:rsidRPr="00A472FC">
        <w:rPr>
          <w:rFonts w:ascii="Times New Roman" w:hAnsi="Times New Roman" w:cs="Times New Roman"/>
        </w:rPr>
        <w:t xml:space="preserve"> </w:t>
      </w:r>
      <w:proofErr w:type="spellStart"/>
      <w:r w:rsidR="00B82AC4" w:rsidRPr="00A472FC">
        <w:rPr>
          <w:rFonts w:ascii="Times New Roman" w:hAnsi="Times New Roman" w:cs="Times New Roman"/>
        </w:rPr>
        <w:t>Britannici</w:t>
      </w:r>
      <w:proofErr w:type="spellEnd"/>
      <w:r w:rsidR="00B82AC4" w:rsidRPr="00A472FC">
        <w:rPr>
          <w:rFonts w:ascii="Times New Roman" w:hAnsi="Times New Roman" w:cs="Times New Roman"/>
        </w:rPr>
        <w:t xml:space="preserve"> </w:t>
      </w:r>
      <w:proofErr w:type="spellStart"/>
      <w:r w:rsidR="00B82AC4" w:rsidRPr="00A472FC">
        <w:rPr>
          <w:rFonts w:ascii="Times New Roman" w:hAnsi="Times New Roman" w:cs="Times New Roman"/>
        </w:rPr>
        <w:t>Medii</w:t>
      </w:r>
      <w:proofErr w:type="spellEnd"/>
      <w:r w:rsidR="00B82AC4" w:rsidRPr="00A472FC">
        <w:rPr>
          <w:rFonts w:ascii="Times New Roman" w:hAnsi="Times New Roman" w:cs="Times New Roman"/>
        </w:rPr>
        <w:t xml:space="preserve"> </w:t>
      </w:r>
      <w:proofErr w:type="spellStart"/>
      <w:r w:rsidR="00B82AC4" w:rsidRPr="00A472FC">
        <w:rPr>
          <w:rFonts w:ascii="Times New Roman" w:hAnsi="Times New Roman" w:cs="Times New Roman"/>
        </w:rPr>
        <w:t>Aevi</w:t>
      </w:r>
      <w:proofErr w:type="spellEnd"/>
      <w:r w:rsidR="00B82AC4" w:rsidRPr="00A472FC">
        <w:rPr>
          <w:rFonts w:ascii="Times New Roman" w:hAnsi="Times New Roman" w:cs="Times New Roman"/>
        </w:rPr>
        <w:t xml:space="preserve">, vol. 2. </w:t>
      </w:r>
      <w:r w:rsidRPr="00A472FC">
        <w:rPr>
          <w:rFonts w:ascii="Times New Roman" w:hAnsi="Times New Roman" w:cs="Times New Roman"/>
        </w:rPr>
        <w:t xml:space="preserve">Translated by Michael W. </w:t>
      </w:r>
      <w:proofErr w:type="spellStart"/>
      <w:r w:rsidRPr="00A472FC">
        <w:rPr>
          <w:rFonts w:ascii="Times New Roman" w:hAnsi="Times New Roman" w:cs="Times New Roman"/>
        </w:rPr>
        <w:t>Dunne</w:t>
      </w:r>
      <w:proofErr w:type="spellEnd"/>
      <w:r w:rsidRPr="00A472FC">
        <w:rPr>
          <w:rFonts w:ascii="Times New Roman" w:hAnsi="Times New Roman" w:cs="Times New Roman"/>
        </w:rPr>
        <w:t>. Edited by D.A. Callus and R.W. Hunt. London: British Academy, 2012.</w:t>
      </w:r>
    </w:p>
    <w:p w14:paraId="5073A60D" w14:textId="63A80046"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John of Damascus. </w:t>
      </w:r>
      <w:r w:rsidRPr="00A472FC">
        <w:rPr>
          <w:rFonts w:ascii="Times New Roman" w:hAnsi="Times New Roman" w:cs="Times New Roman"/>
          <w:i/>
          <w:iCs/>
        </w:rPr>
        <w:t xml:space="preserve">De Fide </w:t>
      </w:r>
      <w:proofErr w:type="spellStart"/>
      <w:r w:rsidRPr="00A472FC">
        <w:rPr>
          <w:rFonts w:ascii="Times New Roman" w:hAnsi="Times New Roman" w:cs="Times New Roman"/>
          <w:i/>
          <w:iCs/>
        </w:rPr>
        <w:t>Orthodoxa</w:t>
      </w:r>
      <w:proofErr w:type="spellEnd"/>
      <w:r w:rsidRPr="00A472FC">
        <w:rPr>
          <w:rFonts w:ascii="Times New Roman" w:hAnsi="Times New Roman" w:cs="Times New Roman"/>
          <w:i/>
          <w:iCs/>
        </w:rPr>
        <w:t xml:space="preserve">: Versions of </w:t>
      </w:r>
      <w:proofErr w:type="spellStart"/>
      <w:r w:rsidRPr="00A472FC">
        <w:rPr>
          <w:rFonts w:ascii="Times New Roman" w:hAnsi="Times New Roman" w:cs="Times New Roman"/>
          <w:i/>
          <w:iCs/>
        </w:rPr>
        <w:t>Burgundio</w:t>
      </w:r>
      <w:proofErr w:type="spellEnd"/>
      <w:r w:rsidRPr="00A472FC">
        <w:rPr>
          <w:rFonts w:ascii="Times New Roman" w:hAnsi="Times New Roman" w:cs="Times New Roman"/>
          <w:i/>
          <w:iCs/>
        </w:rPr>
        <w:t xml:space="preserve"> and </w:t>
      </w:r>
      <w:proofErr w:type="spellStart"/>
      <w:r w:rsidRPr="00A472FC">
        <w:rPr>
          <w:rFonts w:ascii="Times New Roman" w:hAnsi="Times New Roman" w:cs="Times New Roman"/>
          <w:i/>
          <w:iCs/>
        </w:rPr>
        <w:t>Cerbanus</w:t>
      </w:r>
      <w:proofErr w:type="spellEnd"/>
      <w:r w:rsidRPr="00A472FC">
        <w:rPr>
          <w:rFonts w:ascii="Times New Roman" w:hAnsi="Times New Roman" w:cs="Times New Roman"/>
          <w:i/>
          <w:iCs/>
        </w:rPr>
        <w:t>.</w:t>
      </w:r>
      <w:r w:rsidRPr="00A472FC">
        <w:rPr>
          <w:rFonts w:ascii="Times New Roman" w:hAnsi="Times New Roman" w:cs="Times New Roman"/>
        </w:rPr>
        <w:t xml:space="preserve"> Edited by </w:t>
      </w:r>
      <w:proofErr w:type="spellStart"/>
      <w:r w:rsidRPr="00A472FC">
        <w:rPr>
          <w:rFonts w:ascii="Times New Roman" w:hAnsi="Times New Roman" w:cs="Times New Roman"/>
        </w:rPr>
        <w:t>Eligius</w:t>
      </w:r>
      <w:proofErr w:type="spellEnd"/>
      <w:r w:rsidRPr="00A472FC">
        <w:rPr>
          <w:rFonts w:ascii="Times New Roman" w:hAnsi="Times New Roman" w:cs="Times New Roman"/>
        </w:rPr>
        <w:t xml:space="preserve"> M. </w:t>
      </w:r>
      <w:proofErr w:type="spellStart"/>
      <w:r w:rsidRPr="00A472FC">
        <w:rPr>
          <w:rFonts w:ascii="Times New Roman" w:hAnsi="Times New Roman" w:cs="Times New Roman"/>
        </w:rPr>
        <w:t>Buytaert</w:t>
      </w:r>
      <w:proofErr w:type="spellEnd"/>
      <w:r w:rsidRPr="00A472FC">
        <w:rPr>
          <w:rFonts w:ascii="Times New Roman" w:hAnsi="Times New Roman" w:cs="Times New Roman"/>
        </w:rPr>
        <w:t>. St Bonaventure: Franciscan Institute Publications, 1955.</w:t>
      </w:r>
    </w:p>
    <w:p w14:paraId="7FB61098" w14:textId="511D5F8B"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John of La Rochelle. </w:t>
      </w:r>
      <w:proofErr w:type="spellStart"/>
      <w:r w:rsidRPr="00A472FC">
        <w:rPr>
          <w:rFonts w:ascii="Times New Roman" w:hAnsi="Times New Roman" w:cs="Times New Roman"/>
          <w:i/>
          <w:iCs/>
        </w:rPr>
        <w:t>Tractatus</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divisione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multiplici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potentiarum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animae</w:t>
      </w:r>
      <w:proofErr w:type="spellEnd"/>
      <w:r w:rsidR="00797F66" w:rsidRPr="00A472FC">
        <w:rPr>
          <w:rFonts w:ascii="Times New Roman" w:hAnsi="Times New Roman" w:cs="Times New Roman"/>
          <w:i/>
          <w:iCs/>
        </w:rPr>
        <w:t>:</w:t>
      </w:r>
      <w:r w:rsidRPr="00A472FC">
        <w:rPr>
          <w:rFonts w:ascii="Times New Roman" w:hAnsi="Times New Roman" w:cs="Times New Roman"/>
          <w:i/>
          <w:iCs/>
        </w:rPr>
        <w:t xml:space="preserve"> </w:t>
      </w:r>
      <w:proofErr w:type="spellStart"/>
      <w:r w:rsidR="00797F66" w:rsidRPr="00A472FC">
        <w:rPr>
          <w:rFonts w:ascii="Times New Roman" w:hAnsi="Times New Roman" w:cs="Times New Roman"/>
          <w:i/>
          <w:iCs/>
        </w:rPr>
        <w:t>t</w:t>
      </w:r>
      <w:r w:rsidRPr="00A472FC">
        <w:rPr>
          <w:rFonts w:ascii="Times New Roman" w:hAnsi="Times New Roman" w:cs="Times New Roman"/>
          <w:i/>
          <w:iCs/>
        </w:rPr>
        <w:t>exte</w:t>
      </w:r>
      <w:proofErr w:type="spellEnd"/>
      <w:r w:rsidRPr="00A472FC">
        <w:rPr>
          <w:rFonts w:ascii="Times New Roman" w:hAnsi="Times New Roman" w:cs="Times New Roman"/>
          <w:i/>
          <w:iCs/>
        </w:rPr>
        <w:t xml:space="preserve"> critique </w:t>
      </w:r>
      <w:proofErr w:type="spellStart"/>
      <w:r w:rsidRPr="00A472FC">
        <w:rPr>
          <w:rFonts w:ascii="Times New Roman" w:hAnsi="Times New Roman" w:cs="Times New Roman"/>
          <w:i/>
          <w:iCs/>
        </w:rPr>
        <w:t>avec</w:t>
      </w:r>
      <w:proofErr w:type="spellEnd"/>
      <w:r w:rsidRPr="00A472FC">
        <w:rPr>
          <w:rFonts w:ascii="Times New Roman" w:hAnsi="Times New Roman" w:cs="Times New Roman"/>
          <w:i/>
          <w:iCs/>
        </w:rPr>
        <w:t xml:space="preserve"> introduction, notes et tables.</w:t>
      </w:r>
      <w:r w:rsidRPr="00A472FC">
        <w:rPr>
          <w:rFonts w:ascii="Times New Roman" w:hAnsi="Times New Roman" w:cs="Times New Roman"/>
        </w:rPr>
        <w:t xml:space="preserve"> Edited by Pierre </w:t>
      </w:r>
      <w:proofErr w:type="spellStart"/>
      <w:r w:rsidRPr="00A472FC">
        <w:rPr>
          <w:rFonts w:ascii="Times New Roman" w:hAnsi="Times New Roman" w:cs="Times New Roman"/>
        </w:rPr>
        <w:t>Michaud-Quantin</w:t>
      </w:r>
      <w:proofErr w:type="spellEnd"/>
      <w:r w:rsidRPr="00A472FC">
        <w:rPr>
          <w:rFonts w:ascii="Times New Roman" w:hAnsi="Times New Roman" w:cs="Times New Roman"/>
        </w:rPr>
        <w:t xml:space="preserve">. Paris: </w:t>
      </w:r>
      <w:proofErr w:type="spellStart"/>
      <w:r w:rsidRPr="00A472FC">
        <w:rPr>
          <w:rFonts w:ascii="Times New Roman" w:hAnsi="Times New Roman" w:cs="Times New Roman"/>
        </w:rPr>
        <w:t>Vrin</w:t>
      </w:r>
      <w:proofErr w:type="spellEnd"/>
      <w:r w:rsidRPr="00A472FC">
        <w:rPr>
          <w:rFonts w:ascii="Times New Roman" w:hAnsi="Times New Roman" w:cs="Times New Roman"/>
        </w:rPr>
        <w:t>, 1964.</w:t>
      </w:r>
    </w:p>
    <w:p w14:paraId="06A78930"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Summa de anima.</w:t>
      </w:r>
      <w:r w:rsidRPr="00A472FC">
        <w:rPr>
          <w:rFonts w:ascii="Times New Roman" w:hAnsi="Times New Roman" w:cs="Times New Roman"/>
        </w:rPr>
        <w:t xml:space="preserve"> Edited by Jacques Guy </w:t>
      </w:r>
      <w:proofErr w:type="spellStart"/>
      <w:r w:rsidRPr="00A472FC">
        <w:rPr>
          <w:rFonts w:ascii="Times New Roman" w:hAnsi="Times New Roman" w:cs="Times New Roman"/>
        </w:rPr>
        <w:t>Bougerol</w:t>
      </w:r>
      <w:proofErr w:type="spellEnd"/>
      <w:r w:rsidRPr="00A472FC">
        <w:rPr>
          <w:rFonts w:ascii="Times New Roman" w:hAnsi="Times New Roman" w:cs="Times New Roman"/>
        </w:rPr>
        <w:t xml:space="preserve">. Paris: </w:t>
      </w:r>
      <w:proofErr w:type="spellStart"/>
      <w:r w:rsidRPr="00A472FC">
        <w:rPr>
          <w:rFonts w:ascii="Times New Roman" w:hAnsi="Times New Roman" w:cs="Times New Roman"/>
        </w:rPr>
        <w:t>Vrin</w:t>
      </w:r>
      <w:proofErr w:type="spellEnd"/>
      <w:r w:rsidRPr="00A472FC">
        <w:rPr>
          <w:rFonts w:ascii="Times New Roman" w:hAnsi="Times New Roman" w:cs="Times New Roman"/>
        </w:rPr>
        <w:t>, 1995.</w:t>
      </w:r>
    </w:p>
    <w:p w14:paraId="6446B48D" w14:textId="269FFF9F" w:rsidR="006A6E61"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 xml:space="preserve">Somme de </w:t>
      </w:r>
      <w:proofErr w:type="spellStart"/>
      <w:r w:rsidRPr="00A472FC">
        <w:rPr>
          <w:rFonts w:ascii="Times New Roman" w:hAnsi="Times New Roman" w:cs="Times New Roman"/>
          <w:i/>
          <w:iCs/>
        </w:rPr>
        <w:t>l’</w:t>
      </w:r>
      <w:r w:rsidR="00D71B3E" w:rsidRPr="00A472FC">
        <w:rPr>
          <w:rFonts w:ascii="Times New Roman" w:hAnsi="Times New Roman" w:cs="Times New Roman"/>
          <w:i/>
          <w:iCs/>
        </w:rPr>
        <w:t>â</w:t>
      </w:r>
      <w:r w:rsidRPr="00A472FC">
        <w:rPr>
          <w:rFonts w:ascii="Times New Roman" w:hAnsi="Times New Roman" w:cs="Times New Roman"/>
          <w:i/>
          <w:iCs/>
        </w:rPr>
        <w:t>me</w:t>
      </w:r>
      <w:proofErr w:type="spellEnd"/>
      <w:r w:rsidRPr="00A472FC">
        <w:rPr>
          <w:rFonts w:ascii="Times New Roman" w:hAnsi="Times New Roman" w:cs="Times New Roman"/>
          <w:i/>
          <w:iCs/>
        </w:rPr>
        <w:t>.</w:t>
      </w:r>
      <w:r w:rsidRPr="00A472FC">
        <w:rPr>
          <w:rFonts w:ascii="Times New Roman" w:hAnsi="Times New Roman" w:cs="Times New Roman"/>
        </w:rPr>
        <w:t xml:space="preserve"> Translated by J.M. Vernier. Introduction by L.-J. </w:t>
      </w:r>
      <w:proofErr w:type="spellStart"/>
      <w:r w:rsidRPr="00A472FC">
        <w:rPr>
          <w:rFonts w:ascii="Times New Roman" w:hAnsi="Times New Roman" w:cs="Times New Roman"/>
        </w:rPr>
        <w:t>Bataillon</w:t>
      </w:r>
      <w:proofErr w:type="spellEnd"/>
      <w:r w:rsidRPr="00A472FC">
        <w:rPr>
          <w:rFonts w:ascii="Times New Roman" w:hAnsi="Times New Roman" w:cs="Times New Roman"/>
        </w:rPr>
        <w:t xml:space="preserve">. Paris: </w:t>
      </w:r>
      <w:proofErr w:type="spellStart"/>
      <w:r w:rsidRPr="00A472FC">
        <w:rPr>
          <w:rFonts w:ascii="Times New Roman" w:hAnsi="Times New Roman" w:cs="Times New Roman"/>
        </w:rPr>
        <w:t>Vrin</w:t>
      </w:r>
      <w:proofErr w:type="spellEnd"/>
      <w:r w:rsidRPr="00A472FC">
        <w:rPr>
          <w:rFonts w:ascii="Times New Roman" w:hAnsi="Times New Roman" w:cs="Times New Roman"/>
        </w:rPr>
        <w:t>, 2001.</w:t>
      </w:r>
    </w:p>
    <w:p w14:paraId="631E504D" w14:textId="15E221ED" w:rsidR="00A659D5" w:rsidRPr="00A472FC" w:rsidRDefault="00A659D5"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w:t>
      </w:r>
      <w:r>
        <w:rPr>
          <w:rFonts w:ascii="Times New Roman" w:hAnsi="Times New Roman" w:cs="Times New Roman"/>
        </w:rPr>
        <w:t xml:space="preserve"> </w:t>
      </w:r>
      <w:proofErr w:type="spellStart"/>
      <w:r w:rsidRPr="00684858">
        <w:rPr>
          <w:rFonts w:ascii="Times New Roman" w:hAnsi="Times New Roman" w:cs="Times New Roman"/>
          <w:i/>
          <w:iCs/>
        </w:rPr>
        <w:t>Iohannis</w:t>
      </w:r>
      <w:proofErr w:type="spellEnd"/>
      <w:r w:rsidRPr="00684858">
        <w:rPr>
          <w:rFonts w:ascii="Times New Roman" w:hAnsi="Times New Roman" w:cs="Times New Roman"/>
          <w:i/>
          <w:iCs/>
        </w:rPr>
        <w:t xml:space="preserve"> de </w:t>
      </w:r>
      <w:proofErr w:type="spellStart"/>
      <w:r w:rsidRPr="00684858">
        <w:rPr>
          <w:rFonts w:ascii="Times New Roman" w:hAnsi="Times New Roman" w:cs="Times New Roman"/>
          <w:i/>
          <w:iCs/>
        </w:rPr>
        <w:t>Rupella</w:t>
      </w:r>
      <w:proofErr w:type="spellEnd"/>
      <w:r w:rsidR="00684858" w:rsidRPr="00684858">
        <w:rPr>
          <w:rFonts w:ascii="Times New Roman" w:hAnsi="Times New Roman" w:cs="Times New Roman"/>
          <w:i/>
          <w:iCs/>
        </w:rPr>
        <w:t xml:space="preserve">, </w:t>
      </w:r>
      <w:proofErr w:type="spellStart"/>
      <w:r w:rsidRPr="00684858">
        <w:rPr>
          <w:rFonts w:ascii="Times New Roman" w:hAnsi="Times New Roman" w:cs="Times New Roman"/>
          <w:i/>
          <w:iCs/>
        </w:rPr>
        <w:t>Quaestiones</w:t>
      </w:r>
      <w:proofErr w:type="spellEnd"/>
      <w:r w:rsidRPr="00684858">
        <w:rPr>
          <w:rFonts w:ascii="Times New Roman" w:hAnsi="Times New Roman" w:cs="Times New Roman"/>
          <w:i/>
          <w:iCs/>
        </w:rPr>
        <w:t xml:space="preserve"> </w:t>
      </w:r>
      <w:proofErr w:type="spellStart"/>
      <w:r w:rsidRPr="00684858">
        <w:rPr>
          <w:rFonts w:ascii="Times New Roman" w:hAnsi="Times New Roman" w:cs="Times New Roman"/>
          <w:i/>
          <w:iCs/>
        </w:rPr>
        <w:t>Disputatae</w:t>
      </w:r>
      <w:proofErr w:type="spellEnd"/>
      <w:r w:rsidRPr="00684858">
        <w:rPr>
          <w:rFonts w:ascii="Times New Roman" w:hAnsi="Times New Roman" w:cs="Times New Roman"/>
          <w:i/>
          <w:iCs/>
        </w:rPr>
        <w:t xml:space="preserve"> de </w:t>
      </w:r>
      <w:proofErr w:type="spellStart"/>
      <w:r w:rsidRPr="00684858">
        <w:rPr>
          <w:rFonts w:ascii="Times New Roman" w:hAnsi="Times New Roman" w:cs="Times New Roman"/>
          <w:i/>
          <w:iCs/>
        </w:rPr>
        <w:t>legibus</w:t>
      </w:r>
      <w:proofErr w:type="spellEnd"/>
      <w:r>
        <w:rPr>
          <w:rFonts w:ascii="Times New Roman" w:hAnsi="Times New Roman" w:cs="Times New Roman"/>
        </w:rPr>
        <w:t xml:space="preserve">. Edited by Riccardo Saccenti. Rome: Collegii S. Bonaventurae, 2021. </w:t>
      </w:r>
    </w:p>
    <w:p w14:paraId="07897552"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Hugh of St Victor. </w:t>
      </w:r>
      <w:proofErr w:type="spellStart"/>
      <w:r w:rsidRPr="00A472FC">
        <w:rPr>
          <w:rFonts w:ascii="Times New Roman" w:hAnsi="Times New Roman" w:cs="Times New Roman"/>
          <w:i/>
          <w:iCs/>
        </w:rPr>
        <w:t>Didascalicon</w:t>
      </w:r>
      <w:proofErr w:type="spellEnd"/>
      <w:r w:rsidRPr="00A472FC">
        <w:rPr>
          <w:rFonts w:ascii="Times New Roman" w:hAnsi="Times New Roman" w:cs="Times New Roman"/>
          <w:i/>
          <w:iCs/>
        </w:rPr>
        <w:t xml:space="preserve">, </w:t>
      </w:r>
      <w:r w:rsidRPr="00A472FC">
        <w:rPr>
          <w:rFonts w:ascii="Times New Roman" w:hAnsi="Times New Roman" w:cs="Times New Roman"/>
        </w:rPr>
        <w:t>vol. II.5</w:t>
      </w:r>
      <w:r w:rsidRPr="00A472FC">
        <w:rPr>
          <w:rFonts w:ascii="Times New Roman" w:hAnsi="Times New Roman" w:cs="Times New Roman"/>
          <w:i/>
          <w:iCs/>
        </w:rPr>
        <w:t>.</w:t>
      </w:r>
      <w:r w:rsidRPr="00A472FC">
        <w:rPr>
          <w:rFonts w:ascii="Times New Roman" w:hAnsi="Times New Roman" w:cs="Times New Roman"/>
        </w:rPr>
        <w:t xml:space="preserve"> Edited by H. </w:t>
      </w:r>
      <w:proofErr w:type="spellStart"/>
      <w:r w:rsidRPr="00A472FC">
        <w:rPr>
          <w:rFonts w:ascii="Times New Roman" w:hAnsi="Times New Roman" w:cs="Times New Roman"/>
        </w:rPr>
        <w:t>Buttimer</w:t>
      </w:r>
      <w:proofErr w:type="spellEnd"/>
      <w:r w:rsidRPr="00A472FC">
        <w:rPr>
          <w:rFonts w:ascii="Times New Roman" w:hAnsi="Times New Roman" w:cs="Times New Roman"/>
        </w:rPr>
        <w:t>. Washington: The Catholic University Press, 1939.</w:t>
      </w:r>
    </w:p>
    <w:p w14:paraId="3F667413"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Nemesius</w:t>
      </w:r>
      <w:proofErr w:type="spellEnd"/>
      <w:r w:rsidRPr="00A472FC">
        <w:rPr>
          <w:rFonts w:ascii="Times New Roman" w:hAnsi="Times New Roman" w:cs="Times New Roman"/>
        </w:rPr>
        <w:t xml:space="preserve"> of </w:t>
      </w:r>
      <w:proofErr w:type="spellStart"/>
      <w:r w:rsidRPr="00A472FC">
        <w:rPr>
          <w:rFonts w:ascii="Times New Roman" w:hAnsi="Times New Roman" w:cs="Times New Roman"/>
        </w:rPr>
        <w:t>Emesa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iCs/>
        </w:rPr>
        <w:t>Nemesii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Episcopi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Premnon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Physicon</w:t>
      </w:r>
      <w:proofErr w:type="spellEnd"/>
      <w:r w:rsidRPr="00A472FC">
        <w:rPr>
          <w:rFonts w:ascii="Times New Roman" w:hAnsi="Times New Roman" w:cs="Times New Roman"/>
          <w:i/>
          <w:iCs/>
        </w:rPr>
        <w:t>.</w:t>
      </w:r>
      <w:r w:rsidRPr="00A472FC">
        <w:rPr>
          <w:rFonts w:ascii="Times New Roman" w:hAnsi="Times New Roman" w:cs="Times New Roman"/>
        </w:rPr>
        <w:t xml:space="preserve"> Translated by </w:t>
      </w:r>
      <w:proofErr w:type="spellStart"/>
      <w:r w:rsidRPr="00A472FC">
        <w:rPr>
          <w:rFonts w:ascii="Times New Roman" w:hAnsi="Times New Roman" w:cs="Times New Roman"/>
        </w:rPr>
        <w:t>Alfanus</w:t>
      </w:r>
      <w:proofErr w:type="spellEnd"/>
      <w:r w:rsidRPr="00A472FC">
        <w:rPr>
          <w:rFonts w:ascii="Times New Roman" w:hAnsi="Times New Roman" w:cs="Times New Roman"/>
        </w:rPr>
        <w:t xml:space="preserve">. Edited by C. </w:t>
      </w:r>
      <w:proofErr w:type="spellStart"/>
      <w:r w:rsidRPr="00A472FC">
        <w:rPr>
          <w:rFonts w:ascii="Times New Roman" w:hAnsi="Times New Roman" w:cs="Times New Roman"/>
        </w:rPr>
        <w:t>Burkhard</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Tuebner</w:t>
      </w:r>
      <w:proofErr w:type="spellEnd"/>
      <w:r w:rsidRPr="00A472FC">
        <w:rPr>
          <w:rFonts w:ascii="Times New Roman" w:hAnsi="Times New Roman" w:cs="Times New Roman"/>
        </w:rPr>
        <w:t>: Leipzig, 1917.</w:t>
      </w:r>
    </w:p>
    <w:p w14:paraId="587FD9F6"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On the Nature of Man.</w:t>
      </w:r>
      <w:r w:rsidRPr="00A472FC">
        <w:rPr>
          <w:rFonts w:ascii="Times New Roman" w:hAnsi="Times New Roman" w:cs="Times New Roman"/>
        </w:rPr>
        <w:t xml:space="preserve"> Translated by R.W. </w:t>
      </w:r>
      <w:proofErr w:type="spellStart"/>
      <w:r w:rsidRPr="00A472FC">
        <w:rPr>
          <w:rFonts w:ascii="Times New Roman" w:hAnsi="Times New Roman" w:cs="Times New Roman"/>
        </w:rPr>
        <w:t>Sharples</w:t>
      </w:r>
      <w:proofErr w:type="spellEnd"/>
      <w:r w:rsidRPr="00A472FC">
        <w:rPr>
          <w:rFonts w:ascii="Times New Roman" w:hAnsi="Times New Roman" w:cs="Times New Roman"/>
        </w:rPr>
        <w:t xml:space="preserve"> and P.J. Van </w:t>
      </w:r>
      <w:proofErr w:type="spellStart"/>
      <w:r w:rsidRPr="00A472FC">
        <w:rPr>
          <w:rFonts w:ascii="Times New Roman" w:hAnsi="Times New Roman" w:cs="Times New Roman"/>
        </w:rPr>
        <w:t>der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Eijk</w:t>
      </w:r>
      <w:proofErr w:type="spellEnd"/>
      <w:r w:rsidRPr="00A472FC">
        <w:rPr>
          <w:rFonts w:ascii="Times New Roman" w:hAnsi="Times New Roman" w:cs="Times New Roman"/>
        </w:rPr>
        <w:t>. Liverpool: Liverpool University Press, 2008.</w:t>
      </w:r>
    </w:p>
    <w:p w14:paraId="3BD9A323"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Peter Abelard. </w:t>
      </w:r>
      <w:r w:rsidRPr="00A472FC">
        <w:rPr>
          <w:rFonts w:ascii="Times New Roman" w:hAnsi="Times New Roman" w:cs="Times New Roman"/>
          <w:i/>
          <w:color w:val="000000" w:themeColor="text1"/>
          <w:lang w:val="en-US"/>
        </w:rPr>
        <w:t xml:space="preserve">Petri </w:t>
      </w:r>
      <w:proofErr w:type="spellStart"/>
      <w:r w:rsidRPr="00A472FC">
        <w:rPr>
          <w:rFonts w:ascii="Times New Roman" w:hAnsi="Times New Roman" w:cs="Times New Roman"/>
          <w:i/>
          <w:color w:val="000000" w:themeColor="text1"/>
          <w:lang w:val="en-US"/>
        </w:rPr>
        <w:t>Abaelardi</w:t>
      </w:r>
      <w:proofErr w:type="spellEnd"/>
      <w:r w:rsidRPr="00A472FC">
        <w:rPr>
          <w:rFonts w:ascii="Times New Roman" w:hAnsi="Times New Roman" w:cs="Times New Roman"/>
          <w:i/>
          <w:color w:val="000000" w:themeColor="text1"/>
          <w:lang w:val="en-US"/>
        </w:rPr>
        <w:t xml:space="preserve"> </w:t>
      </w:r>
      <w:proofErr w:type="spellStart"/>
      <w:r w:rsidRPr="00A472FC">
        <w:rPr>
          <w:rFonts w:ascii="Times New Roman" w:hAnsi="Times New Roman" w:cs="Times New Roman"/>
          <w:i/>
          <w:color w:val="000000" w:themeColor="text1"/>
          <w:lang w:val="en-US"/>
        </w:rPr>
        <w:t>Introductio</w:t>
      </w:r>
      <w:proofErr w:type="spellEnd"/>
      <w:r w:rsidRPr="00A472FC">
        <w:rPr>
          <w:rFonts w:ascii="Times New Roman" w:hAnsi="Times New Roman" w:cs="Times New Roman"/>
          <w:i/>
          <w:color w:val="000000" w:themeColor="text1"/>
          <w:lang w:val="en-US"/>
        </w:rPr>
        <w:t xml:space="preserve"> ad </w:t>
      </w:r>
      <w:proofErr w:type="spellStart"/>
      <w:r w:rsidRPr="00A472FC">
        <w:rPr>
          <w:rFonts w:ascii="Times New Roman" w:hAnsi="Times New Roman" w:cs="Times New Roman"/>
          <w:i/>
          <w:color w:val="000000" w:themeColor="text1"/>
          <w:lang w:val="en-US"/>
        </w:rPr>
        <w:t>theologiam</w:t>
      </w:r>
      <w:proofErr w:type="spellEnd"/>
      <w:r w:rsidRPr="00A472FC">
        <w:rPr>
          <w:rFonts w:ascii="Times New Roman" w:hAnsi="Times New Roman" w:cs="Times New Roman"/>
          <w:iCs/>
          <w:color w:val="000000" w:themeColor="text1"/>
          <w:lang w:val="en-US"/>
        </w:rPr>
        <w:t>. In</w:t>
      </w:r>
      <w:r w:rsidRPr="00A472FC">
        <w:rPr>
          <w:rFonts w:ascii="Times New Roman" w:hAnsi="Times New Roman" w:cs="Times New Roman"/>
          <w:color w:val="000000" w:themeColor="text1"/>
          <w:lang w:val="en-US"/>
        </w:rPr>
        <w:t xml:space="preserve"> </w:t>
      </w:r>
      <w:r w:rsidRPr="00A472FC">
        <w:rPr>
          <w:rFonts w:ascii="Times New Roman" w:hAnsi="Times New Roman" w:cs="Times New Roman"/>
          <w:i/>
          <w:color w:val="000000" w:themeColor="text1"/>
          <w:lang w:val="en-US"/>
        </w:rPr>
        <w:t xml:space="preserve">Petri </w:t>
      </w:r>
      <w:proofErr w:type="spellStart"/>
      <w:r w:rsidRPr="00A472FC">
        <w:rPr>
          <w:rFonts w:ascii="Times New Roman" w:hAnsi="Times New Roman" w:cs="Times New Roman"/>
          <w:i/>
          <w:color w:val="000000" w:themeColor="text1"/>
          <w:lang w:val="en-US"/>
        </w:rPr>
        <w:t>Abaelardi</w:t>
      </w:r>
      <w:proofErr w:type="spellEnd"/>
      <w:r w:rsidRPr="00A472FC">
        <w:rPr>
          <w:rFonts w:ascii="Times New Roman" w:hAnsi="Times New Roman" w:cs="Times New Roman"/>
          <w:i/>
          <w:color w:val="000000" w:themeColor="text1"/>
          <w:lang w:val="en-US"/>
        </w:rPr>
        <w:t xml:space="preserve"> Opera II</w:t>
      </w:r>
      <w:r w:rsidRPr="00A472FC">
        <w:rPr>
          <w:rFonts w:ascii="Times New Roman" w:hAnsi="Times New Roman" w:cs="Times New Roman"/>
          <w:color w:val="000000" w:themeColor="text1"/>
          <w:lang w:val="en-US"/>
        </w:rPr>
        <w:t>. Edited by V. Cousin. Paris: A. Durand, 1859.</w:t>
      </w:r>
    </w:p>
    <w:p w14:paraId="2754375B"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iCs/>
        </w:rPr>
        <w:t>Sententie</w:t>
      </w:r>
      <w:proofErr w:type="spellEnd"/>
      <w:r w:rsidRPr="00A472FC">
        <w:rPr>
          <w:rFonts w:ascii="Times New Roman" w:hAnsi="Times New Roman" w:cs="Times New Roman"/>
          <w:i/>
          <w:iCs/>
        </w:rPr>
        <w:t xml:space="preserve"> Petri </w:t>
      </w:r>
      <w:proofErr w:type="spellStart"/>
      <w:r w:rsidRPr="00A472FC">
        <w:rPr>
          <w:rFonts w:ascii="Times New Roman" w:hAnsi="Times New Roman" w:cs="Times New Roman"/>
          <w:i/>
          <w:iCs/>
        </w:rPr>
        <w:t>Abelardi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Sententie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Hermanni</w:t>
      </w:r>
      <w:proofErr w:type="spellEnd"/>
      <w:r w:rsidRPr="00A472FC">
        <w:rPr>
          <w:rFonts w:ascii="Times New Roman" w:hAnsi="Times New Roman" w:cs="Times New Roman"/>
          <w:i/>
          <w:iCs/>
        </w:rPr>
        <w:t>).</w:t>
      </w:r>
      <w:r w:rsidRPr="00A472FC">
        <w:rPr>
          <w:rFonts w:ascii="Times New Roman" w:hAnsi="Times New Roman" w:cs="Times New Roman"/>
        </w:rPr>
        <w:t xml:space="preserve"> Edited by S. </w:t>
      </w:r>
      <w:proofErr w:type="spellStart"/>
      <w:r w:rsidRPr="00A472FC">
        <w:rPr>
          <w:rFonts w:ascii="Times New Roman" w:hAnsi="Times New Roman" w:cs="Times New Roman"/>
        </w:rPr>
        <w:t>Buzzetti</w:t>
      </w:r>
      <w:proofErr w:type="spellEnd"/>
      <w:r w:rsidRPr="00A472FC">
        <w:rPr>
          <w:rFonts w:ascii="Times New Roman" w:hAnsi="Times New Roman" w:cs="Times New Roman"/>
        </w:rPr>
        <w:t>. Florence: La Nuova Italia, 1983.</w:t>
      </w:r>
    </w:p>
    <w:p w14:paraId="64DC5607" w14:textId="0EB88F7A"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iCs/>
        </w:rPr>
        <w:t>Scit</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te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ipsum</w:t>
      </w:r>
      <w:proofErr w:type="spellEnd"/>
      <w:r w:rsidR="007C491F" w:rsidRPr="00A472FC">
        <w:rPr>
          <w:rFonts w:ascii="Times New Roman" w:hAnsi="Times New Roman" w:cs="Times New Roman"/>
          <w:i/>
          <w:iCs/>
        </w:rPr>
        <w:t xml:space="preserve">, </w:t>
      </w:r>
      <w:r w:rsidR="007C491F" w:rsidRPr="00A472FC">
        <w:rPr>
          <w:rFonts w:ascii="Times New Roman" w:hAnsi="Times New Roman" w:cs="Times New Roman"/>
        </w:rPr>
        <w:t xml:space="preserve">Corpus </w:t>
      </w:r>
      <w:proofErr w:type="spellStart"/>
      <w:r w:rsidR="007C491F" w:rsidRPr="00A472FC">
        <w:rPr>
          <w:rFonts w:ascii="Times New Roman" w:hAnsi="Times New Roman" w:cs="Times New Roman"/>
        </w:rPr>
        <w:t>Christianorum</w:t>
      </w:r>
      <w:proofErr w:type="spellEnd"/>
      <w:r w:rsidR="007C491F" w:rsidRPr="00A472FC">
        <w:rPr>
          <w:rFonts w:ascii="Times New Roman" w:hAnsi="Times New Roman" w:cs="Times New Roman"/>
        </w:rPr>
        <w:t xml:space="preserve"> </w:t>
      </w:r>
      <w:proofErr w:type="spellStart"/>
      <w:r w:rsidR="007C491F" w:rsidRPr="00A472FC">
        <w:rPr>
          <w:rFonts w:ascii="Times New Roman" w:hAnsi="Times New Roman" w:cs="Times New Roman"/>
        </w:rPr>
        <w:t>Continuatio</w:t>
      </w:r>
      <w:proofErr w:type="spellEnd"/>
      <w:r w:rsidR="007C491F" w:rsidRPr="00A472FC">
        <w:rPr>
          <w:rFonts w:ascii="Times New Roman" w:hAnsi="Times New Roman" w:cs="Times New Roman"/>
        </w:rPr>
        <w:t xml:space="preserve"> </w:t>
      </w:r>
      <w:proofErr w:type="spellStart"/>
      <w:r w:rsidR="007C491F" w:rsidRPr="00A472FC">
        <w:rPr>
          <w:rFonts w:ascii="Times New Roman" w:hAnsi="Times New Roman" w:cs="Times New Roman"/>
        </w:rPr>
        <w:t>Medievalis</w:t>
      </w:r>
      <w:proofErr w:type="spellEnd"/>
      <w:r w:rsidR="007C491F" w:rsidRPr="00A472FC">
        <w:rPr>
          <w:rFonts w:ascii="Times New Roman" w:hAnsi="Times New Roman" w:cs="Times New Roman"/>
        </w:rPr>
        <w:t xml:space="preserve"> 190.</w:t>
      </w:r>
      <w:r w:rsidRPr="00A472FC">
        <w:rPr>
          <w:rFonts w:ascii="Times New Roman" w:hAnsi="Times New Roman" w:cs="Times New Roman"/>
        </w:rPr>
        <w:t xml:space="preserve"> Edited by R.M. </w:t>
      </w:r>
      <w:proofErr w:type="spellStart"/>
      <w:r w:rsidRPr="00A472FC">
        <w:rPr>
          <w:rFonts w:ascii="Times New Roman" w:hAnsi="Times New Roman" w:cs="Times New Roman"/>
        </w:rPr>
        <w:t>Ilgner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2001.</w:t>
      </w:r>
    </w:p>
    <w:p w14:paraId="73DD3EAE"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Peter Lombard. </w:t>
      </w:r>
      <w:proofErr w:type="spellStart"/>
      <w:r w:rsidRPr="00A472FC">
        <w:rPr>
          <w:rFonts w:ascii="Times New Roman" w:hAnsi="Times New Roman" w:cs="Times New Roman"/>
          <w:i/>
          <w:iCs/>
          <w:color w:val="000000" w:themeColor="text1"/>
        </w:rPr>
        <w:t>Libri</w:t>
      </w:r>
      <w:proofErr w:type="spellEnd"/>
      <w:r w:rsidRPr="00A472FC">
        <w:rPr>
          <w:rFonts w:ascii="Times New Roman" w:hAnsi="Times New Roman" w:cs="Times New Roman"/>
          <w:i/>
          <w:iCs/>
          <w:color w:val="000000" w:themeColor="text1"/>
        </w:rPr>
        <w:t xml:space="preserve"> </w:t>
      </w:r>
      <w:proofErr w:type="spellStart"/>
      <w:r w:rsidRPr="00A472FC">
        <w:rPr>
          <w:rFonts w:ascii="Times New Roman" w:hAnsi="Times New Roman" w:cs="Times New Roman"/>
          <w:i/>
          <w:iCs/>
          <w:color w:val="000000" w:themeColor="text1"/>
        </w:rPr>
        <w:t>sententiarum</w:t>
      </w:r>
      <w:proofErr w:type="spellEnd"/>
      <w:r w:rsidRPr="00A472FC">
        <w:rPr>
          <w:rFonts w:ascii="Times New Roman" w:hAnsi="Times New Roman" w:cs="Times New Roman"/>
          <w:color w:val="000000" w:themeColor="text1"/>
        </w:rPr>
        <w:t xml:space="preserve">. </w:t>
      </w:r>
      <w:proofErr w:type="spellStart"/>
      <w:r w:rsidRPr="00A472FC">
        <w:rPr>
          <w:rFonts w:ascii="Times New Roman" w:hAnsi="Times New Roman" w:cs="Times New Roman"/>
          <w:i/>
          <w:color w:val="000000" w:themeColor="text1"/>
        </w:rPr>
        <w:t>Magistri</w:t>
      </w:r>
      <w:proofErr w:type="spellEnd"/>
      <w:r w:rsidRPr="00A472FC">
        <w:rPr>
          <w:rFonts w:ascii="Times New Roman" w:hAnsi="Times New Roman" w:cs="Times New Roman"/>
          <w:i/>
          <w:color w:val="000000" w:themeColor="text1"/>
        </w:rPr>
        <w:t xml:space="preserve"> Petri Lombardi </w:t>
      </w:r>
      <w:proofErr w:type="spellStart"/>
      <w:r w:rsidRPr="00A472FC">
        <w:rPr>
          <w:rFonts w:ascii="Times New Roman" w:hAnsi="Times New Roman" w:cs="Times New Roman"/>
          <w:i/>
          <w:color w:val="000000" w:themeColor="text1"/>
        </w:rPr>
        <w:t>Parisiensis</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episcopi</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Sententiae</w:t>
      </w:r>
      <w:proofErr w:type="spellEnd"/>
      <w:r w:rsidRPr="00A472FC">
        <w:rPr>
          <w:rFonts w:ascii="Times New Roman" w:hAnsi="Times New Roman" w:cs="Times New Roman"/>
          <w:i/>
          <w:color w:val="000000" w:themeColor="text1"/>
        </w:rPr>
        <w:t xml:space="preserve"> in IV </w:t>
      </w:r>
      <w:proofErr w:type="spellStart"/>
      <w:r w:rsidRPr="00A472FC">
        <w:rPr>
          <w:rFonts w:ascii="Times New Roman" w:hAnsi="Times New Roman" w:cs="Times New Roman"/>
          <w:i/>
          <w:color w:val="000000" w:themeColor="text1"/>
        </w:rPr>
        <w:t>libris</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i/>
          <w:color w:val="000000" w:themeColor="text1"/>
        </w:rPr>
        <w:t>distinctae</w:t>
      </w:r>
      <w:proofErr w:type="spellEnd"/>
      <w:r w:rsidRPr="00A472FC">
        <w:rPr>
          <w:rFonts w:ascii="Times New Roman" w:hAnsi="Times New Roman" w:cs="Times New Roman"/>
          <w:color w:val="000000" w:themeColor="text1"/>
          <w:shd w:val="clear" w:color="auto" w:fill="FFFFFF"/>
        </w:rPr>
        <w:t>, 2</w:t>
      </w:r>
      <w:r w:rsidRPr="00A472FC">
        <w:rPr>
          <w:rFonts w:ascii="Times New Roman" w:hAnsi="Times New Roman" w:cs="Times New Roman"/>
          <w:color w:val="000000" w:themeColor="text1"/>
        </w:rPr>
        <w:t xml:space="preserve"> vols. </w:t>
      </w:r>
      <w:proofErr w:type="spellStart"/>
      <w:r w:rsidRPr="00A472FC">
        <w:rPr>
          <w:rFonts w:ascii="Times New Roman" w:hAnsi="Times New Roman" w:cs="Times New Roman"/>
          <w:color w:val="000000" w:themeColor="text1"/>
          <w:shd w:val="clear" w:color="auto" w:fill="FFFFFF"/>
        </w:rPr>
        <w:t>Grottaferrata</w:t>
      </w:r>
      <w:proofErr w:type="spellEnd"/>
      <w:r w:rsidRPr="00A472FC">
        <w:rPr>
          <w:rFonts w:ascii="Times New Roman" w:hAnsi="Times New Roman" w:cs="Times New Roman"/>
          <w:color w:val="000000" w:themeColor="text1"/>
          <w:shd w:val="clear" w:color="auto" w:fill="FFFFFF"/>
        </w:rPr>
        <w:t>, Rome: Collegii S. Bonaventurae Ad Claras Aquas, 1971</w:t>
      </w:r>
      <w:r w:rsidRPr="00A472FC">
        <w:rPr>
          <w:rFonts w:ascii="Times New Roman" w:hAnsi="Times New Roman" w:cs="Times New Roman"/>
          <w:color w:val="000000" w:themeColor="text1"/>
          <w:lang w:val="fr-FR"/>
        </w:rPr>
        <w:t>-81</w:t>
      </w:r>
      <w:r w:rsidRPr="00A472FC">
        <w:rPr>
          <w:rFonts w:ascii="Times New Roman" w:hAnsi="Times New Roman" w:cs="Times New Roman"/>
          <w:color w:val="000000" w:themeColor="text1"/>
        </w:rPr>
        <w:t>.</w:t>
      </w:r>
    </w:p>
    <w:p w14:paraId="09BA87E2"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The Sentences, Book 2: On Creation.</w:t>
      </w:r>
      <w:r w:rsidRPr="00A472FC">
        <w:rPr>
          <w:rFonts w:ascii="Times New Roman" w:hAnsi="Times New Roman" w:cs="Times New Roman"/>
        </w:rPr>
        <w:t xml:space="preserve"> Translated by Giulio </w:t>
      </w:r>
      <w:proofErr w:type="spellStart"/>
      <w:r w:rsidRPr="00A472FC">
        <w:rPr>
          <w:rFonts w:ascii="Times New Roman" w:hAnsi="Times New Roman" w:cs="Times New Roman"/>
        </w:rPr>
        <w:t>Silano</w:t>
      </w:r>
      <w:proofErr w:type="spellEnd"/>
      <w:r w:rsidRPr="00A472FC">
        <w:rPr>
          <w:rFonts w:ascii="Times New Roman" w:hAnsi="Times New Roman" w:cs="Times New Roman"/>
        </w:rPr>
        <w:t>. Toronto: Pontifical Institute of Medieval Studies, 2008.</w:t>
      </w:r>
    </w:p>
    <w:p w14:paraId="53FBA784" w14:textId="77777777" w:rsidR="006A6E61" w:rsidRPr="00A472FC" w:rsidRDefault="006A6E61" w:rsidP="00F7628D">
      <w:pPr>
        <w:ind w:left="709" w:right="-52" w:hanging="709"/>
        <w:rPr>
          <w:rFonts w:ascii="Times New Roman" w:hAnsi="Times New Roman" w:cs="Times New Roman"/>
          <w:color w:val="000000" w:themeColor="text1"/>
        </w:rPr>
      </w:pPr>
      <w:r w:rsidRPr="00A472FC">
        <w:rPr>
          <w:rFonts w:ascii="Times New Roman" w:hAnsi="Times New Roman" w:cs="Times New Roman"/>
        </w:rPr>
        <w:t xml:space="preserve">Philip the Chancellor. </w:t>
      </w:r>
      <w:r w:rsidRPr="00A472FC">
        <w:rPr>
          <w:rFonts w:ascii="Times New Roman" w:hAnsi="Times New Roman" w:cs="Times New Roman"/>
          <w:i/>
          <w:color w:val="000000" w:themeColor="text1"/>
        </w:rPr>
        <w:t xml:space="preserve">Philippi </w:t>
      </w:r>
      <w:proofErr w:type="spellStart"/>
      <w:r w:rsidRPr="00A472FC">
        <w:rPr>
          <w:rFonts w:ascii="Times New Roman" w:hAnsi="Times New Roman" w:cs="Times New Roman"/>
          <w:i/>
          <w:color w:val="000000" w:themeColor="text1"/>
        </w:rPr>
        <w:t>Cancellarii</w:t>
      </w:r>
      <w:proofErr w:type="spellEnd"/>
      <w:r w:rsidRPr="00A472FC">
        <w:rPr>
          <w:rFonts w:ascii="Times New Roman" w:hAnsi="Times New Roman" w:cs="Times New Roman"/>
          <w:i/>
          <w:color w:val="000000" w:themeColor="text1"/>
        </w:rPr>
        <w:t xml:space="preserve"> </w:t>
      </w:r>
      <w:proofErr w:type="spellStart"/>
      <w:r w:rsidRPr="00A472FC">
        <w:rPr>
          <w:rFonts w:ascii="Times New Roman" w:hAnsi="Times New Roman" w:cs="Times New Roman"/>
          <w:bCs/>
          <w:i/>
          <w:iCs/>
        </w:rPr>
        <w:t>Parisiensis</w:t>
      </w:r>
      <w:proofErr w:type="spellEnd"/>
      <w:r w:rsidRPr="00A472FC">
        <w:rPr>
          <w:rFonts w:ascii="Times New Roman" w:hAnsi="Times New Roman" w:cs="Times New Roman"/>
          <w:i/>
          <w:color w:val="000000" w:themeColor="text1"/>
        </w:rPr>
        <w:t xml:space="preserve"> Summa de bono, </w:t>
      </w:r>
      <w:r w:rsidRPr="00A472FC">
        <w:rPr>
          <w:rFonts w:ascii="Times New Roman" w:hAnsi="Times New Roman" w:cs="Times New Roman"/>
          <w:color w:val="000000" w:themeColor="text1"/>
        </w:rPr>
        <w:t xml:space="preserve">2 vols. Edited by Nikolaus </w:t>
      </w:r>
      <w:proofErr w:type="spellStart"/>
      <w:r w:rsidRPr="00A472FC">
        <w:rPr>
          <w:rFonts w:ascii="Times New Roman" w:hAnsi="Times New Roman" w:cs="Times New Roman"/>
          <w:color w:val="000000" w:themeColor="text1"/>
        </w:rPr>
        <w:t>Wicki</w:t>
      </w:r>
      <w:proofErr w:type="spellEnd"/>
      <w:r w:rsidRPr="00A472FC">
        <w:rPr>
          <w:rFonts w:ascii="Times New Roman" w:hAnsi="Times New Roman" w:cs="Times New Roman"/>
          <w:color w:val="000000" w:themeColor="text1"/>
        </w:rPr>
        <w:t xml:space="preserve">. Bern: </w:t>
      </w:r>
      <w:proofErr w:type="spellStart"/>
      <w:r w:rsidRPr="00A472FC">
        <w:rPr>
          <w:rFonts w:ascii="Times New Roman" w:hAnsi="Times New Roman" w:cs="Times New Roman"/>
          <w:color w:val="000000" w:themeColor="text1"/>
        </w:rPr>
        <w:t>Francke</w:t>
      </w:r>
      <w:proofErr w:type="spellEnd"/>
      <w:r w:rsidRPr="00A472FC">
        <w:rPr>
          <w:rFonts w:ascii="Times New Roman" w:hAnsi="Times New Roman" w:cs="Times New Roman"/>
          <w:color w:val="000000" w:themeColor="text1"/>
        </w:rPr>
        <w:t xml:space="preserve">, 1985. </w:t>
      </w:r>
    </w:p>
    <w:p w14:paraId="206144DD" w14:textId="0E012ED1" w:rsidR="005716E5" w:rsidRPr="00A472FC" w:rsidRDefault="005716E5" w:rsidP="00F7628D">
      <w:pPr>
        <w:ind w:left="709" w:right="-52" w:hanging="709"/>
        <w:rPr>
          <w:rFonts w:ascii="Times New Roman" w:hAnsi="Times New Roman" w:cs="Times New Roman"/>
          <w:color w:val="000000" w:themeColor="text1"/>
          <w:lang w:val="en-US"/>
        </w:rPr>
      </w:pPr>
      <w:r w:rsidRPr="00A472FC">
        <w:rPr>
          <w:rFonts w:ascii="Times New Roman" w:hAnsi="Times New Roman" w:cs="Times New Roman"/>
          <w:color w:val="000000" w:themeColor="text1"/>
          <w:lang w:val="en-US"/>
        </w:rPr>
        <w:t xml:space="preserve">Pseudo-Dionysius. </w:t>
      </w:r>
      <w:r w:rsidR="00DA2F01" w:rsidRPr="00A472FC">
        <w:rPr>
          <w:rFonts w:ascii="Times New Roman" w:hAnsi="Times New Roman" w:cs="Times New Roman"/>
          <w:i/>
          <w:iCs/>
        </w:rPr>
        <w:t xml:space="preserve">De </w:t>
      </w:r>
      <w:proofErr w:type="spellStart"/>
      <w:r w:rsidR="00DA2F01" w:rsidRPr="00A472FC">
        <w:rPr>
          <w:rFonts w:ascii="Times New Roman" w:hAnsi="Times New Roman" w:cs="Times New Roman"/>
          <w:i/>
          <w:iCs/>
        </w:rPr>
        <w:t>divinis</w:t>
      </w:r>
      <w:proofErr w:type="spellEnd"/>
      <w:r w:rsidR="00DA2F01" w:rsidRPr="00A472FC">
        <w:rPr>
          <w:rFonts w:ascii="Times New Roman" w:hAnsi="Times New Roman" w:cs="Times New Roman"/>
          <w:i/>
          <w:iCs/>
        </w:rPr>
        <w:t xml:space="preserve"> </w:t>
      </w:r>
      <w:proofErr w:type="spellStart"/>
      <w:r w:rsidR="00DA2F01" w:rsidRPr="00A472FC">
        <w:rPr>
          <w:rFonts w:ascii="Times New Roman" w:hAnsi="Times New Roman" w:cs="Times New Roman"/>
          <w:i/>
          <w:iCs/>
        </w:rPr>
        <w:t>nominibus</w:t>
      </w:r>
      <w:proofErr w:type="spellEnd"/>
      <w:r w:rsidR="007C491F" w:rsidRPr="00A472FC">
        <w:rPr>
          <w:rFonts w:ascii="Times New Roman" w:hAnsi="Times New Roman" w:cs="Times New Roman"/>
          <w:i/>
          <w:iCs/>
        </w:rPr>
        <w:t xml:space="preserve">, </w:t>
      </w:r>
      <w:r w:rsidR="007C491F" w:rsidRPr="00A472FC">
        <w:rPr>
          <w:rFonts w:ascii="Times New Roman" w:hAnsi="Times New Roman" w:cs="Times New Roman"/>
        </w:rPr>
        <w:t xml:space="preserve">Corpus </w:t>
      </w:r>
      <w:proofErr w:type="spellStart"/>
      <w:r w:rsidR="007C491F" w:rsidRPr="00A472FC">
        <w:rPr>
          <w:rFonts w:ascii="Times New Roman" w:hAnsi="Times New Roman" w:cs="Times New Roman"/>
        </w:rPr>
        <w:t>Christianorum</w:t>
      </w:r>
      <w:proofErr w:type="spellEnd"/>
      <w:r w:rsidR="007C491F" w:rsidRPr="00A472FC">
        <w:rPr>
          <w:rFonts w:ascii="Times New Roman" w:hAnsi="Times New Roman" w:cs="Times New Roman"/>
        </w:rPr>
        <w:t xml:space="preserve"> </w:t>
      </w:r>
      <w:proofErr w:type="spellStart"/>
      <w:r w:rsidR="007C491F" w:rsidRPr="00A472FC">
        <w:rPr>
          <w:rFonts w:ascii="Times New Roman" w:hAnsi="Times New Roman" w:cs="Times New Roman"/>
        </w:rPr>
        <w:t>Continuatio</w:t>
      </w:r>
      <w:proofErr w:type="spellEnd"/>
      <w:r w:rsidR="007C491F" w:rsidRPr="00A472FC">
        <w:rPr>
          <w:rFonts w:ascii="Times New Roman" w:hAnsi="Times New Roman" w:cs="Times New Roman"/>
        </w:rPr>
        <w:t xml:space="preserve"> </w:t>
      </w:r>
      <w:proofErr w:type="spellStart"/>
      <w:r w:rsidR="007C491F" w:rsidRPr="00A472FC">
        <w:rPr>
          <w:rFonts w:ascii="Times New Roman" w:hAnsi="Times New Roman" w:cs="Times New Roman"/>
        </w:rPr>
        <w:t>Medievalis</w:t>
      </w:r>
      <w:proofErr w:type="spellEnd"/>
      <w:r w:rsidR="007C491F" w:rsidRPr="00A472FC">
        <w:rPr>
          <w:rFonts w:ascii="Times New Roman" w:hAnsi="Times New Roman" w:cs="Times New Roman"/>
        </w:rPr>
        <w:t xml:space="preserve"> 223.</w:t>
      </w:r>
      <w:r w:rsidR="00DA2F01" w:rsidRPr="00A472FC">
        <w:rPr>
          <w:rFonts w:ascii="Times New Roman" w:hAnsi="Times New Roman" w:cs="Times New Roman"/>
          <w:i/>
          <w:iCs/>
        </w:rPr>
        <w:t xml:space="preserve"> </w:t>
      </w:r>
      <w:r w:rsidR="00DA2F01" w:rsidRPr="00A472FC">
        <w:rPr>
          <w:rFonts w:ascii="Times New Roman" w:hAnsi="Times New Roman" w:cs="Times New Roman"/>
        </w:rPr>
        <w:t xml:space="preserve">Translated by Thomas </w:t>
      </w:r>
      <w:proofErr w:type="spellStart"/>
      <w:r w:rsidR="00DA2F01" w:rsidRPr="00A472FC">
        <w:rPr>
          <w:rFonts w:ascii="Times New Roman" w:hAnsi="Times New Roman" w:cs="Times New Roman"/>
        </w:rPr>
        <w:t>Gallus</w:t>
      </w:r>
      <w:proofErr w:type="spellEnd"/>
      <w:r w:rsidR="002104D7" w:rsidRPr="00A472FC">
        <w:rPr>
          <w:rFonts w:ascii="Times New Roman" w:hAnsi="Times New Roman" w:cs="Times New Roman"/>
        </w:rPr>
        <w:t>. E</w:t>
      </w:r>
      <w:r w:rsidR="00DA2F01" w:rsidRPr="00A472FC">
        <w:rPr>
          <w:rFonts w:ascii="Times New Roman" w:hAnsi="Times New Roman" w:cs="Times New Roman"/>
        </w:rPr>
        <w:t xml:space="preserve">dited by Declan Anthony </w:t>
      </w:r>
      <w:proofErr w:type="spellStart"/>
      <w:r w:rsidR="00DA2F01" w:rsidRPr="00A472FC">
        <w:rPr>
          <w:rFonts w:ascii="Times New Roman" w:hAnsi="Times New Roman" w:cs="Times New Roman"/>
        </w:rPr>
        <w:t>Lawell</w:t>
      </w:r>
      <w:proofErr w:type="spellEnd"/>
      <w:r w:rsidR="00F7628D" w:rsidRPr="00A472FC">
        <w:rPr>
          <w:rFonts w:ascii="Times New Roman" w:hAnsi="Times New Roman" w:cs="Times New Roman"/>
        </w:rPr>
        <w:t xml:space="preserve">. </w:t>
      </w:r>
      <w:proofErr w:type="spellStart"/>
      <w:r w:rsidR="00DA2F01" w:rsidRPr="00A472FC">
        <w:rPr>
          <w:rFonts w:ascii="Times New Roman" w:hAnsi="Times New Roman" w:cs="Times New Roman"/>
        </w:rPr>
        <w:t>Turnhout</w:t>
      </w:r>
      <w:proofErr w:type="spellEnd"/>
      <w:r w:rsidR="00DA2F01" w:rsidRPr="00A472FC">
        <w:rPr>
          <w:rFonts w:ascii="Times New Roman" w:hAnsi="Times New Roman" w:cs="Times New Roman"/>
        </w:rPr>
        <w:t xml:space="preserve">: </w:t>
      </w:r>
      <w:proofErr w:type="spellStart"/>
      <w:r w:rsidR="00DA2F01" w:rsidRPr="00A472FC">
        <w:rPr>
          <w:rFonts w:ascii="Times New Roman" w:hAnsi="Times New Roman" w:cs="Times New Roman"/>
        </w:rPr>
        <w:t>Brepols</w:t>
      </w:r>
      <w:proofErr w:type="spellEnd"/>
      <w:r w:rsidR="00DA2F01" w:rsidRPr="00A472FC">
        <w:rPr>
          <w:rFonts w:ascii="Times New Roman" w:hAnsi="Times New Roman" w:cs="Times New Roman"/>
        </w:rPr>
        <w:t>, 2011</w:t>
      </w:r>
      <w:r w:rsidR="00F7628D" w:rsidRPr="00A472FC">
        <w:rPr>
          <w:rFonts w:ascii="Times New Roman" w:hAnsi="Times New Roman" w:cs="Times New Roman"/>
        </w:rPr>
        <w:t>.</w:t>
      </w:r>
    </w:p>
    <w:p w14:paraId="7856588E" w14:textId="3D8B3446" w:rsidR="006A6E61" w:rsidRPr="00A472FC" w:rsidRDefault="006A6E61" w:rsidP="00F7628D">
      <w:pPr>
        <w:ind w:left="709" w:right="-52" w:hanging="709"/>
        <w:rPr>
          <w:rFonts w:ascii="Times New Roman" w:hAnsi="Times New Roman" w:cs="Times New Roman"/>
          <w:color w:val="000000" w:themeColor="text1"/>
          <w:lang w:val="en-US"/>
        </w:rPr>
      </w:pPr>
      <w:r w:rsidRPr="00A472FC">
        <w:rPr>
          <w:rFonts w:ascii="Times New Roman" w:hAnsi="Times New Roman" w:cs="Times New Roman"/>
          <w:color w:val="000000" w:themeColor="text1"/>
          <w:lang w:val="en-US"/>
        </w:rPr>
        <w:lastRenderedPageBreak/>
        <w:t xml:space="preserve">Richard of St Victor. </w:t>
      </w:r>
      <w:r w:rsidRPr="00A472FC">
        <w:rPr>
          <w:rFonts w:ascii="Times New Roman" w:hAnsi="Times New Roman" w:cs="Times New Roman"/>
          <w:i/>
          <w:iCs/>
          <w:color w:val="000000" w:themeColor="text1"/>
          <w:lang w:val="en-US"/>
        </w:rPr>
        <w:t xml:space="preserve">De </w:t>
      </w:r>
      <w:proofErr w:type="spellStart"/>
      <w:r w:rsidRPr="00A472FC">
        <w:rPr>
          <w:rFonts w:ascii="Times New Roman" w:hAnsi="Times New Roman" w:cs="Times New Roman"/>
          <w:i/>
          <w:iCs/>
          <w:color w:val="000000" w:themeColor="text1"/>
          <w:lang w:val="en-US"/>
        </w:rPr>
        <w:t>Trinitate</w:t>
      </w:r>
      <w:proofErr w:type="spellEnd"/>
      <w:r w:rsidRPr="00A472FC">
        <w:rPr>
          <w:rFonts w:ascii="Times New Roman" w:hAnsi="Times New Roman" w:cs="Times New Roman"/>
          <w:i/>
          <w:iCs/>
          <w:color w:val="000000" w:themeColor="text1"/>
          <w:lang w:val="en-US"/>
        </w:rPr>
        <w:t xml:space="preserve">: </w:t>
      </w:r>
      <w:proofErr w:type="spellStart"/>
      <w:r w:rsidRPr="00A472FC">
        <w:rPr>
          <w:rFonts w:ascii="Times New Roman" w:hAnsi="Times New Roman" w:cs="Times New Roman"/>
          <w:i/>
          <w:iCs/>
          <w:color w:val="000000" w:themeColor="text1"/>
          <w:lang w:val="en-US"/>
        </w:rPr>
        <w:t>texte</w:t>
      </w:r>
      <w:proofErr w:type="spellEnd"/>
      <w:r w:rsidRPr="00A472FC">
        <w:rPr>
          <w:rFonts w:ascii="Times New Roman" w:hAnsi="Times New Roman" w:cs="Times New Roman"/>
          <w:i/>
          <w:iCs/>
          <w:color w:val="000000" w:themeColor="text1"/>
          <w:lang w:val="en-US"/>
        </w:rPr>
        <w:t xml:space="preserve"> critique </w:t>
      </w:r>
      <w:proofErr w:type="spellStart"/>
      <w:r w:rsidRPr="00A472FC">
        <w:rPr>
          <w:rFonts w:ascii="Times New Roman" w:hAnsi="Times New Roman" w:cs="Times New Roman"/>
          <w:i/>
          <w:iCs/>
          <w:color w:val="000000" w:themeColor="text1"/>
          <w:lang w:val="en-US"/>
        </w:rPr>
        <w:t>avec</w:t>
      </w:r>
      <w:proofErr w:type="spellEnd"/>
      <w:r w:rsidRPr="00A472FC">
        <w:rPr>
          <w:rFonts w:ascii="Times New Roman" w:hAnsi="Times New Roman" w:cs="Times New Roman"/>
          <w:i/>
          <w:iCs/>
          <w:color w:val="000000" w:themeColor="text1"/>
          <w:lang w:val="en-US"/>
        </w:rPr>
        <w:t xml:space="preserve"> introduction, notes et tables</w:t>
      </w:r>
      <w:r w:rsidRPr="00A472FC">
        <w:rPr>
          <w:rFonts w:ascii="Times New Roman" w:hAnsi="Times New Roman" w:cs="Times New Roman"/>
          <w:color w:val="000000" w:themeColor="text1"/>
          <w:lang w:val="en-US"/>
        </w:rPr>
        <w:t xml:space="preserve">. Edited by J. </w:t>
      </w:r>
      <w:proofErr w:type="spellStart"/>
      <w:r w:rsidRPr="00A472FC">
        <w:rPr>
          <w:rFonts w:ascii="Times New Roman" w:hAnsi="Times New Roman" w:cs="Times New Roman"/>
          <w:color w:val="000000" w:themeColor="text1"/>
          <w:lang w:val="en-US"/>
        </w:rPr>
        <w:t>Ribaillier</w:t>
      </w:r>
      <w:proofErr w:type="spellEnd"/>
      <w:r w:rsidRPr="00A472FC">
        <w:rPr>
          <w:rFonts w:ascii="Times New Roman" w:hAnsi="Times New Roman" w:cs="Times New Roman"/>
          <w:color w:val="000000" w:themeColor="text1"/>
          <w:lang w:val="en-US"/>
        </w:rPr>
        <w:t xml:space="preserve">. Paris: </w:t>
      </w:r>
      <w:proofErr w:type="spellStart"/>
      <w:r w:rsidRPr="00A472FC">
        <w:rPr>
          <w:rFonts w:ascii="Times New Roman" w:hAnsi="Times New Roman" w:cs="Times New Roman"/>
          <w:color w:val="000000" w:themeColor="text1"/>
          <w:lang w:val="en-US"/>
        </w:rPr>
        <w:t>Vrin</w:t>
      </w:r>
      <w:proofErr w:type="spellEnd"/>
      <w:r w:rsidRPr="00A472FC">
        <w:rPr>
          <w:rFonts w:ascii="Times New Roman" w:hAnsi="Times New Roman" w:cs="Times New Roman"/>
          <w:color w:val="000000" w:themeColor="text1"/>
          <w:lang w:val="en-US"/>
        </w:rPr>
        <w:t xml:space="preserve">, 1958. </w:t>
      </w:r>
    </w:p>
    <w:p w14:paraId="2390251E" w14:textId="77777777" w:rsidR="006A6E61" w:rsidRPr="00A472FC" w:rsidRDefault="006A6E61" w:rsidP="00F7628D">
      <w:pPr>
        <w:ind w:left="709" w:right="-52" w:hanging="709"/>
        <w:rPr>
          <w:rFonts w:ascii="Times New Roman" w:hAnsi="Times New Roman" w:cs="Times New Roman"/>
          <w:color w:val="000000" w:themeColor="text1"/>
          <w:lang w:val="en-US"/>
        </w:rPr>
      </w:pPr>
      <w:r w:rsidRPr="00A472FC">
        <w:rPr>
          <w:rFonts w:ascii="Times New Roman" w:hAnsi="Times New Roman" w:cs="Times New Roman"/>
        </w:rPr>
        <w:t xml:space="preserve">———. </w:t>
      </w:r>
      <w:r w:rsidRPr="00A472FC">
        <w:rPr>
          <w:rFonts w:ascii="Times New Roman" w:hAnsi="Times New Roman" w:cs="Times New Roman"/>
          <w:i/>
          <w:iCs/>
          <w:color w:val="000000" w:themeColor="text1"/>
          <w:lang w:val="en-US"/>
        </w:rPr>
        <w:t xml:space="preserve">Opuscules </w:t>
      </w:r>
      <w:proofErr w:type="spellStart"/>
      <w:r w:rsidRPr="00A472FC">
        <w:rPr>
          <w:rFonts w:ascii="Times New Roman" w:hAnsi="Times New Roman" w:cs="Times New Roman"/>
          <w:i/>
          <w:iCs/>
          <w:color w:val="000000" w:themeColor="text1"/>
          <w:lang w:val="en-US"/>
        </w:rPr>
        <w:t>théologiques</w:t>
      </w:r>
      <w:proofErr w:type="spellEnd"/>
      <w:r w:rsidRPr="00A472FC">
        <w:rPr>
          <w:rFonts w:ascii="Times New Roman" w:hAnsi="Times New Roman" w:cs="Times New Roman"/>
          <w:i/>
          <w:iCs/>
          <w:color w:val="000000" w:themeColor="text1"/>
          <w:lang w:val="en-US"/>
        </w:rPr>
        <w:t xml:space="preserve">: </w:t>
      </w:r>
      <w:proofErr w:type="spellStart"/>
      <w:r w:rsidRPr="00A472FC">
        <w:rPr>
          <w:rFonts w:ascii="Times New Roman" w:hAnsi="Times New Roman" w:cs="Times New Roman"/>
          <w:i/>
          <w:iCs/>
          <w:color w:val="000000" w:themeColor="text1"/>
          <w:lang w:val="en-US"/>
        </w:rPr>
        <w:t>texte</w:t>
      </w:r>
      <w:proofErr w:type="spellEnd"/>
      <w:r w:rsidRPr="00A472FC">
        <w:rPr>
          <w:rFonts w:ascii="Times New Roman" w:hAnsi="Times New Roman" w:cs="Times New Roman"/>
          <w:i/>
          <w:iCs/>
          <w:color w:val="000000" w:themeColor="text1"/>
          <w:lang w:val="en-US"/>
        </w:rPr>
        <w:t xml:space="preserve"> critique </w:t>
      </w:r>
      <w:proofErr w:type="spellStart"/>
      <w:r w:rsidRPr="00A472FC">
        <w:rPr>
          <w:rFonts w:ascii="Times New Roman" w:hAnsi="Times New Roman" w:cs="Times New Roman"/>
          <w:i/>
          <w:iCs/>
          <w:color w:val="000000" w:themeColor="text1"/>
          <w:lang w:val="en-US"/>
        </w:rPr>
        <w:t>avec</w:t>
      </w:r>
      <w:proofErr w:type="spellEnd"/>
      <w:r w:rsidRPr="00A472FC">
        <w:rPr>
          <w:rFonts w:ascii="Times New Roman" w:hAnsi="Times New Roman" w:cs="Times New Roman"/>
          <w:i/>
          <w:iCs/>
          <w:color w:val="000000" w:themeColor="text1"/>
          <w:lang w:val="en-US"/>
        </w:rPr>
        <w:t xml:space="preserve"> introduction, notes et tables</w:t>
      </w:r>
      <w:r w:rsidRPr="00A472FC">
        <w:rPr>
          <w:rFonts w:ascii="Times New Roman" w:hAnsi="Times New Roman" w:cs="Times New Roman"/>
          <w:color w:val="000000" w:themeColor="text1"/>
          <w:lang w:val="en-US"/>
        </w:rPr>
        <w:t xml:space="preserve">. Edited by Jean </w:t>
      </w:r>
      <w:proofErr w:type="spellStart"/>
      <w:r w:rsidRPr="00A472FC">
        <w:rPr>
          <w:rFonts w:ascii="Times New Roman" w:hAnsi="Times New Roman" w:cs="Times New Roman"/>
          <w:color w:val="000000" w:themeColor="text1"/>
          <w:lang w:val="en-US"/>
        </w:rPr>
        <w:t>Ribaillier</w:t>
      </w:r>
      <w:proofErr w:type="spellEnd"/>
      <w:r w:rsidRPr="00A472FC">
        <w:rPr>
          <w:rFonts w:ascii="Times New Roman" w:hAnsi="Times New Roman" w:cs="Times New Roman"/>
          <w:color w:val="000000" w:themeColor="text1"/>
          <w:lang w:val="en-US"/>
        </w:rPr>
        <w:t xml:space="preserve">. Paris: </w:t>
      </w:r>
      <w:proofErr w:type="spellStart"/>
      <w:r w:rsidRPr="00A472FC">
        <w:rPr>
          <w:rFonts w:ascii="Times New Roman" w:hAnsi="Times New Roman" w:cs="Times New Roman"/>
          <w:color w:val="000000" w:themeColor="text1"/>
          <w:lang w:val="en-US"/>
        </w:rPr>
        <w:t>Vrin</w:t>
      </w:r>
      <w:proofErr w:type="spellEnd"/>
      <w:r w:rsidRPr="00A472FC">
        <w:rPr>
          <w:rFonts w:ascii="Times New Roman" w:hAnsi="Times New Roman" w:cs="Times New Roman"/>
          <w:color w:val="000000" w:themeColor="text1"/>
          <w:lang w:val="en-US"/>
        </w:rPr>
        <w:t xml:space="preserve">, 1967. </w:t>
      </w:r>
    </w:p>
    <w:p w14:paraId="6BECA82B" w14:textId="77777777" w:rsidR="006A6E61" w:rsidRPr="00A472FC" w:rsidRDefault="006A6E61" w:rsidP="00F7628D">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Roland of Cremona. </w:t>
      </w:r>
      <w:proofErr w:type="spellStart"/>
      <w:r w:rsidRPr="00A472FC">
        <w:rPr>
          <w:rFonts w:ascii="Times New Roman" w:hAnsi="Times New Roman" w:cs="Times New Roman"/>
          <w:i/>
          <w:iCs/>
        </w:rPr>
        <w:t>Summae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Magistri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Rolandi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Cremonensis</w:t>
      </w:r>
      <w:proofErr w:type="spellEnd"/>
      <w:r w:rsidRPr="00A472FC">
        <w:rPr>
          <w:rFonts w:ascii="Times New Roman" w:hAnsi="Times New Roman" w:cs="Times New Roman"/>
          <w:i/>
          <w:iCs/>
        </w:rPr>
        <w:t xml:space="preserve">, O.P., Liber </w:t>
      </w:r>
      <w:proofErr w:type="spellStart"/>
      <w:r w:rsidRPr="00A472FC">
        <w:rPr>
          <w:rFonts w:ascii="Times New Roman" w:hAnsi="Times New Roman" w:cs="Times New Roman"/>
          <w:i/>
          <w:iCs/>
        </w:rPr>
        <w:t>Secundus</w:t>
      </w:r>
      <w:proofErr w:type="spellEnd"/>
      <w:r w:rsidRPr="00A472FC">
        <w:rPr>
          <w:rFonts w:ascii="Times New Roman" w:hAnsi="Times New Roman" w:cs="Times New Roman"/>
        </w:rPr>
        <w:t xml:space="preserve">. Edited by </w:t>
      </w:r>
      <w:proofErr w:type="spellStart"/>
      <w:r w:rsidRPr="00A472FC">
        <w:rPr>
          <w:rFonts w:ascii="Times New Roman" w:hAnsi="Times New Roman" w:cs="Times New Roman"/>
        </w:rPr>
        <w:t>Aloysio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Cortesi</w:t>
      </w:r>
      <w:proofErr w:type="spellEnd"/>
      <w:r w:rsidRPr="00A472FC">
        <w:rPr>
          <w:rFonts w:ascii="Times New Roman" w:hAnsi="Times New Roman" w:cs="Times New Roman"/>
        </w:rPr>
        <w:t xml:space="preserve"> and Humberto </w:t>
      </w:r>
      <w:proofErr w:type="spellStart"/>
      <w:r w:rsidRPr="00A472FC">
        <w:rPr>
          <w:rFonts w:ascii="Times New Roman" w:hAnsi="Times New Roman" w:cs="Times New Roman"/>
        </w:rPr>
        <w:t>Midali</w:t>
      </w:r>
      <w:proofErr w:type="spellEnd"/>
      <w:r w:rsidRPr="00A472FC">
        <w:rPr>
          <w:rFonts w:ascii="Times New Roman" w:hAnsi="Times New Roman" w:cs="Times New Roman"/>
        </w:rPr>
        <w:t xml:space="preserve">. Bergamo: Umberto </w:t>
      </w:r>
      <w:proofErr w:type="spellStart"/>
      <w:r w:rsidRPr="00A472FC">
        <w:rPr>
          <w:rFonts w:ascii="Times New Roman" w:hAnsi="Times New Roman" w:cs="Times New Roman"/>
        </w:rPr>
        <w:t>Midali</w:t>
      </w:r>
      <w:proofErr w:type="spellEnd"/>
      <w:r w:rsidRPr="00A472FC">
        <w:rPr>
          <w:rFonts w:ascii="Times New Roman" w:hAnsi="Times New Roman" w:cs="Times New Roman"/>
        </w:rPr>
        <w:t>, 2016.</w:t>
      </w:r>
    </w:p>
    <w:p w14:paraId="70FC6344" w14:textId="77777777" w:rsidR="006A6E61" w:rsidRPr="00A472FC" w:rsidRDefault="006A6E61" w:rsidP="00881604">
      <w:pPr>
        <w:pStyle w:val="NormalWeb"/>
        <w:spacing w:before="0" w:beforeAutospacing="0" w:after="0" w:afterAutospacing="0"/>
        <w:ind w:left="426" w:right="-52" w:hanging="426"/>
        <w:rPr>
          <w:color w:val="000000" w:themeColor="text1"/>
        </w:rPr>
      </w:pPr>
      <w:r w:rsidRPr="00A472FC">
        <w:t xml:space="preserve">Thomas Aquinas. </w:t>
      </w:r>
      <w:proofErr w:type="spellStart"/>
      <w:r w:rsidRPr="00A472FC">
        <w:rPr>
          <w:i/>
          <w:color w:val="000000" w:themeColor="text1"/>
        </w:rPr>
        <w:t>Quaestiones</w:t>
      </w:r>
      <w:proofErr w:type="spellEnd"/>
      <w:r w:rsidRPr="00A472FC">
        <w:rPr>
          <w:i/>
          <w:color w:val="000000" w:themeColor="text1"/>
        </w:rPr>
        <w:t xml:space="preserve"> </w:t>
      </w:r>
      <w:proofErr w:type="spellStart"/>
      <w:r w:rsidRPr="00A472FC">
        <w:rPr>
          <w:i/>
          <w:color w:val="000000" w:themeColor="text1"/>
        </w:rPr>
        <w:t>disputatae</w:t>
      </w:r>
      <w:proofErr w:type="spellEnd"/>
      <w:r w:rsidRPr="00A472FC">
        <w:rPr>
          <w:i/>
          <w:color w:val="000000" w:themeColor="text1"/>
        </w:rPr>
        <w:t xml:space="preserve"> De anima</w:t>
      </w:r>
      <w:r w:rsidRPr="00A472FC">
        <w:rPr>
          <w:color w:val="000000" w:themeColor="text1"/>
        </w:rPr>
        <w:t xml:space="preserve">. Edited by Bernardo Carlos Bazán. Leonine edition, vol. 24/1. Paris: Les </w:t>
      </w:r>
      <w:proofErr w:type="spellStart"/>
      <w:r w:rsidRPr="00A472FC">
        <w:rPr>
          <w:color w:val="000000" w:themeColor="text1"/>
        </w:rPr>
        <w:t>Éditions</w:t>
      </w:r>
      <w:proofErr w:type="spellEnd"/>
      <w:r w:rsidRPr="00A472FC">
        <w:rPr>
          <w:color w:val="000000" w:themeColor="text1"/>
        </w:rPr>
        <w:t xml:space="preserve"> du </w:t>
      </w:r>
      <w:proofErr w:type="spellStart"/>
      <w:r w:rsidRPr="00A472FC">
        <w:rPr>
          <w:color w:val="000000" w:themeColor="text1"/>
        </w:rPr>
        <w:t>Cerf</w:t>
      </w:r>
      <w:proofErr w:type="spellEnd"/>
      <w:r w:rsidRPr="00A472FC">
        <w:rPr>
          <w:color w:val="000000" w:themeColor="text1"/>
        </w:rPr>
        <w:t>, 1996.</w:t>
      </w:r>
    </w:p>
    <w:p w14:paraId="1D792C67" w14:textId="77777777" w:rsidR="006A6E61" w:rsidRPr="00A472FC" w:rsidRDefault="006A6E61" w:rsidP="00881604">
      <w:pPr>
        <w:pStyle w:val="NormalWeb"/>
        <w:spacing w:before="0" w:beforeAutospacing="0" w:after="0" w:afterAutospacing="0"/>
        <w:ind w:left="426" w:right="-52" w:hanging="426"/>
        <w:rPr>
          <w:color w:val="000000" w:themeColor="text1"/>
          <w:lang w:eastAsia="en-GB"/>
        </w:rPr>
      </w:pPr>
      <w:r w:rsidRPr="00A472FC">
        <w:t xml:space="preserve">———. </w:t>
      </w:r>
      <w:r w:rsidRPr="00A472FC">
        <w:rPr>
          <w:i/>
          <w:color w:val="000000" w:themeColor="text1"/>
        </w:rPr>
        <w:t xml:space="preserve">Summa </w:t>
      </w:r>
      <w:proofErr w:type="spellStart"/>
      <w:r w:rsidRPr="00A472FC">
        <w:rPr>
          <w:i/>
          <w:color w:val="000000" w:themeColor="text1"/>
        </w:rPr>
        <w:t>Theologiae</w:t>
      </w:r>
      <w:proofErr w:type="spellEnd"/>
      <w:r w:rsidRPr="00A472FC">
        <w:rPr>
          <w:i/>
          <w:color w:val="000000" w:themeColor="text1"/>
        </w:rPr>
        <w:t xml:space="preserve">, </w:t>
      </w:r>
      <w:r w:rsidRPr="00A472FC">
        <w:rPr>
          <w:color w:val="000000" w:themeColor="text1"/>
        </w:rPr>
        <w:t>60 vols</w:t>
      </w:r>
      <w:r w:rsidRPr="00A472FC">
        <w:rPr>
          <w:i/>
          <w:color w:val="000000" w:themeColor="text1"/>
        </w:rPr>
        <w:t xml:space="preserve">. </w:t>
      </w:r>
      <w:r w:rsidRPr="00A472FC">
        <w:rPr>
          <w:color w:val="000000" w:themeColor="text1"/>
        </w:rPr>
        <w:t>Cambridge: Cambridge University Press, 2006.</w:t>
      </w:r>
    </w:p>
    <w:p w14:paraId="4CA93945" w14:textId="3761DDB0"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iCs/>
        </w:rPr>
        <w:t xml:space="preserve">William of Auvergne. </w:t>
      </w:r>
      <w:proofErr w:type="spellStart"/>
      <w:r w:rsidRPr="00A472FC">
        <w:rPr>
          <w:rFonts w:ascii="Times New Roman" w:hAnsi="Times New Roman" w:cs="Times New Roman"/>
          <w:i/>
          <w:iCs/>
        </w:rPr>
        <w:t>Guillelmi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Alverni</w:t>
      </w:r>
      <w:proofErr w:type="spellEnd"/>
      <w:r w:rsidRPr="00A472FC">
        <w:rPr>
          <w:rFonts w:ascii="Times New Roman" w:hAnsi="Times New Roman" w:cs="Times New Roman"/>
          <w:i/>
          <w:iCs/>
        </w:rPr>
        <w:t xml:space="preserve"> Opera </w:t>
      </w:r>
      <w:proofErr w:type="spellStart"/>
      <w:r w:rsidRPr="00A472FC">
        <w:rPr>
          <w:rFonts w:ascii="Times New Roman" w:hAnsi="Times New Roman" w:cs="Times New Roman"/>
          <w:i/>
          <w:iCs/>
        </w:rPr>
        <w:t>omnia</w:t>
      </w:r>
      <w:proofErr w:type="spellEnd"/>
      <w:r w:rsidR="003064AB" w:rsidRPr="00A472FC">
        <w:rPr>
          <w:rFonts w:ascii="Times New Roman" w:hAnsi="Times New Roman" w:cs="Times New Roman"/>
          <w:i/>
          <w:iCs/>
        </w:rPr>
        <w:t xml:space="preserve">, </w:t>
      </w:r>
      <w:r w:rsidRPr="00A472FC">
        <w:rPr>
          <w:rFonts w:ascii="Times New Roman" w:hAnsi="Times New Roman" w:cs="Times New Roman"/>
        </w:rPr>
        <w:t>2 vols. Paris, 1674.</w:t>
      </w:r>
    </w:p>
    <w:p w14:paraId="1306DB58" w14:textId="4287FE34"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The Soul.</w:t>
      </w:r>
      <w:r w:rsidRPr="00A472FC">
        <w:rPr>
          <w:rFonts w:ascii="Times New Roman" w:hAnsi="Times New Roman" w:cs="Times New Roman"/>
        </w:rPr>
        <w:t xml:space="preserve"> Translated by Roland J. </w:t>
      </w:r>
      <w:proofErr w:type="spellStart"/>
      <w:r w:rsidRPr="00A472FC">
        <w:rPr>
          <w:rFonts w:ascii="Times New Roman" w:hAnsi="Times New Roman" w:cs="Times New Roman"/>
        </w:rPr>
        <w:t>Teske</w:t>
      </w:r>
      <w:proofErr w:type="spellEnd"/>
      <w:r w:rsidRPr="00A472FC">
        <w:rPr>
          <w:rFonts w:ascii="Times New Roman" w:hAnsi="Times New Roman" w:cs="Times New Roman"/>
        </w:rPr>
        <w:t>, S.J</w:t>
      </w:r>
      <w:r w:rsidR="00CC7478" w:rsidRPr="00A472FC">
        <w:rPr>
          <w:rFonts w:ascii="Times New Roman" w:hAnsi="Times New Roman" w:cs="Times New Roman"/>
        </w:rPr>
        <w:t xml:space="preserve">. </w:t>
      </w:r>
      <w:r w:rsidRPr="00A472FC">
        <w:rPr>
          <w:rFonts w:ascii="Times New Roman" w:hAnsi="Times New Roman" w:cs="Times New Roman"/>
        </w:rPr>
        <w:t>Milwaukee: Marquette University Press, 2000.</w:t>
      </w:r>
    </w:p>
    <w:p w14:paraId="09197931"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William of </w:t>
      </w:r>
      <w:proofErr w:type="spellStart"/>
      <w:r w:rsidRPr="00A472FC">
        <w:rPr>
          <w:rFonts w:ascii="Times New Roman" w:hAnsi="Times New Roman" w:cs="Times New Roman"/>
        </w:rPr>
        <w:t>Auxerre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iCs/>
        </w:rPr>
        <w:t>Magistri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Guillelmi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Altissiodorensis</w:t>
      </w:r>
      <w:proofErr w:type="spellEnd"/>
      <w:r w:rsidRPr="00A472FC">
        <w:rPr>
          <w:rFonts w:ascii="Times New Roman" w:hAnsi="Times New Roman" w:cs="Times New Roman"/>
          <w:i/>
          <w:iCs/>
        </w:rPr>
        <w:t xml:space="preserve"> Summa </w:t>
      </w:r>
      <w:proofErr w:type="spellStart"/>
      <w:r w:rsidRPr="00A472FC">
        <w:rPr>
          <w:rFonts w:ascii="Times New Roman" w:hAnsi="Times New Roman" w:cs="Times New Roman"/>
          <w:i/>
          <w:iCs/>
        </w:rPr>
        <w:t>aurea</w:t>
      </w:r>
      <w:proofErr w:type="spellEnd"/>
      <w:r w:rsidRPr="00A472FC">
        <w:rPr>
          <w:rFonts w:ascii="Times New Roman" w:hAnsi="Times New Roman" w:cs="Times New Roman"/>
          <w:i/>
          <w:iCs/>
        </w:rPr>
        <w:t>.</w:t>
      </w:r>
      <w:r w:rsidRPr="00A472FC">
        <w:rPr>
          <w:rFonts w:ascii="Times New Roman" w:hAnsi="Times New Roman" w:cs="Times New Roman"/>
        </w:rPr>
        <w:t xml:space="preserve"> </w:t>
      </w:r>
      <w:proofErr w:type="spellStart"/>
      <w:r w:rsidRPr="00A472FC">
        <w:rPr>
          <w:rFonts w:ascii="Times New Roman" w:hAnsi="Times New Roman" w:cs="Times New Roman"/>
        </w:rPr>
        <w:t>Spicilegium</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Bonaventurianum</w:t>
      </w:r>
      <w:proofErr w:type="spellEnd"/>
      <w:r w:rsidRPr="00A472FC">
        <w:rPr>
          <w:rFonts w:ascii="Times New Roman" w:hAnsi="Times New Roman" w:cs="Times New Roman"/>
        </w:rPr>
        <w:t xml:space="preserve"> 16-20. Edited by Jean </w:t>
      </w:r>
      <w:proofErr w:type="spellStart"/>
      <w:r w:rsidRPr="00A472FC">
        <w:rPr>
          <w:rFonts w:ascii="Times New Roman" w:hAnsi="Times New Roman" w:cs="Times New Roman"/>
        </w:rPr>
        <w:t>Ribaillier</w:t>
      </w:r>
      <w:proofErr w:type="spellEnd"/>
      <w:r w:rsidRPr="00A472FC">
        <w:rPr>
          <w:rFonts w:ascii="Times New Roman" w:hAnsi="Times New Roman" w:cs="Times New Roman"/>
        </w:rPr>
        <w:t>. Rome: Collegium S. Bonaventurae ad Claras Aquas, 1980–7.</w:t>
      </w:r>
    </w:p>
    <w:p w14:paraId="56F252FA" w14:textId="163C9C05" w:rsidR="006A6E61" w:rsidRPr="00A472FC" w:rsidRDefault="006A6E61" w:rsidP="00CD055F">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William of St Thierry. ‘The Nature of the Body and the Soul (</w:t>
      </w:r>
      <w:r w:rsidRPr="00A472FC">
        <w:rPr>
          <w:rFonts w:ascii="Times New Roman" w:hAnsi="Times New Roman" w:cs="Times New Roman"/>
          <w:i/>
        </w:rPr>
        <w:t xml:space="preserve">De </w:t>
      </w:r>
      <w:proofErr w:type="spellStart"/>
      <w:r w:rsidRPr="00A472FC">
        <w:rPr>
          <w:rFonts w:ascii="Times New Roman" w:hAnsi="Times New Roman" w:cs="Times New Roman"/>
          <w:i/>
        </w:rPr>
        <w:t>natura</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corporis</w:t>
      </w:r>
      <w:proofErr w:type="spellEnd"/>
      <w:r w:rsidRPr="00A472FC">
        <w:rPr>
          <w:rFonts w:ascii="Times New Roman" w:hAnsi="Times New Roman" w:cs="Times New Roman"/>
          <w:i/>
        </w:rPr>
        <w:t xml:space="preserve"> et </w:t>
      </w:r>
      <w:proofErr w:type="spellStart"/>
      <w:r w:rsidRPr="00A472FC">
        <w:rPr>
          <w:rFonts w:ascii="Times New Roman" w:hAnsi="Times New Roman" w:cs="Times New Roman"/>
          <w:i/>
        </w:rPr>
        <w:t>animae</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libri</w:t>
      </w:r>
      <w:proofErr w:type="spellEnd"/>
      <w:r w:rsidRPr="00A472FC">
        <w:rPr>
          <w:rFonts w:ascii="Times New Roman" w:hAnsi="Times New Roman" w:cs="Times New Roman"/>
          <w:i/>
        </w:rPr>
        <w:t xml:space="preserve"> duo</w:t>
      </w:r>
      <w:r w:rsidRPr="00A472FC">
        <w:rPr>
          <w:rFonts w:ascii="Times New Roman" w:hAnsi="Times New Roman" w:cs="Times New Roman"/>
        </w:rPr>
        <w:t xml:space="preserve">).’ Translated by Benjamin Clark. In </w:t>
      </w:r>
      <w:r w:rsidRPr="00A472FC">
        <w:rPr>
          <w:rFonts w:ascii="Times New Roman" w:hAnsi="Times New Roman" w:cs="Times New Roman"/>
          <w:i/>
          <w:iCs/>
        </w:rPr>
        <w:t>Three Treatises on Man: A Cistercian Anthropology</w:t>
      </w:r>
      <w:r w:rsidR="003C2726" w:rsidRPr="00A472FC">
        <w:rPr>
          <w:rFonts w:ascii="Times New Roman" w:hAnsi="Times New Roman" w:cs="Times New Roman"/>
        </w:rPr>
        <w:t>. E</w:t>
      </w:r>
      <w:r w:rsidRPr="00A472FC">
        <w:rPr>
          <w:rFonts w:ascii="Times New Roman" w:hAnsi="Times New Roman" w:cs="Times New Roman"/>
        </w:rPr>
        <w:t xml:space="preserve">dited by Bernard </w:t>
      </w:r>
      <w:proofErr w:type="spellStart"/>
      <w:r w:rsidRPr="00A472FC">
        <w:rPr>
          <w:rFonts w:ascii="Times New Roman" w:hAnsi="Times New Roman" w:cs="Times New Roman"/>
        </w:rPr>
        <w:t>McGinn</w:t>
      </w:r>
      <w:proofErr w:type="spellEnd"/>
      <w:r w:rsidRPr="00A472FC">
        <w:rPr>
          <w:rFonts w:ascii="Times New Roman" w:hAnsi="Times New Roman" w:cs="Times New Roman"/>
        </w:rPr>
        <w:t>, 101-52. Kalamazoo: Cistercian Publications, 1977.</w:t>
      </w:r>
    </w:p>
    <w:p w14:paraId="4ED16347" w14:textId="6C78D0FB" w:rsidR="006A6E61" w:rsidRPr="00A472FC" w:rsidRDefault="006A6E61" w:rsidP="00881604">
      <w:pPr>
        <w:ind w:right="-52"/>
        <w:rPr>
          <w:rFonts w:ascii="Times New Roman" w:hAnsi="Times New Roman" w:cs="Times New Roman"/>
        </w:rPr>
      </w:pPr>
      <w:r w:rsidRPr="00A472FC">
        <w:rPr>
          <w:rFonts w:ascii="Times New Roman" w:hAnsi="Times New Roman" w:cs="Times New Roman"/>
        </w:rPr>
        <w:br w:type="page"/>
      </w:r>
      <w:r w:rsidRPr="00A472FC">
        <w:rPr>
          <w:rFonts w:ascii="Times New Roman" w:hAnsi="Times New Roman" w:cs="Times New Roman"/>
          <w:b/>
          <w:bCs/>
        </w:rPr>
        <w:lastRenderedPageBreak/>
        <w:t>Secondary Literature</w:t>
      </w:r>
    </w:p>
    <w:p w14:paraId="51DA89D6" w14:textId="77777777" w:rsidR="006A6E61" w:rsidRPr="00A472FC" w:rsidRDefault="006A6E61" w:rsidP="00881604">
      <w:pPr>
        <w:ind w:right="-52"/>
        <w:rPr>
          <w:rFonts w:ascii="Times New Roman" w:hAnsi="Times New Roman" w:cs="Times New Roman"/>
        </w:rPr>
      </w:pPr>
    </w:p>
    <w:p w14:paraId="47E6B7ED" w14:textId="18136D2D"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Adelman</w:t>
      </w:r>
      <w:proofErr w:type="spellEnd"/>
      <w:r w:rsidRPr="00A472FC">
        <w:rPr>
          <w:rFonts w:ascii="Times New Roman" w:hAnsi="Times New Roman" w:cs="Times New Roman"/>
        </w:rPr>
        <w:t xml:space="preserve">, Frederick J. ‘The Theory of Will in St John Damascene.’ In </w:t>
      </w:r>
      <w:r w:rsidRPr="00A472FC">
        <w:rPr>
          <w:rFonts w:ascii="Times New Roman" w:hAnsi="Times New Roman" w:cs="Times New Roman"/>
          <w:i/>
          <w:iCs/>
        </w:rPr>
        <w:t>The Quest for the Absolute</w:t>
      </w:r>
      <w:r w:rsidRPr="00A472FC">
        <w:rPr>
          <w:rFonts w:ascii="Times New Roman" w:hAnsi="Times New Roman" w:cs="Times New Roman"/>
        </w:rPr>
        <w:t xml:space="preserve">. Edited by Frederick J. </w:t>
      </w:r>
      <w:proofErr w:type="spellStart"/>
      <w:r w:rsidRPr="00A472FC">
        <w:rPr>
          <w:rFonts w:ascii="Times New Roman" w:hAnsi="Times New Roman" w:cs="Times New Roman"/>
        </w:rPr>
        <w:t>Adelman</w:t>
      </w:r>
      <w:proofErr w:type="spellEnd"/>
      <w:r w:rsidRPr="00A472FC">
        <w:rPr>
          <w:rFonts w:ascii="Times New Roman" w:hAnsi="Times New Roman" w:cs="Times New Roman"/>
        </w:rPr>
        <w:t>, 22-37. Chestnut Hill: Boston College, 1966.</w:t>
      </w:r>
    </w:p>
    <w:p w14:paraId="050A6BD5" w14:textId="77777777" w:rsidR="00716210" w:rsidRPr="00A472FC" w:rsidRDefault="00716210"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Aertsen</w:t>
      </w:r>
      <w:proofErr w:type="spellEnd"/>
      <w:r w:rsidRPr="00A472FC">
        <w:rPr>
          <w:rFonts w:ascii="Times New Roman" w:hAnsi="Times New Roman" w:cs="Times New Roman"/>
        </w:rPr>
        <w:t xml:space="preserve">, Jan. </w:t>
      </w:r>
      <w:r w:rsidRPr="00A472FC">
        <w:rPr>
          <w:rFonts w:ascii="Times New Roman" w:hAnsi="Times New Roman" w:cs="Times New Roman"/>
          <w:i/>
          <w:iCs/>
        </w:rPr>
        <w:t xml:space="preserve">Medieval Philosophy as Transcendental Thought: From Philip the Chancellor to Francisco Suarez. </w:t>
      </w:r>
      <w:r w:rsidRPr="00A472FC">
        <w:rPr>
          <w:rFonts w:ascii="Times New Roman" w:hAnsi="Times New Roman" w:cs="Times New Roman"/>
        </w:rPr>
        <w:t xml:space="preserve">Leiden: Brill, 2012. </w:t>
      </w:r>
    </w:p>
    <w:p w14:paraId="792AC920" w14:textId="4FF4FFE9"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Alpina</w:t>
      </w:r>
      <w:proofErr w:type="spellEnd"/>
      <w:r w:rsidRPr="00A472FC">
        <w:rPr>
          <w:rFonts w:ascii="Times New Roman" w:hAnsi="Times New Roman" w:cs="Times New Roman"/>
        </w:rPr>
        <w:t xml:space="preserve">, Tommaso. ‘Intellectual Knowledge, Active Intellect, and Intellectual Memory in Avicenna’s </w:t>
      </w:r>
      <w:proofErr w:type="spellStart"/>
      <w:r w:rsidRPr="00A472FC">
        <w:rPr>
          <w:rFonts w:ascii="Times New Roman" w:hAnsi="Times New Roman" w:cs="Times New Roman"/>
        </w:rPr>
        <w:t>Kitab</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al-Nafs</w:t>
      </w:r>
      <w:proofErr w:type="spellEnd"/>
      <w:r w:rsidRPr="00A472FC">
        <w:rPr>
          <w:rFonts w:ascii="Times New Roman" w:hAnsi="Times New Roman" w:cs="Times New Roman"/>
        </w:rPr>
        <w:t xml:space="preserve"> and Its Aristotelian Background.’ </w:t>
      </w:r>
      <w:proofErr w:type="spellStart"/>
      <w:r w:rsidRPr="00A472FC">
        <w:rPr>
          <w:rFonts w:ascii="Times New Roman" w:hAnsi="Times New Roman" w:cs="Times New Roman"/>
          <w:i/>
          <w:iCs/>
        </w:rPr>
        <w:t>Documenti</w:t>
      </w:r>
      <w:proofErr w:type="spellEnd"/>
      <w:r w:rsidRPr="00A472FC">
        <w:rPr>
          <w:rFonts w:ascii="Times New Roman" w:hAnsi="Times New Roman" w:cs="Times New Roman"/>
          <w:i/>
          <w:iCs/>
        </w:rPr>
        <w:t xml:space="preserve"> e </w:t>
      </w:r>
      <w:proofErr w:type="spellStart"/>
      <w:r w:rsidRPr="00A472FC">
        <w:rPr>
          <w:rFonts w:ascii="Times New Roman" w:hAnsi="Times New Roman" w:cs="Times New Roman"/>
          <w:i/>
          <w:iCs/>
        </w:rPr>
        <w:t>studi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sulla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tradizione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filosofica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medievale</w:t>
      </w:r>
      <w:proofErr w:type="spellEnd"/>
      <w:r w:rsidRPr="00A472FC">
        <w:rPr>
          <w:rFonts w:ascii="Times New Roman" w:hAnsi="Times New Roman" w:cs="Times New Roman"/>
          <w:i/>
          <w:iCs/>
        </w:rPr>
        <w:t xml:space="preserve"> </w:t>
      </w:r>
      <w:r w:rsidRPr="00A472FC">
        <w:rPr>
          <w:rFonts w:ascii="Times New Roman" w:hAnsi="Times New Roman" w:cs="Times New Roman"/>
        </w:rPr>
        <w:t>25 (2014): 131-83.</w:t>
      </w:r>
    </w:p>
    <w:p w14:paraId="3CB26BE0" w14:textId="37CF8DB2" w:rsidR="00B173E1" w:rsidRPr="00A472FC" w:rsidRDefault="00B173E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Andrée</w:t>
      </w:r>
      <w:proofErr w:type="spellEnd"/>
      <w:r w:rsidRPr="00A472FC">
        <w:rPr>
          <w:rFonts w:ascii="Times New Roman" w:hAnsi="Times New Roman" w:cs="Times New Roman"/>
        </w:rPr>
        <w:t>, Alexander</w:t>
      </w:r>
      <w:r w:rsidR="000871CF" w:rsidRPr="00A472FC">
        <w:rPr>
          <w:rFonts w:ascii="Times New Roman" w:hAnsi="Times New Roman" w:cs="Times New Roman"/>
        </w:rPr>
        <w:t xml:space="preserve">. </w:t>
      </w:r>
      <w:r w:rsidRPr="00A472FC">
        <w:rPr>
          <w:rFonts w:ascii="Times New Roman" w:hAnsi="Times New Roman" w:cs="Times New Roman"/>
        </w:rPr>
        <w:t>‘</w:t>
      </w:r>
      <w:proofErr w:type="spellStart"/>
      <w:r w:rsidRPr="00A472FC">
        <w:rPr>
          <w:rFonts w:ascii="Times New Roman" w:hAnsi="Times New Roman" w:cs="Times New Roman"/>
        </w:rPr>
        <w:t>Laon</w:t>
      </w:r>
      <w:proofErr w:type="spellEnd"/>
      <w:r w:rsidRPr="00A472FC">
        <w:rPr>
          <w:rFonts w:ascii="Times New Roman" w:hAnsi="Times New Roman" w:cs="Times New Roman"/>
        </w:rPr>
        <w:t xml:space="preserve"> Revisited: Master Anselm and the Creation of a Theological School in the Twelfth Century.’ </w:t>
      </w:r>
      <w:r w:rsidRPr="00A472FC">
        <w:rPr>
          <w:rFonts w:ascii="Times New Roman" w:hAnsi="Times New Roman" w:cs="Times New Roman"/>
          <w:i/>
          <w:iCs/>
        </w:rPr>
        <w:t xml:space="preserve">Journal of Medieval Latin </w:t>
      </w:r>
      <w:r w:rsidRPr="00A472FC">
        <w:rPr>
          <w:rFonts w:ascii="Times New Roman" w:hAnsi="Times New Roman" w:cs="Times New Roman"/>
        </w:rPr>
        <w:t>22 (2012)</w:t>
      </w:r>
      <w:r w:rsidR="00E36DD5" w:rsidRPr="00A472FC">
        <w:rPr>
          <w:rFonts w:ascii="Times New Roman" w:hAnsi="Times New Roman" w:cs="Times New Roman"/>
        </w:rPr>
        <w:t>:</w:t>
      </w:r>
      <w:r w:rsidRPr="00A472FC">
        <w:rPr>
          <w:rFonts w:ascii="Times New Roman" w:hAnsi="Times New Roman" w:cs="Times New Roman"/>
        </w:rPr>
        <w:t xml:space="preserve"> 257-81.</w:t>
      </w:r>
    </w:p>
    <w:p w14:paraId="7972BC25" w14:textId="0D277049"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Arnold, Johannes. </w:t>
      </w:r>
      <w:r w:rsidRPr="00A472FC">
        <w:rPr>
          <w:rFonts w:ascii="Times New Roman" w:hAnsi="Times New Roman" w:cs="Times New Roman"/>
          <w:i/>
          <w:iCs/>
        </w:rPr>
        <w:t xml:space="preserve">Perfecta </w:t>
      </w:r>
      <w:proofErr w:type="spellStart"/>
      <w:r w:rsidRPr="00A472FC">
        <w:rPr>
          <w:rFonts w:ascii="Times New Roman" w:hAnsi="Times New Roman" w:cs="Times New Roman"/>
          <w:i/>
          <w:iCs/>
        </w:rPr>
        <w:t>Communicatio</w:t>
      </w:r>
      <w:proofErr w:type="spellEnd"/>
      <w:r w:rsidR="005E0F7C" w:rsidRPr="00A472FC">
        <w:rPr>
          <w:rFonts w:ascii="Times New Roman" w:hAnsi="Times New Roman" w:cs="Times New Roman"/>
          <w:i/>
          <w:iCs/>
        </w:rPr>
        <w:t>:</w:t>
      </w:r>
      <w:r w:rsidRPr="00A472FC">
        <w:rPr>
          <w:rFonts w:ascii="Times New Roman" w:hAnsi="Times New Roman" w:cs="Times New Roman"/>
          <w:i/>
          <w:iCs/>
        </w:rPr>
        <w:t xml:space="preserve"> Die </w:t>
      </w:r>
      <w:proofErr w:type="spellStart"/>
      <w:r w:rsidRPr="00A472FC">
        <w:rPr>
          <w:rFonts w:ascii="Times New Roman" w:hAnsi="Times New Roman" w:cs="Times New Roman"/>
          <w:i/>
          <w:iCs/>
        </w:rPr>
        <w:t>Trinitätstheologie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Wilhelms</w:t>
      </w:r>
      <w:proofErr w:type="spellEnd"/>
      <w:r w:rsidRPr="00A472FC">
        <w:rPr>
          <w:rFonts w:ascii="Times New Roman" w:hAnsi="Times New Roman" w:cs="Times New Roman"/>
          <w:i/>
          <w:iCs/>
        </w:rPr>
        <w:t xml:space="preserve"> von </w:t>
      </w:r>
      <w:proofErr w:type="spellStart"/>
      <w:r w:rsidRPr="00A472FC">
        <w:rPr>
          <w:rFonts w:ascii="Times New Roman" w:hAnsi="Times New Roman" w:cs="Times New Roman"/>
          <w:i/>
          <w:iCs/>
        </w:rPr>
        <w:t>Auxerre</w:t>
      </w:r>
      <w:proofErr w:type="spellEnd"/>
      <w:r w:rsidRPr="00A472FC">
        <w:rPr>
          <w:rFonts w:ascii="Times New Roman" w:hAnsi="Times New Roman" w:cs="Times New Roman"/>
          <w:i/>
          <w:iCs/>
        </w:rPr>
        <w:t>.</w:t>
      </w:r>
      <w:r w:rsidRPr="00A472FC">
        <w:rPr>
          <w:rFonts w:ascii="Times New Roman" w:hAnsi="Times New Roman" w:cs="Times New Roman"/>
        </w:rPr>
        <w:t xml:space="preserve"> Münster: </w:t>
      </w:r>
      <w:proofErr w:type="spellStart"/>
      <w:r w:rsidRPr="00A472FC">
        <w:rPr>
          <w:rFonts w:ascii="Times New Roman" w:hAnsi="Times New Roman" w:cs="Times New Roman"/>
        </w:rPr>
        <w:t>Aschendorff</w:t>
      </w:r>
      <w:proofErr w:type="spellEnd"/>
      <w:r w:rsidRPr="00A472FC">
        <w:rPr>
          <w:rFonts w:ascii="Times New Roman" w:hAnsi="Times New Roman" w:cs="Times New Roman"/>
        </w:rPr>
        <w:t>, 1995.</w:t>
      </w:r>
    </w:p>
    <w:p w14:paraId="41A8CA75"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Backus, </w:t>
      </w:r>
      <w:proofErr w:type="spellStart"/>
      <w:r w:rsidRPr="00A472FC">
        <w:rPr>
          <w:rFonts w:ascii="Times New Roman" w:hAnsi="Times New Roman" w:cs="Times New Roman"/>
        </w:rPr>
        <w:t>Irena</w:t>
      </w:r>
      <w:proofErr w:type="spellEnd"/>
      <w:r w:rsidRPr="00A472FC">
        <w:rPr>
          <w:rFonts w:ascii="Times New Roman" w:hAnsi="Times New Roman" w:cs="Times New Roman"/>
        </w:rPr>
        <w:t xml:space="preserve">. ‘John of Damascus, </w:t>
      </w:r>
      <w:r w:rsidRPr="00A472FC">
        <w:rPr>
          <w:rFonts w:ascii="Times New Roman" w:hAnsi="Times New Roman" w:cs="Times New Roman"/>
          <w:i/>
        </w:rPr>
        <w:t xml:space="preserve">De fide </w:t>
      </w:r>
      <w:proofErr w:type="spellStart"/>
      <w:r w:rsidRPr="00A472FC">
        <w:rPr>
          <w:rFonts w:ascii="Times New Roman" w:hAnsi="Times New Roman" w:cs="Times New Roman"/>
          <w:i/>
        </w:rPr>
        <w:t>orthodoxa</w:t>
      </w:r>
      <w:proofErr w:type="spellEnd"/>
      <w:r w:rsidRPr="00A472FC">
        <w:rPr>
          <w:rFonts w:ascii="Times New Roman" w:hAnsi="Times New Roman" w:cs="Times New Roman"/>
        </w:rPr>
        <w:t xml:space="preserve">: Translations by </w:t>
      </w:r>
      <w:proofErr w:type="spellStart"/>
      <w:r w:rsidRPr="00A472FC">
        <w:rPr>
          <w:rFonts w:ascii="Times New Roman" w:hAnsi="Times New Roman" w:cs="Times New Roman"/>
        </w:rPr>
        <w:t>Burgundio</w:t>
      </w:r>
      <w:proofErr w:type="spellEnd"/>
      <w:r w:rsidRPr="00A472FC">
        <w:rPr>
          <w:rFonts w:ascii="Times New Roman" w:hAnsi="Times New Roman" w:cs="Times New Roman"/>
        </w:rPr>
        <w:t xml:space="preserve"> (1153/4), </w:t>
      </w:r>
      <w:proofErr w:type="spellStart"/>
      <w:r w:rsidRPr="00A472FC">
        <w:rPr>
          <w:rFonts w:ascii="Times New Roman" w:hAnsi="Times New Roman" w:cs="Times New Roman"/>
        </w:rPr>
        <w:t>Grosseteste</w:t>
      </w:r>
      <w:proofErr w:type="spellEnd"/>
      <w:r w:rsidRPr="00A472FC">
        <w:rPr>
          <w:rFonts w:ascii="Times New Roman" w:hAnsi="Times New Roman" w:cs="Times New Roman"/>
        </w:rPr>
        <w:t xml:space="preserve"> (1235/40) and Lefèvre </w:t>
      </w:r>
      <w:proofErr w:type="spellStart"/>
      <w:r w:rsidRPr="00A472FC">
        <w:rPr>
          <w:rFonts w:ascii="Times New Roman" w:hAnsi="Times New Roman" w:cs="Times New Roman"/>
        </w:rPr>
        <w:t>d’Etaples</w:t>
      </w:r>
      <w:proofErr w:type="spellEnd"/>
      <w:r w:rsidRPr="00A472FC">
        <w:rPr>
          <w:rFonts w:ascii="Times New Roman" w:hAnsi="Times New Roman" w:cs="Times New Roman"/>
        </w:rPr>
        <w:t xml:space="preserve"> (1507).’ </w:t>
      </w:r>
      <w:r w:rsidRPr="00A472FC">
        <w:rPr>
          <w:rFonts w:ascii="Times New Roman" w:hAnsi="Times New Roman" w:cs="Times New Roman"/>
          <w:i/>
          <w:iCs/>
        </w:rPr>
        <w:t xml:space="preserve">Journal of the Warburg and </w:t>
      </w:r>
      <w:proofErr w:type="spellStart"/>
      <w:r w:rsidRPr="00A472FC">
        <w:rPr>
          <w:rFonts w:ascii="Times New Roman" w:hAnsi="Times New Roman" w:cs="Times New Roman"/>
          <w:i/>
          <w:iCs/>
        </w:rPr>
        <w:t>Courtauld</w:t>
      </w:r>
      <w:proofErr w:type="spellEnd"/>
      <w:r w:rsidRPr="00A472FC">
        <w:rPr>
          <w:rFonts w:ascii="Times New Roman" w:hAnsi="Times New Roman" w:cs="Times New Roman"/>
          <w:i/>
          <w:iCs/>
        </w:rPr>
        <w:t xml:space="preserve"> Institutes </w:t>
      </w:r>
      <w:r w:rsidRPr="00A472FC">
        <w:rPr>
          <w:rFonts w:ascii="Times New Roman" w:hAnsi="Times New Roman" w:cs="Times New Roman"/>
        </w:rPr>
        <w:t>49 (1986): 211-17.</w:t>
      </w:r>
    </w:p>
    <w:p w14:paraId="036BBD74" w14:textId="6858E605"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Baldwin, John W. </w:t>
      </w:r>
      <w:r w:rsidRPr="00A472FC">
        <w:rPr>
          <w:rFonts w:ascii="Times New Roman" w:hAnsi="Times New Roman" w:cs="Times New Roman"/>
          <w:i/>
          <w:iCs/>
        </w:rPr>
        <w:t>Masters, Princes and Merchants: The Social Views of Peter the Chanter and His Circle</w:t>
      </w:r>
      <w:r w:rsidR="0018468D" w:rsidRPr="00A472FC">
        <w:rPr>
          <w:rFonts w:ascii="Times New Roman" w:hAnsi="Times New Roman" w:cs="Times New Roman"/>
          <w:i/>
          <w:iCs/>
        </w:rPr>
        <w:t xml:space="preserve">, </w:t>
      </w:r>
      <w:r w:rsidR="0018468D" w:rsidRPr="00A472FC">
        <w:rPr>
          <w:rFonts w:ascii="Times New Roman" w:hAnsi="Times New Roman" w:cs="Times New Roman"/>
        </w:rPr>
        <w:t>v</w:t>
      </w:r>
      <w:r w:rsidRPr="00A472FC">
        <w:rPr>
          <w:rFonts w:ascii="Times New Roman" w:hAnsi="Times New Roman" w:cs="Times New Roman"/>
        </w:rPr>
        <w:t>ol. 1, Princeton: Princeton University Press, 1970.</w:t>
      </w:r>
    </w:p>
    <w:p w14:paraId="574FC18A"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‘Masters at Paris from 1179-1215.’ In </w:t>
      </w:r>
      <w:r w:rsidRPr="00A472FC">
        <w:rPr>
          <w:rFonts w:ascii="Times New Roman" w:hAnsi="Times New Roman" w:cs="Times New Roman"/>
          <w:i/>
          <w:iCs/>
        </w:rPr>
        <w:t>Renaissance and Renewal in the Twelfth Century</w:t>
      </w:r>
      <w:r w:rsidRPr="00A472FC">
        <w:rPr>
          <w:rFonts w:ascii="Times New Roman" w:hAnsi="Times New Roman" w:cs="Times New Roman"/>
        </w:rPr>
        <w:t>. Edited by Robert L. Benson and Giles Constable, 138-72. Oxford: Clarendon Press, 1982.</w:t>
      </w:r>
    </w:p>
    <w:p w14:paraId="29C0A007" w14:textId="60588ACD"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lang w:val="en-US"/>
        </w:rPr>
        <w:t>Bataillon</w:t>
      </w:r>
      <w:proofErr w:type="spellEnd"/>
      <w:r w:rsidRPr="00A472FC">
        <w:rPr>
          <w:rFonts w:ascii="Times New Roman" w:hAnsi="Times New Roman" w:cs="Times New Roman"/>
          <w:lang w:val="en-US"/>
        </w:rPr>
        <w:t>, Louis Jacques. ‘</w:t>
      </w:r>
      <w:proofErr w:type="spellStart"/>
      <w:r w:rsidRPr="00A472FC">
        <w:rPr>
          <w:rFonts w:ascii="Times New Roman" w:hAnsi="Times New Roman" w:cs="Times New Roman"/>
          <w:lang w:val="en-US"/>
        </w:rPr>
        <w:t>Problèmes</w:t>
      </w:r>
      <w:proofErr w:type="spellEnd"/>
      <w:r w:rsidRPr="00A472FC">
        <w:rPr>
          <w:rFonts w:ascii="Times New Roman" w:hAnsi="Times New Roman" w:cs="Times New Roman"/>
          <w:lang w:val="en-US"/>
        </w:rPr>
        <w:t xml:space="preserve"> </w:t>
      </w:r>
      <w:proofErr w:type="spellStart"/>
      <w:r w:rsidRPr="00A472FC">
        <w:rPr>
          <w:rFonts w:ascii="Times New Roman" w:hAnsi="Times New Roman" w:cs="Times New Roman"/>
          <w:lang w:val="en-US"/>
        </w:rPr>
        <w:t>philosophiques</w:t>
      </w:r>
      <w:proofErr w:type="spellEnd"/>
      <w:r w:rsidRPr="00A472FC">
        <w:rPr>
          <w:rFonts w:ascii="Times New Roman" w:hAnsi="Times New Roman" w:cs="Times New Roman"/>
          <w:lang w:val="en-US"/>
        </w:rPr>
        <w:t xml:space="preserve"> dans les oeuvres </w:t>
      </w:r>
      <w:proofErr w:type="spellStart"/>
      <w:r w:rsidRPr="00A472FC">
        <w:rPr>
          <w:rFonts w:ascii="Times New Roman" w:hAnsi="Times New Roman" w:cs="Times New Roman"/>
          <w:lang w:val="en-US"/>
        </w:rPr>
        <w:t>théologiques</w:t>
      </w:r>
      <w:proofErr w:type="spellEnd"/>
      <w:r w:rsidRPr="00A472FC">
        <w:rPr>
          <w:rFonts w:ascii="Times New Roman" w:hAnsi="Times New Roman" w:cs="Times New Roman"/>
          <w:lang w:val="en-US"/>
        </w:rPr>
        <w:t xml:space="preserve">.’ In </w:t>
      </w:r>
      <w:proofErr w:type="spellStart"/>
      <w:r w:rsidRPr="00A472FC">
        <w:rPr>
          <w:rFonts w:ascii="Times New Roman" w:hAnsi="Times New Roman" w:cs="Times New Roman"/>
          <w:i/>
          <w:lang w:val="en-US"/>
        </w:rPr>
        <w:t>L'enseignement</w:t>
      </w:r>
      <w:proofErr w:type="spellEnd"/>
      <w:r w:rsidRPr="00A472FC">
        <w:rPr>
          <w:rFonts w:ascii="Times New Roman" w:hAnsi="Times New Roman" w:cs="Times New Roman"/>
          <w:i/>
          <w:lang w:val="en-US"/>
        </w:rPr>
        <w:t xml:space="preserve"> des disciplines à la </w:t>
      </w:r>
      <w:proofErr w:type="spellStart"/>
      <w:r w:rsidRPr="00A472FC">
        <w:rPr>
          <w:rFonts w:ascii="Times New Roman" w:hAnsi="Times New Roman" w:cs="Times New Roman"/>
          <w:i/>
          <w:lang w:val="en-US"/>
        </w:rPr>
        <w:t>Faculté</w:t>
      </w:r>
      <w:proofErr w:type="spellEnd"/>
      <w:r w:rsidRPr="00A472FC">
        <w:rPr>
          <w:rFonts w:ascii="Times New Roman" w:hAnsi="Times New Roman" w:cs="Times New Roman"/>
          <w:i/>
          <w:lang w:val="en-US"/>
        </w:rPr>
        <w:t xml:space="preserve"> des arts</w:t>
      </w:r>
      <w:r w:rsidRPr="00A472FC">
        <w:rPr>
          <w:rFonts w:ascii="Times New Roman" w:hAnsi="Times New Roman" w:cs="Times New Roman"/>
          <w:i/>
        </w:rPr>
        <w:t xml:space="preserve"> </w:t>
      </w:r>
      <w:r w:rsidRPr="00A472FC">
        <w:rPr>
          <w:rFonts w:ascii="Times New Roman" w:hAnsi="Times New Roman" w:cs="Times New Roman"/>
          <w:i/>
          <w:lang w:val="en-US"/>
        </w:rPr>
        <w:t xml:space="preserve">(Paris et Oxford, </w:t>
      </w:r>
      <w:proofErr w:type="spellStart"/>
      <w:r w:rsidRPr="00A472FC">
        <w:rPr>
          <w:rFonts w:ascii="Times New Roman" w:hAnsi="Times New Roman" w:cs="Times New Roman"/>
          <w:i/>
          <w:lang w:val="en-US"/>
        </w:rPr>
        <w:t>XIIIe-XV</w:t>
      </w:r>
      <w:r w:rsidR="004C03FC" w:rsidRPr="00A472FC">
        <w:rPr>
          <w:rFonts w:ascii="Times New Roman" w:hAnsi="Times New Roman" w:cs="Times New Roman"/>
          <w:i/>
          <w:lang w:val="en-US"/>
        </w:rPr>
        <w:t>e</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siècles</w:t>
      </w:r>
      <w:proofErr w:type="spellEnd"/>
      <w:r w:rsidRPr="00A472FC">
        <w:rPr>
          <w:rFonts w:ascii="Times New Roman" w:hAnsi="Times New Roman" w:cs="Times New Roman"/>
          <w:i/>
          <w:lang w:val="en-US"/>
        </w:rPr>
        <w:t>)</w:t>
      </w:r>
      <w:r w:rsidRPr="00A472FC">
        <w:rPr>
          <w:rFonts w:ascii="Times New Roman" w:hAnsi="Times New Roman" w:cs="Times New Roman"/>
          <w:iCs/>
          <w:lang w:val="en-US"/>
        </w:rPr>
        <w:t xml:space="preserve">. </w:t>
      </w:r>
      <w:r w:rsidRPr="00A472FC">
        <w:rPr>
          <w:rFonts w:ascii="Times New Roman" w:hAnsi="Times New Roman" w:cs="Times New Roman"/>
          <w:lang w:val="en-US"/>
        </w:rPr>
        <w:t xml:space="preserve">Edited by Olga </w:t>
      </w:r>
      <w:proofErr w:type="spellStart"/>
      <w:r w:rsidRPr="00A472FC">
        <w:rPr>
          <w:rFonts w:ascii="Times New Roman" w:hAnsi="Times New Roman" w:cs="Times New Roman"/>
          <w:lang w:val="en-US"/>
        </w:rPr>
        <w:t>Weijers</w:t>
      </w:r>
      <w:proofErr w:type="spellEnd"/>
      <w:r w:rsidRPr="00A472FC">
        <w:rPr>
          <w:rFonts w:ascii="Times New Roman" w:hAnsi="Times New Roman" w:cs="Times New Roman"/>
          <w:lang w:val="en-US"/>
        </w:rPr>
        <w:t xml:space="preserve"> and Louis </w:t>
      </w:r>
      <w:proofErr w:type="spellStart"/>
      <w:r w:rsidRPr="00A472FC">
        <w:rPr>
          <w:rFonts w:ascii="Times New Roman" w:hAnsi="Times New Roman" w:cs="Times New Roman"/>
          <w:lang w:val="en-US"/>
        </w:rPr>
        <w:t>Holtz</w:t>
      </w:r>
      <w:proofErr w:type="spellEnd"/>
      <w:r w:rsidRPr="00A472FC">
        <w:rPr>
          <w:rFonts w:ascii="Times New Roman" w:hAnsi="Times New Roman" w:cs="Times New Roman"/>
          <w:lang w:val="en-US"/>
        </w:rPr>
        <w:t xml:space="preserve">, 445-53. Paris: </w:t>
      </w:r>
      <w:proofErr w:type="spellStart"/>
      <w:r w:rsidRPr="00A472FC">
        <w:rPr>
          <w:rFonts w:ascii="Times New Roman" w:hAnsi="Times New Roman" w:cs="Times New Roman"/>
          <w:lang w:val="en-US"/>
        </w:rPr>
        <w:t>Brepols</w:t>
      </w:r>
      <w:proofErr w:type="spellEnd"/>
      <w:r w:rsidRPr="00A472FC">
        <w:rPr>
          <w:rFonts w:ascii="Times New Roman" w:hAnsi="Times New Roman" w:cs="Times New Roman"/>
          <w:lang w:val="en-US"/>
        </w:rPr>
        <w:t>, 1997.</w:t>
      </w:r>
    </w:p>
    <w:p w14:paraId="5DC7FEAA" w14:textId="34F507E6"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Bazán, Bernardo Carlos. ‘Pluralism de </w:t>
      </w:r>
      <w:proofErr w:type="spellStart"/>
      <w:r w:rsidRPr="00A472FC">
        <w:rPr>
          <w:rFonts w:ascii="Times New Roman" w:hAnsi="Times New Roman" w:cs="Times New Roman"/>
        </w:rPr>
        <w:t>formes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ou</w:t>
      </w:r>
      <w:proofErr w:type="spellEnd"/>
      <w:r w:rsidRPr="00A472FC">
        <w:rPr>
          <w:rFonts w:ascii="Times New Roman" w:hAnsi="Times New Roman" w:cs="Times New Roman"/>
        </w:rPr>
        <w:t xml:space="preserve"> dualism de substances? La pensée </w:t>
      </w:r>
      <w:proofErr w:type="spellStart"/>
      <w:r w:rsidRPr="00A472FC">
        <w:rPr>
          <w:rFonts w:ascii="Times New Roman" w:hAnsi="Times New Roman" w:cs="Times New Roman"/>
        </w:rPr>
        <w:t>pré-thomiste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touchant</w:t>
      </w:r>
      <w:proofErr w:type="spellEnd"/>
      <w:r w:rsidRPr="00A472FC">
        <w:rPr>
          <w:rFonts w:ascii="Times New Roman" w:hAnsi="Times New Roman" w:cs="Times New Roman"/>
        </w:rPr>
        <w:t xml:space="preserve"> la nature de </w:t>
      </w:r>
      <w:proofErr w:type="spellStart"/>
      <w:r w:rsidRPr="00A472FC">
        <w:rPr>
          <w:rFonts w:ascii="Times New Roman" w:hAnsi="Times New Roman" w:cs="Times New Roman"/>
        </w:rPr>
        <w:t>l’</w:t>
      </w:r>
      <w:r w:rsidR="00D71B3E" w:rsidRPr="00A472FC">
        <w:rPr>
          <w:rFonts w:ascii="Times New Roman" w:hAnsi="Times New Roman" w:cs="Times New Roman"/>
        </w:rPr>
        <w:t>â</w:t>
      </w:r>
      <w:r w:rsidRPr="00A472FC">
        <w:rPr>
          <w:rFonts w:ascii="Times New Roman" w:hAnsi="Times New Roman" w:cs="Times New Roman"/>
        </w:rPr>
        <w:t>me</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Revue </w:t>
      </w:r>
      <w:proofErr w:type="spellStart"/>
      <w:r w:rsidRPr="00A472FC">
        <w:rPr>
          <w:rFonts w:ascii="Times New Roman" w:hAnsi="Times New Roman" w:cs="Times New Roman"/>
          <w:i/>
          <w:iCs/>
        </w:rPr>
        <w:t>philosophique</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Louvain</w:t>
      </w:r>
      <w:proofErr w:type="spellEnd"/>
      <w:r w:rsidRPr="00A472FC">
        <w:rPr>
          <w:rFonts w:ascii="Times New Roman" w:hAnsi="Times New Roman" w:cs="Times New Roman"/>
          <w:i/>
          <w:iCs/>
        </w:rPr>
        <w:t xml:space="preserve"> </w:t>
      </w:r>
      <w:r w:rsidRPr="00A472FC">
        <w:rPr>
          <w:rFonts w:ascii="Times New Roman" w:hAnsi="Times New Roman" w:cs="Times New Roman"/>
        </w:rPr>
        <w:t>67 (1969): 30-73.</w:t>
      </w:r>
    </w:p>
    <w:p w14:paraId="5C819C98" w14:textId="1B1CEF28"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‘Les questions </w:t>
      </w:r>
      <w:proofErr w:type="spellStart"/>
      <w:r w:rsidRPr="00A472FC">
        <w:rPr>
          <w:rFonts w:ascii="Times New Roman" w:hAnsi="Times New Roman" w:cs="Times New Roman"/>
        </w:rPr>
        <w:t>disputées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principalement</w:t>
      </w:r>
      <w:proofErr w:type="spellEnd"/>
      <w:r w:rsidRPr="00A472FC">
        <w:rPr>
          <w:rFonts w:ascii="Times New Roman" w:hAnsi="Times New Roman" w:cs="Times New Roman"/>
        </w:rPr>
        <w:t xml:space="preserve"> dans les </w:t>
      </w:r>
      <w:proofErr w:type="spellStart"/>
      <w:r w:rsidRPr="00A472FC">
        <w:rPr>
          <w:rFonts w:ascii="Times New Roman" w:hAnsi="Times New Roman" w:cs="Times New Roman"/>
        </w:rPr>
        <w:t>facultés</w:t>
      </w:r>
      <w:proofErr w:type="spellEnd"/>
      <w:r w:rsidRPr="00A472FC">
        <w:rPr>
          <w:rFonts w:ascii="Times New Roman" w:hAnsi="Times New Roman" w:cs="Times New Roman"/>
        </w:rPr>
        <w:t xml:space="preserve"> de </w:t>
      </w:r>
      <w:proofErr w:type="spellStart"/>
      <w:r w:rsidRPr="00A472FC">
        <w:rPr>
          <w:rFonts w:ascii="Times New Roman" w:hAnsi="Times New Roman" w:cs="Times New Roman"/>
        </w:rPr>
        <w:t>théologie</w:t>
      </w:r>
      <w:proofErr w:type="spellEnd"/>
      <w:r w:rsidRPr="00A472FC">
        <w:rPr>
          <w:rFonts w:ascii="Times New Roman" w:hAnsi="Times New Roman" w:cs="Times New Roman"/>
        </w:rPr>
        <w:t xml:space="preserve">.’ In </w:t>
      </w:r>
      <w:r w:rsidRPr="00A472FC">
        <w:rPr>
          <w:rFonts w:ascii="Times New Roman" w:hAnsi="Times New Roman" w:cs="Times New Roman"/>
          <w:i/>
          <w:iCs/>
        </w:rPr>
        <w:t xml:space="preserve">Les questions </w:t>
      </w:r>
      <w:proofErr w:type="spellStart"/>
      <w:r w:rsidRPr="00A472FC">
        <w:rPr>
          <w:rFonts w:ascii="Times New Roman" w:hAnsi="Times New Roman" w:cs="Times New Roman"/>
          <w:i/>
          <w:iCs/>
        </w:rPr>
        <w:t>disputées</w:t>
      </w:r>
      <w:proofErr w:type="spellEnd"/>
      <w:r w:rsidRPr="00A472FC">
        <w:rPr>
          <w:rFonts w:ascii="Times New Roman" w:hAnsi="Times New Roman" w:cs="Times New Roman"/>
          <w:i/>
          <w:iCs/>
        </w:rPr>
        <w:t xml:space="preserve"> et les questions </w:t>
      </w:r>
      <w:proofErr w:type="spellStart"/>
      <w:r w:rsidRPr="00A472FC">
        <w:rPr>
          <w:rFonts w:ascii="Times New Roman" w:hAnsi="Times New Roman" w:cs="Times New Roman"/>
          <w:i/>
          <w:iCs/>
        </w:rPr>
        <w:t>quodlibétiques</w:t>
      </w:r>
      <w:proofErr w:type="spellEnd"/>
      <w:r w:rsidRPr="00A472FC">
        <w:rPr>
          <w:rFonts w:ascii="Times New Roman" w:hAnsi="Times New Roman" w:cs="Times New Roman"/>
          <w:i/>
          <w:iCs/>
        </w:rPr>
        <w:t xml:space="preserve"> dans les </w:t>
      </w:r>
      <w:proofErr w:type="spellStart"/>
      <w:r w:rsidRPr="00A472FC">
        <w:rPr>
          <w:rFonts w:ascii="Times New Roman" w:hAnsi="Times New Roman" w:cs="Times New Roman"/>
          <w:i/>
          <w:iCs/>
        </w:rPr>
        <w:t>facultés</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théologie</w:t>
      </w:r>
      <w:proofErr w:type="spellEnd"/>
      <w:r w:rsidRPr="00A472FC">
        <w:rPr>
          <w:rFonts w:ascii="Times New Roman" w:hAnsi="Times New Roman" w:cs="Times New Roman"/>
          <w:i/>
          <w:iCs/>
        </w:rPr>
        <w:t xml:space="preserve">, de droit et de </w:t>
      </w:r>
      <w:proofErr w:type="spellStart"/>
      <w:r w:rsidRPr="00A472FC">
        <w:rPr>
          <w:rFonts w:ascii="Times New Roman" w:hAnsi="Times New Roman" w:cs="Times New Roman"/>
          <w:i/>
          <w:iCs/>
        </w:rPr>
        <w:t>médecine</w:t>
      </w:r>
      <w:proofErr w:type="spellEnd"/>
      <w:r w:rsidRPr="00A472FC">
        <w:rPr>
          <w:rFonts w:ascii="Times New Roman" w:hAnsi="Times New Roman" w:cs="Times New Roman"/>
        </w:rPr>
        <w:t xml:space="preserve">. Edited by Bernardo Carlos </w:t>
      </w:r>
      <w:proofErr w:type="spellStart"/>
      <w:r w:rsidRPr="00A472FC">
        <w:rPr>
          <w:rFonts w:ascii="Times New Roman" w:hAnsi="Times New Roman" w:cs="Times New Roman"/>
        </w:rPr>
        <w:t>Bazàn</w:t>
      </w:r>
      <w:proofErr w:type="spellEnd"/>
      <w:r w:rsidRPr="00A472FC">
        <w:rPr>
          <w:rFonts w:ascii="Times New Roman" w:hAnsi="Times New Roman" w:cs="Times New Roman"/>
        </w:rPr>
        <w:t xml:space="preserve">, J. W. </w:t>
      </w:r>
      <w:proofErr w:type="spellStart"/>
      <w:r w:rsidRPr="00A472FC">
        <w:rPr>
          <w:rFonts w:ascii="Times New Roman" w:hAnsi="Times New Roman" w:cs="Times New Roman"/>
        </w:rPr>
        <w:t>Wippel</w:t>
      </w:r>
      <w:proofErr w:type="spellEnd"/>
      <w:r w:rsidRPr="00A472FC">
        <w:rPr>
          <w:rFonts w:ascii="Times New Roman" w:hAnsi="Times New Roman" w:cs="Times New Roman"/>
        </w:rPr>
        <w:t xml:space="preserve">, G. </w:t>
      </w:r>
      <w:proofErr w:type="spellStart"/>
      <w:r w:rsidRPr="00A472FC">
        <w:rPr>
          <w:rFonts w:ascii="Times New Roman" w:hAnsi="Times New Roman" w:cs="Times New Roman"/>
        </w:rPr>
        <w:t>Fransen</w:t>
      </w:r>
      <w:proofErr w:type="spellEnd"/>
      <w:r w:rsidRPr="00A472FC">
        <w:rPr>
          <w:rFonts w:ascii="Times New Roman" w:hAnsi="Times New Roman" w:cs="Times New Roman"/>
        </w:rPr>
        <w:t xml:space="preserve"> and D. Jacquart, 13-149.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1985.</w:t>
      </w:r>
    </w:p>
    <w:p w14:paraId="728FD648" w14:textId="77777777" w:rsidR="006538F7" w:rsidRPr="00A472FC" w:rsidRDefault="006538F7" w:rsidP="006538F7">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‘The Human Soul: Form and Substance? Thomas Aquinas’ Critique of Eclectic Aristotelianism.’ </w:t>
      </w:r>
      <w:r w:rsidRPr="00A472FC">
        <w:rPr>
          <w:rFonts w:ascii="Times New Roman" w:hAnsi="Times New Roman" w:cs="Times New Roman"/>
          <w:i/>
          <w:iCs/>
        </w:rPr>
        <w:t xml:space="preserve">Archives </w:t>
      </w:r>
      <w:proofErr w:type="spellStart"/>
      <w:r w:rsidRPr="00A472FC">
        <w:rPr>
          <w:rFonts w:ascii="Times New Roman" w:hAnsi="Times New Roman" w:cs="Times New Roman"/>
          <w:i/>
          <w:iCs/>
        </w:rPr>
        <w:t>d’histoire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doctrinale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littéraire</w:t>
      </w:r>
      <w:proofErr w:type="spellEnd"/>
      <w:r w:rsidRPr="00A472FC">
        <w:rPr>
          <w:rFonts w:ascii="Times New Roman" w:hAnsi="Times New Roman" w:cs="Times New Roman"/>
          <w:i/>
          <w:iCs/>
        </w:rPr>
        <w:t xml:space="preserve"> du </w:t>
      </w:r>
      <w:proofErr w:type="spellStart"/>
      <w:r w:rsidRPr="00A472FC">
        <w:rPr>
          <w:rFonts w:ascii="Times New Roman" w:hAnsi="Times New Roman" w:cs="Times New Roman"/>
          <w:i/>
          <w:iCs/>
        </w:rPr>
        <w:t>Moyen</w:t>
      </w:r>
      <w:proofErr w:type="spellEnd"/>
      <w:r w:rsidRPr="00A472FC">
        <w:rPr>
          <w:rFonts w:ascii="Times New Roman" w:hAnsi="Times New Roman" w:cs="Times New Roman"/>
          <w:i/>
          <w:iCs/>
        </w:rPr>
        <w:t xml:space="preserve"> Age </w:t>
      </w:r>
      <w:r w:rsidRPr="00A472FC">
        <w:rPr>
          <w:rFonts w:ascii="Times New Roman" w:hAnsi="Times New Roman" w:cs="Times New Roman"/>
        </w:rPr>
        <w:t>64 (1997): 95-126.</w:t>
      </w:r>
    </w:p>
    <w:p w14:paraId="73614F14"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‘Was There Ever a First </w:t>
      </w:r>
      <w:proofErr w:type="spellStart"/>
      <w:r w:rsidRPr="00A472FC">
        <w:rPr>
          <w:rFonts w:ascii="Times New Roman" w:hAnsi="Times New Roman" w:cs="Times New Roman"/>
        </w:rPr>
        <w:t>Averroism</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i/>
          <w:iCs/>
        </w:rPr>
        <w:t>Geistesleben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im</w:t>
      </w:r>
      <w:proofErr w:type="spellEnd"/>
      <w:r w:rsidRPr="00A472FC">
        <w:rPr>
          <w:rFonts w:ascii="Times New Roman" w:hAnsi="Times New Roman" w:cs="Times New Roman"/>
          <w:i/>
          <w:iCs/>
        </w:rPr>
        <w:t xml:space="preserve"> 13. </w:t>
      </w:r>
      <w:proofErr w:type="spellStart"/>
      <w:r w:rsidRPr="00A472FC">
        <w:rPr>
          <w:rFonts w:ascii="Times New Roman" w:hAnsi="Times New Roman" w:cs="Times New Roman"/>
          <w:i/>
          <w:iCs/>
        </w:rPr>
        <w:t>Jahrhundert</w:t>
      </w:r>
      <w:proofErr w:type="spellEnd"/>
      <w:r w:rsidRPr="00A472FC">
        <w:rPr>
          <w:rFonts w:ascii="Times New Roman" w:hAnsi="Times New Roman" w:cs="Times New Roman"/>
        </w:rPr>
        <w:t xml:space="preserve">. Edited by Jan A. </w:t>
      </w:r>
      <w:proofErr w:type="spellStart"/>
      <w:r w:rsidRPr="00A472FC">
        <w:rPr>
          <w:rFonts w:ascii="Times New Roman" w:hAnsi="Times New Roman" w:cs="Times New Roman"/>
        </w:rPr>
        <w:t>Aertsen</w:t>
      </w:r>
      <w:proofErr w:type="spellEnd"/>
      <w:r w:rsidRPr="00A472FC">
        <w:rPr>
          <w:rFonts w:ascii="Times New Roman" w:hAnsi="Times New Roman" w:cs="Times New Roman"/>
        </w:rPr>
        <w:t xml:space="preserve"> and Andreas Speer, 31-53. Berlin: Walter de Gruyter, 2000.</w:t>
      </w:r>
    </w:p>
    <w:p w14:paraId="7723A6A0" w14:textId="38D7FDD2"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‘Thirteenth-Century Commentaries on </w:t>
      </w:r>
      <w:r w:rsidRPr="00A472FC">
        <w:rPr>
          <w:rFonts w:ascii="Times New Roman" w:hAnsi="Times New Roman" w:cs="Times New Roman"/>
          <w:i/>
        </w:rPr>
        <w:t>De anima</w:t>
      </w:r>
      <w:r w:rsidRPr="00A472FC">
        <w:rPr>
          <w:rFonts w:ascii="Times New Roman" w:hAnsi="Times New Roman" w:cs="Times New Roman"/>
        </w:rPr>
        <w:t xml:space="preserve">: From Peter of Spain to Thomas Aquinas.’ In </w:t>
      </w:r>
      <w:proofErr w:type="spellStart"/>
      <w:r w:rsidRPr="00A472FC">
        <w:rPr>
          <w:rFonts w:ascii="Times New Roman" w:hAnsi="Times New Roman" w:cs="Times New Roman"/>
          <w:i/>
          <w:iCs/>
        </w:rPr>
        <w:t>Commento</w:t>
      </w:r>
      <w:proofErr w:type="spellEnd"/>
      <w:r w:rsidRPr="00A472FC">
        <w:rPr>
          <w:rFonts w:ascii="Times New Roman" w:hAnsi="Times New Roman" w:cs="Times New Roman"/>
          <w:i/>
          <w:iCs/>
        </w:rPr>
        <w:t xml:space="preserve"> </w:t>
      </w:r>
      <w:proofErr w:type="spellStart"/>
      <w:r w:rsidR="00797F66" w:rsidRPr="00A472FC">
        <w:rPr>
          <w:rFonts w:ascii="Times New Roman" w:hAnsi="Times New Roman" w:cs="Times New Roman"/>
          <w:i/>
          <w:iCs/>
        </w:rPr>
        <w:t>f</w:t>
      </w:r>
      <w:r w:rsidRPr="00A472FC">
        <w:rPr>
          <w:rFonts w:ascii="Times New Roman" w:hAnsi="Times New Roman" w:cs="Times New Roman"/>
          <w:i/>
          <w:iCs/>
        </w:rPr>
        <w:t>ilosofico</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nell’</w:t>
      </w:r>
      <w:r w:rsidR="00797F66" w:rsidRPr="00A472FC">
        <w:rPr>
          <w:rFonts w:ascii="Times New Roman" w:hAnsi="Times New Roman" w:cs="Times New Roman"/>
          <w:i/>
          <w:iCs/>
        </w:rPr>
        <w:t>o</w:t>
      </w:r>
      <w:r w:rsidRPr="00A472FC">
        <w:rPr>
          <w:rFonts w:ascii="Times New Roman" w:hAnsi="Times New Roman" w:cs="Times New Roman"/>
          <w:i/>
          <w:iCs/>
        </w:rPr>
        <w:t>ccidente</w:t>
      </w:r>
      <w:proofErr w:type="spellEnd"/>
      <w:r w:rsidRPr="00A472FC">
        <w:rPr>
          <w:rFonts w:ascii="Times New Roman" w:hAnsi="Times New Roman" w:cs="Times New Roman"/>
          <w:i/>
          <w:iCs/>
        </w:rPr>
        <w:t xml:space="preserve"> </w:t>
      </w:r>
      <w:r w:rsidR="00797F66" w:rsidRPr="00A472FC">
        <w:rPr>
          <w:rFonts w:ascii="Times New Roman" w:hAnsi="Times New Roman" w:cs="Times New Roman"/>
          <w:i/>
          <w:iCs/>
        </w:rPr>
        <w:t>l</w:t>
      </w:r>
      <w:r w:rsidRPr="00A472FC">
        <w:rPr>
          <w:rFonts w:ascii="Times New Roman" w:hAnsi="Times New Roman" w:cs="Times New Roman"/>
          <w:i/>
          <w:iCs/>
        </w:rPr>
        <w:t>atino (</w:t>
      </w:r>
      <w:proofErr w:type="spellStart"/>
      <w:r w:rsidRPr="00A472FC">
        <w:rPr>
          <w:rFonts w:ascii="Times New Roman" w:hAnsi="Times New Roman" w:cs="Times New Roman"/>
          <w:i/>
          <w:iCs/>
        </w:rPr>
        <w:t>secoli</w:t>
      </w:r>
      <w:proofErr w:type="spellEnd"/>
      <w:r w:rsidRPr="00A472FC">
        <w:rPr>
          <w:rFonts w:ascii="Times New Roman" w:hAnsi="Times New Roman" w:cs="Times New Roman"/>
          <w:i/>
          <w:iCs/>
        </w:rPr>
        <w:t xml:space="preserve"> XIII–XV)</w:t>
      </w:r>
      <w:r w:rsidRPr="00A472FC">
        <w:rPr>
          <w:rFonts w:ascii="Times New Roman" w:hAnsi="Times New Roman" w:cs="Times New Roman"/>
        </w:rPr>
        <w:t xml:space="preserve">. Edited by </w:t>
      </w:r>
      <w:proofErr w:type="spellStart"/>
      <w:r w:rsidRPr="00A472FC">
        <w:rPr>
          <w:rFonts w:ascii="Times New Roman" w:hAnsi="Times New Roman" w:cs="Times New Roman"/>
        </w:rPr>
        <w:t>Gianfranco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Fioravanti</w:t>
      </w:r>
      <w:proofErr w:type="spellEnd"/>
      <w:r w:rsidRPr="00A472FC">
        <w:rPr>
          <w:rFonts w:ascii="Times New Roman" w:hAnsi="Times New Roman" w:cs="Times New Roman"/>
        </w:rPr>
        <w:t xml:space="preserve">, Claudio </w:t>
      </w:r>
      <w:proofErr w:type="spellStart"/>
      <w:r w:rsidRPr="00A472FC">
        <w:rPr>
          <w:rFonts w:ascii="Times New Roman" w:hAnsi="Times New Roman" w:cs="Times New Roman"/>
        </w:rPr>
        <w:t>Leonardi</w:t>
      </w:r>
      <w:proofErr w:type="spellEnd"/>
      <w:r w:rsidRPr="00A472FC">
        <w:rPr>
          <w:rFonts w:ascii="Times New Roman" w:hAnsi="Times New Roman" w:cs="Times New Roman"/>
        </w:rPr>
        <w:t xml:space="preserve"> and Ste</w:t>
      </w:r>
      <w:r w:rsidR="006036E6" w:rsidRPr="00A472FC">
        <w:rPr>
          <w:rFonts w:ascii="Times New Roman" w:hAnsi="Times New Roman" w:cs="Times New Roman"/>
        </w:rPr>
        <w:t>f</w:t>
      </w:r>
      <w:r w:rsidRPr="00A472FC">
        <w:rPr>
          <w:rFonts w:ascii="Times New Roman" w:hAnsi="Times New Roman" w:cs="Times New Roman"/>
        </w:rPr>
        <w:t xml:space="preserve">ano </w:t>
      </w:r>
      <w:proofErr w:type="spellStart"/>
      <w:r w:rsidRPr="00A472FC">
        <w:rPr>
          <w:rFonts w:ascii="Times New Roman" w:hAnsi="Times New Roman" w:cs="Times New Roman"/>
        </w:rPr>
        <w:t>Perfetti</w:t>
      </w:r>
      <w:proofErr w:type="spellEnd"/>
      <w:r w:rsidRPr="00A472FC">
        <w:rPr>
          <w:rFonts w:ascii="Times New Roman" w:hAnsi="Times New Roman" w:cs="Times New Roman"/>
        </w:rPr>
        <w:t xml:space="preserve">, 119-84.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2002.</w:t>
      </w:r>
    </w:p>
    <w:p w14:paraId="2BB3CA51"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Bejczy</w:t>
      </w:r>
      <w:proofErr w:type="spellEnd"/>
      <w:r w:rsidRPr="00A472FC">
        <w:rPr>
          <w:rFonts w:ascii="Times New Roman" w:hAnsi="Times New Roman" w:cs="Times New Roman"/>
        </w:rPr>
        <w:t xml:space="preserve">, I.P. ‘John of La Rochelle and William </w:t>
      </w:r>
      <w:proofErr w:type="spellStart"/>
      <w:r w:rsidRPr="00A472FC">
        <w:rPr>
          <w:rFonts w:ascii="Times New Roman" w:hAnsi="Times New Roman" w:cs="Times New Roman"/>
        </w:rPr>
        <w:t>Peraldus</w:t>
      </w:r>
      <w:proofErr w:type="spellEnd"/>
      <w:r w:rsidRPr="00A472FC">
        <w:rPr>
          <w:rFonts w:ascii="Times New Roman" w:hAnsi="Times New Roman" w:cs="Times New Roman"/>
        </w:rPr>
        <w:t xml:space="preserve"> on the Virtues and Vices.’ </w:t>
      </w:r>
      <w:proofErr w:type="spellStart"/>
      <w:r w:rsidRPr="00A472FC">
        <w:rPr>
          <w:rFonts w:ascii="Times New Roman" w:hAnsi="Times New Roman" w:cs="Times New Roman"/>
          <w:i/>
          <w:iCs/>
        </w:rPr>
        <w:t>Archivum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Franciscanum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Historicum</w:t>
      </w:r>
      <w:proofErr w:type="spellEnd"/>
      <w:r w:rsidRPr="00A472FC">
        <w:rPr>
          <w:rFonts w:ascii="Times New Roman" w:hAnsi="Times New Roman" w:cs="Times New Roman"/>
          <w:i/>
          <w:iCs/>
        </w:rPr>
        <w:t xml:space="preserve"> </w:t>
      </w:r>
      <w:r w:rsidRPr="00A472FC">
        <w:rPr>
          <w:rFonts w:ascii="Times New Roman" w:hAnsi="Times New Roman" w:cs="Times New Roman"/>
        </w:rPr>
        <w:t>97 (2004): 99-110.</w:t>
      </w:r>
    </w:p>
    <w:p w14:paraId="2B6541AB" w14:textId="0B6777F8" w:rsidR="006A6E61" w:rsidRPr="00A472FC" w:rsidRDefault="006A6E61" w:rsidP="00881604">
      <w:pPr>
        <w:pStyle w:val="FootnoteText"/>
        <w:ind w:left="709" w:right="-52" w:hanging="709"/>
        <w:rPr>
          <w:rFonts w:ascii="Times New Roman" w:hAnsi="Times New Roman" w:cs="Times New Roman"/>
          <w:sz w:val="24"/>
          <w:szCs w:val="24"/>
        </w:rPr>
      </w:pPr>
      <w:r w:rsidRPr="00A472FC">
        <w:rPr>
          <w:rFonts w:ascii="Times New Roman" w:hAnsi="Times New Roman" w:cs="Times New Roman"/>
          <w:color w:val="000000" w:themeColor="text1"/>
          <w:sz w:val="24"/>
          <w:szCs w:val="24"/>
          <w:lang w:val="en-US"/>
        </w:rPr>
        <w:t xml:space="preserve">Benedetto, </w:t>
      </w:r>
      <w:proofErr w:type="spellStart"/>
      <w:r w:rsidRPr="00A472FC">
        <w:rPr>
          <w:rFonts w:ascii="Times New Roman" w:hAnsi="Times New Roman" w:cs="Times New Roman"/>
          <w:color w:val="000000" w:themeColor="text1"/>
          <w:sz w:val="24"/>
          <w:szCs w:val="24"/>
          <w:lang w:val="en-US"/>
        </w:rPr>
        <w:t>Marienza</w:t>
      </w:r>
      <w:proofErr w:type="spellEnd"/>
      <w:r w:rsidRPr="00A472FC">
        <w:rPr>
          <w:rFonts w:ascii="Times New Roman" w:hAnsi="Times New Roman" w:cs="Times New Roman"/>
          <w:color w:val="000000" w:themeColor="text1"/>
          <w:sz w:val="24"/>
          <w:szCs w:val="24"/>
          <w:lang w:val="en-US"/>
        </w:rPr>
        <w:t>. ‘</w:t>
      </w:r>
      <w:proofErr w:type="spellStart"/>
      <w:r w:rsidRPr="00A472FC">
        <w:rPr>
          <w:rFonts w:ascii="Times New Roman" w:hAnsi="Times New Roman" w:cs="Times New Roman"/>
          <w:color w:val="000000" w:themeColor="text1"/>
          <w:sz w:val="24"/>
          <w:szCs w:val="24"/>
          <w:lang w:val="en-US"/>
        </w:rPr>
        <w:t>Alle</w:t>
      </w:r>
      <w:proofErr w:type="spellEnd"/>
      <w:r w:rsidRPr="00A472FC">
        <w:rPr>
          <w:rFonts w:ascii="Times New Roman" w:hAnsi="Times New Roman" w:cs="Times New Roman"/>
          <w:color w:val="000000" w:themeColor="text1"/>
          <w:sz w:val="24"/>
          <w:szCs w:val="24"/>
          <w:lang w:val="en-US"/>
        </w:rPr>
        <w:t xml:space="preserve"> </w:t>
      </w:r>
      <w:proofErr w:type="spellStart"/>
      <w:r w:rsidRPr="00A472FC">
        <w:rPr>
          <w:rFonts w:ascii="Times New Roman" w:hAnsi="Times New Roman" w:cs="Times New Roman"/>
          <w:color w:val="000000" w:themeColor="text1"/>
          <w:sz w:val="24"/>
          <w:szCs w:val="24"/>
          <w:lang w:val="en-US"/>
        </w:rPr>
        <w:t>origini</w:t>
      </w:r>
      <w:proofErr w:type="spellEnd"/>
      <w:r w:rsidRPr="00A472FC">
        <w:rPr>
          <w:rFonts w:ascii="Times New Roman" w:hAnsi="Times New Roman" w:cs="Times New Roman"/>
          <w:color w:val="000000" w:themeColor="text1"/>
          <w:sz w:val="24"/>
          <w:szCs w:val="24"/>
          <w:lang w:val="en-US"/>
        </w:rPr>
        <w:t xml:space="preserve"> della </w:t>
      </w:r>
      <w:proofErr w:type="spellStart"/>
      <w:r w:rsidRPr="00A472FC">
        <w:rPr>
          <w:rFonts w:ascii="Times New Roman" w:hAnsi="Times New Roman" w:cs="Times New Roman"/>
          <w:color w:val="000000" w:themeColor="text1"/>
          <w:sz w:val="24"/>
          <w:szCs w:val="24"/>
          <w:lang w:val="en-US"/>
        </w:rPr>
        <w:t>controversia</w:t>
      </w:r>
      <w:proofErr w:type="spellEnd"/>
      <w:r w:rsidRPr="00A472FC">
        <w:rPr>
          <w:rFonts w:ascii="Times New Roman" w:hAnsi="Times New Roman" w:cs="Times New Roman"/>
          <w:color w:val="000000" w:themeColor="text1"/>
          <w:sz w:val="24"/>
          <w:szCs w:val="24"/>
          <w:lang w:val="en-US"/>
        </w:rPr>
        <w:t xml:space="preserve"> medieval </w:t>
      </w:r>
      <w:proofErr w:type="spellStart"/>
      <w:r w:rsidRPr="00A472FC">
        <w:rPr>
          <w:rFonts w:ascii="Times New Roman" w:hAnsi="Times New Roman" w:cs="Times New Roman"/>
          <w:color w:val="000000" w:themeColor="text1"/>
          <w:sz w:val="24"/>
          <w:szCs w:val="24"/>
          <w:lang w:val="en-US"/>
        </w:rPr>
        <w:t>sulla</w:t>
      </w:r>
      <w:proofErr w:type="spellEnd"/>
      <w:r w:rsidRPr="00A472FC">
        <w:rPr>
          <w:rFonts w:ascii="Times New Roman" w:hAnsi="Times New Roman" w:cs="Times New Roman"/>
          <w:color w:val="000000" w:themeColor="text1"/>
          <w:sz w:val="24"/>
          <w:szCs w:val="24"/>
          <w:lang w:val="en-US"/>
        </w:rPr>
        <w:t xml:space="preserve"> </w:t>
      </w:r>
      <w:proofErr w:type="spellStart"/>
      <w:r w:rsidRPr="00A472FC">
        <w:rPr>
          <w:rFonts w:ascii="Times New Roman" w:hAnsi="Times New Roman" w:cs="Times New Roman"/>
          <w:color w:val="000000" w:themeColor="text1"/>
          <w:sz w:val="24"/>
          <w:szCs w:val="24"/>
          <w:lang w:val="en-US"/>
        </w:rPr>
        <w:t>pluralità</w:t>
      </w:r>
      <w:proofErr w:type="spellEnd"/>
      <w:r w:rsidRPr="00A472FC">
        <w:rPr>
          <w:rFonts w:ascii="Times New Roman" w:hAnsi="Times New Roman" w:cs="Times New Roman"/>
          <w:color w:val="000000" w:themeColor="text1"/>
          <w:sz w:val="24"/>
          <w:szCs w:val="24"/>
          <w:lang w:val="en-US"/>
        </w:rPr>
        <w:t xml:space="preserve"> </w:t>
      </w:r>
      <w:proofErr w:type="spellStart"/>
      <w:r w:rsidRPr="00A472FC">
        <w:rPr>
          <w:rFonts w:ascii="Times New Roman" w:hAnsi="Times New Roman" w:cs="Times New Roman"/>
          <w:color w:val="000000" w:themeColor="text1"/>
          <w:sz w:val="24"/>
          <w:szCs w:val="24"/>
          <w:lang w:val="en-US"/>
        </w:rPr>
        <w:t>delle</w:t>
      </w:r>
      <w:proofErr w:type="spellEnd"/>
      <w:r w:rsidRPr="00A472FC">
        <w:rPr>
          <w:rFonts w:ascii="Times New Roman" w:hAnsi="Times New Roman" w:cs="Times New Roman"/>
          <w:color w:val="000000" w:themeColor="text1"/>
          <w:sz w:val="24"/>
          <w:szCs w:val="24"/>
          <w:lang w:val="en-US"/>
        </w:rPr>
        <w:t xml:space="preserve"> </w:t>
      </w:r>
      <w:proofErr w:type="spellStart"/>
      <w:r w:rsidRPr="00A472FC">
        <w:rPr>
          <w:rFonts w:ascii="Times New Roman" w:hAnsi="Times New Roman" w:cs="Times New Roman"/>
          <w:color w:val="000000" w:themeColor="text1"/>
          <w:sz w:val="24"/>
          <w:szCs w:val="24"/>
          <w:lang w:val="en-US"/>
        </w:rPr>
        <w:t>forme</w:t>
      </w:r>
      <w:proofErr w:type="spellEnd"/>
      <w:r w:rsidRPr="00A472FC">
        <w:rPr>
          <w:rFonts w:ascii="Times New Roman" w:hAnsi="Times New Roman" w:cs="Times New Roman"/>
          <w:color w:val="000000" w:themeColor="text1"/>
          <w:sz w:val="24"/>
          <w:szCs w:val="24"/>
          <w:lang w:val="en-US"/>
        </w:rPr>
        <w:t xml:space="preserve"> </w:t>
      </w:r>
      <w:proofErr w:type="spellStart"/>
      <w:r w:rsidRPr="00A472FC">
        <w:rPr>
          <w:rFonts w:ascii="Times New Roman" w:hAnsi="Times New Roman" w:cs="Times New Roman"/>
          <w:color w:val="000000" w:themeColor="text1"/>
          <w:sz w:val="24"/>
          <w:szCs w:val="24"/>
          <w:lang w:val="en-US"/>
        </w:rPr>
        <w:t>sostanziali</w:t>
      </w:r>
      <w:proofErr w:type="spellEnd"/>
      <w:r w:rsidRPr="00A472FC">
        <w:rPr>
          <w:rFonts w:ascii="Times New Roman" w:hAnsi="Times New Roman" w:cs="Times New Roman"/>
          <w:color w:val="000000" w:themeColor="text1"/>
          <w:sz w:val="24"/>
          <w:szCs w:val="24"/>
          <w:lang w:val="en-US"/>
        </w:rPr>
        <w:t xml:space="preserve">: il </w:t>
      </w:r>
      <w:r w:rsidRPr="00A472FC">
        <w:rPr>
          <w:rFonts w:ascii="Times New Roman" w:hAnsi="Times New Roman" w:cs="Times New Roman"/>
          <w:i/>
          <w:color w:val="000000" w:themeColor="text1"/>
          <w:sz w:val="24"/>
          <w:szCs w:val="24"/>
          <w:lang w:val="en-US"/>
        </w:rPr>
        <w:t xml:space="preserve">Fons Vitae </w:t>
      </w:r>
      <w:proofErr w:type="spellStart"/>
      <w:r w:rsidRPr="00A472FC">
        <w:rPr>
          <w:rFonts w:ascii="Times New Roman" w:hAnsi="Times New Roman" w:cs="Times New Roman"/>
          <w:color w:val="000000" w:themeColor="text1"/>
          <w:sz w:val="24"/>
          <w:szCs w:val="24"/>
          <w:lang w:val="en-US"/>
        </w:rPr>
        <w:t>di</w:t>
      </w:r>
      <w:proofErr w:type="spellEnd"/>
      <w:r w:rsidRPr="00A472FC">
        <w:rPr>
          <w:rFonts w:ascii="Times New Roman" w:hAnsi="Times New Roman" w:cs="Times New Roman"/>
          <w:color w:val="000000" w:themeColor="text1"/>
          <w:sz w:val="24"/>
          <w:szCs w:val="24"/>
          <w:lang w:val="en-US"/>
        </w:rPr>
        <w:t xml:space="preserve"> </w:t>
      </w:r>
      <w:proofErr w:type="spellStart"/>
      <w:r w:rsidRPr="00A472FC">
        <w:rPr>
          <w:rFonts w:ascii="Times New Roman" w:hAnsi="Times New Roman" w:cs="Times New Roman"/>
          <w:color w:val="000000" w:themeColor="text1"/>
          <w:sz w:val="24"/>
          <w:szCs w:val="24"/>
          <w:lang w:val="en-US"/>
        </w:rPr>
        <w:t>Avicebron</w:t>
      </w:r>
      <w:proofErr w:type="spellEnd"/>
      <w:r w:rsidRPr="00A472FC">
        <w:rPr>
          <w:rFonts w:ascii="Times New Roman" w:hAnsi="Times New Roman" w:cs="Times New Roman"/>
          <w:color w:val="000000" w:themeColor="text1"/>
          <w:sz w:val="24"/>
          <w:szCs w:val="24"/>
          <w:lang w:val="en-US"/>
        </w:rPr>
        <w:t xml:space="preserve">.’ In </w:t>
      </w:r>
      <w:r w:rsidRPr="00A472FC">
        <w:rPr>
          <w:rFonts w:ascii="Times New Roman" w:hAnsi="Times New Roman" w:cs="Times New Roman"/>
          <w:i/>
          <w:color w:val="000000" w:themeColor="text1"/>
          <w:sz w:val="24"/>
          <w:szCs w:val="24"/>
          <w:lang w:val="en-US"/>
        </w:rPr>
        <w:t xml:space="preserve">Appropriation, </w:t>
      </w:r>
      <w:r w:rsidR="0033273C" w:rsidRPr="00A472FC">
        <w:rPr>
          <w:rFonts w:ascii="Times New Roman" w:hAnsi="Times New Roman" w:cs="Times New Roman"/>
          <w:i/>
          <w:color w:val="000000" w:themeColor="text1"/>
          <w:sz w:val="24"/>
          <w:szCs w:val="24"/>
          <w:lang w:val="en-US"/>
        </w:rPr>
        <w:t>I</w:t>
      </w:r>
      <w:r w:rsidRPr="00A472FC">
        <w:rPr>
          <w:rFonts w:ascii="Times New Roman" w:hAnsi="Times New Roman" w:cs="Times New Roman"/>
          <w:i/>
          <w:color w:val="000000" w:themeColor="text1"/>
          <w:sz w:val="24"/>
          <w:szCs w:val="24"/>
          <w:lang w:val="en-US"/>
        </w:rPr>
        <w:t>nterpretation, and Criticism: Philosophi</w:t>
      </w:r>
      <w:r w:rsidR="0033273C" w:rsidRPr="00A472FC">
        <w:rPr>
          <w:rFonts w:ascii="Times New Roman" w:hAnsi="Times New Roman" w:cs="Times New Roman"/>
          <w:i/>
          <w:color w:val="000000" w:themeColor="text1"/>
          <w:sz w:val="24"/>
          <w:szCs w:val="24"/>
          <w:lang w:val="en-US"/>
        </w:rPr>
        <w:t>c</w:t>
      </w:r>
      <w:r w:rsidRPr="00A472FC">
        <w:rPr>
          <w:rFonts w:ascii="Times New Roman" w:hAnsi="Times New Roman" w:cs="Times New Roman"/>
          <w:i/>
          <w:color w:val="000000" w:themeColor="text1"/>
          <w:sz w:val="24"/>
          <w:szCs w:val="24"/>
          <w:lang w:val="en-US"/>
        </w:rPr>
        <w:t xml:space="preserve">al and Theological Exchanges Between the Arabic, Hebrew and Latin Intellectual Traditions. </w:t>
      </w:r>
      <w:r w:rsidRPr="00A472FC">
        <w:rPr>
          <w:rFonts w:ascii="Times New Roman" w:hAnsi="Times New Roman" w:cs="Times New Roman"/>
          <w:color w:val="000000" w:themeColor="text1"/>
          <w:sz w:val="24"/>
          <w:szCs w:val="24"/>
          <w:lang w:val="en-US"/>
        </w:rPr>
        <w:t xml:space="preserve">Edited by Alexander Fidora and Nicola </w:t>
      </w:r>
      <w:proofErr w:type="spellStart"/>
      <w:r w:rsidRPr="00A472FC">
        <w:rPr>
          <w:rFonts w:ascii="Times New Roman" w:hAnsi="Times New Roman" w:cs="Times New Roman"/>
          <w:color w:val="000000" w:themeColor="text1"/>
          <w:sz w:val="24"/>
          <w:szCs w:val="24"/>
          <w:lang w:val="en-US"/>
        </w:rPr>
        <w:t>Polloni</w:t>
      </w:r>
      <w:proofErr w:type="spellEnd"/>
      <w:r w:rsidRPr="00A472FC">
        <w:rPr>
          <w:rFonts w:ascii="Times New Roman" w:hAnsi="Times New Roman" w:cs="Times New Roman"/>
          <w:color w:val="000000" w:themeColor="text1"/>
          <w:sz w:val="24"/>
          <w:szCs w:val="24"/>
          <w:lang w:val="en-US"/>
        </w:rPr>
        <w:t>, 137-84.</w:t>
      </w:r>
      <w:r w:rsidRPr="00A472FC">
        <w:rPr>
          <w:rFonts w:ascii="Times New Roman" w:hAnsi="Times New Roman" w:cs="Times New Roman"/>
          <w:i/>
          <w:color w:val="000000" w:themeColor="text1"/>
          <w:sz w:val="24"/>
          <w:szCs w:val="24"/>
          <w:lang w:val="en-US"/>
        </w:rPr>
        <w:t xml:space="preserve"> </w:t>
      </w:r>
      <w:r w:rsidRPr="00A472FC">
        <w:rPr>
          <w:rFonts w:ascii="Times New Roman" w:hAnsi="Times New Roman" w:cs="Times New Roman"/>
          <w:color w:val="000000" w:themeColor="text1"/>
          <w:sz w:val="24"/>
          <w:szCs w:val="24"/>
          <w:lang w:val="en-US"/>
        </w:rPr>
        <w:t xml:space="preserve">Paris: </w:t>
      </w:r>
      <w:proofErr w:type="spellStart"/>
      <w:r w:rsidRPr="00A472FC">
        <w:rPr>
          <w:rFonts w:ascii="Times New Roman" w:hAnsi="Times New Roman" w:cs="Times New Roman"/>
          <w:color w:val="000000" w:themeColor="text1"/>
          <w:sz w:val="24"/>
          <w:szCs w:val="24"/>
          <w:lang w:val="en-US"/>
        </w:rPr>
        <w:t>Brepols</w:t>
      </w:r>
      <w:proofErr w:type="spellEnd"/>
      <w:r w:rsidRPr="00A472FC">
        <w:rPr>
          <w:rFonts w:ascii="Times New Roman" w:hAnsi="Times New Roman" w:cs="Times New Roman"/>
          <w:color w:val="000000" w:themeColor="text1"/>
          <w:sz w:val="24"/>
          <w:szCs w:val="24"/>
          <w:lang w:val="en-US"/>
        </w:rPr>
        <w:t xml:space="preserve">, 2017. </w:t>
      </w:r>
    </w:p>
    <w:p w14:paraId="4DE79B5A" w14:textId="5276400B" w:rsidR="00FE3E9D" w:rsidRPr="00A472FC" w:rsidRDefault="001B407A"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lastRenderedPageBreak/>
        <w:t xml:space="preserve">Benson, Joshua C. ‘Augustine and Bonaventure.’ In </w:t>
      </w:r>
      <w:r w:rsidRPr="00A472FC">
        <w:rPr>
          <w:rFonts w:ascii="Times New Roman" w:hAnsi="Times New Roman" w:cs="Times New Roman"/>
          <w:i/>
          <w:iCs/>
        </w:rPr>
        <w:t>T&amp;T Clark Companion to Augustine and Modern Theology</w:t>
      </w:r>
      <w:r w:rsidRPr="00A472FC">
        <w:rPr>
          <w:rFonts w:ascii="Times New Roman" w:hAnsi="Times New Roman" w:cs="Times New Roman"/>
        </w:rPr>
        <w:t xml:space="preserve">. Edited by C.C. </w:t>
      </w:r>
      <w:proofErr w:type="spellStart"/>
      <w:r w:rsidRPr="00A472FC">
        <w:rPr>
          <w:rFonts w:ascii="Times New Roman" w:hAnsi="Times New Roman" w:cs="Times New Roman"/>
        </w:rPr>
        <w:t>Pecknold</w:t>
      </w:r>
      <w:proofErr w:type="spellEnd"/>
      <w:r w:rsidRPr="00A472FC">
        <w:rPr>
          <w:rFonts w:ascii="Times New Roman" w:hAnsi="Times New Roman" w:cs="Times New Roman"/>
        </w:rPr>
        <w:t xml:space="preserve"> and </w:t>
      </w:r>
      <w:proofErr w:type="spellStart"/>
      <w:r w:rsidRPr="00A472FC">
        <w:rPr>
          <w:rFonts w:ascii="Times New Roman" w:hAnsi="Times New Roman" w:cs="Times New Roman"/>
        </w:rPr>
        <w:t>Tarmo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Toom</w:t>
      </w:r>
      <w:proofErr w:type="spellEnd"/>
      <w:r w:rsidR="00FE3E9D" w:rsidRPr="00A472FC">
        <w:rPr>
          <w:rFonts w:ascii="Times New Roman" w:hAnsi="Times New Roman" w:cs="Times New Roman"/>
        </w:rPr>
        <w:t xml:space="preserve">, 131-50. </w:t>
      </w:r>
      <w:r w:rsidRPr="00A472FC">
        <w:rPr>
          <w:rFonts w:ascii="Times New Roman" w:hAnsi="Times New Roman" w:cs="Times New Roman"/>
        </w:rPr>
        <w:t>London: Bloomsbury, 2013</w:t>
      </w:r>
      <w:r w:rsidR="00FE3E9D" w:rsidRPr="00A472FC">
        <w:rPr>
          <w:rFonts w:ascii="Times New Roman" w:hAnsi="Times New Roman" w:cs="Times New Roman"/>
        </w:rPr>
        <w:t>.</w:t>
      </w:r>
    </w:p>
    <w:p w14:paraId="66951875" w14:textId="469B4660"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Bertola</w:t>
      </w:r>
      <w:proofErr w:type="spellEnd"/>
      <w:r w:rsidRPr="00A472FC">
        <w:rPr>
          <w:rFonts w:ascii="Times New Roman" w:hAnsi="Times New Roman" w:cs="Times New Roman"/>
        </w:rPr>
        <w:t xml:space="preserve">, E. ‘Le </w:t>
      </w:r>
      <w:proofErr w:type="spellStart"/>
      <w:r w:rsidRPr="00A472FC">
        <w:rPr>
          <w:rFonts w:ascii="Times New Roman" w:hAnsi="Times New Roman" w:cs="Times New Roman"/>
        </w:rPr>
        <w:t>citazioni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di</w:t>
      </w:r>
      <w:proofErr w:type="spellEnd"/>
      <w:r w:rsidRPr="00A472FC">
        <w:rPr>
          <w:rFonts w:ascii="Times New Roman" w:hAnsi="Times New Roman" w:cs="Times New Roman"/>
        </w:rPr>
        <w:t xml:space="preserve"> Giovanni </w:t>
      </w:r>
      <w:proofErr w:type="spellStart"/>
      <w:r w:rsidRPr="00A472FC">
        <w:rPr>
          <w:rFonts w:ascii="Times New Roman" w:hAnsi="Times New Roman" w:cs="Times New Roman"/>
        </w:rPr>
        <w:t>Damasceno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nel</w:t>
      </w:r>
      <w:proofErr w:type="spellEnd"/>
      <w:r w:rsidRPr="00A472FC">
        <w:rPr>
          <w:rFonts w:ascii="Times New Roman" w:hAnsi="Times New Roman" w:cs="Times New Roman"/>
        </w:rPr>
        <w:t xml:space="preserve"> primo </w:t>
      </w:r>
      <w:proofErr w:type="spellStart"/>
      <w:r w:rsidRPr="00A472FC">
        <w:rPr>
          <w:rFonts w:ascii="Times New Roman" w:hAnsi="Times New Roman" w:cs="Times New Roman"/>
        </w:rPr>
        <w:t>libro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delle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Sentenze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lombardiane</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Pier Lombardo </w:t>
      </w:r>
      <w:r w:rsidRPr="00A472FC">
        <w:rPr>
          <w:rFonts w:ascii="Times New Roman" w:hAnsi="Times New Roman" w:cs="Times New Roman"/>
        </w:rPr>
        <w:t>1 (1957): 2-17.</w:t>
      </w:r>
    </w:p>
    <w:p w14:paraId="00D82A75" w14:textId="0A701CF3"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Bertolacci</w:t>
      </w:r>
      <w:proofErr w:type="spellEnd"/>
      <w:r w:rsidRPr="00A472FC">
        <w:rPr>
          <w:rFonts w:ascii="Times New Roman" w:hAnsi="Times New Roman" w:cs="Times New Roman"/>
        </w:rPr>
        <w:t xml:space="preserve">, Amos. ‘On the Latin Reception of Avicenna’s Metaphysics before </w:t>
      </w:r>
      <w:proofErr w:type="spellStart"/>
      <w:r w:rsidRPr="00A472FC">
        <w:rPr>
          <w:rFonts w:ascii="Times New Roman" w:hAnsi="Times New Roman" w:cs="Times New Roman"/>
        </w:rPr>
        <w:t>Albertus</w:t>
      </w:r>
      <w:proofErr w:type="spellEnd"/>
      <w:r w:rsidRPr="00A472FC">
        <w:rPr>
          <w:rFonts w:ascii="Times New Roman" w:hAnsi="Times New Roman" w:cs="Times New Roman"/>
        </w:rPr>
        <w:t xml:space="preserve"> Magnus: An Attempt at </w:t>
      </w:r>
      <w:proofErr w:type="spellStart"/>
      <w:r w:rsidRPr="00A472FC">
        <w:rPr>
          <w:rFonts w:ascii="Times New Roman" w:hAnsi="Times New Roman" w:cs="Times New Roman"/>
        </w:rPr>
        <w:t>Periodization</w:t>
      </w:r>
      <w:proofErr w:type="spellEnd"/>
      <w:r w:rsidRPr="00A472FC">
        <w:rPr>
          <w:rFonts w:ascii="Times New Roman" w:hAnsi="Times New Roman" w:cs="Times New Roman"/>
        </w:rPr>
        <w:t xml:space="preserve">.’ In </w:t>
      </w:r>
      <w:r w:rsidRPr="00A472FC">
        <w:rPr>
          <w:rFonts w:ascii="Times New Roman" w:hAnsi="Times New Roman" w:cs="Times New Roman"/>
          <w:i/>
          <w:iCs/>
        </w:rPr>
        <w:t>The Arabic, Hebrew and Latin Reception of Avicenna’s Metaphysics</w:t>
      </w:r>
      <w:r w:rsidRPr="00A472FC">
        <w:rPr>
          <w:rFonts w:ascii="Times New Roman" w:hAnsi="Times New Roman" w:cs="Times New Roman"/>
        </w:rPr>
        <w:t xml:space="preserve">. Edited by </w:t>
      </w:r>
      <w:proofErr w:type="spellStart"/>
      <w:r w:rsidRPr="00A472FC">
        <w:rPr>
          <w:rFonts w:ascii="Times New Roman" w:hAnsi="Times New Roman" w:cs="Times New Roman"/>
        </w:rPr>
        <w:t>Dag</w:t>
      </w:r>
      <w:proofErr w:type="spellEnd"/>
      <w:r w:rsidRPr="00A472FC">
        <w:rPr>
          <w:rFonts w:ascii="Times New Roman" w:hAnsi="Times New Roman" w:cs="Times New Roman"/>
        </w:rPr>
        <w:t xml:space="preserve"> Nikolaus Hasse and Amos </w:t>
      </w:r>
      <w:proofErr w:type="spellStart"/>
      <w:r w:rsidRPr="00A472FC">
        <w:rPr>
          <w:rFonts w:ascii="Times New Roman" w:hAnsi="Times New Roman" w:cs="Times New Roman"/>
        </w:rPr>
        <w:t>Bertolacci</w:t>
      </w:r>
      <w:proofErr w:type="spellEnd"/>
      <w:r w:rsidRPr="00A472FC">
        <w:rPr>
          <w:rFonts w:ascii="Times New Roman" w:hAnsi="Times New Roman" w:cs="Times New Roman"/>
        </w:rPr>
        <w:t>, 197-223. Berlin: De Gruyter, 2012.</w:t>
      </w:r>
    </w:p>
    <w:p w14:paraId="0A133C0B" w14:textId="4DE7483F" w:rsidR="00475C88" w:rsidRPr="00A472FC" w:rsidRDefault="00BB74D9"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00475C88" w:rsidRPr="00A472FC">
        <w:rPr>
          <w:rFonts w:ascii="Times New Roman" w:hAnsi="Times New Roman" w:cs="Times New Roman"/>
        </w:rPr>
        <w:t xml:space="preserve">‘Reading Aristotle with Avicenna: On the Reception of the </w:t>
      </w:r>
      <w:proofErr w:type="spellStart"/>
      <w:r w:rsidR="00475C88" w:rsidRPr="00A472FC">
        <w:rPr>
          <w:rFonts w:ascii="Times New Roman" w:hAnsi="Times New Roman" w:cs="Times New Roman"/>
          <w:i/>
          <w:iCs/>
        </w:rPr>
        <w:t>Philosophia</w:t>
      </w:r>
      <w:proofErr w:type="spellEnd"/>
      <w:r w:rsidR="00475C88" w:rsidRPr="00A472FC">
        <w:rPr>
          <w:rFonts w:ascii="Times New Roman" w:hAnsi="Times New Roman" w:cs="Times New Roman"/>
          <w:i/>
          <w:iCs/>
        </w:rPr>
        <w:t xml:space="preserve"> Prima </w:t>
      </w:r>
      <w:r w:rsidR="00475C88" w:rsidRPr="00A472FC">
        <w:rPr>
          <w:rFonts w:ascii="Times New Roman" w:hAnsi="Times New Roman" w:cs="Times New Roman"/>
        </w:rPr>
        <w:t>in the</w:t>
      </w:r>
      <w:r w:rsidR="00475C88" w:rsidRPr="00A472FC">
        <w:rPr>
          <w:rFonts w:ascii="Times New Roman" w:hAnsi="Times New Roman" w:cs="Times New Roman"/>
          <w:i/>
          <w:iCs/>
        </w:rPr>
        <w:t xml:space="preserve"> Summa </w:t>
      </w:r>
      <w:proofErr w:type="spellStart"/>
      <w:r w:rsidR="00475C88" w:rsidRPr="00A472FC">
        <w:rPr>
          <w:rFonts w:ascii="Times New Roman" w:hAnsi="Times New Roman" w:cs="Times New Roman"/>
          <w:i/>
          <w:iCs/>
        </w:rPr>
        <w:t>Halensis</w:t>
      </w:r>
      <w:proofErr w:type="spellEnd"/>
      <w:r w:rsidR="00475C88" w:rsidRPr="00A472FC">
        <w:rPr>
          <w:rFonts w:ascii="Times New Roman" w:hAnsi="Times New Roman" w:cs="Times New Roman"/>
        </w:rPr>
        <w:t xml:space="preserve">.’ In </w:t>
      </w:r>
      <w:r w:rsidR="00475C88" w:rsidRPr="00A472FC">
        <w:rPr>
          <w:rFonts w:ascii="Times New Roman" w:hAnsi="Times New Roman" w:cs="Times New Roman"/>
          <w:i/>
          <w:iCs/>
        </w:rPr>
        <w:t xml:space="preserve">The Summa </w:t>
      </w:r>
      <w:proofErr w:type="spellStart"/>
      <w:r w:rsidR="00475C88" w:rsidRPr="00A472FC">
        <w:rPr>
          <w:rFonts w:ascii="Times New Roman" w:hAnsi="Times New Roman" w:cs="Times New Roman"/>
          <w:i/>
          <w:iCs/>
        </w:rPr>
        <w:t>Halensis</w:t>
      </w:r>
      <w:proofErr w:type="spellEnd"/>
      <w:r w:rsidR="00475C88" w:rsidRPr="00A472FC">
        <w:rPr>
          <w:rFonts w:ascii="Times New Roman" w:hAnsi="Times New Roman" w:cs="Times New Roman"/>
          <w:i/>
          <w:iCs/>
        </w:rPr>
        <w:t xml:space="preserve">: Sources and Context. </w:t>
      </w:r>
      <w:r w:rsidR="00475C88" w:rsidRPr="00A472FC">
        <w:rPr>
          <w:rFonts w:ascii="Times New Roman" w:hAnsi="Times New Roman" w:cs="Times New Roman"/>
        </w:rPr>
        <w:t>Edited by Lydia Schumacher, 135-54. Berlin: De Gruyter, 2020.</w:t>
      </w:r>
    </w:p>
    <w:p w14:paraId="7FE177D5" w14:textId="4FF18073"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Bianchi, Luca. ‘Les interdictions relatives à </w:t>
      </w:r>
      <w:proofErr w:type="spellStart"/>
      <w:r w:rsidRPr="00A472FC">
        <w:rPr>
          <w:rFonts w:ascii="Times New Roman" w:hAnsi="Times New Roman" w:cs="Times New Roman"/>
        </w:rPr>
        <w:t>l’enseignement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d’Aristote</w:t>
      </w:r>
      <w:proofErr w:type="spellEnd"/>
      <w:r w:rsidRPr="00A472FC">
        <w:rPr>
          <w:rFonts w:ascii="Times New Roman" w:hAnsi="Times New Roman" w:cs="Times New Roman"/>
        </w:rPr>
        <w:t xml:space="preserve"> au XIIIe siècle.’ In </w:t>
      </w:r>
      <w:proofErr w:type="spellStart"/>
      <w:r w:rsidRPr="00A472FC">
        <w:rPr>
          <w:rFonts w:ascii="Times New Roman" w:hAnsi="Times New Roman" w:cs="Times New Roman"/>
          <w:i/>
          <w:iCs/>
        </w:rPr>
        <w:t>L’enseignement</w:t>
      </w:r>
      <w:proofErr w:type="spellEnd"/>
      <w:r w:rsidRPr="00A472FC">
        <w:rPr>
          <w:rFonts w:ascii="Times New Roman" w:hAnsi="Times New Roman" w:cs="Times New Roman"/>
          <w:i/>
          <w:iCs/>
        </w:rPr>
        <w:t xml:space="preserve"> de la philosophie au XIIIe siècle</w:t>
      </w:r>
      <w:r w:rsidR="00E978ED" w:rsidRPr="00A472FC">
        <w:rPr>
          <w:rFonts w:ascii="Times New Roman" w:hAnsi="Times New Roman" w:cs="Times New Roman"/>
          <w:i/>
          <w:iCs/>
        </w:rPr>
        <w:t>:</w:t>
      </w:r>
      <w:r w:rsidRPr="00A472FC">
        <w:rPr>
          <w:rFonts w:ascii="Times New Roman" w:hAnsi="Times New Roman" w:cs="Times New Roman"/>
          <w:i/>
          <w:iCs/>
        </w:rPr>
        <w:t xml:space="preserve"> </w:t>
      </w:r>
      <w:proofErr w:type="spellStart"/>
      <w:r w:rsidRPr="00A472FC">
        <w:rPr>
          <w:rFonts w:ascii="Times New Roman" w:hAnsi="Times New Roman" w:cs="Times New Roman"/>
          <w:i/>
          <w:iCs/>
        </w:rPr>
        <w:t>Autour</w:t>
      </w:r>
      <w:proofErr w:type="spellEnd"/>
      <w:r w:rsidRPr="00A472FC">
        <w:rPr>
          <w:rFonts w:ascii="Times New Roman" w:hAnsi="Times New Roman" w:cs="Times New Roman"/>
          <w:i/>
          <w:iCs/>
        </w:rPr>
        <w:t xml:space="preserve"> du ‘Guide de </w:t>
      </w:r>
      <w:proofErr w:type="spellStart"/>
      <w:r w:rsidRPr="00A472FC">
        <w:rPr>
          <w:rFonts w:ascii="Times New Roman" w:hAnsi="Times New Roman" w:cs="Times New Roman"/>
          <w:i/>
          <w:iCs/>
        </w:rPr>
        <w:t>l’étudiant</w:t>
      </w:r>
      <w:proofErr w:type="spellEnd"/>
      <w:r w:rsidRPr="00A472FC">
        <w:rPr>
          <w:rFonts w:ascii="Times New Roman" w:hAnsi="Times New Roman" w:cs="Times New Roman"/>
          <w:i/>
          <w:iCs/>
        </w:rPr>
        <w:t xml:space="preserve">’ du ms. </w:t>
      </w:r>
      <w:proofErr w:type="spellStart"/>
      <w:r w:rsidRPr="00A472FC">
        <w:rPr>
          <w:rFonts w:ascii="Times New Roman" w:hAnsi="Times New Roman" w:cs="Times New Roman"/>
          <w:i/>
          <w:iCs/>
        </w:rPr>
        <w:t>Ripoll</w:t>
      </w:r>
      <w:proofErr w:type="spellEnd"/>
      <w:r w:rsidRPr="00A472FC">
        <w:rPr>
          <w:rFonts w:ascii="Times New Roman" w:hAnsi="Times New Roman" w:cs="Times New Roman"/>
          <w:i/>
          <w:iCs/>
        </w:rPr>
        <w:t xml:space="preserve"> 109</w:t>
      </w:r>
      <w:r w:rsidRPr="00A472FC">
        <w:rPr>
          <w:rFonts w:ascii="Times New Roman" w:hAnsi="Times New Roman" w:cs="Times New Roman"/>
        </w:rPr>
        <w:t xml:space="preserve">. Edited by Claude Lafleur and Joanne Carrier, 109-37.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1997.</w:t>
      </w:r>
    </w:p>
    <w:p w14:paraId="07BF2277"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Bieniak, Magdalena. ‘</w:t>
      </w:r>
      <w:proofErr w:type="spellStart"/>
      <w:r w:rsidRPr="00A472FC">
        <w:rPr>
          <w:rFonts w:ascii="Times New Roman" w:hAnsi="Times New Roman" w:cs="Times New Roman"/>
        </w:rPr>
        <w:t>Una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questione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disputata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ugo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di</w:t>
      </w:r>
      <w:proofErr w:type="spellEnd"/>
      <w:r w:rsidRPr="00A472FC">
        <w:rPr>
          <w:rFonts w:ascii="Times New Roman" w:hAnsi="Times New Roman" w:cs="Times New Roman"/>
        </w:rPr>
        <w:t xml:space="preserve"> St Cher </w:t>
      </w:r>
      <w:proofErr w:type="spellStart"/>
      <w:r w:rsidRPr="00A472FC">
        <w:rPr>
          <w:rFonts w:ascii="Times New Roman" w:hAnsi="Times New Roman" w:cs="Times New Roman"/>
        </w:rPr>
        <w:t>sull’anima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edizione</w:t>
      </w:r>
      <w:proofErr w:type="spellEnd"/>
      <w:r w:rsidRPr="00A472FC">
        <w:rPr>
          <w:rFonts w:ascii="Times New Roman" w:hAnsi="Times New Roman" w:cs="Times New Roman"/>
        </w:rPr>
        <w:t xml:space="preserve"> e studio </w:t>
      </w:r>
      <w:proofErr w:type="spellStart"/>
      <w:r w:rsidRPr="00A472FC">
        <w:rPr>
          <w:rFonts w:ascii="Times New Roman" w:hAnsi="Times New Roman" w:cs="Times New Roman"/>
        </w:rPr>
        <w:t>dottrinale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iCs/>
        </w:rPr>
        <w:t>Studia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Antyczne</w:t>
      </w:r>
      <w:proofErr w:type="spellEnd"/>
      <w:r w:rsidRPr="00A472FC">
        <w:rPr>
          <w:rFonts w:ascii="Times New Roman" w:hAnsi="Times New Roman" w:cs="Times New Roman"/>
          <w:i/>
          <w:iCs/>
        </w:rPr>
        <w:t xml:space="preserve"> I </w:t>
      </w:r>
      <w:proofErr w:type="spellStart"/>
      <w:r w:rsidRPr="00A472FC">
        <w:rPr>
          <w:rFonts w:ascii="Times New Roman" w:hAnsi="Times New Roman" w:cs="Times New Roman"/>
          <w:i/>
          <w:iCs/>
        </w:rPr>
        <w:t>Mediewistyczne</w:t>
      </w:r>
      <w:proofErr w:type="spellEnd"/>
      <w:r w:rsidRPr="00A472FC">
        <w:rPr>
          <w:rFonts w:ascii="Times New Roman" w:hAnsi="Times New Roman" w:cs="Times New Roman"/>
          <w:i/>
          <w:iCs/>
        </w:rPr>
        <w:t xml:space="preserve"> </w:t>
      </w:r>
      <w:r w:rsidRPr="00A472FC">
        <w:rPr>
          <w:rFonts w:ascii="Times New Roman" w:hAnsi="Times New Roman" w:cs="Times New Roman"/>
        </w:rPr>
        <w:t>37 (2004): 127-84.</w:t>
      </w:r>
    </w:p>
    <w:p w14:paraId="4A99E674"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‘Filippo il </w:t>
      </w:r>
      <w:proofErr w:type="spellStart"/>
      <w:r w:rsidRPr="00A472FC">
        <w:rPr>
          <w:rFonts w:ascii="Times New Roman" w:hAnsi="Times New Roman" w:cs="Times New Roman"/>
        </w:rPr>
        <w:t>Cancelliere</w:t>
      </w:r>
      <w:proofErr w:type="spellEnd"/>
      <w:r w:rsidRPr="00A472FC">
        <w:rPr>
          <w:rFonts w:ascii="Times New Roman" w:hAnsi="Times New Roman" w:cs="Times New Roman"/>
        </w:rPr>
        <w:t xml:space="preserve"> e </w:t>
      </w:r>
      <w:proofErr w:type="spellStart"/>
      <w:r w:rsidRPr="00A472FC">
        <w:rPr>
          <w:rFonts w:ascii="Times New Roman" w:hAnsi="Times New Roman" w:cs="Times New Roman"/>
        </w:rPr>
        <w:t>Ugo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di</w:t>
      </w:r>
      <w:proofErr w:type="spellEnd"/>
      <w:r w:rsidRPr="00A472FC">
        <w:rPr>
          <w:rFonts w:ascii="Times New Roman" w:hAnsi="Times New Roman" w:cs="Times New Roman"/>
        </w:rPr>
        <w:t xml:space="preserve"> Saint-Cher </w:t>
      </w:r>
      <w:proofErr w:type="spellStart"/>
      <w:r w:rsidRPr="00A472FC">
        <w:rPr>
          <w:rFonts w:ascii="Times New Roman" w:hAnsi="Times New Roman" w:cs="Times New Roman"/>
        </w:rPr>
        <w:t>sull’anima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Umana</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i/>
          <w:iCs/>
        </w:rPr>
        <w:t>L’origine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dell’Ordine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dei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Predicatori</w:t>
      </w:r>
      <w:proofErr w:type="spellEnd"/>
      <w:r w:rsidRPr="00A472FC">
        <w:rPr>
          <w:rFonts w:ascii="Times New Roman" w:hAnsi="Times New Roman" w:cs="Times New Roman"/>
          <w:i/>
          <w:iCs/>
        </w:rPr>
        <w:t xml:space="preserve"> e </w:t>
      </w:r>
      <w:proofErr w:type="spellStart"/>
      <w:r w:rsidRPr="00A472FC">
        <w:rPr>
          <w:rFonts w:ascii="Times New Roman" w:hAnsi="Times New Roman" w:cs="Times New Roman"/>
          <w:i/>
          <w:iCs/>
        </w:rPr>
        <w:t>l’Università</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di</w:t>
      </w:r>
      <w:proofErr w:type="spellEnd"/>
      <w:r w:rsidRPr="00A472FC">
        <w:rPr>
          <w:rFonts w:ascii="Times New Roman" w:hAnsi="Times New Roman" w:cs="Times New Roman"/>
          <w:i/>
          <w:iCs/>
        </w:rPr>
        <w:t xml:space="preserve"> Bologna</w:t>
      </w:r>
      <w:r w:rsidRPr="00A472FC">
        <w:rPr>
          <w:rFonts w:ascii="Times New Roman" w:hAnsi="Times New Roman" w:cs="Times New Roman"/>
        </w:rPr>
        <w:t xml:space="preserve">. Edited by Giovanni </w:t>
      </w:r>
      <w:proofErr w:type="spellStart"/>
      <w:r w:rsidRPr="00A472FC">
        <w:rPr>
          <w:rFonts w:ascii="Times New Roman" w:hAnsi="Times New Roman" w:cs="Times New Roman"/>
        </w:rPr>
        <w:t>Bertuzzi</w:t>
      </w:r>
      <w:proofErr w:type="spellEnd"/>
      <w:r w:rsidRPr="00A472FC">
        <w:rPr>
          <w:rFonts w:ascii="Times New Roman" w:hAnsi="Times New Roman" w:cs="Times New Roman"/>
        </w:rPr>
        <w:t xml:space="preserve">, 105-17. Bologna: </w:t>
      </w:r>
      <w:proofErr w:type="spellStart"/>
      <w:r w:rsidRPr="00A472FC">
        <w:rPr>
          <w:rFonts w:ascii="Times New Roman" w:hAnsi="Times New Roman" w:cs="Times New Roman"/>
        </w:rPr>
        <w:t>Edizioni</w:t>
      </w:r>
      <w:proofErr w:type="spellEnd"/>
      <w:r w:rsidRPr="00A472FC">
        <w:rPr>
          <w:rFonts w:ascii="Times New Roman" w:hAnsi="Times New Roman" w:cs="Times New Roman"/>
        </w:rPr>
        <w:t xml:space="preserve"> Studio </w:t>
      </w:r>
      <w:proofErr w:type="spellStart"/>
      <w:r w:rsidRPr="00A472FC">
        <w:rPr>
          <w:rFonts w:ascii="Times New Roman" w:hAnsi="Times New Roman" w:cs="Times New Roman"/>
        </w:rPr>
        <w:t>Domenicano</w:t>
      </w:r>
      <w:proofErr w:type="spellEnd"/>
      <w:r w:rsidRPr="00A472FC">
        <w:rPr>
          <w:rFonts w:ascii="Times New Roman" w:hAnsi="Times New Roman" w:cs="Times New Roman"/>
        </w:rPr>
        <w:t>, 2006.</w:t>
      </w:r>
    </w:p>
    <w:p w14:paraId="0D2AC4F6"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‘The Sentences Commentary of Hugh of St Cher.’ In </w:t>
      </w:r>
      <w:r w:rsidRPr="00A472FC">
        <w:rPr>
          <w:rFonts w:ascii="Times New Roman" w:hAnsi="Times New Roman" w:cs="Times New Roman"/>
          <w:i/>
          <w:iCs/>
        </w:rPr>
        <w:t>Medieval Commentaries on the Sentences of Peter Lombard</w:t>
      </w:r>
      <w:r w:rsidRPr="00A472FC">
        <w:rPr>
          <w:rFonts w:ascii="Times New Roman" w:hAnsi="Times New Roman" w:cs="Times New Roman"/>
        </w:rPr>
        <w:t xml:space="preserve">. Edited by Philipp W. </w:t>
      </w:r>
      <w:proofErr w:type="spellStart"/>
      <w:r w:rsidRPr="00A472FC">
        <w:rPr>
          <w:rFonts w:ascii="Times New Roman" w:hAnsi="Times New Roman" w:cs="Times New Roman"/>
        </w:rPr>
        <w:t>Rosemann</w:t>
      </w:r>
      <w:proofErr w:type="spellEnd"/>
      <w:r w:rsidRPr="00A472FC">
        <w:rPr>
          <w:rFonts w:ascii="Times New Roman" w:hAnsi="Times New Roman" w:cs="Times New Roman"/>
        </w:rPr>
        <w:t>, 111-47. Leiden: Brill, 2010.</w:t>
      </w:r>
    </w:p>
    <w:p w14:paraId="3CD2DC85"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The Body-Soul Problem at Paris ca. 1200-1250.</w:t>
      </w:r>
      <w:r w:rsidRPr="00A472FC">
        <w:rPr>
          <w:rFonts w:ascii="Times New Roman" w:hAnsi="Times New Roman" w:cs="Times New Roman"/>
        </w:rPr>
        <w:t xml:space="preserve"> Leuven: Leuven University Press, 2010.</w:t>
      </w:r>
    </w:p>
    <w:p w14:paraId="0062BB47" w14:textId="4791574D"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‘The Powers of the Soul in the Anthropology of Hugh of St Cher.’ In </w:t>
      </w:r>
      <w:r w:rsidRPr="00A472FC">
        <w:rPr>
          <w:rFonts w:ascii="Times New Roman" w:hAnsi="Times New Roman" w:cs="Times New Roman"/>
          <w:i/>
          <w:iCs/>
        </w:rPr>
        <w:t>Psychology and Other Disciplines: A Case of Cross-Disciplinary Interacti</w:t>
      </w:r>
      <w:r w:rsidR="00651E8E" w:rsidRPr="00A472FC">
        <w:rPr>
          <w:rFonts w:ascii="Times New Roman" w:hAnsi="Times New Roman" w:cs="Times New Roman"/>
          <w:i/>
          <w:iCs/>
        </w:rPr>
        <w:t>on</w:t>
      </w:r>
      <w:r w:rsidRPr="00A472FC">
        <w:rPr>
          <w:rFonts w:ascii="Times New Roman" w:hAnsi="Times New Roman" w:cs="Times New Roman"/>
          <w:i/>
          <w:iCs/>
        </w:rPr>
        <w:t xml:space="preserve"> (1250-1750)</w:t>
      </w:r>
      <w:r w:rsidRPr="00A472FC">
        <w:rPr>
          <w:rFonts w:ascii="Times New Roman" w:hAnsi="Times New Roman" w:cs="Times New Roman"/>
        </w:rPr>
        <w:t xml:space="preserve">. Edited by Paul J.J.M. Bakker, Sander W. de Boer and Cees </w:t>
      </w:r>
      <w:proofErr w:type="spellStart"/>
      <w:r w:rsidRPr="00A472FC">
        <w:rPr>
          <w:rFonts w:ascii="Times New Roman" w:hAnsi="Times New Roman" w:cs="Times New Roman"/>
        </w:rPr>
        <w:t>Leijenhorst</w:t>
      </w:r>
      <w:proofErr w:type="spellEnd"/>
      <w:r w:rsidRPr="00A472FC">
        <w:rPr>
          <w:rFonts w:ascii="Times New Roman" w:hAnsi="Times New Roman" w:cs="Times New Roman"/>
        </w:rPr>
        <w:t>, 157-70. Leiden: Brill, 2012.</w:t>
      </w:r>
    </w:p>
    <w:p w14:paraId="66B747EA"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‘Contents of Hugh of St Cher’s Commentary on the Sentences, Books I-II.’ </w:t>
      </w:r>
      <w:proofErr w:type="spellStart"/>
      <w:r w:rsidRPr="00A472FC">
        <w:rPr>
          <w:rFonts w:ascii="Times New Roman" w:hAnsi="Times New Roman" w:cs="Times New Roman"/>
          <w:i/>
          <w:iCs/>
        </w:rPr>
        <w:t>Przeglad</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Tomistyczny</w:t>
      </w:r>
      <w:proofErr w:type="spellEnd"/>
      <w:r w:rsidRPr="00A472FC">
        <w:rPr>
          <w:rFonts w:ascii="Times New Roman" w:hAnsi="Times New Roman" w:cs="Times New Roman"/>
          <w:i/>
          <w:iCs/>
        </w:rPr>
        <w:t xml:space="preserve"> </w:t>
      </w:r>
      <w:r w:rsidRPr="00A472FC">
        <w:rPr>
          <w:rFonts w:ascii="Times New Roman" w:hAnsi="Times New Roman" w:cs="Times New Roman"/>
        </w:rPr>
        <w:t>19 (2013): 9-91.</w:t>
      </w:r>
    </w:p>
    <w:p w14:paraId="7972B68F" w14:textId="273C4104" w:rsidR="00552F8F" w:rsidRPr="00A472FC" w:rsidRDefault="00552F8F" w:rsidP="00552F8F">
      <w:pPr>
        <w:autoSpaceDE w:val="0"/>
        <w:autoSpaceDN w:val="0"/>
        <w:adjustRightInd w:val="0"/>
        <w:ind w:left="720" w:right="-772" w:hanging="720"/>
        <w:rPr>
          <w:rFonts w:ascii="Times New Roman" w:hAnsi="Times New Roman" w:cs="Times New Roman"/>
        </w:rPr>
      </w:pPr>
      <w:r w:rsidRPr="00A472FC">
        <w:rPr>
          <w:rFonts w:ascii="Times New Roman" w:hAnsi="Times New Roman" w:cs="Times New Roman"/>
        </w:rPr>
        <w:t xml:space="preserve">———. ‘The Soul-Body Union in the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rPr>
        <w:t xml:space="preserve">.’ In </w:t>
      </w:r>
      <w:r w:rsidRPr="00A472FC">
        <w:rPr>
          <w:rFonts w:ascii="Times New Roman" w:hAnsi="Times New Roman" w:cs="Times New Roman"/>
          <w:i/>
          <w:iCs/>
        </w:rPr>
        <w:t xml:space="preserve">The Legacy of Early Franciscan Thought. </w:t>
      </w:r>
      <w:r w:rsidRPr="00A472FC">
        <w:rPr>
          <w:rFonts w:ascii="Times New Roman" w:hAnsi="Times New Roman" w:cs="Times New Roman"/>
        </w:rPr>
        <w:t>Edited by Lydia Schumacher, 37-48. Berlin: De Gruyter, 2021.</w:t>
      </w:r>
    </w:p>
    <w:p w14:paraId="0B23D209"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Blumenkranz</w:t>
      </w:r>
      <w:proofErr w:type="spellEnd"/>
      <w:r w:rsidRPr="00A472FC">
        <w:rPr>
          <w:rFonts w:ascii="Times New Roman" w:hAnsi="Times New Roman" w:cs="Times New Roman"/>
        </w:rPr>
        <w:t xml:space="preserve">, Bernhard. ‘La </w:t>
      </w:r>
      <w:proofErr w:type="spellStart"/>
      <w:r w:rsidRPr="00A472FC">
        <w:rPr>
          <w:rFonts w:ascii="Times New Roman" w:hAnsi="Times New Roman" w:cs="Times New Roman"/>
        </w:rPr>
        <w:t>survie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médiévale</w:t>
      </w:r>
      <w:proofErr w:type="spellEnd"/>
      <w:r w:rsidRPr="00A472FC">
        <w:rPr>
          <w:rFonts w:ascii="Times New Roman" w:hAnsi="Times New Roman" w:cs="Times New Roman"/>
        </w:rPr>
        <w:t xml:space="preserve"> de saint Augustin à travers </w:t>
      </w:r>
      <w:proofErr w:type="spellStart"/>
      <w:r w:rsidRPr="00A472FC">
        <w:rPr>
          <w:rFonts w:ascii="Times New Roman" w:hAnsi="Times New Roman" w:cs="Times New Roman"/>
        </w:rPr>
        <w:t>ses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apocryphes</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i/>
          <w:iCs/>
        </w:rPr>
        <w:t>Augustinus</w:t>
      </w:r>
      <w:proofErr w:type="spellEnd"/>
      <w:r w:rsidRPr="00A472FC">
        <w:rPr>
          <w:rFonts w:ascii="Times New Roman" w:hAnsi="Times New Roman" w:cs="Times New Roman"/>
          <w:i/>
          <w:iCs/>
        </w:rPr>
        <w:t xml:space="preserve"> Magister</w:t>
      </w:r>
      <w:r w:rsidRPr="00A472FC">
        <w:rPr>
          <w:rFonts w:ascii="Times New Roman" w:hAnsi="Times New Roman" w:cs="Times New Roman"/>
        </w:rPr>
        <w:t xml:space="preserve">, 1003-18. Paris: Études </w:t>
      </w:r>
      <w:proofErr w:type="spellStart"/>
      <w:r w:rsidRPr="00A472FC">
        <w:rPr>
          <w:rFonts w:ascii="Times New Roman" w:hAnsi="Times New Roman" w:cs="Times New Roman"/>
        </w:rPr>
        <w:t>Augustiniennes</w:t>
      </w:r>
      <w:proofErr w:type="spellEnd"/>
      <w:r w:rsidRPr="00A472FC">
        <w:rPr>
          <w:rFonts w:ascii="Times New Roman" w:hAnsi="Times New Roman" w:cs="Times New Roman"/>
        </w:rPr>
        <w:t>, 1954.</w:t>
      </w:r>
    </w:p>
    <w:p w14:paraId="783D4E93"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Boer, Sander de. </w:t>
      </w:r>
      <w:r w:rsidRPr="00A472FC">
        <w:rPr>
          <w:rFonts w:ascii="Times New Roman" w:hAnsi="Times New Roman" w:cs="Times New Roman"/>
          <w:i/>
          <w:iCs/>
        </w:rPr>
        <w:t>The Science of the Soul: The Commentary Tradition on Aristotle’s De anima, c. 1260-1360.</w:t>
      </w:r>
      <w:r w:rsidRPr="00A472FC">
        <w:rPr>
          <w:rFonts w:ascii="Times New Roman" w:hAnsi="Times New Roman" w:cs="Times New Roman"/>
        </w:rPr>
        <w:t xml:space="preserve"> Leuven: Leuven University Press, 2013.</w:t>
      </w:r>
    </w:p>
    <w:p w14:paraId="62FC5D27" w14:textId="77777777" w:rsidR="006A6E61" w:rsidRPr="00A472FC" w:rsidRDefault="006A6E61" w:rsidP="00881604">
      <w:pPr>
        <w:autoSpaceDE w:val="0"/>
        <w:autoSpaceDN w:val="0"/>
        <w:adjustRightInd w:val="0"/>
        <w:ind w:left="720" w:right="-52" w:hanging="720"/>
        <w:rPr>
          <w:rFonts w:ascii="Times New Roman" w:hAnsi="Times New Roman" w:cs="Times New Roman"/>
          <w:lang w:val="en-US"/>
        </w:rPr>
      </w:pPr>
      <w:r w:rsidRPr="00A472FC">
        <w:rPr>
          <w:rFonts w:ascii="Times New Roman" w:hAnsi="Times New Roman" w:cs="Times New Roman"/>
          <w:lang w:val="en-US"/>
        </w:rPr>
        <w:t>Bonner, Gerald. ‘</w:t>
      </w:r>
      <w:proofErr w:type="spellStart"/>
      <w:r w:rsidRPr="00A472FC">
        <w:rPr>
          <w:rFonts w:ascii="Times New Roman" w:hAnsi="Times New Roman" w:cs="Times New Roman"/>
          <w:lang w:val="en-US"/>
        </w:rPr>
        <w:t>Concupiscentia</w:t>
      </w:r>
      <w:proofErr w:type="spellEnd"/>
      <w:r w:rsidRPr="00A472FC">
        <w:rPr>
          <w:rFonts w:ascii="Times New Roman" w:hAnsi="Times New Roman" w:cs="Times New Roman"/>
          <w:lang w:val="en-US"/>
        </w:rPr>
        <w:t xml:space="preserve">.’ </w:t>
      </w:r>
      <w:proofErr w:type="spellStart"/>
      <w:r w:rsidRPr="00A472FC">
        <w:rPr>
          <w:rFonts w:ascii="Times New Roman" w:hAnsi="Times New Roman" w:cs="Times New Roman"/>
          <w:i/>
          <w:lang w:val="en-US"/>
        </w:rPr>
        <w:t>Augustinus‐Lexikon</w:t>
      </w:r>
      <w:proofErr w:type="spellEnd"/>
      <w:r w:rsidRPr="00A472FC">
        <w:rPr>
          <w:rFonts w:ascii="Times New Roman" w:hAnsi="Times New Roman" w:cs="Times New Roman"/>
          <w:lang w:val="en-US"/>
        </w:rPr>
        <w:t>, vol. I, 1113-22. Munich: C.H. Beck, 1994.</w:t>
      </w:r>
    </w:p>
    <w:p w14:paraId="068E95D6" w14:textId="77777777" w:rsidR="006A6E61" w:rsidRPr="00A472FC" w:rsidRDefault="006A6E61" w:rsidP="00881604">
      <w:pPr>
        <w:autoSpaceDE w:val="0"/>
        <w:autoSpaceDN w:val="0"/>
        <w:adjustRightInd w:val="0"/>
        <w:ind w:left="720" w:right="-52" w:hanging="720"/>
        <w:rPr>
          <w:rFonts w:ascii="Times New Roman" w:hAnsi="Times New Roman" w:cs="Times New Roman"/>
          <w:lang w:val="en-US"/>
        </w:rPr>
      </w:pPr>
      <w:r w:rsidRPr="00A472FC">
        <w:rPr>
          <w:rFonts w:ascii="Times New Roman" w:hAnsi="Times New Roman" w:cs="Times New Roman"/>
        </w:rPr>
        <w:t xml:space="preserve">———. </w:t>
      </w:r>
      <w:r w:rsidRPr="00A472FC">
        <w:rPr>
          <w:rFonts w:ascii="Times New Roman" w:hAnsi="Times New Roman" w:cs="Times New Roman"/>
          <w:lang w:val="en-US"/>
        </w:rPr>
        <w:t>‘</w:t>
      </w:r>
      <w:proofErr w:type="spellStart"/>
      <w:r w:rsidRPr="00A472FC">
        <w:rPr>
          <w:rFonts w:ascii="Times New Roman" w:hAnsi="Times New Roman" w:cs="Times New Roman"/>
          <w:lang w:val="en-US"/>
        </w:rPr>
        <w:t>Cupiditas</w:t>
      </w:r>
      <w:proofErr w:type="spellEnd"/>
      <w:r w:rsidRPr="00A472FC">
        <w:rPr>
          <w:rFonts w:ascii="Times New Roman" w:hAnsi="Times New Roman" w:cs="Times New Roman"/>
          <w:lang w:val="en-US"/>
        </w:rPr>
        <w:t xml:space="preserve">.’ </w:t>
      </w:r>
      <w:proofErr w:type="spellStart"/>
      <w:r w:rsidRPr="00A472FC">
        <w:rPr>
          <w:rFonts w:ascii="Times New Roman" w:hAnsi="Times New Roman" w:cs="Times New Roman"/>
          <w:i/>
          <w:lang w:val="en-US"/>
        </w:rPr>
        <w:t>Augustinus‐Lexikon</w:t>
      </w:r>
      <w:proofErr w:type="spellEnd"/>
      <w:r w:rsidRPr="00A472FC">
        <w:rPr>
          <w:rFonts w:ascii="Times New Roman" w:hAnsi="Times New Roman" w:cs="Times New Roman"/>
          <w:lang w:val="en-US"/>
        </w:rPr>
        <w:t xml:space="preserve">, vol. II, 166-72. Munich: C.H. Beck, 1998. </w:t>
      </w:r>
    </w:p>
    <w:p w14:paraId="720BF3AB" w14:textId="5094283C" w:rsidR="00B203D6" w:rsidRPr="00A472FC" w:rsidRDefault="00B203D6" w:rsidP="00A341F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Bossier, </w:t>
      </w:r>
      <w:proofErr w:type="spellStart"/>
      <w:r w:rsidRPr="00A472FC">
        <w:rPr>
          <w:rFonts w:ascii="Times New Roman" w:hAnsi="Times New Roman" w:cs="Times New Roman"/>
        </w:rPr>
        <w:t>Fernand</w:t>
      </w:r>
      <w:proofErr w:type="spellEnd"/>
      <w:r w:rsidRPr="00A472FC">
        <w:rPr>
          <w:rFonts w:ascii="Times New Roman" w:hAnsi="Times New Roman" w:cs="Times New Roman"/>
        </w:rPr>
        <w:t xml:space="preserve">. ‘Les ennuis d’un </w:t>
      </w:r>
      <w:proofErr w:type="spellStart"/>
      <w:r w:rsidRPr="00A472FC">
        <w:rPr>
          <w:rFonts w:ascii="Times New Roman" w:hAnsi="Times New Roman" w:cs="Times New Roman"/>
        </w:rPr>
        <w:t>traducteur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Quatre</w:t>
      </w:r>
      <w:proofErr w:type="spellEnd"/>
      <w:r w:rsidRPr="00A472FC">
        <w:rPr>
          <w:rFonts w:ascii="Times New Roman" w:hAnsi="Times New Roman" w:cs="Times New Roman"/>
        </w:rPr>
        <w:t xml:space="preserve"> annotations </w:t>
      </w:r>
      <w:proofErr w:type="spellStart"/>
      <w:r w:rsidRPr="00A472FC">
        <w:rPr>
          <w:rFonts w:ascii="Times New Roman" w:hAnsi="Times New Roman" w:cs="Times New Roman"/>
        </w:rPr>
        <w:t>sur</w:t>
      </w:r>
      <w:proofErr w:type="spellEnd"/>
      <w:r w:rsidRPr="00A472FC">
        <w:rPr>
          <w:rFonts w:ascii="Times New Roman" w:hAnsi="Times New Roman" w:cs="Times New Roman"/>
        </w:rPr>
        <w:t xml:space="preserve"> la première </w:t>
      </w:r>
      <w:proofErr w:type="spellStart"/>
      <w:r w:rsidRPr="00A472FC">
        <w:rPr>
          <w:rFonts w:ascii="Times New Roman" w:hAnsi="Times New Roman" w:cs="Times New Roman"/>
        </w:rPr>
        <w:t>traduction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latine</w:t>
      </w:r>
      <w:proofErr w:type="spellEnd"/>
      <w:r w:rsidRPr="00A472FC">
        <w:rPr>
          <w:rFonts w:ascii="Times New Roman" w:hAnsi="Times New Roman" w:cs="Times New Roman"/>
        </w:rPr>
        <w:t xml:space="preserve"> de </w:t>
      </w:r>
      <w:proofErr w:type="spellStart"/>
      <w:r w:rsidRPr="00A472FC">
        <w:rPr>
          <w:rFonts w:ascii="Times New Roman" w:hAnsi="Times New Roman" w:cs="Times New Roman"/>
        </w:rPr>
        <w:t>l’Éthique</w:t>
      </w:r>
      <w:proofErr w:type="spellEnd"/>
      <w:r w:rsidRPr="00A472FC">
        <w:rPr>
          <w:rFonts w:ascii="Times New Roman" w:hAnsi="Times New Roman" w:cs="Times New Roman"/>
        </w:rPr>
        <w:t xml:space="preserve"> à </w:t>
      </w:r>
      <w:proofErr w:type="spellStart"/>
      <w:r w:rsidRPr="00A472FC">
        <w:rPr>
          <w:rFonts w:ascii="Times New Roman" w:hAnsi="Times New Roman" w:cs="Times New Roman"/>
        </w:rPr>
        <w:t>Nicomaque</w:t>
      </w:r>
      <w:proofErr w:type="spellEnd"/>
      <w:r w:rsidRPr="00A472FC">
        <w:rPr>
          <w:rFonts w:ascii="Times New Roman" w:hAnsi="Times New Roman" w:cs="Times New Roman"/>
        </w:rPr>
        <w:t xml:space="preserve"> par </w:t>
      </w:r>
      <w:proofErr w:type="spellStart"/>
      <w:r w:rsidRPr="00A472FC">
        <w:rPr>
          <w:rFonts w:ascii="Times New Roman" w:hAnsi="Times New Roman" w:cs="Times New Roman"/>
        </w:rPr>
        <w:t>Burgundio</w:t>
      </w:r>
      <w:proofErr w:type="spellEnd"/>
      <w:r w:rsidRPr="00A472FC">
        <w:rPr>
          <w:rFonts w:ascii="Times New Roman" w:hAnsi="Times New Roman" w:cs="Times New Roman"/>
        </w:rPr>
        <w:t xml:space="preserve"> de </w:t>
      </w:r>
      <w:proofErr w:type="spellStart"/>
      <w:r w:rsidRPr="00A472FC">
        <w:rPr>
          <w:rFonts w:ascii="Times New Roman" w:hAnsi="Times New Roman" w:cs="Times New Roman"/>
        </w:rPr>
        <w:t>Pise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iCs/>
        </w:rPr>
        <w:t>Bijdragen</w:t>
      </w:r>
      <w:proofErr w:type="spellEnd"/>
      <w:r w:rsidRPr="00A472FC">
        <w:rPr>
          <w:rFonts w:ascii="Times New Roman" w:hAnsi="Times New Roman" w:cs="Times New Roman"/>
          <w:i/>
          <w:iCs/>
        </w:rPr>
        <w:t xml:space="preserve"> </w:t>
      </w:r>
      <w:r w:rsidRPr="00A472FC">
        <w:rPr>
          <w:rFonts w:ascii="Times New Roman" w:hAnsi="Times New Roman" w:cs="Times New Roman"/>
        </w:rPr>
        <w:t>59 (1998)</w:t>
      </w:r>
      <w:r w:rsidR="00BB50CA" w:rsidRPr="00A472FC">
        <w:rPr>
          <w:rFonts w:ascii="Times New Roman" w:hAnsi="Times New Roman" w:cs="Times New Roman"/>
        </w:rPr>
        <w:t>:</w:t>
      </w:r>
      <w:r w:rsidRPr="00A472FC">
        <w:rPr>
          <w:rFonts w:ascii="Times New Roman" w:hAnsi="Times New Roman" w:cs="Times New Roman"/>
        </w:rPr>
        <w:t xml:space="preserve"> 406-27.</w:t>
      </w:r>
    </w:p>
    <w:p w14:paraId="12D84F5B" w14:textId="729F167D" w:rsidR="00A341F4" w:rsidRPr="00A472FC" w:rsidRDefault="006A6E61" w:rsidP="00A341F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Bougerol</w:t>
      </w:r>
      <w:proofErr w:type="spellEnd"/>
      <w:r w:rsidRPr="00A472FC">
        <w:rPr>
          <w:rFonts w:ascii="Times New Roman" w:hAnsi="Times New Roman" w:cs="Times New Roman"/>
        </w:rPr>
        <w:t>, Jacques Guy</w:t>
      </w:r>
      <w:r w:rsidR="00A341F4" w:rsidRPr="00A472FC">
        <w:rPr>
          <w:rFonts w:ascii="Times New Roman" w:hAnsi="Times New Roman" w:cs="Times New Roman"/>
          <w:i/>
          <w:iCs/>
        </w:rPr>
        <w:t xml:space="preserve">. Introduction à l’étude de S. Bonaventure. </w:t>
      </w:r>
      <w:r w:rsidR="00A341F4" w:rsidRPr="00A472FC">
        <w:rPr>
          <w:rFonts w:ascii="Times New Roman" w:hAnsi="Times New Roman" w:cs="Times New Roman"/>
        </w:rPr>
        <w:t>Paris</w:t>
      </w:r>
      <w:r w:rsidR="0040612C" w:rsidRPr="00A472FC">
        <w:rPr>
          <w:rFonts w:ascii="Times New Roman" w:hAnsi="Times New Roman" w:cs="Times New Roman"/>
        </w:rPr>
        <w:t xml:space="preserve">: </w:t>
      </w:r>
      <w:proofErr w:type="spellStart"/>
      <w:r w:rsidR="0040612C" w:rsidRPr="00A472FC">
        <w:rPr>
          <w:rFonts w:ascii="Times New Roman" w:hAnsi="Times New Roman" w:cs="Times New Roman"/>
        </w:rPr>
        <w:t>Descleé</w:t>
      </w:r>
      <w:proofErr w:type="spellEnd"/>
      <w:r w:rsidR="0040612C" w:rsidRPr="00A472FC">
        <w:rPr>
          <w:rFonts w:ascii="Times New Roman" w:hAnsi="Times New Roman" w:cs="Times New Roman"/>
        </w:rPr>
        <w:t xml:space="preserve">, </w:t>
      </w:r>
      <w:r w:rsidR="00A341F4" w:rsidRPr="00A472FC">
        <w:rPr>
          <w:rFonts w:ascii="Times New Roman" w:hAnsi="Times New Roman" w:cs="Times New Roman"/>
        </w:rPr>
        <w:t xml:space="preserve">1961. </w:t>
      </w:r>
    </w:p>
    <w:p w14:paraId="2716DF1A" w14:textId="2D7423EC" w:rsidR="006A6E61" w:rsidRPr="00A472FC" w:rsidRDefault="00A341F4"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006A6E61" w:rsidRPr="00A472FC">
        <w:rPr>
          <w:rFonts w:ascii="Times New Roman" w:hAnsi="Times New Roman" w:cs="Times New Roman"/>
        </w:rPr>
        <w:t xml:space="preserve">‘Jean de La Rochelle. Les oeuvres et les </w:t>
      </w:r>
      <w:proofErr w:type="spellStart"/>
      <w:r w:rsidR="006A6E61" w:rsidRPr="00A472FC">
        <w:rPr>
          <w:rFonts w:ascii="Times New Roman" w:hAnsi="Times New Roman" w:cs="Times New Roman"/>
        </w:rPr>
        <w:t>manuscrits</w:t>
      </w:r>
      <w:proofErr w:type="spellEnd"/>
      <w:r w:rsidR="006A6E61" w:rsidRPr="00A472FC">
        <w:rPr>
          <w:rFonts w:ascii="Times New Roman" w:hAnsi="Times New Roman" w:cs="Times New Roman"/>
        </w:rPr>
        <w:t xml:space="preserve">.’ </w:t>
      </w:r>
      <w:proofErr w:type="spellStart"/>
      <w:r w:rsidR="006A6E61" w:rsidRPr="00A472FC">
        <w:rPr>
          <w:rFonts w:ascii="Times New Roman" w:hAnsi="Times New Roman" w:cs="Times New Roman"/>
          <w:i/>
          <w:iCs/>
        </w:rPr>
        <w:t>Archivum</w:t>
      </w:r>
      <w:proofErr w:type="spellEnd"/>
      <w:r w:rsidR="006A6E61" w:rsidRPr="00A472FC">
        <w:rPr>
          <w:rFonts w:ascii="Times New Roman" w:hAnsi="Times New Roman" w:cs="Times New Roman"/>
          <w:i/>
          <w:iCs/>
        </w:rPr>
        <w:t xml:space="preserve"> </w:t>
      </w:r>
      <w:proofErr w:type="spellStart"/>
      <w:r w:rsidR="006A6E61" w:rsidRPr="00A472FC">
        <w:rPr>
          <w:rFonts w:ascii="Times New Roman" w:hAnsi="Times New Roman" w:cs="Times New Roman"/>
          <w:i/>
          <w:iCs/>
        </w:rPr>
        <w:t>Franciscanum</w:t>
      </w:r>
      <w:proofErr w:type="spellEnd"/>
      <w:r w:rsidR="006A6E61" w:rsidRPr="00A472FC">
        <w:rPr>
          <w:rFonts w:ascii="Times New Roman" w:hAnsi="Times New Roman" w:cs="Times New Roman"/>
          <w:i/>
          <w:iCs/>
        </w:rPr>
        <w:t xml:space="preserve"> </w:t>
      </w:r>
      <w:proofErr w:type="spellStart"/>
      <w:r w:rsidR="006A6E61" w:rsidRPr="00A472FC">
        <w:rPr>
          <w:rFonts w:ascii="Times New Roman" w:hAnsi="Times New Roman" w:cs="Times New Roman"/>
          <w:i/>
          <w:iCs/>
        </w:rPr>
        <w:t>Historicum</w:t>
      </w:r>
      <w:proofErr w:type="spellEnd"/>
      <w:r w:rsidR="006A6E61" w:rsidRPr="00A472FC">
        <w:rPr>
          <w:rFonts w:ascii="Times New Roman" w:hAnsi="Times New Roman" w:cs="Times New Roman"/>
          <w:i/>
          <w:iCs/>
        </w:rPr>
        <w:t xml:space="preserve"> </w:t>
      </w:r>
      <w:r w:rsidR="006A6E61" w:rsidRPr="00A472FC">
        <w:rPr>
          <w:rFonts w:ascii="Times New Roman" w:hAnsi="Times New Roman" w:cs="Times New Roman"/>
        </w:rPr>
        <w:t>87 (1994): 205-15.</w:t>
      </w:r>
    </w:p>
    <w:p w14:paraId="6D6F9CDE" w14:textId="72E59C0E" w:rsidR="00A341F4" w:rsidRPr="00A472FC" w:rsidRDefault="00A341F4"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‘The Church Fathers and </w:t>
      </w:r>
      <w:proofErr w:type="spellStart"/>
      <w:r w:rsidRPr="00A472FC">
        <w:rPr>
          <w:rFonts w:ascii="Times New Roman" w:hAnsi="Times New Roman" w:cs="Times New Roman"/>
          <w:i/>
          <w:iCs/>
        </w:rPr>
        <w:t>Auctoritates</w:t>
      </w:r>
      <w:proofErr w:type="spellEnd"/>
      <w:r w:rsidRPr="00A472FC">
        <w:rPr>
          <w:rFonts w:ascii="Times New Roman" w:hAnsi="Times New Roman" w:cs="Times New Roman"/>
          <w:i/>
          <w:iCs/>
        </w:rPr>
        <w:t xml:space="preserve"> </w:t>
      </w:r>
      <w:r w:rsidRPr="00A472FC">
        <w:rPr>
          <w:rFonts w:ascii="Times New Roman" w:hAnsi="Times New Roman" w:cs="Times New Roman"/>
        </w:rPr>
        <w:t>in Scholastic Theology to Bonaventure</w:t>
      </w:r>
      <w:r w:rsidR="006719C3" w:rsidRPr="00A472FC">
        <w:rPr>
          <w:rFonts w:ascii="Times New Roman" w:hAnsi="Times New Roman" w:cs="Times New Roman"/>
        </w:rPr>
        <w:t>.</w:t>
      </w:r>
      <w:r w:rsidRPr="00A472FC">
        <w:rPr>
          <w:rFonts w:ascii="Times New Roman" w:hAnsi="Times New Roman" w:cs="Times New Roman"/>
        </w:rPr>
        <w:t xml:space="preserve">’ </w:t>
      </w:r>
      <w:r w:rsidR="006719C3" w:rsidRPr="00A472FC">
        <w:rPr>
          <w:rFonts w:ascii="Times New Roman" w:hAnsi="Times New Roman" w:cs="Times New Roman"/>
        </w:rPr>
        <w:t>I</w:t>
      </w:r>
      <w:r w:rsidRPr="00A472FC">
        <w:rPr>
          <w:rFonts w:ascii="Times New Roman" w:hAnsi="Times New Roman" w:cs="Times New Roman"/>
        </w:rPr>
        <w:t xml:space="preserve">n </w:t>
      </w:r>
      <w:r w:rsidRPr="00A472FC">
        <w:rPr>
          <w:rFonts w:ascii="Times New Roman" w:hAnsi="Times New Roman" w:cs="Times New Roman"/>
          <w:i/>
          <w:iCs/>
        </w:rPr>
        <w:t xml:space="preserve">The Reception of the Church Fathers in the West: From the Carolingians to the </w:t>
      </w:r>
      <w:proofErr w:type="spellStart"/>
      <w:r w:rsidRPr="00A472FC">
        <w:rPr>
          <w:rFonts w:ascii="Times New Roman" w:hAnsi="Times New Roman" w:cs="Times New Roman"/>
          <w:i/>
          <w:iCs/>
        </w:rPr>
        <w:t>Maurists</w:t>
      </w:r>
      <w:proofErr w:type="spellEnd"/>
      <w:r w:rsidRPr="00A472FC">
        <w:rPr>
          <w:rFonts w:ascii="Times New Roman" w:hAnsi="Times New Roman" w:cs="Times New Roman"/>
        </w:rPr>
        <w:t>, vol. 1</w:t>
      </w:r>
      <w:r w:rsidR="001C534C" w:rsidRPr="00A472FC">
        <w:rPr>
          <w:rFonts w:ascii="Times New Roman" w:hAnsi="Times New Roman" w:cs="Times New Roman"/>
        </w:rPr>
        <w:t xml:space="preserve">. Edited by </w:t>
      </w:r>
      <w:proofErr w:type="spellStart"/>
      <w:r w:rsidRPr="00A472FC">
        <w:rPr>
          <w:rFonts w:ascii="Times New Roman" w:hAnsi="Times New Roman" w:cs="Times New Roman"/>
        </w:rPr>
        <w:t>Irena</w:t>
      </w:r>
      <w:proofErr w:type="spellEnd"/>
      <w:r w:rsidRPr="00A472FC">
        <w:rPr>
          <w:rFonts w:ascii="Times New Roman" w:hAnsi="Times New Roman" w:cs="Times New Roman"/>
        </w:rPr>
        <w:t xml:space="preserve"> Backus</w:t>
      </w:r>
      <w:r w:rsidR="001B01C2" w:rsidRPr="00A472FC">
        <w:rPr>
          <w:rFonts w:ascii="Times New Roman" w:hAnsi="Times New Roman" w:cs="Times New Roman"/>
        </w:rPr>
        <w:t xml:space="preserve">, 289-335. </w:t>
      </w:r>
      <w:r w:rsidRPr="00A472FC">
        <w:rPr>
          <w:rFonts w:ascii="Times New Roman" w:hAnsi="Times New Roman" w:cs="Times New Roman"/>
        </w:rPr>
        <w:t>Leiden: Brill, 1997</w:t>
      </w:r>
      <w:r w:rsidR="001B01C2" w:rsidRPr="00A472FC">
        <w:rPr>
          <w:rFonts w:ascii="Times New Roman" w:hAnsi="Times New Roman" w:cs="Times New Roman"/>
        </w:rPr>
        <w:t>.</w:t>
      </w:r>
    </w:p>
    <w:p w14:paraId="4CE40635" w14:textId="77777777" w:rsidR="00765CA9" w:rsidRPr="00A472FC" w:rsidRDefault="00765CA9"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Boulnois, Olivier. </w:t>
      </w:r>
      <w:r w:rsidRPr="00A472FC">
        <w:rPr>
          <w:rFonts w:ascii="Times New Roman" w:hAnsi="Times New Roman" w:cs="Times New Roman"/>
          <w:i/>
          <w:iCs/>
        </w:rPr>
        <w:t xml:space="preserve">Duns Scot: la </w:t>
      </w:r>
      <w:proofErr w:type="spellStart"/>
      <w:r w:rsidRPr="00A472FC">
        <w:rPr>
          <w:rFonts w:ascii="Times New Roman" w:hAnsi="Times New Roman" w:cs="Times New Roman"/>
          <w:i/>
          <w:iCs/>
        </w:rPr>
        <w:t>rigeur</w:t>
      </w:r>
      <w:proofErr w:type="spellEnd"/>
      <w:r w:rsidRPr="00A472FC">
        <w:rPr>
          <w:rFonts w:ascii="Times New Roman" w:hAnsi="Times New Roman" w:cs="Times New Roman"/>
          <w:i/>
          <w:iCs/>
        </w:rPr>
        <w:t xml:space="preserve"> de la </w:t>
      </w:r>
      <w:proofErr w:type="spellStart"/>
      <w:r w:rsidRPr="00A472FC">
        <w:rPr>
          <w:rFonts w:ascii="Times New Roman" w:hAnsi="Times New Roman" w:cs="Times New Roman"/>
          <w:i/>
          <w:iCs/>
        </w:rPr>
        <w:t>charité</w:t>
      </w:r>
      <w:proofErr w:type="spellEnd"/>
      <w:r w:rsidRPr="00A472FC">
        <w:rPr>
          <w:rFonts w:ascii="Times New Roman" w:hAnsi="Times New Roman" w:cs="Times New Roman"/>
        </w:rPr>
        <w:t xml:space="preserve">. Paris: Le </w:t>
      </w:r>
      <w:proofErr w:type="spellStart"/>
      <w:r w:rsidRPr="00A472FC">
        <w:rPr>
          <w:rFonts w:ascii="Times New Roman" w:hAnsi="Times New Roman" w:cs="Times New Roman"/>
        </w:rPr>
        <w:t>Cerf</w:t>
      </w:r>
      <w:proofErr w:type="spellEnd"/>
      <w:r w:rsidRPr="00A472FC">
        <w:rPr>
          <w:rFonts w:ascii="Times New Roman" w:hAnsi="Times New Roman" w:cs="Times New Roman"/>
        </w:rPr>
        <w:t xml:space="preserve">, 1998. </w:t>
      </w:r>
    </w:p>
    <w:p w14:paraId="3379B04D" w14:textId="5F23A229"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lastRenderedPageBreak/>
        <w:t>Boureau</w:t>
      </w:r>
      <w:proofErr w:type="spellEnd"/>
      <w:r w:rsidRPr="00A472FC">
        <w:rPr>
          <w:rFonts w:ascii="Times New Roman" w:hAnsi="Times New Roman" w:cs="Times New Roman"/>
        </w:rPr>
        <w:t xml:space="preserve">, Alain. ‘Un </w:t>
      </w:r>
      <w:proofErr w:type="spellStart"/>
      <w:r w:rsidRPr="00A472FC">
        <w:rPr>
          <w:rFonts w:ascii="Times New Roman" w:hAnsi="Times New Roman" w:cs="Times New Roman"/>
        </w:rPr>
        <w:t>sujet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agité</w:t>
      </w:r>
      <w:proofErr w:type="spellEnd"/>
      <w:r w:rsidRPr="00A472FC">
        <w:rPr>
          <w:rFonts w:ascii="Times New Roman" w:hAnsi="Times New Roman" w:cs="Times New Roman"/>
        </w:rPr>
        <w:t xml:space="preserve">: Le </w:t>
      </w:r>
      <w:proofErr w:type="spellStart"/>
      <w:r w:rsidRPr="00A472FC">
        <w:rPr>
          <w:rFonts w:ascii="Times New Roman" w:hAnsi="Times New Roman" w:cs="Times New Roman"/>
        </w:rPr>
        <w:t>statu</w:t>
      </w:r>
      <w:proofErr w:type="spellEnd"/>
      <w:r w:rsidRPr="00A472FC">
        <w:rPr>
          <w:rFonts w:ascii="Times New Roman" w:hAnsi="Times New Roman" w:cs="Times New Roman"/>
        </w:rPr>
        <w:t xml:space="preserve"> nouveau des passions de </w:t>
      </w:r>
      <w:proofErr w:type="spellStart"/>
      <w:r w:rsidRPr="00A472FC">
        <w:rPr>
          <w:rFonts w:ascii="Times New Roman" w:hAnsi="Times New Roman" w:cs="Times New Roman"/>
        </w:rPr>
        <w:t>l’</w:t>
      </w:r>
      <w:r w:rsidR="00D71B3E" w:rsidRPr="00A472FC">
        <w:rPr>
          <w:rFonts w:ascii="Times New Roman" w:hAnsi="Times New Roman" w:cs="Times New Roman"/>
        </w:rPr>
        <w:t>â</w:t>
      </w:r>
      <w:r w:rsidRPr="00A472FC">
        <w:rPr>
          <w:rFonts w:ascii="Times New Roman" w:hAnsi="Times New Roman" w:cs="Times New Roman"/>
        </w:rPr>
        <w:t>me</w:t>
      </w:r>
      <w:proofErr w:type="spellEnd"/>
      <w:r w:rsidRPr="00A472FC">
        <w:rPr>
          <w:rFonts w:ascii="Times New Roman" w:hAnsi="Times New Roman" w:cs="Times New Roman"/>
        </w:rPr>
        <w:t xml:space="preserve"> au XIIIe siècle.’ In </w:t>
      </w:r>
      <w:r w:rsidRPr="00A472FC">
        <w:rPr>
          <w:rFonts w:ascii="Times New Roman" w:hAnsi="Times New Roman" w:cs="Times New Roman"/>
          <w:i/>
          <w:iCs/>
        </w:rPr>
        <w:t xml:space="preserve">Le </w:t>
      </w:r>
      <w:proofErr w:type="spellStart"/>
      <w:r w:rsidRPr="00A472FC">
        <w:rPr>
          <w:rFonts w:ascii="Times New Roman" w:hAnsi="Times New Roman" w:cs="Times New Roman"/>
          <w:i/>
          <w:iCs/>
        </w:rPr>
        <w:t>sujet</w:t>
      </w:r>
      <w:proofErr w:type="spellEnd"/>
      <w:r w:rsidRPr="00A472FC">
        <w:rPr>
          <w:rFonts w:ascii="Times New Roman" w:hAnsi="Times New Roman" w:cs="Times New Roman"/>
          <w:i/>
          <w:iCs/>
        </w:rPr>
        <w:t xml:space="preserve"> des </w:t>
      </w:r>
      <w:proofErr w:type="spellStart"/>
      <w:r w:rsidRPr="00A472FC">
        <w:rPr>
          <w:rFonts w:ascii="Times New Roman" w:hAnsi="Times New Roman" w:cs="Times New Roman"/>
          <w:i/>
          <w:iCs/>
        </w:rPr>
        <w:t>émotions</w:t>
      </w:r>
      <w:proofErr w:type="spellEnd"/>
      <w:r w:rsidRPr="00A472FC">
        <w:rPr>
          <w:rFonts w:ascii="Times New Roman" w:hAnsi="Times New Roman" w:cs="Times New Roman"/>
          <w:i/>
          <w:iCs/>
        </w:rPr>
        <w:t xml:space="preserve"> au </w:t>
      </w:r>
      <w:proofErr w:type="spellStart"/>
      <w:r w:rsidRPr="00A472FC">
        <w:rPr>
          <w:rFonts w:ascii="Times New Roman" w:hAnsi="Times New Roman" w:cs="Times New Roman"/>
          <w:i/>
          <w:iCs/>
        </w:rPr>
        <w:t>moyen</w:t>
      </w:r>
      <w:proofErr w:type="spellEnd"/>
      <w:r w:rsidRPr="00A472FC">
        <w:rPr>
          <w:rFonts w:ascii="Times New Roman" w:hAnsi="Times New Roman" w:cs="Times New Roman"/>
          <w:i/>
          <w:iCs/>
        </w:rPr>
        <w:t xml:space="preserve"> age</w:t>
      </w:r>
      <w:r w:rsidRPr="00A472FC">
        <w:rPr>
          <w:rFonts w:ascii="Times New Roman" w:hAnsi="Times New Roman" w:cs="Times New Roman"/>
        </w:rPr>
        <w:t xml:space="preserve">. Edited by </w:t>
      </w:r>
      <w:proofErr w:type="spellStart"/>
      <w:r w:rsidRPr="00A472FC">
        <w:rPr>
          <w:rFonts w:ascii="Times New Roman" w:hAnsi="Times New Roman" w:cs="Times New Roman"/>
        </w:rPr>
        <w:t>Piroska</w:t>
      </w:r>
      <w:proofErr w:type="spellEnd"/>
      <w:r w:rsidRPr="00A472FC">
        <w:rPr>
          <w:rFonts w:ascii="Times New Roman" w:hAnsi="Times New Roman" w:cs="Times New Roman"/>
        </w:rPr>
        <w:t xml:space="preserve"> Nagy and Damien </w:t>
      </w:r>
      <w:proofErr w:type="spellStart"/>
      <w:r w:rsidRPr="00A472FC">
        <w:rPr>
          <w:rFonts w:ascii="Times New Roman" w:hAnsi="Times New Roman" w:cs="Times New Roman"/>
        </w:rPr>
        <w:t>Boquet</w:t>
      </w:r>
      <w:proofErr w:type="spellEnd"/>
      <w:r w:rsidRPr="00A472FC">
        <w:rPr>
          <w:rFonts w:ascii="Times New Roman" w:hAnsi="Times New Roman" w:cs="Times New Roman"/>
        </w:rPr>
        <w:t xml:space="preserve">, 187-200. Paris: </w:t>
      </w:r>
      <w:proofErr w:type="spellStart"/>
      <w:r w:rsidRPr="00A472FC">
        <w:rPr>
          <w:rFonts w:ascii="Times New Roman" w:hAnsi="Times New Roman" w:cs="Times New Roman"/>
        </w:rPr>
        <w:t>Beauchesne</w:t>
      </w:r>
      <w:proofErr w:type="spellEnd"/>
      <w:r w:rsidRPr="00A472FC">
        <w:rPr>
          <w:rFonts w:ascii="Times New Roman" w:hAnsi="Times New Roman" w:cs="Times New Roman"/>
        </w:rPr>
        <w:t>, 2008.</w:t>
      </w:r>
    </w:p>
    <w:p w14:paraId="5E6D5B3A"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Bowman, Leonard J. ‘The Development of the Doctrine of the Agent Intellect in the Franciscan School of the Thirteenth Century.’ </w:t>
      </w:r>
      <w:r w:rsidRPr="00A472FC">
        <w:rPr>
          <w:rFonts w:ascii="Times New Roman" w:hAnsi="Times New Roman" w:cs="Times New Roman"/>
          <w:i/>
          <w:iCs/>
        </w:rPr>
        <w:t xml:space="preserve">The Modern Schoolman </w:t>
      </w:r>
      <w:r w:rsidRPr="00A472FC">
        <w:rPr>
          <w:rFonts w:ascii="Times New Roman" w:hAnsi="Times New Roman" w:cs="Times New Roman"/>
        </w:rPr>
        <w:t>50 (1973): 251-79.</w:t>
      </w:r>
    </w:p>
    <w:p w14:paraId="2451B76F"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Brady, Ignatius. ‘</w:t>
      </w:r>
      <w:proofErr w:type="spellStart"/>
      <w:r w:rsidRPr="00A472FC">
        <w:rPr>
          <w:rFonts w:ascii="Times New Roman" w:hAnsi="Times New Roman" w:cs="Times New Roman"/>
        </w:rPr>
        <w:t>Remegius-Nemesius</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Franciscan Studies </w:t>
      </w:r>
      <w:r w:rsidRPr="00A472FC">
        <w:rPr>
          <w:rFonts w:ascii="Times New Roman" w:hAnsi="Times New Roman" w:cs="Times New Roman"/>
        </w:rPr>
        <w:t>8 (1948): 275-84.</w:t>
      </w:r>
    </w:p>
    <w:p w14:paraId="6DF6DE5C"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‘The </w:t>
      </w:r>
      <w:r w:rsidRPr="00A472FC">
        <w:rPr>
          <w:rFonts w:ascii="Times New Roman" w:hAnsi="Times New Roman" w:cs="Times New Roman"/>
          <w:i/>
          <w:iCs/>
        </w:rPr>
        <w:t>Liber de anima</w:t>
      </w:r>
      <w:r w:rsidRPr="00A472FC">
        <w:rPr>
          <w:rFonts w:ascii="Times New Roman" w:hAnsi="Times New Roman" w:cs="Times New Roman"/>
        </w:rPr>
        <w:t xml:space="preserve"> of William of </w:t>
      </w:r>
      <w:proofErr w:type="spellStart"/>
      <w:r w:rsidRPr="00A472FC">
        <w:rPr>
          <w:rFonts w:ascii="Times New Roman" w:hAnsi="Times New Roman" w:cs="Times New Roman"/>
        </w:rPr>
        <w:t>Vaurouillon</w:t>
      </w:r>
      <w:proofErr w:type="spellEnd"/>
      <w:r w:rsidRPr="00A472FC">
        <w:rPr>
          <w:rFonts w:ascii="Times New Roman" w:hAnsi="Times New Roman" w:cs="Times New Roman"/>
        </w:rPr>
        <w:t xml:space="preserve"> O.F.M.’. </w:t>
      </w:r>
      <w:r w:rsidRPr="00A472FC">
        <w:rPr>
          <w:rFonts w:ascii="Times New Roman" w:hAnsi="Times New Roman" w:cs="Times New Roman"/>
          <w:i/>
          <w:iCs/>
        </w:rPr>
        <w:t xml:space="preserve">Mediaeval Studies </w:t>
      </w:r>
      <w:r w:rsidRPr="00A472FC">
        <w:rPr>
          <w:rFonts w:ascii="Times New Roman" w:hAnsi="Times New Roman" w:cs="Times New Roman"/>
        </w:rPr>
        <w:t>11 (1949): 247-307.</w:t>
      </w:r>
    </w:p>
    <w:p w14:paraId="32BD62BD" w14:textId="77777777" w:rsidR="006A6E61" w:rsidRPr="006C6B9D"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‘Jean de La Rochelle.’ In </w:t>
      </w:r>
      <w:proofErr w:type="spellStart"/>
      <w:r w:rsidRPr="00A472FC">
        <w:rPr>
          <w:rFonts w:ascii="Times New Roman" w:hAnsi="Times New Roman" w:cs="Times New Roman"/>
          <w:i/>
          <w:iCs/>
        </w:rPr>
        <w:t>Dictionnaire</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spiritualité</w:t>
      </w:r>
      <w:proofErr w:type="spellEnd"/>
      <w:r w:rsidRPr="00A472FC">
        <w:rPr>
          <w:rFonts w:ascii="Times New Roman" w:hAnsi="Times New Roman" w:cs="Times New Roman"/>
        </w:rPr>
        <w:t xml:space="preserve">, 599-602. Paris: </w:t>
      </w:r>
      <w:proofErr w:type="spellStart"/>
      <w:r w:rsidRPr="00A472FC">
        <w:rPr>
          <w:rFonts w:ascii="Times New Roman" w:hAnsi="Times New Roman" w:cs="Times New Roman"/>
        </w:rPr>
        <w:t>Beauchesne</w:t>
      </w:r>
      <w:proofErr w:type="spellEnd"/>
      <w:r w:rsidRPr="00A472FC">
        <w:rPr>
          <w:rFonts w:ascii="Times New Roman" w:hAnsi="Times New Roman" w:cs="Times New Roman"/>
        </w:rPr>
        <w:t xml:space="preserve">, </w:t>
      </w:r>
      <w:r w:rsidRPr="006C6B9D">
        <w:rPr>
          <w:rFonts w:ascii="Times New Roman" w:hAnsi="Times New Roman" w:cs="Times New Roman"/>
        </w:rPr>
        <w:t>1974.</w:t>
      </w:r>
    </w:p>
    <w:p w14:paraId="50E2480E" w14:textId="77B2E1BC" w:rsidR="006C6B9D" w:rsidRPr="006C6B9D" w:rsidRDefault="006C6B9D" w:rsidP="006C6B9D">
      <w:pPr>
        <w:autoSpaceDE w:val="0"/>
        <w:autoSpaceDN w:val="0"/>
        <w:adjustRightInd w:val="0"/>
        <w:ind w:left="720" w:hanging="720"/>
        <w:rPr>
          <w:rFonts w:ascii="Times New Roman" w:hAnsi="Times New Roman" w:cs="Times New Roman"/>
        </w:rPr>
      </w:pPr>
      <w:proofErr w:type="spellStart"/>
      <w:r w:rsidRPr="006C6B9D">
        <w:rPr>
          <w:rFonts w:ascii="Times New Roman" w:hAnsi="Times New Roman" w:cs="Times New Roman"/>
        </w:rPr>
        <w:t>Brungs</w:t>
      </w:r>
      <w:proofErr w:type="spellEnd"/>
      <w:r w:rsidRPr="006C6B9D">
        <w:rPr>
          <w:rFonts w:ascii="Times New Roman" w:hAnsi="Times New Roman" w:cs="Times New Roman"/>
        </w:rPr>
        <w:t xml:space="preserve">, Alexander, </w:t>
      </w:r>
      <w:proofErr w:type="spellStart"/>
      <w:r w:rsidRPr="006C6B9D">
        <w:rPr>
          <w:rFonts w:ascii="Times New Roman" w:hAnsi="Times New Roman" w:cs="Times New Roman"/>
        </w:rPr>
        <w:t>Vilem</w:t>
      </w:r>
      <w:proofErr w:type="spellEnd"/>
      <w:r w:rsidRPr="006C6B9D">
        <w:rPr>
          <w:rFonts w:ascii="Times New Roman" w:hAnsi="Times New Roman" w:cs="Times New Roman"/>
        </w:rPr>
        <w:t xml:space="preserve"> </w:t>
      </w:r>
      <w:proofErr w:type="spellStart"/>
      <w:r w:rsidRPr="006C6B9D">
        <w:rPr>
          <w:rFonts w:ascii="Times New Roman" w:hAnsi="Times New Roman" w:cs="Times New Roman"/>
        </w:rPr>
        <w:t>Mudroch</w:t>
      </w:r>
      <w:proofErr w:type="spellEnd"/>
      <w:r w:rsidRPr="006C6B9D">
        <w:rPr>
          <w:rFonts w:ascii="Times New Roman" w:hAnsi="Times New Roman" w:cs="Times New Roman"/>
        </w:rPr>
        <w:t xml:space="preserve">, Peter </w:t>
      </w:r>
      <w:proofErr w:type="spellStart"/>
      <w:r w:rsidRPr="006C6B9D">
        <w:rPr>
          <w:rFonts w:ascii="Times New Roman" w:hAnsi="Times New Roman" w:cs="Times New Roman"/>
        </w:rPr>
        <w:t>Schulthess</w:t>
      </w:r>
      <w:proofErr w:type="spellEnd"/>
      <w:r w:rsidRPr="006C6B9D">
        <w:rPr>
          <w:rFonts w:ascii="Times New Roman" w:hAnsi="Times New Roman" w:cs="Times New Roman"/>
        </w:rPr>
        <w:t xml:space="preserve">, eds. </w:t>
      </w:r>
      <w:proofErr w:type="spellStart"/>
      <w:r w:rsidRPr="006C6B9D">
        <w:rPr>
          <w:rFonts w:ascii="Times New Roman" w:hAnsi="Times New Roman" w:cs="Times New Roman"/>
          <w:i/>
          <w:iCs/>
        </w:rPr>
        <w:t>Grundriss</w:t>
      </w:r>
      <w:proofErr w:type="spellEnd"/>
      <w:r w:rsidRPr="006C6B9D">
        <w:rPr>
          <w:rFonts w:ascii="Times New Roman" w:hAnsi="Times New Roman" w:cs="Times New Roman"/>
          <w:i/>
          <w:iCs/>
        </w:rPr>
        <w:t xml:space="preserve"> </w:t>
      </w:r>
      <w:proofErr w:type="spellStart"/>
      <w:r w:rsidRPr="006C6B9D">
        <w:rPr>
          <w:rFonts w:ascii="Times New Roman" w:hAnsi="Times New Roman" w:cs="Times New Roman"/>
          <w:i/>
          <w:iCs/>
        </w:rPr>
        <w:t>der</w:t>
      </w:r>
      <w:proofErr w:type="spellEnd"/>
      <w:r w:rsidRPr="006C6B9D">
        <w:rPr>
          <w:rFonts w:ascii="Times New Roman" w:hAnsi="Times New Roman" w:cs="Times New Roman"/>
          <w:i/>
          <w:iCs/>
        </w:rPr>
        <w:t xml:space="preserve"> </w:t>
      </w:r>
      <w:proofErr w:type="spellStart"/>
      <w:r w:rsidRPr="006C6B9D">
        <w:rPr>
          <w:rFonts w:ascii="Times New Roman" w:hAnsi="Times New Roman" w:cs="Times New Roman"/>
          <w:i/>
          <w:iCs/>
        </w:rPr>
        <w:t>Geschichte</w:t>
      </w:r>
      <w:proofErr w:type="spellEnd"/>
      <w:r w:rsidRPr="006C6B9D">
        <w:rPr>
          <w:rFonts w:ascii="Times New Roman" w:hAnsi="Times New Roman" w:cs="Times New Roman"/>
          <w:i/>
          <w:iCs/>
        </w:rPr>
        <w:t xml:space="preserve"> </w:t>
      </w:r>
      <w:proofErr w:type="spellStart"/>
      <w:r w:rsidRPr="006C6B9D">
        <w:rPr>
          <w:rFonts w:ascii="Times New Roman" w:hAnsi="Times New Roman" w:cs="Times New Roman"/>
          <w:i/>
          <w:iCs/>
        </w:rPr>
        <w:t>der</w:t>
      </w:r>
      <w:proofErr w:type="spellEnd"/>
      <w:r w:rsidRPr="006C6B9D">
        <w:rPr>
          <w:rFonts w:ascii="Times New Roman" w:hAnsi="Times New Roman" w:cs="Times New Roman"/>
          <w:i/>
          <w:iCs/>
        </w:rPr>
        <w:t xml:space="preserve"> Philosophie 4: Die Philosophie des </w:t>
      </w:r>
      <w:proofErr w:type="spellStart"/>
      <w:r w:rsidRPr="006C6B9D">
        <w:rPr>
          <w:rFonts w:ascii="Times New Roman" w:hAnsi="Times New Roman" w:cs="Times New Roman"/>
          <w:i/>
          <w:iCs/>
        </w:rPr>
        <w:t>Mittelalters</w:t>
      </w:r>
      <w:proofErr w:type="spellEnd"/>
      <w:r w:rsidRPr="006C6B9D">
        <w:rPr>
          <w:rFonts w:ascii="Times New Roman" w:hAnsi="Times New Roman" w:cs="Times New Roman"/>
          <w:i/>
          <w:iCs/>
        </w:rPr>
        <w:t>.</w:t>
      </w:r>
      <w:r w:rsidRPr="006C6B9D">
        <w:rPr>
          <w:rFonts w:ascii="Times New Roman" w:hAnsi="Times New Roman" w:cs="Times New Roman"/>
        </w:rPr>
        <w:t xml:space="preserve"> Basel: </w:t>
      </w:r>
      <w:proofErr w:type="spellStart"/>
      <w:r w:rsidRPr="006C6B9D">
        <w:rPr>
          <w:rFonts w:ascii="Times New Roman" w:hAnsi="Times New Roman" w:cs="Times New Roman"/>
        </w:rPr>
        <w:t>Schwabe</w:t>
      </w:r>
      <w:proofErr w:type="spellEnd"/>
      <w:r w:rsidRPr="006C6B9D">
        <w:rPr>
          <w:rFonts w:ascii="Times New Roman" w:hAnsi="Times New Roman" w:cs="Times New Roman"/>
        </w:rPr>
        <w:t xml:space="preserve"> Verlag, 2017.</w:t>
      </w:r>
    </w:p>
    <w:p w14:paraId="76EC6D9F" w14:textId="7D666A56" w:rsidR="00FC5EBD" w:rsidRPr="006C6B9D" w:rsidRDefault="00FC5EBD" w:rsidP="006C6B9D">
      <w:pPr>
        <w:autoSpaceDE w:val="0"/>
        <w:autoSpaceDN w:val="0"/>
        <w:adjustRightInd w:val="0"/>
        <w:ind w:left="720" w:right="-52" w:hanging="720"/>
        <w:rPr>
          <w:rFonts w:ascii="Times New Roman" w:hAnsi="Times New Roman" w:cs="Times New Roman"/>
        </w:rPr>
      </w:pPr>
      <w:proofErr w:type="spellStart"/>
      <w:r w:rsidRPr="006C6B9D">
        <w:rPr>
          <w:rFonts w:ascii="Times New Roman" w:hAnsi="Times New Roman" w:cs="Times New Roman"/>
        </w:rPr>
        <w:t>Buchmüller</w:t>
      </w:r>
      <w:proofErr w:type="spellEnd"/>
      <w:r w:rsidRPr="006C6B9D">
        <w:rPr>
          <w:rFonts w:ascii="Times New Roman" w:hAnsi="Times New Roman" w:cs="Times New Roman"/>
        </w:rPr>
        <w:t xml:space="preserve">, Wolfgang. </w:t>
      </w:r>
      <w:proofErr w:type="spellStart"/>
      <w:r w:rsidRPr="006C6B9D">
        <w:rPr>
          <w:rFonts w:ascii="Times New Roman" w:hAnsi="Times New Roman" w:cs="Times New Roman"/>
          <w:i/>
          <w:iCs/>
        </w:rPr>
        <w:t>Isaak</w:t>
      </w:r>
      <w:proofErr w:type="spellEnd"/>
      <w:r w:rsidRPr="006C6B9D">
        <w:rPr>
          <w:rFonts w:ascii="Times New Roman" w:hAnsi="Times New Roman" w:cs="Times New Roman"/>
          <w:i/>
          <w:iCs/>
        </w:rPr>
        <w:t xml:space="preserve"> von </w:t>
      </w:r>
      <w:proofErr w:type="spellStart"/>
      <w:r w:rsidRPr="006C6B9D">
        <w:rPr>
          <w:rFonts w:ascii="Times New Roman" w:hAnsi="Times New Roman" w:cs="Times New Roman"/>
          <w:i/>
          <w:iCs/>
        </w:rPr>
        <w:t>Étoile</w:t>
      </w:r>
      <w:proofErr w:type="spellEnd"/>
      <w:r w:rsidRPr="006C6B9D">
        <w:rPr>
          <w:rFonts w:ascii="Times New Roman" w:hAnsi="Times New Roman" w:cs="Times New Roman"/>
          <w:i/>
          <w:iCs/>
        </w:rPr>
        <w:t xml:space="preserve">: </w:t>
      </w:r>
      <w:proofErr w:type="spellStart"/>
      <w:r w:rsidRPr="006C6B9D">
        <w:rPr>
          <w:rFonts w:ascii="Times New Roman" w:hAnsi="Times New Roman" w:cs="Times New Roman"/>
          <w:i/>
          <w:iCs/>
        </w:rPr>
        <w:t>monastische</w:t>
      </w:r>
      <w:proofErr w:type="spellEnd"/>
      <w:r w:rsidRPr="006C6B9D">
        <w:rPr>
          <w:rFonts w:ascii="Times New Roman" w:hAnsi="Times New Roman" w:cs="Times New Roman"/>
          <w:i/>
          <w:iCs/>
        </w:rPr>
        <w:t xml:space="preserve"> </w:t>
      </w:r>
      <w:proofErr w:type="spellStart"/>
      <w:r w:rsidRPr="006C6B9D">
        <w:rPr>
          <w:rFonts w:ascii="Times New Roman" w:hAnsi="Times New Roman" w:cs="Times New Roman"/>
          <w:i/>
          <w:iCs/>
        </w:rPr>
        <w:t>Theologie</w:t>
      </w:r>
      <w:proofErr w:type="spellEnd"/>
      <w:r w:rsidRPr="006C6B9D">
        <w:rPr>
          <w:rFonts w:ascii="Times New Roman" w:hAnsi="Times New Roman" w:cs="Times New Roman"/>
          <w:i/>
          <w:iCs/>
        </w:rPr>
        <w:t xml:space="preserve"> </w:t>
      </w:r>
      <w:proofErr w:type="spellStart"/>
      <w:r w:rsidRPr="006C6B9D">
        <w:rPr>
          <w:rFonts w:ascii="Times New Roman" w:hAnsi="Times New Roman" w:cs="Times New Roman"/>
          <w:i/>
          <w:iCs/>
        </w:rPr>
        <w:t>im</w:t>
      </w:r>
      <w:proofErr w:type="spellEnd"/>
      <w:r w:rsidRPr="006C6B9D">
        <w:rPr>
          <w:rFonts w:ascii="Times New Roman" w:hAnsi="Times New Roman" w:cs="Times New Roman"/>
          <w:i/>
          <w:iCs/>
        </w:rPr>
        <w:t xml:space="preserve"> Dialog </w:t>
      </w:r>
      <w:proofErr w:type="spellStart"/>
      <w:r w:rsidRPr="006C6B9D">
        <w:rPr>
          <w:rFonts w:ascii="Times New Roman" w:hAnsi="Times New Roman" w:cs="Times New Roman"/>
          <w:i/>
          <w:iCs/>
        </w:rPr>
        <w:t>mit</w:t>
      </w:r>
      <w:proofErr w:type="spellEnd"/>
      <w:r w:rsidRPr="006C6B9D">
        <w:rPr>
          <w:rFonts w:ascii="Times New Roman" w:hAnsi="Times New Roman" w:cs="Times New Roman"/>
          <w:i/>
          <w:iCs/>
        </w:rPr>
        <w:t xml:space="preserve"> </w:t>
      </w:r>
      <w:proofErr w:type="spellStart"/>
      <w:r w:rsidRPr="006C6B9D">
        <w:rPr>
          <w:rFonts w:ascii="Times New Roman" w:hAnsi="Times New Roman" w:cs="Times New Roman"/>
          <w:i/>
          <w:iCs/>
        </w:rPr>
        <w:t>dem</w:t>
      </w:r>
      <w:proofErr w:type="spellEnd"/>
      <w:r w:rsidRPr="006C6B9D">
        <w:rPr>
          <w:rFonts w:ascii="Times New Roman" w:hAnsi="Times New Roman" w:cs="Times New Roman"/>
          <w:i/>
          <w:iCs/>
        </w:rPr>
        <w:t xml:space="preserve"> </w:t>
      </w:r>
      <w:proofErr w:type="spellStart"/>
      <w:r w:rsidRPr="006C6B9D">
        <w:rPr>
          <w:rFonts w:ascii="Times New Roman" w:hAnsi="Times New Roman" w:cs="Times New Roman"/>
          <w:i/>
          <w:iCs/>
        </w:rPr>
        <w:t>Neu-Platonismus</w:t>
      </w:r>
      <w:proofErr w:type="spellEnd"/>
      <w:r w:rsidRPr="006C6B9D">
        <w:rPr>
          <w:rFonts w:ascii="Times New Roman" w:hAnsi="Times New Roman" w:cs="Times New Roman"/>
          <w:i/>
          <w:iCs/>
        </w:rPr>
        <w:t xml:space="preserve"> des 12. </w:t>
      </w:r>
      <w:proofErr w:type="spellStart"/>
      <w:r w:rsidRPr="006C6B9D">
        <w:rPr>
          <w:rFonts w:ascii="Times New Roman" w:hAnsi="Times New Roman" w:cs="Times New Roman"/>
          <w:i/>
          <w:iCs/>
        </w:rPr>
        <w:t>Jahrhunderts</w:t>
      </w:r>
      <w:proofErr w:type="spellEnd"/>
      <w:r w:rsidR="008E4842" w:rsidRPr="006C6B9D">
        <w:rPr>
          <w:rFonts w:ascii="Times New Roman" w:hAnsi="Times New Roman" w:cs="Times New Roman"/>
        </w:rPr>
        <w:t xml:space="preserve">. </w:t>
      </w:r>
      <w:r w:rsidRPr="006C6B9D">
        <w:rPr>
          <w:rFonts w:ascii="Times New Roman" w:hAnsi="Times New Roman" w:cs="Times New Roman"/>
        </w:rPr>
        <w:t xml:space="preserve">Münster: </w:t>
      </w:r>
      <w:proofErr w:type="spellStart"/>
      <w:r w:rsidRPr="006C6B9D">
        <w:rPr>
          <w:rFonts w:ascii="Times New Roman" w:hAnsi="Times New Roman" w:cs="Times New Roman"/>
          <w:i/>
          <w:iCs/>
        </w:rPr>
        <w:t>Archa</w:t>
      </w:r>
      <w:proofErr w:type="spellEnd"/>
      <w:r w:rsidRPr="006C6B9D">
        <w:rPr>
          <w:rFonts w:ascii="Times New Roman" w:hAnsi="Times New Roman" w:cs="Times New Roman"/>
          <w:i/>
          <w:iCs/>
        </w:rPr>
        <w:t xml:space="preserve"> </w:t>
      </w:r>
      <w:proofErr w:type="spellStart"/>
      <w:r w:rsidRPr="006C6B9D">
        <w:rPr>
          <w:rFonts w:ascii="Times New Roman" w:hAnsi="Times New Roman" w:cs="Times New Roman"/>
          <w:i/>
          <w:iCs/>
        </w:rPr>
        <w:t>Verbi</w:t>
      </w:r>
      <w:proofErr w:type="spellEnd"/>
      <w:r w:rsidRPr="006C6B9D">
        <w:rPr>
          <w:rFonts w:ascii="Times New Roman" w:hAnsi="Times New Roman" w:cs="Times New Roman"/>
        </w:rPr>
        <w:t>, 2016</w:t>
      </w:r>
      <w:r w:rsidR="008E4842" w:rsidRPr="006C6B9D">
        <w:rPr>
          <w:rFonts w:ascii="Times New Roman" w:hAnsi="Times New Roman" w:cs="Times New Roman"/>
        </w:rPr>
        <w:t>.</w:t>
      </w:r>
    </w:p>
    <w:p w14:paraId="6AB95A25" w14:textId="24563D96" w:rsidR="00EE3E17" w:rsidRPr="00A472FC" w:rsidRDefault="00EE3E17" w:rsidP="00881604">
      <w:pPr>
        <w:autoSpaceDE w:val="0"/>
        <w:autoSpaceDN w:val="0"/>
        <w:adjustRightInd w:val="0"/>
        <w:ind w:left="720" w:right="-52" w:hanging="720"/>
        <w:rPr>
          <w:rFonts w:ascii="Times New Roman" w:hAnsi="Times New Roman" w:cs="Times New Roman"/>
        </w:rPr>
      </w:pPr>
      <w:r w:rsidRPr="006C6B9D">
        <w:rPr>
          <w:rFonts w:ascii="Times New Roman" w:hAnsi="Times New Roman" w:cs="Times New Roman"/>
        </w:rPr>
        <w:t>Buffon, Valeria. ‘Philosophers and Theologians on Happiness: An Analysis of Early Latin</w:t>
      </w:r>
      <w:r w:rsidRPr="00A472FC">
        <w:rPr>
          <w:rFonts w:ascii="Times New Roman" w:hAnsi="Times New Roman" w:cs="Times New Roman"/>
        </w:rPr>
        <w:t xml:space="preserve"> Commentaries on the </w:t>
      </w:r>
      <w:proofErr w:type="spellStart"/>
      <w:r w:rsidRPr="00A472FC">
        <w:rPr>
          <w:rFonts w:ascii="Times New Roman" w:hAnsi="Times New Roman" w:cs="Times New Roman"/>
          <w:i/>
          <w:iCs/>
        </w:rPr>
        <w:t>Nicomachean</w:t>
      </w:r>
      <w:proofErr w:type="spellEnd"/>
      <w:r w:rsidRPr="00A472FC">
        <w:rPr>
          <w:rFonts w:ascii="Times New Roman" w:hAnsi="Times New Roman" w:cs="Times New Roman"/>
          <w:i/>
          <w:iCs/>
        </w:rPr>
        <w:t xml:space="preserve"> Ethics</w:t>
      </w:r>
      <w:r w:rsidRPr="00A472FC">
        <w:rPr>
          <w:rFonts w:ascii="Times New Roman" w:hAnsi="Times New Roman" w:cs="Times New Roman"/>
        </w:rPr>
        <w:t>.</w:t>
      </w:r>
      <w:r w:rsidR="00047A48" w:rsidRPr="00A472FC">
        <w:rPr>
          <w:rFonts w:ascii="Times New Roman" w:hAnsi="Times New Roman" w:cs="Times New Roman"/>
        </w:rPr>
        <w:t>’</w:t>
      </w:r>
      <w:r w:rsidRPr="00A472FC">
        <w:rPr>
          <w:rFonts w:ascii="Times New Roman" w:hAnsi="Times New Roman" w:cs="Times New Roman"/>
        </w:rPr>
        <w:t xml:space="preserve"> </w:t>
      </w:r>
      <w:r w:rsidRPr="00A472FC">
        <w:rPr>
          <w:rFonts w:ascii="Times New Roman" w:hAnsi="Times New Roman" w:cs="Times New Roman"/>
          <w:i/>
          <w:iCs/>
        </w:rPr>
        <w:t xml:space="preserve">Laval </w:t>
      </w:r>
      <w:proofErr w:type="spellStart"/>
      <w:r w:rsidRPr="00A472FC">
        <w:rPr>
          <w:rFonts w:ascii="Times New Roman" w:hAnsi="Times New Roman" w:cs="Times New Roman"/>
          <w:i/>
          <w:iCs/>
        </w:rPr>
        <w:t>théologique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philosophque</w:t>
      </w:r>
      <w:proofErr w:type="spellEnd"/>
      <w:r w:rsidRPr="00A472FC">
        <w:rPr>
          <w:rFonts w:ascii="Times New Roman" w:hAnsi="Times New Roman" w:cs="Times New Roman"/>
          <w:i/>
          <w:iCs/>
        </w:rPr>
        <w:t xml:space="preserve"> </w:t>
      </w:r>
      <w:r w:rsidRPr="00A472FC">
        <w:rPr>
          <w:rFonts w:ascii="Times New Roman" w:hAnsi="Times New Roman" w:cs="Times New Roman"/>
        </w:rPr>
        <w:t>60:3 (2004)</w:t>
      </w:r>
      <w:r w:rsidR="0091558A" w:rsidRPr="00A472FC">
        <w:rPr>
          <w:rFonts w:ascii="Times New Roman" w:hAnsi="Times New Roman" w:cs="Times New Roman"/>
        </w:rPr>
        <w:t>:</w:t>
      </w:r>
      <w:r w:rsidRPr="00A472FC">
        <w:rPr>
          <w:rFonts w:ascii="Times New Roman" w:hAnsi="Times New Roman" w:cs="Times New Roman"/>
        </w:rPr>
        <w:t xml:space="preserve"> 449-76.</w:t>
      </w:r>
    </w:p>
    <w:p w14:paraId="208371A2" w14:textId="70C41BBF" w:rsidR="007B346D" w:rsidRPr="00A472FC" w:rsidRDefault="007B346D" w:rsidP="00881604">
      <w:pPr>
        <w:autoSpaceDE w:val="0"/>
        <w:autoSpaceDN w:val="0"/>
        <w:adjustRightInd w:val="0"/>
        <w:ind w:left="720" w:right="-52" w:hanging="720"/>
        <w:rPr>
          <w:rFonts w:ascii="Times New Roman" w:hAnsi="Times New Roman" w:cs="Times New Roman"/>
          <w:iCs/>
        </w:rPr>
      </w:pPr>
      <w:r w:rsidRPr="00A472FC">
        <w:rPr>
          <w:rFonts w:ascii="Times New Roman" w:hAnsi="Times New Roman" w:cs="Times New Roman"/>
        </w:rPr>
        <w:t xml:space="preserve">———. ‘The Structure of the Soul, Intellectual Virtues, and the Ethical Ideal of Masters of Arts in Early Commentaries on the </w:t>
      </w:r>
      <w:proofErr w:type="spellStart"/>
      <w:r w:rsidRPr="00A472FC">
        <w:rPr>
          <w:rFonts w:ascii="Times New Roman" w:hAnsi="Times New Roman" w:cs="Times New Roman"/>
          <w:i/>
        </w:rPr>
        <w:t>Nicomachean</w:t>
      </w:r>
      <w:proofErr w:type="spellEnd"/>
      <w:r w:rsidRPr="00A472FC">
        <w:rPr>
          <w:rFonts w:ascii="Times New Roman" w:hAnsi="Times New Roman" w:cs="Times New Roman"/>
          <w:i/>
        </w:rPr>
        <w:t xml:space="preserve"> Ethics</w:t>
      </w:r>
      <w:r w:rsidR="00943730" w:rsidRPr="00A472FC">
        <w:rPr>
          <w:rFonts w:ascii="Times New Roman" w:hAnsi="Times New Roman" w:cs="Times New Roman"/>
          <w:i/>
        </w:rPr>
        <w:t>.</w:t>
      </w:r>
      <w:r w:rsidRPr="00A472FC">
        <w:rPr>
          <w:rFonts w:ascii="Times New Roman" w:hAnsi="Times New Roman" w:cs="Times New Roman"/>
          <w:iCs/>
        </w:rPr>
        <w:t>’</w:t>
      </w:r>
      <w:r w:rsidRPr="00A472FC">
        <w:rPr>
          <w:rFonts w:ascii="Times New Roman" w:hAnsi="Times New Roman" w:cs="Times New Roman"/>
          <w:i/>
        </w:rPr>
        <w:t xml:space="preserve"> </w:t>
      </w:r>
      <w:r w:rsidR="00A40241" w:rsidRPr="00A472FC">
        <w:rPr>
          <w:rFonts w:ascii="Times New Roman" w:hAnsi="Times New Roman" w:cs="Times New Roman"/>
          <w:iCs/>
        </w:rPr>
        <w:t xml:space="preserve">In </w:t>
      </w:r>
      <w:r w:rsidR="00A40241" w:rsidRPr="00A472FC">
        <w:rPr>
          <w:rFonts w:ascii="Times New Roman" w:hAnsi="Times New Roman" w:cs="Times New Roman"/>
          <w:i/>
        </w:rPr>
        <w:t xml:space="preserve">Virtue Ethics in the Middle Ages. </w:t>
      </w:r>
      <w:r w:rsidR="00A40241" w:rsidRPr="00A472FC">
        <w:rPr>
          <w:rFonts w:ascii="Times New Roman" w:hAnsi="Times New Roman" w:cs="Times New Roman"/>
          <w:iCs/>
        </w:rPr>
        <w:t xml:space="preserve">Edited by </w:t>
      </w:r>
      <w:r w:rsidR="00703675" w:rsidRPr="00A472FC">
        <w:rPr>
          <w:rFonts w:ascii="Times New Roman" w:hAnsi="Times New Roman" w:cs="Times New Roman"/>
          <w:iCs/>
        </w:rPr>
        <w:t xml:space="preserve">István P. </w:t>
      </w:r>
      <w:proofErr w:type="spellStart"/>
      <w:r w:rsidR="00703675" w:rsidRPr="00A472FC">
        <w:rPr>
          <w:rFonts w:ascii="Times New Roman" w:hAnsi="Times New Roman" w:cs="Times New Roman"/>
          <w:iCs/>
        </w:rPr>
        <w:t>Bejczy</w:t>
      </w:r>
      <w:proofErr w:type="spellEnd"/>
      <w:r w:rsidR="00703675" w:rsidRPr="00A472FC">
        <w:rPr>
          <w:rFonts w:ascii="Times New Roman" w:hAnsi="Times New Roman" w:cs="Times New Roman"/>
          <w:iCs/>
        </w:rPr>
        <w:t xml:space="preserve">, </w:t>
      </w:r>
      <w:r w:rsidR="00A25F00" w:rsidRPr="00A472FC">
        <w:rPr>
          <w:rFonts w:ascii="Times New Roman" w:hAnsi="Times New Roman" w:cs="Times New Roman"/>
          <w:iCs/>
        </w:rPr>
        <w:t>13-30</w:t>
      </w:r>
      <w:r w:rsidR="00703675" w:rsidRPr="00A472FC">
        <w:rPr>
          <w:rFonts w:ascii="Times New Roman" w:hAnsi="Times New Roman" w:cs="Times New Roman"/>
          <w:iCs/>
        </w:rPr>
        <w:t xml:space="preserve">. Leiden: Brill, 2008. </w:t>
      </w:r>
    </w:p>
    <w:p w14:paraId="7B11468F" w14:textId="1B3377B1" w:rsidR="00903BF9"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Burnett, Charles. </w:t>
      </w:r>
      <w:r w:rsidR="00903BF9" w:rsidRPr="00A472FC">
        <w:rPr>
          <w:rFonts w:ascii="Times New Roman" w:hAnsi="Times New Roman" w:cs="Times New Roman"/>
          <w:color w:val="000000"/>
        </w:rPr>
        <w:t>‘The Contents and Affiliation of the Scientific Manuscripts Written at, or Brought to, Chartres in the Time of John of Salisbury</w:t>
      </w:r>
      <w:r w:rsidR="00CB6150" w:rsidRPr="00A472FC">
        <w:rPr>
          <w:rFonts w:ascii="Times New Roman" w:hAnsi="Times New Roman" w:cs="Times New Roman"/>
          <w:color w:val="000000"/>
        </w:rPr>
        <w:t>.</w:t>
      </w:r>
      <w:r w:rsidR="00903BF9" w:rsidRPr="00A472FC">
        <w:rPr>
          <w:rFonts w:ascii="Times New Roman" w:hAnsi="Times New Roman" w:cs="Times New Roman"/>
          <w:color w:val="000000"/>
        </w:rPr>
        <w:t xml:space="preserve">’ </w:t>
      </w:r>
      <w:r w:rsidR="00CB6150" w:rsidRPr="00A472FC">
        <w:rPr>
          <w:rFonts w:ascii="Times New Roman" w:hAnsi="Times New Roman" w:cs="Times New Roman"/>
          <w:color w:val="000000"/>
        </w:rPr>
        <w:t>I</w:t>
      </w:r>
      <w:r w:rsidR="00903BF9" w:rsidRPr="00A472FC">
        <w:rPr>
          <w:rFonts w:ascii="Times New Roman" w:hAnsi="Times New Roman" w:cs="Times New Roman"/>
          <w:color w:val="000000"/>
        </w:rPr>
        <w:t xml:space="preserve">n </w:t>
      </w:r>
      <w:r w:rsidR="00903BF9" w:rsidRPr="00A472FC">
        <w:rPr>
          <w:rFonts w:ascii="Times New Roman" w:hAnsi="Times New Roman" w:cs="Times New Roman"/>
          <w:i/>
          <w:iCs/>
          <w:color w:val="000000"/>
        </w:rPr>
        <w:t>The World of John of Salisbury</w:t>
      </w:r>
      <w:r w:rsidR="00CB6150" w:rsidRPr="00A472FC">
        <w:rPr>
          <w:rFonts w:ascii="Times New Roman" w:hAnsi="Times New Roman" w:cs="Times New Roman"/>
          <w:i/>
          <w:iCs/>
          <w:color w:val="000000"/>
        </w:rPr>
        <w:t xml:space="preserve">. </w:t>
      </w:r>
      <w:r w:rsidR="00CB6150" w:rsidRPr="00A472FC">
        <w:rPr>
          <w:rFonts w:ascii="Times New Roman" w:hAnsi="Times New Roman" w:cs="Times New Roman"/>
          <w:color w:val="000000"/>
        </w:rPr>
        <w:t xml:space="preserve">Edited by </w:t>
      </w:r>
      <w:r w:rsidR="00903BF9" w:rsidRPr="00A472FC">
        <w:rPr>
          <w:rFonts w:ascii="Times New Roman" w:hAnsi="Times New Roman" w:cs="Times New Roman"/>
          <w:color w:val="000000"/>
        </w:rPr>
        <w:t xml:space="preserve">M. </w:t>
      </w:r>
      <w:proofErr w:type="spellStart"/>
      <w:r w:rsidR="00903BF9" w:rsidRPr="00A472FC">
        <w:rPr>
          <w:rFonts w:ascii="Times New Roman" w:hAnsi="Times New Roman" w:cs="Times New Roman"/>
          <w:color w:val="000000"/>
        </w:rPr>
        <w:t>Wilks</w:t>
      </w:r>
      <w:proofErr w:type="spellEnd"/>
      <w:r w:rsidR="00CB6150" w:rsidRPr="00A472FC">
        <w:rPr>
          <w:rFonts w:ascii="Times New Roman" w:hAnsi="Times New Roman" w:cs="Times New Roman"/>
          <w:color w:val="000000"/>
        </w:rPr>
        <w:t xml:space="preserve">, 127-60. </w:t>
      </w:r>
      <w:r w:rsidR="00903BF9" w:rsidRPr="00A472FC">
        <w:rPr>
          <w:rFonts w:ascii="Times New Roman" w:hAnsi="Times New Roman" w:cs="Times New Roman"/>
          <w:color w:val="000000"/>
        </w:rPr>
        <w:t>Oxford: Blackwell, 1984.</w:t>
      </w:r>
    </w:p>
    <w:p w14:paraId="2681B51E" w14:textId="3411FB45" w:rsidR="006A6E61" w:rsidRPr="00A472FC" w:rsidRDefault="00903BF9"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006A6E61" w:rsidRPr="00A472FC">
        <w:rPr>
          <w:rFonts w:ascii="Times New Roman" w:hAnsi="Times New Roman" w:cs="Times New Roman"/>
        </w:rPr>
        <w:t xml:space="preserve">‘Michael Scot and the Transmission of Scientific Culture from Toledo to Bologna via the Court of Frederick II Hohenstaufen.’ </w:t>
      </w:r>
      <w:proofErr w:type="spellStart"/>
      <w:r w:rsidR="006A6E61" w:rsidRPr="00A472FC">
        <w:rPr>
          <w:rFonts w:ascii="Times New Roman" w:hAnsi="Times New Roman" w:cs="Times New Roman"/>
          <w:i/>
          <w:iCs/>
        </w:rPr>
        <w:t>Micrologus</w:t>
      </w:r>
      <w:proofErr w:type="spellEnd"/>
      <w:r w:rsidR="006A6E61" w:rsidRPr="00A472FC">
        <w:rPr>
          <w:rFonts w:ascii="Times New Roman" w:hAnsi="Times New Roman" w:cs="Times New Roman"/>
          <w:i/>
          <w:iCs/>
        </w:rPr>
        <w:t xml:space="preserve"> </w:t>
      </w:r>
      <w:r w:rsidR="006A6E61" w:rsidRPr="00A472FC">
        <w:rPr>
          <w:rFonts w:ascii="Times New Roman" w:hAnsi="Times New Roman" w:cs="Times New Roman"/>
        </w:rPr>
        <w:t>2 (1994): 101-26.</w:t>
      </w:r>
    </w:p>
    <w:p w14:paraId="1B3B9020" w14:textId="4E26BF2E" w:rsidR="00EE79CD" w:rsidRPr="00A472FC" w:rsidRDefault="00EE79CD"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‘The Inst</w:t>
      </w:r>
      <w:r w:rsidR="002E6DDE" w:rsidRPr="00A472FC">
        <w:rPr>
          <w:rFonts w:ascii="Times New Roman" w:hAnsi="Times New Roman" w:cs="Times New Roman"/>
        </w:rPr>
        <w:t>it</w:t>
      </w:r>
      <w:r w:rsidRPr="00A472FC">
        <w:rPr>
          <w:rFonts w:ascii="Times New Roman" w:hAnsi="Times New Roman" w:cs="Times New Roman"/>
        </w:rPr>
        <w:t xml:space="preserve">utional Context of Arabic-Latin Translations in the Middle Ages: A Reassessment of the School of Toledo.’ In </w:t>
      </w:r>
      <w:r w:rsidRPr="00A472FC">
        <w:rPr>
          <w:rFonts w:ascii="Times New Roman" w:hAnsi="Times New Roman" w:cs="Times New Roman"/>
          <w:i/>
          <w:iCs/>
        </w:rPr>
        <w:t xml:space="preserve">Vocabulary of Teaching and Research Between the Middle Ages and </w:t>
      </w:r>
      <w:proofErr w:type="spellStart"/>
      <w:r w:rsidRPr="00A472FC">
        <w:rPr>
          <w:rFonts w:ascii="Times New Roman" w:hAnsi="Times New Roman" w:cs="Times New Roman"/>
          <w:i/>
          <w:iCs/>
        </w:rPr>
        <w:t>Rennaissance</w:t>
      </w:r>
      <w:proofErr w:type="spellEnd"/>
      <w:r w:rsidRPr="00A472FC">
        <w:rPr>
          <w:rFonts w:ascii="Times New Roman" w:hAnsi="Times New Roman" w:cs="Times New Roman"/>
          <w:i/>
          <w:iCs/>
        </w:rPr>
        <w:t xml:space="preserve">. </w:t>
      </w:r>
      <w:r w:rsidRPr="00A472FC">
        <w:rPr>
          <w:rFonts w:ascii="Times New Roman" w:hAnsi="Times New Roman" w:cs="Times New Roman"/>
        </w:rPr>
        <w:t xml:space="preserve">Edited by Olga </w:t>
      </w:r>
      <w:proofErr w:type="spellStart"/>
      <w:r w:rsidRPr="00A472FC">
        <w:rPr>
          <w:rFonts w:ascii="Times New Roman" w:hAnsi="Times New Roman" w:cs="Times New Roman"/>
        </w:rPr>
        <w:t>Weijers</w:t>
      </w:r>
      <w:proofErr w:type="spellEnd"/>
      <w:r w:rsidR="00EE30CF" w:rsidRPr="00A472FC">
        <w:rPr>
          <w:rFonts w:ascii="Times New Roman" w:hAnsi="Times New Roman" w:cs="Times New Roman"/>
        </w:rPr>
        <w:t xml:space="preserve">, 214-35.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1995</w:t>
      </w:r>
      <w:r w:rsidR="00EE30CF" w:rsidRPr="00A472FC">
        <w:rPr>
          <w:rFonts w:ascii="Times New Roman" w:hAnsi="Times New Roman" w:cs="Times New Roman"/>
        </w:rPr>
        <w:t>.</w:t>
      </w:r>
    </w:p>
    <w:p w14:paraId="590E0C2D" w14:textId="2EE17B15"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‘Vincent of </w:t>
      </w:r>
      <w:proofErr w:type="spellStart"/>
      <w:r w:rsidRPr="00A472FC">
        <w:rPr>
          <w:rFonts w:ascii="Times New Roman" w:hAnsi="Times New Roman" w:cs="Times New Roman"/>
        </w:rPr>
        <w:t>Beauvais</w:t>
      </w:r>
      <w:proofErr w:type="spellEnd"/>
      <w:r w:rsidRPr="00A472FC">
        <w:rPr>
          <w:rFonts w:ascii="Times New Roman" w:hAnsi="Times New Roman" w:cs="Times New Roman"/>
        </w:rPr>
        <w:t xml:space="preserve">, Michael Scot, and the New Aristotle.’ In </w:t>
      </w:r>
      <w:r w:rsidRPr="00A472FC">
        <w:rPr>
          <w:rFonts w:ascii="Times New Roman" w:hAnsi="Times New Roman" w:cs="Times New Roman"/>
          <w:i/>
          <w:iCs/>
        </w:rPr>
        <w:t xml:space="preserve">Vincent de </w:t>
      </w:r>
      <w:proofErr w:type="spellStart"/>
      <w:r w:rsidRPr="00A472FC">
        <w:rPr>
          <w:rFonts w:ascii="Times New Roman" w:hAnsi="Times New Roman" w:cs="Times New Roman"/>
          <w:i/>
          <w:iCs/>
        </w:rPr>
        <w:t>Beauvais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frère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precheur</w:t>
      </w:r>
      <w:proofErr w:type="spellEnd"/>
      <w:r w:rsidRPr="00A472FC">
        <w:rPr>
          <w:rFonts w:ascii="Times New Roman" w:hAnsi="Times New Roman" w:cs="Times New Roman"/>
          <w:i/>
          <w:iCs/>
        </w:rPr>
        <w:t>, un intellectual et son milieu au XIII siècle</w:t>
      </w:r>
      <w:r w:rsidRPr="00A472FC">
        <w:rPr>
          <w:rFonts w:ascii="Times New Roman" w:hAnsi="Times New Roman" w:cs="Times New Roman"/>
        </w:rPr>
        <w:t xml:space="preserve">. Edited by Marie-Christine Duchenne, Serge </w:t>
      </w:r>
      <w:proofErr w:type="spellStart"/>
      <w:r w:rsidRPr="00A472FC">
        <w:rPr>
          <w:rFonts w:ascii="Times New Roman" w:hAnsi="Times New Roman" w:cs="Times New Roman"/>
        </w:rPr>
        <w:t>Lusignan</w:t>
      </w:r>
      <w:proofErr w:type="spellEnd"/>
      <w:r w:rsidRPr="00A472FC">
        <w:rPr>
          <w:rFonts w:ascii="Times New Roman" w:hAnsi="Times New Roman" w:cs="Times New Roman"/>
        </w:rPr>
        <w:t xml:space="preserve"> and Monique </w:t>
      </w:r>
      <w:proofErr w:type="spellStart"/>
      <w:r w:rsidRPr="00A472FC">
        <w:rPr>
          <w:rFonts w:ascii="Times New Roman" w:hAnsi="Times New Roman" w:cs="Times New Roman"/>
        </w:rPr>
        <w:t>Paulmier-Foucart</w:t>
      </w:r>
      <w:proofErr w:type="spellEnd"/>
      <w:r w:rsidRPr="00A472FC">
        <w:rPr>
          <w:rFonts w:ascii="Times New Roman" w:hAnsi="Times New Roman" w:cs="Times New Roman"/>
        </w:rPr>
        <w:t xml:space="preserve">, 189-213. </w:t>
      </w:r>
      <w:proofErr w:type="spellStart"/>
      <w:r w:rsidRPr="00A472FC">
        <w:rPr>
          <w:rFonts w:ascii="Times New Roman" w:hAnsi="Times New Roman" w:cs="Times New Roman"/>
        </w:rPr>
        <w:t>Grâne</w:t>
      </w:r>
      <w:proofErr w:type="spellEnd"/>
      <w:r w:rsidRPr="00A472FC">
        <w:rPr>
          <w:rFonts w:ascii="Times New Roman" w:hAnsi="Times New Roman" w:cs="Times New Roman"/>
        </w:rPr>
        <w:t xml:space="preserve">: Rencontres à </w:t>
      </w:r>
      <w:proofErr w:type="spellStart"/>
      <w:r w:rsidRPr="00A472FC">
        <w:rPr>
          <w:rFonts w:ascii="Times New Roman" w:hAnsi="Times New Roman" w:cs="Times New Roman"/>
        </w:rPr>
        <w:t>Royaumont</w:t>
      </w:r>
      <w:proofErr w:type="spellEnd"/>
      <w:r w:rsidRPr="00A472FC">
        <w:rPr>
          <w:rFonts w:ascii="Times New Roman" w:hAnsi="Times New Roman" w:cs="Times New Roman"/>
        </w:rPr>
        <w:t>, 1997.</w:t>
      </w:r>
    </w:p>
    <w:p w14:paraId="00B375E6" w14:textId="162DE379" w:rsidR="00F51339" w:rsidRPr="00A472FC" w:rsidRDefault="00F51339" w:rsidP="00F87B4D">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______ and Danielle J</w:t>
      </w:r>
      <w:r w:rsidR="007E5D1A" w:rsidRPr="00A472FC">
        <w:rPr>
          <w:rFonts w:ascii="Times New Roman" w:hAnsi="Times New Roman" w:cs="Times New Roman"/>
        </w:rPr>
        <w:t>a</w:t>
      </w:r>
      <w:r w:rsidRPr="00A472FC">
        <w:rPr>
          <w:rFonts w:ascii="Times New Roman" w:hAnsi="Times New Roman" w:cs="Times New Roman"/>
        </w:rPr>
        <w:t xml:space="preserve">cquart. </w:t>
      </w:r>
      <w:r w:rsidRPr="00A472FC">
        <w:rPr>
          <w:rFonts w:ascii="Times New Roman" w:hAnsi="Times New Roman" w:cs="Times New Roman"/>
          <w:i/>
          <w:iCs/>
        </w:rPr>
        <w:t xml:space="preserve">Constantine the African and ‘Alī </w:t>
      </w:r>
      <w:proofErr w:type="spellStart"/>
      <w:r w:rsidRPr="00A472FC">
        <w:rPr>
          <w:rFonts w:ascii="Times New Roman" w:hAnsi="Times New Roman" w:cs="Times New Roman"/>
          <w:i/>
          <w:iCs/>
        </w:rPr>
        <w:t>ibn</w:t>
      </w:r>
      <w:proofErr w:type="spellEnd"/>
      <w:r w:rsidRPr="00A472FC">
        <w:rPr>
          <w:rFonts w:ascii="Times New Roman" w:hAnsi="Times New Roman" w:cs="Times New Roman"/>
          <w:i/>
          <w:iCs/>
        </w:rPr>
        <w:t xml:space="preserve"> Al-‘</w:t>
      </w:r>
      <w:proofErr w:type="spellStart"/>
      <w:r w:rsidRPr="00A472FC">
        <w:rPr>
          <w:rFonts w:ascii="Times New Roman" w:hAnsi="Times New Roman" w:cs="Times New Roman"/>
          <w:i/>
          <w:iCs/>
        </w:rPr>
        <w:t>Abbās</w:t>
      </w:r>
      <w:proofErr w:type="spellEnd"/>
      <w:r w:rsidRPr="00A472FC">
        <w:rPr>
          <w:rFonts w:ascii="Times New Roman" w:hAnsi="Times New Roman" w:cs="Times New Roman"/>
          <w:i/>
          <w:iCs/>
        </w:rPr>
        <w:t xml:space="preserve"> Al-Magūsī: The </w:t>
      </w:r>
      <w:proofErr w:type="spellStart"/>
      <w:r w:rsidRPr="00A472FC">
        <w:rPr>
          <w:rFonts w:ascii="Times New Roman" w:hAnsi="Times New Roman" w:cs="Times New Roman"/>
          <w:i/>
          <w:iCs/>
        </w:rPr>
        <w:t>Pantegni</w:t>
      </w:r>
      <w:proofErr w:type="spellEnd"/>
      <w:r w:rsidRPr="00A472FC">
        <w:rPr>
          <w:rFonts w:ascii="Times New Roman" w:hAnsi="Times New Roman" w:cs="Times New Roman"/>
          <w:i/>
          <w:iCs/>
        </w:rPr>
        <w:t xml:space="preserve"> and Related Texts</w:t>
      </w:r>
      <w:r w:rsidR="00216D88" w:rsidRPr="00A472FC">
        <w:rPr>
          <w:rFonts w:ascii="Times New Roman" w:hAnsi="Times New Roman" w:cs="Times New Roman"/>
          <w:i/>
          <w:iCs/>
        </w:rPr>
        <w:t xml:space="preserve">. </w:t>
      </w:r>
      <w:r w:rsidRPr="00A472FC">
        <w:rPr>
          <w:rFonts w:ascii="Times New Roman" w:hAnsi="Times New Roman" w:cs="Times New Roman"/>
        </w:rPr>
        <w:t>Leiden: Brill: 1994.</w:t>
      </w:r>
    </w:p>
    <w:p w14:paraId="18216D10" w14:textId="0E6E27E2"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Bychkov</w:t>
      </w:r>
      <w:proofErr w:type="spellEnd"/>
      <w:r w:rsidRPr="00A472FC">
        <w:rPr>
          <w:rFonts w:ascii="Times New Roman" w:hAnsi="Times New Roman" w:cs="Times New Roman"/>
        </w:rPr>
        <w:t>, Oleg. ‘</w:t>
      </w:r>
      <w:r w:rsidRPr="00A472FC">
        <w:rPr>
          <w:rFonts w:ascii="Times New Roman" w:hAnsi="Times New Roman" w:cs="Times New Roman"/>
          <w:i/>
        </w:rPr>
        <w:t xml:space="preserve">Decor ex </w:t>
      </w:r>
      <w:proofErr w:type="spellStart"/>
      <w:r w:rsidRPr="00A472FC">
        <w:rPr>
          <w:rFonts w:ascii="Times New Roman" w:hAnsi="Times New Roman" w:cs="Times New Roman"/>
          <w:i/>
        </w:rPr>
        <w:t>praesentia</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mali</w:t>
      </w:r>
      <w:proofErr w:type="spellEnd"/>
      <w:r w:rsidRPr="00A472FC">
        <w:rPr>
          <w:rFonts w:ascii="Times New Roman" w:hAnsi="Times New Roman" w:cs="Times New Roman"/>
        </w:rPr>
        <w:t xml:space="preserve">: Aesthetic Explanations of Evil in Thirteenth-Century Franciscan Thought.’ </w:t>
      </w:r>
      <w:proofErr w:type="spellStart"/>
      <w:r w:rsidRPr="00A472FC">
        <w:rPr>
          <w:rFonts w:ascii="Times New Roman" w:hAnsi="Times New Roman" w:cs="Times New Roman"/>
          <w:i/>
          <w:iCs/>
        </w:rPr>
        <w:t>Recherches</w:t>
      </w:r>
      <w:proofErr w:type="spellEnd"/>
      <w:r w:rsidRPr="00A472FC">
        <w:rPr>
          <w:rFonts w:ascii="Times New Roman" w:hAnsi="Times New Roman" w:cs="Times New Roman"/>
          <w:i/>
          <w:iCs/>
        </w:rPr>
        <w:t xml:space="preserve"> de </w:t>
      </w:r>
      <w:proofErr w:type="spellStart"/>
      <w:r w:rsidR="0040612C" w:rsidRPr="00A472FC">
        <w:rPr>
          <w:rFonts w:ascii="Times New Roman" w:hAnsi="Times New Roman" w:cs="Times New Roman"/>
          <w:i/>
          <w:iCs/>
        </w:rPr>
        <w:t>t</w:t>
      </w:r>
      <w:r w:rsidRPr="00A472FC">
        <w:rPr>
          <w:rFonts w:ascii="Times New Roman" w:hAnsi="Times New Roman" w:cs="Times New Roman"/>
          <w:i/>
          <w:iCs/>
        </w:rPr>
        <w:t>héologie</w:t>
      </w:r>
      <w:proofErr w:type="spellEnd"/>
      <w:r w:rsidRPr="00A472FC">
        <w:rPr>
          <w:rFonts w:ascii="Times New Roman" w:hAnsi="Times New Roman" w:cs="Times New Roman"/>
          <w:i/>
          <w:iCs/>
        </w:rPr>
        <w:t xml:space="preserve"> et </w:t>
      </w:r>
      <w:r w:rsidR="0040612C" w:rsidRPr="00A472FC">
        <w:rPr>
          <w:rFonts w:ascii="Times New Roman" w:hAnsi="Times New Roman" w:cs="Times New Roman"/>
          <w:i/>
          <w:iCs/>
        </w:rPr>
        <w:t>p</w:t>
      </w:r>
      <w:r w:rsidRPr="00A472FC">
        <w:rPr>
          <w:rFonts w:ascii="Times New Roman" w:hAnsi="Times New Roman" w:cs="Times New Roman"/>
          <w:i/>
          <w:iCs/>
        </w:rPr>
        <w:t xml:space="preserve">hilosophie </w:t>
      </w:r>
      <w:proofErr w:type="spellStart"/>
      <w:r w:rsidRPr="00A472FC">
        <w:rPr>
          <w:rFonts w:ascii="Times New Roman" w:hAnsi="Times New Roman" w:cs="Times New Roman"/>
          <w:i/>
          <w:iCs/>
        </w:rPr>
        <w:t>médiévales</w:t>
      </w:r>
      <w:proofErr w:type="spellEnd"/>
      <w:r w:rsidRPr="00A472FC">
        <w:rPr>
          <w:rFonts w:ascii="Times New Roman" w:hAnsi="Times New Roman" w:cs="Times New Roman"/>
          <w:i/>
          <w:iCs/>
        </w:rPr>
        <w:t xml:space="preserve"> </w:t>
      </w:r>
      <w:r w:rsidRPr="00A472FC">
        <w:rPr>
          <w:rFonts w:ascii="Times New Roman" w:hAnsi="Times New Roman" w:cs="Times New Roman"/>
        </w:rPr>
        <w:t>68</w:t>
      </w:r>
      <w:r w:rsidR="001346B2" w:rsidRPr="00A472FC">
        <w:rPr>
          <w:rFonts w:ascii="Times New Roman" w:hAnsi="Times New Roman" w:cs="Times New Roman"/>
        </w:rPr>
        <w:t>:</w:t>
      </w:r>
      <w:r w:rsidRPr="00A472FC">
        <w:rPr>
          <w:rFonts w:ascii="Times New Roman" w:hAnsi="Times New Roman" w:cs="Times New Roman"/>
        </w:rPr>
        <w:t>1 (2001): 245-69.</w:t>
      </w:r>
    </w:p>
    <w:p w14:paraId="5561AF97" w14:textId="60BE98D1" w:rsidR="006A6E61" w:rsidRPr="00A472FC" w:rsidRDefault="006A6E61" w:rsidP="00523AFB">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Callus, Daniel A.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w:t>
      </w:r>
      <w:r w:rsidRPr="00A472FC">
        <w:rPr>
          <w:rFonts w:ascii="Times New Roman" w:hAnsi="Times New Roman" w:cs="Times New Roman"/>
          <w:i/>
        </w:rPr>
        <w:t>De anima</w:t>
      </w:r>
      <w:r w:rsidRPr="00A472FC">
        <w:rPr>
          <w:rFonts w:ascii="Times New Roman" w:hAnsi="Times New Roman" w:cs="Times New Roman"/>
        </w:rPr>
        <w:t xml:space="preserve"> and the Problem of Substantial Form.’ </w:t>
      </w:r>
      <w:r w:rsidRPr="00A472FC">
        <w:rPr>
          <w:rFonts w:ascii="Times New Roman" w:hAnsi="Times New Roman" w:cs="Times New Roman"/>
          <w:i/>
          <w:iCs/>
        </w:rPr>
        <w:t xml:space="preserve">The New Scholasticism </w:t>
      </w:r>
      <w:r w:rsidRPr="00A472FC">
        <w:rPr>
          <w:rFonts w:ascii="Times New Roman" w:hAnsi="Times New Roman" w:cs="Times New Roman"/>
        </w:rPr>
        <w:t>13 (1939): 338-55.</w:t>
      </w:r>
    </w:p>
    <w:p w14:paraId="1F9A1736" w14:textId="3FCC676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‘Two Early Masters on the Problem of Plurality of Forms</w:t>
      </w:r>
      <w:r w:rsidR="002C1906" w:rsidRPr="00A472FC">
        <w:rPr>
          <w:rFonts w:ascii="Times New Roman" w:hAnsi="Times New Roman" w:cs="Times New Roman"/>
        </w:rPr>
        <w:t xml:space="preserve">: </w:t>
      </w:r>
      <w:r w:rsidRPr="00A472FC">
        <w:rPr>
          <w:rFonts w:ascii="Times New Roman" w:hAnsi="Times New Roman" w:cs="Times New Roman"/>
        </w:rPr>
        <w:t xml:space="preserve">Adam of Buckfield – Richard of Cornwall.’ </w:t>
      </w:r>
      <w:r w:rsidRPr="00A472FC">
        <w:rPr>
          <w:rFonts w:ascii="Times New Roman" w:hAnsi="Times New Roman" w:cs="Times New Roman"/>
          <w:i/>
          <w:iCs/>
        </w:rPr>
        <w:t xml:space="preserve">Revue </w:t>
      </w:r>
      <w:proofErr w:type="spellStart"/>
      <w:r w:rsidRPr="00A472FC">
        <w:rPr>
          <w:rFonts w:ascii="Times New Roman" w:hAnsi="Times New Roman" w:cs="Times New Roman"/>
          <w:i/>
          <w:iCs/>
        </w:rPr>
        <w:t>néo-scolastique</w:t>
      </w:r>
      <w:proofErr w:type="spellEnd"/>
      <w:r w:rsidRPr="00A472FC">
        <w:rPr>
          <w:rFonts w:ascii="Times New Roman" w:hAnsi="Times New Roman" w:cs="Times New Roman"/>
          <w:i/>
          <w:iCs/>
        </w:rPr>
        <w:t xml:space="preserve"> de philosophie </w:t>
      </w:r>
      <w:r w:rsidRPr="00A472FC">
        <w:rPr>
          <w:rFonts w:ascii="Times New Roman" w:hAnsi="Times New Roman" w:cs="Times New Roman"/>
        </w:rPr>
        <w:t>63 (1939): 411-45.</w:t>
      </w:r>
    </w:p>
    <w:p w14:paraId="757946E9"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‘The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Duacensis</w:t>
      </w:r>
      <w:proofErr w:type="spellEnd"/>
      <w:r w:rsidRPr="00A472FC">
        <w:rPr>
          <w:rFonts w:ascii="Times New Roman" w:hAnsi="Times New Roman" w:cs="Times New Roman"/>
        </w:rPr>
        <w:t xml:space="preserve"> and the </w:t>
      </w:r>
      <w:proofErr w:type="spellStart"/>
      <w:r w:rsidRPr="00A472FC">
        <w:rPr>
          <w:rFonts w:ascii="Times New Roman" w:hAnsi="Times New Roman" w:cs="Times New Roman"/>
        </w:rPr>
        <w:t>Pseudo-Grosseteste’s</w:t>
      </w:r>
      <w:proofErr w:type="spellEnd"/>
      <w:r w:rsidRPr="00A472FC">
        <w:rPr>
          <w:rFonts w:ascii="Times New Roman" w:hAnsi="Times New Roman" w:cs="Times New Roman"/>
          <w:i/>
          <w:iCs/>
        </w:rPr>
        <w:t xml:space="preserve"> De anima</w:t>
      </w:r>
      <w:r w:rsidRPr="00A472FC">
        <w:rPr>
          <w:rFonts w:ascii="Times New Roman" w:hAnsi="Times New Roman" w:cs="Times New Roman"/>
        </w:rPr>
        <w:t xml:space="preserve">.’ </w:t>
      </w:r>
      <w:proofErr w:type="spellStart"/>
      <w:r w:rsidRPr="00A472FC">
        <w:rPr>
          <w:rFonts w:ascii="Times New Roman" w:hAnsi="Times New Roman" w:cs="Times New Roman"/>
          <w:i/>
          <w:iCs/>
        </w:rPr>
        <w:t>Recherches</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theólogie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ancienne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médiévale</w:t>
      </w:r>
      <w:proofErr w:type="spellEnd"/>
      <w:r w:rsidRPr="00A472FC">
        <w:rPr>
          <w:rFonts w:ascii="Times New Roman" w:hAnsi="Times New Roman" w:cs="Times New Roman"/>
          <w:i/>
          <w:iCs/>
        </w:rPr>
        <w:t xml:space="preserve"> </w:t>
      </w:r>
      <w:r w:rsidRPr="00A472FC">
        <w:rPr>
          <w:rFonts w:ascii="Times New Roman" w:hAnsi="Times New Roman" w:cs="Times New Roman"/>
        </w:rPr>
        <w:t>13 (1946): 225-29.</w:t>
      </w:r>
    </w:p>
    <w:p w14:paraId="48A23FBF" w14:textId="535E946A"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‘The Powers of the Soul: An Early Unpublished Text.’ </w:t>
      </w:r>
      <w:proofErr w:type="spellStart"/>
      <w:r w:rsidR="004746EC" w:rsidRPr="00A472FC">
        <w:rPr>
          <w:rFonts w:ascii="Times New Roman" w:hAnsi="Times New Roman" w:cs="Times New Roman"/>
          <w:i/>
          <w:iCs/>
          <w:color w:val="000000" w:themeColor="text1"/>
        </w:rPr>
        <w:t>Recherches</w:t>
      </w:r>
      <w:proofErr w:type="spellEnd"/>
      <w:r w:rsidR="004746EC" w:rsidRPr="00A472FC">
        <w:rPr>
          <w:rFonts w:ascii="Times New Roman" w:hAnsi="Times New Roman" w:cs="Times New Roman"/>
          <w:i/>
          <w:iCs/>
          <w:color w:val="000000" w:themeColor="text1"/>
        </w:rPr>
        <w:t xml:space="preserve"> de </w:t>
      </w:r>
      <w:proofErr w:type="spellStart"/>
      <w:r w:rsidR="004746EC" w:rsidRPr="00A472FC">
        <w:rPr>
          <w:rFonts w:ascii="Times New Roman" w:hAnsi="Times New Roman" w:cs="Times New Roman"/>
          <w:i/>
          <w:iCs/>
          <w:color w:val="000000" w:themeColor="text1"/>
        </w:rPr>
        <w:t>théologie</w:t>
      </w:r>
      <w:proofErr w:type="spellEnd"/>
      <w:r w:rsidR="004746EC" w:rsidRPr="00A472FC">
        <w:rPr>
          <w:rFonts w:ascii="Times New Roman" w:hAnsi="Times New Roman" w:cs="Times New Roman"/>
          <w:i/>
          <w:iCs/>
          <w:color w:val="000000" w:themeColor="text1"/>
        </w:rPr>
        <w:t xml:space="preserve"> </w:t>
      </w:r>
      <w:proofErr w:type="spellStart"/>
      <w:r w:rsidR="004746EC" w:rsidRPr="00A472FC">
        <w:rPr>
          <w:rFonts w:ascii="Times New Roman" w:hAnsi="Times New Roman" w:cs="Times New Roman"/>
          <w:i/>
          <w:iCs/>
          <w:color w:val="000000" w:themeColor="text1"/>
        </w:rPr>
        <w:t>ancienne</w:t>
      </w:r>
      <w:proofErr w:type="spellEnd"/>
      <w:r w:rsidR="004746EC" w:rsidRPr="00A472FC">
        <w:rPr>
          <w:rFonts w:ascii="Times New Roman" w:hAnsi="Times New Roman" w:cs="Times New Roman"/>
          <w:i/>
          <w:iCs/>
          <w:color w:val="000000" w:themeColor="text1"/>
        </w:rPr>
        <w:t xml:space="preserve"> et </w:t>
      </w:r>
      <w:proofErr w:type="spellStart"/>
      <w:r w:rsidR="004746EC" w:rsidRPr="00A472FC">
        <w:rPr>
          <w:rFonts w:ascii="Times New Roman" w:hAnsi="Times New Roman" w:cs="Times New Roman"/>
          <w:i/>
          <w:iCs/>
          <w:color w:val="000000" w:themeColor="text1"/>
        </w:rPr>
        <w:t>médiévale</w:t>
      </w:r>
      <w:proofErr w:type="spellEnd"/>
      <w:r w:rsidR="004746EC" w:rsidRPr="00A472FC">
        <w:rPr>
          <w:rFonts w:ascii="Times New Roman" w:hAnsi="Times New Roman" w:cs="Times New Roman"/>
          <w:color w:val="000000" w:themeColor="text1"/>
        </w:rPr>
        <w:t xml:space="preserve"> </w:t>
      </w:r>
      <w:r w:rsidRPr="00A472FC">
        <w:rPr>
          <w:rFonts w:ascii="Times New Roman" w:hAnsi="Times New Roman" w:cs="Times New Roman"/>
        </w:rPr>
        <w:t>19 (1952): 131-70.</w:t>
      </w:r>
    </w:p>
    <w:p w14:paraId="137459D5" w14:textId="7E4E0A12"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‘The Treatise of John </w:t>
      </w:r>
      <w:proofErr w:type="spellStart"/>
      <w:r w:rsidRPr="00A472FC">
        <w:rPr>
          <w:rFonts w:ascii="Times New Roman" w:hAnsi="Times New Roman" w:cs="Times New Roman"/>
        </w:rPr>
        <w:t>Blund</w:t>
      </w:r>
      <w:proofErr w:type="spellEnd"/>
      <w:r w:rsidRPr="00A472FC">
        <w:rPr>
          <w:rFonts w:ascii="Times New Roman" w:hAnsi="Times New Roman" w:cs="Times New Roman"/>
        </w:rPr>
        <w:t xml:space="preserve"> on the Soul.’ In </w:t>
      </w:r>
      <w:proofErr w:type="spellStart"/>
      <w:r w:rsidRPr="00A472FC">
        <w:rPr>
          <w:rFonts w:ascii="Times New Roman" w:hAnsi="Times New Roman" w:cs="Times New Roman"/>
          <w:i/>
          <w:iCs/>
        </w:rPr>
        <w:t>Autour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d’Aristote</w:t>
      </w:r>
      <w:proofErr w:type="spellEnd"/>
      <w:r w:rsidR="002C1906" w:rsidRPr="00A472FC">
        <w:rPr>
          <w:rFonts w:ascii="Times New Roman" w:hAnsi="Times New Roman" w:cs="Times New Roman"/>
          <w:i/>
          <w:iCs/>
        </w:rPr>
        <w:t>:</w:t>
      </w:r>
      <w:r w:rsidRPr="00A472FC">
        <w:rPr>
          <w:rFonts w:ascii="Times New Roman" w:hAnsi="Times New Roman" w:cs="Times New Roman"/>
          <w:i/>
          <w:iCs/>
        </w:rPr>
        <w:t xml:space="preserve"> </w:t>
      </w:r>
      <w:proofErr w:type="spellStart"/>
      <w:r w:rsidRPr="00A472FC">
        <w:rPr>
          <w:rFonts w:ascii="Times New Roman" w:hAnsi="Times New Roman" w:cs="Times New Roman"/>
          <w:i/>
          <w:iCs/>
        </w:rPr>
        <w:t>Recueil</w:t>
      </w:r>
      <w:proofErr w:type="spellEnd"/>
      <w:r w:rsidRPr="00A472FC">
        <w:rPr>
          <w:rFonts w:ascii="Times New Roman" w:hAnsi="Times New Roman" w:cs="Times New Roman"/>
          <w:i/>
          <w:iCs/>
        </w:rPr>
        <w:t xml:space="preserve"> d’Etudes de Philosophie </w:t>
      </w:r>
      <w:proofErr w:type="spellStart"/>
      <w:r w:rsidRPr="00A472FC">
        <w:rPr>
          <w:rFonts w:ascii="Times New Roman" w:hAnsi="Times New Roman" w:cs="Times New Roman"/>
          <w:i/>
          <w:iCs/>
        </w:rPr>
        <w:t>ancienne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médiévale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affert</w:t>
      </w:r>
      <w:proofErr w:type="spellEnd"/>
      <w:r w:rsidRPr="00A472FC">
        <w:rPr>
          <w:rFonts w:ascii="Times New Roman" w:hAnsi="Times New Roman" w:cs="Times New Roman"/>
          <w:i/>
          <w:iCs/>
        </w:rPr>
        <w:t xml:space="preserve"> à Monseigneur A. Mansion</w:t>
      </w:r>
      <w:r w:rsidRPr="00A472FC">
        <w:rPr>
          <w:rFonts w:ascii="Times New Roman" w:hAnsi="Times New Roman" w:cs="Times New Roman"/>
        </w:rPr>
        <w:t xml:space="preserve">, 471-95. </w:t>
      </w:r>
      <w:proofErr w:type="spellStart"/>
      <w:r w:rsidRPr="00A472FC">
        <w:rPr>
          <w:rFonts w:ascii="Times New Roman" w:hAnsi="Times New Roman" w:cs="Times New Roman"/>
        </w:rPr>
        <w:t>Louvain</w:t>
      </w:r>
      <w:proofErr w:type="spellEnd"/>
      <w:r w:rsidRPr="00A472FC">
        <w:rPr>
          <w:rFonts w:ascii="Times New Roman" w:hAnsi="Times New Roman" w:cs="Times New Roman"/>
        </w:rPr>
        <w:t xml:space="preserve">: Publications </w:t>
      </w:r>
      <w:proofErr w:type="spellStart"/>
      <w:r w:rsidRPr="00A472FC">
        <w:rPr>
          <w:rFonts w:ascii="Times New Roman" w:hAnsi="Times New Roman" w:cs="Times New Roman"/>
        </w:rPr>
        <w:t>universitaíres</w:t>
      </w:r>
      <w:proofErr w:type="spellEnd"/>
      <w:r w:rsidRPr="00A472FC">
        <w:rPr>
          <w:rFonts w:ascii="Times New Roman" w:hAnsi="Times New Roman" w:cs="Times New Roman"/>
        </w:rPr>
        <w:t xml:space="preserve"> de </w:t>
      </w:r>
      <w:proofErr w:type="spellStart"/>
      <w:r w:rsidRPr="00A472FC">
        <w:rPr>
          <w:rFonts w:ascii="Times New Roman" w:hAnsi="Times New Roman" w:cs="Times New Roman"/>
        </w:rPr>
        <w:t>Louvain</w:t>
      </w:r>
      <w:proofErr w:type="spellEnd"/>
      <w:r w:rsidRPr="00A472FC">
        <w:rPr>
          <w:rFonts w:ascii="Times New Roman" w:hAnsi="Times New Roman" w:cs="Times New Roman"/>
        </w:rPr>
        <w:t>, 1955.</w:t>
      </w:r>
    </w:p>
    <w:p w14:paraId="71A6F2E1" w14:textId="3C0ECD92"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lastRenderedPageBreak/>
        <w:t xml:space="preserve">———. ‘The Origins of the Problem of the Unity of Form.’ </w:t>
      </w:r>
      <w:r w:rsidRPr="00A472FC">
        <w:rPr>
          <w:rFonts w:ascii="Times New Roman" w:hAnsi="Times New Roman" w:cs="Times New Roman"/>
          <w:i/>
          <w:iCs/>
        </w:rPr>
        <w:t xml:space="preserve">The </w:t>
      </w:r>
      <w:proofErr w:type="spellStart"/>
      <w:r w:rsidRPr="00A472FC">
        <w:rPr>
          <w:rFonts w:ascii="Times New Roman" w:hAnsi="Times New Roman" w:cs="Times New Roman"/>
          <w:i/>
          <w:iCs/>
        </w:rPr>
        <w:t>Thomist</w:t>
      </w:r>
      <w:proofErr w:type="spellEnd"/>
      <w:r w:rsidRPr="00A472FC">
        <w:rPr>
          <w:rFonts w:ascii="Times New Roman" w:hAnsi="Times New Roman" w:cs="Times New Roman"/>
          <w:i/>
          <w:iCs/>
        </w:rPr>
        <w:t xml:space="preserve"> </w:t>
      </w:r>
      <w:r w:rsidRPr="00A472FC">
        <w:rPr>
          <w:rFonts w:ascii="Times New Roman" w:hAnsi="Times New Roman" w:cs="Times New Roman"/>
        </w:rPr>
        <w:t>24</w:t>
      </w:r>
      <w:r w:rsidR="00A83004" w:rsidRPr="00A472FC">
        <w:rPr>
          <w:rFonts w:ascii="Times New Roman" w:hAnsi="Times New Roman" w:cs="Times New Roman"/>
        </w:rPr>
        <w:t>:</w:t>
      </w:r>
      <w:r w:rsidRPr="00A472FC">
        <w:rPr>
          <w:rFonts w:ascii="Times New Roman" w:hAnsi="Times New Roman" w:cs="Times New Roman"/>
        </w:rPr>
        <w:t>2 (1961): 257-85.</w:t>
      </w:r>
    </w:p>
    <w:p w14:paraId="2CC08BEA"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‘The Function of the Philosopher in Thirteenth-Century Oxford.’ In </w:t>
      </w:r>
      <w:proofErr w:type="spellStart"/>
      <w:r w:rsidRPr="00A472FC">
        <w:rPr>
          <w:rFonts w:ascii="Times New Roman" w:hAnsi="Times New Roman" w:cs="Times New Roman"/>
          <w:i/>
          <w:iCs/>
        </w:rPr>
        <w:t>Beiträge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zum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Berufsbewusstsein</w:t>
      </w:r>
      <w:proofErr w:type="spellEnd"/>
      <w:r w:rsidRPr="00A472FC">
        <w:rPr>
          <w:rFonts w:ascii="Times New Roman" w:hAnsi="Times New Roman" w:cs="Times New Roman"/>
          <w:i/>
          <w:iCs/>
        </w:rPr>
        <w:t xml:space="preserve"> des </w:t>
      </w:r>
      <w:proofErr w:type="spellStart"/>
      <w:r w:rsidRPr="00A472FC">
        <w:rPr>
          <w:rFonts w:ascii="Times New Roman" w:hAnsi="Times New Roman" w:cs="Times New Roman"/>
          <w:i/>
          <w:iCs/>
        </w:rPr>
        <w:t>mittelalterlichen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Menschen</w:t>
      </w:r>
      <w:proofErr w:type="spellEnd"/>
      <w:r w:rsidRPr="00A472FC">
        <w:rPr>
          <w:rFonts w:ascii="Times New Roman" w:hAnsi="Times New Roman" w:cs="Times New Roman"/>
        </w:rPr>
        <w:t xml:space="preserve">. Edited by Paul </w:t>
      </w:r>
      <w:proofErr w:type="spellStart"/>
      <w:r w:rsidRPr="00A472FC">
        <w:rPr>
          <w:rFonts w:ascii="Times New Roman" w:hAnsi="Times New Roman" w:cs="Times New Roman"/>
        </w:rPr>
        <w:t>Wilpert</w:t>
      </w:r>
      <w:proofErr w:type="spellEnd"/>
      <w:r w:rsidRPr="00A472FC">
        <w:rPr>
          <w:rFonts w:ascii="Times New Roman" w:hAnsi="Times New Roman" w:cs="Times New Roman"/>
        </w:rPr>
        <w:t>, 152-62. Berlin: De Gruyter, 1964.</w:t>
      </w:r>
    </w:p>
    <w:p w14:paraId="0DD3CC4C" w14:textId="77777777" w:rsidR="00A33D61" w:rsidRPr="00A472FC" w:rsidRDefault="00A33D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Carruthers</w:t>
      </w:r>
      <w:proofErr w:type="spellEnd"/>
      <w:r w:rsidRPr="00A472FC">
        <w:rPr>
          <w:rFonts w:ascii="Times New Roman" w:hAnsi="Times New Roman" w:cs="Times New Roman"/>
        </w:rPr>
        <w:t xml:space="preserve">, Mary. </w:t>
      </w:r>
      <w:r w:rsidRPr="00A472FC">
        <w:rPr>
          <w:rFonts w:ascii="Times New Roman" w:hAnsi="Times New Roman" w:cs="Times New Roman"/>
          <w:i/>
          <w:iCs/>
        </w:rPr>
        <w:t xml:space="preserve">The Book of Memory: A Study of Memory in Medieval Culture. </w:t>
      </w:r>
      <w:r w:rsidRPr="00A472FC">
        <w:rPr>
          <w:rFonts w:ascii="Times New Roman" w:hAnsi="Times New Roman" w:cs="Times New Roman"/>
        </w:rPr>
        <w:t xml:space="preserve">Cambridge: Cambridge University Press, 1990. </w:t>
      </w:r>
    </w:p>
    <w:p w14:paraId="1396E41D" w14:textId="0AA8EE8A"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Cappuyns</w:t>
      </w:r>
      <w:proofErr w:type="spellEnd"/>
      <w:r w:rsidRPr="00A472FC">
        <w:rPr>
          <w:rFonts w:ascii="Times New Roman" w:hAnsi="Times New Roman" w:cs="Times New Roman"/>
        </w:rPr>
        <w:t xml:space="preserve">, M. ‘Le de imagine de </w:t>
      </w:r>
      <w:proofErr w:type="spellStart"/>
      <w:r w:rsidRPr="00A472FC">
        <w:rPr>
          <w:rFonts w:ascii="Times New Roman" w:hAnsi="Times New Roman" w:cs="Times New Roman"/>
        </w:rPr>
        <w:t>Gregoire</w:t>
      </w:r>
      <w:proofErr w:type="spellEnd"/>
      <w:r w:rsidRPr="00A472FC">
        <w:rPr>
          <w:rFonts w:ascii="Times New Roman" w:hAnsi="Times New Roman" w:cs="Times New Roman"/>
        </w:rPr>
        <w:t xml:space="preserve"> de </w:t>
      </w:r>
      <w:proofErr w:type="spellStart"/>
      <w:r w:rsidRPr="00A472FC">
        <w:rPr>
          <w:rFonts w:ascii="Times New Roman" w:hAnsi="Times New Roman" w:cs="Times New Roman"/>
        </w:rPr>
        <w:t>Nyssa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Traduit</w:t>
      </w:r>
      <w:proofErr w:type="spellEnd"/>
      <w:r w:rsidRPr="00A472FC">
        <w:rPr>
          <w:rFonts w:ascii="Times New Roman" w:hAnsi="Times New Roman" w:cs="Times New Roman"/>
        </w:rPr>
        <w:t xml:space="preserve"> par John Scot </w:t>
      </w:r>
      <w:proofErr w:type="spellStart"/>
      <w:r w:rsidRPr="00A472FC">
        <w:rPr>
          <w:rFonts w:ascii="Times New Roman" w:hAnsi="Times New Roman" w:cs="Times New Roman"/>
        </w:rPr>
        <w:t>Erigène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iCs/>
        </w:rPr>
        <w:t>Recherches</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théologie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ancienne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médiévale</w:t>
      </w:r>
      <w:proofErr w:type="spellEnd"/>
      <w:r w:rsidRPr="00A472FC">
        <w:rPr>
          <w:rFonts w:ascii="Times New Roman" w:hAnsi="Times New Roman" w:cs="Times New Roman"/>
          <w:i/>
          <w:iCs/>
        </w:rPr>
        <w:t xml:space="preserve"> </w:t>
      </w:r>
      <w:r w:rsidRPr="00A472FC">
        <w:rPr>
          <w:rFonts w:ascii="Times New Roman" w:hAnsi="Times New Roman" w:cs="Times New Roman"/>
        </w:rPr>
        <w:t>32 (1965): 205-62.</w:t>
      </w:r>
    </w:p>
    <w:p w14:paraId="1EB9FB96" w14:textId="47EE69FE"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Casagrande, Carla, and Silvana Vecchio. </w:t>
      </w:r>
      <w:r w:rsidR="000D6FFA" w:rsidRPr="00A472FC">
        <w:rPr>
          <w:rFonts w:ascii="Times New Roman" w:hAnsi="Times New Roman" w:cs="Times New Roman"/>
        </w:rPr>
        <w:t xml:space="preserve">‘Les theories des passions dans la culture </w:t>
      </w:r>
      <w:proofErr w:type="spellStart"/>
      <w:r w:rsidR="000D6FFA" w:rsidRPr="00A472FC">
        <w:rPr>
          <w:rFonts w:ascii="Times New Roman" w:hAnsi="Times New Roman" w:cs="Times New Roman"/>
        </w:rPr>
        <w:t>médiévale</w:t>
      </w:r>
      <w:proofErr w:type="spellEnd"/>
      <w:r w:rsidR="000D6FFA" w:rsidRPr="00A472FC">
        <w:rPr>
          <w:rFonts w:ascii="Times New Roman" w:hAnsi="Times New Roman" w:cs="Times New Roman"/>
        </w:rPr>
        <w:t xml:space="preserve">.’ In </w:t>
      </w:r>
      <w:r w:rsidR="000D6FFA" w:rsidRPr="00A472FC">
        <w:rPr>
          <w:rFonts w:ascii="Times New Roman" w:hAnsi="Times New Roman" w:cs="Times New Roman"/>
          <w:i/>
          <w:iCs/>
        </w:rPr>
        <w:t xml:space="preserve">Le </w:t>
      </w:r>
      <w:proofErr w:type="spellStart"/>
      <w:r w:rsidR="000D6FFA" w:rsidRPr="00A472FC">
        <w:rPr>
          <w:rFonts w:ascii="Times New Roman" w:hAnsi="Times New Roman" w:cs="Times New Roman"/>
          <w:i/>
          <w:iCs/>
        </w:rPr>
        <w:t>sujet</w:t>
      </w:r>
      <w:proofErr w:type="spellEnd"/>
      <w:r w:rsidR="000D6FFA" w:rsidRPr="00A472FC">
        <w:rPr>
          <w:rFonts w:ascii="Times New Roman" w:hAnsi="Times New Roman" w:cs="Times New Roman"/>
          <w:i/>
          <w:iCs/>
        </w:rPr>
        <w:t xml:space="preserve"> des </w:t>
      </w:r>
      <w:proofErr w:type="spellStart"/>
      <w:r w:rsidR="000D6FFA" w:rsidRPr="00A472FC">
        <w:rPr>
          <w:rFonts w:ascii="Times New Roman" w:hAnsi="Times New Roman" w:cs="Times New Roman"/>
          <w:i/>
          <w:iCs/>
        </w:rPr>
        <w:t>émotions</w:t>
      </w:r>
      <w:proofErr w:type="spellEnd"/>
      <w:r w:rsidR="000D6FFA" w:rsidRPr="00A472FC">
        <w:rPr>
          <w:rFonts w:ascii="Times New Roman" w:hAnsi="Times New Roman" w:cs="Times New Roman"/>
          <w:i/>
          <w:iCs/>
        </w:rPr>
        <w:t xml:space="preserve"> au </w:t>
      </w:r>
      <w:proofErr w:type="spellStart"/>
      <w:r w:rsidR="000D6FFA" w:rsidRPr="00A472FC">
        <w:rPr>
          <w:rFonts w:ascii="Times New Roman" w:hAnsi="Times New Roman" w:cs="Times New Roman"/>
          <w:i/>
          <w:iCs/>
        </w:rPr>
        <w:t>Moyen</w:t>
      </w:r>
      <w:proofErr w:type="spellEnd"/>
      <w:r w:rsidR="000D6FFA" w:rsidRPr="00A472FC">
        <w:rPr>
          <w:rFonts w:ascii="Times New Roman" w:hAnsi="Times New Roman" w:cs="Times New Roman"/>
          <w:i/>
          <w:iCs/>
        </w:rPr>
        <w:t xml:space="preserve"> Age</w:t>
      </w:r>
      <w:r w:rsidR="000D6FFA" w:rsidRPr="00A472FC">
        <w:rPr>
          <w:rFonts w:ascii="Times New Roman" w:hAnsi="Times New Roman" w:cs="Times New Roman"/>
        </w:rPr>
        <w:t xml:space="preserve">. Edited by </w:t>
      </w:r>
      <w:proofErr w:type="spellStart"/>
      <w:r w:rsidR="000D6FFA" w:rsidRPr="00A472FC">
        <w:rPr>
          <w:rFonts w:ascii="Times New Roman" w:hAnsi="Times New Roman" w:cs="Times New Roman"/>
        </w:rPr>
        <w:t>Piroska</w:t>
      </w:r>
      <w:proofErr w:type="spellEnd"/>
      <w:r w:rsidR="000D6FFA" w:rsidRPr="00A472FC">
        <w:rPr>
          <w:rFonts w:ascii="Times New Roman" w:hAnsi="Times New Roman" w:cs="Times New Roman"/>
        </w:rPr>
        <w:t xml:space="preserve"> Nagy and Damien </w:t>
      </w:r>
      <w:proofErr w:type="spellStart"/>
      <w:r w:rsidR="000D6FFA" w:rsidRPr="00A472FC">
        <w:rPr>
          <w:rFonts w:ascii="Times New Roman" w:hAnsi="Times New Roman" w:cs="Times New Roman"/>
        </w:rPr>
        <w:t>Boquet</w:t>
      </w:r>
      <w:proofErr w:type="spellEnd"/>
      <w:r w:rsidR="000D6FFA" w:rsidRPr="00A472FC">
        <w:rPr>
          <w:rFonts w:ascii="Times New Roman" w:hAnsi="Times New Roman" w:cs="Times New Roman"/>
        </w:rPr>
        <w:t xml:space="preserve">, 107-22. Paris: </w:t>
      </w:r>
      <w:proofErr w:type="spellStart"/>
      <w:r w:rsidR="000D6FFA" w:rsidRPr="00A472FC">
        <w:rPr>
          <w:rFonts w:ascii="Times New Roman" w:hAnsi="Times New Roman" w:cs="Times New Roman"/>
        </w:rPr>
        <w:t>Beauchesne</w:t>
      </w:r>
      <w:proofErr w:type="spellEnd"/>
      <w:r w:rsidR="000D6FFA" w:rsidRPr="00A472FC">
        <w:rPr>
          <w:rFonts w:ascii="Times New Roman" w:hAnsi="Times New Roman" w:cs="Times New Roman"/>
        </w:rPr>
        <w:t xml:space="preserve">, 2008. </w:t>
      </w:r>
    </w:p>
    <w:p w14:paraId="5FF5752B" w14:textId="71F6D4E1"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000D6FFA" w:rsidRPr="00A472FC">
        <w:rPr>
          <w:rFonts w:ascii="Times New Roman" w:hAnsi="Times New Roman" w:cs="Times New Roman"/>
          <w:i/>
          <w:iCs/>
        </w:rPr>
        <w:t>Passioni</w:t>
      </w:r>
      <w:proofErr w:type="spellEnd"/>
      <w:r w:rsidR="000D6FFA" w:rsidRPr="00A472FC">
        <w:rPr>
          <w:rFonts w:ascii="Times New Roman" w:hAnsi="Times New Roman" w:cs="Times New Roman"/>
          <w:i/>
          <w:iCs/>
        </w:rPr>
        <w:t xml:space="preserve"> </w:t>
      </w:r>
      <w:proofErr w:type="spellStart"/>
      <w:r w:rsidR="000D6FFA" w:rsidRPr="00A472FC">
        <w:rPr>
          <w:rFonts w:ascii="Times New Roman" w:hAnsi="Times New Roman" w:cs="Times New Roman"/>
          <w:i/>
          <w:iCs/>
        </w:rPr>
        <w:t>dell’anima</w:t>
      </w:r>
      <w:proofErr w:type="spellEnd"/>
      <w:r w:rsidR="006D7035" w:rsidRPr="00A472FC">
        <w:rPr>
          <w:rFonts w:ascii="Times New Roman" w:hAnsi="Times New Roman" w:cs="Times New Roman"/>
          <w:i/>
          <w:iCs/>
        </w:rPr>
        <w:t>:</w:t>
      </w:r>
      <w:r w:rsidR="000D6FFA" w:rsidRPr="00A472FC">
        <w:rPr>
          <w:rFonts w:ascii="Times New Roman" w:hAnsi="Times New Roman" w:cs="Times New Roman"/>
          <w:i/>
          <w:iCs/>
        </w:rPr>
        <w:t xml:space="preserve"> </w:t>
      </w:r>
      <w:proofErr w:type="spellStart"/>
      <w:r w:rsidR="0094569E" w:rsidRPr="00A472FC">
        <w:rPr>
          <w:rFonts w:ascii="Times New Roman" w:hAnsi="Times New Roman" w:cs="Times New Roman"/>
          <w:i/>
          <w:iCs/>
        </w:rPr>
        <w:t>t</w:t>
      </w:r>
      <w:r w:rsidR="000D6FFA" w:rsidRPr="00A472FC">
        <w:rPr>
          <w:rFonts w:ascii="Times New Roman" w:hAnsi="Times New Roman" w:cs="Times New Roman"/>
          <w:i/>
          <w:iCs/>
        </w:rPr>
        <w:t>eorie</w:t>
      </w:r>
      <w:proofErr w:type="spellEnd"/>
      <w:r w:rsidR="000D6FFA" w:rsidRPr="00A472FC">
        <w:rPr>
          <w:rFonts w:ascii="Times New Roman" w:hAnsi="Times New Roman" w:cs="Times New Roman"/>
          <w:i/>
          <w:iCs/>
        </w:rPr>
        <w:t xml:space="preserve"> e </w:t>
      </w:r>
      <w:proofErr w:type="spellStart"/>
      <w:r w:rsidR="000D6FFA" w:rsidRPr="00A472FC">
        <w:rPr>
          <w:rFonts w:ascii="Times New Roman" w:hAnsi="Times New Roman" w:cs="Times New Roman"/>
          <w:i/>
          <w:iCs/>
        </w:rPr>
        <w:t>usi</w:t>
      </w:r>
      <w:proofErr w:type="spellEnd"/>
      <w:r w:rsidR="000D6FFA" w:rsidRPr="00A472FC">
        <w:rPr>
          <w:rFonts w:ascii="Times New Roman" w:hAnsi="Times New Roman" w:cs="Times New Roman"/>
          <w:i/>
          <w:iCs/>
        </w:rPr>
        <w:t xml:space="preserve"> degli </w:t>
      </w:r>
      <w:proofErr w:type="spellStart"/>
      <w:r w:rsidR="000D6FFA" w:rsidRPr="00A472FC">
        <w:rPr>
          <w:rFonts w:ascii="Times New Roman" w:hAnsi="Times New Roman" w:cs="Times New Roman"/>
          <w:i/>
          <w:iCs/>
        </w:rPr>
        <w:t>affetti</w:t>
      </w:r>
      <w:proofErr w:type="spellEnd"/>
      <w:r w:rsidR="000D6FFA" w:rsidRPr="00A472FC">
        <w:rPr>
          <w:rFonts w:ascii="Times New Roman" w:hAnsi="Times New Roman" w:cs="Times New Roman"/>
          <w:i/>
          <w:iCs/>
        </w:rPr>
        <w:t xml:space="preserve"> </w:t>
      </w:r>
      <w:proofErr w:type="spellStart"/>
      <w:r w:rsidR="000D6FFA" w:rsidRPr="00A472FC">
        <w:rPr>
          <w:rFonts w:ascii="Times New Roman" w:hAnsi="Times New Roman" w:cs="Times New Roman"/>
          <w:i/>
          <w:iCs/>
        </w:rPr>
        <w:t>nella</w:t>
      </w:r>
      <w:proofErr w:type="spellEnd"/>
      <w:r w:rsidR="000D6FFA" w:rsidRPr="00A472FC">
        <w:rPr>
          <w:rFonts w:ascii="Times New Roman" w:hAnsi="Times New Roman" w:cs="Times New Roman"/>
          <w:i/>
          <w:iCs/>
        </w:rPr>
        <w:t xml:space="preserve"> </w:t>
      </w:r>
      <w:proofErr w:type="spellStart"/>
      <w:r w:rsidR="000D6FFA" w:rsidRPr="00A472FC">
        <w:rPr>
          <w:rFonts w:ascii="Times New Roman" w:hAnsi="Times New Roman" w:cs="Times New Roman"/>
          <w:i/>
          <w:iCs/>
        </w:rPr>
        <w:t>cultura</w:t>
      </w:r>
      <w:proofErr w:type="spellEnd"/>
      <w:r w:rsidR="000D6FFA" w:rsidRPr="00A472FC">
        <w:rPr>
          <w:rFonts w:ascii="Times New Roman" w:hAnsi="Times New Roman" w:cs="Times New Roman"/>
          <w:i/>
          <w:iCs/>
        </w:rPr>
        <w:t xml:space="preserve"> </w:t>
      </w:r>
      <w:proofErr w:type="spellStart"/>
      <w:r w:rsidR="000D6FFA" w:rsidRPr="00A472FC">
        <w:rPr>
          <w:rFonts w:ascii="Times New Roman" w:hAnsi="Times New Roman" w:cs="Times New Roman"/>
          <w:i/>
          <w:iCs/>
        </w:rPr>
        <w:t>medievale</w:t>
      </w:r>
      <w:proofErr w:type="spellEnd"/>
      <w:r w:rsidR="000D6FFA" w:rsidRPr="00A472FC">
        <w:rPr>
          <w:rFonts w:ascii="Times New Roman" w:hAnsi="Times New Roman" w:cs="Times New Roman"/>
          <w:i/>
          <w:iCs/>
        </w:rPr>
        <w:t>.</w:t>
      </w:r>
      <w:r w:rsidR="000D6FFA" w:rsidRPr="00A472FC">
        <w:rPr>
          <w:rFonts w:ascii="Times New Roman" w:hAnsi="Times New Roman" w:cs="Times New Roman"/>
        </w:rPr>
        <w:t xml:space="preserve"> Firenze: </w:t>
      </w:r>
      <w:proofErr w:type="spellStart"/>
      <w:r w:rsidR="000D6FFA" w:rsidRPr="00A472FC">
        <w:rPr>
          <w:rFonts w:ascii="Times New Roman" w:hAnsi="Times New Roman" w:cs="Times New Roman"/>
        </w:rPr>
        <w:t>Sismel-Ed</w:t>
      </w:r>
      <w:proofErr w:type="spellEnd"/>
      <w:r w:rsidR="000D6FFA" w:rsidRPr="00A472FC">
        <w:rPr>
          <w:rFonts w:ascii="Times New Roman" w:hAnsi="Times New Roman" w:cs="Times New Roman"/>
        </w:rPr>
        <w:t xml:space="preserve">. del </w:t>
      </w:r>
      <w:proofErr w:type="spellStart"/>
      <w:r w:rsidR="000D6FFA" w:rsidRPr="00A472FC">
        <w:rPr>
          <w:rFonts w:ascii="Times New Roman" w:hAnsi="Times New Roman" w:cs="Times New Roman"/>
        </w:rPr>
        <w:t>Galluzzo</w:t>
      </w:r>
      <w:proofErr w:type="spellEnd"/>
      <w:r w:rsidR="000D6FFA" w:rsidRPr="00A472FC">
        <w:rPr>
          <w:rFonts w:ascii="Times New Roman" w:hAnsi="Times New Roman" w:cs="Times New Roman"/>
        </w:rPr>
        <w:t>, 2015.</w:t>
      </w:r>
    </w:p>
    <w:p w14:paraId="669CDDFE" w14:textId="5CE2FD54"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Casgrande</w:t>
      </w:r>
      <w:proofErr w:type="spellEnd"/>
      <w:r w:rsidRPr="00A472FC">
        <w:rPr>
          <w:rFonts w:ascii="Times New Roman" w:hAnsi="Times New Roman" w:cs="Times New Roman"/>
        </w:rPr>
        <w:t>, Carla. ‘</w:t>
      </w:r>
      <w:proofErr w:type="spellStart"/>
      <w:r w:rsidRPr="00A472FC">
        <w:rPr>
          <w:rFonts w:ascii="Times New Roman" w:hAnsi="Times New Roman" w:cs="Times New Roman"/>
        </w:rPr>
        <w:t>Agostino</w:t>
      </w:r>
      <w:proofErr w:type="spellEnd"/>
      <w:r w:rsidRPr="00A472FC">
        <w:rPr>
          <w:rFonts w:ascii="Times New Roman" w:hAnsi="Times New Roman" w:cs="Times New Roman"/>
        </w:rPr>
        <w:t xml:space="preserve">, I </w:t>
      </w:r>
      <w:proofErr w:type="spellStart"/>
      <w:r w:rsidRPr="00A472FC">
        <w:rPr>
          <w:rFonts w:ascii="Times New Roman" w:hAnsi="Times New Roman" w:cs="Times New Roman"/>
        </w:rPr>
        <w:t>medievali</w:t>
      </w:r>
      <w:proofErr w:type="spellEnd"/>
      <w:r w:rsidRPr="00A472FC">
        <w:rPr>
          <w:rFonts w:ascii="Times New Roman" w:hAnsi="Times New Roman" w:cs="Times New Roman"/>
        </w:rPr>
        <w:t xml:space="preserve"> e il </w:t>
      </w:r>
      <w:proofErr w:type="spellStart"/>
      <w:r w:rsidRPr="00A472FC">
        <w:rPr>
          <w:rFonts w:ascii="Times New Roman" w:hAnsi="Times New Roman" w:cs="Times New Roman"/>
        </w:rPr>
        <w:t>buon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uso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delle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passioni</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i/>
          <w:iCs/>
        </w:rPr>
        <w:t>Agostino</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d’Ippona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Presenza</w:t>
      </w:r>
      <w:proofErr w:type="spellEnd"/>
      <w:r w:rsidRPr="00A472FC">
        <w:rPr>
          <w:rFonts w:ascii="Times New Roman" w:hAnsi="Times New Roman" w:cs="Times New Roman"/>
          <w:i/>
          <w:iCs/>
        </w:rPr>
        <w:t xml:space="preserve"> e </w:t>
      </w:r>
      <w:proofErr w:type="spellStart"/>
      <w:r w:rsidRPr="00A472FC">
        <w:rPr>
          <w:rFonts w:ascii="Times New Roman" w:hAnsi="Times New Roman" w:cs="Times New Roman"/>
          <w:i/>
          <w:iCs/>
        </w:rPr>
        <w:t>pensiero</w:t>
      </w:r>
      <w:proofErr w:type="spellEnd"/>
      <w:r w:rsidR="003B0062" w:rsidRPr="00A472FC">
        <w:rPr>
          <w:rFonts w:ascii="Times New Roman" w:hAnsi="Times New Roman" w:cs="Times New Roman"/>
          <w:i/>
          <w:iCs/>
        </w:rPr>
        <w:t>:</w:t>
      </w:r>
      <w:r w:rsidRPr="00A472FC">
        <w:rPr>
          <w:rFonts w:ascii="Times New Roman" w:hAnsi="Times New Roman" w:cs="Times New Roman"/>
          <w:i/>
          <w:iCs/>
        </w:rPr>
        <w:t xml:space="preserve"> La </w:t>
      </w:r>
      <w:proofErr w:type="spellStart"/>
      <w:r w:rsidRPr="00A472FC">
        <w:rPr>
          <w:rFonts w:ascii="Times New Roman" w:hAnsi="Times New Roman" w:cs="Times New Roman"/>
          <w:i/>
          <w:iCs/>
        </w:rPr>
        <w:t>scoperta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dell’interiorità</w:t>
      </w:r>
      <w:proofErr w:type="spellEnd"/>
      <w:r w:rsidRPr="00A472FC">
        <w:rPr>
          <w:rFonts w:ascii="Times New Roman" w:hAnsi="Times New Roman" w:cs="Times New Roman"/>
        </w:rPr>
        <w:t xml:space="preserve">. Edited by A. </w:t>
      </w:r>
      <w:proofErr w:type="spellStart"/>
      <w:r w:rsidRPr="00A472FC">
        <w:rPr>
          <w:rFonts w:ascii="Times New Roman" w:hAnsi="Times New Roman" w:cs="Times New Roman"/>
        </w:rPr>
        <w:t>Marini</w:t>
      </w:r>
      <w:proofErr w:type="spellEnd"/>
      <w:r w:rsidRPr="00A472FC">
        <w:rPr>
          <w:rFonts w:ascii="Times New Roman" w:hAnsi="Times New Roman" w:cs="Times New Roman"/>
        </w:rPr>
        <w:t xml:space="preserve">, 65-75. Milan: Franco </w:t>
      </w:r>
      <w:proofErr w:type="spellStart"/>
      <w:r w:rsidRPr="00A472FC">
        <w:rPr>
          <w:rFonts w:ascii="Times New Roman" w:hAnsi="Times New Roman" w:cs="Times New Roman"/>
        </w:rPr>
        <w:t>Angeli</w:t>
      </w:r>
      <w:proofErr w:type="spellEnd"/>
      <w:r w:rsidRPr="00A472FC">
        <w:rPr>
          <w:rFonts w:ascii="Times New Roman" w:hAnsi="Times New Roman" w:cs="Times New Roman"/>
        </w:rPr>
        <w:t>, 2004.</w:t>
      </w:r>
    </w:p>
    <w:p w14:paraId="2AFD3E47" w14:textId="4DDF5FCD" w:rsidR="006A6E61" w:rsidRPr="00A472FC" w:rsidRDefault="006A6E61" w:rsidP="00881604">
      <w:pPr>
        <w:autoSpaceDE w:val="0"/>
        <w:autoSpaceDN w:val="0"/>
        <w:adjustRightInd w:val="0"/>
        <w:ind w:left="720" w:right="-52" w:hanging="720"/>
        <w:rPr>
          <w:rFonts w:ascii="Times New Roman" w:hAnsi="Times New Roman" w:cs="Times New Roman"/>
          <w:lang w:val="it-IT"/>
        </w:rPr>
      </w:pPr>
      <w:r w:rsidRPr="00A472FC">
        <w:rPr>
          <w:rFonts w:ascii="Times New Roman" w:hAnsi="Times New Roman" w:cs="Times New Roman"/>
          <w:lang w:val="it-IT"/>
        </w:rPr>
        <w:t xml:space="preserve">Catalani, L. </w:t>
      </w:r>
      <w:r w:rsidRPr="00A472FC">
        <w:rPr>
          <w:rFonts w:ascii="Times New Roman" w:hAnsi="Times New Roman" w:cs="Times New Roman"/>
          <w:i/>
          <w:iCs/>
          <w:lang w:val="it-IT"/>
        </w:rPr>
        <w:t xml:space="preserve">I </w:t>
      </w:r>
      <w:proofErr w:type="spellStart"/>
      <w:r w:rsidRPr="00A472FC">
        <w:rPr>
          <w:rFonts w:ascii="Times New Roman" w:hAnsi="Times New Roman" w:cs="Times New Roman"/>
          <w:i/>
          <w:iCs/>
          <w:lang w:val="it-IT"/>
        </w:rPr>
        <w:t>Porretani</w:t>
      </w:r>
      <w:proofErr w:type="spellEnd"/>
      <w:r w:rsidRPr="00A472FC">
        <w:rPr>
          <w:rFonts w:ascii="Times New Roman" w:hAnsi="Times New Roman" w:cs="Times New Roman"/>
          <w:i/>
          <w:iCs/>
          <w:lang w:val="it-IT"/>
        </w:rPr>
        <w:t xml:space="preserve">. Una scuola di pensiero tra alto e basso </w:t>
      </w:r>
      <w:r w:rsidR="003746E8" w:rsidRPr="00A472FC">
        <w:rPr>
          <w:rFonts w:ascii="Times New Roman" w:hAnsi="Times New Roman" w:cs="Times New Roman"/>
          <w:i/>
          <w:iCs/>
          <w:lang w:val="it-IT"/>
        </w:rPr>
        <w:t>m</w:t>
      </w:r>
      <w:r w:rsidRPr="00A472FC">
        <w:rPr>
          <w:rFonts w:ascii="Times New Roman" w:hAnsi="Times New Roman" w:cs="Times New Roman"/>
          <w:i/>
          <w:iCs/>
          <w:lang w:val="it-IT"/>
        </w:rPr>
        <w:t>edioevo</w:t>
      </w:r>
      <w:r w:rsidRPr="00A472FC">
        <w:rPr>
          <w:rFonts w:ascii="Times New Roman" w:hAnsi="Times New Roman" w:cs="Times New Roman"/>
          <w:lang w:val="it-IT"/>
        </w:rPr>
        <w:t xml:space="preserve">. </w:t>
      </w:r>
      <w:proofErr w:type="spellStart"/>
      <w:r w:rsidRPr="00A472FC">
        <w:rPr>
          <w:rFonts w:ascii="Times New Roman" w:hAnsi="Times New Roman" w:cs="Times New Roman"/>
          <w:lang w:val="it-IT"/>
        </w:rPr>
        <w:t>Turnhout</w:t>
      </w:r>
      <w:proofErr w:type="spellEnd"/>
      <w:r w:rsidRPr="00A472FC">
        <w:rPr>
          <w:rFonts w:ascii="Times New Roman" w:hAnsi="Times New Roman" w:cs="Times New Roman"/>
          <w:lang w:val="it-IT"/>
        </w:rPr>
        <w:t xml:space="preserve">: </w:t>
      </w:r>
      <w:proofErr w:type="spellStart"/>
      <w:r w:rsidRPr="00A472FC">
        <w:rPr>
          <w:rFonts w:ascii="Times New Roman" w:hAnsi="Times New Roman" w:cs="Times New Roman"/>
          <w:lang w:val="it-IT"/>
        </w:rPr>
        <w:t>Brepols</w:t>
      </w:r>
      <w:proofErr w:type="spellEnd"/>
      <w:r w:rsidRPr="00A472FC">
        <w:rPr>
          <w:rFonts w:ascii="Times New Roman" w:hAnsi="Times New Roman" w:cs="Times New Roman"/>
          <w:lang w:val="it-IT"/>
        </w:rPr>
        <w:t>, 2008.</w:t>
      </w:r>
    </w:p>
    <w:p w14:paraId="504AFDF0" w14:textId="3B8A0C2E" w:rsidR="006A6E61" w:rsidRPr="00A472FC" w:rsidRDefault="006A6E61" w:rsidP="00881604">
      <w:pPr>
        <w:autoSpaceDE w:val="0"/>
        <w:autoSpaceDN w:val="0"/>
        <w:adjustRightInd w:val="0"/>
        <w:ind w:left="720" w:right="-52" w:hanging="720"/>
        <w:rPr>
          <w:rFonts w:ascii="Times New Roman" w:hAnsi="Times New Roman" w:cs="Times New Roman"/>
          <w:lang w:val="en-US"/>
        </w:rPr>
      </w:pPr>
      <w:proofErr w:type="spellStart"/>
      <w:r w:rsidRPr="00A472FC">
        <w:rPr>
          <w:rFonts w:ascii="Times New Roman" w:eastAsia="Times New Roman" w:hAnsi="Times New Roman" w:cs="Times New Roman"/>
          <w:color w:val="000000"/>
        </w:rPr>
        <w:t>Châtillon</w:t>
      </w:r>
      <w:proofErr w:type="spellEnd"/>
      <w:r w:rsidRPr="00A472FC">
        <w:rPr>
          <w:rFonts w:ascii="Times New Roman" w:eastAsia="Times New Roman" w:hAnsi="Times New Roman" w:cs="Times New Roman"/>
          <w:color w:val="000000"/>
        </w:rPr>
        <w:t>, Jean. ‘</w:t>
      </w:r>
      <w:r w:rsidRPr="00A472FC">
        <w:rPr>
          <w:rFonts w:ascii="Times New Roman" w:hAnsi="Times New Roman" w:cs="Times New Roman"/>
          <w:lang w:val="en-US"/>
        </w:rPr>
        <w:t xml:space="preserve">Guillaume de Saint-Thierry, </w:t>
      </w:r>
      <w:proofErr w:type="spellStart"/>
      <w:r w:rsidRPr="00A472FC">
        <w:rPr>
          <w:rFonts w:ascii="Times New Roman" w:hAnsi="Times New Roman" w:cs="Times New Roman"/>
          <w:lang w:val="en-US"/>
        </w:rPr>
        <w:t>le</w:t>
      </w:r>
      <w:proofErr w:type="spellEnd"/>
      <w:r w:rsidRPr="00A472FC">
        <w:rPr>
          <w:rFonts w:ascii="Times New Roman" w:hAnsi="Times New Roman" w:cs="Times New Roman"/>
          <w:lang w:val="en-US"/>
        </w:rPr>
        <w:t xml:space="preserve"> </w:t>
      </w:r>
      <w:proofErr w:type="spellStart"/>
      <w:r w:rsidRPr="00A472FC">
        <w:rPr>
          <w:rFonts w:ascii="Times New Roman" w:hAnsi="Times New Roman" w:cs="Times New Roman"/>
          <w:lang w:val="en-US"/>
        </w:rPr>
        <w:t>monachisme</w:t>
      </w:r>
      <w:proofErr w:type="spellEnd"/>
      <w:r w:rsidRPr="00A472FC">
        <w:rPr>
          <w:rFonts w:ascii="Times New Roman" w:hAnsi="Times New Roman" w:cs="Times New Roman"/>
          <w:lang w:val="en-US"/>
        </w:rPr>
        <w:t xml:space="preserve"> et les </w:t>
      </w:r>
      <w:proofErr w:type="spellStart"/>
      <w:r w:rsidRPr="00A472FC">
        <w:rPr>
          <w:rFonts w:ascii="Times New Roman" w:hAnsi="Times New Roman" w:cs="Times New Roman"/>
          <w:lang w:val="en-US"/>
        </w:rPr>
        <w:t>ecoles</w:t>
      </w:r>
      <w:proofErr w:type="spellEnd"/>
      <w:r w:rsidRPr="00A472FC">
        <w:rPr>
          <w:rFonts w:ascii="Times New Roman" w:hAnsi="Times New Roman" w:cs="Times New Roman"/>
          <w:lang w:val="en-US"/>
        </w:rPr>
        <w:t xml:space="preserve">: A </w:t>
      </w:r>
      <w:proofErr w:type="spellStart"/>
      <w:r w:rsidRPr="00A472FC">
        <w:rPr>
          <w:rFonts w:ascii="Times New Roman" w:hAnsi="Times New Roman" w:cs="Times New Roman"/>
          <w:lang w:val="en-US"/>
        </w:rPr>
        <w:t>propos</w:t>
      </w:r>
      <w:proofErr w:type="spellEnd"/>
      <w:r w:rsidRPr="00A472FC">
        <w:rPr>
          <w:rFonts w:ascii="Times New Roman" w:hAnsi="Times New Roman" w:cs="Times New Roman"/>
          <w:lang w:val="en-US"/>
        </w:rPr>
        <w:t xml:space="preserve"> de Rupert de Deutz, d'Abelard et de Guillaume de Conches.’ In </w:t>
      </w:r>
      <w:r w:rsidRPr="00A472FC">
        <w:rPr>
          <w:rFonts w:ascii="Times New Roman" w:hAnsi="Times New Roman" w:cs="Times New Roman"/>
          <w:i/>
          <w:lang w:val="en-US"/>
        </w:rPr>
        <w:t xml:space="preserve">Saint-Thierry: </w:t>
      </w:r>
      <w:proofErr w:type="spellStart"/>
      <w:r w:rsidRPr="00A472FC">
        <w:rPr>
          <w:rFonts w:ascii="Times New Roman" w:hAnsi="Times New Roman" w:cs="Times New Roman"/>
          <w:i/>
          <w:lang w:val="en-US"/>
        </w:rPr>
        <w:t>Une</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abbaye</w:t>
      </w:r>
      <w:proofErr w:type="spellEnd"/>
      <w:r w:rsidRPr="00A472FC">
        <w:rPr>
          <w:rFonts w:ascii="Times New Roman" w:hAnsi="Times New Roman" w:cs="Times New Roman"/>
          <w:i/>
          <w:lang w:val="en-US"/>
        </w:rPr>
        <w:t xml:space="preserve"> du </w:t>
      </w:r>
      <w:proofErr w:type="spellStart"/>
      <w:r w:rsidRPr="00A472FC">
        <w:rPr>
          <w:rFonts w:ascii="Times New Roman" w:hAnsi="Times New Roman" w:cs="Times New Roman"/>
          <w:i/>
          <w:lang w:val="en-US"/>
        </w:rPr>
        <w:t>IVe</w:t>
      </w:r>
      <w:proofErr w:type="spellEnd"/>
      <w:r w:rsidRPr="00A472FC">
        <w:rPr>
          <w:rFonts w:ascii="Times New Roman" w:hAnsi="Times New Roman" w:cs="Times New Roman"/>
          <w:i/>
          <w:lang w:val="en-US"/>
        </w:rPr>
        <w:t xml:space="preserve"> au </w:t>
      </w:r>
      <w:proofErr w:type="spellStart"/>
      <w:r w:rsidRPr="00A472FC">
        <w:rPr>
          <w:rFonts w:ascii="Times New Roman" w:hAnsi="Times New Roman" w:cs="Times New Roman"/>
          <w:i/>
          <w:lang w:val="en-US"/>
        </w:rPr>
        <w:t>XXe</w:t>
      </w:r>
      <w:proofErr w:type="spellEnd"/>
      <w:r w:rsidRPr="00A472FC">
        <w:rPr>
          <w:rFonts w:ascii="Times New Roman" w:hAnsi="Times New Roman" w:cs="Times New Roman"/>
          <w:i/>
          <w:lang w:val="en-US"/>
        </w:rPr>
        <w:t xml:space="preserve"> siècle, </w:t>
      </w:r>
      <w:r w:rsidRPr="00A472FC">
        <w:rPr>
          <w:rFonts w:ascii="Times New Roman" w:hAnsi="Times New Roman" w:cs="Times New Roman"/>
          <w:lang w:val="en-US"/>
        </w:rPr>
        <w:t xml:space="preserve">375-94. </w:t>
      </w:r>
      <w:proofErr w:type="spellStart"/>
      <w:r w:rsidRPr="00A472FC">
        <w:rPr>
          <w:rFonts w:ascii="Times New Roman" w:hAnsi="Times New Roman" w:cs="Times New Roman"/>
          <w:lang w:val="en-US"/>
        </w:rPr>
        <w:t>Actes</w:t>
      </w:r>
      <w:proofErr w:type="spellEnd"/>
      <w:r w:rsidRPr="00A472FC">
        <w:rPr>
          <w:rFonts w:ascii="Times New Roman" w:hAnsi="Times New Roman" w:cs="Times New Roman"/>
          <w:lang w:val="en-US"/>
        </w:rPr>
        <w:t xml:space="preserve"> du </w:t>
      </w:r>
      <w:proofErr w:type="spellStart"/>
      <w:r w:rsidRPr="00A472FC">
        <w:rPr>
          <w:rFonts w:ascii="Times New Roman" w:hAnsi="Times New Roman" w:cs="Times New Roman"/>
          <w:lang w:val="en-US"/>
        </w:rPr>
        <w:t>colloque</w:t>
      </w:r>
      <w:proofErr w:type="spellEnd"/>
      <w:r w:rsidRPr="00A472FC">
        <w:rPr>
          <w:rFonts w:ascii="Times New Roman" w:hAnsi="Times New Roman" w:cs="Times New Roman"/>
          <w:lang w:val="en-US"/>
        </w:rPr>
        <w:t xml:space="preserve"> international </w:t>
      </w:r>
      <w:proofErr w:type="spellStart"/>
      <w:r w:rsidRPr="00A472FC">
        <w:rPr>
          <w:rFonts w:ascii="Times New Roman" w:hAnsi="Times New Roman" w:cs="Times New Roman"/>
          <w:lang w:val="en-US"/>
        </w:rPr>
        <w:t>d'histoire</w:t>
      </w:r>
      <w:proofErr w:type="spellEnd"/>
      <w:r w:rsidRPr="00A472FC">
        <w:rPr>
          <w:rFonts w:ascii="Times New Roman" w:hAnsi="Times New Roman" w:cs="Times New Roman"/>
          <w:lang w:val="en-US"/>
        </w:rPr>
        <w:t xml:space="preserve"> </w:t>
      </w:r>
      <w:proofErr w:type="spellStart"/>
      <w:r w:rsidRPr="00A472FC">
        <w:rPr>
          <w:rFonts w:ascii="Times New Roman" w:hAnsi="Times New Roman" w:cs="Times New Roman"/>
          <w:lang w:val="en-US"/>
        </w:rPr>
        <w:t>monastique</w:t>
      </w:r>
      <w:proofErr w:type="spellEnd"/>
      <w:r w:rsidRPr="00A472FC">
        <w:rPr>
          <w:rFonts w:ascii="Times New Roman" w:hAnsi="Times New Roman" w:cs="Times New Roman"/>
          <w:lang w:val="en-US"/>
        </w:rPr>
        <w:t xml:space="preserve">: Reims, Saint-Thierry, 1976. </w:t>
      </w:r>
    </w:p>
    <w:p w14:paraId="67FCB95A"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‘Le </w:t>
      </w:r>
      <w:proofErr w:type="spellStart"/>
      <w:r w:rsidRPr="00A472FC">
        <w:rPr>
          <w:rFonts w:ascii="Times New Roman" w:hAnsi="Times New Roman" w:cs="Times New Roman"/>
        </w:rPr>
        <w:t>Mouvement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théologique</w:t>
      </w:r>
      <w:proofErr w:type="spellEnd"/>
      <w:r w:rsidRPr="00A472FC">
        <w:rPr>
          <w:rFonts w:ascii="Times New Roman" w:hAnsi="Times New Roman" w:cs="Times New Roman"/>
        </w:rPr>
        <w:t xml:space="preserve"> dans la France de Philippe Auguste.’ in </w:t>
      </w:r>
      <w:r w:rsidRPr="00A472FC">
        <w:rPr>
          <w:rFonts w:ascii="Times New Roman" w:hAnsi="Times New Roman" w:cs="Times New Roman"/>
          <w:i/>
        </w:rPr>
        <w:t>La France de Philippe Auguste: Le Temps des Mutations</w:t>
      </w:r>
      <w:r w:rsidRPr="00A472FC">
        <w:rPr>
          <w:rFonts w:ascii="Times New Roman" w:hAnsi="Times New Roman" w:cs="Times New Roman"/>
          <w:iCs/>
        </w:rPr>
        <w:t>. Edited by</w:t>
      </w:r>
      <w:r w:rsidRPr="00A472FC">
        <w:rPr>
          <w:rFonts w:ascii="Times New Roman" w:hAnsi="Times New Roman" w:cs="Times New Roman"/>
        </w:rPr>
        <w:t xml:space="preserve"> Robert-Henri </w:t>
      </w:r>
      <w:proofErr w:type="spellStart"/>
      <w:r w:rsidRPr="00A472FC">
        <w:rPr>
          <w:rFonts w:ascii="Times New Roman" w:hAnsi="Times New Roman" w:cs="Times New Roman"/>
        </w:rPr>
        <w:t>Bautier</w:t>
      </w:r>
      <w:proofErr w:type="spellEnd"/>
      <w:r w:rsidRPr="00A472FC">
        <w:rPr>
          <w:rFonts w:ascii="Times New Roman" w:hAnsi="Times New Roman" w:cs="Times New Roman"/>
        </w:rPr>
        <w:t>, 881-904. Paris: CNRS, 1982.</w:t>
      </w:r>
    </w:p>
    <w:p w14:paraId="655F9160" w14:textId="38795D04"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Chenu</w:t>
      </w:r>
      <w:proofErr w:type="spellEnd"/>
      <w:r w:rsidRPr="00A472FC">
        <w:rPr>
          <w:rFonts w:ascii="Times New Roman" w:hAnsi="Times New Roman" w:cs="Times New Roman"/>
        </w:rPr>
        <w:t xml:space="preserve">, Marie-Dominique. </w:t>
      </w:r>
      <w:r w:rsidRPr="00A472FC">
        <w:rPr>
          <w:rFonts w:ascii="Times New Roman" w:hAnsi="Times New Roman" w:cs="Times New Roman"/>
          <w:i/>
          <w:iCs/>
        </w:rPr>
        <w:t xml:space="preserve">La </w:t>
      </w:r>
      <w:proofErr w:type="spellStart"/>
      <w:r w:rsidRPr="00A472FC">
        <w:rPr>
          <w:rFonts w:ascii="Times New Roman" w:hAnsi="Times New Roman" w:cs="Times New Roman"/>
          <w:i/>
          <w:iCs/>
        </w:rPr>
        <w:t>théologie</w:t>
      </w:r>
      <w:proofErr w:type="spellEnd"/>
      <w:r w:rsidRPr="00A472FC">
        <w:rPr>
          <w:rFonts w:ascii="Times New Roman" w:hAnsi="Times New Roman" w:cs="Times New Roman"/>
          <w:i/>
          <w:iCs/>
        </w:rPr>
        <w:t xml:space="preserve"> au </w:t>
      </w:r>
      <w:proofErr w:type="spellStart"/>
      <w:r w:rsidRPr="00A472FC">
        <w:rPr>
          <w:rFonts w:ascii="Times New Roman" w:hAnsi="Times New Roman" w:cs="Times New Roman"/>
          <w:i/>
          <w:iCs/>
        </w:rPr>
        <w:t>douziéme</w:t>
      </w:r>
      <w:proofErr w:type="spellEnd"/>
      <w:r w:rsidRPr="00A472FC">
        <w:rPr>
          <w:rFonts w:ascii="Times New Roman" w:hAnsi="Times New Roman" w:cs="Times New Roman"/>
          <w:i/>
          <w:iCs/>
        </w:rPr>
        <w:t xml:space="preserve"> siècle.</w:t>
      </w:r>
      <w:r w:rsidRPr="00A472FC">
        <w:rPr>
          <w:rFonts w:ascii="Times New Roman" w:hAnsi="Times New Roman" w:cs="Times New Roman"/>
        </w:rPr>
        <w:t xml:space="preserve"> Translated by J. Taylor. Paris</w:t>
      </w:r>
      <w:r w:rsidR="00A901D7" w:rsidRPr="00A472FC">
        <w:rPr>
          <w:rFonts w:ascii="Times New Roman" w:hAnsi="Times New Roman" w:cs="Times New Roman"/>
        </w:rPr>
        <w:t xml:space="preserve">: </w:t>
      </w:r>
      <w:proofErr w:type="spellStart"/>
      <w:r w:rsidR="00A901D7" w:rsidRPr="00A472FC">
        <w:rPr>
          <w:rFonts w:ascii="Times New Roman" w:hAnsi="Times New Roman" w:cs="Times New Roman"/>
        </w:rPr>
        <w:t>Vrin</w:t>
      </w:r>
      <w:proofErr w:type="spellEnd"/>
      <w:r w:rsidR="00A901D7" w:rsidRPr="00A472FC">
        <w:rPr>
          <w:rFonts w:ascii="Times New Roman" w:hAnsi="Times New Roman" w:cs="Times New Roman"/>
        </w:rPr>
        <w:t xml:space="preserve">, </w:t>
      </w:r>
      <w:r w:rsidRPr="00A472FC">
        <w:rPr>
          <w:rFonts w:ascii="Times New Roman" w:hAnsi="Times New Roman" w:cs="Times New Roman"/>
        </w:rPr>
        <w:t>1957.</w:t>
      </w:r>
    </w:p>
    <w:p w14:paraId="1E590E5B" w14:textId="434EC686"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‘Spiritus: le </w:t>
      </w:r>
      <w:proofErr w:type="spellStart"/>
      <w:r w:rsidRPr="00A472FC">
        <w:rPr>
          <w:rFonts w:ascii="Times New Roman" w:hAnsi="Times New Roman" w:cs="Times New Roman"/>
        </w:rPr>
        <w:t>vocabulaire</w:t>
      </w:r>
      <w:proofErr w:type="spellEnd"/>
      <w:r w:rsidRPr="00A472FC">
        <w:rPr>
          <w:rFonts w:ascii="Times New Roman" w:hAnsi="Times New Roman" w:cs="Times New Roman"/>
        </w:rPr>
        <w:t xml:space="preserve"> de </w:t>
      </w:r>
      <w:proofErr w:type="spellStart"/>
      <w:r w:rsidRPr="00A472FC">
        <w:rPr>
          <w:rFonts w:ascii="Times New Roman" w:hAnsi="Times New Roman" w:cs="Times New Roman"/>
        </w:rPr>
        <w:t>l’</w:t>
      </w:r>
      <w:r w:rsidR="00D71B3E" w:rsidRPr="00A472FC">
        <w:rPr>
          <w:rFonts w:ascii="Times New Roman" w:hAnsi="Times New Roman" w:cs="Times New Roman"/>
        </w:rPr>
        <w:t>â</w:t>
      </w:r>
      <w:r w:rsidRPr="00A472FC">
        <w:rPr>
          <w:rFonts w:ascii="Times New Roman" w:hAnsi="Times New Roman" w:cs="Times New Roman"/>
        </w:rPr>
        <w:t>me</w:t>
      </w:r>
      <w:proofErr w:type="spellEnd"/>
      <w:r w:rsidRPr="00A472FC">
        <w:rPr>
          <w:rFonts w:ascii="Times New Roman" w:hAnsi="Times New Roman" w:cs="Times New Roman"/>
        </w:rPr>
        <w:t xml:space="preserve"> au XIIe siècle.’ </w:t>
      </w:r>
      <w:r w:rsidRPr="00A472FC">
        <w:rPr>
          <w:rFonts w:ascii="Times New Roman" w:hAnsi="Times New Roman" w:cs="Times New Roman"/>
          <w:i/>
          <w:iCs/>
        </w:rPr>
        <w:t xml:space="preserve">Revue des sciences </w:t>
      </w:r>
      <w:proofErr w:type="spellStart"/>
      <w:r w:rsidRPr="00A472FC">
        <w:rPr>
          <w:rFonts w:ascii="Times New Roman" w:hAnsi="Times New Roman" w:cs="Times New Roman"/>
          <w:i/>
          <w:iCs/>
        </w:rPr>
        <w:t>philosophiques</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théologiques</w:t>
      </w:r>
      <w:proofErr w:type="spellEnd"/>
      <w:r w:rsidRPr="00A472FC">
        <w:rPr>
          <w:rFonts w:ascii="Times New Roman" w:hAnsi="Times New Roman" w:cs="Times New Roman"/>
          <w:i/>
          <w:iCs/>
        </w:rPr>
        <w:t xml:space="preserve"> </w:t>
      </w:r>
      <w:r w:rsidRPr="00A472FC">
        <w:rPr>
          <w:rFonts w:ascii="Times New Roman" w:hAnsi="Times New Roman" w:cs="Times New Roman"/>
        </w:rPr>
        <w:t>41 (1957): 209-32.</w:t>
      </w:r>
    </w:p>
    <w:p w14:paraId="7F72443F" w14:textId="5F625B21" w:rsidR="00115984" w:rsidRPr="00A472FC" w:rsidRDefault="00115984"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Chirico</w:t>
      </w:r>
      <w:proofErr w:type="spellEnd"/>
      <w:r w:rsidRPr="00A472FC">
        <w:rPr>
          <w:rFonts w:ascii="Times New Roman" w:hAnsi="Times New Roman" w:cs="Times New Roman"/>
        </w:rPr>
        <w:t xml:space="preserve">, Maria Antonietta. ‘Les </w:t>
      </w:r>
      <w:proofErr w:type="spellStart"/>
      <w:r w:rsidRPr="00A472FC">
        <w:rPr>
          <w:rFonts w:ascii="Times New Roman" w:hAnsi="Times New Roman" w:cs="Times New Roman"/>
        </w:rPr>
        <w:t>auctoritates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Isacco</w:t>
      </w:r>
      <w:proofErr w:type="spellEnd"/>
      <w:r w:rsidRPr="00A472FC">
        <w:rPr>
          <w:rFonts w:ascii="Times New Roman" w:hAnsi="Times New Roman" w:cs="Times New Roman"/>
        </w:rPr>
        <w:t xml:space="preserve"> della Stella.’ In </w:t>
      </w:r>
      <w:proofErr w:type="spellStart"/>
      <w:r w:rsidRPr="00A472FC">
        <w:rPr>
          <w:rFonts w:ascii="Times New Roman" w:hAnsi="Times New Roman" w:cs="Times New Roman"/>
          <w:i/>
          <w:iCs/>
        </w:rPr>
        <w:t>Auctor</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auctoritas</w:t>
      </w:r>
      <w:proofErr w:type="spellEnd"/>
      <w:r w:rsidRPr="00A472FC">
        <w:rPr>
          <w:rFonts w:ascii="Times New Roman" w:hAnsi="Times New Roman" w:cs="Times New Roman"/>
          <w:i/>
          <w:iCs/>
        </w:rPr>
        <w:t xml:space="preserve"> in </w:t>
      </w:r>
      <w:proofErr w:type="spellStart"/>
      <w:r w:rsidRPr="00A472FC">
        <w:rPr>
          <w:rFonts w:ascii="Times New Roman" w:hAnsi="Times New Roman" w:cs="Times New Roman"/>
          <w:i/>
          <w:iCs/>
        </w:rPr>
        <w:t>latinis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Medii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Aevi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litteris</w:t>
      </w:r>
      <w:proofErr w:type="spellEnd"/>
      <w:r w:rsidRPr="00A472FC">
        <w:rPr>
          <w:rFonts w:ascii="Times New Roman" w:hAnsi="Times New Roman" w:cs="Times New Roman"/>
          <w:i/>
          <w:iCs/>
        </w:rPr>
        <w:t xml:space="preserve">. </w:t>
      </w:r>
      <w:r w:rsidRPr="00A472FC">
        <w:rPr>
          <w:rFonts w:ascii="Times New Roman" w:hAnsi="Times New Roman" w:cs="Times New Roman"/>
        </w:rPr>
        <w:t xml:space="preserve">Edited by </w:t>
      </w:r>
      <w:proofErr w:type="spellStart"/>
      <w:r w:rsidRPr="00A472FC">
        <w:rPr>
          <w:rFonts w:ascii="Times New Roman" w:hAnsi="Times New Roman" w:cs="Times New Roman"/>
        </w:rPr>
        <w:t>Edoardo</w:t>
      </w:r>
      <w:proofErr w:type="spellEnd"/>
      <w:r w:rsidRPr="00A472FC">
        <w:rPr>
          <w:rFonts w:ascii="Times New Roman" w:hAnsi="Times New Roman" w:cs="Times New Roman"/>
        </w:rPr>
        <w:t xml:space="preserve"> D’Angelo and Jan. M. </w:t>
      </w:r>
      <w:proofErr w:type="spellStart"/>
      <w:r w:rsidRPr="00A472FC">
        <w:rPr>
          <w:rFonts w:ascii="Times New Roman" w:hAnsi="Times New Roman" w:cs="Times New Roman"/>
        </w:rPr>
        <w:t>Ziolkowski</w:t>
      </w:r>
      <w:proofErr w:type="spellEnd"/>
      <w:r w:rsidRPr="00A472FC">
        <w:rPr>
          <w:rFonts w:ascii="Times New Roman" w:hAnsi="Times New Roman" w:cs="Times New Roman"/>
        </w:rPr>
        <w:t>, 239-64. Florence: SISMEL, 2014.</w:t>
      </w:r>
    </w:p>
    <w:p w14:paraId="10DAC727" w14:textId="5B4F2888" w:rsidR="00C20909" w:rsidRPr="00A472FC" w:rsidRDefault="00C20909"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Cohen, Jeremy. </w:t>
      </w:r>
      <w:r w:rsidRPr="00A472FC">
        <w:rPr>
          <w:rFonts w:ascii="Times New Roman" w:hAnsi="Times New Roman" w:cs="Times New Roman"/>
          <w:i/>
          <w:iCs/>
        </w:rPr>
        <w:t>The Friars and the Jews</w:t>
      </w:r>
      <w:r w:rsidR="00023A56" w:rsidRPr="00A472FC">
        <w:rPr>
          <w:rFonts w:ascii="Times New Roman" w:hAnsi="Times New Roman" w:cs="Times New Roman"/>
          <w:i/>
          <w:iCs/>
        </w:rPr>
        <w:t xml:space="preserve">. </w:t>
      </w:r>
      <w:r w:rsidRPr="00A472FC">
        <w:rPr>
          <w:rFonts w:ascii="Times New Roman" w:hAnsi="Times New Roman" w:cs="Times New Roman"/>
        </w:rPr>
        <w:t>Ithaca: Cornell University Press, 1982</w:t>
      </w:r>
      <w:r w:rsidR="00023A56" w:rsidRPr="00A472FC">
        <w:rPr>
          <w:rFonts w:ascii="Times New Roman" w:hAnsi="Times New Roman" w:cs="Times New Roman"/>
        </w:rPr>
        <w:t>.</w:t>
      </w:r>
      <w:r w:rsidRPr="00A472FC">
        <w:rPr>
          <w:rFonts w:ascii="Times New Roman" w:hAnsi="Times New Roman" w:cs="Times New Roman"/>
        </w:rPr>
        <w:t xml:space="preserve"> </w:t>
      </w:r>
    </w:p>
    <w:p w14:paraId="598883E9" w14:textId="1F175272"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Colish, Marcia L. ‘Early Scholastic Angelology</w:t>
      </w:r>
      <w:r w:rsidR="00041350" w:rsidRPr="00A472FC">
        <w:rPr>
          <w:rFonts w:ascii="Times New Roman" w:hAnsi="Times New Roman" w:cs="Times New Roman"/>
        </w:rPr>
        <w:t>.</w:t>
      </w:r>
      <w:r w:rsidRPr="00A472FC">
        <w:rPr>
          <w:rFonts w:ascii="Times New Roman" w:hAnsi="Times New Roman" w:cs="Times New Roman"/>
        </w:rPr>
        <w:t xml:space="preserve">’ </w:t>
      </w:r>
      <w:proofErr w:type="spellStart"/>
      <w:r w:rsidRPr="00A472FC">
        <w:rPr>
          <w:rFonts w:ascii="Times New Roman" w:hAnsi="Times New Roman" w:cs="Times New Roman"/>
          <w:i/>
          <w:iCs/>
        </w:rPr>
        <w:t>Recherches</w:t>
      </w:r>
      <w:proofErr w:type="spellEnd"/>
      <w:r w:rsidRPr="00A472FC">
        <w:rPr>
          <w:rFonts w:ascii="Times New Roman" w:hAnsi="Times New Roman" w:cs="Times New Roman"/>
          <w:i/>
          <w:iCs/>
        </w:rPr>
        <w:t xml:space="preserve"> de </w:t>
      </w:r>
      <w:proofErr w:type="spellStart"/>
      <w:r w:rsidR="003746E8" w:rsidRPr="00A472FC">
        <w:rPr>
          <w:rFonts w:ascii="Times New Roman" w:hAnsi="Times New Roman" w:cs="Times New Roman"/>
          <w:i/>
          <w:iCs/>
        </w:rPr>
        <w:t>t</w:t>
      </w:r>
      <w:r w:rsidRPr="00A472FC">
        <w:rPr>
          <w:rFonts w:ascii="Times New Roman" w:hAnsi="Times New Roman" w:cs="Times New Roman"/>
          <w:i/>
          <w:iCs/>
        </w:rPr>
        <w:t>heologie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ancienne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medieval</w:t>
      </w:r>
      <w:r w:rsidR="003746E8" w:rsidRPr="00A472FC">
        <w:rPr>
          <w:rFonts w:ascii="Times New Roman" w:hAnsi="Times New Roman" w:cs="Times New Roman"/>
          <w:i/>
          <w:iCs/>
        </w:rPr>
        <w:t>e</w:t>
      </w:r>
      <w:proofErr w:type="spellEnd"/>
      <w:r w:rsidRPr="00A472FC">
        <w:rPr>
          <w:rFonts w:ascii="Times New Roman" w:hAnsi="Times New Roman" w:cs="Times New Roman"/>
          <w:i/>
          <w:iCs/>
        </w:rPr>
        <w:t xml:space="preserve"> </w:t>
      </w:r>
      <w:r w:rsidRPr="00A472FC">
        <w:rPr>
          <w:rFonts w:ascii="Times New Roman" w:hAnsi="Times New Roman" w:cs="Times New Roman"/>
        </w:rPr>
        <w:t>62 (1995): 80-109.</w:t>
      </w:r>
    </w:p>
    <w:p w14:paraId="65396D17" w14:textId="0336A975" w:rsidR="006A6E61" w:rsidRPr="00A472FC" w:rsidRDefault="006A6E61" w:rsidP="00A33D61">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‘The Sentence Collection and the Education of Professional Theologians in the Twelfth Century.’ In </w:t>
      </w:r>
      <w:r w:rsidRPr="00A472FC">
        <w:rPr>
          <w:rFonts w:ascii="Times New Roman" w:hAnsi="Times New Roman" w:cs="Times New Roman"/>
          <w:i/>
          <w:iCs/>
        </w:rPr>
        <w:t xml:space="preserve">The Intellectual Climate of the Early University: Essays in </w:t>
      </w:r>
      <w:proofErr w:type="spellStart"/>
      <w:r w:rsidRPr="00A472FC">
        <w:rPr>
          <w:rFonts w:ascii="Times New Roman" w:hAnsi="Times New Roman" w:cs="Times New Roman"/>
          <w:i/>
          <w:iCs/>
        </w:rPr>
        <w:t>Honor</w:t>
      </w:r>
      <w:proofErr w:type="spellEnd"/>
      <w:r w:rsidRPr="00A472FC">
        <w:rPr>
          <w:rFonts w:ascii="Times New Roman" w:hAnsi="Times New Roman" w:cs="Times New Roman"/>
          <w:i/>
          <w:iCs/>
        </w:rPr>
        <w:t xml:space="preserve"> of Otto </w:t>
      </w:r>
      <w:proofErr w:type="spellStart"/>
      <w:r w:rsidRPr="00A472FC">
        <w:rPr>
          <w:rFonts w:ascii="Times New Roman" w:hAnsi="Times New Roman" w:cs="Times New Roman"/>
          <w:i/>
          <w:iCs/>
        </w:rPr>
        <w:t>Grundler</w:t>
      </w:r>
      <w:proofErr w:type="spellEnd"/>
      <w:r w:rsidRPr="00A472FC">
        <w:rPr>
          <w:rFonts w:ascii="Times New Roman" w:hAnsi="Times New Roman" w:cs="Times New Roman"/>
        </w:rPr>
        <w:t xml:space="preserve">. Edited by Nancy Van </w:t>
      </w:r>
      <w:proofErr w:type="spellStart"/>
      <w:r w:rsidRPr="00A472FC">
        <w:rPr>
          <w:rFonts w:ascii="Times New Roman" w:hAnsi="Times New Roman" w:cs="Times New Roman"/>
        </w:rPr>
        <w:t>Deusen</w:t>
      </w:r>
      <w:proofErr w:type="spellEnd"/>
      <w:r w:rsidRPr="00A472FC">
        <w:rPr>
          <w:rFonts w:ascii="Times New Roman" w:hAnsi="Times New Roman" w:cs="Times New Roman"/>
        </w:rPr>
        <w:t>, 1-26. Kalamazoo: Western Michigan University, 1997.</w:t>
      </w:r>
    </w:p>
    <w:p w14:paraId="57FBDFBF" w14:textId="24DA2975" w:rsidR="00A33D61" w:rsidRPr="00A472FC" w:rsidRDefault="00A33D61" w:rsidP="00A33D61">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‘From the Sentence Collection to the Sentence Commentary and the </w:t>
      </w:r>
      <w:r w:rsidRPr="00A472FC">
        <w:rPr>
          <w:rFonts w:ascii="Times New Roman" w:hAnsi="Times New Roman" w:cs="Times New Roman"/>
          <w:i/>
          <w:iCs/>
        </w:rPr>
        <w:t>Summa</w:t>
      </w:r>
      <w:r w:rsidRPr="00A472FC">
        <w:rPr>
          <w:rFonts w:ascii="Times New Roman" w:hAnsi="Times New Roman" w:cs="Times New Roman"/>
        </w:rPr>
        <w:t xml:space="preserve">: Parisian Scholastic Theology, 1130-1215.’ In </w:t>
      </w:r>
      <w:r w:rsidRPr="00A472FC">
        <w:rPr>
          <w:rFonts w:ascii="Times New Roman" w:hAnsi="Times New Roman" w:cs="Times New Roman"/>
          <w:i/>
          <w:iCs/>
        </w:rPr>
        <w:t>Studies in Scholasticism</w:t>
      </w:r>
      <w:r w:rsidRPr="00A472FC">
        <w:rPr>
          <w:rFonts w:ascii="Times New Roman" w:hAnsi="Times New Roman" w:cs="Times New Roman"/>
        </w:rPr>
        <w:t xml:space="preserve">, by </w:t>
      </w:r>
      <w:proofErr w:type="spellStart"/>
      <w:r w:rsidRPr="00A472FC">
        <w:rPr>
          <w:rFonts w:ascii="Times New Roman" w:hAnsi="Times New Roman" w:cs="Times New Roman"/>
        </w:rPr>
        <w:t>Marica</w:t>
      </w:r>
      <w:proofErr w:type="spellEnd"/>
      <w:r w:rsidRPr="00A472FC">
        <w:rPr>
          <w:rFonts w:ascii="Times New Roman" w:hAnsi="Times New Roman" w:cs="Times New Roman"/>
        </w:rPr>
        <w:t xml:space="preserve"> L. Colish, 9-29.</w:t>
      </w:r>
      <w:r w:rsidRPr="00A472FC">
        <w:rPr>
          <w:rFonts w:ascii="Times New Roman" w:hAnsi="Times New Roman" w:cs="Times New Roman"/>
          <w:i/>
          <w:iCs/>
        </w:rPr>
        <w:t xml:space="preserve"> </w:t>
      </w:r>
      <w:r w:rsidRPr="00A472FC">
        <w:rPr>
          <w:rFonts w:ascii="Times New Roman" w:hAnsi="Times New Roman" w:cs="Times New Roman"/>
        </w:rPr>
        <w:t xml:space="preserve">Aldershot: </w:t>
      </w:r>
      <w:proofErr w:type="spellStart"/>
      <w:r w:rsidRPr="00A472FC">
        <w:rPr>
          <w:rFonts w:ascii="Times New Roman" w:hAnsi="Times New Roman" w:cs="Times New Roman"/>
        </w:rPr>
        <w:t>Ashgate</w:t>
      </w:r>
      <w:proofErr w:type="spellEnd"/>
      <w:r w:rsidRPr="00A472FC">
        <w:rPr>
          <w:rFonts w:ascii="Times New Roman" w:hAnsi="Times New Roman" w:cs="Times New Roman"/>
        </w:rPr>
        <w:t xml:space="preserve">, 2006. </w:t>
      </w:r>
    </w:p>
    <w:p w14:paraId="630F94C4" w14:textId="541DDB34" w:rsidR="00A33D61" w:rsidRPr="00A472FC" w:rsidRDefault="00A33D61" w:rsidP="00A33D61">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‘Authority and Interpretation in Scholastic Theology.’ In </w:t>
      </w:r>
      <w:r w:rsidRPr="00A472FC">
        <w:rPr>
          <w:rFonts w:ascii="Times New Roman" w:hAnsi="Times New Roman" w:cs="Times New Roman"/>
          <w:i/>
          <w:iCs/>
        </w:rPr>
        <w:t>Studies in Scholasticism</w:t>
      </w:r>
      <w:r w:rsidR="00A901D7" w:rsidRPr="00A472FC">
        <w:rPr>
          <w:rFonts w:ascii="Times New Roman" w:hAnsi="Times New Roman" w:cs="Times New Roman"/>
          <w:i/>
          <w:iCs/>
        </w:rPr>
        <w:t>,</w:t>
      </w:r>
      <w:r w:rsidRPr="00A472FC">
        <w:rPr>
          <w:rFonts w:ascii="Times New Roman" w:hAnsi="Times New Roman" w:cs="Times New Roman"/>
          <w:i/>
          <w:iCs/>
        </w:rPr>
        <w:t xml:space="preserve"> </w:t>
      </w:r>
      <w:r w:rsidRPr="00A472FC">
        <w:rPr>
          <w:rFonts w:ascii="Times New Roman" w:hAnsi="Times New Roman" w:cs="Times New Roman"/>
        </w:rPr>
        <w:t xml:space="preserve">by </w:t>
      </w:r>
      <w:proofErr w:type="spellStart"/>
      <w:r w:rsidRPr="00A472FC">
        <w:rPr>
          <w:rFonts w:ascii="Times New Roman" w:hAnsi="Times New Roman" w:cs="Times New Roman"/>
        </w:rPr>
        <w:t>Marica</w:t>
      </w:r>
      <w:proofErr w:type="spellEnd"/>
      <w:r w:rsidRPr="00A472FC">
        <w:rPr>
          <w:rFonts w:ascii="Times New Roman" w:hAnsi="Times New Roman" w:cs="Times New Roman"/>
        </w:rPr>
        <w:t xml:space="preserve"> L. Colish, 1-16. Aldershot: </w:t>
      </w:r>
      <w:proofErr w:type="spellStart"/>
      <w:r w:rsidRPr="00A472FC">
        <w:rPr>
          <w:rFonts w:ascii="Times New Roman" w:hAnsi="Times New Roman" w:cs="Times New Roman"/>
        </w:rPr>
        <w:t>Ashgate</w:t>
      </w:r>
      <w:proofErr w:type="spellEnd"/>
      <w:r w:rsidRPr="00A472FC">
        <w:rPr>
          <w:rFonts w:ascii="Times New Roman" w:hAnsi="Times New Roman" w:cs="Times New Roman"/>
        </w:rPr>
        <w:t>, 2006.</w:t>
      </w:r>
    </w:p>
    <w:p w14:paraId="0FF4D2A2" w14:textId="12A5024F" w:rsidR="00981323" w:rsidRPr="00A472FC" w:rsidRDefault="00981323" w:rsidP="00A33D61">
      <w:pPr>
        <w:ind w:left="709" w:right="-52" w:hanging="709"/>
        <w:rPr>
          <w:rFonts w:ascii="Times New Roman" w:eastAsia="Times New Roman" w:hAnsi="Times New Roman" w:cs="Times New Roman"/>
          <w:color w:val="000000"/>
        </w:rPr>
      </w:pPr>
      <w:r w:rsidRPr="00A472FC">
        <w:rPr>
          <w:rFonts w:ascii="Times New Roman" w:hAnsi="Times New Roman" w:cs="Times New Roman"/>
        </w:rPr>
        <w:t xml:space="preserve">———. </w:t>
      </w:r>
      <w:r w:rsidRPr="00A472FC">
        <w:rPr>
          <w:rFonts w:ascii="Times New Roman" w:eastAsia="Times New Roman" w:hAnsi="Times New Roman" w:cs="Times New Roman"/>
          <w:color w:val="000000"/>
        </w:rPr>
        <w:t xml:space="preserve">‘Otto of </w:t>
      </w:r>
      <w:proofErr w:type="spellStart"/>
      <w:r w:rsidRPr="00A472FC">
        <w:rPr>
          <w:rFonts w:ascii="Times New Roman" w:eastAsia="Times New Roman" w:hAnsi="Times New Roman" w:cs="Times New Roman"/>
          <w:color w:val="000000"/>
        </w:rPr>
        <w:t>Lucca</w:t>
      </w:r>
      <w:proofErr w:type="spellEnd"/>
      <w:r w:rsidRPr="00A472FC">
        <w:rPr>
          <w:rFonts w:ascii="Times New Roman" w:eastAsia="Times New Roman" w:hAnsi="Times New Roman" w:cs="Times New Roman"/>
          <w:color w:val="000000"/>
        </w:rPr>
        <w:t>: Author of the </w:t>
      </w:r>
      <w:r w:rsidRPr="00A472FC">
        <w:rPr>
          <w:rFonts w:ascii="Times New Roman" w:eastAsia="Times New Roman" w:hAnsi="Times New Roman" w:cs="Times New Roman"/>
          <w:i/>
          <w:iCs/>
          <w:color w:val="000000"/>
        </w:rPr>
        <w:t xml:space="preserve">Summa </w:t>
      </w:r>
      <w:proofErr w:type="spellStart"/>
      <w:r w:rsidRPr="00A472FC">
        <w:rPr>
          <w:rFonts w:ascii="Times New Roman" w:eastAsia="Times New Roman" w:hAnsi="Times New Roman" w:cs="Times New Roman"/>
          <w:i/>
          <w:iCs/>
          <w:color w:val="000000"/>
        </w:rPr>
        <w:t>sententiarum</w:t>
      </w:r>
      <w:proofErr w:type="spellEnd"/>
      <w:r w:rsidRPr="00A472FC">
        <w:rPr>
          <w:rFonts w:ascii="Times New Roman" w:eastAsia="Times New Roman" w:hAnsi="Times New Roman" w:cs="Times New Roman"/>
          <w:i/>
          <w:iCs/>
          <w:color w:val="000000"/>
        </w:rPr>
        <w:t>?</w:t>
      </w:r>
      <w:r w:rsidRPr="00A472FC">
        <w:rPr>
          <w:rFonts w:ascii="Times New Roman" w:eastAsia="Times New Roman" w:hAnsi="Times New Roman" w:cs="Times New Roman"/>
          <w:color w:val="000000"/>
        </w:rPr>
        <w:t>’ In </w:t>
      </w:r>
      <w:r w:rsidRPr="00A472FC">
        <w:rPr>
          <w:rFonts w:ascii="Times New Roman" w:eastAsia="Times New Roman" w:hAnsi="Times New Roman" w:cs="Times New Roman"/>
          <w:i/>
          <w:iCs/>
          <w:color w:val="000000"/>
        </w:rPr>
        <w:t xml:space="preserve">Discovery and Distinction in the Early Middle Ages: Studies in </w:t>
      </w:r>
      <w:proofErr w:type="spellStart"/>
      <w:r w:rsidRPr="00A472FC">
        <w:rPr>
          <w:rFonts w:ascii="Times New Roman" w:eastAsia="Times New Roman" w:hAnsi="Times New Roman" w:cs="Times New Roman"/>
          <w:i/>
          <w:iCs/>
          <w:color w:val="000000"/>
        </w:rPr>
        <w:t>Honor</w:t>
      </w:r>
      <w:proofErr w:type="spellEnd"/>
      <w:r w:rsidRPr="00A472FC">
        <w:rPr>
          <w:rFonts w:ascii="Times New Roman" w:eastAsia="Times New Roman" w:hAnsi="Times New Roman" w:cs="Times New Roman"/>
          <w:i/>
          <w:iCs/>
          <w:color w:val="000000"/>
        </w:rPr>
        <w:t xml:space="preserve"> of John J. </w:t>
      </w:r>
      <w:proofErr w:type="spellStart"/>
      <w:r w:rsidRPr="00A472FC">
        <w:rPr>
          <w:rFonts w:ascii="Times New Roman" w:eastAsia="Times New Roman" w:hAnsi="Times New Roman" w:cs="Times New Roman"/>
          <w:i/>
          <w:iCs/>
          <w:color w:val="000000"/>
        </w:rPr>
        <w:t>Contreni</w:t>
      </w:r>
      <w:proofErr w:type="spellEnd"/>
      <w:r w:rsidRPr="00A472FC">
        <w:rPr>
          <w:rFonts w:ascii="Times New Roman" w:eastAsia="Times New Roman" w:hAnsi="Times New Roman" w:cs="Times New Roman"/>
          <w:color w:val="000000"/>
        </w:rPr>
        <w:t xml:space="preserve">. Edited by Cullen J. Chandler and Steven A. </w:t>
      </w:r>
      <w:proofErr w:type="spellStart"/>
      <w:r w:rsidRPr="00A472FC">
        <w:rPr>
          <w:rFonts w:ascii="Times New Roman" w:eastAsia="Times New Roman" w:hAnsi="Times New Roman" w:cs="Times New Roman"/>
          <w:color w:val="000000"/>
        </w:rPr>
        <w:t>Sofferahn</w:t>
      </w:r>
      <w:proofErr w:type="spellEnd"/>
      <w:r w:rsidRPr="00A472FC">
        <w:rPr>
          <w:rFonts w:ascii="Times New Roman" w:eastAsia="Times New Roman" w:hAnsi="Times New Roman" w:cs="Times New Roman"/>
          <w:color w:val="000000"/>
        </w:rPr>
        <w:t>, 57-70. Kalamazoo: Medieval Institute Publications, 2013</w:t>
      </w:r>
      <w:r w:rsidR="00F6389D" w:rsidRPr="00A472FC">
        <w:rPr>
          <w:rFonts w:ascii="Times New Roman" w:eastAsia="Times New Roman" w:hAnsi="Times New Roman" w:cs="Times New Roman"/>
          <w:color w:val="000000"/>
        </w:rPr>
        <w:t>.</w:t>
      </w:r>
    </w:p>
    <w:p w14:paraId="3C993A69" w14:textId="7C20C364" w:rsidR="000672C5" w:rsidRPr="00A472FC" w:rsidRDefault="000672C5" w:rsidP="00574382">
      <w:pPr>
        <w:ind w:left="709" w:hanging="709"/>
        <w:rPr>
          <w:rFonts w:ascii="Times New Roman" w:eastAsia="Times New Roman" w:hAnsi="Times New Roman" w:cs="Times New Roman"/>
          <w:lang w:eastAsia="en-GB"/>
        </w:rPr>
      </w:pPr>
      <w:r w:rsidRPr="00A472FC">
        <w:rPr>
          <w:rFonts w:ascii="Times New Roman" w:hAnsi="Times New Roman" w:cs="Times New Roman"/>
        </w:rPr>
        <w:lastRenderedPageBreak/>
        <w:t>———. ‘</w:t>
      </w:r>
      <w:r w:rsidRPr="00A472FC">
        <w:rPr>
          <w:rFonts w:ascii="Times New Roman" w:eastAsia="Times New Roman" w:hAnsi="Times New Roman" w:cs="Times New Roman"/>
          <w:color w:val="000000"/>
        </w:rPr>
        <w:t>Free Will and Grace: Method and Model in Anselm's </w:t>
      </w:r>
      <w:r w:rsidRPr="00A472FC">
        <w:rPr>
          <w:rFonts w:ascii="Times New Roman" w:eastAsia="Times New Roman" w:hAnsi="Times New Roman" w:cs="Times New Roman"/>
          <w:i/>
          <w:iCs/>
          <w:color w:val="000000"/>
        </w:rPr>
        <w:t>De Concordia</w:t>
      </w:r>
      <w:r w:rsidRPr="00A472FC">
        <w:rPr>
          <w:rFonts w:ascii="Times New Roman" w:eastAsia="Times New Roman" w:hAnsi="Times New Roman" w:cs="Times New Roman"/>
          <w:color w:val="000000"/>
        </w:rPr>
        <w:t>.’ In </w:t>
      </w:r>
      <w:r w:rsidRPr="00A472FC">
        <w:rPr>
          <w:rFonts w:ascii="Times New Roman" w:eastAsia="Times New Roman" w:hAnsi="Times New Roman" w:cs="Times New Roman"/>
          <w:i/>
          <w:iCs/>
          <w:color w:val="000000"/>
        </w:rPr>
        <w:t xml:space="preserve">Anselm of Canterbury: Nature, Order and the Divine. </w:t>
      </w:r>
      <w:r w:rsidRPr="00A472FC">
        <w:rPr>
          <w:rFonts w:ascii="Times New Roman" w:eastAsia="Times New Roman" w:hAnsi="Times New Roman" w:cs="Times New Roman"/>
          <w:color w:val="000000"/>
        </w:rPr>
        <w:t>Edited by Ian Logan and Giles G. E. Gasper. Leiden: Brill, 2021.</w:t>
      </w:r>
    </w:p>
    <w:p w14:paraId="671AF753" w14:textId="77777777" w:rsidR="006A6E61" w:rsidRPr="00A472FC" w:rsidRDefault="006A6E61" w:rsidP="00574382">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Collins, James Daniel. </w:t>
      </w:r>
      <w:r w:rsidRPr="00A472FC">
        <w:rPr>
          <w:rFonts w:ascii="Times New Roman" w:hAnsi="Times New Roman" w:cs="Times New Roman"/>
          <w:i/>
          <w:iCs/>
        </w:rPr>
        <w:t xml:space="preserve">The </w:t>
      </w:r>
      <w:proofErr w:type="spellStart"/>
      <w:r w:rsidRPr="00A472FC">
        <w:rPr>
          <w:rFonts w:ascii="Times New Roman" w:hAnsi="Times New Roman" w:cs="Times New Roman"/>
          <w:i/>
          <w:iCs/>
        </w:rPr>
        <w:t>Thomistic</w:t>
      </w:r>
      <w:proofErr w:type="spellEnd"/>
      <w:r w:rsidRPr="00A472FC">
        <w:rPr>
          <w:rFonts w:ascii="Times New Roman" w:hAnsi="Times New Roman" w:cs="Times New Roman"/>
          <w:i/>
          <w:iCs/>
        </w:rPr>
        <w:t xml:space="preserve"> Philosophy of Angels.</w:t>
      </w:r>
      <w:r w:rsidRPr="00A472FC">
        <w:rPr>
          <w:rFonts w:ascii="Times New Roman" w:hAnsi="Times New Roman" w:cs="Times New Roman"/>
        </w:rPr>
        <w:t xml:space="preserve"> Washington D.C.: The Catholic University of America Press, 1947.</w:t>
      </w:r>
    </w:p>
    <w:p w14:paraId="5F0C75B1" w14:textId="1158A72F" w:rsidR="00314ADC" w:rsidRPr="00A472FC" w:rsidRDefault="00314ADC" w:rsidP="00881604">
      <w:pPr>
        <w:pStyle w:val="FootnoteText"/>
        <w:ind w:left="709" w:right="-52" w:hanging="709"/>
        <w:rPr>
          <w:rFonts w:ascii="Times New Roman" w:hAnsi="Times New Roman" w:cs="Times New Roman"/>
          <w:sz w:val="24"/>
          <w:szCs w:val="24"/>
        </w:rPr>
      </w:pPr>
      <w:proofErr w:type="spellStart"/>
      <w:r w:rsidRPr="00A472FC">
        <w:rPr>
          <w:rFonts w:ascii="Times New Roman" w:hAnsi="Times New Roman" w:cs="Times New Roman"/>
          <w:sz w:val="24"/>
          <w:szCs w:val="24"/>
          <w:lang w:val="en-US"/>
        </w:rPr>
        <w:t>Côté</w:t>
      </w:r>
      <w:proofErr w:type="spellEnd"/>
      <w:r w:rsidRPr="00A472FC">
        <w:rPr>
          <w:rFonts w:ascii="Times New Roman" w:hAnsi="Times New Roman" w:cs="Times New Roman"/>
          <w:sz w:val="24"/>
          <w:szCs w:val="24"/>
        </w:rPr>
        <w:t xml:space="preserve">, Antoine. </w:t>
      </w:r>
      <w:r w:rsidRPr="00A472FC">
        <w:rPr>
          <w:rFonts w:ascii="Times New Roman" w:hAnsi="Times New Roman" w:cs="Times New Roman"/>
          <w:sz w:val="24"/>
          <w:szCs w:val="24"/>
          <w:lang w:val="en-US"/>
        </w:rPr>
        <w:t xml:space="preserve">‘Note </w:t>
      </w:r>
      <w:proofErr w:type="spellStart"/>
      <w:r w:rsidRPr="00A472FC">
        <w:rPr>
          <w:rFonts w:ascii="Times New Roman" w:hAnsi="Times New Roman" w:cs="Times New Roman"/>
          <w:sz w:val="24"/>
          <w:szCs w:val="24"/>
          <w:lang w:val="en-US"/>
        </w:rPr>
        <w:t>sur</w:t>
      </w:r>
      <w:proofErr w:type="spellEnd"/>
      <w:r w:rsidRPr="00A472FC">
        <w:rPr>
          <w:rFonts w:ascii="Times New Roman" w:hAnsi="Times New Roman" w:cs="Times New Roman"/>
          <w:sz w:val="24"/>
          <w:szCs w:val="24"/>
          <w:lang w:val="en-US"/>
        </w:rPr>
        <w:t xml:space="preserve"> </w:t>
      </w:r>
      <w:proofErr w:type="spellStart"/>
      <w:r w:rsidRPr="00A472FC">
        <w:rPr>
          <w:rFonts w:ascii="Times New Roman" w:hAnsi="Times New Roman" w:cs="Times New Roman"/>
          <w:sz w:val="24"/>
          <w:szCs w:val="24"/>
          <w:lang w:val="en-US"/>
        </w:rPr>
        <w:t>Guerric</w:t>
      </w:r>
      <w:proofErr w:type="spellEnd"/>
      <w:r w:rsidRPr="00A472FC">
        <w:rPr>
          <w:rFonts w:ascii="Times New Roman" w:hAnsi="Times New Roman" w:cs="Times New Roman"/>
          <w:sz w:val="24"/>
          <w:szCs w:val="24"/>
          <w:lang w:val="en-US"/>
        </w:rPr>
        <w:t xml:space="preserve"> de Saint-Quentin et la question de </w:t>
      </w:r>
      <w:proofErr w:type="spellStart"/>
      <w:r w:rsidRPr="00A472FC">
        <w:rPr>
          <w:rFonts w:ascii="Times New Roman" w:hAnsi="Times New Roman" w:cs="Times New Roman"/>
          <w:sz w:val="24"/>
          <w:szCs w:val="24"/>
          <w:lang w:val="en-US"/>
        </w:rPr>
        <w:t>l’infini</w:t>
      </w:r>
      <w:proofErr w:type="spellEnd"/>
      <w:r w:rsidRPr="00A472FC">
        <w:rPr>
          <w:rFonts w:ascii="Times New Roman" w:hAnsi="Times New Roman" w:cs="Times New Roman"/>
          <w:sz w:val="24"/>
          <w:szCs w:val="24"/>
          <w:lang w:val="en-US"/>
        </w:rPr>
        <w:t xml:space="preserve"> </w:t>
      </w:r>
      <w:proofErr w:type="spellStart"/>
      <w:r w:rsidRPr="00A472FC">
        <w:rPr>
          <w:rFonts w:ascii="Times New Roman" w:hAnsi="Times New Roman" w:cs="Times New Roman"/>
          <w:sz w:val="24"/>
          <w:szCs w:val="24"/>
          <w:lang w:val="en-US"/>
        </w:rPr>
        <w:t>divin</w:t>
      </w:r>
      <w:proofErr w:type="spellEnd"/>
      <w:r w:rsidRPr="00A472FC">
        <w:rPr>
          <w:rFonts w:ascii="Times New Roman" w:hAnsi="Times New Roman" w:cs="Times New Roman"/>
          <w:sz w:val="24"/>
          <w:szCs w:val="24"/>
          <w:lang w:val="en-US"/>
        </w:rPr>
        <w:t xml:space="preserve">.’ </w:t>
      </w:r>
      <w:proofErr w:type="spellStart"/>
      <w:r w:rsidRPr="00A472FC">
        <w:rPr>
          <w:rFonts w:ascii="Times New Roman" w:hAnsi="Times New Roman" w:cs="Times New Roman"/>
          <w:i/>
          <w:iCs/>
          <w:sz w:val="24"/>
          <w:szCs w:val="24"/>
          <w:lang w:val="en-US"/>
        </w:rPr>
        <w:t>Recherches</w:t>
      </w:r>
      <w:proofErr w:type="spellEnd"/>
      <w:r w:rsidRPr="00A472FC">
        <w:rPr>
          <w:rFonts w:ascii="Times New Roman" w:hAnsi="Times New Roman" w:cs="Times New Roman"/>
          <w:i/>
          <w:iCs/>
          <w:sz w:val="24"/>
          <w:szCs w:val="24"/>
          <w:lang w:val="en-US"/>
        </w:rPr>
        <w:t xml:space="preserve"> de </w:t>
      </w:r>
      <w:proofErr w:type="spellStart"/>
      <w:r w:rsidRPr="00A472FC">
        <w:rPr>
          <w:rFonts w:ascii="Times New Roman" w:hAnsi="Times New Roman" w:cs="Times New Roman"/>
          <w:i/>
          <w:iCs/>
          <w:sz w:val="24"/>
          <w:szCs w:val="24"/>
          <w:lang w:val="en-US"/>
        </w:rPr>
        <w:t>théologie</w:t>
      </w:r>
      <w:proofErr w:type="spellEnd"/>
      <w:r w:rsidRPr="00A472FC">
        <w:rPr>
          <w:rFonts w:ascii="Times New Roman" w:hAnsi="Times New Roman" w:cs="Times New Roman"/>
          <w:i/>
          <w:iCs/>
          <w:sz w:val="24"/>
          <w:szCs w:val="24"/>
          <w:lang w:val="en-US"/>
        </w:rPr>
        <w:t xml:space="preserve"> </w:t>
      </w:r>
      <w:proofErr w:type="spellStart"/>
      <w:r w:rsidRPr="00A472FC">
        <w:rPr>
          <w:rFonts w:ascii="Times New Roman" w:hAnsi="Times New Roman" w:cs="Times New Roman"/>
          <w:i/>
          <w:iCs/>
          <w:sz w:val="24"/>
          <w:szCs w:val="24"/>
          <w:lang w:val="en-US"/>
        </w:rPr>
        <w:t>ancienne</w:t>
      </w:r>
      <w:proofErr w:type="spellEnd"/>
      <w:r w:rsidRPr="00A472FC">
        <w:rPr>
          <w:rFonts w:ascii="Times New Roman" w:hAnsi="Times New Roman" w:cs="Times New Roman"/>
          <w:i/>
          <w:iCs/>
          <w:sz w:val="24"/>
          <w:szCs w:val="24"/>
          <w:lang w:val="en-US"/>
        </w:rPr>
        <w:t xml:space="preserve"> et </w:t>
      </w:r>
      <w:proofErr w:type="spellStart"/>
      <w:r w:rsidRPr="00A472FC">
        <w:rPr>
          <w:rFonts w:ascii="Times New Roman" w:hAnsi="Times New Roman" w:cs="Times New Roman"/>
          <w:i/>
          <w:iCs/>
          <w:sz w:val="24"/>
          <w:szCs w:val="24"/>
          <w:lang w:val="en-US"/>
        </w:rPr>
        <w:t>médiévale</w:t>
      </w:r>
      <w:proofErr w:type="spellEnd"/>
      <w:r w:rsidRPr="00A472FC">
        <w:rPr>
          <w:rFonts w:ascii="Times New Roman" w:hAnsi="Times New Roman" w:cs="Times New Roman"/>
          <w:i/>
          <w:iCs/>
          <w:sz w:val="24"/>
          <w:szCs w:val="24"/>
          <w:lang w:val="en-US"/>
        </w:rPr>
        <w:t xml:space="preserve"> </w:t>
      </w:r>
      <w:r w:rsidRPr="00A472FC">
        <w:rPr>
          <w:rFonts w:ascii="Times New Roman" w:hAnsi="Times New Roman" w:cs="Times New Roman"/>
          <w:sz w:val="24"/>
          <w:szCs w:val="24"/>
          <w:lang w:val="en-US"/>
        </w:rPr>
        <w:t>62 (1995)</w:t>
      </w:r>
      <w:r w:rsidR="007B78B9" w:rsidRPr="00A472FC">
        <w:rPr>
          <w:rFonts w:ascii="Times New Roman" w:hAnsi="Times New Roman" w:cs="Times New Roman"/>
          <w:sz w:val="24"/>
          <w:szCs w:val="24"/>
          <w:lang w:val="en-US"/>
        </w:rPr>
        <w:t xml:space="preserve">: </w:t>
      </w:r>
      <w:r w:rsidRPr="00A472FC">
        <w:rPr>
          <w:rFonts w:ascii="Times New Roman" w:hAnsi="Times New Roman" w:cs="Times New Roman"/>
          <w:sz w:val="24"/>
          <w:szCs w:val="24"/>
          <w:lang w:val="en-US"/>
        </w:rPr>
        <w:t>71-9.</w:t>
      </w:r>
    </w:p>
    <w:p w14:paraId="7E3F0C56" w14:textId="40CBA1D6" w:rsidR="006F4786" w:rsidRPr="00A472FC" w:rsidRDefault="006F4786" w:rsidP="00881604">
      <w:pPr>
        <w:pStyle w:val="FootnoteText"/>
        <w:ind w:left="709" w:right="-52" w:hanging="709"/>
        <w:rPr>
          <w:rFonts w:ascii="Times New Roman" w:hAnsi="Times New Roman" w:cs="Times New Roman"/>
          <w:sz w:val="24"/>
          <w:szCs w:val="24"/>
        </w:rPr>
      </w:pPr>
      <w:r w:rsidRPr="00A472FC">
        <w:rPr>
          <w:rFonts w:ascii="Times New Roman" w:hAnsi="Times New Roman" w:cs="Times New Roman"/>
          <w:sz w:val="24"/>
          <w:szCs w:val="24"/>
        </w:rPr>
        <w:t xml:space="preserve">Cross, Richard. </w:t>
      </w:r>
      <w:r w:rsidRPr="00A472FC">
        <w:rPr>
          <w:rFonts w:ascii="Times New Roman" w:hAnsi="Times New Roman" w:cs="Times New Roman"/>
          <w:i/>
          <w:iCs/>
          <w:sz w:val="24"/>
          <w:szCs w:val="24"/>
        </w:rPr>
        <w:t xml:space="preserve">Duns Scotus’ Theory of Cognition. </w:t>
      </w:r>
      <w:r w:rsidRPr="00A472FC">
        <w:rPr>
          <w:rFonts w:ascii="Times New Roman" w:hAnsi="Times New Roman" w:cs="Times New Roman"/>
          <w:sz w:val="24"/>
          <w:szCs w:val="24"/>
        </w:rPr>
        <w:t>Oxford: Oxford University Press, 2014.</w:t>
      </w:r>
    </w:p>
    <w:p w14:paraId="5192A236" w14:textId="5DF12B23" w:rsidR="006F4786" w:rsidRPr="00A472FC" w:rsidRDefault="006F4786" w:rsidP="00881604">
      <w:pPr>
        <w:pStyle w:val="FootnoteText"/>
        <w:ind w:left="709" w:right="-52" w:hanging="709"/>
        <w:rPr>
          <w:rFonts w:ascii="Times New Roman" w:hAnsi="Times New Roman" w:cs="Times New Roman"/>
          <w:sz w:val="24"/>
          <w:szCs w:val="24"/>
        </w:rPr>
      </w:pPr>
      <w:r w:rsidRPr="00A472FC">
        <w:rPr>
          <w:rFonts w:ascii="Times New Roman" w:hAnsi="Times New Roman" w:cs="Times New Roman"/>
          <w:sz w:val="24"/>
          <w:szCs w:val="24"/>
        </w:rPr>
        <w:t xml:space="preserve">———. ‘The Reception of John of Damascus in the </w:t>
      </w:r>
      <w:r w:rsidRPr="00A472FC">
        <w:rPr>
          <w:rFonts w:ascii="Times New Roman" w:hAnsi="Times New Roman" w:cs="Times New Roman"/>
          <w:i/>
          <w:iCs/>
          <w:sz w:val="24"/>
          <w:szCs w:val="24"/>
        </w:rPr>
        <w:t xml:space="preserve">Summa </w:t>
      </w:r>
      <w:proofErr w:type="spellStart"/>
      <w:r w:rsidRPr="00A472FC">
        <w:rPr>
          <w:rFonts w:ascii="Times New Roman" w:hAnsi="Times New Roman" w:cs="Times New Roman"/>
          <w:i/>
          <w:iCs/>
          <w:sz w:val="24"/>
          <w:szCs w:val="24"/>
        </w:rPr>
        <w:t>Halensis</w:t>
      </w:r>
      <w:proofErr w:type="spellEnd"/>
      <w:r w:rsidRPr="00A472FC">
        <w:rPr>
          <w:rFonts w:ascii="Times New Roman" w:hAnsi="Times New Roman" w:cs="Times New Roman"/>
          <w:i/>
          <w:iCs/>
          <w:sz w:val="24"/>
          <w:szCs w:val="24"/>
        </w:rPr>
        <w:t>.</w:t>
      </w:r>
      <w:r w:rsidRPr="00A472FC">
        <w:rPr>
          <w:rFonts w:ascii="Times New Roman" w:hAnsi="Times New Roman" w:cs="Times New Roman"/>
          <w:sz w:val="24"/>
          <w:szCs w:val="24"/>
        </w:rPr>
        <w:t>’</w:t>
      </w:r>
      <w:r w:rsidRPr="00A472FC">
        <w:rPr>
          <w:rFonts w:ascii="Times New Roman" w:hAnsi="Times New Roman" w:cs="Times New Roman"/>
          <w:i/>
          <w:iCs/>
          <w:sz w:val="24"/>
          <w:szCs w:val="24"/>
        </w:rPr>
        <w:t xml:space="preserve"> </w:t>
      </w:r>
      <w:r w:rsidRPr="00A472FC">
        <w:rPr>
          <w:rFonts w:ascii="Times New Roman" w:hAnsi="Times New Roman" w:cs="Times New Roman"/>
          <w:sz w:val="24"/>
          <w:szCs w:val="24"/>
        </w:rPr>
        <w:t xml:space="preserve">In </w:t>
      </w:r>
      <w:r w:rsidRPr="00A472FC">
        <w:rPr>
          <w:rFonts w:ascii="Times New Roman" w:hAnsi="Times New Roman" w:cs="Times New Roman"/>
          <w:i/>
          <w:iCs/>
          <w:sz w:val="24"/>
          <w:szCs w:val="24"/>
        </w:rPr>
        <w:t xml:space="preserve">The Summa </w:t>
      </w:r>
      <w:proofErr w:type="spellStart"/>
      <w:r w:rsidRPr="00A472FC">
        <w:rPr>
          <w:rFonts w:ascii="Times New Roman" w:hAnsi="Times New Roman" w:cs="Times New Roman"/>
          <w:i/>
          <w:iCs/>
          <w:sz w:val="24"/>
          <w:szCs w:val="24"/>
        </w:rPr>
        <w:t>Halensis</w:t>
      </w:r>
      <w:proofErr w:type="spellEnd"/>
      <w:r w:rsidRPr="00A472FC">
        <w:rPr>
          <w:rFonts w:ascii="Times New Roman" w:hAnsi="Times New Roman" w:cs="Times New Roman"/>
          <w:i/>
          <w:iCs/>
          <w:sz w:val="24"/>
          <w:szCs w:val="24"/>
        </w:rPr>
        <w:t xml:space="preserve">: Sources and Context, </w:t>
      </w:r>
      <w:r w:rsidRPr="00A472FC">
        <w:rPr>
          <w:rFonts w:ascii="Times New Roman" w:hAnsi="Times New Roman" w:cs="Times New Roman"/>
          <w:sz w:val="24"/>
          <w:szCs w:val="24"/>
        </w:rPr>
        <w:t>71-90. Edited by Lydia Schumacher. Berlin: De Gruyter, 2020.</w:t>
      </w:r>
    </w:p>
    <w:p w14:paraId="108F218B" w14:textId="3FFC6A9B" w:rsidR="006A6E61" w:rsidRPr="00A472FC" w:rsidRDefault="006A6E61" w:rsidP="00881604">
      <w:pPr>
        <w:pStyle w:val="FootnoteText"/>
        <w:ind w:left="709" w:right="-52" w:hanging="709"/>
        <w:rPr>
          <w:rFonts w:ascii="Times New Roman" w:hAnsi="Times New Roman" w:cs="Times New Roman"/>
          <w:sz w:val="24"/>
          <w:szCs w:val="24"/>
        </w:rPr>
      </w:pPr>
      <w:r w:rsidRPr="00A472FC">
        <w:rPr>
          <w:rFonts w:ascii="Times New Roman" w:hAnsi="Times New Roman" w:cs="Times New Roman"/>
          <w:sz w:val="24"/>
          <w:szCs w:val="24"/>
        </w:rPr>
        <w:t xml:space="preserve">Crow, Michael Bertram. </w:t>
      </w:r>
      <w:r w:rsidRPr="00A472FC">
        <w:rPr>
          <w:rFonts w:ascii="Times New Roman" w:hAnsi="Times New Roman" w:cs="Times New Roman"/>
          <w:i/>
          <w:iCs/>
          <w:sz w:val="24"/>
          <w:szCs w:val="24"/>
        </w:rPr>
        <w:t>The Changing Profile of the Natural Law.</w:t>
      </w:r>
      <w:r w:rsidRPr="00A472FC">
        <w:rPr>
          <w:rFonts w:ascii="Times New Roman" w:hAnsi="Times New Roman" w:cs="Times New Roman"/>
          <w:sz w:val="24"/>
          <w:szCs w:val="24"/>
        </w:rPr>
        <w:t xml:space="preserve"> The Hague: Martinus </w:t>
      </w:r>
      <w:proofErr w:type="spellStart"/>
      <w:r w:rsidRPr="00A472FC">
        <w:rPr>
          <w:rFonts w:ascii="Times New Roman" w:hAnsi="Times New Roman" w:cs="Times New Roman"/>
          <w:sz w:val="24"/>
          <w:szCs w:val="24"/>
        </w:rPr>
        <w:t>Nijhoff</w:t>
      </w:r>
      <w:proofErr w:type="spellEnd"/>
      <w:r w:rsidRPr="00A472FC">
        <w:rPr>
          <w:rFonts w:ascii="Times New Roman" w:hAnsi="Times New Roman" w:cs="Times New Roman"/>
          <w:sz w:val="24"/>
          <w:szCs w:val="24"/>
        </w:rPr>
        <w:t xml:space="preserve">, 1977; </w:t>
      </w:r>
      <w:proofErr w:type="spellStart"/>
      <w:r w:rsidRPr="00A472FC">
        <w:rPr>
          <w:rFonts w:ascii="Times New Roman" w:hAnsi="Times New Roman" w:cs="Times New Roman"/>
          <w:sz w:val="24"/>
          <w:szCs w:val="24"/>
        </w:rPr>
        <w:t>repr</w:t>
      </w:r>
      <w:proofErr w:type="spellEnd"/>
      <w:r w:rsidRPr="00A472FC">
        <w:rPr>
          <w:rFonts w:ascii="Times New Roman" w:hAnsi="Times New Roman" w:cs="Times New Roman"/>
          <w:sz w:val="24"/>
          <w:szCs w:val="24"/>
        </w:rPr>
        <w:t>. Leiden: Brill, 1978.</w:t>
      </w:r>
    </w:p>
    <w:p w14:paraId="5E0684AC" w14:textId="77777777" w:rsidR="006A6E61" w:rsidRPr="00A472FC" w:rsidRDefault="006A6E61"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Crowley, Theodore. </w:t>
      </w:r>
      <w:r w:rsidRPr="00A472FC">
        <w:rPr>
          <w:rFonts w:ascii="Times New Roman" w:hAnsi="Times New Roman" w:cs="Times New Roman"/>
          <w:i/>
          <w:iCs/>
        </w:rPr>
        <w:t>Roger Bacon: The Problem of the Soul in His Philosophical Commentaries.</w:t>
      </w:r>
      <w:r w:rsidRPr="00A472FC">
        <w:rPr>
          <w:rFonts w:ascii="Times New Roman" w:hAnsi="Times New Roman" w:cs="Times New Roman"/>
        </w:rPr>
        <w:t xml:space="preserve"> Dublin: Maes Duffey, 1950.</w:t>
      </w:r>
    </w:p>
    <w:p w14:paraId="4DC6E90C" w14:textId="77777777" w:rsidR="00A33D61" w:rsidRPr="00A472FC" w:rsidRDefault="00A33D61"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Cullen, Christopher M</w:t>
      </w:r>
      <w:r w:rsidRPr="00A472FC">
        <w:rPr>
          <w:rFonts w:ascii="Times New Roman" w:hAnsi="Times New Roman" w:cs="Times New Roman"/>
          <w:i/>
          <w:iCs/>
        </w:rPr>
        <w:t>. Bonaventure</w:t>
      </w:r>
      <w:r w:rsidRPr="00A472FC">
        <w:rPr>
          <w:rFonts w:ascii="Times New Roman" w:hAnsi="Times New Roman" w:cs="Times New Roman"/>
        </w:rPr>
        <w:t xml:space="preserve">. Oxford: Oxford University Press, 2006. </w:t>
      </w:r>
    </w:p>
    <w:p w14:paraId="3B1C96A6" w14:textId="308A896D" w:rsidR="006A6E61" w:rsidRPr="00A472FC" w:rsidRDefault="006A6E61"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Curtin, Margaret M. ‘The </w:t>
      </w:r>
      <w:proofErr w:type="spellStart"/>
      <w:r w:rsidRPr="00A472FC">
        <w:rPr>
          <w:rFonts w:ascii="Times New Roman" w:hAnsi="Times New Roman" w:cs="Times New Roman"/>
          <w:i/>
        </w:rPr>
        <w:t>intellectus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agens</w:t>
      </w:r>
      <w:proofErr w:type="spellEnd"/>
      <w:r w:rsidRPr="00A472FC">
        <w:rPr>
          <w:rFonts w:ascii="Times New Roman" w:hAnsi="Times New Roman" w:cs="Times New Roman"/>
        </w:rPr>
        <w:t xml:space="preserve"> in the </w:t>
      </w:r>
      <w:r w:rsidRPr="00A472FC">
        <w:rPr>
          <w:rFonts w:ascii="Times New Roman" w:hAnsi="Times New Roman" w:cs="Times New Roman"/>
          <w:i/>
        </w:rPr>
        <w:t>Summa</w:t>
      </w:r>
      <w:r w:rsidRPr="00A472FC">
        <w:rPr>
          <w:rFonts w:ascii="Times New Roman" w:hAnsi="Times New Roman" w:cs="Times New Roman"/>
        </w:rPr>
        <w:t xml:space="preserve"> of Alexander of Hales.’ </w:t>
      </w:r>
      <w:r w:rsidRPr="00A472FC">
        <w:rPr>
          <w:rFonts w:ascii="Times New Roman" w:hAnsi="Times New Roman" w:cs="Times New Roman"/>
          <w:i/>
          <w:iCs/>
        </w:rPr>
        <w:t xml:space="preserve">Franciscan Studies </w:t>
      </w:r>
      <w:r w:rsidRPr="00A472FC">
        <w:rPr>
          <w:rFonts w:ascii="Times New Roman" w:hAnsi="Times New Roman" w:cs="Times New Roman"/>
        </w:rPr>
        <w:t>5 (1945): 418-33.</w:t>
      </w:r>
    </w:p>
    <w:p w14:paraId="67F82FCD" w14:textId="072DBAD6" w:rsidR="00D5071E" w:rsidRPr="00A472FC" w:rsidRDefault="00D5071E"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Cvetković</w:t>
      </w:r>
      <w:proofErr w:type="spellEnd"/>
      <w:r w:rsidRPr="00A472FC">
        <w:rPr>
          <w:rFonts w:ascii="Times New Roman" w:hAnsi="Times New Roman" w:cs="Times New Roman"/>
        </w:rPr>
        <w:t xml:space="preserve">, Carmen Angela. </w:t>
      </w:r>
      <w:r w:rsidRPr="00A472FC">
        <w:rPr>
          <w:rFonts w:ascii="Times New Roman" w:hAnsi="Times New Roman" w:cs="Times New Roman"/>
          <w:i/>
          <w:iCs/>
        </w:rPr>
        <w:t xml:space="preserve">Seeking the Face of God: A Study on Augustine’s Reception in the Mystical Thought of Bernard of </w:t>
      </w:r>
      <w:proofErr w:type="spellStart"/>
      <w:r w:rsidRPr="00A472FC">
        <w:rPr>
          <w:rFonts w:ascii="Times New Roman" w:hAnsi="Times New Roman" w:cs="Times New Roman"/>
          <w:i/>
          <w:iCs/>
        </w:rPr>
        <w:t>Clairvaux</w:t>
      </w:r>
      <w:proofErr w:type="spellEnd"/>
      <w:r w:rsidRPr="00A472FC">
        <w:rPr>
          <w:rFonts w:ascii="Times New Roman" w:hAnsi="Times New Roman" w:cs="Times New Roman"/>
          <w:i/>
          <w:iCs/>
        </w:rPr>
        <w:t xml:space="preserve"> and William of St Thierry</w:t>
      </w:r>
      <w:r w:rsidR="003B3B73" w:rsidRPr="00A472FC">
        <w:rPr>
          <w:rFonts w:ascii="Times New Roman" w:hAnsi="Times New Roman" w:cs="Times New Roman"/>
          <w:i/>
          <w:iCs/>
        </w:rPr>
        <w:t xml:space="preserve">.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xml:space="preserve">, 2012. </w:t>
      </w:r>
    </w:p>
    <w:p w14:paraId="52CC21D0" w14:textId="5CDEBCA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D’Ancona, Cristina. ‘The Origins of Islamic Philosophy.’ In </w:t>
      </w:r>
      <w:r w:rsidRPr="00A472FC">
        <w:rPr>
          <w:rFonts w:ascii="Times New Roman" w:hAnsi="Times New Roman" w:cs="Times New Roman"/>
          <w:i/>
          <w:iCs/>
        </w:rPr>
        <w:t>The Cambridge History of Philosophy in Late Antiquity</w:t>
      </w:r>
      <w:r w:rsidRPr="00A472FC">
        <w:rPr>
          <w:rFonts w:ascii="Times New Roman" w:hAnsi="Times New Roman" w:cs="Times New Roman"/>
        </w:rPr>
        <w:t>. Edited by Lloyd Gerson, 869-93. Cambridge: Cambridge University Press, 2000.</w:t>
      </w:r>
    </w:p>
    <w:p w14:paraId="7C3A1BA6" w14:textId="465A8E8E"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‘The </w:t>
      </w:r>
      <w:r w:rsidRPr="00A472FC">
        <w:rPr>
          <w:rFonts w:ascii="Times New Roman" w:hAnsi="Times New Roman" w:cs="Times New Roman"/>
          <w:i/>
          <w:iCs/>
        </w:rPr>
        <w:t xml:space="preserve">Liber de </w:t>
      </w:r>
      <w:proofErr w:type="spellStart"/>
      <w:r w:rsidRPr="00A472FC">
        <w:rPr>
          <w:rFonts w:ascii="Times New Roman" w:hAnsi="Times New Roman" w:cs="Times New Roman"/>
          <w:i/>
          <w:iCs/>
        </w:rPr>
        <w:t>causis</w:t>
      </w:r>
      <w:proofErr w:type="spellEnd"/>
      <w:r w:rsidRPr="00A472FC">
        <w:rPr>
          <w:rFonts w:ascii="Times New Roman" w:hAnsi="Times New Roman" w:cs="Times New Roman"/>
        </w:rPr>
        <w:t xml:space="preserve">.’ In </w:t>
      </w:r>
      <w:r w:rsidRPr="00A472FC">
        <w:rPr>
          <w:rFonts w:ascii="Times New Roman" w:hAnsi="Times New Roman" w:cs="Times New Roman"/>
          <w:i/>
          <w:iCs/>
        </w:rPr>
        <w:t xml:space="preserve">Interpreting </w:t>
      </w:r>
      <w:proofErr w:type="spellStart"/>
      <w:r w:rsidRPr="00A472FC">
        <w:rPr>
          <w:rFonts w:ascii="Times New Roman" w:hAnsi="Times New Roman" w:cs="Times New Roman"/>
          <w:i/>
          <w:iCs/>
        </w:rPr>
        <w:t>Proclus</w:t>
      </w:r>
      <w:proofErr w:type="spellEnd"/>
      <w:r w:rsidRPr="00A472FC">
        <w:rPr>
          <w:rFonts w:ascii="Times New Roman" w:hAnsi="Times New Roman" w:cs="Times New Roman"/>
          <w:i/>
          <w:iCs/>
        </w:rPr>
        <w:t>: From Antiquity to the Renaissance</w:t>
      </w:r>
      <w:r w:rsidR="00984456" w:rsidRPr="00A472FC">
        <w:rPr>
          <w:rFonts w:ascii="Times New Roman" w:hAnsi="Times New Roman" w:cs="Times New Roman"/>
        </w:rPr>
        <w:t>:</w:t>
      </w:r>
      <w:r w:rsidR="00D72BA6" w:rsidRPr="00A472FC">
        <w:rPr>
          <w:rFonts w:ascii="Times New Roman" w:hAnsi="Times New Roman" w:cs="Times New Roman"/>
        </w:rPr>
        <w:t xml:space="preserve"> E</w:t>
      </w:r>
      <w:r w:rsidRPr="00A472FC">
        <w:rPr>
          <w:rFonts w:ascii="Times New Roman" w:hAnsi="Times New Roman" w:cs="Times New Roman"/>
        </w:rPr>
        <w:t xml:space="preserve">dited by Stephen </w:t>
      </w:r>
      <w:proofErr w:type="spellStart"/>
      <w:r w:rsidRPr="00A472FC">
        <w:rPr>
          <w:rFonts w:ascii="Times New Roman" w:hAnsi="Times New Roman" w:cs="Times New Roman"/>
        </w:rPr>
        <w:t>Gersh</w:t>
      </w:r>
      <w:proofErr w:type="spellEnd"/>
      <w:r w:rsidRPr="00A472FC">
        <w:rPr>
          <w:rFonts w:ascii="Times New Roman" w:hAnsi="Times New Roman" w:cs="Times New Roman"/>
        </w:rPr>
        <w:t>, 137-61. Cambridge: Cambridge University Press, 2014.</w:t>
      </w:r>
    </w:p>
    <w:p w14:paraId="5C43AF81" w14:textId="77777777" w:rsidR="006A6E61" w:rsidRPr="00A472FC" w:rsidRDefault="006A6E61" w:rsidP="00881604">
      <w:pPr>
        <w:ind w:left="567" w:right="-52" w:hanging="567"/>
        <w:rPr>
          <w:rFonts w:ascii="Times New Roman" w:eastAsia="Times New Roman" w:hAnsi="Times New Roman" w:cs="Times New Roman"/>
          <w:color w:val="000000"/>
        </w:rPr>
      </w:pPr>
      <w:proofErr w:type="spellStart"/>
      <w:r w:rsidRPr="00A472FC">
        <w:rPr>
          <w:rFonts w:ascii="Times New Roman" w:eastAsia="Times New Roman" w:hAnsi="Times New Roman" w:cs="Times New Roman"/>
          <w:color w:val="000000"/>
        </w:rPr>
        <w:t>Dahan</w:t>
      </w:r>
      <w:proofErr w:type="spellEnd"/>
      <w:r w:rsidRPr="00A472FC">
        <w:rPr>
          <w:rFonts w:ascii="Times New Roman" w:eastAsia="Times New Roman" w:hAnsi="Times New Roman" w:cs="Times New Roman"/>
          <w:color w:val="000000"/>
        </w:rPr>
        <w:t>, Gilbert. ‘</w:t>
      </w:r>
      <w:proofErr w:type="spellStart"/>
      <w:r w:rsidRPr="00A472FC">
        <w:rPr>
          <w:rFonts w:ascii="Times New Roman" w:eastAsia="Times New Roman" w:hAnsi="Times New Roman" w:cs="Times New Roman"/>
          <w:color w:val="000000"/>
        </w:rPr>
        <w:t>Une</w:t>
      </w:r>
      <w:proofErr w:type="spellEnd"/>
      <w:r w:rsidRPr="00A472FC">
        <w:rPr>
          <w:rFonts w:ascii="Times New Roman" w:eastAsia="Times New Roman" w:hAnsi="Times New Roman" w:cs="Times New Roman"/>
          <w:color w:val="000000"/>
        </w:rPr>
        <w:t xml:space="preserve"> introduction à l’étude de la philosophie: </w:t>
      </w:r>
      <w:r w:rsidRPr="00A472FC">
        <w:rPr>
          <w:rFonts w:ascii="Times New Roman" w:eastAsia="Times New Roman" w:hAnsi="Times New Roman" w:cs="Times New Roman"/>
          <w:i/>
          <w:iCs/>
          <w:color w:val="000000"/>
        </w:rPr>
        <w:t xml:space="preserve">Ut </w:t>
      </w:r>
      <w:proofErr w:type="spellStart"/>
      <w:r w:rsidRPr="00A472FC">
        <w:rPr>
          <w:rFonts w:ascii="Times New Roman" w:eastAsia="Times New Roman" w:hAnsi="Times New Roman" w:cs="Times New Roman"/>
          <w:i/>
          <w:iCs/>
          <w:color w:val="000000"/>
        </w:rPr>
        <w:t>ait</w:t>
      </w:r>
      <w:proofErr w:type="spellEnd"/>
      <w:r w:rsidRPr="00A472FC">
        <w:rPr>
          <w:rFonts w:ascii="Times New Roman" w:eastAsia="Times New Roman" w:hAnsi="Times New Roman" w:cs="Times New Roman"/>
          <w:i/>
          <w:iCs/>
          <w:color w:val="000000"/>
        </w:rPr>
        <w:t xml:space="preserve"> </w:t>
      </w:r>
      <w:proofErr w:type="spellStart"/>
      <w:r w:rsidRPr="00A472FC">
        <w:rPr>
          <w:rFonts w:ascii="Times New Roman" w:eastAsia="Times New Roman" w:hAnsi="Times New Roman" w:cs="Times New Roman"/>
          <w:i/>
          <w:iCs/>
          <w:color w:val="000000"/>
        </w:rPr>
        <w:t>Tullius</w:t>
      </w:r>
      <w:proofErr w:type="spellEnd"/>
      <w:r w:rsidRPr="00A472FC">
        <w:rPr>
          <w:rFonts w:ascii="Times New Roman" w:eastAsia="Times New Roman" w:hAnsi="Times New Roman" w:cs="Times New Roman"/>
          <w:color w:val="000000"/>
        </w:rPr>
        <w:t xml:space="preserve">.’ </w:t>
      </w:r>
      <w:r w:rsidRPr="00A472FC">
        <w:rPr>
          <w:rFonts w:ascii="Times New Roman" w:hAnsi="Times New Roman" w:cs="Times New Roman"/>
        </w:rPr>
        <w:t xml:space="preserve">In </w:t>
      </w:r>
      <w:proofErr w:type="spellStart"/>
      <w:r w:rsidRPr="00A472FC">
        <w:rPr>
          <w:rFonts w:ascii="Times New Roman" w:hAnsi="Times New Roman" w:cs="Times New Roman"/>
          <w:i/>
        </w:rPr>
        <w:t>L’enseignement</w:t>
      </w:r>
      <w:proofErr w:type="spellEnd"/>
      <w:r w:rsidRPr="00A472FC">
        <w:rPr>
          <w:rFonts w:ascii="Times New Roman" w:hAnsi="Times New Roman" w:cs="Times New Roman"/>
          <w:i/>
        </w:rPr>
        <w:t xml:space="preserve"> de la philosophie au XIIIe siècle: </w:t>
      </w:r>
      <w:proofErr w:type="spellStart"/>
      <w:r w:rsidRPr="00A472FC">
        <w:rPr>
          <w:rFonts w:ascii="Times New Roman" w:hAnsi="Times New Roman" w:cs="Times New Roman"/>
          <w:i/>
        </w:rPr>
        <w:t>Autour</w:t>
      </w:r>
      <w:proofErr w:type="spellEnd"/>
      <w:r w:rsidRPr="00A472FC">
        <w:rPr>
          <w:rFonts w:ascii="Times New Roman" w:hAnsi="Times New Roman" w:cs="Times New Roman"/>
          <w:i/>
        </w:rPr>
        <w:t xml:space="preserve"> du Guide de </w:t>
      </w:r>
      <w:proofErr w:type="spellStart"/>
      <w:r w:rsidRPr="00A472FC">
        <w:rPr>
          <w:rFonts w:ascii="Times New Roman" w:hAnsi="Times New Roman" w:cs="Times New Roman"/>
          <w:i/>
        </w:rPr>
        <w:t>l’étudiant</w:t>
      </w:r>
      <w:proofErr w:type="spellEnd"/>
      <w:r w:rsidRPr="00A472FC">
        <w:rPr>
          <w:rFonts w:ascii="Times New Roman" w:hAnsi="Times New Roman" w:cs="Times New Roman"/>
          <w:i/>
        </w:rPr>
        <w:t xml:space="preserve"> du ms. </w:t>
      </w:r>
      <w:proofErr w:type="spellStart"/>
      <w:r w:rsidRPr="00A472FC">
        <w:rPr>
          <w:rFonts w:ascii="Times New Roman" w:hAnsi="Times New Roman" w:cs="Times New Roman"/>
          <w:i/>
        </w:rPr>
        <w:t>Ripoll</w:t>
      </w:r>
      <w:proofErr w:type="spellEnd"/>
      <w:r w:rsidRPr="00A472FC">
        <w:rPr>
          <w:rFonts w:ascii="Times New Roman" w:hAnsi="Times New Roman" w:cs="Times New Roman"/>
          <w:i/>
        </w:rPr>
        <w:t xml:space="preserve"> 109</w:t>
      </w:r>
      <w:r w:rsidRPr="00A472FC">
        <w:rPr>
          <w:rFonts w:ascii="Times New Roman" w:hAnsi="Times New Roman" w:cs="Times New Roman"/>
          <w:iCs/>
        </w:rPr>
        <w:t>. E</w:t>
      </w:r>
      <w:r w:rsidRPr="00A472FC">
        <w:rPr>
          <w:rFonts w:ascii="Times New Roman" w:hAnsi="Times New Roman" w:cs="Times New Roman"/>
        </w:rPr>
        <w:t xml:space="preserve">dited by Claude Lafleur and Joanne Carrier, 3-58.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1997.</w:t>
      </w:r>
    </w:p>
    <w:p w14:paraId="2BB0DFFA" w14:textId="77777777" w:rsidR="006A6E61" w:rsidRPr="00A472FC" w:rsidRDefault="006A6E61" w:rsidP="00881604">
      <w:pPr>
        <w:autoSpaceDE w:val="0"/>
        <w:autoSpaceDN w:val="0"/>
        <w:adjustRightInd w:val="0"/>
        <w:ind w:left="567" w:right="-52" w:hanging="567"/>
        <w:rPr>
          <w:rFonts w:ascii="Times New Roman" w:hAnsi="Times New Roman" w:cs="Times New Roman"/>
        </w:rPr>
      </w:pPr>
      <w:r w:rsidRPr="00A472FC">
        <w:rPr>
          <w:rFonts w:ascii="Times New Roman" w:hAnsi="Times New Roman" w:cs="Times New Roman"/>
        </w:rPr>
        <w:t xml:space="preserve">Dales, Richard C. </w:t>
      </w:r>
      <w:r w:rsidRPr="00A472FC">
        <w:rPr>
          <w:rFonts w:ascii="Times New Roman" w:hAnsi="Times New Roman" w:cs="Times New Roman"/>
          <w:i/>
          <w:iCs/>
        </w:rPr>
        <w:t>The Problem of the Rational Soul in the Thirteenth Century.</w:t>
      </w:r>
      <w:r w:rsidRPr="00A472FC">
        <w:rPr>
          <w:rFonts w:ascii="Times New Roman" w:hAnsi="Times New Roman" w:cs="Times New Roman"/>
        </w:rPr>
        <w:t xml:space="preserve"> Leiden: Brill, 1995.</w:t>
      </w:r>
    </w:p>
    <w:p w14:paraId="3B8D33D1" w14:textId="77777777" w:rsidR="006A6E61" w:rsidRPr="00A472FC" w:rsidRDefault="006A6E61" w:rsidP="007C0F1B">
      <w:pPr>
        <w:autoSpaceDE w:val="0"/>
        <w:autoSpaceDN w:val="0"/>
        <w:adjustRightInd w:val="0"/>
        <w:ind w:left="709" w:right="-52" w:hanging="720"/>
        <w:rPr>
          <w:rFonts w:ascii="Times New Roman" w:hAnsi="Times New Roman" w:cs="Times New Roman"/>
        </w:rPr>
      </w:pPr>
      <w:r w:rsidRPr="00A472FC">
        <w:rPr>
          <w:rFonts w:ascii="Times New Roman" w:hAnsi="Times New Roman" w:cs="Times New Roman"/>
        </w:rPr>
        <w:t xml:space="preserve">———. ‘The Understanding of Aristotle’s Natural Philosophy by the Early Scholastics.’ In </w:t>
      </w:r>
      <w:r w:rsidRPr="00A472FC">
        <w:rPr>
          <w:rFonts w:ascii="Times New Roman" w:hAnsi="Times New Roman" w:cs="Times New Roman"/>
          <w:i/>
          <w:iCs/>
        </w:rPr>
        <w:t xml:space="preserve">The Intellectual Climate of the Early University: Essays in </w:t>
      </w:r>
      <w:proofErr w:type="spellStart"/>
      <w:r w:rsidRPr="00A472FC">
        <w:rPr>
          <w:rFonts w:ascii="Times New Roman" w:hAnsi="Times New Roman" w:cs="Times New Roman"/>
          <w:i/>
          <w:iCs/>
        </w:rPr>
        <w:t>Honor</w:t>
      </w:r>
      <w:proofErr w:type="spellEnd"/>
      <w:r w:rsidRPr="00A472FC">
        <w:rPr>
          <w:rFonts w:ascii="Times New Roman" w:hAnsi="Times New Roman" w:cs="Times New Roman"/>
          <w:i/>
          <w:iCs/>
        </w:rPr>
        <w:t xml:space="preserve"> of Otto </w:t>
      </w:r>
      <w:proofErr w:type="spellStart"/>
      <w:r w:rsidRPr="00A472FC">
        <w:rPr>
          <w:rFonts w:ascii="Times New Roman" w:hAnsi="Times New Roman" w:cs="Times New Roman"/>
          <w:i/>
          <w:iCs/>
        </w:rPr>
        <w:t>Gründler</w:t>
      </w:r>
      <w:proofErr w:type="spellEnd"/>
      <w:r w:rsidRPr="00A472FC">
        <w:rPr>
          <w:rFonts w:ascii="Times New Roman" w:hAnsi="Times New Roman" w:cs="Times New Roman"/>
        </w:rPr>
        <w:t xml:space="preserve">. Edited by Nancy van </w:t>
      </w:r>
      <w:proofErr w:type="spellStart"/>
      <w:r w:rsidRPr="00A472FC">
        <w:rPr>
          <w:rFonts w:ascii="Times New Roman" w:hAnsi="Times New Roman" w:cs="Times New Roman"/>
        </w:rPr>
        <w:t>Deusen</w:t>
      </w:r>
      <w:proofErr w:type="spellEnd"/>
      <w:r w:rsidRPr="00A472FC">
        <w:rPr>
          <w:rFonts w:ascii="Times New Roman" w:hAnsi="Times New Roman" w:cs="Times New Roman"/>
        </w:rPr>
        <w:t>, 141-50. Kalamazoo: Medieval Institute Publications, Western Michigan University, 1997.</w:t>
      </w:r>
    </w:p>
    <w:p w14:paraId="31E847AC" w14:textId="74588216" w:rsidR="00DB54D9" w:rsidRPr="00A472FC" w:rsidRDefault="00AA4213" w:rsidP="007C0F1B">
      <w:pPr>
        <w:autoSpaceDE w:val="0"/>
        <w:autoSpaceDN w:val="0"/>
        <w:adjustRightInd w:val="0"/>
        <w:ind w:left="709" w:hanging="709"/>
        <w:rPr>
          <w:rFonts w:ascii="Times New Roman" w:hAnsi="Times New Roman" w:cs="Times New Roman"/>
        </w:rPr>
      </w:pPr>
      <w:proofErr w:type="spellStart"/>
      <w:r w:rsidRPr="00A472FC">
        <w:rPr>
          <w:rFonts w:ascii="Times New Roman" w:hAnsi="Times New Roman" w:cs="Times New Roman"/>
        </w:rPr>
        <w:t>Dalfardi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Behnam</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Babak</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Daneshfard</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Golnoush</w:t>
      </w:r>
      <w:proofErr w:type="spellEnd"/>
      <w:r w:rsidRPr="00A472FC">
        <w:rPr>
          <w:rFonts w:ascii="Times New Roman" w:hAnsi="Times New Roman" w:cs="Times New Roman"/>
        </w:rPr>
        <w:t xml:space="preserve"> Sadat </w:t>
      </w:r>
      <w:proofErr w:type="spellStart"/>
      <w:r w:rsidRPr="00A472FC">
        <w:rPr>
          <w:rFonts w:ascii="Times New Roman" w:hAnsi="Times New Roman" w:cs="Times New Roman"/>
        </w:rPr>
        <w:t>Mahmoudi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Nezhad</w:t>
      </w:r>
      <w:proofErr w:type="spellEnd"/>
      <w:r w:rsidR="00DB54D9" w:rsidRPr="00A472FC">
        <w:rPr>
          <w:rFonts w:ascii="Times New Roman" w:hAnsi="Times New Roman" w:cs="Times New Roman"/>
        </w:rPr>
        <w:t xml:space="preserve">. </w:t>
      </w:r>
      <w:r w:rsidRPr="00A472FC">
        <w:rPr>
          <w:rFonts w:ascii="Times New Roman" w:hAnsi="Times New Roman" w:cs="Times New Roman"/>
        </w:rPr>
        <w:t>‘</w:t>
      </w:r>
      <w:proofErr w:type="spellStart"/>
      <w:r w:rsidRPr="00A472FC">
        <w:rPr>
          <w:rFonts w:ascii="Times New Roman" w:hAnsi="Times New Roman" w:cs="Times New Roman"/>
        </w:rPr>
        <w:t>Johannitius</w:t>
      </w:r>
      <w:proofErr w:type="spellEnd"/>
      <w:r w:rsidRPr="00A472FC">
        <w:rPr>
          <w:rFonts w:ascii="Times New Roman" w:hAnsi="Times New Roman" w:cs="Times New Roman"/>
        </w:rPr>
        <w:t xml:space="preserve"> (809-873 AD): A Mediev</w:t>
      </w:r>
      <w:r w:rsidR="00A30958" w:rsidRPr="00A472FC">
        <w:rPr>
          <w:rFonts w:ascii="Times New Roman" w:hAnsi="Times New Roman" w:cs="Times New Roman"/>
        </w:rPr>
        <w:t>al</w:t>
      </w:r>
      <w:r w:rsidRPr="00A472FC">
        <w:rPr>
          <w:rFonts w:ascii="Times New Roman" w:hAnsi="Times New Roman" w:cs="Times New Roman"/>
        </w:rPr>
        <w:t xml:space="preserve"> Physician, Translator and Author</w:t>
      </w:r>
      <w:r w:rsidR="00DB54D9" w:rsidRPr="00A472FC">
        <w:rPr>
          <w:rFonts w:ascii="Times New Roman" w:hAnsi="Times New Roman" w:cs="Times New Roman"/>
        </w:rPr>
        <w:t>.</w:t>
      </w:r>
      <w:r w:rsidRPr="00A472FC">
        <w:rPr>
          <w:rFonts w:ascii="Times New Roman" w:hAnsi="Times New Roman" w:cs="Times New Roman"/>
        </w:rPr>
        <w:t xml:space="preserve">’ </w:t>
      </w:r>
      <w:r w:rsidRPr="00A472FC">
        <w:rPr>
          <w:rFonts w:ascii="Times New Roman" w:hAnsi="Times New Roman" w:cs="Times New Roman"/>
          <w:i/>
          <w:iCs/>
        </w:rPr>
        <w:t>Journal of Medical Biography</w:t>
      </w:r>
      <w:r w:rsidRPr="00A472FC">
        <w:rPr>
          <w:rFonts w:ascii="Times New Roman" w:hAnsi="Times New Roman" w:cs="Times New Roman"/>
        </w:rPr>
        <w:t xml:space="preserve"> 24:3 (2016)</w:t>
      </w:r>
      <w:r w:rsidR="003A30BB" w:rsidRPr="00A472FC">
        <w:rPr>
          <w:rFonts w:ascii="Times New Roman" w:hAnsi="Times New Roman" w:cs="Times New Roman"/>
        </w:rPr>
        <w:t>:</w:t>
      </w:r>
      <w:r w:rsidRPr="00A472FC">
        <w:rPr>
          <w:rFonts w:ascii="Times New Roman" w:hAnsi="Times New Roman" w:cs="Times New Roman"/>
        </w:rPr>
        <w:t xml:space="preserve"> 328-30.</w:t>
      </w:r>
    </w:p>
    <w:p w14:paraId="12B5FDF2" w14:textId="5F9CF8BD" w:rsidR="007C0F1B" w:rsidRPr="00A472FC" w:rsidRDefault="002D18FF" w:rsidP="007C0F1B">
      <w:pPr>
        <w:autoSpaceDE w:val="0"/>
        <w:autoSpaceDN w:val="0"/>
        <w:adjustRightInd w:val="0"/>
        <w:ind w:left="709" w:hanging="709"/>
        <w:rPr>
          <w:rFonts w:ascii="Times New Roman" w:hAnsi="Times New Roman" w:cs="Times New Roman"/>
        </w:rPr>
      </w:pPr>
      <w:r w:rsidRPr="00A472FC">
        <w:rPr>
          <w:rFonts w:ascii="Times New Roman" w:hAnsi="Times New Roman" w:cs="Times New Roman"/>
        </w:rPr>
        <w:t>D</w:t>
      </w:r>
      <w:r w:rsidR="007C0F1B" w:rsidRPr="00A472FC">
        <w:rPr>
          <w:rFonts w:ascii="Times New Roman" w:hAnsi="Times New Roman" w:cs="Times New Roman"/>
        </w:rPr>
        <w:t xml:space="preserve">e </w:t>
      </w:r>
      <w:proofErr w:type="spellStart"/>
      <w:r w:rsidR="007C0F1B" w:rsidRPr="00A472FC">
        <w:rPr>
          <w:rFonts w:ascii="Times New Roman" w:hAnsi="Times New Roman" w:cs="Times New Roman"/>
        </w:rPr>
        <w:t>Ridder-Symoens</w:t>
      </w:r>
      <w:proofErr w:type="spellEnd"/>
      <w:r w:rsidR="007C0F1B" w:rsidRPr="00A472FC">
        <w:rPr>
          <w:rFonts w:ascii="Times New Roman" w:hAnsi="Times New Roman" w:cs="Times New Roman"/>
        </w:rPr>
        <w:t xml:space="preserve">, </w:t>
      </w:r>
      <w:proofErr w:type="spellStart"/>
      <w:r w:rsidR="007C0F1B" w:rsidRPr="00A472FC">
        <w:rPr>
          <w:rFonts w:ascii="Times New Roman" w:hAnsi="Times New Roman" w:cs="Times New Roman"/>
        </w:rPr>
        <w:t>Hilde</w:t>
      </w:r>
      <w:proofErr w:type="spellEnd"/>
      <w:r w:rsidR="007C0F1B" w:rsidRPr="00A472FC">
        <w:rPr>
          <w:rFonts w:ascii="Times New Roman" w:hAnsi="Times New Roman" w:cs="Times New Roman"/>
        </w:rPr>
        <w:t xml:space="preserve"> and Walter </w:t>
      </w:r>
      <w:proofErr w:type="spellStart"/>
      <w:r w:rsidR="007C0F1B" w:rsidRPr="00A472FC">
        <w:rPr>
          <w:rFonts w:ascii="Times New Roman" w:hAnsi="Times New Roman" w:cs="Times New Roman"/>
        </w:rPr>
        <w:t>Rüegg</w:t>
      </w:r>
      <w:proofErr w:type="spellEnd"/>
      <w:r w:rsidR="007C0F1B" w:rsidRPr="00A472FC">
        <w:rPr>
          <w:rFonts w:ascii="Times New Roman" w:hAnsi="Times New Roman" w:cs="Times New Roman"/>
        </w:rPr>
        <w:t xml:space="preserve">. </w:t>
      </w:r>
      <w:r w:rsidR="007C0F1B" w:rsidRPr="00A472FC">
        <w:rPr>
          <w:rFonts w:ascii="Times New Roman" w:hAnsi="Times New Roman" w:cs="Times New Roman"/>
          <w:i/>
          <w:iCs/>
        </w:rPr>
        <w:t>A History of the University in Europe</w:t>
      </w:r>
      <w:r w:rsidR="007C0F1B" w:rsidRPr="00A472FC">
        <w:rPr>
          <w:rFonts w:ascii="Times New Roman" w:hAnsi="Times New Roman" w:cs="Times New Roman"/>
        </w:rPr>
        <w:t>, 4 vols. Cambridge: Cambridge University Press, 1992-2011.</w:t>
      </w:r>
      <w:r w:rsidR="007C0F1B" w:rsidRPr="00A472FC">
        <w:rPr>
          <w:rFonts w:ascii="Times New Roman" w:hAnsi="Times New Roman" w:cs="Times New Roman"/>
          <w:lang w:val="en-US"/>
        </w:rPr>
        <w:t xml:space="preserve"> </w:t>
      </w:r>
    </w:p>
    <w:p w14:paraId="3309A308" w14:textId="1F735B17" w:rsidR="006A6E61" w:rsidRPr="00A472FC" w:rsidRDefault="002D18FF" w:rsidP="007C0F1B">
      <w:pPr>
        <w:autoSpaceDE w:val="0"/>
        <w:autoSpaceDN w:val="0"/>
        <w:adjustRightInd w:val="0"/>
        <w:ind w:left="709" w:right="-52" w:hanging="720"/>
        <w:rPr>
          <w:rFonts w:ascii="Times New Roman" w:hAnsi="Times New Roman" w:cs="Times New Roman"/>
          <w:lang w:val="en-US"/>
        </w:rPr>
      </w:pPr>
      <w:proofErr w:type="spellStart"/>
      <w:r w:rsidRPr="00A472FC">
        <w:rPr>
          <w:rFonts w:ascii="Times New Roman" w:hAnsi="Times New Roman" w:cs="Times New Roman"/>
          <w:lang w:val="en-US"/>
        </w:rPr>
        <w:t>D</w:t>
      </w:r>
      <w:r w:rsidR="006A6E61" w:rsidRPr="00A472FC">
        <w:rPr>
          <w:rFonts w:ascii="Times New Roman" w:hAnsi="Times New Roman" w:cs="Times New Roman"/>
          <w:lang w:val="en-US"/>
        </w:rPr>
        <w:t>'Esneval</w:t>
      </w:r>
      <w:proofErr w:type="spellEnd"/>
      <w:r w:rsidR="006A6E61" w:rsidRPr="00A472FC">
        <w:rPr>
          <w:rFonts w:ascii="Times New Roman" w:hAnsi="Times New Roman" w:cs="Times New Roman"/>
          <w:lang w:val="en-US"/>
        </w:rPr>
        <w:t>, A</w:t>
      </w:r>
      <w:r w:rsidR="00744837" w:rsidRPr="00A472FC">
        <w:rPr>
          <w:rFonts w:ascii="Times New Roman" w:hAnsi="Times New Roman" w:cs="Times New Roman"/>
          <w:lang w:val="en-US"/>
        </w:rPr>
        <w:t>.</w:t>
      </w:r>
      <w:r w:rsidR="006A6E61" w:rsidRPr="00A472FC">
        <w:rPr>
          <w:rFonts w:ascii="Times New Roman" w:hAnsi="Times New Roman" w:cs="Times New Roman"/>
          <w:lang w:val="en-US"/>
        </w:rPr>
        <w:t xml:space="preserve"> ‘La division de la Vulgate </w:t>
      </w:r>
      <w:proofErr w:type="spellStart"/>
      <w:r w:rsidR="006A6E61" w:rsidRPr="00A472FC">
        <w:rPr>
          <w:rFonts w:ascii="Times New Roman" w:hAnsi="Times New Roman" w:cs="Times New Roman"/>
          <w:lang w:val="en-US"/>
        </w:rPr>
        <w:t>latine</w:t>
      </w:r>
      <w:proofErr w:type="spellEnd"/>
      <w:r w:rsidR="006A6E61" w:rsidRPr="00A472FC">
        <w:rPr>
          <w:rFonts w:ascii="Times New Roman" w:hAnsi="Times New Roman" w:cs="Times New Roman"/>
          <w:lang w:val="en-US"/>
        </w:rPr>
        <w:t xml:space="preserve"> en </w:t>
      </w:r>
      <w:proofErr w:type="spellStart"/>
      <w:r w:rsidR="006A6E61" w:rsidRPr="00A472FC">
        <w:rPr>
          <w:rFonts w:ascii="Times New Roman" w:hAnsi="Times New Roman" w:cs="Times New Roman"/>
          <w:lang w:val="en-US"/>
        </w:rPr>
        <w:t>chapitres</w:t>
      </w:r>
      <w:proofErr w:type="spellEnd"/>
      <w:r w:rsidR="006A6E61" w:rsidRPr="00A472FC">
        <w:rPr>
          <w:rFonts w:ascii="Times New Roman" w:hAnsi="Times New Roman" w:cs="Times New Roman"/>
          <w:lang w:val="en-US"/>
        </w:rPr>
        <w:t xml:space="preserve"> dans l'edition </w:t>
      </w:r>
      <w:proofErr w:type="spellStart"/>
      <w:r w:rsidR="006A6E61" w:rsidRPr="00A472FC">
        <w:rPr>
          <w:rFonts w:ascii="Times New Roman" w:hAnsi="Times New Roman" w:cs="Times New Roman"/>
          <w:lang w:val="en-US"/>
        </w:rPr>
        <w:t>parisienne</w:t>
      </w:r>
      <w:proofErr w:type="spellEnd"/>
      <w:r w:rsidR="006A6E61" w:rsidRPr="00A472FC">
        <w:rPr>
          <w:rFonts w:ascii="Times New Roman" w:hAnsi="Times New Roman" w:cs="Times New Roman"/>
          <w:lang w:val="en-US"/>
        </w:rPr>
        <w:t xml:space="preserve"> du XIII</w:t>
      </w:r>
      <w:r w:rsidR="00744837" w:rsidRPr="00A472FC">
        <w:rPr>
          <w:rFonts w:ascii="Times New Roman" w:hAnsi="Times New Roman" w:cs="Times New Roman"/>
          <w:lang w:val="en-US"/>
        </w:rPr>
        <w:t>e</w:t>
      </w:r>
      <w:r w:rsidR="006A6E61" w:rsidRPr="00A472FC">
        <w:rPr>
          <w:rFonts w:ascii="Times New Roman" w:hAnsi="Times New Roman" w:cs="Times New Roman"/>
          <w:lang w:val="en-US"/>
        </w:rPr>
        <w:t xml:space="preserve"> siècle.’ </w:t>
      </w:r>
      <w:r w:rsidR="006A6E61" w:rsidRPr="00A472FC">
        <w:rPr>
          <w:rFonts w:ascii="Times New Roman" w:hAnsi="Times New Roman" w:cs="Times New Roman"/>
          <w:i/>
          <w:lang w:val="en-US"/>
        </w:rPr>
        <w:t xml:space="preserve">Revue des sciences </w:t>
      </w:r>
      <w:proofErr w:type="spellStart"/>
      <w:r w:rsidR="006A6E61" w:rsidRPr="00A472FC">
        <w:rPr>
          <w:rFonts w:ascii="Times New Roman" w:hAnsi="Times New Roman" w:cs="Times New Roman"/>
          <w:i/>
          <w:lang w:val="en-US"/>
        </w:rPr>
        <w:t>philosophiques</w:t>
      </w:r>
      <w:proofErr w:type="spellEnd"/>
      <w:r w:rsidR="006A6E61" w:rsidRPr="00A472FC">
        <w:rPr>
          <w:rFonts w:ascii="Times New Roman" w:hAnsi="Times New Roman" w:cs="Times New Roman"/>
          <w:i/>
          <w:lang w:val="en-US"/>
        </w:rPr>
        <w:t xml:space="preserve"> et </w:t>
      </w:r>
      <w:proofErr w:type="spellStart"/>
      <w:r w:rsidR="006A6E61" w:rsidRPr="00A472FC">
        <w:rPr>
          <w:rFonts w:ascii="Times New Roman" w:hAnsi="Times New Roman" w:cs="Times New Roman"/>
          <w:i/>
          <w:lang w:val="en-US"/>
        </w:rPr>
        <w:t>theologiques</w:t>
      </w:r>
      <w:proofErr w:type="spellEnd"/>
      <w:r w:rsidR="006A6E61" w:rsidRPr="00A472FC">
        <w:rPr>
          <w:rFonts w:ascii="Times New Roman" w:hAnsi="Times New Roman" w:cs="Times New Roman"/>
          <w:lang w:val="en-US"/>
        </w:rPr>
        <w:t xml:space="preserve"> 62 (1978): 559-68.</w:t>
      </w:r>
    </w:p>
    <w:p w14:paraId="13C03609"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Davidson, Herbert A. </w:t>
      </w:r>
      <w:proofErr w:type="spellStart"/>
      <w:r w:rsidRPr="00A472FC">
        <w:rPr>
          <w:rFonts w:ascii="Times New Roman" w:hAnsi="Times New Roman" w:cs="Times New Roman"/>
          <w:i/>
          <w:iCs/>
        </w:rPr>
        <w:t>Alfarabi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Averroes</w:t>
      </w:r>
      <w:proofErr w:type="spellEnd"/>
      <w:r w:rsidRPr="00A472FC">
        <w:rPr>
          <w:rFonts w:ascii="Times New Roman" w:hAnsi="Times New Roman" w:cs="Times New Roman"/>
          <w:i/>
          <w:iCs/>
        </w:rPr>
        <w:t xml:space="preserve"> and Avicenna on Intellect.</w:t>
      </w:r>
      <w:r w:rsidRPr="00A472FC">
        <w:rPr>
          <w:rFonts w:ascii="Times New Roman" w:hAnsi="Times New Roman" w:cs="Times New Roman"/>
        </w:rPr>
        <w:t xml:space="preserve"> Oxford: Oxford University Press, 1992.</w:t>
      </w:r>
    </w:p>
    <w:p w14:paraId="4FE5BFB9" w14:textId="45D9C403"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Davis, Adam Jeffrey. </w:t>
      </w:r>
      <w:r w:rsidRPr="00A472FC">
        <w:rPr>
          <w:rFonts w:ascii="Times New Roman" w:hAnsi="Times New Roman" w:cs="Times New Roman"/>
          <w:i/>
          <w:iCs/>
        </w:rPr>
        <w:t xml:space="preserve">The Holy Bureaucrat: </w:t>
      </w:r>
      <w:proofErr w:type="spellStart"/>
      <w:r w:rsidRPr="00A472FC">
        <w:rPr>
          <w:rFonts w:ascii="Times New Roman" w:hAnsi="Times New Roman" w:cs="Times New Roman"/>
          <w:i/>
          <w:iCs/>
        </w:rPr>
        <w:t>Eudes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Rigaud</w:t>
      </w:r>
      <w:proofErr w:type="spellEnd"/>
      <w:r w:rsidRPr="00A472FC">
        <w:rPr>
          <w:rFonts w:ascii="Times New Roman" w:hAnsi="Times New Roman" w:cs="Times New Roman"/>
          <w:i/>
          <w:iCs/>
        </w:rPr>
        <w:t xml:space="preserve"> and Religious Reform in Thirteenth-</w:t>
      </w:r>
      <w:r w:rsidR="0039112E" w:rsidRPr="00A472FC">
        <w:rPr>
          <w:rFonts w:ascii="Times New Roman" w:hAnsi="Times New Roman" w:cs="Times New Roman"/>
          <w:i/>
          <w:iCs/>
        </w:rPr>
        <w:t>C</w:t>
      </w:r>
      <w:r w:rsidRPr="00A472FC">
        <w:rPr>
          <w:rFonts w:ascii="Times New Roman" w:hAnsi="Times New Roman" w:cs="Times New Roman"/>
          <w:i/>
          <w:iCs/>
        </w:rPr>
        <w:t>entury Normandy.</w:t>
      </w:r>
      <w:r w:rsidRPr="00A472FC">
        <w:rPr>
          <w:rFonts w:ascii="Times New Roman" w:hAnsi="Times New Roman" w:cs="Times New Roman"/>
        </w:rPr>
        <w:t xml:space="preserve"> Ithaca: Cornell University Press, 2006.</w:t>
      </w:r>
    </w:p>
    <w:p w14:paraId="3BF90ED9"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De </w:t>
      </w:r>
      <w:proofErr w:type="spellStart"/>
      <w:r w:rsidRPr="00A472FC">
        <w:rPr>
          <w:rFonts w:ascii="Times New Roman" w:hAnsi="Times New Roman" w:cs="Times New Roman"/>
        </w:rPr>
        <w:t>Contenson</w:t>
      </w:r>
      <w:proofErr w:type="spellEnd"/>
      <w:r w:rsidRPr="00A472FC">
        <w:rPr>
          <w:rFonts w:ascii="Times New Roman" w:hAnsi="Times New Roman" w:cs="Times New Roman"/>
        </w:rPr>
        <w:t>, P.-M. ‘</w:t>
      </w:r>
      <w:proofErr w:type="spellStart"/>
      <w:r w:rsidRPr="00A472FC">
        <w:rPr>
          <w:rFonts w:ascii="Times New Roman" w:hAnsi="Times New Roman" w:cs="Times New Roman"/>
        </w:rPr>
        <w:t>Avicennisme</w:t>
      </w:r>
      <w:proofErr w:type="spellEnd"/>
      <w:r w:rsidRPr="00A472FC">
        <w:rPr>
          <w:rFonts w:ascii="Times New Roman" w:hAnsi="Times New Roman" w:cs="Times New Roman"/>
        </w:rPr>
        <w:t xml:space="preserve"> latin et vision de </w:t>
      </w:r>
      <w:proofErr w:type="spellStart"/>
      <w:r w:rsidRPr="00A472FC">
        <w:rPr>
          <w:rFonts w:ascii="Times New Roman" w:hAnsi="Times New Roman" w:cs="Times New Roman"/>
        </w:rPr>
        <w:t>Dieu</w:t>
      </w:r>
      <w:proofErr w:type="spellEnd"/>
      <w:r w:rsidRPr="00A472FC">
        <w:rPr>
          <w:rFonts w:ascii="Times New Roman" w:hAnsi="Times New Roman" w:cs="Times New Roman"/>
        </w:rPr>
        <w:t xml:space="preserve"> au début du XIIIe siècle.’ </w:t>
      </w:r>
      <w:r w:rsidRPr="00A472FC">
        <w:rPr>
          <w:rFonts w:ascii="Times New Roman" w:hAnsi="Times New Roman" w:cs="Times New Roman"/>
          <w:i/>
          <w:iCs/>
        </w:rPr>
        <w:t xml:space="preserve">Archives </w:t>
      </w:r>
      <w:proofErr w:type="spellStart"/>
      <w:r w:rsidRPr="00A472FC">
        <w:rPr>
          <w:rFonts w:ascii="Times New Roman" w:hAnsi="Times New Roman" w:cs="Times New Roman"/>
          <w:i/>
          <w:iCs/>
        </w:rPr>
        <w:t>d'histoire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doctrinale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littéraire</w:t>
      </w:r>
      <w:proofErr w:type="spellEnd"/>
      <w:r w:rsidRPr="00A472FC">
        <w:rPr>
          <w:rFonts w:ascii="Times New Roman" w:hAnsi="Times New Roman" w:cs="Times New Roman"/>
          <w:i/>
          <w:iCs/>
        </w:rPr>
        <w:t xml:space="preserve"> du </w:t>
      </w:r>
      <w:proofErr w:type="spellStart"/>
      <w:r w:rsidRPr="00A472FC">
        <w:rPr>
          <w:rFonts w:ascii="Times New Roman" w:hAnsi="Times New Roman" w:cs="Times New Roman"/>
          <w:i/>
          <w:iCs/>
        </w:rPr>
        <w:t>Moyen</w:t>
      </w:r>
      <w:proofErr w:type="spellEnd"/>
      <w:r w:rsidRPr="00A472FC">
        <w:rPr>
          <w:rFonts w:ascii="Times New Roman" w:hAnsi="Times New Roman" w:cs="Times New Roman"/>
          <w:i/>
          <w:iCs/>
        </w:rPr>
        <w:t xml:space="preserve"> Age </w:t>
      </w:r>
      <w:r w:rsidRPr="00A472FC">
        <w:rPr>
          <w:rFonts w:ascii="Times New Roman" w:hAnsi="Times New Roman" w:cs="Times New Roman"/>
        </w:rPr>
        <w:t>34 (1959): 29-97.</w:t>
      </w:r>
    </w:p>
    <w:p w14:paraId="5CBB7139"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Déchanet</w:t>
      </w:r>
      <w:proofErr w:type="spellEnd"/>
      <w:r w:rsidRPr="00A472FC">
        <w:rPr>
          <w:rFonts w:ascii="Times New Roman" w:hAnsi="Times New Roman" w:cs="Times New Roman"/>
        </w:rPr>
        <w:t xml:space="preserve">, J.M. </w:t>
      </w:r>
      <w:r w:rsidRPr="00A472FC">
        <w:rPr>
          <w:rFonts w:ascii="Times New Roman" w:hAnsi="Times New Roman" w:cs="Times New Roman"/>
          <w:i/>
          <w:iCs/>
        </w:rPr>
        <w:t xml:space="preserve">Aux sources de la </w:t>
      </w:r>
      <w:proofErr w:type="spellStart"/>
      <w:r w:rsidRPr="00A472FC">
        <w:rPr>
          <w:rFonts w:ascii="Times New Roman" w:hAnsi="Times New Roman" w:cs="Times New Roman"/>
          <w:i/>
          <w:iCs/>
        </w:rPr>
        <w:t>spiritualité</w:t>
      </w:r>
      <w:proofErr w:type="spellEnd"/>
      <w:r w:rsidRPr="00A472FC">
        <w:rPr>
          <w:rFonts w:ascii="Times New Roman" w:hAnsi="Times New Roman" w:cs="Times New Roman"/>
          <w:i/>
          <w:iCs/>
        </w:rPr>
        <w:t xml:space="preserve"> de Guillaume de St Thierry. </w:t>
      </w:r>
      <w:r w:rsidRPr="00A472FC">
        <w:rPr>
          <w:rFonts w:ascii="Times New Roman" w:hAnsi="Times New Roman" w:cs="Times New Roman"/>
        </w:rPr>
        <w:t>Bruges, 1940.</w:t>
      </w:r>
    </w:p>
    <w:p w14:paraId="7F0A042B" w14:textId="77777777" w:rsidR="002C0B62" w:rsidRPr="00A472FC" w:rsidRDefault="00AF7DB6" w:rsidP="002C0B62">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lastRenderedPageBreak/>
        <w:t>D</w:t>
      </w:r>
      <w:r w:rsidR="006A6E61" w:rsidRPr="00A472FC">
        <w:rPr>
          <w:rFonts w:ascii="Times New Roman" w:hAnsi="Times New Roman" w:cs="Times New Roman"/>
        </w:rPr>
        <w:t xml:space="preserve">e Libera, Alain. </w:t>
      </w:r>
      <w:r w:rsidR="002C0B62" w:rsidRPr="00A472FC">
        <w:rPr>
          <w:rFonts w:ascii="Times New Roman" w:hAnsi="Times New Roman" w:cs="Times New Roman"/>
        </w:rPr>
        <w:t xml:space="preserve">‘Le </w:t>
      </w:r>
      <w:proofErr w:type="spellStart"/>
      <w:r w:rsidR="002C0B62" w:rsidRPr="00A472FC">
        <w:rPr>
          <w:rFonts w:ascii="Times New Roman" w:hAnsi="Times New Roman" w:cs="Times New Roman"/>
        </w:rPr>
        <w:t>sens</w:t>
      </w:r>
      <w:proofErr w:type="spellEnd"/>
      <w:r w:rsidR="002C0B62" w:rsidRPr="00A472FC">
        <w:rPr>
          <w:rFonts w:ascii="Times New Roman" w:hAnsi="Times New Roman" w:cs="Times New Roman"/>
        </w:rPr>
        <w:t xml:space="preserve"> </w:t>
      </w:r>
      <w:proofErr w:type="spellStart"/>
      <w:r w:rsidR="002C0B62" w:rsidRPr="00A472FC">
        <w:rPr>
          <w:rFonts w:ascii="Times New Roman" w:hAnsi="Times New Roman" w:cs="Times New Roman"/>
        </w:rPr>
        <w:t>commun</w:t>
      </w:r>
      <w:proofErr w:type="spellEnd"/>
      <w:r w:rsidR="002C0B62" w:rsidRPr="00A472FC">
        <w:rPr>
          <w:rFonts w:ascii="Times New Roman" w:hAnsi="Times New Roman" w:cs="Times New Roman"/>
        </w:rPr>
        <w:t xml:space="preserve"> au XIIIe siècle: De Jean de La Rochelle à Albert le Grand.’ </w:t>
      </w:r>
      <w:r w:rsidR="002C0B62" w:rsidRPr="00A472FC">
        <w:rPr>
          <w:rFonts w:ascii="Times New Roman" w:hAnsi="Times New Roman" w:cs="Times New Roman"/>
          <w:i/>
          <w:iCs/>
        </w:rPr>
        <w:t xml:space="preserve">Revue de </w:t>
      </w:r>
      <w:proofErr w:type="spellStart"/>
      <w:r w:rsidR="002C0B62" w:rsidRPr="00A472FC">
        <w:rPr>
          <w:rFonts w:ascii="Times New Roman" w:hAnsi="Times New Roman" w:cs="Times New Roman"/>
          <w:i/>
          <w:iCs/>
        </w:rPr>
        <w:t>métaphysique</w:t>
      </w:r>
      <w:proofErr w:type="spellEnd"/>
      <w:r w:rsidR="002C0B62" w:rsidRPr="00A472FC">
        <w:rPr>
          <w:rFonts w:ascii="Times New Roman" w:hAnsi="Times New Roman" w:cs="Times New Roman"/>
          <w:i/>
          <w:iCs/>
        </w:rPr>
        <w:t xml:space="preserve"> et morale </w:t>
      </w:r>
      <w:r w:rsidR="002C0B62" w:rsidRPr="00A472FC">
        <w:rPr>
          <w:rFonts w:ascii="Times New Roman" w:hAnsi="Times New Roman" w:cs="Times New Roman"/>
        </w:rPr>
        <w:t>96 (1991): 475–96.</w:t>
      </w:r>
    </w:p>
    <w:p w14:paraId="3E4EF1E3" w14:textId="77777777" w:rsidR="002C0B62" w:rsidRPr="00A472FC" w:rsidRDefault="002C0B62" w:rsidP="002C0B62">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color w:val="000000" w:themeColor="text1"/>
        </w:rPr>
        <w:t>‘</w:t>
      </w:r>
      <w:proofErr w:type="spellStart"/>
      <w:r w:rsidRPr="00A472FC">
        <w:rPr>
          <w:rFonts w:ascii="Times New Roman" w:hAnsi="Times New Roman" w:cs="Times New Roman"/>
          <w:color w:val="000000" w:themeColor="text1"/>
          <w:lang w:val="en-US"/>
        </w:rPr>
        <w:t>Faculté</w:t>
      </w:r>
      <w:proofErr w:type="spellEnd"/>
      <w:r w:rsidRPr="00A472FC">
        <w:rPr>
          <w:rFonts w:ascii="Times New Roman" w:hAnsi="Times New Roman" w:cs="Times New Roman"/>
          <w:color w:val="000000" w:themeColor="text1"/>
          <w:lang w:val="en-US"/>
        </w:rPr>
        <w:t xml:space="preserve"> des arts </w:t>
      </w:r>
      <w:proofErr w:type="spellStart"/>
      <w:r w:rsidRPr="00A472FC">
        <w:rPr>
          <w:rFonts w:ascii="Times New Roman" w:hAnsi="Times New Roman" w:cs="Times New Roman"/>
          <w:color w:val="000000" w:themeColor="text1"/>
          <w:lang w:val="en-US"/>
        </w:rPr>
        <w:t>ou</w:t>
      </w:r>
      <w:proofErr w:type="spellEnd"/>
      <w:r w:rsidRPr="00A472FC">
        <w:rPr>
          <w:rFonts w:ascii="Times New Roman" w:hAnsi="Times New Roman" w:cs="Times New Roman"/>
          <w:color w:val="000000" w:themeColor="text1"/>
          <w:lang w:val="en-US"/>
        </w:rPr>
        <w:t xml:space="preserve"> </w:t>
      </w:r>
      <w:proofErr w:type="spellStart"/>
      <w:r w:rsidRPr="00A472FC">
        <w:rPr>
          <w:rFonts w:ascii="Times New Roman" w:hAnsi="Times New Roman" w:cs="Times New Roman"/>
          <w:color w:val="000000" w:themeColor="text1"/>
          <w:lang w:val="en-US"/>
        </w:rPr>
        <w:t>Faculté</w:t>
      </w:r>
      <w:proofErr w:type="spellEnd"/>
      <w:r w:rsidRPr="00A472FC">
        <w:rPr>
          <w:rFonts w:ascii="Times New Roman" w:hAnsi="Times New Roman" w:cs="Times New Roman"/>
          <w:color w:val="000000" w:themeColor="text1"/>
          <w:lang w:val="en-US"/>
        </w:rPr>
        <w:t xml:space="preserve"> de philosophie?’ In </w:t>
      </w:r>
      <w:proofErr w:type="spellStart"/>
      <w:r w:rsidRPr="00A472FC">
        <w:rPr>
          <w:rFonts w:ascii="Times New Roman" w:hAnsi="Times New Roman" w:cs="Times New Roman"/>
          <w:i/>
          <w:color w:val="000000" w:themeColor="text1"/>
          <w:lang w:val="en-US"/>
        </w:rPr>
        <w:t>L'enseignement</w:t>
      </w:r>
      <w:proofErr w:type="spellEnd"/>
      <w:r w:rsidRPr="00A472FC">
        <w:rPr>
          <w:rFonts w:ascii="Times New Roman" w:hAnsi="Times New Roman" w:cs="Times New Roman"/>
          <w:i/>
          <w:color w:val="000000" w:themeColor="text1"/>
          <w:lang w:val="en-US"/>
        </w:rPr>
        <w:t xml:space="preserve"> des disciplines à la </w:t>
      </w:r>
      <w:proofErr w:type="spellStart"/>
      <w:r w:rsidRPr="00A472FC">
        <w:rPr>
          <w:rFonts w:ascii="Times New Roman" w:hAnsi="Times New Roman" w:cs="Times New Roman"/>
          <w:i/>
          <w:color w:val="000000" w:themeColor="text1"/>
          <w:lang w:val="en-US"/>
        </w:rPr>
        <w:t>Faculté</w:t>
      </w:r>
      <w:proofErr w:type="spellEnd"/>
      <w:r w:rsidRPr="00A472FC">
        <w:rPr>
          <w:rFonts w:ascii="Times New Roman" w:hAnsi="Times New Roman" w:cs="Times New Roman"/>
          <w:i/>
          <w:color w:val="000000" w:themeColor="text1"/>
          <w:lang w:val="en-US"/>
        </w:rPr>
        <w:t xml:space="preserve"> des arts (Paris et Oxford, </w:t>
      </w:r>
      <w:proofErr w:type="spellStart"/>
      <w:r w:rsidRPr="00A472FC">
        <w:rPr>
          <w:rFonts w:ascii="Times New Roman" w:hAnsi="Times New Roman" w:cs="Times New Roman"/>
          <w:i/>
          <w:color w:val="000000" w:themeColor="text1"/>
          <w:lang w:val="en-US"/>
        </w:rPr>
        <w:t>Xllle-xve</w:t>
      </w:r>
      <w:proofErr w:type="spellEnd"/>
      <w:r w:rsidRPr="00A472FC">
        <w:rPr>
          <w:rFonts w:ascii="Times New Roman" w:hAnsi="Times New Roman" w:cs="Times New Roman"/>
          <w:i/>
          <w:color w:val="000000" w:themeColor="text1"/>
          <w:lang w:val="en-US"/>
        </w:rPr>
        <w:t xml:space="preserve"> </w:t>
      </w:r>
      <w:proofErr w:type="spellStart"/>
      <w:r w:rsidRPr="00A472FC">
        <w:rPr>
          <w:rFonts w:ascii="Times New Roman" w:hAnsi="Times New Roman" w:cs="Times New Roman"/>
          <w:i/>
          <w:color w:val="000000" w:themeColor="text1"/>
          <w:lang w:val="en-US"/>
        </w:rPr>
        <w:t>siècles</w:t>
      </w:r>
      <w:proofErr w:type="spellEnd"/>
      <w:r w:rsidRPr="00A472FC">
        <w:rPr>
          <w:rFonts w:ascii="Times New Roman" w:hAnsi="Times New Roman" w:cs="Times New Roman"/>
          <w:i/>
          <w:color w:val="000000" w:themeColor="text1"/>
          <w:lang w:val="en-US"/>
        </w:rPr>
        <w:t xml:space="preserve">). </w:t>
      </w:r>
      <w:r w:rsidRPr="00A472FC">
        <w:rPr>
          <w:rFonts w:ascii="Times New Roman" w:hAnsi="Times New Roman" w:cs="Times New Roman"/>
          <w:iCs/>
          <w:color w:val="000000" w:themeColor="text1"/>
          <w:lang w:val="en-US"/>
        </w:rPr>
        <w:t>Edited by</w:t>
      </w:r>
      <w:r w:rsidRPr="00A472FC">
        <w:rPr>
          <w:rFonts w:ascii="Times New Roman" w:hAnsi="Times New Roman" w:cs="Times New Roman"/>
          <w:color w:val="000000" w:themeColor="text1"/>
          <w:lang w:val="en-US"/>
        </w:rPr>
        <w:t xml:space="preserve"> Olga </w:t>
      </w:r>
      <w:proofErr w:type="spellStart"/>
      <w:r w:rsidRPr="00A472FC">
        <w:rPr>
          <w:rFonts w:ascii="Times New Roman" w:hAnsi="Times New Roman" w:cs="Times New Roman"/>
          <w:color w:val="000000" w:themeColor="text1"/>
          <w:lang w:val="en-US"/>
        </w:rPr>
        <w:t>Weijers</w:t>
      </w:r>
      <w:proofErr w:type="spellEnd"/>
      <w:r w:rsidRPr="00A472FC">
        <w:rPr>
          <w:rFonts w:ascii="Times New Roman" w:hAnsi="Times New Roman" w:cs="Times New Roman"/>
          <w:color w:val="000000" w:themeColor="text1"/>
          <w:lang w:val="en-US"/>
        </w:rPr>
        <w:t xml:space="preserve"> and Louis </w:t>
      </w:r>
      <w:proofErr w:type="spellStart"/>
      <w:r w:rsidRPr="00A472FC">
        <w:rPr>
          <w:rFonts w:ascii="Times New Roman" w:hAnsi="Times New Roman" w:cs="Times New Roman"/>
          <w:color w:val="000000" w:themeColor="text1"/>
          <w:lang w:val="en-US"/>
        </w:rPr>
        <w:t>Holtz</w:t>
      </w:r>
      <w:proofErr w:type="spellEnd"/>
      <w:r w:rsidRPr="00A472FC">
        <w:rPr>
          <w:rFonts w:ascii="Times New Roman" w:hAnsi="Times New Roman" w:cs="Times New Roman"/>
          <w:color w:val="000000" w:themeColor="text1"/>
          <w:lang w:val="en-US"/>
        </w:rPr>
        <w:t xml:space="preserve">, 429-44. Paris: </w:t>
      </w:r>
      <w:proofErr w:type="spellStart"/>
      <w:r w:rsidRPr="00A472FC">
        <w:rPr>
          <w:rFonts w:ascii="Times New Roman" w:hAnsi="Times New Roman" w:cs="Times New Roman"/>
          <w:color w:val="000000" w:themeColor="text1"/>
          <w:lang w:val="en-US"/>
        </w:rPr>
        <w:t>Brepols</w:t>
      </w:r>
      <w:proofErr w:type="spellEnd"/>
      <w:r w:rsidRPr="00A472FC">
        <w:rPr>
          <w:rFonts w:ascii="Times New Roman" w:hAnsi="Times New Roman" w:cs="Times New Roman"/>
          <w:color w:val="000000" w:themeColor="text1"/>
          <w:lang w:val="en-US"/>
        </w:rPr>
        <w:t>, 1997.</w:t>
      </w:r>
    </w:p>
    <w:p w14:paraId="21D31CF4" w14:textId="64FD1F10"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Delmas, Sophie. ‘Philippe le </w:t>
      </w:r>
      <w:proofErr w:type="spellStart"/>
      <w:r w:rsidRPr="00A472FC">
        <w:rPr>
          <w:rFonts w:ascii="Times New Roman" w:hAnsi="Times New Roman" w:cs="Times New Roman"/>
        </w:rPr>
        <w:t>Chancelier</w:t>
      </w:r>
      <w:proofErr w:type="spellEnd"/>
      <w:r w:rsidRPr="00A472FC">
        <w:rPr>
          <w:rFonts w:ascii="Times New Roman" w:hAnsi="Times New Roman" w:cs="Times New Roman"/>
        </w:rPr>
        <w:t xml:space="preserve"> et les orders mendicants: </w:t>
      </w:r>
      <w:proofErr w:type="spellStart"/>
      <w:r w:rsidRPr="00A472FC">
        <w:rPr>
          <w:rFonts w:ascii="Times New Roman" w:hAnsi="Times New Roman" w:cs="Times New Roman"/>
        </w:rPr>
        <w:t>anatomie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d’une</w:t>
      </w:r>
      <w:proofErr w:type="spellEnd"/>
      <w:r w:rsidRPr="00A472FC">
        <w:rPr>
          <w:rFonts w:ascii="Times New Roman" w:hAnsi="Times New Roman" w:cs="Times New Roman"/>
        </w:rPr>
        <w:t xml:space="preserve"> relation.’ In </w:t>
      </w:r>
      <w:r w:rsidRPr="00A472FC">
        <w:rPr>
          <w:rFonts w:ascii="Times New Roman" w:hAnsi="Times New Roman" w:cs="Times New Roman"/>
          <w:i/>
          <w:iCs/>
        </w:rPr>
        <w:t xml:space="preserve">Philippe le </w:t>
      </w:r>
      <w:proofErr w:type="spellStart"/>
      <w:r w:rsidRPr="00A472FC">
        <w:rPr>
          <w:rFonts w:ascii="Times New Roman" w:hAnsi="Times New Roman" w:cs="Times New Roman"/>
          <w:i/>
          <w:iCs/>
        </w:rPr>
        <w:t>Chancelier</w:t>
      </w:r>
      <w:proofErr w:type="spellEnd"/>
      <w:r w:rsidR="00FC2FB3" w:rsidRPr="00A472FC">
        <w:rPr>
          <w:rFonts w:ascii="Times New Roman" w:hAnsi="Times New Roman" w:cs="Times New Roman"/>
          <w:i/>
          <w:iCs/>
        </w:rPr>
        <w:t>,</w:t>
      </w:r>
      <w:r w:rsidRPr="00A472FC">
        <w:rPr>
          <w:rFonts w:ascii="Times New Roman" w:hAnsi="Times New Roman" w:cs="Times New Roman"/>
          <w:i/>
          <w:iCs/>
        </w:rPr>
        <w:t xml:space="preserve"> </w:t>
      </w:r>
      <w:proofErr w:type="spellStart"/>
      <w:r w:rsidRPr="00A472FC">
        <w:rPr>
          <w:rFonts w:ascii="Times New Roman" w:hAnsi="Times New Roman" w:cs="Times New Roman"/>
          <w:i/>
          <w:iCs/>
        </w:rPr>
        <w:t>prédicateur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théologien</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poète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parisien</w:t>
      </w:r>
      <w:proofErr w:type="spellEnd"/>
      <w:r w:rsidRPr="00A472FC">
        <w:rPr>
          <w:rFonts w:ascii="Times New Roman" w:hAnsi="Times New Roman" w:cs="Times New Roman"/>
        </w:rPr>
        <w:t xml:space="preserve">. Edited by Gilbert </w:t>
      </w:r>
      <w:proofErr w:type="spellStart"/>
      <w:r w:rsidRPr="00A472FC">
        <w:rPr>
          <w:rFonts w:ascii="Times New Roman" w:hAnsi="Times New Roman" w:cs="Times New Roman"/>
        </w:rPr>
        <w:t>Dahan</w:t>
      </w:r>
      <w:proofErr w:type="spellEnd"/>
      <w:r w:rsidRPr="00A472FC">
        <w:rPr>
          <w:rFonts w:ascii="Times New Roman" w:hAnsi="Times New Roman" w:cs="Times New Roman"/>
        </w:rPr>
        <w:t xml:space="preserve"> and Anne-Zoé </w:t>
      </w:r>
      <w:proofErr w:type="spellStart"/>
      <w:r w:rsidRPr="00A472FC">
        <w:rPr>
          <w:rFonts w:ascii="Times New Roman" w:hAnsi="Times New Roman" w:cs="Times New Roman"/>
        </w:rPr>
        <w:t>Rillon-Marne</w:t>
      </w:r>
      <w:proofErr w:type="spellEnd"/>
      <w:r w:rsidRPr="00A472FC">
        <w:rPr>
          <w:rFonts w:ascii="Times New Roman" w:hAnsi="Times New Roman" w:cs="Times New Roman"/>
        </w:rPr>
        <w:t xml:space="preserve">, 25-39.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2017.</w:t>
      </w:r>
    </w:p>
    <w:p w14:paraId="5147A683" w14:textId="4EEC88B8" w:rsidR="00FB7C17" w:rsidRPr="00A472FC" w:rsidRDefault="001B4A22" w:rsidP="00487519">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00FB7C17" w:rsidRPr="00A472FC">
        <w:rPr>
          <w:rFonts w:ascii="Times New Roman" w:hAnsi="Times New Roman" w:cs="Times New Roman"/>
        </w:rPr>
        <w:t>‘</w:t>
      </w:r>
      <w:proofErr w:type="spellStart"/>
      <w:r w:rsidR="00FB7C17" w:rsidRPr="00A472FC">
        <w:rPr>
          <w:rFonts w:ascii="Times New Roman" w:hAnsi="Times New Roman" w:cs="Times New Roman"/>
        </w:rPr>
        <w:t>Odo</w:t>
      </w:r>
      <w:proofErr w:type="spellEnd"/>
      <w:r w:rsidR="00FB7C17" w:rsidRPr="00A472FC">
        <w:rPr>
          <w:rFonts w:ascii="Times New Roman" w:hAnsi="Times New Roman" w:cs="Times New Roman"/>
        </w:rPr>
        <w:t xml:space="preserve"> </w:t>
      </w:r>
      <w:proofErr w:type="spellStart"/>
      <w:r w:rsidR="00FB7C17" w:rsidRPr="00A472FC">
        <w:rPr>
          <w:rFonts w:ascii="Times New Roman" w:hAnsi="Times New Roman" w:cs="Times New Roman"/>
        </w:rPr>
        <w:t>Rigaldi</w:t>
      </w:r>
      <w:proofErr w:type="spellEnd"/>
      <w:r w:rsidR="00FB7C17" w:rsidRPr="00A472FC">
        <w:rPr>
          <w:rFonts w:ascii="Times New Roman" w:hAnsi="Times New Roman" w:cs="Times New Roman"/>
        </w:rPr>
        <w:t xml:space="preserve">, Alexander of Hales and the </w:t>
      </w:r>
      <w:r w:rsidR="00FB7C17" w:rsidRPr="00A472FC">
        <w:rPr>
          <w:rFonts w:ascii="Times New Roman" w:hAnsi="Times New Roman" w:cs="Times New Roman"/>
          <w:i/>
          <w:iCs/>
        </w:rPr>
        <w:t xml:space="preserve">Summa </w:t>
      </w:r>
      <w:proofErr w:type="spellStart"/>
      <w:r w:rsidR="00FB7C17" w:rsidRPr="00A472FC">
        <w:rPr>
          <w:rFonts w:ascii="Times New Roman" w:hAnsi="Times New Roman" w:cs="Times New Roman"/>
          <w:i/>
          <w:iCs/>
        </w:rPr>
        <w:t>Halensis</w:t>
      </w:r>
      <w:proofErr w:type="spellEnd"/>
      <w:r w:rsidR="00FB7C17" w:rsidRPr="00A472FC">
        <w:rPr>
          <w:rFonts w:ascii="Times New Roman" w:hAnsi="Times New Roman" w:cs="Times New Roman"/>
          <w:i/>
          <w:iCs/>
        </w:rPr>
        <w:t>.</w:t>
      </w:r>
      <w:r w:rsidR="00FB7C17" w:rsidRPr="00A472FC">
        <w:rPr>
          <w:rFonts w:ascii="Times New Roman" w:hAnsi="Times New Roman" w:cs="Times New Roman"/>
        </w:rPr>
        <w:t>’</w:t>
      </w:r>
      <w:r w:rsidR="00FB7C17" w:rsidRPr="00A472FC">
        <w:rPr>
          <w:rFonts w:ascii="Times New Roman" w:hAnsi="Times New Roman" w:cs="Times New Roman"/>
          <w:i/>
          <w:iCs/>
        </w:rPr>
        <w:t xml:space="preserve"> </w:t>
      </w:r>
      <w:r w:rsidR="00FB7C17" w:rsidRPr="00A472FC">
        <w:rPr>
          <w:rFonts w:ascii="Times New Roman" w:hAnsi="Times New Roman" w:cs="Times New Roman"/>
        </w:rPr>
        <w:t xml:space="preserve">In </w:t>
      </w:r>
      <w:r w:rsidR="00FB7C17" w:rsidRPr="00A472FC">
        <w:rPr>
          <w:rFonts w:ascii="Times New Roman" w:hAnsi="Times New Roman" w:cs="Times New Roman"/>
          <w:i/>
          <w:iCs/>
        </w:rPr>
        <w:t xml:space="preserve">The Summa </w:t>
      </w:r>
      <w:proofErr w:type="spellStart"/>
      <w:r w:rsidR="00FB7C17" w:rsidRPr="00A472FC">
        <w:rPr>
          <w:rFonts w:ascii="Times New Roman" w:hAnsi="Times New Roman" w:cs="Times New Roman"/>
          <w:i/>
          <w:iCs/>
        </w:rPr>
        <w:t>Halensis</w:t>
      </w:r>
      <w:proofErr w:type="spellEnd"/>
      <w:r w:rsidR="00FB7C17" w:rsidRPr="00A472FC">
        <w:rPr>
          <w:rFonts w:ascii="Times New Roman" w:hAnsi="Times New Roman" w:cs="Times New Roman"/>
          <w:i/>
          <w:iCs/>
        </w:rPr>
        <w:t xml:space="preserve">: Sources and Context. </w:t>
      </w:r>
      <w:r w:rsidR="00FB7C17" w:rsidRPr="00A472FC">
        <w:rPr>
          <w:rFonts w:ascii="Times New Roman" w:hAnsi="Times New Roman" w:cs="Times New Roman"/>
        </w:rPr>
        <w:t>Edited by Lydia Schumacher</w:t>
      </w:r>
      <w:r w:rsidR="00487519" w:rsidRPr="00A472FC">
        <w:rPr>
          <w:rFonts w:ascii="Times New Roman" w:hAnsi="Times New Roman" w:cs="Times New Roman"/>
        </w:rPr>
        <w:t>, 267-84.</w:t>
      </w:r>
      <w:r w:rsidR="00FB7C17" w:rsidRPr="00A472FC">
        <w:rPr>
          <w:rFonts w:ascii="Times New Roman" w:hAnsi="Times New Roman" w:cs="Times New Roman"/>
        </w:rPr>
        <w:t xml:space="preserve"> Berlin: De Gruyter, 2020. </w:t>
      </w:r>
    </w:p>
    <w:p w14:paraId="3B0A79A2" w14:textId="1CDDC68F"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Dobler</w:t>
      </w:r>
      <w:proofErr w:type="spellEnd"/>
      <w:r w:rsidRPr="00A472FC">
        <w:rPr>
          <w:rFonts w:ascii="Times New Roman" w:hAnsi="Times New Roman" w:cs="Times New Roman"/>
        </w:rPr>
        <w:t xml:space="preserve">, E. </w:t>
      </w:r>
      <w:proofErr w:type="spellStart"/>
      <w:r w:rsidRPr="00A472FC">
        <w:rPr>
          <w:rFonts w:ascii="Times New Roman" w:hAnsi="Times New Roman" w:cs="Times New Roman"/>
          <w:i/>
          <w:iCs/>
        </w:rPr>
        <w:t>Nemesius</w:t>
      </w:r>
      <w:proofErr w:type="spellEnd"/>
      <w:r w:rsidRPr="00A472FC">
        <w:rPr>
          <w:rFonts w:ascii="Times New Roman" w:hAnsi="Times New Roman" w:cs="Times New Roman"/>
          <w:i/>
          <w:iCs/>
        </w:rPr>
        <w:t xml:space="preserve"> von </w:t>
      </w:r>
      <w:proofErr w:type="spellStart"/>
      <w:r w:rsidRPr="00A472FC">
        <w:rPr>
          <w:rFonts w:ascii="Times New Roman" w:hAnsi="Times New Roman" w:cs="Times New Roman"/>
          <w:i/>
          <w:iCs/>
        </w:rPr>
        <w:t>Emesa</w:t>
      </w:r>
      <w:proofErr w:type="spellEnd"/>
      <w:r w:rsidRPr="00A472FC">
        <w:rPr>
          <w:rFonts w:ascii="Times New Roman" w:hAnsi="Times New Roman" w:cs="Times New Roman"/>
          <w:i/>
          <w:iCs/>
        </w:rPr>
        <w:t xml:space="preserve"> und die </w:t>
      </w:r>
      <w:proofErr w:type="spellStart"/>
      <w:r w:rsidRPr="00A472FC">
        <w:rPr>
          <w:rFonts w:ascii="Times New Roman" w:hAnsi="Times New Roman" w:cs="Times New Roman"/>
          <w:i/>
          <w:iCs/>
        </w:rPr>
        <w:t>Psychologie</w:t>
      </w:r>
      <w:proofErr w:type="spellEnd"/>
      <w:r w:rsidRPr="00A472FC">
        <w:rPr>
          <w:rFonts w:ascii="Times New Roman" w:hAnsi="Times New Roman" w:cs="Times New Roman"/>
          <w:i/>
          <w:iCs/>
        </w:rPr>
        <w:t xml:space="preserve"> des </w:t>
      </w:r>
      <w:proofErr w:type="spellStart"/>
      <w:r w:rsidRPr="00A472FC">
        <w:rPr>
          <w:rFonts w:ascii="Times New Roman" w:hAnsi="Times New Roman" w:cs="Times New Roman"/>
          <w:i/>
          <w:iCs/>
        </w:rPr>
        <w:t>menchlichen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Aktes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bei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Thomae</w:t>
      </w:r>
      <w:proofErr w:type="spellEnd"/>
      <w:r w:rsidRPr="00A472FC">
        <w:rPr>
          <w:rFonts w:ascii="Times New Roman" w:hAnsi="Times New Roman" w:cs="Times New Roman"/>
          <w:i/>
          <w:iCs/>
        </w:rPr>
        <w:t xml:space="preserve"> von </w:t>
      </w:r>
      <w:proofErr w:type="spellStart"/>
      <w:r w:rsidRPr="00A472FC">
        <w:rPr>
          <w:rFonts w:ascii="Times New Roman" w:hAnsi="Times New Roman" w:cs="Times New Roman"/>
          <w:i/>
          <w:iCs/>
        </w:rPr>
        <w:t>Aquin</w:t>
      </w:r>
      <w:proofErr w:type="spellEnd"/>
      <w:r w:rsidRPr="00A472FC">
        <w:rPr>
          <w:rFonts w:ascii="Times New Roman" w:hAnsi="Times New Roman" w:cs="Times New Roman"/>
          <w:i/>
          <w:iCs/>
        </w:rPr>
        <w:t xml:space="preserve"> (S.</w:t>
      </w:r>
      <w:r w:rsidR="00733321" w:rsidRPr="00A472FC">
        <w:rPr>
          <w:rFonts w:ascii="Times New Roman" w:hAnsi="Times New Roman" w:cs="Times New Roman"/>
          <w:i/>
          <w:iCs/>
        </w:rPr>
        <w:t>T</w:t>
      </w:r>
      <w:r w:rsidRPr="00A472FC">
        <w:rPr>
          <w:rFonts w:ascii="Times New Roman" w:hAnsi="Times New Roman" w:cs="Times New Roman"/>
          <w:i/>
          <w:iCs/>
        </w:rPr>
        <w:t xml:space="preserve">h. Ia </w:t>
      </w:r>
      <w:proofErr w:type="spellStart"/>
      <w:r w:rsidRPr="00A472FC">
        <w:rPr>
          <w:rFonts w:ascii="Times New Roman" w:hAnsi="Times New Roman" w:cs="Times New Roman"/>
          <w:i/>
          <w:iCs/>
        </w:rPr>
        <w:t>Iiae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qqq</w:t>
      </w:r>
      <w:proofErr w:type="spellEnd"/>
      <w:r w:rsidRPr="00A472FC">
        <w:rPr>
          <w:rFonts w:ascii="Times New Roman" w:hAnsi="Times New Roman" w:cs="Times New Roman"/>
          <w:i/>
          <w:iCs/>
        </w:rPr>
        <w:t>. 6-17)</w:t>
      </w:r>
      <w:r w:rsidR="00FC2FB3" w:rsidRPr="00A472FC">
        <w:rPr>
          <w:rFonts w:ascii="Times New Roman" w:hAnsi="Times New Roman" w:cs="Times New Roman"/>
          <w:i/>
          <w:iCs/>
        </w:rPr>
        <w:t xml:space="preserve">: </w:t>
      </w:r>
      <w:r w:rsidRPr="00A472FC">
        <w:rPr>
          <w:rFonts w:ascii="Times New Roman" w:hAnsi="Times New Roman" w:cs="Times New Roman"/>
          <w:i/>
          <w:iCs/>
        </w:rPr>
        <w:t xml:space="preserve">Eine </w:t>
      </w:r>
      <w:proofErr w:type="spellStart"/>
      <w:r w:rsidRPr="00A472FC">
        <w:rPr>
          <w:rFonts w:ascii="Times New Roman" w:hAnsi="Times New Roman" w:cs="Times New Roman"/>
          <w:i/>
          <w:iCs/>
        </w:rPr>
        <w:t>quellenanalytische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Studie</w:t>
      </w:r>
      <w:proofErr w:type="spellEnd"/>
      <w:r w:rsidRPr="00A472FC">
        <w:rPr>
          <w:rFonts w:ascii="Times New Roman" w:hAnsi="Times New Roman" w:cs="Times New Roman"/>
          <w:i/>
          <w:iCs/>
        </w:rPr>
        <w:t>.</w:t>
      </w:r>
      <w:r w:rsidRPr="00A472FC">
        <w:rPr>
          <w:rFonts w:ascii="Times New Roman" w:hAnsi="Times New Roman" w:cs="Times New Roman"/>
        </w:rPr>
        <w:t xml:space="preserve"> Luzern: </w:t>
      </w:r>
      <w:proofErr w:type="spellStart"/>
      <w:r w:rsidRPr="00A472FC">
        <w:rPr>
          <w:rFonts w:ascii="Times New Roman" w:hAnsi="Times New Roman" w:cs="Times New Roman"/>
        </w:rPr>
        <w:t>Werthenstein</w:t>
      </w:r>
      <w:proofErr w:type="spellEnd"/>
      <w:r w:rsidRPr="00A472FC">
        <w:rPr>
          <w:rFonts w:ascii="Times New Roman" w:hAnsi="Times New Roman" w:cs="Times New Roman"/>
        </w:rPr>
        <w:t>, 1950.</w:t>
      </w:r>
    </w:p>
    <w:p w14:paraId="1BE91026" w14:textId="3B60009E"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iCs/>
        </w:rPr>
        <w:t>Indirekte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Nemesiuszitäte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bei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Thomae</w:t>
      </w:r>
      <w:proofErr w:type="spellEnd"/>
      <w:r w:rsidRPr="00A472FC">
        <w:rPr>
          <w:rFonts w:ascii="Times New Roman" w:hAnsi="Times New Roman" w:cs="Times New Roman"/>
          <w:i/>
          <w:iCs/>
        </w:rPr>
        <w:t xml:space="preserve"> von </w:t>
      </w:r>
      <w:proofErr w:type="spellStart"/>
      <w:r w:rsidRPr="00A472FC">
        <w:rPr>
          <w:rFonts w:ascii="Times New Roman" w:hAnsi="Times New Roman" w:cs="Times New Roman"/>
          <w:i/>
          <w:iCs/>
        </w:rPr>
        <w:t>Aquin</w:t>
      </w:r>
      <w:proofErr w:type="spellEnd"/>
      <w:r w:rsidR="00143068" w:rsidRPr="00A472FC">
        <w:rPr>
          <w:rFonts w:ascii="Times New Roman" w:hAnsi="Times New Roman" w:cs="Times New Roman"/>
          <w:i/>
          <w:iCs/>
        </w:rPr>
        <w:t>:</w:t>
      </w:r>
      <w:r w:rsidRPr="00A472FC">
        <w:rPr>
          <w:rFonts w:ascii="Times New Roman" w:hAnsi="Times New Roman" w:cs="Times New Roman"/>
          <w:i/>
          <w:iCs/>
        </w:rPr>
        <w:t xml:space="preserve"> Johannes von </w:t>
      </w:r>
      <w:proofErr w:type="spellStart"/>
      <w:r w:rsidRPr="00A472FC">
        <w:rPr>
          <w:rFonts w:ascii="Times New Roman" w:hAnsi="Times New Roman" w:cs="Times New Roman"/>
          <w:i/>
          <w:iCs/>
        </w:rPr>
        <w:t>Damaskus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als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Vermittler</w:t>
      </w:r>
      <w:proofErr w:type="spellEnd"/>
      <w:r w:rsidRPr="00A472FC">
        <w:rPr>
          <w:rFonts w:ascii="Times New Roman" w:hAnsi="Times New Roman" w:cs="Times New Roman"/>
          <w:i/>
          <w:iCs/>
        </w:rPr>
        <w:t xml:space="preserve"> von </w:t>
      </w:r>
      <w:proofErr w:type="spellStart"/>
      <w:r w:rsidRPr="00A472FC">
        <w:rPr>
          <w:rFonts w:ascii="Times New Roman" w:hAnsi="Times New Roman" w:cs="Times New Roman"/>
          <w:i/>
          <w:iCs/>
        </w:rPr>
        <w:t>Nemesiustexte</w:t>
      </w:r>
      <w:r w:rsidR="002762A4" w:rsidRPr="00A472FC">
        <w:rPr>
          <w:rFonts w:ascii="Times New Roman" w:hAnsi="Times New Roman" w:cs="Times New Roman"/>
          <w:i/>
          <w:iCs/>
        </w:rPr>
        <w:t>n</w:t>
      </w:r>
      <w:proofErr w:type="spellEnd"/>
      <w:r w:rsidR="002762A4" w:rsidRPr="00A472FC">
        <w:rPr>
          <w:rFonts w:ascii="Times New Roman" w:hAnsi="Times New Roman" w:cs="Times New Roman"/>
          <w:i/>
          <w:iCs/>
        </w:rPr>
        <w:t>.</w:t>
      </w:r>
      <w:r w:rsidRPr="00A472FC">
        <w:rPr>
          <w:rFonts w:ascii="Times New Roman" w:hAnsi="Times New Roman" w:cs="Times New Roman"/>
          <w:i/>
          <w:iCs/>
        </w:rPr>
        <w:t xml:space="preserve"> </w:t>
      </w:r>
      <w:r w:rsidRPr="00A472FC">
        <w:rPr>
          <w:rFonts w:ascii="Times New Roman" w:hAnsi="Times New Roman" w:cs="Times New Roman"/>
        </w:rPr>
        <w:t xml:space="preserve">Freiburg: </w:t>
      </w:r>
      <w:proofErr w:type="spellStart"/>
      <w:r w:rsidRPr="00A472FC">
        <w:rPr>
          <w:rFonts w:ascii="Times New Roman" w:hAnsi="Times New Roman" w:cs="Times New Roman"/>
        </w:rPr>
        <w:t>Universitätsverlag</w:t>
      </w:r>
      <w:proofErr w:type="spellEnd"/>
      <w:r w:rsidRPr="00A472FC">
        <w:rPr>
          <w:rFonts w:ascii="Times New Roman" w:hAnsi="Times New Roman" w:cs="Times New Roman"/>
        </w:rPr>
        <w:t>, 2002.</w:t>
      </w:r>
    </w:p>
    <w:p w14:paraId="571D428B" w14:textId="43769208"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Dondaine</w:t>
      </w:r>
      <w:proofErr w:type="spellEnd"/>
      <w:r w:rsidRPr="00A472FC">
        <w:rPr>
          <w:rFonts w:ascii="Times New Roman" w:hAnsi="Times New Roman" w:cs="Times New Roman"/>
        </w:rPr>
        <w:t xml:space="preserve">, Henri-F. and B.-G. Guyot. </w:t>
      </w:r>
      <w:r w:rsidR="00F5234F" w:rsidRPr="00A472FC">
        <w:rPr>
          <w:rFonts w:ascii="Times New Roman" w:hAnsi="Times New Roman" w:cs="Times New Roman"/>
        </w:rPr>
        <w:t xml:space="preserve">‘L’objet et le ‘medium’ de la vision </w:t>
      </w:r>
      <w:proofErr w:type="spellStart"/>
      <w:r w:rsidR="00F5234F" w:rsidRPr="00A472FC">
        <w:rPr>
          <w:rFonts w:ascii="Times New Roman" w:hAnsi="Times New Roman" w:cs="Times New Roman"/>
        </w:rPr>
        <w:t>béatifique</w:t>
      </w:r>
      <w:proofErr w:type="spellEnd"/>
      <w:r w:rsidR="00F5234F" w:rsidRPr="00A472FC">
        <w:rPr>
          <w:rFonts w:ascii="Times New Roman" w:hAnsi="Times New Roman" w:cs="Times New Roman"/>
        </w:rPr>
        <w:t xml:space="preserve"> chez les </w:t>
      </w:r>
      <w:proofErr w:type="spellStart"/>
      <w:r w:rsidR="00F5234F" w:rsidRPr="00A472FC">
        <w:rPr>
          <w:rFonts w:ascii="Times New Roman" w:hAnsi="Times New Roman" w:cs="Times New Roman"/>
        </w:rPr>
        <w:t>théologiens</w:t>
      </w:r>
      <w:proofErr w:type="spellEnd"/>
      <w:r w:rsidR="00F5234F" w:rsidRPr="00A472FC">
        <w:rPr>
          <w:rFonts w:ascii="Times New Roman" w:hAnsi="Times New Roman" w:cs="Times New Roman"/>
        </w:rPr>
        <w:t xml:space="preserve"> du XIIIe siècle.’ </w:t>
      </w:r>
      <w:proofErr w:type="spellStart"/>
      <w:r w:rsidR="00F5234F" w:rsidRPr="00A472FC">
        <w:rPr>
          <w:rFonts w:ascii="Times New Roman" w:hAnsi="Times New Roman" w:cs="Times New Roman"/>
          <w:i/>
          <w:iCs/>
        </w:rPr>
        <w:t>Recherches</w:t>
      </w:r>
      <w:proofErr w:type="spellEnd"/>
      <w:r w:rsidR="00F5234F" w:rsidRPr="00A472FC">
        <w:rPr>
          <w:rFonts w:ascii="Times New Roman" w:hAnsi="Times New Roman" w:cs="Times New Roman"/>
          <w:i/>
          <w:iCs/>
        </w:rPr>
        <w:t xml:space="preserve"> de </w:t>
      </w:r>
      <w:proofErr w:type="spellStart"/>
      <w:r w:rsidR="00F5234F" w:rsidRPr="00A472FC">
        <w:rPr>
          <w:rFonts w:ascii="Times New Roman" w:hAnsi="Times New Roman" w:cs="Times New Roman"/>
          <w:i/>
          <w:iCs/>
        </w:rPr>
        <w:t>théologie</w:t>
      </w:r>
      <w:proofErr w:type="spellEnd"/>
      <w:r w:rsidR="00F5234F" w:rsidRPr="00A472FC">
        <w:rPr>
          <w:rFonts w:ascii="Times New Roman" w:hAnsi="Times New Roman" w:cs="Times New Roman"/>
          <w:i/>
          <w:iCs/>
        </w:rPr>
        <w:t xml:space="preserve"> </w:t>
      </w:r>
      <w:proofErr w:type="spellStart"/>
      <w:r w:rsidR="00F5234F" w:rsidRPr="00A472FC">
        <w:rPr>
          <w:rFonts w:ascii="Times New Roman" w:hAnsi="Times New Roman" w:cs="Times New Roman"/>
          <w:i/>
          <w:iCs/>
        </w:rPr>
        <w:t>ancienne</w:t>
      </w:r>
      <w:proofErr w:type="spellEnd"/>
      <w:r w:rsidR="00F5234F" w:rsidRPr="00A472FC">
        <w:rPr>
          <w:rFonts w:ascii="Times New Roman" w:hAnsi="Times New Roman" w:cs="Times New Roman"/>
          <w:i/>
          <w:iCs/>
        </w:rPr>
        <w:t xml:space="preserve"> et </w:t>
      </w:r>
      <w:proofErr w:type="spellStart"/>
      <w:r w:rsidR="00F5234F" w:rsidRPr="00A472FC">
        <w:rPr>
          <w:rFonts w:ascii="Times New Roman" w:hAnsi="Times New Roman" w:cs="Times New Roman"/>
          <w:i/>
          <w:iCs/>
        </w:rPr>
        <w:t>médiévale</w:t>
      </w:r>
      <w:proofErr w:type="spellEnd"/>
      <w:r w:rsidR="00F5234F" w:rsidRPr="00A472FC">
        <w:rPr>
          <w:rFonts w:ascii="Times New Roman" w:hAnsi="Times New Roman" w:cs="Times New Roman"/>
          <w:i/>
          <w:iCs/>
        </w:rPr>
        <w:t xml:space="preserve"> </w:t>
      </w:r>
      <w:r w:rsidR="00F5234F" w:rsidRPr="00A472FC">
        <w:rPr>
          <w:rFonts w:ascii="Times New Roman" w:hAnsi="Times New Roman" w:cs="Times New Roman"/>
        </w:rPr>
        <w:t xml:space="preserve">19 (1952): 60-130. </w:t>
      </w:r>
    </w:p>
    <w:p w14:paraId="188EA5F1" w14:textId="73F5719B"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00F5234F" w:rsidRPr="00A472FC">
        <w:rPr>
          <w:rFonts w:ascii="Times New Roman" w:hAnsi="Times New Roman" w:cs="Times New Roman"/>
        </w:rPr>
        <w:t>‘</w:t>
      </w:r>
      <w:proofErr w:type="spellStart"/>
      <w:r w:rsidR="00F5234F" w:rsidRPr="00A472FC">
        <w:rPr>
          <w:rFonts w:ascii="Times New Roman" w:hAnsi="Times New Roman" w:cs="Times New Roman"/>
        </w:rPr>
        <w:t>Guerric</w:t>
      </w:r>
      <w:proofErr w:type="spellEnd"/>
      <w:r w:rsidR="00F5234F" w:rsidRPr="00A472FC">
        <w:rPr>
          <w:rFonts w:ascii="Times New Roman" w:hAnsi="Times New Roman" w:cs="Times New Roman"/>
        </w:rPr>
        <w:t xml:space="preserve"> de Saint-Quentin et la </w:t>
      </w:r>
      <w:proofErr w:type="spellStart"/>
      <w:r w:rsidR="00F5234F" w:rsidRPr="00A472FC">
        <w:rPr>
          <w:rFonts w:ascii="Times New Roman" w:hAnsi="Times New Roman" w:cs="Times New Roman"/>
        </w:rPr>
        <w:t>condamnation</w:t>
      </w:r>
      <w:proofErr w:type="spellEnd"/>
      <w:r w:rsidR="00F5234F" w:rsidRPr="00A472FC">
        <w:rPr>
          <w:rFonts w:ascii="Times New Roman" w:hAnsi="Times New Roman" w:cs="Times New Roman"/>
        </w:rPr>
        <w:t xml:space="preserve"> de 1241.’ </w:t>
      </w:r>
      <w:r w:rsidR="00F5234F" w:rsidRPr="00A472FC">
        <w:rPr>
          <w:rFonts w:ascii="Times New Roman" w:hAnsi="Times New Roman" w:cs="Times New Roman"/>
          <w:i/>
          <w:iCs/>
        </w:rPr>
        <w:t xml:space="preserve">Revue des sciences </w:t>
      </w:r>
      <w:proofErr w:type="spellStart"/>
      <w:r w:rsidR="00F5234F" w:rsidRPr="00A472FC">
        <w:rPr>
          <w:rFonts w:ascii="Times New Roman" w:hAnsi="Times New Roman" w:cs="Times New Roman"/>
          <w:i/>
          <w:iCs/>
        </w:rPr>
        <w:t>philosophiques</w:t>
      </w:r>
      <w:proofErr w:type="spellEnd"/>
      <w:r w:rsidR="00F5234F" w:rsidRPr="00A472FC">
        <w:rPr>
          <w:rFonts w:ascii="Times New Roman" w:hAnsi="Times New Roman" w:cs="Times New Roman"/>
          <w:i/>
          <w:iCs/>
        </w:rPr>
        <w:t xml:space="preserve"> et </w:t>
      </w:r>
      <w:proofErr w:type="spellStart"/>
      <w:r w:rsidR="00F5234F" w:rsidRPr="00A472FC">
        <w:rPr>
          <w:rFonts w:ascii="Times New Roman" w:hAnsi="Times New Roman" w:cs="Times New Roman"/>
          <w:i/>
          <w:iCs/>
        </w:rPr>
        <w:t>théologiques</w:t>
      </w:r>
      <w:proofErr w:type="spellEnd"/>
      <w:r w:rsidR="00F5234F" w:rsidRPr="00A472FC">
        <w:rPr>
          <w:rFonts w:ascii="Times New Roman" w:hAnsi="Times New Roman" w:cs="Times New Roman"/>
          <w:i/>
          <w:iCs/>
        </w:rPr>
        <w:t xml:space="preserve"> </w:t>
      </w:r>
      <w:r w:rsidR="00F5234F" w:rsidRPr="00A472FC">
        <w:rPr>
          <w:rFonts w:ascii="Times New Roman" w:hAnsi="Times New Roman" w:cs="Times New Roman"/>
        </w:rPr>
        <w:t>44 (1960): 225-42.</w:t>
      </w:r>
    </w:p>
    <w:p w14:paraId="3380C10E"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Doucet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Victorin</w:t>
      </w:r>
      <w:proofErr w:type="spellEnd"/>
      <w:r w:rsidRPr="00A472FC">
        <w:rPr>
          <w:rFonts w:ascii="Times New Roman" w:hAnsi="Times New Roman" w:cs="Times New Roman"/>
        </w:rPr>
        <w:t xml:space="preserve">. ‘Les </w:t>
      </w:r>
      <w:r w:rsidRPr="00A472FC">
        <w:rPr>
          <w:rFonts w:ascii="Times New Roman" w:hAnsi="Times New Roman" w:cs="Times New Roman"/>
          <w:bCs/>
        </w:rPr>
        <w:t xml:space="preserve">572 Questions du </w:t>
      </w:r>
      <w:proofErr w:type="spellStart"/>
      <w:r w:rsidRPr="00A472FC">
        <w:rPr>
          <w:rFonts w:ascii="Times New Roman" w:hAnsi="Times New Roman" w:cs="Times New Roman"/>
          <w:bCs/>
        </w:rPr>
        <w:t>manuscrit</w:t>
      </w:r>
      <w:proofErr w:type="spellEnd"/>
      <w:r w:rsidRPr="00A472FC">
        <w:rPr>
          <w:rFonts w:ascii="Times New Roman" w:hAnsi="Times New Roman" w:cs="Times New Roman"/>
          <w:bCs/>
        </w:rPr>
        <w:t xml:space="preserve"> de Douai 434.’ </w:t>
      </w:r>
      <w:proofErr w:type="spellStart"/>
      <w:r w:rsidRPr="00A472FC">
        <w:rPr>
          <w:rFonts w:ascii="Times New Roman" w:hAnsi="Times New Roman" w:cs="Times New Roman"/>
          <w:bCs/>
          <w:i/>
        </w:rPr>
        <w:t>Recherches</w:t>
      </w:r>
      <w:proofErr w:type="spellEnd"/>
      <w:r w:rsidRPr="00A472FC">
        <w:rPr>
          <w:rFonts w:ascii="Times New Roman" w:hAnsi="Times New Roman" w:cs="Times New Roman"/>
          <w:bCs/>
          <w:i/>
        </w:rPr>
        <w:t xml:space="preserve"> de </w:t>
      </w:r>
      <w:proofErr w:type="spellStart"/>
      <w:r w:rsidRPr="00A472FC">
        <w:rPr>
          <w:rFonts w:ascii="Times New Roman" w:hAnsi="Times New Roman" w:cs="Times New Roman"/>
          <w:bCs/>
          <w:i/>
        </w:rPr>
        <w:t>théologie</w:t>
      </w:r>
      <w:proofErr w:type="spellEnd"/>
      <w:r w:rsidRPr="00A472FC">
        <w:rPr>
          <w:rFonts w:ascii="Times New Roman" w:hAnsi="Times New Roman" w:cs="Times New Roman"/>
          <w:bCs/>
          <w:i/>
        </w:rPr>
        <w:t xml:space="preserve"> </w:t>
      </w:r>
      <w:proofErr w:type="spellStart"/>
      <w:r w:rsidRPr="00A472FC">
        <w:rPr>
          <w:rFonts w:ascii="Times New Roman" w:hAnsi="Times New Roman" w:cs="Times New Roman"/>
          <w:bCs/>
          <w:i/>
        </w:rPr>
        <w:t>ancienne</w:t>
      </w:r>
      <w:proofErr w:type="spellEnd"/>
      <w:r w:rsidRPr="00A472FC">
        <w:rPr>
          <w:rFonts w:ascii="Times New Roman" w:hAnsi="Times New Roman" w:cs="Times New Roman"/>
          <w:bCs/>
          <w:i/>
        </w:rPr>
        <w:t xml:space="preserve"> et </w:t>
      </w:r>
      <w:proofErr w:type="spellStart"/>
      <w:r w:rsidRPr="00A472FC">
        <w:rPr>
          <w:rFonts w:ascii="Times New Roman" w:hAnsi="Times New Roman" w:cs="Times New Roman"/>
          <w:bCs/>
          <w:i/>
        </w:rPr>
        <w:t>médiévale</w:t>
      </w:r>
      <w:proofErr w:type="spellEnd"/>
      <w:r w:rsidRPr="00A472FC">
        <w:rPr>
          <w:rFonts w:ascii="Times New Roman" w:hAnsi="Times New Roman" w:cs="Times New Roman"/>
          <w:bCs/>
          <w:i/>
        </w:rPr>
        <w:t xml:space="preserve"> </w:t>
      </w:r>
      <w:r w:rsidRPr="00A472FC">
        <w:rPr>
          <w:rFonts w:ascii="Times New Roman" w:hAnsi="Times New Roman" w:cs="Times New Roman"/>
          <w:bCs/>
        </w:rPr>
        <w:t>10 (1938): 123-52.</w:t>
      </w:r>
    </w:p>
    <w:p w14:paraId="6D7AF9E5"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‘A New Source of the ‘</w:t>
      </w:r>
      <w:r w:rsidRPr="00A472FC">
        <w:rPr>
          <w:rFonts w:ascii="Times New Roman" w:hAnsi="Times New Roman" w:cs="Times New Roman"/>
          <w:i/>
        </w:rPr>
        <w:t xml:space="preserve">Summa </w:t>
      </w:r>
      <w:proofErr w:type="spellStart"/>
      <w:r w:rsidRPr="00A472FC">
        <w:rPr>
          <w:rFonts w:ascii="Times New Roman" w:hAnsi="Times New Roman" w:cs="Times New Roman"/>
          <w:i/>
        </w:rPr>
        <w:t>fratris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Alexandri</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Franciscan Studies </w:t>
      </w:r>
      <w:r w:rsidRPr="00A472FC">
        <w:rPr>
          <w:rFonts w:ascii="Times New Roman" w:hAnsi="Times New Roman" w:cs="Times New Roman"/>
        </w:rPr>
        <w:t>6 (1946): 403-17.</w:t>
      </w:r>
    </w:p>
    <w:p w14:paraId="25E55148" w14:textId="562BCD03" w:rsidR="00D76324" w:rsidRPr="00A472FC" w:rsidRDefault="00D76324" w:rsidP="00D7632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‘Prolegomena in </w:t>
      </w:r>
      <w:proofErr w:type="spellStart"/>
      <w:r w:rsidRPr="00A472FC">
        <w:rPr>
          <w:rFonts w:ascii="Times New Roman" w:hAnsi="Times New Roman" w:cs="Times New Roman"/>
        </w:rPr>
        <w:t>librum</w:t>
      </w:r>
      <w:proofErr w:type="spellEnd"/>
      <w:r w:rsidRPr="00A472FC">
        <w:rPr>
          <w:rFonts w:ascii="Times New Roman" w:hAnsi="Times New Roman" w:cs="Times New Roman"/>
        </w:rPr>
        <w:t xml:space="preserve"> III </w:t>
      </w:r>
      <w:proofErr w:type="spellStart"/>
      <w:r w:rsidRPr="00A472FC">
        <w:rPr>
          <w:rFonts w:ascii="Times New Roman" w:hAnsi="Times New Roman" w:cs="Times New Roman"/>
        </w:rPr>
        <w:t>necnon</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rPr>
        <w:t>libros</w:t>
      </w:r>
      <w:proofErr w:type="spellEnd"/>
      <w:r w:rsidRPr="00A472FC">
        <w:rPr>
          <w:rFonts w:ascii="Times New Roman" w:hAnsi="Times New Roman" w:cs="Times New Roman"/>
        </w:rPr>
        <w:t xml:space="preserve"> I et II </w:t>
      </w:r>
      <w:proofErr w:type="spellStart"/>
      <w:r w:rsidRPr="00A472FC">
        <w:rPr>
          <w:rFonts w:ascii="Times New Roman" w:hAnsi="Times New Roman" w:cs="Times New Roman"/>
          <w:i/>
          <w:iCs/>
        </w:rPr>
        <w:t>Summae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Fratris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Alexandri</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i/>
          <w:iCs/>
        </w:rPr>
        <w:t>Alexandri</w:t>
      </w:r>
      <w:proofErr w:type="spellEnd"/>
      <w:r w:rsidRPr="00A472FC">
        <w:rPr>
          <w:rFonts w:ascii="Times New Roman" w:hAnsi="Times New Roman" w:cs="Times New Roman"/>
          <w:i/>
          <w:iCs/>
        </w:rPr>
        <w:t xml:space="preserve"> de Hales Summa </w:t>
      </w:r>
      <w:proofErr w:type="spellStart"/>
      <w:r w:rsidRPr="00A472FC">
        <w:rPr>
          <w:rFonts w:ascii="Times New Roman" w:hAnsi="Times New Roman" w:cs="Times New Roman"/>
          <w:i/>
          <w:iCs/>
        </w:rPr>
        <w:t>Theologica</w:t>
      </w:r>
      <w:proofErr w:type="spellEnd"/>
      <w:r w:rsidR="006B2A5B" w:rsidRPr="00A472FC">
        <w:rPr>
          <w:rFonts w:ascii="Times New Roman" w:hAnsi="Times New Roman" w:cs="Times New Roman"/>
        </w:rPr>
        <w:t>, vol. 4</w:t>
      </w:r>
      <w:r w:rsidRPr="00A472FC">
        <w:rPr>
          <w:rFonts w:ascii="Times New Roman" w:hAnsi="Times New Roman" w:cs="Times New Roman"/>
        </w:rPr>
        <w:t xml:space="preserve">. </w:t>
      </w:r>
      <w:proofErr w:type="spellStart"/>
      <w:r w:rsidRPr="00A472FC">
        <w:rPr>
          <w:rFonts w:ascii="Times New Roman" w:hAnsi="Times New Roman" w:cs="Times New Roman"/>
        </w:rPr>
        <w:t>Quaracchi</w:t>
      </w:r>
      <w:proofErr w:type="spellEnd"/>
      <w:r w:rsidRPr="00A472FC">
        <w:rPr>
          <w:rFonts w:ascii="Times New Roman" w:hAnsi="Times New Roman" w:cs="Times New Roman"/>
        </w:rPr>
        <w:t>, Florence: Collegii S. Bonaventurae, 1948.</w:t>
      </w:r>
    </w:p>
    <w:p w14:paraId="21D1AECB"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‘A travers le manuscript 434 de Douai.’ </w:t>
      </w:r>
      <w:proofErr w:type="spellStart"/>
      <w:r w:rsidRPr="00A472FC">
        <w:rPr>
          <w:rFonts w:ascii="Times New Roman" w:hAnsi="Times New Roman" w:cs="Times New Roman"/>
          <w:i/>
          <w:iCs/>
        </w:rPr>
        <w:t>Antonianum</w:t>
      </w:r>
      <w:proofErr w:type="spellEnd"/>
      <w:r w:rsidRPr="00A472FC">
        <w:rPr>
          <w:rFonts w:ascii="Times New Roman" w:hAnsi="Times New Roman" w:cs="Times New Roman"/>
          <w:i/>
          <w:iCs/>
        </w:rPr>
        <w:t xml:space="preserve"> </w:t>
      </w:r>
      <w:r w:rsidRPr="00A472FC">
        <w:rPr>
          <w:rFonts w:ascii="Times New Roman" w:hAnsi="Times New Roman" w:cs="Times New Roman"/>
        </w:rPr>
        <w:t>27 (1952): 531-80.</w:t>
      </w:r>
    </w:p>
    <w:p w14:paraId="10B8979E"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Dougherty, M.V. ‘Twenty Moral Dilemmas from Two Early Thirteenth-Century Summaries of Theology: William of Auxerre's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aurea</w:t>
      </w:r>
      <w:proofErr w:type="spellEnd"/>
      <w:r w:rsidRPr="00A472FC">
        <w:rPr>
          <w:rFonts w:ascii="Times New Roman" w:hAnsi="Times New Roman" w:cs="Times New Roman"/>
          <w:i/>
          <w:iCs/>
        </w:rPr>
        <w:t xml:space="preserve"> </w:t>
      </w:r>
      <w:r w:rsidRPr="00A472FC">
        <w:rPr>
          <w:rFonts w:ascii="Times New Roman" w:hAnsi="Times New Roman" w:cs="Times New Roman"/>
        </w:rPr>
        <w:t xml:space="preserve">and the Franciscan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Halensiana</w:t>
      </w:r>
      <w:proofErr w:type="spellEnd"/>
      <w:r w:rsidRPr="00A472FC">
        <w:rPr>
          <w:rFonts w:ascii="Times New Roman" w:hAnsi="Times New Roman" w:cs="Times New Roman"/>
        </w:rPr>
        <w:t xml:space="preserve">.’ In </w:t>
      </w:r>
      <w:r w:rsidRPr="00A472FC">
        <w:rPr>
          <w:rFonts w:ascii="Times New Roman" w:hAnsi="Times New Roman" w:cs="Times New Roman"/>
          <w:i/>
          <w:iCs/>
        </w:rPr>
        <w:t>Moral Dilemmas in Medieval Thought from Gratian to Aquinas</w:t>
      </w:r>
      <w:r w:rsidRPr="00A472FC">
        <w:rPr>
          <w:rFonts w:ascii="Times New Roman" w:hAnsi="Times New Roman" w:cs="Times New Roman"/>
        </w:rPr>
        <w:t>. Cambridge: Cambridge University Press, 2011.</w:t>
      </w:r>
    </w:p>
    <w:p w14:paraId="149D53B4"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Dronke</w:t>
      </w:r>
      <w:proofErr w:type="spellEnd"/>
      <w:r w:rsidRPr="00A472FC">
        <w:rPr>
          <w:rFonts w:ascii="Times New Roman" w:hAnsi="Times New Roman" w:cs="Times New Roman"/>
        </w:rPr>
        <w:t xml:space="preserve">, Peter, ed. </w:t>
      </w:r>
      <w:r w:rsidRPr="00A472FC">
        <w:rPr>
          <w:rFonts w:ascii="Times New Roman" w:hAnsi="Times New Roman" w:cs="Times New Roman"/>
          <w:i/>
          <w:iCs/>
        </w:rPr>
        <w:t>The History of Twelfth-Century Western Philosophy</w:t>
      </w:r>
      <w:r w:rsidRPr="00A472FC">
        <w:rPr>
          <w:rFonts w:ascii="Times New Roman" w:hAnsi="Times New Roman" w:cs="Times New Roman"/>
        </w:rPr>
        <w:t>. Cambridge: Cambridge University Press, 1988.</w:t>
      </w:r>
    </w:p>
    <w:p w14:paraId="785D4171" w14:textId="47431D95" w:rsidR="001B4A22" w:rsidRPr="00A472FC" w:rsidRDefault="001B4A22" w:rsidP="001B4A22">
      <w:pPr>
        <w:autoSpaceDE w:val="0"/>
        <w:autoSpaceDN w:val="0"/>
        <w:adjustRightInd w:val="0"/>
        <w:ind w:right="-720"/>
        <w:rPr>
          <w:rFonts w:ascii="Times New Roman" w:hAnsi="Times New Roman" w:cs="Times New Roman"/>
        </w:rPr>
      </w:pPr>
      <w:r w:rsidRPr="00A472FC">
        <w:rPr>
          <w:rFonts w:ascii="Times New Roman" w:hAnsi="Times New Roman" w:cs="Times New Roman"/>
        </w:rPr>
        <w:t xml:space="preserve">———. ‘William of Conches and the New Aristotle,’ </w:t>
      </w:r>
      <w:proofErr w:type="spellStart"/>
      <w:r w:rsidRPr="00A472FC">
        <w:rPr>
          <w:rFonts w:ascii="Times New Roman" w:hAnsi="Times New Roman" w:cs="Times New Roman"/>
          <w:i/>
          <w:iCs/>
        </w:rPr>
        <w:t>Studi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medievali</w:t>
      </w:r>
      <w:proofErr w:type="spellEnd"/>
      <w:r w:rsidRPr="00A472FC">
        <w:rPr>
          <w:rFonts w:ascii="Times New Roman" w:hAnsi="Times New Roman" w:cs="Times New Roman"/>
        </w:rPr>
        <w:t xml:space="preserve"> 43:1 (2002)</w:t>
      </w:r>
      <w:r w:rsidR="00E80483" w:rsidRPr="00A472FC">
        <w:rPr>
          <w:rFonts w:ascii="Times New Roman" w:hAnsi="Times New Roman" w:cs="Times New Roman"/>
        </w:rPr>
        <w:t>:</w:t>
      </w:r>
      <w:r w:rsidRPr="00A472FC">
        <w:rPr>
          <w:rFonts w:ascii="Times New Roman" w:hAnsi="Times New Roman" w:cs="Times New Roman"/>
        </w:rPr>
        <w:t xml:space="preserve"> 157-63.</w:t>
      </w:r>
    </w:p>
    <w:p w14:paraId="6C26141C" w14:textId="6964C088" w:rsidR="00C511B2" w:rsidRPr="00A472FC" w:rsidRDefault="00C511B2" w:rsidP="001B4A22">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Dutton, Marsha</w:t>
      </w:r>
      <w:r w:rsidR="002E5B62" w:rsidRPr="00A472FC">
        <w:rPr>
          <w:rFonts w:ascii="Times New Roman" w:hAnsi="Times New Roman" w:cs="Times New Roman"/>
        </w:rPr>
        <w:t xml:space="preserve">, </w:t>
      </w:r>
      <w:r w:rsidRPr="00A472FC">
        <w:rPr>
          <w:rFonts w:ascii="Times New Roman" w:hAnsi="Times New Roman" w:cs="Times New Roman"/>
        </w:rPr>
        <w:t xml:space="preserve">ed. </w:t>
      </w:r>
      <w:r w:rsidRPr="00A472FC">
        <w:rPr>
          <w:rFonts w:ascii="Times New Roman" w:hAnsi="Times New Roman" w:cs="Times New Roman"/>
          <w:i/>
          <w:iCs/>
        </w:rPr>
        <w:t xml:space="preserve">A Companion to </w:t>
      </w:r>
      <w:proofErr w:type="spellStart"/>
      <w:r w:rsidRPr="00A472FC">
        <w:rPr>
          <w:rFonts w:ascii="Times New Roman" w:hAnsi="Times New Roman" w:cs="Times New Roman"/>
          <w:i/>
          <w:iCs/>
        </w:rPr>
        <w:t>Aelred</w:t>
      </w:r>
      <w:proofErr w:type="spellEnd"/>
      <w:r w:rsidRPr="00A472FC">
        <w:rPr>
          <w:rFonts w:ascii="Times New Roman" w:hAnsi="Times New Roman" w:cs="Times New Roman"/>
          <w:i/>
          <w:iCs/>
        </w:rPr>
        <w:t xml:space="preserve"> of </w:t>
      </w:r>
      <w:proofErr w:type="spellStart"/>
      <w:r w:rsidRPr="00A472FC">
        <w:rPr>
          <w:rFonts w:ascii="Times New Roman" w:hAnsi="Times New Roman" w:cs="Times New Roman"/>
          <w:i/>
          <w:iCs/>
        </w:rPr>
        <w:t>Rievaulx</w:t>
      </w:r>
      <w:proofErr w:type="spellEnd"/>
      <w:r w:rsidRPr="00A472FC">
        <w:rPr>
          <w:rFonts w:ascii="Times New Roman" w:hAnsi="Times New Roman" w:cs="Times New Roman"/>
          <w:i/>
          <w:iCs/>
        </w:rPr>
        <w:t xml:space="preserve"> (1110-1167). </w:t>
      </w:r>
      <w:r w:rsidRPr="00A472FC">
        <w:rPr>
          <w:rFonts w:ascii="Times New Roman" w:hAnsi="Times New Roman" w:cs="Times New Roman"/>
        </w:rPr>
        <w:t xml:space="preserve">Leiden: Brill, 2017. </w:t>
      </w:r>
    </w:p>
    <w:p w14:paraId="23975899" w14:textId="298B9D81" w:rsidR="00CB2BA9" w:rsidRPr="00A472FC" w:rsidRDefault="00CB2BA9" w:rsidP="001B4A22">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Even-Ezra, Ayelet. </w:t>
      </w:r>
      <w:r w:rsidRPr="00A472FC">
        <w:rPr>
          <w:rFonts w:ascii="Times New Roman" w:hAnsi="Times New Roman" w:cs="Times New Roman"/>
          <w:i/>
          <w:iCs/>
        </w:rPr>
        <w:t xml:space="preserve">Ecstasy in the Classroom: Trance, Self, and the Academic Profession in Medieval Paris. </w:t>
      </w:r>
      <w:r w:rsidRPr="00A472FC">
        <w:rPr>
          <w:rFonts w:ascii="Times New Roman" w:hAnsi="Times New Roman" w:cs="Times New Roman"/>
        </w:rPr>
        <w:t>New York: Fordham University Press, 2018.</w:t>
      </w:r>
    </w:p>
    <w:p w14:paraId="073A7E48" w14:textId="6D48E9C4" w:rsidR="008266DD" w:rsidRPr="00A472FC" w:rsidRDefault="008266DD"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‘The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i/>
          <w:iCs/>
        </w:rPr>
        <w:t xml:space="preserve">: A Text in Context.’ </w:t>
      </w:r>
      <w:r w:rsidRPr="00A472FC">
        <w:rPr>
          <w:rFonts w:ascii="Times New Roman" w:hAnsi="Times New Roman" w:cs="Times New Roman"/>
        </w:rPr>
        <w:t xml:space="preserve">In </w:t>
      </w:r>
      <w:r w:rsidRPr="00A472FC">
        <w:rPr>
          <w:rFonts w:ascii="Times New Roman" w:hAnsi="Times New Roman" w:cs="Times New Roman"/>
          <w:i/>
          <w:iCs/>
        </w:rPr>
        <w:t xml:space="preserve">The 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i/>
          <w:iCs/>
        </w:rPr>
        <w:t xml:space="preserve">: Sources and Context. </w:t>
      </w:r>
      <w:r w:rsidRPr="00A472FC">
        <w:rPr>
          <w:rFonts w:ascii="Times New Roman" w:hAnsi="Times New Roman" w:cs="Times New Roman"/>
        </w:rPr>
        <w:t>Edited by Lydia Schumacher, 219-34. Berlin: De Gruyter 2020.</w:t>
      </w:r>
    </w:p>
    <w:p w14:paraId="72A0E8EB" w14:textId="586A75EA" w:rsidR="006A6E61" w:rsidRPr="00A472FC" w:rsidRDefault="006A6E61" w:rsidP="00356F97">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t>Ferruolo</w:t>
      </w:r>
      <w:proofErr w:type="spellEnd"/>
      <w:r w:rsidRPr="00A472FC">
        <w:rPr>
          <w:rFonts w:ascii="Times New Roman" w:hAnsi="Times New Roman" w:cs="Times New Roman"/>
        </w:rPr>
        <w:t xml:space="preserve">, S.C. ‘The Paris Statutes of 1215 Reconsidered.’ In </w:t>
      </w:r>
      <w:r w:rsidRPr="00A472FC">
        <w:rPr>
          <w:rFonts w:ascii="Times New Roman" w:hAnsi="Times New Roman" w:cs="Times New Roman"/>
          <w:i/>
          <w:iCs/>
        </w:rPr>
        <w:t>History of Universities</w:t>
      </w:r>
      <w:r w:rsidRPr="00A472FC">
        <w:rPr>
          <w:rFonts w:ascii="Times New Roman" w:hAnsi="Times New Roman" w:cs="Times New Roman"/>
        </w:rPr>
        <w:t>, 1-14. Oxford: Oxford University Press, 1985.</w:t>
      </w:r>
    </w:p>
    <w:p w14:paraId="5EC0156F" w14:textId="7F26A35A" w:rsidR="006B2A5B" w:rsidRPr="00A472FC" w:rsidRDefault="00306BA1" w:rsidP="006B2A5B">
      <w:pPr>
        <w:autoSpaceDE w:val="0"/>
        <w:autoSpaceDN w:val="0"/>
        <w:adjustRightInd w:val="0"/>
        <w:ind w:left="709" w:right="-720" w:hanging="709"/>
        <w:rPr>
          <w:rFonts w:ascii="Times New Roman" w:hAnsi="Times New Roman" w:cs="Times New Roman"/>
        </w:rPr>
      </w:pPr>
      <w:r w:rsidRPr="00A472FC">
        <w:rPr>
          <w:rFonts w:ascii="Times New Roman" w:hAnsi="Times New Roman" w:cs="Times New Roman"/>
        </w:rPr>
        <w:t xml:space="preserve">Fidora, Alexander. </w:t>
      </w:r>
      <w:r w:rsidR="006B2A5B" w:rsidRPr="00A472FC">
        <w:rPr>
          <w:rFonts w:ascii="Times New Roman" w:hAnsi="Times New Roman" w:cs="Times New Roman"/>
          <w:i/>
          <w:iCs/>
          <w:kern w:val="1"/>
        </w:rPr>
        <w:t xml:space="preserve">Die </w:t>
      </w:r>
      <w:proofErr w:type="spellStart"/>
      <w:r w:rsidR="006B2A5B" w:rsidRPr="00A472FC">
        <w:rPr>
          <w:rFonts w:ascii="Times New Roman" w:hAnsi="Times New Roman" w:cs="Times New Roman"/>
          <w:i/>
          <w:iCs/>
          <w:kern w:val="1"/>
        </w:rPr>
        <w:t>Wissenschaftstheorie</w:t>
      </w:r>
      <w:proofErr w:type="spellEnd"/>
      <w:r w:rsidR="006B2A5B" w:rsidRPr="00A472FC">
        <w:rPr>
          <w:rFonts w:ascii="Times New Roman" w:hAnsi="Times New Roman" w:cs="Times New Roman"/>
          <w:i/>
          <w:iCs/>
          <w:kern w:val="1"/>
        </w:rPr>
        <w:t xml:space="preserve"> des </w:t>
      </w:r>
      <w:proofErr w:type="spellStart"/>
      <w:r w:rsidR="006B2A5B" w:rsidRPr="00A472FC">
        <w:rPr>
          <w:rFonts w:ascii="Times New Roman" w:hAnsi="Times New Roman" w:cs="Times New Roman"/>
          <w:i/>
          <w:iCs/>
          <w:kern w:val="1"/>
        </w:rPr>
        <w:t>Dominicus</w:t>
      </w:r>
      <w:proofErr w:type="spellEnd"/>
      <w:r w:rsidR="006B2A5B" w:rsidRPr="00A472FC">
        <w:rPr>
          <w:rFonts w:ascii="Times New Roman" w:hAnsi="Times New Roman" w:cs="Times New Roman"/>
          <w:i/>
          <w:iCs/>
          <w:kern w:val="1"/>
        </w:rPr>
        <w:t xml:space="preserve"> </w:t>
      </w:r>
      <w:proofErr w:type="spellStart"/>
      <w:r w:rsidR="006B2A5B" w:rsidRPr="00A472FC">
        <w:rPr>
          <w:rFonts w:ascii="Times New Roman" w:hAnsi="Times New Roman" w:cs="Times New Roman"/>
          <w:i/>
          <w:iCs/>
          <w:kern w:val="1"/>
        </w:rPr>
        <w:t>Gundissalinus</w:t>
      </w:r>
      <w:proofErr w:type="spellEnd"/>
      <w:r w:rsidR="006B2A5B" w:rsidRPr="00A472FC">
        <w:rPr>
          <w:rFonts w:ascii="Times New Roman" w:hAnsi="Times New Roman" w:cs="Times New Roman"/>
          <w:i/>
          <w:iCs/>
          <w:kern w:val="1"/>
        </w:rPr>
        <w:t xml:space="preserve">. </w:t>
      </w:r>
      <w:r w:rsidR="006B2A5B" w:rsidRPr="00A472FC">
        <w:rPr>
          <w:rFonts w:ascii="Times New Roman" w:hAnsi="Times New Roman" w:cs="Times New Roman"/>
          <w:kern w:val="1"/>
        </w:rPr>
        <w:t>Berlin: De Gruyter, 2003.</w:t>
      </w:r>
    </w:p>
    <w:p w14:paraId="033AC55D" w14:textId="5C619F06" w:rsidR="00944BA6" w:rsidRPr="00A472FC" w:rsidRDefault="006B2A5B" w:rsidP="00944BA6">
      <w:pPr>
        <w:autoSpaceDE w:val="0"/>
        <w:autoSpaceDN w:val="0"/>
        <w:adjustRightInd w:val="0"/>
        <w:ind w:left="709" w:right="-720" w:hanging="709"/>
        <w:rPr>
          <w:rFonts w:ascii="Times New Roman" w:hAnsi="Times New Roman" w:cs="Times New Roman"/>
        </w:rPr>
      </w:pPr>
      <w:r w:rsidRPr="00A472FC">
        <w:rPr>
          <w:rFonts w:ascii="Times New Roman" w:hAnsi="Times New Roman" w:cs="Times New Roman"/>
        </w:rPr>
        <w:t xml:space="preserve">———. </w:t>
      </w:r>
      <w:r w:rsidR="00944BA6" w:rsidRPr="00A472FC">
        <w:rPr>
          <w:rFonts w:ascii="Times New Roman" w:hAnsi="Times New Roman" w:cs="Times New Roman"/>
        </w:rPr>
        <w:t xml:space="preserve">‘Arabic into Latin into Hebrew: Aristotelian Psychology and its Contribution to the Rationalisation of Theological Traditions.’ In </w:t>
      </w:r>
      <w:r w:rsidR="00944BA6" w:rsidRPr="00A472FC">
        <w:rPr>
          <w:rFonts w:ascii="Times New Roman" w:hAnsi="Times New Roman" w:cs="Times New Roman"/>
          <w:i/>
          <w:iCs/>
        </w:rPr>
        <w:t>Philosophical Psychology in Medieval Arabic and Latin Aristotelianism</w:t>
      </w:r>
      <w:r w:rsidR="00944BA6" w:rsidRPr="00A472FC">
        <w:rPr>
          <w:rFonts w:ascii="Times New Roman" w:hAnsi="Times New Roman" w:cs="Times New Roman"/>
        </w:rPr>
        <w:t xml:space="preserve">. Edited by Luis Xavier </w:t>
      </w:r>
      <w:proofErr w:type="spellStart"/>
      <w:r w:rsidR="00944BA6" w:rsidRPr="00A472FC">
        <w:rPr>
          <w:rFonts w:ascii="Times New Roman" w:hAnsi="Times New Roman" w:cs="Times New Roman"/>
        </w:rPr>
        <w:t>López-Farjeat</w:t>
      </w:r>
      <w:proofErr w:type="spellEnd"/>
      <w:r w:rsidR="00944BA6" w:rsidRPr="00A472FC">
        <w:rPr>
          <w:rFonts w:ascii="Times New Roman" w:hAnsi="Times New Roman" w:cs="Times New Roman"/>
        </w:rPr>
        <w:t xml:space="preserve"> and </w:t>
      </w:r>
      <w:proofErr w:type="spellStart"/>
      <w:r w:rsidR="00944BA6" w:rsidRPr="00A472FC">
        <w:rPr>
          <w:rFonts w:ascii="Times New Roman" w:hAnsi="Times New Roman" w:cs="Times New Roman"/>
        </w:rPr>
        <w:t>Jörg</w:t>
      </w:r>
      <w:proofErr w:type="spellEnd"/>
      <w:r w:rsidR="00944BA6" w:rsidRPr="00A472FC">
        <w:rPr>
          <w:rFonts w:ascii="Times New Roman" w:hAnsi="Times New Roman" w:cs="Times New Roman"/>
        </w:rPr>
        <w:t xml:space="preserve"> Alejandro </w:t>
      </w:r>
      <w:proofErr w:type="spellStart"/>
      <w:r w:rsidR="00944BA6" w:rsidRPr="00A472FC">
        <w:rPr>
          <w:rFonts w:ascii="Times New Roman" w:hAnsi="Times New Roman" w:cs="Times New Roman"/>
        </w:rPr>
        <w:t>Tellkamp</w:t>
      </w:r>
      <w:proofErr w:type="spellEnd"/>
      <w:r w:rsidR="00944BA6" w:rsidRPr="00A472FC">
        <w:rPr>
          <w:rFonts w:ascii="Times New Roman" w:hAnsi="Times New Roman" w:cs="Times New Roman"/>
        </w:rPr>
        <w:t xml:space="preserve">, 17-39. Paris: </w:t>
      </w:r>
      <w:proofErr w:type="spellStart"/>
      <w:r w:rsidR="00944BA6" w:rsidRPr="00A472FC">
        <w:rPr>
          <w:rFonts w:ascii="Times New Roman" w:hAnsi="Times New Roman" w:cs="Times New Roman"/>
        </w:rPr>
        <w:t>Vrin</w:t>
      </w:r>
      <w:proofErr w:type="spellEnd"/>
      <w:r w:rsidR="00944BA6" w:rsidRPr="00A472FC">
        <w:rPr>
          <w:rFonts w:ascii="Times New Roman" w:hAnsi="Times New Roman" w:cs="Times New Roman"/>
        </w:rPr>
        <w:t>, 2013.</w:t>
      </w:r>
    </w:p>
    <w:p w14:paraId="7A52AF1A" w14:textId="5B787B6B" w:rsidR="00944BA6" w:rsidRPr="00A472FC" w:rsidRDefault="00944BA6" w:rsidP="00944BA6">
      <w:pPr>
        <w:autoSpaceDE w:val="0"/>
        <w:autoSpaceDN w:val="0"/>
        <w:adjustRightInd w:val="0"/>
        <w:ind w:left="709" w:right="-52" w:hanging="709"/>
        <w:rPr>
          <w:rFonts w:ascii="Times New Roman" w:hAnsi="Times New Roman" w:cs="Times New Roman"/>
          <w:color w:val="000000" w:themeColor="text1"/>
        </w:rPr>
      </w:pPr>
      <w:r w:rsidRPr="00A472FC">
        <w:rPr>
          <w:rFonts w:ascii="Times New Roman" w:hAnsi="Times New Roman" w:cs="Times New Roman"/>
        </w:rPr>
        <w:lastRenderedPageBreak/>
        <w:t xml:space="preserve">———. </w:t>
      </w:r>
      <w:r w:rsidRPr="00A472FC">
        <w:rPr>
          <w:rFonts w:ascii="Times New Roman" w:hAnsi="Times New Roman" w:cs="Times New Roman"/>
          <w:color w:val="000000" w:themeColor="text1"/>
        </w:rPr>
        <w:t xml:space="preserve">‘The Soul as Harmony: A Disputed Doctrine in Twelfth-Century Cistercian Anthropology.’ </w:t>
      </w:r>
      <w:r w:rsidRPr="00A472FC">
        <w:rPr>
          <w:rFonts w:ascii="Times New Roman" w:hAnsi="Times New Roman" w:cs="Times New Roman"/>
          <w:i/>
          <w:iCs/>
          <w:color w:val="000000" w:themeColor="text1"/>
        </w:rPr>
        <w:t xml:space="preserve">Cistercian Studies Quarterly </w:t>
      </w:r>
      <w:r w:rsidRPr="00A472FC">
        <w:rPr>
          <w:rFonts w:ascii="Times New Roman" w:hAnsi="Times New Roman" w:cs="Times New Roman"/>
          <w:color w:val="000000" w:themeColor="text1"/>
        </w:rPr>
        <w:t>55:3 (2020)</w:t>
      </w:r>
      <w:r w:rsidR="0042016C" w:rsidRPr="00A472FC">
        <w:rPr>
          <w:rFonts w:ascii="Times New Roman" w:hAnsi="Times New Roman" w:cs="Times New Roman"/>
          <w:color w:val="000000" w:themeColor="text1"/>
        </w:rPr>
        <w:t xml:space="preserve">: </w:t>
      </w:r>
      <w:r w:rsidRPr="00A472FC">
        <w:rPr>
          <w:rFonts w:ascii="Times New Roman" w:hAnsi="Times New Roman" w:cs="Times New Roman"/>
          <w:color w:val="000000" w:themeColor="text1"/>
        </w:rPr>
        <w:t xml:space="preserve">333-45. </w:t>
      </w:r>
    </w:p>
    <w:p w14:paraId="13B66745" w14:textId="48C8EB66" w:rsidR="00306BA1" w:rsidRPr="00A472FC" w:rsidRDefault="00944BA6" w:rsidP="00944BA6">
      <w:pPr>
        <w:autoSpaceDE w:val="0"/>
        <w:autoSpaceDN w:val="0"/>
        <w:adjustRightInd w:val="0"/>
        <w:ind w:left="709" w:right="-720" w:hanging="709"/>
        <w:rPr>
          <w:rFonts w:ascii="Times New Roman" w:hAnsi="Times New Roman" w:cs="Times New Roman"/>
        </w:rPr>
      </w:pPr>
      <w:r w:rsidRPr="00A472FC">
        <w:rPr>
          <w:rFonts w:ascii="Times New Roman" w:hAnsi="Times New Roman" w:cs="Times New Roman"/>
        </w:rPr>
        <w:t xml:space="preserve">———. </w:t>
      </w:r>
      <w:r w:rsidR="00306BA1" w:rsidRPr="00A472FC">
        <w:rPr>
          <w:rFonts w:ascii="Times New Roman" w:hAnsi="Times New Roman" w:cs="Times New Roman"/>
        </w:rPr>
        <w:t xml:space="preserve">‘The Talmud and the </w:t>
      </w:r>
      <w:r w:rsidR="00306BA1" w:rsidRPr="00A472FC">
        <w:rPr>
          <w:rFonts w:ascii="Times New Roman" w:hAnsi="Times New Roman" w:cs="Times New Roman"/>
          <w:i/>
          <w:iCs/>
        </w:rPr>
        <w:t xml:space="preserve">Summa </w:t>
      </w:r>
      <w:proofErr w:type="spellStart"/>
      <w:r w:rsidR="00306BA1" w:rsidRPr="00A472FC">
        <w:rPr>
          <w:rFonts w:ascii="Times New Roman" w:hAnsi="Times New Roman" w:cs="Times New Roman"/>
          <w:i/>
          <w:iCs/>
        </w:rPr>
        <w:t>Halensis</w:t>
      </w:r>
      <w:proofErr w:type="spellEnd"/>
      <w:r w:rsidR="00306BA1" w:rsidRPr="00A472FC">
        <w:rPr>
          <w:rFonts w:ascii="Times New Roman" w:hAnsi="Times New Roman" w:cs="Times New Roman"/>
          <w:i/>
          <w:iCs/>
        </w:rPr>
        <w:t xml:space="preserve">.’ </w:t>
      </w:r>
      <w:r w:rsidR="00306BA1" w:rsidRPr="00A472FC">
        <w:rPr>
          <w:rFonts w:ascii="Times New Roman" w:hAnsi="Times New Roman" w:cs="Times New Roman"/>
        </w:rPr>
        <w:t xml:space="preserve">In </w:t>
      </w:r>
      <w:r w:rsidR="00306BA1" w:rsidRPr="00A472FC">
        <w:rPr>
          <w:rFonts w:ascii="Times New Roman" w:hAnsi="Times New Roman" w:cs="Times New Roman"/>
          <w:i/>
          <w:iCs/>
        </w:rPr>
        <w:t xml:space="preserve">The Legacy of Early Franciscan Thought. </w:t>
      </w:r>
      <w:r w:rsidR="00306BA1" w:rsidRPr="00A472FC">
        <w:rPr>
          <w:rFonts w:ascii="Times New Roman" w:hAnsi="Times New Roman" w:cs="Times New Roman"/>
        </w:rPr>
        <w:t>Edited by Lydia Schumacher, 169-83. Berlin: De Gruyter, 2021.</w:t>
      </w:r>
    </w:p>
    <w:p w14:paraId="221478FB" w14:textId="17817D94" w:rsidR="006A6E61" w:rsidRPr="00A472FC" w:rsidRDefault="006A6E61" w:rsidP="00356F97">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t>Filthaut</w:t>
      </w:r>
      <w:proofErr w:type="spellEnd"/>
      <w:r w:rsidRPr="00A472FC">
        <w:rPr>
          <w:rFonts w:ascii="Times New Roman" w:hAnsi="Times New Roman" w:cs="Times New Roman"/>
        </w:rPr>
        <w:t xml:space="preserve">, E. </w:t>
      </w:r>
      <w:r w:rsidRPr="00A472FC">
        <w:rPr>
          <w:rFonts w:ascii="Times New Roman" w:hAnsi="Times New Roman" w:cs="Times New Roman"/>
          <w:i/>
          <w:iCs/>
        </w:rPr>
        <w:t xml:space="preserve">Roland von Cremona O.P. und die </w:t>
      </w:r>
      <w:proofErr w:type="spellStart"/>
      <w:r w:rsidRPr="00A472FC">
        <w:rPr>
          <w:rFonts w:ascii="Times New Roman" w:hAnsi="Times New Roman" w:cs="Times New Roman"/>
          <w:i/>
          <w:iCs/>
        </w:rPr>
        <w:t>Anfänge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der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Scholastik</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im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Predigerorden</w:t>
      </w:r>
      <w:proofErr w:type="spellEnd"/>
      <w:r w:rsidR="0058796C" w:rsidRPr="00A472FC">
        <w:rPr>
          <w:rFonts w:ascii="Times New Roman" w:hAnsi="Times New Roman" w:cs="Times New Roman"/>
          <w:i/>
          <w:iCs/>
        </w:rPr>
        <w:t>.</w:t>
      </w:r>
      <w:r w:rsidRPr="00A472FC">
        <w:rPr>
          <w:rFonts w:ascii="Times New Roman" w:hAnsi="Times New Roman" w:cs="Times New Roman"/>
        </w:rPr>
        <w:t xml:space="preserve"> </w:t>
      </w:r>
      <w:proofErr w:type="spellStart"/>
      <w:r w:rsidRPr="00A472FC">
        <w:rPr>
          <w:rFonts w:ascii="Times New Roman" w:hAnsi="Times New Roman" w:cs="Times New Roman"/>
        </w:rPr>
        <w:t>Vechta</w:t>
      </w:r>
      <w:proofErr w:type="spellEnd"/>
      <w:r w:rsidRPr="00A472FC">
        <w:rPr>
          <w:rFonts w:ascii="Times New Roman" w:hAnsi="Times New Roman" w:cs="Times New Roman"/>
        </w:rPr>
        <w:t xml:space="preserve"> i.O.: </w:t>
      </w:r>
      <w:proofErr w:type="spellStart"/>
      <w:r w:rsidRPr="00A472FC">
        <w:rPr>
          <w:rFonts w:ascii="Times New Roman" w:hAnsi="Times New Roman" w:cs="Times New Roman"/>
        </w:rPr>
        <w:t>Albertus-Magnus-Verlag</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Dominikaner</w:t>
      </w:r>
      <w:proofErr w:type="spellEnd"/>
      <w:r w:rsidRPr="00A472FC">
        <w:rPr>
          <w:rFonts w:ascii="Times New Roman" w:hAnsi="Times New Roman" w:cs="Times New Roman"/>
        </w:rPr>
        <w:t>, 1936.</w:t>
      </w:r>
    </w:p>
    <w:p w14:paraId="06720789"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Fisher, John. ‘Hugh of St Cher and the Development of Medieval Theology.’ </w:t>
      </w:r>
      <w:r w:rsidRPr="00A472FC">
        <w:rPr>
          <w:rFonts w:ascii="Times New Roman" w:hAnsi="Times New Roman" w:cs="Times New Roman"/>
          <w:i/>
          <w:iCs/>
        </w:rPr>
        <w:t xml:space="preserve">Speculum </w:t>
      </w:r>
      <w:r w:rsidRPr="00A472FC">
        <w:rPr>
          <w:rFonts w:ascii="Times New Roman" w:hAnsi="Times New Roman" w:cs="Times New Roman"/>
        </w:rPr>
        <w:t>31:1 (1956): 57-69.</w:t>
      </w:r>
    </w:p>
    <w:p w14:paraId="5F97B7C8"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Frede</w:t>
      </w:r>
      <w:proofErr w:type="spellEnd"/>
      <w:r w:rsidRPr="00A472FC">
        <w:rPr>
          <w:rFonts w:ascii="Times New Roman" w:hAnsi="Times New Roman" w:cs="Times New Roman"/>
        </w:rPr>
        <w:t xml:space="preserve">, Michael. ‘John of Damascus on Human Action, the Will, and Human Freedom.’ In </w:t>
      </w:r>
      <w:r w:rsidRPr="00A472FC">
        <w:rPr>
          <w:rFonts w:ascii="Times New Roman" w:hAnsi="Times New Roman" w:cs="Times New Roman"/>
          <w:i/>
          <w:iCs/>
        </w:rPr>
        <w:t>Byzantine Philosophy and its Ancient Sources</w:t>
      </w:r>
      <w:r w:rsidRPr="00A472FC">
        <w:rPr>
          <w:rFonts w:ascii="Times New Roman" w:hAnsi="Times New Roman" w:cs="Times New Roman"/>
        </w:rPr>
        <w:t xml:space="preserve">. Edited by Katerina </w:t>
      </w:r>
      <w:proofErr w:type="spellStart"/>
      <w:r w:rsidRPr="00A472FC">
        <w:rPr>
          <w:rFonts w:ascii="Times New Roman" w:hAnsi="Times New Roman" w:cs="Times New Roman"/>
        </w:rPr>
        <w:t>Ierodiakonou</w:t>
      </w:r>
      <w:proofErr w:type="spellEnd"/>
      <w:r w:rsidRPr="00A472FC">
        <w:rPr>
          <w:rFonts w:ascii="Times New Roman" w:hAnsi="Times New Roman" w:cs="Times New Roman"/>
        </w:rPr>
        <w:t>, 63-95. Oxford: Clarendon Press, 2002.</w:t>
      </w:r>
    </w:p>
    <w:p w14:paraId="5A726984" w14:textId="37D0CCF5"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Gauthier, René A. ‘</w:t>
      </w:r>
      <w:proofErr w:type="spellStart"/>
      <w:r w:rsidRPr="00A472FC">
        <w:rPr>
          <w:rFonts w:ascii="Times New Roman" w:hAnsi="Times New Roman" w:cs="Times New Roman"/>
        </w:rPr>
        <w:t>Maxime</w:t>
      </w:r>
      <w:proofErr w:type="spellEnd"/>
      <w:r w:rsidRPr="00A472FC">
        <w:rPr>
          <w:rFonts w:ascii="Times New Roman" w:hAnsi="Times New Roman" w:cs="Times New Roman"/>
        </w:rPr>
        <w:t xml:space="preserve"> le </w:t>
      </w:r>
      <w:proofErr w:type="spellStart"/>
      <w:r w:rsidRPr="00A472FC">
        <w:rPr>
          <w:rFonts w:ascii="Times New Roman" w:hAnsi="Times New Roman" w:cs="Times New Roman"/>
        </w:rPr>
        <w:t>Confesseur</w:t>
      </w:r>
      <w:proofErr w:type="spellEnd"/>
      <w:r w:rsidRPr="00A472FC">
        <w:rPr>
          <w:rFonts w:ascii="Times New Roman" w:hAnsi="Times New Roman" w:cs="Times New Roman"/>
        </w:rPr>
        <w:t xml:space="preserve"> et la </w:t>
      </w:r>
      <w:proofErr w:type="spellStart"/>
      <w:r w:rsidRPr="00A472FC">
        <w:rPr>
          <w:rFonts w:ascii="Times New Roman" w:hAnsi="Times New Roman" w:cs="Times New Roman"/>
        </w:rPr>
        <w:t>psychologie</w:t>
      </w:r>
      <w:proofErr w:type="spellEnd"/>
      <w:r w:rsidRPr="00A472FC">
        <w:rPr>
          <w:rFonts w:ascii="Times New Roman" w:hAnsi="Times New Roman" w:cs="Times New Roman"/>
        </w:rPr>
        <w:t xml:space="preserve"> de l’act </w:t>
      </w:r>
      <w:proofErr w:type="spellStart"/>
      <w:r w:rsidRPr="00A472FC">
        <w:rPr>
          <w:rFonts w:ascii="Times New Roman" w:hAnsi="Times New Roman" w:cs="Times New Roman"/>
        </w:rPr>
        <w:t>humain</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i/>
          <w:iCs/>
        </w:rPr>
        <w:t>Recherches</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théologie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ancienne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médiévale</w:t>
      </w:r>
      <w:proofErr w:type="spellEnd"/>
      <w:r w:rsidRPr="00A472FC">
        <w:rPr>
          <w:rFonts w:ascii="Times New Roman" w:hAnsi="Times New Roman" w:cs="Times New Roman"/>
        </w:rPr>
        <w:t xml:space="preserve"> 21 (1954)</w:t>
      </w:r>
      <w:r w:rsidR="0054693C" w:rsidRPr="00A472FC">
        <w:rPr>
          <w:rFonts w:ascii="Times New Roman" w:hAnsi="Times New Roman" w:cs="Times New Roman"/>
        </w:rPr>
        <w:t>:</w:t>
      </w:r>
      <w:r w:rsidRPr="00A472FC">
        <w:rPr>
          <w:rFonts w:ascii="Times New Roman" w:hAnsi="Times New Roman" w:cs="Times New Roman"/>
        </w:rPr>
        <w:t xml:space="preserve"> 51-100.</w:t>
      </w:r>
    </w:p>
    <w:p w14:paraId="66824053" w14:textId="610C124D" w:rsidR="00C84429" w:rsidRPr="00A472FC" w:rsidRDefault="00C84429"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‘Le </w:t>
      </w:r>
      <w:proofErr w:type="spellStart"/>
      <w:r w:rsidRPr="00A472FC">
        <w:rPr>
          <w:rFonts w:ascii="Times New Roman" w:hAnsi="Times New Roman" w:cs="Times New Roman"/>
        </w:rPr>
        <w:t>cours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sur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l’ethica</w:t>
      </w:r>
      <w:proofErr w:type="spellEnd"/>
      <w:r w:rsidRPr="00A472FC">
        <w:rPr>
          <w:rFonts w:ascii="Times New Roman" w:hAnsi="Times New Roman" w:cs="Times New Roman"/>
        </w:rPr>
        <w:t xml:space="preserve"> nova d’un maitre des arts de Paris (1235-40)</w:t>
      </w:r>
      <w:r w:rsidR="002506A9" w:rsidRPr="00A472FC">
        <w:rPr>
          <w:rFonts w:ascii="Times New Roman" w:hAnsi="Times New Roman" w:cs="Times New Roman"/>
        </w:rPr>
        <w:t>.</w:t>
      </w:r>
      <w:r w:rsidRPr="00A472FC">
        <w:rPr>
          <w:rFonts w:ascii="Times New Roman" w:hAnsi="Times New Roman" w:cs="Times New Roman"/>
        </w:rPr>
        <w:t xml:space="preserve">’ </w:t>
      </w:r>
      <w:r w:rsidRPr="00A472FC">
        <w:rPr>
          <w:rFonts w:ascii="Times New Roman" w:hAnsi="Times New Roman" w:cs="Times New Roman"/>
          <w:i/>
          <w:iCs/>
        </w:rPr>
        <w:t xml:space="preserve">Archives </w:t>
      </w:r>
      <w:proofErr w:type="spellStart"/>
      <w:r w:rsidRPr="00A472FC">
        <w:rPr>
          <w:rFonts w:ascii="Times New Roman" w:hAnsi="Times New Roman" w:cs="Times New Roman"/>
          <w:i/>
          <w:iCs/>
        </w:rPr>
        <w:t>d’histoire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doctrinale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littéraire</w:t>
      </w:r>
      <w:proofErr w:type="spellEnd"/>
      <w:r w:rsidRPr="00A472FC">
        <w:rPr>
          <w:rFonts w:ascii="Times New Roman" w:hAnsi="Times New Roman" w:cs="Times New Roman"/>
          <w:i/>
          <w:iCs/>
        </w:rPr>
        <w:t xml:space="preserve"> du </w:t>
      </w:r>
      <w:proofErr w:type="spellStart"/>
      <w:r w:rsidRPr="00A472FC">
        <w:rPr>
          <w:rFonts w:ascii="Times New Roman" w:hAnsi="Times New Roman" w:cs="Times New Roman"/>
          <w:i/>
          <w:iCs/>
        </w:rPr>
        <w:t>Moyen</w:t>
      </w:r>
      <w:proofErr w:type="spellEnd"/>
      <w:r w:rsidRPr="00A472FC">
        <w:rPr>
          <w:rFonts w:ascii="Times New Roman" w:hAnsi="Times New Roman" w:cs="Times New Roman"/>
          <w:i/>
          <w:iCs/>
        </w:rPr>
        <w:t xml:space="preserve"> Age </w:t>
      </w:r>
      <w:r w:rsidRPr="00A472FC">
        <w:rPr>
          <w:rFonts w:ascii="Times New Roman" w:hAnsi="Times New Roman" w:cs="Times New Roman"/>
        </w:rPr>
        <w:t>42 (1975)</w:t>
      </w:r>
      <w:r w:rsidR="00BC3623" w:rsidRPr="00A472FC">
        <w:rPr>
          <w:rFonts w:ascii="Times New Roman" w:hAnsi="Times New Roman" w:cs="Times New Roman"/>
        </w:rPr>
        <w:t>:</w:t>
      </w:r>
      <w:r w:rsidRPr="00A472FC">
        <w:rPr>
          <w:rFonts w:ascii="Times New Roman" w:hAnsi="Times New Roman" w:cs="Times New Roman"/>
          <w:i/>
          <w:iCs/>
        </w:rPr>
        <w:t xml:space="preserve"> </w:t>
      </w:r>
      <w:r w:rsidRPr="00A472FC">
        <w:rPr>
          <w:rFonts w:ascii="Times New Roman" w:hAnsi="Times New Roman" w:cs="Times New Roman"/>
        </w:rPr>
        <w:t>71-141.</w:t>
      </w:r>
    </w:p>
    <w:p w14:paraId="7246E270" w14:textId="20653A82"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‘La </w:t>
      </w:r>
      <w:proofErr w:type="spellStart"/>
      <w:r w:rsidRPr="00A472FC">
        <w:rPr>
          <w:rFonts w:ascii="Times New Roman" w:hAnsi="Times New Roman" w:cs="Times New Roman"/>
        </w:rPr>
        <w:t>traité</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De anima et de </w:t>
      </w:r>
      <w:proofErr w:type="spellStart"/>
      <w:r w:rsidRPr="00A472FC">
        <w:rPr>
          <w:rFonts w:ascii="Times New Roman" w:hAnsi="Times New Roman" w:cs="Times New Roman"/>
          <w:i/>
          <w:iCs/>
        </w:rPr>
        <w:t>potenciis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eius</w:t>
      </w:r>
      <w:proofErr w:type="spellEnd"/>
      <w:r w:rsidRPr="00A472FC">
        <w:rPr>
          <w:rFonts w:ascii="Times New Roman" w:hAnsi="Times New Roman" w:cs="Times New Roman"/>
        </w:rPr>
        <w:t xml:space="preserve"> d’un maitre des arts (</w:t>
      </w:r>
      <w:proofErr w:type="spellStart"/>
      <w:r w:rsidRPr="00A472FC">
        <w:rPr>
          <w:rFonts w:ascii="Times New Roman" w:hAnsi="Times New Roman" w:cs="Times New Roman"/>
        </w:rPr>
        <w:t>vers</w:t>
      </w:r>
      <w:proofErr w:type="spellEnd"/>
      <w:r w:rsidRPr="00A472FC">
        <w:rPr>
          <w:rFonts w:ascii="Times New Roman" w:hAnsi="Times New Roman" w:cs="Times New Roman"/>
        </w:rPr>
        <w:t xml:space="preserve"> 1225): Introduction et </w:t>
      </w:r>
      <w:proofErr w:type="spellStart"/>
      <w:r w:rsidRPr="00A472FC">
        <w:rPr>
          <w:rFonts w:ascii="Times New Roman" w:hAnsi="Times New Roman" w:cs="Times New Roman"/>
        </w:rPr>
        <w:t>texte</w:t>
      </w:r>
      <w:proofErr w:type="spellEnd"/>
      <w:r w:rsidRPr="00A472FC">
        <w:rPr>
          <w:rFonts w:ascii="Times New Roman" w:hAnsi="Times New Roman" w:cs="Times New Roman"/>
        </w:rPr>
        <w:t xml:space="preserve"> critique.’ </w:t>
      </w:r>
      <w:r w:rsidRPr="00A472FC">
        <w:rPr>
          <w:rFonts w:ascii="Times New Roman" w:hAnsi="Times New Roman" w:cs="Times New Roman"/>
          <w:i/>
          <w:iCs/>
        </w:rPr>
        <w:t xml:space="preserve">Revue des sciences </w:t>
      </w:r>
      <w:proofErr w:type="spellStart"/>
      <w:r w:rsidRPr="00A472FC">
        <w:rPr>
          <w:rFonts w:ascii="Times New Roman" w:hAnsi="Times New Roman" w:cs="Times New Roman"/>
          <w:i/>
          <w:iCs/>
        </w:rPr>
        <w:t>philosophiques</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théologiques</w:t>
      </w:r>
      <w:proofErr w:type="spellEnd"/>
      <w:r w:rsidRPr="00A472FC">
        <w:rPr>
          <w:rFonts w:ascii="Times New Roman" w:hAnsi="Times New Roman" w:cs="Times New Roman"/>
          <w:i/>
          <w:iCs/>
        </w:rPr>
        <w:t xml:space="preserve"> </w:t>
      </w:r>
      <w:r w:rsidRPr="00A472FC">
        <w:rPr>
          <w:rFonts w:ascii="Times New Roman" w:hAnsi="Times New Roman" w:cs="Times New Roman"/>
        </w:rPr>
        <w:t>66 (1982): 3-55.</w:t>
      </w:r>
    </w:p>
    <w:p w14:paraId="2469DBB3"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‘Notes </w:t>
      </w:r>
      <w:proofErr w:type="spellStart"/>
      <w:r w:rsidRPr="00A472FC">
        <w:rPr>
          <w:rFonts w:ascii="Times New Roman" w:hAnsi="Times New Roman" w:cs="Times New Roman"/>
        </w:rPr>
        <w:t>sur</w:t>
      </w:r>
      <w:proofErr w:type="spellEnd"/>
      <w:r w:rsidRPr="00A472FC">
        <w:rPr>
          <w:rFonts w:ascii="Times New Roman" w:hAnsi="Times New Roman" w:cs="Times New Roman"/>
        </w:rPr>
        <w:t xml:space="preserve"> les débuts (1225-1240) du premier </w:t>
      </w:r>
      <w:proofErr w:type="spellStart"/>
      <w:r w:rsidRPr="00A472FC">
        <w:rPr>
          <w:rFonts w:ascii="Times New Roman" w:hAnsi="Times New Roman" w:cs="Times New Roman"/>
        </w:rPr>
        <w:t>Averroisme</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Revue des sciences </w:t>
      </w:r>
      <w:proofErr w:type="spellStart"/>
      <w:r w:rsidRPr="00A472FC">
        <w:rPr>
          <w:rFonts w:ascii="Times New Roman" w:hAnsi="Times New Roman" w:cs="Times New Roman"/>
          <w:i/>
          <w:iCs/>
        </w:rPr>
        <w:t>philosophiques</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théologiques</w:t>
      </w:r>
      <w:proofErr w:type="spellEnd"/>
      <w:r w:rsidRPr="00A472FC">
        <w:rPr>
          <w:rFonts w:ascii="Times New Roman" w:hAnsi="Times New Roman" w:cs="Times New Roman"/>
          <w:i/>
          <w:iCs/>
        </w:rPr>
        <w:t xml:space="preserve"> </w:t>
      </w:r>
      <w:r w:rsidRPr="00A472FC">
        <w:rPr>
          <w:rFonts w:ascii="Times New Roman" w:hAnsi="Times New Roman" w:cs="Times New Roman"/>
        </w:rPr>
        <w:t>66 (1982): 322-74.</w:t>
      </w:r>
    </w:p>
    <w:p w14:paraId="0C1E22FE" w14:textId="454BBD5E"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Ghellinck</w:t>
      </w:r>
      <w:proofErr w:type="spellEnd"/>
      <w:r w:rsidRPr="00A472FC">
        <w:rPr>
          <w:rFonts w:ascii="Times New Roman" w:hAnsi="Times New Roman" w:cs="Times New Roman"/>
        </w:rPr>
        <w:t xml:space="preserve">, J. de. </w:t>
      </w:r>
      <w:r w:rsidRPr="00A472FC">
        <w:rPr>
          <w:rFonts w:ascii="Times New Roman" w:hAnsi="Times New Roman" w:cs="Times New Roman"/>
          <w:i/>
          <w:iCs/>
        </w:rPr>
        <w:t xml:space="preserve">Le </w:t>
      </w:r>
      <w:proofErr w:type="spellStart"/>
      <w:r w:rsidRPr="00A472FC">
        <w:rPr>
          <w:rFonts w:ascii="Times New Roman" w:hAnsi="Times New Roman" w:cs="Times New Roman"/>
          <w:i/>
          <w:iCs/>
        </w:rPr>
        <w:t>Mouvement</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théologique</w:t>
      </w:r>
      <w:proofErr w:type="spellEnd"/>
      <w:r w:rsidRPr="00A472FC">
        <w:rPr>
          <w:rFonts w:ascii="Times New Roman" w:hAnsi="Times New Roman" w:cs="Times New Roman"/>
          <w:i/>
          <w:iCs/>
        </w:rPr>
        <w:t xml:space="preserve"> du XIIe siècle</w:t>
      </w:r>
      <w:r w:rsidR="00FD4B2F" w:rsidRPr="00A472FC">
        <w:rPr>
          <w:rFonts w:ascii="Times New Roman" w:hAnsi="Times New Roman" w:cs="Times New Roman"/>
          <w:i/>
          <w:iCs/>
        </w:rPr>
        <w:t>:</w:t>
      </w:r>
      <w:r w:rsidRPr="00A472FC">
        <w:rPr>
          <w:rFonts w:ascii="Times New Roman" w:hAnsi="Times New Roman" w:cs="Times New Roman"/>
          <w:i/>
          <w:iCs/>
        </w:rPr>
        <w:t xml:space="preserve"> </w:t>
      </w:r>
      <w:proofErr w:type="spellStart"/>
      <w:r w:rsidR="00C6599E" w:rsidRPr="00A472FC">
        <w:rPr>
          <w:rFonts w:ascii="Times New Roman" w:hAnsi="Times New Roman" w:cs="Times New Roman"/>
          <w:i/>
          <w:iCs/>
        </w:rPr>
        <w:t>s</w:t>
      </w:r>
      <w:r w:rsidRPr="00A472FC">
        <w:rPr>
          <w:rFonts w:ascii="Times New Roman" w:hAnsi="Times New Roman" w:cs="Times New Roman"/>
          <w:i/>
          <w:iCs/>
        </w:rPr>
        <w:t>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préparation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lointaine</w:t>
      </w:r>
      <w:proofErr w:type="spellEnd"/>
      <w:r w:rsidRPr="00A472FC">
        <w:rPr>
          <w:rFonts w:ascii="Times New Roman" w:hAnsi="Times New Roman" w:cs="Times New Roman"/>
          <w:i/>
          <w:iCs/>
        </w:rPr>
        <w:t xml:space="preserve"> avant et </w:t>
      </w:r>
      <w:proofErr w:type="spellStart"/>
      <w:r w:rsidRPr="00A472FC">
        <w:rPr>
          <w:rFonts w:ascii="Times New Roman" w:hAnsi="Times New Roman" w:cs="Times New Roman"/>
          <w:i/>
          <w:iCs/>
        </w:rPr>
        <w:t>autour</w:t>
      </w:r>
      <w:proofErr w:type="spellEnd"/>
      <w:r w:rsidRPr="00A472FC">
        <w:rPr>
          <w:rFonts w:ascii="Times New Roman" w:hAnsi="Times New Roman" w:cs="Times New Roman"/>
          <w:i/>
          <w:iCs/>
        </w:rPr>
        <w:t xml:space="preserve"> de Pierre Lombard, </w:t>
      </w:r>
      <w:proofErr w:type="spellStart"/>
      <w:r w:rsidRPr="00A472FC">
        <w:rPr>
          <w:rFonts w:ascii="Times New Roman" w:hAnsi="Times New Roman" w:cs="Times New Roman"/>
          <w:i/>
          <w:iCs/>
        </w:rPr>
        <w:t>ses</w:t>
      </w:r>
      <w:proofErr w:type="spellEnd"/>
      <w:r w:rsidRPr="00A472FC">
        <w:rPr>
          <w:rFonts w:ascii="Times New Roman" w:hAnsi="Times New Roman" w:cs="Times New Roman"/>
          <w:i/>
          <w:iCs/>
        </w:rPr>
        <w:t xml:space="preserve"> rapports </w:t>
      </w:r>
      <w:proofErr w:type="spellStart"/>
      <w:r w:rsidRPr="00A472FC">
        <w:rPr>
          <w:rFonts w:ascii="Times New Roman" w:hAnsi="Times New Roman" w:cs="Times New Roman"/>
          <w:i/>
          <w:iCs/>
        </w:rPr>
        <w:t>avec</w:t>
      </w:r>
      <w:proofErr w:type="spellEnd"/>
      <w:r w:rsidRPr="00A472FC">
        <w:rPr>
          <w:rFonts w:ascii="Times New Roman" w:hAnsi="Times New Roman" w:cs="Times New Roman"/>
          <w:i/>
          <w:iCs/>
        </w:rPr>
        <w:t xml:space="preserve"> les initiatives des </w:t>
      </w:r>
      <w:proofErr w:type="spellStart"/>
      <w:r w:rsidRPr="00A472FC">
        <w:rPr>
          <w:rFonts w:ascii="Times New Roman" w:hAnsi="Times New Roman" w:cs="Times New Roman"/>
          <w:i/>
          <w:iCs/>
        </w:rPr>
        <w:t>canonistes</w:t>
      </w:r>
      <w:proofErr w:type="spellEnd"/>
      <w:r w:rsidR="00F77872" w:rsidRPr="00A472FC">
        <w:rPr>
          <w:rFonts w:ascii="Times New Roman" w:hAnsi="Times New Roman" w:cs="Times New Roman"/>
          <w:i/>
          <w:iCs/>
        </w:rPr>
        <w:t>:</w:t>
      </w:r>
      <w:r w:rsidRPr="00A472FC">
        <w:rPr>
          <w:rFonts w:ascii="Times New Roman" w:hAnsi="Times New Roman" w:cs="Times New Roman"/>
          <w:i/>
          <w:iCs/>
        </w:rPr>
        <w:t xml:space="preserve"> </w:t>
      </w:r>
      <w:r w:rsidR="008B4FF3" w:rsidRPr="00A472FC">
        <w:rPr>
          <w:rFonts w:ascii="Times New Roman" w:hAnsi="Times New Roman" w:cs="Times New Roman"/>
          <w:i/>
          <w:iCs/>
        </w:rPr>
        <w:t>é</w:t>
      </w:r>
      <w:r w:rsidRPr="00A472FC">
        <w:rPr>
          <w:rFonts w:ascii="Times New Roman" w:hAnsi="Times New Roman" w:cs="Times New Roman"/>
          <w:i/>
          <w:iCs/>
        </w:rPr>
        <w:t xml:space="preserve">tudes, </w:t>
      </w:r>
      <w:proofErr w:type="spellStart"/>
      <w:r w:rsidRPr="00A472FC">
        <w:rPr>
          <w:rFonts w:ascii="Times New Roman" w:hAnsi="Times New Roman" w:cs="Times New Roman"/>
          <w:i/>
          <w:iCs/>
        </w:rPr>
        <w:t>recherches</w:t>
      </w:r>
      <w:proofErr w:type="spellEnd"/>
      <w:r w:rsidRPr="00A472FC">
        <w:rPr>
          <w:rFonts w:ascii="Times New Roman" w:hAnsi="Times New Roman" w:cs="Times New Roman"/>
          <w:i/>
          <w:iCs/>
        </w:rPr>
        <w:t xml:space="preserve"> et documents.</w:t>
      </w:r>
      <w:r w:rsidRPr="00A472FC">
        <w:rPr>
          <w:rFonts w:ascii="Times New Roman" w:hAnsi="Times New Roman" w:cs="Times New Roman"/>
        </w:rPr>
        <w:t xml:space="preserve"> Bruges: </w:t>
      </w:r>
      <w:proofErr w:type="spellStart"/>
      <w:r w:rsidRPr="00A472FC">
        <w:rPr>
          <w:rFonts w:ascii="Times New Roman" w:hAnsi="Times New Roman" w:cs="Times New Roman"/>
        </w:rPr>
        <w:t>Éditions</w:t>
      </w:r>
      <w:proofErr w:type="spellEnd"/>
      <w:r w:rsidRPr="00A472FC">
        <w:rPr>
          <w:rFonts w:ascii="Times New Roman" w:hAnsi="Times New Roman" w:cs="Times New Roman"/>
        </w:rPr>
        <w:t xml:space="preserve"> De Temple, 1948.</w:t>
      </w:r>
    </w:p>
    <w:p w14:paraId="7B313041" w14:textId="25983DE1"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Gilson, Étienne. </w:t>
      </w:r>
      <w:r w:rsidRPr="00A472FC">
        <w:rPr>
          <w:rFonts w:ascii="Times New Roman" w:hAnsi="Times New Roman" w:cs="Times New Roman"/>
          <w:i/>
          <w:iCs/>
        </w:rPr>
        <w:t>Introduction a l’etude de S</w:t>
      </w:r>
      <w:r w:rsidR="00E17B86" w:rsidRPr="00A472FC">
        <w:rPr>
          <w:rFonts w:ascii="Times New Roman" w:hAnsi="Times New Roman" w:cs="Times New Roman"/>
          <w:i/>
          <w:iCs/>
        </w:rPr>
        <w:t>.</w:t>
      </w:r>
      <w:r w:rsidRPr="00A472FC">
        <w:rPr>
          <w:rFonts w:ascii="Times New Roman" w:hAnsi="Times New Roman" w:cs="Times New Roman"/>
          <w:i/>
          <w:iCs/>
        </w:rPr>
        <w:t xml:space="preserve"> Augustin.</w:t>
      </w:r>
      <w:r w:rsidRPr="00A472FC">
        <w:rPr>
          <w:rFonts w:ascii="Times New Roman" w:hAnsi="Times New Roman" w:cs="Times New Roman"/>
        </w:rPr>
        <w:t xml:space="preserve"> Paris: </w:t>
      </w:r>
      <w:proofErr w:type="spellStart"/>
      <w:r w:rsidRPr="00A472FC">
        <w:rPr>
          <w:rFonts w:ascii="Times New Roman" w:hAnsi="Times New Roman" w:cs="Times New Roman"/>
        </w:rPr>
        <w:t>Vrin</w:t>
      </w:r>
      <w:proofErr w:type="spellEnd"/>
      <w:r w:rsidRPr="00A472FC">
        <w:rPr>
          <w:rFonts w:ascii="Times New Roman" w:hAnsi="Times New Roman" w:cs="Times New Roman"/>
        </w:rPr>
        <w:t>, 1929.</w:t>
      </w:r>
    </w:p>
    <w:p w14:paraId="2915207B"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‘Les sources </w:t>
      </w:r>
      <w:proofErr w:type="spellStart"/>
      <w:r w:rsidRPr="00A472FC">
        <w:rPr>
          <w:rFonts w:ascii="Times New Roman" w:hAnsi="Times New Roman" w:cs="Times New Roman"/>
        </w:rPr>
        <w:t>Greco-arabes</w:t>
      </w:r>
      <w:proofErr w:type="spellEnd"/>
      <w:r w:rsidRPr="00A472FC">
        <w:rPr>
          <w:rFonts w:ascii="Times New Roman" w:hAnsi="Times New Roman" w:cs="Times New Roman"/>
        </w:rPr>
        <w:t xml:space="preserve"> de </w:t>
      </w:r>
      <w:proofErr w:type="spellStart"/>
      <w:r w:rsidRPr="00A472FC">
        <w:rPr>
          <w:rFonts w:ascii="Times New Roman" w:hAnsi="Times New Roman" w:cs="Times New Roman"/>
        </w:rPr>
        <w:t>l’augustinisme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avicennisant</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Archives </w:t>
      </w:r>
      <w:proofErr w:type="spellStart"/>
      <w:r w:rsidRPr="00A472FC">
        <w:rPr>
          <w:rFonts w:ascii="Times New Roman" w:hAnsi="Times New Roman" w:cs="Times New Roman"/>
          <w:i/>
          <w:iCs/>
        </w:rPr>
        <w:t>d'histoire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doctrinale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littéraire</w:t>
      </w:r>
      <w:proofErr w:type="spellEnd"/>
      <w:r w:rsidRPr="00A472FC">
        <w:rPr>
          <w:rFonts w:ascii="Times New Roman" w:hAnsi="Times New Roman" w:cs="Times New Roman"/>
          <w:i/>
          <w:iCs/>
        </w:rPr>
        <w:t xml:space="preserve"> du </w:t>
      </w:r>
      <w:proofErr w:type="spellStart"/>
      <w:r w:rsidRPr="00A472FC">
        <w:rPr>
          <w:rFonts w:ascii="Times New Roman" w:hAnsi="Times New Roman" w:cs="Times New Roman"/>
          <w:i/>
          <w:iCs/>
        </w:rPr>
        <w:t>Moyen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Âge</w:t>
      </w:r>
      <w:proofErr w:type="spellEnd"/>
      <w:r w:rsidRPr="00A472FC">
        <w:rPr>
          <w:rFonts w:ascii="Times New Roman" w:hAnsi="Times New Roman" w:cs="Times New Roman"/>
          <w:i/>
          <w:iCs/>
        </w:rPr>
        <w:t xml:space="preserve"> </w:t>
      </w:r>
      <w:r w:rsidRPr="00A472FC">
        <w:rPr>
          <w:rFonts w:ascii="Times New Roman" w:hAnsi="Times New Roman" w:cs="Times New Roman"/>
        </w:rPr>
        <w:t>4 (1929-30): 5-149.</w:t>
      </w:r>
    </w:p>
    <w:p w14:paraId="2A8BD3B2"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History of Christian Philosophy in the Middle Ages.</w:t>
      </w:r>
      <w:r w:rsidRPr="00A472FC">
        <w:rPr>
          <w:rFonts w:ascii="Times New Roman" w:hAnsi="Times New Roman" w:cs="Times New Roman"/>
        </w:rPr>
        <w:t xml:space="preserve"> New York: Random House, 1955.</w:t>
      </w:r>
    </w:p>
    <w:p w14:paraId="4FEC997C" w14:textId="51E00577" w:rsidR="003A11A6" w:rsidRPr="00A472FC" w:rsidRDefault="006A6E61" w:rsidP="003A11A6">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Glorieux, </w:t>
      </w:r>
      <w:proofErr w:type="spellStart"/>
      <w:r w:rsidRPr="00A472FC">
        <w:rPr>
          <w:rFonts w:ascii="Times New Roman" w:hAnsi="Times New Roman" w:cs="Times New Roman"/>
        </w:rPr>
        <w:t>Palémon</w:t>
      </w:r>
      <w:proofErr w:type="spellEnd"/>
      <w:r w:rsidRPr="00A472FC">
        <w:rPr>
          <w:rFonts w:ascii="Times New Roman" w:hAnsi="Times New Roman" w:cs="Times New Roman"/>
        </w:rPr>
        <w:t xml:space="preserve">. </w:t>
      </w:r>
      <w:proofErr w:type="spellStart"/>
      <w:r w:rsidR="003A11A6" w:rsidRPr="00A472FC">
        <w:rPr>
          <w:rFonts w:ascii="Times New Roman" w:hAnsi="Times New Roman" w:cs="Times New Roman"/>
          <w:i/>
          <w:iCs/>
        </w:rPr>
        <w:t>Répertoire</w:t>
      </w:r>
      <w:proofErr w:type="spellEnd"/>
      <w:r w:rsidR="003A11A6" w:rsidRPr="00A472FC">
        <w:rPr>
          <w:rFonts w:ascii="Times New Roman" w:hAnsi="Times New Roman" w:cs="Times New Roman"/>
          <w:i/>
          <w:iCs/>
        </w:rPr>
        <w:t xml:space="preserve"> des </w:t>
      </w:r>
      <w:proofErr w:type="spellStart"/>
      <w:r w:rsidR="003A11A6" w:rsidRPr="00A472FC">
        <w:rPr>
          <w:rFonts w:ascii="Times New Roman" w:hAnsi="Times New Roman" w:cs="Times New Roman"/>
          <w:i/>
          <w:iCs/>
        </w:rPr>
        <w:t>maîtres</w:t>
      </w:r>
      <w:proofErr w:type="spellEnd"/>
      <w:r w:rsidR="003A11A6" w:rsidRPr="00A472FC">
        <w:rPr>
          <w:rFonts w:ascii="Times New Roman" w:hAnsi="Times New Roman" w:cs="Times New Roman"/>
          <w:i/>
          <w:iCs/>
        </w:rPr>
        <w:t xml:space="preserve"> en </w:t>
      </w:r>
      <w:proofErr w:type="spellStart"/>
      <w:r w:rsidR="003A11A6" w:rsidRPr="00A472FC">
        <w:rPr>
          <w:rFonts w:ascii="Times New Roman" w:hAnsi="Times New Roman" w:cs="Times New Roman"/>
          <w:i/>
          <w:iCs/>
        </w:rPr>
        <w:t>théologie</w:t>
      </w:r>
      <w:proofErr w:type="spellEnd"/>
      <w:r w:rsidR="003A11A6" w:rsidRPr="00A472FC">
        <w:rPr>
          <w:rFonts w:ascii="Times New Roman" w:hAnsi="Times New Roman" w:cs="Times New Roman"/>
          <w:i/>
          <w:iCs/>
        </w:rPr>
        <w:t xml:space="preserve"> de Paris au XIII</w:t>
      </w:r>
      <w:r w:rsidR="003A11A6" w:rsidRPr="00A472FC">
        <w:rPr>
          <w:rFonts w:ascii="Times New Roman" w:hAnsi="Times New Roman" w:cs="Times New Roman"/>
          <w:i/>
          <w:iCs/>
          <w:vertAlign w:val="superscript"/>
        </w:rPr>
        <w:t>e</w:t>
      </w:r>
      <w:r w:rsidR="003A11A6" w:rsidRPr="00A472FC">
        <w:rPr>
          <w:rFonts w:ascii="Times New Roman" w:hAnsi="Times New Roman" w:cs="Times New Roman"/>
          <w:i/>
          <w:iCs/>
        </w:rPr>
        <w:t xml:space="preserve"> siècle</w:t>
      </w:r>
      <w:r w:rsidR="003A11A6" w:rsidRPr="00A472FC">
        <w:rPr>
          <w:rFonts w:ascii="Times New Roman" w:hAnsi="Times New Roman" w:cs="Times New Roman"/>
        </w:rPr>
        <w:t xml:space="preserve">, 2 vols. Paris: </w:t>
      </w:r>
      <w:proofErr w:type="spellStart"/>
      <w:r w:rsidR="003A11A6" w:rsidRPr="00A472FC">
        <w:rPr>
          <w:rFonts w:ascii="Times New Roman" w:hAnsi="Times New Roman" w:cs="Times New Roman"/>
        </w:rPr>
        <w:t>Vrin</w:t>
      </w:r>
      <w:proofErr w:type="spellEnd"/>
      <w:r w:rsidR="003A11A6" w:rsidRPr="00A472FC">
        <w:rPr>
          <w:rFonts w:ascii="Times New Roman" w:hAnsi="Times New Roman" w:cs="Times New Roman"/>
        </w:rPr>
        <w:t xml:space="preserve">, 1933-4. </w:t>
      </w:r>
    </w:p>
    <w:p w14:paraId="38083D37" w14:textId="5BD0758E" w:rsidR="003A11A6" w:rsidRPr="00A472FC" w:rsidRDefault="003A11A6"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‘Aux </w:t>
      </w:r>
      <w:proofErr w:type="spellStart"/>
      <w:r w:rsidRPr="00A472FC">
        <w:rPr>
          <w:rFonts w:ascii="Times New Roman" w:hAnsi="Times New Roman" w:cs="Times New Roman"/>
        </w:rPr>
        <w:t>origines</w:t>
      </w:r>
      <w:proofErr w:type="spellEnd"/>
      <w:r w:rsidRPr="00A472FC">
        <w:rPr>
          <w:rFonts w:ascii="Times New Roman" w:hAnsi="Times New Roman" w:cs="Times New Roman"/>
        </w:rPr>
        <w:t xml:space="preserve"> du Quodlibet.’ 38 (1935): 502-22.</w:t>
      </w:r>
    </w:p>
    <w:p w14:paraId="61DC0E7B" w14:textId="4BC1A505" w:rsidR="006A6E61" w:rsidRPr="00A472FC" w:rsidRDefault="003A11A6"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006A6E61" w:rsidRPr="00A472FC">
        <w:rPr>
          <w:rFonts w:ascii="Times New Roman" w:hAnsi="Times New Roman" w:cs="Times New Roman"/>
        </w:rPr>
        <w:t xml:space="preserve">‘Les 572 Questions du </w:t>
      </w:r>
      <w:proofErr w:type="spellStart"/>
      <w:r w:rsidR="006A6E61" w:rsidRPr="00A472FC">
        <w:rPr>
          <w:rFonts w:ascii="Times New Roman" w:hAnsi="Times New Roman" w:cs="Times New Roman"/>
        </w:rPr>
        <w:t>manuscrit</w:t>
      </w:r>
      <w:proofErr w:type="spellEnd"/>
      <w:r w:rsidR="006A6E61" w:rsidRPr="00A472FC">
        <w:rPr>
          <w:rFonts w:ascii="Times New Roman" w:hAnsi="Times New Roman" w:cs="Times New Roman"/>
        </w:rPr>
        <w:t xml:space="preserve"> de Douai 434.’ </w:t>
      </w:r>
      <w:proofErr w:type="spellStart"/>
      <w:r w:rsidR="006A6E61" w:rsidRPr="00A472FC">
        <w:rPr>
          <w:rFonts w:ascii="Times New Roman" w:hAnsi="Times New Roman" w:cs="Times New Roman"/>
          <w:i/>
          <w:iCs/>
        </w:rPr>
        <w:t>Recherches</w:t>
      </w:r>
      <w:proofErr w:type="spellEnd"/>
      <w:r w:rsidR="006A6E61" w:rsidRPr="00A472FC">
        <w:rPr>
          <w:rFonts w:ascii="Times New Roman" w:hAnsi="Times New Roman" w:cs="Times New Roman"/>
          <w:i/>
          <w:iCs/>
        </w:rPr>
        <w:t xml:space="preserve"> de </w:t>
      </w:r>
      <w:proofErr w:type="spellStart"/>
      <w:r w:rsidR="006A6E61" w:rsidRPr="00A472FC">
        <w:rPr>
          <w:rFonts w:ascii="Times New Roman" w:hAnsi="Times New Roman" w:cs="Times New Roman"/>
          <w:i/>
          <w:iCs/>
        </w:rPr>
        <w:t>théologie</w:t>
      </w:r>
      <w:proofErr w:type="spellEnd"/>
      <w:r w:rsidR="006A6E61" w:rsidRPr="00A472FC">
        <w:rPr>
          <w:rFonts w:ascii="Times New Roman" w:hAnsi="Times New Roman" w:cs="Times New Roman"/>
          <w:i/>
          <w:iCs/>
        </w:rPr>
        <w:t xml:space="preserve"> </w:t>
      </w:r>
      <w:proofErr w:type="spellStart"/>
      <w:r w:rsidR="006A6E61" w:rsidRPr="00A472FC">
        <w:rPr>
          <w:rFonts w:ascii="Times New Roman" w:hAnsi="Times New Roman" w:cs="Times New Roman"/>
          <w:i/>
          <w:iCs/>
        </w:rPr>
        <w:t>ancienne</w:t>
      </w:r>
      <w:proofErr w:type="spellEnd"/>
      <w:r w:rsidR="006A6E61" w:rsidRPr="00A472FC">
        <w:rPr>
          <w:rFonts w:ascii="Times New Roman" w:hAnsi="Times New Roman" w:cs="Times New Roman"/>
          <w:i/>
          <w:iCs/>
        </w:rPr>
        <w:t xml:space="preserve"> et </w:t>
      </w:r>
      <w:proofErr w:type="spellStart"/>
      <w:r w:rsidR="006A6E61" w:rsidRPr="00A472FC">
        <w:rPr>
          <w:rFonts w:ascii="Times New Roman" w:hAnsi="Times New Roman" w:cs="Times New Roman"/>
          <w:i/>
          <w:iCs/>
        </w:rPr>
        <w:t>médiévale</w:t>
      </w:r>
      <w:proofErr w:type="spellEnd"/>
      <w:r w:rsidR="006A6E61" w:rsidRPr="00A472FC">
        <w:rPr>
          <w:rFonts w:ascii="Times New Roman" w:hAnsi="Times New Roman" w:cs="Times New Roman"/>
          <w:i/>
          <w:iCs/>
        </w:rPr>
        <w:t xml:space="preserve"> </w:t>
      </w:r>
      <w:r w:rsidR="006A6E61" w:rsidRPr="00A472FC">
        <w:rPr>
          <w:rFonts w:ascii="Times New Roman" w:hAnsi="Times New Roman" w:cs="Times New Roman"/>
        </w:rPr>
        <w:t>10 (1938): 123-52.</w:t>
      </w:r>
    </w:p>
    <w:p w14:paraId="52245DD9"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 xml:space="preserve">La ‘Summa </w:t>
      </w:r>
      <w:proofErr w:type="spellStart"/>
      <w:r w:rsidRPr="00A472FC">
        <w:rPr>
          <w:rFonts w:ascii="Times New Roman" w:hAnsi="Times New Roman" w:cs="Times New Roman"/>
          <w:i/>
          <w:iCs/>
        </w:rPr>
        <w:t>Duacensis</w:t>
      </w:r>
      <w:proofErr w:type="spellEnd"/>
      <w:r w:rsidRPr="00A472FC">
        <w:rPr>
          <w:rFonts w:ascii="Times New Roman" w:hAnsi="Times New Roman" w:cs="Times New Roman"/>
          <w:i/>
          <w:iCs/>
        </w:rPr>
        <w:t>’ (Douai 434).</w:t>
      </w:r>
      <w:r w:rsidRPr="00A472FC">
        <w:rPr>
          <w:rFonts w:ascii="Times New Roman" w:hAnsi="Times New Roman" w:cs="Times New Roman"/>
        </w:rPr>
        <w:t xml:space="preserve"> Paris: </w:t>
      </w:r>
      <w:proofErr w:type="spellStart"/>
      <w:r w:rsidRPr="00A472FC">
        <w:rPr>
          <w:rFonts w:ascii="Times New Roman" w:hAnsi="Times New Roman" w:cs="Times New Roman"/>
        </w:rPr>
        <w:t>Vrin</w:t>
      </w:r>
      <w:proofErr w:type="spellEnd"/>
      <w:r w:rsidRPr="00A472FC">
        <w:rPr>
          <w:rFonts w:ascii="Times New Roman" w:hAnsi="Times New Roman" w:cs="Times New Roman"/>
        </w:rPr>
        <w:t>, 1955.</w:t>
      </w:r>
    </w:p>
    <w:p w14:paraId="2F658B5B" w14:textId="6412C724" w:rsidR="002E0D83" w:rsidRPr="00A472FC" w:rsidRDefault="003A3885"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Gorochov, Nathalie. </w:t>
      </w:r>
      <w:r w:rsidR="002E0D83" w:rsidRPr="00A472FC">
        <w:rPr>
          <w:rFonts w:ascii="Times New Roman" w:hAnsi="Times New Roman" w:cs="Times New Roman"/>
        </w:rPr>
        <w:t xml:space="preserve">‘The Self-Image of the Masters of Theology at the University of Paris in the Late Thirteenth and Early Fourteenth Centuries.’ </w:t>
      </w:r>
      <w:r w:rsidR="002E0D83" w:rsidRPr="00A472FC">
        <w:rPr>
          <w:rFonts w:ascii="Times New Roman" w:hAnsi="Times New Roman" w:cs="Times New Roman"/>
          <w:i/>
          <w:iCs/>
        </w:rPr>
        <w:t>Journal of Ecclesiastical History</w:t>
      </w:r>
      <w:r w:rsidR="002E0D83" w:rsidRPr="00A472FC">
        <w:rPr>
          <w:rFonts w:ascii="Times New Roman" w:hAnsi="Times New Roman" w:cs="Times New Roman"/>
        </w:rPr>
        <w:t xml:space="preserve"> 46 (1995)</w:t>
      </w:r>
      <w:r w:rsidR="004A39CD" w:rsidRPr="00A472FC">
        <w:rPr>
          <w:rFonts w:ascii="Times New Roman" w:hAnsi="Times New Roman" w:cs="Times New Roman"/>
        </w:rPr>
        <w:t>:</w:t>
      </w:r>
      <w:r w:rsidR="002E0D83" w:rsidRPr="00A472FC">
        <w:rPr>
          <w:rFonts w:ascii="Times New Roman" w:hAnsi="Times New Roman" w:cs="Times New Roman"/>
        </w:rPr>
        <w:t xml:space="preserve"> 398-43.</w:t>
      </w:r>
    </w:p>
    <w:p w14:paraId="03C894CD" w14:textId="3912FF2E" w:rsidR="00AC2572" w:rsidRPr="00A472FC" w:rsidRDefault="00B91F4D"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003A3885" w:rsidRPr="00A472FC">
        <w:rPr>
          <w:rFonts w:ascii="Times New Roman" w:hAnsi="Times New Roman" w:cs="Times New Roman"/>
          <w:i/>
          <w:iCs/>
        </w:rPr>
        <w:t>Naissance</w:t>
      </w:r>
      <w:proofErr w:type="spellEnd"/>
      <w:r w:rsidR="003A3885" w:rsidRPr="00A472FC">
        <w:rPr>
          <w:rFonts w:ascii="Times New Roman" w:hAnsi="Times New Roman" w:cs="Times New Roman"/>
          <w:i/>
          <w:iCs/>
        </w:rPr>
        <w:t xml:space="preserve"> de l’Université: Les écoles de Paris d’Innocent III à Thomas </w:t>
      </w:r>
      <w:proofErr w:type="spellStart"/>
      <w:r w:rsidR="003A3885" w:rsidRPr="00A472FC">
        <w:rPr>
          <w:rFonts w:ascii="Times New Roman" w:hAnsi="Times New Roman" w:cs="Times New Roman"/>
          <w:i/>
          <w:iCs/>
        </w:rPr>
        <w:t>d’Aquin</w:t>
      </w:r>
      <w:proofErr w:type="spellEnd"/>
      <w:r w:rsidR="003A3885" w:rsidRPr="00A472FC">
        <w:rPr>
          <w:rFonts w:ascii="Times New Roman" w:hAnsi="Times New Roman" w:cs="Times New Roman"/>
          <w:i/>
          <w:iCs/>
        </w:rPr>
        <w:t xml:space="preserve"> (v. 1200-v. 1245)</w:t>
      </w:r>
      <w:r w:rsidR="00AC2572" w:rsidRPr="00A472FC">
        <w:rPr>
          <w:rFonts w:ascii="Times New Roman" w:hAnsi="Times New Roman" w:cs="Times New Roman"/>
          <w:i/>
          <w:iCs/>
        </w:rPr>
        <w:t xml:space="preserve">. </w:t>
      </w:r>
      <w:r w:rsidR="003A3885" w:rsidRPr="00A472FC">
        <w:rPr>
          <w:rFonts w:ascii="Times New Roman" w:hAnsi="Times New Roman" w:cs="Times New Roman"/>
        </w:rPr>
        <w:t xml:space="preserve">Paris: Honoré Champion, 2016. </w:t>
      </w:r>
    </w:p>
    <w:p w14:paraId="2EE9D91A" w14:textId="1B537AA3" w:rsidR="002E3274" w:rsidRPr="00A472FC" w:rsidRDefault="002E3274" w:rsidP="00027798">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w:t>
      </w:r>
      <w:proofErr w:type="spellStart"/>
      <w:r w:rsidRPr="00A472FC">
        <w:rPr>
          <w:rFonts w:ascii="Times New Roman" w:hAnsi="Times New Roman" w:cs="Times New Roman"/>
        </w:rPr>
        <w:t>Odo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Rigaldus</w:t>
      </w:r>
      <w:proofErr w:type="spellEnd"/>
      <w:r w:rsidRPr="00A472FC">
        <w:rPr>
          <w:rFonts w:ascii="Times New Roman" w:hAnsi="Times New Roman" w:cs="Times New Roman"/>
        </w:rPr>
        <w:t xml:space="preserve"> at the University of Paris (c. 1220-48).’ In </w:t>
      </w:r>
      <w:r w:rsidRPr="00A472FC">
        <w:rPr>
          <w:rFonts w:ascii="Times New Roman" w:hAnsi="Times New Roman" w:cs="Times New Roman"/>
          <w:i/>
          <w:iCs/>
        </w:rPr>
        <w:t xml:space="preserve">The Legacy of Early Franciscan Thought. </w:t>
      </w:r>
      <w:r w:rsidRPr="00A472FC">
        <w:rPr>
          <w:rFonts w:ascii="Times New Roman" w:hAnsi="Times New Roman" w:cs="Times New Roman"/>
        </w:rPr>
        <w:t>Edited by Lydia Schumacher, 151-68. Berlin: De Gruyter, 2021.</w:t>
      </w:r>
    </w:p>
    <w:p w14:paraId="15DCF3D4" w14:textId="77777777" w:rsidR="009865F4" w:rsidRPr="00A472FC" w:rsidRDefault="006A6E61" w:rsidP="00027798">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t>Grabmann</w:t>
      </w:r>
      <w:proofErr w:type="spellEnd"/>
      <w:r w:rsidRPr="00A472FC">
        <w:rPr>
          <w:rFonts w:ascii="Times New Roman" w:hAnsi="Times New Roman" w:cs="Times New Roman"/>
        </w:rPr>
        <w:t xml:space="preserve">, Martin. </w:t>
      </w:r>
      <w:r w:rsidR="009865F4" w:rsidRPr="00A472FC">
        <w:rPr>
          <w:rFonts w:ascii="Times New Roman" w:hAnsi="Times New Roman" w:cs="Times New Roman"/>
          <w:i/>
          <w:iCs/>
        </w:rPr>
        <w:t xml:space="preserve">Die </w:t>
      </w:r>
      <w:proofErr w:type="spellStart"/>
      <w:r w:rsidR="009865F4" w:rsidRPr="00A472FC">
        <w:rPr>
          <w:rFonts w:ascii="Times New Roman" w:hAnsi="Times New Roman" w:cs="Times New Roman"/>
          <w:i/>
          <w:iCs/>
        </w:rPr>
        <w:t>Geschichte</w:t>
      </w:r>
      <w:proofErr w:type="spellEnd"/>
      <w:r w:rsidR="009865F4" w:rsidRPr="00A472FC">
        <w:rPr>
          <w:rFonts w:ascii="Times New Roman" w:hAnsi="Times New Roman" w:cs="Times New Roman"/>
          <w:i/>
          <w:iCs/>
        </w:rPr>
        <w:t xml:space="preserve"> </w:t>
      </w:r>
      <w:proofErr w:type="spellStart"/>
      <w:r w:rsidR="009865F4" w:rsidRPr="00A472FC">
        <w:rPr>
          <w:rFonts w:ascii="Times New Roman" w:hAnsi="Times New Roman" w:cs="Times New Roman"/>
          <w:i/>
          <w:iCs/>
        </w:rPr>
        <w:t>der</w:t>
      </w:r>
      <w:proofErr w:type="spellEnd"/>
      <w:r w:rsidR="009865F4" w:rsidRPr="00A472FC">
        <w:rPr>
          <w:rFonts w:ascii="Times New Roman" w:hAnsi="Times New Roman" w:cs="Times New Roman"/>
          <w:i/>
          <w:iCs/>
        </w:rPr>
        <w:t xml:space="preserve"> </w:t>
      </w:r>
      <w:proofErr w:type="spellStart"/>
      <w:r w:rsidR="009865F4" w:rsidRPr="00A472FC">
        <w:rPr>
          <w:rFonts w:ascii="Times New Roman" w:hAnsi="Times New Roman" w:cs="Times New Roman"/>
          <w:i/>
          <w:iCs/>
        </w:rPr>
        <w:t>scholastischen</w:t>
      </w:r>
      <w:proofErr w:type="spellEnd"/>
      <w:r w:rsidR="009865F4" w:rsidRPr="00A472FC">
        <w:rPr>
          <w:rFonts w:ascii="Times New Roman" w:hAnsi="Times New Roman" w:cs="Times New Roman"/>
          <w:i/>
          <w:iCs/>
        </w:rPr>
        <w:t xml:space="preserve"> </w:t>
      </w:r>
      <w:proofErr w:type="spellStart"/>
      <w:r w:rsidR="009865F4" w:rsidRPr="00A472FC">
        <w:rPr>
          <w:rFonts w:ascii="Times New Roman" w:hAnsi="Times New Roman" w:cs="Times New Roman"/>
          <w:i/>
          <w:iCs/>
        </w:rPr>
        <w:t>Methode</w:t>
      </w:r>
      <w:proofErr w:type="spellEnd"/>
      <w:r w:rsidR="009865F4" w:rsidRPr="00A472FC">
        <w:rPr>
          <w:rFonts w:ascii="Times New Roman" w:hAnsi="Times New Roman" w:cs="Times New Roman"/>
          <w:i/>
          <w:iCs/>
        </w:rPr>
        <w:t>,</w:t>
      </w:r>
      <w:r w:rsidR="009865F4" w:rsidRPr="00A472FC">
        <w:rPr>
          <w:rFonts w:ascii="Times New Roman" w:hAnsi="Times New Roman" w:cs="Times New Roman"/>
        </w:rPr>
        <w:t xml:space="preserve"> 2 vols. Freiburg </w:t>
      </w:r>
      <w:proofErr w:type="spellStart"/>
      <w:r w:rsidR="009865F4" w:rsidRPr="00A472FC">
        <w:rPr>
          <w:rFonts w:ascii="Times New Roman" w:hAnsi="Times New Roman" w:cs="Times New Roman"/>
        </w:rPr>
        <w:t>im</w:t>
      </w:r>
      <w:proofErr w:type="spellEnd"/>
      <w:r w:rsidR="009865F4" w:rsidRPr="00A472FC">
        <w:rPr>
          <w:rFonts w:ascii="Times New Roman" w:hAnsi="Times New Roman" w:cs="Times New Roman"/>
        </w:rPr>
        <w:t xml:space="preserve"> </w:t>
      </w:r>
      <w:proofErr w:type="spellStart"/>
      <w:r w:rsidR="009865F4" w:rsidRPr="00A472FC">
        <w:rPr>
          <w:rFonts w:ascii="Times New Roman" w:hAnsi="Times New Roman" w:cs="Times New Roman"/>
        </w:rPr>
        <w:t>Breisgau</w:t>
      </w:r>
      <w:proofErr w:type="spellEnd"/>
      <w:r w:rsidR="009865F4" w:rsidRPr="00A472FC">
        <w:rPr>
          <w:rFonts w:ascii="Times New Roman" w:hAnsi="Times New Roman" w:cs="Times New Roman"/>
        </w:rPr>
        <w:t xml:space="preserve">: </w:t>
      </w:r>
      <w:proofErr w:type="spellStart"/>
      <w:r w:rsidR="009865F4" w:rsidRPr="00A472FC">
        <w:rPr>
          <w:rFonts w:ascii="Times New Roman" w:hAnsi="Times New Roman" w:cs="Times New Roman"/>
        </w:rPr>
        <w:t>Herdersche</w:t>
      </w:r>
      <w:proofErr w:type="spellEnd"/>
      <w:r w:rsidR="009865F4" w:rsidRPr="00A472FC">
        <w:rPr>
          <w:rFonts w:ascii="Times New Roman" w:hAnsi="Times New Roman" w:cs="Times New Roman"/>
        </w:rPr>
        <w:t xml:space="preserve"> </w:t>
      </w:r>
      <w:proofErr w:type="spellStart"/>
      <w:r w:rsidR="009865F4" w:rsidRPr="00A472FC">
        <w:rPr>
          <w:rFonts w:ascii="Times New Roman" w:hAnsi="Times New Roman" w:cs="Times New Roman"/>
        </w:rPr>
        <w:t>Verlagshandlung</w:t>
      </w:r>
      <w:proofErr w:type="spellEnd"/>
      <w:r w:rsidR="009865F4" w:rsidRPr="00A472FC">
        <w:rPr>
          <w:rFonts w:ascii="Times New Roman" w:hAnsi="Times New Roman" w:cs="Times New Roman"/>
        </w:rPr>
        <w:t>, 1909-11.</w:t>
      </w:r>
    </w:p>
    <w:p w14:paraId="32A9981D" w14:textId="71FD6104" w:rsidR="00027798" w:rsidRPr="00A472FC" w:rsidRDefault="00027798" w:rsidP="009865F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w:t>
      </w:r>
      <w:proofErr w:type="spellStart"/>
      <w:r w:rsidR="009865F4" w:rsidRPr="00A472FC">
        <w:rPr>
          <w:rFonts w:ascii="Times New Roman" w:hAnsi="Times New Roman" w:cs="Times New Roman"/>
          <w:i/>
          <w:iCs/>
        </w:rPr>
        <w:t>Forschungen</w:t>
      </w:r>
      <w:proofErr w:type="spellEnd"/>
      <w:r w:rsidR="009865F4" w:rsidRPr="00A472FC">
        <w:rPr>
          <w:rFonts w:ascii="Times New Roman" w:hAnsi="Times New Roman" w:cs="Times New Roman"/>
          <w:i/>
          <w:iCs/>
        </w:rPr>
        <w:t xml:space="preserve"> über die </w:t>
      </w:r>
      <w:proofErr w:type="spellStart"/>
      <w:r w:rsidR="009865F4" w:rsidRPr="00A472FC">
        <w:rPr>
          <w:rFonts w:ascii="Times New Roman" w:hAnsi="Times New Roman" w:cs="Times New Roman"/>
          <w:i/>
          <w:iCs/>
        </w:rPr>
        <w:t>lateinischen</w:t>
      </w:r>
      <w:proofErr w:type="spellEnd"/>
      <w:r w:rsidR="009865F4" w:rsidRPr="00A472FC">
        <w:rPr>
          <w:rFonts w:ascii="Times New Roman" w:hAnsi="Times New Roman" w:cs="Times New Roman"/>
          <w:i/>
          <w:iCs/>
        </w:rPr>
        <w:t xml:space="preserve"> </w:t>
      </w:r>
      <w:proofErr w:type="spellStart"/>
      <w:r w:rsidR="009865F4" w:rsidRPr="00A472FC">
        <w:rPr>
          <w:rFonts w:ascii="Times New Roman" w:hAnsi="Times New Roman" w:cs="Times New Roman"/>
          <w:i/>
          <w:iCs/>
        </w:rPr>
        <w:t>Aristotelesübersetzungen</w:t>
      </w:r>
      <w:proofErr w:type="spellEnd"/>
      <w:r w:rsidR="009865F4" w:rsidRPr="00A472FC">
        <w:rPr>
          <w:rFonts w:ascii="Times New Roman" w:hAnsi="Times New Roman" w:cs="Times New Roman"/>
          <w:i/>
          <w:iCs/>
        </w:rPr>
        <w:t xml:space="preserve"> des XIII. </w:t>
      </w:r>
      <w:proofErr w:type="spellStart"/>
      <w:r w:rsidR="009865F4" w:rsidRPr="00A472FC">
        <w:rPr>
          <w:rFonts w:ascii="Times New Roman" w:hAnsi="Times New Roman" w:cs="Times New Roman"/>
          <w:i/>
          <w:iCs/>
        </w:rPr>
        <w:t>Jahrhunderts</w:t>
      </w:r>
      <w:proofErr w:type="spellEnd"/>
      <w:r w:rsidR="009865F4" w:rsidRPr="00A472FC">
        <w:rPr>
          <w:rFonts w:ascii="Times New Roman" w:hAnsi="Times New Roman" w:cs="Times New Roman"/>
          <w:i/>
          <w:iCs/>
        </w:rPr>
        <w:t xml:space="preserve">, </w:t>
      </w:r>
      <w:r w:rsidR="009865F4" w:rsidRPr="00A472FC">
        <w:rPr>
          <w:rFonts w:ascii="Times New Roman" w:hAnsi="Times New Roman" w:cs="Times New Roman"/>
        </w:rPr>
        <w:t xml:space="preserve">Münster: </w:t>
      </w:r>
      <w:proofErr w:type="spellStart"/>
      <w:r w:rsidR="009865F4" w:rsidRPr="00A472FC">
        <w:rPr>
          <w:rFonts w:ascii="Times New Roman" w:hAnsi="Times New Roman" w:cs="Times New Roman"/>
        </w:rPr>
        <w:t>Aschendorff</w:t>
      </w:r>
      <w:proofErr w:type="spellEnd"/>
      <w:r w:rsidR="009865F4" w:rsidRPr="00A472FC">
        <w:rPr>
          <w:rFonts w:ascii="Times New Roman" w:hAnsi="Times New Roman" w:cs="Times New Roman"/>
        </w:rPr>
        <w:t>, 1916.</w:t>
      </w:r>
    </w:p>
    <w:p w14:paraId="6F78ED8B" w14:textId="23A0900C" w:rsidR="00AE04C1" w:rsidRPr="00A472FC" w:rsidRDefault="00AE04C1" w:rsidP="00027798">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Green, Monica H. ‘</w:t>
      </w:r>
      <w:proofErr w:type="spellStart"/>
      <w:r w:rsidRPr="00A472FC">
        <w:rPr>
          <w:rFonts w:ascii="Times New Roman" w:hAnsi="Times New Roman" w:cs="Times New Roman"/>
          <w:i/>
          <w:iCs/>
        </w:rPr>
        <w:t>Gloriosissimus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Galienus</w:t>
      </w:r>
      <w:proofErr w:type="spellEnd"/>
      <w:r w:rsidRPr="00A472FC">
        <w:rPr>
          <w:rFonts w:ascii="Times New Roman" w:hAnsi="Times New Roman" w:cs="Times New Roman"/>
        </w:rPr>
        <w:t xml:space="preserve">: Galen and </w:t>
      </w:r>
      <w:proofErr w:type="spellStart"/>
      <w:r w:rsidRPr="00A472FC">
        <w:rPr>
          <w:rFonts w:ascii="Times New Roman" w:hAnsi="Times New Roman" w:cs="Times New Roman"/>
        </w:rPr>
        <w:t>Galenic</w:t>
      </w:r>
      <w:proofErr w:type="spellEnd"/>
      <w:r w:rsidRPr="00A472FC">
        <w:rPr>
          <w:rFonts w:ascii="Times New Roman" w:hAnsi="Times New Roman" w:cs="Times New Roman"/>
        </w:rPr>
        <w:t xml:space="preserve"> Writings in the Eleventh and Twelfth Century Latin West.’ In </w:t>
      </w:r>
      <w:r w:rsidRPr="00A472FC">
        <w:rPr>
          <w:rFonts w:ascii="Times New Roman" w:hAnsi="Times New Roman" w:cs="Times New Roman"/>
          <w:i/>
          <w:iCs/>
        </w:rPr>
        <w:t xml:space="preserve">Brill’s Companion to the Reception of Galen. </w:t>
      </w:r>
      <w:r w:rsidRPr="00A472FC">
        <w:rPr>
          <w:rFonts w:ascii="Times New Roman" w:hAnsi="Times New Roman" w:cs="Times New Roman"/>
        </w:rPr>
        <w:t xml:space="preserve">Edited by </w:t>
      </w:r>
      <w:proofErr w:type="spellStart"/>
      <w:r w:rsidRPr="00A472FC">
        <w:rPr>
          <w:rFonts w:ascii="Times New Roman" w:hAnsi="Times New Roman" w:cs="Times New Roman"/>
        </w:rPr>
        <w:t>Petros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Bouras-Vallianatos</w:t>
      </w:r>
      <w:proofErr w:type="spellEnd"/>
      <w:r w:rsidRPr="00A472FC">
        <w:rPr>
          <w:rFonts w:ascii="Times New Roman" w:hAnsi="Times New Roman" w:cs="Times New Roman"/>
        </w:rPr>
        <w:t xml:space="preserve"> and Barbara </w:t>
      </w:r>
      <w:proofErr w:type="spellStart"/>
      <w:r w:rsidRPr="00A472FC">
        <w:rPr>
          <w:rFonts w:ascii="Times New Roman" w:hAnsi="Times New Roman" w:cs="Times New Roman"/>
        </w:rPr>
        <w:t>Zipser</w:t>
      </w:r>
      <w:proofErr w:type="spellEnd"/>
      <w:r w:rsidR="001256C4" w:rsidRPr="00A472FC">
        <w:rPr>
          <w:rFonts w:ascii="Times New Roman" w:hAnsi="Times New Roman" w:cs="Times New Roman"/>
        </w:rPr>
        <w:t xml:space="preserve">, 319-42. </w:t>
      </w:r>
      <w:r w:rsidRPr="00A472FC">
        <w:rPr>
          <w:rFonts w:ascii="Times New Roman" w:hAnsi="Times New Roman" w:cs="Times New Roman"/>
        </w:rPr>
        <w:t xml:space="preserve">Leiden, Brill, 2019. </w:t>
      </w:r>
    </w:p>
    <w:p w14:paraId="71ABF911" w14:textId="16E8790F" w:rsidR="006A6E61" w:rsidRPr="00A472FC" w:rsidRDefault="006A6E61" w:rsidP="00027798">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t>Grice</w:t>
      </w:r>
      <w:proofErr w:type="spellEnd"/>
      <w:r w:rsidRPr="00A472FC">
        <w:rPr>
          <w:rFonts w:ascii="Times New Roman" w:hAnsi="Times New Roman" w:cs="Times New Roman"/>
        </w:rPr>
        <w:t xml:space="preserve">, Deborah. </w:t>
      </w:r>
      <w:r w:rsidRPr="00A472FC">
        <w:rPr>
          <w:rFonts w:ascii="Times New Roman" w:hAnsi="Times New Roman" w:cs="Times New Roman"/>
          <w:i/>
          <w:iCs/>
        </w:rPr>
        <w:t>Church, Society and University: The Paris Condemnation of 1241/4.</w:t>
      </w:r>
      <w:r w:rsidRPr="00A472FC">
        <w:rPr>
          <w:rFonts w:ascii="Times New Roman" w:hAnsi="Times New Roman" w:cs="Times New Roman"/>
        </w:rPr>
        <w:t xml:space="preserve"> London: </w:t>
      </w:r>
      <w:proofErr w:type="spellStart"/>
      <w:r w:rsidRPr="00A472FC">
        <w:rPr>
          <w:rFonts w:ascii="Times New Roman" w:hAnsi="Times New Roman" w:cs="Times New Roman"/>
        </w:rPr>
        <w:t>Routledge</w:t>
      </w:r>
      <w:proofErr w:type="spellEnd"/>
      <w:r w:rsidRPr="00A472FC">
        <w:rPr>
          <w:rFonts w:ascii="Times New Roman" w:hAnsi="Times New Roman" w:cs="Times New Roman"/>
        </w:rPr>
        <w:t>, 2019.</w:t>
      </w:r>
    </w:p>
    <w:p w14:paraId="6D7EF264"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Guyot, B.-G. ‘</w:t>
      </w:r>
      <w:proofErr w:type="spellStart"/>
      <w:r w:rsidRPr="00A472FC">
        <w:rPr>
          <w:rFonts w:ascii="Times New Roman" w:hAnsi="Times New Roman" w:cs="Times New Roman"/>
        </w:rPr>
        <w:t>Guerric</w:t>
      </w:r>
      <w:proofErr w:type="spellEnd"/>
      <w:r w:rsidRPr="00A472FC">
        <w:rPr>
          <w:rFonts w:ascii="Times New Roman" w:hAnsi="Times New Roman" w:cs="Times New Roman"/>
        </w:rPr>
        <w:t xml:space="preserve"> de Saint-Quentin.’ </w:t>
      </w:r>
      <w:proofErr w:type="spellStart"/>
      <w:r w:rsidRPr="00A472FC">
        <w:rPr>
          <w:rFonts w:ascii="Times New Roman" w:hAnsi="Times New Roman" w:cs="Times New Roman"/>
          <w:i/>
          <w:iCs/>
        </w:rPr>
        <w:t>Dictionnaire</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Spiritualité</w:t>
      </w:r>
      <w:proofErr w:type="spellEnd"/>
      <w:r w:rsidRPr="00A472FC">
        <w:rPr>
          <w:rFonts w:ascii="Times New Roman" w:hAnsi="Times New Roman" w:cs="Times New Roman"/>
          <w:i/>
          <w:iCs/>
        </w:rPr>
        <w:t xml:space="preserve"> </w:t>
      </w:r>
      <w:r w:rsidRPr="00A472FC">
        <w:rPr>
          <w:rFonts w:ascii="Times New Roman" w:hAnsi="Times New Roman" w:cs="Times New Roman"/>
        </w:rPr>
        <w:t>6 (1967): 1121-22.</w:t>
      </w:r>
    </w:p>
    <w:p w14:paraId="3A25D1DA"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lastRenderedPageBreak/>
        <w:t xml:space="preserve">Haldane, John and Patrick Lee. ‘Aquinas on Human Ensoulment: Abortion and the Value of Life.’ </w:t>
      </w:r>
      <w:r w:rsidRPr="00A472FC">
        <w:rPr>
          <w:rFonts w:ascii="Times New Roman" w:hAnsi="Times New Roman" w:cs="Times New Roman"/>
          <w:i/>
        </w:rPr>
        <w:t xml:space="preserve">Philosophy </w:t>
      </w:r>
      <w:r w:rsidRPr="00A472FC">
        <w:rPr>
          <w:rFonts w:ascii="Times New Roman" w:hAnsi="Times New Roman" w:cs="Times New Roman"/>
        </w:rPr>
        <w:t xml:space="preserve">78:304 (April 2003): 255-78. </w:t>
      </w:r>
    </w:p>
    <w:p w14:paraId="42C4EF17" w14:textId="77777777" w:rsidR="00424C9C" w:rsidRPr="00A472FC" w:rsidRDefault="00424C9C"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Hamelin, A.M. </w:t>
      </w:r>
      <w:r w:rsidRPr="00A472FC">
        <w:rPr>
          <w:rFonts w:ascii="Times New Roman" w:hAnsi="Times New Roman" w:cs="Times New Roman"/>
          <w:i/>
          <w:iCs/>
        </w:rPr>
        <w:t xml:space="preserve">L’école </w:t>
      </w:r>
      <w:proofErr w:type="spellStart"/>
      <w:r w:rsidRPr="00A472FC">
        <w:rPr>
          <w:rFonts w:ascii="Times New Roman" w:hAnsi="Times New Roman" w:cs="Times New Roman"/>
          <w:i/>
          <w:iCs/>
        </w:rPr>
        <w:t>franciscaine</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ses</w:t>
      </w:r>
      <w:proofErr w:type="spellEnd"/>
      <w:r w:rsidRPr="00A472FC">
        <w:rPr>
          <w:rFonts w:ascii="Times New Roman" w:hAnsi="Times New Roman" w:cs="Times New Roman"/>
          <w:i/>
          <w:iCs/>
        </w:rPr>
        <w:t xml:space="preserve"> débuts </w:t>
      </w:r>
      <w:proofErr w:type="spellStart"/>
      <w:r w:rsidRPr="00A472FC">
        <w:rPr>
          <w:rFonts w:ascii="Times New Roman" w:hAnsi="Times New Roman" w:cs="Times New Roman"/>
          <w:i/>
          <w:iCs/>
        </w:rPr>
        <w:t>jusqu’à</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l’occamisma</w:t>
      </w:r>
      <w:proofErr w:type="spellEnd"/>
      <w:r w:rsidRPr="00A472FC">
        <w:rPr>
          <w:rFonts w:ascii="Times New Roman" w:hAnsi="Times New Roman" w:cs="Times New Roman"/>
        </w:rPr>
        <w:t>.</w:t>
      </w:r>
      <w:r w:rsidRPr="00A472FC">
        <w:rPr>
          <w:rFonts w:ascii="Times New Roman" w:hAnsi="Times New Roman" w:cs="Times New Roman"/>
          <w:i/>
          <w:iCs/>
        </w:rPr>
        <w:t xml:space="preserve"> </w:t>
      </w:r>
      <w:proofErr w:type="spellStart"/>
      <w:r w:rsidRPr="00A472FC">
        <w:rPr>
          <w:rFonts w:ascii="Times New Roman" w:hAnsi="Times New Roman" w:cs="Times New Roman"/>
        </w:rPr>
        <w:t>Louvain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Nauwelaerts</w:t>
      </w:r>
      <w:proofErr w:type="spellEnd"/>
      <w:r w:rsidRPr="00A472FC">
        <w:rPr>
          <w:rFonts w:ascii="Times New Roman" w:hAnsi="Times New Roman" w:cs="Times New Roman"/>
        </w:rPr>
        <w:t>, 1961.</w:t>
      </w:r>
    </w:p>
    <w:p w14:paraId="57F064D9" w14:textId="34CD4B0D"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Harkins</w:t>
      </w:r>
      <w:proofErr w:type="spellEnd"/>
      <w:r w:rsidRPr="00A472FC">
        <w:rPr>
          <w:rFonts w:ascii="Times New Roman" w:hAnsi="Times New Roman" w:cs="Times New Roman"/>
        </w:rPr>
        <w:t xml:space="preserve">, Franklin T. ‘The Embodiment of Angels: A Debate in Mid-Thirteenth-Century Theology.’ </w:t>
      </w:r>
      <w:proofErr w:type="spellStart"/>
      <w:r w:rsidRPr="00A472FC">
        <w:rPr>
          <w:rFonts w:ascii="Times New Roman" w:hAnsi="Times New Roman" w:cs="Times New Roman"/>
          <w:i/>
          <w:iCs/>
        </w:rPr>
        <w:t>Recherches</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théologie</w:t>
      </w:r>
      <w:proofErr w:type="spellEnd"/>
      <w:r w:rsidRPr="00A472FC">
        <w:rPr>
          <w:rFonts w:ascii="Times New Roman" w:hAnsi="Times New Roman" w:cs="Times New Roman"/>
          <w:i/>
          <w:iCs/>
        </w:rPr>
        <w:t xml:space="preserve"> et philosophie </w:t>
      </w:r>
      <w:proofErr w:type="spellStart"/>
      <w:r w:rsidRPr="00A472FC">
        <w:rPr>
          <w:rFonts w:ascii="Times New Roman" w:hAnsi="Times New Roman" w:cs="Times New Roman"/>
          <w:i/>
          <w:iCs/>
        </w:rPr>
        <w:t>médiévales</w:t>
      </w:r>
      <w:proofErr w:type="spellEnd"/>
      <w:r w:rsidRPr="00A472FC">
        <w:rPr>
          <w:rFonts w:ascii="Times New Roman" w:hAnsi="Times New Roman" w:cs="Times New Roman"/>
          <w:i/>
          <w:iCs/>
        </w:rPr>
        <w:t xml:space="preserve"> </w:t>
      </w:r>
      <w:r w:rsidRPr="00A472FC">
        <w:rPr>
          <w:rFonts w:ascii="Times New Roman" w:hAnsi="Times New Roman" w:cs="Times New Roman"/>
        </w:rPr>
        <w:t>78:1 (2011): 25-58.</w:t>
      </w:r>
    </w:p>
    <w:p w14:paraId="3C59ABB4" w14:textId="77777777" w:rsidR="006A6E61" w:rsidRPr="00A472FC" w:rsidRDefault="006A6E61"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‘The Magical Arts, Angelic Intercourse, and Giant Offspring: Echoes of Watchers Traditions in Medieval Scholastic Angelology.’ In </w:t>
      </w:r>
      <w:r w:rsidRPr="00A472FC">
        <w:rPr>
          <w:rFonts w:ascii="Times New Roman" w:hAnsi="Times New Roman" w:cs="Times New Roman"/>
          <w:i/>
          <w:iCs/>
        </w:rPr>
        <w:t>The Fallen Angels Traditions</w:t>
      </w:r>
      <w:r w:rsidRPr="00A472FC">
        <w:rPr>
          <w:rFonts w:ascii="Times New Roman" w:hAnsi="Times New Roman" w:cs="Times New Roman"/>
        </w:rPr>
        <w:t xml:space="preserve">. Edited by Angela Kim </w:t>
      </w:r>
      <w:proofErr w:type="spellStart"/>
      <w:r w:rsidRPr="00A472FC">
        <w:rPr>
          <w:rFonts w:ascii="Times New Roman" w:hAnsi="Times New Roman" w:cs="Times New Roman"/>
        </w:rPr>
        <w:t>Harkins</w:t>
      </w:r>
      <w:proofErr w:type="spellEnd"/>
      <w:r w:rsidRPr="00A472FC">
        <w:rPr>
          <w:rFonts w:ascii="Times New Roman" w:hAnsi="Times New Roman" w:cs="Times New Roman"/>
        </w:rPr>
        <w:t xml:space="preserve">, Kelley Coblentz </w:t>
      </w:r>
      <w:proofErr w:type="spellStart"/>
      <w:r w:rsidRPr="00A472FC">
        <w:rPr>
          <w:rFonts w:ascii="Times New Roman" w:hAnsi="Times New Roman" w:cs="Times New Roman"/>
        </w:rPr>
        <w:t>Bautch</w:t>
      </w:r>
      <w:proofErr w:type="spellEnd"/>
      <w:r w:rsidRPr="00A472FC">
        <w:rPr>
          <w:rFonts w:ascii="Times New Roman" w:hAnsi="Times New Roman" w:cs="Times New Roman"/>
        </w:rPr>
        <w:t xml:space="preserve"> and John C. </w:t>
      </w:r>
      <w:proofErr w:type="spellStart"/>
      <w:r w:rsidRPr="00A472FC">
        <w:rPr>
          <w:rFonts w:ascii="Times New Roman" w:hAnsi="Times New Roman" w:cs="Times New Roman"/>
        </w:rPr>
        <w:t>Endres</w:t>
      </w:r>
      <w:proofErr w:type="spellEnd"/>
      <w:r w:rsidRPr="00A472FC">
        <w:rPr>
          <w:rFonts w:ascii="Times New Roman" w:hAnsi="Times New Roman" w:cs="Times New Roman"/>
        </w:rPr>
        <w:t>, 157-79. Washington, D.C.: The Catholic Biblical Association of America, 2014.</w:t>
      </w:r>
    </w:p>
    <w:p w14:paraId="571CEE2F" w14:textId="79E3BAC0" w:rsidR="006A6E61" w:rsidRPr="00A472FC" w:rsidRDefault="006A6E61"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Hasse, </w:t>
      </w:r>
      <w:proofErr w:type="spellStart"/>
      <w:r w:rsidRPr="00A472FC">
        <w:rPr>
          <w:rFonts w:ascii="Times New Roman" w:hAnsi="Times New Roman" w:cs="Times New Roman"/>
        </w:rPr>
        <w:t>Dag</w:t>
      </w:r>
      <w:proofErr w:type="spellEnd"/>
      <w:r w:rsidRPr="00A472FC">
        <w:rPr>
          <w:rFonts w:ascii="Times New Roman" w:hAnsi="Times New Roman" w:cs="Times New Roman"/>
        </w:rPr>
        <w:t xml:space="preserve"> Nikolaus. </w:t>
      </w:r>
      <w:r w:rsidR="0042634B" w:rsidRPr="00A472FC">
        <w:rPr>
          <w:rFonts w:ascii="Times New Roman" w:hAnsi="Times New Roman" w:cs="Times New Roman"/>
          <w:lang w:val="en-US"/>
        </w:rPr>
        <w:t>‘</w:t>
      </w:r>
      <w:r w:rsidR="0042634B" w:rsidRPr="00A472FC">
        <w:rPr>
          <w:rFonts w:ascii="Times New Roman" w:hAnsi="Times New Roman" w:cs="Times New Roman"/>
          <w:iCs/>
          <w:lang w:val="en-US"/>
        </w:rPr>
        <w:t xml:space="preserve">Das </w:t>
      </w:r>
      <w:proofErr w:type="spellStart"/>
      <w:r w:rsidR="0042634B" w:rsidRPr="00A472FC">
        <w:rPr>
          <w:rFonts w:ascii="Times New Roman" w:hAnsi="Times New Roman" w:cs="Times New Roman"/>
          <w:iCs/>
          <w:lang w:val="en-US"/>
        </w:rPr>
        <w:t>Lehrstück</w:t>
      </w:r>
      <w:proofErr w:type="spellEnd"/>
      <w:r w:rsidR="0042634B" w:rsidRPr="00A472FC">
        <w:rPr>
          <w:rFonts w:ascii="Times New Roman" w:hAnsi="Times New Roman" w:cs="Times New Roman"/>
          <w:iCs/>
          <w:lang w:val="en-US"/>
        </w:rPr>
        <w:t xml:space="preserve"> von den vier </w:t>
      </w:r>
      <w:proofErr w:type="spellStart"/>
      <w:r w:rsidR="0042634B" w:rsidRPr="00A472FC">
        <w:rPr>
          <w:rFonts w:ascii="Times New Roman" w:hAnsi="Times New Roman" w:cs="Times New Roman"/>
          <w:iCs/>
          <w:lang w:val="en-US"/>
        </w:rPr>
        <w:t>Intellekten</w:t>
      </w:r>
      <w:proofErr w:type="spellEnd"/>
      <w:r w:rsidR="0042634B" w:rsidRPr="00A472FC">
        <w:rPr>
          <w:rFonts w:ascii="Times New Roman" w:hAnsi="Times New Roman" w:cs="Times New Roman"/>
          <w:iCs/>
          <w:lang w:val="en-US"/>
        </w:rPr>
        <w:t xml:space="preserve"> in </w:t>
      </w:r>
      <w:proofErr w:type="spellStart"/>
      <w:r w:rsidR="0042634B" w:rsidRPr="00A472FC">
        <w:rPr>
          <w:rFonts w:ascii="Times New Roman" w:hAnsi="Times New Roman" w:cs="Times New Roman"/>
          <w:iCs/>
          <w:lang w:val="en-US"/>
        </w:rPr>
        <w:t>der</w:t>
      </w:r>
      <w:proofErr w:type="spellEnd"/>
      <w:r w:rsidR="0042634B" w:rsidRPr="00A472FC">
        <w:rPr>
          <w:rFonts w:ascii="Times New Roman" w:hAnsi="Times New Roman" w:cs="Times New Roman"/>
          <w:iCs/>
          <w:lang w:val="en-US"/>
        </w:rPr>
        <w:t xml:space="preserve"> </w:t>
      </w:r>
      <w:proofErr w:type="spellStart"/>
      <w:r w:rsidR="0042634B" w:rsidRPr="00A472FC">
        <w:rPr>
          <w:rFonts w:ascii="Times New Roman" w:hAnsi="Times New Roman" w:cs="Times New Roman"/>
          <w:iCs/>
          <w:lang w:val="en-US"/>
        </w:rPr>
        <w:t>Scholastik</w:t>
      </w:r>
      <w:proofErr w:type="spellEnd"/>
      <w:r w:rsidR="0042634B" w:rsidRPr="00A472FC">
        <w:rPr>
          <w:rFonts w:ascii="Times New Roman" w:hAnsi="Times New Roman" w:cs="Times New Roman"/>
          <w:iCs/>
          <w:lang w:val="en-US"/>
        </w:rPr>
        <w:t xml:space="preserve">: von den </w:t>
      </w:r>
      <w:proofErr w:type="spellStart"/>
      <w:r w:rsidR="0042634B" w:rsidRPr="00A472FC">
        <w:rPr>
          <w:rFonts w:ascii="Times New Roman" w:hAnsi="Times New Roman" w:cs="Times New Roman"/>
          <w:iCs/>
          <w:lang w:val="en-US"/>
        </w:rPr>
        <w:t>arabischen</w:t>
      </w:r>
      <w:proofErr w:type="spellEnd"/>
      <w:r w:rsidR="0042634B" w:rsidRPr="00A472FC">
        <w:rPr>
          <w:rFonts w:ascii="Times New Roman" w:hAnsi="Times New Roman" w:cs="Times New Roman"/>
          <w:iCs/>
          <w:lang w:val="en-US"/>
        </w:rPr>
        <w:t xml:space="preserve"> </w:t>
      </w:r>
      <w:proofErr w:type="spellStart"/>
      <w:r w:rsidR="0042634B" w:rsidRPr="00A472FC">
        <w:rPr>
          <w:rFonts w:ascii="Times New Roman" w:hAnsi="Times New Roman" w:cs="Times New Roman"/>
          <w:iCs/>
          <w:lang w:val="en-US"/>
        </w:rPr>
        <w:t>Quellen</w:t>
      </w:r>
      <w:proofErr w:type="spellEnd"/>
      <w:r w:rsidR="0042634B" w:rsidRPr="00A472FC">
        <w:rPr>
          <w:rFonts w:ascii="Times New Roman" w:hAnsi="Times New Roman" w:cs="Times New Roman"/>
          <w:iCs/>
          <w:lang w:val="en-US"/>
        </w:rPr>
        <w:t xml:space="preserve"> bis </w:t>
      </w:r>
      <w:proofErr w:type="spellStart"/>
      <w:r w:rsidR="0042634B" w:rsidRPr="00A472FC">
        <w:rPr>
          <w:rFonts w:ascii="Times New Roman" w:hAnsi="Times New Roman" w:cs="Times New Roman"/>
          <w:iCs/>
          <w:lang w:val="en-US"/>
        </w:rPr>
        <w:t>zu</w:t>
      </w:r>
      <w:proofErr w:type="spellEnd"/>
      <w:r w:rsidR="0042634B" w:rsidRPr="00A472FC">
        <w:rPr>
          <w:rFonts w:ascii="Times New Roman" w:hAnsi="Times New Roman" w:cs="Times New Roman"/>
          <w:iCs/>
          <w:lang w:val="en-US"/>
        </w:rPr>
        <w:t xml:space="preserve"> </w:t>
      </w:r>
      <w:proofErr w:type="spellStart"/>
      <w:r w:rsidR="0042634B" w:rsidRPr="00A472FC">
        <w:rPr>
          <w:rFonts w:ascii="Times New Roman" w:hAnsi="Times New Roman" w:cs="Times New Roman"/>
          <w:iCs/>
          <w:lang w:val="en-US"/>
        </w:rPr>
        <w:t>Albertus</w:t>
      </w:r>
      <w:proofErr w:type="spellEnd"/>
      <w:r w:rsidR="0042634B" w:rsidRPr="00A472FC">
        <w:rPr>
          <w:rFonts w:ascii="Times New Roman" w:hAnsi="Times New Roman" w:cs="Times New Roman"/>
          <w:iCs/>
          <w:lang w:val="en-US"/>
        </w:rPr>
        <w:t xml:space="preserve"> Magnus</w:t>
      </w:r>
      <w:r w:rsidR="0042634B" w:rsidRPr="00A472FC">
        <w:rPr>
          <w:rFonts w:ascii="Times New Roman" w:hAnsi="Times New Roman" w:cs="Times New Roman"/>
          <w:lang w:val="en-US"/>
        </w:rPr>
        <w:t xml:space="preserve">.’ </w:t>
      </w:r>
      <w:proofErr w:type="spellStart"/>
      <w:r w:rsidR="00765C18" w:rsidRPr="00A472FC">
        <w:rPr>
          <w:rFonts w:ascii="Times New Roman" w:hAnsi="Times New Roman" w:cs="Times New Roman"/>
          <w:i/>
          <w:iCs/>
          <w:color w:val="000000" w:themeColor="text1"/>
        </w:rPr>
        <w:t>Recherches</w:t>
      </w:r>
      <w:proofErr w:type="spellEnd"/>
      <w:r w:rsidR="00765C18" w:rsidRPr="00A472FC">
        <w:rPr>
          <w:rFonts w:ascii="Times New Roman" w:hAnsi="Times New Roman" w:cs="Times New Roman"/>
          <w:i/>
          <w:iCs/>
          <w:color w:val="000000" w:themeColor="text1"/>
        </w:rPr>
        <w:t xml:space="preserve"> de </w:t>
      </w:r>
      <w:proofErr w:type="spellStart"/>
      <w:r w:rsidR="00765C18" w:rsidRPr="00A472FC">
        <w:rPr>
          <w:rFonts w:ascii="Times New Roman" w:hAnsi="Times New Roman" w:cs="Times New Roman"/>
          <w:i/>
          <w:iCs/>
          <w:color w:val="000000" w:themeColor="text1"/>
        </w:rPr>
        <w:t>théologie</w:t>
      </w:r>
      <w:proofErr w:type="spellEnd"/>
      <w:r w:rsidR="00765C18" w:rsidRPr="00A472FC">
        <w:rPr>
          <w:rFonts w:ascii="Times New Roman" w:hAnsi="Times New Roman" w:cs="Times New Roman"/>
          <w:i/>
          <w:iCs/>
          <w:color w:val="000000" w:themeColor="text1"/>
        </w:rPr>
        <w:t xml:space="preserve"> </w:t>
      </w:r>
      <w:proofErr w:type="spellStart"/>
      <w:r w:rsidR="00765C18" w:rsidRPr="00A472FC">
        <w:rPr>
          <w:rFonts w:ascii="Times New Roman" w:hAnsi="Times New Roman" w:cs="Times New Roman"/>
          <w:i/>
          <w:iCs/>
          <w:color w:val="000000" w:themeColor="text1"/>
        </w:rPr>
        <w:t>ancienne</w:t>
      </w:r>
      <w:proofErr w:type="spellEnd"/>
      <w:r w:rsidR="00765C18" w:rsidRPr="00A472FC">
        <w:rPr>
          <w:rFonts w:ascii="Times New Roman" w:hAnsi="Times New Roman" w:cs="Times New Roman"/>
          <w:i/>
          <w:iCs/>
          <w:color w:val="000000" w:themeColor="text1"/>
        </w:rPr>
        <w:t xml:space="preserve"> et </w:t>
      </w:r>
      <w:proofErr w:type="spellStart"/>
      <w:r w:rsidR="00765C18" w:rsidRPr="00A472FC">
        <w:rPr>
          <w:rFonts w:ascii="Times New Roman" w:hAnsi="Times New Roman" w:cs="Times New Roman"/>
          <w:i/>
          <w:iCs/>
          <w:color w:val="000000" w:themeColor="text1"/>
        </w:rPr>
        <w:t>médiévale</w:t>
      </w:r>
      <w:proofErr w:type="spellEnd"/>
      <w:r w:rsidR="00765C18" w:rsidRPr="00A472FC">
        <w:rPr>
          <w:rFonts w:ascii="Times New Roman" w:hAnsi="Times New Roman" w:cs="Times New Roman"/>
          <w:color w:val="000000" w:themeColor="text1"/>
        </w:rPr>
        <w:t xml:space="preserve"> </w:t>
      </w:r>
      <w:r w:rsidR="0042634B" w:rsidRPr="00A472FC">
        <w:rPr>
          <w:rFonts w:ascii="Times New Roman" w:hAnsi="Times New Roman" w:cs="Times New Roman"/>
          <w:lang w:val="en-US"/>
        </w:rPr>
        <w:t>66 (1999): 21-77.</w:t>
      </w:r>
    </w:p>
    <w:p w14:paraId="0BEA5A18" w14:textId="6CFF11FA" w:rsidR="006A6E61" w:rsidRPr="00A472FC" w:rsidRDefault="006A6E61"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w:t>
      </w:r>
      <w:r w:rsidR="0042634B" w:rsidRPr="00A472FC">
        <w:rPr>
          <w:rFonts w:ascii="Times New Roman" w:hAnsi="Times New Roman" w:cs="Times New Roman"/>
          <w:i/>
          <w:iCs/>
        </w:rPr>
        <w:t>Avicenna’s De anima in the Latin West.</w:t>
      </w:r>
      <w:r w:rsidR="0042634B" w:rsidRPr="00A472FC">
        <w:rPr>
          <w:rFonts w:ascii="Times New Roman" w:hAnsi="Times New Roman" w:cs="Times New Roman"/>
        </w:rPr>
        <w:t xml:space="preserve"> London: Warburg Institute, 2000.</w:t>
      </w:r>
    </w:p>
    <w:p w14:paraId="388EF61A" w14:textId="77777777" w:rsidR="006A6E61" w:rsidRPr="00A472FC" w:rsidRDefault="006A6E61" w:rsidP="00881604">
      <w:pPr>
        <w:widowControl w:val="0"/>
        <w:autoSpaceDE w:val="0"/>
        <w:autoSpaceDN w:val="0"/>
        <w:adjustRightInd w:val="0"/>
        <w:ind w:left="709" w:right="-52" w:hanging="709"/>
        <w:rPr>
          <w:rFonts w:ascii="Times New Roman" w:hAnsi="Times New Roman" w:cs="Times New Roman"/>
          <w:color w:val="000000" w:themeColor="text1"/>
        </w:rPr>
      </w:pPr>
      <w:r w:rsidRPr="00A472FC">
        <w:rPr>
          <w:rFonts w:ascii="Times New Roman" w:hAnsi="Times New Roman" w:cs="Times New Roman"/>
        </w:rPr>
        <w:t xml:space="preserve">———. </w:t>
      </w:r>
      <w:r w:rsidRPr="00A472FC">
        <w:rPr>
          <w:rFonts w:ascii="Times New Roman" w:hAnsi="Times New Roman" w:cs="Times New Roman"/>
          <w:i/>
          <w:color w:val="000000" w:themeColor="text1"/>
          <w:lang w:val="en-US"/>
        </w:rPr>
        <w:t xml:space="preserve">Latin </w:t>
      </w:r>
      <w:proofErr w:type="spellStart"/>
      <w:r w:rsidRPr="00A472FC">
        <w:rPr>
          <w:rFonts w:ascii="Times New Roman" w:hAnsi="Times New Roman" w:cs="Times New Roman"/>
          <w:i/>
          <w:color w:val="000000" w:themeColor="text1"/>
          <w:lang w:val="en-US"/>
        </w:rPr>
        <w:t>Averroes</w:t>
      </w:r>
      <w:proofErr w:type="spellEnd"/>
      <w:r w:rsidRPr="00A472FC">
        <w:rPr>
          <w:rFonts w:ascii="Times New Roman" w:hAnsi="Times New Roman" w:cs="Times New Roman"/>
          <w:i/>
          <w:color w:val="000000" w:themeColor="text1"/>
          <w:lang w:val="en-US"/>
        </w:rPr>
        <w:t xml:space="preserve"> Translations of the First Half of the Thirteenth Century. </w:t>
      </w:r>
      <w:r w:rsidRPr="00A472FC">
        <w:rPr>
          <w:rFonts w:ascii="Times New Roman" w:hAnsi="Times New Roman" w:cs="Times New Roman"/>
          <w:color w:val="000000" w:themeColor="text1"/>
        </w:rPr>
        <w:t xml:space="preserve">Hildesheim/Zürich/New York: Georg </w:t>
      </w:r>
      <w:proofErr w:type="spellStart"/>
      <w:r w:rsidRPr="00A472FC">
        <w:rPr>
          <w:rFonts w:ascii="Times New Roman" w:hAnsi="Times New Roman" w:cs="Times New Roman"/>
          <w:color w:val="000000" w:themeColor="text1"/>
        </w:rPr>
        <w:t>Olms</w:t>
      </w:r>
      <w:proofErr w:type="spellEnd"/>
      <w:r w:rsidRPr="00A472FC">
        <w:rPr>
          <w:rFonts w:ascii="Times New Roman" w:hAnsi="Times New Roman" w:cs="Times New Roman"/>
          <w:color w:val="000000" w:themeColor="text1"/>
        </w:rPr>
        <w:t xml:space="preserve"> Verlag, 2010.</w:t>
      </w:r>
    </w:p>
    <w:p w14:paraId="5F8423CD" w14:textId="77777777" w:rsidR="006A6E61" w:rsidRPr="00A472FC" w:rsidRDefault="006A6E61" w:rsidP="00881604">
      <w:pPr>
        <w:widowControl w:val="0"/>
        <w:autoSpaceDE w:val="0"/>
        <w:autoSpaceDN w:val="0"/>
        <w:adjustRightInd w:val="0"/>
        <w:ind w:left="709" w:right="-52" w:hanging="709"/>
        <w:rPr>
          <w:rFonts w:ascii="Times New Roman" w:hAnsi="Times New Roman" w:cs="Times New Roman"/>
          <w:color w:val="000000" w:themeColor="text1"/>
        </w:rPr>
      </w:pPr>
      <w:r w:rsidRPr="00A472FC">
        <w:rPr>
          <w:rFonts w:ascii="Times New Roman" w:hAnsi="Times New Roman" w:cs="Times New Roman"/>
        </w:rPr>
        <w:t xml:space="preserve">———. </w:t>
      </w:r>
      <w:r w:rsidRPr="00A472FC">
        <w:rPr>
          <w:rFonts w:ascii="Times New Roman" w:hAnsi="Times New Roman" w:cs="Times New Roman"/>
          <w:color w:val="000000" w:themeColor="text1"/>
          <w:lang w:val="de-DE"/>
        </w:rPr>
        <w:t xml:space="preserve">‘Der mutmaßliche arabische Einfluss auf die literarische Form der Universitätsliteratur des 13. Jahrhunderts.’ In </w:t>
      </w:r>
      <w:proofErr w:type="spellStart"/>
      <w:r w:rsidRPr="00A472FC">
        <w:rPr>
          <w:rFonts w:ascii="Times New Roman" w:hAnsi="Times New Roman" w:cs="Times New Roman"/>
          <w:i/>
          <w:color w:val="000000" w:themeColor="text1"/>
          <w:lang w:val="de-DE"/>
        </w:rPr>
        <w:t>Albertus</w:t>
      </w:r>
      <w:proofErr w:type="spellEnd"/>
      <w:r w:rsidRPr="00A472FC">
        <w:rPr>
          <w:rFonts w:ascii="Times New Roman" w:hAnsi="Times New Roman" w:cs="Times New Roman"/>
          <w:i/>
          <w:color w:val="000000" w:themeColor="text1"/>
          <w:lang w:val="de-DE"/>
        </w:rPr>
        <w:t xml:space="preserve"> Magnus und der Ursprung der Universitätsidee: Die Begegnung der Wissenschaftskulturen im 13. Jahrhundert und die Entdeckung des Konzepts der Bildung durch Wissenschaft</w:t>
      </w:r>
      <w:r w:rsidRPr="00A472FC">
        <w:rPr>
          <w:rFonts w:ascii="Times New Roman" w:hAnsi="Times New Roman" w:cs="Times New Roman"/>
          <w:color w:val="000000" w:themeColor="text1"/>
          <w:lang w:val="de-DE"/>
        </w:rPr>
        <w:t xml:space="preserve">. </w:t>
      </w:r>
      <w:proofErr w:type="spellStart"/>
      <w:r w:rsidRPr="00A472FC">
        <w:rPr>
          <w:rFonts w:ascii="Times New Roman" w:hAnsi="Times New Roman" w:cs="Times New Roman"/>
          <w:color w:val="000000" w:themeColor="text1"/>
          <w:lang w:val="de-DE"/>
        </w:rPr>
        <w:t>Edited</w:t>
      </w:r>
      <w:proofErr w:type="spellEnd"/>
      <w:r w:rsidRPr="00A472FC">
        <w:rPr>
          <w:rFonts w:ascii="Times New Roman" w:hAnsi="Times New Roman" w:cs="Times New Roman"/>
          <w:color w:val="000000" w:themeColor="text1"/>
          <w:lang w:val="de-DE"/>
        </w:rPr>
        <w:t xml:space="preserve"> by Ludger </w:t>
      </w:r>
      <w:proofErr w:type="spellStart"/>
      <w:r w:rsidRPr="00A472FC">
        <w:rPr>
          <w:rFonts w:ascii="Times New Roman" w:hAnsi="Times New Roman" w:cs="Times New Roman"/>
          <w:color w:val="000000" w:themeColor="text1"/>
          <w:lang w:val="de-DE"/>
        </w:rPr>
        <w:t>Honnefelder</w:t>
      </w:r>
      <w:proofErr w:type="spellEnd"/>
      <w:r w:rsidRPr="00A472FC">
        <w:rPr>
          <w:rFonts w:ascii="Times New Roman" w:hAnsi="Times New Roman" w:cs="Times New Roman"/>
          <w:color w:val="000000" w:themeColor="text1"/>
          <w:lang w:val="de-DE"/>
        </w:rPr>
        <w:t xml:space="preserve">, 241-58, 487-91. </w:t>
      </w:r>
      <w:r w:rsidRPr="00A472FC">
        <w:rPr>
          <w:rFonts w:ascii="Times New Roman" w:hAnsi="Times New Roman" w:cs="Times New Roman"/>
          <w:color w:val="000000" w:themeColor="text1"/>
        </w:rPr>
        <w:t>Berlin: Berlin University Press, 2011.</w:t>
      </w:r>
    </w:p>
    <w:p w14:paraId="6B5E5FF0" w14:textId="1E0DF3D2"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Henquinet</w:t>
      </w:r>
      <w:proofErr w:type="spellEnd"/>
      <w:r w:rsidRPr="00A472FC">
        <w:rPr>
          <w:rFonts w:ascii="Times New Roman" w:hAnsi="Times New Roman" w:cs="Times New Roman"/>
        </w:rPr>
        <w:t xml:space="preserve">, François-Marie. ‘Les </w:t>
      </w:r>
      <w:proofErr w:type="spellStart"/>
      <w:r w:rsidRPr="00A472FC">
        <w:rPr>
          <w:rFonts w:ascii="Times New Roman" w:hAnsi="Times New Roman" w:cs="Times New Roman"/>
        </w:rPr>
        <w:t>écrits</w:t>
      </w:r>
      <w:proofErr w:type="spellEnd"/>
      <w:r w:rsidRPr="00A472FC">
        <w:rPr>
          <w:rFonts w:ascii="Times New Roman" w:hAnsi="Times New Roman" w:cs="Times New Roman"/>
        </w:rPr>
        <w:t xml:space="preserve"> du </w:t>
      </w:r>
      <w:proofErr w:type="spellStart"/>
      <w:r w:rsidRPr="00A472FC">
        <w:rPr>
          <w:rFonts w:ascii="Times New Roman" w:hAnsi="Times New Roman" w:cs="Times New Roman"/>
        </w:rPr>
        <w:t>frère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Guerric</w:t>
      </w:r>
      <w:proofErr w:type="spellEnd"/>
      <w:r w:rsidRPr="00A472FC">
        <w:rPr>
          <w:rFonts w:ascii="Times New Roman" w:hAnsi="Times New Roman" w:cs="Times New Roman"/>
        </w:rPr>
        <w:t xml:space="preserve"> de Saint-Quentin, O.P.’ </w:t>
      </w:r>
      <w:proofErr w:type="spellStart"/>
      <w:r w:rsidRPr="00A472FC">
        <w:rPr>
          <w:rFonts w:ascii="Times New Roman" w:hAnsi="Times New Roman" w:cs="Times New Roman"/>
          <w:i/>
          <w:iCs/>
        </w:rPr>
        <w:t>Recherches</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théologie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ancienne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médiévale</w:t>
      </w:r>
      <w:proofErr w:type="spellEnd"/>
      <w:r w:rsidRPr="00A472FC">
        <w:rPr>
          <w:rFonts w:ascii="Times New Roman" w:hAnsi="Times New Roman" w:cs="Times New Roman"/>
          <w:i/>
          <w:iCs/>
        </w:rPr>
        <w:t xml:space="preserve"> </w:t>
      </w:r>
      <w:r w:rsidRPr="00A472FC">
        <w:rPr>
          <w:rFonts w:ascii="Times New Roman" w:hAnsi="Times New Roman" w:cs="Times New Roman"/>
        </w:rPr>
        <w:t>6 (1934): 184-214, 84-312, 94-410.</w:t>
      </w:r>
    </w:p>
    <w:p w14:paraId="1E936CAE" w14:textId="2C477045"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‘Notes </w:t>
      </w:r>
      <w:proofErr w:type="spellStart"/>
      <w:r w:rsidRPr="00A472FC">
        <w:rPr>
          <w:rFonts w:ascii="Times New Roman" w:hAnsi="Times New Roman" w:cs="Times New Roman"/>
        </w:rPr>
        <w:t>additionnelles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sur</w:t>
      </w:r>
      <w:proofErr w:type="spellEnd"/>
      <w:r w:rsidRPr="00A472FC">
        <w:rPr>
          <w:rFonts w:ascii="Times New Roman" w:hAnsi="Times New Roman" w:cs="Times New Roman"/>
        </w:rPr>
        <w:t xml:space="preserve"> les </w:t>
      </w:r>
      <w:proofErr w:type="spellStart"/>
      <w:r w:rsidRPr="00A472FC">
        <w:rPr>
          <w:rFonts w:ascii="Times New Roman" w:hAnsi="Times New Roman" w:cs="Times New Roman"/>
        </w:rPr>
        <w:t>écrits</w:t>
      </w:r>
      <w:proofErr w:type="spellEnd"/>
      <w:r w:rsidRPr="00A472FC">
        <w:rPr>
          <w:rFonts w:ascii="Times New Roman" w:hAnsi="Times New Roman" w:cs="Times New Roman"/>
        </w:rPr>
        <w:t xml:space="preserve"> de </w:t>
      </w:r>
      <w:proofErr w:type="spellStart"/>
      <w:r w:rsidRPr="00A472FC">
        <w:rPr>
          <w:rFonts w:ascii="Times New Roman" w:hAnsi="Times New Roman" w:cs="Times New Roman"/>
        </w:rPr>
        <w:t>Guerric</w:t>
      </w:r>
      <w:proofErr w:type="spellEnd"/>
      <w:r w:rsidRPr="00A472FC">
        <w:rPr>
          <w:rFonts w:ascii="Times New Roman" w:hAnsi="Times New Roman" w:cs="Times New Roman"/>
        </w:rPr>
        <w:t xml:space="preserve"> de Saint-Quentin.’ </w:t>
      </w:r>
      <w:proofErr w:type="spellStart"/>
      <w:r w:rsidR="00C6692C" w:rsidRPr="00A472FC">
        <w:rPr>
          <w:rFonts w:ascii="Times New Roman" w:hAnsi="Times New Roman" w:cs="Times New Roman"/>
          <w:i/>
          <w:iCs/>
          <w:color w:val="000000" w:themeColor="text1"/>
        </w:rPr>
        <w:t>Recherches</w:t>
      </w:r>
      <w:proofErr w:type="spellEnd"/>
      <w:r w:rsidR="00C6692C" w:rsidRPr="00A472FC">
        <w:rPr>
          <w:rFonts w:ascii="Times New Roman" w:hAnsi="Times New Roman" w:cs="Times New Roman"/>
          <w:i/>
          <w:iCs/>
          <w:color w:val="000000" w:themeColor="text1"/>
        </w:rPr>
        <w:t xml:space="preserve"> de </w:t>
      </w:r>
      <w:proofErr w:type="spellStart"/>
      <w:r w:rsidR="00C6692C" w:rsidRPr="00A472FC">
        <w:rPr>
          <w:rFonts w:ascii="Times New Roman" w:hAnsi="Times New Roman" w:cs="Times New Roman"/>
          <w:i/>
          <w:iCs/>
          <w:color w:val="000000" w:themeColor="text1"/>
        </w:rPr>
        <w:t>théologie</w:t>
      </w:r>
      <w:proofErr w:type="spellEnd"/>
      <w:r w:rsidR="00C6692C" w:rsidRPr="00A472FC">
        <w:rPr>
          <w:rFonts w:ascii="Times New Roman" w:hAnsi="Times New Roman" w:cs="Times New Roman"/>
          <w:i/>
          <w:iCs/>
          <w:color w:val="000000" w:themeColor="text1"/>
        </w:rPr>
        <w:t xml:space="preserve"> </w:t>
      </w:r>
      <w:proofErr w:type="spellStart"/>
      <w:r w:rsidR="00C6692C" w:rsidRPr="00A472FC">
        <w:rPr>
          <w:rFonts w:ascii="Times New Roman" w:hAnsi="Times New Roman" w:cs="Times New Roman"/>
          <w:i/>
          <w:iCs/>
          <w:color w:val="000000" w:themeColor="text1"/>
        </w:rPr>
        <w:t>ancienne</w:t>
      </w:r>
      <w:proofErr w:type="spellEnd"/>
      <w:r w:rsidR="00C6692C" w:rsidRPr="00A472FC">
        <w:rPr>
          <w:rFonts w:ascii="Times New Roman" w:hAnsi="Times New Roman" w:cs="Times New Roman"/>
          <w:i/>
          <w:iCs/>
          <w:color w:val="000000" w:themeColor="text1"/>
        </w:rPr>
        <w:t xml:space="preserve"> et </w:t>
      </w:r>
      <w:proofErr w:type="spellStart"/>
      <w:r w:rsidR="00C6692C" w:rsidRPr="00A472FC">
        <w:rPr>
          <w:rFonts w:ascii="Times New Roman" w:hAnsi="Times New Roman" w:cs="Times New Roman"/>
          <w:i/>
          <w:iCs/>
          <w:color w:val="000000" w:themeColor="text1"/>
        </w:rPr>
        <w:t>médiévale</w:t>
      </w:r>
      <w:proofErr w:type="spellEnd"/>
      <w:r w:rsidR="00C6692C" w:rsidRPr="00A472FC">
        <w:rPr>
          <w:rFonts w:ascii="Times New Roman" w:hAnsi="Times New Roman" w:cs="Times New Roman"/>
          <w:color w:val="000000" w:themeColor="text1"/>
        </w:rPr>
        <w:t xml:space="preserve"> </w:t>
      </w:r>
      <w:r w:rsidRPr="00A472FC">
        <w:rPr>
          <w:rFonts w:ascii="Times New Roman" w:hAnsi="Times New Roman" w:cs="Times New Roman"/>
        </w:rPr>
        <w:t>8 (1936): 369-88.</w:t>
      </w:r>
    </w:p>
    <w:p w14:paraId="18BD17AB"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Hess, C.R. ‘Roland of Cremona’s Place in the Current of Thought.’ </w:t>
      </w:r>
      <w:proofErr w:type="spellStart"/>
      <w:r w:rsidRPr="00A472FC">
        <w:rPr>
          <w:rFonts w:ascii="Times New Roman" w:hAnsi="Times New Roman" w:cs="Times New Roman"/>
          <w:i/>
          <w:iCs/>
        </w:rPr>
        <w:t>Angelicum</w:t>
      </w:r>
      <w:proofErr w:type="spellEnd"/>
      <w:r w:rsidRPr="00A472FC">
        <w:rPr>
          <w:rFonts w:ascii="Times New Roman" w:hAnsi="Times New Roman" w:cs="Times New Roman"/>
          <w:i/>
          <w:iCs/>
        </w:rPr>
        <w:t xml:space="preserve"> </w:t>
      </w:r>
      <w:r w:rsidRPr="00A472FC">
        <w:rPr>
          <w:rFonts w:ascii="Times New Roman" w:hAnsi="Times New Roman" w:cs="Times New Roman"/>
        </w:rPr>
        <w:t>45 (1968): 429-77.</w:t>
      </w:r>
    </w:p>
    <w:p w14:paraId="2941C766" w14:textId="4933424A"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Hoffman, Tobias. ‘Freedom without Choice: Medieval Theories of the Essence of Freedom.’ In </w:t>
      </w:r>
      <w:r w:rsidRPr="00A472FC">
        <w:rPr>
          <w:rFonts w:ascii="Times New Roman" w:hAnsi="Times New Roman" w:cs="Times New Roman"/>
          <w:i/>
          <w:iCs/>
        </w:rPr>
        <w:t>The Cambridge Companion to Medieval Ethics</w:t>
      </w:r>
      <w:r w:rsidRPr="00A472FC">
        <w:rPr>
          <w:rFonts w:ascii="Times New Roman" w:hAnsi="Times New Roman" w:cs="Times New Roman"/>
        </w:rPr>
        <w:t>. Edited by Thomas Williams, 194-403. Cambridge: Cambridge University Press, 2019.</w:t>
      </w:r>
    </w:p>
    <w:p w14:paraId="4E82F057" w14:textId="5A08F0F7" w:rsidR="001972E1" w:rsidRPr="00A472FC" w:rsidRDefault="001972E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00D170A1" w:rsidRPr="00A472FC">
        <w:rPr>
          <w:rFonts w:ascii="Times New Roman" w:hAnsi="Times New Roman" w:cs="Times New Roman"/>
          <w:i/>
          <w:iCs/>
        </w:rPr>
        <w:t xml:space="preserve">Free Will and the Rebel Angels in Medieval Philosophy. </w:t>
      </w:r>
      <w:r w:rsidR="00D170A1" w:rsidRPr="00A472FC">
        <w:rPr>
          <w:rFonts w:ascii="Times New Roman" w:hAnsi="Times New Roman" w:cs="Times New Roman"/>
        </w:rPr>
        <w:t>Cambridge: Cambridge University Pres</w:t>
      </w:r>
      <w:r w:rsidR="004A1A0A" w:rsidRPr="00A472FC">
        <w:rPr>
          <w:rFonts w:ascii="Times New Roman" w:hAnsi="Times New Roman" w:cs="Times New Roman"/>
        </w:rPr>
        <w:t>s</w:t>
      </w:r>
      <w:r w:rsidR="00D170A1" w:rsidRPr="00A472FC">
        <w:rPr>
          <w:rFonts w:ascii="Times New Roman" w:hAnsi="Times New Roman" w:cs="Times New Roman"/>
        </w:rPr>
        <w:t>, 202</w:t>
      </w:r>
      <w:r w:rsidR="004A1A0A" w:rsidRPr="00A472FC">
        <w:rPr>
          <w:rFonts w:ascii="Times New Roman" w:hAnsi="Times New Roman" w:cs="Times New Roman"/>
        </w:rPr>
        <w:t>0</w:t>
      </w:r>
      <w:r w:rsidR="00D170A1" w:rsidRPr="00A472FC">
        <w:rPr>
          <w:rFonts w:ascii="Times New Roman" w:hAnsi="Times New Roman" w:cs="Times New Roman"/>
        </w:rPr>
        <w:t xml:space="preserve">. </w:t>
      </w:r>
    </w:p>
    <w:p w14:paraId="44445291" w14:textId="77777777" w:rsidR="00A43B0A" w:rsidRPr="00A472FC" w:rsidRDefault="00A43B0A" w:rsidP="00A43B0A">
      <w:pPr>
        <w:tabs>
          <w:tab w:val="left" w:pos="567"/>
        </w:tabs>
        <w:autoSpaceDE w:val="0"/>
        <w:autoSpaceDN w:val="0"/>
        <w:adjustRightInd w:val="0"/>
        <w:ind w:left="426" w:right="-720" w:hanging="426"/>
        <w:rPr>
          <w:rFonts w:ascii="Times New Roman" w:hAnsi="Times New Roman" w:cs="Times New Roman"/>
        </w:rPr>
      </w:pPr>
      <w:proofErr w:type="spellStart"/>
      <w:r w:rsidRPr="00A472FC">
        <w:rPr>
          <w:rFonts w:ascii="Times New Roman" w:hAnsi="Times New Roman" w:cs="Times New Roman"/>
        </w:rPr>
        <w:t>Honnefelder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Ludger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iCs/>
        </w:rPr>
        <w:t>Scientia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transcendens</w:t>
      </w:r>
      <w:proofErr w:type="spellEnd"/>
      <w:r w:rsidRPr="00A472FC">
        <w:rPr>
          <w:rFonts w:ascii="Times New Roman" w:hAnsi="Times New Roman" w:cs="Times New Roman"/>
          <w:i/>
          <w:iCs/>
        </w:rPr>
        <w:t xml:space="preserve">: Die </w:t>
      </w:r>
      <w:proofErr w:type="spellStart"/>
      <w:r w:rsidRPr="00A472FC">
        <w:rPr>
          <w:rFonts w:ascii="Times New Roman" w:hAnsi="Times New Roman" w:cs="Times New Roman"/>
          <w:i/>
          <w:iCs/>
        </w:rPr>
        <w:t>formale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Bestimmung</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der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Seiendheit</w:t>
      </w:r>
      <w:proofErr w:type="spellEnd"/>
      <w:r w:rsidRPr="00A472FC">
        <w:rPr>
          <w:rFonts w:ascii="Times New Roman" w:hAnsi="Times New Roman" w:cs="Times New Roman"/>
          <w:i/>
          <w:iCs/>
        </w:rPr>
        <w:t xml:space="preserve"> und </w:t>
      </w:r>
      <w:proofErr w:type="spellStart"/>
      <w:r w:rsidRPr="00A472FC">
        <w:rPr>
          <w:rFonts w:ascii="Times New Roman" w:hAnsi="Times New Roman" w:cs="Times New Roman"/>
          <w:i/>
          <w:iCs/>
        </w:rPr>
        <w:t>Realität</w:t>
      </w:r>
      <w:proofErr w:type="spellEnd"/>
      <w:r w:rsidRPr="00A472FC">
        <w:rPr>
          <w:rFonts w:ascii="Times New Roman" w:hAnsi="Times New Roman" w:cs="Times New Roman"/>
          <w:i/>
          <w:iCs/>
        </w:rPr>
        <w:t xml:space="preserve"> in </w:t>
      </w:r>
      <w:proofErr w:type="spellStart"/>
      <w:r w:rsidRPr="00A472FC">
        <w:rPr>
          <w:rFonts w:ascii="Times New Roman" w:hAnsi="Times New Roman" w:cs="Times New Roman"/>
          <w:i/>
          <w:iCs/>
        </w:rPr>
        <w:t>der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Metaphysik</w:t>
      </w:r>
      <w:proofErr w:type="spellEnd"/>
      <w:r w:rsidRPr="00A472FC">
        <w:rPr>
          <w:rFonts w:ascii="Times New Roman" w:hAnsi="Times New Roman" w:cs="Times New Roman"/>
          <w:i/>
          <w:iCs/>
        </w:rPr>
        <w:t xml:space="preserve"> des </w:t>
      </w:r>
      <w:proofErr w:type="spellStart"/>
      <w:r w:rsidRPr="00A472FC">
        <w:rPr>
          <w:rFonts w:ascii="Times New Roman" w:hAnsi="Times New Roman" w:cs="Times New Roman"/>
          <w:i/>
          <w:iCs/>
        </w:rPr>
        <w:t>Mittelalters</w:t>
      </w:r>
      <w:proofErr w:type="spellEnd"/>
      <w:r w:rsidRPr="00A472FC">
        <w:rPr>
          <w:rFonts w:ascii="Times New Roman" w:hAnsi="Times New Roman" w:cs="Times New Roman"/>
          <w:i/>
          <w:iCs/>
        </w:rPr>
        <w:t xml:space="preserve"> und </w:t>
      </w:r>
      <w:proofErr w:type="spellStart"/>
      <w:r w:rsidRPr="00A472FC">
        <w:rPr>
          <w:rFonts w:ascii="Times New Roman" w:hAnsi="Times New Roman" w:cs="Times New Roman"/>
          <w:i/>
          <w:iCs/>
        </w:rPr>
        <w:t>der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Neuzeit</w:t>
      </w:r>
      <w:proofErr w:type="spellEnd"/>
      <w:r w:rsidRPr="00A472FC">
        <w:rPr>
          <w:rFonts w:ascii="Times New Roman" w:hAnsi="Times New Roman" w:cs="Times New Roman"/>
          <w:i/>
          <w:iCs/>
        </w:rPr>
        <w:t xml:space="preserve"> (Duns Scotus, </w:t>
      </w:r>
      <w:proofErr w:type="spellStart"/>
      <w:r w:rsidRPr="00A472FC">
        <w:rPr>
          <w:rFonts w:ascii="Times New Roman" w:hAnsi="Times New Roman" w:cs="Times New Roman"/>
          <w:i/>
          <w:iCs/>
        </w:rPr>
        <w:t>Suárez</w:t>
      </w:r>
      <w:proofErr w:type="spellEnd"/>
      <w:r w:rsidRPr="00A472FC">
        <w:rPr>
          <w:rFonts w:ascii="Times New Roman" w:hAnsi="Times New Roman" w:cs="Times New Roman"/>
          <w:i/>
          <w:iCs/>
        </w:rPr>
        <w:t xml:space="preserve">, Wolff, Kant, </w:t>
      </w:r>
      <w:proofErr w:type="spellStart"/>
      <w:r w:rsidRPr="00A472FC">
        <w:rPr>
          <w:rFonts w:ascii="Times New Roman" w:hAnsi="Times New Roman" w:cs="Times New Roman"/>
          <w:i/>
          <w:iCs/>
        </w:rPr>
        <w:t>Peirce</w:t>
      </w:r>
      <w:proofErr w:type="spellEnd"/>
      <w:r w:rsidRPr="00A472FC">
        <w:rPr>
          <w:rFonts w:ascii="Times New Roman" w:hAnsi="Times New Roman" w:cs="Times New Roman"/>
          <w:i/>
          <w:iCs/>
        </w:rPr>
        <w:t>).</w:t>
      </w:r>
      <w:r w:rsidRPr="00A472FC">
        <w:rPr>
          <w:rFonts w:ascii="Times New Roman" w:hAnsi="Times New Roman" w:cs="Times New Roman"/>
        </w:rPr>
        <w:t xml:space="preserve"> Hamburg: Felix </w:t>
      </w:r>
      <w:proofErr w:type="spellStart"/>
      <w:r w:rsidRPr="00A472FC">
        <w:rPr>
          <w:rFonts w:ascii="Times New Roman" w:hAnsi="Times New Roman" w:cs="Times New Roman"/>
        </w:rPr>
        <w:t>Meiner</w:t>
      </w:r>
      <w:proofErr w:type="spellEnd"/>
      <w:r w:rsidRPr="00A472FC">
        <w:rPr>
          <w:rFonts w:ascii="Times New Roman" w:hAnsi="Times New Roman" w:cs="Times New Roman"/>
        </w:rPr>
        <w:t xml:space="preserve"> Verlag, 1990.</w:t>
      </w:r>
    </w:p>
    <w:p w14:paraId="46DF7351" w14:textId="084FFAC7" w:rsidR="00A43B0A" w:rsidRPr="00A472FC" w:rsidRDefault="00D91C4E" w:rsidP="00A43B0A">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00A43B0A" w:rsidRPr="00A472FC">
        <w:rPr>
          <w:rFonts w:ascii="Times New Roman" w:hAnsi="Times New Roman" w:cs="Times New Roman"/>
        </w:rPr>
        <w:t xml:space="preserve">‘Metaphysics as a Discipline: From the Transcendental Philosophy of the Ancients to Kant’s Notion of Transcendental Philosophy.’ In </w:t>
      </w:r>
      <w:r w:rsidR="00A43B0A" w:rsidRPr="00A472FC">
        <w:rPr>
          <w:rFonts w:ascii="Times New Roman" w:hAnsi="Times New Roman" w:cs="Times New Roman"/>
          <w:i/>
          <w:iCs/>
        </w:rPr>
        <w:t>The Medieval Heritage in Early Modern Metaphysics and Modal Theory 1400-1700</w:t>
      </w:r>
      <w:r w:rsidR="002F250D" w:rsidRPr="00A472FC">
        <w:rPr>
          <w:rFonts w:ascii="Times New Roman" w:hAnsi="Times New Roman" w:cs="Times New Roman"/>
          <w:i/>
          <w:iCs/>
        </w:rPr>
        <w:t xml:space="preserve">. </w:t>
      </w:r>
      <w:r w:rsidR="002F250D" w:rsidRPr="00A472FC">
        <w:rPr>
          <w:rFonts w:ascii="Times New Roman" w:hAnsi="Times New Roman" w:cs="Times New Roman"/>
        </w:rPr>
        <w:t>E</w:t>
      </w:r>
      <w:r w:rsidR="00A43B0A" w:rsidRPr="00A472FC">
        <w:rPr>
          <w:rFonts w:ascii="Times New Roman" w:hAnsi="Times New Roman" w:cs="Times New Roman"/>
        </w:rPr>
        <w:t>dited by R.L. Friedman and L.O. Nielsen</w:t>
      </w:r>
      <w:r w:rsidR="00C444EB" w:rsidRPr="00A472FC">
        <w:rPr>
          <w:rFonts w:ascii="Times New Roman" w:hAnsi="Times New Roman" w:cs="Times New Roman"/>
        </w:rPr>
        <w:t xml:space="preserve">, </w:t>
      </w:r>
      <w:r w:rsidR="001A0CAB" w:rsidRPr="00A472FC">
        <w:rPr>
          <w:rFonts w:ascii="Times New Roman" w:hAnsi="Times New Roman" w:cs="Times New Roman"/>
        </w:rPr>
        <w:t>53-74</w:t>
      </w:r>
      <w:r w:rsidR="00A43B0A" w:rsidRPr="00A472FC">
        <w:rPr>
          <w:rFonts w:ascii="Times New Roman" w:hAnsi="Times New Roman" w:cs="Times New Roman"/>
        </w:rPr>
        <w:t xml:space="preserve">. </w:t>
      </w:r>
      <w:proofErr w:type="spellStart"/>
      <w:r w:rsidR="00A43B0A" w:rsidRPr="00A472FC">
        <w:rPr>
          <w:rFonts w:ascii="Times New Roman" w:hAnsi="Times New Roman" w:cs="Times New Roman"/>
        </w:rPr>
        <w:t>Kluwer</w:t>
      </w:r>
      <w:proofErr w:type="spellEnd"/>
      <w:r w:rsidR="00A43B0A" w:rsidRPr="00A472FC">
        <w:rPr>
          <w:rFonts w:ascii="Times New Roman" w:hAnsi="Times New Roman" w:cs="Times New Roman"/>
        </w:rPr>
        <w:t xml:space="preserve"> Academic Publishers, 2003. </w:t>
      </w:r>
    </w:p>
    <w:p w14:paraId="5B8B6A72" w14:textId="59DB2320" w:rsidR="006A6E61" w:rsidRPr="00A472FC" w:rsidRDefault="006A6E61" w:rsidP="00A43B0A">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Hyman, Arthur.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Theory of the Intellect and the Ancient Commentators.’ In </w:t>
      </w:r>
      <w:proofErr w:type="spellStart"/>
      <w:r w:rsidRPr="00A472FC">
        <w:rPr>
          <w:rFonts w:ascii="Times New Roman" w:hAnsi="Times New Roman" w:cs="Times New Roman"/>
          <w:i/>
          <w:iCs/>
        </w:rPr>
        <w:t>Averroes</w:t>
      </w:r>
      <w:proofErr w:type="spellEnd"/>
      <w:r w:rsidRPr="00A472FC">
        <w:rPr>
          <w:rFonts w:ascii="Times New Roman" w:hAnsi="Times New Roman" w:cs="Times New Roman"/>
          <w:i/>
          <w:iCs/>
        </w:rPr>
        <w:t xml:space="preserve"> and the Aristotelian Tradition</w:t>
      </w:r>
      <w:r w:rsidRPr="00A472FC">
        <w:rPr>
          <w:rFonts w:ascii="Times New Roman" w:hAnsi="Times New Roman" w:cs="Times New Roman"/>
        </w:rPr>
        <w:t xml:space="preserve">. Edited by Gerhard </w:t>
      </w:r>
      <w:proofErr w:type="spellStart"/>
      <w:r w:rsidRPr="00A472FC">
        <w:rPr>
          <w:rFonts w:ascii="Times New Roman" w:hAnsi="Times New Roman" w:cs="Times New Roman"/>
        </w:rPr>
        <w:t>Endress</w:t>
      </w:r>
      <w:proofErr w:type="spellEnd"/>
      <w:r w:rsidRPr="00A472FC">
        <w:rPr>
          <w:rFonts w:ascii="Times New Roman" w:hAnsi="Times New Roman" w:cs="Times New Roman"/>
        </w:rPr>
        <w:t xml:space="preserve"> and Jan A. </w:t>
      </w:r>
      <w:proofErr w:type="spellStart"/>
      <w:r w:rsidRPr="00A472FC">
        <w:rPr>
          <w:rFonts w:ascii="Times New Roman" w:hAnsi="Times New Roman" w:cs="Times New Roman"/>
        </w:rPr>
        <w:t>Aertsten</w:t>
      </w:r>
      <w:proofErr w:type="spellEnd"/>
      <w:r w:rsidRPr="00A472FC">
        <w:rPr>
          <w:rFonts w:ascii="Times New Roman" w:hAnsi="Times New Roman" w:cs="Times New Roman"/>
        </w:rPr>
        <w:t>, 188-98. Leiden: Brill, 1999.</w:t>
      </w:r>
    </w:p>
    <w:p w14:paraId="30A76021" w14:textId="6AC0959C" w:rsidR="00A92370" w:rsidRPr="00A472FC" w:rsidRDefault="00A92370"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Ingham, Mary Beth. ‘Franciscan Identity, Poverty and the Ra</w:t>
      </w:r>
      <w:r w:rsidR="0022645F" w:rsidRPr="00A472FC">
        <w:rPr>
          <w:rFonts w:ascii="Times New Roman" w:hAnsi="Times New Roman" w:cs="Times New Roman"/>
        </w:rPr>
        <w:t>ti</w:t>
      </w:r>
      <w:r w:rsidRPr="00A472FC">
        <w:rPr>
          <w:rFonts w:ascii="Times New Roman" w:hAnsi="Times New Roman" w:cs="Times New Roman"/>
        </w:rPr>
        <w:t xml:space="preserve">onal Will: From the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i/>
          <w:iCs/>
        </w:rPr>
        <w:t xml:space="preserve"> </w:t>
      </w:r>
      <w:r w:rsidRPr="00A472FC">
        <w:rPr>
          <w:rFonts w:ascii="Times New Roman" w:hAnsi="Times New Roman" w:cs="Times New Roman"/>
        </w:rPr>
        <w:t xml:space="preserve">to John Duns Scotus.’ In </w:t>
      </w:r>
      <w:r w:rsidRPr="00A472FC">
        <w:rPr>
          <w:rFonts w:ascii="Times New Roman" w:hAnsi="Times New Roman" w:cs="Times New Roman"/>
          <w:i/>
          <w:iCs/>
        </w:rPr>
        <w:t xml:space="preserve">The Legacy of Early Franciscan Thought, </w:t>
      </w:r>
      <w:r w:rsidRPr="00A472FC">
        <w:rPr>
          <w:rFonts w:ascii="Times New Roman" w:hAnsi="Times New Roman" w:cs="Times New Roman"/>
        </w:rPr>
        <w:t>257-80. Edited by Lydia Schumacher. Berlin: De Gruyter, 2021.</w:t>
      </w:r>
    </w:p>
    <w:p w14:paraId="0E7F81D1" w14:textId="2499859B"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Ivry</w:t>
      </w:r>
      <w:proofErr w:type="spellEnd"/>
      <w:r w:rsidRPr="00A472FC">
        <w:rPr>
          <w:rFonts w:ascii="Times New Roman" w:hAnsi="Times New Roman" w:cs="Times New Roman"/>
        </w:rPr>
        <w:t>, Alfred L.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Three Commentaries on </w:t>
      </w:r>
      <w:r w:rsidRPr="00A472FC">
        <w:rPr>
          <w:rFonts w:ascii="Times New Roman" w:hAnsi="Times New Roman" w:cs="Times New Roman"/>
          <w:i/>
        </w:rPr>
        <w:t>De anima</w:t>
      </w:r>
      <w:r w:rsidRPr="00A472FC">
        <w:rPr>
          <w:rFonts w:ascii="Times New Roman" w:hAnsi="Times New Roman" w:cs="Times New Roman"/>
        </w:rPr>
        <w:t xml:space="preserve">.’ In </w:t>
      </w:r>
      <w:proofErr w:type="spellStart"/>
      <w:r w:rsidRPr="00A472FC">
        <w:rPr>
          <w:rFonts w:ascii="Times New Roman" w:hAnsi="Times New Roman" w:cs="Times New Roman"/>
          <w:i/>
          <w:iCs/>
        </w:rPr>
        <w:t>Averroes</w:t>
      </w:r>
      <w:proofErr w:type="spellEnd"/>
      <w:r w:rsidRPr="00A472FC">
        <w:rPr>
          <w:rFonts w:ascii="Times New Roman" w:hAnsi="Times New Roman" w:cs="Times New Roman"/>
          <w:i/>
          <w:iCs/>
        </w:rPr>
        <w:t xml:space="preserve"> and the Aristotelian Tradition</w:t>
      </w:r>
      <w:r w:rsidRPr="00A472FC">
        <w:rPr>
          <w:rFonts w:ascii="Times New Roman" w:hAnsi="Times New Roman" w:cs="Times New Roman"/>
        </w:rPr>
        <w:t xml:space="preserve">. Edited by Gerhard </w:t>
      </w:r>
      <w:proofErr w:type="spellStart"/>
      <w:r w:rsidRPr="00A472FC">
        <w:rPr>
          <w:rFonts w:ascii="Times New Roman" w:hAnsi="Times New Roman" w:cs="Times New Roman"/>
        </w:rPr>
        <w:t>Endress</w:t>
      </w:r>
      <w:proofErr w:type="spellEnd"/>
      <w:r w:rsidRPr="00A472FC">
        <w:rPr>
          <w:rFonts w:ascii="Times New Roman" w:hAnsi="Times New Roman" w:cs="Times New Roman"/>
        </w:rPr>
        <w:t xml:space="preserve"> and Jan A. </w:t>
      </w:r>
      <w:proofErr w:type="spellStart"/>
      <w:r w:rsidRPr="00A472FC">
        <w:rPr>
          <w:rFonts w:ascii="Times New Roman" w:hAnsi="Times New Roman" w:cs="Times New Roman"/>
        </w:rPr>
        <w:t>Aertsen</w:t>
      </w:r>
      <w:proofErr w:type="spellEnd"/>
      <w:r w:rsidRPr="00A472FC">
        <w:rPr>
          <w:rFonts w:ascii="Times New Roman" w:hAnsi="Times New Roman" w:cs="Times New Roman"/>
        </w:rPr>
        <w:t>, 199-216. Leiden: Brill, 1999.</w:t>
      </w:r>
    </w:p>
    <w:p w14:paraId="1C87EBA7" w14:textId="25682F53" w:rsidR="003662A8" w:rsidRPr="00A472FC" w:rsidRDefault="00111771" w:rsidP="00E94649">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Jacquart, Danielle </w:t>
      </w:r>
      <w:r w:rsidR="003662A8" w:rsidRPr="00A472FC">
        <w:rPr>
          <w:rFonts w:ascii="Times New Roman" w:hAnsi="Times New Roman" w:cs="Times New Roman"/>
        </w:rPr>
        <w:t xml:space="preserve">and Françoise </w:t>
      </w:r>
      <w:proofErr w:type="spellStart"/>
      <w:r w:rsidR="003662A8" w:rsidRPr="00A472FC">
        <w:rPr>
          <w:rFonts w:ascii="Times New Roman" w:hAnsi="Times New Roman" w:cs="Times New Roman"/>
        </w:rPr>
        <w:t>Micheau</w:t>
      </w:r>
      <w:proofErr w:type="spellEnd"/>
      <w:r w:rsidR="003662A8" w:rsidRPr="00A472FC">
        <w:rPr>
          <w:rFonts w:ascii="Times New Roman" w:hAnsi="Times New Roman" w:cs="Times New Roman"/>
        </w:rPr>
        <w:t xml:space="preserve">. </w:t>
      </w:r>
      <w:r w:rsidR="003662A8" w:rsidRPr="00A472FC">
        <w:rPr>
          <w:rFonts w:ascii="Times New Roman" w:hAnsi="Times New Roman" w:cs="Times New Roman"/>
          <w:i/>
          <w:iCs/>
        </w:rPr>
        <w:t xml:space="preserve">La medicine </w:t>
      </w:r>
      <w:proofErr w:type="spellStart"/>
      <w:r w:rsidR="003662A8" w:rsidRPr="00A472FC">
        <w:rPr>
          <w:rFonts w:ascii="Times New Roman" w:hAnsi="Times New Roman" w:cs="Times New Roman"/>
          <w:i/>
          <w:iCs/>
        </w:rPr>
        <w:t>arabe</w:t>
      </w:r>
      <w:proofErr w:type="spellEnd"/>
      <w:r w:rsidR="003662A8" w:rsidRPr="00A472FC">
        <w:rPr>
          <w:rFonts w:ascii="Times New Roman" w:hAnsi="Times New Roman" w:cs="Times New Roman"/>
          <w:i/>
          <w:iCs/>
        </w:rPr>
        <w:t xml:space="preserve"> et l’Occident </w:t>
      </w:r>
      <w:proofErr w:type="spellStart"/>
      <w:r w:rsidR="003662A8" w:rsidRPr="00A472FC">
        <w:rPr>
          <w:rFonts w:ascii="Times New Roman" w:hAnsi="Times New Roman" w:cs="Times New Roman"/>
          <w:i/>
          <w:iCs/>
        </w:rPr>
        <w:t>médiévale</w:t>
      </w:r>
      <w:proofErr w:type="spellEnd"/>
      <w:r w:rsidR="003662A8" w:rsidRPr="00A472FC">
        <w:rPr>
          <w:rFonts w:ascii="Times New Roman" w:hAnsi="Times New Roman" w:cs="Times New Roman"/>
          <w:i/>
          <w:iCs/>
        </w:rPr>
        <w:t xml:space="preserve">. </w:t>
      </w:r>
      <w:r w:rsidR="003662A8" w:rsidRPr="00A472FC">
        <w:rPr>
          <w:rFonts w:ascii="Times New Roman" w:hAnsi="Times New Roman" w:cs="Times New Roman"/>
        </w:rPr>
        <w:t>Paris: Maisonneuve and Larose, 1990.</w:t>
      </w:r>
    </w:p>
    <w:p w14:paraId="2E0080DA" w14:textId="79244067" w:rsidR="003662A8" w:rsidRPr="00A472FC" w:rsidRDefault="003662A8" w:rsidP="00E94649">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lastRenderedPageBreak/>
        <w:t xml:space="preserve">Jacquart, Danielle. ‘The Introduction of Arabic Medicine into the West: The Question of </w:t>
      </w:r>
      <w:proofErr w:type="spellStart"/>
      <w:r w:rsidRPr="00A472FC">
        <w:rPr>
          <w:rFonts w:ascii="Times New Roman" w:hAnsi="Times New Roman" w:cs="Times New Roman"/>
        </w:rPr>
        <w:t>Etiology</w:t>
      </w:r>
      <w:proofErr w:type="spellEnd"/>
      <w:r w:rsidRPr="00A472FC">
        <w:rPr>
          <w:rFonts w:ascii="Times New Roman" w:hAnsi="Times New Roman" w:cs="Times New Roman"/>
        </w:rPr>
        <w:t xml:space="preserve">.’ In </w:t>
      </w:r>
      <w:r w:rsidRPr="00A472FC">
        <w:rPr>
          <w:rFonts w:ascii="Times New Roman" w:hAnsi="Times New Roman" w:cs="Times New Roman"/>
          <w:i/>
          <w:iCs/>
        </w:rPr>
        <w:t xml:space="preserve">Health, Disease and Healing in Medieval Culture. </w:t>
      </w:r>
      <w:r w:rsidRPr="00A472FC">
        <w:rPr>
          <w:rFonts w:ascii="Times New Roman" w:hAnsi="Times New Roman" w:cs="Times New Roman"/>
        </w:rPr>
        <w:t xml:space="preserve">Edited by Sheila Campbell, Bert Hall, David </w:t>
      </w:r>
      <w:proofErr w:type="spellStart"/>
      <w:r w:rsidRPr="00A472FC">
        <w:rPr>
          <w:rFonts w:ascii="Times New Roman" w:hAnsi="Times New Roman" w:cs="Times New Roman"/>
        </w:rPr>
        <w:t>Klausner</w:t>
      </w:r>
      <w:proofErr w:type="spellEnd"/>
      <w:r w:rsidRPr="00A472FC">
        <w:rPr>
          <w:rFonts w:ascii="Times New Roman" w:hAnsi="Times New Roman" w:cs="Times New Roman"/>
        </w:rPr>
        <w:t xml:space="preserve">, 186-95. Toronto: </w:t>
      </w:r>
      <w:proofErr w:type="spellStart"/>
      <w:r w:rsidRPr="00A472FC">
        <w:rPr>
          <w:rFonts w:ascii="Times New Roman" w:hAnsi="Times New Roman" w:cs="Times New Roman"/>
        </w:rPr>
        <w:t>Center</w:t>
      </w:r>
      <w:proofErr w:type="spellEnd"/>
      <w:r w:rsidRPr="00A472FC">
        <w:rPr>
          <w:rFonts w:ascii="Times New Roman" w:hAnsi="Times New Roman" w:cs="Times New Roman"/>
        </w:rPr>
        <w:t xml:space="preserve"> for Medieval Studies, 1992.</w:t>
      </w:r>
    </w:p>
    <w:p w14:paraId="32A7CC85" w14:textId="36A6E545" w:rsidR="003662A8" w:rsidRPr="00A472FC" w:rsidRDefault="003662A8" w:rsidP="003662A8">
      <w:pPr>
        <w:pStyle w:val="FootnoteText"/>
        <w:ind w:left="709" w:hanging="709"/>
        <w:rPr>
          <w:rFonts w:ascii="Times New Roman" w:hAnsi="Times New Roman" w:cs="Times New Roman"/>
          <w:sz w:val="24"/>
          <w:szCs w:val="24"/>
        </w:rPr>
      </w:pPr>
      <w:r w:rsidRPr="00A472FC">
        <w:rPr>
          <w:rFonts w:ascii="Times New Roman" w:hAnsi="Times New Roman" w:cs="Times New Roman"/>
          <w:sz w:val="24"/>
          <w:szCs w:val="24"/>
        </w:rPr>
        <w:t xml:space="preserve">———. ‘Les </w:t>
      </w:r>
      <w:proofErr w:type="spellStart"/>
      <w:r w:rsidRPr="00A472FC">
        <w:rPr>
          <w:rFonts w:ascii="Times New Roman" w:hAnsi="Times New Roman" w:cs="Times New Roman"/>
          <w:sz w:val="24"/>
          <w:szCs w:val="24"/>
        </w:rPr>
        <w:t>emprunts</w:t>
      </w:r>
      <w:proofErr w:type="spellEnd"/>
      <w:r w:rsidRPr="00A472FC">
        <w:rPr>
          <w:rFonts w:ascii="Times New Roman" w:hAnsi="Times New Roman" w:cs="Times New Roman"/>
          <w:sz w:val="24"/>
          <w:szCs w:val="24"/>
        </w:rPr>
        <w:t xml:space="preserve"> de Guillaume de Conches aux theories </w:t>
      </w:r>
      <w:proofErr w:type="spellStart"/>
      <w:r w:rsidRPr="00A472FC">
        <w:rPr>
          <w:rFonts w:ascii="Times New Roman" w:hAnsi="Times New Roman" w:cs="Times New Roman"/>
          <w:sz w:val="24"/>
          <w:szCs w:val="24"/>
        </w:rPr>
        <w:t>médicales</w:t>
      </w:r>
      <w:proofErr w:type="spellEnd"/>
      <w:r w:rsidRPr="00A472FC">
        <w:rPr>
          <w:rFonts w:ascii="Times New Roman" w:hAnsi="Times New Roman" w:cs="Times New Roman"/>
          <w:sz w:val="24"/>
          <w:szCs w:val="24"/>
        </w:rPr>
        <w:t xml:space="preserve">.’ In </w:t>
      </w:r>
      <w:r w:rsidRPr="00A472FC">
        <w:rPr>
          <w:rFonts w:ascii="Times New Roman" w:hAnsi="Times New Roman" w:cs="Times New Roman"/>
          <w:i/>
          <w:iCs/>
          <w:sz w:val="24"/>
          <w:szCs w:val="24"/>
        </w:rPr>
        <w:t xml:space="preserve">Guillaume de Conches Philosophie et science au </w:t>
      </w:r>
      <w:proofErr w:type="spellStart"/>
      <w:r w:rsidRPr="00A472FC">
        <w:rPr>
          <w:rFonts w:ascii="Times New Roman" w:hAnsi="Times New Roman" w:cs="Times New Roman"/>
          <w:i/>
          <w:iCs/>
          <w:sz w:val="24"/>
          <w:szCs w:val="24"/>
        </w:rPr>
        <w:t>Xiie</w:t>
      </w:r>
      <w:proofErr w:type="spellEnd"/>
      <w:r w:rsidRPr="00A472FC">
        <w:rPr>
          <w:rFonts w:ascii="Times New Roman" w:hAnsi="Times New Roman" w:cs="Times New Roman"/>
          <w:i/>
          <w:iCs/>
          <w:sz w:val="24"/>
          <w:szCs w:val="24"/>
        </w:rPr>
        <w:t xml:space="preserve"> siècle. </w:t>
      </w:r>
      <w:r w:rsidRPr="00A472FC">
        <w:rPr>
          <w:rFonts w:ascii="Times New Roman" w:hAnsi="Times New Roman" w:cs="Times New Roman"/>
          <w:sz w:val="24"/>
          <w:szCs w:val="24"/>
        </w:rPr>
        <w:t xml:space="preserve">Edited by Barbara </w:t>
      </w:r>
      <w:proofErr w:type="spellStart"/>
      <w:r w:rsidRPr="00A472FC">
        <w:rPr>
          <w:rFonts w:ascii="Times New Roman" w:hAnsi="Times New Roman" w:cs="Times New Roman"/>
          <w:sz w:val="24"/>
          <w:szCs w:val="24"/>
        </w:rPr>
        <w:t>Obrist</w:t>
      </w:r>
      <w:proofErr w:type="spellEnd"/>
      <w:r w:rsidRPr="00A472FC">
        <w:rPr>
          <w:rFonts w:ascii="Times New Roman" w:hAnsi="Times New Roman" w:cs="Times New Roman"/>
          <w:sz w:val="24"/>
          <w:szCs w:val="24"/>
        </w:rPr>
        <w:t xml:space="preserve"> et Irène </w:t>
      </w:r>
      <w:proofErr w:type="spellStart"/>
      <w:r w:rsidRPr="00A472FC">
        <w:rPr>
          <w:rFonts w:ascii="Times New Roman" w:hAnsi="Times New Roman" w:cs="Times New Roman"/>
          <w:sz w:val="24"/>
          <w:szCs w:val="24"/>
        </w:rPr>
        <w:t>Caiazzo</w:t>
      </w:r>
      <w:proofErr w:type="spellEnd"/>
      <w:r w:rsidRPr="00A472FC">
        <w:rPr>
          <w:rFonts w:ascii="Times New Roman" w:hAnsi="Times New Roman" w:cs="Times New Roman"/>
          <w:sz w:val="24"/>
          <w:szCs w:val="24"/>
        </w:rPr>
        <w:t>, 79-110</w:t>
      </w:r>
      <w:r w:rsidRPr="00A472FC">
        <w:rPr>
          <w:rFonts w:ascii="Times New Roman" w:hAnsi="Times New Roman" w:cs="Times New Roman"/>
          <w:i/>
          <w:iCs/>
          <w:sz w:val="24"/>
          <w:szCs w:val="24"/>
        </w:rPr>
        <w:t xml:space="preserve">. </w:t>
      </w:r>
      <w:r w:rsidRPr="00A472FC">
        <w:rPr>
          <w:rFonts w:ascii="Times New Roman" w:hAnsi="Times New Roman" w:cs="Times New Roman"/>
          <w:sz w:val="24"/>
          <w:szCs w:val="24"/>
        </w:rPr>
        <w:t>Florence: SISMEL, 2011.</w:t>
      </w:r>
    </w:p>
    <w:p w14:paraId="680D23B9" w14:textId="1FE2E9E5" w:rsidR="00300FF0" w:rsidRPr="00A472FC" w:rsidRDefault="00300FF0" w:rsidP="00E94649">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‘La reconstruction </w:t>
      </w:r>
      <w:proofErr w:type="spellStart"/>
      <w:r w:rsidRPr="00A472FC">
        <w:rPr>
          <w:rFonts w:ascii="Times New Roman" w:hAnsi="Times New Roman" w:cs="Times New Roman"/>
        </w:rPr>
        <w:t>médicale</w:t>
      </w:r>
      <w:proofErr w:type="spellEnd"/>
      <w:r w:rsidRPr="00A472FC">
        <w:rPr>
          <w:rFonts w:ascii="Times New Roman" w:hAnsi="Times New Roman" w:cs="Times New Roman"/>
        </w:rPr>
        <w:t xml:space="preserve"> de la nature de </w:t>
      </w:r>
      <w:proofErr w:type="spellStart"/>
      <w:r w:rsidRPr="00A472FC">
        <w:rPr>
          <w:rFonts w:ascii="Times New Roman" w:hAnsi="Times New Roman" w:cs="Times New Roman"/>
        </w:rPr>
        <w:t>l’homme</w:t>
      </w:r>
      <w:proofErr w:type="spellEnd"/>
      <w:r w:rsidRPr="00A472FC">
        <w:rPr>
          <w:rFonts w:ascii="Times New Roman" w:hAnsi="Times New Roman" w:cs="Times New Roman"/>
        </w:rPr>
        <w:t xml:space="preserve"> aux </w:t>
      </w:r>
      <w:proofErr w:type="spellStart"/>
      <w:r w:rsidRPr="00A472FC">
        <w:rPr>
          <w:rFonts w:ascii="Times New Roman" w:hAnsi="Times New Roman" w:cs="Times New Roman"/>
        </w:rPr>
        <w:t>XIe</w:t>
      </w:r>
      <w:proofErr w:type="spellEnd"/>
      <w:r w:rsidRPr="00A472FC">
        <w:rPr>
          <w:rFonts w:ascii="Times New Roman" w:hAnsi="Times New Roman" w:cs="Times New Roman"/>
        </w:rPr>
        <w:t xml:space="preserve"> et XIIe </w:t>
      </w:r>
      <w:proofErr w:type="spellStart"/>
      <w:r w:rsidRPr="00A472FC">
        <w:rPr>
          <w:rFonts w:ascii="Times New Roman" w:hAnsi="Times New Roman" w:cs="Times New Roman"/>
        </w:rPr>
        <w:t>siècles</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Revue de </w:t>
      </w:r>
      <w:proofErr w:type="spellStart"/>
      <w:r w:rsidRPr="00A472FC">
        <w:rPr>
          <w:rFonts w:ascii="Times New Roman" w:hAnsi="Times New Roman" w:cs="Times New Roman"/>
          <w:i/>
          <w:iCs/>
        </w:rPr>
        <w:t>synthèse</w:t>
      </w:r>
      <w:proofErr w:type="spellEnd"/>
      <w:r w:rsidRPr="00A472FC">
        <w:rPr>
          <w:rFonts w:ascii="Times New Roman" w:hAnsi="Times New Roman" w:cs="Times New Roman"/>
          <w:i/>
          <w:iCs/>
        </w:rPr>
        <w:t xml:space="preserve"> </w:t>
      </w:r>
      <w:r w:rsidRPr="00A472FC">
        <w:rPr>
          <w:rFonts w:ascii="Times New Roman" w:hAnsi="Times New Roman" w:cs="Times New Roman"/>
        </w:rPr>
        <w:t>134:6:4 (2013)</w:t>
      </w:r>
      <w:r w:rsidR="00732946" w:rsidRPr="00A472FC">
        <w:rPr>
          <w:rFonts w:ascii="Times New Roman" w:hAnsi="Times New Roman" w:cs="Times New Roman"/>
        </w:rPr>
        <w:t>:</w:t>
      </w:r>
      <w:r w:rsidRPr="00A472FC">
        <w:rPr>
          <w:rFonts w:ascii="Times New Roman" w:hAnsi="Times New Roman" w:cs="Times New Roman"/>
          <w:i/>
          <w:iCs/>
        </w:rPr>
        <w:t xml:space="preserve"> </w:t>
      </w:r>
      <w:r w:rsidRPr="00A472FC">
        <w:rPr>
          <w:rFonts w:ascii="Times New Roman" w:hAnsi="Times New Roman" w:cs="Times New Roman"/>
        </w:rPr>
        <w:t>445-72.</w:t>
      </w:r>
    </w:p>
    <w:p w14:paraId="5EAA55A5" w14:textId="48DCCB83" w:rsidR="003662A8" w:rsidRPr="00A472FC" w:rsidRDefault="003662A8" w:rsidP="003662A8">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iCs/>
        </w:rPr>
        <w:t>Recherches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médiévales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sur</w:t>
      </w:r>
      <w:proofErr w:type="spellEnd"/>
      <w:r w:rsidRPr="00A472FC">
        <w:rPr>
          <w:rFonts w:ascii="Times New Roman" w:hAnsi="Times New Roman" w:cs="Times New Roman"/>
          <w:i/>
          <w:iCs/>
        </w:rPr>
        <w:t xml:space="preserve"> la nature </w:t>
      </w:r>
      <w:proofErr w:type="spellStart"/>
      <w:r w:rsidRPr="00A472FC">
        <w:rPr>
          <w:rFonts w:ascii="Times New Roman" w:hAnsi="Times New Roman" w:cs="Times New Roman"/>
          <w:i/>
          <w:iCs/>
        </w:rPr>
        <w:t>humaine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Essais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sur</w:t>
      </w:r>
      <w:proofErr w:type="spellEnd"/>
      <w:r w:rsidRPr="00A472FC">
        <w:rPr>
          <w:rFonts w:ascii="Times New Roman" w:hAnsi="Times New Roman" w:cs="Times New Roman"/>
          <w:i/>
          <w:iCs/>
        </w:rPr>
        <w:t xml:space="preserve"> la </w:t>
      </w:r>
      <w:proofErr w:type="spellStart"/>
      <w:r w:rsidRPr="00A472FC">
        <w:rPr>
          <w:rFonts w:ascii="Times New Roman" w:hAnsi="Times New Roman" w:cs="Times New Roman"/>
          <w:i/>
          <w:iCs/>
        </w:rPr>
        <w:t>réflexion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médicale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XIIe-XVe</w:t>
      </w:r>
      <w:proofErr w:type="spellEnd"/>
      <w:r w:rsidRPr="00A472FC">
        <w:rPr>
          <w:rFonts w:ascii="Times New Roman" w:hAnsi="Times New Roman" w:cs="Times New Roman"/>
          <w:i/>
          <w:iCs/>
        </w:rPr>
        <w:t xml:space="preserve"> siècle. </w:t>
      </w:r>
      <w:r w:rsidRPr="00A472FC">
        <w:rPr>
          <w:rFonts w:ascii="Times New Roman" w:hAnsi="Times New Roman" w:cs="Times New Roman"/>
        </w:rPr>
        <w:t xml:space="preserve">Florence: SISMEL, 2014. </w:t>
      </w:r>
    </w:p>
    <w:p w14:paraId="78CC155C" w14:textId="1DEAE459" w:rsidR="009D7635" w:rsidRPr="00A472FC" w:rsidRDefault="009D7635" w:rsidP="00E94649">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Janos, Damien. </w:t>
      </w:r>
      <w:r w:rsidRPr="00A472FC">
        <w:rPr>
          <w:rFonts w:ascii="Times New Roman" w:hAnsi="Times New Roman" w:cs="Times New Roman"/>
          <w:i/>
          <w:iCs/>
        </w:rPr>
        <w:t>Avicenna on the Ontology of Pure Quiddity</w:t>
      </w:r>
      <w:r w:rsidR="00B2737B" w:rsidRPr="00A472FC">
        <w:rPr>
          <w:rFonts w:ascii="Times New Roman" w:hAnsi="Times New Roman" w:cs="Times New Roman"/>
        </w:rPr>
        <w:t xml:space="preserve">. </w:t>
      </w:r>
      <w:r w:rsidRPr="00A472FC">
        <w:rPr>
          <w:rFonts w:ascii="Times New Roman" w:hAnsi="Times New Roman" w:cs="Times New Roman"/>
        </w:rPr>
        <w:t>Berlin: De Gruyter, 2020</w:t>
      </w:r>
      <w:r w:rsidR="00EC6133" w:rsidRPr="00A472FC">
        <w:rPr>
          <w:rFonts w:ascii="Times New Roman" w:hAnsi="Times New Roman" w:cs="Times New Roman"/>
        </w:rPr>
        <w:t>,</w:t>
      </w:r>
      <w:r w:rsidRPr="00A472FC">
        <w:rPr>
          <w:rFonts w:ascii="Times New Roman" w:hAnsi="Times New Roman" w:cs="Times New Roman"/>
        </w:rPr>
        <w:t xml:space="preserve"> </w:t>
      </w:r>
    </w:p>
    <w:p w14:paraId="45C9DFBF" w14:textId="3CA99284" w:rsidR="006A6E61" w:rsidRPr="00A472FC" w:rsidRDefault="006A6E61" w:rsidP="00E94649">
      <w:pPr>
        <w:autoSpaceDE w:val="0"/>
        <w:autoSpaceDN w:val="0"/>
        <w:adjustRightInd w:val="0"/>
        <w:ind w:left="709" w:right="-52" w:hanging="709"/>
        <w:rPr>
          <w:rFonts w:ascii="Times New Roman" w:hAnsi="Times New Roman" w:cs="Times New Roman"/>
          <w:lang w:val="en-US"/>
        </w:rPr>
      </w:pPr>
      <w:proofErr w:type="spellStart"/>
      <w:r w:rsidRPr="00A472FC">
        <w:rPr>
          <w:rFonts w:ascii="Times New Roman" w:hAnsi="Times New Roman" w:cs="Times New Roman"/>
          <w:lang w:val="en-US"/>
        </w:rPr>
        <w:t>Jüssen</w:t>
      </w:r>
      <w:proofErr w:type="spellEnd"/>
      <w:r w:rsidRPr="00A472FC">
        <w:rPr>
          <w:rFonts w:ascii="Times New Roman" w:hAnsi="Times New Roman" w:cs="Times New Roman"/>
          <w:lang w:val="en-US"/>
        </w:rPr>
        <w:t xml:space="preserve">, Gabriel. ‘Wilhelm von Auvergne und die </w:t>
      </w:r>
      <w:proofErr w:type="spellStart"/>
      <w:r w:rsidRPr="00A472FC">
        <w:rPr>
          <w:rFonts w:ascii="Times New Roman" w:hAnsi="Times New Roman" w:cs="Times New Roman"/>
          <w:lang w:val="en-US"/>
        </w:rPr>
        <w:t>Entwicklung</w:t>
      </w:r>
      <w:proofErr w:type="spellEnd"/>
      <w:r w:rsidRPr="00A472FC">
        <w:rPr>
          <w:rFonts w:ascii="Times New Roman" w:hAnsi="Times New Roman" w:cs="Times New Roman"/>
          <w:lang w:val="en-US"/>
        </w:rPr>
        <w:t xml:space="preserve"> </w:t>
      </w:r>
      <w:proofErr w:type="spellStart"/>
      <w:r w:rsidRPr="00A472FC">
        <w:rPr>
          <w:rFonts w:ascii="Times New Roman" w:hAnsi="Times New Roman" w:cs="Times New Roman"/>
          <w:lang w:val="en-US"/>
        </w:rPr>
        <w:t>der</w:t>
      </w:r>
      <w:proofErr w:type="spellEnd"/>
      <w:r w:rsidRPr="00A472FC">
        <w:rPr>
          <w:rFonts w:ascii="Times New Roman" w:hAnsi="Times New Roman" w:cs="Times New Roman"/>
          <w:lang w:val="en-US"/>
        </w:rPr>
        <w:t xml:space="preserve"> Philosophie in </w:t>
      </w:r>
      <w:proofErr w:type="spellStart"/>
      <w:r w:rsidRPr="00A472FC">
        <w:rPr>
          <w:rFonts w:ascii="Times New Roman" w:hAnsi="Times New Roman" w:cs="Times New Roman"/>
          <w:lang w:val="en-US"/>
        </w:rPr>
        <w:t>Übergang</w:t>
      </w:r>
      <w:proofErr w:type="spellEnd"/>
      <w:r w:rsidRPr="00A472FC">
        <w:rPr>
          <w:rFonts w:ascii="Times New Roman" w:hAnsi="Times New Roman" w:cs="Times New Roman"/>
          <w:lang w:val="en-US"/>
        </w:rPr>
        <w:t xml:space="preserve"> </w:t>
      </w:r>
      <w:proofErr w:type="spellStart"/>
      <w:r w:rsidRPr="00A472FC">
        <w:rPr>
          <w:rFonts w:ascii="Times New Roman" w:hAnsi="Times New Roman" w:cs="Times New Roman"/>
          <w:lang w:val="en-US"/>
        </w:rPr>
        <w:t>zur</w:t>
      </w:r>
      <w:proofErr w:type="spellEnd"/>
      <w:r w:rsidRPr="00A472FC">
        <w:rPr>
          <w:rFonts w:ascii="Times New Roman" w:hAnsi="Times New Roman" w:cs="Times New Roman"/>
          <w:lang w:val="en-US"/>
        </w:rPr>
        <w:t xml:space="preserve"> </w:t>
      </w:r>
      <w:proofErr w:type="spellStart"/>
      <w:r w:rsidRPr="00A472FC">
        <w:rPr>
          <w:rFonts w:ascii="Times New Roman" w:hAnsi="Times New Roman" w:cs="Times New Roman"/>
          <w:lang w:val="en-US"/>
        </w:rPr>
        <w:t>Hochscholastik</w:t>
      </w:r>
      <w:proofErr w:type="spellEnd"/>
      <w:r w:rsidRPr="00A472FC">
        <w:rPr>
          <w:rFonts w:ascii="Times New Roman" w:hAnsi="Times New Roman" w:cs="Times New Roman"/>
          <w:lang w:val="en-US"/>
        </w:rPr>
        <w:t xml:space="preserve">,’ In </w:t>
      </w:r>
      <w:r w:rsidRPr="00A472FC">
        <w:rPr>
          <w:rFonts w:ascii="Times New Roman" w:hAnsi="Times New Roman" w:cs="Times New Roman"/>
          <w:i/>
          <w:iCs/>
          <w:lang w:val="en-US"/>
        </w:rPr>
        <w:t xml:space="preserve">Thomas von </w:t>
      </w:r>
      <w:proofErr w:type="spellStart"/>
      <w:r w:rsidRPr="00A472FC">
        <w:rPr>
          <w:rFonts w:ascii="Times New Roman" w:hAnsi="Times New Roman" w:cs="Times New Roman"/>
          <w:i/>
          <w:iCs/>
          <w:lang w:val="en-US"/>
        </w:rPr>
        <w:t>Aquin</w:t>
      </w:r>
      <w:proofErr w:type="spellEnd"/>
      <w:r w:rsidRPr="00A472FC">
        <w:rPr>
          <w:rFonts w:ascii="Times New Roman" w:hAnsi="Times New Roman" w:cs="Times New Roman"/>
          <w:i/>
          <w:iCs/>
          <w:lang w:val="en-US"/>
        </w:rPr>
        <w:t xml:space="preserve"> </w:t>
      </w:r>
      <w:proofErr w:type="spellStart"/>
      <w:r w:rsidRPr="00A472FC">
        <w:rPr>
          <w:rFonts w:ascii="Times New Roman" w:hAnsi="Times New Roman" w:cs="Times New Roman"/>
          <w:i/>
          <w:iCs/>
          <w:lang w:val="en-US"/>
        </w:rPr>
        <w:t>im</w:t>
      </w:r>
      <w:proofErr w:type="spellEnd"/>
      <w:r w:rsidRPr="00A472FC">
        <w:rPr>
          <w:rFonts w:ascii="Times New Roman" w:hAnsi="Times New Roman" w:cs="Times New Roman"/>
          <w:i/>
          <w:iCs/>
          <w:lang w:val="en-US"/>
        </w:rPr>
        <w:t xml:space="preserve"> </w:t>
      </w:r>
      <w:proofErr w:type="spellStart"/>
      <w:r w:rsidRPr="00A472FC">
        <w:rPr>
          <w:rFonts w:ascii="Times New Roman" w:hAnsi="Times New Roman" w:cs="Times New Roman"/>
          <w:i/>
          <w:iCs/>
          <w:lang w:val="en-US"/>
        </w:rPr>
        <w:t>philosophischen</w:t>
      </w:r>
      <w:proofErr w:type="spellEnd"/>
      <w:r w:rsidRPr="00A472FC">
        <w:rPr>
          <w:rFonts w:ascii="Times New Roman" w:hAnsi="Times New Roman" w:cs="Times New Roman"/>
          <w:i/>
          <w:iCs/>
          <w:lang w:val="en-US"/>
        </w:rPr>
        <w:t xml:space="preserve"> </w:t>
      </w:r>
      <w:proofErr w:type="spellStart"/>
      <w:r w:rsidRPr="00A472FC">
        <w:rPr>
          <w:rFonts w:ascii="Times New Roman" w:hAnsi="Times New Roman" w:cs="Times New Roman"/>
          <w:i/>
          <w:iCs/>
          <w:lang w:val="en-US"/>
        </w:rPr>
        <w:t>Gespräch</w:t>
      </w:r>
      <w:proofErr w:type="spellEnd"/>
      <w:r w:rsidRPr="00A472FC">
        <w:rPr>
          <w:rFonts w:ascii="Times New Roman" w:hAnsi="Times New Roman" w:cs="Times New Roman"/>
          <w:i/>
          <w:iCs/>
          <w:lang w:val="en-US"/>
        </w:rPr>
        <w:t xml:space="preserve">. </w:t>
      </w:r>
      <w:r w:rsidRPr="00A472FC">
        <w:rPr>
          <w:rFonts w:ascii="Times New Roman" w:hAnsi="Times New Roman" w:cs="Times New Roman"/>
          <w:iCs/>
          <w:lang w:val="en-US"/>
        </w:rPr>
        <w:t>Edited by</w:t>
      </w:r>
      <w:r w:rsidRPr="00A472FC">
        <w:rPr>
          <w:rFonts w:ascii="Times New Roman" w:hAnsi="Times New Roman" w:cs="Times New Roman"/>
          <w:lang w:val="en-US"/>
        </w:rPr>
        <w:t xml:space="preserve"> Wolfgang </w:t>
      </w:r>
      <w:proofErr w:type="spellStart"/>
      <w:r w:rsidRPr="00A472FC">
        <w:rPr>
          <w:rFonts w:ascii="Times New Roman" w:hAnsi="Times New Roman" w:cs="Times New Roman"/>
          <w:lang w:val="en-US"/>
        </w:rPr>
        <w:t>Klugen</w:t>
      </w:r>
      <w:proofErr w:type="spellEnd"/>
      <w:r w:rsidRPr="00A472FC">
        <w:rPr>
          <w:rFonts w:ascii="Times New Roman" w:hAnsi="Times New Roman" w:cs="Times New Roman"/>
          <w:lang w:val="en-US"/>
        </w:rPr>
        <w:t>, 185-203. Freiburg, 1975.</w:t>
      </w:r>
    </w:p>
    <w:p w14:paraId="6C9976AE" w14:textId="77777777" w:rsidR="006A6E61" w:rsidRPr="00A472FC" w:rsidRDefault="006A6E61" w:rsidP="00E94649">
      <w:pPr>
        <w:autoSpaceDE w:val="0"/>
        <w:autoSpaceDN w:val="0"/>
        <w:adjustRightInd w:val="0"/>
        <w:ind w:left="709" w:right="-52" w:hanging="709"/>
        <w:rPr>
          <w:rFonts w:ascii="Times New Roman" w:hAnsi="Times New Roman" w:cs="Times New Roman"/>
          <w:lang w:val="en-US"/>
        </w:rPr>
      </w:pPr>
      <w:r w:rsidRPr="00A472FC">
        <w:rPr>
          <w:rFonts w:ascii="Times New Roman" w:hAnsi="Times New Roman" w:cs="Times New Roman"/>
        </w:rPr>
        <w:t xml:space="preserve">———. </w:t>
      </w:r>
      <w:r w:rsidRPr="00A472FC">
        <w:rPr>
          <w:rFonts w:ascii="Times New Roman" w:hAnsi="Times New Roman" w:cs="Times New Roman"/>
          <w:lang w:val="en-US"/>
        </w:rPr>
        <w:t>‘</w:t>
      </w:r>
      <w:proofErr w:type="spellStart"/>
      <w:r w:rsidRPr="00A472FC">
        <w:rPr>
          <w:rFonts w:ascii="Times New Roman" w:hAnsi="Times New Roman" w:cs="Times New Roman"/>
          <w:lang w:val="en-US"/>
        </w:rPr>
        <w:t>Aristoteles-Rezeption</w:t>
      </w:r>
      <w:proofErr w:type="spellEnd"/>
      <w:r w:rsidRPr="00A472FC">
        <w:rPr>
          <w:rFonts w:ascii="Times New Roman" w:hAnsi="Times New Roman" w:cs="Times New Roman"/>
          <w:lang w:val="en-US"/>
        </w:rPr>
        <w:t xml:space="preserve"> und </w:t>
      </w:r>
      <w:proofErr w:type="spellStart"/>
      <w:r w:rsidRPr="00A472FC">
        <w:rPr>
          <w:rFonts w:ascii="Times New Roman" w:hAnsi="Times New Roman" w:cs="Times New Roman"/>
          <w:lang w:val="en-US"/>
        </w:rPr>
        <w:t>Aristoteles-Kritik</w:t>
      </w:r>
      <w:proofErr w:type="spellEnd"/>
      <w:r w:rsidRPr="00A472FC">
        <w:rPr>
          <w:rFonts w:ascii="Times New Roman" w:hAnsi="Times New Roman" w:cs="Times New Roman"/>
          <w:lang w:val="en-US"/>
        </w:rPr>
        <w:t xml:space="preserve"> in Wilhelm von Auvergne’s </w:t>
      </w:r>
      <w:proofErr w:type="spellStart"/>
      <w:r w:rsidRPr="00A472FC">
        <w:rPr>
          <w:rFonts w:ascii="Times New Roman" w:hAnsi="Times New Roman" w:cs="Times New Roman"/>
          <w:i/>
          <w:iCs/>
          <w:lang w:val="en-US"/>
        </w:rPr>
        <w:t>Tractatus</w:t>
      </w:r>
      <w:proofErr w:type="spellEnd"/>
      <w:r w:rsidRPr="00A472FC">
        <w:rPr>
          <w:rFonts w:ascii="Times New Roman" w:hAnsi="Times New Roman" w:cs="Times New Roman"/>
          <w:i/>
          <w:iCs/>
          <w:lang w:val="en-US"/>
        </w:rPr>
        <w:t xml:space="preserve"> de anima.’</w:t>
      </w:r>
      <w:r w:rsidRPr="00A472FC">
        <w:rPr>
          <w:rFonts w:ascii="Times New Roman" w:hAnsi="Times New Roman" w:cs="Times New Roman"/>
          <w:lang w:val="en-US"/>
        </w:rPr>
        <w:t xml:space="preserve"> In </w:t>
      </w:r>
      <w:r w:rsidRPr="00A472FC">
        <w:rPr>
          <w:rFonts w:ascii="Times New Roman" w:hAnsi="Times New Roman" w:cs="Times New Roman"/>
          <w:i/>
          <w:iCs/>
          <w:lang w:val="en-US"/>
        </w:rPr>
        <w:t>Knowledge and the Sciences in Medieval Philosophy</w:t>
      </w:r>
      <w:r w:rsidRPr="00A472FC">
        <w:rPr>
          <w:rFonts w:ascii="Times New Roman" w:hAnsi="Times New Roman" w:cs="Times New Roman"/>
          <w:lang w:val="en-US"/>
        </w:rPr>
        <w:t xml:space="preserve">. Edited by </w:t>
      </w:r>
      <w:proofErr w:type="spellStart"/>
      <w:r w:rsidRPr="00A472FC">
        <w:rPr>
          <w:rFonts w:ascii="Times New Roman" w:hAnsi="Times New Roman" w:cs="Times New Roman"/>
          <w:lang w:val="en-US"/>
        </w:rPr>
        <w:t>Reijo</w:t>
      </w:r>
      <w:proofErr w:type="spellEnd"/>
      <w:r w:rsidRPr="00A472FC">
        <w:rPr>
          <w:rFonts w:ascii="Times New Roman" w:hAnsi="Times New Roman" w:cs="Times New Roman"/>
          <w:lang w:val="en-US"/>
        </w:rPr>
        <w:t xml:space="preserve"> </w:t>
      </w:r>
      <w:proofErr w:type="spellStart"/>
      <w:r w:rsidRPr="00A472FC">
        <w:rPr>
          <w:rFonts w:ascii="Times New Roman" w:hAnsi="Times New Roman" w:cs="Times New Roman"/>
          <w:lang w:val="en-US"/>
        </w:rPr>
        <w:t>Työrinoja</w:t>
      </w:r>
      <w:proofErr w:type="spellEnd"/>
      <w:r w:rsidRPr="00A472FC">
        <w:rPr>
          <w:rFonts w:ascii="Times New Roman" w:hAnsi="Times New Roman" w:cs="Times New Roman"/>
          <w:lang w:val="en-US"/>
        </w:rPr>
        <w:t xml:space="preserve"> et al., 87-96. Helsinki, 1990.</w:t>
      </w:r>
    </w:p>
    <w:p w14:paraId="566AD850"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Kaepelli</w:t>
      </w:r>
      <w:proofErr w:type="spellEnd"/>
      <w:r w:rsidRPr="00A472FC">
        <w:rPr>
          <w:rFonts w:ascii="Times New Roman" w:hAnsi="Times New Roman" w:cs="Times New Roman"/>
        </w:rPr>
        <w:t>, Th. ‘</w:t>
      </w:r>
      <w:proofErr w:type="spellStart"/>
      <w:r w:rsidRPr="00A472FC">
        <w:rPr>
          <w:rFonts w:ascii="Times New Roman" w:hAnsi="Times New Roman" w:cs="Times New Roman"/>
        </w:rPr>
        <w:t>Guerricus</w:t>
      </w:r>
      <w:proofErr w:type="spellEnd"/>
      <w:r w:rsidRPr="00A472FC">
        <w:rPr>
          <w:rFonts w:ascii="Times New Roman" w:hAnsi="Times New Roman" w:cs="Times New Roman"/>
        </w:rPr>
        <w:t xml:space="preserve"> de S. </w:t>
      </w:r>
      <w:proofErr w:type="spellStart"/>
      <w:r w:rsidRPr="00A472FC">
        <w:rPr>
          <w:rFonts w:ascii="Times New Roman" w:hAnsi="Times New Roman" w:cs="Times New Roman"/>
        </w:rPr>
        <w:t>Quintino</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i/>
          <w:iCs/>
        </w:rPr>
        <w:t>Scriptores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Ordinis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Praedicatorum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Medii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Aevi</w:t>
      </w:r>
      <w:proofErr w:type="spellEnd"/>
      <w:r w:rsidRPr="00A472FC">
        <w:rPr>
          <w:rFonts w:ascii="Times New Roman" w:hAnsi="Times New Roman" w:cs="Times New Roman"/>
        </w:rPr>
        <w:t>, 61-70. Rome, 1975.</w:t>
      </w:r>
    </w:p>
    <w:p w14:paraId="5BF94C81"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Keck, David. </w:t>
      </w:r>
      <w:r w:rsidRPr="00A472FC">
        <w:rPr>
          <w:rFonts w:ascii="Times New Roman" w:hAnsi="Times New Roman" w:cs="Times New Roman"/>
          <w:i/>
          <w:iCs/>
        </w:rPr>
        <w:t>Angels and Angelology in the Middle Ages.</w:t>
      </w:r>
      <w:r w:rsidRPr="00A472FC">
        <w:rPr>
          <w:rFonts w:ascii="Times New Roman" w:hAnsi="Times New Roman" w:cs="Times New Roman"/>
        </w:rPr>
        <w:t xml:space="preserve"> Oxford: Oxford University Press, 1998.</w:t>
      </w:r>
    </w:p>
    <w:p w14:paraId="05F8C9BB"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Keeler, Leo W. ‘The Dependence of R. </w:t>
      </w:r>
      <w:proofErr w:type="spellStart"/>
      <w:r w:rsidRPr="00A472FC">
        <w:rPr>
          <w:rFonts w:ascii="Times New Roman" w:hAnsi="Times New Roman" w:cs="Times New Roman"/>
        </w:rPr>
        <w:t>Grosseteste’s</w:t>
      </w:r>
      <w:proofErr w:type="spellEnd"/>
      <w:r w:rsidRPr="00A472FC">
        <w:rPr>
          <w:rFonts w:ascii="Times New Roman" w:hAnsi="Times New Roman" w:cs="Times New Roman"/>
        </w:rPr>
        <w:t xml:space="preserve"> </w:t>
      </w:r>
      <w:r w:rsidRPr="00A472FC">
        <w:rPr>
          <w:rFonts w:ascii="Times New Roman" w:hAnsi="Times New Roman" w:cs="Times New Roman"/>
          <w:i/>
        </w:rPr>
        <w:t>De anima</w:t>
      </w:r>
      <w:r w:rsidRPr="00A472FC">
        <w:rPr>
          <w:rFonts w:ascii="Times New Roman" w:hAnsi="Times New Roman" w:cs="Times New Roman"/>
        </w:rPr>
        <w:t xml:space="preserve"> on the Summa of Philip the Chancellor.’ </w:t>
      </w:r>
      <w:r w:rsidRPr="00A472FC">
        <w:rPr>
          <w:rFonts w:ascii="Times New Roman" w:hAnsi="Times New Roman" w:cs="Times New Roman"/>
          <w:i/>
          <w:iCs/>
        </w:rPr>
        <w:t xml:space="preserve">The New Scholasticism </w:t>
      </w:r>
      <w:r w:rsidRPr="00A472FC">
        <w:rPr>
          <w:rFonts w:ascii="Times New Roman" w:hAnsi="Times New Roman" w:cs="Times New Roman"/>
        </w:rPr>
        <w:t>11:3 (1937): 197-219.</w:t>
      </w:r>
    </w:p>
    <w:p w14:paraId="345FCEBF"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Keicher</w:t>
      </w:r>
      <w:proofErr w:type="spellEnd"/>
      <w:r w:rsidRPr="00A472FC">
        <w:rPr>
          <w:rFonts w:ascii="Times New Roman" w:hAnsi="Times New Roman" w:cs="Times New Roman"/>
        </w:rPr>
        <w:t>, Otto. ‘</w:t>
      </w:r>
      <w:proofErr w:type="spellStart"/>
      <w:r w:rsidRPr="00A472FC">
        <w:rPr>
          <w:rFonts w:ascii="Times New Roman" w:hAnsi="Times New Roman" w:cs="Times New Roman"/>
        </w:rPr>
        <w:t>Zur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Lehre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ältesten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Franziskanertheologen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vom</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rPr>
        <w:t>intellectus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agens</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i/>
          <w:iCs/>
        </w:rPr>
        <w:t>Abhandlung</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aus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dem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Gebiete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der</w:t>
      </w:r>
      <w:proofErr w:type="spellEnd"/>
      <w:r w:rsidRPr="00A472FC">
        <w:rPr>
          <w:rFonts w:ascii="Times New Roman" w:hAnsi="Times New Roman" w:cs="Times New Roman"/>
          <w:i/>
          <w:iCs/>
        </w:rPr>
        <w:t xml:space="preserve"> Philosophie und </w:t>
      </w:r>
      <w:proofErr w:type="spellStart"/>
      <w:r w:rsidRPr="00A472FC">
        <w:rPr>
          <w:rFonts w:ascii="Times New Roman" w:hAnsi="Times New Roman" w:cs="Times New Roman"/>
          <w:i/>
          <w:iCs/>
        </w:rPr>
        <w:t>ihrer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Geschichte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Ein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Festgabe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zum</w:t>
      </w:r>
      <w:proofErr w:type="spellEnd"/>
      <w:r w:rsidRPr="00A472FC">
        <w:rPr>
          <w:rFonts w:ascii="Times New Roman" w:hAnsi="Times New Roman" w:cs="Times New Roman"/>
          <w:i/>
          <w:iCs/>
        </w:rPr>
        <w:t xml:space="preserve"> 70. </w:t>
      </w:r>
      <w:proofErr w:type="spellStart"/>
      <w:r w:rsidRPr="00A472FC">
        <w:rPr>
          <w:rFonts w:ascii="Times New Roman" w:hAnsi="Times New Roman" w:cs="Times New Roman"/>
          <w:i/>
          <w:iCs/>
        </w:rPr>
        <w:t>Geburtstag</w:t>
      </w:r>
      <w:proofErr w:type="spellEnd"/>
      <w:r w:rsidRPr="00A472FC">
        <w:rPr>
          <w:rFonts w:ascii="Times New Roman" w:hAnsi="Times New Roman" w:cs="Times New Roman"/>
          <w:i/>
          <w:iCs/>
        </w:rPr>
        <w:t xml:space="preserve"> Georg </w:t>
      </w:r>
      <w:proofErr w:type="spellStart"/>
      <w:r w:rsidRPr="00A472FC">
        <w:rPr>
          <w:rFonts w:ascii="Times New Roman" w:hAnsi="Times New Roman" w:cs="Times New Roman"/>
          <w:i/>
          <w:iCs/>
        </w:rPr>
        <w:t>Freiherrn</w:t>
      </w:r>
      <w:proofErr w:type="spellEnd"/>
      <w:r w:rsidRPr="00A472FC">
        <w:rPr>
          <w:rFonts w:ascii="Times New Roman" w:hAnsi="Times New Roman" w:cs="Times New Roman"/>
          <w:i/>
          <w:iCs/>
        </w:rPr>
        <w:t xml:space="preserve"> von </w:t>
      </w:r>
      <w:proofErr w:type="spellStart"/>
      <w:r w:rsidRPr="00A472FC">
        <w:rPr>
          <w:rFonts w:ascii="Times New Roman" w:hAnsi="Times New Roman" w:cs="Times New Roman"/>
          <w:i/>
          <w:iCs/>
        </w:rPr>
        <w:t>Hertling</w:t>
      </w:r>
      <w:proofErr w:type="spellEnd"/>
      <w:r w:rsidRPr="00A472FC">
        <w:rPr>
          <w:rFonts w:ascii="Times New Roman" w:hAnsi="Times New Roman" w:cs="Times New Roman"/>
        </w:rPr>
        <w:t xml:space="preserve">. Edited by Matthias </w:t>
      </w:r>
      <w:proofErr w:type="spellStart"/>
      <w:r w:rsidRPr="00A472FC">
        <w:rPr>
          <w:rFonts w:ascii="Times New Roman" w:hAnsi="Times New Roman" w:cs="Times New Roman"/>
        </w:rPr>
        <w:t>Baumgartner</w:t>
      </w:r>
      <w:proofErr w:type="spellEnd"/>
      <w:r w:rsidRPr="00A472FC">
        <w:rPr>
          <w:rFonts w:ascii="Times New Roman" w:hAnsi="Times New Roman" w:cs="Times New Roman"/>
        </w:rPr>
        <w:t xml:space="preserve"> et al., 173-82. Freiburg </w:t>
      </w:r>
      <w:proofErr w:type="spellStart"/>
      <w:r w:rsidRPr="00A472FC">
        <w:rPr>
          <w:rFonts w:ascii="Times New Roman" w:hAnsi="Times New Roman" w:cs="Times New Roman"/>
        </w:rPr>
        <w:t>im</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Breisgau</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Herdersche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Verlagshandlung</w:t>
      </w:r>
      <w:proofErr w:type="spellEnd"/>
      <w:r w:rsidRPr="00A472FC">
        <w:rPr>
          <w:rFonts w:ascii="Times New Roman" w:hAnsi="Times New Roman" w:cs="Times New Roman"/>
        </w:rPr>
        <w:t>, 1913.</w:t>
      </w:r>
    </w:p>
    <w:p w14:paraId="574BF336" w14:textId="77777777" w:rsidR="00684061" w:rsidRPr="00A472FC" w:rsidRDefault="006840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Kent, Bonnie. </w:t>
      </w:r>
      <w:r w:rsidRPr="00A472FC">
        <w:rPr>
          <w:rFonts w:ascii="Times New Roman" w:hAnsi="Times New Roman" w:cs="Times New Roman"/>
          <w:i/>
          <w:iCs/>
        </w:rPr>
        <w:t>Virtues of the Will: The Transformation of Ethics in the Late Thirteenth Century</w:t>
      </w:r>
      <w:r w:rsidRPr="00A472FC">
        <w:rPr>
          <w:rFonts w:ascii="Times New Roman" w:hAnsi="Times New Roman" w:cs="Times New Roman"/>
        </w:rPr>
        <w:t xml:space="preserve">. Washington, D.C.: The Catholic University of America Press, 1995. </w:t>
      </w:r>
    </w:p>
    <w:p w14:paraId="5A8B379F" w14:textId="13AFC6A3"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Kleineidam</w:t>
      </w:r>
      <w:proofErr w:type="spellEnd"/>
      <w:r w:rsidRPr="00A472FC">
        <w:rPr>
          <w:rFonts w:ascii="Times New Roman" w:hAnsi="Times New Roman" w:cs="Times New Roman"/>
        </w:rPr>
        <w:t xml:space="preserve">, E. </w:t>
      </w:r>
      <w:r w:rsidR="00CD494C" w:rsidRPr="00A472FC">
        <w:rPr>
          <w:rFonts w:ascii="Times New Roman" w:hAnsi="Times New Roman" w:cs="Times New Roman"/>
        </w:rPr>
        <w:t>‘</w:t>
      </w:r>
      <w:r w:rsidRPr="00A472FC">
        <w:rPr>
          <w:rFonts w:ascii="Times New Roman" w:hAnsi="Times New Roman" w:cs="Times New Roman"/>
        </w:rPr>
        <w:t xml:space="preserve">Das Problem </w:t>
      </w:r>
      <w:proofErr w:type="spellStart"/>
      <w:r w:rsidRPr="00A472FC">
        <w:rPr>
          <w:rFonts w:ascii="Times New Roman" w:hAnsi="Times New Roman" w:cs="Times New Roman"/>
        </w:rPr>
        <w:t>der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Hylomorphen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Zusammensetzung</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Geistigen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Substanzen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im</w:t>
      </w:r>
      <w:proofErr w:type="spellEnd"/>
      <w:r w:rsidRPr="00A472FC">
        <w:rPr>
          <w:rFonts w:ascii="Times New Roman" w:hAnsi="Times New Roman" w:cs="Times New Roman"/>
        </w:rPr>
        <w:t xml:space="preserve"> 13. </w:t>
      </w:r>
      <w:proofErr w:type="spellStart"/>
      <w:r w:rsidRPr="00A472FC">
        <w:rPr>
          <w:rFonts w:ascii="Times New Roman" w:hAnsi="Times New Roman" w:cs="Times New Roman"/>
        </w:rPr>
        <w:t>Jahrhundert</w:t>
      </w:r>
      <w:proofErr w:type="spellEnd"/>
      <w:r w:rsidRPr="00A472FC">
        <w:rPr>
          <w:rFonts w:ascii="Times New Roman" w:hAnsi="Times New Roman" w:cs="Times New Roman"/>
        </w:rPr>
        <w:t>.</w:t>
      </w:r>
      <w:r w:rsidR="00CD494C" w:rsidRPr="00A472FC">
        <w:rPr>
          <w:rFonts w:ascii="Times New Roman" w:hAnsi="Times New Roman" w:cs="Times New Roman"/>
        </w:rPr>
        <w:t>’</w:t>
      </w:r>
      <w:r w:rsidRPr="00A472FC">
        <w:rPr>
          <w:rFonts w:ascii="Times New Roman" w:hAnsi="Times New Roman" w:cs="Times New Roman"/>
        </w:rPr>
        <w:t xml:space="preserve"> PhD, Breslau, 1930.</w:t>
      </w:r>
    </w:p>
    <w:p w14:paraId="29E1BE7B"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Knuuttila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Simo</w:t>
      </w:r>
      <w:proofErr w:type="spellEnd"/>
      <w:r w:rsidRPr="00A472FC">
        <w:rPr>
          <w:rFonts w:ascii="Times New Roman" w:hAnsi="Times New Roman" w:cs="Times New Roman"/>
        </w:rPr>
        <w:t xml:space="preserve">. ‘Medieval Theories of the Passions of the Soul.’ In </w:t>
      </w:r>
      <w:r w:rsidRPr="00A472FC">
        <w:rPr>
          <w:rFonts w:ascii="Times New Roman" w:hAnsi="Times New Roman" w:cs="Times New Roman"/>
          <w:i/>
          <w:iCs/>
        </w:rPr>
        <w:t xml:space="preserve">Emotions and Choice from </w:t>
      </w:r>
      <w:proofErr w:type="spellStart"/>
      <w:r w:rsidRPr="00A472FC">
        <w:rPr>
          <w:rFonts w:ascii="Times New Roman" w:hAnsi="Times New Roman" w:cs="Times New Roman"/>
          <w:i/>
          <w:iCs/>
        </w:rPr>
        <w:t>Boethius</w:t>
      </w:r>
      <w:proofErr w:type="spellEnd"/>
      <w:r w:rsidRPr="00A472FC">
        <w:rPr>
          <w:rFonts w:ascii="Times New Roman" w:hAnsi="Times New Roman" w:cs="Times New Roman"/>
          <w:i/>
          <w:iCs/>
        </w:rPr>
        <w:t xml:space="preserve"> to Descartes</w:t>
      </w:r>
      <w:r w:rsidRPr="00A472FC">
        <w:rPr>
          <w:rFonts w:ascii="Times New Roman" w:hAnsi="Times New Roman" w:cs="Times New Roman"/>
        </w:rPr>
        <w:t xml:space="preserve">, 49-83. Dordrecht: </w:t>
      </w:r>
      <w:proofErr w:type="spellStart"/>
      <w:r w:rsidRPr="00A472FC">
        <w:rPr>
          <w:rFonts w:ascii="Times New Roman" w:hAnsi="Times New Roman" w:cs="Times New Roman"/>
        </w:rPr>
        <w:t>Kluwer</w:t>
      </w:r>
      <w:proofErr w:type="spellEnd"/>
      <w:r w:rsidRPr="00A472FC">
        <w:rPr>
          <w:rFonts w:ascii="Times New Roman" w:hAnsi="Times New Roman" w:cs="Times New Roman"/>
        </w:rPr>
        <w:t>, 2002.</w:t>
      </w:r>
    </w:p>
    <w:p w14:paraId="545547DA"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Emotions in Ancient and Medieval Philosophy.</w:t>
      </w:r>
      <w:r w:rsidRPr="00A472FC">
        <w:rPr>
          <w:rFonts w:ascii="Times New Roman" w:hAnsi="Times New Roman" w:cs="Times New Roman"/>
        </w:rPr>
        <w:t xml:space="preserve"> Oxford: Oxford University Press, 2004.</w:t>
      </w:r>
    </w:p>
    <w:p w14:paraId="4EBFCCB3" w14:textId="2F1CDD8C" w:rsidR="00424C9C"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Kobusch</w:t>
      </w:r>
      <w:proofErr w:type="spellEnd"/>
      <w:r w:rsidRPr="00A472FC">
        <w:rPr>
          <w:rFonts w:ascii="Times New Roman" w:hAnsi="Times New Roman" w:cs="Times New Roman"/>
        </w:rPr>
        <w:t>, Theo.</w:t>
      </w:r>
      <w:r w:rsidR="00424C9C" w:rsidRPr="00A472FC">
        <w:rPr>
          <w:rFonts w:ascii="Times New Roman" w:hAnsi="Times New Roman" w:cs="Times New Roman"/>
        </w:rPr>
        <w:t xml:space="preserve"> </w:t>
      </w:r>
      <w:r w:rsidR="00424C9C" w:rsidRPr="00A472FC">
        <w:rPr>
          <w:rFonts w:ascii="Times New Roman" w:hAnsi="Times New Roman" w:cs="Times New Roman"/>
          <w:i/>
          <w:iCs/>
        </w:rPr>
        <w:t xml:space="preserve">Die </w:t>
      </w:r>
      <w:proofErr w:type="spellStart"/>
      <w:r w:rsidR="00424C9C" w:rsidRPr="00A472FC">
        <w:rPr>
          <w:rFonts w:ascii="Times New Roman" w:hAnsi="Times New Roman" w:cs="Times New Roman"/>
          <w:i/>
          <w:iCs/>
        </w:rPr>
        <w:t>Entdeckung</w:t>
      </w:r>
      <w:proofErr w:type="spellEnd"/>
      <w:r w:rsidR="00424C9C" w:rsidRPr="00A472FC">
        <w:rPr>
          <w:rFonts w:ascii="Times New Roman" w:hAnsi="Times New Roman" w:cs="Times New Roman"/>
          <w:i/>
          <w:iCs/>
        </w:rPr>
        <w:t xml:space="preserve"> </w:t>
      </w:r>
      <w:proofErr w:type="spellStart"/>
      <w:r w:rsidR="00424C9C" w:rsidRPr="00A472FC">
        <w:rPr>
          <w:rFonts w:ascii="Times New Roman" w:hAnsi="Times New Roman" w:cs="Times New Roman"/>
          <w:i/>
          <w:iCs/>
        </w:rPr>
        <w:t>der</w:t>
      </w:r>
      <w:proofErr w:type="spellEnd"/>
      <w:r w:rsidR="00424C9C" w:rsidRPr="00A472FC">
        <w:rPr>
          <w:rFonts w:ascii="Times New Roman" w:hAnsi="Times New Roman" w:cs="Times New Roman"/>
          <w:i/>
          <w:iCs/>
        </w:rPr>
        <w:t xml:space="preserve"> Person: </w:t>
      </w:r>
      <w:proofErr w:type="spellStart"/>
      <w:r w:rsidR="00424C9C" w:rsidRPr="00A472FC">
        <w:rPr>
          <w:rFonts w:ascii="Times New Roman" w:hAnsi="Times New Roman" w:cs="Times New Roman"/>
          <w:i/>
          <w:iCs/>
        </w:rPr>
        <w:t>Metaphysik</w:t>
      </w:r>
      <w:proofErr w:type="spellEnd"/>
      <w:r w:rsidR="00424C9C" w:rsidRPr="00A472FC">
        <w:rPr>
          <w:rFonts w:ascii="Times New Roman" w:hAnsi="Times New Roman" w:cs="Times New Roman"/>
          <w:i/>
          <w:iCs/>
        </w:rPr>
        <w:t xml:space="preserve"> </w:t>
      </w:r>
      <w:proofErr w:type="spellStart"/>
      <w:r w:rsidR="00424C9C" w:rsidRPr="00A472FC">
        <w:rPr>
          <w:rFonts w:ascii="Times New Roman" w:hAnsi="Times New Roman" w:cs="Times New Roman"/>
          <w:i/>
          <w:iCs/>
        </w:rPr>
        <w:t>der</w:t>
      </w:r>
      <w:proofErr w:type="spellEnd"/>
      <w:r w:rsidR="00424C9C" w:rsidRPr="00A472FC">
        <w:rPr>
          <w:rFonts w:ascii="Times New Roman" w:hAnsi="Times New Roman" w:cs="Times New Roman"/>
          <w:i/>
          <w:iCs/>
        </w:rPr>
        <w:t xml:space="preserve"> </w:t>
      </w:r>
      <w:proofErr w:type="spellStart"/>
      <w:r w:rsidR="00424C9C" w:rsidRPr="00A472FC">
        <w:rPr>
          <w:rFonts w:ascii="Times New Roman" w:hAnsi="Times New Roman" w:cs="Times New Roman"/>
          <w:i/>
          <w:iCs/>
        </w:rPr>
        <w:t>Freiheit</w:t>
      </w:r>
      <w:proofErr w:type="spellEnd"/>
      <w:r w:rsidR="00424C9C" w:rsidRPr="00A472FC">
        <w:rPr>
          <w:rFonts w:ascii="Times New Roman" w:hAnsi="Times New Roman" w:cs="Times New Roman"/>
          <w:i/>
          <w:iCs/>
        </w:rPr>
        <w:t xml:space="preserve"> und </w:t>
      </w:r>
      <w:proofErr w:type="spellStart"/>
      <w:r w:rsidR="00424C9C" w:rsidRPr="00A472FC">
        <w:rPr>
          <w:rFonts w:ascii="Times New Roman" w:hAnsi="Times New Roman" w:cs="Times New Roman"/>
          <w:i/>
          <w:iCs/>
        </w:rPr>
        <w:t>modernes</w:t>
      </w:r>
      <w:proofErr w:type="spellEnd"/>
      <w:r w:rsidR="00424C9C" w:rsidRPr="00A472FC">
        <w:rPr>
          <w:rFonts w:ascii="Times New Roman" w:hAnsi="Times New Roman" w:cs="Times New Roman"/>
          <w:i/>
          <w:iCs/>
        </w:rPr>
        <w:t xml:space="preserve"> </w:t>
      </w:r>
      <w:proofErr w:type="spellStart"/>
      <w:r w:rsidR="00424C9C" w:rsidRPr="00A472FC">
        <w:rPr>
          <w:rFonts w:ascii="Times New Roman" w:hAnsi="Times New Roman" w:cs="Times New Roman"/>
          <w:i/>
          <w:iCs/>
        </w:rPr>
        <w:t>Menschenbild</w:t>
      </w:r>
      <w:proofErr w:type="spellEnd"/>
      <w:r w:rsidR="00424C9C" w:rsidRPr="00A472FC">
        <w:rPr>
          <w:rFonts w:ascii="Times New Roman" w:hAnsi="Times New Roman" w:cs="Times New Roman"/>
        </w:rPr>
        <w:t xml:space="preserve">. Darmstadt: </w:t>
      </w:r>
      <w:proofErr w:type="spellStart"/>
      <w:r w:rsidR="00424C9C" w:rsidRPr="00A472FC">
        <w:rPr>
          <w:rFonts w:ascii="Times New Roman" w:hAnsi="Times New Roman" w:cs="Times New Roman"/>
        </w:rPr>
        <w:t>Wissenschaftliche</w:t>
      </w:r>
      <w:proofErr w:type="spellEnd"/>
      <w:r w:rsidR="00424C9C" w:rsidRPr="00A472FC">
        <w:rPr>
          <w:rFonts w:ascii="Times New Roman" w:hAnsi="Times New Roman" w:cs="Times New Roman"/>
        </w:rPr>
        <w:t xml:space="preserve"> </w:t>
      </w:r>
      <w:proofErr w:type="spellStart"/>
      <w:r w:rsidR="00424C9C" w:rsidRPr="00A472FC">
        <w:rPr>
          <w:rFonts w:ascii="Times New Roman" w:hAnsi="Times New Roman" w:cs="Times New Roman"/>
        </w:rPr>
        <w:t>Buchgesellschaft</w:t>
      </w:r>
      <w:proofErr w:type="spellEnd"/>
      <w:r w:rsidR="00424C9C" w:rsidRPr="00A472FC">
        <w:rPr>
          <w:rFonts w:ascii="Times New Roman" w:hAnsi="Times New Roman" w:cs="Times New Roman"/>
        </w:rPr>
        <w:t xml:space="preserve">, 1997. </w:t>
      </w:r>
    </w:p>
    <w:p w14:paraId="66B267DC" w14:textId="43EB0FE7" w:rsidR="006A6E61" w:rsidRPr="00A472FC" w:rsidRDefault="00424C9C"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006A6E61" w:rsidRPr="00A472FC">
        <w:rPr>
          <w:rFonts w:ascii="Times New Roman" w:hAnsi="Times New Roman" w:cs="Times New Roman"/>
        </w:rPr>
        <w:t xml:space="preserve">‘The </w:t>
      </w:r>
      <w:r w:rsidR="006A6E61" w:rsidRPr="00A472FC">
        <w:rPr>
          <w:rFonts w:ascii="Times New Roman" w:hAnsi="Times New Roman" w:cs="Times New Roman"/>
          <w:i/>
        </w:rPr>
        <w:t xml:space="preserve">Summa </w:t>
      </w:r>
      <w:proofErr w:type="spellStart"/>
      <w:r w:rsidR="006A6E61" w:rsidRPr="00A472FC">
        <w:rPr>
          <w:rFonts w:ascii="Times New Roman" w:hAnsi="Times New Roman" w:cs="Times New Roman"/>
          <w:i/>
        </w:rPr>
        <w:t>Halensis</w:t>
      </w:r>
      <w:proofErr w:type="spellEnd"/>
      <w:r w:rsidR="006A6E61" w:rsidRPr="00A472FC">
        <w:rPr>
          <w:rFonts w:ascii="Times New Roman" w:hAnsi="Times New Roman" w:cs="Times New Roman"/>
        </w:rPr>
        <w:t xml:space="preserve">: Towards a New Concept of Person.’ In </w:t>
      </w:r>
      <w:r w:rsidR="006A6E61" w:rsidRPr="00A472FC">
        <w:rPr>
          <w:rFonts w:ascii="Times New Roman" w:hAnsi="Times New Roman" w:cs="Times New Roman"/>
          <w:i/>
          <w:iCs/>
        </w:rPr>
        <w:t xml:space="preserve">The Summa </w:t>
      </w:r>
      <w:proofErr w:type="spellStart"/>
      <w:r w:rsidR="006A6E61" w:rsidRPr="00A472FC">
        <w:rPr>
          <w:rFonts w:ascii="Times New Roman" w:hAnsi="Times New Roman" w:cs="Times New Roman"/>
          <w:i/>
          <w:iCs/>
        </w:rPr>
        <w:t>Halensis</w:t>
      </w:r>
      <w:proofErr w:type="spellEnd"/>
      <w:r w:rsidR="006A6E61" w:rsidRPr="00A472FC">
        <w:rPr>
          <w:rFonts w:ascii="Times New Roman" w:hAnsi="Times New Roman" w:cs="Times New Roman"/>
          <w:i/>
          <w:iCs/>
        </w:rPr>
        <w:t>: Doctrines and Debates</w:t>
      </w:r>
      <w:r w:rsidR="006A6E61" w:rsidRPr="00A472FC">
        <w:rPr>
          <w:rFonts w:ascii="Times New Roman" w:hAnsi="Times New Roman" w:cs="Times New Roman"/>
        </w:rPr>
        <w:t>. Edited by Lydia Schumacher. Berlin: De Gruyter, 2020.</w:t>
      </w:r>
    </w:p>
    <w:p w14:paraId="654751D0"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Kristeller</w:t>
      </w:r>
      <w:proofErr w:type="spellEnd"/>
      <w:r w:rsidRPr="00A472FC">
        <w:rPr>
          <w:rFonts w:ascii="Times New Roman" w:hAnsi="Times New Roman" w:cs="Times New Roman"/>
        </w:rPr>
        <w:t xml:space="preserve">, P.O. ‘The School of Salerno: Its Development and Its Contribution to the History of Learning.’ In </w:t>
      </w:r>
      <w:r w:rsidRPr="00A472FC">
        <w:rPr>
          <w:rFonts w:ascii="Times New Roman" w:hAnsi="Times New Roman" w:cs="Times New Roman"/>
          <w:i/>
          <w:iCs/>
        </w:rPr>
        <w:t>Studies in Renaissance Thought and Letters</w:t>
      </w:r>
      <w:r w:rsidRPr="00A472FC">
        <w:rPr>
          <w:rFonts w:ascii="Times New Roman" w:hAnsi="Times New Roman" w:cs="Times New Roman"/>
        </w:rPr>
        <w:t>, 495-551. Rome, 1956.</w:t>
      </w:r>
    </w:p>
    <w:p w14:paraId="7C1A922B"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Künzle</w:t>
      </w:r>
      <w:proofErr w:type="spellEnd"/>
      <w:r w:rsidRPr="00A472FC">
        <w:rPr>
          <w:rFonts w:ascii="Times New Roman" w:hAnsi="Times New Roman" w:cs="Times New Roman"/>
        </w:rPr>
        <w:t xml:space="preserve">, P. </w:t>
      </w:r>
      <w:r w:rsidRPr="00A472FC">
        <w:rPr>
          <w:rFonts w:ascii="Times New Roman" w:hAnsi="Times New Roman" w:cs="Times New Roman"/>
          <w:i/>
          <w:iCs/>
        </w:rPr>
        <w:t xml:space="preserve">Das </w:t>
      </w:r>
      <w:proofErr w:type="spellStart"/>
      <w:r w:rsidRPr="00A472FC">
        <w:rPr>
          <w:rFonts w:ascii="Times New Roman" w:hAnsi="Times New Roman" w:cs="Times New Roman"/>
          <w:i/>
          <w:iCs/>
        </w:rPr>
        <w:t>Verhältnis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der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Seele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zu</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ihren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Potenzen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problemgeschichtliche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Untersuchungen</w:t>
      </w:r>
      <w:proofErr w:type="spellEnd"/>
      <w:r w:rsidRPr="00A472FC">
        <w:rPr>
          <w:rFonts w:ascii="Times New Roman" w:hAnsi="Times New Roman" w:cs="Times New Roman"/>
          <w:i/>
          <w:iCs/>
        </w:rPr>
        <w:t xml:space="preserve"> von Augustin bis und </w:t>
      </w:r>
      <w:proofErr w:type="spellStart"/>
      <w:r w:rsidRPr="00A472FC">
        <w:rPr>
          <w:rFonts w:ascii="Times New Roman" w:hAnsi="Times New Roman" w:cs="Times New Roman"/>
          <w:i/>
          <w:iCs/>
        </w:rPr>
        <w:t>mit</w:t>
      </w:r>
      <w:proofErr w:type="spellEnd"/>
      <w:r w:rsidRPr="00A472FC">
        <w:rPr>
          <w:rFonts w:ascii="Times New Roman" w:hAnsi="Times New Roman" w:cs="Times New Roman"/>
          <w:i/>
          <w:iCs/>
        </w:rPr>
        <w:t xml:space="preserve"> Thomas von </w:t>
      </w:r>
      <w:proofErr w:type="spellStart"/>
      <w:r w:rsidRPr="00A472FC">
        <w:rPr>
          <w:rFonts w:ascii="Times New Roman" w:hAnsi="Times New Roman" w:cs="Times New Roman"/>
          <w:i/>
          <w:iCs/>
        </w:rPr>
        <w:t>Aquin</w:t>
      </w:r>
      <w:proofErr w:type="spellEnd"/>
      <w:r w:rsidRPr="00A472FC">
        <w:rPr>
          <w:rFonts w:ascii="Times New Roman" w:hAnsi="Times New Roman" w:cs="Times New Roman"/>
          <w:i/>
          <w:iCs/>
        </w:rPr>
        <w:t>.</w:t>
      </w:r>
      <w:r w:rsidRPr="00A472FC">
        <w:rPr>
          <w:rFonts w:ascii="Times New Roman" w:hAnsi="Times New Roman" w:cs="Times New Roman"/>
        </w:rPr>
        <w:t xml:space="preserve"> Freiburg: </w:t>
      </w:r>
      <w:proofErr w:type="spellStart"/>
      <w:r w:rsidRPr="00A472FC">
        <w:rPr>
          <w:rFonts w:ascii="Times New Roman" w:hAnsi="Times New Roman" w:cs="Times New Roman"/>
        </w:rPr>
        <w:t>Universitätsverlag</w:t>
      </w:r>
      <w:proofErr w:type="spellEnd"/>
      <w:r w:rsidRPr="00A472FC">
        <w:rPr>
          <w:rFonts w:ascii="Times New Roman" w:hAnsi="Times New Roman" w:cs="Times New Roman"/>
        </w:rPr>
        <w:t>, 1956.</w:t>
      </w:r>
    </w:p>
    <w:p w14:paraId="22667442" w14:textId="77C9F595"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lang w:val="en-US"/>
        </w:rPr>
        <w:t xml:space="preserve">Lafleur, Claude with Joanne Carrier, ‘La </w:t>
      </w:r>
      <w:proofErr w:type="spellStart"/>
      <w:r w:rsidRPr="00A472FC">
        <w:rPr>
          <w:rFonts w:ascii="Times New Roman" w:hAnsi="Times New Roman" w:cs="Times New Roman"/>
          <w:lang w:val="en-US"/>
        </w:rPr>
        <w:t>réglementation</w:t>
      </w:r>
      <w:proofErr w:type="spellEnd"/>
      <w:r w:rsidRPr="00A472FC">
        <w:rPr>
          <w:rFonts w:ascii="Times New Roman" w:hAnsi="Times New Roman" w:cs="Times New Roman"/>
          <w:lang w:val="en-US"/>
        </w:rPr>
        <w:t xml:space="preserve"> </w:t>
      </w:r>
      <w:proofErr w:type="spellStart"/>
      <w:r w:rsidRPr="00A472FC">
        <w:rPr>
          <w:rFonts w:ascii="Times New Roman" w:hAnsi="Times New Roman" w:cs="Times New Roman"/>
          <w:lang w:val="en-US"/>
        </w:rPr>
        <w:t>curriculaire</w:t>
      </w:r>
      <w:proofErr w:type="spellEnd"/>
      <w:r w:rsidRPr="00A472FC">
        <w:rPr>
          <w:rFonts w:ascii="Times New Roman" w:hAnsi="Times New Roman" w:cs="Times New Roman"/>
          <w:lang w:val="en-US"/>
        </w:rPr>
        <w:t xml:space="preserve"> dans les introductions à la philosophie et les guides de </w:t>
      </w:r>
      <w:proofErr w:type="spellStart"/>
      <w:r w:rsidRPr="00A472FC">
        <w:rPr>
          <w:rFonts w:ascii="Times New Roman" w:hAnsi="Times New Roman" w:cs="Times New Roman"/>
          <w:lang w:val="en-US"/>
        </w:rPr>
        <w:t>l'étudiant</w:t>
      </w:r>
      <w:proofErr w:type="spellEnd"/>
      <w:r w:rsidRPr="00A472FC">
        <w:rPr>
          <w:rFonts w:ascii="Times New Roman" w:hAnsi="Times New Roman" w:cs="Times New Roman"/>
          <w:lang w:val="en-US"/>
        </w:rPr>
        <w:t xml:space="preserve"> de la </w:t>
      </w:r>
      <w:proofErr w:type="spellStart"/>
      <w:r w:rsidRPr="00A472FC">
        <w:rPr>
          <w:rFonts w:ascii="Times New Roman" w:hAnsi="Times New Roman" w:cs="Times New Roman"/>
          <w:lang w:val="en-US"/>
        </w:rPr>
        <w:t>Faculté</w:t>
      </w:r>
      <w:proofErr w:type="spellEnd"/>
      <w:r w:rsidRPr="00A472FC">
        <w:rPr>
          <w:rFonts w:ascii="Times New Roman" w:hAnsi="Times New Roman" w:cs="Times New Roman"/>
          <w:lang w:val="en-US"/>
        </w:rPr>
        <w:t xml:space="preserve"> des arts de Paris au XIIIE siècle: </w:t>
      </w:r>
      <w:proofErr w:type="spellStart"/>
      <w:r w:rsidRPr="00A472FC">
        <w:rPr>
          <w:rFonts w:ascii="Times New Roman" w:hAnsi="Times New Roman" w:cs="Times New Roman"/>
          <w:lang w:val="en-US"/>
        </w:rPr>
        <w:t>une</w:t>
      </w:r>
      <w:proofErr w:type="spellEnd"/>
      <w:r w:rsidRPr="00A472FC">
        <w:rPr>
          <w:rFonts w:ascii="Times New Roman" w:hAnsi="Times New Roman" w:cs="Times New Roman"/>
          <w:lang w:val="en-US"/>
        </w:rPr>
        <w:t xml:space="preserve"> </w:t>
      </w:r>
      <w:proofErr w:type="spellStart"/>
      <w:r w:rsidRPr="00A472FC">
        <w:rPr>
          <w:rFonts w:ascii="Times New Roman" w:hAnsi="Times New Roman" w:cs="Times New Roman"/>
          <w:lang w:val="en-US"/>
        </w:rPr>
        <w:t>mise</w:t>
      </w:r>
      <w:proofErr w:type="spellEnd"/>
      <w:r w:rsidRPr="00A472FC">
        <w:rPr>
          <w:rFonts w:ascii="Times New Roman" w:hAnsi="Times New Roman" w:cs="Times New Roman"/>
          <w:lang w:val="en-US"/>
        </w:rPr>
        <w:t xml:space="preserve"> en context.’ In </w:t>
      </w:r>
      <w:proofErr w:type="spellStart"/>
      <w:r w:rsidRPr="00A472FC">
        <w:rPr>
          <w:rFonts w:ascii="Times New Roman" w:hAnsi="Times New Roman" w:cs="Times New Roman"/>
          <w:i/>
        </w:rPr>
        <w:t>L’enseignement</w:t>
      </w:r>
      <w:proofErr w:type="spellEnd"/>
      <w:r w:rsidRPr="00A472FC">
        <w:rPr>
          <w:rFonts w:ascii="Times New Roman" w:hAnsi="Times New Roman" w:cs="Times New Roman"/>
          <w:i/>
        </w:rPr>
        <w:t xml:space="preserve"> de la philosophie au XIIIe siècle: </w:t>
      </w:r>
      <w:proofErr w:type="spellStart"/>
      <w:r w:rsidRPr="00A472FC">
        <w:rPr>
          <w:rFonts w:ascii="Times New Roman" w:hAnsi="Times New Roman" w:cs="Times New Roman"/>
          <w:i/>
        </w:rPr>
        <w:t>Autour</w:t>
      </w:r>
      <w:proofErr w:type="spellEnd"/>
      <w:r w:rsidRPr="00A472FC">
        <w:rPr>
          <w:rFonts w:ascii="Times New Roman" w:hAnsi="Times New Roman" w:cs="Times New Roman"/>
          <w:i/>
        </w:rPr>
        <w:t xml:space="preserve"> du Guide de </w:t>
      </w:r>
      <w:proofErr w:type="spellStart"/>
      <w:r w:rsidRPr="00A472FC">
        <w:rPr>
          <w:rFonts w:ascii="Times New Roman" w:hAnsi="Times New Roman" w:cs="Times New Roman"/>
          <w:i/>
        </w:rPr>
        <w:t>l’étudiant</w:t>
      </w:r>
      <w:proofErr w:type="spellEnd"/>
      <w:r w:rsidRPr="00A472FC">
        <w:rPr>
          <w:rFonts w:ascii="Times New Roman" w:hAnsi="Times New Roman" w:cs="Times New Roman"/>
          <w:i/>
        </w:rPr>
        <w:t xml:space="preserve"> du ms. </w:t>
      </w:r>
      <w:proofErr w:type="spellStart"/>
      <w:r w:rsidRPr="00A472FC">
        <w:rPr>
          <w:rFonts w:ascii="Times New Roman" w:hAnsi="Times New Roman" w:cs="Times New Roman"/>
          <w:i/>
        </w:rPr>
        <w:t>Ripoll</w:t>
      </w:r>
      <w:proofErr w:type="spellEnd"/>
      <w:r w:rsidRPr="00A472FC">
        <w:rPr>
          <w:rFonts w:ascii="Times New Roman" w:hAnsi="Times New Roman" w:cs="Times New Roman"/>
          <w:i/>
        </w:rPr>
        <w:t xml:space="preserve"> 109</w:t>
      </w:r>
      <w:r w:rsidRPr="00A472FC">
        <w:rPr>
          <w:rFonts w:ascii="Times New Roman" w:hAnsi="Times New Roman" w:cs="Times New Roman"/>
        </w:rPr>
        <w:t>. Edited by Claude Lafleur and Joanne Carrier</w:t>
      </w:r>
      <w:r w:rsidR="00603D9D" w:rsidRPr="00A472FC">
        <w:rPr>
          <w:rFonts w:ascii="Times New Roman" w:hAnsi="Times New Roman" w:cs="Times New Roman"/>
        </w:rPr>
        <w:t>,</w:t>
      </w:r>
      <w:r w:rsidRPr="00A472FC">
        <w:rPr>
          <w:rFonts w:ascii="Times New Roman" w:hAnsi="Times New Roman" w:cs="Times New Roman"/>
        </w:rPr>
        <w:t xml:space="preserve"> 521-48.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xml:space="preserve">, 1997. </w:t>
      </w:r>
    </w:p>
    <w:p w14:paraId="4F86CC89"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lastRenderedPageBreak/>
        <w:t>Laumekis</w:t>
      </w:r>
      <w:proofErr w:type="spellEnd"/>
      <w:r w:rsidRPr="00A472FC">
        <w:rPr>
          <w:rFonts w:ascii="Times New Roman" w:hAnsi="Times New Roman" w:cs="Times New Roman"/>
        </w:rPr>
        <w:t xml:space="preserve">, John A. ‘Introduction.’ In </w:t>
      </w:r>
      <w:proofErr w:type="spellStart"/>
      <w:r w:rsidRPr="00A472FC">
        <w:rPr>
          <w:rFonts w:ascii="Times New Roman" w:hAnsi="Times New Roman" w:cs="Times New Roman"/>
          <w:i/>
          <w:iCs/>
        </w:rPr>
        <w:t>Dominicus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Gundissalinus</w:t>
      </w:r>
      <w:proofErr w:type="spellEnd"/>
      <w:r w:rsidRPr="00A472FC">
        <w:rPr>
          <w:rFonts w:ascii="Times New Roman" w:hAnsi="Times New Roman" w:cs="Times New Roman"/>
          <w:i/>
          <w:iCs/>
        </w:rPr>
        <w:t xml:space="preserve">: The Procession of the World (De </w:t>
      </w:r>
      <w:proofErr w:type="spellStart"/>
      <w:r w:rsidRPr="00A472FC">
        <w:rPr>
          <w:rFonts w:ascii="Times New Roman" w:hAnsi="Times New Roman" w:cs="Times New Roman"/>
          <w:i/>
          <w:iCs/>
        </w:rPr>
        <w:t>processione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mundi</w:t>
      </w:r>
      <w:proofErr w:type="spellEnd"/>
      <w:r w:rsidRPr="00A472FC">
        <w:rPr>
          <w:rFonts w:ascii="Times New Roman" w:hAnsi="Times New Roman" w:cs="Times New Roman"/>
          <w:i/>
          <w:iCs/>
        </w:rPr>
        <w:t>)</w:t>
      </w:r>
      <w:r w:rsidRPr="00A472FC">
        <w:rPr>
          <w:rFonts w:ascii="Times New Roman" w:hAnsi="Times New Roman" w:cs="Times New Roman"/>
        </w:rPr>
        <w:t>, 9-30. Marquette: Marquette University Press, 2002.</w:t>
      </w:r>
    </w:p>
    <w:p w14:paraId="01618555"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Lefevre</w:t>
      </w:r>
      <w:proofErr w:type="spellEnd"/>
      <w:r w:rsidRPr="00A472FC">
        <w:rPr>
          <w:rFonts w:ascii="Times New Roman" w:hAnsi="Times New Roman" w:cs="Times New Roman"/>
        </w:rPr>
        <w:t xml:space="preserve">, G. </w:t>
      </w:r>
      <w:r w:rsidRPr="00A472FC">
        <w:rPr>
          <w:rFonts w:ascii="Times New Roman" w:hAnsi="Times New Roman" w:cs="Times New Roman"/>
          <w:i/>
          <w:iCs/>
        </w:rPr>
        <w:t xml:space="preserve">Les variations de Guillaume de </w:t>
      </w:r>
      <w:proofErr w:type="spellStart"/>
      <w:r w:rsidRPr="00A472FC">
        <w:rPr>
          <w:rFonts w:ascii="Times New Roman" w:hAnsi="Times New Roman" w:cs="Times New Roman"/>
          <w:i/>
          <w:iCs/>
        </w:rPr>
        <w:t>Champeaux</w:t>
      </w:r>
      <w:proofErr w:type="spellEnd"/>
      <w:r w:rsidRPr="00A472FC">
        <w:rPr>
          <w:rFonts w:ascii="Times New Roman" w:hAnsi="Times New Roman" w:cs="Times New Roman"/>
          <w:i/>
          <w:iCs/>
        </w:rPr>
        <w:t xml:space="preserve"> et la question des </w:t>
      </w:r>
      <w:proofErr w:type="spellStart"/>
      <w:r w:rsidRPr="00A472FC">
        <w:rPr>
          <w:rFonts w:ascii="Times New Roman" w:hAnsi="Times New Roman" w:cs="Times New Roman"/>
          <w:i/>
          <w:iCs/>
        </w:rPr>
        <w:t>Universaux</w:t>
      </w:r>
      <w:proofErr w:type="spellEnd"/>
      <w:r w:rsidRPr="00A472FC">
        <w:rPr>
          <w:rFonts w:ascii="Times New Roman" w:hAnsi="Times New Roman" w:cs="Times New Roman"/>
          <w:i/>
          <w:iCs/>
        </w:rPr>
        <w:t xml:space="preserve">: Étude </w:t>
      </w:r>
      <w:proofErr w:type="spellStart"/>
      <w:r w:rsidRPr="00A472FC">
        <w:rPr>
          <w:rFonts w:ascii="Times New Roman" w:hAnsi="Times New Roman" w:cs="Times New Roman"/>
          <w:i/>
          <w:iCs/>
        </w:rPr>
        <w:t>suivie</w:t>
      </w:r>
      <w:proofErr w:type="spellEnd"/>
      <w:r w:rsidRPr="00A472FC">
        <w:rPr>
          <w:rFonts w:ascii="Times New Roman" w:hAnsi="Times New Roman" w:cs="Times New Roman"/>
          <w:i/>
          <w:iCs/>
        </w:rPr>
        <w:t xml:space="preserve"> de documents </w:t>
      </w:r>
      <w:proofErr w:type="spellStart"/>
      <w:r w:rsidRPr="00A472FC">
        <w:rPr>
          <w:rFonts w:ascii="Times New Roman" w:hAnsi="Times New Roman" w:cs="Times New Roman"/>
          <w:i/>
          <w:iCs/>
        </w:rPr>
        <w:t>originaux</w:t>
      </w:r>
      <w:proofErr w:type="spellEnd"/>
      <w:r w:rsidRPr="00A472FC">
        <w:rPr>
          <w:rFonts w:ascii="Times New Roman" w:hAnsi="Times New Roman" w:cs="Times New Roman"/>
          <w:i/>
          <w:iCs/>
        </w:rPr>
        <w:t>.</w:t>
      </w:r>
      <w:r w:rsidRPr="00A472FC">
        <w:rPr>
          <w:rFonts w:ascii="Times New Roman" w:hAnsi="Times New Roman" w:cs="Times New Roman"/>
        </w:rPr>
        <w:t xml:space="preserve"> Lille: Université de Lille, 1898.</w:t>
      </w:r>
    </w:p>
    <w:p w14:paraId="1544AE07"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Leff</w:t>
      </w:r>
      <w:proofErr w:type="spellEnd"/>
      <w:r w:rsidRPr="00A472FC">
        <w:rPr>
          <w:rFonts w:ascii="Times New Roman" w:hAnsi="Times New Roman" w:cs="Times New Roman"/>
        </w:rPr>
        <w:t xml:space="preserve">, Gordon. </w:t>
      </w:r>
      <w:r w:rsidRPr="00A472FC">
        <w:rPr>
          <w:rFonts w:ascii="Times New Roman" w:hAnsi="Times New Roman" w:cs="Times New Roman"/>
          <w:i/>
          <w:iCs/>
        </w:rPr>
        <w:t>Paris and Oxford Universities in the Thirteenth and Fourteenth Centuries: An Institutional and Intellectual History.</w:t>
      </w:r>
      <w:r w:rsidRPr="00A472FC">
        <w:rPr>
          <w:rFonts w:ascii="Times New Roman" w:hAnsi="Times New Roman" w:cs="Times New Roman"/>
        </w:rPr>
        <w:t xml:space="preserve"> London: Wiley, 1968.</w:t>
      </w:r>
    </w:p>
    <w:p w14:paraId="06D4F31A" w14:textId="0FB6787F"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Lerner, Robert E. ‘The Vocation of the Friars Preacher: Hugh of St Cher Between Peter the Chanter and Albert the Great.’ In </w:t>
      </w:r>
      <w:proofErr w:type="spellStart"/>
      <w:r w:rsidRPr="00A472FC">
        <w:rPr>
          <w:rFonts w:ascii="Times New Roman" w:hAnsi="Times New Roman" w:cs="Times New Roman"/>
          <w:i/>
          <w:iCs/>
        </w:rPr>
        <w:t>Hugues</w:t>
      </w:r>
      <w:proofErr w:type="spellEnd"/>
      <w:r w:rsidRPr="00A472FC">
        <w:rPr>
          <w:rFonts w:ascii="Times New Roman" w:hAnsi="Times New Roman" w:cs="Times New Roman"/>
          <w:i/>
          <w:iCs/>
        </w:rPr>
        <w:t xml:space="preserve"> de Saint-Cher (d. 1263)</w:t>
      </w:r>
      <w:r w:rsidR="00EB32C1" w:rsidRPr="00A472FC">
        <w:rPr>
          <w:rFonts w:ascii="Times New Roman" w:hAnsi="Times New Roman" w:cs="Times New Roman"/>
          <w:i/>
          <w:iCs/>
        </w:rPr>
        <w:t>:</w:t>
      </w:r>
      <w:r w:rsidRPr="00A472FC">
        <w:rPr>
          <w:rFonts w:ascii="Times New Roman" w:hAnsi="Times New Roman" w:cs="Times New Roman"/>
          <w:i/>
          <w:iCs/>
        </w:rPr>
        <w:t xml:space="preserve"> </w:t>
      </w:r>
      <w:proofErr w:type="spellStart"/>
      <w:r w:rsidRPr="00A472FC">
        <w:rPr>
          <w:rFonts w:ascii="Times New Roman" w:hAnsi="Times New Roman" w:cs="Times New Roman"/>
          <w:i/>
          <w:iCs/>
        </w:rPr>
        <w:t>bibliste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théologien</w:t>
      </w:r>
      <w:proofErr w:type="spellEnd"/>
      <w:r w:rsidRPr="00A472FC">
        <w:rPr>
          <w:rFonts w:ascii="Times New Roman" w:hAnsi="Times New Roman" w:cs="Times New Roman"/>
        </w:rPr>
        <w:t xml:space="preserve">. Edited by Louis J. </w:t>
      </w:r>
      <w:proofErr w:type="spellStart"/>
      <w:r w:rsidRPr="00A472FC">
        <w:rPr>
          <w:rFonts w:ascii="Times New Roman" w:hAnsi="Times New Roman" w:cs="Times New Roman"/>
        </w:rPr>
        <w:t>Bataillon</w:t>
      </w:r>
      <w:proofErr w:type="spellEnd"/>
      <w:r w:rsidRPr="00A472FC">
        <w:rPr>
          <w:rFonts w:ascii="Times New Roman" w:hAnsi="Times New Roman" w:cs="Times New Roman"/>
        </w:rPr>
        <w:t xml:space="preserve">, Gilbert </w:t>
      </w:r>
      <w:proofErr w:type="spellStart"/>
      <w:r w:rsidRPr="00A472FC">
        <w:rPr>
          <w:rFonts w:ascii="Times New Roman" w:hAnsi="Times New Roman" w:cs="Times New Roman"/>
        </w:rPr>
        <w:t>Dahan</w:t>
      </w:r>
      <w:proofErr w:type="spellEnd"/>
      <w:r w:rsidRPr="00A472FC">
        <w:rPr>
          <w:rFonts w:ascii="Times New Roman" w:hAnsi="Times New Roman" w:cs="Times New Roman"/>
        </w:rPr>
        <w:t xml:space="preserve"> and Pierre-Marie Gy, 215-31.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2004.</w:t>
      </w:r>
    </w:p>
    <w:p w14:paraId="327EE009"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Levine, Philip. ‘Two Early Latin Versions of St Gregory of </w:t>
      </w:r>
      <w:proofErr w:type="spellStart"/>
      <w:r w:rsidRPr="00A472FC">
        <w:rPr>
          <w:rFonts w:ascii="Times New Roman" w:hAnsi="Times New Roman" w:cs="Times New Roman"/>
        </w:rPr>
        <w:t>Nyssa’s</w:t>
      </w:r>
      <w:proofErr w:type="spellEnd"/>
      <w:r w:rsidRPr="00A472FC">
        <w:rPr>
          <w:rFonts w:ascii="Times New Roman" w:hAnsi="Times New Roman" w:cs="Times New Roman"/>
        </w:rPr>
        <w:t xml:space="preserve"> περὶ κατασκευης ἀνθρώπου.’ </w:t>
      </w:r>
      <w:r w:rsidRPr="00A472FC">
        <w:rPr>
          <w:rFonts w:ascii="Times New Roman" w:hAnsi="Times New Roman" w:cs="Times New Roman"/>
          <w:i/>
          <w:iCs/>
        </w:rPr>
        <w:t xml:space="preserve">Harvard Studies in Classical Philology </w:t>
      </w:r>
      <w:r w:rsidRPr="00A472FC">
        <w:rPr>
          <w:rFonts w:ascii="Times New Roman" w:hAnsi="Times New Roman" w:cs="Times New Roman"/>
        </w:rPr>
        <w:t>63 (1958): 473-92.</w:t>
      </w:r>
    </w:p>
    <w:p w14:paraId="33263F05" w14:textId="715B427C" w:rsidR="002C1A6A" w:rsidRPr="00A472FC" w:rsidRDefault="002C1A6A"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Lewis, Neil. ‘The Problem of the Unicity of Truth in the Early Oxford Franciscan School</w:t>
      </w:r>
      <w:r w:rsidR="00056A45" w:rsidRPr="00A472FC">
        <w:rPr>
          <w:rFonts w:ascii="Times New Roman" w:hAnsi="Times New Roman" w:cs="Times New Roman"/>
        </w:rPr>
        <w:t>.</w:t>
      </w:r>
      <w:r w:rsidRPr="00A472FC">
        <w:rPr>
          <w:rFonts w:ascii="Times New Roman" w:hAnsi="Times New Roman" w:cs="Times New Roman"/>
        </w:rPr>
        <w:t xml:space="preserve">’ </w:t>
      </w:r>
      <w:r w:rsidR="00056A45" w:rsidRPr="00A472FC">
        <w:rPr>
          <w:rFonts w:ascii="Times New Roman" w:hAnsi="Times New Roman" w:cs="Times New Roman"/>
        </w:rPr>
        <w:t>I</w:t>
      </w:r>
      <w:r w:rsidRPr="00A472FC">
        <w:rPr>
          <w:rFonts w:ascii="Times New Roman" w:hAnsi="Times New Roman" w:cs="Times New Roman"/>
        </w:rPr>
        <w:t xml:space="preserve">n </w:t>
      </w:r>
      <w:r w:rsidRPr="00A472FC">
        <w:rPr>
          <w:rFonts w:ascii="Times New Roman" w:hAnsi="Times New Roman" w:cs="Times New Roman"/>
          <w:i/>
          <w:iCs/>
        </w:rPr>
        <w:t>Early Thirteenth-Century English Franciscan Thought</w:t>
      </w:r>
      <w:r w:rsidR="00056A45" w:rsidRPr="00A472FC">
        <w:rPr>
          <w:rFonts w:ascii="Times New Roman" w:hAnsi="Times New Roman" w:cs="Times New Roman"/>
          <w:i/>
          <w:iCs/>
        </w:rPr>
        <w:t xml:space="preserve">. </w:t>
      </w:r>
      <w:r w:rsidR="00056A45" w:rsidRPr="00A472FC">
        <w:rPr>
          <w:rFonts w:ascii="Times New Roman" w:hAnsi="Times New Roman" w:cs="Times New Roman"/>
        </w:rPr>
        <w:t>Edited by</w:t>
      </w:r>
      <w:r w:rsidRPr="00A472FC">
        <w:rPr>
          <w:rFonts w:ascii="Times New Roman" w:hAnsi="Times New Roman" w:cs="Times New Roman"/>
        </w:rPr>
        <w:t xml:space="preserve"> Lydia Schumacher</w:t>
      </w:r>
      <w:r w:rsidR="00436C1E" w:rsidRPr="00A472FC">
        <w:rPr>
          <w:rFonts w:ascii="Times New Roman" w:hAnsi="Times New Roman" w:cs="Times New Roman"/>
        </w:rPr>
        <w:t xml:space="preserve">, 149-70. </w:t>
      </w:r>
      <w:r w:rsidRPr="00A472FC">
        <w:rPr>
          <w:rFonts w:ascii="Times New Roman" w:hAnsi="Times New Roman" w:cs="Times New Roman"/>
        </w:rPr>
        <w:t xml:space="preserve">Berlin: De Gruyter, 2021. </w:t>
      </w:r>
    </w:p>
    <w:p w14:paraId="0768E869" w14:textId="77777777" w:rsidR="002C0B62" w:rsidRPr="00A472FC" w:rsidRDefault="002C0B62" w:rsidP="00B42E71">
      <w:pPr>
        <w:autoSpaceDE w:val="0"/>
        <w:autoSpaceDN w:val="0"/>
        <w:adjustRightInd w:val="0"/>
        <w:ind w:right="-52"/>
        <w:rPr>
          <w:rFonts w:ascii="Times New Roman" w:hAnsi="Times New Roman" w:cs="Times New Roman"/>
        </w:rPr>
      </w:pPr>
    </w:p>
    <w:p w14:paraId="79413801" w14:textId="272667CD"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Little, A.G. ‘The Franciscan School at Oxford in the Thirteenth Century.’ </w:t>
      </w:r>
      <w:proofErr w:type="spellStart"/>
      <w:r w:rsidRPr="00A472FC">
        <w:rPr>
          <w:rFonts w:ascii="Times New Roman" w:hAnsi="Times New Roman" w:cs="Times New Roman"/>
          <w:i/>
          <w:iCs/>
        </w:rPr>
        <w:t>Archivum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Franciscanum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Historicum</w:t>
      </w:r>
      <w:proofErr w:type="spellEnd"/>
      <w:r w:rsidRPr="00A472FC">
        <w:rPr>
          <w:rFonts w:ascii="Times New Roman" w:hAnsi="Times New Roman" w:cs="Times New Roman"/>
          <w:i/>
          <w:iCs/>
        </w:rPr>
        <w:t xml:space="preserve"> </w:t>
      </w:r>
      <w:r w:rsidRPr="00A472FC">
        <w:rPr>
          <w:rFonts w:ascii="Times New Roman" w:hAnsi="Times New Roman" w:cs="Times New Roman"/>
        </w:rPr>
        <w:t>19 (1926): 803-74.</w:t>
      </w:r>
    </w:p>
    <w:p w14:paraId="0373C55D" w14:textId="3EA21958"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Lon</w:t>
      </w:r>
      <w:r w:rsidR="000F6DD5" w:rsidRPr="00A472FC">
        <w:rPr>
          <w:rFonts w:ascii="Times New Roman" w:hAnsi="Times New Roman" w:cs="Times New Roman"/>
        </w:rPr>
        <w:t>g</w:t>
      </w:r>
      <w:r w:rsidRPr="00A472FC">
        <w:rPr>
          <w:rFonts w:ascii="Times New Roman" w:hAnsi="Times New Roman" w:cs="Times New Roman"/>
        </w:rPr>
        <w:t>pré</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Ephrem</w:t>
      </w:r>
      <w:proofErr w:type="spellEnd"/>
      <w:r w:rsidRPr="00A472FC">
        <w:rPr>
          <w:rFonts w:ascii="Times New Roman" w:hAnsi="Times New Roman" w:cs="Times New Roman"/>
        </w:rPr>
        <w:t xml:space="preserve">. ‘Guillaume d’Auvergne et Alexandre de </w:t>
      </w:r>
      <w:proofErr w:type="spellStart"/>
      <w:r w:rsidRPr="00A472FC">
        <w:rPr>
          <w:rFonts w:ascii="Times New Roman" w:hAnsi="Times New Roman" w:cs="Times New Roman"/>
        </w:rPr>
        <w:t>Halès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iCs/>
        </w:rPr>
        <w:t>Archivum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Franciscanum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Historicum</w:t>
      </w:r>
      <w:proofErr w:type="spellEnd"/>
      <w:r w:rsidRPr="00A472FC">
        <w:rPr>
          <w:rFonts w:ascii="Times New Roman" w:hAnsi="Times New Roman" w:cs="Times New Roman"/>
          <w:i/>
          <w:iCs/>
        </w:rPr>
        <w:t xml:space="preserve"> </w:t>
      </w:r>
      <w:r w:rsidRPr="00A472FC">
        <w:rPr>
          <w:rFonts w:ascii="Times New Roman" w:hAnsi="Times New Roman" w:cs="Times New Roman"/>
        </w:rPr>
        <w:t>16 (1923): 426-29.</w:t>
      </w:r>
    </w:p>
    <w:p w14:paraId="0B672BCC" w14:textId="65AA8FCD"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Lottin, </w:t>
      </w:r>
      <w:proofErr w:type="spellStart"/>
      <w:r w:rsidRPr="00A472FC">
        <w:rPr>
          <w:rFonts w:ascii="Times New Roman" w:hAnsi="Times New Roman" w:cs="Times New Roman"/>
        </w:rPr>
        <w:t>Odon</w:t>
      </w:r>
      <w:proofErr w:type="spellEnd"/>
      <w:r w:rsidRPr="00A472FC">
        <w:rPr>
          <w:rFonts w:ascii="Times New Roman" w:hAnsi="Times New Roman" w:cs="Times New Roman"/>
        </w:rPr>
        <w:t xml:space="preserve">. ‘Les </w:t>
      </w:r>
      <w:proofErr w:type="spellStart"/>
      <w:r w:rsidRPr="00A472FC">
        <w:rPr>
          <w:rFonts w:ascii="Times New Roman" w:hAnsi="Times New Roman" w:cs="Times New Roman"/>
        </w:rPr>
        <w:t>traités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sur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l’</w:t>
      </w:r>
      <w:r w:rsidR="00D71B3E" w:rsidRPr="00A472FC">
        <w:rPr>
          <w:rFonts w:ascii="Times New Roman" w:hAnsi="Times New Roman" w:cs="Times New Roman"/>
        </w:rPr>
        <w:t>â</w:t>
      </w:r>
      <w:r w:rsidRPr="00A472FC">
        <w:rPr>
          <w:rFonts w:ascii="Times New Roman" w:hAnsi="Times New Roman" w:cs="Times New Roman"/>
        </w:rPr>
        <w:t>me</w:t>
      </w:r>
      <w:proofErr w:type="spellEnd"/>
      <w:r w:rsidRPr="00A472FC">
        <w:rPr>
          <w:rFonts w:ascii="Times New Roman" w:hAnsi="Times New Roman" w:cs="Times New Roman"/>
        </w:rPr>
        <w:t xml:space="preserve"> et les </w:t>
      </w:r>
      <w:proofErr w:type="spellStart"/>
      <w:r w:rsidRPr="00A472FC">
        <w:rPr>
          <w:rFonts w:ascii="Times New Roman" w:hAnsi="Times New Roman" w:cs="Times New Roman"/>
        </w:rPr>
        <w:t>vertus</w:t>
      </w:r>
      <w:proofErr w:type="spellEnd"/>
      <w:r w:rsidRPr="00A472FC">
        <w:rPr>
          <w:rFonts w:ascii="Times New Roman" w:hAnsi="Times New Roman" w:cs="Times New Roman"/>
        </w:rPr>
        <w:t xml:space="preserve"> de Jean de la Rochelle.’ </w:t>
      </w:r>
      <w:r w:rsidRPr="00A472FC">
        <w:rPr>
          <w:rFonts w:ascii="Times New Roman" w:hAnsi="Times New Roman" w:cs="Times New Roman"/>
          <w:i/>
          <w:iCs/>
        </w:rPr>
        <w:t xml:space="preserve">Revue </w:t>
      </w:r>
      <w:proofErr w:type="spellStart"/>
      <w:r w:rsidRPr="00A472FC">
        <w:rPr>
          <w:rFonts w:ascii="Times New Roman" w:hAnsi="Times New Roman" w:cs="Times New Roman"/>
          <w:i/>
          <w:iCs/>
        </w:rPr>
        <w:t>Philosophique</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Louvain</w:t>
      </w:r>
      <w:proofErr w:type="spellEnd"/>
      <w:r w:rsidRPr="00A472FC">
        <w:rPr>
          <w:rFonts w:ascii="Times New Roman" w:hAnsi="Times New Roman" w:cs="Times New Roman"/>
        </w:rPr>
        <w:t xml:space="preserve"> 25 (1930): 5-32.</w:t>
      </w:r>
    </w:p>
    <w:p w14:paraId="1007EEA1"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‘Alexandre de </w:t>
      </w:r>
      <w:proofErr w:type="spellStart"/>
      <w:r w:rsidRPr="00A472FC">
        <w:rPr>
          <w:rFonts w:ascii="Times New Roman" w:hAnsi="Times New Roman" w:cs="Times New Roman"/>
        </w:rPr>
        <w:t>Halés</w:t>
      </w:r>
      <w:proofErr w:type="spellEnd"/>
      <w:r w:rsidRPr="00A472FC">
        <w:rPr>
          <w:rFonts w:ascii="Times New Roman" w:hAnsi="Times New Roman" w:cs="Times New Roman"/>
        </w:rPr>
        <w:t xml:space="preserve"> et la </w:t>
      </w:r>
      <w:r w:rsidRPr="00A472FC">
        <w:rPr>
          <w:rFonts w:ascii="Times New Roman" w:hAnsi="Times New Roman" w:cs="Times New Roman"/>
          <w:i/>
        </w:rPr>
        <w:t>Summa de anima</w:t>
      </w:r>
      <w:r w:rsidRPr="00A472FC">
        <w:rPr>
          <w:rFonts w:ascii="Times New Roman" w:hAnsi="Times New Roman" w:cs="Times New Roman"/>
        </w:rPr>
        <w:t xml:space="preserve"> de Jean de la Rochelle.’ </w:t>
      </w:r>
      <w:proofErr w:type="spellStart"/>
      <w:r w:rsidRPr="00A472FC">
        <w:rPr>
          <w:rFonts w:ascii="Times New Roman" w:hAnsi="Times New Roman" w:cs="Times New Roman"/>
          <w:i/>
          <w:iCs/>
        </w:rPr>
        <w:t>Recherches</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théologie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ancienne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médiévale</w:t>
      </w:r>
      <w:proofErr w:type="spellEnd"/>
      <w:r w:rsidRPr="00A472FC">
        <w:rPr>
          <w:rFonts w:ascii="Times New Roman" w:hAnsi="Times New Roman" w:cs="Times New Roman"/>
          <w:i/>
          <w:iCs/>
        </w:rPr>
        <w:t xml:space="preserve"> </w:t>
      </w:r>
      <w:r w:rsidRPr="00A472FC">
        <w:rPr>
          <w:rFonts w:ascii="Times New Roman" w:hAnsi="Times New Roman" w:cs="Times New Roman"/>
        </w:rPr>
        <w:t>2 (1930): 396-409.</w:t>
      </w:r>
    </w:p>
    <w:p w14:paraId="1B5A4ED6"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‘La composition </w:t>
      </w:r>
      <w:proofErr w:type="spellStart"/>
      <w:r w:rsidRPr="00A472FC">
        <w:rPr>
          <w:rFonts w:ascii="Times New Roman" w:hAnsi="Times New Roman" w:cs="Times New Roman"/>
        </w:rPr>
        <w:t>hylémorphique</w:t>
      </w:r>
      <w:proofErr w:type="spellEnd"/>
      <w:r w:rsidRPr="00A472FC">
        <w:rPr>
          <w:rFonts w:ascii="Times New Roman" w:hAnsi="Times New Roman" w:cs="Times New Roman"/>
        </w:rPr>
        <w:t xml:space="preserve"> des substances </w:t>
      </w:r>
      <w:proofErr w:type="spellStart"/>
      <w:r w:rsidRPr="00A472FC">
        <w:rPr>
          <w:rFonts w:ascii="Times New Roman" w:hAnsi="Times New Roman" w:cs="Times New Roman"/>
        </w:rPr>
        <w:t>spirituelles</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Revue </w:t>
      </w:r>
      <w:proofErr w:type="spellStart"/>
      <w:r w:rsidRPr="00A472FC">
        <w:rPr>
          <w:rFonts w:ascii="Times New Roman" w:hAnsi="Times New Roman" w:cs="Times New Roman"/>
          <w:i/>
          <w:iCs/>
        </w:rPr>
        <w:t>néoscholastique</w:t>
      </w:r>
      <w:proofErr w:type="spellEnd"/>
      <w:r w:rsidRPr="00A472FC">
        <w:rPr>
          <w:rFonts w:ascii="Times New Roman" w:hAnsi="Times New Roman" w:cs="Times New Roman"/>
          <w:i/>
          <w:iCs/>
        </w:rPr>
        <w:t xml:space="preserve"> de philosophie </w:t>
      </w:r>
      <w:r w:rsidRPr="00A472FC">
        <w:rPr>
          <w:rFonts w:ascii="Times New Roman" w:hAnsi="Times New Roman" w:cs="Times New Roman"/>
        </w:rPr>
        <w:t>34 (1932): 21-41.</w:t>
      </w:r>
    </w:p>
    <w:p w14:paraId="728F31FE"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‘La </w:t>
      </w:r>
      <w:proofErr w:type="spellStart"/>
      <w:r w:rsidRPr="00A472FC">
        <w:rPr>
          <w:rFonts w:ascii="Times New Roman" w:hAnsi="Times New Roman" w:cs="Times New Roman"/>
        </w:rPr>
        <w:t>pluralité</w:t>
      </w:r>
      <w:proofErr w:type="spellEnd"/>
      <w:r w:rsidRPr="00A472FC">
        <w:rPr>
          <w:rFonts w:ascii="Times New Roman" w:hAnsi="Times New Roman" w:cs="Times New Roman"/>
        </w:rPr>
        <w:t xml:space="preserve"> des forms </w:t>
      </w:r>
      <w:proofErr w:type="spellStart"/>
      <w:r w:rsidRPr="00A472FC">
        <w:rPr>
          <w:rFonts w:ascii="Times New Roman" w:hAnsi="Times New Roman" w:cs="Times New Roman"/>
        </w:rPr>
        <w:t>substantielles</w:t>
      </w:r>
      <w:proofErr w:type="spellEnd"/>
      <w:r w:rsidRPr="00A472FC">
        <w:rPr>
          <w:rFonts w:ascii="Times New Roman" w:hAnsi="Times New Roman" w:cs="Times New Roman"/>
        </w:rPr>
        <w:t xml:space="preserve"> avant saint Thomas </w:t>
      </w:r>
      <w:proofErr w:type="spellStart"/>
      <w:r w:rsidRPr="00A472FC">
        <w:rPr>
          <w:rFonts w:ascii="Times New Roman" w:hAnsi="Times New Roman" w:cs="Times New Roman"/>
        </w:rPr>
        <w:t>d’Aquin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Quelques</w:t>
      </w:r>
      <w:proofErr w:type="spellEnd"/>
      <w:r w:rsidRPr="00A472FC">
        <w:rPr>
          <w:rFonts w:ascii="Times New Roman" w:hAnsi="Times New Roman" w:cs="Times New Roman"/>
        </w:rPr>
        <w:t xml:space="preserve"> documents nouveaux.’ </w:t>
      </w:r>
      <w:r w:rsidRPr="00A472FC">
        <w:rPr>
          <w:rFonts w:ascii="Times New Roman" w:hAnsi="Times New Roman" w:cs="Times New Roman"/>
          <w:i/>
          <w:iCs/>
        </w:rPr>
        <w:t xml:space="preserve">Revue </w:t>
      </w:r>
      <w:proofErr w:type="spellStart"/>
      <w:r w:rsidRPr="00A472FC">
        <w:rPr>
          <w:rFonts w:ascii="Times New Roman" w:hAnsi="Times New Roman" w:cs="Times New Roman"/>
          <w:i/>
          <w:iCs/>
        </w:rPr>
        <w:t>néo-scolastique</w:t>
      </w:r>
      <w:proofErr w:type="spellEnd"/>
      <w:r w:rsidRPr="00A472FC">
        <w:rPr>
          <w:rFonts w:ascii="Times New Roman" w:hAnsi="Times New Roman" w:cs="Times New Roman"/>
          <w:i/>
          <w:iCs/>
        </w:rPr>
        <w:t xml:space="preserve"> de philosophie </w:t>
      </w:r>
      <w:r w:rsidRPr="00A472FC">
        <w:rPr>
          <w:rFonts w:ascii="Times New Roman" w:hAnsi="Times New Roman" w:cs="Times New Roman"/>
        </w:rPr>
        <w:t>34 (1932): 449-67.</w:t>
      </w:r>
    </w:p>
    <w:p w14:paraId="7A7DDDB3" w14:textId="184E5B12"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w:t>
      </w:r>
      <w:proofErr w:type="spellStart"/>
      <w:r w:rsidRPr="00A472FC">
        <w:rPr>
          <w:rFonts w:ascii="Times New Roman" w:hAnsi="Times New Roman" w:cs="Times New Roman"/>
        </w:rPr>
        <w:t>L’identité</w:t>
      </w:r>
      <w:proofErr w:type="spellEnd"/>
      <w:r w:rsidRPr="00A472FC">
        <w:rPr>
          <w:rFonts w:ascii="Times New Roman" w:hAnsi="Times New Roman" w:cs="Times New Roman"/>
        </w:rPr>
        <w:t xml:space="preserve"> de </w:t>
      </w:r>
      <w:proofErr w:type="spellStart"/>
      <w:r w:rsidRPr="00A472FC">
        <w:rPr>
          <w:rFonts w:ascii="Times New Roman" w:hAnsi="Times New Roman" w:cs="Times New Roman"/>
        </w:rPr>
        <w:t>l’</w:t>
      </w:r>
      <w:r w:rsidR="00D71B3E" w:rsidRPr="00A472FC">
        <w:rPr>
          <w:rFonts w:ascii="Times New Roman" w:hAnsi="Times New Roman" w:cs="Times New Roman"/>
        </w:rPr>
        <w:t>â</w:t>
      </w:r>
      <w:r w:rsidRPr="00A472FC">
        <w:rPr>
          <w:rFonts w:ascii="Times New Roman" w:hAnsi="Times New Roman" w:cs="Times New Roman"/>
        </w:rPr>
        <w:t>me</w:t>
      </w:r>
      <w:proofErr w:type="spellEnd"/>
      <w:r w:rsidRPr="00A472FC">
        <w:rPr>
          <w:rFonts w:ascii="Times New Roman" w:hAnsi="Times New Roman" w:cs="Times New Roman"/>
        </w:rPr>
        <w:t xml:space="preserve"> et de </w:t>
      </w:r>
      <w:proofErr w:type="spellStart"/>
      <w:r w:rsidRPr="00A472FC">
        <w:rPr>
          <w:rFonts w:ascii="Times New Roman" w:hAnsi="Times New Roman" w:cs="Times New Roman"/>
        </w:rPr>
        <w:t>ses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facultés</w:t>
      </w:r>
      <w:proofErr w:type="spellEnd"/>
      <w:r w:rsidRPr="00A472FC">
        <w:rPr>
          <w:rFonts w:ascii="Times New Roman" w:hAnsi="Times New Roman" w:cs="Times New Roman"/>
        </w:rPr>
        <w:t xml:space="preserve"> pendent la première </w:t>
      </w:r>
      <w:proofErr w:type="spellStart"/>
      <w:r w:rsidRPr="00A472FC">
        <w:rPr>
          <w:rFonts w:ascii="Times New Roman" w:hAnsi="Times New Roman" w:cs="Times New Roman"/>
        </w:rPr>
        <w:t>moitié</w:t>
      </w:r>
      <w:proofErr w:type="spellEnd"/>
      <w:r w:rsidRPr="00A472FC">
        <w:rPr>
          <w:rFonts w:ascii="Times New Roman" w:hAnsi="Times New Roman" w:cs="Times New Roman"/>
        </w:rPr>
        <w:t xml:space="preserve"> du </w:t>
      </w:r>
      <w:proofErr w:type="spellStart"/>
      <w:r w:rsidRPr="00A472FC">
        <w:rPr>
          <w:rFonts w:ascii="Times New Roman" w:hAnsi="Times New Roman" w:cs="Times New Roman"/>
        </w:rPr>
        <w:t>Xiiie</w:t>
      </w:r>
      <w:proofErr w:type="spellEnd"/>
      <w:r w:rsidRPr="00A472FC">
        <w:rPr>
          <w:rFonts w:ascii="Times New Roman" w:hAnsi="Times New Roman" w:cs="Times New Roman"/>
        </w:rPr>
        <w:t xml:space="preserve"> siècle.’ </w:t>
      </w:r>
      <w:r w:rsidRPr="00A472FC">
        <w:rPr>
          <w:rFonts w:ascii="Times New Roman" w:hAnsi="Times New Roman" w:cs="Times New Roman"/>
          <w:i/>
          <w:iCs/>
        </w:rPr>
        <w:t xml:space="preserve">Revue </w:t>
      </w:r>
      <w:proofErr w:type="spellStart"/>
      <w:r w:rsidRPr="00A472FC">
        <w:rPr>
          <w:rFonts w:ascii="Times New Roman" w:hAnsi="Times New Roman" w:cs="Times New Roman"/>
          <w:i/>
          <w:iCs/>
        </w:rPr>
        <w:t>néoscolastique</w:t>
      </w:r>
      <w:proofErr w:type="spellEnd"/>
      <w:r w:rsidRPr="00A472FC">
        <w:rPr>
          <w:rFonts w:ascii="Times New Roman" w:hAnsi="Times New Roman" w:cs="Times New Roman"/>
          <w:i/>
          <w:iCs/>
        </w:rPr>
        <w:t xml:space="preserve"> de philosophie </w:t>
      </w:r>
      <w:r w:rsidRPr="00A472FC">
        <w:rPr>
          <w:rFonts w:ascii="Times New Roman" w:hAnsi="Times New Roman" w:cs="Times New Roman"/>
        </w:rPr>
        <w:t>41 (1934): 191-201.</w:t>
      </w:r>
    </w:p>
    <w:p w14:paraId="49AF02C1"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‘Roland de </w:t>
      </w:r>
      <w:proofErr w:type="spellStart"/>
      <w:r w:rsidRPr="00A472FC">
        <w:rPr>
          <w:rFonts w:ascii="Times New Roman" w:hAnsi="Times New Roman" w:cs="Times New Roman"/>
        </w:rPr>
        <w:t>Crémone</w:t>
      </w:r>
      <w:proofErr w:type="spellEnd"/>
      <w:r w:rsidRPr="00A472FC">
        <w:rPr>
          <w:rFonts w:ascii="Times New Roman" w:hAnsi="Times New Roman" w:cs="Times New Roman"/>
        </w:rPr>
        <w:t xml:space="preserve"> et </w:t>
      </w:r>
      <w:proofErr w:type="spellStart"/>
      <w:r w:rsidRPr="00A472FC">
        <w:rPr>
          <w:rFonts w:ascii="Times New Roman" w:hAnsi="Times New Roman" w:cs="Times New Roman"/>
        </w:rPr>
        <w:t>Hugues</w:t>
      </w:r>
      <w:proofErr w:type="spellEnd"/>
      <w:r w:rsidRPr="00A472FC">
        <w:rPr>
          <w:rFonts w:ascii="Times New Roman" w:hAnsi="Times New Roman" w:cs="Times New Roman"/>
        </w:rPr>
        <w:t xml:space="preserve"> de Saint-Cher.’ </w:t>
      </w:r>
      <w:proofErr w:type="spellStart"/>
      <w:r w:rsidRPr="00A472FC">
        <w:rPr>
          <w:rFonts w:ascii="Times New Roman" w:hAnsi="Times New Roman" w:cs="Times New Roman"/>
          <w:i/>
          <w:iCs/>
        </w:rPr>
        <w:t>Recherches</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théologie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ancienne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médiéevale</w:t>
      </w:r>
      <w:proofErr w:type="spellEnd"/>
      <w:r w:rsidRPr="00A472FC">
        <w:rPr>
          <w:rFonts w:ascii="Times New Roman" w:hAnsi="Times New Roman" w:cs="Times New Roman"/>
          <w:i/>
          <w:iCs/>
        </w:rPr>
        <w:t xml:space="preserve"> </w:t>
      </w:r>
      <w:r w:rsidRPr="00A472FC">
        <w:rPr>
          <w:rFonts w:ascii="Times New Roman" w:hAnsi="Times New Roman" w:cs="Times New Roman"/>
        </w:rPr>
        <w:t>12 (1940): 136-43.</w:t>
      </w:r>
    </w:p>
    <w:p w14:paraId="5A098126"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iCs/>
        </w:rPr>
        <w:t>Psychologie</w:t>
      </w:r>
      <w:proofErr w:type="spellEnd"/>
      <w:r w:rsidRPr="00A472FC">
        <w:rPr>
          <w:rFonts w:ascii="Times New Roman" w:hAnsi="Times New Roman" w:cs="Times New Roman"/>
          <w:i/>
          <w:iCs/>
        </w:rPr>
        <w:t xml:space="preserve"> et morale aux XIIe et XIIIe </w:t>
      </w:r>
      <w:proofErr w:type="spellStart"/>
      <w:r w:rsidRPr="00A472FC">
        <w:rPr>
          <w:rFonts w:ascii="Times New Roman" w:hAnsi="Times New Roman" w:cs="Times New Roman"/>
          <w:i/>
          <w:iCs/>
        </w:rPr>
        <w:t>siècles</w:t>
      </w:r>
      <w:proofErr w:type="spellEnd"/>
      <w:r w:rsidRPr="00A472FC">
        <w:rPr>
          <w:rFonts w:ascii="Times New Roman" w:hAnsi="Times New Roman" w:cs="Times New Roman"/>
        </w:rPr>
        <w:t xml:space="preserve">, 6 vols. </w:t>
      </w:r>
      <w:proofErr w:type="spellStart"/>
      <w:r w:rsidRPr="00A472FC">
        <w:rPr>
          <w:rFonts w:ascii="Times New Roman" w:hAnsi="Times New Roman" w:cs="Times New Roman"/>
        </w:rPr>
        <w:t>Gembloux</w:t>
      </w:r>
      <w:proofErr w:type="spellEnd"/>
      <w:r w:rsidRPr="00A472FC">
        <w:rPr>
          <w:rFonts w:ascii="Times New Roman" w:hAnsi="Times New Roman" w:cs="Times New Roman"/>
        </w:rPr>
        <w:t xml:space="preserve">: J. </w:t>
      </w:r>
      <w:proofErr w:type="spellStart"/>
      <w:r w:rsidRPr="00A472FC">
        <w:rPr>
          <w:rFonts w:ascii="Times New Roman" w:hAnsi="Times New Roman" w:cs="Times New Roman"/>
        </w:rPr>
        <w:t>Duculot</w:t>
      </w:r>
      <w:proofErr w:type="spellEnd"/>
      <w:r w:rsidRPr="00A472FC">
        <w:rPr>
          <w:rFonts w:ascii="Times New Roman" w:hAnsi="Times New Roman" w:cs="Times New Roman"/>
        </w:rPr>
        <w:t>, 1948-60.</w:t>
      </w:r>
    </w:p>
    <w:p w14:paraId="62E4BB37" w14:textId="65D96F2E" w:rsidR="00990B7A" w:rsidRPr="00A472FC" w:rsidRDefault="00990B7A" w:rsidP="00B173E1">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t>Luscombe</w:t>
      </w:r>
      <w:proofErr w:type="spellEnd"/>
      <w:r w:rsidRPr="00A472FC">
        <w:rPr>
          <w:rFonts w:ascii="Times New Roman" w:hAnsi="Times New Roman" w:cs="Times New Roman"/>
        </w:rPr>
        <w:t>, David</w:t>
      </w:r>
      <w:r w:rsidR="00DA39CE" w:rsidRPr="00A472FC">
        <w:rPr>
          <w:rFonts w:ascii="Times New Roman" w:hAnsi="Times New Roman" w:cs="Times New Roman"/>
        </w:rPr>
        <w:t>.</w:t>
      </w:r>
      <w:r w:rsidRPr="00A472FC">
        <w:rPr>
          <w:rFonts w:ascii="Times New Roman" w:hAnsi="Times New Roman" w:cs="Times New Roman"/>
        </w:rPr>
        <w:t xml:space="preserve"> ‘Ethics in the Early Thirteenth Century.’ In </w:t>
      </w:r>
      <w:proofErr w:type="spellStart"/>
      <w:r w:rsidRPr="00A472FC">
        <w:rPr>
          <w:rFonts w:ascii="Times New Roman" w:hAnsi="Times New Roman" w:cs="Times New Roman"/>
          <w:i/>
          <w:iCs/>
        </w:rPr>
        <w:t>Albertus</w:t>
      </w:r>
      <w:proofErr w:type="spellEnd"/>
      <w:r w:rsidRPr="00A472FC">
        <w:rPr>
          <w:rFonts w:ascii="Times New Roman" w:hAnsi="Times New Roman" w:cs="Times New Roman"/>
          <w:i/>
          <w:iCs/>
        </w:rPr>
        <w:t xml:space="preserve"> Magnus und die </w:t>
      </w:r>
      <w:proofErr w:type="spellStart"/>
      <w:r w:rsidRPr="00A472FC">
        <w:rPr>
          <w:rFonts w:ascii="Times New Roman" w:hAnsi="Times New Roman" w:cs="Times New Roman"/>
          <w:i/>
          <w:iCs/>
        </w:rPr>
        <w:t>Anfänge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der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Aristoteles-Rezeption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im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lateinischen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Mittelalter</w:t>
      </w:r>
      <w:proofErr w:type="spellEnd"/>
      <w:r w:rsidRPr="00A472FC">
        <w:rPr>
          <w:rFonts w:ascii="Times New Roman" w:hAnsi="Times New Roman" w:cs="Times New Roman"/>
        </w:rPr>
        <w:t xml:space="preserve">. Edited by </w:t>
      </w:r>
      <w:proofErr w:type="spellStart"/>
      <w:r w:rsidRPr="00A472FC">
        <w:rPr>
          <w:rFonts w:ascii="Times New Roman" w:hAnsi="Times New Roman" w:cs="Times New Roman"/>
        </w:rPr>
        <w:t>Ludger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Honnefelder</w:t>
      </w:r>
      <w:proofErr w:type="spellEnd"/>
      <w:r w:rsidR="00776729" w:rsidRPr="00A472FC">
        <w:rPr>
          <w:rFonts w:ascii="Times New Roman" w:hAnsi="Times New Roman" w:cs="Times New Roman"/>
        </w:rPr>
        <w:t xml:space="preserve">, 657-84. </w:t>
      </w:r>
      <w:r w:rsidRPr="00A472FC">
        <w:rPr>
          <w:rFonts w:ascii="Times New Roman" w:hAnsi="Times New Roman" w:cs="Times New Roman"/>
        </w:rPr>
        <w:t xml:space="preserve">Munster: </w:t>
      </w:r>
      <w:proofErr w:type="spellStart"/>
      <w:r w:rsidRPr="00A472FC">
        <w:rPr>
          <w:rFonts w:ascii="Times New Roman" w:hAnsi="Times New Roman" w:cs="Times New Roman"/>
        </w:rPr>
        <w:t>Aschendorff</w:t>
      </w:r>
      <w:proofErr w:type="spellEnd"/>
      <w:r w:rsidRPr="00A472FC">
        <w:rPr>
          <w:rFonts w:ascii="Times New Roman" w:hAnsi="Times New Roman" w:cs="Times New Roman"/>
        </w:rPr>
        <w:t>, 2005</w:t>
      </w:r>
      <w:r w:rsidR="00776729" w:rsidRPr="00A472FC">
        <w:rPr>
          <w:rFonts w:ascii="Times New Roman" w:hAnsi="Times New Roman" w:cs="Times New Roman"/>
        </w:rPr>
        <w:t>.</w:t>
      </w:r>
    </w:p>
    <w:p w14:paraId="39AC833E" w14:textId="70616175" w:rsidR="006A6E61" w:rsidRPr="00A472FC" w:rsidRDefault="006A6E61" w:rsidP="00B173E1">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t>Marenbon</w:t>
      </w:r>
      <w:proofErr w:type="spellEnd"/>
      <w:r w:rsidRPr="00A472FC">
        <w:rPr>
          <w:rFonts w:ascii="Times New Roman" w:hAnsi="Times New Roman" w:cs="Times New Roman"/>
        </w:rPr>
        <w:t xml:space="preserve">, John. </w:t>
      </w:r>
      <w:r w:rsidRPr="00A472FC">
        <w:rPr>
          <w:rFonts w:ascii="Times New Roman" w:hAnsi="Times New Roman" w:cs="Times New Roman"/>
          <w:i/>
          <w:iCs/>
        </w:rPr>
        <w:t>The Philosophy of Peter Abelard.</w:t>
      </w:r>
      <w:r w:rsidRPr="00A472FC">
        <w:rPr>
          <w:rFonts w:ascii="Times New Roman" w:hAnsi="Times New Roman" w:cs="Times New Roman"/>
        </w:rPr>
        <w:t xml:space="preserve"> Cambridge: Cambridge University Press, 1997.</w:t>
      </w:r>
    </w:p>
    <w:p w14:paraId="2C0228AB" w14:textId="033D57E8" w:rsidR="00B173E1" w:rsidRPr="00A472FC" w:rsidRDefault="00B173E1" w:rsidP="00B173E1">
      <w:pPr>
        <w:autoSpaceDE w:val="0"/>
        <w:autoSpaceDN w:val="0"/>
        <w:adjustRightInd w:val="0"/>
        <w:ind w:left="709" w:right="-720" w:hanging="709"/>
        <w:rPr>
          <w:rFonts w:ascii="Times New Roman" w:hAnsi="Times New Roman" w:cs="Times New Roman"/>
        </w:rPr>
      </w:pPr>
      <w:r w:rsidRPr="00A472FC">
        <w:rPr>
          <w:rFonts w:ascii="Times New Roman" w:hAnsi="Times New Roman" w:cs="Times New Roman"/>
        </w:rPr>
        <w:t xml:space="preserve">———. ‘William of </w:t>
      </w:r>
      <w:proofErr w:type="spellStart"/>
      <w:r w:rsidRPr="00A472FC">
        <w:rPr>
          <w:rFonts w:ascii="Times New Roman" w:hAnsi="Times New Roman" w:cs="Times New Roman"/>
        </w:rPr>
        <w:t>Champeaux</w:t>
      </w:r>
      <w:proofErr w:type="spellEnd"/>
      <w:r w:rsidRPr="00A472FC">
        <w:rPr>
          <w:rFonts w:ascii="Times New Roman" w:hAnsi="Times New Roman" w:cs="Times New Roman"/>
        </w:rPr>
        <w:t xml:space="preserve">.’ In </w:t>
      </w:r>
      <w:r w:rsidRPr="00A472FC">
        <w:rPr>
          <w:rFonts w:ascii="Times New Roman" w:hAnsi="Times New Roman" w:cs="Times New Roman"/>
          <w:i/>
          <w:iCs/>
        </w:rPr>
        <w:t xml:space="preserve">A Companion to Philosophy in the Middle Ages. </w:t>
      </w:r>
      <w:r w:rsidRPr="00A472FC">
        <w:rPr>
          <w:rFonts w:ascii="Times New Roman" w:hAnsi="Times New Roman" w:cs="Times New Roman"/>
        </w:rPr>
        <w:t xml:space="preserve">Edited by Jorge J.E. </w:t>
      </w:r>
      <w:proofErr w:type="spellStart"/>
      <w:r w:rsidRPr="00A472FC">
        <w:rPr>
          <w:rFonts w:ascii="Times New Roman" w:hAnsi="Times New Roman" w:cs="Times New Roman"/>
        </w:rPr>
        <w:t>Gracia</w:t>
      </w:r>
      <w:proofErr w:type="spellEnd"/>
      <w:r w:rsidRPr="00A472FC">
        <w:rPr>
          <w:rFonts w:ascii="Times New Roman" w:hAnsi="Times New Roman" w:cs="Times New Roman"/>
        </w:rPr>
        <w:t xml:space="preserve"> and Timothy B. </w:t>
      </w:r>
      <w:proofErr w:type="spellStart"/>
      <w:r w:rsidRPr="00A472FC">
        <w:rPr>
          <w:rFonts w:ascii="Times New Roman" w:hAnsi="Times New Roman" w:cs="Times New Roman"/>
        </w:rPr>
        <w:t>Noone</w:t>
      </w:r>
      <w:proofErr w:type="spellEnd"/>
      <w:r w:rsidRPr="00A472FC">
        <w:rPr>
          <w:rFonts w:ascii="Times New Roman" w:hAnsi="Times New Roman" w:cs="Times New Roman"/>
        </w:rPr>
        <w:t>, 690-1. Oxford: Blackwell, 2003.</w:t>
      </w:r>
    </w:p>
    <w:p w14:paraId="0C4E0B3E" w14:textId="565B1489" w:rsidR="00B173E1" w:rsidRPr="00A472FC" w:rsidRDefault="00B173E1" w:rsidP="00B173E1">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‘Life, </w:t>
      </w:r>
      <w:r w:rsidR="00DA39CE" w:rsidRPr="00A472FC">
        <w:rPr>
          <w:rFonts w:ascii="Times New Roman" w:hAnsi="Times New Roman" w:cs="Times New Roman"/>
        </w:rPr>
        <w:t>M</w:t>
      </w:r>
      <w:r w:rsidRPr="00A472FC">
        <w:rPr>
          <w:rFonts w:ascii="Times New Roman" w:hAnsi="Times New Roman" w:cs="Times New Roman"/>
        </w:rPr>
        <w:t xml:space="preserve">ilieu and </w:t>
      </w:r>
      <w:r w:rsidR="00DA39CE" w:rsidRPr="00A472FC">
        <w:rPr>
          <w:rFonts w:ascii="Times New Roman" w:hAnsi="Times New Roman" w:cs="Times New Roman"/>
        </w:rPr>
        <w:t>C</w:t>
      </w:r>
      <w:r w:rsidRPr="00A472FC">
        <w:rPr>
          <w:rFonts w:ascii="Times New Roman" w:hAnsi="Times New Roman" w:cs="Times New Roman"/>
        </w:rPr>
        <w:t xml:space="preserve">ultural </w:t>
      </w:r>
      <w:r w:rsidR="00DA39CE" w:rsidRPr="00A472FC">
        <w:rPr>
          <w:rFonts w:ascii="Times New Roman" w:hAnsi="Times New Roman" w:cs="Times New Roman"/>
        </w:rPr>
        <w:t>C</w:t>
      </w:r>
      <w:r w:rsidRPr="00A472FC">
        <w:rPr>
          <w:rFonts w:ascii="Times New Roman" w:hAnsi="Times New Roman" w:cs="Times New Roman"/>
        </w:rPr>
        <w:t xml:space="preserve">ontexts.’ In </w:t>
      </w:r>
      <w:r w:rsidRPr="00A472FC">
        <w:rPr>
          <w:rFonts w:ascii="Times New Roman" w:hAnsi="Times New Roman" w:cs="Times New Roman"/>
          <w:i/>
          <w:iCs/>
        </w:rPr>
        <w:t xml:space="preserve">The Cambridge Companion to Abelard. </w:t>
      </w:r>
      <w:r w:rsidRPr="00A472FC">
        <w:rPr>
          <w:rFonts w:ascii="Times New Roman" w:hAnsi="Times New Roman" w:cs="Times New Roman"/>
        </w:rPr>
        <w:t xml:space="preserve">Edited by Jeffrey E. </w:t>
      </w:r>
      <w:proofErr w:type="spellStart"/>
      <w:r w:rsidRPr="00A472FC">
        <w:rPr>
          <w:rFonts w:ascii="Times New Roman" w:hAnsi="Times New Roman" w:cs="Times New Roman"/>
        </w:rPr>
        <w:t>Brower</w:t>
      </w:r>
      <w:proofErr w:type="spellEnd"/>
      <w:r w:rsidRPr="00A472FC">
        <w:rPr>
          <w:rFonts w:ascii="Times New Roman" w:hAnsi="Times New Roman" w:cs="Times New Roman"/>
        </w:rPr>
        <w:t xml:space="preserve"> and Kevin </w:t>
      </w:r>
      <w:proofErr w:type="spellStart"/>
      <w:r w:rsidRPr="00A472FC">
        <w:rPr>
          <w:rFonts w:ascii="Times New Roman" w:hAnsi="Times New Roman" w:cs="Times New Roman"/>
        </w:rPr>
        <w:t>Gulfoy</w:t>
      </w:r>
      <w:proofErr w:type="spellEnd"/>
      <w:r w:rsidRPr="00A472FC">
        <w:rPr>
          <w:rFonts w:ascii="Times New Roman" w:hAnsi="Times New Roman" w:cs="Times New Roman"/>
        </w:rPr>
        <w:t>, 13-44. Cambridge: Cambridge University Press, 2004.</w:t>
      </w:r>
    </w:p>
    <w:p w14:paraId="2A33C5B4" w14:textId="43862534" w:rsidR="006A6E61" w:rsidRPr="00A472FC" w:rsidRDefault="006A6E61" w:rsidP="00B173E1">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Markus, R.A. ‘Augustine—Man: Body and Soul.’ In </w:t>
      </w:r>
      <w:r w:rsidRPr="00A472FC">
        <w:rPr>
          <w:rFonts w:ascii="Times New Roman" w:hAnsi="Times New Roman" w:cs="Times New Roman"/>
          <w:i/>
          <w:iCs/>
        </w:rPr>
        <w:t>The Cambridge History of Later Greek and Early Medieval Philosophy</w:t>
      </w:r>
      <w:r w:rsidRPr="00A472FC">
        <w:rPr>
          <w:rFonts w:ascii="Times New Roman" w:hAnsi="Times New Roman" w:cs="Times New Roman"/>
        </w:rPr>
        <w:t>. Edited by A.H. Armstrong, 354-61. Cambridge: Cambridge University Press, 1967.</w:t>
      </w:r>
    </w:p>
    <w:p w14:paraId="1F345E9D"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Marrone</w:t>
      </w:r>
      <w:proofErr w:type="spellEnd"/>
      <w:r w:rsidRPr="00A472FC">
        <w:rPr>
          <w:rFonts w:ascii="Times New Roman" w:hAnsi="Times New Roman" w:cs="Times New Roman"/>
        </w:rPr>
        <w:t xml:space="preserve">, Stephen P. </w:t>
      </w:r>
      <w:r w:rsidRPr="00A472FC">
        <w:rPr>
          <w:rFonts w:ascii="Times New Roman" w:hAnsi="Times New Roman" w:cs="Times New Roman"/>
          <w:i/>
          <w:iCs/>
        </w:rPr>
        <w:t xml:space="preserve">William of Auvergne and Robert </w:t>
      </w:r>
      <w:proofErr w:type="spellStart"/>
      <w:r w:rsidRPr="00A472FC">
        <w:rPr>
          <w:rFonts w:ascii="Times New Roman" w:hAnsi="Times New Roman" w:cs="Times New Roman"/>
          <w:i/>
          <w:iCs/>
        </w:rPr>
        <w:t>Grosseteste</w:t>
      </w:r>
      <w:proofErr w:type="spellEnd"/>
      <w:r w:rsidRPr="00A472FC">
        <w:rPr>
          <w:rFonts w:ascii="Times New Roman" w:hAnsi="Times New Roman" w:cs="Times New Roman"/>
          <w:i/>
          <w:iCs/>
        </w:rPr>
        <w:t>: New Ideas of Truth in the Thirteenth Century.</w:t>
      </w:r>
      <w:r w:rsidRPr="00A472FC">
        <w:rPr>
          <w:rFonts w:ascii="Times New Roman" w:hAnsi="Times New Roman" w:cs="Times New Roman"/>
        </w:rPr>
        <w:t xml:space="preserve"> Princeton: Princeton University Press, 1983.</w:t>
      </w:r>
    </w:p>
    <w:p w14:paraId="371E66CE"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lastRenderedPageBreak/>
        <w:t>McGinn</w:t>
      </w:r>
      <w:proofErr w:type="spellEnd"/>
      <w:r w:rsidRPr="00A472FC">
        <w:rPr>
          <w:rFonts w:ascii="Times New Roman" w:hAnsi="Times New Roman" w:cs="Times New Roman"/>
        </w:rPr>
        <w:t xml:space="preserve">, Bernard. </w:t>
      </w:r>
      <w:r w:rsidRPr="00A472FC">
        <w:rPr>
          <w:rFonts w:ascii="Times New Roman" w:hAnsi="Times New Roman" w:cs="Times New Roman"/>
          <w:i/>
          <w:iCs/>
        </w:rPr>
        <w:t>The Golden Chain: A Study in the Theological Anthropology of Isaac of Stella.</w:t>
      </w:r>
      <w:r w:rsidRPr="00A472FC">
        <w:rPr>
          <w:rFonts w:ascii="Times New Roman" w:hAnsi="Times New Roman" w:cs="Times New Roman"/>
        </w:rPr>
        <w:t xml:space="preserve"> Washington: Cistercian Publications, 1972.</w:t>
      </w:r>
    </w:p>
    <w:p w14:paraId="20B84CBE" w14:textId="77777777" w:rsidR="006A5C51" w:rsidRPr="00A472FC" w:rsidRDefault="006A6E61" w:rsidP="006A5C51">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‘Introduction.’ In </w:t>
      </w:r>
      <w:r w:rsidRPr="00A472FC">
        <w:rPr>
          <w:rFonts w:ascii="Times New Roman" w:hAnsi="Times New Roman" w:cs="Times New Roman"/>
          <w:i/>
          <w:iCs/>
        </w:rPr>
        <w:t>Three Treatises on Man: A Cistercian Anthropology</w:t>
      </w:r>
      <w:r w:rsidRPr="00A472FC">
        <w:rPr>
          <w:rFonts w:ascii="Times New Roman" w:hAnsi="Times New Roman" w:cs="Times New Roman"/>
        </w:rPr>
        <w:t>, 1-100. Kalamazoo: Cistercian Publications, 1977.</w:t>
      </w:r>
    </w:p>
    <w:p w14:paraId="6E9504E8" w14:textId="2685A436" w:rsidR="006A5C51" w:rsidRPr="00A472FC" w:rsidRDefault="006A5C51" w:rsidP="006A5C51">
      <w:pPr>
        <w:autoSpaceDE w:val="0"/>
        <w:autoSpaceDN w:val="0"/>
        <w:adjustRightInd w:val="0"/>
        <w:ind w:left="720" w:right="-52" w:hanging="720"/>
        <w:rPr>
          <w:rFonts w:ascii="Times New Roman" w:hAnsi="Times New Roman" w:cs="Times New Roman"/>
        </w:rPr>
      </w:pPr>
      <w:r w:rsidRPr="00A472FC">
        <w:rPr>
          <w:rFonts w:ascii="Times New Roman" w:eastAsiaTheme="minorEastAsia" w:hAnsi="Times New Roman" w:cs="Times New Roman"/>
          <w:color w:val="000000"/>
          <w:lang w:eastAsia="en-GB"/>
        </w:rPr>
        <w:t>McGinnis, Jon. ‘</w:t>
      </w:r>
      <w:proofErr w:type="spellStart"/>
      <w:r w:rsidRPr="00A472FC">
        <w:rPr>
          <w:rFonts w:ascii="Times New Roman" w:eastAsiaTheme="minorEastAsia" w:hAnsi="Times New Roman" w:cs="Times New Roman"/>
          <w:color w:val="000000"/>
          <w:lang w:eastAsia="en-GB"/>
        </w:rPr>
        <w:t>Avicennian</w:t>
      </w:r>
      <w:proofErr w:type="spellEnd"/>
      <w:r w:rsidRPr="00A472FC">
        <w:rPr>
          <w:rFonts w:ascii="Times New Roman" w:eastAsiaTheme="minorEastAsia" w:hAnsi="Times New Roman" w:cs="Times New Roman"/>
          <w:color w:val="000000"/>
          <w:lang w:eastAsia="en-GB"/>
        </w:rPr>
        <w:t xml:space="preserve"> Infinity: A Select History of the Infinite through Avicenna.’ </w:t>
      </w:r>
      <w:proofErr w:type="spellStart"/>
      <w:r w:rsidRPr="00A472FC">
        <w:rPr>
          <w:rFonts w:ascii="Times New Roman" w:eastAsiaTheme="minorEastAsia" w:hAnsi="Times New Roman" w:cs="Times New Roman"/>
          <w:i/>
          <w:iCs/>
          <w:color w:val="000000"/>
          <w:lang w:eastAsia="en-GB"/>
        </w:rPr>
        <w:t>Documenti</w:t>
      </w:r>
      <w:proofErr w:type="spellEnd"/>
      <w:r w:rsidRPr="00A472FC">
        <w:rPr>
          <w:rFonts w:ascii="Times New Roman" w:eastAsiaTheme="minorEastAsia" w:hAnsi="Times New Roman" w:cs="Times New Roman"/>
          <w:i/>
          <w:iCs/>
          <w:color w:val="000000"/>
          <w:lang w:eastAsia="en-GB"/>
        </w:rPr>
        <w:t xml:space="preserve"> e </w:t>
      </w:r>
      <w:proofErr w:type="spellStart"/>
      <w:r w:rsidRPr="00A472FC">
        <w:rPr>
          <w:rFonts w:ascii="Times New Roman" w:eastAsiaTheme="minorEastAsia" w:hAnsi="Times New Roman" w:cs="Times New Roman"/>
          <w:i/>
          <w:iCs/>
          <w:color w:val="000000"/>
          <w:lang w:eastAsia="en-GB"/>
        </w:rPr>
        <w:t>studi</w:t>
      </w:r>
      <w:proofErr w:type="spellEnd"/>
      <w:r w:rsidRPr="00A472FC">
        <w:rPr>
          <w:rFonts w:ascii="Times New Roman" w:eastAsiaTheme="minorEastAsia" w:hAnsi="Times New Roman" w:cs="Times New Roman"/>
          <w:i/>
          <w:iCs/>
          <w:color w:val="000000"/>
          <w:lang w:eastAsia="en-GB"/>
        </w:rPr>
        <w:t xml:space="preserve"> </w:t>
      </w:r>
      <w:proofErr w:type="spellStart"/>
      <w:r w:rsidRPr="00A472FC">
        <w:rPr>
          <w:rFonts w:ascii="Times New Roman" w:eastAsiaTheme="minorEastAsia" w:hAnsi="Times New Roman" w:cs="Times New Roman"/>
          <w:i/>
          <w:iCs/>
          <w:color w:val="000000"/>
          <w:lang w:eastAsia="en-GB"/>
        </w:rPr>
        <w:t>sulla</w:t>
      </w:r>
      <w:proofErr w:type="spellEnd"/>
      <w:r w:rsidRPr="00A472FC">
        <w:rPr>
          <w:rFonts w:ascii="Times New Roman" w:eastAsiaTheme="minorEastAsia" w:hAnsi="Times New Roman" w:cs="Times New Roman"/>
          <w:i/>
          <w:iCs/>
          <w:color w:val="000000"/>
          <w:lang w:eastAsia="en-GB"/>
        </w:rPr>
        <w:t xml:space="preserve"> </w:t>
      </w:r>
      <w:proofErr w:type="spellStart"/>
      <w:r w:rsidRPr="00A472FC">
        <w:rPr>
          <w:rFonts w:ascii="Times New Roman" w:eastAsiaTheme="minorEastAsia" w:hAnsi="Times New Roman" w:cs="Times New Roman"/>
          <w:i/>
          <w:iCs/>
          <w:color w:val="000000"/>
          <w:lang w:eastAsia="en-GB"/>
        </w:rPr>
        <w:t>tradizione</w:t>
      </w:r>
      <w:proofErr w:type="spellEnd"/>
      <w:r w:rsidRPr="00A472FC">
        <w:rPr>
          <w:rFonts w:ascii="Times New Roman" w:eastAsiaTheme="minorEastAsia" w:hAnsi="Times New Roman" w:cs="Times New Roman"/>
          <w:i/>
          <w:iCs/>
          <w:color w:val="000000"/>
          <w:lang w:eastAsia="en-GB"/>
        </w:rPr>
        <w:t xml:space="preserve"> </w:t>
      </w:r>
      <w:proofErr w:type="spellStart"/>
      <w:r w:rsidRPr="00A472FC">
        <w:rPr>
          <w:rFonts w:ascii="Times New Roman" w:eastAsiaTheme="minorEastAsia" w:hAnsi="Times New Roman" w:cs="Times New Roman"/>
          <w:i/>
          <w:iCs/>
          <w:color w:val="000000"/>
          <w:lang w:eastAsia="en-GB"/>
        </w:rPr>
        <w:t>filosofica</w:t>
      </w:r>
      <w:proofErr w:type="spellEnd"/>
      <w:r w:rsidRPr="00A472FC">
        <w:rPr>
          <w:rFonts w:ascii="Times New Roman" w:eastAsiaTheme="minorEastAsia" w:hAnsi="Times New Roman" w:cs="Times New Roman"/>
          <w:i/>
          <w:iCs/>
          <w:color w:val="000000"/>
          <w:lang w:eastAsia="en-GB"/>
        </w:rPr>
        <w:t xml:space="preserve"> medieval </w:t>
      </w:r>
      <w:r w:rsidRPr="00A472FC">
        <w:rPr>
          <w:rFonts w:ascii="Times New Roman" w:eastAsiaTheme="minorEastAsia" w:hAnsi="Times New Roman" w:cs="Times New Roman"/>
          <w:color w:val="000000"/>
          <w:lang w:eastAsia="en-GB"/>
        </w:rPr>
        <w:t>21 (2010): 199-222</w:t>
      </w:r>
      <w:r w:rsidRPr="00A472FC">
        <w:rPr>
          <w:rFonts w:ascii="Times New Roman" w:eastAsiaTheme="minorEastAsia" w:hAnsi="Times New Roman" w:cs="Times New Roman"/>
          <w:lang w:eastAsia="en-GB"/>
        </w:rPr>
        <w:t>.</w:t>
      </w:r>
    </w:p>
    <w:p w14:paraId="44D31F47" w14:textId="77777777" w:rsidR="00396AC6" w:rsidRPr="00A472FC" w:rsidRDefault="00396AC6"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Meirinhos</w:t>
      </w:r>
      <w:proofErr w:type="spellEnd"/>
      <w:r w:rsidRPr="00A472FC">
        <w:rPr>
          <w:rFonts w:ascii="Times New Roman" w:hAnsi="Times New Roman" w:cs="Times New Roman"/>
        </w:rPr>
        <w:t>, José. ‘</w:t>
      </w:r>
      <w:proofErr w:type="spellStart"/>
      <w:r w:rsidRPr="00A472FC">
        <w:rPr>
          <w:rFonts w:ascii="Times New Roman" w:hAnsi="Times New Roman" w:cs="Times New Roman"/>
          <w:i/>
          <w:iCs/>
        </w:rPr>
        <w:t>Intellectus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agens</w:t>
      </w:r>
      <w:proofErr w:type="spellEnd"/>
      <w:r w:rsidRPr="00A472FC">
        <w:rPr>
          <w:rFonts w:ascii="Times New Roman" w:hAnsi="Times New Roman" w:cs="Times New Roman"/>
          <w:i/>
          <w:iCs/>
        </w:rPr>
        <w:t xml:space="preserve"> triplex </w:t>
      </w:r>
      <w:proofErr w:type="spellStart"/>
      <w:r w:rsidRPr="00A472FC">
        <w:rPr>
          <w:rFonts w:ascii="Times New Roman" w:hAnsi="Times New Roman" w:cs="Times New Roman"/>
          <w:i/>
          <w:iCs/>
        </w:rPr>
        <w:t>distinguitur</w:t>
      </w:r>
      <w:proofErr w:type="spellEnd"/>
      <w:r w:rsidRPr="00A472FC">
        <w:rPr>
          <w:rFonts w:ascii="Times New Roman" w:hAnsi="Times New Roman" w:cs="Times New Roman"/>
        </w:rPr>
        <w:t xml:space="preserve">: Early Franciscans and Avicenna in </w:t>
      </w:r>
      <w:proofErr w:type="spellStart"/>
      <w:r w:rsidRPr="00A472FC">
        <w:rPr>
          <w:rFonts w:ascii="Times New Roman" w:hAnsi="Times New Roman" w:cs="Times New Roman"/>
        </w:rPr>
        <w:t>Petrus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Hispanus</w:t>
      </w:r>
      <w:proofErr w:type="spellEnd"/>
      <w:r w:rsidRPr="00A472FC">
        <w:rPr>
          <w:rFonts w:ascii="Times New Roman" w:hAnsi="Times New Roman" w:cs="Times New Roman"/>
        </w:rPr>
        <w:t xml:space="preserve">’ Theory of the Agent Intellect in the </w:t>
      </w:r>
      <w:proofErr w:type="spellStart"/>
      <w:r w:rsidRPr="00A472FC">
        <w:rPr>
          <w:rFonts w:ascii="Times New Roman" w:hAnsi="Times New Roman" w:cs="Times New Roman"/>
          <w:i/>
          <w:iCs/>
        </w:rPr>
        <w:t>Scientia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libri</w:t>
      </w:r>
      <w:proofErr w:type="spellEnd"/>
      <w:r w:rsidRPr="00A472FC">
        <w:rPr>
          <w:rFonts w:ascii="Times New Roman" w:hAnsi="Times New Roman" w:cs="Times New Roman"/>
          <w:i/>
          <w:iCs/>
        </w:rPr>
        <w:t xml:space="preserve"> de anima</w:t>
      </w:r>
      <w:r w:rsidRPr="00A472FC">
        <w:rPr>
          <w:rFonts w:ascii="Times New Roman" w:hAnsi="Times New Roman" w:cs="Times New Roman"/>
        </w:rPr>
        <w:t>.’</w:t>
      </w:r>
      <w:r w:rsidRPr="00A472FC">
        <w:rPr>
          <w:rFonts w:ascii="Times New Roman" w:hAnsi="Times New Roman" w:cs="Times New Roman"/>
          <w:i/>
          <w:iCs/>
        </w:rPr>
        <w:t xml:space="preserve"> </w:t>
      </w:r>
      <w:r w:rsidRPr="00A472FC">
        <w:rPr>
          <w:rFonts w:ascii="Times New Roman" w:hAnsi="Times New Roman" w:cs="Times New Roman"/>
        </w:rPr>
        <w:t xml:space="preserve">In </w:t>
      </w:r>
      <w:r w:rsidRPr="00A472FC">
        <w:rPr>
          <w:rFonts w:ascii="Times New Roman" w:hAnsi="Times New Roman" w:cs="Times New Roman"/>
          <w:i/>
          <w:iCs/>
        </w:rPr>
        <w:t xml:space="preserve">The Legacy of Early Franciscan Thought. </w:t>
      </w:r>
      <w:r w:rsidRPr="00A472FC">
        <w:rPr>
          <w:rFonts w:ascii="Times New Roman" w:hAnsi="Times New Roman" w:cs="Times New Roman"/>
        </w:rPr>
        <w:t>Edited by Lydia Schumacher, 297-321. Berlin: De Gruyter, 2021.</w:t>
      </w:r>
    </w:p>
    <w:p w14:paraId="49C6C98B" w14:textId="7ADC9B7C" w:rsidR="006A6E61" w:rsidRPr="00A472FC" w:rsidRDefault="006A6E61" w:rsidP="006C5BF8">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Mews, Constant J.</w:t>
      </w:r>
      <w:r w:rsidR="00223A9A" w:rsidRPr="00A472FC">
        <w:rPr>
          <w:rFonts w:ascii="Times New Roman" w:hAnsi="Times New Roman" w:cs="Times New Roman"/>
        </w:rPr>
        <w:t xml:space="preserve"> </w:t>
      </w:r>
      <w:r w:rsidRPr="00A472FC">
        <w:rPr>
          <w:rFonts w:ascii="Times New Roman" w:hAnsi="Times New Roman" w:cs="Times New Roman"/>
        </w:rPr>
        <w:t xml:space="preserve">‘Debating the Authority of Pseudo-Augustine’s </w:t>
      </w:r>
      <w:r w:rsidRPr="00A472FC">
        <w:rPr>
          <w:rFonts w:ascii="Times New Roman" w:hAnsi="Times New Roman" w:cs="Times New Roman"/>
          <w:i/>
        </w:rPr>
        <w:t xml:space="preserve">De </w:t>
      </w:r>
      <w:proofErr w:type="spellStart"/>
      <w:r w:rsidRPr="00A472FC">
        <w:rPr>
          <w:rFonts w:ascii="Times New Roman" w:hAnsi="Times New Roman" w:cs="Times New Roman"/>
          <w:i/>
        </w:rPr>
        <w:t>spiritu</w:t>
      </w:r>
      <w:proofErr w:type="spellEnd"/>
      <w:r w:rsidRPr="00A472FC">
        <w:rPr>
          <w:rFonts w:ascii="Times New Roman" w:hAnsi="Times New Roman" w:cs="Times New Roman"/>
          <w:i/>
        </w:rPr>
        <w:t xml:space="preserve"> et anima</w:t>
      </w:r>
      <w:r w:rsidRPr="00A472FC">
        <w:rPr>
          <w:rFonts w:ascii="Times New Roman" w:hAnsi="Times New Roman" w:cs="Times New Roman"/>
        </w:rPr>
        <w:t xml:space="preserve">.’ </w:t>
      </w:r>
      <w:proofErr w:type="spellStart"/>
      <w:r w:rsidRPr="00A472FC">
        <w:rPr>
          <w:rFonts w:ascii="Times New Roman" w:hAnsi="Times New Roman" w:cs="Times New Roman"/>
          <w:i/>
          <w:iCs/>
        </w:rPr>
        <w:t>Prezgląd</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Tomistyczny</w:t>
      </w:r>
      <w:proofErr w:type="spellEnd"/>
      <w:r w:rsidRPr="00A472FC">
        <w:rPr>
          <w:rFonts w:ascii="Times New Roman" w:hAnsi="Times New Roman" w:cs="Times New Roman"/>
          <w:i/>
          <w:iCs/>
        </w:rPr>
        <w:t xml:space="preserve"> </w:t>
      </w:r>
      <w:r w:rsidRPr="00A472FC">
        <w:rPr>
          <w:rFonts w:ascii="Times New Roman" w:hAnsi="Times New Roman" w:cs="Times New Roman"/>
        </w:rPr>
        <w:t>24 (2018): 321-48.</w:t>
      </w:r>
    </w:p>
    <w:p w14:paraId="6A2EC730" w14:textId="63CDDEDD"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‘The Early Diffusion of the </w:t>
      </w:r>
      <w:r w:rsidRPr="00A472FC">
        <w:rPr>
          <w:rFonts w:ascii="Times New Roman" w:hAnsi="Times New Roman" w:cs="Times New Roman"/>
          <w:i/>
        </w:rPr>
        <w:t xml:space="preserve">De </w:t>
      </w:r>
      <w:proofErr w:type="spellStart"/>
      <w:r w:rsidRPr="00A472FC">
        <w:rPr>
          <w:rFonts w:ascii="Times New Roman" w:hAnsi="Times New Roman" w:cs="Times New Roman"/>
          <w:i/>
        </w:rPr>
        <w:t>spiritu</w:t>
      </w:r>
      <w:proofErr w:type="spellEnd"/>
      <w:r w:rsidRPr="00A472FC">
        <w:rPr>
          <w:rFonts w:ascii="Times New Roman" w:hAnsi="Times New Roman" w:cs="Times New Roman"/>
          <w:i/>
        </w:rPr>
        <w:t xml:space="preserve"> et anima</w:t>
      </w:r>
      <w:r w:rsidRPr="00A472FC">
        <w:rPr>
          <w:rFonts w:ascii="Times New Roman" w:hAnsi="Times New Roman" w:cs="Times New Roman"/>
        </w:rPr>
        <w:t xml:space="preserve"> and Cistercian </w:t>
      </w:r>
      <w:r w:rsidR="00E31D14" w:rsidRPr="00A472FC">
        <w:rPr>
          <w:rFonts w:ascii="Times New Roman" w:hAnsi="Times New Roman" w:cs="Times New Roman"/>
        </w:rPr>
        <w:t>R</w:t>
      </w:r>
      <w:r w:rsidRPr="00A472FC">
        <w:rPr>
          <w:rFonts w:ascii="Times New Roman" w:hAnsi="Times New Roman" w:cs="Times New Roman"/>
        </w:rPr>
        <w:t xml:space="preserve">eflection on the </w:t>
      </w:r>
      <w:r w:rsidR="00E31D14" w:rsidRPr="00A472FC">
        <w:rPr>
          <w:rFonts w:ascii="Times New Roman" w:hAnsi="Times New Roman" w:cs="Times New Roman"/>
        </w:rPr>
        <w:t>P</w:t>
      </w:r>
      <w:r w:rsidRPr="00A472FC">
        <w:rPr>
          <w:rFonts w:ascii="Times New Roman" w:hAnsi="Times New Roman" w:cs="Times New Roman"/>
        </w:rPr>
        <w:t xml:space="preserve">owers of the </w:t>
      </w:r>
      <w:r w:rsidR="00E31D14" w:rsidRPr="00A472FC">
        <w:rPr>
          <w:rFonts w:ascii="Times New Roman" w:hAnsi="Times New Roman" w:cs="Times New Roman"/>
        </w:rPr>
        <w:t>S</w:t>
      </w:r>
      <w:r w:rsidRPr="00A472FC">
        <w:rPr>
          <w:rFonts w:ascii="Times New Roman" w:hAnsi="Times New Roman" w:cs="Times New Roman"/>
        </w:rPr>
        <w:t xml:space="preserve">oul.’ </w:t>
      </w:r>
      <w:r w:rsidRPr="00A472FC">
        <w:rPr>
          <w:rFonts w:ascii="Times New Roman" w:hAnsi="Times New Roman" w:cs="Times New Roman"/>
          <w:i/>
          <w:iCs/>
        </w:rPr>
        <w:t xml:space="preserve">Viator </w:t>
      </w:r>
      <w:r w:rsidRPr="00A472FC">
        <w:rPr>
          <w:rFonts w:ascii="Times New Roman" w:hAnsi="Times New Roman" w:cs="Times New Roman"/>
        </w:rPr>
        <w:t>49:3 (2019): 297-330.</w:t>
      </w:r>
    </w:p>
    <w:p w14:paraId="1F9C79A5" w14:textId="6BBABCF9"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Michaud-Quantin</w:t>
      </w:r>
      <w:proofErr w:type="spellEnd"/>
      <w:r w:rsidRPr="00A472FC">
        <w:rPr>
          <w:rFonts w:ascii="Times New Roman" w:hAnsi="Times New Roman" w:cs="Times New Roman"/>
        </w:rPr>
        <w:t xml:space="preserve">, Pierre. ‘La classification des </w:t>
      </w:r>
      <w:proofErr w:type="spellStart"/>
      <w:r w:rsidRPr="00A472FC">
        <w:rPr>
          <w:rFonts w:ascii="Times New Roman" w:hAnsi="Times New Roman" w:cs="Times New Roman"/>
        </w:rPr>
        <w:t>puissances</w:t>
      </w:r>
      <w:proofErr w:type="spellEnd"/>
      <w:r w:rsidRPr="00A472FC">
        <w:rPr>
          <w:rFonts w:ascii="Times New Roman" w:hAnsi="Times New Roman" w:cs="Times New Roman"/>
        </w:rPr>
        <w:t xml:space="preserve"> de </w:t>
      </w:r>
      <w:proofErr w:type="spellStart"/>
      <w:r w:rsidRPr="00A472FC">
        <w:rPr>
          <w:rFonts w:ascii="Times New Roman" w:hAnsi="Times New Roman" w:cs="Times New Roman"/>
        </w:rPr>
        <w:t>l’</w:t>
      </w:r>
      <w:r w:rsidR="00D71B3E" w:rsidRPr="00A472FC">
        <w:rPr>
          <w:rFonts w:ascii="Times New Roman" w:hAnsi="Times New Roman" w:cs="Times New Roman"/>
        </w:rPr>
        <w:t>â</w:t>
      </w:r>
      <w:r w:rsidRPr="00A472FC">
        <w:rPr>
          <w:rFonts w:ascii="Times New Roman" w:hAnsi="Times New Roman" w:cs="Times New Roman"/>
        </w:rPr>
        <w:t>me</w:t>
      </w:r>
      <w:proofErr w:type="spellEnd"/>
      <w:r w:rsidRPr="00A472FC">
        <w:rPr>
          <w:rFonts w:ascii="Times New Roman" w:hAnsi="Times New Roman" w:cs="Times New Roman"/>
        </w:rPr>
        <w:t xml:space="preserve"> au XIIe siècle.’ </w:t>
      </w:r>
      <w:r w:rsidRPr="00A472FC">
        <w:rPr>
          <w:rFonts w:ascii="Times New Roman" w:hAnsi="Times New Roman" w:cs="Times New Roman"/>
          <w:i/>
          <w:iCs/>
        </w:rPr>
        <w:t xml:space="preserve">Revue du </w:t>
      </w:r>
      <w:proofErr w:type="spellStart"/>
      <w:r w:rsidRPr="00A472FC">
        <w:rPr>
          <w:rFonts w:ascii="Times New Roman" w:hAnsi="Times New Roman" w:cs="Times New Roman"/>
          <w:i/>
          <w:iCs/>
        </w:rPr>
        <w:t>Moyen</w:t>
      </w:r>
      <w:proofErr w:type="spellEnd"/>
      <w:r w:rsidRPr="00A472FC">
        <w:rPr>
          <w:rFonts w:ascii="Times New Roman" w:hAnsi="Times New Roman" w:cs="Times New Roman"/>
          <w:i/>
          <w:iCs/>
        </w:rPr>
        <w:t xml:space="preserve"> Age Latin </w:t>
      </w:r>
      <w:r w:rsidRPr="00A472FC">
        <w:rPr>
          <w:rFonts w:ascii="Times New Roman" w:hAnsi="Times New Roman" w:cs="Times New Roman"/>
        </w:rPr>
        <w:t>5 (1949): 15-34.</w:t>
      </w:r>
    </w:p>
    <w:p w14:paraId="50F3766C" w14:textId="524C41D2"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‘Les </w:t>
      </w:r>
      <w:proofErr w:type="spellStart"/>
      <w:r w:rsidRPr="00A472FC">
        <w:rPr>
          <w:rFonts w:ascii="Times New Roman" w:hAnsi="Times New Roman" w:cs="Times New Roman"/>
        </w:rPr>
        <w:t>puissances</w:t>
      </w:r>
      <w:proofErr w:type="spellEnd"/>
      <w:r w:rsidRPr="00A472FC">
        <w:rPr>
          <w:rFonts w:ascii="Times New Roman" w:hAnsi="Times New Roman" w:cs="Times New Roman"/>
        </w:rPr>
        <w:t xml:space="preserve"> de </w:t>
      </w:r>
      <w:proofErr w:type="spellStart"/>
      <w:r w:rsidR="00D71B3E" w:rsidRPr="00A472FC">
        <w:rPr>
          <w:rFonts w:ascii="Times New Roman" w:hAnsi="Times New Roman" w:cs="Times New Roman"/>
        </w:rPr>
        <w:t>l’âme</w:t>
      </w:r>
      <w:proofErr w:type="spellEnd"/>
      <w:r w:rsidRPr="00A472FC">
        <w:rPr>
          <w:rFonts w:ascii="Times New Roman" w:hAnsi="Times New Roman" w:cs="Times New Roman"/>
        </w:rPr>
        <w:t xml:space="preserve"> chez Jean de la Rochelle.’ </w:t>
      </w:r>
      <w:proofErr w:type="spellStart"/>
      <w:r w:rsidRPr="00A472FC">
        <w:rPr>
          <w:rFonts w:ascii="Times New Roman" w:hAnsi="Times New Roman" w:cs="Times New Roman"/>
          <w:i/>
          <w:iCs/>
        </w:rPr>
        <w:t>Antonianum</w:t>
      </w:r>
      <w:proofErr w:type="spellEnd"/>
      <w:r w:rsidRPr="00A472FC">
        <w:rPr>
          <w:rFonts w:ascii="Times New Roman" w:hAnsi="Times New Roman" w:cs="Times New Roman"/>
          <w:i/>
          <w:iCs/>
        </w:rPr>
        <w:t xml:space="preserve"> </w:t>
      </w:r>
      <w:r w:rsidRPr="00A472FC">
        <w:rPr>
          <w:rFonts w:ascii="Times New Roman" w:hAnsi="Times New Roman" w:cs="Times New Roman"/>
        </w:rPr>
        <w:t>24 (1949): 489-505.</w:t>
      </w:r>
    </w:p>
    <w:p w14:paraId="2712F204" w14:textId="7AFF2AF2"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w:t>
      </w:r>
      <w:proofErr w:type="spellStart"/>
      <w:r w:rsidRPr="00A472FC">
        <w:rPr>
          <w:rFonts w:ascii="Times New Roman" w:hAnsi="Times New Roman" w:cs="Times New Roman"/>
        </w:rPr>
        <w:t>Une</w:t>
      </w:r>
      <w:proofErr w:type="spellEnd"/>
      <w:r w:rsidRPr="00A472FC">
        <w:rPr>
          <w:rFonts w:ascii="Times New Roman" w:hAnsi="Times New Roman" w:cs="Times New Roman"/>
        </w:rPr>
        <w:t xml:space="preserve"> division “</w:t>
      </w:r>
      <w:proofErr w:type="spellStart"/>
      <w:r w:rsidRPr="00A472FC">
        <w:rPr>
          <w:rFonts w:ascii="Times New Roman" w:hAnsi="Times New Roman" w:cs="Times New Roman"/>
        </w:rPr>
        <w:t>augustinienne</w:t>
      </w:r>
      <w:proofErr w:type="spellEnd"/>
      <w:r w:rsidRPr="00A472FC">
        <w:rPr>
          <w:rFonts w:ascii="Times New Roman" w:hAnsi="Times New Roman" w:cs="Times New Roman"/>
        </w:rPr>
        <w:t xml:space="preserve">” des </w:t>
      </w:r>
      <w:proofErr w:type="spellStart"/>
      <w:r w:rsidRPr="00A472FC">
        <w:rPr>
          <w:rFonts w:ascii="Times New Roman" w:hAnsi="Times New Roman" w:cs="Times New Roman"/>
        </w:rPr>
        <w:t>puissances</w:t>
      </w:r>
      <w:proofErr w:type="spellEnd"/>
      <w:r w:rsidRPr="00A472FC">
        <w:rPr>
          <w:rFonts w:ascii="Times New Roman" w:hAnsi="Times New Roman" w:cs="Times New Roman"/>
        </w:rPr>
        <w:t xml:space="preserve"> de </w:t>
      </w:r>
      <w:proofErr w:type="spellStart"/>
      <w:r w:rsidR="00D71B3E" w:rsidRPr="00A472FC">
        <w:rPr>
          <w:rFonts w:ascii="Times New Roman" w:hAnsi="Times New Roman" w:cs="Times New Roman"/>
        </w:rPr>
        <w:t>l’âme</w:t>
      </w:r>
      <w:proofErr w:type="spellEnd"/>
      <w:r w:rsidRPr="00A472FC">
        <w:rPr>
          <w:rFonts w:ascii="Times New Roman" w:hAnsi="Times New Roman" w:cs="Times New Roman"/>
        </w:rPr>
        <w:t xml:space="preserve"> au </w:t>
      </w:r>
      <w:proofErr w:type="spellStart"/>
      <w:r w:rsidRPr="00A472FC">
        <w:rPr>
          <w:rFonts w:ascii="Times New Roman" w:hAnsi="Times New Roman" w:cs="Times New Roman"/>
        </w:rPr>
        <w:t>moyen</w:t>
      </w:r>
      <w:proofErr w:type="spellEnd"/>
      <w:r w:rsidRPr="00A472FC">
        <w:rPr>
          <w:rFonts w:ascii="Times New Roman" w:hAnsi="Times New Roman" w:cs="Times New Roman"/>
        </w:rPr>
        <w:t xml:space="preserve"> age.’ </w:t>
      </w:r>
      <w:r w:rsidRPr="00A472FC">
        <w:rPr>
          <w:rFonts w:ascii="Times New Roman" w:hAnsi="Times New Roman" w:cs="Times New Roman"/>
          <w:i/>
          <w:iCs/>
        </w:rPr>
        <w:t xml:space="preserve">Revue des Études </w:t>
      </w:r>
      <w:proofErr w:type="spellStart"/>
      <w:r w:rsidRPr="00A472FC">
        <w:rPr>
          <w:rFonts w:ascii="Times New Roman" w:hAnsi="Times New Roman" w:cs="Times New Roman"/>
          <w:i/>
          <w:iCs/>
        </w:rPr>
        <w:t>Augustiniennes</w:t>
      </w:r>
      <w:proofErr w:type="spellEnd"/>
      <w:r w:rsidRPr="00A472FC">
        <w:rPr>
          <w:rFonts w:ascii="Times New Roman" w:hAnsi="Times New Roman" w:cs="Times New Roman"/>
          <w:i/>
          <w:iCs/>
        </w:rPr>
        <w:t xml:space="preserve"> </w:t>
      </w:r>
      <w:r w:rsidRPr="00A472FC">
        <w:rPr>
          <w:rFonts w:ascii="Times New Roman" w:hAnsi="Times New Roman" w:cs="Times New Roman"/>
        </w:rPr>
        <w:t>3 (1957): 235-48.</w:t>
      </w:r>
    </w:p>
    <w:p w14:paraId="1CDB42B2"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Miller, Robert. ‘An Aspect of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Influence on St Albert.’ </w:t>
      </w:r>
      <w:r w:rsidRPr="00A472FC">
        <w:rPr>
          <w:rFonts w:ascii="Times New Roman" w:hAnsi="Times New Roman" w:cs="Times New Roman"/>
          <w:i/>
          <w:iCs/>
        </w:rPr>
        <w:t xml:space="preserve">Mediaeval Studies </w:t>
      </w:r>
      <w:r w:rsidRPr="00A472FC">
        <w:rPr>
          <w:rFonts w:ascii="Times New Roman" w:hAnsi="Times New Roman" w:cs="Times New Roman"/>
        </w:rPr>
        <w:t>16 (1954): 57-71.</w:t>
      </w:r>
    </w:p>
    <w:p w14:paraId="229A65D5" w14:textId="1BB2BD36"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Minio-Paluello</w:t>
      </w:r>
      <w:proofErr w:type="spellEnd"/>
      <w:r w:rsidRPr="00A472FC">
        <w:rPr>
          <w:rFonts w:ascii="Times New Roman" w:hAnsi="Times New Roman" w:cs="Times New Roman"/>
        </w:rPr>
        <w:t xml:space="preserve">, L. ‘Le </w:t>
      </w:r>
      <w:proofErr w:type="spellStart"/>
      <w:r w:rsidRPr="00A472FC">
        <w:rPr>
          <w:rFonts w:ascii="Times New Roman" w:hAnsi="Times New Roman" w:cs="Times New Roman"/>
        </w:rPr>
        <w:t>texte</w:t>
      </w:r>
      <w:proofErr w:type="spellEnd"/>
      <w:r w:rsidRPr="00A472FC">
        <w:rPr>
          <w:rFonts w:ascii="Times New Roman" w:hAnsi="Times New Roman" w:cs="Times New Roman"/>
        </w:rPr>
        <w:t xml:space="preserve"> du </w:t>
      </w:r>
      <w:r w:rsidRPr="00A472FC">
        <w:rPr>
          <w:rFonts w:ascii="Times New Roman" w:hAnsi="Times New Roman" w:cs="Times New Roman"/>
          <w:i/>
          <w:iCs/>
        </w:rPr>
        <w:t>De anima</w:t>
      </w:r>
      <w:r w:rsidRPr="00A472FC">
        <w:rPr>
          <w:rFonts w:ascii="Times New Roman" w:hAnsi="Times New Roman" w:cs="Times New Roman"/>
        </w:rPr>
        <w:t xml:space="preserve"> </w:t>
      </w:r>
      <w:proofErr w:type="spellStart"/>
      <w:r w:rsidRPr="00A472FC">
        <w:rPr>
          <w:rFonts w:ascii="Times New Roman" w:hAnsi="Times New Roman" w:cs="Times New Roman"/>
        </w:rPr>
        <w:t>d’Aristote</w:t>
      </w:r>
      <w:proofErr w:type="spellEnd"/>
      <w:r w:rsidRPr="00A472FC">
        <w:rPr>
          <w:rFonts w:ascii="Times New Roman" w:hAnsi="Times New Roman" w:cs="Times New Roman"/>
        </w:rPr>
        <w:t xml:space="preserve">: la tradition </w:t>
      </w:r>
      <w:proofErr w:type="spellStart"/>
      <w:r w:rsidRPr="00A472FC">
        <w:rPr>
          <w:rFonts w:ascii="Times New Roman" w:hAnsi="Times New Roman" w:cs="Times New Roman"/>
        </w:rPr>
        <w:t>latine</w:t>
      </w:r>
      <w:proofErr w:type="spellEnd"/>
      <w:r w:rsidRPr="00A472FC">
        <w:rPr>
          <w:rFonts w:ascii="Times New Roman" w:hAnsi="Times New Roman" w:cs="Times New Roman"/>
        </w:rPr>
        <w:t xml:space="preserve"> avant 1500.’ In </w:t>
      </w:r>
      <w:r w:rsidRPr="00A472FC">
        <w:rPr>
          <w:rFonts w:ascii="Times New Roman" w:hAnsi="Times New Roman" w:cs="Times New Roman"/>
          <w:i/>
          <w:iCs/>
        </w:rPr>
        <w:t>Opuscula</w:t>
      </w:r>
      <w:r w:rsidR="00854980" w:rsidRPr="00A472FC">
        <w:rPr>
          <w:rFonts w:ascii="Times New Roman" w:hAnsi="Times New Roman" w:cs="Times New Roman"/>
          <w:i/>
          <w:iCs/>
        </w:rPr>
        <w:t>:</w:t>
      </w:r>
      <w:r w:rsidRPr="00A472FC">
        <w:rPr>
          <w:rFonts w:ascii="Times New Roman" w:hAnsi="Times New Roman" w:cs="Times New Roman"/>
          <w:i/>
          <w:iCs/>
        </w:rPr>
        <w:t xml:space="preserve"> The Latin Aristotle</w:t>
      </w:r>
      <w:r w:rsidRPr="00A472FC">
        <w:rPr>
          <w:rFonts w:ascii="Times New Roman" w:hAnsi="Times New Roman" w:cs="Times New Roman"/>
        </w:rPr>
        <w:t>, 250-76. Amsterdam, 1972.</w:t>
      </w:r>
    </w:p>
    <w:p w14:paraId="18415494"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Moody, Ernest A. ‘William of Auvergne and His Treatise </w:t>
      </w:r>
      <w:r w:rsidRPr="00A472FC">
        <w:rPr>
          <w:rFonts w:ascii="Times New Roman" w:hAnsi="Times New Roman" w:cs="Times New Roman"/>
          <w:i/>
        </w:rPr>
        <w:t>De anima</w:t>
      </w:r>
      <w:r w:rsidRPr="00A472FC">
        <w:rPr>
          <w:rFonts w:ascii="Times New Roman" w:hAnsi="Times New Roman" w:cs="Times New Roman"/>
        </w:rPr>
        <w:t xml:space="preserve">.’ In </w:t>
      </w:r>
      <w:r w:rsidRPr="00A472FC">
        <w:rPr>
          <w:rFonts w:ascii="Times New Roman" w:hAnsi="Times New Roman" w:cs="Times New Roman"/>
          <w:i/>
          <w:iCs/>
        </w:rPr>
        <w:t>Studies in Medieval Philosophy, Science, and Logic, Collected Papers 1933–1969</w:t>
      </w:r>
      <w:r w:rsidRPr="00A472FC">
        <w:rPr>
          <w:rFonts w:ascii="Times New Roman" w:hAnsi="Times New Roman" w:cs="Times New Roman"/>
        </w:rPr>
        <w:t>, 1-109. Berkeley: University of California Press, 1975.</w:t>
      </w:r>
    </w:p>
    <w:p w14:paraId="1D566E16"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Morani</w:t>
      </w:r>
      <w:proofErr w:type="spellEnd"/>
      <w:r w:rsidRPr="00A472FC">
        <w:rPr>
          <w:rFonts w:ascii="Times New Roman" w:hAnsi="Times New Roman" w:cs="Times New Roman"/>
        </w:rPr>
        <w:t xml:space="preserve">, Moreno. </w:t>
      </w:r>
      <w:r w:rsidRPr="00A472FC">
        <w:rPr>
          <w:rFonts w:ascii="Times New Roman" w:hAnsi="Times New Roman" w:cs="Times New Roman"/>
          <w:i/>
          <w:iCs/>
        </w:rPr>
        <w:t xml:space="preserve">La </w:t>
      </w:r>
      <w:proofErr w:type="spellStart"/>
      <w:r w:rsidRPr="00A472FC">
        <w:rPr>
          <w:rFonts w:ascii="Times New Roman" w:hAnsi="Times New Roman" w:cs="Times New Roman"/>
          <w:i/>
          <w:iCs/>
        </w:rPr>
        <w:t>tradizione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manoscritta</w:t>
      </w:r>
      <w:proofErr w:type="spellEnd"/>
      <w:r w:rsidRPr="00A472FC">
        <w:rPr>
          <w:rFonts w:ascii="Times New Roman" w:hAnsi="Times New Roman" w:cs="Times New Roman"/>
          <w:i/>
          <w:iCs/>
        </w:rPr>
        <w:t xml:space="preserve"> del De </w:t>
      </w:r>
      <w:proofErr w:type="spellStart"/>
      <w:r w:rsidRPr="00A472FC">
        <w:rPr>
          <w:rFonts w:ascii="Times New Roman" w:hAnsi="Times New Roman" w:cs="Times New Roman"/>
          <w:i/>
          <w:iCs/>
        </w:rPr>
        <w:t>natura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hominis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Nemesi</w:t>
      </w:r>
      <w:proofErr w:type="spellEnd"/>
      <w:r w:rsidRPr="00A472FC">
        <w:rPr>
          <w:rFonts w:ascii="Times New Roman" w:hAnsi="Times New Roman" w:cs="Times New Roman"/>
          <w:i/>
          <w:iCs/>
        </w:rPr>
        <w:t>.</w:t>
      </w:r>
      <w:r w:rsidRPr="00A472FC">
        <w:rPr>
          <w:rFonts w:ascii="Times New Roman" w:hAnsi="Times New Roman" w:cs="Times New Roman"/>
        </w:rPr>
        <w:t xml:space="preserve"> Milan: Vita e </w:t>
      </w:r>
      <w:proofErr w:type="spellStart"/>
      <w:r w:rsidRPr="00A472FC">
        <w:rPr>
          <w:rFonts w:ascii="Times New Roman" w:hAnsi="Times New Roman" w:cs="Times New Roman"/>
        </w:rPr>
        <w:t>Pensiero</w:t>
      </w:r>
      <w:proofErr w:type="spellEnd"/>
      <w:r w:rsidRPr="00A472FC">
        <w:rPr>
          <w:rFonts w:ascii="Times New Roman" w:hAnsi="Times New Roman" w:cs="Times New Roman"/>
        </w:rPr>
        <w:t>, 1981.</w:t>
      </w:r>
    </w:p>
    <w:p w14:paraId="17C9FDF0"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Morenzoni</w:t>
      </w:r>
      <w:proofErr w:type="spellEnd"/>
      <w:r w:rsidRPr="00A472FC">
        <w:rPr>
          <w:rFonts w:ascii="Times New Roman" w:hAnsi="Times New Roman" w:cs="Times New Roman"/>
        </w:rPr>
        <w:t xml:space="preserve">, Franco, and Jean-Yves </w:t>
      </w:r>
      <w:proofErr w:type="spellStart"/>
      <w:r w:rsidRPr="00A472FC">
        <w:rPr>
          <w:rFonts w:ascii="Times New Roman" w:hAnsi="Times New Roman" w:cs="Times New Roman"/>
        </w:rPr>
        <w:t>Tilliette</w:t>
      </w:r>
      <w:proofErr w:type="spellEnd"/>
      <w:r w:rsidRPr="00A472FC">
        <w:rPr>
          <w:rFonts w:ascii="Times New Roman" w:hAnsi="Times New Roman" w:cs="Times New Roman"/>
        </w:rPr>
        <w:t xml:space="preserve">, eds. </w:t>
      </w:r>
      <w:proofErr w:type="spellStart"/>
      <w:r w:rsidRPr="00A472FC">
        <w:rPr>
          <w:rFonts w:ascii="Times New Roman" w:hAnsi="Times New Roman" w:cs="Times New Roman"/>
          <w:i/>
          <w:iCs/>
        </w:rPr>
        <w:t>Autour</w:t>
      </w:r>
      <w:proofErr w:type="spellEnd"/>
      <w:r w:rsidRPr="00A472FC">
        <w:rPr>
          <w:rFonts w:ascii="Times New Roman" w:hAnsi="Times New Roman" w:cs="Times New Roman"/>
          <w:i/>
          <w:iCs/>
        </w:rPr>
        <w:t xml:space="preserve"> de Guillaume d'Auvergne</w:t>
      </w:r>
      <w:r w:rsidRPr="00A472FC">
        <w:rPr>
          <w:rFonts w:ascii="Times New Roman" w:hAnsi="Times New Roman" w:cs="Times New Roman"/>
        </w:rPr>
        <w:t xml:space="preserve">.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2005.</w:t>
      </w:r>
    </w:p>
    <w:p w14:paraId="3B1F9FA7"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Muckle</w:t>
      </w:r>
      <w:proofErr w:type="spellEnd"/>
      <w:r w:rsidRPr="00A472FC">
        <w:rPr>
          <w:rFonts w:ascii="Times New Roman" w:hAnsi="Times New Roman" w:cs="Times New Roman"/>
        </w:rPr>
        <w:t xml:space="preserve">, J. T. ‘The Treatise </w:t>
      </w:r>
      <w:r w:rsidRPr="00A472FC">
        <w:rPr>
          <w:rFonts w:ascii="Times New Roman" w:hAnsi="Times New Roman" w:cs="Times New Roman"/>
          <w:i/>
          <w:iCs/>
        </w:rPr>
        <w:t>De anima</w:t>
      </w:r>
      <w:r w:rsidRPr="00A472FC">
        <w:rPr>
          <w:rFonts w:ascii="Times New Roman" w:hAnsi="Times New Roman" w:cs="Times New Roman"/>
        </w:rPr>
        <w:t xml:space="preserve"> of </w:t>
      </w:r>
      <w:proofErr w:type="spellStart"/>
      <w:r w:rsidRPr="00A472FC">
        <w:rPr>
          <w:rFonts w:ascii="Times New Roman" w:hAnsi="Times New Roman" w:cs="Times New Roman"/>
        </w:rPr>
        <w:t>Dominicus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Mediaeval Studies </w:t>
      </w:r>
      <w:r w:rsidRPr="00A472FC">
        <w:rPr>
          <w:rFonts w:ascii="Times New Roman" w:hAnsi="Times New Roman" w:cs="Times New Roman"/>
        </w:rPr>
        <w:t>2 (1940): 23-103.</w:t>
      </w:r>
    </w:p>
    <w:p w14:paraId="7B7C2DDA" w14:textId="757F3DAB"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Müssen</w:t>
      </w:r>
      <w:proofErr w:type="spellEnd"/>
      <w:r w:rsidRPr="00A472FC">
        <w:rPr>
          <w:rFonts w:ascii="Times New Roman" w:hAnsi="Times New Roman" w:cs="Times New Roman"/>
        </w:rPr>
        <w:t xml:space="preserve">, Gabriel. ‘Wilhelm von Auvergne und die </w:t>
      </w:r>
      <w:proofErr w:type="spellStart"/>
      <w:r w:rsidRPr="00A472FC">
        <w:rPr>
          <w:rFonts w:ascii="Times New Roman" w:hAnsi="Times New Roman" w:cs="Times New Roman"/>
        </w:rPr>
        <w:t>Entwicklung</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der</w:t>
      </w:r>
      <w:proofErr w:type="spellEnd"/>
      <w:r w:rsidRPr="00A472FC">
        <w:rPr>
          <w:rFonts w:ascii="Times New Roman" w:hAnsi="Times New Roman" w:cs="Times New Roman"/>
        </w:rPr>
        <w:t xml:space="preserve"> Philosophie in </w:t>
      </w:r>
      <w:proofErr w:type="spellStart"/>
      <w:r w:rsidRPr="00A472FC">
        <w:rPr>
          <w:rFonts w:ascii="Times New Roman" w:hAnsi="Times New Roman" w:cs="Times New Roman"/>
        </w:rPr>
        <w:t>Übergang</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zur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Hochscholastik</w:t>
      </w:r>
      <w:proofErr w:type="spellEnd"/>
      <w:r w:rsidRPr="00A472FC">
        <w:rPr>
          <w:rFonts w:ascii="Times New Roman" w:hAnsi="Times New Roman" w:cs="Times New Roman"/>
        </w:rPr>
        <w:t xml:space="preserve">.’ In </w:t>
      </w:r>
      <w:r w:rsidRPr="00A472FC">
        <w:rPr>
          <w:rFonts w:ascii="Times New Roman" w:hAnsi="Times New Roman" w:cs="Times New Roman"/>
          <w:i/>
          <w:iCs/>
        </w:rPr>
        <w:t xml:space="preserve">Thomas von </w:t>
      </w:r>
      <w:proofErr w:type="spellStart"/>
      <w:r w:rsidRPr="00A472FC">
        <w:rPr>
          <w:rFonts w:ascii="Times New Roman" w:hAnsi="Times New Roman" w:cs="Times New Roman"/>
          <w:i/>
          <w:iCs/>
        </w:rPr>
        <w:t>Aquin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im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philosophischen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Gespräch</w:t>
      </w:r>
      <w:proofErr w:type="spellEnd"/>
      <w:r w:rsidRPr="00A472FC">
        <w:rPr>
          <w:rFonts w:ascii="Times New Roman" w:hAnsi="Times New Roman" w:cs="Times New Roman"/>
        </w:rPr>
        <w:t xml:space="preserve">. Edited by Wolfgang </w:t>
      </w:r>
      <w:proofErr w:type="spellStart"/>
      <w:r w:rsidRPr="00A472FC">
        <w:rPr>
          <w:rFonts w:ascii="Times New Roman" w:hAnsi="Times New Roman" w:cs="Times New Roman"/>
        </w:rPr>
        <w:t>Klugen</w:t>
      </w:r>
      <w:proofErr w:type="spellEnd"/>
      <w:r w:rsidRPr="00A472FC">
        <w:rPr>
          <w:rFonts w:ascii="Times New Roman" w:hAnsi="Times New Roman" w:cs="Times New Roman"/>
        </w:rPr>
        <w:t>, 185-203. Freiburg</w:t>
      </w:r>
      <w:r w:rsidR="00854980" w:rsidRPr="00A472FC">
        <w:rPr>
          <w:rFonts w:ascii="Times New Roman" w:hAnsi="Times New Roman" w:cs="Times New Roman"/>
        </w:rPr>
        <w:t xml:space="preserve">: Karl </w:t>
      </w:r>
      <w:proofErr w:type="spellStart"/>
      <w:r w:rsidR="00854980" w:rsidRPr="00A472FC">
        <w:rPr>
          <w:rFonts w:ascii="Times New Roman" w:hAnsi="Times New Roman" w:cs="Times New Roman"/>
        </w:rPr>
        <w:t>Alber</w:t>
      </w:r>
      <w:proofErr w:type="spellEnd"/>
      <w:r w:rsidRPr="00A472FC">
        <w:rPr>
          <w:rFonts w:ascii="Times New Roman" w:hAnsi="Times New Roman" w:cs="Times New Roman"/>
        </w:rPr>
        <w:t>, 1975.</w:t>
      </w:r>
    </w:p>
    <w:p w14:paraId="65F80E5C" w14:textId="4B8345D2"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w:t>
      </w:r>
      <w:proofErr w:type="spellStart"/>
      <w:r w:rsidRPr="00A472FC">
        <w:rPr>
          <w:rFonts w:ascii="Times New Roman" w:hAnsi="Times New Roman" w:cs="Times New Roman"/>
        </w:rPr>
        <w:t>Aristoteles-Rezeption</w:t>
      </w:r>
      <w:proofErr w:type="spellEnd"/>
      <w:r w:rsidRPr="00A472FC">
        <w:rPr>
          <w:rFonts w:ascii="Times New Roman" w:hAnsi="Times New Roman" w:cs="Times New Roman"/>
        </w:rPr>
        <w:t xml:space="preserve"> und </w:t>
      </w:r>
      <w:proofErr w:type="spellStart"/>
      <w:r w:rsidRPr="00A472FC">
        <w:rPr>
          <w:rFonts w:ascii="Times New Roman" w:hAnsi="Times New Roman" w:cs="Times New Roman"/>
        </w:rPr>
        <w:t>Aristoteles-Kritik</w:t>
      </w:r>
      <w:proofErr w:type="spellEnd"/>
      <w:r w:rsidRPr="00A472FC">
        <w:rPr>
          <w:rFonts w:ascii="Times New Roman" w:hAnsi="Times New Roman" w:cs="Times New Roman"/>
        </w:rPr>
        <w:t xml:space="preserve"> in Wilhelm von Auvergne’s </w:t>
      </w:r>
      <w:proofErr w:type="spellStart"/>
      <w:r w:rsidRPr="00A472FC">
        <w:rPr>
          <w:rFonts w:ascii="Times New Roman" w:hAnsi="Times New Roman" w:cs="Times New Roman"/>
          <w:i/>
        </w:rPr>
        <w:t>Tractatus</w:t>
      </w:r>
      <w:proofErr w:type="spellEnd"/>
      <w:r w:rsidRPr="00A472FC">
        <w:rPr>
          <w:rFonts w:ascii="Times New Roman" w:hAnsi="Times New Roman" w:cs="Times New Roman"/>
          <w:i/>
        </w:rPr>
        <w:t xml:space="preserve"> de anima</w:t>
      </w:r>
      <w:r w:rsidRPr="00A472FC">
        <w:rPr>
          <w:rFonts w:ascii="Times New Roman" w:hAnsi="Times New Roman" w:cs="Times New Roman"/>
        </w:rPr>
        <w:t xml:space="preserve">.’ In </w:t>
      </w:r>
      <w:r w:rsidRPr="00A472FC">
        <w:rPr>
          <w:rFonts w:ascii="Times New Roman" w:hAnsi="Times New Roman" w:cs="Times New Roman"/>
          <w:i/>
          <w:iCs/>
        </w:rPr>
        <w:t>Knowledge and the Sciences in Medieval Philosophy</w:t>
      </w:r>
      <w:r w:rsidRPr="00A472FC">
        <w:rPr>
          <w:rFonts w:ascii="Times New Roman" w:hAnsi="Times New Roman" w:cs="Times New Roman"/>
        </w:rPr>
        <w:t xml:space="preserve">. Edited by </w:t>
      </w:r>
      <w:proofErr w:type="spellStart"/>
      <w:r w:rsidRPr="00A472FC">
        <w:rPr>
          <w:rFonts w:ascii="Times New Roman" w:hAnsi="Times New Roman" w:cs="Times New Roman"/>
        </w:rPr>
        <w:t>Reijo</w:t>
      </w:r>
      <w:proofErr w:type="spellEnd"/>
      <w:r w:rsidRPr="00A472FC">
        <w:rPr>
          <w:rFonts w:ascii="Times New Roman" w:hAnsi="Times New Roman" w:cs="Times New Roman"/>
        </w:rPr>
        <w:t xml:space="preserve"> et al </w:t>
      </w:r>
      <w:proofErr w:type="spellStart"/>
      <w:r w:rsidRPr="00A472FC">
        <w:rPr>
          <w:rFonts w:ascii="Times New Roman" w:hAnsi="Times New Roman" w:cs="Times New Roman"/>
        </w:rPr>
        <w:t>Työrinoja</w:t>
      </w:r>
      <w:proofErr w:type="spellEnd"/>
      <w:r w:rsidRPr="00A472FC">
        <w:rPr>
          <w:rFonts w:ascii="Times New Roman" w:hAnsi="Times New Roman" w:cs="Times New Roman"/>
        </w:rPr>
        <w:t>, 87-96. Helsinki</w:t>
      </w:r>
      <w:r w:rsidR="000C59D5" w:rsidRPr="00A472FC">
        <w:rPr>
          <w:rFonts w:ascii="Times New Roman" w:hAnsi="Times New Roman" w:cs="Times New Roman"/>
        </w:rPr>
        <w:t>: Alpha</w:t>
      </w:r>
      <w:r w:rsidRPr="00A472FC">
        <w:rPr>
          <w:rFonts w:ascii="Times New Roman" w:hAnsi="Times New Roman" w:cs="Times New Roman"/>
        </w:rPr>
        <w:t>, 1990.</w:t>
      </w:r>
    </w:p>
    <w:p w14:paraId="784BDD86"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Nejeschebi</w:t>
      </w:r>
      <w:proofErr w:type="spellEnd"/>
      <w:r w:rsidRPr="00A472FC">
        <w:rPr>
          <w:rFonts w:ascii="Times New Roman" w:hAnsi="Times New Roman" w:cs="Times New Roman"/>
        </w:rPr>
        <w:t xml:space="preserve">, Tomas. ‘Thomas Aquinas and the Early Franciscan School on the Agent Intellect.’ </w:t>
      </w:r>
      <w:proofErr w:type="spellStart"/>
      <w:r w:rsidRPr="00A472FC">
        <w:rPr>
          <w:rFonts w:ascii="Times New Roman" w:hAnsi="Times New Roman" w:cs="Times New Roman"/>
          <w:i/>
          <w:iCs/>
        </w:rPr>
        <w:t>Verbum</w:t>
      </w:r>
      <w:proofErr w:type="spellEnd"/>
      <w:r w:rsidRPr="00A472FC">
        <w:rPr>
          <w:rFonts w:ascii="Times New Roman" w:hAnsi="Times New Roman" w:cs="Times New Roman"/>
          <w:i/>
          <w:iCs/>
        </w:rPr>
        <w:t xml:space="preserve"> </w:t>
      </w:r>
      <w:r w:rsidRPr="00A472FC">
        <w:rPr>
          <w:rFonts w:ascii="Times New Roman" w:hAnsi="Times New Roman" w:cs="Times New Roman"/>
        </w:rPr>
        <w:t>6:1 (2004): 67-78.</w:t>
      </w:r>
    </w:p>
    <w:p w14:paraId="117E526C" w14:textId="18C6E51D"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O'Daly, G. J. P.</w:t>
      </w:r>
      <w:r w:rsidR="00A50F12" w:rsidRPr="00A472FC">
        <w:rPr>
          <w:rFonts w:ascii="Times New Roman" w:hAnsi="Times New Roman" w:cs="Times New Roman"/>
        </w:rPr>
        <w:t xml:space="preserve"> </w:t>
      </w:r>
      <w:r w:rsidRPr="00A472FC">
        <w:rPr>
          <w:rFonts w:ascii="Times New Roman" w:hAnsi="Times New Roman" w:cs="Times New Roman"/>
        </w:rPr>
        <w:t xml:space="preserve">and A. </w:t>
      </w:r>
      <w:proofErr w:type="spellStart"/>
      <w:r w:rsidRPr="00A472FC">
        <w:rPr>
          <w:rFonts w:ascii="Times New Roman" w:hAnsi="Times New Roman" w:cs="Times New Roman"/>
        </w:rPr>
        <w:t>Zumkeller</w:t>
      </w:r>
      <w:proofErr w:type="spellEnd"/>
      <w:r w:rsidRPr="00A472FC">
        <w:rPr>
          <w:rFonts w:ascii="Times New Roman" w:hAnsi="Times New Roman" w:cs="Times New Roman"/>
        </w:rPr>
        <w:t>. ‘</w:t>
      </w:r>
      <w:proofErr w:type="spellStart"/>
      <w:r w:rsidRPr="00A472FC">
        <w:rPr>
          <w:rFonts w:ascii="Times New Roman" w:hAnsi="Times New Roman" w:cs="Times New Roman"/>
        </w:rPr>
        <w:t>Affectus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passio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perturbatio</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i/>
          <w:iCs/>
        </w:rPr>
        <w:t>Augustinus‐Lexikon</w:t>
      </w:r>
      <w:proofErr w:type="spellEnd"/>
      <w:r w:rsidR="003555FB" w:rsidRPr="00A472FC">
        <w:rPr>
          <w:rFonts w:ascii="Times New Roman" w:hAnsi="Times New Roman" w:cs="Times New Roman"/>
        </w:rPr>
        <w:t xml:space="preserve">, vol. 1. </w:t>
      </w:r>
      <w:r w:rsidRPr="00A472FC">
        <w:rPr>
          <w:rFonts w:ascii="Times New Roman" w:hAnsi="Times New Roman" w:cs="Times New Roman"/>
        </w:rPr>
        <w:t xml:space="preserve">Edited by C. Mayer, 166–80. Basel: </w:t>
      </w:r>
      <w:proofErr w:type="spellStart"/>
      <w:r w:rsidRPr="00A472FC">
        <w:rPr>
          <w:rFonts w:ascii="Times New Roman" w:hAnsi="Times New Roman" w:cs="Times New Roman"/>
        </w:rPr>
        <w:t>Schwabe</w:t>
      </w:r>
      <w:proofErr w:type="spellEnd"/>
      <w:r w:rsidRPr="00A472FC">
        <w:rPr>
          <w:rFonts w:ascii="Times New Roman" w:hAnsi="Times New Roman" w:cs="Times New Roman"/>
        </w:rPr>
        <w:t>, 1986–.</w:t>
      </w:r>
    </w:p>
    <w:p w14:paraId="362CACB6"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Osborne, Keenan B. ‘Alexander of Hales.’ In </w:t>
      </w:r>
      <w:r w:rsidRPr="00A472FC">
        <w:rPr>
          <w:rFonts w:ascii="Times New Roman" w:hAnsi="Times New Roman" w:cs="Times New Roman"/>
          <w:i/>
          <w:iCs/>
        </w:rPr>
        <w:t>The History of Franciscan Theology</w:t>
      </w:r>
      <w:r w:rsidRPr="00A472FC">
        <w:rPr>
          <w:rFonts w:ascii="Times New Roman" w:hAnsi="Times New Roman" w:cs="Times New Roman"/>
        </w:rPr>
        <w:t>, 1-38. St Bonaventure: The Franciscan Institute, 2007.</w:t>
      </w:r>
    </w:p>
    <w:p w14:paraId="6AEA93C9"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Pasnau</w:t>
      </w:r>
      <w:proofErr w:type="spellEnd"/>
      <w:r w:rsidRPr="00A472FC">
        <w:rPr>
          <w:rFonts w:ascii="Times New Roman" w:hAnsi="Times New Roman" w:cs="Times New Roman"/>
        </w:rPr>
        <w:t xml:space="preserve">, Robert. </w:t>
      </w:r>
      <w:r w:rsidRPr="00A472FC">
        <w:rPr>
          <w:rFonts w:ascii="Times New Roman" w:hAnsi="Times New Roman" w:cs="Times New Roman"/>
          <w:i/>
        </w:rPr>
        <w:t xml:space="preserve">Thomas Aquinas on Human Nature: A Philosophical Study of the Summa </w:t>
      </w:r>
      <w:proofErr w:type="spellStart"/>
      <w:r w:rsidRPr="00A472FC">
        <w:rPr>
          <w:rFonts w:ascii="Times New Roman" w:hAnsi="Times New Roman" w:cs="Times New Roman"/>
          <w:i/>
        </w:rPr>
        <w:t>Theologiae</w:t>
      </w:r>
      <w:proofErr w:type="spellEnd"/>
      <w:r w:rsidRPr="00A472FC">
        <w:rPr>
          <w:rFonts w:ascii="Times New Roman" w:hAnsi="Times New Roman" w:cs="Times New Roman"/>
          <w:i/>
        </w:rPr>
        <w:t xml:space="preserve"> Ia 75-89. </w:t>
      </w:r>
      <w:r w:rsidRPr="00A472FC">
        <w:rPr>
          <w:rFonts w:ascii="Times New Roman" w:hAnsi="Times New Roman" w:cs="Times New Roman"/>
        </w:rPr>
        <w:t>Cambridge: Cambridge University Press, 2001.</w:t>
      </w:r>
    </w:p>
    <w:p w14:paraId="443485C6" w14:textId="21505105"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‘Souls and the Beginning of Life.’ </w:t>
      </w:r>
      <w:r w:rsidRPr="00A472FC">
        <w:rPr>
          <w:rFonts w:ascii="Times New Roman" w:hAnsi="Times New Roman" w:cs="Times New Roman"/>
          <w:i/>
        </w:rPr>
        <w:t xml:space="preserve">Philosophy </w:t>
      </w:r>
      <w:r w:rsidRPr="00A472FC">
        <w:rPr>
          <w:rFonts w:ascii="Times New Roman" w:hAnsi="Times New Roman" w:cs="Times New Roman"/>
        </w:rPr>
        <w:t>78:306 (October 2003): 509-19</w:t>
      </w:r>
    </w:p>
    <w:p w14:paraId="2DFCCB3B" w14:textId="77777777" w:rsidR="006A6E61" w:rsidRPr="00A472FC" w:rsidRDefault="006A6E61"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Perler, Dominik. ‘Thought Experiments: The Methodological Function of Angels in Late Medieval Epistemology.’ In </w:t>
      </w:r>
      <w:r w:rsidRPr="00A472FC">
        <w:rPr>
          <w:rFonts w:ascii="Times New Roman" w:hAnsi="Times New Roman" w:cs="Times New Roman"/>
          <w:i/>
          <w:iCs/>
        </w:rPr>
        <w:t xml:space="preserve">Angels in Medieval Philosophical Inquiry: Their Function </w:t>
      </w:r>
      <w:r w:rsidRPr="00A472FC">
        <w:rPr>
          <w:rFonts w:ascii="Times New Roman" w:hAnsi="Times New Roman" w:cs="Times New Roman"/>
          <w:i/>
          <w:iCs/>
        </w:rPr>
        <w:lastRenderedPageBreak/>
        <w:t>and Significance</w:t>
      </w:r>
      <w:r w:rsidRPr="00A472FC">
        <w:rPr>
          <w:rFonts w:ascii="Times New Roman" w:hAnsi="Times New Roman" w:cs="Times New Roman"/>
        </w:rPr>
        <w:t xml:space="preserve">. Edited by Isabel </w:t>
      </w:r>
      <w:proofErr w:type="spellStart"/>
      <w:r w:rsidRPr="00A472FC">
        <w:rPr>
          <w:rFonts w:ascii="Times New Roman" w:hAnsi="Times New Roman" w:cs="Times New Roman"/>
        </w:rPr>
        <w:t>Iribarren</w:t>
      </w:r>
      <w:proofErr w:type="spellEnd"/>
      <w:r w:rsidRPr="00A472FC">
        <w:rPr>
          <w:rFonts w:ascii="Times New Roman" w:hAnsi="Times New Roman" w:cs="Times New Roman"/>
        </w:rPr>
        <w:t xml:space="preserve"> and Martin Lenz, 143-53. Aldershot: </w:t>
      </w:r>
      <w:proofErr w:type="spellStart"/>
      <w:r w:rsidRPr="00A472FC">
        <w:rPr>
          <w:rFonts w:ascii="Times New Roman" w:hAnsi="Times New Roman" w:cs="Times New Roman"/>
        </w:rPr>
        <w:t>Ashgate</w:t>
      </w:r>
      <w:proofErr w:type="spellEnd"/>
      <w:r w:rsidRPr="00A472FC">
        <w:rPr>
          <w:rFonts w:ascii="Times New Roman" w:hAnsi="Times New Roman" w:cs="Times New Roman"/>
        </w:rPr>
        <w:t>, 2008.</w:t>
      </w:r>
    </w:p>
    <w:p w14:paraId="3083EEB3" w14:textId="7F30C138" w:rsidR="000B105F" w:rsidRPr="00A472FC" w:rsidRDefault="000B105F"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w:t>
      </w:r>
      <w:r w:rsidRPr="00A472FC">
        <w:rPr>
          <w:rFonts w:ascii="Times New Roman" w:hAnsi="Times New Roman" w:cs="Times New Roman"/>
          <w:color w:val="000000"/>
        </w:rPr>
        <w:t xml:space="preserve">How Many Souls Do I Have? Late Aristotelian Debates on the Plurality of Faculties.’ In </w:t>
      </w:r>
      <w:r w:rsidRPr="00A472FC">
        <w:rPr>
          <w:rFonts w:ascii="Times New Roman" w:hAnsi="Times New Roman" w:cs="Times New Roman"/>
          <w:i/>
          <w:iCs/>
          <w:color w:val="000000"/>
        </w:rPr>
        <w:t>Medieval Perspectives on Aristotle’s De anima</w:t>
      </w:r>
      <w:r w:rsidR="00205FC4" w:rsidRPr="00A472FC">
        <w:rPr>
          <w:rFonts w:ascii="Times New Roman" w:hAnsi="Times New Roman" w:cs="Times New Roman"/>
          <w:color w:val="000000"/>
        </w:rPr>
        <w:t>. Edited by</w:t>
      </w:r>
      <w:r w:rsidRPr="00A472FC">
        <w:rPr>
          <w:rFonts w:ascii="Times New Roman" w:hAnsi="Times New Roman" w:cs="Times New Roman"/>
          <w:color w:val="000000"/>
        </w:rPr>
        <w:t xml:space="preserve"> R. Friedman </w:t>
      </w:r>
      <w:r w:rsidR="00A50F12" w:rsidRPr="00A472FC">
        <w:rPr>
          <w:rFonts w:ascii="Times New Roman" w:hAnsi="Times New Roman" w:cs="Times New Roman"/>
          <w:color w:val="000000"/>
        </w:rPr>
        <w:t>and</w:t>
      </w:r>
      <w:r w:rsidRPr="00A472FC">
        <w:rPr>
          <w:rFonts w:ascii="Times New Roman" w:hAnsi="Times New Roman" w:cs="Times New Roman"/>
          <w:color w:val="000000"/>
        </w:rPr>
        <w:t xml:space="preserve"> J.-M. </w:t>
      </w:r>
      <w:proofErr w:type="spellStart"/>
      <w:r w:rsidRPr="00A472FC">
        <w:rPr>
          <w:rFonts w:ascii="Times New Roman" w:hAnsi="Times New Roman" w:cs="Times New Roman"/>
          <w:color w:val="000000"/>
        </w:rPr>
        <w:t>Counet</w:t>
      </w:r>
      <w:proofErr w:type="spellEnd"/>
      <w:r w:rsidR="00205FC4" w:rsidRPr="00A472FC">
        <w:rPr>
          <w:rFonts w:ascii="Times New Roman" w:hAnsi="Times New Roman" w:cs="Times New Roman"/>
          <w:color w:val="000000"/>
        </w:rPr>
        <w:t xml:space="preserve">, 277-96. </w:t>
      </w:r>
      <w:proofErr w:type="spellStart"/>
      <w:r w:rsidRPr="00A472FC">
        <w:rPr>
          <w:rFonts w:ascii="Times New Roman" w:hAnsi="Times New Roman" w:cs="Times New Roman"/>
          <w:color w:val="000000"/>
        </w:rPr>
        <w:t>Louvain</w:t>
      </w:r>
      <w:proofErr w:type="spellEnd"/>
      <w:r w:rsidRPr="00A472FC">
        <w:rPr>
          <w:rFonts w:ascii="Times New Roman" w:hAnsi="Times New Roman" w:cs="Times New Roman"/>
          <w:color w:val="000000"/>
        </w:rPr>
        <w:t>: Peeters 2013</w:t>
      </w:r>
      <w:r w:rsidR="00205FC4" w:rsidRPr="00A472FC">
        <w:rPr>
          <w:rFonts w:ascii="Times New Roman" w:hAnsi="Times New Roman" w:cs="Times New Roman"/>
          <w:color w:val="000000"/>
        </w:rPr>
        <w:t>.</w:t>
      </w:r>
    </w:p>
    <w:p w14:paraId="6BB098B9" w14:textId="6F02F2AB" w:rsidR="000B105F" w:rsidRPr="00A472FC" w:rsidRDefault="000B105F" w:rsidP="00BC3D8F">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w:t>
      </w:r>
      <w:r w:rsidR="00205FC4" w:rsidRPr="00A472FC">
        <w:rPr>
          <w:rFonts w:ascii="Times New Roman" w:hAnsi="Times New Roman" w:cs="Times New Roman"/>
        </w:rPr>
        <w:t xml:space="preserve"> ‘</w:t>
      </w:r>
      <w:r w:rsidRPr="00A472FC">
        <w:rPr>
          <w:rFonts w:ascii="Times New Roman" w:hAnsi="Times New Roman" w:cs="Times New Roman"/>
          <w:color w:val="000000"/>
        </w:rPr>
        <w:t>What Are Faculties of the Soul? Descartes and His Scholastic Background</w:t>
      </w:r>
      <w:r w:rsidR="00BC3D8F" w:rsidRPr="00A472FC">
        <w:rPr>
          <w:rFonts w:ascii="Times New Roman" w:hAnsi="Times New Roman" w:cs="Times New Roman"/>
          <w:color w:val="000000"/>
        </w:rPr>
        <w:t>.</w:t>
      </w:r>
      <w:r w:rsidRPr="00A472FC">
        <w:rPr>
          <w:rFonts w:ascii="Times New Roman" w:hAnsi="Times New Roman" w:cs="Times New Roman"/>
          <w:color w:val="000000"/>
        </w:rPr>
        <w:t xml:space="preserve">’ </w:t>
      </w:r>
      <w:r w:rsidRPr="00A472FC">
        <w:rPr>
          <w:rFonts w:ascii="Times New Roman" w:hAnsi="Times New Roman" w:cs="Times New Roman"/>
          <w:i/>
          <w:iCs/>
          <w:color w:val="000000"/>
        </w:rPr>
        <w:t xml:space="preserve">Proceedings of the British Academy </w:t>
      </w:r>
      <w:r w:rsidRPr="00A472FC">
        <w:rPr>
          <w:rFonts w:ascii="Times New Roman" w:hAnsi="Times New Roman" w:cs="Times New Roman"/>
          <w:color w:val="000000"/>
        </w:rPr>
        <w:t>189 (2013)</w:t>
      </w:r>
      <w:r w:rsidR="00A50F12" w:rsidRPr="00A472FC">
        <w:rPr>
          <w:rFonts w:ascii="Times New Roman" w:hAnsi="Times New Roman" w:cs="Times New Roman"/>
          <w:color w:val="000000"/>
        </w:rPr>
        <w:t xml:space="preserve">: </w:t>
      </w:r>
      <w:r w:rsidRPr="00A472FC">
        <w:rPr>
          <w:rFonts w:ascii="Times New Roman" w:hAnsi="Times New Roman" w:cs="Times New Roman"/>
          <w:color w:val="000000"/>
        </w:rPr>
        <w:t>9-38.</w:t>
      </w:r>
    </w:p>
    <w:p w14:paraId="7976F02A" w14:textId="128EFD24" w:rsidR="00AF63B1" w:rsidRPr="00A472FC" w:rsidRDefault="00AF63B1" w:rsidP="00881604">
      <w:pPr>
        <w:autoSpaceDE w:val="0"/>
        <w:autoSpaceDN w:val="0"/>
        <w:adjustRightInd w:val="0"/>
        <w:ind w:left="709" w:right="-52" w:hanging="709"/>
        <w:rPr>
          <w:rFonts w:ascii="Times New Roman" w:hAnsi="Times New Roman" w:cs="Times New Roman"/>
          <w:lang w:val="en-US"/>
        </w:rPr>
      </w:pPr>
      <w:r w:rsidRPr="00A472FC">
        <w:rPr>
          <w:rFonts w:ascii="Times New Roman" w:hAnsi="Times New Roman" w:cs="Times New Roman"/>
        </w:rPr>
        <w:t xml:space="preserve">Perler, Dominik and </w:t>
      </w:r>
      <w:r w:rsidRPr="00A472FC">
        <w:rPr>
          <w:rFonts w:ascii="Times New Roman" w:hAnsi="Times New Roman" w:cs="Times New Roman"/>
          <w:lang w:val="en-US"/>
        </w:rPr>
        <w:t xml:space="preserve">Klaus </w:t>
      </w:r>
      <w:proofErr w:type="spellStart"/>
      <w:r w:rsidRPr="00A472FC">
        <w:rPr>
          <w:rFonts w:ascii="Times New Roman" w:hAnsi="Times New Roman" w:cs="Times New Roman"/>
          <w:lang w:val="en-US"/>
        </w:rPr>
        <w:t>Corcilius</w:t>
      </w:r>
      <w:proofErr w:type="spellEnd"/>
      <w:r w:rsidRPr="00A472FC">
        <w:rPr>
          <w:rFonts w:ascii="Times New Roman" w:hAnsi="Times New Roman" w:cs="Times New Roman"/>
          <w:i/>
          <w:lang w:val="en-US"/>
        </w:rPr>
        <w:t>. Partitioning the Soul</w:t>
      </w:r>
      <w:r w:rsidR="00454285" w:rsidRPr="00A472FC">
        <w:rPr>
          <w:rFonts w:ascii="Times New Roman" w:hAnsi="Times New Roman" w:cs="Times New Roman"/>
          <w:i/>
          <w:lang w:val="en-US"/>
        </w:rPr>
        <w:t>:</w:t>
      </w:r>
      <w:r w:rsidRPr="00A472FC">
        <w:rPr>
          <w:rFonts w:ascii="Times New Roman" w:hAnsi="Times New Roman" w:cs="Times New Roman"/>
          <w:i/>
          <w:lang w:val="en-US"/>
        </w:rPr>
        <w:t xml:space="preserve"> Debates from Plato to Leibniz</w:t>
      </w:r>
      <w:r w:rsidRPr="00A472FC">
        <w:rPr>
          <w:rFonts w:ascii="Times New Roman" w:hAnsi="Times New Roman" w:cs="Times New Roman"/>
          <w:lang w:val="en-US"/>
        </w:rPr>
        <w:t>. Berlin: De Gruyter 2014.</w:t>
      </w:r>
    </w:p>
    <w:p w14:paraId="560D6927" w14:textId="20C9D180" w:rsidR="006A6E61" w:rsidRPr="00A472FC" w:rsidRDefault="006A6E61" w:rsidP="00881604">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t>Pessin</w:t>
      </w:r>
      <w:proofErr w:type="spellEnd"/>
      <w:r w:rsidRPr="00A472FC">
        <w:rPr>
          <w:rFonts w:ascii="Times New Roman" w:hAnsi="Times New Roman" w:cs="Times New Roman"/>
        </w:rPr>
        <w:t>, Sarah.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 In </w:t>
      </w:r>
      <w:r w:rsidRPr="00A472FC">
        <w:rPr>
          <w:rFonts w:ascii="Times New Roman" w:hAnsi="Times New Roman" w:cs="Times New Roman"/>
          <w:i/>
          <w:iCs/>
        </w:rPr>
        <w:t xml:space="preserve">The Stanford </w:t>
      </w:r>
      <w:proofErr w:type="spellStart"/>
      <w:r w:rsidRPr="00A472FC">
        <w:rPr>
          <w:rFonts w:ascii="Times New Roman" w:hAnsi="Times New Roman" w:cs="Times New Roman"/>
          <w:i/>
          <w:iCs/>
        </w:rPr>
        <w:t>Encyclopedia</w:t>
      </w:r>
      <w:proofErr w:type="spellEnd"/>
      <w:r w:rsidRPr="00A472FC">
        <w:rPr>
          <w:rFonts w:ascii="Times New Roman" w:hAnsi="Times New Roman" w:cs="Times New Roman"/>
          <w:i/>
          <w:iCs/>
        </w:rPr>
        <w:t xml:space="preserve"> of Philosophy</w:t>
      </w:r>
      <w:r w:rsidRPr="00A472FC">
        <w:rPr>
          <w:rFonts w:ascii="Times New Roman" w:hAnsi="Times New Roman" w:cs="Times New Roman"/>
        </w:rPr>
        <w:t>. Online edition. https://plato.stanford.edu/entries/ibn-gabirol/.</w:t>
      </w:r>
    </w:p>
    <w:p w14:paraId="4853104E" w14:textId="77777777" w:rsidR="00F4538D" w:rsidRPr="00A472FC" w:rsidRDefault="00F4538D" w:rsidP="00881604">
      <w:pPr>
        <w:autoSpaceDE w:val="0"/>
        <w:autoSpaceDN w:val="0"/>
        <w:adjustRightInd w:val="0"/>
        <w:ind w:left="709" w:right="-52" w:hanging="709"/>
        <w:rPr>
          <w:rFonts w:ascii="Times New Roman" w:hAnsi="Times New Roman" w:cs="Times New Roman"/>
          <w:color w:val="000000" w:themeColor="text1"/>
        </w:rPr>
      </w:pPr>
      <w:r w:rsidRPr="00A472FC">
        <w:rPr>
          <w:rFonts w:ascii="Times New Roman" w:hAnsi="Times New Roman" w:cs="Times New Roman"/>
        </w:rPr>
        <w:t xml:space="preserve">———. </w:t>
      </w:r>
      <w:r w:rsidRPr="00A472FC">
        <w:rPr>
          <w:rFonts w:ascii="Times New Roman" w:hAnsi="Times New Roman" w:cs="Times New Roman"/>
          <w:i/>
          <w:color w:val="000000" w:themeColor="text1"/>
        </w:rPr>
        <w:t xml:space="preserve">Ibn </w:t>
      </w:r>
      <w:proofErr w:type="spellStart"/>
      <w:r w:rsidRPr="00A472FC">
        <w:rPr>
          <w:rFonts w:ascii="Times New Roman" w:hAnsi="Times New Roman" w:cs="Times New Roman"/>
          <w:i/>
          <w:color w:val="000000" w:themeColor="text1"/>
        </w:rPr>
        <w:t>Gabirol’s</w:t>
      </w:r>
      <w:proofErr w:type="spellEnd"/>
      <w:r w:rsidRPr="00A472FC">
        <w:rPr>
          <w:rFonts w:ascii="Times New Roman" w:hAnsi="Times New Roman" w:cs="Times New Roman"/>
          <w:i/>
          <w:color w:val="000000" w:themeColor="text1"/>
        </w:rPr>
        <w:t xml:space="preserve"> Theology of Desire: Matter and Method in Jewish Medieval Neoplatonism. </w:t>
      </w:r>
      <w:r w:rsidRPr="00A472FC">
        <w:rPr>
          <w:rFonts w:ascii="Times New Roman" w:hAnsi="Times New Roman" w:cs="Times New Roman"/>
          <w:color w:val="000000" w:themeColor="text1"/>
        </w:rPr>
        <w:t>Cambridge: Cambridge University Press, 2013.</w:t>
      </w:r>
    </w:p>
    <w:p w14:paraId="5B87EB63" w14:textId="605F6FDB" w:rsidR="006A6E61" w:rsidRPr="00A472FC" w:rsidRDefault="006A6E61" w:rsidP="00881604">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t>Pitour</w:t>
      </w:r>
      <w:proofErr w:type="spellEnd"/>
      <w:r w:rsidRPr="00A472FC">
        <w:rPr>
          <w:rFonts w:ascii="Times New Roman" w:hAnsi="Times New Roman" w:cs="Times New Roman"/>
        </w:rPr>
        <w:t xml:space="preserve">, Thomas. </w:t>
      </w:r>
      <w:r w:rsidRPr="00A472FC">
        <w:rPr>
          <w:rFonts w:ascii="Times New Roman" w:hAnsi="Times New Roman" w:cs="Times New Roman"/>
          <w:i/>
          <w:iCs/>
        </w:rPr>
        <w:t xml:space="preserve">Wilhelm von Auvergne’s </w:t>
      </w:r>
      <w:proofErr w:type="spellStart"/>
      <w:r w:rsidRPr="00A472FC">
        <w:rPr>
          <w:rFonts w:ascii="Times New Roman" w:hAnsi="Times New Roman" w:cs="Times New Roman"/>
          <w:i/>
          <w:iCs/>
        </w:rPr>
        <w:t>Psychologie</w:t>
      </w:r>
      <w:proofErr w:type="spellEnd"/>
      <w:r w:rsidRPr="00A472FC">
        <w:rPr>
          <w:rFonts w:ascii="Times New Roman" w:hAnsi="Times New Roman" w:cs="Times New Roman"/>
          <w:i/>
          <w:iCs/>
        </w:rPr>
        <w:t xml:space="preserve">: von </w:t>
      </w:r>
      <w:proofErr w:type="spellStart"/>
      <w:r w:rsidRPr="00A472FC">
        <w:rPr>
          <w:rFonts w:ascii="Times New Roman" w:hAnsi="Times New Roman" w:cs="Times New Roman"/>
          <w:i/>
          <w:iCs/>
        </w:rPr>
        <w:t>der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Rezeption</w:t>
      </w:r>
      <w:proofErr w:type="spellEnd"/>
      <w:r w:rsidRPr="00A472FC">
        <w:rPr>
          <w:rFonts w:ascii="Times New Roman" w:hAnsi="Times New Roman" w:cs="Times New Roman"/>
          <w:i/>
          <w:iCs/>
        </w:rPr>
        <w:t xml:space="preserve"> des </w:t>
      </w:r>
      <w:proofErr w:type="spellStart"/>
      <w:r w:rsidRPr="00A472FC">
        <w:rPr>
          <w:rFonts w:ascii="Times New Roman" w:hAnsi="Times New Roman" w:cs="Times New Roman"/>
          <w:i/>
          <w:iCs/>
        </w:rPr>
        <w:t>aristotelische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Hylemorphismus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zur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Reformulierung</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der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Imago-Dei-Lehre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Augustinus</w:t>
      </w:r>
      <w:proofErr w:type="spellEnd"/>
      <w:r w:rsidRPr="00A472FC">
        <w:rPr>
          <w:rFonts w:ascii="Times New Roman" w:hAnsi="Times New Roman" w:cs="Times New Roman"/>
          <w:i/>
          <w:iCs/>
        </w:rPr>
        <w:t>.</w:t>
      </w:r>
      <w:r w:rsidRPr="00A472FC">
        <w:rPr>
          <w:rFonts w:ascii="Times New Roman" w:hAnsi="Times New Roman" w:cs="Times New Roman"/>
        </w:rPr>
        <w:t xml:space="preserve"> Paderborn: Ferdinand and </w:t>
      </w:r>
      <w:proofErr w:type="spellStart"/>
      <w:r w:rsidRPr="00A472FC">
        <w:rPr>
          <w:rFonts w:ascii="Times New Roman" w:hAnsi="Times New Roman" w:cs="Times New Roman"/>
        </w:rPr>
        <w:t>Schönling</w:t>
      </w:r>
      <w:proofErr w:type="spellEnd"/>
      <w:r w:rsidRPr="00A472FC">
        <w:rPr>
          <w:rFonts w:ascii="Times New Roman" w:hAnsi="Times New Roman" w:cs="Times New Roman"/>
        </w:rPr>
        <w:t>, 2011.</w:t>
      </w:r>
    </w:p>
    <w:p w14:paraId="085E163A" w14:textId="5E9FC93E" w:rsidR="006A6E61" w:rsidRPr="00A472FC" w:rsidRDefault="006A6E61" w:rsidP="00881604">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t>Polloni</w:t>
      </w:r>
      <w:proofErr w:type="spellEnd"/>
      <w:r w:rsidRPr="00A472FC">
        <w:rPr>
          <w:rFonts w:ascii="Times New Roman" w:hAnsi="Times New Roman" w:cs="Times New Roman"/>
        </w:rPr>
        <w:t>, Nicola. ‘</w:t>
      </w:r>
      <w:proofErr w:type="spellStart"/>
      <w:r w:rsidRPr="00A472FC">
        <w:rPr>
          <w:rFonts w:ascii="Times New Roman" w:hAnsi="Times New Roman" w:cs="Times New Roman"/>
        </w:rPr>
        <w:t>Toledan</w:t>
      </w:r>
      <w:proofErr w:type="spellEnd"/>
      <w:r w:rsidRPr="00A472FC">
        <w:rPr>
          <w:rFonts w:ascii="Times New Roman" w:hAnsi="Times New Roman" w:cs="Times New Roman"/>
        </w:rPr>
        <w:t xml:space="preserve"> Ontologies: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xml:space="preserve">, Ibn </w:t>
      </w:r>
      <w:proofErr w:type="spellStart"/>
      <w:r w:rsidRPr="00A472FC">
        <w:rPr>
          <w:rFonts w:ascii="Times New Roman" w:hAnsi="Times New Roman" w:cs="Times New Roman"/>
        </w:rPr>
        <w:t>Daud</w:t>
      </w:r>
      <w:proofErr w:type="spellEnd"/>
      <w:r w:rsidRPr="00A472FC">
        <w:rPr>
          <w:rFonts w:ascii="Times New Roman" w:hAnsi="Times New Roman" w:cs="Times New Roman"/>
        </w:rPr>
        <w:t xml:space="preserve">, and the Problems of </w:t>
      </w:r>
      <w:proofErr w:type="spellStart"/>
      <w:r w:rsidRPr="00A472FC">
        <w:rPr>
          <w:rFonts w:ascii="Times New Roman" w:hAnsi="Times New Roman" w:cs="Times New Roman"/>
        </w:rPr>
        <w:t>Gabirolian</w:t>
      </w:r>
      <w:proofErr w:type="spellEnd"/>
      <w:r w:rsidRPr="00A472FC">
        <w:rPr>
          <w:rFonts w:ascii="Times New Roman" w:hAnsi="Times New Roman" w:cs="Times New Roman"/>
        </w:rPr>
        <w:t xml:space="preserve"> Hylomorphism.’ In </w:t>
      </w:r>
      <w:r w:rsidRPr="00A472FC">
        <w:rPr>
          <w:rFonts w:ascii="Times New Roman" w:hAnsi="Times New Roman" w:cs="Times New Roman"/>
          <w:i/>
          <w:iCs/>
        </w:rPr>
        <w:t>Appropriation, Interpretation and Criticism: Philosophical and Theological Exchanges Between the Arabic, Hebrew and Latin Intellectual Traditions</w:t>
      </w:r>
      <w:r w:rsidRPr="00A472FC">
        <w:rPr>
          <w:rFonts w:ascii="Times New Roman" w:hAnsi="Times New Roman" w:cs="Times New Roman"/>
        </w:rPr>
        <w:t xml:space="preserve">. Edited by Alexander Fidora and Nicola </w:t>
      </w:r>
      <w:proofErr w:type="spellStart"/>
      <w:r w:rsidRPr="00A472FC">
        <w:rPr>
          <w:rFonts w:ascii="Times New Roman" w:hAnsi="Times New Roman" w:cs="Times New Roman"/>
        </w:rPr>
        <w:t>Polloni</w:t>
      </w:r>
      <w:proofErr w:type="spellEnd"/>
      <w:r w:rsidRPr="00A472FC">
        <w:rPr>
          <w:rFonts w:ascii="Times New Roman" w:hAnsi="Times New Roman" w:cs="Times New Roman"/>
        </w:rPr>
        <w:t>, 19-49. Barcelona and Rome: F</w:t>
      </w:r>
      <w:r w:rsidR="00315F7C" w:rsidRPr="00A472FC">
        <w:rPr>
          <w:rFonts w:ascii="Times New Roman" w:hAnsi="Times New Roman" w:cs="Times New Roman"/>
        </w:rPr>
        <w:t>é</w:t>
      </w:r>
      <w:r w:rsidRPr="00A472FC">
        <w:rPr>
          <w:rFonts w:ascii="Times New Roman" w:hAnsi="Times New Roman" w:cs="Times New Roman"/>
        </w:rPr>
        <w:t>d</w:t>
      </w:r>
      <w:r w:rsidR="00315F7C" w:rsidRPr="00A472FC">
        <w:rPr>
          <w:rFonts w:ascii="Times New Roman" w:hAnsi="Times New Roman" w:cs="Times New Roman"/>
        </w:rPr>
        <w:t>é</w:t>
      </w:r>
      <w:r w:rsidRPr="00A472FC">
        <w:rPr>
          <w:rFonts w:ascii="Times New Roman" w:hAnsi="Times New Roman" w:cs="Times New Roman"/>
        </w:rPr>
        <w:t xml:space="preserve">ration Internationale des </w:t>
      </w:r>
      <w:proofErr w:type="spellStart"/>
      <w:r w:rsidRPr="00A472FC">
        <w:rPr>
          <w:rFonts w:ascii="Times New Roman" w:hAnsi="Times New Roman" w:cs="Times New Roman"/>
        </w:rPr>
        <w:t>Instituts</w:t>
      </w:r>
      <w:proofErr w:type="spellEnd"/>
      <w:r w:rsidRPr="00A472FC">
        <w:rPr>
          <w:rFonts w:ascii="Times New Roman" w:hAnsi="Times New Roman" w:cs="Times New Roman"/>
        </w:rPr>
        <w:t xml:space="preserve"> d'Etudes </w:t>
      </w:r>
      <w:proofErr w:type="spellStart"/>
      <w:r w:rsidRPr="00A472FC">
        <w:rPr>
          <w:rFonts w:ascii="Times New Roman" w:hAnsi="Times New Roman" w:cs="Times New Roman"/>
        </w:rPr>
        <w:t>M</w:t>
      </w:r>
      <w:r w:rsidR="00315F7C" w:rsidRPr="00A472FC">
        <w:rPr>
          <w:rFonts w:ascii="Times New Roman" w:hAnsi="Times New Roman" w:cs="Times New Roman"/>
        </w:rPr>
        <w:t>é</w:t>
      </w:r>
      <w:r w:rsidRPr="00A472FC">
        <w:rPr>
          <w:rFonts w:ascii="Times New Roman" w:hAnsi="Times New Roman" w:cs="Times New Roman"/>
        </w:rPr>
        <w:t>di</w:t>
      </w:r>
      <w:r w:rsidR="00315F7C" w:rsidRPr="00A472FC">
        <w:rPr>
          <w:rFonts w:ascii="Times New Roman" w:hAnsi="Times New Roman" w:cs="Times New Roman"/>
        </w:rPr>
        <w:t>é</w:t>
      </w:r>
      <w:r w:rsidRPr="00A472FC">
        <w:rPr>
          <w:rFonts w:ascii="Times New Roman" w:hAnsi="Times New Roman" w:cs="Times New Roman"/>
        </w:rPr>
        <w:t>vales</w:t>
      </w:r>
      <w:proofErr w:type="spellEnd"/>
      <w:r w:rsidRPr="00A472FC">
        <w:rPr>
          <w:rFonts w:ascii="Times New Roman" w:hAnsi="Times New Roman" w:cs="Times New Roman"/>
        </w:rPr>
        <w:t>, 2017.</w:t>
      </w:r>
    </w:p>
    <w:p w14:paraId="1C8759B5"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 xml:space="preserve">The Twelfth-Century Renewal of Latin Metaphysics: </w:t>
      </w:r>
      <w:proofErr w:type="spellStart"/>
      <w:r w:rsidRPr="00A472FC">
        <w:rPr>
          <w:rFonts w:ascii="Times New Roman" w:hAnsi="Times New Roman" w:cs="Times New Roman"/>
          <w:i/>
          <w:iCs/>
        </w:rPr>
        <w:t>Gundissalinus’s</w:t>
      </w:r>
      <w:proofErr w:type="spellEnd"/>
      <w:r w:rsidRPr="00A472FC">
        <w:rPr>
          <w:rFonts w:ascii="Times New Roman" w:hAnsi="Times New Roman" w:cs="Times New Roman"/>
          <w:i/>
          <w:iCs/>
        </w:rPr>
        <w:t xml:space="preserve"> Ontology of Matter and Form. </w:t>
      </w:r>
      <w:r w:rsidRPr="00A472FC">
        <w:rPr>
          <w:rFonts w:ascii="Times New Roman" w:hAnsi="Times New Roman" w:cs="Times New Roman"/>
        </w:rPr>
        <w:t>Toronto: PIMS, 2020.</w:t>
      </w:r>
    </w:p>
    <w:p w14:paraId="0F8935CC" w14:textId="76838A00"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w:t>
      </w:r>
      <w:proofErr w:type="spellStart"/>
      <w:r w:rsidRPr="00A472FC">
        <w:rPr>
          <w:rFonts w:ascii="Times New Roman" w:hAnsi="Times New Roman" w:cs="Times New Roman"/>
        </w:rPr>
        <w:t>Dominicus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Gundissalinus</w:t>
      </w:r>
      <w:proofErr w:type="spellEnd"/>
      <w:r w:rsidRPr="00A472FC">
        <w:rPr>
          <w:rFonts w:ascii="Times New Roman" w:hAnsi="Times New Roman" w:cs="Times New Roman"/>
        </w:rPr>
        <w:t>’ On Unity and the One</w:t>
      </w:r>
      <w:r w:rsidR="00C4053D" w:rsidRPr="00A472FC">
        <w:rPr>
          <w:rFonts w:ascii="Times New Roman" w:hAnsi="Times New Roman" w:cs="Times New Roman"/>
        </w:rPr>
        <w:t xml:space="preserve">.’ In </w:t>
      </w:r>
      <w:r w:rsidR="00C4053D" w:rsidRPr="00A472FC">
        <w:rPr>
          <w:rFonts w:ascii="Times New Roman" w:hAnsi="Times New Roman" w:cs="Times New Roman"/>
          <w:i/>
        </w:rPr>
        <w:t xml:space="preserve">Medieval Philosophy and the Jewish, Islamic, and Christian Traditions: Essays in </w:t>
      </w:r>
      <w:proofErr w:type="spellStart"/>
      <w:r w:rsidR="00C4053D" w:rsidRPr="00A472FC">
        <w:rPr>
          <w:rFonts w:ascii="Times New Roman" w:hAnsi="Times New Roman" w:cs="Times New Roman"/>
          <w:i/>
        </w:rPr>
        <w:t>Honor</w:t>
      </w:r>
      <w:proofErr w:type="spellEnd"/>
      <w:r w:rsidR="00C4053D" w:rsidRPr="00A472FC">
        <w:rPr>
          <w:rFonts w:ascii="Times New Roman" w:hAnsi="Times New Roman" w:cs="Times New Roman"/>
          <w:i/>
        </w:rPr>
        <w:t xml:space="preserve"> of Richard Taylor. </w:t>
      </w:r>
      <w:r w:rsidR="00C4053D" w:rsidRPr="00A472FC">
        <w:rPr>
          <w:rFonts w:ascii="Times New Roman" w:hAnsi="Times New Roman" w:cs="Times New Roman"/>
          <w:iCs/>
        </w:rPr>
        <w:t xml:space="preserve">Edited by L.X. López </w:t>
      </w:r>
      <w:proofErr w:type="spellStart"/>
      <w:r w:rsidR="00C4053D" w:rsidRPr="00A472FC">
        <w:rPr>
          <w:rFonts w:ascii="Times New Roman" w:hAnsi="Times New Roman" w:cs="Times New Roman"/>
          <w:iCs/>
        </w:rPr>
        <w:t>Farjeat</w:t>
      </w:r>
      <w:proofErr w:type="spellEnd"/>
      <w:r w:rsidR="00C4053D" w:rsidRPr="00A472FC">
        <w:rPr>
          <w:rFonts w:ascii="Times New Roman" w:hAnsi="Times New Roman" w:cs="Times New Roman"/>
          <w:iCs/>
        </w:rPr>
        <w:t xml:space="preserve">, K. Krause, and N. </w:t>
      </w:r>
      <w:proofErr w:type="spellStart"/>
      <w:r w:rsidR="00C4053D" w:rsidRPr="00A472FC">
        <w:rPr>
          <w:rFonts w:ascii="Times New Roman" w:hAnsi="Times New Roman" w:cs="Times New Roman"/>
          <w:iCs/>
        </w:rPr>
        <w:t>Oschman</w:t>
      </w:r>
      <w:proofErr w:type="spellEnd"/>
      <w:r w:rsidR="00C4053D" w:rsidRPr="00A472FC">
        <w:rPr>
          <w:rFonts w:ascii="Times New Roman" w:hAnsi="Times New Roman" w:cs="Times New Roman"/>
          <w:iCs/>
        </w:rPr>
        <w:t>, forthcoming.</w:t>
      </w:r>
    </w:p>
    <w:p w14:paraId="1DE179B3" w14:textId="01117113"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Pouchet</w:t>
      </w:r>
      <w:proofErr w:type="spellEnd"/>
      <w:r w:rsidRPr="00A472FC">
        <w:rPr>
          <w:rFonts w:ascii="Times New Roman" w:hAnsi="Times New Roman" w:cs="Times New Roman"/>
        </w:rPr>
        <w:t xml:space="preserve">, Robert. </w:t>
      </w:r>
      <w:r w:rsidRPr="00A472FC">
        <w:rPr>
          <w:rFonts w:ascii="Times New Roman" w:hAnsi="Times New Roman" w:cs="Times New Roman"/>
          <w:i/>
          <w:iCs/>
        </w:rPr>
        <w:t>La ‘</w:t>
      </w:r>
      <w:proofErr w:type="spellStart"/>
      <w:r w:rsidRPr="00A472FC">
        <w:rPr>
          <w:rFonts w:ascii="Times New Roman" w:hAnsi="Times New Roman" w:cs="Times New Roman"/>
          <w:i/>
          <w:iCs/>
        </w:rPr>
        <w:t>rectitudo</w:t>
      </w:r>
      <w:proofErr w:type="spellEnd"/>
      <w:r w:rsidRPr="00A472FC">
        <w:rPr>
          <w:rFonts w:ascii="Times New Roman" w:hAnsi="Times New Roman" w:cs="Times New Roman"/>
          <w:i/>
          <w:iCs/>
        </w:rPr>
        <w:t>’ chez Saint Anselme</w:t>
      </w:r>
      <w:r w:rsidR="0014624A" w:rsidRPr="00A472FC">
        <w:rPr>
          <w:rFonts w:ascii="Times New Roman" w:hAnsi="Times New Roman" w:cs="Times New Roman"/>
          <w:i/>
          <w:iCs/>
        </w:rPr>
        <w:t>:</w:t>
      </w:r>
      <w:r w:rsidRPr="00A472FC">
        <w:rPr>
          <w:rFonts w:ascii="Times New Roman" w:hAnsi="Times New Roman" w:cs="Times New Roman"/>
          <w:i/>
          <w:iCs/>
        </w:rPr>
        <w:t xml:space="preserve"> Un </w:t>
      </w:r>
      <w:proofErr w:type="spellStart"/>
      <w:r w:rsidRPr="00A472FC">
        <w:rPr>
          <w:rFonts w:ascii="Times New Roman" w:hAnsi="Times New Roman" w:cs="Times New Roman"/>
          <w:i/>
          <w:iCs/>
        </w:rPr>
        <w:t>itinéraire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augustinien</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l’</w:t>
      </w:r>
      <w:r w:rsidR="00E061B1" w:rsidRPr="00A472FC">
        <w:rPr>
          <w:rFonts w:ascii="Times New Roman" w:hAnsi="Times New Roman" w:cs="Times New Roman"/>
          <w:i/>
          <w:iCs/>
        </w:rPr>
        <w:t>â</w:t>
      </w:r>
      <w:r w:rsidRPr="00A472FC">
        <w:rPr>
          <w:rFonts w:ascii="Times New Roman" w:hAnsi="Times New Roman" w:cs="Times New Roman"/>
          <w:i/>
          <w:iCs/>
        </w:rPr>
        <w:t>me</w:t>
      </w:r>
      <w:proofErr w:type="spellEnd"/>
      <w:r w:rsidRPr="00A472FC">
        <w:rPr>
          <w:rFonts w:ascii="Times New Roman" w:hAnsi="Times New Roman" w:cs="Times New Roman"/>
          <w:i/>
          <w:iCs/>
        </w:rPr>
        <w:t xml:space="preserve"> à </w:t>
      </w:r>
      <w:proofErr w:type="spellStart"/>
      <w:r w:rsidRPr="00A472FC">
        <w:rPr>
          <w:rFonts w:ascii="Times New Roman" w:hAnsi="Times New Roman" w:cs="Times New Roman"/>
          <w:i/>
          <w:iCs/>
        </w:rPr>
        <w:t>Dieu</w:t>
      </w:r>
      <w:proofErr w:type="spellEnd"/>
      <w:r w:rsidRPr="00A472FC">
        <w:rPr>
          <w:rFonts w:ascii="Times New Roman" w:hAnsi="Times New Roman" w:cs="Times New Roman"/>
          <w:i/>
          <w:iCs/>
        </w:rPr>
        <w:t>.</w:t>
      </w:r>
      <w:r w:rsidRPr="00A472FC">
        <w:rPr>
          <w:rFonts w:ascii="Times New Roman" w:hAnsi="Times New Roman" w:cs="Times New Roman"/>
        </w:rPr>
        <w:t xml:space="preserve"> Paris: Études </w:t>
      </w:r>
      <w:proofErr w:type="spellStart"/>
      <w:r w:rsidRPr="00A472FC">
        <w:rPr>
          <w:rFonts w:ascii="Times New Roman" w:hAnsi="Times New Roman" w:cs="Times New Roman"/>
        </w:rPr>
        <w:t>Augustiniennes</w:t>
      </w:r>
      <w:proofErr w:type="spellEnd"/>
      <w:r w:rsidRPr="00A472FC">
        <w:rPr>
          <w:rFonts w:ascii="Times New Roman" w:hAnsi="Times New Roman" w:cs="Times New Roman"/>
        </w:rPr>
        <w:t>, 1964.</w:t>
      </w:r>
    </w:p>
    <w:p w14:paraId="6E069068"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Prête</w:t>
      </w:r>
      <w:proofErr w:type="spellEnd"/>
      <w:r w:rsidRPr="00A472FC">
        <w:rPr>
          <w:rFonts w:ascii="Times New Roman" w:hAnsi="Times New Roman" w:cs="Times New Roman"/>
        </w:rPr>
        <w:t xml:space="preserve">, E. ‘La </w:t>
      </w:r>
      <w:proofErr w:type="spellStart"/>
      <w:r w:rsidRPr="00A472FC">
        <w:rPr>
          <w:rFonts w:ascii="Times New Roman" w:hAnsi="Times New Roman" w:cs="Times New Roman"/>
        </w:rPr>
        <w:t>posizione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di</w:t>
      </w:r>
      <w:proofErr w:type="spellEnd"/>
      <w:r w:rsidRPr="00A472FC">
        <w:rPr>
          <w:rFonts w:ascii="Times New Roman" w:hAnsi="Times New Roman" w:cs="Times New Roman"/>
        </w:rPr>
        <w:t xml:space="preserve"> Rolando da Cremona </w:t>
      </w:r>
      <w:proofErr w:type="spellStart"/>
      <w:r w:rsidRPr="00A472FC">
        <w:rPr>
          <w:rFonts w:ascii="Times New Roman" w:hAnsi="Times New Roman" w:cs="Times New Roman"/>
        </w:rPr>
        <w:t>nel</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pensiero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médiévale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iCs/>
        </w:rPr>
        <w:t>Rivista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Folosofia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neoscolastica</w:t>
      </w:r>
      <w:proofErr w:type="spellEnd"/>
      <w:r w:rsidRPr="00A472FC">
        <w:rPr>
          <w:rFonts w:ascii="Times New Roman" w:hAnsi="Times New Roman" w:cs="Times New Roman"/>
          <w:i/>
          <w:iCs/>
        </w:rPr>
        <w:t xml:space="preserve"> </w:t>
      </w:r>
      <w:r w:rsidRPr="00A472FC">
        <w:rPr>
          <w:rFonts w:ascii="Times New Roman" w:hAnsi="Times New Roman" w:cs="Times New Roman"/>
        </w:rPr>
        <w:t>23 (1931): 484-89.</w:t>
      </w:r>
    </w:p>
    <w:p w14:paraId="0CDED175" w14:textId="1E44C478"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Puig, Josep. ‘The Transmission and Reception of Arabic Philosophy in Christian Spain (Until 1200).’ In </w:t>
      </w:r>
      <w:r w:rsidRPr="00A472FC">
        <w:rPr>
          <w:rFonts w:ascii="Times New Roman" w:hAnsi="Times New Roman" w:cs="Times New Roman"/>
          <w:i/>
          <w:iCs/>
        </w:rPr>
        <w:t>The Introduction of Arabic Philosophy into Europe</w:t>
      </w:r>
      <w:r w:rsidRPr="00A472FC">
        <w:rPr>
          <w:rFonts w:ascii="Times New Roman" w:hAnsi="Times New Roman" w:cs="Times New Roman"/>
        </w:rPr>
        <w:t xml:space="preserve">. Edited by Charles E. </w:t>
      </w:r>
      <w:proofErr w:type="spellStart"/>
      <w:r w:rsidRPr="00A472FC">
        <w:rPr>
          <w:rFonts w:ascii="Times New Roman" w:hAnsi="Times New Roman" w:cs="Times New Roman"/>
        </w:rPr>
        <w:t>Butterworth</w:t>
      </w:r>
      <w:proofErr w:type="spellEnd"/>
      <w:r w:rsidRPr="00A472FC">
        <w:rPr>
          <w:rFonts w:ascii="Times New Roman" w:hAnsi="Times New Roman" w:cs="Times New Roman"/>
        </w:rPr>
        <w:t xml:space="preserve"> and Blake </w:t>
      </w:r>
      <w:proofErr w:type="spellStart"/>
      <w:r w:rsidRPr="00A472FC">
        <w:rPr>
          <w:rFonts w:ascii="Times New Roman" w:hAnsi="Times New Roman" w:cs="Times New Roman"/>
        </w:rPr>
        <w:t>Andrée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Kessel</w:t>
      </w:r>
      <w:proofErr w:type="spellEnd"/>
      <w:r w:rsidRPr="00A472FC">
        <w:rPr>
          <w:rFonts w:ascii="Times New Roman" w:hAnsi="Times New Roman" w:cs="Times New Roman"/>
        </w:rPr>
        <w:t>, 7-30. Leiden: Brill, 1994.</w:t>
      </w:r>
    </w:p>
    <w:p w14:paraId="5B1629BA" w14:textId="5FAE2C65"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Quinto</w:t>
      </w:r>
      <w:proofErr w:type="spellEnd"/>
      <w:r w:rsidRPr="00A472FC">
        <w:rPr>
          <w:rFonts w:ascii="Times New Roman" w:hAnsi="Times New Roman" w:cs="Times New Roman"/>
        </w:rPr>
        <w:t xml:space="preserve">, Riccardo. ‘Le </w:t>
      </w:r>
      <w:proofErr w:type="spellStart"/>
      <w:r w:rsidRPr="00A472FC">
        <w:rPr>
          <w:rFonts w:ascii="Times New Roman" w:hAnsi="Times New Roman" w:cs="Times New Roman"/>
        </w:rPr>
        <w:t>Commentaire</w:t>
      </w:r>
      <w:proofErr w:type="spellEnd"/>
      <w:r w:rsidRPr="00A472FC">
        <w:rPr>
          <w:rFonts w:ascii="Times New Roman" w:hAnsi="Times New Roman" w:cs="Times New Roman"/>
        </w:rPr>
        <w:t xml:space="preserve"> des Sentences </w:t>
      </w:r>
      <w:proofErr w:type="spellStart"/>
      <w:r w:rsidRPr="00A472FC">
        <w:rPr>
          <w:rFonts w:ascii="Times New Roman" w:hAnsi="Times New Roman" w:cs="Times New Roman"/>
        </w:rPr>
        <w:t>d’Hugues</w:t>
      </w:r>
      <w:proofErr w:type="spellEnd"/>
      <w:r w:rsidRPr="00A472FC">
        <w:rPr>
          <w:rFonts w:ascii="Times New Roman" w:hAnsi="Times New Roman" w:cs="Times New Roman"/>
        </w:rPr>
        <w:t xml:space="preserve"> de Saint-Cher et la </w:t>
      </w:r>
      <w:proofErr w:type="spellStart"/>
      <w:r w:rsidRPr="00A472FC">
        <w:rPr>
          <w:rFonts w:ascii="Times New Roman" w:hAnsi="Times New Roman" w:cs="Times New Roman"/>
        </w:rPr>
        <w:t>littérature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théologique</w:t>
      </w:r>
      <w:proofErr w:type="spellEnd"/>
      <w:r w:rsidRPr="00A472FC">
        <w:rPr>
          <w:rFonts w:ascii="Times New Roman" w:hAnsi="Times New Roman" w:cs="Times New Roman"/>
        </w:rPr>
        <w:t xml:space="preserve"> de son temps.’ In </w:t>
      </w:r>
      <w:proofErr w:type="spellStart"/>
      <w:r w:rsidRPr="00A472FC">
        <w:rPr>
          <w:rFonts w:ascii="Times New Roman" w:hAnsi="Times New Roman" w:cs="Times New Roman"/>
          <w:i/>
          <w:iCs/>
        </w:rPr>
        <w:t>Hugues</w:t>
      </w:r>
      <w:proofErr w:type="spellEnd"/>
      <w:r w:rsidRPr="00A472FC">
        <w:rPr>
          <w:rFonts w:ascii="Times New Roman" w:hAnsi="Times New Roman" w:cs="Times New Roman"/>
          <w:i/>
          <w:iCs/>
        </w:rPr>
        <w:t xml:space="preserve"> de Saint-Cher (d. 1263)</w:t>
      </w:r>
      <w:r w:rsidR="007C5EEB" w:rsidRPr="00A472FC">
        <w:rPr>
          <w:rFonts w:ascii="Times New Roman" w:hAnsi="Times New Roman" w:cs="Times New Roman"/>
          <w:i/>
          <w:iCs/>
        </w:rPr>
        <w:t>:</w:t>
      </w:r>
      <w:r w:rsidRPr="00A472FC">
        <w:rPr>
          <w:rFonts w:ascii="Times New Roman" w:hAnsi="Times New Roman" w:cs="Times New Roman"/>
          <w:i/>
          <w:iCs/>
        </w:rPr>
        <w:t xml:space="preserve"> </w:t>
      </w:r>
      <w:proofErr w:type="spellStart"/>
      <w:r w:rsidRPr="00A472FC">
        <w:rPr>
          <w:rFonts w:ascii="Times New Roman" w:hAnsi="Times New Roman" w:cs="Times New Roman"/>
          <w:i/>
          <w:iCs/>
        </w:rPr>
        <w:t>bibliste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théologien</w:t>
      </w:r>
      <w:proofErr w:type="spellEnd"/>
      <w:r w:rsidRPr="00A472FC">
        <w:rPr>
          <w:rFonts w:ascii="Times New Roman" w:hAnsi="Times New Roman" w:cs="Times New Roman"/>
        </w:rPr>
        <w:t xml:space="preserve">. Edited by Louis J. </w:t>
      </w:r>
      <w:proofErr w:type="spellStart"/>
      <w:r w:rsidRPr="00A472FC">
        <w:rPr>
          <w:rFonts w:ascii="Times New Roman" w:hAnsi="Times New Roman" w:cs="Times New Roman"/>
        </w:rPr>
        <w:t>Bataillon</w:t>
      </w:r>
      <w:proofErr w:type="spellEnd"/>
      <w:r w:rsidRPr="00A472FC">
        <w:rPr>
          <w:rFonts w:ascii="Times New Roman" w:hAnsi="Times New Roman" w:cs="Times New Roman"/>
        </w:rPr>
        <w:t xml:space="preserve">, Gilbert </w:t>
      </w:r>
      <w:proofErr w:type="spellStart"/>
      <w:r w:rsidRPr="00A472FC">
        <w:rPr>
          <w:rFonts w:ascii="Times New Roman" w:hAnsi="Times New Roman" w:cs="Times New Roman"/>
        </w:rPr>
        <w:t>Dahan</w:t>
      </w:r>
      <w:proofErr w:type="spellEnd"/>
      <w:r w:rsidRPr="00A472FC">
        <w:rPr>
          <w:rFonts w:ascii="Times New Roman" w:hAnsi="Times New Roman" w:cs="Times New Roman"/>
        </w:rPr>
        <w:t xml:space="preserve"> and Pierre-Marie Gy, 299-324.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2004.</w:t>
      </w:r>
    </w:p>
    <w:p w14:paraId="7C4BB58F"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Raedmemaeker</w:t>
      </w:r>
      <w:proofErr w:type="spellEnd"/>
      <w:r w:rsidRPr="00A472FC">
        <w:rPr>
          <w:rFonts w:ascii="Times New Roman" w:hAnsi="Times New Roman" w:cs="Times New Roman"/>
        </w:rPr>
        <w:t>, J. De. ‘</w:t>
      </w:r>
      <w:proofErr w:type="spellStart"/>
      <w:r w:rsidRPr="00A472FC">
        <w:rPr>
          <w:rFonts w:ascii="Times New Roman" w:hAnsi="Times New Roman" w:cs="Times New Roman"/>
        </w:rPr>
        <w:t>Une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ébauche</w:t>
      </w:r>
      <w:proofErr w:type="spellEnd"/>
      <w:r w:rsidRPr="00A472FC">
        <w:rPr>
          <w:rFonts w:ascii="Times New Roman" w:hAnsi="Times New Roman" w:cs="Times New Roman"/>
        </w:rPr>
        <w:t xml:space="preserve"> de catalogue des </w:t>
      </w:r>
      <w:proofErr w:type="spellStart"/>
      <w:r w:rsidRPr="00A472FC">
        <w:rPr>
          <w:rFonts w:ascii="Times New Roman" w:hAnsi="Times New Roman" w:cs="Times New Roman"/>
        </w:rPr>
        <w:t>commentaires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sur</w:t>
      </w:r>
      <w:proofErr w:type="spellEnd"/>
      <w:r w:rsidRPr="00A472FC">
        <w:rPr>
          <w:rFonts w:ascii="Times New Roman" w:hAnsi="Times New Roman" w:cs="Times New Roman"/>
        </w:rPr>
        <w:t xml:space="preserve"> le </w:t>
      </w:r>
      <w:r w:rsidRPr="00A472FC">
        <w:rPr>
          <w:rFonts w:ascii="Times New Roman" w:hAnsi="Times New Roman" w:cs="Times New Roman"/>
          <w:i/>
        </w:rPr>
        <w:t>De anima</w:t>
      </w:r>
      <w:r w:rsidRPr="00A472FC">
        <w:rPr>
          <w:rFonts w:ascii="Times New Roman" w:hAnsi="Times New Roman" w:cs="Times New Roman"/>
        </w:rPr>
        <w:t xml:space="preserve"> </w:t>
      </w:r>
      <w:proofErr w:type="spellStart"/>
      <w:r w:rsidRPr="00A472FC">
        <w:rPr>
          <w:rFonts w:ascii="Times New Roman" w:hAnsi="Times New Roman" w:cs="Times New Roman"/>
        </w:rPr>
        <w:t>parus</w:t>
      </w:r>
      <w:proofErr w:type="spellEnd"/>
      <w:r w:rsidRPr="00A472FC">
        <w:rPr>
          <w:rFonts w:ascii="Times New Roman" w:hAnsi="Times New Roman" w:cs="Times New Roman"/>
        </w:rPr>
        <w:t xml:space="preserve"> aux XIII, XIV et XV </w:t>
      </w:r>
      <w:proofErr w:type="spellStart"/>
      <w:r w:rsidRPr="00A472FC">
        <w:rPr>
          <w:rFonts w:ascii="Times New Roman" w:hAnsi="Times New Roman" w:cs="Times New Roman"/>
        </w:rPr>
        <w:t>siècles</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Bulletin de la </w:t>
      </w:r>
      <w:proofErr w:type="spellStart"/>
      <w:r w:rsidRPr="00A472FC">
        <w:rPr>
          <w:rFonts w:ascii="Times New Roman" w:hAnsi="Times New Roman" w:cs="Times New Roman"/>
          <w:i/>
          <w:iCs/>
        </w:rPr>
        <w:t>société</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internationale</w:t>
      </w:r>
      <w:proofErr w:type="spellEnd"/>
      <w:r w:rsidRPr="00A472FC">
        <w:rPr>
          <w:rFonts w:ascii="Times New Roman" w:hAnsi="Times New Roman" w:cs="Times New Roman"/>
          <w:i/>
          <w:iCs/>
        </w:rPr>
        <w:t xml:space="preserve"> pour le étude de la philosophie </w:t>
      </w:r>
      <w:proofErr w:type="spellStart"/>
      <w:r w:rsidRPr="00A472FC">
        <w:rPr>
          <w:rFonts w:ascii="Times New Roman" w:hAnsi="Times New Roman" w:cs="Times New Roman"/>
          <w:i/>
          <w:iCs/>
        </w:rPr>
        <w:t>médievale</w:t>
      </w:r>
      <w:proofErr w:type="spellEnd"/>
      <w:r w:rsidRPr="00A472FC">
        <w:rPr>
          <w:rFonts w:ascii="Times New Roman" w:hAnsi="Times New Roman" w:cs="Times New Roman"/>
          <w:i/>
          <w:iCs/>
        </w:rPr>
        <w:t xml:space="preserve"> </w:t>
      </w:r>
      <w:r w:rsidRPr="00A472FC">
        <w:rPr>
          <w:rFonts w:ascii="Times New Roman" w:hAnsi="Times New Roman" w:cs="Times New Roman"/>
        </w:rPr>
        <w:t>5 (1963): 149-83.</w:t>
      </w:r>
    </w:p>
    <w:p w14:paraId="7F812BDA"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‘Informations </w:t>
      </w:r>
      <w:proofErr w:type="spellStart"/>
      <w:r w:rsidRPr="00A472FC">
        <w:rPr>
          <w:rFonts w:ascii="Times New Roman" w:hAnsi="Times New Roman" w:cs="Times New Roman"/>
        </w:rPr>
        <w:t>concernant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quelques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commentaires</w:t>
      </w:r>
      <w:proofErr w:type="spellEnd"/>
      <w:r w:rsidRPr="00A472FC">
        <w:rPr>
          <w:rFonts w:ascii="Times New Roman" w:hAnsi="Times New Roman" w:cs="Times New Roman"/>
        </w:rPr>
        <w:t xml:space="preserve"> du </w:t>
      </w:r>
      <w:r w:rsidRPr="00A472FC">
        <w:rPr>
          <w:rFonts w:ascii="Times New Roman" w:hAnsi="Times New Roman" w:cs="Times New Roman"/>
          <w:i/>
          <w:iCs/>
        </w:rPr>
        <w:t>De anima</w:t>
      </w:r>
      <w:r w:rsidRPr="00A472FC">
        <w:rPr>
          <w:rFonts w:ascii="Times New Roman" w:hAnsi="Times New Roman" w:cs="Times New Roman"/>
        </w:rPr>
        <w:t xml:space="preserve">.’ </w:t>
      </w:r>
      <w:r w:rsidRPr="00A472FC">
        <w:rPr>
          <w:rFonts w:ascii="Times New Roman" w:hAnsi="Times New Roman" w:cs="Times New Roman"/>
          <w:i/>
          <w:iCs/>
        </w:rPr>
        <w:t xml:space="preserve">Bulletin de la </w:t>
      </w:r>
      <w:proofErr w:type="spellStart"/>
      <w:r w:rsidRPr="00A472FC">
        <w:rPr>
          <w:rFonts w:ascii="Times New Roman" w:hAnsi="Times New Roman" w:cs="Times New Roman"/>
          <w:i/>
          <w:iCs/>
        </w:rPr>
        <w:t>société</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internationale</w:t>
      </w:r>
      <w:proofErr w:type="spellEnd"/>
      <w:r w:rsidRPr="00A472FC">
        <w:rPr>
          <w:rFonts w:ascii="Times New Roman" w:hAnsi="Times New Roman" w:cs="Times New Roman"/>
          <w:i/>
          <w:iCs/>
        </w:rPr>
        <w:t xml:space="preserve"> pour l’étude de la philosophie </w:t>
      </w:r>
      <w:proofErr w:type="spellStart"/>
      <w:r w:rsidRPr="00A472FC">
        <w:rPr>
          <w:rFonts w:ascii="Times New Roman" w:hAnsi="Times New Roman" w:cs="Times New Roman"/>
          <w:i/>
          <w:iCs/>
        </w:rPr>
        <w:t>médievale</w:t>
      </w:r>
      <w:proofErr w:type="spellEnd"/>
      <w:r w:rsidRPr="00A472FC">
        <w:rPr>
          <w:rFonts w:ascii="Times New Roman" w:hAnsi="Times New Roman" w:cs="Times New Roman"/>
          <w:i/>
          <w:iCs/>
        </w:rPr>
        <w:t xml:space="preserve"> </w:t>
      </w:r>
      <w:r w:rsidRPr="00A472FC">
        <w:rPr>
          <w:rFonts w:ascii="Times New Roman" w:hAnsi="Times New Roman" w:cs="Times New Roman"/>
        </w:rPr>
        <w:t>(1968-70): 194-211.</w:t>
      </w:r>
    </w:p>
    <w:p w14:paraId="197C429C"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Regan</w:t>
      </w:r>
      <w:proofErr w:type="spellEnd"/>
      <w:r w:rsidRPr="00A472FC">
        <w:rPr>
          <w:rFonts w:ascii="Times New Roman" w:hAnsi="Times New Roman" w:cs="Times New Roman"/>
        </w:rPr>
        <w:t xml:space="preserve">, Teresa. ‘A Study of the </w:t>
      </w:r>
      <w:r w:rsidRPr="00A472FC">
        <w:rPr>
          <w:rFonts w:ascii="Times New Roman" w:hAnsi="Times New Roman" w:cs="Times New Roman"/>
          <w:i/>
        </w:rPr>
        <w:t xml:space="preserve">Liber De </w:t>
      </w:r>
      <w:proofErr w:type="spellStart"/>
      <w:r w:rsidRPr="00A472FC">
        <w:rPr>
          <w:rFonts w:ascii="Times New Roman" w:hAnsi="Times New Roman" w:cs="Times New Roman"/>
          <w:i/>
        </w:rPr>
        <w:t>spiritu</w:t>
      </w:r>
      <w:proofErr w:type="spellEnd"/>
      <w:r w:rsidRPr="00A472FC">
        <w:rPr>
          <w:rFonts w:ascii="Times New Roman" w:hAnsi="Times New Roman" w:cs="Times New Roman"/>
          <w:i/>
        </w:rPr>
        <w:t xml:space="preserve"> et anima</w:t>
      </w:r>
      <w:r w:rsidRPr="00A472FC">
        <w:rPr>
          <w:rFonts w:ascii="Times New Roman" w:hAnsi="Times New Roman" w:cs="Times New Roman"/>
        </w:rPr>
        <w:t>.’ PhD, University of Toronto, 1948.</w:t>
      </w:r>
    </w:p>
    <w:p w14:paraId="4F140A40"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Renan, Ernest. </w:t>
      </w:r>
      <w:proofErr w:type="spellStart"/>
      <w:r w:rsidRPr="00A472FC">
        <w:rPr>
          <w:rFonts w:ascii="Times New Roman" w:hAnsi="Times New Roman" w:cs="Times New Roman"/>
          <w:i/>
          <w:iCs/>
        </w:rPr>
        <w:t>Averroès</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l’Averroisme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essai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historique</w:t>
      </w:r>
      <w:proofErr w:type="spellEnd"/>
      <w:r w:rsidRPr="00A472FC">
        <w:rPr>
          <w:rFonts w:ascii="Times New Roman" w:hAnsi="Times New Roman" w:cs="Times New Roman"/>
          <w:i/>
          <w:iCs/>
        </w:rPr>
        <w:t>.</w:t>
      </w:r>
      <w:r w:rsidRPr="00A472FC">
        <w:rPr>
          <w:rFonts w:ascii="Times New Roman" w:hAnsi="Times New Roman" w:cs="Times New Roman"/>
        </w:rPr>
        <w:t xml:space="preserve"> Paris: </w:t>
      </w:r>
      <w:proofErr w:type="spellStart"/>
      <w:r w:rsidRPr="00A472FC">
        <w:rPr>
          <w:rFonts w:ascii="Times New Roman" w:hAnsi="Times New Roman" w:cs="Times New Roman"/>
        </w:rPr>
        <w:t>Calmann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Lèvy</w:t>
      </w:r>
      <w:proofErr w:type="spellEnd"/>
      <w:r w:rsidRPr="00A472FC">
        <w:rPr>
          <w:rFonts w:ascii="Times New Roman" w:hAnsi="Times New Roman" w:cs="Times New Roman"/>
        </w:rPr>
        <w:t>, 1882.</w:t>
      </w:r>
    </w:p>
    <w:p w14:paraId="4EDA2033" w14:textId="5A9DB464"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Reypens</w:t>
      </w:r>
      <w:proofErr w:type="spellEnd"/>
      <w:r w:rsidRPr="00A472FC">
        <w:rPr>
          <w:rFonts w:ascii="Times New Roman" w:hAnsi="Times New Roman" w:cs="Times New Roman"/>
        </w:rPr>
        <w:t>, L. ‘</w:t>
      </w:r>
      <w:proofErr w:type="spellStart"/>
      <w:r w:rsidRPr="00A472FC">
        <w:rPr>
          <w:rFonts w:ascii="Times New Roman" w:hAnsi="Times New Roman" w:cs="Times New Roman"/>
        </w:rPr>
        <w:t>Ame</w:t>
      </w:r>
      <w:proofErr w:type="spellEnd"/>
      <w:r w:rsidRPr="00A472FC">
        <w:rPr>
          <w:rFonts w:ascii="Times New Roman" w:hAnsi="Times New Roman" w:cs="Times New Roman"/>
        </w:rPr>
        <w:t xml:space="preserve">: Sa fond, </w:t>
      </w:r>
      <w:proofErr w:type="spellStart"/>
      <w:r w:rsidRPr="00A472FC">
        <w:rPr>
          <w:rFonts w:ascii="Times New Roman" w:hAnsi="Times New Roman" w:cs="Times New Roman"/>
        </w:rPr>
        <w:t>ses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puissances</w:t>
      </w:r>
      <w:proofErr w:type="spellEnd"/>
      <w:r w:rsidRPr="00A472FC">
        <w:rPr>
          <w:rFonts w:ascii="Times New Roman" w:hAnsi="Times New Roman" w:cs="Times New Roman"/>
        </w:rPr>
        <w:t xml:space="preserve"> et </w:t>
      </w:r>
      <w:proofErr w:type="spellStart"/>
      <w:r w:rsidRPr="00A472FC">
        <w:rPr>
          <w:rFonts w:ascii="Times New Roman" w:hAnsi="Times New Roman" w:cs="Times New Roman"/>
        </w:rPr>
        <w:t>sa</w:t>
      </w:r>
      <w:proofErr w:type="spellEnd"/>
      <w:r w:rsidRPr="00A472FC">
        <w:rPr>
          <w:rFonts w:ascii="Times New Roman" w:hAnsi="Times New Roman" w:cs="Times New Roman"/>
        </w:rPr>
        <w:t xml:space="preserve"> structure d’après les mystiques.’ In </w:t>
      </w:r>
      <w:proofErr w:type="spellStart"/>
      <w:r w:rsidRPr="00A472FC">
        <w:rPr>
          <w:rFonts w:ascii="Times New Roman" w:hAnsi="Times New Roman" w:cs="Times New Roman"/>
          <w:i/>
          <w:iCs/>
        </w:rPr>
        <w:t>Dictionnaire</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Spiritualité</w:t>
      </w:r>
      <w:proofErr w:type="spellEnd"/>
      <w:r w:rsidRPr="00A472FC">
        <w:rPr>
          <w:rFonts w:ascii="Times New Roman" w:hAnsi="Times New Roman" w:cs="Times New Roman"/>
        </w:rPr>
        <w:t>, 433-69. Paris</w:t>
      </w:r>
      <w:r w:rsidR="0036572E" w:rsidRPr="00A472FC">
        <w:rPr>
          <w:rFonts w:ascii="Times New Roman" w:hAnsi="Times New Roman" w:cs="Times New Roman"/>
        </w:rPr>
        <w:t xml:space="preserve">: </w:t>
      </w:r>
      <w:proofErr w:type="spellStart"/>
      <w:r w:rsidR="0036572E" w:rsidRPr="00A472FC">
        <w:rPr>
          <w:rFonts w:ascii="Times New Roman" w:hAnsi="Times New Roman" w:cs="Times New Roman"/>
        </w:rPr>
        <w:t>Beauchesne</w:t>
      </w:r>
      <w:proofErr w:type="spellEnd"/>
      <w:r w:rsidRPr="00A472FC">
        <w:rPr>
          <w:rFonts w:ascii="Times New Roman" w:hAnsi="Times New Roman" w:cs="Times New Roman"/>
        </w:rPr>
        <w:t>, 1937.</w:t>
      </w:r>
    </w:p>
    <w:p w14:paraId="21123466"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Rist</w:t>
      </w:r>
      <w:proofErr w:type="spellEnd"/>
      <w:r w:rsidRPr="00A472FC">
        <w:rPr>
          <w:rFonts w:ascii="Times New Roman" w:hAnsi="Times New Roman" w:cs="Times New Roman"/>
        </w:rPr>
        <w:t xml:space="preserve">, John M. ‘Augustine on Free Will and Predestination.’ </w:t>
      </w:r>
      <w:r w:rsidRPr="00A472FC">
        <w:rPr>
          <w:rFonts w:ascii="Times New Roman" w:hAnsi="Times New Roman" w:cs="Times New Roman"/>
          <w:i/>
          <w:iCs/>
        </w:rPr>
        <w:t xml:space="preserve">Journal of Theological Studies </w:t>
      </w:r>
      <w:r w:rsidRPr="00A472FC">
        <w:rPr>
          <w:rFonts w:ascii="Times New Roman" w:hAnsi="Times New Roman" w:cs="Times New Roman"/>
        </w:rPr>
        <w:t>20:2 (1969): 420-47.</w:t>
      </w:r>
    </w:p>
    <w:p w14:paraId="5270E7CC"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Roest</w:t>
      </w:r>
      <w:proofErr w:type="spellEnd"/>
      <w:r w:rsidRPr="00A472FC">
        <w:rPr>
          <w:rFonts w:ascii="Times New Roman" w:hAnsi="Times New Roman" w:cs="Times New Roman"/>
        </w:rPr>
        <w:t xml:space="preserve">, Bert. </w:t>
      </w:r>
      <w:r w:rsidRPr="00A472FC">
        <w:rPr>
          <w:rFonts w:ascii="Times New Roman" w:hAnsi="Times New Roman" w:cs="Times New Roman"/>
          <w:i/>
        </w:rPr>
        <w:t xml:space="preserve">A History of Franciscan Education. </w:t>
      </w:r>
      <w:r w:rsidRPr="00A472FC">
        <w:rPr>
          <w:rFonts w:ascii="Times New Roman" w:hAnsi="Times New Roman" w:cs="Times New Roman"/>
        </w:rPr>
        <w:t>Leiden: Brill, 2000.</w:t>
      </w:r>
    </w:p>
    <w:p w14:paraId="50796688"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lastRenderedPageBreak/>
        <w:t>Rohmer</w:t>
      </w:r>
      <w:proofErr w:type="spellEnd"/>
      <w:r w:rsidRPr="00A472FC">
        <w:rPr>
          <w:rFonts w:ascii="Times New Roman" w:hAnsi="Times New Roman" w:cs="Times New Roman"/>
        </w:rPr>
        <w:t xml:space="preserve">, J. ‘La </w:t>
      </w:r>
      <w:proofErr w:type="spellStart"/>
      <w:r w:rsidRPr="00A472FC">
        <w:rPr>
          <w:rFonts w:ascii="Times New Roman" w:hAnsi="Times New Roman" w:cs="Times New Roman"/>
        </w:rPr>
        <w:t>théorie</w:t>
      </w:r>
      <w:proofErr w:type="spellEnd"/>
      <w:r w:rsidRPr="00A472FC">
        <w:rPr>
          <w:rFonts w:ascii="Times New Roman" w:hAnsi="Times New Roman" w:cs="Times New Roman"/>
        </w:rPr>
        <w:t xml:space="preserve"> de l'abstraction dans l'école </w:t>
      </w:r>
      <w:proofErr w:type="spellStart"/>
      <w:r w:rsidRPr="00A472FC">
        <w:rPr>
          <w:rFonts w:ascii="Times New Roman" w:hAnsi="Times New Roman" w:cs="Times New Roman"/>
        </w:rPr>
        <w:t>Franciscaine</w:t>
      </w:r>
      <w:proofErr w:type="spellEnd"/>
      <w:r w:rsidRPr="00A472FC">
        <w:rPr>
          <w:rFonts w:ascii="Times New Roman" w:hAnsi="Times New Roman" w:cs="Times New Roman"/>
        </w:rPr>
        <w:t xml:space="preserve"> d'Alexandre de </w:t>
      </w:r>
      <w:proofErr w:type="spellStart"/>
      <w:r w:rsidRPr="00A472FC">
        <w:rPr>
          <w:rFonts w:ascii="Times New Roman" w:hAnsi="Times New Roman" w:cs="Times New Roman"/>
        </w:rPr>
        <w:t>Halés</w:t>
      </w:r>
      <w:proofErr w:type="spellEnd"/>
      <w:r w:rsidRPr="00A472FC">
        <w:rPr>
          <w:rFonts w:ascii="Times New Roman" w:hAnsi="Times New Roman" w:cs="Times New Roman"/>
        </w:rPr>
        <w:t xml:space="preserve"> à Jean Peckham.’ </w:t>
      </w:r>
      <w:r w:rsidRPr="00A472FC">
        <w:rPr>
          <w:rFonts w:ascii="Times New Roman" w:hAnsi="Times New Roman" w:cs="Times New Roman"/>
          <w:i/>
          <w:iCs/>
        </w:rPr>
        <w:t xml:space="preserve">Archives </w:t>
      </w:r>
      <w:proofErr w:type="spellStart"/>
      <w:r w:rsidRPr="00A472FC">
        <w:rPr>
          <w:rFonts w:ascii="Times New Roman" w:hAnsi="Times New Roman" w:cs="Times New Roman"/>
          <w:i/>
          <w:iCs/>
        </w:rPr>
        <w:t>d'histoire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doctrinale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littéraire</w:t>
      </w:r>
      <w:proofErr w:type="spellEnd"/>
      <w:r w:rsidRPr="00A472FC">
        <w:rPr>
          <w:rFonts w:ascii="Times New Roman" w:hAnsi="Times New Roman" w:cs="Times New Roman"/>
          <w:i/>
          <w:iCs/>
        </w:rPr>
        <w:t xml:space="preserve"> du </w:t>
      </w:r>
      <w:proofErr w:type="spellStart"/>
      <w:r w:rsidRPr="00A472FC">
        <w:rPr>
          <w:rFonts w:ascii="Times New Roman" w:hAnsi="Times New Roman" w:cs="Times New Roman"/>
          <w:i/>
          <w:iCs/>
        </w:rPr>
        <w:t>Moyen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Âge</w:t>
      </w:r>
      <w:proofErr w:type="spellEnd"/>
      <w:r w:rsidRPr="00A472FC">
        <w:rPr>
          <w:rFonts w:ascii="Times New Roman" w:hAnsi="Times New Roman" w:cs="Times New Roman"/>
          <w:i/>
          <w:iCs/>
        </w:rPr>
        <w:t xml:space="preserve"> </w:t>
      </w:r>
      <w:r w:rsidRPr="00A472FC">
        <w:rPr>
          <w:rFonts w:ascii="Times New Roman" w:hAnsi="Times New Roman" w:cs="Times New Roman"/>
        </w:rPr>
        <w:t>3 (1928): 105-84.</w:t>
      </w:r>
    </w:p>
    <w:p w14:paraId="5C5F5F0C"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Rosemann</w:t>
      </w:r>
      <w:proofErr w:type="spellEnd"/>
      <w:r w:rsidRPr="00A472FC">
        <w:rPr>
          <w:rFonts w:ascii="Times New Roman" w:hAnsi="Times New Roman" w:cs="Times New Roman"/>
        </w:rPr>
        <w:t xml:space="preserve">, Philipp W. </w:t>
      </w:r>
      <w:r w:rsidRPr="00A472FC">
        <w:rPr>
          <w:rFonts w:ascii="Times New Roman" w:hAnsi="Times New Roman" w:cs="Times New Roman"/>
          <w:i/>
          <w:iCs/>
        </w:rPr>
        <w:t>The Story of a Great Medieval Book: Peter Lombard's Sentences.</w:t>
      </w:r>
      <w:r w:rsidRPr="00A472FC">
        <w:rPr>
          <w:rFonts w:ascii="Times New Roman" w:hAnsi="Times New Roman" w:cs="Times New Roman"/>
        </w:rPr>
        <w:t xml:space="preserve"> Toronto: University of Toronto Press, 2007.</w:t>
      </w:r>
    </w:p>
    <w:p w14:paraId="51CE41ED"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Ryan, Denise. ‘An Examination of a Thirteenth-Century Treatise on the Mind-Body Dichotomy: Jean de la Rochelle on the Soul and its Powers.’ PhD, National University of Ireland, 2010.</w:t>
      </w:r>
    </w:p>
    <w:p w14:paraId="70C3F085"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Saccenti, Riccardo. </w:t>
      </w:r>
      <w:proofErr w:type="spellStart"/>
      <w:r w:rsidRPr="00A472FC">
        <w:rPr>
          <w:rFonts w:ascii="Times New Roman" w:hAnsi="Times New Roman" w:cs="Times New Roman"/>
          <w:i/>
          <w:iCs/>
        </w:rPr>
        <w:t>Conservare</w:t>
      </w:r>
      <w:proofErr w:type="spellEnd"/>
      <w:r w:rsidRPr="00A472FC">
        <w:rPr>
          <w:rFonts w:ascii="Times New Roman" w:hAnsi="Times New Roman" w:cs="Times New Roman"/>
          <w:i/>
          <w:iCs/>
        </w:rPr>
        <w:t xml:space="preserve"> la </w:t>
      </w:r>
      <w:proofErr w:type="spellStart"/>
      <w:r w:rsidRPr="00A472FC">
        <w:rPr>
          <w:rFonts w:ascii="Times New Roman" w:hAnsi="Times New Roman" w:cs="Times New Roman"/>
          <w:i/>
          <w:iCs/>
        </w:rPr>
        <w:t>retta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volontà</w:t>
      </w:r>
      <w:proofErr w:type="spellEnd"/>
      <w:r w:rsidRPr="00A472FC">
        <w:rPr>
          <w:rFonts w:ascii="Times New Roman" w:hAnsi="Times New Roman" w:cs="Times New Roman"/>
          <w:i/>
          <w:iCs/>
        </w:rPr>
        <w:t xml:space="preserve">: L’atto morale </w:t>
      </w:r>
      <w:proofErr w:type="spellStart"/>
      <w:r w:rsidRPr="00A472FC">
        <w:rPr>
          <w:rFonts w:ascii="Times New Roman" w:hAnsi="Times New Roman" w:cs="Times New Roman"/>
          <w:i/>
          <w:iCs/>
        </w:rPr>
        <w:t>nelle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dottrine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di</w:t>
      </w:r>
      <w:proofErr w:type="spellEnd"/>
      <w:r w:rsidRPr="00A472FC">
        <w:rPr>
          <w:rFonts w:ascii="Times New Roman" w:hAnsi="Times New Roman" w:cs="Times New Roman"/>
          <w:i/>
          <w:iCs/>
        </w:rPr>
        <w:t xml:space="preserve"> Filippo il </w:t>
      </w:r>
      <w:proofErr w:type="spellStart"/>
      <w:r w:rsidRPr="00A472FC">
        <w:rPr>
          <w:rFonts w:ascii="Times New Roman" w:hAnsi="Times New Roman" w:cs="Times New Roman"/>
          <w:i/>
          <w:iCs/>
        </w:rPr>
        <w:t>Cancelliere</w:t>
      </w:r>
      <w:proofErr w:type="spellEnd"/>
      <w:r w:rsidRPr="00A472FC">
        <w:rPr>
          <w:rFonts w:ascii="Times New Roman" w:hAnsi="Times New Roman" w:cs="Times New Roman"/>
          <w:i/>
          <w:iCs/>
        </w:rPr>
        <w:t xml:space="preserve"> e </w:t>
      </w:r>
      <w:proofErr w:type="spellStart"/>
      <w:r w:rsidRPr="00A472FC">
        <w:rPr>
          <w:rFonts w:ascii="Times New Roman" w:hAnsi="Times New Roman" w:cs="Times New Roman"/>
          <w:i/>
          <w:iCs/>
        </w:rPr>
        <w:t>Ugo</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di</w:t>
      </w:r>
      <w:proofErr w:type="spellEnd"/>
      <w:r w:rsidRPr="00A472FC">
        <w:rPr>
          <w:rFonts w:ascii="Times New Roman" w:hAnsi="Times New Roman" w:cs="Times New Roman"/>
          <w:i/>
          <w:iCs/>
        </w:rPr>
        <w:t xml:space="preserve"> Saint-Cher (1225-1235).</w:t>
      </w:r>
      <w:r w:rsidRPr="00A472FC">
        <w:rPr>
          <w:rFonts w:ascii="Times New Roman" w:hAnsi="Times New Roman" w:cs="Times New Roman"/>
        </w:rPr>
        <w:t xml:space="preserve"> Bologna: </w:t>
      </w:r>
      <w:proofErr w:type="spellStart"/>
      <w:r w:rsidRPr="00A472FC">
        <w:rPr>
          <w:rFonts w:ascii="Times New Roman" w:hAnsi="Times New Roman" w:cs="Times New Roman"/>
        </w:rPr>
        <w:t>Società</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editrice</w:t>
      </w:r>
      <w:proofErr w:type="spellEnd"/>
      <w:r w:rsidRPr="00A472FC">
        <w:rPr>
          <w:rFonts w:ascii="Times New Roman" w:hAnsi="Times New Roman" w:cs="Times New Roman"/>
        </w:rPr>
        <w:t xml:space="preserve"> il Mulino, 2013.</w:t>
      </w:r>
    </w:p>
    <w:p w14:paraId="67B109CF" w14:textId="2017DED1" w:rsidR="00F50820" w:rsidRPr="00A472FC" w:rsidRDefault="00F50820"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w:t>
      </w:r>
      <w:r w:rsidR="001F0451" w:rsidRPr="00A472FC">
        <w:rPr>
          <w:rFonts w:ascii="Times New Roman" w:hAnsi="Times New Roman" w:cs="Times New Roman"/>
        </w:rPr>
        <w:t xml:space="preserve"> </w:t>
      </w:r>
      <w:r w:rsidRPr="00A472FC">
        <w:rPr>
          <w:rFonts w:ascii="Times New Roman" w:hAnsi="Times New Roman" w:cs="Times New Roman"/>
          <w:i/>
          <w:iCs/>
        </w:rPr>
        <w:t xml:space="preserve">Un </w:t>
      </w:r>
      <w:proofErr w:type="spellStart"/>
      <w:r w:rsidR="004A63AB" w:rsidRPr="00A472FC">
        <w:rPr>
          <w:rFonts w:ascii="Times New Roman" w:hAnsi="Times New Roman" w:cs="Times New Roman"/>
          <w:i/>
          <w:iCs/>
        </w:rPr>
        <w:t>n</w:t>
      </w:r>
      <w:r w:rsidRPr="00A472FC">
        <w:rPr>
          <w:rFonts w:ascii="Times New Roman" w:hAnsi="Times New Roman" w:cs="Times New Roman"/>
          <w:i/>
          <w:iCs/>
        </w:rPr>
        <w:t>uovo</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lessico</w:t>
      </w:r>
      <w:proofErr w:type="spellEnd"/>
      <w:r w:rsidRPr="00A472FC">
        <w:rPr>
          <w:rFonts w:ascii="Times New Roman" w:hAnsi="Times New Roman" w:cs="Times New Roman"/>
          <w:i/>
          <w:iCs/>
        </w:rPr>
        <w:t xml:space="preserve"> morale medieval: il </w:t>
      </w:r>
      <w:proofErr w:type="spellStart"/>
      <w:r w:rsidRPr="00A472FC">
        <w:rPr>
          <w:rFonts w:ascii="Times New Roman" w:hAnsi="Times New Roman" w:cs="Times New Roman"/>
          <w:i/>
          <w:iCs/>
        </w:rPr>
        <w:t>contributo</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Burgundio</w:t>
      </w:r>
      <w:proofErr w:type="spellEnd"/>
      <w:r w:rsidRPr="00A472FC">
        <w:rPr>
          <w:rFonts w:ascii="Times New Roman" w:hAnsi="Times New Roman" w:cs="Times New Roman"/>
          <w:i/>
          <w:iCs/>
        </w:rPr>
        <w:t xml:space="preserve"> da Pisa. </w:t>
      </w:r>
      <w:proofErr w:type="spellStart"/>
      <w:r w:rsidRPr="00A472FC">
        <w:rPr>
          <w:rFonts w:ascii="Times New Roman" w:hAnsi="Times New Roman" w:cs="Times New Roman"/>
        </w:rPr>
        <w:t>Aricca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Aracne</w:t>
      </w:r>
      <w:proofErr w:type="spellEnd"/>
      <w:r w:rsidRPr="00A472FC">
        <w:rPr>
          <w:rFonts w:ascii="Times New Roman" w:hAnsi="Times New Roman" w:cs="Times New Roman"/>
        </w:rPr>
        <w:t xml:space="preserve">, 2016. </w:t>
      </w:r>
    </w:p>
    <w:p w14:paraId="52D718A1" w14:textId="59369CAB" w:rsidR="00F50820" w:rsidRPr="00A472FC" w:rsidRDefault="00F50820"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‘The Reception of the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i/>
          <w:iCs/>
        </w:rPr>
        <w:t xml:space="preserve"> </w:t>
      </w:r>
      <w:r w:rsidRPr="00A472FC">
        <w:rPr>
          <w:rFonts w:ascii="Times New Roman" w:hAnsi="Times New Roman" w:cs="Times New Roman"/>
        </w:rPr>
        <w:t xml:space="preserve">in the Manuscript Tradition until 1450.’ In </w:t>
      </w:r>
      <w:r w:rsidRPr="00A472FC">
        <w:rPr>
          <w:rFonts w:ascii="Times New Roman" w:hAnsi="Times New Roman" w:cs="Times New Roman"/>
          <w:i/>
          <w:iCs/>
        </w:rPr>
        <w:t xml:space="preserve">The Legacy of Early Franciscan Thought. </w:t>
      </w:r>
      <w:r w:rsidRPr="00A472FC">
        <w:rPr>
          <w:rFonts w:ascii="Times New Roman" w:hAnsi="Times New Roman" w:cs="Times New Roman"/>
        </w:rPr>
        <w:t>Edited by Lydia Schumacher, 353-71. Berlin: De Gruyter, 2021.</w:t>
      </w:r>
    </w:p>
    <w:p w14:paraId="27EF0CD6" w14:textId="7342E0A5"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Salman, Dominique H. ‘Note </w:t>
      </w:r>
      <w:proofErr w:type="spellStart"/>
      <w:r w:rsidRPr="00A472FC">
        <w:rPr>
          <w:rFonts w:ascii="Times New Roman" w:hAnsi="Times New Roman" w:cs="Times New Roman"/>
        </w:rPr>
        <w:t>sur</w:t>
      </w:r>
      <w:proofErr w:type="spellEnd"/>
      <w:r w:rsidRPr="00A472FC">
        <w:rPr>
          <w:rFonts w:ascii="Times New Roman" w:hAnsi="Times New Roman" w:cs="Times New Roman"/>
        </w:rPr>
        <w:t xml:space="preserve"> le première influence </w:t>
      </w:r>
      <w:proofErr w:type="spellStart"/>
      <w:r w:rsidRPr="00A472FC">
        <w:rPr>
          <w:rFonts w:ascii="Times New Roman" w:hAnsi="Times New Roman" w:cs="Times New Roman"/>
        </w:rPr>
        <w:t>d’Averroès</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Revue </w:t>
      </w:r>
      <w:proofErr w:type="spellStart"/>
      <w:r w:rsidRPr="00A472FC">
        <w:rPr>
          <w:rFonts w:ascii="Times New Roman" w:hAnsi="Times New Roman" w:cs="Times New Roman"/>
          <w:i/>
          <w:iCs/>
        </w:rPr>
        <w:t>néo-scolastique</w:t>
      </w:r>
      <w:proofErr w:type="spellEnd"/>
      <w:r w:rsidRPr="00A472FC">
        <w:rPr>
          <w:rFonts w:ascii="Times New Roman" w:hAnsi="Times New Roman" w:cs="Times New Roman"/>
          <w:i/>
          <w:iCs/>
        </w:rPr>
        <w:t xml:space="preserve"> de philosophie </w:t>
      </w:r>
      <w:r w:rsidRPr="00A472FC">
        <w:rPr>
          <w:rFonts w:ascii="Times New Roman" w:hAnsi="Times New Roman" w:cs="Times New Roman"/>
        </w:rPr>
        <w:t>54 (1937): 203-12.</w:t>
      </w:r>
    </w:p>
    <w:p w14:paraId="18CC4496"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‘Jean de La Rochelle et les débuts de </w:t>
      </w:r>
      <w:proofErr w:type="spellStart"/>
      <w:r w:rsidRPr="00A472FC">
        <w:rPr>
          <w:rFonts w:ascii="Times New Roman" w:hAnsi="Times New Roman" w:cs="Times New Roman"/>
        </w:rPr>
        <w:t>l’Averroisme</w:t>
      </w:r>
      <w:proofErr w:type="spellEnd"/>
      <w:r w:rsidRPr="00A472FC">
        <w:rPr>
          <w:rFonts w:ascii="Times New Roman" w:hAnsi="Times New Roman" w:cs="Times New Roman"/>
        </w:rPr>
        <w:t xml:space="preserve"> Latin.’ </w:t>
      </w:r>
      <w:r w:rsidRPr="00A472FC">
        <w:rPr>
          <w:rFonts w:ascii="Times New Roman" w:hAnsi="Times New Roman" w:cs="Times New Roman"/>
          <w:i/>
          <w:iCs/>
        </w:rPr>
        <w:t xml:space="preserve">Archives </w:t>
      </w:r>
      <w:proofErr w:type="spellStart"/>
      <w:r w:rsidRPr="00A472FC">
        <w:rPr>
          <w:rFonts w:ascii="Times New Roman" w:hAnsi="Times New Roman" w:cs="Times New Roman"/>
          <w:i/>
          <w:iCs/>
        </w:rPr>
        <w:t>d’histoire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doctrinale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littéraire</w:t>
      </w:r>
      <w:proofErr w:type="spellEnd"/>
      <w:r w:rsidRPr="00A472FC">
        <w:rPr>
          <w:rFonts w:ascii="Times New Roman" w:hAnsi="Times New Roman" w:cs="Times New Roman"/>
          <w:i/>
          <w:iCs/>
        </w:rPr>
        <w:t xml:space="preserve"> du </w:t>
      </w:r>
      <w:proofErr w:type="spellStart"/>
      <w:r w:rsidRPr="00A472FC">
        <w:rPr>
          <w:rFonts w:ascii="Times New Roman" w:hAnsi="Times New Roman" w:cs="Times New Roman"/>
          <w:i/>
          <w:iCs/>
        </w:rPr>
        <w:t>Moyen</w:t>
      </w:r>
      <w:proofErr w:type="spellEnd"/>
      <w:r w:rsidRPr="00A472FC">
        <w:rPr>
          <w:rFonts w:ascii="Times New Roman" w:hAnsi="Times New Roman" w:cs="Times New Roman"/>
          <w:i/>
          <w:iCs/>
        </w:rPr>
        <w:t xml:space="preserve"> Age </w:t>
      </w:r>
      <w:r w:rsidRPr="00A472FC">
        <w:rPr>
          <w:rFonts w:ascii="Times New Roman" w:hAnsi="Times New Roman" w:cs="Times New Roman"/>
        </w:rPr>
        <w:t>(1947-8): 133-44.</w:t>
      </w:r>
    </w:p>
    <w:p w14:paraId="5C14745E" w14:textId="73B7688D" w:rsidR="00711080" w:rsidRPr="00A472FC" w:rsidRDefault="006A6E61" w:rsidP="00B92CDB">
      <w:pPr>
        <w:autoSpaceDE w:val="0"/>
        <w:autoSpaceDN w:val="0"/>
        <w:adjustRightInd w:val="0"/>
        <w:ind w:left="567" w:right="-720" w:hanging="567"/>
        <w:rPr>
          <w:rFonts w:ascii="Times New Roman" w:hAnsi="Times New Roman" w:cs="Times New Roman"/>
        </w:rPr>
      </w:pPr>
      <w:r w:rsidRPr="00A472FC">
        <w:rPr>
          <w:rFonts w:ascii="Times New Roman" w:hAnsi="Times New Roman" w:cs="Times New Roman"/>
        </w:rPr>
        <w:t xml:space="preserve">Schumacher, Lydia. </w:t>
      </w:r>
      <w:r w:rsidR="00711080" w:rsidRPr="00A472FC">
        <w:rPr>
          <w:rFonts w:ascii="Times New Roman" w:hAnsi="Times New Roman" w:cs="Times New Roman"/>
          <w:i/>
          <w:iCs/>
        </w:rPr>
        <w:t xml:space="preserve">Divine Illumination: The History and Future of Augustine’s Theory of Knowledge. </w:t>
      </w:r>
      <w:r w:rsidR="00711080" w:rsidRPr="00A472FC">
        <w:rPr>
          <w:rFonts w:ascii="Times New Roman" w:hAnsi="Times New Roman" w:cs="Times New Roman"/>
        </w:rPr>
        <w:t xml:space="preserve">Oxford: Wiley-Blackwell, 2011. </w:t>
      </w:r>
    </w:p>
    <w:p w14:paraId="18878C53" w14:textId="7D828547" w:rsidR="00BC05DD" w:rsidRPr="00A472FC" w:rsidRDefault="00BC05DD" w:rsidP="00B92CDB">
      <w:pPr>
        <w:autoSpaceDE w:val="0"/>
        <w:autoSpaceDN w:val="0"/>
        <w:adjustRightInd w:val="0"/>
        <w:ind w:left="567" w:right="-52" w:hanging="567"/>
        <w:rPr>
          <w:rFonts w:ascii="Times New Roman" w:hAnsi="Times New Roman" w:cs="Times New Roman"/>
        </w:rPr>
      </w:pPr>
      <w:r w:rsidRPr="00A472FC">
        <w:rPr>
          <w:rFonts w:ascii="Times New Roman" w:hAnsi="Times New Roman" w:cs="Times New Roman"/>
        </w:rPr>
        <w:t xml:space="preserve">———. ‘Aquinas’ Five Ways: A Pastoral Interpretation.’ </w:t>
      </w:r>
      <w:r w:rsidRPr="00A472FC">
        <w:rPr>
          <w:rFonts w:ascii="Times New Roman" w:hAnsi="Times New Roman" w:cs="Times New Roman"/>
          <w:i/>
        </w:rPr>
        <w:t xml:space="preserve">Theology </w:t>
      </w:r>
      <w:r w:rsidRPr="00A472FC">
        <w:rPr>
          <w:rFonts w:ascii="Times New Roman" w:hAnsi="Times New Roman" w:cs="Times New Roman"/>
        </w:rPr>
        <w:t>119:1</w:t>
      </w:r>
      <w:r w:rsidRPr="00A472FC">
        <w:rPr>
          <w:rFonts w:ascii="Times New Roman" w:hAnsi="Times New Roman" w:cs="Times New Roman"/>
          <w:i/>
        </w:rPr>
        <w:t xml:space="preserve"> </w:t>
      </w:r>
      <w:r w:rsidRPr="00A472FC">
        <w:rPr>
          <w:rFonts w:ascii="Times New Roman" w:hAnsi="Times New Roman" w:cs="Times New Roman"/>
        </w:rPr>
        <w:t>(2016)</w:t>
      </w:r>
      <w:r w:rsidR="007806DE" w:rsidRPr="00A472FC">
        <w:rPr>
          <w:rFonts w:ascii="Times New Roman" w:hAnsi="Times New Roman" w:cs="Times New Roman"/>
        </w:rPr>
        <w:t xml:space="preserve">: </w:t>
      </w:r>
      <w:r w:rsidRPr="00A472FC">
        <w:rPr>
          <w:rFonts w:ascii="Times New Roman" w:hAnsi="Times New Roman" w:cs="Times New Roman"/>
        </w:rPr>
        <w:t>26-33.</w:t>
      </w:r>
    </w:p>
    <w:p w14:paraId="353C363D" w14:textId="6A60A42F" w:rsidR="006A6E61" w:rsidRPr="00A472FC" w:rsidRDefault="00711080" w:rsidP="00B92CDB">
      <w:pPr>
        <w:autoSpaceDE w:val="0"/>
        <w:autoSpaceDN w:val="0"/>
        <w:adjustRightInd w:val="0"/>
        <w:ind w:left="567" w:right="-52" w:hanging="567"/>
        <w:rPr>
          <w:rFonts w:ascii="Times New Roman" w:hAnsi="Times New Roman" w:cs="Times New Roman"/>
        </w:rPr>
      </w:pPr>
      <w:r w:rsidRPr="00A472FC">
        <w:rPr>
          <w:rFonts w:ascii="Times New Roman" w:hAnsi="Times New Roman" w:cs="Times New Roman"/>
        </w:rPr>
        <w:t xml:space="preserve">———. </w:t>
      </w:r>
      <w:r w:rsidR="006A6E61" w:rsidRPr="00A472FC">
        <w:rPr>
          <w:rFonts w:ascii="Times New Roman" w:hAnsi="Times New Roman" w:cs="Times New Roman"/>
          <w:i/>
        </w:rPr>
        <w:t xml:space="preserve">Early Franciscan Theology: Between Authority and Innovation. </w:t>
      </w:r>
      <w:r w:rsidR="006A6E61" w:rsidRPr="00A472FC">
        <w:rPr>
          <w:rFonts w:ascii="Times New Roman" w:hAnsi="Times New Roman" w:cs="Times New Roman"/>
        </w:rPr>
        <w:t xml:space="preserve">Cambridge: Cambridge University Press, 2019. </w:t>
      </w:r>
    </w:p>
    <w:p w14:paraId="290178A5" w14:textId="2EE6FFA7" w:rsidR="0095540E" w:rsidRPr="00A472FC" w:rsidRDefault="0095540E" w:rsidP="00B92CDB">
      <w:pPr>
        <w:autoSpaceDE w:val="0"/>
        <w:autoSpaceDN w:val="0"/>
        <w:adjustRightInd w:val="0"/>
        <w:ind w:left="567" w:right="-52" w:hanging="567"/>
        <w:rPr>
          <w:rFonts w:ascii="Times New Roman" w:hAnsi="Times New Roman" w:cs="Times New Roman"/>
        </w:rPr>
      </w:pPr>
      <w:r w:rsidRPr="00A472FC">
        <w:rPr>
          <w:rFonts w:ascii="Times New Roman" w:hAnsi="Times New Roman" w:cs="Times New Roman"/>
        </w:rPr>
        <w:t xml:space="preserve">———. ‘Christian Platonism: The Middle Ages.’ In </w:t>
      </w:r>
      <w:r w:rsidRPr="00A472FC">
        <w:rPr>
          <w:rFonts w:ascii="Times New Roman" w:hAnsi="Times New Roman" w:cs="Times New Roman"/>
          <w:i/>
          <w:iCs/>
        </w:rPr>
        <w:t>Christian Platonism</w:t>
      </w:r>
      <w:r w:rsidR="008D1F40" w:rsidRPr="00A472FC">
        <w:rPr>
          <w:rFonts w:ascii="Times New Roman" w:hAnsi="Times New Roman" w:cs="Times New Roman"/>
          <w:i/>
          <w:iCs/>
        </w:rPr>
        <w:t>: A History</w:t>
      </w:r>
      <w:r w:rsidRPr="00A472FC">
        <w:rPr>
          <w:rFonts w:ascii="Times New Roman" w:hAnsi="Times New Roman" w:cs="Times New Roman"/>
        </w:rPr>
        <w:t>.</w:t>
      </w:r>
      <w:r w:rsidR="008D1F40" w:rsidRPr="00A472FC">
        <w:rPr>
          <w:rFonts w:ascii="Times New Roman" w:hAnsi="Times New Roman" w:cs="Times New Roman"/>
        </w:rPr>
        <w:t xml:space="preserve"> Edited by Alexander Hampton and John </w:t>
      </w:r>
      <w:proofErr w:type="spellStart"/>
      <w:r w:rsidR="008D1F40" w:rsidRPr="00A472FC">
        <w:rPr>
          <w:rFonts w:ascii="Times New Roman" w:hAnsi="Times New Roman" w:cs="Times New Roman"/>
        </w:rPr>
        <w:t>Kenney</w:t>
      </w:r>
      <w:proofErr w:type="spellEnd"/>
      <w:r w:rsidR="008D1F40" w:rsidRPr="00A472FC">
        <w:rPr>
          <w:rFonts w:ascii="Times New Roman" w:hAnsi="Times New Roman" w:cs="Times New Roman"/>
        </w:rPr>
        <w:t xml:space="preserve">, </w:t>
      </w:r>
      <w:r w:rsidR="00C66AA2" w:rsidRPr="00A472FC">
        <w:rPr>
          <w:rFonts w:ascii="Times New Roman" w:hAnsi="Times New Roman" w:cs="Times New Roman"/>
        </w:rPr>
        <w:t>183-206.</w:t>
      </w:r>
      <w:r w:rsidRPr="00A472FC">
        <w:rPr>
          <w:rFonts w:ascii="Times New Roman" w:hAnsi="Times New Roman" w:cs="Times New Roman"/>
        </w:rPr>
        <w:t xml:space="preserve"> Cambridge: Cambridge University Press, 202</w:t>
      </w:r>
      <w:r w:rsidR="00C66AA2" w:rsidRPr="00A472FC">
        <w:rPr>
          <w:rFonts w:ascii="Times New Roman" w:hAnsi="Times New Roman" w:cs="Times New Roman"/>
        </w:rPr>
        <w:t>1</w:t>
      </w:r>
      <w:r w:rsidRPr="00A472FC">
        <w:rPr>
          <w:rFonts w:ascii="Times New Roman" w:hAnsi="Times New Roman" w:cs="Times New Roman"/>
        </w:rPr>
        <w:t>.</w:t>
      </w:r>
    </w:p>
    <w:p w14:paraId="786FBDC7" w14:textId="0103061F" w:rsidR="003A30DA" w:rsidRPr="00A472FC" w:rsidRDefault="003A30DA" w:rsidP="003A30DA">
      <w:pPr>
        <w:autoSpaceDE w:val="0"/>
        <w:autoSpaceDN w:val="0"/>
        <w:adjustRightInd w:val="0"/>
        <w:ind w:left="567" w:right="-52" w:hanging="567"/>
        <w:rPr>
          <w:rFonts w:ascii="Times New Roman" w:hAnsi="Times New Roman" w:cs="Times New Roman"/>
        </w:rPr>
      </w:pPr>
      <w:r w:rsidRPr="00A472FC">
        <w:rPr>
          <w:rFonts w:ascii="Times New Roman" w:hAnsi="Times New Roman" w:cs="Times New Roman"/>
        </w:rPr>
        <w:t>——— e</w:t>
      </w:r>
      <w:r w:rsidR="00114C24" w:rsidRPr="00A472FC">
        <w:rPr>
          <w:rFonts w:ascii="Times New Roman" w:hAnsi="Times New Roman" w:cs="Times New Roman"/>
        </w:rPr>
        <w:t>d</w:t>
      </w:r>
      <w:r w:rsidRPr="00A472FC">
        <w:rPr>
          <w:rFonts w:ascii="Times New Roman" w:hAnsi="Times New Roman" w:cs="Times New Roman"/>
        </w:rPr>
        <w:t xml:space="preserve">. </w:t>
      </w:r>
      <w:r w:rsidRPr="00A472FC">
        <w:rPr>
          <w:rFonts w:ascii="Times New Roman" w:hAnsi="Times New Roman" w:cs="Times New Roman"/>
          <w:i/>
          <w:iCs/>
        </w:rPr>
        <w:t xml:space="preserve">The 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i/>
          <w:iCs/>
        </w:rPr>
        <w:t xml:space="preserve">: Sources and Context. </w:t>
      </w:r>
      <w:r w:rsidRPr="00A472FC">
        <w:rPr>
          <w:rFonts w:ascii="Times New Roman" w:hAnsi="Times New Roman" w:cs="Times New Roman"/>
        </w:rPr>
        <w:t>Berlin: De Gruyter, 2020.</w:t>
      </w:r>
    </w:p>
    <w:p w14:paraId="0B539270" w14:textId="252846A4" w:rsidR="003A30DA" w:rsidRPr="00A472FC" w:rsidRDefault="003A30DA" w:rsidP="00B92CDB">
      <w:pPr>
        <w:autoSpaceDE w:val="0"/>
        <w:autoSpaceDN w:val="0"/>
        <w:adjustRightInd w:val="0"/>
        <w:ind w:left="567" w:right="-52" w:hanging="567"/>
        <w:rPr>
          <w:rFonts w:ascii="Times New Roman" w:hAnsi="Times New Roman" w:cs="Times New Roman"/>
        </w:rPr>
      </w:pPr>
      <w:r w:rsidRPr="00A472FC">
        <w:rPr>
          <w:rFonts w:ascii="Times New Roman" w:hAnsi="Times New Roman" w:cs="Times New Roman"/>
        </w:rPr>
        <w:t xml:space="preserve">——— ed. </w:t>
      </w:r>
      <w:r w:rsidRPr="00A472FC">
        <w:rPr>
          <w:rFonts w:ascii="Times New Roman" w:hAnsi="Times New Roman" w:cs="Times New Roman"/>
          <w:i/>
          <w:iCs/>
        </w:rPr>
        <w:t xml:space="preserve">The 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i/>
          <w:iCs/>
        </w:rPr>
        <w:t xml:space="preserve">: Doctrines and Debates. </w:t>
      </w:r>
      <w:r w:rsidRPr="00A472FC">
        <w:rPr>
          <w:rFonts w:ascii="Times New Roman" w:hAnsi="Times New Roman" w:cs="Times New Roman"/>
        </w:rPr>
        <w:t>Berlin: De Gruyter, 2020.</w:t>
      </w:r>
    </w:p>
    <w:p w14:paraId="063B5949" w14:textId="603345BC" w:rsidR="00711080" w:rsidRPr="00A472FC" w:rsidRDefault="00711080"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ed. </w:t>
      </w:r>
      <w:r w:rsidRPr="00A472FC">
        <w:rPr>
          <w:rFonts w:ascii="Times New Roman" w:hAnsi="Times New Roman" w:cs="Times New Roman"/>
          <w:i/>
          <w:iCs/>
        </w:rPr>
        <w:t>The Legacy of Early Franciscan Thought</w:t>
      </w:r>
      <w:r w:rsidR="0095540E" w:rsidRPr="00A472FC">
        <w:rPr>
          <w:rFonts w:ascii="Times New Roman" w:hAnsi="Times New Roman" w:cs="Times New Roman"/>
          <w:i/>
          <w:iCs/>
        </w:rPr>
        <w:t xml:space="preserve">. </w:t>
      </w:r>
      <w:r w:rsidRPr="00A472FC">
        <w:rPr>
          <w:rFonts w:ascii="Times New Roman" w:hAnsi="Times New Roman" w:cs="Times New Roman"/>
        </w:rPr>
        <w:t>Berlin: De Gruyter, 2021.</w:t>
      </w:r>
    </w:p>
    <w:p w14:paraId="3DE90D2A" w14:textId="0D2B012A" w:rsidR="00B92CDB" w:rsidRPr="00A472FC" w:rsidRDefault="00B92CDB"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ed. </w:t>
      </w:r>
      <w:r w:rsidR="003A30DA" w:rsidRPr="00A472FC">
        <w:rPr>
          <w:rFonts w:ascii="Times New Roman" w:hAnsi="Times New Roman" w:cs="Times New Roman"/>
          <w:i/>
          <w:iCs/>
        </w:rPr>
        <w:t xml:space="preserve">Early Thirteenth-Century English Franciscan Thought. </w:t>
      </w:r>
      <w:r w:rsidR="003A30DA" w:rsidRPr="00A472FC">
        <w:rPr>
          <w:rFonts w:ascii="Times New Roman" w:hAnsi="Times New Roman" w:cs="Times New Roman"/>
        </w:rPr>
        <w:t>Berlin: De Gruyter, 2021.</w:t>
      </w:r>
    </w:p>
    <w:p w14:paraId="29E1B0B4" w14:textId="1941712A" w:rsidR="00D93293" w:rsidRPr="00A472FC" w:rsidRDefault="00441D4A"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Schwartz, </w:t>
      </w:r>
      <w:proofErr w:type="spellStart"/>
      <w:r w:rsidRPr="00A472FC">
        <w:rPr>
          <w:rFonts w:ascii="Times New Roman" w:hAnsi="Times New Roman" w:cs="Times New Roman"/>
        </w:rPr>
        <w:t>Yossef</w:t>
      </w:r>
      <w:proofErr w:type="spellEnd"/>
      <w:r w:rsidRPr="00A472FC">
        <w:rPr>
          <w:rFonts w:ascii="Times New Roman" w:hAnsi="Times New Roman" w:cs="Times New Roman"/>
        </w:rPr>
        <w:t xml:space="preserve">. ‘The Medieval Hebrew Translations of </w:t>
      </w:r>
      <w:proofErr w:type="spellStart"/>
      <w:r w:rsidRPr="00A472FC">
        <w:rPr>
          <w:rFonts w:ascii="Times New Roman" w:hAnsi="Times New Roman" w:cs="Times New Roman"/>
        </w:rPr>
        <w:t>Dominicus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Gundissalinus</w:t>
      </w:r>
      <w:proofErr w:type="spellEnd"/>
      <w:r w:rsidR="00DD5C9D" w:rsidRPr="00A472FC">
        <w:rPr>
          <w:rFonts w:ascii="Times New Roman" w:hAnsi="Times New Roman" w:cs="Times New Roman"/>
        </w:rPr>
        <w:t>.’</w:t>
      </w:r>
      <w:r w:rsidRPr="00A472FC">
        <w:rPr>
          <w:rFonts w:ascii="Times New Roman" w:hAnsi="Times New Roman" w:cs="Times New Roman"/>
        </w:rPr>
        <w:t xml:space="preserve"> </w:t>
      </w:r>
      <w:r w:rsidR="00DD5C9D" w:rsidRPr="00A472FC">
        <w:rPr>
          <w:rFonts w:ascii="Times New Roman" w:hAnsi="Times New Roman" w:cs="Times New Roman"/>
        </w:rPr>
        <w:t>I</w:t>
      </w:r>
      <w:r w:rsidRPr="00A472FC">
        <w:rPr>
          <w:rFonts w:ascii="Times New Roman" w:hAnsi="Times New Roman" w:cs="Times New Roman"/>
        </w:rPr>
        <w:t xml:space="preserve">n </w:t>
      </w:r>
      <w:r w:rsidRPr="00A472FC">
        <w:rPr>
          <w:rFonts w:ascii="Times New Roman" w:hAnsi="Times New Roman" w:cs="Times New Roman"/>
          <w:i/>
          <w:iCs/>
        </w:rPr>
        <w:t>Latin-into-Hebrew</w:t>
      </w:r>
      <w:r w:rsidR="00AB7413" w:rsidRPr="00A472FC">
        <w:rPr>
          <w:rFonts w:ascii="Times New Roman" w:hAnsi="Times New Roman" w:cs="Times New Roman"/>
          <w:i/>
          <w:iCs/>
        </w:rPr>
        <w:t xml:space="preserve">: </w:t>
      </w:r>
      <w:r w:rsidRPr="00A472FC">
        <w:rPr>
          <w:rFonts w:ascii="Times New Roman" w:hAnsi="Times New Roman" w:cs="Times New Roman"/>
          <w:i/>
          <w:iCs/>
        </w:rPr>
        <w:t xml:space="preserve">Studies and Texts, </w:t>
      </w:r>
      <w:r w:rsidR="00FF498C" w:rsidRPr="00A472FC">
        <w:rPr>
          <w:rFonts w:ascii="Times New Roman" w:hAnsi="Times New Roman" w:cs="Times New Roman"/>
        </w:rPr>
        <w:t>v</w:t>
      </w:r>
      <w:r w:rsidRPr="00A472FC">
        <w:rPr>
          <w:rFonts w:ascii="Times New Roman" w:hAnsi="Times New Roman" w:cs="Times New Roman"/>
        </w:rPr>
        <w:t>ol. 2</w:t>
      </w:r>
      <w:r w:rsidR="00DD5C9D" w:rsidRPr="00A472FC">
        <w:rPr>
          <w:rFonts w:ascii="Times New Roman" w:hAnsi="Times New Roman" w:cs="Times New Roman"/>
        </w:rPr>
        <w:t xml:space="preserve">. Edited by </w:t>
      </w:r>
      <w:r w:rsidRPr="00A472FC">
        <w:rPr>
          <w:rFonts w:ascii="Times New Roman" w:hAnsi="Times New Roman" w:cs="Times New Roman"/>
        </w:rPr>
        <w:t xml:space="preserve">Alexander Fidora, Harvey J. Hames, </w:t>
      </w:r>
      <w:proofErr w:type="spellStart"/>
      <w:r w:rsidRPr="00A472FC">
        <w:rPr>
          <w:rFonts w:ascii="Times New Roman" w:hAnsi="Times New Roman" w:cs="Times New Roman"/>
        </w:rPr>
        <w:t>Yossef</w:t>
      </w:r>
      <w:proofErr w:type="spellEnd"/>
      <w:r w:rsidRPr="00A472FC">
        <w:rPr>
          <w:rFonts w:ascii="Times New Roman" w:hAnsi="Times New Roman" w:cs="Times New Roman"/>
        </w:rPr>
        <w:t xml:space="preserve"> Schwartz</w:t>
      </w:r>
      <w:r w:rsidR="00D93293" w:rsidRPr="00A472FC">
        <w:rPr>
          <w:rFonts w:ascii="Times New Roman" w:hAnsi="Times New Roman" w:cs="Times New Roman"/>
        </w:rPr>
        <w:t xml:space="preserve">, 19-45. </w:t>
      </w:r>
      <w:r w:rsidRPr="00A472FC">
        <w:rPr>
          <w:rFonts w:ascii="Times New Roman" w:hAnsi="Times New Roman" w:cs="Times New Roman"/>
        </w:rPr>
        <w:t>Leiden</w:t>
      </w:r>
      <w:r w:rsidR="00761AAB" w:rsidRPr="00A472FC">
        <w:rPr>
          <w:rFonts w:ascii="Times New Roman" w:hAnsi="Times New Roman" w:cs="Times New Roman"/>
        </w:rPr>
        <w:t>:</w:t>
      </w:r>
      <w:r w:rsidRPr="00A472FC">
        <w:rPr>
          <w:rFonts w:ascii="Times New Roman" w:hAnsi="Times New Roman" w:cs="Times New Roman"/>
        </w:rPr>
        <w:t xml:space="preserve"> Brill, 2013</w:t>
      </w:r>
      <w:r w:rsidR="00D93293" w:rsidRPr="00A472FC">
        <w:rPr>
          <w:rFonts w:ascii="Times New Roman" w:hAnsi="Times New Roman" w:cs="Times New Roman"/>
        </w:rPr>
        <w:t>.</w:t>
      </w:r>
    </w:p>
    <w:p w14:paraId="3BE8EB74" w14:textId="1718B4ED" w:rsidR="006A6E61" w:rsidRPr="00A472FC" w:rsidRDefault="006A6E61"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Sebastián, San </w:t>
      </w:r>
      <w:proofErr w:type="spellStart"/>
      <w:r w:rsidRPr="00A472FC">
        <w:rPr>
          <w:rFonts w:ascii="Times New Roman" w:hAnsi="Times New Roman" w:cs="Times New Roman"/>
        </w:rPr>
        <w:t>Cristóbal</w:t>
      </w:r>
      <w:proofErr w:type="spellEnd"/>
      <w:r w:rsidRPr="00A472FC">
        <w:rPr>
          <w:rFonts w:ascii="Times New Roman" w:hAnsi="Times New Roman" w:cs="Times New Roman"/>
        </w:rPr>
        <w:t xml:space="preserve"> A. </w:t>
      </w:r>
      <w:proofErr w:type="spellStart"/>
      <w:r w:rsidRPr="00A472FC">
        <w:rPr>
          <w:rFonts w:ascii="Times New Roman" w:hAnsi="Times New Roman" w:cs="Times New Roman"/>
          <w:i/>
        </w:rPr>
        <w:t>Controversias</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acerca</w:t>
      </w:r>
      <w:proofErr w:type="spellEnd"/>
      <w:r w:rsidRPr="00A472FC">
        <w:rPr>
          <w:rFonts w:ascii="Times New Roman" w:hAnsi="Times New Roman" w:cs="Times New Roman"/>
          <w:i/>
        </w:rPr>
        <w:t xml:space="preserve"> de la </w:t>
      </w:r>
      <w:proofErr w:type="spellStart"/>
      <w:r w:rsidRPr="00A472FC">
        <w:rPr>
          <w:rFonts w:ascii="Times New Roman" w:hAnsi="Times New Roman" w:cs="Times New Roman"/>
          <w:i/>
        </w:rPr>
        <w:t>voluntad</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desde</w:t>
      </w:r>
      <w:proofErr w:type="spellEnd"/>
      <w:r w:rsidRPr="00A472FC">
        <w:rPr>
          <w:rFonts w:ascii="Times New Roman" w:hAnsi="Times New Roman" w:cs="Times New Roman"/>
          <w:i/>
        </w:rPr>
        <w:t xml:space="preserve"> 1270-1300. </w:t>
      </w:r>
      <w:r w:rsidRPr="00A472FC">
        <w:rPr>
          <w:rFonts w:ascii="Times New Roman" w:hAnsi="Times New Roman" w:cs="Times New Roman"/>
        </w:rPr>
        <w:t>Madrid: 1958.</w:t>
      </w:r>
    </w:p>
    <w:p w14:paraId="719D9B94" w14:textId="75A8D3FD" w:rsidR="006A6E61" w:rsidRPr="00A472FC" w:rsidRDefault="006A6E61"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Sharp, Dorothea. </w:t>
      </w:r>
      <w:r w:rsidRPr="00A472FC">
        <w:rPr>
          <w:rFonts w:ascii="Times New Roman" w:hAnsi="Times New Roman" w:cs="Times New Roman"/>
          <w:i/>
          <w:iCs/>
        </w:rPr>
        <w:t xml:space="preserve">Franciscan Philosophy at Oxford in the Thirteenth Century. </w:t>
      </w:r>
      <w:r w:rsidRPr="00A472FC">
        <w:rPr>
          <w:rFonts w:ascii="Times New Roman" w:hAnsi="Times New Roman" w:cs="Times New Roman"/>
        </w:rPr>
        <w:t xml:space="preserve">New York: Russell </w:t>
      </w:r>
      <w:r w:rsidR="0082397E" w:rsidRPr="00A472FC">
        <w:rPr>
          <w:rFonts w:ascii="Times New Roman" w:hAnsi="Times New Roman" w:cs="Times New Roman"/>
        </w:rPr>
        <w:t>and</w:t>
      </w:r>
      <w:r w:rsidRPr="00A472FC">
        <w:rPr>
          <w:rFonts w:ascii="Times New Roman" w:hAnsi="Times New Roman" w:cs="Times New Roman"/>
        </w:rPr>
        <w:t xml:space="preserve"> Russell, 1964.</w:t>
      </w:r>
    </w:p>
    <w:p w14:paraId="46665FD2" w14:textId="77777777" w:rsidR="006A6E61" w:rsidRPr="00A472FC" w:rsidRDefault="006A6E61" w:rsidP="00881604">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t>Sileo</w:t>
      </w:r>
      <w:proofErr w:type="spellEnd"/>
      <w:r w:rsidRPr="00A472FC">
        <w:rPr>
          <w:rFonts w:ascii="Times New Roman" w:hAnsi="Times New Roman" w:cs="Times New Roman"/>
        </w:rPr>
        <w:t xml:space="preserve">, Leonardo. ‘I </w:t>
      </w:r>
      <w:proofErr w:type="spellStart"/>
      <w:r w:rsidRPr="00A472FC">
        <w:rPr>
          <w:rFonts w:ascii="Times New Roman" w:hAnsi="Times New Roman" w:cs="Times New Roman"/>
        </w:rPr>
        <w:t>primi</w:t>
      </w:r>
      <w:proofErr w:type="spellEnd"/>
      <w:r w:rsidRPr="00A472FC">
        <w:rPr>
          <w:rFonts w:ascii="Times New Roman" w:hAnsi="Times New Roman" w:cs="Times New Roman"/>
        </w:rPr>
        <w:t xml:space="preserve"> maestri </w:t>
      </w:r>
      <w:proofErr w:type="spellStart"/>
      <w:r w:rsidRPr="00A472FC">
        <w:rPr>
          <w:rFonts w:ascii="Times New Roman" w:hAnsi="Times New Roman" w:cs="Times New Roman"/>
        </w:rPr>
        <w:t>francescani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Parigi</w:t>
      </w:r>
      <w:proofErr w:type="spellEnd"/>
      <w:r w:rsidRPr="00A472FC">
        <w:rPr>
          <w:rFonts w:ascii="Times New Roman" w:hAnsi="Times New Roman" w:cs="Times New Roman"/>
        </w:rPr>
        <w:t xml:space="preserve"> e </w:t>
      </w:r>
      <w:proofErr w:type="spellStart"/>
      <w:r w:rsidRPr="00A472FC">
        <w:rPr>
          <w:rFonts w:ascii="Times New Roman" w:hAnsi="Times New Roman" w:cs="Times New Roman"/>
        </w:rPr>
        <w:t>di</w:t>
      </w:r>
      <w:proofErr w:type="spellEnd"/>
      <w:r w:rsidRPr="00A472FC">
        <w:rPr>
          <w:rFonts w:ascii="Times New Roman" w:hAnsi="Times New Roman" w:cs="Times New Roman"/>
        </w:rPr>
        <w:t xml:space="preserve"> Oxford.’ In </w:t>
      </w:r>
      <w:proofErr w:type="spellStart"/>
      <w:r w:rsidRPr="00A472FC">
        <w:rPr>
          <w:rFonts w:ascii="Times New Roman" w:hAnsi="Times New Roman" w:cs="Times New Roman"/>
          <w:i/>
          <w:iCs/>
        </w:rPr>
        <w:t>Storia</w:t>
      </w:r>
      <w:proofErr w:type="spellEnd"/>
      <w:r w:rsidRPr="00A472FC">
        <w:rPr>
          <w:rFonts w:ascii="Times New Roman" w:hAnsi="Times New Roman" w:cs="Times New Roman"/>
          <w:i/>
          <w:iCs/>
        </w:rPr>
        <w:t xml:space="preserve"> della </w:t>
      </w:r>
      <w:proofErr w:type="spellStart"/>
      <w:r w:rsidRPr="00A472FC">
        <w:rPr>
          <w:rFonts w:ascii="Times New Roman" w:hAnsi="Times New Roman" w:cs="Times New Roman"/>
          <w:i/>
          <w:iCs/>
        </w:rPr>
        <w:t>teologia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nel</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Medioevo</w:t>
      </w:r>
      <w:proofErr w:type="spellEnd"/>
      <w:r w:rsidRPr="00A472FC">
        <w:rPr>
          <w:rFonts w:ascii="Times New Roman" w:hAnsi="Times New Roman" w:cs="Times New Roman"/>
          <w:i/>
          <w:iCs/>
        </w:rPr>
        <w:t xml:space="preserve"> 2: La grande </w:t>
      </w:r>
      <w:proofErr w:type="spellStart"/>
      <w:r w:rsidRPr="00A472FC">
        <w:rPr>
          <w:rFonts w:ascii="Times New Roman" w:hAnsi="Times New Roman" w:cs="Times New Roman"/>
          <w:i/>
          <w:iCs/>
        </w:rPr>
        <w:t>fioritura</w:t>
      </w:r>
      <w:proofErr w:type="spellEnd"/>
      <w:r w:rsidRPr="00A472FC">
        <w:rPr>
          <w:rFonts w:ascii="Times New Roman" w:hAnsi="Times New Roman" w:cs="Times New Roman"/>
        </w:rPr>
        <w:t xml:space="preserve">. Edited by Giulio </w:t>
      </w:r>
      <w:proofErr w:type="spellStart"/>
      <w:r w:rsidRPr="00A472FC">
        <w:rPr>
          <w:rFonts w:ascii="Times New Roman" w:hAnsi="Times New Roman" w:cs="Times New Roman"/>
        </w:rPr>
        <w:t>d’Onofrio</w:t>
      </w:r>
      <w:proofErr w:type="spellEnd"/>
      <w:r w:rsidRPr="00A472FC">
        <w:rPr>
          <w:rFonts w:ascii="Times New Roman" w:hAnsi="Times New Roman" w:cs="Times New Roman"/>
        </w:rPr>
        <w:t xml:space="preserve">, 645-97. Casale </w:t>
      </w:r>
      <w:proofErr w:type="spellStart"/>
      <w:r w:rsidRPr="00A472FC">
        <w:rPr>
          <w:rFonts w:ascii="Times New Roman" w:hAnsi="Times New Roman" w:cs="Times New Roman"/>
        </w:rPr>
        <w:t>Monferrato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Piemme</w:t>
      </w:r>
      <w:proofErr w:type="spellEnd"/>
      <w:r w:rsidRPr="00A472FC">
        <w:rPr>
          <w:rFonts w:ascii="Times New Roman" w:hAnsi="Times New Roman" w:cs="Times New Roman"/>
        </w:rPr>
        <w:t>, 1996.</w:t>
      </w:r>
    </w:p>
    <w:p w14:paraId="252BF8E3" w14:textId="5F15E047" w:rsidR="00983B7D" w:rsidRPr="00A472FC" w:rsidRDefault="00983B7D"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Silva, José Filipe. ‘Medieval Theories of Active Perception: An Overview.’ In </w:t>
      </w:r>
      <w:r w:rsidRPr="00A472FC">
        <w:rPr>
          <w:rFonts w:ascii="Times New Roman" w:hAnsi="Times New Roman" w:cs="Times New Roman"/>
          <w:i/>
          <w:iCs/>
        </w:rPr>
        <w:t xml:space="preserve">Active Perception in the History of Philosophy: From Plato to Modern Philosophy. </w:t>
      </w:r>
      <w:r w:rsidRPr="00A472FC">
        <w:rPr>
          <w:rFonts w:ascii="Times New Roman" w:hAnsi="Times New Roman" w:cs="Times New Roman"/>
        </w:rPr>
        <w:t xml:space="preserve">Edited by José Filipe Silva and Mikko </w:t>
      </w:r>
      <w:proofErr w:type="spellStart"/>
      <w:r w:rsidRPr="00A472FC">
        <w:rPr>
          <w:rFonts w:ascii="Times New Roman" w:hAnsi="Times New Roman" w:cs="Times New Roman"/>
        </w:rPr>
        <w:t>Yrjönsuuri</w:t>
      </w:r>
      <w:proofErr w:type="spellEnd"/>
      <w:r w:rsidRPr="00A472FC">
        <w:rPr>
          <w:rFonts w:ascii="Times New Roman" w:hAnsi="Times New Roman" w:cs="Times New Roman"/>
        </w:rPr>
        <w:t xml:space="preserve">, 117-46. New York: Springer, 2014. </w:t>
      </w:r>
    </w:p>
    <w:p w14:paraId="7F6E7A30" w14:textId="5286FEBF" w:rsidR="00983B7D" w:rsidRPr="00A472FC" w:rsidRDefault="00F824B3" w:rsidP="00881604">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w:t>
      </w:r>
      <w:r w:rsidR="00983B7D" w:rsidRPr="00A472FC">
        <w:rPr>
          <w:rFonts w:ascii="Times New Roman" w:hAnsi="Times New Roman" w:cs="Times New Roman"/>
        </w:rPr>
        <w:t>‘The Chameleonic Mind: The Activity versus the Actuality of Perception</w:t>
      </w:r>
      <w:r w:rsidRPr="00A472FC">
        <w:rPr>
          <w:rFonts w:ascii="Times New Roman" w:hAnsi="Times New Roman" w:cs="Times New Roman"/>
        </w:rPr>
        <w:t>.</w:t>
      </w:r>
      <w:r w:rsidR="00983B7D" w:rsidRPr="00A472FC">
        <w:rPr>
          <w:rFonts w:ascii="Times New Roman" w:hAnsi="Times New Roman" w:cs="Times New Roman"/>
        </w:rPr>
        <w:t xml:space="preserve">’ </w:t>
      </w:r>
      <w:r w:rsidRPr="00A472FC">
        <w:rPr>
          <w:rFonts w:ascii="Times New Roman" w:hAnsi="Times New Roman" w:cs="Times New Roman"/>
        </w:rPr>
        <w:t>I</w:t>
      </w:r>
      <w:r w:rsidR="00983B7D" w:rsidRPr="00A472FC">
        <w:rPr>
          <w:rFonts w:ascii="Times New Roman" w:hAnsi="Times New Roman" w:cs="Times New Roman"/>
        </w:rPr>
        <w:t xml:space="preserve">n </w:t>
      </w:r>
      <w:r w:rsidR="00983B7D" w:rsidRPr="00A472FC">
        <w:rPr>
          <w:rFonts w:ascii="Times New Roman" w:hAnsi="Times New Roman" w:cs="Times New Roman"/>
          <w:i/>
          <w:iCs/>
        </w:rPr>
        <w:t>Medieval Perceptual Puzzles: Theories of Sense Perception in the 13</w:t>
      </w:r>
      <w:r w:rsidR="00983B7D" w:rsidRPr="00A472FC">
        <w:rPr>
          <w:rFonts w:ascii="Times New Roman" w:hAnsi="Times New Roman" w:cs="Times New Roman"/>
          <w:i/>
          <w:iCs/>
          <w:vertAlign w:val="superscript"/>
        </w:rPr>
        <w:t>th</w:t>
      </w:r>
      <w:r w:rsidR="00983B7D" w:rsidRPr="00A472FC">
        <w:rPr>
          <w:rFonts w:ascii="Times New Roman" w:hAnsi="Times New Roman" w:cs="Times New Roman"/>
          <w:i/>
          <w:iCs/>
        </w:rPr>
        <w:t xml:space="preserve"> and 14</w:t>
      </w:r>
      <w:r w:rsidR="00983B7D" w:rsidRPr="00A472FC">
        <w:rPr>
          <w:rFonts w:ascii="Times New Roman" w:hAnsi="Times New Roman" w:cs="Times New Roman"/>
          <w:i/>
          <w:iCs/>
          <w:vertAlign w:val="superscript"/>
        </w:rPr>
        <w:t>th</w:t>
      </w:r>
      <w:r w:rsidR="00983B7D" w:rsidRPr="00A472FC">
        <w:rPr>
          <w:rFonts w:ascii="Times New Roman" w:hAnsi="Times New Roman" w:cs="Times New Roman"/>
          <w:i/>
          <w:iCs/>
        </w:rPr>
        <w:t xml:space="preserve"> Centuries</w:t>
      </w:r>
      <w:r w:rsidRPr="00A472FC">
        <w:rPr>
          <w:rFonts w:ascii="Times New Roman" w:hAnsi="Times New Roman" w:cs="Times New Roman"/>
          <w:i/>
          <w:iCs/>
        </w:rPr>
        <w:t xml:space="preserve">. </w:t>
      </w:r>
      <w:r w:rsidRPr="00A472FC">
        <w:rPr>
          <w:rFonts w:ascii="Times New Roman" w:hAnsi="Times New Roman" w:cs="Times New Roman"/>
        </w:rPr>
        <w:t>Edited by</w:t>
      </w:r>
      <w:r w:rsidR="00983B7D" w:rsidRPr="00A472FC">
        <w:rPr>
          <w:rFonts w:ascii="Times New Roman" w:hAnsi="Times New Roman" w:cs="Times New Roman"/>
        </w:rPr>
        <w:t xml:space="preserve"> Elena </w:t>
      </w:r>
      <w:proofErr w:type="spellStart"/>
      <w:r w:rsidR="00983B7D" w:rsidRPr="00A472FC">
        <w:rPr>
          <w:rFonts w:ascii="Times New Roman" w:hAnsi="Times New Roman" w:cs="Times New Roman"/>
        </w:rPr>
        <w:t>Baltuta</w:t>
      </w:r>
      <w:proofErr w:type="spellEnd"/>
      <w:r w:rsidRPr="00A472FC">
        <w:rPr>
          <w:rFonts w:ascii="Times New Roman" w:hAnsi="Times New Roman" w:cs="Times New Roman"/>
        </w:rPr>
        <w:t xml:space="preserve">, 38-72. </w:t>
      </w:r>
      <w:r w:rsidR="00983B7D" w:rsidRPr="00A472FC">
        <w:rPr>
          <w:rFonts w:ascii="Times New Roman" w:hAnsi="Times New Roman" w:cs="Times New Roman"/>
        </w:rPr>
        <w:t>Leiden: Brill, 2020</w:t>
      </w:r>
      <w:r w:rsidRPr="00A472FC">
        <w:rPr>
          <w:rFonts w:ascii="Times New Roman" w:hAnsi="Times New Roman" w:cs="Times New Roman"/>
        </w:rPr>
        <w:t>.</w:t>
      </w:r>
    </w:p>
    <w:p w14:paraId="0619AF98" w14:textId="6E6E9BDD" w:rsidR="00DF03AF" w:rsidRPr="00A472FC" w:rsidRDefault="00DF03AF" w:rsidP="00DF03AF">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‘John Peckham’s Theory of Natural Cognition: Perception</w:t>
      </w:r>
      <w:r w:rsidR="00D80789" w:rsidRPr="00A472FC">
        <w:rPr>
          <w:rFonts w:ascii="Times New Roman" w:hAnsi="Times New Roman" w:cs="Times New Roman"/>
        </w:rPr>
        <w:t>.</w:t>
      </w:r>
      <w:r w:rsidRPr="00A472FC">
        <w:rPr>
          <w:rFonts w:ascii="Times New Roman" w:hAnsi="Times New Roman" w:cs="Times New Roman"/>
        </w:rPr>
        <w:t xml:space="preserve">’ </w:t>
      </w:r>
      <w:r w:rsidR="00D80789" w:rsidRPr="00A472FC">
        <w:rPr>
          <w:rFonts w:ascii="Times New Roman" w:hAnsi="Times New Roman" w:cs="Times New Roman"/>
        </w:rPr>
        <w:t>I</w:t>
      </w:r>
      <w:r w:rsidRPr="00A472FC">
        <w:rPr>
          <w:rFonts w:ascii="Times New Roman" w:hAnsi="Times New Roman" w:cs="Times New Roman"/>
        </w:rPr>
        <w:t xml:space="preserve">n </w:t>
      </w:r>
      <w:r w:rsidR="00D80789" w:rsidRPr="00A472FC">
        <w:rPr>
          <w:rFonts w:ascii="Times New Roman" w:hAnsi="Times New Roman" w:cs="Times New Roman"/>
          <w:i/>
          <w:iCs/>
        </w:rPr>
        <w:t>Early T</w:t>
      </w:r>
      <w:r w:rsidRPr="00A472FC">
        <w:rPr>
          <w:rFonts w:ascii="Times New Roman" w:hAnsi="Times New Roman" w:cs="Times New Roman"/>
          <w:i/>
          <w:iCs/>
        </w:rPr>
        <w:t>hirteenth-Century English Francisca</w:t>
      </w:r>
      <w:r w:rsidR="00D80789" w:rsidRPr="00A472FC">
        <w:rPr>
          <w:rFonts w:ascii="Times New Roman" w:hAnsi="Times New Roman" w:cs="Times New Roman"/>
          <w:i/>
          <w:iCs/>
        </w:rPr>
        <w:t xml:space="preserve">n Thought. </w:t>
      </w:r>
      <w:r w:rsidR="00D80789" w:rsidRPr="00A472FC">
        <w:rPr>
          <w:rFonts w:ascii="Times New Roman" w:hAnsi="Times New Roman" w:cs="Times New Roman"/>
        </w:rPr>
        <w:t xml:space="preserve">Edited by </w:t>
      </w:r>
      <w:r w:rsidRPr="00A472FC">
        <w:rPr>
          <w:rFonts w:ascii="Times New Roman" w:hAnsi="Times New Roman" w:cs="Times New Roman"/>
        </w:rPr>
        <w:t>Lydia Schumacher</w:t>
      </w:r>
      <w:r w:rsidR="00D80789" w:rsidRPr="00A472FC">
        <w:rPr>
          <w:rFonts w:ascii="Times New Roman" w:hAnsi="Times New Roman" w:cs="Times New Roman"/>
        </w:rPr>
        <w:t xml:space="preserve">, 283-310. </w:t>
      </w:r>
      <w:r w:rsidRPr="00A472FC">
        <w:rPr>
          <w:rFonts w:ascii="Times New Roman" w:hAnsi="Times New Roman" w:cs="Times New Roman"/>
        </w:rPr>
        <w:t>Berlin: De Gruyter, 2021</w:t>
      </w:r>
      <w:r w:rsidR="006D6DCA" w:rsidRPr="00A472FC">
        <w:rPr>
          <w:rFonts w:ascii="Times New Roman" w:hAnsi="Times New Roman" w:cs="Times New Roman"/>
        </w:rPr>
        <w:t>.</w:t>
      </w:r>
      <w:r w:rsidR="00D34482" w:rsidRPr="00A472FC">
        <w:rPr>
          <w:rFonts w:ascii="Times New Roman" w:hAnsi="Times New Roman" w:cs="Times New Roman"/>
        </w:rPr>
        <w:t xml:space="preserve"> </w:t>
      </w:r>
    </w:p>
    <w:p w14:paraId="6076DA39" w14:textId="60DBEE25" w:rsidR="006A6E61" w:rsidRPr="00A472FC" w:rsidRDefault="006A6E61" w:rsidP="00881604">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lastRenderedPageBreak/>
        <w:t>Smalley</w:t>
      </w:r>
      <w:proofErr w:type="spellEnd"/>
      <w:r w:rsidRPr="00A472FC">
        <w:rPr>
          <w:rFonts w:ascii="Times New Roman" w:hAnsi="Times New Roman" w:cs="Times New Roman"/>
        </w:rPr>
        <w:t>, Beryl</w:t>
      </w:r>
      <w:r w:rsidR="00B8557D" w:rsidRPr="00A472FC">
        <w:rPr>
          <w:rFonts w:ascii="Times New Roman" w:hAnsi="Times New Roman" w:cs="Times New Roman"/>
        </w:rPr>
        <w:t>.</w:t>
      </w:r>
      <w:r w:rsidRPr="00A472FC">
        <w:rPr>
          <w:rFonts w:ascii="Times New Roman" w:hAnsi="Times New Roman" w:cs="Times New Roman"/>
        </w:rPr>
        <w:t xml:space="preserve"> ‘Gregory IX and the Two Faces of the Soul.’ In </w:t>
      </w:r>
      <w:r w:rsidRPr="00A472FC">
        <w:rPr>
          <w:rFonts w:ascii="Times New Roman" w:hAnsi="Times New Roman" w:cs="Times New Roman"/>
          <w:i/>
        </w:rPr>
        <w:t xml:space="preserve">Studies in Medieval Thought and Learning: From Abelard to </w:t>
      </w:r>
      <w:proofErr w:type="spellStart"/>
      <w:r w:rsidRPr="00A472FC">
        <w:rPr>
          <w:rFonts w:ascii="Times New Roman" w:hAnsi="Times New Roman" w:cs="Times New Roman"/>
          <w:i/>
        </w:rPr>
        <w:t>Wyclif</w:t>
      </w:r>
      <w:proofErr w:type="spellEnd"/>
      <w:r w:rsidRPr="00A472FC">
        <w:rPr>
          <w:rFonts w:ascii="Times New Roman" w:hAnsi="Times New Roman" w:cs="Times New Roman"/>
          <w:i/>
        </w:rPr>
        <w:t xml:space="preserve">, </w:t>
      </w:r>
      <w:r w:rsidRPr="00A472FC">
        <w:rPr>
          <w:rFonts w:ascii="Times New Roman" w:hAnsi="Times New Roman" w:cs="Times New Roman"/>
        </w:rPr>
        <w:t>17-20.</w:t>
      </w:r>
      <w:r w:rsidRPr="00A472FC">
        <w:rPr>
          <w:rFonts w:ascii="Times New Roman" w:hAnsi="Times New Roman" w:cs="Times New Roman"/>
          <w:i/>
        </w:rPr>
        <w:t xml:space="preserve"> </w:t>
      </w:r>
      <w:r w:rsidRPr="00A472FC">
        <w:rPr>
          <w:rFonts w:ascii="Times New Roman" w:hAnsi="Times New Roman" w:cs="Times New Roman"/>
        </w:rPr>
        <w:t xml:space="preserve">London: The </w:t>
      </w:r>
      <w:proofErr w:type="spellStart"/>
      <w:r w:rsidRPr="00A472FC">
        <w:rPr>
          <w:rFonts w:ascii="Times New Roman" w:hAnsi="Times New Roman" w:cs="Times New Roman"/>
        </w:rPr>
        <w:t>Hambledon</w:t>
      </w:r>
      <w:proofErr w:type="spellEnd"/>
      <w:r w:rsidRPr="00A472FC">
        <w:rPr>
          <w:rFonts w:ascii="Times New Roman" w:hAnsi="Times New Roman" w:cs="Times New Roman"/>
        </w:rPr>
        <w:t xml:space="preserve"> Press, 1981.</w:t>
      </w:r>
    </w:p>
    <w:p w14:paraId="4A9E9BDE"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Smith, Lesley. ‘The Theological Framework.’ In </w:t>
      </w:r>
      <w:r w:rsidRPr="00A472FC">
        <w:rPr>
          <w:rFonts w:ascii="Times New Roman" w:hAnsi="Times New Roman" w:cs="Times New Roman"/>
          <w:i/>
          <w:iCs/>
        </w:rPr>
        <w:t>The Cambridge History of Christianity, vol. 4: 1100-1500</w:t>
      </w:r>
      <w:r w:rsidRPr="00A472FC">
        <w:rPr>
          <w:rFonts w:ascii="Times New Roman" w:hAnsi="Times New Roman" w:cs="Times New Roman"/>
        </w:rPr>
        <w:t>. Edited by Miri Rubin and Walter Simons, 73-88. Cambridge: Cambridge University Press, 2009.</w:t>
      </w:r>
    </w:p>
    <w:p w14:paraId="41CE6159"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‘Hugh of St Cher and Medieval Collaboration.’ In </w:t>
      </w:r>
      <w:r w:rsidRPr="00A472FC">
        <w:rPr>
          <w:rFonts w:ascii="Times New Roman" w:hAnsi="Times New Roman" w:cs="Times New Roman"/>
          <w:i/>
          <w:iCs/>
        </w:rPr>
        <w:t xml:space="preserve">Transforming Relations: Essays on Jews and Christians throughout History in </w:t>
      </w:r>
      <w:proofErr w:type="spellStart"/>
      <w:r w:rsidRPr="00A472FC">
        <w:rPr>
          <w:rFonts w:ascii="Times New Roman" w:hAnsi="Times New Roman" w:cs="Times New Roman"/>
          <w:i/>
          <w:iCs/>
        </w:rPr>
        <w:t>Honor</w:t>
      </w:r>
      <w:proofErr w:type="spellEnd"/>
      <w:r w:rsidRPr="00A472FC">
        <w:rPr>
          <w:rFonts w:ascii="Times New Roman" w:hAnsi="Times New Roman" w:cs="Times New Roman"/>
          <w:i/>
          <w:iCs/>
        </w:rPr>
        <w:t xml:space="preserve"> of Michael A. Signer</w:t>
      </w:r>
      <w:r w:rsidRPr="00A472FC">
        <w:rPr>
          <w:rFonts w:ascii="Times New Roman" w:hAnsi="Times New Roman" w:cs="Times New Roman"/>
        </w:rPr>
        <w:t xml:space="preserve">. Edited by Franklin T. </w:t>
      </w:r>
      <w:proofErr w:type="spellStart"/>
      <w:r w:rsidRPr="00A472FC">
        <w:rPr>
          <w:rFonts w:ascii="Times New Roman" w:hAnsi="Times New Roman" w:cs="Times New Roman"/>
        </w:rPr>
        <w:t>Harkins</w:t>
      </w:r>
      <w:proofErr w:type="spellEnd"/>
      <w:r w:rsidRPr="00A472FC">
        <w:rPr>
          <w:rFonts w:ascii="Times New Roman" w:hAnsi="Times New Roman" w:cs="Times New Roman"/>
        </w:rPr>
        <w:t>, 241-64. Notre Dame: University of Notre Dame Press, 2010.</w:t>
      </w:r>
    </w:p>
    <w:p w14:paraId="25797B09"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Sorabji</w:t>
      </w:r>
      <w:proofErr w:type="spellEnd"/>
      <w:r w:rsidRPr="00A472FC">
        <w:rPr>
          <w:rFonts w:ascii="Times New Roman" w:hAnsi="Times New Roman" w:cs="Times New Roman"/>
        </w:rPr>
        <w:t xml:space="preserve">, Richard. </w:t>
      </w:r>
      <w:r w:rsidRPr="00A472FC">
        <w:rPr>
          <w:rFonts w:ascii="Times New Roman" w:hAnsi="Times New Roman" w:cs="Times New Roman"/>
          <w:i/>
          <w:iCs/>
        </w:rPr>
        <w:t>Emotions and Peace of Mind.</w:t>
      </w:r>
      <w:r w:rsidRPr="00A472FC">
        <w:rPr>
          <w:rFonts w:ascii="Times New Roman" w:hAnsi="Times New Roman" w:cs="Times New Roman"/>
        </w:rPr>
        <w:t xml:space="preserve"> Oxford: Oxford University Press, 2002.</w:t>
      </w:r>
    </w:p>
    <w:p w14:paraId="4071CABB"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Spatz, Nancy. ‘Approaches and Attitudes to a New Theology Textbook.’ In </w:t>
      </w:r>
      <w:r w:rsidRPr="00A472FC">
        <w:rPr>
          <w:rFonts w:ascii="Times New Roman" w:hAnsi="Times New Roman" w:cs="Times New Roman"/>
          <w:i/>
          <w:iCs/>
        </w:rPr>
        <w:t xml:space="preserve">The Intellectual Climate of the Early University: Essays in </w:t>
      </w:r>
      <w:proofErr w:type="spellStart"/>
      <w:r w:rsidRPr="00A472FC">
        <w:rPr>
          <w:rFonts w:ascii="Times New Roman" w:hAnsi="Times New Roman" w:cs="Times New Roman"/>
          <w:i/>
          <w:iCs/>
        </w:rPr>
        <w:t>Honor</w:t>
      </w:r>
      <w:proofErr w:type="spellEnd"/>
      <w:r w:rsidRPr="00A472FC">
        <w:rPr>
          <w:rFonts w:ascii="Times New Roman" w:hAnsi="Times New Roman" w:cs="Times New Roman"/>
          <w:i/>
          <w:iCs/>
        </w:rPr>
        <w:t xml:space="preserve"> of Otto </w:t>
      </w:r>
      <w:proofErr w:type="spellStart"/>
      <w:r w:rsidRPr="00A472FC">
        <w:rPr>
          <w:rFonts w:ascii="Times New Roman" w:hAnsi="Times New Roman" w:cs="Times New Roman"/>
          <w:i/>
          <w:iCs/>
        </w:rPr>
        <w:t>Gründler</w:t>
      </w:r>
      <w:proofErr w:type="spellEnd"/>
      <w:r w:rsidRPr="00A472FC">
        <w:rPr>
          <w:rFonts w:ascii="Times New Roman" w:hAnsi="Times New Roman" w:cs="Times New Roman"/>
        </w:rPr>
        <w:t xml:space="preserve">. Edited by Nancy van </w:t>
      </w:r>
      <w:proofErr w:type="spellStart"/>
      <w:r w:rsidRPr="00A472FC">
        <w:rPr>
          <w:rFonts w:ascii="Times New Roman" w:hAnsi="Times New Roman" w:cs="Times New Roman"/>
        </w:rPr>
        <w:t>Deusen</w:t>
      </w:r>
      <w:proofErr w:type="spellEnd"/>
      <w:r w:rsidRPr="00A472FC">
        <w:rPr>
          <w:rFonts w:ascii="Times New Roman" w:hAnsi="Times New Roman" w:cs="Times New Roman"/>
        </w:rPr>
        <w:t>, 27-52. Kalamazoo: Medieval Institute Publications, Western Michigan University, 1997.</w:t>
      </w:r>
    </w:p>
    <w:p w14:paraId="687B4631"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Stump, </w:t>
      </w:r>
      <w:proofErr w:type="spellStart"/>
      <w:r w:rsidRPr="00A472FC">
        <w:rPr>
          <w:rFonts w:ascii="Times New Roman" w:hAnsi="Times New Roman" w:cs="Times New Roman"/>
        </w:rPr>
        <w:t>Eleonore</w:t>
      </w:r>
      <w:proofErr w:type="spellEnd"/>
      <w:r w:rsidRPr="00A472FC">
        <w:rPr>
          <w:rFonts w:ascii="Times New Roman" w:hAnsi="Times New Roman" w:cs="Times New Roman"/>
        </w:rPr>
        <w:t xml:space="preserve">. ‘Augustine on Free Will.’ In </w:t>
      </w:r>
      <w:r w:rsidRPr="00A472FC">
        <w:rPr>
          <w:rFonts w:ascii="Times New Roman" w:hAnsi="Times New Roman" w:cs="Times New Roman"/>
          <w:i/>
          <w:iCs/>
        </w:rPr>
        <w:t>The Cambridge Companion to Augustine</w:t>
      </w:r>
      <w:r w:rsidRPr="00A472FC">
        <w:rPr>
          <w:rFonts w:ascii="Times New Roman" w:hAnsi="Times New Roman" w:cs="Times New Roman"/>
        </w:rPr>
        <w:t>, 166-86. Cambridge: Cambridge University Press, 2014.</w:t>
      </w:r>
    </w:p>
    <w:p w14:paraId="5C40B2F8"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Suarez-Nani, Tiziana. </w:t>
      </w:r>
      <w:r w:rsidRPr="00A472FC">
        <w:rPr>
          <w:rFonts w:ascii="Times New Roman" w:hAnsi="Times New Roman" w:cs="Times New Roman"/>
          <w:i/>
        </w:rPr>
        <w:t xml:space="preserve">Les </w:t>
      </w:r>
      <w:proofErr w:type="spellStart"/>
      <w:r w:rsidRPr="00A472FC">
        <w:rPr>
          <w:rFonts w:ascii="Times New Roman" w:hAnsi="Times New Roman" w:cs="Times New Roman"/>
          <w:i/>
        </w:rPr>
        <w:t>anges</w:t>
      </w:r>
      <w:proofErr w:type="spellEnd"/>
      <w:r w:rsidRPr="00A472FC">
        <w:rPr>
          <w:rFonts w:ascii="Times New Roman" w:hAnsi="Times New Roman" w:cs="Times New Roman"/>
          <w:i/>
        </w:rPr>
        <w:t xml:space="preserve"> et la philosophie: </w:t>
      </w:r>
      <w:proofErr w:type="spellStart"/>
      <w:r w:rsidRPr="00A472FC">
        <w:rPr>
          <w:rFonts w:ascii="Times New Roman" w:hAnsi="Times New Roman" w:cs="Times New Roman"/>
          <w:i/>
        </w:rPr>
        <w:t>Subjectivité</w:t>
      </w:r>
      <w:proofErr w:type="spellEnd"/>
      <w:r w:rsidRPr="00A472FC">
        <w:rPr>
          <w:rFonts w:ascii="Times New Roman" w:hAnsi="Times New Roman" w:cs="Times New Roman"/>
          <w:i/>
        </w:rPr>
        <w:t xml:space="preserve"> et function </w:t>
      </w:r>
      <w:proofErr w:type="spellStart"/>
      <w:r w:rsidRPr="00A472FC">
        <w:rPr>
          <w:rFonts w:ascii="Times New Roman" w:hAnsi="Times New Roman" w:cs="Times New Roman"/>
          <w:i/>
        </w:rPr>
        <w:t>cosmologique</w:t>
      </w:r>
      <w:proofErr w:type="spellEnd"/>
      <w:r w:rsidRPr="00A472FC">
        <w:rPr>
          <w:rFonts w:ascii="Times New Roman" w:hAnsi="Times New Roman" w:cs="Times New Roman"/>
          <w:i/>
        </w:rPr>
        <w:t xml:space="preserve"> des substances </w:t>
      </w:r>
      <w:proofErr w:type="spellStart"/>
      <w:r w:rsidRPr="00A472FC">
        <w:rPr>
          <w:rFonts w:ascii="Times New Roman" w:hAnsi="Times New Roman" w:cs="Times New Roman"/>
          <w:i/>
        </w:rPr>
        <w:t>séparées</w:t>
      </w:r>
      <w:proofErr w:type="spellEnd"/>
      <w:r w:rsidRPr="00A472FC">
        <w:rPr>
          <w:rFonts w:ascii="Times New Roman" w:hAnsi="Times New Roman" w:cs="Times New Roman"/>
          <w:i/>
        </w:rPr>
        <w:t xml:space="preserve"> à la fin du XIIIe siècle. </w:t>
      </w:r>
      <w:r w:rsidRPr="00A472FC">
        <w:rPr>
          <w:rFonts w:ascii="Times New Roman" w:hAnsi="Times New Roman" w:cs="Times New Roman"/>
        </w:rPr>
        <w:t xml:space="preserve">Paris: </w:t>
      </w:r>
      <w:proofErr w:type="spellStart"/>
      <w:r w:rsidRPr="00A472FC">
        <w:rPr>
          <w:rFonts w:ascii="Times New Roman" w:hAnsi="Times New Roman" w:cs="Times New Roman"/>
        </w:rPr>
        <w:t>Vrin</w:t>
      </w:r>
      <w:proofErr w:type="spellEnd"/>
      <w:r w:rsidRPr="00A472FC">
        <w:rPr>
          <w:rFonts w:ascii="Times New Roman" w:hAnsi="Times New Roman" w:cs="Times New Roman"/>
        </w:rPr>
        <w:t>, 2002.</w:t>
      </w:r>
    </w:p>
    <w:p w14:paraId="6CC0B06E"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iCs/>
        </w:rPr>
        <w:t>Connaissance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langage</w:t>
      </w:r>
      <w:proofErr w:type="spellEnd"/>
      <w:r w:rsidRPr="00A472FC">
        <w:rPr>
          <w:rFonts w:ascii="Times New Roman" w:hAnsi="Times New Roman" w:cs="Times New Roman"/>
          <w:i/>
          <w:iCs/>
        </w:rPr>
        <w:t xml:space="preserve"> des </w:t>
      </w:r>
      <w:proofErr w:type="spellStart"/>
      <w:r w:rsidRPr="00A472FC">
        <w:rPr>
          <w:rFonts w:ascii="Times New Roman" w:hAnsi="Times New Roman" w:cs="Times New Roman"/>
          <w:i/>
          <w:iCs/>
        </w:rPr>
        <w:t>anges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selon</w:t>
      </w:r>
      <w:proofErr w:type="spellEnd"/>
      <w:r w:rsidRPr="00A472FC">
        <w:rPr>
          <w:rFonts w:ascii="Times New Roman" w:hAnsi="Times New Roman" w:cs="Times New Roman"/>
          <w:i/>
          <w:iCs/>
        </w:rPr>
        <w:t xml:space="preserve"> Thomas </w:t>
      </w:r>
      <w:proofErr w:type="spellStart"/>
      <w:r w:rsidRPr="00A472FC">
        <w:rPr>
          <w:rFonts w:ascii="Times New Roman" w:hAnsi="Times New Roman" w:cs="Times New Roman"/>
          <w:i/>
          <w:iCs/>
        </w:rPr>
        <w:t>d’Aquin</w:t>
      </w:r>
      <w:proofErr w:type="spellEnd"/>
      <w:r w:rsidRPr="00A472FC">
        <w:rPr>
          <w:rFonts w:ascii="Times New Roman" w:hAnsi="Times New Roman" w:cs="Times New Roman"/>
          <w:i/>
          <w:iCs/>
        </w:rPr>
        <w:t xml:space="preserve"> et Gilles de Rome.</w:t>
      </w:r>
      <w:r w:rsidRPr="00A472FC">
        <w:rPr>
          <w:rFonts w:ascii="Times New Roman" w:hAnsi="Times New Roman" w:cs="Times New Roman"/>
        </w:rPr>
        <w:t xml:space="preserve"> Paris: </w:t>
      </w:r>
      <w:proofErr w:type="spellStart"/>
      <w:r w:rsidRPr="00A472FC">
        <w:rPr>
          <w:rFonts w:ascii="Times New Roman" w:hAnsi="Times New Roman" w:cs="Times New Roman"/>
        </w:rPr>
        <w:t>Vrin</w:t>
      </w:r>
      <w:proofErr w:type="spellEnd"/>
      <w:r w:rsidRPr="00A472FC">
        <w:rPr>
          <w:rFonts w:ascii="Times New Roman" w:hAnsi="Times New Roman" w:cs="Times New Roman"/>
        </w:rPr>
        <w:t>, 2003.</w:t>
      </w:r>
    </w:p>
    <w:p w14:paraId="629905E0" w14:textId="0E16FF22" w:rsidR="00006D4E" w:rsidRPr="00A472FC" w:rsidRDefault="00792F79" w:rsidP="00881604">
      <w:pPr>
        <w:autoSpaceDE w:val="0"/>
        <w:autoSpaceDN w:val="0"/>
        <w:adjustRightInd w:val="0"/>
        <w:ind w:left="720" w:right="-52" w:hanging="720"/>
        <w:rPr>
          <w:rFonts w:ascii="Times New Roman" w:hAnsi="Times New Roman" w:cs="Times New Roman"/>
          <w:color w:val="333333"/>
          <w:u w:color="A40000"/>
        </w:rPr>
      </w:pPr>
      <w:proofErr w:type="spellStart"/>
      <w:r w:rsidRPr="00A472FC">
        <w:rPr>
          <w:rFonts w:ascii="Times New Roman" w:hAnsi="Times New Roman" w:cs="Times New Roman"/>
        </w:rPr>
        <w:t>Tarlazzi</w:t>
      </w:r>
      <w:proofErr w:type="spellEnd"/>
      <w:r w:rsidRPr="00A472FC">
        <w:rPr>
          <w:rFonts w:ascii="Times New Roman" w:hAnsi="Times New Roman" w:cs="Times New Roman"/>
        </w:rPr>
        <w:t>, Caterina. ‘</w:t>
      </w:r>
      <w:proofErr w:type="spellStart"/>
      <w:r w:rsidRPr="00A472FC">
        <w:rPr>
          <w:rFonts w:ascii="Times New Roman" w:hAnsi="Times New Roman" w:cs="Times New Roman"/>
        </w:rPr>
        <w:t>L</w:t>
      </w:r>
      <w:r w:rsidR="005A4B70" w:rsidRPr="00A472FC">
        <w:rPr>
          <w:rFonts w:ascii="Times New Roman" w:hAnsi="Times New Roman" w:cs="Times New Roman"/>
        </w:rPr>
        <w:t>’e</w:t>
      </w:r>
      <w:r w:rsidRPr="00A472FC">
        <w:rPr>
          <w:rFonts w:ascii="Times New Roman" w:hAnsi="Times New Roman" w:cs="Times New Roman"/>
        </w:rPr>
        <w:t>pistola</w:t>
      </w:r>
      <w:proofErr w:type="spellEnd"/>
      <w:r w:rsidRPr="00A472FC">
        <w:rPr>
          <w:rFonts w:ascii="Times New Roman" w:hAnsi="Times New Roman" w:cs="Times New Roman"/>
        </w:rPr>
        <w:t xml:space="preserve"> de anima </w:t>
      </w:r>
      <w:proofErr w:type="spellStart"/>
      <w:r w:rsidRPr="00A472FC">
        <w:rPr>
          <w:rFonts w:ascii="Times New Roman" w:hAnsi="Times New Roman" w:cs="Times New Roman"/>
        </w:rPr>
        <w:t>di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Isacco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di</w:t>
      </w:r>
      <w:proofErr w:type="spellEnd"/>
      <w:r w:rsidRPr="00A472FC">
        <w:rPr>
          <w:rFonts w:ascii="Times New Roman" w:hAnsi="Times New Roman" w:cs="Times New Roman"/>
        </w:rPr>
        <w:t xml:space="preserve"> Stella: studio della </w:t>
      </w:r>
      <w:proofErr w:type="spellStart"/>
      <w:r w:rsidRPr="00A472FC">
        <w:rPr>
          <w:rFonts w:ascii="Times New Roman" w:hAnsi="Times New Roman" w:cs="Times New Roman"/>
        </w:rPr>
        <w:t>tradizione</w:t>
      </w:r>
      <w:proofErr w:type="spellEnd"/>
      <w:r w:rsidRPr="00A472FC">
        <w:rPr>
          <w:rFonts w:ascii="Times New Roman" w:hAnsi="Times New Roman" w:cs="Times New Roman"/>
        </w:rPr>
        <w:t xml:space="preserve"> ed </w:t>
      </w:r>
      <w:proofErr w:type="spellStart"/>
      <w:r w:rsidRPr="00A472FC">
        <w:rPr>
          <w:rFonts w:ascii="Times New Roman" w:hAnsi="Times New Roman" w:cs="Times New Roman"/>
        </w:rPr>
        <w:t>edizione</w:t>
      </w:r>
      <w:proofErr w:type="spellEnd"/>
      <w:r w:rsidRPr="00A472FC">
        <w:rPr>
          <w:rFonts w:ascii="Times New Roman" w:hAnsi="Times New Roman" w:cs="Times New Roman"/>
        </w:rPr>
        <w:t xml:space="preserve"> del </w:t>
      </w:r>
      <w:proofErr w:type="spellStart"/>
      <w:r w:rsidRPr="00A472FC">
        <w:rPr>
          <w:rFonts w:ascii="Times New Roman" w:hAnsi="Times New Roman" w:cs="Times New Roman"/>
        </w:rPr>
        <w:t>testo</w:t>
      </w:r>
      <w:proofErr w:type="spellEnd"/>
      <w:r w:rsidR="00006D4E" w:rsidRPr="00A472FC">
        <w:rPr>
          <w:rFonts w:ascii="Times New Roman" w:hAnsi="Times New Roman" w:cs="Times New Roman"/>
        </w:rPr>
        <w:t>.</w:t>
      </w:r>
      <w:r w:rsidRPr="00A472FC">
        <w:rPr>
          <w:rFonts w:ascii="Times New Roman" w:hAnsi="Times New Roman" w:cs="Times New Roman"/>
        </w:rPr>
        <w:t>’</w:t>
      </w:r>
      <w:r w:rsidRPr="00A472FC">
        <w:rPr>
          <w:rFonts w:ascii="Times New Roman" w:hAnsi="Times New Roman" w:cs="Times New Roman"/>
          <w:u w:color="A40000"/>
        </w:rPr>
        <w:t xml:space="preserve"> </w:t>
      </w:r>
      <w:proofErr w:type="spellStart"/>
      <w:r w:rsidRPr="00A472FC">
        <w:rPr>
          <w:rFonts w:ascii="Times New Roman" w:hAnsi="Times New Roman" w:cs="Times New Roman"/>
          <w:i/>
          <w:iCs/>
          <w:color w:val="333333"/>
          <w:u w:color="A40000"/>
        </w:rPr>
        <w:t>Medioevo</w:t>
      </w:r>
      <w:proofErr w:type="spellEnd"/>
      <w:r w:rsidR="00006D4E" w:rsidRPr="00A472FC">
        <w:rPr>
          <w:rFonts w:ascii="Times New Roman" w:hAnsi="Times New Roman" w:cs="Times New Roman"/>
          <w:i/>
          <w:iCs/>
          <w:color w:val="333333"/>
          <w:u w:color="A40000"/>
        </w:rPr>
        <w:t xml:space="preserve"> </w:t>
      </w:r>
      <w:r w:rsidRPr="00A472FC">
        <w:rPr>
          <w:rFonts w:ascii="Times New Roman" w:hAnsi="Times New Roman" w:cs="Times New Roman"/>
          <w:color w:val="333333"/>
          <w:u w:color="A40000"/>
        </w:rPr>
        <w:t>36 (2011)</w:t>
      </w:r>
      <w:r w:rsidR="007E2F7A" w:rsidRPr="00A472FC">
        <w:rPr>
          <w:rFonts w:ascii="Times New Roman" w:hAnsi="Times New Roman" w:cs="Times New Roman"/>
          <w:color w:val="333333"/>
          <w:u w:color="A40000"/>
        </w:rPr>
        <w:t>:</w:t>
      </w:r>
      <w:r w:rsidRPr="00A472FC">
        <w:rPr>
          <w:rFonts w:ascii="Times New Roman" w:hAnsi="Times New Roman" w:cs="Times New Roman"/>
          <w:color w:val="333333"/>
          <w:u w:color="A40000"/>
        </w:rPr>
        <w:t xml:space="preserve"> 167-278 </w:t>
      </w:r>
    </w:p>
    <w:p w14:paraId="373D4E1E" w14:textId="1B27D813"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Taylor, Richard C. ‘Remarks on </w:t>
      </w:r>
      <w:proofErr w:type="spellStart"/>
      <w:r w:rsidRPr="00A472FC">
        <w:rPr>
          <w:rFonts w:ascii="Times New Roman" w:hAnsi="Times New Roman" w:cs="Times New Roman"/>
        </w:rPr>
        <w:t>Cogitatio</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Commentarium</w:t>
      </w:r>
      <w:proofErr w:type="spellEnd"/>
      <w:r w:rsidRPr="00A472FC">
        <w:rPr>
          <w:rFonts w:ascii="Times New Roman" w:hAnsi="Times New Roman" w:cs="Times New Roman"/>
        </w:rPr>
        <w:t xml:space="preserve"> Magnum in </w:t>
      </w:r>
      <w:proofErr w:type="spellStart"/>
      <w:r w:rsidRPr="00A472FC">
        <w:rPr>
          <w:rFonts w:ascii="Times New Roman" w:hAnsi="Times New Roman" w:cs="Times New Roman"/>
          <w:i/>
        </w:rPr>
        <w:t>Aristotelis</w:t>
      </w:r>
      <w:proofErr w:type="spellEnd"/>
      <w:r w:rsidRPr="00A472FC">
        <w:rPr>
          <w:rFonts w:ascii="Times New Roman" w:hAnsi="Times New Roman" w:cs="Times New Roman"/>
          <w:i/>
        </w:rPr>
        <w:t xml:space="preserve"> De anima </w:t>
      </w:r>
      <w:proofErr w:type="spellStart"/>
      <w:r w:rsidRPr="00A472FC">
        <w:rPr>
          <w:rFonts w:ascii="Times New Roman" w:hAnsi="Times New Roman" w:cs="Times New Roman"/>
          <w:i/>
        </w:rPr>
        <w:t>Libros</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i/>
          <w:iCs/>
        </w:rPr>
        <w:t>Averroes</w:t>
      </w:r>
      <w:proofErr w:type="spellEnd"/>
      <w:r w:rsidRPr="00A472FC">
        <w:rPr>
          <w:rFonts w:ascii="Times New Roman" w:hAnsi="Times New Roman" w:cs="Times New Roman"/>
          <w:i/>
          <w:iCs/>
        </w:rPr>
        <w:t xml:space="preserve"> and the Aristotelian Tradition</w:t>
      </w:r>
      <w:r w:rsidRPr="00A472FC">
        <w:rPr>
          <w:rFonts w:ascii="Times New Roman" w:hAnsi="Times New Roman" w:cs="Times New Roman"/>
        </w:rPr>
        <w:t xml:space="preserve">. Edited by Gerhard </w:t>
      </w:r>
      <w:proofErr w:type="spellStart"/>
      <w:r w:rsidRPr="00A472FC">
        <w:rPr>
          <w:rFonts w:ascii="Times New Roman" w:hAnsi="Times New Roman" w:cs="Times New Roman"/>
        </w:rPr>
        <w:t>Endress</w:t>
      </w:r>
      <w:proofErr w:type="spellEnd"/>
      <w:r w:rsidRPr="00A472FC">
        <w:rPr>
          <w:rFonts w:ascii="Times New Roman" w:hAnsi="Times New Roman" w:cs="Times New Roman"/>
        </w:rPr>
        <w:t xml:space="preserve"> and Jan A. </w:t>
      </w:r>
      <w:proofErr w:type="spellStart"/>
      <w:r w:rsidRPr="00A472FC">
        <w:rPr>
          <w:rFonts w:ascii="Times New Roman" w:hAnsi="Times New Roman" w:cs="Times New Roman"/>
        </w:rPr>
        <w:t>Aertsen</w:t>
      </w:r>
      <w:proofErr w:type="spellEnd"/>
      <w:r w:rsidRPr="00A472FC">
        <w:rPr>
          <w:rFonts w:ascii="Times New Roman" w:hAnsi="Times New Roman" w:cs="Times New Roman"/>
        </w:rPr>
        <w:t>, 217-55. Leiden: Brill, 1999.</w:t>
      </w:r>
    </w:p>
    <w:p w14:paraId="56FF7CA7" w14:textId="77777777" w:rsidR="006E151D" w:rsidRPr="00A472FC" w:rsidRDefault="00B617A4" w:rsidP="00881604">
      <w:pPr>
        <w:autoSpaceDE w:val="0"/>
        <w:autoSpaceDN w:val="0"/>
        <w:adjustRightInd w:val="0"/>
        <w:ind w:left="720" w:right="-52" w:hanging="720"/>
        <w:rPr>
          <w:rFonts w:ascii="Times New Roman" w:eastAsia="Times New Roman" w:hAnsi="Times New Roman" w:cs="Times New Roman"/>
          <w:color w:val="000000"/>
        </w:rPr>
      </w:pPr>
      <w:proofErr w:type="spellStart"/>
      <w:r w:rsidRPr="00A472FC">
        <w:rPr>
          <w:rFonts w:ascii="Times New Roman" w:eastAsia="Times New Roman" w:hAnsi="Times New Roman" w:cs="Times New Roman"/>
          <w:color w:val="000000"/>
        </w:rPr>
        <w:t>TeSelle</w:t>
      </w:r>
      <w:proofErr w:type="spellEnd"/>
      <w:r w:rsidRPr="00A472FC">
        <w:rPr>
          <w:rFonts w:ascii="Times New Roman" w:eastAsia="Times New Roman" w:hAnsi="Times New Roman" w:cs="Times New Roman"/>
          <w:color w:val="000000"/>
        </w:rPr>
        <w:t xml:space="preserve">, Eugene. ‘Background: Augustine and the </w:t>
      </w:r>
      <w:proofErr w:type="spellStart"/>
      <w:r w:rsidRPr="00A472FC">
        <w:rPr>
          <w:rFonts w:ascii="Times New Roman" w:eastAsia="Times New Roman" w:hAnsi="Times New Roman" w:cs="Times New Roman"/>
          <w:color w:val="000000"/>
        </w:rPr>
        <w:t>Pelagian</w:t>
      </w:r>
      <w:proofErr w:type="spellEnd"/>
      <w:r w:rsidRPr="00A472FC">
        <w:rPr>
          <w:rFonts w:ascii="Times New Roman" w:eastAsia="Times New Roman" w:hAnsi="Times New Roman" w:cs="Times New Roman"/>
          <w:color w:val="000000"/>
        </w:rPr>
        <w:t xml:space="preserve"> Controversy</w:t>
      </w:r>
      <w:r w:rsidR="003B5F0C" w:rsidRPr="00A472FC">
        <w:rPr>
          <w:rFonts w:ascii="Times New Roman" w:eastAsia="Times New Roman" w:hAnsi="Times New Roman" w:cs="Times New Roman"/>
          <w:color w:val="000000"/>
        </w:rPr>
        <w:t>.</w:t>
      </w:r>
      <w:r w:rsidRPr="00A472FC">
        <w:rPr>
          <w:rFonts w:ascii="Times New Roman" w:eastAsia="Times New Roman" w:hAnsi="Times New Roman" w:cs="Times New Roman"/>
          <w:color w:val="000000"/>
        </w:rPr>
        <w:t xml:space="preserve">’ </w:t>
      </w:r>
      <w:r w:rsidR="003B5F0C" w:rsidRPr="00A472FC">
        <w:rPr>
          <w:rFonts w:ascii="Times New Roman" w:eastAsia="Times New Roman" w:hAnsi="Times New Roman" w:cs="Times New Roman"/>
          <w:color w:val="000000"/>
        </w:rPr>
        <w:t>I</w:t>
      </w:r>
      <w:r w:rsidRPr="00A472FC">
        <w:rPr>
          <w:rFonts w:ascii="Times New Roman" w:eastAsia="Times New Roman" w:hAnsi="Times New Roman" w:cs="Times New Roman"/>
          <w:color w:val="000000"/>
        </w:rPr>
        <w:t>n </w:t>
      </w:r>
      <w:r w:rsidRPr="00A472FC">
        <w:rPr>
          <w:rFonts w:ascii="Times New Roman" w:eastAsia="Times New Roman" w:hAnsi="Times New Roman" w:cs="Times New Roman"/>
          <w:i/>
          <w:iCs/>
          <w:color w:val="000000"/>
        </w:rPr>
        <w:t>Grace after Grace</w:t>
      </w:r>
      <w:r w:rsidR="009969E5" w:rsidRPr="00A472FC">
        <w:rPr>
          <w:rFonts w:ascii="Times New Roman" w:eastAsia="Times New Roman" w:hAnsi="Times New Roman" w:cs="Times New Roman"/>
          <w:color w:val="000000"/>
        </w:rPr>
        <w:t>. Edited by</w:t>
      </w:r>
      <w:r w:rsidRPr="00A472FC">
        <w:rPr>
          <w:rFonts w:ascii="Times New Roman" w:eastAsia="Times New Roman" w:hAnsi="Times New Roman" w:cs="Times New Roman"/>
          <w:color w:val="000000"/>
        </w:rPr>
        <w:t xml:space="preserve"> Alexander Y. </w:t>
      </w:r>
      <w:proofErr w:type="spellStart"/>
      <w:r w:rsidRPr="00A472FC">
        <w:rPr>
          <w:rFonts w:ascii="Times New Roman" w:eastAsia="Times New Roman" w:hAnsi="Times New Roman" w:cs="Times New Roman"/>
          <w:color w:val="000000"/>
        </w:rPr>
        <w:t>Hwang</w:t>
      </w:r>
      <w:proofErr w:type="spellEnd"/>
      <w:r w:rsidRPr="00A472FC">
        <w:rPr>
          <w:rFonts w:ascii="Times New Roman" w:eastAsia="Times New Roman" w:hAnsi="Times New Roman" w:cs="Times New Roman"/>
          <w:color w:val="000000"/>
        </w:rPr>
        <w:t xml:space="preserve"> et al.</w:t>
      </w:r>
      <w:r w:rsidR="006E151D" w:rsidRPr="00A472FC">
        <w:rPr>
          <w:rFonts w:ascii="Times New Roman" w:eastAsia="Times New Roman" w:hAnsi="Times New Roman" w:cs="Times New Roman"/>
          <w:color w:val="000000"/>
        </w:rPr>
        <w:t xml:space="preserve">, 1-13. </w:t>
      </w:r>
      <w:r w:rsidRPr="00A472FC">
        <w:rPr>
          <w:rFonts w:ascii="Times New Roman" w:eastAsia="Times New Roman" w:hAnsi="Times New Roman" w:cs="Times New Roman"/>
          <w:color w:val="000000"/>
        </w:rPr>
        <w:t>Washington, DC: Catholic University of America Press, 2014</w:t>
      </w:r>
      <w:r w:rsidR="006E151D" w:rsidRPr="00A472FC">
        <w:rPr>
          <w:rFonts w:ascii="Times New Roman" w:eastAsia="Times New Roman" w:hAnsi="Times New Roman" w:cs="Times New Roman"/>
          <w:color w:val="000000"/>
        </w:rPr>
        <w:t>.</w:t>
      </w:r>
    </w:p>
    <w:p w14:paraId="56F95D6F" w14:textId="478B7A8B" w:rsidR="006A6E61" w:rsidRPr="00A472FC" w:rsidRDefault="006A6E61" w:rsidP="00EE089E">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Teske</w:t>
      </w:r>
      <w:proofErr w:type="spellEnd"/>
      <w:r w:rsidRPr="00A472FC">
        <w:rPr>
          <w:rFonts w:ascii="Times New Roman" w:hAnsi="Times New Roman" w:cs="Times New Roman"/>
        </w:rPr>
        <w:t xml:space="preserve">, Roland J. ‘William of Auvergne’s Rejection of the Agent Intelligence.’ In </w:t>
      </w:r>
      <w:r w:rsidRPr="00A472FC">
        <w:rPr>
          <w:rFonts w:ascii="Times New Roman" w:hAnsi="Times New Roman" w:cs="Times New Roman"/>
          <w:i/>
          <w:iCs/>
        </w:rPr>
        <w:t xml:space="preserve">Greek and Medieval Studies in </w:t>
      </w:r>
      <w:proofErr w:type="spellStart"/>
      <w:r w:rsidRPr="00A472FC">
        <w:rPr>
          <w:rFonts w:ascii="Times New Roman" w:hAnsi="Times New Roman" w:cs="Times New Roman"/>
          <w:i/>
          <w:iCs/>
        </w:rPr>
        <w:t>Honor</w:t>
      </w:r>
      <w:proofErr w:type="spellEnd"/>
      <w:r w:rsidRPr="00A472FC">
        <w:rPr>
          <w:rFonts w:ascii="Times New Roman" w:hAnsi="Times New Roman" w:cs="Times New Roman"/>
          <w:i/>
          <w:iCs/>
        </w:rPr>
        <w:t xml:space="preserve"> of Leo Sweeney, S.J.</w:t>
      </w:r>
      <w:r w:rsidRPr="00A472FC">
        <w:rPr>
          <w:rFonts w:ascii="Times New Roman" w:hAnsi="Times New Roman" w:cs="Times New Roman"/>
        </w:rPr>
        <w:t>, 211-35. New York: Peter Lang, 1995.</w:t>
      </w:r>
    </w:p>
    <w:p w14:paraId="37825AE5"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‘William of Auvergne’s Spiritualist Concept of the Human Being.’ In </w:t>
      </w:r>
      <w:proofErr w:type="spellStart"/>
      <w:r w:rsidRPr="00A472FC">
        <w:rPr>
          <w:rFonts w:ascii="Times New Roman" w:hAnsi="Times New Roman" w:cs="Times New Roman"/>
          <w:i/>
          <w:iCs/>
        </w:rPr>
        <w:t>Autour</w:t>
      </w:r>
      <w:proofErr w:type="spellEnd"/>
      <w:r w:rsidRPr="00A472FC">
        <w:rPr>
          <w:rFonts w:ascii="Times New Roman" w:hAnsi="Times New Roman" w:cs="Times New Roman"/>
          <w:i/>
          <w:iCs/>
        </w:rPr>
        <w:t xml:space="preserve"> de Guillaume d'Auvergne († 1249)</w:t>
      </w:r>
      <w:r w:rsidRPr="00A472FC">
        <w:rPr>
          <w:rFonts w:ascii="Times New Roman" w:hAnsi="Times New Roman" w:cs="Times New Roman"/>
        </w:rPr>
        <w:t xml:space="preserve">. Edited by Franco M </w:t>
      </w:r>
      <w:proofErr w:type="spellStart"/>
      <w:r w:rsidRPr="00A472FC">
        <w:rPr>
          <w:rFonts w:ascii="Times New Roman" w:hAnsi="Times New Roman" w:cs="Times New Roman"/>
        </w:rPr>
        <w:t>Morenzoni</w:t>
      </w:r>
      <w:proofErr w:type="spellEnd"/>
      <w:r w:rsidRPr="00A472FC">
        <w:rPr>
          <w:rFonts w:ascii="Times New Roman" w:hAnsi="Times New Roman" w:cs="Times New Roman"/>
        </w:rPr>
        <w:t xml:space="preserve"> and Jean-Yves </w:t>
      </w:r>
      <w:proofErr w:type="spellStart"/>
      <w:r w:rsidRPr="00A472FC">
        <w:rPr>
          <w:rFonts w:ascii="Times New Roman" w:hAnsi="Times New Roman" w:cs="Times New Roman"/>
        </w:rPr>
        <w:t>Tilliette</w:t>
      </w:r>
      <w:proofErr w:type="spellEnd"/>
      <w:r w:rsidRPr="00A472FC">
        <w:rPr>
          <w:rFonts w:ascii="Times New Roman" w:hAnsi="Times New Roman" w:cs="Times New Roman"/>
        </w:rPr>
        <w:t xml:space="preserve">, 35-53.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2005.</w:t>
      </w:r>
    </w:p>
    <w:p w14:paraId="1EE5C86D"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Studies in the Philosophy of William of Auvergne, Bishop of Paris 1228-1249.</w:t>
      </w:r>
      <w:r w:rsidRPr="00A472FC">
        <w:rPr>
          <w:rFonts w:ascii="Times New Roman" w:hAnsi="Times New Roman" w:cs="Times New Roman"/>
        </w:rPr>
        <w:t xml:space="preserve"> Milwaukee: Marquette University Press, 2006.</w:t>
      </w:r>
    </w:p>
    <w:p w14:paraId="07F6A526"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Théry</w:t>
      </w:r>
      <w:proofErr w:type="spellEnd"/>
      <w:r w:rsidRPr="00A472FC">
        <w:rPr>
          <w:rFonts w:ascii="Times New Roman" w:hAnsi="Times New Roman" w:cs="Times New Roman"/>
        </w:rPr>
        <w:t>, G. ‘</w:t>
      </w:r>
      <w:proofErr w:type="spellStart"/>
      <w:r w:rsidRPr="00A472FC">
        <w:rPr>
          <w:rFonts w:ascii="Times New Roman" w:hAnsi="Times New Roman" w:cs="Times New Roman"/>
        </w:rPr>
        <w:t>L’authenticité</w:t>
      </w:r>
      <w:proofErr w:type="spellEnd"/>
      <w:r w:rsidRPr="00A472FC">
        <w:rPr>
          <w:rFonts w:ascii="Times New Roman" w:hAnsi="Times New Roman" w:cs="Times New Roman"/>
        </w:rPr>
        <w:t xml:space="preserve"> du </w:t>
      </w:r>
      <w:r w:rsidRPr="00A472FC">
        <w:rPr>
          <w:rFonts w:ascii="Times New Roman" w:hAnsi="Times New Roman" w:cs="Times New Roman"/>
          <w:i/>
          <w:iCs/>
        </w:rPr>
        <w:t xml:space="preserve">De </w:t>
      </w:r>
      <w:proofErr w:type="spellStart"/>
      <w:r w:rsidRPr="00A472FC">
        <w:rPr>
          <w:rFonts w:ascii="Times New Roman" w:hAnsi="Times New Roman" w:cs="Times New Roman"/>
          <w:i/>
          <w:iCs/>
        </w:rPr>
        <w:t>spiritu</w:t>
      </w:r>
      <w:proofErr w:type="spellEnd"/>
      <w:r w:rsidRPr="00A472FC">
        <w:rPr>
          <w:rFonts w:ascii="Times New Roman" w:hAnsi="Times New Roman" w:cs="Times New Roman"/>
          <w:i/>
          <w:iCs/>
        </w:rPr>
        <w:t xml:space="preserve"> et anima</w:t>
      </w:r>
      <w:r w:rsidRPr="00A472FC">
        <w:rPr>
          <w:rFonts w:ascii="Times New Roman" w:hAnsi="Times New Roman" w:cs="Times New Roman"/>
        </w:rPr>
        <w:t xml:space="preserve"> dans Saint Thomas et Albert le Grand.’ </w:t>
      </w:r>
      <w:r w:rsidRPr="00A472FC">
        <w:rPr>
          <w:rFonts w:ascii="Times New Roman" w:hAnsi="Times New Roman" w:cs="Times New Roman"/>
          <w:i/>
          <w:iCs/>
        </w:rPr>
        <w:t xml:space="preserve">Revue des sciences </w:t>
      </w:r>
      <w:proofErr w:type="spellStart"/>
      <w:r w:rsidRPr="00A472FC">
        <w:rPr>
          <w:rFonts w:ascii="Times New Roman" w:hAnsi="Times New Roman" w:cs="Times New Roman"/>
          <w:i/>
          <w:iCs/>
        </w:rPr>
        <w:t>philosophiques</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théologiques</w:t>
      </w:r>
      <w:proofErr w:type="spellEnd"/>
      <w:r w:rsidRPr="00A472FC">
        <w:rPr>
          <w:rFonts w:ascii="Times New Roman" w:hAnsi="Times New Roman" w:cs="Times New Roman"/>
          <w:i/>
          <w:iCs/>
        </w:rPr>
        <w:t xml:space="preserve"> </w:t>
      </w:r>
      <w:r w:rsidRPr="00A472FC">
        <w:rPr>
          <w:rFonts w:ascii="Times New Roman" w:hAnsi="Times New Roman" w:cs="Times New Roman"/>
        </w:rPr>
        <w:t>10 (1921): 373-77.</w:t>
      </w:r>
    </w:p>
    <w:p w14:paraId="1C2A5F80" w14:textId="25653409"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iCs/>
        </w:rPr>
        <w:t>Autour</w:t>
      </w:r>
      <w:proofErr w:type="spellEnd"/>
      <w:r w:rsidRPr="00A472FC">
        <w:rPr>
          <w:rFonts w:ascii="Times New Roman" w:hAnsi="Times New Roman" w:cs="Times New Roman"/>
          <w:i/>
          <w:iCs/>
        </w:rPr>
        <w:t xml:space="preserve"> du </w:t>
      </w:r>
      <w:proofErr w:type="spellStart"/>
      <w:r w:rsidRPr="00A472FC">
        <w:rPr>
          <w:rFonts w:ascii="Times New Roman" w:hAnsi="Times New Roman" w:cs="Times New Roman"/>
          <w:i/>
          <w:iCs/>
        </w:rPr>
        <w:t>décret</w:t>
      </w:r>
      <w:proofErr w:type="spellEnd"/>
      <w:r w:rsidRPr="00A472FC">
        <w:rPr>
          <w:rFonts w:ascii="Times New Roman" w:hAnsi="Times New Roman" w:cs="Times New Roman"/>
          <w:i/>
          <w:iCs/>
        </w:rPr>
        <w:t xml:space="preserve"> de 1210: Alexandre </w:t>
      </w:r>
      <w:proofErr w:type="spellStart"/>
      <w:r w:rsidRPr="00A472FC">
        <w:rPr>
          <w:rFonts w:ascii="Times New Roman" w:hAnsi="Times New Roman" w:cs="Times New Roman"/>
          <w:i/>
          <w:iCs/>
        </w:rPr>
        <w:t>d’Aphrodise</w:t>
      </w:r>
      <w:proofErr w:type="spellEnd"/>
      <w:r w:rsidRPr="00A472FC">
        <w:rPr>
          <w:rFonts w:ascii="Times New Roman" w:hAnsi="Times New Roman" w:cs="Times New Roman"/>
          <w:i/>
          <w:iCs/>
        </w:rPr>
        <w:t>: aper</w:t>
      </w:r>
      <w:r w:rsidR="00402F25" w:rsidRPr="00A472FC">
        <w:rPr>
          <w:rFonts w:ascii="Times New Roman" w:hAnsi="Times New Roman" w:cs="Times New Roman"/>
          <w:i/>
          <w:iCs/>
        </w:rPr>
        <w:t>ç</w:t>
      </w:r>
      <w:r w:rsidRPr="00A472FC">
        <w:rPr>
          <w:rFonts w:ascii="Times New Roman" w:hAnsi="Times New Roman" w:cs="Times New Roman"/>
          <w:i/>
          <w:iCs/>
        </w:rPr>
        <w:t xml:space="preserve">u </w:t>
      </w:r>
      <w:proofErr w:type="spellStart"/>
      <w:r w:rsidRPr="00A472FC">
        <w:rPr>
          <w:rFonts w:ascii="Times New Roman" w:hAnsi="Times New Roman" w:cs="Times New Roman"/>
          <w:i/>
          <w:iCs/>
        </w:rPr>
        <w:t>sur</w:t>
      </w:r>
      <w:proofErr w:type="spellEnd"/>
      <w:r w:rsidRPr="00A472FC">
        <w:rPr>
          <w:rFonts w:ascii="Times New Roman" w:hAnsi="Times New Roman" w:cs="Times New Roman"/>
          <w:i/>
          <w:iCs/>
        </w:rPr>
        <w:t xml:space="preserve"> l’influence de </w:t>
      </w:r>
      <w:proofErr w:type="spellStart"/>
      <w:r w:rsidRPr="00A472FC">
        <w:rPr>
          <w:rFonts w:ascii="Times New Roman" w:hAnsi="Times New Roman" w:cs="Times New Roman"/>
          <w:i/>
          <w:iCs/>
        </w:rPr>
        <w:t>sa</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noétique</w:t>
      </w:r>
      <w:proofErr w:type="spellEnd"/>
      <w:r w:rsidRPr="00A472FC">
        <w:rPr>
          <w:rFonts w:ascii="Times New Roman" w:hAnsi="Times New Roman" w:cs="Times New Roman"/>
          <w:i/>
          <w:iCs/>
        </w:rPr>
        <w:t>.</w:t>
      </w:r>
      <w:r w:rsidRPr="00A472FC">
        <w:rPr>
          <w:rFonts w:ascii="Times New Roman" w:hAnsi="Times New Roman" w:cs="Times New Roman"/>
        </w:rPr>
        <w:t xml:space="preserve"> Paris: Le </w:t>
      </w:r>
      <w:proofErr w:type="spellStart"/>
      <w:r w:rsidRPr="00A472FC">
        <w:rPr>
          <w:rFonts w:ascii="Times New Roman" w:hAnsi="Times New Roman" w:cs="Times New Roman"/>
        </w:rPr>
        <w:t>Salchoir</w:t>
      </w:r>
      <w:proofErr w:type="spellEnd"/>
      <w:r w:rsidRPr="00A472FC">
        <w:rPr>
          <w:rFonts w:ascii="Times New Roman" w:hAnsi="Times New Roman" w:cs="Times New Roman"/>
        </w:rPr>
        <w:t>, 1926.</w:t>
      </w:r>
    </w:p>
    <w:p w14:paraId="209E69EC" w14:textId="2ED547A4"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w:t>
      </w:r>
      <w:proofErr w:type="spellStart"/>
      <w:r w:rsidRPr="00A472FC">
        <w:rPr>
          <w:rFonts w:ascii="Times New Roman" w:hAnsi="Times New Roman" w:cs="Times New Roman"/>
        </w:rPr>
        <w:t>L’Augustinisme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médiéval</w:t>
      </w:r>
      <w:proofErr w:type="spellEnd"/>
      <w:r w:rsidRPr="00A472FC">
        <w:rPr>
          <w:rFonts w:ascii="Times New Roman" w:hAnsi="Times New Roman" w:cs="Times New Roman"/>
        </w:rPr>
        <w:t xml:space="preserve"> et le </w:t>
      </w:r>
      <w:proofErr w:type="spellStart"/>
      <w:r w:rsidRPr="00A472FC">
        <w:rPr>
          <w:rFonts w:ascii="Times New Roman" w:hAnsi="Times New Roman" w:cs="Times New Roman"/>
        </w:rPr>
        <w:t>problème</w:t>
      </w:r>
      <w:proofErr w:type="spellEnd"/>
      <w:r w:rsidRPr="00A472FC">
        <w:rPr>
          <w:rFonts w:ascii="Times New Roman" w:hAnsi="Times New Roman" w:cs="Times New Roman"/>
        </w:rPr>
        <w:t xml:space="preserve"> de </w:t>
      </w:r>
      <w:proofErr w:type="spellStart"/>
      <w:r w:rsidRPr="00A472FC">
        <w:rPr>
          <w:rFonts w:ascii="Times New Roman" w:hAnsi="Times New Roman" w:cs="Times New Roman"/>
        </w:rPr>
        <w:t>l'unité</w:t>
      </w:r>
      <w:proofErr w:type="spellEnd"/>
      <w:r w:rsidRPr="00A472FC">
        <w:rPr>
          <w:rFonts w:ascii="Times New Roman" w:hAnsi="Times New Roman" w:cs="Times New Roman"/>
        </w:rPr>
        <w:t xml:space="preserve"> de la </w:t>
      </w:r>
      <w:proofErr w:type="spellStart"/>
      <w:r w:rsidRPr="00A472FC">
        <w:rPr>
          <w:rFonts w:ascii="Times New Roman" w:hAnsi="Times New Roman" w:cs="Times New Roman"/>
        </w:rPr>
        <w:t>forme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substantielle</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Revue de Philosophie </w:t>
      </w:r>
      <w:r w:rsidRPr="00A472FC">
        <w:rPr>
          <w:rFonts w:ascii="Times New Roman" w:hAnsi="Times New Roman" w:cs="Times New Roman"/>
        </w:rPr>
        <w:t>1</w:t>
      </w:r>
      <w:r w:rsidR="009C547D" w:rsidRPr="00A472FC">
        <w:rPr>
          <w:rFonts w:ascii="Times New Roman" w:hAnsi="Times New Roman" w:cs="Times New Roman"/>
        </w:rPr>
        <w:t>:</w:t>
      </w:r>
      <w:r w:rsidRPr="00A472FC">
        <w:rPr>
          <w:rFonts w:ascii="Times New Roman" w:hAnsi="Times New Roman" w:cs="Times New Roman"/>
        </w:rPr>
        <w:t>660 (1930): 140-200.</w:t>
      </w:r>
    </w:p>
    <w:p w14:paraId="785253F4"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Thorndike</w:t>
      </w:r>
      <w:proofErr w:type="spellEnd"/>
      <w:r w:rsidRPr="00A472FC">
        <w:rPr>
          <w:rFonts w:ascii="Times New Roman" w:hAnsi="Times New Roman" w:cs="Times New Roman"/>
        </w:rPr>
        <w:t xml:space="preserve">, Lynn. </w:t>
      </w:r>
      <w:r w:rsidRPr="00A472FC">
        <w:rPr>
          <w:rFonts w:ascii="Times New Roman" w:hAnsi="Times New Roman" w:cs="Times New Roman"/>
          <w:i/>
          <w:iCs/>
        </w:rPr>
        <w:t>A History of Magic and Experimental Science.</w:t>
      </w:r>
      <w:r w:rsidRPr="00A472FC">
        <w:rPr>
          <w:rFonts w:ascii="Times New Roman" w:hAnsi="Times New Roman" w:cs="Times New Roman"/>
        </w:rPr>
        <w:t xml:space="preserve"> New York, 1923.</w:t>
      </w:r>
    </w:p>
    <w:p w14:paraId="096BB3F3" w14:textId="472A2323"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Torrell</w:t>
      </w:r>
      <w:proofErr w:type="spellEnd"/>
      <w:r w:rsidRPr="00A472FC">
        <w:rPr>
          <w:rFonts w:ascii="Times New Roman" w:hAnsi="Times New Roman" w:cs="Times New Roman"/>
        </w:rPr>
        <w:t xml:space="preserve">, J.-P. ‘Introduction.’ In </w:t>
      </w:r>
      <w:proofErr w:type="spellStart"/>
      <w:r w:rsidRPr="00A472FC">
        <w:rPr>
          <w:rFonts w:ascii="Times New Roman" w:hAnsi="Times New Roman" w:cs="Times New Roman"/>
        </w:rPr>
        <w:t>Guerric</w:t>
      </w:r>
      <w:proofErr w:type="spellEnd"/>
      <w:r w:rsidRPr="00A472FC">
        <w:rPr>
          <w:rFonts w:ascii="Times New Roman" w:hAnsi="Times New Roman" w:cs="Times New Roman"/>
        </w:rPr>
        <w:t xml:space="preserve"> of St Quentin, </w:t>
      </w:r>
      <w:proofErr w:type="spellStart"/>
      <w:r w:rsidRPr="00A472FC">
        <w:rPr>
          <w:rFonts w:ascii="Times New Roman" w:hAnsi="Times New Roman" w:cs="Times New Roman"/>
          <w:i/>
          <w:iCs/>
        </w:rPr>
        <w:t>Quaestiones</w:t>
      </w:r>
      <w:proofErr w:type="spellEnd"/>
      <w:r w:rsidRPr="00A472FC">
        <w:rPr>
          <w:rFonts w:ascii="Times New Roman" w:hAnsi="Times New Roman" w:cs="Times New Roman"/>
          <w:i/>
          <w:iCs/>
        </w:rPr>
        <w:t xml:space="preserve"> de quo</w:t>
      </w:r>
      <w:r w:rsidR="004D4D87" w:rsidRPr="00A472FC">
        <w:rPr>
          <w:rFonts w:ascii="Times New Roman" w:hAnsi="Times New Roman" w:cs="Times New Roman"/>
          <w:i/>
          <w:iCs/>
        </w:rPr>
        <w:t>d</w:t>
      </w:r>
      <w:r w:rsidRPr="00A472FC">
        <w:rPr>
          <w:rFonts w:ascii="Times New Roman" w:hAnsi="Times New Roman" w:cs="Times New Roman"/>
          <w:i/>
          <w:iCs/>
        </w:rPr>
        <w:t>libet: A Critical Edition.</w:t>
      </w:r>
      <w:r w:rsidRPr="00A472FC">
        <w:rPr>
          <w:rFonts w:ascii="Times New Roman" w:hAnsi="Times New Roman" w:cs="Times New Roman"/>
        </w:rPr>
        <w:t xml:space="preserve"> Edited by Walter H. Principe. Toronto: Pontifical Institute of Mediaeval Studies, 2002.</w:t>
      </w:r>
    </w:p>
    <w:p w14:paraId="235C161A" w14:textId="50113CFF" w:rsidR="00AF5DC1" w:rsidRPr="00A472FC" w:rsidRDefault="00AF5DC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Toth</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Zita</w:t>
      </w:r>
      <w:proofErr w:type="spellEnd"/>
      <w:r w:rsidRPr="00A472FC">
        <w:rPr>
          <w:rFonts w:ascii="Times New Roman" w:hAnsi="Times New Roman" w:cs="Times New Roman"/>
        </w:rPr>
        <w:t xml:space="preserve"> and </w:t>
      </w:r>
      <w:proofErr w:type="spellStart"/>
      <w:r w:rsidRPr="00A472FC">
        <w:rPr>
          <w:rFonts w:ascii="Times New Roman" w:hAnsi="Times New Roman" w:cs="Times New Roman"/>
        </w:rPr>
        <w:t>Rega</w:t>
      </w:r>
      <w:proofErr w:type="spellEnd"/>
      <w:r w:rsidRPr="00A472FC">
        <w:rPr>
          <w:rFonts w:ascii="Times New Roman" w:hAnsi="Times New Roman" w:cs="Times New Roman"/>
        </w:rPr>
        <w:t xml:space="preserve"> Wood. ‘</w:t>
      </w:r>
      <w:proofErr w:type="spellStart"/>
      <w:r w:rsidRPr="00A472FC">
        <w:rPr>
          <w:rFonts w:ascii="Times New Roman" w:hAnsi="Times New Roman" w:cs="Times New Roman"/>
          <w:i/>
          <w:iCs/>
        </w:rPr>
        <w:t>Nec</w:t>
      </w:r>
      <w:proofErr w:type="spellEnd"/>
      <w:r w:rsidRPr="00A472FC">
        <w:rPr>
          <w:rFonts w:ascii="Times New Roman" w:hAnsi="Times New Roman" w:cs="Times New Roman"/>
          <w:i/>
          <w:iCs/>
        </w:rPr>
        <w:t xml:space="preserve"> idem </w:t>
      </w:r>
      <w:proofErr w:type="spellStart"/>
      <w:r w:rsidRPr="00A472FC">
        <w:rPr>
          <w:rFonts w:ascii="Times New Roman" w:hAnsi="Times New Roman" w:cs="Times New Roman"/>
          <w:i/>
          <w:iCs/>
        </w:rPr>
        <w:t>nec</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aliud</w:t>
      </w:r>
      <w:proofErr w:type="spellEnd"/>
      <w:r w:rsidRPr="00A472FC">
        <w:rPr>
          <w:rFonts w:ascii="Times New Roman" w:hAnsi="Times New Roman" w:cs="Times New Roman"/>
          <w:i/>
          <w:iCs/>
        </w:rPr>
        <w:t xml:space="preserve">: </w:t>
      </w:r>
      <w:r w:rsidRPr="00A472FC">
        <w:rPr>
          <w:rFonts w:ascii="Times New Roman" w:hAnsi="Times New Roman" w:cs="Times New Roman"/>
        </w:rPr>
        <w:t>The Powers of the Soul and the Origins of the Formal Distinction</w:t>
      </w:r>
      <w:r w:rsidR="009950E8" w:rsidRPr="00A472FC">
        <w:rPr>
          <w:rFonts w:ascii="Times New Roman" w:hAnsi="Times New Roman" w:cs="Times New Roman"/>
        </w:rPr>
        <w:t>.</w:t>
      </w:r>
      <w:r w:rsidRPr="00A472FC">
        <w:rPr>
          <w:rFonts w:ascii="Times New Roman" w:hAnsi="Times New Roman" w:cs="Times New Roman"/>
        </w:rPr>
        <w:t xml:space="preserve">’ In </w:t>
      </w:r>
      <w:r w:rsidRPr="00A472FC">
        <w:rPr>
          <w:rFonts w:ascii="Times New Roman" w:hAnsi="Times New Roman" w:cs="Times New Roman"/>
          <w:i/>
          <w:iCs/>
        </w:rPr>
        <w:t xml:space="preserve">Early Thirteenth-Century English Franciscan Thought. </w:t>
      </w:r>
      <w:r w:rsidRPr="00A472FC">
        <w:rPr>
          <w:rFonts w:ascii="Times New Roman" w:hAnsi="Times New Roman" w:cs="Times New Roman"/>
        </w:rPr>
        <w:t xml:space="preserve">Edited by Lydia Schumacher, 171-97. Berlin: De Gruyter, 2021. </w:t>
      </w:r>
    </w:p>
    <w:p w14:paraId="03E331F2" w14:textId="6EDCA397" w:rsidR="006A6E61" w:rsidRPr="00A472FC" w:rsidRDefault="006A6E61" w:rsidP="00881604">
      <w:pPr>
        <w:autoSpaceDE w:val="0"/>
        <w:autoSpaceDN w:val="0"/>
        <w:adjustRightInd w:val="0"/>
        <w:ind w:left="720" w:right="-52" w:hanging="720"/>
        <w:rPr>
          <w:rFonts w:ascii="Times New Roman" w:hAnsi="Times New Roman" w:cs="Times New Roman"/>
          <w:color w:val="000000" w:themeColor="text1"/>
          <w:shd w:val="clear" w:color="auto" w:fill="FFFFFF"/>
          <w:lang w:val="it-IT" w:eastAsia="it-IT"/>
        </w:rPr>
      </w:pPr>
      <w:proofErr w:type="spellStart"/>
      <w:r w:rsidRPr="00A472FC">
        <w:rPr>
          <w:rFonts w:ascii="Times New Roman" w:hAnsi="Times New Roman" w:cs="Times New Roman"/>
          <w:color w:val="000000" w:themeColor="text1"/>
        </w:rPr>
        <w:t>Trego</w:t>
      </w:r>
      <w:proofErr w:type="spellEnd"/>
      <w:r w:rsidRPr="00A472FC">
        <w:rPr>
          <w:rFonts w:ascii="Times New Roman" w:hAnsi="Times New Roman" w:cs="Times New Roman"/>
          <w:color w:val="000000" w:themeColor="text1"/>
        </w:rPr>
        <w:t xml:space="preserve">, K. </w:t>
      </w:r>
      <w:r w:rsidRPr="00A472FC">
        <w:rPr>
          <w:rFonts w:ascii="Times New Roman" w:hAnsi="Times New Roman" w:cs="Times New Roman"/>
          <w:i/>
          <w:iCs/>
          <w:color w:val="000000" w:themeColor="text1"/>
          <w:shd w:val="clear" w:color="auto" w:fill="FFFFFF"/>
          <w:lang w:val="en-US" w:eastAsia="it-IT"/>
        </w:rPr>
        <w:t xml:space="preserve">L’essence de la </w:t>
      </w:r>
      <w:proofErr w:type="spellStart"/>
      <w:r w:rsidRPr="00A472FC">
        <w:rPr>
          <w:rFonts w:ascii="Times New Roman" w:hAnsi="Times New Roman" w:cs="Times New Roman"/>
          <w:i/>
          <w:iCs/>
          <w:color w:val="000000" w:themeColor="text1"/>
          <w:shd w:val="clear" w:color="auto" w:fill="FFFFFF"/>
          <w:lang w:val="en-US" w:eastAsia="it-IT"/>
        </w:rPr>
        <w:t>liberté</w:t>
      </w:r>
      <w:proofErr w:type="spellEnd"/>
      <w:r w:rsidRPr="00A472FC">
        <w:rPr>
          <w:rFonts w:ascii="Times New Roman" w:hAnsi="Times New Roman" w:cs="Times New Roman"/>
          <w:i/>
          <w:iCs/>
          <w:color w:val="000000" w:themeColor="text1"/>
          <w:shd w:val="clear" w:color="auto" w:fill="FFFFFF"/>
          <w:lang w:val="en-US" w:eastAsia="it-IT"/>
        </w:rPr>
        <w:t xml:space="preserve">. </w:t>
      </w:r>
      <w:r w:rsidRPr="00A472FC">
        <w:rPr>
          <w:rFonts w:ascii="Times New Roman" w:hAnsi="Times New Roman" w:cs="Times New Roman"/>
          <w:i/>
          <w:iCs/>
          <w:color w:val="000000" w:themeColor="text1"/>
          <w:shd w:val="clear" w:color="auto" w:fill="FFFFFF"/>
          <w:lang w:val="it-IT" w:eastAsia="it-IT"/>
        </w:rPr>
        <w:t xml:space="preserve">La </w:t>
      </w:r>
      <w:proofErr w:type="spellStart"/>
      <w:r w:rsidRPr="00A472FC">
        <w:rPr>
          <w:rFonts w:ascii="Times New Roman" w:hAnsi="Times New Roman" w:cs="Times New Roman"/>
          <w:i/>
          <w:iCs/>
          <w:color w:val="000000" w:themeColor="text1"/>
          <w:shd w:val="clear" w:color="auto" w:fill="FFFFFF"/>
          <w:lang w:val="it-IT" w:eastAsia="it-IT"/>
        </w:rPr>
        <w:t>refondation</w:t>
      </w:r>
      <w:proofErr w:type="spellEnd"/>
      <w:r w:rsidRPr="00A472FC">
        <w:rPr>
          <w:rFonts w:ascii="Times New Roman" w:hAnsi="Times New Roman" w:cs="Times New Roman"/>
          <w:i/>
          <w:iCs/>
          <w:color w:val="000000" w:themeColor="text1"/>
          <w:shd w:val="clear" w:color="auto" w:fill="FFFFFF"/>
          <w:lang w:val="it-IT" w:eastAsia="it-IT"/>
        </w:rPr>
        <w:t xml:space="preserve"> de </w:t>
      </w:r>
      <w:proofErr w:type="spellStart"/>
      <w:r w:rsidRPr="00A472FC">
        <w:rPr>
          <w:rFonts w:ascii="Times New Roman" w:hAnsi="Times New Roman" w:cs="Times New Roman"/>
          <w:i/>
          <w:iCs/>
          <w:color w:val="000000" w:themeColor="text1"/>
          <w:shd w:val="clear" w:color="auto" w:fill="FFFFFF"/>
          <w:lang w:val="it-IT" w:eastAsia="it-IT"/>
        </w:rPr>
        <w:t>l’éthique</w:t>
      </w:r>
      <w:proofErr w:type="spellEnd"/>
      <w:r w:rsidRPr="00A472FC">
        <w:rPr>
          <w:rFonts w:ascii="Times New Roman" w:hAnsi="Times New Roman" w:cs="Times New Roman"/>
          <w:i/>
          <w:iCs/>
          <w:color w:val="000000" w:themeColor="text1"/>
          <w:shd w:val="clear" w:color="auto" w:fill="FFFFFF"/>
          <w:lang w:val="it-IT" w:eastAsia="it-IT"/>
        </w:rPr>
        <w:t xml:space="preserve"> </w:t>
      </w:r>
      <w:proofErr w:type="spellStart"/>
      <w:r w:rsidRPr="00A472FC">
        <w:rPr>
          <w:rFonts w:ascii="Times New Roman" w:hAnsi="Times New Roman" w:cs="Times New Roman"/>
          <w:i/>
          <w:iCs/>
          <w:color w:val="000000" w:themeColor="text1"/>
          <w:shd w:val="clear" w:color="auto" w:fill="FFFFFF"/>
          <w:lang w:val="it-IT" w:eastAsia="it-IT"/>
        </w:rPr>
        <w:t>dans</w:t>
      </w:r>
      <w:proofErr w:type="spellEnd"/>
      <w:r w:rsidRPr="00A472FC">
        <w:rPr>
          <w:rFonts w:ascii="Times New Roman" w:hAnsi="Times New Roman" w:cs="Times New Roman"/>
          <w:i/>
          <w:iCs/>
          <w:color w:val="000000" w:themeColor="text1"/>
          <w:shd w:val="clear" w:color="auto" w:fill="FFFFFF"/>
          <w:lang w:val="it-IT" w:eastAsia="it-IT"/>
        </w:rPr>
        <w:t xml:space="preserve"> </w:t>
      </w:r>
      <w:proofErr w:type="spellStart"/>
      <w:r w:rsidRPr="00A472FC">
        <w:rPr>
          <w:rFonts w:ascii="Times New Roman" w:hAnsi="Times New Roman" w:cs="Times New Roman"/>
          <w:i/>
          <w:iCs/>
          <w:color w:val="000000" w:themeColor="text1"/>
          <w:shd w:val="clear" w:color="auto" w:fill="FFFFFF"/>
          <w:lang w:val="it-IT" w:eastAsia="it-IT"/>
        </w:rPr>
        <w:t>l’œuvre</w:t>
      </w:r>
      <w:proofErr w:type="spellEnd"/>
      <w:r w:rsidRPr="00A472FC">
        <w:rPr>
          <w:rFonts w:ascii="Times New Roman" w:hAnsi="Times New Roman" w:cs="Times New Roman"/>
          <w:i/>
          <w:iCs/>
          <w:color w:val="000000" w:themeColor="text1"/>
          <w:shd w:val="clear" w:color="auto" w:fill="FFFFFF"/>
          <w:lang w:val="it-IT" w:eastAsia="it-IT"/>
        </w:rPr>
        <w:t xml:space="preserve"> de </w:t>
      </w:r>
      <w:r w:rsidR="009950E8" w:rsidRPr="00A472FC">
        <w:rPr>
          <w:rFonts w:ascii="Times New Roman" w:hAnsi="Times New Roman" w:cs="Times New Roman"/>
          <w:i/>
          <w:iCs/>
          <w:color w:val="000000" w:themeColor="text1"/>
          <w:shd w:val="clear" w:color="auto" w:fill="FFFFFF"/>
          <w:lang w:val="it-IT" w:eastAsia="it-IT"/>
        </w:rPr>
        <w:t>S</w:t>
      </w:r>
      <w:r w:rsidRPr="00A472FC">
        <w:rPr>
          <w:rFonts w:ascii="Times New Roman" w:hAnsi="Times New Roman" w:cs="Times New Roman"/>
          <w:i/>
          <w:iCs/>
          <w:color w:val="000000" w:themeColor="text1"/>
          <w:shd w:val="clear" w:color="auto" w:fill="FFFFFF"/>
          <w:lang w:val="it-IT" w:eastAsia="it-IT"/>
        </w:rPr>
        <w:t xml:space="preserve">. Anselme de </w:t>
      </w:r>
      <w:proofErr w:type="spellStart"/>
      <w:r w:rsidRPr="00A472FC">
        <w:rPr>
          <w:rFonts w:ascii="Times New Roman" w:hAnsi="Times New Roman" w:cs="Times New Roman"/>
          <w:i/>
          <w:iCs/>
          <w:color w:val="000000" w:themeColor="text1"/>
          <w:shd w:val="clear" w:color="auto" w:fill="FFFFFF"/>
          <w:lang w:val="it-IT" w:eastAsia="it-IT"/>
        </w:rPr>
        <w:t>Cantorbéry</w:t>
      </w:r>
      <w:proofErr w:type="spellEnd"/>
      <w:r w:rsidRPr="00A472FC">
        <w:rPr>
          <w:rFonts w:ascii="Times New Roman" w:hAnsi="Times New Roman" w:cs="Times New Roman"/>
          <w:color w:val="000000" w:themeColor="text1"/>
          <w:shd w:val="clear" w:color="auto" w:fill="FFFFFF"/>
          <w:lang w:val="it-IT" w:eastAsia="it-IT"/>
        </w:rPr>
        <w:t xml:space="preserve">. Paris: </w:t>
      </w:r>
      <w:proofErr w:type="spellStart"/>
      <w:r w:rsidRPr="00A472FC">
        <w:rPr>
          <w:rFonts w:ascii="Times New Roman" w:hAnsi="Times New Roman" w:cs="Times New Roman"/>
          <w:color w:val="000000" w:themeColor="text1"/>
          <w:shd w:val="clear" w:color="auto" w:fill="FFFFFF"/>
          <w:lang w:val="it-IT" w:eastAsia="it-IT"/>
        </w:rPr>
        <w:t>Vrin</w:t>
      </w:r>
      <w:proofErr w:type="spellEnd"/>
      <w:r w:rsidRPr="00A472FC">
        <w:rPr>
          <w:rFonts w:ascii="Times New Roman" w:hAnsi="Times New Roman" w:cs="Times New Roman"/>
          <w:color w:val="000000" w:themeColor="text1"/>
          <w:shd w:val="clear" w:color="auto" w:fill="FFFFFF"/>
          <w:lang w:val="it-IT" w:eastAsia="it-IT"/>
        </w:rPr>
        <w:t>, 2010.</w:t>
      </w:r>
    </w:p>
    <w:p w14:paraId="73443320" w14:textId="51820303" w:rsidR="00E550F1" w:rsidRPr="00A472FC" w:rsidRDefault="00E550F1" w:rsidP="00E550F1">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lastRenderedPageBreak/>
        <w:t>Trifogli</w:t>
      </w:r>
      <w:proofErr w:type="spellEnd"/>
      <w:r w:rsidRPr="00A472FC">
        <w:rPr>
          <w:rFonts w:ascii="Times New Roman" w:hAnsi="Times New Roman" w:cs="Times New Roman"/>
        </w:rPr>
        <w:t xml:space="preserve">, Cecilia. </w:t>
      </w:r>
      <w:r w:rsidR="009F67C8" w:rsidRPr="00A472FC">
        <w:rPr>
          <w:rFonts w:ascii="Times New Roman" w:hAnsi="Times New Roman" w:cs="Times New Roman"/>
        </w:rPr>
        <w:t xml:space="preserve">‘The Creation of Matter in the </w:t>
      </w:r>
      <w:r w:rsidR="009F67C8" w:rsidRPr="00A472FC">
        <w:rPr>
          <w:rFonts w:ascii="Times New Roman" w:hAnsi="Times New Roman" w:cs="Times New Roman"/>
          <w:i/>
          <w:iCs/>
        </w:rPr>
        <w:t xml:space="preserve">Summa </w:t>
      </w:r>
      <w:proofErr w:type="spellStart"/>
      <w:r w:rsidR="009F67C8" w:rsidRPr="00A472FC">
        <w:rPr>
          <w:rFonts w:ascii="Times New Roman" w:hAnsi="Times New Roman" w:cs="Times New Roman"/>
          <w:i/>
          <w:iCs/>
        </w:rPr>
        <w:t>Halensis</w:t>
      </w:r>
      <w:proofErr w:type="spellEnd"/>
      <w:r w:rsidR="009F67C8" w:rsidRPr="00A472FC">
        <w:rPr>
          <w:rFonts w:ascii="Times New Roman" w:hAnsi="Times New Roman" w:cs="Times New Roman"/>
          <w:i/>
          <w:iCs/>
        </w:rPr>
        <w:t>.</w:t>
      </w:r>
      <w:r w:rsidR="009F67C8" w:rsidRPr="00A472FC">
        <w:rPr>
          <w:rFonts w:ascii="Times New Roman" w:hAnsi="Times New Roman" w:cs="Times New Roman"/>
        </w:rPr>
        <w:t xml:space="preserve">’ </w:t>
      </w:r>
      <w:r w:rsidRPr="00A472FC">
        <w:rPr>
          <w:rFonts w:ascii="Times New Roman" w:hAnsi="Times New Roman" w:cs="Times New Roman"/>
        </w:rPr>
        <w:t xml:space="preserve">In </w:t>
      </w:r>
      <w:r w:rsidRPr="00A472FC">
        <w:rPr>
          <w:rFonts w:ascii="Times New Roman" w:hAnsi="Times New Roman" w:cs="Times New Roman"/>
          <w:i/>
          <w:iCs/>
        </w:rPr>
        <w:t xml:space="preserve">The Legacy of Early Franciscan Thought. </w:t>
      </w:r>
      <w:r w:rsidRPr="00A472FC">
        <w:rPr>
          <w:rFonts w:ascii="Times New Roman" w:hAnsi="Times New Roman" w:cs="Times New Roman"/>
        </w:rPr>
        <w:t>Edited by Lydia Schumacher, 15-36. Berlin: De Gruyter, 2021.</w:t>
      </w:r>
    </w:p>
    <w:p w14:paraId="3DFFBB06" w14:textId="73419A45"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Trottmann</w:t>
      </w:r>
      <w:proofErr w:type="spellEnd"/>
      <w:r w:rsidRPr="00A472FC">
        <w:rPr>
          <w:rFonts w:ascii="Times New Roman" w:hAnsi="Times New Roman" w:cs="Times New Roman"/>
        </w:rPr>
        <w:t xml:space="preserve">, Christian. ‘Science et </w:t>
      </w:r>
      <w:proofErr w:type="spellStart"/>
      <w:r w:rsidRPr="00A472FC">
        <w:rPr>
          <w:rFonts w:ascii="Times New Roman" w:hAnsi="Times New Roman" w:cs="Times New Roman"/>
        </w:rPr>
        <w:t>sagesse</w:t>
      </w:r>
      <w:proofErr w:type="spellEnd"/>
      <w:r w:rsidRPr="00A472FC">
        <w:rPr>
          <w:rFonts w:ascii="Times New Roman" w:hAnsi="Times New Roman" w:cs="Times New Roman"/>
        </w:rPr>
        <w:t xml:space="preserve"> dans la </w:t>
      </w:r>
      <w:r w:rsidRPr="00A472FC">
        <w:rPr>
          <w:rFonts w:ascii="Times New Roman" w:hAnsi="Times New Roman" w:cs="Times New Roman"/>
          <w:i/>
        </w:rPr>
        <w:t>Summa de bono</w:t>
      </w:r>
      <w:r w:rsidRPr="00A472FC">
        <w:rPr>
          <w:rFonts w:ascii="Times New Roman" w:hAnsi="Times New Roman" w:cs="Times New Roman"/>
        </w:rPr>
        <w:t xml:space="preserve"> de Philippe le </w:t>
      </w:r>
      <w:proofErr w:type="spellStart"/>
      <w:r w:rsidRPr="00A472FC">
        <w:rPr>
          <w:rFonts w:ascii="Times New Roman" w:hAnsi="Times New Roman" w:cs="Times New Roman"/>
        </w:rPr>
        <w:t>Chancelier</w:t>
      </w:r>
      <w:proofErr w:type="spellEnd"/>
      <w:r w:rsidRPr="00A472FC">
        <w:rPr>
          <w:rFonts w:ascii="Times New Roman" w:hAnsi="Times New Roman" w:cs="Times New Roman"/>
        </w:rPr>
        <w:t xml:space="preserve">.’ In </w:t>
      </w:r>
      <w:r w:rsidRPr="00A472FC">
        <w:rPr>
          <w:rFonts w:ascii="Times New Roman" w:hAnsi="Times New Roman" w:cs="Times New Roman"/>
          <w:i/>
          <w:iCs/>
        </w:rPr>
        <w:t xml:space="preserve">Philippe le </w:t>
      </w:r>
      <w:proofErr w:type="spellStart"/>
      <w:r w:rsidRPr="00A472FC">
        <w:rPr>
          <w:rFonts w:ascii="Times New Roman" w:hAnsi="Times New Roman" w:cs="Times New Roman"/>
          <w:i/>
          <w:iCs/>
        </w:rPr>
        <w:t>Chancelie</w:t>
      </w:r>
      <w:r w:rsidR="00E627A8" w:rsidRPr="00A472FC">
        <w:rPr>
          <w:rFonts w:ascii="Times New Roman" w:hAnsi="Times New Roman" w:cs="Times New Roman"/>
          <w:i/>
          <w:iCs/>
        </w:rPr>
        <w:t>r</w:t>
      </w:r>
      <w:proofErr w:type="spellEnd"/>
      <w:r w:rsidR="00DE2198" w:rsidRPr="00A472FC">
        <w:rPr>
          <w:rFonts w:ascii="Times New Roman" w:hAnsi="Times New Roman" w:cs="Times New Roman"/>
          <w:i/>
          <w:iCs/>
        </w:rPr>
        <w:t>,</w:t>
      </w:r>
      <w:r w:rsidRPr="00A472FC">
        <w:rPr>
          <w:rFonts w:ascii="Times New Roman" w:hAnsi="Times New Roman" w:cs="Times New Roman"/>
          <w:i/>
          <w:iCs/>
        </w:rPr>
        <w:t xml:space="preserve"> </w:t>
      </w:r>
      <w:proofErr w:type="spellStart"/>
      <w:r w:rsidRPr="00A472FC">
        <w:rPr>
          <w:rFonts w:ascii="Times New Roman" w:hAnsi="Times New Roman" w:cs="Times New Roman"/>
          <w:i/>
          <w:iCs/>
        </w:rPr>
        <w:t>prédicateur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théologien</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poète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parisien</w:t>
      </w:r>
      <w:proofErr w:type="spellEnd"/>
      <w:r w:rsidRPr="00A472FC">
        <w:rPr>
          <w:rFonts w:ascii="Times New Roman" w:hAnsi="Times New Roman" w:cs="Times New Roman"/>
        </w:rPr>
        <w:t xml:space="preserve">. Edited by Gilbert </w:t>
      </w:r>
      <w:proofErr w:type="spellStart"/>
      <w:r w:rsidRPr="00A472FC">
        <w:rPr>
          <w:rFonts w:ascii="Times New Roman" w:hAnsi="Times New Roman" w:cs="Times New Roman"/>
        </w:rPr>
        <w:t>Dahan</w:t>
      </w:r>
      <w:proofErr w:type="spellEnd"/>
      <w:r w:rsidRPr="00A472FC">
        <w:rPr>
          <w:rFonts w:ascii="Times New Roman" w:hAnsi="Times New Roman" w:cs="Times New Roman"/>
        </w:rPr>
        <w:t xml:space="preserve"> and Anne-Zoé </w:t>
      </w:r>
      <w:proofErr w:type="spellStart"/>
      <w:r w:rsidRPr="00A472FC">
        <w:rPr>
          <w:rFonts w:ascii="Times New Roman" w:hAnsi="Times New Roman" w:cs="Times New Roman"/>
        </w:rPr>
        <w:t>Rillon-Marne</w:t>
      </w:r>
      <w:proofErr w:type="spellEnd"/>
      <w:r w:rsidRPr="00A472FC">
        <w:rPr>
          <w:rFonts w:ascii="Times New Roman" w:hAnsi="Times New Roman" w:cs="Times New Roman"/>
        </w:rPr>
        <w:t xml:space="preserve">, 149-68.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2017.</w:t>
      </w:r>
    </w:p>
    <w:p w14:paraId="16B6B22B" w14:textId="3EF1C3C7" w:rsidR="006A6E61" w:rsidRPr="00A472FC" w:rsidRDefault="006A6E61" w:rsidP="00881604">
      <w:pPr>
        <w:pStyle w:val="FootnoteText"/>
        <w:ind w:left="709" w:right="-52" w:hanging="709"/>
        <w:rPr>
          <w:rFonts w:ascii="Times New Roman" w:hAnsi="Times New Roman" w:cs="Times New Roman"/>
          <w:sz w:val="24"/>
          <w:szCs w:val="24"/>
        </w:rPr>
      </w:pPr>
      <w:r w:rsidRPr="00A472FC">
        <w:rPr>
          <w:rFonts w:ascii="Times New Roman" w:hAnsi="Times New Roman" w:cs="Times New Roman"/>
          <w:sz w:val="24"/>
          <w:szCs w:val="24"/>
        </w:rPr>
        <w:t xml:space="preserve">Van </w:t>
      </w:r>
      <w:proofErr w:type="spellStart"/>
      <w:r w:rsidRPr="00A472FC">
        <w:rPr>
          <w:rFonts w:ascii="Times New Roman" w:hAnsi="Times New Roman" w:cs="Times New Roman"/>
          <w:sz w:val="24"/>
          <w:szCs w:val="24"/>
        </w:rPr>
        <w:t>Steenberghen</w:t>
      </w:r>
      <w:proofErr w:type="spellEnd"/>
      <w:r w:rsidRPr="00A472FC">
        <w:rPr>
          <w:rFonts w:ascii="Times New Roman" w:hAnsi="Times New Roman" w:cs="Times New Roman"/>
          <w:sz w:val="24"/>
          <w:szCs w:val="24"/>
        </w:rPr>
        <w:t xml:space="preserve">, </w:t>
      </w:r>
      <w:proofErr w:type="spellStart"/>
      <w:r w:rsidRPr="00A472FC">
        <w:rPr>
          <w:rFonts w:ascii="Times New Roman" w:hAnsi="Times New Roman" w:cs="Times New Roman"/>
          <w:sz w:val="24"/>
          <w:szCs w:val="24"/>
        </w:rPr>
        <w:t>Fernand</w:t>
      </w:r>
      <w:proofErr w:type="spellEnd"/>
      <w:r w:rsidRPr="00A472FC">
        <w:rPr>
          <w:rFonts w:ascii="Times New Roman" w:hAnsi="Times New Roman" w:cs="Times New Roman"/>
          <w:sz w:val="24"/>
          <w:szCs w:val="24"/>
        </w:rPr>
        <w:t xml:space="preserve">. </w:t>
      </w:r>
      <w:proofErr w:type="spellStart"/>
      <w:r w:rsidRPr="00A472FC">
        <w:rPr>
          <w:rFonts w:ascii="Times New Roman" w:hAnsi="Times New Roman" w:cs="Times New Roman"/>
          <w:i/>
          <w:sz w:val="24"/>
          <w:szCs w:val="24"/>
        </w:rPr>
        <w:t>Siger</w:t>
      </w:r>
      <w:proofErr w:type="spellEnd"/>
      <w:r w:rsidRPr="00A472FC">
        <w:rPr>
          <w:rFonts w:ascii="Times New Roman" w:hAnsi="Times New Roman" w:cs="Times New Roman"/>
          <w:i/>
          <w:sz w:val="24"/>
          <w:szCs w:val="24"/>
        </w:rPr>
        <w:t xml:space="preserve"> de Brabant d’après </w:t>
      </w:r>
      <w:proofErr w:type="spellStart"/>
      <w:r w:rsidRPr="00A472FC">
        <w:rPr>
          <w:rFonts w:ascii="Times New Roman" w:hAnsi="Times New Roman" w:cs="Times New Roman"/>
          <w:i/>
          <w:sz w:val="24"/>
          <w:szCs w:val="24"/>
        </w:rPr>
        <w:t>ses</w:t>
      </w:r>
      <w:proofErr w:type="spellEnd"/>
      <w:r w:rsidRPr="00A472FC">
        <w:rPr>
          <w:rFonts w:ascii="Times New Roman" w:hAnsi="Times New Roman" w:cs="Times New Roman"/>
          <w:i/>
          <w:sz w:val="24"/>
          <w:szCs w:val="24"/>
        </w:rPr>
        <w:t xml:space="preserve"> oeuvres </w:t>
      </w:r>
      <w:proofErr w:type="spellStart"/>
      <w:r w:rsidRPr="00A472FC">
        <w:rPr>
          <w:rFonts w:ascii="Times New Roman" w:hAnsi="Times New Roman" w:cs="Times New Roman"/>
          <w:i/>
          <w:sz w:val="24"/>
          <w:szCs w:val="24"/>
        </w:rPr>
        <w:t>inédites</w:t>
      </w:r>
      <w:proofErr w:type="spellEnd"/>
      <w:r w:rsidR="00E627A8" w:rsidRPr="00A472FC">
        <w:rPr>
          <w:rFonts w:ascii="Times New Roman" w:hAnsi="Times New Roman" w:cs="Times New Roman"/>
          <w:i/>
          <w:sz w:val="24"/>
          <w:szCs w:val="24"/>
        </w:rPr>
        <w:t xml:space="preserve">. </w:t>
      </w:r>
      <w:r w:rsidRPr="00A472FC">
        <w:rPr>
          <w:rFonts w:ascii="Times New Roman" w:hAnsi="Times New Roman" w:cs="Times New Roman"/>
          <w:i/>
          <w:sz w:val="24"/>
          <w:szCs w:val="24"/>
        </w:rPr>
        <w:t xml:space="preserve">Tome II: </w:t>
      </w:r>
      <w:proofErr w:type="spellStart"/>
      <w:r w:rsidRPr="00A472FC">
        <w:rPr>
          <w:rFonts w:ascii="Times New Roman" w:hAnsi="Times New Roman" w:cs="Times New Roman"/>
          <w:i/>
          <w:sz w:val="24"/>
          <w:szCs w:val="24"/>
        </w:rPr>
        <w:t>Siger</w:t>
      </w:r>
      <w:proofErr w:type="spellEnd"/>
      <w:r w:rsidRPr="00A472FC">
        <w:rPr>
          <w:rFonts w:ascii="Times New Roman" w:hAnsi="Times New Roman" w:cs="Times New Roman"/>
          <w:i/>
          <w:sz w:val="24"/>
          <w:szCs w:val="24"/>
        </w:rPr>
        <w:t xml:space="preserve"> dans </w:t>
      </w:r>
      <w:proofErr w:type="spellStart"/>
      <w:r w:rsidRPr="00A472FC">
        <w:rPr>
          <w:rFonts w:ascii="Times New Roman" w:hAnsi="Times New Roman" w:cs="Times New Roman"/>
          <w:i/>
          <w:sz w:val="24"/>
          <w:szCs w:val="24"/>
        </w:rPr>
        <w:t>l’histoire</w:t>
      </w:r>
      <w:proofErr w:type="spellEnd"/>
      <w:r w:rsidRPr="00A472FC">
        <w:rPr>
          <w:rFonts w:ascii="Times New Roman" w:hAnsi="Times New Roman" w:cs="Times New Roman"/>
          <w:i/>
          <w:sz w:val="24"/>
          <w:szCs w:val="24"/>
        </w:rPr>
        <w:t xml:space="preserve"> de </w:t>
      </w:r>
      <w:proofErr w:type="spellStart"/>
      <w:r w:rsidRPr="00A472FC">
        <w:rPr>
          <w:rFonts w:ascii="Times New Roman" w:hAnsi="Times New Roman" w:cs="Times New Roman"/>
          <w:i/>
          <w:sz w:val="24"/>
          <w:szCs w:val="24"/>
        </w:rPr>
        <w:t>l’aristotelésme</w:t>
      </w:r>
      <w:proofErr w:type="spellEnd"/>
      <w:r w:rsidRPr="00A472FC">
        <w:rPr>
          <w:rFonts w:ascii="Times New Roman" w:hAnsi="Times New Roman" w:cs="Times New Roman"/>
          <w:sz w:val="24"/>
          <w:szCs w:val="24"/>
        </w:rPr>
        <w:t xml:space="preserve">. </w:t>
      </w:r>
      <w:proofErr w:type="spellStart"/>
      <w:r w:rsidRPr="00A472FC">
        <w:rPr>
          <w:rFonts w:ascii="Times New Roman" w:hAnsi="Times New Roman" w:cs="Times New Roman"/>
          <w:sz w:val="24"/>
          <w:szCs w:val="24"/>
        </w:rPr>
        <w:t>Louvain</w:t>
      </w:r>
      <w:proofErr w:type="spellEnd"/>
      <w:r w:rsidRPr="00A472FC">
        <w:rPr>
          <w:rFonts w:ascii="Times New Roman" w:hAnsi="Times New Roman" w:cs="Times New Roman"/>
          <w:sz w:val="24"/>
          <w:szCs w:val="24"/>
        </w:rPr>
        <w:t xml:space="preserve">: Editions de l’Institut </w:t>
      </w:r>
      <w:proofErr w:type="spellStart"/>
      <w:r w:rsidRPr="00A472FC">
        <w:rPr>
          <w:rFonts w:ascii="Times New Roman" w:hAnsi="Times New Roman" w:cs="Times New Roman"/>
          <w:sz w:val="24"/>
          <w:szCs w:val="24"/>
        </w:rPr>
        <w:t>supérieur</w:t>
      </w:r>
      <w:proofErr w:type="spellEnd"/>
      <w:r w:rsidRPr="00A472FC">
        <w:rPr>
          <w:rFonts w:ascii="Times New Roman" w:hAnsi="Times New Roman" w:cs="Times New Roman"/>
          <w:sz w:val="24"/>
          <w:szCs w:val="24"/>
        </w:rPr>
        <w:t xml:space="preserve"> de Philosophie, 1942.</w:t>
      </w:r>
    </w:p>
    <w:p w14:paraId="79DDDF0E"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proofErr w:type="spellStart"/>
      <w:r w:rsidRPr="00A472FC">
        <w:rPr>
          <w:rFonts w:ascii="Times New Roman" w:hAnsi="Times New Roman" w:cs="Times New Roman"/>
          <w:i/>
          <w:iCs/>
        </w:rPr>
        <w:t>Aristote</w:t>
      </w:r>
      <w:proofErr w:type="spellEnd"/>
      <w:r w:rsidRPr="00A472FC">
        <w:rPr>
          <w:rFonts w:ascii="Times New Roman" w:hAnsi="Times New Roman" w:cs="Times New Roman"/>
          <w:i/>
          <w:iCs/>
        </w:rPr>
        <w:t xml:space="preserve"> en Occident: les origins de </w:t>
      </w:r>
      <w:proofErr w:type="spellStart"/>
      <w:r w:rsidRPr="00A472FC">
        <w:rPr>
          <w:rFonts w:ascii="Times New Roman" w:hAnsi="Times New Roman" w:cs="Times New Roman"/>
          <w:i/>
          <w:iCs/>
        </w:rPr>
        <w:t>l’aristotélisme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parisien</w:t>
      </w:r>
      <w:proofErr w:type="spellEnd"/>
      <w:r w:rsidRPr="00A472FC">
        <w:rPr>
          <w:rFonts w:ascii="Times New Roman" w:hAnsi="Times New Roman" w:cs="Times New Roman"/>
          <w:i/>
          <w:iCs/>
        </w:rPr>
        <w:t>.</w:t>
      </w:r>
      <w:r w:rsidRPr="00A472FC">
        <w:rPr>
          <w:rFonts w:ascii="Times New Roman" w:hAnsi="Times New Roman" w:cs="Times New Roman"/>
        </w:rPr>
        <w:t xml:space="preserve"> Paris: </w:t>
      </w:r>
      <w:proofErr w:type="spellStart"/>
      <w:r w:rsidRPr="00A472FC">
        <w:rPr>
          <w:rFonts w:ascii="Times New Roman" w:hAnsi="Times New Roman" w:cs="Times New Roman"/>
        </w:rPr>
        <w:t>Éditions</w:t>
      </w:r>
      <w:proofErr w:type="spellEnd"/>
      <w:r w:rsidRPr="00A472FC">
        <w:rPr>
          <w:rFonts w:ascii="Times New Roman" w:hAnsi="Times New Roman" w:cs="Times New Roman"/>
        </w:rPr>
        <w:t xml:space="preserve"> de l’Institut superior de philosophie, 1946.</w:t>
      </w:r>
    </w:p>
    <w:p w14:paraId="4FC30835" w14:textId="61EDA8D9"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La philosophie au XIIIe siècle</w:t>
      </w:r>
      <w:r w:rsidR="00734857" w:rsidRPr="00A472FC">
        <w:rPr>
          <w:rFonts w:ascii="Times New Roman" w:hAnsi="Times New Roman" w:cs="Times New Roman"/>
          <w:i/>
          <w:iCs/>
        </w:rPr>
        <w:t xml:space="preserve">: </w:t>
      </w:r>
      <w:r w:rsidRPr="00A472FC">
        <w:rPr>
          <w:rFonts w:ascii="Times New Roman" w:hAnsi="Times New Roman" w:cs="Times New Roman"/>
          <w:i/>
          <w:iCs/>
        </w:rPr>
        <w:t xml:space="preserve"> </w:t>
      </w:r>
      <w:proofErr w:type="spellStart"/>
      <w:r w:rsidR="007638FF" w:rsidRPr="00A472FC">
        <w:rPr>
          <w:rFonts w:ascii="Times New Roman" w:hAnsi="Times New Roman" w:cs="Times New Roman"/>
          <w:i/>
          <w:iCs/>
        </w:rPr>
        <w:t>d</w:t>
      </w:r>
      <w:r w:rsidRPr="00A472FC">
        <w:rPr>
          <w:rFonts w:ascii="Times New Roman" w:hAnsi="Times New Roman" w:cs="Times New Roman"/>
          <w:i/>
          <w:iCs/>
        </w:rPr>
        <w:t>euxième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édition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mise</w:t>
      </w:r>
      <w:proofErr w:type="spellEnd"/>
      <w:r w:rsidRPr="00A472FC">
        <w:rPr>
          <w:rFonts w:ascii="Times New Roman" w:hAnsi="Times New Roman" w:cs="Times New Roman"/>
          <w:i/>
          <w:iCs/>
        </w:rPr>
        <w:t xml:space="preserve"> à jour.</w:t>
      </w:r>
      <w:r w:rsidRPr="00A472FC">
        <w:rPr>
          <w:rFonts w:ascii="Times New Roman" w:hAnsi="Times New Roman" w:cs="Times New Roman"/>
        </w:rPr>
        <w:t xml:space="preserve"> Paris: </w:t>
      </w:r>
      <w:proofErr w:type="spellStart"/>
      <w:r w:rsidRPr="00A472FC">
        <w:rPr>
          <w:rFonts w:ascii="Times New Roman" w:hAnsi="Times New Roman" w:cs="Times New Roman"/>
        </w:rPr>
        <w:t>Béatrice-Nauwelaerts</w:t>
      </w:r>
      <w:proofErr w:type="spellEnd"/>
      <w:r w:rsidRPr="00A472FC">
        <w:rPr>
          <w:rFonts w:ascii="Times New Roman" w:hAnsi="Times New Roman" w:cs="Times New Roman"/>
        </w:rPr>
        <w:t>, 1966.</w:t>
      </w:r>
    </w:p>
    <w:p w14:paraId="4245E317" w14:textId="47344C93" w:rsidR="0070304B" w:rsidRPr="00A472FC" w:rsidRDefault="0070304B"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lang w:val="en-US"/>
        </w:rPr>
        <w:t xml:space="preserve">Die Philosophie </w:t>
      </w:r>
      <w:proofErr w:type="spellStart"/>
      <w:r w:rsidRPr="00A472FC">
        <w:rPr>
          <w:rFonts w:ascii="Times New Roman" w:hAnsi="Times New Roman" w:cs="Times New Roman"/>
          <w:i/>
          <w:iCs/>
          <w:lang w:val="en-US"/>
        </w:rPr>
        <w:t>im</w:t>
      </w:r>
      <w:proofErr w:type="spellEnd"/>
      <w:r w:rsidRPr="00A472FC">
        <w:rPr>
          <w:rFonts w:ascii="Times New Roman" w:hAnsi="Times New Roman" w:cs="Times New Roman"/>
          <w:i/>
          <w:iCs/>
          <w:lang w:val="en-US"/>
        </w:rPr>
        <w:t xml:space="preserve"> 13. </w:t>
      </w:r>
      <w:proofErr w:type="spellStart"/>
      <w:r w:rsidRPr="00A472FC">
        <w:rPr>
          <w:rFonts w:ascii="Times New Roman" w:hAnsi="Times New Roman" w:cs="Times New Roman"/>
          <w:i/>
          <w:iCs/>
          <w:lang w:val="en-US"/>
        </w:rPr>
        <w:t>Jahrhundert</w:t>
      </w:r>
      <w:proofErr w:type="spellEnd"/>
      <w:r w:rsidRPr="00A472FC">
        <w:rPr>
          <w:rFonts w:ascii="Times New Roman" w:hAnsi="Times New Roman" w:cs="Times New Roman"/>
          <w:i/>
          <w:iCs/>
          <w:lang w:val="en-US"/>
        </w:rPr>
        <w:t xml:space="preserve">. </w:t>
      </w:r>
      <w:r w:rsidRPr="00A472FC">
        <w:rPr>
          <w:rFonts w:ascii="Times New Roman" w:hAnsi="Times New Roman" w:cs="Times New Roman"/>
          <w:lang w:val="en-US"/>
        </w:rPr>
        <w:t xml:space="preserve">Munich: F. </w:t>
      </w:r>
      <w:proofErr w:type="spellStart"/>
      <w:r w:rsidRPr="00A472FC">
        <w:rPr>
          <w:rFonts w:ascii="Times New Roman" w:hAnsi="Times New Roman" w:cs="Times New Roman"/>
          <w:lang w:val="en-US"/>
        </w:rPr>
        <w:t>Schöningh</w:t>
      </w:r>
      <w:proofErr w:type="spellEnd"/>
      <w:r w:rsidRPr="00A472FC">
        <w:rPr>
          <w:rFonts w:ascii="Times New Roman" w:hAnsi="Times New Roman" w:cs="Times New Roman"/>
          <w:lang w:val="en-US"/>
        </w:rPr>
        <w:t>, 1977</w:t>
      </w:r>
      <w:r w:rsidR="003F7550" w:rsidRPr="00A472FC">
        <w:rPr>
          <w:rFonts w:ascii="Times New Roman" w:hAnsi="Times New Roman" w:cs="Times New Roman"/>
          <w:lang w:val="en-US"/>
        </w:rPr>
        <w:t>.</w:t>
      </w:r>
    </w:p>
    <w:p w14:paraId="081EB74B"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lang w:val="en-US"/>
        </w:rPr>
        <w:t xml:space="preserve">‘Maître </w:t>
      </w:r>
      <w:proofErr w:type="spellStart"/>
      <w:r w:rsidRPr="00A472FC">
        <w:rPr>
          <w:rFonts w:ascii="Times New Roman" w:hAnsi="Times New Roman" w:cs="Times New Roman"/>
          <w:lang w:val="en-US"/>
        </w:rPr>
        <w:t>Siger</w:t>
      </w:r>
      <w:proofErr w:type="spellEnd"/>
      <w:r w:rsidRPr="00A472FC">
        <w:rPr>
          <w:rFonts w:ascii="Times New Roman" w:hAnsi="Times New Roman" w:cs="Times New Roman"/>
          <w:lang w:val="en-US"/>
        </w:rPr>
        <w:t xml:space="preserve"> de Brabant.’ </w:t>
      </w:r>
      <w:r w:rsidRPr="00A472FC">
        <w:rPr>
          <w:rFonts w:ascii="Times New Roman" w:hAnsi="Times New Roman" w:cs="Times New Roman"/>
          <w:i/>
          <w:iCs/>
          <w:lang w:val="en-US"/>
        </w:rPr>
        <w:t xml:space="preserve">Laval </w:t>
      </w:r>
      <w:proofErr w:type="spellStart"/>
      <w:r w:rsidRPr="00A472FC">
        <w:rPr>
          <w:rFonts w:ascii="Times New Roman" w:hAnsi="Times New Roman" w:cs="Times New Roman"/>
          <w:i/>
          <w:iCs/>
          <w:lang w:val="en-US"/>
        </w:rPr>
        <w:t>théologique</w:t>
      </w:r>
      <w:proofErr w:type="spellEnd"/>
      <w:r w:rsidRPr="00A472FC">
        <w:rPr>
          <w:rFonts w:ascii="Times New Roman" w:hAnsi="Times New Roman" w:cs="Times New Roman"/>
          <w:i/>
          <w:iCs/>
          <w:lang w:val="en-US"/>
        </w:rPr>
        <w:t xml:space="preserve"> et </w:t>
      </w:r>
      <w:proofErr w:type="spellStart"/>
      <w:r w:rsidRPr="00A472FC">
        <w:rPr>
          <w:rFonts w:ascii="Times New Roman" w:hAnsi="Times New Roman" w:cs="Times New Roman"/>
          <w:i/>
          <w:iCs/>
          <w:lang w:val="en-US"/>
        </w:rPr>
        <w:t>philosophique</w:t>
      </w:r>
      <w:proofErr w:type="spellEnd"/>
      <w:r w:rsidRPr="00A472FC">
        <w:rPr>
          <w:rFonts w:ascii="Times New Roman" w:hAnsi="Times New Roman" w:cs="Times New Roman"/>
          <w:i/>
          <w:iCs/>
          <w:lang w:val="en-US"/>
        </w:rPr>
        <w:t xml:space="preserve"> </w:t>
      </w:r>
      <w:r w:rsidRPr="00A472FC">
        <w:rPr>
          <w:rFonts w:ascii="Times New Roman" w:hAnsi="Times New Roman" w:cs="Times New Roman"/>
          <w:lang w:val="en-US"/>
        </w:rPr>
        <w:t>35:1 (1979): 3-112.</w:t>
      </w:r>
    </w:p>
    <w:p w14:paraId="1D6A6A27"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Vaux</w:t>
      </w:r>
      <w:proofErr w:type="spellEnd"/>
      <w:r w:rsidRPr="00A472FC">
        <w:rPr>
          <w:rFonts w:ascii="Times New Roman" w:hAnsi="Times New Roman" w:cs="Times New Roman"/>
        </w:rPr>
        <w:t xml:space="preserve">, Roland de. ‘La première entrée </w:t>
      </w:r>
      <w:proofErr w:type="spellStart"/>
      <w:r w:rsidRPr="00A472FC">
        <w:rPr>
          <w:rFonts w:ascii="Times New Roman" w:hAnsi="Times New Roman" w:cs="Times New Roman"/>
        </w:rPr>
        <w:t>d’Averroës</w:t>
      </w:r>
      <w:proofErr w:type="spellEnd"/>
      <w:r w:rsidRPr="00A472FC">
        <w:rPr>
          <w:rFonts w:ascii="Times New Roman" w:hAnsi="Times New Roman" w:cs="Times New Roman"/>
        </w:rPr>
        <w:t xml:space="preserve"> chez les Latins.’ </w:t>
      </w:r>
      <w:r w:rsidRPr="00A472FC">
        <w:rPr>
          <w:rFonts w:ascii="Times New Roman" w:hAnsi="Times New Roman" w:cs="Times New Roman"/>
          <w:i/>
          <w:iCs/>
        </w:rPr>
        <w:t xml:space="preserve">Revue des sciences </w:t>
      </w:r>
      <w:proofErr w:type="spellStart"/>
      <w:r w:rsidRPr="00A472FC">
        <w:rPr>
          <w:rFonts w:ascii="Times New Roman" w:hAnsi="Times New Roman" w:cs="Times New Roman"/>
          <w:i/>
          <w:iCs/>
        </w:rPr>
        <w:t>philosophiques</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théologiques</w:t>
      </w:r>
      <w:proofErr w:type="spellEnd"/>
      <w:r w:rsidRPr="00A472FC">
        <w:rPr>
          <w:rFonts w:ascii="Times New Roman" w:hAnsi="Times New Roman" w:cs="Times New Roman"/>
          <w:i/>
          <w:iCs/>
        </w:rPr>
        <w:t xml:space="preserve"> </w:t>
      </w:r>
      <w:r w:rsidRPr="00A472FC">
        <w:rPr>
          <w:rFonts w:ascii="Times New Roman" w:hAnsi="Times New Roman" w:cs="Times New Roman"/>
        </w:rPr>
        <w:t>22 (1933): 193-245.</w:t>
      </w:r>
    </w:p>
    <w:p w14:paraId="16770C99" w14:textId="311141D2"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‘Y-a-til eu un </w:t>
      </w:r>
      <w:proofErr w:type="spellStart"/>
      <w:r w:rsidRPr="00A472FC">
        <w:rPr>
          <w:rFonts w:ascii="Times New Roman" w:hAnsi="Times New Roman" w:cs="Times New Roman"/>
        </w:rPr>
        <w:t>Avicennisme</w:t>
      </w:r>
      <w:proofErr w:type="spellEnd"/>
      <w:r w:rsidRPr="00A472FC">
        <w:rPr>
          <w:rFonts w:ascii="Times New Roman" w:hAnsi="Times New Roman" w:cs="Times New Roman"/>
        </w:rPr>
        <w:t xml:space="preserve"> Latin?’ In </w:t>
      </w:r>
      <w:r w:rsidRPr="00A472FC">
        <w:rPr>
          <w:rFonts w:ascii="Times New Roman" w:hAnsi="Times New Roman" w:cs="Times New Roman"/>
          <w:i/>
          <w:iCs/>
        </w:rPr>
        <w:t xml:space="preserve">Notes et </w:t>
      </w:r>
      <w:proofErr w:type="spellStart"/>
      <w:r w:rsidRPr="00A472FC">
        <w:rPr>
          <w:rFonts w:ascii="Times New Roman" w:hAnsi="Times New Roman" w:cs="Times New Roman"/>
          <w:i/>
          <w:iCs/>
        </w:rPr>
        <w:t>textes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sur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l'avicennisme</w:t>
      </w:r>
      <w:proofErr w:type="spellEnd"/>
      <w:r w:rsidRPr="00A472FC">
        <w:rPr>
          <w:rFonts w:ascii="Times New Roman" w:hAnsi="Times New Roman" w:cs="Times New Roman"/>
          <w:i/>
          <w:iCs/>
        </w:rPr>
        <w:t xml:space="preserve"> latin aux </w:t>
      </w:r>
      <w:proofErr w:type="spellStart"/>
      <w:r w:rsidRPr="00A472FC">
        <w:rPr>
          <w:rFonts w:ascii="Times New Roman" w:hAnsi="Times New Roman" w:cs="Times New Roman"/>
          <w:i/>
          <w:iCs/>
        </w:rPr>
        <w:t>confins</w:t>
      </w:r>
      <w:proofErr w:type="spellEnd"/>
      <w:r w:rsidRPr="00A472FC">
        <w:rPr>
          <w:rFonts w:ascii="Times New Roman" w:hAnsi="Times New Roman" w:cs="Times New Roman"/>
          <w:i/>
          <w:iCs/>
        </w:rPr>
        <w:t xml:space="preserve"> des XIIe-XIIIe </w:t>
      </w:r>
      <w:proofErr w:type="spellStart"/>
      <w:r w:rsidRPr="00A472FC">
        <w:rPr>
          <w:rFonts w:ascii="Times New Roman" w:hAnsi="Times New Roman" w:cs="Times New Roman"/>
          <w:i/>
          <w:iCs/>
        </w:rPr>
        <w:t>siècles</w:t>
      </w:r>
      <w:proofErr w:type="spellEnd"/>
      <w:r w:rsidRPr="00A472FC">
        <w:rPr>
          <w:rFonts w:ascii="Times New Roman" w:hAnsi="Times New Roman" w:cs="Times New Roman"/>
        </w:rPr>
        <w:t xml:space="preserve">, 9-15. Paris: </w:t>
      </w:r>
      <w:proofErr w:type="spellStart"/>
      <w:r w:rsidRPr="00A472FC">
        <w:rPr>
          <w:rFonts w:ascii="Times New Roman" w:hAnsi="Times New Roman" w:cs="Times New Roman"/>
        </w:rPr>
        <w:t>Vrin</w:t>
      </w:r>
      <w:proofErr w:type="spellEnd"/>
      <w:r w:rsidRPr="00A472FC">
        <w:rPr>
          <w:rFonts w:ascii="Times New Roman" w:hAnsi="Times New Roman" w:cs="Times New Roman"/>
        </w:rPr>
        <w:t>, 1934.</w:t>
      </w:r>
    </w:p>
    <w:p w14:paraId="702B066C" w14:textId="7E16DFD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Vecchio, Silvana. ‘Passions de </w:t>
      </w:r>
      <w:proofErr w:type="spellStart"/>
      <w:r w:rsidRPr="00A472FC">
        <w:rPr>
          <w:rFonts w:ascii="Times New Roman" w:hAnsi="Times New Roman" w:cs="Times New Roman"/>
        </w:rPr>
        <w:t>l’âme</w:t>
      </w:r>
      <w:proofErr w:type="spellEnd"/>
      <w:r w:rsidRPr="00A472FC">
        <w:rPr>
          <w:rFonts w:ascii="Times New Roman" w:hAnsi="Times New Roman" w:cs="Times New Roman"/>
        </w:rPr>
        <w:t xml:space="preserve"> et </w:t>
      </w:r>
      <w:proofErr w:type="spellStart"/>
      <w:r w:rsidRPr="00A472FC">
        <w:rPr>
          <w:rFonts w:ascii="Times New Roman" w:hAnsi="Times New Roman" w:cs="Times New Roman"/>
        </w:rPr>
        <w:t>péchés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capitaux</w:t>
      </w:r>
      <w:proofErr w:type="spellEnd"/>
      <w:r w:rsidRPr="00A472FC">
        <w:rPr>
          <w:rFonts w:ascii="Times New Roman" w:hAnsi="Times New Roman" w:cs="Times New Roman"/>
        </w:rPr>
        <w:t xml:space="preserve">: les </w:t>
      </w:r>
      <w:proofErr w:type="spellStart"/>
      <w:r w:rsidRPr="00A472FC">
        <w:rPr>
          <w:rFonts w:ascii="Times New Roman" w:hAnsi="Times New Roman" w:cs="Times New Roman"/>
        </w:rPr>
        <w:t>ambigüités</w:t>
      </w:r>
      <w:proofErr w:type="spellEnd"/>
      <w:r w:rsidRPr="00A472FC">
        <w:rPr>
          <w:rFonts w:ascii="Times New Roman" w:hAnsi="Times New Roman" w:cs="Times New Roman"/>
        </w:rPr>
        <w:t xml:space="preserve"> de la culture </w:t>
      </w:r>
      <w:proofErr w:type="spellStart"/>
      <w:r w:rsidRPr="00A472FC">
        <w:rPr>
          <w:rFonts w:ascii="Times New Roman" w:hAnsi="Times New Roman" w:cs="Times New Roman"/>
        </w:rPr>
        <w:t>médiévale</w:t>
      </w:r>
      <w:proofErr w:type="spellEnd"/>
      <w:r w:rsidRPr="00A472FC">
        <w:rPr>
          <w:rFonts w:ascii="Times New Roman" w:hAnsi="Times New Roman" w:cs="Times New Roman"/>
        </w:rPr>
        <w:t xml:space="preserve">.’ In </w:t>
      </w:r>
      <w:r w:rsidRPr="00A472FC">
        <w:rPr>
          <w:rFonts w:ascii="Times New Roman" w:hAnsi="Times New Roman" w:cs="Times New Roman"/>
          <w:i/>
          <w:iCs/>
        </w:rPr>
        <w:t xml:space="preserve">Laster </w:t>
      </w:r>
      <w:proofErr w:type="spellStart"/>
      <w:r w:rsidRPr="00A472FC">
        <w:rPr>
          <w:rFonts w:ascii="Times New Roman" w:hAnsi="Times New Roman" w:cs="Times New Roman"/>
          <w:i/>
          <w:iCs/>
        </w:rPr>
        <w:t>im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Mittelalter</w:t>
      </w:r>
      <w:proofErr w:type="spellEnd"/>
      <w:r w:rsidRPr="00A472FC">
        <w:rPr>
          <w:rFonts w:ascii="Times New Roman" w:hAnsi="Times New Roman" w:cs="Times New Roman"/>
          <w:i/>
          <w:iCs/>
        </w:rPr>
        <w:t xml:space="preserve"> /</w:t>
      </w:r>
      <w:r w:rsidR="00051805" w:rsidRPr="00A472FC">
        <w:rPr>
          <w:rFonts w:ascii="Times New Roman" w:hAnsi="Times New Roman" w:cs="Times New Roman"/>
          <w:i/>
          <w:iCs/>
        </w:rPr>
        <w:t xml:space="preserve"> </w:t>
      </w:r>
      <w:r w:rsidRPr="00A472FC">
        <w:rPr>
          <w:rFonts w:ascii="Times New Roman" w:hAnsi="Times New Roman" w:cs="Times New Roman"/>
          <w:i/>
          <w:iCs/>
        </w:rPr>
        <w:t>Vices in the Middle Ages</w:t>
      </w:r>
      <w:r w:rsidRPr="00A472FC">
        <w:rPr>
          <w:rFonts w:ascii="Times New Roman" w:hAnsi="Times New Roman" w:cs="Times New Roman"/>
        </w:rPr>
        <w:t xml:space="preserve">. Edited by Christof </w:t>
      </w:r>
      <w:proofErr w:type="spellStart"/>
      <w:r w:rsidRPr="00A472FC">
        <w:rPr>
          <w:rFonts w:ascii="Times New Roman" w:hAnsi="Times New Roman" w:cs="Times New Roman"/>
        </w:rPr>
        <w:t>Flueler</w:t>
      </w:r>
      <w:proofErr w:type="spellEnd"/>
      <w:r w:rsidRPr="00A472FC">
        <w:rPr>
          <w:rFonts w:ascii="Times New Roman" w:hAnsi="Times New Roman" w:cs="Times New Roman"/>
        </w:rPr>
        <w:t xml:space="preserve"> and Martin </w:t>
      </w:r>
      <w:proofErr w:type="spellStart"/>
      <w:r w:rsidRPr="00A472FC">
        <w:rPr>
          <w:rFonts w:ascii="Times New Roman" w:hAnsi="Times New Roman" w:cs="Times New Roman"/>
        </w:rPr>
        <w:t>Rohde</w:t>
      </w:r>
      <w:proofErr w:type="spellEnd"/>
      <w:r w:rsidRPr="00A472FC">
        <w:rPr>
          <w:rFonts w:ascii="Times New Roman" w:hAnsi="Times New Roman" w:cs="Times New Roman"/>
        </w:rPr>
        <w:t>, 45-64. Berlin and New York: De Gruyter, 2009.</w:t>
      </w:r>
    </w:p>
    <w:p w14:paraId="3DA249F5" w14:textId="3B3CDE92"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‘Passions et </w:t>
      </w:r>
      <w:proofErr w:type="spellStart"/>
      <w:r w:rsidRPr="00A472FC">
        <w:rPr>
          <w:rFonts w:ascii="Times New Roman" w:hAnsi="Times New Roman" w:cs="Times New Roman"/>
        </w:rPr>
        <w:t>vertus</w:t>
      </w:r>
      <w:proofErr w:type="spellEnd"/>
      <w:r w:rsidRPr="00A472FC">
        <w:rPr>
          <w:rFonts w:ascii="Times New Roman" w:hAnsi="Times New Roman" w:cs="Times New Roman"/>
        </w:rPr>
        <w:t xml:space="preserve"> dans la </w:t>
      </w:r>
      <w:r w:rsidRPr="00A472FC">
        <w:rPr>
          <w:rFonts w:ascii="Times New Roman" w:hAnsi="Times New Roman" w:cs="Times New Roman"/>
          <w:i/>
          <w:iCs/>
        </w:rPr>
        <w:t>Summa de bono</w:t>
      </w:r>
      <w:r w:rsidRPr="00A472FC">
        <w:rPr>
          <w:rFonts w:ascii="Times New Roman" w:hAnsi="Times New Roman" w:cs="Times New Roman"/>
        </w:rPr>
        <w:t xml:space="preserve">.’ In </w:t>
      </w:r>
      <w:r w:rsidRPr="00A472FC">
        <w:rPr>
          <w:rFonts w:ascii="Times New Roman" w:hAnsi="Times New Roman" w:cs="Times New Roman"/>
          <w:i/>
          <w:iCs/>
        </w:rPr>
        <w:t xml:space="preserve">Philippe le </w:t>
      </w:r>
      <w:proofErr w:type="spellStart"/>
      <w:r w:rsidRPr="00A472FC">
        <w:rPr>
          <w:rFonts w:ascii="Times New Roman" w:hAnsi="Times New Roman" w:cs="Times New Roman"/>
          <w:i/>
          <w:iCs/>
        </w:rPr>
        <w:t>Chancelier</w:t>
      </w:r>
      <w:proofErr w:type="spellEnd"/>
      <w:r w:rsidR="00DE2198" w:rsidRPr="00A472FC">
        <w:rPr>
          <w:rFonts w:ascii="Times New Roman" w:hAnsi="Times New Roman" w:cs="Times New Roman"/>
          <w:i/>
          <w:iCs/>
        </w:rPr>
        <w:t>,</w:t>
      </w:r>
      <w:r w:rsidRPr="00A472FC">
        <w:rPr>
          <w:rFonts w:ascii="Times New Roman" w:hAnsi="Times New Roman" w:cs="Times New Roman"/>
          <w:i/>
          <w:iCs/>
        </w:rPr>
        <w:t xml:space="preserve"> </w:t>
      </w:r>
      <w:proofErr w:type="spellStart"/>
      <w:r w:rsidRPr="00A472FC">
        <w:rPr>
          <w:rFonts w:ascii="Times New Roman" w:hAnsi="Times New Roman" w:cs="Times New Roman"/>
          <w:i/>
          <w:iCs/>
        </w:rPr>
        <w:t>prédicateur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théologien</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poète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parisien</w:t>
      </w:r>
      <w:proofErr w:type="spellEnd"/>
      <w:r w:rsidRPr="00A472FC">
        <w:rPr>
          <w:rFonts w:ascii="Times New Roman" w:hAnsi="Times New Roman" w:cs="Times New Roman"/>
          <w:i/>
          <w:iCs/>
        </w:rPr>
        <w:t xml:space="preserve"> du début du XIIIe siècle</w:t>
      </w:r>
      <w:r w:rsidRPr="00A472FC">
        <w:rPr>
          <w:rFonts w:ascii="Times New Roman" w:hAnsi="Times New Roman" w:cs="Times New Roman"/>
        </w:rPr>
        <w:t xml:space="preserve">. Edited by Gilbert </w:t>
      </w:r>
      <w:proofErr w:type="spellStart"/>
      <w:r w:rsidRPr="00A472FC">
        <w:rPr>
          <w:rFonts w:ascii="Times New Roman" w:hAnsi="Times New Roman" w:cs="Times New Roman"/>
        </w:rPr>
        <w:t>Dahan</w:t>
      </w:r>
      <w:proofErr w:type="spellEnd"/>
      <w:r w:rsidRPr="00A472FC">
        <w:rPr>
          <w:rFonts w:ascii="Times New Roman" w:hAnsi="Times New Roman" w:cs="Times New Roman"/>
        </w:rPr>
        <w:t xml:space="preserve"> and Anne Zoe </w:t>
      </w:r>
      <w:proofErr w:type="spellStart"/>
      <w:r w:rsidRPr="00A472FC">
        <w:rPr>
          <w:rFonts w:ascii="Times New Roman" w:hAnsi="Times New Roman" w:cs="Times New Roman"/>
        </w:rPr>
        <w:t>Rillon-Marne</w:t>
      </w:r>
      <w:proofErr w:type="spellEnd"/>
      <w:r w:rsidRPr="00A472FC">
        <w:rPr>
          <w:rFonts w:ascii="Times New Roman" w:hAnsi="Times New Roman" w:cs="Times New Roman"/>
        </w:rPr>
        <w:t xml:space="preserve">, 169-83.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2017.</w:t>
      </w:r>
    </w:p>
    <w:p w14:paraId="15FC0510"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‘Passions and Sins: The </w:t>
      </w:r>
      <w:r w:rsidRPr="00A472FC">
        <w:rPr>
          <w:rFonts w:ascii="Times New Roman" w:hAnsi="Times New Roman" w:cs="Times New Roman"/>
          <w:i/>
        </w:rPr>
        <w:t xml:space="preserve">Summa </w:t>
      </w:r>
      <w:proofErr w:type="spellStart"/>
      <w:r w:rsidRPr="00A472FC">
        <w:rPr>
          <w:rFonts w:ascii="Times New Roman" w:hAnsi="Times New Roman" w:cs="Times New Roman"/>
          <w:i/>
        </w:rPr>
        <w:t>Halensis</w:t>
      </w:r>
      <w:proofErr w:type="spellEnd"/>
      <w:r w:rsidRPr="00A472FC">
        <w:rPr>
          <w:rFonts w:ascii="Times New Roman" w:hAnsi="Times New Roman" w:cs="Times New Roman"/>
        </w:rPr>
        <w:t xml:space="preserve"> and John of La Rochelle.’ In </w:t>
      </w:r>
      <w:r w:rsidRPr="00A472FC">
        <w:rPr>
          <w:rFonts w:ascii="Times New Roman" w:hAnsi="Times New Roman" w:cs="Times New Roman"/>
          <w:i/>
          <w:iCs/>
        </w:rPr>
        <w:t xml:space="preserve">The 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i/>
          <w:iCs/>
        </w:rPr>
        <w:t>: Doctrines and Debates</w:t>
      </w:r>
      <w:r w:rsidRPr="00A472FC">
        <w:rPr>
          <w:rFonts w:ascii="Times New Roman" w:hAnsi="Times New Roman" w:cs="Times New Roman"/>
        </w:rPr>
        <w:t>. Edited by Lydia Schumacher. Leiden: Brill, 2020.</w:t>
      </w:r>
    </w:p>
    <w:p w14:paraId="005AEE1D" w14:textId="610A4D2D"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Verger, Jacques. ‘</w:t>
      </w:r>
      <w:proofErr w:type="spellStart"/>
      <w:r w:rsidRPr="00A472FC">
        <w:rPr>
          <w:rFonts w:ascii="Times New Roman" w:hAnsi="Times New Roman" w:cs="Times New Roman"/>
        </w:rPr>
        <w:t>Hugues</w:t>
      </w:r>
      <w:proofErr w:type="spellEnd"/>
      <w:r w:rsidRPr="00A472FC">
        <w:rPr>
          <w:rFonts w:ascii="Times New Roman" w:hAnsi="Times New Roman" w:cs="Times New Roman"/>
        </w:rPr>
        <w:t xml:space="preserve"> de Saint-Cher dans le context </w:t>
      </w:r>
      <w:proofErr w:type="spellStart"/>
      <w:r w:rsidRPr="00A472FC">
        <w:rPr>
          <w:rFonts w:ascii="Times New Roman" w:hAnsi="Times New Roman" w:cs="Times New Roman"/>
        </w:rPr>
        <w:t>universitaire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Parisien</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i/>
          <w:iCs/>
        </w:rPr>
        <w:t>Hugues</w:t>
      </w:r>
      <w:proofErr w:type="spellEnd"/>
      <w:r w:rsidRPr="00A472FC">
        <w:rPr>
          <w:rFonts w:ascii="Times New Roman" w:hAnsi="Times New Roman" w:cs="Times New Roman"/>
          <w:i/>
          <w:iCs/>
        </w:rPr>
        <w:t xml:space="preserve"> de Saint-Cher (d. 1263)</w:t>
      </w:r>
      <w:r w:rsidR="001403DC" w:rsidRPr="00A472FC">
        <w:rPr>
          <w:rFonts w:ascii="Times New Roman" w:hAnsi="Times New Roman" w:cs="Times New Roman"/>
          <w:i/>
          <w:iCs/>
        </w:rPr>
        <w:t>:</w:t>
      </w:r>
      <w:r w:rsidRPr="00A472FC">
        <w:rPr>
          <w:rFonts w:ascii="Times New Roman" w:hAnsi="Times New Roman" w:cs="Times New Roman"/>
          <w:i/>
          <w:iCs/>
        </w:rPr>
        <w:t xml:space="preserve"> </w:t>
      </w:r>
      <w:proofErr w:type="spellStart"/>
      <w:r w:rsidRPr="00A472FC">
        <w:rPr>
          <w:rFonts w:ascii="Times New Roman" w:hAnsi="Times New Roman" w:cs="Times New Roman"/>
          <w:i/>
          <w:iCs/>
        </w:rPr>
        <w:t>bibliste</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théologien</w:t>
      </w:r>
      <w:proofErr w:type="spellEnd"/>
      <w:r w:rsidRPr="00A472FC">
        <w:rPr>
          <w:rFonts w:ascii="Times New Roman" w:hAnsi="Times New Roman" w:cs="Times New Roman"/>
        </w:rPr>
        <w:t xml:space="preserve">. Edited by Louis J. </w:t>
      </w:r>
      <w:proofErr w:type="spellStart"/>
      <w:r w:rsidRPr="00A472FC">
        <w:rPr>
          <w:rFonts w:ascii="Times New Roman" w:hAnsi="Times New Roman" w:cs="Times New Roman"/>
        </w:rPr>
        <w:t>Bataillon</w:t>
      </w:r>
      <w:proofErr w:type="spellEnd"/>
      <w:r w:rsidRPr="00A472FC">
        <w:rPr>
          <w:rFonts w:ascii="Times New Roman" w:hAnsi="Times New Roman" w:cs="Times New Roman"/>
        </w:rPr>
        <w:t xml:space="preserve">, Gilbert </w:t>
      </w:r>
      <w:proofErr w:type="spellStart"/>
      <w:r w:rsidRPr="00A472FC">
        <w:rPr>
          <w:rFonts w:ascii="Times New Roman" w:hAnsi="Times New Roman" w:cs="Times New Roman"/>
        </w:rPr>
        <w:t>Dahan</w:t>
      </w:r>
      <w:proofErr w:type="spellEnd"/>
      <w:r w:rsidRPr="00A472FC">
        <w:rPr>
          <w:rFonts w:ascii="Times New Roman" w:hAnsi="Times New Roman" w:cs="Times New Roman"/>
        </w:rPr>
        <w:t xml:space="preserve"> and Pierre-Marie Gy, 13-22.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2004.</w:t>
      </w:r>
    </w:p>
    <w:p w14:paraId="3B6D83F6" w14:textId="633FB334"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Vogt, Ber</w:t>
      </w:r>
      <w:r w:rsidR="001403DC" w:rsidRPr="00A472FC">
        <w:rPr>
          <w:rFonts w:ascii="Times New Roman" w:hAnsi="Times New Roman" w:cs="Times New Roman"/>
        </w:rPr>
        <w:t>n</w:t>
      </w:r>
      <w:r w:rsidRPr="00A472FC">
        <w:rPr>
          <w:rFonts w:ascii="Times New Roman" w:hAnsi="Times New Roman" w:cs="Times New Roman"/>
        </w:rPr>
        <w:t xml:space="preserve">ard. ‘Der </w:t>
      </w:r>
      <w:proofErr w:type="spellStart"/>
      <w:r w:rsidRPr="00A472FC">
        <w:rPr>
          <w:rFonts w:ascii="Times New Roman" w:hAnsi="Times New Roman" w:cs="Times New Roman"/>
        </w:rPr>
        <w:t>Ursprung</w:t>
      </w:r>
      <w:proofErr w:type="spellEnd"/>
      <w:r w:rsidRPr="00A472FC">
        <w:rPr>
          <w:rFonts w:ascii="Times New Roman" w:hAnsi="Times New Roman" w:cs="Times New Roman"/>
        </w:rPr>
        <w:t xml:space="preserve"> und die </w:t>
      </w:r>
      <w:proofErr w:type="spellStart"/>
      <w:r w:rsidRPr="00A472FC">
        <w:rPr>
          <w:rFonts w:ascii="Times New Roman" w:hAnsi="Times New Roman" w:cs="Times New Roman"/>
        </w:rPr>
        <w:t>Entwicklung</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Franziskanerschule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iCs/>
        </w:rPr>
        <w:t>Franziskanische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Studien</w:t>
      </w:r>
      <w:proofErr w:type="spellEnd"/>
      <w:r w:rsidRPr="00A472FC">
        <w:rPr>
          <w:rFonts w:ascii="Times New Roman" w:hAnsi="Times New Roman" w:cs="Times New Roman"/>
          <w:i/>
          <w:iCs/>
        </w:rPr>
        <w:t xml:space="preserve"> </w:t>
      </w:r>
      <w:r w:rsidRPr="00A472FC">
        <w:rPr>
          <w:rFonts w:ascii="Times New Roman" w:hAnsi="Times New Roman" w:cs="Times New Roman"/>
        </w:rPr>
        <w:t>9 (1922): 137-57.</w:t>
      </w:r>
    </w:p>
    <w:p w14:paraId="54DFDC6D" w14:textId="0A1E98C3" w:rsidR="00814CEA" w:rsidRPr="00A472FC" w:rsidRDefault="00814CEA"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Wei, Ian P. </w:t>
      </w:r>
      <w:r w:rsidRPr="00A472FC">
        <w:rPr>
          <w:rFonts w:ascii="Times New Roman" w:hAnsi="Times New Roman" w:cs="Times New Roman"/>
          <w:i/>
          <w:iCs/>
        </w:rPr>
        <w:t xml:space="preserve">Intellectual Culture in Medieval Paris: Theologians and the University c. 1100-1330. </w:t>
      </w:r>
      <w:proofErr w:type="spellStart"/>
      <w:r w:rsidRPr="00A472FC">
        <w:rPr>
          <w:rFonts w:ascii="Times New Roman" w:hAnsi="Times New Roman" w:cs="Times New Roman"/>
        </w:rPr>
        <w:t>Cambrdige</w:t>
      </w:r>
      <w:proofErr w:type="spellEnd"/>
      <w:r w:rsidRPr="00A472FC">
        <w:rPr>
          <w:rFonts w:ascii="Times New Roman" w:hAnsi="Times New Roman" w:cs="Times New Roman"/>
        </w:rPr>
        <w:t xml:space="preserve">: Cambridge University Press, 2012. </w:t>
      </w:r>
    </w:p>
    <w:p w14:paraId="52D71B53" w14:textId="15C2F25F" w:rsidR="00BB6F2A" w:rsidRPr="00A472FC" w:rsidRDefault="00BB6F2A"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 xml:space="preserve">Thinking about Animals in Thirteenth-Century Paris: Theologians on the Boundary Between Humans and Animals. </w:t>
      </w:r>
      <w:r w:rsidRPr="00A472FC">
        <w:rPr>
          <w:rFonts w:ascii="Times New Roman" w:hAnsi="Times New Roman" w:cs="Times New Roman"/>
        </w:rPr>
        <w:t xml:space="preserve">Cambridge: Cambridge University Press, 2020. </w:t>
      </w:r>
    </w:p>
    <w:p w14:paraId="736C3B66"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Weisheipl</w:t>
      </w:r>
      <w:proofErr w:type="spellEnd"/>
      <w:r w:rsidRPr="00A472FC">
        <w:rPr>
          <w:rFonts w:ascii="Times New Roman" w:hAnsi="Times New Roman" w:cs="Times New Roman"/>
        </w:rPr>
        <w:t>, James A. ‘</w:t>
      </w:r>
      <w:proofErr w:type="spellStart"/>
      <w:r w:rsidRPr="00A472FC">
        <w:rPr>
          <w:rFonts w:ascii="Times New Roman" w:hAnsi="Times New Roman" w:cs="Times New Roman"/>
        </w:rPr>
        <w:t>Albertus</w:t>
      </w:r>
      <w:proofErr w:type="spellEnd"/>
      <w:r w:rsidRPr="00A472FC">
        <w:rPr>
          <w:rFonts w:ascii="Times New Roman" w:hAnsi="Times New Roman" w:cs="Times New Roman"/>
        </w:rPr>
        <w:t xml:space="preserve"> Magnus and Universal Hylomorphism: </w:t>
      </w:r>
      <w:proofErr w:type="spellStart"/>
      <w:r w:rsidRPr="00A472FC">
        <w:rPr>
          <w:rFonts w:ascii="Times New Roman" w:hAnsi="Times New Roman" w:cs="Times New Roman"/>
        </w:rPr>
        <w:t>Avicebron</w:t>
      </w:r>
      <w:proofErr w:type="spellEnd"/>
      <w:r w:rsidRPr="00A472FC">
        <w:rPr>
          <w:rFonts w:ascii="Times New Roman" w:hAnsi="Times New Roman" w:cs="Times New Roman"/>
        </w:rPr>
        <w:t xml:space="preserve">—A Note on Thirteenth-Century </w:t>
      </w:r>
      <w:proofErr w:type="spellStart"/>
      <w:r w:rsidRPr="00A472FC">
        <w:rPr>
          <w:rFonts w:ascii="Times New Roman" w:hAnsi="Times New Roman" w:cs="Times New Roman"/>
        </w:rPr>
        <w:t>Augustinianism</w:t>
      </w:r>
      <w:proofErr w:type="spellEnd"/>
      <w:r w:rsidRPr="00A472FC">
        <w:rPr>
          <w:rFonts w:ascii="Times New Roman" w:hAnsi="Times New Roman" w:cs="Times New Roman"/>
        </w:rPr>
        <w:t xml:space="preserve">.’ In </w:t>
      </w:r>
      <w:r w:rsidRPr="00A472FC">
        <w:rPr>
          <w:rFonts w:ascii="Times New Roman" w:hAnsi="Times New Roman" w:cs="Times New Roman"/>
          <w:i/>
          <w:iCs/>
        </w:rPr>
        <w:t>Albert the Great: Commemorative Essays</w:t>
      </w:r>
      <w:r w:rsidRPr="00A472FC">
        <w:rPr>
          <w:rFonts w:ascii="Times New Roman" w:hAnsi="Times New Roman" w:cs="Times New Roman"/>
        </w:rPr>
        <w:t xml:space="preserve">. Edited by Francis J. </w:t>
      </w:r>
      <w:proofErr w:type="spellStart"/>
      <w:r w:rsidRPr="00A472FC">
        <w:rPr>
          <w:rFonts w:ascii="Times New Roman" w:hAnsi="Times New Roman" w:cs="Times New Roman"/>
        </w:rPr>
        <w:t>Kovach</w:t>
      </w:r>
      <w:proofErr w:type="spellEnd"/>
      <w:r w:rsidRPr="00A472FC">
        <w:rPr>
          <w:rFonts w:ascii="Times New Roman" w:hAnsi="Times New Roman" w:cs="Times New Roman"/>
        </w:rPr>
        <w:t xml:space="preserve"> and Robert W. </w:t>
      </w:r>
      <w:proofErr w:type="spellStart"/>
      <w:r w:rsidRPr="00A472FC">
        <w:rPr>
          <w:rFonts w:ascii="Times New Roman" w:hAnsi="Times New Roman" w:cs="Times New Roman"/>
        </w:rPr>
        <w:t>Shahan</w:t>
      </w:r>
      <w:proofErr w:type="spellEnd"/>
      <w:r w:rsidRPr="00A472FC">
        <w:rPr>
          <w:rFonts w:ascii="Times New Roman" w:hAnsi="Times New Roman" w:cs="Times New Roman"/>
        </w:rPr>
        <w:t>, 239-60. Norman: University of Oklahoma Press, 1980.</w:t>
      </w:r>
    </w:p>
    <w:p w14:paraId="1A2FA7C7"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Wicki</w:t>
      </w:r>
      <w:proofErr w:type="spellEnd"/>
      <w:r w:rsidRPr="00A472FC">
        <w:rPr>
          <w:rFonts w:ascii="Times New Roman" w:hAnsi="Times New Roman" w:cs="Times New Roman"/>
        </w:rPr>
        <w:t xml:space="preserve">, Nikolaus. ‘Die </w:t>
      </w:r>
      <w:proofErr w:type="spellStart"/>
      <w:r w:rsidRPr="00A472FC">
        <w:rPr>
          <w:rFonts w:ascii="Times New Roman" w:hAnsi="Times New Roman" w:cs="Times New Roman"/>
        </w:rPr>
        <w:t>intellectus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agens-Lehre</w:t>
      </w:r>
      <w:proofErr w:type="spellEnd"/>
      <w:r w:rsidRPr="00A472FC">
        <w:rPr>
          <w:rFonts w:ascii="Times New Roman" w:hAnsi="Times New Roman" w:cs="Times New Roman"/>
        </w:rPr>
        <w:t xml:space="preserve"> Philipps des </w:t>
      </w:r>
      <w:proofErr w:type="spellStart"/>
      <w:r w:rsidRPr="00A472FC">
        <w:rPr>
          <w:rFonts w:ascii="Times New Roman" w:hAnsi="Times New Roman" w:cs="Times New Roman"/>
        </w:rPr>
        <w:t>Kanzlers</w:t>
      </w:r>
      <w:proofErr w:type="spellEnd"/>
      <w:r w:rsidRPr="00A472FC">
        <w:rPr>
          <w:rFonts w:ascii="Times New Roman" w:hAnsi="Times New Roman" w:cs="Times New Roman"/>
        </w:rPr>
        <w:t xml:space="preserve"> (d. 1236).’ In </w:t>
      </w:r>
      <w:r w:rsidRPr="00A472FC">
        <w:rPr>
          <w:rFonts w:ascii="Times New Roman" w:hAnsi="Times New Roman" w:cs="Times New Roman"/>
          <w:i/>
          <w:iCs/>
        </w:rPr>
        <w:t xml:space="preserve">Festschrift </w:t>
      </w:r>
      <w:proofErr w:type="spellStart"/>
      <w:r w:rsidRPr="00A472FC">
        <w:rPr>
          <w:rFonts w:ascii="Times New Roman" w:hAnsi="Times New Roman" w:cs="Times New Roman"/>
          <w:i/>
          <w:iCs/>
        </w:rPr>
        <w:t>für</w:t>
      </w:r>
      <w:proofErr w:type="spellEnd"/>
      <w:r w:rsidRPr="00A472FC">
        <w:rPr>
          <w:rFonts w:ascii="Times New Roman" w:hAnsi="Times New Roman" w:cs="Times New Roman"/>
          <w:i/>
          <w:iCs/>
        </w:rPr>
        <w:t xml:space="preserve"> Martin Anton Schmidt</w:t>
      </w:r>
      <w:r w:rsidRPr="00A472FC">
        <w:rPr>
          <w:rFonts w:ascii="Times New Roman" w:hAnsi="Times New Roman" w:cs="Times New Roman"/>
        </w:rPr>
        <w:t>, 160-74. Basel: Friedrich Reinhardt, 1989.</w:t>
      </w:r>
    </w:p>
    <w:p w14:paraId="31442A2D" w14:textId="049DC5ED"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w:t>
      </w:r>
      <w:r w:rsidRPr="00A472FC">
        <w:rPr>
          <w:rFonts w:ascii="Times New Roman" w:hAnsi="Times New Roman" w:cs="Times New Roman"/>
          <w:i/>
          <w:iCs/>
        </w:rPr>
        <w:t xml:space="preserve">Die Philosophie Philipps des </w:t>
      </w:r>
      <w:proofErr w:type="spellStart"/>
      <w:r w:rsidRPr="00A472FC">
        <w:rPr>
          <w:rFonts w:ascii="Times New Roman" w:hAnsi="Times New Roman" w:cs="Times New Roman"/>
          <w:i/>
          <w:iCs/>
        </w:rPr>
        <w:t>Kanzlers</w:t>
      </w:r>
      <w:proofErr w:type="spellEnd"/>
      <w:r w:rsidRPr="00A472FC">
        <w:rPr>
          <w:rFonts w:ascii="Times New Roman" w:hAnsi="Times New Roman" w:cs="Times New Roman"/>
          <w:i/>
          <w:iCs/>
        </w:rPr>
        <w:t xml:space="preserve">: </w:t>
      </w:r>
      <w:proofErr w:type="spellStart"/>
      <w:r w:rsidR="001403DC" w:rsidRPr="00A472FC">
        <w:rPr>
          <w:rFonts w:ascii="Times New Roman" w:hAnsi="Times New Roman" w:cs="Times New Roman"/>
          <w:i/>
          <w:iCs/>
        </w:rPr>
        <w:t>E</w:t>
      </w:r>
      <w:r w:rsidRPr="00A472FC">
        <w:rPr>
          <w:rFonts w:ascii="Times New Roman" w:hAnsi="Times New Roman" w:cs="Times New Roman"/>
          <w:i/>
          <w:iCs/>
        </w:rPr>
        <w:t>in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philosophierender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Theologe</w:t>
      </w:r>
      <w:proofErr w:type="spellEnd"/>
      <w:r w:rsidRPr="00A472FC">
        <w:rPr>
          <w:rFonts w:ascii="Times New Roman" w:hAnsi="Times New Roman" w:cs="Times New Roman"/>
          <w:i/>
          <w:iCs/>
        </w:rPr>
        <w:t xml:space="preserve"> des </w:t>
      </w:r>
      <w:proofErr w:type="spellStart"/>
      <w:r w:rsidRPr="00A472FC">
        <w:rPr>
          <w:rFonts w:ascii="Times New Roman" w:hAnsi="Times New Roman" w:cs="Times New Roman"/>
          <w:i/>
          <w:iCs/>
        </w:rPr>
        <w:t>frühen</w:t>
      </w:r>
      <w:proofErr w:type="spellEnd"/>
      <w:r w:rsidRPr="00A472FC">
        <w:rPr>
          <w:rFonts w:ascii="Times New Roman" w:hAnsi="Times New Roman" w:cs="Times New Roman"/>
          <w:i/>
          <w:iCs/>
        </w:rPr>
        <w:t xml:space="preserve"> 13. </w:t>
      </w:r>
      <w:proofErr w:type="spellStart"/>
      <w:r w:rsidRPr="00A472FC">
        <w:rPr>
          <w:rFonts w:ascii="Times New Roman" w:hAnsi="Times New Roman" w:cs="Times New Roman"/>
          <w:i/>
          <w:iCs/>
        </w:rPr>
        <w:t>Jahrhunderts</w:t>
      </w:r>
      <w:proofErr w:type="spellEnd"/>
      <w:r w:rsidRPr="00A472FC">
        <w:rPr>
          <w:rFonts w:ascii="Times New Roman" w:hAnsi="Times New Roman" w:cs="Times New Roman"/>
          <w:i/>
          <w:iCs/>
        </w:rPr>
        <w:t>.</w:t>
      </w:r>
      <w:r w:rsidRPr="00A472FC">
        <w:rPr>
          <w:rFonts w:ascii="Times New Roman" w:hAnsi="Times New Roman" w:cs="Times New Roman"/>
        </w:rPr>
        <w:t xml:space="preserve"> </w:t>
      </w:r>
      <w:proofErr w:type="spellStart"/>
      <w:r w:rsidRPr="00A472FC">
        <w:rPr>
          <w:rFonts w:ascii="Times New Roman" w:hAnsi="Times New Roman" w:cs="Times New Roman"/>
        </w:rPr>
        <w:t>Fribourg</w:t>
      </w:r>
      <w:proofErr w:type="spellEnd"/>
      <w:r w:rsidRPr="00A472FC">
        <w:rPr>
          <w:rFonts w:ascii="Times New Roman" w:hAnsi="Times New Roman" w:cs="Times New Roman"/>
        </w:rPr>
        <w:t>: Academic Press, 2005.</w:t>
      </w:r>
    </w:p>
    <w:p w14:paraId="1F12D29F" w14:textId="4D15B85F"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Wilcox, Judith Carol. ‘The Transmission and Influence of </w:t>
      </w:r>
      <w:proofErr w:type="spellStart"/>
      <w:r w:rsidRPr="00A472FC">
        <w:rPr>
          <w:rFonts w:ascii="Times New Roman" w:hAnsi="Times New Roman" w:cs="Times New Roman"/>
        </w:rPr>
        <w:t>Questa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ibn</w:t>
      </w:r>
      <w:proofErr w:type="spellEnd"/>
      <w:r w:rsidRPr="00A472FC">
        <w:rPr>
          <w:rFonts w:ascii="Times New Roman" w:hAnsi="Times New Roman" w:cs="Times New Roman"/>
        </w:rPr>
        <w:t xml:space="preserve"> Luca’s </w:t>
      </w:r>
      <w:r w:rsidRPr="00A472FC">
        <w:rPr>
          <w:rFonts w:ascii="Times New Roman" w:hAnsi="Times New Roman" w:cs="Times New Roman"/>
          <w:i/>
          <w:iCs/>
        </w:rPr>
        <w:t xml:space="preserve">On the Difference </w:t>
      </w:r>
      <w:r w:rsidR="00F22358" w:rsidRPr="00A472FC">
        <w:rPr>
          <w:rFonts w:ascii="Times New Roman" w:hAnsi="Times New Roman" w:cs="Times New Roman"/>
          <w:i/>
          <w:iCs/>
        </w:rPr>
        <w:t>B</w:t>
      </w:r>
      <w:r w:rsidRPr="00A472FC">
        <w:rPr>
          <w:rFonts w:ascii="Times New Roman" w:hAnsi="Times New Roman" w:cs="Times New Roman"/>
          <w:i/>
          <w:iCs/>
        </w:rPr>
        <w:t>etween Spirit and the Soul</w:t>
      </w:r>
      <w:r w:rsidRPr="00A472FC">
        <w:rPr>
          <w:rFonts w:ascii="Times New Roman" w:hAnsi="Times New Roman" w:cs="Times New Roman"/>
        </w:rPr>
        <w:t>.’ PhD, University of Michigan, 1985.</w:t>
      </w:r>
    </w:p>
    <w:p w14:paraId="3026E22C"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Williams, Steven J. ‘Defining the Corpus </w:t>
      </w:r>
      <w:proofErr w:type="spellStart"/>
      <w:r w:rsidRPr="00A472FC">
        <w:rPr>
          <w:rFonts w:ascii="Times New Roman" w:hAnsi="Times New Roman" w:cs="Times New Roman"/>
        </w:rPr>
        <w:t>Aristotelicum</w:t>
      </w:r>
      <w:proofErr w:type="spellEnd"/>
      <w:r w:rsidRPr="00A472FC">
        <w:rPr>
          <w:rFonts w:ascii="Times New Roman" w:hAnsi="Times New Roman" w:cs="Times New Roman"/>
        </w:rPr>
        <w:t xml:space="preserve">: Scholastic Awareness of Aristotelian </w:t>
      </w:r>
      <w:proofErr w:type="spellStart"/>
      <w:r w:rsidRPr="00A472FC">
        <w:rPr>
          <w:rFonts w:ascii="Times New Roman" w:hAnsi="Times New Roman" w:cs="Times New Roman"/>
        </w:rPr>
        <w:t>Spuria</w:t>
      </w:r>
      <w:proofErr w:type="spellEnd"/>
      <w:r w:rsidRPr="00A472FC">
        <w:rPr>
          <w:rFonts w:ascii="Times New Roman" w:hAnsi="Times New Roman" w:cs="Times New Roman"/>
        </w:rPr>
        <w:t xml:space="preserve"> in the High Middle Ages.’ </w:t>
      </w:r>
      <w:r w:rsidRPr="00A472FC">
        <w:rPr>
          <w:rFonts w:ascii="Times New Roman" w:hAnsi="Times New Roman" w:cs="Times New Roman"/>
          <w:i/>
          <w:iCs/>
        </w:rPr>
        <w:t xml:space="preserve">Journal of the Warburg and </w:t>
      </w:r>
      <w:proofErr w:type="spellStart"/>
      <w:r w:rsidRPr="00A472FC">
        <w:rPr>
          <w:rFonts w:ascii="Times New Roman" w:hAnsi="Times New Roman" w:cs="Times New Roman"/>
          <w:i/>
          <w:iCs/>
        </w:rPr>
        <w:t>Courtauld</w:t>
      </w:r>
      <w:proofErr w:type="spellEnd"/>
      <w:r w:rsidRPr="00A472FC">
        <w:rPr>
          <w:rFonts w:ascii="Times New Roman" w:hAnsi="Times New Roman" w:cs="Times New Roman"/>
          <w:i/>
          <w:iCs/>
        </w:rPr>
        <w:t xml:space="preserve"> Institutes </w:t>
      </w:r>
      <w:r w:rsidRPr="00A472FC">
        <w:rPr>
          <w:rFonts w:ascii="Times New Roman" w:hAnsi="Times New Roman" w:cs="Times New Roman"/>
        </w:rPr>
        <w:t>58 (1995): 29-51.</w:t>
      </w:r>
    </w:p>
    <w:p w14:paraId="5EBF859A"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w:t>
      </w:r>
      <w:proofErr w:type="spellStart"/>
      <w:r w:rsidRPr="00A472FC">
        <w:rPr>
          <w:rFonts w:ascii="Times New Roman" w:hAnsi="Times New Roman" w:cs="Times New Roman"/>
        </w:rPr>
        <w:t>Repenser</w:t>
      </w:r>
      <w:proofErr w:type="spellEnd"/>
      <w:r w:rsidRPr="00A472FC">
        <w:rPr>
          <w:rFonts w:ascii="Times New Roman" w:hAnsi="Times New Roman" w:cs="Times New Roman"/>
        </w:rPr>
        <w:t xml:space="preserve"> l’intention et </w:t>
      </w:r>
      <w:proofErr w:type="spellStart"/>
      <w:r w:rsidRPr="00A472FC">
        <w:rPr>
          <w:rFonts w:ascii="Times New Roman" w:hAnsi="Times New Roman" w:cs="Times New Roman"/>
        </w:rPr>
        <w:t>l’effet</w:t>
      </w:r>
      <w:proofErr w:type="spellEnd"/>
      <w:r w:rsidRPr="00A472FC">
        <w:rPr>
          <w:rFonts w:ascii="Times New Roman" w:hAnsi="Times New Roman" w:cs="Times New Roman"/>
        </w:rPr>
        <w:t xml:space="preserve"> des </w:t>
      </w:r>
      <w:proofErr w:type="spellStart"/>
      <w:r w:rsidRPr="00A472FC">
        <w:rPr>
          <w:rFonts w:ascii="Times New Roman" w:hAnsi="Times New Roman" w:cs="Times New Roman"/>
        </w:rPr>
        <w:t>décrets</w:t>
      </w:r>
      <w:proofErr w:type="spellEnd"/>
      <w:r w:rsidRPr="00A472FC">
        <w:rPr>
          <w:rFonts w:ascii="Times New Roman" w:hAnsi="Times New Roman" w:cs="Times New Roman"/>
        </w:rPr>
        <w:t xml:space="preserve"> de 1231 du </w:t>
      </w:r>
      <w:proofErr w:type="spellStart"/>
      <w:r w:rsidRPr="00A472FC">
        <w:rPr>
          <w:rFonts w:ascii="Times New Roman" w:hAnsi="Times New Roman" w:cs="Times New Roman"/>
        </w:rPr>
        <w:t>pape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Grégoire</w:t>
      </w:r>
      <w:proofErr w:type="spellEnd"/>
      <w:r w:rsidRPr="00A472FC">
        <w:rPr>
          <w:rFonts w:ascii="Times New Roman" w:hAnsi="Times New Roman" w:cs="Times New Roman"/>
        </w:rPr>
        <w:t xml:space="preserve"> IX </w:t>
      </w:r>
      <w:proofErr w:type="spellStart"/>
      <w:r w:rsidRPr="00A472FC">
        <w:rPr>
          <w:rFonts w:ascii="Times New Roman" w:hAnsi="Times New Roman" w:cs="Times New Roman"/>
        </w:rPr>
        <w:t>sur</w:t>
      </w:r>
      <w:proofErr w:type="spellEnd"/>
      <w:r w:rsidRPr="00A472FC">
        <w:rPr>
          <w:rFonts w:ascii="Times New Roman" w:hAnsi="Times New Roman" w:cs="Times New Roman"/>
        </w:rPr>
        <w:t xml:space="preserve"> l’étude des </w:t>
      </w:r>
      <w:proofErr w:type="spellStart"/>
      <w:r w:rsidRPr="00A472FC">
        <w:rPr>
          <w:rFonts w:ascii="Times New Roman" w:hAnsi="Times New Roman" w:cs="Times New Roman"/>
          <w:i/>
          <w:iCs/>
        </w:rPr>
        <w:t>libri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naturales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d’Aristote</w:t>
      </w:r>
      <w:proofErr w:type="spellEnd"/>
      <w:r w:rsidRPr="00A472FC">
        <w:rPr>
          <w:rFonts w:ascii="Times New Roman" w:hAnsi="Times New Roman" w:cs="Times New Roman"/>
        </w:rPr>
        <w:t xml:space="preserve"> à l’Université de Paris.’ In </w:t>
      </w:r>
      <w:proofErr w:type="spellStart"/>
      <w:r w:rsidRPr="00A472FC">
        <w:rPr>
          <w:rFonts w:ascii="Times New Roman" w:hAnsi="Times New Roman" w:cs="Times New Roman"/>
          <w:i/>
          <w:iCs/>
        </w:rPr>
        <w:t>L’enseignement</w:t>
      </w:r>
      <w:proofErr w:type="spellEnd"/>
      <w:r w:rsidRPr="00A472FC">
        <w:rPr>
          <w:rFonts w:ascii="Times New Roman" w:hAnsi="Times New Roman" w:cs="Times New Roman"/>
          <w:i/>
          <w:iCs/>
        </w:rPr>
        <w:t xml:space="preserve"> de la </w:t>
      </w:r>
      <w:r w:rsidRPr="00A472FC">
        <w:rPr>
          <w:rFonts w:ascii="Times New Roman" w:hAnsi="Times New Roman" w:cs="Times New Roman"/>
          <w:i/>
          <w:iCs/>
        </w:rPr>
        <w:lastRenderedPageBreak/>
        <w:t xml:space="preserve">philosophie au XIIIe siècle. </w:t>
      </w:r>
      <w:proofErr w:type="spellStart"/>
      <w:r w:rsidRPr="00A472FC">
        <w:rPr>
          <w:rFonts w:ascii="Times New Roman" w:hAnsi="Times New Roman" w:cs="Times New Roman"/>
          <w:i/>
          <w:iCs/>
        </w:rPr>
        <w:t>Autour</w:t>
      </w:r>
      <w:proofErr w:type="spellEnd"/>
      <w:r w:rsidRPr="00A472FC">
        <w:rPr>
          <w:rFonts w:ascii="Times New Roman" w:hAnsi="Times New Roman" w:cs="Times New Roman"/>
          <w:i/>
          <w:iCs/>
        </w:rPr>
        <w:t xml:space="preserve"> du ‘Guide de </w:t>
      </w:r>
      <w:proofErr w:type="spellStart"/>
      <w:r w:rsidRPr="00A472FC">
        <w:rPr>
          <w:rFonts w:ascii="Times New Roman" w:hAnsi="Times New Roman" w:cs="Times New Roman"/>
          <w:i/>
          <w:iCs/>
        </w:rPr>
        <w:t>l’étudiant</w:t>
      </w:r>
      <w:proofErr w:type="spellEnd"/>
      <w:r w:rsidRPr="00A472FC">
        <w:rPr>
          <w:rFonts w:ascii="Times New Roman" w:hAnsi="Times New Roman" w:cs="Times New Roman"/>
          <w:i/>
          <w:iCs/>
        </w:rPr>
        <w:t xml:space="preserve">’ du ms. </w:t>
      </w:r>
      <w:proofErr w:type="spellStart"/>
      <w:r w:rsidRPr="00A472FC">
        <w:rPr>
          <w:rFonts w:ascii="Times New Roman" w:hAnsi="Times New Roman" w:cs="Times New Roman"/>
          <w:i/>
          <w:iCs/>
        </w:rPr>
        <w:t>Ripoll</w:t>
      </w:r>
      <w:proofErr w:type="spellEnd"/>
      <w:r w:rsidRPr="00A472FC">
        <w:rPr>
          <w:rFonts w:ascii="Times New Roman" w:hAnsi="Times New Roman" w:cs="Times New Roman"/>
          <w:i/>
          <w:iCs/>
        </w:rPr>
        <w:t xml:space="preserve"> 109</w:t>
      </w:r>
      <w:r w:rsidRPr="00A472FC">
        <w:rPr>
          <w:rFonts w:ascii="Times New Roman" w:hAnsi="Times New Roman" w:cs="Times New Roman"/>
        </w:rPr>
        <w:t xml:space="preserve">. Edited by Claude Lafleur and Joanne Carrier, 139-63.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1997.</w:t>
      </w:r>
    </w:p>
    <w:p w14:paraId="74755A0E" w14:textId="28772BE9"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‘Aristotle in the Medieval Classroom: Students, Teaching, and Educational Change in the Schools of Paris in the Twelfth and Thirteenth Centuries.’ In </w:t>
      </w:r>
      <w:r w:rsidRPr="00A472FC">
        <w:rPr>
          <w:rFonts w:ascii="Times New Roman" w:hAnsi="Times New Roman" w:cs="Times New Roman"/>
          <w:i/>
          <w:iCs/>
        </w:rPr>
        <w:t>The Classics in the Medieval and Renaissance Classroom: The Role of Ancient Texts in the Arts Curriculum as Revealed by Surviving Manuscripts and Early Printed Books</w:t>
      </w:r>
      <w:r w:rsidR="00221921" w:rsidRPr="00A472FC">
        <w:rPr>
          <w:rFonts w:ascii="Times New Roman" w:hAnsi="Times New Roman" w:cs="Times New Roman"/>
        </w:rPr>
        <w:t>. E</w:t>
      </w:r>
      <w:r w:rsidRPr="00A472FC">
        <w:rPr>
          <w:rFonts w:ascii="Times New Roman" w:hAnsi="Times New Roman" w:cs="Times New Roman"/>
        </w:rPr>
        <w:t xml:space="preserve">dited by Juanita </w:t>
      </w:r>
      <w:proofErr w:type="spellStart"/>
      <w:r w:rsidRPr="00A472FC">
        <w:rPr>
          <w:rFonts w:ascii="Times New Roman" w:hAnsi="Times New Roman" w:cs="Times New Roman"/>
        </w:rPr>
        <w:t>Feros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Ruys</w:t>
      </w:r>
      <w:proofErr w:type="spellEnd"/>
      <w:r w:rsidRPr="00A472FC">
        <w:rPr>
          <w:rFonts w:ascii="Times New Roman" w:hAnsi="Times New Roman" w:cs="Times New Roman"/>
        </w:rPr>
        <w:t xml:space="preserve"> et al., 223-43. </w:t>
      </w:r>
      <w:proofErr w:type="spellStart"/>
      <w:r w:rsidRPr="00A472FC">
        <w:rPr>
          <w:rFonts w:ascii="Times New Roman" w:hAnsi="Times New Roman" w:cs="Times New Roman"/>
        </w:rPr>
        <w:t>Turnhout</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Brepols</w:t>
      </w:r>
      <w:proofErr w:type="spellEnd"/>
      <w:r w:rsidRPr="00A472FC">
        <w:rPr>
          <w:rFonts w:ascii="Times New Roman" w:hAnsi="Times New Roman" w:cs="Times New Roman"/>
        </w:rPr>
        <w:t>, 2013.</w:t>
      </w:r>
    </w:p>
    <w:p w14:paraId="550CC79E" w14:textId="77777777"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Wilpert</w:t>
      </w:r>
      <w:proofErr w:type="spellEnd"/>
      <w:r w:rsidRPr="00A472FC">
        <w:rPr>
          <w:rFonts w:ascii="Times New Roman" w:hAnsi="Times New Roman" w:cs="Times New Roman"/>
        </w:rPr>
        <w:t xml:space="preserve">, Paul. ‘Die </w:t>
      </w:r>
      <w:proofErr w:type="spellStart"/>
      <w:r w:rsidRPr="00A472FC">
        <w:rPr>
          <w:rFonts w:ascii="Times New Roman" w:hAnsi="Times New Roman" w:cs="Times New Roman"/>
        </w:rPr>
        <w:t>Ausgestaltung</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aristotelischen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Lehre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vom</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Intellectus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agens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bei</w:t>
      </w:r>
      <w:proofErr w:type="spellEnd"/>
      <w:r w:rsidRPr="00A472FC">
        <w:rPr>
          <w:rFonts w:ascii="Times New Roman" w:hAnsi="Times New Roman" w:cs="Times New Roman"/>
        </w:rPr>
        <w:t xml:space="preserve"> den </w:t>
      </w:r>
      <w:proofErr w:type="spellStart"/>
      <w:r w:rsidRPr="00A472FC">
        <w:rPr>
          <w:rFonts w:ascii="Times New Roman" w:hAnsi="Times New Roman" w:cs="Times New Roman"/>
        </w:rPr>
        <w:t>griechischen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Kommentatoren</w:t>
      </w:r>
      <w:proofErr w:type="spellEnd"/>
      <w:r w:rsidRPr="00A472FC">
        <w:rPr>
          <w:rFonts w:ascii="Times New Roman" w:hAnsi="Times New Roman" w:cs="Times New Roman"/>
        </w:rPr>
        <w:t xml:space="preserve"> und in </w:t>
      </w:r>
      <w:proofErr w:type="spellStart"/>
      <w:r w:rsidRPr="00A472FC">
        <w:rPr>
          <w:rFonts w:ascii="Times New Roman" w:hAnsi="Times New Roman" w:cs="Times New Roman"/>
        </w:rPr>
        <w:t>der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Scholastik</w:t>
      </w:r>
      <w:proofErr w:type="spellEnd"/>
      <w:r w:rsidRPr="00A472FC">
        <w:rPr>
          <w:rFonts w:ascii="Times New Roman" w:hAnsi="Times New Roman" w:cs="Times New Roman"/>
        </w:rPr>
        <w:t xml:space="preserve"> des 13. </w:t>
      </w:r>
      <w:proofErr w:type="spellStart"/>
      <w:r w:rsidRPr="00A472FC">
        <w:rPr>
          <w:rFonts w:ascii="Times New Roman" w:hAnsi="Times New Roman" w:cs="Times New Roman"/>
        </w:rPr>
        <w:t>Jahrhunderts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i/>
          <w:iCs/>
        </w:rPr>
        <w:t>Beiträge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zur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Geschichte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der</w:t>
      </w:r>
      <w:proofErr w:type="spellEnd"/>
      <w:r w:rsidRPr="00A472FC">
        <w:rPr>
          <w:rFonts w:ascii="Times New Roman" w:hAnsi="Times New Roman" w:cs="Times New Roman"/>
          <w:i/>
          <w:iCs/>
        </w:rPr>
        <w:t xml:space="preserve"> Philosophie und </w:t>
      </w:r>
      <w:proofErr w:type="spellStart"/>
      <w:r w:rsidRPr="00A472FC">
        <w:rPr>
          <w:rFonts w:ascii="Times New Roman" w:hAnsi="Times New Roman" w:cs="Times New Roman"/>
          <w:i/>
          <w:iCs/>
        </w:rPr>
        <w:t>Theologie</w:t>
      </w:r>
      <w:proofErr w:type="spellEnd"/>
      <w:r w:rsidRPr="00A472FC">
        <w:rPr>
          <w:rFonts w:ascii="Times New Roman" w:hAnsi="Times New Roman" w:cs="Times New Roman"/>
          <w:i/>
          <w:iCs/>
        </w:rPr>
        <w:t xml:space="preserve"> </w:t>
      </w:r>
      <w:r w:rsidRPr="00A472FC">
        <w:rPr>
          <w:rFonts w:ascii="Times New Roman" w:hAnsi="Times New Roman" w:cs="Times New Roman"/>
        </w:rPr>
        <w:t>13:1 (1935): 447-62.</w:t>
      </w:r>
    </w:p>
    <w:p w14:paraId="6652CE0A"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 ‘Die </w:t>
      </w:r>
      <w:proofErr w:type="spellStart"/>
      <w:r w:rsidRPr="00A472FC">
        <w:rPr>
          <w:rFonts w:ascii="Times New Roman" w:hAnsi="Times New Roman" w:cs="Times New Roman"/>
        </w:rPr>
        <w:t>Ausgestaltung</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aristotelischen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Lehre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vom</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Intellectus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agens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bei</w:t>
      </w:r>
      <w:proofErr w:type="spellEnd"/>
      <w:r w:rsidRPr="00A472FC">
        <w:rPr>
          <w:rFonts w:ascii="Times New Roman" w:hAnsi="Times New Roman" w:cs="Times New Roman"/>
        </w:rPr>
        <w:t xml:space="preserve"> den </w:t>
      </w:r>
      <w:proofErr w:type="spellStart"/>
      <w:r w:rsidRPr="00A472FC">
        <w:rPr>
          <w:rFonts w:ascii="Times New Roman" w:hAnsi="Times New Roman" w:cs="Times New Roman"/>
        </w:rPr>
        <w:t>griechischen</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Kommentatoren</w:t>
      </w:r>
      <w:proofErr w:type="spellEnd"/>
      <w:r w:rsidRPr="00A472FC">
        <w:rPr>
          <w:rFonts w:ascii="Times New Roman" w:hAnsi="Times New Roman" w:cs="Times New Roman"/>
        </w:rPr>
        <w:t xml:space="preserve"> und in </w:t>
      </w:r>
      <w:proofErr w:type="spellStart"/>
      <w:r w:rsidRPr="00A472FC">
        <w:rPr>
          <w:rFonts w:ascii="Times New Roman" w:hAnsi="Times New Roman" w:cs="Times New Roman"/>
        </w:rPr>
        <w:t>der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Scholastik</w:t>
      </w:r>
      <w:proofErr w:type="spellEnd"/>
      <w:r w:rsidRPr="00A472FC">
        <w:rPr>
          <w:rFonts w:ascii="Times New Roman" w:hAnsi="Times New Roman" w:cs="Times New Roman"/>
        </w:rPr>
        <w:t xml:space="preserve"> des 13. </w:t>
      </w:r>
      <w:proofErr w:type="spellStart"/>
      <w:r w:rsidRPr="00A472FC">
        <w:rPr>
          <w:rFonts w:ascii="Times New Roman" w:hAnsi="Times New Roman" w:cs="Times New Roman"/>
        </w:rPr>
        <w:t>Jahrhunderts</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i/>
          <w:iCs/>
        </w:rPr>
        <w:t>Aus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der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Geisteswelt</w:t>
      </w:r>
      <w:proofErr w:type="spellEnd"/>
      <w:r w:rsidRPr="00A472FC">
        <w:rPr>
          <w:rFonts w:ascii="Times New Roman" w:hAnsi="Times New Roman" w:cs="Times New Roman"/>
          <w:i/>
          <w:iCs/>
        </w:rPr>
        <w:t xml:space="preserve"> des </w:t>
      </w:r>
      <w:proofErr w:type="spellStart"/>
      <w:r w:rsidRPr="00A472FC">
        <w:rPr>
          <w:rFonts w:ascii="Times New Roman" w:hAnsi="Times New Roman" w:cs="Times New Roman"/>
          <w:i/>
          <w:iCs/>
        </w:rPr>
        <w:t>Mittelalters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Studien</w:t>
      </w:r>
      <w:proofErr w:type="spellEnd"/>
      <w:r w:rsidRPr="00A472FC">
        <w:rPr>
          <w:rFonts w:ascii="Times New Roman" w:hAnsi="Times New Roman" w:cs="Times New Roman"/>
          <w:i/>
          <w:iCs/>
        </w:rPr>
        <w:t xml:space="preserve"> und </w:t>
      </w:r>
      <w:proofErr w:type="spellStart"/>
      <w:r w:rsidRPr="00A472FC">
        <w:rPr>
          <w:rFonts w:ascii="Times New Roman" w:hAnsi="Times New Roman" w:cs="Times New Roman"/>
          <w:i/>
          <w:iCs/>
        </w:rPr>
        <w:t>Texte</w:t>
      </w:r>
      <w:proofErr w:type="spellEnd"/>
      <w:r w:rsidRPr="00A472FC">
        <w:rPr>
          <w:rFonts w:ascii="Times New Roman" w:hAnsi="Times New Roman" w:cs="Times New Roman"/>
          <w:i/>
          <w:iCs/>
        </w:rPr>
        <w:t xml:space="preserve">: Martin </w:t>
      </w:r>
      <w:proofErr w:type="spellStart"/>
      <w:r w:rsidRPr="00A472FC">
        <w:rPr>
          <w:rFonts w:ascii="Times New Roman" w:hAnsi="Times New Roman" w:cs="Times New Roman"/>
          <w:i/>
          <w:iCs/>
        </w:rPr>
        <w:t>Grabmann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zur</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Vollendung</w:t>
      </w:r>
      <w:proofErr w:type="spellEnd"/>
      <w:r w:rsidRPr="00A472FC">
        <w:rPr>
          <w:rFonts w:ascii="Times New Roman" w:hAnsi="Times New Roman" w:cs="Times New Roman"/>
          <w:i/>
          <w:iCs/>
        </w:rPr>
        <w:t xml:space="preserve"> des 60. </w:t>
      </w:r>
      <w:proofErr w:type="spellStart"/>
      <w:r w:rsidRPr="00A472FC">
        <w:rPr>
          <w:rFonts w:ascii="Times New Roman" w:hAnsi="Times New Roman" w:cs="Times New Roman"/>
          <w:i/>
          <w:iCs/>
        </w:rPr>
        <w:t>Lebensjahres</w:t>
      </w:r>
      <w:proofErr w:type="spellEnd"/>
      <w:r w:rsidRPr="00A472FC">
        <w:rPr>
          <w:rFonts w:ascii="Times New Roman" w:hAnsi="Times New Roman" w:cs="Times New Roman"/>
          <w:i/>
          <w:iCs/>
        </w:rPr>
        <w:t xml:space="preserve"> von </w:t>
      </w:r>
      <w:proofErr w:type="spellStart"/>
      <w:r w:rsidRPr="00A472FC">
        <w:rPr>
          <w:rFonts w:ascii="Times New Roman" w:hAnsi="Times New Roman" w:cs="Times New Roman"/>
          <w:i/>
          <w:iCs/>
        </w:rPr>
        <w:t>Freunden</w:t>
      </w:r>
      <w:proofErr w:type="spellEnd"/>
      <w:r w:rsidRPr="00A472FC">
        <w:rPr>
          <w:rFonts w:ascii="Times New Roman" w:hAnsi="Times New Roman" w:cs="Times New Roman"/>
          <w:i/>
          <w:iCs/>
        </w:rPr>
        <w:t xml:space="preserve"> und </w:t>
      </w:r>
      <w:proofErr w:type="spellStart"/>
      <w:r w:rsidRPr="00A472FC">
        <w:rPr>
          <w:rFonts w:ascii="Times New Roman" w:hAnsi="Times New Roman" w:cs="Times New Roman"/>
          <w:i/>
          <w:iCs/>
        </w:rPr>
        <w:t>Schülern</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gewidmet</w:t>
      </w:r>
      <w:proofErr w:type="spellEnd"/>
      <w:r w:rsidRPr="00A472FC">
        <w:rPr>
          <w:rFonts w:ascii="Times New Roman" w:hAnsi="Times New Roman" w:cs="Times New Roman"/>
        </w:rPr>
        <w:t xml:space="preserve">. Edited by Albert Lang, Josef </w:t>
      </w:r>
      <w:proofErr w:type="spellStart"/>
      <w:r w:rsidRPr="00A472FC">
        <w:rPr>
          <w:rFonts w:ascii="Times New Roman" w:hAnsi="Times New Roman" w:cs="Times New Roman"/>
        </w:rPr>
        <w:t>Lechner</w:t>
      </w:r>
      <w:proofErr w:type="spellEnd"/>
      <w:r w:rsidRPr="00A472FC">
        <w:rPr>
          <w:rFonts w:ascii="Times New Roman" w:hAnsi="Times New Roman" w:cs="Times New Roman"/>
        </w:rPr>
        <w:t xml:space="preserve"> and Michael </w:t>
      </w:r>
      <w:proofErr w:type="spellStart"/>
      <w:r w:rsidRPr="00A472FC">
        <w:rPr>
          <w:rFonts w:ascii="Times New Roman" w:hAnsi="Times New Roman" w:cs="Times New Roman"/>
        </w:rPr>
        <w:t>Schmaus</w:t>
      </w:r>
      <w:proofErr w:type="spellEnd"/>
      <w:r w:rsidRPr="00A472FC">
        <w:rPr>
          <w:rFonts w:ascii="Times New Roman" w:hAnsi="Times New Roman" w:cs="Times New Roman"/>
        </w:rPr>
        <w:t xml:space="preserve">, 447-62. Münster: </w:t>
      </w:r>
      <w:proofErr w:type="spellStart"/>
      <w:r w:rsidRPr="00A472FC">
        <w:rPr>
          <w:rFonts w:ascii="Times New Roman" w:hAnsi="Times New Roman" w:cs="Times New Roman"/>
        </w:rPr>
        <w:t>Aschendorff</w:t>
      </w:r>
      <w:proofErr w:type="spellEnd"/>
      <w:r w:rsidRPr="00A472FC">
        <w:rPr>
          <w:rFonts w:ascii="Times New Roman" w:hAnsi="Times New Roman" w:cs="Times New Roman"/>
        </w:rPr>
        <w:t>, 1935.</w:t>
      </w:r>
    </w:p>
    <w:p w14:paraId="11B74714" w14:textId="77777777" w:rsidR="006A6E61" w:rsidRPr="00A472FC" w:rsidRDefault="006A6E61"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 xml:space="preserve">Wilshire, Leland Edward. ‘The Condemnations of 1277 and the Intellectual Climate of the Medieval University.’ In </w:t>
      </w:r>
      <w:r w:rsidRPr="00A472FC">
        <w:rPr>
          <w:rFonts w:ascii="Times New Roman" w:hAnsi="Times New Roman" w:cs="Times New Roman"/>
          <w:i/>
          <w:iCs/>
        </w:rPr>
        <w:t>The Intellectual Climate of the Early University</w:t>
      </w:r>
      <w:r w:rsidRPr="00A472FC">
        <w:rPr>
          <w:rFonts w:ascii="Times New Roman" w:hAnsi="Times New Roman" w:cs="Times New Roman"/>
        </w:rPr>
        <w:t xml:space="preserve">. Edited by Nancy Van </w:t>
      </w:r>
      <w:proofErr w:type="spellStart"/>
      <w:r w:rsidRPr="00A472FC">
        <w:rPr>
          <w:rFonts w:ascii="Times New Roman" w:hAnsi="Times New Roman" w:cs="Times New Roman"/>
        </w:rPr>
        <w:t>Deusen</w:t>
      </w:r>
      <w:proofErr w:type="spellEnd"/>
      <w:r w:rsidRPr="00A472FC">
        <w:rPr>
          <w:rFonts w:ascii="Times New Roman" w:hAnsi="Times New Roman" w:cs="Times New Roman"/>
        </w:rPr>
        <w:t>, 151-94. Kalamazoo: Medieval Institute Publications, 1997.</w:t>
      </w:r>
    </w:p>
    <w:p w14:paraId="7EA49A88" w14:textId="725A08BD" w:rsidR="00F62F38" w:rsidRPr="00A472FC" w:rsidRDefault="00F62F38" w:rsidP="00881604">
      <w:pPr>
        <w:autoSpaceDE w:val="0"/>
        <w:autoSpaceDN w:val="0"/>
        <w:adjustRightInd w:val="0"/>
        <w:ind w:left="720" w:right="-52" w:hanging="720"/>
        <w:rPr>
          <w:rFonts w:ascii="Times New Roman" w:hAnsi="Times New Roman" w:cs="Times New Roman"/>
          <w:lang w:val="en-US"/>
        </w:rPr>
      </w:pPr>
      <w:proofErr w:type="spellStart"/>
      <w:r w:rsidRPr="00A472FC">
        <w:rPr>
          <w:rFonts w:ascii="Times New Roman" w:hAnsi="Times New Roman" w:cs="Times New Roman"/>
          <w:color w:val="000000" w:themeColor="text1"/>
        </w:rPr>
        <w:t>Wirmer</w:t>
      </w:r>
      <w:proofErr w:type="spellEnd"/>
      <w:r w:rsidRPr="00A472FC">
        <w:rPr>
          <w:rFonts w:ascii="Times New Roman" w:hAnsi="Times New Roman" w:cs="Times New Roman"/>
          <w:color w:val="000000" w:themeColor="text1"/>
        </w:rPr>
        <w:t xml:space="preserve">, David. </w:t>
      </w:r>
      <w:proofErr w:type="spellStart"/>
      <w:r w:rsidRPr="00A472FC">
        <w:rPr>
          <w:rFonts w:ascii="Times New Roman" w:hAnsi="Times New Roman" w:cs="Times New Roman"/>
          <w:i/>
          <w:lang w:val="en-US"/>
        </w:rPr>
        <w:t>Averroes</w:t>
      </w:r>
      <w:proofErr w:type="spellEnd"/>
      <w:r w:rsidRPr="00A472FC">
        <w:rPr>
          <w:rFonts w:ascii="Times New Roman" w:hAnsi="Times New Roman" w:cs="Times New Roman"/>
          <w:i/>
          <w:lang w:val="en-US"/>
        </w:rPr>
        <w:t xml:space="preserve">: Über den </w:t>
      </w:r>
      <w:proofErr w:type="spellStart"/>
      <w:r w:rsidRPr="00A472FC">
        <w:rPr>
          <w:rFonts w:ascii="Times New Roman" w:hAnsi="Times New Roman" w:cs="Times New Roman"/>
          <w:i/>
          <w:lang w:val="en-US"/>
        </w:rPr>
        <w:t>Intellekt</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Auszüge</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aus</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seinen</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drei</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Kommentaren</w:t>
      </w:r>
      <w:proofErr w:type="spellEnd"/>
      <w:r w:rsidRPr="00A472FC">
        <w:rPr>
          <w:rFonts w:ascii="Times New Roman" w:hAnsi="Times New Roman" w:cs="Times New Roman"/>
          <w:i/>
          <w:lang w:val="en-US"/>
        </w:rPr>
        <w:t xml:space="preserve"> </w:t>
      </w:r>
      <w:proofErr w:type="spellStart"/>
      <w:r w:rsidRPr="00A472FC">
        <w:rPr>
          <w:rFonts w:ascii="Times New Roman" w:hAnsi="Times New Roman" w:cs="Times New Roman"/>
          <w:i/>
          <w:lang w:val="en-US"/>
        </w:rPr>
        <w:t>zu</w:t>
      </w:r>
      <w:proofErr w:type="spellEnd"/>
      <w:r w:rsidRPr="00A472FC">
        <w:rPr>
          <w:rFonts w:ascii="Times New Roman" w:hAnsi="Times New Roman" w:cs="Times New Roman"/>
          <w:i/>
          <w:lang w:val="en-US"/>
        </w:rPr>
        <w:t xml:space="preserve"> Aristoteles' De anima</w:t>
      </w:r>
      <w:r w:rsidR="00485540" w:rsidRPr="00A472FC">
        <w:rPr>
          <w:rFonts w:ascii="Times New Roman" w:hAnsi="Times New Roman" w:cs="Times New Roman"/>
          <w:lang w:val="en-US"/>
        </w:rPr>
        <w:t xml:space="preserve">. </w:t>
      </w:r>
      <w:r w:rsidRPr="00A472FC">
        <w:rPr>
          <w:rFonts w:ascii="Times New Roman" w:hAnsi="Times New Roman" w:cs="Times New Roman"/>
          <w:lang w:val="en-US"/>
        </w:rPr>
        <w:t>Herder: Freiburg i. B., 2008.</w:t>
      </w:r>
    </w:p>
    <w:p w14:paraId="3F2E7DE4" w14:textId="26D07633"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Wittmann</w:t>
      </w:r>
      <w:proofErr w:type="spellEnd"/>
      <w:r w:rsidRPr="00A472FC">
        <w:rPr>
          <w:rFonts w:ascii="Times New Roman" w:hAnsi="Times New Roman" w:cs="Times New Roman"/>
        </w:rPr>
        <w:t xml:space="preserve">, M. </w:t>
      </w:r>
      <w:r w:rsidRPr="00A472FC">
        <w:rPr>
          <w:rFonts w:ascii="Times New Roman" w:hAnsi="Times New Roman" w:cs="Times New Roman"/>
          <w:i/>
        </w:rPr>
        <w:t xml:space="preserve">Die </w:t>
      </w:r>
      <w:proofErr w:type="spellStart"/>
      <w:r w:rsidRPr="00A472FC">
        <w:rPr>
          <w:rFonts w:ascii="Times New Roman" w:hAnsi="Times New Roman" w:cs="Times New Roman"/>
          <w:i/>
        </w:rPr>
        <w:t>Stellung</w:t>
      </w:r>
      <w:proofErr w:type="spellEnd"/>
      <w:r w:rsidRPr="00A472FC">
        <w:rPr>
          <w:rFonts w:ascii="Times New Roman" w:hAnsi="Times New Roman" w:cs="Times New Roman"/>
          <w:i/>
        </w:rPr>
        <w:t xml:space="preserve"> des hl. Thomas von </w:t>
      </w:r>
      <w:proofErr w:type="spellStart"/>
      <w:r w:rsidRPr="00A472FC">
        <w:rPr>
          <w:rFonts w:ascii="Times New Roman" w:hAnsi="Times New Roman" w:cs="Times New Roman"/>
          <w:i/>
        </w:rPr>
        <w:t>Aquin</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zu</w:t>
      </w:r>
      <w:proofErr w:type="spellEnd"/>
      <w:r w:rsidRPr="00A472FC">
        <w:rPr>
          <w:rFonts w:ascii="Times New Roman" w:hAnsi="Times New Roman" w:cs="Times New Roman"/>
          <w:i/>
        </w:rPr>
        <w:t xml:space="preserve"> </w:t>
      </w:r>
      <w:proofErr w:type="spellStart"/>
      <w:r w:rsidRPr="00A472FC">
        <w:rPr>
          <w:rFonts w:ascii="Times New Roman" w:hAnsi="Times New Roman" w:cs="Times New Roman"/>
          <w:i/>
        </w:rPr>
        <w:t>Avencebrol</w:t>
      </w:r>
      <w:proofErr w:type="spellEnd"/>
      <w:r w:rsidRPr="00A472FC">
        <w:rPr>
          <w:rFonts w:ascii="Times New Roman" w:hAnsi="Times New Roman" w:cs="Times New Roman"/>
          <w:i/>
        </w:rPr>
        <w:t xml:space="preserve"> (Ibn </w:t>
      </w:r>
      <w:proofErr w:type="spellStart"/>
      <w:r w:rsidRPr="00A472FC">
        <w:rPr>
          <w:rFonts w:ascii="Times New Roman" w:hAnsi="Times New Roman" w:cs="Times New Roman"/>
          <w:i/>
        </w:rPr>
        <w:t>Gebirol</w:t>
      </w:r>
      <w:proofErr w:type="spellEnd"/>
      <w:r w:rsidRPr="00A472FC">
        <w:rPr>
          <w:rFonts w:ascii="Times New Roman" w:hAnsi="Times New Roman" w:cs="Times New Roman"/>
          <w:i/>
        </w:rPr>
        <w:t>).</w:t>
      </w:r>
      <w:r w:rsidRPr="00A472FC">
        <w:rPr>
          <w:rFonts w:ascii="Times New Roman" w:hAnsi="Times New Roman" w:cs="Times New Roman"/>
        </w:rPr>
        <w:t xml:space="preserve"> </w:t>
      </w:r>
      <w:proofErr w:type="spellStart"/>
      <w:r w:rsidRPr="00A472FC">
        <w:rPr>
          <w:rFonts w:ascii="Times New Roman" w:hAnsi="Times New Roman" w:cs="Times New Roman"/>
        </w:rPr>
        <w:t>Beiträge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zur</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Geschichte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der</w:t>
      </w:r>
      <w:proofErr w:type="spellEnd"/>
      <w:r w:rsidRPr="00A472FC">
        <w:rPr>
          <w:rFonts w:ascii="Times New Roman" w:hAnsi="Times New Roman" w:cs="Times New Roman"/>
        </w:rPr>
        <w:t xml:space="preserve"> Philosophie des </w:t>
      </w:r>
      <w:proofErr w:type="spellStart"/>
      <w:r w:rsidRPr="00A472FC">
        <w:rPr>
          <w:rFonts w:ascii="Times New Roman" w:hAnsi="Times New Roman" w:cs="Times New Roman"/>
        </w:rPr>
        <w:t>Mittelalters</w:t>
      </w:r>
      <w:proofErr w:type="spellEnd"/>
      <w:r w:rsidRPr="00A472FC">
        <w:rPr>
          <w:rFonts w:ascii="Times New Roman" w:hAnsi="Times New Roman" w:cs="Times New Roman"/>
        </w:rPr>
        <w:t xml:space="preserve">, </w:t>
      </w:r>
      <w:r w:rsidR="000839AF" w:rsidRPr="00A472FC">
        <w:rPr>
          <w:rFonts w:ascii="Times New Roman" w:hAnsi="Times New Roman" w:cs="Times New Roman"/>
        </w:rPr>
        <w:t xml:space="preserve">Band </w:t>
      </w:r>
      <w:r w:rsidRPr="00A472FC">
        <w:rPr>
          <w:rFonts w:ascii="Times New Roman" w:hAnsi="Times New Roman" w:cs="Times New Roman"/>
        </w:rPr>
        <w:t>1</w:t>
      </w:r>
      <w:r w:rsidR="000839AF" w:rsidRPr="00A472FC">
        <w:rPr>
          <w:rFonts w:ascii="Times New Roman" w:hAnsi="Times New Roman" w:cs="Times New Roman"/>
        </w:rPr>
        <w:t>, Heft 3</w:t>
      </w:r>
      <w:r w:rsidRPr="00A472FC">
        <w:rPr>
          <w:rFonts w:ascii="Times New Roman" w:hAnsi="Times New Roman" w:cs="Times New Roman"/>
        </w:rPr>
        <w:t xml:space="preserve">2. Münster: </w:t>
      </w:r>
      <w:proofErr w:type="spellStart"/>
      <w:r w:rsidRPr="00A472FC">
        <w:rPr>
          <w:rFonts w:ascii="Times New Roman" w:hAnsi="Times New Roman" w:cs="Times New Roman"/>
        </w:rPr>
        <w:t>Aschendorff</w:t>
      </w:r>
      <w:proofErr w:type="spellEnd"/>
      <w:r w:rsidRPr="00A472FC">
        <w:rPr>
          <w:rFonts w:ascii="Times New Roman" w:hAnsi="Times New Roman" w:cs="Times New Roman"/>
        </w:rPr>
        <w:t>, 1900.</w:t>
      </w:r>
    </w:p>
    <w:p w14:paraId="75A0736F" w14:textId="59AF6878"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Wolfson</w:t>
      </w:r>
      <w:proofErr w:type="spellEnd"/>
      <w:r w:rsidRPr="00A472FC">
        <w:rPr>
          <w:rFonts w:ascii="Times New Roman" w:hAnsi="Times New Roman" w:cs="Times New Roman"/>
        </w:rPr>
        <w:t xml:space="preserve">, Harry A. ‘The Internal Senses in Latin, Arabic and Hebrew Philosophic Texts.’ </w:t>
      </w:r>
      <w:r w:rsidRPr="00A472FC">
        <w:rPr>
          <w:rFonts w:ascii="Times New Roman" w:hAnsi="Times New Roman" w:cs="Times New Roman"/>
          <w:i/>
          <w:iCs/>
        </w:rPr>
        <w:t xml:space="preserve">Harvard Theological Review </w:t>
      </w:r>
      <w:r w:rsidRPr="00A472FC">
        <w:rPr>
          <w:rFonts w:ascii="Times New Roman" w:hAnsi="Times New Roman" w:cs="Times New Roman"/>
        </w:rPr>
        <w:t>28</w:t>
      </w:r>
      <w:r w:rsidR="00B46FE7" w:rsidRPr="00A472FC">
        <w:rPr>
          <w:rFonts w:ascii="Times New Roman" w:hAnsi="Times New Roman" w:cs="Times New Roman"/>
        </w:rPr>
        <w:t>:</w:t>
      </w:r>
      <w:r w:rsidRPr="00A472FC">
        <w:rPr>
          <w:rFonts w:ascii="Times New Roman" w:hAnsi="Times New Roman" w:cs="Times New Roman"/>
        </w:rPr>
        <w:t>2 (1935): 70</w:t>
      </w:r>
      <w:r w:rsidR="00432609" w:rsidRPr="00A472FC">
        <w:rPr>
          <w:rFonts w:ascii="Times New Roman" w:hAnsi="Times New Roman" w:cs="Times New Roman"/>
        </w:rPr>
        <w:t>-</w:t>
      </w:r>
      <w:r w:rsidRPr="00A472FC">
        <w:rPr>
          <w:rFonts w:ascii="Times New Roman" w:hAnsi="Times New Roman" w:cs="Times New Roman"/>
        </w:rPr>
        <w:t>133.</w:t>
      </w:r>
    </w:p>
    <w:p w14:paraId="65E1D42F" w14:textId="4A5AF832" w:rsidR="00860E28" w:rsidRPr="00A472FC" w:rsidRDefault="00860E28" w:rsidP="00881604">
      <w:pPr>
        <w:autoSpaceDE w:val="0"/>
        <w:autoSpaceDN w:val="0"/>
        <w:adjustRightInd w:val="0"/>
        <w:ind w:left="720" w:right="-52" w:hanging="720"/>
        <w:rPr>
          <w:rFonts w:ascii="Times New Roman" w:hAnsi="Times New Roman" w:cs="Times New Roman"/>
        </w:rPr>
      </w:pPr>
      <w:r w:rsidRPr="00A472FC">
        <w:rPr>
          <w:rFonts w:ascii="Times New Roman" w:hAnsi="Times New Roman" w:cs="Times New Roman"/>
        </w:rPr>
        <w:t>Wood, Jacob W. ‘</w:t>
      </w:r>
      <w:proofErr w:type="spellStart"/>
      <w:r w:rsidRPr="00A472FC">
        <w:rPr>
          <w:rFonts w:ascii="Times New Roman" w:hAnsi="Times New Roman" w:cs="Times New Roman"/>
        </w:rPr>
        <w:t>Kataphasis</w:t>
      </w:r>
      <w:proofErr w:type="spellEnd"/>
      <w:r w:rsidRPr="00A472FC">
        <w:rPr>
          <w:rFonts w:ascii="Times New Roman" w:hAnsi="Times New Roman" w:cs="Times New Roman"/>
        </w:rPr>
        <w:t xml:space="preserve"> and </w:t>
      </w:r>
      <w:proofErr w:type="spellStart"/>
      <w:r w:rsidRPr="00A472FC">
        <w:rPr>
          <w:rFonts w:ascii="Times New Roman" w:hAnsi="Times New Roman" w:cs="Times New Roman"/>
        </w:rPr>
        <w:t>Apophasis</w:t>
      </w:r>
      <w:proofErr w:type="spellEnd"/>
      <w:r w:rsidRPr="00A472FC">
        <w:rPr>
          <w:rFonts w:ascii="Times New Roman" w:hAnsi="Times New Roman" w:cs="Times New Roman"/>
        </w:rPr>
        <w:t xml:space="preserve"> in Thirteenth Century Theology: The Anthropological Context of the Triplex Via in the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fratris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Alexandri</w:t>
      </w:r>
      <w:proofErr w:type="spellEnd"/>
      <w:r w:rsidRPr="00A472FC">
        <w:rPr>
          <w:rFonts w:ascii="Times New Roman" w:hAnsi="Times New Roman" w:cs="Times New Roman"/>
        </w:rPr>
        <w:t xml:space="preserve"> and Albert the Great.’ </w:t>
      </w:r>
      <w:r w:rsidRPr="00A472FC">
        <w:rPr>
          <w:rFonts w:ascii="Times New Roman" w:hAnsi="Times New Roman" w:cs="Times New Roman"/>
          <w:i/>
          <w:iCs/>
        </w:rPr>
        <w:t xml:space="preserve">The </w:t>
      </w:r>
      <w:proofErr w:type="spellStart"/>
      <w:r w:rsidRPr="00A472FC">
        <w:rPr>
          <w:rFonts w:ascii="Times New Roman" w:hAnsi="Times New Roman" w:cs="Times New Roman"/>
          <w:i/>
          <w:iCs/>
        </w:rPr>
        <w:t>Heythrop</w:t>
      </w:r>
      <w:proofErr w:type="spellEnd"/>
      <w:r w:rsidRPr="00A472FC">
        <w:rPr>
          <w:rFonts w:ascii="Times New Roman" w:hAnsi="Times New Roman" w:cs="Times New Roman"/>
          <w:i/>
          <w:iCs/>
        </w:rPr>
        <w:t xml:space="preserve"> Journal</w:t>
      </w:r>
      <w:r w:rsidRPr="00A472FC">
        <w:rPr>
          <w:rFonts w:ascii="Times New Roman" w:hAnsi="Times New Roman" w:cs="Times New Roman"/>
        </w:rPr>
        <w:t xml:space="preserve"> 57 (2016)</w:t>
      </w:r>
      <w:r w:rsidR="006818FF" w:rsidRPr="00A472FC">
        <w:rPr>
          <w:rFonts w:ascii="Times New Roman" w:hAnsi="Times New Roman" w:cs="Times New Roman"/>
        </w:rPr>
        <w:t xml:space="preserve">: </w:t>
      </w:r>
      <w:r w:rsidRPr="00A472FC">
        <w:rPr>
          <w:rFonts w:ascii="Times New Roman" w:hAnsi="Times New Roman" w:cs="Times New Roman"/>
        </w:rPr>
        <w:t>293–311.</w:t>
      </w:r>
    </w:p>
    <w:p w14:paraId="277960D6" w14:textId="4E713C23" w:rsidR="006A6E61" w:rsidRPr="00A472FC" w:rsidRDefault="006A6E61" w:rsidP="00881604">
      <w:pPr>
        <w:autoSpaceDE w:val="0"/>
        <w:autoSpaceDN w:val="0"/>
        <w:adjustRightInd w:val="0"/>
        <w:ind w:left="720" w:right="-52" w:hanging="720"/>
        <w:rPr>
          <w:rFonts w:ascii="Times New Roman" w:hAnsi="Times New Roman" w:cs="Times New Roman"/>
        </w:rPr>
      </w:pPr>
      <w:proofErr w:type="spellStart"/>
      <w:r w:rsidRPr="00A472FC">
        <w:rPr>
          <w:rFonts w:ascii="Times New Roman" w:hAnsi="Times New Roman" w:cs="Times New Roman"/>
        </w:rPr>
        <w:t>Wulf</w:t>
      </w:r>
      <w:proofErr w:type="spellEnd"/>
      <w:r w:rsidRPr="00A472FC">
        <w:rPr>
          <w:rFonts w:ascii="Times New Roman" w:hAnsi="Times New Roman" w:cs="Times New Roman"/>
        </w:rPr>
        <w:t xml:space="preserve">, Maurice De. ‘Le </w:t>
      </w:r>
      <w:proofErr w:type="spellStart"/>
      <w:r w:rsidRPr="00A472FC">
        <w:rPr>
          <w:rFonts w:ascii="Times New Roman" w:hAnsi="Times New Roman" w:cs="Times New Roman"/>
        </w:rPr>
        <w:t>traité</w:t>
      </w:r>
      <w:proofErr w:type="spellEnd"/>
      <w:r w:rsidRPr="00A472FC">
        <w:rPr>
          <w:rFonts w:ascii="Times New Roman" w:hAnsi="Times New Roman" w:cs="Times New Roman"/>
        </w:rPr>
        <w:t xml:space="preserve"> </w:t>
      </w:r>
      <w:r w:rsidRPr="00A472FC">
        <w:rPr>
          <w:rFonts w:ascii="Times New Roman" w:hAnsi="Times New Roman" w:cs="Times New Roman"/>
          <w:i/>
          <w:iCs/>
        </w:rPr>
        <w:t xml:space="preserve">De </w:t>
      </w:r>
      <w:proofErr w:type="spellStart"/>
      <w:r w:rsidRPr="00A472FC">
        <w:rPr>
          <w:rFonts w:ascii="Times New Roman" w:hAnsi="Times New Roman" w:cs="Times New Roman"/>
          <w:i/>
          <w:iCs/>
        </w:rPr>
        <w:t>unitate</w:t>
      </w:r>
      <w:proofErr w:type="spellEnd"/>
      <w:r w:rsidRPr="00A472FC">
        <w:rPr>
          <w:rFonts w:ascii="Times New Roman" w:hAnsi="Times New Roman" w:cs="Times New Roman"/>
          <w:i/>
          <w:iCs/>
        </w:rPr>
        <w:t xml:space="preserve"> </w:t>
      </w:r>
      <w:proofErr w:type="spellStart"/>
      <w:r w:rsidR="00582E09" w:rsidRPr="00A472FC">
        <w:rPr>
          <w:rFonts w:ascii="Times New Roman" w:hAnsi="Times New Roman" w:cs="Times New Roman"/>
          <w:i/>
          <w:iCs/>
        </w:rPr>
        <w:t>f</w:t>
      </w:r>
      <w:r w:rsidRPr="00A472FC">
        <w:rPr>
          <w:rFonts w:ascii="Times New Roman" w:hAnsi="Times New Roman" w:cs="Times New Roman"/>
          <w:i/>
          <w:iCs/>
        </w:rPr>
        <w:t>ormae</w:t>
      </w:r>
      <w:proofErr w:type="spellEnd"/>
      <w:r w:rsidRPr="00A472FC">
        <w:rPr>
          <w:rFonts w:ascii="Times New Roman" w:hAnsi="Times New Roman" w:cs="Times New Roman"/>
        </w:rPr>
        <w:t xml:space="preserve"> de Gilles de </w:t>
      </w:r>
      <w:proofErr w:type="spellStart"/>
      <w:r w:rsidRPr="00A472FC">
        <w:rPr>
          <w:rFonts w:ascii="Times New Roman" w:hAnsi="Times New Roman" w:cs="Times New Roman"/>
        </w:rPr>
        <w:t>Lessines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Texte</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inédit</w:t>
      </w:r>
      <w:proofErr w:type="spellEnd"/>
      <w:r w:rsidRPr="00A472FC">
        <w:rPr>
          <w:rFonts w:ascii="Times New Roman" w:hAnsi="Times New Roman" w:cs="Times New Roman"/>
        </w:rPr>
        <w:t xml:space="preserve"> et étude).’ In </w:t>
      </w:r>
      <w:r w:rsidRPr="00A472FC">
        <w:rPr>
          <w:rFonts w:ascii="Times New Roman" w:hAnsi="Times New Roman" w:cs="Times New Roman"/>
          <w:i/>
          <w:iCs/>
        </w:rPr>
        <w:t xml:space="preserve">Les </w:t>
      </w:r>
      <w:proofErr w:type="spellStart"/>
      <w:r w:rsidRPr="00A472FC">
        <w:rPr>
          <w:rFonts w:ascii="Times New Roman" w:hAnsi="Times New Roman" w:cs="Times New Roman"/>
          <w:i/>
          <w:iCs/>
        </w:rPr>
        <w:t>Philosophes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Belges</w:t>
      </w:r>
      <w:proofErr w:type="spellEnd"/>
      <w:r w:rsidRPr="00A472FC">
        <w:rPr>
          <w:rFonts w:ascii="Times New Roman" w:hAnsi="Times New Roman" w:cs="Times New Roman"/>
        </w:rPr>
        <w:t>, 10-82</w:t>
      </w:r>
      <w:r w:rsidR="009F7244" w:rsidRPr="00A472FC">
        <w:rPr>
          <w:rFonts w:ascii="Times New Roman" w:hAnsi="Times New Roman" w:cs="Times New Roman"/>
        </w:rPr>
        <w:t xml:space="preserve">. </w:t>
      </w:r>
      <w:r w:rsidRPr="00A472FC">
        <w:rPr>
          <w:rFonts w:ascii="Times New Roman" w:hAnsi="Times New Roman" w:cs="Times New Roman"/>
        </w:rPr>
        <w:t xml:space="preserve">Institut </w:t>
      </w:r>
      <w:proofErr w:type="spellStart"/>
      <w:r w:rsidRPr="00A472FC">
        <w:rPr>
          <w:rFonts w:ascii="Times New Roman" w:hAnsi="Times New Roman" w:cs="Times New Roman"/>
        </w:rPr>
        <w:t>Supérior</w:t>
      </w:r>
      <w:proofErr w:type="spellEnd"/>
      <w:r w:rsidRPr="00A472FC">
        <w:rPr>
          <w:rFonts w:ascii="Times New Roman" w:hAnsi="Times New Roman" w:cs="Times New Roman"/>
        </w:rPr>
        <w:t xml:space="preserve"> de Philosophie de l’Université, 1901.</w:t>
      </w:r>
    </w:p>
    <w:p w14:paraId="578DB764" w14:textId="77777777" w:rsidR="00814CEA" w:rsidRPr="00A472FC" w:rsidRDefault="00814CEA" w:rsidP="00CE4A43">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Young, Spencer. </w:t>
      </w:r>
      <w:r w:rsidRPr="00A472FC">
        <w:rPr>
          <w:rFonts w:ascii="Times New Roman" w:hAnsi="Times New Roman" w:cs="Times New Roman"/>
          <w:i/>
          <w:iCs/>
        </w:rPr>
        <w:t xml:space="preserve">Scholarly Community at the Early University of Paris: Theologians, Education and Society, 1215-1248. </w:t>
      </w:r>
      <w:r w:rsidRPr="00A472FC">
        <w:rPr>
          <w:rFonts w:ascii="Times New Roman" w:hAnsi="Times New Roman" w:cs="Times New Roman"/>
        </w:rPr>
        <w:t xml:space="preserve">Cambridge: Cambridge University Press, 2014. </w:t>
      </w:r>
    </w:p>
    <w:p w14:paraId="6C3D6A46" w14:textId="0B22FD03" w:rsidR="000263DE" w:rsidRPr="00A472FC" w:rsidRDefault="000263DE" w:rsidP="00CE4A43">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t>Zachhuber</w:t>
      </w:r>
      <w:proofErr w:type="spellEnd"/>
      <w:r w:rsidRPr="00A472FC">
        <w:rPr>
          <w:rFonts w:ascii="Times New Roman" w:hAnsi="Times New Roman" w:cs="Times New Roman"/>
        </w:rPr>
        <w:t xml:space="preserve">, Johannes. ‘John of Damascus in the </w:t>
      </w:r>
      <w:r w:rsidRPr="00A472FC">
        <w:rPr>
          <w:rFonts w:ascii="Times New Roman" w:hAnsi="Times New Roman" w:cs="Times New Roman"/>
          <w:i/>
          <w:iCs/>
        </w:rPr>
        <w:t xml:space="preserve">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i/>
          <w:iCs/>
        </w:rPr>
        <w:t xml:space="preserve">: The Use of Greek Patristic Thought in the Treatment of the Incarnation.’ </w:t>
      </w:r>
      <w:r w:rsidRPr="00A472FC">
        <w:rPr>
          <w:rFonts w:ascii="Times New Roman" w:hAnsi="Times New Roman" w:cs="Times New Roman"/>
        </w:rPr>
        <w:t xml:space="preserve">In </w:t>
      </w:r>
      <w:r w:rsidRPr="00A472FC">
        <w:rPr>
          <w:rFonts w:ascii="Times New Roman" w:hAnsi="Times New Roman" w:cs="Times New Roman"/>
          <w:i/>
          <w:iCs/>
        </w:rPr>
        <w:t xml:space="preserve">The Summa </w:t>
      </w:r>
      <w:proofErr w:type="spellStart"/>
      <w:r w:rsidRPr="00A472FC">
        <w:rPr>
          <w:rFonts w:ascii="Times New Roman" w:hAnsi="Times New Roman" w:cs="Times New Roman"/>
          <w:i/>
          <w:iCs/>
        </w:rPr>
        <w:t>Halensis</w:t>
      </w:r>
      <w:proofErr w:type="spellEnd"/>
      <w:r w:rsidRPr="00A472FC">
        <w:rPr>
          <w:rFonts w:ascii="Times New Roman" w:hAnsi="Times New Roman" w:cs="Times New Roman"/>
          <w:i/>
          <w:iCs/>
        </w:rPr>
        <w:t xml:space="preserve">: Doctrines and Debates, </w:t>
      </w:r>
      <w:r w:rsidRPr="00A472FC">
        <w:rPr>
          <w:rFonts w:ascii="Times New Roman" w:hAnsi="Times New Roman" w:cs="Times New Roman"/>
        </w:rPr>
        <w:t>91-116. Edited by Lydia Schumacher. Berlin: De Gruyter, 2020.</w:t>
      </w:r>
    </w:p>
    <w:p w14:paraId="7684C0CA" w14:textId="0CBA9045" w:rsidR="006A6E61" w:rsidRPr="00A472FC" w:rsidRDefault="006A6E61" w:rsidP="00CE4A43">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t>Zavalloni</w:t>
      </w:r>
      <w:proofErr w:type="spellEnd"/>
      <w:r w:rsidRPr="00A472FC">
        <w:rPr>
          <w:rFonts w:ascii="Times New Roman" w:hAnsi="Times New Roman" w:cs="Times New Roman"/>
        </w:rPr>
        <w:t xml:space="preserve">, Roberto. </w:t>
      </w:r>
      <w:r w:rsidRPr="00A472FC">
        <w:rPr>
          <w:rFonts w:ascii="Times New Roman" w:hAnsi="Times New Roman" w:cs="Times New Roman"/>
          <w:i/>
          <w:iCs/>
        </w:rPr>
        <w:t xml:space="preserve">Richard de </w:t>
      </w:r>
      <w:proofErr w:type="spellStart"/>
      <w:r w:rsidRPr="00A472FC">
        <w:rPr>
          <w:rFonts w:ascii="Times New Roman" w:hAnsi="Times New Roman" w:cs="Times New Roman"/>
          <w:i/>
          <w:iCs/>
        </w:rPr>
        <w:t>Mediavilla</w:t>
      </w:r>
      <w:proofErr w:type="spellEnd"/>
      <w:r w:rsidRPr="00A472FC">
        <w:rPr>
          <w:rFonts w:ascii="Times New Roman" w:hAnsi="Times New Roman" w:cs="Times New Roman"/>
          <w:i/>
          <w:iCs/>
        </w:rPr>
        <w:t xml:space="preserve"> et la </w:t>
      </w:r>
      <w:proofErr w:type="spellStart"/>
      <w:r w:rsidRPr="00A472FC">
        <w:rPr>
          <w:rFonts w:ascii="Times New Roman" w:hAnsi="Times New Roman" w:cs="Times New Roman"/>
          <w:i/>
          <w:iCs/>
        </w:rPr>
        <w:t>controverse</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sur</w:t>
      </w:r>
      <w:proofErr w:type="spellEnd"/>
      <w:r w:rsidRPr="00A472FC">
        <w:rPr>
          <w:rFonts w:ascii="Times New Roman" w:hAnsi="Times New Roman" w:cs="Times New Roman"/>
          <w:i/>
          <w:iCs/>
        </w:rPr>
        <w:t xml:space="preserve"> la </w:t>
      </w:r>
      <w:proofErr w:type="spellStart"/>
      <w:r w:rsidRPr="00A472FC">
        <w:rPr>
          <w:rFonts w:ascii="Times New Roman" w:hAnsi="Times New Roman" w:cs="Times New Roman"/>
          <w:i/>
          <w:iCs/>
        </w:rPr>
        <w:t>pluralité</w:t>
      </w:r>
      <w:proofErr w:type="spellEnd"/>
      <w:r w:rsidRPr="00A472FC">
        <w:rPr>
          <w:rFonts w:ascii="Times New Roman" w:hAnsi="Times New Roman" w:cs="Times New Roman"/>
          <w:i/>
          <w:iCs/>
        </w:rPr>
        <w:t xml:space="preserve"> des forms.</w:t>
      </w:r>
      <w:r w:rsidRPr="00A472FC">
        <w:rPr>
          <w:rFonts w:ascii="Times New Roman" w:hAnsi="Times New Roman" w:cs="Times New Roman"/>
        </w:rPr>
        <w:t xml:space="preserve"> </w:t>
      </w:r>
      <w:proofErr w:type="spellStart"/>
      <w:r w:rsidRPr="00A472FC">
        <w:rPr>
          <w:rFonts w:ascii="Times New Roman" w:hAnsi="Times New Roman" w:cs="Times New Roman"/>
        </w:rPr>
        <w:t>Louvain</w:t>
      </w:r>
      <w:proofErr w:type="spellEnd"/>
      <w:r w:rsidRPr="00A472FC">
        <w:rPr>
          <w:rFonts w:ascii="Times New Roman" w:hAnsi="Times New Roman" w:cs="Times New Roman"/>
        </w:rPr>
        <w:t xml:space="preserve">: Editions de l’Institut </w:t>
      </w:r>
      <w:proofErr w:type="spellStart"/>
      <w:r w:rsidRPr="00A472FC">
        <w:rPr>
          <w:rFonts w:ascii="Times New Roman" w:hAnsi="Times New Roman" w:cs="Times New Roman"/>
        </w:rPr>
        <w:t>superieur</w:t>
      </w:r>
      <w:proofErr w:type="spellEnd"/>
      <w:r w:rsidRPr="00A472FC">
        <w:rPr>
          <w:rFonts w:ascii="Times New Roman" w:hAnsi="Times New Roman" w:cs="Times New Roman"/>
        </w:rPr>
        <w:t xml:space="preserve"> de philosophie, 1951.</w:t>
      </w:r>
    </w:p>
    <w:p w14:paraId="0902E659" w14:textId="010CCFF8" w:rsidR="008E42DC" w:rsidRPr="00A472FC" w:rsidRDefault="008E42DC" w:rsidP="008C5F9C">
      <w:pPr>
        <w:ind w:left="709" w:hanging="709"/>
        <w:rPr>
          <w:rFonts w:ascii="Times New Roman" w:hAnsi="Times New Roman" w:cs="Times New Roman"/>
          <w:lang w:val="it-IT"/>
        </w:rPr>
      </w:pPr>
      <w:proofErr w:type="spellStart"/>
      <w:r w:rsidRPr="00A472FC">
        <w:rPr>
          <w:rFonts w:ascii="Times New Roman" w:hAnsi="Times New Roman" w:cs="Times New Roman"/>
          <w:lang w:val="it-IT"/>
        </w:rPr>
        <w:t>Zavattero</w:t>
      </w:r>
      <w:proofErr w:type="spellEnd"/>
      <w:r w:rsidRPr="00A472FC">
        <w:rPr>
          <w:rFonts w:ascii="Times New Roman" w:hAnsi="Times New Roman" w:cs="Times New Roman"/>
          <w:lang w:val="it-IT"/>
        </w:rPr>
        <w:t xml:space="preserve">, Irene. ‘La </w:t>
      </w:r>
      <w:proofErr w:type="spellStart"/>
      <w:r w:rsidR="00E87483" w:rsidRPr="00A472FC">
        <w:rPr>
          <w:rFonts w:ascii="Times New Roman" w:hAnsi="Times New Roman" w:cs="Times New Roman"/>
          <w:lang w:val="it-IT"/>
        </w:rPr>
        <w:t>b</w:t>
      </w:r>
      <w:r w:rsidRPr="00A472FC">
        <w:rPr>
          <w:rFonts w:ascii="Times New Roman" w:hAnsi="Times New Roman" w:cs="Times New Roman"/>
          <w:lang w:val="it-IT"/>
        </w:rPr>
        <w:t>oulesis</w:t>
      </w:r>
      <w:proofErr w:type="spellEnd"/>
      <w:r w:rsidRPr="00A472FC">
        <w:rPr>
          <w:rFonts w:ascii="Times New Roman" w:hAnsi="Times New Roman" w:cs="Times New Roman"/>
          <w:lang w:val="it-IT"/>
        </w:rPr>
        <w:t xml:space="preserve"> nella psicologia dell’agire morale della prima metà del XIII secolo.’ In </w:t>
      </w:r>
      <w:r w:rsidRPr="00A472FC">
        <w:rPr>
          <w:rFonts w:ascii="Times New Roman" w:hAnsi="Times New Roman" w:cs="Times New Roman"/>
          <w:i/>
          <w:iCs/>
          <w:lang w:val="it-IT"/>
        </w:rPr>
        <w:t>Il desiderio nel Medioevo</w:t>
      </w:r>
      <w:r w:rsidR="00382CA6" w:rsidRPr="00A472FC">
        <w:rPr>
          <w:rFonts w:ascii="Times New Roman" w:hAnsi="Times New Roman" w:cs="Times New Roman"/>
          <w:lang w:val="it-IT"/>
        </w:rPr>
        <w:t xml:space="preserve">. </w:t>
      </w:r>
      <w:proofErr w:type="spellStart"/>
      <w:r w:rsidR="00382CA6" w:rsidRPr="00A472FC">
        <w:rPr>
          <w:rFonts w:ascii="Times New Roman" w:hAnsi="Times New Roman" w:cs="Times New Roman"/>
          <w:lang w:val="it-IT"/>
        </w:rPr>
        <w:t>E</w:t>
      </w:r>
      <w:r w:rsidRPr="00A472FC">
        <w:rPr>
          <w:rFonts w:ascii="Times New Roman" w:hAnsi="Times New Roman" w:cs="Times New Roman"/>
          <w:lang w:val="it-IT"/>
        </w:rPr>
        <w:t>dited</w:t>
      </w:r>
      <w:proofErr w:type="spellEnd"/>
      <w:r w:rsidRPr="00A472FC">
        <w:rPr>
          <w:rFonts w:ascii="Times New Roman" w:hAnsi="Times New Roman" w:cs="Times New Roman"/>
          <w:lang w:val="it-IT"/>
        </w:rPr>
        <w:t xml:space="preserve"> by A. Palazz</w:t>
      </w:r>
      <w:r w:rsidR="00CE4A43" w:rsidRPr="00A472FC">
        <w:rPr>
          <w:rFonts w:ascii="Times New Roman" w:hAnsi="Times New Roman" w:cs="Times New Roman"/>
          <w:lang w:val="it-IT"/>
        </w:rPr>
        <w:t xml:space="preserve">o, 133-50. </w:t>
      </w:r>
      <w:r w:rsidRPr="00A472FC">
        <w:rPr>
          <w:rFonts w:ascii="Times New Roman" w:hAnsi="Times New Roman" w:cs="Times New Roman"/>
          <w:lang w:val="it-IT"/>
        </w:rPr>
        <w:t xml:space="preserve">Rome: </w:t>
      </w:r>
      <w:proofErr w:type="spellStart"/>
      <w:r w:rsidRPr="00A472FC">
        <w:rPr>
          <w:rFonts w:ascii="Times New Roman" w:eastAsia="Times New Roman" w:hAnsi="Times New Roman" w:cs="Times New Roman"/>
          <w:color w:val="333333"/>
          <w:shd w:val="clear" w:color="auto" w:fill="FFFFFF"/>
          <w:lang w:eastAsia="en-GB"/>
        </w:rPr>
        <w:t>Edizioni</w:t>
      </w:r>
      <w:proofErr w:type="spellEnd"/>
      <w:r w:rsidRPr="00A472FC">
        <w:rPr>
          <w:rFonts w:ascii="Times New Roman" w:eastAsia="Times New Roman" w:hAnsi="Times New Roman" w:cs="Times New Roman"/>
          <w:color w:val="333333"/>
          <w:shd w:val="clear" w:color="auto" w:fill="FFFFFF"/>
          <w:lang w:eastAsia="en-GB"/>
        </w:rPr>
        <w:t xml:space="preserve"> </w:t>
      </w:r>
      <w:proofErr w:type="spellStart"/>
      <w:r w:rsidRPr="00A472FC">
        <w:rPr>
          <w:rFonts w:ascii="Times New Roman" w:eastAsia="Times New Roman" w:hAnsi="Times New Roman" w:cs="Times New Roman"/>
          <w:color w:val="333333"/>
          <w:shd w:val="clear" w:color="auto" w:fill="FFFFFF"/>
          <w:lang w:eastAsia="en-GB"/>
        </w:rPr>
        <w:t>di</w:t>
      </w:r>
      <w:proofErr w:type="spellEnd"/>
      <w:r w:rsidRPr="00A472FC">
        <w:rPr>
          <w:rFonts w:ascii="Times New Roman" w:eastAsia="Times New Roman" w:hAnsi="Times New Roman" w:cs="Times New Roman"/>
          <w:color w:val="333333"/>
          <w:shd w:val="clear" w:color="auto" w:fill="FFFFFF"/>
          <w:lang w:eastAsia="en-GB"/>
        </w:rPr>
        <w:t xml:space="preserve"> </w:t>
      </w:r>
      <w:proofErr w:type="spellStart"/>
      <w:r w:rsidRPr="00A472FC">
        <w:rPr>
          <w:rFonts w:ascii="Times New Roman" w:eastAsia="Times New Roman" w:hAnsi="Times New Roman" w:cs="Times New Roman"/>
          <w:color w:val="333333"/>
          <w:shd w:val="clear" w:color="auto" w:fill="FFFFFF"/>
          <w:lang w:eastAsia="en-GB"/>
        </w:rPr>
        <w:t>storia</w:t>
      </w:r>
      <w:proofErr w:type="spellEnd"/>
      <w:r w:rsidRPr="00A472FC">
        <w:rPr>
          <w:rFonts w:ascii="Times New Roman" w:eastAsia="Times New Roman" w:hAnsi="Times New Roman" w:cs="Times New Roman"/>
          <w:color w:val="333333"/>
          <w:shd w:val="clear" w:color="auto" w:fill="FFFFFF"/>
          <w:lang w:eastAsia="en-GB"/>
        </w:rPr>
        <w:t xml:space="preserve"> e </w:t>
      </w:r>
      <w:proofErr w:type="spellStart"/>
      <w:r w:rsidRPr="00A472FC">
        <w:rPr>
          <w:rFonts w:ascii="Times New Roman" w:eastAsia="Times New Roman" w:hAnsi="Times New Roman" w:cs="Times New Roman"/>
          <w:color w:val="333333"/>
          <w:shd w:val="clear" w:color="auto" w:fill="FFFFFF"/>
          <w:lang w:eastAsia="en-GB"/>
        </w:rPr>
        <w:t>letteratura</w:t>
      </w:r>
      <w:proofErr w:type="spellEnd"/>
      <w:r w:rsidRPr="00A472FC">
        <w:rPr>
          <w:rFonts w:ascii="Times New Roman" w:eastAsia="Times New Roman" w:hAnsi="Times New Roman" w:cs="Times New Roman"/>
          <w:color w:val="333333"/>
          <w:shd w:val="clear" w:color="auto" w:fill="FFFFFF"/>
          <w:lang w:eastAsia="en-GB"/>
        </w:rPr>
        <w:t xml:space="preserve">, </w:t>
      </w:r>
      <w:r w:rsidRPr="00A472FC">
        <w:rPr>
          <w:rFonts w:ascii="Times New Roman" w:hAnsi="Times New Roman" w:cs="Times New Roman"/>
          <w:lang w:val="it-IT"/>
        </w:rPr>
        <w:t>2014</w:t>
      </w:r>
      <w:r w:rsidR="00CE4A43" w:rsidRPr="00A472FC">
        <w:rPr>
          <w:rFonts w:ascii="Times New Roman" w:hAnsi="Times New Roman" w:cs="Times New Roman"/>
          <w:lang w:val="it-IT"/>
        </w:rPr>
        <w:t>.</w:t>
      </w:r>
    </w:p>
    <w:p w14:paraId="61DEDFFF" w14:textId="7FA1055F" w:rsidR="00F30E05" w:rsidRPr="00A472FC" w:rsidRDefault="00F30E05" w:rsidP="008C5F9C">
      <w:pPr>
        <w:ind w:left="709" w:hanging="709"/>
        <w:rPr>
          <w:rFonts w:ascii="Times New Roman" w:hAnsi="Times New Roman" w:cs="Times New Roman"/>
          <w:lang w:val="it-IT"/>
        </w:rPr>
      </w:pPr>
      <w:r w:rsidRPr="00A472FC">
        <w:rPr>
          <w:rFonts w:ascii="Times New Roman" w:hAnsi="Times New Roman" w:cs="Times New Roman"/>
        </w:rPr>
        <w:t>———. ‘</w:t>
      </w:r>
      <w:proofErr w:type="spellStart"/>
      <w:r w:rsidRPr="00A472FC">
        <w:rPr>
          <w:rFonts w:ascii="Times New Roman" w:hAnsi="Times New Roman" w:cs="Times New Roman"/>
          <w:i/>
          <w:iCs/>
        </w:rPr>
        <w:t>Voluntas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est</w:t>
      </w:r>
      <w:proofErr w:type="spellEnd"/>
      <w:r w:rsidRPr="00A472FC">
        <w:rPr>
          <w:rFonts w:ascii="Times New Roman" w:hAnsi="Times New Roman" w:cs="Times New Roman"/>
          <w:i/>
          <w:iCs/>
        </w:rPr>
        <w:t xml:space="preserve"> duplex</w:t>
      </w:r>
      <w:r w:rsidRPr="00A472FC">
        <w:rPr>
          <w:rFonts w:ascii="Times New Roman" w:hAnsi="Times New Roman" w:cs="Times New Roman"/>
        </w:rPr>
        <w:t xml:space="preserve">: La </w:t>
      </w:r>
      <w:proofErr w:type="spellStart"/>
      <w:r w:rsidRPr="00A472FC">
        <w:rPr>
          <w:rFonts w:ascii="Times New Roman" w:hAnsi="Times New Roman" w:cs="Times New Roman"/>
        </w:rPr>
        <w:t>dottrina</w:t>
      </w:r>
      <w:proofErr w:type="spellEnd"/>
      <w:r w:rsidRPr="00A472FC">
        <w:rPr>
          <w:rFonts w:ascii="Times New Roman" w:hAnsi="Times New Roman" w:cs="Times New Roman"/>
        </w:rPr>
        <w:t xml:space="preserve"> della </w:t>
      </w:r>
      <w:proofErr w:type="spellStart"/>
      <w:r w:rsidRPr="00A472FC">
        <w:rPr>
          <w:rFonts w:ascii="Times New Roman" w:hAnsi="Times New Roman" w:cs="Times New Roman"/>
        </w:rPr>
        <w:t>voluntà</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dell’anonimo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commentario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Parigi</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sull’ethica</w:t>
      </w:r>
      <w:proofErr w:type="spellEnd"/>
      <w:r w:rsidRPr="00A472FC">
        <w:rPr>
          <w:rFonts w:ascii="Times New Roman" w:hAnsi="Times New Roman" w:cs="Times New Roman"/>
        </w:rPr>
        <w:t xml:space="preserve"> Nova e </w:t>
      </w:r>
      <w:proofErr w:type="spellStart"/>
      <w:r w:rsidRPr="00A472FC">
        <w:rPr>
          <w:rFonts w:ascii="Times New Roman" w:hAnsi="Times New Roman" w:cs="Times New Roman"/>
        </w:rPr>
        <w:t>Vetus</w:t>
      </w:r>
      <w:proofErr w:type="spellEnd"/>
      <w:r w:rsidRPr="00A472FC">
        <w:rPr>
          <w:rFonts w:ascii="Times New Roman" w:hAnsi="Times New Roman" w:cs="Times New Roman"/>
        </w:rPr>
        <w:t xml:space="preserve"> (1235-40).’ </w:t>
      </w:r>
      <w:proofErr w:type="spellStart"/>
      <w:r w:rsidRPr="00A472FC">
        <w:rPr>
          <w:rFonts w:ascii="Times New Roman" w:hAnsi="Times New Roman" w:cs="Times New Roman"/>
          <w:i/>
          <w:iCs/>
        </w:rPr>
        <w:t>Medioevo</w:t>
      </w:r>
      <w:proofErr w:type="spellEnd"/>
      <w:r w:rsidRPr="00A472FC">
        <w:rPr>
          <w:rFonts w:ascii="Times New Roman" w:hAnsi="Times New Roman" w:cs="Times New Roman"/>
          <w:i/>
          <w:iCs/>
        </w:rPr>
        <w:t xml:space="preserve"> </w:t>
      </w:r>
      <w:r w:rsidRPr="00A472FC">
        <w:rPr>
          <w:rFonts w:ascii="Times New Roman" w:hAnsi="Times New Roman" w:cs="Times New Roman"/>
        </w:rPr>
        <w:t>40 (2015)</w:t>
      </w:r>
      <w:r w:rsidR="00E16243" w:rsidRPr="00A472FC">
        <w:rPr>
          <w:rFonts w:ascii="Times New Roman" w:hAnsi="Times New Roman" w:cs="Times New Roman"/>
        </w:rPr>
        <w:t>:</w:t>
      </w:r>
      <w:r w:rsidRPr="00A472FC">
        <w:rPr>
          <w:rFonts w:ascii="Times New Roman" w:hAnsi="Times New Roman" w:cs="Times New Roman"/>
        </w:rPr>
        <w:t xml:space="preserve"> 65-96</w:t>
      </w:r>
      <w:r w:rsidR="00E16243" w:rsidRPr="00A472FC">
        <w:rPr>
          <w:rFonts w:ascii="Times New Roman" w:hAnsi="Times New Roman" w:cs="Times New Roman"/>
        </w:rPr>
        <w:t>.</w:t>
      </w:r>
    </w:p>
    <w:p w14:paraId="3F73BF9F" w14:textId="10F4745D" w:rsidR="00F30E05" w:rsidRPr="00A472FC" w:rsidRDefault="00F30E05" w:rsidP="00E4593E">
      <w:pPr>
        <w:autoSpaceDE w:val="0"/>
        <w:autoSpaceDN w:val="0"/>
        <w:adjustRightInd w:val="0"/>
        <w:ind w:left="709" w:right="-720" w:hanging="709"/>
        <w:rPr>
          <w:rFonts w:ascii="Times New Roman" w:hAnsi="Times New Roman" w:cs="Times New Roman"/>
        </w:rPr>
      </w:pPr>
      <w:r w:rsidRPr="00A472FC">
        <w:rPr>
          <w:rFonts w:ascii="Times New Roman" w:hAnsi="Times New Roman" w:cs="Times New Roman"/>
        </w:rPr>
        <w:t>———. ‘</w:t>
      </w:r>
      <w:proofErr w:type="spellStart"/>
      <w:r w:rsidRPr="00A472FC">
        <w:rPr>
          <w:rFonts w:ascii="Times New Roman" w:hAnsi="Times New Roman" w:cs="Times New Roman"/>
          <w:i/>
          <w:iCs/>
        </w:rPr>
        <w:t>Liberum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arbitrium</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est</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facultas</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voluntarios</w:t>
      </w:r>
      <w:proofErr w:type="spellEnd"/>
      <w:r w:rsidRPr="00A472FC">
        <w:rPr>
          <w:rFonts w:ascii="Times New Roman" w:hAnsi="Times New Roman" w:cs="Times New Roman"/>
          <w:i/>
          <w:iCs/>
        </w:rPr>
        <w:t xml:space="preserve"> et </w:t>
      </w:r>
      <w:proofErr w:type="spellStart"/>
      <w:r w:rsidRPr="00A472FC">
        <w:rPr>
          <w:rFonts w:ascii="Times New Roman" w:hAnsi="Times New Roman" w:cs="Times New Roman"/>
          <w:i/>
          <w:iCs/>
        </w:rPr>
        <w:t>rationis</w:t>
      </w:r>
      <w:proofErr w:type="spellEnd"/>
      <w:r w:rsidRPr="00A472FC">
        <w:rPr>
          <w:rFonts w:ascii="Times New Roman" w:hAnsi="Times New Roman" w:cs="Times New Roman"/>
        </w:rPr>
        <w:t xml:space="preserve">: </w:t>
      </w:r>
      <w:proofErr w:type="spellStart"/>
      <w:r w:rsidR="00F41320" w:rsidRPr="00A472FC">
        <w:rPr>
          <w:rFonts w:ascii="Times New Roman" w:hAnsi="Times New Roman" w:cs="Times New Roman"/>
        </w:rPr>
        <w:t>s</w:t>
      </w:r>
      <w:r w:rsidRPr="00A472FC">
        <w:rPr>
          <w:rFonts w:ascii="Times New Roman" w:hAnsi="Times New Roman" w:cs="Times New Roman"/>
        </w:rPr>
        <w:t>ulla</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definizione</w:t>
      </w:r>
      <w:proofErr w:type="spellEnd"/>
      <w:r w:rsidRPr="00A472FC">
        <w:rPr>
          <w:rFonts w:ascii="Times New Roman" w:hAnsi="Times New Roman" w:cs="Times New Roman"/>
        </w:rPr>
        <w:t xml:space="preserve"> de </w:t>
      </w:r>
      <w:proofErr w:type="spellStart"/>
      <w:r w:rsidRPr="00A472FC">
        <w:rPr>
          <w:rFonts w:ascii="Times New Roman" w:hAnsi="Times New Roman" w:cs="Times New Roman"/>
        </w:rPr>
        <w:t>libero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arbitrio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all’inizio</w:t>
      </w:r>
      <w:proofErr w:type="spellEnd"/>
      <w:r w:rsidRPr="00A472FC">
        <w:rPr>
          <w:rFonts w:ascii="Times New Roman" w:hAnsi="Times New Roman" w:cs="Times New Roman"/>
        </w:rPr>
        <w:t xml:space="preserve"> del </w:t>
      </w:r>
      <w:proofErr w:type="spellStart"/>
      <w:r w:rsidRPr="00A472FC">
        <w:rPr>
          <w:rFonts w:ascii="Times New Roman" w:hAnsi="Times New Roman" w:cs="Times New Roman"/>
        </w:rPr>
        <w:t>Duecento</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i/>
          <w:iCs/>
        </w:rPr>
        <w:t>Libertà</w:t>
      </w:r>
      <w:proofErr w:type="spellEnd"/>
      <w:r w:rsidRPr="00A472FC">
        <w:rPr>
          <w:rFonts w:ascii="Times New Roman" w:hAnsi="Times New Roman" w:cs="Times New Roman"/>
          <w:i/>
          <w:iCs/>
        </w:rPr>
        <w:t xml:space="preserve"> e </w:t>
      </w:r>
      <w:proofErr w:type="spellStart"/>
      <w:r w:rsidRPr="00A472FC">
        <w:rPr>
          <w:rFonts w:ascii="Times New Roman" w:hAnsi="Times New Roman" w:cs="Times New Roman"/>
          <w:i/>
          <w:iCs/>
        </w:rPr>
        <w:t>determinismo</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Riflessioni</w:t>
      </w:r>
      <w:proofErr w:type="spellEnd"/>
      <w:r w:rsidRPr="00A472FC">
        <w:rPr>
          <w:rFonts w:ascii="Times New Roman" w:hAnsi="Times New Roman" w:cs="Times New Roman"/>
          <w:i/>
          <w:iCs/>
        </w:rPr>
        <w:t xml:space="preserve"> </w:t>
      </w:r>
      <w:proofErr w:type="spellStart"/>
      <w:r w:rsidRPr="00A472FC">
        <w:rPr>
          <w:rFonts w:ascii="Times New Roman" w:hAnsi="Times New Roman" w:cs="Times New Roman"/>
          <w:i/>
          <w:iCs/>
        </w:rPr>
        <w:t>medievali</w:t>
      </w:r>
      <w:proofErr w:type="spellEnd"/>
      <w:r w:rsidRPr="00A472FC">
        <w:rPr>
          <w:rFonts w:ascii="Times New Roman" w:hAnsi="Times New Roman" w:cs="Times New Roman"/>
          <w:i/>
          <w:iCs/>
        </w:rPr>
        <w:t xml:space="preserve">. </w:t>
      </w:r>
      <w:r w:rsidRPr="00A472FC">
        <w:rPr>
          <w:rFonts w:ascii="Times New Roman" w:hAnsi="Times New Roman" w:cs="Times New Roman"/>
        </w:rPr>
        <w:t xml:space="preserve">Edited by </w:t>
      </w:r>
      <w:proofErr w:type="spellStart"/>
      <w:r w:rsidRPr="00A472FC">
        <w:rPr>
          <w:rFonts w:ascii="Times New Roman" w:hAnsi="Times New Roman" w:cs="Times New Roman"/>
        </w:rPr>
        <w:t>Marialucrezia</w:t>
      </w:r>
      <w:proofErr w:type="spellEnd"/>
      <w:r w:rsidRPr="00A472FC">
        <w:rPr>
          <w:rFonts w:ascii="Times New Roman" w:hAnsi="Times New Roman" w:cs="Times New Roman"/>
        </w:rPr>
        <w:t xml:space="preserve"> Leone, Luisa </w:t>
      </w:r>
      <w:proofErr w:type="spellStart"/>
      <w:r w:rsidRPr="00A472FC">
        <w:rPr>
          <w:rFonts w:ascii="Times New Roman" w:hAnsi="Times New Roman" w:cs="Times New Roman"/>
        </w:rPr>
        <w:t>Valente</w:t>
      </w:r>
      <w:proofErr w:type="spellEnd"/>
      <w:r w:rsidR="008C5F9C" w:rsidRPr="00A472FC">
        <w:rPr>
          <w:rFonts w:ascii="Times New Roman" w:hAnsi="Times New Roman" w:cs="Times New Roman"/>
        </w:rPr>
        <w:t xml:space="preserve">, 143-69. </w:t>
      </w:r>
      <w:r w:rsidRPr="00A472FC">
        <w:rPr>
          <w:rFonts w:ascii="Times New Roman" w:hAnsi="Times New Roman" w:cs="Times New Roman"/>
        </w:rPr>
        <w:t xml:space="preserve">Venice: </w:t>
      </w:r>
      <w:proofErr w:type="spellStart"/>
      <w:r w:rsidRPr="00A472FC">
        <w:rPr>
          <w:rFonts w:ascii="Times New Roman" w:hAnsi="Times New Roman" w:cs="Times New Roman"/>
        </w:rPr>
        <w:t>Gioacchino</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Onorati</w:t>
      </w:r>
      <w:proofErr w:type="spellEnd"/>
      <w:r w:rsidR="008C5F9C" w:rsidRPr="00A472FC">
        <w:rPr>
          <w:rFonts w:ascii="Times New Roman" w:hAnsi="Times New Roman" w:cs="Times New Roman"/>
        </w:rPr>
        <w:t>, 2017</w:t>
      </w:r>
      <w:r w:rsidRPr="00A472FC">
        <w:rPr>
          <w:rFonts w:ascii="Times New Roman" w:hAnsi="Times New Roman" w:cs="Times New Roman"/>
        </w:rPr>
        <w:t>.</w:t>
      </w:r>
    </w:p>
    <w:p w14:paraId="7B8C3229" w14:textId="7722F91B" w:rsidR="007B46C4" w:rsidRPr="00A472FC" w:rsidRDefault="007B46C4" w:rsidP="00E4593E">
      <w:pPr>
        <w:autoSpaceDE w:val="0"/>
        <w:autoSpaceDN w:val="0"/>
        <w:adjustRightInd w:val="0"/>
        <w:ind w:left="709" w:right="-52" w:hanging="709"/>
        <w:rPr>
          <w:rFonts w:ascii="Times New Roman" w:hAnsi="Times New Roman" w:cs="Times New Roman"/>
        </w:rPr>
      </w:pPr>
      <w:r w:rsidRPr="00A472FC">
        <w:rPr>
          <w:rFonts w:ascii="Times New Roman" w:hAnsi="Times New Roman" w:cs="Times New Roman"/>
        </w:rPr>
        <w:t xml:space="preserve">———. ‘Le début de la </w:t>
      </w:r>
      <w:proofErr w:type="spellStart"/>
      <w:r w:rsidRPr="00A472FC">
        <w:rPr>
          <w:rFonts w:ascii="Times New Roman" w:hAnsi="Times New Roman" w:cs="Times New Roman"/>
        </w:rPr>
        <w:t>réception</w:t>
      </w:r>
      <w:proofErr w:type="spellEnd"/>
      <w:r w:rsidRPr="00A472FC">
        <w:rPr>
          <w:rFonts w:ascii="Times New Roman" w:hAnsi="Times New Roman" w:cs="Times New Roman"/>
        </w:rPr>
        <w:t xml:space="preserve"> de </w:t>
      </w:r>
      <w:proofErr w:type="spellStart"/>
      <w:r w:rsidRPr="00A472FC">
        <w:rPr>
          <w:rFonts w:ascii="Times New Roman" w:hAnsi="Times New Roman" w:cs="Times New Roman"/>
        </w:rPr>
        <w:t>l’Éthique</w:t>
      </w:r>
      <w:proofErr w:type="spellEnd"/>
      <w:r w:rsidRPr="00A472FC">
        <w:rPr>
          <w:rFonts w:ascii="Times New Roman" w:hAnsi="Times New Roman" w:cs="Times New Roman"/>
        </w:rPr>
        <w:t xml:space="preserve"> à </w:t>
      </w:r>
      <w:proofErr w:type="spellStart"/>
      <w:r w:rsidRPr="00A472FC">
        <w:rPr>
          <w:rFonts w:ascii="Times New Roman" w:hAnsi="Times New Roman" w:cs="Times New Roman"/>
        </w:rPr>
        <w:t>Nicomaque</w:t>
      </w:r>
      <w:proofErr w:type="spellEnd"/>
      <w:r w:rsidRPr="00A472FC">
        <w:rPr>
          <w:rFonts w:ascii="Times New Roman" w:hAnsi="Times New Roman" w:cs="Times New Roman"/>
        </w:rPr>
        <w:t xml:space="preserve"> à Paris: </w:t>
      </w:r>
      <w:proofErr w:type="spellStart"/>
      <w:r w:rsidRPr="00A472FC">
        <w:rPr>
          <w:rFonts w:ascii="Times New Roman" w:hAnsi="Times New Roman" w:cs="Times New Roman"/>
        </w:rPr>
        <w:t>Maîtres</w:t>
      </w:r>
      <w:proofErr w:type="spellEnd"/>
      <w:r w:rsidRPr="00A472FC">
        <w:rPr>
          <w:rFonts w:ascii="Times New Roman" w:hAnsi="Times New Roman" w:cs="Times New Roman"/>
        </w:rPr>
        <w:t xml:space="preserve"> </w:t>
      </w:r>
      <w:proofErr w:type="spellStart"/>
      <w:r w:rsidRPr="00A472FC">
        <w:rPr>
          <w:rFonts w:ascii="Times New Roman" w:hAnsi="Times New Roman" w:cs="Times New Roman"/>
        </w:rPr>
        <w:t>dès</w:t>
      </w:r>
      <w:proofErr w:type="spellEnd"/>
      <w:r w:rsidRPr="00A472FC">
        <w:rPr>
          <w:rFonts w:ascii="Times New Roman" w:hAnsi="Times New Roman" w:cs="Times New Roman"/>
        </w:rPr>
        <w:t xml:space="preserve"> arts et </w:t>
      </w:r>
      <w:proofErr w:type="spellStart"/>
      <w:r w:rsidRPr="00A472FC">
        <w:rPr>
          <w:rFonts w:ascii="Times New Roman" w:hAnsi="Times New Roman" w:cs="Times New Roman"/>
        </w:rPr>
        <w:t>théologiens</w:t>
      </w:r>
      <w:proofErr w:type="spellEnd"/>
      <w:r w:rsidRPr="00A472FC">
        <w:rPr>
          <w:rFonts w:ascii="Times New Roman" w:hAnsi="Times New Roman" w:cs="Times New Roman"/>
        </w:rPr>
        <w:t xml:space="preserve"> in </w:t>
      </w:r>
      <w:proofErr w:type="spellStart"/>
      <w:r w:rsidRPr="00A472FC">
        <w:rPr>
          <w:rFonts w:ascii="Times New Roman" w:hAnsi="Times New Roman" w:cs="Times New Roman"/>
        </w:rPr>
        <w:t>comparaison</w:t>
      </w:r>
      <w:proofErr w:type="spellEnd"/>
      <w:r w:rsidR="001C69F6" w:rsidRPr="00A472FC">
        <w:rPr>
          <w:rFonts w:ascii="Times New Roman" w:hAnsi="Times New Roman" w:cs="Times New Roman"/>
        </w:rPr>
        <w:t>.’</w:t>
      </w:r>
      <w:r w:rsidRPr="00A472FC">
        <w:rPr>
          <w:rFonts w:ascii="Times New Roman" w:hAnsi="Times New Roman" w:cs="Times New Roman"/>
        </w:rPr>
        <w:t xml:space="preserve"> </w:t>
      </w:r>
      <w:proofErr w:type="spellStart"/>
      <w:r w:rsidRPr="00A472FC">
        <w:rPr>
          <w:rFonts w:ascii="Times New Roman" w:hAnsi="Times New Roman" w:cs="Times New Roman"/>
          <w:i/>
          <w:iCs/>
        </w:rPr>
        <w:t>Annuaire</w:t>
      </w:r>
      <w:proofErr w:type="spellEnd"/>
      <w:r w:rsidRPr="00A472FC">
        <w:rPr>
          <w:rFonts w:ascii="Times New Roman" w:hAnsi="Times New Roman" w:cs="Times New Roman"/>
          <w:i/>
          <w:iCs/>
        </w:rPr>
        <w:t xml:space="preserve"> de </w:t>
      </w:r>
      <w:proofErr w:type="spellStart"/>
      <w:r w:rsidRPr="00A472FC">
        <w:rPr>
          <w:rFonts w:ascii="Times New Roman" w:hAnsi="Times New Roman" w:cs="Times New Roman"/>
          <w:i/>
          <w:iCs/>
        </w:rPr>
        <w:t>l’Ecole</w:t>
      </w:r>
      <w:proofErr w:type="spellEnd"/>
      <w:r w:rsidRPr="00A472FC">
        <w:rPr>
          <w:rFonts w:ascii="Times New Roman" w:hAnsi="Times New Roman" w:cs="Times New Roman"/>
          <w:i/>
          <w:iCs/>
        </w:rPr>
        <w:t xml:space="preserve"> pratique des </w:t>
      </w:r>
      <w:proofErr w:type="spellStart"/>
      <w:r w:rsidRPr="00A472FC">
        <w:rPr>
          <w:rFonts w:ascii="Times New Roman" w:hAnsi="Times New Roman" w:cs="Times New Roman"/>
          <w:i/>
          <w:iCs/>
        </w:rPr>
        <w:t>hautes</w:t>
      </w:r>
      <w:proofErr w:type="spellEnd"/>
      <w:r w:rsidRPr="00A472FC">
        <w:rPr>
          <w:rFonts w:ascii="Times New Roman" w:hAnsi="Times New Roman" w:cs="Times New Roman"/>
          <w:i/>
          <w:iCs/>
        </w:rPr>
        <w:t xml:space="preserve"> études </w:t>
      </w:r>
      <w:r w:rsidRPr="00A472FC">
        <w:rPr>
          <w:rFonts w:ascii="Times New Roman" w:hAnsi="Times New Roman" w:cs="Times New Roman"/>
        </w:rPr>
        <w:t>(2019</w:t>
      </w:r>
      <w:r w:rsidRPr="00A472FC">
        <w:rPr>
          <w:rFonts w:ascii="Times New Roman" w:hAnsi="Times New Roman" w:cs="Times New Roman"/>
          <w:i/>
          <w:iCs/>
        </w:rPr>
        <w:t>)</w:t>
      </w:r>
      <w:r w:rsidR="00F41320" w:rsidRPr="00A472FC">
        <w:rPr>
          <w:rFonts w:ascii="Times New Roman" w:hAnsi="Times New Roman" w:cs="Times New Roman"/>
        </w:rPr>
        <w:t>:</w:t>
      </w:r>
      <w:r w:rsidRPr="00A472FC">
        <w:rPr>
          <w:rFonts w:ascii="Times New Roman" w:hAnsi="Times New Roman" w:cs="Times New Roman"/>
          <w:i/>
          <w:iCs/>
        </w:rPr>
        <w:t xml:space="preserve"> </w:t>
      </w:r>
      <w:r w:rsidRPr="00A472FC">
        <w:rPr>
          <w:rFonts w:ascii="Times New Roman" w:hAnsi="Times New Roman" w:cs="Times New Roman"/>
        </w:rPr>
        <w:t>295-304</w:t>
      </w:r>
      <w:r w:rsidR="00C84429" w:rsidRPr="00A472FC">
        <w:rPr>
          <w:rFonts w:ascii="Times New Roman" w:hAnsi="Times New Roman" w:cs="Times New Roman"/>
        </w:rPr>
        <w:t>.</w:t>
      </w:r>
    </w:p>
    <w:p w14:paraId="0951C03A" w14:textId="3DE21745" w:rsidR="006E1D9A" w:rsidRPr="00A472FC" w:rsidRDefault="006E1D9A" w:rsidP="00A04EE7">
      <w:pPr>
        <w:autoSpaceDE w:val="0"/>
        <w:autoSpaceDN w:val="0"/>
        <w:adjustRightInd w:val="0"/>
        <w:ind w:left="709" w:right="-720" w:hanging="709"/>
        <w:rPr>
          <w:rFonts w:ascii="Times New Roman" w:hAnsi="Times New Roman" w:cs="Times New Roman"/>
        </w:rPr>
      </w:pPr>
      <w:r w:rsidRPr="00A472FC">
        <w:rPr>
          <w:rFonts w:ascii="Times New Roman" w:hAnsi="Times New Roman" w:cs="Times New Roman"/>
        </w:rPr>
        <w:lastRenderedPageBreak/>
        <w:t xml:space="preserve">———. </w:t>
      </w:r>
      <w:r w:rsidR="00440470" w:rsidRPr="00A472FC">
        <w:rPr>
          <w:rFonts w:ascii="Times New Roman" w:hAnsi="Times New Roman" w:cs="Times New Roman"/>
        </w:rPr>
        <w:t>‘</w:t>
      </w:r>
      <w:proofErr w:type="spellStart"/>
      <w:r w:rsidR="00440470" w:rsidRPr="00A472FC">
        <w:rPr>
          <w:rFonts w:ascii="Times New Roman" w:hAnsi="Times New Roman" w:cs="Times New Roman"/>
        </w:rPr>
        <w:t>Scienza</w:t>
      </w:r>
      <w:proofErr w:type="spellEnd"/>
      <w:r w:rsidR="00440470" w:rsidRPr="00A472FC">
        <w:rPr>
          <w:rFonts w:ascii="Times New Roman" w:hAnsi="Times New Roman" w:cs="Times New Roman"/>
        </w:rPr>
        <w:t xml:space="preserve"> </w:t>
      </w:r>
      <w:proofErr w:type="spellStart"/>
      <w:r w:rsidR="00440470" w:rsidRPr="00A472FC">
        <w:rPr>
          <w:rFonts w:ascii="Times New Roman" w:hAnsi="Times New Roman" w:cs="Times New Roman"/>
        </w:rPr>
        <w:t>teologica</w:t>
      </w:r>
      <w:proofErr w:type="spellEnd"/>
      <w:r w:rsidR="00440470" w:rsidRPr="00A472FC">
        <w:rPr>
          <w:rFonts w:ascii="Times New Roman" w:hAnsi="Times New Roman" w:cs="Times New Roman"/>
        </w:rPr>
        <w:t xml:space="preserve">, </w:t>
      </w:r>
      <w:proofErr w:type="spellStart"/>
      <w:r w:rsidR="00440470" w:rsidRPr="00A472FC">
        <w:rPr>
          <w:rFonts w:ascii="Times New Roman" w:hAnsi="Times New Roman" w:cs="Times New Roman"/>
        </w:rPr>
        <w:t>dottrina</w:t>
      </w:r>
      <w:proofErr w:type="spellEnd"/>
      <w:r w:rsidR="00440470" w:rsidRPr="00A472FC">
        <w:rPr>
          <w:rFonts w:ascii="Times New Roman" w:hAnsi="Times New Roman" w:cs="Times New Roman"/>
        </w:rPr>
        <w:t xml:space="preserve"> </w:t>
      </w:r>
      <w:proofErr w:type="spellStart"/>
      <w:r w:rsidR="00440470" w:rsidRPr="00A472FC">
        <w:rPr>
          <w:rFonts w:ascii="Times New Roman" w:hAnsi="Times New Roman" w:cs="Times New Roman"/>
        </w:rPr>
        <w:t>dell’anama</w:t>
      </w:r>
      <w:proofErr w:type="spellEnd"/>
      <w:r w:rsidR="00440470" w:rsidRPr="00A472FC">
        <w:rPr>
          <w:rFonts w:ascii="Times New Roman" w:hAnsi="Times New Roman" w:cs="Times New Roman"/>
        </w:rPr>
        <w:t xml:space="preserve">, </w:t>
      </w:r>
      <w:proofErr w:type="spellStart"/>
      <w:r w:rsidR="00440470" w:rsidRPr="00A472FC">
        <w:rPr>
          <w:rFonts w:ascii="Times New Roman" w:hAnsi="Times New Roman" w:cs="Times New Roman"/>
        </w:rPr>
        <w:t>libero</w:t>
      </w:r>
      <w:proofErr w:type="spellEnd"/>
      <w:r w:rsidR="00440470" w:rsidRPr="00A472FC">
        <w:rPr>
          <w:rFonts w:ascii="Times New Roman" w:hAnsi="Times New Roman" w:cs="Times New Roman"/>
        </w:rPr>
        <w:t xml:space="preserve"> </w:t>
      </w:r>
      <w:proofErr w:type="spellStart"/>
      <w:r w:rsidR="00440470" w:rsidRPr="00A472FC">
        <w:rPr>
          <w:rFonts w:ascii="Times New Roman" w:hAnsi="Times New Roman" w:cs="Times New Roman"/>
        </w:rPr>
        <w:t>arbitrio</w:t>
      </w:r>
      <w:proofErr w:type="spellEnd"/>
      <w:r w:rsidR="00440470" w:rsidRPr="00A472FC">
        <w:rPr>
          <w:rFonts w:ascii="Times New Roman" w:hAnsi="Times New Roman" w:cs="Times New Roman"/>
        </w:rPr>
        <w:t xml:space="preserve">: Il </w:t>
      </w:r>
      <w:proofErr w:type="spellStart"/>
      <w:r w:rsidR="00440470" w:rsidRPr="00A472FC">
        <w:rPr>
          <w:rFonts w:ascii="Times New Roman" w:hAnsi="Times New Roman" w:cs="Times New Roman"/>
        </w:rPr>
        <w:t>pensiero</w:t>
      </w:r>
      <w:proofErr w:type="spellEnd"/>
      <w:r w:rsidR="00440470" w:rsidRPr="00A472FC">
        <w:rPr>
          <w:rFonts w:ascii="Times New Roman" w:hAnsi="Times New Roman" w:cs="Times New Roman"/>
        </w:rPr>
        <w:t xml:space="preserve"> </w:t>
      </w:r>
      <w:proofErr w:type="spellStart"/>
      <w:r w:rsidR="00440470" w:rsidRPr="00A472FC">
        <w:rPr>
          <w:rFonts w:ascii="Times New Roman" w:hAnsi="Times New Roman" w:cs="Times New Roman"/>
        </w:rPr>
        <w:t>francescano</w:t>
      </w:r>
      <w:proofErr w:type="spellEnd"/>
      <w:r w:rsidR="00440470" w:rsidRPr="00A472FC">
        <w:rPr>
          <w:rFonts w:ascii="Times New Roman" w:hAnsi="Times New Roman" w:cs="Times New Roman"/>
        </w:rPr>
        <w:t xml:space="preserve"> </w:t>
      </w:r>
      <w:proofErr w:type="spellStart"/>
      <w:r w:rsidR="00440470" w:rsidRPr="00A472FC">
        <w:rPr>
          <w:rFonts w:ascii="Times New Roman" w:hAnsi="Times New Roman" w:cs="Times New Roman"/>
        </w:rPr>
        <w:t>all’università</w:t>
      </w:r>
      <w:proofErr w:type="spellEnd"/>
      <w:r w:rsidR="00440470" w:rsidRPr="00A472FC">
        <w:rPr>
          <w:rFonts w:ascii="Times New Roman" w:hAnsi="Times New Roman" w:cs="Times New Roman"/>
        </w:rPr>
        <w:t xml:space="preserve"> </w:t>
      </w:r>
      <w:proofErr w:type="spellStart"/>
      <w:r w:rsidR="00440470" w:rsidRPr="00A472FC">
        <w:rPr>
          <w:rFonts w:ascii="Times New Roman" w:hAnsi="Times New Roman" w:cs="Times New Roman"/>
        </w:rPr>
        <w:t>di</w:t>
      </w:r>
      <w:proofErr w:type="spellEnd"/>
      <w:r w:rsidR="00440470" w:rsidRPr="00A472FC">
        <w:rPr>
          <w:rFonts w:ascii="Times New Roman" w:hAnsi="Times New Roman" w:cs="Times New Roman"/>
        </w:rPr>
        <w:t xml:space="preserve"> </w:t>
      </w:r>
      <w:proofErr w:type="spellStart"/>
      <w:r w:rsidR="00440470" w:rsidRPr="00A472FC">
        <w:rPr>
          <w:rFonts w:ascii="Times New Roman" w:hAnsi="Times New Roman" w:cs="Times New Roman"/>
        </w:rPr>
        <w:t>Parigi</w:t>
      </w:r>
      <w:proofErr w:type="spellEnd"/>
      <w:r w:rsidR="00440470" w:rsidRPr="00A472FC">
        <w:rPr>
          <w:rFonts w:ascii="Times New Roman" w:hAnsi="Times New Roman" w:cs="Times New Roman"/>
        </w:rPr>
        <w:t xml:space="preserve"> </w:t>
      </w:r>
      <w:proofErr w:type="spellStart"/>
      <w:r w:rsidR="00440470" w:rsidRPr="00A472FC">
        <w:rPr>
          <w:rFonts w:ascii="Times New Roman" w:hAnsi="Times New Roman" w:cs="Times New Roman"/>
        </w:rPr>
        <w:t>nella</w:t>
      </w:r>
      <w:proofErr w:type="spellEnd"/>
      <w:r w:rsidR="00440470" w:rsidRPr="00A472FC">
        <w:rPr>
          <w:rFonts w:ascii="Times New Roman" w:hAnsi="Times New Roman" w:cs="Times New Roman"/>
        </w:rPr>
        <w:t xml:space="preserve"> prima </w:t>
      </w:r>
      <w:proofErr w:type="spellStart"/>
      <w:r w:rsidR="00440470" w:rsidRPr="00A472FC">
        <w:rPr>
          <w:rFonts w:ascii="Times New Roman" w:hAnsi="Times New Roman" w:cs="Times New Roman"/>
        </w:rPr>
        <w:t>metà</w:t>
      </w:r>
      <w:proofErr w:type="spellEnd"/>
      <w:r w:rsidR="00440470" w:rsidRPr="00A472FC">
        <w:rPr>
          <w:rFonts w:ascii="Times New Roman" w:hAnsi="Times New Roman" w:cs="Times New Roman"/>
        </w:rPr>
        <w:t xml:space="preserve"> del XIII </w:t>
      </w:r>
      <w:proofErr w:type="spellStart"/>
      <w:r w:rsidR="00440470" w:rsidRPr="00A472FC">
        <w:rPr>
          <w:rFonts w:ascii="Times New Roman" w:hAnsi="Times New Roman" w:cs="Times New Roman"/>
        </w:rPr>
        <w:t>secolo</w:t>
      </w:r>
      <w:proofErr w:type="spellEnd"/>
      <w:r w:rsidR="00440470" w:rsidRPr="00A472FC">
        <w:rPr>
          <w:rFonts w:ascii="Times New Roman" w:hAnsi="Times New Roman" w:cs="Times New Roman"/>
        </w:rPr>
        <w:t xml:space="preserve">.’ In </w:t>
      </w:r>
      <w:proofErr w:type="spellStart"/>
      <w:r w:rsidR="00440470" w:rsidRPr="00A472FC">
        <w:rPr>
          <w:rFonts w:ascii="Times New Roman" w:hAnsi="Times New Roman" w:cs="Times New Roman"/>
          <w:i/>
          <w:iCs/>
        </w:rPr>
        <w:t>Trilogia</w:t>
      </w:r>
      <w:proofErr w:type="spellEnd"/>
      <w:r w:rsidR="00440470" w:rsidRPr="00A472FC">
        <w:rPr>
          <w:rFonts w:ascii="Times New Roman" w:hAnsi="Times New Roman" w:cs="Times New Roman"/>
          <w:i/>
          <w:iCs/>
        </w:rPr>
        <w:t xml:space="preserve"> </w:t>
      </w:r>
      <w:proofErr w:type="spellStart"/>
      <w:r w:rsidR="00440470" w:rsidRPr="00A472FC">
        <w:rPr>
          <w:rFonts w:ascii="Times New Roman" w:hAnsi="Times New Roman" w:cs="Times New Roman"/>
          <w:i/>
          <w:iCs/>
        </w:rPr>
        <w:t>Bonaventuriana</w:t>
      </w:r>
      <w:proofErr w:type="spellEnd"/>
      <w:r w:rsidR="00440470" w:rsidRPr="00A472FC">
        <w:rPr>
          <w:rFonts w:ascii="Times New Roman" w:hAnsi="Times New Roman" w:cs="Times New Roman"/>
          <w:i/>
          <w:iCs/>
        </w:rPr>
        <w:t xml:space="preserve">. </w:t>
      </w:r>
      <w:r w:rsidR="00440470" w:rsidRPr="00A472FC">
        <w:rPr>
          <w:rFonts w:ascii="Times New Roman" w:hAnsi="Times New Roman" w:cs="Times New Roman"/>
        </w:rPr>
        <w:t xml:space="preserve">Edited by Carmelo </w:t>
      </w:r>
      <w:proofErr w:type="spellStart"/>
      <w:r w:rsidR="00440470" w:rsidRPr="00A472FC">
        <w:rPr>
          <w:rFonts w:ascii="Times New Roman" w:hAnsi="Times New Roman" w:cs="Times New Roman"/>
        </w:rPr>
        <w:t>Pandolfi</w:t>
      </w:r>
      <w:proofErr w:type="spellEnd"/>
      <w:r w:rsidR="00440470" w:rsidRPr="00A472FC">
        <w:rPr>
          <w:rFonts w:ascii="Times New Roman" w:hAnsi="Times New Roman" w:cs="Times New Roman"/>
        </w:rPr>
        <w:t xml:space="preserve"> and Rafael Pascual, 303-26. Rome: </w:t>
      </w:r>
      <w:proofErr w:type="spellStart"/>
      <w:r w:rsidR="00440470" w:rsidRPr="00A472FC">
        <w:rPr>
          <w:rFonts w:ascii="Times New Roman" w:hAnsi="Times New Roman" w:cs="Times New Roman"/>
        </w:rPr>
        <w:t>Ateneo</w:t>
      </w:r>
      <w:proofErr w:type="spellEnd"/>
      <w:r w:rsidR="00440470" w:rsidRPr="00A472FC">
        <w:rPr>
          <w:rFonts w:ascii="Times New Roman" w:hAnsi="Times New Roman" w:cs="Times New Roman"/>
        </w:rPr>
        <w:t xml:space="preserve"> </w:t>
      </w:r>
      <w:proofErr w:type="spellStart"/>
      <w:r w:rsidR="00440470" w:rsidRPr="00A472FC">
        <w:rPr>
          <w:rFonts w:ascii="Times New Roman" w:hAnsi="Times New Roman" w:cs="Times New Roman"/>
        </w:rPr>
        <w:t>Pontificio</w:t>
      </w:r>
      <w:proofErr w:type="spellEnd"/>
      <w:r w:rsidR="00440470" w:rsidRPr="00A472FC">
        <w:rPr>
          <w:rFonts w:ascii="Times New Roman" w:hAnsi="Times New Roman" w:cs="Times New Roman"/>
        </w:rPr>
        <w:t xml:space="preserve">, 2020. </w:t>
      </w:r>
    </w:p>
    <w:p w14:paraId="5DE4F76C" w14:textId="66ACAC10" w:rsidR="006A6E61" w:rsidRPr="00A472FC" w:rsidRDefault="006A6E61" w:rsidP="008C5F9C">
      <w:pPr>
        <w:autoSpaceDE w:val="0"/>
        <w:autoSpaceDN w:val="0"/>
        <w:adjustRightInd w:val="0"/>
        <w:ind w:left="709" w:right="-52" w:hanging="709"/>
        <w:rPr>
          <w:rFonts w:ascii="Times New Roman" w:hAnsi="Times New Roman" w:cs="Times New Roman"/>
        </w:rPr>
      </w:pPr>
      <w:proofErr w:type="spellStart"/>
      <w:r w:rsidRPr="00A472FC">
        <w:rPr>
          <w:rFonts w:ascii="Times New Roman" w:hAnsi="Times New Roman" w:cs="Times New Roman"/>
        </w:rPr>
        <w:t>Zedler</w:t>
      </w:r>
      <w:proofErr w:type="spellEnd"/>
      <w:r w:rsidRPr="00A472FC">
        <w:rPr>
          <w:rFonts w:ascii="Times New Roman" w:hAnsi="Times New Roman" w:cs="Times New Roman"/>
        </w:rPr>
        <w:t xml:space="preserve">, Beatrice H. ‘Problem: </w:t>
      </w:r>
      <w:proofErr w:type="spellStart"/>
      <w:r w:rsidRPr="00A472FC">
        <w:rPr>
          <w:rFonts w:ascii="Times New Roman" w:hAnsi="Times New Roman" w:cs="Times New Roman"/>
        </w:rPr>
        <w:t>Averroes</w:t>
      </w:r>
      <w:proofErr w:type="spellEnd"/>
      <w:r w:rsidRPr="00A472FC">
        <w:rPr>
          <w:rFonts w:ascii="Times New Roman" w:hAnsi="Times New Roman" w:cs="Times New Roman"/>
        </w:rPr>
        <w:t xml:space="preserve"> on the Possible Intellect.’ </w:t>
      </w:r>
      <w:r w:rsidRPr="00A472FC">
        <w:rPr>
          <w:rFonts w:ascii="Times New Roman" w:hAnsi="Times New Roman" w:cs="Times New Roman"/>
          <w:i/>
          <w:iCs/>
        </w:rPr>
        <w:t xml:space="preserve">Proceedings and Addresses of the American Philosophical Association </w:t>
      </w:r>
      <w:r w:rsidRPr="00A472FC">
        <w:rPr>
          <w:rFonts w:ascii="Times New Roman" w:hAnsi="Times New Roman" w:cs="Times New Roman"/>
        </w:rPr>
        <w:t>25 (1951): 164-78.</w:t>
      </w:r>
    </w:p>
    <w:p w14:paraId="33F4D5C2" w14:textId="77777777" w:rsidR="006A6E61" w:rsidRPr="00A472FC" w:rsidRDefault="006A6E61" w:rsidP="008C5F9C">
      <w:pPr>
        <w:ind w:left="709" w:right="-52" w:hanging="709"/>
        <w:rPr>
          <w:rFonts w:ascii="Times New Roman" w:hAnsi="Times New Roman" w:cs="Times New Roman"/>
        </w:rPr>
      </w:pPr>
    </w:p>
    <w:p w14:paraId="52B9400D" w14:textId="77777777" w:rsidR="006A6E61" w:rsidRPr="00A472FC" w:rsidRDefault="006A6E61" w:rsidP="008C5F9C">
      <w:pPr>
        <w:ind w:left="709" w:right="-52" w:hanging="709"/>
        <w:rPr>
          <w:rFonts w:ascii="Times New Roman" w:eastAsia="Times New Roman" w:hAnsi="Times New Roman" w:cs="Times New Roman"/>
          <w:color w:val="222222"/>
          <w:shd w:val="clear" w:color="auto" w:fill="FFFFFF"/>
        </w:rPr>
      </w:pPr>
    </w:p>
    <w:p w14:paraId="27DB24FD" w14:textId="77777777" w:rsidR="006A6E61" w:rsidRPr="00A472FC" w:rsidRDefault="006A6E61" w:rsidP="00881604">
      <w:pPr>
        <w:ind w:right="-52" w:firstLine="720"/>
        <w:rPr>
          <w:rFonts w:ascii="Times New Roman" w:eastAsia="Times New Roman" w:hAnsi="Times New Roman" w:cs="Times New Roman"/>
          <w:color w:val="222222"/>
          <w:shd w:val="clear" w:color="auto" w:fill="FFFFFF"/>
        </w:rPr>
      </w:pPr>
    </w:p>
    <w:p w14:paraId="1D26D7D4" w14:textId="77777777" w:rsidR="006A6E61" w:rsidRPr="00A472FC" w:rsidRDefault="006A6E61" w:rsidP="00881604">
      <w:pPr>
        <w:ind w:right="-52"/>
        <w:rPr>
          <w:rFonts w:ascii="Times New Roman" w:hAnsi="Times New Roman" w:cs="Times New Roman"/>
        </w:rPr>
      </w:pPr>
    </w:p>
    <w:p w14:paraId="7632924A" w14:textId="77777777" w:rsidR="006A6E61" w:rsidRPr="00A472FC" w:rsidRDefault="006A6E61" w:rsidP="00881604">
      <w:pPr>
        <w:ind w:right="-52"/>
        <w:rPr>
          <w:rFonts w:ascii="Times New Roman" w:hAnsi="Times New Roman" w:cs="Times New Roman"/>
        </w:rPr>
      </w:pPr>
    </w:p>
    <w:p w14:paraId="7DCFFAE6" w14:textId="7FD1E25F" w:rsidR="00787D76" w:rsidRPr="00A472FC" w:rsidRDefault="00787D76" w:rsidP="00881604">
      <w:pPr>
        <w:ind w:right="-52"/>
        <w:jc w:val="center"/>
        <w:rPr>
          <w:rFonts w:ascii="Times New Roman" w:hAnsi="Times New Roman" w:cs="Times New Roman"/>
        </w:rPr>
      </w:pPr>
    </w:p>
    <w:sectPr w:rsidR="00787D76" w:rsidRPr="00A472FC" w:rsidSect="00983A9E">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96A4" w14:textId="77777777" w:rsidR="00B630B2" w:rsidRDefault="00B630B2" w:rsidP="006A5A46">
      <w:r>
        <w:separator/>
      </w:r>
    </w:p>
  </w:endnote>
  <w:endnote w:type="continuationSeparator" w:id="0">
    <w:p w14:paraId="6F9EEBB8" w14:textId="77777777" w:rsidR="00B630B2" w:rsidRDefault="00B630B2" w:rsidP="006A5A46">
      <w:r>
        <w:continuationSeparator/>
      </w:r>
    </w:p>
  </w:endnote>
  <w:endnote w:type="continuationNotice" w:id="1">
    <w:p w14:paraId="48FADE17" w14:textId="77777777" w:rsidR="00B630B2" w:rsidRDefault="00B630B2"/>
  </w:endnote>
  <w:endnote w:id="2">
    <w:p w14:paraId="1C52FF24" w14:textId="77777777" w:rsidR="001D5440" w:rsidRPr="002A73E1" w:rsidRDefault="001D5440" w:rsidP="00F031AD">
      <w:pPr>
        <w:autoSpaceDE w:val="0"/>
        <w:autoSpaceDN w:val="0"/>
        <w:adjustRightInd w:val="0"/>
        <w:rPr>
          <w:rFonts w:ascii="Times New Roman" w:hAnsi="Times New Roman" w:cs="Times New Roman"/>
          <w:sz w:val="20"/>
          <w:szCs w:val="20"/>
        </w:rPr>
      </w:pPr>
      <w:r w:rsidRPr="002A73E1">
        <w:rPr>
          <w:rStyle w:val="EndnoteReference"/>
          <w:rFonts w:ascii="Times New Roman" w:hAnsi="Times New Roman" w:cs="Times New Roman"/>
          <w:sz w:val="20"/>
          <w:szCs w:val="20"/>
        </w:rPr>
        <w:endnoteRef/>
      </w:r>
      <w:r w:rsidRPr="002A73E1">
        <w:rPr>
          <w:rFonts w:ascii="Times New Roman" w:hAnsi="Times New Roman" w:cs="Times New Roman"/>
          <w:sz w:val="20"/>
          <w:szCs w:val="20"/>
        </w:rPr>
        <w:t xml:space="preserve"> </w:t>
      </w:r>
      <w:r w:rsidRPr="002A73E1">
        <w:rPr>
          <w:rFonts w:ascii="Times New Roman" w:hAnsi="Times New Roman" w:cs="Times New Roman"/>
          <w:i/>
          <w:iCs/>
          <w:sz w:val="20"/>
          <w:szCs w:val="20"/>
        </w:rPr>
        <w:t xml:space="preserve">SH </w:t>
      </w:r>
      <w:r w:rsidRPr="002A73E1">
        <w:rPr>
          <w:rFonts w:ascii="Times New Roman" w:hAnsi="Times New Roman" w:cs="Times New Roman"/>
          <w:sz w:val="20"/>
          <w:szCs w:val="20"/>
        </w:rPr>
        <w:t xml:space="preserve">1, Tr3, Q1, M1, C1, Respondeo II (n. 72), 113: II. </w:t>
      </w:r>
      <w:r w:rsidRPr="002A73E1">
        <w:rPr>
          <w:rFonts w:ascii="Times New Roman" w:hAnsi="Times New Roman" w:cs="Times New Roman"/>
          <w:i/>
          <w:iCs/>
          <w:sz w:val="20"/>
          <w:szCs w:val="20"/>
        </w:rPr>
        <w:t xml:space="preserve">Non poterunt ergo habere aliqua priora specialiter ad sui notificationem. Si ergo notificatio fiat eorum, hoc non erit nisi per posteriora, ut per abnegationem vel effectum consequentem. Hinc est quod in notificatione 'unius' est una notio per abnegationem, alia vero per effectum consequentem: per abnegationem oppositae intentionis, quae est divisio vel multitudo, cum dicitur ‘ens indivisum,’ per effectum consequentem, qui est distinguere ab aliis: unitas enim distinguit ‘unum’ ab alio et ideo dicitur ‘divisum ab aliis.’ </w:t>
      </w:r>
      <w:r w:rsidRPr="002A73E1">
        <w:rPr>
          <w:rFonts w:ascii="Times New Roman" w:hAnsi="Times New Roman" w:cs="Times New Roman"/>
          <w:sz w:val="20"/>
          <w:szCs w:val="20"/>
        </w:rPr>
        <w:t xml:space="preserve">Translation by Oleg Bychkov in </w:t>
      </w:r>
      <w:r w:rsidRPr="002A73E1">
        <w:rPr>
          <w:rFonts w:ascii="Times New Roman" w:hAnsi="Times New Roman" w:cs="Times New Roman"/>
          <w:i/>
          <w:iCs/>
          <w:sz w:val="20"/>
          <w:szCs w:val="20"/>
        </w:rPr>
        <w:t xml:space="preserve">A Reader in Early Franciscan Theology, </w:t>
      </w:r>
      <w:r w:rsidRPr="002A73E1">
        <w:rPr>
          <w:rFonts w:ascii="Times New Roman" w:hAnsi="Times New Roman" w:cs="Times New Roman"/>
          <w:sz w:val="20"/>
          <w:szCs w:val="20"/>
        </w:rPr>
        <w:t>139: ‘Therefore, there could be nothing prior to them specifically for the purpose of making them known. Therefore, if they do become known, this can only be through something posterior, for example, through a negation or a consequent effect. This is why the recognition of “one” goes both by way of negation and by way of consequent effect. The negation is of the opposite meaning, which is “division” or “multitude,” when we refer to a being as “undivided.” The consequent effect is to distinguish [this being] from other [beings]: indeed, unity distinguishes “one” from another, and therefore [that one] is referred to as “separated from other [beings]”.’</w:t>
      </w:r>
    </w:p>
  </w:endnote>
  <w:endnote w:id="3">
    <w:p w14:paraId="57911165" w14:textId="77777777" w:rsidR="009B7410" w:rsidRPr="002A73E1" w:rsidRDefault="009B7410">
      <w:pPr>
        <w:pStyle w:val="EndnoteText"/>
      </w:pPr>
      <w:r w:rsidRPr="002A73E1">
        <w:rPr>
          <w:rStyle w:val="EndnoteReference"/>
        </w:rPr>
        <w:endnoteRef/>
      </w:r>
      <w:r w:rsidRPr="002A73E1">
        <w:t xml:space="preserve"> </w:t>
      </w:r>
      <w:r w:rsidRPr="002A73E1">
        <w:rPr>
          <w:rFonts w:ascii="Times New Roman" w:hAnsi="Times New Roman" w:cs="Times New Roman"/>
        </w:rPr>
        <w:t xml:space="preserve">Jacob W. Wood, ‘Kataphasis and Apophasis in Thirteenth Century Theology: The Anthropological Context of the Triplex Via in the </w:t>
      </w:r>
      <w:r w:rsidRPr="002A73E1">
        <w:rPr>
          <w:rFonts w:ascii="Times New Roman" w:hAnsi="Times New Roman" w:cs="Times New Roman"/>
          <w:i/>
          <w:iCs/>
        </w:rPr>
        <w:t>Summa fratris Alexandri</w:t>
      </w:r>
      <w:r w:rsidRPr="002A73E1">
        <w:rPr>
          <w:rFonts w:ascii="Times New Roman" w:hAnsi="Times New Roman" w:cs="Times New Roman"/>
        </w:rPr>
        <w:t xml:space="preserve"> and Albert the Great,’ </w:t>
      </w:r>
      <w:r w:rsidRPr="002A73E1">
        <w:rPr>
          <w:rFonts w:ascii="Times New Roman" w:hAnsi="Times New Roman" w:cs="Times New Roman"/>
          <w:i/>
          <w:iCs/>
        </w:rPr>
        <w:t>The Heythrop Journal</w:t>
      </w:r>
      <w:r w:rsidRPr="002A73E1">
        <w:rPr>
          <w:rFonts w:ascii="Times New Roman" w:hAnsi="Times New Roman" w:cs="Times New Roman"/>
        </w:rPr>
        <w:t xml:space="preserve"> 57 (2016): 293–311.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tlingmes">
    <w:altName w:val="Calibri"/>
    <w:panose1 w:val="020B0604020202020204"/>
    <w:charset w:val="00"/>
    <w:family w:val="swiss"/>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0216851"/>
      <w:docPartObj>
        <w:docPartGallery w:val="Page Numbers (Bottom of Page)"/>
        <w:docPartUnique/>
      </w:docPartObj>
    </w:sdtPr>
    <w:sdtEndPr>
      <w:rPr>
        <w:rStyle w:val="PageNumber"/>
      </w:rPr>
    </w:sdtEndPr>
    <w:sdtContent>
      <w:p w14:paraId="150C3B15" w14:textId="5CD6099E" w:rsidR="00B93ED5" w:rsidRDefault="00B93ED5" w:rsidP="009B7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943043" w14:textId="77777777" w:rsidR="00B93ED5" w:rsidRDefault="00B93ED5" w:rsidP="00410B0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6924308"/>
      <w:docPartObj>
        <w:docPartGallery w:val="Page Numbers (Bottom of Page)"/>
        <w:docPartUnique/>
      </w:docPartObj>
    </w:sdtPr>
    <w:sdtEndPr>
      <w:rPr>
        <w:rStyle w:val="PageNumber"/>
      </w:rPr>
    </w:sdtEndPr>
    <w:sdtContent>
      <w:p w14:paraId="5A6FF642" w14:textId="77777777" w:rsidR="00B93ED5" w:rsidRDefault="00B93ED5" w:rsidP="009B7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4737EB" w14:textId="77777777" w:rsidR="00B93ED5" w:rsidRDefault="00B93ED5" w:rsidP="009B726A">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423293848"/>
      <w:docPartObj>
        <w:docPartGallery w:val="Page Numbers (Bottom of Page)"/>
        <w:docPartUnique/>
      </w:docPartObj>
    </w:sdtPr>
    <w:sdtEndPr>
      <w:rPr>
        <w:rStyle w:val="PageNumber"/>
      </w:rPr>
    </w:sdtEndPr>
    <w:sdtContent>
      <w:p w14:paraId="2046CDF9" w14:textId="77777777" w:rsidR="00B93ED5" w:rsidRPr="00317263" w:rsidRDefault="00B93ED5" w:rsidP="009B726A">
        <w:pPr>
          <w:pStyle w:val="Footer"/>
          <w:framePr w:wrap="none" w:vAnchor="text" w:hAnchor="margin" w:xAlign="right" w:y="1"/>
          <w:rPr>
            <w:rStyle w:val="PageNumber"/>
            <w:rFonts w:ascii="Times New Roman" w:hAnsi="Times New Roman" w:cs="Times New Roman"/>
          </w:rPr>
        </w:pPr>
        <w:r w:rsidRPr="00317263">
          <w:rPr>
            <w:rStyle w:val="PageNumber"/>
            <w:rFonts w:ascii="Times New Roman" w:hAnsi="Times New Roman" w:cs="Times New Roman"/>
          </w:rPr>
          <w:fldChar w:fldCharType="begin"/>
        </w:r>
        <w:r w:rsidRPr="00317263">
          <w:rPr>
            <w:rStyle w:val="PageNumber"/>
            <w:rFonts w:ascii="Times New Roman" w:hAnsi="Times New Roman" w:cs="Times New Roman"/>
          </w:rPr>
          <w:instrText xml:space="preserve"> PAGE </w:instrText>
        </w:r>
        <w:r w:rsidRPr="00317263">
          <w:rPr>
            <w:rStyle w:val="PageNumber"/>
            <w:rFonts w:ascii="Times New Roman" w:hAnsi="Times New Roman" w:cs="Times New Roman"/>
          </w:rPr>
          <w:fldChar w:fldCharType="separate"/>
        </w:r>
        <w:r w:rsidRPr="00317263">
          <w:rPr>
            <w:rStyle w:val="PageNumber"/>
            <w:rFonts w:ascii="Times New Roman" w:hAnsi="Times New Roman" w:cs="Times New Roman"/>
            <w:noProof/>
          </w:rPr>
          <w:t>1</w:t>
        </w:r>
        <w:r w:rsidRPr="00317263">
          <w:rPr>
            <w:rStyle w:val="PageNumber"/>
            <w:rFonts w:ascii="Times New Roman" w:hAnsi="Times New Roman" w:cs="Times New Roman"/>
          </w:rPr>
          <w:fldChar w:fldCharType="end"/>
        </w:r>
      </w:p>
    </w:sdtContent>
  </w:sdt>
  <w:p w14:paraId="57588AB8" w14:textId="77777777" w:rsidR="00B93ED5" w:rsidRPr="00317263" w:rsidRDefault="00B93ED5" w:rsidP="009B726A">
    <w:pPr>
      <w:pStyle w:val="Footer"/>
      <w:ind w:right="360"/>
      <w:rPr>
        <w:rFonts w:ascii="Times New Roman" w:hAnsi="Times New Roman" w:cs="Times New Roman"/>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1583450"/>
      <w:docPartObj>
        <w:docPartGallery w:val="Page Numbers (Bottom of Page)"/>
        <w:docPartUnique/>
      </w:docPartObj>
    </w:sdtPr>
    <w:sdtEndPr>
      <w:rPr>
        <w:rStyle w:val="PageNumber"/>
      </w:rPr>
    </w:sdtEndPr>
    <w:sdtContent>
      <w:p w14:paraId="128B51DD" w14:textId="77777777" w:rsidR="00B93ED5" w:rsidRDefault="00B93ED5" w:rsidP="00B90B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D041FD" w14:textId="77777777" w:rsidR="00B93ED5" w:rsidRDefault="00B93ED5" w:rsidP="00B90B15">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081402709"/>
      <w:docPartObj>
        <w:docPartGallery w:val="Page Numbers (Bottom of Page)"/>
        <w:docPartUnique/>
      </w:docPartObj>
    </w:sdtPr>
    <w:sdtEndPr>
      <w:rPr>
        <w:rStyle w:val="PageNumber"/>
      </w:rPr>
    </w:sdtEndPr>
    <w:sdtContent>
      <w:p w14:paraId="4CFC9447" w14:textId="77777777" w:rsidR="00B93ED5" w:rsidRPr="00EF195B" w:rsidRDefault="00B93ED5" w:rsidP="00B90B15">
        <w:pPr>
          <w:pStyle w:val="Footer"/>
          <w:framePr w:wrap="none" w:vAnchor="text" w:hAnchor="margin" w:xAlign="right" w:y="1"/>
          <w:rPr>
            <w:rStyle w:val="PageNumber"/>
            <w:rFonts w:ascii="Times New Roman" w:hAnsi="Times New Roman" w:cs="Times New Roman"/>
          </w:rPr>
        </w:pPr>
        <w:r w:rsidRPr="00EF195B">
          <w:rPr>
            <w:rStyle w:val="PageNumber"/>
            <w:rFonts w:ascii="Times New Roman" w:hAnsi="Times New Roman" w:cs="Times New Roman"/>
          </w:rPr>
          <w:fldChar w:fldCharType="begin"/>
        </w:r>
        <w:r w:rsidRPr="00EF195B">
          <w:rPr>
            <w:rStyle w:val="PageNumber"/>
            <w:rFonts w:ascii="Times New Roman" w:hAnsi="Times New Roman" w:cs="Times New Roman"/>
          </w:rPr>
          <w:instrText xml:space="preserve"> PAGE </w:instrText>
        </w:r>
        <w:r w:rsidRPr="00EF195B">
          <w:rPr>
            <w:rStyle w:val="PageNumber"/>
            <w:rFonts w:ascii="Times New Roman" w:hAnsi="Times New Roman" w:cs="Times New Roman"/>
          </w:rPr>
          <w:fldChar w:fldCharType="separate"/>
        </w:r>
        <w:r w:rsidRPr="00EF195B">
          <w:rPr>
            <w:rStyle w:val="PageNumber"/>
            <w:rFonts w:ascii="Times New Roman" w:hAnsi="Times New Roman" w:cs="Times New Roman"/>
            <w:noProof/>
          </w:rPr>
          <w:t>1</w:t>
        </w:r>
        <w:r w:rsidRPr="00EF195B">
          <w:rPr>
            <w:rStyle w:val="PageNumber"/>
            <w:rFonts w:ascii="Times New Roman" w:hAnsi="Times New Roman" w:cs="Times New Roman"/>
          </w:rPr>
          <w:fldChar w:fldCharType="end"/>
        </w:r>
      </w:p>
    </w:sdtContent>
  </w:sdt>
  <w:p w14:paraId="10D14622" w14:textId="77777777" w:rsidR="00B93ED5" w:rsidRPr="00EF195B" w:rsidRDefault="00B93ED5" w:rsidP="00B90B15">
    <w:pPr>
      <w:pStyle w:val="Footer"/>
      <w:ind w:right="360"/>
      <w:rPr>
        <w:rFonts w:ascii="Times New Roman" w:hAnsi="Times New Roman" w:cs="Times New Roman"/>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8C19" w14:textId="77777777" w:rsidR="00B93ED5" w:rsidRDefault="00B93ED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5153451"/>
      <w:docPartObj>
        <w:docPartGallery w:val="Page Numbers (Bottom of Page)"/>
        <w:docPartUnique/>
      </w:docPartObj>
    </w:sdtPr>
    <w:sdtEndPr>
      <w:rPr>
        <w:rStyle w:val="PageNumber"/>
      </w:rPr>
    </w:sdtEndPr>
    <w:sdtContent>
      <w:p w14:paraId="630F92A1" w14:textId="77777777" w:rsidR="00B93ED5" w:rsidRDefault="00B93ED5" w:rsidP="00B90B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791183" w14:textId="77777777" w:rsidR="00B93ED5" w:rsidRDefault="00B93ED5" w:rsidP="00B90B15">
    <w:pPr>
      <w:pStyle w:val="Footer"/>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785958361"/>
      <w:docPartObj>
        <w:docPartGallery w:val="Page Numbers (Bottom of Page)"/>
        <w:docPartUnique/>
      </w:docPartObj>
    </w:sdtPr>
    <w:sdtEndPr>
      <w:rPr>
        <w:rStyle w:val="PageNumber"/>
      </w:rPr>
    </w:sdtEndPr>
    <w:sdtContent>
      <w:p w14:paraId="1B1FC396" w14:textId="77777777" w:rsidR="00B93ED5" w:rsidRPr="000F0F2F" w:rsidRDefault="00B93ED5" w:rsidP="00B90B15">
        <w:pPr>
          <w:pStyle w:val="Footer"/>
          <w:framePr w:wrap="none" w:vAnchor="text" w:hAnchor="margin" w:xAlign="right" w:y="1"/>
          <w:rPr>
            <w:rStyle w:val="PageNumber"/>
            <w:rFonts w:ascii="Times New Roman" w:hAnsi="Times New Roman" w:cs="Times New Roman"/>
          </w:rPr>
        </w:pPr>
        <w:r w:rsidRPr="000F0F2F">
          <w:rPr>
            <w:rStyle w:val="PageNumber"/>
            <w:rFonts w:ascii="Times New Roman" w:hAnsi="Times New Roman" w:cs="Times New Roman"/>
          </w:rPr>
          <w:fldChar w:fldCharType="begin"/>
        </w:r>
        <w:r w:rsidRPr="000F0F2F">
          <w:rPr>
            <w:rStyle w:val="PageNumber"/>
            <w:rFonts w:ascii="Times New Roman" w:hAnsi="Times New Roman" w:cs="Times New Roman"/>
          </w:rPr>
          <w:instrText xml:space="preserve"> PAGE </w:instrText>
        </w:r>
        <w:r w:rsidRPr="000F0F2F">
          <w:rPr>
            <w:rStyle w:val="PageNumber"/>
            <w:rFonts w:ascii="Times New Roman" w:hAnsi="Times New Roman" w:cs="Times New Roman"/>
          </w:rPr>
          <w:fldChar w:fldCharType="separate"/>
        </w:r>
        <w:r w:rsidRPr="000F0F2F">
          <w:rPr>
            <w:rStyle w:val="PageNumber"/>
            <w:rFonts w:ascii="Times New Roman" w:hAnsi="Times New Roman" w:cs="Times New Roman"/>
            <w:noProof/>
          </w:rPr>
          <w:t>1</w:t>
        </w:r>
        <w:r w:rsidRPr="000F0F2F">
          <w:rPr>
            <w:rStyle w:val="PageNumber"/>
            <w:rFonts w:ascii="Times New Roman" w:hAnsi="Times New Roman" w:cs="Times New Roman"/>
          </w:rPr>
          <w:fldChar w:fldCharType="end"/>
        </w:r>
      </w:p>
    </w:sdtContent>
  </w:sdt>
  <w:p w14:paraId="2C9F14EE" w14:textId="77777777" w:rsidR="00B93ED5" w:rsidRPr="000F0F2F" w:rsidRDefault="00B93ED5" w:rsidP="00B90B15">
    <w:pPr>
      <w:pStyle w:val="Footer"/>
      <w:ind w:right="360"/>
      <w:rPr>
        <w:rFonts w:ascii="Times New Roman" w:hAnsi="Times New Roman" w:cs="Times New Roman"/>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981524"/>
      <w:docPartObj>
        <w:docPartGallery w:val="Page Numbers (Bottom of Page)"/>
        <w:docPartUnique/>
      </w:docPartObj>
    </w:sdtPr>
    <w:sdtEndPr>
      <w:rPr>
        <w:rStyle w:val="PageNumber"/>
      </w:rPr>
    </w:sdtEndPr>
    <w:sdtContent>
      <w:p w14:paraId="12F8A64F" w14:textId="77777777" w:rsidR="00B93ED5" w:rsidRDefault="00B93ED5" w:rsidP="00B90B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10CFC8" w14:textId="77777777" w:rsidR="00B93ED5" w:rsidRDefault="00B93ED5" w:rsidP="00B90B15">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041397532"/>
      <w:docPartObj>
        <w:docPartGallery w:val="Page Numbers (Bottom of Page)"/>
        <w:docPartUnique/>
      </w:docPartObj>
    </w:sdtPr>
    <w:sdtEndPr>
      <w:rPr>
        <w:rStyle w:val="PageNumber"/>
      </w:rPr>
    </w:sdtEndPr>
    <w:sdtContent>
      <w:p w14:paraId="666C2D73" w14:textId="77777777" w:rsidR="00B93ED5" w:rsidRPr="00317263" w:rsidRDefault="00B93ED5" w:rsidP="00B90B15">
        <w:pPr>
          <w:pStyle w:val="Footer"/>
          <w:framePr w:wrap="none" w:vAnchor="text" w:hAnchor="margin" w:xAlign="right" w:y="1"/>
          <w:rPr>
            <w:rStyle w:val="PageNumber"/>
            <w:rFonts w:ascii="Times New Roman" w:hAnsi="Times New Roman" w:cs="Times New Roman"/>
          </w:rPr>
        </w:pPr>
        <w:r w:rsidRPr="00317263">
          <w:rPr>
            <w:rStyle w:val="PageNumber"/>
            <w:rFonts w:ascii="Times New Roman" w:hAnsi="Times New Roman" w:cs="Times New Roman"/>
          </w:rPr>
          <w:fldChar w:fldCharType="begin"/>
        </w:r>
        <w:r w:rsidRPr="00317263">
          <w:rPr>
            <w:rStyle w:val="PageNumber"/>
            <w:rFonts w:ascii="Times New Roman" w:hAnsi="Times New Roman" w:cs="Times New Roman"/>
          </w:rPr>
          <w:instrText xml:space="preserve"> PAGE </w:instrText>
        </w:r>
        <w:r w:rsidRPr="00317263">
          <w:rPr>
            <w:rStyle w:val="PageNumber"/>
            <w:rFonts w:ascii="Times New Roman" w:hAnsi="Times New Roman" w:cs="Times New Roman"/>
          </w:rPr>
          <w:fldChar w:fldCharType="separate"/>
        </w:r>
        <w:r w:rsidRPr="00317263">
          <w:rPr>
            <w:rStyle w:val="PageNumber"/>
            <w:rFonts w:ascii="Times New Roman" w:hAnsi="Times New Roman" w:cs="Times New Roman"/>
            <w:noProof/>
          </w:rPr>
          <w:t>1</w:t>
        </w:r>
        <w:r w:rsidRPr="00317263">
          <w:rPr>
            <w:rStyle w:val="PageNumber"/>
            <w:rFonts w:ascii="Times New Roman" w:hAnsi="Times New Roman" w:cs="Times New Roman"/>
          </w:rPr>
          <w:fldChar w:fldCharType="end"/>
        </w:r>
      </w:p>
    </w:sdtContent>
  </w:sdt>
  <w:p w14:paraId="5F1885C5" w14:textId="77777777" w:rsidR="00B93ED5" w:rsidRPr="00317263" w:rsidRDefault="00B93ED5" w:rsidP="00B90B15">
    <w:pPr>
      <w:pStyle w:val="Footer"/>
      <w:ind w:right="360"/>
      <w:rPr>
        <w:rFonts w:ascii="Times New Roman" w:hAnsi="Times New Roman" w:cs="Times New Roman"/>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9964788"/>
      <w:docPartObj>
        <w:docPartGallery w:val="Page Numbers (Bottom of Page)"/>
        <w:docPartUnique/>
      </w:docPartObj>
    </w:sdtPr>
    <w:sdtEndPr>
      <w:rPr>
        <w:rStyle w:val="PageNumber"/>
      </w:rPr>
    </w:sdtEndPr>
    <w:sdtContent>
      <w:p w14:paraId="484E078C" w14:textId="77777777" w:rsidR="00B93ED5" w:rsidRDefault="00B93ED5" w:rsidP="009B7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847413" w14:textId="77777777" w:rsidR="00B93ED5" w:rsidRDefault="00B93ED5" w:rsidP="009B72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022765932"/>
      <w:docPartObj>
        <w:docPartGallery w:val="Page Numbers (Bottom of Page)"/>
        <w:docPartUnique/>
      </w:docPartObj>
    </w:sdtPr>
    <w:sdtEndPr>
      <w:rPr>
        <w:rStyle w:val="PageNumber"/>
      </w:rPr>
    </w:sdtEndPr>
    <w:sdtContent>
      <w:p w14:paraId="1D69FDF1" w14:textId="22F9C232" w:rsidR="00B93ED5" w:rsidRPr="00410B06" w:rsidRDefault="00B93ED5" w:rsidP="009B726A">
        <w:pPr>
          <w:pStyle w:val="Footer"/>
          <w:framePr w:wrap="none" w:vAnchor="text" w:hAnchor="margin" w:xAlign="right" w:y="1"/>
          <w:rPr>
            <w:rStyle w:val="PageNumber"/>
            <w:rFonts w:ascii="Times New Roman" w:hAnsi="Times New Roman" w:cs="Times New Roman"/>
          </w:rPr>
        </w:pPr>
        <w:r w:rsidRPr="00410B06">
          <w:rPr>
            <w:rStyle w:val="PageNumber"/>
            <w:rFonts w:ascii="Times New Roman" w:hAnsi="Times New Roman" w:cs="Times New Roman"/>
          </w:rPr>
          <w:fldChar w:fldCharType="begin"/>
        </w:r>
        <w:r w:rsidRPr="00410B06">
          <w:rPr>
            <w:rStyle w:val="PageNumber"/>
            <w:rFonts w:ascii="Times New Roman" w:hAnsi="Times New Roman" w:cs="Times New Roman"/>
          </w:rPr>
          <w:instrText xml:space="preserve"> PAGE </w:instrText>
        </w:r>
        <w:r w:rsidRPr="00410B06">
          <w:rPr>
            <w:rStyle w:val="PageNumber"/>
            <w:rFonts w:ascii="Times New Roman" w:hAnsi="Times New Roman" w:cs="Times New Roman"/>
          </w:rPr>
          <w:fldChar w:fldCharType="separate"/>
        </w:r>
        <w:r w:rsidRPr="00410B06">
          <w:rPr>
            <w:rStyle w:val="PageNumber"/>
            <w:rFonts w:ascii="Times New Roman" w:hAnsi="Times New Roman" w:cs="Times New Roman"/>
            <w:noProof/>
          </w:rPr>
          <w:t>1</w:t>
        </w:r>
        <w:r w:rsidRPr="00410B06">
          <w:rPr>
            <w:rStyle w:val="PageNumber"/>
            <w:rFonts w:ascii="Times New Roman" w:hAnsi="Times New Roman" w:cs="Times New Roman"/>
          </w:rPr>
          <w:fldChar w:fldCharType="end"/>
        </w:r>
      </w:p>
    </w:sdtContent>
  </w:sdt>
  <w:p w14:paraId="122B2CFF" w14:textId="77777777" w:rsidR="00B93ED5" w:rsidRPr="00410B06" w:rsidRDefault="00B93ED5" w:rsidP="00410B06">
    <w:pPr>
      <w:pStyle w:val="Footer"/>
      <w:ind w:right="360"/>
      <w:rPr>
        <w:rFonts w:ascii="Times New Roman" w:hAnsi="Times New Roman" w:cs="Times New Roman"/>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16480925"/>
      <w:docPartObj>
        <w:docPartGallery w:val="Page Numbers (Bottom of Page)"/>
        <w:docPartUnique/>
      </w:docPartObj>
    </w:sdtPr>
    <w:sdtEndPr>
      <w:rPr>
        <w:rStyle w:val="PageNumber"/>
      </w:rPr>
    </w:sdtEndPr>
    <w:sdtContent>
      <w:p w14:paraId="1CC859D4" w14:textId="77777777" w:rsidR="00B93ED5" w:rsidRPr="007D36F9" w:rsidRDefault="00B93ED5" w:rsidP="009B726A">
        <w:pPr>
          <w:pStyle w:val="Footer"/>
          <w:framePr w:wrap="none" w:vAnchor="text" w:hAnchor="margin" w:xAlign="right" w:y="1"/>
          <w:rPr>
            <w:rStyle w:val="PageNumber"/>
            <w:rFonts w:ascii="Times New Roman" w:hAnsi="Times New Roman" w:cs="Times New Roman"/>
          </w:rPr>
        </w:pPr>
        <w:r w:rsidRPr="007D36F9">
          <w:rPr>
            <w:rStyle w:val="PageNumber"/>
            <w:rFonts w:ascii="Times New Roman" w:hAnsi="Times New Roman" w:cs="Times New Roman"/>
          </w:rPr>
          <w:fldChar w:fldCharType="begin"/>
        </w:r>
        <w:r w:rsidRPr="007D36F9">
          <w:rPr>
            <w:rStyle w:val="PageNumber"/>
            <w:rFonts w:ascii="Times New Roman" w:hAnsi="Times New Roman" w:cs="Times New Roman"/>
          </w:rPr>
          <w:instrText xml:space="preserve"> PAGE </w:instrText>
        </w:r>
        <w:r w:rsidRPr="007D36F9">
          <w:rPr>
            <w:rStyle w:val="PageNumber"/>
            <w:rFonts w:ascii="Times New Roman" w:hAnsi="Times New Roman" w:cs="Times New Roman"/>
          </w:rPr>
          <w:fldChar w:fldCharType="separate"/>
        </w:r>
        <w:r w:rsidRPr="007D36F9">
          <w:rPr>
            <w:rStyle w:val="PageNumber"/>
            <w:rFonts w:ascii="Times New Roman" w:hAnsi="Times New Roman" w:cs="Times New Roman"/>
            <w:noProof/>
          </w:rPr>
          <w:t>1</w:t>
        </w:r>
        <w:r w:rsidRPr="007D36F9">
          <w:rPr>
            <w:rStyle w:val="PageNumber"/>
            <w:rFonts w:ascii="Times New Roman" w:hAnsi="Times New Roman" w:cs="Times New Roman"/>
          </w:rPr>
          <w:fldChar w:fldCharType="end"/>
        </w:r>
      </w:p>
    </w:sdtContent>
  </w:sdt>
  <w:p w14:paraId="4D2AE8FD" w14:textId="77777777" w:rsidR="00B93ED5" w:rsidRPr="007D36F9" w:rsidRDefault="00B93ED5" w:rsidP="009B726A">
    <w:pPr>
      <w:pStyle w:val="Footer"/>
      <w:ind w:right="360"/>
      <w:rPr>
        <w:rFonts w:ascii="Times New Roman" w:hAnsi="Times New Roman" w:cs="Times New Roman"/>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999285"/>
      <w:docPartObj>
        <w:docPartGallery w:val="Page Numbers (Bottom of Page)"/>
        <w:docPartUnique/>
      </w:docPartObj>
    </w:sdtPr>
    <w:sdtEndPr>
      <w:rPr>
        <w:rStyle w:val="PageNumber"/>
      </w:rPr>
    </w:sdtEndPr>
    <w:sdtContent>
      <w:p w14:paraId="098ECACE" w14:textId="77777777" w:rsidR="009B6602" w:rsidRDefault="009B6602" w:rsidP="009B7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070432" w14:textId="77777777" w:rsidR="009B6602" w:rsidRDefault="009B6602" w:rsidP="009B726A">
    <w:pPr>
      <w:pStyle w:val="Footer"/>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52173317"/>
      <w:docPartObj>
        <w:docPartGallery w:val="Page Numbers (Bottom of Page)"/>
        <w:docPartUnique/>
      </w:docPartObj>
    </w:sdtPr>
    <w:sdtEndPr>
      <w:rPr>
        <w:rStyle w:val="PageNumber"/>
      </w:rPr>
    </w:sdtEndPr>
    <w:sdtContent>
      <w:p w14:paraId="1DA92082" w14:textId="77777777" w:rsidR="009B6602" w:rsidRPr="006467CA" w:rsidRDefault="009B6602" w:rsidP="009B726A">
        <w:pPr>
          <w:pStyle w:val="Footer"/>
          <w:framePr w:wrap="none" w:vAnchor="text" w:hAnchor="margin" w:xAlign="right" w:y="1"/>
          <w:rPr>
            <w:rStyle w:val="PageNumber"/>
            <w:rFonts w:ascii="Times New Roman" w:hAnsi="Times New Roman" w:cs="Times New Roman"/>
          </w:rPr>
        </w:pPr>
        <w:r w:rsidRPr="006467CA">
          <w:rPr>
            <w:rStyle w:val="PageNumber"/>
            <w:rFonts w:ascii="Times New Roman" w:hAnsi="Times New Roman" w:cs="Times New Roman"/>
          </w:rPr>
          <w:fldChar w:fldCharType="begin"/>
        </w:r>
        <w:r w:rsidRPr="006467CA">
          <w:rPr>
            <w:rStyle w:val="PageNumber"/>
            <w:rFonts w:ascii="Times New Roman" w:hAnsi="Times New Roman" w:cs="Times New Roman"/>
          </w:rPr>
          <w:instrText xml:space="preserve"> PAGE </w:instrText>
        </w:r>
        <w:r w:rsidRPr="006467CA">
          <w:rPr>
            <w:rStyle w:val="PageNumber"/>
            <w:rFonts w:ascii="Times New Roman" w:hAnsi="Times New Roman" w:cs="Times New Roman"/>
          </w:rPr>
          <w:fldChar w:fldCharType="separate"/>
        </w:r>
        <w:r w:rsidRPr="006467CA">
          <w:rPr>
            <w:rStyle w:val="PageNumber"/>
            <w:rFonts w:ascii="Times New Roman" w:hAnsi="Times New Roman" w:cs="Times New Roman"/>
            <w:noProof/>
          </w:rPr>
          <w:t>1</w:t>
        </w:r>
        <w:r w:rsidRPr="006467CA">
          <w:rPr>
            <w:rStyle w:val="PageNumber"/>
            <w:rFonts w:ascii="Times New Roman" w:hAnsi="Times New Roman" w:cs="Times New Roman"/>
          </w:rPr>
          <w:fldChar w:fldCharType="end"/>
        </w:r>
      </w:p>
    </w:sdtContent>
  </w:sdt>
  <w:p w14:paraId="7C50EC25" w14:textId="77777777" w:rsidR="009B6602" w:rsidRPr="006467CA" w:rsidRDefault="009B6602" w:rsidP="009B726A">
    <w:pPr>
      <w:pStyle w:val="Footer"/>
      <w:ind w:right="360"/>
      <w:rPr>
        <w:rFonts w:ascii="Times New Roman" w:hAnsi="Times New Roman" w:cs="Times New Roman"/>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008498"/>
      <w:docPartObj>
        <w:docPartGallery w:val="Page Numbers (Bottom of Page)"/>
        <w:docPartUnique/>
      </w:docPartObj>
    </w:sdtPr>
    <w:sdtEndPr>
      <w:rPr>
        <w:rStyle w:val="PageNumber"/>
      </w:rPr>
    </w:sdtEndPr>
    <w:sdtContent>
      <w:p w14:paraId="5E252F9E" w14:textId="77777777" w:rsidR="00B93ED5" w:rsidRDefault="00B93ED5" w:rsidP="009B7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A0996A" w14:textId="77777777" w:rsidR="00B93ED5" w:rsidRDefault="00B93ED5" w:rsidP="009B726A">
    <w:pPr>
      <w:pStyle w:val="Footer"/>
      <w:ind w:righ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027859824"/>
      <w:docPartObj>
        <w:docPartGallery w:val="Page Numbers (Bottom of Page)"/>
        <w:docPartUnique/>
      </w:docPartObj>
    </w:sdtPr>
    <w:sdtEndPr>
      <w:rPr>
        <w:rStyle w:val="PageNumber"/>
      </w:rPr>
    </w:sdtEndPr>
    <w:sdtContent>
      <w:p w14:paraId="184922F9" w14:textId="77777777" w:rsidR="00B93ED5" w:rsidRPr="006467CA" w:rsidRDefault="00B93ED5" w:rsidP="009B726A">
        <w:pPr>
          <w:pStyle w:val="Footer"/>
          <w:framePr w:wrap="none" w:vAnchor="text" w:hAnchor="margin" w:xAlign="right" w:y="1"/>
          <w:rPr>
            <w:rStyle w:val="PageNumber"/>
            <w:rFonts w:ascii="Times New Roman" w:hAnsi="Times New Roman" w:cs="Times New Roman"/>
          </w:rPr>
        </w:pPr>
        <w:r w:rsidRPr="006467CA">
          <w:rPr>
            <w:rStyle w:val="PageNumber"/>
            <w:rFonts w:ascii="Times New Roman" w:hAnsi="Times New Roman" w:cs="Times New Roman"/>
          </w:rPr>
          <w:fldChar w:fldCharType="begin"/>
        </w:r>
        <w:r w:rsidRPr="006467CA">
          <w:rPr>
            <w:rStyle w:val="PageNumber"/>
            <w:rFonts w:ascii="Times New Roman" w:hAnsi="Times New Roman" w:cs="Times New Roman"/>
          </w:rPr>
          <w:instrText xml:space="preserve"> PAGE </w:instrText>
        </w:r>
        <w:r w:rsidRPr="006467CA">
          <w:rPr>
            <w:rStyle w:val="PageNumber"/>
            <w:rFonts w:ascii="Times New Roman" w:hAnsi="Times New Roman" w:cs="Times New Roman"/>
          </w:rPr>
          <w:fldChar w:fldCharType="separate"/>
        </w:r>
        <w:r w:rsidRPr="006467CA">
          <w:rPr>
            <w:rStyle w:val="PageNumber"/>
            <w:rFonts w:ascii="Times New Roman" w:hAnsi="Times New Roman" w:cs="Times New Roman"/>
            <w:noProof/>
          </w:rPr>
          <w:t>1</w:t>
        </w:r>
        <w:r w:rsidRPr="006467CA">
          <w:rPr>
            <w:rStyle w:val="PageNumber"/>
            <w:rFonts w:ascii="Times New Roman" w:hAnsi="Times New Roman" w:cs="Times New Roman"/>
          </w:rPr>
          <w:fldChar w:fldCharType="end"/>
        </w:r>
      </w:p>
    </w:sdtContent>
  </w:sdt>
  <w:p w14:paraId="48CF7490" w14:textId="77777777" w:rsidR="00B93ED5" w:rsidRPr="006467CA" w:rsidRDefault="00B93ED5" w:rsidP="009B726A">
    <w:pPr>
      <w:pStyle w:val="Footer"/>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353649"/>
      <w:docPartObj>
        <w:docPartGallery w:val="Page Numbers (Bottom of Page)"/>
        <w:docPartUnique/>
      </w:docPartObj>
    </w:sdtPr>
    <w:sdtEndPr>
      <w:rPr>
        <w:rStyle w:val="PageNumber"/>
      </w:rPr>
    </w:sdtEndPr>
    <w:sdtContent>
      <w:p w14:paraId="4A80279F" w14:textId="77777777" w:rsidR="00B93ED5" w:rsidRDefault="00B93ED5" w:rsidP="009B7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CCA24" w14:textId="77777777" w:rsidR="00B93ED5" w:rsidRDefault="00B93ED5" w:rsidP="009B726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758825721"/>
      <w:docPartObj>
        <w:docPartGallery w:val="Page Numbers (Bottom of Page)"/>
        <w:docPartUnique/>
      </w:docPartObj>
    </w:sdtPr>
    <w:sdtEndPr>
      <w:rPr>
        <w:rStyle w:val="PageNumber"/>
      </w:rPr>
    </w:sdtEndPr>
    <w:sdtContent>
      <w:p w14:paraId="56947AE4" w14:textId="77777777" w:rsidR="00B93ED5" w:rsidRPr="000F0F2F" w:rsidRDefault="00B93ED5" w:rsidP="009B726A">
        <w:pPr>
          <w:pStyle w:val="Footer"/>
          <w:framePr w:wrap="none" w:vAnchor="text" w:hAnchor="margin" w:xAlign="right" w:y="1"/>
          <w:rPr>
            <w:rStyle w:val="PageNumber"/>
            <w:rFonts w:ascii="Times New Roman" w:hAnsi="Times New Roman" w:cs="Times New Roman"/>
          </w:rPr>
        </w:pPr>
        <w:r w:rsidRPr="000F0F2F">
          <w:rPr>
            <w:rStyle w:val="PageNumber"/>
            <w:rFonts w:ascii="Times New Roman" w:hAnsi="Times New Roman" w:cs="Times New Roman"/>
          </w:rPr>
          <w:fldChar w:fldCharType="begin"/>
        </w:r>
        <w:r w:rsidRPr="000F0F2F">
          <w:rPr>
            <w:rStyle w:val="PageNumber"/>
            <w:rFonts w:ascii="Times New Roman" w:hAnsi="Times New Roman" w:cs="Times New Roman"/>
          </w:rPr>
          <w:instrText xml:space="preserve"> PAGE </w:instrText>
        </w:r>
        <w:r w:rsidRPr="000F0F2F">
          <w:rPr>
            <w:rStyle w:val="PageNumber"/>
            <w:rFonts w:ascii="Times New Roman" w:hAnsi="Times New Roman" w:cs="Times New Roman"/>
          </w:rPr>
          <w:fldChar w:fldCharType="separate"/>
        </w:r>
        <w:r w:rsidRPr="000F0F2F">
          <w:rPr>
            <w:rStyle w:val="PageNumber"/>
            <w:rFonts w:ascii="Times New Roman" w:hAnsi="Times New Roman" w:cs="Times New Roman"/>
            <w:noProof/>
          </w:rPr>
          <w:t>1</w:t>
        </w:r>
        <w:r w:rsidRPr="000F0F2F">
          <w:rPr>
            <w:rStyle w:val="PageNumber"/>
            <w:rFonts w:ascii="Times New Roman" w:hAnsi="Times New Roman" w:cs="Times New Roman"/>
          </w:rPr>
          <w:fldChar w:fldCharType="end"/>
        </w:r>
      </w:p>
    </w:sdtContent>
  </w:sdt>
  <w:p w14:paraId="193B4F7A" w14:textId="77777777" w:rsidR="00B93ED5" w:rsidRPr="000F0F2F" w:rsidRDefault="00B93ED5" w:rsidP="009B726A">
    <w:pPr>
      <w:pStyle w:val="Footer"/>
      <w:ind w:right="360"/>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0513816"/>
      <w:docPartObj>
        <w:docPartGallery w:val="Page Numbers (Bottom of Page)"/>
        <w:docPartUnique/>
      </w:docPartObj>
    </w:sdtPr>
    <w:sdtEndPr>
      <w:rPr>
        <w:rStyle w:val="PageNumber"/>
      </w:rPr>
    </w:sdtEndPr>
    <w:sdtContent>
      <w:p w14:paraId="60FFA20A" w14:textId="77777777" w:rsidR="00B93ED5" w:rsidRDefault="00B93ED5" w:rsidP="009B7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F84E39" w14:textId="77777777" w:rsidR="00B93ED5" w:rsidRDefault="00B93ED5" w:rsidP="009B726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798207651"/>
      <w:docPartObj>
        <w:docPartGallery w:val="Page Numbers (Bottom of Page)"/>
        <w:docPartUnique/>
      </w:docPartObj>
    </w:sdtPr>
    <w:sdtEndPr>
      <w:rPr>
        <w:rStyle w:val="PageNumber"/>
      </w:rPr>
    </w:sdtEndPr>
    <w:sdtContent>
      <w:p w14:paraId="342DF6D8" w14:textId="77777777" w:rsidR="00B93ED5" w:rsidRPr="000F0F2F" w:rsidRDefault="00B93ED5" w:rsidP="009B726A">
        <w:pPr>
          <w:pStyle w:val="Footer"/>
          <w:framePr w:wrap="none" w:vAnchor="text" w:hAnchor="margin" w:xAlign="right" w:y="1"/>
          <w:rPr>
            <w:rStyle w:val="PageNumber"/>
            <w:rFonts w:ascii="Times New Roman" w:hAnsi="Times New Roman" w:cs="Times New Roman"/>
          </w:rPr>
        </w:pPr>
        <w:r w:rsidRPr="000F0F2F">
          <w:rPr>
            <w:rStyle w:val="PageNumber"/>
            <w:rFonts w:ascii="Times New Roman" w:hAnsi="Times New Roman" w:cs="Times New Roman"/>
          </w:rPr>
          <w:fldChar w:fldCharType="begin"/>
        </w:r>
        <w:r w:rsidRPr="000F0F2F">
          <w:rPr>
            <w:rStyle w:val="PageNumber"/>
            <w:rFonts w:ascii="Times New Roman" w:hAnsi="Times New Roman" w:cs="Times New Roman"/>
          </w:rPr>
          <w:instrText xml:space="preserve"> PAGE </w:instrText>
        </w:r>
        <w:r w:rsidRPr="000F0F2F">
          <w:rPr>
            <w:rStyle w:val="PageNumber"/>
            <w:rFonts w:ascii="Times New Roman" w:hAnsi="Times New Roman" w:cs="Times New Roman"/>
          </w:rPr>
          <w:fldChar w:fldCharType="separate"/>
        </w:r>
        <w:r w:rsidRPr="000F0F2F">
          <w:rPr>
            <w:rStyle w:val="PageNumber"/>
            <w:rFonts w:ascii="Times New Roman" w:hAnsi="Times New Roman" w:cs="Times New Roman"/>
            <w:noProof/>
          </w:rPr>
          <w:t>1</w:t>
        </w:r>
        <w:r w:rsidRPr="000F0F2F">
          <w:rPr>
            <w:rStyle w:val="PageNumber"/>
            <w:rFonts w:ascii="Times New Roman" w:hAnsi="Times New Roman" w:cs="Times New Roman"/>
          </w:rPr>
          <w:fldChar w:fldCharType="end"/>
        </w:r>
      </w:p>
    </w:sdtContent>
  </w:sdt>
  <w:p w14:paraId="62639D59" w14:textId="77777777" w:rsidR="00B93ED5" w:rsidRPr="000F0F2F" w:rsidRDefault="00B93ED5" w:rsidP="009B726A">
    <w:pPr>
      <w:pStyle w:val="Footer"/>
      <w:ind w:right="360"/>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128601"/>
      <w:docPartObj>
        <w:docPartGallery w:val="Page Numbers (Bottom of Page)"/>
        <w:docPartUnique/>
      </w:docPartObj>
    </w:sdtPr>
    <w:sdtEndPr>
      <w:rPr>
        <w:rStyle w:val="PageNumber"/>
      </w:rPr>
    </w:sdtEndPr>
    <w:sdtContent>
      <w:p w14:paraId="32D43C9A" w14:textId="77777777" w:rsidR="00B93ED5" w:rsidRDefault="00B93ED5" w:rsidP="009B7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5B6B7" w14:textId="77777777" w:rsidR="00B93ED5" w:rsidRDefault="00B93ED5" w:rsidP="009B726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2858563"/>
      <w:docPartObj>
        <w:docPartGallery w:val="Page Numbers (Bottom of Page)"/>
        <w:docPartUnique/>
      </w:docPartObj>
    </w:sdtPr>
    <w:sdtEndPr>
      <w:rPr>
        <w:rStyle w:val="PageNumber"/>
      </w:rPr>
    </w:sdtEndPr>
    <w:sdtContent>
      <w:p w14:paraId="194CDB2D" w14:textId="77777777" w:rsidR="00B93ED5" w:rsidRPr="00766C97" w:rsidRDefault="00B93ED5" w:rsidP="009B726A">
        <w:pPr>
          <w:pStyle w:val="Footer"/>
          <w:framePr w:wrap="none" w:vAnchor="text" w:hAnchor="margin" w:xAlign="right" w:y="1"/>
          <w:rPr>
            <w:rStyle w:val="PageNumber"/>
            <w:rFonts w:ascii="Times New Roman" w:hAnsi="Times New Roman" w:cs="Times New Roman"/>
          </w:rPr>
        </w:pPr>
        <w:r w:rsidRPr="00766C97">
          <w:rPr>
            <w:rStyle w:val="PageNumber"/>
            <w:rFonts w:ascii="Times New Roman" w:hAnsi="Times New Roman" w:cs="Times New Roman"/>
          </w:rPr>
          <w:fldChar w:fldCharType="begin"/>
        </w:r>
        <w:r w:rsidRPr="00766C97">
          <w:rPr>
            <w:rStyle w:val="PageNumber"/>
            <w:rFonts w:ascii="Times New Roman" w:hAnsi="Times New Roman" w:cs="Times New Roman"/>
          </w:rPr>
          <w:instrText xml:space="preserve"> PAGE </w:instrText>
        </w:r>
        <w:r w:rsidRPr="00766C97">
          <w:rPr>
            <w:rStyle w:val="PageNumber"/>
            <w:rFonts w:ascii="Times New Roman" w:hAnsi="Times New Roman" w:cs="Times New Roman"/>
          </w:rPr>
          <w:fldChar w:fldCharType="separate"/>
        </w:r>
        <w:r w:rsidRPr="00766C97">
          <w:rPr>
            <w:rStyle w:val="PageNumber"/>
            <w:rFonts w:ascii="Times New Roman" w:hAnsi="Times New Roman" w:cs="Times New Roman"/>
            <w:noProof/>
          </w:rPr>
          <w:t>1</w:t>
        </w:r>
        <w:r w:rsidRPr="00766C97">
          <w:rPr>
            <w:rStyle w:val="PageNumber"/>
            <w:rFonts w:ascii="Times New Roman" w:hAnsi="Times New Roman" w:cs="Times New Roman"/>
          </w:rPr>
          <w:fldChar w:fldCharType="end"/>
        </w:r>
      </w:p>
    </w:sdtContent>
  </w:sdt>
  <w:p w14:paraId="34810C37" w14:textId="77777777" w:rsidR="00B93ED5" w:rsidRPr="00766C97" w:rsidRDefault="00B93ED5" w:rsidP="009B726A">
    <w:pPr>
      <w:pStyle w:val="Footer"/>
      <w:ind w:right="360"/>
      <w:rPr>
        <w:rFonts w:ascii="Times New Roman" w:hAnsi="Times New Roman" w:cs="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C00D" w14:textId="77777777" w:rsidR="00B93ED5" w:rsidRDefault="00B93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E8C7" w14:textId="77777777" w:rsidR="00B630B2" w:rsidRDefault="00B630B2" w:rsidP="006A5A46">
      <w:r>
        <w:separator/>
      </w:r>
    </w:p>
  </w:footnote>
  <w:footnote w:type="continuationSeparator" w:id="0">
    <w:p w14:paraId="7E59C2D7" w14:textId="77777777" w:rsidR="00B630B2" w:rsidRDefault="00B630B2" w:rsidP="006A5A46">
      <w:r>
        <w:continuationSeparator/>
      </w:r>
    </w:p>
  </w:footnote>
  <w:footnote w:type="continuationNotice" w:id="1">
    <w:p w14:paraId="692CFF90" w14:textId="77777777" w:rsidR="00B630B2" w:rsidRDefault="00B630B2"/>
  </w:footnote>
  <w:footnote w:id="2">
    <w:p w14:paraId="510537F8" w14:textId="14328EFE" w:rsidR="003F017D" w:rsidRPr="009D7635" w:rsidRDefault="003F017D">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I am grateful to </w:t>
      </w:r>
      <w:proofErr w:type="spellStart"/>
      <w:r w:rsidRPr="009D7635">
        <w:rPr>
          <w:rFonts w:ascii="Times New Roman" w:hAnsi="Times New Roman" w:cs="Times New Roman"/>
        </w:rPr>
        <w:t>Dag</w:t>
      </w:r>
      <w:proofErr w:type="spellEnd"/>
      <w:r w:rsidRPr="009D7635">
        <w:rPr>
          <w:rFonts w:ascii="Times New Roman" w:hAnsi="Times New Roman" w:cs="Times New Roman"/>
        </w:rPr>
        <w:t xml:space="preserve"> Hasse for making this point to me.</w:t>
      </w:r>
    </w:p>
  </w:footnote>
  <w:footnote w:id="3">
    <w:p w14:paraId="65F6E297" w14:textId="0CEB6AF9" w:rsidR="00B93ED5" w:rsidRPr="009D7635" w:rsidRDefault="00B93ED5" w:rsidP="007E482F">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See for example Gordon </w:t>
      </w:r>
      <w:proofErr w:type="spellStart"/>
      <w:r w:rsidRPr="009D7635">
        <w:rPr>
          <w:rFonts w:ascii="Times New Roman" w:hAnsi="Times New Roman" w:cs="Times New Roman"/>
          <w:color w:val="000000" w:themeColor="text1"/>
          <w:sz w:val="20"/>
          <w:szCs w:val="20"/>
        </w:rPr>
        <w:t>Leff</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 xml:space="preserve">Paris and Oxford Universities in the Thirteenth and Fourteenth Centuries </w:t>
      </w:r>
      <w:r w:rsidRPr="009D7635">
        <w:rPr>
          <w:rFonts w:ascii="Times New Roman" w:hAnsi="Times New Roman" w:cs="Times New Roman"/>
          <w:color w:val="000000" w:themeColor="text1"/>
          <w:sz w:val="20"/>
          <w:szCs w:val="20"/>
        </w:rPr>
        <w:t xml:space="preserve">(London: Wiley, 1968). </w:t>
      </w:r>
      <w:proofErr w:type="spellStart"/>
      <w:r w:rsidRPr="009D7635">
        <w:rPr>
          <w:rFonts w:ascii="Times New Roman" w:hAnsi="Times New Roman" w:cs="Times New Roman"/>
          <w:color w:val="000000" w:themeColor="text1"/>
          <w:sz w:val="20"/>
          <w:szCs w:val="20"/>
        </w:rPr>
        <w:t>Hilde</w:t>
      </w:r>
      <w:proofErr w:type="spellEnd"/>
      <w:r w:rsidRPr="009D7635">
        <w:rPr>
          <w:rFonts w:ascii="Times New Roman" w:hAnsi="Times New Roman" w:cs="Times New Roman"/>
          <w:color w:val="000000" w:themeColor="text1"/>
          <w:sz w:val="20"/>
          <w:szCs w:val="20"/>
        </w:rPr>
        <w:t xml:space="preserve"> de </w:t>
      </w:r>
      <w:proofErr w:type="spellStart"/>
      <w:r w:rsidRPr="009D7635">
        <w:rPr>
          <w:rFonts w:ascii="Times New Roman" w:hAnsi="Times New Roman" w:cs="Times New Roman"/>
          <w:color w:val="000000" w:themeColor="text1"/>
          <w:sz w:val="20"/>
          <w:szCs w:val="20"/>
        </w:rPr>
        <w:t>Ridder-Symoens</w:t>
      </w:r>
      <w:proofErr w:type="spellEnd"/>
      <w:r w:rsidRPr="009D7635">
        <w:rPr>
          <w:rFonts w:ascii="Times New Roman" w:hAnsi="Times New Roman" w:cs="Times New Roman"/>
          <w:color w:val="000000" w:themeColor="text1"/>
          <w:sz w:val="20"/>
          <w:szCs w:val="20"/>
        </w:rPr>
        <w:t xml:space="preserve"> and Walter </w:t>
      </w:r>
      <w:proofErr w:type="spellStart"/>
      <w:r w:rsidRPr="009D7635">
        <w:rPr>
          <w:rFonts w:ascii="Times New Roman" w:hAnsi="Times New Roman" w:cs="Times New Roman"/>
          <w:color w:val="000000" w:themeColor="text1"/>
          <w:sz w:val="20"/>
          <w:szCs w:val="20"/>
        </w:rPr>
        <w:t>Rüegg</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A History of the University in Europe</w:t>
      </w:r>
      <w:r w:rsidRPr="009D7635">
        <w:rPr>
          <w:rFonts w:ascii="Times New Roman" w:hAnsi="Times New Roman" w:cs="Times New Roman"/>
          <w:color w:val="000000" w:themeColor="text1"/>
          <w:sz w:val="20"/>
          <w:szCs w:val="20"/>
        </w:rPr>
        <w:t xml:space="preserve">, 4 </w:t>
      </w:r>
      <w:proofErr w:type="spellStart"/>
      <w:r w:rsidRPr="009D7635">
        <w:rPr>
          <w:rFonts w:ascii="Times New Roman" w:hAnsi="Times New Roman" w:cs="Times New Roman"/>
          <w:color w:val="000000" w:themeColor="text1"/>
          <w:sz w:val="20"/>
          <w:szCs w:val="20"/>
        </w:rPr>
        <w:t>vols</w:t>
      </w:r>
      <w:proofErr w:type="spellEnd"/>
      <w:r w:rsidRPr="009D7635">
        <w:rPr>
          <w:rFonts w:ascii="Times New Roman" w:hAnsi="Times New Roman" w:cs="Times New Roman"/>
          <w:color w:val="000000" w:themeColor="text1"/>
          <w:sz w:val="20"/>
          <w:szCs w:val="20"/>
        </w:rPr>
        <w:t xml:space="preserve"> (Cambridge: Cambridge University Press, 1992-2011).</w:t>
      </w:r>
    </w:p>
  </w:footnote>
  <w:footnote w:id="4">
    <w:p w14:paraId="2A5E04D5" w14:textId="4E8ACA3B" w:rsidR="00B93ED5" w:rsidRPr="009D7635" w:rsidRDefault="00B93ED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iCs/>
          <w:color w:val="000000" w:themeColor="text1"/>
        </w:rPr>
        <w:t>Doctoris</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irrefragabilis</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Alexandri</w:t>
      </w:r>
      <w:proofErr w:type="spellEnd"/>
      <w:r w:rsidRPr="009D7635">
        <w:rPr>
          <w:rFonts w:ascii="Times New Roman" w:hAnsi="Times New Roman" w:cs="Times New Roman"/>
          <w:i/>
          <w:iCs/>
          <w:color w:val="000000" w:themeColor="text1"/>
        </w:rPr>
        <w:t xml:space="preserve"> de Hales </w:t>
      </w:r>
      <w:proofErr w:type="spellStart"/>
      <w:r w:rsidRPr="009D7635">
        <w:rPr>
          <w:rFonts w:ascii="Times New Roman" w:hAnsi="Times New Roman" w:cs="Times New Roman"/>
          <w:i/>
          <w:iCs/>
          <w:color w:val="000000" w:themeColor="text1"/>
        </w:rPr>
        <w:t>Ordinis</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minorum</w:t>
      </w:r>
      <w:proofErr w:type="spellEnd"/>
      <w:r w:rsidRPr="009D7635">
        <w:rPr>
          <w:rFonts w:ascii="Times New Roman" w:hAnsi="Times New Roman" w:cs="Times New Roman"/>
          <w:i/>
          <w:iCs/>
          <w:color w:val="000000" w:themeColor="text1"/>
        </w:rPr>
        <w:t xml:space="preserve"> Summa </w:t>
      </w:r>
      <w:proofErr w:type="spellStart"/>
      <w:r w:rsidRPr="009D7635">
        <w:rPr>
          <w:rFonts w:ascii="Times New Roman" w:hAnsi="Times New Roman" w:cs="Times New Roman"/>
          <w:i/>
          <w:iCs/>
          <w:color w:val="000000" w:themeColor="text1"/>
        </w:rPr>
        <w:t>theologica</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w:t>
      </w:r>
      <w:r w:rsidRPr="009D7635">
        <w:rPr>
          <w:rFonts w:ascii="Times New Roman" w:hAnsi="Times New Roman" w:cs="Times New Roman"/>
          <w:i/>
          <w:iCs/>
          <w:color w:val="000000" w:themeColor="text1"/>
        </w:rPr>
        <w:t>SH</w:t>
      </w:r>
      <w:r w:rsidRPr="009D7635">
        <w:rPr>
          <w:rFonts w:ascii="Times New Roman" w:hAnsi="Times New Roman" w:cs="Times New Roman"/>
          <w:color w:val="000000" w:themeColor="text1"/>
        </w:rPr>
        <w:t xml:space="preserve">), 4 </w:t>
      </w:r>
      <w:proofErr w:type="spellStart"/>
      <w:r w:rsidRPr="009D7635">
        <w:rPr>
          <w:rFonts w:ascii="Times New Roman" w:hAnsi="Times New Roman" w:cs="Times New Roman"/>
          <w:color w:val="000000" w:themeColor="text1"/>
        </w:rPr>
        <w:t>vols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Quaracchi</w:t>
      </w:r>
      <w:proofErr w:type="spellEnd"/>
      <w:r w:rsidRPr="009D7635">
        <w:rPr>
          <w:rFonts w:ascii="Times New Roman" w:hAnsi="Times New Roman" w:cs="Times New Roman"/>
          <w:color w:val="000000" w:themeColor="text1"/>
        </w:rPr>
        <w:t>: Collegium S. Bonaventurae, 1924-48).</w:t>
      </w:r>
    </w:p>
  </w:footnote>
  <w:footnote w:id="5">
    <w:p w14:paraId="4B55F6F9" w14:textId="086735D3" w:rsidR="00B93ED5" w:rsidRPr="009D7635" w:rsidRDefault="00B93ED5" w:rsidP="00B34F9E">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Victorin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Doucet</w:t>
      </w:r>
      <w:proofErr w:type="spellEnd"/>
      <w:r w:rsidRPr="009D7635">
        <w:rPr>
          <w:rFonts w:ascii="Times New Roman" w:hAnsi="Times New Roman" w:cs="Times New Roman"/>
          <w:color w:val="000000" w:themeColor="text1"/>
        </w:rPr>
        <w:t xml:space="preserve">, ‘Prolegomena in </w:t>
      </w:r>
      <w:proofErr w:type="spellStart"/>
      <w:r w:rsidRPr="009D7635">
        <w:rPr>
          <w:rFonts w:ascii="Times New Roman" w:hAnsi="Times New Roman" w:cs="Times New Roman"/>
          <w:color w:val="000000" w:themeColor="text1"/>
        </w:rPr>
        <w:t>librum</w:t>
      </w:r>
      <w:proofErr w:type="spellEnd"/>
      <w:r w:rsidRPr="009D7635">
        <w:rPr>
          <w:rFonts w:ascii="Times New Roman" w:hAnsi="Times New Roman" w:cs="Times New Roman"/>
          <w:color w:val="000000" w:themeColor="text1"/>
        </w:rPr>
        <w:t xml:space="preserve"> III </w:t>
      </w:r>
      <w:proofErr w:type="spellStart"/>
      <w:r w:rsidRPr="009D7635">
        <w:rPr>
          <w:rFonts w:ascii="Times New Roman" w:hAnsi="Times New Roman" w:cs="Times New Roman"/>
          <w:color w:val="000000" w:themeColor="text1"/>
        </w:rPr>
        <w:t>necnon</w:t>
      </w:r>
      <w:proofErr w:type="spellEnd"/>
      <w:r w:rsidRPr="009D7635">
        <w:rPr>
          <w:rFonts w:ascii="Times New Roman" w:hAnsi="Times New Roman" w:cs="Times New Roman"/>
          <w:color w:val="000000" w:themeColor="text1"/>
        </w:rPr>
        <w:t xml:space="preserve"> in </w:t>
      </w:r>
      <w:proofErr w:type="spellStart"/>
      <w:r w:rsidRPr="009D7635">
        <w:rPr>
          <w:rFonts w:ascii="Times New Roman" w:hAnsi="Times New Roman" w:cs="Times New Roman"/>
          <w:color w:val="000000" w:themeColor="text1"/>
        </w:rPr>
        <w:t>libros</w:t>
      </w:r>
      <w:proofErr w:type="spellEnd"/>
      <w:r w:rsidRPr="009D7635">
        <w:rPr>
          <w:rFonts w:ascii="Times New Roman" w:hAnsi="Times New Roman" w:cs="Times New Roman"/>
          <w:color w:val="000000" w:themeColor="text1"/>
        </w:rPr>
        <w:t xml:space="preserve"> I et II </w:t>
      </w:r>
      <w:proofErr w:type="spellStart"/>
      <w:r w:rsidRPr="009D7635">
        <w:rPr>
          <w:rFonts w:ascii="Times New Roman" w:hAnsi="Times New Roman" w:cs="Times New Roman"/>
          <w:i/>
          <w:color w:val="000000" w:themeColor="text1"/>
        </w:rPr>
        <w:t>Summae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Fratris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Alexandri</w:t>
      </w:r>
      <w:proofErr w:type="spellEnd"/>
      <w:r w:rsidRPr="009D7635">
        <w:rPr>
          <w:rFonts w:ascii="Times New Roman" w:hAnsi="Times New Roman" w:cs="Times New Roman"/>
          <w:i/>
          <w:color w:val="000000" w:themeColor="text1"/>
        </w:rPr>
        <w:t>,’</w:t>
      </w:r>
      <w:r w:rsidRPr="009D7635">
        <w:rPr>
          <w:rFonts w:ascii="Times New Roman" w:hAnsi="Times New Roman" w:cs="Times New Roman"/>
          <w:color w:val="000000" w:themeColor="text1"/>
        </w:rPr>
        <w:t xml:space="preserve"> in </w:t>
      </w:r>
      <w:proofErr w:type="spellStart"/>
      <w:r w:rsidRPr="009D7635">
        <w:rPr>
          <w:rFonts w:ascii="Times New Roman" w:hAnsi="Times New Roman" w:cs="Times New Roman"/>
          <w:i/>
          <w:color w:val="000000" w:themeColor="text1"/>
        </w:rPr>
        <w:t>Alexandri</w:t>
      </w:r>
      <w:proofErr w:type="spellEnd"/>
      <w:r w:rsidRPr="009D7635">
        <w:rPr>
          <w:rFonts w:ascii="Times New Roman" w:hAnsi="Times New Roman" w:cs="Times New Roman"/>
          <w:i/>
          <w:color w:val="000000" w:themeColor="text1"/>
        </w:rPr>
        <w:t xml:space="preserve"> de Hales Summa </w:t>
      </w:r>
      <w:proofErr w:type="spellStart"/>
      <w:r w:rsidRPr="009D7635">
        <w:rPr>
          <w:rFonts w:ascii="Times New Roman" w:hAnsi="Times New Roman" w:cs="Times New Roman"/>
          <w:i/>
          <w:color w:val="000000" w:themeColor="text1"/>
        </w:rPr>
        <w:t>Theologica</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w:t>
      </w:r>
      <w:proofErr w:type="spellStart"/>
      <w:r w:rsidRPr="009D7635">
        <w:rPr>
          <w:rFonts w:ascii="Times New Roman" w:hAnsi="Times New Roman" w:cs="Times New Roman"/>
          <w:color w:val="000000" w:themeColor="text1"/>
        </w:rPr>
        <w:t>Quaracchi</w:t>
      </w:r>
      <w:proofErr w:type="spellEnd"/>
      <w:r w:rsidRPr="009D7635">
        <w:rPr>
          <w:rFonts w:ascii="Times New Roman" w:hAnsi="Times New Roman" w:cs="Times New Roman"/>
          <w:color w:val="000000" w:themeColor="text1"/>
        </w:rPr>
        <w:t xml:space="preserve">, Florence: Collegii S. Bonaventurae, 1948), </w:t>
      </w:r>
      <w:r w:rsidRPr="009D7635">
        <w:rPr>
          <w:rFonts w:ascii="Times New Roman" w:hAnsi="Times New Roman" w:cs="Times New Roman"/>
          <w:color w:val="000000" w:themeColor="text1"/>
          <w:lang w:val="en-US"/>
        </w:rPr>
        <w:t xml:space="preserve">cccvi, cccliv-lv. After John and Alexander died in 1245, the fourth volume on the sacraments remained unfinished but was completed between 1255-56 by papal order to William of </w:t>
      </w:r>
      <w:proofErr w:type="spellStart"/>
      <w:r w:rsidRPr="009D7635">
        <w:rPr>
          <w:rFonts w:ascii="Times New Roman" w:hAnsi="Times New Roman" w:cs="Times New Roman"/>
          <w:color w:val="000000" w:themeColor="text1"/>
          <w:lang w:val="en-US"/>
        </w:rPr>
        <w:t>Melitona</w:t>
      </w:r>
      <w:proofErr w:type="spellEnd"/>
      <w:r w:rsidRPr="009D7635">
        <w:rPr>
          <w:rFonts w:ascii="Times New Roman" w:hAnsi="Times New Roman" w:cs="Times New Roman"/>
          <w:color w:val="000000" w:themeColor="text1"/>
          <w:lang w:val="en-US"/>
        </w:rPr>
        <w:t xml:space="preserve">, then head of the Franciscan school. </w:t>
      </w:r>
      <w:r w:rsidR="00214B5C" w:rsidRPr="009D7635">
        <w:rPr>
          <w:rFonts w:ascii="Times New Roman" w:hAnsi="Times New Roman" w:cs="Times New Roman"/>
          <w:color w:val="000000" w:themeColor="text1"/>
          <w:lang w:val="en-US"/>
        </w:rPr>
        <w:t>On the Summa’s composition and circulation, see</w:t>
      </w:r>
      <w:r w:rsidRPr="009D7635">
        <w:rPr>
          <w:rFonts w:ascii="Times New Roman" w:hAnsi="Times New Roman" w:cs="Times New Roman"/>
          <w:color w:val="000000" w:themeColor="text1"/>
          <w:lang w:val="en-US"/>
        </w:rPr>
        <w:t xml:space="preserve"> Riccardo Saccenti ‘The Reception of the </w:t>
      </w:r>
      <w:r w:rsidRPr="009D7635">
        <w:rPr>
          <w:rFonts w:ascii="Times New Roman" w:hAnsi="Times New Roman" w:cs="Times New Roman"/>
          <w:i/>
          <w:iCs/>
          <w:color w:val="000000" w:themeColor="text1"/>
          <w:lang w:val="en-US"/>
        </w:rPr>
        <w:t xml:space="preserve">Summa </w:t>
      </w:r>
      <w:proofErr w:type="spellStart"/>
      <w:r w:rsidRPr="009D7635">
        <w:rPr>
          <w:rFonts w:ascii="Times New Roman" w:hAnsi="Times New Roman" w:cs="Times New Roman"/>
          <w:i/>
          <w:iCs/>
          <w:color w:val="000000" w:themeColor="text1"/>
          <w:lang w:val="en-US"/>
        </w:rPr>
        <w:t>Halensis</w:t>
      </w:r>
      <w:proofErr w:type="spellEnd"/>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lang w:val="en-US"/>
        </w:rPr>
        <w:t xml:space="preserve">in the Manuscript Tradition until 1450,’ in </w:t>
      </w:r>
      <w:r w:rsidRPr="009D7635">
        <w:rPr>
          <w:rFonts w:ascii="Times New Roman" w:hAnsi="Times New Roman" w:cs="Times New Roman"/>
          <w:i/>
          <w:iCs/>
          <w:color w:val="000000" w:themeColor="text1"/>
          <w:lang w:val="en-US"/>
        </w:rPr>
        <w:t xml:space="preserve">The Legacy of Early Franciscan Thought, </w:t>
      </w:r>
      <w:r w:rsidRPr="009D7635">
        <w:rPr>
          <w:rFonts w:ascii="Times New Roman" w:hAnsi="Times New Roman" w:cs="Times New Roman"/>
          <w:color w:val="000000" w:themeColor="text1"/>
          <w:lang w:val="en-US"/>
        </w:rPr>
        <w:t>ed. Lydia Schumacher (Berlin: De Gruyter, 2021), 353-71.</w:t>
      </w:r>
    </w:p>
  </w:footnote>
  <w:footnote w:id="6">
    <w:p w14:paraId="3BF088E5" w14:textId="021BD873" w:rsidR="00B93ED5" w:rsidRPr="009D7635" w:rsidRDefault="00B93ED5" w:rsidP="00B34F9E">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 </w:t>
      </w:r>
      <w:r w:rsidRPr="009D7635">
        <w:rPr>
          <w:rFonts w:ascii="Times New Roman" w:hAnsi="Times New Roman" w:cs="Times New Roman"/>
          <w:i/>
          <w:color w:val="000000" w:themeColor="text1"/>
        </w:rPr>
        <w:t xml:space="preserve">Avicenna’s De anima in the Latin West </w:t>
      </w:r>
      <w:r w:rsidRPr="009D7635">
        <w:rPr>
          <w:rFonts w:ascii="Times New Roman" w:hAnsi="Times New Roman" w:cs="Times New Roman"/>
          <w:iCs/>
          <w:color w:val="000000" w:themeColor="text1"/>
        </w:rPr>
        <w:t xml:space="preserve">(London: Warburg Institute, 2020), </w:t>
      </w:r>
      <w:r w:rsidRPr="009D7635">
        <w:rPr>
          <w:rFonts w:ascii="Times New Roman" w:hAnsi="Times New Roman" w:cs="Times New Roman"/>
          <w:color w:val="000000" w:themeColor="text1"/>
        </w:rPr>
        <w:t>216.</w:t>
      </w:r>
    </w:p>
  </w:footnote>
  <w:footnote w:id="7">
    <w:p w14:paraId="15C09C40" w14:textId="77777777" w:rsidR="00B93ED5" w:rsidRPr="009D7635" w:rsidRDefault="00B93ED5" w:rsidP="00B34F9E">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eastAsia="Times New Roman" w:hAnsi="Times New Roman" w:cs="Times New Roman"/>
          <w:bCs/>
          <w:i/>
          <w:iCs/>
          <w:color w:val="000000" w:themeColor="text1"/>
        </w:rPr>
        <w:t xml:space="preserve">Jean de La Rochelle. </w:t>
      </w:r>
      <w:proofErr w:type="spellStart"/>
      <w:r w:rsidRPr="009D7635">
        <w:rPr>
          <w:rFonts w:ascii="Times New Roman" w:eastAsia="Times New Roman" w:hAnsi="Times New Roman" w:cs="Times New Roman"/>
          <w:bCs/>
          <w:i/>
          <w:iCs/>
          <w:color w:val="000000" w:themeColor="text1"/>
        </w:rPr>
        <w:t>Tractatus</w:t>
      </w:r>
      <w:proofErr w:type="spellEnd"/>
      <w:r w:rsidRPr="009D7635">
        <w:rPr>
          <w:rFonts w:ascii="Times New Roman" w:eastAsia="Times New Roman" w:hAnsi="Times New Roman" w:cs="Times New Roman"/>
          <w:bCs/>
          <w:i/>
          <w:iCs/>
          <w:color w:val="000000" w:themeColor="text1"/>
        </w:rPr>
        <w:t xml:space="preserve"> de </w:t>
      </w:r>
      <w:proofErr w:type="spellStart"/>
      <w:r w:rsidRPr="009D7635">
        <w:rPr>
          <w:rFonts w:ascii="Times New Roman" w:eastAsia="Times New Roman" w:hAnsi="Times New Roman" w:cs="Times New Roman"/>
          <w:bCs/>
          <w:i/>
          <w:iCs/>
          <w:color w:val="000000" w:themeColor="text1"/>
        </w:rPr>
        <w:t>divisione</w:t>
      </w:r>
      <w:proofErr w:type="spellEnd"/>
      <w:r w:rsidRPr="009D7635">
        <w:rPr>
          <w:rFonts w:ascii="Times New Roman" w:eastAsia="Times New Roman" w:hAnsi="Times New Roman" w:cs="Times New Roman"/>
          <w:bCs/>
          <w:i/>
          <w:iCs/>
          <w:color w:val="000000" w:themeColor="text1"/>
        </w:rPr>
        <w:t xml:space="preserve"> </w:t>
      </w:r>
      <w:proofErr w:type="spellStart"/>
      <w:r w:rsidRPr="009D7635">
        <w:rPr>
          <w:rFonts w:ascii="Times New Roman" w:eastAsia="Times New Roman" w:hAnsi="Times New Roman" w:cs="Times New Roman"/>
          <w:bCs/>
          <w:i/>
          <w:iCs/>
          <w:color w:val="000000" w:themeColor="text1"/>
        </w:rPr>
        <w:t>multiplici</w:t>
      </w:r>
      <w:proofErr w:type="spellEnd"/>
      <w:r w:rsidRPr="009D7635">
        <w:rPr>
          <w:rFonts w:ascii="Times New Roman" w:eastAsia="Times New Roman" w:hAnsi="Times New Roman" w:cs="Times New Roman"/>
          <w:bCs/>
          <w:i/>
          <w:iCs/>
          <w:color w:val="000000" w:themeColor="text1"/>
        </w:rPr>
        <w:t xml:space="preserve"> </w:t>
      </w:r>
      <w:proofErr w:type="spellStart"/>
      <w:r w:rsidRPr="009D7635">
        <w:rPr>
          <w:rFonts w:ascii="Times New Roman" w:eastAsia="Times New Roman" w:hAnsi="Times New Roman" w:cs="Times New Roman"/>
          <w:bCs/>
          <w:i/>
          <w:iCs/>
          <w:color w:val="000000" w:themeColor="text1"/>
        </w:rPr>
        <w:t>potentiarum</w:t>
      </w:r>
      <w:proofErr w:type="spellEnd"/>
      <w:r w:rsidRPr="009D7635">
        <w:rPr>
          <w:rFonts w:ascii="Times New Roman" w:eastAsia="Times New Roman" w:hAnsi="Times New Roman" w:cs="Times New Roman"/>
          <w:bCs/>
          <w:i/>
          <w:iCs/>
          <w:color w:val="000000" w:themeColor="text1"/>
        </w:rPr>
        <w:t xml:space="preserve"> </w:t>
      </w:r>
      <w:proofErr w:type="spellStart"/>
      <w:r w:rsidRPr="009D7635">
        <w:rPr>
          <w:rFonts w:ascii="Times New Roman" w:eastAsia="Times New Roman" w:hAnsi="Times New Roman" w:cs="Times New Roman"/>
          <w:bCs/>
          <w:i/>
          <w:iCs/>
          <w:color w:val="000000" w:themeColor="text1"/>
        </w:rPr>
        <w:t>animae</w:t>
      </w:r>
      <w:proofErr w:type="spellEnd"/>
      <w:r w:rsidRPr="009D7635">
        <w:rPr>
          <w:rFonts w:ascii="Times New Roman" w:eastAsia="Times New Roman" w:hAnsi="Times New Roman" w:cs="Times New Roman"/>
          <w:bCs/>
          <w:i/>
          <w:iCs/>
          <w:color w:val="000000" w:themeColor="text1"/>
        </w:rPr>
        <w:t xml:space="preserve">. </w:t>
      </w:r>
      <w:proofErr w:type="spellStart"/>
      <w:r w:rsidRPr="009D7635">
        <w:rPr>
          <w:rFonts w:ascii="Times New Roman" w:eastAsia="Times New Roman" w:hAnsi="Times New Roman" w:cs="Times New Roman"/>
          <w:bCs/>
          <w:i/>
          <w:iCs/>
          <w:color w:val="000000" w:themeColor="text1"/>
        </w:rPr>
        <w:t>Texte</w:t>
      </w:r>
      <w:proofErr w:type="spellEnd"/>
      <w:r w:rsidRPr="009D7635">
        <w:rPr>
          <w:rFonts w:ascii="Times New Roman" w:eastAsia="Times New Roman" w:hAnsi="Times New Roman" w:cs="Times New Roman"/>
          <w:bCs/>
          <w:i/>
          <w:iCs/>
          <w:color w:val="000000" w:themeColor="text1"/>
        </w:rPr>
        <w:t xml:space="preserve"> critique </w:t>
      </w:r>
      <w:proofErr w:type="spellStart"/>
      <w:r w:rsidRPr="009D7635">
        <w:rPr>
          <w:rFonts w:ascii="Times New Roman" w:eastAsia="Times New Roman" w:hAnsi="Times New Roman" w:cs="Times New Roman"/>
          <w:bCs/>
          <w:i/>
          <w:iCs/>
          <w:color w:val="000000" w:themeColor="text1"/>
        </w:rPr>
        <w:t>avec</w:t>
      </w:r>
      <w:proofErr w:type="spellEnd"/>
      <w:r w:rsidRPr="009D7635">
        <w:rPr>
          <w:rFonts w:ascii="Times New Roman" w:eastAsia="Times New Roman" w:hAnsi="Times New Roman" w:cs="Times New Roman"/>
          <w:bCs/>
          <w:i/>
          <w:iCs/>
          <w:color w:val="000000" w:themeColor="text1"/>
        </w:rPr>
        <w:t xml:space="preserve"> introduction, notes et tables, </w:t>
      </w:r>
      <w:r w:rsidRPr="009D7635">
        <w:rPr>
          <w:rFonts w:ascii="Times New Roman" w:eastAsia="Times New Roman" w:hAnsi="Times New Roman" w:cs="Times New Roman"/>
          <w:bCs/>
          <w:iCs/>
          <w:color w:val="000000" w:themeColor="text1"/>
        </w:rPr>
        <w:t xml:space="preserve">ed. </w:t>
      </w:r>
      <w:r w:rsidRPr="009D7635">
        <w:rPr>
          <w:rFonts w:ascii="Times New Roman" w:hAnsi="Times New Roman" w:cs="Times New Roman"/>
          <w:color w:val="000000" w:themeColor="text1"/>
        </w:rPr>
        <w:t xml:space="preserve">Pierre </w:t>
      </w:r>
      <w:proofErr w:type="spellStart"/>
      <w:r w:rsidRPr="009D7635">
        <w:rPr>
          <w:rFonts w:ascii="Times New Roman" w:hAnsi="Times New Roman" w:cs="Times New Roman"/>
          <w:color w:val="000000" w:themeColor="text1"/>
        </w:rPr>
        <w:t>Michaud-Quantin</w:t>
      </w:r>
      <w:proofErr w:type="spellEnd"/>
      <w:r w:rsidRPr="009D7635">
        <w:rPr>
          <w:rFonts w:ascii="Times New Roman" w:eastAsia="Times New Roman" w:hAnsi="Times New Roman" w:cs="Times New Roman"/>
          <w:bCs/>
          <w:i/>
          <w:iCs/>
          <w:color w:val="000000" w:themeColor="text1"/>
        </w:rPr>
        <w:t xml:space="preserve"> </w:t>
      </w:r>
      <w:r w:rsidRPr="009D7635">
        <w:rPr>
          <w:rFonts w:ascii="Times New Roman" w:eastAsia="Times New Roman" w:hAnsi="Times New Roman" w:cs="Times New Roman"/>
          <w:bCs/>
          <w:iCs/>
          <w:color w:val="000000" w:themeColor="text1"/>
        </w:rPr>
        <w:t xml:space="preserve">(Paris: Vrin, 1964). </w:t>
      </w:r>
      <w:r w:rsidRPr="009D7635">
        <w:rPr>
          <w:rFonts w:ascii="Times New Roman" w:hAnsi="Times New Roman" w:cs="Times New Roman"/>
          <w:color w:val="000000" w:themeColor="text1"/>
        </w:rPr>
        <w:t xml:space="preserve">John of La Rochelle, </w:t>
      </w:r>
      <w:r w:rsidRPr="009D7635">
        <w:rPr>
          <w:rFonts w:ascii="Times New Roman" w:hAnsi="Times New Roman" w:cs="Times New Roman"/>
          <w:i/>
          <w:color w:val="000000" w:themeColor="text1"/>
        </w:rPr>
        <w:t xml:space="preserve">Summa de anima, </w:t>
      </w:r>
      <w:r w:rsidRPr="009D7635">
        <w:rPr>
          <w:rFonts w:ascii="Times New Roman" w:hAnsi="Times New Roman" w:cs="Times New Roman"/>
          <w:color w:val="000000" w:themeColor="text1"/>
        </w:rPr>
        <w:t xml:space="preserve">ed. Jacques Guy </w:t>
      </w:r>
      <w:proofErr w:type="spellStart"/>
      <w:r w:rsidRPr="009D7635">
        <w:rPr>
          <w:rFonts w:ascii="Times New Roman" w:hAnsi="Times New Roman" w:cs="Times New Roman"/>
          <w:color w:val="000000" w:themeColor="text1"/>
        </w:rPr>
        <w:t>Bougerol</w:t>
      </w:r>
      <w:proofErr w:type="spellEnd"/>
      <w:r w:rsidRPr="009D7635">
        <w:rPr>
          <w:rFonts w:ascii="Times New Roman" w:hAnsi="Times New Roman" w:cs="Times New Roman"/>
          <w:color w:val="000000" w:themeColor="text1"/>
        </w:rPr>
        <w:t xml:space="preserve"> (Paris: Vrin, 1995).</w:t>
      </w:r>
    </w:p>
  </w:footnote>
  <w:footnote w:id="8">
    <w:p w14:paraId="460C48FF" w14:textId="343AF08E" w:rsidR="00B93ED5" w:rsidRPr="009D7635" w:rsidRDefault="00B93ED5" w:rsidP="00B34F9E">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Étienne Gilson, ‘Les sources </w:t>
      </w:r>
      <w:proofErr w:type="spellStart"/>
      <w:r w:rsidRPr="009D7635">
        <w:rPr>
          <w:rFonts w:ascii="Times New Roman" w:hAnsi="Times New Roman" w:cs="Times New Roman"/>
          <w:color w:val="000000" w:themeColor="text1"/>
        </w:rPr>
        <w:t>Greco-arabes</w:t>
      </w:r>
      <w:proofErr w:type="spellEnd"/>
      <w:r w:rsidRPr="009D7635">
        <w:rPr>
          <w:rFonts w:ascii="Times New Roman" w:hAnsi="Times New Roman" w:cs="Times New Roman"/>
          <w:color w:val="000000" w:themeColor="text1"/>
        </w:rPr>
        <w:t xml:space="preserve"> de </w:t>
      </w:r>
      <w:proofErr w:type="spellStart"/>
      <w:r w:rsidRPr="009D7635">
        <w:rPr>
          <w:rFonts w:ascii="Times New Roman" w:hAnsi="Times New Roman" w:cs="Times New Roman"/>
          <w:color w:val="000000" w:themeColor="text1"/>
        </w:rPr>
        <w:t>l’augustinisme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avicennisant</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Archives </w:t>
      </w:r>
      <w:proofErr w:type="spellStart"/>
      <w:r w:rsidRPr="009D7635">
        <w:rPr>
          <w:rFonts w:ascii="Times New Roman" w:hAnsi="Times New Roman" w:cs="Times New Roman"/>
          <w:i/>
          <w:color w:val="000000" w:themeColor="text1"/>
        </w:rPr>
        <w:t>d’histoire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doctrinale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litt</w:t>
      </w:r>
      <w:r w:rsidR="004B2271" w:rsidRPr="009D7635">
        <w:rPr>
          <w:rFonts w:ascii="Times New Roman" w:hAnsi="Times New Roman" w:cs="Times New Roman"/>
          <w:i/>
          <w:color w:val="000000" w:themeColor="text1"/>
        </w:rPr>
        <w:t>é</w:t>
      </w:r>
      <w:r w:rsidRPr="009D7635">
        <w:rPr>
          <w:rFonts w:ascii="Times New Roman" w:hAnsi="Times New Roman" w:cs="Times New Roman"/>
          <w:i/>
          <w:color w:val="000000" w:themeColor="text1"/>
        </w:rPr>
        <w:t>raire</w:t>
      </w:r>
      <w:proofErr w:type="spellEnd"/>
      <w:r w:rsidRPr="009D7635">
        <w:rPr>
          <w:rFonts w:ascii="Times New Roman" w:hAnsi="Times New Roman" w:cs="Times New Roman"/>
          <w:i/>
          <w:color w:val="000000" w:themeColor="text1"/>
        </w:rPr>
        <w:t xml:space="preserve"> du </w:t>
      </w:r>
      <w:proofErr w:type="spellStart"/>
      <w:r w:rsidRPr="009D7635">
        <w:rPr>
          <w:rFonts w:ascii="Times New Roman" w:hAnsi="Times New Roman" w:cs="Times New Roman"/>
          <w:i/>
          <w:color w:val="000000" w:themeColor="text1"/>
        </w:rPr>
        <w:t>moyen</w:t>
      </w:r>
      <w:proofErr w:type="spellEnd"/>
      <w:r w:rsidRPr="009D7635">
        <w:rPr>
          <w:rFonts w:ascii="Times New Roman" w:hAnsi="Times New Roman" w:cs="Times New Roman"/>
          <w:i/>
          <w:color w:val="000000" w:themeColor="text1"/>
        </w:rPr>
        <w:t xml:space="preserve"> age </w:t>
      </w:r>
      <w:r w:rsidRPr="009D7635">
        <w:rPr>
          <w:rFonts w:ascii="Times New Roman" w:hAnsi="Times New Roman" w:cs="Times New Roman"/>
          <w:color w:val="000000" w:themeColor="text1"/>
        </w:rPr>
        <w:t xml:space="preserve">4 (1929), 5-107. </w:t>
      </w:r>
      <w:r w:rsidR="006E494F" w:rsidRPr="009D7635">
        <w:rPr>
          <w:rFonts w:ascii="Times New Roman" w:hAnsi="Times New Roman" w:cs="Times New Roman"/>
          <w:color w:val="000000" w:themeColor="text1"/>
        </w:rPr>
        <w:t>Idem.</w:t>
      </w:r>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Pourquoi</w:t>
      </w:r>
      <w:proofErr w:type="spellEnd"/>
      <w:r w:rsidRPr="009D7635">
        <w:rPr>
          <w:rFonts w:ascii="Times New Roman" w:hAnsi="Times New Roman" w:cs="Times New Roman"/>
          <w:color w:val="000000" w:themeColor="text1"/>
        </w:rPr>
        <w:t xml:space="preserve"> saint Thomas a </w:t>
      </w:r>
      <w:proofErr w:type="spellStart"/>
      <w:r w:rsidRPr="009D7635">
        <w:rPr>
          <w:rFonts w:ascii="Times New Roman" w:hAnsi="Times New Roman" w:cs="Times New Roman"/>
          <w:color w:val="000000" w:themeColor="text1"/>
        </w:rPr>
        <w:t>critiqué</w:t>
      </w:r>
      <w:proofErr w:type="spellEnd"/>
      <w:r w:rsidRPr="009D7635">
        <w:rPr>
          <w:rFonts w:ascii="Times New Roman" w:hAnsi="Times New Roman" w:cs="Times New Roman"/>
          <w:color w:val="000000" w:themeColor="text1"/>
        </w:rPr>
        <w:t xml:space="preserve"> saint Augustin,’ </w:t>
      </w:r>
      <w:r w:rsidRPr="009D7635">
        <w:rPr>
          <w:rFonts w:ascii="Times New Roman" w:hAnsi="Times New Roman" w:cs="Times New Roman"/>
          <w:i/>
          <w:color w:val="000000" w:themeColor="text1"/>
        </w:rPr>
        <w:t xml:space="preserve">Archives </w:t>
      </w:r>
      <w:proofErr w:type="spellStart"/>
      <w:r w:rsidRPr="009D7635">
        <w:rPr>
          <w:rFonts w:ascii="Times New Roman" w:hAnsi="Times New Roman" w:cs="Times New Roman"/>
          <w:i/>
          <w:color w:val="000000" w:themeColor="text1"/>
        </w:rPr>
        <w:t>d’histoire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doctrinale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litt</w:t>
      </w:r>
      <w:r w:rsidR="00DA7268" w:rsidRPr="009D7635">
        <w:rPr>
          <w:rFonts w:ascii="Times New Roman" w:hAnsi="Times New Roman" w:cs="Times New Roman"/>
          <w:i/>
          <w:color w:val="000000" w:themeColor="text1"/>
        </w:rPr>
        <w:t>é</w:t>
      </w:r>
      <w:r w:rsidRPr="009D7635">
        <w:rPr>
          <w:rFonts w:ascii="Times New Roman" w:hAnsi="Times New Roman" w:cs="Times New Roman"/>
          <w:i/>
          <w:color w:val="000000" w:themeColor="text1"/>
        </w:rPr>
        <w:t>raire</w:t>
      </w:r>
      <w:proofErr w:type="spellEnd"/>
      <w:r w:rsidRPr="009D7635">
        <w:rPr>
          <w:rFonts w:ascii="Times New Roman" w:hAnsi="Times New Roman" w:cs="Times New Roman"/>
          <w:i/>
          <w:color w:val="000000" w:themeColor="text1"/>
        </w:rPr>
        <w:t xml:space="preserve"> du </w:t>
      </w:r>
      <w:proofErr w:type="spellStart"/>
      <w:r w:rsidRPr="009D7635">
        <w:rPr>
          <w:rFonts w:ascii="Times New Roman" w:hAnsi="Times New Roman" w:cs="Times New Roman"/>
          <w:i/>
          <w:color w:val="000000" w:themeColor="text1"/>
        </w:rPr>
        <w:t>moyen</w:t>
      </w:r>
      <w:proofErr w:type="spellEnd"/>
      <w:r w:rsidRPr="009D7635">
        <w:rPr>
          <w:rFonts w:ascii="Times New Roman" w:hAnsi="Times New Roman" w:cs="Times New Roman"/>
          <w:i/>
          <w:color w:val="000000" w:themeColor="text1"/>
        </w:rPr>
        <w:t xml:space="preserve"> age</w:t>
      </w:r>
      <w:r w:rsidRPr="009D7635">
        <w:rPr>
          <w:rFonts w:ascii="Times New Roman" w:hAnsi="Times New Roman" w:cs="Times New Roman"/>
          <w:color w:val="000000" w:themeColor="text1"/>
        </w:rPr>
        <w:t xml:space="preserve"> 1 (1926-7), 5-127.</w:t>
      </w:r>
    </w:p>
  </w:footnote>
  <w:footnote w:id="9">
    <w:p w14:paraId="605947AF" w14:textId="3F46A9C7" w:rsidR="00B93ED5" w:rsidRPr="009D7635" w:rsidRDefault="00B93ED5" w:rsidP="00B34F9E">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Berard</w:t>
      </w:r>
      <w:proofErr w:type="spellEnd"/>
      <w:r w:rsidRPr="009D7635">
        <w:rPr>
          <w:rFonts w:ascii="Times New Roman" w:hAnsi="Times New Roman" w:cs="Times New Roman"/>
          <w:color w:val="000000" w:themeColor="text1"/>
          <w:sz w:val="20"/>
          <w:szCs w:val="20"/>
        </w:rPr>
        <w:t xml:space="preserve"> Vogt, ‘Der </w:t>
      </w:r>
      <w:proofErr w:type="spellStart"/>
      <w:r w:rsidRPr="009D7635">
        <w:rPr>
          <w:rFonts w:ascii="Times New Roman" w:hAnsi="Times New Roman" w:cs="Times New Roman"/>
          <w:color w:val="000000" w:themeColor="text1"/>
          <w:sz w:val="20"/>
          <w:szCs w:val="20"/>
        </w:rPr>
        <w:t>Ursprung</w:t>
      </w:r>
      <w:proofErr w:type="spellEnd"/>
      <w:r w:rsidRPr="009D7635">
        <w:rPr>
          <w:rFonts w:ascii="Times New Roman" w:hAnsi="Times New Roman" w:cs="Times New Roman"/>
          <w:color w:val="000000" w:themeColor="text1"/>
          <w:sz w:val="20"/>
          <w:szCs w:val="20"/>
        </w:rPr>
        <w:t xml:space="preserve"> und die </w:t>
      </w:r>
      <w:proofErr w:type="spellStart"/>
      <w:r w:rsidRPr="009D7635">
        <w:rPr>
          <w:rFonts w:ascii="Times New Roman" w:hAnsi="Times New Roman" w:cs="Times New Roman"/>
          <w:color w:val="000000" w:themeColor="text1"/>
          <w:sz w:val="20"/>
          <w:szCs w:val="20"/>
        </w:rPr>
        <w:t>Entwicklung</w:t>
      </w:r>
      <w:proofErr w:type="spellEnd"/>
      <w:r w:rsidRPr="009D7635">
        <w:rPr>
          <w:rFonts w:ascii="Times New Roman" w:hAnsi="Times New Roman" w:cs="Times New Roman"/>
          <w:color w:val="000000" w:themeColor="text1"/>
          <w:sz w:val="20"/>
          <w:szCs w:val="20"/>
        </w:rPr>
        <w:t xml:space="preserve"> der </w:t>
      </w:r>
      <w:proofErr w:type="spellStart"/>
      <w:r w:rsidRPr="009D7635">
        <w:rPr>
          <w:rFonts w:ascii="Times New Roman" w:hAnsi="Times New Roman" w:cs="Times New Roman"/>
          <w:color w:val="000000" w:themeColor="text1"/>
          <w:sz w:val="20"/>
          <w:szCs w:val="20"/>
        </w:rPr>
        <w:t>Franziskanerschule</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shd w:val="clear" w:color="auto" w:fill="FFFFFF"/>
        </w:rPr>
        <w:t>Franziskanische</w:t>
      </w:r>
      <w:proofErr w:type="spellEnd"/>
      <w:r w:rsidRPr="009D7635">
        <w:rPr>
          <w:rFonts w:ascii="Times New Roman" w:hAnsi="Times New Roman" w:cs="Times New Roman"/>
          <w:i/>
          <w:color w:val="000000" w:themeColor="text1"/>
          <w:sz w:val="20"/>
          <w:szCs w:val="20"/>
          <w:shd w:val="clear" w:color="auto" w:fill="FFFFFF"/>
        </w:rPr>
        <w:t xml:space="preserve"> </w:t>
      </w:r>
      <w:proofErr w:type="spellStart"/>
      <w:r w:rsidRPr="009D7635">
        <w:rPr>
          <w:rFonts w:ascii="Times New Roman" w:hAnsi="Times New Roman" w:cs="Times New Roman"/>
          <w:i/>
          <w:color w:val="000000" w:themeColor="text1"/>
          <w:sz w:val="20"/>
          <w:szCs w:val="20"/>
          <w:shd w:val="clear" w:color="auto" w:fill="FFFFFF"/>
        </w:rPr>
        <w:t>Studien</w:t>
      </w:r>
      <w:proofErr w:type="spellEnd"/>
      <w:r w:rsidRPr="009D7635">
        <w:rPr>
          <w:rFonts w:ascii="Times New Roman" w:hAnsi="Times New Roman" w:cs="Times New Roman"/>
          <w:color w:val="000000" w:themeColor="text1"/>
          <w:sz w:val="20"/>
          <w:szCs w:val="20"/>
          <w:shd w:val="clear" w:color="auto" w:fill="FFFFFF"/>
        </w:rPr>
        <w:t xml:space="preserve"> 9 (1922)</w:t>
      </w:r>
      <w:r w:rsidR="0034486D" w:rsidRPr="009D7635">
        <w:rPr>
          <w:rFonts w:ascii="Times New Roman" w:hAnsi="Times New Roman" w:cs="Times New Roman"/>
          <w:color w:val="000000" w:themeColor="text1"/>
          <w:sz w:val="20"/>
          <w:szCs w:val="20"/>
          <w:shd w:val="clear" w:color="auto" w:fill="FFFFFF"/>
        </w:rPr>
        <w:t>:</w:t>
      </w:r>
      <w:r w:rsidRPr="009D7635">
        <w:rPr>
          <w:rFonts w:ascii="Times New Roman" w:hAnsi="Times New Roman" w:cs="Times New Roman"/>
          <w:color w:val="000000" w:themeColor="text1"/>
          <w:sz w:val="20"/>
          <w:szCs w:val="20"/>
          <w:shd w:val="clear" w:color="auto" w:fill="FFFFFF"/>
        </w:rPr>
        <w:t xml:space="preserve"> </w:t>
      </w:r>
      <w:r w:rsidRPr="009D7635">
        <w:rPr>
          <w:rFonts w:ascii="Times New Roman" w:hAnsi="Times New Roman" w:cs="Times New Roman"/>
          <w:color w:val="000000" w:themeColor="text1"/>
          <w:sz w:val="20"/>
          <w:szCs w:val="20"/>
        </w:rPr>
        <w:t xml:space="preserve">139 in 137-57. This is a very brief, almost superficial overview of some of the main thinkers and themes of the early Franciscan school through the time of Scotus and his followers. Unfortunately, it betrays no real appreciation of the way members of this school and their ideas were shaped by Jewish and Islamic sources like </w:t>
      </w:r>
      <w:proofErr w:type="spellStart"/>
      <w:r w:rsidRPr="009D7635">
        <w:rPr>
          <w:rFonts w:ascii="Times New Roman" w:hAnsi="Times New Roman" w:cs="Times New Roman"/>
          <w:color w:val="000000" w:themeColor="text1"/>
          <w:sz w:val="20"/>
          <w:szCs w:val="20"/>
        </w:rPr>
        <w:t>Avicebron</w:t>
      </w:r>
      <w:proofErr w:type="spellEnd"/>
      <w:r w:rsidRPr="009D7635">
        <w:rPr>
          <w:rFonts w:ascii="Times New Roman" w:hAnsi="Times New Roman" w:cs="Times New Roman"/>
          <w:color w:val="000000" w:themeColor="text1"/>
          <w:sz w:val="20"/>
          <w:szCs w:val="20"/>
        </w:rPr>
        <w:t xml:space="preserve"> and Avicenna who are mentioned only in passing. Indeed, Vogt reproduces old reductive binaries according to which Franciscans are Platonic and Augustinian and Aquinas and Albert are Aristotelian in their allegiances. He recognises that Alexander engage</w:t>
      </w:r>
      <w:r w:rsidR="00D50599" w:rsidRPr="009D7635">
        <w:rPr>
          <w:rFonts w:ascii="Times New Roman" w:hAnsi="Times New Roman" w:cs="Times New Roman"/>
          <w:color w:val="000000" w:themeColor="text1"/>
          <w:sz w:val="20"/>
          <w:szCs w:val="20"/>
        </w:rPr>
        <w:t xml:space="preserve">d </w:t>
      </w:r>
      <w:r w:rsidRPr="009D7635">
        <w:rPr>
          <w:rFonts w:ascii="Times New Roman" w:hAnsi="Times New Roman" w:cs="Times New Roman"/>
          <w:color w:val="000000" w:themeColor="text1"/>
          <w:sz w:val="20"/>
          <w:szCs w:val="20"/>
        </w:rPr>
        <w:t>in a preliminary way with Aristotle and sought to reconcile his work with the older Platonic-Augustinian tradition, but shows no awareness that Hales’ understanding of Aristotle as well as Augustine was indebted to Avicenna</w:t>
      </w:r>
      <w:r w:rsidR="00D50599" w:rsidRPr="009D7635">
        <w:rPr>
          <w:rFonts w:ascii="Times New Roman" w:hAnsi="Times New Roman" w:cs="Times New Roman"/>
          <w:color w:val="000000" w:themeColor="text1"/>
          <w:sz w:val="20"/>
          <w:szCs w:val="20"/>
        </w:rPr>
        <w:t>.</w:t>
      </w:r>
    </w:p>
  </w:footnote>
  <w:footnote w:id="10">
    <w:p w14:paraId="62169271" w14:textId="77777777" w:rsidR="003A3580" w:rsidRPr="009D7635" w:rsidRDefault="003A3580" w:rsidP="003A3580">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Etienne Gilson, </w:t>
      </w:r>
      <w:r w:rsidRPr="009D7635">
        <w:rPr>
          <w:rFonts w:ascii="Times New Roman" w:hAnsi="Times New Roman" w:cs="Times New Roman"/>
          <w:i/>
          <w:color w:val="000000" w:themeColor="text1"/>
        </w:rPr>
        <w:t xml:space="preserve">The Philosophy of St Bonaventure </w:t>
      </w:r>
      <w:r w:rsidRPr="009D7635">
        <w:rPr>
          <w:rFonts w:ascii="Times New Roman" w:hAnsi="Times New Roman" w:cs="Times New Roman"/>
          <w:color w:val="000000" w:themeColor="text1"/>
        </w:rPr>
        <w:t xml:space="preserve">(Chicago: Franciscan Press, 1965). Jacques Guy </w:t>
      </w:r>
      <w:proofErr w:type="spellStart"/>
      <w:r w:rsidRPr="009D7635">
        <w:rPr>
          <w:rFonts w:ascii="Times New Roman" w:hAnsi="Times New Roman" w:cs="Times New Roman"/>
          <w:color w:val="000000" w:themeColor="text1"/>
        </w:rPr>
        <w:t>Bougerol</w:t>
      </w:r>
      <w:proofErr w:type="spellEnd"/>
      <w:r w:rsidRPr="009D7635">
        <w:rPr>
          <w:rFonts w:ascii="Times New Roman" w:hAnsi="Times New Roman" w:cs="Times New Roman"/>
          <w:color w:val="000000" w:themeColor="text1"/>
        </w:rPr>
        <w:t>,</w:t>
      </w:r>
      <w:r w:rsidRPr="009D7635">
        <w:rPr>
          <w:rFonts w:ascii="Times New Roman" w:hAnsi="Times New Roman" w:cs="Times New Roman"/>
          <w:i/>
          <w:iCs/>
          <w:color w:val="000000" w:themeColor="text1"/>
        </w:rPr>
        <w:t xml:space="preserve"> Introduction à l’étude de S. Bonaventure </w:t>
      </w:r>
      <w:r w:rsidRPr="009D7635">
        <w:rPr>
          <w:rFonts w:ascii="Times New Roman" w:hAnsi="Times New Roman" w:cs="Times New Roman"/>
          <w:color w:val="000000" w:themeColor="text1"/>
        </w:rPr>
        <w:t xml:space="preserve">(Paris, 1961). Joshua C. Benson, ‘Augustine and Bonaventure,’ in </w:t>
      </w:r>
      <w:r w:rsidRPr="009D7635">
        <w:rPr>
          <w:rFonts w:ascii="Times New Roman" w:hAnsi="Times New Roman" w:cs="Times New Roman"/>
          <w:i/>
          <w:iCs/>
          <w:color w:val="000000" w:themeColor="text1"/>
        </w:rPr>
        <w:t>T&amp;T Clark Companion to Augustine and Modern Theology</w:t>
      </w:r>
      <w:r w:rsidRPr="009D7635">
        <w:rPr>
          <w:rFonts w:ascii="Times New Roman" w:hAnsi="Times New Roman" w:cs="Times New Roman"/>
          <w:color w:val="000000" w:themeColor="text1"/>
        </w:rPr>
        <w:t xml:space="preserve">, ed. C.C. </w:t>
      </w:r>
      <w:proofErr w:type="spellStart"/>
      <w:r w:rsidRPr="009D7635">
        <w:rPr>
          <w:rFonts w:ascii="Times New Roman" w:hAnsi="Times New Roman" w:cs="Times New Roman"/>
          <w:color w:val="000000" w:themeColor="text1"/>
        </w:rPr>
        <w:t>Pecknold</w:t>
      </w:r>
      <w:proofErr w:type="spellEnd"/>
      <w:r w:rsidRPr="009D7635">
        <w:rPr>
          <w:rFonts w:ascii="Times New Roman" w:hAnsi="Times New Roman" w:cs="Times New Roman"/>
          <w:color w:val="000000" w:themeColor="text1"/>
        </w:rPr>
        <w:t xml:space="preserve"> and </w:t>
      </w:r>
      <w:proofErr w:type="spellStart"/>
      <w:r w:rsidRPr="009D7635">
        <w:rPr>
          <w:rFonts w:ascii="Times New Roman" w:hAnsi="Times New Roman" w:cs="Times New Roman"/>
          <w:color w:val="000000" w:themeColor="text1"/>
        </w:rPr>
        <w:t>Tarmo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Toom</w:t>
      </w:r>
      <w:proofErr w:type="spellEnd"/>
      <w:r w:rsidRPr="009D7635">
        <w:rPr>
          <w:rFonts w:ascii="Times New Roman" w:hAnsi="Times New Roman" w:cs="Times New Roman"/>
          <w:color w:val="000000" w:themeColor="text1"/>
        </w:rPr>
        <w:t xml:space="preserve"> (London: Bloomsbury, 2013), 131-50. Christopher M</w:t>
      </w:r>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 xml:space="preserve">Cullen, </w:t>
      </w:r>
      <w:r w:rsidRPr="009D7635">
        <w:rPr>
          <w:rFonts w:ascii="Times New Roman" w:hAnsi="Times New Roman" w:cs="Times New Roman"/>
          <w:i/>
          <w:iCs/>
          <w:color w:val="000000" w:themeColor="text1"/>
        </w:rPr>
        <w:t>Bonaventure</w:t>
      </w:r>
      <w:r w:rsidRPr="009D7635">
        <w:rPr>
          <w:rFonts w:ascii="Times New Roman" w:hAnsi="Times New Roman" w:cs="Times New Roman"/>
          <w:color w:val="000000" w:themeColor="text1"/>
        </w:rPr>
        <w:t xml:space="preserve"> (Oxford: Oxford University Press, 2006.</w:t>
      </w:r>
    </w:p>
  </w:footnote>
  <w:footnote w:id="11">
    <w:p w14:paraId="775C2DC9" w14:textId="77777777" w:rsidR="00FE0DEE" w:rsidRPr="009D7635" w:rsidRDefault="00FE0DEE" w:rsidP="00FE0DEE">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On this, see Jeremy Cohen, </w:t>
      </w:r>
      <w:r w:rsidRPr="009D7635">
        <w:rPr>
          <w:rFonts w:ascii="Times New Roman" w:hAnsi="Times New Roman" w:cs="Times New Roman"/>
          <w:i/>
          <w:iCs/>
          <w:color w:val="000000" w:themeColor="text1"/>
        </w:rPr>
        <w:t xml:space="preserve">The Friars and the Jews </w:t>
      </w:r>
      <w:r w:rsidRPr="009D7635">
        <w:rPr>
          <w:rFonts w:ascii="Times New Roman" w:hAnsi="Times New Roman" w:cs="Times New Roman"/>
          <w:color w:val="000000" w:themeColor="text1"/>
        </w:rPr>
        <w:t xml:space="preserve">(Ithaca: Cornell University Press, 1982). Alexander Fidora, ‘The Talmud and the </w:t>
      </w:r>
      <w:r w:rsidRPr="009D7635">
        <w:rPr>
          <w:rFonts w:ascii="Times New Roman" w:hAnsi="Times New Roman" w:cs="Times New Roman"/>
          <w:i/>
          <w:iCs/>
          <w:color w:val="000000" w:themeColor="text1"/>
        </w:rPr>
        <w:t xml:space="preserve">Summa </w:t>
      </w:r>
      <w:proofErr w:type="spellStart"/>
      <w:r w:rsidRPr="009D7635">
        <w:rPr>
          <w:rFonts w:ascii="Times New Roman" w:hAnsi="Times New Roman" w:cs="Times New Roman"/>
          <w:i/>
          <w:iCs/>
          <w:color w:val="000000" w:themeColor="text1"/>
        </w:rPr>
        <w:t>Halensis</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 xml:space="preserve">in </w:t>
      </w:r>
      <w:r w:rsidRPr="009D7635">
        <w:rPr>
          <w:rFonts w:ascii="Times New Roman" w:hAnsi="Times New Roman" w:cs="Times New Roman"/>
          <w:i/>
          <w:iCs/>
          <w:color w:val="000000" w:themeColor="text1"/>
        </w:rPr>
        <w:t xml:space="preserve">The Legacy of Early Franciscan Thought, </w:t>
      </w:r>
      <w:r w:rsidRPr="009D7635">
        <w:rPr>
          <w:rFonts w:ascii="Times New Roman" w:hAnsi="Times New Roman" w:cs="Times New Roman"/>
          <w:color w:val="000000" w:themeColor="text1"/>
        </w:rPr>
        <w:t xml:space="preserve">ed. Lydia Schumacher (Berlin: De Gruyter, 2021), 169-83. </w:t>
      </w:r>
    </w:p>
  </w:footnote>
  <w:footnote w:id="12">
    <w:p w14:paraId="64EF720F" w14:textId="3A68C4ED" w:rsidR="00B93ED5" w:rsidRPr="009D7635" w:rsidRDefault="00B93ED5" w:rsidP="002E35BA">
      <w:pPr>
        <w:autoSpaceDE w:val="0"/>
        <w:autoSpaceDN w:val="0"/>
        <w:adjustRightInd w:val="0"/>
        <w:ind w:right="-72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See Jacques Guy </w:t>
      </w:r>
      <w:proofErr w:type="spellStart"/>
      <w:r w:rsidRPr="009D7635">
        <w:rPr>
          <w:rFonts w:ascii="Times New Roman" w:hAnsi="Times New Roman" w:cs="Times New Roman"/>
          <w:color w:val="000000" w:themeColor="text1"/>
          <w:sz w:val="20"/>
          <w:szCs w:val="20"/>
        </w:rPr>
        <w:t>Bougerol</w:t>
      </w:r>
      <w:proofErr w:type="spellEnd"/>
      <w:r w:rsidRPr="009D7635">
        <w:rPr>
          <w:rFonts w:ascii="Times New Roman" w:hAnsi="Times New Roman" w:cs="Times New Roman"/>
          <w:color w:val="000000" w:themeColor="text1"/>
          <w:sz w:val="20"/>
          <w:szCs w:val="20"/>
        </w:rPr>
        <w:t xml:space="preserve">, ‘The Church Fathers and </w:t>
      </w:r>
      <w:proofErr w:type="spellStart"/>
      <w:r w:rsidRPr="009D7635">
        <w:rPr>
          <w:rFonts w:ascii="Times New Roman" w:hAnsi="Times New Roman" w:cs="Times New Roman"/>
          <w:i/>
          <w:iCs/>
          <w:color w:val="000000" w:themeColor="text1"/>
          <w:sz w:val="20"/>
          <w:szCs w:val="20"/>
        </w:rPr>
        <w:t>Auctoritates</w:t>
      </w:r>
      <w:proofErr w:type="spellEnd"/>
      <w:r w:rsidRPr="009D7635">
        <w:rPr>
          <w:rFonts w:ascii="Times New Roman" w:hAnsi="Times New Roman" w:cs="Times New Roman"/>
          <w:i/>
          <w:iCs/>
          <w:color w:val="000000" w:themeColor="text1"/>
          <w:sz w:val="20"/>
          <w:szCs w:val="20"/>
        </w:rPr>
        <w:t xml:space="preserve"> </w:t>
      </w:r>
      <w:r w:rsidRPr="009D7635">
        <w:rPr>
          <w:rFonts w:ascii="Times New Roman" w:hAnsi="Times New Roman" w:cs="Times New Roman"/>
          <w:color w:val="000000" w:themeColor="text1"/>
          <w:sz w:val="20"/>
          <w:szCs w:val="20"/>
        </w:rPr>
        <w:t xml:space="preserve">in Scholastic Theology to Bonaventure,’ in </w:t>
      </w:r>
      <w:r w:rsidRPr="009D7635">
        <w:rPr>
          <w:rFonts w:ascii="Times New Roman" w:hAnsi="Times New Roman" w:cs="Times New Roman"/>
          <w:i/>
          <w:iCs/>
          <w:color w:val="000000" w:themeColor="text1"/>
          <w:sz w:val="20"/>
          <w:szCs w:val="20"/>
        </w:rPr>
        <w:t xml:space="preserve">The Reception of the Church Fathers in the West: From the Carolingians to the </w:t>
      </w:r>
      <w:proofErr w:type="spellStart"/>
      <w:r w:rsidRPr="009D7635">
        <w:rPr>
          <w:rFonts w:ascii="Times New Roman" w:hAnsi="Times New Roman" w:cs="Times New Roman"/>
          <w:i/>
          <w:iCs/>
          <w:color w:val="000000" w:themeColor="text1"/>
          <w:sz w:val="20"/>
          <w:szCs w:val="20"/>
        </w:rPr>
        <w:t>Maurists</w:t>
      </w:r>
      <w:proofErr w:type="spellEnd"/>
      <w:r w:rsidRPr="009D7635">
        <w:rPr>
          <w:rFonts w:ascii="Times New Roman" w:hAnsi="Times New Roman" w:cs="Times New Roman"/>
          <w:color w:val="000000" w:themeColor="text1"/>
          <w:sz w:val="20"/>
          <w:szCs w:val="20"/>
        </w:rPr>
        <w:t>, vol. 1,</w:t>
      </w:r>
      <w:r w:rsidRPr="009D7635">
        <w:rPr>
          <w:rFonts w:ascii="Times New Roman" w:hAnsi="Times New Roman" w:cs="Times New Roman"/>
          <w:i/>
          <w:iCs/>
          <w:color w:val="000000" w:themeColor="text1"/>
          <w:sz w:val="20"/>
          <w:szCs w:val="20"/>
        </w:rPr>
        <w:t xml:space="preserve"> </w:t>
      </w:r>
      <w:r w:rsidRPr="009D7635">
        <w:rPr>
          <w:rFonts w:ascii="Times New Roman" w:hAnsi="Times New Roman" w:cs="Times New Roman"/>
          <w:color w:val="000000" w:themeColor="text1"/>
          <w:sz w:val="20"/>
          <w:szCs w:val="20"/>
        </w:rPr>
        <w:t xml:space="preserve">ed. </w:t>
      </w:r>
      <w:proofErr w:type="spellStart"/>
      <w:r w:rsidRPr="009D7635">
        <w:rPr>
          <w:rFonts w:ascii="Times New Roman" w:hAnsi="Times New Roman" w:cs="Times New Roman"/>
          <w:color w:val="000000" w:themeColor="text1"/>
          <w:sz w:val="20"/>
          <w:szCs w:val="20"/>
        </w:rPr>
        <w:t>Irena</w:t>
      </w:r>
      <w:proofErr w:type="spellEnd"/>
      <w:r w:rsidRPr="009D7635">
        <w:rPr>
          <w:rFonts w:ascii="Times New Roman" w:hAnsi="Times New Roman" w:cs="Times New Roman"/>
          <w:color w:val="000000" w:themeColor="text1"/>
          <w:sz w:val="20"/>
          <w:szCs w:val="20"/>
        </w:rPr>
        <w:t xml:space="preserve"> Backus (Leiden: Brill, 1997), 289-335. Mary </w:t>
      </w:r>
      <w:proofErr w:type="spellStart"/>
      <w:r w:rsidRPr="009D7635">
        <w:rPr>
          <w:rFonts w:ascii="Times New Roman" w:hAnsi="Times New Roman" w:cs="Times New Roman"/>
          <w:color w:val="000000" w:themeColor="text1"/>
          <w:sz w:val="20"/>
          <w:szCs w:val="20"/>
        </w:rPr>
        <w:t>Carruthers</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 xml:space="preserve">The Book of Memory: A Study of Memory in Medieval Culture </w:t>
      </w:r>
      <w:r w:rsidRPr="009D7635">
        <w:rPr>
          <w:rFonts w:ascii="Times New Roman" w:hAnsi="Times New Roman" w:cs="Times New Roman"/>
          <w:color w:val="000000" w:themeColor="text1"/>
          <w:sz w:val="20"/>
          <w:szCs w:val="20"/>
        </w:rPr>
        <w:t xml:space="preserve">(Cambridge: Cambridge University Press, 1990), 235, 262. Marcia L. Colish, ‘From the Sentence Collection to the Sentence Commentary and the Summa: Parisian Scholastic Theology, 1130-1215,’ in </w:t>
      </w:r>
      <w:r w:rsidRPr="009D7635">
        <w:rPr>
          <w:rFonts w:ascii="Times New Roman" w:hAnsi="Times New Roman" w:cs="Times New Roman"/>
          <w:i/>
          <w:iCs/>
          <w:color w:val="000000" w:themeColor="text1"/>
          <w:sz w:val="20"/>
          <w:szCs w:val="20"/>
        </w:rPr>
        <w:t>Studies in Scholasticism</w:t>
      </w:r>
      <w:r w:rsidRPr="009D7635">
        <w:rPr>
          <w:rFonts w:ascii="Times New Roman" w:hAnsi="Times New Roman" w:cs="Times New Roman"/>
          <w:color w:val="000000" w:themeColor="text1"/>
          <w:sz w:val="20"/>
          <w:szCs w:val="20"/>
        </w:rPr>
        <w:t xml:space="preserve">, by </w:t>
      </w:r>
      <w:proofErr w:type="spellStart"/>
      <w:r w:rsidRPr="009D7635">
        <w:rPr>
          <w:rFonts w:ascii="Times New Roman" w:hAnsi="Times New Roman" w:cs="Times New Roman"/>
          <w:color w:val="000000" w:themeColor="text1"/>
          <w:sz w:val="20"/>
          <w:szCs w:val="20"/>
        </w:rPr>
        <w:t>Marica</w:t>
      </w:r>
      <w:proofErr w:type="spellEnd"/>
      <w:r w:rsidRPr="009D7635">
        <w:rPr>
          <w:rFonts w:ascii="Times New Roman" w:hAnsi="Times New Roman" w:cs="Times New Roman"/>
          <w:color w:val="000000" w:themeColor="text1"/>
          <w:sz w:val="20"/>
          <w:szCs w:val="20"/>
        </w:rPr>
        <w:t xml:space="preserve"> L. Colish (Aldershot: </w:t>
      </w:r>
      <w:proofErr w:type="spellStart"/>
      <w:r w:rsidRPr="009D7635">
        <w:rPr>
          <w:rFonts w:ascii="Times New Roman" w:hAnsi="Times New Roman" w:cs="Times New Roman"/>
          <w:color w:val="000000" w:themeColor="text1"/>
          <w:sz w:val="20"/>
          <w:szCs w:val="20"/>
        </w:rPr>
        <w:t>Ashgate</w:t>
      </w:r>
      <w:proofErr w:type="spellEnd"/>
      <w:r w:rsidRPr="009D7635">
        <w:rPr>
          <w:rFonts w:ascii="Times New Roman" w:hAnsi="Times New Roman" w:cs="Times New Roman"/>
          <w:color w:val="000000" w:themeColor="text1"/>
          <w:sz w:val="20"/>
          <w:szCs w:val="20"/>
        </w:rPr>
        <w:t xml:space="preserve">, 2006), 9-29. Marcia L. Colish, ‘Authority and Interpretation in Scholastic Theology’ in </w:t>
      </w:r>
      <w:r w:rsidRPr="009D7635">
        <w:rPr>
          <w:rFonts w:ascii="Times New Roman" w:hAnsi="Times New Roman" w:cs="Times New Roman"/>
          <w:i/>
          <w:iCs/>
          <w:color w:val="000000" w:themeColor="text1"/>
          <w:sz w:val="20"/>
          <w:szCs w:val="20"/>
        </w:rPr>
        <w:t xml:space="preserve">Studies in Scholasticism </w:t>
      </w:r>
      <w:r w:rsidRPr="009D7635">
        <w:rPr>
          <w:rFonts w:ascii="Times New Roman" w:hAnsi="Times New Roman" w:cs="Times New Roman"/>
          <w:color w:val="000000" w:themeColor="text1"/>
          <w:sz w:val="20"/>
          <w:szCs w:val="20"/>
        </w:rPr>
        <w:t xml:space="preserve">by </w:t>
      </w:r>
      <w:proofErr w:type="spellStart"/>
      <w:r w:rsidRPr="009D7635">
        <w:rPr>
          <w:rFonts w:ascii="Times New Roman" w:hAnsi="Times New Roman" w:cs="Times New Roman"/>
          <w:color w:val="000000" w:themeColor="text1"/>
          <w:sz w:val="20"/>
          <w:szCs w:val="20"/>
        </w:rPr>
        <w:t>Marica</w:t>
      </w:r>
      <w:proofErr w:type="spellEnd"/>
      <w:r w:rsidRPr="009D7635">
        <w:rPr>
          <w:rFonts w:ascii="Times New Roman" w:hAnsi="Times New Roman" w:cs="Times New Roman"/>
          <w:color w:val="000000" w:themeColor="text1"/>
          <w:sz w:val="20"/>
          <w:szCs w:val="20"/>
        </w:rPr>
        <w:t xml:space="preserve"> L. Colish (Aldershot: </w:t>
      </w:r>
      <w:proofErr w:type="spellStart"/>
      <w:r w:rsidRPr="009D7635">
        <w:rPr>
          <w:rFonts w:ascii="Times New Roman" w:hAnsi="Times New Roman" w:cs="Times New Roman"/>
          <w:color w:val="000000" w:themeColor="text1"/>
          <w:sz w:val="20"/>
          <w:szCs w:val="20"/>
        </w:rPr>
        <w:t>Ashgate</w:t>
      </w:r>
      <w:proofErr w:type="spellEnd"/>
      <w:r w:rsidRPr="009D7635">
        <w:rPr>
          <w:rFonts w:ascii="Times New Roman" w:hAnsi="Times New Roman" w:cs="Times New Roman"/>
          <w:color w:val="000000" w:themeColor="text1"/>
          <w:sz w:val="20"/>
          <w:szCs w:val="20"/>
        </w:rPr>
        <w:t>, 2006), 1-16.</w:t>
      </w:r>
    </w:p>
  </w:footnote>
  <w:footnote w:id="13">
    <w:p w14:paraId="1083F0D2" w14:textId="77777777" w:rsidR="00901943" w:rsidRPr="009D7635" w:rsidRDefault="00901943" w:rsidP="0090194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Lydia Schumacher, </w:t>
      </w:r>
      <w:r w:rsidRPr="009D7635">
        <w:rPr>
          <w:rFonts w:ascii="Times New Roman" w:hAnsi="Times New Roman" w:cs="Times New Roman"/>
          <w:i/>
          <w:color w:val="000000" w:themeColor="text1"/>
        </w:rPr>
        <w:t xml:space="preserve">Early Franciscan Theology: Between Authority and Innovation </w:t>
      </w:r>
      <w:r w:rsidRPr="009D7635">
        <w:rPr>
          <w:rFonts w:ascii="Times New Roman" w:hAnsi="Times New Roman" w:cs="Times New Roman"/>
          <w:color w:val="000000" w:themeColor="text1"/>
        </w:rPr>
        <w:t xml:space="preserve">(Cambridge: Cambridge University Press, 2019). </w:t>
      </w:r>
    </w:p>
  </w:footnote>
  <w:footnote w:id="14">
    <w:p w14:paraId="7AC4505F" w14:textId="71EAE844" w:rsidR="00B93ED5" w:rsidRPr="009D7635" w:rsidRDefault="00B93ED5" w:rsidP="00054C79">
      <w:pPr>
        <w:autoSpaceDE w:val="0"/>
        <w:autoSpaceDN w:val="0"/>
        <w:adjustRightInd w:val="0"/>
        <w:ind w:right="-77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Richard Cross, ‘The Reception of John of Damascus in the </w:t>
      </w:r>
      <w:r w:rsidRPr="009D7635">
        <w:rPr>
          <w:rFonts w:ascii="Times New Roman" w:hAnsi="Times New Roman" w:cs="Times New Roman"/>
          <w:i/>
          <w:iCs/>
          <w:color w:val="000000" w:themeColor="text1"/>
          <w:sz w:val="20"/>
          <w:szCs w:val="20"/>
        </w:rPr>
        <w:t xml:space="preserve">Summa </w:t>
      </w:r>
      <w:proofErr w:type="spellStart"/>
      <w:r w:rsidRPr="009D7635">
        <w:rPr>
          <w:rFonts w:ascii="Times New Roman" w:hAnsi="Times New Roman" w:cs="Times New Roman"/>
          <w:i/>
          <w:iCs/>
          <w:color w:val="000000" w:themeColor="text1"/>
          <w:sz w:val="20"/>
          <w:szCs w:val="20"/>
        </w:rPr>
        <w:t>Halensis</w:t>
      </w:r>
      <w:proofErr w:type="spellEnd"/>
      <w:r w:rsidRPr="009D7635">
        <w:rPr>
          <w:rFonts w:ascii="Times New Roman" w:hAnsi="Times New Roman" w:cs="Times New Roman"/>
          <w:i/>
          <w:iCs/>
          <w:color w:val="000000" w:themeColor="text1"/>
          <w:sz w:val="20"/>
          <w:szCs w:val="20"/>
        </w:rPr>
        <w:t xml:space="preserve">,’ </w:t>
      </w:r>
      <w:r w:rsidRPr="009D7635">
        <w:rPr>
          <w:rFonts w:ascii="Times New Roman" w:hAnsi="Times New Roman" w:cs="Times New Roman"/>
          <w:color w:val="000000" w:themeColor="text1"/>
          <w:sz w:val="20"/>
          <w:szCs w:val="20"/>
        </w:rPr>
        <w:t xml:space="preserve">in </w:t>
      </w:r>
      <w:r w:rsidRPr="009D7635">
        <w:rPr>
          <w:rFonts w:ascii="Times New Roman" w:hAnsi="Times New Roman" w:cs="Times New Roman"/>
          <w:i/>
          <w:iCs/>
          <w:color w:val="000000" w:themeColor="text1"/>
          <w:sz w:val="20"/>
          <w:szCs w:val="20"/>
        </w:rPr>
        <w:t xml:space="preserve">The Summa </w:t>
      </w:r>
      <w:proofErr w:type="spellStart"/>
      <w:r w:rsidRPr="009D7635">
        <w:rPr>
          <w:rFonts w:ascii="Times New Roman" w:hAnsi="Times New Roman" w:cs="Times New Roman"/>
          <w:i/>
          <w:iCs/>
          <w:color w:val="000000" w:themeColor="text1"/>
          <w:sz w:val="20"/>
          <w:szCs w:val="20"/>
        </w:rPr>
        <w:t>Halensis</w:t>
      </w:r>
      <w:proofErr w:type="spellEnd"/>
      <w:r w:rsidRPr="009D7635">
        <w:rPr>
          <w:rFonts w:ascii="Times New Roman" w:hAnsi="Times New Roman" w:cs="Times New Roman"/>
          <w:i/>
          <w:iCs/>
          <w:color w:val="000000" w:themeColor="text1"/>
          <w:sz w:val="20"/>
          <w:szCs w:val="20"/>
        </w:rPr>
        <w:t xml:space="preserve">: Sources and Context, </w:t>
      </w:r>
      <w:r w:rsidRPr="009D7635">
        <w:rPr>
          <w:rFonts w:ascii="Times New Roman" w:hAnsi="Times New Roman" w:cs="Times New Roman"/>
          <w:color w:val="000000" w:themeColor="text1"/>
          <w:sz w:val="20"/>
          <w:szCs w:val="20"/>
        </w:rPr>
        <w:t xml:space="preserve">ed. Lydia Schumacher (Berlin: De Gruyter, 2020), 71-90. Johannes Zachhuber, ‘John of Damascus in the </w:t>
      </w:r>
      <w:r w:rsidRPr="009D7635">
        <w:rPr>
          <w:rFonts w:ascii="Times New Roman" w:hAnsi="Times New Roman" w:cs="Times New Roman"/>
          <w:i/>
          <w:iCs/>
          <w:color w:val="000000" w:themeColor="text1"/>
          <w:sz w:val="20"/>
          <w:szCs w:val="20"/>
        </w:rPr>
        <w:t xml:space="preserve">Summa </w:t>
      </w:r>
      <w:proofErr w:type="spellStart"/>
      <w:r w:rsidRPr="009D7635">
        <w:rPr>
          <w:rFonts w:ascii="Times New Roman" w:hAnsi="Times New Roman" w:cs="Times New Roman"/>
          <w:i/>
          <w:iCs/>
          <w:color w:val="000000" w:themeColor="text1"/>
          <w:sz w:val="20"/>
          <w:szCs w:val="20"/>
        </w:rPr>
        <w:t>Halensis</w:t>
      </w:r>
      <w:proofErr w:type="spellEnd"/>
      <w:r w:rsidRPr="009D7635">
        <w:rPr>
          <w:rFonts w:ascii="Times New Roman" w:hAnsi="Times New Roman" w:cs="Times New Roman"/>
          <w:i/>
          <w:iCs/>
          <w:color w:val="000000" w:themeColor="text1"/>
          <w:sz w:val="20"/>
          <w:szCs w:val="20"/>
        </w:rPr>
        <w:t xml:space="preserve">: The Use of Greek Patristic Thought in the Treatment of the Incarnation,’ </w:t>
      </w:r>
      <w:r w:rsidRPr="009D7635">
        <w:rPr>
          <w:rFonts w:ascii="Times New Roman" w:hAnsi="Times New Roman" w:cs="Times New Roman"/>
          <w:color w:val="000000" w:themeColor="text1"/>
          <w:sz w:val="20"/>
          <w:szCs w:val="20"/>
        </w:rPr>
        <w:t xml:space="preserve">in </w:t>
      </w:r>
      <w:r w:rsidRPr="009D7635">
        <w:rPr>
          <w:rFonts w:ascii="Times New Roman" w:hAnsi="Times New Roman" w:cs="Times New Roman"/>
          <w:i/>
          <w:iCs/>
          <w:color w:val="000000" w:themeColor="text1"/>
          <w:sz w:val="20"/>
          <w:szCs w:val="20"/>
        </w:rPr>
        <w:t xml:space="preserve">The Summa </w:t>
      </w:r>
      <w:proofErr w:type="spellStart"/>
      <w:r w:rsidRPr="009D7635">
        <w:rPr>
          <w:rFonts w:ascii="Times New Roman" w:hAnsi="Times New Roman" w:cs="Times New Roman"/>
          <w:i/>
          <w:iCs/>
          <w:color w:val="000000" w:themeColor="text1"/>
          <w:sz w:val="20"/>
          <w:szCs w:val="20"/>
        </w:rPr>
        <w:t>Halensis</w:t>
      </w:r>
      <w:proofErr w:type="spellEnd"/>
      <w:r w:rsidRPr="009D7635">
        <w:rPr>
          <w:rFonts w:ascii="Times New Roman" w:hAnsi="Times New Roman" w:cs="Times New Roman"/>
          <w:i/>
          <w:iCs/>
          <w:color w:val="000000" w:themeColor="text1"/>
          <w:sz w:val="20"/>
          <w:szCs w:val="20"/>
        </w:rPr>
        <w:t xml:space="preserve">: Sources and Context, </w:t>
      </w:r>
      <w:r w:rsidRPr="009D7635">
        <w:rPr>
          <w:rFonts w:ascii="Times New Roman" w:hAnsi="Times New Roman" w:cs="Times New Roman"/>
          <w:color w:val="000000" w:themeColor="text1"/>
          <w:sz w:val="20"/>
          <w:szCs w:val="20"/>
        </w:rPr>
        <w:t xml:space="preserve">91-116. </w:t>
      </w:r>
    </w:p>
  </w:footnote>
  <w:footnote w:id="15">
    <w:p w14:paraId="39210A7F" w14:textId="62919209" w:rsidR="00B93ED5" w:rsidRPr="009D7635" w:rsidRDefault="00B93ED5" w:rsidP="00054C79">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As I have argued elsewhere, later Franciscans like Duns Scotus rejected the idea that the innate first principles or ‘transcendentals’, a theory derived from Avicenna, were God-given rather than innate</w:t>
      </w:r>
      <w:r w:rsidR="00FA04D1" w:rsidRPr="009D7635">
        <w:rPr>
          <w:rFonts w:ascii="Times New Roman" w:hAnsi="Times New Roman" w:cs="Times New Roman"/>
          <w:color w:val="000000" w:themeColor="text1"/>
        </w:rPr>
        <w:t xml:space="preserve">. However, </w:t>
      </w:r>
      <w:r w:rsidRPr="009D7635">
        <w:rPr>
          <w:rFonts w:ascii="Times New Roman" w:hAnsi="Times New Roman" w:cs="Times New Roman"/>
          <w:color w:val="000000" w:themeColor="text1"/>
        </w:rPr>
        <w:t xml:space="preserve">they still affirmed a role for them in human knowledge, in line with earlier Franciscans. Thus, it is not altogether true that later Franciscans </w:t>
      </w:r>
      <w:r w:rsidR="00DB3FA4" w:rsidRPr="009D7635">
        <w:rPr>
          <w:rFonts w:ascii="Times New Roman" w:hAnsi="Times New Roman" w:cs="Times New Roman"/>
          <w:color w:val="000000" w:themeColor="text1"/>
        </w:rPr>
        <w:t>abandoned</w:t>
      </w:r>
      <w:r w:rsidRPr="009D7635">
        <w:rPr>
          <w:rFonts w:ascii="Times New Roman" w:hAnsi="Times New Roman" w:cs="Times New Roman"/>
          <w:color w:val="000000" w:themeColor="text1"/>
        </w:rPr>
        <w:t xml:space="preserve"> the earlier Franciscan theory of knowledge. See Lydia Schumacher, </w:t>
      </w:r>
      <w:r w:rsidRPr="009D7635">
        <w:rPr>
          <w:rFonts w:ascii="Times New Roman" w:hAnsi="Times New Roman" w:cs="Times New Roman"/>
          <w:i/>
          <w:iCs/>
          <w:color w:val="000000" w:themeColor="text1"/>
        </w:rPr>
        <w:t xml:space="preserve">Divine Illumination: The History and Future of Augustine’s Theory of Knowledge </w:t>
      </w:r>
      <w:r w:rsidRPr="009D7635">
        <w:rPr>
          <w:rFonts w:ascii="Times New Roman" w:hAnsi="Times New Roman" w:cs="Times New Roman"/>
          <w:color w:val="000000" w:themeColor="text1"/>
        </w:rPr>
        <w:t xml:space="preserve">(Oxford: Wiley-Blackwell, 2011). On the evolution of the theory of transcendentals from Scotus onwards, see </w:t>
      </w:r>
      <w:proofErr w:type="spellStart"/>
      <w:r w:rsidRPr="009D7635">
        <w:rPr>
          <w:rFonts w:ascii="Times New Roman" w:hAnsi="Times New Roman" w:cs="Times New Roman"/>
          <w:color w:val="000000" w:themeColor="text1"/>
        </w:rPr>
        <w:t>Ludger</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Honnefelder</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iCs/>
          <w:color w:val="000000" w:themeColor="text1"/>
        </w:rPr>
        <w:t>Scientia</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transcendens</w:t>
      </w:r>
      <w:proofErr w:type="spellEnd"/>
      <w:r w:rsidRPr="009D7635">
        <w:rPr>
          <w:rFonts w:ascii="Times New Roman" w:hAnsi="Times New Roman" w:cs="Times New Roman"/>
          <w:i/>
          <w:iCs/>
          <w:color w:val="000000" w:themeColor="text1"/>
        </w:rPr>
        <w:t xml:space="preserve">: Die </w:t>
      </w:r>
      <w:proofErr w:type="spellStart"/>
      <w:r w:rsidRPr="009D7635">
        <w:rPr>
          <w:rFonts w:ascii="Times New Roman" w:hAnsi="Times New Roman" w:cs="Times New Roman"/>
          <w:i/>
          <w:iCs/>
          <w:color w:val="000000" w:themeColor="text1"/>
        </w:rPr>
        <w:t>formale</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Bestimmung</w:t>
      </w:r>
      <w:proofErr w:type="spellEnd"/>
      <w:r w:rsidRPr="009D7635">
        <w:rPr>
          <w:rFonts w:ascii="Times New Roman" w:hAnsi="Times New Roman" w:cs="Times New Roman"/>
          <w:i/>
          <w:iCs/>
          <w:color w:val="000000" w:themeColor="text1"/>
        </w:rPr>
        <w:t xml:space="preserve"> der </w:t>
      </w:r>
      <w:proofErr w:type="spellStart"/>
      <w:r w:rsidRPr="009D7635">
        <w:rPr>
          <w:rFonts w:ascii="Times New Roman" w:hAnsi="Times New Roman" w:cs="Times New Roman"/>
          <w:i/>
          <w:iCs/>
          <w:color w:val="000000" w:themeColor="text1"/>
        </w:rPr>
        <w:t>Seiendheit</w:t>
      </w:r>
      <w:proofErr w:type="spellEnd"/>
      <w:r w:rsidRPr="009D7635">
        <w:rPr>
          <w:rFonts w:ascii="Times New Roman" w:hAnsi="Times New Roman" w:cs="Times New Roman"/>
          <w:i/>
          <w:iCs/>
          <w:color w:val="000000" w:themeColor="text1"/>
        </w:rPr>
        <w:t xml:space="preserve"> und </w:t>
      </w:r>
      <w:proofErr w:type="spellStart"/>
      <w:r w:rsidRPr="009D7635">
        <w:rPr>
          <w:rFonts w:ascii="Times New Roman" w:hAnsi="Times New Roman" w:cs="Times New Roman"/>
          <w:i/>
          <w:iCs/>
          <w:color w:val="000000" w:themeColor="text1"/>
        </w:rPr>
        <w:t>Realität</w:t>
      </w:r>
      <w:proofErr w:type="spellEnd"/>
      <w:r w:rsidRPr="009D7635">
        <w:rPr>
          <w:rFonts w:ascii="Times New Roman" w:hAnsi="Times New Roman" w:cs="Times New Roman"/>
          <w:i/>
          <w:iCs/>
          <w:color w:val="000000" w:themeColor="text1"/>
        </w:rPr>
        <w:t xml:space="preserve"> in der </w:t>
      </w:r>
      <w:proofErr w:type="spellStart"/>
      <w:r w:rsidRPr="009D7635">
        <w:rPr>
          <w:rFonts w:ascii="Times New Roman" w:hAnsi="Times New Roman" w:cs="Times New Roman"/>
          <w:i/>
          <w:iCs/>
          <w:color w:val="000000" w:themeColor="text1"/>
        </w:rPr>
        <w:t>Metaphysik</w:t>
      </w:r>
      <w:proofErr w:type="spellEnd"/>
      <w:r w:rsidRPr="009D7635">
        <w:rPr>
          <w:rFonts w:ascii="Times New Roman" w:hAnsi="Times New Roman" w:cs="Times New Roman"/>
          <w:i/>
          <w:iCs/>
          <w:color w:val="000000" w:themeColor="text1"/>
        </w:rPr>
        <w:t xml:space="preserve"> des </w:t>
      </w:r>
      <w:proofErr w:type="spellStart"/>
      <w:r w:rsidRPr="009D7635">
        <w:rPr>
          <w:rFonts w:ascii="Times New Roman" w:hAnsi="Times New Roman" w:cs="Times New Roman"/>
          <w:i/>
          <w:iCs/>
          <w:color w:val="000000" w:themeColor="text1"/>
        </w:rPr>
        <w:t>Mittelalters</w:t>
      </w:r>
      <w:proofErr w:type="spellEnd"/>
      <w:r w:rsidRPr="009D7635">
        <w:rPr>
          <w:rFonts w:ascii="Times New Roman" w:hAnsi="Times New Roman" w:cs="Times New Roman"/>
          <w:i/>
          <w:iCs/>
          <w:color w:val="000000" w:themeColor="text1"/>
        </w:rPr>
        <w:t xml:space="preserve"> und der </w:t>
      </w:r>
      <w:proofErr w:type="spellStart"/>
      <w:r w:rsidRPr="009D7635">
        <w:rPr>
          <w:rFonts w:ascii="Times New Roman" w:hAnsi="Times New Roman" w:cs="Times New Roman"/>
          <w:i/>
          <w:iCs/>
          <w:color w:val="000000" w:themeColor="text1"/>
        </w:rPr>
        <w:t>Neuzeit</w:t>
      </w:r>
      <w:proofErr w:type="spellEnd"/>
      <w:r w:rsidRPr="009D7635">
        <w:rPr>
          <w:rFonts w:ascii="Times New Roman" w:hAnsi="Times New Roman" w:cs="Times New Roman"/>
          <w:i/>
          <w:iCs/>
          <w:color w:val="000000" w:themeColor="text1"/>
        </w:rPr>
        <w:t xml:space="preserve"> (Duns Scotus, </w:t>
      </w:r>
      <w:proofErr w:type="spellStart"/>
      <w:r w:rsidRPr="009D7635">
        <w:rPr>
          <w:rFonts w:ascii="Times New Roman" w:hAnsi="Times New Roman" w:cs="Times New Roman"/>
          <w:i/>
          <w:iCs/>
          <w:color w:val="000000" w:themeColor="text1"/>
        </w:rPr>
        <w:t>Suárez</w:t>
      </w:r>
      <w:proofErr w:type="spellEnd"/>
      <w:r w:rsidRPr="009D7635">
        <w:rPr>
          <w:rFonts w:ascii="Times New Roman" w:hAnsi="Times New Roman" w:cs="Times New Roman"/>
          <w:i/>
          <w:iCs/>
          <w:color w:val="000000" w:themeColor="text1"/>
        </w:rPr>
        <w:t xml:space="preserve">, Wolff, Kant, </w:t>
      </w:r>
      <w:proofErr w:type="spellStart"/>
      <w:r w:rsidRPr="009D7635">
        <w:rPr>
          <w:rFonts w:ascii="Times New Roman" w:hAnsi="Times New Roman" w:cs="Times New Roman"/>
          <w:i/>
          <w:iCs/>
          <w:color w:val="000000" w:themeColor="text1"/>
        </w:rPr>
        <w:t>Peirce</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 xml:space="preserve">(Hamburg: Felix </w:t>
      </w:r>
      <w:proofErr w:type="spellStart"/>
      <w:r w:rsidRPr="009D7635">
        <w:rPr>
          <w:rFonts w:ascii="Times New Roman" w:hAnsi="Times New Roman" w:cs="Times New Roman"/>
          <w:color w:val="000000" w:themeColor="text1"/>
        </w:rPr>
        <w:t>Meiner</w:t>
      </w:r>
      <w:proofErr w:type="spellEnd"/>
      <w:r w:rsidRPr="009D7635">
        <w:rPr>
          <w:rFonts w:ascii="Times New Roman" w:hAnsi="Times New Roman" w:cs="Times New Roman"/>
          <w:color w:val="000000" w:themeColor="text1"/>
        </w:rPr>
        <w:t xml:space="preserve"> Verlag, 1990).</w:t>
      </w:r>
    </w:p>
  </w:footnote>
  <w:footnote w:id="16">
    <w:p w14:paraId="212328CC" w14:textId="4DBDF5FF" w:rsidR="00B93ED5" w:rsidRPr="009D7635" w:rsidRDefault="00B93ED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On active theories of cognition in medieval Franciscan and other scholastic thinkers, see José Filipe Silva, ‘Medieval Theories of Active Perception: An Overview,’ in </w:t>
      </w:r>
      <w:r w:rsidRPr="009D7635">
        <w:rPr>
          <w:rFonts w:ascii="Times New Roman" w:hAnsi="Times New Roman" w:cs="Times New Roman"/>
          <w:i/>
          <w:iCs/>
          <w:color w:val="000000" w:themeColor="text1"/>
        </w:rPr>
        <w:t xml:space="preserve">Active Perception in the History of Philosophy: From Plato to Modern Philosophy, </w:t>
      </w:r>
      <w:r w:rsidRPr="009D7635">
        <w:rPr>
          <w:rFonts w:ascii="Times New Roman" w:hAnsi="Times New Roman" w:cs="Times New Roman"/>
          <w:color w:val="000000" w:themeColor="text1"/>
        </w:rPr>
        <w:t xml:space="preserve">ed. José Filipe Silva and Mikko </w:t>
      </w:r>
      <w:proofErr w:type="spellStart"/>
      <w:r w:rsidRPr="009D7635">
        <w:rPr>
          <w:rFonts w:ascii="Times New Roman" w:hAnsi="Times New Roman" w:cs="Times New Roman"/>
          <w:color w:val="000000" w:themeColor="text1"/>
        </w:rPr>
        <w:t>Yrjönsuuri</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 xml:space="preserve">(New York: Springer, 2014), 117-46. On the relation of John Peckham in particular to John of La Rochelle, see José Filipe Silva, ‘John Peckham’s Theory of Natural Cognition: Perception,’ in </w:t>
      </w:r>
      <w:r w:rsidR="002F1DCB" w:rsidRPr="009D7635">
        <w:rPr>
          <w:rFonts w:ascii="Times New Roman" w:hAnsi="Times New Roman" w:cs="Times New Roman"/>
          <w:i/>
          <w:iCs/>
          <w:color w:val="000000" w:themeColor="text1"/>
        </w:rPr>
        <w:t>Early T</w:t>
      </w:r>
      <w:r w:rsidRPr="009D7635">
        <w:rPr>
          <w:rFonts w:ascii="Times New Roman" w:hAnsi="Times New Roman" w:cs="Times New Roman"/>
          <w:i/>
          <w:iCs/>
          <w:color w:val="000000" w:themeColor="text1"/>
        </w:rPr>
        <w:t>hirteenth-Century English Franciscan</w:t>
      </w:r>
      <w:r w:rsidR="00042645" w:rsidRPr="009D7635">
        <w:rPr>
          <w:rFonts w:ascii="Times New Roman" w:hAnsi="Times New Roman" w:cs="Times New Roman"/>
          <w:i/>
          <w:iCs/>
          <w:color w:val="000000" w:themeColor="text1"/>
        </w:rPr>
        <w:t xml:space="preserve"> Thought</w:t>
      </w:r>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 xml:space="preserve">ed. Lydia Schumacher (Berlin: De Gruyter, 2021), </w:t>
      </w:r>
      <w:r w:rsidR="00A15E95" w:rsidRPr="009D7635">
        <w:rPr>
          <w:rFonts w:ascii="Times New Roman" w:hAnsi="Times New Roman" w:cs="Times New Roman"/>
          <w:color w:val="000000" w:themeColor="text1"/>
        </w:rPr>
        <w:t>283-310</w:t>
      </w:r>
      <w:r w:rsidRPr="009D7635">
        <w:rPr>
          <w:rFonts w:ascii="Times New Roman" w:hAnsi="Times New Roman" w:cs="Times New Roman"/>
          <w:color w:val="000000" w:themeColor="text1"/>
        </w:rPr>
        <w:t xml:space="preserve">. Compare also with Richard Cross, </w:t>
      </w:r>
      <w:r w:rsidRPr="009D7635">
        <w:rPr>
          <w:rFonts w:ascii="Times New Roman" w:hAnsi="Times New Roman" w:cs="Times New Roman"/>
          <w:i/>
          <w:iCs/>
          <w:color w:val="000000" w:themeColor="text1"/>
        </w:rPr>
        <w:t xml:space="preserve">Duns Scotus’ Theory of Cognition </w:t>
      </w:r>
      <w:r w:rsidRPr="009D7635">
        <w:rPr>
          <w:rFonts w:ascii="Times New Roman" w:hAnsi="Times New Roman" w:cs="Times New Roman"/>
          <w:color w:val="000000" w:themeColor="text1"/>
        </w:rPr>
        <w:t>(Oxford: Oxford University Press, 2014).</w:t>
      </w:r>
    </w:p>
  </w:footnote>
  <w:footnote w:id="17">
    <w:p w14:paraId="461F903C" w14:textId="059CBFAC" w:rsidR="00B93ED5" w:rsidRPr="009D7635" w:rsidRDefault="00B93ED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On this </w:t>
      </w:r>
      <w:r w:rsidR="0037445A" w:rsidRPr="009D7635">
        <w:rPr>
          <w:rFonts w:ascii="Times New Roman" w:hAnsi="Times New Roman" w:cs="Times New Roman"/>
          <w:color w:val="000000" w:themeColor="text1"/>
        </w:rPr>
        <w:t xml:space="preserve">topic, </w:t>
      </w:r>
      <w:r w:rsidRPr="009D7635">
        <w:rPr>
          <w:rFonts w:ascii="Times New Roman" w:hAnsi="Times New Roman" w:cs="Times New Roman"/>
          <w:color w:val="000000" w:themeColor="text1"/>
        </w:rPr>
        <w:t xml:space="preserve">see Olivier Boulnois, </w:t>
      </w:r>
      <w:r w:rsidRPr="009D7635">
        <w:rPr>
          <w:rFonts w:ascii="Times New Roman" w:hAnsi="Times New Roman" w:cs="Times New Roman"/>
          <w:i/>
          <w:iCs/>
          <w:color w:val="000000" w:themeColor="text1"/>
        </w:rPr>
        <w:t xml:space="preserve">Duns Scot: la </w:t>
      </w:r>
      <w:proofErr w:type="spellStart"/>
      <w:r w:rsidRPr="009D7635">
        <w:rPr>
          <w:rFonts w:ascii="Times New Roman" w:hAnsi="Times New Roman" w:cs="Times New Roman"/>
          <w:i/>
          <w:iCs/>
          <w:color w:val="000000" w:themeColor="text1"/>
        </w:rPr>
        <w:t>rigeur</w:t>
      </w:r>
      <w:proofErr w:type="spellEnd"/>
      <w:r w:rsidRPr="009D7635">
        <w:rPr>
          <w:rFonts w:ascii="Times New Roman" w:hAnsi="Times New Roman" w:cs="Times New Roman"/>
          <w:i/>
          <w:iCs/>
          <w:color w:val="000000" w:themeColor="text1"/>
        </w:rPr>
        <w:t xml:space="preserve"> de la </w:t>
      </w:r>
      <w:proofErr w:type="spellStart"/>
      <w:r w:rsidRPr="009D7635">
        <w:rPr>
          <w:rFonts w:ascii="Times New Roman" w:hAnsi="Times New Roman" w:cs="Times New Roman"/>
          <w:i/>
          <w:iCs/>
          <w:color w:val="000000" w:themeColor="text1"/>
        </w:rPr>
        <w:t>charité</w:t>
      </w:r>
      <w:proofErr w:type="spellEnd"/>
      <w:r w:rsidRPr="009D7635">
        <w:rPr>
          <w:rFonts w:ascii="Times New Roman" w:hAnsi="Times New Roman" w:cs="Times New Roman"/>
          <w:color w:val="000000" w:themeColor="text1"/>
        </w:rPr>
        <w:t xml:space="preserve"> (Paris: Le </w:t>
      </w:r>
      <w:proofErr w:type="spellStart"/>
      <w:r w:rsidRPr="009D7635">
        <w:rPr>
          <w:rFonts w:ascii="Times New Roman" w:hAnsi="Times New Roman" w:cs="Times New Roman"/>
          <w:color w:val="000000" w:themeColor="text1"/>
        </w:rPr>
        <w:t>Cerf</w:t>
      </w:r>
      <w:proofErr w:type="spellEnd"/>
      <w:r w:rsidRPr="009D7635">
        <w:rPr>
          <w:rFonts w:ascii="Times New Roman" w:hAnsi="Times New Roman" w:cs="Times New Roman"/>
          <w:color w:val="000000" w:themeColor="text1"/>
        </w:rPr>
        <w:t xml:space="preserve">, 1998). Bonnie Kent, </w:t>
      </w:r>
      <w:r w:rsidRPr="009D7635">
        <w:rPr>
          <w:rFonts w:ascii="Times New Roman" w:hAnsi="Times New Roman" w:cs="Times New Roman"/>
          <w:i/>
          <w:iCs/>
          <w:color w:val="000000" w:themeColor="text1"/>
        </w:rPr>
        <w:t>Virtues of the Will: The Transformation of Ethics in the Late Thirteenth Century</w:t>
      </w:r>
      <w:r w:rsidRPr="009D7635">
        <w:rPr>
          <w:rFonts w:ascii="Times New Roman" w:hAnsi="Times New Roman" w:cs="Times New Roman"/>
          <w:color w:val="000000" w:themeColor="text1"/>
        </w:rPr>
        <w:t xml:space="preserve"> (Washington, D.C.: The Catholic University of America Press, 1995). Mary Beth Ingham, ‘Franciscan Identity, Poverty and the Ra</w:t>
      </w:r>
      <w:r w:rsidR="000C3C2A" w:rsidRPr="009D7635">
        <w:rPr>
          <w:rFonts w:ascii="Times New Roman" w:hAnsi="Times New Roman" w:cs="Times New Roman"/>
          <w:color w:val="000000" w:themeColor="text1"/>
        </w:rPr>
        <w:t>ti</w:t>
      </w:r>
      <w:r w:rsidRPr="009D7635">
        <w:rPr>
          <w:rFonts w:ascii="Times New Roman" w:hAnsi="Times New Roman" w:cs="Times New Roman"/>
          <w:color w:val="000000" w:themeColor="text1"/>
        </w:rPr>
        <w:t xml:space="preserve">onal Will: From the </w:t>
      </w:r>
      <w:r w:rsidRPr="009D7635">
        <w:rPr>
          <w:rFonts w:ascii="Times New Roman" w:hAnsi="Times New Roman" w:cs="Times New Roman"/>
          <w:i/>
          <w:iCs/>
          <w:color w:val="000000" w:themeColor="text1"/>
        </w:rPr>
        <w:t xml:space="preserve">Summa </w:t>
      </w:r>
      <w:proofErr w:type="spellStart"/>
      <w:r w:rsidRPr="009D7635">
        <w:rPr>
          <w:rFonts w:ascii="Times New Roman" w:hAnsi="Times New Roman" w:cs="Times New Roman"/>
          <w:i/>
          <w:iCs/>
          <w:color w:val="000000" w:themeColor="text1"/>
        </w:rPr>
        <w:t>Halensis</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 xml:space="preserve">to John Duns Scotus,’ in </w:t>
      </w:r>
      <w:r w:rsidRPr="009D7635">
        <w:rPr>
          <w:rFonts w:ascii="Times New Roman" w:hAnsi="Times New Roman" w:cs="Times New Roman"/>
          <w:i/>
          <w:iCs/>
          <w:color w:val="000000" w:themeColor="text1"/>
        </w:rPr>
        <w:t xml:space="preserve">The Legacy of Early Franciscan Thought, </w:t>
      </w:r>
      <w:r w:rsidRPr="009D7635">
        <w:rPr>
          <w:rFonts w:ascii="Times New Roman" w:hAnsi="Times New Roman" w:cs="Times New Roman"/>
          <w:color w:val="000000" w:themeColor="text1"/>
        </w:rPr>
        <w:t>257-80.</w:t>
      </w:r>
    </w:p>
  </w:footnote>
  <w:footnote w:id="18">
    <w:p w14:paraId="2D32F8C6" w14:textId="77777777" w:rsidR="00B93ED5" w:rsidRPr="009D7635" w:rsidRDefault="00B93ED5" w:rsidP="00B34F9E">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I am grateful to Dominik Perler for introducing me to this concept of ‘limit cases’ and for his research on angels in this regard: Dominik Perler, ‘Thought Experiments: The Methodological Function of Angels in Late Medieval Epistemology,’ in </w:t>
      </w:r>
      <w:r w:rsidRPr="009D7635">
        <w:rPr>
          <w:rFonts w:ascii="Times New Roman" w:hAnsi="Times New Roman" w:cs="Times New Roman"/>
          <w:i/>
          <w:color w:val="000000" w:themeColor="text1"/>
        </w:rPr>
        <w:t>Angels in Medieval Philosophical Inquiry: Their Function and Significance</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Isabel </w:t>
      </w:r>
      <w:proofErr w:type="spellStart"/>
      <w:r w:rsidRPr="009D7635">
        <w:rPr>
          <w:rFonts w:ascii="Times New Roman" w:hAnsi="Times New Roman" w:cs="Times New Roman"/>
          <w:color w:val="000000" w:themeColor="text1"/>
        </w:rPr>
        <w:t>Iribarren</w:t>
      </w:r>
      <w:proofErr w:type="spellEnd"/>
      <w:r w:rsidRPr="009D7635">
        <w:rPr>
          <w:rFonts w:ascii="Times New Roman" w:hAnsi="Times New Roman" w:cs="Times New Roman"/>
          <w:color w:val="000000" w:themeColor="text1"/>
        </w:rPr>
        <w:t xml:space="preserve"> and Martin Lenz (Aldershot: </w:t>
      </w:r>
      <w:proofErr w:type="spellStart"/>
      <w:r w:rsidRPr="009D7635">
        <w:rPr>
          <w:rFonts w:ascii="Times New Roman" w:hAnsi="Times New Roman" w:cs="Times New Roman"/>
          <w:color w:val="000000" w:themeColor="text1"/>
        </w:rPr>
        <w:t>Ashgate</w:t>
      </w:r>
      <w:proofErr w:type="spellEnd"/>
      <w:r w:rsidRPr="009D7635">
        <w:rPr>
          <w:rFonts w:ascii="Times New Roman" w:hAnsi="Times New Roman" w:cs="Times New Roman"/>
          <w:color w:val="000000" w:themeColor="text1"/>
        </w:rPr>
        <w:t>, 2008), 143-53.</w:t>
      </w:r>
    </w:p>
  </w:footnote>
  <w:footnote w:id="19">
    <w:p w14:paraId="177EA0EB" w14:textId="40BBB96E" w:rsidR="00B93ED5" w:rsidRPr="009D7635" w:rsidRDefault="00B93ED5" w:rsidP="00DF6D4E">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Bernardo Carlos Bazán, ‘Thirteenth-Century Commentaries on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 xml:space="preserve">From Peter of Spain to Thomas Aquinas,’ </w:t>
      </w:r>
      <w:r w:rsidRPr="009D7635">
        <w:rPr>
          <w:rFonts w:ascii="Times New Roman" w:hAnsi="Times New Roman" w:cs="Times New Roman"/>
          <w:color w:val="000000" w:themeColor="text1"/>
          <w:lang w:val="en-US"/>
        </w:rPr>
        <w:t xml:space="preserve">in </w:t>
      </w:r>
      <w:proofErr w:type="spellStart"/>
      <w:r w:rsidRPr="009D7635">
        <w:rPr>
          <w:rFonts w:ascii="Times New Roman" w:hAnsi="Times New Roman" w:cs="Times New Roman"/>
          <w:i/>
          <w:color w:val="000000" w:themeColor="text1"/>
          <w:lang w:val="en-US"/>
        </w:rPr>
        <w:t>Commento</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Filosofico</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nell’Occidente</w:t>
      </w:r>
      <w:proofErr w:type="spellEnd"/>
      <w:r w:rsidRPr="009D7635">
        <w:rPr>
          <w:rFonts w:ascii="Times New Roman" w:hAnsi="Times New Roman" w:cs="Times New Roman"/>
          <w:i/>
          <w:color w:val="000000" w:themeColor="text1"/>
          <w:lang w:val="en-US"/>
        </w:rPr>
        <w:t xml:space="preserve"> Latino</w:t>
      </w:r>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secoli</w:t>
      </w:r>
      <w:proofErr w:type="spellEnd"/>
      <w:r w:rsidRPr="009D7635">
        <w:rPr>
          <w:rFonts w:ascii="Times New Roman" w:hAnsi="Times New Roman" w:cs="Times New Roman"/>
          <w:color w:val="000000" w:themeColor="text1"/>
          <w:lang w:val="en-US"/>
        </w:rPr>
        <w:t xml:space="preserve"> XIII–XV), ed. </w:t>
      </w:r>
      <w:proofErr w:type="spellStart"/>
      <w:r w:rsidRPr="009D7635">
        <w:rPr>
          <w:rFonts w:ascii="Times New Roman" w:hAnsi="Times New Roman" w:cs="Times New Roman"/>
          <w:color w:val="000000" w:themeColor="text1"/>
          <w:lang w:val="en-US"/>
        </w:rPr>
        <w:t>Gianfranco</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Fioravanti</w:t>
      </w:r>
      <w:proofErr w:type="spellEnd"/>
      <w:r w:rsidRPr="009D7635">
        <w:rPr>
          <w:rFonts w:ascii="Times New Roman" w:hAnsi="Times New Roman" w:cs="Times New Roman"/>
          <w:color w:val="000000" w:themeColor="text1"/>
          <w:lang w:val="en-US"/>
        </w:rPr>
        <w:t xml:space="preserve">, Claudio </w:t>
      </w:r>
      <w:proofErr w:type="spellStart"/>
      <w:r w:rsidRPr="009D7635">
        <w:rPr>
          <w:rFonts w:ascii="Times New Roman" w:hAnsi="Times New Roman" w:cs="Times New Roman"/>
          <w:color w:val="000000" w:themeColor="text1"/>
          <w:lang w:val="en-US"/>
        </w:rPr>
        <w:t>Leonardi</w:t>
      </w:r>
      <w:proofErr w:type="spellEnd"/>
      <w:r w:rsidRPr="009D7635">
        <w:rPr>
          <w:rFonts w:ascii="Times New Roman" w:hAnsi="Times New Roman" w:cs="Times New Roman"/>
          <w:color w:val="000000" w:themeColor="text1"/>
          <w:lang w:val="en-US"/>
        </w:rPr>
        <w:t xml:space="preserve"> and Ste</w:t>
      </w:r>
      <w:r w:rsidR="00B96878" w:rsidRPr="009D7635">
        <w:rPr>
          <w:rFonts w:ascii="Times New Roman" w:hAnsi="Times New Roman" w:cs="Times New Roman"/>
          <w:color w:val="000000" w:themeColor="text1"/>
          <w:lang w:val="en-US"/>
        </w:rPr>
        <w:t>f</w:t>
      </w:r>
      <w:r w:rsidRPr="009D7635">
        <w:rPr>
          <w:rFonts w:ascii="Times New Roman" w:hAnsi="Times New Roman" w:cs="Times New Roman"/>
          <w:color w:val="000000" w:themeColor="text1"/>
          <w:lang w:val="en-US"/>
        </w:rPr>
        <w:t xml:space="preserve">ano </w:t>
      </w:r>
      <w:proofErr w:type="spellStart"/>
      <w:r w:rsidRPr="009D7635">
        <w:rPr>
          <w:rFonts w:ascii="Times New Roman" w:hAnsi="Times New Roman" w:cs="Times New Roman"/>
          <w:color w:val="000000" w:themeColor="text1"/>
          <w:lang w:val="en-US"/>
        </w:rPr>
        <w:t>Perfetti</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Turnhout</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Brepols</w:t>
      </w:r>
      <w:proofErr w:type="spellEnd"/>
      <w:r w:rsidRPr="009D7635">
        <w:rPr>
          <w:rFonts w:ascii="Times New Roman" w:hAnsi="Times New Roman" w:cs="Times New Roman"/>
          <w:color w:val="000000" w:themeColor="text1"/>
          <w:lang w:val="en-US"/>
        </w:rPr>
        <w:t xml:space="preserve">, 2002), </w:t>
      </w:r>
      <w:r w:rsidRPr="009D7635">
        <w:rPr>
          <w:rFonts w:ascii="Times New Roman" w:hAnsi="Times New Roman" w:cs="Times New Roman"/>
          <w:color w:val="000000" w:themeColor="text1"/>
        </w:rPr>
        <w:t xml:space="preserve">119-84. Sander de Boer, </w:t>
      </w:r>
      <w:r w:rsidRPr="009D7635">
        <w:rPr>
          <w:rFonts w:ascii="Times New Roman" w:hAnsi="Times New Roman" w:cs="Times New Roman"/>
          <w:i/>
          <w:color w:val="000000" w:themeColor="text1"/>
        </w:rPr>
        <w:t xml:space="preserve">The Science of the Soul: The Commentary Tradition on Aristotle’s De anima, c. 1260-1360 </w:t>
      </w:r>
      <w:r w:rsidRPr="009D7635">
        <w:rPr>
          <w:rFonts w:ascii="Times New Roman" w:hAnsi="Times New Roman" w:cs="Times New Roman"/>
          <w:color w:val="000000" w:themeColor="text1"/>
        </w:rPr>
        <w:t xml:space="preserve">(Leuven: Leuven University Press, 2013). J. De </w:t>
      </w:r>
      <w:proofErr w:type="spellStart"/>
      <w:r w:rsidRPr="009D7635">
        <w:rPr>
          <w:rFonts w:ascii="Times New Roman" w:hAnsi="Times New Roman" w:cs="Times New Roman"/>
          <w:color w:val="000000" w:themeColor="text1"/>
        </w:rPr>
        <w:t>Raedemaeker</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Une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ébauche</w:t>
      </w:r>
      <w:proofErr w:type="spellEnd"/>
      <w:r w:rsidRPr="009D7635">
        <w:rPr>
          <w:rFonts w:ascii="Times New Roman" w:hAnsi="Times New Roman" w:cs="Times New Roman"/>
          <w:color w:val="000000" w:themeColor="text1"/>
        </w:rPr>
        <w:t xml:space="preserve"> de catalogue des </w:t>
      </w:r>
      <w:proofErr w:type="spellStart"/>
      <w:r w:rsidRPr="009D7635">
        <w:rPr>
          <w:rFonts w:ascii="Times New Roman" w:hAnsi="Times New Roman" w:cs="Times New Roman"/>
          <w:color w:val="000000" w:themeColor="text1"/>
        </w:rPr>
        <w:t>commentaires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sur</w:t>
      </w:r>
      <w:proofErr w:type="spellEnd"/>
      <w:r w:rsidRPr="009D7635">
        <w:rPr>
          <w:rFonts w:ascii="Times New Roman" w:hAnsi="Times New Roman" w:cs="Times New Roman"/>
          <w:color w:val="000000" w:themeColor="text1"/>
        </w:rPr>
        <w:t xml:space="preserve"> le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parus</w:t>
      </w:r>
      <w:proofErr w:type="spellEnd"/>
      <w:r w:rsidRPr="009D7635">
        <w:rPr>
          <w:rFonts w:ascii="Times New Roman" w:hAnsi="Times New Roman" w:cs="Times New Roman"/>
          <w:color w:val="000000" w:themeColor="text1"/>
        </w:rPr>
        <w:t xml:space="preserve"> aux XIII, XIV et XV </w:t>
      </w:r>
      <w:proofErr w:type="spellStart"/>
      <w:r w:rsidRPr="009D7635">
        <w:rPr>
          <w:rFonts w:ascii="Times New Roman" w:hAnsi="Times New Roman" w:cs="Times New Roman"/>
          <w:color w:val="000000" w:themeColor="text1"/>
        </w:rPr>
        <w:t>siècles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Bulletin de la </w:t>
      </w:r>
      <w:proofErr w:type="spellStart"/>
      <w:r w:rsidRPr="009D7635">
        <w:rPr>
          <w:rFonts w:ascii="Times New Roman" w:hAnsi="Times New Roman" w:cs="Times New Roman"/>
          <w:i/>
          <w:color w:val="000000" w:themeColor="text1"/>
        </w:rPr>
        <w:t>société</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internationale</w:t>
      </w:r>
      <w:proofErr w:type="spellEnd"/>
      <w:r w:rsidRPr="009D7635">
        <w:rPr>
          <w:rFonts w:ascii="Times New Roman" w:hAnsi="Times New Roman" w:cs="Times New Roman"/>
          <w:i/>
          <w:color w:val="000000" w:themeColor="text1"/>
        </w:rPr>
        <w:t xml:space="preserve"> pour le étude de la philosophie </w:t>
      </w:r>
      <w:proofErr w:type="spellStart"/>
      <w:r w:rsidRPr="009D7635">
        <w:rPr>
          <w:rFonts w:ascii="Times New Roman" w:hAnsi="Times New Roman" w:cs="Times New Roman"/>
          <w:i/>
          <w:color w:val="000000" w:themeColor="text1"/>
        </w:rPr>
        <w:t>médievale</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5 (</w:t>
      </w:r>
      <w:proofErr w:type="spellStart"/>
      <w:r w:rsidRPr="009D7635">
        <w:rPr>
          <w:rFonts w:ascii="Times New Roman" w:hAnsi="Times New Roman" w:cs="Times New Roman"/>
          <w:color w:val="000000" w:themeColor="text1"/>
        </w:rPr>
        <w:t>Louvain</w:t>
      </w:r>
      <w:proofErr w:type="spellEnd"/>
      <w:r w:rsidRPr="009D7635">
        <w:rPr>
          <w:rFonts w:ascii="Times New Roman" w:hAnsi="Times New Roman" w:cs="Times New Roman"/>
          <w:color w:val="000000" w:themeColor="text1"/>
        </w:rPr>
        <w:t>: SIEPM, 1963)</w:t>
      </w:r>
      <w:r w:rsidR="008974F9"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149-83. Idem, ‘Informations </w:t>
      </w:r>
      <w:proofErr w:type="spellStart"/>
      <w:r w:rsidRPr="009D7635">
        <w:rPr>
          <w:rFonts w:ascii="Times New Roman" w:hAnsi="Times New Roman" w:cs="Times New Roman"/>
          <w:color w:val="000000" w:themeColor="text1"/>
        </w:rPr>
        <w:t>concernant</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quelques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commentaires</w:t>
      </w:r>
      <w:proofErr w:type="spellEnd"/>
      <w:r w:rsidRPr="009D7635">
        <w:rPr>
          <w:rFonts w:ascii="Times New Roman" w:hAnsi="Times New Roman" w:cs="Times New Roman"/>
          <w:color w:val="000000" w:themeColor="text1"/>
        </w:rPr>
        <w:t xml:space="preserve"> du </w:t>
      </w:r>
      <w:r w:rsidRPr="009D7635">
        <w:rPr>
          <w:rFonts w:ascii="Times New Roman" w:hAnsi="Times New Roman" w:cs="Times New Roman"/>
          <w:i/>
          <w:color w:val="000000" w:themeColor="text1"/>
        </w:rPr>
        <w:t xml:space="preserve">De anima,’ Bulletin de la </w:t>
      </w:r>
      <w:proofErr w:type="spellStart"/>
      <w:r w:rsidRPr="009D7635">
        <w:rPr>
          <w:rFonts w:ascii="Times New Roman" w:hAnsi="Times New Roman" w:cs="Times New Roman"/>
          <w:i/>
          <w:color w:val="000000" w:themeColor="text1"/>
        </w:rPr>
        <w:t>société</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internationale</w:t>
      </w:r>
      <w:proofErr w:type="spellEnd"/>
      <w:r w:rsidRPr="009D7635">
        <w:rPr>
          <w:rFonts w:ascii="Times New Roman" w:hAnsi="Times New Roman" w:cs="Times New Roman"/>
          <w:i/>
          <w:color w:val="000000" w:themeColor="text1"/>
        </w:rPr>
        <w:t xml:space="preserve"> pour le étude de la philosophie </w:t>
      </w:r>
      <w:proofErr w:type="spellStart"/>
      <w:r w:rsidRPr="009D7635">
        <w:rPr>
          <w:rFonts w:ascii="Times New Roman" w:hAnsi="Times New Roman" w:cs="Times New Roman"/>
          <w:i/>
          <w:color w:val="000000" w:themeColor="text1"/>
        </w:rPr>
        <w:t>médievale</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10-12 (</w:t>
      </w:r>
      <w:proofErr w:type="spellStart"/>
      <w:r w:rsidRPr="009D7635">
        <w:rPr>
          <w:rFonts w:ascii="Times New Roman" w:hAnsi="Times New Roman" w:cs="Times New Roman"/>
          <w:color w:val="000000" w:themeColor="text1"/>
        </w:rPr>
        <w:t>Louvain</w:t>
      </w:r>
      <w:proofErr w:type="spellEnd"/>
      <w:r w:rsidRPr="009D7635">
        <w:rPr>
          <w:rFonts w:ascii="Times New Roman" w:hAnsi="Times New Roman" w:cs="Times New Roman"/>
          <w:color w:val="000000" w:themeColor="text1"/>
        </w:rPr>
        <w:t>: SIEPM, 1968-70)</w:t>
      </w:r>
      <w:r w:rsidR="008974F9"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194-211.</w:t>
      </w:r>
    </w:p>
  </w:footnote>
  <w:footnote w:id="20">
    <w:p w14:paraId="55FD7862" w14:textId="192C9D4C" w:rsidR="00B93ED5" w:rsidRPr="009D7635" w:rsidRDefault="00B93ED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See Lydia Schumacher (ed.), </w:t>
      </w:r>
      <w:r w:rsidRPr="009D7635">
        <w:rPr>
          <w:rFonts w:ascii="Times New Roman" w:hAnsi="Times New Roman" w:cs="Times New Roman"/>
          <w:i/>
          <w:iCs/>
          <w:color w:val="000000" w:themeColor="text1"/>
        </w:rPr>
        <w:t xml:space="preserve">The Legacy of Early Franciscan Thought </w:t>
      </w:r>
      <w:r w:rsidRPr="009D7635">
        <w:rPr>
          <w:rFonts w:ascii="Times New Roman" w:hAnsi="Times New Roman" w:cs="Times New Roman"/>
          <w:color w:val="000000" w:themeColor="text1"/>
        </w:rPr>
        <w:t>for a series of studies on areas in which first-generation Franciscans influenced the development of later Franciscan and scholastic thought.</w:t>
      </w:r>
    </w:p>
  </w:footnote>
  <w:footnote w:id="21">
    <w:p w14:paraId="39361150" w14:textId="594BD25A" w:rsidR="00992F51" w:rsidRPr="009D7635" w:rsidRDefault="00992F51" w:rsidP="00CD79AB">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 </w:t>
      </w:r>
      <w:proofErr w:type="spellStart"/>
      <w:r w:rsidRPr="009D7635">
        <w:rPr>
          <w:rFonts w:ascii="Times New Roman" w:hAnsi="Times New Roman" w:cs="Times New Roman"/>
          <w:color w:val="000000" w:themeColor="text1"/>
        </w:rPr>
        <w:t>McGinn</w:t>
      </w:r>
      <w:proofErr w:type="spellEnd"/>
      <w:r w:rsidRPr="009D7635">
        <w:rPr>
          <w:rFonts w:ascii="Times New Roman" w:hAnsi="Times New Roman" w:cs="Times New Roman"/>
          <w:color w:val="000000" w:themeColor="text1"/>
        </w:rPr>
        <w:t xml:space="preserve">, ‘Introduction,’ in </w:t>
      </w:r>
      <w:r w:rsidRPr="009D7635">
        <w:rPr>
          <w:rFonts w:ascii="Times New Roman" w:hAnsi="Times New Roman" w:cs="Times New Roman"/>
          <w:i/>
          <w:color w:val="000000" w:themeColor="text1"/>
        </w:rPr>
        <w:t xml:space="preserve">Three Treatises on Man </w:t>
      </w:r>
      <w:r w:rsidRPr="009D7635">
        <w:rPr>
          <w:rFonts w:ascii="Times New Roman" w:hAnsi="Times New Roman" w:cs="Times New Roman"/>
          <w:color w:val="000000" w:themeColor="text1"/>
        </w:rPr>
        <w:t xml:space="preserve">(Kalamazoo: Cistercian Publications, 1977), 84. </w:t>
      </w:r>
    </w:p>
  </w:footnote>
  <w:footnote w:id="22">
    <w:p w14:paraId="07D2AE55" w14:textId="027EF012" w:rsidR="00833D0F" w:rsidRPr="009D7635" w:rsidRDefault="00833D0F" w:rsidP="00CD79AB">
      <w:pPr>
        <w:autoSpaceDE w:val="0"/>
        <w:autoSpaceDN w:val="0"/>
        <w:adjustRightInd w:val="0"/>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00DD7CC3" w:rsidRPr="009D7635">
        <w:rPr>
          <w:rFonts w:ascii="Times New Roman" w:hAnsi="Times New Roman" w:cs="Times New Roman"/>
          <w:color w:val="000000" w:themeColor="text1"/>
          <w:sz w:val="20"/>
          <w:szCs w:val="20"/>
        </w:rPr>
        <w:t>Michaud-Quantin</w:t>
      </w:r>
      <w:proofErr w:type="spellEnd"/>
      <w:r w:rsidR="00DD7CC3" w:rsidRPr="009D7635">
        <w:rPr>
          <w:rFonts w:ascii="Times New Roman" w:hAnsi="Times New Roman" w:cs="Times New Roman"/>
          <w:color w:val="000000" w:themeColor="text1"/>
          <w:sz w:val="20"/>
          <w:szCs w:val="20"/>
        </w:rPr>
        <w:t>, ‘</w:t>
      </w:r>
      <w:r w:rsidR="008D0C97" w:rsidRPr="009D7635">
        <w:rPr>
          <w:rFonts w:ascii="Times New Roman" w:hAnsi="Times New Roman" w:cs="Times New Roman"/>
          <w:color w:val="000000" w:themeColor="text1"/>
          <w:sz w:val="20"/>
          <w:szCs w:val="20"/>
        </w:rPr>
        <w:t xml:space="preserve">La classification des </w:t>
      </w:r>
      <w:proofErr w:type="spellStart"/>
      <w:r w:rsidR="008D0C97" w:rsidRPr="009D7635">
        <w:rPr>
          <w:rFonts w:ascii="Times New Roman" w:hAnsi="Times New Roman" w:cs="Times New Roman"/>
          <w:color w:val="000000" w:themeColor="text1"/>
          <w:sz w:val="20"/>
          <w:szCs w:val="20"/>
        </w:rPr>
        <w:t>puissances</w:t>
      </w:r>
      <w:proofErr w:type="spellEnd"/>
      <w:r w:rsidR="008D0C97" w:rsidRPr="009D7635">
        <w:rPr>
          <w:rFonts w:ascii="Times New Roman" w:hAnsi="Times New Roman" w:cs="Times New Roman"/>
          <w:color w:val="000000" w:themeColor="text1"/>
          <w:sz w:val="20"/>
          <w:szCs w:val="20"/>
        </w:rPr>
        <w:t xml:space="preserve"> de </w:t>
      </w:r>
      <w:proofErr w:type="spellStart"/>
      <w:r w:rsidR="008D0C97" w:rsidRPr="009D7635">
        <w:rPr>
          <w:rFonts w:ascii="Times New Roman" w:hAnsi="Times New Roman" w:cs="Times New Roman"/>
          <w:color w:val="000000" w:themeColor="text1"/>
          <w:sz w:val="20"/>
          <w:szCs w:val="20"/>
        </w:rPr>
        <w:t>l’</w:t>
      </w:r>
      <w:r w:rsidR="00175D7E" w:rsidRPr="009D7635">
        <w:rPr>
          <w:rFonts w:ascii="Times New Roman" w:hAnsi="Times New Roman" w:cs="Times New Roman"/>
          <w:color w:val="000000" w:themeColor="text1"/>
          <w:sz w:val="20"/>
          <w:szCs w:val="20"/>
        </w:rPr>
        <w:t>â</w:t>
      </w:r>
      <w:r w:rsidR="008D0C97" w:rsidRPr="009D7635">
        <w:rPr>
          <w:rFonts w:ascii="Times New Roman" w:hAnsi="Times New Roman" w:cs="Times New Roman"/>
          <w:color w:val="000000" w:themeColor="text1"/>
          <w:sz w:val="20"/>
          <w:szCs w:val="20"/>
        </w:rPr>
        <w:t>me</w:t>
      </w:r>
      <w:proofErr w:type="spellEnd"/>
      <w:r w:rsidR="008D0C97" w:rsidRPr="009D7635">
        <w:rPr>
          <w:rFonts w:ascii="Times New Roman" w:hAnsi="Times New Roman" w:cs="Times New Roman"/>
          <w:color w:val="000000" w:themeColor="text1"/>
          <w:sz w:val="20"/>
          <w:szCs w:val="20"/>
        </w:rPr>
        <w:t xml:space="preserve"> au XIIe siècle</w:t>
      </w:r>
      <w:r w:rsidR="00CD79AB" w:rsidRPr="009D7635">
        <w:rPr>
          <w:rFonts w:ascii="Times New Roman" w:hAnsi="Times New Roman" w:cs="Times New Roman"/>
          <w:color w:val="000000" w:themeColor="text1"/>
          <w:sz w:val="20"/>
          <w:szCs w:val="20"/>
        </w:rPr>
        <w:t>,</w:t>
      </w:r>
      <w:r w:rsidR="008D0C97" w:rsidRPr="009D7635">
        <w:rPr>
          <w:rFonts w:ascii="Times New Roman" w:hAnsi="Times New Roman" w:cs="Times New Roman"/>
          <w:color w:val="000000" w:themeColor="text1"/>
          <w:sz w:val="20"/>
          <w:szCs w:val="20"/>
        </w:rPr>
        <w:t xml:space="preserve">’ </w:t>
      </w:r>
      <w:r w:rsidR="008D0C97" w:rsidRPr="009D7635">
        <w:rPr>
          <w:rFonts w:ascii="Times New Roman" w:hAnsi="Times New Roman" w:cs="Times New Roman"/>
          <w:i/>
          <w:iCs/>
          <w:color w:val="000000" w:themeColor="text1"/>
          <w:sz w:val="20"/>
          <w:szCs w:val="20"/>
        </w:rPr>
        <w:t xml:space="preserve">Revue du </w:t>
      </w:r>
      <w:proofErr w:type="spellStart"/>
      <w:r w:rsidR="008D0C97" w:rsidRPr="009D7635">
        <w:rPr>
          <w:rFonts w:ascii="Times New Roman" w:hAnsi="Times New Roman" w:cs="Times New Roman"/>
          <w:i/>
          <w:iCs/>
          <w:color w:val="000000" w:themeColor="text1"/>
          <w:sz w:val="20"/>
          <w:szCs w:val="20"/>
        </w:rPr>
        <w:t>Moyen</w:t>
      </w:r>
      <w:proofErr w:type="spellEnd"/>
      <w:r w:rsidR="008D0C97" w:rsidRPr="009D7635">
        <w:rPr>
          <w:rFonts w:ascii="Times New Roman" w:hAnsi="Times New Roman" w:cs="Times New Roman"/>
          <w:i/>
          <w:iCs/>
          <w:color w:val="000000" w:themeColor="text1"/>
          <w:sz w:val="20"/>
          <w:szCs w:val="20"/>
        </w:rPr>
        <w:t xml:space="preserve"> Age Latin </w:t>
      </w:r>
      <w:r w:rsidR="008D0C97" w:rsidRPr="009D7635">
        <w:rPr>
          <w:rFonts w:ascii="Times New Roman" w:hAnsi="Times New Roman" w:cs="Times New Roman"/>
          <w:color w:val="000000" w:themeColor="text1"/>
          <w:sz w:val="20"/>
          <w:szCs w:val="20"/>
        </w:rPr>
        <w:t>5 (1949)</w:t>
      </w:r>
      <w:r w:rsidR="00EA5000" w:rsidRPr="009D7635">
        <w:rPr>
          <w:rFonts w:ascii="Times New Roman" w:hAnsi="Times New Roman" w:cs="Times New Roman"/>
          <w:color w:val="000000" w:themeColor="text1"/>
          <w:sz w:val="20"/>
          <w:szCs w:val="20"/>
        </w:rPr>
        <w:t>:</w:t>
      </w:r>
      <w:r w:rsidR="00BC2FC5" w:rsidRPr="009D7635">
        <w:rPr>
          <w:rFonts w:ascii="Times New Roman" w:hAnsi="Times New Roman" w:cs="Times New Roman"/>
          <w:color w:val="000000" w:themeColor="text1"/>
          <w:sz w:val="20"/>
          <w:szCs w:val="20"/>
        </w:rPr>
        <w:t xml:space="preserve"> 17: </w:t>
      </w:r>
      <w:proofErr w:type="spellStart"/>
      <w:r w:rsidRPr="009D7635">
        <w:rPr>
          <w:rFonts w:ascii="Times New Roman" w:hAnsi="Times New Roman" w:cs="Times New Roman"/>
          <w:color w:val="000000" w:themeColor="text1"/>
          <w:sz w:val="20"/>
          <w:szCs w:val="20"/>
        </w:rPr>
        <w:t>Boethius</w:t>
      </w:r>
      <w:proofErr w:type="spellEnd"/>
      <w:r w:rsidRPr="009D7635">
        <w:rPr>
          <w:rFonts w:ascii="Times New Roman" w:hAnsi="Times New Roman" w:cs="Times New Roman"/>
          <w:color w:val="000000" w:themeColor="text1"/>
          <w:sz w:val="20"/>
          <w:szCs w:val="20"/>
        </w:rPr>
        <w:t xml:space="preserve">’ list was reproduced for instance by </w:t>
      </w:r>
      <w:r w:rsidRPr="009D7635">
        <w:rPr>
          <w:rFonts w:ascii="Times New Roman" w:hAnsi="Times New Roman" w:cs="Times New Roman"/>
          <w:color w:val="000000" w:themeColor="text1"/>
          <w:sz w:val="20"/>
          <w:szCs w:val="20"/>
          <w:lang w:val="en-US"/>
        </w:rPr>
        <w:t>Thierry of Chartres (1100-1150) and William of Conches (1090-1154), also of the famed School of Chartres</w:t>
      </w:r>
      <w:r w:rsidR="00DD7CC3" w:rsidRPr="009D7635">
        <w:rPr>
          <w:rFonts w:ascii="Times New Roman" w:hAnsi="Times New Roman" w:cs="Times New Roman"/>
          <w:color w:val="000000" w:themeColor="text1"/>
          <w:sz w:val="20"/>
          <w:szCs w:val="20"/>
          <w:lang w:val="en-US"/>
        </w:rPr>
        <w:t>.</w:t>
      </w:r>
    </w:p>
  </w:footnote>
  <w:footnote w:id="23">
    <w:p w14:paraId="74D53230" w14:textId="3E00E0CB" w:rsidR="00C17818" w:rsidRPr="009D7635" w:rsidRDefault="00C17818" w:rsidP="00CD79AB">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See Gregor </w:t>
      </w:r>
      <w:proofErr w:type="spellStart"/>
      <w:r w:rsidRPr="009D7635">
        <w:rPr>
          <w:rFonts w:ascii="Times New Roman" w:hAnsi="Times New Roman" w:cs="Times New Roman"/>
          <w:color w:val="000000" w:themeColor="text1"/>
        </w:rPr>
        <w:t>Maurach</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Johannicius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iCs/>
          <w:color w:val="000000" w:themeColor="text1"/>
        </w:rPr>
        <w:t>Isagoge</w:t>
      </w:r>
      <w:proofErr w:type="spellEnd"/>
      <w:r w:rsidRPr="009D7635">
        <w:rPr>
          <w:rFonts w:ascii="Times New Roman" w:hAnsi="Times New Roman" w:cs="Times New Roman"/>
          <w:i/>
          <w:iCs/>
          <w:color w:val="000000" w:themeColor="text1"/>
        </w:rPr>
        <w:t xml:space="preserve"> ad </w:t>
      </w:r>
      <w:proofErr w:type="spellStart"/>
      <w:r w:rsidRPr="009D7635">
        <w:rPr>
          <w:rFonts w:ascii="Times New Roman" w:hAnsi="Times New Roman" w:cs="Times New Roman"/>
          <w:i/>
          <w:iCs/>
          <w:color w:val="000000" w:themeColor="text1"/>
        </w:rPr>
        <w:t>Techne</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Galieni</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Sudhoffs</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Archiv</w:t>
      </w:r>
      <w:proofErr w:type="spellEnd"/>
      <w:r w:rsidRPr="009D7635">
        <w:rPr>
          <w:rFonts w:ascii="Times New Roman" w:hAnsi="Times New Roman" w:cs="Times New Roman"/>
          <w:color w:val="000000" w:themeColor="text1"/>
        </w:rPr>
        <w:t xml:space="preserve"> 62:2 (1978:2)</w:t>
      </w:r>
      <w:r w:rsidR="00EA5000"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148-74. Monica H. Green, ‘</w:t>
      </w:r>
      <w:proofErr w:type="spellStart"/>
      <w:r w:rsidRPr="009D7635">
        <w:rPr>
          <w:rFonts w:ascii="Times New Roman" w:hAnsi="Times New Roman" w:cs="Times New Roman"/>
          <w:color w:val="000000" w:themeColor="text1"/>
        </w:rPr>
        <w:t>Gloriosissimus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Galienus</w:t>
      </w:r>
      <w:proofErr w:type="spellEnd"/>
      <w:r w:rsidRPr="009D7635">
        <w:rPr>
          <w:rFonts w:ascii="Times New Roman" w:hAnsi="Times New Roman" w:cs="Times New Roman"/>
          <w:color w:val="000000" w:themeColor="text1"/>
        </w:rPr>
        <w:t xml:space="preserve">: Galen and </w:t>
      </w:r>
      <w:proofErr w:type="spellStart"/>
      <w:r w:rsidRPr="009D7635">
        <w:rPr>
          <w:rFonts w:ascii="Times New Roman" w:hAnsi="Times New Roman" w:cs="Times New Roman"/>
          <w:color w:val="000000" w:themeColor="text1"/>
        </w:rPr>
        <w:t>Galenic</w:t>
      </w:r>
      <w:proofErr w:type="spellEnd"/>
      <w:r w:rsidRPr="009D7635">
        <w:rPr>
          <w:rFonts w:ascii="Times New Roman" w:hAnsi="Times New Roman" w:cs="Times New Roman"/>
          <w:color w:val="000000" w:themeColor="text1"/>
        </w:rPr>
        <w:t xml:space="preserve"> Writings in the Eleventh and Twelfth Century Latin West,’ in </w:t>
      </w:r>
      <w:r w:rsidRPr="009D7635">
        <w:rPr>
          <w:rFonts w:ascii="Times New Roman" w:hAnsi="Times New Roman" w:cs="Times New Roman"/>
          <w:i/>
          <w:iCs/>
          <w:color w:val="000000" w:themeColor="text1"/>
        </w:rPr>
        <w:t xml:space="preserve">Brill’s Companion to the Reception of Galen,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Petros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Bouras-Vallianatos</w:t>
      </w:r>
      <w:proofErr w:type="spellEnd"/>
      <w:r w:rsidRPr="009D7635">
        <w:rPr>
          <w:rFonts w:ascii="Times New Roman" w:hAnsi="Times New Roman" w:cs="Times New Roman"/>
          <w:color w:val="000000" w:themeColor="text1"/>
        </w:rPr>
        <w:t xml:space="preserve"> and Barbara </w:t>
      </w:r>
      <w:proofErr w:type="spellStart"/>
      <w:r w:rsidRPr="009D7635">
        <w:rPr>
          <w:rFonts w:ascii="Times New Roman" w:hAnsi="Times New Roman" w:cs="Times New Roman"/>
          <w:color w:val="000000" w:themeColor="text1"/>
        </w:rPr>
        <w:t>Zipser</w:t>
      </w:r>
      <w:proofErr w:type="spellEnd"/>
      <w:r w:rsidRPr="009D7635">
        <w:rPr>
          <w:rFonts w:ascii="Times New Roman" w:hAnsi="Times New Roman" w:cs="Times New Roman"/>
          <w:color w:val="000000" w:themeColor="text1"/>
        </w:rPr>
        <w:t xml:space="preserve"> (Leiden, Brill, 2019), 328. </w:t>
      </w:r>
      <w:proofErr w:type="spellStart"/>
      <w:r w:rsidRPr="009D7635">
        <w:rPr>
          <w:rFonts w:ascii="Times New Roman" w:hAnsi="Times New Roman" w:cs="Times New Roman"/>
          <w:color w:val="000000" w:themeColor="text1"/>
        </w:rPr>
        <w:t>Behnam</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Dalfardi</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Babak</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Daneshfard</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Golnoush</w:t>
      </w:r>
      <w:proofErr w:type="spellEnd"/>
      <w:r w:rsidRPr="009D7635">
        <w:rPr>
          <w:rFonts w:ascii="Times New Roman" w:hAnsi="Times New Roman" w:cs="Times New Roman"/>
          <w:color w:val="000000" w:themeColor="text1"/>
        </w:rPr>
        <w:t xml:space="preserve"> Sadat </w:t>
      </w:r>
      <w:proofErr w:type="spellStart"/>
      <w:r w:rsidRPr="009D7635">
        <w:rPr>
          <w:rFonts w:ascii="Times New Roman" w:hAnsi="Times New Roman" w:cs="Times New Roman"/>
          <w:color w:val="000000" w:themeColor="text1"/>
        </w:rPr>
        <w:t>Mahmoudi</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Nezhad</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Johannitius</w:t>
      </w:r>
      <w:proofErr w:type="spellEnd"/>
      <w:r w:rsidRPr="009D7635">
        <w:rPr>
          <w:rFonts w:ascii="Times New Roman" w:hAnsi="Times New Roman" w:cs="Times New Roman"/>
          <w:color w:val="000000" w:themeColor="text1"/>
        </w:rPr>
        <w:t xml:space="preserve"> (809-873 AD): A Medieva</w:t>
      </w:r>
      <w:r w:rsidR="00802392" w:rsidRPr="009D7635">
        <w:rPr>
          <w:rFonts w:ascii="Times New Roman" w:hAnsi="Times New Roman" w:cs="Times New Roman"/>
          <w:color w:val="000000" w:themeColor="text1"/>
        </w:rPr>
        <w:t>l</w:t>
      </w:r>
      <w:r w:rsidRPr="009D7635">
        <w:rPr>
          <w:rFonts w:ascii="Times New Roman" w:hAnsi="Times New Roman" w:cs="Times New Roman"/>
          <w:color w:val="000000" w:themeColor="text1"/>
        </w:rPr>
        <w:t xml:space="preserve"> Physician, Translator and Author,’ </w:t>
      </w:r>
      <w:r w:rsidRPr="009D7635">
        <w:rPr>
          <w:rFonts w:ascii="Times New Roman" w:hAnsi="Times New Roman" w:cs="Times New Roman"/>
          <w:i/>
          <w:iCs/>
          <w:color w:val="000000" w:themeColor="text1"/>
        </w:rPr>
        <w:t>Journal of Medical Biography</w:t>
      </w:r>
      <w:r w:rsidRPr="009D7635">
        <w:rPr>
          <w:rFonts w:ascii="Times New Roman" w:hAnsi="Times New Roman" w:cs="Times New Roman"/>
          <w:color w:val="000000" w:themeColor="text1"/>
        </w:rPr>
        <w:t xml:space="preserve"> 24:3 (2016)</w:t>
      </w:r>
      <w:r w:rsidR="00EA5000"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328-30.</w:t>
      </w:r>
    </w:p>
  </w:footnote>
  <w:footnote w:id="24">
    <w:p w14:paraId="50549FBC" w14:textId="4BECA9A6" w:rsidR="00C6074A" w:rsidRPr="009D7635" w:rsidRDefault="00C6074A" w:rsidP="00C6074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Danielle Jacquart, ‘La reconstruction </w:t>
      </w:r>
      <w:proofErr w:type="spellStart"/>
      <w:r w:rsidRPr="009D7635">
        <w:rPr>
          <w:rFonts w:ascii="Times New Roman" w:hAnsi="Times New Roman" w:cs="Times New Roman"/>
          <w:color w:val="000000" w:themeColor="text1"/>
        </w:rPr>
        <w:t>médicale</w:t>
      </w:r>
      <w:proofErr w:type="spellEnd"/>
      <w:r w:rsidRPr="009D7635">
        <w:rPr>
          <w:rFonts w:ascii="Times New Roman" w:hAnsi="Times New Roman" w:cs="Times New Roman"/>
          <w:color w:val="000000" w:themeColor="text1"/>
        </w:rPr>
        <w:t xml:space="preserve"> de la nature de </w:t>
      </w:r>
      <w:proofErr w:type="spellStart"/>
      <w:r w:rsidRPr="009D7635">
        <w:rPr>
          <w:rFonts w:ascii="Times New Roman" w:hAnsi="Times New Roman" w:cs="Times New Roman"/>
          <w:color w:val="000000" w:themeColor="text1"/>
        </w:rPr>
        <w:t>l’homme</w:t>
      </w:r>
      <w:proofErr w:type="spellEnd"/>
      <w:r w:rsidRPr="009D7635">
        <w:rPr>
          <w:rFonts w:ascii="Times New Roman" w:hAnsi="Times New Roman" w:cs="Times New Roman"/>
          <w:color w:val="000000" w:themeColor="text1"/>
        </w:rPr>
        <w:t xml:space="preserve"> aux </w:t>
      </w:r>
      <w:proofErr w:type="spellStart"/>
      <w:r w:rsidRPr="009D7635">
        <w:rPr>
          <w:rFonts w:ascii="Times New Roman" w:hAnsi="Times New Roman" w:cs="Times New Roman"/>
          <w:color w:val="000000" w:themeColor="text1"/>
        </w:rPr>
        <w:t>XIe</w:t>
      </w:r>
      <w:proofErr w:type="spellEnd"/>
      <w:r w:rsidRPr="009D7635">
        <w:rPr>
          <w:rFonts w:ascii="Times New Roman" w:hAnsi="Times New Roman" w:cs="Times New Roman"/>
          <w:color w:val="000000" w:themeColor="text1"/>
        </w:rPr>
        <w:t xml:space="preserve"> et XIIe </w:t>
      </w:r>
      <w:proofErr w:type="spellStart"/>
      <w:r w:rsidRPr="009D7635">
        <w:rPr>
          <w:rFonts w:ascii="Times New Roman" w:hAnsi="Times New Roman" w:cs="Times New Roman"/>
          <w:color w:val="000000" w:themeColor="text1"/>
        </w:rPr>
        <w:t>siècles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 xml:space="preserve">Revue de </w:t>
      </w:r>
      <w:proofErr w:type="spellStart"/>
      <w:r w:rsidRPr="009D7635">
        <w:rPr>
          <w:rFonts w:ascii="Times New Roman" w:hAnsi="Times New Roman" w:cs="Times New Roman"/>
          <w:i/>
          <w:iCs/>
          <w:color w:val="000000" w:themeColor="text1"/>
        </w:rPr>
        <w:t>synthèse</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134:6:4 (2013)</w:t>
      </w:r>
      <w:r w:rsidR="00EA5000" w:rsidRPr="009D7635">
        <w:rPr>
          <w:rFonts w:ascii="Times New Roman" w:hAnsi="Times New Roman" w:cs="Times New Roman"/>
          <w:color w:val="000000" w:themeColor="text1"/>
        </w:rPr>
        <w:t>:</w:t>
      </w:r>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 xml:space="preserve">446. </w:t>
      </w:r>
      <w:r w:rsidR="00D501EF" w:rsidRPr="009D7635">
        <w:rPr>
          <w:rFonts w:ascii="Times New Roman" w:hAnsi="Times New Roman" w:cs="Times New Roman"/>
          <w:color w:val="000000" w:themeColor="text1"/>
        </w:rPr>
        <w:t xml:space="preserve">On the Arabic sources of Constantine, see: </w:t>
      </w:r>
      <w:r w:rsidR="00E348E1" w:rsidRPr="009D7635">
        <w:rPr>
          <w:rFonts w:ascii="Times New Roman" w:hAnsi="Times New Roman" w:cs="Times New Roman"/>
          <w:i/>
          <w:iCs/>
          <w:color w:val="000000" w:themeColor="text1"/>
        </w:rPr>
        <w:t xml:space="preserve">Constantine the African and ‘Alī </w:t>
      </w:r>
      <w:proofErr w:type="spellStart"/>
      <w:r w:rsidR="00E348E1" w:rsidRPr="009D7635">
        <w:rPr>
          <w:rFonts w:ascii="Times New Roman" w:hAnsi="Times New Roman" w:cs="Times New Roman"/>
          <w:i/>
          <w:iCs/>
          <w:color w:val="000000" w:themeColor="text1"/>
        </w:rPr>
        <w:t>ibn</w:t>
      </w:r>
      <w:proofErr w:type="spellEnd"/>
      <w:r w:rsidR="00E348E1" w:rsidRPr="009D7635">
        <w:rPr>
          <w:rFonts w:ascii="Times New Roman" w:hAnsi="Times New Roman" w:cs="Times New Roman"/>
          <w:i/>
          <w:iCs/>
          <w:color w:val="000000" w:themeColor="text1"/>
        </w:rPr>
        <w:t xml:space="preserve"> Al-‘</w:t>
      </w:r>
      <w:proofErr w:type="spellStart"/>
      <w:r w:rsidR="00E348E1" w:rsidRPr="009D7635">
        <w:rPr>
          <w:rFonts w:ascii="Times New Roman" w:hAnsi="Times New Roman" w:cs="Times New Roman"/>
          <w:i/>
          <w:iCs/>
          <w:color w:val="000000" w:themeColor="text1"/>
        </w:rPr>
        <w:t>Abbās</w:t>
      </w:r>
      <w:proofErr w:type="spellEnd"/>
      <w:r w:rsidR="00E348E1" w:rsidRPr="009D7635">
        <w:rPr>
          <w:rFonts w:ascii="Times New Roman" w:hAnsi="Times New Roman" w:cs="Times New Roman"/>
          <w:i/>
          <w:iCs/>
          <w:color w:val="000000" w:themeColor="text1"/>
        </w:rPr>
        <w:t xml:space="preserve"> Al-Ma</w:t>
      </w:r>
      <w:r w:rsidR="0081274E" w:rsidRPr="009D7635">
        <w:rPr>
          <w:rFonts w:ascii="Times New Roman" w:hAnsi="Times New Roman" w:cs="Times New Roman"/>
          <w:i/>
          <w:iCs/>
          <w:color w:val="000000" w:themeColor="text1"/>
        </w:rPr>
        <w:t>g</w:t>
      </w:r>
      <w:r w:rsidR="00E348E1" w:rsidRPr="009D7635">
        <w:rPr>
          <w:rFonts w:ascii="Times New Roman" w:hAnsi="Times New Roman" w:cs="Times New Roman"/>
          <w:i/>
          <w:iCs/>
          <w:color w:val="000000" w:themeColor="text1"/>
        </w:rPr>
        <w:t xml:space="preserve">ūsī: The </w:t>
      </w:r>
      <w:proofErr w:type="spellStart"/>
      <w:r w:rsidR="00E348E1" w:rsidRPr="009D7635">
        <w:rPr>
          <w:rFonts w:ascii="Times New Roman" w:hAnsi="Times New Roman" w:cs="Times New Roman"/>
          <w:i/>
          <w:iCs/>
          <w:color w:val="000000" w:themeColor="text1"/>
        </w:rPr>
        <w:t>Pantegni</w:t>
      </w:r>
      <w:proofErr w:type="spellEnd"/>
      <w:r w:rsidR="00E348E1" w:rsidRPr="009D7635">
        <w:rPr>
          <w:rFonts w:ascii="Times New Roman" w:hAnsi="Times New Roman" w:cs="Times New Roman"/>
          <w:i/>
          <w:iCs/>
          <w:color w:val="000000" w:themeColor="text1"/>
        </w:rPr>
        <w:t xml:space="preserve"> and Related Texts, </w:t>
      </w:r>
      <w:r w:rsidR="00E348E1" w:rsidRPr="009D7635">
        <w:rPr>
          <w:rFonts w:ascii="Times New Roman" w:hAnsi="Times New Roman" w:cs="Times New Roman"/>
          <w:color w:val="000000" w:themeColor="text1"/>
        </w:rPr>
        <w:t xml:space="preserve">ed. Charles Burnett and Danielle Jacquart (Leiden: Brill: </w:t>
      </w:r>
      <w:r w:rsidR="00CF69A2" w:rsidRPr="009D7635">
        <w:rPr>
          <w:rFonts w:ascii="Times New Roman" w:hAnsi="Times New Roman" w:cs="Times New Roman"/>
          <w:color w:val="000000" w:themeColor="text1"/>
        </w:rPr>
        <w:t>1994).</w:t>
      </w:r>
      <w:r w:rsidRPr="009D7635">
        <w:rPr>
          <w:rFonts w:ascii="Times New Roman" w:hAnsi="Times New Roman" w:cs="Times New Roman"/>
          <w:color w:val="000000" w:themeColor="text1"/>
        </w:rPr>
        <w:t xml:space="preserve"> P.O. </w:t>
      </w:r>
      <w:proofErr w:type="spellStart"/>
      <w:r w:rsidRPr="009D7635">
        <w:rPr>
          <w:rFonts w:ascii="Times New Roman" w:hAnsi="Times New Roman" w:cs="Times New Roman"/>
          <w:color w:val="000000" w:themeColor="text1"/>
        </w:rPr>
        <w:t>Kristeller</w:t>
      </w:r>
      <w:proofErr w:type="spellEnd"/>
      <w:r w:rsidRPr="009D7635">
        <w:rPr>
          <w:rFonts w:ascii="Times New Roman" w:hAnsi="Times New Roman" w:cs="Times New Roman"/>
          <w:color w:val="000000" w:themeColor="text1"/>
        </w:rPr>
        <w:t xml:space="preserve">, ‘The School of Salerno: Its Development and Its Contribution to the History of Learning,’ 495-551, in </w:t>
      </w:r>
      <w:r w:rsidRPr="009D7635">
        <w:rPr>
          <w:rFonts w:ascii="Times New Roman" w:hAnsi="Times New Roman" w:cs="Times New Roman"/>
          <w:i/>
          <w:color w:val="000000" w:themeColor="text1"/>
        </w:rPr>
        <w:t>Studies in Renaissance Thought and Letters</w:t>
      </w:r>
      <w:r w:rsidRPr="009D7635">
        <w:rPr>
          <w:rFonts w:ascii="Times New Roman" w:hAnsi="Times New Roman" w:cs="Times New Roman"/>
          <w:color w:val="000000" w:themeColor="text1"/>
        </w:rPr>
        <w:t xml:space="preserve"> (Rome, 1956), 508-10</w:t>
      </w:r>
      <w:r w:rsidR="005C0C3C" w:rsidRPr="009D7635">
        <w:rPr>
          <w:rFonts w:ascii="Times New Roman" w:hAnsi="Times New Roman" w:cs="Times New Roman"/>
          <w:color w:val="000000" w:themeColor="text1"/>
        </w:rPr>
        <w:t>.</w:t>
      </w:r>
    </w:p>
  </w:footnote>
  <w:footnote w:id="25">
    <w:p w14:paraId="4F69CB86" w14:textId="0E80C730" w:rsidR="002402D4" w:rsidRPr="009D7635" w:rsidRDefault="002402D4">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See for example </w:t>
      </w:r>
      <w:proofErr w:type="spellStart"/>
      <w:r w:rsidR="00C80F51" w:rsidRPr="009D7635">
        <w:rPr>
          <w:rFonts w:ascii="Times New Roman" w:hAnsi="Times New Roman" w:cs="Times New Roman"/>
          <w:color w:val="000000" w:themeColor="text1"/>
        </w:rPr>
        <w:t>Maurach</w:t>
      </w:r>
      <w:proofErr w:type="spellEnd"/>
      <w:r w:rsidR="00C80F51" w:rsidRPr="009D7635">
        <w:rPr>
          <w:rFonts w:ascii="Times New Roman" w:hAnsi="Times New Roman" w:cs="Times New Roman"/>
          <w:color w:val="000000" w:themeColor="text1"/>
        </w:rPr>
        <w:t>, ‘</w:t>
      </w:r>
      <w:proofErr w:type="spellStart"/>
      <w:r w:rsidR="00C80F51" w:rsidRPr="009D7635">
        <w:rPr>
          <w:rFonts w:ascii="Times New Roman" w:hAnsi="Times New Roman" w:cs="Times New Roman"/>
          <w:color w:val="000000" w:themeColor="text1"/>
        </w:rPr>
        <w:t>Johannicius</w:t>
      </w:r>
      <w:proofErr w:type="spellEnd"/>
      <w:r w:rsidR="00C80F51"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sections 12-15, pp. 153-4</w:t>
      </w:r>
      <w:r w:rsidR="00F475FC" w:rsidRPr="009D7635">
        <w:rPr>
          <w:rFonts w:ascii="Times New Roman" w:hAnsi="Times New Roman" w:cs="Times New Roman"/>
          <w:color w:val="000000" w:themeColor="text1"/>
        </w:rPr>
        <w:t>.</w:t>
      </w:r>
    </w:p>
  </w:footnote>
  <w:footnote w:id="26">
    <w:p w14:paraId="1FFDD29A" w14:textId="16B0B72F"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M.D. </w:t>
      </w:r>
      <w:proofErr w:type="spellStart"/>
      <w:r w:rsidRPr="009D7635">
        <w:rPr>
          <w:rFonts w:ascii="Times New Roman" w:hAnsi="Times New Roman" w:cs="Times New Roman"/>
          <w:color w:val="000000" w:themeColor="text1"/>
        </w:rPr>
        <w:t>Chenu</w:t>
      </w:r>
      <w:proofErr w:type="spellEnd"/>
      <w:r w:rsidRPr="009D7635">
        <w:rPr>
          <w:rFonts w:ascii="Times New Roman" w:hAnsi="Times New Roman" w:cs="Times New Roman"/>
          <w:color w:val="000000" w:themeColor="text1"/>
        </w:rPr>
        <w:t>, ‘</w:t>
      </w:r>
      <w:r w:rsidRPr="009D7635">
        <w:rPr>
          <w:rFonts w:ascii="Times New Roman" w:hAnsi="Times New Roman" w:cs="Times New Roman"/>
          <w:i/>
          <w:color w:val="000000" w:themeColor="text1"/>
        </w:rPr>
        <w:t>Spiritus:</w:t>
      </w:r>
      <w:r w:rsidRPr="009D7635">
        <w:rPr>
          <w:rFonts w:ascii="Times New Roman" w:hAnsi="Times New Roman" w:cs="Times New Roman"/>
          <w:color w:val="000000" w:themeColor="text1"/>
        </w:rPr>
        <w:t xml:space="preserve"> le </w:t>
      </w:r>
      <w:proofErr w:type="spellStart"/>
      <w:r w:rsidRPr="009D7635">
        <w:rPr>
          <w:rFonts w:ascii="Times New Roman" w:hAnsi="Times New Roman" w:cs="Times New Roman"/>
          <w:color w:val="000000" w:themeColor="text1"/>
        </w:rPr>
        <w:t>vocabulaire</w:t>
      </w:r>
      <w:proofErr w:type="spellEnd"/>
      <w:r w:rsidRPr="009D7635">
        <w:rPr>
          <w:rFonts w:ascii="Times New Roman" w:hAnsi="Times New Roman" w:cs="Times New Roman"/>
          <w:color w:val="000000" w:themeColor="text1"/>
        </w:rPr>
        <w:t xml:space="preserve"> de </w:t>
      </w:r>
      <w:proofErr w:type="spellStart"/>
      <w:r w:rsidRPr="009D7635">
        <w:rPr>
          <w:rFonts w:ascii="Times New Roman" w:hAnsi="Times New Roman" w:cs="Times New Roman"/>
          <w:color w:val="000000" w:themeColor="text1"/>
        </w:rPr>
        <w:t>l’</w:t>
      </w:r>
      <w:r w:rsidR="00175D7E" w:rsidRPr="009D7635">
        <w:rPr>
          <w:rFonts w:ascii="Times New Roman" w:hAnsi="Times New Roman" w:cs="Times New Roman"/>
          <w:color w:val="000000" w:themeColor="text1"/>
        </w:rPr>
        <w:t>â</w:t>
      </w:r>
      <w:r w:rsidRPr="009D7635">
        <w:rPr>
          <w:rFonts w:ascii="Times New Roman" w:hAnsi="Times New Roman" w:cs="Times New Roman"/>
          <w:color w:val="000000" w:themeColor="text1"/>
        </w:rPr>
        <w:t>me</w:t>
      </w:r>
      <w:proofErr w:type="spellEnd"/>
      <w:r w:rsidRPr="009D7635">
        <w:rPr>
          <w:rFonts w:ascii="Times New Roman" w:hAnsi="Times New Roman" w:cs="Times New Roman"/>
          <w:color w:val="000000" w:themeColor="text1"/>
        </w:rPr>
        <w:t xml:space="preserve"> au XIIe siècle,’ </w:t>
      </w:r>
      <w:r w:rsidRPr="009D7635">
        <w:rPr>
          <w:rFonts w:ascii="Times New Roman" w:hAnsi="Times New Roman" w:cs="Times New Roman"/>
          <w:i/>
          <w:color w:val="000000" w:themeColor="text1"/>
        </w:rPr>
        <w:t xml:space="preserve">Revue des sciences </w:t>
      </w:r>
      <w:proofErr w:type="spellStart"/>
      <w:r w:rsidRPr="009D7635">
        <w:rPr>
          <w:rFonts w:ascii="Times New Roman" w:hAnsi="Times New Roman" w:cs="Times New Roman"/>
          <w:i/>
          <w:color w:val="000000" w:themeColor="text1"/>
        </w:rPr>
        <w:t>philosophiques</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théologiques</w:t>
      </w:r>
      <w:proofErr w:type="spellEnd"/>
      <w:r w:rsidRPr="009D7635">
        <w:rPr>
          <w:rFonts w:ascii="Times New Roman" w:hAnsi="Times New Roman" w:cs="Times New Roman"/>
          <w:color w:val="000000" w:themeColor="text1"/>
        </w:rPr>
        <w:t xml:space="preserve"> 41 (1957)</w:t>
      </w:r>
      <w:r w:rsidR="00EA5000" w:rsidRPr="009D7635">
        <w:rPr>
          <w:rFonts w:ascii="Times New Roman" w:hAnsi="Times New Roman" w:cs="Times New Roman"/>
          <w:color w:val="000000" w:themeColor="text1"/>
        </w:rPr>
        <w:t>: 2</w:t>
      </w:r>
      <w:r w:rsidRPr="009D7635">
        <w:rPr>
          <w:rFonts w:ascii="Times New Roman" w:hAnsi="Times New Roman" w:cs="Times New Roman"/>
          <w:color w:val="000000" w:themeColor="text1"/>
        </w:rPr>
        <w:t xml:space="preserve">09-32. </w:t>
      </w:r>
    </w:p>
  </w:footnote>
  <w:footnote w:id="27">
    <w:p w14:paraId="5D6B6B80" w14:textId="6A0780B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Nemesius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On the Nature of Man, </w:t>
      </w:r>
      <w:r w:rsidRPr="009D7635">
        <w:rPr>
          <w:rFonts w:ascii="Times New Roman" w:hAnsi="Times New Roman" w:cs="Times New Roman"/>
          <w:color w:val="000000" w:themeColor="text1"/>
        </w:rPr>
        <w:t xml:space="preserve">trans. and introduction and notes by R.W. </w:t>
      </w:r>
      <w:proofErr w:type="spellStart"/>
      <w:r w:rsidRPr="009D7635">
        <w:rPr>
          <w:rFonts w:ascii="Times New Roman" w:hAnsi="Times New Roman" w:cs="Times New Roman"/>
          <w:color w:val="000000" w:themeColor="text1"/>
        </w:rPr>
        <w:t>Sharples</w:t>
      </w:r>
      <w:proofErr w:type="spellEnd"/>
      <w:r w:rsidRPr="009D7635">
        <w:rPr>
          <w:rFonts w:ascii="Times New Roman" w:hAnsi="Times New Roman" w:cs="Times New Roman"/>
          <w:color w:val="000000" w:themeColor="text1"/>
        </w:rPr>
        <w:t xml:space="preserve"> and P.J. Van der </w:t>
      </w:r>
      <w:proofErr w:type="spellStart"/>
      <w:r w:rsidRPr="009D7635">
        <w:rPr>
          <w:rFonts w:ascii="Times New Roman" w:hAnsi="Times New Roman" w:cs="Times New Roman"/>
          <w:color w:val="000000" w:themeColor="text1"/>
        </w:rPr>
        <w:t>Eijk</w:t>
      </w:r>
      <w:proofErr w:type="spellEnd"/>
      <w:r w:rsidRPr="009D7635">
        <w:rPr>
          <w:rFonts w:ascii="Times New Roman" w:hAnsi="Times New Roman" w:cs="Times New Roman"/>
          <w:color w:val="000000" w:themeColor="text1"/>
        </w:rPr>
        <w:t xml:space="preserve"> (Liverpool: Liverpool University Press, 2008), 12, 24. </w:t>
      </w:r>
      <w:r w:rsidRPr="009D7635">
        <w:rPr>
          <w:rFonts w:ascii="Times New Roman" w:hAnsi="Times New Roman" w:cs="Times New Roman"/>
          <w:color w:val="000000" w:themeColor="text1"/>
          <w:lang w:val="en-US"/>
        </w:rPr>
        <w:t xml:space="preserve">E. </w:t>
      </w:r>
      <w:proofErr w:type="spellStart"/>
      <w:r w:rsidRPr="009D7635">
        <w:rPr>
          <w:rFonts w:ascii="Times New Roman" w:hAnsi="Times New Roman" w:cs="Times New Roman"/>
          <w:color w:val="000000" w:themeColor="text1"/>
          <w:lang w:val="en-US"/>
        </w:rPr>
        <w:t>Dobler</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i/>
          <w:iCs/>
          <w:color w:val="000000" w:themeColor="text1"/>
          <w:lang w:val="en-US"/>
        </w:rPr>
        <w:t>Nemesius</w:t>
      </w:r>
      <w:proofErr w:type="spellEnd"/>
      <w:r w:rsidRPr="009D7635">
        <w:rPr>
          <w:rFonts w:ascii="Times New Roman" w:hAnsi="Times New Roman" w:cs="Times New Roman"/>
          <w:i/>
          <w:iCs/>
          <w:color w:val="000000" w:themeColor="text1"/>
          <w:lang w:val="en-US"/>
        </w:rPr>
        <w:t xml:space="preserve"> von </w:t>
      </w:r>
      <w:proofErr w:type="spellStart"/>
      <w:r w:rsidRPr="009D7635">
        <w:rPr>
          <w:rFonts w:ascii="Times New Roman" w:hAnsi="Times New Roman" w:cs="Times New Roman"/>
          <w:i/>
          <w:iCs/>
          <w:color w:val="000000" w:themeColor="text1"/>
          <w:lang w:val="en-US"/>
        </w:rPr>
        <w:t>Emesa</w:t>
      </w:r>
      <w:proofErr w:type="spellEnd"/>
      <w:r w:rsidRPr="009D7635">
        <w:rPr>
          <w:rFonts w:ascii="Times New Roman" w:hAnsi="Times New Roman" w:cs="Times New Roman"/>
          <w:i/>
          <w:iCs/>
          <w:color w:val="000000" w:themeColor="text1"/>
          <w:lang w:val="en-US"/>
        </w:rPr>
        <w:t xml:space="preserve"> und die </w:t>
      </w:r>
      <w:proofErr w:type="spellStart"/>
      <w:r w:rsidRPr="009D7635">
        <w:rPr>
          <w:rFonts w:ascii="Times New Roman" w:hAnsi="Times New Roman" w:cs="Times New Roman"/>
          <w:i/>
          <w:iCs/>
          <w:color w:val="000000" w:themeColor="text1"/>
          <w:lang w:val="en-US"/>
        </w:rPr>
        <w:t>Psychologie</w:t>
      </w:r>
      <w:proofErr w:type="spellEnd"/>
      <w:r w:rsidRPr="009D7635">
        <w:rPr>
          <w:rFonts w:ascii="Times New Roman" w:hAnsi="Times New Roman" w:cs="Times New Roman"/>
          <w:i/>
          <w:iCs/>
          <w:color w:val="000000" w:themeColor="text1"/>
          <w:lang w:val="en-US"/>
        </w:rPr>
        <w:t xml:space="preserve"> des </w:t>
      </w:r>
      <w:proofErr w:type="spellStart"/>
      <w:r w:rsidRPr="009D7635">
        <w:rPr>
          <w:rFonts w:ascii="Times New Roman" w:hAnsi="Times New Roman" w:cs="Times New Roman"/>
          <w:i/>
          <w:iCs/>
          <w:color w:val="000000" w:themeColor="text1"/>
          <w:lang w:val="en-US"/>
        </w:rPr>
        <w:t>men</w:t>
      </w:r>
      <w:r w:rsidR="00630917" w:rsidRPr="009D7635">
        <w:rPr>
          <w:rFonts w:ascii="Times New Roman" w:hAnsi="Times New Roman" w:cs="Times New Roman"/>
          <w:i/>
          <w:iCs/>
          <w:color w:val="000000" w:themeColor="text1"/>
          <w:lang w:val="en-US"/>
        </w:rPr>
        <w:t>s</w:t>
      </w:r>
      <w:r w:rsidRPr="009D7635">
        <w:rPr>
          <w:rFonts w:ascii="Times New Roman" w:hAnsi="Times New Roman" w:cs="Times New Roman"/>
          <w:i/>
          <w:iCs/>
          <w:color w:val="000000" w:themeColor="text1"/>
          <w:lang w:val="en-US"/>
        </w:rPr>
        <w:t>chlichen</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Aktes</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bei</w:t>
      </w:r>
      <w:proofErr w:type="spellEnd"/>
      <w:r w:rsidRPr="009D7635">
        <w:rPr>
          <w:rFonts w:ascii="Times New Roman" w:hAnsi="Times New Roman" w:cs="Times New Roman"/>
          <w:i/>
          <w:iCs/>
          <w:color w:val="000000" w:themeColor="text1"/>
          <w:lang w:val="en-US"/>
        </w:rPr>
        <w:t xml:space="preserve"> Thoma</w:t>
      </w:r>
      <w:r w:rsidR="00614ABA" w:rsidRPr="009D7635">
        <w:rPr>
          <w:rFonts w:ascii="Times New Roman" w:hAnsi="Times New Roman" w:cs="Times New Roman"/>
          <w:i/>
          <w:iCs/>
          <w:color w:val="000000" w:themeColor="text1"/>
          <w:lang w:val="en-US"/>
        </w:rPr>
        <w:t>s</w:t>
      </w:r>
      <w:r w:rsidRPr="009D7635">
        <w:rPr>
          <w:rFonts w:ascii="Times New Roman" w:hAnsi="Times New Roman" w:cs="Times New Roman"/>
          <w:i/>
          <w:iCs/>
          <w:color w:val="000000" w:themeColor="text1"/>
          <w:lang w:val="en-US"/>
        </w:rPr>
        <w:t xml:space="preserve"> von </w:t>
      </w:r>
      <w:proofErr w:type="spellStart"/>
      <w:r w:rsidRPr="009D7635">
        <w:rPr>
          <w:rFonts w:ascii="Times New Roman" w:hAnsi="Times New Roman" w:cs="Times New Roman"/>
          <w:i/>
          <w:iCs/>
          <w:color w:val="000000" w:themeColor="text1"/>
          <w:lang w:val="en-US"/>
        </w:rPr>
        <w:t>Aquin</w:t>
      </w:r>
      <w:proofErr w:type="spellEnd"/>
      <w:r w:rsidR="00802392"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i/>
          <w:iCs/>
          <w:color w:val="000000" w:themeColor="text1"/>
          <w:lang w:val="en-US"/>
        </w:rPr>
        <w:t xml:space="preserve">Eine </w:t>
      </w:r>
      <w:proofErr w:type="spellStart"/>
      <w:r w:rsidRPr="009D7635">
        <w:rPr>
          <w:rFonts w:ascii="Times New Roman" w:hAnsi="Times New Roman" w:cs="Times New Roman"/>
          <w:i/>
          <w:iCs/>
          <w:color w:val="000000" w:themeColor="text1"/>
          <w:lang w:val="en-US"/>
        </w:rPr>
        <w:t>quellenanalytische</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Studie</w:t>
      </w:r>
      <w:proofErr w:type="spellEnd"/>
      <w:r w:rsidRPr="009D7635">
        <w:rPr>
          <w:rFonts w:ascii="Times New Roman" w:hAnsi="Times New Roman" w:cs="Times New Roman"/>
          <w:color w:val="000000" w:themeColor="text1"/>
          <w:lang w:val="en-US"/>
        </w:rPr>
        <w:t xml:space="preserve"> (Luzern, </w:t>
      </w:r>
      <w:proofErr w:type="spellStart"/>
      <w:r w:rsidRPr="009D7635">
        <w:rPr>
          <w:rFonts w:ascii="Times New Roman" w:hAnsi="Times New Roman" w:cs="Times New Roman"/>
          <w:color w:val="000000" w:themeColor="text1"/>
          <w:lang w:val="en-US"/>
        </w:rPr>
        <w:t>Werthenstein</w:t>
      </w:r>
      <w:proofErr w:type="spellEnd"/>
      <w:r w:rsidRPr="009D7635">
        <w:rPr>
          <w:rFonts w:ascii="Times New Roman" w:hAnsi="Times New Roman" w:cs="Times New Roman"/>
          <w:color w:val="000000" w:themeColor="text1"/>
          <w:lang w:val="en-US"/>
        </w:rPr>
        <w:t xml:space="preserve">, 1950); E. </w:t>
      </w:r>
      <w:proofErr w:type="spellStart"/>
      <w:r w:rsidRPr="009D7635">
        <w:rPr>
          <w:rFonts w:ascii="Times New Roman" w:hAnsi="Times New Roman" w:cs="Times New Roman"/>
          <w:color w:val="000000" w:themeColor="text1"/>
          <w:lang w:val="en-US"/>
        </w:rPr>
        <w:t>Dobler</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i/>
          <w:iCs/>
          <w:color w:val="000000" w:themeColor="text1"/>
          <w:lang w:val="en-US"/>
        </w:rPr>
        <w:t>Indirekte</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Nemesiuszit</w:t>
      </w:r>
      <w:r w:rsidR="006C07D4" w:rsidRPr="009D7635">
        <w:rPr>
          <w:rFonts w:ascii="Times New Roman" w:hAnsi="Times New Roman" w:cs="Times New Roman"/>
          <w:i/>
          <w:iCs/>
          <w:color w:val="000000" w:themeColor="text1"/>
          <w:lang w:val="en-US"/>
        </w:rPr>
        <w:t>a</w:t>
      </w:r>
      <w:r w:rsidRPr="009D7635">
        <w:rPr>
          <w:rFonts w:ascii="Times New Roman" w:hAnsi="Times New Roman" w:cs="Times New Roman"/>
          <w:i/>
          <w:iCs/>
          <w:color w:val="000000" w:themeColor="text1"/>
          <w:lang w:val="en-US"/>
        </w:rPr>
        <w:t>te</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bei</w:t>
      </w:r>
      <w:proofErr w:type="spellEnd"/>
      <w:r w:rsidRPr="009D7635">
        <w:rPr>
          <w:rFonts w:ascii="Times New Roman" w:hAnsi="Times New Roman" w:cs="Times New Roman"/>
          <w:i/>
          <w:iCs/>
          <w:color w:val="000000" w:themeColor="text1"/>
          <w:lang w:val="en-US"/>
        </w:rPr>
        <w:t xml:space="preserve"> Thoma</w:t>
      </w:r>
      <w:r w:rsidR="00A60B26" w:rsidRPr="009D7635">
        <w:rPr>
          <w:rFonts w:ascii="Times New Roman" w:hAnsi="Times New Roman" w:cs="Times New Roman"/>
          <w:i/>
          <w:iCs/>
          <w:color w:val="000000" w:themeColor="text1"/>
          <w:lang w:val="en-US"/>
        </w:rPr>
        <w:t>s</w:t>
      </w:r>
      <w:r w:rsidRPr="009D7635">
        <w:rPr>
          <w:rFonts w:ascii="Times New Roman" w:hAnsi="Times New Roman" w:cs="Times New Roman"/>
          <w:i/>
          <w:iCs/>
          <w:color w:val="000000" w:themeColor="text1"/>
          <w:lang w:val="en-US"/>
        </w:rPr>
        <w:t xml:space="preserve"> von </w:t>
      </w:r>
      <w:proofErr w:type="spellStart"/>
      <w:r w:rsidRPr="009D7635">
        <w:rPr>
          <w:rFonts w:ascii="Times New Roman" w:hAnsi="Times New Roman" w:cs="Times New Roman"/>
          <w:i/>
          <w:iCs/>
          <w:color w:val="000000" w:themeColor="text1"/>
          <w:lang w:val="en-US"/>
        </w:rPr>
        <w:t>Aquin</w:t>
      </w:r>
      <w:proofErr w:type="spellEnd"/>
      <w:r w:rsidR="00802392" w:rsidRPr="009D7635">
        <w:rPr>
          <w:rFonts w:ascii="Times New Roman" w:hAnsi="Times New Roman" w:cs="Times New Roman"/>
          <w:i/>
          <w:iCs/>
          <w:color w:val="000000" w:themeColor="text1"/>
          <w:lang w:val="en-US"/>
        </w:rPr>
        <w:t>:</w:t>
      </w:r>
      <w:r w:rsidRPr="009D7635">
        <w:rPr>
          <w:rFonts w:ascii="Times New Roman" w:hAnsi="Times New Roman" w:cs="Times New Roman"/>
          <w:i/>
          <w:iCs/>
          <w:color w:val="000000" w:themeColor="text1"/>
          <w:lang w:val="en-US"/>
        </w:rPr>
        <w:t xml:space="preserve"> Johannes von </w:t>
      </w:r>
      <w:proofErr w:type="spellStart"/>
      <w:r w:rsidRPr="009D7635">
        <w:rPr>
          <w:rFonts w:ascii="Times New Roman" w:hAnsi="Times New Roman" w:cs="Times New Roman"/>
          <w:i/>
          <w:iCs/>
          <w:color w:val="000000" w:themeColor="text1"/>
          <w:lang w:val="en-US"/>
        </w:rPr>
        <w:t>Damaskus</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als</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Vermittler</w:t>
      </w:r>
      <w:proofErr w:type="spellEnd"/>
      <w:r w:rsidRPr="009D7635">
        <w:rPr>
          <w:rFonts w:ascii="Times New Roman" w:hAnsi="Times New Roman" w:cs="Times New Roman"/>
          <w:i/>
          <w:iCs/>
          <w:color w:val="000000" w:themeColor="text1"/>
          <w:lang w:val="en-US"/>
        </w:rPr>
        <w:t xml:space="preserve"> von </w:t>
      </w:r>
      <w:proofErr w:type="spellStart"/>
      <w:r w:rsidRPr="009D7635">
        <w:rPr>
          <w:rFonts w:ascii="Times New Roman" w:hAnsi="Times New Roman" w:cs="Times New Roman"/>
          <w:i/>
          <w:iCs/>
          <w:color w:val="000000" w:themeColor="text1"/>
          <w:lang w:val="en-US"/>
        </w:rPr>
        <w:t>Nemesiustexten</w:t>
      </w:r>
      <w:proofErr w:type="spellEnd"/>
      <w:r w:rsidRPr="009D7635">
        <w:rPr>
          <w:rFonts w:ascii="Times New Roman" w:hAnsi="Times New Roman" w:cs="Times New Roman"/>
          <w:color w:val="000000" w:themeColor="text1"/>
          <w:lang w:val="en-US"/>
        </w:rPr>
        <w:t xml:space="preserve"> (Freiburg, </w:t>
      </w:r>
      <w:proofErr w:type="spellStart"/>
      <w:r w:rsidRPr="009D7635">
        <w:rPr>
          <w:rFonts w:ascii="Times New Roman" w:hAnsi="Times New Roman" w:cs="Times New Roman"/>
          <w:color w:val="000000" w:themeColor="text1"/>
          <w:lang w:val="en-US"/>
        </w:rPr>
        <w:t>Universitätsverlag</w:t>
      </w:r>
      <w:proofErr w:type="spellEnd"/>
      <w:r w:rsidRPr="009D7635">
        <w:rPr>
          <w:rFonts w:ascii="Times New Roman" w:hAnsi="Times New Roman" w:cs="Times New Roman"/>
          <w:color w:val="000000" w:themeColor="text1"/>
          <w:lang w:val="en-US"/>
        </w:rPr>
        <w:t>, 2002).</w:t>
      </w:r>
    </w:p>
  </w:footnote>
  <w:footnote w:id="28">
    <w:p w14:paraId="7D080156" w14:textId="3B09B723" w:rsidR="00B93ED5" w:rsidRPr="009D7635" w:rsidRDefault="00B93ED5" w:rsidP="006A5A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Ignatius Brady, ‘</w:t>
      </w:r>
      <w:proofErr w:type="spellStart"/>
      <w:r w:rsidRPr="009D7635">
        <w:rPr>
          <w:rFonts w:ascii="Times New Roman" w:hAnsi="Times New Roman" w:cs="Times New Roman"/>
          <w:color w:val="000000" w:themeColor="text1"/>
          <w:sz w:val="20"/>
          <w:szCs w:val="20"/>
        </w:rPr>
        <w:t>Remegius-Nemesius</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Franciscan Studies </w:t>
      </w:r>
      <w:r w:rsidRPr="009D7635">
        <w:rPr>
          <w:rFonts w:ascii="Times New Roman" w:hAnsi="Times New Roman" w:cs="Times New Roman"/>
          <w:color w:val="000000" w:themeColor="text1"/>
          <w:sz w:val="20"/>
          <w:szCs w:val="20"/>
        </w:rPr>
        <w:t xml:space="preserve">8 (1948), 275-84. </w:t>
      </w:r>
    </w:p>
  </w:footnote>
  <w:footnote w:id="29">
    <w:p w14:paraId="37283967" w14:textId="55AA4AAE"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Translation of </w:t>
      </w:r>
      <w:proofErr w:type="spellStart"/>
      <w:r w:rsidRPr="009D7635">
        <w:rPr>
          <w:rFonts w:ascii="Times New Roman" w:hAnsi="Times New Roman" w:cs="Times New Roman"/>
          <w:color w:val="000000" w:themeColor="text1"/>
        </w:rPr>
        <w:t>Alfanus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Nemesii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Episcopi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Premnon</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Physicon</w:t>
      </w:r>
      <w:proofErr w:type="spellEnd"/>
      <w:r w:rsidRPr="009D7635">
        <w:rPr>
          <w:rFonts w:ascii="Times New Roman" w:hAnsi="Times New Roman" w:cs="Times New Roman"/>
          <w:color w:val="000000" w:themeColor="text1"/>
        </w:rPr>
        <w:t xml:space="preserve">, ed. C. </w:t>
      </w:r>
      <w:proofErr w:type="spellStart"/>
      <w:r w:rsidRPr="009D7635">
        <w:rPr>
          <w:rFonts w:ascii="Times New Roman" w:hAnsi="Times New Roman" w:cs="Times New Roman"/>
          <w:color w:val="000000" w:themeColor="text1"/>
        </w:rPr>
        <w:t>Burkhard</w:t>
      </w:r>
      <w:proofErr w:type="spellEnd"/>
      <w:r w:rsidRPr="009D7635">
        <w:rPr>
          <w:rFonts w:ascii="Times New Roman" w:hAnsi="Times New Roman" w:cs="Times New Roman"/>
          <w:color w:val="000000" w:themeColor="text1"/>
        </w:rPr>
        <w:t xml:space="preserve"> (Leipzig</w:t>
      </w:r>
      <w:r w:rsidR="00B42D93" w:rsidRPr="009D7635">
        <w:rPr>
          <w:rFonts w:ascii="Times New Roman" w:hAnsi="Times New Roman" w:cs="Times New Roman"/>
          <w:color w:val="000000" w:themeColor="text1"/>
        </w:rPr>
        <w:t xml:space="preserve">: </w:t>
      </w:r>
      <w:proofErr w:type="spellStart"/>
      <w:r w:rsidR="00B42D93" w:rsidRPr="009D7635">
        <w:rPr>
          <w:rFonts w:ascii="Times New Roman" w:hAnsi="Times New Roman" w:cs="Times New Roman"/>
          <w:color w:val="000000" w:themeColor="text1"/>
        </w:rPr>
        <w:t>Teubner</w:t>
      </w:r>
      <w:proofErr w:type="spellEnd"/>
      <w:r w:rsidR="00B42D93"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1917); </w:t>
      </w:r>
      <w:proofErr w:type="spellStart"/>
      <w:r w:rsidRPr="009D7635">
        <w:rPr>
          <w:rFonts w:ascii="Times New Roman" w:hAnsi="Times New Roman" w:cs="Times New Roman"/>
          <w:color w:val="000000" w:themeColor="text1"/>
        </w:rPr>
        <w:t>Burgundio</w:t>
      </w:r>
      <w:proofErr w:type="spellEnd"/>
      <w:r w:rsidRPr="009D7635">
        <w:rPr>
          <w:rFonts w:ascii="Times New Roman" w:hAnsi="Times New Roman" w:cs="Times New Roman"/>
          <w:color w:val="000000" w:themeColor="text1"/>
        </w:rPr>
        <w:t xml:space="preserve"> of Pisa, </w:t>
      </w:r>
      <w:proofErr w:type="spellStart"/>
      <w:r w:rsidRPr="009D7635">
        <w:rPr>
          <w:rFonts w:ascii="Times New Roman" w:hAnsi="Times New Roman" w:cs="Times New Roman"/>
          <w:i/>
          <w:color w:val="000000" w:themeColor="text1"/>
        </w:rPr>
        <w:t>Gregorii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Nysseni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Nemesii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Emesini</w:t>
      </w:r>
      <w:proofErr w:type="spellEnd"/>
      <w:r w:rsidRPr="009D7635">
        <w:rPr>
          <w:rFonts w:ascii="Times New Roman" w:hAnsi="Times New Roman" w:cs="Times New Roman"/>
          <w:i/>
          <w:color w:val="000000" w:themeColor="text1"/>
        </w:rPr>
        <w:t xml:space="preserve">) Peri </w:t>
      </w:r>
      <w:proofErr w:type="spellStart"/>
      <w:r w:rsidRPr="009D7635">
        <w:rPr>
          <w:rFonts w:ascii="Times New Roman" w:hAnsi="Times New Roman" w:cs="Times New Roman"/>
          <w:i/>
          <w:color w:val="000000" w:themeColor="text1"/>
        </w:rPr>
        <w:t>Physeos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Anthropou</w:t>
      </w:r>
      <w:proofErr w:type="spellEnd"/>
      <w:r w:rsidRPr="009D7635">
        <w:rPr>
          <w:rFonts w:ascii="Times New Roman" w:hAnsi="Times New Roman" w:cs="Times New Roman"/>
          <w:i/>
          <w:color w:val="000000" w:themeColor="text1"/>
        </w:rPr>
        <w:t xml:space="preserve">, liber a </w:t>
      </w:r>
      <w:proofErr w:type="spellStart"/>
      <w:r w:rsidRPr="009D7635">
        <w:rPr>
          <w:rFonts w:ascii="Times New Roman" w:hAnsi="Times New Roman" w:cs="Times New Roman"/>
          <w:i/>
          <w:color w:val="000000" w:themeColor="text1"/>
        </w:rPr>
        <w:t>Burgundio</w:t>
      </w:r>
      <w:proofErr w:type="spellEnd"/>
      <w:r w:rsidRPr="009D7635">
        <w:rPr>
          <w:rFonts w:ascii="Times New Roman" w:hAnsi="Times New Roman" w:cs="Times New Roman"/>
          <w:i/>
          <w:color w:val="000000" w:themeColor="text1"/>
        </w:rPr>
        <w:t xml:space="preserve"> in </w:t>
      </w:r>
      <w:proofErr w:type="spellStart"/>
      <w:r w:rsidRPr="009D7635">
        <w:rPr>
          <w:rFonts w:ascii="Times New Roman" w:hAnsi="Times New Roman" w:cs="Times New Roman"/>
          <w:i/>
          <w:color w:val="000000" w:themeColor="text1"/>
        </w:rPr>
        <w:t>latinam</w:t>
      </w:r>
      <w:proofErr w:type="spellEnd"/>
      <w:r w:rsidRPr="009D7635">
        <w:rPr>
          <w:rFonts w:ascii="Times New Roman" w:hAnsi="Times New Roman" w:cs="Times New Roman"/>
          <w:color w:val="000000" w:themeColor="text1"/>
        </w:rPr>
        <w:t xml:space="preserve">, ed. C. </w:t>
      </w:r>
      <w:proofErr w:type="spellStart"/>
      <w:r w:rsidRPr="009D7635">
        <w:rPr>
          <w:rFonts w:ascii="Times New Roman" w:hAnsi="Times New Roman" w:cs="Times New Roman"/>
          <w:color w:val="000000" w:themeColor="text1"/>
        </w:rPr>
        <w:t>Burkhard</w:t>
      </w:r>
      <w:proofErr w:type="spellEnd"/>
      <w:r w:rsidRPr="009D7635">
        <w:rPr>
          <w:rFonts w:ascii="Times New Roman" w:hAnsi="Times New Roman" w:cs="Times New Roman"/>
          <w:color w:val="000000" w:themeColor="text1"/>
        </w:rPr>
        <w:t xml:space="preserve"> (Vienna, 1981). </w:t>
      </w:r>
      <w:r w:rsidR="00B92840" w:rsidRPr="009D7635">
        <w:rPr>
          <w:rFonts w:ascii="Times New Roman" w:hAnsi="Times New Roman" w:cs="Times New Roman"/>
        </w:rPr>
        <w:t xml:space="preserve">See also </w:t>
      </w:r>
      <w:proofErr w:type="spellStart"/>
      <w:r w:rsidR="00B92840" w:rsidRPr="009D7635">
        <w:rPr>
          <w:rFonts w:ascii="Times New Roman" w:hAnsi="Times New Roman" w:cs="Times New Roman"/>
          <w:i/>
          <w:iCs/>
        </w:rPr>
        <w:t>Gregorius</w:t>
      </w:r>
      <w:proofErr w:type="spellEnd"/>
      <w:r w:rsidR="00B92840" w:rsidRPr="009D7635">
        <w:rPr>
          <w:rFonts w:ascii="Times New Roman" w:hAnsi="Times New Roman" w:cs="Times New Roman"/>
          <w:i/>
          <w:iCs/>
        </w:rPr>
        <w:t xml:space="preserve"> </w:t>
      </w:r>
      <w:proofErr w:type="spellStart"/>
      <w:r w:rsidR="00B92840" w:rsidRPr="009D7635">
        <w:rPr>
          <w:rFonts w:ascii="Times New Roman" w:hAnsi="Times New Roman" w:cs="Times New Roman"/>
          <w:i/>
          <w:iCs/>
        </w:rPr>
        <w:t>Nyssenus</w:t>
      </w:r>
      <w:proofErr w:type="spellEnd"/>
      <w:r w:rsidR="00B92840" w:rsidRPr="009D7635">
        <w:rPr>
          <w:rFonts w:ascii="Times New Roman" w:hAnsi="Times New Roman" w:cs="Times New Roman"/>
          <w:i/>
          <w:iCs/>
        </w:rPr>
        <w:t xml:space="preserve"> </w:t>
      </w:r>
      <w:proofErr w:type="spellStart"/>
      <w:r w:rsidR="00B92840" w:rsidRPr="009D7635">
        <w:rPr>
          <w:rFonts w:ascii="Times New Roman" w:hAnsi="Times New Roman" w:cs="Times New Roman"/>
          <w:i/>
          <w:iCs/>
        </w:rPr>
        <w:t>Latinus</w:t>
      </w:r>
      <w:proofErr w:type="spellEnd"/>
      <w:r w:rsidR="00B92840" w:rsidRPr="009D7635">
        <w:rPr>
          <w:rFonts w:ascii="Times New Roman" w:hAnsi="Times New Roman" w:cs="Times New Roman"/>
          <w:i/>
          <w:iCs/>
        </w:rPr>
        <w:t>,</w:t>
      </w:r>
      <w:r w:rsidR="00B92840" w:rsidRPr="009D7635">
        <w:rPr>
          <w:rFonts w:ascii="Times New Roman" w:hAnsi="Times New Roman" w:cs="Times New Roman"/>
        </w:rPr>
        <w:t xml:space="preserve"> ed. G. Verbeke (Leiden: Brill, 1975). </w:t>
      </w:r>
      <w:r w:rsidRPr="009D7635">
        <w:rPr>
          <w:rFonts w:ascii="Times New Roman" w:hAnsi="Times New Roman" w:cs="Times New Roman"/>
          <w:color w:val="000000" w:themeColor="text1"/>
        </w:rPr>
        <w:t xml:space="preserve">On </w:t>
      </w:r>
      <w:proofErr w:type="spellStart"/>
      <w:r w:rsidRPr="009D7635">
        <w:rPr>
          <w:rFonts w:ascii="Times New Roman" w:hAnsi="Times New Roman" w:cs="Times New Roman"/>
          <w:color w:val="000000" w:themeColor="text1"/>
        </w:rPr>
        <w:t>Burgundio’s</w:t>
      </w:r>
      <w:proofErr w:type="spellEnd"/>
      <w:r w:rsidRPr="009D7635">
        <w:rPr>
          <w:rFonts w:ascii="Times New Roman" w:hAnsi="Times New Roman" w:cs="Times New Roman"/>
          <w:color w:val="000000" w:themeColor="text1"/>
        </w:rPr>
        <w:t xml:space="preserve"> contribution to Greco-Latin translations, see Riccardo Saccenti, </w:t>
      </w:r>
      <w:r w:rsidRPr="009D7635">
        <w:rPr>
          <w:rFonts w:ascii="Times New Roman" w:hAnsi="Times New Roman" w:cs="Times New Roman"/>
          <w:i/>
          <w:iCs/>
          <w:color w:val="000000" w:themeColor="text1"/>
        </w:rPr>
        <w:t xml:space="preserve">Un </w:t>
      </w:r>
      <w:proofErr w:type="spellStart"/>
      <w:r w:rsidRPr="009D7635">
        <w:rPr>
          <w:rFonts w:ascii="Times New Roman" w:hAnsi="Times New Roman" w:cs="Times New Roman"/>
          <w:i/>
          <w:iCs/>
          <w:color w:val="000000" w:themeColor="text1"/>
        </w:rPr>
        <w:t>Nuovo</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lessico</w:t>
      </w:r>
      <w:proofErr w:type="spellEnd"/>
      <w:r w:rsidRPr="009D7635">
        <w:rPr>
          <w:rFonts w:ascii="Times New Roman" w:hAnsi="Times New Roman" w:cs="Times New Roman"/>
          <w:i/>
          <w:iCs/>
          <w:color w:val="000000" w:themeColor="text1"/>
        </w:rPr>
        <w:t xml:space="preserve"> morale medieval: il </w:t>
      </w:r>
      <w:proofErr w:type="spellStart"/>
      <w:r w:rsidRPr="009D7635">
        <w:rPr>
          <w:rFonts w:ascii="Times New Roman" w:hAnsi="Times New Roman" w:cs="Times New Roman"/>
          <w:i/>
          <w:iCs/>
          <w:color w:val="000000" w:themeColor="text1"/>
        </w:rPr>
        <w:t>contributo</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di</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Burgundio</w:t>
      </w:r>
      <w:proofErr w:type="spellEnd"/>
      <w:r w:rsidRPr="009D7635">
        <w:rPr>
          <w:rFonts w:ascii="Times New Roman" w:hAnsi="Times New Roman" w:cs="Times New Roman"/>
          <w:i/>
          <w:iCs/>
          <w:color w:val="000000" w:themeColor="text1"/>
        </w:rPr>
        <w:t xml:space="preserve"> da Pisa </w:t>
      </w:r>
      <w:r w:rsidRPr="009D7635">
        <w:rPr>
          <w:rFonts w:ascii="Times New Roman" w:hAnsi="Times New Roman" w:cs="Times New Roman"/>
          <w:color w:val="000000" w:themeColor="text1"/>
        </w:rPr>
        <w:t>(</w:t>
      </w:r>
      <w:proofErr w:type="spellStart"/>
      <w:r w:rsidRPr="009D7635">
        <w:rPr>
          <w:rFonts w:ascii="Times New Roman" w:hAnsi="Times New Roman" w:cs="Times New Roman"/>
          <w:color w:val="000000" w:themeColor="text1"/>
        </w:rPr>
        <w:t>Aricca</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Aracne</w:t>
      </w:r>
      <w:proofErr w:type="spellEnd"/>
      <w:r w:rsidRPr="009D7635">
        <w:rPr>
          <w:rFonts w:ascii="Times New Roman" w:hAnsi="Times New Roman" w:cs="Times New Roman"/>
          <w:color w:val="000000" w:themeColor="text1"/>
        </w:rPr>
        <w:t>, 2016).</w:t>
      </w:r>
    </w:p>
  </w:footnote>
  <w:footnote w:id="30">
    <w:p w14:paraId="1D2EF352" w14:textId="305F2D27" w:rsidR="00B93ED5" w:rsidRPr="009D7635" w:rsidRDefault="00B93ED5" w:rsidP="006A5A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See </w:t>
      </w:r>
      <w:r w:rsidRPr="009D7635">
        <w:rPr>
          <w:rFonts w:ascii="Times New Roman" w:hAnsi="Times New Roman" w:cs="Times New Roman"/>
          <w:i/>
          <w:color w:val="000000" w:themeColor="text1"/>
          <w:sz w:val="20"/>
          <w:szCs w:val="20"/>
        </w:rPr>
        <w:t xml:space="preserve">Saint John Damascene, De fide </w:t>
      </w:r>
      <w:proofErr w:type="spellStart"/>
      <w:r w:rsidRPr="009D7635">
        <w:rPr>
          <w:rFonts w:ascii="Times New Roman" w:hAnsi="Times New Roman" w:cs="Times New Roman"/>
          <w:i/>
          <w:color w:val="000000" w:themeColor="text1"/>
          <w:sz w:val="20"/>
          <w:szCs w:val="20"/>
        </w:rPr>
        <w:t>orthodoxa</w:t>
      </w:r>
      <w:proofErr w:type="spellEnd"/>
      <w:r w:rsidRPr="009D7635">
        <w:rPr>
          <w:rFonts w:ascii="Times New Roman" w:hAnsi="Times New Roman" w:cs="Times New Roman"/>
          <w:i/>
          <w:color w:val="000000" w:themeColor="text1"/>
          <w:sz w:val="20"/>
          <w:szCs w:val="20"/>
        </w:rPr>
        <w:t xml:space="preserve">: Versions of </w:t>
      </w:r>
      <w:proofErr w:type="spellStart"/>
      <w:r w:rsidRPr="009D7635">
        <w:rPr>
          <w:rFonts w:ascii="Times New Roman" w:hAnsi="Times New Roman" w:cs="Times New Roman"/>
          <w:i/>
          <w:color w:val="000000" w:themeColor="text1"/>
          <w:sz w:val="20"/>
          <w:szCs w:val="20"/>
        </w:rPr>
        <w:t>Burgundio</w:t>
      </w:r>
      <w:proofErr w:type="spellEnd"/>
      <w:r w:rsidRPr="009D7635">
        <w:rPr>
          <w:rFonts w:ascii="Times New Roman" w:hAnsi="Times New Roman" w:cs="Times New Roman"/>
          <w:i/>
          <w:color w:val="000000" w:themeColor="text1"/>
          <w:sz w:val="20"/>
          <w:szCs w:val="20"/>
        </w:rPr>
        <w:t xml:space="preserve"> and </w:t>
      </w:r>
      <w:proofErr w:type="spellStart"/>
      <w:r w:rsidRPr="009D7635">
        <w:rPr>
          <w:rFonts w:ascii="Times New Roman" w:hAnsi="Times New Roman" w:cs="Times New Roman"/>
          <w:i/>
          <w:color w:val="000000" w:themeColor="text1"/>
          <w:sz w:val="20"/>
          <w:szCs w:val="20"/>
        </w:rPr>
        <w:t>Cerbanus</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ed. </w:t>
      </w:r>
      <w:proofErr w:type="spellStart"/>
      <w:r w:rsidRPr="009D7635">
        <w:rPr>
          <w:rFonts w:ascii="Times New Roman" w:hAnsi="Times New Roman" w:cs="Times New Roman"/>
          <w:color w:val="000000" w:themeColor="text1"/>
          <w:sz w:val="20"/>
          <w:szCs w:val="20"/>
        </w:rPr>
        <w:t>Eligius</w:t>
      </w:r>
      <w:proofErr w:type="spellEnd"/>
      <w:r w:rsidRPr="009D7635">
        <w:rPr>
          <w:rFonts w:ascii="Times New Roman" w:hAnsi="Times New Roman" w:cs="Times New Roman"/>
          <w:color w:val="000000" w:themeColor="text1"/>
          <w:sz w:val="20"/>
          <w:szCs w:val="20"/>
        </w:rPr>
        <w:t xml:space="preserve"> M. </w:t>
      </w:r>
      <w:proofErr w:type="spellStart"/>
      <w:r w:rsidRPr="009D7635">
        <w:rPr>
          <w:rFonts w:ascii="Times New Roman" w:hAnsi="Times New Roman" w:cs="Times New Roman"/>
          <w:color w:val="000000" w:themeColor="text1"/>
          <w:sz w:val="20"/>
          <w:szCs w:val="20"/>
        </w:rPr>
        <w:t>Buytaert</w:t>
      </w:r>
      <w:proofErr w:type="spellEnd"/>
      <w:r w:rsidRPr="009D7635">
        <w:rPr>
          <w:rFonts w:ascii="Times New Roman" w:hAnsi="Times New Roman" w:cs="Times New Roman"/>
          <w:color w:val="000000" w:themeColor="text1"/>
          <w:sz w:val="20"/>
          <w:szCs w:val="20"/>
        </w:rPr>
        <w:t xml:space="preserve"> (St Bonaventure: Franciscan Institute, 1955), 112. On page vii of his introduction, </w:t>
      </w:r>
      <w:proofErr w:type="spellStart"/>
      <w:r w:rsidRPr="009D7635">
        <w:rPr>
          <w:rFonts w:ascii="Times New Roman" w:hAnsi="Times New Roman" w:cs="Times New Roman"/>
          <w:color w:val="000000" w:themeColor="text1"/>
          <w:sz w:val="20"/>
          <w:szCs w:val="20"/>
        </w:rPr>
        <w:t>Buytaert</w:t>
      </w:r>
      <w:proofErr w:type="spellEnd"/>
      <w:r w:rsidRPr="009D7635">
        <w:rPr>
          <w:rFonts w:ascii="Times New Roman" w:hAnsi="Times New Roman" w:cs="Times New Roman"/>
          <w:color w:val="000000" w:themeColor="text1"/>
          <w:sz w:val="20"/>
          <w:szCs w:val="20"/>
        </w:rPr>
        <w:t xml:space="preserve"> lists the translations of Damascus into Latin, including a </w:t>
      </w:r>
      <w:r w:rsidRPr="009D7635">
        <w:rPr>
          <w:rFonts w:ascii="Times New Roman" w:hAnsi="Times New Roman" w:cs="Times New Roman"/>
          <w:color w:val="000000" w:themeColor="text1"/>
          <w:sz w:val="20"/>
          <w:szCs w:val="20"/>
          <w:lang w:val="en-US"/>
        </w:rPr>
        <w:t xml:space="preserve">partial version made in Hungary before 1145, perhaps by </w:t>
      </w:r>
      <w:proofErr w:type="spellStart"/>
      <w:r w:rsidRPr="009D7635">
        <w:rPr>
          <w:rFonts w:ascii="Times New Roman" w:hAnsi="Times New Roman" w:cs="Times New Roman"/>
          <w:color w:val="000000" w:themeColor="text1"/>
          <w:sz w:val="20"/>
          <w:szCs w:val="20"/>
          <w:lang w:val="en-US"/>
        </w:rPr>
        <w:t>Cerbanus</w:t>
      </w:r>
      <w:proofErr w:type="spellEnd"/>
      <w:r w:rsidRPr="009D7635">
        <w:rPr>
          <w:rFonts w:ascii="Times New Roman" w:hAnsi="Times New Roman" w:cs="Times New Roman"/>
          <w:color w:val="000000" w:themeColor="text1"/>
          <w:sz w:val="20"/>
          <w:szCs w:val="20"/>
          <w:lang w:val="en-US"/>
        </w:rPr>
        <w:t xml:space="preserve">; the popular translation of </w:t>
      </w:r>
      <w:proofErr w:type="spellStart"/>
      <w:r w:rsidRPr="009D7635">
        <w:rPr>
          <w:rFonts w:ascii="Times New Roman" w:hAnsi="Times New Roman" w:cs="Times New Roman"/>
          <w:color w:val="000000" w:themeColor="text1"/>
          <w:sz w:val="20"/>
          <w:szCs w:val="20"/>
          <w:lang w:val="en-US"/>
        </w:rPr>
        <w:t>Burgundio</w:t>
      </w:r>
      <w:proofErr w:type="spellEnd"/>
      <w:r w:rsidRPr="009D7635">
        <w:rPr>
          <w:rFonts w:ascii="Times New Roman" w:hAnsi="Times New Roman" w:cs="Times New Roman"/>
          <w:color w:val="000000" w:themeColor="text1"/>
          <w:sz w:val="20"/>
          <w:szCs w:val="20"/>
          <w:lang w:val="en-US"/>
        </w:rPr>
        <w:t xml:space="preserve">, 1153-54; and the version of Robert </w:t>
      </w:r>
      <w:proofErr w:type="spellStart"/>
      <w:r w:rsidRPr="009D7635">
        <w:rPr>
          <w:rFonts w:ascii="Times New Roman" w:hAnsi="Times New Roman" w:cs="Times New Roman"/>
          <w:color w:val="000000" w:themeColor="text1"/>
          <w:sz w:val="20"/>
          <w:szCs w:val="20"/>
          <w:lang w:val="en-US"/>
        </w:rPr>
        <w:t>Grosseteste</w:t>
      </w:r>
      <w:proofErr w:type="spellEnd"/>
      <w:r w:rsidRPr="009D7635">
        <w:rPr>
          <w:rFonts w:ascii="Times New Roman" w:hAnsi="Times New Roman" w:cs="Times New Roman"/>
          <w:color w:val="000000" w:themeColor="text1"/>
          <w:sz w:val="20"/>
          <w:szCs w:val="20"/>
          <w:lang w:val="en-US"/>
        </w:rPr>
        <w:t xml:space="preserve"> that sought to correct </w:t>
      </w:r>
      <w:proofErr w:type="spellStart"/>
      <w:r w:rsidRPr="009D7635">
        <w:rPr>
          <w:rFonts w:ascii="Times New Roman" w:hAnsi="Times New Roman" w:cs="Times New Roman"/>
          <w:color w:val="000000" w:themeColor="text1"/>
          <w:sz w:val="20"/>
          <w:szCs w:val="20"/>
          <w:lang w:val="en-US"/>
        </w:rPr>
        <w:t>Burgundio</w:t>
      </w:r>
      <w:proofErr w:type="spellEnd"/>
      <w:r w:rsidRPr="009D7635">
        <w:rPr>
          <w:rFonts w:ascii="Times New Roman" w:hAnsi="Times New Roman" w:cs="Times New Roman"/>
          <w:color w:val="000000" w:themeColor="text1"/>
          <w:sz w:val="20"/>
          <w:szCs w:val="20"/>
          <w:lang w:val="en-US"/>
        </w:rPr>
        <w:t xml:space="preserve">, which was produced between 1235-40. </w:t>
      </w:r>
      <w:r w:rsidRPr="009D7635">
        <w:rPr>
          <w:rFonts w:ascii="Times New Roman" w:hAnsi="Times New Roman" w:cs="Times New Roman"/>
          <w:color w:val="000000" w:themeColor="text1"/>
          <w:sz w:val="20"/>
          <w:szCs w:val="20"/>
        </w:rPr>
        <w:t xml:space="preserve">On Damascus’ use of </w:t>
      </w:r>
      <w:proofErr w:type="spellStart"/>
      <w:r w:rsidRPr="009D7635">
        <w:rPr>
          <w:rFonts w:ascii="Times New Roman" w:hAnsi="Times New Roman" w:cs="Times New Roman"/>
          <w:color w:val="000000" w:themeColor="text1"/>
          <w:sz w:val="20"/>
          <w:szCs w:val="20"/>
        </w:rPr>
        <w:t>Nemesius</w:t>
      </w:r>
      <w:proofErr w:type="spellEnd"/>
      <w:r w:rsidRPr="009D7635">
        <w:rPr>
          <w:rFonts w:ascii="Times New Roman" w:hAnsi="Times New Roman" w:cs="Times New Roman"/>
          <w:color w:val="000000" w:themeColor="text1"/>
          <w:sz w:val="20"/>
          <w:szCs w:val="20"/>
        </w:rPr>
        <w:t xml:space="preserve"> see Moreno </w:t>
      </w:r>
      <w:proofErr w:type="spellStart"/>
      <w:r w:rsidRPr="009D7635">
        <w:rPr>
          <w:rFonts w:ascii="Times New Roman" w:hAnsi="Times New Roman" w:cs="Times New Roman"/>
          <w:color w:val="000000" w:themeColor="text1"/>
          <w:sz w:val="20"/>
          <w:szCs w:val="20"/>
        </w:rPr>
        <w:t>Morani</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La </w:t>
      </w:r>
      <w:proofErr w:type="spellStart"/>
      <w:r w:rsidRPr="009D7635">
        <w:rPr>
          <w:rFonts w:ascii="Times New Roman" w:hAnsi="Times New Roman" w:cs="Times New Roman"/>
          <w:i/>
          <w:color w:val="000000" w:themeColor="text1"/>
          <w:sz w:val="20"/>
          <w:szCs w:val="20"/>
        </w:rPr>
        <w:t>tradizione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manoscritta</w:t>
      </w:r>
      <w:proofErr w:type="spellEnd"/>
      <w:r w:rsidRPr="009D7635">
        <w:rPr>
          <w:rFonts w:ascii="Times New Roman" w:hAnsi="Times New Roman" w:cs="Times New Roman"/>
          <w:i/>
          <w:color w:val="000000" w:themeColor="text1"/>
          <w:sz w:val="20"/>
          <w:szCs w:val="20"/>
        </w:rPr>
        <w:t xml:space="preserve"> del De </w:t>
      </w:r>
      <w:proofErr w:type="spellStart"/>
      <w:r w:rsidRPr="009D7635">
        <w:rPr>
          <w:rFonts w:ascii="Times New Roman" w:hAnsi="Times New Roman" w:cs="Times New Roman"/>
          <w:i/>
          <w:color w:val="000000" w:themeColor="text1"/>
          <w:sz w:val="20"/>
          <w:szCs w:val="20"/>
        </w:rPr>
        <w:t>natura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hominis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Nemesi</w:t>
      </w:r>
      <w:proofErr w:type="spellEnd"/>
      <w:r w:rsidRPr="009D7635">
        <w:rPr>
          <w:rFonts w:ascii="Times New Roman" w:hAnsi="Times New Roman" w:cs="Times New Roman"/>
          <w:color w:val="000000" w:themeColor="text1"/>
          <w:sz w:val="20"/>
          <w:szCs w:val="20"/>
        </w:rPr>
        <w:t xml:space="preserve"> (Milan: Vita e </w:t>
      </w:r>
      <w:proofErr w:type="spellStart"/>
      <w:r w:rsidRPr="009D7635">
        <w:rPr>
          <w:rFonts w:ascii="Times New Roman" w:hAnsi="Times New Roman" w:cs="Times New Roman"/>
          <w:color w:val="000000" w:themeColor="text1"/>
          <w:sz w:val="20"/>
          <w:szCs w:val="20"/>
        </w:rPr>
        <w:t>Pensiero</w:t>
      </w:r>
      <w:proofErr w:type="spellEnd"/>
      <w:r w:rsidRPr="009D7635">
        <w:rPr>
          <w:rFonts w:ascii="Times New Roman" w:hAnsi="Times New Roman" w:cs="Times New Roman"/>
          <w:color w:val="000000" w:themeColor="text1"/>
          <w:sz w:val="20"/>
          <w:szCs w:val="20"/>
        </w:rPr>
        <w:t xml:space="preserve">, 1981), 104-14. </w:t>
      </w:r>
      <w:r w:rsidRPr="009D7635">
        <w:rPr>
          <w:rFonts w:ascii="Times New Roman" w:hAnsi="Times New Roman" w:cs="Times New Roman"/>
          <w:color w:val="000000" w:themeColor="text1"/>
          <w:sz w:val="20"/>
          <w:szCs w:val="20"/>
          <w:lang w:val="en-US"/>
        </w:rPr>
        <w:t>John affirms the four nutritive powers in DFO (</w:t>
      </w:r>
      <w:proofErr w:type="spellStart"/>
      <w:r w:rsidRPr="009D7635">
        <w:rPr>
          <w:rFonts w:ascii="Times New Roman" w:hAnsi="Times New Roman" w:cs="Times New Roman"/>
          <w:color w:val="000000" w:themeColor="text1"/>
          <w:sz w:val="20"/>
          <w:szCs w:val="20"/>
        </w:rPr>
        <w:t>Buytaert</w:t>
      </w:r>
      <w:proofErr w:type="spellEnd"/>
      <w:r w:rsidRPr="009D7635">
        <w:rPr>
          <w:rFonts w:ascii="Times New Roman" w:hAnsi="Times New Roman" w:cs="Times New Roman"/>
          <w:color w:val="000000" w:themeColor="text1"/>
          <w:sz w:val="20"/>
          <w:szCs w:val="20"/>
          <w:lang w:val="en-US"/>
        </w:rPr>
        <w:t>, 123: chapter 30) as well as the three vegetable powers (nutrition, growth, reproduction). He locates imagination in the back of the brain (</w:t>
      </w:r>
      <w:proofErr w:type="spellStart"/>
      <w:r w:rsidRPr="009D7635">
        <w:rPr>
          <w:rFonts w:ascii="Times New Roman" w:hAnsi="Times New Roman" w:cs="Times New Roman"/>
          <w:color w:val="000000" w:themeColor="text1"/>
          <w:sz w:val="20"/>
          <w:szCs w:val="20"/>
        </w:rPr>
        <w:t>Buytaert</w:t>
      </w:r>
      <w:proofErr w:type="spellEnd"/>
      <w:r w:rsidRPr="009D7635">
        <w:rPr>
          <w:rFonts w:ascii="Times New Roman" w:hAnsi="Times New Roman" w:cs="Times New Roman"/>
          <w:color w:val="000000" w:themeColor="text1"/>
          <w:sz w:val="20"/>
          <w:szCs w:val="20"/>
          <w:lang w:val="en-US"/>
        </w:rPr>
        <w:t>, 124-5: chapter 31); cognition in the middle of the brain (</w:t>
      </w:r>
      <w:proofErr w:type="spellStart"/>
      <w:r w:rsidRPr="009D7635">
        <w:rPr>
          <w:rFonts w:ascii="Times New Roman" w:hAnsi="Times New Roman" w:cs="Times New Roman"/>
          <w:color w:val="000000" w:themeColor="text1"/>
          <w:sz w:val="20"/>
          <w:szCs w:val="20"/>
        </w:rPr>
        <w:t>Buytaert</w:t>
      </w:r>
      <w:proofErr w:type="spellEnd"/>
      <w:r w:rsidRPr="009D7635">
        <w:rPr>
          <w:rFonts w:ascii="Times New Roman" w:hAnsi="Times New Roman" w:cs="Times New Roman"/>
          <w:color w:val="000000" w:themeColor="text1"/>
          <w:sz w:val="20"/>
          <w:szCs w:val="20"/>
          <w:lang w:val="en-US"/>
        </w:rPr>
        <w:t>, 129: chapter 33); and memory in the back of the brain (</w:t>
      </w:r>
      <w:proofErr w:type="spellStart"/>
      <w:r w:rsidRPr="009D7635">
        <w:rPr>
          <w:rFonts w:ascii="Times New Roman" w:hAnsi="Times New Roman" w:cs="Times New Roman"/>
          <w:color w:val="000000" w:themeColor="text1"/>
          <w:sz w:val="20"/>
          <w:szCs w:val="20"/>
        </w:rPr>
        <w:t>Buytaert</w:t>
      </w:r>
      <w:proofErr w:type="spellEnd"/>
      <w:r w:rsidRPr="009D7635">
        <w:rPr>
          <w:rFonts w:ascii="Times New Roman" w:hAnsi="Times New Roman" w:cs="Times New Roman"/>
          <w:color w:val="000000" w:themeColor="text1"/>
          <w:sz w:val="20"/>
          <w:szCs w:val="20"/>
          <w:lang w:val="en-US"/>
        </w:rPr>
        <w:t>, 129-31: chapter 33).</w:t>
      </w:r>
    </w:p>
  </w:footnote>
  <w:footnote w:id="31">
    <w:p w14:paraId="2D394E88" w14:textId="7EC38C35"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Eligius</w:t>
      </w:r>
      <w:proofErr w:type="spellEnd"/>
      <w:r w:rsidRPr="009D7635">
        <w:rPr>
          <w:rFonts w:ascii="Times New Roman" w:hAnsi="Times New Roman" w:cs="Times New Roman"/>
          <w:color w:val="000000" w:themeColor="text1"/>
        </w:rPr>
        <w:t xml:space="preserve"> M. </w:t>
      </w:r>
      <w:proofErr w:type="spellStart"/>
      <w:r w:rsidRPr="009D7635">
        <w:rPr>
          <w:rFonts w:ascii="Times New Roman" w:hAnsi="Times New Roman" w:cs="Times New Roman"/>
          <w:color w:val="000000" w:themeColor="text1"/>
        </w:rPr>
        <w:t>Buytaert</w:t>
      </w:r>
      <w:proofErr w:type="spellEnd"/>
      <w:r w:rsidRPr="009D7635">
        <w:rPr>
          <w:rFonts w:ascii="Times New Roman" w:hAnsi="Times New Roman" w:cs="Times New Roman"/>
          <w:color w:val="000000" w:themeColor="text1"/>
        </w:rPr>
        <w:t xml:space="preserve">, ‘Introduction,’ in </w:t>
      </w:r>
      <w:r w:rsidRPr="009D7635">
        <w:rPr>
          <w:rFonts w:ascii="Times New Roman" w:hAnsi="Times New Roman" w:cs="Times New Roman"/>
          <w:i/>
          <w:color w:val="000000" w:themeColor="text1"/>
        </w:rPr>
        <w:t xml:space="preserve">Saint John Damascene, </w:t>
      </w:r>
      <w:r w:rsidRPr="009D7635">
        <w:rPr>
          <w:rFonts w:ascii="Times New Roman" w:hAnsi="Times New Roman" w:cs="Times New Roman"/>
          <w:color w:val="000000" w:themeColor="text1"/>
        </w:rPr>
        <w:t xml:space="preserve">xvi. J de </w:t>
      </w:r>
      <w:proofErr w:type="spellStart"/>
      <w:r w:rsidRPr="009D7635">
        <w:rPr>
          <w:rFonts w:ascii="Times New Roman" w:hAnsi="Times New Roman" w:cs="Times New Roman"/>
          <w:color w:val="000000" w:themeColor="text1"/>
        </w:rPr>
        <w:t>Ghellinck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Le </w:t>
      </w:r>
      <w:proofErr w:type="spellStart"/>
      <w:r w:rsidRPr="009D7635">
        <w:rPr>
          <w:rFonts w:ascii="Times New Roman" w:hAnsi="Times New Roman" w:cs="Times New Roman"/>
          <w:i/>
          <w:color w:val="000000" w:themeColor="text1"/>
        </w:rPr>
        <w:t>mouvement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théologique</w:t>
      </w:r>
      <w:proofErr w:type="spellEnd"/>
      <w:r w:rsidRPr="009D7635">
        <w:rPr>
          <w:rFonts w:ascii="Times New Roman" w:hAnsi="Times New Roman" w:cs="Times New Roman"/>
          <w:i/>
          <w:color w:val="000000" w:themeColor="text1"/>
        </w:rPr>
        <w:t xml:space="preserve"> du XIIe siècle</w:t>
      </w:r>
      <w:r w:rsidRPr="009D7635">
        <w:rPr>
          <w:rFonts w:ascii="Times New Roman" w:hAnsi="Times New Roman" w:cs="Times New Roman"/>
          <w:color w:val="000000" w:themeColor="text1"/>
        </w:rPr>
        <w:t xml:space="preserve"> (Paris: </w:t>
      </w:r>
      <w:proofErr w:type="spellStart"/>
      <w:r w:rsidRPr="009D7635">
        <w:rPr>
          <w:rFonts w:ascii="Times New Roman" w:hAnsi="Times New Roman" w:cs="Times New Roman"/>
          <w:color w:val="000000" w:themeColor="text1"/>
        </w:rPr>
        <w:t>Librairie</w:t>
      </w:r>
      <w:proofErr w:type="spellEnd"/>
      <w:r w:rsidRPr="009D7635">
        <w:rPr>
          <w:rFonts w:ascii="Times New Roman" w:hAnsi="Times New Roman" w:cs="Times New Roman"/>
          <w:color w:val="000000" w:themeColor="text1"/>
        </w:rPr>
        <w:t xml:space="preserve"> Victor </w:t>
      </w:r>
      <w:proofErr w:type="spellStart"/>
      <w:r w:rsidRPr="009D7635">
        <w:rPr>
          <w:rFonts w:ascii="Times New Roman" w:hAnsi="Times New Roman" w:cs="Times New Roman"/>
          <w:color w:val="000000" w:themeColor="text1"/>
        </w:rPr>
        <w:t>Lecoffre</w:t>
      </w:r>
      <w:proofErr w:type="spellEnd"/>
      <w:r w:rsidRPr="009D7635">
        <w:rPr>
          <w:rFonts w:ascii="Times New Roman" w:hAnsi="Times New Roman" w:cs="Times New Roman"/>
          <w:color w:val="000000" w:themeColor="text1"/>
        </w:rPr>
        <w:t xml:space="preserve">, 1914), 409. </w:t>
      </w:r>
    </w:p>
  </w:footnote>
  <w:footnote w:id="32">
    <w:p w14:paraId="0A8684A9" w14:textId="56DBA458" w:rsidR="00B93ED5" w:rsidRPr="009D7635" w:rsidRDefault="00B93ED5" w:rsidP="006A5A46">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The translation of John Scotus can be found in M. </w:t>
      </w:r>
      <w:proofErr w:type="spellStart"/>
      <w:r w:rsidRPr="009D7635">
        <w:rPr>
          <w:rFonts w:ascii="Times New Roman" w:hAnsi="Times New Roman" w:cs="Times New Roman"/>
          <w:color w:val="000000" w:themeColor="text1"/>
          <w:sz w:val="20"/>
          <w:szCs w:val="20"/>
        </w:rPr>
        <w:t>Cappuyns</w:t>
      </w:r>
      <w:proofErr w:type="spellEnd"/>
      <w:r w:rsidRPr="009D7635">
        <w:rPr>
          <w:rFonts w:ascii="Times New Roman" w:hAnsi="Times New Roman" w:cs="Times New Roman"/>
          <w:color w:val="000000" w:themeColor="text1"/>
          <w:sz w:val="20"/>
          <w:szCs w:val="20"/>
        </w:rPr>
        <w:t xml:space="preserve">, ‘Le de imagine de </w:t>
      </w:r>
      <w:proofErr w:type="spellStart"/>
      <w:r w:rsidRPr="009D7635">
        <w:rPr>
          <w:rFonts w:ascii="Times New Roman" w:hAnsi="Times New Roman" w:cs="Times New Roman"/>
          <w:color w:val="000000" w:themeColor="text1"/>
          <w:sz w:val="20"/>
          <w:szCs w:val="20"/>
        </w:rPr>
        <w:t>Gregoire</w:t>
      </w:r>
      <w:proofErr w:type="spellEnd"/>
      <w:r w:rsidRPr="009D7635">
        <w:rPr>
          <w:rFonts w:ascii="Times New Roman" w:hAnsi="Times New Roman" w:cs="Times New Roman"/>
          <w:color w:val="000000" w:themeColor="text1"/>
          <w:sz w:val="20"/>
          <w:szCs w:val="20"/>
        </w:rPr>
        <w:t xml:space="preserve"> de </w:t>
      </w:r>
      <w:proofErr w:type="spellStart"/>
      <w:r w:rsidRPr="009D7635">
        <w:rPr>
          <w:rFonts w:ascii="Times New Roman" w:hAnsi="Times New Roman" w:cs="Times New Roman"/>
          <w:color w:val="000000" w:themeColor="text1"/>
          <w:sz w:val="20"/>
          <w:szCs w:val="20"/>
        </w:rPr>
        <w:t>Nyssa</w:t>
      </w:r>
      <w:proofErr w:type="spellEnd"/>
      <w:r w:rsidRPr="009D7635">
        <w:rPr>
          <w:rFonts w:ascii="Times New Roman" w:hAnsi="Times New Roman" w:cs="Times New Roman"/>
          <w:color w:val="000000" w:themeColor="text1"/>
          <w:sz w:val="20"/>
          <w:szCs w:val="20"/>
        </w:rPr>
        <w:t xml:space="preserve">, </w:t>
      </w:r>
      <w:proofErr w:type="spellStart"/>
      <w:r w:rsidR="00FB2680" w:rsidRPr="009D7635">
        <w:rPr>
          <w:rFonts w:ascii="Times New Roman" w:hAnsi="Times New Roman" w:cs="Times New Roman"/>
          <w:color w:val="000000" w:themeColor="text1"/>
          <w:sz w:val="20"/>
          <w:szCs w:val="20"/>
        </w:rPr>
        <w:t>t</w:t>
      </w:r>
      <w:r w:rsidRPr="009D7635">
        <w:rPr>
          <w:rFonts w:ascii="Times New Roman" w:hAnsi="Times New Roman" w:cs="Times New Roman"/>
          <w:color w:val="000000" w:themeColor="text1"/>
          <w:sz w:val="20"/>
          <w:szCs w:val="20"/>
        </w:rPr>
        <w:t>raduit</w:t>
      </w:r>
      <w:proofErr w:type="spellEnd"/>
      <w:r w:rsidRPr="009D7635">
        <w:rPr>
          <w:rFonts w:ascii="Times New Roman" w:hAnsi="Times New Roman" w:cs="Times New Roman"/>
          <w:color w:val="000000" w:themeColor="text1"/>
          <w:sz w:val="20"/>
          <w:szCs w:val="20"/>
        </w:rPr>
        <w:t xml:space="preserve"> par John Scot </w:t>
      </w:r>
      <w:proofErr w:type="spellStart"/>
      <w:r w:rsidRPr="009D7635">
        <w:rPr>
          <w:rFonts w:ascii="Times New Roman" w:hAnsi="Times New Roman" w:cs="Times New Roman"/>
          <w:color w:val="000000" w:themeColor="text1"/>
          <w:sz w:val="20"/>
          <w:szCs w:val="20"/>
        </w:rPr>
        <w:t>Erigène</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shd w:val="clear" w:color="auto" w:fill="FFFFFF"/>
        </w:rPr>
        <w:t>Recherches</w:t>
      </w:r>
      <w:proofErr w:type="spellEnd"/>
      <w:r w:rsidRPr="009D7635">
        <w:rPr>
          <w:rFonts w:ascii="Times New Roman" w:hAnsi="Times New Roman" w:cs="Times New Roman"/>
          <w:i/>
          <w:color w:val="000000" w:themeColor="text1"/>
          <w:sz w:val="20"/>
          <w:szCs w:val="20"/>
          <w:shd w:val="clear" w:color="auto" w:fill="FFFFFF"/>
        </w:rPr>
        <w:t xml:space="preserve"> de </w:t>
      </w:r>
      <w:proofErr w:type="spellStart"/>
      <w:r w:rsidRPr="009D7635">
        <w:rPr>
          <w:rFonts w:ascii="Times New Roman" w:hAnsi="Times New Roman" w:cs="Times New Roman"/>
          <w:i/>
          <w:color w:val="000000" w:themeColor="text1"/>
          <w:sz w:val="20"/>
          <w:szCs w:val="20"/>
          <w:shd w:val="clear" w:color="auto" w:fill="FFFFFF"/>
        </w:rPr>
        <w:t>théologie</w:t>
      </w:r>
      <w:proofErr w:type="spellEnd"/>
      <w:r w:rsidRPr="009D7635">
        <w:rPr>
          <w:rFonts w:ascii="Times New Roman" w:hAnsi="Times New Roman" w:cs="Times New Roman"/>
          <w:i/>
          <w:color w:val="000000" w:themeColor="text1"/>
          <w:sz w:val="20"/>
          <w:szCs w:val="20"/>
          <w:shd w:val="clear" w:color="auto" w:fill="FFFFFF"/>
        </w:rPr>
        <w:t xml:space="preserve"> </w:t>
      </w:r>
      <w:proofErr w:type="spellStart"/>
      <w:r w:rsidRPr="009D7635">
        <w:rPr>
          <w:rFonts w:ascii="Times New Roman" w:hAnsi="Times New Roman" w:cs="Times New Roman"/>
          <w:i/>
          <w:color w:val="000000" w:themeColor="text1"/>
          <w:sz w:val="20"/>
          <w:szCs w:val="20"/>
          <w:shd w:val="clear" w:color="auto" w:fill="FFFFFF"/>
        </w:rPr>
        <w:t>ancienne</w:t>
      </w:r>
      <w:proofErr w:type="spellEnd"/>
      <w:r w:rsidRPr="009D7635">
        <w:rPr>
          <w:rFonts w:ascii="Times New Roman" w:hAnsi="Times New Roman" w:cs="Times New Roman"/>
          <w:i/>
          <w:color w:val="000000" w:themeColor="text1"/>
          <w:sz w:val="20"/>
          <w:szCs w:val="20"/>
          <w:shd w:val="clear" w:color="auto" w:fill="FFFFFF"/>
        </w:rPr>
        <w:t xml:space="preserve"> et </w:t>
      </w:r>
      <w:proofErr w:type="spellStart"/>
      <w:r w:rsidRPr="009D7635">
        <w:rPr>
          <w:rFonts w:ascii="Times New Roman" w:hAnsi="Times New Roman" w:cs="Times New Roman"/>
          <w:i/>
          <w:color w:val="000000" w:themeColor="text1"/>
          <w:sz w:val="20"/>
          <w:szCs w:val="20"/>
          <w:shd w:val="clear" w:color="auto" w:fill="FFFFFF"/>
        </w:rPr>
        <w:t>médiévale</w:t>
      </w:r>
      <w:proofErr w:type="spellEnd"/>
      <w:r w:rsidRPr="009D7635">
        <w:rPr>
          <w:rFonts w:ascii="Times New Roman" w:hAnsi="Times New Roman" w:cs="Times New Roman"/>
          <w:i/>
          <w:color w:val="000000" w:themeColor="text1"/>
          <w:sz w:val="20"/>
          <w:szCs w:val="20"/>
          <w:shd w:val="clear" w:color="auto" w:fill="FFFFFF"/>
        </w:rPr>
        <w:t xml:space="preserve"> </w:t>
      </w:r>
      <w:r w:rsidRPr="009D7635">
        <w:rPr>
          <w:rFonts w:ascii="Times New Roman" w:hAnsi="Times New Roman" w:cs="Times New Roman"/>
          <w:color w:val="000000" w:themeColor="text1"/>
          <w:sz w:val="20"/>
          <w:szCs w:val="20"/>
        </w:rPr>
        <w:t>32 (1965)</w:t>
      </w:r>
      <w:r w:rsidR="00ED3FD3"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205-62. See also Philip Levine, ‘Two Early Latin Versions of St Gregory of </w:t>
      </w:r>
      <w:proofErr w:type="spellStart"/>
      <w:r w:rsidRPr="009D7635">
        <w:rPr>
          <w:rFonts w:ascii="Times New Roman" w:hAnsi="Times New Roman" w:cs="Times New Roman"/>
          <w:color w:val="000000" w:themeColor="text1"/>
          <w:sz w:val="20"/>
          <w:szCs w:val="20"/>
        </w:rPr>
        <w:t>Nyssa’s</w:t>
      </w:r>
      <w:proofErr w:type="spellEnd"/>
      <w:r w:rsidRPr="009D7635">
        <w:rPr>
          <w:rFonts w:ascii="Times New Roman" w:hAnsi="Times New Roman" w:cs="Times New Roman"/>
          <w:color w:val="000000" w:themeColor="text1"/>
          <w:sz w:val="20"/>
          <w:szCs w:val="20"/>
        </w:rPr>
        <w:t xml:space="preserve"> περὶ κατασκευης ἀνθρώπου,’ </w:t>
      </w:r>
      <w:r w:rsidRPr="009D7635">
        <w:rPr>
          <w:rFonts w:ascii="Times New Roman" w:hAnsi="Times New Roman" w:cs="Times New Roman"/>
          <w:i/>
          <w:color w:val="000000" w:themeColor="text1"/>
          <w:sz w:val="20"/>
          <w:szCs w:val="20"/>
        </w:rPr>
        <w:t xml:space="preserve">Harvard Studies in Classical Philology </w:t>
      </w:r>
      <w:r w:rsidRPr="009D7635">
        <w:rPr>
          <w:rFonts w:ascii="Times New Roman" w:hAnsi="Times New Roman" w:cs="Times New Roman"/>
          <w:color w:val="000000" w:themeColor="text1"/>
          <w:sz w:val="20"/>
          <w:szCs w:val="20"/>
        </w:rPr>
        <w:t xml:space="preserve">63 (1958), 473-92. </w:t>
      </w:r>
    </w:p>
  </w:footnote>
  <w:footnote w:id="33">
    <w:p w14:paraId="659C0549" w14:textId="0A22D2CC"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Gregory of </w:t>
      </w:r>
      <w:proofErr w:type="spellStart"/>
      <w:r w:rsidRPr="009D7635">
        <w:rPr>
          <w:rFonts w:ascii="Times New Roman" w:hAnsi="Times New Roman" w:cs="Times New Roman"/>
          <w:color w:val="000000" w:themeColor="text1"/>
        </w:rPr>
        <w:t>Nyssa</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conditione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homine</w:t>
      </w:r>
      <w:proofErr w:type="spellEnd"/>
      <w:r w:rsidRPr="009D7635">
        <w:rPr>
          <w:rFonts w:ascii="Times New Roman" w:hAnsi="Times New Roman" w:cs="Times New Roman"/>
          <w:color w:val="000000" w:themeColor="text1"/>
        </w:rPr>
        <w:t xml:space="preserve"> (P</w:t>
      </w:r>
      <w:r w:rsidR="00802392" w:rsidRPr="009D7635">
        <w:rPr>
          <w:rFonts w:ascii="Times New Roman" w:hAnsi="Times New Roman" w:cs="Times New Roman"/>
          <w:color w:val="000000" w:themeColor="text1"/>
        </w:rPr>
        <w:t>L</w:t>
      </w:r>
      <w:r w:rsidRPr="009D7635">
        <w:rPr>
          <w:rFonts w:ascii="Times New Roman" w:hAnsi="Times New Roman" w:cs="Times New Roman"/>
          <w:color w:val="000000" w:themeColor="text1"/>
        </w:rPr>
        <w:t xml:space="preserve"> 67), 16.9.</w:t>
      </w:r>
    </w:p>
  </w:footnote>
  <w:footnote w:id="34">
    <w:p w14:paraId="2D839CB5" w14:textId="43885E46"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27255"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4.</w:t>
      </w:r>
    </w:p>
  </w:footnote>
  <w:footnote w:id="35">
    <w:p w14:paraId="2D1FA7C4" w14:textId="0B7B5C13"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17997"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8.</w:t>
      </w:r>
    </w:p>
  </w:footnote>
  <w:footnote w:id="36">
    <w:p w14:paraId="767E65BF" w14:textId="77777777" w:rsidR="001E4643" w:rsidRPr="009D7635" w:rsidRDefault="001E4643"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Ibid., 8.4.</w:t>
      </w:r>
    </w:p>
  </w:footnote>
  <w:footnote w:id="37">
    <w:p w14:paraId="2350C80D" w14:textId="3E0FD763"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17997"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14.2-3, 15.2.</w:t>
      </w:r>
    </w:p>
  </w:footnote>
  <w:footnote w:id="38">
    <w:p w14:paraId="6D174D72" w14:textId="6664A6BD"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17997"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30.12.</w:t>
      </w:r>
    </w:p>
  </w:footnote>
  <w:footnote w:id="39">
    <w:p w14:paraId="32030D7E" w14:textId="246AAF8B"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17997"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30.18-19.</w:t>
      </w:r>
    </w:p>
  </w:footnote>
  <w:footnote w:id="40">
    <w:p w14:paraId="7A6620A4" w14:textId="563804A1" w:rsidR="00D100C1" w:rsidRPr="009D7635" w:rsidRDefault="00D100C1" w:rsidP="006A5A46">
      <w:pPr>
        <w:pStyle w:val="FootnoteText"/>
        <w:rPr>
          <w:rFonts w:ascii="Times New Roman" w:hAnsi="Times New Roman" w:cs="Times New Roman"/>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Michaud-Quantin</w:t>
      </w:r>
      <w:proofErr w:type="spellEnd"/>
      <w:r w:rsidRPr="009D7635">
        <w:rPr>
          <w:rFonts w:ascii="Times New Roman" w:hAnsi="Times New Roman" w:cs="Times New Roman"/>
          <w:color w:val="000000" w:themeColor="text1"/>
        </w:rPr>
        <w:t xml:space="preserve">, ‘La classification des </w:t>
      </w:r>
      <w:proofErr w:type="spellStart"/>
      <w:r w:rsidRPr="009D7635">
        <w:rPr>
          <w:rFonts w:ascii="Times New Roman" w:hAnsi="Times New Roman" w:cs="Times New Roman"/>
          <w:color w:val="000000" w:themeColor="text1"/>
        </w:rPr>
        <w:t>puissances</w:t>
      </w:r>
      <w:proofErr w:type="spellEnd"/>
      <w:r w:rsidRPr="009D7635">
        <w:rPr>
          <w:rFonts w:ascii="Times New Roman" w:hAnsi="Times New Roman" w:cs="Times New Roman"/>
          <w:color w:val="000000" w:themeColor="text1"/>
        </w:rPr>
        <w:t xml:space="preserve">,’ 20. Other scholars at the time who incorporated medical material include William of Conches, as Danielle Jacquart points out in, ‘Les </w:t>
      </w:r>
      <w:proofErr w:type="spellStart"/>
      <w:r w:rsidRPr="009D7635">
        <w:rPr>
          <w:rFonts w:ascii="Times New Roman" w:hAnsi="Times New Roman" w:cs="Times New Roman"/>
          <w:color w:val="000000" w:themeColor="text1"/>
        </w:rPr>
        <w:t>emprunts</w:t>
      </w:r>
      <w:proofErr w:type="spellEnd"/>
      <w:r w:rsidRPr="009D7635">
        <w:rPr>
          <w:rFonts w:ascii="Times New Roman" w:hAnsi="Times New Roman" w:cs="Times New Roman"/>
          <w:color w:val="000000" w:themeColor="text1"/>
        </w:rPr>
        <w:t xml:space="preserve"> de Guillaume de Conches aux theories </w:t>
      </w:r>
      <w:proofErr w:type="spellStart"/>
      <w:r w:rsidRPr="009D7635">
        <w:rPr>
          <w:rFonts w:ascii="Times New Roman" w:hAnsi="Times New Roman" w:cs="Times New Roman"/>
          <w:color w:val="000000" w:themeColor="text1"/>
        </w:rPr>
        <w:t>médicales</w:t>
      </w:r>
      <w:proofErr w:type="spellEnd"/>
      <w:r w:rsidRPr="009D7635">
        <w:rPr>
          <w:rFonts w:ascii="Times New Roman" w:hAnsi="Times New Roman" w:cs="Times New Roman"/>
          <w:color w:val="000000" w:themeColor="text1"/>
        </w:rPr>
        <w:t xml:space="preserve">,’ in </w:t>
      </w:r>
      <w:r w:rsidRPr="009D7635">
        <w:rPr>
          <w:rFonts w:ascii="Times New Roman" w:hAnsi="Times New Roman" w:cs="Times New Roman"/>
          <w:i/>
          <w:iCs/>
          <w:color w:val="000000" w:themeColor="text1"/>
        </w:rPr>
        <w:t xml:space="preserve">Guillaume de Conches Philosophie et science au </w:t>
      </w:r>
      <w:proofErr w:type="spellStart"/>
      <w:r w:rsidRPr="009D7635">
        <w:rPr>
          <w:rFonts w:ascii="Times New Roman" w:hAnsi="Times New Roman" w:cs="Times New Roman"/>
          <w:i/>
          <w:iCs/>
          <w:color w:val="000000" w:themeColor="text1"/>
        </w:rPr>
        <w:t>Xiie</w:t>
      </w:r>
      <w:proofErr w:type="spellEnd"/>
      <w:r w:rsidRPr="009D7635">
        <w:rPr>
          <w:rFonts w:ascii="Times New Roman" w:hAnsi="Times New Roman" w:cs="Times New Roman"/>
          <w:i/>
          <w:iCs/>
          <w:color w:val="000000" w:themeColor="text1"/>
        </w:rPr>
        <w:t xml:space="preserve"> siècle, </w:t>
      </w:r>
      <w:r w:rsidRPr="009D7635">
        <w:rPr>
          <w:rFonts w:ascii="Times New Roman" w:hAnsi="Times New Roman" w:cs="Times New Roman"/>
          <w:color w:val="000000" w:themeColor="text1"/>
        </w:rPr>
        <w:t xml:space="preserve">ed. Barbara </w:t>
      </w:r>
      <w:proofErr w:type="spellStart"/>
      <w:r w:rsidRPr="009D7635">
        <w:rPr>
          <w:rFonts w:ascii="Times New Roman" w:hAnsi="Times New Roman" w:cs="Times New Roman"/>
          <w:color w:val="000000" w:themeColor="text1"/>
        </w:rPr>
        <w:t>Obrist</w:t>
      </w:r>
      <w:proofErr w:type="spellEnd"/>
      <w:r w:rsidRPr="009D7635">
        <w:rPr>
          <w:rFonts w:ascii="Times New Roman" w:hAnsi="Times New Roman" w:cs="Times New Roman"/>
          <w:color w:val="000000" w:themeColor="text1"/>
        </w:rPr>
        <w:t xml:space="preserve"> et Irène </w:t>
      </w:r>
      <w:proofErr w:type="spellStart"/>
      <w:r w:rsidRPr="009D7635">
        <w:rPr>
          <w:rFonts w:ascii="Times New Roman" w:hAnsi="Times New Roman" w:cs="Times New Roman"/>
          <w:color w:val="000000" w:themeColor="text1"/>
        </w:rPr>
        <w:t>Caiazzo</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 xml:space="preserve">(Florence: SISMEL, 2011), 79-110. See also Jacquart’s ‘The Introduction of Arabic Medicine into the West: The Question of </w:t>
      </w:r>
      <w:proofErr w:type="spellStart"/>
      <w:r w:rsidRPr="009D7635">
        <w:rPr>
          <w:rFonts w:ascii="Times New Roman" w:hAnsi="Times New Roman" w:cs="Times New Roman"/>
          <w:color w:val="000000" w:themeColor="text1"/>
        </w:rPr>
        <w:t>Etiology</w:t>
      </w:r>
      <w:proofErr w:type="spellEnd"/>
      <w:r w:rsidRPr="009D7635">
        <w:rPr>
          <w:rFonts w:ascii="Times New Roman" w:hAnsi="Times New Roman" w:cs="Times New Roman"/>
          <w:color w:val="000000" w:themeColor="text1"/>
        </w:rPr>
        <w:t xml:space="preserve">, in </w:t>
      </w:r>
      <w:r w:rsidRPr="009D7635">
        <w:rPr>
          <w:rFonts w:ascii="Times New Roman" w:hAnsi="Times New Roman" w:cs="Times New Roman"/>
          <w:i/>
          <w:iCs/>
          <w:color w:val="000000" w:themeColor="text1"/>
        </w:rPr>
        <w:t xml:space="preserve">Health, Disease and Healing in Medieval Culture, </w:t>
      </w:r>
      <w:r w:rsidRPr="009D7635">
        <w:rPr>
          <w:rFonts w:ascii="Times New Roman" w:hAnsi="Times New Roman" w:cs="Times New Roman"/>
          <w:color w:val="000000" w:themeColor="text1"/>
        </w:rPr>
        <w:t xml:space="preserve">ed. Sheila Campbell, Bert Hall, David </w:t>
      </w:r>
      <w:proofErr w:type="spellStart"/>
      <w:r w:rsidRPr="009D7635">
        <w:rPr>
          <w:rFonts w:ascii="Times New Roman" w:hAnsi="Times New Roman" w:cs="Times New Roman"/>
          <w:color w:val="000000" w:themeColor="text1"/>
        </w:rPr>
        <w:t>Klausner</w:t>
      </w:r>
      <w:proofErr w:type="spellEnd"/>
      <w:r w:rsidRPr="009D7635">
        <w:rPr>
          <w:rFonts w:ascii="Times New Roman" w:hAnsi="Times New Roman" w:cs="Times New Roman"/>
          <w:color w:val="000000" w:themeColor="text1"/>
        </w:rPr>
        <w:t xml:space="preserve"> (Toronto: </w:t>
      </w:r>
      <w:proofErr w:type="spellStart"/>
      <w:r w:rsidRPr="009D7635">
        <w:rPr>
          <w:rFonts w:ascii="Times New Roman" w:hAnsi="Times New Roman" w:cs="Times New Roman"/>
          <w:color w:val="000000" w:themeColor="text1"/>
        </w:rPr>
        <w:t>Center</w:t>
      </w:r>
      <w:proofErr w:type="spellEnd"/>
      <w:r w:rsidRPr="009D7635">
        <w:rPr>
          <w:rFonts w:ascii="Times New Roman" w:hAnsi="Times New Roman" w:cs="Times New Roman"/>
          <w:color w:val="000000" w:themeColor="text1"/>
        </w:rPr>
        <w:t xml:space="preserve"> for Medieval Studies, 2992), 186-95. </w:t>
      </w:r>
      <w:r w:rsidRPr="009D7635">
        <w:rPr>
          <w:rFonts w:ascii="Times New Roman" w:hAnsi="Times New Roman" w:cs="Times New Roman"/>
          <w:color w:val="000000"/>
        </w:rPr>
        <w:t xml:space="preserve">Charles Burnett, ‘The Contents and Affiliation of the Scientific Manuscripts Written at, or Brought to, Chartres in the Time of John of Salisbury,’ in </w:t>
      </w:r>
      <w:r w:rsidRPr="009D7635">
        <w:rPr>
          <w:rFonts w:ascii="Times New Roman" w:hAnsi="Times New Roman" w:cs="Times New Roman"/>
          <w:i/>
          <w:iCs/>
          <w:color w:val="000000"/>
        </w:rPr>
        <w:t xml:space="preserve">The World of John of Salisbury, </w:t>
      </w:r>
      <w:r w:rsidRPr="009D7635">
        <w:rPr>
          <w:rFonts w:ascii="Times New Roman" w:hAnsi="Times New Roman" w:cs="Times New Roman"/>
          <w:color w:val="000000"/>
        </w:rPr>
        <w:t xml:space="preserve">ed. M. </w:t>
      </w:r>
      <w:proofErr w:type="spellStart"/>
      <w:r w:rsidRPr="009D7635">
        <w:rPr>
          <w:rFonts w:ascii="Times New Roman" w:hAnsi="Times New Roman" w:cs="Times New Roman"/>
          <w:color w:val="000000"/>
        </w:rPr>
        <w:t>Wilks</w:t>
      </w:r>
      <w:proofErr w:type="spellEnd"/>
      <w:r w:rsidRPr="009D7635">
        <w:rPr>
          <w:rFonts w:ascii="Times New Roman" w:hAnsi="Times New Roman" w:cs="Times New Roman"/>
          <w:color w:val="000000"/>
        </w:rPr>
        <w:t xml:space="preserve"> (Oxford: Blackwell, 1984), 127-60.</w:t>
      </w:r>
    </w:p>
  </w:footnote>
  <w:footnote w:id="41">
    <w:p w14:paraId="63C77891" w14:textId="15865481"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J.M. </w:t>
      </w:r>
      <w:proofErr w:type="spellStart"/>
      <w:r w:rsidRPr="009D7635">
        <w:rPr>
          <w:rFonts w:ascii="Times New Roman" w:hAnsi="Times New Roman" w:cs="Times New Roman"/>
          <w:color w:val="000000" w:themeColor="text1"/>
        </w:rPr>
        <w:t>Déchanet</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Aux sources de la </w:t>
      </w:r>
      <w:proofErr w:type="spellStart"/>
      <w:r w:rsidRPr="009D7635">
        <w:rPr>
          <w:rFonts w:ascii="Times New Roman" w:hAnsi="Times New Roman" w:cs="Times New Roman"/>
          <w:i/>
          <w:color w:val="000000" w:themeColor="text1"/>
        </w:rPr>
        <w:t>spiritualité</w:t>
      </w:r>
      <w:proofErr w:type="spellEnd"/>
      <w:r w:rsidRPr="009D7635">
        <w:rPr>
          <w:rFonts w:ascii="Times New Roman" w:hAnsi="Times New Roman" w:cs="Times New Roman"/>
          <w:i/>
          <w:color w:val="000000" w:themeColor="text1"/>
        </w:rPr>
        <w:t xml:space="preserve"> de Guillaume de St Thierry </w:t>
      </w:r>
      <w:r w:rsidRPr="009D7635">
        <w:rPr>
          <w:rFonts w:ascii="Times New Roman" w:hAnsi="Times New Roman" w:cs="Times New Roman"/>
          <w:color w:val="000000" w:themeColor="text1"/>
        </w:rPr>
        <w:t xml:space="preserve">(Bruges, 1940), especially chapter 3 on ‘Guillaume de St Thierry: </w:t>
      </w:r>
      <w:proofErr w:type="spellStart"/>
      <w:r w:rsidRPr="009D7635">
        <w:rPr>
          <w:rFonts w:ascii="Times New Roman" w:hAnsi="Times New Roman" w:cs="Times New Roman"/>
          <w:color w:val="000000" w:themeColor="text1"/>
        </w:rPr>
        <w:t>L’homme</w:t>
      </w:r>
      <w:proofErr w:type="spellEnd"/>
      <w:r w:rsidRPr="009D7635">
        <w:rPr>
          <w:rFonts w:ascii="Times New Roman" w:hAnsi="Times New Roman" w:cs="Times New Roman"/>
          <w:color w:val="000000" w:themeColor="text1"/>
        </w:rPr>
        <w:t xml:space="preserve"> et son oeuvre.’ Carmen Angela </w:t>
      </w:r>
      <w:proofErr w:type="spellStart"/>
      <w:r w:rsidRPr="009D7635">
        <w:rPr>
          <w:rFonts w:ascii="Times New Roman" w:hAnsi="Times New Roman" w:cs="Times New Roman"/>
          <w:color w:val="000000" w:themeColor="text1"/>
        </w:rPr>
        <w:t>Cvetković</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 xml:space="preserve">Seeking the Face of God: A Study on Augustine’s Reception in the Mystical Thought of Bernard of </w:t>
      </w:r>
      <w:proofErr w:type="spellStart"/>
      <w:r w:rsidRPr="009D7635">
        <w:rPr>
          <w:rFonts w:ascii="Times New Roman" w:hAnsi="Times New Roman" w:cs="Times New Roman"/>
          <w:i/>
          <w:iCs/>
          <w:color w:val="000000" w:themeColor="text1"/>
        </w:rPr>
        <w:t>Clairvaux</w:t>
      </w:r>
      <w:proofErr w:type="spellEnd"/>
      <w:r w:rsidRPr="009D7635">
        <w:rPr>
          <w:rFonts w:ascii="Times New Roman" w:hAnsi="Times New Roman" w:cs="Times New Roman"/>
          <w:i/>
          <w:iCs/>
          <w:color w:val="000000" w:themeColor="text1"/>
        </w:rPr>
        <w:t xml:space="preserve"> and William of St Thierry </w:t>
      </w:r>
      <w:r w:rsidRPr="009D7635">
        <w:rPr>
          <w:rFonts w:ascii="Times New Roman" w:hAnsi="Times New Roman" w:cs="Times New Roman"/>
          <w:color w:val="000000" w:themeColor="text1"/>
        </w:rPr>
        <w:t>(</w:t>
      </w:r>
      <w:proofErr w:type="spellStart"/>
      <w:r w:rsidRPr="009D7635">
        <w:rPr>
          <w:rFonts w:ascii="Times New Roman" w:hAnsi="Times New Roman" w:cs="Times New Roman"/>
          <w:color w:val="000000" w:themeColor="text1"/>
        </w:rPr>
        <w:t>Turnhout</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Brepols</w:t>
      </w:r>
      <w:proofErr w:type="spellEnd"/>
      <w:r w:rsidRPr="009D7635">
        <w:rPr>
          <w:rFonts w:ascii="Times New Roman" w:hAnsi="Times New Roman" w:cs="Times New Roman"/>
          <w:color w:val="000000" w:themeColor="text1"/>
        </w:rPr>
        <w:t xml:space="preserve">, 2012). </w:t>
      </w:r>
    </w:p>
  </w:footnote>
  <w:footnote w:id="42">
    <w:p w14:paraId="766941A4" w14:textId="0FAC62ED"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William of St Thierry,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natura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corporis</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animae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libri</w:t>
      </w:r>
      <w:proofErr w:type="spellEnd"/>
      <w:r w:rsidRPr="009D7635">
        <w:rPr>
          <w:rFonts w:ascii="Times New Roman" w:hAnsi="Times New Roman" w:cs="Times New Roman"/>
          <w:i/>
          <w:color w:val="000000" w:themeColor="text1"/>
        </w:rPr>
        <w:t xml:space="preserve"> duo </w:t>
      </w:r>
      <w:r w:rsidRPr="009D7635">
        <w:rPr>
          <w:rFonts w:ascii="Times New Roman" w:hAnsi="Times New Roman" w:cs="Times New Roman"/>
          <w:color w:val="000000" w:themeColor="text1"/>
        </w:rPr>
        <w:t>(PL</w:t>
      </w:r>
      <w:r w:rsidR="000B2EB5"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180, 695-726), trans. Benjamin Clark in, ‘The Nature of the Body and the Soul,’ in </w:t>
      </w:r>
      <w:r w:rsidRPr="009D7635">
        <w:rPr>
          <w:rFonts w:ascii="Times New Roman" w:hAnsi="Times New Roman" w:cs="Times New Roman"/>
          <w:i/>
          <w:color w:val="000000" w:themeColor="text1"/>
        </w:rPr>
        <w:t xml:space="preserve">Three Treatises on Man: A Cistercian Anthropology, </w:t>
      </w:r>
      <w:r w:rsidRPr="009D7635">
        <w:rPr>
          <w:rFonts w:ascii="Times New Roman" w:hAnsi="Times New Roman" w:cs="Times New Roman"/>
          <w:color w:val="000000" w:themeColor="text1"/>
        </w:rPr>
        <w:t xml:space="preserve">112-13. </w:t>
      </w:r>
    </w:p>
  </w:footnote>
  <w:footnote w:id="43">
    <w:p w14:paraId="3F083128"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William of St Thierry, ‘The Nature of the Body and the Soul,’ 112</w:t>
      </w:r>
    </w:p>
  </w:footnote>
  <w:footnote w:id="44">
    <w:p w14:paraId="385299AF" w14:textId="58C725FC"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3C6CAE"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 xml:space="preserve">114 </w:t>
      </w:r>
    </w:p>
  </w:footnote>
  <w:footnote w:id="45">
    <w:p w14:paraId="53DE935C" w14:textId="1FDC4EA9"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CB0882"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139</w:t>
      </w:r>
    </w:p>
  </w:footnote>
  <w:footnote w:id="46">
    <w:p w14:paraId="1CC80086" w14:textId="4FE17CC6" w:rsidR="00B93ED5" w:rsidRPr="009D7635" w:rsidRDefault="00B93ED5" w:rsidP="006A5A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CB0882" w:rsidRPr="009D7635">
        <w:rPr>
          <w:rFonts w:ascii="Times New Roman" w:hAnsi="Times New Roman" w:cs="Times New Roman"/>
          <w:color w:val="000000" w:themeColor="text1"/>
          <w:sz w:val="20"/>
          <w:szCs w:val="20"/>
        </w:rPr>
        <w:t xml:space="preserve">Ibid., </w:t>
      </w:r>
      <w:r w:rsidRPr="009D7635">
        <w:rPr>
          <w:rFonts w:ascii="Times New Roman" w:hAnsi="Times New Roman" w:cs="Times New Roman"/>
          <w:color w:val="000000" w:themeColor="text1"/>
          <w:sz w:val="20"/>
          <w:szCs w:val="20"/>
        </w:rPr>
        <w:t xml:space="preserve">107, 135, 146. See also ‘Introduction’ to </w:t>
      </w:r>
      <w:r w:rsidRPr="009D7635">
        <w:rPr>
          <w:rFonts w:ascii="Times New Roman" w:hAnsi="Times New Roman" w:cs="Times New Roman"/>
          <w:i/>
          <w:color w:val="000000" w:themeColor="text1"/>
          <w:sz w:val="20"/>
          <w:szCs w:val="20"/>
        </w:rPr>
        <w:t xml:space="preserve">Three Treatises on Man, </w:t>
      </w:r>
      <w:r w:rsidRPr="009D7635">
        <w:rPr>
          <w:rFonts w:ascii="Times New Roman" w:hAnsi="Times New Roman" w:cs="Times New Roman"/>
          <w:color w:val="000000" w:themeColor="text1"/>
          <w:sz w:val="20"/>
          <w:szCs w:val="20"/>
        </w:rPr>
        <w:t>34.</w:t>
      </w:r>
    </w:p>
  </w:footnote>
  <w:footnote w:id="47">
    <w:p w14:paraId="1AEC0E2F" w14:textId="64008AAF" w:rsidR="002A68F8" w:rsidRPr="009D7635" w:rsidRDefault="002A68F8"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Michaud-Quantin</w:t>
      </w:r>
      <w:proofErr w:type="spellEnd"/>
      <w:r w:rsidRPr="009D7635">
        <w:rPr>
          <w:rFonts w:ascii="Times New Roman" w:hAnsi="Times New Roman" w:cs="Times New Roman"/>
          <w:color w:val="000000" w:themeColor="text1"/>
        </w:rPr>
        <w:t xml:space="preserve">, ‘La classification des </w:t>
      </w:r>
      <w:proofErr w:type="spellStart"/>
      <w:r w:rsidRPr="009D7635">
        <w:rPr>
          <w:rFonts w:ascii="Times New Roman" w:hAnsi="Times New Roman" w:cs="Times New Roman"/>
          <w:color w:val="000000" w:themeColor="text1"/>
        </w:rPr>
        <w:t>puissances</w:t>
      </w:r>
      <w:proofErr w:type="spellEnd"/>
      <w:r w:rsidRPr="009D7635">
        <w:rPr>
          <w:rFonts w:ascii="Times New Roman" w:hAnsi="Times New Roman" w:cs="Times New Roman"/>
          <w:color w:val="000000" w:themeColor="text1"/>
        </w:rPr>
        <w:t>,’ 21. William of St Thierry, ‘The Nature of the Body and the Soul,’ 147.</w:t>
      </w:r>
      <w:r w:rsidR="00414919" w:rsidRPr="009D7635">
        <w:rPr>
          <w:rFonts w:ascii="Times New Roman" w:hAnsi="Times New Roman" w:cs="Times New Roman"/>
          <w:color w:val="000000" w:themeColor="text1"/>
        </w:rPr>
        <w:t xml:space="preserve"> </w:t>
      </w:r>
    </w:p>
  </w:footnote>
  <w:footnote w:id="48">
    <w:p w14:paraId="300DE1E6" w14:textId="43AC14D6"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CB0882"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24.</w:t>
      </w:r>
      <w:r w:rsidR="00414919" w:rsidRPr="009D7635">
        <w:rPr>
          <w:rFonts w:ascii="Times New Roman" w:hAnsi="Times New Roman" w:cs="Times New Roman"/>
          <w:color w:val="000000" w:themeColor="text1"/>
        </w:rPr>
        <w:t xml:space="preserve"> Isaac’s reception amongst later </w:t>
      </w:r>
      <w:proofErr w:type="spellStart"/>
      <w:r w:rsidR="00414919" w:rsidRPr="009D7635">
        <w:rPr>
          <w:rFonts w:ascii="Times New Roman" w:hAnsi="Times New Roman" w:cs="Times New Roman"/>
          <w:color w:val="000000" w:themeColor="text1"/>
        </w:rPr>
        <w:t>scholatsics</w:t>
      </w:r>
      <w:proofErr w:type="spellEnd"/>
      <w:r w:rsidR="00414919" w:rsidRPr="009D7635">
        <w:rPr>
          <w:rFonts w:ascii="Times New Roman" w:hAnsi="Times New Roman" w:cs="Times New Roman"/>
          <w:color w:val="000000" w:themeColor="text1"/>
        </w:rPr>
        <w:t xml:space="preserve"> and in particular Albert the Great has been treated by Alexander Fidora in, ‘The Soul as Harmony: A Disputed Doctrine in Twelfth-Century Cistercian Anthropology,’ </w:t>
      </w:r>
      <w:r w:rsidR="00414919" w:rsidRPr="009D7635">
        <w:rPr>
          <w:rFonts w:ascii="Times New Roman" w:hAnsi="Times New Roman" w:cs="Times New Roman"/>
          <w:i/>
          <w:iCs/>
          <w:color w:val="000000" w:themeColor="text1"/>
        </w:rPr>
        <w:t xml:space="preserve">Cistercian Studies Quarterly </w:t>
      </w:r>
      <w:r w:rsidR="00414919" w:rsidRPr="009D7635">
        <w:rPr>
          <w:rFonts w:ascii="Times New Roman" w:hAnsi="Times New Roman" w:cs="Times New Roman"/>
          <w:color w:val="000000" w:themeColor="text1"/>
        </w:rPr>
        <w:t>55:3 (2020)</w:t>
      </w:r>
      <w:r w:rsidR="000B2EB5" w:rsidRPr="009D7635">
        <w:rPr>
          <w:rFonts w:ascii="Times New Roman" w:hAnsi="Times New Roman" w:cs="Times New Roman"/>
          <w:color w:val="000000" w:themeColor="text1"/>
        </w:rPr>
        <w:t xml:space="preserve">: </w:t>
      </w:r>
      <w:r w:rsidR="00155D2F" w:rsidRPr="009D7635">
        <w:rPr>
          <w:rFonts w:ascii="Times New Roman" w:hAnsi="Times New Roman" w:cs="Times New Roman"/>
          <w:color w:val="000000" w:themeColor="text1"/>
        </w:rPr>
        <w:t xml:space="preserve">333-45. </w:t>
      </w:r>
    </w:p>
  </w:footnote>
  <w:footnote w:id="49">
    <w:p w14:paraId="1FA00ED8" w14:textId="687912CD"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Isaac of Stella, </w:t>
      </w:r>
      <w:r w:rsidRPr="009D7635">
        <w:rPr>
          <w:rFonts w:ascii="Times New Roman" w:hAnsi="Times New Roman" w:cs="Times New Roman"/>
          <w:i/>
          <w:color w:val="000000" w:themeColor="text1"/>
        </w:rPr>
        <w:t>Letter on the Soul</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0025789E" w:rsidRPr="009D7635">
        <w:rPr>
          <w:rFonts w:ascii="Times New Roman" w:hAnsi="Times New Roman" w:cs="Times New Roman"/>
          <w:color w:val="000000" w:themeColor="text1"/>
        </w:rPr>
        <w:t>trans. Clark</w:t>
      </w:r>
      <w:r w:rsidRPr="009D7635">
        <w:rPr>
          <w:rFonts w:ascii="Times New Roman" w:hAnsi="Times New Roman" w:cs="Times New Roman"/>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157.</w:t>
      </w:r>
    </w:p>
  </w:footnote>
  <w:footnote w:id="50">
    <w:p w14:paraId="5A664996" w14:textId="624A07EA"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CB0882"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162.</w:t>
      </w:r>
    </w:p>
  </w:footnote>
  <w:footnote w:id="51">
    <w:p w14:paraId="2121E685"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 </w:t>
      </w:r>
      <w:proofErr w:type="spellStart"/>
      <w:r w:rsidRPr="009D7635">
        <w:rPr>
          <w:rFonts w:ascii="Times New Roman" w:hAnsi="Times New Roman" w:cs="Times New Roman"/>
          <w:color w:val="000000" w:themeColor="text1"/>
        </w:rPr>
        <w:t>McGinn</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The Golden Chain: A Study in the Theological Anthropology of Isaac of Stella </w:t>
      </w:r>
      <w:r w:rsidRPr="009D7635">
        <w:rPr>
          <w:rFonts w:ascii="Times New Roman" w:hAnsi="Times New Roman" w:cs="Times New Roman"/>
          <w:color w:val="000000" w:themeColor="text1"/>
        </w:rPr>
        <w:t xml:space="preserve">(Washington: Cistercian Publications, 1972); Bernard </w:t>
      </w:r>
      <w:proofErr w:type="spellStart"/>
      <w:r w:rsidRPr="009D7635">
        <w:rPr>
          <w:rFonts w:ascii="Times New Roman" w:hAnsi="Times New Roman" w:cs="Times New Roman"/>
          <w:color w:val="000000" w:themeColor="text1"/>
        </w:rPr>
        <w:t>McGinn</w:t>
      </w:r>
      <w:proofErr w:type="spellEnd"/>
      <w:r w:rsidRPr="009D7635">
        <w:rPr>
          <w:rFonts w:ascii="Times New Roman" w:hAnsi="Times New Roman" w:cs="Times New Roman"/>
          <w:color w:val="000000" w:themeColor="text1"/>
        </w:rPr>
        <w:t xml:space="preserve">, ‘Introduction,’ in </w:t>
      </w:r>
      <w:r w:rsidRPr="009D7635">
        <w:rPr>
          <w:rFonts w:ascii="Times New Roman" w:hAnsi="Times New Roman" w:cs="Times New Roman"/>
          <w:i/>
          <w:color w:val="000000" w:themeColor="text1"/>
        </w:rPr>
        <w:t>Three Treatises on Man</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88.</w:t>
      </w:r>
    </w:p>
  </w:footnote>
  <w:footnote w:id="52">
    <w:p w14:paraId="76AFBE5E" w14:textId="341AE283"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Isaac of Stella, </w:t>
      </w:r>
      <w:r w:rsidRPr="009D7635">
        <w:rPr>
          <w:rFonts w:ascii="Times New Roman" w:hAnsi="Times New Roman" w:cs="Times New Roman"/>
          <w:i/>
          <w:color w:val="000000" w:themeColor="text1"/>
        </w:rPr>
        <w:t>Letter on the Soul</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trans. </w:t>
      </w:r>
      <w:r w:rsidR="000B2EB5" w:rsidRPr="009D7635">
        <w:rPr>
          <w:rFonts w:ascii="Times New Roman" w:hAnsi="Times New Roman" w:cs="Times New Roman"/>
          <w:color w:val="000000" w:themeColor="text1"/>
        </w:rPr>
        <w:t>Clark</w:t>
      </w:r>
      <w:r w:rsidRPr="009D7635">
        <w:rPr>
          <w:rFonts w:ascii="Times New Roman" w:hAnsi="Times New Roman" w:cs="Times New Roman"/>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168.</w:t>
      </w:r>
    </w:p>
  </w:footnote>
  <w:footnote w:id="53">
    <w:p w14:paraId="4F2705F2" w14:textId="6BE0F5BC"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spiritu</w:t>
      </w:r>
      <w:proofErr w:type="spellEnd"/>
      <w:r w:rsidRPr="009D7635">
        <w:rPr>
          <w:rFonts w:ascii="Times New Roman" w:hAnsi="Times New Roman" w:cs="Times New Roman"/>
          <w:i/>
          <w:color w:val="000000" w:themeColor="text1"/>
        </w:rPr>
        <w:t xml:space="preserve"> et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trans. </w:t>
      </w:r>
      <w:r w:rsidR="0025789E" w:rsidRPr="009D7635">
        <w:rPr>
          <w:rFonts w:ascii="Times New Roman" w:hAnsi="Times New Roman" w:cs="Times New Roman"/>
          <w:color w:val="000000" w:themeColor="text1"/>
        </w:rPr>
        <w:t>Clark,</w:t>
      </w:r>
      <w:r w:rsidRPr="009D7635">
        <w:rPr>
          <w:rFonts w:ascii="Times New Roman" w:hAnsi="Times New Roman" w:cs="Times New Roman"/>
          <w:color w:val="000000" w:themeColor="text1"/>
        </w:rPr>
        <w:t xml:space="preserve"> 195. See also Teresa </w:t>
      </w:r>
      <w:proofErr w:type="spellStart"/>
      <w:r w:rsidRPr="009D7635">
        <w:rPr>
          <w:rFonts w:ascii="Times New Roman" w:hAnsi="Times New Roman" w:cs="Times New Roman"/>
          <w:color w:val="000000" w:themeColor="text1"/>
        </w:rPr>
        <w:t>Regan</w:t>
      </w:r>
      <w:proofErr w:type="spellEnd"/>
      <w:r w:rsidRPr="009D7635">
        <w:rPr>
          <w:rFonts w:ascii="Times New Roman" w:hAnsi="Times New Roman" w:cs="Times New Roman"/>
          <w:color w:val="000000" w:themeColor="text1"/>
        </w:rPr>
        <w:t xml:space="preserve">, ‘A Study of the </w:t>
      </w:r>
      <w:r w:rsidRPr="009D7635">
        <w:rPr>
          <w:rFonts w:ascii="Times New Roman" w:hAnsi="Times New Roman" w:cs="Times New Roman"/>
          <w:i/>
          <w:color w:val="000000" w:themeColor="text1"/>
        </w:rPr>
        <w:t xml:space="preserve">Liber De </w:t>
      </w:r>
      <w:proofErr w:type="spellStart"/>
      <w:r w:rsidRPr="009D7635">
        <w:rPr>
          <w:rFonts w:ascii="Times New Roman" w:hAnsi="Times New Roman" w:cs="Times New Roman"/>
          <w:i/>
          <w:color w:val="000000" w:themeColor="text1"/>
        </w:rPr>
        <w:t>spiritu</w:t>
      </w:r>
      <w:proofErr w:type="spellEnd"/>
      <w:r w:rsidRPr="009D7635">
        <w:rPr>
          <w:rFonts w:ascii="Times New Roman" w:hAnsi="Times New Roman" w:cs="Times New Roman"/>
          <w:i/>
          <w:color w:val="000000" w:themeColor="text1"/>
        </w:rPr>
        <w:t xml:space="preserve"> et anima</w:t>
      </w:r>
      <w:r w:rsidRPr="009D7635">
        <w:rPr>
          <w:rFonts w:ascii="Times New Roman" w:hAnsi="Times New Roman" w:cs="Times New Roman"/>
          <w:color w:val="000000" w:themeColor="text1"/>
        </w:rPr>
        <w:t xml:space="preserve">,’ PhD thesis, University of Toronto, 1948. </w:t>
      </w:r>
    </w:p>
  </w:footnote>
  <w:footnote w:id="54">
    <w:p w14:paraId="3A9B352D" w14:textId="77777777" w:rsidR="0048535A" w:rsidRPr="009D7635" w:rsidRDefault="0048535A" w:rsidP="0048535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 </w:t>
      </w:r>
      <w:proofErr w:type="spellStart"/>
      <w:r w:rsidRPr="009D7635">
        <w:rPr>
          <w:rFonts w:ascii="Times New Roman" w:hAnsi="Times New Roman" w:cs="Times New Roman"/>
          <w:color w:val="000000" w:themeColor="text1"/>
        </w:rPr>
        <w:t>McGinn</w:t>
      </w:r>
      <w:proofErr w:type="spellEnd"/>
      <w:r w:rsidRPr="009D7635">
        <w:rPr>
          <w:rFonts w:ascii="Times New Roman" w:hAnsi="Times New Roman" w:cs="Times New Roman"/>
          <w:color w:val="000000" w:themeColor="text1"/>
        </w:rPr>
        <w:t xml:space="preserve">, ‘Introduction,’ in </w:t>
      </w:r>
      <w:r w:rsidRPr="009D7635">
        <w:rPr>
          <w:rFonts w:ascii="Times New Roman" w:hAnsi="Times New Roman" w:cs="Times New Roman"/>
          <w:i/>
          <w:color w:val="000000" w:themeColor="text1"/>
        </w:rPr>
        <w:t>Three Treatises on Man,</w:t>
      </w:r>
      <w:r w:rsidRPr="009D7635">
        <w:rPr>
          <w:rFonts w:ascii="Times New Roman" w:hAnsi="Times New Roman" w:cs="Times New Roman"/>
          <w:color w:val="000000" w:themeColor="text1"/>
        </w:rPr>
        <w:t xml:space="preserve"> </w:t>
      </w:r>
      <w:r w:rsidRPr="009D7635">
        <w:rPr>
          <w:rFonts w:ascii="Times New Roman" w:eastAsia="Times New Roman" w:hAnsi="Times New Roman" w:cs="Times New Roman"/>
          <w:color w:val="000000" w:themeColor="text1"/>
        </w:rPr>
        <w:t>65.</w:t>
      </w:r>
    </w:p>
  </w:footnote>
  <w:footnote w:id="55">
    <w:p w14:paraId="65EFB5D8" w14:textId="63C2C0AC" w:rsidR="00BA378A" w:rsidRPr="009D7635" w:rsidRDefault="00BA378A" w:rsidP="007062D8">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E3068D" w:rsidRPr="009D7635">
        <w:rPr>
          <w:rFonts w:ascii="Times New Roman" w:hAnsi="Times New Roman" w:cs="Times New Roman"/>
          <w:color w:val="000000" w:themeColor="text1"/>
        </w:rPr>
        <w:t xml:space="preserve">Ibid., </w:t>
      </w:r>
      <w:r w:rsidRPr="009D7635">
        <w:rPr>
          <w:rFonts w:ascii="Times New Roman" w:eastAsia="Times New Roman" w:hAnsi="Times New Roman" w:cs="Times New Roman"/>
          <w:color w:val="000000" w:themeColor="text1"/>
        </w:rPr>
        <w:t>64.</w:t>
      </w:r>
    </w:p>
  </w:footnote>
  <w:footnote w:id="56">
    <w:p w14:paraId="66872583" w14:textId="3D8D889B" w:rsidR="006D057A" w:rsidRPr="009D7635" w:rsidRDefault="006D057A" w:rsidP="007062D8">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E3068D"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67.</w:t>
      </w:r>
    </w:p>
  </w:footnote>
  <w:footnote w:id="57">
    <w:p w14:paraId="146E22A3" w14:textId="4CFC9913" w:rsidR="00AB5E1C" w:rsidRPr="009D7635" w:rsidRDefault="00AB5E1C" w:rsidP="00AB5E1C">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Constant Mews, ‘Debating the Authority of Pseudo-Augustine’s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spiritu</w:t>
      </w:r>
      <w:proofErr w:type="spellEnd"/>
      <w:r w:rsidRPr="009D7635">
        <w:rPr>
          <w:rFonts w:ascii="Times New Roman" w:hAnsi="Times New Roman" w:cs="Times New Roman"/>
          <w:i/>
          <w:color w:val="000000" w:themeColor="text1"/>
        </w:rPr>
        <w:t xml:space="preserve"> et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iCs/>
          <w:color w:val="000000" w:themeColor="text1"/>
          <w:lang w:val="en-US"/>
        </w:rPr>
        <w:t>Prezgląd</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Tomistyczny</w:t>
      </w:r>
      <w:proofErr w:type="spellEnd"/>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iCs/>
          <w:color w:val="000000" w:themeColor="text1"/>
          <w:lang w:val="en-US"/>
        </w:rPr>
        <w:t>24 (2018)</w:t>
      </w:r>
      <w:r w:rsidR="00526F9A" w:rsidRPr="009D7635">
        <w:rPr>
          <w:rFonts w:ascii="Times New Roman" w:hAnsi="Times New Roman" w:cs="Times New Roman"/>
          <w:iCs/>
          <w:color w:val="000000" w:themeColor="text1"/>
          <w:lang w:val="en-US"/>
        </w:rPr>
        <w:t xml:space="preserve">: </w:t>
      </w:r>
      <w:r w:rsidRPr="009D7635">
        <w:rPr>
          <w:rFonts w:ascii="Times New Roman" w:hAnsi="Times New Roman" w:cs="Times New Roman"/>
          <w:iCs/>
          <w:color w:val="000000" w:themeColor="text1"/>
          <w:lang w:val="en-US"/>
        </w:rPr>
        <w:t>321-48</w:t>
      </w:r>
      <w:r w:rsidR="00C163B4" w:rsidRPr="009D7635">
        <w:rPr>
          <w:rFonts w:ascii="Times New Roman" w:hAnsi="Times New Roman" w:cs="Times New Roman"/>
          <w:iCs/>
          <w:color w:val="000000" w:themeColor="text1"/>
          <w:lang w:val="en-US"/>
        </w:rPr>
        <w:t>; idem.</w:t>
      </w:r>
      <w:r w:rsidR="003C5828" w:rsidRPr="009D7635">
        <w:rPr>
          <w:rFonts w:ascii="Times New Roman" w:hAnsi="Times New Roman" w:cs="Times New Roman"/>
          <w:iCs/>
          <w:color w:val="000000" w:themeColor="text1"/>
          <w:lang w:val="en-US"/>
        </w:rPr>
        <w:t xml:space="preserve">, </w:t>
      </w:r>
      <w:r w:rsidRPr="009D7635">
        <w:rPr>
          <w:rFonts w:ascii="Times New Roman" w:hAnsi="Times New Roman" w:cs="Times New Roman"/>
          <w:color w:val="000000" w:themeColor="text1"/>
          <w:lang w:val="en-US"/>
        </w:rPr>
        <w:t xml:space="preserve">‘The Early Diffusion of the </w:t>
      </w:r>
      <w:r w:rsidRPr="009D7635">
        <w:rPr>
          <w:rFonts w:ascii="Times New Roman" w:hAnsi="Times New Roman" w:cs="Times New Roman"/>
          <w:i/>
          <w:iCs/>
          <w:color w:val="000000" w:themeColor="text1"/>
          <w:lang w:val="en-US"/>
        </w:rPr>
        <w:t xml:space="preserve">De </w:t>
      </w:r>
      <w:proofErr w:type="spellStart"/>
      <w:r w:rsidRPr="009D7635">
        <w:rPr>
          <w:rFonts w:ascii="Times New Roman" w:hAnsi="Times New Roman" w:cs="Times New Roman"/>
          <w:i/>
          <w:iCs/>
          <w:color w:val="000000" w:themeColor="text1"/>
          <w:lang w:val="en-US"/>
        </w:rPr>
        <w:t>spiritu</w:t>
      </w:r>
      <w:proofErr w:type="spellEnd"/>
      <w:r w:rsidRPr="009D7635">
        <w:rPr>
          <w:rFonts w:ascii="Times New Roman" w:hAnsi="Times New Roman" w:cs="Times New Roman"/>
          <w:i/>
          <w:iCs/>
          <w:color w:val="000000" w:themeColor="text1"/>
          <w:lang w:val="en-US"/>
        </w:rPr>
        <w:t xml:space="preserve"> et anima</w:t>
      </w:r>
      <w:r w:rsidRPr="009D7635">
        <w:rPr>
          <w:rFonts w:ascii="Times New Roman" w:hAnsi="Times New Roman" w:cs="Times New Roman"/>
          <w:color w:val="000000" w:themeColor="text1"/>
          <w:lang w:val="en-US"/>
        </w:rPr>
        <w:t xml:space="preserve"> and Cistercian Reflection on the Powers of the Soul,’ </w:t>
      </w:r>
      <w:r w:rsidRPr="009D7635">
        <w:rPr>
          <w:rFonts w:ascii="Times New Roman" w:hAnsi="Times New Roman" w:cs="Times New Roman"/>
          <w:i/>
          <w:iCs/>
          <w:color w:val="000000" w:themeColor="text1"/>
          <w:lang w:val="en-US"/>
        </w:rPr>
        <w:t xml:space="preserve">Viator </w:t>
      </w:r>
      <w:r w:rsidRPr="009D7635">
        <w:rPr>
          <w:rFonts w:ascii="Times New Roman" w:hAnsi="Times New Roman" w:cs="Times New Roman"/>
          <w:color w:val="000000" w:themeColor="text1"/>
          <w:lang w:val="en-US"/>
        </w:rPr>
        <w:t>49 (2019)</w:t>
      </w:r>
      <w:r w:rsidR="005C2F7A"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lang w:val="en-US"/>
        </w:rPr>
        <w:t>297-330</w:t>
      </w:r>
      <w:r w:rsidR="00C163B4" w:rsidRPr="009D7635">
        <w:rPr>
          <w:rFonts w:ascii="Times New Roman" w:hAnsi="Times New Roman" w:cs="Times New Roman"/>
          <w:color w:val="000000" w:themeColor="text1"/>
          <w:lang w:val="en-US"/>
        </w:rPr>
        <w:t>.</w:t>
      </w:r>
    </w:p>
  </w:footnote>
  <w:footnote w:id="58">
    <w:p w14:paraId="6D22072B"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 </w:t>
      </w:r>
      <w:proofErr w:type="spellStart"/>
      <w:r w:rsidRPr="009D7635">
        <w:rPr>
          <w:rFonts w:ascii="Times New Roman" w:hAnsi="Times New Roman" w:cs="Times New Roman"/>
          <w:color w:val="000000" w:themeColor="text1"/>
        </w:rPr>
        <w:t>McGinn</w:t>
      </w:r>
      <w:proofErr w:type="spellEnd"/>
      <w:r w:rsidRPr="009D7635">
        <w:rPr>
          <w:rFonts w:ascii="Times New Roman" w:hAnsi="Times New Roman" w:cs="Times New Roman"/>
          <w:color w:val="000000" w:themeColor="text1"/>
        </w:rPr>
        <w:t xml:space="preserve">, ‘Introduction,’ in </w:t>
      </w:r>
      <w:r w:rsidRPr="009D7635">
        <w:rPr>
          <w:rFonts w:ascii="Times New Roman" w:hAnsi="Times New Roman" w:cs="Times New Roman"/>
          <w:i/>
          <w:color w:val="000000" w:themeColor="text1"/>
        </w:rPr>
        <w:t>Three Treatises on Man,</w:t>
      </w:r>
      <w:r w:rsidRPr="009D7635">
        <w:rPr>
          <w:rFonts w:ascii="Times New Roman" w:eastAsia="Times New Roman" w:hAnsi="Times New Roman" w:cs="Times New Roman"/>
          <w:color w:val="000000" w:themeColor="text1"/>
        </w:rPr>
        <w:t xml:space="preserve"> 71. Constant Mews, ‘</w:t>
      </w:r>
      <w:r w:rsidRPr="009D7635">
        <w:rPr>
          <w:rFonts w:ascii="Times New Roman" w:hAnsi="Times New Roman" w:cs="Times New Roman"/>
          <w:color w:val="000000" w:themeColor="text1"/>
          <w:lang w:val="en-US"/>
        </w:rPr>
        <w:t xml:space="preserve">The Early Diffusion of the </w:t>
      </w:r>
      <w:r w:rsidRPr="009D7635">
        <w:rPr>
          <w:rFonts w:ascii="Times New Roman" w:hAnsi="Times New Roman" w:cs="Times New Roman"/>
          <w:i/>
          <w:iCs/>
          <w:color w:val="000000" w:themeColor="text1"/>
          <w:lang w:val="en-US"/>
        </w:rPr>
        <w:t xml:space="preserve">De </w:t>
      </w:r>
      <w:proofErr w:type="spellStart"/>
      <w:r w:rsidRPr="009D7635">
        <w:rPr>
          <w:rFonts w:ascii="Times New Roman" w:hAnsi="Times New Roman" w:cs="Times New Roman"/>
          <w:i/>
          <w:iCs/>
          <w:color w:val="000000" w:themeColor="text1"/>
          <w:lang w:val="en-US"/>
        </w:rPr>
        <w:t>spiritu</w:t>
      </w:r>
      <w:proofErr w:type="spellEnd"/>
      <w:r w:rsidRPr="009D7635">
        <w:rPr>
          <w:rFonts w:ascii="Times New Roman" w:hAnsi="Times New Roman" w:cs="Times New Roman"/>
          <w:i/>
          <w:iCs/>
          <w:color w:val="000000" w:themeColor="text1"/>
          <w:lang w:val="en-US"/>
        </w:rPr>
        <w:t xml:space="preserve"> et anima</w:t>
      </w:r>
      <w:r w:rsidRPr="009D7635">
        <w:rPr>
          <w:rFonts w:ascii="Times New Roman" w:hAnsi="Times New Roman" w:cs="Times New Roman"/>
          <w:color w:val="000000" w:themeColor="text1"/>
          <w:lang w:val="en-US"/>
        </w:rPr>
        <w:t>,’ 318</w:t>
      </w:r>
      <w:r w:rsidRPr="009D7635">
        <w:rPr>
          <w:rFonts w:ascii="Times New Roman" w:hAnsi="Times New Roman" w:cs="Times New Roman"/>
          <w:i/>
          <w:iCs/>
          <w:color w:val="000000" w:themeColor="text1"/>
          <w:lang w:val="en-US"/>
        </w:rPr>
        <w:t>.</w:t>
      </w:r>
    </w:p>
  </w:footnote>
  <w:footnote w:id="59">
    <w:p w14:paraId="4D79E8BE" w14:textId="2ABD65F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J.-P. </w:t>
      </w:r>
      <w:proofErr w:type="spellStart"/>
      <w:r w:rsidRPr="009D7635">
        <w:rPr>
          <w:rFonts w:ascii="Times New Roman" w:hAnsi="Times New Roman" w:cs="Times New Roman"/>
          <w:color w:val="000000" w:themeColor="text1"/>
        </w:rPr>
        <w:t>Torrell</w:t>
      </w:r>
      <w:proofErr w:type="spellEnd"/>
      <w:r w:rsidRPr="009D7635">
        <w:rPr>
          <w:rFonts w:ascii="Times New Roman" w:hAnsi="Times New Roman" w:cs="Times New Roman"/>
          <w:color w:val="000000" w:themeColor="text1"/>
        </w:rPr>
        <w:t xml:space="preserve">, ‘Introduction,’ in </w:t>
      </w:r>
      <w:proofErr w:type="spellStart"/>
      <w:r w:rsidRPr="009D7635">
        <w:rPr>
          <w:rFonts w:ascii="Times New Roman" w:hAnsi="Times New Roman" w:cs="Times New Roman"/>
          <w:color w:val="000000" w:themeColor="text1"/>
          <w:lang w:val="en-US"/>
        </w:rPr>
        <w:t>Guerric</w:t>
      </w:r>
      <w:proofErr w:type="spellEnd"/>
      <w:r w:rsidRPr="009D7635">
        <w:rPr>
          <w:rFonts w:ascii="Times New Roman" w:hAnsi="Times New Roman" w:cs="Times New Roman"/>
          <w:color w:val="000000" w:themeColor="text1"/>
          <w:lang w:val="en-US"/>
        </w:rPr>
        <w:t xml:space="preserve"> of Saint-Quentin, </w:t>
      </w:r>
      <w:proofErr w:type="spellStart"/>
      <w:r w:rsidRPr="009D7635">
        <w:rPr>
          <w:rFonts w:ascii="Times New Roman" w:hAnsi="Times New Roman" w:cs="Times New Roman"/>
          <w:i/>
          <w:color w:val="000000" w:themeColor="text1"/>
          <w:lang w:val="en-US"/>
        </w:rPr>
        <w:t>Quaestiones</w:t>
      </w:r>
      <w:proofErr w:type="spellEnd"/>
      <w:r w:rsidRPr="009D7635">
        <w:rPr>
          <w:rFonts w:ascii="Times New Roman" w:hAnsi="Times New Roman" w:cs="Times New Roman"/>
          <w:i/>
          <w:color w:val="000000" w:themeColor="text1"/>
          <w:lang w:val="en-US"/>
        </w:rPr>
        <w:t xml:space="preserve"> de quo</w:t>
      </w:r>
      <w:r w:rsidR="004D4D87" w:rsidRPr="009D7635">
        <w:rPr>
          <w:rFonts w:ascii="Times New Roman" w:hAnsi="Times New Roman" w:cs="Times New Roman"/>
          <w:i/>
          <w:color w:val="000000" w:themeColor="text1"/>
          <w:lang w:val="en-US"/>
        </w:rPr>
        <w:t>d</w:t>
      </w:r>
      <w:r w:rsidRPr="009D7635">
        <w:rPr>
          <w:rFonts w:ascii="Times New Roman" w:hAnsi="Times New Roman" w:cs="Times New Roman"/>
          <w:i/>
          <w:color w:val="000000" w:themeColor="text1"/>
          <w:lang w:val="en-US"/>
        </w:rPr>
        <w:t>libet</w:t>
      </w:r>
      <w:r w:rsidR="00DA6EF4" w:rsidRPr="009D7635">
        <w:rPr>
          <w:rFonts w:ascii="Times New Roman" w:hAnsi="Times New Roman" w:cs="Times New Roman"/>
          <w:i/>
          <w:color w:val="000000" w:themeColor="text1"/>
          <w:lang w:val="en-US"/>
        </w:rPr>
        <w:t xml:space="preserve">: </w:t>
      </w:r>
      <w:r w:rsidRPr="009D7635">
        <w:rPr>
          <w:rFonts w:ascii="Times New Roman" w:hAnsi="Times New Roman" w:cs="Times New Roman"/>
          <w:i/>
          <w:color w:val="000000" w:themeColor="text1"/>
          <w:lang w:val="en-US"/>
        </w:rPr>
        <w:t>A Critical Edition</w:t>
      </w:r>
      <w:r w:rsidRPr="009D7635">
        <w:rPr>
          <w:rFonts w:ascii="Times New Roman" w:hAnsi="Times New Roman" w:cs="Times New Roman"/>
          <w:color w:val="000000" w:themeColor="text1"/>
          <w:lang w:val="en-US"/>
        </w:rPr>
        <w:t>, ed. W.H. Principe (Toronto: Pontifical Institute of Mediaeval Studies, 2002), 2</w:t>
      </w:r>
      <w:r w:rsidRPr="009D7635">
        <w:rPr>
          <w:rFonts w:ascii="Times New Roman" w:hAnsi="Times New Roman" w:cs="Times New Roman"/>
          <w:color w:val="000000" w:themeColor="text1"/>
        </w:rPr>
        <w:t xml:space="preserve">1, quodlibet 3.6. </w:t>
      </w:r>
    </w:p>
  </w:footnote>
  <w:footnote w:id="60">
    <w:p w14:paraId="2A9D0D65" w14:textId="2C9C4057" w:rsidR="002A5D45" w:rsidRPr="009D7635" w:rsidRDefault="002A5D45" w:rsidP="006A5A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CD04D8" w:rsidRPr="009D7635">
        <w:rPr>
          <w:rFonts w:ascii="Times New Roman" w:hAnsi="Times New Roman" w:cs="Times New Roman"/>
          <w:color w:val="000000" w:themeColor="text1"/>
          <w:sz w:val="20"/>
          <w:szCs w:val="20"/>
        </w:rPr>
        <w:t xml:space="preserve">G. </w:t>
      </w:r>
      <w:proofErr w:type="spellStart"/>
      <w:r w:rsidR="00CD04D8" w:rsidRPr="009D7635">
        <w:rPr>
          <w:rFonts w:ascii="Times New Roman" w:hAnsi="Times New Roman" w:cs="Times New Roman"/>
          <w:color w:val="000000" w:themeColor="text1"/>
          <w:sz w:val="20"/>
          <w:szCs w:val="20"/>
        </w:rPr>
        <w:t>Théry</w:t>
      </w:r>
      <w:proofErr w:type="spellEnd"/>
      <w:r w:rsidR="00CD04D8" w:rsidRPr="009D7635">
        <w:rPr>
          <w:rFonts w:ascii="Times New Roman" w:hAnsi="Times New Roman" w:cs="Times New Roman"/>
          <w:color w:val="000000" w:themeColor="text1"/>
          <w:sz w:val="20"/>
          <w:szCs w:val="20"/>
        </w:rPr>
        <w:t>, ‘</w:t>
      </w:r>
      <w:proofErr w:type="spellStart"/>
      <w:r w:rsidR="00CD04D8" w:rsidRPr="009D7635">
        <w:rPr>
          <w:rFonts w:ascii="Times New Roman" w:hAnsi="Times New Roman" w:cs="Times New Roman"/>
          <w:color w:val="000000" w:themeColor="text1"/>
          <w:sz w:val="20"/>
          <w:szCs w:val="20"/>
        </w:rPr>
        <w:t>L’authenticité</w:t>
      </w:r>
      <w:proofErr w:type="spellEnd"/>
      <w:r w:rsidR="00CD04D8" w:rsidRPr="009D7635">
        <w:rPr>
          <w:rFonts w:ascii="Times New Roman" w:hAnsi="Times New Roman" w:cs="Times New Roman"/>
          <w:color w:val="000000" w:themeColor="text1"/>
          <w:sz w:val="20"/>
          <w:szCs w:val="20"/>
        </w:rPr>
        <w:t xml:space="preserve"> du </w:t>
      </w:r>
      <w:r w:rsidR="00CD04D8" w:rsidRPr="009D7635">
        <w:rPr>
          <w:rFonts w:ascii="Times New Roman" w:hAnsi="Times New Roman" w:cs="Times New Roman"/>
          <w:i/>
          <w:color w:val="000000" w:themeColor="text1"/>
          <w:sz w:val="20"/>
          <w:szCs w:val="20"/>
        </w:rPr>
        <w:t xml:space="preserve">De </w:t>
      </w:r>
      <w:proofErr w:type="spellStart"/>
      <w:r w:rsidR="00CD04D8" w:rsidRPr="009D7635">
        <w:rPr>
          <w:rFonts w:ascii="Times New Roman" w:hAnsi="Times New Roman" w:cs="Times New Roman"/>
          <w:i/>
          <w:color w:val="000000" w:themeColor="text1"/>
          <w:sz w:val="20"/>
          <w:szCs w:val="20"/>
        </w:rPr>
        <w:t>spiritu</w:t>
      </w:r>
      <w:proofErr w:type="spellEnd"/>
      <w:r w:rsidR="00CD04D8" w:rsidRPr="009D7635">
        <w:rPr>
          <w:rFonts w:ascii="Times New Roman" w:hAnsi="Times New Roman" w:cs="Times New Roman"/>
          <w:i/>
          <w:color w:val="000000" w:themeColor="text1"/>
          <w:sz w:val="20"/>
          <w:szCs w:val="20"/>
        </w:rPr>
        <w:t xml:space="preserve"> et anima</w:t>
      </w:r>
      <w:r w:rsidR="00CD04D8" w:rsidRPr="009D7635">
        <w:rPr>
          <w:rFonts w:ascii="Times New Roman" w:hAnsi="Times New Roman" w:cs="Times New Roman"/>
          <w:color w:val="000000" w:themeColor="text1"/>
          <w:sz w:val="20"/>
          <w:szCs w:val="20"/>
        </w:rPr>
        <w:t xml:space="preserve"> dans Saint Thomas et Albert le Grand,’ </w:t>
      </w:r>
      <w:r w:rsidR="00CD04D8" w:rsidRPr="009D7635">
        <w:rPr>
          <w:rFonts w:ascii="Times New Roman" w:hAnsi="Times New Roman" w:cs="Times New Roman"/>
          <w:i/>
          <w:color w:val="000000" w:themeColor="text1"/>
          <w:sz w:val="20"/>
          <w:szCs w:val="20"/>
          <w:shd w:val="clear" w:color="auto" w:fill="FFFFFF"/>
        </w:rPr>
        <w:t xml:space="preserve">Revue des sciences </w:t>
      </w:r>
      <w:proofErr w:type="spellStart"/>
      <w:r w:rsidR="00CD04D8" w:rsidRPr="009D7635">
        <w:rPr>
          <w:rFonts w:ascii="Times New Roman" w:hAnsi="Times New Roman" w:cs="Times New Roman"/>
          <w:i/>
          <w:color w:val="000000" w:themeColor="text1"/>
          <w:sz w:val="20"/>
          <w:szCs w:val="20"/>
          <w:shd w:val="clear" w:color="auto" w:fill="FFFFFF"/>
        </w:rPr>
        <w:t>philosophiques</w:t>
      </w:r>
      <w:proofErr w:type="spellEnd"/>
      <w:r w:rsidR="00CD04D8" w:rsidRPr="009D7635">
        <w:rPr>
          <w:rFonts w:ascii="Times New Roman" w:hAnsi="Times New Roman" w:cs="Times New Roman"/>
          <w:i/>
          <w:color w:val="000000" w:themeColor="text1"/>
          <w:sz w:val="20"/>
          <w:szCs w:val="20"/>
          <w:shd w:val="clear" w:color="auto" w:fill="FFFFFF"/>
        </w:rPr>
        <w:t xml:space="preserve"> et </w:t>
      </w:r>
      <w:proofErr w:type="spellStart"/>
      <w:r w:rsidR="00CD04D8" w:rsidRPr="009D7635">
        <w:rPr>
          <w:rFonts w:ascii="Times New Roman" w:hAnsi="Times New Roman" w:cs="Times New Roman"/>
          <w:i/>
          <w:color w:val="000000" w:themeColor="text1"/>
          <w:sz w:val="20"/>
          <w:szCs w:val="20"/>
          <w:shd w:val="clear" w:color="auto" w:fill="FFFFFF"/>
        </w:rPr>
        <w:t>théologiques</w:t>
      </w:r>
      <w:proofErr w:type="spellEnd"/>
      <w:r w:rsidR="00CD04D8" w:rsidRPr="009D7635">
        <w:rPr>
          <w:rFonts w:ascii="Times New Roman" w:hAnsi="Times New Roman" w:cs="Times New Roman"/>
          <w:color w:val="000000" w:themeColor="text1"/>
          <w:sz w:val="20"/>
          <w:szCs w:val="20"/>
          <w:shd w:val="clear" w:color="auto" w:fill="FFFFFF"/>
        </w:rPr>
        <w:t xml:space="preserve"> 10 (1921)</w:t>
      </w:r>
      <w:r w:rsidR="00551249" w:rsidRPr="009D7635">
        <w:rPr>
          <w:rFonts w:ascii="Times New Roman" w:hAnsi="Times New Roman" w:cs="Times New Roman"/>
          <w:color w:val="000000" w:themeColor="text1"/>
          <w:sz w:val="20"/>
          <w:szCs w:val="20"/>
          <w:shd w:val="clear" w:color="auto" w:fill="FFFFFF"/>
        </w:rPr>
        <w:t xml:space="preserve">: </w:t>
      </w:r>
      <w:r w:rsidRPr="009D7635">
        <w:rPr>
          <w:rFonts w:ascii="Times New Roman" w:hAnsi="Times New Roman" w:cs="Times New Roman"/>
          <w:color w:val="000000" w:themeColor="text1"/>
          <w:sz w:val="20"/>
          <w:szCs w:val="20"/>
        </w:rPr>
        <w:t xml:space="preserve">376. Although some of Albert’s later writings admittedly ascribe passages from the text to Augustine, this does not mean in </w:t>
      </w:r>
      <w:proofErr w:type="spellStart"/>
      <w:r w:rsidRPr="009D7635">
        <w:rPr>
          <w:rFonts w:ascii="Times New Roman" w:hAnsi="Times New Roman" w:cs="Times New Roman"/>
          <w:color w:val="000000" w:themeColor="text1"/>
          <w:sz w:val="20"/>
          <w:szCs w:val="20"/>
        </w:rPr>
        <w:t>Théry’s</w:t>
      </w:r>
      <w:proofErr w:type="spellEnd"/>
      <w:r w:rsidRPr="009D7635">
        <w:rPr>
          <w:rFonts w:ascii="Times New Roman" w:hAnsi="Times New Roman" w:cs="Times New Roman"/>
          <w:color w:val="000000" w:themeColor="text1"/>
          <w:sz w:val="20"/>
          <w:szCs w:val="20"/>
        </w:rPr>
        <w:t xml:space="preserve"> view that Albert changed his mind about the authorship; it only reflects his awareness of the fact that there are some authentic elements or extracts from Augustine within the work, which is not itself the product of Augustine’s hand.</w:t>
      </w:r>
    </w:p>
  </w:footnote>
  <w:footnote w:id="61">
    <w:p w14:paraId="2A81569B" w14:textId="6029E507" w:rsidR="0011051C" w:rsidRPr="009D7635" w:rsidRDefault="0011051C" w:rsidP="00DA7C03">
      <w:pPr>
        <w:autoSpaceDE w:val="0"/>
        <w:autoSpaceDN w:val="0"/>
        <w:adjustRightInd w:val="0"/>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CD04D8" w:rsidRPr="009D7635">
        <w:rPr>
          <w:rFonts w:ascii="Times New Roman" w:hAnsi="Times New Roman" w:cs="Times New Roman"/>
          <w:color w:val="000000" w:themeColor="text1"/>
          <w:sz w:val="20"/>
          <w:szCs w:val="20"/>
        </w:rPr>
        <w:t xml:space="preserve">Ibid., </w:t>
      </w:r>
      <w:r w:rsidR="003C5828" w:rsidRPr="009D7635">
        <w:rPr>
          <w:rFonts w:ascii="Times New Roman" w:hAnsi="Times New Roman" w:cs="Times New Roman"/>
          <w:color w:val="000000" w:themeColor="text1"/>
          <w:sz w:val="20"/>
          <w:szCs w:val="20"/>
          <w:shd w:val="clear" w:color="auto" w:fill="FFFFFF"/>
        </w:rPr>
        <w:t xml:space="preserve">377: </w:t>
      </w:r>
      <w:r w:rsidRPr="009D7635">
        <w:rPr>
          <w:rFonts w:ascii="Times New Roman" w:hAnsi="Times New Roman" w:cs="Times New Roman"/>
          <w:color w:val="000000" w:themeColor="text1"/>
          <w:sz w:val="20"/>
          <w:szCs w:val="20"/>
        </w:rPr>
        <w:t xml:space="preserve">In response to the rejoinder that Albert and Thomas Aquinas also quote the </w:t>
      </w:r>
      <w:r w:rsidRPr="009D7635">
        <w:rPr>
          <w:rFonts w:ascii="Times New Roman" w:hAnsi="Times New Roman" w:cs="Times New Roman"/>
          <w:i/>
          <w:color w:val="000000" w:themeColor="text1"/>
          <w:sz w:val="20"/>
          <w:szCs w:val="20"/>
        </w:rPr>
        <w:t xml:space="preserve">De </w:t>
      </w:r>
      <w:proofErr w:type="spellStart"/>
      <w:r w:rsidRPr="009D7635">
        <w:rPr>
          <w:rFonts w:ascii="Times New Roman" w:hAnsi="Times New Roman" w:cs="Times New Roman"/>
          <w:i/>
          <w:color w:val="000000" w:themeColor="text1"/>
          <w:sz w:val="20"/>
          <w:szCs w:val="20"/>
        </w:rPr>
        <w:t>spiritu</w:t>
      </w:r>
      <w:proofErr w:type="spellEnd"/>
      <w:r w:rsidRPr="009D7635">
        <w:rPr>
          <w:rFonts w:ascii="Times New Roman" w:hAnsi="Times New Roman" w:cs="Times New Roman"/>
          <w:i/>
          <w:color w:val="000000" w:themeColor="text1"/>
          <w:sz w:val="20"/>
          <w:szCs w:val="20"/>
        </w:rPr>
        <w:t xml:space="preserve"> et anima, </w:t>
      </w:r>
      <w:proofErr w:type="spellStart"/>
      <w:r w:rsidRPr="009D7635">
        <w:rPr>
          <w:rFonts w:ascii="Times New Roman" w:hAnsi="Times New Roman" w:cs="Times New Roman"/>
          <w:color w:val="000000" w:themeColor="text1"/>
          <w:sz w:val="20"/>
          <w:szCs w:val="20"/>
        </w:rPr>
        <w:t>Théry</w:t>
      </w:r>
      <w:proofErr w:type="spellEnd"/>
      <w:r w:rsidRPr="009D7635">
        <w:rPr>
          <w:rFonts w:ascii="Times New Roman" w:hAnsi="Times New Roman" w:cs="Times New Roman"/>
          <w:color w:val="000000" w:themeColor="text1"/>
          <w:sz w:val="20"/>
          <w:szCs w:val="20"/>
        </w:rPr>
        <w:t xml:space="preserve"> points out that they only do so in responding to their Franciscan counterparts, who quote the text extensively. </w:t>
      </w:r>
    </w:p>
  </w:footnote>
  <w:footnote w:id="62">
    <w:p w14:paraId="08FCDAB8" w14:textId="466B58E2" w:rsidR="00B93ED5" w:rsidRPr="009D7635" w:rsidRDefault="00B93ED5" w:rsidP="006A5A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CD04D8" w:rsidRPr="009D7635">
        <w:rPr>
          <w:rFonts w:ascii="Times New Roman" w:hAnsi="Times New Roman" w:cs="Times New Roman"/>
          <w:color w:val="000000" w:themeColor="text1"/>
          <w:sz w:val="20"/>
          <w:szCs w:val="20"/>
        </w:rPr>
        <w:t xml:space="preserve">Ibid., </w:t>
      </w:r>
      <w:r w:rsidRPr="009D7635">
        <w:rPr>
          <w:rFonts w:ascii="Times New Roman" w:hAnsi="Times New Roman" w:cs="Times New Roman"/>
          <w:color w:val="000000" w:themeColor="text1"/>
          <w:sz w:val="20"/>
          <w:szCs w:val="20"/>
        </w:rPr>
        <w:t>377.</w:t>
      </w:r>
      <w:r w:rsidRPr="009D7635">
        <w:rPr>
          <w:rFonts w:ascii="Times New Roman" w:hAnsi="Times New Roman" w:cs="Times New Roman"/>
          <w:color w:val="000000" w:themeColor="text1"/>
          <w:sz w:val="20"/>
          <w:szCs w:val="20"/>
          <w:shd w:val="clear" w:color="auto" w:fill="FFFFFF"/>
        </w:rPr>
        <w:t> </w:t>
      </w:r>
    </w:p>
  </w:footnote>
  <w:footnote w:id="63">
    <w:p w14:paraId="546F7545"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Thanks to Dominik Perler for highlighting this distinction for me between an account of cognition and a metaphysics of cognition. </w:t>
      </w:r>
    </w:p>
  </w:footnote>
  <w:footnote w:id="64">
    <w:p w14:paraId="52F2C4C9" w14:textId="1D3A3AB9"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CD04D8"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376.</w:t>
      </w:r>
    </w:p>
  </w:footnote>
  <w:footnote w:id="65">
    <w:p w14:paraId="7522C079"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Michaud-Quantin</w:t>
      </w:r>
      <w:proofErr w:type="spellEnd"/>
      <w:r w:rsidRPr="009D7635">
        <w:rPr>
          <w:rFonts w:ascii="Times New Roman" w:hAnsi="Times New Roman" w:cs="Times New Roman"/>
          <w:color w:val="000000" w:themeColor="text1"/>
        </w:rPr>
        <w:t xml:space="preserve">, ‘La classification des </w:t>
      </w:r>
      <w:proofErr w:type="spellStart"/>
      <w:r w:rsidRPr="009D7635">
        <w:rPr>
          <w:rFonts w:ascii="Times New Roman" w:hAnsi="Times New Roman" w:cs="Times New Roman"/>
          <w:color w:val="000000" w:themeColor="text1"/>
        </w:rPr>
        <w:t>puissances</w:t>
      </w:r>
      <w:proofErr w:type="spellEnd"/>
      <w:r w:rsidRPr="009D7635">
        <w:rPr>
          <w:rFonts w:ascii="Times New Roman" w:hAnsi="Times New Roman" w:cs="Times New Roman"/>
          <w:color w:val="000000" w:themeColor="text1"/>
        </w:rPr>
        <w:t>,’ 25.</w:t>
      </w:r>
    </w:p>
  </w:footnote>
  <w:footnote w:id="66">
    <w:p w14:paraId="513EE83A" w14:textId="2410D372"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DSEA, </w:t>
      </w:r>
      <w:r w:rsidR="0025789E" w:rsidRPr="009D7635">
        <w:rPr>
          <w:rFonts w:ascii="Times New Roman" w:hAnsi="Times New Roman" w:cs="Times New Roman"/>
          <w:color w:val="000000" w:themeColor="text1"/>
        </w:rPr>
        <w:t>trans. Clark</w:t>
      </w:r>
      <w:r w:rsidRPr="009D7635">
        <w:rPr>
          <w:rFonts w:ascii="Times New Roman" w:hAnsi="Times New Roman" w:cs="Times New Roman"/>
          <w:color w:val="000000" w:themeColor="text1"/>
        </w:rPr>
        <w:t>, 183 (Platonic division); 185 (</w:t>
      </w:r>
      <w:proofErr w:type="spellStart"/>
      <w:r w:rsidRPr="009D7635">
        <w:rPr>
          <w:rFonts w:ascii="Times New Roman" w:hAnsi="Times New Roman" w:cs="Times New Roman"/>
          <w:color w:val="000000" w:themeColor="text1"/>
        </w:rPr>
        <w:t>Boethian</w:t>
      </w:r>
      <w:proofErr w:type="spellEnd"/>
      <w:r w:rsidRPr="009D7635">
        <w:rPr>
          <w:rFonts w:ascii="Times New Roman" w:hAnsi="Times New Roman" w:cs="Times New Roman"/>
          <w:color w:val="000000" w:themeColor="text1"/>
        </w:rPr>
        <w:t>).</w:t>
      </w:r>
    </w:p>
  </w:footnote>
  <w:footnote w:id="67">
    <w:p w14:paraId="755FE617" w14:textId="13D6C4B5"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312AA6"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213</w:t>
      </w:r>
    </w:p>
  </w:footnote>
  <w:footnote w:id="68">
    <w:p w14:paraId="7B0AE535" w14:textId="505487AD"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513704"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192</w:t>
      </w:r>
    </w:p>
  </w:footnote>
  <w:footnote w:id="69">
    <w:p w14:paraId="6C080EF9" w14:textId="0D9B8DC0"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Michaud-Quantin</w:t>
      </w:r>
      <w:proofErr w:type="spellEnd"/>
      <w:r w:rsidRPr="009D7635">
        <w:rPr>
          <w:rFonts w:ascii="Times New Roman" w:hAnsi="Times New Roman" w:cs="Times New Roman"/>
          <w:color w:val="000000" w:themeColor="text1"/>
        </w:rPr>
        <w:t xml:space="preserve">, ‘La classification des </w:t>
      </w:r>
      <w:proofErr w:type="spellStart"/>
      <w:r w:rsidRPr="009D7635">
        <w:rPr>
          <w:rFonts w:ascii="Times New Roman" w:hAnsi="Times New Roman" w:cs="Times New Roman"/>
          <w:color w:val="000000" w:themeColor="text1"/>
        </w:rPr>
        <w:t>puissances</w:t>
      </w:r>
      <w:proofErr w:type="spellEnd"/>
      <w:r w:rsidRPr="009D7635">
        <w:rPr>
          <w:rFonts w:ascii="Times New Roman" w:hAnsi="Times New Roman" w:cs="Times New Roman"/>
          <w:color w:val="000000" w:themeColor="text1"/>
        </w:rPr>
        <w:t xml:space="preserve">,’ 26; DSEA, </w:t>
      </w:r>
      <w:r w:rsidR="0025789E" w:rsidRPr="009D7635">
        <w:rPr>
          <w:rFonts w:ascii="Times New Roman" w:hAnsi="Times New Roman" w:cs="Times New Roman"/>
          <w:color w:val="000000" w:themeColor="text1"/>
        </w:rPr>
        <w:t>trans. Clark</w:t>
      </w:r>
      <w:r w:rsidRPr="009D7635">
        <w:rPr>
          <w:rFonts w:ascii="Times New Roman" w:hAnsi="Times New Roman" w:cs="Times New Roman"/>
          <w:color w:val="000000" w:themeColor="text1"/>
        </w:rPr>
        <w:t>, 214.</w:t>
      </w:r>
    </w:p>
  </w:footnote>
  <w:footnote w:id="70">
    <w:p w14:paraId="0C3355E1" w14:textId="5A0F4FF9"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DSEA, </w:t>
      </w:r>
      <w:r w:rsidR="0025789E" w:rsidRPr="009D7635">
        <w:rPr>
          <w:rFonts w:ascii="Times New Roman" w:hAnsi="Times New Roman" w:cs="Times New Roman"/>
          <w:color w:val="000000" w:themeColor="text1"/>
        </w:rPr>
        <w:t>trans. Clark</w:t>
      </w:r>
      <w:r w:rsidRPr="009D7635">
        <w:rPr>
          <w:rFonts w:ascii="Times New Roman" w:hAnsi="Times New Roman" w:cs="Times New Roman"/>
          <w:color w:val="000000" w:themeColor="text1"/>
        </w:rPr>
        <w:t xml:space="preserve">, chapter 27; </w:t>
      </w:r>
      <w:proofErr w:type="spellStart"/>
      <w:r w:rsidRPr="009D7635">
        <w:rPr>
          <w:rFonts w:ascii="Times New Roman" w:hAnsi="Times New Roman" w:cs="Times New Roman"/>
          <w:color w:val="000000" w:themeColor="text1"/>
        </w:rPr>
        <w:t>Michaud-Quantin</w:t>
      </w:r>
      <w:proofErr w:type="spellEnd"/>
      <w:r w:rsidRPr="009D7635">
        <w:rPr>
          <w:rFonts w:ascii="Times New Roman" w:hAnsi="Times New Roman" w:cs="Times New Roman"/>
          <w:color w:val="000000" w:themeColor="text1"/>
        </w:rPr>
        <w:t xml:space="preserve">, ‘La classification des </w:t>
      </w:r>
      <w:proofErr w:type="spellStart"/>
      <w:r w:rsidRPr="009D7635">
        <w:rPr>
          <w:rFonts w:ascii="Times New Roman" w:hAnsi="Times New Roman" w:cs="Times New Roman"/>
          <w:color w:val="000000" w:themeColor="text1"/>
        </w:rPr>
        <w:t>puissances</w:t>
      </w:r>
      <w:proofErr w:type="spellEnd"/>
      <w:r w:rsidRPr="009D7635">
        <w:rPr>
          <w:rFonts w:ascii="Times New Roman" w:hAnsi="Times New Roman" w:cs="Times New Roman"/>
          <w:color w:val="000000" w:themeColor="text1"/>
        </w:rPr>
        <w:t>,’ 26.</w:t>
      </w:r>
    </w:p>
  </w:footnote>
  <w:footnote w:id="71">
    <w:p w14:paraId="2872501D" w14:textId="66C531A9"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DSEA, </w:t>
      </w:r>
      <w:r w:rsidR="0025789E" w:rsidRPr="009D7635">
        <w:rPr>
          <w:rFonts w:ascii="Times New Roman" w:hAnsi="Times New Roman" w:cs="Times New Roman"/>
          <w:color w:val="000000" w:themeColor="text1"/>
        </w:rPr>
        <w:t>trans. Clark</w:t>
      </w:r>
      <w:r w:rsidRPr="009D7635">
        <w:rPr>
          <w:rFonts w:ascii="Times New Roman" w:hAnsi="Times New Roman" w:cs="Times New Roman"/>
          <w:color w:val="000000" w:themeColor="text1"/>
        </w:rPr>
        <w:t>, 197.</w:t>
      </w:r>
    </w:p>
  </w:footnote>
  <w:footnote w:id="72">
    <w:p w14:paraId="447824ED" w14:textId="6C680195"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513704"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238.</w:t>
      </w:r>
    </w:p>
  </w:footnote>
  <w:footnote w:id="73">
    <w:p w14:paraId="502D815F" w14:textId="57B09F86"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513704"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201</w:t>
      </w:r>
      <w:r w:rsidR="00AB20A2" w:rsidRPr="009D7635">
        <w:rPr>
          <w:rFonts w:ascii="Times New Roman" w:hAnsi="Times New Roman" w:cs="Times New Roman"/>
          <w:color w:val="000000" w:themeColor="text1"/>
        </w:rPr>
        <w:t>, 237-38.</w:t>
      </w:r>
    </w:p>
  </w:footnote>
  <w:footnote w:id="74">
    <w:p w14:paraId="7CC8FB37" w14:textId="3A1C05BF"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513704"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237.</w:t>
      </w:r>
    </w:p>
  </w:footnote>
  <w:footnote w:id="75">
    <w:p w14:paraId="455A67CA"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Michaud-Quantin</w:t>
      </w:r>
      <w:proofErr w:type="spellEnd"/>
      <w:r w:rsidRPr="009D7635">
        <w:rPr>
          <w:rFonts w:ascii="Times New Roman" w:hAnsi="Times New Roman" w:cs="Times New Roman"/>
          <w:color w:val="000000" w:themeColor="text1"/>
        </w:rPr>
        <w:t xml:space="preserve">, ‘La classification des </w:t>
      </w:r>
      <w:proofErr w:type="spellStart"/>
      <w:r w:rsidRPr="009D7635">
        <w:rPr>
          <w:rFonts w:ascii="Times New Roman" w:hAnsi="Times New Roman" w:cs="Times New Roman"/>
          <w:color w:val="000000" w:themeColor="text1"/>
        </w:rPr>
        <w:t>puissances</w:t>
      </w:r>
      <w:proofErr w:type="spellEnd"/>
      <w:r w:rsidRPr="009D7635">
        <w:rPr>
          <w:rFonts w:ascii="Times New Roman" w:hAnsi="Times New Roman" w:cs="Times New Roman"/>
          <w:color w:val="000000" w:themeColor="text1"/>
        </w:rPr>
        <w:t xml:space="preserve">,’ 28. </w:t>
      </w:r>
    </w:p>
  </w:footnote>
  <w:footnote w:id="76">
    <w:p w14:paraId="384C7F22" w14:textId="7CF80409"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DSEA, </w:t>
      </w:r>
      <w:r w:rsidR="0025789E" w:rsidRPr="009D7635">
        <w:rPr>
          <w:rFonts w:ascii="Times New Roman" w:hAnsi="Times New Roman" w:cs="Times New Roman"/>
          <w:color w:val="000000" w:themeColor="text1"/>
        </w:rPr>
        <w:t>trans. Clark</w:t>
      </w:r>
      <w:r w:rsidRPr="009D7635">
        <w:rPr>
          <w:rFonts w:ascii="Times New Roman" w:hAnsi="Times New Roman" w:cs="Times New Roman"/>
          <w:color w:val="000000" w:themeColor="text1"/>
        </w:rPr>
        <w:t>, 184.</w:t>
      </w:r>
    </w:p>
  </w:footnote>
  <w:footnote w:id="77">
    <w:p w14:paraId="69B61184" w14:textId="2BA5268E"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513704"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262.</w:t>
      </w:r>
    </w:p>
  </w:footnote>
  <w:footnote w:id="78">
    <w:p w14:paraId="6C8518B4" w14:textId="662C3467" w:rsidR="00B93ED5" w:rsidRPr="009D7635" w:rsidRDefault="00B93ED5" w:rsidP="006A5A46">
      <w:pPr>
        <w:rPr>
          <w:rFonts w:ascii="Times New Roman" w:hAnsi="Times New Roman" w:cs="Times New Roman"/>
          <w:b/>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Peter Lombard, </w:t>
      </w:r>
      <w:proofErr w:type="spellStart"/>
      <w:r w:rsidRPr="009D7635">
        <w:rPr>
          <w:rFonts w:ascii="Times New Roman" w:hAnsi="Times New Roman" w:cs="Times New Roman"/>
          <w:i/>
          <w:iCs/>
          <w:color w:val="000000" w:themeColor="text1"/>
          <w:sz w:val="20"/>
          <w:szCs w:val="20"/>
        </w:rPr>
        <w:t>Libri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sententiarum</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Magistri</w:t>
      </w:r>
      <w:proofErr w:type="spellEnd"/>
      <w:r w:rsidRPr="009D7635">
        <w:rPr>
          <w:rFonts w:ascii="Times New Roman" w:hAnsi="Times New Roman" w:cs="Times New Roman"/>
          <w:i/>
          <w:color w:val="000000" w:themeColor="text1"/>
          <w:sz w:val="20"/>
          <w:szCs w:val="20"/>
        </w:rPr>
        <w:t xml:space="preserve"> Petri Lombardi </w:t>
      </w:r>
      <w:proofErr w:type="spellStart"/>
      <w:r w:rsidRPr="009D7635">
        <w:rPr>
          <w:rFonts w:ascii="Times New Roman" w:hAnsi="Times New Roman" w:cs="Times New Roman"/>
          <w:i/>
          <w:color w:val="000000" w:themeColor="text1"/>
          <w:sz w:val="20"/>
          <w:szCs w:val="20"/>
        </w:rPr>
        <w:t>Parisiensis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episcopi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Sententiae</w:t>
      </w:r>
      <w:proofErr w:type="spellEnd"/>
      <w:r w:rsidRPr="009D7635">
        <w:rPr>
          <w:rFonts w:ascii="Times New Roman" w:hAnsi="Times New Roman" w:cs="Times New Roman"/>
          <w:i/>
          <w:color w:val="000000" w:themeColor="text1"/>
          <w:sz w:val="20"/>
          <w:szCs w:val="20"/>
        </w:rPr>
        <w:t xml:space="preserve"> in IV </w:t>
      </w:r>
      <w:proofErr w:type="spellStart"/>
      <w:r w:rsidRPr="009D7635">
        <w:rPr>
          <w:rFonts w:ascii="Times New Roman" w:hAnsi="Times New Roman" w:cs="Times New Roman"/>
          <w:i/>
          <w:color w:val="000000" w:themeColor="text1"/>
          <w:sz w:val="20"/>
          <w:szCs w:val="20"/>
        </w:rPr>
        <w:t>libris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distinctae</w:t>
      </w:r>
      <w:proofErr w:type="spellEnd"/>
      <w:r w:rsidRPr="009D7635">
        <w:rPr>
          <w:rFonts w:ascii="Times New Roman" w:hAnsi="Times New Roman" w:cs="Times New Roman"/>
          <w:color w:val="000000" w:themeColor="text1"/>
          <w:sz w:val="20"/>
          <w:szCs w:val="20"/>
        </w:rPr>
        <w:t xml:space="preserve">, 2 </w:t>
      </w:r>
      <w:proofErr w:type="spellStart"/>
      <w:r w:rsidRPr="009D7635">
        <w:rPr>
          <w:rFonts w:ascii="Times New Roman" w:hAnsi="Times New Roman" w:cs="Times New Roman"/>
          <w:color w:val="000000" w:themeColor="text1"/>
          <w:sz w:val="20"/>
          <w:szCs w:val="20"/>
        </w:rPr>
        <w:t>vols</w:t>
      </w:r>
      <w:proofErr w:type="spellEnd"/>
      <w:r w:rsidRPr="009D7635">
        <w:rPr>
          <w:rFonts w:ascii="Times New Roman" w:hAnsi="Times New Roman" w:cs="Times New Roman"/>
          <w:color w:val="000000" w:themeColor="text1"/>
          <w:sz w:val="20"/>
          <w:szCs w:val="20"/>
        </w:rPr>
        <w:t>, 3</w:t>
      </w:r>
      <w:r w:rsidRPr="009D7635">
        <w:rPr>
          <w:rFonts w:ascii="Times New Roman" w:hAnsi="Times New Roman" w:cs="Times New Roman"/>
          <w:color w:val="000000" w:themeColor="text1"/>
          <w:sz w:val="20"/>
          <w:szCs w:val="20"/>
          <w:vertAlign w:val="superscript"/>
        </w:rPr>
        <w:t>rd</w:t>
      </w:r>
      <w:r w:rsidRPr="009D7635">
        <w:rPr>
          <w:rFonts w:ascii="Times New Roman" w:hAnsi="Times New Roman" w:cs="Times New Roman"/>
          <w:color w:val="000000" w:themeColor="text1"/>
          <w:sz w:val="20"/>
          <w:szCs w:val="20"/>
        </w:rPr>
        <w:t xml:space="preserve"> ed. (</w:t>
      </w:r>
      <w:proofErr w:type="spellStart"/>
      <w:r w:rsidRPr="009D7635">
        <w:rPr>
          <w:rFonts w:ascii="Times New Roman" w:hAnsi="Times New Roman" w:cs="Times New Roman"/>
          <w:color w:val="000000" w:themeColor="text1"/>
          <w:sz w:val="20"/>
          <w:szCs w:val="20"/>
          <w:shd w:val="clear" w:color="auto" w:fill="FFFFFF"/>
        </w:rPr>
        <w:t>Grottaferrata</w:t>
      </w:r>
      <w:proofErr w:type="spellEnd"/>
      <w:r w:rsidRPr="009D7635">
        <w:rPr>
          <w:rFonts w:ascii="Times New Roman" w:hAnsi="Times New Roman" w:cs="Times New Roman"/>
          <w:color w:val="000000" w:themeColor="text1"/>
          <w:sz w:val="20"/>
          <w:szCs w:val="20"/>
          <w:shd w:val="clear" w:color="auto" w:fill="FFFFFF"/>
        </w:rPr>
        <w:t>, Roma: Collegii S. Bonaventurae Ad Claras Aquas, 1971</w:t>
      </w:r>
      <w:r w:rsidRPr="009D7635">
        <w:rPr>
          <w:rFonts w:ascii="Times New Roman" w:hAnsi="Times New Roman" w:cs="Times New Roman"/>
          <w:color w:val="000000" w:themeColor="text1"/>
          <w:sz w:val="20"/>
          <w:szCs w:val="20"/>
          <w:lang w:val="fr-FR"/>
        </w:rPr>
        <w:t>-81)</w:t>
      </w:r>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w:t>
      </w:r>
      <w:r w:rsidR="00DD29EC" w:rsidRPr="009D7635">
        <w:rPr>
          <w:rFonts w:ascii="Times New Roman" w:hAnsi="Times New Roman" w:cs="Times New Roman"/>
          <w:color w:val="000000" w:themeColor="text1"/>
          <w:sz w:val="20"/>
          <w:szCs w:val="20"/>
        </w:rPr>
        <w:t>I.17.1-2</w:t>
      </w:r>
      <w:r w:rsidRPr="009D7635">
        <w:rPr>
          <w:rFonts w:ascii="Times New Roman" w:hAnsi="Times New Roman" w:cs="Times New Roman"/>
          <w:color w:val="000000" w:themeColor="text1"/>
          <w:sz w:val="20"/>
          <w:szCs w:val="20"/>
          <w:lang w:val="en-US"/>
        </w:rPr>
        <w:t xml:space="preserve">. </w:t>
      </w:r>
    </w:p>
  </w:footnote>
  <w:footnote w:id="79">
    <w:p w14:paraId="4911939F" w14:textId="42C6416D" w:rsidR="00B93ED5" w:rsidRPr="009D7635" w:rsidRDefault="00B93ED5" w:rsidP="006A5A46">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Peter Lombard, </w:t>
      </w:r>
      <w:proofErr w:type="spellStart"/>
      <w:r w:rsidRPr="009D7635">
        <w:rPr>
          <w:rFonts w:ascii="Times New Roman" w:hAnsi="Times New Roman" w:cs="Times New Roman"/>
          <w:i/>
          <w:iCs/>
          <w:color w:val="000000" w:themeColor="text1"/>
          <w:sz w:val="20"/>
          <w:szCs w:val="20"/>
        </w:rPr>
        <w:t>Libri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sententiarum</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w:t>
      </w:r>
      <w:r w:rsidR="003411FC" w:rsidRPr="009D7635">
        <w:rPr>
          <w:rFonts w:ascii="Times New Roman" w:hAnsi="Times New Roman" w:cs="Times New Roman"/>
          <w:color w:val="000000" w:themeColor="text1"/>
          <w:sz w:val="20"/>
          <w:szCs w:val="20"/>
        </w:rPr>
        <w:t>I.3.2</w:t>
      </w:r>
      <w:r w:rsidRPr="009D7635">
        <w:rPr>
          <w:rFonts w:ascii="Times New Roman" w:hAnsi="Times New Roman" w:cs="Times New Roman"/>
          <w:color w:val="000000" w:themeColor="text1"/>
          <w:sz w:val="20"/>
          <w:szCs w:val="20"/>
        </w:rPr>
        <w:t xml:space="preserve">. See also Bk. 2, d. 16 on the body-soul relationship; </w:t>
      </w:r>
      <w:r w:rsidR="003411FC" w:rsidRPr="009D7635">
        <w:rPr>
          <w:rFonts w:ascii="Times New Roman" w:hAnsi="Times New Roman" w:cs="Times New Roman"/>
          <w:color w:val="000000" w:themeColor="text1"/>
          <w:sz w:val="20"/>
          <w:szCs w:val="20"/>
        </w:rPr>
        <w:t>II.16.1-2</w:t>
      </w:r>
      <w:r w:rsidRPr="009D7635">
        <w:rPr>
          <w:rFonts w:ascii="Times New Roman" w:hAnsi="Times New Roman" w:cs="Times New Roman"/>
          <w:color w:val="000000" w:themeColor="text1"/>
          <w:sz w:val="20"/>
          <w:szCs w:val="20"/>
        </w:rPr>
        <w:t xml:space="preserve">: on the </w:t>
      </w:r>
      <w:r w:rsidRPr="009D7635">
        <w:rPr>
          <w:rFonts w:ascii="Times New Roman" w:hAnsi="Times New Roman" w:cs="Times New Roman"/>
          <w:color w:val="000000" w:themeColor="text1"/>
          <w:sz w:val="20"/>
          <w:szCs w:val="20"/>
          <w:lang w:val="en-US"/>
        </w:rPr>
        <w:t xml:space="preserve">creation of </w:t>
      </w:r>
      <w:r w:rsidR="009D5FE9" w:rsidRPr="009D7635">
        <w:rPr>
          <w:rFonts w:ascii="Times New Roman" w:hAnsi="Times New Roman" w:cs="Times New Roman"/>
          <w:color w:val="000000" w:themeColor="text1"/>
          <w:sz w:val="20"/>
          <w:szCs w:val="20"/>
          <w:lang w:val="en-US"/>
        </w:rPr>
        <w:t>humans in the</w:t>
      </w:r>
      <w:r w:rsidRPr="009D7635">
        <w:rPr>
          <w:rFonts w:ascii="Times New Roman" w:hAnsi="Times New Roman" w:cs="Times New Roman"/>
          <w:color w:val="000000" w:themeColor="text1"/>
          <w:sz w:val="20"/>
          <w:szCs w:val="20"/>
          <w:lang w:val="en-US"/>
        </w:rPr>
        <w:t xml:space="preserve"> image and likeness of Go</w:t>
      </w:r>
      <w:r w:rsidR="009D5FE9" w:rsidRPr="009D7635">
        <w:rPr>
          <w:rFonts w:ascii="Times New Roman" w:hAnsi="Times New Roman" w:cs="Times New Roman"/>
          <w:color w:val="000000" w:themeColor="text1"/>
          <w:sz w:val="20"/>
          <w:szCs w:val="20"/>
          <w:lang w:val="en-US"/>
        </w:rPr>
        <w:t>d.</w:t>
      </w:r>
    </w:p>
  </w:footnote>
  <w:footnote w:id="80">
    <w:p w14:paraId="425919B2" w14:textId="735C9BE0"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Jean </w:t>
      </w:r>
      <w:proofErr w:type="spellStart"/>
      <w:r w:rsidRPr="009D7635">
        <w:rPr>
          <w:rFonts w:ascii="Times New Roman" w:hAnsi="Times New Roman" w:cs="Times New Roman"/>
          <w:color w:val="000000" w:themeColor="text1"/>
        </w:rPr>
        <w:t>Ch</w:t>
      </w:r>
      <w:r w:rsidR="00907C48" w:rsidRPr="009D7635">
        <w:rPr>
          <w:rFonts w:ascii="Times New Roman" w:hAnsi="Times New Roman" w:cs="Times New Roman"/>
          <w:color w:val="000000" w:themeColor="text1"/>
        </w:rPr>
        <w:t>â</w:t>
      </w:r>
      <w:r w:rsidRPr="009D7635">
        <w:rPr>
          <w:rFonts w:ascii="Times New Roman" w:hAnsi="Times New Roman" w:cs="Times New Roman"/>
          <w:color w:val="000000" w:themeColor="text1"/>
        </w:rPr>
        <w:t>tillon</w:t>
      </w:r>
      <w:proofErr w:type="spellEnd"/>
      <w:r w:rsidRPr="009D7635">
        <w:rPr>
          <w:rFonts w:ascii="Times New Roman" w:hAnsi="Times New Roman" w:cs="Times New Roman"/>
          <w:color w:val="000000" w:themeColor="text1"/>
        </w:rPr>
        <w:t xml:space="preserve">, ‘Le </w:t>
      </w:r>
      <w:proofErr w:type="spellStart"/>
      <w:r w:rsidRPr="009D7635">
        <w:rPr>
          <w:rFonts w:ascii="Times New Roman" w:hAnsi="Times New Roman" w:cs="Times New Roman"/>
          <w:color w:val="000000" w:themeColor="text1"/>
        </w:rPr>
        <w:t>Mouvement</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théologique</w:t>
      </w:r>
      <w:proofErr w:type="spellEnd"/>
      <w:r w:rsidRPr="009D7635">
        <w:rPr>
          <w:rFonts w:ascii="Times New Roman" w:hAnsi="Times New Roman" w:cs="Times New Roman"/>
          <w:color w:val="000000" w:themeColor="text1"/>
        </w:rPr>
        <w:t xml:space="preserve"> dans la France de Philippe Auguste,’ in </w:t>
      </w:r>
      <w:r w:rsidRPr="009D7635">
        <w:rPr>
          <w:rFonts w:ascii="Times New Roman" w:hAnsi="Times New Roman" w:cs="Times New Roman"/>
          <w:i/>
          <w:color w:val="000000" w:themeColor="text1"/>
        </w:rPr>
        <w:t>La France de Philippe Auguste: Le Temps des Mutations</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Robert-Henri </w:t>
      </w:r>
      <w:proofErr w:type="spellStart"/>
      <w:r w:rsidRPr="009D7635">
        <w:rPr>
          <w:rFonts w:ascii="Times New Roman" w:hAnsi="Times New Roman" w:cs="Times New Roman"/>
          <w:color w:val="000000" w:themeColor="text1"/>
        </w:rPr>
        <w:t>Bautier</w:t>
      </w:r>
      <w:proofErr w:type="spellEnd"/>
      <w:r w:rsidRPr="009D7635">
        <w:rPr>
          <w:rFonts w:ascii="Times New Roman" w:hAnsi="Times New Roman" w:cs="Times New Roman"/>
          <w:color w:val="000000" w:themeColor="text1"/>
        </w:rPr>
        <w:t xml:space="preserve"> (Paris: CNRS, 1982), 887</w:t>
      </w:r>
      <w:r w:rsidR="00632BF7"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898. See also John W. Baldwin, ‘Masters at Paris from 1179 to 1215: A Social Perspective,’ in </w:t>
      </w:r>
      <w:r w:rsidRPr="009D7635">
        <w:rPr>
          <w:rFonts w:ascii="Times New Roman" w:hAnsi="Times New Roman" w:cs="Times New Roman"/>
          <w:i/>
          <w:iCs/>
          <w:color w:val="000000" w:themeColor="text1"/>
        </w:rPr>
        <w:t>Renaissance and Renewal in the Twelfth Century</w:t>
      </w:r>
      <w:r w:rsidRPr="009D7635">
        <w:rPr>
          <w:rFonts w:ascii="Times New Roman" w:hAnsi="Times New Roman" w:cs="Times New Roman"/>
          <w:color w:val="000000" w:themeColor="text1"/>
        </w:rPr>
        <w:t xml:space="preserve">, ed. Robert L. Benson and Giles Constable with Carol D. </w:t>
      </w:r>
      <w:proofErr w:type="spellStart"/>
      <w:r w:rsidRPr="009D7635">
        <w:rPr>
          <w:rFonts w:ascii="Times New Roman" w:hAnsi="Times New Roman" w:cs="Times New Roman"/>
          <w:color w:val="000000" w:themeColor="text1"/>
        </w:rPr>
        <w:t>Lanham</w:t>
      </w:r>
      <w:proofErr w:type="spellEnd"/>
      <w:r w:rsidRPr="009D7635">
        <w:rPr>
          <w:rFonts w:ascii="Times New Roman" w:hAnsi="Times New Roman" w:cs="Times New Roman"/>
          <w:color w:val="000000" w:themeColor="text1"/>
        </w:rPr>
        <w:t xml:space="preserve"> (Cambridge, Mass.: Harvard University Press, 1982), 138-72.</w:t>
      </w:r>
    </w:p>
  </w:footnote>
  <w:footnote w:id="81">
    <w:p w14:paraId="0F99E35B" w14:textId="177A5DE1" w:rsidR="00A453A8" w:rsidRPr="009D7635" w:rsidRDefault="00A453A8">
      <w:pPr>
        <w:pStyle w:val="FootnoteText"/>
        <w:rPr>
          <w:rFonts w:ascii="Times New Roman" w:hAnsi="Times New Roman" w:cs="Times New Roman"/>
          <w:color w:val="000000" w:themeColor="text1"/>
          <w:lang w:val="fr-FR"/>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004E5338" w:rsidRPr="009D7635">
        <w:rPr>
          <w:rFonts w:ascii="Times New Roman" w:hAnsi="Times New Roman" w:cs="Times New Roman"/>
          <w:color w:val="000000" w:themeColor="text1"/>
        </w:rPr>
        <w:t>Dag</w:t>
      </w:r>
      <w:proofErr w:type="spellEnd"/>
      <w:r w:rsidR="004E5338" w:rsidRPr="009D7635">
        <w:rPr>
          <w:rFonts w:ascii="Times New Roman" w:hAnsi="Times New Roman" w:cs="Times New Roman"/>
          <w:color w:val="000000" w:themeColor="text1"/>
        </w:rPr>
        <w:t xml:space="preserve">. N. Hasse, </w:t>
      </w:r>
      <w:r w:rsidR="004E5338" w:rsidRPr="009D7635">
        <w:rPr>
          <w:rFonts w:ascii="Times New Roman" w:hAnsi="Times New Roman" w:cs="Times New Roman"/>
          <w:i/>
          <w:color w:val="000000" w:themeColor="text1"/>
        </w:rPr>
        <w:t>Avicenna's De Anima in the Latin West</w:t>
      </w:r>
      <w:r w:rsidR="004E5338" w:rsidRPr="009D7635">
        <w:rPr>
          <w:rFonts w:ascii="Times New Roman" w:hAnsi="Times New Roman" w:cs="Times New Roman"/>
          <w:color w:val="000000" w:themeColor="text1"/>
        </w:rPr>
        <w:t xml:space="preserve"> (London: The Warburg Institute, 2000), 226.</w:t>
      </w:r>
    </w:p>
  </w:footnote>
  <w:footnote w:id="82">
    <w:p w14:paraId="6F3BA0D2" w14:textId="3BC28C5D" w:rsidR="00B93ED5" w:rsidRPr="009D7635" w:rsidRDefault="00B93ED5" w:rsidP="009F187B">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9F187B" w:rsidRPr="009D7635">
        <w:rPr>
          <w:rFonts w:ascii="Times New Roman" w:hAnsi="Times New Roman" w:cs="Times New Roman"/>
          <w:color w:val="000000" w:themeColor="text1"/>
          <w:sz w:val="20"/>
          <w:szCs w:val="20"/>
        </w:rPr>
        <w:t xml:space="preserve">Amos </w:t>
      </w:r>
      <w:proofErr w:type="spellStart"/>
      <w:r w:rsidR="009F187B" w:rsidRPr="009D7635">
        <w:rPr>
          <w:rFonts w:ascii="Times New Roman" w:hAnsi="Times New Roman" w:cs="Times New Roman"/>
          <w:color w:val="000000" w:themeColor="text1"/>
          <w:sz w:val="20"/>
          <w:szCs w:val="20"/>
        </w:rPr>
        <w:t>Bertolacci</w:t>
      </w:r>
      <w:proofErr w:type="spellEnd"/>
      <w:r w:rsidR="009F187B" w:rsidRPr="009D7635">
        <w:rPr>
          <w:rFonts w:ascii="Times New Roman" w:hAnsi="Times New Roman" w:cs="Times New Roman"/>
          <w:color w:val="000000" w:themeColor="text1"/>
          <w:sz w:val="20"/>
          <w:szCs w:val="20"/>
        </w:rPr>
        <w:t xml:space="preserve">, ‘On the Latin Reception of Avicenna’s Metaphysics before </w:t>
      </w:r>
      <w:proofErr w:type="spellStart"/>
      <w:r w:rsidR="009F187B" w:rsidRPr="009D7635">
        <w:rPr>
          <w:rFonts w:ascii="Times New Roman" w:hAnsi="Times New Roman" w:cs="Times New Roman"/>
          <w:color w:val="000000" w:themeColor="text1"/>
          <w:sz w:val="20"/>
          <w:szCs w:val="20"/>
        </w:rPr>
        <w:t>Albertus</w:t>
      </w:r>
      <w:proofErr w:type="spellEnd"/>
      <w:r w:rsidR="009F187B" w:rsidRPr="009D7635">
        <w:rPr>
          <w:rFonts w:ascii="Times New Roman" w:hAnsi="Times New Roman" w:cs="Times New Roman"/>
          <w:color w:val="000000" w:themeColor="text1"/>
          <w:sz w:val="20"/>
          <w:szCs w:val="20"/>
        </w:rPr>
        <w:t xml:space="preserve"> Magnus: An Attempt at </w:t>
      </w:r>
      <w:proofErr w:type="spellStart"/>
      <w:r w:rsidR="009F187B" w:rsidRPr="009D7635">
        <w:rPr>
          <w:rFonts w:ascii="Times New Roman" w:hAnsi="Times New Roman" w:cs="Times New Roman"/>
          <w:color w:val="000000" w:themeColor="text1"/>
          <w:sz w:val="20"/>
          <w:szCs w:val="20"/>
        </w:rPr>
        <w:t>Periodization</w:t>
      </w:r>
      <w:proofErr w:type="spellEnd"/>
      <w:r w:rsidR="009F187B" w:rsidRPr="009D7635">
        <w:rPr>
          <w:rFonts w:ascii="Times New Roman" w:hAnsi="Times New Roman" w:cs="Times New Roman"/>
          <w:color w:val="000000" w:themeColor="text1"/>
          <w:sz w:val="20"/>
          <w:szCs w:val="20"/>
        </w:rPr>
        <w:t xml:space="preserve">,’ in </w:t>
      </w:r>
      <w:r w:rsidR="009F187B" w:rsidRPr="009D7635">
        <w:rPr>
          <w:rFonts w:ascii="Times New Roman" w:hAnsi="Times New Roman" w:cs="Times New Roman"/>
          <w:i/>
          <w:color w:val="000000" w:themeColor="text1"/>
          <w:sz w:val="20"/>
          <w:szCs w:val="20"/>
        </w:rPr>
        <w:t>The Arabic, Hebrew and Latin Reception of Avicenna’s Metaphysics</w:t>
      </w:r>
      <w:r w:rsidR="009F187B" w:rsidRPr="009D7635">
        <w:rPr>
          <w:rFonts w:ascii="Times New Roman" w:hAnsi="Times New Roman" w:cs="Times New Roman"/>
          <w:color w:val="000000" w:themeColor="text1"/>
          <w:sz w:val="20"/>
          <w:szCs w:val="20"/>
        </w:rPr>
        <w:t xml:space="preserve">, ed. </w:t>
      </w:r>
      <w:proofErr w:type="spellStart"/>
      <w:r w:rsidR="009F187B" w:rsidRPr="009D7635">
        <w:rPr>
          <w:rFonts w:ascii="Times New Roman" w:hAnsi="Times New Roman" w:cs="Times New Roman"/>
          <w:color w:val="000000" w:themeColor="text1"/>
          <w:sz w:val="20"/>
          <w:szCs w:val="20"/>
        </w:rPr>
        <w:t>Dag</w:t>
      </w:r>
      <w:proofErr w:type="spellEnd"/>
      <w:r w:rsidR="009F187B" w:rsidRPr="009D7635">
        <w:rPr>
          <w:rFonts w:ascii="Times New Roman" w:hAnsi="Times New Roman" w:cs="Times New Roman"/>
          <w:color w:val="000000" w:themeColor="text1"/>
          <w:sz w:val="20"/>
          <w:szCs w:val="20"/>
        </w:rPr>
        <w:t xml:space="preserve"> Nikolaus Hasse and Amos </w:t>
      </w:r>
      <w:proofErr w:type="spellStart"/>
      <w:r w:rsidR="009F187B" w:rsidRPr="009D7635">
        <w:rPr>
          <w:rFonts w:ascii="Times New Roman" w:hAnsi="Times New Roman" w:cs="Times New Roman"/>
          <w:color w:val="000000" w:themeColor="text1"/>
          <w:sz w:val="20"/>
          <w:szCs w:val="20"/>
        </w:rPr>
        <w:t>Bertolacci</w:t>
      </w:r>
      <w:proofErr w:type="spellEnd"/>
      <w:r w:rsidR="009F187B" w:rsidRPr="009D7635">
        <w:rPr>
          <w:rFonts w:ascii="Times New Roman" w:hAnsi="Times New Roman" w:cs="Times New Roman"/>
          <w:color w:val="000000" w:themeColor="text1"/>
          <w:sz w:val="20"/>
          <w:szCs w:val="20"/>
        </w:rPr>
        <w:t xml:space="preserve"> (Berlin: De Gruyter, 2012), 197-223</w:t>
      </w:r>
      <w:r w:rsidR="009F187B" w:rsidRPr="009D7635">
        <w:rPr>
          <w:rFonts w:ascii="Times New Roman" w:hAnsi="Times New Roman" w:cs="Times New Roman"/>
          <w:color w:val="000000" w:themeColor="text1"/>
          <w:sz w:val="20"/>
          <w:szCs w:val="20"/>
          <w:lang w:val="fr-FR"/>
        </w:rPr>
        <w:t>.</w:t>
      </w:r>
    </w:p>
  </w:footnote>
  <w:footnote w:id="83">
    <w:p w14:paraId="5D958C5A" w14:textId="133C2ADB" w:rsidR="00B93ED5" w:rsidRPr="009D7635" w:rsidRDefault="00B93ED5" w:rsidP="006A5A46">
      <w:pPr>
        <w:rPr>
          <w:rFonts w:ascii="Times New Roman" w:hAnsi="Times New Roman" w:cs="Times New Roman"/>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562172" w:rsidRPr="009D7635">
        <w:rPr>
          <w:rFonts w:ascii="Times New Roman" w:hAnsi="Times New Roman" w:cs="Times New Roman"/>
          <w:color w:val="000000" w:themeColor="text1"/>
          <w:sz w:val="20"/>
          <w:szCs w:val="20"/>
        </w:rPr>
        <w:t xml:space="preserve">The </w:t>
      </w:r>
      <w:proofErr w:type="spellStart"/>
      <w:r w:rsidR="00AE797B" w:rsidRPr="009D7635">
        <w:rPr>
          <w:rFonts w:ascii="Times New Roman" w:hAnsi="Times New Roman" w:cs="Times New Roman"/>
          <w:i/>
          <w:iCs/>
          <w:color w:val="000000" w:themeColor="text1"/>
          <w:sz w:val="20"/>
          <w:szCs w:val="20"/>
        </w:rPr>
        <w:t>Ethica</w:t>
      </w:r>
      <w:proofErr w:type="spellEnd"/>
      <w:r w:rsidR="00AE797B" w:rsidRPr="009D7635">
        <w:rPr>
          <w:rFonts w:ascii="Times New Roman" w:hAnsi="Times New Roman" w:cs="Times New Roman"/>
          <w:i/>
          <w:iCs/>
          <w:color w:val="000000" w:themeColor="text1"/>
          <w:sz w:val="20"/>
          <w:szCs w:val="20"/>
        </w:rPr>
        <w:t xml:space="preserve"> </w:t>
      </w:r>
      <w:proofErr w:type="spellStart"/>
      <w:r w:rsidR="00AE797B" w:rsidRPr="009D7635">
        <w:rPr>
          <w:rFonts w:ascii="Times New Roman" w:hAnsi="Times New Roman" w:cs="Times New Roman"/>
          <w:i/>
          <w:iCs/>
          <w:color w:val="000000" w:themeColor="text1"/>
          <w:sz w:val="20"/>
          <w:szCs w:val="20"/>
        </w:rPr>
        <w:t>vetus</w:t>
      </w:r>
      <w:proofErr w:type="spellEnd"/>
      <w:r w:rsidR="00AE797B" w:rsidRPr="009D7635">
        <w:rPr>
          <w:rFonts w:ascii="Times New Roman" w:hAnsi="Times New Roman" w:cs="Times New Roman"/>
          <w:i/>
          <w:iCs/>
          <w:color w:val="000000" w:themeColor="text1"/>
          <w:sz w:val="20"/>
          <w:szCs w:val="20"/>
        </w:rPr>
        <w:t xml:space="preserve">, </w:t>
      </w:r>
      <w:r w:rsidR="00AE797B" w:rsidRPr="009D7635">
        <w:rPr>
          <w:rFonts w:ascii="Times New Roman" w:hAnsi="Times New Roman" w:cs="Times New Roman"/>
          <w:color w:val="000000" w:themeColor="text1"/>
          <w:sz w:val="20"/>
          <w:szCs w:val="20"/>
        </w:rPr>
        <w:t xml:space="preserve">which included books II and II of </w:t>
      </w:r>
      <w:r w:rsidRPr="009D7635">
        <w:rPr>
          <w:rFonts w:ascii="Times New Roman" w:hAnsi="Times New Roman" w:cs="Times New Roman"/>
          <w:color w:val="000000" w:themeColor="text1"/>
          <w:sz w:val="20"/>
          <w:szCs w:val="20"/>
        </w:rPr>
        <w:t xml:space="preserve">Aristotle’s </w:t>
      </w:r>
      <w:proofErr w:type="spellStart"/>
      <w:r w:rsidRPr="009D7635">
        <w:rPr>
          <w:rFonts w:ascii="Times New Roman" w:hAnsi="Times New Roman" w:cs="Times New Roman"/>
          <w:i/>
          <w:color w:val="000000" w:themeColor="text1"/>
          <w:sz w:val="20"/>
          <w:szCs w:val="20"/>
        </w:rPr>
        <w:t>Nicomachean</w:t>
      </w:r>
      <w:proofErr w:type="spellEnd"/>
      <w:r w:rsidRPr="009D7635">
        <w:rPr>
          <w:rFonts w:ascii="Times New Roman" w:hAnsi="Times New Roman" w:cs="Times New Roman"/>
          <w:i/>
          <w:color w:val="000000" w:themeColor="text1"/>
          <w:sz w:val="20"/>
          <w:szCs w:val="20"/>
        </w:rPr>
        <w:t xml:space="preserve"> Ethics</w:t>
      </w:r>
      <w:r w:rsidR="006E33ED"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w:t>
      </w:r>
      <w:r w:rsidR="00AE797B" w:rsidRPr="009D7635">
        <w:rPr>
          <w:rFonts w:ascii="Times New Roman" w:hAnsi="Times New Roman" w:cs="Times New Roman"/>
          <w:color w:val="000000" w:themeColor="text1"/>
          <w:sz w:val="20"/>
          <w:szCs w:val="20"/>
        </w:rPr>
        <w:t xml:space="preserve">was translated </w:t>
      </w:r>
      <w:r w:rsidR="00CD1FCD" w:rsidRPr="009D7635">
        <w:rPr>
          <w:rFonts w:ascii="Times New Roman" w:hAnsi="Times New Roman" w:cs="Times New Roman"/>
          <w:color w:val="000000" w:themeColor="text1"/>
          <w:sz w:val="20"/>
          <w:szCs w:val="20"/>
        </w:rPr>
        <w:t xml:space="preserve">in the twelfth century </w:t>
      </w:r>
      <w:r w:rsidR="00562172" w:rsidRPr="009D7635">
        <w:rPr>
          <w:rFonts w:ascii="Times New Roman" w:hAnsi="Times New Roman" w:cs="Times New Roman"/>
          <w:color w:val="000000" w:themeColor="text1"/>
          <w:sz w:val="20"/>
          <w:szCs w:val="20"/>
        </w:rPr>
        <w:t>by</w:t>
      </w:r>
      <w:r w:rsidR="00CD1FCD" w:rsidRPr="009D7635">
        <w:rPr>
          <w:rFonts w:ascii="Times New Roman" w:hAnsi="Times New Roman" w:cs="Times New Roman"/>
          <w:color w:val="000000" w:themeColor="text1"/>
          <w:sz w:val="20"/>
          <w:szCs w:val="20"/>
        </w:rPr>
        <w:t xml:space="preserve"> </w:t>
      </w:r>
      <w:proofErr w:type="spellStart"/>
      <w:r w:rsidR="00CD1FCD" w:rsidRPr="009D7635">
        <w:rPr>
          <w:rFonts w:ascii="Times New Roman" w:hAnsi="Times New Roman" w:cs="Times New Roman"/>
          <w:color w:val="000000" w:themeColor="text1"/>
          <w:sz w:val="20"/>
          <w:szCs w:val="20"/>
        </w:rPr>
        <w:t>Burgundio</w:t>
      </w:r>
      <w:proofErr w:type="spellEnd"/>
      <w:r w:rsidR="00CD1FCD" w:rsidRPr="009D7635">
        <w:rPr>
          <w:rFonts w:ascii="Times New Roman" w:hAnsi="Times New Roman" w:cs="Times New Roman"/>
          <w:color w:val="000000" w:themeColor="text1"/>
          <w:sz w:val="20"/>
          <w:szCs w:val="20"/>
        </w:rPr>
        <w:t xml:space="preserve"> of Pisa. </w:t>
      </w:r>
      <w:r w:rsidR="00562172" w:rsidRPr="009D7635">
        <w:rPr>
          <w:rFonts w:ascii="Times New Roman" w:hAnsi="Times New Roman" w:cs="Times New Roman"/>
          <w:color w:val="000000" w:themeColor="text1"/>
          <w:sz w:val="20"/>
          <w:szCs w:val="20"/>
        </w:rPr>
        <w:t xml:space="preserve">The </w:t>
      </w:r>
      <w:proofErr w:type="spellStart"/>
      <w:r w:rsidR="00562172" w:rsidRPr="009D7635">
        <w:rPr>
          <w:rFonts w:ascii="Times New Roman" w:hAnsi="Times New Roman" w:cs="Times New Roman"/>
          <w:i/>
          <w:iCs/>
          <w:color w:val="000000" w:themeColor="text1"/>
          <w:sz w:val="20"/>
          <w:szCs w:val="20"/>
        </w:rPr>
        <w:t>Ethica</w:t>
      </w:r>
      <w:proofErr w:type="spellEnd"/>
      <w:r w:rsidR="00562172" w:rsidRPr="009D7635">
        <w:rPr>
          <w:rFonts w:ascii="Times New Roman" w:hAnsi="Times New Roman" w:cs="Times New Roman"/>
          <w:i/>
          <w:iCs/>
          <w:color w:val="000000" w:themeColor="text1"/>
          <w:sz w:val="20"/>
          <w:szCs w:val="20"/>
        </w:rPr>
        <w:t xml:space="preserve"> nova </w:t>
      </w:r>
      <w:r w:rsidR="00562172" w:rsidRPr="009D7635">
        <w:rPr>
          <w:rFonts w:ascii="Times New Roman" w:hAnsi="Times New Roman" w:cs="Times New Roman"/>
          <w:color w:val="000000" w:themeColor="text1"/>
          <w:sz w:val="20"/>
          <w:szCs w:val="20"/>
        </w:rPr>
        <w:t xml:space="preserve">included Book I and fragments of some of the other nine books of the text. </w:t>
      </w:r>
      <w:r w:rsidR="00C867F5" w:rsidRPr="009D7635">
        <w:rPr>
          <w:rFonts w:ascii="Times New Roman" w:hAnsi="Times New Roman" w:cs="Times New Roman"/>
          <w:color w:val="000000" w:themeColor="text1"/>
          <w:sz w:val="20"/>
          <w:szCs w:val="20"/>
        </w:rPr>
        <w:t xml:space="preserve">These works have been edited by René A. Gauthier in </w:t>
      </w:r>
      <w:proofErr w:type="spellStart"/>
      <w:r w:rsidR="00C867F5" w:rsidRPr="009D7635">
        <w:rPr>
          <w:rFonts w:ascii="Times New Roman" w:hAnsi="Times New Roman" w:cs="Times New Roman"/>
          <w:i/>
          <w:iCs/>
          <w:sz w:val="20"/>
          <w:szCs w:val="20"/>
        </w:rPr>
        <w:t>Ethica</w:t>
      </w:r>
      <w:proofErr w:type="spellEnd"/>
      <w:r w:rsidR="00C867F5" w:rsidRPr="009D7635">
        <w:rPr>
          <w:rFonts w:ascii="Times New Roman" w:hAnsi="Times New Roman" w:cs="Times New Roman"/>
          <w:i/>
          <w:iCs/>
          <w:sz w:val="20"/>
          <w:szCs w:val="20"/>
        </w:rPr>
        <w:t xml:space="preserve"> </w:t>
      </w:r>
      <w:proofErr w:type="spellStart"/>
      <w:r w:rsidR="00C867F5" w:rsidRPr="009D7635">
        <w:rPr>
          <w:rFonts w:ascii="Times New Roman" w:hAnsi="Times New Roman" w:cs="Times New Roman"/>
          <w:i/>
          <w:iCs/>
          <w:sz w:val="20"/>
          <w:szCs w:val="20"/>
        </w:rPr>
        <w:t>nicomachea</w:t>
      </w:r>
      <w:proofErr w:type="spellEnd"/>
      <w:r w:rsidR="00C867F5" w:rsidRPr="009D7635">
        <w:rPr>
          <w:rFonts w:ascii="Times New Roman" w:hAnsi="Times New Roman" w:cs="Times New Roman"/>
          <w:sz w:val="20"/>
          <w:szCs w:val="20"/>
        </w:rPr>
        <w:t xml:space="preserve"> (Leiden: Brill, 1972-4). </w:t>
      </w:r>
      <w:r w:rsidR="00460F2C" w:rsidRPr="009D7635">
        <w:rPr>
          <w:rFonts w:ascii="Times New Roman" w:hAnsi="Times New Roman" w:cs="Times New Roman"/>
          <w:color w:val="000000" w:themeColor="text1"/>
          <w:sz w:val="20"/>
          <w:szCs w:val="20"/>
        </w:rPr>
        <w:t xml:space="preserve">See </w:t>
      </w:r>
      <w:r w:rsidR="00C867F5" w:rsidRPr="009D7635">
        <w:rPr>
          <w:rFonts w:ascii="Times New Roman" w:hAnsi="Times New Roman" w:cs="Times New Roman"/>
          <w:color w:val="000000" w:themeColor="text1"/>
          <w:sz w:val="20"/>
          <w:szCs w:val="20"/>
        </w:rPr>
        <w:t xml:space="preserve">also </w:t>
      </w:r>
      <w:r w:rsidR="00460F2C" w:rsidRPr="009D7635">
        <w:rPr>
          <w:rFonts w:ascii="Times New Roman" w:hAnsi="Times New Roman" w:cs="Times New Roman"/>
          <w:color w:val="000000" w:themeColor="text1"/>
          <w:sz w:val="20"/>
          <w:szCs w:val="20"/>
        </w:rPr>
        <w:t xml:space="preserve">David </w:t>
      </w:r>
      <w:proofErr w:type="spellStart"/>
      <w:r w:rsidR="00460F2C" w:rsidRPr="009D7635">
        <w:rPr>
          <w:rFonts w:ascii="Times New Roman" w:hAnsi="Times New Roman" w:cs="Times New Roman"/>
          <w:color w:val="000000" w:themeColor="text1"/>
          <w:sz w:val="20"/>
          <w:szCs w:val="20"/>
        </w:rPr>
        <w:t>Luscombe</w:t>
      </w:r>
      <w:proofErr w:type="spellEnd"/>
      <w:r w:rsidR="00460F2C" w:rsidRPr="009D7635">
        <w:rPr>
          <w:rFonts w:ascii="Times New Roman" w:hAnsi="Times New Roman" w:cs="Times New Roman"/>
          <w:color w:val="000000" w:themeColor="text1"/>
          <w:sz w:val="20"/>
          <w:szCs w:val="20"/>
        </w:rPr>
        <w:t xml:space="preserve">, ‘Ethics in the Early Thirteenth Century,’ </w:t>
      </w:r>
      <w:r w:rsidR="00460F2C" w:rsidRPr="009D7635">
        <w:rPr>
          <w:rFonts w:ascii="Times New Roman" w:hAnsi="Times New Roman" w:cs="Times New Roman"/>
          <w:sz w:val="20"/>
          <w:szCs w:val="20"/>
        </w:rPr>
        <w:t xml:space="preserve">in </w:t>
      </w:r>
      <w:proofErr w:type="spellStart"/>
      <w:r w:rsidR="00460F2C" w:rsidRPr="009D7635">
        <w:rPr>
          <w:rFonts w:ascii="Times New Roman" w:hAnsi="Times New Roman" w:cs="Times New Roman"/>
          <w:i/>
          <w:iCs/>
          <w:sz w:val="20"/>
          <w:szCs w:val="20"/>
        </w:rPr>
        <w:t>Albertus</w:t>
      </w:r>
      <w:proofErr w:type="spellEnd"/>
      <w:r w:rsidR="00460F2C" w:rsidRPr="009D7635">
        <w:rPr>
          <w:rFonts w:ascii="Times New Roman" w:hAnsi="Times New Roman" w:cs="Times New Roman"/>
          <w:i/>
          <w:iCs/>
          <w:sz w:val="20"/>
          <w:szCs w:val="20"/>
        </w:rPr>
        <w:t xml:space="preserve"> Magnus und die </w:t>
      </w:r>
      <w:proofErr w:type="spellStart"/>
      <w:r w:rsidR="00460F2C" w:rsidRPr="009D7635">
        <w:rPr>
          <w:rFonts w:ascii="Times New Roman" w:hAnsi="Times New Roman" w:cs="Times New Roman"/>
          <w:i/>
          <w:iCs/>
          <w:sz w:val="20"/>
          <w:szCs w:val="20"/>
        </w:rPr>
        <w:t>Anfänge</w:t>
      </w:r>
      <w:proofErr w:type="spellEnd"/>
      <w:r w:rsidR="00460F2C" w:rsidRPr="009D7635">
        <w:rPr>
          <w:rFonts w:ascii="Times New Roman" w:hAnsi="Times New Roman" w:cs="Times New Roman"/>
          <w:i/>
          <w:iCs/>
          <w:sz w:val="20"/>
          <w:szCs w:val="20"/>
        </w:rPr>
        <w:t xml:space="preserve"> der </w:t>
      </w:r>
      <w:proofErr w:type="spellStart"/>
      <w:r w:rsidR="00460F2C" w:rsidRPr="009D7635">
        <w:rPr>
          <w:rFonts w:ascii="Times New Roman" w:hAnsi="Times New Roman" w:cs="Times New Roman"/>
          <w:i/>
          <w:iCs/>
          <w:sz w:val="20"/>
          <w:szCs w:val="20"/>
        </w:rPr>
        <w:t>Aristoteles-Rezeption</w:t>
      </w:r>
      <w:proofErr w:type="spellEnd"/>
      <w:r w:rsidR="00460F2C" w:rsidRPr="009D7635">
        <w:rPr>
          <w:rFonts w:ascii="Times New Roman" w:hAnsi="Times New Roman" w:cs="Times New Roman"/>
          <w:i/>
          <w:iCs/>
          <w:sz w:val="20"/>
          <w:szCs w:val="20"/>
        </w:rPr>
        <w:t xml:space="preserve"> </w:t>
      </w:r>
      <w:proofErr w:type="spellStart"/>
      <w:r w:rsidR="00460F2C" w:rsidRPr="009D7635">
        <w:rPr>
          <w:rFonts w:ascii="Times New Roman" w:hAnsi="Times New Roman" w:cs="Times New Roman"/>
          <w:i/>
          <w:iCs/>
          <w:sz w:val="20"/>
          <w:szCs w:val="20"/>
        </w:rPr>
        <w:t>im</w:t>
      </w:r>
      <w:proofErr w:type="spellEnd"/>
      <w:r w:rsidR="00460F2C" w:rsidRPr="009D7635">
        <w:rPr>
          <w:rFonts w:ascii="Times New Roman" w:hAnsi="Times New Roman" w:cs="Times New Roman"/>
          <w:i/>
          <w:iCs/>
          <w:sz w:val="20"/>
          <w:szCs w:val="20"/>
        </w:rPr>
        <w:t xml:space="preserve"> </w:t>
      </w:r>
      <w:proofErr w:type="spellStart"/>
      <w:r w:rsidR="00460F2C" w:rsidRPr="009D7635">
        <w:rPr>
          <w:rFonts w:ascii="Times New Roman" w:hAnsi="Times New Roman" w:cs="Times New Roman"/>
          <w:i/>
          <w:iCs/>
          <w:sz w:val="20"/>
          <w:szCs w:val="20"/>
        </w:rPr>
        <w:t>lateinischen</w:t>
      </w:r>
      <w:proofErr w:type="spellEnd"/>
      <w:r w:rsidR="00460F2C" w:rsidRPr="009D7635">
        <w:rPr>
          <w:rFonts w:ascii="Times New Roman" w:hAnsi="Times New Roman" w:cs="Times New Roman"/>
          <w:i/>
          <w:iCs/>
          <w:sz w:val="20"/>
          <w:szCs w:val="20"/>
        </w:rPr>
        <w:t xml:space="preserve"> </w:t>
      </w:r>
      <w:proofErr w:type="spellStart"/>
      <w:r w:rsidR="00460F2C" w:rsidRPr="009D7635">
        <w:rPr>
          <w:rFonts w:ascii="Times New Roman" w:hAnsi="Times New Roman" w:cs="Times New Roman"/>
          <w:i/>
          <w:iCs/>
          <w:sz w:val="20"/>
          <w:szCs w:val="20"/>
        </w:rPr>
        <w:t>Mittelalter</w:t>
      </w:r>
      <w:proofErr w:type="spellEnd"/>
      <w:r w:rsidR="00460F2C" w:rsidRPr="009D7635">
        <w:rPr>
          <w:rFonts w:ascii="Times New Roman" w:hAnsi="Times New Roman" w:cs="Times New Roman"/>
          <w:i/>
          <w:iCs/>
          <w:sz w:val="20"/>
          <w:szCs w:val="20"/>
        </w:rPr>
        <w:t>,</w:t>
      </w:r>
      <w:r w:rsidR="00460F2C" w:rsidRPr="009D7635">
        <w:rPr>
          <w:rFonts w:ascii="Times New Roman" w:hAnsi="Times New Roman" w:cs="Times New Roman"/>
          <w:sz w:val="20"/>
          <w:szCs w:val="20"/>
        </w:rPr>
        <w:t xml:space="preserve"> ed. </w:t>
      </w:r>
      <w:proofErr w:type="spellStart"/>
      <w:r w:rsidR="00460F2C" w:rsidRPr="009D7635">
        <w:rPr>
          <w:rFonts w:ascii="Times New Roman" w:hAnsi="Times New Roman" w:cs="Times New Roman"/>
          <w:sz w:val="20"/>
          <w:szCs w:val="20"/>
        </w:rPr>
        <w:t>Ludger</w:t>
      </w:r>
      <w:proofErr w:type="spellEnd"/>
      <w:r w:rsidR="00460F2C" w:rsidRPr="009D7635">
        <w:rPr>
          <w:rFonts w:ascii="Times New Roman" w:hAnsi="Times New Roman" w:cs="Times New Roman"/>
          <w:sz w:val="20"/>
          <w:szCs w:val="20"/>
        </w:rPr>
        <w:t xml:space="preserve"> </w:t>
      </w:r>
      <w:proofErr w:type="spellStart"/>
      <w:r w:rsidR="00460F2C" w:rsidRPr="009D7635">
        <w:rPr>
          <w:rFonts w:ascii="Times New Roman" w:hAnsi="Times New Roman" w:cs="Times New Roman"/>
          <w:sz w:val="20"/>
          <w:szCs w:val="20"/>
        </w:rPr>
        <w:t>Honnefelder</w:t>
      </w:r>
      <w:proofErr w:type="spellEnd"/>
      <w:r w:rsidR="00460F2C" w:rsidRPr="009D7635">
        <w:rPr>
          <w:rFonts w:ascii="Times New Roman" w:hAnsi="Times New Roman" w:cs="Times New Roman"/>
          <w:sz w:val="20"/>
          <w:szCs w:val="20"/>
        </w:rPr>
        <w:t xml:space="preserve"> (Munster: </w:t>
      </w:r>
      <w:proofErr w:type="spellStart"/>
      <w:r w:rsidR="00460F2C" w:rsidRPr="009D7635">
        <w:rPr>
          <w:rFonts w:ascii="Times New Roman" w:hAnsi="Times New Roman" w:cs="Times New Roman"/>
          <w:sz w:val="20"/>
          <w:szCs w:val="20"/>
        </w:rPr>
        <w:t>Aschendorff</w:t>
      </w:r>
      <w:proofErr w:type="spellEnd"/>
      <w:r w:rsidR="00460F2C" w:rsidRPr="009D7635">
        <w:rPr>
          <w:rFonts w:ascii="Times New Roman" w:hAnsi="Times New Roman" w:cs="Times New Roman"/>
          <w:sz w:val="20"/>
          <w:szCs w:val="20"/>
        </w:rPr>
        <w:t>, 2005), 660</w:t>
      </w:r>
      <w:r w:rsidR="00C867F5" w:rsidRPr="009D7635">
        <w:rPr>
          <w:rFonts w:ascii="Times New Roman" w:hAnsi="Times New Roman" w:cs="Times New Roman"/>
          <w:sz w:val="20"/>
          <w:szCs w:val="20"/>
        </w:rPr>
        <w:t xml:space="preserve">. The first complete translation of Aristotle’s </w:t>
      </w:r>
      <w:r w:rsidR="00C867F5" w:rsidRPr="009D7635">
        <w:rPr>
          <w:rFonts w:ascii="Times New Roman" w:hAnsi="Times New Roman" w:cs="Times New Roman"/>
          <w:i/>
          <w:iCs/>
          <w:sz w:val="20"/>
          <w:szCs w:val="20"/>
        </w:rPr>
        <w:t>Ethics</w:t>
      </w:r>
      <w:r w:rsidR="00C867F5" w:rsidRPr="009D7635">
        <w:rPr>
          <w:rFonts w:ascii="Times New Roman" w:hAnsi="Times New Roman" w:cs="Times New Roman"/>
          <w:sz w:val="20"/>
          <w:szCs w:val="20"/>
        </w:rPr>
        <w:t xml:space="preserve"> was that of Robert </w:t>
      </w:r>
      <w:proofErr w:type="spellStart"/>
      <w:r w:rsidR="00C867F5" w:rsidRPr="009D7635">
        <w:rPr>
          <w:rFonts w:ascii="Times New Roman" w:hAnsi="Times New Roman" w:cs="Times New Roman"/>
          <w:sz w:val="20"/>
          <w:szCs w:val="20"/>
        </w:rPr>
        <w:t>Grosseteste</w:t>
      </w:r>
      <w:proofErr w:type="spellEnd"/>
      <w:r w:rsidR="00C867F5" w:rsidRPr="009D7635">
        <w:rPr>
          <w:rFonts w:ascii="Times New Roman" w:hAnsi="Times New Roman" w:cs="Times New Roman"/>
          <w:sz w:val="20"/>
          <w:szCs w:val="20"/>
        </w:rPr>
        <w:t xml:space="preserve">, which was produced between 1246-48, as </w:t>
      </w:r>
      <w:r w:rsidR="00C867F5" w:rsidRPr="009D7635">
        <w:rPr>
          <w:rFonts w:ascii="Times New Roman" w:hAnsi="Times New Roman" w:cs="Times New Roman"/>
          <w:color w:val="000000" w:themeColor="text1"/>
          <w:sz w:val="20"/>
          <w:szCs w:val="20"/>
        </w:rPr>
        <w:t xml:space="preserve">Valeria Buffon points out in, ‘Philosophers and Theologians on Happiness: An Analysis of Early Latin Commentaries on the </w:t>
      </w:r>
      <w:proofErr w:type="spellStart"/>
      <w:r w:rsidR="00C867F5" w:rsidRPr="009D7635">
        <w:rPr>
          <w:rFonts w:ascii="Times New Roman" w:hAnsi="Times New Roman" w:cs="Times New Roman"/>
          <w:i/>
          <w:iCs/>
          <w:color w:val="000000" w:themeColor="text1"/>
          <w:sz w:val="20"/>
          <w:szCs w:val="20"/>
        </w:rPr>
        <w:t>Nicomachean</w:t>
      </w:r>
      <w:proofErr w:type="spellEnd"/>
      <w:r w:rsidR="00C867F5" w:rsidRPr="009D7635">
        <w:rPr>
          <w:rFonts w:ascii="Times New Roman" w:hAnsi="Times New Roman" w:cs="Times New Roman"/>
          <w:i/>
          <w:iCs/>
          <w:color w:val="000000" w:themeColor="text1"/>
          <w:sz w:val="20"/>
          <w:szCs w:val="20"/>
        </w:rPr>
        <w:t xml:space="preserve"> Ethics,’</w:t>
      </w:r>
      <w:r w:rsidR="00C867F5" w:rsidRPr="009D7635">
        <w:rPr>
          <w:rFonts w:ascii="Times New Roman" w:hAnsi="Times New Roman" w:cs="Times New Roman"/>
          <w:color w:val="000000" w:themeColor="text1"/>
          <w:sz w:val="20"/>
          <w:szCs w:val="20"/>
        </w:rPr>
        <w:t xml:space="preserve"> </w:t>
      </w:r>
      <w:r w:rsidR="00C867F5" w:rsidRPr="009D7635">
        <w:rPr>
          <w:rFonts w:ascii="Times New Roman" w:hAnsi="Times New Roman" w:cs="Times New Roman"/>
          <w:i/>
          <w:iCs/>
          <w:color w:val="000000" w:themeColor="text1"/>
          <w:sz w:val="20"/>
          <w:szCs w:val="20"/>
        </w:rPr>
        <w:t xml:space="preserve">Laval </w:t>
      </w:r>
      <w:proofErr w:type="spellStart"/>
      <w:r w:rsidR="00C867F5" w:rsidRPr="009D7635">
        <w:rPr>
          <w:rFonts w:ascii="Times New Roman" w:hAnsi="Times New Roman" w:cs="Times New Roman"/>
          <w:i/>
          <w:iCs/>
          <w:color w:val="000000" w:themeColor="text1"/>
          <w:sz w:val="20"/>
          <w:szCs w:val="20"/>
        </w:rPr>
        <w:t>théologique</w:t>
      </w:r>
      <w:proofErr w:type="spellEnd"/>
      <w:r w:rsidR="00C867F5" w:rsidRPr="009D7635">
        <w:rPr>
          <w:rFonts w:ascii="Times New Roman" w:hAnsi="Times New Roman" w:cs="Times New Roman"/>
          <w:i/>
          <w:iCs/>
          <w:color w:val="000000" w:themeColor="text1"/>
          <w:sz w:val="20"/>
          <w:szCs w:val="20"/>
        </w:rPr>
        <w:t xml:space="preserve"> et </w:t>
      </w:r>
      <w:proofErr w:type="spellStart"/>
      <w:r w:rsidR="00C867F5" w:rsidRPr="009D7635">
        <w:rPr>
          <w:rFonts w:ascii="Times New Roman" w:hAnsi="Times New Roman" w:cs="Times New Roman"/>
          <w:i/>
          <w:iCs/>
          <w:color w:val="000000" w:themeColor="text1"/>
          <w:sz w:val="20"/>
          <w:szCs w:val="20"/>
        </w:rPr>
        <w:t>philosophque</w:t>
      </w:r>
      <w:proofErr w:type="spellEnd"/>
      <w:r w:rsidR="00C867F5" w:rsidRPr="009D7635">
        <w:rPr>
          <w:rFonts w:ascii="Times New Roman" w:hAnsi="Times New Roman" w:cs="Times New Roman"/>
          <w:i/>
          <w:iCs/>
          <w:color w:val="000000" w:themeColor="text1"/>
          <w:sz w:val="20"/>
          <w:szCs w:val="20"/>
        </w:rPr>
        <w:t xml:space="preserve"> </w:t>
      </w:r>
      <w:r w:rsidR="00C867F5" w:rsidRPr="009D7635">
        <w:rPr>
          <w:rFonts w:ascii="Times New Roman" w:hAnsi="Times New Roman" w:cs="Times New Roman"/>
          <w:color w:val="000000" w:themeColor="text1"/>
          <w:sz w:val="20"/>
          <w:szCs w:val="20"/>
        </w:rPr>
        <w:t>60:3 (2004)</w:t>
      </w:r>
      <w:r w:rsidR="00D334F3" w:rsidRPr="009D7635">
        <w:rPr>
          <w:rFonts w:ascii="Times New Roman" w:hAnsi="Times New Roman" w:cs="Times New Roman"/>
          <w:color w:val="000000" w:themeColor="text1"/>
          <w:sz w:val="20"/>
          <w:szCs w:val="20"/>
        </w:rPr>
        <w:t>:</w:t>
      </w:r>
      <w:r w:rsidR="00C867F5" w:rsidRPr="009D7635">
        <w:rPr>
          <w:rFonts w:ascii="Times New Roman" w:hAnsi="Times New Roman" w:cs="Times New Roman"/>
          <w:color w:val="000000" w:themeColor="text1"/>
          <w:sz w:val="20"/>
          <w:szCs w:val="20"/>
        </w:rPr>
        <w:t xml:space="preserve"> 454-55. </w:t>
      </w:r>
      <w:r w:rsidR="00511A9C" w:rsidRPr="009D7635">
        <w:rPr>
          <w:rFonts w:ascii="Times New Roman" w:hAnsi="Times New Roman" w:cs="Times New Roman"/>
          <w:color w:val="000000" w:themeColor="text1"/>
          <w:sz w:val="20"/>
          <w:szCs w:val="20"/>
          <w:lang w:val="fr-FR"/>
        </w:rPr>
        <w:t xml:space="preserve">As </w:t>
      </w:r>
      <w:r w:rsidR="00511A9C" w:rsidRPr="009D7635">
        <w:rPr>
          <w:rFonts w:ascii="Times New Roman" w:hAnsi="Times New Roman" w:cs="Times New Roman"/>
          <w:color w:val="000000" w:themeColor="text1"/>
          <w:sz w:val="20"/>
          <w:szCs w:val="20"/>
        </w:rPr>
        <w:t xml:space="preserve">Amos </w:t>
      </w:r>
      <w:proofErr w:type="spellStart"/>
      <w:r w:rsidR="00511A9C" w:rsidRPr="009D7635">
        <w:rPr>
          <w:rFonts w:ascii="Times New Roman" w:hAnsi="Times New Roman" w:cs="Times New Roman"/>
          <w:color w:val="000000" w:themeColor="text1"/>
          <w:sz w:val="20"/>
          <w:szCs w:val="20"/>
        </w:rPr>
        <w:t>Bertolacci</w:t>
      </w:r>
      <w:proofErr w:type="spellEnd"/>
      <w:r w:rsidR="00511A9C" w:rsidRPr="009D7635">
        <w:rPr>
          <w:rFonts w:ascii="Times New Roman" w:hAnsi="Times New Roman" w:cs="Times New Roman"/>
          <w:color w:val="000000" w:themeColor="text1"/>
          <w:sz w:val="20"/>
          <w:szCs w:val="20"/>
        </w:rPr>
        <w:t xml:space="preserve"> shows in his article ‘On the Latin Reception of Avicenna’s Metaphysics before </w:t>
      </w:r>
      <w:proofErr w:type="spellStart"/>
      <w:r w:rsidR="00511A9C" w:rsidRPr="009D7635">
        <w:rPr>
          <w:rFonts w:ascii="Times New Roman" w:hAnsi="Times New Roman" w:cs="Times New Roman"/>
          <w:color w:val="000000" w:themeColor="text1"/>
          <w:sz w:val="20"/>
          <w:szCs w:val="20"/>
        </w:rPr>
        <w:t>Albertus</w:t>
      </w:r>
      <w:proofErr w:type="spellEnd"/>
      <w:r w:rsidR="00511A9C" w:rsidRPr="009D7635">
        <w:rPr>
          <w:rFonts w:ascii="Times New Roman" w:hAnsi="Times New Roman" w:cs="Times New Roman"/>
          <w:color w:val="000000" w:themeColor="text1"/>
          <w:sz w:val="20"/>
          <w:szCs w:val="20"/>
        </w:rPr>
        <w:t xml:space="preserve"> Magnus,’ 204</w:t>
      </w:r>
      <w:r w:rsidR="00511A9C" w:rsidRPr="009D7635">
        <w:rPr>
          <w:rFonts w:ascii="Times New Roman" w:hAnsi="Times New Roman" w:cs="Times New Roman"/>
          <w:color w:val="000000" w:themeColor="text1"/>
          <w:sz w:val="20"/>
          <w:szCs w:val="20"/>
          <w:lang w:val="fr-FR"/>
        </w:rPr>
        <w:t xml:space="preserve">, </w:t>
      </w:r>
      <w:r w:rsidRPr="009D7635">
        <w:rPr>
          <w:rFonts w:ascii="Times New Roman" w:hAnsi="Times New Roman" w:cs="Times New Roman"/>
          <w:i/>
          <w:color w:val="000000" w:themeColor="text1"/>
          <w:sz w:val="20"/>
          <w:szCs w:val="20"/>
        </w:rPr>
        <w:t xml:space="preserve">Metaphysics </w:t>
      </w:r>
      <w:r w:rsidRPr="009D7635">
        <w:rPr>
          <w:rFonts w:ascii="Times New Roman" w:hAnsi="Times New Roman" w:cs="Times New Roman"/>
          <w:iCs/>
          <w:color w:val="000000" w:themeColor="text1"/>
          <w:sz w:val="20"/>
          <w:szCs w:val="20"/>
        </w:rPr>
        <w:t>was another work that circu</w:t>
      </w:r>
      <w:r w:rsidRPr="009D7635">
        <w:rPr>
          <w:rFonts w:ascii="Times New Roman" w:hAnsi="Times New Roman" w:cs="Times New Roman"/>
          <w:color w:val="000000" w:themeColor="text1"/>
          <w:sz w:val="20"/>
          <w:szCs w:val="20"/>
        </w:rPr>
        <w:t xml:space="preserve">lated in several versions before about 1210: the so-called </w:t>
      </w:r>
      <w:proofErr w:type="spellStart"/>
      <w:r w:rsidRPr="009D7635">
        <w:rPr>
          <w:rFonts w:ascii="Times New Roman" w:hAnsi="Times New Roman" w:cs="Times New Roman"/>
          <w:i/>
          <w:color w:val="000000" w:themeColor="text1"/>
          <w:sz w:val="20"/>
          <w:szCs w:val="20"/>
        </w:rPr>
        <w:t>Metaphysica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vetusissima</w:t>
      </w:r>
      <w:proofErr w:type="spellEnd"/>
      <w:r w:rsidRPr="009D7635">
        <w:rPr>
          <w:rFonts w:ascii="Times New Roman" w:hAnsi="Times New Roman" w:cs="Times New Roman"/>
          <w:color w:val="000000" w:themeColor="text1"/>
          <w:sz w:val="20"/>
          <w:szCs w:val="20"/>
        </w:rPr>
        <w:t xml:space="preserve"> by James of Venice, which included up to chapter four of book four; and the anonymous translation—or </w:t>
      </w:r>
      <w:proofErr w:type="spellStart"/>
      <w:r w:rsidRPr="009D7635">
        <w:rPr>
          <w:rFonts w:ascii="Times New Roman" w:hAnsi="Times New Roman" w:cs="Times New Roman"/>
          <w:i/>
          <w:color w:val="000000" w:themeColor="text1"/>
          <w:sz w:val="20"/>
          <w:szCs w:val="20"/>
        </w:rPr>
        <w:t>Anonyma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Media—</w:t>
      </w:r>
      <w:r w:rsidRPr="009D7635">
        <w:rPr>
          <w:rFonts w:ascii="Times New Roman" w:hAnsi="Times New Roman" w:cs="Times New Roman"/>
          <w:color w:val="000000" w:themeColor="text1"/>
          <w:sz w:val="20"/>
          <w:szCs w:val="20"/>
        </w:rPr>
        <w:t>probably produced in the late twelfth century, which included the first eleven of the twelve books in total, but did not start to be circulated widely until the mid-thirteenth century.</w:t>
      </w:r>
      <w:r w:rsidRPr="009D7635">
        <w:rPr>
          <w:rFonts w:ascii="Times New Roman" w:hAnsi="Times New Roman" w:cs="Times New Roman"/>
          <w:color w:val="000000" w:themeColor="text1"/>
          <w:sz w:val="20"/>
          <w:szCs w:val="20"/>
          <w:lang w:val="fr-FR"/>
        </w:rPr>
        <w:t>.</w:t>
      </w:r>
    </w:p>
  </w:footnote>
  <w:footnote w:id="84">
    <w:p w14:paraId="4D364078" w14:textId="77777777" w:rsidR="00B93ED5" w:rsidRPr="009D7635" w:rsidRDefault="00B93ED5" w:rsidP="006A5A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Richard C. Dales, ‘The Understanding of Aristotle’s Natural Philosophy by the Early Scholastics,’ in </w:t>
      </w:r>
      <w:r w:rsidRPr="009D7635">
        <w:rPr>
          <w:rFonts w:ascii="Times New Roman" w:hAnsi="Times New Roman" w:cs="Times New Roman"/>
          <w:i/>
          <w:color w:val="000000" w:themeColor="text1"/>
          <w:sz w:val="20"/>
          <w:szCs w:val="20"/>
        </w:rPr>
        <w:t xml:space="preserve">The Intellectual Climate of the Early University: Essays in </w:t>
      </w:r>
      <w:proofErr w:type="spellStart"/>
      <w:r w:rsidRPr="009D7635">
        <w:rPr>
          <w:rFonts w:ascii="Times New Roman" w:hAnsi="Times New Roman" w:cs="Times New Roman"/>
          <w:i/>
          <w:color w:val="000000" w:themeColor="text1"/>
          <w:sz w:val="20"/>
          <w:szCs w:val="20"/>
        </w:rPr>
        <w:t>Honor</w:t>
      </w:r>
      <w:proofErr w:type="spellEnd"/>
      <w:r w:rsidRPr="009D7635">
        <w:rPr>
          <w:rFonts w:ascii="Times New Roman" w:hAnsi="Times New Roman" w:cs="Times New Roman"/>
          <w:i/>
          <w:color w:val="000000" w:themeColor="text1"/>
          <w:sz w:val="20"/>
          <w:szCs w:val="20"/>
        </w:rPr>
        <w:t xml:space="preserve"> of Otto </w:t>
      </w:r>
      <w:proofErr w:type="spellStart"/>
      <w:r w:rsidRPr="009D7635">
        <w:rPr>
          <w:rFonts w:ascii="Times New Roman" w:hAnsi="Times New Roman" w:cs="Times New Roman"/>
          <w:i/>
          <w:color w:val="000000" w:themeColor="text1"/>
          <w:sz w:val="20"/>
          <w:szCs w:val="20"/>
        </w:rPr>
        <w:t>Gründler</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ed. Nancy van </w:t>
      </w:r>
      <w:proofErr w:type="spellStart"/>
      <w:r w:rsidRPr="009D7635">
        <w:rPr>
          <w:rFonts w:ascii="Times New Roman" w:hAnsi="Times New Roman" w:cs="Times New Roman"/>
          <w:color w:val="000000" w:themeColor="text1"/>
          <w:sz w:val="20"/>
          <w:szCs w:val="20"/>
        </w:rPr>
        <w:t>Deusen</w:t>
      </w:r>
      <w:proofErr w:type="spellEnd"/>
      <w:r w:rsidRPr="009D7635">
        <w:rPr>
          <w:rFonts w:ascii="Times New Roman" w:hAnsi="Times New Roman" w:cs="Times New Roman"/>
          <w:color w:val="000000" w:themeColor="text1"/>
          <w:sz w:val="20"/>
          <w:szCs w:val="20"/>
        </w:rPr>
        <w:t xml:space="preserve"> (Kalamazoo: Medieval Institute Publications, Western Michigan University, 1997), 141-50.</w:t>
      </w:r>
    </w:p>
  </w:footnote>
  <w:footnote w:id="85">
    <w:p w14:paraId="35542B63" w14:textId="1D42BDCF"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w:t>
      </w:r>
      <w:r w:rsidRPr="009D7635">
        <w:rPr>
          <w:rFonts w:ascii="Times New Roman" w:hAnsi="Times New Roman" w:cs="Times New Roman"/>
          <w:i/>
          <w:color w:val="000000" w:themeColor="text1"/>
        </w:rPr>
        <w:t>, Avicenna’s De anima in the Latin West</w:t>
      </w:r>
      <w:r w:rsidR="00CA430E"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9.</w:t>
      </w:r>
    </w:p>
  </w:footnote>
  <w:footnote w:id="86">
    <w:p w14:paraId="79114F1A" w14:textId="37B21BAF"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Amos </w:t>
      </w:r>
      <w:proofErr w:type="spellStart"/>
      <w:r w:rsidRPr="009D7635">
        <w:rPr>
          <w:rFonts w:ascii="Times New Roman" w:hAnsi="Times New Roman" w:cs="Times New Roman"/>
          <w:color w:val="000000" w:themeColor="text1"/>
        </w:rPr>
        <w:t>Bertolacci</w:t>
      </w:r>
      <w:proofErr w:type="spellEnd"/>
      <w:r w:rsidRPr="009D7635">
        <w:rPr>
          <w:rFonts w:ascii="Times New Roman" w:hAnsi="Times New Roman" w:cs="Times New Roman"/>
          <w:color w:val="000000" w:themeColor="text1"/>
        </w:rPr>
        <w:t xml:space="preserve">, ‘On the Latin Reception of Avicenna’s Metaphysics,’ 202. See also Amos </w:t>
      </w:r>
      <w:proofErr w:type="spellStart"/>
      <w:r w:rsidRPr="009D7635">
        <w:rPr>
          <w:rFonts w:ascii="Times New Roman" w:hAnsi="Times New Roman" w:cs="Times New Roman"/>
          <w:color w:val="000000" w:themeColor="text1"/>
        </w:rPr>
        <w:t>Bertolacci</w:t>
      </w:r>
      <w:proofErr w:type="spellEnd"/>
      <w:r w:rsidRPr="009D7635">
        <w:rPr>
          <w:rFonts w:ascii="Times New Roman" w:hAnsi="Times New Roman" w:cs="Times New Roman"/>
          <w:color w:val="000000" w:themeColor="text1"/>
        </w:rPr>
        <w:t xml:space="preserve">, ‘Reading Aristotle with Avicenna: On the Reception of the </w:t>
      </w:r>
      <w:proofErr w:type="spellStart"/>
      <w:r w:rsidRPr="009D7635">
        <w:rPr>
          <w:rFonts w:ascii="Times New Roman" w:hAnsi="Times New Roman" w:cs="Times New Roman"/>
          <w:i/>
          <w:iCs/>
          <w:color w:val="000000" w:themeColor="text1"/>
        </w:rPr>
        <w:t>Philosophia</w:t>
      </w:r>
      <w:proofErr w:type="spellEnd"/>
      <w:r w:rsidRPr="009D7635">
        <w:rPr>
          <w:rFonts w:ascii="Times New Roman" w:hAnsi="Times New Roman" w:cs="Times New Roman"/>
          <w:i/>
          <w:iCs/>
          <w:color w:val="000000" w:themeColor="text1"/>
        </w:rPr>
        <w:t xml:space="preserve"> Prima </w:t>
      </w:r>
      <w:r w:rsidRPr="009D7635">
        <w:rPr>
          <w:rFonts w:ascii="Times New Roman" w:hAnsi="Times New Roman" w:cs="Times New Roman"/>
          <w:color w:val="000000" w:themeColor="text1"/>
        </w:rPr>
        <w:t>in the</w:t>
      </w:r>
      <w:r w:rsidRPr="009D7635">
        <w:rPr>
          <w:rFonts w:ascii="Times New Roman" w:hAnsi="Times New Roman" w:cs="Times New Roman"/>
          <w:i/>
          <w:iCs/>
          <w:color w:val="000000" w:themeColor="text1"/>
        </w:rPr>
        <w:t xml:space="preserve"> Summa </w:t>
      </w:r>
      <w:proofErr w:type="spellStart"/>
      <w:r w:rsidRPr="009D7635">
        <w:rPr>
          <w:rFonts w:ascii="Times New Roman" w:hAnsi="Times New Roman" w:cs="Times New Roman"/>
          <w:i/>
          <w:iCs/>
          <w:color w:val="000000" w:themeColor="text1"/>
        </w:rPr>
        <w:t>Halensis</w:t>
      </w:r>
      <w:proofErr w:type="spellEnd"/>
      <w:r w:rsidR="005D520A" w:rsidRPr="009D7635">
        <w:rPr>
          <w:rFonts w:ascii="Times New Roman" w:hAnsi="Times New Roman" w:cs="Times New Roman"/>
          <w:color w:val="000000" w:themeColor="text1"/>
        </w:rPr>
        <w:t>,’ in</w:t>
      </w:r>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 xml:space="preserve">The Summa </w:t>
      </w:r>
      <w:proofErr w:type="spellStart"/>
      <w:r w:rsidRPr="009D7635">
        <w:rPr>
          <w:rFonts w:ascii="Times New Roman" w:hAnsi="Times New Roman" w:cs="Times New Roman"/>
          <w:i/>
          <w:iCs/>
          <w:color w:val="000000" w:themeColor="text1"/>
        </w:rPr>
        <w:t>Halensis</w:t>
      </w:r>
      <w:proofErr w:type="spellEnd"/>
      <w:r w:rsidRPr="009D7635">
        <w:rPr>
          <w:rFonts w:ascii="Times New Roman" w:hAnsi="Times New Roman" w:cs="Times New Roman"/>
          <w:i/>
          <w:iCs/>
          <w:color w:val="000000" w:themeColor="text1"/>
        </w:rPr>
        <w:t>: Sources and Context</w:t>
      </w:r>
      <w:r w:rsidR="00876B3D" w:rsidRPr="009D7635">
        <w:rPr>
          <w:rFonts w:ascii="Times New Roman" w:hAnsi="Times New Roman" w:cs="Times New Roman"/>
          <w:i/>
          <w:iCs/>
          <w:color w:val="000000" w:themeColor="text1"/>
        </w:rPr>
        <w:t xml:space="preserve">, </w:t>
      </w:r>
      <w:r w:rsidR="00876B3D" w:rsidRPr="009D7635">
        <w:rPr>
          <w:rFonts w:ascii="Times New Roman" w:hAnsi="Times New Roman" w:cs="Times New Roman"/>
          <w:color w:val="000000" w:themeColor="text1"/>
        </w:rPr>
        <w:t xml:space="preserve">ed. </w:t>
      </w:r>
      <w:r w:rsidRPr="009D7635">
        <w:rPr>
          <w:rFonts w:ascii="Times New Roman" w:hAnsi="Times New Roman" w:cs="Times New Roman"/>
          <w:color w:val="000000" w:themeColor="text1"/>
        </w:rPr>
        <w:t>Lydia Schumacher</w:t>
      </w:r>
      <w:r w:rsidR="00631CBD"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Berlin: De Gruyter, 2020</w:t>
      </w:r>
      <w:r w:rsidR="00631CBD" w:rsidRPr="009D7635">
        <w:rPr>
          <w:rFonts w:ascii="Times New Roman" w:hAnsi="Times New Roman" w:cs="Times New Roman"/>
          <w:color w:val="000000" w:themeColor="text1"/>
        </w:rPr>
        <w:t>), 135-54</w:t>
      </w:r>
      <w:r w:rsidRPr="009D7635">
        <w:rPr>
          <w:rFonts w:ascii="Times New Roman" w:hAnsi="Times New Roman" w:cs="Times New Roman"/>
          <w:color w:val="000000" w:themeColor="text1"/>
        </w:rPr>
        <w:t>.</w:t>
      </w:r>
    </w:p>
  </w:footnote>
  <w:footnote w:id="87">
    <w:p w14:paraId="36652A54" w14:textId="53E2EEA0" w:rsidR="00B93ED5" w:rsidRPr="009D7635" w:rsidRDefault="00B93ED5" w:rsidP="006A5A46">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The simultaneous reception of Aristotle with Arabic sources was </w:t>
      </w:r>
      <w:proofErr w:type="spellStart"/>
      <w:r w:rsidR="00D04273" w:rsidRPr="009D7635">
        <w:rPr>
          <w:rFonts w:ascii="Times New Roman" w:hAnsi="Times New Roman" w:cs="Times New Roman"/>
          <w:color w:val="000000" w:themeColor="text1"/>
          <w:sz w:val="20"/>
          <w:szCs w:val="20"/>
        </w:rPr>
        <w:t>highglighted</w:t>
      </w:r>
      <w:proofErr w:type="spellEnd"/>
      <w:r w:rsidR="00D04273"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by Martin </w:t>
      </w:r>
      <w:proofErr w:type="spellStart"/>
      <w:r w:rsidRPr="009D7635">
        <w:rPr>
          <w:rFonts w:ascii="Times New Roman" w:hAnsi="Times New Roman" w:cs="Times New Roman"/>
          <w:color w:val="000000" w:themeColor="text1"/>
          <w:sz w:val="20"/>
          <w:szCs w:val="20"/>
        </w:rPr>
        <w:t>Grabmann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Forschungen</w:t>
      </w:r>
      <w:proofErr w:type="spellEnd"/>
      <w:r w:rsidRPr="009D7635">
        <w:rPr>
          <w:rFonts w:ascii="Times New Roman" w:hAnsi="Times New Roman" w:cs="Times New Roman"/>
          <w:i/>
          <w:color w:val="000000" w:themeColor="text1"/>
          <w:sz w:val="20"/>
          <w:szCs w:val="20"/>
          <w:lang w:val="en-US"/>
        </w:rPr>
        <w:t xml:space="preserve"> über die </w:t>
      </w:r>
      <w:proofErr w:type="spellStart"/>
      <w:r w:rsidRPr="009D7635">
        <w:rPr>
          <w:rFonts w:ascii="Times New Roman" w:hAnsi="Times New Roman" w:cs="Times New Roman"/>
          <w:i/>
          <w:color w:val="000000" w:themeColor="text1"/>
          <w:sz w:val="20"/>
          <w:szCs w:val="20"/>
          <w:lang w:val="en-US"/>
        </w:rPr>
        <w:t>lateinischen</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Aristoteles</w:t>
      </w:r>
      <w:r w:rsidR="009B1A2B" w:rsidRPr="009D7635">
        <w:rPr>
          <w:rFonts w:ascii="Times New Roman" w:hAnsi="Times New Roman" w:cs="Times New Roman"/>
          <w:i/>
          <w:color w:val="000000" w:themeColor="text1"/>
          <w:sz w:val="20"/>
          <w:szCs w:val="20"/>
          <w:lang w:val="en-US"/>
        </w:rPr>
        <w:t>ü</w:t>
      </w:r>
      <w:r w:rsidRPr="009D7635">
        <w:rPr>
          <w:rFonts w:ascii="Times New Roman" w:hAnsi="Times New Roman" w:cs="Times New Roman"/>
          <w:i/>
          <w:color w:val="000000" w:themeColor="text1"/>
          <w:sz w:val="20"/>
          <w:szCs w:val="20"/>
          <w:lang w:val="en-US"/>
        </w:rPr>
        <w:t>bersetzungen</w:t>
      </w:r>
      <w:proofErr w:type="spellEnd"/>
      <w:r w:rsidRPr="009D7635">
        <w:rPr>
          <w:rFonts w:ascii="Times New Roman" w:hAnsi="Times New Roman" w:cs="Times New Roman"/>
          <w:i/>
          <w:color w:val="000000" w:themeColor="text1"/>
          <w:sz w:val="20"/>
          <w:szCs w:val="20"/>
          <w:lang w:val="en-US"/>
        </w:rPr>
        <w:t xml:space="preserve"> des XIII. </w:t>
      </w:r>
      <w:proofErr w:type="spellStart"/>
      <w:r w:rsidRPr="009D7635">
        <w:rPr>
          <w:rFonts w:ascii="Times New Roman" w:hAnsi="Times New Roman" w:cs="Times New Roman"/>
          <w:i/>
          <w:color w:val="000000" w:themeColor="text1"/>
          <w:sz w:val="20"/>
          <w:szCs w:val="20"/>
          <w:lang w:val="en-US"/>
        </w:rPr>
        <w:t>Jahrhunderts</w:t>
      </w:r>
      <w:proofErr w:type="spellEnd"/>
      <w:r w:rsidR="00D72A89"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(Münster: </w:t>
      </w:r>
      <w:proofErr w:type="spellStart"/>
      <w:r w:rsidRPr="009D7635">
        <w:rPr>
          <w:rFonts w:ascii="Times New Roman" w:hAnsi="Times New Roman" w:cs="Times New Roman"/>
          <w:color w:val="000000" w:themeColor="text1"/>
          <w:sz w:val="20"/>
          <w:szCs w:val="20"/>
          <w:lang w:val="en-US"/>
        </w:rPr>
        <w:t>Aschendorff</w:t>
      </w:r>
      <w:proofErr w:type="spellEnd"/>
      <w:r w:rsidRPr="009D7635">
        <w:rPr>
          <w:rFonts w:ascii="Times New Roman" w:hAnsi="Times New Roman" w:cs="Times New Roman"/>
          <w:color w:val="000000" w:themeColor="text1"/>
          <w:sz w:val="20"/>
          <w:szCs w:val="20"/>
          <w:lang w:val="en-US"/>
        </w:rPr>
        <w:t xml:space="preserve">, 1916). See also Paul </w:t>
      </w:r>
      <w:proofErr w:type="spellStart"/>
      <w:r w:rsidRPr="009D7635">
        <w:rPr>
          <w:rFonts w:ascii="Times New Roman" w:hAnsi="Times New Roman" w:cs="Times New Roman"/>
          <w:color w:val="000000" w:themeColor="text1"/>
          <w:sz w:val="20"/>
          <w:szCs w:val="20"/>
          <w:lang w:val="en-US"/>
        </w:rPr>
        <w:t>Wilpert</w:t>
      </w:r>
      <w:proofErr w:type="spellEnd"/>
      <w:r w:rsidRPr="009D7635">
        <w:rPr>
          <w:rFonts w:ascii="Times New Roman" w:hAnsi="Times New Roman" w:cs="Times New Roman"/>
          <w:color w:val="000000" w:themeColor="text1"/>
          <w:sz w:val="20"/>
          <w:szCs w:val="20"/>
          <w:lang w:val="en-US"/>
        </w:rPr>
        <w:t xml:space="preserve">, ‘Die </w:t>
      </w:r>
      <w:proofErr w:type="spellStart"/>
      <w:r w:rsidRPr="009D7635">
        <w:rPr>
          <w:rFonts w:ascii="Times New Roman" w:hAnsi="Times New Roman" w:cs="Times New Roman"/>
          <w:color w:val="000000" w:themeColor="text1"/>
          <w:sz w:val="20"/>
          <w:szCs w:val="20"/>
          <w:lang w:val="en-US"/>
        </w:rPr>
        <w:t>Ausgestaltung</w:t>
      </w:r>
      <w:proofErr w:type="spellEnd"/>
      <w:r w:rsidRPr="009D7635">
        <w:rPr>
          <w:rFonts w:ascii="Times New Roman" w:hAnsi="Times New Roman" w:cs="Times New Roman"/>
          <w:color w:val="000000" w:themeColor="text1"/>
          <w:sz w:val="20"/>
          <w:szCs w:val="20"/>
          <w:lang w:val="en-US"/>
        </w:rPr>
        <w:t xml:space="preserve"> der </w:t>
      </w:r>
      <w:proofErr w:type="spellStart"/>
      <w:r w:rsidRPr="009D7635">
        <w:rPr>
          <w:rFonts w:ascii="Times New Roman" w:hAnsi="Times New Roman" w:cs="Times New Roman"/>
          <w:color w:val="000000" w:themeColor="text1"/>
          <w:sz w:val="20"/>
          <w:szCs w:val="20"/>
          <w:lang w:val="en-US"/>
        </w:rPr>
        <w:t>aristotelischen</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Lehre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vom</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lntellectus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agens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bei</w:t>
      </w:r>
      <w:proofErr w:type="spellEnd"/>
      <w:r w:rsidRPr="009D7635">
        <w:rPr>
          <w:rFonts w:ascii="Times New Roman" w:hAnsi="Times New Roman" w:cs="Times New Roman"/>
          <w:color w:val="000000" w:themeColor="text1"/>
          <w:sz w:val="20"/>
          <w:szCs w:val="20"/>
          <w:lang w:val="en-US"/>
        </w:rPr>
        <w:t xml:space="preserve"> den </w:t>
      </w:r>
      <w:proofErr w:type="spellStart"/>
      <w:r w:rsidRPr="009D7635">
        <w:rPr>
          <w:rFonts w:ascii="Times New Roman" w:hAnsi="Times New Roman" w:cs="Times New Roman"/>
          <w:color w:val="000000" w:themeColor="text1"/>
          <w:sz w:val="20"/>
          <w:szCs w:val="20"/>
          <w:lang w:val="en-US"/>
        </w:rPr>
        <w:t>griechischen</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Kommentatoren</w:t>
      </w:r>
      <w:proofErr w:type="spellEnd"/>
      <w:r w:rsidRPr="009D7635">
        <w:rPr>
          <w:rFonts w:ascii="Times New Roman" w:hAnsi="Times New Roman" w:cs="Times New Roman"/>
          <w:color w:val="000000" w:themeColor="text1"/>
          <w:sz w:val="20"/>
          <w:szCs w:val="20"/>
          <w:lang w:val="en-US"/>
        </w:rPr>
        <w:t xml:space="preserve"> und in der </w:t>
      </w:r>
      <w:proofErr w:type="spellStart"/>
      <w:r w:rsidRPr="009D7635">
        <w:rPr>
          <w:rFonts w:ascii="Times New Roman" w:hAnsi="Times New Roman" w:cs="Times New Roman"/>
          <w:color w:val="000000" w:themeColor="text1"/>
          <w:sz w:val="20"/>
          <w:szCs w:val="20"/>
          <w:lang w:val="en-US"/>
        </w:rPr>
        <w:t>Scholastik</w:t>
      </w:r>
      <w:proofErr w:type="spellEnd"/>
      <w:r w:rsidRPr="009D7635">
        <w:rPr>
          <w:rFonts w:ascii="Times New Roman" w:hAnsi="Times New Roman" w:cs="Times New Roman"/>
          <w:color w:val="000000" w:themeColor="text1"/>
          <w:sz w:val="20"/>
          <w:szCs w:val="20"/>
          <w:lang w:val="en-US"/>
        </w:rPr>
        <w:t xml:space="preserve"> des 13. </w:t>
      </w:r>
      <w:proofErr w:type="spellStart"/>
      <w:r w:rsidRPr="009D7635">
        <w:rPr>
          <w:rFonts w:ascii="Times New Roman" w:hAnsi="Times New Roman" w:cs="Times New Roman"/>
          <w:color w:val="000000" w:themeColor="text1"/>
          <w:sz w:val="20"/>
          <w:szCs w:val="20"/>
          <w:lang w:val="en-US"/>
        </w:rPr>
        <w:t>Jahrhunderts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Beiträge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zur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Geschichte</w:t>
      </w:r>
      <w:proofErr w:type="spellEnd"/>
      <w:r w:rsidRPr="009D7635">
        <w:rPr>
          <w:rFonts w:ascii="Times New Roman" w:hAnsi="Times New Roman" w:cs="Times New Roman"/>
          <w:i/>
          <w:color w:val="000000" w:themeColor="text1"/>
          <w:sz w:val="20"/>
          <w:szCs w:val="20"/>
          <w:lang w:val="en-US"/>
        </w:rPr>
        <w:t xml:space="preserve"> der Philosophie und </w:t>
      </w:r>
      <w:proofErr w:type="spellStart"/>
      <w:r w:rsidRPr="009D7635">
        <w:rPr>
          <w:rFonts w:ascii="Times New Roman" w:hAnsi="Times New Roman" w:cs="Times New Roman"/>
          <w:i/>
          <w:color w:val="000000" w:themeColor="text1"/>
          <w:sz w:val="20"/>
          <w:szCs w:val="20"/>
          <w:lang w:val="en-US"/>
        </w:rPr>
        <w:t>Theologie</w:t>
      </w:r>
      <w:proofErr w:type="spellEnd"/>
      <w:r w:rsidRPr="009D7635">
        <w:rPr>
          <w:rFonts w:ascii="Times New Roman" w:hAnsi="Times New Roman" w:cs="Times New Roman"/>
          <w:color w:val="000000" w:themeColor="text1"/>
          <w:sz w:val="20"/>
          <w:szCs w:val="20"/>
          <w:lang w:val="en-US"/>
        </w:rPr>
        <w:t xml:space="preserve"> III.1 (1935)</w:t>
      </w:r>
      <w:r w:rsidR="00266175"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452.</w:t>
      </w:r>
    </w:p>
  </w:footnote>
  <w:footnote w:id="88">
    <w:p w14:paraId="6215B62D"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This is a quote from Amos </w:t>
      </w:r>
      <w:proofErr w:type="spellStart"/>
      <w:r w:rsidRPr="009D7635">
        <w:rPr>
          <w:rFonts w:ascii="Times New Roman" w:hAnsi="Times New Roman" w:cs="Times New Roman"/>
          <w:color w:val="000000" w:themeColor="text1"/>
        </w:rPr>
        <w:t>Bertolacci</w:t>
      </w:r>
      <w:proofErr w:type="spellEnd"/>
      <w:r w:rsidRPr="009D7635">
        <w:rPr>
          <w:rFonts w:ascii="Times New Roman" w:hAnsi="Times New Roman" w:cs="Times New Roman"/>
          <w:color w:val="000000" w:themeColor="text1"/>
        </w:rPr>
        <w:t xml:space="preserve">, taken from his comments on this chapter. </w:t>
      </w:r>
    </w:p>
  </w:footnote>
  <w:footnote w:id="89">
    <w:p w14:paraId="75FAB822" w14:textId="518EA145"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Cristina D’Ancona, ‘The </w:t>
      </w:r>
      <w:r w:rsidRPr="009D7635">
        <w:rPr>
          <w:rFonts w:ascii="Times New Roman" w:hAnsi="Times New Roman" w:cs="Times New Roman"/>
          <w:i/>
          <w:iCs/>
          <w:color w:val="000000" w:themeColor="text1"/>
        </w:rPr>
        <w:t xml:space="preserve">Liber de </w:t>
      </w:r>
      <w:proofErr w:type="spellStart"/>
      <w:r w:rsidRPr="009D7635">
        <w:rPr>
          <w:rFonts w:ascii="Times New Roman" w:hAnsi="Times New Roman" w:cs="Times New Roman"/>
          <w:i/>
          <w:iCs/>
          <w:color w:val="000000" w:themeColor="text1"/>
        </w:rPr>
        <w:t>causis</w:t>
      </w:r>
      <w:proofErr w:type="spellEnd"/>
      <w:r w:rsidRPr="009D7635">
        <w:rPr>
          <w:rFonts w:ascii="Times New Roman" w:hAnsi="Times New Roman" w:cs="Times New Roman"/>
          <w:color w:val="000000" w:themeColor="text1"/>
        </w:rPr>
        <w:t xml:space="preserve">,’ in </w:t>
      </w:r>
      <w:r w:rsidRPr="009D7635">
        <w:rPr>
          <w:rFonts w:ascii="Times New Roman" w:hAnsi="Times New Roman" w:cs="Times New Roman"/>
          <w:i/>
          <w:iCs/>
          <w:color w:val="000000" w:themeColor="text1"/>
        </w:rPr>
        <w:t xml:space="preserve">Interpreting </w:t>
      </w:r>
      <w:proofErr w:type="spellStart"/>
      <w:r w:rsidRPr="009D7635">
        <w:rPr>
          <w:rFonts w:ascii="Times New Roman" w:hAnsi="Times New Roman" w:cs="Times New Roman"/>
          <w:i/>
          <w:iCs/>
          <w:color w:val="000000" w:themeColor="text1"/>
        </w:rPr>
        <w:t>Proclus</w:t>
      </w:r>
      <w:proofErr w:type="spellEnd"/>
      <w:r w:rsidRPr="009D7635">
        <w:rPr>
          <w:rFonts w:ascii="Times New Roman" w:hAnsi="Times New Roman" w:cs="Times New Roman"/>
          <w:i/>
          <w:iCs/>
          <w:color w:val="000000" w:themeColor="text1"/>
        </w:rPr>
        <w:t xml:space="preserve">: From Antiquity to the Renaissance, </w:t>
      </w:r>
      <w:r w:rsidRPr="009D7635">
        <w:rPr>
          <w:rFonts w:ascii="Times New Roman" w:hAnsi="Times New Roman" w:cs="Times New Roman"/>
          <w:color w:val="000000" w:themeColor="text1"/>
        </w:rPr>
        <w:t xml:space="preserve">ed. Stephen </w:t>
      </w:r>
      <w:proofErr w:type="spellStart"/>
      <w:r w:rsidRPr="009D7635">
        <w:rPr>
          <w:rFonts w:ascii="Times New Roman" w:hAnsi="Times New Roman" w:cs="Times New Roman"/>
          <w:color w:val="000000" w:themeColor="text1"/>
        </w:rPr>
        <w:t>Gersh</w:t>
      </w:r>
      <w:proofErr w:type="spellEnd"/>
      <w:r w:rsidRPr="009D7635">
        <w:rPr>
          <w:rFonts w:ascii="Times New Roman" w:hAnsi="Times New Roman" w:cs="Times New Roman"/>
          <w:color w:val="000000" w:themeColor="text1"/>
        </w:rPr>
        <w:t xml:space="preserve"> (Cambridge: Cambridge University Press, 2014), 137-61.  Steven J. Williams, ‘Defining the Corpus </w:t>
      </w:r>
      <w:proofErr w:type="spellStart"/>
      <w:r w:rsidRPr="009D7635">
        <w:rPr>
          <w:rFonts w:ascii="Times New Roman" w:hAnsi="Times New Roman" w:cs="Times New Roman"/>
          <w:color w:val="000000" w:themeColor="text1"/>
        </w:rPr>
        <w:t>Aristotelicum</w:t>
      </w:r>
      <w:proofErr w:type="spellEnd"/>
      <w:r w:rsidRPr="009D7635">
        <w:rPr>
          <w:rFonts w:ascii="Times New Roman" w:hAnsi="Times New Roman" w:cs="Times New Roman"/>
          <w:color w:val="000000" w:themeColor="text1"/>
        </w:rPr>
        <w:t xml:space="preserve">: Scholastic Awareness of Aristotelian </w:t>
      </w:r>
      <w:proofErr w:type="spellStart"/>
      <w:r w:rsidRPr="009D7635">
        <w:rPr>
          <w:rFonts w:ascii="Times New Roman" w:hAnsi="Times New Roman" w:cs="Times New Roman"/>
          <w:color w:val="000000" w:themeColor="text1"/>
        </w:rPr>
        <w:t>Spuria</w:t>
      </w:r>
      <w:proofErr w:type="spellEnd"/>
      <w:r w:rsidRPr="009D7635">
        <w:rPr>
          <w:rFonts w:ascii="Times New Roman" w:hAnsi="Times New Roman" w:cs="Times New Roman"/>
          <w:color w:val="000000" w:themeColor="text1"/>
        </w:rPr>
        <w:t xml:space="preserve"> in the High Middle Ages,’ </w:t>
      </w:r>
      <w:r w:rsidRPr="009D7635">
        <w:rPr>
          <w:rFonts w:ascii="Times New Roman" w:hAnsi="Times New Roman" w:cs="Times New Roman"/>
          <w:i/>
          <w:color w:val="000000" w:themeColor="text1"/>
        </w:rPr>
        <w:t xml:space="preserve">Journal of the Warburg and </w:t>
      </w:r>
      <w:proofErr w:type="spellStart"/>
      <w:r w:rsidRPr="009D7635">
        <w:rPr>
          <w:rFonts w:ascii="Times New Roman" w:hAnsi="Times New Roman" w:cs="Times New Roman"/>
          <w:i/>
          <w:color w:val="000000" w:themeColor="text1"/>
        </w:rPr>
        <w:t>Courtauld</w:t>
      </w:r>
      <w:proofErr w:type="spellEnd"/>
      <w:r w:rsidRPr="009D7635">
        <w:rPr>
          <w:rFonts w:ascii="Times New Roman" w:hAnsi="Times New Roman" w:cs="Times New Roman"/>
          <w:i/>
          <w:color w:val="000000" w:themeColor="text1"/>
        </w:rPr>
        <w:t xml:space="preserve"> Institutes </w:t>
      </w:r>
      <w:r w:rsidRPr="009D7635">
        <w:rPr>
          <w:rFonts w:ascii="Times New Roman" w:hAnsi="Times New Roman" w:cs="Times New Roman"/>
          <w:color w:val="000000" w:themeColor="text1"/>
        </w:rPr>
        <w:t>58 (1995), 29-51.</w:t>
      </w:r>
    </w:p>
  </w:footnote>
  <w:footnote w:id="90">
    <w:p w14:paraId="2E76DDC0" w14:textId="77777777" w:rsidR="00B93ED5" w:rsidRPr="009D7635" w:rsidRDefault="00B93ED5" w:rsidP="006A5A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Herbert A. Davidson, </w:t>
      </w:r>
      <w:proofErr w:type="spellStart"/>
      <w:r w:rsidRPr="009D7635">
        <w:rPr>
          <w:rFonts w:ascii="Times New Roman" w:hAnsi="Times New Roman" w:cs="Times New Roman"/>
          <w:i/>
          <w:color w:val="000000" w:themeColor="text1"/>
          <w:sz w:val="20"/>
          <w:szCs w:val="20"/>
        </w:rPr>
        <w:t>Alfarabi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Averroes</w:t>
      </w:r>
      <w:proofErr w:type="spellEnd"/>
      <w:r w:rsidRPr="009D7635">
        <w:rPr>
          <w:rFonts w:ascii="Times New Roman" w:hAnsi="Times New Roman" w:cs="Times New Roman"/>
          <w:i/>
          <w:color w:val="000000" w:themeColor="text1"/>
          <w:sz w:val="20"/>
          <w:szCs w:val="20"/>
        </w:rPr>
        <w:t xml:space="preserve"> and Avicenna on Intellect </w:t>
      </w:r>
      <w:r w:rsidRPr="009D7635">
        <w:rPr>
          <w:rFonts w:ascii="Times New Roman" w:hAnsi="Times New Roman" w:cs="Times New Roman"/>
          <w:color w:val="000000" w:themeColor="text1"/>
          <w:sz w:val="20"/>
          <w:szCs w:val="20"/>
        </w:rPr>
        <w:t>(Oxford: Oxford University Press, 1992), 8.</w:t>
      </w:r>
    </w:p>
  </w:footnote>
  <w:footnote w:id="91">
    <w:p w14:paraId="2125C9B9"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w:t>
      </w:r>
      <w:r w:rsidRPr="009D7635">
        <w:rPr>
          <w:rFonts w:ascii="Times New Roman" w:hAnsi="Times New Roman" w:cs="Times New Roman"/>
          <w:i/>
          <w:color w:val="000000" w:themeColor="text1"/>
        </w:rPr>
        <w:t>, Avicenna’s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35, 226. </w:t>
      </w:r>
    </w:p>
  </w:footnote>
  <w:footnote w:id="92">
    <w:p w14:paraId="41B86FCF"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Richard C. Dales, </w:t>
      </w:r>
      <w:r w:rsidRPr="009D7635">
        <w:rPr>
          <w:rFonts w:ascii="Times New Roman" w:hAnsi="Times New Roman" w:cs="Times New Roman"/>
          <w:i/>
          <w:color w:val="000000" w:themeColor="text1"/>
        </w:rPr>
        <w:t xml:space="preserve">The Problem of the Rational Soul in the Thirteenth Century </w:t>
      </w:r>
      <w:r w:rsidRPr="009D7635">
        <w:rPr>
          <w:rFonts w:ascii="Times New Roman" w:hAnsi="Times New Roman" w:cs="Times New Roman"/>
          <w:color w:val="000000" w:themeColor="text1"/>
        </w:rPr>
        <w:t xml:space="preserve">(Leiden: Brill, 1995), 28.  </w:t>
      </w:r>
    </w:p>
  </w:footnote>
  <w:footnote w:id="93">
    <w:p w14:paraId="5BA63B7A"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w:t>
      </w:r>
      <w:r w:rsidRPr="009D7635">
        <w:rPr>
          <w:rFonts w:ascii="Times New Roman" w:hAnsi="Times New Roman" w:cs="Times New Roman"/>
          <w:iCs/>
          <w:color w:val="000000" w:themeColor="text1"/>
        </w:rPr>
        <w:t xml:space="preserve">, </w:t>
      </w:r>
      <w:r w:rsidRPr="009D7635">
        <w:rPr>
          <w:rFonts w:ascii="Times New Roman" w:hAnsi="Times New Roman" w:cs="Times New Roman"/>
          <w:i/>
          <w:color w:val="000000" w:themeColor="text1"/>
        </w:rPr>
        <w:t>Avicenna’s De anima</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7.</w:t>
      </w:r>
    </w:p>
  </w:footnote>
  <w:footnote w:id="94">
    <w:p w14:paraId="4DD6606B" w14:textId="63D2351B" w:rsidR="000A1C15" w:rsidRPr="009D7635" w:rsidRDefault="000A1C15" w:rsidP="000A1C1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12114D" w:rsidRPr="009D7635">
        <w:rPr>
          <w:rFonts w:ascii="Times New Roman" w:hAnsi="Times New Roman" w:cs="Times New Roman"/>
          <w:color w:val="000000" w:themeColor="text1"/>
        </w:rPr>
        <w:t>See</w:t>
      </w:r>
      <w:r w:rsidRPr="009D7635">
        <w:rPr>
          <w:rFonts w:ascii="Times New Roman" w:hAnsi="Times New Roman" w:cs="Times New Roman"/>
          <w:color w:val="000000" w:themeColor="text1"/>
        </w:rPr>
        <w:t xml:space="preserve"> Charles Burnett, The Ins</w:t>
      </w:r>
      <w:r w:rsidR="00FD3BB0" w:rsidRPr="009D7635">
        <w:rPr>
          <w:rFonts w:ascii="Times New Roman" w:hAnsi="Times New Roman" w:cs="Times New Roman"/>
          <w:color w:val="000000" w:themeColor="text1"/>
        </w:rPr>
        <w:t>t</w:t>
      </w:r>
      <w:r w:rsidRPr="009D7635">
        <w:rPr>
          <w:rFonts w:ascii="Times New Roman" w:hAnsi="Times New Roman" w:cs="Times New Roman"/>
          <w:color w:val="000000" w:themeColor="text1"/>
        </w:rPr>
        <w:t xml:space="preserve">itutional Context of Arabic-Latin Translations in the Middle Ages: A Reassessment of the School of Toledo,’ in </w:t>
      </w:r>
      <w:r w:rsidRPr="009D7635">
        <w:rPr>
          <w:rFonts w:ascii="Times New Roman" w:hAnsi="Times New Roman" w:cs="Times New Roman"/>
          <w:i/>
          <w:iCs/>
          <w:color w:val="000000" w:themeColor="text1"/>
        </w:rPr>
        <w:t xml:space="preserve">Vocabulary of Teaching and Research Between the Middle Ages and </w:t>
      </w:r>
      <w:proofErr w:type="spellStart"/>
      <w:r w:rsidRPr="009D7635">
        <w:rPr>
          <w:rFonts w:ascii="Times New Roman" w:hAnsi="Times New Roman" w:cs="Times New Roman"/>
          <w:i/>
          <w:iCs/>
          <w:color w:val="000000" w:themeColor="text1"/>
        </w:rPr>
        <w:t>Rennaissance</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 xml:space="preserve">ed. Olga </w:t>
      </w:r>
      <w:proofErr w:type="spellStart"/>
      <w:r w:rsidRPr="009D7635">
        <w:rPr>
          <w:rFonts w:ascii="Times New Roman" w:hAnsi="Times New Roman" w:cs="Times New Roman"/>
          <w:color w:val="000000" w:themeColor="text1"/>
        </w:rPr>
        <w:t>Weijers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Turnhout</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Brepols</w:t>
      </w:r>
      <w:proofErr w:type="spellEnd"/>
      <w:r w:rsidRPr="009D7635">
        <w:rPr>
          <w:rFonts w:ascii="Times New Roman" w:hAnsi="Times New Roman" w:cs="Times New Roman"/>
          <w:color w:val="000000" w:themeColor="text1"/>
        </w:rPr>
        <w:t xml:space="preserve">, 1995), 214-35. </w:t>
      </w:r>
    </w:p>
  </w:footnote>
  <w:footnote w:id="95">
    <w:p w14:paraId="1344AB03" w14:textId="6ED9D2E9" w:rsidR="00B93ED5" w:rsidRPr="009D7635" w:rsidRDefault="00B93ED5" w:rsidP="006A5A46">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Avencebrolis</w:t>
      </w:r>
      <w:proofErr w:type="spellEnd"/>
      <w:r w:rsidRPr="009D7635">
        <w:rPr>
          <w:rFonts w:ascii="Times New Roman" w:hAnsi="Times New Roman" w:cs="Times New Roman"/>
          <w:i/>
          <w:color w:val="000000" w:themeColor="text1"/>
          <w:sz w:val="20"/>
          <w:szCs w:val="20"/>
          <w:lang w:val="en-US"/>
        </w:rPr>
        <w:t xml:space="preserve"> (Ibn </w:t>
      </w:r>
      <w:proofErr w:type="spellStart"/>
      <w:r w:rsidRPr="009D7635">
        <w:rPr>
          <w:rFonts w:ascii="Times New Roman" w:hAnsi="Times New Roman" w:cs="Times New Roman"/>
          <w:i/>
          <w:color w:val="000000" w:themeColor="text1"/>
          <w:sz w:val="20"/>
          <w:szCs w:val="20"/>
          <w:lang w:val="en-US"/>
        </w:rPr>
        <w:t>Gebirol</w:t>
      </w:r>
      <w:proofErr w:type="spellEnd"/>
      <w:r w:rsidRPr="009D7635">
        <w:rPr>
          <w:rFonts w:ascii="Times New Roman" w:hAnsi="Times New Roman" w:cs="Times New Roman"/>
          <w:i/>
          <w:color w:val="000000" w:themeColor="text1"/>
          <w:sz w:val="20"/>
          <w:szCs w:val="20"/>
          <w:lang w:val="en-US"/>
        </w:rPr>
        <w:t>) Fons Vitae</w:t>
      </w:r>
      <w:r w:rsidR="006A38F2"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arabico</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latinvm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translatvs</w:t>
      </w:r>
      <w:proofErr w:type="spellEnd"/>
      <w:r w:rsidRPr="009D7635">
        <w:rPr>
          <w:rFonts w:ascii="Times New Roman" w:hAnsi="Times New Roman" w:cs="Times New Roman"/>
          <w:i/>
          <w:color w:val="000000" w:themeColor="text1"/>
          <w:sz w:val="20"/>
          <w:szCs w:val="20"/>
          <w:lang w:val="en-US"/>
        </w:rPr>
        <w:t xml:space="preserve"> ab </w:t>
      </w:r>
      <w:proofErr w:type="spellStart"/>
      <w:r w:rsidRPr="009D7635">
        <w:rPr>
          <w:rFonts w:ascii="Times New Roman" w:hAnsi="Times New Roman" w:cs="Times New Roman"/>
          <w:i/>
          <w:color w:val="000000" w:themeColor="text1"/>
          <w:sz w:val="20"/>
          <w:szCs w:val="20"/>
          <w:lang w:val="en-US"/>
        </w:rPr>
        <w:t>Iohanne</w:t>
      </w:r>
      <w:proofErr w:type="spellEnd"/>
      <w:r w:rsidRPr="009D7635">
        <w:rPr>
          <w:rFonts w:ascii="Times New Roman" w:hAnsi="Times New Roman" w:cs="Times New Roman"/>
          <w:i/>
          <w:color w:val="000000" w:themeColor="text1"/>
          <w:sz w:val="20"/>
          <w:szCs w:val="20"/>
          <w:lang w:val="en-US"/>
        </w:rPr>
        <w:t xml:space="preserve"> Hispano et </w:t>
      </w:r>
      <w:proofErr w:type="spellStart"/>
      <w:r w:rsidRPr="009D7635">
        <w:rPr>
          <w:rFonts w:ascii="Times New Roman" w:hAnsi="Times New Roman" w:cs="Times New Roman"/>
          <w:i/>
          <w:color w:val="000000" w:themeColor="text1"/>
          <w:sz w:val="20"/>
          <w:szCs w:val="20"/>
          <w:lang w:val="en-US"/>
        </w:rPr>
        <w:t>Dominico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Gvndissalin</w:t>
      </w:r>
      <w:r w:rsidR="009C2B9B" w:rsidRPr="009D7635">
        <w:rPr>
          <w:rFonts w:ascii="Times New Roman" w:hAnsi="Times New Roman" w:cs="Times New Roman"/>
          <w:i/>
          <w:color w:val="000000" w:themeColor="text1"/>
          <w:sz w:val="20"/>
          <w:szCs w:val="20"/>
          <w:lang w:val="en-US"/>
        </w:rPr>
        <w:t>o</w:t>
      </w:r>
      <w:proofErr w:type="spellEnd"/>
      <w:r w:rsidR="009C2B9B"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codicibvs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Parisinis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Amploniano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Colvmbino</w:t>
      </w:r>
      <w:proofErr w:type="spellEnd"/>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ed. Clemens </w:t>
      </w:r>
      <w:proofErr w:type="spellStart"/>
      <w:r w:rsidRPr="009D7635">
        <w:rPr>
          <w:rFonts w:ascii="Times New Roman" w:hAnsi="Times New Roman" w:cs="Times New Roman"/>
          <w:color w:val="000000" w:themeColor="text1"/>
          <w:sz w:val="20"/>
          <w:szCs w:val="20"/>
          <w:lang w:val="en-US"/>
        </w:rPr>
        <w:t>Baeumker</w:t>
      </w:r>
      <w:proofErr w:type="spellEnd"/>
      <w:r w:rsidR="009C2B9B"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(Münster: </w:t>
      </w:r>
      <w:proofErr w:type="spellStart"/>
      <w:r w:rsidRPr="009D7635">
        <w:rPr>
          <w:rFonts w:ascii="Times New Roman" w:hAnsi="Times New Roman" w:cs="Times New Roman"/>
          <w:color w:val="000000" w:themeColor="text1"/>
          <w:sz w:val="20"/>
          <w:szCs w:val="20"/>
          <w:lang w:val="en-US"/>
        </w:rPr>
        <w:t>Aschendorff</w:t>
      </w:r>
      <w:proofErr w:type="spellEnd"/>
      <w:r w:rsidRPr="009D7635">
        <w:rPr>
          <w:rFonts w:ascii="Times New Roman" w:hAnsi="Times New Roman" w:cs="Times New Roman"/>
          <w:color w:val="000000" w:themeColor="text1"/>
          <w:sz w:val="20"/>
          <w:szCs w:val="20"/>
          <w:lang w:val="en-US"/>
        </w:rPr>
        <w:t>, 1892-95).</w:t>
      </w:r>
    </w:p>
  </w:footnote>
  <w:footnote w:id="96">
    <w:p w14:paraId="072E5439" w14:textId="13FC8C34" w:rsidR="00FD3BB0" w:rsidRPr="009D7635" w:rsidRDefault="00FD3BB0">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See the excellent study of his thought by Nicola Polloni, </w:t>
      </w:r>
      <w:r w:rsidRPr="009D7635">
        <w:rPr>
          <w:rFonts w:ascii="Times New Roman" w:hAnsi="Times New Roman" w:cs="Times New Roman"/>
          <w:i/>
          <w:iCs/>
          <w:color w:val="000000" w:themeColor="text1"/>
        </w:rPr>
        <w:t xml:space="preserve">Twelfth-Century Renewal of Latin Metaphysics: </w:t>
      </w:r>
      <w:proofErr w:type="spellStart"/>
      <w:r w:rsidRPr="009D7635">
        <w:rPr>
          <w:rFonts w:ascii="Times New Roman" w:hAnsi="Times New Roman" w:cs="Times New Roman"/>
          <w:i/>
          <w:iCs/>
          <w:color w:val="000000" w:themeColor="text1"/>
        </w:rPr>
        <w:t>Gundissalinus’s</w:t>
      </w:r>
      <w:proofErr w:type="spellEnd"/>
      <w:r w:rsidRPr="009D7635">
        <w:rPr>
          <w:rFonts w:ascii="Times New Roman" w:hAnsi="Times New Roman" w:cs="Times New Roman"/>
          <w:i/>
          <w:iCs/>
          <w:color w:val="000000" w:themeColor="text1"/>
        </w:rPr>
        <w:t xml:space="preserve"> Ontology of Matter and Form </w:t>
      </w:r>
      <w:r w:rsidRPr="009D7635">
        <w:rPr>
          <w:rFonts w:ascii="Times New Roman" w:hAnsi="Times New Roman" w:cs="Times New Roman"/>
          <w:color w:val="000000" w:themeColor="text1"/>
        </w:rPr>
        <w:t>(Toronto: Pontifical Institute of Medieval Studies, 2020).</w:t>
      </w:r>
    </w:p>
  </w:footnote>
  <w:footnote w:id="97">
    <w:p w14:paraId="4D517F58" w14:textId="74C2EE86" w:rsidR="00B93ED5" w:rsidRPr="009D7635" w:rsidRDefault="00B93ED5" w:rsidP="006A5A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Dag</w:t>
      </w:r>
      <w:proofErr w:type="spellEnd"/>
      <w:r w:rsidRPr="009D7635">
        <w:rPr>
          <w:rFonts w:ascii="Times New Roman" w:hAnsi="Times New Roman" w:cs="Times New Roman"/>
          <w:color w:val="000000" w:themeColor="text1"/>
          <w:sz w:val="20"/>
          <w:szCs w:val="20"/>
        </w:rPr>
        <w:t xml:space="preserve"> Hasse</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Avicenna’s De anima</w:t>
      </w:r>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 17. Josep </w:t>
      </w:r>
      <w:r w:rsidRPr="009D7635">
        <w:rPr>
          <w:rFonts w:ascii="Times New Roman" w:hAnsi="Times New Roman" w:cs="Times New Roman"/>
          <w:color w:val="000000" w:themeColor="text1"/>
          <w:sz w:val="20"/>
          <w:szCs w:val="20"/>
          <w:lang w:val="en-US"/>
        </w:rPr>
        <w:t xml:space="preserve">Puig, ‘The Transmission and Reception of Arabic Philosophy in Christian Spain (Until 1200),’ in </w:t>
      </w:r>
      <w:r w:rsidRPr="009D7635">
        <w:rPr>
          <w:rFonts w:ascii="Times New Roman" w:hAnsi="Times New Roman" w:cs="Times New Roman"/>
          <w:i/>
          <w:color w:val="000000" w:themeColor="text1"/>
          <w:sz w:val="20"/>
          <w:szCs w:val="20"/>
          <w:lang w:val="en-US"/>
        </w:rPr>
        <w:t>The Introduction of Arabic Philosophy into Europe</w:t>
      </w:r>
      <w:r w:rsidRPr="009D7635">
        <w:rPr>
          <w:rFonts w:ascii="Times New Roman" w:hAnsi="Times New Roman" w:cs="Times New Roman"/>
          <w:color w:val="000000" w:themeColor="text1"/>
          <w:sz w:val="20"/>
          <w:szCs w:val="20"/>
          <w:lang w:val="en-US"/>
        </w:rPr>
        <w:t xml:space="preserve">, ed. Charles E. </w:t>
      </w:r>
      <w:proofErr w:type="spellStart"/>
      <w:r w:rsidRPr="009D7635">
        <w:rPr>
          <w:rFonts w:ascii="Times New Roman" w:hAnsi="Times New Roman" w:cs="Times New Roman"/>
          <w:color w:val="000000" w:themeColor="text1"/>
          <w:sz w:val="20"/>
          <w:szCs w:val="20"/>
          <w:lang w:val="en-US"/>
        </w:rPr>
        <w:t>Butterworth</w:t>
      </w:r>
      <w:proofErr w:type="spellEnd"/>
      <w:r w:rsidRPr="009D7635">
        <w:rPr>
          <w:rFonts w:ascii="Times New Roman" w:hAnsi="Times New Roman" w:cs="Times New Roman"/>
          <w:color w:val="000000" w:themeColor="text1"/>
          <w:sz w:val="20"/>
          <w:szCs w:val="20"/>
          <w:lang w:val="en-US"/>
        </w:rPr>
        <w:t xml:space="preserve"> and Blake </w:t>
      </w:r>
      <w:proofErr w:type="spellStart"/>
      <w:r w:rsidRPr="009D7635">
        <w:rPr>
          <w:rFonts w:ascii="Times New Roman" w:hAnsi="Times New Roman" w:cs="Times New Roman"/>
          <w:color w:val="000000" w:themeColor="text1"/>
          <w:sz w:val="20"/>
          <w:szCs w:val="20"/>
          <w:lang w:val="en-US"/>
        </w:rPr>
        <w:t>Andrée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Kessel</w:t>
      </w:r>
      <w:proofErr w:type="spellEnd"/>
      <w:r w:rsidRPr="009D7635">
        <w:rPr>
          <w:rFonts w:ascii="Times New Roman" w:hAnsi="Times New Roman" w:cs="Times New Roman"/>
          <w:color w:val="000000" w:themeColor="text1"/>
          <w:sz w:val="20"/>
          <w:szCs w:val="20"/>
          <w:lang w:val="en-US"/>
        </w:rPr>
        <w:t xml:space="preserve"> (Leiden: E.J. Brill, 1994)</w:t>
      </w:r>
      <w:r w:rsidR="009C2B9B" w:rsidRPr="009D7635">
        <w:rPr>
          <w:rFonts w:ascii="Times New Roman" w:hAnsi="Times New Roman" w:cs="Times New Roman"/>
          <w:color w:val="000000" w:themeColor="text1"/>
          <w:sz w:val="20"/>
          <w:szCs w:val="20"/>
          <w:lang w:val="en-US"/>
        </w:rPr>
        <w:t xml:space="preserve">, </w:t>
      </w:r>
      <w:r w:rsidR="000277D3" w:rsidRPr="009D7635">
        <w:rPr>
          <w:rFonts w:ascii="Times New Roman" w:hAnsi="Times New Roman" w:cs="Times New Roman"/>
          <w:color w:val="000000" w:themeColor="text1"/>
          <w:sz w:val="20"/>
          <w:szCs w:val="20"/>
          <w:lang w:val="en-US"/>
        </w:rPr>
        <w:t>7</w:t>
      </w:r>
      <w:r w:rsidR="009C2B9B" w:rsidRPr="009D7635">
        <w:rPr>
          <w:rFonts w:ascii="Times New Roman" w:hAnsi="Times New Roman" w:cs="Times New Roman"/>
          <w:color w:val="000000" w:themeColor="text1"/>
          <w:sz w:val="20"/>
          <w:szCs w:val="20"/>
          <w:lang w:val="en-US"/>
        </w:rPr>
        <w:t>-30</w:t>
      </w:r>
      <w:r w:rsidRPr="009D7635">
        <w:rPr>
          <w:rFonts w:ascii="Times New Roman" w:hAnsi="Times New Roman" w:cs="Times New Roman"/>
          <w:color w:val="000000" w:themeColor="text1"/>
          <w:sz w:val="20"/>
          <w:szCs w:val="20"/>
          <w:lang w:val="en-US"/>
        </w:rPr>
        <w:t>.</w:t>
      </w:r>
      <w:r w:rsidR="00D24457" w:rsidRPr="009D7635">
        <w:rPr>
          <w:rFonts w:ascii="Times New Roman" w:hAnsi="Times New Roman" w:cs="Times New Roman"/>
          <w:color w:val="000000" w:themeColor="text1"/>
          <w:sz w:val="20"/>
          <w:szCs w:val="20"/>
          <w:lang w:val="en-US"/>
        </w:rPr>
        <w:t xml:space="preserve"> Alexander Fidora, </w:t>
      </w:r>
      <w:r w:rsidR="00D24457" w:rsidRPr="009D7635">
        <w:rPr>
          <w:rFonts w:ascii="Times New Roman" w:hAnsi="Times New Roman" w:cs="Times New Roman"/>
          <w:i/>
          <w:iCs/>
          <w:color w:val="000000" w:themeColor="text1"/>
          <w:sz w:val="20"/>
          <w:szCs w:val="20"/>
          <w:lang w:val="en-US"/>
        </w:rPr>
        <w:t xml:space="preserve">Die </w:t>
      </w:r>
      <w:proofErr w:type="spellStart"/>
      <w:r w:rsidR="00D24457" w:rsidRPr="009D7635">
        <w:rPr>
          <w:rFonts w:ascii="Times New Roman" w:hAnsi="Times New Roman" w:cs="Times New Roman"/>
          <w:i/>
          <w:iCs/>
          <w:color w:val="000000" w:themeColor="text1"/>
          <w:sz w:val="20"/>
          <w:szCs w:val="20"/>
          <w:lang w:val="en-US"/>
        </w:rPr>
        <w:t>Wissenschaftstheorie</w:t>
      </w:r>
      <w:proofErr w:type="spellEnd"/>
      <w:r w:rsidR="00D24457" w:rsidRPr="009D7635">
        <w:rPr>
          <w:rFonts w:ascii="Times New Roman" w:hAnsi="Times New Roman" w:cs="Times New Roman"/>
          <w:i/>
          <w:iCs/>
          <w:color w:val="000000" w:themeColor="text1"/>
          <w:sz w:val="20"/>
          <w:szCs w:val="20"/>
          <w:lang w:val="en-US"/>
        </w:rPr>
        <w:t xml:space="preserve"> des </w:t>
      </w:r>
      <w:proofErr w:type="spellStart"/>
      <w:r w:rsidR="00D24457" w:rsidRPr="009D7635">
        <w:rPr>
          <w:rFonts w:ascii="Times New Roman" w:hAnsi="Times New Roman" w:cs="Times New Roman"/>
          <w:i/>
          <w:iCs/>
          <w:color w:val="000000" w:themeColor="text1"/>
          <w:sz w:val="20"/>
          <w:szCs w:val="20"/>
          <w:lang w:val="en-US"/>
        </w:rPr>
        <w:t>Dominicus</w:t>
      </w:r>
      <w:proofErr w:type="spellEnd"/>
      <w:r w:rsidR="00D24457" w:rsidRPr="009D7635">
        <w:rPr>
          <w:rFonts w:ascii="Times New Roman" w:hAnsi="Times New Roman" w:cs="Times New Roman"/>
          <w:i/>
          <w:iCs/>
          <w:color w:val="000000" w:themeColor="text1"/>
          <w:sz w:val="20"/>
          <w:szCs w:val="20"/>
          <w:lang w:val="en-US"/>
        </w:rPr>
        <w:t xml:space="preserve"> </w:t>
      </w:r>
      <w:proofErr w:type="spellStart"/>
      <w:r w:rsidR="00D24457" w:rsidRPr="009D7635">
        <w:rPr>
          <w:rFonts w:ascii="Times New Roman" w:hAnsi="Times New Roman" w:cs="Times New Roman"/>
          <w:i/>
          <w:iCs/>
          <w:color w:val="000000" w:themeColor="text1"/>
          <w:sz w:val="20"/>
          <w:szCs w:val="20"/>
          <w:lang w:val="en-US"/>
        </w:rPr>
        <w:t>Gundissalinus</w:t>
      </w:r>
      <w:proofErr w:type="spellEnd"/>
      <w:r w:rsidR="00D24457" w:rsidRPr="009D7635">
        <w:rPr>
          <w:rFonts w:ascii="Times New Roman" w:hAnsi="Times New Roman" w:cs="Times New Roman"/>
          <w:i/>
          <w:iCs/>
          <w:color w:val="000000" w:themeColor="text1"/>
          <w:sz w:val="20"/>
          <w:szCs w:val="20"/>
          <w:lang w:val="en-US"/>
        </w:rPr>
        <w:t xml:space="preserve"> </w:t>
      </w:r>
      <w:r w:rsidR="00D24457" w:rsidRPr="009D7635">
        <w:rPr>
          <w:rFonts w:ascii="Times New Roman" w:hAnsi="Times New Roman" w:cs="Times New Roman"/>
          <w:color w:val="000000" w:themeColor="text1"/>
          <w:sz w:val="20"/>
          <w:szCs w:val="20"/>
          <w:lang w:val="en-US"/>
        </w:rPr>
        <w:t xml:space="preserve">(Berlin: De Gruyter, 2003). </w:t>
      </w:r>
    </w:p>
  </w:footnote>
  <w:footnote w:id="98">
    <w:p w14:paraId="4A8F2F5B" w14:textId="79C524D7" w:rsidR="00B93ED5" w:rsidRPr="009D7635" w:rsidRDefault="00B93ED5" w:rsidP="006A5A46">
      <w:pPr>
        <w:pStyle w:val="FootnoteText"/>
        <w:rPr>
          <w:rFonts w:ascii="Times New Roman" w:hAnsi="Times New Roman" w:cs="Times New Roman"/>
          <w:iCs/>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Nicola Polloni, ‘</w:t>
      </w:r>
      <w:proofErr w:type="spellStart"/>
      <w:r w:rsidRPr="009D7635">
        <w:rPr>
          <w:rFonts w:ascii="Times New Roman" w:hAnsi="Times New Roman" w:cs="Times New Roman"/>
          <w:color w:val="000000" w:themeColor="text1"/>
        </w:rPr>
        <w:t>Dominicus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Gundissalinus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On Unity and the One</w:t>
      </w:r>
      <w:r w:rsidRPr="009D7635">
        <w:rPr>
          <w:rFonts w:ascii="Times New Roman" w:hAnsi="Times New Roman" w:cs="Times New Roman"/>
          <w:iCs/>
          <w:color w:val="000000" w:themeColor="text1"/>
        </w:rPr>
        <w:t>,’</w:t>
      </w:r>
      <w:r w:rsidR="001E6F54" w:rsidRPr="009D7635">
        <w:rPr>
          <w:rFonts w:ascii="Times New Roman" w:hAnsi="Times New Roman" w:cs="Times New Roman"/>
          <w:color w:val="000000" w:themeColor="text1"/>
        </w:rPr>
        <w:t xml:space="preserve"> </w:t>
      </w:r>
      <w:r w:rsidR="00E812D4" w:rsidRPr="009D7635">
        <w:rPr>
          <w:rFonts w:ascii="Times New Roman" w:hAnsi="Times New Roman" w:cs="Times New Roman"/>
          <w:color w:val="000000" w:themeColor="text1"/>
        </w:rPr>
        <w:t xml:space="preserve">in </w:t>
      </w:r>
      <w:r w:rsidR="001E6F54" w:rsidRPr="009D7635">
        <w:rPr>
          <w:rFonts w:ascii="Times New Roman" w:hAnsi="Times New Roman" w:cs="Times New Roman"/>
          <w:i/>
          <w:color w:val="000000" w:themeColor="text1"/>
        </w:rPr>
        <w:t xml:space="preserve">Medieval Philosophy and the Jewish, Islamic, and Christian Traditions: Essays in </w:t>
      </w:r>
      <w:proofErr w:type="spellStart"/>
      <w:r w:rsidR="001E6F54" w:rsidRPr="009D7635">
        <w:rPr>
          <w:rFonts w:ascii="Times New Roman" w:hAnsi="Times New Roman" w:cs="Times New Roman"/>
          <w:i/>
          <w:color w:val="000000" w:themeColor="text1"/>
        </w:rPr>
        <w:t>Honor</w:t>
      </w:r>
      <w:proofErr w:type="spellEnd"/>
      <w:r w:rsidR="001E6F54" w:rsidRPr="009D7635">
        <w:rPr>
          <w:rFonts w:ascii="Times New Roman" w:hAnsi="Times New Roman" w:cs="Times New Roman"/>
          <w:i/>
          <w:color w:val="000000" w:themeColor="text1"/>
        </w:rPr>
        <w:t xml:space="preserve"> of Richard Taylor, </w:t>
      </w:r>
      <w:r w:rsidR="001E6F54" w:rsidRPr="009D7635">
        <w:rPr>
          <w:rFonts w:ascii="Times New Roman" w:hAnsi="Times New Roman" w:cs="Times New Roman"/>
          <w:iCs/>
          <w:color w:val="000000" w:themeColor="text1"/>
        </w:rPr>
        <w:t>ed.</w:t>
      </w:r>
      <w:r w:rsidR="001E6F54" w:rsidRPr="009D7635">
        <w:rPr>
          <w:rFonts w:ascii="Times New Roman" w:hAnsi="Times New Roman" w:cs="Times New Roman"/>
          <w:i/>
          <w:color w:val="000000" w:themeColor="text1"/>
        </w:rPr>
        <w:t xml:space="preserve"> </w:t>
      </w:r>
      <w:r w:rsidR="001E6F54" w:rsidRPr="009D7635">
        <w:rPr>
          <w:rFonts w:ascii="Times New Roman" w:hAnsi="Times New Roman" w:cs="Times New Roman"/>
          <w:iCs/>
          <w:color w:val="000000" w:themeColor="text1"/>
        </w:rPr>
        <w:t xml:space="preserve">L.X. López </w:t>
      </w:r>
      <w:proofErr w:type="spellStart"/>
      <w:r w:rsidR="001E6F54" w:rsidRPr="009D7635">
        <w:rPr>
          <w:rFonts w:ascii="Times New Roman" w:hAnsi="Times New Roman" w:cs="Times New Roman"/>
          <w:iCs/>
          <w:color w:val="000000" w:themeColor="text1"/>
        </w:rPr>
        <w:t>Farjeat</w:t>
      </w:r>
      <w:proofErr w:type="spellEnd"/>
      <w:r w:rsidR="001E6F54" w:rsidRPr="009D7635">
        <w:rPr>
          <w:rFonts w:ascii="Times New Roman" w:hAnsi="Times New Roman" w:cs="Times New Roman"/>
          <w:iCs/>
          <w:color w:val="000000" w:themeColor="text1"/>
        </w:rPr>
        <w:t xml:space="preserve">, K. Krause, and N. </w:t>
      </w:r>
      <w:proofErr w:type="spellStart"/>
      <w:r w:rsidR="001E6F54" w:rsidRPr="009D7635">
        <w:rPr>
          <w:rFonts w:ascii="Times New Roman" w:hAnsi="Times New Roman" w:cs="Times New Roman"/>
          <w:iCs/>
          <w:color w:val="000000" w:themeColor="text1"/>
        </w:rPr>
        <w:t>Oschman</w:t>
      </w:r>
      <w:proofErr w:type="spellEnd"/>
      <w:r w:rsidR="001E6F54" w:rsidRPr="009D7635">
        <w:rPr>
          <w:rFonts w:ascii="Times New Roman" w:hAnsi="Times New Roman" w:cs="Times New Roman"/>
          <w:iCs/>
          <w:color w:val="000000" w:themeColor="text1"/>
        </w:rPr>
        <w:t xml:space="preserve">, forthcoming. </w:t>
      </w:r>
      <w:r w:rsidR="00D70D00" w:rsidRPr="009D7635">
        <w:rPr>
          <w:rFonts w:ascii="Times New Roman" w:hAnsi="Times New Roman" w:cs="Times New Roman"/>
          <w:color w:val="000000" w:themeColor="text1"/>
          <w:lang w:val="en-US"/>
        </w:rPr>
        <w:t xml:space="preserve">There are three critical editions of </w:t>
      </w:r>
      <w:proofErr w:type="spellStart"/>
      <w:r w:rsidR="00D70D00" w:rsidRPr="009D7635">
        <w:rPr>
          <w:rFonts w:ascii="Times New Roman" w:hAnsi="Times New Roman" w:cs="Times New Roman"/>
          <w:color w:val="000000" w:themeColor="text1"/>
          <w:lang w:val="en-US"/>
        </w:rPr>
        <w:t>Gundissalinus</w:t>
      </w:r>
      <w:proofErr w:type="spellEnd"/>
      <w:r w:rsidR="00D70D00" w:rsidRPr="009D7635">
        <w:rPr>
          <w:rFonts w:ascii="Times New Roman" w:hAnsi="Times New Roman" w:cs="Times New Roman"/>
          <w:color w:val="000000" w:themeColor="text1"/>
          <w:lang w:val="en-US"/>
        </w:rPr>
        <w:t xml:space="preserve">’ </w:t>
      </w:r>
      <w:r w:rsidR="00D70D00" w:rsidRPr="009D7635">
        <w:rPr>
          <w:rFonts w:ascii="Times New Roman" w:hAnsi="Times New Roman" w:cs="Times New Roman"/>
          <w:i/>
          <w:color w:val="000000" w:themeColor="text1"/>
          <w:lang w:val="en-US"/>
        </w:rPr>
        <w:t xml:space="preserve">De </w:t>
      </w:r>
      <w:proofErr w:type="spellStart"/>
      <w:r w:rsidR="00D70D00" w:rsidRPr="009D7635">
        <w:rPr>
          <w:rFonts w:ascii="Times New Roman" w:hAnsi="Times New Roman" w:cs="Times New Roman"/>
          <w:i/>
          <w:color w:val="000000" w:themeColor="text1"/>
          <w:lang w:val="en-US"/>
        </w:rPr>
        <w:t>unitate</w:t>
      </w:r>
      <w:proofErr w:type="spellEnd"/>
      <w:r w:rsidR="00B856FE" w:rsidRPr="009D7635">
        <w:rPr>
          <w:rFonts w:ascii="Times New Roman" w:hAnsi="Times New Roman" w:cs="Times New Roman"/>
          <w:color w:val="000000" w:themeColor="text1"/>
          <w:lang w:val="en-US"/>
        </w:rPr>
        <w:t xml:space="preserve">. These include, </w:t>
      </w:r>
      <w:r w:rsidR="00D70D00" w:rsidRPr="009D7635">
        <w:rPr>
          <w:rFonts w:ascii="Times New Roman" w:hAnsi="Times New Roman" w:cs="Times New Roman"/>
          <w:i/>
          <w:color w:val="000000" w:themeColor="text1"/>
          <w:lang w:val="en-US"/>
        </w:rPr>
        <w:t xml:space="preserve">Die </w:t>
      </w:r>
      <w:proofErr w:type="spellStart"/>
      <w:r w:rsidR="00D70D00" w:rsidRPr="009D7635">
        <w:rPr>
          <w:rFonts w:ascii="Times New Roman" w:hAnsi="Times New Roman" w:cs="Times New Roman"/>
          <w:i/>
          <w:color w:val="000000" w:themeColor="text1"/>
          <w:lang w:val="en-US"/>
        </w:rPr>
        <w:t>dem</w:t>
      </w:r>
      <w:proofErr w:type="spellEnd"/>
      <w:r w:rsidR="00D70D00" w:rsidRPr="009D7635">
        <w:rPr>
          <w:rFonts w:ascii="Times New Roman" w:hAnsi="Times New Roman" w:cs="Times New Roman"/>
          <w:i/>
          <w:color w:val="000000" w:themeColor="text1"/>
          <w:lang w:val="en-US"/>
        </w:rPr>
        <w:t xml:space="preserve"> </w:t>
      </w:r>
      <w:proofErr w:type="spellStart"/>
      <w:r w:rsidR="00D70D00" w:rsidRPr="009D7635">
        <w:rPr>
          <w:rFonts w:ascii="Times New Roman" w:hAnsi="Times New Roman" w:cs="Times New Roman"/>
          <w:i/>
          <w:color w:val="000000" w:themeColor="text1"/>
          <w:lang w:val="en-US"/>
        </w:rPr>
        <w:t>Boethius</w:t>
      </w:r>
      <w:proofErr w:type="spellEnd"/>
      <w:r w:rsidR="00D70D00" w:rsidRPr="009D7635">
        <w:rPr>
          <w:rFonts w:ascii="Times New Roman" w:hAnsi="Times New Roman" w:cs="Times New Roman"/>
          <w:i/>
          <w:color w:val="000000" w:themeColor="text1"/>
          <w:lang w:val="en-US"/>
        </w:rPr>
        <w:t xml:space="preserve"> </w:t>
      </w:r>
      <w:proofErr w:type="spellStart"/>
      <w:r w:rsidR="00D70D00" w:rsidRPr="009D7635">
        <w:rPr>
          <w:rFonts w:ascii="Times New Roman" w:hAnsi="Times New Roman" w:cs="Times New Roman"/>
          <w:i/>
          <w:color w:val="000000" w:themeColor="text1"/>
          <w:lang w:val="en-US"/>
        </w:rPr>
        <w:t>fälschlich</w:t>
      </w:r>
      <w:proofErr w:type="spellEnd"/>
      <w:r w:rsidR="00D70D00" w:rsidRPr="009D7635">
        <w:rPr>
          <w:rFonts w:ascii="Times New Roman" w:hAnsi="Times New Roman" w:cs="Times New Roman"/>
          <w:i/>
          <w:color w:val="000000" w:themeColor="text1"/>
          <w:lang w:val="en-US"/>
        </w:rPr>
        <w:t xml:space="preserve"> </w:t>
      </w:r>
      <w:proofErr w:type="spellStart"/>
      <w:r w:rsidR="00D70D00" w:rsidRPr="009D7635">
        <w:rPr>
          <w:rFonts w:ascii="Times New Roman" w:hAnsi="Times New Roman" w:cs="Times New Roman"/>
          <w:i/>
          <w:color w:val="000000" w:themeColor="text1"/>
          <w:lang w:val="en-US"/>
        </w:rPr>
        <w:t>zugeschriebene</w:t>
      </w:r>
      <w:proofErr w:type="spellEnd"/>
      <w:r w:rsidR="00D70D00" w:rsidRPr="009D7635">
        <w:rPr>
          <w:rFonts w:ascii="Times New Roman" w:hAnsi="Times New Roman" w:cs="Times New Roman"/>
          <w:i/>
          <w:color w:val="000000" w:themeColor="text1"/>
          <w:lang w:val="en-US"/>
        </w:rPr>
        <w:t xml:space="preserve"> </w:t>
      </w:r>
      <w:proofErr w:type="spellStart"/>
      <w:r w:rsidR="00D70D00" w:rsidRPr="009D7635">
        <w:rPr>
          <w:rFonts w:ascii="Times New Roman" w:hAnsi="Times New Roman" w:cs="Times New Roman"/>
          <w:i/>
          <w:color w:val="000000" w:themeColor="text1"/>
          <w:lang w:val="en-US"/>
        </w:rPr>
        <w:t>Abhandlung</w:t>
      </w:r>
      <w:proofErr w:type="spellEnd"/>
      <w:r w:rsidR="00D70D00" w:rsidRPr="009D7635">
        <w:rPr>
          <w:rFonts w:ascii="Times New Roman" w:hAnsi="Times New Roman" w:cs="Times New Roman"/>
          <w:color w:val="000000" w:themeColor="text1"/>
          <w:lang w:val="en-US"/>
        </w:rPr>
        <w:t xml:space="preserve"> </w:t>
      </w:r>
      <w:r w:rsidR="00D70D00" w:rsidRPr="009D7635">
        <w:rPr>
          <w:rFonts w:ascii="Times New Roman" w:hAnsi="Times New Roman" w:cs="Times New Roman"/>
          <w:i/>
          <w:color w:val="000000" w:themeColor="text1"/>
          <w:lang w:val="en-US"/>
        </w:rPr>
        <w:t xml:space="preserve">des </w:t>
      </w:r>
      <w:proofErr w:type="spellStart"/>
      <w:r w:rsidR="00D70D00" w:rsidRPr="009D7635">
        <w:rPr>
          <w:rFonts w:ascii="Times New Roman" w:hAnsi="Times New Roman" w:cs="Times New Roman"/>
          <w:i/>
          <w:color w:val="000000" w:themeColor="text1"/>
          <w:lang w:val="en-US"/>
        </w:rPr>
        <w:t>Dominicus</w:t>
      </w:r>
      <w:proofErr w:type="spellEnd"/>
      <w:r w:rsidR="00D70D00" w:rsidRPr="009D7635">
        <w:rPr>
          <w:rFonts w:ascii="Times New Roman" w:hAnsi="Times New Roman" w:cs="Times New Roman"/>
          <w:i/>
          <w:color w:val="000000" w:themeColor="text1"/>
          <w:lang w:val="en-US"/>
        </w:rPr>
        <w:t xml:space="preserve"> </w:t>
      </w:r>
      <w:proofErr w:type="spellStart"/>
      <w:r w:rsidR="00D70D00" w:rsidRPr="009D7635">
        <w:rPr>
          <w:rFonts w:ascii="Times New Roman" w:hAnsi="Times New Roman" w:cs="Times New Roman"/>
          <w:i/>
          <w:color w:val="000000" w:themeColor="text1"/>
          <w:lang w:val="en-US"/>
        </w:rPr>
        <w:t>Gundisalvi</w:t>
      </w:r>
      <w:proofErr w:type="spellEnd"/>
      <w:r w:rsidR="00D70D00" w:rsidRPr="009D7635">
        <w:rPr>
          <w:rFonts w:ascii="Times New Roman" w:hAnsi="Times New Roman" w:cs="Times New Roman"/>
          <w:i/>
          <w:color w:val="000000" w:themeColor="text1"/>
          <w:lang w:val="en-US"/>
        </w:rPr>
        <w:t xml:space="preserve"> De </w:t>
      </w:r>
      <w:proofErr w:type="spellStart"/>
      <w:r w:rsidR="00D70D00" w:rsidRPr="009D7635">
        <w:rPr>
          <w:rFonts w:ascii="Times New Roman" w:hAnsi="Times New Roman" w:cs="Times New Roman"/>
          <w:i/>
          <w:color w:val="000000" w:themeColor="text1"/>
          <w:lang w:val="en-US"/>
        </w:rPr>
        <w:t>Unitate</w:t>
      </w:r>
      <w:proofErr w:type="spellEnd"/>
      <w:r w:rsidR="00D70D00" w:rsidRPr="009D7635">
        <w:rPr>
          <w:rFonts w:ascii="Times New Roman" w:hAnsi="Times New Roman" w:cs="Times New Roman"/>
          <w:color w:val="000000" w:themeColor="text1"/>
          <w:lang w:val="en-US"/>
        </w:rPr>
        <w:t xml:space="preserve">, ed. Paul </w:t>
      </w:r>
      <w:proofErr w:type="spellStart"/>
      <w:r w:rsidR="00D70D00" w:rsidRPr="009D7635">
        <w:rPr>
          <w:rFonts w:ascii="Times New Roman" w:hAnsi="Times New Roman" w:cs="Times New Roman"/>
          <w:color w:val="000000" w:themeColor="text1"/>
          <w:lang w:val="en-US"/>
        </w:rPr>
        <w:t>Correns</w:t>
      </w:r>
      <w:proofErr w:type="spellEnd"/>
      <w:r w:rsidR="00D70D00" w:rsidRPr="009D7635">
        <w:rPr>
          <w:rFonts w:ascii="Times New Roman" w:hAnsi="Times New Roman" w:cs="Times New Roman"/>
          <w:color w:val="000000" w:themeColor="text1"/>
          <w:lang w:val="en-US"/>
        </w:rPr>
        <w:t xml:space="preserve"> (Münster: </w:t>
      </w:r>
      <w:proofErr w:type="spellStart"/>
      <w:r w:rsidR="00D70D00" w:rsidRPr="009D7635">
        <w:rPr>
          <w:rFonts w:ascii="Times New Roman" w:hAnsi="Times New Roman" w:cs="Times New Roman"/>
          <w:color w:val="000000" w:themeColor="text1"/>
          <w:lang w:val="en-US"/>
        </w:rPr>
        <w:t>Aschendorff</w:t>
      </w:r>
      <w:proofErr w:type="spellEnd"/>
      <w:r w:rsidR="00D70D00" w:rsidRPr="009D7635">
        <w:rPr>
          <w:rFonts w:ascii="Times New Roman" w:hAnsi="Times New Roman" w:cs="Times New Roman"/>
          <w:color w:val="000000" w:themeColor="text1"/>
          <w:lang w:val="en-US"/>
        </w:rPr>
        <w:t xml:space="preserve">, 1891). M. Alonso Alonso, ‘El Liber de </w:t>
      </w:r>
      <w:proofErr w:type="spellStart"/>
      <w:r w:rsidR="00D70D00" w:rsidRPr="009D7635">
        <w:rPr>
          <w:rFonts w:ascii="Times New Roman" w:hAnsi="Times New Roman" w:cs="Times New Roman"/>
          <w:color w:val="000000" w:themeColor="text1"/>
          <w:lang w:val="en-US"/>
        </w:rPr>
        <w:t>unitate</w:t>
      </w:r>
      <w:proofErr w:type="spellEnd"/>
      <w:r w:rsidR="00D70D00" w:rsidRPr="009D7635">
        <w:rPr>
          <w:rFonts w:ascii="Times New Roman" w:hAnsi="Times New Roman" w:cs="Times New Roman"/>
          <w:color w:val="000000" w:themeColor="text1"/>
          <w:lang w:val="en-US"/>
        </w:rPr>
        <w:t xml:space="preserve"> et uno,’ </w:t>
      </w:r>
      <w:proofErr w:type="spellStart"/>
      <w:r w:rsidR="00D70D00" w:rsidRPr="009D7635">
        <w:rPr>
          <w:rFonts w:ascii="Times New Roman" w:hAnsi="Times New Roman" w:cs="Times New Roman"/>
          <w:i/>
          <w:color w:val="000000" w:themeColor="text1"/>
          <w:lang w:val="en-US"/>
        </w:rPr>
        <w:t>Pensamiento</w:t>
      </w:r>
      <w:proofErr w:type="spellEnd"/>
      <w:r w:rsidR="00D70D00" w:rsidRPr="009D7635">
        <w:rPr>
          <w:rFonts w:ascii="Times New Roman" w:hAnsi="Times New Roman" w:cs="Times New Roman"/>
          <w:color w:val="000000" w:themeColor="text1"/>
          <w:lang w:val="en-US"/>
        </w:rPr>
        <w:t xml:space="preserve"> 12 (1956)</w:t>
      </w:r>
      <w:r w:rsidR="00F60C9C" w:rsidRPr="009D7635">
        <w:rPr>
          <w:rFonts w:ascii="Times New Roman" w:hAnsi="Times New Roman" w:cs="Times New Roman"/>
          <w:color w:val="000000" w:themeColor="text1"/>
          <w:lang w:val="en-US"/>
        </w:rPr>
        <w:t>:</w:t>
      </w:r>
      <w:r w:rsidR="00D70D00" w:rsidRPr="009D7635">
        <w:rPr>
          <w:rFonts w:ascii="Times New Roman" w:hAnsi="Times New Roman" w:cs="Times New Roman"/>
          <w:color w:val="000000" w:themeColor="text1"/>
          <w:lang w:val="en-US"/>
        </w:rPr>
        <w:t xml:space="preserve"> 179-202. M. J. Soto Bruno and C. Alonso del Real, </w:t>
      </w:r>
      <w:r w:rsidR="00D70D00" w:rsidRPr="009D7635">
        <w:rPr>
          <w:rFonts w:ascii="Times New Roman" w:hAnsi="Times New Roman" w:cs="Times New Roman"/>
          <w:i/>
          <w:color w:val="000000" w:themeColor="text1"/>
          <w:lang w:val="en-US"/>
        </w:rPr>
        <w:t xml:space="preserve">De </w:t>
      </w:r>
      <w:proofErr w:type="spellStart"/>
      <w:r w:rsidR="00D70D00" w:rsidRPr="009D7635">
        <w:rPr>
          <w:rFonts w:ascii="Times New Roman" w:hAnsi="Times New Roman" w:cs="Times New Roman"/>
          <w:i/>
          <w:color w:val="000000" w:themeColor="text1"/>
          <w:lang w:val="en-US"/>
        </w:rPr>
        <w:t>unitate</w:t>
      </w:r>
      <w:proofErr w:type="spellEnd"/>
      <w:r w:rsidR="00D70D00" w:rsidRPr="009D7635">
        <w:rPr>
          <w:rFonts w:ascii="Times New Roman" w:hAnsi="Times New Roman" w:cs="Times New Roman"/>
          <w:i/>
          <w:color w:val="000000" w:themeColor="text1"/>
          <w:lang w:val="en-US"/>
        </w:rPr>
        <w:t xml:space="preserve"> et uno de </w:t>
      </w:r>
      <w:proofErr w:type="spellStart"/>
      <w:r w:rsidR="00D70D00" w:rsidRPr="009D7635">
        <w:rPr>
          <w:rFonts w:ascii="Times New Roman" w:hAnsi="Times New Roman" w:cs="Times New Roman"/>
          <w:i/>
          <w:color w:val="000000" w:themeColor="text1"/>
          <w:lang w:val="en-US"/>
        </w:rPr>
        <w:t>Dominicus</w:t>
      </w:r>
      <w:proofErr w:type="spellEnd"/>
      <w:r w:rsidR="00D70D00" w:rsidRPr="009D7635">
        <w:rPr>
          <w:rFonts w:ascii="Times New Roman" w:hAnsi="Times New Roman" w:cs="Times New Roman"/>
          <w:i/>
          <w:color w:val="000000" w:themeColor="text1"/>
          <w:lang w:val="en-US"/>
        </w:rPr>
        <w:t xml:space="preserve"> </w:t>
      </w:r>
      <w:proofErr w:type="spellStart"/>
      <w:r w:rsidR="00D70D00" w:rsidRPr="009D7635">
        <w:rPr>
          <w:rFonts w:ascii="Times New Roman" w:hAnsi="Times New Roman" w:cs="Times New Roman"/>
          <w:i/>
          <w:color w:val="000000" w:themeColor="text1"/>
          <w:lang w:val="en-US"/>
        </w:rPr>
        <w:t>Gundissalinus</w:t>
      </w:r>
      <w:proofErr w:type="spellEnd"/>
      <w:r w:rsidR="00D70D00" w:rsidRPr="009D7635">
        <w:rPr>
          <w:rFonts w:ascii="Times New Roman" w:hAnsi="Times New Roman" w:cs="Times New Roman"/>
          <w:color w:val="000000" w:themeColor="text1"/>
          <w:lang w:val="en-US"/>
        </w:rPr>
        <w:t xml:space="preserve"> (Pamplona: EUNSA, 2015).</w:t>
      </w:r>
    </w:p>
  </w:footnote>
  <w:footnote w:id="99">
    <w:p w14:paraId="72188E79" w14:textId="09B3126D" w:rsidR="00B93ED5" w:rsidRPr="009D7635" w:rsidRDefault="00B93ED5" w:rsidP="006A5A46">
      <w:pPr>
        <w:widowControl w:val="0"/>
        <w:tabs>
          <w:tab w:val="left" w:pos="5220"/>
        </w:tabs>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James A. </w:t>
      </w:r>
      <w:proofErr w:type="spellStart"/>
      <w:r w:rsidRPr="009D7635">
        <w:rPr>
          <w:rFonts w:ascii="Times New Roman" w:hAnsi="Times New Roman" w:cs="Times New Roman"/>
          <w:color w:val="000000" w:themeColor="text1"/>
          <w:sz w:val="20"/>
          <w:szCs w:val="20"/>
        </w:rPr>
        <w:t>Weisheipl</w:t>
      </w:r>
      <w:proofErr w:type="spellEnd"/>
      <w:r w:rsidRPr="009D7635">
        <w:rPr>
          <w:rFonts w:ascii="Times New Roman" w:hAnsi="Times New Roman" w:cs="Times New Roman"/>
          <w:color w:val="000000" w:themeColor="text1"/>
          <w:sz w:val="20"/>
          <w:szCs w:val="20"/>
        </w:rPr>
        <w:t>, ‘</w:t>
      </w:r>
      <w:proofErr w:type="spellStart"/>
      <w:r w:rsidRPr="009D7635">
        <w:rPr>
          <w:rFonts w:ascii="Times New Roman" w:hAnsi="Times New Roman" w:cs="Times New Roman"/>
          <w:color w:val="000000" w:themeColor="text1"/>
          <w:sz w:val="20"/>
          <w:szCs w:val="20"/>
        </w:rPr>
        <w:t>Albertus</w:t>
      </w:r>
      <w:proofErr w:type="spellEnd"/>
      <w:r w:rsidRPr="009D7635">
        <w:rPr>
          <w:rFonts w:ascii="Times New Roman" w:hAnsi="Times New Roman" w:cs="Times New Roman"/>
          <w:color w:val="000000" w:themeColor="text1"/>
          <w:sz w:val="20"/>
          <w:szCs w:val="20"/>
        </w:rPr>
        <w:t xml:space="preserve"> Magnus and Universal Hylomorphism: </w:t>
      </w:r>
      <w:proofErr w:type="spellStart"/>
      <w:r w:rsidRPr="009D7635">
        <w:rPr>
          <w:rFonts w:ascii="Times New Roman" w:hAnsi="Times New Roman" w:cs="Times New Roman"/>
          <w:color w:val="000000" w:themeColor="text1"/>
          <w:sz w:val="20"/>
          <w:szCs w:val="20"/>
        </w:rPr>
        <w:t>Avicebron</w:t>
      </w:r>
      <w:proofErr w:type="spellEnd"/>
      <w:r w:rsidRPr="009D7635">
        <w:rPr>
          <w:rFonts w:ascii="Times New Roman" w:hAnsi="Times New Roman" w:cs="Times New Roman"/>
          <w:color w:val="000000" w:themeColor="text1"/>
          <w:sz w:val="20"/>
          <w:szCs w:val="20"/>
        </w:rPr>
        <w:t xml:space="preserve">—A Note on Thirteenth-Century </w:t>
      </w:r>
      <w:proofErr w:type="spellStart"/>
      <w:r w:rsidRPr="009D7635">
        <w:rPr>
          <w:rFonts w:ascii="Times New Roman" w:hAnsi="Times New Roman" w:cs="Times New Roman"/>
          <w:color w:val="000000" w:themeColor="text1"/>
          <w:sz w:val="20"/>
          <w:szCs w:val="20"/>
        </w:rPr>
        <w:t>Augustinianism</w:t>
      </w:r>
      <w:proofErr w:type="spellEnd"/>
      <w:r w:rsidRPr="009D7635">
        <w:rPr>
          <w:rFonts w:ascii="Times New Roman" w:hAnsi="Times New Roman" w:cs="Times New Roman"/>
          <w:color w:val="000000" w:themeColor="text1"/>
          <w:sz w:val="20"/>
          <w:szCs w:val="20"/>
        </w:rPr>
        <w:t xml:space="preserve">,’ in </w:t>
      </w:r>
      <w:r w:rsidRPr="009D7635">
        <w:rPr>
          <w:rFonts w:ascii="Times New Roman" w:hAnsi="Times New Roman" w:cs="Times New Roman"/>
          <w:i/>
          <w:color w:val="000000" w:themeColor="text1"/>
          <w:sz w:val="20"/>
          <w:szCs w:val="20"/>
        </w:rPr>
        <w:t xml:space="preserve">Albert the Great: Commemorative Essays, </w:t>
      </w:r>
      <w:r w:rsidRPr="009D7635">
        <w:rPr>
          <w:rFonts w:ascii="Times New Roman" w:hAnsi="Times New Roman" w:cs="Times New Roman"/>
          <w:color w:val="000000" w:themeColor="text1"/>
          <w:sz w:val="20"/>
          <w:szCs w:val="20"/>
        </w:rPr>
        <w:t xml:space="preserve">ed. Francis J. </w:t>
      </w:r>
      <w:proofErr w:type="spellStart"/>
      <w:r w:rsidRPr="009D7635">
        <w:rPr>
          <w:rFonts w:ascii="Times New Roman" w:hAnsi="Times New Roman" w:cs="Times New Roman"/>
          <w:color w:val="000000" w:themeColor="text1"/>
          <w:sz w:val="20"/>
          <w:szCs w:val="20"/>
        </w:rPr>
        <w:t>Kovach</w:t>
      </w:r>
      <w:proofErr w:type="spellEnd"/>
      <w:r w:rsidRPr="009D7635">
        <w:rPr>
          <w:rFonts w:ascii="Times New Roman" w:hAnsi="Times New Roman" w:cs="Times New Roman"/>
          <w:color w:val="000000" w:themeColor="text1"/>
          <w:sz w:val="20"/>
          <w:szCs w:val="20"/>
        </w:rPr>
        <w:t xml:space="preserve"> and Robert W. </w:t>
      </w:r>
      <w:proofErr w:type="spellStart"/>
      <w:r w:rsidRPr="009D7635">
        <w:rPr>
          <w:rFonts w:ascii="Times New Roman" w:hAnsi="Times New Roman" w:cs="Times New Roman"/>
          <w:color w:val="000000" w:themeColor="text1"/>
          <w:sz w:val="20"/>
          <w:szCs w:val="20"/>
        </w:rPr>
        <w:t>Shahan</w:t>
      </w:r>
      <w:proofErr w:type="spellEnd"/>
      <w:r w:rsidRPr="009D7635">
        <w:rPr>
          <w:rFonts w:ascii="Times New Roman" w:hAnsi="Times New Roman" w:cs="Times New Roman"/>
          <w:color w:val="000000" w:themeColor="text1"/>
          <w:sz w:val="20"/>
          <w:szCs w:val="20"/>
        </w:rPr>
        <w:t>, 239-60 (Norman: University of Oklahoma Press, 1980), 247.</w:t>
      </w:r>
    </w:p>
  </w:footnote>
  <w:footnote w:id="100">
    <w:p w14:paraId="38BA7A9D" w14:textId="26CC10E5" w:rsidR="00B93ED5" w:rsidRPr="009D7635" w:rsidRDefault="00B93ED5" w:rsidP="006A5A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J.T. </w:t>
      </w:r>
      <w:proofErr w:type="spellStart"/>
      <w:r w:rsidRPr="009D7635">
        <w:rPr>
          <w:rFonts w:ascii="Times New Roman" w:hAnsi="Times New Roman" w:cs="Times New Roman"/>
          <w:color w:val="000000" w:themeColor="text1"/>
          <w:sz w:val="20"/>
          <w:szCs w:val="20"/>
          <w:lang w:val="en-US"/>
        </w:rPr>
        <w:t>Muckle</w:t>
      </w:r>
      <w:proofErr w:type="spellEnd"/>
      <w:r w:rsidRPr="009D7635">
        <w:rPr>
          <w:rFonts w:ascii="Times New Roman" w:hAnsi="Times New Roman" w:cs="Times New Roman"/>
          <w:color w:val="000000" w:themeColor="text1"/>
          <w:sz w:val="20"/>
          <w:szCs w:val="20"/>
          <w:lang w:val="en-US"/>
        </w:rPr>
        <w:t xml:space="preserve">, ‘The Treatise </w:t>
      </w:r>
      <w:r w:rsidRPr="009D7635">
        <w:rPr>
          <w:rFonts w:ascii="Times New Roman" w:hAnsi="Times New Roman" w:cs="Times New Roman"/>
          <w:i/>
          <w:color w:val="000000" w:themeColor="text1"/>
          <w:sz w:val="20"/>
          <w:szCs w:val="20"/>
          <w:lang w:val="en-US"/>
        </w:rPr>
        <w:t>De anima</w:t>
      </w:r>
      <w:r w:rsidRPr="009D7635">
        <w:rPr>
          <w:rFonts w:ascii="Times New Roman" w:hAnsi="Times New Roman" w:cs="Times New Roman"/>
          <w:color w:val="000000" w:themeColor="text1"/>
          <w:sz w:val="20"/>
          <w:szCs w:val="20"/>
          <w:lang w:val="en-US"/>
        </w:rPr>
        <w:t xml:space="preserve"> of </w:t>
      </w:r>
      <w:proofErr w:type="spellStart"/>
      <w:r w:rsidRPr="009D7635">
        <w:rPr>
          <w:rFonts w:ascii="Times New Roman" w:hAnsi="Times New Roman" w:cs="Times New Roman"/>
          <w:color w:val="000000" w:themeColor="text1"/>
          <w:sz w:val="20"/>
          <w:szCs w:val="20"/>
          <w:lang w:val="en-US"/>
        </w:rPr>
        <w:t>Dominicus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Gundissalinus</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Mediaeval Studies</w:t>
      </w:r>
      <w:r w:rsidR="00462EB4"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2 (1940)</w:t>
      </w:r>
      <w:r w:rsidR="00220CCC"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23-103. </w:t>
      </w:r>
      <w:r w:rsidRPr="009D7635">
        <w:rPr>
          <w:rFonts w:ascii="Times New Roman" w:hAnsi="Times New Roman" w:cs="Times New Roman"/>
          <w:i/>
          <w:color w:val="000000" w:themeColor="text1"/>
          <w:sz w:val="20"/>
          <w:szCs w:val="20"/>
          <w:lang w:val="en-US"/>
        </w:rPr>
        <w:t xml:space="preserve">Avicenna </w:t>
      </w:r>
      <w:proofErr w:type="spellStart"/>
      <w:r w:rsidRPr="009D7635">
        <w:rPr>
          <w:rFonts w:ascii="Times New Roman" w:hAnsi="Times New Roman" w:cs="Times New Roman"/>
          <w:i/>
          <w:color w:val="000000" w:themeColor="text1"/>
          <w:sz w:val="20"/>
          <w:szCs w:val="20"/>
          <w:lang w:val="en-US"/>
        </w:rPr>
        <w:t>Latinus</w:t>
      </w:r>
      <w:proofErr w:type="spellEnd"/>
      <w:r w:rsidRPr="009D7635">
        <w:rPr>
          <w:rFonts w:ascii="Times New Roman" w:hAnsi="Times New Roman" w:cs="Times New Roman"/>
          <w:i/>
          <w:color w:val="000000" w:themeColor="text1"/>
          <w:sz w:val="20"/>
          <w:szCs w:val="20"/>
          <w:lang w:val="en-US"/>
        </w:rPr>
        <w:t xml:space="preserve">: Liber de anima </w:t>
      </w:r>
      <w:proofErr w:type="spellStart"/>
      <w:r w:rsidRPr="009D7635">
        <w:rPr>
          <w:rFonts w:ascii="Times New Roman" w:hAnsi="Times New Roman" w:cs="Times New Roman"/>
          <w:i/>
          <w:color w:val="000000" w:themeColor="text1"/>
          <w:sz w:val="20"/>
          <w:szCs w:val="20"/>
          <w:lang w:val="en-US"/>
        </w:rPr>
        <w:t>seu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Sextus</w:t>
      </w:r>
      <w:proofErr w:type="spellEnd"/>
      <w:r w:rsidRPr="009D7635">
        <w:rPr>
          <w:rFonts w:ascii="Times New Roman" w:hAnsi="Times New Roman" w:cs="Times New Roman"/>
          <w:i/>
          <w:color w:val="000000" w:themeColor="text1"/>
          <w:sz w:val="20"/>
          <w:szCs w:val="20"/>
          <w:lang w:val="en-US"/>
        </w:rPr>
        <w:t xml:space="preserve"> de </w:t>
      </w:r>
      <w:proofErr w:type="spellStart"/>
      <w:r w:rsidRPr="009D7635">
        <w:rPr>
          <w:rFonts w:ascii="Times New Roman" w:hAnsi="Times New Roman" w:cs="Times New Roman"/>
          <w:i/>
          <w:color w:val="000000" w:themeColor="text1"/>
          <w:sz w:val="20"/>
          <w:szCs w:val="20"/>
          <w:lang w:val="en-US"/>
        </w:rPr>
        <w:t>naturalibus</w:t>
      </w:r>
      <w:proofErr w:type="spellEnd"/>
      <w:r w:rsidRPr="009D7635">
        <w:rPr>
          <w:rFonts w:ascii="Times New Roman" w:hAnsi="Times New Roman" w:cs="Times New Roman"/>
          <w:color w:val="000000" w:themeColor="text1"/>
          <w:sz w:val="20"/>
          <w:szCs w:val="20"/>
          <w:lang w:val="en-US"/>
        </w:rPr>
        <w:t xml:space="preserve">, ed. Simone van </w:t>
      </w:r>
      <w:proofErr w:type="spellStart"/>
      <w:r w:rsidRPr="009D7635">
        <w:rPr>
          <w:rFonts w:ascii="Times New Roman" w:hAnsi="Times New Roman" w:cs="Times New Roman"/>
          <w:color w:val="000000" w:themeColor="text1"/>
          <w:sz w:val="20"/>
          <w:szCs w:val="20"/>
          <w:lang w:val="en-US"/>
        </w:rPr>
        <w:t>Riet</w:t>
      </w:r>
      <w:proofErr w:type="spellEnd"/>
      <w:r w:rsidRPr="009D7635">
        <w:rPr>
          <w:rFonts w:ascii="Times New Roman" w:hAnsi="Times New Roman" w:cs="Times New Roman"/>
          <w:color w:val="000000" w:themeColor="text1"/>
          <w:sz w:val="20"/>
          <w:szCs w:val="20"/>
          <w:lang w:val="en-US"/>
        </w:rPr>
        <w:t>, introduction by G. Verbeke (Leiden: Brill, 1972). Daniel A. Callus, ‘</w:t>
      </w:r>
      <w:proofErr w:type="spellStart"/>
      <w:r w:rsidRPr="009D7635">
        <w:rPr>
          <w:rFonts w:ascii="Times New Roman" w:hAnsi="Times New Roman" w:cs="Times New Roman"/>
          <w:color w:val="000000" w:themeColor="text1"/>
          <w:sz w:val="20"/>
          <w:szCs w:val="20"/>
          <w:lang w:val="en-US"/>
        </w:rPr>
        <w:t>Gundissalinus</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iCs/>
          <w:color w:val="000000" w:themeColor="text1"/>
          <w:sz w:val="20"/>
          <w:szCs w:val="20"/>
          <w:lang w:val="en-US"/>
        </w:rPr>
        <w:t xml:space="preserve">De </w:t>
      </w:r>
      <w:r w:rsidR="000D34E8" w:rsidRPr="009D7635">
        <w:rPr>
          <w:rFonts w:ascii="Times New Roman" w:hAnsi="Times New Roman" w:cs="Times New Roman"/>
          <w:i/>
          <w:iCs/>
          <w:color w:val="000000" w:themeColor="text1"/>
          <w:sz w:val="20"/>
          <w:szCs w:val="20"/>
          <w:lang w:val="en-US"/>
        </w:rPr>
        <w:t>an</w:t>
      </w:r>
      <w:r w:rsidRPr="009D7635">
        <w:rPr>
          <w:rFonts w:ascii="Times New Roman" w:hAnsi="Times New Roman" w:cs="Times New Roman"/>
          <w:i/>
          <w:iCs/>
          <w:color w:val="000000" w:themeColor="text1"/>
          <w:sz w:val="20"/>
          <w:szCs w:val="20"/>
          <w:lang w:val="en-US"/>
        </w:rPr>
        <w:t>ima</w:t>
      </w:r>
      <w:r w:rsidRPr="009D7635">
        <w:rPr>
          <w:rFonts w:ascii="Times New Roman" w:hAnsi="Times New Roman" w:cs="Times New Roman"/>
          <w:color w:val="000000" w:themeColor="text1"/>
          <w:sz w:val="20"/>
          <w:szCs w:val="20"/>
          <w:lang w:val="en-US"/>
        </w:rPr>
        <w:t xml:space="preserve"> and the Problem of Substantial Form,’ </w:t>
      </w:r>
      <w:r w:rsidRPr="009D7635">
        <w:rPr>
          <w:rFonts w:ascii="Times New Roman" w:hAnsi="Times New Roman" w:cs="Times New Roman"/>
          <w:i/>
          <w:color w:val="000000" w:themeColor="text1"/>
          <w:sz w:val="20"/>
          <w:szCs w:val="20"/>
          <w:lang w:val="en-US"/>
        </w:rPr>
        <w:t>The New Scholasticism</w:t>
      </w:r>
      <w:r w:rsidRPr="009D7635">
        <w:rPr>
          <w:rFonts w:ascii="Times New Roman" w:hAnsi="Times New Roman" w:cs="Times New Roman"/>
          <w:color w:val="000000" w:themeColor="text1"/>
          <w:sz w:val="20"/>
          <w:szCs w:val="20"/>
          <w:lang w:val="en-US"/>
        </w:rPr>
        <w:t xml:space="preserve"> 13 (1939)</w:t>
      </w:r>
      <w:r w:rsidR="00220CCC"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338-55.</w:t>
      </w:r>
    </w:p>
  </w:footnote>
  <w:footnote w:id="101">
    <w:p w14:paraId="64FEA71C" w14:textId="07BB292E" w:rsidR="00B93ED5" w:rsidRPr="009D7635" w:rsidRDefault="00B93ED5" w:rsidP="00D74FC7">
      <w:pPr>
        <w:pStyle w:val="CommentText"/>
        <w:rPr>
          <w:rFonts w:cs="Times New Roman"/>
        </w:rPr>
      </w:pPr>
      <w:r w:rsidRPr="009D7635">
        <w:rPr>
          <w:rStyle w:val="FootnoteReference"/>
          <w:rFonts w:cs="Times New Roman"/>
          <w:color w:val="000000" w:themeColor="text1"/>
        </w:rPr>
        <w:footnoteRef/>
      </w:r>
      <w:r w:rsidRPr="009D7635">
        <w:rPr>
          <w:rFonts w:cs="Times New Roman"/>
          <w:color w:val="000000" w:themeColor="text1"/>
        </w:rPr>
        <w:t xml:space="preserve"> </w:t>
      </w:r>
      <w:proofErr w:type="spellStart"/>
      <w:r w:rsidRPr="009D7635">
        <w:rPr>
          <w:rFonts w:cs="Times New Roman"/>
          <w:color w:val="000000" w:themeColor="text1"/>
        </w:rPr>
        <w:t>Dag</w:t>
      </w:r>
      <w:proofErr w:type="spellEnd"/>
      <w:r w:rsidRPr="009D7635">
        <w:rPr>
          <w:rFonts w:cs="Times New Roman"/>
          <w:color w:val="000000" w:themeColor="text1"/>
        </w:rPr>
        <w:t xml:space="preserve"> Hasse</w:t>
      </w:r>
      <w:r w:rsidRPr="009D7635">
        <w:rPr>
          <w:rFonts w:cs="Times New Roman"/>
          <w:iCs/>
          <w:color w:val="000000" w:themeColor="text1"/>
        </w:rPr>
        <w:t>,</w:t>
      </w:r>
      <w:r w:rsidRPr="009D7635">
        <w:rPr>
          <w:rFonts w:cs="Times New Roman"/>
          <w:i/>
          <w:color w:val="000000" w:themeColor="text1"/>
        </w:rPr>
        <w:t xml:space="preserve"> Avicenna’s De anima</w:t>
      </w:r>
      <w:r w:rsidRPr="009D7635">
        <w:rPr>
          <w:rFonts w:cs="Times New Roman"/>
          <w:iCs/>
          <w:color w:val="000000" w:themeColor="text1"/>
        </w:rPr>
        <w:t>,</w:t>
      </w:r>
      <w:r w:rsidRPr="009D7635">
        <w:rPr>
          <w:rFonts w:cs="Times New Roman"/>
          <w:color w:val="000000" w:themeColor="text1"/>
        </w:rPr>
        <w:t xml:space="preserve"> 18.</w:t>
      </w:r>
      <w:r w:rsidR="00953147" w:rsidRPr="009D7635">
        <w:rPr>
          <w:rFonts w:cs="Times New Roman"/>
          <w:color w:val="000000" w:themeColor="text1"/>
        </w:rPr>
        <w:t xml:space="preserve"> </w:t>
      </w:r>
      <w:r w:rsidR="00D74FC7" w:rsidRPr="009D7635">
        <w:rPr>
          <w:rFonts w:cs="Times New Roman"/>
          <w:color w:val="000000" w:themeColor="text1"/>
        </w:rPr>
        <w:t xml:space="preserve">On the relationship between </w:t>
      </w:r>
      <w:proofErr w:type="spellStart"/>
      <w:r w:rsidR="00D74FC7" w:rsidRPr="009D7635">
        <w:rPr>
          <w:rFonts w:cs="Times New Roman"/>
          <w:color w:val="000000" w:themeColor="text1"/>
        </w:rPr>
        <w:t>Gundissalinus</w:t>
      </w:r>
      <w:proofErr w:type="spellEnd"/>
      <w:r w:rsidR="00D74FC7" w:rsidRPr="009D7635">
        <w:rPr>
          <w:rFonts w:cs="Times New Roman"/>
          <w:color w:val="000000" w:themeColor="text1"/>
        </w:rPr>
        <w:t xml:space="preserve"> and Albert see, </w:t>
      </w:r>
      <w:r w:rsidR="00953147" w:rsidRPr="009D7635">
        <w:rPr>
          <w:rFonts w:cs="Times New Roman"/>
        </w:rPr>
        <w:t>Alexander Fidora, ‘</w:t>
      </w:r>
      <w:r w:rsidR="00953147" w:rsidRPr="009D7635">
        <w:rPr>
          <w:rFonts w:cs="Times New Roman"/>
          <w:lang w:val="fr-FR"/>
        </w:rPr>
        <w:t xml:space="preserve">Arabic </w:t>
      </w:r>
      <w:proofErr w:type="spellStart"/>
      <w:r w:rsidR="00953147" w:rsidRPr="009D7635">
        <w:rPr>
          <w:rFonts w:cs="Times New Roman"/>
          <w:lang w:val="fr-FR"/>
        </w:rPr>
        <w:t>into</w:t>
      </w:r>
      <w:proofErr w:type="spellEnd"/>
      <w:r w:rsidR="00953147" w:rsidRPr="009D7635">
        <w:rPr>
          <w:rFonts w:cs="Times New Roman"/>
          <w:lang w:val="fr-FR"/>
        </w:rPr>
        <w:t xml:space="preserve"> Latin </w:t>
      </w:r>
      <w:proofErr w:type="spellStart"/>
      <w:r w:rsidR="00953147" w:rsidRPr="009D7635">
        <w:rPr>
          <w:rFonts w:cs="Times New Roman"/>
          <w:lang w:val="fr-FR"/>
        </w:rPr>
        <w:t>into</w:t>
      </w:r>
      <w:proofErr w:type="spellEnd"/>
      <w:r w:rsidR="00953147" w:rsidRPr="009D7635">
        <w:rPr>
          <w:rFonts w:cs="Times New Roman"/>
          <w:lang w:val="fr-FR"/>
        </w:rPr>
        <w:t xml:space="preserve"> Hebrew: Aristotelian </w:t>
      </w:r>
      <w:proofErr w:type="spellStart"/>
      <w:r w:rsidR="00953147" w:rsidRPr="009D7635">
        <w:rPr>
          <w:rFonts w:cs="Times New Roman"/>
          <w:lang w:val="fr-FR"/>
        </w:rPr>
        <w:t>Psychology</w:t>
      </w:r>
      <w:proofErr w:type="spellEnd"/>
      <w:r w:rsidR="00953147" w:rsidRPr="009D7635">
        <w:rPr>
          <w:rFonts w:cs="Times New Roman"/>
          <w:lang w:val="fr-FR"/>
        </w:rPr>
        <w:t xml:space="preserve"> and </w:t>
      </w:r>
      <w:proofErr w:type="spellStart"/>
      <w:r w:rsidR="00953147" w:rsidRPr="009D7635">
        <w:rPr>
          <w:rFonts w:cs="Times New Roman"/>
          <w:lang w:val="fr-FR"/>
        </w:rPr>
        <w:t>its</w:t>
      </w:r>
      <w:proofErr w:type="spellEnd"/>
      <w:r w:rsidR="00953147" w:rsidRPr="009D7635">
        <w:rPr>
          <w:rFonts w:cs="Times New Roman"/>
          <w:lang w:val="fr-FR"/>
        </w:rPr>
        <w:t xml:space="preserve"> Contribution to the Rationalisation of </w:t>
      </w:r>
      <w:proofErr w:type="spellStart"/>
      <w:r w:rsidR="00953147" w:rsidRPr="009D7635">
        <w:rPr>
          <w:rFonts w:cs="Times New Roman"/>
          <w:lang w:val="fr-FR"/>
        </w:rPr>
        <w:t>Theological</w:t>
      </w:r>
      <w:proofErr w:type="spellEnd"/>
      <w:r w:rsidR="00953147" w:rsidRPr="009D7635">
        <w:rPr>
          <w:rFonts w:cs="Times New Roman"/>
          <w:lang w:val="fr-FR"/>
        </w:rPr>
        <w:t xml:space="preserve"> Traditions</w:t>
      </w:r>
      <w:r w:rsidR="00953147" w:rsidRPr="009D7635">
        <w:rPr>
          <w:rFonts w:cs="Times New Roman"/>
        </w:rPr>
        <w:t>,’</w:t>
      </w:r>
      <w:r w:rsidR="00953147" w:rsidRPr="009D7635">
        <w:rPr>
          <w:rFonts w:cs="Times New Roman"/>
          <w:lang w:val="fr-FR"/>
        </w:rPr>
        <w:t xml:space="preserve"> in </w:t>
      </w:r>
      <w:proofErr w:type="spellStart"/>
      <w:r w:rsidR="00953147" w:rsidRPr="009D7635">
        <w:rPr>
          <w:rFonts w:cs="Times New Roman"/>
          <w:i/>
          <w:lang w:val="fr-FR"/>
        </w:rPr>
        <w:t>Philosophical</w:t>
      </w:r>
      <w:proofErr w:type="spellEnd"/>
      <w:r w:rsidR="00953147" w:rsidRPr="009D7635">
        <w:rPr>
          <w:rFonts w:cs="Times New Roman"/>
          <w:i/>
          <w:lang w:val="fr-FR"/>
        </w:rPr>
        <w:t xml:space="preserve"> </w:t>
      </w:r>
      <w:proofErr w:type="spellStart"/>
      <w:r w:rsidR="00953147" w:rsidRPr="009D7635">
        <w:rPr>
          <w:rFonts w:cs="Times New Roman"/>
          <w:i/>
          <w:lang w:val="fr-FR"/>
        </w:rPr>
        <w:t>Psychology</w:t>
      </w:r>
      <w:proofErr w:type="spellEnd"/>
      <w:r w:rsidR="00953147" w:rsidRPr="009D7635">
        <w:rPr>
          <w:rFonts w:cs="Times New Roman"/>
          <w:i/>
          <w:lang w:val="fr-FR"/>
        </w:rPr>
        <w:t xml:space="preserve"> in </w:t>
      </w:r>
      <w:proofErr w:type="spellStart"/>
      <w:r w:rsidR="00953147" w:rsidRPr="009D7635">
        <w:rPr>
          <w:rFonts w:cs="Times New Roman"/>
          <w:i/>
          <w:lang w:val="fr-FR"/>
        </w:rPr>
        <w:t>Medieval</w:t>
      </w:r>
      <w:proofErr w:type="spellEnd"/>
      <w:r w:rsidR="00953147" w:rsidRPr="009D7635">
        <w:rPr>
          <w:rFonts w:cs="Times New Roman"/>
          <w:i/>
          <w:lang w:val="fr-FR"/>
        </w:rPr>
        <w:t xml:space="preserve"> Arabic and Latin </w:t>
      </w:r>
      <w:proofErr w:type="spellStart"/>
      <w:r w:rsidR="00953147" w:rsidRPr="009D7635">
        <w:rPr>
          <w:rFonts w:cs="Times New Roman"/>
          <w:i/>
          <w:lang w:val="fr-FR"/>
        </w:rPr>
        <w:t>Aristotelianism</w:t>
      </w:r>
      <w:proofErr w:type="spellEnd"/>
      <w:r w:rsidR="00953147" w:rsidRPr="009D7635">
        <w:rPr>
          <w:rFonts w:cs="Times New Roman"/>
          <w:lang w:val="fr-FR"/>
        </w:rPr>
        <w:t xml:space="preserve">, ed. Luis Xavier </w:t>
      </w:r>
      <w:proofErr w:type="spellStart"/>
      <w:r w:rsidR="00953147" w:rsidRPr="009D7635">
        <w:rPr>
          <w:rFonts w:cs="Times New Roman"/>
          <w:lang w:val="fr-FR"/>
        </w:rPr>
        <w:t>López-Farjeat</w:t>
      </w:r>
      <w:proofErr w:type="spellEnd"/>
      <w:r w:rsidR="00953147" w:rsidRPr="009D7635">
        <w:rPr>
          <w:rFonts w:cs="Times New Roman"/>
          <w:lang w:val="fr-FR"/>
        </w:rPr>
        <w:t xml:space="preserve"> and Jörg Alejandro </w:t>
      </w:r>
      <w:proofErr w:type="spellStart"/>
      <w:r w:rsidR="00953147" w:rsidRPr="009D7635">
        <w:rPr>
          <w:rFonts w:cs="Times New Roman"/>
          <w:lang w:val="fr-FR"/>
        </w:rPr>
        <w:t>Tellkamp</w:t>
      </w:r>
      <w:proofErr w:type="spellEnd"/>
      <w:r w:rsidR="00953147" w:rsidRPr="009D7635">
        <w:rPr>
          <w:rFonts w:cs="Times New Roman"/>
          <w:lang w:val="fr-FR"/>
        </w:rPr>
        <w:t xml:space="preserve"> (Paris: Vrin, 2013</w:t>
      </w:r>
      <w:r w:rsidR="00D74FC7" w:rsidRPr="009D7635">
        <w:rPr>
          <w:rFonts w:cs="Times New Roman"/>
          <w:lang w:val="fr-FR"/>
        </w:rPr>
        <w:t>)</w:t>
      </w:r>
      <w:r w:rsidR="00953147" w:rsidRPr="009D7635">
        <w:rPr>
          <w:rFonts w:cs="Times New Roman"/>
          <w:lang w:val="fr-FR"/>
        </w:rPr>
        <w:t>, 17-39.</w:t>
      </w:r>
      <w:r w:rsidR="00FA1944" w:rsidRPr="009D7635">
        <w:rPr>
          <w:rFonts w:cs="Times New Roman"/>
          <w:lang w:val="fr-FR"/>
        </w:rPr>
        <w:t xml:space="preserve"> </w:t>
      </w:r>
      <w:proofErr w:type="spellStart"/>
      <w:r w:rsidR="00FA1944" w:rsidRPr="009D7635">
        <w:rPr>
          <w:rFonts w:cs="Times New Roman"/>
          <w:lang w:val="fr-FR"/>
        </w:rPr>
        <w:t>Yossi</w:t>
      </w:r>
      <w:proofErr w:type="spellEnd"/>
      <w:r w:rsidR="00FA1944" w:rsidRPr="009D7635">
        <w:rPr>
          <w:rFonts w:cs="Times New Roman"/>
          <w:lang w:val="fr-FR"/>
        </w:rPr>
        <w:t xml:space="preserve"> Schwar</w:t>
      </w:r>
      <w:r w:rsidR="00825DC5" w:rsidRPr="009D7635">
        <w:rPr>
          <w:rFonts w:cs="Times New Roman"/>
          <w:lang w:val="fr-FR"/>
        </w:rPr>
        <w:t>t</w:t>
      </w:r>
      <w:r w:rsidR="00FA1944" w:rsidRPr="009D7635">
        <w:rPr>
          <w:rFonts w:cs="Times New Roman"/>
          <w:lang w:val="fr-FR"/>
        </w:rPr>
        <w:t xml:space="preserve">z, ‘The </w:t>
      </w:r>
      <w:proofErr w:type="spellStart"/>
      <w:r w:rsidR="00FA1944" w:rsidRPr="009D7635">
        <w:rPr>
          <w:rFonts w:cs="Times New Roman"/>
          <w:lang w:val="fr-FR"/>
        </w:rPr>
        <w:t>Medieval</w:t>
      </w:r>
      <w:proofErr w:type="spellEnd"/>
      <w:r w:rsidR="00FA1944" w:rsidRPr="009D7635">
        <w:rPr>
          <w:rFonts w:cs="Times New Roman"/>
          <w:lang w:val="fr-FR"/>
        </w:rPr>
        <w:t xml:space="preserve"> Hebrew Translations of </w:t>
      </w:r>
      <w:proofErr w:type="spellStart"/>
      <w:r w:rsidR="00825DC5" w:rsidRPr="009D7635">
        <w:rPr>
          <w:rFonts w:cs="Times New Roman"/>
          <w:lang w:val="fr-FR"/>
        </w:rPr>
        <w:t>Dominicus</w:t>
      </w:r>
      <w:proofErr w:type="spellEnd"/>
      <w:r w:rsidR="00825DC5" w:rsidRPr="009D7635">
        <w:rPr>
          <w:rFonts w:cs="Times New Roman"/>
          <w:lang w:val="fr-FR"/>
        </w:rPr>
        <w:t xml:space="preserve"> </w:t>
      </w:r>
      <w:proofErr w:type="spellStart"/>
      <w:r w:rsidR="00825DC5" w:rsidRPr="009D7635">
        <w:rPr>
          <w:rFonts w:cs="Times New Roman"/>
          <w:lang w:val="fr-FR"/>
        </w:rPr>
        <w:t>Gundissalinus</w:t>
      </w:r>
      <w:proofErr w:type="spellEnd"/>
      <w:r w:rsidR="00825DC5" w:rsidRPr="009D7635">
        <w:rPr>
          <w:rFonts w:cs="Times New Roman"/>
          <w:lang w:val="fr-FR"/>
        </w:rPr>
        <w:t xml:space="preserve">,’ in </w:t>
      </w:r>
      <w:proofErr w:type="spellStart"/>
      <w:r w:rsidR="00825DC5" w:rsidRPr="009D7635">
        <w:rPr>
          <w:rFonts w:cs="Times New Roman"/>
          <w:i/>
          <w:iCs/>
          <w:lang w:val="fr-FR"/>
        </w:rPr>
        <w:t>Latin-into-Hebrew</w:t>
      </w:r>
      <w:proofErr w:type="spellEnd"/>
      <w:r w:rsidR="00825DC5" w:rsidRPr="009D7635">
        <w:rPr>
          <w:rFonts w:cs="Times New Roman"/>
          <w:i/>
          <w:iCs/>
          <w:lang w:val="fr-FR"/>
        </w:rPr>
        <w:t xml:space="preserve"> : Studies and Texts, </w:t>
      </w:r>
      <w:r w:rsidR="00220CCC" w:rsidRPr="009D7635">
        <w:rPr>
          <w:rFonts w:cs="Times New Roman"/>
          <w:lang w:val="fr-FR"/>
        </w:rPr>
        <w:t>v</w:t>
      </w:r>
      <w:r w:rsidR="00825DC5" w:rsidRPr="009D7635">
        <w:rPr>
          <w:rFonts w:cs="Times New Roman"/>
          <w:lang w:val="fr-FR"/>
        </w:rPr>
        <w:t xml:space="preserve">ol. 2, ed. Alexander Fidora, Harvey J. </w:t>
      </w:r>
      <w:proofErr w:type="spellStart"/>
      <w:r w:rsidR="00825DC5" w:rsidRPr="009D7635">
        <w:rPr>
          <w:rFonts w:cs="Times New Roman"/>
          <w:lang w:val="fr-FR"/>
        </w:rPr>
        <w:t>Hames</w:t>
      </w:r>
      <w:proofErr w:type="spellEnd"/>
      <w:r w:rsidR="00825DC5" w:rsidRPr="009D7635">
        <w:rPr>
          <w:rFonts w:cs="Times New Roman"/>
          <w:lang w:val="fr-FR"/>
        </w:rPr>
        <w:t xml:space="preserve">, </w:t>
      </w:r>
      <w:proofErr w:type="spellStart"/>
      <w:r w:rsidR="00825DC5" w:rsidRPr="009D7635">
        <w:rPr>
          <w:rFonts w:cs="Times New Roman"/>
          <w:lang w:val="fr-FR"/>
        </w:rPr>
        <w:t>Yossef</w:t>
      </w:r>
      <w:proofErr w:type="spellEnd"/>
      <w:r w:rsidR="00825DC5" w:rsidRPr="009D7635">
        <w:rPr>
          <w:rFonts w:cs="Times New Roman"/>
          <w:lang w:val="fr-FR"/>
        </w:rPr>
        <w:t xml:space="preserve"> Schwartz (Leiden : Brill, 2013)</w:t>
      </w:r>
      <w:r w:rsidR="00B0640D" w:rsidRPr="009D7635">
        <w:rPr>
          <w:rFonts w:cs="Times New Roman"/>
          <w:lang w:val="fr-FR"/>
        </w:rPr>
        <w:t>,</w:t>
      </w:r>
      <w:r w:rsidR="00825DC5" w:rsidRPr="009D7635">
        <w:rPr>
          <w:rFonts w:cs="Times New Roman"/>
          <w:lang w:val="fr-FR"/>
        </w:rPr>
        <w:t xml:space="preserve"> 19-45. </w:t>
      </w:r>
    </w:p>
  </w:footnote>
  <w:footnote w:id="102">
    <w:p w14:paraId="185DC15B" w14:textId="33C7CA04" w:rsidR="00B93ED5" w:rsidRPr="009D7635" w:rsidRDefault="00B93ED5" w:rsidP="006A5A46">
      <w:pPr>
        <w:rPr>
          <w:rFonts w:ascii="Times New Roman" w:hAnsi="Times New Roman" w:cs="Times New Roman"/>
          <w:color w:val="000000" w:themeColor="text1"/>
          <w:sz w:val="20"/>
          <w:szCs w:val="20"/>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0039425C" w:rsidRPr="009D7635">
        <w:rPr>
          <w:rFonts w:ascii="Times New Roman" w:hAnsi="Times New Roman" w:cs="Times New Roman"/>
          <w:color w:val="000000" w:themeColor="text1"/>
          <w:sz w:val="20"/>
          <w:szCs w:val="20"/>
        </w:rPr>
        <w:t>Dag</w:t>
      </w:r>
      <w:proofErr w:type="spellEnd"/>
      <w:r w:rsidR="0039425C" w:rsidRPr="009D7635">
        <w:rPr>
          <w:rFonts w:ascii="Times New Roman" w:hAnsi="Times New Roman" w:cs="Times New Roman"/>
          <w:color w:val="000000" w:themeColor="text1"/>
          <w:sz w:val="20"/>
          <w:szCs w:val="20"/>
        </w:rPr>
        <w:t xml:space="preserve"> Hasse</w:t>
      </w:r>
      <w:r w:rsidR="0039425C" w:rsidRPr="009D7635">
        <w:rPr>
          <w:rFonts w:ascii="Times New Roman" w:hAnsi="Times New Roman" w:cs="Times New Roman"/>
          <w:iCs/>
          <w:color w:val="000000" w:themeColor="text1"/>
          <w:sz w:val="20"/>
          <w:szCs w:val="20"/>
        </w:rPr>
        <w:t>,</w:t>
      </w:r>
      <w:r w:rsidR="0039425C" w:rsidRPr="009D7635">
        <w:rPr>
          <w:rFonts w:ascii="Times New Roman" w:hAnsi="Times New Roman" w:cs="Times New Roman"/>
          <w:i/>
          <w:color w:val="000000" w:themeColor="text1"/>
          <w:sz w:val="20"/>
          <w:szCs w:val="20"/>
        </w:rPr>
        <w:t xml:space="preserve"> Avicenna’s De anima</w:t>
      </w:r>
      <w:r w:rsidR="0039425C" w:rsidRPr="009D7635">
        <w:rPr>
          <w:rFonts w:ascii="Times New Roman" w:hAnsi="Times New Roman" w:cs="Times New Roman"/>
          <w:iCs/>
          <w:color w:val="000000" w:themeColor="text1"/>
          <w:sz w:val="20"/>
          <w:szCs w:val="20"/>
        </w:rPr>
        <w:t>,</w:t>
      </w:r>
      <w:r w:rsidR="0039425C"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209. According to Hasse, </w:t>
      </w:r>
      <w:proofErr w:type="spellStart"/>
      <w:r w:rsidRPr="009D7635">
        <w:rPr>
          <w:rFonts w:ascii="Times New Roman" w:hAnsi="Times New Roman" w:cs="Times New Roman"/>
          <w:color w:val="000000" w:themeColor="text1"/>
          <w:sz w:val="20"/>
          <w:szCs w:val="20"/>
        </w:rPr>
        <w:t>Gundissalinus</w:t>
      </w:r>
      <w:proofErr w:type="spellEnd"/>
      <w:r w:rsidRPr="009D7635">
        <w:rPr>
          <w:rFonts w:ascii="Times New Roman" w:hAnsi="Times New Roman" w:cs="Times New Roman"/>
          <w:color w:val="000000" w:themeColor="text1"/>
          <w:sz w:val="20"/>
          <w:szCs w:val="20"/>
        </w:rPr>
        <w:t xml:space="preserve"> does not affirm that God is the Agent Intellect, though he may imply it. It was Gilson who really insisted on this doctrine, for example, in his introduction to J. T. </w:t>
      </w:r>
      <w:proofErr w:type="spellStart"/>
      <w:r w:rsidRPr="009D7635">
        <w:rPr>
          <w:rFonts w:ascii="Times New Roman" w:hAnsi="Times New Roman" w:cs="Times New Roman"/>
          <w:color w:val="000000" w:themeColor="text1"/>
          <w:sz w:val="20"/>
          <w:szCs w:val="20"/>
        </w:rPr>
        <w:t>Muckle’s</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‘The Treatise </w:t>
      </w:r>
      <w:r w:rsidRPr="009D7635">
        <w:rPr>
          <w:rFonts w:ascii="Times New Roman" w:hAnsi="Times New Roman" w:cs="Times New Roman"/>
          <w:i/>
          <w:color w:val="000000" w:themeColor="text1"/>
          <w:sz w:val="20"/>
          <w:szCs w:val="20"/>
          <w:lang w:val="en-US"/>
        </w:rPr>
        <w:t>De anima</w:t>
      </w:r>
      <w:r w:rsidRPr="009D7635">
        <w:rPr>
          <w:rFonts w:ascii="Times New Roman" w:hAnsi="Times New Roman" w:cs="Times New Roman"/>
          <w:color w:val="000000" w:themeColor="text1"/>
          <w:sz w:val="20"/>
          <w:szCs w:val="20"/>
          <w:lang w:val="en-US"/>
        </w:rPr>
        <w:t xml:space="preserve"> of </w:t>
      </w:r>
      <w:proofErr w:type="spellStart"/>
      <w:r w:rsidRPr="009D7635">
        <w:rPr>
          <w:rFonts w:ascii="Times New Roman" w:hAnsi="Times New Roman" w:cs="Times New Roman"/>
          <w:color w:val="000000" w:themeColor="text1"/>
          <w:sz w:val="20"/>
          <w:szCs w:val="20"/>
          <w:lang w:val="en-US"/>
        </w:rPr>
        <w:t>Dominicus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Gundissalinus</w:t>
      </w:r>
      <w:proofErr w:type="spellEnd"/>
      <w:r w:rsidRPr="009D7635">
        <w:rPr>
          <w:rFonts w:ascii="Times New Roman" w:hAnsi="Times New Roman" w:cs="Times New Roman"/>
          <w:color w:val="000000" w:themeColor="text1"/>
          <w:sz w:val="20"/>
          <w:szCs w:val="20"/>
          <w:lang w:val="en-US"/>
        </w:rPr>
        <w:t xml:space="preserve">,’ 23-27, which particularly vociferously rejects the claim of Roland de </w:t>
      </w:r>
      <w:proofErr w:type="spellStart"/>
      <w:r w:rsidRPr="009D7635">
        <w:rPr>
          <w:rFonts w:ascii="Times New Roman" w:hAnsi="Times New Roman" w:cs="Times New Roman"/>
          <w:color w:val="000000" w:themeColor="text1"/>
          <w:sz w:val="20"/>
          <w:szCs w:val="20"/>
          <w:lang w:val="en-US"/>
        </w:rPr>
        <w:t>Vaux</w:t>
      </w:r>
      <w:proofErr w:type="spellEnd"/>
      <w:r w:rsidRPr="009D7635">
        <w:rPr>
          <w:rFonts w:ascii="Times New Roman" w:hAnsi="Times New Roman" w:cs="Times New Roman"/>
          <w:color w:val="000000" w:themeColor="text1"/>
          <w:sz w:val="20"/>
          <w:szCs w:val="20"/>
          <w:lang w:val="en-US"/>
        </w:rPr>
        <w:t xml:space="preserve"> that </w:t>
      </w:r>
      <w:proofErr w:type="spellStart"/>
      <w:r w:rsidRPr="009D7635">
        <w:rPr>
          <w:rFonts w:ascii="Times New Roman" w:hAnsi="Times New Roman" w:cs="Times New Roman"/>
          <w:color w:val="000000" w:themeColor="text1"/>
          <w:sz w:val="20"/>
          <w:szCs w:val="20"/>
          <w:lang w:val="en-US"/>
        </w:rPr>
        <w:t>Gundissalinus</w:t>
      </w:r>
      <w:proofErr w:type="spellEnd"/>
      <w:r w:rsidRPr="009D7635">
        <w:rPr>
          <w:rFonts w:ascii="Times New Roman" w:hAnsi="Times New Roman" w:cs="Times New Roman"/>
          <w:color w:val="000000" w:themeColor="text1"/>
          <w:sz w:val="20"/>
          <w:szCs w:val="20"/>
          <w:lang w:val="en-US"/>
        </w:rPr>
        <w:t xml:space="preserve"> represents a purely ‘Latin’ rather than ‘Christian’ or ‘Augustinian’ </w:t>
      </w:r>
      <w:proofErr w:type="spellStart"/>
      <w:r w:rsidRPr="009D7635">
        <w:rPr>
          <w:rFonts w:ascii="Times New Roman" w:hAnsi="Times New Roman" w:cs="Times New Roman"/>
          <w:color w:val="000000" w:themeColor="text1"/>
          <w:sz w:val="20"/>
          <w:szCs w:val="20"/>
          <w:lang w:val="en-US"/>
        </w:rPr>
        <w:t>Avicennism</w:t>
      </w:r>
      <w:proofErr w:type="spellEnd"/>
      <w:r w:rsidRPr="009D7635">
        <w:rPr>
          <w:rFonts w:ascii="Times New Roman" w:hAnsi="Times New Roman" w:cs="Times New Roman"/>
          <w:color w:val="000000" w:themeColor="text1"/>
          <w:sz w:val="20"/>
          <w:szCs w:val="20"/>
          <w:lang w:val="en-US"/>
        </w:rPr>
        <w:t xml:space="preserve"> which is not specifically religious. See </w:t>
      </w:r>
      <w:r w:rsidRPr="009D7635">
        <w:rPr>
          <w:rFonts w:ascii="Times New Roman" w:hAnsi="Times New Roman" w:cs="Times New Roman"/>
          <w:color w:val="000000" w:themeColor="text1"/>
          <w:sz w:val="20"/>
          <w:szCs w:val="20"/>
          <w:lang w:eastAsia="en-GB"/>
        </w:rPr>
        <w:t xml:space="preserve">de </w:t>
      </w:r>
      <w:proofErr w:type="spellStart"/>
      <w:r w:rsidRPr="009D7635">
        <w:rPr>
          <w:rFonts w:ascii="Times New Roman" w:hAnsi="Times New Roman" w:cs="Times New Roman"/>
          <w:color w:val="000000" w:themeColor="text1"/>
          <w:sz w:val="20"/>
          <w:szCs w:val="20"/>
          <w:lang w:eastAsia="en-GB"/>
        </w:rPr>
        <w:t>Vaux’s</w:t>
      </w:r>
      <w:proofErr w:type="spellEnd"/>
      <w:r w:rsidRPr="009D7635">
        <w:rPr>
          <w:rFonts w:ascii="Times New Roman" w:hAnsi="Times New Roman" w:cs="Times New Roman"/>
          <w:color w:val="000000" w:themeColor="text1"/>
          <w:sz w:val="20"/>
          <w:szCs w:val="20"/>
          <w:lang w:eastAsia="en-GB"/>
        </w:rPr>
        <w:t xml:space="preserve"> chapter, ‘Y-a-til eu un </w:t>
      </w:r>
      <w:proofErr w:type="spellStart"/>
      <w:r w:rsidRPr="009D7635">
        <w:rPr>
          <w:rFonts w:ascii="Times New Roman" w:hAnsi="Times New Roman" w:cs="Times New Roman"/>
          <w:color w:val="000000" w:themeColor="text1"/>
          <w:sz w:val="20"/>
          <w:szCs w:val="20"/>
          <w:lang w:eastAsia="en-GB"/>
        </w:rPr>
        <w:t>Avicennisme</w:t>
      </w:r>
      <w:proofErr w:type="spellEnd"/>
      <w:r w:rsidRPr="009D7635">
        <w:rPr>
          <w:rFonts w:ascii="Times New Roman" w:hAnsi="Times New Roman" w:cs="Times New Roman"/>
          <w:color w:val="000000" w:themeColor="text1"/>
          <w:sz w:val="20"/>
          <w:szCs w:val="20"/>
          <w:lang w:eastAsia="en-GB"/>
        </w:rPr>
        <w:t xml:space="preserve"> Latin?’ in </w:t>
      </w:r>
      <w:r w:rsidRPr="009D7635">
        <w:rPr>
          <w:rFonts w:ascii="Times New Roman" w:hAnsi="Times New Roman" w:cs="Times New Roman"/>
          <w:i/>
          <w:color w:val="000000" w:themeColor="text1"/>
          <w:sz w:val="20"/>
          <w:szCs w:val="20"/>
          <w:lang w:eastAsia="en-GB"/>
        </w:rPr>
        <w:t xml:space="preserve">Notes et </w:t>
      </w:r>
      <w:proofErr w:type="spellStart"/>
      <w:r w:rsidRPr="009D7635">
        <w:rPr>
          <w:rFonts w:ascii="Times New Roman" w:hAnsi="Times New Roman" w:cs="Times New Roman"/>
          <w:i/>
          <w:color w:val="000000" w:themeColor="text1"/>
          <w:sz w:val="20"/>
          <w:szCs w:val="20"/>
          <w:lang w:eastAsia="en-GB"/>
        </w:rPr>
        <w:t>textes</w:t>
      </w:r>
      <w:proofErr w:type="spellEnd"/>
      <w:r w:rsidRPr="009D7635">
        <w:rPr>
          <w:rFonts w:ascii="Times New Roman" w:hAnsi="Times New Roman" w:cs="Times New Roman"/>
          <w:i/>
          <w:color w:val="000000" w:themeColor="text1"/>
          <w:sz w:val="20"/>
          <w:szCs w:val="20"/>
          <w:lang w:eastAsia="en-GB"/>
        </w:rPr>
        <w:t xml:space="preserve"> </w:t>
      </w:r>
      <w:proofErr w:type="spellStart"/>
      <w:r w:rsidRPr="009D7635">
        <w:rPr>
          <w:rFonts w:ascii="Times New Roman" w:hAnsi="Times New Roman" w:cs="Times New Roman"/>
          <w:i/>
          <w:color w:val="000000" w:themeColor="text1"/>
          <w:sz w:val="20"/>
          <w:szCs w:val="20"/>
          <w:lang w:eastAsia="en-GB"/>
        </w:rPr>
        <w:t>sur</w:t>
      </w:r>
      <w:proofErr w:type="spellEnd"/>
      <w:r w:rsidRPr="009D7635">
        <w:rPr>
          <w:rFonts w:ascii="Times New Roman" w:hAnsi="Times New Roman" w:cs="Times New Roman"/>
          <w:i/>
          <w:color w:val="000000" w:themeColor="text1"/>
          <w:sz w:val="20"/>
          <w:szCs w:val="20"/>
          <w:lang w:eastAsia="en-GB"/>
        </w:rPr>
        <w:t xml:space="preserve"> </w:t>
      </w:r>
      <w:proofErr w:type="spellStart"/>
      <w:r w:rsidRPr="009D7635">
        <w:rPr>
          <w:rFonts w:ascii="Times New Roman" w:hAnsi="Times New Roman" w:cs="Times New Roman"/>
          <w:i/>
          <w:color w:val="000000" w:themeColor="text1"/>
          <w:sz w:val="20"/>
          <w:szCs w:val="20"/>
          <w:lang w:eastAsia="en-GB"/>
        </w:rPr>
        <w:t>l'avicennisme</w:t>
      </w:r>
      <w:proofErr w:type="spellEnd"/>
      <w:r w:rsidRPr="009D7635">
        <w:rPr>
          <w:rFonts w:ascii="Times New Roman" w:hAnsi="Times New Roman" w:cs="Times New Roman"/>
          <w:i/>
          <w:color w:val="000000" w:themeColor="text1"/>
          <w:sz w:val="20"/>
          <w:szCs w:val="20"/>
          <w:lang w:eastAsia="en-GB"/>
        </w:rPr>
        <w:t xml:space="preserve"> latin aux </w:t>
      </w:r>
      <w:proofErr w:type="spellStart"/>
      <w:r w:rsidRPr="009D7635">
        <w:rPr>
          <w:rFonts w:ascii="Times New Roman" w:hAnsi="Times New Roman" w:cs="Times New Roman"/>
          <w:i/>
          <w:color w:val="000000" w:themeColor="text1"/>
          <w:sz w:val="20"/>
          <w:szCs w:val="20"/>
          <w:lang w:eastAsia="en-GB"/>
        </w:rPr>
        <w:t>confins</w:t>
      </w:r>
      <w:proofErr w:type="spellEnd"/>
      <w:r w:rsidRPr="009D7635">
        <w:rPr>
          <w:rFonts w:ascii="Times New Roman" w:hAnsi="Times New Roman" w:cs="Times New Roman"/>
          <w:i/>
          <w:color w:val="000000" w:themeColor="text1"/>
          <w:sz w:val="20"/>
          <w:szCs w:val="20"/>
          <w:lang w:eastAsia="en-GB"/>
        </w:rPr>
        <w:t xml:space="preserve"> des XII</w:t>
      </w:r>
      <w:r w:rsidRPr="009D7635">
        <w:rPr>
          <w:rFonts w:ascii="Times New Roman" w:hAnsi="Times New Roman" w:cs="Times New Roman"/>
          <w:i/>
          <w:color w:val="000000" w:themeColor="text1"/>
          <w:sz w:val="20"/>
          <w:szCs w:val="20"/>
          <w:vertAlign w:val="superscript"/>
          <w:lang w:eastAsia="en-GB"/>
        </w:rPr>
        <w:t>e</w:t>
      </w:r>
      <w:r w:rsidRPr="009D7635">
        <w:rPr>
          <w:rFonts w:ascii="Times New Roman" w:hAnsi="Times New Roman" w:cs="Times New Roman"/>
          <w:i/>
          <w:color w:val="000000" w:themeColor="text1"/>
          <w:sz w:val="20"/>
          <w:szCs w:val="20"/>
          <w:lang w:eastAsia="en-GB"/>
        </w:rPr>
        <w:t>-XIII</w:t>
      </w:r>
      <w:r w:rsidRPr="009D7635">
        <w:rPr>
          <w:rFonts w:ascii="Times New Roman" w:hAnsi="Times New Roman" w:cs="Times New Roman"/>
          <w:i/>
          <w:color w:val="000000" w:themeColor="text1"/>
          <w:sz w:val="20"/>
          <w:szCs w:val="20"/>
          <w:vertAlign w:val="superscript"/>
          <w:lang w:eastAsia="en-GB"/>
        </w:rPr>
        <w:t>e</w:t>
      </w:r>
      <w:r w:rsidRPr="009D7635">
        <w:rPr>
          <w:rFonts w:ascii="Times New Roman" w:hAnsi="Times New Roman" w:cs="Times New Roman"/>
          <w:i/>
          <w:color w:val="000000" w:themeColor="text1"/>
          <w:sz w:val="20"/>
          <w:szCs w:val="20"/>
          <w:lang w:eastAsia="en-GB"/>
        </w:rPr>
        <w:t xml:space="preserve"> </w:t>
      </w:r>
      <w:proofErr w:type="spellStart"/>
      <w:r w:rsidRPr="009D7635">
        <w:rPr>
          <w:rFonts w:ascii="Times New Roman" w:hAnsi="Times New Roman" w:cs="Times New Roman"/>
          <w:i/>
          <w:color w:val="000000" w:themeColor="text1"/>
          <w:sz w:val="20"/>
          <w:szCs w:val="20"/>
          <w:lang w:eastAsia="en-GB"/>
        </w:rPr>
        <w:t>siècles</w:t>
      </w:r>
      <w:proofErr w:type="spellEnd"/>
      <w:r w:rsidRPr="009D7635">
        <w:rPr>
          <w:rFonts w:ascii="Times New Roman" w:hAnsi="Times New Roman" w:cs="Times New Roman"/>
          <w:color w:val="000000" w:themeColor="text1"/>
          <w:sz w:val="20"/>
          <w:szCs w:val="20"/>
          <w:lang w:eastAsia="en-GB"/>
        </w:rPr>
        <w:t xml:space="preserve"> (Paris: Vrin, 1934), 9-15. </w:t>
      </w:r>
    </w:p>
  </w:footnote>
  <w:footnote w:id="103">
    <w:p w14:paraId="33B88A24" w14:textId="1990A121" w:rsidR="00B93ED5" w:rsidRPr="009D7635" w:rsidRDefault="00B93ED5" w:rsidP="00623868">
      <w:pPr>
        <w:autoSpaceDE w:val="0"/>
        <w:autoSpaceDN w:val="0"/>
        <w:adjustRightInd w:val="0"/>
        <w:ind w:right="-72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623868" w:rsidRPr="009D7635">
        <w:rPr>
          <w:rFonts w:ascii="Times New Roman" w:hAnsi="Times New Roman" w:cs="Times New Roman"/>
          <w:color w:val="000000" w:themeColor="text1"/>
          <w:sz w:val="20"/>
          <w:szCs w:val="20"/>
        </w:rPr>
        <w:t xml:space="preserve">See the following editions of the work: </w:t>
      </w:r>
      <w:r w:rsidRPr="009D7635">
        <w:rPr>
          <w:rFonts w:ascii="Times New Roman" w:hAnsi="Times New Roman" w:cs="Times New Roman"/>
          <w:i/>
          <w:color w:val="000000" w:themeColor="text1"/>
          <w:sz w:val="20"/>
          <w:szCs w:val="20"/>
          <w:lang w:val="en-US"/>
        </w:rPr>
        <w:t xml:space="preserve">Des </w:t>
      </w:r>
      <w:proofErr w:type="spellStart"/>
      <w:r w:rsidRPr="009D7635">
        <w:rPr>
          <w:rFonts w:ascii="Times New Roman" w:hAnsi="Times New Roman" w:cs="Times New Roman"/>
          <w:i/>
          <w:color w:val="000000" w:themeColor="text1"/>
          <w:sz w:val="20"/>
          <w:szCs w:val="20"/>
          <w:lang w:val="en-US"/>
        </w:rPr>
        <w:t>Dominicus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Gundissalinus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Schrift</w:t>
      </w:r>
      <w:proofErr w:type="spellEnd"/>
      <w:r w:rsidRPr="009D7635">
        <w:rPr>
          <w:rFonts w:ascii="Times New Roman" w:hAnsi="Times New Roman" w:cs="Times New Roman"/>
          <w:i/>
          <w:color w:val="000000" w:themeColor="text1"/>
          <w:sz w:val="20"/>
          <w:szCs w:val="20"/>
          <w:lang w:val="en-US"/>
        </w:rPr>
        <w:t xml:space="preserve"> von </w:t>
      </w:r>
      <w:proofErr w:type="spellStart"/>
      <w:r w:rsidRPr="009D7635">
        <w:rPr>
          <w:rFonts w:ascii="Times New Roman" w:hAnsi="Times New Roman" w:cs="Times New Roman"/>
          <w:i/>
          <w:color w:val="000000" w:themeColor="text1"/>
          <w:sz w:val="20"/>
          <w:szCs w:val="20"/>
          <w:lang w:val="en-US"/>
        </w:rPr>
        <w:t>dem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Hervorgange</w:t>
      </w:r>
      <w:proofErr w:type="spellEnd"/>
      <w:r w:rsidRPr="009D7635">
        <w:rPr>
          <w:rFonts w:ascii="Times New Roman" w:hAnsi="Times New Roman" w:cs="Times New Roman"/>
          <w:i/>
          <w:color w:val="000000" w:themeColor="text1"/>
          <w:sz w:val="20"/>
          <w:szCs w:val="20"/>
          <w:lang w:val="en-US"/>
        </w:rPr>
        <w:t xml:space="preserve"> der Welt</w:t>
      </w:r>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processione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mundi</w:t>
      </w:r>
      <w:proofErr w:type="spellEnd"/>
      <w:r w:rsidRPr="009D7635">
        <w:rPr>
          <w:rFonts w:ascii="Times New Roman" w:hAnsi="Times New Roman" w:cs="Times New Roman"/>
          <w:color w:val="000000" w:themeColor="text1"/>
          <w:sz w:val="20"/>
          <w:szCs w:val="20"/>
          <w:lang w:val="en-US"/>
        </w:rPr>
        <w:t xml:space="preserve">), ed. Georg Bülow (Münster: </w:t>
      </w:r>
      <w:proofErr w:type="spellStart"/>
      <w:r w:rsidRPr="009D7635">
        <w:rPr>
          <w:rFonts w:ascii="Times New Roman" w:hAnsi="Times New Roman" w:cs="Times New Roman"/>
          <w:color w:val="000000" w:themeColor="text1"/>
          <w:sz w:val="20"/>
          <w:szCs w:val="20"/>
          <w:lang w:val="en-US"/>
        </w:rPr>
        <w:t>Aschendorff</w:t>
      </w:r>
      <w:proofErr w:type="spellEnd"/>
      <w:r w:rsidRPr="009D7635">
        <w:rPr>
          <w:rFonts w:ascii="Times New Roman" w:hAnsi="Times New Roman" w:cs="Times New Roman"/>
          <w:color w:val="000000" w:themeColor="text1"/>
          <w:sz w:val="20"/>
          <w:szCs w:val="20"/>
          <w:lang w:val="en-US"/>
        </w:rPr>
        <w:t xml:space="preserve">, 1925). </w:t>
      </w:r>
      <w:r w:rsidR="00623868" w:rsidRPr="009D7635">
        <w:rPr>
          <w:rFonts w:ascii="Times New Roman" w:hAnsi="Times New Roman" w:cs="Times New Roman"/>
          <w:color w:val="000000" w:themeColor="text1"/>
          <w:sz w:val="20"/>
          <w:szCs w:val="20"/>
        </w:rPr>
        <w:t xml:space="preserve">John A. </w:t>
      </w:r>
      <w:proofErr w:type="spellStart"/>
      <w:r w:rsidR="00623868" w:rsidRPr="009D7635">
        <w:rPr>
          <w:rFonts w:ascii="Times New Roman" w:hAnsi="Times New Roman" w:cs="Times New Roman"/>
          <w:color w:val="000000" w:themeColor="text1"/>
          <w:sz w:val="20"/>
          <w:szCs w:val="20"/>
        </w:rPr>
        <w:t>Laumekis</w:t>
      </w:r>
      <w:proofErr w:type="spellEnd"/>
      <w:r w:rsidR="00623868" w:rsidRPr="009D7635">
        <w:rPr>
          <w:rFonts w:ascii="Times New Roman" w:hAnsi="Times New Roman" w:cs="Times New Roman"/>
          <w:color w:val="000000" w:themeColor="text1"/>
          <w:sz w:val="20"/>
          <w:szCs w:val="20"/>
        </w:rPr>
        <w:t xml:space="preserve"> (trans.), </w:t>
      </w:r>
      <w:proofErr w:type="spellStart"/>
      <w:r w:rsidR="00623868" w:rsidRPr="009D7635">
        <w:rPr>
          <w:rFonts w:ascii="Times New Roman" w:hAnsi="Times New Roman" w:cs="Times New Roman"/>
          <w:i/>
          <w:iCs/>
          <w:color w:val="000000" w:themeColor="text1"/>
          <w:sz w:val="20"/>
          <w:szCs w:val="20"/>
        </w:rPr>
        <w:t>Dominicus</w:t>
      </w:r>
      <w:proofErr w:type="spellEnd"/>
      <w:r w:rsidR="00623868" w:rsidRPr="009D7635">
        <w:rPr>
          <w:rFonts w:ascii="Times New Roman" w:hAnsi="Times New Roman" w:cs="Times New Roman"/>
          <w:i/>
          <w:iCs/>
          <w:color w:val="000000" w:themeColor="text1"/>
          <w:sz w:val="20"/>
          <w:szCs w:val="20"/>
        </w:rPr>
        <w:t xml:space="preserve"> </w:t>
      </w:r>
      <w:proofErr w:type="spellStart"/>
      <w:r w:rsidR="00623868" w:rsidRPr="009D7635">
        <w:rPr>
          <w:rFonts w:ascii="Times New Roman" w:hAnsi="Times New Roman" w:cs="Times New Roman"/>
          <w:i/>
          <w:iCs/>
          <w:color w:val="000000" w:themeColor="text1"/>
          <w:sz w:val="20"/>
          <w:szCs w:val="20"/>
        </w:rPr>
        <w:t>Gundissalinus</w:t>
      </w:r>
      <w:proofErr w:type="spellEnd"/>
      <w:r w:rsidR="00623868" w:rsidRPr="009D7635">
        <w:rPr>
          <w:rFonts w:ascii="Times New Roman" w:hAnsi="Times New Roman" w:cs="Times New Roman"/>
          <w:i/>
          <w:iCs/>
          <w:color w:val="000000" w:themeColor="text1"/>
          <w:sz w:val="20"/>
          <w:szCs w:val="20"/>
        </w:rPr>
        <w:t xml:space="preserve">: The Procession of the World (De </w:t>
      </w:r>
      <w:proofErr w:type="spellStart"/>
      <w:r w:rsidR="00623868" w:rsidRPr="009D7635">
        <w:rPr>
          <w:rFonts w:ascii="Times New Roman" w:hAnsi="Times New Roman" w:cs="Times New Roman"/>
          <w:i/>
          <w:iCs/>
          <w:color w:val="000000" w:themeColor="text1"/>
          <w:sz w:val="20"/>
          <w:szCs w:val="20"/>
        </w:rPr>
        <w:t>processione</w:t>
      </w:r>
      <w:proofErr w:type="spellEnd"/>
      <w:r w:rsidR="00623868" w:rsidRPr="009D7635">
        <w:rPr>
          <w:rFonts w:ascii="Times New Roman" w:hAnsi="Times New Roman" w:cs="Times New Roman"/>
          <w:i/>
          <w:iCs/>
          <w:color w:val="000000" w:themeColor="text1"/>
          <w:sz w:val="20"/>
          <w:szCs w:val="20"/>
        </w:rPr>
        <w:t xml:space="preserve"> </w:t>
      </w:r>
      <w:proofErr w:type="spellStart"/>
      <w:r w:rsidR="00623868" w:rsidRPr="009D7635">
        <w:rPr>
          <w:rFonts w:ascii="Times New Roman" w:hAnsi="Times New Roman" w:cs="Times New Roman"/>
          <w:i/>
          <w:iCs/>
          <w:color w:val="000000" w:themeColor="text1"/>
          <w:sz w:val="20"/>
          <w:szCs w:val="20"/>
        </w:rPr>
        <w:t>mundi</w:t>
      </w:r>
      <w:proofErr w:type="spellEnd"/>
      <w:r w:rsidR="00623868" w:rsidRPr="009D7635">
        <w:rPr>
          <w:rFonts w:ascii="Times New Roman" w:hAnsi="Times New Roman" w:cs="Times New Roman"/>
          <w:i/>
          <w:iCs/>
          <w:color w:val="000000" w:themeColor="text1"/>
          <w:sz w:val="20"/>
          <w:szCs w:val="20"/>
        </w:rPr>
        <w:t xml:space="preserve">) </w:t>
      </w:r>
      <w:r w:rsidR="00623868" w:rsidRPr="009D7635">
        <w:rPr>
          <w:rFonts w:ascii="Times New Roman" w:hAnsi="Times New Roman" w:cs="Times New Roman"/>
          <w:color w:val="000000" w:themeColor="text1"/>
          <w:sz w:val="20"/>
          <w:szCs w:val="20"/>
        </w:rPr>
        <w:t xml:space="preserve">(Marquette: Marquette University Press, 2002). </w:t>
      </w:r>
      <w:proofErr w:type="spellStart"/>
      <w:r w:rsidR="00623868" w:rsidRPr="009D7635">
        <w:rPr>
          <w:rFonts w:ascii="Times New Roman" w:hAnsi="Times New Roman" w:cs="Times New Roman"/>
          <w:color w:val="000000" w:themeColor="text1"/>
          <w:sz w:val="20"/>
          <w:szCs w:val="20"/>
        </w:rPr>
        <w:t>Dominicus</w:t>
      </w:r>
      <w:proofErr w:type="spellEnd"/>
      <w:r w:rsidR="00623868" w:rsidRPr="009D7635">
        <w:rPr>
          <w:rFonts w:ascii="Times New Roman" w:hAnsi="Times New Roman" w:cs="Times New Roman"/>
          <w:color w:val="000000" w:themeColor="text1"/>
          <w:sz w:val="20"/>
          <w:szCs w:val="20"/>
        </w:rPr>
        <w:t xml:space="preserve"> </w:t>
      </w:r>
      <w:proofErr w:type="spellStart"/>
      <w:r w:rsidR="00623868" w:rsidRPr="009D7635">
        <w:rPr>
          <w:rFonts w:ascii="Times New Roman" w:hAnsi="Times New Roman" w:cs="Times New Roman"/>
          <w:color w:val="000000" w:themeColor="text1"/>
          <w:sz w:val="20"/>
          <w:szCs w:val="20"/>
        </w:rPr>
        <w:t>Gundissalinus</w:t>
      </w:r>
      <w:proofErr w:type="spellEnd"/>
      <w:r w:rsidR="00623868" w:rsidRPr="009D7635">
        <w:rPr>
          <w:rFonts w:ascii="Times New Roman" w:hAnsi="Times New Roman" w:cs="Times New Roman"/>
          <w:color w:val="000000" w:themeColor="text1"/>
          <w:sz w:val="20"/>
          <w:szCs w:val="20"/>
        </w:rPr>
        <w:t xml:space="preserve">, </w:t>
      </w:r>
      <w:r w:rsidR="00623868" w:rsidRPr="009D7635">
        <w:rPr>
          <w:rFonts w:ascii="Times New Roman" w:hAnsi="Times New Roman" w:cs="Times New Roman"/>
          <w:i/>
          <w:iCs/>
          <w:color w:val="000000" w:themeColor="text1"/>
          <w:sz w:val="20"/>
          <w:szCs w:val="20"/>
        </w:rPr>
        <w:t xml:space="preserve">De </w:t>
      </w:r>
      <w:proofErr w:type="spellStart"/>
      <w:r w:rsidR="00623868" w:rsidRPr="009D7635">
        <w:rPr>
          <w:rFonts w:ascii="Times New Roman" w:hAnsi="Times New Roman" w:cs="Times New Roman"/>
          <w:i/>
          <w:iCs/>
          <w:color w:val="000000" w:themeColor="text1"/>
          <w:sz w:val="20"/>
          <w:szCs w:val="20"/>
        </w:rPr>
        <w:t>processione</w:t>
      </w:r>
      <w:proofErr w:type="spellEnd"/>
      <w:r w:rsidR="00623868" w:rsidRPr="009D7635">
        <w:rPr>
          <w:rFonts w:ascii="Times New Roman" w:hAnsi="Times New Roman" w:cs="Times New Roman"/>
          <w:i/>
          <w:iCs/>
          <w:color w:val="000000" w:themeColor="text1"/>
          <w:sz w:val="20"/>
          <w:szCs w:val="20"/>
        </w:rPr>
        <w:t xml:space="preserve"> </w:t>
      </w:r>
      <w:proofErr w:type="spellStart"/>
      <w:r w:rsidR="00623868" w:rsidRPr="009D7635">
        <w:rPr>
          <w:rFonts w:ascii="Times New Roman" w:hAnsi="Times New Roman" w:cs="Times New Roman"/>
          <w:i/>
          <w:iCs/>
          <w:color w:val="000000" w:themeColor="text1"/>
          <w:sz w:val="20"/>
          <w:szCs w:val="20"/>
        </w:rPr>
        <w:t>mundi</w:t>
      </w:r>
      <w:proofErr w:type="spellEnd"/>
      <w:r w:rsidR="00623868" w:rsidRPr="009D7635">
        <w:rPr>
          <w:rFonts w:ascii="Times New Roman" w:hAnsi="Times New Roman" w:cs="Times New Roman"/>
          <w:i/>
          <w:iCs/>
          <w:color w:val="000000" w:themeColor="text1"/>
          <w:sz w:val="20"/>
          <w:szCs w:val="20"/>
        </w:rPr>
        <w:t xml:space="preserve">, </w:t>
      </w:r>
      <w:r w:rsidR="00623868" w:rsidRPr="009D7635">
        <w:rPr>
          <w:rFonts w:ascii="Times New Roman" w:hAnsi="Times New Roman" w:cs="Times New Roman"/>
          <w:color w:val="000000" w:themeColor="text1"/>
          <w:sz w:val="20"/>
          <w:szCs w:val="20"/>
        </w:rPr>
        <w:t xml:space="preserve">ed. </w:t>
      </w:r>
      <w:r w:rsidR="00B0640D" w:rsidRPr="009D7635">
        <w:rPr>
          <w:rFonts w:ascii="Times New Roman" w:hAnsi="Times New Roman" w:cs="Times New Roman"/>
          <w:color w:val="000000" w:themeColor="text1"/>
          <w:sz w:val="20"/>
          <w:szCs w:val="20"/>
        </w:rPr>
        <w:t xml:space="preserve">Maria </w:t>
      </w:r>
      <w:proofErr w:type="spellStart"/>
      <w:r w:rsidR="00623868" w:rsidRPr="009D7635">
        <w:rPr>
          <w:rFonts w:ascii="Times New Roman" w:hAnsi="Times New Roman" w:cs="Times New Roman"/>
          <w:color w:val="000000" w:themeColor="text1"/>
          <w:sz w:val="20"/>
          <w:szCs w:val="20"/>
        </w:rPr>
        <w:t>Jesús</w:t>
      </w:r>
      <w:proofErr w:type="spellEnd"/>
      <w:r w:rsidR="00623868" w:rsidRPr="009D7635">
        <w:rPr>
          <w:rFonts w:ascii="Times New Roman" w:hAnsi="Times New Roman" w:cs="Times New Roman"/>
          <w:color w:val="000000" w:themeColor="text1"/>
          <w:sz w:val="20"/>
          <w:szCs w:val="20"/>
        </w:rPr>
        <w:t xml:space="preserve"> Soto Bruno </w:t>
      </w:r>
      <w:r w:rsidR="00B0640D" w:rsidRPr="009D7635">
        <w:rPr>
          <w:rFonts w:ascii="Times New Roman" w:hAnsi="Times New Roman" w:cs="Times New Roman"/>
          <w:color w:val="000000" w:themeColor="text1"/>
          <w:sz w:val="20"/>
          <w:szCs w:val="20"/>
        </w:rPr>
        <w:t xml:space="preserve">and </w:t>
      </w:r>
      <w:r w:rsidR="00623868" w:rsidRPr="009D7635">
        <w:rPr>
          <w:rFonts w:ascii="Times New Roman" w:hAnsi="Times New Roman" w:cs="Times New Roman"/>
          <w:color w:val="000000" w:themeColor="text1"/>
          <w:sz w:val="20"/>
          <w:szCs w:val="20"/>
        </w:rPr>
        <w:t xml:space="preserve">Concepción Alonso del Real (Pamplona, EUNSA, 1999). </w:t>
      </w:r>
    </w:p>
  </w:footnote>
  <w:footnote w:id="104">
    <w:p w14:paraId="499862A4" w14:textId="5AE5602A" w:rsidR="00B93ED5" w:rsidRPr="009D7635" w:rsidRDefault="00B93ED5" w:rsidP="006A5A46">
      <w:pPr>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N. Polloni, ‘</w:t>
      </w:r>
      <w:proofErr w:type="spellStart"/>
      <w:r w:rsidRPr="009D7635">
        <w:rPr>
          <w:rFonts w:ascii="Times New Roman" w:hAnsi="Times New Roman" w:cs="Times New Roman"/>
          <w:color w:val="000000" w:themeColor="text1"/>
          <w:sz w:val="20"/>
          <w:szCs w:val="20"/>
          <w:lang w:val="en-US"/>
        </w:rPr>
        <w:t>Toledan</w:t>
      </w:r>
      <w:proofErr w:type="spellEnd"/>
      <w:r w:rsidRPr="009D7635">
        <w:rPr>
          <w:rFonts w:ascii="Times New Roman" w:hAnsi="Times New Roman" w:cs="Times New Roman"/>
          <w:color w:val="000000" w:themeColor="text1"/>
          <w:sz w:val="20"/>
          <w:szCs w:val="20"/>
          <w:lang w:val="en-US"/>
        </w:rPr>
        <w:t xml:space="preserve"> Ontologies: </w:t>
      </w:r>
      <w:proofErr w:type="spellStart"/>
      <w:r w:rsidRPr="009D7635">
        <w:rPr>
          <w:rFonts w:ascii="Times New Roman" w:hAnsi="Times New Roman" w:cs="Times New Roman"/>
          <w:color w:val="000000" w:themeColor="text1"/>
          <w:sz w:val="20"/>
          <w:szCs w:val="20"/>
          <w:lang w:val="en-US"/>
        </w:rPr>
        <w:t>Gundissalinus</w:t>
      </w:r>
      <w:proofErr w:type="spellEnd"/>
      <w:r w:rsidRPr="009D7635">
        <w:rPr>
          <w:rFonts w:ascii="Times New Roman" w:hAnsi="Times New Roman" w:cs="Times New Roman"/>
          <w:color w:val="000000" w:themeColor="text1"/>
          <w:sz w:val="20"/>
          <w:szCs w:val="20"/>
          <w:lang w:val="en-US"/>
        </w:rPr>
        <w:t xml:space="preserve">, Ibn </w:t>
      </w:r>
      <w:proofErr w:type="spellStart"/>
      <w:r w:rsidRPr="009D7635">
        <w:rPr>
          <w:rFonts w:ascii="Times New Roman" w:hAnsi="Times New Roman" w:cs="Times New Roman"/>
          <w:color w:val="000000" w:themeColor="text1"/>
          <w:sz w:val="20"/>
          <w:szCs w:val="20"/>
          <w:lang w:val="en-US"/>
        </w:rPr>
        <w:t>Daud</w:t>
      </w:r>
      <w:proofErr w:type="spellEnd"/>
      <w:r w:rsidRPr="009D7635">
        <w:rPr>
          <w:rFonts w:ascii="Times New Roman" w:hAnsi="Times New Roman" w:cs="Times New Roman"/>
          <w:color w:val="000000" w:themeColor="text1"/>
          <w:sz w:val="20"/>
          <w:szCs w:val="20"/>
          <w:lang w:val="en-US"/>
        </w:rPr>
        <w:t xml:space="preserve">, and the Problems of </w:t>
      </w:r>
      <w:proofErr w:type="spellStart"/>
      <w:r w:rsidRPr="009D7635">
        <w:rPr>
          <w:rFonts w:ascii="Times New Roman" w:hAnsi="Times New Roman" w:cs="Times New Roman"/>
          <w:color w:val="000000" w:themeColor="text1"/>
          <w:sz w:val="20"/>
          <w:szCs w:val="20"/>
          <w:lang w:val="en-US"/>
        </w:rPr>
        <w:t>Gabirolian</w:t>
      </w:r>
      <w:proofErr w:type="spellEnd"/>
      <w:r w:rsidRPr="009D7635">
        <w:rPr>
          <w:rFonts w:ascii="Times New Roman" w:hAnsi="Times New Roman" w:cs="Times New Roman"/>
          <w:color w:val="000000" w:themeColor="text1"/>
          <w:sz w:val="20"/>
          <w:szCs w:val="20"/>
          <w:lang w:val="en-US"/>
        </w:rPr>
        <w:t xml:space="preserve"> Hylomorphism,’ in </w:t>
      </w:r>
      <w:r w:rsidRPr="009D7635">
        <w:rPr>
          <w:rFonts w:ascii="Times New Roman" w:hAnsi="Times New Roman" w:cs="Times New Roman"/>
          <w:i/>
          <w:color w:val="000000" w:themeColor="text1"/>
          <w:sz w:val="20"/>
          <w:szCs w:val="20"/>
          <w:lang w:val="en-US"/>
        </w:rPr>
        <w:t>Appropriation, Interpretation and Criticism: Philosophical and Theological Exchanges Between the Arabic, Hebrew and Latin Intellectual Traditions</w:t>
      </w:r>
      <w:r w:rsidR="009120F6" w:rsidRPr="009D7635">
        <w:rPr>
          <w:rFonts w:ascii="Times New Roman" w:hAnsi="Times New Roman" w:cs="Times New Roman"/>
          <w:i/>
          <w:color w:val="000000" w:themeColor="text1"/>
          <w:sz w:val="20"/>
          <w:szCs w:val="20"/>
          <w:lang w:val="en-US"/>
        </w:rPr>
        <w:t xml:space="preserve">, </w:t>
      </w:r>
      <w:r w:rsidR="009120F6" w:rsidRPr="009D7635">
        <w:rPr>
          <w:rFonts w:ascii="Times New Roman" w:hAnsi="Times New Roman" w:cs="Times New Roman"/>
          <w:iCs/>
          <w:color w:val="000000" w:themeColor="text1"/>
          <w:sz w:val="20"/>
          <w:szCs w:val="20"/>
          <w:lang w:val="en-US"/>
        </w:rPr>
        <w:t xml:space="preserve">ed. </w:t>
      </w:r>
      <w:r w:rsidR="009120F6" w:rsidRPr="009D7635">
        <w:rPr>
          <w:rFonts w:ascii="Times New Roman" w:hAnsi="Times New Roman" w:cs="Times New Roman"/>
          <w:color w:val="000000" w:themeColor="text1"/>
          <w:sz w:val="20"/>
          <w:szCs w:val="20"/>
          <w:lang w:val="en-US"/>
        </w:rPr>
        <w:t>Alexander Fidora and Nicola Polloni</w:t>
      </w:r>
      <w:r w:rsidRPr="009D7635">
        <w:rPr>
          <w:rFonts w:ascii="Times New Roman" w:hAnsi="Times New Roman" w:cs="Times New Roman"/>
          <w:color w:val="000000" w:themeColor="text1"/>
          <w:sz w:val="20"/>
          <w:szCs w:val="20"/>
          <w:lang w:val="en-US"/>
        </w:rPr>
        <w:t xml:space="preserve"> (Barcelona/Rome: </w:t>
      </w:r>
      <w:r w:rsidR="00B33E0A" w:rsidRPr="009D7635">
        <w:rPr>
          <w:rFonts w:ascii="Times New Roman" w:hAnsi="Times New Roman" w:cs="Times New Roman"/>
          <w:color w:val="000000" w:themeColor="text1"/>
          <w:sz w:val="20"/>
          <w:szCs w:val="20"/>
          <w:shd w:val="clear" w:color="auto" w:fill="FFFFFF"/>
        </w:rPr>
        <w:t>Fédération</w:t>
      </w:r>
      <w:r w:rsidR="00C25698" w:rsidRPr="009D7635">
        <w:rPr>
          <w:rFonts w:ascii="Times New Roman" w:hAnsi="Times New Roman" w:cs="Times New Roman"/>
          <w:color w:val="000000" w:themeColor="text1"/>
          <w:sz w:val="20"/>
          <w:szCs w:val="20"/>
          <w:shd w:val="clear" w:color="auto" w:fill="FFFFFF"/>
        </w:rPr>
        <w:t xml:space="preserve"> </w:t>
      </w:r>
      <w:r w:rsidRPr="009D7635">
        <w:rPr>
          <w:rFonts w:ascii="Times New Roman" w:hAnsi="Times New Roman" w:cs="Times New Roman"/>
          <w:color w:val="000000" w:themeColor="text1"/>
          <w:sz w:val="20"/>
          <w:szCs w:val="20"/>
          <w:shd w:val="clear" w:color="auto" w:fill="FFFFFF"/>
        </w:rPr>
        <w:t xml:space="preserve">Internationale des </w:t>
      </w:r>
      <w:proofErr w:type="spellStart"/>
      <w:r w:rsidRPr="009D7635">
        <w:rPr>
          <w:rFonts w:ascii="Times New Roman" w:hAnsi="Times New Roman" w:cs="Times New Roman"/>
          <w:color w:val="000000" w:themeColor="text1"/>
          <w:sz w:val="20"/>
          <w:szCs w:val="20"/>
          <w:shd w:val="clear" w:color="auto" w:fill="FFFFFF"/>
        </w:rPr>
        <w:t>Instituts</w:t>
      </w:r>
      <w:proofErr w:type="spellEnd"/>
      <w:r w:rsidRPr="009D7635">
        <w:rPr>
          <w:rFonts w:ascii="Times New Roman" w:hAnsi="Times New Roman" w:cs="Times New Roman"/>
          <w:color w:val="000000" w:themeColor="text1"/>
          <w:sz w:val="20"/>
          <w:szCs w:val="20"/>
          <w:shd w:val="clear" w:color="auto" w:fill="FFFFFF"/>
        </w:rPr>
        <w:t xml:space="preserve"> d'Etudes </w:t>
      </w:r>
      <w:proofErr w:type="spellStart"/>
      <w:r w:rsidR="00C25698" w:rsidRPr="009D7635">
        <w:rPr>
          <w:rFonts w:ascii="Times New Roman" w:hAnsi="Times New Roman" w:cs="Times New Roman"/>
          <w:color w:val="000000" w:themeColor="text1"/>
          <w:sz w:val="20"/>
          <w:szCs w:val="20"/>
          <w:shd w:val="clear" w:color="auto" w:fill="FFFFFF"/>
        </w:rPr>
        <w:t>Médiévales</w:t>
      </w:r>
      <w:proofErr w:type="spellEnd"/>
      <w:r w:rsidRPr="009D7635">
        <w:rPr>
          <w:rFonts w:ascii="Times New Roman" w:hAnsi="Times New Roman" w:cs="Times New Roman"/>
          <w:color w:val="000000" w:themeColor="text1"/>
          <w:sz w:val="20"/>
          <w:szCs w:val="20"/>
          <w:shd w:val="clear" w:color="auto" w:fill="FFFFFF"/>
        </w:rPr>
        <w:t>, 2017</w:t>
      </w:r>
      <w:r w:rsidRPr="009D7635">
        <w:rPr>
          <w:rFonts w:ascii="Times New Roman" w:hAnsi="Times New Roman" w:cs="Times New Roman"/>
          <w:color w:val="000000" w:themeColor="text1"/>
          <w:sz w:val="20"/>
          <w:szCs w:val="20"/>
        </w:rPr>
        <w:t>), 34</w:t>
      </w:r>
      <w:r w:rsidRPr="009D7635">
        <w:rPr>
          <w:rFonts w:ascii="Times New Roman" w:hAnsi="Times New Roman" w:cs="Times New Roman"/>
          <w:color w:val="000000" w:themeColor="text1"/>
          <w:sz w:val="20"/>
          <w:szCs w:val="20"/>
          <w:lang w:val="en-US"/>
        </w:rPr>
        <w:t xml:space="preserve">. </w:t>
      </w:r>
      <w:r w:rsidR="000D37F2" w:rsidRPr="009D7635">
        <w:rPr>
          <w:rFonts w:ascii="Times New Roman" w:hAnsi="Times New Roman" w:cs="Times New Roman"/>
          <w:color w:val="000000" w:themeColor="text1"/>
          <w:sz w:val="20"/>
          <w:szCs w:val="20"/>
          <w:lang w:val="en-US"/>
        </w:rPr>
        <w:t xml:space="preserve">See also </w:t>
      </w:r>
      <w:r w:rsidR="008A7BB2" w:rsidRPr="009D7635">
        <w:rPr>
          <w:rFonts w:ascii="Times New Roman" w:hAnsi="Times New Roman" w:cs="Times New Roman"/>
          <w:color w:val="000000" w:themeColor="text1"/>
          <w:sz w:val="20"/>
          <w:szCs w:val="20"/>
          <w:lang w:val="en-US"/>
        </w:rPr>
        <w:t xml:space="preserve">Polloni, </w:t>
      </w:r>
      <w:r w:rsidR="008A7BB2" w:rsidRPr="009D7635">
        <w:rPr>
          <w:rFonts w:ascii="Times New Roman" w:hAnsi="Times New Roman" w:cs="Times New Roman"/>
          <w:i/>
          <w:iCs/>
          <w:color w:val="000000" w:themeColor="text1"/>
          <w:sz w:val="20"/>
          <w:szCs w:val="20"/>
          <w:lang w:val="en-US"/>
        </w:rPr>
        <w:t xml:space="preserve">The Twelfth-Century Renewal of Latin Metaphysics, </w:t>
      </w:r>
      <w:r w:rsidR="008A7BB2" w:rsidRPr="009D7635">
        <w:rPr>
          <w:rFonts w:ascii="Times New Roman" w:hAnsi="Times New Roman" w:cs="Times New Roman"/>
          <w:color w:val="000000" w:themeColor="text1"/>
          <w:sz w:val="20"/>
          <w:szCs w:val="20"/>
          <w:lang w:val="en-US"/>
        </w:rPr>
        <w:t xml:space="preserve">261. </w:t>
      </w:r>
      <w:r w:rsidRPr="009D7635">
        <w:rPr>
          <w:rFonts w:ascii="Times New Roman" w:hAnsi="Times New Roman" w:cs="Times New Roman"/>
          <w:color w:val="000000" w:themeColor="text1"/>
          <w:sz w:val="20"/>
          <w:szCs w:val="20"/>
        </w:rPr>
        <w:t xml:space="preserve">James A. </w:t>
      </w:r>
      <w:proofErr w:type="spellStart"/>
      <w:r w:rsidRPr="009D7635">
        <w:rPr>
          <w:rFonts w:ascii="Times New Roman" w:hAnsi="Times New Roman" w:cs="Times New Roman"/>
          <w:color w:val="000000" w:themeColor="text1"/>
          <w:sz w:val="20"/>
          <w:szCs w:val="20"/>
        </w:rPr>
        <w:t>Weisheipl</w:t>
      </w:r>
      <w:proofErr w:type="spellEnd"/>
      <w:r w:rsidRPr="009D7635">
        <w:rPr>
          <w:rFonts w:ascii="Times New Roman" w:hAnsi="Times New Roman" w:cs="Times New Roman"/>
          <w:color w:val="000000" w:themeColor="text1"/>
          <w:sz w:val="20"/>
          <w:szCs w:val="20"/>
        </w:rPr>
        <w:t>, ‘</w:t>
      </w:r>
      <w:proofErr w:type="spellStart"/>
      <w:r w:rsidRPr="009D7635">
        <w:rPr>
          <w:rFonts w:ascii="Times New Roman" w:hAnsi="Times New Roman" w:cs="Times New Roman"/>
          <w:color w:val="000000" w:themeColor="text1"/>
          <w:sz w:val="20"/>
          <w:szCs w:val="20"/>
        </w:rPr>
        <w:t>Albertus</w:t>
      </w:r>
      <w:proofErr w:type="spellEnd"/>
      <w:r w:rsidRPr="009D7635">
        <w:rPr>
          <w:rFonts w:ascii="Times New Roman" w:hAnsi="Times New Roman" w:cs="Times New Roman"/>
          <w:color w:val="000000" w:themeColor="text1"/>
          <w:sz w:val="20"/>
          <w:szCs w:val="20"/>
        </w:rPr>
        <w:t xml:space="preserve"> Magnus and Universal Hylomorphism,’ </w:t>
      </w:r>
      <w:r w:rsidRPr="009D7635">
        <w:rPr>
          <w:rFonts w:ascii="Times New Roman" w:hAnsi="Times New Roman" w:cs="Times New Roman"/>
          <w:color w:val="000000" w:themeColor="text1"/>
          <w:sz w:val="20"/>
          <w:szCs w:val="20"/>
          <w:lang w:val="en-US"/>
        </w:rPr>
        <w:t>248</w:t>
      </w:r>
      <w:r w:rsidR="00870793" w:rsidRPr="009D7635">
        <w:rPr>
          <w:rFonts w:ascii="Times New Roman" w:hAnsi="Times New Roman" w:cs="Times New Roman"/>
          <w:color w:val="000000" w:themeColor="text1"/>
          <w:sz w:val="20"/>
          <w:szCs w:val="20"/>
          <w:lang w:val="en-US"/>
        </w:rPr>
        <w:t>.</w:t>
      </w:r>
    </w:p>
  </w:footnote>
  <w:footnote w:id="105">
    <w:p w14:paraId="760D0611" w14:textId="3C2FB3FE"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Judith Carol Wilcox, ‘The Transmission and Influence of </w:t>
      </w:r>
      <w:proofErr w:type="spellStart"/>
      <w:r w:rsidRPr="009D7635">
        <w:rPr>
          <w:rFonts w:ascii="Times New Roman" w:hAnsi="Times New Roman" w:cs="Times New Roman"/>
          <w:color w:val="000000" w:themeColor="text1"/>
          <w:lang w:val="en-US"/>
        </w:rPr>
        <w:t>Qusta</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ibn</w:t>
      </w:r>
      <w:proofErr w:type="spellEnd"/>
      <w:r w:rsidRPr="009D7635">
        <w:rPr>
          <w:rFonts w:ascii="Times New Roman" w:hAnsi="Times New Roman" w:cs="Times New Roman"/>
          <w:color w:val="000000" w:themeColor="text1"/>
          <w:lang w:val="en-US"/>
        </w:rPr>
        <w:t xml:space="preserve"> Luca’s </w:t>
      </w:r>
      <w:r w:rsidRPr="009D7635">
        <w:rPr>
          <w:rFonts w:ascii="Times New Roman" w:hAnsi="Times New Roman" w:cs="Times New Roman"/>
          <w:i/>
          <w:color w:val="000000" w:themeColor="text1"/>
          <w:lang w:val="en-US"/>
        </w:rPr>
        <w:t xml:space="preserve">On the Difference </w:t>
      </w:r>
      <w:r w:rsidR="00584177" w:rsidRPr="009D7635">
        <w:rPr>
          <w:rFonts w:ascii="Times New Roman" w:hAnsi="Times New Roman" w:cs="Times New Roman"/>
          <w:i/>
          <w:color w:val="000000" w:themeColor="text1"/>
          <w:lang w:val="en-US"/>
        </w:rPr>
        <w:t>B</w:t>
      </w:r>
      <w:r w:rsidRPr="009D7635">
        <w:rPr>
          <w:rFonts w:ascii="Times New Roman" w:hAnsi="Times New Roman" w:cs="Times New Roman"/>
          <w:i/>
          <w:color w:val="000000" w:themeColor="text1"/>
          <w:lang w:val="en-US"/>
        </w:rPr>
        <w:t>etween Spirit and the Soul</w:t>
      </w:r>
      <w:r w:rsidRPr="009D7635">
        <w:rPr>
          <w:rFonts w:ascii="Times New Roman" w:hAnsi="Times New Roman" w:cs="Times New Roman"/>
          <w:color w:val="000000" w:themeColor="text1"/>
          <w:lang w:val="en-US"/>
        </w:rPr>
        <w:t xml:space="preserve">,’ PhD dissertation (Ann Arbor: UMI, 1985), </w:t>
      </w:r>
      <w:r w:rsidRPr="009D7635">
        <w:rPr>
          <w:rFonts w:ascii="Times New Roman" w:hAnsi="Times New Roman" w:cs="Times New Roman"/>
          <w:color w:val="000000" w:themeColor="text1"/>
        </w:rPr>
        <w:t>209</w:t>
      </w:r>
      <w:r w:rsidR="007577B7" w:rsidRPr="009D7635">
        <w:rPr>
          <w:rFonts w:ascii="Times New Roman" w:hAnsi="Times New Roman" w:cs="Times New Roman"/>
          <w:color w:val="000000" w:themeColor="text1"/>
        </w:rPr>
        <w:t>.</w:t>
      </w:r>
    </w:p>
  </w:footnote>
  <w:footnote w:id="106">
    <w:p w14:paraId="6CAEA7DE"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 </w:t>
      </w:r>
      <w:proofErr w:type="spellStart"/>
      <w:r w:rsidRPr="009D7635">
        <w:rPr>
          <w:rFonts w:ascii="Times New Roman" w:hAnsi="Times New Roman" w:cs="Times New Roman"/>
          <w:color w:val="000000" w:themeColor="text1"/>
        </w:rPr>
        <w:t>McGinn</w:t>
      </w:r>
      <w:proofErr w:type="spellEnd"/>
      <w:r w:rsidRPr="009D7635">
        <w:rPr>
          <w:rFonts w:ascii="Times New Roman" w:hAnsi="Times New Roman" w:cs="Times New Roman"/>
          <w:color w:val="000000" w:themeColor="text1"/>
        </w:rPr>
        <w:t xml:space="preserve">, ‘Introduction,’ in </w:t>
      </w:r>
      <w:r w:rsidRPr="009D7635">
        <w:rPr>
          <w:rFonts w:ascii="Times New Roman" w:hAnsi="Times New Roman" w:cs="Times New Roman"/>
          <w:i/>
          <w:color w:val="000000" w:themeColor="text1"/>
        </w:rPr>
        <w:t>Three Treatises on Man</w:t>
      </w:r>
      <w:r w:rsidRPr="009D7635">
        <w:rPr>
          <w:rFonts w:ascii="Times New Roman" w:hAnsi="Times New Roman" w:cs="Times New Roman"/>
          <w:color w:val="000000" w:themeColor="text1"/>
        </w:rPr>
        <w:t>, 24.</w:t>
      </w:r>
    </w:p>
  </w:footnote>
  <w:footnote w:id="107">
    <w:p w14:paraId="036AECDC" w14:textId="497C7F42" w:rsidR="00B93ED5" w:rsidRPr="009D7635" w:rsidRDefault="00B93ED5" w:rsidP="006A5A46">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Carl Sigmund Baruch</w:t>
      </w:r>
      <w:r w:rsidR="007A4275"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ed.</w:t>
      </w:r>
      <w:r w:rsidR="007A4275"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Excerpta</w:t>
      </w:r>
      <w:proofErr w:type="spellEnd"/>
      <w:r w:rsidRPr="009D7635">
        <w:rPr>
          <w:rFonts w:ascii="Times New Roman" w:hAnsi="Times New Roman" w:cs="Times New Roman"/>
          <w:i/>
          <w:color w:val="000000" w:themeColor="text1"/>
          <w:sz w:val="20"/>
          <w:szCs w:val="20"/>
        </w:rPr>
        <w:t xml:space="preserve"> e </w:t>
      </w:r>
      <w:proofErr w:type="spellStart"/>
      <w:r w:rsidRPr="009D7635">
        <w:rPr>
          <w:rFonts w:ascii="Times New Roman" w:hAnsi="Times New Roman" w:cs="Times New Roman"/>
          <w:i/>
          <w:color w:val="000000" w:themeColor="text1"/>
          <w:sz w:val="20"/>
          <w:szCs w:val="20"/>
        </w:rPr>
        <w:t>libro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Alfredi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Angelici</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motu</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cordis</w:t>
      </w:r>
      <w:proofErr w:type="spellEnd"/>
      <w:r w:rsidRPr="009D7635">
        <w:rPr>
          <w:rFonts w:ascii="Times New Roman" w:hAnsi="Times New Roman" w:cs="Times New Roman"/>
          <w:i/>
          <w:color w:val="000000" w:themeColor="text1"/>
          <w:sz w:val="20"/>
          <w:szCs w:val="20"/>
        </w:rPr>
        <w:t xml:space="preserve"> item Costa Ben </w:t>
      </w:r>
      <w:proofErr w:type="spellStart"/>
      <w:r w:rsidRPr="009D7635">
        <w:rPr>
          <w:rFonts w:ascii="Times New Roman" w:hAnsi="Times New Roman" w:cs="Times New Roman"/>
          <w:i/>
          <w:color w:val="000000" w:themeColor="text1"/>
          <w:sz w:val="20"/>
          <w:szCs w:val="20"/>
        </w:rPr>
        <w:t>Lucae</w:t>
      </w:r>
      <w:proofErr w:type="spellEnd"/>
      <w:r w:rsidRPr="009D7635">
        <w:rPr>
          <w:rFonts w:ascii="Times New Roman" w:hAnsi="Times New Roman" w:cs="Times New Roman"/>
          <w:i/>
          <w:color w:val="000000" w:themeColor="text1"/>
          <w:sz w:val="20"/>
          <w:szCs w:val="20"/>
        </w:rPr>
        <w:t xml:space="preserve"> De differentia </w:t>
      </w:r>
      <w:proofErr w:type="spellStart"/>
      <w:r w:rsidRPr="009D7635">
        <w:rPr>
          <w:rFonts w:ascii="Times New Roman" w:hAnsi="Times New Roman" w:cs="Times New Roman"/>
          <w:i/>
          <w:color w:val="000000" w:themeColor="text1"/>
          <w:sz w:val="20"/>
          <w:szCs w:val="20"/>
        </w:rPr>
        <w:t>animae</w:t>
      </w:r>
      <w:proofErr w:type="spellEnd"/>
      <w:r w:rsidRPr="009D7635">
        <w:rPr>
          <w:rFonts w:ascii="Times New Roman" w:hAnsi="Times New Roman" w:cs="Times New Roman"/>
          <w:i/>
          <w:color w:val="000000" w:themeColor="text1"/>
          <w:sz w:val="20"/>
          <w:szCs w:val="20"/>
        </w:rPr>
        <w:t xml:space="preserve"> et spiritus liber translates a Johanne </w:t>
      </w:r>
      <w:proofErr w:type="spellStart"/>
      <w:r w:rsidRPr="009D7635">
        <w:rPr>
          <w:rFonts w:ascii="Times New Roman" w:hAnsi="Times New Roman" w:cs="Times New Roman"/>
          <w:i/>
          <w:color w:val="000000" w:themeColor="text1"/>
          <w:sz w:val="20"/>
          <w:szCs w:val="20"/>
        </w:rPr>
        <w:t>Hispalensi</w:t>
      </w:r>
      <w:proofErr w:type="spellEnd"/>
      <w:r w:rsidRPr="009D7635">
        <w:rPr>
          <w:rFonts w:ascii="Times New Roman" w:hAnsi="Times New Roman" w:cs="Times New Roman"/>
          <w:color w:val="000000" w:themeColor="text1"/>
          <w:sz w:val="20"/>
          <w:szCs w:val="20"/>
        </w:rPr>
        <w:t xml:space="preserve"> (Innsbruck: Verlag der </w:t>
      </w:r>
      <w:proofErr w:type="spellStart"/>
      <w:r w:rsidRPr="009D7635">
        <w:rPr>
          <w:rFonts w:ascii="Times New Roman" w:hAnsi="Times New Roman" w:cs="Times New Roman"/>
          <w:color w:val="000000" w:themeColor="text1"/>
          <w:sz w:val="20"/>
          <w:szCs w:val="20"/>
        </w:rPr>
        <w:t>Wagnerschen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Universitaets</w:t>
      </w:r>
      <w:proofErr w:type="spellEnd"/>
      <w:r w:rsidRPr="009D7635">
        <w:rPr>
          <w:rFonts w:ascii="Times New Roman" w:hAnsi="Times New Roman" w:cs="Times New Roman"/>
          <w:color w:val="000000" w:themeColor="text1"/>
          <w:sz w:val="20"/>
          <w:szCs w:val="20"/>
        </w:rPr>
        <w:t>-</w:t>
      </w:r>
      <w:proofErr w:type="spellStart"/>
      <w:r w:rsidRPr="009D7635">
        <w:rPr>
          <w:rFonts w:ascii="Times New Roman" w:hAnsi="Times New Roman" w:cs="Times New Roman"/>
          <w:color w:val="000000" w:themeColor="text1"/>
          <w:sz w:val="20"/>
          <w:szCs w:val="20"/>
        </w:rPr>
        <w:t>Buchhandlung</w:t>
      </w:r>
      <w:proofErr w:type="spellEnd"/>
      <w:r w:rsidRPr="009D7635">
        <w:rPr>
          <w:rFonts w:ascii="Times New Roman" w:hAnsi="Times New Roman" w:cs="Times New Roman"/>
          <w:color w:val="000000" w:themeColor="text1"/>
          <w:sz w:val="20"/>
          <w:szCs w:val="20"/>
        </w:rPr>
        <w:t xml:space="preserve">, 1878), 130, quoting Costa Ben Luca: </w:t>
      </w:r>
      <w:r w:rsidRPr="009D7635">
        <w:rPr>
          <w:rFonts w:ascii="Times New Roman" w:hAnsi="Times New Roman" w:cs="Times New Roman"/>
          <w:bCs/>
          <w:i/>
          <w:color w:val="000000" w:themeColor="text1"/>
          <w:sz w:val="20"/>
          <w:szCs w:val="20"/>
        </w:rPr>
        <w:t xml:space="preserve">[I]n </w:t>
      </w:r>
      <w:proofErr w:type="spellStart"/>
      <w:r w:rsidRPr="009D7635">
        <w:rPr>
          <w:rFonts w:ascii="Times New Roman" w:hAnsi="Times New Roman" w:cs="Times New Roman"/>
          <w:bCs/>
          <w:i/>
          <w:color w:val="000000" w:themeColor="text1"/>
          <w:sz w:val="20"/>
          <w:szCs w:val="20"/>
        </w:rPr>
        <w:t>humano</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corpore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sunt</w:t>
      </w:r>
      <w:proofErr w:type="spellEnd"/>
      <w:r w:rsidRPr="009D7635">
        <w:rPr>
          <w:rFonts w:ascii="Times New Roman" w:hAnsi="Times New Roman" w:cs="Times New Roman"/>
          <w:bCs/>
          <w:i/>
          <w:color w:val="000000" w:themeColor="text1"/>
          <w:sz w:val="20"/>
          <w:szCs w:val="20"/>
        </w:rPr>
        <w:t xml:space="preserve"> duo spiritus: </w:t>
      </w:r>
      <w:proofErr w:type="spellStart"/>
      <w:r w:rsidRPr="009D7635">
        <w:rPr>
          <w:rFonts w:ascii="Times New Roman" w:hAnsi="Times New Roman" w:cs="Times New Roman"/>
          <w:bCs/>
          <w:i/>
          <w:color w:val="000000" w:themeColor="text1"/>
          <w:sz w:val="20"/>
          <w:szCs w:val="20"/>
        </w:rPr>
        <w:t>unus</w:t>
      </w:r>
      <w:proofErr w:type="spellEnd"/>
      <w:r w:rsidRPr="009D7635">
        <w:rPr>
          <w:rFonts w:ascii="Times New Roman" w:hAnsi="Times New Roman" w:cs="Times New Roman"/>
          <w:bCs/>
          <w:i/>
          <w:color w:val="000000" w:themeColor="text1"/>
          <w:sz w:val="20"/>
          <w:szCs w:val="20"/>
        </w:rPr>
        <w:t xml:space="preserve"> qui </w:t>
      </w:r>
      <w:proofErr w:type="spellStart"/>
      <w:r w:rsidRPr="009D7635">
        <w:rPr>
          <w:rFonts w:ascii="Times New Roman" w:hAnsi="Times New Roman" w:cs="Times New Roman"/>
          <w:bCs/>
          <w:i/>
          <w:color w:val="000000" w:themeColor="text1"/>
          <w:sz w:val="20"/>
          <w:szCs w:val="20"/>
        </w:rPr>
        <w:t>vocatur</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vitalis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cujus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nutrimentum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vel</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sustentatio</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aër</w:t>
      </w:r>
      <w:proofErr w:type="spellEnd"/>
      <w:r w:rsidRPr="009D7635">
        <w:rPr>
          <w:rFonts w:ascii="Times New Roman" w:hAnsi="Times New Roman" w:cs="Times New Roman"/>
          <w:bCs/>
          <w:i/>
          <w:color w:val="000000" w:themeColor="text1"/>
          <w:sz w:val="20"/>
          <w:szCs w:val="20"/>
        </w:rPr>
        <w:t xml:space="preserve"> et </w:t>
      </w:r>
      <w:proofErr w:type="spellStart"/>
      <w:r w:rsidRPr="009D7635">
        <w:rPr>
          <w:rFonts w:ascii="Times New Roman" w:hAnsi="Times New Roman" w:cs="Times New Roman"/>
          <w:bCs/>
          <w:i/>
          <w:color w:val="000000" w:themeColor="text1"/>
          <w:sz w:val="20"/>
          <w:szCs w:val="20"/>
        </w:rPr>
        <w:t>ejus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emanatio</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a </w:t>
      </w:r>
      <w:proofErr w:type="spellStart"/>
      <w:r w:rsidRPr="009D7635">
        <w:rPr>
          <w:rFonts w:ascii="Times New Roman" w:hAnsi="Times New Roman" w:cs="Times New Roman"/>
          <w:bCs/>
          <w:i/>
          <w:color w:val="000000" w:themeColor="text1"/>
          <w:sz w:val="20"/>
          <w:szCs w:val="20"/>
        </w:rPr>
        <w:t>corde</w:t>
      </w:r>
      <w:proofErr w:type="spellEnd"/>
      <w:r w:rsidRPr="009D7635">
        <w:rPr>
          <w:rFonts w:ascii="Times New Roman" w:hAnsi="Times New Roman" w:cs="Times New Roman"/>
          <w:bCs/>
          <w:i/>
          <w:color w:val="000000" w:themeColor="text1"/>
          <w:sz w:val="20"/>
          <w:szCs w:val="20"/>
        </w:rPr>
        <w:t xml:space="preserve">, et </w:t>
      </w:r>
      <w:proofErr w:type="spellStart"/>
      <w:r w:rsidRPr="009D7635">
        <w:rPr>
          <w:rFonts w:ascii="Times New Roman" w:hAnsi="Times New Roman" w:cs="Times New Roman"/>
          <w:bCs/>
          <w:i/>
          <w:color w:val="000000" w:themeColor="text1"/>
          <w:sz w:val="20"/>
          <w:szCs w:val="20"/>
        </w:rPr>
        <w:t>inde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mittitur</w:t>
      </w:r>
      <w:proofErr w:type="spellEnd"/>
      <w:r w:rsidRPr="009D7635">
        <w:rPr>
          <w:rFonts w:ascii="Times New Roman" w:hAnsi="Times New Roman" w:cs="Times New Roman"/>
          <w:bCs/>
          <w:i/>
          <w:color w:val="000000" w:themeColor="text1"/>
          <w:sz w:val="20"/>
          <w:szCs w:val="20"/>
        </w:rPr>
        <w:t xml:space="preserve"> per </w:t>
      </w:r>
      <w:proofErr w:type="spellStart"/>
      <w:r w:rsidRPr="009D7635">
        <w:rPr>
          <w:rFonts w:ascii="Times New Roman" w:hAnsi="Times New Roman" w:cs="Times New Roman"/>
          <w:bCs/>
          <w:i/>
          <w:color w:val="000000" w:themeColor="text1"/>
          <w:sz w:val="20"/>
          <w:szCs w:val="20"/>
        </w:rPr>
        <w:t>pulsus</w:t>
      </w:r>
      <w:proofErr w:type="spellEnd"/>
      <w:r w:rsidRPr="009D7635">
        <w:rPr>
          <w:rFonts w:ascii="Times New Roman" w:hAnsi="Times New Roman" w:cs="Times New Roman"/>
          <w:bCs/>
          <w:i/>
          <w:color w:val="000000" w:themeColor="text1"/>
          <w:sz w:val="20"/>
          <w:szCs w:val="20"/>
        </w:rPr>
        <w:t xml:space="preserve"> ad </w:t>
      </w:r>
      <w:proofErr w:type="spellStart"/>
      <w:r w:rsidRPr="009D7635">
        <w:rPr>
          <w:rFonts w:ascii="Times New Roman" w:hAnsi="Times New Roman" w:cs="Times New Roman"/>
          <w:bCs/>
          <w:i/>
          <w:color w:val="000000" w:themeColor="text1"/>
          <w:sz w:val="20"/>
          <w:szCs w:val="20"/>
        </w:rPr>
        <w:t>reliquum</w:t>
      </w:r>
      <w:proofErr w:type="spellEnd"/>
      <w:r w:rsidRPr="009D7635">
        <w:rPr>
          <w:rFonts w:ascii="Times New Roman" w:hAnsi="Times New Roman" w:cs="Times New Roman"/>
          <w:bCs/>
          <w:i/>
          <w:color w:val="000000" w:themeColor="text1"/>
          <w:sz w:val="20"/>
          <w:szCs w:val="20"/>
        </w:rPr>
        <w:t xml:space="preserve"> corpus et </w:t>
      </w:r>
      <w:proofErr w:type="spellStart"/>
      <w:r w:rsidRPr="009D7635">
        <w:rPr>
          <w:rFonts w:ascii="Times New Roman" w:hAnsi="Times New Roman" w:cs="Times New Roman"/>
          <w:bCs/>
          <w:i/>
          <w:color w:val="000000" w:themeColor="text1"/>
          <w:sz w:val="20"/>
          <w:szCs w:val="20"/>
        </w:rPr>
        <w:t>operatur</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vitam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pulsum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atque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anhelitum</w:t>
      </w:r>
      <w:proofErr w:type="spellEnd"/>
      <w:r w:rsidRPr="009D7635">
        <w:rPr>
          <w:rFonts w:ascii="Times New Roman" w:hAnsi="Times New Roman" w:cs="Times New Roman"/>
          <w:bCs/>
          <w:i/>
          <w:color w:val="000000" w:themeColor="text1"/>
          <w:sz w:val="20"/>
          <w:szCs w:val="20"/>
        </w:rPr>
        <w:t xml:space="preserve">; et alter, qui... </w:t>
      </w:r>
      <w:proofErr w:type="spellStart"/>
      <w:r w:rsidRPr="009D7635">
        <w:rPr>
          <w:rFonts w:ascii="Times New Roman" w:hAnsi="Times New Roman" w:cs="Times New Roman"/>
          <w:bCs/>
          <w:i/>
          <w:color w:val="000000" w:themeColor="text1"/>
          <w:sz w:val="20"/>
          <w:szCs w:val="20"/>
        </w:rPr>
        <w:t>dicitur</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animalis</w:t>
      </w:r>
      <w:proofErr w:type="spellEnd"/>
      <w:r w:rsidRPr="009D7635">
        <w:rPr>
          <w:rFonts w:ascii="Times New Roman" w:hAnsi="Times New Roman" w:cs="Times New Roman"/>
          <w:bCs/>
          <w:i/>
          <w:color w:val="000000" w:themeColor="text1"/>
          <w:sz w:val="20"/>
          <w:szCs w:val="20"/>
        </w:rPr>
        <w:t xml:space="preserve">, qui </w:t>
      </w:r>
      <w:proofErr w:type="spellStart"/>
      <w:r w:rsidRPr="009D7635">
        <w:rPr>
          <w:rFonts w:ascii="Times New Roman" w:hAnsi="Times New Roman" w:cs="Times New Roman"/>
          <w:bCs/>
          <w:i/>
          <w:color w:val="000000" w:themeColor="text1"/>
          <w:sz w:val="20"/>
          <w:szCs w:val="20"/>
        </w:rPr>
        <w:t>operatur</w:t>
      </w:r>
      <w:proofErr w:type="spellEnd"/>
      <w:r w:rsidRPr="009D7635">
        <w:rPr>
          <w:rFonts w:ascii="Times New Roman" w:hAnsi="Times New Roman" w:cs="Times New Roman"/>
          <w:bCs/>
          <w:i/>
          <w:color w:val="000000" w:themeColor="text1"/>
          <w:sz w:val="20"/>
          <w:szCs w:val="20"/>
        </w:rPr>
        <w:t xml:space="preserve"> in ipso </w:t>
      </w:r>
      <w:proofErr w:type="spellStart"/>
      <w:r w:rsidRPr="009D7635">
        <w:rPr>
          <w:rFonts w:ascii="Times New Roman" w:hAnsi="Times New Roman" w:cs="Times New Roman"/>
          <w:bCs/>
          <w:i/>
          <w:color w:val="000000" w:themeColor="text1"/>
          <w:sz w:val="20"/>
          <w:szCs w:val="20"/>
        </w:rPr>
        <w:t>cerebro</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cujus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nutrimentum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spiritus </w:t>
      </w:r>
      <w:proofErr w:type="spellStart"/>
      <w:r w:rsidRPr="009D7635">
        <w:rPr>
          <w:rFonts w:ascii="Times New Roman" w:hAnsi="Times New Roman" w:cs="Times New Roman"/>
          <w:bCs/>
          <w:i/>
          <w:color w:val="000000" w:themeColor="text1"/>
          <w:sz w:val="20"/>
          <w:szCs w:val="20"/>
        </w:rPr>
        <w:t>vitalis</w:t>
      </w:r>
      <w:proofErr w:type="spellEnd"/>
      <w:r w:rsidRPr="009D7635">
        <w:rPr>
          <w:rFonts w:ascii="Times New Roman" w:hAnsi="Times New Roman" w:cs="Times New Roman"/>
          <w:bCs/>
          <w:i/>
          <w:color w:val="000000" w:themeColor="text1"/>
          <w:sz w:val="20"/>
          <w:szCs w:val="20"/>
        </w:rPr>
        <w:t xml:space="preserve">; et </w:t>
      </w:r>
      <w:proofErr w:type="spellStart"/>
      <w:r w:rsidRPr="009D7635">
        <w:rPr>
          <w:rFonts w:ascii="Times New Roman" w:hAnsi="Times New Roman" w:cs="Times New Roman"/>
          <w:bCs/>
          <w:i/>
          <w:color w:val="000000" w:themeColor="text1"/>
          <w:sz w:val="20"/>
          <w:szCs w:val="20"/>
        </w:rPr>
        <w:t>ejus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emanatio</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a </w:t>
      </w:r>
      <w:proofErr w:type="spellStart"/>
      <w:r w:rsidRPr="009D7635">
        <w:rPr>
          <w:rFonts w:ascii="Times New Roman" w:hAnsi="Times New Roman" w:cs="Times New Roman"/>
          <w:bCs/>
          <w:i/>
          <w:color w:val="000000" w:themeColor="text1"/>
          <w:sz w:val="20"/>
          <w:szCs w:val="20"/>
        </w:rPr>
        <w:t>cerebro</w:t>
      </w:r>
      <w:proofErr w:type="spellEnd"/>
      <w:r w:rsidRPr="009D7635">
        <w:rPr>
          <w:rFonts w:ascii="Times New Roman" w:hAnsi="Times New Roman" w:cs="Times New Roman"/>
          <w:bCs/>
          <w:i/>
          <w:color w:val="000000" w:themeColor="text1"/>
          <w:sz w:val="20"/>
          <w:szCs w:val="20"/>
        </w:rPr>
        <w:t xml:space="preserve">, et </w:t>
      </w:r>
      <w:proofErr w:type="spellStart"/>
      <w:r w:rsidRPr="009D7635">
        <w:rPr>
          <w:rFonts w:ascii="Times New Roman" w:hAnsi="Times New Roman" w:cs="Times New Roman"/>
          <w:bCs/>
          <w:i/>
          <w:color w:val="000000" w:themeColor="text1"/>
          <w:sz w:val="20"/>
          <w:szCs w:val="20"/>
        </w:rPr>
        <w:t>operatur</w:t>
      </w:r>
      <w:proofErr w:type="spellEnd"/>
      <w:r w:rsidRPr="009D7635">
        <w:rPr>
          <w:rFonts w:ascii="Times New Roman" w:hAnsi="Times New Roman" w:cs="Times New Roman"/>
          <w:bCs/>
          <w:i/>
          <w:color w:val="000000" w:themeColor="text1"/>
          <w:sz w:val="20"/>
          <w:szCs w:val="20"/>
        </w:rPr>
        <w:t xml:space="preserve"> in ipso </w:t>
      </w:r>
      <w:proofErr w:type="spellStart"/>
      <w:r w:rsidRPr="009D7635">
        <w:rPr>
          <w:rFonts w:ascii="Times New Roman" w:hAnsi="Times New Roman" w:cs="Times New Roman"/>
          <w:bCs/>
          <w:i/>
          <w:color w:val="000000" w:themeColor="text1"/>
          <w:sz w:val="20"/>
          <w:szCs w:val="20"/>
        </w:rPr>
        <w:t>cerebro</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cogitationem</w:t>
      </w:r>
      <w:proofErr w:type="spellEnd"/>
      <w:r w:rsidRPr="009D7635">
        <w:rPr>
          <w:rFonts w:ascii="Times New Roman" w:hAnsi="Times New Roman" w:cs="Times New Roman"/>
          <w:bCs/>
          <w:i/>
          <w:color w:val="000000" w:themeColor="text1"/>
          <w:sz w:val="20"/>
          <w:szCs w:val="20"/>
        </w:rPr>
        <w:t xml:space="preserve"> et memoriam </w:t>
      </w:r>
      <w:proofErr w:type="spellStart"/>
      <w:r w:rsidRPr="009D7635">
        <w:rPr>
          <w:rFonts w:ascii="Times New Roman" w:hAnsi="Times New Roman" w:cs="Times New Roman"/>
          <w:bCs/>
          <w:i/>
          <w:color w:val="000000" w:themeColor="text1"/>
          <w:sz w:val="20"/>
          <w:szCs w:val="20"/>
        </w:rPr>
        <w:t>atque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providentiam</w:t>
      </w:r>
      <w:proofErr w:type="spellEnd"/>
      <w:r w:rsidRPr="009D7635">
        <w:rPr>
          <w:rFonts w:ascii="Times New Roman" w:hAnsi="Times New Roman" w:cs="Times New Roman"/>
          <w:bCs/>
          <w:i/>
          <w:color w:val="000000" w:themeColor="text1"/>
          <w:sz w:val="20"/>
          <w:szCs w:val="20"/>
        </w:rPr>
        <w:t xml:space="preserve">, et ex </w:t>
      </w:r>
      <w:proofErr w:type="spellStart"/>
      <w:r w:rsidRPr="009D7635">
        <w:rPr>
          <w:rFonts w:ascii="Times New Roman" w:hAnsi="Times New Roman" w:cs="Times New Roman"/>
          <w:bCs/>
          <w:i/>
          <w:color w:val="000000" w:themeColor="text1"/>
          <w:sz w:val="20"/>
          <w:szCs w:val="20"/>
        </w:rPr>
        <w:t>eo</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mittitur</w:t>
      </w:r>
      <w:proofErr w:type="spellEnd"/>
      <w:r w:rsidRPr="009D7635">
        <w:rPr>
          <w:rFonts w:ascii="Times New Roman" w:hAnsi="Times New Roman" w:cs="Times New Roman"/>
          <w:bCs/>
          <w:i/>
          <w:color w:val="000000" w:themeColor="text1"/>
          <w:sz w:val="20"/>
          <w:szCs w:val="20"/>
        </w:rPr>
        <w:t xml:space="preserve"> per </w:t>
      </w:r>
      <w:proofErr w:type="spellStart"/>
      <w:r w:rsidRPr="009D7635">
        <w:rPr>
          <w:rFonts w:ascii="Times New Roman" w:hAnsi="Times New Roman" w:cs="Times New Roman"/>
          <w:bCs/>
          <w:i/>
          <w:color w:val="000000" w:themeColor="text1"/>
          <w:sz w:val="20"/>
          <w:szCs w:val="20"/>
        </w:rPr>
        <w:t>nervos</w:t>
      </w:r>
      <w:proofErr w:type="spellEnd"/>
      <w:r w:rsidRPr="009D7635">
        <w:rPr>
          <w:rFonts w:ascii="Times New Roman" w:hAnsi="Times New Roman" w:cs="Times New Roman"/>
          <w:bCs/>
          <w:i/>
          <w:color w:val="000000" w:themeColor="text1"/>
          <w:sz w:val="20"/>
          <w:szCs w:val="20"/>
        </w:rPr>
        <w:t xml:space="preserve"> ad cetera </w:t>
      </w:r>
      <w:proofErr w:type="spellStart"/>
      <w:r w:rsidRPr="009D7635">
        <w:rPr>
          <w:rFonts w:ascii="Times New Roman" w:hAnsi="Times New Roman" w:cs="Times New Roman"/>
          <w:bCs/>
          <w:i/>
          <w:color w:val="000000" w:themeColor="text1"/>
          <w:sz w:val="20"/>
          <w:szCs w:val="20"/>
        </w:rPr>
        <w:t>membra</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ut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operatur</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sensum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atque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motum</w:t>
      </w:r>
      <w:proofErr w:type="spellEnd"/>
      <w:r w:rsidRPr="009D7635">
        <w:rPr>
          <w:rFonts w:ascii="Times New Roman" w:hAnsi="Times New Roman" w:cs="Times New Roman"/>
          <w:bCs/>
          <w:i/>
          <w:color w:val="000000" w:themeColor="text1"/>
          <w:sz w:val="20"/>
          <w:szCs w:val="20"/>
        </w:rPr>
        <w:t>.</w:t>
      </w:r>
    </w:p>
  </w:footnote>
  <w:footnote w:id="108">
    <w:p w14:paraId="380D551E" w14:textId="6D9540AB" w:rsidR="00B93ED5" w:rsidRPr="009D7635" w:rsidRDefault="00B93ED5" w:rsidP="006A5A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Judith Carol Wilcox, ‘The Transmission and Influence of </w:t>
      </w:r>
      <w:proofErr w:type="spellStart"/>
      <w:r w:rsidRPr="009D7635">
        <w:rPr>
          <w:rFonts w:ascii="Times New Roman" w:hAnsi="Times New Roman" w:cs="Times New Roman"/>
          <w:color w:val="000000" w:themeColor="text1"/>
          <w:sz w:val="20"/>
          <w:szCs w:val="20"/>
          <w:lang w:val="en-US"/>
        </w:rPr>
        <w:t>Questa</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ibn</w:t>
      </w:r>
      <w:proofErr w:type="spellEnd"/>
      <w:r w:rsidRPr="009D7635">
        <w:rPr>
          <w:rFonts w:ascii="Times New Roman" w:hAnsi="Times New Roman" w:cs="Times New Roman"/>
          <w:color w:val="000000" w:themeColor="text1"/>
          <w:sz w:val="20"/>
          <w:szCs w:val="20"/>
          <w:lang w:val="en-US"/>
        </w:rPr>
        <w:t xml:space="preserve"> Luca’s </w:t>
      </w:r>
      <w:r w:rsidRPr="009D7635">
        <w:rPr>
          <w:rFonts w:ascii="Times New Roman" w:hAnsi="Times New Roman" w:cs="Times New Roman"/>
          <w:i/>
          <w:color w:val="000000" w:themeColor="text1"/>
          <w:sz w:val="20"/>
          <w:szCs w:val="20"/>
          <w:lang w:val="en-US"/>
        </w:rPr>
        <w:t xml:space="preserve">On the Difference </w:t>
      </w:r>
      <w:r w:rsidR="00340D28" w:rsidRPr="009D7635">
        <w:rPr>
          <w:rFonts w:ascii="Times New Roman" w:hAnsi="Times New Roman" w:cs="Times New Roman"/>
          <w:i/>
          <w:color w:val="000000" w:themeColor="text1"/>
          <w:sz w:val="20"/>
          <w:szCs w:val="20"/>
          <w:lang w:val="en-US"/>
        </w:rPr>
        <w:t>B</w:t>
      </w:r>
      <w:r w:rsidRPr="009D7635">
        <w:rPr>
          <w:rFonts w:ascii="Times New Roman" w:hAnsi="Times New Roman" w:cs="Times New Roman"/>
          <w:i/>
          <w:color w:val="000000" w:themeColor="text1"/>
          <w:sz w:val="20"/>
          <w:szCs w:val="20"/>
          <w:lang w:val="en-US"/>
        </w:rPr>
        <w:t>etween Spirit and the Soul</w:t>
      </w:r>
      <w:r w:rsidRPr="009D7635">
        <w:rPr>
          <w:rFonts w:ascii="Times New Roman" w:hAnsi="Times New Roman" w:cs="Times New Roman"/>
          <w:color w:val="000000" w:themeColor="text1"/>
          <w:sz w:val="20"/>
          <w:szCs w:val="20"/>
          <w:lang w:val="en-US"/>
        </w:rPr>
        <w:t>,’ 230.</w:t>
      </w:r>
    </w:p>
  </w:footnote>
  <w:footnote w:id="109">
    <w:p w14:paraId="72872547"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bCs/>
          <w:i/>
          <w:color w:val="000000" w:themeColor="text1"/>
        </w:rPr>
        <w:t xml:space="preserve">Anima </w:t>
      </w:r>
      <w:proofErr w:type="spellStart"/>
      <w:r w:rsidRPr="009D7635">
        <w:rPr>
          <w:rFonts w:ascii="Times New Roman" w:hAnsi="Times New Roman" w:cs="Times New Roman"/>
          <w:bCs/>
          <w:i/>
          <w:color w:val="000000" w:themeColor="text1"/>
        </w:rPr>
        <w:t>est</w:t>
      </w:r>
      <w:proofErr w:type="spellEnd"/>
      <w:r w:rsidRPr="009D7635">
        <w:rPr>
          <w:rFonts w:ascii="Times New Roman" w:hAnsi="Times New Roman" w:cs="Times New Roman"/>
          <w:bCs/>
          <w:i/>
          <w:color w:val="000000" w:themeColor="text1"/>
        </w:rPr>
        <w:t xml:space="preserve"> </w:t>
      </w:r>
      <w:proofErr w:type="spellStart"/>
      <w:r w:rsidRPr="009D7635">
        <w:rPr>
          <w:rFonts w:ascii="Times New Roman" w:hAnsi="Times New Roman" w:cs="Times New Roman"/>
          <w:bCs/>
          <w:i/>
          <w:color w:val="000000" w:themeColor="text1"/>
        </w:rPr>
        <w:t>perfectio</w:t>
      </w:r>
      <w:proofErr w:type="spellEnd"/>
      <w:r w:rsidRPr="009D7635">
        <w:rPr>
          <w:rFonts w:ascii="Times New Roman" w:hAnsi="Times New Roman" w:cs="Times New Roman"/>
          <w:bCs/>
          <w:i/>
          <w:color w:val="000000" w:themeColor="text1"/>
        </w:rPr>
        <w:t xml:space="preserve"> </w:t>
      </w:r>
      <w:proofErr w:type="spellStart"/>
      <w:r w:rsidRPr="009D7635">
        <w:rPr>
          <w:rFonts w:ascii="Times New Roman" w:hAnsi="Times New Roman" w:cs="Times New Roman"/>
          <w:bCs/>
          <w:i/>
          <w:color w:val="000000" w:themeColor="text1"/>
        </w:rPr>
        <w:t>corporis</w:t>
      </w:r>
      <w:proofErr w:type="spellEnd"/>
      <w:r w:rsidRPr="009D7635">
        <w:rPr>
          <w:rFonts w:ascii="Times New Roman" w:hAnsi="Times New Roman" w:cs="Times New Roman"/>
          <w:bCs/>
          <w:i/>
          <w:color w:val="000000" w:themeColor="text1"/>
        </w:rPr>
        <w:t xml:space="preserve"> </w:t>
      </w:r>
      <w:proofErr w:type="spellStart"/>
      <w:r w:rsidRPr="009D7635">
        <w:rPr>
          <w:rFonts w:ascii="Times New Roman" w:hAnsi="Times New Roman" w:cs="Times New Roman"/>
          <w:bCs/>
          <w:i/>
          <w:color w:val="000000" w:themeColor="text1"/>
        </w:rPr>
        <w:t>naturalis</w:t>
      </w:r>
      <w:proofErr w:type="spellEnd"/>
      <w:r w:rsidRPr="009D7635">
        <w:rPr>
          <w:rFonts w:ascii="Times New Roman" w:hAnsi="Times New Roman" w:cs="Times New Roman"/>
          <w:bCs/>
          <w:i/>
          <w:color w:val="000000" w:themeColor="text1"/>
        </w:rPr>
        <w:t xml:space="preserve">, </w:t>
      </w:r>
      <w:proofErr w:type="spellStart"/>
      <w:r w:rsidRPr="009D7635">
        <w:rPr>
          <w:rFonts w:ascii="Times New Roman" w:hAnsi="Times New Roman" w:cs="Times New Roman"/>
          <w:bCs/>
          <w:i/>
          <w:color w:val="000000" w:themeColor="text1"/>
        </w:rPr>
        <w:t>instrumentalis</w:t>
      </w:r>
      <w:proofErr w:type="spellEnd"/>
      <w:r w:rsidRPr="009D7635">
        <w:rPr>
          <w:rFonts w:ascii="Times New Roman" w:hAnsi="Times New Roman" w:cs="Times New Roman"/>
          <w:bCs/>
          <w:i/>
          <w:color w:val="000000" w:themeColor="text1"/>
        </w:rPr>
        <w:t xml:space="preserve">, </w:t>
      </w:r>
      <w:proofErr w:type="spellStart"/>
      <w:r w:rsidRPr="009D7635">
        <w:rPr>
          <w:rFonts w:ascii="Times New Roman" w:hAnsi="Times New Roman" w:cs="Times New Roman"/>
          <w:bCs/>
          <w:i/>
          <w:color w:val="000000" w:themeColor="text1"/>
        </w:rPr>
        <w:t>potentialiter</w:t>
      </w:r>
      <w:proofErr w:type="spellEnd"/>
      <w:r w:rsidRPr="009D7635">
        <w:rPr>
          <w:rFonts w:ascii="Times New Roman" w:hAnsi="Times New Roman" w:cs="Times New Roman"/>
          <w:bCs/>
          <w:i/>
          <w:color w:val="000000" w:themeColor="text1"/>
        </w:rPr>
        <w:t xml:space="preserve"> </w:t>
      </w:r>
      <w:proofErr w:type="spellStart"/>
      <w:r w:rsidRPr="009D7635">
        <w:rPr>
          <w:rFonts w:ascii="Times New Roman" w:hAnsi="Times New Roman" w:cs="Times New Roman"/>
          <w:bCs/>
          <w:i/>
          <w:color w:val="000000" w:themeColor="text1"/>
        </w:rPr>
        <w:t>vitam</w:t>
      </w:r>
      <w:proofErr w:type="spellEnd"/>
      <w:r w:rsidRPr="009D7635">
        <w:rPr>
          <w:rFonts w:ascii="Times New Roman" w:hAnsi="Times New Roman" w:cs="Times New Roman"/>
          <w:bCs/>
          <w:i/>
          <w:color w:val="000000" w:themeColor="text1"/>
        </w:rPr>
        <w:t xml:space="preserve"> </w:t>
      </w:r>
      <w:proofErr w:type="spellStart"/>
      <w:r w:rsidRPr="009D7635">
        <w:rPr>
          <w:rFonts w:ascii="Times New Roman" w:hAnsi="Times New Roman" w:cs="Times New Roman"/>
          <w:bCs/>
          <w:i/>
          <w:color w:val="000000" w:themeColor="text1"/>
        </w:rPr>
        <w:t>habentis</w:t>
      </w:r>
      <w:proofErr w:type="spellEnd"/>
      <w:r w:rsidRPr="009D7635">
        <w:rPr>
          <w:rFonts w:ascii="Times New Roman" w:hAnsi="Times New Roman" w:cs="Times New Roman"/>
          <w:bCs/>
          <w:i/>
          <w:color w:val="000000" w:themeColor="text1"/>
        </w:rPr>
        <w:t>.</w:t>
      </w:r>
    </w:p>
  </w:footnote>
  <w:footnote w:id="110">
    <w:p w14:paraId="45AE1CA3" w14:textId="592E2AAA" w:rsidR="00B93ED5" w:rsidRPr="009D7635" w:rsidRDefault="00B93ED5" w:rsidP="006A5A46">
      <w:pPr>
        <w:pStyle w:val="FootnoteText"/>
        <w:rPr>
          <w:rFonts w:ascii="Times New Roman" w:hAnsi="Times New Roman" w:cs="Times New Roman"/>
          <w:color w:val="000000" w:themeColor="text1"/>
          <w:highlight w:val="yellow"/>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Richard C. Dales, </w:t>
      </w:r>
      <w:r w:rsidRPr="009D7635">
        <w:rPr>
          <w:rFonts w:ascii="Times New Roman" w:hAnsi="Times New Roman" w:cs="Times New Roman"/>
          <w:i/>
          <w:color w:val="000000" w:themeColor="text1"/>
        </w:rPr>
        <w:t>The Problem of the Rational Soul</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6.</w:t>
      </w:r>
    </w:p>
  </w:footnote>
  <w:footnote w:id="111">
    <w:p w14:paraId="2327CE6B" w14:textId="370D392D" w:rsidR="001165C8" w:rsidRPr="009D7635" w:rsidRDefault="001165C8">
      <w:pPr>
        <w:pStyle w:val="FootnoteText"/>
        <w:rPr>
          <w:rFonts w:ascii="Times New Roman" w:hAnsi="Times New Roman" w:cs="Times New Roman"/>
          <w:color w:val="000000" w:themeColor="text1"/>
          <w:highlight w:val="yellow"/>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According to James A. </w:t>
      </w:r>
      <w:proofErr w:type="spellStart"/>
      <w:r w:rsidRPr="009D7635">
        <w:rPr>
          <w:rFonts w:ascii="Times New Roman" w:hAnsi="Times New Roman" w:cs="Times New Roman"/>
          <w:color w:val="000000" w:themeColor="text1"/>
        </w:rPr>
        <w:t>Weisheipl</w:t>
      </w:r>
      <w:proofErr w:type="spellEnd"/>
      <w:r w:rsidRPr="009D7635">
        <w:rPr>
          <w:rFonts w:ascii="Times New Roman" w:hAnsi="Times New Roman" w:cs="Times New Roman"/>
          <w:color w:val="000000" w:themeColor="text1"/>
        </w:rPr>
        <w:t>, in ‘</w:t>
      </w:r>
      <w:proofErr w:type="spellStart"/>
      <w:r w:rsidRPr="009D7635">
        <w:rPr>
          <w:rFonts w:ascii="Times New Roman" w:hAnsi="Times New Roman" w:cs="Times New Roman"/>
          <w:color w:val="000000" w:themeColor="text1"/>
        </w:rPr>
        <w:t>Albertus</w:t>
      </w:r>
      <w:proofErr w:type="spellEnd"/>
      <w:r w:rsidRPr="009D7635">
        <w:rPr>
          <w:rFonts w:ascii="Times New Roman" w:hAnsi="Times New Roman" w:cs="Times New Roman"/>
          <w:color w:val="000000" w:themeColor="text1"/>
        </w:rPr>
        <w:t xml:space="preserve"> Magnus and Universal Hylomorphism,’ 246, there are only five Latin manuscripts of the </w:t>
      </w:r>
      <w:r w:rsidRPr="009D7635">
        <w:rPr>
          <w:rFonts w:ascii="Times New Roman" w:hAnsi="Times New Roman" w:cs="Times New Roman"/>
          <w:i/>
          <w:color w:val="000000" w:themeColor="text1"/>
        </w:rPr>
        <w:t>Fons vitae,</w:t>
      </w:r>
      <w:r w:rsidRPr="009D7635">
        <w:rPr>
          <w:rFonts w:ascii="Times New Roman" w:hAnsi="Times New Roman" w:cs="Times New Roman"/>
          <w:color w:val="000000" w:themeColor="text1"/>
        </w:rPr>
        <w:t xml:space="preserve"> but many of </w:t>
      </w:r>
      <w:proofErr w:type="spellStart"/>
      <w:r w:rsidRPr="009D7635">
        <w:rPr>
          <w:rFonts w:ascii="Times New Roman" w:hAnsi="Times New Roman" w:cs="Times New Roman"/>
          <w:color w:val="000000" w:themeColor="text1"/>
        </w:rPr>
        <w:t>Gundissalinus</w:t>
      </w:r>
      <w:proofErr w:type="spellEnd"/>
      <w:r w:rsidRPr="009D7635">
        <w:rPr>
          <w:rFonts w:ascii="Times New Roman" w:hAnsi="Times New Roman" w:cs="Times New Roman"/>
          <w:color w:val="000000" w:themeColor="text1"/>
        </w:rPr>
        <w:t xml:space="preserve">. This suggests that </w:t>
      </w:r>
      <w:proofErr w:type="spellStart"/>
      <w:r w:rsidRPr="009D7635">
        <w:rPr>
          <w:rFonts w:ascii="Times New Roman" w:hAnsi="Times New Roman" w:cs="Times New Roman"/>
          <w:color w:val="000000" w:themeColor="text1"/>
        </w:rPr>
        <w:t>Avicebron</w:t>
      </w:r>
      <w:proofErr w:type="spellEnd"/>
      <w:r w:rsidRPr="009D7635">
        <w:rPr>
          <w:rFonts w:ascii="Times New Roman" w:hAnsi="Times New Roman" w:cs="Times New Roman"/>
          <w:color w:val="000000" w:themeColor="text1"/>
        </w:rPr>
        <w:t xml:space="preserve"> was generally received by Latin thinkers through the mediation of </w:t>
      </w:r>
      <w:proofErr w:type="spellStart"/>
      <w:r w:rsidRPr="009D7635">
        <w:rPr>
          <w:rFonts w:ascii="Times New Roman" w:hAnsi="Times New Roman" w:cs="Times New Roman"/>
          <w:color w:val="000000" w:themeColor="text1"/>
        </w:rPr>
        <w:t>Gundissalinus</w:t>
      </w:r>
      <w:proofErr w:type="spellEnd"/>
      <w:r w:rsidRPr="009D7635">
        <w:rPr>
          <w:rFonts w:ascii="Times New Roman" w:hAnsi="Times New Roman" w:cs="Times New Roman"/>
          <w:color w:val="000000" w:themeColor="text1"/>
        </w:rPr>
        <w:t>.</w:t>
      </w:r>
    </w:p>
  </w:footnote>
  <w:footnote w:id="112">
    <w:p w14:paraId="26555CCF"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Sarah </w:t>
      </w:r>
      <w:proofErr w:type="spellStart"/>
      <w:r w:rsidRPr="009D7635">
        <w:rPr>
          <w:rFonts w:ascii="Times New Roman" w:hAnsi="Times New Roman" w:cs="Times New Roman"/>
          <w:color w:val="000000" w:themeColor="text1"/>
        </w:rPr>
        <w:t>Pessin</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Avicebron</w:t>
      </w:r>
      <w:proofErr w:type="spellEnd"/>
      <w:r w:rsidRPr="009D7635">
        <w:rPr>
          <w:rFonts w:ascii="Times New Roman" w:hAnsi="Times New Roman" w:cs="Times New Roman"/>
          <w:color w:val="000000" w:themeColor="text1"/>
        </w:rPr>
        <w:t xml:space="preserve">,’ in </w:t>
      </w:r>
      <w:r w:rsidRPr="009D7635">
        <w:rPr>
          <w:rFonts w:ascii="Times New Roman" w:hAnsi="Times New Roman" w:cs="Times New Roman"/>
          <w:i/>
          <w:color w:val="000000" w:themeColor="text1"/>
        </w:rPr>
        <w:t xml:space="preserve">The Stanford </w:t>
      </w:r>
      <w:proofErr w:type="spellStart"/>
      <w:r w:rsidRPr="009D7635">
        <w:rPr>
          <w:rFonts w:ascii="Times New Roman" w:hAnsi="Times New Roman" w:cs="Times New Roman"/>
          <w:i/>
          <w:color w:val="000000" w:themeColor="text1"/>
        </w:rPr>
        <w:t>Encyclopedia</w:t>
      </w:r>
      <w:proofErr w:type="spellEnd"/>
      <w:r w:rsidRPr="009D7635">
        <w:rPr>
          <w:rFonts w:ascii="Times New Roman" w:hAnsi="Times New Roman" w:cs="Times New Roman"/>
          <w:i/>
          <w:color w:val="000000" w:themeColor="text1"/>
        </w:rPr>
        <w:t xml:space="preserve"> of Philosophy, </w:t>
      </w:r>
      <w:r w:rsidRPr="009D7635">
        <w:rPr>
          <w:rFonts w:ascii="Times New Roman" w:hAnsi="Times New Roman" w:cs="Times New Roman"/>
          <w:color w:val="000000" w:themeColor="text1"/>
        </w:rPr>
        <w:t>online edition: https://plato.stanford.edu/entries/ibn-gabirol/.</w:t>
      </w:r>
    </w:p>
  </w:footnote>
  <w:footnote w:id="113">
    <w:p w14:paraId="33D63B28" w14:textId="4E4303E2" w:rsidR="00B93ED5" w:rsidRPr="009D7635" w:rsidRDefault="00B93ED5" w:rsidP="006A5A46">
      <w:pPr>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Richard C. Dales, </w:t>
      </w:r>
      <w:r w:rsidRPr="009D7635">
        <w:rPr>
          <w:rFonts w:ascii="Times New Roman" w:hAnsi="Times New Roman" w:cs="Times New Roman"/>
          <w:i/>
          <w:color w:val="000000" w:themeColor="text1"/>
          <w:sz w:val="20"/>
          <w:szCs w:val="20"/>
          <w:lang w:val="en-US"/>
        </w:rPr>
        <w:t>The Problem of the Rational Soul</w:t>
      </w:r>
      <w:r w:rsidRPr="009D7635">
        <w:rPr>
          <w:rFonts w:ascii="Times New Roman" w:hAnsi="Times New Roman" w:cs="Times New Roman"/>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36. </w:t>
      </w:r>
    </w:p>
  </w:footnote>
  <w:footnote w:id="114">
    <w:p w14:paraId="3CA82BB9"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James A. </w:t>
      </w:r>
      <w:proofErr w:type="spellStart"/>
      <w:r w:rsidRPr="009D7635">
        <w:rPr>
          <w:rFonts w:ascii="Times New Roman" w:hAnsi="Times New Roman" w:cs="Times New Roman"/>
          <w:color w:val="000000" w:themeColor="text1"/>
        </w:rPr>
        <w:t>Weisheipl</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Albertus</w:t>
      </w:r>
      <w:proofErr w:type="spellEnd"/>
      <w:r w:rsidRPr="009D7635">
        <w:rPr>
          <w:rFonts w:ascii="Times New Roman" w:hAnsi="Times New Roman" w:cs="Times New Roman"/>
          <w:color w:val="000000" w:themeColor="text1"/>
        </w:rPr>
        <w:t xml:space="preserve"> Magnus and Universal Hylomorphism,’ 249.</w:t>
      </w:r>
    </w:p>
  </w:footnote>
  <w:footnote w:id="115">
    <w:p w14:paraId="1AA228E8" w14:textId="0AB9F5BD"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5C14F2" w:rsidRPr="009D7635">
        <w:rPr>
          <w:rFonts w:ascii="Times New Roman" w:hAnsi="Times New Roman" w:cs="Times New Roman"/>
          <w:color w:val="000000" w:themeColor="text1"/>
        </w:rPr>
        <w:t>Ibid.</w:t>
      </w:r>
    </w:p>
  </w:footnote>
  <w:footnote w:id="116">
    <w:p w14:paraId="5A0817CF" w14:textId="1A1EDDED"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5C14F2"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w:t>
      </w:r>
    </w:p>
  </w:footnote>
  <w:footnote w:id="117">
    <w:p w14:paraId="03863DA4" w14:textId="3DD08295"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5C14F2" w:rsidRPr="009D7635">
        <w:rPr>
          <w:rFonts w:ascii="Times New Roman" w:hAnsi="Times New Roman" w:cs="Times New Roman"/>
          <w:color w:val="000000" w:themeColor="text1"/>
        </w:rPr>
        <w:t>Ibid.</w:t>
      </w:r>
    </w:p>
  </w:footnote>
  <w:footnote w:id="118">
    <w:p w14:paraId="4FF75D19"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Sarah </w:t>
      </w:r>
      <w:proofErr w:type="spellStart"/>
      <w:r w:rsidRPr="009D7635">
        <w:rPr>
          <w:rFonts w:ascii="Times New Roman" w:hAnsi="Times New Roman" w:cs="Times New Roman"/>
          <w:color w:val="000000" w:themeColor="text1"/>
        </w:rPr>
        <w:t>Pessin</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Ibn </w:t>
      </w:r>
      <w:proofErr w:type="spellStart"/>
      <w:r w:rsidRPr="009D7635">
        <w:rPr>
          <w:rFonts w:ascii="Times New Roman" w:hAnsi="Times New Roman" w:cs="Times New Roman"/>
          <w:i/>
          <w:color w:val="000000" w:themeColor="text1"/>
        </w:rPr>
        <w:t>Gabirol’s</w:t>
      </w:r>
      <w:proofErr w:type="spellEnd"/>
      <w:r w:rsidRPr="009D7635">
        <w:rPr>
          <w:rFonts w:ascii="Times New Roman" w:hAnsi="Times New Roman" w:cs="Times New Roman"/>
          <w:i/>
          <w:color w:val="000000" w:themeColor="text1"/>
        </w:rPr>
        <w:t xml:space="preserve"> Theology of Desire: Matter and Method in Jewish Medieval Neoplatonism </w:t>
      </w:r>
      <w:r w:rsidRPr="009D7635">
        <w:rPr>
          <w:rFonts w:ascii="Times New Roman" w:hAnsi="Times New Roman" w:cs="Times New Roman"/>
          <w:color w:val="000000" w:themeColor="text1"/>
        </w:rPr>
        <w:t>(Cambridge: Cambridge University Press, 2013).</w:t>
      </w:r>
    </w:p>
  </w:footnote>
  <w:footnote w:id="119">
    <w:p w14:paraId="5FBB5B7A"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James A. </w:t>
      </w:r>
      <w:proofErr w:type="spellStart"/>
      <w:r w:rsidRPr="009D7635">
        <w:rPr>
          <w:rFonts w:ascii="Times New Roman" w:hAnsi="Times New Roman" w:cs="Times New Roman"/>
          <w:color w:val="000000" w:themeColor="text1"/>
        </w:rPr>
        <w:t>Weisheipl</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Albertus</w:t>
      </w:r>
      <w:proofErr w:type="spellEnd"/>
      <w:r w:rsidRPr="009D7635">
        <w:rPr>
          <w:rFonts w:ascii="Times New Roman" w:hAnsi="Times New Roman" w:cs="Times New Roman"/>
          <w:color w:val="000000" w:themeColor="text1"/>
        </w:rPr>
        <w:t xml:space="preserve"> Magnus and Universal Hylomorphism,’ 250.</w:t>
      </w:r>
    </w:p>
  </w:footnote>
  <w:footnote w:id="120">
    <w:p w14:paraId="31B13788" w14:textId="71613CE1"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Richard C. Dales, </w:t>
      </w:r>
      <w:r w:rsidRPr="009D7635">
        <w:rPr>
          <w:rFonts w:ascii="Times New Roman" w:hAnsi="Times New Roman" w:cs="Times New Roman"/>
          <w:i/>
          <w:color w:val="000000" w:themeColor="text1"/>
          <w:lang w:val="en-US"/>
        </w:rPr>
        <w:t>The Problem of the Rational Soul</w:t>
      </w:r>
      <w:r w:rsidRPr="009D7635">
        <w:rPr>
          <w:rFonts w:ascii="Times New Roman" w:hAnsi="Times New Roman" w:cs="Times New Roman"/>
          <w:iCs/>
          <w:color w:val="000000" w:themeColor="text1"/>
          <w:lang w:val="en-US"/>
        </w:rPr>
        <w:t>,</w:t>
      </w:r>
      <w:r w:rsidRPr="009D7635">
        <w:rPr>
          <w:rFonts w:ascii="Times New Roman" w:hAnsi="Times New Roman" w:cs="Times New Roman"/>
          <w:color w:val="000000" w:themeColor="text1"/>
        </w:rPr>
        <w:t xml:space="preserve"> 7.</w:t>
      </w:r>
    </w:p>
  </w:footnote>
  <w:footnote w:id="121">
    <w:p w14:paraId="76AC1892"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 </w:t>
      </w:r>
      <w:r w:rsidRPr="009D7635">
        <w:rPr>
          <w:rFonts w:ascii="Times New Roman" w:hAnsi="Times New Roman" w:cs="Times New Roman"/>
          <w:i/>
          <w:color w:val="000000" w:themeColor="text1"/>
        </w:rPr>
        <w:t>Avicenna’s 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191.</w:t>
      </w:r>
    </w:p>
  </w:footnote>
  <w:footnote w:id="122">
    <w:p w14:paraId="433793C6" w14:textId="39335591"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 Callus, ‘The Treatise of John </w:t>
      </w:r>
      <w:proofErr w:type="spellStart"/>
      <w:r w:rsidRPr="009D7635">
        <w:rPr>
          <w:rFonts w:ascii="Times New Roman" w:hAnsi="Times New Roman" w:cs="Times New Roman"/>
          <w:color w:val="000000" w:themeColor="text1"/>
        </w:rPr>
        <w:t>Blund</w:t>
      </w:r>
      <w:proofErr w:type="spellEnd"/>
      <w:r w:rsidRPr="009D7635">
        <w:rPr>
          <w:rFonts w:ascii="Times New Roman" w:hAnsi="Times New Roman" w:cs="Times New Roman"/>
          <w:color w:val="000000" w:themeColor="text1"/>
        </w:rPr>
        <w:t xml:space="preserve"> on the Soul,’ in </w:t>
      </w:r>
      <w:proofErr w:type="spellStart"/>
      <w:r w:rsidRPr="009D7635">
        <w:rPr>
          <w:rFonts w:ascii="Times New Roman" w:hAnsi="Times New Roman" w:cs="Times New Roman"/>
          <w:i/>
          <w:color w:val="000000" w:themeColor="text1"/>
        </w:rPr>
        <w:t>Autour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d’Aristote</w:t>
      </w:r>
      <w:proofErr w:type="spellEnd"/>
      <w:r w:rsidR="00F4538D" w:rsidRPr="009D7635">
        <w:rPr>
          <w:rFonts w:ascii="Times New Roman" w:hAnsi="Times New Roman" w:cs="Times New Roman"/>
          <w:i/>
          <w:color w:val="000000" w:themeColor="text1"/>
        </w:rPr>
        <w:t>:</w:t>
      </w:r>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Recueil</w:t>
      </w:r>
      <w:proofErr w:type="spellEnd"/>
      <w:r w:rsidRPr="009D7635">
        <w:rPr>
          <w:rFonts w:ascii="Times New Roman" w:hAnsi="Times New Roman" w:cs="Times New Roman"/>
          <w:i/>
          <w:color w:val="000000" w:themeColor="text1"/>
        </w:rPr>
        <w:t xml:space="preserve"> d’Etudes de Philosophie </w:t>
      </w:r>
      <w:proofErr w:type="spellStart"/>
      <w:r w:rsidRPr="009D7635">
        <w:rPr>
          <w:rFonts w:ascii="Times New Roman" w:hAnsi="Times New Roman" w:cs="Times New Roman"/>
          <w:i/>
          <w:color w:val="000000" w:themeColor="text1"/>
        </w:rPr>
        <w:t>ancienne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médiévale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affert</w:t>
      </w:r>
      <w:proofErr w:type="spellEnd"/>
      <w:r w:rsidRPr="009D7635">
        <w:rPr>
          <w:rFonts w:ascii="Times New Roman" w:hAnsi="Times New Roman" w:cs="Times New Roman"/>
          <w:i/>
          <w:color w:val="000000" w:themeColor="text1"/>
        </w:rPr>
        <w:t xml:space="preserve"> à Monseigneur A. Mansion </w:t>
      </w:r>
      <w:r w:rsidRPr="009D7635">
        <w:rPr>
          <w:rFonts w:ascii="Times New Roman" w:hAnsi="Times New Roman" w:cs="Times New Roman"/>
          <w:color w:val="000000" w:themeColor="text1"/>
        </w:rPr>
        <w:t>(</w:t>
      </w:r>
      <w:proofErr w:type="spellStart"/>
      <w:r w:rsidRPr="009D7635">
        <w:rPr>
          <w:rFonts w:ascii="Times New Roman" w:hAnsi="Times New Roman" w:cs="Times New Roman"/>
          <w:color w:val="000000" w:themeColor="text1"/>
        </w:rPr>
        <w:t>Louvain</w:t>
      </w:r>
      <w:proofErr w:type="spellEnd"/>
      <w:r w:rsidRPr="009D7635">
        <w:rPr>
          <w:rFonts w:ascii="Times New Roman" w:hAnsi="Times New Roman" w:cs="Times New Roman"/>
          <w:color w:val="000000" w:themeColor="text1"/>
        </w:rPr>
        <w:t>, 1955), 472.</w:t>
      </w:r>
    </w:p>
  </w:footnote>
  <w:footnote w:id="123">
    <w:p w14:paraId="462CDAC9" w14:textId="723D92D5" w:rsidR="00B93ED5" w:rsidRPr="009D7635" w:rsidRDefault="00B93ED5" w:rsidP="006A5A46">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bCs/>
          <w:color w:val="000000" w:themeColor="text1"/>
          <w:sz w:val="20"/>
          <w:szCs w:val="20"/>
        </w:rPr>
        <w:t xml:space="preserve">D. A. Callus O.P. and R. W. Hunt, ed., </w:t>
      </w:r>
      <w:proofErr w:type="spellStart"/>
      <w:r w:rsidRPr="009D7635">
        <w:rPr>
          <w:rFonts w:ascii="Times New Roman" w:hAnsi="Times New Roman" w:cs="Times New Roman"/>
          <w:bCs/>
          <w:i/>
          <w:iCs/>
          <w:color w:val="000000" w:themeColor="text1"/>
          <w:sz w:val="20"/>
          <w:szCs w:val="20"/>
        </w:rPr>
        <w:t>Iohannes</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Blund</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Tractatus</w:t>
      </w:r>
      <w:proofErr w:type="spellEnd"/>
      <w:r w:rsidRPr="009D7635">
        <w:rPr>
          <w:rFonts w:ascii="Times New Roman" w:hAnsi="Times New Roman" w:cs="Times New Roman"/>
          <w:bCs/>
          <w:i/>
          <w:iCs/>
          <w:color w:val="000000" w:themeColor="text1"/>
          <w:sz w:val="20"/>
          <w:szCs w:val="20"/>
        </w:rPr>
        <w:t xml:space="preserve"> De Anima</w:t>
      </w:r>
      <w:r w:rsidRPr="009D7635">
        <w:rPr>
          <w:rFonts w:ascii="Times New Roman" w:hAnsi="Times New Roman" w:cs="Times New Roman"/>
          <w:bCs/>
          <w:color w:val="000000" w:themeColor="text1"/>
          <w:sz w:val="20"/>
          <w:szCs w:val="20"/>
        </w:rPr>
        <w:t>(London, 1970).</w:t>
      </w:r>
    </w:p>
  </w:footnote>
  <w:footnote w:id="124">
    <w:p w14:paraId="41D23247"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 Callus, ‘The Treatise of John </w:t>
      </w:r>
      <w:proofErr w:type="spellStart"/>
      <w:r w:rsidRPr="009D7635">
        <w:rPr>
          <w:rFonts w:ascii="Times New Roman" w:hAnsi="Times New Roman" w:cs="Times New Roman"/>
          <w:color w:val="000000" w:themeColor="text1"/>
        </w:rPr>
        <w:t>Blund</w:t>
      </w:r>
      <w:proofErr w:type="spellEnd"/>
      <w:r w:rsidRPr="009D7635">
        <w:rPr>
          <w:rFonts w:ascii="Times New Roman" w:hAnsi="Times New Roman" w:cs="Times New Roman"/>
          <w:color w:val="000000" w:themeColor="text1"/>
        </w:rPr>
        <w:t xml:space="preserve"> on the Soul,’ 477.</w:t>
      </w:r>
    </w:p>
  </w:footnote>
  <w:footnote w:id="125">
    <w:p w14:paraId="37DF9ECB" w14:textId="17E43062"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15237"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483.</w:t>
      </w:r>
    </w:p>
  </w:footnote>
  <w:footnote w:id="126">
    <w:p w14:paraId="18DB92C9" w14:textId="109BBD6E"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15237"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480.</w:t>
      </w:r>
    </w:p>
  </w:footnote>
  <w:footnote w:id="127">
    <w:p w14:paraId="3A9AF5F9" w14:textId="5151348F"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15237"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484-5</w:t>
      </w:r>
      <w:r w:rsidR="00B227B3" w:rsidRPr="009D7635">
        <w:rPr>
          <w:rFonts w:ascii="Times New Roman" w:hAnsi="Times New Roman" w:cs="Times New Roman"/>
          <w:color w:val="000000" w:themeColor="text1"/>
        </w:rPr>
        <w:t>.</w:t>
      </w:r>
    </w:p>
  </w:footnote>
  <w:footnote w:id="128">
    <w:p w14:paraId="65DB19D6" w14:textId="13A35FAA"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bCs/>
          <w:i/>
          <w:iCs/>
          <w:color w:val="000000" w:themeColor="text1"/>
        </w:rPr>
        <w:t>Iohannes</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Blund</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Tractatus</w:t>
      </w:r>
      <w:proofErr w:type="spellEnd"/>
      <w:r w:rsidRPr="009D7635">
        <w:rPr>
          <w:rFonts w:ascii="Times New Roman" w:hAnsi="Times New Roman" w:cs="Times New Roman"/>
          <w:bCs/>
          <w:i/>
          <w:iCs/>
          <w:color w:val="000000" w:themeColor="text1"/>
        </w:rPr>
        <w:t xml:space="preserve"> De Anima</w:t>
      </w:r>
      <w:r w:rsidRPr="009D7635">
        <w:rPr>
          <w:rFonts w:ascii="Times New Roman" w:hAnsi="Times New Roman" w:cs="Times New Roman"/>
          <w:bCs/>
          <w:color w:val="000000" w:themeColor="text1"/>
        </w:rPr>
        <w:t>,</w:t>
      </w:r>
      <w:r w:rsidRPr="009D7635">
        <w:rPr>
          <w:rFonts w:ascii="Times New Roman" w:hAnsi="Times New Roman" w:cs="Times New Roman"/>
          <w:color w:val="000000" w:themeColor="text1"/>
        </w:rPr>
        <w:t xml:space="preserve"> 33-37.</w:t>
      </w:r>
    </w:p>
  </w:footnote>
  <w:footnote w:id="129">
    <w:p w14:paraId="217B126B" w14:textId="35B38B31"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15237" w:rsidRPr="009D7635">
        <w:rPr>
          <w:rFonts w:ascii="Times New Roman" w:hAnsi="Times New Roman" w:cs="Times New Roman"/>
          <w:bCs/>
          <w:color w:val="000000" w:themeColor="text1"/>
        </w:rPr>
        <w:t>I</w:t>
      </w:r>
      <w:r w:rsidR="00015237" w:rsidRPr="009D7635">
        <w:rPr>
          <w:rFonts w:ascii="Times New Roman" w:hAnsi="Times New Roman" w:cs="Times New Roman"/>
          <w:color w:val="000000" w:themeColor="text1"/>
        </w:rPr>
        <w:t>bid</w:t>
      </w:r>
      <w:r w:rsidRPr="009D7635">
        <w:rPr>
          <w:rFonts w:ascii="Times New Roman" w:hAnsi="Times New Roman" w:cs="Times New Roman"/>
          <w:bCs/>
          <w:color w:val="000000" w:themeColor="text1"/>
        </w:rPr>
        <w:t>,</w:t>
      </w:r>
      <w:r w:rsidRPr="009D7635">
        <w:rPr>
          <w:rFonts w:ascii="Times New Roman" w:hAnsi="Times New Roman" w:cs="Times New Roman"/>
          <w:bCs/>
          <w:i/>
          <w:iCs/>
          <w:color w:val="000000" w:themeColor="text1"/>
        </w:rPr>
        <w:t xml:space="preserve"> </w:t>
      </w:r>
      <w:r w:rsidRPr="009D7635">
        <w:rPr>
          <w:rFonts w:ascii="Times New Roman" w:hAnsi="Times New Roman" w:cs="Times New Roman"/>
          <w:color w:val="000000" w:themeColor="text1"/>
        </w:rPr>
        <w:t>125-61</w:t>
      </w:r>
      <w:r w:rsidR="00B227B3" w:rsidRPr="009D7635">
        <w:rPr>
          <w:rFonts w:ascii="Times New Roman" w:hAnsi="Times New Roman" w:cs="Times New Roman"/>
          <w:color w:val="000000" w:themeColor="text1"/>
        </w:rPr>
        <w:t>.</w:t>
      </w:r>
    </w:p>
  </w:footnote>
  <w:footnote w:id="130">
    <w:p w14:paraId="097E4706" w14:textId="5BAEE864" w:rsidR="00B93ED5" w:rsidRPr="009D7635" w:rsidRDefault="00B93ED5" w:rsidP="006A5A46">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015237" w:rsidRPr="009D7635">
        <w:rPr>
          <w:rFonts w:ascii="Times New Roman" w:hAnsi="Times New Roman" w:cs="Times New Roman"/>
          <w:color w:val="000000" w:themeColor="text1"/>
          <w:sz w:val="20"/>
          <w:szCs w:val="20"/>
        </w:rPr>
        <w:t xml:space="preserve">Ibid., </w:t>
      </w:r>
      <w:r w:rsidRPr="009D7635">
        <w:rPr>
          <w:rFonts w:ascii="Times New Roman" w:hAnsi="Times New Roman" w:cs="Times New Roman"/>
          <w:color w:val="000000" w:themeColor="text1"/>
          <w:sz w:val="20"/>
          <w:szCs w:val="20"/>
        </w:rPr>
        <w:t>185</w:t>
      </w:r>
      <w:r w:rsidR="00B227B3" w:rsidRPr="009D7635">
        <w:rPr>
          <w:rFonts w:ascii="Times New Roman" w:hAnsi="Times New Roman" w:cs="Times New Roman"/>
          <w:color w:val="000000" w:themeColor="text1"/>
          <w:sz w:val="20"/>
          <w:szCs w:val="20"/>
        </w:rPr>
        <w:t>.</w:t>
      </w:r>
    </w:p>
  </w:footnote>
  <w:footnote w:id="131">
    <w:p w14:paraId="4C7774D7" w14:textId="4AE970CB"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15237"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187.</w:t>
      </w:r>
    </w:p>
  </w:footnote>
  <w:footnote w:id="132">
    <w:p w14:paraId="1DCA36C5" w14:textId="714E7B95"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 </w:t>
      </w:r>
      <w:r w:rsidRPr="009D7635">
        <w:rPr>
          <w:rFonts w:ascii="Times New Roman" w:hAnsi="Times New Roman" w:cs="Times New Roman"/>
          <w:i/>
          <w:color w:val="000000" w:themeColor="text1"/>
        </w:rPr>
        <w:t>Avicenna’s De anima</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191. See also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Nikolaus Hasse, ‘Das </w:t>
      </w:r>
      <w:proofErr w:type="spellStart"/>
      <w:r w:rsidRPr="009D7635">
        <w:rPr>
          <w:rFonts w:ascii="Times New Roman" w:hAnsi="Times New Roman" w:cs="Times New Roman"/>
          <w:color w:val="000000" w:themeColor="text1"/>
        </w:rPr>
        <w:t>Lehrstück</w:t>
      </w:r>
      <w:proofErr w:type="spellEnd"/>
      <w:r w:rsidRPr="009D7635">
        <w:rPr>
          <w:rFonts w:ascii="Times New Roman" w:hAnsi="Times New Roman" w:cs="Times New Roman"/>
          <w:color w:val="000000" w:themeColor="text1"/>
        </w:rPr>
        <w:t xml:space="preserve"> von den vier </w:t>
      </w:r>
      <w:proofErr w:type="spellStart"/>
      <w:r w:rsidRPr="009D7635">
        <w:rPr>
          <w:rFonts w:ascii="Times New Roman" w:hAnsi="Times New Roman" w:cs="Times New Roman"/>
          <w:color w:val="000000" w:themeColor="text1"/>
        </w:rPr>
        <w:t>Intellekten</w:t>
      </w:r>
      <w:proofErr w:type="spellEnd"/>
      <w:r w:rsidRPr="009D7635">
        <w:rPr>
          <w:rFonts w:ascii="Times New Roman" w:hAnsi="Times New Roman" w:cs="Times New Roman"/>
          <w:color w:val="000000" w:themeColor="text1"/>
        </w:rPr>
        <w:t xml:space="preserve"> in der </w:t>
      </w:r>
      <w:proofErr w:type="spellStart"/>
      <w:r w:rsidRPr="009D7635">
        <w:rPr>
          <w:rFonts w:ascii="Times New Roman" w:hAnsi="Times New Roman" w:cs="Times New Roman"/>
          <w:color w:val="000000" w:themeColor="text1"/>
        </w:rPr>
        <w:t>Scholastik</w:t>
      </w:r>
      <w:proofErr w:type="spellEnd"/>
      <w:r w:rsidRPr="009D7635">
        <w:rPr>
          <w:rFonts w:ascii="Times New Roman" w:hAnsi="Times New Roman" w:cs="Times New Roman"/>
          <w:color w:val="000000" w:themeColor="text1"/>
        </w:rPr>
        <w:t xml:space="preserve">: Von den </w:t>
      </w:r>
      <w:proofErr w:type="spellStart"/>
      <w:r w:rsidRPr="009D7635">
        <w:rPr>
          <w:rFonts w:ascii="Times New Roman" w:hAnsi="Times New Roman" w:cs="Times New Roman"/>
          <w:color w:val="000000" w:themeColor="text1"/>
        </w:rPr>
        <w:t>arabischen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Quellen</w:t>
      </w:r>
      <w:proofErr w:type="spellEnd"/>
      <w:r w:rsidRPr="009D7635">
        <w:rPr>
          <w:rFonts w:ascii="Times New Roman" w:hAnsi="Times New Roman" w:cs="Times New Roman"/>
          <w:color w:val="000000" w:themeColor="text1"/>
        </w:rPr>
        <w:t xml:space="preserve"> bis </w:t>
      </w:r>
      <w:proofErr w:type="spellStart"/>
      <w:r w:rsidRPr="009D7635">
        <w:rPr>
          <w:rFonts w:ascii="Times New Roman" w:hAnsi="Times New Roman" w:cs="Times New Roman"/>
          <w:color w:val="000000" w:themeColor="text1"/>
        </w:rPr>
        <w:t>zu</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Albertus</w:t>
      </w:r>
      <w:proofErr w:type="spellEnd"/>
      <w:r w:rsidRPr="009D7635">
        <w:rPr>
          <w:rFonts w:ascii="Times New Roman" w:hAnsi="Times New Roman" w:cs="Times New Roman"/>
          <w:color w:val="000000" w:themeColor="text1"/>
        </w:rPr>
        <w:t xml:space="preserve"> Magnus,’ </w:t>
      </w:r>
      <w:proofErr w:type="spellStart"/>
      <w:r w:rsidRPr="009D7635">
        <w:rPr>
          <w:rFonts w:ascii="Times New Roman" w:hAnsi="Times New Roman" w:cs="Times New Roman"/>
          <w:i/>
          <w:iCs/>
          <w:color w:val="000000" w:themeColor="text1"/>
        </w:rPr>
        <w:t>Recherches</w:t>
      </w:r>
      <w:proofErr w:type="spellEnd"/>
      <w:r w:rsidRPr="009D7635">
        <w:rPr>
          <w:rFonts w:ascii="Times New Roman" w:hAnsi="Times New Roman" w:cs="Times New Roman"/>
          <w:i/>
          <w:iCs/>
          <w:color w:val="000000" w:themeColor="text1"/>
        </w:rPr>
        <w:t xml:space="preserve"> de </w:t>
      </w:r>
      <w:proofErr w:type="spellStart"/>
      <w:r w:rsidRPr="009D7635">
        <w:rPr>
          <w:rFonts w:ascii="Times New Roman" w:hAnsi="Times New Roman" w:cs="Times New Roman"/>
          <w:i/>
          <w:iCs/>
          <w:color w:val="000000" w:themeColor="text1"/>
        </w:rPr>
        <w:t>théologie</w:t>
      </w:r>
      <w:proofErr w:type="spellEnd"/>
      <w:r w:rsidRPr="009D7635">
        <w:rPr>
          <w:rFonts w:ascii="Times New Roman" w:hAnsi="Times New Roman" w:cs="Times New Roman"/>
          <w:i/>
          <w:iCs/>
          <w:color w:val="000000" w:themeColor="text1"/>
        </w:rPr>
        <w:t xml:space="preserve"> et philosophie </w:t>
      </w:r>
      <w:proofErr w:type="spellStart"/>
      <w:r w:rsidRPr="009D7635">
        <w:rPr>
          <w:rFonts w:ascii="Times New Roman" w:hAnsi="Times New Roman" w:cs="Times New Roman"/>
          <w:i/>
          <w:iCs/>
          <w:color w:val="000000" w:themeColor="text1"/>
        </w:rPr>
        <w:t>médiévales</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66:1 (1999)</w:t>
      </w:r>
      <w:r w:rsidR="00B60AD8"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46.</w:t>
      </w:r>
    </w:p>
  </w:footnote>
  <w:footnote w:id="133">
    <w:p w14:paraId="71A3F529" w14:textId="77777777" w:rsidR="00B93ED5" w:rsidRPr="009D7635" w:rsidRDefault="00B93ED5" w:rsidP="006A5A46">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bCs/>
          <w:color w:val="000000" w:themeColor="text1"/>
          <w:sz w:val="20"/>
          <w:szCs w:val="20"/>
        </w:rPr>
        <w:t xml:space="preserve">Rodney M. Thomson, ed., </w:t>
      </w:r>
      <w:r w:rsidRPr="009D7635">
        <w:rPr>
          <w:rFonts w:ascii="Times New Roman" w:hAnsi="Times New Roman" w:cs="Times New Roman"/>
          <w:bCs/>
          <w:i/>
          <w:iCs/>
          <w:color w:val="000000" w:themeColor="text1"/>
          <w:sz w:val="20"/>
          <w:szCs w:val="20"/>
        </w:rPr>
        <w:t xml:space="preserve">Alexander </w:t>
      </w:r>
      <w:proofErr w:type="spellStart"/>
      <w:r w:rsidRPr="009D7635">
        <w:rPr>
          <w:rFonts w:ascii="Times New Roman" w:hAnsi="Times New Roman" w:cs="Times New Roman"/>
          <w:bCs/>
          <w:i/>
          <w:iCs/>
          <w:color w:val="000000" w:themeColor="text1"/>
          <w:sz w:val="20"/>
          <w:szCs w:val="20"/>
        </w:rPr>
        <w:t>Nequam</w:t>
      </w:r>
      <w:proofErr w:type="spellEnd"/>
      <w:r w:rsidRPr="009D7635">
        <w:rPr>
          <w:rFonts w:ascii="Times New Roman" w:hAnsi="Times New Roman" w:cs="Times New Roman"/>
          <w:bCs/>
          <w:i/>
          <w:iCs/>
          <w:color w:val="000000" w:themeColor="text1"/>
          <w:sz w:val="20"/>
          <w:szCs w:val="20"/>
        </w:rPr>
        <w:t xml:space="preserve"> Speculum </w:t>
      </w:r>
      <w:proofErr w:type="spellStart"/>
      <w:r w:rsidRPr="009D7635">
        <w:rPr>
          <w:rFonts w:ascii="Times New Roman" w:hAnsi="Times New Roman" w:cs="Times New Roman"/>
          <w:bCs/>
          <w:i/>
          <w:iCs/>
          <w:color w:val="000000" w:themeColor="text1"/>
          <w:sz w:val="20"/>
          <w:szCs w:val="20"/>
        </w:rPr>
        <w:t>Speculationum</w:t>
      </w:r>
      <w:proofErr w:type="spellEnd"/>
      <w:r w:rsidRPr="009D7635">
        <w:rPr>
          <w:rFonts w:ascii="Times New Roman" w:hAnsi="Times New Roman" w:cs="Times New Roman"/>
          <w:bCs/>
          <w:i/>
          <w:iCs/>
          <w:color w:val="000000" w:themeColor="text1"/>
          <w:sz w:val="20"/>
          <w:szCs w:val="20"/>
        </w:rPr>
        <w:t xml:space="preserve">, </w:t>
      </w:r>
      <w:r w:rsidRPr="009D7635">
        <w:rPr>
          <w:rFonts w:ascii="Times New Roman" w:hAnsi="Times New Roman" w:cs="Times New Roman"/>
          <w:bCs/>
          <w:iCs/>
          <w:color w:val="000000" w:themeColor="text1"/>
          <w:sz w:val="20"/>
          <w:szCs w:val="20"/>
        </w:rPr>
        <w:t>in</w:t>
      </w:r>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color w:val="000000" w:themeColor="text1"/>
          <w:sz w:val="20"/>
          <w:szCs w:val="20"/>
        </w:rPr>
        <w:t>Auctores</w:t>
      </w:r>
      <w:proofErr w:type="spellEnd"/>
      <w:r w:rsidRPr="009D7635">
        <w:rPr>
          <w:rFonts w:ascii="Times New Roman" w:hAnsi="Times New Roman" w:cs="Times New Roman"/>
          <w:bCs/>
          <w:color w:val="000000" w:themeColor="text1"/>
          <w:sz w:val="20"/>
          <w:szCs w:val="20"/>
        </w:rPr>
        <w:t xml:space="preserve"> </w:t>
      </w:r>
    </w:p>
    <w:p w14:paraId="3A011EAE" w14:textId="77777777" w:rsidR="00B93ED5" w:rsidRPr="009D7635" w:rsidRDefault="00B93ED5" w:rsidP="006A5A46">
      <w:pPr>
        <w:pStyle w:val="FootnoteText"/>
        <w:rPr>
          <w:rFonts w:ascii="Times New Roman" w:hAnsi="Times New Roman" w:cs="Times New Roman"/>
          <w:color w:val="000000" w:themeColor="text1"/>
        </w:rPr>
      </w:pPr>
      <w:proofErr w:type="spellStart"/>
      <w:r w:rsidRPr="009D7635">
        <w:rPr>
          <w:rFonts w:ascii="Times New Roman" w:hAnsi="Times New Roman" w:cs="Times New Roman"/>
          <w:bCs/>
          <w:color w:val="000000" w:themeColor="text1"/>
          <w:lang w:val="en-US"/>
        </w:rPr>
        <w:t>Britannici</w:t>
      </w:r>
      <w:proofErr w:type="spellEnd"/>
      <w:r w:rsidRPr="009D7635">
        <w:rPr>
          <w:rFonts w:ascii="Times New Roman" w:hAnsi="Times New Roman" w:cs="Times New Roman"/>
          <w:bCs/>
          <w:color w:val="000000" w:themeColor="text1"/>
          <w:lang w:val="en-US"/>
        </w:rPr>
        <w:t xml:space="preserve"> </w:t>
      </w:r>
      <w:proofErr w:type="spellStart"/>
      <w:r w:rsidRPr="009D7635">
        <w:rPr>
          <w:rFonts w:ascii="Times New Roman" w:hAnsi="Times New Roman" w:cs="Times New Roman"/>
          <w:bCs/>
          <w:color w:val="000000" w:themeColor="text1"/>
          <w:lang w:val="en-US"/>
        </w:rPr>
        <w:t>Medii</w:t>
      </w:r>
      <w:proofErr w:type="spellEnd"/>
      <w:r w:rsidRPr="009D7635">
        <w:rPr>
          <w:rFonts w:ascii="Times New Roman" w:hAnsi="Times New Roman" w:cs="Times New Roman"/>
          <w:bCs/>
          <w:color w:val="000000" w:themeColor="text1"/>
          <w:lang w:val="en-US"/>
        </w:rPr>
        <w:t xml:space="preserve"> </w:t>
      </w:r>
      <w:proofErr w:type="spellStart"/>
      <w:r w:rsidRPr="009D7635">
        <w:rPr>
          <w:rFonts w:ascii="Times New Roman" w:hAnsi="Times New Roman" w:cs="Times New Roman"/>
          <w:bCs/>
          <w:color w:val="000000" w:themeColor="text1"/>
          <w:lang w:val="en-US"/>
        </w:rPr>
        <w:t>Aevi</w:t>
      </w:r>
      <w:proofErr w:type="spellEnd"/>
      <w:r w:rsidRPr="009D7635">
        <w:rPr>
          <w:rFonts w:ascii="Times New Roman" w:hAnsi="Times New Roman" w:cs="Times New Roman"/>
          <w:bCs/>
          <w:color w:val="000000" w:themeColor="text1"/>
          <w:lang w:val="en-US"/>
        </w:rPr>
        <w:t xml:space="preserve"> 11 (London, 1988).</w:t>
      </w:r>
    </w:p>
  </w:footnote>
  <w:footnote w:id="134">
    <w:p w14:paraId="5802CB8E"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 Callus, ‘The Treatise of John </w:t>
      </w:r>
      <w:proofErr w:type="spellStart"/>
      <w:r w:rsidRPr="009D7635">
        <w:rPr>
          <w:rFonts w:ascii="Times New Roman" w:hAnsi="Times New Roman" w:cs="Times New Roman"/>
          <w:color w:val="000000" w:themeColor="text1"/>
        </w:rPr>
        <w:t>Blund</w:t>
      </w:r>
      <w:proofErr w:type="spellEnd"/>
      <w:r w:rsidRPr="009D7635">
        <w:rPr>
          <w:rFonts w:ascii="Times New Roman" w:hAnsi="Times New Roman" w:cs="Times New Roman"/>
          <w:color w:val="000000" w:themeColor="text1"/>
        </w:rPr>
        <w:t xml:space="preserve"> on the Soul,’ </w:t>
      </w:r>
      <w:r w:rsidRPr="009D7635">
        <w:rPr>
          <w:rFonts w:ascii="Times New Roman" w:hAnsi="Times New Roman" w:cs="Times New Roman"/>
          <w:color w:val="000000" w:themeColor="text1"/>
          <w:lang w:val="en-US"/>
        </w:rPr>
        <w:t>490.</w:t>
      </w:r>
    </w:p>
  </w:footnote>
  <w:footnote w:id="135">
    <w:p w14:paraId="7E47F853" w14:textId="5FF4134C"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bCs/>
          <w:i/>
          <w:iCs/>
          <w:color w:val="000000" w:themeColor="text1"/>
        </w:rPr>
        <w:t>Iohannes</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Blund</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Tractatus</w:t>
      </w:r>
      <w:proofErr w:type="spellEnd"/>
      <w:r w:rsidRPr="009D7635">
        <w:rPr>
          <w:rFonts w:ascii="Times New Roman" w:hAnsi="Times New Roman" w:cs="Times New Roman"/>
          <w:bCs/>
          <w:i/>
          <w:iCs/>
          <w:color w:val="000000" w:themeColor="text1"/>
        </w:rPr>
        <w:t xml:space="preserve"> De Anima</w:t>
      </w:r>
      <w:r w:rsidRPr="009D7635">
        <w:rPr>
          <w:rFonts w:ascii="Times New Roman" w:hAnsi="Times New Roman" w:cs="Times New Roman"/>
          <w:bCs/>
          <w:color w:val="000000" w:themeColor="text1"/>
        </w:rPr>
        <w:t>,</w:t>
      </w:r>
      <w:r w:rsidRPr="009D7635">
        <w:rPr>
          <w:rFonts w:ascii="Times New Roman" w:hAnsi="Times New Roman" w:cs="Times New Roman"/>
          <w:color w:val="000000" w:themeColor="text1"/>
        </w:rPr>
        <w:t xml:space="preserve"> 31ff.</w:t>
      </w:r>
    </w:p>
  </w:footnote>
  <w:footnote w:id="136">
    <w:p w14:paraId="2A0E7E04" w14:textId="2D755A8F"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 </w:t>
      </w:r>
      <w:r w:rsidRPr="009D7635">
        <w:rPr>
          <w:rFonts w:ascii="Times New Roman" w:hAnsi="Times New Roman" w:cs="Times New Roman"/>
          <w:i/>
          <w:color w:val="000000" w:themeColor="text1"/>
        </w:rPr>
        <w:t>Avicenna’s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32; </w:t>
      </w:r>
      <w:r w:rsidRPr="009D7635">
        <w:rPr>
          <w:rFonts w:ascii="Times New Roman" w:hAnsi="Times New Roman" w:cs="Times New Roman"/>
          <w:color w:val="000000" w:themeColor="text1"/>
          <w:lang w:val="en-US"/>
        </w:rPr>
        <w:t>Carl Sigmund Bar</w:t>
      </w:r>
      <w:r w:rsidRPr="009D7635">
        <w:rPr>
          <w:rFonts w:ascii="Times New Roman" w:hAnsi="Times New Roman" w:cs="Times New Roman"/>
          <w:color w:val="000000" w:themeColor="text1"/>
        </w:rPr>
        <w:t>u</w:t>
      </w:r>
      <w:r w:rsidRPr="009D7635">
        <w:rPr>
          <w:rFonts w:ascii="Times New Roman" w:hAnsi="Times New Roman" w:cs="Times New Roman"/>
          <w:color w:val="000000" w:themeColor="text1"/>
          <w:lang w:val="en-US"/>
        </w:rPr>
        <w:t xml:space="preserve">ch, ed., </w:t>
      </w:r>
      <w:proofErr w:type="spellStart"/>
      <w:r w:rsidRPr="009D7635">
        <w:rPr>
          <w:rFonts w:ascii="Times New Roman" w:hAnsi="Times New Roman" w:cs="Times New Roman"/>
          <w:i/>
          <w:color w:val="000000" w:themeColor="text1"/>
          <w:lang w:val="en-US"/>
        </w:rPr>
        <w:t>Excerpta</w:t>
      </w:r>
      <w:proofErr w:type="spellEnd"/>
      <w:r w:rsidRPr="009D7635">
        <w:rPr>
          <w:rFonts w:ascii="Times New Roman" w:hAnsi="Times New Roman" w:cs="Times New Roman"/>
          <w:i/>
          <w:color w:val="000000" w:themeColor="text1"/>
          <w:lang w:val="en-US"/>
        </w:rPr>
        <w:t xml:space="preserve"> e </w:t>
      </w:r>
      <w:proofErr w:type="spellStart"/>
      <w:r w:rsidRPr="009D7635">
        <w:rPr>
          <w:rFonts w:ascii="Times New Roman" w:hAnsi="Times New Roman" w:cs="Times New Roman"/>
          <w:i/>
          <w:color w:val="000000" w:themeColor="text1"/>
          <w:lang w:val="en-US"/>
        </w:rPr>
        <w:t>libro</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Alfredi</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Angelici</w:t>
      </w:r>
      <w:proofErr w:type="spellEnd"/>
      <w:r w:rsidRPr="009D7635">
        <w:rPr>
          <w:rFonts w:ascii="Times New Roman" w:hAnsi="Times New Roman" w:cs="Times New Roman"/>
          <w:iCs/>
          <w:color w:val="000000" w:themeColor="text1"/>
          <w:lang w:val="en-US"/>
        </w:rPr>
        <w:t xml:space="preserve">, </w:t>
      </w:r>
      <w:r w:rsidRPr="009D7635">
        <w:rPr>
          <w:rFonts w:ascii="Times New Roman" w:hAnsi="Times New Roman" w:cs="Times New Roman"/>
          <w:color w:val="000000" w:themeColor="text1"/>
          <w:lang w:val="en-US"/>
        </w:rPr>
        <w:t xml:space="preserve">16: </w:t>
      </w:r>
      <w:proofErr w:type="spellStart"/>
      <w:r w:rsidRPr="009D7635">
        <w:rPr>
          <w:rFonts w:ascii="Times New Roman" w:hAnsi="Times New Roman" w:cs="Times New Roman"/>
          <w:color w:val="000000" w:themeColor="text1"/>
          <w:lang w:val="en-US"/>
        </w:rPr>
        <w:t>Sarashel</w:t>
      </w:r>
      <w:proofErr w:type="spellEnd"/>
      <w:r w:rsidRPr="009D7635">
        <w:rPr>
          <w:rFonts w:ascii="Times New Roman" w:hAnsi="Times New Roman" w:cs="Times New Roman"/>
          <w:color w:val="000000" w:themeColor="text1"/>
          <w:lang w:val="en-US"/>
        </w:rPr>
        <w:t xml:space="preserve"> wrote his text most likely between 1220-27.</w:t>
      </w:r>
    </w:p>
  </w:footnote>
  <w:footnote w:id="137">
    <w:p w14:paraId="09052EA8" w14:textId="3B5B3EA1" w:rsidR="00B93ED5" w:rsidRPr="009D7635" w:rsidRDefault="00B93ED5" w:rsidP="006A5A46">
      <w:pPr>
        <w:autoSpaceDE w:val="0"/>
        <w:autoSpaceDN w:val="0"/>
        <w:adjustRightInd w:val="0"/>
        <w:ind w:right="26"/>
        <w:rPr>
          <w:rFonts w:ascii="Times New Roman" w:hAnsi="Times New Roman" w:cs="Times New Roman"/>
          <w:bCs/>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Leland Edward Wilshire, ‘The Condemnations of 1277 and the Intellectual Climate of the Medieval University,’ in </w:t>
      </w:r>
      <w:r w:rsidRPr="009D7635">
        <w:rPr>
          <w:rFonts w:ascii="Times New Roman" w:hAnsi="Times New Roman" w:cs="Times New Roman"/>
          <w:i/>
          <w:color w:val="000000" w:themeColor="text1"/>
          <w:sz w:val="20"/>
          <w:szCs w:val="20"/>
        </w:rPr>
        <w:t>The Intellectual Climate of the Early University</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ed. Nancy Van </w:t>
      </w:r>
      <w:proofErr w:type="spellStart"/>
      <w:r w:rsidRPr="009D7635">
        <w:rPr>
          <w:rFonts w:ascii="Times New Roman" w:hAnsi="Times New Roman" w:cs="Times New Roman"/>
          <w:color w:val="000000" w:themeColor="text1"/>
          <w:sz w:val="20"/>
          <w:szCs w:val="20"/>
        </w:rPr>
        <w:t>Deusen</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(Kalamazoo: Medieval Institute Publications, 1997), 162. </w:t>
      </w:r>
      <w:r w:rsidRPr="009D7635">
        <w:rPr>
          <w:rFonts w:ascii="Times New Roman" w:hAnsi="Times New Roman" w:cs="Times New Roman"/>
          <w:bCs/>
          <w:color w:val="000000" w:themeColor="text1"/>
          <w:sz w:val="20"/>
          <w:szCs w:val="20"/>
        </w:rPr>
        <w:t>Luca Bianchi</w:t>
      </w:r>
      <w:r w:rsidRPr="009D7635">
        <w:rPr>
          <w:rFonts w:ascii="Times New Roman" w:hAnsi="Times New Roman" w:cs="Times New Roman"/>
          <w:color w:val="000000" w:themeColor="text1"/>
          <w:sz w:val="20"/>
          <w:szCs w:val="20"/>
        </w:rPr>
        <w:t xml:space="preserve">, ‘Les interdictions relatives à </w:t>
      </w:r>
      <w:proofErr w:type="spellStart"/>
      <w:r w:rsidRPr="009D7635">
        <w:rPr>
          <w:rFonts w:ascii="Times New Roman" w:hAnsi="Times New Roman" w:cs="Times New Roman"/>
          <w:color w:val="000000" w:themeColor="text1"/>
          <w:sz w:val="20"/>
          <w:szCs w:val="20"/>
        </w:rPr>
        <w:t>l’enseignement</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d’Aristote</w:t>
      </w:r>
      <w:proofErr w:type="spellEnd"/>
      <w:r w:rsidRPr="009D7635">
        <w:rPr>
          <w:rFonts w:ascii="Times New Roman" w:hAnsi="Times New Roman" w:cs="Times New Roman"/>
          <w:color w:val="000000" w:themeColor="text1"/>
          <w:sz w:val="20"/>
          <w:szCs w:val="20"/>
        </w:rPr>
        <w:t xml:space="preserve"> au XIIIe siècle,’ in </w:t>
      </w:r>
      <w:proofErr w:type="spellStart"/>
      <w:r w:rsidRPr="009D7635">
        <w:rPr>
          <w:rFonts w:ascii="Times New Roman" w:hAnsi="Times New Roman" w:cs="Times New Roman"/>
          <w:i/>
          <w:color w:val="000000" w:themeColor="text1"/>
          <w:sz w:val="20"/>
          <w:szCs w:val="20"/>
        </w:rPr>
        <w:t>L’enseignement</w:t>
      </w:r>
      <w:proofErr w:type="spellEnd"/>
      <w:r w:rsidRPr="009D7635">
        <w:rPr>
          <w:rFonts w:ascii="Times New Roman" w:hAnsi="Times New Roman" w:cs="Times New Roman"/>
          <w:i/>
          <w:color w:val="000000" w:themeColor="text1"/>
          <w:sz w:val="20"/>
          <w:szCs w:val="20"/>
        </w:rPr>
        <w:t xml:space="preserve"> de la philosophie au XIIIe siècle: </w:t>
      </w:r>
      <w:proofErr w:type="spellStart"/>
      <w:r w:rsidRPr="009D7635">
        <w:rPr>
          <w:rFonts w:ascii="Times New Roman" w:hAnsi="Times New Roman" w:cs="Times New Roman"/>
          <w:i/>
          <w:color w:val="000000" w:themeColor="text1"/>
          <w:sz w:val="20"/>
          <w:szCs w:val="20"/>
        </w:rPr>
        <w:t>Autour</w:t>
      </w:r>
      <w:proofErr w:type="spellEnd"/>
      <w:r w:rsidRPr="009D7635">
        <w:rPr>
          <w:rFonts w:ascii="Times New Roman" w:hAnsi="Times New Roman" w:cs="Times New Roman"/>
          <w:i/>
          <w:color w:val="000000" w:themeColor="text1"/>
          <w:sz w:val="20"/>
          <w:szCs w:val="20"/>
        </w:rPr>
        <w:t xml:space="preserve"> du Guide de </w:t>
      </w:r>
      <w:proofErr w:type="spellStart"/>
      <w:r w:rsidRPr="009D7635">
        <w:rPr>
          <w:rFonts w:ascii="Times New Roman" w:hAnsi="Times New Roman" w:cs="Times New Roman"/>
          <w:i/>
          <w:color w:val="000000" w:themeColor="text1"/>
          <w:sz w:val="20"/>
          <w:szCs w:val="20"/>
        </w:rPr>
        <w:t>l’étudiant</w:t>
      </w:r>
      <w:proofErr w:type="spellEnd"/>
      <w:r w:rsidRPr="009D7635">
        <w:rPr>
          <w:rFonts w:ascii="Times New Roman" w:hAnsi="Times New Roman" w:cs="Times New Roman"/>
          <w:i/>
          <w:color w:val="000000" w:themeColor="text1"/>
          <w:sz w:val="20"/>
          <w:szCs w:val="20"/>
        </w:rPr>
        <w:t xml:space="preserve"> du ms. </w:t>
      </w:r>
      <w:proofErr w:type="spellStart"/>
      <w:r w:rsidRPr="009D7635">
        <w:rPr>
          <w:rFonts w:ascii="Times New Roman" w:hAnsi="Times New Roman" w:cs="Times New Roman"/>
          <w:i/>
          <w:color w:val="000000" w:themeColor="text1"/>
          <w:sz w:val="20"/>
          <w:szCs w:val="20"/>
        </w:rPr>
        <w:t>Ripoll</w:t>
      </w:r>
      <w:proofErr w:type="spellEnd"/>
      <w:r w:rsidRPr="009D7635">
        <w:rPr>
          <w:rFonts w:ascii="Times New Roman" w:hAnsi="Times New Roman" w:cs="Times New Roman"/>
          <w:i/>
          <w:color w:val="000000" w:themeColor="text1"/>
          <w:sz w:val="20"/>
          <w:szCs w:val="20"/>
        </w:rPr>
        <w:t xml:space="preserve"> 109</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ed. Claude Lafleur and Joanne Carrier (</w:t>
      </w:r>
      <w:proofErr w:type="spellStart"/>
      <w:r w:rsidRPr="009D7635">
        <w:rPr>
          <w:rFonts w:ascii="Times New Roman" w:hAnsi="Times New Roman" w:cs="Times New Roman"/>
          <w:color w:val="000000" w:themeColor="text1"/>
          <w:sz w:val="20"/>
          <w:szCs w:val="20"/>
        </w:rPr>
        <w:t>Turnhout</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Brepols</w:t>
      </w:r>
      <w:proofErr w:type="spellEnd"/>
      <w:r w:rsidRPr="009D7635">
        <w:rPr>
          <w:rFonts w:ascii="Times New Roman" w:hAnsi="Times New Roman" w:cs="Times New Roman"/>
          <w:color w:val="000000" w:themeColor="text1"/>
          <w:sz w:val="20"/>
          <w:szCs w:val="20"/>
        </w:rPr>
        <w:t>, 1997), 11</w:t>
      </w:r>
      <w:r w:rsidR="005B529C" w:rsidRPr="009D7635">
        <w:rPr>
          <w:rFonts w:ascii="Times New Roman" w:hAnsi="Times New Roman" w:cs="Times New Roman"/>
          <w:color w:val="000000" w:themeColor="text1"/>
          <w:sz w:val="20"/>
          <w:szCs w:val="20"/>
        </w:rPr>
        <w:t xml:space="preserve">7, </w:t>
      </w:r>
      <w:r w:rsidRPr="009D7635">
        <w:rPr>
          <w:rFonts w:ascii="Times New Roman" w:hAnsi="Times New Roman" w:cs="Times New Roman"/>
          <w:color w:val="000000" w:themeColor="text1"/>
          <w:sz w:val="20"/>
          <w:szCs w:val="20"/>
        </w:rPr>
        <w:t xml:space="preserve">119. </w:t>
      </w:r>
    </w:p>
  </w:footnote>
  <w:footnote w:id="138">
    <w:p w14:paraId="26DB9649" w14:textId="6DDFE4BB" w:rsidR="00B93ED5" w:rsidRPr="009D7635" w:rsidRDefault="00B93ED5" w:rsidP="006A5A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bCs/>
          <w:color w:val="000000" w:themeColor="text1"/>
          <w:sz w:val="20"/>
          <w:szCs w:val="20"/>
        </w:rPr>
        <w:t>Luca Bianchi</w:t>
      </w:r>
      <w:r w:rsidRPr="009D7635">
        <w:rPr>
          <w:rFonts w:ascii="Times New Roman" w:hAnsi="Times New Roman" w:cs="Times New Roman"/>
          <w:color w:val="000000" w:themeColor="text1"/>
          <w:sz w:val="20"/>
          <w:szCs w:val="20"/>
        </w:rPr>
        <w:t xml:space="preserve">, ‘Les interdictions relatives à </w:t>
      </w:r>
      <w:proofErr w:type="spellStart"/>
      <w:r w:rsidRPr="009D7635">
        <w:rPr>
          <w:rFonts w:ascii="Times New Roman" w:hAnsi="Times New Roman" w:cs="Times New Roman"/>
          <w:color w:val="000000" w:themeColor="text1"/>
          <w:sz w:val="20"/>
          <w:szCs w:val="20"/>
        </w:rPr>
        <w:t>l’enseignement</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d’Aristote</w:t>
      </w:r>
      <w:proofErr w:type="spellEnd"/>
      <w:r w:rsidRPr="009D7635">
        <w:rPr>
          <w:rFonts w:ascii="Times New Roman" w:hAnsi="Times New Roman" w:cs="Times New Roman"/>
          <w:color w:val="000000" w:themeColor="text1"/>
          <w:sz w:val="20"/>
          <w:szCs w:val="20"/>
        </w:rPr>
        <w:t xml:space="preserve"> au XIIIe siècle,’ 117; </w:t>
      </w:r>
      <w:r w:rsidR="005B529C" w:rsidRPr="009D7635">
        <w:rPr>
          <w:rFonts w:ascii="Times New Roman" w:hAnsi="Times New Roman" w:cs="Times New Roman"/>
          <w:color w:val="000000" w:themeColor="text1"/>
          <w:sz w:val="20"/>
          <w:szCs w:val="20"/>
        </w:rPr>
        <w:t xml:space="preserve">c.f. </w:t>
      </w:r>
      <w:r w:rsidRPr="009D7635">
        <w:rPr>
          <w:rFonts w:ascii="Times New Roman" w:hAnsi="Times New Roman" w:cs="Times New Roman"/>
          <w:color w:val="000000" w:themeColor="text1"/>
          <w:sz w:val="20"/>
          <w:szCs w:val="20"/>
          <w:lang w:val="en-US"/>
        </w:rPr>
        <w:t xml:space="preserve">S.C. </w:t>
      </w:r>
      <w:proofErr w:type="spellStart"/>
      <w:r w:rsidRPr="009D7635">
        <w:rPr>
          <w:rFonts w:ascii="Times New Roman" w:hAnsi="Times New Roman" w:cs="Times New Roman"/>
          <w:color w:val="000000" w:themeColor="text1"/>
          <w:sz w:val="20"/>
          <w:szCs w:val="20"/>
          <w:lang w:val="en-US"/>
        </w:rPr>
        <w:t>Ferruow</w:t>
      </w:r>
      <w:proofErr w:type="spellEnd"/>
      <w:r w:rsidRPr="009D7635">
        <w:rPr>
          <w:rFonts w:ascii="Times New Roman" w:hAnsi="Times New Roman" w:cs="Times New Roman"/>
          <w:color w:val="000000" w:themeColor="text1"/>
          <w:sz w:val="20"/>
          <w:szCs w:val="20"/>
          <w:lang w:val="en-US"/>
        </w:rPr>
        <w:t xml:space="preserve">, ‘The Paris Statutes of 1215 Reconsidered,’ </w:t>
      </w:r>
      <w:r w:rsidRPr="009D7635">
        <w:rPr>
          <w:rFonts w:ascii="Times New Roman" w:hAnsi="Times New Roman" w:cs="Times New Roman"/>
          <w:i/>
          <w:color w:val="000000" w:themeColor="text1"/>
          <w:sz w:val="20"/>
          <w:szCs w:val="20"/>
          <w:lang w:val="en-US"/>
        </w:rPr>
        <w:t>History of Universities</w:t>
      </w:r>
      <w:r w:rsidRPr="009D7635">
        <w:rPr>
          <w:rFonts w:ascii="Times New Roman" w:hAnsi="Times New Roman" w:cs="Times New Roman"/>
          <w:color w:val="000000" w:themeColor="text1"/>
          <w:sz w:val="20"/>
          <w:szCs w:val="20"/>
          <w:lang w:val="en-US"/>
        </w:rPr>
        <w:t xml:space="preserve"> 5 (1985)</w:t>
      </w:r>
      <w:r w:rsidR="00D07F17"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1-14. </w:t>
      </w:r>
    </w:p>
  </w:footnote>
  <w:footnote w:id="139">
    <w:p w14:paraId="51212B49"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Gordon </w:t>
      </w:r>
      <w:proofErr w:type="spellStart"/>
      <w:r w:rsidRPr="009D7635">
        <w:rPr>
          <w:rFonts w:ascii="Times New Roman" w:hAnsi="Times New Roman" w:cs="Times New Roman"/>
          <w:color w:val="000000" w:themeColor="text1"/>
        </w:rPr>
        <w:t>Leff</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Paris and Oxford Universities in the Thirteenth and Fourteenth Centuries</w:t>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An Institutional and Intellectual History</w:t>
      </w:r>
      <w:r w:rsidRPr="009D7635">
        <w:rPr>
          <w:rFonts w:ascii="Times New Roman" w:hAnsi="Times New Roman" w:cs="Times New Roman"/>
          <w:color w:val="000000" w:themeColor="text1"/>
        </w:rPr>
        <w:t xml:space="preserve"> (London: Wiley, 1968), 197. </w:t>
      </w:r>
    </w:p>
  </w:footnote>
  <w:footnote w:id="140">
    <w:p w14:paraId="414DCB88" w14:textId="3774D681" w:rsidR="00B93ED5" w:rsidRPr="009D7635" w:rsidRDefault="00B93ED5" w:rsidP="006A5A46">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The prescribed texts are listed in </w:t>
      </w:r>
      <w:proofErr w:type="spellStart"/>
      <w:r w:rsidRPr="009D7635">
        <w:rPr>
          <w:rFonts w:ascii="Times New Roman" w:hAnsi="Times New Roman" w:cs="Times New Roman"/>
          <w:i/>
          <w:color w:val="000000" w:themeColor="text1"/>
          <w:sz w:val="20"/>
          <w:szCs w:val="20"/>
          <w:lang w:val="en-US"/>
        </w:rPr>
        <w:t>Chartularium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Universitatis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Parisiensis</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(CUP), ed. H. </w:t>
      </w:r>
      <w:proofErr w:type="spellStart"/>
      <w:r w:rsidRPr="009D7635">
        <w:rPr>
          <w:rFonts w:ascii="Times New Roman" w:hAnsi="Times New Roman" w:cs="Times New Roman"/>
          <w:color w:val="000000" w:themeColor="text1"/>
          <w:sz w:val="20"/>
          <w:szCs w:val="20"/>
          <w:lang w:val="en-US"/>
        </w:rPr>
        <w:t>Denifle</w:t>
      </w:r>
      <w:proofErr w:type="spellEnd"/>
      <w:r w:rsidRPr="009D7635">
        <w:rPr>
          <w:rFonts w:ascii="Times New Roman" w:hAnsi="Times New Roman" w:cs="Times New Roman"/>
          <w:color w:val="000000" w:themeColor="text1"/>
          <w:sz w:val="20"/>
          <w:szCs w:val="20"/>
          <w:lang w:val="en-US"/>
        </w:rPr>
        <w:t xml:space="preserve"> and É. Chatelain (Paris: </w:t>
      </w:r>
      <w:proofErr w:type="spellStart"/>
      <w:r w:rsidRPr="009D7635">
        <w:rPr>
          <w:rFonts w:ascii="Times New Roman" w:hAnsi="Times New Roman" w:cs="Times New Roman"/>
          <w:color w:val="000000" w:themeColor="text1"/>
          <w:sz w:val="20"/>
          <w:szCs w:val="20"/>
          <w:lang w:val="en-US"/>
        </w:rPr>
        <w:t>Delalain</w:t>
      </w:r>
      <w:proofErr w:type="spellEnd"/>
      <w:r w:rsidRPr="009D7635">
        <w:rPr>
          <w:rFonts w:ascii="Times New Roman" w:hAnsi="Times New Roman" w:cs="Times New Roman"/>
          <w:color w:val="000000" w:themeColor="text1"/>
          <w:sz w:val="20"/>
          <w:szCs w:val="20"/>
          <w:lang w:val="en-US"/>
        </w:rPr>
        <w:t xml:space="preserve">, 1889-1894; </w:t>
      </w:r>
      <w:proofErr w:type="spellStart"/>
      <w:r w:rsidRPr="009D7635">
        <w:rPr>
          <w:rFonts w:ascii="Times New Roman" w:hAnsi="Times New Roman" w:cs="Times New Roman"/>
          <w:color w:val="000000" w:themeColor="text1"/>
          <w:sz w:val="20"/>
          <w:szCs w:val="20"/>
          <w:lang w:val="en-US"/>
        </w:rPr>
        <w:t>repr</w:t>
      </w:r>
      <w:proofErr w:type="spellEnd"/>
      <w:r w:rsidRPr="009D7635">
        <w:rPr>
          <w:rFonts w:ascii="Times New Roman" w:hAnsi="Times New Roman" w:cs="Times New Roman"/>
          <w:color w:val="000000" w:themeColor="text1"/>
          <w:sz w:val="20"/>
          <w:szCs w:val="20"/>
          <w:lang w:val="en-US"/>
        </w:rPr>
        <w:t xml:space="preserve">. Bruxelles: Culture et </w:t>
      </w:r>
      <w:proofErr w:type="spellStart"/>
      <w:r w:rsidRPr="009D7635">
        <w:rPr>
          <w:rFonts w:ascii="Times New Roman" w:hAnsi="Times New Roman" w:cs="Times New Roman"/>
          <w:color w:val="000000" w:themeColor="text1"/>
          <w:sz w:val="20"/>
          <w:szCs w:val="20"/>
          <w:lang w:val="en-US"/>
        </w:rPr>
        <w:t>Civilisation</w:t>
      </w:r>
      <w:proofErr w:type="spellEnd"/>
      <w:r w:rsidRPr="009D7635">
        <w:rPr>
          <w:rFonts w:ascii="Times New Roman" w:hAnsi="Times New Roman" w:cs="Times New Roman"/>
          <w:color w:val="000000" w:themeColor="text1"/>
          <w:sz w:val="20"/>
          <w:szCs w:val="20"/>
          <w:lang w:val="en-US"/>
        </w:rPr>
        <w:t>, 1964), t. l, n</w:t>
      </w:r>
      <w:r w:rsidR="00D07F17"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20, 78. They are also listed by Claude Lafleur with Joanne Carrier in, ‘La </w:t>
      </w:r>
      <w:proofErr w:type="spellStart"/>
      <w:r w:rsidRPr="009D7635">
        <w:rPr>
          <w:rFonts w:ascii="Times New Roman" w:hAnsi="Times New Roman" w:cs="Times New Roman"/>
          <w:color w:val="000000" w:themeColor="text1"/>
          <w:sz w:val="20"/>
          <w:szCs w:val="20"/>
          <w:lang w:val="en-US"/>
        </w:rPr>
        <w:t>réglementation</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curriculaire</w:t>
      </w:r>
      <w:proofErr w:type="spellEnd"/>
      <w:r w:rsidRPr="009D7635">
        <w:rPr>
          <w:rFonts w:ascii="Times New Roman" w:hAnsi="Times New Roman" w:cs="Times New Roman"/>
          <w:color w:val="000000" w:themeColor="text1"/>
          <w:sz w:val="20"/>
          <w:szCs w:val="20"/>
          <w:lang w:val="en-US"/>
        </w:rPr>
        <w:t xml:space="preserve"> dans les introductions à la philosophie et les guides de </w:t>
      </w:r>
      <w:proofErr w:type="spellStart"/>
      <w:r w:rsidRPr="009D7635">
        <w:rPr>
          <w:rFonts w:ascii="Times New Roman" w:hAnsi="Times New Roman" w:cs="Times New Roman"/>
          <w:color w:val="000000" w:themeColor="text1"/>
          <w:sz w:val="20"/>
          <w:szCs w:val="20"/>
          <w:lang w:val="en-US"/>
        </w:rPr>
        <w:t>l'étudiant</w:t>
      </w:r>
      <w:proofErr w:type="spellEnd"/>
      <w:r w:rsidRPr="009D7635">
        <w:rPr>
          <w:rFonts w:ascii="Times New Roman" w:hAnsi="Times New Roman" w:cs="Times New Roman"/>
          <w:color w:val="000000" w:themeColor="text1"/>
          <w:sz w:val="20"/>
          <w:szCs w:val="20"/>
          <w:lang w:val="en-US"/>
        </w:rPr>
        <w:t xml:space="preserve"> de la </w:t>
      </w:r>
      <w:proofErr w:type="spellStart"/>
      <w:r w:rsidRPr="009D7635">
        <w:rPr>
          <w:rFonts w:ascii="Times New Roman" w:hAnsi="Times New Roman" w:cs="Times New Roman"/>
          <w:color w:val="000000" w:themeColor="text1"/>
          <w:sz w:val="20"/>
          <w:szCs w:val="20"/>
          <w:lang w:val="en-US"/>
        </w:rPr>
        <w:t>Faculté</w:t>
      </w:r>
      <w:proofErr w:type="spellEnd"/>
      <w:r w:rsidRPr="009D7635">
        <w:rPr>
          <w:rFonts w:ascii="Times New Roman" w:hAnsi="Times New Roman" w:cs="Times New Roman"/>
          <w:color w:val="000000" w:themeColor="text1"/>
          <w:sz w:val="20"/>
          <w:szCs w:val="20"/>
          <w:lang w:val="en-US"/>
        </w:rPr>
        <w:t xml:space="preserve"> des arts de Paris au XIII</w:t>
      </w:r>
      <w:r w:rsidR="00027A4F" w:rsidRPr="009D7635">
        <w:rPr>
          <w:rFonts w:ascii="Times New Roman" w:hAnsi="Times New Roman" w:cs="Times New Roman"/>
          <w:color w:val="000000" w:themeColor="text1"/>
          <w:sz w:val="20"/>
          <w:szCs w:val="20"/>
          <w:lang w:val="en-US"/>
        </w:rPr>
        <w:t>e</w:t>
      </w:r>
      <w:r w:rsidRPr="009D7635">
        <w:rPr>
          <w:rFonts w:ascii="Times New Roman" w:hAnsi="Times New Roman" w:cs="Times New Roman"/>
          <w:color w:val="000000" w:themeColor="text1"/>
          <w:sz w:val="20"/>
          <w:szCs w:val="20"/>
          <w:lang w:val="en-US"/>
        </w:rPr>
        <w:t xml:space="preserve"> siècle: </w:t>
      </w:r>
      <w:proofErr w:type="spellStart"/>
      <w:r w:rsidR="00197FB6" w:rsidRPr="009D7635">
        <w:rPr>
          <w:rFonts w:ascii="Times New Roman" w:hAnsi="Times New Roman" w:cs="Times New Roman"/>
          <w:color w:val="000000" w:themeColor="text1"/>
          <w:sz w:val="20"/>
          <w:szCs w:val="20"/>
          <w:lang w:val="en-US"/>
        </w:rPr>
        <w:t>U</w:t>
      </w:r>
      <w:r w:rsidRPr="009D7635">
        <w:rPr>
          <w:rFonts w:ascii="Times New Roman" w:hAnsi="Times New Roman" w:cs="Times New Roman"/>
          <w:color w:val="000000" w:themeColor="text1"/>
          <w:sz w:val="20"/>
          <w:szCs w:val="20"/>
          <w:lang w:val="en-US"/>
        </w:rPr>
        <w:t>ne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mise</w:t>
      </w:r>
      <w:proofErr w:type="spellEnd"/>
      <w:r w:rsidRPr="009D7635">
        <w:rPr>
          <w:rFonts w:ascii="Times New Roman" w:hAnsi="Times New Roman" w:cs="Times New Roman"/>
          <w:color w:val="000000" w:themeColor="text1"/>
          <w:sz w:val="20"/>
          <w:szCs w:val="20"/>
          <w:lang w:val="en-US"/>
        </w:rPr>
        <w:t xml:space="preserve"> en context,’ in </w:t>
      </w:r>
      <w:proofErr w:type="spellStart"/>
      <w:r w:rsidRPr="009D7635">
        <w:rPr>
          <w:rFonts w:ascii="Times New Roman" w:hAnsi="Times New Roman" w:cs="Times New Roman"/>
          <w:i/>
          <w:color w:val="000000" w:themeColor="text1"/>
          <w:sz w:val="20"/>
          <w:szCs w:val="20"/>
        </w:rPr>
        <w:t>L’enseignement</w:t>
      </w:r>
      <w:proofErr w:type="spellEnd"/>
      <w:r w:rsidRPr="009D7635">
        <w:rPr>
          <w:rFonts w:ascii="Times New Roman" w:hAnsi="Times New Roman" w:cs="Times New Roman"/>
          <w:i/>
          <w:color w:val="000000" w:themeColor="text1"/>
          <w:sz w:val="20"/>
          <w:szCs w:val="20"/>
        </w:rPr>
        <w:t xml:space="preserve"> de la philosophie au XIIIe siècle: </w:t>
      </w:r>
      <w:proofErr w:type="spellStart"/>
      <w:r w:rsidRPr="009D7635">
        <w:rPr>
          <w:rFonts w:ascii="Times New Roman" w:hAnsi="Times New Roman" w:cs="Times New Roman"/>
          <w:i/>
          <w:color w:val="000000" w:themeColor="text1"/>
          <w:sz w:val="20"/>
          <w:szCs w:val="20"/>
        </w:rPr>
        <w:t>Autour</w:t>
      </w:r>
      <w:proofErr w:type="spellEnd"/>
      <w:r w:rsidRPr="009D7635">
        <w:rPr>
          <w:rFonts w:ascii="Times New Roman" w:hAnsi="Times New Roman" w:cs="Times New Roman"/>
          <w:i/>
          <w:color w:val="000000" w:themeColor="text1"/>
          <w:sz w:val="20"/>
          <w:szCs w:val="20"/>
        </w:rPr>
        <w:t xml:space="preserve"> du Guide de </w:t>
      </w:r>
      <w:proofErr w:type="spellStart"/>
      <w:r w:rsidRPr="009D7635">
        <w:rPr>
          <w:rFonts w:ascii="Times New Roman" w:hAnsi="Times New Roman" w:cs="Times New Roman"/>
          <w:i/>
          <w:color w:val="000000" w:themeColor="text1"/>
          <w:sz w:val="20"/>
          <w:szCs w:val="20"/>
        </w:rPr>
        <w:t>l’étudiant</w:t>
      </w:r>
      <w:proofErr w:type="spellEnd"/>
      <w:r w:rsidRPr="009D7635">
        <w:rPr>
          <w:rFonts w:ascii="Times New Roman" w:hAnsi="Times New Roman" w:cs="Times New Roman"/>
          <w:i/>
          <w:color w:val="000000" w:themeColor="text1"/>
          <w:sz w:val="20"/>
          <w:szCs w:val="20"/>
        </w:rPr>
        <w:t xml:space="preserve"> du ms. </w:t>
      </w:r>
      <w:proofErr w:type="spellStart"/>
      <w:r w:rsidRPr="009D7635">
        <w:rPr>
          <w:rFonts w:ascii="Times New Roman" w:hAnsi="Times New Roman" w:cs="Times New Roman"/>
          <w:i/>
          <w:color w:val="000000" w:themeColor="text1"/>
          <w:sz w:val="20"/>
          <w:szCs w:val="20"/>
        </w:rPr>
        <w:t>Ripoll</w:t>
      </w:r>
      <w:proofErr w:type="spellEnd"/>
      <w:r w:rsidRPr="009D7635">
        <w:rPr>
          <w:rFonts w:ascii="Times New Roman" w:hAnsi="Times New Roman" w:cs="Times New Roman"/>
          <w:i/>
          <w:color w:val="000000" w:themeColor="text1"/>
          <w:sz w:val="20"/>
          <w:szCs w:val="20"/>
        </w:rPr>
        <w:t xml:space="preserve"> 109, </w:t>
      </w:r>
      <w:r w:rsidRPr="009D7635">
        <w:rPr>
          <w:rFonts w:ascii="Times New Roman" w:hAnsi="Times New Roman" w:cs="Times New Roman"/>
          <w:color w:val="000000" w:themeColor="text1"/>
          <w:sz w:val="20"/>
          <w:szCs w:val="20"/>
        </w:rPr>
        <w:t>ed. Claude Lafleur and Joanne Carrier (</w:t>
      </w:r>
      <w:proofErr w:type="spellStart"/>
      <w:r w:rsidRPr="009D7635">
        <w:rPr>
          <w:rFonts w:ascii="Times New Roman" w:hAnsi="Times New Roman" w:cs="Times New Roman"/>
          <w:color w:val="000000" w:themeColor="text1"/>
          <w:sz w:val="20"/>
          <w:szCs w:val="20"/>
        </w:rPr>
        <w:t>Turnhout</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Brepols</w:t>
      </w:r>
      <w:proofErr w:type="spellEnd"/>
      <w:r w:rsidRPr="009D7635">
        <w:rPr>
          <w:rFonts w:ascii="Times New Roman" w:hAnsi="Times New Roman" w:cs="Times New Roman"/>
          <w:color w:val="000000" w:themeColor="text1"/>
          <w:sz w:val="20"/>
          <w:szCs w:val="20"/>
        </w:rPr>
        <w:t>, 1997), 522</w:t>
      </w:r>
      <w:r w:rsidR="00F715AA" w:rsidRPr="009D7635">
        <w:rPr>
          <w:rFonts w:ascii="Times New Roman" w:hAnsi="Times New Roman" w:cs="Times New Roman"/>
          <w:color w:val="000000" w:themeColor="text1"/>
          <w:sz w:val="20"/>
          <w:szCs w:val="20"/>
        </w:rPr>
        <w:t>.</w:t>
      </w:r>
    </w:p>
  </w:footnote>
  <w:footnote w:id="141">
    <w:p w14:paraId="6085F6B9" w14:textId="255AEEA6" w:rsidR="00B93ED5" w:rsidRPr="009D7635" w:rsidRDefault="00B93ED5" w:rsidP="006A5A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Steven J. Williams, ‘</w:t>
      </w:r>
      <w:r w:rsidRPr="009D7635">
        <w:rPr>
          <w:rFonts w:ascii="Times New Roman" w:hAnsi="Times New Roman" w:cs="Times New Roman"/>
          <w:color w:val="000000" w:themeColor="text1"/>
          <w:sz w:val="20"/>
          <w:szCs w:val="20"/>
          <w:shd w:val="clear" w:color="auto" w:fill="FFFFFF"/>
        </w:rPr>
        <w:t xml:space="preserve">Aristotle in the Medieval Classroom: Students, Teaching, and Educational Change in the Schools of Paris in the Twelfth and Thirteenth Centuries,’ in </w:t>
      </w:r>
      <w:r w:rsidRPr="009D7635">
        <w:rPr>
          <w:rFonts w:ascii="Times New Roman" w:hAnsi="Times New Roman" w:cs="Times New Roman"/>
          <w:i/>
          <w:iCs/>
          <w:color w:val="000000" w:themeColor="text1"/>
          <w:sz w:val="20"/>
          <w:szCs w:val="20"/>
        </w:rPr>
        <w:t>The Classics in the Medieval and Renaissance Classroom: The Role of Ancient Texts in the Arts Curriculum as Revealed by Surviving Manuscripts and Early Printed Books</w:t>
      </w:r>
      <w:r w:rsidRPr="009D7635">
        <w:rPr>
          <w:rFonts w:ascii="Times New Roman" w:hAnsi="Times New Roman" w:cs="Times New Roman"/>
          <w:color w:val="000000" w:themeColor="text1"/>
          <w:sz w:val="20"/>
          <w:szCs w:val="20"/>
          <w:shd w:val="clear" w:color="auto" w:fill="FFFFFF"/>
        </w:rPr>
        <w:t xml:space="preserve">, ed. Juanita </w:t>
      </w:r>
      <w:proofErr w:type="spellStart"/>
      <w:r w:rsidRPr="009D7635">
        <w:rPr>
          <w:rFonts w:ascii="Times New Roman" w:hAnsi="Times New Roman" w:cs="Times New Roman"/>
          <w:color w:val="000000" w:themeColor="text1"/>
          <w:sz w:val="20"/>
          <w:szCs w:val="20"/>
          <w:shd w:val="clear" w:color="auto" w:fill="FFFFFF"/>
        </w:rPr>
        <w:t>Feros</w:t>
      </w:r>
      <w:proofErr w:type="spellEnd"/>
      <w:r w:rsidRPr="009D7635">
        <w:rPr>
          <w:rFonts w:ascii="Times New Roman" w:hAnsi="Times New Roman" w:cs="Times New Roman"/>
          <w:color w:val="000000" w:themeColor="text1"/>
          <w:sz w:val="20"/>
          <w:szCs w:val="20"/>
          <w:shd w:val="clear" w:color="auto" w:fill="FFFFFF"/>
        </w:rPr>
        <w:t xml:space="preserve"> </w:t>
      </w:r>
      <w:proofErr w:type="spellStart"/>
      <w:r w:rsidRPr="009D7635">
        <w:rPr>
          <w:rFonts w:ascii="Times New Roman" w:hAnsi="Times New Roman" w:cs="Times New Roman"/>
          <w:color w:val="000000" w:themeColor="text1"/>
          <w:sz w:val="20"/>
          <w:szCs w:val="20"/>
          <w:shd w:val="clear" w:color="auto" w:fill="FFFFFF"/>
        </w:rPr>
        <w:t>Ruys</w:t>
      </w:r>
      <w:proofErr w:type="spellEnd"/>
      <w:r w:rsidRPr="009D7635">
        <w:rPr>
          <w:rFonts w:ascii="Times New Roman" w:hAnsi="Times New Roman" w:cs="Times New Roman"/>
          <w:color w:val="000000" w:themeColor="text1"/>
          <w:sz w:val="20"/>
          <w:szCs w:val="20"/>
          <w:shd w:val="clear" w:color="auto" w:fill="FFFFFF"/>
        </w:rPr>
        <w:t>, et al. (</w:t>
      </w:r>
      <w:proofErr w:type="spellStart"/>
      <w:r w:rsidRPr="009D7635">
        <w:rPr>
          <w:rFonts w:ascii="Times New Roman" w:hAnsi="Times New Roman" w:cs="Times New Roman"/>
          <w:color w:val="000000" w:themeColor="text1"/>
          <w:sz w:val="20"/>
          <w:szCs w:val="20"/>
          <w:shd w:val="clear" w:color="auto" w:fill="FFFFFF"/>
        </w:rPr>
        <w:t>Turnhout</w:t>
      </w:r>
      <w:proofErr w:type="spellEnd"/>
      <w:r w:rsidRPr="009D7635">
        <w:rPr>
          <w:rFonts w:ascii="Times New Roman" w:hAnsi="Times New Roman" w:cs="Times New Roman"/>
          <w:color w:val="000000" w:themeColor="text1"/>
          <w:sz w:val="20"/>
          <w:szCs w:val="20"/>
          <w:shd w:val="clear" w:color="auto" w:fill="FFFFFF"/>
        </w:rPr>
        <w:t xml:space="preserve">:  </w:t>
      </w:r>
      <w:proofErr w:type="spellStart"/>
      <w:r w:rsidRPr="009D7635">
        <w:rPr>
          <w:rFonts w:ascii="Times New Roman" w:hAnsi="Times New Roman" w:cs="Times New Roman"/>
          <w:color w:val="000000" w:themeColor="text1"/>
          <w:sz w:val="20"/>
          <w:szCs w:val="20"/>
          <w:shd w:val="clear" w:color="auto" w:fill="FFFFFF"/>
        </w:rPr>
        <w:t>Brepols</w:t>
      </w:r>
      <w:proofErr w:type="spellEnd"/>
      <w:r w:rsidRPr="009D7635">
        <w:rPr>
          <w:rFonts w:ascii="Times New Roman" w:hAnsi="Times New Roman" w:cs="Times New Roman"/>
          <w:color w:val="000000" w:themeColor="text1"/>
          <w:sz w:val="20"/>
          <w:szCs w:val="20"/>
          <w:shd w:val="clear" w:color="auto" w:fill="FFFFFF"/>
        </w:rPr>
        <w:t xml:space="preserve">, 2013), </w:t>
      </w:r>
      <w:r w:rsidRPr="009D7635">
        <w:rPr>
          <w:rFonts w:ascii="Times New Roman" w:hAnsi="Times New Roman" w:cs="Times New Roman"/>
          <w:color w:val="000000" w:themeColor="text1"/>
          <w:sz w:val="20"/>
          <w:szCs w:val="20"/>
        </w:rPr>
        <w:t>224</w:t>
      </w:r>
      <w:r w:rsidRPr="009D7635">
        <w:rPr>
          <w:rFonts w:ascii="Times New Roman" w:hAnsi="Times New Roman" w:cs="Times New Roman"/>
          <w:color w:val="000000" w:themeColor="text1"/>
          <w:sz w:val="20"/>
          <w:szCs w:val="20"/>
          <w:shd w:val="clear" w:color="auto" w:fill="FFFFFF"/>
        </w:rPr>
        <w:t>. </w:t>
      </w:r>
    </w:p>
  </w:footnote>
  <w:footnote w:id="142">
    <w:p w14:paraId="25AE8F08" w14:textId="61B87193" w:rsidR="000C47AD" w:rsidRPr="009D7635" w:rsidRDefault="000C47AD">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As Irene Zavattero points out</w:t>
      </w:r>
      <w:r w:rsidR="00185D63" w:rsidRPr="009D7635">
        <w:rPr>
          <w:rFonts w:ascii="Times New Roman" w:hAnsi="Times New Roman" w:cs="Times New Roman"/>
        </w:rPr>
        <w:t xml:space="preserve"> in ‘Le début de la </w:t>
      </w:r>
      <w:proofErr w:type="spellStart"/>
      <w:r w:rsidR="00185D63" w:rsidRPr="009D7635">
        <w:rPr>
          <w:rFonts w:ascii="Times New Roman" w:hAnsi="Times New Roman" w:cs="Times New Roman"/>
        </w:rPr>
        <w:t>réception</w:t>
      </w:r>
      <w:proofErr w:type="spellEnd"/>
      <w:r w:rsidR="00185D63" w:rsidRPr="009D7635">
        <w:rPr>
          <w:rFonts w:ascii="Times New Roman" w:hAnsi="Times New Roman" w:cs="Times New Roman"/>
        </w:rPr>
        <w:t xml:space="preserve"> de </w:t>
      </w:r>
      <w:proofErr w:type="spellStart"/>
      <w:r w:rsidR="00185D63" w:rsidRPr="009D7635">
        <w:rPr>
          <w:rFonts w:ascii="Times New Roman" w:hAnsi="Times New Roman" w:cs="Times New Roman"/>
        </w:rPr>
        <w:t>l’Éthique</w:t>
      </w:r>
      <w:proofErr w:type="spellEnd"/>
      <w:r w:rsidR="00185D63" w:rsidRPr="009D7635">
        <w:rPr>
          <w:rFonts w:ascii="Times New Roman" w:hAnsi="Times New Roman" w:cs="Times New Roman"/>
        </w:rPr>
        <w:t xml:space="preserve"> à </w:t>
      </w:r>
      <w:proofErr w:type="spellStart"/>
      <w:r w:rsidR="00185D63" w:rsidRPr="009D7635">
        <w:rPr>
          <w:rFonts w:ascii="Times New Roman" w:hAnsi="Times New Roman" w:cs="Times New Roman"/>
        </w:rPr>
        <w:t>Nicomaque</w:t>
      </w:r>
      <w:proofErr w:type="spellEnd"/>
      <w:r w:rsidR="00185D63" w:rsidRPr="009D7635">
        <w:rPr>
          <w:rFonts w:ascii="Times New Roman" w:hAnsi="Times New Roman" w:cs="Times New Roman"/>
        </w:rPr>
        <w:t xml:space="preserve"> à Paris: </w:t>
      </w:r>
      <w:proofErr w:type="spellStart"/>
      <w:r w:rsidR="00185D63" w:rsidRPr="009D7635">
        <w:rPr>
          <w:rFonts w:ascii="Times New Roman" w:hAnsi="Times New Roman" w:cs="Times New Roman"/>
        </w:rPr>
        <w:t>Maîtres</w:t>
      </w:r>
      <w:proofErr w:type="spellEnd"/>
      <w:r w:rsidR="00185D63" w:rsidRPr="009D7635">
        <w:rPr>
          <w:rFonts w:ascii="Times New Roman" w:hAnsi="Times New Roman" w:cs="Times New Roman"/>
        </w:rPr>
        <w:t xml:space="preserve"> </w:t>
      </w:r>
      <w:proofErr w:type="spellStart"/>
      <w:r w:rsidR="00185D63" w:rsidRPr="009D7635">
        <w:rPr>
          <w:rFonts w:ascii="Times New Roman" w:hAnsi="Times New Roman" w:cs="Times New Roman"/>
        </w:rPr>
        <w:t>dès</w:t>
      </w:r>
      <w:proofErr w:type="spellEnd"/>
      <w:r w:rsidR="00185D63" w:rsidRPr="009D7635">
        <w:rPr>
          <w:rFonts w:ascii="Times New Roman" w:hAnsi="Times New Roman" w:cs="Times New Roman"/>
        </w:rPr>
        <w:t xml:space="preserve"> arts et </w:t>
      </w:r>
      <w:proofErr w:type="spellStart"/>
      <w:r w:rsidR="00185D63" w:rsidRPr="009D7635">
        <w:rPr>
          <w:rFonts w:ascii="Times New Roman" w:hAnsi="Times New Roman" w:cs="Times New Roman"/>
        </w:rPr>
        <w:t>théologiens</w:t>
      </w:r>
      <w:proofErr w:type="spellEnd"/>
      <w:r w:rsidR="00185D63" w:rsidRPr="009D7635">
        <w:rPr>
          <w:rFonts w:ascii="Times New Roman" w:hAnsi="Times New Roman" w:cs="Times New Roman"/>
        </w:rPr>
        <w:t xml:space="preserve"> in </w:t>
      </w:r>
      <w:proofErr w:type="spellStart"/>
      <w:r w:rsidR="00185D63" w:rsidRPr="009D7635">
        <w:rPr>
          <w:rFonts w:ascii="Times New Roman" w:hAnsi="Times New Roman" w:cs="Times New Roman"/>
        </w:rPr>
        <w:t>comparaison</w:t>
      </w:r>
      <w:proofErr w:type="spellEnd"/>
      <w:r w:rsidR="00185D63" w:rsidRPr="009D7635">
        <w:rPr>
          <w:rFonts w:ascii="Times New Roman" w:hAnsi="Times New Roman" w:cs="Times New Roman"/>
        </w:rPr>
        <w:t xml:space="preserve">,’ </w:t>
      </w:r>
      <w:proofErr w:type="spellStart"/>
      <w:r w:rsidR="00185D63" w:rsidRPr="009D7635">
        <w:rPr>
          <w:rFonts w:ascii="Times New Roman" w:hAnsi="Times New Roman" w:cs="Times New Roman"/>
          <w:i/>
          <w:iCs/>
        </w:rPr>
        <w:t>Annuaire</w:t>
      </w:r>
      <w:proofErr w:type="spellEnd"/>
      <w:r w:rsidR="00185D63" w:rsidRPr="009D7635">
        <w:rPr>
          <w:rFonts w:ascii="Times New Roman" w:hAnsi="Times New Roman" w:cs="Times New Roman"/>
          <w:i/>
          <w:iCs/>
        </w:rPr>
        <w:t xml:space="preserve"> de </w:t>
      </w:r>
      <w:proofErr w:type="spellStart"/>
      <w:r w:rsidR="00185D63" w:rsidRPr="009D7635">
        <w:rPr>
          <w:rFonts w:ascii="Times New Roman" w:hAnsi="Times New Roman" w:cs="Times New Roman"/>
          <w:i/>
          <w:iCs/>
        </w:rPr>
        <w:t>l’Ecole</w:t>
      </w:r>
      <w:proofErr w:type="spellEnd"/>
      <w:r w:rsidR="00185D63" w:rsidRPr="009D7635">
        <w:rPr>
          <w:rFonts w:ascii="Times New Roman" w:hAnsi="Times New Roman" w:cs="Times New Roman"/>
          <w:i/>
          <w:iCs/>
        </w:rPr>
        <w:t xml:space="preserve"> pratique des </w:t>
      </w:r>
      <w:proofErr w:type="spellStart"/>
      <w:r w:rsidR="00185D63" w:rsidRPr="009D7635">
        <w:rPr>
          <w:rFonts w:ascii="Times New Roman" w:hAnsi="Times New Roman" w:cs="Times New Roman"/>
          <w:i/>
          <w:iCs/>
        </w:rPr>
        <w:t>hautes</w:t>
      </w:r>
      <w:proofErr w:type="spellEnd"/>
      <w:r w:rsidR="00185D63" w:rsidRPr="009D7635">
        <w:rPr>
          <w:rFonts w:ascii="Times New Roman" w:hAnsi="Times New Roman" w:cs="Times New Roman"/>
          <w:i/>
          <w:iCs/>
        </w:rPr>
        <w:t xml:space="preserve"> études </w:t>
      </w:r>
      <w:r w:rsidR="00185D63" w:rsidRPr="009D7635">
        <w:rPr>
          <w:rFonts w:ascii="Times New Roman" w:hAnsi="Times New Roman" w:cs="Times New Roman"/>
        </w:rPr>
        <w:t>(2019</w:t>
      </w:r>
      <w:r w:rsidR="00185D63" w:rsidRPr="009D7635">
        <w:rPr>
          <w:rFonts w:ascii="Times New Roman" w:hAnsi="Times New Roman" w:cs="Times New Roman"/>
          <w:i/>
          <w:iCs/>
        </w:rPr>
        <w:t>)</w:t>
      </w:r>
      <w:r w:rsidR="00D07F17" w:rsidRPr="009D7635">
        <w:rPr>
          <w:rFonts w:ascii="Times New Roman" w:hAnsi="Times New Roman" w:cs="Times New Roman"/>
        </w:rPr>
        <w:t>:</w:t>
      </w:r>
      <w:r w:rsidR="00185D63" w:rsidRPr="009D7635">
        <w:rPr>
          <w:rFonts w:ascii="Times New Roman" w:hAnsi="Times New Roman" w:cs="Times New Roman"/>
        </w:rPr>
        <w:t xml:space="preserve"> 297, </w:t>
      </w:r>
      <w:r w:rsidRPr="009D7635">
        <w:rPr>
          <w:rFonts w:ascii="Times New Roman" w:hAnsi="Times New Roman" w:cs="Times New Roman"/>
        </w:rPr>
        <w:t xml:space="preserve">William of </w:t>
      </w:r>
      <w:proofErr w:type="spellStart"/>
      <w:r w:rsidRPr="009D7635">
        <w:rPr>
          <w:rFonts w:ascii="Times New Roman" w:hAnsi="Times New Roman" w:cs="Times New Roman"/>
        </w:rPr>
        <w:t>Auxerre</w:t>
      </w:r>
      <w:proofErr w:type="spellEnd"/>
      <w:r w:rsidRPr="009D7635">
        <w:rPr>
          <w:rFonts w:ascii="Times New Roman" w:hAnsi="Times New Roman" w:cs="Times New Roman"/>
        </w:rPr>
        <w:t xml:space="preserve"> was the first to cite the </w:t>
      </w:r>
      <w:proofErr w:type="spellStart"/>
      <w:r w:rsidRPr="009D7635">
        <w:rPr>
          <w:rFonts w:ascii="Times New Roman" w:hAnsi="Times New Roman" w:cs="Times New Roman"/>
          <w:i/>
          <w:iCs/>
        </w:rPr>
        <w:t>Ethica</w:t>
      </w:r>
      <w:proofErr w:type="spellEnd"/>
      <w:r w:rsidRPr="009D7635">
        <w:rPr>
          <w:rFonts w:ascii="Times New Roman" w:hAnsi="Times New Roman" w:cs="Times New Roman"/>
          <w:i/>
          <w:iCs/>
        </w:rPr>
        <w:t xml:space="preserve"> nova</w:t>
      </w:r>
      <w:r w:rsidRPr="009D7635">
        <w:rPr>
          <w:rFonts w:ascii="Times New Roman" w:hAnsi="Times New Roman" w:cs="Times New Roman"/>
        </w:rPr>
        <w:t xml:space="preserve"> in Paris and was followed in this regard by Alexander of Hales, Philip the Chancellor, John of La Rochelle, and Roland of Cremona; but the first significant exegesis of the text took place in the faculty of arts rather than theology. </w:t>
      </w:r>
      <w:r w:rsidR="00B440B5" w:rsidRPr="009D7635">
        <w:rPr>
          <w:rFonts w:ascii="Times New Roman" w:hAnsi="Times New Roman" w:cs="Times New Roman"/>
        </w:rPr>
        <w:t xml:space="preserve">As </w:t>
      </w:r>
      <w:proofErr w:type="spellStart"/>
      <w:r w:rsidR="00B440B5" w:rsidRPr="009D7635">
        <w:rPr>
          <w:rFonts w:ascii="Times New Roman" w:hAnsi="Times New Roman" w:cs="Times New Roman"/>
        </w:rPr>
        <w:t>Fernand</w:t>
      </w:r>
      <w:proofErr w:type="spellEnd"/>
      <w:r w:rsidR="00B440B5" w:rsidRPr="009D7635">
        <w:rPr>
          <w:rFonts w:ascii="Times New Roman" w:hAnsi="Times New Roman" w:cs="Times New Roman"/>
        </w:rPr>
        <w:t xml:space="preserve"> Bossier observes</w:t>
      </w:r>
      <w:r w:rsidR="000357A6" w:rsidRPr="009D7635">
        <w:rPr>
          <w:rFonts w:ascii="Times New Roman" w:hAnsi="Times New Roman" w:cs="Times New Roman"/>
        </w:rPr>
        <w:t xml:space="preserve"> in ‘Les ennuis d’un </w:t>
      </w:r>
      <w:proofErr w:type="spellStart"/>
      <w:r w:rsidR="000357A6" w:rsidRPr="009D7635">
        <w:rPr>
          <w:rFonts w:ascii="Times New Roman" w:hAnsi="Times New Roman" w:cs="Times New Roman"/>
        </w:rPr>
        <w:t>traducteur</w:t>
      </w:r>
      <w:proofErr w:type="spellEnd"/>
      <w:r w:rsidR="000357A6" w:rsidRPr="009D7635">
        <w:rPr>
          <w:rFonts w:ascii="Times New Roman" w:hAnsi="Times New Roman" w:cs="Times New Roman"/>
        </w:rPr>
        <w:t xml:space="preserve">: </w:t>
      </w:r>
      <w:proofErr w:type="spellStart"/>
      <w:r w:rsidR="000357A6" w:rsidRPr="009D7635">
        <w:rPr>
          <w:rFonts w:ascii="Times New Roman" w:hAnsi="Times New Roman" w:cs="Times New Roman"/>
        </w:rPr>
        <w:t>Quatre</w:t>
      </w:r>
      <w:proofErr w:type="spellEnd"/>
      <w:r w:rsidR="000357A6" w:rsidRPr="009D7635">
        <w:rPr>
          <w:rFonts w:ascii="Times New Roman" w:hAnsi="Times New Roman" w:cs="Times New Roman"/>
        </w:rPr>
        <w:t xml:space="preserve"> annotations </w:t>
      </w:r>
      <w:proofErr w:type="spellStart"/>
      <w:r w:rsidR="000357A6" w:rsidRPr="009D7635">
        <w:rPr>
          <w:rFonts w:ascii="Times New Roman" w:hAnsi="Times New Roman" w:cs="Times New Roman"/>
        </w:rPr>
        <w:t>sur</w:t>
      </w:r>
      <w:proofErr w:type="spellEnd"/>
      <w:r w:rsidR="000357A6" w:rsidRPr="009D7635">
        <w:rPr>
          <w:rFonts w:ascii="Times New Roman" w:hAnsi="Times New Roman" w:cs="Times New Roman"/>
        </w:rPr>
        <w:t xml:space="preserve"> la première </w:t>
      </w:r>
      <w:proofErr w:type="spellStart"/>
      <w:r w:rsidR="000357A6" w:rsidRPr="009D7635">
        <w:rPr>
          <w:rFonts w:ascii="Times New Roman" w:hAnsi="Times New Roman" w:cs="Times New Roman"/>
        </w:rPr>
        <w:t>traduction</w:t>
      </w:r>
      <w:proofErr w:type="spellEnd"/>
      <w:r w:rsidR="000357A6" w:rsidRPr="009D7635">
        <w:rPr>
          <w:rFonts w:ascii="Times New Roman" w:hAnsi="Times New Roman" w:cs="Times New Roman"/>
        </w:rPr>
        <w:t xml:space="preserve"> </w:t>
      </w:r>
      <w:proofErr w:type="spellStart"/>
      <w:r w:rsidR="000357A6" w:rsidRPr="009D7635">
        <w:rPr>
          <w:rFonts w:ascii="Times New Roman" w:hAnsi="Times New Roman" w:cs="Times New Roman"/>
        </w:rPr>
        <w:t>latine</w:t>
      </w:r>
      <w:proofErr w:type="spellEnd"/>
      <w:r w:rsidR="000357A6" w:rsidRPr="009D7635">
        <w:rPr>
          <w:rFonts w:ascii="Times New Roman" w:hAnsi="Times New Roman" w:cs="Times New Roman"/>
        </w:rPr>
        <w:t xml:space="preserve"> de </w:t>
      </w:r>
      <w:proofErr w:type="spellStart"/>
      <w:r w:rsidR="000357A6" w:rsidRPr="009D7635">
        <w:rPr>
          <w:rFonts w:ascii="Times New Roman" w:hAnsi="Times New Roman" w:cs="Times New Roman"/>
        </w:rPr>
        <w:t>l’Éthique</w:t>
      </w:r>
      <w:proofErr w:type="spellEnd"/>
      <w:r w:rsidR="000357A6" w:rsidRPr="009D7635">
        <w:rPr>
          <w:rFonts w:ascii="Times New Roman" w:hAnsi="Times New Roman" w:cs="Times New Roman"/>
        </w:rPr>
        <w:t xml:space="preserve"> à </w:t>
      </w:r>
      <w:proofErr w:type="spellStart"/>
      <w:r w:rsidR="000357A6" w:rsidRPr="009D7635">
        <w:rPr>
          <w:rFonts w:ascii="Times New Roman" w:hAnsi="Times New Roman" w:cs="Times New Roman"/>
        </w:rPr>
        <w:t>Nicomaque</w:t>
      </w:r>
      <w:proofErr w:type="spellEnd"/>
      <w:r w:rsidR="000357A6" w:rsidRPr="009D7635">
        <w:rPr>
          <w:rFonts w:ascii="Times New Roman" w:hAnsi="Times New Roman" w:cs="Times New Roman"/>
        </w:rPr>
        <w:t xml:space="preserve"> par </w:t>
      </w:r>
      <w:proofErr w:type="spellStart"/>
      <w:r w:rsidR="000357A6" w:rsidRPr="009D7635">
        <w:rPr>
          <w:rFonts w:ascii="Times New Roman" w:hAnsi="Times New Roman" w:cs="Times New Roman"/>
        </w:rPr>
        <w:t>Burgundio</w:t>
      </w:r>
      <w:proofErr w:type="spellEnd"/>
      <w:r w:rsidR="000357A6" w:rsidRPr="009D7635">
        <w:rPr>
          <w:rFonts w:ascii="Times New Roman" w:hAnsi="Times New Roman" w:cs="Times New Roman"/>
        </w:rPr>
        <w:t xml:space="preserve"> de </w:t>
      </w:r>
      <w:proofErr w:type="spellStart"/>
      <w:r w:rsidR="000357A6" w:rsidRPr="009D7635">
        <w:rPr>
          <w:rFonts w:ascii="Times New Roman" w:hAnsi="Times New Roman" w:cs="Times New Roman"/>
        </w:rPr>
        <w:t>Pise</w:t>
      </w:r>
      <w:proofErr w:type="spellEnd"/>
      <w:r w:rsidR="000357A6" w:rsidRPr="009D7635">
        <w:rPr>
          <w:rFonts w:ascii="Times New Roman" w:hAnsi="Times New Roman" w:cs="Times New Roman"/>
        </w:rPr>
        <w:t xml:space="preserve">,’ </w:t>
      </w:r>
      <w:proofErr w:type="spellStart"/>
      <w:r w:rsidR="000357A6" w:rsidRPr="009D7635">
        <w:rPr>
          <w:rFonts w:ascii="Times New Roman" w:hAnsi="Times New Roman" w:cs="Times New Roman"/>
          <w:i/>
          <w:iCs/>
        </w:rPr>
        <w:t>Bijdragen</w:t>
      </w:r>
      <w:proofErr w:type="spellEnd"/>
      <w:r w:rsidR="000357A6" w:rsidRPr="009D7635">
        <w:rPr>
          <w:rFonts w:ascii="Times New Roman" w:hAnsi="Times New Roman" w:cs="Times New Roman"/>
          <w:i/>
          <w:iCs/>
        </w:rPr>
        <w:t xml:space="preserve"> </w:t>
      </w:r>
      <w:r w:rsidR="000357A6" w:rsidRPr="009D7635">
        <w:rPr>
          <w:rFonts w:ascii="Times New Roman" w:hAnsi="Times New Roman" w:cs="Times New Roman"/>
        </w:rPr>
        <w:t>59 (1998)</w:t>
      </w:r>
      <w:r w:rsidR="00D07F17" w:rsidRPr="009D7635">
        <w:rPr>
          <w:rFonts w:ascii="Times New Roman" w:hAnsi="Times New Roman" w:cs="Times New Roman"/>
        </w:rPr>
        <w:t xml:space="preserve">: </w:t>
      </w:r>
      <w:r w:rsidR="000357A6" w:rsidRPr="009D7635">
        <w:rPr>
          <w:rFonts w:ascii="Times New Roman" w:hAnsi="Times New Roman" w:cs="Times New Roman"/>
        </w:rPr>
        <w:t>406-27,</w:t>
      </w:r>
      <w:r w:rsidR="00B440B5" w:rsidRPr="009D7635">
        <w:rPr>
          <w:rFonts w:ascii="Times New Roman" w:hAnsi="Times New Roman" w:cs="Times New Roman"/>
        </w:rPr>
        <w:t xml:space="preserve"> the </w:t>
      </w:r>
      <w:proofErr w:type="spellStart"/>
      <w:r w:rsidR="00B440B5" w:rsidRPr="009D7635">
        <w:rPr>
          <w:rFonts w:ascii="Times New Roman" w:hAnsi="Times New Roman" w:cs="Times New Roman"/>
          <w:i/>
          <w:iCs/>
        </w:rPr>
        <w:t>Ethica</w:t>
      </w:r>
      <w:proofErr w:type="spellEnd"/>
      <w:r w:rsidR="00B440B5" w:rsidRPr="009D7635">
        <w:rPr>
          <w:rFonts w:ascii="Times New Roman" w:hAnsi="Times New Roman" w:cs="Times New Roman"/>
          <w:i/>
          <w:iCs/>
        </w:rPr>
        <w:t xml:space="preserve"> </w:t>
      </w:r>
      <w:proofErr w:type="spellStart"/>
      <w:r w:rsidR="00B440B5" w:rsidRPr="009D7635">
        <w:rPr>
          <w:rFonts w:ascii="Times New Roman" w:hAnsi="Times New Roman" w:cs="Times New Roman"/>
          <w:i/>
          <w:iCs/>
        </w:rPr>
        <w:t>vetus</w:t>
      </w:r>
      <w:proofErr w:type="spellEnd"/>
      <w:r w:rsidR="00B440B5" w:rsidRPr="009D7635">
        <w:rPr>
          <w:rFonts w:ascii="Times New Roman" w:hAnsi="Times New Roman" w:cs="Times New Roman"/>
          <w:i/>
          <w:iCs/>
        </w:rPr>
        <w:t xml:space="preserve"> </w:t>
      </w:r>
      <w:r w:rsidR="00B440B5" w:rsidRPr="009D7635">
        <w:rPr>
          <w:rFonts w:ascii="Times New Roman" w:hAnsi="Times New Roman" w:cs="Times New Roman"/>
        </w:rPr>
        <w:t xml:space="preserve">included only books II-III of Aristotle’s </w:t>
      </w:r>
      <w:proofErr w:type="spellStart"/>
      <w:r w:rsidR="00B440B5" w:rsidRPr="009D7635">
        <w:rPr>
          <w:rFonts w:ascii="Times New Roman" w:hAnsi="Times New Roman" w:cs="Times New Roman"/>
          <w:i/>
          <w:iCs/>
        </w:rPr>
        <w:t>Nichomachean</w:t>
      </w:r>
      <w:proofErr w:type="spellEnd"/>
      <w:r w:rsidR="00B440B5" w:rsidRPr="009D7635">
        <w:rPr>
          <w:rFonts w:ascii="Times New Roman" w:hAnsi="Times New Roman" w:cs="Times New Roman"/>
          <w:i/>
          <w:iCs/>
        </w:rPr>
        <w:t xml:space="preserve"> Ethics, </w:t>
      </w:r>
      <w:r w:rsidR="00B440B5" w:rsidRPr="009D7635">
        <w:rPr>
          <w:rFonts w:ascii="Times New Roman" w:hAnsi="Times New Roman" w:cs="Times New Roman"/>
        </w:rPr>
        <w:t xml:space="preserve">while the </w:t>
      </w:r>
      <w:proofErr w:type="spellStart"/>
      <w:r w:rsidR="00B440B5" w:rsidRPr="009D7635">
        <w:rPr>
          <w:rFonts w:ascii="Times New Roman" w:hAnsi="Times New Roman" w:cs="Times New Roman"/>
          <w:i/>
          <w:iCs/>
        </w:rPr>
        <w:t>Ethica</w:t>
      </w:r>
      <w:proofErr w:type="spellEnd"/>
      <w:r w:rsidR="00B440B5" w:rsidRPr="009D7635">
        <w:rPr>
          <w:rFonts w:ascii="Times New Roman" w:hAnsi="Times New Roman" w:cs="Times New Roman"/>
          <w:i/>
          <w:iCs/>
        </w:rPr>
        <w:t xml:space="preserve"> nova </w:t>
      </w:r>
      <w:r w:rsidR="00B440B5" w:rsidRPr="009D7635">
        <w:rPr>
          <w:rFonts w:ascii="Times New Roman" w:hAnsi="Times New Roman" w:cs="Times New Roman"/>
        </w:rPr>
        <w:t xml:space="preserve">included a translation of book I, the revision of books II-III </w:t>
      </w:r>
      <w:r w:rsidR="00D07F17" w:rsidRPr="009D7635">
        <w:rPr>
          <w:rFonts w:ascii="Times New Roman" w:hAnsi="Times New Roman" w:cs="Times New Roman"/>
        </w:rPr>
        <w:t>a</w:t>
      </w:r>
      <w:r w:rsidR="00B440B5" w:rsidRPr="009D7635">
        <w:rPr>
          <w:rFonts w:ascii="Times New Roman" w:hAnsi="Times New Roman" w:cs="Times New Roman"/>
        </w:rPr>
        <w:t>nd</w:t>
      </w:r>
      <w:r w:rsidR="00D07F17" w:rsidRPr="009D7635">
        <w:rPr>
          <w:rFonts w:ascii="Times New Roman" w:hAnsi="Times New Roman" w:cs="Times New Roman"/>
        </w:rPr>
        <w:t xml:space="preserve"> </w:t>
      </w:r>
      <w:r w:rsidR="00B440B5" w:rsidRPr="009D7635">
        <w:rPr>
          <w:rFonts w:ascii="Times New Roman" w:hAnsi="Times New Roman" w:cs="Times New Roman"/>
        </w:rPr>
        <w:t xml:space="preserve">the translation of books IV-X. </w:t>
      </w:r>
      <w:r w:rsidR="008251C6" w:rsidRPr="009D7635">
        <w:rPr>
          <w:rFonts w:ascii="Times New Roman" w:hAnsi="Times New Roman" w:cs="Times New Roman"/>
        </w:rPr>
        <w:t xml:space="preserve"> </w:t>
      </w:r>
      <w:r w:rsidR="00185D63" w:rsidRPr="009D7635">
        <w:rPr>
          <w:rFonts w:ascii="Times New Roman" w:hAnsi="Times New Roman" w:cs="Times New Roman"/>
        </w:rPr>
        <w:t xml:space="preserve">René A. Gauthier argues in ‘Le </w:t>
      </w:r>
      <w:proofErr w:type="spellStart"/>
      <w:r w:rsidR="00185D63" w:rsidRPr="009D7635">
        <w:rPr>
          <w:rFonts w:ascii="Times New Roman" w:hAnsi="Times New Roman" w:cs="Times New Roman"/>
        </w:rPr>
        <w:t>cours</w:t>
      </w:r>
      <w:proofErr w:type="spellEnd"/>
      <w:r w:rsidR="00185D63" w:rsidRPr="009D7635">
        <w:rPr>
          <w:rFonts w:ascii="Times New Roman" w:hAnsi="Times New Roman" w:cs="Times New Roman"/>
        </w:rPr>
        <w:t xml:space="preserve"> </w:t>
      </w:r>
      <w:proofErr w:type="spellStart"/>
      <w:r w:rsidR="00185D63" w:rsidRPr="009D7635">
        <w:rPr>
          <w:rFonts w:ascii="Times New Roman" w:hAnsi="Times New Roman" w:cs="Times New Roman"/>
        </w:rPr>
        <w:t>sur</w:t>
      </w:r>
      <w:proofErr w:type="spellEnd"/>
      <w:r w:rsidR="00185D63" w:rsidRPr="009D7635">
        <w:rPr>
          <w:rFonts w:ascii="Times New Roman" w:hAnsi="Times New Roman" w:cs="Times New Roman"/>
        </w:rPr>
        <w:t xml:space="preserve"> ‘</w:t>
      </w:r>
      <w:proofErr w:type="spellStart"/>
      <w:r w:rsidR="00185D63" w:rsidRPr="009D7635">
        <w:rPr>
          <w:rFonts w:ascii="Times New Roman" w:hAnsi="Times New Roman" w:cs="Times New Roman"/>
        </w:rPr>
        <w:t>l’ethica</w:t>
      </w:r>
      <w:proofErr w:type="spellEnd"/>
      <w:r w:rsidR="00185D63" w:rsidRPr="009D7635">
        <w:rPr>
          <w:rFonts w:ascii="Times New Roman" w:hAnsi="Times New Roman" w:cs="Times New Roman"/>
        </w:rPr>
        <w:t xml:space="preserve"> nova d’un maitre des arts de Paris (1235-40),’ </w:t>
      </w:r>
      <w:r w:rsidR="00185D63" w:rsidRPr="009D7635">
        <w:rPr>
          <w:rFonts w:ascii="Times New Roman" w:hAnsi="Times New Roman" w:cs="Times New Roman"/>
          <w:i/>
          <w:iCs/>
        </w:rPr>
        <w:t xml:space="preserve">Archives </w:t>
      </w:r>
      <w:proofErr w:type="spellStart"/>
      <w:r w:rsidR="00185D63" w:rsidRPr="009D7635">
        <w:rPr>
          <w:rFonts w:ascii="Times New Roman" w:hAnsi="Times New Roman" w:cs="Times New Roman"/>
          <w:i/>
          <w:iCs/>
        </w:rPr>
        <w:t>d’histoire</w:t>
      </w:r>
      <w:proofErr w:type="spellEnd"/>
      <w:r w:rsidR="00185D63" w:rsidRPr="009D7635">
        <w:rPr>
          <w:rFonts w:ascii="Times New Roman" w:hAnsi="Times New Roman" w:cs="Times New Roman"/>
          <w:i/>
          <w:iCs/>
        </w:rPr>
        <w:t xml:space="preserve"> </w:t>
      </w:r>
      <w:proofErr w:type="spellStart"/>
      <w:r w:rsidR="00185D63" w:rsidRPr="009D7635">
        <w:rPr>
          <w:rFonts w:ascii="Times New Roman" w:hAnsi="Times New Roman" w:cs="Times New Roman"/>
          <w:i/>
          <w:iCs/>
        </w:rPr>
        <w:t>doctrinale</w:t>
      </w:r>
      <w:proofErr w:type="spellEnd"/>
      <w:r w:rsidR="00185D63" w:rsidRPr="009D7635">
        <w:rPr>
          <w:rFonts w:ascii="Times New Roman" w:hAnsi="Times New Roman" w:cs="Times New Roman"/>
          <w:i/>
          <w:iCs/>
        </w:rPr>
        <w:t xml:space="preserve"> et </w:t>
      </w:r>
      <w:proofErr w:type="spellStart"/>
      <w:r w:rsidR="00185D63" w:rsidRPr="009D7635">
        <w:rPr>
          <w:rFonts w:ascii="Times New Roman" w:hAnsi="Times New Roman" w:cs="Times New Roman"/>
          <w:i/>
          <w:iCs/>
        </w:rPr>
        <w:t>littéraire</w:t>
      </w:r>
      <w:proofErr w:type="spellEnd"/>
      <w:r w:rsidR="00185D63" w:rsidRPr="009D7635">
        <w:rPr>
          <w:rFonts w:ascii="Times New Roman" w:hAnsi="Times New Roman" w:cs="Times New Roman"/>
          <w:i/>
          <w:iCs/>
        </w:rPr>
        <w:t xml:space="preserve"> du </w:t>
      </w:r>
      <w:proofErr w:type="spellStart"/>
      <w:r w:rsidR="00185D63" w:rsidRPr="009D7635">
        <w:rPr>
          <w:rFonts w:ascii="Times New Roman" w:hAnsi="Times New Roman" w:cs="Times New Roman"/>
          <w:i/>
          <w:iCs/>
        </w:rPr>
        <w:t>Moyen</w:t>
      </w:r>
      <w:proofErr w:type="spellEnd"/>
      <w:r w:rsidR="00185D63" w:rsidRPr="009D7635">
        <w:rPr>
          <w:rFonts w:ascii="Times New Roman" w:hAnsi="Times New Roman" w:cs="Times New Roman"/>
          <w:i/>
          <w:iCs/>
        </w:rPr>
        <w:t xml:space="preserve"> Age </w:t>
      </w:r>
      <w:r w:rsidR="00185D63" w:rsidRPr="009D7635">
        <w:rPr>
          <w:rFonts w:ascii="Times New Roman" w:hAnsi="Times New Roman" w:cs="Times New Roman"/>
        </w:rPr>
        <w:t>42 (1975)</w:t>
      </w:r>
      <w:r w:rsidR="00AC0D0E" w:rsidRPr="009D7635">
        <w:rPr>
          <w:rFonts w:ascii="Times New Roman" w:hAnsi="Times New Roman" w:cs="Times New Roman"/>
        </w:rPr>
        <w:t>:</w:t>
      </w:r>
      <w:r w:rsidR="00185D63" w:rsidRPr="009D7635">
        <w:rPr>
          <w:rFonts w:ascii="Times New Roman" w:hAnsi="Times New Roman" w:cs="Times New Roman"/>
        </w:rPr>
        <w:t xml:space="preserve"> 71-141</w:t>
      </w:r>
      <w:r w:rsidR="002D7706" w:rsidRPr="009D7635">
        <w:rPr>
          <w:rFonts w:ascii="Times New Roman" w:hAnsi="Times New Roman" w:cs="Times New Roman"/>
        </w:rPr>
        <w:t xml:space="preserve"> that </w:t>
      </w:r>
      <w:r w:rsidR="00185D63" w:rsidRPr="009D7635">
        <w:rPr>
          <w:rFonts w:ascii="Times New Roman" w:hAnsi="Times New Roman" w:cs="Times New Roman"/>
        </w:rPr>
        <w:t xml:space="preserve">one anonymous commentary </w:t>
      </w:r>
      <w:r w:rsidR="008251C6" w:rsidRPr="009D7635">
        <w:rPr>
          <w:rFonts w:ascii="Times New Roman" w:hAnsi="Times New Roman" w:cs="Times New Roman"/>
        </w:rPr>
        <w:t xml:space="preserve">on the </w:t>
      </w:r>
      <w:r w:rsidR="008251C6" w:rsidRPr="009D7635">
        <w:rPr>
          <w:rFonts w:ascii="Times New Roman" w:hAnsi="Times New Roman" w:cs="Times New Roman"/>
          <w:i/>
          <w:iCs/>
        </w:rPr>
        <w:t>Ethics</w:t>
      </w:r>
      <w:r w:rsidR="008251C6" w:rsidRPr="009D7635">
        <w:rPr>
          <w:rFonts w:ascii="Times New Roman" w:hAnsi="Times New Roman" w:cs="Times New Roman"/>
        </w:rPr>
        <w:t xml:space="preserve"> </w:t>
      </w:r>
      <w:r w:rsidR="00185D63" w:rsidRPr="009D7635">
        <w:rPr>
          <w:rFonts w:ascii="Times New Roman" w:hAnsi="Times New Roman" w:cs="Times New Roman"/>
        </w:rPr>
        <w:t xml:space="preserve">was actually </w:t>
      </w:r>
      <w:r w:rsidR="00AC0D0E" w:rsidRPr="009D7635">
        <w:rPr>
          <w:rFonts w:ascii="Times New Roman" w:hAnsi="Times New Roman" w:cs="Times New Roman"/>
        </w:rPr>
        <w:t xml:space="preserve">written </w:t>
      </w:r>
      <w:r w:rsidR="00185D63" w:rsidRPr="009D7635">
        <w:rPr>
          <w:rFonts w:ascii="Times New Roman" w:hAnsi="Times New Roman" w:cs="Times New Roman"/>
        </w:rPr>
        <w:t>by Alexander</w:t>
      </w:r>
      <w:r w:rsidR="006F3DEA" w:rsidRPr="009D7635">
        <w:rPr>
          <w:rFonts w:ascii="Times New Roman" w:hAnsi="Times New Roman" w:cs="Times New Roman"/>
        </w:rPr>
        <w:t xml:space="preserve"> of Hales.</w:t>
      </w:r>
    </w:p>
  </w:footnote>
  <w:footnote w:id="143">
    <w:p w14:paraId="0E57061B"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Lesley Smith, ‘The Theological Framework,’ in </w:t>
      </w:r>
      <w:r w:rsidRPr="009D7635">
        <w:rPr>
          <w:rFonts w:ascii="Times New Roman" w:hAnsi="Times New Roman" w:cs="Times New Roman"/>
          <w:i/>
          <w:color w:val="000000" w:themeColor="text1"/>
        </w:rPr>
        <w:t xml:space="preserve">The Cambridge History of Christianity, </w:t>
      </w:r>
      <w:r w:rsidRPr="009D7635">
        <w:rPr>
          <w:rFonts w:ascii="Times New Roman" w:hAnsi="Times New Roman" w:cs="Times New Roman"/>
          <w:color w:val="000000" w:themeColor="text1"/>
        </w:rPr>
        <w:t>vol. 4:</w:t>
      </w:r>
      <w:r w:rsidRPr="009D7635">
        <w:rPr>
          <w:rFonts w:ascii="Times New Roman" w:hAnsi="Times New Roman" w:cs="Times New Roman"/>
          <w:i/>
          <w:color w:val="000000" w:themeColor="text1"/>
        </w:rPr>
        <w:t xml:space="preserve"> 1100-1500</w:t>
      </w:r>
      <w:r w:rsidRPr="009D7635">
        <w:rPr>
          <w:rFonts w:ascii="Times New Roman" w:hAnsi="Times New Roman" w:cs="Times New Roman"/>
          <w:color w:val="000000" w:themeColor="text1"/>
        </w:rPr>
        <w:t xml:space="preserve">, ed. Miri Rubin and Walter Simons (Cambridge: Cambridge University Press, 2009), 84.  </w:t>
      </w:r>
    </w:p>
  </w:footnote>
  <w:footnote w:id="144">
    <w:p w14:paraId="3B91E6B1" w14:textId="243E20B1"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C. R. Hess, ‘Roland of Cremona’s Place in the Current of Thought,’ </w:t>
      </w:r>
      <w:proofErr w:type="spellStart"/>
      <w:r w:rsidRPr="009D7635">
        <w:rPr>
          <w:rFonts w:ascii="Times New Roman" w:hAnsi="Times New Roman" w:cs="Times New Roman"/>
          <w:i/>
          <w:color w:val="000000" w:themeColor="text1"/>
          <w:lang w:val="en-US"/>
        </w:rPr>
        <w:t>Angelicum</w:t>
      </w:r>
      <w:proofErr w:type="spellEnd"/>
      <w:r w:rsidRPr="009D7635">
        <w:rPr>
          <w:rFonts w:ascii="Times New Roman" w:hAnsi="Times New Roman" w:cs="Times New Roman"/>
          <w:i/>
          <w:color w:val="000000" w:themeColor="text1"/>
          <w:lang w:val="en-US"/>
        </w:rPr>
        <w:t xml:space="preserve"> </w:t>
      </w:r>
      <w:r w:rsidRPr="009D7635">
        <w:rPr>
          <w:rFonts w:ascii="Times New Roman" w:hAnsi="Times New Roman" w:cs="Times New Roman"/>
          <w:color w:val="000000" w:themeColor="text1"/>
          <w:lang w:val="en-US"/>
        </w:rPr>
        <w:t>45 (1968)</w:t>
      </w:r>
      <w:r w:rsidR="00030011" w:rsidRPr="009D7635">
        <w:rPr>
          <w:rFonts w:ascii="Times New Roman" w:hAnsi="Times New Roman" w:cs="Times New Roman"/>
          <w:color w:val="000000" w:themeColor="text1"/>
          <w:lang w:val="en-US"/>
        </w:rPr>
        <w:t>:</w:t>
      </w:r>
      <w:r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rPr>
        <w:t>434.</w:t>
      </w:r>
    </w:p>
  </w:footnote>
  <w:footnote w:id="145">
    <w:p w14:paraId="674BE692" w14:textId="47468AE2" w:rsidR="00B93ED5" w:rsidRPr="009D7635" w:rsidRDefault="00B93ED5" w:rsidP="006A5A46">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Steven J. Williams, ‘</w:t>
      </w:r>
      <w:proofErr w:type="spellStart"/>
      <w:r w:rsidRPr="009D7635">
        <w:rPr>
          <w:rFonts w:ascii="Times New Roman" w:hAnsi="Times New Roman" w:cs="Times New Roman"/>
          <w:color w:val="000000" w:themeColor="text1"/>
          <w:sz w:val="20"/>
          <w:szCs w:val="20"/>
          <w:lang w:val="en-US"/>
        </w:rPr>
        <w:t>Repenser</w:t>
      </w:r>
      <w:proofErr w:type="spellEnd"/>
      <w:r w:rsidRPr="009D7635">
        <w:rPr>
          <w:rFonts w:ascii="Times New Roman" w:hAnsi="Times New Roman" w:cs="Times New Roman"/>
          <w:color w:val="000000" w:themeColor="text1"/>
          <w:sz w:val="20"/>
          <w:szCs w:val="20"/>
          <w:lang w:val="en-US"/>
        </w:rPr>
        <w:t xml:space="preserve"> l’intention et </w:t>
      </w:r>
      <w:proofErr w:type="spellStart"/>
      <w:r w:rsidRPr="009D7635">
        <w:rPr>
          <w:rFonts w:ascii="Times New Roman" w:hAnsi="Times New Roman" w:cs="Times New Roman"/>
          <w:color w:val="000000" w:themeColor="text1"/>
          <w:sz w:val="20"/>
          <w:szCs w:val="20"/>
          <w:lang w:val="en-US"/>
        </w:rPr>
        <w:t>l’effet</w:t>
      </w:r>
      <w:proofErr w:type="spellEnd"/>
      <w:r w:rsidRPr="009D7635">
        <w:rPr>
          <w:rFonts w:ascii="Times New Roman" w:hAnsi="Times New Roman" w:cs="Times New Roman"/>
          <w:color w:val="000000" w:themeColor="text1"/>
          <w:sz w:val="20"/>
          <w:szCs w:val="20"/>
          <w:lang w:val="en-US"/>
        </w:rPr>
        <w:t xml:space="preserve"> des </w:t>
      </w:r>
      <w:proofErr w:type="spellStart"/>
      <w:r w:rsidRPr="009D7635">
        <w:rPr>
          <w:rFonts w:ascii="Times New Roman" w:hAnsi="Times New Roman" w:cs="Times New Roman"/>
          <w:color w:val="000000" w:themeColor="text1"/>
          <w:sz w:val="20"/>
          <w:szCs w:val="20"/>
          <w:lang w:val="en-US"/>
        </w:rPr>
        <w:t>décrets</w:t>
      </w:r>
      <w:proofErr w:type="spellEnd"/>
      <w:r w:rsidRPr="009D7635">
        <w:rPr>
          <w:rFonts w:ascii="Times New Roman" w:hAnsi="Times New Roman" w:cs="Times New Roman"/>
          <w:color w:val="000000" w:themeColor="text1"/>
          <w:sz w:val="20"/>
          <w:szCs w:val="20"/>
          <w:lang w:val="en-US"/>
        </w:rPr>
        <w:t xml:space="preserve"> de 1231 du </w:t>
      </w:r>
      <w:proofErr w:type="spellStart"/>
      <w:r w:rsidRPr="009D7635">
        <w:rPr>
          <w:rFonts w:ascii="Times New Roman" w:hAnsi="Times New Roman" w:cs="Times New Roman"/>
          <w:color w:val="000000" w:themeColor="text1"/>
          <w:sz w:val="20"/>
          <w:szCs w:val="20"/>
          <w:lang w:val="en-US"/>
        </w:rPr>
        <w:t>pape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Grégoire</w:t>
      </w:r>
      <w:proofErr w:type="spellEnd"/>
      <w:r w:rsidRPr="009D7635">
        <w:rPr>
          <w:rFonts w:ascii="Times New Roman" w:hAnsi="Times New Roman" w:cs="Times New Roman"/>
          <w:color w:val="000000" w:themeColor="text1"/>
          <w:sz w:val="20"/>
          <w:szCs w:val="20"/>
          <w:lang w:val="en-US"/>
        </w:rPr>
        <w:t xml:space="preserve"> IX </w:t>
      </w:r>
      <w:proofErr w:type="spellStart"/>
      <w:r w:rsidRPr="009D7635">
        <w:rPr>
          <w:rFonts w:ascii="Times New Roman" w:hAnsi="Times New Roman" w:cs="Times New Roman"/>
          <w:color w:val="000000" w:themeColor="text1"/>
          <w:sz w:val="20"/>
          <w:szCs w:val="20"/>
          <w:lang w:val="en-US"/>
        </w:rPr>
        <w:t>sur</w:t>
      </w:r>
      <w:proofErr w:type="spellEnd"/>
      <w:r w:rsidRPr="009D7635">
        <w:rPr>
          <w:rFonts w:ascii="Times New Roman" w:hAnsi="Times New Roman" w:cs="Times New Roman"/>
          <w:color w:val="000000" w:themeColor="text1"/>
          <w:sz w:val="20"/>
          <w:szCs w:val="20"/>
          <w:lang w:val="en-US"/>
        </w:rPr>
        <w:t xml:space="preserve"> l’étude des </w:t>
      </w:r>
      <w:proofErr w:type="spellStart"/>
      <w:r w:rsidRPr="009D7635">
        <w:rPr>
          <w:rFonts w:ascii="Times New Roman" w:hAnsi="Times New Roman" w:cs="Times New Roman"/>
          <w:color w:val="000000" w:themeColor="text1"/>
          <w:sz w:val="20"/>
          <w:szCs w:val="20"/>
          <w:lang w:val="en-US"/>
        </w:rPr>
        <w:t>libri</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naturales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d’Aristote</w:t>
      </w:r>
      <w:proofErr w:type="spellEnd"/>
      <w:r w:rsidRPr="009D7635">
        <w:rPr>
          <w:rFonts w:ascii="Times New Roman" w:hAnsi="Times New Roman" w:cs="Times New Roman"/>
          <w:color w:val="000000" w:themeColor="text1"/>
          <w:sz w:val="20"/>
          <w:szCs w:val="20"/>
          <w:lang w:val="en-US"/>
        </w:rPr>
        <w:t xml:space="preserve"> à l’Université de Paris,’ in </w:t>
      </w:r>
      <w:proofErr w:type="spellStart"/>
      <w:r w:rsidRPr="009D7635">
        <w:rPr>
          <w:rFonts w:ascii="Times New Roman" w:hAnsi="Times New Roman" w:cs="Times New Roman"/>
          <w:i/>
          <w:color w:val="000000" w:themeColor="text1"/>
          <w:sz w:val="20"/>
          <w:szCs w:val="20"/>
          <w:lang w:val="en-US"/>
        </w:rPr>
        <w:t>L’enseignement</w:t>
      </w:r>
      <w:proofErr w:type="spellEnd"/>
      <w:r w:rsidRPr="009D7635">
        <w:rPr>
          <w:rFonts w:ascii="Times New Roman" w:hAnsi="Times New Roman" w:cs="Times New Roman"/>
          <w:i/>
          <w:color w:val="000000" w:themeColor="text1"/>
          <w:sz w:val="20"/>
          <w:szCs w:val="20"/>
          <w:lang w:val="en-US"/>
        </w:rPr>
        <w:t xml:space="preserve"> de la philosophie au XIIIe siècle: </w:t>
      </w:r>
      <w:proofErr w:type="spellStart"/>
      <w:r w:rsidRPr="009D7635">
        <w:rPr>
          <w:rFonts w:ascii="Times New Roman" w:hAnsi="Times New Roman" w:cs="Times New Roman"/>
          <w:i/>
          <w:color w:val="000000" w:themeColor="text1"/>
          <w:sz w:val="20"/>
          <w:szCs w:val="20"/>
          <w:lang w:val="en-US"/>
        </w:rPr>
        <w:t>Autour</w:t>
      </w:r>
      <w:proofErr w:type="spellEnd"/>
      <w:r w:rsidRPr="009D7635">
        <w:rPr>
          <w:rFonts w:ascii="Times New Roman" w:hAnsi="Times New Roman" w:cs="Times New Roman"/>
          <w:i/>
          <w:color w:val="000000" w:themeColor="text1"/>
          <w:sz w:val="20"/>
          <w:szCs w:val="20"/>
          <w:lang w:val="en-US"/>
        </w:rPr>
        <w:t xml:space="preserve"> du Guide de </w:t>
      </w:r>
      <w:proofErr w:type="spellStart"/>
      <w:r w:rsidRPr="009D7635">
        <w:rPr>
          <w:rFonts w:ascii="Times New Roman" w:hAnsi="Times New Roman" w:cs="Times New Roman"/>
          <w:i/>
          <w:color w:val="000000" w:themeColor="text1"/>
          <w:sz w:val="20"/>
          <w:szCs w:val="20"/>
          <w:lang w:val="en-US"/>
        </w:rPr>
        <w:t>l’étudiant</w:t>
      </w:r>
      <w:proofErr w:type="spellEnd"/>
      <w:r w:rsidRPr="009D7635">
        <w:rPr>
          <w:rFonts w:ascii="Times New Roman" w:hAnsi="Times New Roman" w:cs="Times New Roman"/>
          <w:i/>
          <w:color w:val="000000" w:themeColor="text1"/>
          <w:sz w:val="20"/>
          <w:szCs w:val="20"/>
          <w:lang w:val="en-US"/>
        </w:rPr>
        <w:t xml:space="preserve"> du ms. </w:t>
      </w:r>
      <w:proofErr w:type="spellStart"/>
      <w:r w:rsidRPr="009D7635">
        <w:rPr>
          <w:rFonts w:ascii="Times New Roman" w:hAnsi="Times New Roman" w:cs="Times New Roman"/>
          <w:i/>
          <w:color w:val="000000" w:themeColor="text1"/>
          <w:sz w:val="20"/>
          <w:szCs w:val="20"/>
          <w:lang w:val="en-US"/>
        </w:rPr>
        <w:t>Ripoll</w:t>
      </w:r>
      <w:proofErr w:type="spellEnd"/>
      <w:r w:rsidRPr="009D7635">
        <w:rPr>
          <w:rFonts w:ascii="Times New Roman" w:hAnsi="Times New Roman" w:cs="Times New Roman"/>
          <w:i/>
          <w:color w:val="000000" w:themeColor="text1"/>
          <w:sz w:val="20"/>
          <w:szCs w:val="20"/>
          <w:lang w:val="en-US"/>
        </w:rPr>
        <w:t xml:space="preserve"> 109</w:t>
      </w:r>
      <w:r w:rsidRPr="009D7635">
        <w:rPr>
          <w:rFonts w:ascii="Times New Roman" w:hAnsi="Times New Roman" w:cs="Times New Roman"/>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ed. Claude Lafleur (</w:t>
      </w:r>
      <w:proofErr w:type="spellStart"/>
      <w:r w:rsidRPr="009D7635">
        <w:rPr>
          <w:rFonts w:ascii="Times New Roman" w:hAnsi="Times New Roman" w:cs="Times New Roman"/>
          <w:color w:val="000000" w:themeColor="text1"/>
          <w:sz w:val="20"/>
          <w:szCs w:val="20"/>
          <w:lang w:val="en-US"/>
        </w:rPr>
        <w:t>Turnhout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Brepols</w:t>
      </w:r>
      <w:proofErr w:type="spellEnd"/>
      <w:r w:rsidRPr="009D7635">
        <w:rPr>
          <w:rFonts w:ascii="Times New Roman" w:hAnsi="Times New Roman" w:cs="Times New Roman"/>
          <w:color w:val="000000" w:themeColor="text1"/>
          <w:sz w:val="20"/>
          <w:szCs w:val="20"/>
          <w:lang w:val="en-US"/>
        </w:rPr>
        <w:t>, 1997), 145.</w:t>
      </w:r>
    </w:p>
  </w:footnote>
  <w:footnote w:id="146">
    <w:p w14:paraId="65D959CF" w14:textId="77777777" w:rsidR="00B93ED5" w:rsidRPr="009D7635" w:rsidRDefault="00B93ED5" w:rsidP="006A5A46">
      <w:pPr>
        <w:rPr>
          <w:rFonts w:ascii="Times New Roman" w:hAnsi="Times New Roman" w:cs="Times New Roman"/>
          <w:bCs/>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bCs/>
          <w:color w:val="000000" w:themeColor="text1"/>
          <w:sz w:val="20"/>
          <w:szCs w:val="20"/>
        </w:rPr>
        <w:t>Luca Bianchi</w:t>
      </w:r>
      <w:r w:rsidRPr="009D7635">
        <w:rPr>
          <w:rFonts w:ascii="Times New Roman" w:hAnsi="Times New Roman" w:cs="Times New Roman"/>
          <w:color w:val="000000" w:themeColor="text1"/>
          <w:sz w:val="20"/>
          <w:szCs w:val="20"/>
        </w:rPr>
        <w:t xml:space="preserve">, ‘Les interdictions relatives à </w:t>
      </w:r>
      <w:proofErr w:type="spellStart"/>
      <w:r w:rsidRPr="009D7635">
        <w:rPr>
          <w:rFonts w:ascii="Times New Roman" w:hAnsi="Times New Roman" w:cs="Times New Roman"/>
          <w:color w:val="000000" w:themeColor="text1"/>
          <w:sz w:val="20"/>
          <w:szCs w:val="20"/>
        </w:rPr>
        <w:t>l’enseignement</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d’Aristote</w:t>
      </w:r>
      <w:proofErr w:type="spellEnd"/>
      <w:r w:rsidRPr="009D7635">
        <w:rPr>
          <w:rFonts w:ascii="Times New Roman" w:hAnsi="Times New Roman" w:cs="Times New Roman"/>
          <w:color w:val="000000" w:themeColor="text1"/>
          <w:sz w:val="20"/>
          <w:szCs w:val="20"/>
        </w:rPr>
        <w:t xml:space="preserve"> au XIIIe siècle,’ </w:t>
      </w:r>
      <w:r w:rsidRPr="009D7635">
        <w:rPr>
          <w:rFonts w:ascii="Times New Roman" w:hAnsi="Times New Roman" w:cs="Times New Roman"/>
          <w:bCs/>
          <w:color w:val="000000" w:themeColor="text1"/>
          <w:sz w:val="20"/>
          <w:szCs w:val="20"/>
        </w:rPr>
        <w:t>123.</w:t>
      </w:r>
    </w:p>
  </w:footnote>
  <w:footnote w:id="147">
    <w:p w14:paraId="5E57542E" w14:textId="0F26DFEF" w:rsidR="00B93ED5" w:rsidRPr="009D7635" w:rsidRDefault="00B93ED5" w:rsidP="006A5A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Alain de Libera, ‘</w:t>
      </w:r>
      <w:proofErr w:type="spellStart"/>
      <w:r w:rsidRPr="009D7635">
        <w:rPr>
          <w:rFonts w:ascii="Times New Roman" w:hAnsi="Times New Roman" w:cs="Times New Roman"/>
          <w:color w:val="000000" w:themeColor="text1"/>
          <w:sz w:val="20"/>
          <w:szCs w:val="20"/>
          <w:lang w:val="en-US"/>
        </w:rPr>
        <w:t>Faculté</w:t>
      </w:r>
      <w:proofErr w:type="spellEnd"/>
      <w:r w:rsidRPr="009D7635">
        <w:rPr>
          <w:rFonts w:ascii="Times New Roman" w:hAnsi="Times New Roman" w:cs="Times New Roman"/>
          <w:color w:val="000000" w:themeColor="text1"/>
          <w:sz w:val="20"/>
          <w:szCs w:val="20"/>
          <w:lang w:val="en-US"/>
        </w:rPr>
        <w:t xml:space="preserve"> des arts </w:t>
      </w:r>
      <w:proofErr w:type="spellStart"/>
      <w:r w:rsidRPr="009D7635">
        <w:rPr>
          <w:rFonts w:ascii="Times New Roman" w:hAnsi="Times New Roman" w:cs="Times New Roman"/>
          <w:color w:val="000000" w:themeColor="text1"/>
          <w:sz w:val="20"/>
          <w:szCs w:val="20"/>
          <w:lang w:val="en-US"/>
        </w:rPr>
        <w:t>ou</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Faculté</w:t>
      </w:r>
      <w:proofErr w:type="spellEnd"/>
      <w:r w:rsidRPr="009D7635">
        <w:rPr>
          <w:rFonts w:ascii="Times New Roman" w:hAnsi="Times New Roman" w:cs="Times New Roman"/>
          <w:color w:val="000000" w:themeColor="text1"/>
          <w:sz w:val="20"/>
          <w:szCs w:val="20"/>
          <w:lang w:val="en-US"/>
        </w:rPr>
        <w:t xml:space="preserve"> de philosophie?’ in </w:t>
      </w:r>
      <w:proofErr w:type="spellStart"/>
      <w:r w:rsidRPr="009D7635">
        <w:rPr>
          <w:rFonts w:ascii="Times New Roman" w:hAnsi="Times New Roman" w:cs="Times New Roman"/>
          <w:i/>
          <w:color w:val="000000" w:themeColor="text1"/>
          <w:sz w:val="20"/>
          <w:szCs w:val="20"/>
          <w:lang w:val="en-US"/>
        </w:rPr>
        <w:t>L'enseignement</w:t>
      </w:r>
      <w:proofErr w:type="spellEnd"/>
      <w:r w:rsidRPr="009D7635">
        <w:rPr>
          <w:rFonts w:ascii="Times New Roman" w:hAnsi="Times New Roman" w:cs="Times New Roman"/>
          <w:i/>
          <w:color w:val="000000" w:themeColor="text1"/>
          <w:sz w:val="20"/>
          <w:szCs w:val="20"/>
          <w:lang w:val="en-US"/>
        </w:rPr>
        <w:t xml:space="preserve"> des disciplines</w:t>
      </w:r>
      <w:r w:rsidR="00D75E57"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à la </w:t>
      </w:r>
      <w:proofErr w:type="spellStart"/>
      <w:r w:rsidRPr="009D7635">
        <w:rPr>
          <w:rFonts w:ascii="Times New Roman" w:hAnsi="Times New Roman" w:cs="Times New Roman"/>
          <w:i/>
          <w:color w:val="000000" w:themeColor="text1"/>
          <w:sz w:val="20"/>
          <w:szCs w:val="20"/>
          <w:lang w:val="en-US"/>
        </w:rPr>
        <w:t>Faculté</w:t>
      </w:r>
      <w:proofErr w:type="spellEnd"/>
      <w:r w:rsidRPr="009D7635">
        <w:rPr>
          <w:rFonts w:ascii="Times New Roman" w:hAnsi="Times New Roman" w:cs="Times New Roman"/>
          <w:i/>
          <w:color w:val="000000" w:themeColor="text1"/>
          <w:sz w:val="20"/>
          <w:szCs w:val="20"/>
          <w:lang w:val="en-US"/>
        </w:rPr>
        <w:t xml:space="preserve"> des arts (Paris et Oxford, </w:t>
      </w:r>
      <w:proofErr w:type="spellStart"/>
      <w:r w:rsidRPr="009D7635">
        <w:rPr>
          <w:rFonts w:ascii="Times New Roman" w:hAnsi="Times New Roman" w:cs="Times New Roman"/>
          <w:i/>
          <w:color w:val="000000" w:themeColor="text1"/>
          <w:sz w:val="20"/>
          <w:szCs w:val="20"/>
          <w:lang w:val="en-US"/>
        </w:rPr>
        <w:t>Xllle-xve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siècles</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ed. Olga </w:t>
      </w:r>
      <w:proofErr w:type="spellStart"/>
      <w:r w:rsidRPr="009D7635">
        <w:rPr>
          <w:rFonts w:ascii="Times New Roman" w:hAnsi="Times New Roman" w:cs="Times New Roman"/>
          <w:color w:val="000000" w:themeColor="text1"/>
          <w:sz w:val="20"/>
          <w:szCs w:val="20"/>
          <w:lang w:val="en-US"/>
        </w:rPr>
        <w:t>Weijers</w:t>
      </w:r>
      <w:proofErr w:type="spellEnd"/>
      <w:r w:rsidRPr="009D7635">
        <w:rPr>
          <w:rFonts w:ascii="Times New Roman" w:hAnsi="Times New Roman" w:cs="Times New Roman"/>
          <w:color w:val="000000" w:themeColor="text1"/>
          <w:sz w:val="20"/>
          <w:szCs w:val="20"/>
          <w:lang w:val="en-US"/>
        </w:rPr>
        <w:t xml:space="preserve"> and Louis </w:t>
      </w:r>
      <w:proofErr w:type="spellStart"/>
      <w:r w:rsidRPr="009D7635">
        <w:rPr>
          <w:rFonts w:ascii="Times New Roman" w:hAnsi="Times New Roman" w:cs="Times New Roman"/>
          <w:color w:val="000000" w:themeColor="text1"/>
          <w:sz w:val="20"/>
          <w:szCs w:val="20"/>
          <w:lang w:val="en-US"/>
        </w:rPr>
        <w:t>Holtz</w:t>
      </w:r>
      <w:proofErr w:type="spellEnd"/>
      <w:r w:rsidRPr="009D7635">
        <w:rPr>
          <w:rFonts w:ascii="Times New Roman" w:hAnsi="Times New Roman" w:cs="Times New Roman"/>
          <w:color w:val="000000" w:themeColor="text1"/>
          <w:sz w:val="20"/>
          <w:szCs w:val="20"/>
          <w:lang w:val="en-US"/>
        </w:rPr>
        <w:t xml:space="preserve"> (Paris: </w:t>
      </w:r>
      <w:proofErr w:type="spellStart"/>
      <w:r w:rsidRPr="009D7635">
        <w:rPr>
          <w:rFonts w:ascii="Times New Roman" w:hAnsi="Times New Roman" w:cs="Times New Roman"/>
          <w:color w:val="000000" w:themeColor="text1"/>
          <w:sz w:val="20"/>
          <w:szCs w:val="20"/>
          <w:lang w:val="en-US"/>
        </w:rPr>
        <w:t>Brepols</w:t>
      </w:r>
      <w:proofErr w:type="spellEnd"/>
      <w:r w:rsidRPr="009D7635">
        <w:rPr>
          <w:rFonts w:ascii="Times New Roman" w:hAnsi="Times New Roman" w:cs="Times New Roman"/>
          <w:color w:val="000000" w:themeColor="text1"/>
          <w:sz w:val="20"/>
          <w:szCs w:val="20"/>
          <w:lang w:val="en-US"/>
        </w:rPr>
        <w:t xml:space="preserve">, 1997), 443. </w:t>
      </w:r>
    </w:p>
  </w:footnote>
  <w:footnote w:id="148">
    <w:p w14:paraId="57455DD3" w14:textId="4375767C"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Gabriel </w:t>
      </w:r>
      <w:proofErr w:type="spellStart"/>
      <w:r w:rsidRPr="009D7635">
        <w:rPr>
          <w:rFonts w:ascii="Times New Roman" w:hAnsi="Times New Roman" w:cs="Times New Roman"/>
          <w:color w:val="000000" w:themeColor="text1"/>
          <w:lang w:val="en-US"/>
        </w:rPr>
        <w:t>Jüssen</w:t>
      </w:r>
      <w:proofErr w:type="spellEnd"/>
      <w:r w:rsidRPr="009D7635">
        <w:rPr>
          <w:rFonts w:ascii="Times New Roman" w:hAnsi="Times New Roman" w:cs="Times New Roman"/>
          <w:color w:val="000000" w:themeColor="text1"/>
          <w:lang w:val="en-US"/>
        </w:rPr>
        <w:t>, ‘</w:t>
      </w:r>
      <w:proofErr w:type="spellStart"/>
      <w:r w:rsidRPr="009D7635">
        <w:rPr>
          <w:rFonts w:ascii="Times New Roman" w:hAnsi="Times New Roman" w:cs="Times New Roman"/>
          <w:color w:val="000000" w:themeColor="text1"/>
          <w:lang w:val="en-US"/>
        </w:rPr>
        <w:t>Aristoteles-Rezeption</w:t>
      </w:r>
      <w:proofErr w:type="spellEnd"/>
      <w:r w:rsidRPr="009D7635">
        <w:rPr>
          <w:rFonts w:ascii="Times New Roman" w:hAnsi="Times New Roman" w:cs="Times New Roman"/>
          <w:color w:val="000000" w:themeColor="text1"/>
          <w:lang w:val="en-US"/>
        </w:rPr>
        <w:t xml:space="preserve"> und </w:t>
      </w:r>
      <w:proofErr w:type="spellStart"/>
      <w:r w:rsidRPr="009D7635">
        <w:rPr>
          <w:rFonts w:ascii="Times New Roman" w:hAnsi="Times New Roman" w:cs="Times New Roman"/>
          <w:color w:val="000000" w:themeColor="text1"/>
          <w:lang w:val="en-US"/>
        </w:rPr>
        <w:t>Aristoteles-Kritik</w:t>
      </w:r>
      <w:proofErr w:type="spellEnd"/>
      <w:r w:rsidRPr="009D7635">
        <w:rPr>
          <w:rFonts w:ascii="Times New Roman" w:hAnsi="Times New Roman" w:cs="Times New Roman"/>
          <w:color w:val="000000" w:themeColor="text1"/>
          <w:lang w:val="en-US"/>
        </w:rPr>
        <w:t xml:space="preserve"> in Wilhelm von Auvergne’s </w:t>
      </w:r>
      <w:proofErr w:type="spellStart"/>
      <w:r w:rsidRPr="009D7635">
        <w:rPr>
          <w:rFonts w:ascii="Times New Roman" w:hAnsi="Times New Roman" w:cs="Times New Roman"/>
          <w:i/>
          <w:iCs/>
          <w:color w:val="000000" w:themeColor="text1"/>
          <w:lang w:val="en-US"/>
        </w:rPr>
        <w:t>Tractatus</w:t>
      </w:r>
      <w:proofErr w:type="spellEnd"/>
      <w:r w:rsidRPr="009D7635">
        <w:rPr>
          <w:rFonts w:ascii="Times New Roman" w:hAnsi="Times New Roman" w:cs="Times New Roman"/>
          <w:i/>
          <w:iCs/>
          <w:color w:val="000000" w:themeColor="text1"/>
          <w:lang w:val="en-US"/>
        </w:rPr>
        <w:t xml:space="preserve"> de anima,’</w:t>
      </w:r>
      <w:r w:rsidRPr="009D7635">
        <w:rPr>
          <w:rFonts w:ascii="Times New Roman" w:hAnsi="Times New Roman" w:cs="Times New Roman"/>
          <w:color w:val="000000" w:themeColor="text1"/>
          <w:lang w:val="en-US"/>
        </w:rPr>
        <w:t xml:space="preserve"> in </w:t>
      </w:r>
      <w:r w:rsidRPr="009D7635">
        <w:rPr>
          <w:rFonts w:ascii="Times New Roman" w:hAnsi="Times New Roman" w:cs="Times New Roman"/>
          <w:i/>
          <w:iCs/>
          <w:color w:val="000000" w:themeColor="text1"/>
          <w:lang w:val="en-US"/>
        </w:rPr>
        <w:t xml:space="preserve">Knowledge and the Sciences in Medieval Philosophy, </w:t>
      </w:r>
      <w:r w:rsidRPr="009D7635">
        <w:rPr>
          <w:rFonts w:ascii="Times New Roman" w:hAnsi="Times New Roman" w:cs="Times New Roman"/>
          <w:color w:val="000000" w:themeColor="text1"/>
          <w:lang w:val="en-US"/>
        </w:rPr>
        <w:t xml:space="preserve">ed. </w:t>
      </w:r>
      <w:proofErr w:type="spellStart"/>
      <w:r w:rsidRPr="009D7635">
        <w:rPr>
          <w:rFonts w:ascii="Times New Roman" w:hAnsi="Times New Roman" w:cs="Times New Roman"/>
          <w:color w:val="000000" w:themeColor="text1"/>
          <w:lang w:val="en-US"/>
        </w:rPr>
        <w:t>Reijo</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Työrinoja</w:t>
      </w:r>
      <w:proofErr w:type="spellEnd"/>
      <w:r w:rsidRPr="009D7635">
        <w:rPr>
          <w:rFonts w:ascii="Times New Roman" w:hAnsi="Times New Roman" w:cs="Times New Roman"/>
          <w:color w:val="000000" w:themeColor="text1"/>
          <w:lang w:val="en-US"/>
        </w:rPr>
        <w:t xml:space="preserve"> et al (Helsinki, 1990), 87-96.</w:t>
      </w:r>
    </w:p>
  </w:footnote>
  <w:footnote w:id="149">
    <w:p w14:paraId="1B2D3DD3" w14:textId="77777777" w:rsidR="00B93ED5" w:rsidRPr="009D7635" w:rsidRDefault="00B93ED5" w:rsidP="006A5A46">
      <w:pPr>
        <w:autoSpaceDE w:val="0"/>
        <w:autoSpaceDN w:val="0"/>
        <w:adjustRightInd w:val="0"/>
        <w:ind w:right="26"/>
        <w:rPr>
          <w:rFonts w:ascii="Times New Roman" w:hAnsi="Times New Roman" w:cs="Times New Roman"/>
          <w:bCs/>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Steven J. Williams, ‘</w:t>
      </w:r>
      <w:proofErr w:type="spellStart"/>
      <w:r w:rsidRPr="009D7635">
        <w:rPr>
          <w:rFonts w:ascii="Times New Roman" w:hAnsi="Times New Roman" w:cs="Times New Roman"/>
          <w:color w:val="000000" w:themeColor="text1"/>
          <w:sz w:val="20"/>
          <w:szCs w:val="20"/>
          <w:lang w:val="en-US"/>
        </w:rPr>
        <w:t>Repenser</w:t>
      </w:r>
      <w:proofErr w:type="spellEnd"/>
      <w:r w:rsidRPr="009D7635">
        <w:rPr>
          <w:rFonts w:ascii="Times New Roman" w:hAnsi="Times New Roman" w:cs="Times New Roman"/>
          <w:color w:val="000000" w:themeColor="text1"/>
          <w:sz w:val="20"/>
          <w:szCs w:val="20"/>
          <w:lang w:val="en-US"/>
        </w:rPr>
        <w:t xml:space="preserve"> l’intention et </w:t>
      </w:r>
      <w:proofErr w:type="spellStart"/>
      <w:r w:rsidRPr="009D7635">
        <w:rPr>
          <w:rFonts w:ascii="Times New Roman" w:hAnsi="Times New Roman" w:cs="Times New Roman"/>
          <w:color w:val="000000" w:themeColor="text1"/>
          <w:sz w:val="20"/>
          <w:szCs w:val="20"/>
          <w:lang w:val="en-US"/>
        </w:rPr>
        <w:t>l’effet</w:t>
      </w:r>
      <w:proofErr w:type="spellEnd"/>
      <w:r w:rsidRPr="009D7635">
        <w:rPr>
          <w:rFonts w:ascii="Times New Roman" w:hAnsi="Times New Roman" w:cs="Times New Roman"/>
          <w:color w:val="000000" w:themeColor="text1"/>
          <w:sz w:val="20"/>
          <w:szCs w:val="20"/>
          <w:lang w:val="en-US"/>
        </w:rPr>
        <w:t xml:space="preserve"> des </w:t>
      </w:r>
      <w:proofErr w:type="spellStart"/>
      <w:r w:rsidRPr="009D7635">
        <w:rPr>
          <w:rFonts w:ascii="Times New Roman" w:hAnsi="Times New Roman" w:cs="Times New Roman"/>
          <w:color w:val="000000" w:themeColor="text1"/>
          <w:sz w:val="20"/>
          <w:szCs w:val="20"/>
          <w:lang w:val="en-US"/>
        </w:rPr>
        <w:t>décrets</w:t>
      </w:r>
      <w:proofErr w:type="spellEnd"/>
      <w:r w:rsidRPr="009D7635">
        <w:rPr>
          <w:rFonts w:ascii="Times New Roman" w:hAnsi="Times New Roman" w:cs="Times New Roman"/>
          <w:color w:val="000000" w:themeColor="text1"/>
          <w:sz w:val="20"/>
          <w:szCs w:val="20"/>
          <w:lang w:val="en-US"/>
        </w:rPr>
        <w:t xml:space="preserve"> de 1231,’ </w:t>
      </w:r>
      <w:r w:rsidRPr="009D7635">
        <w:rPr>
          <w:rFonts w:ascii="Times New Roman" w:hAnsi="Times New Roman" w:cs="Times New Roman"/>
          <w:color w:val="000000" w:themeColor="text1"/>
          <w:sz w:val="20"/>
          <w:szCs w:val="20"/>
        </w:rPr>
        <w:t xml:space="preserve">145. </w:t>
      </w:r>
      <w:r w:rsidRPr="009D7635">
        <w:rPr>
          <w:rFonts w:ascii="Times New Roman" w:hAnsi="Times New Roman" w:cs="Times New Roman"/>
          <w:bCs/>
          <w:color w:val="000000" w:themeColor="text1"/>
          <w:sz w:val="20"/>
          <w:szCs w:val="20"/>
        </w:rPr>
        <w:t>Already at this point, the Dominican constitutions allow for brief consultation of Aristotle’s texts.</w:t>
      </w:r>
    </w:p>
  </w:footnote>
  <w:footnote w:id="150">
    <w:p w14:paraId="31A976C9" w14:textId="77777777" w:rsidR="00B93ED5" w:rsidRPr="009D7635" w:rsidRDefault="00B93ED5" w:rsidP="006A5A46">
      <w:pPr>
        <w:rPr>
          <w:rFonts w:ascii="Times New Roman" w:hAnsi="Times New Roman" w:cs="Times New Roman"/>
          <w:bCs/>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Steven J. Williams, ‘</w:t>
      </w:r>
      <w:proofErr w:type="spellStart"/>
      <w:r w:rsidRPr="009D7635">
        <w:rPr>
          <w:rFonts w:ascii="Times New Roman" w:hAnsi="Times New Roman" w:cs="Times New Roman"/>
          <w:color w:val="000000" w:themeColor="text1"/>
          <w:sz w:val="20"/>
          <w:szCs w:val="20"/>
          <w:lang w:val="en-US"/>
        </w:rPr>
        <w:t>Repenser</w:t>
      </w:r>
      <w:proofErr w:type="spellEnd"/>
      <w:r w:rsidRPr="009D7635">
        <w:rPr>
          <w:rFonts w:ascii="Times New Roman" w:hAnsi="Times New Roman" w:cs="Times New Roman"/>
          <w:color w:val="000000" w:themeColor="text1"/>
          <w:sz w:val="20"/>
          <w:szCs w:val="20"/>
          <w:lang w:val="en-US"/>
        </w:rPr>
        <w:t xml:space="preserve"> l’intention et </w:t>
      </w:r>
      <w:proofErr w:type="spellStart"/>
      <w:r w:rsidRPr="009D7635">
        <w:rPr>
          <w:rFonts w:ascii="Times New Roman" w:hAnsi="Times New Roman" w:cs="Times New Roman"/>
          <w:color w:val="000000" w:themeColor="text1"/>
          <w:sz w:val="20"/>
          <w:szCs w:val="20"/>
          <w:lang w:val="en-US"/>
        </w:rPr>
        <w:t>l’effet</w:t>
      </w:r>
      <w:proofErr w:type="spellEnd"/>
      <w:r w:rsidRPr="009D7635">
        <w:rPr>
          <w:rFonts w:ascii="Times New Roman" w:hAnsi="Times New Roman" w:cs="Times New Roman"/>
          <w:color w:val="000000" w:themeColor="text1"/>
          <w:sz w:val="20"/>
          <w:szCs w:val="20"/>
          <w:lang w:val="en-US"/>
        </w:rPr>
        <w:t xml:space="preserve"> des </w:t>
      </w:r>
      <w:proofErr w:type="spellStart"/>
      <w:r w:rsidRPr="009D7635">
        <w:rPr>
          <w:rFonts w:ascii="Times New Roman" w:hAnsi="Times New Roman" w:cs="Times New Roman"/>
          <w:color w:val="000000" w:themeColor="text1"/>
          <w:sz w:val="20"/>
          <w:szCs w:val="20"/>
          <w:lang w:val="en-US"/>
        </w:rPr>
        <w:t>décrets</w:t>
      </w:r>
      <w:proofErr w:type="spellEnd"/>
      <w:r w:rsidRPr="009D7635">
        <w:rPr>
          <w:rFonts w:ascii="Times New Roman" w:hAnsi="Times New Roman" w:cs="Times New Roman"/>
          <w:color w:val="000000" w:themeColor="text1"/>
          <w:sz w:val="20"/>
          <w:szCs w:val="20"/>
          <w:lang w:val="en-US"/>
        </w:rPr>
        <w:t xml:space="preserve"> de 1231,’ </w:t>
      </w:r>
      <w:r w:rsidRPr="009D7635">
        <w:rPr>
          <w:rFonts w:ascii="Times New Roman" w:hAnsi="Times New Roman" w:cs="Times New Roman"/>
          <w:bCs/>
          <w:color w:val="000000" w:themeColor="text1"/>
          <w:sz w:val="20"/>
          <w:szCs w:val="20"/>
        </w:rPr>
        <w:t>142, 148.</w:t>
      </w:r>
    </w:p>
  </w:footnote>
  <w:footnote w:id="151">
    <w:p w14:paraId="4D3EBA29" w14:textId="5B52B9F6"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Beryl </w:t>
      </w:r>
      <w:proofErr w:type="spellStart"/>
      <w:r w:rsidRPr="009D7635">
        <w:rPr>
          <w:rFonts w:ascii="Times New Roman" w:hAnsi="Times New Roman" w:cs="Times New Roman"/>
          <w:color w:val="000000" w:themeColor="text1"/>
        </w:rPr>
        <w:t>Smalley</w:t>
      </w:r>
      <w:proofErr w:type="spellEnd"/>
      <w:r w:rsidRPr="009D7635">
        <w:rPr>
          <w:rFonts w:ascii="Times New Roman" w:hAnsi="Times New Roman" w:cs="Times New Roman"/>
          <w:color w:val="000000" w:themeColor="text1"/>
        </w:rPr>
        <w:t xml:space="preserve">, ‘Gregory IX and the Two Faces of the Soul,’ in </w:t>
      </w:r>
      <w:r w:rsidRPr="009D7635">
        <w:rPr>
          <w:rFonts w:ascii="Times New Roman" w:hAnsi="Times New Roman" w:cs="Times New Roman"/>
          <w:i/>
          <w:color w:val="000000" w:themeColor="text1"/>
        </w:rPr>
        <w:t xml:space="preserve">Studies in Medieval Thought and Learning: From Abelard to </w:t>
      </w:r>
      <w:proofErr w:type="spellStart"/>
      <w:r w:rsidRPr="009D7635">
        <w:rPr>
          <w:rFonts w:ascii="Times New Roman" w:hAnsi="Times New Roman" w:cs="Times New Roman"/>
          <w:i/>
          <w:color w:val="000000" w:themeColor="text1"/>
        </w:rPr>
        <w:t>Wyclif</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(London: The </w:t>
      </w:r>
      <w:proofErr w:type="spellStart"/>
      <w:r w:rsidRPr="009D7635">
        <w:rPr>
          <w:rFonts w:ascii="Times New Roman" w:hAnsi="Times New Roman" w:cs="Times New Roman"/>
          <w:color w:val="000000" w:themeColor="text1"/>
        </w:rPr>
        <w:t>Hambledon</w:t>
      </w:r>
      <w:proofErr w:type="spellEnd"/>
      <w:r w:rsidRPr="009D7635">
        <w:rPr>
          <w:rFonts w:ascii="Times New Roman" w:hAnsi="Times New Roman" w:cs="Times New Roman"/>
          <w:color w:val="000000" w:themeColor="text1"/>
        </w:rPr>
        <w:t xml:space="preserve"> Press, 1981), 19. </w:t>
      </w:r>
    </w:p>
  </w:footnote>
  <w:footnote w:id="152">
    <w:p w14:paraId="7A78991F"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Beryl </w:t>
      </w:r>
      <w:proofErr w:type="spellStart"/>
      <w:r w:rsidRPr="009D7635">
        <w:rPr>
          <w:rFonts w:ascii="Times New Roman" w:hAnsi="Times New Roman" w:cs="Times New Roman"/>
          <w:color w:val="000000" w:themeColor="text1"/>
        </w:rPr>
        <w:t>Smalley</w:t>
      </w:r>
      <w:proofErr w:type="spellEnd"/>
      <w:r w:rsidRPr="009D7635">
        <w:rPr>
          <w:rFonts w:ascii="Times New Roman" w:hAnsi="Times New Roman" w:cs="Times New Roman"/>
          <w:color w:val="000000" w:themeColor="text1"/>
        </w:rPr>
        <w:t>, ‘Gregory IX and the Two Faces of the Soul,’ 18.</w:t>
      </w:r>
    </w:p>
  </w:footnote>
  <w:footnote w:id="153">
    <w:p w14:paraId="7F973F7B"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Steven J. Williams, ‘</w:t>
      </w:r>
      <w:proofErr w:type="spellStart"/>
      <w:r w:rsidRPr="009D7635">
        <w:rPr>
          <w:rFonts w:ascii="Times New Roman" w:hAnsi="Times New Roman" w:cs="Times New Roman"/>
          <w:color w:val="000000" w:themeColor="text1"/>
          <w:lang w:val="en-US"/>
        </w:rPr>
        <w:t>Repenser</w:t>
      </w:r>
      <w:proofErr w:type="spellEnd"/>
      <w:r w:rsidRPr="009D7635">
        <w:rPr>
          <w:rFonts w:ascii="Times New Roman" w:hAnsi="Times New Roman" w:cs="Times New Roman"/>
          <w:color w:val="000000" w:themeColor="text1"/>
          <w:lang w:val="en-US"/>
        </w:rPr>
        <w:t xml:space="preserve"> l’intention et </w:t>
      </w:r>
      <w:proofErr w:type="spellStart"/>
      <w:r w:rsidRPr="009D7635">
        <w:rPr>
          <w:rFonts w:ascii="Times New Roman" w:hAnsi="Times New Roman" w:cs="Times New Roman"/>
          <w:color w:val="000000" w:themeColor="text1"/>
          <w:lang w:val="en-US"/>
        </w:rPr>
        <w:t>l’effet</w:t>
      </w:r>
      <w:proofErr w:type="spellEnd"/>
      <w:r w:rsidRPr="009D7635">
        <w:rPr>
          <w:rFonts w:ascii="Times New Roman" w:hAnsi="Times New Roman" w:cs="Times New Roman"/>
          <w:color w:val="000000" w:themeColor="text1"/>
          <w:lang w:val="en-US"/>
        </w:rPr>
        <w:t xml:space="preserve"> des </w:t>
      </w:r>
      <w:proofErr w:type="spellStart"/>
      <w:r w:rsidRPr="009D7635">
        <w:rPr>
          <w:rFonts w:ascii="Times New Roman" w:hAnsi="Times New Roman" w:cs="Times New Roman"/>
          <w:color w:val="000000" w:themeColor="text1"/>
          <w:lang w:val="en-US"/>
        </w:rPr>
        <w:t>décrets</w:t>
      </w:r>
      <w:proofErr w:type="spellEnd"/>
      <w:r w:rsidRPr="009D7635">
        <w:rPr>
          <w:rFonts w:ascii="Times New Roman" w:hAnsi="Times New Roman" w:cs="Times New Roman"/>
          <w:color w:val="000000" w:themeColor="text1"/>
          <w:lang w:val="en-US"/>
        </w:rPr>
        <w:t xml:space="preserve"> de 1231,’ </w:t>
      </w:r>
      <w:r w:rsidRPr="009D7635">
        <w:rPr>
          <w:rFonts w:ascii="Times New Roman" w:hAnsi="Times New Roman" w:cs="Times New Roman"/>
          <w:color w:val="000000" w:themeColor="text1"/>
        </w:rPr>
        <w:t>144.</w:t>
      </w:r>
    </w:p>
  </w:footnote>
  <w:footnote w:id="154">
    <w:p w14:paraId="51515AB8" w14:textId="2A69C5E3" w:rsidR="00B93ED5" w:rsidRPr="009D7635" w:rsidRDefault="00B93ED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Spencer Young undertakes an important study of what he calls the ‘</w:t>
      </w:r>
      <w:r w:rsidRPr="009D7635">
        <w:rPr>
          <w:rFonts w:ascii="Times New Roman" w:hAnsi="Times New Roman" w:cs="Times New Roman"/>
          <w:i/>
          <w:iCs/>
          <w:color w:val="000000" w:themeColor="text1"/>
        </w:rPr>
        <w:t xml:space="preserve">Parens </w:t>
      </w:r>
      <w:proofErr w:type="spellStart"/>
      <w:r w:rsidRPr="009D7635">
        <w:rPr>
          <w:rFonts w:ascii="Times New Roman" w:hAnsi="Times New Roman" w:cs="Times New Roman"/>
          <w:i/>
          <w:iCs/>
          <w:color w:val="000000" w:themeColor="text1"/>
        </w:rPr>
        <w:t>scientiarum</w:t>
      </w:r>
      <w:proofErr w:type="spellEnd"/>
      <w:r w:rsidRPr="009D7635">
        <w:rPr>
          <w:rFonts w:ascii="Times New Roman" w:hAnsi="Times New Roman" w:cs="Times New Roman"/>
          <w:color w:val="000000" w:themeColor="text1"/>
        </w:rPr>
        <w:t xml:space="preserve"> generation’ of theology masters in </w:t>
      </w:r>
      <w:r w:rsidRPr="009D7635">
        <w:rPr>
          <w:rFonts w:ascii="Times New Roman" w:hAnsi="Times New Roman" w:cs="Times New Roman"/>
          <w:i/>
          <w:iCs/>
          <w:color w:val="000000" w:themeColor="text1"/>
        </w:rPr>
        <w:t xml:space="preserve">Scholarly Community at the Early University of Paris: Theologians, Education and Society, 1215-1248 </w:t>
      </w:r>
      <w:r w:rsidRPr="009D7635">
        <w:rPr>
          <w:rFonts w:ascii="Times New Roman" w:hAnsi="Times New Roman" w:cs="Times New Roman"/>
          <w:color w:val="000000" w:themeColor="text1"/>
        </w:rPr>
        <w:t xml:space="preserve">(Cambridge: Cambridge University Press, 2014). Ian P. Wei </w:t>
      </w:r>
      <w:proofErr w:type="spellStart"/>
      <w:r w:rsidRPr="009D7635">
        <w:rPr>
          <w:rFonts w:ascii="Times New Roman" w:hAnsi="Times New Roman" w:cs="Times New Roman"/>
          <w:color w:val="000000" w:themeColor="text1"/>
        </w:rPr>
        <w:t>examins</w:t>
      </w:r>
      <w:proofErr w:type="spellEnd"/>
      <w:r w:rsidRPr="009D7635">
        <w:rPr>
          <w:rFonts w:ascii="Times New Roman" w:hAnsi="Times New Roman" w:cs="Times New Roman"/>
          <w:color w:val="000000" w:themeColor="text1"/>
        </w:rPr>
        <w:t xml:space="preserve"> the views of early masters on a variety of moral topics in </w:t>
      </w:r>
      <w:r w:rsidRPr="009D7635">
        <w:rPr>
          <w:rFonts w:ascii="Times New Roman" w:hAnsi="Times New Roman" w:cs="Times New Roman"/>
          <w:i/>
          <w:iCs/>
          <w:color w:val="000000" w:themeColor="text1"/>
        </w:rPr>
        <w:t xml:space="preserve">Intellectual Culture in Medieval Paris: Theologians and the University c. 1100-1330 </w:t>
      </w:r>
      <w:r w:rsidRPr="009D7635">
        <w:rPr>
          <w:rFonts w:ascii="Times New Roman" w:hAnsi="Times New Roman" w:cs="Times New Roman"/>
          <w:color w:val="000000" w:themeColor="text1"/>
        </w:rPr>
        <w:t>(Cambr</w:t>
      </w:r>
      <w:r w:rsidR="0020163A" w:rsidRPr="009D7635">
        <w:rPr>
          <w:rFonts w:ascii="Times New Roman" w:hAnsi="Times New Roman" w:cs="Times New Roman"/>
          <w:color w:val="000000" w:themeColor="text1"/>
        </w:rPr>
        <w:t>i</w:t>
      </w:r>
      <w:r w:rsidRPr="009D7635">
        <w:rPr>
          <w:rFonts w:ascii="Times New Roman" w:hAnsi="Times New Roman" w:cs="Times New Roman"/>
          <w:color w:val="000000" w:themeColor="text1"/>
        </w:rPr>
        <w:t xml:space="preserve">dge: Cambridge University Press, 2012). For her part, Ayelet Even-Ezra explores how the early Parisian masters of theology forged their ideas about the nature of their own profession in </w:t>
      </w:r>
      <w:r w:rsidRPr="009D7635">
        <w:rPr>
          <w:rFonts w:ascii="Times New Roman" w:hAnsi="Times New Roman" w:cs="Times New Roman"/>
          <w:i/>
          <w:iCs/>
          <w:color w:val="000000" w:themeColor="text1"/>
        </w:rPr>
        <w:t xml:space="preserve">Ecstasy in the Classroom: Trance, Self, and the Academic Profession in Medieval Paris </w:t>
      </w:r>
      <w:r w:rsidRPr="009D7635">
        <w:rPr>
          <w:rFonts w:ascii="Times New Roman" w:hAnsi="Times New Roman" w:cs="Times New Roman"/>
          <w:color w:val="000000" w:themeColor="text1"/>
        </w:rPr>
        <w:t>(New York: Fordham University Press, 2018).</w:t>
      </w:r>
    </w:p>
  </w:footnote>
  <w:footnote w:id="155">
    <w:p w14:paraId="0B74AD1D" w14:textId="6A103C2F" w:rsidR="002F7922" w:rsidRPr="009D7635" w:rsidRDefault="002F7922">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Valeria Buffon, ‘Philosophers and Theologians on Happiness: An </w:t>
      </w:r>
      <w:proofErr w:type="spellStart"/>
      <w:r w:rsidRPr="009D7635">
        <w:rPr>
          <w:rFonts w:ascii="Times New Roman" w:hAnsi="Times New Roman" w:cs="Times New Roman"/>
        </w:rPr>
        <w:t>Anlaysis</w:t>
      </w:r>
      <w:proofErr w:type="spellEnd"/>
      <w:r w:rsidRPr="009D7635">
        <w:rPr>
          <w:rFonts w:ascii="Times New Roman" w:hAnsi="Times New Roman" w:cs="Times New Roman"/>
        </w:rPr>
        <w:t xml:space="preserve"> of Early Latin Commentaries on the </w:t>
      </w:r>
      <w:proofErr w:type="spellStart"/>
      <w:r w:rsidRPr="009D7635">
        <w:rPr>
          <w:rFonts w:ascii="Times New Roman" w:hAnsi="Times New Roman" w:cs="Times New Roman"/>
          <w:i/>
          <w:iCs/>
        </w:rPr>
        <w:t>Nicomachean</w:t>
      </w:r>
      <w:proofErr w:type="spellEnd"/>
      <w:r w:rsidRPr="009D7635">
        <w:rPr>
          <w:rFonts w:ascii="Times New Roman" w:hAnsi="Times New Roman" w:cs="Times New Roman"/>
          <w:i/>
          <w:iCs/>
        </w:rPr>
        <w:t xml:space="preserve"> Ethics</w:t>
      </w:r>
      <w:r w:rsidRPr="009D7635">
        <w:rPr>
          <w:rFonts w:ascii="Times New Roman" w:hAnsi="Times New Roman" w:cs="Times New Roman"/>
        </w:rPr>
        <w:t xml:space="preserve">,’ </w:t>
      </w:r>
      <w:r w:rsidR="009B1F05" w:rsidRPr="009D7635">
        <w:rPr>
          <w:rFonts w:ascii="Times New Roman" w:hAnsi="Times New Roman" w:cs="Times New Roman"/>
          <w:i/>
          <w:iCs/>
        </w:rPr>
        <w:t xml:space="preserve">Laval </w:t>
      </w:r>
      <w:proofErr w:type="spellStart"/>
      <w:r w:rsidR="009B1F05" w:rsidRPr="009D7635">
        <w:rPr>
          <w:rFonts w:ascii="Times New Roman" w:hAnsi="Times New Roman" w:cs="Times New Roman"/>
          <w:i/>
          <w:iCs/>
        </w:rPr>
        <w:t>theologue</w:t>
      </w:r>
      <w:proofErr w:type="spellEnd"/>
      <w:r w:rsidR="009B1F05" w:rsidRPr="009D7635">
        <w:rPr>
          <w:rFonts w:ascii="Times New Roman" w:hAnsi="Times New Roman" w:cs="Times New Roman"/>
          <w:i/>
          <w:iCs/>
        </w:rPr>
        <w:t xml:space="preserve"> et </w:t>
      </w:r>
      <w:proofErr w:type="spellStart"/>
      <w:r w:rsidR="009B1F05" w:rsidRPr="009D7635">
        <w:rPr>
          <w:rFonts w:ascii="Times New Roman" w:hAnsi="Times New Roman" w:cs="Times New Roman"/>
          <w:i/>
          <w:iCs/>
        </w:rPr>
        <w:t>philos</w:t>
      </w:r>
      <w:r w:rsidR="00562172" w:rsidRPr="009D7635">
        <w:rPr>
          <w:rFonts w:ascii="Times New Roman" w:hAnsi="Times New Roman" w:cs="Times New Roman"/>
          <w:i/>
          <w:iCs/>
        </w:rPr>
        <w:t>o</w:t>
      </w:r>
      <w:r w:rsidR="009B1F05" w:rsidRPr="009D7635">
        <w:rPr>
          <w:rFonts w:ascii="Times New Roman" w:hAnsi="Times New Roman" w:cs="Times New Roman"/>
          <w:i/>
          <w:iCs/>
        </w:rPr>
        <w:t>phique</w:t>
      </w:r>
      <w:proofErr w:type="spellEnd"/>
      <w:r w:rsidR="009B1F05" w:rsidRPr="009D7635">
        <w:rPr>
          <w:rFonts w:ascii="Times New Roman" w:hAnsi="Times New Roman" w:cs="Times New Roman"/>
          <w:i/>
          <w:iCs/>
        </w:rPr>
        <w:t xml:space="preserve"> </w:t>
      </w:r>
      <w:r w:rsidR="009B1F05" w:rsidRPr="009D7635">
        <w:rPr>
          <w:rFonts w:ascii="Times New Roman" w:hAnsi="Times New Roman" w:cs="Times New Roman"/>
        </w:rPr>
        <w:t>60:3 (2004)</w:t>
      </w:r>
      <w:r w:rsidR="00A11B56" w:rsidRPr="009D7635">
        <w:rPr>
          <w:rFonts w:ascii="Times New Roman" w:hAnsi="Times New Roman" w:cs="Times New Roman"/>
        </w:rPr>
        <w:t>:</w:t>
      </w:r>
      <w:r w:rsidR="009B1F05" w:rsidRPr="009D7635">
        <w:rPr>
          <w:rFonts w:ascii="Times New Roman" w:hAnsi="Times New Roman" w:cs="Times New Roman"/>
        </w:rPr>
        <w:t xml:space="preserve"> </w:t>
      </w:r>
      <w:r w:rsidR="00844857" w:rsidRPr="009D7635">
        <w:rPr>
          <w:rFonts w:ascii="Times New Roman" w:hAnsi="Times New Roman" w:cs="Times New Roman"/>
        </w:rPr>
        <w:t>453</w:t>
      </w:r>
      <w:r w:rsidR="00B254AD" w:rsidRPr="009D7635">
        <w:rPr>
          <w:rFonts w:ascii="Times New Roman" w:hAnsi="Times New Roman" w:cs="Times New Roman"/>
        </w:rPr>
        <w:t>.</w:t>
      </w:r>
    </w:p>
  </w:footnote>
  <w:footnote w:id="156">
    <w:p w14:paraId="686B5063"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bCs/>
          <w:color w:val="000000" w:themeColor="text1"/>
        </w:rPr>
        <w:t>Luca Bianchi</w:t>
      </w:r>
      <w:r w:rsidRPr="009D7635">
        <w:rPr>
          <w:rFonts w:ascii="Times New Roman" w:hAnsi="Times New Roman" w:cs="Times New Roman"/>
          <w:color w:val="000000" w:themeColor="text1"/>
        </w:rPr>
        <w:t xml:space="preserve">, ‘Les interdictions relatives à </w:t>
      </w:r>
      <w:proofErr w:type="spellStart"/>
      <w:r w:rsidRPr="009D7635">
        <w:rPr>
          <w:rFonts w:ascii="Times New Roman" w:hAnsi="Times New Roman" w:cs="Times New Roman"/>
          <w:color w:val="000000" w:themeColor="text1"/>
        </w:rPr>
        <w:t>l’enseignement</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d’Aristote</w:t>
      </w:r>
      <w:proofErr w:type="spellEnd"/>
      <w:r w:rsidRPr="009D7635">
        <w:rPr>
          <w:rFonts w:ascii="Times New Roman" w:hAnsi="Times New Roman" w:cs="Times New Roman"/>
          <w:color w:val="000000" w:themeColor="text1"/>
        </w:rPr>
        <w:t xml:space="preserve"> au XIIIe siècle,’ </w:t>
      </w:r>
      <w:r w:rsidRPr="009D7635">
        <w:rPr>
          <w:rFonts w:ascii="Times New Roman" w:eastAsia="Times New Roman" w:hAnsi="Times New Roman" w:cs="Times New Roman"/>
          <w:color w:val="000000" w:themeColor="text1"/>
        </w:rPr>
        <w:t>113.</w:t>
      </w:r>
    </w:p>
  </w:footnote>
  <w:footnote w:id="157">
    <w:p w14:paraId="77F7C5CC" w14:textId="72238F6D" w:rsidR="00B93ED5" w:rsidRPr="009D7635" w:rsidRDefault="00B93ED5" w:rsidP="006A5A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R. de </w:t>
      </w:r>
      <w:proofErr w:type="spellStart"/>
      <w:r w:rsidRPr="009D7635">
        <w:rPr>
          <w:rFonts w:ascii="Times New Roman" w:hAnsi="Times New Roman" w:cs="Times New Roman"/>
          <w:color w:val="000000" w:themeColor="text1"/>
          <w:sz w:val="20"/>
          <w:szCs w:val="20"/>
        </w:rPr>
        <w:t>Vaux</w:t>
      </w:r>
      <w:proofErr w:type="spellEnd"/>
      <w:r w:rsidRPr="009D7635">
        <w:rPr>
          <w:rFonts w:ascii="Times New Roman" w:hAnsi="Times New Roman" w:cs="Times New Roman"/>
          <w:color w:val="000000" w:themeColor="text1"/>
          <w:sz w:val="20"/>
          <w:szCs w:val="20"/>
        </w:rPr>
        <w:t xml:space="preserve">, ‘La première entrée </w:t>
      </w:r>
      <w:proofErr w:type="spellStart"/>
      <w:r w:rsidRPr="009D7635">
        <w:rPr>
          <w:rFonts w:ascii="Times New Roman" w:hAnsi="Times New Roman" w:cs="Times New Roman"/>
          <w:color w:val="000000" w:themeColor="text1"/>
          <w:sz w:val="20"/>
          <w:szCs w:val="20"/>
        </w:rPr>
        <w:t>d’Averroës</w:t>
      </w:r>
      <w:proofErr w:type="spellEnd"/>
      <w:r w:rsidRPr="009D7635">
        <w:rPr>
          <w:rFonts w:ascii="Times New Roman" w:hAnsi="Times New Roman" w:cs="Times New Roman"/>
          <w:color w:val="000000" w:themeColor="text1"/>
          <w:sz w:val="20"/>
          <w:szCs w:val="20"/>
        </w:rPr>
        <w:t xml:space="preserve"> chez les Latins,’ </w:t>
      </w:r>
      <w:r w:rsidRPr="009D7635">
        <w:rPr>
          <w:rFonts w:ascii="Times New Roman" w:hAnsi="Times New Roman" w:cs="Times New Roman"/>
          <w:i/>
          <w:color w:val="000000" w:themeColor="text1"/>
          <w:sz w:val="20"/>
          <w:szCs w:val="20"/>
        </w:rPr>
        <w:t xml:space="preserve">Revue des sciences </w:t>
      </w:r>
      <w:proofErr w:type="spellStart"/>
      <w:r w:rsidRPr="009D7635">
        <w:rPr>
          <w:rFonts w:ascii="Times New Roman" w:hAnsi="Times New Roman" w:cs="Times New Roman"/>
          <w:i/>
          <w:color w:val="000000" w:themeColor="text1"/>
          <w:sz w:val="20"/>
          <w:szCs w:val="20"/>
        </w:rPr>
        <w:t>philosophiques</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theologiques</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2 (1933)</w:t>
      </w:r>
      <w:r w:rsidR="00A11B56"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211</w:t>
      </w:r>
      <w:r w:rsidR="00F95D84"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See also </w:t>
      </w:r>
      <w:r w:rsidRPr="009D7635">
        <w:rPr>
          <w:rFonts w:ascii="Times New Roman" w:hAnsi="Times New Roman" w:cs="Times New Roman"/>
          <w:color w:val="000000" w:themeColor="text1"/>
          <w:sz w:val="20"/>
          <w:szCs w:val="20"/>
          <w:lang w:val="en-US"/>
        </w:rPr>
        <w:t xml:space="preserve">C.R. Hess, ‘Roland of Cremona’s Place in the Current of Thought,’ </w:t>
      </w:r>
      <w:r w:rsidRPr="009D7635">
        <w:rPr>
          <w:rFonts w:ascii="Times New Roman" w:hAnsi="Times New Roman" w:cs="Times New Roman"/>
          <w:color w:val="000000" w:themeColor="text1"/>
          <w:sz w:val="20"/>
          <w:szCs w:val="20"/>
        </w:rPr>
        <w:t>434.</w:t>
      </w:r>
    </w:p>
  </w:footnote>
  <w:footnote w:id="158">
    <w:p w14:paraId="776C0929" w14:textId="0C4CD406"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 de </w:t>
      </w:r>
      <w:proofErr w:type="spellStart"/>
      <w:r w:rsidRPr="009D7635">
        <w:rPr>
          <w:rFonts w:ascii="Times New Roman" w:hAnsi="Times New Roman" w:cs="Times New Roman"/>
          <w:color w:val="000000" w:themeColor="text1"/>
        </w:rPr>
        <w:t>Vaux</w:t>
      </w:r>
      <w:proofErr w:type="spellEnd"/>
      <w:r w:rsidRPr="009D7635">
        <w:rPr>
          <w:rFonts w:ascii="Times New Roman" w:hAnsi="Times New Roman" w:cs="Times New Roman"/>
          <w:color w:val="000000" w:themeColor="text1"/>
        </w:rPr>
        <w:t xml:space="preserve">, ‘La première entrée </w:t>
      </w:r>
      <w:proofErr w:type="spellStart"/>
      <w:r w:rsidRPr="009D7635">
        <w:rPr>
          <w:rFonts w:ascii="Times New Roman" w:hAnsi="Times New Roman" w:cs="Times New Roman"/>
          <w:color w:val="000000" w:themeColor="text1"/>
        </w:rPr>
        <w:t>d’Averroës</w:t>
      </w:r>
      <w:proofErr w:type="spellEnd"/>
      <w:r w:rsidRPr="009D7635">
        <w:rPr>
          <w:rFonts w:ascii="Times New Roman" w:hAnsi="Times New Roman" w:cs="Times New Roman"/>
          <w:color w:val="000000" w:themeColor="text1"/>
        </w:rPr>
        <w:t xml:space="preserve"> chez les Latins,’ 217.</w:t>
      </w:r>
    </w:p>
  </w:footnote>
  <w:footnote w:id="159">
    <w:p w14:paraId="06A85306"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Steven J. Williams, ‘</w:t>
      </w:r>
      <w:proofErr w:type="spellStart"/>
      <w:r w:rsidRPr="009D7635">
        <w:rPr>
          <w:rFonts w:ascii="Times New Roman" w:hAnsi="Times New Roman" w:cs="Times New Roman"/>
          <w:color w:val="000000" w:themeColor="text1"/>
          <w:lang w:val="en-US"/>
        </w:rPr>
        <w:t>Repenser</w:t>
      </w:r>
      <w:proofErr w:type="spellEnd"/>
      <w:r w:rsidRPr="009D7635">
        <w:rPr>
          <w:rFonts w:ascii="Times New Roman" w:hAnsi="Times New Roman" w:cs="Times New Roman"/>
          <w:color w:val="000000" w:themeColor="text1"/>
          <w:lang w:val="en-US"/>
        </w:rPr>
        <w:t xml:space="preserve"> l’intention et </w:t>
      </w:r>
      <w:proofErr w:type="spellStart"/>
      <w:r w:rsidRPr="009D7635">
        <w:rPr>
          <w:rFonts w:ascii="Times New Roman" w:hAnsi="Times New Roman" w:cs="Times New Roman"/>
          <w:color w:val="000000" w:themeColor="text1"/>
          <w:lang w:val="en-US"/>
        </w:rPr>
        <w:t>l’effet</w:t>
      </w:r>
      <w:proofErr w:type="spellEnd"/>
      <w:r w:rsidRPr="009D7635">
        <w:rPr>
          <w:rFonts w:ascii="Times New Roman" w:hAnsi="Times New Roman" w:cs="Times New Roman"/>
          <w:color w:val="000000" w:themeColor="text1"/>
          <w:lang w:val="en-US"/>
        </w:rPr>
        <w:t xml:space="preserve"> des </w:t>
      </w:r>
      <w:proofErr w:type="spellStart"/>
      <w:r w:rsidRPr="009D7635">
        <w:rPr>
          <w:rFonts w:ascii="Times New Roman" w:hAnsi="Times New Roman" w:cs="Times New Roman"/>
          <w:color w:val="000000" w:themeColor="text1"/>
          <w:lang w:val="en-US"/>
        </w:rPr>
        <w:t>décrets</w:t>
      </w:r>
      <w:proofErr w:type="spellEnd"/>
      <w:r w:rsidRPr="009D7635">
        <w:rPr>
          <w:rFonts w:ascii="Times New Roman" w:hAnsi="Times New Roman" w:cs="Times New Roman"/>
          <w:color w:val="000000" w:themeColor="text1"/>
          <w:lang w:val="en-US"/>
        </w:rPr>
        <w:t xml:space="preserve"> de 1231,’ </w:t>
      </w:r>
      <w:r w:rsidRPr="009D7635">
        <w:rPr>
          <w:rFonts w:ascii="Times New Roman" w:hAnsi="Times New Roman" w:cs="Times New Roman"/>
          <w:color w:val="000000" w:themeColor="text1"/>
        </w:rPr>
        <w:t>152.</w:t>
      </w:r>
    </w:p>
  </w:footnote>
  <w:footnote w:id="160">
    <w:p w14:paraId="0285BAAA"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Both Williams and Bianchi accept Gauthier’s dating of the appearance of </w:t>
      </w:r>
      <w:proofErr w:type="spellStart"/>
      <w:r w:rsidRPr="009D7635">
        <w:rPr>
          <w:rFonts w:ascii="Times New Roman" w:hAnsi="Times New Roman" w:cs="Times New Roman"/>
          <w:color w:val="000000" w:themeColor="text1"/>
        </w:rPr>
        <w:t>Averroes</w:t>
      </w:r>
      <w:proofErr w:type="spellEnd"/>
      <w:r w:rsidRPr="009D7635">
        <w:rPr>
          <w:rFonts w:ascii="Times New Roman" w:hAnsi="Times New Roman" w:cs="Times New Roman"/>
          <w:color w:val="000000" w:themeColor="text1"/>
        </w:rPr>
        <w:t>.</w:t>
      </w:r>
    </w:p>
  </w:footnote>
  <w:footnote w:id="161">
    <w:p w14:paraId="5F56C90C"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Steven J. Williams, ‘</w:t>
      </w:r>
      <w:proofErr w:type="spellStart"/>
      <w:r w:rsidRPr="009D7635">
        <w:rPr>
          <w:rFonts w:ascii="Times New Roman" w:hAnsi="Times New Roman" w:cs="Times New Roman"/>
          <w:color w:val="000000" w:themeColor="text1"/>
          <w:lang w:val="en-US"/>
        </w:rPr>
        <w:t>Repenser</w:t>
      </w:r>
      <w:proofErr w:type="spellEnd"/>
      <w:r w:rsidRPr="009D7635">
        <w:rPr>
          <w:rFonts w:ascii="Times New Roman" w:hAnsi="Times New Roman" w:cs="Times New Roman"/>
          <w:color w:val="000000" w:themeColor="text1"/>
          <w:lang w:val="en-US"/>
        </w:rPr>
        <w:t xml:space="preserve"> l’intention et </w:t>
      </w:r>
      <w:proofErr w:type="spellStart"/>
      <w:r w:rsidRPr="009D7635">
        <w:rPr>
          <w:rFonts w:ascii="Times New Roman" w:hAnsi="Times New Roman" w:cs="Times New Roman"/>
          <w:color w:val="000000" w:themeColor="text1"/>
          <w:lang w:val="en-US"/>
        </w:rPr>
        <w:t>l’effet</w:t>
      </w:r>
      <w:proofErr w:type="spellEnd"/>
      <w:r w:rsidRPr="009D7635">
        <w:rPr>
          <w:rFonts w:ascii="Times New Roman" w:hAnsi="Times New Roman" w:cs="Times New Roman"/>
          <w:color w:val="000000" w:themeColor="text1"/>
          <w:lang w:val="en-US"/>
        </w:rPr>
        <w:t xml:space="preserve"> des </w:t>
      </w:r>
      <w:proofErr w:type="spellStart"/>
      <w:r w:rsidRPr="009D7635">
        <w:rPr>
          <w:rFonts w:ascii="Times New Roman" w:hAnsi="Times New Roman" w:cs="Times New Roman"/>
          <w:color w:val="000000" w:themeColor="text1"/>
          <w:lang w:val="en-US"/>
        </w:rPr>
        <w:t>décrets</w:t>
      </w:r>
      <w:proofErr w:type="spellEnd"/>
      <w:r w:rsidRPr="009D7635">
        <w:rPr>
          <w:rFonts w:ascii="Times New Roman" w:hAnsi="Times New Roman" w:cs="Times New Roman"/>
          <w:color w:val="000000" w:themeColor="text1"/>
          <w:lang w:val="en-US"/>
        </w:rPr>
        <w:t xml:space="preserve"> de 1231,’ </w:t>
      </w:r>
      <w:r w:rsidRPr="009D7635">
        <w:rPr>
          <w:rFonts w:ascii="Times New Roman" w:hAnsi="Times New Roman" w:cs="Times New Roman"/>
          <w:color w:val="000000" w:themeColor="text1"/>
        </w:rPr>
        <w:t>153.</w:t>
      </w:r>
    </w:p>
  </w:footnote>
  <w:footnote w:id="162">
    <w:p w14:paraId="1F6BC188" w14:textId="45918FF9"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96B9F"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152.</w:t>
      </w:r>
    </w:p>
  </w:footnote>
  <w:footnote w:id="163">
    <w:p w14:paraId="03EC45AB" w14:textId="427F4DA3" w:rsidR="00B93ED5" w:rsidRPr="009D7635" w:rsidRDefault="00B93ED5" w:rsidP="006A5A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lang w:val="en-US"/>
        </w:rPr>
        <w:t xml:space="preserve"> Louis Jacques </w:t>
      </w:r>
      <w:proofErr w:type="spellStart"/>
      <w:r w:rsidRPr="009D7635">
        <w:rPr>
          <w:rFonts w:ascii="Times New Roman" w:hAnsi="Times New Roman" w:cs="Times New Roman"/>
          <w:color w:val="000000" w:themeColor="text1"/>
          <w:sz w:val="20"/>
          <w:szCs w:val="20"/>
          <w:lang w:val="en-US"/>
        </w:rPr>
        <w:t>Bataillon</w:t>
      </w:r>
      <w:proofErr w:type="spellEnd"/>
      <w:r w:rsidRPr="009D7635">
        <w:rPr>
          <w:rFonts w:ascii="Times New Roman" w:hAnsi="Times New Roman" w:cs="Times New Roman"/>
          <w:color w:val="000000" w:themeColor="text1"/>
          <w:sz w:val="20"/>
          <w:szCs w:val="20"/>
          <w:lang w:val="en-US"/>
        </w:rPr>
        <w:t>, ‘</w:t>
      </w:r>
      <w:proofErr w:type="spellStart"/>
      <w:r w:rsidRPr="009D7635">
        <w:rPr>
          <w:rFonts w:ascii="Times New Roman" w:hAnsi="Times New Roman" w:cs="Times New Roman"/>
          <w:color w:val="000000" w:themeColor="text1"/>
          <w:sz w:val="20"/>
          <w:szCs w:val="20"/>
          <w:lang w:val="en-US"/>
        </w:rPr>
        <w:t>Problèmes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philosophiques</w:t>
      </w:r>
      <w:proofErr w:type="spellEnd"/>
      <w:r w:rsidRPr="009D7635">
        <w:rPr>
          <w:rFonts w:ascii="Times New Roman" w:hAnsi="Times New Roman" w:cs="Times New Roman"/>
          <w:color w:val="000000" w:themeColor="text1"/>
          <w:sz w:val="20"/>
          <w:szCs w:val="20"/>
          <w:lang w:val="en-US"/>
        </w:rPr>
        <w:t xml:space="preserve"> dans les oeuvres </w:t>
      </w:r>
      <w:proofErr w:type="spellStart"/>
      <w:r w:rsidRPr="009D7635">
        <w:rPr>
          <w:rFonts w:ascii="Times New Roman" w:hAnsi="Times New Roman" w:cs="Times New Roman"/>
          <w:color w:val="000000" w:themeColor="text1"/>
          <w:sz w:val="20"/>
          <w:szCs w:val="20"/>
          <w:lang w:val="en-US"/>
        </w:rPr>
        <w:t>théologiques</w:t>
      </w:r>
      <w:proofErr w:type="spellEnd"/>
      <w:r w:rsidRPr="009D7635">
        <w:rPr>
          <w:rFonts w:ascii="Times New Roman" w:hAnsi="Times New Roman" w:cs="Times New Roman"/>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L'enseignement</w:t>
      </w:r>
      <w:proofErr w:type="spellEnd"/>
      <w:r w:rsidRPr="009D7635">
        <w:rPr>
          <w:rFonts w:ascii="Times New Roman" w:hAnsi="Times New Roman" w:cs="Times New Roman"/>
          <w:i/>
          <w:color w:val="000000" w:themeColor="text1"/>
          <w:sz w:val="20"/>
          <w:szCs w:val="20"/>
          <w:lang w:val="en-US"/>
        </w:rPr>
        <w:t xml:space="preserve"> des disciplines à la </w:t>
      </w:r>
      <w:proofErr w:type="spellStart"/>
      <w:r w:rsidRPr="009D7635">
        <w:rPr>
          <w:rFonts w:ascii="Times New Roman" w:hAnsi="Times New Roman" w:cs="Times New Roman"/>
          <w:i/>
          <w:color w:val="000000" w:themeColor="text1"/>
          <w:sz w:val="20"/>
          <w:szCs w:val="20"/>
          <w:lang w:val="en-US"/>
        </w:rPr>
        <w:t>Faculté</w:t>
      </w:r>
      <w:proofErr w:type="spellEnd"/>
      <w:r w:rsidRPr="009D7635">
        <w:rPr>
          <w:rFonts w:ascii="Times New Roman" w:hAnsi="Times New Roman" w:cs="Times New Roman"/>
          <w:i/>
          <w:color w:val="000000" w:themeColor="text1"/>
          <w:sz w:val="20"/>
          <w:szCs w:val="20"/>
          <w:lang w:val="en-US"/>
        </w:rPr>
        <w:t xml:space="preserve"> des arts</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(Paris et Oxford, </w:t>
      </w:r>
      <w:proofErr w:type="spellStart"/>
      <w:r w:rsidRPr="009D7635">
        <w:rPr>
          <w:rFonts w:ascii="Times New Roman" w:hAnsi="Times New Roman" w:cs="Times New Roman"/>
          <w:i/>
          <w:color w:val="000000" w:themeColor="text1"/>
          <w:sz w:val="20"/>
          <w:szCs w:val="20"/>
          <w:lang w:val="en-US"/>
        </w:rPr>
        <w:t>XIIIe-XV</w:t>
      </w:r>
      <w:r w:rsidR="00D94893" w:rsidRPr="009D7635">
        <w:rPr>
          <w:rFonts w:ascii="Times New Roman" w:hAnsi="Times New Roman" w:cs="Times New Roman"/>
          <w:i/>
          <w:color w:val="000000" w:themeColor="text1"/>
          <w:sz w:val="20"/>
          <w:szCs w:val="20"/>
          <w:lang w:val="en-US"/>
        </w:rPr>
        <w: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siècles</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ed. Olga </w:t>
      </w:r>
      <w:proofErr w:type="spellStart"/>
      <w:r w:rsidRPr="009D7635">
        <w:rPr>
          <w:rFonts w:ascii="Times New Roman" w:hAnsi="Times New Roman" w:cs="Times New Roman"/>
          <w:color w:val="000000" w:themeColor="text1"/>
          <w:sz w:val="20"/>
          <w:szCs w:val="20"/>
          <w:lang w:val="en-US"/>
        </w:rPr>
        <w:t>Weijers</w:t>
      </w:r>
      <w:proofErr w:type="spellEnd"/>
      <w:r w:rsidRPr="009D7635">
        <w:rPr>
          <w:rFonts w:ascii="Times New Roman" w:hAnsi="Times New Roman" w:cs="Times New Roman"/>
          <w:color w:val="000000" w:themeColor="text1"/>
          <w:sz w:val="20"/>
          <w:szCs w:val="20"/>
          <w:lang w:val="en-US"/>
        </w:rPr>
        <w:t xml:space="preserve"> and Louis </w:t>
      </w:r>
      <w:proofErr w:type="spellStart"/>
      <w:r w:rsidRPr="009D7635">
        <w:rPr>
          <w:rFonts w:ascii="Times New Roman" w:hAnsi="Times New Roman" w:cs="Times New Roman"/>
          <w:color w:val="000000" w:themeColor="text1"/>
          <w:sz w:val="20"/>
          <w:szCs w:val="20"/>
          <w:lang w:val="en-US"/>
        </w:rPr>
        <w:t>Holtz</w:t>
      </w:r>
      <w:proofErr w:type="spellEnd"/>
      <w:r w:rsidRPr="009D7635">
        <w:rPr>
          <w:rFonts w:ascii="Times New Roman" w:hAnsi="Times New Roman" w:cs="Times New Roman"/>
          <w:color w:val="000000" w:themeColor="text1"/>
          <w:sz w:val="20"/>
          <w:szCs w:val="20"/>
          <w:lang w:val="en-US"/>
        </w:rPr>
        <w:t xml:space="preserve"> (Paris: </w:t>
      </w:r>
      <w:proofErr w:type="spellStart"/>
      <w:r w:rsidRPr="009D7635">
        <w:rPr>
          <w:rFonts w:ascii="Times New Roman" w:hAnsi="Times New Roman" w:cs="Times New Roman"/>
          <w:color w:val="000000" w:themeColor="text1"/>
          <w:sz w:val="20"/>
          <w:szCs w:val="20"/>
          <w:lang w:val="en-US"/>
        </w:rPr>
        <w:t>Brepols</w:t>
      </w:r>
      <w:proofErr w:type="spellEnd"/>
      <w:r w:rsidRPr="009D7635">
        <w:rPr>
          <w:rFonts w:ascii="Times New Roman" w:hAnsi="Times New Roman" w:cs="Times New Roman"/>
          <w:color w:val="000000" w:themeColor="text1"/>
          <w:sz w:val="20"/>
          <w:szCs w:val="20"/>
          <w:lang w:val="en-US"/>
        </w:rPr>
        <w:t xml:space="preserve">, 1997), </w:t>
      </w:r>
      <w:r w:rsidRPr="009D7635">
        <w:rPr>
          <w:rFonts w:ascii="Times New Roman" w:hAnsi="Times New Roman" w:cs="Times New Roman"/>
          <w:color w:val="000000" w:themeColor="text1"/>
          <w:sz w:val="20"/>
          <w:szCs w:val="20"/>
        </w:rPr>
        <w:t>450</w:t>
      </w:r>
      <w:r w:rsidR="00787CB7" w:rsidRPr="009D7635">
        <w:rPr>
          <w:rFonts w:ascii="Times New Roman" w:hAnsi="Times New Roman" w:cs="Times New Roman"/>
          <w:color w:val="000000" w:themeColor="text1"/>
          <w:sz w:val="20"/>
          <w:szCs w:val="20"/>
        </w:rPr>
        <w:t>.</w:t>
      </w:r>
    </w:p>
  </w:footnote>
  <w:footnote w:id="164">
    <w:p w14:paraId="1A395AA2" w14:textId="4242E6E1" w:rsidR="00B93ED5" w:rsidRPr="009D7635" w:rsidRDefault="00B93ED5" w:rsidP="006A5A46">
      <w:pPr>
        <w:pStyle w:val="p1"/>
        <w:rPr>
          <w:color w:val="000000" w:themeColor="text1"/>
          <w:sz w:val="20"/>
          <w:szCs w:val="20"/>
        </w:rPr>
      </w:pPr>
      <w:r w:rsidRPr="009D7635">
        <w:rPr>
          <w:rStyle w:val="FootnoteReference"/>
          <w:color w:val="000000" w:themeColor="text1"/>
          <w:sz w:val="20"/>
          <w:szCs w:val="20"/>
        </w:rPr>
        <w:footnoteRef/>
      </w:r>
      <w:r w:rsidRPr="009D7635">
        <w:rPr>
          <w:color w:val="000000" w:themeColor="text1"/>
          <w:sz w:val="20"/>
          <w:szCs w:val="20"/>
        </w:rPr>
        <w:t xml:space="preserve"> Deborah </w:t>
      </w:r>
      <w:proofErr w:type="spellStart"/>
      <w:r w:rsidRPr="009D7635">
        <w:rPr>
          <w:color w:val="000000" w:themeColor="text1"/>
          <w:sz w:val="20"/>
          <w:szCs w:val="20"/>
        </w:rPr>
        <w:t>Grice</w:t>
      </w:r>
      <w:proofErr w:type="spellEnd"/>
      <w:r w:rsidRPr="009D7635">
        <w:rPr>
          <w:color w:val="000000" w:themeColor="text1"/>
          <w:sz w:val="20"/>
          <w:szCs w:val="20"/>
        </w:rPr>
        <w:t xml:space="preserve"> discusses the condemned articles in, </w:t>
      </w:r>
      <w:r w:rsidRPr="009D7635">
        <w:rPr>
          <w:i/>
          <w:color w:val="000000" w:themeColor="text1"/>
          <w:sz w:val="20"/>
          <w:szCs w:val="20"/>
        </w:rPr>
        <w:t xml:space="preserve">Church, Society and University: The Paris Condemnation of 1241/4 </w:t>
      </w:r>
      <w:r w:rsidRPr="009D7635">
        <w:rPr>
          <w:color w:val="000000" w:themeColor="text1"/>
          <w:sz w:val="20"/>
          <w:szCs w:val="20"/>
        </w:rPr>
        <w:t xml:space="preserve">(London: </w:t>
      </w:r>
      <w:proofErr w:type="spellStart"/>
      <w:r w:rsidRPr="009D7635">
        <w:rPr>
          <w:color w:val="000000" w:themeColor="text1"/>
          <w:sz w:val="20"/>
          <w:szCs w:val="20"/>
        </w:rPr>
        <w:t>Routledge</w:t>
      </w:r>
      <w:proofErr w:type="spellEnd"/>
      <w:r w:rsidRPr="009D7635">
        <w:rPr>
          <w:color w:val="000000" w:themeColor="text1"/>
          <w:sz w:val="20"/>
          <w:szCs w:val="20"/>
        </w:rPr>
        <w:t xml:space="preserve">, 2019). See also the older studies of </w:t>
      </w:r>
      <w:r w:rsidRPr="009D7635">
        <w:rPr>
          <w:rFonts w:eastAsia="Times New Roman"/>
          <w:color w:val="000000" w:themeColor="text1"/>
          <w:sz w:val="20"/>
          <w:szCs w:val="20"/>
        </w:rPr>
        <w:t xml:space="preserve">Henri F. </w:t>
      </w:r>
      <w:proofErr w:type="spellStart"/>
      <w:r w:rsidRPr="009D7635">
        <w:rPr>
          <w:rFonts w:eastAsia="Times New Roman"/>
          <w:color w:val="000000" w:themeColor="text1"/>
          <w:sz w:val="20"/>
          <w:szCs w:val="20"/>
        </w:rPr>
        <w:t>Dondaine</w:t>
      </w:r>
      <w:proofErr w:type="spellEnd"/>
      <w:r w:rsidRPr="009D7635">
        <w:rPr>
          <w:rFonts w:eastAsia="Times New Roman"/>
          <w:color w:val="000000" w:themeColor="text1"/>
          <w:sz w:val="20"/>
          <w:szCs w:val="20"/>
        </w:rPr>
        <w:t xml:space="preserve">, ‘L’objet et le ‘medium’ de la vision </w:t>
      </w:r>
      <w:proofErr w:type="spellStart"/>
      <w:r w:rsidRPr="009D7635">
        <w:rPr>
          <w:rFonts w:eastAsia="Times New Roman"/>
          <w:color w:val="000000" w:themeColor="text1"/>
          <w:sz w:val="20"/>
          <w:szCs w:val="20"/>
        </w:rPr>
        <w:t>béatifique</w:t>
      </w:r>
      <w:proofErr w:type="spellEnd"/>
      <w:r w:rsidRPr="009D7635">
        <w:rPr>
          <w:rFonts w:eastAsia="Times New Roman"/>
          <w:color w:val="000000" w:themeColor="text1"/>
          <w:sz w:val="20"/>
          <w:szCs w:val="20"/>
        </w:rPr>
        <w:t xml:space="preserve"> chez les </w:t>
      </w:r>
      <w:proofErr w:type="spellStart"/>
      <w:r w:rsidRPr="009D7635">
        <w:rPr>
          <w:rFonts w:eastAsia="Times New Roman"/>
          <w:color w:val="000000" w:themeColor="text1"/>
          <w:sz w:val="20"/>
          <w:szCs w:val="20"/>
        </w:rPr>
        <w:t>théologiens</w:t>
      </w:r>
      <w:proofErr w:type="spellEnd"/>
      <w:r w:rsidRPr="009D7635">
        <w:rPr>
          <w:rFonts w:eastAsia="Times New Roman"/>
          <w:color w:val="000000" w:themeColor="text1"/>
          <w:sz w:val="20"/>
          <w:szCs w:val="20"/>
        </w:rPr>
        <w:t xml:space="preserve"> du XIII</w:t>
      </w:r>
      <w:r w:rsidRPr="009D7635">
        <w:rPr>
          <w:rFonts w:eastAsia="Times New Roman"/>
          <w:color w:val="000000" w:themeColor="text1"/>
          <w:sz w:val="20"/>
          <w:szCs w:val="20"/>
          <w:vertAlign w:val="superscript"/>
        </w:rPr>
        <w:t>e</w:t>
      </w:r>
      <w:r w:rsidRPr="009D7635">
        <w:rPr>
          <w:rFonts w:eastAsia="Times New Roman"/>
          <w:color w:val="000000" w:themeColor="text1"/>
          <w:sz w:val="20"/>
          <w:szCs w:val="20"/>
        </w:rPr>
        <w:t xml:space="preserve"> siècle,’ </w:t>
      </w:r>
      <w:proofErr w:type="spellStart"/>
      <w:r w:rsidRPr="009D7635">
        <w:rPr>
          <w:rFonts w:eastAsia="Times New Roman"/>
          <w:i/>
          <w:color w:val="000000" w:themeColor="text1"/>
          <w:sz w:val="20"/>
          <w:szCs w:val="20"/>
        </w:rPr>
        <w:t>Recherches</w:t>
      </w:r>
      <w:proofErr w:type="spellEnd"/>
      <w:r w:rsidRPr="009D7635">
        <w:rPr>
          <w:rFonts w:eastAsia="Times New Roman"/>
          <w:i/>
          <w:color w:val="000000" w:themeColor="text1"/>
          <w:sz w:val="20"/>
          <w:szCs w:val="20"/>
        </w:rPr>
        <w:t xml:space="preserve"> de </w:t>
      </w:r>
      <w:proofErr w:type="spellStart"/>
      <w:r w:rsidRPr="009D7635">
        <w:rPr>
          <w:rFonts w:eastAsia="Times New Roman"/>
          <w:i/>
          <w:color w:val="000000" w:themeColor="text1"/>
          <w:sz w:val="20"/>
          <w:szCs w:val="20"/>
        </w:rPr>
        <w:t>théologie</w:t>
      </w:r>
      <w:proofErr w:type="spellEnd"/>
      <w:r w:rsidRPr="009D7635">
        <w:rPr>
          <w:rFonts w:eastAsia="Times New Roman"/>
          <w:i/>
          <w:color w:val="000000" w:themeColor="text1"/>
          <w:sz w:val="20"/>
          <w:szCs w:val="20"/>
        </w:rPr>
        <w:t xml:space="preserve"> </w:t>
      </w:r>
      <w:proofErr w:type="spellStart"/>
      <w:r w:rsidRPr="009D7635">
        <w:rPr>
          <w:rFonts w:eastAsia="Times New Roman"/>
          <w:i/>
          <w:color w:val="000000" w:themeColor="text1"/>
          <w:sz w:val="20"/>
          <w:szCs w:val="20"/>
        </w:rPr>
        <w:t>ancienne</w:t>
      </w:r>
      <w:proofErr w:type="spellEnd"/>
      <w:r w:rsidRPr="009D7635">
        <w:rPr>
          <w:rFonts w:eastAsia="Times New Roman"/>
          <w:i/>
          <w:color w:val="000000" w:themeColor="text1"/>
          <w:sz w:val="20"/>
          <w:szCs w:val="20"/>
        </w:rPr>
        <w:t xml:space="preserve"> et </w:t>
      </w:r>
      <w:proofErr w:type="spellStart"/>
      <w:r w:rsidRPr="009D7635">
        <w:rPr>
          <w:rFonts w:eastAsia="Times New Roman"/>
          <w:i/>
          <w:color w:val="000000" w:themeColor="text1"/>
          <w:sz w:val="20"/>
          <w:szCs w:val="20"/>
        </w:rPr>
        <w:t>médiévale</w:t>
      </w:r>
      <w:proofErr w:type="spellEnd"/>
      <w:r w:rsidRPr="009D7635">
        <w:rPr>
          <w:rFonts w:eastAsia="Times New Roman"/>
          <w:color w:val="000000" w:themeColor="text1"/>
          <w:sz w:val="20"/>
          <w:szCs w:val="20"/>
        </w:rPr>
        <w:t xml:space="preserve"> 19 (1952)</w:t>
      </w:r>
      <w:r w:rsidR="00A11B56" w:rsidRPr="009D7635">
        <w:rPr>
          <w:rFonts w:eastAsia="Times New Roman"/>
          <w:color w:val="000000" w:themeColor="text1"/>
          <w:sz w:val="20"/>
          <w:szCs w:val="20"/>
        </w:rPr>
        <w:t>:</w:t>
      </w:r>
      <w:r w:rsidRPr="009D7635">
        <w:rPr>
          <w:rFonts w:eastAsia="Times New Roman"/>
          <w:color w:val="000000" w:themeColor="text1"/>
          <w:sz w:val="20"/>
          <w:szCs w:val="20"/>
        </w:rPr>
        <w:t xml:space="preserve"> 60-130. </w:t>
      </w:r>
      <w:r w:rsidRPr="009D7635">
        <w:rPr>
          <w:bCs/>
          <w:color w:val="000000" w:themeColor="text1"/>
          <w:sz w:val="20"/>
          <w:szCs w:val="20"/>
          <w:lang w:val="de-DE"/>
        </w:rPr>
        <w:t>P</w:t>
      </w:r>
      <w:r w:rsidRPr="009D7635">
        <w:rPr>
          <w:color w:val="000000" w:themeColor="text1"/>
          <w:sz w:val="20"/>
          <w:szCs w:val="20"/>
          <w:lang w:val="de-DE"/>
        </w:rPr>
        <w:t>.-</w:t>
      </w:r>
      <w:r w:rsidRPr="009D7635">
        <w:rPr>
          <w:bCs/>
          <w:color w:val="000000" w:themeColor="text1"/>
          <w:sz w:val="20"/>
          <w:szCs w:val="20"/>
          <w:lang w:val="de-DE"/>
        </w:rPr>
        <w:t>M</w:t>
      </w:r>
      <w:r w:rsidRPr="009D7635">
        <w:rPr>
          <w:color w:val="000000" w:themeColor="text1"/>
          <w:sz w:val="20"/>
          <w:szCs w:val="20"/>
          <w:lang w:val="de-DE"/>
        </w:rPr>
        <w:t xml:space="preserve">. </w:t>
      </w:r>
      <w:r w:rsidRPr="009D7635">
        <w:rPr>
          <w:bCs/>
          <w:color w:val="000000" w:themeColor="text1"/>
          <w:sz w:val="20"/>
          <w:szCs w:val="20"/>
          <w:lang w:val="de-DE"/>
        </w:rPr>
        <w:t xml:space="preserve">De </w:t>
      </w:r>
      <w:proofErr w:type="spellStart"/>
      <w:r w:rsidRPr="009D7635">
        <w:rPr>
          <w:bCs/>
          <w:color w:val="000000" w:themeColor="text1"/>
          <w:sz w:val="20"/>
          <w:szCs w:val="20"/>
          <w:lang w:val="de-DE"/>
        </w:rPr>
        <w:t>Contenson</w:t>
      </w:r>
      <w:proofErr w:type="spellEnd"/>
      <w:r w:rsidRPr="009D7635">
        <w:rPr>
          <w:color w:val="000000" w:themeColor="text1"/>
          <w:sz w:val="20"/>
          <w:szCs w:val="20"/>
          <w:lang w:val="de-DE"/>
        </w:rPr>
        <w:t>,</w:t>
      </w:r>
      <w:r w:rsidRPr="009D7635">
        <w:rPr>
          <w:rStyle w:val="apple-converted-space"/>
          <w:color w:val="000000" w:themeColor="text1"/>
          <w:sz w:val="20"/>
          <w:szCs w:val="20"/>
          <w:lang w:val="de-DE"/>
        </w:rPr>
        <w:t> </w:t>
      </w:r>
      <w:r w:rsidRPr="009D7635">
        <w:rPr>
          <w:color w:val="000000" w:themeColor="text1"/>
          <w:sz w:val="20"/>
          <w:szCs w:val="20"/>
          <w:lang w:val="de-DE"/>
        </w:rPr>
        <w:t>‘</w:t>
      </w:r>
      <w:proofErr w:type="spellStart"/>
      <w:r w:rsidRPr="009D7635">
        <w:rPr>
          <w:bCs/>
          <w:color w:val="000000" w:themeColor="text1"/>
          <w:sz w:val="20"/>
          <w:szCs w:val="20"/>
          <w:lang w:val="de-DE"/>
        </w:rPr>
        <w:t>Avicennisme</w:t>
      </w:r>
      <w:proofErr w:type="spellEnd"/>
      <w:r w:rsidRPr="009D7635">
        <w:rPr>
          <w:bCs/>
          <w:color w:val="000000" w:themeColor="text1"/>
          <w:sz w:val="20"/>
          <w:szCs w:val="20"/>
          <w:lang w:val="de-DE"/>
        </w:rPr>
        <w:t xml:space="preserve"> </w:t>
      </w:r>
      <w:proofErr w:type="spellStart"/>
      <w:r w:rsidRPr="009D7635">
        <w:rPr>
          <w:bCs/>
          <w:color w:val="000000" w:themeColor="text1"/>
          <w:sz w:val="20"/>
          <w:szCs w:val="20"/>
          <w:lang w:val="de-DE"/>
        </w:rPr>
        <w:t>latin</w:t>
      </w:r>
      <w:proofErr w:type="spellEnd"/>
      <w:r w:rsidRPr="009D7635">
        <w:rPr>
          <w:bCs/>
          <w:color w:val="000000" w:themeColor="text1"/>
          <w:sz w:val="20"/>
          <w:szCs w:val="20"/>
          <w:lang w:val="de-DE"/>
        </w:rPr>
        <w:t xml:space="preserve"> et </w:t>
      </w:r>
      <w:proofErr w:type="spellStart"/>
      <w:r w:rsidRPr="009D7635">
        <w:rPr>
          <w:bCs/>
          <w:color w:val="000000" w:themeColor="text1"/>
          <w:sz w:val="20"/>
          <w:szCs w:val="20"/>
          <w:lang w:val="de-DE"/>
        </w:rPr>
        <w:t>vision</w:t>
      </w:r>
      <w:proofErr w:type="spellEnd"/>
      <w:r w:rsidRPr="009D7635">
        <w:rPr>
          <w:bCs/>
          <w:color w:val="000000" w:themeColor="text1"/>
          <w:sz w:val="20"/>
          <w:szCs w:val="20"/>
          <w:lang w:val="de-DE"/>
        </w:rPr>
        <w:t xml:space="preserve"> de </w:t>
      </w:r>
      <w:proofErr w:type="spellStart"/>
      <w:r w:rsidRPr="009D7635">
        <w:rPr>
          <w:bCs/>
          <w:color w:val="000000" w:themeColor="text1"/>
          <w:sz w:val="20"/>
          <w:szCs w:val="20"/>
          <w:lang w:val="de-DE"/>
        </w:rPr>
        <w:t>Dieu</w:t>
      </w:r>
      <w:proofErr w:type="spellEnd"/>
      <w:r w:rsidRPr="009D7635">
        <w:rPr>
          <w:bCs/>
          <w:color w:val="000000" w:themeColor="text1"/>
          <w:sz w:val="20"/>
          <w:szCs w:val="20"/>
          <w:lang w:val="de-DE"/>
        </w:rPr>
        <w:t xml:space="preserve"> au </w:t>
      </w:r>
      <w:proofErr w:type="spellStart"/>
      <w:r w:rsidRPr="009D7635">
        <w:rPr>
          <w:bCs/>
          <w:color w:val="000000" w:themeColor="text1"/>
          <w:sz w:val="20"/>
          <w:szCs w:val="20"/>
          <w:lang w:val="de-DE"/>
        </w:rPr>
        <w:t>début</w:t>
      </w:r>
      <w:proofErr w:type="spellEnd"/>
      <w:r w:rsidRPr="009D7635">
        <w:rPr>
          <w:bCs/>
          <w:color w:val="000000" w:themeColor="text1"/>
          <w:sz w:val="20"/>
          <w:szCs w:val="20"/>
          <w:lang w:val="de-DE"/>
        </w:rPr>
        <w:t xml:space="preserve"> du XIII</w:t>
      </w:r>
      <w:r w:rsidRPr="009D7635">
        <w:rPr>
          <w:bCs/>
          <w:color w:val="000000" w:themeColor="text1"/>
          <w:sz w:val="20"/>
          <w:szCs w:val="20"/>
          <w:vertAlign w:val="superscript"/>
          <w:lang w:val="de-DE"/>
        </w:rPr>
        <w:t>e</w:t>
      </w:r>
      <w:r w:rsidRPr="009D7635">
        <w:rPr>
          <w:bCs/>
          <w:color w:val="000000" w:themeColor="text1"/>
          <w:sz w:val="20"/>
          <w:szCs w:val="20"/>
          <w:lang w:val="de-DE"/>
        </w:rPr>
        <w:t xml:space="preserve"> </w:t>
      </w:r>
      <w:proofErr w:type="spellStart"/>
      <w:r w:rsidRPr="009D7635">
        <w:rPr>
          <w:bCs/>
          <w:color w:val="000000" w:themeColor="text1"/>
          <w:sz w:val="20"/>
          <w:szCs w:val="20"/>
          <w:lang w:val="de-DE"/>
        </w:rPr>
        <w:t>siècle</w:t>
      </w:r>
      <w:proofErr w:type="spellEnd"/>
      <w:r w:rsidRPr="009D7635">
        <w:rPr>
          <w:bCs/>
          <w:color w:val="000000" w:themeColor="text1"/>
          <w:sz w:val="20"/>
          <w:szCs w:val="20"/>
          <w:lang w:val="de-DE"/>
        </w:rPr>
        <w:t>,</w:t>
      </w:r>
      <w:r w:rsidRPr="009D7635">
        <w:rPr>
          <w:color w:val="000000" w:themeColor="text1"/>
          <w:sz w:val="20"/>
          <w:szCs w:val="20"/>
          <w:lang w:val="de-DE"/>
        </w:rPr>
        <w:t xml:space="preserve">’ </w:t>
      </w:r>
      <w:r w:rsidRPr="009D7635">
        <w:rPr>
          <w:i/>
          <w:color w:val="000000" w:themeColor="text1"/>
          <w:sz w:val="20"/>
          <w:szCs w:val="20"/>
        </w:rPr>
        <w:t xml:space="preserve">Archives </w:t>
      </w:r>
      <w:proofErr w:type="spellStart"/>
      <w:r w:rsidRPr="009D7635">
        <w:rPr>
          <w:i/>
          <w:color w:val="000000" w:themeColor="text1"/>
          <w:sz w:val="20"/>
          <w:szCs w:val="20"/>
        </w:rPr>
        <w:t>d'histoire</w:t>
      </w:r>
      <w:proofErr w:type="spellEnd"/>
      <w:r w:rsidRPr="009D7635">
        <w:rPr>
          <w:i/>
          <w:color w:val="000000" w:themeColor="text1"/>
          <w:sz w:val="20"/>
          <w:szCs w:val="20"/>
        </w:rPr>
        <w:t xml:space="preserve"> </w:t>
      </w:r>
      <w:proofErr w:type="spellStart"/>
      <w:r w:rsidRPr="009D7635">
        <w:rPr>
          <w:i/>
          <w:color w:val="000000" w:themeColor="text1"/>
          <w:sz w:val="20"/>
          <w:szCs w:val="20"/>
        </w:rPr>
        <w:t>doctrinale</w:t>
      </w:r>
      <w:proofErr w:type="spellEnd"/>
      <w:r w:rsidRPr="009D7635">
        <w:rPr>
          <w:i/>
          <w:color w:val="000000" w:themeColor="text1"/>
          <w:sz w:val="20"/>
          <w:szCs w:val="20"/>
        </w:rPr>
        <w:t xml:space="preserve"> et </w:t>
      </w:r>
      <w:proofErr w:type="spellStart"/>
      <w:r w:rsidRPr="009D7635">
        <w:rPr>
          <w:i/>
          <w:color w:val="000000" w:themeColor="text1"/>
          <w:sz w:val="20"/>
          <w:szCs w:val="20"/>
        </w:rPr>
        <w:t>littéraire</w:t>
      </w:r>
      <w:proofErr w:type="spellEnd"/>
      <w:r w:rsidRPr="009D7635">
        <w:rPr>
          <w:i/>
          <w:color w:val="000000" w:themeColor="text1"/>
          <w:sz w:val="20"/>
          <w:szCs w:val="20"/>
        </w:rPr>
        <w:t xml:space="preserve"> du </w:t>
      </w:r>
      <w:proofErr w:type="spellStart"/>
      <w:r w:rsidRPr="009D7635">
        <w:rPr>
          <w:i/>
          <w:color w:val="000000" w:themeColor="text1"/>
          <w:sz w:val="20"/>
          <w:szCs w:val="20"/>
        </w:rPr>
        <w:t>Moyen</w:t>
      </w:r>
      <w:proofErr w:type="spellEnd"/>
      <w:r w:rsidRPr="009D7635">
        <w:rPr>
          <w:i/>
          <w:color w:val="000000" w:themeColor="text1"/>
          <w:sz w:val="20"/>
          <w:szCs w:val="20"/>
        </w:rPr>
        <w:t xml:space="preserve"> Age</w:t>
      </w:r>
      <w:r w:rsidRPr="009D7635">
        <w:rPr>
          <w:color w:val="000000" w:themeColor="text1"/>
          <w:sz w:val="20"/>
          <w:szCs w:val="20"/>
        </w:rPr>
        <w:t xml:space="preserve"> 34 (1959)</w:t>
      </w:r>
      <w:r w:rsidR="00A11B56" w:rsidRPr="009D7635">
        <w:rPr>
          <w:color w:val="000000" w:themeColor="text1"/>
          <w:sz w:val="20"/>
          <w:szCs w:val="20"/>
        </w:rPr>
        <w:t>:</w:t>
      </w:r>
      <w:r w:rsidRPr="009D7635">
        <w:rPr>
          <w:color w:val="000000" w:themeColor="text1"/>
          <w:sz w:val="20"/>
          <w:szCs w:val="20"/>
        </w:rPr>
        <w:t xml:space="preserve"> 29-97. </w:t>
      </w:r>
    </w:p>
  </w:footnote>
  <w:footnote w:id="165">
    <w:p w14:paraId="2556C475" w14:textId="6C0A3525"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 Callus, ‘The Treatise of John </w:t>
      </w:r>
      <w:proofErr w:type="spellStart"/>
      <w:r w:rsidRPr="009D7635">
        <w:rPr>
          <w:rFonts w:ascii="Times New Roman" w:hAnsi="Times New Roman" w:cs="Times New Roman"/>
          <w:color w:val="000000" w:themeColor="text1"/>
        </w:rPr>
        <w:t>Blund</w:t>
      </w:r>
      <w:proofErr w:type="spellEnd"/>
      <w:r w:rsidRPr="009D7635">
        <w:rPr>
          <w:rFonts w:ascii="Times New Roman" w:hAnsi="Times New Roman" w:cs="Times New Roman"/>
          <w:color w:val="000000" w:themeColor="text1"/>
        </w:rPr>
        <w:t xml:space="preserve"> on the Soul,’ 482; </w:t>
      </w:r>
      <w:proofErr w:type="spellStart"/>
      <w:r w:rsidRPr="009D7635">
        <w:rPr>
          <w:rFonts w:ascii="Times New Roman" w:hAnsi="Times New Roman" w:cs="Times New Roman"/>
          <w:bCs/>
          <w:i/>
          <w:iCs/>
          <w:color w:val="000000" w:themeColor="text1"/>
        </w:rPr>
        <w:t>Iohannes</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Blund</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Tractatus</w:t>
      </w:r>
      <w:proofErr w:type="spellEnd"/>
      <w:r w:rsidRPr="009D7635">
        <w:rPr>
          <w:rFonts w:ascii="Times New Roman" w:hAnsi="Times New Roman" w:cs="Times New Roman"/>
          <w:bCs/>
          <w:i/>
          <w:iCs/>
          <w:color w:val="000000" w:themeColor="text1"/>
        </w:rPr>
        <w:t xml:space="preserve"> De Anima</w:t>
      </w:r>
      <w:r w:rsidRPr="009D7635">
        <w:rPr>
          <w:rFonts w:ascii="Times New Roman" w:hAnsi="Times New Roman" w:cs="Times New Roman"/>
          <w:color w:val="000000" w:themeColor="text1"/>
        </w:rPr>
        <w:t xml:space="preserve">, 13-15. On Roland,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 </w:t>
      </w:r>
      <w:r w:rsidRPr="009D7635">
        <w:rPr>
          <w:rFonts w:ascii="Times New Roman" w:hAnsi="Times New Roman" w:cs="Times New Roman"/>
          <w:i/>
          <w:color w:val="000000" w:themeColor="text1"/>
        </w:rPr>
        <w:t>Avicenna’s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38; Callus, ‘The Powers of the Soul,’ 157.</w:t>
      </w:r>
    </w:p>
  </w:footnote>
  <w:footnote w:id="166">
    <w:p w14:paraId="0CBB7A8C" w14:textId="739FAB6D"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Daniel A. Callus, ‘The Function of the Philosopher in Thirteenth-Century Oxford,’ in </w:t>
      </w:r>
      <w:proofErr w:type="spellStart"/>
      <w:r w:rsidRPr="009D7635">
        <w:rPr>
          <w:rFonts w:ascii="Times New Roman" w:hAnsi="Times New Roman" w:cs="Times New Roman"/>
          <w:i/>
          <w:color w:val="000000" w:themeColor="text1"/>
        </w:rPr>
        <w:t>Beiträge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zum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Berufsbewusstsein</w:t>
      </w:r>
      <w:proofErr w:type="spellEnd"/>
      <w:r w:rsidRPr="009D7635">
        <w:rPr>
          <w:rFonts w:ascii="Times New Roman" w:hAnsi="Times New Roman" w:cs="Times New Roman"/>
          <w:i/>
          <w:color w:val="000000" w:themeColor="text1"/>
        </w:rPr>
        <w:t xml:space="preserve"> des </w:t>
      </w:r>
      <w:proofErr w:type="spellStart"/>
      <w:r w:rsidRPr="009D7635">
        <w:rPr>
          <w:rFonts w:ascii="Times New Roman" w:hAnsi="Times New Roman" w:cs="Times New Roman"/>
          <w:i/>
          <w:color w:val="000000" w:themeColor="text1"/>
        </w:rPr>
        <w:t>mittelalterlichen</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Menschen</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Paul </w:t>
      </w:r>
      <w:proofErr w:type="spellStart"/>
      <w:r w:rsidRPr="009D7635">
        <w:rPr>
          <w:rFonts w:ascii="Times New Roman" w:hAnsi="Times New Roman" w:cs="Times New Roman"/>
          <w:color w:val="000000" w:themeColor="text1"/>
        </w:rPr>
        <w:t>Wilpert</w:t>
      </w:r>
      <w:proofErr w:type="spellEnd"/>
      <w:r w:rsidRPr="009D7635">
        <w:rPr>
          <w:rFonts w:ascii="Times New Roman" w:hAnsi="Times New Roman" w:cs="Times New Roman"/>
          <w:color w:val="000000" w:themeColor="text1"/>
        </w:rPr>
        <w:t xml:space="preserve"> (Berlin: De Gruyter, 1964), 156.</w:t>
      </w:r>
      <w:r w:rsidR="00AE27D0" w:rsidRPr="009D7635">
        <w:rPr>
          <w:rFonts w:ascii="Times New Roman" w:hAnsi="Times New Roman" w:cs="Times New Roman"/>
          <w:color w:val="000000" w:themeColor="text1"/>
        </w:rPr>
        <w:t xml:space="preserve"> Here, Callus notes that the division of labour </w:t>
      </w:r>
      <w:r w:rsidR="003371DC" w:rsidRPr="009D7635">
        <w:rPr>
          <w:rFonts w:ascii="Times New Roman" w:hAnsi="Times New Roman" w:cs="Times New Roman"/>
          <w:color w:val="000000" w:themeColor="text1"/>
        </w:rPr>
        <w:t xml:space="preserve">outlined here </w:t>
      </w:r>
      <w:r w:rsidR="0068591A" w:rsidRPr="009D7635">
        <w:rPr>
          <w:rFonts w:ascii="Times New Roman" w:hAnsi="Times New Roman" w:cs="Times New Roman"/>
          <w:color w:val="000000" w:themeColor="text1"/>
        </w:rPr>
        <w:t xml:space="preserve">between philosophers and theologians </w:t>
      </w:r>
      <w:r w:rsidR="00AE27D0" w:rsidRPr="009D7635">
        <w:rPr>
          <w:rFonts w:ascii="Times New Roman" w:hAnsi="Times New Roman" w:cs="Times New Roman"/>
          <w:color w:val="000000" w:themeColor="text1"/>
        </w:rPr>
        <w:t>does not necessarily denote any animosity between the two faculties in the university—only a sense of appropriate spheres of expertise and influence</w:t>
      </w:r>
      <w:r w:rsidR="004D6FCD" w:rsidRPr="009D7635">
        <w:rPr>
          <w:rFonts w:ascii="Times New Roman" w:hAnsi="Times New Roman" w:cs="Times New Roman"/>
          <w:color w:val="000000" w:themeColor="text1"/>
        </w:rPr>
        <w:t>.</w:t>
      </w:r>
    </w:p>
  </w:footnote>
  <w:footnote w:id="167">
    <w:p w14:paraId="66B91A88"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Steven J. Williams, ‘</w:t>
      </w:r>
      <w:proofErr w:type="spellStart"/>
      <w:r w:rsidRPr="009D7635">
        <w:rPr>
          <w:rFonts w:ascii="Times New Roman" w:hAnsi="Times New Roman" w:cs="Times New Roman"/>
          <w:color w:val="000000" w:themeColor="text1"/>
          <w:lang w:val="en-US"/>
        </w:rPr>
        <w:t>Repenser</w:t>
      </w:r>
      <w:proofErr w:type="spellEnd"/>
      <w:r w:rsidRPr="009D7635">
        <w:rPr>
          <w:rFonts w:ascii="Times New Roman" w:hAnsi="Times New Roman" w:cs="Times New Roman"/>
          <w:color w:val="000000" w:themeColor="text1"/>
          <w:lang w:val="en-US"/>
        </w:rPr>
        <w:t xml:space="preserve"> l’intention et </w:t>
      </w:r>
      <w:proofErr w:type="spellStart"/>
      <w:r w:rsidRPr="009D7635">
        <w:rPr>
          <w:rFonts w:ascii="Times New Roman" w:hAnsi="Times New Roman" w:cs="Times New Roman"/>
          <w:color w:val="000000" w:themeColor="text1"/>
          <w:lang w:val="en-US"/>
        </w:rPr>
        <w:t>l’effet</w:t>
      </w:r>
      <w:proofErr w:type="spellEnd"/>
      <w:r w:rsidRPr="009D7635">
        <w:rPr>
          <w:rFonts w:ascii="Times New Roman" w:hAnsi="Times New Roman" w:cs="Times New Roman"/>
          <w:color w:val="000000" w:themeColor="text1"/>
          <w:lang w:val="en-US"/>
        </w:rPr>
        <w:t xml:space="preserve"> des </w:t>
      </w:r>
      <w:proofErr w:type="spellStart"/>
      <w:r w:rsidRPr="009D7635">
        <w:rPr>
          <w:rFonts w:ascii="Times New Roman" w:hAnsi="Times New Roman" w:cs="Times New Roman"/>
          <w:color w:val="000000" w:themeColor="text1"/>
          <w:lang w:val="en-US"/>
        </w:rPr>
        <w:t>décrets</w:t>
      </w:r>
      <w:proofErr w:type="spellEnd"/>
      <w:r w:rsidRPr="009D7635">
        <w:rPr>
          <w:rFonts w:ascii="Times New Roman" w:hAnsi="Times New Roman" w:cs="Times New Roman"/>
          <w:color w:val="000000" w:themeColor="text1"/>
          <w:lang w:val="en-US"/>
        </w:rPr>
        <w:t xml:space="preserve"> de 1231,’ </w:t>
      </w:r>
      <w:r w:rsidRPr="009D7635">
        <w:rPr>
          <w:rFonts w:ascii="Times New Roman" w:hAnsi="Times New Roman" w:cs="Times New Roman"/>
          <w:color w:val="000000" w:themeColor="text1"/>
        </w:rPr>
        <w:t>161.</w:t>
      </w:r>
    </w:p>
  </w:footnote>
  <w:footnote w:id="168">
    <w:p w14:paraId="663BB017"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Louis Jacques </w:t>
      </w:r>
      <w:proofErr w:type="spellStart"/>
      <w:r w:rsidRPr="009D7635">
        <w:rPr>
          <w:rFonts w:ascii="Times New Roman" w:hAnsi="Times New Roman" w:cs="Times New Roman"/>
          <w:color w:val="000000" w:themeColor="text1"/>
          <w:lang w:val="en-US"/>
        </w:rPr>
        <w:t>Bataillon</w:t>
      </w:r>
      <w:proofErr w:type="spellEnd"/>
      <w:r w:rsidRPr="009D7635">
        <w:rPr>
          <w:rFonts w:ascii="Times New Roman" w:hAnsi="Times New Roman" w:cs="Times New Roman"/>
          <w:color w:val="000000" w:themeColor="text1"/>
          <w:lang w:val="en-US"/>
        </w:rPr>
        <w:t>, ‘</w:t>
      </w:r>
      <w:proofErr w:type="spellStart"/>
      <w:r w:rsidRPr="009D7635">
        <w:rPr>
          <w:rFonts w:ascii="Times New Roman" w:hAnsi="Times New Roman" w:cs="Times New Roman"/>
          <w:color w:val="000000" w:themeColor="text1"/>
          <w:lang w:val="en-US"/>
        </w:rPr>
        <w:t>Problèmes</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philosophiques</w:t>
      </w:r>
      <w:proofErr w:type="spellEnd"/>
      <w:r w:rsidRPr="009D7635">
        <w:rPr>
          <w:rFonts w:ascii="Times New Roman" w:hAnsi="Times New Roman" w:cs="Times New Roman"/>
          <w:color w:val="000000" w:themeColor="text1"/>
          <w:lang w:val="en-US"/>
        </w:rPr>
        <w:t xml:space="preserve"> dans les oeuvres </w:t>
      </w:r>
      <w:proofErr w:type="spellStart"/>
      <w:r w:rsidRPr="009D7635">
        <w:rPr>
          <w:rFonts w:ascii="Times New Roman" w:hAnsi="Times New Roman" w:cs="Times New Roman"/>
          <w:color w:val="000000" w:themeColor="text1"/>
          <w:lang w:val="en-US"/>
        </w:rPr>
        <w:t>théologiques</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rPr>
        <w:t>452.</w:t>
      </w:r>
    </w:p>
  </w:footnote>
  <w:footnote w:id="169">
    <w:p w14:paraId="1ADF56A6"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bCs/>
          <w:color w:val="000000" w:themeColor="text1"/>
        </w:rPr>
        <w:t>Luca Bianchi</w:t>
      </w:r>
      <w:r w:rsidRPr="009D7635">
        <w:rPr>
          <w:rFonts w:ascii="Times New Roman" w:hAnsi="Times New Roman" w:cs="Times New Roman"/>
          <w:color w:val="000000" w:themeColor="text1"/>
        </w:rPr>
        <w:t xml:space="preserve">, ‘Les interdictions relatives à </w:t>
      </w:r>
      <w:proofErr w:type="spellStart"/>
      <w:r w:rsidRPr="009D7635">
        <w:rPr>
          <w:rFonts w:ascii="Times New Roman" w:hAnsi="Times New Roman" w:cs="Times New Roman"/>
          <w:color w:val="000000" w:themeColor="text1"/>
        </w:rPr>
        <w:t>l’enseignement</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d’Aristote</w:t>
      </w:r>
      <w:proofErr w:type="spellEnd"/>
      <w:r w:rsidRPr="009D7635">
        <w:rPr>
          <w:rFonts w:ascii="Times New Roman" w:hAnsi="Times New Roman" w:cs="Times New Roman"/>
          <w:color w:val="000000" w:themeColor="text1"/>
        </w:rPr>
        <w:t xml:space="preserve"> au XIIIe siècle,’ 133.</w:t>
      </w:r>
    </w:p>
  </w:footnote>
  <w:footnote w:id="170">
    <w:p w14:paraId="050BCE30" w14:textId="0D75ACA9"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555E2C"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114. Steven J. Williams, ‘</w:t>
      </w:r>
      <w:r w:rsidRPr="009D7635">
        <w:rPr>
          <w:rFonts w:ascii="Times New Roman" w:hAnsi="Times New Roman" w:cs="Times New Roman"/>
          <w:color w:val="000000" w:themeColor="text1"/>
          <w:shd w:val="clear" w:color="auto" w:fill="FFFFFF"/>
        </w:rPr>
        <w:t xml:space="preserve">Aristotle in the Medieval Classroom,’ 224. The complete list of works required are listed in </w:t>
      </w:r>
      <w:r w:rsidRPr="009D7635">
        <w:rPr>
          <w:rFonts w:ascii="Times New Roman" w:hAnsi="Times New Roman" w:cs="Times New Roman"/>
          <w:color w:val="000000" w:themeColor="text1"/>
          <w:lang w:val="en-US"/>
        </w:rPr>
        <w:t>CUP, 246, 278.</w:t>
      </w:r>
    </w:p>
  </w:footnote>
  <w:footnote w:id="171">
    <w:p w14:paraId="30F1BD89" w14:textId="1E1DAF3C"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René A. Gauthier, ‘La </w:t>
      </w:r>
      <w:proofErr w:type="spellStart"/>
      <w:r w:rsidRPr="009D7635">
        <w:rPr>
          <w:rFonts w:ascii="Times New Roman" w:hAnsi="Times New Roman" w:cs="Times New Roman"/>
          <w:color w:val="000000" w:themeColor="text1"/>
        </w:rPr>
        <w:t>traité</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et de </w:t>
      </w:r>
      <w:proofErr w:type="spellStart"/>
      <w:r w:rsidRPr="009D7635">
        <w:rPr>
          <w:rFonts w:ascii="Times New Roman" w:hAnsi="Times New Roman" w:cs="Times New Roman"/>
          <w:i/>
          <w:color w:val="000000" w:themeColor="text1"/>
        </w:rPr>
        <w:t>potenciis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eius</w:t>
      </w:r>
      <w:proofErr w:type="spellEnd"/>
      <w:r w:rsidRPr="009D7635">
        <w:rPr>
          <w:rFonts w:ascii="Times New Roman" w:hAnsi="Times New Roman" w:cs="Times New Roman"/>
          <w:color w:val="000000" w:themeColor="text1"/>
        </w:rPr>
        <w:t xml:space="preserve"> d’un maitre des arts (</w:t>
      </w:r>
      <w:proofErr w:type="spellStart"/>
      <w:r w:rsidRPr="009D7635">
        <w:rPr>
          <w:rFonts w:ascii="Times New Roman" w:hAnsi="Times New Roman" w:cs="Times New Roman"/>
          <w:color w:val="000000" w:themeColor="text1"/>
        </w:rPr>
        <w:t>vers</w:t>
      </w:r>
      <w:proofErr w:type="spellEnd"/>
      <w:r w:rsidRPr="009D7635">
        <w:rPr>
          <w:rFonts w:ascii="Times New Roman" w:hAnsi="Times New Roman" w:cs="Times New Roman"/>
          <w:color w:val="000000" w:themeColor="text1"/>
        </w:rPr>
        <w:t xml:space="preserve"> 1225): Introduction et </w:t>
      </w:r>
      <w:proofErr w:type="spellStart"/>
      <w:r w:rsidRPr="009D7635">
        <w:rPr>
          <w:rFonts w:ascii="Times New Roman" w:hAnsi="Times New Roman" w:cs="Times New Roman"/>
          <w:color w:val="000000" w:themeColor="text1"/>
        </w:rPr>
        <w:t>texte</w:t>
      </w:r>
      <w:proofErr w:type="spellEnd"/>
      <w:r w:rsidRPr="009D7635">
        <w:rPr>
          <w:rFonts w:ascii="Times New Roman" w:hAnsi="Times New Roman" w:cs="Times New Roman"/>
          <w:color w:val="000000" w:themeColor="text1"/>
        </w:rPr>
        <w:t xml:space="preserve"> critique,’ </w:t>
      </w:r>
      <w:r w:rsidRPr="009D7635">
        <w:rPr>
          <w:rFonts w:ascii="Times New Roman" w:hAnsi="Times New Roman" w:cs="Times New Roman"/>
          <w:i/>
          <w:color w:val="000000" w:themeColor="text1"/>
        </w:rPr>
        <w:t xml:space="preserve">Revue des sciences </w:t>
      </w:r>
      <w:proofErr w:type="spellStart"/>
      <w:r w:rsidRPr="009D7635">
        <w:rPr>
          <w:rFonts w:ascii="Times New Roman" w:hAnsi="Times New Roman" w:cs="Times New Roman"/>
          <w:i/>
          <w:color w:val="000000" w:themeColor="text1"/>
        </w:rPr>
        <w:t>philosophiques</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théologiques</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66 (Paris: Vrin, 1982)</w:t>
      </w:r>
      <w:r w:rsidR="0070230D" w:rsidRPr="009D7635">
        <w:rPr>
          <w:rFonts w:ascii="Times New Roman" w:hAnsi="Times New Roman" w:cs="Times New Roman"/>
          <w:color w:val="000000" w:themeColor="text1"/>
        </w:rPr>
        <w:t xml:space="preserve">: </w:t>
      </w:r>
      <w:r w:rsidR="00787CB7" w:rsidRPr="009D7635">
        <w:rPr>
          <w:rFonts w:ascii="Times New Roman" w:hAnsi="Times New Roman" w:cs="Times New Roman"/>
          <w:color w:val="000000" w:themeColor="text1"/>
        </w:rPr>
        <w:t>24</w:t>
      </w:r>
      <w:r w:rsidRPr="009D7635">
        <w:rPr>
          <w:rFonts w:ascii="Times New Roman" w:hAnsi="Times New Roman" w:cs="Times New Roman"/>
          <w:color w:val="000000" w:themeColor="text1"/>
        </w:rPr>
        <w:t xml:space="preserve">.  </w:t>
      </w:r>
    </w:p>
  </w:footnote>
  <w:footnote w:id="172">
    <w:p w14:paraId="45011027" w14:textId="768DA896"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 </w:t>
      </w:r>
      <w:r w:rsidRPr="009D7635">
        <w:rPr>
          <w:rFonts w:ascii="Times New Roman" w:hAnsi="Times New Roman" w:cs="Times New Roman"/>
          <w:i/>
          <w:color w:val="000000" w:themeColor="text1"/>
        </w:rPr>
        <w:t>Avicenna’s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34.</w:t>
      </w:r>
    </w:p>
  </w:footnote>
  <w:footnote w:id="173">
    <w:p w14:paraId="54D58AC6" w14:textId="71233115" w:rsidR="00B93ED5" w:rsidRPr="009D7635" w:rsidRDefault="00B93ED5" w:rsidP="006A5A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René A. Gauthier, ‘La </w:t>
      </w:r>
      <w:proofErr w:type="spellStart"/>
      <w:r w:rsidRPr="009D7635">
        <w:rPr>
          <w:rFonts w:ascii="Times New Roman" w:hAnsi="Times New Roman" w:cs="Times New Roman"/>
          <w:color w:val="000000" w:themeColor="text1"/>
          <w:sz w:val="20"/>
          <w:szCs w:val="20"/>
        </w:rPr>
        <w:t>traité</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De anima et de </w:t>
      </w:r>
      <w:proofErr w:type="spellStart"/>
      <w:r w:rsidRPr="009D7635">
        <w:rPr>
          <w:rFonts w:ascii="Times New Roman" w:hAnsi="Times New Roman" w:cs="Times New Roman"/>
          <w:i/>
          <w:color w:val="000000" w:themeColor="text1"/>
          <w:sz w:val="20"/>
          <w:szCs w:val="20"/>
        </w:rPr>
        <w:t>potenciis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eius</w:t>
      </w:r>
      <w:proofErr w:type="spellEnd"/>
      <w:r w:rsidRPr="009D7635">
        <w:rPr>
          <w:rFonts w:ascii="Times New Roman" w:hAnsi="Times New Roman" w:cs="Times New Roman"/>
          <w:color w:val="000000" w:themeColor="text1"/>
          <w:sz w:val="20"/>
          <w:szCs w:val="20"/>
        </w:rPr>
        <w:t xml:space="preserve">,’ 27: </w:t>
      </w:r>
      <w:r w:rsidRPr="009D7635">
        <w:rPr>
          <w:rFonts w:ascii="Times New Roman" w:hAnsi="Times New Roman" w:cs="Times New Roman"/>
          <w:i/>
          <w:color w:val="000000" w:themeColor="text1"/>
          <w:sz w:val="20"/>
          <w:szCs w:val="20"/>
        </w:rPr>
        <w:t xml:space="preserve">Anima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primus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phisici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potencia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vitam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habentis</w:t>
      </w:r>
      <w:proofErr w:type="spellEnd"/>
      <w:r w:rsidRPr="009D7635">
        <w:rPr>
          <w:rFonts w:ascii="Times New Roman" w:hAnsi="Times New Roman" w:cs="Times New Roman"/>
          <w:color w:val="000000" w:themeColor="text1"/>
          <w:sz w:val="20"/>
          <w:szCs w:val="20"/>
        </w:rPr>
        <w:t xml:space="preserve">, citing Aristotle </w:t>
      </w:r>
      <w:r w:rsidRPr="009D7635">
        <w:rPr>
          <w:rFonts w:ascii="Times New Roman" w:hAnsi="Times New Roman" w:cs="Times New Roman"/>
          <w:i/>
          <w:color w:val="000000" w:themeColor="text1"/>
          <w:sz w:val="20"/>
          <w:szCs w:val="20"/>
        </w:rPr>
        <w:t>De anima</w:t>
      </w:r>
      <w:r w:rsidRPr="009D7635">
        <w:rPr>
          <w:rFonts w:ascii="Times New Roman" w:hAnsi="Times New Roman" w:cs="Times New Roman"/>
          <w:color w:val="000000" w:themeColor="text1"/>
          <w:sz w:val="20"/>
          <w:szCs w:val="20"/>
        </w:rPr>
        <w:t xml:space="preserve"> II, 412a27-28 from the James of Venice translation. </w:t>
      </w:r>
    </w:p>
  </w:footnote>
  <w:footnote w:id="174">
    <w:p w14:paraId="1F39A945" w14:textId="341D7334"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41828"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 xml:space="preserve">30. </w:t>
      </w:r>
    </w:p>
  </w:footnote>
  <w:footnote w:id="175">
    <w:p w14:paraId="021F7FA8" w14:textId="126EB45C"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555E2C"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31-2.</w:t>
      </w:r>
    </w:p>
  </w:footnote>
  <w:footnote w:id="176">
    <w:p w14:paraId="0D70FD5E" w14:textId="74836875"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555E2C"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34-5.</w:t>
      </w:r>
    </w:p>
  </w:footnote>
  <w:footnote w:id="177">
    <w:p w14:paraId="42B4AE81" w14:textId="150ABA01"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555E2C"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47.</w:t>
      </w:r>
    </w:p>
  </w:footnote>
  <w:footnote w:id="178">
    <w:p w14:paraId="289773EA" w14:textId="6A84F828"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66FC2"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53.</w:t>
      </w:r>
    </w:p>
  </w:footnote>
  <w:footnote w:id="179">
    <w:p w14:paraId="5546A4CF" w14:textId="168FD686"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66FC2"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 xml:space="preserve">51. </w:t>
      </w:r>
    </w:p>
  </w:footnote>
  <w:footnote w:id="180">
    <w:p w14:paraId="122D7A02" w14:textId="676189A3"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66FC2"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 xml:space="preserve">55. </w:t>
      </w:r>
    </w:p>
  </w:footnote>
  <w:footnote w:id="181">
    <w:p w14:paraId="75AE6C46" w14:textId="234F0A5D"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4370D"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22.</w:t>
      </w:r>
    </w:p>
  </w:footnote>
  <w:footnote w:id="182">
    <w:p w14:paraId="3F7CB98F" w14:textId="7507633D"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4370D"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 xml:space="preserve">6. </w:t>
      </w:r>
    </w:p>
  </w:footnote>
  <w:footnote w:id="183">
    <w:p w14:paraId="2EE76DCE" w14:textId="6BEB024F"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Daniel A. Callus, ‘The Powers of the Soul: An Early Unpublished Text,’ </w:t>
      </w:r>
      <w:proofErr w:type="spellStart"/>
      <w:r w:rsidR="0057186B" w:rsidRPr="004746EC">
        <w:rPr>
          <w:rFonts w:ascii="Times New Roman" w:hAnsi="Times New Roman" w:cs="Times New Roman"/>
          <w:i/>
          <w:iCs/>
          <w:color w:val="000000" w:themeColor="text1"/>
        </w:rPr>
        <w:t>Recherches</w:t>
      </w:r>
      <w:proofErr w:type="spellEnd"/>
      <w:r w:rsidR="0057186B" w:rsidRPr="004746EC">
        <w:rPr>
          <w:rFonts w:ascii="Times New Roman" w:hAnsi="Times New Roman" w:cs="Times New Roman"/>
          <w:i/>
          <w:iCs/>
          <w:color w:val="000000" w:themeColor="text1"/>
        </w:rPr>
        <w:t xml:space="preserve"> de </w:t>
      </w:r>
      <w:proofErr w:type="spellStart"/>
      <w:r w:rsidR="0057186B" w:rsidRPr="004746EC">
        <w:rPr>
          <w:rFonts w:ascii="Times New Roman" w:hAnsi="Times New Roman" w:cs="Times New Roman"/>
          <w:i/>
          <w:iCs/>
          <w:color w:val="000000" w:themeColor="text1"/>
        </w:rPr>
        <w:t>théologie</w:t>
      </w:r>
      <w:proofErr w:type="spellEnd"/>
      <w:r w:rsidR="0057186B" w:rsidRPr="004746EC">
        <w:rPr>
          <w:rFonts w:ascii="Times New Roman" w:hAnsi="Times New Roman" w:cs="Times New Roman"/>
          <w:i/>
          <w:iCs/>
          <w:color w:val="000000" w:themeColor="text1"/>
        </w:rPr>
        <w:t xml:space="preserve"> </w:t>
      </w:r>
      <w:proofErr w:type="spellStart"/>
      <w:r w:rsidR="0057186B" w:rsidRPr="004746EC">
        <w:rPr>
          <w:rFonts w:ascii="Times New Roman" w:hAnsi="Times New Roman" w:cs="Times New Roman"/>
          <w:i/>
          <w:iCs/>
          <w:color w:val="000000" w:themeColor="text1"/>
        </w:rPr>
        <w:t>ancienne</w:t>
      </w:r>
      <w:proofErr w:type="spellEnd"/>
      <w:r w:rsidR="0057186B" w:rsidRPr="004746EC">
        <w:rPr>
          <w:rFonts w:ascii="Times New Roman" w:hAnsi="Times New Roman" w:cs="Times New Roman"/>
          <w:i/>
          <w:iCs/>
          <w:color w:val="000000" w:themeColor="text1"/>
        </w:rPr>
        <w:t xml:space="preserve"> et </w:t>
      </w:r>
      <w:proofErr w:type="spellStart"/>
      <w:r w:rsidR="0057186B" w:rsidRPr="004746EC">
        <w:rPr>
          <w:rFonts w:ascii="Times New Roman" w:hAnsi="Times New Roman" w:cs="Times New Roman"/>
          <w:i/>
          <w:iCs/>
          <w:color w:val="000000" w:themeColor="text1"/>
        </w:rPr>
        <w:t>médiévale</w:t>
      </w:r>
      <w:proofErr w:type="spellEnd"/>
      <w:r w:rsidR="00C65E33">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19</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(1952), 146, 154.</w:t>
      </w:r>
    </w:p>
  </w:footnote>
  <w:footnote w:id="184">
    <w:p w14:paraId="7F6C3CEB" w14:textId="3552B2F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4370D"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147.</w:t>
      </w:r>
    </w:p>
  </w:footnote>
  <w:footnote w:id="185">
    <w:p w14:paraId="7669EF57"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 </w:t>
      </w:r>
      <w:r w:rsidRPr="009D7635">
        <w:rPr>
          <w:rFonts w:ascii="Times New Roman" w:hAnsi="Times New Roman" w:cs="Times New Roman"/>
          <w:i/>
          <w:color w:val="000000" w:themeColor="text1"/>
        </w:rPr>
        <w:t>Avicenna’s 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35.</w:t>
      </w:r>
    </w:p>
  </w:footnote>
  <w:footnote w:id="186">
    <w:p w14:paraId="590FD311" w14:textId="6B4E1F66"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4370D"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 xml:space="preserve">192. </w:t>
      </w:r>
    </w:p>
  </w:footnote>
  <w:footnote w:id="187">
    <w:p w14:paraId="4F2113C2"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Daniel A. Callus, ‘The Powers of the Soul,’ 159. </w:t>
      </w:r>
    </w:p>
  </w:footnote>
  <w:footnote w:id="188">
    <w:p w14:paraId="42FFD87C" w14:textId="187A8AD9"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4370D"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160.</w:t>
      </w:r>
    </w:p>
  </w:footnote>
  <w:footnote w:id="189">
    <w:p w14:paraId="6C20F32C" w14:textId="59AE9AAF"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4370D"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 xml:space="preserve">161-2. </w:t>
      </w:r>
    </w:p>
  </w:footnote>
  <w:footnote w:id="190">
    <w:p w14:paraId="471DCEED" w14:textId="00C378D3"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4370D"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163.</w:t>
      </w:r>
    </w:p>
  </w:footnote>
  <w:footnote w:id="191">
    <w:p w14:paraId="5D984252" w14:textId="003A9C3A"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4370D"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164.</w:t>
      </w:r>
    </w:p>
  </w:footnote>
  <w:footnote w:id="192">
    <w:p w14:paraId="35353708"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 </w:t>
      </w:r>
      <w:r w:rsidRPr="009D7635">
        <w:rPr>
          <w:rFonts w:ascii="Times New Roman" w:hAnsi="Times New Roman" w:cs="Times New Roman"/>
          <w:i/>
          <w:color w:val="000000" w:themeColor="text1"/>
        </w:rPr>
        <w:t>Avicenna’s 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35.</w:t>
      </w:r>
    </w:p>
  </w:footnote>
  <w:footnote w:id="193">
    <w:p w14:paraId="558CEF51" w14:textId="77777777"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Daniel A. Callus, ‘The Powers of the Soul,’ 140.</w:t>
      </w:r>
    </w:p>
  </w:footnote>
  <w:footnote w:id="194">
    <w:p w14:paraId="1AC5E639" w14:textId="11E12916" w:rsidR="00B93ED5" w:rsidRPr="009D7635" w:rsidRDefault="00B93ED5" w:rsidP="006A5A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Ignacius</w:t>
      </w:r>
      <w:proofErr w:type="spellEnd"/>
      <w:r w:rsidRPr="009D7635">
        <w:rPr>
          <w:rFonts w:ascii="Times New Roman" w:hAnsi="Times New Roman" w:cs="Times New Roman"/>
          <w:color w:val="000000" w:themeColor="text1"/>
        </w:rPr>
        <w:t xml:space="preserve"> Brady, ‘The </w:t>
      </w:r>
      <w:r w:rsidRPr="009D7635">
        <w:rPr>
          <w:rFonts w:ascii="Times New Roman" w:hAnsi="Times New Roman" w:cs="Times New Roman"/>
          <w:i/>
          <w:color w:val="000000" w:themeColor="text1"/>
        </w:rPr>
        <w:t>Liber de anima</w:t>
      </w:r>
      <w:r w:rsidRPr="009D7635">
        <w:rPr>
          <w:rFonts w:ascii="Times New Roman" w:hAnsi="Times New Roman" w:cs="Times New Roman"/>
          <w:color w:val="000000" w:themeColor="text1"/>
        </w:rPr>
        <w:t xml:space="preserve"> of William of </w:t>
      </w:r>
      <w:proofErr w:type="spellStart"/>
      <w:r w:rsidRPr="009D7635">
        <w:rPr>
          <w:rFonts w:ascii="Times New Roman" w:hAnsi="Times New Roman" w:cs="Times New Roman"/>
          <w:color w:val="000000" w:themeColor="text1"/>
        </w:rPr>
        <w:t>Vaurouillon</w:t>
      </w:r>
      <w:proofErr w:type="spellEnd"/>
      <w:r w:rsidRPr="009D7635">
        <w:rPr>
          <w:rFonts w:ascii="Times New Roman" w:hAnsi="Times New Roman" w:cs="Times New Roman"/>
          <w:color w:val="000000" w:themeColor="text1"/>
        </w:rPr>
        <w:t xml:space="preserve"> O.F.M.,’ </w:t>
      </w:r>
      <w:r w:rsidRPr="009D7635">
        <w:rPr>
          <w:rFonts w:ascii="Times New Roman" w:hAnsi="Times New Roman" w:cs="Times New Roman"/>
          <w:i/>
          <w:color w:val="000000" w:themeColor="text1"/>
        </w:rPr>
        <w:t xml:space="preserve">Medieval Studies </w:t>
      </w:r>
      <w:r w:rsidRPr="009D7635">
        <w:rPr>
          <w:rFonts w:ascii="Times New Roman" w:hAnsi="Times New Roman" w:cs="Times New Roman"/>
          <w:color w:val="000000" w:themeColor="text1"/>
        </w:rPr>
        <w:t>11 (1949)</w:t>
      </w:r>
      <w:r w:rsidR="00092424"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247-307; Daniel A. Callus, ‘The Powers of the Soul,’ 131.</w:t>
      </w:r>
    </w:p>
  </w:footnote>
  <w:footnote w:id="195">
    <w:p w14:paraId="66DF23F2" w14:textId="77777777" w:rsidR="00BB5AFE" w:rsidRPr="009D7635" w:rsidRDefault="00BB5AFE" w:rsidP="00BB5AFE">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https://www.vatican.va/content/leo-xiii/en/encyclicals/documents/hf_l-xiii_enc_04081879_aeterni-patris.html.</w:t>
      </w:r>
    </w:p>
  </w:footnote>
  <w:footnote w:id="196">
    <w:p w14:paraId="49407FEA" w14:textId="2973759D" w:rsidR="00E14090" w:rsidRPr="009D7635" w:rsidRDefault="00E14090" w:rsidP="00E14090">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On ‘</w:t>
      </w:r>
      <w:proofErr w:type="spellStart"/>
      <w:r w:rsidRPr="009D7635">
        <w:rPr>
          <w:rFonts w:ascii="Times New Roman" w:hAnsi="Times New Roman" w:cs="Times New Roman"/>
          <w:color w:val="000000" w:themeColor="text1"/>
          <w:sz w:val="20"/>
          <w:szCs w:val="20"/>
        </w:rPr>
        <w:t>pre-</w:t>
      </w:r>
      <w:r w:rsidR="0060478D" w:rsidRPr="009D7635">
        <w:rPr>
          <w:rFonts w:ascii="Times New Roman" w:hAnsi="Times New Roman" w:cs="Times New Roman"/>
          <w:color w:val="000000" w:themeColor="text1"/>
          <w:sz w:val="20"/>
          <w:szCs w:val="20"/>
        </w:rPr>
        <w:t>Th</w:t>
      </w:r>
      <w:r w:rsidRPr="009D7635">
        <w:rPr>
          <w:rFonts w:ascii="Times New Roman" w:hAnsi="Times New Roman" w:cs="Times New Roman"/>
          <w:color w:val="000000" w:themeColor="text1"/>
          <w:sz w:val="20"/>
          <w:szCs w:val="20"/>
        </w:rPr>
        <w:t>omists</w:t>
      </w:r>
      <w:proofErr w:type="spellEnd"/>
      <w:r w:rsidRPr="009D7635">
        <w:rPr>
          <w:rFonts w:ascii="Times New Roman" w:hAnsi="Times New Roman" w:cs="Times New Roman"/>
          <w:color w:val="000000" w:themeColor="text1"/>
          <w:sz w:val="20"/>
          <w:szCs w:val="20"/>
        </w:rPr>
        <w:t xml:space="preserve">’, see Pierre </w:t>
      </w:r>
      <w:proofErr w:type="spellStart"/>
      <w:r w:rsidRPr="009D7635">
        <w:rPr>
          <w:rFonts w:ascii="Times New Roman" w:hAnsi="Times New Roman" w:cs="Times New Roman"/>
          <w:color w:val="000000" w:themeColor="text1"/>
          <w:sz w:val="20"/>
          <w:szCs w:val="20"/>
        </w:rPr>
        <w:t>Michaud-Quantin</w:t>
      </w:r>
      <w:proofErr w:type="spellEnd"/>
      <w:r w:rsidRPr="009D7635">
        <w:rPr>
          <w:rFonts w:ascii="Times New Roman" w:hAnsi="Times New Roman" w:cs="Times New Roman"/>
          <w:color w:val="000000" w:themeColor="text1"/>
          <w:sz w:val="20"/>
          <w:szCs w:val="20"/>
        </w:rPr>
        <w:t xml:space="preserve">, ‘La classification des </w:t>
      </w:r>
      <w:proofErr w:type="spellStart"/>
      <w:r w:rsidRPr="009D7635">
        <w:rPr>
          <w:rFonts w:ascii="Times New Roman" w:hAnsi="Times New Roman" w:cs="Times New Roman"/>
          <w:color w:val="000000" w:themeColor="text1"/>
          <w:sz w:val="20"/>
          <w:szCs w:val="20"/>
        </w:rPr>
        <w:t>puissances</w:t>
      </w:r>
      <w:proofErr w:type="spellEnd"/>
      <w:r w:rsidRPr="009D7635">
        <w:rPr>
          <w:rFonts w:ascii="Times New Roman" w:hAnsi="Times New Roman" w:cs="Times New Roman"/>
          <w:color w:val="000000" w:themeColor="text1"/>
          <w:sz w:val="20"/>
          <w:szCs w:val="20"/>
        </w:rPr>
        <w:t xml:space="preserve"> de </w:t>
      </w:r>
      <w:proofErr w:type="spellStart"/>
      <w:r w:rsidR="00D71B3E" w:rsidRPr="009D7635">
        <w:rPr>
          <w:rFonts w:ascii="Times New Roman" w:hAnsi="Times New Roman" w:cs="Times New Roman"/>
          <w:color w:val="000000" w:themeColor="text1"/>
          <w:sz w:val="20"/>
          <w:szCs w:val="20"/>
        </w:rPr>
        <w:t>l’âme</w:t>
      </w:r>
      <w:proofErr w:type="spellEnd"/>
      <w:r w:rsidRPr="009D7635">
        <w:rPr>
          <w:rFonts w:ascii="Times New Roman" w:hAnsi="Times New Roman" w:cs="Times New Roman"/>
          <w:color w:val="000000" w:themeColor="text1"/>
          <w:sz w:val="20"/>
          <w:szCs w:val="20"/>
        </w:rPr>
        <w:t xml:space="preserve"> au XIIe siècle,’ </w:t>
      </w:r>
      <w:r w:rsidRPr="009D7635">
        <w:rPr>
          <w:rFonts w:ascii="Times New Roman" w:hAnsi="Times New Roman" w:cs="Times New Roman"/>
          <w:i/>
          <w:color w:val="000000" w:themeColor="text1"/>
          <w:sz w:val="20"/>
          <w:szCs w:val="20"/>
        </w:rPr>
        <w:t xml:space="preserve">Revue du </w:t>
      </w:r>
      <w:proofErr w:type="spellStart"/>
      <w:r w:rsidRPr="009D7635">
        <w:rPr>
          <w:rFonts w:ascii="Times New Roman" w:hAnsi="Times New Roman" w:cs="Times New Roman"/>
          <w:i/>
          <w:color w:val="000000" w:themeColor="text1"/>
          <w:sz w:val="20"/>
          <w:szCs w:val="20"/>
        </w:rPr>
        <w:t>Moyen</w:t>
      </w:r>
      <w:proofErr w:type="spellEnd"/>
      <w:r w:rsidRPr="009D7635">
        <w:rPr>
          <w:rFonts w:ascii="Times New Roman" w:hAnsi="Times New Roman" w:cs="Times New Roman"/>
          <w:i/>
          <w:color w:val="000000" w:themeColor="text1"/>
          <w:sz w:val="20"/>
          <w:szCs w:val="20"/>
        </w:rPr>
        <w:t xml:space="preserve"> Age Latin</w:t>
      </w:r>
      <w:r w:rsidRPr="009D7635">
        <w:rPr>
          <w:rFonts w:ascii="Times New Roman" w:hAnsi="Times New Roman" w:cs="Times New Roman"/>
          <w:color w:val="000000" w:themeColor="text1"/>
          <w:sz w:val="20"/>
          <w:szCs w:val="20"/>
        </w:rPr>
        <w:t xml:space="preserve"> 5 (1949)</w:t>
      </w:r>
      <w:r w:rsidR="00343EBD"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15-34. Martin </w:t>
      </w:r>
      <w:proofErr w:type="spellStart"/>
      <w:r w:rsidRPr="009D7635">
        <w:rPr>
          <w:rFonts w:ascii="Times New Roman" w:hAnsi="Times New Roman" w:cs="Times New Roman"/>
          <w:color w:val="000000" w:themeColor="text1"/>
          <w:sz w:val="20"/>
          <w:szCs w:val="20"/>
        </w:rPr>
        <w:t>Grabmann</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 xml:space="preserve">Die </w:t>
      </w:r>
      <w:proofErr w:type="spellStart"/>
      <w:r w:rsidRPr="009D7635">
        <w:rPr>
          <w:rFonts w:ascii="Times New Roman" w:hAnsi="Times New Roman" w:cs="Times New Roman"/>
          <w:i/>
          <w:iCs/>
          <w:color w:val="000000" w:themeColor="text1"/>
          <w:sz w:val="20"/>
          <w:szCs w:val="20"/>
        </w:rPr>
        <w:t>Geschichte</w:t>
      </w:r>
      <w:proofErr w:type="spellEnd"/>
      <w:r w:rsidRPr="009D7635">
        <w:rPr>
          <w:rFonts w:ascii="Times New Roman" w:hAnsi="Times New Roman" w:cs="Times New Roman"/>
          <w:i/>
          <w:iCs/>
          <w:color w:val="000000" w:themeColor="text1"/>
          <w:sz w:val="20"/>
          <w:szCs w:val="20"/>
        </w:rPr>
        <w:t xml:space="preserve"> der </w:t>
      </w:r>
      <w:proofErr w:type="spellStart"/>
      <w:r w:rsidRPr="009D7635">
        <w:rPr>
          <w:rFonts w:ascii="Times New Roman" w:hAnsi="Times New Roman" w:cs="Times New Roman"/>
          <w:i/>
          <w:iCs/>
          <w:color w:val="000000" w:themeColor="text1"/>
          <w:sz w:val="20"/>
          <w:szCs w:val="20"/>
        </w:rPr>
        <w:t>scholastischen</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Methode</w:t>
      </w:r>
      <w:proofErr w:type="spellEnd"/>
      <w:r w:rsidRPr="009D7635">
        <w:rPr>
          <w:rFonts w:ascii="Times New Roman" w:hAnsi="Times New Roman" w:cs="Times New Roman"/>
          <w:i/>
          <w:iCs/>
          <w:color w:val="000000" w:themeColor="text1"/>
          <w:sz w:val="20"/>
          <w:szCs w:val="20"/>
        </w:rPr>
        <w:t>,</w:t>
      </w:r>
      <w:r w:rsidRPr="009D7635">
        <w:rPr>
          <w:rFonts w:ascii="Times New Roman" w:hAnsi="Times New Roman" w:cs="Times New Roman"/>
          <w:color w:val="000000" w:themeColor="text1"/>
          <w:sz w:val="20"/>
          <w:szCs w:val="20"/>
        </w:rPr>
        <w:t xml:space="preserve"> 2 </w:t>
      </w:r>
      <w:proofErr w:type="spellStart"/>
      <w:r w:rsidRPr="009D7635">
        <w:rPr>
          <w:rFonts w:ascii="Times New Roman" w:hAnsi="Times New Roman" w:cs="Times New Roman"/>
          <w:color w:val="000000" w:themeColor="text1"/>
          <w:sz w:val="20"/>
          <w:szCs w:val="20"/>
        </w:rPr>
        <w:t>vols</w:t>
      </w:r>
      <w:proofErr w:type="spellEnd"/>
      <w:r w:rsidRPr="009D7635">
        <w:rPr>
          <w:rFonts w:ascii="Times New Roman" w:hAnsi="Times New Roman" w:cs="Times New Roman"/>
          <w:color w:val="000000" w:themeColor="text1"/>
          <w:sz w:val="20"/>
          <w:szCs w:val="20"/>
        </w:rPr>
        <w:t xml:space="preserve"> (Freiburg </w:t>
      </w:r>
      <w:proofErr w:type="spellStart"/>
      <w:r w:rsidRPr="009D7635">
        <w:rPr>
          <w:rFonts w:ascii="Times New Roman" w:hAnsi="Times New Roman" w:cs="Times New Roman"/>
          <w:color w:val="000000" w:themeColor="text1"/>
          <w:sz w:val="20"/>
          <w:szCs w:val="20"/>
        </w:rPr>
        <w:t>im</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Breisgau</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Herdersche</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Verlagshandlung</w:t>
      </w:r>
      <w:proofErr w:type="spellEnd"/>
      <w:r w:rsidRPr="009D7635">
        <w:rPr>
          <w:rFonts w:ascii="Times New Roman" w:hAnsi="Times New Roman" w:cs="Times New Roman"/>
          <w:color w:val="000000" w:themeColor="text1"/>
          <w:sz w:val="20"/>
          <w:szCs w:val="20"/>
        </w:rPr>
        <w:t>, 1909-11).</w:t>
      </w:r>
      <w:r w:rsidR="00515900"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Psychologie</w:t>
      </w:r>
      <w:proofErr w:type="spellEnd"/>
      <w:r w:rsidRPr="009D7635">
        <w:rPr>
          <w:rFonts w:ascii="Times New Roman" w:hAnsi="Times New Roman" w:cs="Times New Roman"/>
          <w:i/>
          <w:color w:val="000000" w:themeColor="text1"/>
          <w:sz w:val="20"/>
          <w:szCs w:val="20"/>
        </w:rPr>
        <w:t xml:space="preserve"> et morale </w:t>
      </w:r>
      <w:r w:rsidRPr="009D7635">
        <w:rPr>
          <w:rFonts w:ascii="Times New Roman" w:hAnsi="Times New Roman" w:cs="Times New Roman"/>
          <w:i/>
          <w:iCs/>
          <w:color w:val="000000" w:themeColor="text1"/>
          <w:sz w:val="20"/>
          <w:szCs w:val="20"/>
        </w:rPr>
        <w:t xml:space="preserve">aux XIIe et XIIIe </w:t>
      </w:r>
      <w:proofErr w:type="spellStart"/>
      <w:r w:rsidRPr="009D7635">
        <w:rPr>
          <w:rFonts w:ascii="Times New Roman" w:hAnsi="Times New Roman" w:cs="Times New Roman"/>
          <w:i/>
          <w:iCs/>
          <w:color w:val="000000" w:themeColor="text1"/>
          <w:sz w:val="20"/>
          <w:szCs w:val="20"/>
        </w:rPr>
        <w:t>siècles</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6 </w:t>
      </w:r>
      <w:proofErr w:type="spellStart"/>
      <w:r w:rsidRPr="009D7635">
        <w:rPr>
          <w:rFonts w:ascii="Times New Roman" w:hAnsi="Times New Roman" w:cs="Times New Roman"/>
          <w:color w:val="000000" w:themeColor="text1"/>
          <w:sz w:val="20"/>
          <w:szCs w:val="20"/>
        </w:rPr>
        <w:t>vols</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Gemblou</w:t>
      </w:r>
      <w:proofErr w:type="spellEnd"/>
      <w:r w:rsidRPr="009D7635">
        <w:rPr>
          <w:rFonts w:ascii="Times New Roman" w:hAnsi="Times New Roman" w:cs="Times New Roman"/>
          <w:color w:val="000000" w:themeColor="text1"/>
          <w:sz w:val="20"/>
          <w:szCs w:val="20"/>
        </w:rPr>
        <w:t xml:space="preserve">: J. </w:t>
      </w:r>
      <w:proofErr w:type="spellStart"/>
      <w:r w:rsidRPr="009D7635">
        <w:rPr>
          <w:rFonts w:ascii="Times New Roman" w:hAnsi="Times New Roman" w:cs="Times New Roman"/>
          <w:color w:val="000000" w:themeColor="text1"/>
          <w:sz w:val="20"/>
          <w:szCs w:val="20"/>
        </w:rPr>
        <w:t>Ducalot</w:t>
      </w:r>
      <w:proofErr w:type="spellEnd"/>
      <w:r w:rsidRPr="009D7635">
        <w:rPr>
          <w:rFonts w:ascii="Times New Roman" w:hAnsi="Times New Roman" w:cs="Times New Roman"/>
          <w:color w:val="000000" w:themeColor="text1"/>
          <w:sz w:val="20"/>
          <w:szCs w:val="20"/>
        </w:rPr>
        <w:t>, 1957-60)</w:t>
      </w:r>
      <w:r w:rsidRPr="009D7635">
        <w:rPr>
          <w:rFonts w:ascii="Times New Roman" w:hAnsi="Times New Roman" w:cs="Times New Roman"/>
          <w:color w:val="000000" w:themeColor="text1"/>
          <w:sz w:val="20"/>
          <w:szCs w:val="20"/>
          <w:lang w:eastAsia="en-GB"/>
        </w:rPr>
        <w:t xml:space="preserve">. </w:t>
      </w:r>
      <w:r w:rsidRPr="009D7635">
        <w:rPr>
          <w:rFonts w:ascii="Times New Roman" w:hAnsi="Times New Roman" w:cs="Times New Roman"/>
          <w:color w:val="000000" w:themeColor="text1"/>
          <w:sz w:val="20"/>
          <w:szCs w:val="20"/>
        </w:rPr>
        <w:t xml:space="preserve">Étienne Gilson, </w:t>
      </w:r>
      <w:r w:rsidRPr="009D7635">
        <w:rPr>
          <w:rFonts w:ascii="Times New Roman" w:hAnsi="Times New Roman" w:cs="Times New Roman"/>
          <w:i/>
          <w:iCs/>
          <w:color w:val="000000" w:themeColor="text1"/>
          <w:sz w:val="20"/>
          <w:szCs w:val="20"/>
        </w:rPr>
        <w:t>A History of Christian Philosophy in the Middle Ages</w:t>
      </w:r>
      <w:r w:rsidRPr="009D7635">
        <w:rPr>
          <w:rFonts w:ascii="Times New Roman" w:hAnsi="Times New Roman" w:cs="Times New Roman"/>
          <w:color w:val="000000" w:themeColor="text1"/>
          <w:sz w:val="20"/>
          <w:szCs w:val="20"/>
        </w:rPr>
        <w:t xml:space="preserve"> (New York: Random House, 1955).</w:t>
      </w:r>
      <w:r w:rsidR="00F9150D"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A.M. </w:t>
      </w:r>
      <w:proofErr w:type="spellStart"/>
      <w:r w:rsidRPr="009D7635">
        <w:rPr>
          <w:rFonts w:ascii="Times New Roman" w:hAnsi="Times New Roman" w:cs="Times New Roman"/>
          <w:color w:val="000000" w:themeColor="text1"/>
          <w:sz w:val="20"/>
          <w:szCs w:val="20"/>
        </w:rPr>
        <w:t>Landgraf</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 xml:space="preserve">Introduction à </w:t>
      </w:r>
      <w:proofErr w:type="spellStart"/>
      <w:r w:rsidRPr="009D7635">
        <w:rPr>
          <w:rFonts w:ascii="Times New Roman" w:hAnsi="Times New Roman" w:cs="Times New Roman"/>
          <w:i/>
          <w:iCs/>
          <w:color w:val="000000" w:themeColor="text1"/>
          <w:sz w:val="20"/>
          <w:szCs w:val="20"/>
        </w:rPr>
        <w:t>l’histoire</w:t>
      </w:r>
      <w:proofErr w:type="spellEnd"/>
      <w:r w:rsidRPr="009D7635">
        <w:rPr>
          <w:rFonts w:ascii="Times New Roman" w:hAnsi="Times New Roman" w:cs="Times New Roman"/>
          <w:i/>
          <w:iCs/>
          <w:color w:val="000000" w:themeColor="text1"/>
          <w:sz w:val="20"/>
          <w:szCs w:val="20"/>
        </w:rPr>
        <w:t xml:space="preserve"> de la </w:t>
      </w:r>
      <w:proofErr w:type="spellStart"/>
      <w:r w:rsidRPr="009D7635">
        <w:rPr>
          <w:rFonts w:ascii="Times New Roman" w:hAnsi="Times New Roman" w:cs="Times New Roman"/>
          <w:i/>
          <w:iCs/>
          <w:color w:val="000000" w:themeColor="text1"/>
          <w:sz w:val="20"/>
          <w:szCs w:val="20"/>
        </w:rPr>
        <w:t>littérature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théologique</w:t>
      </w:r>
      <w:proofErr w:type="spellEnd"/>
      <w:r w:rsidRPr="009D7635">
        <w:rPr>
          <w:rFonts w:ascii="Times New Roman" w:hAnsi="Times New Roman" w:cs="Times New Roman"/>
          <w:i/>
          <w:iCs/>
          <w:color w:val="000000" w:themeColor="text1"/>
          <w:sz w:val="20"/>
          <w:szCs w:val="20"/>
        </w:rPr>
        <w:t xml:space="preserve"> de la </w:t>
      </w:r>
      <w:proofErr w:type="spellStart"/>
      <w:r w:rsidRPr="009D7635">
        <w:rPr>
          <w:rFonts w:ascii="Times New Roman" w:hAnsi="Times New Roman" w:cs="Times New Roman"/>
          <w:i/>
          <w:iCs/>
          <w:color w:val="000000" w:themeColor="text1"/>
          <w:sz w:val="20"/>
          <w:szCs w:val="20"/>
        </w:rPr>
        <w:t>scolastique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naissante</w:t>
      </w:r>
      <w:proofErr w:type="spellEnd"/>
      <w:r w:rsidRPr="009D7635">
        <w:rPr>
          <w:rFonts w:ascii="Times New Roman" w:hAnsi="Times New Roman" w:cs="Times New Roman"/>
          <w:i/>
          <w:iCs/>
          <w:color w:val="000000" w:themeColor="text1"/>
          <w:sz w:val="20"/>
          <w:szCs w:val="20"/>
        </w:rPr>
        <w:t xml:space="preserve">, </w:t>
      </w:r>
      <w:r w:rsidRPr="009D7635">
        <w:rPr>
          <w:rFonts w:ascii="Times New Roman" w:hAnsi="Times New Roman" w:cs="Times New Roman"/>
          <w:color w:val="000000" w:themeColor="text1"/>
          <w:sz w:val="20"/>
          <w:szCs w:val="20"/>
        </w:rPr>
        <w:t>trans. L.B. Geiger (Paris: Vrin, 1973).</w:t>
      </w:r>
      <w:r w:rsidRPr="009D7635">
        <w:rPr>
          <w:rFonts w:ascii="Times New Roman" w:hAnsi="Times New Roman" w:cs="Times New Roman"/>
          <w:color w:val="000000" w:themeColor="text1"/>
          <w:sz w:val="20"/>
          <w:szCs w:val="20"/>
          <w:lang w:eastAsia="en-GB"/>
        </w:rPr>
        <w:t xml:space="preserve"> J. </w:t>
      </w:r>
      <w:proofErr w:type="spellStart"/>
      <w:r w:rsidRPr="009D7635">
        <w:rPr>
          <w:rFonts w:ascii="Times New Roman" w:hAnsi="Times New Roman" w:cs="Times New Roman"/>
          <w:color w:val="000000" w:themeColor="text1"/>
          <w:sz w:val="20"/>
          <w:szCs w:val="20"/>
          <w:lang w:eastAsia="en-GB"/>
        </w:rPr>
        <w:t>Rohmer</w:t>
      </w:r>
      <w:proofErr w:type="spellEnd"/>
      <w:r w:rsidRPr="009D7635">
        <w:rPr>
          <w:rFonts w:ascii="Times New Roman" w:hAnsi="Times New Roman" w:cs="Times New Roman"/>
          <w:color w:val="000000" w:themeColor="text1"/>
          <w:sz w:val="20"/>
          <w:szCs w:val="20"/>
          <w:lang w:eastAsia="en-GB"/>
        </w:rPr>
        <w:t xml:space="preserve">, ‘La </w:t>
      </w:r>
      <w:proofErr w:type="spellStart"/>
      <w:r w:rsidRPr="009D7635">
        <w:rPr>
          <w:rFonts w:ascii="Times New Roman" w:hAnsi="Times New Roman" w:cs="Times New Roman"/>
          <w:color w:val="000000" w:themeColor="text1"/>
          <w:sz w:val="20"/>
          <w:szCs w:val="20"/>
          <w:lang w:eastAsia="en-GB"/>
        </w:rPr>
        <w:t>théorie</w:t>
      </w:r>
      <w:proofErr w:type="spellEnd"/>
      <w:r w:rsidRPr="009D7635">
        <w:rPr>
          <w:rFonts w:ascii="Times New Roman" w:hAnsi="Times New Roman" w:cs="Times New Roman"/>
          <w:color w:val="000000" w:themeColor="text1"/>
          <w:sz w:val="20"/>
          <w:szCs w:val="20"/>
          <w:lang w:eastAsia="en-GB"/>
        </w:rPr>
        <w:t xml:space="preserve"> de l'abstraction dans l'école </w:t>
      </w:r>
      <w:proofErr w:type="spellStart"/>
      <w:r w:rsidRPr="009D7635">
        <w:rPr>
          <w:rFonts w:ascii="Times New Roman" w:hAnsi="Times New Roman" w:cs="Times New Roman"/>
          <w:color w:val="000000" w:themeColor="text1"/>
          <w:sz w:val="20"/>
          <w:szCs w:val="20"/>
          <w:lang w:eastAsia="en-GB"/>
        </w:rPr>
        <w:t>Franciscaine</w:t>
      </w:r>
      <w:proofErr w:type="spellEnd"/>
      <w:r w:rsidRPr="009D7635">
        <w:rPr>
          <w:rFonts w:ascii="Times New Roman" w:hAnsi="Times New Roman" w:cs="Times New Roman"/>
          <w:color w:val="000000" w:themeColor="text1"/>
          <w:sz w:val="20"/>
          <w:szCs w:val="20"/>
          <w:lang w:eastAsia="en-GB"/>
        </w:rPr>
        <w:t xml:space="preserve"> d'Alexandre de </w:t>
      </w:r>
      <w:proofErr w:type="spellStart"/>
      <w:r w:rsidRPr="009D7635">
        <w:rPr>
          <w:rFonts w:ascii="Times New Roman" w:hAnsi="Times New Roman" w:cs="Times New Roman"/>
          <w:color w:val="000000" w:themeColor="text1"/>
          <w:sz w:val="20"/>
          <w:szCs w:val="20"/>
          <w:lang w:eastAsia="en-GB"/>
        </w:rPr>
        <w:t>Halés</w:t>
      </w:r>
      <w:proofErr w:type="spellEnd"/>
      <w:r w:rsidRPr="009D7635">
        <w:rPr>
          <w:rFonts w:ascii="Times New Roman" w:hAnsi="Times New Roman" w:cs="Times New Roman"/>
          <w:color w:val="000000" w:themeColor="text1"/>
          <w:sz w:val="20"/>
          <w:szCs w:val="20"/>
          <w:lang w:eastAsia="en-GB"/>
        </w:rPr>
        <w:t xml:space="preserve"> à Jean Peckham,’ </w:t>
      </w:r>
      <w:r w:rsidRPr="009D7635">
        <w:rPr>
          <w:rFonts w:ascii="Times New Roman" w:hAnsi="Times New Roman" w:cs="Times New Roman"/>
          <w:i/>
          <w:color w:val="000000" w:themeColor="text1"/>
          <w:sz w:val="20"/>
          <w:szCs w:val="20"/>
        </w:rPr>
        <w:t xml:space="preserve">Archives </w:t>
      </w:r>
      <w:proofErr w:type="spellStart"/>
      <w:r w:rsidRPr="009D7635">
        <w:rPr>
          <w:rFonts w:ascii="Times New Roman" w:hAnsi="Times New Roman" w:cs="Times New Roman"/>
          <w:i/>
          <w:color w:val="000000" w:themeColor="text1"/>
          <w:sz w:val="20"/>
          <w:szCs w:val="20"/>
        </w:rPr>
        <w:t>d'histoire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doctrinale</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littéraire</w:t>
      </w:r>
      <w:proofErr w:type="spellEnd"/>
      <w:r w:rsidRPr="009D7635">
        <w:rPr>
          <w:rFonts w:ascii="Times New Roman" w:hAnsi="Times New Roman" w:cs="Times New Roman"/>
          <w:i/>
          <w:color w:val="000000" w:themeColor="text1"/>
          <w:sz w:val="20"/>
          <w:szCs w:val="20"/>
        </w:rPr>
        <w:t xml:space="preserve"> du </w:t>
      </w:r>
      <w:proofErr w:type="spellStart"/>
      <w:r w:rsidRPr="009D7635">
        <w:rPr>
          <w:rFonts w:ascii="Times New Roman" w:hAnsi="Times New Roman" w:cs="Times New Roman"/>
          <w:i/>
          <w:color w:val="000000" w:themeColor="text1"/>
          <w:sz w:val="20"/>
          <w:szCs w:val="20"/>
        </w:rPr>
        <w:t>Moyen</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Âge</w:t>
      </w:r>
      <w:proofErr w:type="spellEnd"/>
      <w:r w:rsidRPr="009D7635">
        <w:rPr>
          <w:rFonts w:ascii="Times New Roman" w:hAnsi="Times New Roman" w:cs="Times New Roman"/>
          <w:color w:val="000000" w:themeColor="text1"/>
          <w:sz w:val="20"/>
          <w:szCs w:val="20"/>
          <w:lang w:eastAsia="en-GB"/>
        </w:rPr>
        <w:t xml:space="preserve"> 3 (1928)</w:t>
      </w:r>
      <w:r w:rsidR="00763223" w:rsidRPr="009D7635">
        <w:rPr>
          <w:rFonts w:ascii="Times New Roman" w:hAnsi="Times New Roman" w:cs="Times New Roman"/>
          <w:color w:val="000000" w:themeColor="text1"/>
          <w:sz w:val="20"/>
          <w:szCs w:val="20"/>
          <w:lang w:eastAsia="en-GB"/>
        </w:rPr>
        <w:t xml:space="preserve">: </w:t>
      </w:r>
      <w:r w:rsidRPr="009D7635">
        <w:rPr>
          <w:rFonts w:ascii="Times New Roman" w:hAnsi="Times New Roman" w:cs="Times New Roman"/>
          <w:color w:val="000000" w:themeColor="text1"/>
          <w:sz w:val="20"/>
          <w:szCs w:val="20"/>
          <w:lang w:eastAsia="en-GB"/>
        </w:rPr>
        <w:t>182.</w:t>
      </w:r>
    </w:p>
  </w:footnote>
  <w:footnote w:id="197">
    <w:p w14:paraId="6BAD55A3" w14:textId="51BEED7C" w:rsidR="00C0176A" w:rsidRPr="008730F1" w:rsidRDefault="00C0176A" w:rsidP="006D5D41">
      <w:pPr>
        <w:pStyle w:val="FootnoteText"/>
        <w:rPr>
          <w:rFonts w:ascii="Times New Roman" w:hAnsi="Times New Roman" w:cs="Times New Roman"/>
          <w:color w:val="000000" w:themeColor="text1"/>
        </w:rPr>
      </w:pPr>
      <w:r w:rsidRPr="008730F1">
        <w:rPr>
          <w:rStyle w:val="FootnoteReference"/>
          <w:rFonts w:ascii="Times New Roman" w:hAnsi="Times New Roman" w:cs="Times New Roman"/>
          <w:color w:val="000000" w:themeColor="text1"/>
        </w:rPr>
        <w:footnoteRef/>
      </w:r>
      <w:r w:rsidRPr="008730F1">
        <w:rPr>
          <w:rFonts w:ascii="Times New Roman" w:hAnsi="Times New Roman" w:cs="Times New Roman"/>
          <w:color w:val="000000" w:themeColor="text1"/>
        </w:rPr>
        <w:t xml:space="preserve"> An excellent introduction to the different faculties of the Univers</w:t>
      </w:r>
      <w:r w:rsidR="00DD5110" w:rsidRPr="008730F1">
        <w:rPr>
          <w:rFonts w:ascii="Times New Roman" w:hAnsi="Times New Roman" w:cs="Times New Roman"/>
          <w:color w:val="000000" w:themeColor="text1"/>
        </w:rPr>
        <w:t>i</w:t>
      </w:r>
      <w:r w:rsidRPr="008730F1">
        <w:rPr>
          <w:rFonts w:ascii="Times New Roman" w:hAnsi="Times New Roman" w:cs="Times New Roman"/>
          <w:color w:val="000000" w:themeColor="text1"/>
        </w:rPr>
        <w:t xml:space="preserve">ty of Paris and their masters has been provided by Nathalie </w:t>
      </w:r>
      <w:proofErr w:type="spellStart"/>
      <w:r w:rsidRPr="008730F1">
        <w:rPr>
          <w:rFonts w:ascii="Times New Roman" w:hAnsi="Times New Roman" w:cs="Times New Roman"/>
          <w:color w:val="000000" w:themeColor="text1"/>
        </w:rPr>
        <w:t>Gorochov</w:t>
      </w:r>
      <w:proofErr w:type="spellEnd"/>
      <w:r w:rsidRPr="008730F1">
        <w:rPr>
          <w:rFonts w:ascii="Times New Roman" w:hAnsi="Times New Roman" w:cs="Times New Roman"/>
          <w:color w:val="000000" w:themeColor="text1"/>
        </w:rPr>
        <w:t xml:space="preserve">, </w:t>
      </w:r>
      <w:proofErr w:type="spellStart"/>
      <w:r w:rsidRPr="008730F1">
        <w:rPr>
          <w:rFonts w:ascii="Times New Roman" w:hAnsi="Times New Roman" w:cs="Times New Roman"/>
          <w:i/>
          <w:iCs/>
          <w:color w:val="000000" w:themeColor="text1"/>
        </w:rPr>
        <w:t>Naissance</w:t>
      </w:r>
      <w:proofErr w:type="spellEnd"/>
      <w:r w:rsidRPr="008730F1">
        <w:rPr>
          <w:rFonts w:ascii="Times New Roman" w:hAnsi="Times New Roman" w:cs="Times New Roman"/>
          <w:i/>
          <w:iCs/>
          <w:color w:val="000000" w:themeColor="text1"/>
        </w:rPr>
        <w:t xml:space="preserve"> de l’Université: Les écoles de Paris d’Innocent III à Thomas </w:t>
      </w:r>
      <w:proofErr w:type="spellStart"/>
      <w:r w:rsidRPr="008730F1">
        <w:rPr>
          <w:rFonts w:ascii="Times New Roman" w:hAnsi="Times New Roman" w:cs="Times New Roman"/>
          <w:i/>
          <w:iCs/>
          <w:color w:val="000000" w:themeColor="text1"/>
        </w:rPr>
        <w:t>d’Aquin</w:t>
      </w:r>
      <w:proofErr w:type="spellEnd"/>
      <w:r w:rsidRPr="008730F1">
        <w:rPr>
          <w:rFonts w:ascii="Times New Roman" w:hAnsi="Times New Roman" w:cs="Times New Roman"/>
          <w:i/>
          <w:iCs/>
          <w:color w:val="000000" w:themeColor="text1"/>
        </w:rPr>
        <w:t xml:space="preserve"> (v. 1200-v. 1245) </w:t>
      </w:r>
      <w:r w:rsidRPr="008730F1">
        <w:rPr>
          <w:rFonts w:ascii="Times New Roman" w:hAnsi="Times New Roman" w:cs="Times New Roman"/>
          <w:color w:val="000000" w:themeColor="text1"/>
        </w:rPr>
        <w:t xml:space="preserve">(Paris: Honoré Champion, 2016). Although somewhat outdated, </w:t>
      </w:r>
      <w:proofErr w:type="spellStart"/>
      <w:r w:rsidRPr="008730F1">
        <w:rPr>
          <w:rFonts w:ascii="Times New Roman" w:hAnsi="Times New Roman" w:cs="Times New Roman"/>
          <w:color w:val="000000" w:themeColor="text1"/>
        </w:rPr>
        <w:t>Palemón</w:t>
      </w:r>
      <w:proofErr w:type="spellEnd"/>
      <w:r w:rsidRPr="008730F1">
        <w:rPr>
          <w:rFonts w:ascii="Times New Roman" w:hAnsi="Times New Roman" w:cs="Times New Roman"/>
          <w:color w:val="000000" w:themeColor="text1"/>
        </w:rPr>
        <w:t xml:space="preserve"> Glorieux’s </w:t>
      </w:r>
      <w:proofErr w:type="spellStart"/>
      <w:r w:rsidRPr="008730F1">
        <w:rPr>
          <w:rFonts w:ascii="Times New Roman" w:hAnsi="Times New Roman" w:cs="Times New Roman"/>
          <w:i/>
          <w:iCs/>
          <w:color w:val="000000" w:themeColor="text1"/>
        </w:rPr>
        <w:t>Répertoire</w:t>
      </w:r>
      <w:proofErr w:type="spellEnd"/>
      <w:r w:rsidRPr="008730F1">
        <w:rPr>
          <w:rFonts w:ascii="Times New Roman" w:hAnsi="Times New Roman" w:cs="Times New Roman"/>
          <w:i/>
          <w:iCs/>
          <w:color w:val="000000" w:themeColor="text1"/>
        </w:rPr>
        <w:t xml:space="preserve"> des </w:t>
      </w:r>
      <w:proofErr w:type="spellStart"/>
      <w:r w:rsidRPr="008730F1">
        <w:rPr>
          <w:rFonts w:ascii="Times New Roman" w:hAnsi="Times New Roman" w:cs="Times New Roman"/>
          <w:i/>
          <w:iCs/>
          <w:color w:val="000000" w:themeColor="text1"/>
        </w:rPr>
        <w:t>maîtres</w:t>
      </w:r>
      <w:proofErr w:type="spellEnd"/>
      <w:r w:rsidRPr="008730F1">
        <w:rPr>
          <w:rFonts w:ascii="Times New Roman" w:hAnsi="Times New Roman" w:cs="Times New Roman"/>
          <w:i/>
          <w:iCs/>
          <w:color w:val="000000" w:themeColor="text1"/>
        </w:rPr>
        <w:t xml:space="preserve"> en </w:t>
      </w:r>
      <w:proofErr w:type="spellStart"/>
      <w:r w:rsidRPr="008730F1">
        <w:rPr>
          <w:rFonts w:ascii="Times New Roman" w:hAnsi="Times New Roman" w:cs="Times New Roman"/>
          <w:i/>
          <w:iCs/>
          <w:color w:val="000000" w:themeColor="text1"/>
        </w:rPr>
        <w:t>théologie</w:t>
      </w:r>
      <w:proofErr w:type="spellEnd"/>
      <w:r w:rsidRPr="008730F1">
        <w:rPr>
          <w:rFonts w:ascii="Times New Roman" w:hAnsi="Times New Roman" w:cs="Times New Roman"/>
          <w:i/>
          <w:iCs/>
          <w:color w:val="000000" w:themeColor="text1"/>
        </w:rPr>
        <w:t xml:space="preserve"> de Paris au XIII</w:t>
      </w:r>
      <w:r w:rsidRPr="008730F1">
        <w:rPr>
          <w:rFonts w:ascii="Times New Roman" w:hAnsi="Times New Roman" w:cs="Times New Roman"/>
          <w:i/>
          <w:iCs/>
          <w:color w:val="000000" w:themeColor="text1"/>
          <w:vertAlign w:val="superscript"/>
        </w:rPr>
        <w:t>e</w:t>
      </w:r>
      <w:r w:rsidRPr="008730F1">
        <w:rPr>
          <w:rFonts w:ascii="Times New Roman" w:hAnsi="Times New Roman" w:cs="Times New Roman"/>
          <w:i/>
          <w:iCs/>
          <w:color w:val="000000" w:themeColor="text1"/>
        </w:rPr>
        <w:t xml:space="preserve"> siècle</w:t>
      </w:r>
      <w:r w:rsidRPr="008730F1">
        <w:rPr>
          <w:rFonts w:ascii="Times New Roman" w:hAnsi="Times New Roman" w:cs="Times New Roman"/>
          <w:color w:val="000000" w:themeColor="text1"/>
        </w:rPr>
        <w:t xml:space="preserve">, 2 </w:t>
      </w:r>
      <w:proofErr w:type="spellStart"/>
      <w:r w:rsidRPr="008730F1">
        <w:rPr>
          <w:rFonts w:ascii="Times New Roman" w:hAnsi="Times New Roman" w:cs="Times New Roman"/>
          <w:color w:val="000000" w:themeColor="text1"/>
        </w:rPr>
        <w:t>vols</w:t>
      </w:r>
      <w:proofErr w:type="spellEnd"/>
      <w:r w:rsidRPr="008730F1">
        <w:rPr>
          <w:rFonts w:ascii="Times New Roman" w:hAnsi="Times New Roman" w:cs="Times New Roman"/>
          <w:i/>
          <w:iCs/>
          <w:color w:val="000000" w:themeColor="text1"/>
        </w:rPr>
        <w:t xml:space="preserve"> </w:t>
      </w:r>
      <w:r w:rsidRPr="008730F1">
        <w:rPr>
          <w:rFonts w:ascii="Times New Roman" w:hAnsi="Times New Roman" w:cs="Times New Roman"/>
          <w:color w:val="000000" w:themeColor="text1"/>
        </w:rPr>
        <w:t xml:space="preserve">(Paris: Vrin, 1933-4) remains an important catalogue of known thinkers from this period. </w:t>
      </w:r>
      <w:r w:rsidR="006154C0" w:rsidRPr="008730F1">
        <w:rPr>
          <w:rFonts w:ascii="Times New Roman" w:hAnsi="Times New Roman" w:cs="Times New Roman"/>
          <w:color w:val="000000" w:themeColor="text1"/>
        </w:rPr>
        <w:t xml:space="preserve">See also Ayelet Even-Ezra, ‘The </w:t>
      </w:r>
      <w:r w:rsidR="006154C0" w:rsidRPr="008730F1">
        <w:rPr>
          <w:rFonts w:ascii="Times New Roman" w:hAnsi="Times New Roman" w:cs="Times New Roman"/>
          <w:i/>
          <w:iCs/>
          <w:color w:val="000000" w:themeColor="text1"/>
        </w:rPr>
        <w:t xml:space="preserve">Summa </w:t>
      </w:r>
      <w:proofErr w:type="spellStart"/>
      <w:r w:rsidR="006154C0" w:rsidRPr="008730F1">
        <w:rPr>
          <w:rFonts w:ascii="Times New Roman" w:hAnsi="Times New Roman" w:cs="Times New Roman"/>
          <w:i/>
          <w:iCs/>
          <w:color w:val="000000" w:themeColor="text1"/>
        </w:rPr>
        <w:t>Halensis</w:t>
      </w:r>
      <w:proofErr w:type="spellEnd"/>
      <w:r w:rsidR="006154C0" w:rsidRPr="008730F1">
        <w:rPr>
          <w:rFonts w:ascii="Times New Roman" w:hAnsi="Times New Roman" w:cs="Times New Roman"/>
          <w:i/>
          <w:iCs/>
          <w:color w:val="000000" w:themeColor="text1"/>
        </w:rPr>
        <w:t xml:space="preserve">: A Text in Context,’ </w:t>
      </w:r>
      <w:r w:rsidR="006154C0" w:rsidRPr="008730F1">
        <w:rPr>
          <w:rFonts w:ascii="Times New Roman" w:hAnsi="Times New Roman" w:cs="Times New Roman"/>
          <w:color w:val="000000" w:themeColor="text1"/>
        </w:rPr>
        <w:t xml:space="preserve">in </w:t>
      </w:r>
      <w:r w:rsidR="006154C0" w:rsidRPr="008730F1">
        <w:rPr>
          <w:rFonts w:ascii="Times New Roman" w:hAnsi="Times New Roman" w:cs="Times New Roman"/>
          <w:i/>
          <w:iCs/>
          <w:color w:val="000000" w:themeColor="text1"/>
        </w:rPr>
        <w:t xml:space="preserve">The Summa </w:t>
      </w:r>
      <w:proofErr w:type="spellStart"/>
      <w:r w:rsidR="006154C0" w:rsidRPr="008730F1">
        <w:rPr>
          <w:rFonts w:ascii="Times New Roman" w:hAnsi="Times New Roman" w:cs="Times New Roman"/>
          <w:i/>
          <w:iCs/>
          <w:color w:val="000000" w:themeColor="text1"/>
        </w:rPr>
        <w:t>Halensis</w:t>
      </w:r>
      <w:proofErr w:type="spellEnd"/>
      <w:r w:rsidR="006154C0" w:rsidRPr="008730F1">
        <w:rPr>
          <w:rFonts w:ascii="Times New Roman" w:hAnsi="Times New Roman" w:cs="Times New Roman"/>
          <w:i/>
          <w:iCs/>
          <w:color w:val="000000" w:themeColor="text1"/>
        </w:rPr>
        <w:t xml:space="preserve">: Sources and Context, </w:t>
      </w:r>
      <w:r w:rsidR="006154C0" w:rsidRPr="008730F1">
        <w:rPr>
          <w:rFonts w:ascii="Times New Roman" w:hAnsi="Times New Roman" w:cs="Times New Roman"/>
          <w:color w:val="000000" w:themeColor="text1"/>
        </w:rPr>
        <w:t>ed. Lydia Schumacher (Berlin: De Gruyter 2020</w:t>
      </w:r>
      <w:r w:rsidR="00830668" w:rsidRPr="008730F1">
        <w:rPr>
          <w:rFonts w:ascii="Times New Roman" w:hAnsi="Times New Roman" w:cs="Times New Roman"/>
          <w:color w:val="000000" w:themeColor="text1"/>
        </w:rPr>
        <w:t>)</w:t>
      </w:r>
      <w:r w:rsidR="006154C0" w:rsidRPr="008730F1">
        <w:rPr>
          <w:rFonts w:ascii="Times New Roman" w:hAnsi="Times New Roman" w:cs="Times New Roman"/>
          <w:color w:val="000000" w:themeColor="text1"/>
        </w:rPr>
        <w:t>, 219-34.</w:t>
      </w:r>
    </w:p>
  </w:footnote>
  <w:footnote w:id="198">
    <w:p w14:paraId="601DAD37" w14:textId="789467D3" w:rsidR="0093407F" w:rsidRPr="008730F1" w:rsidRDefault="0093407F" w:rsidP="0093407F">
      <w:pPr>
        <w:autoSpaceDE w:val="0"/>
        <w:autoSpaceDN w:val="0"/>
        <w:adjustRightInd w:val="0"/>
        <w:rPr>
          <w:rFonts w:ascii="Times New Roman" w:hAnsi="Times New Roman" w:cs="Times New Roman"/>
          <w:sz w:val="20"/>
          <w:szCs w:val="20"/>
        </w:rPr>
      </w:pPr>
      <w:r w:rsidRPr="008730F1">
        <w:rPr>
          <w:rStyle w:val="FootnoteReference"/>
          <w:rFonts w:ascii="Times New Roman" w:hAnsi="Times New Roman" w:cs="Times New Roman"/>
          <w:sz w:val="20"/>
          <w:szCs w:val="20"/>
        </w:rPr>
        <w:footnoteRef/>
      </w:r>
      <w:r w:rsidRPr="008730F1">
        <w:rPr>
          <w:rFonts w:ascii="Times New Roman" w:hAnsi="Times New Roman" w:cs="Times New Roman"/>
          <w:sz w:val="20"/>
          <w:szCs w:val="20"/>
        </w:rPr>
        <w:t xml:space="preserve"> In some cases, an excellent up-to-date bibliography and description of the work of the thinkers treated here can be found in Alexander </w:t>
      </w:r>
      <w:proofErr w:type="spellStart"/>
      <w:r w:rsidRPr="008730F1">
        <w:rPr>
          <w:rFonts w:ascii="Times New Roman" w:hAnsi="Times New Roman" w:cs="Times New Roman"/>
          <w:sz w:val="20"/>
          <w:szCs w:val="20"/>
        </w:rPr>
        <w:t>Brungs</w:t>
      </w:r>
      <w:proofErr w:type="spellEnd"/>
      <w:r w:rsidRPr="008730F1">
        <w:rPr>
          <w:rFonts w:ascii="Times New Roman" w:hAnsi="Times New Roman" w:cs="Times New Roman"/>
          <w:sz w:val="20"/>
          <w:szCs w:val="20"/>
        </w:rPr>
        <w:t xml:space="preserve">, </w:t>
      </w:r>
      <w:proofErr w:type="spellStart"/>
      <w:r w:rsidRPr="008730F1">
        <w:rPr>
          <w:rFonts w:ascii="Times New Roman" w:hAnsi="Times New Roman" w:cs="Times New Roman"/>
          <w:sz w:val="20"/>
          <w:szCs w:val="20"/>
        </w:rPr>
        <w:t>Vilem</w:t>
      </w:r>
      <w:proofErr w:type="spellEnd"/>
      <w:r w:rsidRPr="008730F1">
        <w:rPr>
          <w:rFonts w:ascii="Times New Roman" w:hAnsi="Times New Roman" w:cs="Times New Roman"/>
          <w:sz w:val="20"/>
          <w:szCs w:val="20"/>
        </w:rPr>
        <w:t xml:space="preserve"> </w:t>
      </w:r>
      <w:proofErr w:type="spellStart"/>
      <w:r w:rsidRPr="008730F1">
        <w:rPr>
          <w:rFonts w:ascii="Times New Roman" w:hAnsi="Times New Roman" w:cs="Times New Roman"/>
          <w:sz w:val="20"/>
          <w:szCs w:val="20"/>
        </w:rPr>
        <w:t>Mudroch</w:t>
      </w:r>
      <w:proofErr w:type="spellEnd"/>
      <w:r w:rsidRPr="008730F1">
        <w:rPr>
          <w:rFonts w:ascii="Times New Roman" w:hAnsi="Times New Roman" w:cs="Times New Roman"/>
          <w:sz w:val="20"/>
          <w:szCs w:val="20"/>
        </w:rPr>
        <w:t xml:space="preserve">, Peter </w:t>
      </w:r>
      <w:proofErr w:type="spellStart"/>
      <w:r w:rsidRPr="008730F1">
        <w:rPr>
          <w:rFonts w:ascii="Times New Roman" w:hAnsi="Times New Roman" w:cs="Times New Roman"/>
          <w:sz w:val="20"/>
          <w:szCs w:val="20"/>
        </w:rPr>
        <w:t>Schulthess</w:t>
      </w:r>
      <w:proofErr w:type="spellEnd"/>
      <w:r w:rsidRPr="008730F1">
        <w:rPr>
          <w:rFonts w:ascii="Times New Roman" w:hAnsi="Times New Roman" w:cs="Times New Roman"/>
          <w:sz w:val="20"/>
          <w:szCs w:val="20"/>
        </w:rPr>
        <w:t xml:space="preserve"> (eds.), </w:t>
      </w:r>
      <w:proofErr w:type="spellStart"/>
      <w:r w:rsidRPr="008730F1">
        <w:rPr>
          <w:rFonts w:ascii="Times New Roman" w:hAnsi="Times New Roman" w:cs="Times New Roman"/>
          <w:i/>
          <w:iCs/>
          <w:sz w:val="20"/>
          <w:szCs w:val="20"/>
        </w:rPr>
        <w:t>Grundriss</w:t>
      </w:r>
      <w:proofErr w:type="spellEnd"/>
      <w:r w:rsidRPr="008730F1">
        <w:rPr>
          <w:rFonts w:ascii="Times New Roman" w:hAnsi="Times New Roman" w:cs="Times New Roman"/>
          <w:i/>
          <w:iCs/>
          <w:sz w:val="20"/>
          <w:szCs w:val="20"/>
        </w:rPr>
        <w:t xml:space="preserve"> der </w:t>
      </w:r>
      <w:proofErr w:type="spellStart"/>
      <w:r w:rsidRPr="008730F1">
        <w:rPr>
          <w:rFonts w:ascii="Times New Roman" w:hAnsi="Times New Roman" w:cs="Times New Roman"/>
          <w:i/>
          <w:iCs/>
          <w:sz w:val="20"/>
          <w:szCs w:val="20"/>
        </w:rPr>
        <w:t>Geschichte</w:t>
      </w:r>
      <w:proofErr w:type="spellEnd"/>
      <w:r w:rsidRPr="008730F1">
        <w:rPr>
          <w:rFonts w:ascii="Times New Roman" w:hAnsi="Times New Roman" w:cs="Times New Roman"/>
          <w:i/>
          <w:iCs/>
          <w:sz w:val="20"/>
          <w:szCs w:val="20"/>
        </w:rPr>
        <w:t xml:space="preserve"> der Philosophie 4: Die Philosophie des </w:t>
      </w:r>
      <w:proofErr w:type="spellStart"/>
      <w:r w:rsidRPr="008730F1">
        <w:rPr>
          <w:rFonts w:ascii="Times New Roman" w:hAnsi="Times New Roman" w:cs="Times New Roman"/>
          <w:i/>
          <w:iCs/>
          <w:sz w:val="20"/>
          <w:szCs w:val="20"/>
        </w:rPr>
        <w:t>Mittelalters</w:t>
      </w:r>
      <w:proofErr w:type="spellEnd"/>
      <w:r w:rsidRPr="008730F1">
        <w:rPr>
          <w:rFonts w:ascii="Times New Roman" w:hAnsi="Times New Roman" w:cs="Times New Roman"/>
          <w:sz w:val="20"/>
          <w:szCs w:val="20"/>
        </w:rPr>
        <w:t xml:space="preserve"> (Basel: </w:t>
      </w:r>
      <w:proofErr w:type="spellStart"/>
      <w:r w:rsidRPr="008730F1">
        <w:rPr>
          <w:rFonts w:ascii="Times New Roman" w:hAnsi="Times New Roman" w:cs="Times New Roman"/>
          <w:sz w:val="20"/>
          <w:szCs w:val="20"/>
        </w:rPr>
        <w:t>Schwabe</w:t>
      </w:r>
      <w:proofErr w:type="spellEnd"/>
      <w:r w:rsidRPr="008730F1">
        <w:rPr>
          <w:rFonts w:ascii="Times New Roman" w:hAnsi="Times New Roman" w:cs="Times New Roman"/>
          <w:sz w:val="20"/>
          <w:szCs w:val="20"/>
        </w:rPr>
        <w:t xml:space="preserve"> Verlag, 2017).</w:t>
      </w:r>
    </w:p>
  </w:footnote>
  <w:footnote w:id="199">
    <w:p w14:paraId="31D38616" w14:textId="77777777" w:rsidR="00B93ED5" w:rsidRPr="008730F1" w:rsidRDefault="00B93ED5" w:rsidP="00986E7A">
      <w:pPr>
        <w:widowControl w:val="0"/>
        <w:autoSpaceDE w:val="0"/>
        <w:autoSpaceDN w:val="0"/>
        <w:adjustRightInd w:val="0"/>
        <w:rPr>
          <w:rFonts w:ascii="Times New Roman" w:hAnsi="Times New Roman" w:cs="Times New Roman"/>
          <w:color w:val="000000" w:themeColor="text1"/>
          <w:sz w:val="20"/>
          <w:szCs w:val="20"/>
        </w:rPr>
      </w:pPr>
      <w:r w:rsidRPr="008730F1">
        <w:rPr>
          <w:rStyle w:val="FootnoteReference"/>
          <w:rFonts w:ascii="Times New Roman" w:hAnsi="Times New Roman" w:cs="Times New Roman"/>
          <w:color w:val="000000" w:themeColor="text1"/>
          <w:sz w:val="20"/>
          <w:szCs w:val="20"/>
        </w:rPr>
        <w:footnoteRef/>
      </w:r>
      <w:r w:rsidRPr="008730F1">
        <w:rPr>
          <w:rFonts w:ascii="Times New Roman" w:hAnsi="Times New Roman" w:cs="Times New Roman"/>
          <w:color w:val="000000" w:themeColor="text1"/>
          <w:sz w:val="20"/>
          <w:szCs w:val="20"/>
        </w:rPr>
        <w:t xml:space="preserve"> Jean </w:t>
      </w:r>
      <w:proofErr w:type="spellStart"/>
      <w:r w:rsidRPr="008730F1">
        <w:rPr>
          <w:rFonts w:ascii="Times New Roman" w:hAnsi="Times New Roman" w:cs="Times New Roman"/>
          <w:color w:val="000000" w:themeColor="text1"/>
          <w:sz w:val="20"/>
          <w:szCs w:val="20"/>
        </w:rPr>
        <w:t>Ribaillier</w:t>
      </w:r>
      <w:proofErr w:type="spellEnd"/>
      <w:r w:rsidRPr="008730F1">
        <w:rPr>
          <w:rFonts w:ascii="Times New Roman" w:hAnsi="Times New Roman" w:cs="Times New Roman"/>
          <w:color w:val="000000" w:themeColor="text1"/>
          <w:sz w:val="20"/>
          <w:szCs w:val="20"/>
        </w:rPr>
        <w:t xml:space="preserve">, ‘Introduction,’ in William of </w:t>
      </w:r>
      <w:proofErr w:type="spellStart"/>
      <w:r w:rsidRPr="008730F1">
        <w:rPr>
          <w:rFonts w:ascii="Times New Roman" w:hAnsi="Times New Roman" w:cs="Times New Roman"/>
          <w:color w:val="000000" w:themeColor="text1"/>
          <w:sz w:val="20"/>
          <w:szCs w:val="20"/>
        </w:rPr>
        <w:t>Auxerre</w:t>
      </w:r>
      <w:proofErr w:type="spellEnd"/>
      <w:r w:rsidRPr="008730F1">
        <w:rPr>
          <w:rFonts w:ascii="Times New Roman" w:hAnsi="Times New Roman" w:cs="Times New Roman"/>
          <w:color w:val="000000" w:themeColor="text1"/>
          <w:sz w:val="20"/>
          <w:szCs w:val="20"/>
        </w:rPr>
        <w:t xml:space="preserve">, </w:t>
      </w:r>
      <w:r w:rsidRPr="008730F1">
        <w:rPr>
          <w:rFonts w:ascii="Times New Roman" w:hAnsi="Times New Roman" w:cs="Times New Roman"/>
          <w:i/>
          <w:color w:val="000000" w:themeColor="text1"/>
          <w:sz w:val="20"/>
          <w:szCs w:val="20"/>
        </w:rPr>
        <w:t xml:space="preserve">Summa </w:t>
      </w:r>
      <w:proofErr w:type="spellStart"/>
      <w:r w:rsidRPr="008730F1">
        <w:rPr>
          <w:rFonts w:ascii="Times New Roman" w:hAnsi="Times New Roman" w:cs="Times New Roman"/>
          <w:i/>
          <w:color w:val="000000" w:themeColor="text1"/>
          <w:sz w:val="20"/>
          <w:szCs w:val="20"/>
        </w:rPr>
        <w:t>Aurea</w:t>
      </w:r>
      <w:proofErr w:type="spellEnd"/>
      <w:r w:rsidRPr="008730F1">
        <w:rPr>
          <w:rFonts w:ascii="Times New Roman" w:hAnsi="Times New Roman" w:cs="Times New Roman"/>
          <w:color w:val="000000" w:themeColor="text1"/>
          <w:sz w:val="20"/>
          <w:szCs w:val="20"/>
        </w:rPr>
        <w:t xml:space="preserve">, ed. Jean </w:t>
      </w:r>
      <w:proofErr w:type="spellStart"/>
      <w:r w:rsidRPr="008730F1">
        <w:rPr>
          <w:rFonts w:ascii="Times New Roman" w:hAnsi="Times New Roman" w:cs="Times New Roman"/>
          <w:color w:val="000000" w:themeColor="text1"/>
          <w:sz w:val="20"/>
          <w:szCs w:val="20"/>
        </w:rPr>
        <w:t>Ribaillier</w:t>
      </w:r>
      <w:proofErr w:type="spellEnd"/>
      <w:r w:rsidRPr="008730F1">
        <w:rPr>
          <w:rFonts w:ascii="Times New Roman" w:hAnsi="Times New Roman" w:cs="Times New Roman"/>
          <w:color w:val="000000" w:themeColor="text1"/>
          <w:sz w:val="20"/>
          <w:szCs w:val="20"/>
        </w:rPr>
        <w:t xml:space="preserve">, </w:t>
      </w:r>
      <w:proofErr w:type="spellStart"/>
      <w:r w:rsidRPr="008730F1">
        <w:rPr>
          <w:rFonts w:ascii="Times New Roman" w:hAnsi="Times New Roman" w:cs="Times New Roman"/>
          <w:color w:val="000000" w:themeColor="text1"/>
          <w:sz w:val="20"/>
          <w:szCs w:val="20"/>
        </w:rPr>
        <w:t>Spicilegium</w:t>
      </w:r>
      <w:proofErr w:type="spellEnd"/>
      <w:r w:rsidRPr="008730F1">
        <w:rPr>
          <w:rFonts w:ascii="Times New Roman" w:hAnsi="Times New Roman" w:cs="Times New Roman"/>
          <w:color w:val="000000" w:themeColor="text1"/>
          <w:sz w:val="20"/>
          <w:szCs w:val="20"/>
        </w:rPr>
        <w:t xml:space="preserve"> </w:t>
      </w:r>
      <w:proofErr w:type="spellStart"/>
      <w:r w:rsidRPr="008730F1">
        <w:rPr>
          <w:rFonts w:ascii="Times New Roman" w:hAnsi="Times New Roman" w:cs="Times New Roman"/>
          <w:color w:val="000000" w:themeColor="text1"/>
          <w:sz w:val="20"/>
          <w:szCs w:val="20"/>
        </w:rPr>
        <w:t>Bonaventurianum</w:t>
      </w:r>
      <w:proofErr w:type="spellEnd"/>
      <w:r w:rsidRPr="008730F1">
        <w:rPr>
          <w:rFonts w:ascii="Times New Roman" w:hAnsi="Times New Roman" w:cs="Times New Roman"/>
          <w:color w:val="000000" w:themeColor="text1"/>
          <w:sz w:val="20"/>
          <w:szCs w:val="20"/>
        </w:rPr>
        <w:t xml:space="preserve"> vol. 16 (Paris: </w:t>
      </w:r>
      <w:proofErr w:type="spellStart"/>
      <w:r w:rsidRPr="008730F1">
        <w:rPr>
          <w:rFonts w:ascii="Times New Roman" w:hAnsi="Times New Roman" w:cs="Times New Roman"/>
          <w:color w:val="000000" w:themeColor="text1"/>
          <w:sz w:val="20"/>
          <w:szCs w:val="20"/>
        </w:rPr>
        <w:t>Grottaferrata</w:t>
      </w:r>
      <w:proofErr w:type="spellEnd"/>
      <w:r w:rsidRPr="008730F1">
        <w:rPr>
          <w:rFonts w:ascii="Times New Roman" w:hAnsi="Times New Roman" w:cs="Times New Roman"/>
          <w:color w:val="000000" w:themeColor="text1"/>
          <w:sz w:val="20"/>
          <w:szCs w:val="20"/>
        </w:rPr>
        <w:t xml:space="preserve">, 1980), 5. </w:t>
      </w:r>
    </w:p>
  </w:footnote>
  <w:footnote w:id="200">
    <w:p w14:paraId="1ACBCBAB" w14:textId="295CAC74" w:rsidR="00B93ED5" w:rsidRPr="009D7635" w:rsidRDefault="00B93ED5" w:rsidP="00986E7A">
      <w:pPr>
        <w:pStyle w:val="FootnoteText"/>
        <w:rPr>
          <w:rFonts w:ascii="Times New Roman" w:hAnsi="Times New Roman" w:cs="Times New Roman"/>
          <w:color w:val="000000" w:themeColor="text1"/>
        </w:rPr>
      </w:pPr>
      <w:r w:rsidRPr="008730F1">
        <w:rPr>
          <w:rStyle w:val="FootnoteReference"/>
          <w:rFonts w:ascii="Times New Roman" w:hAnsi="Times New Roman" w:cs="Times New Roman"/>
          <w:color w:val="000000" w:themeColor="text1"/>
        </w:rPr>
        <w:footnoteRef/>
      </w:r>
      <w:r w:rsidRPr="008730F1">
        <w:rPr>
          <w:rFonts w:ascii="Times New Roman" w:hAnsi="Times New Roman" w:cs="Times New Roman"/>
          <w:color w:val="000000" w:themeColor="text1"/>
        </w:rPr>
        <w:t xml:space="preserve"> Magdalena </w:t>
      </w:r>
      <w:proofErr w:type="spellStart"/>
      <w:r w:rsidRPr="008730F1">
        <w:rPr>
          <w:rFonts w:ascii="Times New Roman" w:hAnsi="Times New Roman" w:cs="Times New Roman"/>
          <w:color w:val="000000" w:themeColor="text1"/>
        </w:rPr>
        <w:t>Bieniak</w:t>
      </w:r>
      <w:proofErr w:type="spellEnd"/>
      <w:r w:rsidRPr="008730F1">
        <w:rPr>
          <w:rFonts w:ascii="Times New Roman" w:hAnsi="Times New Roman" w:cs="Times New Roman"/>
          <w:color w:val="000000" w:themeColor="text1"/>
        </w:rPr>
        <w:t xml:space="preserve">, </w:t>
      </w:r>
      <w:r w:rsidRPr="008730F1">
        <w:rPr>
          <w:rFonts w:ascii="Times New Roman" w:hAnsi="Times New Roman" w:cs="Times New Roman"/>
          <w:i/>
          <w:iCs/>
          <w:color w:val="000000" w:themeColor="text1"/>
        </w:rPr>
        <w:t>The Body-Soul Problem at Paris ca. 1200-1250</w:t>
      </w:r>
      <w:r w:rsidRPr="008730F1">
        <w:rPr>
          <w:rFonts w:ascii="Times New Roman" w:hAnsi="Times New Roman" w:cs="Times New Roman"/>
          <w:color w:val="000000" w:themeColor="text1"/>
        </w:rPr>
        <w:t xml:space="preserve"> (Leuven: Leuven University Press, 2010)</w:t>
      </w:r>
      <w:r w:rsidRPr="008730F1">
        <w:rPr>
          <w:rFonts w:ascii="Times New Roman" w:hAnsi="Times New Roman" w:cs="Times New Roman"/>
          <w:iCs/>
          <w:color w:val="000000" w:themeColor="text1"/>
        </w:rPr>
        <w:t xml:space="preserve">, </w:t>
      </w:r>
      <w:r w:rsidRPr="008730F1">
        <w:rPr>
          <w:rFonts w:ascii="Times New Roman" w:hAnsi="Times New Roman" w:cs="Times New Roman"/>
          <w:color w:val="000000" w:themeColor="text1"/>
        </w:rPr>
        <w:t>20.</w:t>
      </w:r>
    </w:p>
  </w:footnote>
  <w:footnote w:id="201">
    <w:p w14:paraId="17511226" w14:textId="058D60EE"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696619" w:rsidRPr="009D7635">
        <w:rPr>
          <w:rFonts w:ascii="Times New Roman" w:hAnsi="Times New Roman" w:cs="Times New Roman"/>
          <w:color w:val="000000" w:themeColor="text1"/>
        </w:rPr>
        <w:t>Ibid.</w:t>
      </w:r>
    </w:p>
  </w:footnote>
  <w:footnote w:id="202">
    <w:p w14:paraId="1C320A08" w14:textId="59F1BE87" w:rsidR="00B93ED5" w:rsidRPr="009D7635" w:rsidRDefault="00B93ED5" w:rsidP="00986E7A">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Johannes </w:t>
      </w:r>
      <w:r w:rsidRPr="009D7635">
        <w:rPr>
          <w:rFonts w:ascii="Times New Roman" w:hAnsi="Times New Roman" w:cs="Times New Roman"/>
          <w:color w:val="000000" w:themeColor="text1"/>
          <w:sz w:val="20"/>
          <w:szCs w:val="20"/>
          <w:lang w:val="en-US"/>
        </w:rPr>
        <w:t xml:space="preserve">Arnold, </w:t>
      </w:r>
      <w:r w:rsidRPr="009D7635">
        <w:rPr>
          <w:rFonts w:ascii="Times New Roman" w:hAnsi="Times New Roman" w:cs="Times New Roman"/>
          <w:i/>
          <w:color w:val="000000" w:themeColor="text1"/>
          <w:sz w:val="20"/>
          <w:szCs w:val="20"/>
          <w:lang w:val="en-US"/>
        </w:rPr>
        <w:t xml:space="preserve">Perfecta </w:t>
      </w:r>
      <w:proofErr w:type="spellStart"/>
      <w:r w:rsidRPr="009D7635">
        <w:rPr>
          <w:rFonts w:ascii="Times New Roman" w:hAnsi="Times New Roman" w:cs="Times New Roman"/>
          <w:i/>
          <w:color w:val="000000" w:themeColor="text1"/>
          <w:sz w:val="20"/>
          <w:szCs w:val="20"/>
          <w:lang w:val="en-US"/>
        </w:rPr>
        <w:t>Communicatio</w:t>
      </w:r>
      <w:proofErr w:type="spellEnd"/>
      <w:r w:rsidR="00116978"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lang w:val="en-US"/>
        </w:rPr>
        <w:t xml:space="preserve"> Die </w:t>
      </w:r>
      <w:proofErr w:type="spellStart"/>
      <w:r w:rsidRPr="009D7635">
        <w:rPr>
          <w:rFonts w:ascii="Times New Roman" w:hAnsi="Times New Roman" w:cs="Times New Roman"/>
          <w:i/>
          <w:color w:val="000000" w:themeColor="text1"/>
          <w:sz w:val="20"/>
          <w:szCs w:val="20"/>
          <w:lang w:val="en-US"/>
        </w:rPr>
        <w:t>Trinitätstheologie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Wilhelms</w:t>
      </w:r>
      <w:proofErr w:type="spellEnd"/>
      <w:r w:rsidRPr="009D7635">
        <w:rPr>
          <w:rFonts w:ascii="Times New Roman" w:hAnsi="Times New Roman" w:cs="Times New Roman"/>
          <w:i/>
          <w:color w:val="000000" w:themeColor="text1"/>
          <w:sz w:val="20"/>
          <w:szCs w:val="20"/>
          <w:lang w:val="en-US"/>
        </w:rPr>
        <w:t xml:space="preserve"> von </w:t>
      </w:r>
      <w:proofErr w:type="spellStart"/>
      <w:r w:rsidRPr="009D7635">
        <w:rPr>
          <w:rFonts w:ascii="Times New Roman" w:hAnsi="Times New Roman" w:cs="Times New Roman"/>
          <w:i/>
          <w:color w:val="000000" w:themeColor="text1"/>
          <w:sz w:val="20"/>
          <w:szCs w:val="20"/>
          <w:lang w:val="en-US"/>
        </w:rPr>
        <w:t>Auxerre</w:t>
      </w:r>
      <w:proofErr w:type="spellEnd"/>
      <w:r w:rsidRPr="009D7635">
        <w:rPr>
          <w:rFonts w:ascii="Times New Roman" w:hAnsi="Times New Roman" w:cs="Times New Roman"/>
          <w:color w:val="000000" w:themeColor="text1"/>
          <w:sz w:val="20"/>
          <w:szCs w:val="20"/>
          <w:lang w:val="en-US"/>
        </w:rPr>
        <w:t xml:space="preserve"> (Münster: </w:t>
      </w:r>
      <w:proofErr w:type="spellStart"/>
      <w:r w:rsidRPr="009D7635">
        <w:rPr>
          <w:rFonts w:ascii="Times New Roman" w:hAnsi="Times New Roman" w:cs="Times New Roman"/>
          <w:color w:val="000000" w:themeColor="text1"/>
          <w:sz w:val="20"/>
          <w:szCs w:val="20"/>
          <w:lang w:val="en-US"/>
        </w:rPr>
        <w:t>Aschendorff</w:t>
      </w:r>
      <w:proofErr w:type="spellEnd"/>
      <w:r w:rsidRPr="009D7635">
        <w:rPr>
          <w:rFonts w:ascii="Times New Roman" w:hAnsi="Times New Roman" w:cs="Times New Roman"/>
          <w:color w:val="000000" w:themeColor="text1"/>
          <w:sz w:val="20"/>
          <w:szCs w:val="20"/>
          <w:lang w:val="en-US"/>
        </w:rPr>
        <w:t>, 1995) 15-24.</w:t>
      </w:r>
    </w:p>
  </w:footnote>
  <w:footnote w:id="203">
    <w:p w14:paraId="32C23F4F" w14:textId="62BF8701" w:rsidR="009C4B4D" w:rsidRPr="009D7635" w:rsidRDefault="009C4B4D" w:rsidP="009C4B4D">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Magdalena </w:t>
      </w:r>
      <w:proofErr w:type="spellStart"/>
      <w:r w:rsidRPr="009D7635">
        <w:rPr>
          <w:rFonts w:ascii="Times New Roman" w:hAnsi="Times New Roman" w:cs="Times New Roman"/>
          <w:color w:val="000000" w:themeColor="text1"/>
          <w:sz w:val="20"/>
          <w:szCs w:val="20"/>
        </w:rPr>
        <w:t>Bieniak</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The Body-Soul Problem at Paris</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15, note 22: </w:t>
      </w:r>
      <w:r w:rsidRPr="009D7635">
        <w:rPr>
          <w:rFonts w:ascii="Times New Roman" w:hAnsi="Times New Roman" w:cs="Times New Roman"/>
          <w:color w:val="000000" w:themeColor="text1"/>
          <w:sz w:val="20"/>
          <w:szCs w:val="20"/>
          <w:lang w:val="en-US"/>
        </w:rPr>
        <w:t>The Summa was commonly dated to between 1228 and 1236 (</w:t>
      </w:r>
      <w:r w:rsidR="00685DFC" w:rsidRPr="009D7635">
        <w:rPr>
          <w:rFonts w:ascii="Times New Roman" w:hAnsi="Times New Roman" w:cs="Times New Roman"/>
          <w:color w:val="000000" w:themeColor="text1"/>
          <w:sz w:val="20"/>
          <w:szCs w:val="20"/>
          <w:lang w:val="en-US"/>
        </w:rPr>
        <w:t xml:space="preserve">the </w:t>
      </w:r>
      <w:r w:rsidRPr="009D7635">
        <w:rPr>
          <w:rFonts w:ascii="Times New Roman" w:hAnsi="Times New Roman" w:cs="Times New Roman"/>
          <w:color w:val="000000" w:themeColor="text1"/>
          <w:sz w:val="20"/>
          <w:szCs w:val="20"/>
          <w:lang w:val="en-US"/>
        </w:rPr>
        <w:t xml:space="preserve">death of Philip the Chancellor), but the editor proposes a decidedly earlier date. </w:t>
      </w:r>
      <w:r w:rsidRPr="009D7635">
        <w:rPr>
          <w:rFonts w:ascii="Times New Roman" w:hAnsi="Times New Roman" w:cs="Times New Roman"/>
          <w:bCs/>
          <w:i/>
          <w:iCs/>
          <w:color w:val="000000" w:themeColor="text1"/>
          <w:sz w:val="20"/>
          <w:szCs w:val="20"/>
        </w:rPr>
        <w:t xml:space="preserve">Philippi </w:t>
      </w:r>
      <w:proofErr w:type="spellStart"/>
      <w:r w:rsidRPr="009D7635">
        <w:rPr>
          <w:rFonts w:ascii="Times New Roman" w:hAnsi="Times New Roman" w:cs="Times New Roman"/>
          <w:bCs/>
          <w:i/>
          <w:iCs/>
          <w:color w:val="000000" w:themeColor="text1"/>
          <w:sz w:val="20"/>
          <w:szCs w:val="20"/>
        </w:rPr>
        <w:t>Cancellarii</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Parisiensis</w:t>
      </w:r>
      <w:proofErr w:type="spellEnd"/>
      <w:r w:rsidRPr="009D7635">
        <w:rPr>
          <w:rFonts w:ascii="Times New Roman" w:hAnsi="Times New Roman" w:cs="Times New Roman"/>
          <w:bCs/>
          <w:i/>
          <w:iCs/>
          <w:color w:val="000000" w:themeColor="text1"/>
          <w:sz w:val="20"/>
          <w:szCs w:val="20"/>
        </w:rPr>
        <w:t xml:space="preserve"> Summa de bono</w:t>
      </w:r>
      <w:r w:rsidRPr="009D7635">
        <w:rPr>
          <w:rFonts w:ascii="Times New Roman" w:hAnsi="Times New Roman" w:cs="Times New Roman"/>
          <w:bCs/>
          <w:color w:val="000000" w:themeColor="text1"/>
          <w:sz w:val="20"/>
          <w:szCs w:val="20"/>
        </w:rPr>
        <w:t>,</w:t>
      </w:r>
      <w:r w:rsidRPr="009D7635">
        <w:rPr>
          <w:rFonts w:ascii="Times New Roman" w:hAnsi="Times New Roman" w:cs="Times New Roman"/>
          <w:bCs/>
          <w:i/>
          <w:iCs/>
          <w:color w:val="000000" w:themeColor="text1"/>
          <w:sz w:val="20"/>
          <w:szCs w:val="20"/>
        </w:rPr>
        <w:t xml:space="preserve"> </w:t>
      </w:r>
      <w:r w:rsidRPr="009D7635">
        <w:rPr>
          <w:rFonts w:ascii="Times New Roman" w:hAnsi="Times New Roman" w:cs="Times New Roman"/>
          <w:bCs/>
          <w:iCs/>
          <w:color w:val="000000" w:themeColor="text1"/>
          <w:sz w:val="20"/>
          <w:szCs w:val="20"/>
        </w:rPr>
        <w:t xml:space="preserve">2 </w:t>
      </w:r>
      <w:proofErr w:type="spellStart"/>
      <w:r w:rsidRPr="009D7635">
        <w:rPr>
          <w:rFonts w:ascii="Times New Roman" w:hAnsi="Times New Roman" w:cs="Times New Roman"/>
          <w:bCs/>
          <w:iCs/>
          <w:color w:val="000000" w:themeColor="text1"/>
          <w:sz w:val="20"/>
          <w:szCs w:val="20"/>
        </w:rPr>
        <w:t>vols</w:t>
      </w:r>
      <w:proofErr w:type="spellEnd"/>
      <w:r w:rsidRPr="009D7635">
        <w:rPr>
          <w:rFonts w:ascii="Times New Roman" w:hAnsi="Times New Roman" w:cs="Times New Roman"/>
          <w:bCs/>
          <w:iCs/>
          <w:color w:val="000000" w:themeColor="text1"/>
          <w:sz w:val="20"/>
          <w:szCs w:val="20"/>
        </w:rPr>
        <w:t>,</w:t>
      </w:r>
      <w:r w:rsidRPr="009D7635">
        <w:rPr>
          <w:rFonts w:ascii="Times New Roman" w:hAnsi="Times New Roman" w:cs="Times New Roman"/>
          <w:bCs/>
          <w:i/>
          <w:iCs/>
          <w:color w:val="000000" w:themeColor="text1"/>
          <w:sz w:val="20"/>
          <w:szCs w:val="20"/>
        </w:rPr>
        <w:t xml:space="preserve"> </w:t>
      </w:r>
      <w:r w:rsidRPr="009D7635">
        <w:rPr>
          <w:rFonts w:ascii="Times New Roman" w:hAnsi="Times New Roman" w:cs="Times New Roman"/>
          <w:bCs/>
          <w:iCs/>
          <w:color w:val="000000" w:themeColor="text1"/>
          <w:sz w:val="20"/>
          <w:szCs w:val="20"/>
        </w:rPr>
        <w:t>ed.</w:t>
      </w:r>
      <w:r w:rsidRPr="009D7635">
        <w:rPr>
          <w:rFonts w:ascii="Times New Roman" w:hAnsi="Times New Roman" w:cs="Times New Roman"/>
          <w:bCs/>
          <w:i/>
          <w:iCs/>
          <w:color w:val="000000" w:themeColor="text1"/>
          <w:sz w:val="20"/>
          <w:szCs w:val="20"/>
        </w:rPr>
        <w:t xml:space="preserve"> </w:t>
      </w:r>
      <w:r w:rsidRPr="009D7635">
        <w:rPr>
          <w:rFonts w:ascii="Times New Roman" w:hAnsi="Times New Roman" w:cs="Times New Roman"/>
          <w:bCs/>
          <w:color w:val="000000" w:themeColor="text1"/>
          <w:sz w:val="20"/>
          <w:szCs w:val="20"/>
        </w:rPr>
        <w:t xml:space="preserve">Nicolas </w:t>
      </w:r>
      <w:proofErr w:type="spellStart"/>
      <w:r w:rsidRPr="009D7635">
        <w:rPr>
          <w:rFonts w:ascii="Times New Roman" w:hAnsi="Times New Roman" w:cs="Times New Roman"/>
          <w:bCs/>
          <w:color w:val="000000" w:themeColor="text1"/>
          <w:sz w:val="20"/>
          <w:szCs w:val="20"/>
        </w:rPr>
        <w:t>Wicki</w:t>
      </w:r>
      <w:proofErr w:type="spellEnd"/>
      <w:r w:rsidRPr="009D7635">
        <w:rPr>
          <w:rFonts w:ascii="Times New Roman" w:hAnsi="Times New Roman" w:cs="Times New Roman"/>
          <w:bCs/>
          <w:color w:val="000000" w:themeColor="text1"/>
          <w:sz w:val="20"/>
          <w:szCs w:val="20"/>
        </w:rPr>
        <w:t xml:space="preserve"> (</w:t>
      </w:r>
      <w:r w:rsidRPr="009D7635">
        <w:rPr>
          <w:rFonts w:ascii="Times New Roman" w:hAnsi="Times New Roman" w:cs="Times New Roman"/>
          <w:color w:val="000000" w:themeColor="text1"/>
          <w:sz w:val="20"/>
          <w:szCs w:val="20"/>
        </w:rPr>
        <w:t xml:space="preserve">Bern: </w:t>
      </w:r>
      <w:proofErr w:type="spellStart"/>
      <w:r w:rsidRPr="009D7635">
        <w:rPr>
          <w:rFonts w:ascii="Times New Roman" w:hAnsi="Times New Roman" w:cs="Times New Roman"/>
          <w:color w:val="000000" w:themeColor="text1"/>
          <w:sz w:val="20"/>
          <w:szCs w:val="20"/>
        </w:rPr>
        <w:t>Francke</w:t>
      </w:r>
      <w:proofErr w:type="spellEnd"/>
      <w:r w:rsidRPr="009D7635">
        <w:rPr>
          <w:rFonts w:ascii="Times New Roman" w:hAnsi="Times New Roman" w:cs="Times New Roman"/>
          <w:bCs/>
          <w:color w:val="000000" w:themeColor="text1"/>
          <w:sz w:val="20"/>
          <w:szCs w:val="20"/>
        </w:rPr>
        <w:t>, 1985).</w:t>
      </w:r>
    </w:p>
  </w:footnote>
  <w:footnote w:id="204">
    <w:p w14:paraId="5DD7D034" w14:textId="3BB09116" w:rsidR="00A91DAC" w:rsidRPr="009D7635" w:rsidRDefault="00A91DAC" w:rsidP="00A91DAC">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Philip’s work rather than the </w:t>
      </w:r>
      <w:r w:rsidRPr="009D7635">
        <w:rPr>
          <w:rFonts w:ascii="Times New Roman" w:hAnsi="Times New Roman" w:cs="Times New Roman"/>
          <w:i/>
          <w:color w:val="000000" w:themeColor="text1"/>
          <w:lang w:val="en-US"/>
        </w:rPr>
        <w:t xml:space="preserve">Summa </w:t>
      </w:r>
      <w:proofErr w:type="spellStart"/>
      <w:r w:rsidRPr="009D7635">
        <w:rPr>
          <w:rFonts w:ascii="Times New Roman" w:hAnsi="Times New Roman" w:cs="Times New Roman"/>
          <w:i/>
          <w:color w:val="000000" w:themeColor="text1"/>
          <w:lang w:val="en-US"/>
        </w:rPr>
        <w:t>Duacensis</w:t>
      </w:r>
      <w:proofErr w:type="spellEnd"/>
      <w:r w:rsidRPr="009D7635">
        <w:rPr>
          <w:rFonts w:ascii="Times New Roman" w:hAnsi="Times New Roman" w:cs="Times New Roman"/>
          <w:color w:val="000000" w:themeColor="text1"/>
          <w:lang w:val="en-US"/>
        </w:rPr>
        <w:t xml:space="preserve"> probably influenced the </w:t>
      </w:r>
      <w:r w:rsidRPr="009D7635">
        <w:rPr>
          <w:rFonts w:ascii="Times New Roman" w:hAnsi="Times New Roman" w:cs="Times New Roman"/>
          <w:i/>
          <w:color w:val="000000" w:themeColor="text1"/>
          <w:lang w:val="en-US"/>
        </w:rPr>
        <w:t>De anima</w:t>
      </w:r>
      <w:r w:rsidRPr="009D7635">
        <w:rPr>
          <w:rFonts w:ascii="Times New Roman" w:hAnsi="Times New Roman" w:cs="Times New Roman"/>
          <w:color w:val="000000" w:themeColor="text1"/>
          <w:lang w:val="en-US"/>
        </w:rPr>
        <w:t xml:space="preserve"> attributed to Robert </w:t>
      </w:r>
      <w:proofErr w:type="spellStart"/>
      <w:r w:rsidRPr="009D7635">
        <w:rPr>
          <w:rFonts w:ascii="Times New Roman" w:hAnsi="Times New Roman" w:cs="Times New Roman"/>
          <w:color w:val="000000" w:themeColor="text1"/>
          <w:lang w:val="en-US"/>
        </w:rPr>
        <w:t>Grosseteste</w:t>
      </w:r>
      <w:proofErr w:type="spellEnd"/>
      <w:r w:rsidRPr="009D7635">
        <w:rPr>
          <w:rFonts w:ascii="Times New Roman" w:hAnsi="Times New Roman" w:cs="Times New Roman"/>
          <w:color w:val="000000" w:themeColor="text1"/>
          <w:lang w:val="en-US"/>
        </w:rPr>
        <w:t xml:space="preserve"> according to </w:t>
      </w:r>
      <w:r w:rsidRPr="009D7635">
        <w:rPr>
          <w:rFonts w:ascii="Times New Roman" w:hAnsi="Times New Roman" w:cs="Times New Roman"/>
          <w:color w:val="000000" w:themeColor="text1"/>
        </w:rPr>
        <w:t xml:space="preserve">Leo W. Keeler, ‘The Dependence of R. </w:t>
      </w:r>
      <w:proofErr w:type="spellStart"/>
      <w:r w:rsidRPr="009D7635">
        <w:rPr>
          <w:rFonts w:ascii="Times New Roman" w:hAnsi="Times New Roman" w:cs="Times New Roman"/>
          <w:color w:val="000000" w:themeColor="text1"/>
        </w:rPr>
        <w:t>Grosseteste’s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 xml:space="preserve">on the Summa of Philip the Chancellor,’ </w:t>
      </w:r>
      <w:r w:rsidRPr="009D7635">
        <w:rPr>
          <w:rFonts w:ascii="Times New Roman" w:hAnsi="Times New Roman" w:cs="Times New Roman"/>
          <w:i/>
          <w:color w:val="000000" w:themeColor="text1"/>
        </w:rPr>
        <w:t xml:space="preserve">The New Scholasticism </w:t>
      </w:r>
      <w:r w:rsidRPr="009D7635">
        <w:rPr>
          <w:rFonts w:ascii="Times New Roman" w:hAnsi="Times New Roman" w:cs="Times New Roman"/>
          <w:color w:val="000000" w:themeColor="text1"/>
        </w:rPr>
        <w:t>11:3 (1937)</w:t>
      </w:r>
      <w:r w:rsidR="00CA3826"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197-219. D.A. Callus, ‘The </w:t>
      </w:r>
      <w:r w:rsidRPr="009D7635">
        <w:rPr>
          <w:rFonts w:ascii="Times New Roman" w:hAnsi="Times New Roman" w:cs="Times New Roman"/>
          <w:i/>
          <w:color w:val="000000" w:themeColor="text1"/>
        </w:rPr>
        <w:t xml:space="preserve">Summa </w:t>
      </w:r>
      <w:proofErr w:type="spellStart"/>
      <w:r w:rsidRPr="009D7635">
        <w:rPr>
          <w:rFonts w:ascii="Times New Roman" w:hAnsi="Times New Roman" w:cs="Times New Roman"/>
          <w:i/>
          <w:color w:val="000000" w:themeColor="text1"/>
        </w:rPr>
        <w:t>Duacensis</w:t>
      </w:r>
      <w:proofErr w:type="spellEnd"/>
      <w:r w:rsidRPr="009D7635">
        <w:rPr>
          <w:rFonts w:ascii="Times New Roman" w:hAnsi="Times New Roman" w:cs="Times New Roman"/>
          <w:color w:val="000000" w:themeColor="text1"/>
        </w:rPr>
        <w:t xml:space="preserve"> and the </w:t>
      </w:r>
      <w:proofErr w:type="spellStart"/>
      <w:r w:rsidRPr="009D7635">
        <w:rPr>
          <w:rFonts w:ascii="Times New Roman" w:hAnsi="Times New Roman" w:cs="Times New Roman"/>
          <w:color w:val="000000" w:themeColor="text1"/>
        </w:rPr>
        <w:t>Pseudo-Grosseteste’s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Recherches</w:t>
      </w:r>
      <w:proofErr w:type="spellEnd"/>
      <w:r w:rsidRPr="009D7635">
        <w:rPr>
          <w:rFonts w:ascii="Times New Roman" w:hAnsi="Times New Roman" w:cs="Times New Roman"/>
          <w:i/>
          <w:color w:val="000000" w:themeColor="text1"/>
        </w:rPr>
        <w:t xml:space="preserve"> de </w:t>
      </w:r>
      <w:proofErr w:type="spellStart"/>
      <w:r w:rsidRPr="009D7635">
        <w:rPr>
          <w:rFonts w:ascii="Times New Roman" w:hAnsi="Times New Roman" w:cs="Times New Roman"/>
          <w:i/>
          <w:color w:val="000000" w:themeColor="text1"/>
        </w:rPr>
        <w:t>thólogie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ancienne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médiévale</w:t>
      </w:r>
      <w:proofErr w:type="spellEnd"/>
      <w:r w:rsidRPr="009D7635">
        <w:rPr>
          <w:rFonts w:ascii="Times New Roman" w:hAnsi="Times New Roman" w:cs="Times New Roman"/>
          <w:color w:val="000000" w:themeColor="text1"/>
        </w:rPr>
        <w:t xml:space="preserve"> 13 (1946)</w:t>
      </w:r>
      <w:r w:rsidR="00CA3826"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225-9.</w:t>
      </w:r>
    </w:p>
  </w:footnote>
  <w:footnote w:id="205">
    <w:p w14:paraId="0D9B3F60" w14:textId="4BDD1A0D" w:rsidR="00B93ED5" w:rsidRPr="009D7635" w:rsidRDefault="00B93ED5" w:rsidP="00986E7A">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bCs/>
          <w:color w:val="000000" w:themeColor="text1"/>
          <w:sz w:val="20"/>
          <w:szCs w:val="20"/>
        </w:rPr>
        <w:t xml:space="preserve">René A. Gauthier, ‘Notes </w:t>
      </w:r>
      <w:proofErr w:type="spellStart"/>
      <w:r w:rsidRPr="009D7635">
        <w:rPr>
          <w:rFonts w:ascii="Times New Roman" w:hAnsi="Times New Roman" w:cs="Times New Roman"/>
          <w:bCs/>
          <w:color w:val="000000" w:themeColor="text1"/>
          <w:sz w:val="20"/>
          <w:szCs w:val="20"/>
        </w:rPr>
        <w:t>sur</w:t>
      </w:r>
      <w:proofErr w:type="spellEnd"/>
      <w:r w:rsidRPr="009D7635">
        <w:rPr>
          <w:rFonts w:ascii="Times New Roman" w:hAnsi="Times New Roman" w:cs="Times New Roman"/>
          <w:bCs/>
          <w:color w:val="000000" w:themeColor="text1"/>
          <w:sz w:val="20"/>
          <w:szCs w:val="20"/>
        </w:rPr>
        <w:t xml:space="preserve"> les débuts (1225-1240) du premier </w:t>
      </w:r>
      <w:proofErr w:type="spellStart"/>
      <w:r w:rsidRPr="009D7635">
        <w:rPr>
          <w:rFonts w:ascii="Times New Roman" w:hAnsi="Times New Roman" w:cs="Times New Roman"/>
          <w:bCs/>
          <w:color w:val="000000" w:themeColor="text1"/>
          <w:sz w:val="20"/>
          <w:szCs w:val="20"/>
        </w:rPr>
        <w:t>Averroisme</w:t>
      </w:r>
      <w:proofErr w:type="spellEnd"/>
      <w:r w:rsidRPr="009D7635">
        <w:rPr>
          <w:rFonts w:ascii="Times New Roman" w:hAnsi="Times New Roman" w:cs="Times New Roman"/>
          <w:bCs/>
          <w:color w:val="000000" w:themeColor="text1"/>
          <w:sz w:val="20"/>
          <w:szCs w:val="20"/>
        </w:rPr>
        <w:t xml:space="preserve">,’ </w:t>
      </w:r>
      <w:r w:rsidRPr="009D7635">
        <w:rPr>
          <w:rFonts w:ascii="Times New Roman" w:hAnsi="Times New Roman" w:cs="Times New Roman"/>
          <w:bCs/>
          <w:i/>
          <w:color w:val="000000" w:themeColor="text1"/>
          <w:sz w:val="20"/>
          <w:szCs w:val="20"/>
        </w:rPr>
        <w:t xml:space="preserve">Revue des sciences </w:t>
      </w:r>
      <w:proofErr w:type="spellStart"/>
      <w:r w:rsidRPr="009D7635">
        <w:rPr>
          <w:rFonts w:ascii="Times New Roman" w:hAnsi="Times New Roman" w:cs="Times New Roman"/>
          <w:bCs/>
          <w:i/>
          <w:color w:val="000000" w:themeColor="text1"/>
          <w:sz w:val="20"/>
          <w:szCs w:val="20"/>
        </w:rPr>
        <w:t>philosophiques</w:t>
      </w:r>
      <w:proofErr w:type="spellEnd"/>
      <w:r w:rsidRPr="009D7635">
        <w:rPr>
          <w:rFonts w:ascii="Times New Roman" w:hAnsi="Times New Roman" w:cs="Times New Roman"/>
          <w:bCs/>
          <w:i/>
          <w:color w:val="000000" w:themeColor="text1"/>
          <w:sz w:val="20"/>
          <w:szCs w:val="20"/>
        </w:rPr>
        <w:t xml:space="preserve"> et </w:t>
      </w:r>
      <w:proofErr w:type="spellStart"/>
      <w:r w:rsidRPr="009D7635">
        <w:rPr>
          <w:rFonts w:ascii="Times New Roman" w:hAnsi="Times New Roman" w:cs="Times New Roman"/>
          <w:bCs/>
          <w:i/>
          <w:color w:val="000000" w:themeColor="text1"/>
          <w:sz w:val="20"/>
          <w:szCs w:val="20"/>
        </w:rPr>
        <w:t>théologiques</w:t>
      </w:r>
      <w:proofErr w:type="spellEnd"/>
      <w:r w:rsidRPr="009D7635">
        <w:rPr>
          <w:rFonts w:ascii="Times New Roman" w:hAnsi="Times New Roman" w:cs="Times New Roman"/>
          <w:bCs/>
          <w:i/>
          <w:color w:val="000000" w:themeColor="text1"/>
          <w:sz w:val="20"/>
          <w:szCs w:val="20"/>
        </w:rPr>
        <w:t xml:space="preserve"> </w:t>
      </w:r>
      <w:r w:rsidRPr="009D7635">
        <w:rPr>
          <w:rFonts w:ascii="Times New Roman" w:hAnsi="Times New Roman" w:cs="Times New Roman"/>
          <w:bCs/>
          <w:color w:val="000000" w:themeColor="text1"/>
          <w:sz w:val="20"/>
          <w:szCs w:val="20"/>
        </w:rPr>
        <w:t>66 (1982)</w:t>
      </w:r>
      <w:r w:rsidR="00CA3826" w:rsidRPr="009D7635">
        <w:rPr>
          <w:rFonts w:ascii="Times New Roman" w:hAnsi="Times New Roman" w:cs="Times New Roman"/>
          <w:bCs/>
          <w:color w:val="000000" w:themeColor="text1"/>
          <w:sz w:val="20"/>
          <w:szCs w:val="20"/>
        </w:rPr>
        <w:t>:</w:t>
      </w:r>
      <w:r w:rsidRPr="009D7635">
        <w:rPr>
          <w:rFonts w:ascii="Times New Roman" w:hAnsi="Times New Roman" w:cs="Times New Roman"/>
          <w:bCs/>
          <w:color w:val="000000" w:themeColor="text1"/>
          <w:sz w:val="20"/>
          <w:szCs w:val="20"/>
        </w:rPr>
        <w:t xml:space="preserve"> 322-7. This corrects Roland de </w:t>
      </w:r>
      <w:proofErr w:type="spellStart"/>
      <w:r w:rsidRPr="009D7635">
        <w:rPr>
          <w:rFonts w:ascii="Times New Roman" w:hAnsi="Times New Roman" w:cs="Times New Roman"/>
          <w:bCs/>
          <w:color w:val="000000" w:themeColor="text1"/>
          <w:sz w:val="20"/>
          <w:szCs w:val="20"/>
        </w:rPr>
        <w:t>Vaux</w:t>
      </w:r>
      <w:proofErr w:type="spellEnd"/>
      <w:r w:rsidRPr="009D7635">
        <w:rPr>
          <w:rFonts w:ascii="Times New Roman" w:hAnsi="Times New Roman" w:cs="Times New Roman"/>
          <w:bCs/>
          <w:color w:val="000000" w:themeColor="text1"/>
          <w:sz w:val="20"/>
          <w:szCs w:val="20"/>
        </w:rPr>
        <w:t xml:space="preserve">, </w:t>
      </w:r>
      <w:r w:rsidRPr="009D7635">
        <w:rPr>
          <w:rFonts w:ascii="Times New Roman" w:hAnsi="Times New Roman" w:cs="Times New Roman"/>
          <w:color w:val="000000" w:themeColor="text1"/>
          <w:sz w:val="20"/>
          <w:szCs w:val="20"/>
        </w:rPr>
        <w:t xml:space="preserve">‘La première entrée </w:t>
      </w:r>
      <w:proofErr w:type="spellStart"/>
      <w:r w:rsidRPr="009D7635">
        <w:rPr>
          <w:rFonts w:ascii="Times New Roman" w:hAnsi="Times New Roman" w:cs="Times New Roman"/>
          <w:color w:val="000000" w:themeColor="text1"/>
          <w:sz w:val="20"/>
          <w:szCs w:val="20"/>
        </w:rPr>
        <w:t>d’Averroës</w:t>
      </w:r>
      <w:proofErr w:type="spellEnd"/>
      <w:r w:rsidRPr="009D7635">
        <w:rPr>
          <w:rFonts w:ascii="Times New Roman" w:hAnsi="Times New Roman" w:cs="Times New Roman"/>
          <w:color w:val="000000" w:themeColor="text1"/>
          <w:sz w:val="20"/>
          <w:szCs w:val="20"/>
        </w:rPr>
        <w:t xml:space="preserve"> chez les Latins,’ </w:t>
      </w:r>
      <w:r w:rsidRPr="009D7635">
        <w:rPr>
          <w:rFonts w:ascii="Times New Roman" w:hAnsi="Times New Roman" w:cs="Times New Roman"/>
          <w:bCs/>
          <w:i/>
          <w:iCs/>
          <w:color w:val="000000" w:themeColor="text1"/>
          <w:sz w:val="20"/>
          <w:szCs w:val="20"/>
        </w:rPr>
        <w:t xml:space="preserve">Revue des sciences </w:t>
      </w:r>
      <w:proofErr w:type="spellStart"/>
      <w:r w:rsidRPr="009D7635">
        <w:rPr>
          <w:rFonts w:ascii="Times New Roman" w:hAnsi="Times New Roman" w:cs="Times New Roman"/>
          <w:bCs/>
          <w:i/>
          <w:iCs/>
          <w:color w:val="000000" w:themeColor="text1"/>
          <w:sz w:val="20"/>
          <w:szCs w:val="20"/>
        </w:rPr>
        <w:t>philosophiques</w:t>
      </w:r>
      <w:proofErr w:type="spellEnd"/>
      <w:r w:rsidRPr="009D7635">
        <w:rPr>
          <w:rFonts w:ascii="Times New Roman" w:hAnsi="Times New Roman" w:cs="Times New Roman"/>
          <w:bCs/>
          <w:i/>
          <w:iCs/>
          <w:color w:val="000000" w:themeColor="text1"/>
          <w:sz w:val="20"/>
          <w:szCs w:val="20"/>
        </w:rPr>
        <w:t xml:space="preserve"> et </w:t>
      </w:r>
      <w:proofErr w:type="spellStart"/>
      <w:r w:rsidRPr="009D7635">
        <w:rPr>
          <w:rFonts w:ascii="Times New Roman" w:hAnsi="Times New Roman" w:cs="Times New Roman"/>
          <w:bCs/>
          <w:i/>
          <w:iCs/>
          <w:color w:val="000000" w:themeColor="text1"/>
          <w:sz w:val="20"/>
          <w:szCs w:val="20"/>
        </w:rPr>
        <w:t>théologiques</w:t>
      </w:r>
      <w:proofErr w:type="spellEnd"/>
      <w:r w:rsidRPr="009D7635">
        <w:rPr>
          <w:rFonts w:ascii="Times New Roman" w:hAnsi="Times New Roman" w:cs="Times New Roman"/>
          <w:bCs/>
          <w:i/>
          <w:iCs/>
          <w:color w:val="000000" w:themeColor="text1"/>
          <w:sz w:val="20"/>
          <w:szCs w:val="20"/>
        </w:rPr>
        <w:t xml:space="preserve"> </w:t>
      </w:r>
      <w:r w:rsidRPr="009D7635">
        <w:rPr>
          <w:rFonts w:ascii="Times New Roman" w:hAnsi="Times New Roman" w:cs="Times New Roman"/>
          <w:bCs/>
          <w:iCs/>
          <w:color w:val="000000" w:themeColor="text1"/>
          <w:sz w:val="20"/>
          <w:szCs w:val="20"/>
        </w:rPr>
        <w:t>22 (1933)</w:t>
      </w:r>
      <w:r w:rsidR="00CA3826" w:rsidRPr="009D7635">
        <w:rPr>
          <w:rFonts w:ascii="Times New Roman" w:hAnsi="Times New Roman" w:cs="Times New Roman"/>
          <w:bCs/>
          <w:iCs/>
          <w:color w:val="000000" w:themeColor="text1"/>
          <w:sz w:val="20"/>
          <w:szCs w:val="20"/>
        </w:rPr>
        <w:t>:</w:t>
      </w:r>
      <w:r w:rsidRPr="009D7635">
        <w:rPr>
          <w:rFonts w:ascii="Times New Roman" w:hAnsi="Times New Roman" w:cs="Times New Roman"/>
          <w:bCs/>
          <w:iCs/>
          <w:color w:val="000000" w:themeColor="text1"/>
          <w:sz w:val="20"/>
          <w:szCs w:val="20"/>
        </w:rPr>
        <w:t xml:space="preserve"> 193-245.</w:t>
      </w:r>
      <w:r w:rsidRPr="009D7635">
        <w:rPr>
          <w:rFonts w:ascii="Times New Roman" w:hAnsi="Times New Roman" w:cs="Times New Roman"/>
          <w:b/>
          <w:bCs/>
          <w:iCs/>
          <w:color w:val="000000" w:themeColor="text1"/>
          <w:sz w:val="20"/>
          <w:szCs w:val="20"/>
        </w:rPr>
        <w:t xml:space="preserve"> </w:t>
      </w:r>
    </w:p>
  </w:footnote>
  <w:footnote w:id="206">
    <w:p w14:paraId="28CAB21B" w14:textId="4F3783CA" w:rsidR="00FE7ED2" w:rsidRPr="009D7635" w:rsidRDefault="00FE7ED2" w:rsidP="00FE7ED2">
      <w:pPr>
        <w:pStyle w:val="Default"/>
        <w:rPr>
          <w:rFonts w:ascii="Times New Roman" w:hAnsi="Times New Roman" w:cs="Times New Roman"/>
          <w:b/>
          <w:bCs/>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bCs/>
          <w:color w:val="000000" w:themeColor="text1"/>
          <w:sz w:val="20"/>
          <w:szCs w:val="20"/>
        </w:rPr>
        <w:t xml:space="preserve">Richard C. Dales, </w:t>
      </w:r>
      <w:r w:rsidRPr="009D7635">
        <w:rPr>
          <w:rFonts w:ascii="Times New Roman" w:hAnsi="Times New Roman" w:cs="Times New Roman"/>
          <w:bCs/>
          <w:i/>
          <w:color w:val="000000" w:themeColor="text1"/>
          <w:sz w:val="20"/>
          <w:szCs w:val="20"/>
        </w:rPr>
        <w:t>The Problem of the Rational Soul</w:t>
      </w:r>
      <w:r w:rsidRPr="009D7635">
        <w:rPr>
          <w:rFonts w:ascii="Times New Roman" w:hAnsi="Times New Roman" w:cs="Times New Roman"/>
          <w:bCs/>
          <w:iCs/>
          <w:color w:val="000000" w:themeColor="text1"/>
          <w:sz w:val="20"/>
          <w:szCs w:val="20"/>
        </w:rPr>
        <w:t>,</w:t>
      </w:r>
      <w:r w:rsidRPr="009D7635">
        <w:rPr>
          <w:rFonts w:ascii="Times New Roman" w:hAnsi="Times New Roman" w:cs="Times New Roman"/>
          <w:bCs/>
          <w:i/>
          <w:color w:val="000000" w:themeColor="text1"/>
          <w:sz w:val="20"/>
          <w:szCs w:val="20"/>
        </w:rPr>
        <w:t xml:space="preserve"> </w:t>
      </w:r>
      <w:r w:rsidRPr="009D7635">
        <w:rPr>
          <w:rFonts w:ascii="Times New Roman" w:hAnsi="Times New Roman" w:cs="Times New Roman"/>
          <w:bCs/>
          <w:color w:val="000000" w:themeColor="text1"/>
          <w:sz w:val="20"/>
          <w:szCs w:val="20"/>
        </w:rPr>
        <w:t xml:space="preserve">25: </w:t>
      </w:r>
      <w:r w:rsidR="00E07939" w:rsidRPr="009D7635">
        <w:rPr>
          <w:rFonts w:ascii="Times New Roman" w:hAnsi="Times New Roman" w:cs="Times New Roman"/>
          <w:bCs/>
          <w:color w:val="000000" w:themeColor="text1"/>
          <w:sz w:val="20"/>
          <w:szCs w:val="20"/>
        </w:rPr>
        <w:t>‘The</w:t>
      </w:r>
      <w:r w:rsidRPr="009D7635">
        <w:rPr>
          <w:rFonts w:ascii="Times New Roman" w:hAnsi="Times New Roman" w:cs="Times New Roman"/>
          <w:color w:val="000000" w:themeColor="text1"/>
          <w:sz w:val="20"/>
          <w:szCs w:val="20"/>
        </w:rPr>
        <w:t xml:space="preserve"> fragmentary anonymous </w:t>
      </w:r>
      <w:r w:rsidRPr="009D7635">
        <w:rPr>
          <w:rFonts w:ascii="Times New Roman" w:hAnsi="Times New Roman" w:cs="Times New Roman"/>
          <w:i/>
          <w:iCs/>
          <w:color w:val="000000" w:themeColor="text1"/>
          <w:sz w:val="20"/>
          <w:szCs w:val="20"/>
        </w:rPr>
        <w:t xml:space="preserve">Summa </w:t>
      </w:r>
      <w:proofErr w:type="spellStart"/>
      <w:r w:rsidRPr="009D7635">
        <w:rPr>
          <w:rFonts w:ascii="Times New Roman" w:hAnsi="Times New Roman" w:cs="Times New Roman"/>
          <w:i/>
          <w:iCs/>
          <w:color w:val="000000" w:themeColor="text1"/>
          <w:sz w:val="20"/>
          <w:szCs w:val="20"/>
        </w:rPr>
        <w:t>Duacensis</w:t>
      </w:r>
      <w:proofErr w:type="spellEnd"/>
      <w:r w:rsidR="0093531F" w:rsidRPr="009D7635">
        <w:rPr>
          <w:rFonts w:ascii="Times New Roman" w:hAnsi="Times New Roman" w:cs="Times New Roman"/>
          <w:color w:val="000000" w:themeColor="text1"/>
          <w:sz w:val="20"/>
          <w:szCs w:val="20"/>
        </w:rPr>
        <w:t xml:space="preserve"> [is] </w:t>
      </w:r>
      <w:r w:rsidRPr="009D7635">
        <w:rPr>
          <w:rFonts w:ascii="Times New Roman" w:hAnsi="Times New Roman" w:cs="Times New Roman"/>
          <w:color w:val="000000" w:themeColor="text1"/>
          <w:sz w:val="20"/>
          <w:szCs w:val="20"/>
        </w:rPr>
        <w:t xml:space="preserve">a work that is very similar to those parts of the </w:t>
      </w:r>
      <w:r w:rsidRPr="009D7635">
        <w:rPr>
          <w:rFonts w:ascii="Times New Roman" w:hAnsi="Times New Roman" w:cs="Times New Roman"/>
          <w:i/>
          <w:iCs/>
          <w:color w:val="000000" w:themeColor="text1"/>
          <w:sz w:val="20"/>
          <w:szCs w:val="20"/>
        </w:rPr>
        <w:t xml:space="preserve">Summa de bono </w:t>
      </w:r>
      <w:r w:rsidRPr="009D7635">
        <w:rPr>
          <w:rFonts w:ascii="Times New Roman" w:hAnsi="Times New Roman" w:cs="Times New Roman"/>
          <w:color w:val="000000" w:themeColor="text1"/>
          <w:sz w:val="20"/>
          <w:szCs w:val="20"/>
        </w:rPr>
        <w:t xml:space="preserve">with which it coincides. </w:t>
      </w:r>
      <w:proofErr w:type="spellStart"/>
      <w:r w:rsidRPr="009D7635">
        <w:rPr>
          <w:rFonts w:ascii="Times New Roman" w:hAnsi="Times New Roman" w:cs="Times New Roman"/>
          <w:color w:val="000000" w:themeColor="text1"/>
          <w:sz w:val="20"/>
          <w:szCs w:val="20"/>
        </w:rPr>
        <w:t>Victorin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Doucet</w:t>
      </w:r>
      <w:proofErr w:type="spellEnd"/>
      <w:r w:rsidRPr="009D7635">
        <w:rPr>
          <w:rFonts w:ascii="Times New Roman" w:hAnsi="Times New Roman" w:cs="Times New Roman"/>
          <w:color w:val="000000" w:themeColor="text1"/>
          <w:sz w:val="20"/>
          <w:szCs w:val="20"/>
        </w:rPr>
        <w:t xml:space="preserve"> attributed the similarity to the fact that the </w:t>
      </w:r>
      <w:r w:rsidRPr="009D7635">
        <w:rPr>
          <w:rFonts w:ascii="Times New Roman" w:hAnsi="Times New Roman" w:cs="Times New Roman"/>
          <w:i/>
          <w:iCs/>
          <w:color w:val="000000" w:themeColor="text1"/>
          <w:sz w:val="20"/>
          <w:szCs w:val="20"/>
        </w:rPr>
        <w:t xml:space="preserve">Summa </w:t>
      </w:r>
      <w:proofErr w:type="spellStart"/>
      <w:r w:rsidRPr="009D7635">
        <w:rPr>
          <w:rFonts w:ascii="Times New Roman" w:hAnsi="Times New Roman" w:cs="Times New Roman"/>
          <w:i/>
          <w:iCs/>
          <w:color w:val="000000" w:themeColor="text1"/>
          <w:sz w:val="20"/>
          <w:szCs w:val="20"/>
        </w:rPr>
        <w:t>Duacensis</w:t>
      </w:r>
      <w:proofErr w:type="spellEnd"/>
      <w:r w:rsidRPr="009D7635">
        <w:rPr>
          <w:rFonts w:ascii="Times New Roman" w:hAnsi="Times New Roman" w:cs="Times New Roman"/>
          <w:i/>
          <w:iCs/>
          <w:color w:val="000000" w:themeColor="text1"/>
          <w:sz w:val="20"/>
          <w:szCs w:val="20"/>
        </w:rPr>
        <w:t xml:space="preserve"> </w:t>
      </w:r>
      <w:r w:rsidRPr="009D7635">
        <w:rPr>
          <w:rFonts w:ascii="Times New Roman" w:hAnsi="Times New Roman" w:cs="Times New Roman"/>
          <w:color w:val="000000" w:themeColor="text1"/>
          <w:sz w:val="20"/>
          <w:szCs w:val="20"/>
        </w:rPr>
        <w:t xml:space="preserve">was not a finished work prepared by the author for publication, but rather an early version of the material that Philip put into final form in the </w:t>
      </w:r>
      <w:r w:rsidRPr="009D7635">
        <w:rPr>
          <w:rFonts w:ascii="Times New Roman" w:hAnsi="Times New Roman" w:cs="Times New Roman"/>
          <w:i/>
          <w:iCs/>
          <w:color w:val="000000" w:themeColor="text1"/>
          <w:sz w:val="20"/>
          <w:szCs w:val="20"/>
        </w:rPr>
        <w:t xml:space="preserve">Summa de bono. </w:t>
      </w:r>
      <w:proofErr w:type="spellStart"/>
      <w:r w:rsidRPr="009D7635">
        <w:rPr>
          <w:rFonts w:ascii="Times New Roman" w:hAnsi="Times New Roman" w:cs="Times New Roman"/>
          <w:color w:val="000000" w:themeColor="text1"/>
          <w:sz w:val="20"/>
          <w:szCs w:val="20"/>
        </w:rPr>
        <w:t>Palémon</w:t>
      </w:r>
      <w:proofErr w:type="spellEnd"/>
      <w:r w:rsidRPr="009D7635">
        <w:rPr>
          <w:rFonts w:ascii="Times New Roman" w:hAnsi="Times New Roman" w:cs="Times New Roman"/>
          <w:color w:val="000000" w:themeColor="text1"/>
          <w:sz w:val="20"/>
          <w:szCs w:val="20"/>
        </w:rPr>
        <w:t xml:space="preserve"> Glorieux, however, the editor of the </w:t>
      </w:r>
      <w:r w:rsidRPr="009D7635">
        <w:rPr>
          <w:rFonts w:ascii="Times New Roman" w:hAnsi="Times New Roman" w:cs="Times New Roman"/>
          <w:i/>
          <w:iCs/>
          <w:color w:val="000000" w:themeColor="text1"/>
          <w:sz w:val="20"/>
          <w:szCs w:val="20"/>
        </w:rPr>
        <w:t xml:space="preserve">Summa </w:t>
      </w:r>
      <w:proofErr w:type="spellStart"/>
      <w:r w:rsidRPr="009D7635">
        <w:rPr>
          <w:rFonts w:ascii="Times New Roman" w:hAnsi="Times New Roman" w:cs="Times New Roman"/>
          <w:i/>
          <w:iCs/>
          <w:color w:val="000000" w:themeColor="text1"/>
          <w:sz w:val="20"/>
          <w:szCs w:val="20"/>
        </w:rPr>
        <w:t>Duacensis</w:t>
      </w:r>
      <w:proofErr w:type="spellEnd"/>
      <w:r w:rsidRPr="009D7635">
        <w:rPr>
          <w:rFonts w:ascii="Times New Roman" w:hAnsi="Times New Roman" w:cs="Times New Roman"/>
          <w:color w:val="000000" w:themeColor="text1"/>
          <w:sz w:val="20"/>
          <w:szCs w:val="20"/>
        </w:rPr>
        <w:t xml:space="preserve">, has judged that there are too many differences of “style and presentation” for this to be the case and attributes it to an unknown master; but he also considers the </w:t>
      </w:r>
      <w:r w:rsidRPr="009D7635">
        <w:rPr>
          <w:rFonts w:ascii="Times New Roman" w:hAnsi="Times New Roman" w:cs="Times New Roman"/>
          <w:i/>
          <w:iCs/>
          <w:color w:val="000000" w:themeColor="text1"/>
          <w:sz w:val="20"/>
          <w:szCs w:val="20"/>
        </w:rPr>
        <w:t xml:space="preserve">Summa </w:t>
      </w:r>
      <w:proofErr w:type="spellStart"/>
      <w:r w:rsidRPr="009D7635">
        <w:rPr>
          <w:rFonts w:ascii="Times New Roman" w:hAnsi="Times New Roman" w:cs="Times New Roman"/>
          <w:i/>
          <w:iCs/>
          <w:color w:val="000000" w:themeColor="text1"/>
          <w:sz w:val="20"/>
          <w:szCs w:val="20"/>
        </w:rPr>
        <w:t>Duacensis</w:t>
      </w:r>
      <w:proofErr w:type="spellEnd"/>
      <w:r w:rsidRPr="009D7635">
        <w:rPr>
          <w:rFonts w:ascii="Times New Roman" w:hAnsi="Times New Roman" w:cs="Times New Roman"/>
          <w:i/>
          <w:iCs/>
          <w:color w:val="000000" w:themeColor="text1"/>
          <w:sz w:val="20"/>
          <w:szCs w:val="20"/>
        </w:rPr>
        <w:t xml:space="preserve"> </w:t>
      </w:r>
      <w:r w:rsidRPr="009D7635">
        <w:rPr>
          <w:rFonts w:ascii="Times New Roman" w:hAnsi="Times New Roman" w:cs="Times New Roman"/>
          <w:color w:val="000000" w:themeColor="text1"/>
          <w:sz w:val="20"/>
          <w:szCs w:val="20"/>
        </w:rPr>
        <w:t xml:space="preserve">to be the earlier work. Nicolas </w:t>
      </w:r>
      <w:proofErr w:type="spellStart"/>
      <w:r w:rsidRPr="009D7635">
        <w:rPr>
          <w:rFonts w:ascii="Times New Roman" w:hAnsi="Times New Roman" w:cs="Times New Roman"/>
          <w:color w:val="000000" w:themeColor="text1"/>
          <w:sz w:val="20"/>
          <w:szCs w:val="20"/>
        </w:rPr>
        <w:t>Wicki</w:t>
      </w:r>
      <w:proofErr w:type="spellEnd"/>
      <w:r w:rsidRPr="009D7635">
        <w:rPr>
          <w:rFonts w:ascii="Times New Roman" w:hAnsi="Times New Roman" w:cs="Times New Roman"/>
          <w:color w:val="000000" w:themeColor="text1"/>
          <w:sz w:val="20"/>
          <w:szCs w:val="20"/>
        </w:rPr>
        <w:t xml:space="preserve">, the editor of the </w:t>
      </w:r>
      <w:r w:rsidRPr="009D7635">
        <w:rPr>
          <w:rFonts w:ascii="Times New Roman" w:hAnsi="Times New Roman" w:cs="Times New Roman"/>
          <w:i/>
          <w:iCs/>
          <w:color w:val="000000" w:themeColor="text1"/>
          <w:sz w:val="20"/>
          <w:szCs w:val="20"/>
        </w:rPr>
        <w:t>Summa de bono</w:t>
      </w:r>
      <w:r w:rsidRPr="009D7635">
        <w:rPr>
          <w:rFonts w:ascii="Times New Roman" w:hAnsi="Times New Roman" w:cs="Times New Roman"/>
          <w:color w:val="000000" w:themeColor="text1"/>
          <w:sz w:val="20"/>
          <w:szCs w:val="20"/>
        </w:rPr>
        <w:t>,</w:t>
      </w:r>
      <w:r w:rsidRPr="009D7635">
        <w:rPr>
          <w:rFonts w:ascii="Times New Roman" w:hAnsi="Times New Roman" w:cs="Times New Roman"/>
          <w:i/>
          <w:iCs/>
          <w:color w:val="000000" w:themeColor="text1"/>
          <w:sz w:val="20"/>
          <w:szCs w:val="20"/>
        </w:rPr>
        <w:t xml:space="preserve"> </w:t>
      </w:r>
      <w:r w:rsidRPr="009D7635">
        <w:rPr>
          <w:rFonts w:ascii="Times New Roman" w:hAnsi="Times New Roman" w:cs="Times New Roman"/>
          <w:color w:val="000000" w:themeColor="text1"/>
          <w:sz w:val="20"/>
          <w:szCs w:val="20"/>
        </w:rPr>
        <w:t xml:space="preserve">presents the opinions of </w:t>
      </w:r>
      <w:proofErr w:type="spellStart"/>
      <w:r w:rsidRPr="009D7635">
        <w:rPr>
          <w:rFonts w:ascii="Times New Roman" w:hAnsi="Times New Roman" w:cs="Times New Roman"/>
          <w:color w:val="000000" w:themeColor="text1"/>
          <w:sz w:val="20"/>
          <w:szCs w:val="20"/>
        </w:rPr>
        <w:t>Doucet</w:t>
      </w:r>
      <w:proofErr w:type="spellEnd"/>
      <w:r w:rsidRPr="009D7635">
        <w:rPr>
          <w:rFonts w:ascii="Times New Roman" w:hAnsi="Times New Roman" w:cs="Times New Roman"/>
          <w:color w:val="000000" w:themeColor="text1"/>
          <w:sz w:val="20"/>
          <w:szCs w:val="20"/>
        </w:rPr>
        <w:t xml:space="preserve"> and Glorieux without attempting a solution, remarking that both schools of thought have found their champions. I personally think that </w:t>
      </w:r>
      <w:proofErr w:type="spellStart"/>
      <w:r w:rsidRPr="009D7635">
        <w:rPr>
          <w:rFonts w:ascii="Times New Roman" w:hAnsi="Times New Roman" w:cs="Times New Roman"/>
          <w:color w:val="000000" w:themeColor="text1"/>
          <w:sz w:val="20"/>
          <w:szCs w:val="20"/>
        </w:rPr>
        <w:t>Doucet's</w:t>
      </w:r>
      <w:proofErr w:type="spellEnd"/>
      <w:r w:rsidRPr="009D7635">
        <w:rPr>
          <w:rFonts w:ascii="Times New Roman" w:hAnsi="Times New Roman" w:cs="Times New Roman"/>
          <w:color w:val="000000" w:themeColor="text1"/>
          <w:sz w:val="20"/>
          <w:szCs w:val="20"/>
        </w:rPr>
        <w:t xml:space="preserve"> case is the more probable. But the hard evidence is slight and the arguments on both sides tenuous, and in any case it was through Philip's work that these views influenced generations of Latin thinkers.’ See also </w:t>
      </w:r>
      <w:proofErr w:type="spellStart"/>
      <w:r w:rsidRPr="009D7635">
        <w:rPr>
          <w:rFonts w:ascii="Times New Roman" w:hAnsi="Times New Roman" w:cs="Times New Roman"/>
          <w:color w:val="000000" w:themeColor="text1"/>
          <w:sz w:val="20"/>
          <w:szCs w:val="20"/>
        </w:rPr>
        <w:t>Victorin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Doucet</w:t>
      </w:r>
      <w:proofErr w:type="spellEnd"/>
      <w:r w:rsidRPr="009D7635">
        <w:rPr>
          <w:rFonts w:ascii="Times New Roman" w:hAnsi="Times New Roman" w:cs="Times New Roman"/>
          <w:color w:val="000000" w:themeColor="text1"/>
          <w:sz w:val="20"/>
          <w:szCs w:val="20"/>
        </w:rPr>
        <w:t xml:space="preserve">, ‘A travers </w:t>
      </w:r>
      <w:proofErr w:type="spellStart"/>
      <w:r w:rsidRPr="009D7635">
        <w:rPr>
          <w:rFonts w:ascii="Times New Roman" w:hAnsi="Times New Roman" w:cs="Times New Roman"/>
          <w:color w:val="000000" w:themeColor="text1"/>
          <w:sz w:val="20"/>
          <w:szCs w:val="20"/>
        </w:rPr>
        <w:t>le</w:t>
      </w:r>
      <w:proofErr w:type="spellEnd"/>
      <w:r w:rsidRPr="009D7635">
        <w:rPr>
          <w:rFonts w:ascii="Times New Roman" w:hAnsi="Times New Roman" w:cs="Times New Roman"/>
          <w:color w:val="000000" w:themeColor="text1"/>
          <w:sz w:val="20"/>
          <w:szCs w:val="20"/>
        </w:rPr>
        <w:t xml:space="preserve"> manuscript 434 de Douai,’ </w:t>
      </w:r>
      <w:proofErr w:type="spellStart"/>
      <w:r w:rsidRPr="009D7635">
        <w:rPr>
          <w:rFonts w:ascii="Times New Roman" w:hAnsi="Times New Roman" w:cs="Times New Roman"/>
          <w:i/>
          <w:color w:val="000000" w:themeColor="text1"/>
          <w:sz w:val="20"/>
          <w:szCs w:val="20"/>
        </w:rPr>
        <w:t>Antonianum</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27 (1952), 531-80. </w:t>
      </w:r>
      <w:proofErr w:type="spellStart"/>
      <w:r w:rsidRPr="009D7635">
        <w:rPr>
          <w:rFonts w:ascii="Times New Roman" w:hAnsi="Times New Roman" w:cs="Times New Roman"/>
          <w:color w:val="000000" w:themeColor="text1"/>
          <w:sz w:val="20"/>
          <w:szCs w:val="20"/>
        </w:rPr>
        <w:t>Palemon</w:t>
      </w:r>
      <w:proofErr w:type="spellEnd"/>
      <w:r w:rsidRPr="009D7635">
        <w:rPr>
          <w:rFonts w:ascii="Times New Roman" w:hAnsi="Times New Roman" w:cs="Times New Roman"/>
          <w:color w:val="000000" w:themeColor="text1"/>
          <w:sz w:val="20"/>
          <w:szCs w:val="20"/>
        </w:rPr>
        <w:t xml:space="preserve"> Glorieux, ed. </w:t>
      </w:r>
      <w:r w:rsidRPr="009D7635">
        <w:rPr>
          <w:rFonts w:ascii="Times New Roman" w:hAnsi="Times New Roman" w:cs="Times New Roman"/>
          <w:i/>
          <w:color w:val="000000" w:themeColor="text1"/>
          <w:sz w:val="20"/>
          <w:szCs w:val="20"/>
        </w:rPr>
        <w:t xml:space="preserve">La ‘Summa </w:t>
      </w:r>
      <w:proofErr w:type="spellStart"/>
      <w:r w:rsidRPr="009D7635">
        <w:rPr>
          <w:rFonts w:ascii="Times New Roman" w:hAnsi="Times New Roman" w:cs="Times New Roman"/>
          <w:i/>
          <w:color w:val="000000" w:themeColor="text1"/>
          <w:sz w:val="20"/>
          <w:szCs w:val="20"/>
        </w:rPr>
        <w:t>Duacensis</w:t>
      </w:r>
      <w:proofErr w:type="spellEnd"/>
      <w:r w:rsidRPr="009D7635">
        <w:rPr>
          <w:rFonts w:ascii="Times New Roman" w:hAnsi="Times New Roman" w:cs="Times New Roman"/>
          <w:i/>
          <w:color w:val="000000" w:themeColor="text1"/>
          <w:sz w:val="20"/>
          <w:szCs w:val="20"/>
        </w:rPr>
        <w:t xml:space="preserve">’ (Douai 434) </w:t>
      </w:r>
      <w:r w:rsidRPr="009D7635">
        <w:rPr>
          <w:rFonts w:ascii="Times New Roman" w:hAnsi="Times New Roman" w:cs="Times New Roman"/>
          <w:color w:val="000000" w:themeColor="text1"/>
          <w:sz w:val="20"/>
          <w:szCs w:val="20"/>
        </w:rPr>
        <w:t xml:space="preserve">(Paris: Vrin, 1955), 10. Idem, ‘Les </w:t>
      </w:r>
      <w:r w:rsidRPr="009D7635">
        <w:rPr>
          <w:rFonts w:ascii="Times New Roman" w:hAnsi="Times New Roman" w:cs="Times New Roman"/>
          <w:bCs/>
          <w:color w:val="000000" w:themeColor="text1"/>
          <w:sz w:val="20"/>
          <w:szCs w:val="20"/>
        </w:rPr>
        <w:t xml:space="preserve">572 Questions du </w:t>
      </w:r>
      <w:proofErr w:type="spellStart"/>
      <w:r w:rsidRPr="009D7635">
        <w:rPr>
          <w:rFonts w:ascii="Times New Roman" w:hAnsi="Times New Roman" w:cs="Times New Roman"/>
          <w:bCs/>
          <w:color w:val="000000" w:themeColor="text1"/>
          <w:sz w:val="20"/>
          <w:szCs w:val="20"/>
        </w:rPr>
        <w:t>manuscrit</w:t>
      </w:r>
      <w:proofErr w:type="spellEnd"/>
      <w:r w:rsidRPr="009D7635">
        <w:rPr>
          <w:rFonts w:ascii="Times New Roman" w:hAnsi="Times New Roman" w:cs="Times New Roman"/>
          <w:bCs/>
          <w:color w:val="000000" w:themeColor="text1"/>
          <w:sz w:val="20"/>
          <w:szCs w:val="20"/>
        </w:rPr>
        <w:t xml:space="preserve"> de Douai 434,’ </w:t>
      </w:r>
      <w:proofErr w:type="spellStart"/>
      <w:r w:rsidRPr="009D7635">
        <w:rPr>
          <w:rFonts w:ascii="Times New Roman" w:hAnsi="Times New Roman" w:cs="Times New Roman"/>
          <w:bCs/>
          <w:i/>
          <w:color w:val="000000" w:themeColor="text1"/>
          <w:sz w:val="20"/>
          <w:szCs w:val="20"/>
        </w:rPr>
        <w:t>Recherches</w:t>
      </w:r>
      <w:proofErr w:type="spellEnd"/>
      <w:r w:rsidRPr="009D7635">
        <w:rPr>
          <w:rFonts w:ascii="Times New Roman" w:hAnsi="Times New Roman" w:cs="Times New Roman"/>
          <w:bCs/>
          <w:i/>
          <w:color w:val="000000" w:themeColor="text1"/>
          <w:sz w:val="20"/>
          <w:szCs w:val="20"/>
        </w:rPr>
        <w:t xml:space="preserve"> de </w:t>
      </w:r>
      <w:proofErr w:type="spellStart"/>
      <w:r w:rsidRPr="009D7635">
        <w:rPr>
          <w:rFonts w:ascii="Times New Roman" w:hAnsi="Times New Roman" w:cs="Times New Roman"/>
          <w:bCs/>
          <w:i/>
          <w:color w:val="000000" w:themeColor="text1"/>
          <w:sz w:val="20"/>
          <w:szCs w:val="20"/>
        </w:rPr>
        <w:t>théologie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ancienne</w:t>
      </w:r>
      <w:proofErr w:type="spellEnd"/>
      <w:r w:rsidRPr="009D7635">
        <w:rPr>
          <w:rFonts w:ascii="Times New Roman" w:hAnsi="Times New Roman" w:cs="Times New Roman"/>
          <w:bCs/>
          <w:i/>
          <w:color w:val="000000" w:themeColor="text1"/>
          <w:sz w:val="20"/>
          <w:szCs w:val="20"/>
        </w:rPr>
        <w:t xml:space="preserve"> et </w:t>
      </w:r>
      <w:proofErr w:type="spellStart"/>
      <w:r w:rsidRPr="009D7635">
        <w:rPr>
          <w:rFonts w:ascii="Times New Roman" w:hAnsi="Times New Roman" w:cs="Times New Roman"/>
          <w:bCs/>
          <w:i/>
          <w:color w:val="000000" w:themeColor="text1"/>
          <w:sz w:val="20"/>
          <w:szCs w:val="20"/>
        </w:rPr>
        <w:t>médiévale</w:t>
      </w:r>
      <w:proofErr w:type="spellEnd"/>
      <w:r w:rsidRPr="009D7635">
        <w:rPr>
          <w:rFonts w:ascii="Times New Roman" w:hAnsi="Times New Roman" w:cs="Times New Roman"/>
          <w:bCs/>
          <w:i/>
          <w:color w:val="000000" w:themeColor="text1"/>
          <w:sz w:val="20"/>
          <w:szCs w:val="20"/>
        </w:rPr>
        <w:t xml:space="preserve"> </w:t>
      </w:r>
      <w:r w:rsidRPr="009D7635">
        <w:rPr>
          <w:rFonts w:ascii="Times New Roman" w:hAnsi="Times New Roman" w:cs="Times New Roman"/>
          <w:bCs/>
          <w:color w:val="000000" w:themeColor="text1"/>
          <w:sz w:val="20"/>
          <w:szCs w:val="20"/>
        </w:rPr>
        <w:t>10 (1938)</w:t>
      </w:r>
      <w:r w:rsidR="002D5814" w:rsidRPr="009D7635">
        <w:rPr>
          <w:rFonts w:ascii="Times New Roman" w:hAnsi="Times New Roman" w:cs="Times New Roman"/>
          <w:bCs/>
          <w:color w:val="000000" w:themeColor="text1"/>
          <w:sz w:val="20"/>
          <w:szCs w:val="20"/>
        </w:rPr>
        <w:t>:</w:t>
      </w:r>
      <w:r w:rsidRPr="009D7635">
        <w:rPr>
          <w:rFonts w:ascii="Times New Roman" w:hAnsi="Times New Roman" w:cs="Times New Roman"/>
          <w:bCs/>
          <w:color w:val="000000" w:themeColor="text1"/>
          <w:sz w:val="20"/>
          <w:szCs w:val="20"/>
        </w:rPr>
        <w:t xml:space="preserve"> 112-34. See also </w:t>
      </w:r>
      <w:proofErr w:type="spellStart"/>
      <w:r w:rsidRPr="009D7635">
        <w:rPr>
          <w:rFonts w:ascii="Times New Roman" w:hAnsi="Times New Roman" w:cs="Times New Roman"/>
          <w:bCs/>
          <w:color w:val="000000" w:themeColor="text1"/>
          <w:sz w:val="20"/>
          <w:szCs w:val="20"/>
        </w:rPr>
        <w:t>Wicki’s</w:t>
      </w:r>
      <w:proofErr w:type="spellEnd"/>
      <w:r w:rsidRPr="009D7635">
        <w:rPr>
          <w:rFonts w:ascii="Times New Roman" w:hAnsi="Times New Roman" w:cs="Times New Roman"/>
          <w:bCs/>
          <w:color w:val="000000" w:themeColor="text1"/>
          <w:sz w:val="20"/>
          <w:szCs w:val="20"/>
        </w:rPr>
        <w:t xml:space="preserve"> Introduction in </w:t>
      </w:r>
      <w:r w:rsidRPr="009D7635">
        <w:rPr>
          <w:rFonts w:ascii="Times New Roman" w:hAnsi="Times New Roman" w:cs="Times New Roman"/>
          <w:bCs/>
          <w:i/>
          <w:color w:val="000000" w:themeColor="text1"/>
          <w:sz w:val="20"/>
          <w:szCs w:val="20"/>
        </w:rPr>
        <w:t>Summa de bono</w:t>
      </w:r>
      <w:r w:rsidRPr="009D7635">
        <w:rPr>
          <w:rFonts w:ascii="Times New Roman" w:hAnsi="Times New Roman" w:cs="Times New Roman"/>
          <w:bCs/>
          <w:iCs/>
          <w:color w:val="000000" w:themeColor="text1"/>
          <w:sz w:val="20"/>
          <w:szCs w:val="20"/>
        </w:rPr>
        <w:t>,</w:t>
      </w:r>
      <w:r w:rsidRPr="009D7635">
        <w:rPr>
          <w:rFonts w:ascii="Times New Roman" w:hAnsi="Times New Roman" w:cs="Times New Roman"/>
          <w:bCs/>
          <w:i/>
          <w:color w:val="000000" w:themeColor="text1"/>
          <w:sz w:val="20"/>
          <w:szCs w:val="20"/>
        </w:rPr>
        <w:t xml:space="preserve"> </w:t>
      </w:r>
      <w:r w:rsidRPr="009D7635">
        <w:rPr>
          <w:rFonts w:ascii="Times New Roman" w:hAnsi="Times New Roman" w:cs="Times New Roman"/>
          <w:bCs/>
          <w:color w:val="000000" w:themeColor="text1"/>
          <w:sz w:val="20"/>
          <w:szCs w:val="20"/>
        </w:rPr>
        <w:t>49.</w:t>
      </w:r>
      <w:r w:rsidRPr="009D7635">
        <w:rPr>
          <w:rFonts w:ascii="Times New Roman" w:hAnsi="Times New Roman" w:cs="Times New Roman"/>
          <w:b/>
          <w:bCs/>
          <w:i/>
          <w:color w:val="000000" w:themeColor="text1"/>
          <w:sz w:val="20"/>
          <w:szCs w:val="20"/>
        </w:rPr>
        <w:t xml:space="preserve">  </w:t>
      </w:r>
    </w:p>
  </w:footnote>
  <w:footnote w:id="207">
    <w:p w14:paraId="04DAA844"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bono</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155-6.</w:t>
      </w:r>
    </w:p>
  </w:footnote>
  <w:footnote w:id="208">
    <w:p w14:paraId="6B5640EC" w14:textId="4BB494EC" w:rsidR="00BD2A4D" w:rsidRPr="009D7635" w:rsidRDefault="00BD2A4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See also Christian </w:t>
      </w:r>
      <w:proofErr w:type="spellStart"/>
      <w:r w:rsidRPr="009D7635">
        <w:rPr>
          <w:rFonts w:ascii="Times New Roman" w:hAnsi="Times New Roman" w:cs="Times New Roman"/>
          <w:color w:val="000000" w:themeColor="text1"/>
        </w:rPr>
        <w:t>Trottmann</w:t>
      </w:r>
      <w:proofErr w:type="spellEnd"/>
      <w:r w:rsidRPr="009D7635">
        <w:rPr>
          <w:rFonts w:ascii="Times New Roman" w:hAnsi="Times New Roman" w:cs="Times New Roman"/>
          <w:color w:val="000000" w:themeColor="text1"/>
        </w:rPr>
        <w:t xml:space="preserve">, ‘Science et </w:t>
      </w:r>
      <w:proofErr w:type="spellStart"/>
      <w:r w:rsidRPr="009D7635">
        <w:rPr>
          <w:rFonts w:ascii="Times New Roman" w:hAnsi="Times New Roman" w:cs="Times New Roman"/>
          <w:color w:val="000000" w:themeColor="text1"/>
        </w:rPr>
        <w:t>sagesse</w:t>
      </w:r>
      <w:proofErr w:type="spellEnd"/>
      <w:r w:rsidRPr="009D7635">
        <w:rPr>
          <w:rFonts w:ascii="Times New Roman" w:hAnsi="Times New Roman" w:cs="Times New Roman"/>
          <w:color w:val="000000" w:themeColor="text1"/>
        </w:rPr>
        <w:t xml:space="preserve"> dans la </w:t>
      </w:r>
      <w:r w:rsidRPr="009D7635">
        <w:rPr>
          <w:rFonts w:ascii="Times New Roman" w:hAnsi="Times New Roman" w:cs="Times New Roman"/>
          <w:i/>
          <w:color w:val="000000" w:themeColor="text1"/>
        </w:rPr>
        <w:t>Summa de bono</w:t>
      </w:r>
      <w:r w:rsidRPr="009D7635">
        <w:rPr>
          <w:rFonts w:ascii="Times New Roman" w:hAnsi="Times New Roman" w:cs="Times New Roman"/>
          <w:color w:val="000000" w:themeColor="text1"/>
        </w:rPr>
        <w:t xml:space="preserve"> de Philippe le </w:t>
      </w:r>
      <w:proofErr w:type="spellStart"/>
      <w:r w:rsidRPr="009D7635">
        <w:rPr>
          <w:rFonts w:ascii="Times New Roman" w:hAnsi="Times New Roman" w:cs="Times New Roman"/>
          <w:color w:val="000000" w:themeColor="text1"/>
        </w:rPr>
        <w:t>Chancelier</w:t>
      </w:r>
      <w:proofErr w:type="spellEnd"/>
      <w:r w:rsidRPr="009D7635">
        <w:rPr>
          <w:rFonts w:ascii="Times New Roman" w:hAnsi="Times New Roman" w:cs="Times New Roman"/>
          <w:color w:val="000000" w:themeColor="text1"/>
        </w:rPr>
        <w:t xml:space="preserve">,’ in </w:t>
      </w:r>
      <w:r w:rsidRPr="009D7635">
        <w:rPr>
          <w:rFonts w:ascii="Times New Roman" w:hAnsi="Times New Roman" w:cs="Times New Roman"/>
          <w:i/>
          <w:color w:val="000000" w:themeColor="text1"/>
          <w:lang w:val="en-US"/>
        </w:rPr>
        <w:t xml:space="preserve">Philippe </w:t>
      </w:r>
      <w:proofErr w:type="spellStart"/>
      <w:r w:rsidRPr="009D7635">
        <w:rPr>
          <w:rFonts w:ascii="Times New Roman" w:hAnsi="Times New Roman" w:cs="Times New Roman"/>
          <w:i/>
          <w:color w:val="000000" w:themeColor="text1"/>
          <w:lang w:val="en-US"/>
        </w:rPr>
        <w:t>le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Chancelier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prédicateur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théologien</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poète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parisien</w:t>
      </w:r>
      <w:proofErr w:type="spellEnd"/>
      <w:r w:rsidRPr="009D7635">
        <w:rPr>
          <w:rFonts w:ascii="Times New Roman" w:hAnsi="Times New Roman" w:cs="Times New Roman"/>
          <w:color w:val="000000" w:themeColor="text1"/>
          <w:lang w:val="en-US"/>
        </w:rPr>
        <w:t xml:space="preserve">, ed. Gilbert </w:t>
      </w:r>
      <w:proofErr w:type="spellStart"/>
      <w:r w:rsidRPr="009D7635">
        <w:rPr>
          <w:rFonts w:ascii="Times New Roman" w:hAnsi="Times New Roman" w:cs="Times New Roman"/>
          <w:color w:val="000000" w:themeColor="text1"/>
          <w:lang w:val="en-US"/>
        </w:rPr>
        <w:t>Dahan</w:t>
      </w:r>
      <w:proofErr w:type="spellEnd"/>
      <w:r w:rsidRPr="009D7635">
        <w:rPr>
          <w:rFonts w:ascii="Times New Roman" w:hAnsi="Times New Roman" w:cs="Times New Roman"/>
          <w:color w:val="000000" w:themeColor="text1"/>
          <w:lang w:val="en-US"/>
        </w:rPr>
        <w:t xml:space="preserve"> et Anne-Zoé</w:t>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lang w:val="en-US"/>
        </w:rPr>
        <w:t>Rillon-Marne</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Turnhout</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Brepols</w:t>
      </w:r>
      <w:proofErr w:type="spellEnd"/>
      <w:r w:rsidRPr="009D7635">
        <w:rPr>
          <w:rFonts w:ascii="Times New Roman" w:hAnsi="Times New Roman" w:cs="Times New Roman"/>
          <w:color w:val="000000" w:themeColor="text1"/>
          <w:lang w:val="en-US"/>
        </w:rPr>
        <w:t>, 2017), 149-68.</w:t>
      </w:r>
    </w:p>
  </w:footnote>
  <w:footnote w:id="209">
    <w:p w14:paraId="15A367B0" w14:textId="344BFB93" w:rsidR="0079737C" w:rsidRPr="009D7635" w:rsidRDefault="0079737C" w:rsidP="0079737C">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97. See also Christian </w:t>
      </w:r>
      <w:proofErr w:type="spellStart"/>
      <w:r w:rsidRPr="009D7635">
        <w:rPr>
          <w:rFonts w:ascii="Times New Roman" w:hAnsi="Times New Roman" w:cs="Times New Roman"/>
          <w:color w:val="000000" w:themeColor="text1"/>
        </w:rPr>
        <w:t>Trottmann</w:t>
      </w:r>
      <w:proofErr w:type="spellEnd"/>
      <w:r w:rsidRPr="009D7635">
        <w:rPr>
          <w:rFonts w:ascii="Times New Roman" w:hAnsi="Times New Roman" w:cs="Times New Roman"/>
          <w:color w:val="000000" w:themeColor="text1"/>
        </w:rPr>
        <w:t xml:space="preserve">, ‘Science et </w:t>
      </w:r>
      <w:proofErr w:type="spellStart"/>
      <w:r w:rsidRPr="009D7635">
        <w:rPr>
          <w:rFonts w:ascii="Times New Roman" w:hAnsi="Times New Roman" w:cs="Times New Roman"/>
          <w:color w:val="000000" w:themeColor="text1"/>
        </w:rPr>
        <w:t>sagesse</w:t>
      </w:r>
      <w:proofErr w:type="spellEnd"/>
      <w:r w:rsidRPr="009D7635">
        <w:rPr>
          <w:rFonts w:ascii="Times New Roman" w:hAnsi="Times New Roman" w:cs="Times New Roman"/>
          <w:color w:val="000000" w:themeColor="text1"/>
        </w:rPr>
        <w:t xml:space="preserve"> dans la </w:t>
      </w:r>
      <w:r w:rsidRPr="009D7635">
        <w:rPr>
          <w:rFonts w:ascii="Times New Roman" w:hAnsi="Times New Roman" w:cs="Times New Roman"/>
          <w:i/>
          <w:color w:val="000000" w:themeColor="text1"/>
        </w:rPr>
        <w:t>Summa de bono</w:t>
      </w:r>
      <w:r w:rsidRPr="009D7635">
        <w:rPr>
          <w:rFonts w:ascii="Times New Roman" w:hAnsi="Times New Roman" w:cs="Times New Roman"/>
          <w:color w:val="000000" w:themeColor="text1"/>
        </w:rPr>
        <w:t xml:space="preserve"> de Philippe le </w:t>
      </w:r>
      <w:proofErr w:type="spellStart"/>
      <w:r w:rsidRPr="009D7635">
        <w:rPr>
          <w:rFonts w:ascii="Times New Roman" w:hAnsi="Times New Roman" w:cs="Times New Roman"/>
          <w:color w:val="000000" w:themeColor="text1"/>
        </w:rPr>
        <w:t>Chancelier</w:t>
      </w:r>
      <w:proofErr w:type="spellEnd"/>
      <w:r w:rsidRPr="009D7635">
        <w:rPr>
          <w:rFonts w:ascii="Times New Roman" w:hAnsi="Times New Roman" w:cs="Times New Roman"/>
          <w:color w:val="000000" w:themeColor="text1"/>
        </w:rPr>
        <w:t xml:space="preserve">,’ in </w:t>
      </w:r>
      <w:r w:rsidRPr="009D7635">
        <w:rPr>
          <w:rFonts w:ascii="Times New Roman" w:hAnsi="Times New Roman" w:cs="Times New Roman"/>
          <w:i/>
          <w:color w:val="000000" w:themeColor="text1"/>
          <w:lang w:val="en-US"/>
        </w:rPr>
        <w:t xml:space="preserve">Philippe </w:t>
      </w:r>
      <w:proofErr w:type="spellStart"/>
      <w:r w:rsidRPr="009D7635">
        <w:rPr>
          <w:rFonts w:ascii="Times New Roman" w:hAnsi="Times New Roman" w:cs="Times New Roman"/>
          <w:i/>
          <w:color w:val="000000" w:themeColor="text1"/>
          <w:lang w:val="en-US"/>
        </w:rPr>
        <w:t>le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Chancelier</w:t>
      </w:r>
      <w:proofErr w:type="spellEnd"/>
      <w:r w:rsidR="00DE2198">
        <w:rPr>
          <w:rFonts w:ascii="Times New Roman" w:hAnsi="Times New Roman" w:cs="Times New Roman"/>
          <w:i/>
          <w:color w:val="000000" w:themeColor="text1"/>
          <w:lang w:val="en-US"/>
        </w:rPr>
        <w:t>,</w:t>
      </w:r>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prédicateur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théologien</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poète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parisien</w:t>
      </w:r>
      <w:proofErr w:type="spellEnd"/>
      <w:r w:rsidRPr="009D7635">
        <w:rPr>
          <w:rFonts w:ascii="Times New Roman" w:hAnsi="Times New Roman" w:cs="Times New Roman"/>
          <w:color w:val="000000" w:themeColor="text1"/>
          <w:lang w:val="en-US"/>
        </w:rPr>
        <w:t xml:space="preserve">, ed. Gilbert </w:t>
      </w:r>
      <w:proofErr w:type="spellStart"/>
      <w:r w:rsidRPr="009D7635">
        <w:rPr>
          <w:rFonts w:ascii="Times New Roman" w:hAnsi="Times New Roman" w:cs="Times New Roman"/>
          <w:color w:val="000000" w:themeColor="text1"/>
          <w:lang w:val="en-US"/>
        </w:rPr>
        <w:t>Dahan</w:t>
      </w:r>
      <w:proofErr w:type="spellEnd"/>
      <w:r w:rsidRPr="009D7635">
        <w:rPr>
          <w:rFonts w:ascii="Times New Roman" w:hAnsi="Times New Roman" w:cs="Times New Roman"/>
          <w:color w:val="000000" w:themeColor="text1"/>
          <w:lang w:val="en-US"/>
        </w:rPr>
        <w:t xml:space="preserve"> et Anne-Zoé</w:t>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lang w:val="en-US"/>
        </w:rPr>
        <w:t>Rillon-Marne</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Turnhout</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Brepols</w:t>
      </w:r>
      <w:proofErr w:type="spellEnd"/>
      <w:r w:rsidRPr="009D7635">
        <w:rPr>
          <w:rFonts w:ascii="Times New Roman" w:hAnsi="Times New Roman" w:cs="Times New Roman"/>
          <w:color w:val="000000" w:themeColor="text1"/>
          <w:lang w:val="en-US"/>
        </w:rPr>
        <w:t>, 2017), 149-68.</w:t>
      </w:r>
    </w:p>
  </w:footnote>
  <w:footnote w:id="210">
    <w:p w14:paraId="38CD94E4" w14:textId="71AAF118" w:rsidR="0079737C" w:rsidRPr="009D7635" w:rsidRDefault="0079737C" w:rsidP="0079737C">
      <w:pPr>
        <w:autoSpaceDE w:val="0"/>
        <w:autoSpaceDN w:val="0"/>
        <w:adjustRightInd w:val="0"/>
        <w:ind w:right="26"/>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Psychologie</w:t>
      </w:r>
      <w:proofErr w:type="spellEnd"/>
      <w:r w:rsidRPr="009D7635">
        <w:rPr>
          <w:rFonts w:ascii="Times New Roman" w:hAnsi="Times New Roman" w:cs="Times New Roman"/>
          <w:i/>
          <w:color w:val="000000" w:themeColor="text1"/>
          <w:sz w:val="20"/>
          <w:szCs w:val="20"/>
        </w:rPr>
        <w:t xml:space="preserve"> et morale </w:t>
      </w:r>
      <w:r w:rsidRPr="009D7635">
        <w:rPr>
          <w:rFonts w:ascii="Times New Roman" w:hAnsi="Times New Roman" w:cs="Times New Roman"/>
          <w:i/>
          <w:iCs/>
          <w:color w:val="000000" w:themeColor="text1"/>
          <w:sz w:val="20"/>
          <w:szCs w:val="20"/>
        </w:rPr>
        <w:t xml:space="preserve">aux XIIe et XIIIe </w:t>
      </w:r>
      <w:proofErr w:type="spellStart"/>
      <w:r w:rsidRPr="009D7635">
        <w:rPr>
          <w:rFonts w:ascii="Times New Roman" w:hAnsi="Times New Roman" w:cs="Times New Roman"/>
          <w:i/>
          <w:iCs/>
          <w:color w:val="000000" w:themeColor="text1"/>
          <w:sz w:val="20"/>
          <w:szCs w:val="20"/>
        </w:rPr>
        <w:t>siècles</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vol. 1 (</w:t>
      </w:r>
      <w:proofErr w:type="spellStart"/>
      <w:r w:rsidRPr="009D7635">
        <w:rPr>
          <w:rFonts w:ascii="Times New Roman" w:hAnsi="Times New Roman" w:cs="Times New Roman"/>
          <w:color w:val="000000" w:themeColor="text1"/>
          <w:sz w:val="20"/>
          <w:szCs w:val="20"/>
        </w:rPr>
        <w:t>Gembloux</w:t>
      </w:r>
      <w:proofErr w:type="spellEnd"/>
      <w:r w:rsidRPr="009D7635">
        <w:rPr>
          <w:rFonts w:ascii="Times New Roman" w:hAnsi="Times New Roman" w:cs="Times New Roman"/>
          <w:color w:val="000000" w:themeColor="text1"/>
          <w:sz w:val="20"/>
          <w:szCs w:val="20"/>
        </w:rPr>
        <w:t xml:space="preserve">: J. </w:t>
      </w:r>
      <w:proofErr w:type="spellStart"/>
      <w:r w:rsidRPr="009D7635">
        <w:rPr>
          <w:rFonts w:ascii="Times New Roman" w:hAnsi="Times New Roman" w:cs="Times New Roman"/>
          <w:color w:val="000000" w:themeColor="text1"/>
          <w:sz w:val="20"/>
          <w:szCs w:val="20"/>
        </w:rPr>
        <w:t>Duculot</w:t>
      </w:r>
      <w:proofErr w:type="spellEnd"/>
      <w:r w:rsidRPr="009D7635">
        <w:rPr>
          <w:rFonts w:ascii="Times New Roman" w:hAnsi="Times New Roman" w:cs="Times New Roman"/>
          <w:color w:val="000000" w:themeColor="text1"/>
          <w:sz w:val="20"/>
          <w:szCs w:val="20"/>
        </w:rPr>
        <w:t>, 1960), 149-69: on the literary influence of Philip the Chancellor on the Franciscans.</w:t>
      </w:r>
    </w:p>
  </w:footnote>
  <w:footnote w:id="211">
    <w:p w14:paraId="2CEB7688" w14:textId="3F233DF8" w:rsidR="00B93ED5" w:rsidRPr="009D7635" w:rsidRDefault="00B93ED5" w:rsidP="00986E7A">
      <w:pPr>
        <w:widowControl w:val="0"/>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Magistri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Alexandri</w:t>
      </w:r>
      <w:proofErr w:type="spellEnd"/>
      <w:r w:rsidRPr="009D7635">
        <w:rPr>
          <w:rFonts w:ascii="Times New Roman" w:hAnsi="Times New Roman" w:cs="Times New Roman"/>
          <w:i/>
          <w:color w:val="000000" w:themeColor="text1"/>
          <w:sz w:val="20"/>
          <w:szCs w:val="20"/>
          <w:lang w:val="en-US"/>
        </w:rPr>
        <w:t xml:space="preserve"> de Hales Glossa in </w:t>
      </w:r>
      <w:proofErr w:type="spellStart"/>
      <w:r w:rsidRPr="009D7635">
        <w:rPr>
          <w:rFonts w:ascii="Times New Roman" w:hAnsi="Times New Roman" w:cs="Times New Roman"/>
          <w:i/>
          <w:color w:val="000000" w:themeColor="text1"/>
          <w:sz w:val="20"/>
          <w:szCs w:val="20"/>
          <w:lang w:val="en-US"/>
        </w:rPr>
        <w:t>quatuor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libros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Sententiarum</w:t>
      </w:r>
      <w:proofErr w:type="spellEnd"/>
      <w:r w:rsidRPr="009D7635">
        <w:rPr>
          <w:rFonts w:ascii="Times New Roman" w:hAnsi="Times New Roman" w:cs="Times New Roman"/>
          <w:i/>
          <w:color w:val="000000" w:themeColor="text1"/>
          <w:sz w:val="20"/>
          <w:szCs w:val="20"/>
          <w:lang w:val="en-US"/>
        </w:rPr>
        <w:t xml:space="preserve"> Petri Lombardi</w:t>
      </w:r>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Quaracchi</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Collegii</w:t>
      </w:r>
      <w:proofErr w:type="spellEnd"/>
      <w:r w:rsidRPr="009D7635">
        <w:rPr>
          <w:rFonts w:ascii="Times New Roman" w:hAnsi="Times New Roman" w:cs="Times New Roman"/>
          <w:color w:val="000000" w:themeColor="text1"/>
          <w:sz w:val="20"/>
          <w:szCs w:val="20"/>
          <w:lang w:val="en-US"/>
        </w:rPr>
        <w:t xml:space="preserve"> S</w:t>
      </w:r>
      <w:r w:rsidR="002D5814"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Bonaventurae</w:t>
      </w:r>
      <w:proofErr w:type="spellEnd"/>
      <w:r w:rsidRPr="009D7635">
        <w:rPr>
          <w:rFonts w:ascii="Times New Roman" w:hAnsi="Times New Roman" w:cs="Times New Roman"/>
          <w:color w:val="000000" w:themeColor="text1"/>
          <w:sz w:val="20"/>
          <w:szCs w:val="20"/>
          <w:lang w:val="en-US"/>
        </w:rPr>
        <w:t xml:space="preserve">, 1951), vol. 1, 56-75. </w:t>
      </w:r>
      <w:r w:rsidRPr="009D7635">
        <w:rPr>
          <w:rFonts w:ascii="Times New Roman" w:hAnsi="Times New Roman" w:cs="Times New Roman"/>
          <w:color w:val="000000" w:themeColor="text1"/>
          <w:sz w:val="20"/>
          <w:szCs w:val="20"/>
        </w:rPr>
        <w:t>According to the prolegomena to Alexander’s Gloss, Alexander was an Englishman born in Hales Owen, now in Shropshire, around 1185 to a fairly well-off but not noble rural family. After studying the arts in Paris, he became a master of the arts in 1210 and in the same year began teaching at Paris. Around 1215, he began to study theology, becoming a regent master around 1221-1. He died at age 57 in Paris on 21 August 1245.</w:t>
      </w:r>
    </w:p>
  </w:footnote>
  <w:footnote w:id="212">
    <w:p w14:paraId="602F108D" w14:textId="7ADD37A1" w:rsidR="00B93ED5" w:rsidRPr="009D7635" w:rsidRDefault="00B93ED5" w:rsidP="00986E7A">
      <w:pPr>
        <w:widowControl w:val="0"/>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lang w:val="en-US"/>
        </w:rPr>
        <w:t>Victorin</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Doucet</w:t>
      </w:r>
      <w:proofErr w:type="spellEnd"/>
      <w:r w:rsidRPr="009D7635">
        <w:rPr>
          <w:rFonts w:ascii="Times New Roman" w:hAnsi="Times New Roman" w:cs="Times New Roman"/>
          <w:color w:val="000000" w:themeColor="text1"/>
          <w:sz w:val="20"/>
          <w:szCs w:val="20"/>
          <w:lang w:val="en-US"/>
        </w:rPr>
        <w:t>, ‘A New Source of the ‘</w:t>
      </w:r>
      <w:r w:rsidRPr="009D7635">
        <w:rPr>
          <w:rFonts w:ascii="Times New Roman" w:hAnsi="Times New Roman" w:cs="Times New Roman"/>
          <w:i/>
          <w:color w:val="000000" w:themeColor="text1"/>
          <w:sz w:val="20"/>
          <w:szCs w:val="20"/>
          <w:lang w:val="en-US"/>
        </w:rPr>
        <w:t xml:space="preserve">Summa </w:t>
      </w:r>
      <w:proofErr w:type="spellStart"/>
      <w:r w:rsidRPr="009D7635">
        <w:rPr>
          <w:rFonts w:ascii="Times New Roman" w:hAnsi="Times New Roman" w:cs="Times New Roman"/>
          <w:i/>
          <w:color w:val="000000" w:themeColor="text1"/>
          <w:sz w:val="20"/>
          <w:szCs w:val="20"/>
          <w:lang w:val="en-US"/>
        </w:rPr>
        <w:t>fratris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Alexandri</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iCs/>
          <w:color w:val="000000" w:themeColor="text1"/>
          <w:sz w:val="20"/>
          <w:szCs w:val="20"/>
          <w:lang w:val="en-US"/>
        </w:rPr>
        <w:t>Franciscan Studies</w:t>
      </w:r>
      <w:r w:rsidRPr="009D7635">
        <w:rPr>
          <w:rFonts w:ascii="Times New Roman" w:hAnsi="Times New Roman" w:cs="Times New Roman"/>
          <w:color w:val="000000" w:themeColor="text1"/>
          <w:sz w:val="20"/>
          <w:szCs w:val="20"/>
          <w:lang w:val="en-US"/>
        </w:rPr>
        <w:t xml:space="preserve"> 6 (1946)</w:t>
      </w:r>
      <w:r w:rsidR="00246810"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403-17. As </w:t>
      </w:r>
      <w:proofErr w:type="spellStart"/>
      <w:r w:rsidRPr="009D7635">
        <w:rPr>
          <w:rFonts w:ascii="Times New Roman" w:hAnsi="Times New Roman" w:cs="Times New Roman"/>
          <w:color w:val="000000" w:themeColor="text1"/>
          <w:sz w:val="20"/>
          <w:szCs w:val="20"/>
          <w:lang w:val="en-US"/>
        </w:rPr>
        <w:t>Doucet</w:t>
      </w:r>
      <w:proofErr w:type="spellEnd"/>
      <w:r w:rsidRPr="009D7635">
        <w:rPr>
          <w:rFonts w:ascii="Times New Roman" w:hAnsi="Times New Roman" w:cs="Times New Roman"/>
          <w:color w:val="000000" w:themeColor="text1"/>
          <w:sz w:val="20"/>
          <w:szCs w:val="20"/>
          <w:lang w:val="en-US"/>
        </w:rPr>
        <w:t xml:space="preserve"> notes, the critical edition of Alexander’s Gloss was produced between 1951-7; the Gloss itself was probably written after 1222 and completed before 1227. </w:t>
      </w:r>
    </w:p>
  </w:footnote>
  <w:footnote w:id="213">
    <w:p w14:paraId="089AE690" w14:textId="3D457174" w:rsidR="00B93ED5" w:rsidRPr="009D7635" w:rsidRDefault="00B93ED5" w:rsidP="00986E7A">
      <w:pPr>
        <w:widowControl w:val="0"/>
        <w:autoSpaceDE w:val="0"/>
        <w:autoSpaceDN w:val="0"/>
        <w:adjustRightInd w:val="0"/>
        <w:rPr>
          <w:rFonts w:ascii="Times New Roman" w:hAnsi="Times New Roman" w:cs="Times New Roman"/>
          <w:color w:val="000000" w:themeColor="text1"/>
          <w:sz w:val="20"/>
          <w:szCs w:val="20"/>
          <w:lang w:val="de-DE"/>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On Alexander’s role in developing the </w:t>
      </w:r>
      <w:r w:rsidRPr="009D7635">
        <w:rPr>
          <w:rFonts w:ascii="Times New Roman" w:hAnsi="Times New Roman" w:cs="Times New Roman"/>
          <w:i/>
          <w:color w:val="000000" w:themeColor="text1"/>
          <w:sz w:val="20"/>
          <w:szCs w:val="20"/>
        </w:rPr>
        <w:t>Sentences</w:t>
      </w:r>
      <w:r w:rsidRPr="009D7635">
        <w:rPr>
          <w:rFonts w:ascii="Times New Roman" w:hAnsi="Times New Roman" w:cs="Times New Roman"/>
          <w:color w:val="000000" w:themeColor="text1"/>
          <w:sz w:val="20"/>
          <w:szCs w:val="20"/>
        </w:rPr>
        <w:t xml:space="preserve"> Commentary tradition, see Nancy Spatz, ‘Approaches and Attitudes to a New Theology Textbook,’ in </w:t>
      </w:r>
      <w:r w:rsidRPr="009D7635">
        <w:rPr>
          <w:rFonts w:ascii="Times New Roman" w:hAnsi="Times New Roman" w:cs="Times New Roman"/>
          <w:i/>
          <w:color w:val="000000" w:themeColor="text1"/>
          <w:sz w:val="20"/>
          <w:szCs w:val="20"/>
        </w:rPr>
        <w:t xml:space="preserve">The Intellectual Climate of the Early University: Essays in </w:t>
      </w:r>
      <w:proofErr w:type="spellStart"/>
      <w:r w:rsidRPr="009D7635">
        <w:rPr>
          <w:rFonts w:ascii="Times New Roman" w:hAnsi="Times New Roman" w:cs="Times New Roman"/>
          <w:i/>
          <w:color w:val="000000" w:themeColor="text1"/>
          <w:sz w:val="20"/>
          <w:szCs w:val="20"/>
        </w:rPr>
        <w:t>Honor</w:t>
      </w:r>
      <w:proofErr w:type="spellEnd"/>
      <w:r w:rsidRPr="009D7635">
        <w:rPr>
          <w:rFonts w:ascii="Times New Roman" w:hAnsi="Times New Roman" w:cs="Times New Roman"/>
          <w:i/>
          <w:color w:val="000000" w:themeColor="text1"/>
          <w:sz w:val="20"/>
          <w:szCs w:val="20"/>
        </w:rPr>
        <w:t xml:space="preserve"> of Otto </w:t>
      </w:r>
      <w:proofErr w:type="spellStart"/>
      <w:r w:rsidRPr="009D7635">
        <w:rPr>
          <w:rFonts w:ascii="Times New Roman" w:hAnsi="Times New Roman" w:cs="Times New Roman"/>
          <w:i/>
          <w:color w:val="000000" w:themeColor="text1"/>
          <w:sz w:val="20"/>
          <w:szCs w:val="20"/>
        </w:rPr>
        <w:t>Gründler</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ed. Nancy van </w:t>
      </w:r>
      <w:proofErr w:type="spellStart"/>
      <w:r w:rsidRPr="009D7635">
        <w:rPr>
          <w:rFonts w:ascii="Times New Roman" w:hAnsi="Times New Roman" w:cs="Times New Roman"/>
          <w:color w:val="000000" w:themeColor="text1"/>
          <w:sz w:val="20"/>
          <w:szCs w:val="20"/>
        </w:rPr>
        <w:t>Deusen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lang w:val="de-DE"/>
        </w:rPr>
        <w:t>Kalamazoo</w:t>
      </w:r>
      <w:proofErr w:type="spellEnd"/>
      <w:r w:rsidRPr="009D7635">
        <w:rPr>
          <w:rFonts w:ascii="Times New Roman" w:hAnsi="Times New Roman" w:cs="Times New Roman"/>
          <w:color w:val="000000" w:themeColor="text1"/>
          <w:sz w:val="20"/>
          <w:szCs w:val="20"/>
          <w:lang w:val="de-DE"/>
        </w:rPr>
        <w:t xml:space="preserve">: </w:t>
      </w:r>
      <w:proofErr w:type="spellStart"/>
      <w:r w:rsidRPr="009D7635">
        <w:rPr>
          <w:rFonts w:ascii="Times New Roman" w:hAnsi="Times New Roman" w:cs="Times New Roman"/>
          <w:color w:val="000000" w:themeColor="text1"/>
          <w:sz w:val="20"/>
          <w:szCs w:val="20"/>
          <w:lang w:val="de-DE"/>
        </w:rPr>
        <w:t>Medieval</w:t>
      </w:r>
      <w:proofErr w:type="spellEnd"/>
      <w:r w:rsidRPr="009D7635">
        <w:rPr>
          <w:rFonts w:ascii="Times New Roman" w:hAnsi="Times New Roman" w:cs="Times New Roman"/>
          <w:color w:val="000000" w:themeColor="text1"/>
          <w:sz w:val="20"/>
          <w:szCs w:val="20"/>
          <w:lang w:val="de-DE"/>
        </w:rPr>
        <w:t xml:space="preserve"> Institute Publications, Western Michigan University, 1997), </w:t>
      </w:r>
      <w:r w:rsidRPr="009D7635">
        <w:rPr>
          <w:rFonts w:ascii="Times New Roman" w:hAnsi="Times New Roman" w:cs="Times New Roman"/>
          <w:color w:val="000000" w:themeColor="text1"/>
          <w:sz w:val="20"/>
          <w:szCs w:val="20"/>
        </w:rPr>
        <w:t>27-52</w:t>
      </w:r>
      <w:r w:rsidRPr="009D7635">
        <w:rPr>
          <w:rFonts w:ascii="Times New Roman" w:hAnsi="Times New Roman" w:cs="Times New Roman"/>
          <w:color w:val="000000" w:themeColor="text1"/>
          <w:sz w:val="20"/>
          <w:szCs w:val="20"/>
          <w:lang w:val="de-DE"/>
        </w:rPr>
        <w:t xml:space="preserve">. </w:t>
      </w:r>
      <w:r w:rsidRPr="009D7635">
        <w:rPr>
          <w:rFonts w:ascii="Times New Roman" w:hAnsi="Times New Roman" w:cs="Times New Roman"/>
          <w:color w:val="000000" w:themeColor="text1"/>
          <w:sz w:val="20"/>
          <w:szCs w:val="20"/>
        </w:rPr>
        <w:t xml:space="preserve">Philipp W. </w:t>
      </w:r>
      <w:proofErr w:type="spellStart"/>
      <w:r w:rsidRPr="009D7635">
        <w:rPr>
          <w:rFonts w:ascii="Times New Roman" w:hAnsi="Times New Roman" w:cs="Times New Roman"/>
          <w:color w:val="000000" w:themeColor="text1"/>
          <w:sz w:val="20"/>
          <w:szCs w:val="20"/>
        </w:rPr>
        <w:t>Rosemann</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The Story of a Great Medieval Book: Peter Lombard’s Sentences </w:t>
      </w:r>
      <w:r w:rsidRPr="009D7635">
        <w:rPr>
          <w:rFonts w:ascii="Times New Roman" w:hAnsi="Times New Roman" w:cs="Times New Roman"/>
          <w:color w:val="000000" w:themeColor="text1"/>
          <w:sz w:val="20"/>
          <w:szCs w:val="20"/>
        </w:rPr>
        <w:t>(Toronto: University of Toronto Press, 2007)</w:t>
      </w:r>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60-70.</w:t>
      </w:r>
    </w:p>
  </w:footnote>
  <w:footnote w:id="214">
    <w:p w14:paraId="398BE706" w14:textId="13AC279B" w:rsidR="00B93ED5" w:rsidRPr="009D7635" w:rsidRDefault="00B93ED5" w:rsidP="00986E7A">
      <w:pPr>
        <w:widowControl w:val="0"/>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hyperlink r:id="rId1" w:history="1">
        <w:proofErr w:type="spellStart"/>
        <w:r w:rsidRPr="009D7635">
          <w:rPr>
            <w:rFonts w:ascii="Times New Roman" w:hAnsi="Times New Roman" w:cs="Times New Roman"/>
            <w:i/>
            <w:color w:val="000000" w:themeColor="text1"/>
            <w:sz w:val="20"/>
            <w:szCs w:val="20"/>
            <w:lang w:val="en-US"/>
          </w:rPr>
          <w:t>Magistri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Alexandri</w:t>
        </w:r>
        <w:proofErr w:type="spellEnd"/>
        <w:r w:rsidRPr="009D7635">
          <w:rPr>
            <w:rFonts w:ascii="Times New Roman" w:hAnsi="Times New Roman" w:cs="Times New Roman"/>
            <w:i/>
            <w:color w:val="000000" w:themeColor="text1"/>
            <w:sz w:val="20"/>
            <w:szCs w:val="20"/>
            <w:lang w:val="en-US"/>
          </w:rPr>
          <w:t xml:space="preserve"> de Hales </w:t>
        </w:r>
        <w:proofErr w:type="spellStart"/>
        <w:r w:rsidRPr="009D7635">
          <w:rPr>
            <w:rFonts w:ascii="Times New Roman" w:hAnsi="Times New Roman" w:cs="Times New Roman"/>
            <w:i/>
            <w:color w:val="000000" w:themeColor="text1"/>
            <w:sz w:val="20"/>
            <w:szCs w:val="20"/>
            <w:lang w:val="en-US"/>
          </w:rPr>
          <w:t>Quaestiones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disputatae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Antequam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esset</w:t>
        </w:r>
        <w:proofErr w:type="spellEnd"/>
        <w:r w:rsidRPr="009D7635">
          <w:rPr>
            <w:rFonts w:ascii="Times New Roman" w:hAnsi="Times New Roman" w:cs="Times New Roman"/>
            <w:i/>
            <w:color w:val="000000" w:themeColor="text1"/>
            <w:sz w:val="20"/>
            <w:szCs w:val="20"/>
            <w:lang w:val="en-US"/>
          </w:rPr>
          <w:t xml:space="preserve"> frater’</w:t>
        </w:r>
      </w:hyperlink>
      <w:r w:rsidRPr="009D7635">
        <w:rPr>
          <w:rFonts w:ascii="Times New Roman" w:hAnsi="Times New Roman" w:cs="Times New Roman"/>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w:t>
      </w:r>
      <w:proofErr w:type="spellStart"/>
      <w:r w:rsidRPr="009D7635">
        <w:rPr>
          <w:rFonts w:ascii="Times New Roman" w:hAnsi="Times New Roman" w:cs="Times New Roman"/>
          <w:color w:val="000000" w:themeColor="text1"/>
          <w:sz w:val="20"/>
          <w:szCs w:val="20"/>
          <w:lang w:val="en-US"/>
        </w:rPr>
        <w:t>Quaracchi</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Collegii</w:t>
      </w:r>
      <w:proofErr w:type="spellEnd"/>
      <w:r w:rsidRPr="009D7635">
        <w:rPr>
          <w:rFonts w:ascii="Times New Roman" w:hAnsi="Times New Roman" w:cs="Times New Roman"/>
          <w:color w:val="000000" w:themeColor="text1"/>
          <w:sz w:val="20"/>
          <w:szCs w:val="20"/>
          <w:lang w:val="en-US"/>
        </w:rPr>
        <w:t xml:space="preserve"> S</w:t>
      </w:r>
      <w:r w:rsidR="00246810"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Bonaventurae</w:t>
      </w:r>
      <w:proofErr w:type="spellEnd"/>
      <w:r w:rsidRPr="009D7635">
        <w:rPr>
          <w:rFonts w:ascii="Times New Roman" w:hAnsi="Times New Roman" w:cs="Times New Roman"/>
          <w:color w:val="000000" w:themeColor="text1"/>
          <w:sz w:val="20"/>
          <w:szCs w:val="20"/>
          <w:lang w:val="en-US"/>
        </w:rPr>
        <w:t>, 1960).</w:t>
      </w:r>
    </w:p>
  </w:footnote>
  <w:footnote w:id="215">
    <w:p w14:paraId="472A9A4F" w14:textId="77777777" w:rsidR="00B93ED5" w:rsidRPr="009D7635" w:rsidRDefault="00B93ED5" w:rsidP="00986E7A">
      <w:pPr>
        <w:widowControl w:val="0"/>
        <w:tabs>
          <w:tab w:val="left" w:pos="5220"/>
        </w:tabs>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Keenan B. Osborne, ‘Alexander of Hales,’ in </w:t>
      </w:r>
      <w:r w:rsidRPr="009D7635">
        <w:rPr>
          <w:rFonts w:ascii="Times New Roman" w:hAnsi="Times New Roman" w:cs="Times New Roman"/>
          <w:i/>
          <w:color w:val="000000" w:themeColor="text1"/>
          <w:sz w:val="20"/>
          <w:szCs w:val="20"/>
        </w:rPr>
        <w:t>The History of Franciscan Theology</w:t>
      </w:r>
      <w:r w:rsidRPr="009D7635">
        <w:rPr>
          <w:rFonts w:ascii="Times New Roman" w:hAnsi="Times New Roman" w:cs="Times New Roman"/>
          <w:color w:val="000000" w:themeColor="text1"/>
          <w:sz w:val="20"/>
          <w:szCs w:val="20"/>
        </w:rPr>
        <w:t xml:space="preserve"> (St Bonaventure: The Franciscan Institute, 2007), 1-38. </w:t>
      </w:r>
      <w:r w:rsidRPr="009D7635">
        <w:rPr>
          <w:rFonts w:ascii="Times New Roman" w:hAnsi="Times New Roman" w:cs="Times New Roman"/>
          <w:color w:val="000000" w:themeColor="text1"/>
          <w:sz w:val="20"/>
          <w:szCs w:val="20"/>
        </w:rPr>
        <w:tab/>
      </w:r>
    </w:p>
  </w:footnote>
  <w:footnote w:id="216">
    <w:p w14:paraId="486EAD54" w14:textId="77777777" w:rsidR="00B93ED5" w:rsidRPr="009D7635" w:rsidRDefault="00B93ED5" w:rsidP="00986E7A">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Alexandri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w:t>
      </w:r>
      <w:proofErr w:type="spellEnd"/>
      <w:r w:rsidRPr="009D7635">
        <w:rPr>
          <w:rFonts w:ascii="Times New Roman" w:hAnsi="Times New Roman" w:cs="Times New Roman"/>
          <w:i/>
          <w:color w:val="000000" w:themeColor="text1"/>
          <w:sz w:val="20"/>
          <w:szCs w:val="20"/>
        </w:rPr>
        <w:t xml:space="preserve"> Hales </w:t>
      </w:r>
      <w:proofErr w:type="spellStart"/>
      <w:r w:rsidRPr="009D7635">
        <w:rPr>
          <w:rFonts w:ascii="Times New Roman" w:hAnsi="Times New Roman" w:cs="Times New Roman"/>
          <w:i/>
          <w:color w:val="000000" w:themeColor="text1"/>
          <w:sz w:val="20"/>
          <w:szCs w:val="20"/>
        </w:rPr>
        <w:t>Quaestiones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disputatae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quae</w:t>
      </w:r>
      <w:proofErr w:type="spellEnd"/>
      <w:r w:rsidRPr="009D7635">
        <w:rPr>
          <w:rFonts w:ascii="Times New Roman" w:hAnsi="Times New Roman" w:cs="Times New Roman"/>
          <w:i/>
          <w:color w:val="000000" w:themeColor="text1"/>
          <w:sz w:val="20"/>
          <w:szCs w:val="20"/>
        </w:rPr>
        <w:t xml:space="preserve"> ad </w:t>
      </w:r>
      <w:proofErr w:type="spellStart"/>
      <w:r w:rsidRPr="009D7635">
        <w:rPr>
          <w:rFonts w:ascii="Times New Roman" w:hAnsi="Times New Roman" w:cs="Times New Roman"/>
          <w:i/>
          <w:color w:val="000000" w:themeColor="text1"/>
          <w:sz w:val="20"/>
          <w:szCs w:val="20"/>
        </w:rPr>
        <w:t>rerum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universitatem</w:t>
      </w:r>
      <w:proofErr w:type="spellEnd"/>
      <w:r w:rsidRPr="009D7635">
        <w:rPr>
          <w:rFonts w:ascii="Times New Roman" w:hAnsi="Times New Roman" w:cs="Times New Roman"/>
          <w:i/>
          <w:color w:val="000000" w:themeColor="text1"/>
          <w:sz w:val="20"/>
          <w:szCs w:val="20"/>
        </w:rPr>
        <w:t xml:space="preserve"> pertinent</w:t>
      </w:r>
      <w:r w:rsidRPr="009D7635">
        <w:rPr>
          <w:rFonts w:ascii="Times New Roman" w:hAnsi="Times New Roman" w:cs="Times New Roman"/>
          <w:color w:val="000000" w:themeColor="text1"/>
          <w:sz w:val="20"/>
          <w:szCs w:val="20"/>
        </w:rPr>
        <w:t xml:space="preserve"> (Bibliotheca </w:t>
      </w:r>
      <w:proofErr w:type="spellStart"/>
      <w:r w:rsidRPr="009D7635">
        <w:rPr>
          <w:rFonts w:ascii="Times New Roman" w:hAnsi="Times New Roman" w:cs="Times New Roman"/>
          <w:color w:val="000000" w:themeColor="text1"/>
          <w:sz w:val="20"/>
          <w:szCs w:val="20"/>
        </w:rPr>
        <w:t>Franciscana</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Scholastica</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medii</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aevi</w:t>
      </w:r>
      <w:proofErr w:type="spellEnd"/>
      <w:r w:rsidRPr="009D7635">
        <w:rPr>
          <w:rFonts w:ascii="Times New Roman" w:hAnsi="Times New Roman" w:cs="Times New Roman"/>
          <w:color w:val="000000" w:themeColor="text1"/>
          <w:sz w:val="20"/>
          <w:szCs w:val="20"/>
        </w:rPr>
        <w:t xml:space="preserve">, XXIX), ed. H. M. </w:t>
      </w:r>
      <w:proofErr w:type="spellStart"/>
      <w:r w:rsidRPr="009D7635">
        <w:rPr>
          <w:rFonts w:ascii="Times New Roman" w:hAnsi="Times New Roman" w:cs="Times New Roman"/>
          <w:color w:val="000000" w:themeColor="text1"/>
          <w:sz w:val="20"/>
          <w:szCs w:val="20"/>
        </w:rPr>
        <w:t>Wierzbicki</w:t>
      </w:r>
      <w:proofErr w:type="spellEnd"/>
      <w:r w:rsidRPr="009D7635">
        <w:rPr>
          <w:rFonts w:ascii="Times New Roman" w:hAnsi="Times New Roman" w:cs="Times New Roman"/>
          <w:color w:val="000000" w:themeColor="text1"/>
          <w:sz w:val="20"/>
          <w:szCs w:val="20"/>
        </w:rPr>
        <w:t xml:space="preserve"> (Rome: </w:t>
      </w:r>
      <w:proofErr w:type="spellStart"/>
      <w:r w:rsidRPr="009D7635">
        <w:rPr>
          <w:rFonts w:ascii="Times New Roman" w:hAnsi="Times New Roman" w:cs="Times New Roman"/>
          <w:color w:val="000000" w:themeColor="text1"/>
          <w:sz w:val="20"/>
          <w:szCs w:val="20"/>
        </w:rPr>
        <w:t>Collegii</w:t>
      </w:r>
      <w:proofErr w:type="spellEnd"/>
      <w:r w:rsidRPr="009D7635">
        <w:rPr>
          <w:rFonts w:ascii="Times New Roman" w:hAnsi="Times New Roman" w:cs="Times New Roman"/>
          <w:color w:val="000000" w:themeColor="text1"/>
          <w:sz w:val="20"/>
          <w:szCs w:val="20"/>
        </w:rPr>
        <w:t xml:space="preserve"> S. Bonaventure, 2013). </w:t>
      </w:r>
      <w:proofErr w:type="spellStart"/>
      <w:r w:rsidRPr="009D7635">
        <w:rPr>
          <w:rFonts w:ascii="Times New Roman" w:hAnsi="Times New Roman" w:cs="Times New Roman"/>
          <w:i/>
          <w:color w:val="000000" w:themeColor="text1"/>
          <w:sz w:val="20"/>
          <w:szCs w:val="20"/>
        </w:rPr>
        <w:t>Alexandri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w:t>
      </w:r>
      <w:proofErr w:type="spellEnd"/>
      <w:r w:rsidRPr="009D7635">
        <w:rPr>
          <w:rFonts w:ascii="Times New Roman" w:hAnsi="Times New Roman" w:cs="Times New Roman"/>
          <w:i/>
          <w:color w:val="000000" w:themeColor="text1"/>
          <w:sz w:val="20"/>
          <w:szCs w:val="20"/>
        </w:rPr>
        <w:t xml:space="preserve"> Hales </w:t>
      </w:r>
      <w:proofErr w:type="spellStart"/>
      <w:r w:rsidRPr="009D7635">
        <w:rPr>
          <w:rFonts w:ascii="Times New Roman" w:hAnsi="Times New Roman" w:cs="Times New Roman"/>
          <w:i/>
          <w:color w:val="000000" w:themeColor="text1"/>
          <w:sz w:val="20"/>
          <w:szCs w:val="20"/>
        </w:rPr>
        <w:t>Quaestiones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disputatae</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peccato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originali</w:t>
      </w:r>
      <w:proofErr w:type="spellEnd"/>
      <w:r w:rsidRPr="009D7635">
        <w:rPr>
          <w:rFonts w:ascii="Times New Roman" w:hAnsi="Times New Roman" w:cs="Times New Roman"/>
          <w:color w:val="000000" w:themeColor="text1"/>
          <w:sz w:val="20"/>
          <w:szCs w:val="20"/>
        </w:rPr>
        <w:t xml:space="preserve"> (Bibliotheca </w:t>
      </w:r>
      <w:proofErr w:type="spellStart"/>
      <w:r w:rsidRPr="009D7635">
        <w:rPr>
          <w:rFonts w:ascii="Times New Roman" w:hAnsi="Times New Roman" w:cs="Times New Roman"/>
          <w:color w:val="000000" w:themeColor="text1"/>
          <w:sz w:val="20"/>
          <w:szCs w:val="20"/>
        </w:rPr>
        <w:t>Franciscana</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Scholastica</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medii</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aevi</w:t>
      </w:r>
      <w:proofErr w:type="spellEnd"/>
      <w:r w:rsidRPr="009D7635">
        <w:rPr>
          <w:rFonts w:ascii="Times New Roman" w:hAnsi="Times New Roman" w:cs="Times New Roman"/>
          <w:color w:val="000000" w:themeColor="text1"/>
          <w:sz w:val="20"/>
          <w:szCs w:val="20"/>
        </w:rPr>
        <w:t xml:space="preserve">, XXX), ed. H. M. </w:t>
      </w:r>
      <w:proofErr w:type="spellStart"/>
      <w:r w:rsidRPr="009D7635">
        <w:rPr>
          <w:rFonts w:ascii="Times New Roman" w:hAnsi="Times New Roman" w:cs="Times New Roman"/>
          <w:color w:val="000000" w:themeColor="text1"/>
          <w:sz w:val="20"/>
          <w:szCs w:val="20"/>
        </w:rPr>
        <w:t>Wierzbicki</w:t>
      </w:r>
      <w:proofErr w:type="spellEnd"/>
      <w:r w:rsidRPr="009D7635">
        <w:rPr>
          <w:rFonts w:ascii="Times New Roman" w:hAnsi="Times New Roman" w:cs="Times New Roman"/>
          <w:color w:val="000000" w:themeColor="text1"/>
          <w:sz w:val="20"/>
          <w:szCs w:val="20"/>
        </w:rPr>
        <w:t xml:space="preserve"> (Rome: </w:t>
      </w:r>
      <w:proofErr w:type="spellStart"/>
      <w:r w:rsidRPr="009D7635">
        <w:rPr>
          <w:rFonts w:ascii="Times New Roman" w:hAnsi="Times New Roman" w:cs="Times New Roman"/>
          <w:color w:val="000000" w:themeColor="text1"/>
          <w:sz w:val="20"/>
          <w:szCs w:val="20"/>
        </w:rPr>
        <w:t>Collegii</w:t>
      </w:r>
      <w:proofErr w:type="spellEnd"/>
      <w:r w:rsidRPr="009D7635">
        <w:rPr>
          <w:rFonts w:ascii="Times New Roman" w:hAnsi="Times New Roman" w:cs="Times New Roman"/>
          <w:color w:val="000000" w:themeColor="text1"/>
          <w:sz w:val="20"/>
          <w:szCs w:val="20"/>
        </w:rPr>
        <w:t xml:space="preserve"> S. Bonaventure, 2013). </w:t>
      </w:r>
      <w:proofErr w:type="spellStart"/>
      <w:r w:rsidRPr="009D7635">
        <w:rPr>
          <w:rFonts w:ascii="Times New Roman" w:hAnsi="Times New Roman" w:cs="Times New Roman"/>
          <w:i/>
          <w:color w:val="000000" w:themeColor="text1"/>
          <w:sz w:val="20"/>
          <w:szCs w:val="20"/>
        </w:rPr>
        <w:t>Alexandri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w:t>
      </w:r>
      <w:proofErr w:type="spellEnd"/>
      <w:r w:rsidRPr="009D7635">
        <w:rPr>
          <w:rFonts w:ascii="Times New Roman" w:hAnsi="Times New Roman" w:cs="Times New Roman"/>
          <w:i/>
          <w:color w:val="000000" w:themeColor="text1"/>
          <w:sz w:val="20"/>
          <w:szCs w:val="20"/>
        </w:rPr>
        <w:t xml:space="preserve"> Hales </w:t>
      </w:r>
      <w:proofErr w:type="spellStart"/>
      <w:r w:rsidRPr="009D7635">
        <w:rPr>
          <w:rFonts w:ascii="Times New Roman" w:hAnsi="Times New Roman" w:cs="Times New Roman"/>
          <w:i/>
          <w:color w:val="000000" w:themeColor="text1"/>
          <w:sz w:val="20"/>
          <w:szCs w:val="20"/>
        </w:rPr>
        <w:t>Quaestiones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disputatae</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peccato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veniali</w:t>
      </w:r>
      <w:proofErr w:type="spellEnd"/>
      <w:r w:rsidRPr="009D7635">
        <w:rPr>
          <w:rFonts w:ascii="Times New Roman" w:hAnsi="Times New Roman" w:cs="Times New Roman"/>
          <w:i/>
          <w:color w:val="000000" w:themeColor="text1"/>
          <w:sz w:val="20"/>
          <w:szCs w:val="20"/>
        </w:rPr>
        <w:t xml:space="preserve"> et de </w:t>
      </w:r>
      <w:proofErr w:type="spellStart"/>
      <w:r w:rsidRPr="009D7635">
        <w:rPr>
          <w:rFonts w:ascii="Times New Roman" w:hAnsi="Times New Roman" w:cs="Times New Roman"/>
          <w:i/>
          <w:color w:val="000000" w:themeColor="text1"/>
          <w:sz w:val="20"/>
          <w:szCs w:val="20"/>
        </w:rPr>
        <w:t>conscientia</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(Bibliotheca </w:t>
      </w:r>
      <w:proofErr w:type="spellStart"/>
      <w:r w:rsidRPr="009D7635">
        <w:rPr>
          <w:rFonts w:ascii="Times New Roman" w:hAnsi="Times New Roman" w:cs="Times New Roman"/>
          <w:color w:val="000000" w:themeColor="text1"/>
          <w:sz w:val="20"/>
          <w:szCs w:val="20"/>
        </w:rPr>
        <w:t>Franciscana</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Scholastica</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medii</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aevi</w:t>
      </w:r>
      <w:proofErr w:type="spellEnd"/>
      <w:r w:rsidRPr="009D7635">
        <w:rPr>
          <w:rFonts w:ascii="Times New Roman" w:hAnsi="Times New Roman" w:cs="Times New Roman"/>
          <w:color w:val="000000" w:themeColor="text1"/>
          <w:sz w:val="20"/>
          <w:szCs w:val="20"/>
        </w:rPr>
        <w:t xml:space="preserve">, XXXII), ed. H. M. </w:t>
      </w:r>
      <w:proofErr w:type="spellStart"/>
      <w:r w:rsidRPr="009D7635">
        <w:rPr>
          <w:rFonts w:ascii="Times New Roman" w:hAnsi="Times New Roman" w:cs="Times New Roman"/>
          <w:color w:val="000000" w:themeColor="text1"/>
          <w:sz w:val="20"/>
          <w:szCs w:val="20"/>
        </w:rPr>
        <w:t>Wierzbicki</w:t>
      </w:r>
      <w:proofErr w:type="spellEnd"/>
      <w:r w:rsidRPr="009D7635">
        <w:rPr>
          <w:rFonts w:ascii="Times New Roman" w:hAnsi="Times New Roman" w:cs="Times New Roman"/>
          <w:color w:val="000000" w:themeColor="text1"/>
          <w:sz w:val="20"/>
          <w:szCs w:val="20"/>
        </w:rPr>
        <w:t xml:space="preserve"> (Rome: </w:t>
      </w:r>
      <w:proofErr w:type="spellStart"/>
      <w:r w:rsidRPr="009D7635">
        <w:rPr>
          <w:rFonts w:ascii="Times New Roman" w:hAnsi="Times New Roman" w:cs="Times New Roman"/>
          <w:color w:val="000000" w:themeColor="text1"/>
          <w:sz w:val="20"/>
          <w:szCs w:val="20"/>
        </w:rPr>
        <w:t>Collegii</w:t>
      </w:r>
      <w:proofErr w:type="spellEnd"/>
      <w:r w:rsidRPr="009D7635">
        <w:rPr>
          <w:rFonts w:ascii="Times New Roman" w:hAnsi="Times New Roman" w:cs="Times New Roman"/>
          <w:color w:val="000000" w:themeColor="text1"/>
          <w:sz w:val="20"/>
          <w:szCs w:val="20"/>
        </w:rPr>
        <w:t xml:space="preserve"> S. Bonaventure, 2013). </w:t>
      </w:r>
      <w:proofErr w:type="spellStart"/>
      <w:r w:rsidRPr="009D7635">
        <w:rPr>
          <w:rFonts w:ascii="Times New Roman" w:hAnsi="Times New Roman" w:cs="Times New Roman"/>
          <w:i/>
          <w:color w:val="000000" w:themeColor="text1"/>
          <w:sz w:val="20"/>
          <w:szCs w:val="20"/>
        </w:rPr>
        <w:t>Alexandri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w:t>
      </w:r>
      <w:proofErr w:type="spellEnd"/>
      <w:r w:rsidRPr="009D7635">
        <w:rPr>
          <w:rFonts w:ascii="Times New Roman" w:hAnsi="Times New Roman" w:cs="Times New Roman"/>
          <w:i/>
          <w:color w:val="000000" w:themeColor="text1"/>
          <w:sz w:val="20"/>
          <w:szCs w:val="20"/>
        </w:rPr>
        <w:t xml:space="preserve"> Hales </w:t>
      </w:r>
      <w:proofErr w:type="spellStart"/>
      <w:r w:rsidRPr="009D7635">
        <w:rPr>
          <w:rFonts w:ascii="Times New Roman" w:hAnsi="Times New Roman" w:cs="Times New Roman"/>
          <w:i/>
          <w:color w:val="000000" w:themeColor="text1"/>
          <w:sz w:val="20"/>
          <w:szCs w:val="20"/>
        </w:rPr>
        <w:t>Quaestiones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disputatae</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lapsu</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angelorum</w:t>
      </w:r>
      <w:proofErr w:type="spellEnd"/>
      <w:r w:rsidRPr="009D7635">
        <w:rPr>
          <w:rFonts w:ascii="Times New Roman" w:hAnsi="Times New Roman" w:cs="Times New Roman"/>
          <w:i/>
          <w:color w:val="000000" w:themeColor="text1"/>
          <w:sz w:val="20"/>
          <w:szCs w:val="20"/>
        </w:rPr>
        <w:t xml:space="preserve"> ac </w:t>
      </w:r>
      <w:proofErr w:type="spellStart"/>
      <w:r w:rsidRPr="009D7635">
        <w:rPr>
          <w:rFonts w:ascii="Times New Roman" w:hAnsi="Times New Roman" w:cs="Times New Roman"/>
          <w:i/>
          <w:color w:val="000000" w:themeColor="text1"/>
          <w:sz w:val="20"/>
          <w:szCs w:val="20"/>
        </w:rPr>
        <w:t>protoparentum</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(Bibliotheca </w:t>
      </w:r>
      <w:proofErr w:type="spellStart"/>
      <w:r w:rsidRPr="009D7635">
        <w:rPr>
          <w:rFonts w:ascii="Times New Roman" w:hAnsi="Times New Roman" w:cs="Times New Roman"/>
          <w:color w:val="000000" w:themeColor="text1"/>
          <w:sz w:val="20"/>
          <w:szCs w:val="20"/>
        </w:rPr>
        <w:t>Franciscana</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Scholastica</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medii</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aevi</w:t>
      </w:r>
      <w:proofErr w:type="spellEnd"/>
      <w:r w:rsidRPr="009D7635">
        <w:rPr>
          <w:rFonts w:ascii="Times New Roman" w:hAnsi="Times New Roman" w:cs="Times New Roman"/>
          <w:color w:val="000000" w:themeColor="text1"/>
          <w:sz w:val="20"/>
          <w:szCs w:val="20"/>
        </w:rPr>
        <w:t xml:space="preserve">, XXXI), ed. H. M. </w:t>
      </w:r>
      <w:proofErr w:type="spellStart"/>
      <w:r w:rsidRPr="009D7635">
        <w:rPr>
          <w:rFonts w:ascii="Times New Roman" w:hAnsi="Times New Roman" w:cs="Times New Roman"/>
          <w:color w:val="000000" w:themeColor="text1"/>
          <w:sz w:val="20"/>
          <w:szCs w:val="20"/>
        </w:rPr>
        <w:t>Wierzbicki</w:t>
      </w:r>
      <w:proofErr w:type="spellEnd"/>
      <w:r w:rsidRPr="009D7635">
        <w:rPr>
          <w:rFonts w:ascii="Times New Roman" w:hAnsi="Times New Roman" w:cs="Times New Roman"/>
          <w:color w:val="000000" w:themeColor="text1"/>
          <w:sz w:val="20"/>
          <w:szCs w:val="20"/>
        </w:rPr>
        <w:t xml:space="preserve"> (Rome: </w:t>
      </w:r>
      <w:proofErr w:type="spellStart"/>
      <w:r w:rsidRPr="009D7635">
        <w:rPr>
          <w:rFonts w:ascii="Times New Roman" w:hAnsi="Times New Roman" w:cs="Times New Roman"/>
          <w:color w:val="000000" w:themeColor="text1"/>
          <w:sz w:val="20"/>
          <w:szCs w:val="20"/>
        </w:rPr>
        <w:t>Collegii</w:t>
      </w:r>
      <w:proofErr w:type="spellEnd"/>
      <w:r w:rsidRPr="009D7635">
        <w:rPr>
          <w:rFonts w:ascii="Times New Roman" w:hAnsi="Times New Roman" w:cs="Times New Roman"/>
          <w:color w:val="000000" w:themeColor="text1"/>
          <w:sz w:val="20"/>
          <w:szCs w:val="20"/>
        </w:rPr>
        <w:t xml:space="preserve"> S. Bonaventure, 2015).</w:t>
      </w:r>
    </w:p>
  </w:footnote>
  <w:footnote w:id="217">
    <w:p w14:paraId="58FC472E" w14:textId="77777777" w:rsidR="00B93ED5" w:rsidRPr="009D7635" w:rsidRDefault="00B93ED5" w:rsidP="00986E7A">
      <w:pPr>
        <w:pStyle w:val="FootnoteText"/>
        <w:rPr>
          <w:rFonts w:ascii="Times New Roman" w:hAnsi="Times New Roman" w:cs="Times New Roman"/>
          <w:color w:val="000000" w:themeColor="text1"/>
          <w:lang w:val="en-US"/>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Keenan B. Osborne, ‘Alexander of Hales,’ 21.</w:t>
      </w:r>
    </w:p>
  </w:footnote>
  <w:footnote w:id="218">
    <w:p w14:paraId="61439D7B" w14:textId="74387C33" w:rsidR="00B93ED5" w:rsidRPr="009D7635" w:rsidRDefault="00B93ED5" w:rsidP="00986E7A">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A. </w:t>
      </w:r>
      <w:proofErr w:type="spellStart"/>
      <w:r w:rsidRPr="009D7635">
        <w:rPr>
          <w:rFonts w:ascii="Times New Roman" w:hAnsi="Times New Roman" w:cs="Times New Roman"/>
          <w:color w:val="000000" w:themeColor="text1"/>
          <w:sz w:val="20"/>
          <w:szCs w:val="20"/>
          <w:lang w:val="en-US"/>
        </w:rPr>
        <w:t>d'Esneval</w:t>
      </w:r>
      <w:proofErr w:type="spellEnd"/>
      <w:r w:rsidRPr="009D7635">
        <w:rPr>
          <w:rFonts w:ascii="Times New Roman" w:hAnsi="Times New Roman" w:cs="Times New Roman"/>
          <w:color w:val="000000" w:themeColor="text1"/>
          <w:sz w:val="20"/>
          <w:szCs w:val="20"/>
          <w:lang w:val="en-US"/>
        </w:rPr>
        <w:t xml:space="preserve">, ‘La division de la Vulgate </w:t>
      </w:r>
      <w:proofErr w:type="spellStart"/>
      <w:r w:rsidRPr="009D7635">
        <w:rPr>
          <w:rFonts w:ascii="Times New Roman" w:hAnsi="Times New Roman" w:cs="Times New Roman"/>
          <w:color w:val="000000" w:themeColor="text1"/>
          <w:sz w:val="20"/>
          <w:szCs w:val="20"/>
          <w:lang w:val="en-US"/>
        </w:rPr>
        <w:t>latine</w:t>
      </w:r>
      <w:proofErr w:type="spellEnd"/>
      <w:r w:rsidRPr="009D7635">
        <w:rPr>
          <w:rFonts w:ascii="Times New Roman" w:hAnsi="Times New Roman" w:cs="Times New Roman"/>
          <w:color w:val="000000" w:themeColor="text1"/>
          <w:sz w:val="20"/>
          <w:szCs w:val="20"/>
          <w:lang w:val="en-US"/>
        </w:rPr>
        <w:t xml:space="preserve"> en </w:t>
      </w:r>
      <w:proofErr w:type="spellStart"/>
      <w:r w:rsidRPr="009D7635">
        <w:rPr>
          <w:rFonts w:ascii="Times New Roman" w:hAnsi="Times New Roman" w:cs="Times New Roman"/>
          <w:color w:val="000000" w:themeColor="text1"/>
          <w:sz w:val="20"/>
          <w:szCs w:val="20"/>
          <w:lang w:val="en-US"/>
        </w:rPr>
        <w:t>chapitres</w:t>
      </w:r>
      <w:proofErr w:type="spellEnd"/>
      <w:r w:rsidRPr="009D7635">
        <w:rPr>
          <w:rFonts w:ascii="Times New Roman" w:hAnsi="Times New Roman" w:cs="Times New Roman"/>
          <w:color w:val="000000" w:themeColor="text1"/>
          <w:sz w:val="20"/>
          <w:szCs w:val="20"/>
          <w:lang w:val="en-US"/>
        </w:rPr>
        <w:t xml:space="preserve"> dans l'edition </w:t>
      </w:r>
      <w:proofErr w:type="spellStart"/>
      <w:r w:rsidRPr="009D7635">
        <w:rPr>
          <w:rFonts w:ascii="Times New Roman" w:hAnsi="Times New Roman" w:cs="Times New Roman"/>
          <w:color w:val="000000" w:themeColor="text1"/>
          <w:sz w:val="20"/>
          <w:szCs w:val="20"/>
          <w:lang w:val="en-US"/>
        </w:rPr>
        <w:t>parisienne</w:t>
      </w:r>
      <w:proofErr w:type="spellEnd"/>
      <w:r w:rsidRPr="009D7635">
        <w:rPr>
          <w:rFonts w:ascii="Times New Roman" w:hAnsi="Times New Roman" w:cs="Times New Roman"/>
          <w:color w:val="000000" w:themeColor="text1"/>
          <w:sz w:val="20"/>
          <w:szCs w:val="20"/>
          <w:lang w:val="en-US"/>
        </w:rPr>
        <w:t xml:space="preserve"> du XIII' </w:t>
      </w:r>
      <w:proofErr w:type="spellStart"/>
      <w:r w:rsidRPr="009D7635">
        <w:rPr>
          <w:rFonts w:ascii="Times New Roman" w:hAnsi="Times New Roman" w:cs="Times New Roman"/>
          <w:color w:val="000000" w:themeColor="text1"/>
          <w:sz w:val="20"/>
          <w:szCs w:val="20"/>
          <w:lang w:val="en-US"/>
        </w:rPr>
        <w:t>siecle</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Revue des sciences </w:t>
      </w:r>
      <w:proofErr w:type="spellStart"/>
      <w:r w:rsidRPr="009D7635">
        <w:rPr>
          <w:rFonts w:ascii="Times New Roman" w:hAnsi="Times New Roman" w:cs="Times New Roman"/>
          <w:i/>
          <w:color w:val="000000" w:themeColor="text1"/>
          <w:sz w:val="20"/>
          <w:szCs w:val="20"/>
          <w:lang w:val="en-US"/>
        </w:rPr>
        <w:t>philosophiques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theologiques</w:t>
      </w:r>
      <w:proofErr w:type="spellEnd"/>
      <w:r w:rsidRPr="009D7635">
        <w:rPr>
          <w:rFonts w:ascii="Times New Roman" w:hAnsi="Times New Roman" w:cs="Times New Roman"/>
          <w:color w:val="000000" w:themeColor="text1"/>
          <w:sz w:val="20"/>
          <w:szCs w:val="20"/>
          <w:lang w:val="en-US"/>
        </w:rPr>
        <w:t xml:space="preserve"> 62 (1978)</w:t>
      </w:r>
      <w:r w:rsidR="00246810"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559-68.</w:t>
      </w:r>
    </w:p>
  </w:footnote>
  <w:footnote w:id="219">
    <w:p w14:paraId="79FD557E" w14:textId="0787F359" w:rsidR="00B93ED5" w:rsidRPr="009D7635" w:rsidRDefault="00B93ED5" w:rsidP="00986E7A">
      <w:pPr>
        <w:widowControl w:val="0"/>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M.V. Dougherty, ‘Twenty Moral Dilemmas from Two Early Thirteenth-Century Summaries of Theology: William of </w:t>
      </w:r>
      <w:proofErr w:type="spellStart"/>
      <w:r w:rsidRPr="009D7635">
        <w:rPr>
          <w:rFonts w:ascii="Times New Roman" w:hAnsi="Times New Roman" w:cs="Times New Roman"/>
          <w:color w:val="000000" w:themeColor="text1"/>
          <w:sz w:val="20"/>
          <w:szCs w:val="20"/>
          <w:lang w:val="en-US"/>
        </w:rPr>
        <w:t>Auxerre's</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iCs/>
          <w:color w:val="000000" w:themeColor="text1"/>
          <w:sz w:val="20"/>
          <w:szCs w:val="20"/>
          <w:lang w:val="en-US"/>
        </w:rPr>
        <w:t xml:space="preserve">Summa </w:t>
      </w:r>
      <w:proofErr w:type="spellStart"/>
      <w:r w:rsidRPr="009D7635">
        <w:rPr>
          <w:rFonts w:ascii="Times New Roman" w:hAnsi="Times New Roman" w:cs="Times New Roman"/>
          <w:i/>
          <w:iCs/>
          <w:color w:val="000000" w:themeColor="text1"/>
          <w:sz w:val="20"/>
          <w:szCs w:val="20"/>
          <w:lang w:val="en-US"/>
        </w:rPr>
        <w:t>aurea</w:t>
      </w:r>
      <w:proofErr w:type="spellEnd"/>
      <w:r w:rsidRPr="009D7635">
        <w:rPr>
          <w:rFonts w:ascii="Times New Roman" w:hAnsi="Times New Roman" w:cs="Times New Roman"/>
          <w:i/>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and the Franciscan </w:t>
      </w:r>
      <w:r w:rsidRPr="009D7635">
        <w:rPr>
          <w:rFonts w:ascii="Times New Roman" w:hAnsi="Times New Roman" w:cs="Times New Roman"/>
          <w:i/>
          <w:iCs/>
          <w:color w:val="000000" w:themeColor="text1"/>
          <w:sz w:val="20"/>
          <w:szCs w:val="20"/>
          <w:lang w:val="en-US"/>
        </w:rPr>
        <w:t xml:space="preserve">Summa </w:t>
      </w:r>
      <w:proofErr w:type="spellStart"/>
      <w:r w:rsidRPr="009D7635">
        <w:rPr>
          <w:rFonts w:ascii="Times New Roman" w:hAnsi="Times New Roman" w:cs="Times New Roman"/>
          <w:i/>
          <w:iCs/>
          <w:color w:val="000000" w:themeColor="text1"/>
          <w:sz w:val="20"/>
          <w:szCs w:val="20"/>
          <w:lang w:val="en-US"/>
        </w:rPr>
        <w:t>Halensiana</w:t>
      </w:r>
      <w:proofErr w:type="spellEnd"/>
      <w:r w:rsidRPr="009D7635">
        <w:rPr>
          <w:rFonts w:ascii="Times New Roman" w:hAnsi="Times New Roman" w:cs="Times New Roman"/>
          <w:i/>
          <w:iCs/>
          <w:color w:val="000000" w:themeColor="text1"/>
          <w:sz w:val="20"/>
          <w:szCs w:val="20"/>
          <w:lang w:val="en-US"/>
        </w:rPr>
        <w:t xml:space="preserve">,’ </w:t>
      </w:r>
      <w:r w:rsidRPr="009D7635">
        <w:rPr>
          <w:rFonts w:ascii="Times New Roman" w:hAnsi="Times New Roman" w:cs="Times New Roman"/>
          <w:iCs/>
          <w:color w:val="000000" w:themeColor="text1"/>
          <w:sz w:val="20"/>
          <w:szCs w:val="20"/>
          <w:lang w:val="en-US"/>
        </w:rPr>
        <w:t>in</w:t>
      </w:r>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Moral Dilemmas in Medieval Thought From Gratian to Aquinas </w:t>
      </w:r>
      <w:r w:rsidRPr="009D7635">
        <w:rPr>
          <w:rFonts w:ascii="Times New Roman" w:hAnsi="Times New Roman" w:cs="Times New Roman"/>
          <w:color w:val="000000" w:themeColor="text1"/>
          <w:sz w:val="20"/>
          <w:szCs w:val="20"/>
          <w:lang w:val="en-US"/>
        </w:rPr>
        <w:t>(Cambridge: Cambridge University Press, 2011), 46</w:t>
      </w:r>
    </w:p>
  </w:footnote>
  <w:footnote w:id="220">
    <w:p w14:paraId="06C5AC80" w14:textId="77777777" w:rsidR="00B93ED5" w:rsidRPr="009D7635" w:rsidRDefault="00B93ED5" w:rsidP="00986E7A">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Nancy Spatz, ‘Approaches and Attitudes to a New Theology Textbook,’ 31.</w:t>
      </w:r>
    </w:p>
  </w:footnote>
  <w:footnote w:id="221">
    <w:p w14:paraId="6877695D" w14:textId="77777777" w:rsidR="00B93ED5" w:rsidRPr="009D7635" w:rsidRDefault="00B93ED5" w:rsidP="00986E7A">
      <w:pPr>
        <w:widowControl w:val="0"/>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Marcia L. Colish, ‘The Sentence Collection and the Education of Professional Theologians in the Twelfth Century,’ in </w:t>
      </w:r>
      <w:r w:rsidRPr="009D7635">
        <w:rPr>
          <w:rFonts w:ascii="Times New Roman" w:hAnsi="Times New Roman" w:cs="Times New Roman"/>
          <w:i/>
          <w:iCs/>
          <w:color w:val="000000" w:themeColor="text1"/>
          <w:sz w:val="20"/>
          <w:szCs w:val="20"/>
        </w:rPr>
        <w:t xml:space="preserve">The Intellectual Climate of the Early University: Essays in </w:t>
      </w:r>
      <w:proofErr w:type="spellStart"/>
      <w:r w:rsidRPr="009D7635">
        <w:rPr>
          <w:rFonts w:ascii="Times New Roman" w:hAnsi="Times New Roman" w:cs="Times New Roman"/>
          <w:i/>
          <w:iCs/>
          <w:color w:val="000000" w:themeColor="text1"/>
          <w:sz w:val="20"/>
          <w:szCs w:val="20"/>
        </w:rPr>
        <w:t>Honor</w:t>
      </w:r>
      <w:proofErr w:type="spellEnd"/>
      <w:r w:rsidRPr="009D7635">
        <w:rPr>
          <w:rFonts w:ascii="Times New Roman" w:hAnsi="Times New Roman" w:cs="Times New Roman"/>
          <w:i/>
          <w:iCs/>
          <w:color w:val="000000" w:themeColor="text1"/>
          <w:sz w:val="20"/>
          <w:szCs w:val="20"/>
        </w:rPr>
        <w:t xml:space="preserve"> of Otto </w:t>
      </w:r>
      <w:proofErr w:type="spellStart"/>
      <w:r w:rsidRPr="009D7635">
        <w:rPr>
          <w:rFonts w:ascii="Times New Roman" w:hAnsi="Times New Roman" w:cs="Times New Roman"/>
          <w:i/>
          <w:iCs/>
          <w:color w:val="000000" w:themeColor="text1"/>
          <w:sz w:val="20"/>
          <w:szCs w:val="20"/>
        </w:rPr>
        <w:t>Grundler</w:t>
      </w:r>
      <w:proofErr w:type="spellEnd"/>
      <w:r w:rsidRPr="009D7635">
        <w:rPr>
          <w:rFonts w:ascii="Times New Roman" w:hAnsi="Times New Roman" w:cs="Times New Roman"/>
          <w:i/>
          <w:iCs/>
          <w:color w:val="000000" w:themeColor="text1"/>
          <w:sz w:val="20"/>
          <w:szCs w:val="20"/>
        </w:rPr>
        <w:t xml:space="preserve"> </w:t>
      </w:r>
      <w:r w:rsidRPr="009D7635">
        <w:rPr>
          <w:rFonts w:ascii="Times New Roman" w:hAnsi="Times New Roman" w:cs="Times New Roman"/>
          <w:color w:val="000000" w:themeColor="text1"/>
          <w:sz w:val="20"/>
          <w:szCs w:val="20"/>
        </w:rPr>
        <w:t>(Kalamazoo: Western Michigan University, 1997), 1-26.</w:t>
      </w:r>
    </w:p>
  </w:footnote>
  <w:footnote w:id="222">
    <w:p w14:paraId="4811FDD6" w14:textId="6FF87FEA" w:rsidR="00B93ED5" w:rsidRPr="009D7635" w:rsidRDefault="00B93ED5" w:rsidP="00986E7A">
      <w:pPr>
        <w:pStyle w:val="FootnoteText"/>
        <w:rPr>
          <w:rFonts w:ascii="Times New Roman" w:hAnsi="Times New Roman" w:cs="Times New Roman"/>
          <w:color w:val="000000" w:themeColor="text1"/>
          <w:lang w:val="en-US"/>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Victorin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Doucet</w:t>
      </w:r>
      <w:proofErr w:type="spellEnd"/>
      <w:r w:rsidRPr="009D7635">
        <w:rPr>
          <w:rFonts w:ascii="Times New Roman" w:hAnsi="Times New Roman" w:cs="Times New Roman"/>
          <w:color w:val="000000" w:themeColor="text1"/>
        </w:rPr>
        <w:t>, ‘</w:t>
      </w:r>
      <w:r w:rsidRPr="009D7635">
        <w:rPr>
          <w:rFonts w:ascii="Times New Roman" w:hAnsi="Times New Roman" w:cs="Times New Roman"/>
          <w:color w:val="000000" w:themeColor="text1"/>
          <w:lang w:val="en-US"/>
        </w:rPr>
        <w:t xml:space="preserve">Prolegomena in </w:t>
      </w:r>
      <w:proofErr w:type="spellStart"/>
      <w:r w:rsidRPr="009D7635">
        <w:rPr>
          <w:rFonts w:ascii="Times New Roman" w:hAnsi="Times New Roman" w:cs="Times New Roman"/>
          <w:color w:val="000000" w:themeColor="text1"/>
          <w:lang w:val="en-US"/>
        </w:rPr>
        <w:t>librum</w:t>
      </w:r>
      <w:proofErr w:type="spellEnd"/>
      <w:r w:rsidRPr="009D7635">
        <w:rPr>
          <w:rFonts w:ascii="Times New Roman" w:hAnsi="Times New Roman" w:cs="Times New Roman"/>
          <w:color w:val="000000" w:themeColor="text1"/>
          <w:lang w:val="en-US"/>
        </w:rPr>
        <w:t xml:space="preserve"> III,’ 360-1; cf. ‘The History of the Problem of the Summa,’ 310-11. </w:t>
      </w:r>
      <w:bookmarkStart w:id="0" w:name="OLE_LINK1"/>
      <w:bookmarkStart w:id="1" w:name="OLE_LINK2"/>
      <w:proofErr w:type="spellStart"/>
      <w:r w:rsidRPr="009D7635">
        <w:rPr>
          <w:rFonts w:ascii="Times New Roman" w:hAnsi="Times New Roman" w:cs="Times New Roman"/>
          <w:i/>
          <w:color w:val="000000" w:themeColor="text1"/>
          <w:lang w:val="en-US"/>
        </w:rPr>
        <w:t>Doctoris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irrefragabilis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Alexandri</w:t>
      </w:r>
      <w:proofErr w:type="spellEnd"/>
      <w:r w:rsidRPr="009D7635">
        <w:rPr>
          <w:rFonts w:ascii="Times New Roman" w:hAnsi="Times New Roman" w:cs="Times New Roman"/>
          <w:i/>
          <w:color w:val="000000" w:themeColor="text1"/>
          <w:lang w:val="en-US"/>
        </w:rPr>
        <w:t xml:space="preserve"> de Hales </w:t>
      </w:r>
      <w:proofErr w:type="spellStart"/>
      <w:r w:rsidRPr="009D7635">
        <w:rPr>
          <w:rFonts w:ascii="Times New Roman" w:hAnsi="Times New Roman" w:cs="Times New Roman"/>
          <w:i/>
          <w:color w:val="000000" w:themeColor="text1"/>
          <w:lang w:val="en-US"/>
        </w:rPr>
        <w:t>Ordinis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minorum</w:t>
      </w:r>
      <w:proofErr w:type="spellEnd"/>
      <w:r w:rsidRPr="009D7635">
        <w:rPr>
          <w:rFonts w:ascii="Times New Roman" w:hAnsi="Times New Roman" w:cs="Times New Roman"/>
          <w:i/>
          <w:color w:val="000000" w:themeColor="text1"/>
          <w:lang w:val="en-US"/>
        </w:rPr>
        <w:t xml:space="preserve"> Summa </w:t>
      </w:r>
      <w:proofErr w:type="spellStart"/>
      <w:r w:rsidRPr="009D7635">
        <w:rPr>
          <w:rFonts w:ascii="Times New Roman" w:hAnsi="Times New Roman" w:cs="Times New Roman"/>
          <w:i/>
          <w:color w:val="000000" w:themeColor="text1"/>
          <w:lang w:val="en-US"/>
        </w:rPr>
        <w:t>theologica</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Quaracchi</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Collegii</w:t>
      </w:r>
      <w:proofErr w:type="spellEnd"/>
      <w:r w:rsidRPr="009D7635">
        <w:rPr>
          <w:rFonts w:ascii="Times New Roman" w:hAnsi="Times New Roman" w:cs="Times New Roman"/>
          <w:color w:val="000000" w:themeColor="text1"/>
          <w:lang w:val="en-US"/>
        </w:rPr>
        <w:t xml:space="preserve"> S</w:t>
      </w:r>
      <w:r w:rsidR="009C71F4" w:rsidRPr="009D7635">
        <w:rPr>
          <w:rFonts w:ascii="Times New Roman" w:hAnsi="Times New Roman" w:cs="Times New Roman"/>
          <w:color w:val="000000" w:themeColor="text1"/>
          <w:lang w:val="en-US"/>
        </w:rPr>
        <w:t>.</w:t>
      </w:r>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Bonaventurae</w:t>
      </w:r>
      <w:proofErr w:type="spellEnd"/>
      <w:r w:rsidRPr="009D7635">
        <w:rPr>
          <w:rFonts w:ascii="Times New Roman" w:hAnsi="Times New Roman" w:cs="Times New Roman"/>
          <w:color w:val="000000" w:themeColor="text1"/>
          <w:lang w:val="en-US"/>
        </w:rPr>
        <w:t>, 1924-48)</w:t>
      </w:r>
      <w:bookmarkEnd w:id="0"/>
      <w:bookmarkEnd w:id="1"/>
      <w:r w:rsidRPr="009D7635">
        <w:rPr>
          <w:rFonts w:ascii="Times New Roman" w:hAnsi="Times New Roman" w:cs="Times New Roman"/>
          <w:color w:val="000000" w:themeColor="text1"/>
          <w:lang w:val="en-US"/>
        </w:rPr>
        <w:t>.</w:t>
      </w:r>
    </w:p>
  </w:footnote>
  <w:footnote w:id="223">
    <w:p w14:paraId="7543C78A" w14:textId="3D342AA3" w:rsidR="00B93ED5" w:rsidRPr="009D7635" w:rsidRDefault="00B93ED5" w:rsidP="00986E7A">
      <w:pPr>
        <w:pStyle w:val="p1"/>
        <w:rPr>
          <w:color w:val="000000" w:themeColor="text1"/>
          <w:sz w:val="20"/>
          <w:szCs w:val="20"/>
        </w:rPr>
      </w:pPr>
      <w:r w:rsidRPr="009D7635">
        <w:rPr>
          <w:rStyle w:val="FootnoteReference"/>
          <w:color w:val="000000" w:themeColor="text1"/>
          <w:sz w:val="20"/>
          <w:szCs w:val="20"/>
        </w:rPr>
        <w:footnoteRef/>
      </w:r>
      <w:r w:rsidRPr="009D7635">
        <w:rPr>
          <w:color w:val="000000" w:themeColor="text1"/>
          <w:sz w:val="20"/>
          <w:szCs w:val="20"/>
        </w:rPr>
        <w:t xml:space="preserve"> Adam Jeffrey Davis, </w:t>
      </w:r>
      <w:r w:rsidRPr="009D7635">
        <w:rPr>
          <w:bCs/>
          <w:i/>
          <w:color w:val="000000" w:themeColor="text1"/>
          <w:sz w:val="20"/>
          <w:szCs w:val="20"/>
        </w:rPr>
        <w:t xml:space="preserve">The Holy Bureaucrat: </w:t>
      </w:r>
      <w:proofErr w:type="spellStart"/>
      <w:r w:rsidRPr="009D7635">
        <w:rPr>
          <w:bCs/>
          <w:i/>
          <w:color w:val="000000" w:themeColor="text1"/>
          <w:sz w:val="20"/>
          <w:szCs w:val="20"/>
        </w:rPr>
        <w:t>Eudes</w:t>
      </w:r>
      <w:proofErr w:type="spellEnd"/>
      <w:r w:rsidRPr="009D7635">
        <w:rPr>
          <w:bCs/>
          <w:i/>
          <w:color w:val="000000" w:themeColor="text1"/>
          <w:sz w:val="20"/>
          <w:szCs w:val="20"/>
        </w:rPr>
        <w:t xml:space="preserve"> </w:t>
      </w:r>
      <w:proofErr w:type="spellStart"/>
      <w:r w:rsidRPr="009D7635">
        <w:rPr>
          <w:bCs/>
          <w:i/>
          <w:color w:val="000000" w:themeColor="text1"/>
          <w:sz w:val="20"/>
          <w:szCs w:val="20"/>
        </w:rPr>
        <w:t>Rigaud</w:t>
      </w:r>
      <w:proofErr w:type="spellEnd"/>
      <w:r w:rsidRPr="009D7635">
        <w:rPr>
          <w:bCs/>
          <w:i/>
          <w:color w:val="000000" w:themeColor="text1"/>
          <w:sz w:val="20"/>
          <w:szCs w:val="20"/>
        </w:rPr>
        <w:t xml:space="preserve"> and Religious Reform in Thirteenth-century Normandy </w:t>
      </w:r>
      <w:r w:rsidRPr="009D7635">
        <w:rPr>
          <w:bCs/>
          <w:color w:val="000000" w:themeColor="text1"/>
          <w:sz w:val="20"/>
          <w:szCs w:val="20"/>
        </w:rPr>
        <w:t>(Ithaca: Cornell University Press, 2006). Sophie Delmas, ‘</w:t>
      </w:r>
      <w:proofErr w:type="spellStart"/>
      <w:r w:rsidRPr="009D7635">
        <w:rPr>
          <w:bCs/>
          <w:color w:val="000000" w:themeColor="text1"/>
          <w:sz w:val="20"/>
          <w:szCs w:val="20"/>
        </w:rPr>
        <w:t>Odo</w:t>
      </w:r>
      <w:proofErr w:type="spellEnd"/>
      <w:r w:rsidRPr="009D7635">
        <w:rPr>
          <w:bCs/>
          <w:color w:val="000000" w:themeColor="text1"/>
          <w:sz w:val="20"/>
          <w:szCs w:val="20"/>
        </w:rPr>
        <w:t xml:space="preserve"> </w:t>
      </w:r>
      <w:proofErr w:type="spellStart"/>
      <w:r w:rsidRPr="009D7635">
        <w:rPr>
          <w:bCs/>
          <w:color w:val="000000" w:themeColor="text1"/>
          <w:sz w:val="20"/>
          <w:szCs w:val="20"/>
        </w:rPr>
        <w:t>Rigaldi</w:t>
      </w:r>
      <w:proofErr w:type="spellEnd"/>
      <w:r w:rsidRPr="009D7635">
        <w:rPr>
          <w:bCs/>
          <w:color w:val="000000" w:themeColor="text1"/>
          <w:sz w:val="20"/>
          <w:szCs w:val="20"/>
        </w:rPr>
        <w:t xml:space="preserve">, Alexander of Hales and the </w:t>
      </w:r>
      <w:r w:rsidRPr="009D7635">
        <w:rPr>
          <w:bCs/>
          <w:i/>
          <w:iCs/>
          <w:color w:val="000000" w:themeColor="text1"/>
          <w:sz w:val="20"/>
          <w:szCs w:val="20"/>
        </w:rPr>
        <w:t xml:space="preserve">Summa </w:t>
      </w:r>
      <w:proofErr w:type="spellStart"/>
      <w:r w:rsidRPr="009D7635">
        <w:rPr>
          <w:bCs/>
          <w:i/>
          <w:iCs/>
          <w:color w:val="000000" w:themeColor="text1"/>
          <w:sz w:val="20"/>
          <w:szCs w:val="20"/>
        </w:rPr>
        <w:t>Halensis</w:t>
      </w:r>
      <w:proofErr w:type="spellEnd"/>
      <w:r w:rsidRPr="009D7635">
        <w:rPr>
          <w:bCs/>
          <w:i/>
          <w:iCs/>
          <w:color w:val="000000" w:themeColor="text1"/>
          <w:sz w:val="20"/>
          <w:szCs w:val="20"/>
        </w:rPr>
        <w:t xml:space="preserve">,’ </w:t>
      </w:r>
      <w:r w:rsidRPr="009D7635">
        <w:rPr>
          <w:bCs/>
          <w:color w:val="000000" w:themeColor="text1"/>
          <w:sz w:val="20"/>
          <w:szCs w:val="20"/>
        </w:rPr>
        <w:t xml:space="preserve">in </w:t>
      </w:r>
      <w:r w:rsidRPr="009D7635">
        <w:rPr>
          <w:bCs/>
          <w:i/>
          <w:iCs/>
          <w:color w:val="000000" w:themeColor="text1"/>
          <w:sz w:val="20"/>
          <w:szCs w:val="20"/>
        </w:rPr>
        <w:t xml:space="preserve">The Summa </w:t>
      </w:r>
      <w:proofErr w:type="spellStart"/>
      <w:r w:rsidRPr="009D7635">
        <w:rPr>
          <w:bCs/>
          <w:i/>
          <w:iCs/>
          <w:color w:val="000000" w:themeColor="text1"/>
          <w:sz w:val="20"/>
          <w:szCs w:val="20"/>
        </w:rPr>
        <w:t>Halensis</w:t>
      </w:r>
      <w:proofErr w:type="spellEnd"/>
      <w:r w:rsidRPr="009D7635">
        <w:rPr>
          <w:bCs/>
          <w:i/>
          <w:iCs/>
          <w:color w:val="000000" w:themeColor="text1"/>
          <w:sz w:val="20"/>
          <w:szCs w:val="20"/>
        </w:rPr>
        <w:t xml:space="preserve">: Sources and Context, </w:t>
      </w:r>
      <w:r w:rsidRPr="009D7635">
        <w:rPr>
          <w:bCs/>
          <w:color w:val="000000" w:themeColor="text1"/>
          <w:sz w:val="20"/>
          <w:szCs w:val="20"/>
        </w:rPr>
        <w:t xml:space="preserve">ed. Lydia Schumacher (Berlin: De Gruyter, 2020). Nathalie </w:t>
      </w:r>
      <w:proofErr w:type="spellStart"/>
      <w:r w:rsidRPr="009D7635">
        <w:rPr>
          <w:bCs/>
          <w:color w:val="000000" w:themeColor="text1"/>
          <w:sz w:val="20"/>
          <w:szCs w:val="20"/>
        </w:rPr>
        <w:t>Gorochov</w:t>
      </w:r>
      <w:proofErr w:type="spellEnd"/>
      <w:r w:rsidRPr="009D7635">
        <w:rPr>
          <w:bCs/>
          <w:color w:val="000000" w:themeColor="text1"/>
          <w:sz w:val="20"/>
          <w:szCs w:val="20"/>
        </w:rPr>
        <w:t>, ‘</w:t>
      </w:r>
      <w:proofErr w:type="spellStart"/>
      <w:r w:rsidRPr="009D7635">
        <w:rPr>
          <w:bCs/>
          <w:color w:val="000000" w:themeColor="text1"/>
          <w:sz w:val="20"/>
          <w:szCs w:val="20"/>
        </w:rPr>
        <w:t>Odo</w:t>
      </w:r>
      <w:proofErr w:type="spellEnd"/>
      <w:r w:rsidRPr="009D7635">
        <w:rPr>
          <w:bCs/>
          <w:color w:val="000000" w:themeColor="text1"/>
          <w:sz w:val="20"/>
          <w:szCs w:val="20"/>
        </w:rPr>
        <w:t xml:space="preserve"> </w:t>
      </w:r>
      <w:proofErr w:type="spellStart"/>
      <w:r w:rsidRPr="009D7635">
        <w:rPr>
          <w:bCs/>
          <w:color w:val="000000" w:themeColor="text1"/>
          <w:sz w:val="20"/>
          <w:szCs w:val="20"/>
        </w:rPr>
        <w:t>Rigaldus</w:t>
      </w:r>
      <w:proofErr w:type="spellEnd"/>
      <w:r w:rsidRPr="009D7635">
        <w:rPr>
          <w:bCs/>
          <w:color w:val="000000" w:themeColor="text1"/>
          <w:sz w:val="20"/>
          <w:szCs w:val="20"/>
        </w:rPr>
        <w:t xml:space="preserve"> at the University of Paris (c. 1220-48),’ in </w:t>
      </w:r>
      <w:r w:rsidRPr="009D7635">
        <w:rPr>
          <w:bCs/>
          <w:i/>
          <w:iCs/>
          <w:color w:val="000000" w:themeColor="text1"/>
          <w:sz w:val="20"/>
          <w:szCs w:val="20"/>
        </w:rPr>
        <w:t xml:space="preserve">The Legacy of Early Franciscan Thought, </w:t>
      </w:r>
      <w:r w:rsidRPr="009D7635">
        <w:rPr>
          <w:bCs/>
          <w:color w:val="000000" w:themeColor="text1"/>
          <w:sz w:val="20"/>
          <w:szCs w:val="20"/>
        </w:rPr>
        <w:t>ed. Lydia Schumacher (Berlin: De Gruyter, 2021), 151-68.</w:t>
      </w:r>
    </w:p>
  </w:footnote>
  <w:footnote w:id="224">
    <w:p w14:paraId="444B004E"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Bert </w:t>
      </w:r>
      <w:proofErr w:type="spellStart"/>
      <w:r w:rsidRPr="009D7635">
        <w:rPr>
          <w:rFonts w:ascii="Times New Roman" w:hAnsi="Times New Roman" w:cs="Times New Roman"/>
          <w:color w:val="000000" w:themeColor="text1"/>
        </w:rPr>
        <w:t>Roest</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A History of Franciscan Education </w:t>
      </w:r>
      <w:r w:rsidRPr="009D7635">
        <w:rPr>
          <w:rFonts w:ascii="Times New Roman" w:hAnsi="Times New Roman" w:cs="Times New Roman"/>
          <w:color w:val="000000" w:themeColor="text1"/>
        </w:rPr>
        <w:t>(Leiden: Brill, 2000), 126.</w:t>
      </w:r>
    </w:p>
  </w:footnote>
  <w:footnote w:id="225">
    <w:p w14:paraId="0C577DE4"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Berard</w:t>
      </w:r>
      <w:proofErr w:type="spellEnd"/>
      <w:r w:rsidRPr="009D7635">
        <w:rPr>
          <w:rFonts w:ascii="Times New Roman" w:hAnsi="Times New Roman" w:cs="Times New Roman"/>
          <w:color w:val="000000" w:themeColor="text1"/>
        </w:rPr>
        <w:t xml:space="preserve"> Vogt, ‘Der </w:t>
      </w:r>
      <w:proofErr w:type="spellStart"/>
      <w:r w:rsidRPr="009D7635">
        <w:rPr>
          <w:rFonts w:ascii="Times New Roman" w:hAnsi="Times New Roman" w:cs="Times New Roman"/>
          <w:color w:val="000000" w:themeColor="text1"/>
        </w:rPr>
        <w:t>Ursprung</w:t>
      </w:r>
      <w:proofErr w:type="spellEnd"/>
      <w:r w:rsidRPr="009D7635">
        <w:rPr>
          <w:rFonts w:ascii="Times New Roman" w:hAnsi="Times New Roman" w:cs="Times New Roman"/>
          <w:color w:val="000000" w:themeColor="text1"/>
        </w:rPr>
        <w:t xml:space="preserve"> und die </w:t>
      </w:r>
      <w:proofErr w:type="spellStart"/>
      <w:r w:rsidRPr="009D7635">
        <w:rPr>
          <w:rFonts w:ascii="Times New Roman" w:hAnsi="Times New Roman" w:cs="Times New Roman"/>
          <w:color w:val="000000" w:themeColor="text1"/>
        </w:rPr>
        <w:t>Entwicklung</w:t>
      </w:r>
      <w:proofErr w:type="spellEnd"/>
      <w:r w:rsidRPr="009D7635">
        <w:rPr>
          <w:rFonts w:ascii="Times New Roman" w:hAnsi="Times New Roman" w:cs="Times New Roman"/>
          <w:color w:val="000000" w:themeColor="text1"/>
        </w:rPr>
        <w:t xml:space="preserve"> der </w:t>
      </w:r>
      <w:proofErr w:type="spellStart"/>
      <w:r w:rsidRPr="009D7635">
        <w:rPr>
          <w:rFonts w:ascii="Times New Roman" w:hAnsi="Times New Roman" w:cs="Times New Roman"/>
          <w:color w:val="000000" w:themeColor="text1"/>
        </w:rPr>
        <w:t>Franziskanerschule</w:t>
      </w:r>
      <w:proofErr w:type="spellEnd"/>
      <w:r w:rsidRPr="009D7635">
        <w:rPr>
          <w:rFonts w:ascii="Times New Roman" w:hAnsi="Times New Roman" w:cs="Times New Roman"/>
          <w:color w:val="000000" w:themeColor="text1"/>
        </w:rPr>
        <w:t>,’ 146.</w:t>
      </w:r>
    </w:p>
  </w:footnote>
  <w:footnote w:id="226">
    <w:p w14:paraId="1385473B" w14:textId="1C8C15F5" w:rsidR="00B93ED5" w:rsidRPr="009D7635" w:rsidRDefault="00B93ED5" w:rsidP="00986E7A">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‘Roland de </w:t>
      </w:r>
      <w:proofErr w:type="spellStart"/>
      <w:r w:rsidRPr="009D7635">
        <w:rPr>
          <w:rFonts w:ascii="Times New Roman" w:hAnsi="Times New Roman" w:cs="Times New Roman"/>
          <w:color w:val="000000" w:themeColor="text1"/>
          <w:sz w:val="20"/>
          <w:szCs w:val="20"/>
        </w:rPr>
        <w:t>Crémone</w:t>
      </w:r>
      <w:proofErr w:type="spellEnd"/>
      <w:r w:rsidRPr="009D7635">
        <w:rPr>
          <w:rFonts w:ascii="Times New Roman" w:hAnsi="Times New Roman" w:cs="Times New Roman"/>
          <w:color w:val="000000" w:themeColor="text1"/>
          <w:sz w:val="20"/>
          <w:szCs w:val="20"/>
        </w:rPr>
        <w:t xml:space="preserve"> et </w:t>
      </w:r>
      <w:proofErr w:type="spellStart"/>
      <w:r w:rsidRPr="009D7635">
        <w:rPr>
          <w:rFonts w:ascii="Times New Roman" w:hAnsi="Times New Roman" w:cs="Times New Roman"/>
          <w:color w:val="000000" w:themeColor="text1"/>
          <w:sz w:val="20"/>
          <w:szCs w:val="20"/>
        </w:rPr>
        <w:t>Hugues</w:t>
      </w:r>
      <w:proofErr w:type="spellEnd"/>
      <w:r w:rsidRPr="009D7635">
        <w:rPr>
          <w:rFonts w:ascii="Times New Roman" w:hAnsi="Times New Roman" w:cs="Times New Roman"/>
          <w:color w:val="000000" w:themeColor="text1"/>
          <w:sz w:val="20"/>
          <w:szCs w:val="20"/>
        </w:rPr>
        <w:t xml:space="preserve"> de Saint-Cher,’ </w:t>
      </w:r>
      <w:proofErr w:type="spellStart"/>
      <w:r w:rsidRPr="009D7635">
        <w:rPr>
          <w:rFonts w:ascii="Times New Roman" w:hAnsi="Times New Roman" w:cs="Times New Roman"/>
          <w:i/>
          <w:color w:val="000000" w:themeColor="text1"/>
          <w:sz w:val="20"/>
          <w:szCs w:val="20"/>
        </w:rPr>
        <w:t>Recherches</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théologie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ancienne</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médiéevale</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12 (1940)</w:t>
      </w:r>
      <w:r w:rsidR="009C71F4"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136. </w:t>
      </w:r>
      <w:r w:rsidRPr="009D7635">
        <w:rPr>
          <w:rFonts w:ascii="Times New Roman" w:hAnsi="Times New Roman" w:cs="Times New Roman"/>
          <w:color w:val="000000" w:themeColor="text1"/>
          <w:sz w:val="20"/>
          <w:szCs w:val="20"/>
          <w:lang w:val="en-US"/>
        </w:rPr>
        <w:t xml:space="preserve">Roland was the first Dominican master to teach theology at Paris; cf. E. </w:t>
      </w:r>
      <w:proofErr w:type="spellStart"/>
      <w:r w:rsidRPr="009D7635">
        <w:rPr>
          <w:rFonts w:ascii="Times New Roman" w:hAnsi="Times New Roman" w:cs="Times New Roman"/>
          <w:color w:val="000000" w:themeColor="text1"/>
          <w:sz w:val="20"/>
          <w:szCs w:val="20"/>
          <w:lang w:val="en-US"/>
        </w:rPr>
        <w:t>Filthaut</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Roland von Cremona O.P. und die </w:t>
      </w:r>
      <w:proofErr w:type="spellStart"/>
      <w:r w:rsidRPr="009D7635">
        <w:rPr>
          <w:rFonts w:ascii="Times New Roman" w:hAnsi="Times New Roman" w:cs="Times New Roman"/>
          <w:i/>
          <w:color w:val="000000" w:themeColor="text1"/>
          <w:sz w:val="20"/>
          <w:szCs w:val="20"/>
          <w:lang w:val="en-US"/>
        </w:rPr>
        <w:t>Anfänge</w:t>
      </w:r>
      <w:proofErr w:type="spellEnd"/>
      <w:r w:rsidRPr="009D7635">
        <w:rPr>
          <w:rFonts w:ascii="Times New Roman" w:hAnsi="Times New Roman" w:cs="Times New Roman"/>
          <w:i/>
          <w:color w:val="000000" w:themeColor="text1"/>
          <w:sz w:val="20"/>
          <w:szCs w:val="20"/>
          <w:lang w:val="en-US"/>
        </w:rPr>
        <w:t xml:space="preserve"> der </w:t>
      </w:r>
      <w:proofErr w:type="spellStart"/>
      <w:r w:rsidRPr="009D7635">
        <w:rPr>
          <w:rFonts w:ascii="Times New Roman" w:hAnsi="Times New Roman" w:cs="Times New Roman"/>
          <w:i/>
          <w:color w:val="000000" w:themeColor="text1"/>
          <w:sz w:val="20"/>
          <w:szCs w:val="20"/>
          <w:lang w:val="en-US"/>
        </w:rPr>
        <w:t>Scholastik</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Predigerorden</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Vechta</w:t>
      </w:r>
      <w:proofErr w:type="spellEnd"/>
      <w:r w:rsidRPr="009D7635">
        <w:rPr>
          <w:rFonts w:ascii="Times New Roman" w:hAnsi="Times New Roman" w:cs="Times New Roman"/>
          <w:color w:val="000000" w:themeColor="text1"/>
          <w:sz w:val="20"/>
          <w:szCs w:val="20"/>
          <w:lang w:val="en-US"/>
        </w:rPr>
        <w:t xml:space="preserve"> i.O.: </w:t>
      </w:r>
      <w:proofErr w:type="spellStart"/>
      <w:r w:rsidRPr="009D7635">
        <w:rPr>
          <w:rFonts w:ascii="Times New Roman" w:hAnsi="Times New Roman" w:cs="Times New Roman"/>
          <w:color w:val="000000" w:themeColor="text1"/>
          <w:sz w:val="20"/>
          <w:szCs w:val="20"/>
          <w:lang w:val="en-US"/>
        </w:rPr>
        <w:t>Albertus-Magnus-Verlag</w:t>
      </w:r>
      <w:proofErr w:type="spellEnd"/>
      <w:r w:rsidRPr="009D7635">
        <w:rPr>
          <w:rFonts w:ascii="Times New Roman" w:hAnsi="Times New Roman" w:cs="Times New Roman"/>
          <w:color w:val="000000" w:themeColor="text1"/>
          <w:sz w:val="20"/>
          <w:szCs w:val="20"/>
          <w:lang w:val="en-US"/>
        </w:rPr>
        <w:t xml:space="preserve"> der </w:t>
      </w:r>
      <w:proofErr w:type="spellStart"/>
      <w:r w:rsidRPr="009D7635">
        <w:rPr>
          <w:rFonts w:ascii="Times New Roman" w:hAnsi="Times New Roman" w:cs="Times New Roman"/>
          <w:color w:val="000000" w:themeColor="text1"/>
          <w:sz w:val="20"/>
          <w:szCs w:val="20"/>
          <w:lang w:val="en-US"/>
        </w:rPr>
        <w:t>Dominikaner</w:t>
      </w:r>
      <w:proofErr w:type="spellEnd"/>
      <w:r w:rsidRPr="009D7635">
        <w:rPr>
          <w:rFonts w:ascii="Times New Roman" w:hAnsi="Times New Roman" w:cs="Times New Roman"/>
          <w:color w:val="000000" w:themeColor="text1"/>
          <w:sz w:val="20"/>
          <w:szCs w:val="20"/>
          <w:lang w:val="en-US"/>
        </w:rPr>
        <w:t xml:space="preserve">, 1936), 20-27. </w:t>
      </w:r>
    </w:p>
  </w:footnote>
  <w:footnote w:id="227">
    <w:p w14:paraId="7B0A6D22" w14:textId="6B725039"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bono</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26-7. On the close relationship between Philip and the mendicants, see Sophie Delmas, ‘Philippe le </w:t>
      </w:r>
      <w:proofErr w:type="spellStart"/>
      <w:r w:rsidRPr="009D7635">
        <w:rPr>
          <w:rFonts w:ascii="Times New Roman" w:hAnsi="Times New Roman" w:cs="Times New Roman"/>
          <w:color w:val="000000" w:themeColor="text1"/>
        </w:rPr>
        <w:t>Chancelier</w:t>
      </w:r>
      <w:proofErr w:type="spellEnd"/>
      <w:r w:rsidRPr="009D7635">
        <w:rPr>
          <w:rFonts w:ascii="Times New Roman" w:hAnsi="Times New Roman" w:cs="Times New Roman"/>
          <w:color w:val="000000" w:themeColor="text1"/>
        </w:rPr>
        <w:t xml:space="preserve"> et les orders mendicants: </w:t>
      </w:r>
      <w:proofErr w:type="spellStart"/>
      <w:r w:rsidRPr="009D7635">
        <w:rPr>
          <w:rFonts w:ascii="Times New Roman" w:hAnsi="Times New Roman" w:cs="Times New Roman"/>
          <w:color w:val="000000" w:themeColor="text1"/>
        </w:rPr>
        <w:t>anatomie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d’une</w:t>
      </w:r>
      <w:proofErr w:type="spellEnd"/>
      <w:r w:rsidRPr="009D7635">
        <w:rPr>
          <w:rFonts w:ascii="Times New Roman" w:hAnsi="Times New Roman" w:cs="Times New Roman"/>
          <w:color w:val="000000" w:themeColor="text1"/>
        </w:rPr>
        <w:t xml:space="preserve"> relation,’ in </w:t>
      </w:r>
      <w:r w:rsidRPr="009D7635">
        <w:rPr>
          <w:rFonts w:ascii="Times New Roman" w:hAnsi="Times New Roman" w:cs="Times New Roman"/>
          <w:i/>
          <w:color w:val="000000" w:themeColor="text1"/>
          <w:lang w:val="en-US"/>
        </w:rPr>
        <w:t xml:space="preserve">Philippe </w:t>
      </w:r>
      <w:proofErr w:type="spellStart"/>
      <w:r w:rsidRPr="009D7635">
        <w:rPr>
          <w:rFonts w:ascii="Times New Roman" w:hAnsi="Times New Roman" w:cs="Times New Roman"/>
          <w:i/>
          <w:color w:val="000000" w:themeColor="text1"/>
          <w:lang w:val="en-US"/>
        </w:rPr>
        <w:t>le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Chancelie</w:t>
      </w:r>
      <w:r w:rsidR="00DE2198">
        <w:rPr>
          <w:rFonts w:ascii="Times New Roman" w:hAnsi="Times New Roman" w:cs="Times New Roman"/>
          <w:i/>
          <w:color w:val="000000" w:themeColor="text1"/>
          <w:lang w:val="en-US"/>
        </w:rPr>
        <w:t>r</w:t>
      </w:r>
      <w:proofErr w:type="spellEnd"/>
      <w:r w:rsidR="00DE2198">
        <w:rPr>
          <w:rFonts w:ascii="Times New Roman" w:hAnsi="Times New Roman" w:cs="Times New Roman"/>
          <w:i/>
          <w:color w:val="000000" w:themeColor="text1"/>
          <w:lang w:val="en-US"/>
        </w:rPr>
        <w:t>,</w:t>
      </w:r>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prédicateur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théologien</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poète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parisien</w:t>
      </w:r>
      <w:proofErr w:type="spellEnd"/>
      <w:r w:rsidRPr="009D7635">
        <w:rPr>
          <w:rFonts w:ascii="Times New Roman" w:hAnsi="Times New Roman" w:cs="Times New Roman"/>
          <w:color w:val="000000" w:themeColor="text1"/>
          <w:lang w:val="en-US"/>
        </w:rPr>
        <w:t xml:space="preserve">, ed. Gilbert </w:t>
      </w:r>
      <w:proofErr w:type="spellStart"/>
      <w:r w:rsidRPr="009D7635">
        <w:rPr>
          <w:rFonts w:ascii="Times New Roman" w:hAnsi="Times New Roman" w:cs="Times New Roman"/>
          <w:color w:val="000000" w:themeColor="text1"/>
          <w:lang w:val="en-US"/>
        </w:rPr>
        <w:t>Dahan</w:t>
      </w:r>
      <w:proofErr w:type="spellEnd"/>
      <w:r w:rsidRPr="009D7635">
        <w:rPr>
          <w:rFonts w:ascii="Times New Roman" w:hAnsi="Times New Roman" w:cs="Times New Roman"/>
          <w:color w:val="000000" w:themeColor="text1"/>
          <w:lang w:val="en-US"/>
        </w:rPr>
        <w:t xml:space="preserve"> et Anne-Zoé</w:t>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lang w:val="en-US"/>
        </w:rPr>
        <w:t>Rillon-Marne</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Turnhout</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Brepols</w:t>
      </w:r>
      <w:proofErr w:type="spellEnd"/>
      <w:r w:rsidRPr="009D7635">
        <w:rPr>
          <w:rFonts w:ascii="Times New Roman" w:hAnsi="Times New Roman" w:cs="Times New Roman"/>
          <w:color w:val="000000" w:themeColor="text1"/>
          <w:lang w:val="en-US"/>
        </w:rPr>
        <w:t>, 2017), 25-39</w:t>
      </w:r>
      <w:r w:rsidRPr="009D7635">
        <w:rPr>
          <w:rFonts w:ascii="Times New Roman" w:hAnsi="Times New Roman" w:cs="Times New Roman"/>
          <w:color w:val="000000" w:themeColor="text1"/>
        </w:rPr>
        <w:t>.</w:t>
      </w:r>
    </w:p>
  </w:footnote>
  <w:footnote w:id="228">
    <w:p w14:paraId="5A09B539"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E. </w:t>
      </w:r>
      <w:proofErr w:type="spellStart"/>
      <w:r w:rsidRPr="009D7635">
        <w:rPr>
          <w:rFonts w:ascii="Times New Roman" w:hAnsi="Times New Roman" w:cs="Times New Roman"/>
          <w:color w:val="000000" w:themeColor="text1"/>
          <w:lang w:val="en-US"/>
        </w:rPr>
        <w:t>Filthaut</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i/>
          <w:color w:val="000000" w:themeColor="text1"/>
          <w:lang w:val="en-US"/>
        </w:rPr>
        <w:t>Roland von Cremona O.P.</w:t>
      </w:r>
      <w:r w:rsidRPr="009D7635">
        <w:rPr>
          <w:rFonts w:ascii="Times New Roman" w:hAnsi="Times New Roman" w:cs="Times New Roman"/>
          <w:iCs/>
          <w:color w:val="000000" w:themeColor="text1"/>
          <w:lang w:val="en-US"/>
        </w:rPr>
        <w:t>,</w:t>
      </w:r>
      <w:r w:rsidRPr="009D7635">
        <w:rPr>
          <w:rFonts w:ascii="Times New Roman" w:hAnsi="Times New Roman" w:cs="Times New Roman"/>
          <w:color w:val="000000" w:themeColor="text1"/>
        </w:rPr>
        <w:t xml:space="preserve"> 50.</w:t>
      </w:r>
    </w:p>
  </w:footnote>
  <w:footnote w:id="229">
    <w:p w14:paraId="417A3FEC" w14:textId="77777777" w:rsidR="00B93ED5" w:rsidRPr="009D7635" w:rsidRDefault="00B93ED5" w:rsidP="00986E7A">
      <w:pPr>
        <w:autoSpaceDE w:val="0"/>
        <w:autoSpaceDN w:val="0"/>
        <w:adjustRightInd w:val="0"/>
        <w:rPr>
          <w:rFonts w:ascii="Times New Roman" w:hAnsi="Times New Roman" w:cs="Times New Roman"/>
          <w:color w:val="000000" w:themeColor="text1"/>
          <w:kern w:val="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 O. </w:t>
      </w:r>
      <w:proofErr w:type="spellStart"/>
      <w:r w:rsidRPr="009D7635">
        <w:rPr>
          <w:rFonts w:ascii="Times New Roman" w:hAnsi="Times New Roman" w:cs="Times New Roman"/>
          <w:color w:val="000000" w:themeColor="text1"/>
          <w:sz w:val="20"/>
          <w:szCs w:val="20"/>
          <w:lang w:val="en-US"/>
        </w:rPr>
        <w:t>Lottin</w:t>
      </w:r>
      <w:proofErr w:type="spellEnd"/>
      <w:r w:rsidRPr="009D7635">
        <w:rPr>
          <w:rFonts w:ascii="Times New Roman" w:hAnsi="Times New Roman" w:cs="Times New Roman"/>
          <w:color w:val="000000" w:themeColor="text1"/>
          <w:sz w:val="20"/>
          <w:szCs w:val="20"/>
          <w:lang w:val="en-US"/>
        </w:rPr>
        <w:t xml:space="preserve">, ‘Roland de </w:t>
      </w:r>
      <w:proofErr w:type="spellStart"/>
      <w:r w:rsidRPr="009D7635">
        <w:rPr>
          <w:rFonts w:ascii="Times New Roman" w:hAnsi="Times New Roman" w:cs="Times New Roman"/>
          <w:color w:val="000000" w:themeColor="text1"/>
          <w:sz w:val="20"/>
          <w:szCs w:val="20"/>
          <w:lang w:val="en-US"/>
        </w:rPr>
        <w:t>Cremone</w:t>
      </w:r>
      <w:proofErr w:type="spellEnd"/>
      <w:r w:rsidRPr="009D7635">
        <w:rPr>
          <w:rFonts w:ascii="Times New Roman" w:hAnsi="Times New Roman" w:cs="Times New Roman"/>
          <w:color w:val="000000" w:themeColor="text1"/>
          <w:sz w:val="20"/>
          <w:szCs w:val="20"/>
          <w:lang w:val="en-US"/>
        </w:rPr>
        <w:t xml:space="preserve"> et </w:t>
      </w:r>
      <w:proofErr w:type="spellStart"/>
      <w:r w:rsidRPr="009D7635">
        <w:rPr>
          <w:rFonts w:ascii="Times New Roman" w:hAnsi="Times New Roman" w:cs="Times New Roman"/>
          <w:color w:val="000000" w:themeColor="text1"/>
          <w:sz w:val="20"/>
          <w:szCs w:val="20"/>
          <w:lang w:val="en-US"/>
        </w:rPr>
        <w:t>Hugues</w:t>
      </w:r>
      <w:proofErr w:type="spellEnd"/>
      <w:r w:rsidRPr="009D7635">
        <w:rPr>
          <w:rFonts w:ascii="Times New Roman" w:hAnsi="Times New Roman" w:cs="Times New Roman"/>
          <w:color w:val="000000" w:themeColor="text1"/>
          <w:sz w:val="20"/>
          <w:szCs w:val="20"/>
          <w:lang w:val="en-US"/>
        </w:rPr>
        <w:t xml:space="preserve"> de Saint-Cher,’ </w:t>
      </w:r>
      <w:r w:rsidRPr="009D7635">
        <w:rPr>
          <w:rFonts w:ascii="Times New Roman" w:hAnsi="Times New Roman" w:cs="Times New Roman"/>
          <w:color w:val="000000" w:themeColor="text1"/>
          <w:kern w:val="1"/>
          <w:sz w:val="20"/>
          <w:szCs w:val="20"/>
          <w:lang w:val="en-US"/>
        </w:rPr>
        <w:t>136-43.</w:t>
      </w:r>
    </w:p>
  </w:footnote>
  <w:footnote w:id="230">
    <w:p w14:paraId="09F31003" w14:textId="77777777" w:rsidR="00B93ED5" w:rsidRPr="009D7635" w:rsidRDefault="00B93ED5" w:rsidP="00986E7A">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Dag</w:t>
      </w:r>
      <w:proofErr w:type="spellEnd"/>
      <w:r w:rsidRPr="009D7635">
        <w:rPr>
          <w:rFonts w:ascii="Times New Roman" w:hAnsi="Times New Roman" w:cs="Times New Roman"/>
          <w:color w:val="000000" w:themeColor="text1"/>
          <w:sz w:val="20"/>
          <w:szCs w:val="20"/>
        </w:rPr>
        <w:t xml:space="preserve"> Hasse, </w:t>
      </w:r>
      <w:r w:rsidRPr="009D7635">
        <w:rPr>
          <w:rFonts w:ascii="Times New Roman" w:hAnsi="Times New Roman" w:cs="Times New Roman"/>
          <w:i/>
          <w:color w:val="000000" w:themeColor="text1"/>
          <w:sz w:val="20"/>
          <w:szCs w:val="20"/>
        </w:rPr>
        <w:t>Avicenna’s De anima</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36. </w:t>
      </w:r>
    </w:p>
  </w:footnote>
  <w:footnote w:id="231">
    <w:p w14:paraId="4CB9FD4F" w14:textId="23675835" w:rsidR="00B93ED5" w:rsidRPr="009D7635" w:rsidRDefault="00B93ED5" w:rsidP="00986E7A">
      <w:pPr>
        <w:pStyle w:val="FootnoteText"/>
        <w:rPr>
          <w:rFonts w:ascii="Times New Roman" w:hAnsi="Times New Roman" w:cs="Times New Roman"/>
          <w:color w:val="000000" w:themeColor="text1"/>
          <w:lang w:val="en-US"/>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w:t>
      </w:r>
      <w:r w:rsidRPr="009D7635">
        <w:rPr>
          <w:rFonts w:ascii="Times New Roman" w:hAnsi="Times New Roman" w:cs="Times New Roman"/>
          <w:iCs/>
          <w:color w:val="000000" w:themeColor="text1"/>
          <w:lang w:val="en-US"/>
        </w:rPr>
        <w:t xml:space="preserve"> </w:t>
      </w:r>
      <w:r w:rsidRPr="009D7635">
        <w:rPr>
          <w:rFonts w:ascii="Times New Roman" w:hAnsi="Times New Roman" w:cs="Times New Roman"/>
          <w:color w:val="000000" w:themeColor="text1"/>
          <w:lang w:val="en-US"/>
        </w:rPr>
        <w:t xml:space="preserve">28-30. R. </w:t>
      </w:r>
      <w:proofErr w:type="spellStart"/>
      <w:r w:rsidRPr="009D7635">
        <w:rPr>
          <w:rFonts w:ascii="Times New Roman" w:hAnsi="Times New Roman" w:cs="Times New Roman"/>
          <w:color w:val="000000" w:themeColor="text1"/>
          <w:lang w:val="en-US"/>
        </w:rPr>
        <w:t>Quinto</w:t>
      </w:r>
      <w:proofErr w:type="spellEnd"/>
      <w:r w:rsidRPr="009D7635">
        <w:rPr>
          <w:rFonts w:ascii="Times New Roman" w:hAnsi="Times New Roman" w:cs="Times New Roman"/>
          <w:color w:val="000000" w:themeColor="text1"/>
          <w:lang w:val="en-US"/>
        </w:rPr>
        <w:t xml:space="preserve">, ‘Le </w:t>
      </w:r>
      <w:proofErr w:type="spellStart"/>
      <w:r w:rsidRPr="009D7635">
        <w:rPr>
          <w:rFonts w:ascii="Times New Roman" w:hAnsi="Times New Roman" w:cs="Times New Roman"/>
          <w:color w:val="000000" w:themeColor="text1"/>
          <w:lang w:val="en-US"/>
        </w:rPr>
        <w:t>Commentaire</w:t>
      </w:r>
      <w:proofErr w:type="spellEnd"/>
      <w:r w:rsidRPr="009D7635">
        <w:rPr>
          <w:rFonts w:ascii="Times New Roman" w:hAnsi="Times New Roman" w:cs="Times New Roman"/>
          <w:color w:val="000000" w:themeColor="text1"/>
          <w:lang w:val="en-US"/>
        </w:rPr>
        <w:t xml:space="preserve"> des </w:t>
      </w:r>
      <w:r w:rsidRPr="009D7635">
        <w:rPr>
          <w:rFonts w:ascii="Times New Roman" w:hAnsi="Times New Roman" w:cs="Times New Roman"/>
          <w:i/>
          <w:color w:val="000000" w:themeColor="text1"/>
          <w:lang w:val="en-US"/>
        </w:rPr>
        <w:t>Sentences</w:t>
      </w:r>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d’Hugues</w:t>
      </w:r>
      <w:proofErr w:type="spellEnd"/>
      <w:r w:rsidRPr="009D7635">
        <w:rPr>
          <w:rFonts w:ascii="Times New Roman" w:hAnsi="Times New Roman" w:cs="Times New Roman"/>
          <w:color w:val="000000" w:themeColor="text1"/>
          <w:lang w:val="en-US"/>
        </w:rPr>
        <w:t xml:space="preserve"> de Saint-Cher et la </w:t>
      </w:r>
      <w:proofErr w:type="spellStart"/>
      <w:r w:rsidRPr="009D7635">
        <w:rPr>
          <w:rFonts w:ascii="Times New Roman" w:hAnsi="Times New Roman" w:cs="Times New Roman"/>
          <w:color w:val="000000" w:themeColor="text1"/>
          <w:lang w:val="en-US"/>
        </w:rPr>
        <w:t>littérature</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théologique</w:t>
      </w:r>
      <w:proofErr w:type="spellEnd"/>
      <w:r w:rsidRPr="009D7635">
        <w:rPr>
          <w:rFonts w:ascii="Times New Roman" w:hAnsi="Times New Roman" w:cs="Times New Roman"/>
          <w:color w:val="000000" w:themeColor="text1"/>
          <w:lang w:val="en-US"/>
        </w:rPr>
        <w:t xml:space="preserve"> de son temps,’ in </w:t>
      </w:r>
      <w:proofErr w:type="spellStart"/>
      <w:r w:rsidRPr="009D7635">
        <w:rPr>
          <w:rFonts w:ascii="Times New Roman" w:hAnsi="Times New Roman" w:cs="Times New Roman"/>
          <w:i/>
          <w:color w:val="000000" w:themeColor="text1"/>
          <w:lang w:val="en-US"/>
        </w:rPr>
        <w:t>Hugues</w:t>
      </w:r>
      <w:proofErr w:type="spellEnd"/>
      <w:r w:rsidRPr="009D7635">
        <w:rPr>
          <w:rFonts w:ascii="Times New Roman" w:hAnsi="Times New Roman" w:cs="Times New Roman"/>
          <w:i/>
          <w:color w:val="000000" w:themeColor="text1"/>
          <w:lang w:val="en-US"/>
        </w:rPr>
        <w:t xml:space="preserve"> de Saint-Cher (d. 1263)</w:t>
      </w:r>
      <w:r w:rsidR="009C71F4" w:rsidRPr="009D7635">
        <w:rPr>
          <w:rFonts w:ascii="Times New Roman" w:hAnsi="Times New Roman" w:cs="Times New Roman"/>
          <w:i/>
          <w:color w:val="000000" w:themeColor="text1"/>
          <w:lang w:val="en-US"/>
        </w:rPr>
        <w:t>:</w:t>
      </w:r>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bibliste</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théologien</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rPr>
        <w:t xml:space="preserve">ed. Louis-Jacques </w:t>
      </w:r>
      <w:proofErr w:type="spellStart"/>
      <w:r w:rsidRPr="009D7635">
        <w:rPr>
          <w:rFonts w:ascii="Times New Roman" w:hAnsi="Times New Roman" w:cs="Times New Roman"/>
          <w:color w:val="000000" w:themeColor="text1"/>
        </w:rPr>
        <w:t>Batallion</w:t>
      </w:r>
      <w:proofErr w:type="spellEnd"/>
      <w:r w:rsidRPr="009D7635">
        <w:rPr>
          <w:rFonts w:ascii="Times New Roman" w:hAnsi="Times New Roman" w:cs="Times New Roman"/>
          <w:color w:val="000000" w:themeColor="text1"/>
        </w:rPr>
        <w:t xml:space="preserve">, Gilbert </w:t>
      </w:r>
      <w:proofErr w:type="spellStart"/>
      <w:r w:rsidRPr="009D7635">
        <w:rPr>
          <w:rFonts w:ascii="Times New Roman" w:hAnsi="Times New Roman" w:cs="Times New Roman"/>
          <w:color w:val="000000" w:themeColor="text1"/>
        </w:rPr>
        <w:t>Dahan</w:t>
      </w:r>
      <w:proofErr w:type="spellEnd"/>
      <w:r w:rsidRPr="009D7635">
        <w:rPr>
          <w:rFonts w:ascii="Times New Roman" w:hAnsi="Times New Roman" w:cs="Times New Roman"/>
          <w:color w:val="000000" w:themeColor="text1"/>
        </w:rPr>
        <w:t>, Pierre-Marie Gy (</w:t>
      </w:r>
      <w:proofErr w:type="spellStart"/>
      <w:r w:rsidRPr="009D7635">
        <w:rPr>
          <w:rFonts w:ascii="Times New Roman" w:hAnsi="Times New Roman" w:cs="Times New Roman"/>
          <w:color w:val="000000" w:themeColor="text1"/>
        </w:rPr>
        <w:t>Turnhout</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Brepols</w:t>
      </w:r>
      <w:proofErr w:type="spellEnd"/>
      <w:r w:rsidRPr="009D7635">
        <w:rPr>
          <w:rFonts w:ascii="Times New Roman" w:hAnsi="Times New Roman" w:cs="Times New Roman"/>
          <w:color w:val="000000" w:themeColor="text1"/>
        </w:rPr>
        <w:t xml:space="preserve">, 2004), </w:t>
      </w:r>
      <w:r w:rsidRPr="009D7635">
        <w:rPr>
          <w:rFonts w:ascii="Times New Roman" w:hAnsi="Times New Roman" w:cs="Times New Roman"/>
          <w:color w:val="000000" w:themeColor="text1"/>
          <w:lang w:val="en-US"/>
        </w:rPr>
        <w:t>314-315, footnote 41.</w:t>
      </w:r>
      <w:r w:rsidRPr="009D7635">
        <w:rPr>
          <w:rFonts w:ascii="Times New Roman" w:hAnsi="Times New Roman" w:cs="Times New Roman"/>
          <w:color w:val="000000" w:themeColor="text1"/>
        </w:rPr>
        <w:t xml:space="preserve"> </w:t>
      </w:r>
    </w:p>
  </w:footnote>
  <w:footnote w:id="232">
    <w:p w14:paraId="16379EB6"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rPr>
        <w:t>89.</w:t>
      </w:r>
    </w:p>
  </w:footnote>
  <w:footnote w:id="233">
    <w:p w14:paraId="4CC786AE"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C. R. Hess, ‘Roland of Cremona’s Place in the Current of Thought,’ </w:t>
      </w:r>
      <w:r w:rsidRPr="009D7635">
        <w:rPr>
          <w:rFonts w:ascii="Times New Roman" w:hAnsi="Times New Roman" w:cs="Times New Roman"/>
          <w:color w:val="000000" w:themeColor="text1"/>
        </w:rPr>
        <w:t>433.</w:t>
      </w:r>
    </w:p>
  </w:footnote>
  <w:footnote w:id="234">
    <w:p w14:paraId="1D86A970"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Cristina D’Ancona, ‘The </w:t>
      </w:r>
      <w:r w:rsidRPr="009D7635">
        <w:rPr>
          <w:rFonts w:ascii="Times New Roman" w:hAnsi="Times New Roman" w:cs="Times New Roman"/>
          <w:i/>
          <w:color w:val="000000" w:themeColor="text1"/>
        </w:rPr>
        <w:t xml:space="preserve">Liber de </w:t>
      </w:r>
      <w:proofErr w:type="spellStart"/>
      <w:r w:rsidRPr="009D7635">
        <w:rPr>
          <w:rFonts w:ascii="Times New Roman" w:hAnsi="Times New Roman" w:cs="Times New Roman"/>
          <w:i/>
          <w:color w:val="000000" w:themeColor="text1"/>
        </w:rPr>
        <w:t>causis</w:t>
      </w:r>
      <w:proofErr w:type="spellEnd"/>
      <w:r w:rsidRPr="009D7635">
        <w:rPr>
          <w:rFonts w:ascii="Times New Roman" w:hAnsi="Times New Roman" w:cs="Times New Roman"/>
          <w:color w:val="000000" w:themeColor="text1"/>
        </w:rPr>
        <w:t xml:space="preserve">,’ in </w:t>
      </w:r>
      <w:r w:rsidRPr="009D7635">
        <w:rPr>
          <w:rFonts w:ascii="Times New Roman" w:hAnsi="Times New Roman" w:cs="Times New Roman"/>
          <w:i/>
          <w:color w:val="000000" w:themeColor="text1"/>
        </w:rPr>
        <w:t xml:space="preserve">Interpreting </w:t>
      </w:r>
      <w:proofErr w:type="spellStart"/>
      <w:r w:rsidRPr="009D7635">
        <w:rPr>
          <w:rFonts w:ascii="Times New Roman" w:hAnsi="Times New Roman" w:cs="Times New Roman"/>
          <w:i/>
          <w:color w:val="000000" w:themeColor="text1"/>
        </w:rPr>
        <w:t>Proclus</w:t>
      </w:r>
      <w:proofErr w:type="spellEnd"/>
      <w:r w:rsidRPr="009D7635">
        <w:rPr>
          <w:rFonts w:ascii="Times New Roman" w:hAnsi="Times New Roman" w:cs="Times New Roman"/>
          <w:i/>
          <w:color w:val="000000" w:themeColor="text1"/>
        </w:rPr>
        <w:t xml:space="preserve">: From Antiquity to the Renaissance, </w:t>
      </w:r>
      <w:r w:rsidRPr="009D7635">
        <w:rPr>
          <w:rFonts w:ascii="Times New Roman" w:hAnsi="Times New Roman" w:cs="Times New Roman"/>
          <w:color w:val="000000" w:themeColor="text1"/>
        </w:rPr>
        <w:t xml:space="preserve">ed. Stephen </w:t>
      </w:r>
      <w:proofErr w:type="spellStart"/>
      <w:r w:rsidRPr="009D7635">
        <w:rPr>
          <w:rFonts w:ascii="Times New Roman" w:hAnsi="Times New Roman" w:cs="Times New Roman"/>
          <w:color w:val="000000" w:themeColor="text1"/>
        </w:rPr>
        <w:t>Gersh</w:t>
      </w:r>
      <w:proofErr w:type="spellEnd"/>
      <w:r w:rsidRPr="009D7635">
        <w:rPr>
          <w:rFonts w:ascii="Times New Roman" w:hAnsi="Times New Roman" w:cs="Times New Roman"/>
          <w:color w:val="000000" w:themeColor="text1"/>
        </w:rPr>
        <w:t xml:space="preserve"> (Cambridge: Cambridge University Press, 2014), 137-61. </w:t>
      </w:r>
    </w:p>
  </w:footnote>
  <w:footnote w:id="235">
    <w:p w14:paraId="43DCA4CF" w14:textId="77777777" w:rsidR="00BF6E29" w:rsidRPr="009D7635" w:rsidRDefault="00BF6E29" w:rsidP="00BF6E29">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 </w:t>
      </w:r>
      <w:r w:rsidRPr="009D7635">
        <w:rPr>
          <w:rFonts w:ascii="Times New Roman" w:hAnsi="Times New Roman" w:cs="Times New Roman"/>
          <w:i/>
          <w:color w:val="000000" w:themeColor="text1"/>
        </w:rPr>
        <w:t>Avicenna’s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lang w:val="en-US"/>
        </w:rPr>
        <w:t>36-42.</w:t>
      </w:r>
    </w:p>
  </w:footnote>
  <w:footnote w:id="236">
    <w:p w14:paraId="521EFA90" w14:textId="23EB9BE0"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Summae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Magistri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Rolandi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Cremonensis</w:t>
      </w:r>
      <w:proofErr w:type="spellEnd"/>
      <w:r w:rsidRPr="009D7635">
        <w:rPr>
          <w:rFonts w:ascii="Times New Roman" w:hAnsi="Times New Roman" w:cs="Times New Roman"/>
          <w:i/>
          <w:color w:val="000000" w:themeColor="text1"/>
        </w:rPr>
        <w:t xml:space="preserve">, O.P., Liber </w:t>
      </w:r>
      <w:proofErr w:type="spellStart"/>
      <w:r w:rsidRPr="009D7635">
        <w:rPr>
          <w:rFonts w:ascii="Times New Roman" w:hAnsi="Times New Roman" w:cs="Times New Roman"/>
          <w:i/>
          <w:color w:val="000000" w:themeColor="text1"/>
        </w:rPr>
        <w:t>Secundus</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Aloysio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Cortesi</w:t>
      </w:r>
      <w:proofErr w:type="spellEnd"/>
      <w:r w:rsidRPr="009D7635">
        <w:rPr>
          <w:rFonts w:ascii="Times New Roman" w:hAnsi="Times New Roman" w:cs="Times New Roman"/>
          <w:color w:val="000000" w:themeColor="text1"/>
        </w:rPr>
        <w:t xml:space="preserve"> and Humberto </w:t>
      </w:r>
      <w:proofErr w:type="spellStart"/>
      <w:r w:rsidRPr="009D7635">
        <w:rPr>
          <w:rFonts w:ascii="Times New Roman" w:hAnsi="Times New Roman" w:cs="Times New Roman"/>
          <w:color w:val="000000" w:themeColor="text1"/>
        </w:rPr>
        <w:t>Midali</w:t>
      </w:r>
      <w:proofErr w:type="spellEnd"/>
      <w:r w:rsidRPr="009D7635">
        <w:rPr>
          <w:rFonts w:ascii="Times New Roman" w:hAnsi="Times New Roman" w:cs="Times New Roman"/>
          <w:color w:val="000000" w:themeColor="text1"/>
        </w:rPr>
        <w:t xml:space="preserve"> (Bergamo: Umberto </w:t>
      </w:r>
      <w:proofErr w:type="spellStart"/>
      <w:r w:rsidRPr="009D7635">
        <w:rPr>
          <w:rFonts w:ascii="Times New Roman" w:hAnsi="Times New Roman" w:cs="Times New Roman"/>
          <w:color w:val="000000" w:themeColor="text1"/>
        </w:rPr>
        <w:t>Midali</w:t>
      </w:r>
      <w:proofErr w:type="spellEnd"/>
      <w:r w:rsidRPr="009D7635">
        <w:rPr>
          <w:rFonts w:ascii="Times New Roman" w:hAnsi="Times New Roman" w:cs="Times New Roman"/>
          <w:color w:val="000000" w:themeColor="text1"/>
        </w:rPr>
        <w:t xml:space="preserve">, 2016), </w:t>
      </w:r>
      <w:r w:rsidRPr="009D7635">
        <w:rPr>
          <w:rFonts w:ascii="Times New Roman" w:hAnsi="Times New Roman" w:cs="Times New Roman"/>
          <w:color w:val="000000" w:themeColor="text1"/>
          <w:lang w:val="en-US"/>
        </w:rPr>
        <w:t>167-83.</w:t>
      </w:r>
    </w:p>
  </w:footnote>
  <w:footnote w:id="237">
    <w:p w14:paraId="097F4E18" w14:textId="2340557D"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9C71F4" w:rsidRPr="009D7635">
        <w:rPr>
          <w:rFonts w:ascii="Times New Roman" w:hAnsi="Times New Roman" w:cs="Times New Roman"/>
          <w:iCs/>
          <w:color w:val="000000" w:themeColor="text1"/>
        </w:rPr>
        <w:t>Ibid.,</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182.</w:t>
      </w:r>
    </w:p>
  </w:footnote>
  <w:footnote w:id="238">
    <w:p w14:paraId="73E391C8"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 </w:t>
      </w:r>
      <w:r w:rsidRPr="009D7635">
        <w:rPr>
          <w:rFonts w:ascii="Times New Roman" w:hAnsi="Times New Roman" w:cs="Times New Roman"/>
          <w:i/>
          <w:color w:val="000000" w:themeColor="text1"/>
        </w:rPr>
        <w:t>Avicenna’s De anima</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38; Daniel A. Callus, ‘The Function of the Philosopher,’ 157.</w:t>
      </w:r>
    </w:p>
  </w:footnote>
  <w:footnote w:id="239">
    <w:p w14:paraId="7C5CA628"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bono</w:t>
      </w:r>
      <w:r w:rsidRPr="009D7635">
        <w:rPr>
          <w:rFonts w:ascii="Times New Roman" w:hAnsi="Times New Roman" w:cs="Times New Roman"/>
          <w:color w:val="000000" w:themeColor="text1"/>
        </w:rPr>
        <w:t xml:space="preserve">, 26-7.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color w:val="000000" w:themeColor="text1"/>
        </w:rPr>
        <w:t>, 15.</w:t>
      </w:r>
    </w:p>
  </w:footnote>
  <w:footnote w:id="240">
    <w:p w14:paraId="095F3A28" w14:textId="248AC1B0"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color w:val="000000" w:themeColor="text1"/>
        </w:rPr>
        <w:t xml:space="preserve">, 24; see also her article on ‘The </w:t>
      </w:r>
      <w:r w:rsidRPr="009D7635">
        <w:rPr>
          <w:rFonts w:ascii="Times New Roman" w:hAnsi="Times New Roman" w:cs="Times New Roman"/>
          <w:i/>
          <w:color w:val="000000" w:themeColor="text1"/>
        </w:rPr>
        <w:t>Sentences</w:t>
      </w:r>
      <w:r w:rsidRPr="009D7635">
        <w:rPr>
          <w:rFonts w:ascii="Times New Roman" w:hAnsi="Times New Roman" w:cs="Times New Roman"/>
          <w:color w:val="000000" w:themeColor="text1"/>
        </w:rPr>
        <w:t xml:space="preserve"> Commentary of Hugh of St Cher,’ in Philipp </w:t>
      </w:r>
      <w:proofErr w:type="spellStart"/>
      <w:r w:rsidRPr="009D7635">
        <w:rPr>
          <w:rFonts w:ascii="Times New Roman" w:hAnsi="Times New Roman" w:cs="Times New Roman"/>
          <w:color w:val="000000" w:themeColor="text1"/>
        </w:rPr>
        <w:t>Rosemann</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Medieval Commentaries on the Sentences of Peter Lombard</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vol</w:t>
      </w:r>
      <w:r w:rsidR="00A11FAD"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2, 112 in 111-47, where she shows that the date of Hugh’s work is actually disputed. See also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‘Contents of Hugh of St Cher’s Commentary on the </w:t>
      </w:r>
      <w:r w:rsidRPr="009D7635">
        <w:rPr>
          <w:rFonts w:ascii="Times New Roman" w:hAnsi="Times New Roman" w:cs="Times New Roman"/>
          <w:i/>
          <w:color w:val="000000" w:themeColor="text1"/>
        </w:rPr>
        <w:t>Sentences</w:t>
      </w:r>
      <w:r w:rsidRPr="009D7635">
        <w:rPr>
          <w:rFonts w:ascii="Times New Roman" w:hAnsi="Times New Roman" w:cs="Times New Roman"/>
          <w:color w:val="000000" w:themeColor="text1"/>
        </w:rPr>
        <w:t xml:space="preserve">, Books I-II,’ </w:t>
      </w:r>
      <w:proofErr w:type="spellStart"/>
      <w:r w:rsidRPr="009D7635">
        <w:rPr>
          <w:rFonts w:ascii="Times New Roman" w:hAnsi="Times New Roman" w:cs="Times New Roman"/>
          <w:i/>
          <w:color w:val="000000" w:themeColor="text1"/>
        </w:rPr>
        <w:t>Przeglad</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Tomistyczny</w:t>
      </w:r>
      <w:proofErr w:type="spellEnd"/>
      <w:r w:rsidRPr="009D7635">
        <w:rPr>
          <w:rFonts w:ascii="Times New Roman" w:hAnsi="Times New Roman" w:cs="Times New Roman"/>
          <w:color w:val="000000" w:themeColor="text1"/>
        </w:rPr>
        <w:t xml:space="preserve"> 19 (2013)</w:t>
      </w:r>
      <w:r w:rsidR="00A11FAD"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9-91.</w:t>
      </w:r>
    </w:p>
  </w:footnote>
  <w:footnote w:id="241">
    <w:p w14:paraId="2546BA1E"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Jacques Verger, ‘</w:t>
      </w:r>
      <w:proofErr w:type="spellStart"/>
      <w:r w:rsidRPr="009D7635">
        <w:rPr>
          <w:rFonts w:ascii="Times New Roman" w:hAnsi="Times New Roman" w:cs="Times New Roman"/>
          <w:color w:val="000000" w:themeColor="text1"/>
        </w:rPr>
        <w:t>Hugues</w:t>
      </w:r>
      <w:proofErr w:type="spellEnd"/>
      <w:r w:rsidRPr="009D7635">
        <w:rPr>
          <w:rFonts w:ascii="Times New Roman" w:hAnsi="Times New Roman" w:cs="Times New Roman"/>
          <w:color w:val="000000" w:themeColor="text1"/>
        </w:rPr>
        <w:t xml:space="preserve"> de Saint-Cher dans le context </w:t>
      </w:r>
      <w:proofErr w:type="spellStart"/>
      <w:r w:rsidRPr="009D7635">
        <w:rPr>
          <w:rFonts w:ascii="Times New Roman" w:hAnsi="Times New Roman" w:cs="Times New Roman"/>
          <w:color w:val="000000" w:themeColor="text1"/>
        </w:rPr>
        <w:t>universitaire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Parisien</w:t>
      </w:r>
      <w:proofErr w:type="spellEnd"/>
      <w:r w:rsidRPr="009D7635">
        <w:rPr>
          <w:rFonts w:ascii="Times New Roman" w:hAnsi="Times New Roman" w:cs="Times New Roman"/>
          <w:color w:val="000000" w:themeColor="text1"/>
        </w:rPr>
        <w:t xml:space="preserve">,’ 15. </w:t>
      </w:r>
    </w:p>
  </w:footnote>
  <w:footnote w:id="242">
    <w:p w14:paraId="255EE379" w14:textId="0BFD6E0E" w:rsidR="00B93ED5" w:rsidRPr="009D7635" w:rsidRDefault="00B93ED5" w:rsidP="00986E7A">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Magdalena </w:t>
      </w:r>
      <w:proofErr w:type="spellStart"/>
      <w:r w:rsidRPr="009D7635">
        <w:rPr>
          <w:rFonts w:ascii="Times New Roman" w:hAnsi="Times New Roman" w:cs="Times New Roman"/>
          <w:color w:val="000000" w:themeColor="text1"/>
          <w:sz w:val="20"/>
          <w:szCs w:val="20"/>
        </w:rPr>
        <w:t>Bieniak</w:t>
      </w:r>
      <w:proofErr w:type="spellEnd"/>
      <w:r w:rsidRPr="009D7635">
        <w:rPr>
          <w:rFonts w:ascii="Times New Roman" w:hAnsi="Times New Roman" w:cs="Times New Roman"/>
          <w:color w:val="000000" w:themeColor="text1"/>
          <w:sz w:val="20"/>
          <w:szCs w:val="20"/>
        </w:rPr>
        <w:t xml:space="preserve">, ‘Contents of Hugh of St Cher’s Commentary on the </w:t>
      </w:r>
      <w:r w:rsidRPr="009D7635">
        <w:rPr>
          <w:rFonts w:ascii="Times New Roman" w:hAnsi="Times New Roman" w:cs="Times New Roman"/>
          <w:i/>
          <w:color w:val="000000" w:themeColor="text1"/>
          <w:sz w:val="20"/>
          <w:szCs w:val="20"/>
        </w:rPr>
        <w:t>Sentences</w:t>
      </w:r>
      <w:r w:rsidRPr="009D7635">
        <w:rPr>
          <w:rFonts w:ascii="Times New Roman" w:hAnsi="Times New Roman" w:cs="Times New Roman"/>
          <w:color w:val="000000" w:themeColor="text1"/>
          <w:sz w:val="20"/>
          <w:szCs w:val="20"/>
        </w:rPr>
        <w:t>, Books I-II,’ 9: born around 1190, he became a Dominican in 1224-5 and taught theology from 1230-35.</w:t>
      </w:r>
    </w:p>
  </w:footnote>
  <w:footnote w:id="243">
    <w:p w14:paraId="444952E0" w14:textId="42E99FCF"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Jacques Verger, ‘</w:t>
      </w:r>
      <w:proofErr w:type="spellStart"/>
      <w:r w:rsidRPr="009D7635">
        <w:rPr>
          <w:rFonts w:ascii="Times New Roman" w:hAnsi="Times New Roman" w:cs="Times New Roman"/>
          <w:color w:val="000000" w:themeColor="text1"/>
        </w:rPr>
        <w:t>Hugues</w:t>
      </w:r>
      <w:proofErr w:type="spellEnd"/>
      <w:r w:rsidRPr="009D7635">
        <w:rPr>
          <w:rFonts w:ascii="Times New Roman" w:hAnsi="Times New Roman" w:cs="Times New Roman"/>
          <w:color w:val="000000" w:themeColor="text1"/>
        </w:rPr>
        <w:t xml:space="preserve"> de Saint-Cher dans le context </w:t>
      </w:r>
      <w:proofErr w:type="spellStart"/>
      <w:r w:rsidRPr="009D7635">
        <w:rPr>
          <w:rFonts w:ascii="Times New Roman" w:hAnsi="Times New Roman" w:cs="Times New Roman"/>
          <w:color w:val="000000" w:themeColor="text1"/>
        </w:rPr>
        <w:t>universitaire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Parisien</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in </w:t>
      </w:r>
      <w:proofErr w:type="spellStart"/>
      <w:r w:rsidRPr="009D7635">
        <w:rPr>
          <w:rFonts w:ascii="Times New Roman" w:hAnsi="Times New Roman" w:cs="Times New Roman"/>
          <w:i/>
          <w:color w:val="000000" w:themeColor="text1"/>
          <w:lang w:val="en-US"/>
        </w:rPr>
        <w:t>Hugues</w:t>
      </w:r>
      <w:proofErr w:type="spellEnd"/>
      <w:r w:rsidRPr="009D7635">
        <w:rPr>
          <w:rFonts w:ascii="Times New Roman" w:hAnsi="Times New Roman" w:cs="Times New Roman"/>
          <w:i/>
          <w:color w:val="000000" w:themeColor="text1"/>
          <w:lang w:val="en-US"/>
        </w:rPr>
        <w:t xml:space="preserve"> de Saint-Cher (d. 1263)</w:t>
      </w:r>
      <w:r w:rsidR="00A11FAD" w:rsidRPr="009D7635">
        <w:rPr>
          <w:rFonts w:ascii="Times New Roman" w:hAnsi="Times New Roman" w:cs="Times New Roman"/>
          <w:i/>
          <w:color w:val="000000" w:themeColor="text1"/>
          <w:lang w:val="en-US"/>
        </w:rPr>
        <w:t>:</w:t>
      </w:r>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bibliste</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théologien</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rPr>
        <w:t xml:space="preserve">ed. Louis-Jacques </w:t>
      </w:r>
      <w:proofErr w:type="spellStart"/>
      <w:r w:rsidRPr="009D7635">
        <w:rPr>
          <w:rFonts w:ascii="Times New Roman" w:hAnsi="Times New Roman" w:cs="Times New Roman"/>
          <w:color w:val="000000" w:themeColor="text1"/>
        </w:rPr>
        <w:t>Batallion</w:t>
      </w:r>
      <w:proofErr w:type="spellEnd"/>
      <w:r w:rsidRPr="009D7635">
        <w:rPr>
          <w:rFonts w:ascii="Times New Roman" w:hAnsi="Times New Roman" w:cs="Times New Roman"/>
          <w:color w:val="000000" w:themeColor="text1"/>
        </w:rPr>
        <w:t xml:space="preserve">, Gilbert </w:t>
      </w:r>
      <w:proofErr w:type="spellStart"/>
      <w:r w:rsidRPr="009D7635">
        <w:rPr>
          <w:rFonts w:ascii="Times New Roman" w:hAnsi="Times New Roman" w:cs="Times New Roman"/>
          <w:color w:val="000000" w:themeColor="text1"/>
        </w:rPr>
        <w:t>Dahan</w:t>
      </w:r>
      <w:proofErr w:type="spellEnd"/>
      <w:r w:rsidRPr="009D7635">
        <w:rPr>
          <w:rFonts w:ascii="Times New Roman" w:hAnsi="Times New Roman" w:cs="Times New Roman"/>
          <w:color w:val="000000" w:themeColor="text1"/>
        </w:rPr>
        <w:t>, Pierre-Marie Gy (</w:t>
      </w:r>
      <w:proofErr w:type="spellStart"/>
      <w:r w:rsidRPr="009D7635">
        <w:rPr>
          <w:rFonts w:ascii="Times New Roman" w:hAnsi="Times New Roman" w:cs="Times New Roman"/>
          <w:color w:val="000000" w:themeColor="text1"/>
        </w:rPr>
        <w:t>Turnhout</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Brepols</w:t>
      </w:r>
      <w:proofErr w:type="spellEnd"/>
      <w:r w:rsidRPr="009D7635">
        <w:rPr>
          <w:rFonts w:ascii="Times New Roman" w:hAnsi="Times New Roman" w:cs="Times New Roman"/>
          <w:color w:val="000000" w:themeColor="text1"/>
        </w:rPr>
        <w:t xml:space="preserve">, 2004), 13. See also John Fisher, ‘Hugh of St Cher and the Development of Medieval Theology,’ </w:t>
      </w:r>
      <w:r w:rsidRPr="009D7635">
        <w:rPr>
          <w:rFonts w:ascii="Times New Roman" w:hAnsi="Times New Roman" w:cs="Times New Roman"/>
          <w:i/>
          <w:color w:val="000000" w:themeColor="text1"/>
        </w:rPr>
        <w:t xml:space="preserve">Speculum </w:t>
      </w:r>
      <w:r w:rsidRPr="009D7635">
        <w:rPr>
          <w:rFonts w:ascii="Times New Roman" w:hAnsi="Times New Roman" w:cs="Times New Roman"/>
          <w:color w:val="000000" w:themeColor="text1"/>
        </w:rPr>
        <w:t>31:1 (Jan. 1956)</w:t>
      </w:r>
      <w:r w:rsidR="00A11FAD"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57-69.</w:t>
      </w:r>
    </w:p>
  </w:footnote>
  <w:footnote w:id="244">
    <w:p w14:paraId="4BFD44E0" w14:textId="17A49D2C"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Lesley Smith, ‘Hugh of St Cher and Medieval Collaboration,’ in </w:t>
      </w:r>
      <w:r w:rsidRPr="009D7635">
        <w:rPr>
          <w:rFonts w:ascii="Times New Roman" w:hAnsi="Times New Roman" w:cs="Times New Roman"/>
          <w:i/>
          <w:color w:val="000000" w:themeColor="text1"/>
        </w:rPr>
        <w:t xml:space="preserve">Transforming Relations: Essays on Jews and Christians throughout History in </w:t>
      </w:r>
      <w:proofErr w:type="spellStart"/>
      <w:r w:rsidRPr="009D7635">
        <w:rPr>
          <w:rFonts w:ascii="Times New Roman" w:hAnsi="Times New Roman" w:cs="Times New Roman"/>
          <w:i/>
          <w:color w:val="000000" w:themeColor="text1"/>
        </w:rPr>
        <w:t>Honor</w:t>
      </w:r>
      <w:proofErr w:type="spellEnd"/>
      <w:r w:rsidRPr="009D7635">
        <w:rPr>
          <w:rFonts w:ascii="Times New Roman" w:hAnsi="Times New Roman" w:cs="Times New Roman"/>
          <w:i/>
          <w:color w:val="000000" w:themeColor="text1"/>
        </w:rPr>
        <w:t xml:space="preserve"> of Michael A. Signer</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ed. Franklin T. Harkins (Notre Dame: University of Notre Dame Press, 2010), 241-64.</w:t>
      </w:r>
    </w:p>
  </w:footnote>
  <w:footnote w:id="245">
    <w:p w14:paraId="4E48159F" w14:textId="257C312F"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Robert E. Lerner, ‘The Vocation of the Friars Preacher: Hugh of St Cher Between Peter the Chanter and Albert the Great,’ </w:t>
      </w:r>
      <w:r w:rsidRPr="009D7635">
        <w:rPr>
          <w:rFonts w:ascii="Times New Roman" w:hAnsi="Times New Roman" w:cs="Times New Roman"/>
          <w:color w:val="000000" w:themeColor="text1"/>
          <w:lang w:val="en-US"/>
        </w:rPr>
        <w:t xml:space="preserve">in </w:t>
      </w:r>
      <w:proofErr w:type="spellStart"/>
      <w:r w:rsidRPr="009D7635">
        <w:rPr>
          <w:rFonts w:ascii="Times New Roman" w:hAnsi="Times New Roman" w:cs="Times New Roman"/>
          <w:i/>
          <w:color w:val="000000" w:themeColor="text1"/>
          <w:lang w:val="en-US"/>
        </w:rPr>
        <w:t>Hugues</w:t>
      </w:r>
      <w:proofErr w:type="spellEnd"/>
      <w:r w:rsidRPr="009D7635">
        <w:rPr>
          <w:rFonts w:ascii="Times New Roman" w:hAnsi="Times New Roman" w:cs="Times New Roman"/>
          <w:i/>
          <w:color w:val="000000" w:themeColor="text1"/>
          <w:lang w:val="en-US"/>
        </w:rPr>
        <w:t xml:space="preserve"> de Saint-Cher (d. 1263)</w:t>
      </w:r>
      <w:r w:rsidR="00A11FAD" w:rsidRPr="009D7635">
        <w:rPr>
          <w:rFonts w:ascii="Times New Roman" w:hAnsi="Times New Roman" w:cs="Times New Roman"/>
          <w:i/>
          <w:color w:val="000000" w:themeColor="text1"/>
          <w:lang w:val="en-US"/>
        </w:rPr>
        <w:t>:</w:t>
      </w:r>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bibliste</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théologien</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rPr>
        <w:t xml:space="preserve">215. </w:t>
      </w:r>
    </w:p>
  </w:footnote>
  <w:footnote w:id="246">
    <w:p w14:paraId="3E726335"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Lesley Smith provides a nuanced and persuasive argument in ‘Hugh of St Cher and Medieval Collaboration,’ 241-64 that collaboration was common in this period and that it did not mean that overseers of major works like the </w:t>
      </w:r>
      <w:proofErr w:type="spellStart"/>
      <w:r w:rsidRPr="009D7635">
        <w:rPr>
          <w:rFonts w:ascii="Times New Roman" w:hAnsi="Times New Roman" w:cs="Times New Roman"/>
          <w:color w:val="000000" w:themeColor="text1"/>
        </w:rPr>
        <w:t>Postills</w:t>
      </w:r>
      <w:proofErr w:type="spellEnd"/>
      <w:r w:rsidRPr="009D7635">
        <w:rPr>
          <w:rFonts w:ascii="Times New Roman" w:hAnsi="Times New Roman" w:cs="Times New Roman"/>
          <w:color w:val="000000" w:themeColor="text1"/>
        </w:rPr>
        <w:t xml:space="preserve"> were not also original thinkers. </w:t>
      </w:r>
    </w:p>
  </w:footnote>
  <w:footnote w:id="247">
    <w:p w14:paraId="4554B80D"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Robert E. Lerner, ‘The Vocation of the Friars Preacher,’ 216.</w:t>
      </w:r>
    </w:p>
  </w:footnote>
  <w:footnote w:id="248">
    <w:p w14:paraId="5E25B5B8" w14:textId="45FE702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A11FAD"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228.</w:t>
      </w:r>
    </w:p>
  </w:footnote>
  <w:footnote w:id="249">
    <w:p w14:paraId="67B93C5E"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Robert E. Lerner, ‘The Vocation of the Friars Preacher,’ 229</w:t>
      </w:r>
    </w:p>
  </w:footnote>
  <w:footnote w:id="250">
    <w:p w14:paraId="484DCAE6"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John W. Baldwin, </w:t>
      </w:r>
      <w:r w:rsidRPr="009D7635">
        <w:rPr>
          <w:rFonts w:ascii="Times New Roman" w:hAnsi="Times New Roman" w:cs="Times New Roman"/>
          <w:i/>
          <w:color w:val="000000" w:themeColor="text1"/>
        </w:rPr>
        <w:t>Masters, Princes and Merchants: The Social Views of Peter the Chanter and His Circle</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vol. 1 (Princeton: Princeton University Press, 1970), 107-14. John W. Baldwin, ‘Masters at Paris from 1179-1215,’ in </w:t>
      </w:r>
      <w:r w:rsidRPr="009D7635">
        <w:rPr>
          <w:rFonts w:ascii="Times New Roman" w:hAnsi="Times New Roman" w:cs="Times New Roman"/>
          <w:i/>
          <w:color w:val="000000" w:themeColor="text1"/>
        </w:rPr>
        <w:t>Renaissance and Renewal in the Twelfth Century</w:t>
      </w:r>
      <w:r w:rsidRPr="009D7635">
        <w:rPr>
          <w:rFonts w:ascii="Times New Roman" w:hAnsi="Times New Roman" w:cs="Times New Roman"/>
          <w:iCs/>
          <w:color w:val="000000" w:themeColor="text1"/>
        </w:rPr>
        <w:t>, e</w:t>
      </w:r>
      <w:r w:rsidRPr="009D7635">
        <w:rPr>
          <w:rFonts w:ascii="Times New Roman" w:hAnsi="Times New Roman" w:cs="Times New Roman"/>
          <w:color w:val="000000" w:themeColor="text1"/>
        </w:rPr>
        <w:t xml:space="preserve">d. Robert L. Benson and Giles Constable (Oxford: Clarendon Press, 1982), 138-72. Robert E. Lerner, ‘The Vocation of the Friars Preacher,’ 227. </w:t>
      </w:r>
    </w:p>
  </w:footnote>
  <w:footnote w:id="251">
    <w:p w14:paraId="6B6DB0D8" w14:textId="091A9FC4"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While the Dominicans generally did follow Augustine in discussing the relationship between higher and lower reason, or reason ordered to things above and things below, they mainly did so in the context of explaining how temporal goods can distract us from our true purpose—what they called sensuality—and how we should evaluate them in order to prevent this from happening. They were not normally interested in the details of bodily or natural life as such but limited their use of natural philosophy to what they thought was consistent with the exposition of traditional theological or even Augustinian </w:t>
      </w:r>
      <w:proofErr w:type="spellStart"/>
      <w:r w:rsidRPr="009D7635">
        <w:rPr>
          <w:rFonts w:ascii="Times New Roman" w:hAnsi="Times New Roman" w:cs="Times New Roman"/>
          <w:i/>
          <w:iCs/>
          <w:color w:val="000000" w:themeColor="text1"/>
          <w:lang w:val="en-US"/>
        </w:rPr>
        <w:t>topoi</w:t>
      </w:r>
      <w:proofErr w:type="spellEnd"/>
      <w:r w:rsidRPr="009D7635">
        <w:rPr>
          <w:rFonts w:ascii="Times New Roman" w:hAnsi="Times New Roman" w:cs="Times New Roman"/>
          <w:color w:val="000000" w:themeColor="text1"/>
          <w:lang w:val="en-US"/>
        </w:rPr>
        <w:t>, such as the notion of human rationality—comprised of memory, understanding, and will—as the locus of the image of God.</w:t>
      </w:r>
    </w:p>
  </w:footnote>
  <w:footnote w:id="252">
    <w:p w14:paraId="6A263FC2" w14:textId="51CDEDF4"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‘The </w:t>
      </w:r>
      <w:r w:rsidRPr="009D7635">
        <w:rPr>
          <w:rFonts w:ascii="Times New Roman" w:hAnsi="Times New Roman" w:cs="Times New Roman"/>
          <w:i/>
          <w:color w:val="000000" w:themeColor="text1"/>
        </w:rPr>
        <w:t>Sentences</w:t>
      </w:r>
      <w:r w:rsidRPr="009D7635">
        <w:rPr>
          <w:rFonts w:ascii="Times New Roman" w:hAnsi="Times New Roman" w:cs="Times New Roman"/>
          <w:color w:val="000000" w:themeColor="text1"/>
        </w:rPr>
        <w:t xml:space="preserve"> Commentary of Hugh of St Cher,’ 130.</w:t>
      </w:r>
    </w:p>
  </w:footnote>
  <w:footnote w:id="253">
    <w:p w14:paraId="5868E7E4" w14:textId="4FF00C5B"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3D3064"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113.</w:t>
      </w:r>
    </w:p>
  </w:footnote>
  <w:footnote w:id="254">
    <w:p w14:paraId="4B94FDAE" w14:textId="65D966BC"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3D3064"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130.</w:t>
      </w:r>
    </w:p>
  </w:footnote>
  <w:footnote w:id="255">
    <w:p w14:paraId="2DD4CC9C"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 </w:t>
      </w:r>
      <w:r w:rsidRPr="009D7635">
        <w:rPr>
          <w:rFonts w:ascii="Times New Roman" w:hAnsi="Times New Roman" w:cs="Times New Roman"/>
          <w:i/>
          <w:color w:val="000000" w:themeColor="text1"/>
        </w:rPr>
        <w:t>Avicenna’s 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37.</w:t>
      </w:r>
    </w:p>
  </w:footnote>
  <w:footnote w:id="256">
    <w:p w14:paraId="57BA52B0"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color w:val="000000" w:themeColor="text1"/>
        </w:rPr>
        <w:t>, 95, 97, 168.</w:t>
      </w:r>
    </w:p>
  </w:footnote>
  <w:footnote w:id="257">
    <w:p w14:paraId="220317DC" w14:textId="054B4847" w:rsidR="00B93ED5" w:rsidRPr="009D7635" w:rsidRDefault="00B93ED5" w:rsidP="00986E7A">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J.-P. </w:t>
      </w:r>
      <w:proofErr w:type="spellStart"/>
      <w:r w:rsidRPr="009D7635">
        <w:rPr>
          <w:rFonts w:ascii="Times New Roman" w:hAnsi="Times New Roman" w:cs="Times New Roman"/>
          <w:color w:val="000000" w:themeColor="text1"/>
          <w:sz w:val="20"/>
          <w:szCs w:val="20"/>
        </w:rPr>
        <w:t>Torrell</w:t>
      </w:r>
      <w:proofErr w:type="spellEnd"/>
      <w:r w:rsidRPr="009D7635">
        <w:rPr>
          <w:rFonts w:ascii="Times New Roman" w:hAnsi="Times New Roman" w:cs="Times New Roman"/>
          <w:color w:val="000000" w:themeColor="text1"/>
          <w:sz w:val="20"/>
          <w:szCs w:val="20"/>
        </w:rPr>
        <w:t xml:space="preserve">, ‘Introduction,’ in </w:t>
      </w:r>
      <w:proofErr w:type="spellStart"/>
      <w:r w:rsidRPr="009D7635">
        <w:rPr>
          <w:rFonts w:ascii="Times New Roman" w:hAnsi="Times New Roman" w:cs="Times New Roman"/>
          <w:color w:val="000000" w:themeColor="text1"/>
          <w:sz w:val="20"/>
          <w:szCs w:val="20"/>
          <w:lang w:val="en-US"/>
        </w:rPr>
        <w:t>Guerric</w:t>
      </w:r>
      <w:proofErr w:type="spellEnd"/>
      <w:r w:rsidRPr="009D7635">
        <w:rPr>
          <w:rFonts w:ascii="Times New Roman" w:hAnsi="Times New Roman" w:cs="Times New Roman"/>
          <w:color w:val="000000" w:themeColor="text1"/>
          <w:sz w:val="20"/>
          <w:szCs w:val="20"/>
          <w:lang w:val="en-US"/>
        </w:rPr>
        <w:t xml:space="preserve"> of Saint-Quentin, </w:t>
      </w:r>
      <w:proofErr w:type="spellStart"/>
      <w:r w:rsidRPr="009D7635">
        <w:rPr>
          <w:rFonts w:ascii="Times New Roman" w:hAnsi="Times New Roman" w:cs="Times New Roman"/>
          <w:i/>
          <w:color w:val="000000" w:themeColor="text1"/>
          <w:sz w:val="20"/>
          <w:szCs w:val="20"/>
          <w:lang w:val="en-US"/>
        </w:rPr>
        <w:t>Quaestiones</w:t>
      </w:r>
      <w:proofErr w:type="spellEnd"/>
      <w:r w:rsidRPr="009D7635">
        <w:rPr>
          <w:rFonts w:ascii="Times New Roman" w:hAnsi="Times New Roman" w:cs="Times New Roman"/>
          <w:i/>
          <w:color w:val="000000" w:themeColor="text1"/>
          <w:sz w:val="20"/>
          <w:szCs w:val="20"/>
          <w:lang w:val="en-US"/>
        </w:rPr>
        <w:t xml:space="preserve"> de quo</w:t>
      </w:r>
      <w:r w:rsidR="004D4D87" w:rsidRPr="009D7635">
        <w:rPr>
          <w:rFonts w:ascii="Times New Roman" w:hAnsi="Times New Roman" w:cs="Times New Roman"/>
          <w:i/>
          <w:color w:val="000000" w:themeColor="text1"/>
          <w:sz w:val="20"/>
          <w:szCs w:val="20"/>
          <w:lang w:val="en-US"/>
        </w:rPr>
        <w:t>d</w:t>
      </w:r>
      <w:r w:rsidRPr="009D7635">
        <w:rPr>
          <w:rFonts w:ascii="Times New Roman" w:hAnsi="Times New Roman" w:cs="Times New Roman"/>
          <w:i/>
          <w:color w:val="000000" w:themeColor="text1"/>
          <w:sz w:val="20"/>
          <w:szCs w:val="20"/>
          <w:lang w:val="en-US"/>
        </w:rPr>
        <w:t xml:space="preserve">libet, </w:t>
      </w:r>
      <w:r w:rsidRPr="009D7635">
        <w:rPr>
          <w:rFonts w:ascii="Times New Roman" w:hAnsi="Times New Roman" w:cs="Times New Roman"/>
          <w:color w:val="000000" w:themeColor="text1"/>
          <w:sz w:val="20"/>
          <w:szCs w:val="20"/>
          <w:lang w:val="en-US"/>
        </w:rPr>
        <w:t xml:space="preserve">3. </w:t>
      </w:r>
      <w:r w:rsidRPr="009D7635">
        <w:rPr>
          <w:rFonts w:ascii="Times New Roman" w:hAnsi="Times New Roman" w:cs="Times New Roman"/>
          <w:color w:val="000000" w:themeColor="text1"/>
          <w:sz w:val="20"/>
          <w:szCs w:val="20"/>
        </w:rPr>
        <w:t>B.-G. Guyot, ‘</w:t>
      </w:r>
      <w:proofErr w:type="spellStart"/>
      <w:r w:rsidRPr="009D7635">
        <w:rPr>
          <w:rFonts w:ascii="Times New Roman" w:hAnsi="Times New Roman" w:cs="Times New Roman"/>
          <w:color w:val="000000" w:themeColor="text1"/>
          <w:sz w:val="20"/>
          <w:szCs w:val="20"/>
        </w:rPr>
        <w:t>Guerric</w:t>
      </w:r>
      <w:proofErr w:type="spellEnd"/>
      <w:r w:rsidRPr="009D7635">
        <w:rPr>
          <w:rFonts w:ascii="Times New Roman" w:hAnsi="Times New Roman" w:cs="Times New Roman"/>
          <w:color w:val="000000" w:themeColor="text1"/>
          <w:sz w:val="20"/>
          <w:szCs w:val="20"/>
        </w:rPr>
        <w:t xml:space="preserve"> de Saint-Quentin,’ </w:t>
      </w:r>
      <w:proofErr w:type="spellStart"/>
      <w:r w:rsidRPr="009D7635">
        <w:rPr>
          <w:rFonts w:ascii="Times New Roman" w:hAnsi="Times New Roman" w:cs="Times New Roman"/>
          <w:i/>
          <w:color w:val="000000" w:themeColor="text1"/>
          <w:sz w:val="20"/>
          <w:szCs w:val="20"/>
        </w:rPr>
        <w:t>Dictionnaire</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Spiritualité</w:t>
      </w:r>
      <w:proofErr w:type="spellEnd"/>
      <w:r w:rsidRPr="009D7635">
        <w:rPr>
          <w:rFonts w:ascii="Times New Roman" w:hAnsi="Times New Roman" w:cs="Times New Roman"/>
          <w:color w:val="000000" w:themeColor="text1"/>
          <w:sz w:val="20"/>
          <w:szCs w:val="20"/>
        </w:rPr>
        <w:t xml:space="preserve"> 6 (1967), 1121-22. Th. </w:t>
      </w:r>
      <w:proofErr w:type="spellStart"/>
      <w:r w:rsidRPr="009D7635">
        <w:rPr>
          <w:rFonts w:ascii="Times New Roman" w:hAnsi="Times New Roman" w:cs="Times New Roman"/>
          <w:color w:val="000000" w:themeColor="text1"/>
          <w:sz w:val="20"/>
          <w:szCs w:val="20"/>
        </w:rPr>
        <w:t>Kaepelli</w:t>
      </w:r>
      <w:proofErr w:type="spellEnd"/>
      <w:r w:rsidRPr="009D7635">
        <w:rPr>
          <w:rFonts w:ascii="Times New Roman" w:hAnsi="Times New Roman" w:cs="Times New Roman"/>
          <w:color w:val="000000" w:themeColor="text1"/>
          <w:sz w:val="20"/>
          <w:szCs w:val="20"/>
        </w:rPr>
        <w:t>, ‘</w:t>
      </w:r>
      <w:proofErr w:type="spellStart"/>
      <w:r w:rsidRPr="009D7635">
        <w:rPr>
          <w:rFonts w:ascii="Times New Roman" w:hAnsi="Times New Roman" w:cs="Times New Roman"/>
          <w:color w:val="000000" w:themeColor="text1"/>
          <w:sz w:val="20"/>
          <w:szCs w:val="20"/>
        </w:rPr>
        <w:t>Guerricus</w:t>
      </w:r>
      <w:proofErr w:type="spellEnd"/>
      <w:r w:rsidRPr="009D7635">
        <w:rPr>
          <w:rFonts w:ascii="Times New Roman" w:hAnsi="Times New Roman" w:cs="Times New Roman"/>
          <w:color w:val="000000" w:themeColor="text1"/>
          <w:sz w:val="20"/>
          <w:szCs w:val="20"/>
        </w:rPr>
        <w:t xml:space="preserve"> de S. </w:t>
      </w:r>
      <w:proofErr w:type="spellStart"/>
      <w:r w:rsidRPr="009D7635">
        <w:rPr>
          <w:rFonts w:ascii="Times New Roman" w:hAnsi="Times New Roman" w:cs="Times New Roman"/>
          <w:color w:val="000000" w:themeColor="text1"/>
          <w:sz w:val="20"/>
          <w:szCs w:val="20"/>
        </w:rPr>
        <w:t>Quintino</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Scriptores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Ordinis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Praedicatorum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Medii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Aevi</w:t>
      </w:r>
      <w:proofErr w:type="spellEnd"/>
      <w:r w:rsidRPr="009D7635">
        <w:rPr>
          <w:rFonts w:ascii="Times New Roman" w:hAnsi="Times New Roman" w:cs="Times New Roman"/>
          <w:color w:val="000000" w:themeColor="text1"/>
          <w:sz w:val="20"/>
          <w:szCs w:val="20"/>
        </w:rPr>
        <w:t>, t. 2 (Rome 1975), 61-70.</w:t>
      </w:r>
    </w:p>
  </w:footnote>
  <w:footnote w:id="258">
    <w:p w14:paraId="6BB7184E" w14:textId="7360C3ED" w:rsidR="00B93ED5" w:rsidRPr="009D7635" w:rsidRDefault="00B93ED5" w:rsidP="00986E7A">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H.-F. </w:t>
      </w:r>
      <w:proofErr w:type="spellStart"/>
      <w:r w:rsidRPr="009D7635">
        <w:rPr>
          <w:rFonts w:ascii="Times New Roman" w:hAnsi="Times New Roman" w:cs="Times New Roman"/>
          <w:color w:val="000000" w:themeColor="text1"/>
          <w:sz w:val="20"/>
          <w:szCs w:val="20"/>
          <w:lang w:val="en-US"/>
        </w:rPr>
        <w:t>Dondaine</w:t>
      </w:r>
      <w:proofErr w:type="spellEnd"/>
      <w:r w:rsidRPr="009D7635">
        <w:rPr>
          <w:rFonts w:ascii="Times New Roman" w:hAnsi="Times New Roman" w:cs="Times New Roman"/>
          <w:color w:val="000000" w:themeColor="text1"/>
          <w:sz w:val="20"/>
          <w:szCs w:val="20"/>
          <w:lang w:val="en-US"/>
        </w:rPr>
        <w:t xml:space="preserve"> </w:t>
      </w:r>
      <w:r w:rsidR="00842D61" w:rsidRPr="009D7635">
        <w:rPr>
          <w:rFonts w:ascii="Times New Roman" w:hAnsi="Times New Roman" w:cs="Times New Roman"/>
          <w:color w:val="000000" w:themeColor="text1"/>
          <w:sz w:val="20"/>
          <w:szCs w:val="20"/>
          <w:lang w:val="en-US"/>
        </w:rPr>
        <w:t>a</w:t>
      </w:r>
      <w:r w:rsidRPr="009D7635">
        <w:rPr>
          <w:rFonts w:ascii="Times New Roman" w:hAnsi="Times New Roman" w:cs="Times New Roman"/>
          <w:color w:val="000000" w:themeColor="text1"/>
          <w:sz w:val="20"/>
          <w:szCs w:val="20"/>
          <w:lang w:val="en-US"/>
        </w:rPr>
        <w:t>nd B.-G. Guyot, ‘</w:t>
      </w:r>
      <w:proofErr w:type="spellStart"/>
      <w:r w:rsidRPr="009D7635">
        <w:rPr>
          <w:rFonts w:ascii="Times New Roman" w:hAnsi="Times New Roman" w:cs="Times New Roman"/>
          <w:color w:val="000000" w:themeColor="text1"/>
          <w:sz w:val="20"/>
          <w:szCs w:val="20"/>
          <w:lang w:val="en-US"/>
        </w:rPr>
        <w:t>Guerric</w:t>
      </w:r>
      <w:proofErr w:type="spellEnd"/>
      <w:r w:rsidRPr="009D7635">
        <w:rPr>
          <w:rFonts w:ascii="Times New Roman" w:hAnsi="Times New Roman" w:cs="Times New Roman"/>
          <w:color w:val="000000" w:themeColor="text1"/>
          <w:sz w:val="20"/>
          <w:szCs w:val="20"/>
          <w:lang w:val="en-US"/>
        </w:rPr>
        <w:t xml:space="preserve"> de Saint-Quentin et la </w:t>
      </w:r>
      <w:proofErr w:type="spellStart"/>
      <w:r w:rsidRPr="009D7635">
        <w:rPr>
          <w:rFonts w:ascii="Times New Roman" w:hAnsi="Times New Roman" w:cs="Times New Roman"/>
          <w:color w:val="000000" w:themeColor="text1"/>
          <w:sz w:val="20"/>
          <w:szCs w:val="20"/>
          <w:lang w:val="en-US"/>
        </w:rPr>
        <w:t>condamnation</w:t>
      </w:r>
      <w:proofErr w:type="spellEnd"/>
      <w:r w:rsidRPr="009D7635">
        <w:rPr>
          <w:rFonts w:ascii="Times New Roman" w:hAnsi="Times New Roman" w:cs="Times New Roman"/>
          <w:color w:val="000000" w:themeColor="text1"/>
          <w:sz w:val="20"/>
          <w:szCs w:val="20"/>
          <w:lang w:val="en-US"/>
        </w:rPr>
        <w:t xml:space="preserve"> de 1241,’ </w:t>
      </w:r>
      <w:r w:rsidRPr="009D7635">
        <w:rPr>
          <w:rFonts w:ascii="Times New Roman" w:hAnsi="Times New Roman" w:cs="Times New Roman"/>
          <w:i/>
          <w:color w:val="000000" w:themeColor="text1"/>
          <w:sz w:val="20"/>
          <w:szCs w:val="20"/>
          <w:lang w:val="en-US"/>
        </w:rPr>
        <w:t xml:space="preserve">Revue des sciences </w:t>
      </w:r>
      <w:proofErr w:type="spellStart"/>
      <w:r w:rsidRPr="009D7635">
        <w:rPr>
          <w:rFonts w:ascii="Times New Roman" w:hAnsi="Times New Roman" w:cs="Times New Roman"/>
          <w:i/>
          <w:color w:val="000000" w:themeColor="text1"/>
          <w:sz w:val="20"/>
          <w:szCs w:val="20"/>
          <w:lang w:val="en-US"/>
        </w:rPr>
        <w:t>philosophiquese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theologiques</w:t>
      </w:r>
      <w:proofErr w:type="spellEnd"/>
      <w:r w:rsidRPr="009D7635">
        <w:rPr>
          <w:rFonts w:ascii="Times New Roman" w:hAnsi="Times New Roman" w:cs="Times New Roman"/>
          <w:color w:val="000000" w:themeColor="text1"/>
          <w:sz w:val="20"/>
          <w:szCs w:val="20"/>
          <w:lang w:val="en-US"/>
        </w:rPr>
        <w:t xml:space="preserve"> 4 (1960)</w:t>
      </w:r>
      <w:r w:rsidR="007144C1"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225-242. Antoine </w:t>
      </w:r>
      <w:proofErr w:type="spellStart"/>
      <w:r w:rsidRPr="009D7635">
        <w:rPr>
          <w:rFonts w:ascii="Times New Roman" w:hAnsi="Times New Roman" w:cs="Times New Roman"/>
          <w:color w:val="000000" w:themeColor="text1"/>
          <w:sz w:val="20"/>
          <w:szCs w:val="20"/>
          <w:lang w:val="en-US"/>
        </w:rPr>
        <w:t>Côté</w:t>
      </w:r>
      <w:proofErr w:type="spellEnd"/>
      <w:r w:rsidRPr="009D7635">
        <w:rPr>
          <w:rFonts w:ascii="Times New Roman" w:hAnsi="Times New Roman" w:cs="Times New Roman"/>
          <w:color w:val="000000" w:themeColor="text1"/>
          <w:sz w:val="20"/>
          <w:szCs w:val="20"/>
          <w:lang w:val="en-US"/>
        </w:rPr>
        <w:t xml:space="preserve">, ‘Note </w:t>
      </w:r>
      <w:proofErr w:type="spellStart"/>
      <w:r w:rsidRPr="009D7635">
        <w:rPr>
          <w:rFonts w:ascii="Times New Roman" w:hAnsi="Times New Roman" w:cs="Times New Roman"/>
          <w:color w:val="000000" w:themeColor="text1"/>
          <w:sz w:val="20"/>
          <w:szCs w:val="20"/>
          <w:lang w:val="en-US"/>
        </w:rPr>
        <w:t>sur</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Guerric</w:t>
      </w:r>
      <w:proofErr w:type="spellEnd"/>
      <w:r w:rsidRPr="009D7635">
        <w:rPr>
          <w:rFonts w:ascii="Times New Roman" w:hAnsi="Times New Roman" w:cs="Times New Roman"/>
          <w:color w:val="000000" w:themeColor="text1"/>
          <w:sz w:val="20"/>
          <w:szCs w:val="20"/>
          <w:lang w:val="en-US"/>
        </w:rPr>
        <w:t xml:space="preserve"> de Saint-Quentin et la question de </w:t>
      </w:r>
      <w:proofErr w:type="spellStart"/>
      <w:r w:rsidRPr="009D7635">
        <w:rPr>
          <w:rFonts w:ascii="Times New Roman" w:hAnsi="Times New Roman" w:cs="Times New Roman"/>
          <w:color w:val="000000" w:themeColor="text1"/>
          <w:sz w:val="20"/>
          <w:szCs w:val="20"/>
          <w:lang w:val="en-US"/>
        </w:rPr>
        <w:t>l’infini</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divin</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Recherches</w:t>
      </w:r>
      <w:proofErr w:type="spellEnd"/>
      <w:r w:rsidRPr="009D7635">
        <w:rPr>
          <w:rFonts w:ascii="Times New Roman" w:hAnsi="Times New Roman" w:cs="Times New Roman"/>
          <w:i/>
          <w:iCs/>
          <w:color w:val="000000" w:themeColor="text1"/>
          <w:sz w:val="20"/>
          <w:szCs w:val="20"/>
          <w:lang w:val="en-US"/>
        </w:rPr>
        <w:t xml:space="preserve"> de </w:t>
      </w:r>
      <w:proofErr w:type="spellStart"/>
      <w:r w:rsidRPr="009D7635">
        <w:rPr>
          <w:rFonts w:ascii="Times New Roman" w:hAnsi="Times New Roman" w:cs="Times New Roman"/>
          <w:i/>
          <w:iCs/>
          <w:color w:val="000000" w:themeColor="text1"/>
          <w:sz w:val="20"/>
          <w:szCs w:val="20"/>
          <w:lang w:val="en-US"/>
        </w:rPr>
        <w:t>théologie</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ancienne</w:t>
      </w:r>
      <w:proofErr w:type="spellEnd"/>
      <w:r w:rsidRPr="009D7635">
        <w:rPr>
          <w:rFonts w:ascii="Times New Roman" w:hAnsi="Times New Roman" w:cs="Times New Roman"/>
          <w:i/>
          <w:iCs/>
          <w:color w:val="000000" w:themeColor="text1"/>
          <w:sz w:val="20"/>
          <w:szCs w:val="20"/>
          <w:lang w:val="en-US"/>
        </w:rPr>
        <w:t xml:space="preserve"> et </w:t>
      </w:r>
      <w:proofErr w:type="spellStart"/>
      <w:r w:rsidRPr="009D7635">
        <w:rPr>
          <w:rFonts w:ascii="Times New Roman" w:hAnsi="Times New Roman" w:cs="Times New Roman"/>
          <w:i/>
          <w:iCs/>
          <w:color w:val="000000" w:themeColor="text1"/>
          <w:sz w:val="20"/>
          <w:szCs w:val="20"/>
          <w:lang w:val="en-US"/>
        </w:rPr>
        <w:t>médiévale</w:t>
      </w:r>
      <w:proofErr w:type="spellEnd"/>
      <w:r w:rsidRPr="009D7635">
        <w:rPr>
          <w:rFonts w:ascii="Times New Roman" w:hAnsi="Times New Roman" w:cs="Times New Roman"/>
          <w:i/>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62 (1995)</w:t>
      </w:r>
      <w:r w:rsidR="007144C1"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42.</w:t>
      </w:r>
    </w:p>
  </w:footnote>
  <w:footnote w:id="259">
    <w:p w14:paraId="6A2C49D1" w14:textId="3420742E"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J.-P. </w:t>
      </w:r>
      <w:proofErr w:type="spellStart"/>
      <w:r w:rsidRPr="009D7635">
        <w:rPr>
          <w:rFonts w:ascii="Times New Roman" w:hAnsi="Times New Roman" w:cs="Times New Roman"/>
          <w:color w:val="000000" w:themeColor="text1"/>
        </w:rPr>
        <w:t>Torrell</w:t>
      </w:r>
      <w:proofErr w:type="spellEnd"/>
      <w:r w:rsidRPr="009D7635">
        <w:rPr>
          <w:rFonts w:ascii="Times New Roman" w:hAnsi="Times New Roman" w:cs="Times New Roman"/>
          <w:color w:val="000000" w:themeColor="text1"/>
        </w:rPr>
        <w:t xml:space="preserve">, ‘Introduction,’ in </w:t>
      </w:r>
      <w:proofErr w:type="spellStart"/>
      <w:r w:rsidRPr="009D7635">
        <w:rPr>
          <w:rFonts w:ascii="Times New Roman" w:hAnsi="Times New Roman" w:cs="Times New Roman"/>
          <w:color w:val="000000" w:themeColor="text1"/>
          <w:lang w:val="en-US"/>
        </w:rPr>
        <w:t>Guerric</w:t>
      </w:r>
      <w:proofErr w:type="spellEnd"/>
      <w:r w:rsidRPr="009D7635">
        <w:rPr>
          <w:rFonts w:ascii="Times New Roman" w:hAnsi="Times New Roman" w:cs="Times New Roman"/>
          <w:color w:val="000000" w:themeColor="text1"/>
          <w:lang w:val="en-US"/>
        </w:rPr>
        <w:t xml:space="preserve"> of Saint-Quentin, </w:t>
      </w:r>
      <w:proofErr w:type="spellStart"/>
      <w:r w:rsidRPr="009D7635">
        <w:rPr>
          <w:rFonts w:ascii="Times New Roman" w:hAnsi="Times New Roman" w:cs="Times New Roman"/>
          <w:i/>
          <w:color w:val="000000" w:themeColor="text1"/>
          <w:lang w:val="en-US"/>
        </w:rPr>
        <w:t>Quaestiones</w:t>
      </w:r>
      <w:proofErr w:type="spellEnd"/>
      <w:r w:rsidRPr="009D7635">
        <w:rPr>
          <w:rFonts w:ascii="Times New Roman" w:hAnsi="Times New Roman" w:cs="Times New Roman"/>
          <w:i/>
          <w:color w:val="000000" w:themeColor="text1"/>
          <w:lang w:val="en-US"/>
        </w:rPr>
        <w:t xml:space="preserve"> de quo</w:t>
      </w:r>
      <w:r w:rsidR="004D4D87" w:rsidRPr="009D7635">
        <w:rPr>
          <w:rFonts w:ascii="Times New Roman" w:hAnsi="Times New Roman" w:cs="Times New Roman"/>
          <w:i/>
          <w:color w:val="000000" w:themeColor="text1"/>
          <w:lang w:val="en-US"/>
        </w:rPr>
        <w:t>d</w:t>
      </w:r>
      <w:r w:rsidRPr="009D7635">
        <w:rPr>
          <w:rFonts w:ascii="Times New Roman" w:hAnsi="Times New Roman" w:cs="Times New Roman"/>
          <w:i/>
          <w:color w:val="000000" w:themeColor="text1"/>
          <w:lang w:val="en-US"/>
        </w:rPr>
        <w:t xml:space="preserve">libet, </w:t>
      </w:r>
      <w:r w:rsidRPr="009D7635">
        <w:rPr>
          <w:rFonts w:ascii="Times New Roman" w:hAnsi="Times New Roman" w:cs="Times New Roman"/>
          <w:color w:val="000000" w:themeColor="text1"/>
        </w:rPr>
        <w:t>8-9.</w:t>
      </w:r>
    </w:p>
  </w:footnote>
  <w:footnote w:id="260">
    <w:p w14:paraId="4018BCE7" w14:textId="6FF8F527" w:rsidR="00B93ED5" w:rsidRPr="009D7635" w:rsidRDefault="00B93ED5" w:rsidP="00986E7A">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Bernardo Carlos Bazán, ‘Les questions </w:t>
      </w:r>
      <w:proofErr w:type="spellStart"/>
      <w:r w:rsidRPr="009D7635">
        <w:rPr>
          <w:rFonts w:ascii="Times New Roman" w:hAnsi="Times New Roman" w:cs="Times New Roman"/>
          <w:color w:val="000000" w:themeColor="text1"/>
          <w:sz w:val="20"/>
          <w:szCs w:val="20"/>
          <w:lang w:val="en-US"/>
        </w:rPr>
        <w:t>disputées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principalement</w:t>
      </w:r>
      <w:proofErr w:type="spellEnd"/>
      <w:r w:rsidRPr="009D7635">
        <w:rPr>
          <w:rFonts w:ascii="Times New Roman" w:hAnsi="Times New Roman" w:cs="Times New Roman"/>
          <w:color w:val="000000" w:themeColor="text1"/>
          <w:sz w:val="20"/>
          <w:szCs w:val="20"/>
          <w:lang w:val="en-US"/>
        </w:rPr>
        <w:t xml:space="preserve"> dans les faculties de </w:t>
      </w:r>
      <w:proofErr w:type="spellStart"/>
      <w:r w:rsidRPr="009D7635">
        <w:rPr>
          <w:rFonts w:ascii="Times New Roman" w:hAnsi="Times New Roman" w:cs="Times New Roman"/>
          <w:color w:val="000000" w:themeColor="text1"/>
          <w:sz w:val="20"/>
          <w:szCs w:val="20"/>
          <w:lang w:val="en-US"/>
        </w:rPr>
        <w:t>theologie</w:t>
      </w:r>
      <w:proofErr w:type="spellEnd"/>
      <w:r w:rsidRPr="009D7635">
        <w:rPr>
          <w:rFonts w:ascii="Times New Roman" w:hAnsi="Times New Roman" w:cs="Times New Roman"/>
          <w:color w:val="000000" w:themeColor="text1"/>
          <w:sz w:val="20"/>
          <w:szCs w:val="20"/>
          <w:lang w:val="en-US"/>
        </w:rPr>
        <w:t xml:space="preserve">,’ in Bernardo Carlos Bazán, J. </w:t>
      </w:r>
      <w:proofErr w:type="spellStart"/>
      <w:r w:rsidRPr="009D7635">
        <w:rPr>
          <w:rFonts w:ascii="Times New Roman" w:hAnsi="Times New Roman" w:cs="Times New Roman"/>
          <w:color w:val="000000" w:themeColor="text1"/>
          <w:sz w:val="20"/>
          <w:szCs w:val="20"/>
          <w:lang w:val="en-US"/>
        </w:rPr>
        <w:t>Fransen</w:t>
      </w:r>
      <w:proofErr w:type="spellEnd"/>
      <w:r w:rsidRPr="009D7635">
        <w:rPr>
          <w:rFonts w:ascii="Times New Roman" w:hAnsi="Times New Roman" w:cs="Times New Roman"/>
          <w:color w:val="000000" w:themeColor="text1"/>
          <w:sz w:val="20"/>
          <w:szCs w:val="20"/>
          <w:lang w:val="en-US"/>
        </w:rPr>
        <w:t xml:space="preserve"> and J. </w:t>
      </w:r>
      <w:proofErr w:type="spellStart"/>
      <w:r w:rsidRPr="009D7635">
        <w:rPr>
          <w:rFonts w:ascii="Times New Roman" w:hAnsi="Times New Roman" w:cs="Times New Roman"/>
          <w:color w:val="000000" w:themeColor="text1"/>
          <w:sz w:val="20"/>
          <w:szCs w:val="20"/>
          <w:lang w:val="en-US"/>
        </w:rPr>
        <w:t>Wippel</w:t>
      </w:r>
      <w:proofErr w:type="spellEnd"/>
      <w:r w:rsidRPr="009D7635">
        <w:rPr>
          <w:rFonts w:ascii="Times New Roman" w:hAnsi="Times New Roman" w:cs="Times New Roman"/>
          <w:color w:val="000000" w:themeColor="text1"/>
          <w:sz w:val="20"/>
          <w:szCs w:val="20"/>
          <w:lang w:val="en-US"/>
        </w:rPr>
        <w:t xml:space="preserve">, eds. Les questions </w:t>
      </w:r>
      <w:proofErr w:type="spellStart"/>
      <w:r w:rsidRPr="009D7635">
        <w:rPr>
          <w:rFonts w:ascii="Times New Roman" w:hAnsi="Times New Roman" w:cs="Times New Roman"/>
          <w:color w:val="000000" w:themeColor="text1"/>
          <w:sz w:val="20"/>
          <w:szCs w:val="20"/>
          <w:lang w:val="en-US"/>
        </w:rPr>
        <w:t>disputees</w:t>
      </w:r>
      <w:proofErr w:type="spellEnd"/>
      <w:r w:rsidRPr="009D7635">
        <w:rPr>
          <w:rFonts w:ascii="Times New Roman" w:hAnsi="Times New Roman" w:cs="Times New Roman"/>
          <w:color w:val="000000" w:themeColor="text1"/>
          <w:sz w:val="20"/>
          <w:szCs w:val="20"/>
          <w:lang w:val="en-US"/>
        </w:rPr>
        <w:t xml:space="preserve"> et </w:t>
      </w:r>
      <w:proofErr w:type="spellStart"/>
      <w:r w:rsidRPr="009D7635">
        <w:rPr>
          <w:rFonts w:ascii="Times New Roman" w:hAnsi="Times New Roman" w:cs="Times New Roman"/>
          <w:color w:val="000000" w:themeColor="text1"/>
          <w:sz w:val="20"/>
          <w:szCs w:val="20"/>
          <w:lang w:val="en-US"/>
        </w:rPr>
        <w:t>Ies</w:t>
      </w:r>
      <w:proofErr w:type="spellEnd"/>
      <w:r w:rsidRPr="009D7635">
        <w:rPr>
          <w:rFonts w:ascii="Times New Roman" w:hAnsi="Times New Roman" w:cs="Times New Roman"/>
          <w:color w:val="000000" w:themeColor="text1"/>
          <w:sz w:val="20"/>
          <w:szCs w:val="20"/>
          <w:lang w:val="en-US"/>
        </w:rPr>
        <w:t xml:space="preserve"> questions </w:t>
      </w:r>
      <w:proofErr w:type="spellStart"/>
      <w:r w:rsidRPr="009D7635">
        <w:rPr>
          <w:rFonts w:ascii="Times New Roman" w:hAnsi="Times New Roman" w:cs="Times New Roman"/>
          <w:color w:val="000000" w:themeColor="text1"/>
          <w:sz w:val="20"/>
          <w:szCs w:val="20"/>
          <w:lang w:val="en-US"/>
        </w:rPr>
        <w:t>quodlibetiques</w:t>
      </w:r>
      <w:proofErr w:type="spellEnd"/>
      <w:r w:rsidRPr="009D7635">
        <w:rPr>
          <w:rFonts w:ascii="Times New Roman" w:hAnsi="Times New Roman" w:cs="Times New Roman"/>
          <w:color w:val="000000" w:themeColor="text1"/>
          <w:sz w:val="20"/>
          <w:szCs w:val="20"/>
          <w:lang w:val="en-US"/>
        </w:rPr>
        <w:t xml:space="preserve"> dans les</w:t>
      </w:r>
    </w:p>
    <w:p w14:paraId="1013CBED" w14:textId="0FB6C158" w:rsidR="00B93ED5" w:rsidRPr="009D7635" w:rsidRDefault="00B93ED5" w:rsidP="00986E7A">
      <w:pPr>
        <w:autoSpaceDE w:val="0"/>
        <w:autoSpaceDN w:val="0"/>
        <w:adjustRightInd w:val="0"/>
        <w:rPr>
          <w:rFonts w:ascii="Times New Roman" w:hAnsi="Times New Roman" w:cs="Times New Roman"/>
          <w:color w:val="000000" w:themeColor="text1"/>
          <w:sz w:val="20"/>
          <w:szCs w:val="20"/>
          <w:lang w:val="en-US"/>
        </w:rPr>
      </w:pPr>
      <w:proofErr w:type="spellStart"/>
      <w:r w:rsidRPr="009D7635">
        <w:rPr>
          <w:rFonts w:ascii="Times New Roman" w:hAnsi="Times New Roman" w:cs="Times New Roman"/>
          <w:color w:val="000000" w:themeColor="text1"/>
          <w:sz w:val="20"/>
          <w:szCs w:val="20"/>
          <w:lang w:val="en-US"/>
        </w:rPr>
        <w:t>facultes</w:t>
      </w:r>
      <w:proofErr w:type="spellEnd"/>
      <w:r w:rsidRPr="009D7635">
        <w:rPr>
          <w:rFonts w:ascii="Times New Roman" w:hAnsi="Times New Roman" w:cs="Times New Roman"/>
          <w:color w:val="000000" w:themeColor="text1"/>
          <w:sz w:val="20"/>
          <w:szCs w:val="20"/>
          <w:lang w:val="en-US"/>
        </w:rPr>
        <w:t xml:space="preserve"> de </w:t>
      </w:r>
      <w:proofErr w:type="spellStart"/>
      <w:r w:rsidRPr="009D7635">
        <w:rPr>
          <w:rFonts w:ascii="Times New Roman" w:hAnsi="Times New Roman" w:cs="Times New Roman"/>
          <w:color w:val="000000" w:themeColor="text1"/>
          <w:sz w:val="20"/>
          <w:szCs w:val="20"/>
          <w:lang w:val="en-US"/>
        </w:rPr>
        <w:t>theéologie</w:t>
      </w:r>
      <w:proofErr w:type="spellEnd"/>
      <w:r w:rsidRPr="009D7635">
        <w:rPr>
          <w:rFonts w:ascii="Times New Roman" w:hAnsi="Times New Roman" w:cs="Times New Roman"/>
          <w:color w:val="000000" w:themeColor="text1"/>
          <w:sz w:val="20"/>
          <w:szCs w:val="20"/>
          <w:lang w:val="en-US"/>
        </w:rPr>
        <w:t xml:space="preserve">, de droit et de medicine,’ </w:t>
      </w:r>
      <w:proofErr w:type="spellStart"/>
      <w:r w:rsidRPr="009D7635">
        <w:rPr>
          <w:rFonts w:ascii="Times New Roman" w:hAnsi="Times New Roman" w:cs="Times New Roman"/>
          <w:i/>
          <w:color w:val="000000" w:themeColor="text1"/>
          <w:sz w:val="20"/>
          <w:szCs w:val="20"/>
          <w:lang w:val="en-US"/>
        </w:rPr>
        <w:t>Typologie</w:t>
      </w:r>
      <w:proofErr w:type="spellEnd"/>
      <w:r w:rsidRPr="009D7635">
        <w:rPr>
          <w:rFonts w:ascii="Times New Roman" w:hAnsi="Times New Roman" w:cs="Times New Roman"/>
          <w:i/>
          <w:color w:val="000000" w:themeColor="text1"/>
          <w:sz w:val="20"/>
          <w:szCs w:val="20"/>
          <w:lang w:val="en-US"/>
        </w:rPr>
        <w:t xml:space="preserve"> des sources du </w:t>
      </w:r>
      <w:proofErr w:type="spellStart"/>
      <w:r w:rsidRPr="009D7635">
        <w:rPr>
          <w:rFonts w:ascii="Times New Roman" w:hAnsi="Times New Roman" w:cs="Times New Roman"/>
          <w:i/>
          <w:color w:val="000000" w:themeColor="text1"/>
          <w:sz w:val="20"/>
          <w:szCs w:val="20"/>
          <w:lang w:val="en-US"/>
        </w:rPr>
        <w:t>Moyen</w:t>
      </w:r>
      <w:proofErr w:type="spellEnd"/>
      <w:r w:rsidRPr="009D7635">
        <w:rPr>
          <w:rFonts w:ascii="Times New Roman" w:hAnsi="Times New Roman" w:cs="Times New Roman"/>
          <w:i/>
          <w:color w:val="000000" w:themeColor="text1"/>
          <w:sz w:val="20"/>
          <w:szCs w:val="20"/>
          <w:lang w:val="en-US"/>
        </w:rPr>
        <w:t xml:space="preserve"> Age occidental</w:t>
      </w:r>
      <w:r w:rsidRPr="009D7635">
        <w:rPr>
          <w:rFonts w:ascii="Times New Roman" w:hAnsi="Times New Roman" w:cs="Times New Roman"/>
          <w:color w:val="000000" w:themeColor="text1"/>
          <w:sz w:val="20"/>
          <w:szCs w:val="20"/>
          <w:lang w:val="en-US"/>
        </w:rPr>
        <w:t xml:space="preserve"> 44-45 (</w:t>
      </w:r>
      <w:proofErr w:type="spellStart"/>
      <w:r w:rsidRPr="009D7635">
        <w:rPr>
          <w:rFonts w:ascii="Times New Roman" w:hAnsi="Times New Roman" w:cs="Times New Roman"/>
          <w:color w:val="000000" w:themeColor="text1"/>
          <w:sz w:val="20"/>
          <w:szCs w:val="20"/>
          <w:lang w:val="en-US"/>
        </w:rPr>
        <w:t>Turnhout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Brepols</w:t>
      </w:r>
      <w:proofErr w:type="spellEnd"/>
      <w:r w:rsidRPr="009D7635">
        <w:rPr>
          <w:rFonts w:ascii="Times New Roman" w:hAnsi="Times New Roman" w:cs="Times New Roman"/>
          <w:color w:val="000000" w:themeColor="text1"/>
          <w:sz w:val="20"/>
          <w:szCs w:val="20"/>
          <w:lang w:val="en-US"/>
        </w:rPr>
        <w:t xml:space="preserve">, 1985), 13-149. P. Glorieux, ‘Aux </w:t>
      </w:r>
      <w:proofErr w:type="spellStart"/>
      <w:r w:rsidRPr="009D7635">
        <w:rPr>
          <w:rFonts w:ascii="Times New Roman" w:hAnsi="Times New Roman" w:cs="Times New Roman"/>
          <w:color w:val="000000" w:themeColor="text1"/>
          <w:sz w:val="20"/>
          <w:szCs w:val="20"/>
          <w:lang w:val="en-US"/>
        </w:rPr>
        <w:t>origines</w:t>
      </w:r>
      <w:proofErr w:type="spellEnd"/>
      <w:r w:rsidRPr="009D7635">
        <w:rPr>
          <w:rFonts w:ascii="Times New Roman" w:hAnsi="Times New Roman" w:cs="Times New Roman"/>
          <w:color w:val="000000" w:themeColor="text1"/>
          <w:sz w:val="20"/>
          <w:szCs w:val="20"/>
          <w:lang w:val="en-US"/>
        </w:rPr>
        <w:t xml:space="preserve"> du Quodlibet,’ </w:t>
      </w:r>
      <w:proofErr w:type="spellStart"/>
      <w:r w:rsidRPr="009D7635">
        <w:rPr>
          <w:rFonts w:ascii="Times New Roman" w:hAnsi="Times New Roman" w:cs="Times New Roman"/>
          <w:i/>
          <w:color w:val="000000" w:themeColor="text1"/>
          <w:sz w:val="20"/>
          <w:szCs w:val="20"/>
          <w:lang w:val="en-US"/>
        </w:rPr>
        <w:t>Divus</w:t>
      </w:r>
      <w:proofErr w:type="spellEnd"/>
      <w:r w:rsidRPr="009D7635">
        <w:rPr>
          <w:rFonts w:ascii="Times New Roman" w:hAnsi="Times New Roman" w:cs="Times New Roman"/>
          <w:i/>
          <w:color w:val="000000" w:themeColor="text1"/>
          <w:sz w:val="20"/>
          <w:szCs w:val="20"/>
          <w:lang w:val="en-US"/>
        </w:rPr>
        <w:t xml:space="preserve"> Thomas</w:t>
      </w:r>
      <w:r w:rsidRPr="009D7635">
        <w:rPr>
          <w:rFonts w:ascii="Times New Roman" w:hAnsi="Times New Roman" w:cs="Times New Roman"/>
          <w:color w:val="000000" w:themeColor="text1"/>
          <w:sz w:val="20"/>
          <w:szCs w:val="20"/>
          <w:lang w:val="en-US"/>
        </w:rPr>
        <w:t xml:space="preserve"> 38 (1935)</w:t>
      </w:r>
      <w:r w:rsidR="003D2E6B"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502-522.</w:t>
      </w:r>
    </w:p>
  </w:footnote>
  <w:footnote w:id="261">
    <w:p w14:paraId="62830D0D" w14:textId="63F39442" w:rsidR="00B93ED5" w:rsidRPr="009D7635" w:rsidRDefault="00B93ED5" w:rsidP="00986E7A">
      <w:pPr>
        <w:widowControl w:val="0"/>
        <w:autoSpaceDE w:val="0"/>
        <w:autoSpaceDN w:val="0"/>
        <w:adjustRightInd w:val="0"/>
        <w:jc w:val="both"/>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François-Marie </w:t>
      </w:r>
      <w:proofErr w:type="spellStart"/>
      <w:r w:rsidRPr="009D7635">
        <w:rPr>
          <w:rFonts w:ascii="Times New Roman" w:hAnsi="Times New Roman" w:cs="Times New Roman"/>
          <w:color w:val="000000" w:themeColor="text1"/>
          <w:sz w:val="20"/>
          <w:szCs w:val="20"/>
          <w:lang w:val="en-US"/>
        </w:rPr>
        <w:t>Henquinet</w:t>
      </w:r>
      <w:proofErr w:type="spellEnd"/>
      <w:r w:rsidRPr="009D7635">
        <w:rPr>
          <w:rFonts w:ascii="Times New Roman" w:hAnsi="Times New Roman" w:cs="Times New Roman"/>
          <w:color w:val="000000" w:themeColor="text1"/>
          <w:sz w:val="20"/>
          <w:szCs w:val="20"/>
          <w:lang w:val="en-US"/>
        </w:rPr>
        <w:t xml:space="preserve">, ‘Les </w:t>
      </w:r>
      <w:proofErr w:type="spellStart"/>
      <w:r w:rsidRPr="009D7635">
        <w:rPr>
          <w:rFonts w:ascii="Times New Roman" w:hAnsi="Times New Roman" w:cs="Times New Roman"/>
          <w:color w:val="000000" w:themeColor="text1"/>
          <w:sz w:val="20"/>
          <w:szCs w:val="20"/>
          <w:lang w:val="en-US"/>
        </w:rPr>
        <w:t>Écrits</w:t>
      </w:r>
      <w:proofErr w:type="spellEnd"/>
      <w:r w:rsidRPr="009D7635">
        <w:rPr>
          <w:rFonts w:ascii="Times New Roman" w:hAnsi="Times New Roman" w:cs="Times New Roman"/>
          <w:color w:val="000000" w:themeColor="text1"/>
          <w:sz w:val="20"/>
          <w:szCs w:val="20"/>
          <w:lang w:val="en-US"/>
        </w:rPr>
        <w:t xml:space="preserve"> Du Frère </w:t>
      </w:r>
      <w:proofErr w:type="spellStart"/>
      <w:r w:rsidRPr="009D7635">
        <w:rPr>
          <w:rFonts w:ascii="Times New Roman" w:hAnsi="Times New Roman" w:cs="Times New Roman"/>
          <w:color w:val="000000" w:themeColor="text1"/>
          <w:sz w:val="20"/>
          <w:szCs w:val="20"/>
          <w:lang w:val="en-US"/>
        </w:rPr>
        <w:t>Guerric</w:t>
      </w:r>
      <w:proofErr w:type="spellEnd"/>
      <w:r w:rsidRPr="009D7635">
        <w:rPr>
          <w:rFonts w:ascii="Times New Roman" w:hAnsi="Times New Roman" w:cs="Times New Roman"/>
          <w:color w:val="000000" w:themeColor="text1"/>
          <w:sz w:val="20"/>
          <w:szCs w:val="20"/>
          <w:lang w:val="en-US"/>
        </w:rPr>
        <w:t xml:space="preserve"> De Saint-Quentin, O. P,’ </w:t>
      </w:r>
      <w:proofErr w:type="spellStart"/>
      <w:r w:rsidR="00C65E33" w:rsidRPr="004746EC">
        <w:rPr>
          <w:rFonts w:ascii="Times New Roman" w:hAnsi="Times New Roman" w:cs="Times New Roman"/>
          <w:i/>
          <w:iCs/>
          <w:color w:val="000000" w:themeColor="text1"/>
        </w:rPr>
        <w:t>Recherches</w:t>
      </w:r>
      <w:proofErr w:type="spellEnd"/>
      <w:r w:rsidR="00C65E33" w:rsidRPr="004746EC">
        <w:rPr>
          <w:rFonts w:ascii="Times New Roman" w:hAnsi="Times New Roman" w:cs="Times New Roman"/>
          <w:i/>
          <w:iCs/>
          <w:color w:val="000000" w:themeColor="text1"/>
        </w:rPr>
        <w:t xml:space="preserve"> de </w:t>
      </w:r>
      <w:proofErr w:type="spellStart"/>
      <w:r w:rsidR="00C65E33" w:rsidRPr="004746EC">
        <w:rPr>
          <w:rFonts w:ascii="Times New Roman" w:hAnsi="Times New Roman" w:cs="Times New Roman"/>
          <w:i/>
          <w:iCs/>
          <w:color w:val="000000" w:themeColor="text1"/>
        </w:rPr>
        <w:t>théologie</w:t>
      </w:r>
      <w:proofErr w:type="spellEnd"/>
      <w:r w:rsidR="00C65E33" w:rsidRPr="004746EC">
        <w:rPr>
          <w:rFonts w:ascii="Times New Roman" w:hAnsi="Times New Roman" w:cs="Times New Roman"/>
          <w:i/>
          <w:iCs/>
          <w:color w:val="000000" w:themeColor="text1"/>
        </w:rPr>
        <w:t xml:space="preserve"> </w:t>
      </w:r>
      <w:proofErr w:type="spellStart"/>
      <w:r w:rsidR="00C65E33" w:rsidRPr="004746EC">
        <w:rPr>
          <w:rFonts w:ascii="Times New Roman" w:hAnsi="Times New Roman" w:cs="Times New Roman"/>
          <w:i/>
          <w:iCs/>
          <w:color w:val="000000" w:themeColor="text1"/>
        </w:rPr>
        <w:t>ancienne</w:t>
      </w:r>
      <w:proofErr w:type="spellEnd"/>
      <w:r w:rsidR="00C65E33" w:rsidRPr="004746EC">
        <w:rPr>
          <w:rFonts w:ascii="Times New Roman" w:hAnsi="Times New Roman" w:cs="Times New Roman"/>
          <w:i/>
          <w:iCs/>
          <w:color w:val="000000" w:themeColor="text1"/>
        </w:rPr>
        <w:t xml:space="preserve"> et </w:t>
      </w:r>
      <w:proofErr w:type="spellStart"/>
      <w:r w:rsidR="00C65E33" w:rsidRPr="004746EC">
        <w:rPr>
          <w:rFonts w:ascii="Times New Roman" w:hAnsi="Times New Roman" w:cs="Times New Roman"/>
          <w:i/>
          <w:iCs/>
          <w:color w:val="000000" w:themeColor="text1"/>
        </w:rPr>
        <w:t>médiévale</w:t>
      </w:r>
      <w:proofErr w:type="spellEnd"/>
      <w:r w:rsidR="00C65E33">
        <w:rPr>
          <w:rFonts w:ascii="Times New Roman" w:hAnsi="Times New Roman" w:cs="Times New Roman"/>
          <w:color w:val="000000" w:themeColor="text1"/>
        </w:rPr>
        <w:t xml:space="preserve"> </w:t>
      </w:r>
      <w:r w:rsidRPr="009D7635">
        <w:rPr>
          <w:rFonts w:ascii="Times New Roman" w:hAnsi="Times New Roman" w:cs="Times New Roman"/>
          <w:color w:val="000000" w:themeColor="text1"/>
          <w:sz w:val="20"/>
          <w:szCs w:val="20"/>
          <w:lang w:val="en-US"/>
        </w:rPr>
        <w:t>6 (1934)</w:t>
      </w:r>
      <w:r w:rsidR="003D2E6B"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184-214, 84-312, 94-410. François-Marie </w:t>
      </w:r>
      <w:proofErr w:type="spellStart"/>
      <w:r w:rsidRPr="009D7635">
        <w:rPr>
          <w:rFonts w:ascii="Times New Roman" w:hAnsi="Times New Roman" w:cs="Times New Roman"/>
          <w:color w:val="000000" w:themeColor="text1"/>
          <w:sz w:val="20"/>
          <w:szCs w:val="20"/>
          <w:lang w:val="en-US"/>
        </w:rPr>
        <w:t>Henquinet</w:t>
      </w:r>
      <w:proofErr w:type="spellEnd"/>
      <w:r w:rsidRPr="009D7635">
        <w:rPr>
          <w:rFonts w:ascii="Times New Roman" w:hAnsi="Times New Roman" w:cs="Times New Roman"/>
          <w:color w:val="000000" w:themeColor="text1"/>
          <w:sz w:val="20"/>
          <w:szCs w:val="20"/>
          <w:lang w:val="en-US"/>
        </w:rPr>
        <w:t xml:space="preserve">, ‘Notes </w:t>
      </w:r>
      <w:proofErr w:type="spellStart"/>
      <w:r w:rsidRPr="009D7635">
        <w:rPr>
          <w:rFonts w:ascii="Times New Roman" w:hAnsi="Times New Roman" w:cs="Times New Roman"/>
          <w:color w:val="000000" w:themeColor="text1"/>
          <w:sz w:val="20"/>
          <w:szCs w:val="20"/>
          <w:lang w:val="en-US"/>
        </w:rPr>
        <w:t>additionnelles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sur</w:t>
      </w:r>
      <w:proofErr w:type="spellEnd"/>
      <w:r w:rsidRPr="009D7635">
        <w:rPr>
          <w:rFonts w:ascii="Times New Roman" w:hAnsi="Times New Roman" w:cs="Times New Roman"/>
          <w:color w:val="000000" w:themeColor="text1"/>
          <w:sz w:val="20"/>
          <w:szCs w:val="20"/>
          <w:lang w:val="en-US"/>
        </w:rPr>
        <w:t xml:space="preserve"> les </w:t>
      </w:r>
      <w:proofErr w:type="spellStart"/>
      <w:r w:rsidRPr="009D7635">
        <w:rPr>
          <w:rFonts w:ascii="Times New Roman" w:hAnsi="Times New Roman" w:cs="Times New Roman"/>
          <w:color w:val="000000" w:themeColor="text1"/>
          <w:sz w:val="20"/>
          <w:szCs w:val="20"/>
          <w:lang w:val="en-US"/>
        </w:rPr>
        <w:t>écrits</w:t>
      </w:r>
      <w:proofErr w:type="spellEnd"/>
      <w:r w:rsidRPr="009D7635">
        <w:rPr>
          <w:rFonts w:ascii="Times New Roman" w:hAnsi="Times New Roman" w:cs="Times New Roman"/>
          <w:color w:val="000000" w:themeColor="text1"/>
          <w:sz w:val="20"/>
          <w:szCs w:val="20"/>
          <w:lang w:val="en-US"/>
        </w:rPr>
        <w:t xml:space="preserve"> de </w:t>
      </w:r>
      <w:proofErr w:type="spellStart"/>
      <w:r w:rsidRPr="009D7635">
        <w:rPr>
          <w:rFonts w:ascii="Times New Roman" w:hAnsi="Times New Roman" w:cs="Times New Roman"/>
          <w:color w:val="000000" w:themeColor="text1"/>
          <w:sz w:val="20"/>
          <w:szCs w:val="20"/>
          <w:lang w:val="en-US"/>
        </w:rPr>
        <w:t>Guerric</w:t>
      </w:r>
      <w:proofErr w:type="spellEnd"/>
      <w:r w:rsidRPr="009D7635">
        <w:rPr>
          <w:rFonts w:ascii="Times New Roman" w:hAnsi="Times New Roman" w:cs="Times New Roman"/>
          <w:color w:val="000000" w:themeColor="text1"/>
          <w:sz w:val="20"/>
          <w:szCs w:val="20"/>
          <w:lang w:val="en-US"/>
        </w:rPr>
        <w:t xml:space="preserve"> de Saint-Quentin,’ </w:t>
      </w:r>
      <w:proofErr w:type="spellStart"/>
      <w:r w:rsidR="00C65E33" w:rsidRPr="004746EC">
        <w:rPr>
          <w:rFonts w:ascii="Times New Roman" w:hAnsi="Times New Roman" w:cs="Times New Roman"/>
          <w:i/>
          <w:iCs/>
          <w:color w:val="000000" w:themeColor="text1"/>
        </w:rPr>
        <w:t>Recherches</w:t>
      </w:r>
      <w:proofErr w:type="spellEnd"/>
      <w:r w:rsidR="00C65E33" w:rsidRPr="004746EC">
        <w:rPr>
          <w:rFonts w:ascii="Times New Roman" w:hAnsi="Times New Roman" w:cs="Times New Roman"/>
          <w:i/>
          <w:iCs/>
          <w:color w:val="000000" w:themeColor="text1"/>
        </w:rPr>
        <w:t xml:space="preserve"> de </w:t>
      </w:r>
      <w:proofErr w:type="spellStart"/>
      <w:r w:rsidR="00C65E33" w:rsidRPr="004746EC">
        <w:rPr>
          <w:rFonts w:ascii="Times New Roman" w:hAnsi="Times New Roman" w:cs="Times New Roman"/>
          <w:i/>
          <w:iCs/>
          <w:color w:val="000000" w:themeColor="text1"/>
        </w:rPr>
        <w:t>théologie</w:t>
      </w:r>
      <w:proofErr w:type="spellEnd"/>
      <w:r w:rsidR="00C65E33" w:rsidRPr="004746EC">
        <w:rPr>
          <w:rFonts w:ascii="Times New Roman" w:hAnsi="Times New Roman" w:cs="Times New Roman"/>
          <w:i/>
          <w:iCs/>
          <w:color w:val="000000" w:themeColor="text1"/>
        </w:rPr>
        <w:t xml:space="preserve"> </w:t>
      </w:r>
      <w:proofErr w:type="spellStart"/>
      <w:r w:rsidR="00C65E33" w:rsidRPr="004746EC">
        <w:rPr>
          <w:rFonts w:ascii="Times New Roman" w:hAnsi="Times New Roman" w:cs="Times New Roman"/>
          <w:i/>
          <w:iCs/>
          <w:color w:val="000000" w:themeColor="text1"/>
        </w:rPr>
        <w:t>ancienne</w:t>
      </w:r>
      <w:proofErr w:type="spellEnd"/>
      <w:r w:rsidR="00C65E33" w:rsidRPr="004746EC">
        <w:rPr>
          <w:rFonts w:ascii="Times New Roman" w:hAnsi="Times New Roman" w:cs="Times New Roman"/>
          <w:i/>
          <w:iCs/>
          <w:color w:val="000000" w:themeColor="text1"/>
        </w:rPr>
        <w:t xml:space="preserve"> et </w:t>
      </w:r>
      <w:proofErr w:type="spellStart"/>
      <w:r w:rsidR="00C65E33" w:rsidRPr="004746EC">
        <w:rPr>
          <w:rFonts w:ascii="Times New Roman" w:hAnsi="Times New Roman" w:cs="Times New Roman"/>
          <w:i/>
          <w:iCs/>
          <w:color w:val="000000" w:themeColor="text1"/>
        </w:rPr>
        <w:t>médiévale</w:t>
      </w:r>
      <w:proofErr w:type="spellEnd"/>
      <w:r w:rsidR="00C65E33">
        <w:rPr>
          <w:rFonts w:ascii="Times New Roman" w:hAnsi="Times New Roman" w:cs="Times New Roman"/>
          <w:color w:val="000000" w:themeColor="text1"/>
        </w:rPr>
        <w:t xml:space="preserve"> </w:t>
      </w:r>
      <w:r w:rsidRPr="009D7635">
        <w:rPr>
          <w:rFonts w:ascii="Times New Roman" w:hAnsi="Times New Roman" w:cs="Times New Roman"/>
          <w:color w:val="000000" w:themeColor="text1"/>
          <w:sz w:val="20"/>
          <w:szCs w:val="20"/>
          <w:lang w:val="en-US"/>
        </w:rPr>
        <w:t>8 (1936)</w:t>
      </w:r>
      <w:r w:rsidR="003D2E6B"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369-88.</w:t>
      </w:r>
    </w:p>
  </w:footnote>
  <w:footnote w:id="262">
    <w:p w14:paraId="58989046" w14:textId="4D4AB1BE"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Roland J. </w:t>
      </w:r>
      <w:proofErr w:type="spellStart"/>
      <w:r w:rsidRPr="009D7635">
        <w:rPr>
          <w:rFonts w:ascii="Times New Roman" w:hAnsi="Times New Roman" w:cs="Times New Roman"/>
          <w:color w:val="000000" w:themeColor="text1"/>
          <w:lang w:val="en-US"/>
        </w:rPr>
        <w:t>Teske</w:t>
      </w:r>
      <w:proofErr w:type="spellEnd"/>
      <w:r w:rsidRPr="009D7635">
        <w:rPr>
          <w:rFonts w:ascii="Times New Roman" w:hAnsi="Times New Roman" w:cs="Times New Roman"/>
          <w:color w:val="000000" w:themeColor="text1"/>
          <w:lang w:val="en-US"/>
        </w:rPr>
        <w:t xml:space="preserve">, ‘William of Auvergne’s Debt to Avicenna,’ in Roland J. </w:t>
      </w:r>
      <w:proofErr w:type="spellStart"/>
      <w:r w:rsidRPr="009D7635">
        <w:rPr>
          <w:rFonts w:ascii="Times New Roman" w:hAnsi="Times New Roman" w:cs="Times New Roman"/>
          <w:color w:val="000000" w:themeColor="text1"/>
          <w:lang w:val="en-US"/>
        </w:rPr>
        <w:t>Teske</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i/>
          <w:iCs/>
          <w:color w:val="000000" w:themeColor="text1"/>
          <w:lang w:val="en-US"/>
        </w:rPr>
        <w:t xml:space="preserve">Studies in the Philosophy of William of Auvergne, Bishop of Paris 1228-1249 </w:t>
      </w:r>
      <w:r w:rsidRPr="009D7635">
        <w:rPr>
          <w:rFonts w:ascii="Times New Roman" w:hAnsi="Times New Roman" w:cs="Times New Roman"/>
          <w:color w:val="000000" w:themeColor="text1"/>
          <w:lang w:val="en-US"/>
        </w:rPr>
        <w:t>(Milwaukee: Marquette University Press, 2006), 217-37.</w:t>
      </w:r>
    </w:p>
  </w:footnote>
  <w:footnote w:id="263">
    <w:p w14:paraId="6FE3C47D" w14:textId="4284EDEA" w:rsidR="00B93ED5" w:rsidRPr="009D7635" w:rsidRDefault="00B93ED5" w:rsidP="00986E7A">
      <w:pPr>
        <w:jc w:val="both"/>
        <w:rPr>
          <w:rFonts w:ascii="Times New Roman" w:hAnsi="Times New Roman" w:cs="Times New Roman"/>
          <w:color w:val="000000" w:themeColor="text1"/>
          <w:sz w:val="20"/>
          <w:szCs w:val="20"/>
          <w:lang w:val="it-IT"/>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lang w:val="it-IT"/>
        </w:rPr>
        <w:t>Guillelmi</w:t>
      </w:r>
      <w:proofErr w:type="spellEnd"/>
      <w:r w:rsidRPr="009D7635">
        <w:rPr>
          <w:rFonts w:ascii="Times New Roman" w:hAnsi="Times New Roman" w:cs="Times New Roman"/>
          <w:i/>
          <w:iCs/>
          <w:color w:val="000000" w:themeColor="text1"/>
          <w:sz w:val="20"/>
          <w:szCs w:val="20"/>
          <w:lang w:val="it-IT"/>
        </w:rPr>
        <w:t xml:space="preserve"> </w:t>
      </w:r>
      <w:proofErr w:type="spellStart"/>
      <w:r w:rsidRPr="009D7635">
        <w:rPr>
          <w:rFonts w:ascii="Times New Roman" w:hAnsi="Times New Roman" w:cs="Times New Roman"/>
          <w:i/>
          <w:iCs/>
          <w:color w:val="000000" w:themeColor="text1"/>
          <w:sz w:val="20"/>
          <w:szCs w:val="20"/>
          <w:lang w:val="it-IT"/>
        </w:rPr>
        <w:t>Alverni</w:t>
      </w:r>
      <w:proofErr w:type="spellEnd"/>
      <w:r w:rsidRPr="009D7635">
        <w:rPr>
          <w:rFonts w:ascii="Times New Roman" w:hAnsi="Times New Roman" w:cs="Times New Roman"/>
          <w:i/>
          <w:iCs/>
          <w:color w:val="000000" w:themeColor="text1"/>
          <w:sz w:val="20"/>
          <w:szCs w:val="20"/>
          <w:lang w:val="it-IT"/>
        </w:rPr>
        <w:t xml:space="preserve"> Opera omnia</w:t>
      </w:r>
      <w:r w:rsidRPr="009D7635">
        <w:rPr>
          <w:rFonts w:ascii="Times New Roman" w:hAnsi="Times New Roman" w:cs="Times New Roman"/>
          <w:color w:val="000000" w:themeColor="text1"/>
          <w:sz w:val="20"/>
          <w:szCs w:val="20"/>
          <w:lang w:val="it-IT"/>
        </w:rPr>
        <w:t xml:space="preserve">, 2 </w:t>
      </w:r>
      <w:proofErr w:type="spellStart"/>
      <w:r w:rsidRPr="009D7635">
        <w:rPr>
          <w:rFonts w:ascii="Times New Roman" w:hAnsi="Times New Roman" w:cs="Times New Roman"/>
          <w:color w:val="000000" w:themeColor="text1"/>
          <w:sz w:val="20"/>
          <w:szCs w:val="20"/>
          <w:lang w:val="it-IT"/>
        </w:rPr>
        <w:t>vols</w:t>
      </w:r>
      <w:proofErr w:type="spellEnd"/>
      <w:r w:rsidR="00EE760D" w:rsidRPr="009D7635">
        <w:rPr>
          <w:rFonts w:ascii="Times New Roman" w:hAnsi="Times New Roman" w:cs="Times New Roman"/>
          <w:color w:val="000000" w:themeColor="text1"/>
          <w:sz w:val="20"/>
          <w:szCs w:val="20"/>
          <w:lang w:val="it-IT"/>
        </w:rPr>
        <w:t xml:space="preserve"> (</w:t>
      </w:r>
      <w:r w:rsidRPr="009D7635">
        <w:rPr>
          <w:rFonts w:ascii="Times New Roman" w:hAnsi="Times New Roman" w:cs="Times New Roman"/>
          <w:color w:val="000000" w:themeColor="text1"/>
          <w:sz w:val="20"/>
          <w:szCs w:val="20"/>
          <w:lang w:val="it-IT"/>
        </w:rPr>
        <w:t>Paris, 1674</w:t>
      </w:r>
      <w:r w:rsidR="00EE760D" w:rsidRPr="009D7635">
        <w:rPr>
          <w:rFonts w:ascii="Times New Roman" w:hAnsi="Times New Roman" w:cs="Times New Roman"/>
          <w:color w:val="000000" w:themeColor="text1"/>
          <w:sz w:val="20"/>
          <w:szCs w:val="20"/>
          <w:lang w:val="it-IT"/>
        </w:rPr>
        <w:t>)</w:t>
      </w:r>
      <w:r w:rsidRPr="009D7635">
        <w:rPr>
          <w:rFonts w:ascii="Times New Roman" w:hAnsi="Times New Roman" w:cs="Times New Roman"/>
          <w:color w:val="000000" w:themeColor="text1"/>
          <w:sz w:val="20"/>
          <w:szCs w:val="20"/>
          <w:lang w:val="it-IT"/>
        </w:rPr>
        <w:t xml:space="preserve">. </w:t>
      </w:r>
      <w:r w:rsidRPr="009D7635">
        <w:rPr>
          <w:rFonts w:ascii="Times New Roman" w:hAnsi="Times New Roman" w:cs="Times New Roman"/>
          <w:iCs/>
          <w:color w:val="000000" w:themeColor="text1"/>
          <w:sz w:val="20"/>
          <w:szCs w:val="20"/>
          <w:lang w:val="en-US"/>
        </w:rPr>
        <w:t xml:space="preserve">Franco </w:t>
      </w:r>
      <w:proofErr w:type="spellStart"/>
      <w:r w:rsidRPr="009D7635">
        <w:rPr>
          <w:rFonts w:ascii="Times New Roman" w:hAnsi="Times New Roman" w:cs="Times New Roman"/>
          <w:iCs/>
          <w:color w:val="000000" w:themeColor="text1"/>
          <w:sz w:val="20"/>
          <w:szCs w:val="20"/>
          <w:lang w:val="en-US"/>
        </w:rPr>
        <w:t>Morenzoni</w:t>
      </w:r>
      <w:proofErr w:type="spellEnd"/>
      <w:r w:rsidRPr="009D7635">
        <w:rPr>
          <w:rFonts w:ascii="Times New Roman" w:hAnsi="Times New Roman" w:cs="Times New Roman"/>
          <w:iCs/>
          <w:color w:val="000000" w:themeColor="text1"/>
          <w:sz w:val="20"/>
          <w:szCs w:val="20"/>
          <w:lang w:val="en-US"/>
        </w:rPr>
        <w:t xml:space="preserve">, and Jean-Yves </w:t>
      </w:r>
      <w:proofErr w:type="spellStart"/>
      <w:r w:rsidRPr="009D7635">
        <w:rPr>
          <w:rFonts w:ascii="Times New Roman" w:hAnsi="Times New Roman" w:cs="Times New Roman"/>
          <w:iCs/>
          <w:color w:val="000000" w:themeColor="text1"/>
          <w:sz w:val="20"/>
          <w:szCs w:val="20"/>
          <w:lang w:val="en-US"/>
        </w:rPr>
        <w:t>Tilliette</w:t>
      </w:r>
      <w:proofErr w:type="spellEnd"/>
      <w:r w:rsidRPr="009D7635">
        <w:rPr>
          <w:rFonts w:ascii="Times New Roman" w:hAnsi="Times New Roman" w:cs="Times New Roman"/>
          <w:iCs/>
          <w:color w:val="000000" w:themeColor="text1"/>
          <w:sz w:val="20"/>
          <w:szCs w:val="20"/>
          <w:lang w:val="en-US"/>
        </w:rPr>
        <w:t xml:space="preserve">, eds. </w:t>
      </w:r>
      <w:proofErr w:type="spellStart"/>
      <w:r w:rsidRPr="009D7635">
        <w:rPr>
          <w:rFonts w:ascii="Times New Roman" w:hAnsi="Times New Roman" w:cs="Times New Roman"/>
          <w:i/>
          <w:iCs/>
          <w:color w:val="000000" w:themeColor="text1"/>
          <w:sz w:val="20"/>
          <w:szCs w:val="20"/>
          <w:lang w:val="en-US"/>
        </w:rPr>
        <w:t>Autour</w:t>
      </w:r>
      <w:proofErr w:type="spellEnd"/>
      <w:r w:rsidRPr="009D7635">
        <w:rPr>
          <w:rFonts w:ascii="Times New Roman" w:hAnsi="Times New Roman" w:cs="Times New Roman"/>
          <w:i/>
          <w:iCs/>
          <w:color w:val="000000" w:themeColor="text1"/>
          <w:sz w:val="20"/>
          <w:szCs w:val="20"/>
          <w:lang w:val="en-US"/>
        </w:rPr>
        <w:t xml:space="preserve"> de Guillaume d'Auvergne </w:t>
      </w:r>
      <w:r w:rsidRPr="009D7635">
        <w:rPr>
          <w:rFonts w:ascii="Times New Roman" w:hAnsi="Times New Roman" w:cs="Times New Roman"/>
          <w:iCs/>
          <w:color w:val="000000" w:themeColor="text1"/>
          <w:sz w:val="20"/>
          <w:szCs w:val="20"/>
          <w:lang w:val="en-US"/>
        </w:rPr>
        <w:t>(</w:t>
      </w:r>
      <w:proofErr w:type="spellStart"/>
      <w:r w:rsidRPr="009D7635">
        <w:rPr>
          <w:rFonts w:ascii="Times New Roman" w:hAnsi="Times New Roman" w:cs="Times New Roman"/>
          <w:color w:val="000000" w:themeColor="text1"/>
          <w:sz w:val="20"/>
          <w:szCs w:val="20"/>
          <w:lang w:val="en-US"/>
        </w:rPr>
        <w:t>Turnhout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Brepols</w:t>
      </w:r>
      <w:proofErr w:type="spellEnd"/>
      <w:r w:rsidRPr="009D7635">
        <w:rPr>
          <w:rFonts w:ascii="Times New Roman" w:hAnsi="Times New Roman" w:cs="Times New Roman"/>
          <w:color w:val="000000" w:themeColor="text1"/>
          <w:sz w:val="20"/>
          <w:szCs w:val="20"/>
          <w:lang w:val="en-US"/>
        </w:rPr>
        <w:t>, 2005).</w:t>
      </w:r>
    </w:p>
  </w:footnote>
  <w:footnote w:id="264">
    <w:p w14:paraId="695919F8"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Gabriel </w:t>
      </w:r>
      <w:proofErr w:type="spellStart"/>
      <w:r w:rsidRPr="009D7635">
        <w:rPr>
          <w:rFonts w:ascii="Times New Roman" w:hAnsi="Times New Roman" w:cs="Times New Roman"/>
          <w:color w:val="000000" w:themeColor="text1"/>
          <w:lang w:val="en-US"/>
        </w:rPr>
        <w:t>Jüssen</w:t>
      </w:r>
      <w:proofErr w:type="spellEnd"/>
      <w:r w:rsidRPr="009D7635">
        <w:rPr>
          <w:rFonts w:ascii="Times New Roman" w:hAnsi="Times New Roman" w:cs="Times New Roman"/>
          <w:color w:val="000000" w:themeColor="text1"/>
          <w:lang w:val="en-US"/>
        </w:rPr>
        <w:t xml:space="preserve">, ‘Wilhelm von Auvergne und die </w:t>
      </w:r>
      <w:proofErr w:type="spellStart"/>
      <w:r w:rsidRPr="009D7635">
        <w:rPr>
          <w:rFonts w:ascii="Times New Roman" w:hAnsi="Times New Roman" w:cs="Times New Roman"/>
          <w:color w:val="000000" w:themeColor="text1"/>
          <w:lang w:val="en-US"/>
        </w:rPr>
        <w:t>Entwicklung</w:t>
      </w:r>
      <w:proofErr w:type="spellEnd"/>
      <w:r w:rsidRPr="009D7635">
        <w:rPr>
          <w:rFonts w:ascii="Times New Roman" w:hAnsi="Times New Roman" w:cs="Times New Roman"/>
          <w:color w:val="000000" w:themeColor="text1"/>
          <w:lang w:val="en-US"/>
        </w:rPr>
        <w:t xml:space="preserve"> der Philosophie in </w:t>
      </w:r>
      <w:proofErr w:type="spellStart"/>
      <w:r w:rsidRPr="009D7635">
        <w:rPr>
          <w:rFonts w:ascii="Times New Roman" w:hAnsi="Times New Roman" w:cs="Times New Roman"/>
          <w:color w:val="000000" w:themeColor="text1"/>
          <w:lang w:val="en-US"/>
        </w:rPr>
        <w:t>Übergang</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zur</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Hochscholastik</w:t>
      </w:r>
      <w:proofErr w:type="spellEnd"/>
      <w:r w:rsidRPr="009D7635">
        <w:rPr>
          <w:rFonts w:ascii="Times New Roman" w:hAnsi="Times New Roman" w:cs="Times New Roman"/>
          <w:color w:val="000000" w:themeColor="text1"/>
          <w:lang w:val="en-US"/>
        </w:rPr>
        <w:t xml:space="preserve">,’ in </w:t>
      </w:r>
      <w:r w:rsidRPr="009D7635">
        <w:rPr>
          <w:rFonts w:ascii="Times New Roman" w:hAnsi="Times New Roman" w:cs="Times New Roman"/>
          <w:i/>
          <w:iCs/>
          <w:color w:val="000000" w:themeColor="text1"/>
          <w:lang w:val="en-US"/>
        </w:rPr>
        <w:t xml:space="preserve">Thomas von </w:t>
      </w:r>
      <w:proofErr w:type="spellStart"/>
      <w:r w:rsidRPr="009D7635">
        <w:rPr>
          <w:rFonts w:ascii="Times New Roman" w:hAnsi="Times New Roman" w:cs="Times New Roman"/>
          <w:i/>
          <w:iCs/>
          <w:color w:val="000000" w:themeColor="text1"/>
          <w:lang w:val="en-US"/>
        </w:rPr>
        <w:t>Aquin</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im</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philosophischen</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Gespräch</w:t>
      </w:r>
      <w:proofErr w:type="spellEnd"/>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lang w:val="en-US"/>
        </w:rPr>
        <w:t xml:space="preserve">ed. Wolfgang </w:t>
      </w:r>
      <w:proofErr w:type="spellStart"/>
      <w:r w:rsidRPr="009D7635">
        <w:rPr>
          <w:rFonts w:ascii="Times New Roman" w:hAnsi="Times New Roman" w:cs="Times New Roman"/>
          <w:color w:val="000000" w:themeColor="text1"/>
          <w:lang w:val="en-US"/>
        </w:rPr>
        <w:t>Klugen</w:t>
      </w:r>
      <w:proofErr w:type="spellEnd"/>
      <w:r w:rsidRPr="009D7635">
        <w:rPr>
          <w:rFonts w:ascii="Times New Roman" w:hAnsi="Times New Roman" w:cs="Times New Roman"/>
          <w:color w:val="000000" w:themeColor="text1"/>
          <w:lang w:val="en-US"/>
        </w:rPr>
        <w:t xml:space="preserve"> (Freiburg, 1975), 185-203.</w:t>
      </w:r>
    </w:p>
  </w:footnote>
  <w:footnote w:id="265">
    <w:p w14:paraId="66D12468" w14:textId="1C6B07B8"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Ernest A. Moody, </w:t>
      </w:r>
      <w:r w:rsidRPr="009D7635">
        <w:rPr>
          <w:rFonts w:ascii="Times New Roman" w:hAnsi="Times New Roman" w:cs="Times New Roman"/>
          <w:color w:val="000000" w:themeColor="text1"/>
          <w:lang w:val="en-US"/>
        </w:rPr>
        <w:t xml:space="preserve">‘William of Auvergne and His Treatise </w:t>
      </w:r>
      <w:r w:rsidRPr="009D7635">
        <w:rPr>
          <w:rFonts w:ascii="Times New Roman" w:hAnsi="Times New Roman" w:cs="Times New Roman"/>
          <w:i/>
          <w:iCs/>
          <w:color w:val="000000" w:themeColor="text1"/>
          <w:lang w:val="en-US"/>
        </w:rPr>
        <w:t>De anima</w:t>
      </w:r>
      <w:r w:rsidRPr="009D7635">
        <w:rPr>
          <w:rFonts w:ascii="Times New Roman" w:hAnsi="Times New Roman" w:cs="Times New Roman"/>
          <w:color w:val="000000" w:themeColor="text1"/>
          <w:lang w:val="en-US"/>
        </w:rPr>
        <w:t>,’</w:t>
      </w:r>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lang w:val="en-US"/>
        </w:rPr>
        <w:t xml:space="preserve">in </w:t>
      </w:r>
      <w:r w:rsidRPr="009D7635">
        <w:rPr>
          <w:rFonts w:ascii="Times New Roman" w:hAnsi="Times New Roman" w:cs="Times New Roman"/>
          <w:i/>
          <w:iCs/>
          <w:color w:val="000000" w:themeColor="text1"/>
          <w:lang w:val="en-US"/>
        </w:rPr>
        <w:t>Studies in Medieval Philosophy, Science, and Logic</w:t>
      </w:r>
      <w:r w:rsidRPr="009D7635">
        <w:rPr>
          <w:rFonts w:ascii="Times New Roman" w:hAnsi="Times New Roman" w:cs="Times New Roman"/>
          <w:color w:val="000000" w:themeColor="text1"/>
          <w:lang w:val="en-US"/>
        </w:rPr>
        <w:t>,</w:t>
      </w:r>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lang w:val="en-US"/>
        </w:rPr>
        <w:t xml:space="preserve">ed. Ernest A. Moody (Berkeley: University of California Press, 1975), 17. </w:t>
      </w:r>
      <w:proofErr w:type="spellStart"/>
      <w:r w:rsidRPr="009D7635">
        <w:rPr>
          <w:rFonts w:ascii="Times New Roman" w:hAnsi="Times New Roman" w:cs="Times New Roman"/>
          <w:color w:val="000000" w:themeColor="text1"/>
          <w:lang w:val="en-US"/>
        </w:rPr>
        <w:t>Ephrem</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Lonpré</w:t>
      </w:r>
      <w:proofErr w:type="spellEnd"/>
      <w:r w:rsidRPr="009D7635">
        <w:rPr>
          <w:rFonts w:ascii="Times New Roman" w:hAnsi="Times New Roman" w:cs="Times New Roman"/>
          <w:color w:val="000000" w:themeColor="text1"/>
          <w:lang w:val="en-US"/>
        </w:rPr>
        <w:t xml:space="preserve">, ‘Guillaume d’Auvergne et Alexandre de </w:t>
      </w:r>
      <w:proofErr w:type="spellStart"/>
      <w:r w:rsidRPr="009D7635">
        <w:rPr>
          <w:rFonts w:ascii="Times New Roman" w:hAnsi="Times New Roman" w:cs="Times New Roman"/>
          <w:color w:val="000000" w:themeColor="text1"/>
          <w:lang w:val="en-US"/>
        </w:rPr>
        <w:t>Halès</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i/>
          <w:iCs/>
          <w:color w:val="000000" w:themeColor="text1"/>
          <w:lang w:val="en-US"/>
        </w:rPr>
        <w:t>Archivum</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Franciscanum</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Historicum</w:t>
      </w:r>
      <w:proofErr w:type="spellEnd"/>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lang w:val="en-US"/>
        </w:rPr>
        <w:t>16 (1923)</w:t>
      </w:r>
      <w:r w:rsidR="003D2E6B" w:rsidRPr="009D7635">
        <w:rPr>
          <w:rFonts w:ascii="Times New Roman" w:hAnsi="Times New Roman" w:cs="Times New Roman"/>
          <w:color w:val="000000" w:themeColor="text1"/>
          <w:lang w:val="en-US"/>
        </w:rPr>
        <w:t>:</w:t>
      </w:r>
      <w:r w:rsidRPr="009D7635">
        <w:rPr>
          <w:rFonts w:ascii="Times New Roman" w:hAnsi="Times New Roman" w:cs="Times New Roman"/>
          <w:color w:val="000000" w:themeColor="text1"/>
          <w:lang w:val="en-US"/>
        </w:rPr>
        <w:t xml:space="preserve"> 426-9.</w:t>
      </w:r>
    </w:p>
  </w:footnote>
  <w:footnote w:id="266">
    <w:p w14:paraId="006E9708"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Richard C. Dales, </w:t>
      </w:r>
      <w:r w:rsidRPr="009D7635">
        <w:rPr>
          <w:rFonts w:ascii="Times New Roman" w:hAnsi="Times New Roman" w:cs="Times New Roman"/>
          <w:i/>
          <w:color w:val="000000" w:themeColor="text1"/>
        </w:rPr>
        <w:t>The Problem of the Rational Soul in the Thirteenth Century</w:t>
      </w:r>
      <w:r w:rsidRPr="009D7635">
        <w:rPr>
          <w:rFonts w:ascii="Times New Roman" w:hAnsi="Times New Roman" w:cs="Times New Roman"/>
          <w:color w:val="000000" w:themeColor="text1"/>
        </w:rPr>
        <w:t xml:space="preserve">, 31 </w:t>
      </w:r>
    </w:p>
  </w:footnote>
  <w:footnote w:id="267">
    <w:p w14:paraId="2DA4BAF1" w14:textId="77777777" w:rsidR="00B93ED5" w:rsidRPr="009D7635" w:rsidRDefault="00B93ED5" w:rsidP="00986E7A">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bCs/>
          <w:color w:val="000000" w:themeColor="text1"/>
          <w:sz w:val="20"/>
          <w:szCs w:val="20"/>
        </w:rPr>
        <w:t>Ignatius Brady</w:t>
      </w:r>
      <w:r w:rsidRPr="009D7635">
        <w:rPr>
          <w:rFonts w:ascii="Times New Roman" w:hAnsi="Times New Roman" w:cs="Times New Roman"/>
          <w:color w:val="000000" w:themeColor="text1"/>
          <w:sz w:val="20"/>
          <w:szCs w:val="20"/>
          <w:shd w:val="clear" w:color="auto" w:fill="FFFFFF"/>
        </w:rPr>
        <w:t>, ‘</w:t>
      </w:r>
      <w:r w:rsidRPr="009D7635">
        <w:rPr>
          <w:rFonts w:ascii="Times New Roman" w:hAnsi="Times New Roman" w:cs="Times New Roman"/>
          <w:bCs/>
          <w:color w:val="000000" w:themeColor="text1"/>
          <w:sz w:val="20"/>
          <w:szCs w:val="20"/>
        </w:rPr>
        <w:t>Jean de La Rochelle</w:t>
      </w:r>
      <w:r w:rsidRPr="009D7635">
        <w:rPr>
          <w:rFonts w:ascii="Times New Roman" w:hAnsi="Times New Roman" w:cs="Times New Roman"/>
          <w:color w:val="000000" w:themeColor="text1"/>
          <w:sz w:val="20"/>
          <w:szCs w:val="20"/>
          <w:shd w:val="clear" w:color="auto" w:fill="FFFFFF"/>
        </w:rPr>
        <w:t>,’ in </w:t>
      </w:r>
      <w:proofErr w:type="spellStart"/>
      <w:r w:rsidRPr="009D7635">
        <w:rPr>
          <w:rFonts w:ascii="Times New Roman" w:hAnsi="Times New Roman" w:cs="Times New Roman"/>
          <w:bCs/>
          <w:i/>
          <w:color w:val="000000" w:themeColor="text1"/>
          <w:sz w:val="20"/>
          <w:szCs w:val="20"/>
        </w:rPr>
        <w:t>Dictionnaire</w:t>
      </w:r>
      <w:proofErr w:type="spellEnd"/>
      <w:r w:rsidRPr="009D7635">
        <w:rPr>
          <w:rFonts w:ascii="Times New Roman" w:hAnsi="Times New Roman" w:cs="Times New Roman"/>
          <w:bCs/>
          <w:i/>
          <w:color w:val="000000" w:themeColor="text1"/>
          <w:sz w:val="20"/>
          <w:szCs w:val="20"/>
        </w:rPr>
        <w:t xml:space="preserve"> de </w:t>
      </w:r>
      <w:proofErr w:type="spellStart"/>
      <w:r w:rsidRPr="009D7635">
        <w:rPr>
          <w:rFonts w:ascii="Times New Roman" w:hAnsi="Times New Roman" w:cs="Times New Roman"/>
          <w:bCs/>
          <w:i/>
          <w:color w:val="000000" w:themeColor="text1"/>
          <w:sz w:val="20"/>
          <w:szCs w:val="20"/>
        </w:rPr>
        <w:t>spiritualité</w:t>
      </w:r>
      <w:proofErr w:type="spellEnd"/>
      <w:r w:rsidRPr="009D7635">
        <w:rPr>
          <w:rFonts w:ascii="Times New Roman" w:hAnsi="Times New Roman" w:cs="Times New Roman"/>
          <w:color w:val="000000" w:themeColor="text1"/>
          <w:sz w:val="20"/>
          <w:szCs w:val="20"/>
          <w:shd w:val="clear" w:color="auto" w:fill="FFFFFF"/>
        </w:rPr>
        <w:t xml:space="preserve"> VIII (Paris: </w:t>
      </w:r>
      <w:proofErr w:type="spellStart"/>
      <w:r w:rsidRPr="009D7635">
        <w:rPr>
          <w:rFonts w:ascii="Times New Roman" w:hAnsi="Times New Roman" w:cs="Times New Roman"/>
          <w:color w:val="000000" w:themeColor="text1"/>
          <w:spacing w:val="2"/>
          <w:sz w:val="20"/>
          <w:szCs w:val="20"/>
          <w:shd w:val="clear" w:color="auto" w:fill="FCFCFC"/>
        </w:rPr>
        <w:t>Beauchesne</w:t>
      </w:r>
      <w:proofErr w:type="spellEnd"/>
      <w:r w:rsidRPr="009D7635">
        <w:rPr>
          <w:rFonts w:ascii="Times New Roman" w:hAnsi="Times New Roman" w:cs="Times New Roman"/>
          <w:color w:val="000000" w:themeColor="text1"/>
          <w:sz w:val="20"/>
          <w:szCs w:val="20"/>
          <w:shd w:val="clear" w:color="auto" w:fill="FFFFFF"/>
        </w:rPr>
        <w:t>, </w:t>
      </w:r>
      <w:r w:rsidRPr="009D7635">
        <w:rPr>
          <w:rFonts w:ascii="Times New Roman" w:hAnsi="Times New Roman" w:cs="Times New Roman"/>
          <w:bCs/>
          <w:color w:val="000000" w:themeColor="text1"/>
          <w:sz w:val="20"/>
          <w:szCs w:val="20"/>
        </w:rPr>
        <w:t>1974</w:t>
      </w:r>
      <w:r w:rsidRPr="009D7635">
        <w:rPr>
          <w:rFonts w:ascii="Times New Roman" w:hAnsi="Times New Roman" w:cs="Times New Roman"/>
          <w:color w:val="000000" w:themeColor="text1"/>
          <w:sz w:val="20"/>
          <w:szCs w:val="20"/>
          <w:shd w:val="clear" w:color="auto" w:fill="FFFFFF"/>
        </w:rPr>
        <w:t>), 599-602.</w:t>
      </w:r>
    </w:p>
  </w:footnote>
  <w:footnote w:id="268">
    <w:p w14:paraId="2C40D144" w14:textId="77777777" w:rsidR="00B93ED5" w:rsidRPr="009D7635" w:rsidRDefault="00B93ED5" w:rsidP="00F04F93">
      <w:pPr>
        <w:widowControl w:val="0"/>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lang w:val="en-US"/>
        </w:rPr>
        <w:t>Victorin</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Doucet</w:t>
      </w:r>
      <w:proofErr w:type="spellEnd"/>
      <w:r w:rsidRPr="009D7635">
        <w:rPr>
          <w:rFonts w:ascii="Times New Roman" w:hAnsi="Times New Roman" w:cs="Times New Roman"/>
          <w:color w:val="000000" w:themeColor="text1"/>
          <w:sz w:val="20"/>
          <w:szCs w:val="20"/>
          <w:lang w:val="en-US"/>
        </w:rPr>
        <w:t xml:space="preserve">, ‘Prolegomena in </w:t>
      </w:r>
      <w:proofErr w:type="spellStart"/>
      <w:r w:rsidRPr="009D7635">
        <w:rPr>
          <w:rFonts w:ascii="Times New Roman" w:hAnsi="Times New Roman" w:cs="Times New Roman"/>
          <w:color w:val="000000" w:themeColor="text1"/>
          <w:sz w:val="20"/>
          <w:szCs w:val="20"/>
          <w:lang w:val="en-US"/>
        </w:rPr>
        <w:t>librum</w:t>
      </w:r>
      <w:proofErr w:type="spellEnd"/>
      <w:r w:rsidRPr="009D7635">
        <w:rPr>
          <w:rFonts w:ascii="Times New Roman" w:hAnsi="Times New Roman" w:cs="Times New Roman"/>
          <w:color w:val="000000" w:themeColor="text1"/>
          <w:sz w:val="20"/>
          <w:szCs w:val="20"/>
          <w:lang w:val="en-US"/>
        </w:rPr>
        <w:t xml:space="preserve"> III </w:t>
      </w:r>
      <w:proofErr w:type="spellStart"/>
      <w:r w:rsidRPr="009D7635">
        <w:rPr>
          <w:rFonts w:ascii="Times New Roman" w:hAnsi="Times New Roman" w:cs="Times New Roman"/>
          <w:color w:val="000000" w:themeColor="text1"/>
          <w:sz w:val="20"/>
          <w:szCs w:val="20"/>
          <w:lang w:val="en-US"/>
        </w:rPr>
        <w:t>necnon</w:t>
      </w:r>
      <w:proofErr w:type="spellEnd"/>
      <w:r w:rsidRPr="009D7635">
        <w:rPr>
          <w:rFonts w:ascii="Times New Roman" w:hAnsi="Times New Roman" w:cs="Times New Roman"/>
          <w:color w:val="000000" w:themeColor="text1"/>
          <w:sz w:val="20"/>
          <w:szCs w:val="20"/>
          <w:lang w:val="en-US"/>
        </w:rPr>
        <w:t xml:space="preserve"> in </w:t>
      </w:r>
      <w:proofErr w:type="spellStart"/>
      <w:r w:rsidRPr="009D7635">
        <w:rPr>
          <w:rFonts w:ascii="Times New Roman" w:hAnsi="Times New Roman" w:cs="Times New Roman"/>
          <w:color w:val="000000" w:themeColor="text1"/>
          <w:sz w:val="20"/>
          <w:szCs w:val="20"/>
          <w:lang w:val="en-US"/>
        </w:rPr>
        <w:t>libros</w:t>
      </w:r>
      <w:proofErr w:type="spellEnd"/>
      <w:r w:rsidRPr="009D7635">
        <w:rPr>
          <w:rFonts w:ascii="Times New Roman" w:hAnsi="Times New Roman" w:cs="Times New Roman"/>
          <w:color w:val="000000" w:themeColor="text1"/>
          <w:sz w:val="20"/>
          <w:szCs w:val="20"/>
          <w:lang w:val="en-US"/>
        </w:rPr>
        <w:t xml:space="preserve"> I et II Summa </w:t>
      </w:r>
      <w:proofErr w:type="spellStart"/>
      <w:r w:rsidRPr="009D7635">
        <w:rPr>
          <w:rFonts w:ascii="Times New Roman" w:hAnsi="Times New Roman" w:cs="Times New Roman"/>
          <w:color w:val="000000" w:themeColor="text1"/>
          <w:sz w:val="20"/>
          <w:szCs w:val="20"/>
          <w:lang w:val="en-US"/>
        </w:rPr>
        <w:t>Fratris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Alexandri</w:t>
      </w:r>
      <w:proofErr w:type="spellEnd"/>
      <w:r w:rsidRPr="009D7635">
        <w:rPr>
          <w:rFonts w:ascii="Times New Roman" w:hAnsi="Times New Roman" w:cs="Times New Roman"/>
          <w:color w:val="000000" w:themeColor="text1"/>
          <w:sz w:val="20"/>
          <w:szCs w:val="20"/>
          <w:lang w:val="en-US"/>
        </w:rPr>
        <w:t>,’</w:t>
      </w:r>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in </w:t>
      </w:r>
      <w:proofErr w:type="spellStart"/>
      <w:r w:rsidRPr="009D7635">
        <w:rPr>
          <w:rFonts w:ascii="Times New Roman" w:hAnsi="Times New Roman" w:cs="Times New Roman"/>
          <w:i/>
          <w:color w:val="000000" w:themeColor="text1"/>
          <w:sz w:val="20"/>
          <w:szCs w:val="20"/>
          <w:lang w:val="en-US"/>
        </w:rPr>
        <w:t>Alexandri</w:t>
      </w:r>
      <w:proofErr w:type="spellEnd"/>
      <w:r w:rsidRPr="009D7635">
        <w:rPr>
          <w:rFonts w:ascii="Times New Roman" w:hAnsi="Times New Roman" w:cs="Times New Roman"/>
          <w:i/>
          <w:color w:val="000000" w:themeColor="text1"/>
          <w:sz w:val="20"/>
          <w:szCs w:val="20"/>
          <w:lang w:val="en-US"/>
        </w:rPr>
        <w:t xml:space="preserve"> de Hales Summa </w:t>
      </w:r>
      <w:proofErr w:type="spellStart"/>
      <w:r w:rsidRPr="009D7635">
        <w:rPr>
          <w:rFonts w:ascii="Times New Roman" w:hAnsi="Times New Roman" w:cs="Times New Roman"/>
          <w:i/>
          <w:color w:val="000000" w:themeColor="text1"/>
          <w:sz w:val="20"/>
          <w:szCs w:val="20"/>
          <w:lang w:val="en-US"/>
        </w:rPr>
        <w:t>Theologica</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bCs/>
          <w:color w:val="000000" w:themeColor="text1"/>
          <w:sz w:val="20"/>
          <w:szCs w:val="20"/>
        </w:rPr>
        <w:t>Quaracchi</w:t>
      </w:r>
      <w:proofErr w:type="spellEnd"/>
      <w:r w:rsidRPr="009D7635">
        <w:rPr>
          <w:rFonts w:ascii="Times New Roman" w:hAnsi="Times New Roman" w:cs="Times New Roman"/>
          <w:bCs/>
          <w:color w:val="000000" w:themeColor="text1"/>
          <w:sz w:val="20"/>
          <w:szCs w:val="20"/>
        </w:rPr>
        <w:t xml:space="preserve">, </w:t>
      </w:r>
      <w:proofErr w:type="spellStart"/>
      <w:r w:rsidRPr="009D7635">
        <w:rPr>
          <w:rFonts w:ascii="Times New Roman" w:hAnsi="Times New Roman" w:cs="Times New Roman"/>
          <w:bCs/>
          <w:color w:val="000000" w:themeColor="text1"/>
          <w:sz w:val="20"/>
          <w:szCs w:val="20"/>
        </w:rPr>
        <w:t>Florentiae</w:t>
      </w:r>
      <w:proofErr w:type="spellEnd"/>
      <w:r w:rsidRPr="009D7635">
        <w:rPr>
          <w:rFonts w:ascii="Times New Roman" w:hAnsi="Times New Roman" w:cs="Times New Roman"/>
          <w:bCs/>
          <w:color w:val="000000" w:themeColor="text1"/>
          <w:sz w:val="20"/>
          <w:szCs w:val="20"/>
        </w:rPr>
        <w:t xml:space="preserve">: </w:t>
      </w:r>
      <w:proofErr w:type="spellStart"/>
      <w:r w:rsidRPr="009D7635">
        <w:rPr>
          <w:rFonts w:ascii="Times New Roman" w:hAnsi="Times New Roman" w:cs="Times New Roman"/>
          <w:bCs/>
          <w:color w:val="000000" w:themeColor="text1"/>
          <w:sz w:val="20"/>
          <w:szCs w:val="20"/>
        </w:rPr>
        <w:t>Collegii</w:t>
      </w:r>
      <w:proofErr w:type="spellEnd"/>
      <w:r w:rsidRPr="009D7635">
        <w:rPr>
          <w:rFonts w:ascii="Times New Roman" w:hAnsi="Times New Roman" w:cs="Times New Roman"/>
          <w:bCs/>
          <w:color w:val="000000" w:themeColor="text1"/>
          <w:sz w:val="20"/>
          <w:szCs w:val="20"/>
        </w:rPr>
        <w:t xml:space="preserve"> S. </w:t>
      </w:r>
      <w:proofErr w:type="spellStart"/>
      <w:r w:rsidRPr="009D7635">
        <w:rPr>
          <w:rFonts w:ascii="Times New Roman" w:hAnsi="Times New Roman" w:cs="Times New Roman"/>
          <w:bCs/>
          <w:color w:val="000000" w:themeColor="text1"/>
          <w:sz w:val="20"/>
          <w:szCs w:val="20"/>
        </w:rPr>
        <w:t>Bonaventurae</w:t>
      </w:r>
      <w:proofErr w:type="spellEnd"/>
      <w:r w:rsidRPr="009D7635">
        <w:rPr>
          <w:rFonts w:ascii="Times New Roman" w:hAnsi="Times New Roman" w:cs="Times New Roman"/>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1948), </w:t>
      </w:r>
      <w:r w:rsidRPr="009D7635">
        <w:rPr>
          <w:rFonts w:ascii="Times New Roman" w:hAnsi="Times New Roman" w:cs="Times New Roman"/>
          <w:color w:val="000000" w:themeColor="text1"/>
          <w:sz w:val="20"/>
          <w:szCs w:val="20"/>
          <w:lang w:val="en-US"/>
        </w:rPr>
        <w:t>211-25.</w:t>
      </w:r>
    </w:p>
  </w:footnote>
  <w:footnote w:id="269">
    <w:p w14:paraId="483DE064" w14:textId="4415B8A2" w:rsidR="0029573A" w:rsidRPr="00684858" w:rsidRDefault="0029573A" w:rsidP="00684858">
      <w:pPr>
        <w:autoSpaceDE w:val="0"/>
        <w:autoSpaceDN w:val="0"/>
        <w:adjustRightInd w:val="0"/>
        <w:snapToGrid w:val="0"/>
        <w:jc w:val="both"/>
        <w:rPr>
          <w:rFonts w:ascii="Times New Roman" w:hAnsi="Times New Roman" w:cs="Times New Roman"/>
          <w:sz w:val="20"/>
          <w:szCs w:val="20"/>
        </w:rPr>
      </w:pPr>
      <w:r w:rsidRPr="00684858">
        <w:rPr>
          <w:rStyle w:val="FootnoteReference"/>
          <w:rFonts w:ascii="Times New Roman" w:hAnsi="Times New Roman" w:cs="Times New Roman"/>
          <w:sz w:val="20"/>
          <w:szCs w:val="20"/>
        </w:rPr>
        <w:footnoteRef/>
      </w:r>
      <w:r w:rsidRPr="00684858">
        <w:rPr>
          <w:rFonts w:ascii="Times New Roman" w:hAnsi="Times New Roman" w:cs="Times New Roman"/>
          <w:sz w:val="20"/>
          <w:szCs w:val="20"/>
        </w:rPr>
        <w:t xml:space="preserve"> </w:t>
      </w:r>
      <w:r w:rsidR="00684858" w:rsidRPr="00684858">
        <w:rPr>
          <w:rFonts w:ascii="Times New Roman" w:hAnsi="Times New Roman" w:cs="Times New Roman"/>
          <w:sz w:val="20"/>
          <w:szCs w:val="20"/>
        </w:rPr>
        <w:t xml:space="preserve">Riccardo Saccenti has prepared several editions of John’s works, including </w:t>
      </w:r>
      <w:proofErr w:type="spellStart"/>
      <w:r w:rsidR="00684858" w:rsidRPr="00684858">
        <w:rPr>
          <w:rFonts w:ascii="Times New Roman" w:hAnsi="Times New Roman" w:cs="Times New Roman"/>
          <w:i/>
          <w:iCs/>
          <w:sz w:val="20"/>
          <w:szCs w:val="20"/>
        </w:rPr>
        <w:t>Iohannis</w:t>
      </w:r>
      <w:proofErr w:type="spellEnd"/>
      <w:r w:rsidR="00684858" w:rsidRPr="00684858">
        <w:rPr>
          <w:rFonts w:ascii="Times New Roman" w:hAnsi="Times New Roman" w:cs="Times New Roman"/>
          <w:i/>
          <w:iCs/>
          <w:sz w:val="20"/>
          <w:szCs w:val="20"/>
        </w:rPr>
        <w:t xml:space="preserve"> de </w:t>
      </w:r>
      <w:proofErr w:type="spellStart"/>
      <w:r w:rsidR="00684858" w:rsidRPr="00684858">
        <w:rPr>
          <w:rFonts w:ascii="Times New Roman" w:hAnsi="Times New Roman" w:cs="Times New Roman"/>
          <w:i/>
          <w:iCs/>
          <w:sz w:val="20"/>
          <w:szCs w:val="20"/>
        </w:rPr>
        <w:t>Rupella</w:t>
      </w:r>
      <w:proofErr w:type="spellEnd"/>
      <w:r w:rsidR="00684858" w:rsidRPr="00684858">
        <w:rPr>
          <w:rFonts w:ascii="Times New Roman" w:hAnsi="Times New Roman" w:cs="Times New Roman"/>
          <w:i/>
          <w:iCs/>
          <w:sz w:val="20"/>
          <w:szCs w:val="20"/>
        </w:rPr>
        <w:t xml:space="preserve">, </w:t>
      </w:r>
      <w:proofErr w:type="spellStart"/>
      <w:r w:rsidR="00684858" w:rsidRPr="00684858">
        <w:rPr>
          <w:rFonts w:ascii="Times New Roman" w:hAnsi="Times New Roman" w:cs="Times New Roman"/>
          <w:i/>
          <w:iCs/>
          <w:sz w:val="20"/>
          <w:szCs w:val="20"/>
        </w:rPr>
        <w:t>Quaestiones</w:t>
      </w:r>
      <w:proofErr w:type="spellEnd"/>
      <w:r w:rsidR="00684858" w:rsidRPr="00684858">
        <w:rPr>
          <w:rFonts w:ascii="Times New Roman" w:hAnsi="Times New Roman" w:cs="Times New Roman"/>
          <w:i/>
          <w:iCs/>
          <w:sz w:val="20"/>
          <w:szCs w:val="20"/>
        </w:rPr>
        <w:t xml:space="preserve"> </w:t>
      </w:r>
      <w:proofErr w:type="spellStart"/>
      <w:r w:rsidR="00684858" w:rsidRPr="00684858">
        <w:rPr>
          <w:rFonts w:ascii="Times New Roman" w:hAnsi="Times New Roman" w:cs="Times New Roman"/>
          <w:i/>
          <w:iCs/>
          <w:sz w:val="20"/>
          <w:szCs w:val="20"/>
        </w:rPr>
        <w:t>Disputatae</w:t>
      </w:r>
      <w:proofErr w:type="spellEnd"/>
      <w:r w:rsidR="00684858" w:rsidRPr="00684858">
        <w:rPr>
          <w:rFonts w:ascii="Times New Roman" w:hAnsi="Times New Roman" w:cs="Times New Roman"/>
          <w:i/>
          <w:iCs/>
          <w:sz w:val="20"/>
          <w:szCs w:val="20"/>
        </w:rPr>
        <w:t xml:space="preserve"> de </w:t>
      </w:r>
      <w:proofErr w:type="spellStart"/>
      <w:r w:rsidR="00684858" w:rsidRPr="00684858">
        <w:rPr>
          <w:rFonts w:ascii="Times New Roman" w:hAnsi="Times New Roman" w:cs="Times New Roman"/>
          <w:i/>
          <w:iCs/>
          <w:sz w:val="20"/>
          <w:szCs w:val="20"/>
        </w:rPr>
        <w:t>legibus</w:t>
      </w:r>
      <w:proofErr w:type="spellEnd"/>
      <w:r w:rsidR="00684858" w:rsidRPr="00684858">
        <w:rPr>
          <w:rFonts w:ascii="Times New Roman" w:hAnsi="Times New Roman" w:cs="Times New Roman"/>
          <w:sz w:val="20"/>
          <w:szCs w:val="20"/>
        </w:rPr>
        <w:t xml:space="preserve"> (Rome: </w:t>
      </w:r>
      <w:proofErr w:type="spellStart"/>
      <w:r w:rsidR="00684858" w:rsidRPr="00684858">
        <w:rPr>
          <w:rFonts w:ascii="Times New Roman" w:hAnsi="Times New Roman" w:cs="Times New Roman"/>
          <w:sz w:val="20"/>
          <w:szCs w:val="20"/>
        </w:rPr>
        <w:t>Collegii</w:t>
      </w:r>
      <w:proofErr w:type="spellEnd"/>
      <w:r w:rsidR="00684858" w:rsidRPr="00684858">
        <w:rPr>
          <w:rFonts w:ascii="Times New Roman" w:hAnsi="Times New Roman" w:cs="Times New Roman"/>
          <w:sz w:val="20"/>
          <w:szCs w:val="20"/>
        </w:rPr>
        <w:t xml:space="preserve"> S. </w:t>
      </w:r>
      <w:proofErr w:type="spellStart"/>
      <w:r w:rsidR="00684858" w:rsidRPr="00684858">
        <w:rPr>
          <w:rFonts w:ascii="Times New Roman" w:hAnsi="Times New Roman" w:cs="Times New Roman"/>
          <w:sz w:val="20"/>
          <w:szCs w:val="20"/>
        </w:rPr>
        <w:t>Bonaventurae</w:t>
      </w:r>
      <w:proofErr w:type="spellEnd"/>
      <w:r w:rsidR="00684858" w:rsidRPr="00684858">
        <w:rPr>
          <w:rFonts w:ascii="Times New Roman" w:hAnsi="Times New Roman" w:cs="Times New Roman"/>
          <w:sz w:val="20"/>
          <w:szCs w:val="20"/>
        </w:rPr>
        <w:t xml:space="preserve">, 2021) and his forthcoming editions of John’s </w:t>
      </w:r>
      <w:r w:rsidR="00684858" w:rsidRPr="00684858">
        <w:rPr>
          <w:rFonts w:ascii="Times New Roman" w:hAnsi="Times New Roman" w:cs="Times New Roman"/>
          <w:i/>
          <w:iCs/>
          <w:sz w:val="20"/>
          <w:szCs w:val="20"/>
        </w:rPr>
        <w:t xml:space="preserve">Summa de </w:t>
      </w:r>
      <w:proofErr w:type="spellStart"/>
      <w:r w:rsidR="00684858" w:rsidRPr="00684858">
        <w:rPr>
          <w:rFonts w:ascii="Times New Roman" w:hAnsi="Times New Roman" w:cs="Times New Roman"/>
          <w:i/>
          <w:iCs/>
          <w:sz w:val="20"/>
          <w:szCs w:val="20"/>
        </w:rPr>
        <w:t>divinis</w:t>
      </w:r>
      <w:proofErr w:type="spellEnd"/>
      <w:r w:rsidR="00684858" w:rsidRPr="00684858">
        <w:rPr>
          <w:rFonts w:ascii="Times New Roman" w:hAnsi="Times New Roman" w:cs="Times New Roman"/>
          <w:i/>
          <w:iCs/>
          <w:sz w:val="20"/>
          <w:szCs w:val="20"/>
        </w:rPr>
        <w:t xml:space="preserve"> </w:t>
      </w:r>
      <w:proofErr w:type="spellStart"/>
      <w:r w:rsidR="00684858" w:rsidRPr="00684858">
        <w:rPr>
          <w:rFonts w:ascii="Times New Roman" w:hAnsi="Times New Roman" w:cs="Times New Roman"/>
          <w:i/>
          <w:iCs/>
          <w:sz w:val="20"/>
          <w:szCs w:val="20"/>
        </w:rPr>
        <w:t>nominibus</w:t>
      </w:r>
      <w:proofErr w:type="spellEnd"/>
      <w:r w:rsidR="00684858" w:rsidRPr="00684858">
        <w:rPr>
          <w:rFonts w:ascii="Times New Roman" w:hAnsi="Times New Roman" w:cs="Times New Roman"/>
          <w:i/>
          <w:iCs/>
          <w:sz w:val="20"/>
          <w:szCs w:val="20"/>
        </w:rPr>
        <w:t xml:space="preserve"> </w:t>
      </w:r>
      <w:r w:rsidR="00684858" w:rsidRPr="00684858">
        <w:rPr>
          <w:rFonts w:ascii="Times New Roman" w:hAnsi="Times New Roman" w:cs="Times New Roman"/>
          <w:sz w:val="20"/>
          <w:szCs w:val="20"/>
        </w:rPr>
        <w:t xml:space="preserve">and </w:t>
      </w:r>
      <w:r w:rsidR="00684858" w:rsidRPr="00684858">
        <w:rPr>
          <w:rFonts w:ascii="Times New Roman" w:hAnsi="Times New Roman" w:cs="Times New Roman"/>
          <w:i/>
          <w:iCs/>
          <w:sz w:val="20"/>
          <w:szCs w:val="20"/>
        </w:rPr>
        <w:t xml:space="preserve">Summa de </w:t>
      </w:r>
      <w:proofErr w:type="spellStart"/>
      <w:r w:rsidR="00684858" w:rsidRPr="00684858">
        <w:rPr>
          <w:rFonts w:ascii="Times New Roman" w:hAnsi="Times New Roman" w:cs="Times New Roman"/>
          <w:i/>
          <w:iCs/>
          <w:sz w:val="20"/>
          <w:szCs w:val="20"/>
        </w:rPr>
        <w:t>articulis</w:t>
      </w:r>
      <w:proofErr w:type="spellEnd"/>
      <w:r w:rsidR="00684858" w:rsidRPr="00684858">
        <w:rPr>
          <w:rFonts w:ascii="Times New Roman" w:hAnsi="Times New Roman" w:cs="Times New Roman"/>
          <w:i/>
          <w:iCs/>
          <w:sz w:val="20"/>
          <w:szCs w:val="20"/>
        </w:rPr>
        <w:t xml:space="preserve"> </w:t>
      </w:r>
      <w:proofErr w:type="spellStart"/>
      <w:r w:rsidR="00684858" w:rsidRPr="00684858">
        <w:rPr>
          <w:rFonts w:ascii="Times New Roman" w:hAnsi="Times New Roman" w:cs="Times New Roman"/>
          <w:i/>
          <w:iCs/>
          <w:sz w:val="20"/>
          <w:szCs w:val="20"/>
        </w:rPr>
        <w:t>fidei</w:t>
      </w:r>
      <w:proofErr w:type="spellEnd"/>
      <w:r w:rsidR="00684858" w:rsidRPr="00684858">
        <w:rPr>
          <w:rFonts w:ascii="Times New Roman" w:hAnsi="Times New Roman" w:cs="Times New Roman"/>
          <w:sz w:val="20"/>
          <w:szCs w:val="20"/>
        </w:rPr>
        <w:t xml:space="preserve">. </w:t>
      </w:r>
    </w:p>
  </w:footnote>
  <w:footnote w:id="270">
    <w:p w14:paraId="5355DD39" w14:textId="04AC0371" w:rsidR="00B93ED5" w:rsidRPr="009D7635" w:rsidRDefault="00B93ED5" w:rsidP="00986E7A">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J.G. </w:t>
      </w:r>
      <w:proofErr w:type="spellStart"/>
      <w:r w:rsidRPr="009D7635">
        <w:rPr>
          <w:rFonts w:ascii="Times New Roman" w:hAnsi="Times New Roman" w:cs="Times New Roman"/>
          <w:color w:val="000000" w:themeColor="text1"/>
          <w:sz w:val="20"/>
          <w:szCs w:val="20"/>
          <w:lang w:val="en-US"/>
        </w:rPr>
        <w:t>Bougerol</w:t>
      </w:r>
      <w:proofErr w:type="spellEnd"/>
      <w:r w:rsidRPr="009D7635">
        <w:rPr>
          <w:rFonts w:ascii="Times New Roman" w:hAnsi="Times New Roman" w:cs="Times New Roman"/>
          <w:color w:val="000000" w:themeColor="text1"/>
          <w:sz w:val="20"/>
          <w:szCs w:val="20"/>
          <w:lang w:val="en-US"/>
        </w:rPr>
        <w:t xml:space="preserve">, ‘Jean de La Rochelle. Les oeuvres et les </w:t>
      </w:r>
      <w:proofErr w:type="spellStart"/>
      <w:r w:rsidRPr="009D7635">
        <w:rPr>
          <w:rFonts w:ascii="Times New Roman" w:hAnsi="Times New Roman" w:cs="Times New Roman"/>
          <w:color w:val="000000" w:themeColor="text1"/>
          <w:sz w:val="20"/>
          <w:szCs w:val="20"/>
          <w:lang w:val="en-US"/>
        </w:rPr>
        <w:t>manuscrits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Archivum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Franciscanum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Historicum</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87 (1994)</w:t>
      </w:r>
      <w:r w:rsidR="00507DA6"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205-15. </w:t>
      </w:r>
    </w:p>
  </w:footnote>
  <w:footnote w:id="271">
    <w:p w14:paraId="2014C23B" w14:textId="399BBBBC" w:rsidR="00B93ED5" w:rsidRPr="009D7635" w:rsidRDefault="00B93ED5" w:rsidP="00986E7A">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See a very good introduction to major English Franciscan thinkers on these and other issues by Dorothea Sharp, </w:t>
      </w:r>
      <w:r w:rsidRPr="009D7635">
        <w:rPr>
          <w:rFonts w:ascii="Times New Roman" w:hAnsi="Times New Roman" w:cs="Times New Roman"/>
          <w:i/>
          <w:color w:val="000000" w:themeColor="text1"/>
          <w:sz w:val="20"/>
          <w:szCs w:val="20"/>
        </w:rPr>
        <w:t>Franciscan Philosophy at Oxford in the Thirteenth Century</w:t>
      </w:r>
      <w:r w:rsidRPr="009D7635">
        <w:rPr>
          <w:rFonts w:ascii="Times New Roman" w:hAnsi="Times New Roman" w:cs="Times New Roman"/>
          <w:color w:val="000000" w:themeColor="text1"/>
          <w:sz w:val="20"/>
          <w:szCs w:val="20"/>
        </w:rPr>
        <w:t xml:space="preserve"> (New York: Russell &amp; Russell, 1964). See also </w:t>
      </w:r>
      <w:r w:rsidR="003E4F26" w:rsidRPr="009D7635">
        <w:rPr>
          <w:rFonts w:ascii="Times New Roman" w:hAnsi="Times New Roman" w:cs="Times New Roman"/>
          <w:color w:val="000000" w:themeColor="text1"/>
          <w:sz w:val="20"/>
          <w:szCs w:val="20"/>
        </w:rPr>
        <w:t xml:space="preserve">Lydia Schumacher (ed.), </w:t>
      </w:r>
      <w:r w:rsidR="003E4F26" w:rsidRPr="009D7635">
        <w:rPr>
          <w:rFonts w:ascii="Times New Roman" w:hAnsi="Times New Roman" w:cs="Times New Roman"/>
          <w:i/>
          <w:iCs/>
          <w:color w:val="000000" w:themeColor="text1"/>
          <w:sz w:val="20"/>
          <w:szCs w:val="20"/>
        </w:rPr>
        <w:t xml:space="preserve">Early Thirteenth-Century English Franciscan Thought </w:t>
      </w:r>
      <w:r w:rsidR="003E4F26" w:rsidRPr="009D7635">
        <w:rPr>
          <w:rFonts w:ascii="Times New Roman" w:hAnsi="Times New Roman" w:cs="Times New Roman"/>
          <w:color w:val="000000" w:themeColor="text1"/>
          <w:sz w:val="20"/>
          <w:szCs w:val="20"/>
        </w:rPr>
        <w:t xml:space="preserve">(Berlin: De Gruyter, 2021). </w:t>
      </w:r>
      <w:r w:rsidRPr="009D7635">
        <w:rPr>
          <w:rFonts w:ascii="Times New Roman" w:hAnsi="Times New Roman" w:cs="Times New Roman"/>
          <w:color w:val="000000" w:themeColor="text1"/>
          <w:sz w:val="20"/>
          <w:szCs w:val="20"/>
        </w:rPr>
        <w:t xml:space="preserve">A.G. Little, ‘The Franciscan School at Oxford in the Thirteenth Century,’ </w:t>
      </w:r>
      <w:proofErr w:type="spellStart"/>
      <w:r w:rsidRPr="009D7635">
        <w:rPr>
          <w:rFonts w:ascii="Times New Roman" w:hAnsi="Times New Roman" w:cs="Times New Roman"/>
          <w:i/>
          <w:iCs/>
          <w:color w:val="000000" w:themeColor="text1"/>
          <w:sz w:val="20"/>
          <w:szCs w:val="20"/>
          <w:bdr w:val="none" w:sz="0" w:space="0" w:color="auto" w:frame="1"/>
        </w:rPr>
        <w:t>Archivum</w:t>
      </w:r>
      <w:proofErr w:type="spellEnd"/>
      <w:r w:rsidRPr="009D7635">
        <w:rPr>
          <w:rFonts w:ascii="Times New Roman" w:hAnsi="Times New Roman" w:cs="Times New Roman"/>
          <w:i/>
          <w:iCs/>
          <w:color w:val="000000" w:themeColor="text1"/>
          <w:sz w:val="20"/>
          <w:szCs w:val="20"/>
          <w:bdr w:val="none" w:sz="0" w:space="0" w:color="auto" w:frame="1"/>
        </w:rPr>
        <w:t xml:space="preserve"> </w:t>
      </w:r>
      <w:proofErr w:type="spellStart"/>
      <w:r w:rsidRPr="009D7635">
        <w:rPr>
          <w:rFonts w:ascii="Times New Roman" w:hAnsi="Times New Roman" w:cs="Times New Roman"/>
          <w:i/>
          <w:iCs/>
          <w:color w:val="000000" w:themeColor="text1"/>
          <w:sz w:val="20"/>
          <w:szCs w:val="20"/>
          <w:bdr w:val="none" w:sz="0" w:space="0" w:color="auto" w:frame="1"/>
        </w:rPr>
        <w:t>Franciscanum</w:t>
      </w:r>
      <w:proofErr w:type="spellEnd"/>
      <w:r w:rsidRPr="009D7635">
        <w:rPr>
          <w:rFonts w:ascii="Times New Roman" w:hAnsi="Times New Roman" w:cs="Times New Roman"/>
          <w:i/>
          <w:iCs/>
          <w:color w:val="000000" w:themeColor="text1"/>
          <w:sz w:val="20"/>
          <w:szCs w:val="20"/>
          <w:bdr w:val="none" w:sz="0" w:space="0" w:color="auto" w:frame="1"/>
        </w:rPr>
        <w:t xml:space="preserve"> </w:t>
      </w:r>
      <w:proofErr w:type="spellStart"/>
      <w:r w:rsidRPr="009D7635">
        <w:rPr>
          <w:rFonts w:ascii="Times New Roman" w:hAnsi="Times New Roman" w:cs="Times New Roman"/>
          <w:i/>
          <w:iCs/>
          <w:color w:val="000000" w:themeColor="text1"/>
          <w:sz w:val="20"/>
          <w:szCs w:val="20"/>
          <w:bdr w:val="none" w:sz="0" w:space="0" w:color="auto" w:frame="1"/>
        </w:rPr>
        <w:t>Historicum</w:t>
      </w:r>
      <w:proofErr w:type="spellEnd"/>
      <w:r w:rsidRPr="009D7635">
        <w:rPr>
          <w:rFonts w:ascii="Times New Roman" w:hAnsi="Times New Roman" w:cs="Times New Roman"/>
          <w:color w:val="000000" w:themeColor="text1"/>
          <w:sz w:val="20"/>
          <w:szCs w:val="20"/>
          <w:shd w:val="clear" w:color="auto" w:fill="FFFFFF"/>
        </w:rPr>
        <w:t> 19 (</w:t>
      </w:r>
      <w:r w:rsidRPr="009D7635">
        <w:rPr>
          <w:rFonts w:ascii="Times New Roman" w:hAnsi="Times New Roman" w:cs="Times New Roman"/>
          <w:color w:val="000000" w:themeColor="text1"/>
          <w:sz w:val="20"/>
          <w:szCs w:val="20"/>
          <w:bdr w:val="none" w:sz="0" w:space="0" w:color="auto" w:frame="1"/>
        </w:rPr>
        <w:t>1926</w:t>
      </w:r>
      <w:r w:rsidRPr="009D7635">
        <w:rPr>
          <w:rFonts w:ascii="Times New Roman" w:hAnsi="Times New Roman" w:cs="Times New Roman"/>
          <w:color w:val="000000" w:themeColor="text1"/>
          <w:sz w:val="20"/>
          <w:szCs w:val="20"/>
          <w:shd w:val="clear" w:color="auto" w:fill="FFFFFF"/>
        </w:rPr>
        <w:t>)</w:t>
      </w:r>
      <w:r w:rsidR="00507DA6" w:rsidRPr="009D7635">
        <w:rPr>
          <w:rFonts w:ascii="Times New Roman" w:hAnsi="Times New Roman" w:cs="Times New Roman"/>
          <w:color w:val="000000" w:themeColor="text1"/>
          <w:sz w:val="20"/>
          <w:szCs w:val="20"/>
          <w:shd w:val="clear" w:color="auto" w:fill="FFFFFF"/>
        </w:rPr>
        <w:t xml:space="preserve">: </w:t>
      </w:r>
      <w:r w:rsidRPr="009D7635">
        <w:rPr>
          <w:rFonts w:ascii="Times New Roman" w:hAnsi="Times New Roman" w:cs="Times New Roman"/>
          <w:color w:val="000000" w:themeColor="text1"/>
          <w:sz w:val="20"/>
          <w:szCs w:val="20"/>
          <w:bdr w:val="none" w:sz="0" w:space="0" w:color="auto" w:frame="1"/>
        </w:rPr>
        <w:t>803</w:t>
      </w:r>
      <w:r w:rsidRPr="009D7635">
        <w:rPr>
          <w:rFonts w:ascii="Times New Roman" w:hAnsi="Times New Roman" w:cs="Times New Roman"/>
          <w:color w:val="000000" w:themeColor="text1"/>
          <w:sz w:val="20"/>
          <w:szCs w:val="20"/>
          <w:shd w:val="clear" w:color="auto" w:fill="FFFFFF"/>
        </w:rPr>
        <w:t xml:space="preserve">–74. </w:t>
      </w:r>
      <w:r w:rsidRPr="009D7635">
        <w:rPr>
          <w:rFonts w:ascii="Times New Roman" w:hAnsi="Times New Roman" w:cs="Times New Roman"/>
          <w:color w:val="000000" w:themeColor="text1"/>
          <w:sz w:val="20"/>
          <w:szCs w:val="20"/>
        </w:rPr>
        <w:t xml:space="preserve">Leonardo </w:t>
      </w:r>
      <w:proofErr w:type="spellStart"/>
      <w:r w:rsidRPr="009D7635">
        <w:rPr>
          <w:rFonts w:ascii="Times New Roman" w:hAnsi="Times New Roman" w:cs="Times New Roman"/>
          <w:color w:val="000000" w:themeColor="text1"/>
          <w:sz w:val="20"/>
          <w:szCs w:val="20"/>
        </w:rPr>
        <w:t>Sileo</w:t>
      </w:r>
      <w:proofErr w:type="spellEnd"/>
      <w:r w:rsidRPr="009D7635">
        <w:rPr>
          <w:rFonts w:ascii="Times New Roman" w:hAnsi="Times New Roman" w:cs="Times New Roman"/>
          <w:color w:val="000000" w:themeColor="text1"/>
          <w:sz w:val="20"/>
          <w:szCs w:val="20"/>
        </w:rPr>
        <w:t xml:space="preserve">, ‘I </w:t>
      </w:r>
      <w:proofErr w:type="spellStart"/>
      <w:r w:rsidRPr="009D7635">
        <w:rPr>
          <w:rFonts w:ascii="Times New Roman" w:hAnsi="Times New Roman" w:cs="Times New Roman"/>
          <w:color w:val="000000" w:themeColor="text1"/>
          <w:sz w:val="20"/>
          <w:szCs w:val="20"/>
        </w:rPr>
        <w:t>primi</w:t>
      </w:r>
      <w:proofErr w:type="spellEnd"/>
      <w:r w:rsidRPr="009D7635">
        <w:rPr>
          <w:rFonts w:ascii="Times New Roman" w:hAnsi="Times New Roman" w:cs="Times New Roman"/>
          <w:color w:val="000000" w:themeColor="text1"/>
          <w:sz w:val="20"/>
          <w:szCs w:val="20"/>
        </w:rPr>
        <w:t xml:space="preserve"> maestri </w:t>
      </w:r>
      <w:proofErr w:type="spellStart"/>
      <w:r w:rsidRPr="009D7635">
        <w:rPr>
          <w:rFonts w:ascii="Times New Roman" w:hAnsi="Times New Roman" w:cs="Times New Roman"/>
          <w:color w:val="000000" w:themeColor="text1"/>
          <w:sz w:val="20"/>
          <w:szCs w:val="20"/>
        </w:rPr>
        <w:t>francescani</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di</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Parigi</w:t>
      </w:r>
      <w:proofErr w:type="spellEnd"/>
      <w:r w:rsidRPr="009D7635">
        <w:rPr>
          <w:rFonts w:ascii="Times New Roman" w:hAnsi="Times New Roman" w:cs="Times New Roman"/>
          <w:color w:val="000000" w:themeColor="text1"/>
          <w:sz w:val="20"/>
          <w:szCs w:val="20"/>
        </w:rPr>
        <w:t xml:space="preserve"> e </w:t>
      </w:r>
      <w:proofErr w:type="spellStart"/>
      <w:r w:rsidRPr="009D7635">
        <w:rPr>
          <w:rFonts w:ascii="Times New Roman" w:hAnsi="Times New Roman" w:cs="Times New Roman"/>
          <w:color w:val="000000" w:themeColor="text1"/>
          <w:sz w:val="20"/>
          <w:szCs w:val="20"/>
        </w:rPr>
        <w:t>di</w:t>
      </w:r>
      <w:proofErr w:type="spellEnd"/>
      <w:r w:rsidRPr="009D7635">
        <w:rPr>
          <w:rFonts w:ascii="Times New Roman" w:hAnsi="Times New Roman" w:cs="Times New Roman"/>
          <w:color w:val="000000" w:themeColor="text1"/>
          <w:sz w:val="20"/>
          <w:szCs w:val="20"/>
        </w:rPr>
        <w:t xml:space="preserve"> Oxford,’ in </w:t>
      </w:r>
      <w:proofErr w:type="spellStart"/>
      <w:r w:rsidRPr="009D7635">
        <w:rPr>
          <w:rFonts w:ascii="Times New Roman" w:hAnsi="Times New Roman" w:cs="Times New Roman"/>
          <w:i/>
          <w:color w:val="000000" w:themeColor="text1"/>
          <w:sz w:val="20"/>
          <w:szCs w:val="20"/>
        </w:rPr>
        <w:t>Storia</w:t>
      </w:r>
      <w:proofErr w:type="spellEnd"/>
      <w:r w:rsidRPr="009D7635">
        <w:rPr>
          <w:rFonts w:ascii="Times New Roman" w:hAnsi="Times New Roman" w:cs="Times New Roman"/>
          <w:i/>
          <w:color w:val="000000" w:themeColor="text1"/>
          <w:sz w:val="20"/>
          <w:szCs w:val="20"/>
        </w:rPr>
        <w:t xml:space="preserve"> della </w:t>
      </w:r>
      <w:proofErr w:type="spellStart"/>
      <w:r w:rsidRPr="009D7635">
        <w:rPr>
          <w:rFonts w:ascii="Times New Roman" w:hAnsi="Times New Roman" w:cs="Times New Roman"/>
          <w:i/>
          <w:color w:val="000000" w:themeColor="text1"/>
          <w:sz w:val="20"/>
          <w:szCs w:val="20"/>
        </w:rPr>
        <w:t>teologia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nel</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Medioevo</w:t>
      </w:r>
      <w:proofErr w:type="spellEnd"/>
      <w:r w:rsidRPr="009D7635">
        <w:rPr>
          <w:rFonts w:ascii="Times New Roman" w:hAnsi="Times New Roman" w:cs="Times New Roman"/>
          <w:i/>
          <w:color w:val="000000" w:themeColor="text1"/>
          <w:sz w:val="20"/>
          <w:szCs w:val="20"/>
        </w:rPr>
        <w:t xml:space="preserve"> 2: La grande </w:t>
      </w:r>
      <w:proofErr w:type="spellStart"/>
      <w:r w:rsidRPr="009D7635">
        <w:rPr>
          <w:rFonts w:ascii="Times New Roman" w:hAnsi="Times New Roman" w:cs="Times New Roman"/>
          <w:i/>
          <w:color w:val="000000" w:themeColor="text1"/>
          <w:sz w:val="20"/>
          <w:szCs w:val="20"/>
        </w:rPr>
        <w:t>fioritura</w:t>
      </w:r>
      <w:proofErr w:type="spellEnd"/>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ed. Giulio </w:t>
      </w:r>
      <w:proofErr w:type="spellStart"/>
      <w:r w:rsidRPr="009D7635">
        <w:rPr>
          <w:rFonts w:ascii="Times New Roman" w:hAnsi="Times New Roman" w:cs="Times New Roman"/>
          <w:color w:val="000000" w:themeColor="text1"/>
          <w:sz w:val="20"/>
          <w:szCs w:val="20"/>
        </w:rPr>
        <w:t>d’Onofrio</w:t>
      </w:r>
      <w:proofErr w:type="spellEnd"/>
      <w:r w:rsidRPr="009D7635">
        <w:rPr>
          <w:rFonts w:ascii="Times New Roman" w:hAnsi="Times New Roman" w:cs="Times New Roman"/>
          <w:color w:val="000000" w:themeColor="text1"/>
          <w:sz w:val="20"/>
          <w:szCs w:val="20"/>
        </w:rPr>
        <w:t xml:space="preserve"> (Casale </w:t>
      </w:r>
      <w:proofErr w:type="spellStart"/>
      <w:r w:rsidRPr="009D7635">
        <w:rPr>
          <w:rFonts w:ascii="Times New Roman" w:hAnsi="Times New Roman" w:cs="Times New Roman"/>
          <w:color w:val="000000" w:themeColor="text1"/>
          <w:sz w:val="20"/>
          <w:szCs w:val="20"/>
        </w:rPr>
        <w:t>Monferrato</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Piemme</w:t>
      </w:r>
      <w:proofErr w:type="spellEnd"/>
      <w:r w:rsidRPr="009D7635">
        <w:rPr>
          <w:rFonts w:ascii="Times New Roman" w:hAnsi="Times New Roman" w:cs="Times New Roman"/>
          <w:color w:val="000000" w:themeColor="text1"/>
          <w:sz w:val="20"/>
          <w:szCs w:val="20"/>
        </w:rPr>
        <w:t>, 1996), 645-97.</w:t>
      </w:r>
    </w:p>
  </w:footnote>
  <w:footnote w:id="272">
    <w:p w14:paraId="576C01D6" w14:textId="6C12CD25" w:rsidR="00B93ED5" w:rsidRPr="009D7635" w:rsidRDefault="00B93ED5" w:rsidP="00986E7A">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Cs/>
          <w:color w:val="000000" w:themeColor="text1"/>
          <w:sz w:val="20"/>
          <w:szCs w:val="20"/>
          <w:lang w:val="fr-FR"/>
        </w:rPr>
        <w:t>Anonymous,</w:t>
      </w:r>
      <w:r w:rsidRPr="009D7635">
        <w:rPr>
          <w:rFonts w:ascii="Times New Roman" w:hAnsi="Times New Roman" w:cs="Times New Roman"/>
          <w:i/>
          <w:iCs/>
          <w:color w:val="000000" w:themeColor="text1"/>
          <w:sz w:val="20"/>
          <w:szCs w:val="20"/>
          <w:lang w:val="fr-FR"/>
        </w:rPr>
        <w:t xml:space="preserve"> De </w:t>
      </w:r>
      <w:proofErr w:type="spellStart"/>
      <w:r w:rsidRPr="009D7635">
        <w:rPr>
          <w:rFonts w:ascii="Times New Roman" w:hAnsi="Times New Roman" w:cs="Times New Roman"/>
          <w:i/>
          <w:iCs/>
          <w:color w:val="000000" w:themeColor="text1"/>
          <w:sz w:val="20"/>
          <w:szCs w:val="20"/>
          <w:lang w:val="fr-FR"/>
        </w:rPr>
        <w:t>potentiis</w:t>
      </w:r>
      <w:proofErr w:type="spellEnd"/>
      <w:r w:rsidRPr="009D7635">
        <w:rPr>
          <w:rFonts w:ascii="Times New Roman" w:hAnsi="Times New Roman" w:cs="Times New Roman"/>
          <w:i/>
          <w:iCs/>
          <w:color w:val="000000" w:themeColor="text1"/>
          <w:sz w:val="20"/>
          <w:szCs w:val="20"/>
          <w:lang w:val="fr-FR"/>
        </w:rPr>
        <w:t xml:space="preserve"> </w:t>
      </w:r>
      <w:proofErr w:type="spellStart"/>
      <w:r w:rsidRPr="009D7635">
        <w:rPr>
          <w:rFonts w:ascii="Times New Roman" w:hAnsi="Times New Roman" w:cs="Times New Roman"/>
          <w:i/>
          <w:iCs/>
          <w:color w:val="000000" w:themeColor="text1"/>
          <w:sz w:val="20"/>
          <w:szCs w:val="20"/>
          <w:lang w:val="fr-FR"/>
        </w:rPr>
        <w:t>animae</w:t>
      </w:r>
      <w:proofErr w:type="spellEnd"/>
      <w:r w:rsidRPr="009D7635">
        <w:rPr>
          <w:rFonts w:ascii="Times New Roman" w:hAnsi="Times New Roman" w:cs="Times New Roman"/>
          <w:i/>
          <w:iCs/>
          <w:color w:val="000000" w:themeColor="text1"/>
          <w:sz w:val="20"/>
          <w:szCs w:val="20"/>
          <w:lang w:val="fr-FR"/>
        </w:rPr>
        <w:t xml:space="preserve"> et </w:t>
      </w:r>
      <w:proofErr w:type="spellStart"/>
      <w:r w:rsidRPr="009D7635">
        <w:rPr>
          <w:rFonts w:ascii="Times New Roman" w:hAnsi="Times New Roman" w:cs="Times New Roman"/>
          <w:i/>
          <w:iCs/>
          <w:color w:val="000000" w:themeColor="text1"/>
          <w:sz w:val="20"/>
          <w:szCs w:val="20"/>
          <w:lang w:val="fr-FR"/>
        </w:rPr>
        <w:t>obiectis</w:t>
      </w:r>
      <w:proofErr w:type="spellEnd"/>
      <w:r w:rsidRPr="009D7635">
        <w:rPr>
          <w:rFonts w:ascii="Times New Roman" w:hAnsi="Times New Roman" w:cs="Times New Roman"/>
          <w:color w:val="000000" w:themeColor="text1"/>
          <w:sz w:val="20"/>
          <w:szCs w:val="20"/>
          <w:lang w:val="fr-FR"/>
        </w:rPr>
        <w:t>, ed.</w:t>
      </w:r>
      <w:r w:rsidRPr="009D7635">
        <w:rPr>
          <w:rFonts w:ascii="Times New Roman" w:hAnsi="Times New Roman" w:cs="Times New Roman"/>
          <w:color w:val="000000" w:themeColor="text1"/>
          <w:sz w:val="20"/>
          <w:szCs w:val="20"/>
        </w:rPr>
        <w:t xml:space="preserve"> Daniel A. Callus, in ‘The Powers of the Soul: An Early Unpublished Text,’ </w:t>
      </w:r>
      <w:r w:rsidRPr="009D7635">
        <w:rPr>
          <w:rFonts w:ascii="Times New Roman" w:hAnsi="Times New Roman" w:cs="Times New Roman"/>
          <w:i/>
          <w:iCs/>
          <w:color w:val="000000" w:themeColor="text1"/>
          <w:sz w:val="20"/>
          <w:szCs w:val="20"/>
          <w:lang w:val="fr-FR"/>
        </w:rPr>
        <w:t xml:space="preserve">Recherches de </w:t>
      </w:r>
      <w:r w:rsidR="00370157">
        <w:rPr>
          <w:rFonts w:ascii="Times New Roman" w:hAnsi="Times New Roman" w:cs="Times New Roman"/>
          <w:i/>
          <w:iCs/>
          <w:color w:val="000000" w:themeColor="text1"/>
          <w:sz w:val="20"/>
          <w:szCs w:val="20"/>
          <w:lang w:val="fr-FR"/>
        </w:rPr>
        <w:t>t</w:t>
      </w:r>
      <w:r w:rsidRPr="009D7635">
        <w:rPr>
          <w:rFonts w:ascii="Times New Roman" w:hAnsi="Times New Roman" w:cs="Times New Roman"/>
          <w:i/>
          <w:iCs/>
          <w:color w:val="000000" w:themeColor="text1"/>
          <w:sz w:val="20"/>
          <w:szCs w:val="20"/>
          <w:lang w:val="fr-FR"/>
        </w:rPr>
        <w:t xml:space="preserve">héologie ancienne et médiévale </w:t>
      </w:r>
      <w:r w:rsidRPr="009D7635">
        <w:rPr>
          <w:rFonts w:ascii="Times New Roman" w:hAnsi="Times New Roman" w:cs="Times New Roman"/>
          <w:color w:val="000000" w:themeColor="text1"/>
          <w:sz w:val="20"/>
          <w:szCs w:val="20"/>
          <w:lang w:val="fr-FR"/>
        </w:rPr>
        <w:t>19 (1952)</w:t>
      </w:r>
      <w:r w:rsidR="00507DA6" w:rsidRPr="009D7635">
        <w:rPr>
          <w:rFonts w:ascii="Times New Roman" w:hAnsi="Times New Roman" w:cs="Times New Roman"/>
          <w:color w:val="000000" w:themeColor="text1"/>
          <w:sz w:val="20"/>
          <w:szCs w:val="20"/>
          <w:lang w:val="fr-FR"/>
        </w:rPr>
        <w:t> :</w:t>
      </w:r>
      <w:r w:rsidRPr="009D7635">
        <w:rPr>
          <w:rFonts w:ascii="Times New Roman" w:hAnsi="Times New Roman" w:cs="Times New Roman"/>
          <w:color w:val="000000" w:themeColor="text1"/>
          <w:sz w:val="20"/>
          <w:szCs w:val="20"/>
          <w:lang w:val="fr-FR"/>
        </w:rPr>
        <w:t xml:space="preserve"> </w:t>
      </w:r>
      <w:r w:rsidRPr="009D7635">
        <w:rPr>
          <w:rFonts w:ascii="Times New Roman" w:hAnsi="Times New Roman" w:cs="Times New Roman"/>
          <w:color w:val="000000" w:themeColor="text1"/>
          <w:sz w:val="20"/>
          <w:szCs w:val="20"/>
          <w:lang w:val="en-US"/>
        </w:rPr>
        <w:t>143</w:t>
      </w:r>
      <w:r w:rsidRPr="009D7635">
        <w:rPr>
          <w:rFonts w:ascii="Times New Roman" w:hAnsi="Times New Roman" w:cs="Times New Roman"/>
          <w:color w:val="000000" w:themeColor="text1"/>
          <w:sz w:val="20"/>
          <w:szCs w:val="20"/>
          <w:lang w:val="fr-FR"/>
        </w:rPr>
        <w:t xml:space="preserve">. </w:t>
      </w:r>
      <w:r w:rsidRPr="009D7635">
        <w:rPr>
          <w:rFonts w:ascii="Times New Roman" w:hAnsi="Times New Roman" w:cs="Times New Roman"/>
          <w:bCs/>
          <w:color w:val="000000" w:themeColor="text1"/>
          <w:sz w:val="20"/>
          <w:szCs w:val="20"/>
        </w:rPr>
        <w:t xml:space="preserve">Nikolaus </w:t>
      </w:r>
      <w:proofErr w:type="spellStart"/>
      <w:r w:rsidRPr="009D7635">
        <w:rPr>
          <w:rFonts w:ascii="Times New Roman" w:hAnsi="Times New Roman" w:cs="Times New Roman"/>
          <w:bCs/>
          <w:color w:val="000000" w:themeColor="text1"/>
          <w:sz w:val="20"/>
          <w:szCs w:val="20"/>
        </w:rPr>
        <w:t>Wicki</w:t>
      </w:r>
      <w:proofErr w:type="spellEnd"/>
      <w:r w:rsidRPr="009D7635">
        <w:rPr>
          <w:rFonts w:ascii="Times New Roman" w:hAnsi="Times New Roman" w:cs="Times New Roman"/>
          <w:bCs/>
          <w:color w:val="000000" w:themeColor="text1"/>
          <w:sz w:val="20"/>
          <w:szCs w:val="20"/>
        </w:rPr>
        <w:t xml:space="preserve">, ‘Die </w:t>
      </w:r>
      <w:proofErr w:type="spellStart"/>
      <w:r w:rsidRPr="009D7635">
        <w:rPr>
          <w:rFonts w:ascii="Times New Roman" w:hAnsi="Times New Roman" w:cs="Times New Roman"/>
          <w:bCs/>
          <w:color w:val="000000" w:themeColor="text1"/>
          <w:sz w:val="20"/>
          <w:szCs w:val="20"/>
        </w:rPr>
        <w:t>intellectus</w:t>
      </w:r>
      <w:proofErr w:type="spellEnd"/>
      <w:r w:rsidRPr="009D7635">
        <w:rPr>
          <w:rFonts w:ascii="Times New Roman" w:hAnsi="Times New Roman" w:cs="Times New Roman"/>
          <w:bCs/>
          <w:color w:val="000000" w:themeColor="text1"/>
          <w:sz w:val="20"/>
          <w:szCs w:val="20"/>
        </w:rPr>
        <w:t xml:space="preserve"> </w:t>
      </w:r>
      <w:proofErr w:type="spellStart"/>
      <w:r w:rsidRPr="009D7635">
        <w:rPr>
          <w:rFonts w:ascii="Times New Roman" w:hAnsi="Times New Roman" w:cs="Times New Roman"/>
          <w:bCs/>
          <w:color w:val="000000" w:themeColor="text1"/>
          <w:sz w:val="20"/>
          <w:szCs w:val="20"/>
        </w:rPr>
        <w:t>agens-Lehre</w:t>
      </w:r>
      <w:proofErr w:type="spellEnd"/>
      <w:r w:rsidRPr="009D7635">
        <w:rPr>
          <w:rFonts w:ascii="Times New Roman" w:hAnsi="Times New Roman" w:cs="Times New Roman"/>
          <w:bCs/>
          <w:color w:val="000000" w:themeColor="text1"/>
          <w:sz w:val="20"/>
          <w:szCs w:val="20"/>
        </w:rPr>
        <w:t xml:space="preserve"> Philipps des </w:t>
      </w:r>
      <w:proofErr w:type="spellStart"/>
      <w:r w:rsidRPr="009D7635">
        <w:rPr>
          <w:rFonts w:ascii="Times New Roman" w:hAnsi="Times New Roman" w:cs="Times New Roman"/>
          <w:bCs/>
          <w:color w:val="000000" w:themeColor="text1"/>
          <w:sz w:val="20"/>
          <w:szCs w:val="20"/>
        </w:rPr>
        <w:t>Kanzlers</w:t>
      </w:r>
      <w:proofErr w:type="spellEnd"/>
      <w:r w:rsidRPr="009D7635">
        <w:rPr>
          <w:rFonts w:ascii="Times New Roman" w:hAnsi="Times New Roman" w:cs="Times New Roman"/>
          <w:bCs/>
          <w:color w:val="000000" w:themeColor="text1"/>
          <w:sz w:val="20"/>
          <w:szCs w:val="20"/>
        </w:rPr>
        <w:t xml:space="preserve"> (d. 1236),’ in </w:t>
      </w:r>
      <w:r w:rsidRPr="009D7635">
        <w:rPr>
          <w:rFonts w:ascii="Times New Roman" w:hAnsi="Times New Roman" w:cs="Times New Roman"/>
          <w:bCs/>
          <w:i/>
          <w:color w:val="000000" w:themeColor="text1"/>
          <w:sz w:val="20"/>
          <w:szCs w:val="20"/>
        </w:rPr>
        <w:t xml:space="preserve">Festschrift </w:t>
      </w:r>
      <w:proofErr w:type="spellStart"/>
      <w:r w:rsidRPr="009D7635">
        <w:rPr>
          <w:rFonts w:ascii="Times New Roman" w:hAnsi="Times New Roman" w:cs="Times New Roman"/>
          <w:bCs/>
          <w:i/>
          <w:color w:val="000000" w:themeColor="text1"/>
          <w:sz w:val="20"/>
          <w:szCs w:val="20"/>
        </w:rPr>
        <w:t>für</w:t>
      </w:r>
      <w:proofErr w:type="spellEnd"/>
      <w:r w:rsidRPr="009D7635">
        <w:rPr>
          <w:rFonts w:ascii="Times New Roman" w:hAnsi="Times New Roman" w:cs="Times New Roman"/>
          <w:bCs/>
          <w:i/>
          <w:color w:val="000000" w:themeColor="text1"/>
          <w:sz w:val="20"/>
          <w:szCs w:val="20"/>
        </w:rPr>
        <w:t xml:space="preserve"> Martin Anton Schmidt</w:t>
      </w:r>
      <w:r w:rsidRPr="009D7635">
        <w:rPr>
          <w:rFonts w:ascii="Times New Roman" w:hAnsi="Times New Roman" w:cs="Times New Roman"/>
          <w:bCs/>
          <w:color w:val="000000" w:themeColor="text1"/>
          <w:sz w:val="20"/>
          <w:szCs w:val="20"/>
        </w:rPr>
        <w:t xml:space="preserve"> (Basel: Friedrich Reinhardt, 1989), 163. As </w:t>
      </w:r>
      <w:proofErr w:type="spellStart"/>
      <w:r w:rsidRPr="009D7635">
        <w:rPr>
          <w:rFonts w:ascii="Times New Roman" w:hAnsi="Times New Roman" w:cs="Times New Roman"/>
          <w:bCs/>
          <w:color w:val="000000" w:themeColor="text1"/>
          <w:sz w:val="20"/>
          <w:szCs w:val="20"/>
        </w:rPr>
        <w:t>Wicki</w:t>
      </w:r>
      <w:proofErr w:type="spellEnd"/>
      <w:r w:rsidRPr="009D7635">
        <w:rPr>
          <w:rFonts w:ascii="Times New Roman" w:hAnsi="Times New Roman" w:cs="Times New Roman"/>
          <w:bCs/>
          <w:color w:val="000000" w:themeColor="text1"/>
          <w:sz w:val="20"/>
          <w:szCs w:val="20"/>
        </w:rPr>
        <w:t xml:space="preserve"> notes</w:t>
      </w:r>
      <w:r w:rsidR="00280A87" w:rsidRPr="009D7635">
        <w:rPr>
          <w:rFonts w:ascii="Times New Roman" w:hAnsi="Times New Roman" w:cs="Times New Roman"/>
          <w:bCs/>
          <w:color w:val="000000" w:themeColor="text1"/>
          <w:sz w:val="20"/>
          <w:szCs w:val="20"/>
        </w:rPr>
        <w:t xml:space="preserve"> on page 172</w:t>
      </w:r>
      <w:r w:rsidRPr="009D7635">
        <w:rPr>
          <w:rFonts w:ascii="Times New Roman" w:hAnsi="Times New Roman" w:cs="Times New Roman"/>
          <w:bCs/>
          <w:color w:val="000000" w:themeColor="text1"/>
          <w:sz w:val="20"/>
          <w:szCs w:val="20"/>
        </w:rPr>
        <w:t>, the agent intellect for Phillip</w:t>
      </w:r>
      <w:r w:rsidRPr="009D7635">
        <w:rPr>
          <w:rFonts w:ascii="Times New Roman" w:hAnsi="Times New Roman" w:cs="Times New Roman"/>
          <w:color w:val="000000" w:themeColor="text1"/>
          <w:sz w:val="20"/>
          <w:szCs w:val="20"/>
        </w:rPr>
        <w:t xml:space="preserve"> abstracts the universal and unites it to the possible. These two intellects relate as matter to form</w:t>
      </w:r>
      <w:r w:rsidR="00280A87" w:rsidRPr="009D7635">
        <w:rPr>
          <w:rFonts w:ascii="Times New Roman" w:hAnsi="Times New Roman" w:cs="Times New Roman"/>
          <w:color w:val="000000" w:themeColor="text1"/>
          <w:sz w:val="20"/>
          <w:szCs w:val="20"/>
        </w:rPr>
        <w:t>.</w:t>
      </w:r>
    </w:p>
  </w:footnote>
  <w:footnote w:id="273">
    <w:p w14:paraId="658F559E" w14:textId="4FEB2E0A" w:rsidR="00B93ED5" w:rsidRPr="009D7635" w:rsidRDefault="00B93ED5" w:rsidP="00986E7A">
      <w:pPr>
        <w:pStyle w:val="FootnoteText"/>
        <w:rPr>
          <w:rFonts w:ascii="Times New Roman" w:hAnsi="Times New Roman" w:cs="Times New Roman"/>
          <w:b/>
          <w:bCs/>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bCs/>
          <w:i/>
          <w:iCs/>
          <w:color w:val="000000" w:themeColor="text1"/>
        </w:rPr>
        <w:t xml:space="preserve">Summa de bono, </w:t>
      </w:r>
      <w:r w:rsidRPr="009D7635">
        <w:rPr>
          <w:rFonts w:ascii="Times New Roman" w:hAnsi="Times New Roman" w:cs="Times New Roman"/>
          <w:bCs/>
          <w:color w:val="000000" w:themeColor="text1"/>
        </w:rPr>
        <w:t xml:space="preserve">270: </w:t>
      </w:r>
      <w:r w:rsidRPr="009D7635">
        <w:rPr>
          <w:rFonts w:ascii="Times New Roman" w:hAnsi="Times New Roman" w:cs="Times New Roman"/>
          <w:i/>
          <w:color w:val="000000" w:themeColor="text1"/>
          <w:lang w:val="en-US"/>
        </w:rPr>
        <w:t xml:space="preserve">Ad </w:t>
      </w:r>
      <w:proofErr w:type="spellStart"/>
      <w:r w:rsidRPr="009D7635">
        <w:rPr>
          <w:rFonts w:ascii="Times New Roman" w:hAnsi="Times New Roman" w:cs="Times New Roman"/>
          <w:i/>
          <w:color w:val="000000" w:themeColor="text1"/>
          <w:lang w:val="en-US"/>
        </w:rPr>
        <w:t>intelligendum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tria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exiguntur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intellectus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possibilis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agens</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formalis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Intellectus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agens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abstrahit</w:t>
      </w:r>
      <w:proofErr w:type="spellEnd"/>
      <w:r w:rsidRPr="009D7635">
        <w:rPr>
          <w:rFonts w:ascii="Times New Roman" w:hAnsi="Times New Roman" w:cs="Times New Roman"/>
          <w:i/>
          <w:color w:val="000000" w:themeColor="text1"/>
          <w:lang w:val="en-US"/>
        </w:rPr>
        <w:t xml:space="preserve"> species a </w:t>
      </w:r>
      <w:proofErr w:type="spellStart"/>
      <w:r w:rsidRPr="009D7635">
        <w:rPr>
          <w:rFonts w:ascii="Times New Roman" w:hAnsi="Times New Roman" w:cs="Times New Roman"/>
          <w:i/>
          <w:color w:val="000000" w:themeColor="text1"/>
          <w:lang w:val="en-US"/>
        </w:rPr>
        <w:t>phantasmatibus</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abstrahendo</w:t>
      </w:r>
      <w:proofErr w:type="spellEnd"/>
      <w:r w:rsidRPr="009D7635">
        <w:rPr>
          <w:rFonts w:ascii="Times New Roman" w:hAnsi="Times New Roman" w:cs="Times New Roman"/>
          <w:i/>
          <w:color w:val="000000" w:themeColor="text1"/>
          <w:lang w:val="en-US"/>
        </w:rPr>
        <w:t xml:space="preserve"> unit cum </w:t>
      </w:r>
      <w:proofErr w:type="spellStart"/>
      <w:r w:rsidRPr="009D7635">
        <w:rPr>
          <w:rFonts w:ascii="Times New Roman" w:hAnsi="Times New Roman" w:cs="Times New Roman"/>
          <w:i/>
          <w:color w:val="000000" w:themeColor="text1"/>
          <w:lang w:val="en-US"/>
        </w:rPr>
        <w:t>possibili</w:t>
      </w:r>
      <w:proofErr w:type="spellEnd"/>
      <w:r w:rsidRPr="009D7635">
        <w:rPr>
          <w:rFonts w:ascii="Times New Roman" w:hAnsi="Times New Roman" w:cs="Times New Roman"/>
          <w:i/>
          <w:color w:val="000000" w:themeColor="text1"/>
          <w:lang w:val="en-US"/>
        </w:rPr>
        <w:t xml:space="preserve"> qui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recipiens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Formalis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autem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dicitur</w:t>
      </w:r>
      <w:proofErr w:type="spellEnd"/>
      <w:r w:rsidRPr="009D7635">
        <w:rPr>
          <w:rFonts w:ascii="Times New Roman" w:hAnsi="Times New Roman" w:cs="Times New Roman"/>
          <w:i/>
          <w:color w:val="000000" w:themeColor="text1"/>
          <w:lang w:val="en-US"/>
        </w:rPr>
        <w:t xml:space="preserve"> qui </w:t>
      </w:r>
      <w:proofErr w:type="spellStart"/>
      <w:r w:rsidRPr="009D7635">
        <w:rPr>
          <w:rFonts w:ascii="Times New Roman" w:hAnsi="Times New Roman" w:cs="Times New Roman"/>
          <w:i/>
          <w:color w:val="000000" w:themeColor="text1"/>
          <w:lang w:val="en-US"/>
        </w:rPr>
        <w:t>recipitur</w:t>
      </w:r>
      <w:proofErr w:type="spellEnd"/>
      <w:r w:rsidRPr="009D7635">
        <w:rPr>
          <w:rFonts w:ascii="Times New Roman" w:hAnsi="Times New Roman" w:cs="Times New Roman"/>
          <w:i/>
          <w:color w:val="000000" w:themeColor="text1"/>
          <w:lang w:val="en-US"/>
        </w:rPr>
        <w:t xml:space="preserve">, et hoc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in </w:t>
      </w:r>
      <w:proofErr w:type="spellStart"/>
      <w:r w:rsidRPr="009D7635">
        <w:rPr>
          <w:rFonts w:ascii="Times New Roman" w:hAnsi="Times New Roman" w:cs="Times New Roman"/>
          <w:i/>
          <w:color w:val="000000" w:themeColor="text1"/>
          <w:lang w:val="en-US"/>
        </w:rPr>
        <w:t>intellectu</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humano</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proprium</w:t>
      </w:r>
      <w:proofErr w:type="spellEnd"/>
      <w:r w:rsidRPr="009D7635">
        <w:rPr>
          <w:rFonts w:ascii="Times New Roman" w:hAnsi="Times New Roman" w:cs="Times New Roman"/>
          <w:i/>
          <w:color w:val="000000" w:themeColor="text1"/>
          <w:lang w:val="en-US"/>
        </w:rPr>
        <w:t xml:space="preserve">, qui se ipso res non </w:t>
      </w:r>
      <w:proofErr w:type="spellStart"/>
      <w:r w:rsidRPr="009D7635">
        <w:rPr>
          <w:rFonts w:ascii="Times New Roman" w:hAnsi="Times New Roman" w:cs="Times New Roman"/>
          <w:i/>
          <w:color w:val="000000" w:themeColor="text1"/>
          <w:lang w:val="en-US"/>
        </w:rPr>
        <w:t>intelligit</w:t>
      </w:r>
      <w:proofErr w:type="spellEnd"/>
      <w:r w:rsidRPr="009D7635">
        <w:rPr>
          <w:rFonts w:ascii="Times New Roman" w:hAnsi="Times New Roman" w:cs="Times New Roman"/>
          <w:i/>
          <w:color w:val="000000" w:themeColor="text1"/>
          <w:lang w:val="en-US"/>
        </w:rPr>
        <w:t xml:space="preserve">. Inter has </w:t>
      </w:r>
      <w:proofErr w:type="spellStart"/>
      <w:r w:rsidRPr="009D7635">
        <w:rPr>
          <w:rFonts w:ascii="Times New Roman" w:hAnsi="Times New Roman" w:cs="Times New Roman"/>
          <w:i/>
          <w:color w:val="000000" w:themeColor="text1"/>
          <w:lang w:val="en-US"/>
        </w:rPr>
        <w:t>autem</w:t>
      </w:r>
      <w:proofErr w:type="spellEnd"/>
      <w:r w:rsidRPr="009D7635">
        <w:rPr>
          <w:rFonts w:ascii="Times New Roman" w:hAnsi="Times New Roman" w:cs="Times New Roman"/>
          <w:i/>
          <w:color w:val="000000" w:themeColor="text1"/>
          <w:lang w:val="en-US"/>
        </w:rPr>
        <w:t xml:space="preserve"> tres </w:t>
      </w:r>
      <w:proofErr w:type="spellStart"/>
      <w:r w:rsidRPr="009D7635">
        <w:rPr>
          <w:rFonts w:ascii="Times New Roman" w:hAnsi="Times New Roman" w:cs="Times New Roman"/>
          <w:i/>
          <w:color w:val="000000" w:themeColor="text1"/>
          <w:lang w:val="en-US"/>
        </w:rPr>
        <w:t>differentias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solus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intellectus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formalis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destructibilis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quia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ac</w:t>
      </w:r>
      <w:r w:rsidRPr="009D7635">
        <w:rPr>
          <w:rFonts w:ascii="Times New Roman" w:hAnsi="Times New Roman" w:cs="Times New Roman"/>
          <w:i/>
          <w:color w:val="000000" w:themeColor="text1"/>
          <w:lang w:val="en-US"/>
        </w:rPr>
        <w:softHyphen/>
        <w:t>quisitus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tolli</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potest</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secundum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diversa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intellecta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diversus</w:t>
      </w:r>
      <w:proofErr w:type="spellEnd"/>
      <w:r w:rsidRPr="009D7635">
        <w:rPr>
          <w:rFonts w:ascii="Times New Roman" w:hAnsi="Times New Roman" w:cs="Times New Roman"/>
          <w:i/>
          <w:color w:val="000000" w:themeColor="text1"/>
          <w:lang w:val="en-US"/>
        </w:rPr>
        <w:t xml:space="preserve"> est. Sed </w:t>
      </w:r>
      <w:proofErr w:type="spellStart"/>
      <w:r w:rsidRPr="009D7635">
        <w:rPr>
          <w:rFonts w:ascii="Times New Roman" w:hAnsi="Times New Roman" w:cs="Times New Roman"/>
          <w:i/>
          <w:color w:val="000000" w:themeColor="text1"/>
          <w:lang w:val="en-US"/>
        </w:rPr>
        <w:t>secundum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utramque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differentiam</w:t>
      </w:r>
      <w:proofErr w:type="spellEnd"/>
      <w:r w:rsidRPr="009D7635">
        <w:rPr>
          <w:rFonts w:ascii="Times New Roman" w:hAnsi="Times New Roman" w:cs="Times New Roman"/>
          <w:i/>
          <w:color w:val="000000" w:themeColor="text1"/>
          <w:lang w:val="en-US"/>
        </w:rPr>
        <w:t xml:space="preserve"> alter </w:t>
      </w:r>
      <w:proofErr w:type="spellStart"/>
      <w:r w:rsidRPr="009D7635">
        <w:rPr>
          <w:rFonts w:ascii="Times New Roman" w:hAnsi="Times New Roman" w:cs="Times New Roman"/>
          <w:i/>
          <w:color w:val="000000" w:themeColor="text1"/>
          <w:lang w:val="en-US"/>
        </w:rPr>
        <w:t>incorruptibilis</w:t>
      </w:r>
      <w:proofErr w:type="spellEnd"/>
      <w:r w:rsidRPr="009D7635">
        <w:rPr>
          <w:rFonts w:ascii="Times New Roman" w:hAnsi="Times New Roman" w:cs="Times New Roman"/>
          <w:i/>
          <w:color w:val="000000" w:themeColor="text1"/>
          <w:lang w:val="en-US"/>
        </w:rPr>
        <w:t xml:space="preserve"> est.</w:t>
      </w:r>
      <w:r w:rsidRPr="009D7635">
        <w:rPr>
          <w:rFonts w:ascii="Times New Roman" w:hAnsi="Times New Roman" w:cs="Times New Roman"/>
          <w:color w:val="000000" w:themeColor="text1"/>
          <w:lang w:val="en-US"/>
        </w:rPr>
        <w:t xml:space="preserve"> </w:t>
      </w:r>
      <w:r w:rsidRPr="009D7635">
        <w:rPr>
          <w:rFonts w:ascii="Times New Roman" w:hAnsi="Times New Roman" w:cs="Times New Roman"/>
          <w:bCs/>
          <w:color w:val="000000" w:themeColor="text1"/>
        </w:rPr>
        <w:t xml:space="preserve">On Philip’s tripartite concept of intellect as possible, formal, and agent, see </w:t>
      </w:r>
      <w:r w:rsidRPr="009D7635">
        <w:rPr>
          <w:rFonts w:ascii="Times New Roman" w:hAnsi="Times New Roman" w:cs="Times New Roman"/>
          <w:color w:val="000000" w:themeColor="text1"/>
        </w:rPr>
        <w:t xml:space="preserve">Riccardo Saccenti, </w:t>
      </w:r>
      <w:proofErr w:type="spellStart"/>
      <w:r w:rsidRPr="009D7635">
        <w:rPr>
          <w:rFonts w:ascii="Times New Roman" w:hAnsi="Times New Roman" w:cs="Times New Roman"/>
          <w:i/>
          <w:color w:val="000000" w:themeColor="text1"/>
        </w:rPr>
        <w:t>Conservare</w:t>
      </w:r>
      <w:proofErr w:type="spellEnd"/>
      <w:r w:rsidRPr="009D7635">
        <w:rPr>
          <w:rFonts w:ascii="Times New Roman" w:hAnsi="Times New Roman" w:cs="Times New Roman"/>
          <w:i/>
          <w:color w:val="000000" w:themeColor="text1"/>
        </w:rPr>
        <w:t xml:space="preserve"> la </w:t>
      </w:r>
      <w:proofErr w:type="spellStart"/>
      <w:r w:rsidRPr="009D7635">
        <w:rPr>
          <w:rFonts w:ascii="Times New Roman" w:hAnsi="Times New Roman" w:cs="Times New Roman"/>
          <w:i/>
          <w:color w:val="000000" w:themeColor="text1"/>
        </w:rPr>
        <w:t>retta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volontà</w:t>
      </w:r>
      <w:proofErr w:type="spellEnd"/>
      <w:r w:rsidRPr="009D7635">
        <w:rPr>
          <w:rFonts w:ascii="Times New Roman" w:hAnsi="Times New Roman" w:cs="Times New Roman"/>
          <w:i/>
          <w:color w:val="000000" w:themeColor="text1"/>
        </w:rPr>
        <w:t xml:space="preserve">: L’atto morale </w:t>
      </w:r>
      <w:proofErr w:type="spellStart"/>
      <w:r w:rsidRPr="009D7635">
        <w:rPr>
          <w:rFonts w:ascii="Times New Roman" w:hAnsi="Times New Roman" w:cs="Times New Roman"/>
          <w:i/>
          <w:color w:val="000000" w:themeColor="text1"/>
        </w:rPr>
        <w:t>nelle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dottrine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w:t>
      </w:r>
      <w:proofErr w:type="spellEnd"/>
      <w:r w:rsidRPr="009D7635">
        <w:rPr>
          <w:rFonts w:ascii="Times New Roman" w:hAnsi="Times New Roman" w:cs="Times New Roman"/>
          <w:i/>
          <w:color w:val="000000" w:themeColor="text1"/>
        </w:rPr>
        <w:t xml:space="preserve"> Filippo il </w:t>
      </w:r>
      <w:proofErr w:type="spellStart"/>
      <w:r w:rsidRPr="009D7635">
        <w:rPr>
          <w:rFonts w:ascii="Times New Roman" w:hAnsi="Times New Roman" w:cs="Times New Roman"/>
          <w:i/>
          <w:color w:val="000000" w:themeColor="text1"/>
        </w:rPr>
        <w:t>Cancelliere</w:t>
      </w:r>
      <w:proofErr w:type="spellEnd"/>
      <w:r w:rsidRPr="009D7635">
        <w:rPr>
          <w:rFonts w:ascii="Times New Roman" w:hAnsi="Times New Roman" w:cs="Times New Roman"/>
          <w:i/>
          <w:color w:val="000000" w:themeColor="text1"/>
        </w:rPr>
        <w:t xml:space="preserve"> e </w:t>
      </w:r>
      <w:proofErr w:type="spellStart"/>
      <w:r w:rsidRPr="009D7635">
        <w:rPr>
          <w:rFonts w:ascii="Times New Roman" w:hAnsi="Times New Roman" w:cs="Times New Roman"/>
          <w:i/>
          <w:color w:val="000000" w:themeColor="text1"/>
        </w:rPr>
        <w:t>Ugo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w:t>
      </w:r>
      <w:proofErr w:type="spellEnd"/>
      <w:r w:rsidRPr="009D7635">
        <w:rPr>
          <w:rFonts w:ascii="Times New Roman" w:hAnsi="Times New Roman" w:cs="Times New Roman"/>
          <w:i/>
          <w:color w:val="000000" w:themeColor="text1"/>
        </w:rPr>
        <w:t xml:space="preserve"> Saint-Cher (1225-1235)</w:t>
      </w:r>
      <w:r w:rsidRPr="009D7635">
        <w:rPr>
          <w:rFonts w:ascii="Times New Roman" w:hAnsi="Times New Roman" w:cs="Times New Roman"/>
          <w:color w:val="000000" w:themeColor="text1"/>
        </w:rPr>
        <w:t xml:space="preserve"> (Bologna: </w:t>
      </w:r>
      <w:proofErr w:type="spellStart"/>
      <w:r w:rsidRPr="009D7635">
        <w:rPr>
          <w:rFonts w:ascii="Times New Roman" w:hAnsi="Times New Roman" w:cs="Times New Roman"/>
          <w:color w:val="000000" w:themeColor="text1"/>
        </w:rPr>
        <w:t>Società</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editrice</w:t>
      </w:r>
      <w:proofErr w:type="spellEnd"/>
      <w:r w:rsidRPr="009D7635">
        <w:rPr>
          <w:rFonts w:ascii="Times New Roman" w:hAnsi="Times New Roman" w:cs="Times New Roman"/>
          <w:color w:val="000000" w:themeColor="text1"/>
        </w:rPr>
        <w:t xml:space="preserve"> il Mulino, 2013), </w:t>
      </w:r>
      <w:r w:rsidRPr="009D7635">
        <w:rPr>
          <w:rFonts w:ascii="Times New Roman" w:hAnsi="Times New Roman" w:cs="Times New Roman"/>
          <w:bCs/>
          <w:color w:val="000000" w:themeColor="text1"/>
        </w:rPr>
        <w:t>81-3.</w:t>
      </w:r>
    </w:p>
  </w:footnote>
  <w:footnote w:id="274">
    <w:p w14:paraId="61EE868F" w14:textId="1741E5B1" w:rsidR="00B93ED5" w:rsidRPr="009D7635" w:rsidRDefault="00B93ED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Nikolaus Hasse indicates that the first instance of this term </w:t>
      </w:r>
      <w:proofErr w:type="spellStart"/>
      <w:r w:rsidRPr="009D7635">
        <w:rPr>
          <w:rFonts w:ascii="Times New Roman" w:hAnsi="Times New Roman" w:cs="Times New Roman"/>
          <w:i/>
          <w:iCs/>
          <w:color w:val="000000" w:themeColor="text1"/>
        </w:rPr>
        <w:t>intellectus</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formalis</w:t>
      </w:r>
      <w:proofErr w:type="spellEnd"/>
      <w:r w:rsidRPr="009D7635">
        <w:rPr>
          <w:rFonts w:ascii="Times New Roman" w:hAnsi="Times New Roman" w:cs="Times New Roman"/>
          <w:color w:val="000000" w:themeColor="text1"/>
        </w:rPr>
        <w:t xml:space="preserve"> may be in John </w:t>
      </w:r>
      <w:proofErr w:type="spellStart"/>
      <w:r w:rsidRPr="009D7635">
        <w:rPr>
          <w:rFonts w:ascii="Times New Roman" w:hAnsi="Times New Roman" w:cs="Times New Roman"/>
          <w:color w:val="000000" w:themeColor="text1"/>
        </w:rPr>
        <w:t>Blund’s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 xml:space="preserve">De anima; </w:t>
      </w:r>
      <w:r w:rsidRPr="009D7635">
        <w:rPr>
          <w:rFonts w:ascii="Times New Roman" w:hAnsi="Times New Roman" w:cs="Times New Roman"/>
          <w:color w:val="000000" w:themeColor="text1"/>
        </w:rPr>
        <w:t>see</w:t>
      </w:r>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 xml:space="preserve">‘Das </w:t>
      </w:r>
      <w:proofErr w:type="spellStart"/>
      <w:r w:rsidRPr="009D7635">
        <w:rPr>
          <w:rFonts w:ascii="Times New Roman" w:hAnsi="Times New Roman" w:cs="Times New Roman"/>
          <w:color w:val="000000" w:themeColor="text1"/>
        </w:rPr>
        <w:t>Lehrstück</w:t>
      </w:r>
      <w:proofErr w:type="spellEnd"/>
      <w:r w:rsidRPr="009D7635">
        <w:rPr>
          <w:rFonts w:ascii="Times New Roman" w:hAnsi="Times New Roman" w:cs="Times New Roman"/>
          <w:color w:val="000000" w:themeColor="text1"/>
        </w:rPr>
        <w:t xml:space="preserve"> von den vier </w:t>
      </w:r>
      <w:proofErr w:type="spellStart"/>
      <w:r w:rsidRPr="009D7635">
        <w:rPr>
          <w:rFonts w:ascii="Times New Roman" w:hAnsi="Times New Roman" w:cs="Times New Roman"/>
          <w:color w:val="000000" w:themeColor="text1"/>
        </w:rPr>
        <w:t>Intellekten</w:t>
      </w:r>
      <w:proofErr w:type="spellEnd"/>
      <w:r w:rsidRPr="009D7635">
        <w:rPr>
          <w:rFonts w:ascii="Times New Roman" w:hAnsi="Times New Roman" w:cs="Times New Roman"/>
          <w:color w:val="000000" w:themeColor="text1"/>
        </w:rPr>
        <w:t xml:space="preserve"> in der </w:t>
      </w:r>
      <w:proofErr w:type="spellStart"/>
      <w:r w:rsidRPr="009D7635">
        <w:rPr>
          <w:rFonts w:ascii="Times New Roman" w:hAnsi="Times New Roman" w:cs="Times New Roman"/>
          <w:color w:val="000000" w:themeColor="text1"/>
        </w:rPr>
        <w:t>Scholastik</w:t>
      </w:r>
      <w:proofErr w:type="spellEnd"/>
      <w:r w:rsidRPr="009D7635">
        <w:rPr>
          <w:rFonts w:ascii="Times New Roman" w:hAnsi="Times New Roman" w:cs="Times New Roman"/>
          <w:color w:val="000000" w:themeColor="text1"/>
        </w:rPr>
        <w:t xml:space="preserve">: von den </w:t>
      </w:r>
      <w:proofErr w:type="spellStart"/>
      <w:r w:rsidRPr="009D7635">
        <w:rPr>
          <w:rFonts w:ascii="Times New Roman" w:hAnsi="Times New Roman" w:cs="Times New Roman"/>
          <w:color w:val="000000" w:themeColor="text1"/>
        </w:rPr>
        <w:t>arabischen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Quellen</w:t>
      </w:r>
      <w:proofErr w:type="spellEnd"/>
      <w:r w:rsidRPr="009D7635">
        <w:rPr>
          <w:rFonts w:ascii="Times New Roman" w:hAnsi="Times New Roman" w:cs="Times New Roman"/>
          <w:color w:val="000000" w:themeColor="text1"/>
        </w:rPr>
        <w:t xml:space="preserve"> bis </w:t>
      </w:r>
      <w:proofErr w:type="spellStart"/>
      <w:r w:rsidRPr="009D7635">
        <w:rPr>
          <w:rFonts w:ascii="Times New Roman" w:hAnsi="Times New Roman" w:cs="Times New Roman"/>
          <w:color w:val="000000" w:themeColor="text1"/>
        </w:rPr>
        <w:t>zu</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Albertus</w:t>
      </w:r>
      <w:proofErr w:type="spellEnd"/>
      <w:r w:rsidRPr="009D7635">
        <w:rPr>
          <w:rFonts w:ascii="Times New Roman" w:hAnsi="Times New Roman" w:cs="Times New Roman"/>
          <w:color w:val="000000" w:themeColor="text1"/>
        </w:rPr>
        <w:t xml:space="preserve"> Magnus,’ </w:t>
      </w:r>
      <w:proofErr w:type="spellStart"/>
      <w:r w:rsidR="005D58C3" w:rsidRPr="004746EC">
        <w:rPr>
          <w:rFonts w:ascii="Times New Roman" w:hAnsi="Times New Roman" w:cs="Times New Roman"/>
          <w:i/>
          <w:iCs/>
          <w:color w:val="000000" w:themeColor="text1"/>
        </w:rPr>
        <w:t>Recherches</w:t>
      </w:r>
      <w:proofErr w:type="spellEnd"/>
      <w:r w:rsidR="005D58C3" w:rsidRPr="004746EC">
        <w:rPr>
          <w:rFonts w:ascii="Times New Roman" w:hAnsi="Times New Roman" w:cs="Times New Roman"/>
          <w:i/>
          <w:iCs/>
          <w:color w:val="000000" w:themeColor="text1"/>
        </w:rPr>
        <w:t xml:space="preserve"> de </w:t>
      </w:r>
      <w:proofErr w:type="spellStart"/>
      <w:r w:rsidR="005D58C3" w:rsidRPr="004746EC">
        <w:rPr>
          <w:rFonts w:ascii="Times New Roman" w:hAnsi="Times New Roman" w:cs="Times New Roman"/>
          <w:i/>
          <w:iCs/>
          <w:color w:val="000000" w:themeColor="text1"/>
        </w:rPr>
        <w:t>théologie</w:t>
      </w:r>
      <w:proofErr w:type="spellEnd"/>
      <w:r w:rsidR="005D58C3" w:rsidRPr="004746EC">
        <w:rPr>
          <w:rFonts w:ascii="Times New Roman" w:hAnsi="Times New Roman" w:cs="Times New Roman"/>
          <w:i/>
          <w:iCs/>
          <w:color w:val="000000" w:themeColor="text1"/>
        </w:rPr>
        <w:t xml:space="preserve"> </w:t>
      </w:r>
      <w:proofErr w:type="spellStart"/>
      <w:r w:rsidR="005D58C3" w:rsidRPr="004746EC">
        <w:rPr>
          <w:rFonts w:ascii="Times New Roman" w:hAnsi="Times New Roman" w:cs="Times New Roman"/>
          <w:i/>
          <w:iCs/>
          <w:color w:val="000000" w:themeColor="text1"/>
        </w:rPr>
        <w:t>ancienne</w:t>
      </w:r>
      <w:proofErr w:type="spellEnd"/>
      <w:r w:rsidR="005D58C3" w:rsidRPr="004746EC">
        <w:rPr>
          <w:rFonts w:ascii="Times New Roman" w:hAnsi="Times New Roman" w:cs="Times New Roman"/>
          <w:i/>
          <w:iCs/>
          <w:color w:val="000000" w:themeColor="text1"/>
        </w:rPr>
        <w:t xml:space="preserve"> et </w:t>
      </w:r>
      <w:proofErr w:type="spellStart"/>
      <w:r w:rsidR="005D58C3" w:rsidRPr="004746EC">
        <w:rPr>
          <w:rFonts w:ascii="Times New Roman" w:hAnsi="Times New Roman" w:cs="Times New Roman"/>
          <w:i/>
          <w:iCs/>
          <w:color w:val="000000" w:themeColor="text1"/>
        </w:rPr>
        <w:t>médiévale</w:t>
      </w:r>
      <w:proofErr w:type="spellEnd"/>
      <w:r w:rsidR="005D58C3">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66 (1999)</w:t>
      </w:r>
      <w:r w:rsidR="005B6BE6"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56. </w:t>
      </w:r>
    </w:p>
  </w:footnote>
  <w:footnote w:id="275">
    <w:p w14:paraId="46D4774C"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bCs/>
          <w:i/>
          <w:iCs/>
          <w:color w:val="000000" w:themeColor="text1"/>
        </w:rPr>
        <w:t xml:space="preserve">Summa de bono, </w:t>
      </w:r>
      <w:r w:rsidRPr="009D7635">
        <w:rPr>
          <w:rFonts w:ascii="Times New Roman" w:hAnsi="Times New Roman" w:cs="Times New Roman"/>
          <w:bCs/>
          <w:color w:val="000000" w:themeColor="text1"/>
        </w:rPr>
        <w:t xml:space="preserve">270. Nikolaus </w:t>
      </w:r>
      <w:proofErr w:type="spellStart"/>
      <w:r w:rsidRPr="009D7635">
        <w:rPr>
          <w:rFonts w:ascii="Times New Roman" w:hAnsi="Times New Roman" w:cs="Times New Roman"/>
          <w:bCs/>
          <w:color w:val="000000" w:themeColor="text1"/>
        </w:rPr>
        <w:t>Wicki</w:t>
      </w:r>
      <w:proofErr w:type="spellEnd"/>
      <w:r w:rsidRPr="009D7635">
        <w:rPr>
          <w:rFonts w:ascii="Times New Roman" w:hAnsi="Times New Roman" w:cs="Times New Roman"/>
          <w:bCs/>
          <w:color w:val="000000" w:themeColor="text1"/>
        </w:rPr>
        <w:t xml:space="preserve">, ‘Die </w:t>
      </w:r>
      <w:proofErr w:type="spellStart"/>
      <w:r w:rsidRPr="009D7635">
        <w:rPr>
          <w:rFonts w:ascii="Times New Roman" w:hAnsi="Times New Roman" w:cs="Times New Roman"/>
          <w:bCs/>
          <w:color w:val="000000" w:themeColor="text1"/>
        </w:rPr>
        <w:t>intellectus</w:t>
      </w:r>
      <w:proofErr w:type="spellEnd"/>
      <w:r w:rsidRPr="009D7635">
        <w:rPr>
          <w:rFonts w:ascii="Times New Roman" w:hAnsi="Times New Roman" w:cs="Times New Roman"/>
          <w:bCs/>
          <w:color w:val="000000" w:themeColor="text1"/>
        </w:rPr>
        <w:t xml:space="preserve"> </w:t>
      </w:r>
      <w:proofErr w:type="spellStart"/>
      <w:r w:rsidRPr="009D7635">
        <w:rPr>
          <w:rFonts w:ascii="Times New Roman" w:hAnsi="Times New Roman" w:cs="Times New Roman"/>
          <w:bCs/>
          <w:color w:val="000000" w:themeColor="text1"/>
        </w:rPr>
        <w:t>agens-Lehre</w:t>
      </w:r>
      <w:proofErr w:type="spellEnd"/>
      <w:r w:rsidRPr="009D7635">
        <w:rPr>
          <w:rFonts w:ascii="Times New Roman" w:hAnsi="Times New Roman" w:cs="Times New Roman"/>
          <w:bCs/>
          <w:color w:val="000000" w:themeColor="text1"/>
        </w:rPr>
        <w:t xml:space="preserve"> Philipps des </w:t>
      </w:r>
      <w:proofErr w:type="spellStart"/>
      <w:r w:rsidRPr="009D7635">
        <w:rPr>
          <w:rFonts w:ascii="Times New Roman" w:hAnsi="Times New Roman" w:cs="Times New Roman"/>
          <w:bCs/>
          <w:color w:val="000000" w:themeColor="text1"/>
        </w:rPr>
        <w:t>Kanzlers</w:t>
      </w:r>
      <w:proofErr w:type="spellEnd"/>
      <w:r w:rsidRPr="009D7635">
        <w:rPr>
          <w:rFonts w:ascii="Times New Roman" w:hAnsi="Times New Roman" w:cs="Times New Roman"/>
          <w:bCs/>
          <w:color w:val="000000" w:themeColor="text1"/>
        </w:rPr>
        <w:t xml:space="preserve"> (d. 1236),’ 162.</w:t>
      </w:r>
    </w:p>
  </w:footnote>
  <w:footnote w:id="276">
    <w:p w14:paraId="5FF183D6" w14:textId="768720D5" w:rsidR="00B93ED5" w:rsidRPr="009D7635" w:rsidRDefault="00B93ED5" w:rsidP="00BF120A">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bCs/>
          <w:i/>
          <w:iCs/>
          <w:color w:val="000000" w:themeColor="text1"/>
          <w:sz w:val="20"/>
          <w:szCs w:val="20"/>
        </w:rPr>
        <w:t xml:space="preserve">Summa de bono, </w:t>
      </w:r>
      <w:r w:rsidRPr="009D7635">
        <w:rPr>
          <w:rFonts w:ascii="Times New Roman" w:hAnsi="Times New Roman" w:cs="Times New Roman"/>
          <w:color w:val="000000" w:themeColor="text1"/>
          <w:sz w:val="20"/>
          <w:szCs w:val="20"/>
        </w:rPr>
        <w:t xml:space="preserve">157: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formalis</w:t>
      </w:r>
      <w:proofErr w:type="spellEnd"/>
      <w:r w:rsidRPr="009D7635">
        <w:rPr>
          <w:rFonts w:ascii="Times New Roman" w:hAnsi="Times New Roman" w:cs="Times New Roman"/>
          <w:color w:val="000000" w:themeColor="text1"/>
          <w:sz w:val="20"/>
          <w:szCs w:val="20"/>
        </w:rPr>
        <w:t xml:space="preserve"> seems to be another name for the material intellect.</w:t>
      </w:r>
    </w:p>
  </w:footnote>
  <w:footnote w:id="277">
    <w:p w14:paraId="368704A0" w14:textId="5A3E29C2" w:rsidR="002C4402" w:rsidRPr="009D7635" w:rsidRDefault="002C44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iCs/>
          <w:color w:val="000000" w:themeColor="text1"/>
        </w:rPr>
        <w:t>Summae</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Magistri</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Rolandi</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Cremonensis</w:t>
      </w:r>
      <w:proofErr w:type="spellEnd"/>
      <w:r w:rsidRPr="009D7635">
        <w:rPr>
          <w:rFonts w:ascii="Times New Roman" w:hAnsi="Times New Roman" w:cs="Times New Roman"/>
          <w:i/>
          <w:iCs/>
          <w:color w:val="000000" w:themeColor="text1"/>
        </w:rPr>
        <w:t xml:space="preserve">, O.P., Liber </w:t>
      </w:r>
      <w:proofErr w:type="spellStart"/>
      <w:r w:rsidRPr="009D7635">
        <w:rPr>
          <w:rFonts w:ascii="Times New Roman" w:hAnsi="Times New Roman" w:cs="Times New Roman"/>
          <w:i/>
          <w:iCs/>
          <w:color w:val="000000" w:themeColor="text1"/>
        </w:rPr>
        <w:t>Secundus</w:t>
      </w:r>
      <w:proofErr w:type="spellEnd"/>
      <w:r w:rsidRPr="009D7635">
        <w:rPr>
          <w:rFonts w:ascii="Times New Roman" w:hAnsi="Times New Roman" w:cs="Times New Roman"/>
          <w:color w:val="000000" w:themeColor="text1"/>
        </w:rPr>
        <w:t xml:space="preserve">, ed. </w:t>
      </w:r>
      <w:proofErr w:type="spellStart"/>
      <w:r w:rsidRPr="009D7635">
        <w:rPr>
          <w:rFonts w:ascii="Times New Roman" w:hAnsi="Times New Roman" w:cs="Times New Roman"/>
          <w:color w:val="000000" w:themeColor="text1"/>
        </w:rPr>
        <w:t>Aloysio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Cortesi</w:t>
      </w:r>
      <w:proofErr w:type="spellEnd"/>
      <w:r w:rsidRPr="009D7635">
        <w:rPr>
          <w:rFonts w:ascii="Times New Roman" w:hAnsi="Times New Roman" w:cs="Times New Roman"/>
          <w:color w:val="000000" w:themeColor="text1"/>
        </w:rPr>
        <w:t xml:space="preserve"> (Bergamo: Humberto </w:t>
      </w:r>
      <w:proofErr w:type="spellStart"/>
      <w:r w:rsidRPr="009D7635">
        <w:rPr>
          <w:rFonts w:ascii="Times New Roman" w:hAnsi="Times New Roman" w:cs="Times New Roman"/>
          <w:color w:val="000000" w:themeColor="text1"/>
        </w:rPr>
        <w:t>Midali</w:t>
      </w:r>
      <w:proofErr w:type="spellEnd"/>
      <w:r w:rsidRPr="009D7635">
        <w:rPr>
          <w:rFonts w:ascii="Times New Roman" w:hAnsi="Times New Roman" w:cs="Times New Roman"/>
          <w:color w:val="000000" w:themeColor="text1"/>
        </w:rPr>
        <w:t xml:space="preserve">, 2016), </w:t>
      </w:r>
      <w:r w:rsidR="009A3E35" w:rsidRPr="009D7635">
        <w:rPr>
          <w:rFonts w:ascii="Times New Roman" w:hAnsi="Times New Roman" w:cs="Times New Roman"/>
          <w:color w:val="000000" w:themeColor="text1"/>
        </w:rPr>
        <w:t xml:space="preserve">Ch 117, 167-8; </w:t>
      </w:r>
      <w:proofErr w:type="spellStart"/>
      <w:r w:rsidR="009A3E35" w:rsidRPr="009D7635">
        <w:rPr>
          <w:rFonts w:ascii="Times New Roman" w:hAnsi="Times New Roman" w:cs="Times New Roman"/>
          <w:color w:val="000000" w:themeColor="text1"/>
        </w:rPr>
        <w:t>Chs</w:t>
      </w:r>
      <w:proofErr w:type="spellEnd"/>
      <w:r w:rsidR="009A3E35" w:rsidRPr="009D7635">
        <w:rPr>
          <w:rFonts w:ascii="Times New Roman" w:hAnsi="Times New Roman" w:cs="Times New Roman"/>
          <w:color w:val="000000" w:themeColor="text1"/>
        </w:rPr>
        <w:t xml:space="preserve"> 119-29, 171-83. Roland also deals with some of the medical questions, for example, concerning the vegetable powers. See for example Ch 135, 189-90.</w:t>
      </w:r>
    </w:p>
  </w:footnote>
  <w:footnote w:id="278">
    <w:p w14:paraId="4F5B91CB" w14:textId="77777777" w:rsidR="00B93ED5" w:rsidRPr="009D7635" w:rsidRDefault="00B93ED5" w:rsidP="00BF120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 </w:t>
      </w:r>
      <w:r w:rsidRPr="009D7635">
        <w:rPr>
          <w:rFonts w:ascii="Times New Roman" w:hAnsi="Times New Roman" w:cs="Times New Roman"/>
          <w:i/>
          <w:color w:val="000000" w:themeColor="text1"/>
        </w:rPr>
        <w:t>Avicenna’s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195. </w:t>
      </w:r>
    </w:p>
  </w:footnote>
  <w:footnote w:id="279">
    <w:p w14:paraId="4A183317" w14:textId="0F390C2A" w:rsidR="00186E3B" w:rsidRPr="009D7635" w:rsidRDefault="00186E3B" w:rsidP="006367CC">
      <w:pPr>
        <w:autoSpaceDE w:val="0"/>
        <w:autoSpaceDN w:val="0"/>
        <w:adjustRightInd w:val="0"/>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See Amos </w:t>
      </w:r>
      <w:proofErr w:type="spellStart"/>
      <w:r w:rsidRPr="009D7635">
        <w:rPr>
          <w:rFonts w:ascii="Times New Roman" w:hAnsi="Times New Roman" w:cs="Times New Roman"/>
          <w:color w:val="000000" w:themeColor="text1"/>
          <w:sz w:val="20"/>
          <w:szCs w:val="20"/>
        </w:rPr>
        <w:t>Bertolacci</w:t>
      </w:r>
      <w:proofErr w:type="spellEnd"/>
      <w:r w:rsidRPr="009D7635">
        <w:rPr>
          <w:rFonts w:ascii="Times New Roman" w:hAnsi="Times New Roman" w:cs="Times New Roman"/>
          <w:color w:val="000000" w:themeColor="text1"/>
          <w:sz w:val="20"/>
          <w:szCs w:val="20"/>
        </w:rPr>
        <w:t xml:space="preserve">, </w:t>
      </w:r>
      <w:r w:rsidR="00473ED9" w:rsidRPr="009D7635">
        <w:rPr>
          <w:rFonts w:ascii="Times New Roman" w:hAnsi="Times New Roman" w:cs="Times New Roman"/>
          <w:color w:val="000000" w:themeColor="text1"/>
          <w:sz w:val="20"/>
          <w:szCs w:val="20"/>
        </w:rPr>
        <w:t xml:space="preserve">‘Reading Aristotle with Avicenna: On the Reception of the </w:t>
      </w:r>
      <w:proofErr w:type="spellStart"/>
      <w:r w:rsidR="00473ED9" w:rsidRPr="009D7635">
        <w:rPr>
          <w:rFonts w:ascii="Times New Roman" w:hAnsi="Times New Roman" w:cs="Times New Roman"/>
          <w:i/>
          <w:iCs/>
          <w:color w:val="000000" w:themeColor="text1"/>
          <w:sz w:val="20"/>
          <w:szCs w:val="20"/>
        </w:rPr>
        <w:t>Philosophia</w:t>
      </w:r>
      <w:proofErr w:type="spellEnd"/>
      <w:r w:rsidR="00473ED9" w:rsidRPr="009D7635">
        <w:rPr>
          <w:rFonts w:ascii="Times New Roman" w:hAnsi="Times New Roman" w:cs="Times New Roman"/>
          <w:i/>
          <w:iCs/>
          <w:color w:val="000000" w:themeColor="text1"/>
          <w:sz w:val="20"/>
          <w:szCs w:val="20"/>
        </w:rPr>
        <w:t xml:space="preserve"> Prima </w:t>
      </w:r>
      <w:r w:rsidR="00473ED9" w:rsidRPr="009D7635">
        <w:rPr>
          <w:rFonts w:ascii="Times New Roman" w:hAnsi="Times New Roman" w:cs="Times New Roman"/>
          <w:color w:val="000000" w:themeColor="text1"/>
          <w:sz w:val="20"/>
          <w:szCs w:val="20"/>
        </w:rPr>
        <w:t>in the</w:t>
      </w:r>
      <w:r w:rsidR="00473ED9" w:rsidRPr="009D7635">
        <w:rPr>
          <w:rFonts w:ascii="Times New Roman" w:hAnsi="Times New Roman" w:cs="Times New Roman"/>
          <w:i/>
          <w:iCs/>
          <w:color w:val="000000" w:themeColor="text1"/>
          <w:sz w:val="20"/>
          <w:szCs w:val="20"/>
        </w:rPr>
        <w:t xml:space="preserve"> Summa </w:t>
      </w:r>
      <w:proofErr w:type="spellStart"/>
      <w:r w:rsidR="00473ED9" w:rsidRPr="009D7635">
        <w:rPr>
          <w:rFonts w:ascii="Times New Roman" w:hAnsi="Times New Roman" w:cs="Times New Roman"/>
          <w:i/>
          <w:iCs/>
          <w:color w:val="000000" w:themeColor="text1"/>
          <w:sz w:val="20"/>
          <w:szCs w:val="20"/>
        </w:rPr>
        <w:t>Halensis</w:t>
      </w:r>
      <w:proofErr w:type="spellEnd"/>
      <w:r w:rsidR="00473ED9" w:rsidRPr="009D7635">
        <w:rPr>
          <w:rFonts w:ascii="Times New Roman" w:hAnsi="Times New Roman" w:cs="Times New Roman"/>
          <w:color w:val="000000" w:themeColor="text1"/>
          <w:sz w:val="20"/>
          <w:szCs w:val="20"/>
        </w:rPr>
        <w:t xml:space="preserve">,’ in </w:t>
      </w:r>
      <w:r w:rsidR="00473ED9" w:rsidRPr="009D7635">
        <w:rPr>
          <w:rFonts w:ascii="Times New Roman" w:hAnsi="Times New Roman" w:cs="Times New Roman"/>
          <w:i/>
          <w:iCs/>
          <w:color w:val="000000" w:themeColor="text1"/>
          <w:sz w:val="20"/>
          <w:szCs w:val="20"/>
        </w:rPr>
        <w:t xml:space="preserve">The Summa </w:t>
      </w:r>
      <w:proofErr w:type="spellStart"/>
      <w:r w:rsidR="00473ED9" w:rsidRPr="009D7635">
        <w:rPr>
          <w:rFonts w:ascii="Times New Roman" w:hAnsi="Times New Roman" w:cs="Times New Roman"/>
          <w:i/>
          <w:iCs/>
          <w:color w:val="000000" w:themeColor="text1"/>
          <w:sz w:val="20"/>
          <w:szCs w:val="20"/>
        </w:rPr>
        <w:t>Halensis</w:t>
      </w:r>
      <w:proofErr w:type="spellEnd"/>
      <w:r w:rsidR="00473ED9" w:rsidRPr="009D7635">
        <w:rPr>
          <w:rFonts w:ascii="Times New Roman" w:hAnsi="Times New Roman" w:cs="Times New Roman"/>
          <w:i/>
          <w:iCs/>
          <w:color w:val="000000" w:themeColor="text1"/>
          <w:sz w:val="20"/>
          <w:szCs w:val="20"/>
        </w:rPr>
        <w:t xml:space="preserve">: Sources and Context, </w:t>
      </w:r>
      <w:r w:rsidR="00473ED9" w:rsidRPr="009D7635">
        <w:rPr>
          <w:rFonts w:ascii="Times New Roman" w:hAnsi="Times New Roman" w:cs="Times New Roman"/>
          <w:color w:val="000000" w:themeColor="text1"/>
          <w:sz w:val="20"/>
          <w:szCs w:val="20"/>
        </w:rPr>
        <w:t>ed. Lydia Schumacher</w:t>
      </w:r>
      <w:r w:rsidR="00BF120A" w:rsidRPr="009D7635">
        <w:rPr>
          <w:rFonts w:ascii="Times New Roman" w:hAnsi="Times New Roman" w:cs="Times New Roman"/>
          <w:color w:val="000000" w:themeColor="text1"/>
          <w:sz w:val="20"/>
          <w:szCs w:val="20"/>
        </w:rPr>
        <w:t xml:space="preserve"> (</w:t>
      </w:r>
      <w:r w:rsidR="00473ED9" w:rsidRPr="009D7635">
        <w:rPr>
          <w:rFonts w:ascii="Times New Roman" w:hAnsi="Times New Roman" w:cs="Times New Roman"/>
          <w:color w:val="000000" w:themeColor="text1"/>
          <w:sz w:val="20"/>
          <w:szCs w:val="20"/>
        </w:rPr>
        <w:t>Berlin: De Gruyter, 2020</w:t>
      </w:r>
      <w:r w:rsidR="00BF120A" w:rsidRPr="009D7635">
        <w:rPr>
          <w:rFonts w:ascii="Times New Roman" w:hAnsi="Times New Roman" w:cs="Times New Roman"/>
          <w:color w:val="000000" w:themeColor="text1"/>
          <w:sz w:val="20"/>
          <w:szCs w:val="20"/>
        </w:rPr>
        <w:t>), 135-54</w:t>
      </w:r>
      <w:r w:rsidR="00473ED9" w:rsidRPr="009D7635">
        <w:rPr>
          <w:rFonts w:ascii="Times New Roman" w:hAnsi="Times New Roman" w:cs="Times New Roman"/>
          <w:color w:val="000000" w:themeColor="text1"/>
          <w:sz w:val="20"/>
          <w:szCs w:val="20"/>
        </w:rPr>
        <w:t>.</w:t>
      </w:r>
    </w:p>
  </w:footnote>
  <w:footnote w:id="280">
    <w:p w14:paraId="06F4E58D" w14:textId="01D9049B" w:rsidR="00B93ED5" w:rsidRPr="009D7635" w:rsidRDefault="00B93ED5" w:rsidP="00986E7A">
      <w:pPr>
        <w:rPr>
          <w:rFonts w:ascii="Times New Roman" w:hAnsi="Times New Roman" w:cs="Times New Roman"/>
          <w:color w:val="000000" w:themeColor="text1"/>
          <w:sz w:val="20"/>
          <w:szCs w:val="20"/>
          <w:lang w:val="fr-FR"/>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Ignatius Brady, ‘The </w:t>
      </w:r>
      <w:r w:rsidRPr="009D7635">
        <w:rPr>
          <w:rFonts w:ascii="Times New Roman" w:hAnsi="Times New Roman" w:cs="Times New Roman"/>
          <w:i/>
          <w:color w:val="000000" w:themeColor="text1"/>
          <w:sz w:val="20"/>
          <w:szCs w:val="20"/>
        </w:rPr>
        <w:t>Liber de anima</w:t>
      </w:r>
      <w:r w:rsidRPr="009D7635">
        <w:rPr>
          <w:rFonts w:ascii="Times New Roman" w:hAnsi="Times New Roman" w:cs="Times New Roman"/>
          <w:color w:val="000000" w:themeColor="text1"/>
          <w:sz w:val="20"/>
          <w:szCs w:val="20"/>
        </w:rPr>
        <w:t xml:space="preserve"> of William of </w:t>
      </w:r>
      <w:proofErr w:type="spellStart"/>
      <w:r w:rsidRPr="009D7635">
        <w:rPr>
          <w:rFonts w:ascii="Times New Roman" w:hAnsi="Times New Roman" w:cs="Times New Roman"/>
          <w:color w:val="000000" w:themeColor="text1"/>
          <w:sz w:val="20"/>
          <w:szCs w:val="20"/>
        </w:rPr>
        <w:t>Vaurouillon</w:t>
      </w:r>
      <w:proofErr w:type="spellEnd"/>
      <w:r w:rsidRPr="009D7635">
        <w:rPr>
          <w:rFonts w:ascii="Times New Roman" w:hAnsi="Times New Roman" w:cs="Times New Roman"/>
          <w:color w:val="000000" w:themeColor="text1"/>
          <w:sz w:val="20"/>
          <w:szCs w:val="20"/>
        </w:rPr>
        <w:t xml:space="preserve"> OFM,’ </w:t>
      </w:r>
      <w:r w:rsidRPr="009D7635">
        <w:rPr>
          <w:rFonts w:ascii="Times New Roman" w:hAnsi="Times New Roman" w:cs="Times New Roman"/>
          <w:i/>
          <w:color w:val="000000" w:themeColor="text1"/>
          <w:sz w:val="20"/>
          <w:szCs w:val="20"/>
        </w:rPr>
        <w:t xml:space="preserve">Medieval Studies </w:t>
      </w:r>
      <w:r w:rsidRPr="009D7635">
        <w:rPr>
          <w:rFonts w:ascii="Times New Roman" w:hAnsi="Times New Roman" w:cs="Times New Roman"/>
          <w:color w:val="000000" w:themeColor="text1"/>
          <w:sz w:val="20"/>
          <w:szCs w:val="20"/>
        </w:rPr>
        <w:t>11 (1949)</w:t>
      </w:r>
      <w:r w:rsidR="00A14AD0"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247-307. </w:t>
      </w:r>
      <w:r w:rsidRPr="009D7635">
        <w:rPr>
          <w:rFonts w:ascii="Times New Roman" w:hAnsi="Times New Roman" w:cs="Times New Roman"/>
          <w:i/>
          <w:iCs/>
          <w:color w:val="000000" w:themeColor="text1"/>
          <w:sz w:val="20"/>
          <w:szCs w:val="20"/>
          <w:lang w:val="fr-FR"/>
        </w:rPr>
        <w:t xml:space="preserve">De </w:t>
      </w:r>
      <w:proofErr w:type="spellStart"/>
      <w:r w:rsidRPr="009D7635">
        <w:rPr>
          <w:rFonts w:ascii="Times New Roman" w:hAnsi="Times New Roman" w:cs="Times New Roman"/>
          <w:i/>
          <w:iCs/>
          <w:color w:val="000000" w:themeColor="text1"/>
          <w:sz w:val="20"/>
          <w:szCs w:val="20"/>
          <w:lang w:val="fr-FR"/>
        </w:rPr>
        <w:t>potentiis</w:t>
      </w:r>
      <w:proofErr w:type="spellEnd"/>
      <w:r w:rsidRPr="009D7635">
        <w:rPr>
          <w:rFonts w:ascii="Times New Roman" w:hAnsi="Times New Roman" w:cs="Times New Roman"/>
          <w:i/>
          <w:iCs/>
          <w:color w:val="000000" w:themeColor="text1"/>
          <w:sz w:val="20"/>
          <w:szCs w:val="20"/>
          <w:lang w:val="fr-FR"/>
        </w:rPr>
        <w:t xml:space="preserve"> </w:t>
      </w:r>
      <w:proofErr w:type="spellStart"/>
      <w:r w:rsidRPr="009D7635">
        <w:rPr>
          <w:rFonts w:ascii="Times New Roman" w:hAnsi="Times New Roman" w:cs="Times New Roman"/>
          <w:i/>
          <w:iCs/>
          <w:color w:val="000000" w:themeColor="text1"/>
          <w:sz w:val="20"/>
          <w:szCs w:val="20"/>
          <w:lang w:val="fr-FR"/>
        </w:rPr>
        <w:t>animae</w:t>
      </w:r>
      <w:proofErr w:type="spellEnd"/>
      <w:r w:rsidRPr="009D7635">
        <w:rPr>
          <w:rFonts w:ascii="Times New Roman" w:hAnsi="Times New Roman" w:cs="Times New Roman"/>
          <w:i/>
          <w:iCs/>
          <w:color w:val="000000" w:themeColor="text1"/>
          <w:sz w:val="20"/>
          <w:szCs w:val="20"/>
          <w:lang w:val="fr-FR"/>
        </w:rPr>
        <w:t xml:space="preserve"> et </w:t>
      </w:r>
      <w:proofErr w:type="spellStart"/>
      <w:r w:rsidRPr="009D7635">
        <w:rPr>
          <w:rFonts w:ascii="Times New Roman" w:hAnsi="Times New Roman" w:cs="Times New Roman"/>
          <w:i/>
          <w:iCs/>
          <w:color w:val="000000" w:themeColor="text1"/>
          <w:sz w:val="20"/>
          <w:szCs w:val="20"/>
          <w:lang w:val="fr-FR"/>
        </w:rPr>
        <w:t>obiectis</w:t>
      </w:r>
      <w:proofErr w:type="spellEnd"/>
      <w:r w:rsidRPr="009D7635">
        <w:rPr>
          <w:rFonts w:ascii="Times New Roman" w:hAnsi="Times New Roman" w:cs="Times New Roman"/>
          <w:color w:val="000000" w:themeColor="text1"/>
          <w:sz w:val="20"/>
          <w:szCs w:val="20"/>
          <w:lang w:val="fr-FR"/>
        </w:rPr>
        <w:t xml:space="preserve">, </w:t>
      </w:r>
      <w:r w:rsidRPr="009D7635">
        <w:rPr>
          <w:rFonts w:ascii="Times New Roman" w:hAnsi="Times New Roman" w:cs="Times New Roman"/>
          <w:color w:val="000000" w:themeColor="text1"/>
          <w:sz w:val="20"/>
          <w:szCs w:val="20"/>
          <w:lang w:val="en-US"/>
        </w:rPr>
        <w:t>131</w:t>
      </w:r>
      <w:r w:rsidRPr="009D7635">
        <w:rPr>
          <w:rFonts w:ascii="Times New Roman" w:hAnsi="Times New Roman" w:cs="Times New Roman"/>
          <w:color w:val="000000" w:themeColor="text1"/>
          <w:sz w:val="20"/>
          <w:szCs w:val="20"/>
          <w:lang w:val="fr-FR"/>
        </w:rPr>
        <w:t>.</w:t>
      </w:r>
    </w:p>
  </w:footnote>
  <w:footnote w:id="281">
    <w:p w14:paraId="7C170CAA"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Richard C. Dales, </w:t>
      </w:r>
      <w:r w:rsidRPr="009D7635">
        <w:rPr>
          <w:rFonts w:ascii="Times New Roman" w:hAnsi="Times New Roman" w:cs="Times New Roman"/>
          <w:i/>
          <w:color w:val="000000" w:themeColor="text1"/>
        </w:rPr>
        <w:t>The Problem of the Rational Soul</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lang w:val="en-US"/>
        </w:rPr>
        <w:t>205.</w:t>
      </w:r>
    </w:p>
  </w:footnote>
  <w:footnote w:id="282">
    <w:p w14:paraId="1B4DC9AD" w14:textId="58CFAF65"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Richard C. Dales, </w:t>
      </w:r>
      <w:r w:rsidRPr="009D7635">
        <w:rPr>
          <w:rFonts w:ascii="Times New Roman" w:hAnsi="Times New Roman" w:cs="Times New Roman"/>
          <w:i/>
          <w:color w:val="000000" w:themeColor="text1"/>
        </w:rPr>
        <w:t>The Problem of the Rational Soul</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lang w:val="en-US"/>
        </w:rPr>
        <w:t>86</w:t>
      </w:r>
      <w:r w:rsidR="002B7054"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lang w:val="en-US"/>
        </w:rPr>
        <w:t xml:space="preserve">89. See also F. Van </w:t>
      </w:r>
      <w:proofErr w:type="spellStart"/>
      <w:r w:rsidRPr="009D7635">
        <w:rPr>
          <w:rFonts w:ascii="Times New Roman" w:hAnsi="Times New Roman" w:cs="Times New Roman"/>
          <w:color w:val="000000" w:themeColor="text1"/>
          <w:lang w:val="en-US"/>
        </w:rPr>
        <w:t>Steenberghen</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i/>
          <w:iCs/>
          <w:color w:val="000000" w:themeColor="text1"/>
          <w:lang w:val="en-US"/>
        </w:rPr>
        <w:t xml:space="preserve">Die Philosophie </w:t>
      </w:r>
      <w:proofErr w:type="spellStart"/>
      <w:r w:rsidRPr="009D7635">
        <w:rPr>
          <w:rFonts w:ascii="Times New Roman" w:hAnsi="Times New Roman" w:cs="Times New Roman"/>
          <w:i/>
          <w:iCs/>
          <w:color w:val="000000" w:themeColor="text1"/>
          <w:lang w:val="en-US"/>
        </w:rPr>
        <w:t>im</w:t>
      </w:r>
      <w:proofErr w:type="spellEnd"/>
      <w:r w:rsidRPr="009D7635">
        <w:rPr>
          <w:rFonts w:ascii="Times New Roman" w:hAnsi="Times New Roman" w:cs="Times New Roman"/>
          <w:i/>
          <w:iCs/>
          <w:color w:val="000000" w:themeColor="text1"/>
          <w:lang w:val="en-US"/>
        </w:rPr>
        <w:t xml:space="preserve"> 13. </w:t>
      </w:r>
      <w:proofErr w:type="spellStart"/>
      <w:r w:rsidRPr="009D7635">
        <w:rPr>
          <w:rFonts w:ascii="Times New Roman" w:hAnsi="Times New Roman" w:cs="Times New Roman"/>
          <w:i/>
          <w:iCs/>
          <w:color w:val="000000" w:themeColor="text1"/>
          <w:lang w:val="en-US"/>
        </w:rPr>
        <w:t>Jahrhundert</w:t>
      </w:r>
      <w:proofErr w:type="spellEnd"/>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lang w:val="en-US"/>
        </w:rPr>
        <w:t xml:space="preserve">(Munich: F. </w:t>
      </w:r>
      <w:proofErr w:type="spellStart"/>
      <w:r w:rsidRPr="009D7635">
        <w:rPr>
          <w:rFonts w:ascii="Times New Roman" w:hAnsi="Times New Roman" w:cs="Times New Roman"/>
          <w:color w:val="000000" w:themeColor="text1"/>
          <w:lang w:val="en-US"/>
        </w:rPr>
        <w:t>Schöningh</w:t>
      </w:r>
      <w:proofErr w:type="spellEnd"/>
      <w:r w:rsidRPr="009D7635">
        <w:rPr>
          <w:rFonts w:ascii="Times New Roman" w:hAnsi="Times New Roman" w:cs="Times New Roman"/>
          <w:color w:val="000000" w:themeColor="text1"/>
          <w:lang w:val="en-US"/>
        </w:rPr>
        <w:t>, 1977), 163.</w:t>
      </w:r>
    </w:p>
  </w:footnote>
  <w:footnote w:id="283">
    <w:p w14:paraId="123EA554" w14:textId="77777777" w:rsidR="00B93ED5" w:rsidRPr="009D7635" w:rsidRDefault="00B93ED5" w:rsidP="00986E7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Dag</w:t>
      </w:r>
      <w:proofErr w:type="spellEnd"/>
      <w:r w:rsidRPr="009D7635">
        <w:rPr>
          <w:rFonts w:ascii="Times New Roman" w:hAnsi="Times New Roman" w:cs="Times New Roman"/>
          <w:color w:val="000000" w:themeColor="text1"/>
        </w:rPr>
        <w:t xml:space="preserve"> Hasse, </w:t>
      </w:r>
      <w:r w:rsidRPr="009D7635">
        <w:rPr>
          <w:rFonts w:ascii="Times New Roman" w:hAnsi="Times New Roman" w:cs="Times New Roman"/>
          <w:i/>
          <w:color w:val="000000" w:themeColor="text1"/>
        </w:rPr>
        <w:t>Avicenna’s De anima</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48</w:t>
      </w:r>
    </w:p>
  </w:footnote>
  <w:footnote w:id="284">
    <w:p w14:paraId="3FA73338" w14:textId="77777777" w:rsidR="007949B4" w:rsidRPr="009D7635" w:rsidRDefault="007949B4" w:rsidP="00715998">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Sensation or grasping a form in matter as present; imagination, or grasping a form in matter as absent; intellection: grasping a form without matter</w:t>
      </w:r>
    </w:p>
  </w:footnote>
  <w:footnote w:id="285">
    <w:p w14:paraId="351EAC2B" w14:textId="77777777" w:rsidR="00514D60" w:rsidRPr="009D7635" w:rsidRDefault="00514D60" w:rsidP="00514D60">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 </w:t>
      </w:r>
      <w:proofErr w:type="spellStart"/>
      <w:r w:rsidRPr="009D7635">
        <w:rPr>
          <w:rFonts w:ascii="Times New Roman" w:hAnsi="Times New Roman" w:cs="Times New Roman"/>
          <w:color w:val="000000" w:themeColor="text1"/>
        </w:rPr>
        <w:t>McGinn</w:t>
      </w:r>
      <w:proofErr w:type="spellEnd"/>
      <w:r w:rsidRPr="009D7635">
        <w:rPr>
          <w:rFonts w:ascii="Times New Roman" w:hAnsi="Times New Roman" w:cs="Times New Roman"/>
          <w:color w:val="000000" w:themeColor="text1"/>
        </w:rPr>
        <w:t xml:space="preserve">, ‘Introduction,’ in </w:t>
      </w:r>
      <w:r w:rsidRPr="009D7635">
        <w:rPr>
          <w:rFonts w:ascii="Times New Roman" w:hAnsi="Times New Roman" w:cs="Times New Roman"/>
          <w:i/>
          <w:color w:val="000000" w:themeColor="text1"/>
        </w:rPr>
        <w:t>Three Treatises on Man</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8, citing Augustine,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ordine</w:t>
      </w:r>
      <w:proofErr w:type="spellEnd"/>
      <w:r w:rsidRPr="009D7635">
        <w:rPr>
          <w:rFonts w:ascii="Times New Roman" w:hAnsi="Times New Roman" w:cs="Times New Roman"/>
          <w:color w:val="000000" w:themeColor="text1"/>
        </w:rPr>
        <w:t xml:space="preserve"> II.11.31 (PL 32, 1009),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quantitatae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animae</w:t>
      </w:r>
      <w:proofErr w:type="spellEnd"/>
      <w:r w:rsidRPr="009D7635">
        <w:rPr>
          <w:rFonts w:ascii="Times New Roman" w:hAnsi="Times New Roman" w:cs="Times New Roman"/>
          <w:color w:val="000000" w:themeColor="text1"/>
        </w:rPr>
        <w:t xml:space="preserve"> I.25.47 (PL 32, 1062),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civitate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dei</w:t>
      </w:r>
      <w:proofErr w:type="spellEnd"/>
      <w:r w:rsidRPr="009D7635">
        <w:rPr>
          <w:rFonts w:ascii="Times New Roman" w:hAnsi="Times New Roman" w:cs="Times New Roman"/>
          <w:color w:val="000000" w:themeColor="text1"/>
        </w:rPr>
        <w:t xml:space="preserve"> IV.13 (CC 47, p. 261).</w:t>
      </w:r>
    </w:p>
  </w:footnote>
  <w:footnote w:id="286">
    <w:p w14:paraId="74BFC6DC" w14:textId="77777777" w:rsidR="00514D60" w:rsidRPr="009D7635" w:rsidRDefault="00514D60" w:rsidP="00514D60">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McGinn</w:t>
      </w:r>
      <w:proofErr w:type="spellEnd"/>
      <w:r w:rsidRPr="009D7635">
        <w:rPr>
          <w:rFonts w:ascii="Times New Roman" w:hAnsi="Times New Roman" w:cs="Times New Roman"/>
          <w:color w:val="000000" w:themeColor="text1"/>
        </w:rPr>
        <w:t xml:space="preserve"> cites Plato, </w:t>
      </w:r>
      <w:r w:rsidRPr="009D7635">
        <w:rPr>
          <w:rFonts w:ascii="Times New Roman" w:hAnsi="Times New Roman" w:cs="Times New Roman"/>
          <w:i/>
          <w:color w:val="000000" w:themeColor="text1"/>
        </w:rPr>
        <w:t>Alcibiades</w:t>
      </w:r>
      <w:r w:rsidRPr="009D7635">
        <w:rPr>
          <w:rFonts w:ascii="Times New Roman" w:hAnsi="Times New Roman" w:cs="Times New Roman"/>
          <w:color w:val="000000" w:themeColor="text1"/>
        </w:rPr>
        <w:t xml:space="preserve"> 129e; Plotinus, </w:t>
      </w:r>
      <w:r w:rsidRPr="009D7635">
        <w:rPr>
          <w:rFonts w:ascii="Times New Roman" w:hAnsi="Times New Roman" w:cs="Times New Roman"/>
          <w:i/>
          <w:color w:val="000000" w:themeColor="text1"/>
        </w:rPr>
        <w:t>Enneads</w:t>
      </w:r>
      <w:r w:rsidRPr="009D7635">
        <w:rPr>
          <w:rFonts w:ascii="Times New Roman" w:hAnsi="Times New Roman" w:cs="Times New Roman"/>
          <w:color w:val="000000" w:themeColor="text1"/>
        </w:rPr>
        <w:t xml:space="preserve"> I.1.3 and VI.7.5; Augustine,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quantitatae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animae</w:t>
      </w:r>
      <w:proofErr w:type="spellEnd"/>
      <w:r w:rsidRPr="009D7635">
        <w:rPr>
          <w:rFonts w:ascii="Times New Roman" w:hAnsi="Times New Roman" w:cs="Times New Roman"/>
          <w:color w:val="000000" w:themeColor="text1"/>
        </w:rPr>
        <w:t xml:space="preserve"> 13, 22;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moribus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ecclesiasticae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catholicae</w:t>
      </w:r>
      <w:proofErr w:type="spellEnd"/>
      <w:r w:rsidRPr="009D7635">
        <w:rPr>
          <w:rFonts w:ascii="Times New Roman" w:hAnsi="Times New Roman" w:cs="Times New Roman"/>
          <w:color w:val="000000" w:themeColor="text1"/>
        </w:rPr>
        <w:t xml:space="preserve"> I.4.6 and I.2752; </w:t>
      </w:r>
      <w:r w:rsidRPr="009D7635">
        <w:rPr>
          <w:rFonts w:ascii="Times New Roman" w:hAnsi="Times New Roman" w:cs="Times New Roman"/>
          <w:i/>
          <w:color w:val="000000" w:themeColor="text1"/>
        </w:rPr>
        <w:t xml:space="preserve">In </w:t>
      </w:r>
      <w:proofErr w:type="spellStart"/>
      <w:r w:rsidRPr="009D7635">
        <w:rPr>
          <w:rFonts w:ascii="Times New Roman" w:hAnsi="Times New Roman" w:cs="Times New Roman"/>
          <w:i/>
          <w:color w:val="000000" w:themeColor="text1"/>
        </w:rPr>
        <w:t>Iohannes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Evangelium</w:t>
      </w:r>
      <w:proofErr w:type="spellEnd"/>
      <w:r w:rsidRPr="009D7635">
        <w:rPr>
          <w:rFonts w:ascii="Times New Roman" w:hAnsi="Times New Roman" w:cs="Times New Roman"/>
          <w:color w:val="000000" w:themeColor="text1"/>
        </w:rPr>
        <w:t xml:space="preserve"> 19.5.15;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civitate</w:t>
      </w:r>
      <w:proofErr w:type="spellEnd"/>
      <w:r w:rsidRPr="009D7635">
        <w:rPr>
          <w:rFonts w:ascii="Times New Roman" w:hAnsi="Times New Roman" w:cs="Times New Roman"/>
          <w:i/>
          <w:color w:val="000000" w:themeColor="text1"/>
        </w:rPr>
        <w:t xml:space="preserve"> Dei</w:t>
      </w:r>
      <w:r w:rsidRPr="009D7635">
        <w:rPr>
          <w:rFonts w:ascii="Times New Roman" w:hAnsi="Times New Roman" w:cs="Times New Roman"/>
          <w:color w:val="000000" w:themeColor="text1"/>
        </w:rPr>
        <w:t xml:space="preserve"> IX.9-10, X.6.</w:t>
      </w:r>
    </w:p>
  </w:footnote>
  <w:footnote w:id="287">
    <w:p w14:paraId="02A58CC7" w14:textId="77777777" w:rsidR="001D2E45" w:rsidRPr="009D7635" w:rsidRDefault="001D2E45" w:rsidP="001D2E45">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Augustine,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Genesi</w:t>
      </w:r>
      <w:proofErr w:type="spellEnd"/>
      <w:r w:rsidRPr="009D7635">
        <w:rPr>
          <w:rFonts w:ascii="Times New Roman" w:hAnsi="Times New Roman" w:cs="Times New Roman"/>
          <w:i/>
          <w:color w:val="000000" w:themeColor="text1"/>
        </w:rPr>
        <w:t xml:space="preserve"> ad </w:t>
      </w:r>
      <w:proofErr w:type="spellStart"/>
      <w:r w:rsidRPr="009D7635">
        <w:rPr>
          <w:rFonts w:ascii="Times New Roman" w:hAnsi="Times New Roman" w:cs="Times New Roman"/>
          <w:i/>
          <w:color w:val="000000" w:themeColor="text1"/>
        </w:rPr>
        <w:t>litteram</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7.27.38;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quantitatae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animae</w:t>
      </w:r>
      <w:proofErr w:type="spellEnd"/>
      <w:r w:rsidRPr="009D7635">
        <w:rPr>
          <w:rFonts w:ascii="Times New Roman" w:hAnsi="Times New Roman" w:cs="Times New Roman"/>
          <w:color w:val="000000" w:themeColor="text1"/>
        </w:rPr>
        <w:t xml:space="preserve"> I.2;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civitate</w:t>
      </w:r>
      <w:proofErr w:type="spellEnd"/>
      <w:r w:rsidRPr="009D7635">
        <w:rPr>
          <w:rFonts w:ascii="Times New Roman" w:hAnsi="Times New Roman" w:cs="Times New Roman"/>
          <w:i/>
          <w:color w:val="000000" w:themeColor="text1"/>
        </w:rPr>
        <w:t xml:space="preserve"> Dei</w:t>
      </w:r>
      <w:r w:rsidRPr="009D7635">
        <w:rPr>
          <w:rFonts w:ascii="Times New Roman" w:hAnsi="Times New Roman" w:cs="Times New Roman"/>
          <w:color w:val="000000" w:themeColor="text1"/>
        </w:rPr>
        <w:t xml:space="preserve"> I.13, X.29, XIII.24.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The Body-Soul Problem at Paris ca. 1200-1250 </w:t>
      </w:r>
      <w:r w:rsidRPr="009D7635">
        <w:rPr>
          <w:rFonts w:ascii="Times New Roman" w:hAnsi="Times New Roman" w:cs="Times New Roman"/>
          <w:color w:val="000000" w:themeColor="text1"/>
        </w:rPr>
        <w:t xml:space="preserve">(Leuven: Leuven University Press, 2010), 23, citing Augustine,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Genesi</w:t>
      </w:r>
      <w:proofErr w:type="spellEnd"/>
      <w:r w:rsidRPr="009D7635">
        <w:rPr>
          <w:rFonts w:ascii="Times New Roman" w:hAnsi="Times New Roman" w:cs="Times New Roman"/>
          <w:i/>
          <w:color w:val="000000" w:themeColor="text1"/>
        </w:rPr>
        <w:t xml:space="preserve"> ad </w:t>
      </w:r>
      <w:proofErr w:type="spellStart"/>
      <w:r w:rsidRPr="009D7635">
        <w:rPr>
          <w:rFonts w:ascii="Times New Roman" w:hAnsi="Times New Roman" w:cs="Times New Roman"/>
          <w:i/>
          <w:color w:val="000000" w:themeColor="text1"/>
        </w:rPr>
        <w:t>litteram</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lang w:val="en-US"/>
        </w:rPr>
        <w:t xml:space="preserve">XII.35.68, ed. </w:t>
      </w:r>
      <w:proofErr w:type="spellStart"/>
      <w:r w:rsidRPr="009D7635">
        <w:rPr>
          <w:rFonts w:ascii="Times New Roman" w:hAnsi="Times New Roman" w:cs="Times New Roman"/>
          <w:color w:val="000000" w:themeColor="text1"/>
          <w:lang w:val="en-US"/>
        </w:rPr>
        <w:t>Zycha</w:t>
      </w:r>
      <w:proofErr w:type="spellEnd"/>
      <w:r w:rsidRPr="009D7635">
        <w:rPr>
          <w:rFonts w:ascii="Times New Roman" w:hAnsi="Times New Roman" w:cs="Times New Roman"/>
          <w:color w:val="000000" w:themeColor="text1"/>
          <w:lang w:val="en-US"/>
        </w:rPr>
        <w:t xml:space="preserve">, CSEL 28.1 (Vienna: F. </w:t>
      </w:r>
      <w:proofErr w:type="spellStart"/>
      <w:r w:rsidRPr="009D7635">
        <w:rPr>
          <w:rFonts w:ascii="Times New Roman" w:hAnsi="Times New Roman" w:cs="Times New Roman"/>
          <w:color w:val="000000" w:themeColor="text1"/>
          <w:lang w:val="en-US"/>
        </w:rPr>
        <w:t>Tempsky</w:t>
      </w:r>
      <w:proofErr w:type="spellEnd"/>
      <w:r w:rsidRPr="009D7635">
        <w:rPr>
          <w:rFonts w:ascii="Times New Roman" w:hAnsi="Times New Roman" w:cs="Times New Roman"/>
          <w:color w:val="000000" w:themeColor="text1"/>
          <w:lang w:val="en-US"/>
        </w:rPr>
        <w:t xml:space="preserve">, 1894), 72, n. 194: </w:t>
      </w:r>
      <w:proofErr w:type="spellStart"/>
      <w:r w:rsidRPr="009D7635">
        <w:rPr>
          <w:rFonts w:ascii="Times New Roman" w:hAnsi="Times New Roman" w:cs="Times New Roman"/>
          <w:i/>
          <w:color w:val="000000" w:themeColor="text1"/>
          <w:lang w:val="en-US"/>
        </w:rPr>
        <w:t>Naturalis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appetitus</w:t>
      </w:r>
      <w:proofErr w:type="spellEnd"/>
      <w:r w:rsidRPr="009D7635">
        <w:rPr>
          <w:rFonts w:ascii="Times New Roman" w:hAnsi="Times New Roman" w:cs="Times New Roman"/>
          <w:i/>
          <w:color w:val="000000" w:themeColor="text1"/>
          <w:lang w:val="en-US"/>
        </w:rPr>
        <w:t xml:space="preserve"> corpus </w:t>
      </w:r>
      <w:proofErr w:type="spellStart"/>
      <w:r w:rsidRPr="009D7635">
        <w:rPr>
          <w:rFonts w:ascii="Times New Roman" w:hAnsi="Times New Roman" w:cs="Times New Roman"/>
          <w:i/>
          <w:color w:val="000000" w:themeColor="text1"/>
          <w:lang w:val="en-US"/>
        </w:rPr>
        <w:t>administrandi</w:t>
      </w:r>
      <w:proofErr w:type="spellEnd"/>
      <w:r w:rsidRPr="009D7635">
        <w:rPr>
          <w:rFonts w:ascii="Times New Roman" w:hAnsi="Times New Roman" w:cs="Times New Roman"/>
          <w:i/>
          <w:color w:val="000000" w:themeColor="text1"/>
          <w:lang w:val="en-US"/>
        </w:rPr>
        <w:t>.</w:t>
      </w:r>
    </w:p>
  </w:footnote>
  <w:footnote w:id="288">
    <w:p w14:paraId="718BA14B" w14:textId="77777777" w:rsidR="001D2E45" w:rsidRPr="009D7635" w:rsidRDefault="001D2E45" w:rsidP="001D2E4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Ibid.,</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9. </w:t>
      </w:r>
    </w:p>
  </w:footnote>
  <w:footnote w:id="289">
    <w:p w14:paraId="3D09BD27" w14:textId="77777777" w:rsidR="001D2E45" w:rsidRPr="009D7635" w:rsidRDefault="001D2E45" w:rsidP="001D2E4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R.A. Markus, ‘Augustine—Man: Body and Soul,’ in </w:t>
      </w:r>
      <w:r w:rsidRPr="009D7635">
        <w:rPr>
          <w:rFonts w:ascii="Times New Roman" w:hAnsi="Times New Roman" w:cs="Times New Roman"/>
          <w:i/>
          <w:color w:val="000000" w:themeColor="text1"/>
        </w:rPr>
        <w:t xml:space="preserve">The Cambridge History of Later Greek and Early Medieval Philosophy </w:t>
      </w:r>
      <w:r w:rsidRPr="009D7635">
        <w:rPr>
          <w:rFonts w:ascii="Times New Roman" w:hAnsi="Times New Roman" w:cs="Times New Roman"/>
          <w:color w:val="000000" w:themeColor="text1"/>
        </w:rPr>
        <w:t xml:space="preserve">(Cambridge: Cambridge University Press, 1967), 354-61. </w:t>
      </w:r>
    </w:p>
  </w:footnote>
  <w:footnote w:id="290">
    <w:p w14:paraId="7DC39A09" w14:textId="7FE942A7" w:rsidR="006E0BE7" w:rsidRPr="009D7635" w:rsidRDefault="006E0BE7" w:rsidP="006E0BE7">
      <w:pPr>
        <w:widowControl w:val="0"/>
        <w:tabs>
          <w:tab w:val="left" w:pos="5220"/>
        </w:tabs>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Theodore Crowley, </w:t>
      </w:r>
      <w:r w:rsidRPr="009D7635">
        <w:rPr>
          <w:rFonts w:ascii="Times New Roman" w:hAnsi="Times New Roman" w:cs="Times New Roman"/>
          <w:i/>
          <w:color w:val="000000" w:themeColor="text1"/>
          <w:sz w:val="20"/>
          <w:szCs w:val="20"/>
        </w:rPr>
        <w:t xml:space="preserve">Roger Bacon: The Problem of the Soul in His Philosophical Commentaries </w:t>
      </w:r>
      <w:r w:rsidRPr="009D7635">
        <w:rPr>
          <w:rFonts w:ascii="Times New Roman" w:hAnsi="Times New Roman" w:cs="Times New Roman"/>
          <w:color w:val="000000" w:themeColor="text1"/>
          <w:sz w:val="20"/>
          <w:szCs w:val="20"/>
        </w:rPr>
        <w:t>(Dublin: Maes Duffey, 1950), 122.</w:t>
      </w:r>
    </w:p>
  </w:footnote>
  <w:footnote w:id="291">
    <w:p w14:paraId="63AA11DE" w14:textId="38E17D2C" w:rsidR="00B93ED5" w:rsidRPr="009D7635" w:rsidRDefault="00B93ED5" w:rsidP="007C038D">
      <w:pPr>
        <w:widowControl w:val="0"/>
        <w:tabs>
          <w:tab w:val="left" w:pos="5220"/>
        </w:tabs>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6E0BE7" w:rsidRPr="009D7635">
        <w:rPr>
          <w:rFonts w:ascii="Times New Roman" w:hAnsi="Times New Roman" w:cs="Times New Roman"/>
          <w:color w:val="000000" w:themeColor="text1"/>
          <w:sz w:val="20"/>
          <w:szCs w:val="20"/>
        </w:rPr>
        <w:t>Ibid.</w:t>
      </w:r>
      <w:r w:rsidRPr="009D7635">
        <w:rPr>
          <w:rFonts w:ascii="Times New Roman" w:hAnsi="Times New Roman" w:cs="Times New Roman"/>
          <w:color w:val="000000" w:themeColor="text1"/>
          <w:sz w:val="20"/>
          <w:szCs w:val="20"/>
        </w:rPr>
        <w:t xml:space="preserve">, citing Étienne Gilson, </w:t>
      </w:r>
      <w:r w:rsidRPr="009D7635">
        <w:rPr>
          <w:rFonts w:ascii="Times New Roman" w:hAnsi="Times New Roman" w:cs="Times New Roman"/>
          <w:i/>
          <w:color w:val="000000" w:themeColor="text1"/>
          <w:sz w:val="20"/>
          <w:szCs w:val="20"/>
        </w:rPr>
        <w:t>Introduction a l’etude de S</w:t>
      </w:r>
      <w:r w:rsidR="006F295B" w:rsidRPr="009D7635">
        <w:rPr>
          <w:rFonts w:ascii="Times New Roman" w:hAnsi="Times New Roman" w:cs="Times New Roman"/>
          <w:i/>
          <w:color w:val="000000" w:themeColor="text1"/>
          <w:sz w:val="20"/>
          <w:szCs w:val="20"/>
        </w:rPr>
        <w:t>.</w:t>
      </w:r>
      <w:r w:rsidRPr="009D7635">
        <w:rPr>
          <w:rFonts w:ascii="Times New Roman" w:hAnsi="Times New Roman" w:cs="Times New Roman"/>
          <w:i/>
          <w:color w:val="000000" w:themeColor="text1"/>
          <w:sz w:val="20"/>
          <w:szCs w:val="20"/>
        </w:rPr>
        <w:t xml:space="preserve"> Augustin</w:t>
      </w:r>
      <w:r w:rsidRPr="009D7635">
        <w:rPr>
          <w:rFonts w:ascii="Times New Roman" w:hAnsi="Times New Roman" w:cs="Times New Roman"/>
          <w:color w:val="000000" w:themeColor="text1"/>
          <w:sz w:val="20"/>
          <w:szCs w:val="20"/>
        </w:rPr>
        <w:t xml:space="preserve"> (Paris: Vrin, 1929), 55, n. 1. See also Gilson’s ‘Les sources </w:t>
      </w:r>
      <w:proofErr w:type="spellStart"/>
      <w:r w:rsidRPr="009D7635">
        <w:rPr>
          <w:rFonts w:ascii="Times New Roman" w:hAnsi="Times New Roman" w:cs="Times New Roman"/>
          <w:color w:val="000000" w:themeColor="text1"/>
          <w:sz w:val="20"/>
          <w:szCs w:val="20"/>
        </w:rPr>
        <w:t>Greco-arabes</w:t>
      </w:r>
      <w:proofErr w:type="spellEnd"/>
      <w:r w:rsidRPr="009D7635">
        <w:rPr>
          <w:rFonts w:ascii="Times New Roman" w:hAnsi="Times New Roman" w:cs="Times New Roman"/>
          <w:color w:val="000000" w:themeColor="text1"/>
          <w:sz w:val="20"/>
          <w:szCs w:val="20"/>
        </w:rPr>
        <w:t xml:space="preserve"> de </w:t>
      </w:r>
      <w:proofErr w:type="spellStart"/>
      <w:r w:rsidRPr="009D7635">
        <w:rPr>
          <w:rFonts w:ascii="Times New Roman" w:hAnsi="Times New Roman" w:cs="Times New Roman"/>
          <w:color w:val="000000" w:themeColor="text1"/>
          <w:sz w:val="20"/>
          <w:szCs w:val="20"/>
        </w:rPr>
        <w:t>l’augustinisme</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avicennisant</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Archives </w:t>
      </w:r>
      <w:proofErr w:type="spellStart"/>
      <w:r w:rsidRPr="009D7635">
        <w:rPr>
          <w:rFonts w:ascii="Times New Roman" w:hAnsi="Times New Roman" w:cs="Times New Roman"/>
          <w:i/>
          <w:color w:val="000000" w:themeColor="text1"/>
          <w:sz w:val="20"/>
          <w:szCs w:val="20"/>
        </w:rPr>
        <w:t>d'histoire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doctrinale</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littéraire</w:t>
      </w:r>
      <w:proofErr w:type="spellEnd"/>
      <w:r w:rsidRPr="009D7635">
        <w:rPr>
          <w:rFonts w:ascii="Times New Roman" w:hAnsi="Times New Roman" w:cs="Times New Roman"/>
          <w:i/>
          <w:color w:val="000000" w:themeColor="text1"/>
          <w:sz w:val="20"/>
          <w:szCs w:val="20"/>
        </w:rPr>
        <w:t xml:space="preserve"> du </w:t>
      </w:r>
      <w:proofErr w:type="spellStart"/>
      <w:r w:rsidRPr="009D7635">
        <w:rPr>
          <w:rFonts w:ascii="Times New Roman" w:hAnsi="Times New Roman" w:cs="Times New Roman"/>
          <w:i/>
          <w:color w:val="000000" w:themeColor="text1"/>
          <w:sz w:val="20"/>
          <w:szCs w:val="20"/>
        </w:rPr>
        <w:t>Moyen</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Âge</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4 (1929-30)</w:t>
      </w:r>
      <w:r w:rsidR="006F295B"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53. </w:t>
      </w:r>
    </w:p>
  </w:footnote>
  <w:footnote w:id="292">
    <w:p w14:paraId="0E7C5A2D"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Theodore Crowley, </w:t>
      </w:r>
      <w:r w:rsidRPr="009D7635">
        <w:rPr>
          <w:rFonts w:ascii="Times New Roman" w:hAnsi="Times New Roman" w:cs="Times New Roman"/>
          <w:i/>
          <w:color w:val="000000" w:themeColor="text1"/>
        </w:rPr>
        <w:t>Roger Bacon</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122.</w:t>
      </w:r>
    </w:p>
  </w:footnote>
  <w:footnote w:id="293">
    <w:p w14:paraId="3925679A" w14:textId="2DF701FE" w:rsidR="00093B98" w:rsidRPr="009D7635" w:rsidRDefault="00093B98" w:rsidP="00093B98">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Bernhard </w:t>
      </w:r>
      <w:proofErr w:type="spellStart"/>
      <w:r w:rsidRPr="009D7635">
        <w:rPr>
          <w:rFonts w:ascii="Times New Roman" w:hAnsi="Times New Roman" w:cs="Times New Roman"/>
          <w:color w:val="000000" w:themeColor="text1"/>
        </w:rPr>
        <w:t>Blumenkranz</w:t>
      </w:r>
      <w:proofErr w:type="spellEnd"/>
      <w:r w:rsidRPr="009D7635">
        <w:rPr>
          <w:rFonts w:ascii="Times New Roman" w:hAnsi="Times New Roman" w:cs="Times New Roman"/>
          <w:color w:val="000000" w:themeColor="text1"/>
        </w:rPr>
        <w:t xml:space="preserve">, ‘La </w:t>
      </w:r>
      <w:proofErr w:type="spellStart"/>
      <w:r w:rsidRPr="009D7635">
        <w:rPr>
          <w:rFonts w:ascii="Times New Roman" w:hAnsi="Times New Roman" w:cs="Times New Roman"/>
          <w:color w:val="000000" w:themeColor="text1"/>
        </w:rPr>
        <w:t>survie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médiévale</w:t>
      </w:r>
      <w:proofErr w:type="spellEnd"/>
      <w:r w:rsidRPr="009D7635">
        <w:rPr>
          <w:rFonts w:ascii="Times New Roman" w:hAnsi="Times New Roman" w:cs="Times New Roman"/>
          <w:color w:val="000000" w:themeColor="text1"/>
        </w:rPr>
        <w:t xml:space="preserve"> de saint Augustin à travers </w:t>
      </w:r>
      <w:proofErr w:type="spellStart"/>
      <w:r w:rsidRPr="009D7635">
        <w:rPr>
          <w:rFonts w:ascii="Times New Roman" w:hAnsi="Times New Roman" w:cs="Times New Roman"/>
          <w:color w:val="000000" w:themeColor="text1"/>
        </w:rPr>
        <w:t>ses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apocryphes</w:t>
      </w:r>
      <w:proofErr w:type="spellEnd"/>
      <w:r w:rsidRPr="009D7635">
        <w:rPr>
          <w:rFonts w:ascii="Times New Roman" w:hAnsi="Times New Roman" w:cs="Times New Roman"/>
          <w:color w:val="000000" w:themeColor="text1"/>
        </w:rPr>
        <w:t xml:space="preserve">,’ </w:t>
      </w:r>
      <w:r w:rsidR="00831B12" w:rsidRPr="009D7635">
        <w:rPr>
          <w:rFonts w:ascii="Times New Roman" w:hAnsi="Times New Roman" w:cs="Times New Roman"/>
          <w:color w:val="000000" w:themeColor="text1"/>
        </w:rPr>
        <w:t xml:space="preserve">in </w:t>
      </w:r>
      <w:proofErr w:type="spellStart"/>
      <w:r w:rsidR="00831B12" w:rsidRPr="009D7635">
        <w:rPr>
          <w:rFonts w:ascii="Times New Roman" w:hAnsi="Times New Roman" w:cs="Times New Roman"/>
          <w:i/>
          <w:iCs/>
        </w:rPr>
        <w:t>Augustinus</w:t>
      </w:r>
      <w:proofErr w:type="spellEnd"/>
      <w:r w:rsidR="00831B12" w:rsidRPr="009D7635">
        <w:rPr>
          <w:rFonts w:ascii="Times New Roman" w:hAnsi="Times New Roman" w:cs="Times New Roman"/>
          <w:i/>
          <w:iCs/>
        </w:rPr>
        <w:t xml:space="preserve"> Magister</w:t>
      </w:r>
      <w:r w:rsidR="006C0F8B" w:rsidRPr="009D7635">
        <w:rPr>
          <w:rFonts w:ascii="Times New Roman" w:hAnsi="Times New Roman" w:cs="Times New Roman"/>
        </w:rPr>
        <w:t xml:space="preserve"> (</w:t>
      </w:r>
      <w:r w:rsidR="00831B12" w:rsidRPr="009D7635">
        <w:rPr>
          <w:rFonts w:ascii="Times New Roman" w:hAnsi="Times New Roman" w:cs="Times New Roman"/>
        </w:rPr>
        <w:t xml:space="preserve">Paris: Études </w:t>
      </w:r>
      <w:proofErr w:type="spellStart"/>
      <w:r w:rsidR="00831B12" w:rsidRPr="009D7635">
        <w:rPr>
          <w:rFonts w:ascii="Times New Roman" w:hAnsi="Times New Roman" w:cs="Times New Roman"/>
        </w:rPr>
        <w:t>Augustiniennes</w:t>
      </w:r>
      <w:proofErr w:type="spellEnd"/>
      <w:r w:rsidR="00831B12" w:rsidRPr="009D7635">
        <w:rPr>
          <w:rFonts w:ascii="Times New Roman" w:hAnsi="Times New Roman" w:cs="Times New Roman"/>
        </w:rPr>
        <w:t>, 1954</w:t>
      </w:r>
      <w:r w:rsidR="006C0F8B" w:rsidRPr="009D7635">
        <w:rPr>
          <w:rFonts w:ascii="Times New Roman" w:hAnsi="Times New Roman" w:cs="Times New Roman"/>
        </w:rPr>
        <w:t xml:space="preserve">), </w:t>
      </w:r>
      <w:r w:rsidRPr="009D7635">
        <w:rPr>
          <w:rFonts w:ascii="Times New Roman" w:hAnsi="Times New Roman" w:cs="Times New Roman"/>
          <w:color w:val="000000" w:themeColor="text1"/>
        </w:rPr>
        <w:t xml:space="preserve">1012. </w:t>
      </w:r>
    </w:p>
  </w:footnote>
  <w:footnote w:id="294">
    <w:p w14:paraId="539C32BC" w14:textId="77777777" w:rsidR="00B93ED5" w:rsidRPr="009D7635" w:rsidRDefault="00B93ED5" w:rsidP="007C038D">
      <w:pPr>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Richard C. Dales, </w:t>
      </w:r>
      <w:r w:rsidRPr="009D7635">
        <w:rPr>
          <w:rFonts w:ascii="Times New Roman" w:hAnsi="Times New Roman" w:cs="Times New Roman"/>
          <w:i/>
          <w:color w:val="000000" w:themeColor="text1"/>
          <w:sz w:val="20"/>
          <w:szCs w:val="20"/>
          <w:lang w:val="en-US"/>
        </w:rPr>
        <w:t xml:space="preserve">The Problem of the Rational Soul in the Thirteenth Century </w:t>
      </w:r>
      <w:r w:rsidRPr="009D7635">
        <w:rPr>
          <w:rFonts w:ascii="Times New Roman" w:hAnsi="Times New Roman" w:cs="Times New Roman"/>
          <w:color w:val="000000" w:themeColor="text1"/>
          <w:sz w:val="20"/>
          <w:szCs w:val="20"/>
          <w:lang w:val="en-US"/>
        </w:rPr>
        <w:t xml:space="preserve">(Leiden: Brill, 1995), 4-5. </w:t>
      </w:r>
    </w:p>
  </w:footnote>
  <w:footnote w:id="295">
    <w:p w14:paraId="2A532D97" w14:textId="3E4CCF36"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F367B" w:rsidRPr="009D7635">
        <w:rPr>
          <w:rFonts w:ascii="Times New Roman" w:hAnsi="Times New Roman" w:cs="Times New Roman"/>
          <w:color w:val="000000" w:themeColor="text1"/>
          <w:lang w:val="en-US"/>
        </w:rPr>
        <w:t>Ibid.,</w:t>
      </w:r>
      <w:r w:rsidRPr="009D7635">
        <w:rPr>
          <w:rFonts w:ascii="Times New Roman" w:hAnsi="Times New Roman" w:cs="Times New Roman"/>
          <w:i/>
          <w:color w:val="000000" w:themeColor="text1"/>
          <w:lang w:val="en-US"/>
        </w:rPr>
        <w:t xml:space="preserve"> </w:t>
      </w:r>
      <w:r w:rsidRPr="009D7635">
        <w:rPr>
          <w:rFonts w:ascii="Times New Roman" w:hAnsi="Times New Roman" w:cs="Times New Roman"/>
          <w:color w:val="000000" w:themeColor="text1"/>
          <w:lang w:val="en-US"/>
        </w:rPr>
        <w:t>8.</w:t>
      </w:r>
    </w:p>
  </w:footnote>
  <w:footnote w:id="296">
    <w:p w14:paraId="5408C4C8" w14:textId="58761622" w:rsidR="00B93ED5" w:rsidRPr="009D7635" w:rsidRDefault="00B93ED5" w:rsidP="007C038D">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00483689" w:rsidRPr="009D7635">
        <w:rPr>
          <w:rFonts w:ascii="Times New Roman" w:hAnsi="Times New Roman" w:cs="Times New Roman"/>
          <w:bCs/>
          <w:i/>
          <w:sz w:val="20"/>
          <w:szCs w:val="20"/>
          <w:lang w:val="en-US"/>
        </w:rPr>
        <w:t>Doctoris</w:t>
      </w:r>
      <w:proofErr w:type="spellEnd"/>
      <w:r w:rsidR="00483689" w:rsidRPr="009D7635">
        <w:rPr>
          <w:rFonts w:ascii="Times New Roman" w:hAnsi="Times New Roman" w:cs="Times New Roman"/>
          <w:bCs/>
          <w:i/>
          <w:sz w:val="20"/>
          <w:szCs w:val="20"/>
          <w:lang w:val="en-US"/>
        </w:rPr>
        <w:t xml:space="preserve"> </w:t>
      </w:r>
      <w:proofErr w:type="spellStart"/>
      <w:r w:rsidR="00483689" w:rsidRPr="009D7635">
        <w:rPr>
          <w:rFonts w:ascii="Times New Roman" w:hAnsi="Times New Roman" w:cs="Times New Roman"/>
          <w:bCs/>
          <w:i/>
          <w:sz w:val="20"/>
          <w:szCs w:val="20"/>
          <w:lang w:val="en-US"/>
        </w:rPr>
        <w:t>irrefragabilis</w:t>
      </w:r>
      <w:proofErr w:type="spellEnd"/>
      <w:r w:rsidR="00483689" w:rsidRPr="009D7635">
        <w:rPr>
          <w:rFonts w:ascii="Times New Roman" w:hAnsi="Times New Roman" w:cs="Times New Roman"/>
          <w:bCs/>
          <w:i/>
          <w:sz w:val="20"/>
          <w:szCs w:val="20"/>
          <w:lang w:val="en-US"/>
        </w:rPr>
        <w:t xml:space="preserve"> </w:t>
      </w:r>
      <w:proofErr w:type="spellStart"/>
      <w:r w:rsidR="00483689" w:rsidRPr="009D7635">
        <w:rPr>
          <w:rFonts w:ascii="Times New Roman" w:hAnsi="Times New Roman" w:cs="Times New Roman"/>
          <w:bCs/>
          <w:i/>
          <w:sz w:val="20"/>
          <w:szCs w:val="20"/>
          <w:lang w:val="en-US"/>
        </w:rPr>
        <w:t>Alexandri</w:t>
      </w:r>
      <w:proofErr w:type="spellEnd"/>
      <w:r w:rsidR="00483689" w:rsidRPr="009D7635">
        <w:rPr>
          <w:rFonts w:ascii="Times New Roman" w:hAnsi="Times New Roman" w:cs="Times New Roman"/>
          <w:bCs/>
          <w:i/>
          <w:sz w:val="20"/>
          <w:szCs w:val="20"/>
          <w:lang w:val="en-US"/>
        </w:rPr>
        <w:t xml:space="preserve"> de Hales </w:t>
      </w:r>
      <w:proofErr w:type="spellStart"/>
      <w:r w:rsidR="00483689" w:rsidRPr="009D7635">
        <w:rPr>
          <w:rFonts w:ascii="Times New Roman" w:hAnsi="Times New Roman" w:cs="Times New Roman"/>
          <w:bCs/>
          <w:i/>
          <w:sz w:val="20"/>
          <w:szCs w:val="20"/>
          <w:lang w:val="en-US"/>
        </w:rPr>
        <w:t>Ordinis</w:t>
      </w:r>
      <w:proofErr w:type="spellEnd"/>
      <w:r w:rsidR="00483689" w:rsidRPr="009D7635">
        <w:rPr>
          <w:rFonts w:ascii="Times New Roman" w:hAnsi="Times New Roman" w:cs="Times New Roman"/>
          <w:bCs/>
          <w:i/>
          <w:sz w:val="20"/>
          <w:szCs w:val="20"/>
          <w:lang w:val="en-US"/>
        </w:rPr>
        <w:t xml:space="preserve"> </w:t>
      </w:r>
      <w:proofErr w:type="spellStart"/>
      <w:r w:rsidR="00483689" w:rsidRPr="009D7635">
        <w:rPr>
          <w:rFonts w:ascii="Times New Roman" w:hAnsi="Times New Roman" w:cs="Times New Roman"/>
          <w:bCs/>
          <w:i/>
          <w:sz w:val="20"/>
          <w:szCs w:val="20"/>
          <w:lang w:val="en-US"/>
        </w:rPr>
        <w:t>minorum</w:t>
      </w:r>
      <w:proofErr w:type="spellEnd"/>
      <w:r w:rsidR="00483689" w:rsidRPr="009D7635">
        <w:rPr>
          <w:rFonts w:ascii="Times New Roman" w:hAnsi="Times New Roman" w:cs="Times New Roman"/>
          <w:bCs/>
          <w:i/>
          <w:sz w:val="20"/>
          <w:szCs w:val="20"/>
          <w:lang w:val="en-US"/>
        </w:rPr>
        <w:t xml:space="preserve"> Summa </w:t>
      </w:r>
      <w:proofErr w:type="spellStart"/>
      <w:r w:rsidR="00483689" w:rsidRPr="009D7635">
        <w:rPr>
          <w:rFonts w:ascii="Times New Roman" w:hAnsi="Times New Roman" w:cs="Times New Roman"/>
          <w:bCs/>
          <w:i/>
          <w:sz w:val="20"/>
          <w:szCs w:val="20"/>
          <w:lang w:val="en-US"/>
        </w:rPr>
        <w:t>theologica</w:t>
      </w:r>
      <w:proofErr w:type="spellEnd"/>
      <w:r w:rsidR="00483689" w:rsidRPr="009D7635">
        <w:rPr>
          <w:rFonts w:ascii="Times New Roman" w:hAnsi="Times New Roman" w:cs="Times New Roman"/>
          <w:bCs/>
          <w:sz w:val="20"/>
          <w:szCs w:val="20"/>
          <w:lang w:val="en-US"/>
        </w:rPr>
        <w:t xml:space="preserve">, 4 </w:t>
      </w:r>
      <w:proofErr w:type="spellStart"/>
      <w:r w:rsidR="00483689" w:rsidRPr="009D7635">
        <w:rPr>
          <w:rFonts w:ascii="Times New Roman" w:hAnsi="Times New Roman" w:cs="Times New Roman"/>
          <w:bCs/>
          <w:sz w:val="20"/>
          <w:szCs w:val="20"/>
          <w:lang w:val="en-US"/>
        </w:rPr>
        <w:t>vols</w:t>
      </w:r>
      <w:proofErr w:type="spellEnd"/>
      <w:r w:rsidR="00483689" w:rsidRPr="009D7635">
        <w:rPr>
          <w:rFonts w:ascii="Times New Roman" w:hAnsi="Times New Roman" w:cs="Times New Roman"/>
          <w:bCs/>
          <w:sz w:val="20"/>
          <w:szCs w:val="20"/>
        </w:rPr>
        <w:t xml:space="preserve"> (</w:t>
      </w:r>
      <w:proofErr w:type="spellStart"/>
      <w:r w:rsidR="00483689" w:rsidRPr="009D7635">
        <w:rPr>
          <w:rFonts w:ascii="Times New Roman" w:hAnsi="Times New Roman" w:cs="Times New Roman"/>
          <w:bCs/>
          <w:sz w:val="20"/>
          <w:szCs w:val="20"/>
        </w:rPr>
        <w:t>Quaracchi</w:t>
      </w:r>
      <w:proofErr w:type="spellEnd"/>
      <w:r w:rsidR="00483689" w:rsidRPr="009D7635">
        <w:rPr>
          <w:rFonts w:ascii="Times New Roman" w:hAnsi="Times New Roman" w:cs="Times New Roman"/>
          <w:bCs/>
          <w:sz w:val="20"/>
          <w:szCs w:val="20"/>
        </w:rPr>
        <w:t xml:space="preserve">, </w:t>
      </w:r>
      <w:proofErr w:type="spellStart"/>
      <w:r w:rsidR="00483689" w:rsidRPr="009D7635">
        <w:rPr>
          <w:rFonts w:ascii="Times New Roman" w:hAnsi="Times New Roman" w:cs="Times New Roman"/>
          <w:bCs/>
          <w:sz w:val="20"/>
          <w:szCs w:val="20"/>
        </w:rPr>
        <w:t>Florentiae</w:t>
      </w:r>
      <w:proofErr w:type="spellEnd"/>
      <w:r w:rsidR="00483689" w:rsidRPr="009D7635">
        <w:rPr>
          <w:rFonts w:ascii="Times New Roman" w:hAnsi="Times New Roman" w:cs="Times New Roman"/>
          <w:bCs/>
          <w:sz w:val="20"/>
          <w:szCs w:val="20"/>
        </w:rPr>
        <w:t xml:space="preserve">: </w:t>
      </w:r>
      <w:proofErr w:type="spellStart"/>
      <w:r w:rsidR="00483689" w:rsidRPr="009D7635">
        <w:rPr>
          <w:rFonts w:ascii="Times New Roman" w:hAnsi="Times New Roman" w:cs="Times New Roman"/>
          <w:bCs/>
          <w:sz w:val="20"/>
          <w:szCs w:val="20"/>
        </w:rPr>
        <w:t>Collegii</w:t>
      </w:r>
      <w:proofErr w:type="spellEnd"/>
      <w:r w:rsidR="00483689" w:rsidRPr="009D7635">
        <w:rPr>
          <w:rFonts w:ascii="Times New Roman" w:hAnsi="Times New Roman" w:cs="Times New Roman"/>
          <w:bCs/>
          <w:sz w:val="20"/>
          <w:szCs w:val="20"/>
        </w:rPr>
        <w:t xml:space="preserve"> S. </w:t>
      </w:r>
      <w:proofErr w:type="spellStart"/>
      <w:r w:rsidR="00483689" w:rsidRPr="009D7635">
        <w:rPr>
          <w:rFonts w:ascii="Times New Roman" w:hAnsi="Times New Roman" w:cs="Times New Roman"/>
          <w:bCs/>
          <w:sz w:val="20"/>
          <w:szCs w:val="20"/>
        </w:rPr>
        <w:t>Bonaventurae</w:t>
      </w:r>
      <w:proofErr w:type="spellEnd"/>
      <w:r w:rsidR="00483689" w:rsidRPr="009D7635">
        <w:rPr>
          <w:rFonts w:ascii="Times New Roman" w:hAnsi="Times New Roman" w:cs="Times New Roman"/>
          <w:bCs/>
          <w:sz w:val="20"/>
          <w:szCs w:val="20"/>
          <w:lang w:val="en-US"/>
        </w:rPr>
        <w:t>, 1924-48),</w:t>
      </w:r>
      <w:r w:rsidR="00942D1D" w:rsidRPr="009D7635">
        <w:rPr>
          <w:rFonts w:ascii="Times New Roman" w:hAnsi="Times New Roman" w:cs="Times New Roman"/>
          <w:bCs/>
          <w:sz w:val="20"/>
          <w:szCs w:val="20"/>
          <w:lang w:val="en-US"/>
        </w:rPr>
        <w:t xml:space="preserve"> </w:t>
      </w:r>
      <w:r w:rsidR="001939A0" w:rsidRPr="009D7635">
        <w:rPr>
          <w:rFonts w:ascii="Times New Roman" w:hAnsi="Times New Roman" w:cs="Times New Roman"/>
          <w:bCs/>
          <w:sz w:val="20"/>
          <w:szCs w:val="20"/>
          <w:lang w:val="en-US"/>
        </w:rPr>
        <w:t>L</w:t>
      </w:r>
      <w:r w:rsidRPr="009D7635">
        <w:rPr>
          <w:rFonts w:ascii="Times New Roman" w:hAnsi="Times New Roman" w:cs="Times New Roman"/>
          <w:color w:val="000000" w:themeColor="text1"/>
          <w:sz w:val="20"/>
          <w:szCs w:val="20"/>
        </w:rPr>
        <w:t xml:space="preserve">2.1, In4, Tr1, S1, Q1, C2,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2, </w:t>
      </w:r>
      <w:r w:rsidRPr="009D7635">
        <w:rPr>
          <w:rFonts w:ascii="Times New Roman" w:hAnsi="Times New Roman" w:cs="Times New Roman"/>
          <w:color w:val="000000" w:themeColor="text1"/>
          <w:sz w:val="20"/>
          <w:szCs w:val="20"/>
          <w:lang w:val="en-US"/>
        </w:rPr>
        <w:t xml:space="preserve">385; cf. John of La Rochelle, </w:t>
      </w:r>
      <w:r w:rsidRPr="009D7635">
        <w:rPr>
          <w:rFonts w:ascii="Times New Roman" w:hAnsi="Times New Roman" w:cs="Times New Roman"/>
          <w:i/>
          <w:color w:val="000000" w:themeColor="text1"/>
          <w:sz w:val="20"/>
          <w:szCs w:val="20"/>
          <w:lang w:val="en-US"/>
        </w:rPr>
        <w:t>Summa de anima</w:t>
      </w:r>
      <w:r w:rsidRPr="009D7635">
        <w:rPr>
          <w:rFonts w:ascii="Times New Roman" w:hAnsi="Times New Roman" w:cs="Times New Roman"/>
          <w:color w:val="000000" w:themeColor="text1"/>
          <w:sz w:val="20"/>
          <w:szCs w:val="20"/>
          <w:lang w:val="en-US"/>
        </w:rPr>
        <w:t xml:space="preserve">, ed. Jacques Guy </w:t>
      </w:r>
      <w:proofErr w:type="spellStart"/>
      <w:r w:rsidRPr="009D7635">
        <w:rPr>
          <w:rFonts w:ascii="Times New Roman" w:hAnsi="Times New Roman" w:cs="Times New Roman"/>
          <w:color w:val="000000" w:themeColor="text1"/>
          <w:sz w:val="20"/>
          <w:szCs w:val="20"/>
          <w:lang w:val="en-US"/>
        </w:rPr>
        <w:t>Bougerol</w:t>
      </w:r>
      <w:proofErr w:type="spellEnd"/>
      <w:r w:rsidRPr="009D7635">
        <w:rPr>
          <w:rFonts w:ascii="Times New Roman" w:hAnsi="Times New Roman" w:cs="Times New Roman"/>
          <w:color w:val="000000" w:themeColor="text1"/>
          <w:sz w:val="20"/>
          <w:szCs w:val="20"/>
          <w:lang w:val="en-US"/>
        </w:rPr>
        <w:t xml:space="preserve"> (Paris: Vrin, 1995), 80.</w:t>
      </w:r>
    </w:p>
  </w:footnote>
  <w:footnote w:id="297">
    <w:p w14:paraId="6F721F12" w14:textId="77777777" w:rsidR="00B93ED5" w:rsidRPr="009D7635" w:rsidRDefault="00B93ED5" w:rsidP="007C038D">
      <w:pPr>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Richard C. Dales, </w:t>
      </w:r>
      <w:r w:rsidRPr="009D7635">
        <w:rPr>
          <w:rFonts w:ascii="Times New Roman" w:hAnsi="Times New Roman" w:cs="Times New Roman"/>
          <w:i/>
          <w:color w:val="000000" w:themeColor="text1"/>
          <w:sz w:val="20"/>
          <w:szCs w:val="20"/>
          <w:lang w:val="en-US"/>
        </w:rPr>
        <w:t>The Problem of the Rational Soul in the Thirteenth Century</w:t>
      </w:r>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8: ‘</w:t>
      </w:r>
      <w:r w:rsidRPr="009D7635">
        <w:rPr>
          <w:rFonts w:ascii="Times New Roman" w:hAnsi="Times New Roman" w:cs="Times New Roman"/>
          <w:bCs/>
          <w:color w:val="000000" w:themeColor="text1"/>
          <w:sz w:val="20"/>
          <w:szCs w:val="20"/>
          <w:lang w:val="en-US"/>
        </w:rPr>
        <w:t>The human soul may be considered from two points of view: as it is related to the body, and as it is in itself.’</w:t>
      </w:r>
    </w:p>
  </w:footnote>
  <w:footnote w:id="298">
    <w:p w14:paraId="081EDD65" w14:textId="6D98BBF9"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42D1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S1, Q1, C2,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2, </w:t>
      </w:r>
      <w:r w:rsidRPr="009D7635">
        <w:rPr>
          <w:rFonts w:ascii="Times New Roman" w:hAnsi="Times New Roman" w:cs="Times New Roman"/>
          <w:color w:val="000000" w:themeColor="text1"/>
          <w:sz w:val="20"/>
          <w:szCs w:val="20"/>
          <w:lang w:val="en-US"/>
        </w:rPr>
        <w:t xml:space="preserve">385: </w:t>
      </w:r>
      <w:proofErr w:type="spellStart"/>
      <w:r w:rsidRPr="009D7635">
        <w:rPr>
          <w:rFonts w:ascii="Times New Roman" w:hAnsi="Times New Roman" w:cs="Times New Roman"/>
          <w:i/>
          <w:color w:val="000000" w:themeColor="text1"/>
          <w:sz w:val="20"/>
          <w:szCs w:val="20"/>
        </w:rPr>
        <w:t>Corporeum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dicitur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dupliciter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vel</w:t>
      </w:r>
      <w:proofErr w:type="spellEnd"/>
      <w:r w:rsidRPr="009D7635">
        <w:rPr>
          <w:rFonts w:ascii="Times New Roman" w:hAnsi="Times New Roman" w:cs="Times New Roman"/>
          <w:i/>
          <w:color w:val="000000" w:themeColor="text1"/>
          <w:sz w:val="20"/>
          <w:szCs w:val="20"/>
        </w:rPr>
        <w:t xml:space="preserve"> absolute </w:t>
      </w:r>
      <w:proofErr w:type="spellStart"/>
      <w:r w:rsidRPr="009D7635">
        <w:rPr>
          <w:rFonts w:ascii="Times New Roman" w:hAnsi="Times New Roman" w:cs="Times New Roman"/>
          <w:i/>
          <w:color w:val="000000" w:themeColor="text1"/>
          <w:sz w:val="20"/>
          <w:szCs w:val="20"/>
        </w:rPr>
        <w:t>vel</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ratione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alicuius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conditionis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respective. </w:t>
      </w:r>
      <w:proofErr w:type="spellStart"/>
      <w:r w:rsidRPr="009D7635">
        <w:rPr>
          <w:rFonts w:ascii="Times New Roman" w:hAnsi="Times New Roman" w:cs="Times New Roman"/>
          <w:i/>
          <w:color w:val="000000" w:themeColor="text1"/>
          <w:sz w:val="20"/>
          <w:szCs w:val="20"/>
        </w:rPr>
        <w:t>Si</w:t>
      </w:r>
      <w:proofErr w:type="spellEnd"/>
      <w:r w:rsidRPr="009D7635">
        <w:rPr>
          <w:rFonts w:ascii="Times New Roman" w:hAnsi="Times New Roman" w:cs="Times New Roman"/>
          <w:i/>
          <w:color w:val="000000" w:themeColor="text1"/>
          <w:sz w:val="20"/>
          <w:szCs w:val="20"/>
        </w:rPr>
        <w:t xml:space="preserve"> absolute,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hoc non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anima </w:t>
      </w:r>
      <w:proofErr w:type="spellStart"/>
      <w:r w:rsidRPr="009D7635">
        <w:rPr>
          <w:rFonts w:ascii="Times New Roman" w:hAnsi="Times New Roman" w:cs="Times New Roman"/>
          <w:i/>
          <w:color w:val="000000" w:themeColor="text1"/>
          <w:sz w:val="20"/>
          <w:szCs w:val="20"/>
        </w:rPr>
        <w:t>hominis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corporea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immo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incorporea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dicitur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tamen</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corporea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aliquam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habet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circumscriptionem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vel</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definitionem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localem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comparitione</w:t>
      </w:r>
      <w:proofErr w:type="spellEnd"/>
      <w:r w:rsidRPr="009D7635">
        <w:rPr>
          <w:rFonts w:ascii="Times New Roman" w:hAnsi="Times New Roman" w:cs="Times New Roman"/>
          <w:i/>
          <w:color w:val="000000" w:themeColor="text1"/>
          <w:sz w:val="20"/>
          <w:szCs w:val="20"/>
        </w:rPr>
        <w:t xml:space="preserve"> ad </w:t>
      </w:r>
      <w:proofErr w:type="spellStart"/>
      <w:r w:rsidRPr="009D7635">
        <w:rPr>
          <w:rFonts w:ascii="Times New Roman" w:hAnsi="Times New Roman" w:cs="Times New Roman"/>
          <w:i/>
          <w:color w:val="000000" w:themeColor="text1"/>
          <w:sz w:val="20"/>
          <w:szCs w:val="20"/>
        </w:rPr>
        <w:t>Deum</w:t>
      </w:r>
      <w:proofErr w:type="spellEnd"/>
      <w:r w:rsidRPr="009D7635">
        <w:rPr>
          <w:rFonts w:ascii="Times New Roman" w:hAnsi="Times New Roman" w:cs="Times New Roman"/>
          <w:i/>
          <w:color w:val="000000" w:themeColor="text1"/>
          <w:sz w:val="20"/>
          <w:szCs w:val="20"/>
        </w:rPr>
        <w:t xml:space="preserve">, qui </w:t>
      </w:r>
      <w:proofErr w:type="spellStart"/>
      <w:r w:rsidRPr="009D7635">
        <w:rPr>
          <w:rFonts w:ascii="Times New Roman" w:hAnsi="Times New Roman" w:cs="Times New Roman"/>
          <w:i/>
          <w:color w:val="000000" w:themeColor="text1"/>
          <w:sz w:val="20"/>
          <w:szCs w:val="20"/>
        </w:rPr>
        <w:t>omnino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incircumscriptus</w:t>
      </w:r>
      <w:proofErr w:type="spellEnd"/>
      <w:r w:rsidRPr="009D7635">
        <w:rPr>
          <w:rFonts w:ascii="Times New Roman" w:hAnsi="Times New Roman" w:cs="Times New Roman"/>
          <w:i/>
          <w:color w:val="000000" w:themeColor="text1"/>
          <w:sz w:val="20"/>
          <w:szCs w:val="20"/>
        </w:rPr>
        <w:t xml:space="preserve"> est. </w:t>
      </w:r>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Corporeality can be defined in two ways, either absolutely or by reason of some condition or relation. If it is said absolutely, then the human soul is not corporeal but incorporeal. However, it is called corporeal [because], insofar as [it is embodied], it is somehow circumscribed and has a defined location by contrast to God who is entirely </w:t>
      </w:r>
      <w:proofErr w:type="spellStart"/>
      <w:r w:rsidRPr="009D7635">
        <w:rPr>
          <w:rFonts w:ascii="Times New Roman" w:hAnsi="Times New Roman" w:cs="Times New Roman"/>
          <w:color w:val="000000" w:themeColor="text1"/>
          <w:sz w:val="20"/>
          <w:szCs w:val="20"/>
        </w:rPr>
        <w:t>uncircumscribable</w:t>
      </w:r>
      <w:proofErr w:type="spellEnd"/>
      <w:r w:rsidRPr="009D7635">
        <w:rPr>
          <w:rFonts w:ascii="Times New Roman" w:hAnsi="Times New Roman" w:cs="Times New Roman"/>
          <w:color w:val="000000" w:themeColor="text1"/>
          <w:sz w:val="20"/>
          <w:szCs w:val="20"/>
        </w:rPr>
        <w:t>.’</w:t>
      </w:r>
    </w:p>
  </w:footnote>
  <w:footnote w:id="299">
    <w:p w14:paraId="232015E1" w14:textId="4653640B" w:rsidR="00B93ED5" w:rsidRPr="009D7635" w:rsidRDefault="00B93ED5" w:rsidP="007C038D">
      <w:pPr>
        <w:pStyle w:val="FootnoteText"/>
        <w:rPr>
          <w:rFonts w:ascii="Times New Roman" w:hAnsi="Times New Roman" w:cs="Times New Roman"/>
          <w:bCs/>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bCs/>
          <w:color w:val="000000" w:themeColor="text1"/>
        </w:rPr>
        <w:t xml:space="preserve">D.A. Callus and R.W. Hunt, eds., </w:t>
      </w:r>
      <w:proofErr w:type="spellStart"/>
      <w:r w:rsidRPr="009D7635">
        <w:rPr>
          <w:rFonts w:ascii="Times New Roman" w:hAnsi="Times New Roman" w:cs="Times New Roman"/>
          <w:bCs/>
          <w:i/>
          <w:iCs/>
          <w:color w:val="000000" w:themeColor="text1"/>
        </w:rPr>
        <w:t>Iohannes</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Blund</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Tractatus</w:t>
      </w:r>
      <w:proofErr w:type="spellEnd"/>
      <w:r w:rsidRPr="009D7635">
        <w:rPr>
          <w:rFonts w:ascii="Times New Roman" w:hAnsi="Times New Roman" w:cs="Times New Roman"/>
          <w:bCs/>
          <w:i/>
          <w:iCs/>
          <w:color w:val="000000" w:themeColor="text1"/>
        </w:rPr>
        <w:t xml:space="preserve"> De Anima</w:t>
      </w:r>
      <w:r w:rsidR="0066127F" w:rsidRPr="009D7635">
        <w:rPr>
          <w:rFonts w:ascii="Times New Roman" w:hAnsi="Times New Roman" w:cs="Times New Roman"/>
          <w:bCs/>
          <w:color w:val="000000" w:themeColor="text1"/>
        </w:rPr>
        <w:t xml:space="preserve"> </w:t>
      </w:r>
      <w:r w:rsidRPr="009D7635">
        <w:rPr>
          <w:rFonts w:ascii="Times New Roman" w:hAnsi="Times New Roman" w:cs="Times New Roman"/>
          <w:bCs/>
          <w:color w:val="000000" w:themeColor="text1"/>
        </w:rPr>
        <w:t xml:space="preserve">(London: British Academy, 1970), </w:t>
      </w:r>
      <w:r w:rsidRPr="009D7635">
        <w:rPr>
          <w:rFonts w:ascii="Times New Roman" w:hAnsi="Times New Roman" w:cs="Times New Roman"/>
          <w:color w:val="000000" w:themeColor="text1"/>
        </w:rPr>
        <w:t>18-19.</w:t>
      </w:r>
    </w:p>
  </w:footnote>
  <w:footnote w:id="300">
    <w:p w14:paraId="20F41655" w14:textId="15C50159"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Summa de anima</w:t>
      </w:r>
      <w:r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rPr>
        <w:t xml:space="preserve"> 56</w:t>
      </w:r>
      <w:r w:rsidR="0082265F" w:rsidRPr="009D7635">
        <w:rPr>
          <w:rFonts w:ascii="Times New Roman" w:hAnsi="Times New Roman" w:cs="Times New Roman"/>
          <w:color w:val="000000" w:themeColor="text1"/>
          <w:sz w:val="20"/>
          <w:szCs w:val="20"/>
        </w:rPr>
        <w:t>.</w:t>
      </w:r>
    </w:p>
  </w:footnote>
  <w:footnote w:id="301">
    <w:p w14:paraId="4F097A31" w14:textId="43985E25"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926148" w:rsidRPr="009D7635">
        <w:rPr>
          <w:rFonts w:ascii="Times New Roman" w:hAnsi="Times New Roman" w:cs="Times New Roman"/>
          <w:iCs/>
          <w:color w:val="000000" w:themeColor="text1"/>
          <w:lang w:val="en-US"/>
        </w:rPr>
        <w:t>Ibid.,</w:t>
      </w:r>
      <w:r w:rsidRPr="009D7635">
        <w:rPr>
          <w:rFonts w:ascii="Times New Roman" w:hAnsi="Times New Roman" w:cs="Times New Roman"/>
          <w:color w:val="000000" w:themeColor="text1"/>
          <w:lang w:val="en-US"/>
        </w:rPr>
        <w:t xml:space="preserve"> 80; c</w:t>
      </w:r>
      <w:r w:rsidRPr="009D7635">
        <w:rPr>
          <w:rFonts w:ascii="Times New Roman" w:hAnsi="Times New Roman" w:cs="Times New Roman"/>
          <w:color w:val="000000" w:themeColor="text1"/>
        </w:rPr>
        <w:t>f.</w:t>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S1, Q1, C2, </w:t>
      </w:r>
      <w:proofErr w:type="spellStart"/>
      <w:r w:rsidRPr="009D7635">
        <w:rPr>
          <w:rFonts w:ascii="Times New Roman" w:hAnsi="Times New Roman" w:cs="Times New Roman"/>
          <w:color w:val="000000" w:themeColor="text1"/>
        </w:rPr>
        <w:t>Respondeo</w:t>
      </w:r>
      <w:proofErr w:type="spellEnd"/>
      <w:r w:rsidRPr="009D7635">
        <w:rPr>
          <w:rFonts w:ascii="Times New Roman" w:hAnsi="Times New Roman" w:cs="Times New Roman"/>
          <w:color w:val="000000" w:themeColor="text1"/>
        </w:rPr>
        <w:t xml:space="preserve"> 2, </w:t>
      </w:r>
      <w:r w:rsidRPr="009D7635">
        <w:rPr>
          <w:rFonts w:ascii="Times New Roman" w:hAnsi="Times New Roman" w:cs="Times New Roman"/>
          <w:color w:val="000000" w:themeColor="text1"/>
          <w:lang w:val="en-US"/>
        </w:rPr>
        <w:t>385:</w:t>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Quod </w:t>
      </w:r>
      <w:proofErr w:type="spellStart"/>
      <w:r w:rsidRPr="009D7635">
        <w:rPr>
          <w:rFonts w:ascii="Times New Roman" w:hAnsi="Times New Roman" w:cs="Times New Roman"/>
          <w:i/>
          <w:color w:val="000000" w:themeColor="text1"/>
        </w:rPr>
        <w:t>autem</w:t>
      </w:r>
      <w:proofErr w:type="spellEnd"/>
      <w:r w:rsidRPr="009D7635">
        <w:rPr>
          <w:rFonts w:ascii="Times New Roman" w:hAnsi="Times New Roman" w:cs="Times New Roman"/>
          <w:i/>
          <w:color w:val="000000" w:themeColor="text1"/>
        </w:rPr>
        <w:t xml:space="preserve"> sit </w:t>
      </w:r>
      <w:proofErr w:type="spellStart"/>
      <w:r w:rsidRPr="009D7635">
        <w:rPr>
          <w:rFonts w:ascii="Times New Roman" w:hAnsi="Times New Roman" w:cs="Times New Roman"/>
          <w:i/>
          <w:color w:val="000000" w:themeColor="text1"/>
        </w:rPr>
        <w:t>substantia</w:t>
      </w:r>
      <w:proofErr w:type="spellEnd"/>
      <w:r w:rsidRPr="009D7635">
        <w:rPr>
          <w:rFonts w:ascii="Times New Roman" w:hAnsi="Times New Roman" w:cs="Times New Roman"/>
          <w:i/>
          <w:color w:val="000000" w:themeColor="text1"/>
        </w:rPr>
        <w:t xml:space="preserve"> non </w:t>
      </w:r>
      <w:proofErr w:type="spellStart"/>
      <w:r w:rsidRPr="009D7635">
        <w:rPr>
          <w:rFonts w:ascii="Times New Roman" w:hAnsi="Times New Roman" w:cs="Times New Roman"/>
          <w:i/>
          <w:color w:val="000000" w:themeColor="text1"/>
        </w:rPr>
        <w:t>tantum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ut</w:t>
      </w:r>
      <w:proofErr w:type="spellEnd"/>
      <w:r w:rsidRPr="009D7635">
        <w:rPr>
          <w:rFonts w:ascii="Times New Roman" w:hAnsi="Times New Roman" w:cs="Times New Roman"/>
          <w:i/>
          <w:color w:val="000000" w:themeColor="text1"/>
        </w:rPr>
        <w:t xml:space="preserve"> forma </w:t>
      </w:r>
      <w:proofErr w:type="spellStart"/>
      <w:r w:rsidRPr="009D7635">
        <w:rPr>
          <w:rFonts w:ascii="Times New Roman" w:hAnsi="Times New Roman" w:cs="Times New Roman"/>
          <w:i/>
          <w:color w:val="000000" w:themeColor="text1"/>
        </w:rPr>
        <w:t>substantialis</w:t>
      </w:r>
      <w:proofErr w:type="spellEnd"/>
      <w:r w:rsidRPr="009D7635">
        <w:rPr>
          <w:rFonts w:ascii="Times New Roman" w:hAnsi="Times New Roman" w:cs="Times New Roman"/>
          <w:i/>
          <w:color w:val="000000" w:themeColor="text1"/>
        </w:rPr>
        <w:t xml:space="preserve"> sed </w:t>
      </w:r>
      <w:proofErr w:type="spellStart"/>
      <w:r w:rsidRPr="009D7635">
        <w:rPr>
          <w:rFonts w:ascii="Times New Roman" w:hAnsi="Times New Roman" w:cs="Times New Roman"/>
          <w:i/>
          <w:color w:val="000000" w:themeColor="text1"/>
        </w:rPr>
        <w:t>ut</w:t>
      </w:r>
      <w:proofErr w:type="spellEnd"/>
      <w:r w:rsidRPr="009D7635">
        <w:rPr>
          <w:rFonts w:ascii="Times New Roman" w:hAnsi="Times New Roman" w:cs="Times New Roman"/>
          <w:i/>
          <w:color w:val="000000" w:themeColor="text1"/>
        </w:rPr>
        <w:t xml:space="preserve"> quid ens in se, </w:t>
      </w:r>
      <w:proofErr w:type="spellStart"/>
      <w:r w:rsidRPr="009D7635">
        <w:rPr>
          <w:rFonts w:ascii="Times New Roman" w:hAnsi="Times New Roman" w:cs="Times New Roman"/>
          <w:i/>
          <w:color w:val="000000" w:themeColor="text1"/>
        </w:rPr>
        <w:t>praeter</w:t>
      </w:r>
      <w:proofErr w:type="spellEnd"/>
      <w:r w:rsidRPr="009D7635">
        <w:rPr>
          <w:rFonts w:ascii="Times New Roman" w:hAnsi="Times New Roman" w:cs="Times New Roman"/>
          <w:i/>
          <w:color w:val="000000" w:themeColor="text1"/>
        </w:rPr>
        <w:t xml:space="preserve"> hoc quod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actus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corporis</w:t>
      </w:r>
      <w:proofErr w:type="spellEnd"/>
      <w:r w:rsidRPr="009D7635">
        <w:rPr>
          <w:rFonts w:ascii="Times New Roman" w:hAnsi="Times New Roman" w:cs="Times New Roman"/>
          <w:i/>
          <w:color w:val="000000" w:themeColor="text1"/>
        </w:rPr>
        <w:t>.</w:t>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The </w:t>
      </w:r>
      <w:r w:rsidRPr="009D7635">
        <w:rPr>
          <w:rFonts w:ascii="Times New Roman" w:hAnsi="Times New Roman" w:cs="Times New Roman"/>
          <w:color w:val="000000" w:themeColor="text1"/>
        </w:rPr>
        <w:t xml:space="preserve">soul is not only a substantial form of the body but also a being in itself beyond being the </w:t>
      </w:r>
      <w:proofErr w:type="spellStart"/>
      <w:r w:rsidRPr="009D7635">
        <w:rPr>
          <w:rFonts w:ascii="Times New Roman" w:hAnsi="Times New Roman" w:cs="Times New Roman"/>
          <w:color w:val="000000" w:themeColor="text1"/>
        </w:rPr>
        <w:t>actualization</w:t>
      </w:r>
      <w:proofErr w:type="spellEnd"/>
      <w:r w:rsidRPr="009D7635">
        <w:rPr>
          <w:rFonts w:ascii="Times New Roman" w:hAnsi="Times New Roman" w:cs="Times New Roman"/>
          <w:color w:val="000000" w:themeColor="text1"/>
        </w:rPr>
        <w:t xml:space="preserve"> of the body.’ Also, </w:t>
      </w:r>
      <w:proofErr w:type="spellStart"/>
      <w:r w:rsidRPr="009D7635">
        <w:rPr>
          <w:rFonts w:ascii="Times New Roman" w:hAnsi="Times New Roman" w:cs="Times New Roman"/>
          <w:color w:val="000000" w:themeColor="text1"/>
        </w:rPr>
        <w:t>Respondeo</w:t>
      </w:r>
      <w:proofErr w:type="spellEnd"/>
      <w:r w:rsidRPr="009D7635">
        <w:rPr>
          <w:rFonts w:ascii="Times New Roman" w:hAnsi="Times New Roman" w:cs="Times New Roman"/>
          <w:color w:val="000000" w:themeColor="text1"/>
        </w:rPr>
        <w:t xml:space="preserve"> 2c, 386: states that the soul perfects itself and not merely matter; thus it is beyond matter.</w:t>
      </w:r>
    </w:p>
  </w:footnote>
  <w:footnote w:id="302">
    <w:p w14:paraId="39A1964C" w14:textId="0AB83C74"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 Callus, ‘The Treatise of John </w:t>
      </w:r>
      <w:proofErr w:type="spellStart"/>
      <w:r w:rsidRPr="009D7635">
        <w:rPr>
          <w:rFonts w:ascii="Times New Roman" w:hAnsi="Times New Roman" w:cs="Times New Roman"/>
          <w:color w:val="000000" w:themeColor="text1"/>
        </w:rPr>
        <w:t>Blund</w:t>
      </w:r>
      <w:proofErr w:type="spellEnd"/>
      <w:r w:rsidRPr="009D7635">
        <w:rPr>
          <w:rFonts w:ascii="Times New Roman" w:hAnsi="Times New Roman" w:cs="Times New Roman"/>
          <w:color w:val="000000" w:themeColor="text1"/>
        </w:rPr>
        <w:t xml:space="preserve"> on the Soul,’ in </w:t>
      </w:r>
      <w:proofErr w:type="spellStart"/>
      <w:r w:rsidRPr="009D7635">
        <w:rPr>
          <w:rFonts w:ascii="Times New Roman" w:hAnsi="Times New Roman" w:cs="Times New Roman"/>
          <w:i/>
          <w:color w:val="000000" w:themeColor="text1"/>
        </w:rPr>
        <w:t>Autour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d’Aristot</w:t>
      </w:r>
      <w:r w:rsidR="0066127F" w:rsidRPr="009D7635">
        <w:rPr>
          <w:rFonts w:ascii="Times New Roman" w:hAnsi="Times New Roman" w:cs="Times New Roman"/>
          <w:i/>
          <w:color w:val="000000" w:themeColor="text1"/>
        </w:rPr>
        <w:t>e</w:t>
      </w:r>
      <w:proofErr w:type="spellEnd"/>
      <w:r w:rsidR="0066127F" w:rsidRPr="009D7635">
        <w:rPr>
          <w:rFonts w:ascii="Times New Roman" w:hAnsi="Times New Roman" w:cs="Times New Roman"/>
          <w:i/>
          <w:color w:val="000000" w:themeColor="text1"/>
        </w:rPr>
        <w:t>:</w:t>
      </w:r>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Recueil</w:t>
      </w:r>
      <w:proofErr w:type="spellEnd"/>
      <w:r w:rsidRPr="009D7635">
        <w:rPr>
          <w:rFonts w:ascii="Times New Roman" w:hAnsi="Times New Roman" w:cs="Times New Roman"/>
          <w:i/>
          <w:color w:val="000000" w:themeColor="text1"/>
        </w:rPr>
        <w:t xml:space="preserve"> d’Etudes de Philosophie </w:t>
      </w:r>
      <w:proofErr w:type="spellStart"/>
      <w:r w:rsidRPr="009D7635">
        <w:rPr>
          <w:rFonts w:ascii="Times New Roman" w:hAnsi="Times New Roman" w:cs="Times New Roman"/>
          <w:i/>
          <w:color w:val="000000" w:themeColor="text1"/>
        </w:rPr>
        <w:t>ancienne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médiévale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affert</w:t>
      </w:r>
      <w:proofErr w:type="spellEnd"/>
      <w:r w:rsidRPr="009D7635">
        <w:rPr>
          <w:rFonts w:ascii="Times New Roman" w:hAnsi="Times New Roman" w:cs="Times New Roman"/>
          <w:i/>
          <w:color w:val="000000" w:themeColor="text1"/>
        </w:rPr>
        <w:t xml:space="preserve"> à Monseigneur A. Mansion </w:t>
      </w:r>
      <w:r w:rsidRPr="009D7635">
        <w:rPr>
          <w:rFonts w:ascii="Times New Roman" w:hAnsi="Times New Roman" w:cs="Times New Roman"/>
          <w:color w:val="000000" w:themeColor="text1"/>
        </w:rPr>
        <w:t>(</w:t>
      </w:r>
      <w:proofErr w:type="spellStart"/>
      <w:r w:rsidRPr="009D7635">
        <w:rPr>
          <w:rFonts w:ascii="Times New Roman" w:hAnsi="Times New Roman" w:cs="Times New Roman"/>
          <w:color w:val="000000" w:themeColor="text1"/>
        </w:rPr>
        <w:t>Louvain</w:t>
      </w:r>
      <w:proofErr w:type="spellEnd"/>
      <w:r w:rsidRPr="009D7635">
        <w:rPr>
          <w:rFonts w:ascii="Times New Roman" w:hAnsi="Times New Roman" w:cs="Times New Roman"/>
          <w:color w:val="000000" w:themeColor="text1"/>
        </w:rPr>
        <w:t xml:space="preserve">, 1955), 486 in 471-95; </w:t>
      </w:r>
      <w:r w:rsidRPr="009D7635">
        <w:rPr>
          <w:rFonts w:ascii="Times New Roman" w:hAnsi="Times New Roman" w:cs="Times New Roman"/>
          <w:bCs/>
          <w:color w:val="000000" w:themeColor="text1"/>
        </w:rPr>
        <w:t>D.A. Callus and R.W. Hunt</w:t>
      </w:r>
      <w:r w:rsidR="00585C4E" w:rsidRPr="009D7635">
        <w:rPr>
          <w:rFonts w:ascii="Times New Roman" w:hAnsi="Times New Roman" w:cs="Times New Roman"/>
          <w:bCs/>
          <w:color w:val="000000" w:themeColor="text1"/>
        </w:rPr>
        <w:t xml:space="preserve"> (</w:t>
      </w:r>
      <w:r w:rsidRPr="009D7635">
        <w:rPr>
          <w:rFonts w:ascii="Times New Roman" w:hAnsi="Times New Roman" w:cs="Times New Roman"/>
          <w:bCs/>
          <w:color w:val="000000" w:themeColor="text1"/>
        </w:rPr>
        <w:t>eds.</w:t>
      </w:r>
      <w:r w:rsidR="00585C4E" w:rsidRPr="009D7635">
        <w:rPr>
          <w:rFonts w:ascii="Times New Roman" w:hAnsi="Times New Roman" w:cs="Times New Roman"/>
          <w:bCs/>
          <w:color w:val="000000" w:themeColor="text1"/>
        </w:rPr>
        <w:t>)</w:t>
      </w:r>
      <w:r w:rsidRPr="009D7635">
        <w:rPr>
          <w:rFonts w:ascii="Times New Roman" w:hAnsi="Times New Roman" w:cs="Times New Roman"/>
          <w:bCs/>
          <w:color w:val="000000" w:themeColor="text1"/>
        </w:rPr>
        <w:t xml:space="preserve">, </w:t>
      </w:r>
      <w:proofErr w:type="spellStart"/>
      <w:r w:rsidRPr="009D7635">
        <w:rPr>
          <w:rFonts w:ascii="Times New Roman" w:hAnsi="Times New Roman" w:cs="Times New Roman"/>
          <w:bCs/>
          <w:i/>
          <w:iCs/>
          <w:color w:val="000000" w:themeColor="text1"/>
        </w:rPr>
        <w:t>Iohannes</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Blund</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Tractatus</w:t>
      </w:r>
      <w:proofErr w:type="spellEnd"/>
      <w:r w:rsidRPr="009D7635">
        <w:rPr>
          <w:rFonts w:ascii="Times New Roman" w:hAnsi="Times New Roman" w:cs="Times New Roman"/>
          <w:bCs/>
          <w:i/>
          <w:iCs/>
          <w:color w:val="000000" w:themeColor="text1"/>
        </w:rPr>
        <w:t xml:space="preserve"> De Anima</w:t>
      </w:r>
      <w:r w:rsidRPr="009D7635">
        <w:rPr>
          <w:rFonts w:ascii="Times New Roman" w:hAnsi="Times New Roman" w:cs="Times New Roman"/>
          <w:bCs/>
          <w:color w:val="000000" w:themeColor="text1"/>
        </w:rPr>
        <w:t>,</w:t>
      </w:r>
      <w:r w:rsidRPr="009D7635">
        <w:rPr>
          <w:rFonts w:ascii="Times New Roman" w:hAnsi="Times New Roman" w:cs="Times New Roman"/>
          <w:bCs/>
          <w:i/>
          <w:iCs/>
          <w:color w:val="000000" w:themeColor="text1"/>
        </w:rPr>
        <w:t xml:space="preserve"> </w:t>
      </w:r>
      <w:r w:rsidRPr="009D7635">
        <w:rPr>
          <w:rFonts w:ascii="Times New Roman" w:hAnsi="Times New Roman" w:cs="Times New Roman"/>
          <w:color w:val="000000" w:themeColor="text1"/>
        </w:rPr>
        <w:t>3.</w:t>
      </w:r>
    </w:p>
  </w:footnote>
  <w:footnote w:id="303">
    <w:p w14:paraId="070FBC0D" w14:textId="5EA3B121" w:rsidR="00B93ED5" w:rsidRPr="009D7635" w:rsidRDefault="00B93ED5" w:rsidP="007C038D">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42D1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S1, Q1, C2,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2a, 386a: </w:t>
      </w:r>
      <w:r w:rsidRPr="009D7635">
        <w:rPr>
          <w:rFonts w:ascii="Times New Roman" w:hAnsi="Times New Roman" w:cs="Times New Roman"/>
          <w:i/>
          <w:color w:val="000000" w:themeColor="text1"/>
          <w:sz w:val="20"/>
          <w:szCs w:val="20"/>
          <w:lang w:val="en-US"/>
        </w:rPr>
        <w:t xml:space="preserve">Quod </w:t>
      </w:r>
      <w:proofErr w:type="spellStart"/>
      <w:r w:rsidRPr="009D7635">
        <w:rPr>
          <w:rFonts w:ascii="Times New Roman" w:hAnsi="Times New Roman" w:cs="Times New Roman"/>
          <w:i/>
          <w:color w:val="000000" w:themeColor="text1"/>
          <w:sz w:val="20"/>
          <w:szCs w:val="20"/>
          <w:lang w:val="en-US"/>
        </w:rPr>
        <w:t>movens</w:t>
      </w:r>
      <w:proofErr w:type="spellEnd"/>
      <w:r w:rsidRPr="009D7635">
        <w:rPr>
          <w:rFonts w:ascii="Times New Roman" w:hAnsi="Times New Roman" w:cs="Times New Roman"/>
          <w:i/>
          <w:color w:val="000000" w:themeColor="text1"/>
          <w:sz w:val="20"/>
          <w:szCs w:val="20"/>
          <w:lang w:val="en-US"/>
        </w:rPr>
        <w:t xml:space="preserve"> per se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distinctum</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essentiam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mobili</w:t>
      </w:r>
      <w:proofErr w:type="spellEnd"/>
      <w:r w:rsidRPr="009D7635">
        <w:rPr>
          <w:rFonts w:ascii="Times New Roman" w:hAnsi="Times New Roman" w:cs="Times New Roman"/>
          <w:i/>
          <w:color w:val="000000" w:themeColor="text1"/>
          <w:sz w:val="20"/>
          <w:szCs w:val="20"/>
          <w:lang w:val="en-US"/>
        </w:rPr>
        <w:t xml:space="preserve"> sed anima </w:t>
      </w:r>
      <w:proofErr w:type="spellStart"/>
      <w:r w:rsidRPr="009D7635">
        <w:rPr>
          <w:rFonts w:ascii="Times New Roman" w:hAnsi="Times New Roman" w:cs="Times New Roman"/>
          <w:i/>
          <w:color w:val="000000" w:themeColor="text1"/>
          <w:sz w:val="20"/>
          <w:szCs w:val="20"/>
          <w:lang w:val="en-US"/>
        </w:rPr>
        <w:t>movet</w:t>
      </w:r>
      <w:proofErr w:type="spellEnd"/>
      <w:r w:rsidRPr="009D7635">
        <w:rPr>
          <w:rFonts w:ascii="Times New Roman" w:hAnsi="Times New Roman" w:cs="Times New Roman"/>
          <w:i/>
          <w:color w:val="000000" w:themeColor="text1"/>
          <w:sz w:val="20"/>
          <w:szCs w:val="20"/>
          <w:lang w:val="en-US"/>
        </w:rPr>
        <w:t xml:space="preserve"> corpus; ergo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distincta</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essentiam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ergo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praeter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corporis</w:t>
      </w:r>
      <w:proofErr w:type="spellEnd"/>
      <w:r w:rsidRPr="009D7635">
        <w:rPr>
          <w:rFonts w:ascii="Times New Roman" w:hAnsi="Times New Roman" w:cs="Times New Roman"/>
          <w:i/>
          <w:color w:val="000000" w:themeColor="text1"/>
          <w:sz w:val="20"/>
          <w:szCs w:val="20"/>
          <w:lang w:val="en-US"/>
        </w:rPr>
        <w:t xml:space="preserve">. </w:t>
      </w:r>
    </w:p>
  </w:footnote>
  <w:footnote w:id="304">
    <w:p w14:paraId="01ADFB6B" w14:textId="4B93B337" w:rsidR="00B93ED5" w:rsidRPr="009D7635" w:rsidRDefault="00B93ED5" w:rsidP="007C038D">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42D1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S1, Q1, C2,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2b, 386</w:t>
      </w:r>
      <w:r w:rsidRPr="009D7635">
        <w:rPr>
          <w:rFonts w:ascii="Times New Roman" w:hAnsi="Times New Roman" w:cs="Times New Roman"/>
          <w:color w:val="000000" w:themeColor="text1"/>
          <w:sz w:val="20"/>
          <w:szCs w:val="20"/>
          <w:lang w:val="en-US"/>
        </w:rPr>
        <w:t xml:space="preserve">, citing Aristotle </w:t>
      </w:r>
      <w:r w:rsidRPr="009D7635">
        <w:rPr>
          <w:rFonts w:ascii="Times New Roman" w:hAnsi="Times New Roman" w:cs="Times New Roman"/>
          <w:i/>
          <w:color w:val="000000" w:themeColor="text1"/>
          <w:sz w:val="20"/>
          <w:szCs w:val="20"/>
          <w:lang w:val="en-US"/>
        </w:rPr>
        <w:t xml:space="preserve">De anima </w:t>
      </w:r>
      <w:r w:rsidRPr="009D7635">
        <w:rPr>
          <w:rFonts w:ascii="Times New Roman" w:hAnsi="Times New Roman" w:cs="Times New Roman"/>
          <w:color w:val="000000" w:themeColor="text1"/>
          <w:sz w:val="20"/>
          <w:szCs w:val="20"/>
          <w:lang w:val="en-US"/>
        </w:rPr>
        <w:t xml:space="preserve">II.1: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ad corpus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nauta</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navim</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nauta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dividitur</w:t>
      </w:r>
      <w:proofErr w:type="spellEnd"/>
      <w:r w:rsidRPr="009D7635">
        <w:rPr>
          <w:rFonts w:ascii="Times New Roman" w:hAnsi="Times New Roman" w:cs="Times New Roman"/>
          <w:i/>
          <w:color w:val="000000" w:themeColor="text1"/>
          <w:sz w:val="20"/>
          <w:szCs w:val="20"/>
          <w:lang w:val="en-US"/>
        </w:rPr>
        <w:t xml:space="preserve"> a navi, cum </w:t>
      </w:r>
      <w:proofErr w:type="spellStart"/>
      <w:r w:rsidRPr="009D7635">
        <w:rPr>
          <w:rFonts w:ascii="Times New Roman" w:hAnsi="Times New Roman" w:cs="Times New Roman"/>
          <w:i/>
          <w:color w:val="000000" w:themeColor="text1"/>
          <w:sz w:val="20"/>
          <w:szCs w:val="20"/>
          <w:lang w:val="en-US"/>
        </w:rPr>
        <w:t>movet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navim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accidens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movetur</w:t>
      </w:r>
      <w:proofErr w:type="spellEnd"/>
      <w:r w:rsidRPr="009D7635">
        <w:rPr>
          <w:rFonts w:ascii="Times New Roman" w:hAnsi="Times New Roman" w:cs="Times New Roman"/>
          <w:i/>
          <w:color w:val="000000" w:themeColor="text1"/>
          <w:sz w:val="20"/>
          <w:szCs w:val="20"/>
          <w:lang w:val="en-US"/>
        </w:rPr>
        <w:t xml:space="preserve">; ergo anima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dividitur</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movetur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accidens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movetur</w:t>
      </w:r>
      <w:proofErr w:type="spellEnd"/>
      <w:r w:rsidRPr="009D7635">
        <w:rPr>
          <w:rFonts w:ascii="Times New Roman" w:hAnsi="Times New Roman" w:cs="Times New Roman"/>
          <w:i/>
          <w:color w:val="000000" w:themeColor="text1"/>
          <w:sz w:val="20"/>
          <w:szCs w:val="20"/>
          <w:lang w:val="en-US"/>
        </w:rPr>
        <w:t xml:space="preserve">, ergo anima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dividitur</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movetur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accidens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movetur</w:t>
      </w:r>
      <w:proofErr w:type="spellEnd"/>
      <w:r w:rsidRPr="009D7635">
        <w:rPr>
          <w:rFonts w:ascii="Times New Roman" w:hAnsi="Times New Roman" w:cs="Times New Roman"/>
          <w:i/>
          <w:color w:val="000000" w:themeColor="text1"/>
          <w:sz w:val="20"/>
          <w:szCs w:val="20"/>
          <w:lang w:val="en-US"/>
        </w:rPr>
        <w:t xml:space="preserve">; ergo, 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praeter</w:t>
      </w:r>
      <w:proofErr w:type="spellEnd"/>
      <w:r w:rsidRPr="009D7635">
        <w:rPr>
          <w:rFonts w:ascii="Times New Roman" w:hAnsi="Times New Roman" w:cs="Times New Roman"/>
          <w:i/>
          <w:color w:val="000000" w:themeColor="text1"/>
          <w:sz w:val="20"/>
          <w:szCs w:val="20"/>
          <w:lang w:val="en-US"/>
        </w:rPr>
        <w:t xml:space="preserve"> corpus. </w:t>
      </w:r>
    </w:p>
  </w:footnote>
  <w:footnote w:id="305">
    <w:p w14:paraId="0A92F04C"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color w:val="000000" w:themeColor="text1"/>
        </w:rPr>
        <w:t>, 80.</w:t>
      </w:r>
    </w:p>
  </w:footnote>
  <w:footnote w:id="306">
    <w:p w14:paraId="42193E79" w14:textId="08423AB6"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0D5C84" w:rsidRPr="009D7635">
        <w:rPr>
          <w:rFonts w:ascii="Times New Roman" w:hAnsi="Times New Roman" w:cs="Times New Roman"/>
          <w:iCs/>
          <w:color w:val="000000" w:themeColor="text1"/>
          <w:sz w:val="20"/>
          <w:szCs w:val="20"/>
        </w:rPr>
        <w:t>Ibid.,</w:t>
      </w:r>
      <w:r w:rsidRPr="009D7635">
        <w:rPr>
          <w:rFonts w:ascii="Times New Roman" w:hAnsi="Times New Roman" w:cs="Times New Roman"/>
          <w:color w:val="000000" w:themeColor="text1"/>
          <w:sz w:val="20"/>
          <w:szCs w:val="20"/>
        </w:rPr>
        <w:t xml:space="preserve"> 51: </w:t>
      </w:r>
      <w:proofErr w:type="spellStart"/>
      <w:r w:rsidRPr="009D7635">
        <w:rPr>
          <w:rFonts w:ascii="Times New Roman" w:hAnsi="Times New Roman" w:cs="Times New Roman"/>
          <w:i/>
          <w:color w:val="000000" w:themeColor="text1"/>
          <w:sz w:val="20"/>
          <w:szCs w:val="20"/>
        </w:rPr>
        <w:t>Posito</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subito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esset</w:t>
      </w:r>
      <w:proofErr w:type="spellEnd"/>
      <w:r w:rsidRPr="009D7635">
        <w:rPr>
          <w:rFonts w:ascii="Times New Roman" w:hAnsi="Times New Roman" w:cs="Times New Roman"/>
          <w:i/>
          <w:color w:val="000000" w:themeColor="text1"/>
          <w:sz w:val="20"/>
          <w:szCs w:val="20"/>
        </w:rPr>
        <w:t xml:space="preserve"> homo </w:t>
      </w:r>
      <w:proofErr w:type="spellStart"/>
      <w:r w:rsidRPr="009D7635">
        <w:rPr>
          <w:rFonts w:ascii="Times New Roman" w:hAnsi="Times New Roman" w:cs="Times New Roman"/>
          <w:i/>
          <w:color w:val="000000" w:themeColor="text1"/>
          <w:sz w:val="20"/>
          <w:szCs w:val="20"/>
        </w:rPr>
        <w:t>creatus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perfectus</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velato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visu</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suo</w:t>
      </w:r>
      <w:proofErr w:type="spellEnd"/>
      <w:r w:rsidRPr="009D7635">
        <w:rPr>
          <w:rFonts w:ascii="Times New Roman" w:hAnsi="Times New Roman" w:cs="Times New Roman"/>
          <w:i/>
          <w:color w:val="000000" w:themeColor="text1"/>
          <w:sz w:val="20"/>
          <w:szCs w:val="20"/>
        </w:rPr>
        <w:t xml:space="preserve">, non </w:t>
      </w:r>
      <w:proofErr w:type="spellStart"/>
      <w:r w:rsidRPr="009D7635">
        <w:rPr>
          <w:rFonts w:ascii="Times New Roman" w:hAnsi="Times New Roman" w:cs="Times New Roman"/>
          <w:i/>
          <w:color w:val="000000" w:themeColor="text1"/>
          <w:sz w:val="20"/>
          <w:szCs w:val="20"/>
        </w:rPr>
        <w:t>videret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exteriora</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taliter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creatus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esset</w:t>
      </w:r>
      <w:proofErr w:type="spellEnd"/>
      <w:r w:rsidRPr="009D7635">
        <w:rPr>
          <w:rFonts w:ascii="Times New Roman" w:hAnsi="Times New Roman" w:cs="Times New Roman"/>
          <w:i/>
          <w:color w:val="000000" w:themeColor="text1"/>
          <w:sz w:val="20"/>
          <w:szCs w:val="20"/>
        </w:rPr>
        <w:t xml:space="preserve"> quod non </w:t>
      </w:r>
      <w:proofErr w:type="spellStart"/>
      <w:r w:rsidRPr="009D7635">
        <w:rPr>
          <w:rFonts w:ascii="Times New Roman" w:hAnsi="Times New Roman" w:cs="Times New Roman"/>
          <w:i/>
          <w:color w:val="000000" w:themeColor="text1"/>
          <w:sz w:val="20"/>
          <w:szCs w:val="20"/>
        </w:rPr>
        <w:t>tangeret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spissitudo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aeris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quam</w:t>
      </w:r>
      <w:proofErr w:type="spellEnd"/>
      <w:r w:rsidRPr="009D7635">
        <w:rPr>
          <w:rFonts w:ascii="Times New Roman" w:hAnsi="Times New Roman" w:cs="Times New Roman"/>
          <w:i/>
          <w:color w:val="000000" w:themeColor="text1"/>
          <w:sz w:val="20"/>
          <w:szCs w:val="20"/>
        </w:rPr>
        <w:t xml:space="preserve"> ipse </w:t>
      </w:r>
      <w:proofErr w:type="spellStart"/>
      <w:r w:rsidRPr="009D7635">
        <w:rPr>
          <w:rFonts w:ascii="Times New Roman" w:hAnsi="Times New Roman" w:cs="Times New Roman"/>
          <w:i/>
          <w:color w:val="000000" w:themeColor="text1"/>
          <w:sz w:val="20"/>
          <w:szCs w:val="20"/>
        </w:rPr>
        <w:t>sentire</w:t>
      </w:r>
      <w:proofErr w:type="spellEnd"/>
      <w:r w:rsidRPr="009D7635">
        <w:rPr>
          <w:rFonts w:ascii="Times New Roman" w:hAnsi="Times New Roman" w:cs="Times New Roman"/>
          <w:i/>
          <w:color w:val="000000" w:themeColor="text1"/>
          <w:sz w:val="20"/>
          <w:szCs w:val="20"/>
        </w:rPr>
        <w:t xml:space="preserve"> posset, et </w:t>
      </w:r>
      <w:proofErr w:type="spellStart"/>
      <w:r w:rsidRPr="009D7635">
        <w:rPr>
          <w:rFonts w:ascii="Times New Roman" w:hAnsi="Times New Roman" w:cs="Times New Roman"/>
          <w:i/>
          <w:color w:val="000000" w:themeColor="text1"/>
          <w:sz w:val="20"/>
          <w:szCs w:val="20"/>
        </w:rPr>
        <w:t>membra</w:t>
      </w:r>
      <w:proofErr w:type="spellEnd"/>
      <w:r w:rsidRPr="009D7635">
        <w:rPr>
          <w:rFonts w:ascii="Times New Roman" w:hAnsi="Times New Roman" w:cs="Times New Roman"/>
          <w:i/>
          <w:color w:val="000000" w:themeColor="text1"/>
          <w:sz w:val="20"/>
          <w:szCs w:val="20"/>
        </w:rPr>
        <w:t xml:space="preserve"> sic </w:t>
      </w:r>
      <w:proofErr w:type="spellStart"/>
      <w:r w:rsidRPr="009D7635">
        <w:rPr>
          <w:rFonts w:ascii="Times New Roman" w:hAnsi="Times New Roman" w:cs="Times New Roman"/>
          <w:i/>
          <w:color w:val="000000" w:themeColor="text1"/>
          <w:sz w:val="20"/>
          <w:szCs w:val="20"/>
        </w:rPr>
        <w:t>essent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disiuncta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non </w:t>
      </w:r>
      <w:proofErr w:type="spellStart"/>
      <w:r w:rsidRPr="009D7635">
        <w:rPr>
          <w:rFonts w:ascii="Times New Roman" w:hAnsi="Times New Roman" w:cs="Times New Roman"/>
          <w:i/>
          <w:color w:val="000000" w:themeColor="text1"/>
          <w:sz w:val="20"/>
          <w:szCs w:val="20"/>
        </w:rPr>
        <w:t>concurrerent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sibi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neque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contingerent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constans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quod sic </w:t>
      </w:r>
      <w:proofErr w:type="spellStart"/>
      <w:r w:rsidRPr="009D7635">
        <w:rPr>
          <w:rFonts w:ascii="Times New Roman" w:hAnsi="Times New Roman" w:cs="Times New Roman"/>
          <w:i/>
          <w:color w:val="000000" w:themeColor="text1"/>
          <w:sz w:val="20"/>
          <w:szCs w:val="20"/>
        </w:rPr>
        <w:t>conditus</w:t>
      </w:r>
      <w:proofErr w:type="spellEnd"/>
      <w:r w:rsidRPr="009D7635">
        <w:rPr>
          <w:rFonts w:ascii="Times New Roman" w:hAnsi="Times New Roman" w:cs="Times New Roman"/>
          <w:i/>
          <w:color w:val="000000" w:themeColor="text1"/>
          <w:sz w:val="20"/>
          <w:szCs w:val="20"/>
        </w:rPr>
        <w:t xml:space="preserve"> homo, </w:t>
      </w:r>
      <w:proofErr w:type="spellStart"/>
      <w:r w:rsidRPr="009D7635">
        <w:rPr>
          <w:rFonts w:ascii="Times New Roman" w:hAnsi="Times New Roman" w:cs="Times New Roman"/>
          <w:i/>
          <w:color w:val="000000" w:themeColor="text1"/>
          <w:sz w:val="20"/>
          <w:szCs w:val="20"/>
        </w:rPr>
        <w:t>cogitans</w:t>
      </w:r>
      <w:proofErr w:type="spellEnd"/>
      <w:r w:rsidRPr="009D7635">
        <w:rPr>
          <w:rFonts w:ascii="Times New Roman" w:hAnsi="Times New Roman" w:cs="Times New Roman"/>
          <w:i/>
          <w:color w:val="000000" w:themeColor="text1"/>
          <w:sz w:val="20"/>
          <w:szCs w:val="20"/>
        </w:rPr>
        <w:t xml:space="preserve"> de se, non </w:t>
      </w:r>
      <w:proofErr w:type="spellStart"/>
      <w:r w:rsidRPr="009D7635">
        <w:rPr>
          <w:rFonts w:ascii="Times New Roman" w:hAnsi="Times New Roman" w:cs="Times New Roman"/>
          <w:i/>
          <w:color w:val="000000" w:themeColor="text1"/>
          <w:sz w:val="20"/>
          <w:szCs w:val="20"/>
        </w:rPr>
        <w:t>dubitaret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affirmare</w:t>
      </w:r>
      <w:proofErr w:type="spellEnd"/>
      <w:r w:rsidRPr="009D7635">
        <w:rPr>
          <w:rFonts w:ascii="Times New Roman" w:hAnsi="Times New Roman" w:cs="Times New Roman"/>
          <w:i/>
          <w:color w:val="000000" w:themeColor="text1"/>
          <w:sz w:val="20"/>
          <w:szCs w:val="20"/>
        </w:rPr>
        <w:t xml:space="preserve"> se </w:t>
      </w:r>
      <w:proofErr w:type="spellStart"/>
      <w:r w:rsidRPr="009D7635">
        <w:rPr>
          <w:rFonts w:ascii="Times New Roman" w:hAnsi="Times New Roman" w:cs="Times New Roman"/>
          <w:i/>
          <w:color w:val="000000" w:themeColor="text1"/>
          <w:sz w:val="20"/>
          <w:szCs w:val="20"/>
        </w:rPr>
        <w:t>esse</w:t>
      </w:r>
      <w:proofErr w:type="spellEnd"/>
      <w:r w:rsidRPr="009D7635">
        <w:rPr>
          <w:rFonts w:ascii="Times New Roman" w:hAnsi="Times New Roman" w:cs="Times New Roman"/>
          <w:i/>
          <w:color w:val="000000" w:themeColor="text1"/>
          <w:sz w:val="20"/>
          <w:szCs w:val="20"/>
        </w:rPr>
        <w:t xml:space="preserve">: non </w:t>
      </w:r>
      <w:proofErr w:type="spellStart"/>
      <w:r w:rsidRPr="009D7635">
        <w:rPr>
          <w:rFonts w:ascii="Times New Roman" w:hAnsi="Times New Roman" w:cs="Times New Roman"/>
          <w:i/>
          <w:color w:val="000000" w:themeColor="text1"/>
          <w:sz w:val="20"/>
          <w:szCs w:val="20"/>
        </w:rPr>
        <w:t>tamen</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affirmaret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exteriora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suorum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membrorum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vel</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occulta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suorum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interiorum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sicut</w:t>
      </w:r>
      <w:proofErr w:type="spellEnd"/>
      <w:r w:rsidRPr="009D7635">
        <w:rPr>
          <w:rFonts w:ascii="Times New Roman" w:hAnsi="Times New Roman" w:cs="Times New Roman"/>
          <w:i/>
          <w:color w:val="000000" w:themeColor="text1"/>
          <w:sz w:val="20"/>
          <w:szCs w:val="20"/>
        </w:rPr>
        <w:t xml:space="preserve"> cerebrum </w:t>
      </w:r>
      <w:proofErr w:type="spellStart"/>
      <w:r w:rsidRPr="009D7635">
        <w:rPr>
          <w:rFonts w:ascii="Times New Roman" w:hAnsi="Times New Roman" w:cs="Times New Roman"/>
          <w:i/>
          <w:color w:val="000000" w:themeColor="text1"/>
          <w:sz w:val="20"/>
          <w:szCs w:val="20"/>
        </w:rPr>
        <w:t>vel</w:t>
      </w:r>
      <w:proofErr w:type="spellEnd"/>
      <w:r w:rsidRPr="009D7635">
        <w:rPr>
          <w:rFonts w:ascii="Times New Roman" w:hAnsi="Times New Roman" w:cs="Times New Roman"/>
          <w:i/>
          <w:color w:val="000000" w:themeColor="text1"/>
          <w:sz w:val="20"/>
          <w:szCs w:val="20"/>
        </w:rPr>
        <w:t xml:space="preserve"> alia: </w:t>
      </w:r>
      <w:proofErr w:type="spellStart"/>
      <w:r w:rsidRPr="009D7635">
        <w:rPr>
          <w:rFonts w:ascii="Times New Roman" w:hAnsi="Times New Roman" w:cs="Times New Roman"/>
          <w:i/>
          <w:color w:val="000000" w:themeColor="text1"/>
          <w:sz w:val="20"/>
          <w:szCs w:val="20"/>
        </w:rPr>
        <w:t>immo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possibile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imaginari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manum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vel</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aliud</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membrum</w:t>
      </w:r>
      <w:proofErr w:type="spellEnd"/>
      <w:r w:rsidRPr="009D7635">
        <w:rPr>
          <w:rFonts w:ascii="Times New Roman" w:hAnsi="Times New Roman" w:cs="Times New Roman"/>
          <w:i/>
          <w:color w:val="000000" w:themeColor="text1"/>
          <w:sz w:val="20"/>
          <w:szCs w:val="20"/>
        </w:rPr>
        <w:t xml:space="preserve">, non </w:t>
      </w:r>
      <w:proofErr w:type="spellStart"/>
      <w:r w:rsidRPr="009D7635">
        <w:rPr>
          <w:rFonts w:ascii="Times New Roman" w:hAnsi="Times New Roman" w:cs="Times New Roman"/>
          <w:i/>
          <w:color w:val="000000" w:themeColor="text1"/>
          <w:sz w:val="20"/>
          <w:szCs w:val="20"/>
        </w:rPr>
        <w:t>imaginaretur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illud</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membrum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nec</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necessarium</w:t>
      </w:r>
      <w:proofErr w:type="spellEnd"/>
      <w:r w:rsidRPr="009D7635">
        <w:rPr>
          <w:rFonts w:ascii="Times New Roman" w:hAnsi="Times New Roman" w:cs="Times New Roman"/>
          <w:i/>
          <w:color w:val="000000" w:themeColor="text1"/>
          <w:sz w:val="20"/>
          <w:szCs w:val="20"/>
        </w:rPr>
        <w:t xml:space="preserve"> sue </w:t>
      </w:r>
      <w:proofErr w:type="spellStart"/>
      <w:r w:rsidRPr="009D7635">
        <w:rPr>
          <w:rFonts w:ascii="Times New Roman" w:hAnsi="Times New Roman" w:cs="Times New Roman"/>
          <w:i/>
          <w:color w:val="000000" w:themeColor="text1"/>
          <w:sz w:val="20"/>
          <w:szCs w:val="20"/>
        </w:rPr>
        <w:t>essencie</w:t>
      </w:r>
      <w:proofErr w:type="spellEnd"/>
      <w:r w:rsidRPr="009D7635">
        <w:rPr>
          <w:rFonts w:ascii="Times New Roman" w:hAnsi="Times New Roman" w:cs="Times New Roman"/>
          <w:i/>
          <w:color w:val="000000" w:themeColor="text1"/>
          <w:sz w:val="20"/>
          <w:szCs w:val="20"/>
        </w:rPr>
        <w:t xml:space="preserve">. Cum ergo </w:t>
      </w:r>
      <w:proofErr w:type="spellStart"/>
      <w:r w:rsidRPr="009D7635">
        <w:rPr>
          <w:rFonts w:ascii="Times New Roman" w:hAnsi="Times New Roman" w:cs="Times New Roman"/>
          <w:i/>
          <w:color w:val="000000" w:themeColor="text1"/>
          <w:sz w:val="20"/>
          <w:szCs w:val="20"/>
        </w:rPr>
        <w:t>omne</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affirmatur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aliud</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ab </w:t>
      </w:r>
      <w:proofErr w:type="spellStart"/>
      <w:r w:rsidRPr="009D7635">
        <w:rPr>
          <w:rFonts w:ascii="Times New Roman" w:hAnsi="Times New Roman" w:cs="Times New Roman"/>
          <w:i/>
          <w:color w:val="000000" w:themeColor="text1"/>
          <w:sz w:val="20"/>
          <w:szCs w:val="20"/>
        </w:rPr>
        <w:t>eo</w:t>
      </w:r>
      <w:proofErr w:type="spellEnd"/>
      <w:r w:rsidRPr="009D7635">
        <w:rPr>
          <w:rFonts w:ascii="Times New Roman" w:hAnsi="Times New Roman" w:cs="Times New Roman"/>
          <w:i/>
          <w:color w:val="000000" w:themeColor="text1"/>
          <w:sz w:val="20"/>
          <w:szCs w:val="20"/>
        </w:rPr>
        <w:t xml:space="preserve"> quod non </w:t>
      </w:r>
      <w:proofErr w:type="spellStart"/>
      <w:r w:rsidRPr="009D7635">
        <w:rPr>
          <w:rFonts w:ascii="Times New Roman" w:hAnsi="Times New Roman" w:cs="Times New Roman"/>
          <w:i/>
          <w:color w:val="000000" w:themeColor="text1"/>
          <w:sz w:val="20"/>
          <w:szCs w:val="20"/>
        </w:rPr>
        <w:t>affirmatur</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concessum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aliud</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ab </w:t>
      </w:r>
      <w:proofErr w:type="spellStart"/>
      <w:r w:rsidRPr="009D7635">
        <w:rPr>
          <w:rFonts w:ascii="Times New Roman" w:hAnsi="Times New Roman" w:cs="Times New Roman"/>
          <w:i/>
          <w:color w:val="000000" w:themeColor="text1"/>
          <w:sz w:val="20"/>
          <w:szCs w:val="20"/>
        </w:rPr>
        <w:t>eo</w:t>
      </w:r>
      <w:proofErr w:type="spellEnd"/>
      <w:r w:rsidRPr="009D7635">
        <w:rPr>
          <w:rFonts w:ascii="Times New Roman" w:hAnsi="Times New Roman" w:cs="Times New Roman"/>
          <w:i/>
          <w:color w:val="000000" w:themeColor="text1"/>
          <w:sz w:val="20"/>
          <w:szCs w:val="20"/>
        </w:rPr>
        <w:t xml:space="preserve"> quod non </w:t>
      </w:r>
      <w:proofErr w:type="spellStart"/>
      <w:r w:rsidRPr="009D7635">
        <w:rPr>
          <w:rFonts w:ascii="Times New Roman" w:hAnsi="Times New Roman" w:cs="Times New Roman"/>
          <w:i/>
          <w:color w:val="000000" w:themeColor="text1"/>
          <w:sz w:val="20"/>
          <w:szCs w:val="20"/>
        </w:rPr>
        <w:t>conceditur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essencia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autem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affirmat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propria</w:t>
      </w:r>
      <w:proofErr w:type="spellEnd"/>
      <w:r w:rsidRPr="009D7635">
        <w:rPr>
          <w:rFonts w:ascii="Times New Roman" w:hAnsi="Times New Roman" w:cs="Times New Roman"/>
          <w:i/>
          <w:color w:val="000000" w:themeColor="text1"/>
          <w:sz w:val="20"/>
          <w:szCs w:val="20"/>
        </w:rPr>
        <w:t xml:space="preserve"> illi, </w:t>
      </w:r>
      <w:proofErr w:type="spellStart"/>
      <w:r w:rsidRPr="009D7635">
        <w:rPr>
          <w:rFonts w:ascii="Times New Roman" w:hAnsi="Times New Roman" w:cs="Times New Roman"/>
          <w:i/>
          <w:color w:val="000000" w:themeColor="text1"/>
          <w:sz w:val="20"/>
          <w:szCs w:val="20"/>
        </w:rPr>
        <w:t>eo</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illa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ipsemet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tamen</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preter</w:t>
      </w:r>
      <w:proofErr w:type="spellEnd"/>
      <w:r w:rsidRPr="009D7635">
        <w:rPr>
          <w:rFonts w:ascii="Times New Roman" w:hAnsi="Times New Roman" w:cs="Times New Roman"/>
          <w:i/>
          <w:color w:val="000000" w:themeColor="text1"/>
          <w:sz w:val="20"/>
          <w:szCs w:val="20"/>
        </w:rPr>
        <w:t xml:space="preserve"> corpus </w:t>
      </w:r>
      <w:proofErr w:type="spellStart"/>
      <w:r w:rsidRPr="009D7635">
        <w:rPr>
          <w:rFonts w:ascii="Times New Roman" w:hAnsi="Times New Roman" w:cs="Times New Roman"/>
          <w:i/>
          <w:color w:val="000000" w:themeColor="text1"/>
          <w:sz w:val="20"/>
          <w:szCs w:val="20"/>
        </w:rPr>
        <w:t>eius</w:t>
      </w:r>
      <w:proofErr w:type="spellEnd"/>
      <w:r w:rsidRPr="009D7635">
        <w:rPr>
          <w:rFonts w:ascii="Times New Roman" w:hAnsi="Times New Roman" w:cs="Times New Roman"/>
          <w:i/>
          <w:color w:val="000000" w:themeColor="text1"/>
          <w:sz w:val="20"/>
          <w:szCs w:val="20"/>
        </w:rPr>
        <w:t xml:space="preserve">, quod non </w:t>
      </w:r>
      <w:proofErr w:type="spellStart"/>
      <w:r w:rsidRPr="009D7635">
        <w:rPr>
          <w:rFonts w:ascii="Times New Roman" w:hAnsi="Times New Roman" w:cs="Times New Roman"/>
          <w:i/>
          <w:color w:val="000000" w:themeColor="text1"/>
          <w:sz w:val="20"/>
          <w:szCs w:val="20"/>
        </w:rPr>
        <w:t>affirmat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Expergefactus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igitur</w:t>
      </w:r>
      <w:proofErr w:type="spellEnd"/>
      <w:r w:rsidRPr="009D7635">
        <w:rPr>
          <w:rFonts w:ascii="Times New Roman" w:hAnsi="Times New Roman" w:cs="Times New Roman"/>
          <w:i/>
          <w:color w:val="000000" w:themeColor="text1"/>
          <w:sz w:val="20"/>
          <w:szCs w:val="20"/>
        </w:rPr>
        <w:t xml:space="preserve"> ab </w:t>
      </w:r>
      <w:proofErr w:type="spellStart"/>
      <w:r w:rsidRPr="009D7635">
        <w:rPr>
          <w:rFonts w:ascii="Times New Roman" w:hAnsi="Times New Roman" w:cs="Times New Roman"/>
          <w:i/>
          <w:color w:val="000000" w:themeColor="text1"/>
          <w:sz w:val="20"/>
          <w:szCs w:val="20"/>
        </w:rPr>
        <w:t>huiusmodo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statu</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habet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euigilandi</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cognoscendi</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esse</w:t>
      </w:r>
      <w:proofErr w:type="spellEnd"/>
      <w:r w:rsidRPr="009D7635">
        <w:rPr>
          <w:rFonts w:ascii="Times New Roman" w:hAnsi="Times New Roman" w:cs="Times New Roman"/>
          <w:i/>
          <w:color w:val="000000" w:themeColor="text1"/>
          <w:sz w:val="20"/>
          <w:szCs w:val="20"/>
        </w:rPr>
        <w:t xml:space="preserve"> anime </w:t>
      </w:r>
      <w:proofErr w:type="spellStart"/>
      <w:r w:rsidRPr="009D7635">
        <w:rPr>
          <w:rFonts w:ascii="Times New Roman" w:hAnsi="Times New Roman" w:cs="Times New Roman"/>
          <w:i/>
          <w:color w:val="000000" w:themeColor="text1"/>
          <w:sz w:val="20"/>
          <w:szCs w:val="20"/>
        </w:rPr>
        <w:t>aliud</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corporis</w:t>
      </w:r>
      <w:proofErr w:type="spellEnd"/>
      <w:r w:rsidRPr="009D7635">
        <w:rPr>
          <w:rFonts w:ascii="Times New Roman" w:hAnsi="Times New Roman" w:cs="Times New Roman"/>
          <w:i/>
          <w:color w:val="000000" w:themeColor="text1"/>
          <w:sz w:val="20"/>
          <w:szCs w:val="20"/>
        </w:rPr>
        <w:t>.</w:t>
      </w:r>
    </w:p>
  </w:footnote>
  <w:footnote w:id="307">
    <w:p w14:paraId="294168F6" w14:textId="56AEDAA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Ernest A. Moody, </w:t>
      </w:r>
      <w:r w:rsidRPr="009D7635">
        <w:rPr>
          <w:rFonts w:ascii="Times New Roman" w:hAnsi="Times New Roman" w:cs="Times New Roman"/>
          <w:color w:val="000000" w:themeColor="text1"/>
          <w:lang w:val="en-US"/>
        </w:rPr>
        <w:t xml:space="preserve">‘William of Auvergne and His Treatise </w:t>
      </w:r>
      <w:r w:rsidRPr="009D7635">
        <w:rPr>
          <w:rFonts w:ascii="Times New Roman" w:hAnsi="Times New Roman" w:cs="Times New Roman"/>
          <w:i/>
          <w:iCs/>
          <w:color w:val="000000" w:themeColor="text1"/>
          <w:lang w:val="en-US"/>
        </w:rPr>
        <w:t>De anima</w:t>
      </w:r>
      <w:r w:rsidRPr="009D7635">
        <w:rPr>
          <w:rFonts w:ascii="Times New Roman" w:hAnsi="Times New Roman" w:cs="Times New Roman"/>
          <w:color w:val="000000" w:themeColor="text1"/>
          <w:lang w:val="en-US"/>
        </w:rPr>
        <w:t>,’</w:t>
      </w:r>
      <w:r w:rsidRPr="009D7635">
        <w:rPr>
          <w:rFonts w:ascii="Times New Roman" w:hAnsi="Times New Roman" w:cs="Times New Roman"/>
          <w:i/>
          <w:iCs/>
          <w:color w:val="000000" w:themeColor="text1"/>
          <w:lang w:val="en-US"/>
        </w:rPr>
        <w:t xml:space="preserve"> </w:t>
      </w:r>
      <w:r w:rsidR="000D5C84" w:rsidRPr="009D7635">
        <w:rPr>
          <w:rFonts w:ascii="Times New Roman" w:hAnsi="Times New Roman" w:cs="Times New Roman"/>
          <w:color w:val="000000" w:themeColor="text1"/>
          <w:lang w:val="en-US"/>
        </w:rPr>
        <w:t xml:space="preserve">in </w:t>
      </w:r>
      <w:r w:rsidR="000D5C84" w:rsidRPr="009D7635">
        <w:rPr>
          <w:rFonts w:ascii="Times New Roman" w:hAnsi="Times New Roman" w:cs="Times New Roman"/>
          <w:i/>
          <w:iCs/>
          <w:color w:val="000000" w:themeColor="text1"/>
          <w:lang w:val="en-US"/>
        </w:rPr>
        <w:t>Studies in Medieval Philosophy, Science, and Logic</w:t>
      </w:r>
      <w:r w:rsidR="000D5C84" w:rsidRPr="009D7635">
        <w:rPr>
          <w:rFonts w:ascii="Times New Roman" w:hAnsi="Times New Roman" w:cs="Times New Roman"/>
          <w:color w:val="000000" w:themeColor="text1"/>
          <w:lang w:val="en-US"/>
        </w:rPr>
        <w:t>,</w:t>
      </w:r>
      <w:r w:rsidR="000D5C84" w:rsidRPr="009D7635">
        <w:rPr>
          <w:rFonts w:ascii="Times New Roman" w:hAnsi="Times New Roman" w:cs="Times New Roman"/>
          <w:i/>
          <w:iCs/>
          <w:color w:val="000000" w:themeColor="text1"/>
          <w:lang w:val="en-US"/>
        </w:rPr>
        <w:t xml:space="preserve"> </w:t>
      </w:r>
      <w:r w:rsidR="000D5C84" w:rsidRPr="009D7635">
        <w:rPr>
          <w:rFonts w:ascii="Times New Roman" w:hAnsi="Times New Roman" w:cs="Times New Roman"/>
          <w:color w:val="000000" w:themeColor="text1"/>
          <w:lang w:val="en-US"/>
        </w:rPr>
        <w:t xml:space="preserve">ed. Ernest A. Moody (Berkeley: University of California Press, 1975), </w:t>
      </w:r>
      <w:r w:rsidRPr="009D7635">
        <w:rPr>
          <w:rFonts w:ascii="Times New Roman" w:hAnsi="Times New Roman" w:cs="Times New Roman"/>
          <w:color w:val="000000" w:themeColor="text1"/>
        </w:rPr>
        <w:t xml:space="preserve">20. William of Auvergne, </w:t>
      </w:r>
      <w:r w:rsidRPr="009D7635">
        <w:rPr>
          <w:rFonts w:ascii="Times New Roman" w:hAnsi="Times New Roman" w:cs="Times New Roman"/>
          <w:i/>
          <w:color w:val="000000" w:themeColor="text1"/>
        </w:rPr>
        <w:t xml:space="preserve">The Soul, </w:t>
      </w:r>
      <w:r w:rsidRPr="009D7635">
        <w:rPr>
          <w:rFonts w:ascii="Times New Roman" w:hAnsi="Times New Roman" w:cs="Times New Roman"/>
          <w:color w:val="000000" w:themeColor="text1"/>
        </w:rPr>
        <w:t xml:space="preserve">trans. </w:t>
      </w:r>
      <w:r w:rsidR="0007293A" w:rsidRPr="009D7635">
        <w:rPr>
          <w:rFonts w:ascii="Times New Roman" w:hAnsi="Times New Roman" w:cs="Times New Roman"/>
          <w:color w:val="000000" w:themeColor="text1"/>
        </w:rPr>
        <w:t xml:space="preserve">Roland J.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xml:space="preserve"> </w:t>
      </w:r>
      <w:r w:rsidR="0007293A" w:rsidRPr="009D7635">
        <w:rPr>
          <w:rFonts w:ascii="Times New Roman" w:hAnsi="Times New Roman" w:cs="Times New Roman"/>
          <w:color w:val="000000" w:themeColor="text1"/>
          <w:lang w:val="en-US"/>
        </w:rPr>
        <w:t>(Milwaukee: Marquette University Press, 2000),</w:t>
      </w:r>
      <w:r w:rsidR="0007293A"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50. For a detailed analysis of Auvergne’s psychology, see </w:t>
      </w:r>
      <w:r w:rsidRPr="009D7635">
        <w:rPr>
          <w:rFonts w:ascii="Times New Roman" w:hAnsi="Times New Roman" w:cs="Times New Roman"/>
          <w:color w:val="000000" w:themeColor="text1"/>
          <w:lang w:val="en-US"/>
        </w:rPr>
        <w:t xml:space="preserve">Thomas </w:t>
      </w:r>
      <w:proofErr w:type="spellStart"/>
      <w:r w:rsidRPr="009D7635">
        <w:rPr>
          <w:rFonts w:ascii="Times New Roman" w:hAnsi="Times New Roman" w:cs="Times New Roman"/>
          <w:color w:val="000000" w:themeColor="text1"/>
          <w:lang w:val="en-US"/>
        </w:rPr>
        <w:t>Pitour</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i/>
          <w:iCs/>
          <w:color w:val="000000" w:themeColor="text1"/>
          <w:lang w:val="en-US"/>
        </w:rPr>
        <w:t xml:space="preserve">Wilhelm von Auvergne’s </w:t>
      </w:r>
      <w:proofErr w:type="spellStart"/>
      <w:r w:rsidRPr="009D7635">
        <w:rPr>
          <w:rFonts w:ascii="Times New Roman" w:hAnsi="Times New Roman" w:cs="Times New Roman"/>
          <w:i/>
          <w:iCs/>
          <w:color w:val="000000" w:themeColor="text1"/>
          <w:lang w:val="en-US"/>
        </w:rPr>
        <w:t>Psychologie</w:t>
      </w:r>
      <w:proofErr w:type="spellEnd"/>
      <w:r w:rsidRPr="009D7635">
        <w:rPr>
          <w:rFonts w:ascii="Times New Roman" w:hAnsi="Times New Roman" w:cs="Times New Roman"/>
          <w:i/>
          <w:iCs/>
          <w:color w:val="000000" w:themeColor="text1"/>
          <w:lang w:val="en-US"/>
        </w:rPr>
        <w:t xml:space="preserve">: von der </w:t>
      </w:r>
      <w:proofErr w:type="spellStart"/>
      <w:r w:rsidRPr="009D7635">
        <w:rPr>
          <w:rFonts w:ascii="Times New Roman" w:hAnsi="Times New Roman" w:cs="Times New Roman"/>
          <w:i/>
          <w:iCs/>
          <w:color w:val="000000" w:themeColor="text1"/>
          <w:lang w:val="en-US"/>
        </w:rPr>
        <w:t>Rezeption</w:t>
      </w:r>
      <w:proofErr w:type="spellEnd"/>
      <w:r w:rsidRPr="009D7635">
        <w:rPr>
          <w:rFonts w:ascii="Times New Roman" w:hAnsi="Times New Roman" w:cs="Times New Roman"/>
          <w:i/>
          <w:iCs/>
          <w:color w:val="000000" w:themeColor="text1"/>
          <w:lang w:val="en-US"/>
        </w:rPr>
        <w:t xml:space="preserve"> des </w:t>
      </w:r>
      <w:proofErr w:type="spellStart"/>
      <w:r w:rsidRPr="009D7635">
        <w:rPr>
          <w:rFonts w:ascii="Times New Roman" w:hAnsi="Times New Roman" w:cs="Times New Roman"/>
          <w:i/>
          <w:iCs/>
          <w:color w:val="000000" w:themeColor="text1"/>
          <w:lang w:val="en-US"/>
        </w:rPr>
        <w:t>aristotelische</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Hylemorphismus</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zur</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Reformulierung</w:t>
      </w:r>
      <w:proofErr w:type="spellEnd"/>
      <w:r w:rsidRPr="009D7635">
        <w:rPr>
          <w:rFonts w:ascii="Times New Roman" w:hAnsi="Times New Roman" w:cs="Times New Roman"/>
          <w:i/>
          <w:iCs/>
          <w:color w:val="000000" w:themeColor="text1"/>
          <w:lang w:val="en-US"/>
        </w:rPr>
        <w:t xml:space="preserve"> der </w:t>
      </w:r>
      <w:proofErr w:type="spellStart"/>
      <w:r w:rsidRPr="009D7635">
        <w:rPr>
          <w:rFonts w:ascii="Times New Roman" w:hAnsi="Times New Roman" w:cs="Times New Roman"/>
          <w:i/>
          <w:iCs/>
          <w:color w:val="000000" w:themeColor="text1"/>
          <w:lang w:val="en-US"/>
        </w:rPr>
        <w:t>Imago-Dei-Lehre</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Augustinus</w:t>
      </w:r>
      <w:proofErr w:type="spellEnd"/>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lang w:val="en-US"/>
        </w:rPr>
        <w:t xml:space="preserve">(Paderborn: Ferdinand and </w:t>
      </w:r>
      <w:proofErr w:type="spellStart"/>
      <w:r w:rsidRPr="009D7635">
        <w:rPr>
          <w:rFonts w:ascii="Times New Roman" w:hAnsi="Times New Roman" w:cs="Times New Roman"/>
          <w:color w:val="000000" w:themeColor="text1"/>
          <w:lang w:val="en-US"/>
        </w:rPr>
        <w:t>Schönling</w:t>
      </w:r>
      <w:proofErr w:type="spellEnd"/>
      <w:r w:rsidRPr="009D7635">
        <w:rPr>
          <w:rFonts w:ascii="Times New Roman" w:hAnsi="Times New Roman" w:cs="Times New Roman"/>
          <w:color w:val="000000" w:themeColor="text1"/>
          <w:lang w:val="en-US"/>
        </w:rPr>
        <w:t>,</w:t>
      </w:r>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lang w:val="en-US"/>
        </w:rPr>
        <w:t>2011).</w:t>
      </w:r>
    </w:p>
  </w:footnote>
  <w:footnote w:id="308">
    <w:p w14:paraId="56632601" w14:textId="1015F2F3"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Ernest A. Moody, </w:t>
      </w:r>
      <w:r w:rsidRPr="009D7635">
        <w:rPr>
          <w:rFonts w:ascii="Times New Roman" w:hAnsi="Times New Roman" w:cs="Times New Roman"/>
          <w:color w:val="000000" w:themeColor="text1"/>
          <w:lang w:val="en-US"/>
        </w:rPr>
        <w:t xml:space="preserve">‘William of Auvergne and His Treatise </w:t>
      </w:r>
      <w:r w:rsidRPr="009D7635">
        <w:rPr>
          <w:rFonts w:ascii="Times New Roman" w:hAnsi="Times New Roman" w:cs="Times New Roman"/>
          <w:i/>
          <w:iCs/>
          <w:color w:val="000000" w:themeColor="text1"/>
          <w:lang w:val="en-US"/>
        </w:rPr>
        <w:t>De anima</w:t>
      </w:r>
      <w:r w:rsidRPr="009D7635">
        <w:rPr>
          <w:rFonts w:ascii="Times New Roman" w:hAnsi="Times New Roman" w:cs="Times New Roman"/>
          <w:color w:val="000000" w:themeColor="text1"/>
          <w:lang w:val="en-US"/>
        </w:rPr>
        <w:t>,’</w:t>
      </w:r>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rPr>
        <w:t xml:space="preserve">25, 55. See also </w:t>
      </w:r>
      <w:r w:rsidRPr="009D7635">
        <w:rPr>
          <w:rFonts w:ascii="Times New Roman" w:hAnsi="Times New Roman" w:cs="Times New Roman"/>
          <w:color w:val="000000" w:themeColor="text1"/>
          <w:lang w:val="en-US"/>
        </w:rPr>
        <w:t xml:space="preserve">William of Auvergne, </w:t>
      </w:r>
      <w:r w:rsidRPr="009D7635">
        <w:rPr>
          <w:rFonts w:ascii="Times New Roman" w:hAnsi="Times New Roman" w:cs="Times New Roman"/>
          <w:i/>
          <w:iCs/>
          <w:color w:val="000000" w:themeColor="text1"/>
          <w:lang w:val="en-US"/>
        </w:rPr>
        <w:t>The Soul</w:t>
      </w:r>
      <w:r w:rsidRPr="009D7635">
        <w:rPr>
          <w:rFonts w:ascii="Times New Roman" w:hAnsi="Times New Roman" w:cs="Times New Roman"/>
          <w:color w:val="000000" w:themeColor="text1"/>
          <w:lang w:val="en-US"/>
        </w:rPr>
        <w:t>,</w:t>
      </w:r>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lang w:val="en-US"/>
        </w:rPr>
        <w:t xml:space="preserve">trans. </w:t>
      </w:r>
      <w:proofErr w:type="spellStart"/>
      <w:r w:rsidRPr="009D7635">
        <w:rPr>
          <w:rFonts w:ascii="Times New Roman" w:hAnsi="Times New Roman" w:cs="Times New Roman"/>
          <w:color w:val="000000" w:themeColor="text1"/>
          <w:lang w:val="en-US"/>
        </w:rPr>
        <w:t>Teske</w:t>
      </w:r>
      <w:proofErr w:type="spellEnd"/>
      <w:r w:rsidRPr="009D7635">
        <w:rPr>
          <w:rFonts w:ascii="Times New Roman" w:hAnsi="Times New Roman" w:cs="Times New Roman"/>
          <w:color w:val="000000" w:themeColor="text1"/>
          <w:lang w:val="en-US"/>
        </w:rPr>
        <w:t>, S.J.</w:t>
      </w:r>
      <w:r w:rsidR="00F76776"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rPr>
        <w:t xml:space="preserve">91, 140-2. </w:t>
      </w:r>
      <w:r w:rsidRPr="009D7635">
        <w:rPr>
          <w:rFonts w:ascii="Times New Roman" w:hAnsi="Times New Roman" w:cs="Times New Roman"/>
          <w:color w:val="000000" w:themeColor="text1"/>
          <w:lang w:val="en-US"/>
        </w:rPr>
        <w:t xml:space="preserve">Roland J. </w:t>
      </w:r>
      <w:proofErr w:type="spellStart"/>
      <w:r w:rsidRPr="009D7635">
        <w:rPr>
          <w:rFonts w:ascii="Times New Roman" w:hAnsi="Times New Roman" w:cs="Times New Roman"/>
          <w:color w:val="000000" w:themeColor="text1"/>
          <w:lang w:val="en-US"/>
        </w:rPr>
        <w:t>Teske</w:t>
      </w:r>
      <w:proofErr w:type="spellEnd"/>
      <w:r w:rsidRPr="009D7635">
        <w:rPr>
          <w:rFonts w:ascii="Times New Roman" w:hAnsi="Times New Roman" w:cs="Times New Roman"/>
          <w:color w:val="000000" w:themeColor="text1"/>
          <w:lang w:val="en-US"/>
        </w:rPr>
        <w:t xml:space="preserve">, ‘William of Auvergne on the Individuation of Human Souls,’ in Roland J. </w:t>
      </w:r>
      <w:proofErr w:type="spellStart"/>
      <w:r w:rsidRPr="009D7635">
        <w:rPr>
          <w:rFonts w:ascii="Times New Roman" w:hAnsi="Times New Roman" w:cs="Times New Roman"/>
          <w:color w:val="000000" w:themeColor="text1"/>
          <w:lang w:val="en-US"/>
        </w:rPr>
        <w:t>Teske</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i/>
          <w:iCs/>
          <w:color w:val="000000" w:themeColor="text1"/>
          <w:lang w:val="en-US"/>
        </w:rPr>
        <w:t xml:space="preserve">Studies in the Philosophy of William of Auvergne, Bishop of Paris 1228-1249 </w:t>
      </w:r>
      <w:r w:rsidRPr="009D7635">
        <w:rPr>
          <w:rFonts w:ascii="Times New Roman" w:hAnsi="Times New Roman" w:cs="Times New Roman"/>
          <w:color w:val="000000" w:themeColor="text1"/>
          <w:lang w:val="en-US"/>
        </w:rPr>
        <w:t>(Milwaukee: Marquette University Press, 2006), 121-43.</w:t>
      </w:r>
    </w:p>
  </w:footnote>
  <w:footnote w:id="309">
    <w:p w14:paraId="40D0AEBD" w14:textId="7312C4ED"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color w:val="000000" w:themeColor="text1"/>
        </w:rPr>
        <w:t xml:space="preserve">, 51-2: </w:t>
      </w:r>
      <w:proofErr w:type="spellStart"/>
      <w:r w:rsidRPr="009D7635">
        <w:rPr>
          <w:rFonts w:ascii="Times New Roman" w:hAnsi="Times New Roman" w:cs="Times New Roman"/>
          <w:i/>
          <w:color w:val="000000" w:themeColor="text1"/>
        </w:rPr>
        <w:t>Nichil</w:t>
      </w:r>
      <w:proofErr w:type="spellEnd"/>
      <w:r w:rsidRPr="009D7635">
        <w:rPr>
          <w:rFonts w:ascii="Times New Roman" w:hAnsi="Times New Roman" w:cs="Times New Roman"/>
          <w:i/>
          <w:color w:val="000000" w:themeColor="text1"/>
        </w:rPr>
        <w:t xml:space="preserve"> tam </w:t>
      </w:r>
      <w:proofErr w:type="spellStart"/>
      <w:r w:rsidRPr="009D7635">
        <w:rPr>
          <w:rFonts w:ascii="Times New Roman" w:hAnsi="Times New Roman" w:cs="Times New Roman"/>
          <w:i/>
          <w:color w:val="000000" w:themeColor="text1"/>
        </w:rPr>
        <w:t>novit</w:t>
      </w:r>
      <w:proofErr w:type="spellEnd"/>
      <w:r w:rsidRPr="009D7635">
        <w:rPr>
          <w:rFonts w:ascii="Times New Roman" w:hAnsi="Times New Roman" w:cs="Times New Roman"/>
          <w:i/>
          <w:color w:val="000000" w:themeColor="text1"/>
        </w:rPr>
        <w:t xml:space="preserve"> mens </w:t>
      </w:r>
      <w:proofErr w:type="spellStart"/>
      <w:r w:rsidRPr="009D7635">
        <w:rPr>
          <w:rFonts w:ascii="Times New Roman" w:hAnsi="Times New Roman" w:cs="Times New Roman"/>
          <w:i/>
          <w:color w:val="000000" w:themeColor="text1"/>
        </w:rPr>
        <w:t>vel</w:t>
      </w:r>
      <w:proofErr w:type="spellEnd"/>
      <w:r w:rsidRPr="009D7635">
        <w:rPr>
          <w:rFonts w:ascii="Times New Roman" w:hAnsi="Times New Roman" w:cs="Times New Roman"/>
          <w:i/>
          <w:color w:val="000000" w:themeColor="text1"/>
        </w:rPr>
        <w:t xml:space="preserve"> anima </w:t>
      </w:r>
      <w:proofErr w:type="spellStart"/>
      <w:r w:rsidRPr="009D7635">
        <w:rPr>
          <w:rFonts w:ascii="Times New Roman" w:hAnsi="Times New Roman" w:cs="Times New Roman"/>
          <w:i/>
          <w:color w:val="000000" w:themeColor="text1"/>
        </w:rPr>
        <w:t>quam</w:t>
      </w:r>
      <w:proofErr w:type="spellEnd"/>
      <w:r w:rsidRPr="009D7635">
        <w:rPr>
          <w:rFonts w:ascii="Times New Roman" w:hAnsi="Times New Roman" w:cs="Times New Roman"/>
          <w:i/>
          <w:color w:val="000000" w:themeColor="text1"/>
        </w:rPr>
        <w:t xml:space="preserve"> id quod </w:t>
      </w:r>
      <w:proofErr w:type="spellStart"/>
      <w:r w:rsidRPr="009D7635">
        <w:rPr>
          <w:rFonts w:ascii="Times New Roman" w:hAnsi="Times New Roman" w:cs="Times New Roman"/>
          <w:i/>
          <w:color w:val="000000" w:themeColor="text1"/>
        </w:rPr>
        <w:t>sibi</w:t>
      </w:r>
      <w:proofErr w:type="spellEnd"/>
      <w:r w:rsidRPr="009D7635">
        <w:rPr>
          <w:rFonts w:ascii="Times New Roman" w:hAnsi="Times New Roman" w:cs="Times New Roman"/>
          <w:i/>
          <w:color w:val="000000" w:themeColor="text1"/>
        </w:rPr>
        <w:t xml:space="preserve"> presto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nec</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menti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nec</w:t>
      </w:r>
      <w:proofErr w:type="spellEnd"/>
      <w:r w:rsidRPr="009D7635">
        <w:rPr>
          <w:rFonts w:ascii="Times New Roman" w:hAnsi="Times New Roman" w:cs="Times New Roman"/>
          <w:i/>
          <w:color w:val="000000" w:themeColor="text1"/>
        </w:rPr>
        <w:t xml:space="preserve"> anime </w:t>
      </w:r>
      <w:proofErr w:type="spellStart"/>
      <w:r w:rsidRPr="009D7635">
        <w:rPr>
          <w:rFonts w:ascii="Times New Roman" w:hAnsi="Times New Roman" w:cs="Times New Roman"/>
          <w:i/>
          <w:color w:val="000000" w:themeColor="text1"/>
        </w:rPr>
        <w:t>quicquam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magis</w:t>
      </w:r>
      <w:proofErr w:type="spellEnd"/>
      <w:r w:rsidRPr="009D7635">
        <w:rPr>
          <w:rFonts w:ascii="Times New Roman" w:hAnsi="Times New Roman" w:cs="Times New Roman"/>
          <w:i/>
          <w:color w:val="000000" w:themeColor="text1"/>
        </w:rPr>
        <w:t xml:space="preserve"> presto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quam</w:t>
      </w:r>
      <w:proofErr w:type="spellEnd"/>
      <w:r w:rsidRPr="009D7635">
        <w:rPr>
          <w:rFonts w:ascii="Times New Roman" w:hAnsi="Times New Roman" w:cs="Times New Roman"/>
          <w:i/>
          <w:color w:val="000000" w:themeColor="text1"/>
        </w:rPr>
        <w:t xml:space="preserve"> ipsa </w:t>
      </w:r>
      <w:proofErr w:type="spellStart"/>
      <w:r w:rsidRPr="009D7635">
        <w:rPr>
          <w:rFonts w:ascii="Times New Roman" w:hAnsi="Times New Roman" w:cs="Times New Roman"/>
          <w:i/>
          <w:color w:val="000000" w:themeColor="text1"/>
        </w:rPr>
        <w:t>sibi</w:t>
      </w:r>
      <w:proofErr w:type="spellEnd"/>
      <w:r w:rsidRPr="009D7635">
        <w:rPr>
          <w:rFonts w:ascii="Times New Roman" w:hAnsi="Times New Roman" w:cs="Times New Roman"/>
          <w:i/>
          <w:color w:val="000000" w:themeColor="text1"/>
        </w:rPr>
        <w:t xml:space="preserve">. Ergo </w:t>
      </w:r>
      <w:proofErr w:type="spellStart"/>
      <w:r w:rsidRPr="009D7635">
        <w:rPr>
          <w:rFonts w:ascii="Times New Roman" w:hAnsi="Times New Roman" w:cs="Times New Roman"/>
          <w:i/>
          <w:color w:val="000000" w:themeColor="text1"/>
        </w:rPr>
        <w:t>nichil</w:t>
      </w:r>
      <w:proofErr w:type="spellEnd"/>
      <w:r w:rsidRPr="009D7635">
        <w:rPr>
          <w:rFonts w:ascii="Times New Roman" w:hAnsi="Times New Roman" w:cs="Times New Roman"/>
          <w:i/>
          <w:color w:val="000000" w:themeColor="text1"/>
        </w:rPr>
        <w:t xml:space="preserve"> tam </w:t>
      </w:r>
      <w:proofErr w:type="spellStart"/>
      <w:r w:rsidRPr="009D7635">
        <w:rPr>
          <w:rFonts w:ascii="Times New Roman" w:hAnsi="Times New Roman" w:cs="Times New Roman"/>
          <w:i/>
          <w:color w:val="000000" w:themeColor="text1"/>
        </w:rPr>
        <w:t>novit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quam</w:t>
      </w:r>
      <w:proofErr w:type="spellEnd"/>
      <w:r w:rsidRPr="009D7635">
        <w:rPr>
          <w:rFonts w:ascii="Times New Roman" w:hAnsi="Times New Roman" w:cs="Times New Roman"/>
          <w:i/>
          <w:color w:val="000000" w:themeColor="text1"/>
        </w:rPr>
        <w:t xml:space="preserve"> se: </w:t>
      </w:r>
      <w:proofErr w:type="spellStart"/>
      <w:r w:rsidRPr="009D7635">
        <w:rPr>
          <w:rFonts w:ascii="Times New Roman" w:hAnsi="Times New Roman" w:cs="Times New Roman"/>
          <w:i/>
          <w:color w:val="000000" w:themeColor="text1"/>
        </w:rPr>
        <w:t>cognoscit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enim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vivere</w:t>
      </w:r>
      <w:proofErr w:type="spellEnd"/>
      <w:r w:rsidRPr="009D7635">
        <w:rPr>
          <w:rFonts w:ascii="Times New Roman" w:hAnsi="Times New Roman" w:cs="Times New Roman"/>
          <w:i/>
          <w:color w:val="000000" w:themeColor="text1"/>
        </w:rPr>
        <w:t xml:space="preserve"> se, </w:t>
      </w:r>
      <w:proofErr w:type="spellStart"/>
      <w:r w:rsidRPr="009D7635">
        <w:rPr>
          <w:rFonts w:ascii="Times New Roman" w:hAnsi="Times New Roman" w:cs="Times New Roman"/>
          <w:i/>
          <w:color w:val="000000" w:themeColor="text1"/>
        </w:rPr>
        <w:t>meminisse</w:t>
      </w:r>
      <w:proofErr w:type="spellEnd"/>
      <w:r w:rsidRPr="009D7635">
        <w:rPr>
          <w:rFonts w:ascii="Times New Roman" w:hAnsi="Times New Roman" w:cs="Times New Roman"/>
          <w:i/>
          <w:color w:val="000000" w:themeColor="text1"/>
        </w:rPr>
        <w:t xml:space="preserve"> se, </w:t>
      </w:r>
      <w:proofErr w:type="spellStart"/>
      <w:r w:rsidRPr="009D7635">
        <w:rPr>
          <w:rFonts w:ascii="Times New Roman" w:hAnsi="Times New Roman" w:cs="Times New Roman"/>
          <w:i/>
          <w:color w:val="000000" w:themeColor="text1"/>
        </w:rPr>
        <w:t>velle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cognoscere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scire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iudicare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hec</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omnia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certissime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novit</w:t>
      </w:r>
      <w:proofErr w:type="spellEnd"/>
      <w:r w:rsidRPr="009D7635">
        <w:rPr>
          <w:rFonts w:ascii="Times New Roman" w:hAnsi="Times New Roman" w:cs="Times New Roman"/>
          <w:i/>
          <w:color w:val="000000" w:themeColor="text1"/>
        </w:rPr>
        <w:t xml:space="preserve"> de se. </w:t>
      </w:r>
      <w:proofErr w:type="spellStart"/>
      <w:r w:rsidRPr="009D7635">
        <w:rPr>
          <w:rFonts w:ascii="Times New Roman" w:hAnsi="Times New Roman" w:cs="Times New Roman"/>
          <w:i/>
          <w:color w:val="000000" w:themeColor="text1"/>
        </w:rPr>
        <w:t>Impossibile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igitur</w:t>
      </w:r>
      <w:proofErr w:type="spellEnd"/>
      <w:r w:rsidRPr="009D7635">
        <w:rPr>
          <w:rFonts w:ascii="Times New Roman" w:hAnsi="Times New Roman" w:cs="Times New Roman"/>
          <w:i/>
          <w:color w:val="000000" w:themeColor="text1"/>
        </w:rPr>
        <w:t xml:space="preserve"> quod </w:t>
      </w:r>
      <w:proofErr w:type="spellStart"/>
      <w:r w:rsidRPr="009D7635">
        <w:rPr>
          <w:rFonts w:ascii="Times New Roman" w:hAnsi="Times New Roman" w:cs="Times New Roman"/>
          <w:i/>
          <w:color w:val="000000" w:themeColor="text1"/>
        </w:rPr>
        <w:t>ignoret</w:t>
      </w:r>
      <w:proofErr w:type="spellEnd"/>
      <w:r w:rsidRPr="009D7635">
        <w:rPr>
          <w:rFonts w:ascii="Times New Roman" w:hAnsi="Times New Roman" w:cs="Times New Roman"/>
          <w:i/>
          <w:color w:val="000000" w:themeColor="text1"/>
        </w:rPr>
        <w:t xml:space="preserve"> se </w:t>
      </w:r>
      <w:proofErr w:type="spellStart"/>
      <w:r w:rsidRPr="009D7635">
        <w:rPr>
          <w:rFonts w:ascii="Times New Roman" w:hAnsi="Times New Roman" w:cs="Times New Roman"/>
          <w:i/>
          <w:color w:val="000000" w:themeColor="text1"/>
        </w:rPr>
        <w:t>esse</w:t>
      </w:r>
      <w:proofErr w:type="spellEnd"/>
      <w:r w:rsidRPr="009D7635">
        <w:rPr>
          <w:rFonts w:ascii="Times New Roman" w:hAnsi="Times New Roman" w:cs="Times New Roman"/>
          <w:i/>
          <w:color w:val="000000" w:themeColor="text1"/>
        </w:rPr>
        <w:t>.</w:t>
      </w:r>
    </w:p>
  </w:footnote>
  <w:footnote w:id="310">
    <w:p w14:paraId="20CC6B6B" w14:textId="00EB60A6"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42D1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S1, Q2, T1, M1, 389a: </w:t>
      </w:r>
      <w:proofErr w:type="spellStart"/>
      <w:r w:rsidRPr="009D7635">
        <w:rPr>
          <w:rFonts w:ascii="Times New Roman" w:hAnsi="Times New Roman" w:cs="Times New Roman"/>
          <w:i/>
          <w:color w:val="000000" w:themeColor="text1"/>
          <w:sz w:val="20"/>
          <w:szCs w:val="20"/>
        </w:rPr>
        <w:t>Si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esset</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substantia</w:t>
      </w:r>
      <w:proofErr w:type="spellEnd"/>
      <w:r w:rsidRPr="009D7635">
        <w:rPr>
          <w:rFonts w:ascii="Times New Roman" w:hAnsi="Times New Roman" w:cs="Times New Roman"/>
          <w:i/>
          <w:color w:val="000000" w:themeColor="text1"/>
          <w:sz w:val="20"/>
          <w:szCs w:val="20"/>
        </w:rPr>
        <w:t xml:space="preserve"> Dei, </w:t>
      </w:r>
      <w:proofErr w:type="spellStart"/>
      <w:r w:rsidRPr="009D7635">
        <w:rPr>
          <w:rFonts w:ascii="Times New Roman" w:hAnsi="Times New Roman" w:cs="Times New Roman"/>
          <w:i/>
          <w:color w:val="000000" w:themeColor="text1"/>
          <w:sz w:val="20"/>
          <w:szCs w:val="20"/>
        </w:rPr>
        <w:t>substantia</w:t>
      </w:r>
      <w:proofErr w:type="spellEnd"/>
      <w:r w:rsidRPr="009D7635">
        <w:rPr>
          <w:rFonts w:ascii="Times New Roman" w:hAnsi="Times New Roman" w:cs="Times New Roman"/>
          <w:i/>
          <w:color w:val="000000" w:themeColor="text1"/>
          <w:sz w:val="20"/>
          <w:szCs w:val="20"/>
        </w:rPr>
        <w:t xml:space="preserve"> Dei, </w:t>
      </w:r>
      <w:proofErr w:type="spellStart"/>
      <w:r w:rsidRPr="009D7635">
        <w:rPr>
          <w:rFonts w:ascii="Times New Roman" w:hAnsi="Times New Roman" w:cs="Times New Roman"/>
          <w:i/>
          <w:color w:val="000000" w:themeColor="text1"/>
          <w:sz w:val="20"/>
          <w:szCs w:val="20"/>
        </w:rPr>
        <w:t>vel</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esset</w:t>
      </w:r>
      <w:proofErr w:type="spellEnd"/>
      <w:r w:rsidRPr="009D7635">
        <w:rPr>
          <w:rFonts w:ascii="Times New Roman" w:hAnsi="Times New Roman" w:cs="Times New Roman"/>
          <w:i/>
          <w:color w:val="000000" w:themeColor="text1"/>
          <w:sz w:val="20"/>
          <w:szCs w:val="20"/>
        </w:rPr>
        <w:t xml:space="preserve"> ipsa anima </w:t>
      </w:r>
      <w:proofErr w:type="spellStart"/>
      <w:r w:rsidRPr="009D7635">
        <w:rPr>
          <w:rFonts w:ascii="Times New Roman" w:hAnsi="Times New Roman" w:cs="Times New Roman"/>
          <w:i/>
          <w:color w:val="000000" w:themeColor="text1"/>
          <w:sz w:val="20"/>
          <w:szCs w:val="20"/>
        </w:rPr>
        <w:t>vel</w:t>
      </w:r>
      <w:proofErr w:type="spellEnd"/>
      <w:r w:rsidRPr="009D7635">
        <w:rPr>
          <w:rFonts w:ascii="Times New Roman" w:hAnsi="Times New Roman" w:cs="Times New Roman"/>
          <w:i/>
          <w:color w:val="000000" w:themeColor="text1"/>
          <w:sz w:val="20"/>
          <w:szCs w:val="20"/>
        </w:rPr>
        <w:t xml:space="preserve"> pars </w:t>
      </w:r>
      <w:proofErr w:type="spellStart"/>
      <w:r w:rsidRPr="009D7635">
        <w:rPr>
          <w:rFonts w:ascii="Times New Roman" w:hAnsi="Times New Roman" w:cs="Times New Roman"/>
          <w:i/>
          <w:color w:val="000000" w:themeColor="text1"/>
          <w:sz w:val="20"/>
          <w:szCs w:val="20"/>
        </w:rPr>
        <w:t>animae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ita</w:t>
      </w:r>
      <w:proofErr w:type="spellEnd"/>
      <w:r w:rsidRPr="009D7635">
        <w:rPr>
          <w:rFonts w:ascii="Times New Roman" w:hAnsi="Times New Roman" w:cs="Times New Roman"/>
          <w:i/>
          <w:color w:val="000000" w:themeColor="text1"/>
          <w:sz w:val="20"/>
          <w:szCs w:val="20"/>
        </w:rPr>
        <w:t xml:space="preserve"> quod anima de </w:t>
      </w:r>
      <w:proofErr w:type="spellStart"/>
      <w:r w:rsidRPr="009D7635">
        <w:rPr>
          <w:rFonts w:ascii="Times New Roman" w:hAnsi="Times New Roman" w:cs="Times New Roman"/>
          <w:i/>
          <w:color w:val="000000" w:themeColor="text1"/>
          <w:sz w:val="20"/>
          <w:szCs w:val="20"/>
        </w:rPr>
        <w:t>substantia</w:t>
      </w:r>
      <w:proofErr w:type="spellEnd"/>
      <w:r w:rsidRPr="009D7635">
        <w:rPr>
          <w:rFonts w:ascii="Times New Roman" w:hAnsi="Times New Roman" w:cs="Times New Roman"/>
          <w:i/>
          <w:color w:val="000000" w:themeColor="text1"/>
          <w:sz w:val="20"/>
          <w:szCs w:val="20"/>
        </w:rPr>
        <w:t xml:space="preserve"> Dei </w:t>
      </w:r>
      <w:proofErr w:type="spellStart"/>
      <w:r w:rsidRPr="009D7635">
        <w:rPr>
          <w:rFonts w:ascii="Times New Roman" w:hAnsi="Times New Roman" w:cs="Times New Roman"/>
          <w:i/>
          <w:color w:val="000000" w:themeColor="text1"/>
          <w:sz w:val="20"/>
          <w:szCs w:val="20"/>
        </w:rPr>
        <w:t>produceretur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substantia</w:t>
      </w:r>
      <w:proofErr w:type="spellEnd"/>
      <w:r w:rsidRPr="009D7635">
        <w:rPr>
          <w:rFonts w:ascii="Times New Roman" w:hAnsi="Times New Roman" w:cs="Times New Roman"/>
          <w:i/>
          <w:color w:val="000000" w:themeColor="text1"/>
          <w:sz w:val="20"/>
          <w:szCs w:val="20"/>
        </w:rPr>
        <w:t xml:space="preserve"> Dei anima </w:t>
      </w:r>
      <w:proofErr w:type="spellStart"/>
      <w:r w:rsidRPr="009D7635">
        <w:rPr>
          <w:rFonts w:ascii="Times New Roman" w:hAnsi="Times New Roman" w:cs="Times New Roman"/>
          <w:i/>
          <w:color w:val="000000" w:themeColor="text1"/>
          <w:sz w:val="20"/>
          <w:szCs w:val="20"/>
        </w:rPr>
        <w:t>esset</w:t>
      </w:r>
      <w:proofErr w:type="spellEnd"/>
      <w:r w:rsidRPr="009D7635">
        <w:rPr>
          <w:rFonts w:ascii="Times New Roman" w:hAnsi="Times New Roman" w:cs="Times New Roman"/>
          <w:i/>
          <w:color w:val="000000" w:themeColor="text1"/>
          <w:sz w:val="20"/>
          <w:szCs w:val="20"/>
        </w:rPr>
        <w:t xml:space="preserve">, non </w:t>
      </w:r>
      <w:proofErr w:type="spellStart"/>
      <w:r w:rsidRPr="009D7635">
        <w:rPr>
          <w:rFonts w:ascii="Times New Roman" w:hAnsi="Times New Roman" w:cs="Times New Roman"/>
          <w:i/>
          <w:color w:val="000000" w:themeColor="text1"/>
          <w:sz w:val="20"/>
          <w:szCs w:val="20"/>
        </w:rPr>
        <w:t>esset</w:t>
      </w:r>
      <w:proofErr w:type="spellEnd"/>
      <w:r w:rsidRPr="009D7635">
        <w:rPr>
          <w:rFonts w:ascii="Times New Roman" w:hAnsi="Times New Roman" w:cs="Times New Roman"/>
          <w:i/>
          <w:color w:val="000000" w:themeColor="text1"/>
          <w:sz w:val="20"/>
          <w:szCs w:val="20"/>
        </w:rPr>
        <w:t xml:space="preserve"> anima </w:t>
      </w:r>
      <w:proofErr w:type="spellStart"/>
      <w:r w:rsidRPr="009D7635">
        <w:rPr>
          <w:rFonts w:ascii="Times New Roman" w:hAnsi="Times New Roman" w:cs="Times New Roman"/>
          <w:i/>
          <w:color w:val="000000" w:themeColor="text1"/>
          <w:sz w:val="20"/>
          <w:szCs w:val="20"/>
        </w:rPr>
        <w:t>mutabilis</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bonitate</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malitiam</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veritate</w:t>
      </w:r>
      <w:proofErr w:type="spellEnd"/>
      <w:r w:rsidRPr="009D7635">
        <w:rPr>
          <w:rFonts w:ascii="Times New Roman" w:hAnsi="Times New Roman" w:cs="Times New Roman"/>
          <w:i/>
          <w:color w:val="000000" w:themeColor="text1"/>
          <w:sz w:val="20"/>
          <w:szCs w:val="20"/>
        </w:rPr>
        <w:t xml:space="preserve"> ad </w:t>
      </w:r>
      <w:proofErr w:type="spellStart"/>
      <w:r w:rsidRPr="009D7635">
        <w:rPr>
          <w:rFonts w:ascii="Times New Roman" w:hAnsi="Times New Roman" w:cs="Times New Roman"/>
          <w:i/>
          <w:color w:val="000000" w:themeColor="text1"/>
          <w:sz w:val="20"/>
          <w:szCs w:val="20"/>
        </w:rPr>
        <w:t>errorem</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gaudio</w:t>
      </w:r>
      <w:proofErr w:type="spellEnd"/>
      <w:r w:rsidRPr="009D7635">
        <w:rPr>
          <w:rFonts w:ascii="Times New Roman" w:hAnsi="Times New Roman" w:cs="Times New Roman"/>
          <w:i/>
          <w:color w:val="000000" w:themeColor="text1"/>
          <w:sz w:val="20"/>
          <w:szCs w:val="20"/>
        </w:rPr>
        <w:t xml:space="preserve"> ad </w:t>
      </w:r>
      <w:proofErr w:type="spellStart"/>
      <w:r w:rsidRPr="009D7635">
        <w:rPr>
          <w:rFonts w:ascii="Times New Roman" w:hAnsi="Times New Roman" w:cs="Times New Roman"/>
          <w:i/>
          <w:color w:val="000000" w:themeColor="text1"/>
          <w:sz w:val="20"/>
          <w:szCs w:val="20"/>
        </w:rPr>
        <w:t>tristitiam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substantia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enim</w:t>
      </w:r>
      <w:proofErr w:type="spellEnd"/>
      <w:r w:rsidRPr="009D7635">
        <w:rPr>
          <w:rFonts w:ascii="Times New Roman" w:hAnsi="Times New Roman" w:cs="Times New Roman"/>
          <w:i/>
          <w:color w:val="000000" w:themeColor="text1"/>
          <w:sz w:val="20"/>
          <w:szCs w:val="20"/>
        </w:rPr>
        <w:t xml:space="preserve"> Dei </w:t>
      </w:r>
      <w:proofErr w:type="spellStart"/>
      <w:r w:rsidRPr="009D7635">
        <w:rPr>
          <w:rFonts w:ascii="Times New Roman" w:hAnsi="Times New Roman" w:cs="Times New Roman"/>
          <w:i/>
          <w:color w:val="000000" w:themeColor="text1"/>
          <w:sz w:val="20"/>
          <w:szCs w:val="20"/>
        </w:rPr>
        <w:t>incommutabilis</w:t>
      </w:r>
      <w:proofErr w:type="spellEnd"/>
      <w:r w:rsidRPr="009D7635">
        <w:rPr>
          <w:rFonts w:ascii="Times New Roman" w:hAnsi="Times New Roman" w:cs="Times New Roman"/>
          <w:i/>
          <w:color w:val="000000" w:themeColor="text1"/>
          <w:sz w:val="20"/>
          <w:szCs w:val="20"/>
        </w:rPr>
        <w:t xml:space="preserve"> est.</w:t>
      </w:r>
      <w:r w:rsidRPr="009D7635">
        <w:rPr>
          <w:rFonts w:ascii="Times New Roman" w:hAnsi="Times New Roman" w:cs="Times New Roman"/>
          <w:color w:val="000000" w:themeColor="text1"/>
          <w:sz w:val="20"/>
          <w:szCs w:val="20"/>
        </w:rPr>
        <w:t xml:space="preserve"> ‘The soul is not of God’s substance, because if this were the case, then God’s substance would be the soul or part of the soul, so that the soul would be produced out of God’s substance. As God is entirely unchanging, this means that if the soul were of God’s substance, the soul would not be changeable from good to evil, etc…The soul would be the same as God and as other souls, and there would be one soul in all, which is absurd.’ See also John of La Rochelle,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color w:val="000000" w:themeColor="text1"/>
          <w:sz w:val="20"/>
          <w:szCs w:val="20"/>
        </w:rPr>
        <w:t>, 64, which states that the soul is not made of the substance of God.</w:t>
      </w:r>
    </w:p>
  </w:footnote>
  <w:footnote w:id="311">
    <w:p w14:paraId="5D41AAC8" w14:textId="29715B6B"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S1, Q2, Ti2, C2,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xml:space="preserve"> II, 401.</w:t>
      </w:r>
    </w:p>
  </w:footnote>
  <w:footnote w:id="312">
    <w:p w14:paraId="3B419C5D"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John of La Rochelle, </w:t>
      </w:r>
      <w:r w:rsidRPr="009D7635">
        <w:rPr>
          <w:rFonts w:ascii="Times New Roman" w:hAnsi="Times New Roman" w:cs="Times New Roman"/>
          <w:i/>
          <w:color w:val="000000" w:themeColor="text1"/>
        </w:rPr>
        <w:t>Summa de anima</w:t>
      </w:r>
      <w:r w:rsidRPr="009D7635">
        <w:rPr>
          <w:rFonts w:ascii="Times New Roman" w:hAnsi="Times New Roman" w:cs="Times New Roman"/>
          <w:color w:val="000000" w:themeColor="text1"/>
        </w:rPr>
        <w:t>, 74.</w:t>
      </w:r>
    </w:p>
  </w:footnote>
  <w:footnote w:id="313">
    <w:p w14:paraId="163A8F3E" w14:textId="32066878" w:rsidR="00B93ED5" w:rsidRPr="009D7635" w:rsidRDefault="00B93ED5" w:rsidP="00B40B5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On the twelfth-century developments, see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‘La composition </w:t>
      </w:r>
      <w:proofErr w:type="spellStart"/>
      <w:r w:rsidRPr="009D7635">
        <w:rPr>
          <w:rFonts w:ascii="Times New Roman" w:hAnsi="Times New Roman" w:cs="Times New Roman"/>
          <w:bCs/>
          <w:color w:val="000000" w:themeColor="text1"/>
        </w:rPr>
        <w:t>hylémorphique</w:t>
      </w:r>
      <w:proofErr w:type="spellEnd"/>
      <w:r w:rsidRPr="009D7635">
        <w:rPr>
          <w:rFonts w:ascii="Times New Roman" w:hAnsi="Times New Roman" w:cs="Times New Roman"/>
          <w:bCs/>
          <w:color w:val="000000" w:themeColor="text1"/>
        </w:rPr>
        <w:t xml:space="preserve"> des substances </w:t>
      </w:r>
      <w:proofErr w:type="spellStart"/>
      <w:r w:rsidRPr="009D7635">
        <w:rPr>
          <w:rFonts w:ascii="Times New Roman" w:hAnsi="Times New Roman" w:cs="Times New Roman"/>
          <w:bCs/>
          <w:color w:val="000000" w:themeColor="text1"/>
        </w:rPr>
        <w:t>spirituelles</w:t>
      </w:r>
      <w:proofErr w:type="spellEnd"/>
      <w:r w:rsidRPr="009D7635">
        <w:rPr>
          <w:rFonts w:ascii="Times New Roman" w:hAnsi="Times New Roman" w:cs="Times New Roman"/>
          <w:bCs/>
          <w:color w:val="000000" w:themeColor="text1"/>
        </w:rPr>
        <w:t xml:space="preserve">,’ </w:t>
      </w:r>
      <w:r w:rsidRPr="009D7635">
        <w:rPr>
          <w:rFonts w:ascii="Times New Roman" w:hAnsi="Times New Roman" w:cs="Times New Roman"/>
          <w:bCs/>
          <w:i/>
          <w:iCs/>
          <w:color w:val="000000" w:themeColor="text1"/>
        </w:rPr>
        <w:t xml:space="preserve">Revue </w:t>
      </w:r>
      <w:proofErr w:type="spellStart"/>
      <w:r w:rsidRPr="009D7635">
        <w:rPr>
          <w:rFonts w:ascii="Times New Roman" w:hAnsi="Times New Roman" w:cs="Times New Roman"/>
          <w:bCs/>
          <w:i/>
          <w:iCs/>
          <w:color w:val="000000" w:themeColor="text1"/>
        </w:rPr>
        <w:t>néoscholastique</w:t>
      </w:r>
      <w:proofErr w:type="spellEnd"/>
      <w:r w:rsidRPr="009D7635">
        <w:rPr>
          <w:rFonts w:ascii="Times New Roman" w:hAnsi="Times New Roman" w:cs="Times New Roman"/>
          <w:bCs/>
          <w:i/>
          <w:iCs/>
          <w:color w:val="000000" w:themeColor="text1"/>
        </w:rPr>
        <w:t xml:space="preserve"> de philosophie </w:t>
      </w:r>
      <w:r w:rsidRPr="009D7635">
        <w:rPr>
          <w:rFonts w:ascii="Times New Roman" w:hAnsi="Times New Roman" w:cs="Times New Roman"/>
          <w:bCs/>
          <w:color w:val="000000" w:themeColor="text1"/>
        </w:rPr>
        <w:t xml:space="preserve">34 (1932), 22 of 21-41. </w:t>
      </w:r>
    </w:p>
  </w:footnote>
  <w:footnote w:id="314">
    <w:p w14:paraId="5F95F532" w14:textId="77777777" w:rsidR="00B93ED5" w:rsidRPr="009D7635" w:rsidRDefault="00B93ED5" w:rsidP="008F352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‘La composition </w:t>
      </w:r>
      <w:proofErr w:type="spellStart"/>
      <w:r w:rsidRPr="009D7635">
        <w:rPr>
          <w:rFonts w:ascii="Times New Roman" w:hAnsi="Times New Roman" w:cs="Times New Roman"/>
          <w:bCs/>
          <w:color w:val="000000" w:themeColor="text1"/>
        </w:rPr>
        <w:t>hylémorphique</w:t>
      </w:r>
      <w:proofErr w:type="spellEnd"/>
      <w:r w:rsidRPr="009D7635">
        <w:rPr>
          <w:rFonts w:ascii="Times New Roman" w:hAnsi="Times New Roman" w:cs="Times New Roman"/>
          <w:bCs/>
          <w:color w:val="000000" w:themeColor="text1"/>
        </w:rPr>
        <w:t xml:space="preserve"> des substances </w:t>
      </w:r>
      <w:proofErr w:type="spellStart"/>
      <w:r w:rsidRPr="009D7635">
        <w:rPr>
          <w:rFonts w:ascii="Times New Roman" w:hAnsi="Times New Roman" w:cs="Times New Roman"/>
          <w:bCs/>
          <w:color w:val="000000" w:themeColor="text1"/>
        </w:rPr>
        <w:t>spirituelles</w:t>
      </w:r>
      <w:proofErr w:type="spellEnd"/>
      <w:r w:rsidRPr="009D7635">
        <w:rPr>
          <w:rFonts w:ascii="Times New Roman" w:hAnsi="Times New Roman" w:cs="Times New Roman"/>
          <w:bCs/>
          <w:color w:val="000000" w:themeColor="text1"/>
        </w:rPr>
        <w:t xml:space="preserve">,’ </w:t>
      </w:r>
      <w:r w:rsidRPr="009D7635">
        <w:rPr>
          <w:rFonts w:ascii="Times New Roman" w:hAnsi="Times New Roman" w:cs="Times New Roman"/>
          <w:color w:val="000000" w:themeColor="text1"/>
        </w:rPr>
        <w:t xml:space="preserve">23: This view was picked up by Simon of </w:t>
      </w:r>
      <w:proofErr w:type="spellStart"/>
      <w:r w:rsidRPr="009D7635">
        <w:rPr>
          <w:rFonts w:ascii="Times New Roman" w:hAnsi="Times New Roman" w:cs="Times New Roman"/>
          <w:color w:val="000000" w:themeColor="text1"/>
        </w:rPr>
        <w:t>Tournai</w:t>
      </w:r>
      <w:proofErr w:type="spellEnd"/>
      <w:r w:rsidRPr="009D7635">
        <w:rPr>
          <w:rFonts w:ascii="Times New Roman" w:hAnsi="Times New Roman" w:cs="Times New Roman"/>
          <w:color w:val="000000" w:themeColor="text1"/>
        </w:rPr>
        <w:t>.</w:t>
      </w:r>
    </w:p>
  </w:footnote>
  <w:footnote w:id="315">
    <w:p w14:paraId="65D41FF5" w14:textId="3F77E1EC" w:rsidR="006A7518" w:rsidRPr="009D7635" w:rsidRDefault="006A7518">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William of </w:t>
      </w:r>
      <w:proofErr w:type="spellStart"/>
      <w:r w:rsidRPr="009D7635">
        <w:rPr>
          <w:rFonts w:ascii="Times New Roman" w:hAnsi="Times New Roman" w:cs="Times New Roman"/>
          <w:color w:val="000000" w:themeColor="text1"/>
        </w:rPr>
        <w:t>Auxerre</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 xml:space="preserve">Summa </w:t>
      </w:r>
      <w:proofErr w:type="spellStart"/>
      <w:r w:rsidRPr="009D7635">
        <w:rPr>
          <w:rFonts w:ascii="Times New Roman" w:hAnsi="Times New Roman" w:cs="Times New Roman"/>
          <w:i/>
          <w:iCs/>
          <w:color w:val="000000" w:themeColor="text1"/>
        </w:rPr>
        <w:t>aurea</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 xml:space="preserve">ed. Jean </w:t>
      </w:r>
      <w:proofErr w:type="spellStart"/>
      <w:r w:rsidRPr="009D7635">
        <w:rPr>
          <w:rFonts w:ascii="Times New Roman" w:hAnsi="Times New Roman" w:cs="Times New Roman"/>
          <w:color w:val="000000" w:themeColor="text1"/>
        </w:rPr>
        <w:t>Riballier</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Spicilegium</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Bonaventurianum</w:t>
      </w:r>
      <w:proofErr w:type="spellEnd"/>
      <w:r w:rsidRPr="009D7635">
        <w:rPr>
          <w:rFonts w:ascii="Times New Roman" w:hAnsi="Times New Roman" w:cs="Times New Roman"/>
          <w:color w:val="000000" w:themeColor="text1"/>
        </w:rPr>
        <w:t xml:space="preserve"> 16 (</w:t>
      </w:r>
      <w:r w:rsidR="00213718" w:rsidRPr="009D7635">
        <w:rPr>
          <w:rFonts w:ascii="Times New Roman" w:hAnsi="Times New Roman" w:cs="Times New Roman"/>
          <w:color w:val="000000" w:themeColor="text1"/>
        </w:rPr>
        <w:t xml:space="preserve">Rome: </w:t>
      </w:r>
      <w:proofErr w:type="spellStart"/>
      <w:r w:rsidR="00213718" w:rsidRPr="009D7635">
        <w:rPr>
          <w:rFonts w:ascii="Times New Roman" w:hAnsi="Times New Roman" w:cs="Times New Roman"/>
          <w:color w:val="000000" w:themeColor="text1"/>
        </w:rPr>
        <w:t>Quarrachi</w:t>
      </w:r>
      <w:proofErr w:type="spellEnd"/>
      <w:r w:rsidR="00213718" w:rsidRPr="009D7635">
        <w:rPr>
          <w:rFonts w:ascii="Times New Roman" w:hAnsi="Times New Roman" w:cs="Times New Roman"/>
          <w:color w:val="000000" w:themeColor="text1"/>
        </w:rPr>
        <w:t xml:space="preserve">, 1980), </w:t>
      </w:r>
      <w:r w:rsidRPr="009D7635">
        <w:rPr>
          <w:rFonts w:ascii="Times New Roman" w:hAnsi="Times New Roman" w:cs="Times New Roman"/>
          <w:color w:val="000000" w:themeColor="text1"/>
        </w:rPr>
        <w:t>Liber 1, Tr 2, p. 24</w:t>
      </w:r>
    </w:p>
  </w:footnote>
  <w:footnote w:id="316">
    <w:p w14:paraId="16EC6E6F"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‘La composition </w:t>
      </w:r>
      <w:proofErr w:type="spellStart"/>
      <w:r w:rsidRPr="009D7635">
        <w:rPr>
          <w:rFonts w:ascii="Times New Roman" w:hAnsi="Times New Roman" w:cs="Times New Roman"/>
          <w:bCs/>
          <w:color w:val="000000" w:themeColor="text1"/>
        </w:rPr>
        <w:t>hylémorphique</w:t>
      </w:r>
      <w:proofErr w:type="spellEnd"/>
      <w:r w:rsidRPr="009D7635">
        <w:rPr>
          <w:rFonts w:ascii="Times New Roman" w:hAnsi="Times New Roman" w:cs="Times New Roman"/>
          <w:bCs/>
          <w:color w:val="000000" w:themeColor="text1"/>
        </w:rPr>
        <w:t xml:space="preserve"> des substances </w:t>
      </w:r>
      <w:proofErr w:type="spellStart"/>
      <w:r w:rsidRPr="009D7635">
        <w:rPr>
          <w:rFonts w:ascii="Times New Roman" w:hAnsi="Times New Roman" w:cs="Times New Roman"/>
          <w:bCs/>
          <w:color w:val="000000" w:themeColor="text1"/>
        </w:rPr>
        <w:t>spirituelles</w:t>
      </w:r>
      <w:proofErr w:type="spellEnd"/>
      <w:r w:rsidRPr="009D7635">
        <w:rPr>
          <w:rFonts w:ascii="Times New Roman" w:hAnsi="Times New Roman" w:cs="Times New Roman"/>
          <w:bCs/>
          <w:color w:val="000000" w:themeColor="text1"/>
        </w:rPr>
        <w:t xml:space="preserve">,’ </w:t>
      </w:r>
      <w:r w:rsidRPr="009D7635">
        <w:rPr>
          <w:rFonts w:ascii="Times New Roman" w:hAnsi="Times New Roman" w:cs="Times New Roman"/>
          <w:color w:val="000000" w:themeColor="text1"/>
        </w:rPr>
        <w:t>23.</w:t>
      </w:r>
    </w:p>
  </w:footnote>
  <w:footnote w:id="317">
    <w:p w14:paraId="24352689" w14:textId="669F84CA"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E. </w:t>
      </w:r>
      <w:proofErr w:type="spellStart"/>
      <w:r w:rsidRPr="009D7635">
        <w:rPr>
          <w:rFonts w:ascii="Times New Roman" w:hAnsi="Times New Roman" w:cs="Times New Roman"/>
          <w:color w:val="000000" w:themeColor="text1"/>
        </w:rPr>
        <w:t>Kleineidam</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Das Problem der </w:t>
      </w:r>
      <w:proofErr w:type="spellStart"/>
      <w:r w:rsidRPr="009D7635">
        <w:rPr>
          <w:rFonts w:ascii="Times New Roman" w:hAnsi="Times New Roman" w:cs="Times New Roman"/>
          <w:i/>
          <w:color w:val="000000" w:themeColor="text1"/>
        </w:rPr>
        <w:t>Hylomorphen</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Zusammensetzung</w:t>
      </w:r>
      <w:proofErr w:type="spellEnd"/>
      <w:r w:rsidRPr="009D7635">
        <w:rPr>
          <w:rFonts w:ascii="Times New Roman" w:hAnsi="Times New Roman" w:cs="Times New Roman"/>
          <w:i/>
          <w:color w:val="000000" w:themeColor="text1"/>
        </w:rPr>
        <w:t xml:space="preserve"> der </w:t>
      </w:r>
      <w:proofErr w:type="spellStart"/>
      <w:r w:rsidRPr="009D7635">
        <w:rPr>
          <w:rFonts w:ascii="Times New Roman" w:hAnsi="Times New Roman" w:cs="Times New Roman"/>
          <w:i/>
          <w:color w:val="000000" w:themeColor="text1"/>
        </w:rPr>
        <w:t>Geistigen</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Substanzen</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im</w:t>
      </w:r>
      <w:proofErr w:type="spellEnd"/>
      <w:r w:rsidRPr="009D7635">
        <w:rPr>
          <w:rFonts w:ascii="Times New Roman" w:hAnsi="Times New Roman" w:cs="Times New Roman"/>
          <w:i/>
          <w:color w:val="000000" w:themeColor="text1"/>
        </w:rPr>
        <w:t xml:space="preserve"> 13. </w:t>
      </w:r>
      <w:proofErr w:type="spellStart"/>
      <w:r w:rsidRPr="009D7635">
        <w:rPr>
          <w:rFonts w:ascii="Times New Roman" w:hAnsi="Times New Roman" w:cs="Times New Roman"/>
          <w:i/>
          <w:color w:val="000000" w:themeColor="text1"/>
        </w:rPr>
        <w:t>Jahrhundert</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(PhD, Breslau, 1930). See also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Lottin’s</w:t>
      </w:r>
      <w:proofErr w:type="spellEnd"/>
      <w:r w:rsidRPr="009D7635">
        <w:rPr>
          <w:rFonts w:ascii="Times New Roman" w:hAnsi="Times New Roman" w:cs="Times New Roman"/>
          <w:color w:val="000000" w:themeColor="text1"/>
        </w:rPr>
        <w:t xml:space="preserve"> review of </w:t>
      </w:r>
      <w:proofErr w:type="spellStart"/>
      <w:r w:rsidRPr="009D7635">
        <w:rPr>
          <w:rFonts w:ascii="Times New Roman" w:hAnsi="Times New Roman" w:cs="Times New Roman"/>
          <w:color w:val="000000" w:themeColor="text1"/>
        </w:rPr>
        <w:t>Kleineidam</w:t>
      </w:r>
      <w:proofErr w:type="spellEnd"/>
      <w:r w:rsidRPr="009D7635">
        <w:rPr>
          <w:rFonts w:ascii="Times New Roman" w:hAnsi="Times New Roman" w:cs="Times New Roman"/>
          <w:color w:val="000000" w:themeColor="text1"/>
        </w:rPr>
        <w:t xml:space="preserve"> in </w:t>
      </w:r>
      <w:proofErr w:type="spellStart"/>
      <w:r w:rsidRPr="009D7635">
        <w:rPr>
          <w:rFonts w:ascii="Times New Roman" w:hAnsi="Times New Roman" w:cs="Times New Roman"/>
          <w:i/>
          <w:iCs/>
          <w:color w:val="000000" w:themeColor="text1"/>
        </w:rPr>
        <w:t>Recherches</w:t>
      </w:r>
      <w:proofErr w:type="spellEnd"/>
      <w:r w:rsidRPr="009D7635">
        <w:rPr>
          <w:rFonts w:ascii="Times New Roman" w:hAnsi="Times New Roman" w:cs="Times New Roman"/>
          <w:i/>
          <w:iCs/>
          <w:color w:val="000000" w:themeColor="text1"/>
        </w:rPr>
        <w:t xml:space="preserve"> de </w:t>
      </w:r>
      <w:proofErr w:type="spellStart"/>
      <w:r w:rsidRPr="009D7635">
        <w:rPr>
          <w:rFonts w:ascii="Times New Roman" w:hAnsi="Times New Roman" w:cs="Times New Roman"/>
          <w:i/>
          <w:iCs/>
          <w:color w:val="000000" w:themeColor="text1"/>
        </w:rPr>
        <w:t>théologie</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ancienne</w:t>
      </w:r>
      <w:proofErr w:type="spellEnd"/>
      <w:r w:rsidRPr="009D7635">
        <w:rPr>
          <w:rFonts w:ascii="Times New Roman" w:hAnsi="Times New Roman" w:cs="Times New Roman"/>
          <w:i/>
          <w:iCs/>
          <w:color w:val="000000" w:themeColor="text1"/>
        </w:rPr>
        <w:t xml:space="preserve"> et </w:t>
      </w:r>
      <w:proofErr w:type="spellStart"/>
      <w:r w:rsidRPr="009D7635">
        <w:rPr>
          <w:rFonts w:ascii="Times New Roman" w:hAnsi="Times New Roman" w:cs="Times New Roman"/>
          <w:i/>
          <w:iCs/>
          <w:color w:val="000000" w:themeColor="text1"/>
        </w:rPr>
        <w:t>médiévale</w:t>
      </w:r>
      <w:proofErr w:type="spellEnd"/>
      <w:r w:rsidRPr="009D7635">
        <w:rPr>
          <w:rFonts w:ascii="Times New Roman" w:hAnsi="Times New Roman" w:cs="Times New Roman"/>
          <w:color w:val="000000" w:themeColor="text1"/>
        </w:rPr>
        <w:t xml:space="preserve"> (1931)</w:t>
      </w:r>
      <w:r w:rsidR="00973D1C"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430-1; and his </w:t>
      </w:r>
      <w:r w:rsidRPr="009D7635">
        <w:rPr>
          <w:rFonts w:ascii="Times New Roman" w:hAnsi="Times New Roman" w:cs="Times New Roman"/>
          <w:i/>
          <w:color w:val="000000" w:themeColor="text1"/>
          <w:lang w:val="de-DE"/>
        </w:rPr>
        <w:t xml:space="preserve">Psychologie et </w:t>
      </w:r>
      <w:proofErr w:type="spellStart"/>
      <w:r w:rsidRPr="009D7635">
        <w:rPr>
          <w:rFonts w:ascii="Times New Roman" w:hAnsi="Times New Roman" w:cs="Times New Roman"/>
          <w:i/>
          <w:color w:val="000000" w:themeColor="text1"/>
          <w:lang w:val="de-DE"/>
        </w:rPr>
        <w:t>morale</w:t>
      </w:r>
      <w:proofErr w:type="spellEnd"/>
      <w:r w:rsidRPr="009D7635">
        <w:rPr>
          <w:rFonts w:ascii="Times New Roman" w:hAnsi="Times New Roman" w:cs="Times New Roman"/>
          <w:i/>
          <w:color w:val="000000" w:themeColor="text1"/>
          <w:lang w:val="de-DE"/>
        </w:rPr>
        <w:t xml:space="preserve"> au XII</w:t>
      </w:r>
      <w:r w:rsidRPr="009D7635">
        <w:rPr>
          <w:rFonts w:ascii="Times New Roman" w:hAnsi="Times New Roman" w:cs="Times New Roman"/>
          <w:i/>
          <w:color w:val="000000" w:themeColor="text1"/>
          <w:vertAlign w:val="superscript"/>
          <w:lang w:val="de-DE"/>
        </w:rPr>
        <w:t>e</w:t>
      </w:r>
      <w:r w:rsidRPr="009D7635">
        <w:rPr>
          <w:rFonts w:ascii="Times New Roman" w:hAnsi="Times New Roman" w:cs="Times New Roman"/>
          <w:i/>
          <w:color w:val="000000" w:themeColor="text1"/>
          <w:lang w:val="de-DE"/>
        </w:rPr>
        <w:t xml:space="preserve"> et XIII</w:t>
      </w:r>
      <w:r w:rsidRPr="009D7635">
        <w:rPr>
          <w:rFonts w:ascii="Times New Roman" w:hAnsi="Times New Roman" w:cs="Times New Roman"/>
          <w:i/>
          <w:color w:val="000000" w:themeColor="text1"/>
          <w:vertAlign w:val="superscript"/>
          <w:lang w:val="de-DE"/>
        </w:rPr>
        <w:t>e</w:t>
      </w:r>
      <w:r w:rsidRPr="009D7635">
        <w:rPr>
          <w:rFonts w:ascii="Times New Roman" w:hAnsi="Times New Roman" w:cs="Times New Roman"/>
          <w:i/>
          <w:color w:val="000000" w:themeColor="text1"/>
          <w:lang w:val="de-DE"/>
        </w:rPr>
        <w:t xml:space="preserve"> </w:t>
      </w:r>
      <w:proofErr w:type="spellStart"/>
      <w:r w:rsidRPr="009D7635">
        <w:rPr>
          <w:rFonts w:ascii="Times New Roman" w:hAnsi="Times New Roman" w:cs="Times New Roman"/>
          <w:i/>
          <w:color w:val="000000" w:themeColor="text1"/>
          <w:lang w:val="de-DE"/>
        </w:rPr>
        <w:t>siècles</w:t>
      </w:r>
      <w:proofErr w:type="spellEnd"/>
      <w:r w:rsidRPr="009D7635">
        <w:rPr>
          <w:rFonts w:ascii="Times New Roman" w:hAnsi="Times New Roman" w:cs="Times New Roman"/>
          <w:color w:val="000000" w:themeColor="text1"/>
          <w:lang w:val="de-DE"/>
        </w:rPr>
        <w:t>, vol. 1 (</w:t>
      </w:r>
      <w:proofErr w:type="spellStart"/>
      <w:r w:rsidRPr="009D7635">
        <w:rPr>
          <w:rFonts w:ascii="Times New Roman" w:hAnsi="Times New Roman" w:cs="Times New Roman"/>
          <w:color w:val="000000" w:themeColor="text1"/>
        </w:rPr>
        <w:t>Gembloux</w:t>
      </w:r>
      <w:proofErr w:type="spellEnd"/>
      <w:r w:rsidRPr="009D7635">
        <w:rPr>
          <w:rFonts w:ascii="Times New Roman" w:hAnsi="Times New Roman" w:cs="Times New Roman"/>
          <w:color w:val="000000" w:themeColor="text1"/>
        </w:rPr>
        <w:t xml:space="preserve">: J. </w:t>
      </w:r>
      <w:proofErr w:type="spellStart"/>
      <w:r w:rsidRPr="009D7635">
        <w:rPr>
          <w:rFonts w:ascii="Times New Roman" w:hAnsi="Times New Roman" w:cs="Times New Roman"/>
          <w:color w:val="000000" w:themeColor="text1"/>
        </w:rPr>
        <w:t>Duculot</w:t>
      </w:r>
      <w:proofErr w:type="spellEnd"/>
      <w:r w:rsidRPr="009D7635">
        <w:rPr>
          <w:rFonts w:ascii="Times New Roman" w:hAnsi="Times New Roman" w:cs="Times New Roman"/>
          <w:color w:val="000000" w:themeColor="text1"/>
        </w:rPr>
        <w:t>, 1957</w:t>
      </w:r>
      <w:r w:rsidRPr="009D7635">
        <w:rPr>
          <w:rFonts w:ascii="Times New Roman" w:hAnsi="Times New Roman" w:cs="Times New Roman"/>
          <w:color w:val="000000" w:themeColor="text1"/>
          <w:lang w:val="de-DE"/>
        </w:rPr>
        <w:t xml:space="preserve">), </w:t>
      </w:r>
      <w:r w:rsidRPr="009D7635">
        <w:rPr>
          <w:rFonts w:ascii="Times New Roman" w:hAnsi="Times New Roman" w:cs="Times New Roman"/>
          <w:color w:val="000000" w:themeColor="text1"/>
        </w:rPr>
        <w:t>427-60.</w:t>
      </w:r>
    </w:p>
  </w:footnote>
  <w:footnote w:id="318">
    <w:p w14:paraId="0E784AA8" w14:textId="5325D5A2"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D.A. Callus, </w:t>
      </w:r>
      <w:r w:rsidR="000900B0" w:rsidRPr="009D7635">
        <w:rPr>
          <w:rFonts w:ascii="Times New Roman" w:hAnsi="Times New Roman" w:cs="Times New Roman"/>
          <w:color w:val="000000" w:themeColor="text1"/>
          <w:sz w:val="20"/>
          <w:szCs w:val="20"/>
        </w:rPr>
        <w:t>‘</w:t>
      </w:r>
      <w:proofErr w:type="spellStart"/>
      <w:r w:rsidR="000900B0" w:rsidRPr="009D7635">
        <w:rPr>
          <w:rFonts w:ascii="Times New Roman" w:hAnsi="Times New Roman" w:cs="Times New Roman"/>
          <w:color w:val="000000" w:themeColor="text1"/>
          <w:sz w:val="20"/>
          <w:szCs w:val="20"/>
        </w:rPr>
        <w:t>Gundissalinus</w:t>
      </w:r>
      <w:proofErr w:type="spellEnd"/>
      <w:r w:rsidR="000900B0" w:rsidRPr="009D7635">
        <w:rPr>
          <w:rFonts w:ascii="Times New Roman" w:hAnsi="Times New Roman" w:cs="Times New Roman"/>
          <w:color w:val="000000" w:themeColor="text1"/>
          <w:sz w:val="20"/>
          <w:szCs w:val="20"/>
        </w:rPr>
        <w:t xml:space="preserve">’ </w:t>
      </w:r>
      <w:r w:rsidR="000900B0" w:rsidRPr="009D7635">
        <w:rPr>
          <w:rFonts w:ascii="Times New Roman" w:hAnsi="Times New Roman" w:cs="Times New Roman"/>
          <w:i/>
          <w:color w:val="000000" w:themeColor="text1"/>
          <w:sz w:val="20"/>
          <w:szCs w:val="20"/>
        </w:rPr>
        <w:t xml:space="preserve">De anima </w:t>
      </w:r>
      <w:r w:rsidR="000900B0" w:rsidRPr="009D7635">
        <w:rPr>
          <w:rFonts w:ascii="Times New Roman" w:hAnsi="Times New Roman" w:cs="Times New Roman"/>
          <w:color w:val="000000" w:themeColor="text1"/>
          <w:sz w:val="20"/>
          <w:szCs w:val="20"/>
        </w:rPr>
        <w:t xml:space="preserve">and the Problem of the Substantial Form,’ </w:t>
      </w:r>
      <w:r w:rsidR="000900B0" w:rsidRPr="009D7635">
        <w:rPr>
          <w:rFonts w:ascii="Times New Roman" w:hAnsi="Times New Roman" w:cs="Times New Roman"/>
          <w:i/>
          <w:color w:val="000000" w:themeColor="text1"/>
          <w:sz w:val="20"/>
          <w:szCs w:val="20"/>
        </w:rPr>
        <w:t xml:space="preserve">The New Scholasticism </w:t>
      </w:r>
      <w:r w:rsidR="000900B0" w:rsidRPr="009D7635">
        <w:rPr>
          <w:rFonts w:ascii="Times New Roman" w:hAnsi="Times New Roman" w:cs="Times New Roman"/>
          <w:color w:val="000000" w:themeColor="text1"/>
          <w:sz w:val="20"/>
          <w:szCs w:val="20"/>
        </w:rPr>
        <w:t xml:space="preserve">13 (1939), </w:t>
      </w:r>
      <w:r w:rsidRPr="009D7635">
        <w:rPr>
          <w:rFonts w:ascii="Times New Roman" w:hAnsi="Times New Roman" w:cs="Times New Roman"/>
          <w:color w:val="000000" w:themeColor="text1"/>
          <w:sz w:val="20"/>
          <w:szCs w:val="20"/>
        </w:rPr>
        <w:t>432</w:t>
      </w:r>
      <w:r w:rsidRPr="009D7635">
        <w:rPr>
          <w:rFonts w:ascii="Times New Roman" w:hAnsi="Times New Roman" w:cs="Times New Roman"/>
          <w:color w:val="000000" w:themeColor="text1"/>
          <w:sz w:val="20"/>
          <w:szCs w:val="20"/>
          <w:shd w:val="clear" w:color="auto" w:fill="FFFFFF"/>
        </w:rPr>
        <w:t>.</w:t>
      </w:r>
      <w:r w:rsidRPr="009D7635">
        <w:rPr>
          <w:rStyle w:val="apple-converted-space"/>
          <w:rFonts w:ascii="Times New Roman" w:hAnsi="Times New Roman" w:cs="Times New Roman"/>
          <w:color w:val="000000" w:themeColor="text1"/>
          <w:sz w:val="20"/>
          <w:szCs w:val="20"/>
          <w:shd w:val="clear" w:color="auto" w:fill="FFFFFF"/>
        </w:rPr>
        <w:t> </w:t>
      </w:r>
      <w:proofErr w:type="spellStart"/>
      <w:r w:rsidRPr="009D7635">
        <w:rPr>
          <w:rStyle w:val="Emphasis"/>
          <w:rFonts w:ascii="Times New Roman" w:hAnsi="Times New Roman" w:cs="Times New Roman"/>
          <w:color w:val="000000" w:themeColor="text1"/>
          <w:sz w:val="20"/>
          <w:szCs w:val="20"/>
        </w:rPr>
        <w:t>Avencebrolis</w:t>
      </w:r>
      <w:proofErr w:type="spellEnd"/>
      <w:r w:rsidRPr="009D7635">
        <w:rPr>
          <w:rStyle w:val="Emphasis"/>
          <w:rFonts w:ascii="Times New Roman" w:hAnsi="Times New Roman" w:cs="Times New Roman"/>
          <w:color w:val="000000" w:themeColor="text1"/>
          <w:sz w:val="20"/>
          <w:szCs w:val="20"/>
        </w:rPr>
        <w:t xml:space="preserve"> (Ibn </w:t>
      </w:r>
      <w:proofErr w:type="spellStart"/>
      <w:r w:rsidRPr="009D7635">
        <w:rPr>
          <w:rStyle w:val="Emphasis"/>
          <w:rFonts w:ascii="Times New Roman" w:hAnsi="Times New Roman" w:cs="Times New Roman"/>
          <w:color w:val="000000" w:themeColor="text1"/>
          <w:sz w:val="20"/>
          <w:szCs w:val="20"/>
        </w:rPr>
        <w:t>Gabirol</w:t>
      </w:r>
      <w:proofErr w:type="spellEnd"/>
      <w:r w:rsidRPr="009D7635">
        <w:rPr>
          <w:rStyle w:val="Emphasis"/>
          <w:rFonts w:ascii="Times New Roman" w:hAnsi="Times New Roman" w:cs="Times New Roman"/>
          <w:color w:val="000000" w:themeColor="text1"/>
          <w:sz w:val="20"/>
          <w:szCs w:val="20"/>
        </w:rPr>
        <w:t xml:space="preserve">) Fons Vitae, ex </w:t>
      </w:r>
      <w:proofErr w:type="spellStart"/>
      <w:r w:rsidRPr="009D7635">
        <w:rPr>
          <w:rStyle w:val="Emphasis"/>
          <w:rFonts w:ascii="Times New Roman" w:hAnsi="Times New Roman" w:cs="Times New Roman"/>
          <w:color w:val="000000" w:themeColor="text1"/>
          <w:sz w:val="20"/>
          <w:szCs w:val="20"/>
        </w:rPr>
        <w:t>Arabico</w:t>
      </w:r>
      <w:proofErr w:type="spellEnd"/>
      <w:r w:rsidRPr="009D7635">
        <w:rPr>
          <w:rStyle w:val="Emphasis"/>
          <w:rFonts w:ascii="Times New Roman" w:hAnsi="Times New Roman" w:cs="Times New Roman"/>
          <w:color w:val="000000" w:themeColor="text1"/>
          <w:sz w:val="20"/>
          <w:szCs w:val="20"/>
        </w:rPr>
        <w:t xml:space="preserve"> in </w:t>
      </w:r>
      <w:proofErr w:type="spellStart"/>
      <w:r w:rsidRPr="009D7635">
        <w:rPr>
          <w:rStyle w:val="Emphasis"/>
          <w:rFonts w:ascii="Times New Roman" w:hAnsi="Times New Roman" w:cs="Times New Roman"/>
          <w:color w:val="000000" w:themeColor="text1"/>
          <w:sz w:val="20"/>
          <w:szCs w:val="20"/>
        </w:rPr>
        <w:t>Latinum</w:t>
      </w:r>
      <w:proofErr w:type="spellEnd"/>
      <w:r w:rsidRPr="009D7635">
        <w:rPr>
          <w:rStyle w:val="Emphasis"/>
          <w:rFonts w:ascii="Times New Roman" w:hAnsi="Times New Roman" w:cs="Times New Roman"/>
          <w:color w:val="000000" w:themeColor="text1"/>
          <w:sz w:val="20"/>
          <w:szCs w:val="20"/>
        </w:rPr>
        <w:t xml:space="preserve"> </w:t>
      </w:r>
      <w:proofErr w:type="spellStart"/>
      <w:r w:rsidRPr="009D7635">
        <w:rPr>
          <w:rStyle w:val="Emphasis"/>
          <w:rFonts w:ascii="Times New Roman" w:hAnsi="Times New Roman" w:cs="Times New Roman"/>
          <w:color w:val="000000" w:themeColor="text1"/>
          <w:sz w:val="20"/>
          <w:szCs w:val="20"/>
        </w:rPr>
        <w:t>Translatus</w:t>
      </w:r>
      <w:proofErr w:type="spellEnd"/>
      <w:r w:rsidRPr="009D7635">
        <w:rPr>
          <w:rStyle w:val="Emphasis"/>
          <w:rFonts w:ascii="Times New Roman" w:hAnsi="Times New Roman" w:cs="Times New Roman"/>
          <w:color w:val="000000" w:themeColor="text1"/>
          <w:sz w:val="20"/>
          <w:szCs w:val="20"/>
        </w:rPr>
        <w:t xml:space="preserve"> ab Johanne Hispano et </w:t>
      </w:r>
      <w:proofErr w:type="spellStart"/>
      <w:r w:rsidRPr="009D7635">
        <w:rPr>
          <w:rStyle w:val="Emphasis"/>
          <w:rFonts w:ascii="Times New Roman" w:hAnsi="Times New Roman" w:cs="Times New Roman"/>
          <w:color w:val="000000" w:themeColor="text1"/>
          <w:sz w:val="20"/>
          <w:szCs w:val="20"/>
        </w:rPr>
        <w:t>Dominico</w:t>
      </w:r>
      <w:proofErr w:type="spellEnd"/>
      <w:r w:rsidRPr="009D7635">
        <w:rPr>
          <w:rStyle w:val="Emphasis"/>
          <w:rFonts w:ascii="Times New Roman" w:hAnsi="Times New Roman" w:cs="Times New Roman"/>
          <w:color w:val="000000" w:themeColor="text1"/>
          <w:sz w:val="20"/>
          <w:szCs w:val="20"/>
        </w:rPr>
        <w:t xml:space="preserve"> </w:t>
      </w:r>
      <w:proofErr w:type="spellStart"/>
      <w:r w:rsidRPr="009D7635">
        <w:rPr>
          <w:rStyle w:val="Emphasis"/>
          <w:rFonts w:ascii="Times New Roman" w:hAnsi="Times New Roman" w:cs="Times New Roman"/>
          <w:color w:val="000000" w:themeColor="text1"/>
          <w:sz w:val="20"/>
          <w:szCs w:val="20"/>
        </w:rPr>
        <w:t>Gundissalino</w:t>
      </w:r>
      <w:proofErr w:type="spellEnd"/>
      <w:r w:rsidRPr="009D7635">
        <w:rPr>
          <w:rFonts w:ascii="Times New Roman" w:hAnsi="Times New Roman" w:cs="Times New Roman"/>
          <w:color w:val="000000" w:themeColor="text1"/>
          <w:sz w:val="20"/>
          <w:szCs w:val="20"/>
          <w:shd w:val="clear" w:color="auto" w:fill="FFFFFF"/>
        </w:rPr>
        <w:t xml:space="preserve">, ed. Clemens </w:t>
      </w:r>
      <w:proofErr w:type="spellStart"/>
      <w:r w:rsidRPr="009D7635">
        <w:rPr>
          <w:rFonts w:ascii="Times New Roman" w:hAnsi="Times New Roman" w:cs="Times New Roman"/>
          <w:color w:val="000000" w:themeColor="text1"/>
          <w:sz w:val="20"/>
          <w:szCs w:val="20"/>
          <w:shd w:val="clear" w:color="auto" w:fill="FFFFFF"/>
        </w:rPr>
        <w:t>Baeumker</w:t>
      </w:r>
      <w:proofErr w:type="spellEnd"/>
      <w:r w:rsidRPr="009D7635">
        <w:rPr>
          <w:rFonts w:ascii="Times New Roman" w:hAnsi="Times New Roman" w:cs="Times New Roman"/>
          <w:color w:val="000000" w:themeColor="text1"/>
          <w:sz w:val="20"/>
          <w:szCs w:val="20"/>
          <w:shd w:val="clear" w:color="auto" w:fill="FFFFFF"/>
        </w:rPr>
        <w:t xml:space="preserve"> (Münster: </w:t>
      </w:r>
      <w:proofErr w:type="spellStart"/>
      <w:r w:rsidRPr="009D7635">
        <w:rPr>
          <w:rFonts w:ascii="Times New Roman" w:hAnsi="Times New Roman" w:cs="Times New Roman"/>
          <w:color w:val="000000" w:themeColor="text1"/>
          <w:sz w:val="20"/>
          <w:szCs w:val="20"/>
        </w:rPr>
        <w:t>Aschendorff</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shd w:val="clear" w:color="auto" w:fill="FFFFFF"/>
        </w:rPr>
        <w:t xml:space="preserve">1892), </w:t>
      </w:r>
      <w:r w:rsidRPr="009D7635">
        <w:rPr>
          <w:rFonts w:ascii="Times New Roman" w:hAnsi="Times New Roman" w:cs="Times New Roman"/>
          <w:color w:val="000000" w:themeColor="text1"/>
          <w:sz w:val="20"/>
          <w:szCs w:val="20"/>
        </w:rPr>
        <w:t>298, 17-19.</w:t>
      </w:r>
    </w:p>
  </w:footnote>
  <w:footnote w:id="319">
    <w:p w14:paraId="15C287FA" w14:textId="3A992DF9" w:rsidR="00B93ED5" w:rsidRPr="009D7635" w:rsidRDefault="00B93ED5" w:rsidP="000F0F2F">
      <w:pPr>
        <w:autoSpaceDE w:val="0"/>
        <w:autoSpaceDN w:val="0"/>
        <w:adjustRightInd w:val="0"/>
        <w:rPr>
          <w:rFonts w:ascii="Times New Roman" w:eastAsia="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de-DE"/>
        </w:rPr>
        <w:t xml:space="preserve">Psychologie et </w:t>
      </w:r>
      <w:proofErr w:type="spellStart"/>
      <w:r w:rsidRPr="009D7635">
        <w:rPr>
          <w:rFonts w:ascii="Times New Roman" w:hAnsi="Times New Roman" w:cs="Times New Roman"/>
          <w:i/>
          <w:color w:val="000000" w:themeColor="text1"/>
          <w:sz w:val="20"/>
          <w:szCs w:val="20"/>
          <w:lang w:val="de-DE"/>
        </w:rPr>
        <w:t>morale</w:t>
      </w:r>
      <w:proofErr w:type="spellEnd"/>
      <w:r w:rsidRPr="009D7635">
        <w:rPr>
          <w:rFonts w:ascii="Times New Roman" w:hAnsi="Times New Roman" w:cs="Times New Roman"/>
          <w:i/>
          <w:color w:val="000000" w:themeColor="text1"/>
          <w:sz w:val="20"/>
          <w:szCs w:val="20"/>
          <w:lang w:val="de-DE"/>
        </w:rPr>
        <w:t xml:space="preserve"> au XII</w:t>
      </w:r>
      <w:r w:rsidRPr="009D7635">
        <w:rPr>
          <w:rFonts w:ascii="Times New Roman" w:hAnsi="Times New Roman" w:cs="Times New Roman"/>
          <w:i/>
          <w:color w:val="000000" w:themeColor="text1"/>
          <w:sz w:val="20"/>
          <w:szCs w:val="20"/>
          <w:vertAlign w:val="superscript"/>
          <w:lang w:val="de-DE"/>
        </w:rPr>
        <w:t>e</w:t>
      </w:r>
      <w:r w:rsidRPr="009D7635">
        <w:rPr>
          <w:rFonts w:ascii="Times New Roman" w:hAnsi="Times New Roman" w:cs="Times New Roman"/>
          <w:i/>
          <w:color w:val="000000" w:themeColor="text1"/>
          <w:sz w:val="20"/>
          <w:szCs w:val="20"/>
          <w:lang w:val="de-DE"/>
        </w:rPr>
        <w:t xml:space="preserve"> et XIII</w:t>
      </w:r>
      <w:r w:rsidRPr="009D7635">
        <w:rPr>
          <w:rFonts w:ascii="Times New Roman" w:hAnsi="Times New Roman" w:cs="Times New Roman"/>
          <w:i/>
          <w:color w:val="000000" w:themeColor="text1"/>
          <w:sz w:val="20"/>
          <w:szCs w:val="20"/>
          <w:vertAlign w:val="superscript"/>
          <w:lang w:val="de-DE"/>
        </w:rPr>
        <w:t>e</w:t>
      </w:r>
      <w:r w:rsidRPr="009D7635">
        <w:rPr>
          <w:rFonts w:ascii="Times New Roman" w:hAnsi="Times New Roman" w:cs="Times New Roman"/>
          <w:i/>
          <w:color w:val="000000" w:themeColor="text1"/>
          <w:sz w:val="20"/>
          <w:szCs w:val="20"/>
          <w:lang w:val="de-DE"/>
        </w:rPr>
        <w:t xml:space="preserve"> </w:t>
      </w:r>
      <w:proofErr w:type="spellStart"/>
      <w:r w:rsidRPr="009D7635">
        <w:rPr>
          <w:rFonts w:ascii="Times New Roman" w:hAnsi="Times New Roman" w:cs="Times New Roman"/>
          <w:i/>
          <w:color w:val="000000" w:themeColor="text1"/>
          <w:sz w:val="20"/>
          <w:szCs w:val="20"/>
          <w:lang w:val="de-DE"/>
        </w:rPr>
        <w:t>siècles</w:t>
      </w:r>
      <w:proofErr w:type="spellEnd"/>
      <w:r w:rsidRPr="009D7635">
        <w:rPr>
          <w:rFonts w:ascii="Times New Roman" w:hAnsi="Times New Roman" w:cs="Times New Roman"/>
          <w:color w:val="000000" w:themeColor="text1"/>
          <w:sz w:val="20"/>
          <w:szCs w:val="20"/>
          <w:lang w:val="de-DE"/>
        </w:rPr>
        <w:t>, vol. 1</w:t>
      </w:r>
      <w:r w:rsidR="000B3181" w:rsidRPr="009D7635">
        <w:rPr>
          <w:rFonts w:ascii="Times New Roman" w:hAnsi="Times New Roman" w:cs="Times New Roman"/>
          <w:color w:val="000000" w:themeColor="text1"/>
          <w:sz w:val="20"/>
          <w:szCs w:val="20"/>
          <w:lang w:val="de-DE"/>
        </w:rPr>
        <w:t xml:space="preserve">, </w:t>
      </w:r>
      <w:r w:rsidRPr="009D7635">
        <w:rPr>
          <w:rFonts w:ascii="Times New Roman" w:hAnsi="Times New Roman" w:cs="Times New Roman"/>
          <w:color w:val="000000" w:themeColor="text1"/>
          <w:sz w:val="20"/>
          <w:szCs w:val="20"/>
        </w:rPr>
        <w:t>427-50. See a relevant article by Daniel A. Callus, ‘</w:t>
      </w:r>
      <w:r w:rsidRPr="009D7635">
        <w:rPr>
          <w:rFonts w:ascii="Times New Roman" w:hAnsi="Times New Roman" w:cs="Times New Roman"/>
          <w:color w:val="000000" w:themeColor="text1"/>
          <w:sz w:val="20"/>
          <w:szCs w:val="20"/>
          <w:lang w:val="en-US"/>
        </w:rPr>
        <w:t>Two Early Masters on the Problem of Plurality of Forms</w:t>
      </w:r>
      <w:r w:rsidR="00E77C78"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Adam of Buckfield – Richard of Cornwall,’ </w:t>
      </w:r>
      <w:r w:rsidRPr="009D7635">
        <w:rPr>
          <w:rFonts w:ascii="Times New Roman" w:hAnsi="Times New Roman" w:cs="Times New Roman"/>
          <w:i/>
          <w:color w:val="000000" w:themeColor="text1"/>
          <w:sz w:val="20"/>
          <w:szCs w:val="20"/>
          <w:lang w:val="en-US"/>
        </w:rPr>
        <w:t xml:space="preserve">Revue </w:t>
      </w:r>
      <w:proofErr w:type="spellStart"/>
      <w:r w:rsidRPr="009D7635">
        <w:rPr>
          <w:rFonts w:ascii="Times New Roman" w:hAnsi="Times New Roman" w:cs="Times New Roman"/>
          <w:i/>
          <w:color w:val="000000" w:themeColor="text1"/>
          <w:sz w:val="20"/>
          <w:szCs w:val="20"/>
          <w:lang w:val="en-US"/>
        </w:rPr>
        <w:t>néo-scolastique</w:t>
      </w:r>
      <w:proofErr w:type="spellEnd"/>
      <w:r w:rsidRPr="009D7635">
        <w:rPr>
          <w:rFonts w:ascii="Times New Roman" w:hAnsi="Times New Roman" w:cs="Times New Roman"/>
          <w:i/>
          <w:color w:val="000000" w:themeColor="text1"/>
          <w:sz w:val="20"/>
          <w:szCs w:val="20"/>
          <w:lang w:val="en-US"/>
        </w:rPr>
        <w:t xml:space="preserve"> de philosophie </w:t>
      </w:r>
      <w:r w:rsidRPr="009D7635">
        <w:rPr>
          <w:rFonts w:ascii="Times New Roman" w:hAnsi="Times New Roman" w:cs="Times New Roman"/>
          <w:color w:val="000000" w:themeColor="text1"/>
          <w:sz w:val="20"/>
          <w:szCs w:val="20"/>
          <w:lang w:val="en-US"/>
        </w:rPr>
        <w:t>63 (1939)</w:t>
      </w:r>
      <w:r w:rsidR="00E77C78"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411-45.</w:t>
      </w:r>
    </w:p>
  </w:footnote>
  <w:footnote w:id="320">
    <w:p w14:paraId="6D723F5E" w14:textId="76F3E3BE"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 Callus, ‘</w:t>
      </w:r>
      <w:proofErr w:type="spellStart"/>
      <w:r w:rsidRPr="009D7635">
        <w:rPr>
          <w:rFonts w:ascii="Times New Roman" w:hAnsi="Times New Roman" w:cs="Times New Roman"/>
          <w:color w:val="000000" w:themeColor="text1"/>
        </w:rPr>
        <w:t>Gundissalinus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De anima</w:t>
      </w:r>
      <w:r w:rsidR="00FA164D" w:rsidRPr="009D7635">
        <w:rPr>
          <w:rFonts w:ascii="Times New Roman" w:hAnsi="Times New Roman" w:cs="Times New Roman"/>
          <w:iCs/>
          <w:color w:val="000000" w:themeColor="text1"/>
        </w:rPr>
        <w:t xml:space="preserve">,’ </w:t>
      </w:r>
      <w:r w:rsidRPr="009D7635">
        <w:rPr>
          <w:rFonts w:ascii="Times New Roman" w:hAnsi="Times New Roman" w:cs="Times New Roman"/>
          <w:iCs/>
          <w:color w:val="000000" w:themeColor="text1"/>
        </w:rPr>
        <w:t>348</w:t>
      </w:r>
      <w:r w:rsidRPr="009D7635">
        <w:rPr>
          <w:rFonts w:ascii="Times New Roman" w:hAnsi="Times New Roman" w:cs="Times New Roman"/>
          <w:color w:val="000000" w:themeColor="text1"/>
        </w:rPr>
        <w:t xml:space="preserve">. </w:t>
      </w:r>
      <w:r w:rsidR="0097622E" w:rsidRPr="009D7635">
        <w:rPr>
          <w:rFonts w:ascii="Times New Roman" w:hAnsi="Times New Roman" w:cs="Times New Roman"/>
          <w:color w:val="000000" w:themeColor="text1"/>
        </w:rPr>
        <w:t xml:space="preserve">Nicola Polloni, </w:t>
      </w:r>
      <w:r w:rsidR="0097622E" w:rsidRPr="009D7635">
        <w:rPr>
          <w:rFonts w:ascii="Times New Roman" w:hAnsi="Times New Roman" w:cs="Times New Roman"/>
          <w:i/>
          <w:iCs/>
          <w:color w:val="000000" w:themeColor="text1"/>
          <w:lang w:val="en-US"/>
        </w:rPr>
        <w:t>The Twelfth-Century Renewal of Latin Metaphysics</w:t>
      </w:r>
      <w:r w:rsidR="0069731C" w:rsidRPr="009D7635">
        <w:rPr>
          <w:rFonts w:ascii="Times New Roman" w:hAnsi="Times New Roman" w:cs="Times New Roman"/>
          <w:i/>
          <w:iCs/>
          <w:color w:val="000000" w:themeColor="text1"/>
          <w:lang w:val="en-US"/>
        </w:rPr>
        <w:t xml:space="preserve">: </w:t>
      </w:r>
      <w:proofErr w:type="spellStart"/>
      <w:r w:rsidR="0069731C" w:rsidRPr="009D7635">
        <w:rPr>
          <w:rFonts w:ascii="Times New Roman" w:hAnsi="Times New Roman" w:cs="Times New Roman"/>
          <w:i/>
          <w:iCs/>
          <w:color w:val="000000" w:themeColor="text1"/>
          <w:lang w:val="en-US"/>
        </w:rPr>
        <w:t>Gundissalinus’s</w:t>
      </w:r>
      <w:proofErr w:type="spellEnd"/>
      <w:r w:rsidR="0069731C" w:rsidRPr="009D7635">
        <w:rPr>
          <w:rFonts w:ascii="Times New Roman" w:hAnsi="Times New Roman" w:cs="Times New Roman"/>
          <w:i/>
          <w:iCs/>
          <w:color w:val="000000" w:themeColor="text1"/>
          <w:lang w:val="en-US"/>
        </w:rPr>
        <w:t xml:space="preserve"> Ontology of Matter and Form </w:t>
      </w:r>
      <w:r w:rsidR="0069731C" w:rsidRPr="009D7635">
        <w:rPr>
          <w:rFonts w:ascii="Times New Roman" w:hAnsi="Times New Roman" w:cs="Times New Roman"/>
          <w:color w:val="000000" w:themeColor="text1"/>
          <w:lang w:val="en-US"/>
        </w:rPr>
        <w:t xml:space="preserve">(Toronto: PIMS, 2020), </w:t>
      </w:r>
      <w:r w:rsidR="0097622E" w:rsidRPr="009D7635">
        <w:rPr>
          <w:rFonts w:ascii="Times New Roman" w:hAnsi="Times New Roman" w:cs="Times New Roman"/>
          <w:color w:val="000000" w:themeColor="text1"/>
          <w:lang w:val="en-US"/>
        </w:rPr>
        <w:t>208.</w:t>
      </w:r>
    </w:p>
  </w:footnote>
  <w:footnote w:id="321">
    <w:p w14:paraId="531279C0" w14:textId="08DA3A11"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James A. </w:t>
      </w:r>
      <w:proofErr w:type="spellStart"/>
      <w:r w:rsidRPr="009D7635">
        <w:rPr>
          <w:rFonts w:ascii="Times New Roman" w:hAnsi="Times New Roman" w:cs="Times New Roman"/>
          <w:color w:val="000000" w:themeColor="text1"/>
        </w:rPr>
        <w:t>Weisheipl</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Albertus</w:t>
      </w:r>
      <w:proofErr w:type="spellEnd"/>
      <w:r w:rsidRPr="009D7635">
        <w:rPr>
          <w:rFonts w:ascii="Times New Roman" w:hAnsi="Times New Roman" w:cs="Times New Roman"/>
          <w:color w:val="000000" w:themeColor="text1"/>
        </w:rPr>
        <w:t xml:space="preserve"> Magnus and Universal Hylomorphism: </w:t>
      </w:r>
      <w:proofErr w:type="spellStart"/>
      <w:r w:rsidRPr="009D7635">
        <w:rPr>
          <w:rFonts w:ascii="Times New Roman" w:hAnsi="Times New Roman" w:cs="Times New Roman"/>
          <w:color w:val="000000" w:themeColor="text1"/>
        </w:rPr>
        <w:t>Avicebron</w:t>
      </w:r>
      <w:proofErr w:type="spellEnd"/>
      <w:r w:rsidRPr="009D7635">
        <w:rPr>
          <w:rFonts w:ascii="Times New Roman" w:hAnsi="Times New Roman" w:cs="Times New Roman"/>
          <w:color w:val="000000" w:themeColor="text1"/>
        </w:rPr>
        <w:t xml:space="preserve">—A Note on Thirteenth-Century </w:t>
      </w:r>
      <w:proofErr w:type="spellStart"/>
      <w:r w:rsidRPr="009D7635">
        <w:rPr>
          <w:rFonts w:ascii="Times New Roman" w:hAnsi="Times New Roman" w:cs="Times New Roman"/>
          <w:color w:val="000000" w:themeColor="text1"/>
        </w:rPr>
        <w:t>Augustinianism</w:t>
      </w:r>
      <w:proofErr w:type="spellEnd"/>
      <w:r w:rsidRPr="009D7635">
        <w:rPr>
          <w:rFonts w:ascii="Times New Roman" w:hAnsi="Times New Roman" w:cs="Times New Roman"/>
          <w:color w:val="000000" w:themeColor="text1"/>
        </w:rPr>
        <w:t xml:space="preserve">,’ in </w:t>
      </w:r>
      <w:r w:rsidRPr="009D7635">
        <w:rPr>
          <w:rFonts w:ascii="Times New Roman" w:hAnsi="Times New Roman" w:cs="Times New Roman"/>
          <w:i/>
          <w:color w:val="000000" w:themeColor="text1"/>
        </w:rPr>
        <w:t xml:space="preserve">Albert the Great: Commemorative Essays, </w:t>
      </w:r>
      <w:r w:rsidRPr="009D7635">
        <w:rPr>
          <w:rFonts w:ascii="Times New Roman" w:hAnsi="Times New Roman" w:cs="Times New Roman"/>
          <w:color w:val="000000" w:themeColor="text1"/>
        </w:rPr>
        <w:t xml:space="preserve">ed. Francis J. </w:t>
      </w:r>
      <w:proofErr w:type="spellStart"/>
      <w:r w:rsidRPr="009D7635">
        <w:rPr>
          <w:rFonts w:ascii="Times New Roman" w:hAnsi="Times New Roman" w:cs="Times New Roman"/>
          <w:color w:val="000000" w:themeColor="text1"/>
        </w:rPr>
        <w:t>Kovach</w:t>
      </w:r>
      <w:proofErr w:type="spellEnd"/>
      <w:r w:rsidRPr="009D7635">
        <w:rPr>
          <w:rFonts w:ascii="Times New Roman" w:hAnsi="Times New Roman" w:cs="Times New Roman"/>
          <w:color w:val="000000" w:themeColor="text1"/>
        </w:rPr>
        <w:t xml:space="preserve"> and Robert W. </w:t>
      </w:r>
      <w:proofErr w:type="spellStart"/>
      <w:r w:rsidRPr="009D7635">
        <w:rPr>
          <w:rFonts w:ascii="Times New Roman" w:hAnsi="Times New Roman" w:cs="Times New Roman"/>
          <w:color w:val="000000" w:themeColor="text1"/>
        </w:rPr>
        <w:t>Shahan</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(Norman: University of Oklahoma Press, 1980), 254.</w:t>
      </w:r>
    </w:p>
  </w:footnote>
  <w:footnote w:id="322">
    <w:p w14:paraId="06D59112" w14:textId="0E3057B2"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bCs/>
          <w:color w:val="000000" w:themeColor="text1"/>
        </w:rPr>
        <w:t>D.A. Callus and R.W. Hunt</w:t>
      </w:r>
      <w:r w:rsidR="00A210B0" w:rsidRPr="009D7635">
        <w:rPr>
          <w:rFonts w:ascii="Times New Roman" w:hAnsi="Times New Roman" w:cs="Times New Roman"/>
          <w:bCs/>
          <w:color w:val="000000" w:themeColor="text1"/>
        </w:rPr>
        <w:t xml:space="preserve"> (</w:t>
      </w:r>
      <w:r w:rsidRPr="009D7635">
        <w:rPr>
          <w:rFonts w:ascii="Times New Roman" w:hAnsi="Times New Roman" w:cs="Times New Roman"/>
          <w:bCs/>
          <w:color w:val="000000" w:themeColor="text1"/>
        </w:rPr>
        <w:t>eds.</w:t>
      </w:r>
      <w:r w:rsidR="00A210B0" w:rsidRPr="009D7635">
        <w:rPr>
          <w:rFonts w:ascii="Times New Roman" w:hAnsi="Times New Roman" w:cs="Times New Roman"/>
          <w:bCs/>
          <w:color w:val="000000" w:themeColor="text1"/>
        </w:rPr>
        <w:t>)</w:t>
      </w:r>
      <w:r w:rsidRPr="009D7635">
        <w:rPr>
          <w:rFonts w:ascii="Times New Roman" w:hAnsi="Times New Roman" w:cs="Times New Roman"/>
          <w:bCs/>
          <w:color w:val="000000" w:themeColor="text1"/>
        </w:rPr>
        <w:t xml:space="preserve">, </w:t>
      </w:r>
      <w:proofErr w:type="spellStart"/>
      <w:r w:rsidRPr="009D7635">
        <w:rPr>
          <w:rFonts w:ascii="Times New Roman" w:hAnsi="Times New Roman" w:cs="Times New Roman"/>
          <w:bCs/>
          <w:i/>
          <w:iCs/>
          <w:color w:val="000000" w:themeColor="text1"/>
        </w:rPr>
        <w:t>Iohannes</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Blund</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Tractatus</w:t>
      </w:r>
      <w:proofErr w:type="spellEnd"/>
      <w:r w:rsidRPr="009D7635">
        <w:rPr>
          <w:rFonts w:ascii="Times New Roman" w:hAnsi="Times New Roman" w:cs="Times New Roman"/>
          <w:bCs/>
          <w:i/>
          <w:iCs/>
          <w:color w:val="000000" w:themeColor="text1"/>
        </w:rPr>
        <w:t xml:space="preserve"> De Anima</w:t>
      </w:r>
      <w:r w:rsidRPr="009D7635">
        <w:rPr>
          <w:rFonts w:ascii="Times New Roman" w:hAnsi="Times New Roman" w:cs="Times New Roman"/>
          <w:color w:val="000000" w:themeColor="text1"/>
        </w:rPr>
        <w:t xml:space="preserve">, 181. </w:t>
      </w:r>
    </w:p>
  </w:footnote>
  <w:footnote w:id="323">
    <w:p w14:paraId="4A2B1C9B"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 Callus, ‘The Treatise of John </w:t>
      </w:r>
      <w:proofErr w:type="spellStart"/>
      <w:r w:rsidRPr="009D7635">
        <w:rPr>
          <w:rFonts w:ascii="Times New Roman" w:hAnsi="Times New Roman" w:cs="Times New Roman"/>
          <w:color w:val="000000" w:themeColor="text1"/>
        </w:rPr>
        <w:t>Blund</w:t>
      </w:r>
      <w:proofErr w:type="spellEnd"/>
      <w:r w:rsidRPr="009D7635">
        <w:rPr>
          <w:rFonts w:ascii="Times New Roman" w:hAnsi="Times New Roman" w:cs="Times New Roman"/>
          <w:color w:val="000000" w:themeColor="text1"/>
        </w:rPr>
        <w:t xml:space="preserve"> on the Soul,’ 493. </w:t>
      </w:r>
    </w:p>
  </w:footnote>
  <w:footnote w:id="324">
    <w:p w14:paraId="15140012"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Richard C. Dales, </w:t>
      </w:r>
      <w:r w:rsidRPr="009D7635">
        <w:rPr>
          <w:rFonts w:ascii="Times New Roman" w:hAnsi="Times New Roman" w:cs="Times New Roman"/>
          <w:i/>
          <w:color w:val="000000" w:themeColor="text1"/>
          <w:lang w:val="en-US"/>
        </w:rPr>
        <w:t>The Problem of the Rational Soul in the Thirteenth Century</w:t>
      </w:r>
      <w:r w:rsidRPr="009D7635">
        <w:rPr>
          <w:rFonts w:ascii="Times New Roman" w:hAnsi="Times New Roman" w:cs="Times New Roman"/>
          <w:iCs/>
          <w:color w:val="000000" w:themeColor="text1"/>
          <w:lang w:val="en-US"/>
        </w:rPr>
        <w:t>,</w:t>
      </w:r>
      <w:r w:rsidRPr="009D7635">
        <w:rPr>
          <w:rFonts w:ascii="Times New Roman" w:hAnsi="Times New Roman" w:cs="Times New Roman"/>
          <w:i/>
          <w:color w:val="000000" w:themeColor="text1"/>
          <w:lang w:val="en-US"/>
        </w:rPr>
        <w:t xml:space="preserve"> </w:t>
      </w:r>
      <w:r w:rsidRPr="009D7635">
        <w:rPr>
          <w:rFonts w:ascii="Times New Roman" w:hAnsi="Times New Roman" w:cs="Times New Roman"/>
          <w:color w:val="000000" w:themeColor="text1"/>
        </w:rPr>
        <w:t xml:space="preserve">22. </w:t>
      </w:r>
    </w:p>
  </w:footnote>
  <w:footnote w:id="325">
    <w:p w14:paraId="3B535DA0" w14:textId="25072608"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Philippi </w:t>
      </w:r>
      <w:proofErr w:type="spellStart"/>
      <w:r w:rsidRPr="009D7635">
        <w:rPr>
          <w:rFonts w:ascii="Times New Roman" w:hAnsi="Times New Roman" w:cs="Times New Roman"/>
          <w:i/>
          <w:color w:val="000000" w:themeColor="text1"/>
          <w:sz w:val="20"/>
          <w:szCs w:val="20"/>
        </w:rPr>
        <w:t>Cancellarii</w:t>
      </w:r>
      <w:proofErr w:type="spellEnd"/>
      <w:r w:rsidRPr="009D7635">
        <w:rPr>
          <w:rFonts w:ascii="Times New Roman" w:hAnsi="Times New Roman" w:cs="Times New Roman"/>
          <w:i/>
          <w:color w:val="000000" w:themeColor="text1"/>
          <w:sz w:val="20"/>
          <w:szCs w:val="20"/>
        </w:rPr>
        <w:t xml:space="preserve"> Summa de bono</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ed. Nikolaus </w:t>
      </w:r>
      <w:proofErr w:type="spellStart"/>
      <w:r w:rsidRPr="009D7635">
        <w:rPr>
          <w:rFonts w:ascii="Times New Roman" w:hAnsi="Times New Roman" w:cs="Times New Roman"/>
          <w:color w:val="000000" w:themeColor="text1"/>
          <w:sz w:val="20"/>
          <w:szCs w:val="20"/>
        </w:rPr>
        <w:t>Wicki</w:t>
      </w:r>
      <w:proofErr w:type="spellEnd"/>
      <w:r w:rsidRPr="009D7635">
        <w:rPr>
          <w:rFonts w:ascii="Times New Roman" w:hAnsi="Times New Roman" w:cs="Times New Roman"/>
          <w:color w:val="000000" w:themeColor="text1"/>
          <w:sz w:val="20"/>
          <w:szCs w:val="20"/>
        </w:rPr>
        <w:t xml:space="preserve"> (Bern: </w:t>
      </w:r>
      <w:proofErr w:type="spellStart"/>
      <w:r w:rsidRPr="009D7635">
        <w:rPr>
          <w:rFonts w:ascii="Times New Roman" w:hAnsi="Times New Roman" w:cs="Times New Roman"/>
          <w:color w:val="000000" w:themeColor="text1"/>
          <w:sz w:val="20"/>
          <w:szCs w:val="20"/>
        </w:rPr>
        <w:t>Francke</w:t>
      </w:r>
      <w:proofErr w:type="spellEnd"/>
      <w:r w:rsidRPr="009D7635">
        <w:rPr>
          <w:rFonts w:ascii="Times New Roman" w:hAnsi="Times New Roman" w:cs="Times New Roman"/>
          <w:color w:val="000000" w:themeColor="text1"/>
          <w:sz w:val="20"/>
          <w:szCs w:val="20"/>
        </w:rPr>
        <w:t xml:space="preserve">, 1985), 157: </w:t>
      </w:r>
      <w:proofErr w:type="spellStart"/>
      <w:r w:rsidRPr="009D7635">
        <w:rPr>
          <w:rFonts w:ascii="Times New Roman" w:hAnsi="Times New Roman" w:cs="Times New Roman"/>
          <w:bCs/>
          <w:i/>
          <w:color w:val="000000" w:themeColor="text1"/>
          <w:sz w:val="20"/>
          <w:szCs w:val="20"/>
        </w:rPr>
        <w:t>Deinde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querendum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de </w:t>
      </w:r>
      <w:proofErr w:type="spellStart"/>
      <w:r w:rsidRPr="009D7635">
        <w:rPr>
          <w:rFonts w:ascii="Times New Roman" w:hAnsi="Times New Roman" w:cs="Times New Roman"/>
          <w:bCs/>
          <w:i/>
          <w:color w:val="000000" w:themeColor="text1"/>
          <w:sz w:val="20"/>
          <w:szCs w:val="20"/>
        </w:rPr>
        <w:t>principiis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si</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habet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materiam</w:t>
      </w:r>
      <w:proofErr w:type="spellEnd"/>
      <w:r w:rsidRPr="009D7635">
        <w:rPr>
          <w:rFonts w:ascii="Times New Roman" w:hAnsi="Times New Roman" w:cs="Times New Roman"/>
          <w:bCs/>
          <w:i/>
          <w:color w:val="000000" w:themeColor="text1"/>
          <w:sz w:val="20"/>
          <w:szCs w:val="20"/>
        </w:rPr>
        <w:t xml:space="preserve"> et </w:t>
      </w:r>
      <w:proofErr w:type="spellStart"/>
      <w:r w:rsidRPr="009D7635">
        <w:rPr>
          <w:rFonts w:ascii="Times New Roman" w:hAnsi="Times New Roman" w:cs="Times New Roman"/>
          <w:bCs/>
          <w:i/>
          <w:color w:val="000000" w:themeColor="text1"/>
          <w:sz w:val="20"/>
          <w:szCs w:val="20"/>
        </w:rPr>
        <w:t>formam</w:t>
      </w:r>
      <w:proofErr w:type="spellEnd"/>
      <w:r w:rsidRPr="009D7635">
        <w:rPr>
          <w:rFonts w:ascii="Times New Roman" w:hAnsi="Times New Roman" w:cs="Times New Roman"/>
          <w:bCs/>
          <w:i/>
          <w:color w:val="000000" w:themeColor="text1"/>
          <w:sz w:val="20"/>
          <w:szCs w:val="20"/>
        </w:rPr>
        <w:t xml:space="preserve">, cum non sit </w:t>
      </w:r>
      <w:proofErr w:type="spellStart"/>
      <w:r w:rsidRPr="009D7635">
        <w:rPr>
          <w:rFonts w:ascii="Times New Roman" w:hAnsi="Times New Roman" w:cs="Times New Roman"/>
          <w:bCs/>
          <w:i/>
          <w:color w:val="000000" w:themeColor="text1"/>
          <w:sz w:val="20"/>
          <w:szCs w:val="20"/>
        </w:rPr>
        <w:t>omnino</w:t>
      </w:r>
      <w:proofErr w:type="spellEnd"/>
      <w:r w:rsidRPr="009D7635">
        <w:rPr>
          <w:rFonts w:ascii="Times New Roman" w:hAnsi="Times New Roman" w:cs="Times New Roman"/>
          <w:bCs/>
          <w:i/>
          <w:color w:val="000000" w:themeColor="text1"/>
          <w:sz w:val="20"/>
          <w:szCs w:val="20"/>
        </w:rPr>
        <w:t xml:space="preserve"> simplex </w:t>
      </w:r>
      <w:proofErr w:type="spellStart"/>
      <w:r w:rsidRPr="009D7635">
        <w:rPr>
          <w:rFonts w:ascii="Times New Roman" w:hAnsi="Times New Roman" w:cs="Times New Roman"/>
          <w:bCs/>
          <w:i/>
          <w:color w:val="000000" w:themeColor="text1"/>
          <w:sz w:val="20"/>
          <w:szCs w:val="20"/>
        </w:rPr>
        <w:t>quemadmodum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Primum</w:t>
      </w:r>
      <w:proofErr w:type="spellEnd"/>
      <w:r w:rsidRPr="009D7635">
        <w:rPr>
          <w:rFonts w:ascii="Times New Roman" w:hAnsi="Times New Roman" w:cs="Times New Roman"/>
          <w:bCs/>
          <w:i/>
          <w:color w:val="000000" w:themeColor="text1"/>
          <w:sz w:val="20"/>
          <w:szCs w:val="20"/>
        </w:rPr>
        <w:t xml:space="preserve">…in anima </w:t>
      </w:r>
      <w:proofErr w:type="spellStart"/>
      <w:r w:rsidRPr="009D7635">
        <w:rPr>
          <w:rFonts w:ascii="Times New Roman" w:hAnsi="Times New Roman" w:cs="Times New Roman"/>
          <w:bCs/>
          <w:i/>
          <w:color w:val="000000" w:themeColor="text1"/>
          <w:sz w:val="20"/>
          <w:szCs w:val="20"/>
        </w:rPr>
        <w:t>autem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sunt</w:t>
      </w:r>
      <w:proofErr w:type="spellEnd"/>
      <w:r w:rsidRPr="009D7635">
        <w:rPr>
          <w:rFonts w:ascii="Times New Roman" w:hAnsi="Times New Roman" w:cs="Times New Roman"/>
          <w:bCs/>
          <w:i/>
          <w:color w:val="000000" w:themeColor="text1"/>
          <w:sz w:val="20"/>
          <w:szCs w:val="20"/>
        </w:rPr>
        <w:t xml:space="preserve"> due </w:t>
      </w:r>
      <w:proofErr w:type="spellStart"/>
      <w:r w:rsidRPr="009D7635">
        <w:rPr>
          <w:rFonts w:ascii="Times New Roman" w:hAnsi="Times New Roman" w:cs="Times New Roman"/>
          <w:bCs/>
          <w:i/>
          <w:color w:val="000000" w:themeColor="text1"/>
          <w:sz w:val="20"/>
          <w:szCs w:val="20"/>
        </w:rPr>
        <w:t>differentie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una</w:t>
      </w:r>
      <w:proofErr w:type="spellEnd"/>
      <w:r w:rsidRPr="009D7635">
        <w:rPr>
          <w:rFonts w:ascii="Times New Roman" w:hAnsi="Times New Roman" w:cs="Times New Roman"/>
          <w:bCs/>
          <w:i/>
          <w:color w:val="000000" w:themeColor="text1"/>
          <w:sz w:val="20"/>
          <w:szCs w:val="20"/>
        </w:rPr>
        <w:t xml:space="preserve"> ad </w:t>
      </w:r>
      <w:proofErr w:type="spellStart"/>
      <w:r w:rsidRPr="009D7635">
        <w:rPr>
          <w:rFonts w:ascii="Times New Roman" w:hAnsi="Times New Roman" w:cs="Times New Roman"/>
          <w:bCs/>
          <w:i/>
          <w:color w:val="000000" w:themeColor="text1"/>
          <w:sz w:val="20"/>
          <w:szCs w:val="20"/>
        </w:rPr>
        <w:t>recipiendum</w:t>
      </w:r>
      <w:proofErr w:type="spellEnd"/>
      <w:r w:rsidRPr="009D7635">
        <w:rPr>
          <w:rFonts w:ascii="Times New Roman" w:hAnsi="Times New Roman" w:cs="Times New Roman"/>
          <w:bCs/>
          <w:i/>
          <w:color w:val="000000" w:themeColor="text1"/>
          <w:sz w:val="20"/>
          <w:szCs w:val="20"/>
        </w:rPr>
        <w:t xml:space="preserve"> et </w:t>
      </w:r>
      <w:proofErr w:type="spellStart"/>
      <w:r w:rsidRPr="009D7635">
        <w:rPr>
          <w:rFonts w:ascii="Times New Roman" w:hAnsi="Times New Roman" w:cs="Times New Roman"/>
          <w:bCs/>
          <w:i/>
          <w:color w:val="000000" w:themeColor="text1"/>
          <w:sz w:val="20"/>
          <w:szCs w:val="20"/>
        </w:rPr>
        <w:t>altera</w:t>
      </w:r>
      <w:proofErr w:type="spellEnd"/>
      <w:r w:rsidRPr="009D7635">
        <w:rPr>
          <w:rFonts w:ascii="Times New Roman" w:hAnsi="Times New Roman" w:cs="Times New Roman"/>
          <w:bCs/>
          <w:i/>
          <w:color w:val="000000" w:themeColor="text1"/>
          <w:sz w:val="20"/>
          <w:szCs w:val="20"/>
        </w:rPr>
        <w:t xml:space="preserve"> ad </w:t>
      </w:r>
      <w:proofErr w:type="spellStart"/>
      <w:r w:rsidRPr="009D7635">
        <w:rPr>
          <w:rFonts w:ascii="Times New Roman" w:hAnsi="Times New Roman" w:cs="Times New Roman"/>
          <w:bCs/>
          <w:i/>
          <w:color w:val="000000" w:themeColor="text1"/>
          <w:sz w:val="20"/>
          <w:szCs w:val="20"/>
        </w:rPr>
        <w:t>faciendum</w:t>
      </w:r>
      <w:proofErr w:type="spellEnd"/>
      <w:r w:rsidRPr="009D7635">
        <w:rPr>
          <w:rFonts w:ascii="Times New Roman" w:hAnsi="Times New Roman" w:cs="Times New Roman"/>
          <w:bCs/>
          <w:i/>
          <w:color w:val="000000" w:themeColor="text1"/>
          <w:sz w:val="20"/>
          <w:szCs w:val="20"/>
        </w:rPr>
        <w:t xml:space="preserve">. Ex quo </w:t>
      </w:r>
      <w:proofErr w:type="spellStart"/>
      <w:r w:rsidRPr="009D7635">
        <w:rPr>
          <w:rFonts w:ascii="Times New Roman" w:hAnsi="Times New Roman" w:cs="Times New Roman"/>
          <w:bCs/>
          <w:i/>
          <w:color w:val="000000" w:themeColor="text1"/>
          <w:sz w:val="20"/>
          <w:szCs w:val="20"/>
        </w:rPr>
        <w:t>accipitur</w:t>
      </w:r>
      <w:proofErr w:type="spellEnd"/>
      <w:r w:rsidRPr="009D7635">
        <w:rPr>
          <w:rFonts w:ascii="Times New Roman" w:hAnsi="Times New Roman" w:cs="Times New Roman"/>
          <w:bCs/>
          <w:i/>
          <w:color w:val="000000" w:themeColor="text1"/>
          <w:sz w:val="20"/>
          <w:szCs w:val="20"/>
        </w:rPr>
        <w:t xml:space="preserve"> quod </w:t>
      </w:r>
      <w:proofErr w:type="spellStart"/>
      <w:r w:rsidRPr="009D7635">
        <w:rPr>
          <w:rFonts w:ascii="Times New Roman" w:hAnsi="Times New Roman" w:cs="Times New Roman"/>
          <w:bCs/>
          <w:i/>
          <w:color w:val="000000" w:themeColor="text1"/>
          <w:sz w:val="20"/>
          <w:szCs w:val="20"/>
        </w:rPr>
        <w:t>habet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materiam</w:t>
      </w:r>
      <w:proofErr w:type="spellEnd"/>
      <w:r w:rsidRPr="009D7635">
        <w:rPr>
          <w:rFonts w:ascii="Times New Roman" w:hAnsi="Times New Roman" w:cs="Times New Roman"/>
          <w:bCs/>
          <w:i/>
          <w:color w:val="000000" w:themeColor="text1"/>
          <w:sz w:val="20"/>
          <w:szCs w:val="20"/>
        </w:rPr>
        <w:t xml:space="preserve"> et </w:t>
      </w:r>
      <w:proofErr w:type="spellStart"/>
      <w:r w:rsidRPr="009D7635">
        <w:rPr>
          <w:rFonts w:ascii="Times New Roman" w:hAnsi="Times New Roman" w:cs="Times New Roman"/>
          <w:bCs/>
          <w:i/>
          <w:color w:val="000000" w:themeColor="text1"/>
          <w:sz w:val="20"/>
          <w:szCs w:val="20"/>
        </w:rPr>
        <w:t>formam</w:t>
      </w:r>
      <w:proofErr w:type="spellEnd"/>
      <w:r w:rsidRPr="009D7635">
        <w:rPr>
          <w:rFonts w:ascii="Times New Roman" w:hAnsi="Times New Roman" w:cs="Times New Roman"/>
          <w:bCs/>
          <w:i/>
          <w:color w:val="000000" w:themeColor="text1"/>
          <w:sz w:val="20"/>
          <w:szCs w:val="20"/>
        </w:rPr>
        <w:t xml:space="preserve">, cum </w:t>
      </w:r>
      <w:proofErr w:type="spellStart"/>
      <w:r w:rsidRPr="009D7635">
        <w:rPr>
          <w:rFonts w:ascii="Times New Roman" w:hAnsi="Times New Roman" w:cs="Times New Roman"/>
          <w:bCs/>
          <w:i/>
          <w:color w:val="000000" w:themeColor="text1"/>
          <w:sz w:val="20"/>
          <w:szCs w:val="20"/>
        </w:rPr>
        <w:t>materia</w:t>
      </w:r>
      <w:proofErr w:type="spellEnd"/>
      <w:r w:rsidRPr="009D7635">
        <w:rPr>
          <w:rFonts w:ascii="Times New Roman" w:hAnsi="Times New Roman" w:cs="Times New Roman"/>
          <w:bCs/>
          <w:i/>
          <w:color w:val="000000" w:themeColor="text1"/>
          <w:sz w:val="20"/>
          <w:szCs w:val="20"/>
        </w:rPr>
        <w:t xml:space="preserve"> sit </w:t>
      </w:r>
      <w:proofErr w:type="spellStart"/>
      <w:r w:rsidRPr="009D7635">
        <w:rPr>
          <w:rFonts w:ascii="Times New Roman" w:hAnsi="Times New Roman" w:cs="Times New Roman"/>
          <w:bCs/>
          <w:i/>
          <w:color w:val="000000" w:themeColor="text1"/>
          <w:sz w:val="20"/>
          <w:szCs w:val="20"/>
        </w:rPr>
        <w:t>principium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recipiendi</w:t>
      </w:r>
      <w:proofErr w:type="spellEnd"/>
      <w:r w:rsidRPr="009D7635">
        <w:rPr>
          <w:rFonts w:ascii="Times New Roman" w:hAnsi="Times New Roman" w:cs="Times New Roman"/>
          <w:bCs/>
          <w:i/>
          <w:color w:val="000000" w:themeColor="text1"/>
          <w:sz w:val="20"/>
          <w:szCs w:val="20"/>
        </w:rPr>
        <w:t xml:space="preserve">, forma </w:t>
      </w:r>
      <w:proofErr w:type="spellStart"/>
      <w:r w:rsidRPr="009D7635">
        <w:rPr>
          <w:rFonts w:ascii="Times New Roman" w:hAnsi="Times New Roman" w:cs="Times New Roman"/>
          <w:bCs/>
          <w:i/>
          <w:color w:val="000000" w:themeColor="text1"/>
          <w:sz w:val="20"/>
          <w:szCs w:val="20"/>
        </w:rPr>
        <w:t>autem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agendi</w:t>
      </w:r>
      <w:proofErr w:type="spellEnd"/>
      <w:r w:rsidRPr="009D7635">
        <w:rPr>
          <w:rFonts w:ascii="Times New Roman" w:hAnsi="Times New Roman" w:cs="Times New Roman"/>
          <w:bCs/>
          <w:i/>
          <w:color w:val="000000" w:themeColor="text1"/>
          <w:sz w:val="20"/>
          <w:szCs w:val="20"/>
        </w:rPr>
        <w:t xml:space="preserve">; nam </w:t>
      </w:r>
      <w:proofErr w:type="spellStart"/>
      <w:r w:rsidRPr="009D7635">
        <w:rPr>
          <w:rFonts w:ascii="Times New Roman" w:hAnsi="Times New Roman" w:cs="Times New Roman"/>
          <w:bCs/>
          <w:i/>
          <w:color w:val="000000" w:themeColor="text1"/>
          <w:sz w:val="20"/>
          <w:szCs w:val="20"/>
        </w:rPr>
        <w:t>sunt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eius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hee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differentie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intellectus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agens</w:t>
      </w:r>
      <w:proofErr w:type="spellEnd"/>
      <w:r w:rsidRPr="009D7635">
        <w:rPr>
          <w:rFonts w:ascii="Times New Roman" w:hAnsi="Times New Roman" w:cs="Times New Roman"/>
          <w:bCs/>
          <w:i/>
          <w:color w:val="000000" w:themeColor="text1"/>
          <w:sz w:val="20"/>
          <w:szCs w:val="20"/>
        </w:rPr>
        <w:t xml:space="preserve"> et </w:t>
      </w:r>
      <w:proofErr w:type="spellStart"/>
      <w:r w:rsidRPr="009D7635">
        <w:rPr>
          <w:rFonts w:ascii="Times New Roman" w:hAnsi="Times New Roman" w:cs="Times New Roman"/>
          <w:bCs/>
          <w:i/>
          <w:color w:val="000000" w:themeColor="text1"/>
          <w:sz w:val="20"/>
          <w:szCs w:val="20"/>
        </w:rPr>
        <w:t>possibilis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Similiter</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estimatur</w:t>
      </w:r>
      <w:proofErr w:type="spellEnd"/>
      <w:r w:rsidRPr="009D7635">
        <w:rPr>
          <w:rFonts w:ascii="Times New Roman" w:hAnsi="Times New Roman" w:cs="Times New Roman"/>
          <w:bCs/>
          <w:i/>
          <w:color w:val="000000" w:themeColor="text1"/>
          <w:sz w:val="20"/>
          <w:szCs w:val="20"/>
        </w:rPr>
        <w:t xml:space="preserve"> idem ex hoc quod </w:t>
      </w:r>
      <w:proofErr w:type="spellStart"/>
      <w:r w:rsidRPr="009D7635">
        <w:rPr>
          <w:rFonts w:ascii="Times New Roman" w:hAnsi="Times New Roman" w:cs="Times New Roman"/>
          <w:bCs/>
          <w:i/>
          <w:color w:val="000000" w:themeColor="text1"/>
          <w:sz w:val="20"/>
          <w:szCs w:val="20"/>
        </w:rPr>
        <w:t>omne</w:t>
      </w:r>
      <w:proofErr w:type="spellEnd"/>
      <w:r w:rsidRPr="009D7635">
        <w:rPr>
          <w:rFonts w:ascii="Times New Roman" w:hAnsi="Times New Roman" w:cs="Times New Roman"/>
          <w:bCs/>
          <w:i/>
          <w:color w:val="000000" w:themeColor="text1"/>
          <w:sz w:val="20"/>
          <w:szCs w:val="20"/>
        </w:rPr>
        <w:t xml:space="preserve"> ens simplex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aut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compositum</w:t>
      </w:r>
      <w:proofErr w:type="spellEnd"/>
      <w:r w:rsidRPr="009D7635">
        <w:rPr>
          <w:rFonts w:ascii="Times New Roman" w:hAnsi="Times New Roman" w:cs="Times New Roman"/>
          <w:bCs/>
          <w:i/>
          <w:color w:val="000000" w:themeColor="text1"/>
          <w:sz w:val="20"/>
          <w:szCs w:val="20"/>
        </w:rPr>
        <w:t xml:space="preserve">, et anima non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ens simplex, </w:t>
      </w:r>
      <w:proofErr w:type="spellStart"/>
      <w:r w:rsidRPr="009D7635">
        <w:rPr>
          <w:rFonts w:ascii="Times New Roman" w:hAnsi="Times New Roman" w:cs="Times New Roman"/>
          <w:bCs/>
          <w:i/>
          <w:color w:val="000000" w:themeColor="text1"/>
          <w:sz w:val="20"/>
          <w:szCs w:val="20"/>
        </w:rPr>
        <w:t>quia</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tunc</w:t>
      </w:r>
      <w:proofErr w:type="spellEnd"/>
      <w:r w:rsidRPr="009D7635">
        <w:rPr>
          <w:rFonts w:ascii="Times New Roman" w:hAnsi="Times New Roman" w:cs="Times New Roman"/>
          <w:bCs/>
          <w:i/>
          <w:color w:val="000000" w:themeColor="text1"/>
          <w:sz w:val="20"/>
          <w:szCs w:val="20"/>
        </w:rPr>
        <w:t xml:space="preserve"> idem </w:t>
      </w:r>
      <w:proofErr w:type="spellStart"/>
      <w:r w:rsidRPr="009D7635">
        <w:rPr>
          <w:rFonts w:ascii="Times New Roman" w:hAnsi="Times New Roman" w:cs="Times New Roman"/>
          <w:bCs/>
          <w:i/>
          <w:color w:val="000000" w:themeColor="text1"/>
          <w:sz w:val="20"/>
          <w:szCs w:val="20"/>
        </w:rPr>
        <w:t>esset</w:t>
      </w:r>
      <w:proofErr w:type="spellEnd"/>
      <w:r w:rsidRPr="009D7635">
        <w:rPr>
          <w:rFonts w:ascii="Times New Roman" w:hAnsi="Times New Roman" w:cs="Times New Roman"/>
          <w:bCs/>
          <w:i/>
          <w:color w:val="000000" w:themeColor="text1"/>
          <w:sz w:val="20"/>
          <w:szCs w:val="20"/>
        </w:rPr>
        <w:t xml:space="preserve"> in anima quod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et quo est... </w:t>
      </w:r>
      <w:proofErr w:type="spellStart"/>
      <w:r w:rsidRPr="009D7635">
        <w:rPr>
          <w:rFonts w:ascii="Times New Roman" w:hAnsi="Times New Roman" w:cs="Times New Roman"/>
          <w:bCs/>
          <w:i/>
          <w:color w:val="000000" w:themeColor="text1"/>
          <w:sz w:val="20"/>
          <w:szCs w:val="20"/>
        </w:rPr>
        <w:t>Preterea</w:t>
      </w:r>
      <w:proofErr w:type="spellEnd"/>
      <w:r w:rsidRPr="009D7635">
        <w:rPr>
          <w:rFonts w:ascii="Times New Roman" w:hAnsi="Times New Roman" w:cs="Times New Roman"/>
          <w:bCs/>
          <w:i/>
          <w:color w:val="000000" w:themeColor="text1"/>
          <w:sz w:val="20"/>
          <w:szCs w:val="20"/>
        </w:rPr>
        <w:t xml:space="preserve">, in </w:t>
      </w:r>
      <w:proofErr w:type="spellStart"/>
      <w:r w:rsidRPr="009D7635">
        <w:rPr>
          <w:rFonts w:ascii="Times New Roman" w:hAnsi="Times New Roman" w:cs="Times New Roman"/>
          <w:bCs/>
          <w:i/>
          <w:color w:val="000000" w:themeColor="text1"/>
          <w:sz w:val="20"/>
          <w:szCs w:val="20"/>
        </w:rPr>
        <w:t>libro</w:t>
      </w:r>
      <w:proofErr w:type="spellEnd"/>
      <w:r w:rsidRPr="009D7635">
        <w:rPr>
          <w:rFonts w:ascii="Times New Roman" w:hAnsi="Times New Roman" w:cs="Times New Roman"/>
          <w:bCs/>
          <w:i/>
          <w:color w:val="000000" w:themeColor="text1"/>
          <w:sz w:val="20"/>
          <w:szCs w:val="20"/>
        </w:rPr>
        <w:t xml:space="preserve"> De </w:t>
      </w:r>
      <w:proofErr w:type="spellStart"/>
      <w:r w:rsidRPr="009D7635">
        <w:rPr>
          <w:rFonts w:ascii="Times New Roman" w:hAnsi="Times New Roman" w:cs="Times New Roman"/>
          <w:bCs/>
          <w:i/>
          <w:color w:val="000000" w:themeColor="text1"/>
          <w:sz w:val="20"/>
          <w:szCs w:val="20"/>
        </w:rPr>
        <w:t>Trinitate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habetur</w:t>
      </w:r>
      <w:proofErr w:type="spellEnd"/>
      <w:r w:rsidRPr="009D7635">
        <w:rPr>
          <w:rFonts w:ascii="Times New Roman" w:hAnsi="Times New Roman" w:cs="Times New Roman"/>
          <w:bCs/>
          <w:i/>
          <w:color w:val="000000" w:themeColor="text1"/>
          <w:sz w:val="20"/>
          <w:szCs w:val="20"/>
        </w:rPr>
        <w:t xml:space="preserve"> quod in omni </w:t>
      </w:r>
      <w:proofErr w:type="spellStart"/>
      <w:r w:rsidRPr="009D7635">
        <w:rPr>
          <w:rFonts w:ascii="Times New Roman" w:hAnsi="Times New Roman" w:cs="Times New Roman"/>
          <w:bCs/>
          <w:i/>
          <w:color w:val="000000" w:themeColor="text1"/>
          <w:sz w:val="20"/>
          <w:szCs w:val="20"/>
        </w:rPr>
        <w:t>causato</w:t>
      </w:r>
      <w:proofErr w:type="spellEnd"/>
      <w:r w:rsidRPr="009D7635">
        <w:rPr>
          <w:rFonts w:ascii="Times New Roman" w:hAnsi="Times New Roman" w:cs="Times New Roman"/>
          <w:bCs/>
          <w:i/>
          <w:color w:val="000000" w:themeColor="text1"/>
          <w:sz w:val="20"/>
          <w:szCs w:val="20"/>
        </w:rPr>
        <w:t xml:space="preserve"> a primo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hoc et hoc et </w:t>
      </w:r>
      <w:proofErr w:type="spellStart"/>
      <w:r w:rsidRPr="009D7635">
        <w:rPr>
          <w:rFonts w:ascii="Times New Roman" w:hAnsi="Times New Roman" w:cs="Times New Roman"/>
          <w:bCs/>
          <w:i/>
          <w:color w:val="000000" w:themeColor="text1"/>
          <w:sz w:val="20"/>
          <w:szCs w:val="20"/>
        </w:rPr>
        <w:t>ita</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materia</w:t>
      </w:r>
      <w:proofErr w:type="spellEnd"/>
      <w:r w:rsidRPr="009D7635">
        <w:rPr>
          <w:rFonts w:ascii="Times New Roman" w:hAnsi="Times New Roman" w:cs="Times New Roman"/>
          <w:bCs/>
          <w:i/>
          <w:color w:val="000000" w:themeColor="text1"/>
          <w:sz w:val="20"/>
          <w:szCs w:val="20"/>
        </w:rPr>
        <w:t xml:space="preserve"> et forma. </w:t>
      </w:r>
      <w:proofErr w:type="spellStart"/>
      <w:r w:rsidRPr="009D7635">
        <w:rPr>
          <w:rFonts w:ascii="Times New Roman" w:hAnsi="Times New Roman" w:cs="Times New Roman"/>
          <w:bCs/>
          <w:i/>
          <w:color w:val="000000" w:themeColor="text1"/>
          <w:sz w:val="20"/>
          <w:szCs w:val="20"/>
        </w:rPr>
        <w:t>Preterea</w:t>
      </w:r>
      <w:proofErr w:type="spellEnd"/>
      <w:r w:rsidRPr="009D7635">
        <w:rPr>
          <w:rFonts w:ascii="Times New Roman" w:hAnsi="Times New Roman" w:cs="Times New Roman"/>
          <w:bCs/>
          <w:i/>
          <w:color w:val="000000" w:themeColor="text1"/>
          <w:sz w:val="20"/>
          <w:szCs w:val="20"/>
        </w:rPr>
        <w:t xml:space="preserve">, idem </w:t>
      </w:r>
      <w:proofErr w:type="spellStart"/>
      <w:r w:rsidRPr="009D7635">
        <w:rPr>
          <w:rFonts w:ascii="Times New Roman" w:hAnsi="Times New Roman" w:cs="Times New Roman"/>
          <w:bCs/>
          <w:i/>
          <w:color w:val="000000" w:themeColor="text1"/>
          <w:sz w:val="20"/>
          <w:szCs w:val="20"/>
        </w:rPr>
        <w:t>estimari</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potest</w:t>
      </w:r>
      <w:proofErr w:type="spellEnd"/>
      <w:r w:rsidRPr="009D7635">
        <w:rPr>
          <w:rFonts w:ascii="Times New Roman" w:hAnsi="Times New Roman" w:cs="Times New Roman"/>
          <w:bCs/>
          <w:i/>
          <w:color w:val="000000" w:themeColor="text1"/>
          <w:sz w:val="20"/>
          <w:szCs w:val="20"/>
        </w:rPr>
        <w:t xml:space="preserve"> ex </w:t>
      </w:r>
      <w:proofErr w:type="spellStart"/>
      <w:r w:rsidRPr="009D7635">
        <w:rPr>
          <w:rFonts w:ascii="Times New Roman" w:hAnsi="Times New Roman" w:cs="Times New Roman"/>
          <w:bCs/>
          <w:i/>
          <w:color w:val="000000" w:themeColor="text1"/>
          <w:sz w:val="20"/>
          <w:szCs w:val="20"/>
        </w:rPr>
        <w:t>diffinitione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philosophorum</w:t>
      </w:r>
      <w:proofErr w:type="spellEnd"/>
      <w:r w:rsidRPr="009D7635">
        <w:rPr>
          <w:rFonts w:ascii="Times New Roman" w:hAnsi="Times New Roman" w:cs="Times New Roman"/>
          <w:bCs/>
          <w:i/>
          <w:color w:val="000000" w:themeColor="text1"/>
          <w:sz w:val="20"/>
          <w:szCs w:val="20"/>
        </w:rPr>
        <w:t xml:space="preserve"> qui </w:t>
      </w:r>
      <w:proofErr w:type="spellStart"/>
      <w:r w:rsidRPr="009D7635">
        <w:rPr>
          <w:rFonts w:ascii="Times New Roman" w:hAnsi="Times New Roman" w:cs="Times New Roman"/>
          <w:bCs/>
          <w:i/>
          <w:color w:val="000000" w:themeColor="text1"/>
          <w:sz w:val="20"/>
          <w:szCs w:val="20"/>
        </w:rPr>
        <w:t>posuerunt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materiam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spiritualem</w:t>
      </w:r>
      <w:proofErr w:type="spellEnd"/>
      <w:r w:rsidRPr="009D7635">
        <w:rPr>
          <w:rFonts w:ascii="Times New Roman" w:hAnsi="Times New Roman" w:cs="Times New Roman"/>
          <w:bCs/>
          <w:i/>
          <w:color w:val="000000" w:themeColor="text1"/>
          <w:sz w:val="20"/>
          <w:szCs w:val="20"/>
        </w:rPr>
        <w:t xml:space="preserve"> et </w:t>
      </w:r>
      <w:proofErr w:type="spellStart"/>
      <w:r w:rsidRPr="009D7635">
        <w:rPr>
          <w:rFonts w:ascii="Times New Roman" w:hAnsi="Times New Roman" w:cs="Times New Roman"/>
          <w:bCs/>
          <w:i/>
          <w:color w:val="000000" w:themeColor="text1"/>
          <w:sz w:val="20"/>
          <w:szCs w:val="20"/>
        </w:rPr>
        <w:t>formam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spiritualem</w:t>
      </w:r>
      <w:proofErr w:type="spellEnd"/>
      <w:r w:rsidRPr="009D7635">
        <w:rPr>
          <w:rFonts w:ascii="Times New Roman" w:hAnsi="Times New Roman" w:cs="Times New Roman"/>
          <w:bCs/>
          <w:i/>
          <w:color w:val="000000" w:themeColor="text1"/>
          <w:sz w:val="20"/>
          <w:szCs w:val="20"/>
        </w:rPr>
        <w:t>…</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tamen</w:t>
      </w:r>
      <w:proofErr w:type="spellEnd"/>
      <w:r w:rsidRPr="009D7635">
        <w:rPr>
          <w:rFonts w:ascii="Times New Roman" w:hAnsi="Times New Roman" w:cs="Times New Roman"/>
          <w:bCs/>
          <w:i/>
          <w:color w:val="000000" w:themeColor="text1"/>
          <w:sz w:val="20"/>
          <w:szCs w:val="20"/>
        </w:rPr>
        <w:t xml:space="preserve"> in anima </w:t>
      </w:r>
      <w:proofErr w:type="spellStart"/>
      <w:r w:rsidRPr="009D7635">
        <w:rPr>
          <w:rFonts w:ascii="Times New Roman" w:hAnsi="Times New Roman" w:cs="Times New Roman"/>
          <w:bCs/>
          <w:i/>
          <w:color w:val="000000" w:themeColor="text1"/>
          <w:sz w:val="20"/>
          <w:szCs w:val="20"/>
        </w:rPr>
        <w:t>rationali</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amplior</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accessus</w:t>
      </w:r>
      <w:proofErr w:type="spellEnd"/>
      <w:r w:rsidRPr="009D7635">
        <w:rPr>
          <w:rFonts w:ascii="Times New Roman" w:hAnsi="Times New Roman" w:cs="Times New Roman"/>
          <w:bCs/>
          <w:i/>
          <w:color w:val="000000" w:themeColor="text1"/>
          <w:sz w:val="20"/>
          <w:szCs w:val="20"/>
        </w:rPr>
        <w:t xml:space="preserve"> ad </w:t>
      </w:r>
      <w:proofErr w:type="spellStart"/>
      <w:r w:rsidRPr="009D7635">
        <w:rPr>
          <w:rFonts w:ascii="Times New Roman" w:hAnsi="Times New Roman" w:cs="Times New Roman"/>
          <w:bCs/>
          <w:i/>
          <w:color w:val="000000" w:themeColor="text1"/>
          <w:sz w:val="20"/>
          <w:szCs w:val="20"/>
        </w:rPr>
        <w:t>compositionem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materie</w:t>
      </w:r>
      <w:proofErr w:type="spellEnd"/>
      <w:r w:rsidRPr="009D7635">
        <w:rPr>
          <w:rFonts w:ascii="Times New Roman" w:hAnsi="Times New Roman" w:cs="Times New Roman"/>
          <w:bCs/>
          <w:i/>
          <w:color w:val="000000" w:themeColor="text1"/>
          <w:sz w:val="20"/>
          <w:szCs w:val="20"/>
        </w:rPr>
        <w:t xml:space="preserve"> et </w:t>
      </w:r>
      <w:proofErr w:type="spellStart"/>
      <w:r w:rsidRPr="009D7635">
        <w:rPr>
          <w:rFonts w:ascii="Times New Roman" w:hAnsi="Times New Roman" w:cs="Times New Roman"/>
          <w:bCs/>
          <w:i/>
          <w:color w:val="000000" w:themeColor="text1"/>
          <w:sz w:val="20"/>
          <w:szCs w:val="20"/>
        </w:rPr>
        <w:t>forme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quam</w:t>
      </w:r>
      <w:proofErr w:type="spellEnd"/>
      <w:r w:rsidRPr="009D7635">
        <w:rPr>
          <w:rFonts w:ascii="Times New Roman" w:hAnsi="Times New Roman" w:cs="Times New Roman"/>
          <w:bCs/>
          <w:i/>
          <w:color w:val="000000" w:themeColor="text1"/>
          <w:sz w:val="20"/>
          <w:szCs w:val="20"/>
        </w:rPr>
        <w:t xml:space="preserve"> in </w:t>
      </w:r>
      <w:proofErr w:type="spellStart"/>
      <w:r w:rsidRPr="009D7635">
        <w:rPr>
          <w:rFonts w:ascii="Times New Roman" w:hAnsi="Times New Roman" w:cs="Times New Roman"/>
          <w:bCs/>
          <w:i/>
          <w:color w:val="000000" w:themeColor="text1"/>
          <w:sz w:val="20"/>
          <w:szCs w:val="20"/>
        </w:rPr>
        <w:t>intelligentia</w:t>
      </w:r>
      <w:proofErr w:type="spellEnd"/>
      <w:r w:rsidRPr="009D7635">
        <w:rPr>
          <w:rFonts w:ascii="Times New Roman" w:hAnsi="Times New Roman" w:cs="Times New Roman"/>
          <w:bCs/>
          <w:i/>
          <w:color w:val="000000" w:themeColor="text1"/>
          <w:sz w:val="20"/>
          <w:szCs w:val="20"/>
        </w:rPr>
        <w:t xml:space="preserve">, quod </w:t>
      </w:r>
      <w:proofErr w:type="spellStart"/>
      <w:r w:rsidRPr="009D7635">
        <w:rPr>
          <w:rFonts w:ascii="Times New Roman" w:hAnsi="Times New Roman" w:cs="Times New Roman"/>
          <w:bCs/>
          <w:i/>
          <w:color w:val="000000" w:themeColor="text1"/>
          <w:sz w:val="20"/>
          <w:szCs w:val="20"/>
        </w:rPr>
        <w:t>ostenditur</w:t>
      </w:r>
      <w:proofErr w:type="spellEnd"/>
      <w:r w:rsidRPr="009D7635">
        <w:rPr>
          <w:rFonts w:ascii="Times New Roman" w:hAnsi="Times New Roman" w:cs="Times New Roman"/>
          <w:bCs/>
          <w:i/>
          <w:color w:val="000000" w:themeColor="text1"/>
          <w:sz w:val="20"/>
          <w:szCs w:val="20"/>
        </w:rPr>
        <w:t xml:space="preserve"> in </w:t>
      </w:r>
      <w:proofErr w:type="spellStart"/>
      <w:r w:rsidRPr="009D7635">
        <w:rPr>
          <w:rFonts w:ascii="Times New Roman" w:hAnsi="Times New Roman" w:cs="Times New Roman"/>
          <w:bCs/>
          <w:i/>
          <w:color w:val="000000" w:themeColor="text1"/>
          <w:sz w:val="20"/>
          <w:szCs w:val="20"/>
        </w:rPr>
        <w:t>natura</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eius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secundum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quam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corpori</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materiali</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unitur</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Unde</w:t>
      </w:r>
      <w:proofErr w:type="spellEnd"/>
      <w:r w:rsidRPr="009D7635">
        <w:rPr>
          <w:rFonts w:ascii="Times New Roman" w:hAnsi="Times New Roman" w:cs="Times New Roman"/>
          <w:bCs/>
          <w:i/>
          <w:color w:val="000000" w:themeColor="text1"/>
          <w:sz w:val="20"/>
          <w:szCs w:val="20"/>
        </w:rPr>
        <w:t xml:space="preserve"> in ipsa </w:t>
      </w:r>
      <w:proofErr w:type="spellStart"/>
      <w:r w:rsidRPr="009D7635">
        <w:rPr>
          <w:rFonts w:ascii="Times New Roman" w:hAnsi="Times New Roman" w:cs="Times New Roman"/>
          <w:bCs/>
          <w:i/>
          <w:color w:val="000000" w:themeColor="text1"/>
          <w:sz w:val="20"/>
          <w:szCs w:val="20"/>
        </w:rPr>
        <w:t>sunt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differentie</w:t>
      </w:r>
      <w:proofErr w:type="spellEnd"/>
      <w:r w:rsidRPr="009D7635">
        <w:rPr>
          <w:rFonts w:ascii="Times New Roman" w:hAnsi="Times New Roman" w:cs="Times New Roman"/>
          <w:bCs/>
          <w:i/>
          <w:color w:val="000000" w:themeColor="text1"/>
          <w:sz w:val="20"/>
          <w:szCs w:val="20"/>
        </w:rPr>
        <w:t xml:space="preserve"> diverse </w:t>
      </w:r>
      <w:proofErr w:type="spellStart"/>
      <w:r w:rsidRPr="009D7635">
        <w:rPr>
          <w:rFonts w:ascii="Times New Roman" w:hAnsi="Times New Roman" w:cs="Times New Roman"/>
          <w:bCs/>
          <w:i/>
          <w:color w:val="000000" w:themeColor="text1"/>
          <w:sz w:val="20"/>
          <w:szCs w:val="20"/>
        </w:rPr>
        <w:t>intellectus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agentis</w:t>
      </w:r>
      <w:proofErr w:type="spellEnd"/>
      <w:r w:rsidRPr="009D7635">
        <w:rPr>
          <w:rFonts w:ascii="Times New Roman" w:hAnsi="Times New Roman" w:cs="Times New Roman"/>
          <w:bCs/>
          <w:i/>
          <w:color w:val="000000" w:themeColor="text1"/>
          <w:sz w:val="20"/>
          <w:szCs w:val="20"/>
        </w:rPr>
        <w:t xml:space="preserve"> et </w:t>
      </w:r>
      <w:proofErr w:type="spellStart"/>
      <w:r w:rsidRPr="009D7635">
        <w:rPr>
          <w:rFonts w:ascii="Times New Roman" w:hAnsi="Times New Roman" w:cs="Times New Roman"/>
          <w:bCs/>
          <w:i/>
          <w:color w:val="000000" w:themeColor="text1"/>
          <w:sz w:val="20"/>
          <w:szCs w:val="20"/>
        </w:rPr>
        <w:t>possibilis</w:t>
      </w:r>
      <w:proofErr w:type="spellEnd"/>
      <w:r w:rsidRPr="009D7635">
        <w:rPr>
          <w:rFonts w:ascii="Times New Roman" w:hAnsi="Times New Roman" w:cs="Times New Roman"/>
          <w:bCs/>
          <w:i/>
          <w:color w:val="000000" w:themeColor="text1"/>
          <w:sz w:val="20"/>
          <w:szCs w:val="20"/>
        </w:rPr>
        <w:t xml:space="preserve">, in </w:t>
      </w:r>
      <w:proofErr w:type="spellStart"/>
      <w:r w:rsidRPr="009D7635">
        <w:rPr>
          <w:rFonts w:ascii="Times New Roman" w:hAnsi="Times New Roman" w:cs="Times New Roman"/>
          <w:bCs/>
          <w:i/>
          <w:color w:val="000000" w:themeColor="text1"/>
          <w:sz w:val="20"/>
          <w:szCs w:val="20"/>
        </w:rPr>
        <w:t>intellectu</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vero</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angelico</w:t>
      </w:r>
      <w:proofErr w:type="spellEnd"/>
      <w:r w:rsidRPr="009D7635">
        <w:rPr>
          <w:rFonts w:ascii="Times New Roman" w:hAnsi="Times New Roman" w:cs="Times New Roman"/>
          <w:bCs/>
          <w:i/>
          <w:color w:val="000000" w:themeColor="text1"/>
          <w:sz w:val="20"/>
          <w:szCs w:val="20"/>
        </w:rPr>
        <w:t xml:space="preserve"> non </w:t>
      </w:r>
      <w:proofErr w:type="spellStart"/>
      <w:r w:rsidRPr="009D7635">
        <w:rPr>
          <w:rFonts w:ascii="Times New Roman" w:hAnsi="Times New Roman" w:cs="Times New Roman"/>
          <w:bCs/>
          <w:i/>
          <w:color w:val="000000" w:themeColor="text1"/>
          <w:sz w:val="20"/>
          <w:szCs w:val="20"/>
        </w:rPr>
        <w:t>sunt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ita</w:t>
      </w:r>
      <w:proofErr w:type="spellEnd"/>
      <w:r w:rsidRPr="009D7635">
        <w:rPr>
          <w:rFonts w:ascii="Times New Roman" w:hAnsi="Times New Roman" w:cs="Times New Roman"/>
          <w:bCs/>
          <w:i/>
          <w:color w:val="000000" w:themeColor="text1"/>
          <w:sz w:val="20"/>
          <w:szCs w:val="20"/>
        </w:rPr>
        <w:t xml:space="preserve"> diverse </w:t>
      </w:r>
      <w:proofErr w:type="spellStart"/>
      <w:r w:rsidRPr="009D7635">
        <w:rPr>
          <w:rFonts w:ascii="Times New Roman" w:hAnsi="Times New Roman" w:cs="Times New Roman"/>
          <w:bCs/>
          <w:i/>
          <w:color w:val="000000" w:themeColor="text1"/>
          <w:sz w:val="20"/>
          <w:szCs w:val="20"/>
        </w:rPr>
        <w:t>differentie</w:t>
      </w:r>
      <w:proofErr w:type="spellEnd"/>
      <w:r w:rsidRPr="009D7635">
        <w:rPr>
          <w:rFonts w:ascii="Times New Roman" w:hAnsi="Times New Roman" w:cs="Times New Roman"/>
          <w:bCs/>
          <w:i/>
          <w:color w:val="000000" w:themeColor="text1"/>
          <w:sz w:val="20"/>
          <w:szCs w:val="20"/>
        </w:rPr>
        <w:t xml:space="preserve">. </w:t>
      </w:r>
      <w:r w:rsidRPr="009D7635">
        <w:rPr>
          <w:rFonts w:ascii="Times New Roman" w:hAnsi="Times New Roman" w:cs="Times New Roman"/>
          <w:bCs/>
          <w:color w:val="000000" w:themeColor="text1"/>
          <w:sz w:val="20"/>
          <w:szCs w:val="20"/>
        </w:rPr>
        <w:t xml:space="preserve">See also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‘La composition </w:t>
      </w:r>
      <w:proofErr w:type="spellStart"/>
      <w:r w:rsidRPr="009D7635">
        <w:rPr>
          <w:rFonts w:ascii="Times New Roman" w:hAnsi="Times New Roman" w:cs="Times New Roman"/>
          <w:bCs/>
          <w:color w:val="000000" w:themeColor="text1"/>
          <w:sz w:val="20"/>
          <w:szCs w:val="20"/>
        </w:rPr>
        <w:t>hylémorphique</w:t>
      </w:r>
      <w:proofErr w:type="spellEnd"/>
      <w:r w:rsidRPr="009D7635">
        <w:rPr>
          <w:rFonts w:ascii="Times New Roman" w:hAnsi="Times New Roman" w:cs="Times New Roman"/>
          <w:bCs/>
          <w:color w:val="000000" w:themeColor="text1"/>
          <w:sz w:val="20"/>
          <w:szCs w:val="20"/>
        </w:rPr>
        <w:t xml:space="preserve"> des substances </w:t>
      </w:r>
      <w:proofErr w:type="spellStart"/>
      <w:r w:rsidRPr="009D7635">
        <w:rPr>
          <w:rFonts w:ascii="Times New Roman" w:hAnsi="Times New Roman" w:cs="Times New Roman"/>
          <w:bCs/>
          <w:color w:val="000000" w:themeColor="text1"/>
          <w:sz w:val="20"/>
          <w:szCs w:val="20"/>
        </w:rPr>
        <w:t>spirituelles</w:t>
      </w:r>
      <w:proofErr w:type="spellEnd"/>
      <w:r w:rsidRPr="009D7635">
        <w:rPr>
          <w:rFonts w:ascii="Times New Roman" w:hAnsi="Times New Roman" w:cs="Times New Roman"/>
          <w:bCs/>
          <w:color w:val="000000" w:themeColor="text1"/>
          <w:sz w:val="20"/>
          <w:szCs w:val="20"/>
        </w:rPr>
        <w:t>,’ 29-30.</w:t>
      </w:r>
    </w:p>
  </w:footnote>
  <w:footnote w:id="326">
    <w:p w14:paraId="083B879D"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bCs/>
          <w:color w:val="000000" w:themeColor="text1"/>
        </w:rPr>
        <w:t xml:space="preserve">See also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‘La composition </w:t>
      </w:r>
      <w:proofErr w:type="spellStart"/>
      <w:r w:rsidRPr="009D7635">
        <w:rPr>
          <w:rFonts w:ascii="Times New Roman" w:hAnsi="Times New Roman" w:cs="Times New Roman"/>
          <w:bCs/>
          <w:color w:val="000000" w:themeColor="text1"/>
        </w:rPr>
        <w:t>hylémorphique</w:t>
      </w:r>
      <w:proofErr w:type="spellEnd"/>
      <w:r w:rsidRPr="009D7635">
        <w:rPr>
          <w:rFonts w:ascii="Times New Roman" w:hAnsi="Times New Roman" w:cs="Times New Roman"/>
          <w:bCs/>
          <w:color w:val="000000" w:themeColor="text1"/>
        </w:rPr>
        <w:t xml:space="preserve"> des substances </w:t>
      </w:r>
      <w:proofErr w:type="spellStart"/>
      <w:r w:rsidRPr="009D7635">
        <w:rPr>
          <w:rFonts w:ascii="Times New Roman" w:hAnsi="Times New Roman" w:cs="Times New Roman"/>
          <w:bCs/>
          <w:color w:val="000000" w:themeColor="text1"/>
        </w:rPr>
        <w:t>spirituelles</w:t>
      </w:r>
      <w:proofErr w:type="spellEnd"/>
      <w:r w:rsidRPr="009D7635">
        <w:rPr>
          <w:rFonts w:ascii="Times New Roman" w:hAnsi="Times New Roman" w:cs="Times New Roman"/>
          <w:bCs/>
          <w:color w:val="000000" w:themeColor="text1"/>
        </w:rPr>
        <w:t xml:space="preserve">,’ </w:t>
      </w:r>
      <w:r w:rsidRPr="009D7635">
        <w:rPr>
          <w:rFonts w:ascii="Times New Roman" w:hAnsi="Times New Roman" w:cs="Times New Roman"/>
          <w:color w:val="000000" w:themeColor="text1"/>
        </w:rPr>
        <w:t xml:space="preserve">31. </w:t>
      </w:r>
    </w:p>
  </w:footnote>
  <w:footnote w:id="327">
    <w:p w14:paraId="6ECE4642" w14:textId="1D88CC20" w:rsidR="00B93ED5" w:rsidRPr="009D7635" w:rsidRDefault="00B93ED5" w:rsidP="007C038D">
      <w:pPr>
        <w:pStyle w:val="Default"/>
        <w:rPr>
          <w:rFonts w:ascii="Times New Roman" w:hAnsi="Times New Roman" w:cs="Times New Roman"/>
          <w:bCs/>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5F07C0" w:rsidRPr="009D7635">
        <w:rPr>
          <w:rFonts w:ascii="Times New Roman" w:hAnsi="Times New Roman" w:cs="Times New Roman"/>
          <w:bCs/>
          <w:color w:val="000000" w:themeColor="text1"/>
          <w:sz w:val="20"/>
          <w:szCs w:val="20"/>
        </w:rPr>
        <w:t>Ibid.,</w:t>
      </w:r>
      <w:r w:rsidRPr="009D7635">
        <w:rPr>
          <w:rFonts w:ascii="Times New Roman" w:hAnsi="Times New Roman" w:cs="Times New Roman"/>
          <w:bCs/>
          <w:color w:val="000000" w:themeColor="text1"/>
          <w:sz w:val="20"/>
          <w:szCs w:val="20"/>
        </w:rPr>
        <w:t xml:space="preserve"> 24-26. </w:t>
      </w:r>
    </w:p>
    <w:p w14:paraId="7A6A42F7" w14:textId="77777777" w:rsidR="00B93ED5" w:rsidRPr="009D7635" w:rsidRDefault="00B93ED5" w:rsidP="007C038D">
      <w:pPr>
        <w:pStyle w:val="Default"/>
        <w:rPr>
          <w:rFonts w:ascii="Times New Roman" w:hAnsi="Times New Roman" w:cs="Times New Roman"/>
          <w:bCs/>
          <w:color w:val="000000" w:themeColor="text1"/>
          <w:sz w:val="20"/>
          <w:szCs w:val="20"/>
        </w:rPr>
      </w:pPr>
      <w:r w:rsidRPr="009D7635">
        <w:rPr>
          <w:rFonts w:ascii="Times New Roman" w:hAnsi="Times New Roman" w:cs="Times New Roman"/>
          <w:bCs/>
          <w:color w:val="000000" w:themeColor="text1"/>
          <w:sz w:val="20"/>
          <w:szCs w:val="20"/>
        </w:rPr>
        <w:t xml:space="preserve">See also Magdalena </w:t>
      </w:r>
      <w:proofErr w:type="spellStart"/>
      <w:r w:rsidRPr="009D7635">
        <w:rPr>
          <w:rFonts w:ascii="Times New Roman" w:hAnsi="Times New Roman" w:cs="Times New Roman"/>
          <w:bCs/>
          <w:color w:val="000000" w:themeColor="text1"/>
          <w:sz w:val="20"/>
          <w:szCs w:val="20"/>
        </w:rPr>
        <w:t>Bieniak</w:t>
      </w:r>
      <w:proofErr w:type="spellEnd"/>
      <w:r w:rsidRPr="009D7635">
        <w:rPr>
          <w:rFonts w:ascii="Times New Roman" w:hAnsi="Times New Roman" w:cs="Times New Roman"/>
          <w:bCs/>
          <w:color w:val="000000" w:themeColor="text1"/>
          <w:sz w:val="20"/>
          <w:szCs w:val="20"/>
        </w:rPr>
        <w:t xml:space="preserve">, </w:t>
      </w:r>
      <w:r w:rsidRPr="009D7635">
        <w:rPr>
          <w:rFonts w:ascii="Times New Roman" w:hAnsi="Times New Roman" w:cs="Times New Roman"/>
          <w:bCs/>
          <w:i/>
          <w:color w:val="000000" w:themeColor="text1"/>
          <w:sz w:val="20"/>
          <w:szCs w:val="20"/>
        </w:rPr>
        <w:t>The Body-Soul Problem at Paris</w:t>
      </w:r>
      <w:r w:rsidRPr="009D7635">
        <w:rPr>
          <w:rFonts w:ascii="Times New Roman" w:hAnsi="Times New Roman" w:cs="Times New Roman"/>
          <w:bCs/>
          <w:iCs/>
          <w:color w:val="000000" w:themeColor="text1"/>
          <w:sz w:val="20"/>
          <w:szCs w:val="20"/>
        </w:rPr>
        <w:t xml:space="preserve">, </w:t>
      </w:r>
      <w:r w:rsidRPr="009D7635">
        <w:rPr>
          <w:rFonts w:ascii="Times New Roman" w:hAnsi="Times New Roman" w:cs="Times New Roman"/>
          <w:bCs/>
          <w:color w:val="000000" w:themeColor="text1"/>
          <w:sz w:val="20"/>
          <w:szCs w:val="20"/>
        </w:rPr>
        <w:t xml:space="preserve">105; Richard Dales, </w:t>
      </w:r>
      <w:r w:rsidRPr="009D7635">
        <w:rPr>
          <w:rFonts w:ascii="Times New Roman" w:hAnsi="Times New Roman" w:cs="Times New Roman"/>
          <w:bCs/>
          <w:i/>
          <w:color w:val="000000" w:themeColor="text1"/>
          <w:sz w:val="20"/>
          <w:szCs w:val="20"/>
        </w:rPr>
        <w:t>The Problem of the Rational Soul in the Thirteenth Century</w:t>
      </w:r>
      <w:r w:rsidRPr="009D7635">
        <w:rPr>
          <w:rFonts w:ascii="Times New Roman" w:hAnsi="Times New Roman" w:cs="Times New Roman"/>
          <w:bCs/>
          <w:iCs/>
          <w:color w:val="000000" w:themeColor="text1"/>
          <w:sz w:val="20"/>
          <w:szCs w:val="20"/>
        </w:rPr>
        <w:t>,</w:t>
      </w:r>
      <w:r w:rsidRPr="009D7635">
        <w:rPr>
          <w:rFonts w:ascii="Times New Roman" w:hAnsi="Times New Roman" w:cs="Times New Roman"/>
          <w:bCs/>
          <w:color w:val="000000" w:themeColor="text1"/>
          <w:sz w:val="20"/>
          <w:szCs w:val="20"/>
        </w:rPr>
        <w:t xml:space="preserve"> 22. </w:t>
      </w:r>
    </w:p>
  </w:footnote>
  <w:footnote w:id="328">
    <w:p w14:paraId="210FD411"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Ernest A. Moody, </w:t>
      </w:r>
      <w:r w:rsidRPr="009D7635">
        <w:rPr>
          <w:rFonts w:ascii="Times New Roman" w:hAnsi="Times New Roman" w:cs="Times New Roman"/>
          <w:color w:val="000000" w:themeColor="text1"/>
          <w:lang w:val="en-US"/>
        </w:rPr>
        <w:t xml:space="preserve">‘William of Auvergne and His Treatise </w:t>
      </w:r>
      <w:r w:rsidRPr="009D7635">
        <w:rPr>
          <w:rFonts w:ascii="Times New Roman" w:hAnsi="Times New Roman" w:cs="Times New Roman"/>
          <w:i/>
          <w:iCs/>
          <w:color w:val="000000" w:themeColor="text1"/>
          <w:lang w:val="en-US"/>
        </w:rPr>
        <w:t>De anima</w:t>
      </w:r>
      <w:r w:rsidRPr="009D7635">
        <w:rPr>
          <w:rFonts w:ascii="Times New Roman" w:hAnsi="Times New Roman" w:cs="Times New Roman"/>
          <w:color w:val="000000" w:themeColor="text1"/>
          <w:lang w:val="en-US"/>
        </w:rPr>
        <w:t>,’</w:t>
      </w:r>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rPr>
        <w:t xml:space="preserve">26. William of Auvergne, </w:t>
      </w:r>
      <w:r w:rsidRPr="009D7635">
        <w:rPr>
          <w:rFonts w:ascii="Times New Roman" w:hAnsi="Times New Roman" w:cs="Times New Roman"/>
          <w:i/>
          <w:color w:val="000000" w:themeColor="text1"/>
        </w:rPr>
        <w:t>The Soul</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trans.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xml:space="preserve">, 103. </w:t>
      </w:r>
    </w:p>
  </w:footnote>
  <w:footnote w:id="329">
    <w:p w14:paraId="57331D63" w14:textId="5318A395" w:rsidR="00E64C99" w:rsidRPr="009D7635" w:rsidRDefault="00E64C99">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 xml:space="preserve">The Body-Soul Problem at Paris, </w:t>
      </w:r>
      <w:r w:rsidR="00A63FDA" w:rsidRPr="009D7635">
        <w:rPr>
          <w:rFonts w:ascii="Times New Roman" w:hAnsi="Times New Roman" w:cs="Times New Roman"/>
          <w:color w:val="000000" w:themeColor="text1"/>
        </w:rPr>
        <w:t>f</w:t>
      </w:r>
      <w:r w:rsidRPr="009D7635">
        <w:rPr>
          <w:rFonts w:ascii="Times New Roman" w:hAnsi="Times New Roman" w:cs="Times New Roman"/>
          <w:color w:val="000000" w:themeColor="text1"/>
        </w:rPr>
        <w:t xml:space="preserve">104. </w:t>
      </w:r>
    </w:p>
  </w:footnote>
  <w:footnote w:id="330">
    <w:p w14:paraId="0520C0B7" w14:textId="607A28DF" w:rsidR="005E4AA3" w:rsidRPr="009D7635" w:rsidRDefault="005E4AA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iCs/>
          <w:color w:val="000000" w:themeColor="text1"/>
        </w:rPr>
        <w:t>Summae</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Magistri</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Rolandi</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Cremonensis</w:t>
      </w:r>
      <w:proofErr w:type="spellEnd"/>
      <w:r w:rsidRPr="009D7635">
        <w:rPr>
          <w:rFonts w:ascii="Times New Roman" w:hAnsi="Times New Roman" w:cs="Times New Roman"/>
          <w:i/>
          <w:iCs/>
          <w:color w:val="000000" w:themeColor="text1"/>
        </w:rPr>
        <w:t xml:space="preserve"> O.P., Liber </w:t>
      </w:r>
      <w:proofErr w:type="spellStart"/>
      <w:r w:rsidRPr="009D7635">
        <w:rPr>
          <w:rFonts w:ascii="Times New Roman" w:hAnsi="Times New Roman" w:cs="Times New Roman"/>
          <w:i/>
          <w:iCs/>
          <w:color w:val="000000" w:themeColor="text1"/>
        </w:rPr>
        <w:t>Secundus</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Aloysio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Cortesi</w:t>
      </w:r>
      <w:proofErr w:type="spellEnd"/>
      <w:r w:rsidRPr="009D7635">
        <w:rPr>
          <w:rFonts w:ascii="Times New Roman" w:hAnsi="Times New Roman" w:cs="Times New Roman"/>
          <w:color w:val="000000" w:themeColor="text1"/>
        </w:rPr>
        <w:t xml:space="preserve"> (Bergamo: Umberto </w:t>
      </w:r>
      <w:proofErr w:type="spellStart"/>
      <w:r w:rsidRPr="009D7635">
        <w:rPr>
          <w:rFonts w:ascii="Times New Roman" w:hAnsi="Times New Roman" w:cs="Times New Roman"/>
          <w:color w:val="000000" w:themeColor="text1"/>
        </w:rPr>
        <w:t>Midali</w:t>
      </w:r>
      <w:proofErr w:type="spellEnd"/>
      <w:r w:rsidRPr="009D7635">
        <w:rPr>
          <w:rFonts w:ascii="Times New Roman" w:hAnsi="Times New Roman" w:cs="Times New Roman"/>
          <w:color w:val="000000" w:themeColor="text1"/>
        </w:rPr>
        <w:t>, 2016)</w:t>
      </w:r>
      <w:r w:rsidR="00EA69DB" w:rsidRPr="009D7635">
        <w:rPr>
          <w:rFonts w:ascii="Times New Roman" w:hAnsi="Times New Roman" w:cs="Times New Roman"/>
          <w:color w:val="000000" w:themeColor="text1"/>
        </w:rPr>
        <w:t xml:space="preserve">, Ch </w:t>
      </w:r>
      <w:r w:rsidR="00951EE3" w:rsidRPr="009D7635">
        <w:rPr>
          <w:rFonts w:ascii="Times New Roman" w:hAnsi="Times New Roman" w:cs="Times New Roman"/>
          <w:color w:val="000000" w:themeColor="text1"/>
        </w:rPr>
        <w:t xml:space="preserve">12, 34; Cf. Ch </w:t>
      </w:r>
      <w:r w:rsidR="00EA69DB" w:rsidRPr="009D7635">
        <w:rPr>
          <w:rFonts w:ascii="Times New Roman" w:hAnsi="Times New Roman" w:cs="Times New Roman"/>
          <w:color w:val="000000" w:themeColor="text1"/>
        </w:rPr>
        <w:t xml:space="preserve">74, 117. </w:t>
      </w:r>
    </w:p>
  </w:footnote>
  <w:footnote w:id="331">
    <w:p w14:paraId="36771143" w14:textId="1893E781" w:rsidR="00B93ED5" w:rsidRPr="009D7635" w:rsidRDefault="00B93ED5" w:rsidP="000F0F2F">
      <w:pPr>
        <w:jc w:val="both"/>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lang w:val="en-US"/>
        </w:rPr>
        <w:t>Guerric</w:t>
      </w:r>
      <w:proofErr w:type="spellEnd"/>
      <w:r w:rsidRPr="009D7635">
        <w:rPr>
          <w:rFonts w:ascii="Times New Roman" w:hAnsi="Times New Roman" w:cs="Times New Roman"/>
          <w:color w:val="000000" w:themeColor="text1"/>
          <w:sz w:val="20"/>
          <w:szCs w:val="20"/>
          <w:lang w:val="en-US"/>
        </w:rPr>
        <w:t xml:space="preserve"> of Saint-Quentin, </w:t>
      </w:r>
      <w:proofErr w:type="spellStart"/>
      <w:r w:rsidRPr="009D7635">
        <w:rPr>
          <w:rFonts w:ascii="Times New Roman" w:hAnsi="Times New Roman" w:cs="Times New Roman"/>
          <w:i/>
          <w:color w:val="000000" w:themeColor="text1"/>
          <w:sz w:val="20"/>
          <w:szCs w:val="20"/>
          <w:lang w:val="en-US"/>
        </w:rPr>
        <w:t>Quaestiones</w:t>
      </w:r>
      <w:proofErr w:type="spellEnd"/>
      <w:r w:rsidRPr="009D7635">
        <w:rPr>
          <w:rFonts w:ascii="Times New Roman" w:hAnsi="Times New Roman" w:cs="Times New Roman"/>
          <w:i/>
          <w:color w:val="000000" w:themeColor="text1"/>
          <w:sz w:val="20"/>
          <w:szCs w:val="20"/>
          <w:lang w:val="en-US"/>
        </w:rPr>
        <w:t xml:space="preserve"> de </w:t>
      </w:r>
      <w:r w:rsidR="00797700" w:rsidRPr="009D7635">
        <w:rPr>
          <w:rFonts w:ascii="Times New Roman" w:hAnsi="Times New Roman" w:cs="Times New Roman"/>
          <w:i/>
          <w:color w:val="000000" w:themeColor="text1"/>
          <w:sz w:val="20"/>
          <w:szCs w:val="20"/>
          <w:lang w:val="en-US"/>
        </w:rPr>
        <w:t>quodlibet</w:t>
      </w:r>
      <w:r w:rsidR="00CE1A85"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A Critical Edition</w:t>
      </w:r>
      <w:r w:rsidRPr="009D7635">
        <w:rPr>
          <w:rFonts w:ascii="Times New Roman" w:hAnsi="Times New Roman" w:cs="Times New Roman"/>
          <w:color w:val="000000" w:themeColor="text1"/>
          <w:sz w:val="20"/>
          <w:szCs w:val="20"/>
          <w:lang w:val="en-US"/>
        </w:rPr>
        <w:t xml:space="preserve">, ed. W.H. Principe, with preface by J. Black, introduction by J.-P. </w:t>
      </w:r>
      <w:proofErr w:type="spellStart"/>
      <w:r w:rsidRPr="009D7635">
        <w:rPr>
          <w:rFonts w:ascii="Times New Roman" w:hAnsi="Times New Roman" w:cs="Times New Roman"/>
          <w:color w:val="000000" w:themeColor="text1"/>
          <w:sz w:val="20"/>
          <w:szCs w:val="20"/>
          <w:lang w:val="en-US"/>
        </w:rPr>
        <w:t>Torrell</w:t>
      </w:r>
      <w:proofErr w:type="spellEnd"/>
      <w:r w:rsidRPr="009D7635">
        <w:rPr>
          <w:rFonts w:ascii="Times New Roman" w:hAnsi="Times New Roman" w:cs="Times New Roman"/>
          <w:color w:val="000000" w:themeColor="text1"/>
          <w:sz w:val="20"/>
          <w:szCs w:val="20"/>
          <w:lang w:val="en-US"/>
        </w:rPr>
        <w:t xml:space="preserve"> (Toronto: Pontifical Institute of Mediaeval Studies, 2002), </w:t>
      </w:r>
      <w:r w:rsidRPr="009D7635">
        <w:rPr>
          <w:rFonts w:ascii="Times New Roman" w:hAnsi="Times New Roman" w:cs="Times New Roman"/>
          <w:color w:val="000000" w:themeColor="text1"/>
          <w:sz w:val="20"/>
          <w:szCs w:val="20"/>
        </w:rPr>
        <w:t>Quodlibet 8.4a, 352</w:t>
      </w:r>
      <w:r w:rsidR="00CE7F4F" w:rsidRPr="009D7635">
        <w:rPr>
          <w:rFonts w:ascii="Times New Roman" w:hAnsi="Times New Roman" w:cs="Times New Roman"/>
          <w:color w:val="000000" w:themeColor="text1"/>
          <w:sz w:val="20"/>
          <w:szCs w:val="20"/>
        </w:rPr>
        <w:t xml:space="preserve">; cf. Quodlibet 9, Article 5, </w:t>
      </w:r>
      <w:proofErr w:type="spellStart"/>
      <w:r w:rsidR="00CE7F4F" w:rsidRPr="009D7635">
        <w:rPr>
          <w:rFonts w:ascii="Times New Roman" w:hAnsi="Times New Roman" w:cs="Times New Roman"/>
          <w:color w:val="000000" w:themeColor="text1"/>
          <w:sz w:val="20"/>
          <w:szCs w:val="20"/>
        </w:rPr>
        <w:t>Solutio</w:t>
      </w:r>
      <w:proofErr w:type="spellEnd"/>
      <w:r w:rsidR="00CE7F4F" w:rsidRPr="009D7635">
        <w:rPr>
          <w:rFonts w:ascii="Times New Roman" w:hAnsi="Times New Roman" w:cs="Times New Roman"/>
          <w:color w:val="000000" w:themeColor="text1"/>
          <w:sz w:val="20"/>
          <w:szCs w:val="20"/>
        </w:rPr>
        <w:t>, 390.</w:t>
      </w:r>
    </w:p>
  </w:footnote>
  <w:footnote w:id="332">
    <w:p w14:paraId="31AD8A3D" w14:textId="4934B4E4"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lang w:val="en-US"/>
        </w:rPr>
        <w:t>Guerric</w:t>
      </w:r>
      <w:proofErr w:type="spellEnd"/>
      <w:r w:rsidRPr="009D7635">
        <w:rPr>
          <w:rFonts w:ascii="Times New Roman" w:hAnsi="Times New Roman" w:cs="Times New Roman"/>
          <w:color w:val="000000" w:themeColor="text1"/>
          <w:sz w:val="20"/>
          <w:szCs w:val="20"/>
          <w:lang w:val="en-US"/>
        </w:rPr>
        <w:t xml:space="preserve"> of Saint-Quentin, </w:t>
      </w:r>
      <w:proofErr w:type="spellStart"/>
      <w:r w:rsidRPr="009D7635">
        <w:rPr>
          <w:rFonts w:ascii="Times New Roman" w:hAnsi="Times New Roman" w:cs="Times New Roman"/>
          <w:i/>
          <w:color w:val="000000" w:themeColor="text1"/>
          <w:sz w:val="20"/>
          <w:szCs w:val="20"/>
          <w:lang w:val="en-US"/>
        </w:rPr>
        <w:t>Quaestiones</w:t>
      </w:r>
      <w:proofErr w:type="spellEnd"/>
      <w:r w:rsidRPr="009D7635">
        <w:rPr>
          <w:rFonts w:ascii="Times New Roman" w:hAnsi="Times New Roman" w:cs="Times New Roman"/>
          <w:i/>
          <w:color w:val="000000" w:themeColor="text1"/>
          <w:sz w:val="20"/>
          <w:szCs w:val="20"/>
          <w:lang w:val="en-US"/>
        </w:rPr>
        <w:t xml:space="preserve"> de </w:t>
      </w:r>
      <w:r w:rsidR="00797700" w:rsidRPr="009D7635">
        <w:rPr>
          <w:rFonts w:ascii="Times New Roman" w:hAnsi="Times New Roman" w:cs="Times New Roman"/>
          <w:i/>
          <w:color w:val="000000" w:themeColor="text1"/>
          <w:sz w:val="20"/>
          <w:szCs w:val="20"/>
          <w:lang w:val="en-US"/>
        </w:rPr>
        <w:t>quodlibet</w:t>
      </w:r>
      <w:r w:rsidRPr="009D7635">
        <w:rPr>
          <w:rFonts w:ascii="Times New Roman" w:hAnsi="Times New Roman" w:cs="Times New Roman"/>
          <w:b/>
          <w:color w:val="000000" w:themeColor="text1"/>
          <w:sz w:val="20"/>
          <w:szCs w:val="20"/>
        </w:rPr>
        <w:t xml:space="preserve">, </w:t>
      </w:r>
      <w:r w:rsidRPr="009D7635">
        <w:rPr>
          <w:rFonts w:ascii="Times New Roman" w:hAnsi="Times New Roman" w:cs="Times New Roman"/>
          <w:color w:val="000000" w:themeColor="text1"/>
          <w:sz w:val="20"/>
          <w:szCs w:val="20"/>
        </w:rPr>
        <w:t>Quodlibet 8.4b, 353.</w:t>
      </w:r>
      <w:r w:rsidR="00835E98" w:rsidRPr="009D7635">
        <w:rPr>
          <w:rFonts w:ascii="Times New Roman" w:hAnsi="Times New Roman" w:cs="Times New Roman"/>
          <w:color w:val="000000" w:themeColor="text1"/>
          <w:sz w:val="20"/>
          <w:szCs w:val="20"/>
        </w:rPr>
        <w:t xml:space="preserve"> J.-P. </w:t>
      </w:r>
      <w:proofErr w:type="spellStart"/>
      <w:r w:rsidR="00835E98" w:rsidRPr="009D7635">
        <w:rPr>
          <w:rFonts w:ascii="Times New Roman" w:hAnsi="Times New Roman" w:cs="Times New Roman"/>
          <w:color w:val="000000" w:themeColor="text1"/>
          <w:sz w:val="20"/>
          <w:szCs w:val="20"/>
        </w:rPr>
        <w:t>Torrell</w:t>
      </w:r>
      <w:proofErr w:type="spellEnd"/>
      <w:r w:rsidR="00835E98" w:rsidRPr="009D7635">
        <w:rPr>
          <w:rFonts w:ascii="Times New Roman" w:hAnsi="Times New Roman" w:cs="Times New Roman"/>
          <w:color w:val="000000" w:themeColor="text1"/>
          <w:sz w:val="20"/>
          <w:szCs w:val="20"/>
        </w:rPr>
        <w:t xml:space="preserve">, ‘Introduction,’ in </w:t>
      </w:r>
      <w:proofErr w:type="spellStart"/>
      <w:r w:rsidR="00835E98" w:rsidRPr="009D7635">
        <w:rPr>
          <w:rFonts w:ascii="Times New Roman" w:hAnsi="Times New Roman" w:cs="Times New Roman"/>
          <w:color w:val="000000" w:themeColor="text1"/>
          <w:sz w:val="20"/>
          <w:szCs w:val="20"/>
          <w:lang w:val="en-US"/>
        </w:rPr>
        <w:t>Guerric</w:t>
      </w:r>
      <w:proofErr w:type="spellEnd"/>
      <w:r w:rsidR="00835E98" w:rsidRPr="009D7635">
        <w:rPr>
          <w:rFonts w:ascii="Times New Roman" w:hAnsi="Times New Roman" w:cs="Times New Roman"/>
          <w:color w:val="000000" w:themeColor="text1"/>
          <w:sz w:val="20"/>
          <w:szCs w:val="20"/>
          <w:lang w:val="en-US"/>
        </w:rPr>
        <w:t xml:space="preserve"> of Saint-Quentin, </w:t>
      </w:r>
      <w:proofErr w:type="spellStart"/>
      <w:r w:rsidR="00835E98" w:rsidRPr="009D7635">
        <w:rPr>
          <w:rFonts w:ascii="Times New Roman" w:hAnsi="Times New Roman" w:cs="Times New Roman"/>
          <w:i/>
          <w:color w:val="000000" w:themeColor="text1"/>
          <w:sz w:val="20"/>
          <w:szCs w:val="20"/>
          <w:lang w:val="en-US"/>
        </w:rPr>
        <w:t>Quaestiones</w:t>
      </w:r>
      <w:proofErr w:type="spellEnd"/>
      <w:r w:rsidR="00835E98" w:rsidRPr="009D7635">
        <w:rPr>
          <w:rFonts w:ascii="Times New Roman" w:hAnsi="Times New Roman" w:cs="Times New Roman"/>
          <w:i/>
          <w:color w:val="000000" w:themeColor="text1"/>
          <w:sz w:val="20"/>
          <w:szCs w:val="20"/>
          <w:lang w:val="en-US"/>
        </w:rPr>
        <w:t xml:space="preserve"> de </w:t>
      </w:r>
      <w:r w:rsidR="00797700" w:rsidRPr="009D7635">
        <w:rPr>
          <w:rFonts w:ascii="Times New Roman" w:hAnsi="Times New Roman" w:cs="Times New Roman"/>
          <w:i/>
          <w:color w:val="000000" w:themeColor="text1"/>
          <w:sz w:val="20"/>
          <w:szCs w:val="20"/>
          <w:lang w:val="en-US"/>
        </w:rPr>
        <w:t>quodlibet</w:t>
      </w:r>
      <w:r w:rsidR="00835E98" w:rsidRPr="009D7635">
        <w:rPr>
          <w:rFonts w:ascii="Times New Roman" w:hAnsi="Times New Roman" w:cs="Times New Roman"/>
          <w:color w:val="000000" w:themeColor="text1"/>
          <w:sz w:val="20"/>
          <w:szCs w:val="20"/>
        </w:rPr>
        <w:t>, 75.</w:t>
      </w:r>
    </w:p>
  </w:footnote>
  <w:footnote w:id="333">
    <w:p w14:paraId="6BFD40B2" w14:textId="53BD7AE1" w:rsidR="00B93ED5" w:rsidRPr="009D7635" w:rsidRDefault="00B93ED5" w:rsidP="007C038D">
      <w:pPr>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68; E. </w:t>
      </w:r>
      <w:proofErr w:type="spellStart"/>
      <w:r w:rsidRPr="009D7635">
        <w:rPr>
          <w:rFonts w:ascii="Times New Roman" w:hAnsi="Times New Roman" w:cs="Times New Roman"/>
          <w:color w:val="000000" w:themeColor="text1"/>
          <w:sz w:val="20"/>
          <w:szCs w:val="20"/>
        </w:rPr>
        <w:t>Kleineidam</w:t>
      </w:r>
      <w:proofErr w:type="spellEnd"/>
      <w:r w:rsidRPr="009D7635">
        <w:rPr>
          <w:rFonts w:ascii="Times New Roman" w:hAnsi="Times New Roman" w:cs="Times New Roman"/>
          <w:color w:val="000000" w:themeColor="text1"/>
          <w:sz w:val="20"/>
          <w:szCs w:val="20"/>
        </w:rPr>
        <w:t xml:space="preserve"> held that the main defender of universal hylomorphism was the author of the </w:t>
      </w:r>
      <w:r w:rsidRPr="009D7635">
        <w:rPr>
          <w:rFonts w:ascii="Times New Roman" w:hAnsi="Times New Roman" w:cs="Times New Roman"/>
          <w:i/>
          <w:color w:val="000000" w:themeColor="text1"/>
          <w:sz w:val="20"/>
          <w:szCs w:val="20"/>
        </w:rPr>
        <w:t xml:space="preserve">Summa </w:t>
      </w:r>
      <w:proofErr w:type="spellStart"/>
      <w:r w:rsidRPr="009D7635">
        <w:rPr>
          <w:rFonts w:ascii="Times New Roman" w:hAnsi="Times New Roman" w:cs="Times New Roman"/>
          <w:i/>
          <w:color w:val="000000" w:themeColor="text1"/>
          <w:sz w:val="20"/>
          <w:szCs w:val="20"/>
        </w:rPr>
        <w:t>Halensis</w:t>
      </w:r>
      <w:proofErr w:type="spellEnd"/>
      <w:r w:rsidRPr="009D7635">
        <w:rPr>
          <w:rFonts w:ascii="Times New Roman" w:hAnsi="Times New Roman" w:cs="Times New Roman"/>
          <w:color w:val="000000" w:themeColor="text1"/>
          <w:sz w:val="20"/>
          <w:szCs w:val="20"/>
        </w:rPr>
        <w:t xml:space="preserve"> while opponents </w:t>
      </w:r>
      <w:r w:rsidR="00E41FFB" w:rsidRPr="009D7635">
        <w:rPr>
          <w:rFonts w:ascii="Times New Roman" w:hAnsi="Times New Roman" w:cs="Times New Roman"/>
          <w:color w:val="000000" w:themeColor="text1"/>
          <w:sz w:val="20"/>
          <w:szCs w:val="20"/>
        </w:rPr>
        <w:t>included</w:t>
      </w:r>
      <w:r w:rsidRPr="009D7635">
        <w:rPr>
          <w:rFonts w:ascii="Times New Roman" w:hAnsi="Times New Roman" w:cs="Times New Roman"/>
          <w:color w:val="000000" w:themeColor="text1"/>
          <w:sz w:val="20"/>
          <w:szCs w:val="20"/>
        </w:rPr>
        <w:t xml:space="preserve"> John of La Rochelle and William of Auvergne. See his </w:t>
      </w:r>
      <w:r w:rsidRPr="009D7635">
        <w:rPr>
          <w:rFonts w:ascii="Times New Roman" w:hAnsi="Times New Roman" w:cs="Times New Roman"/>
          <w:i/>
          <w:color w:val="000000" w:themeColor="text1"/>
          <w:sz w:val="20"/>
          <w:szCs w:val="20"/>
        </w:rPr>
        <w:t xml:space="preserve">Das Problem de </w:t>
      </w:r>
      <w:proofErr w:type="spellStart"/>
      <w:r w:rsidRPr="009D7635">
        <w:rPr>
          <w:rFonts w:ascii="Times New Roman" w:hAnsi="Times New Roman" w:cs="Times New Roman"/>
          <w:i/>
          <w:color w:val="000000" w:themeColor="text1"/>
          <w:sz w:val="20"/>
          <w:szCs w:val="20"/>
        </w:rPr>
        <w:t>hylomorphen</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Zusammensetzung</w:t>
      </w:r>
      <w:proofErr w:type="spellEnd"/>
      <w:r w:rsidRPr="009D7635">
        <w:rPr>
          <w:rFonts w:ascii="Times New Roman" w:hAnsi="Times New Roman" w:cs="Times New Roman"/>
          <w:i/>
          <w:color w:val="000000" w:themeColor="text1"/>
          <w:sz w:val="20"/>
          <w:szCs w:val="20"/>
        </w:rPr>
        <w:t xml:space="preserve"> der </w:t>
      </w:r>
      <w:proofErr w:type="spellStart"/>
      <w:r w:rsidRPr="009D7635">
        <w:rPr>
          <w:rFonts w:ascii="Times New Roman" w:hAnsi="Times New Roman" w:cs="Times New Roman"/>
          <w:i/>
          <w:color w:val="000000" w:themeColor="text1"/>
          <w:sz w:val="20"/>
          <w:szCs w:val="20"/>
        </w:rPr>
        <w:t>geistigen</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Substanzen</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im</w:t>
      </w:r>
      <w:proofErr w:type="spellEnd"/>
      <w:r w:rsidRPr="009D7635">
        <w:rPr>
          <w:rFonts w:ascii="Times New Roman" w:hAnsi="Times New Roman" w:cs="Times New Roman"/>
          <w:i/>
          <w:color w:val="000000" w:themeColor="text1"/>
          <w:sz w:val="20"/>
          <w:szCs w:val="20"/>
        </w:rPr>
        <w:t xml:space="preserve"> 13. </w:t>
      </w:r>
      <w:proofErr w:type="spellStart"/>
      <w:r w:rsidRPr="009D7635">
        <w:rPr>
          <w:rFonts w:ascii="Times New Roman" w:hAnsi="Times New Roman" w:cs="Times New Roman"/>
          <w:i/>
          <w:color w:val="000000" w:themeColor="text1"/>
          <w:sz w:val="20"/>
          <w:szCs w:val="20"/>
        </w:rPr>
        <w:t>Jahrhundert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behandelt</w:t>
      </w:r>
      <w:proofErr w:type="spellEnd"/>
      <w:r w:rsidRPr="009D7635">
        <w:rPr>
          <w:rFonts w:ascii="Times New Roman" w:hAnsi="Times New Roman" w:cs="Times New Roman"/>
          <w:i/>
          <w:color w:val="000000" w:themeColor="text1"/>
          <w:sz w:val="20"/>
          <w:szCs w:val="20"/>
        </w:rPr>
        <w:t xml:space="preserve"> bis Thomas von </w:t>
      </w:r>
      <w:proofErr w:type="spellStart"/>
      <w:r w:rsidRPr="009D7635">
        <w:rPr>
          <w:rFonts w:ascii="Times New Roman" w:hAnsi="Times New Roman" w:cs="Times New Roman"/>
          <w:i/>
          <w:color w:val="000000" w:themeColor="text1"/>
          <w:sz w:val="20"/>
          <w:szCs w:val="20"/>
        </w:rPr>
        <w:t>Aquin</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(PhD, Breslau, 1930).</w:t>
      </w:r>
    </w:p>
  </w:footnote>
  <w:footnote w:id="334">
    <w:p w14:paraId="6DA7CA8C" w14:textId="0CF11EBB"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See Lydia Schumacher, ‘Theistic Proof,’ in </w:t>
      </w:r>
      <w:r w:rsidRPr="009D7635">
        <w:rPr>
          <w:rFonts w:ascii="Times New Roman" w:hAnsi="Times New Roman" w:cs="Times New Roman"/>
          <w:i/>
          <w:color w:val="000000" w:themeColor="text1"/>
        </w:rPr>
        <w:t xml:space="preserve">Early Franciscan Theology: Between Authority and Innovation </w:t>
      </w:r>
      <w:r w:rsidRPr="009D7635">
        <w:rPr>
          <w:rFonts w:ascii="Times New Roman" w:hAnsi="Times New Roman" w:cs="Times New Roman"/>
          <w:color w:val="000000" w:themeColor="text1"/>
        </w:rPr>
        <w:t>(Cambridge: Cambridge University Press, 2019), 103-18.</w:t>
      </w:r>
    </w:p>
  </w:footnote>
  <w:footnote w:id="335">
    <w:p w14:paraId="59124DA0" w14:textId="5353886B"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 69: </w:t>
      </w:r>
      <w:r w:rsidRPr="009D7635">
        <w:rPr>
          <w:rFonts w:ascii="Times New Roman" w:hAnsi="Times New Roman" w:cs="Times New Roman"/>
          <w:i/>
          <w:color w:val="000000" w:themeColor="text1"/>
          <w:sz w:val="20"/>
          <w:szCs w:val="20"/>
        </w:rPr>
        <w:t xml:space="preserve">Ad hoc </w:t>
      </w:r>
      <w:proofErr w:type="spellStart"/>
      <w:r w:rsidRPr="009D7635">
        <w:rPr>
          <w:rFonts w:ascii="Times New Roman" w:hAnsi="Times New Roman" w:cs="Times New Roman"/>
          <w:i/>
          <w:color w:val="000000" w:themeColor="text1"/>
          <w:sz w:val="20"/>
          <w:szCs w:val="20"/>
        </w:rPr>
        <w:t>dicendum</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partes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entis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essenciales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dicuntur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dupliciter</w:t>
      </w:r>
      <w:proofErr w:type="spellEnd"/>
      <w:r w:rsidRPr="009D7635">
        <w:rPr>
          <w:rFonts w:ascii="Times New Roman" w:hAnsi="Times New Roman" w:cs="Times New Roman"/>
          <w:i/>
          <w:color w:val="000000" w:themeColor="text1"/>
          <w:sz w:val="20"/>
          <w:szCs w:val="20"/>
        </w:rPr>
        <w:t xml:space="preserve">: uno </w:t>
      </w:r>
      <w:proofErr w:type="spellStart"/>
      <w:r w:rsidRPr="009D7635">
        <w:rPr>
          <w:rFonts w:ascii="Times New Roman" w:hAnsi="Times New Roman" w:cs="Times New Roman"/>
          <w:i/>
          <w:color w:val="000000" w:themeColor="text1"/>
          <w:sz w:val="20"/>
          <w:szCs w:val="20"/>
        </w:rPr>
        <w:t>enim</w:t>
      </w:r>
      <w:proofErr w:type="spellEnd"/>
      <w:r w:rsidRPr="009D7635">
        <w:rPr>
          <w:rFonts w:ascii="Times New Roman" w:hAnsi="Times New Roman" w:cs="Times New Roman"/>
          <w:i/>
          <w:color w:val="000000" w:themeColor="text1"/>
          <w:sz w:val="20"/>
          <w:szCs w:val="20"/>
        </w:rPr>
        <w:t xml:space="preserve"> modo </w:t>
      </w:r>
      <w:proofErr w:type="spellStart"/>
      <w:r w:rsidRPr="009D7635">
        <w:rPr>
          <w:rFonts w:ascii="Times New Roman" w:hAnsi="Times New Roman" w:cs="Times New Roman"/>
          <w:i/>
          <w:color w:val="000000" w:themeColor="text1"/>
          <w:sz w:val="20"/>
          <w:szCs w:val="20"/>
        </w:rPr>
        <w:t>partes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entis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dicuntur</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et quo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iste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partes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entis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inveniuntur</w:t>
      </w:r>
      <w:proofErr w:type="spellEnd"/>
      <w:r w:rsidRPr="009D7635">
        <w:rPr>
          <w:rFonts w:ascii="Times New Roman" w:hAnsi="Times New Roman" w:cs="Times New Roman"/>
          <w:i/>
          <w:color w:val="000000" w:themeColor="text1"/>
          <w:sz w:val="20"/>
          <w:szCs w:val="20"/>
        </w:rPr>
        <w:t xml:space="preserve"> in omni </w:t>
      </w:r>
      <w:proofErr w:type="spellStart"/>
      <w:r w:rsidRPr="009D7635">
        <w:rPr>
          <w:rFonts w:ascii="Times New Roman" w:hAnsi="Times New Roman" w:cs="Times New Roman"/>
          <w:i/>
          <w:color w:val="000000" w:themeColor="text1"/>
          <w:sz w:val="20"/>
          <w:szCs w:val="20"/>
        </w:rPr>
        <w:t>eo</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citra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Primum</w:t>
      </w:r>
      <w:proofErr w:type="spellEnd"/>
      <w:r w:rsidRPr="009D7635">
        <w:rPr>
          <w:rFonts w:ascii="Times New Roman" w:hAnsi="Times New Roman" w:cs="Times New Roman"/>
          <w:i/>
          <w:color w:val="000000" w:themeColor="text1"/>
          <w:sz w:val="20"/>
          <w:szCs w:val="20"/>
        </w:rPr>
        <w:t xml:space="preserve">, in omni scilicet </w:t>
      </w:r>
      <w:proofErr w:type="spellStart"/>
      <w:r w:rsidRPr="009D7635">
        <w:rPr>
          <w:rFonts w:ascii="Times New Roman" w:hAnsi="Times New Roman" w:cs="Times New Roman"/>
          <w:i/>
          <w:color w:val="000000" w:themeColor="text1"/>
          <w:sz w:val="20"/>
          <w:szCs w:val="20"/>
        </w:rPr>
        <w:t>creatura</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manifestatur</w:t>
      </w:r>
      <w:proofErr w:type="spellEnd"/>
      <w:r w:rsidRPr="009D7635">
        <w:rPr>
          <w:rFonts w:ascii="Times New Roman" w:hAnsi="Times New Roman" w:cs="Times New Roman"/>
          <w:i/>
          <w:color w:val="000000" w:themeColor="text1"/>
          <w:sz w:val="20"/>
          <w:szCs w:val="20"/>
        </w:rPr>
        <w:t xml:space="preserve"> sic: </w:t>
      </w:r>
      <w:proofErr w:type="spellStart"/>
      <w:r w:rsidRPr="009D7635">
        <w:rPr>
          <w:rFonts w:ascii="Times New Roman" w:hAnsi="Times New Roman" w:cs="Times New Roman"/>
          <w:i/>
          <w:color w:val="000000" w:themeColor="text1"/>
          <w:sz w:val="20"/>
          <w:szCs w:val="20"/>
        </w:rPr>
        <w:t>quia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omne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illud</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citra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Primum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ens per </w:t>
      </w:r>
      <w:proofErr w:type="spellStart"/>
      <w:r w:rsidRPr="009D7635">
        <w:rPr>
          <w:rFonts w:ascii="Times New Roman" w:hAnsi="Times New Roman" w:cs="Times New Roman"/>
          <w:i/>
          <w:color w:val="000000" w:themeColor="text1"/>
          <w:sz w:val="20"/>
          <w:szCs w:val="20"/>
        </w:rPr>
        <w:t>participacionem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ergo in </w:t>
      </w:r>
      <w:proofErr w:type="spellStart"/>
      <w:r w:rsidRPr="009D7635">
        <w:rPr>
          <w:rFonts w:ascii="Times New Roman" w:hAnsi="Times New Roman" w:cs="Times New Roman"/>
          <w:i/>
          <w:color w:val="000000" w:themeColor="text1"/>
          <w:sz w:val="20"/>
          <w:szCs w:val="20"/>
        </w:rPr>
        <w:t>qualibet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creatura</w:t>
      </w:r>
      <w:proofErr w:type="spellEnd"/>
      <w:r w:rsidRPr="009D7635">
        <w:rPr>
          <w:rFonts w:ascii="Times New Roman" w:hAnsi="Times New Roman" w:cs="Times New Roman"/>
          <w:i/>
          <w:color w:val="000000" w:themeColor="text1"/>
          <w:sz w:val="20"/>
          <w:szCs w:val="20"/>
        </w:rPr>
        <w:t xml:space="preserve"> ens </w:t>
      </w:r>
      <w:proofErr w:type="spellStart"/>
      <w:r w:rsidRPr="009D7635">
        <w:rPr>
          <w:rFonts w:ascii="Times New Roman" w:hAnsi="Times New Roman" w:cs="Times New Roman"/>
          <w:i/>
          <w:color w:val="000000" w:themeColor="text1"/>
          <w:sz w:val="20"/>
          <w:szCs w:val="20"/>
        </w:rPr>
        <w:t>differens</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scilicet </w:t>
      </w:r>
      <w:proofErr w:type="spellStart"/>
      <w:r w:rsidRPr="009D7635">
        <w:rPr>
          <w:rFonts w:ascii="Times New Roman" w:hAnsi="Times New Roman" w:cs="Times New Roman"/>
          <w:i/>
          <w:color w:val="000000" w:themeColor="text1"/>
          <w:sz w:val="20"/>
          <w:szCs w:val="20"/>
        </w:rPr>
        <w:t>ipsum</w:t>
      </w:r>
      <w:proofErr w:type="spellEnd"/>
      <w:r w:rsidRPr="009D7635">
        <w:rPr>
          <w:rFonts w:ascii="Times New Roman" w:hAnsi="Times New Roman" w:cs="Times New Roman"/>
          <w:i/>
          <w:color w:val="000000" w:themeColor="text1"/>
          <w:sz w:val="20"/>
          <w:szCs w:val="20"/>
        </w:rPr>
        <w:t xml:space="preserve"> ens, ab </w:t>
      </w:r>
      <w:proofErr w:type="spellStart"/>
      <w:r w:rsidRPr="009D7635">
        <w:rPr>
          <w:rFonts w:ascii="Times New Roman" w:hAnsi="Times New Roman" w:cs="Times New Roman"/>
          <w:i/>
          <w:color w:val="000000" w:themeColor="text1"/>
          <w:sz w:val="20"/>
          <w:szCs w:val="20"/>
        </w:rPr>
        <w:t>eo</w:t>
      </w:r>
      <w:proofErr w:type="spellEnd"/>
      <w:r w:rsidRPr="009D7635">
        <w:rPr>
          <w:rFonts w:ascii="Times New Roman" w:hAnsi="Times New Roman" w:cs="Times New Roman"/>
          <w:i/>
          <w:color w:val="000000" w:themeColor="text1"/>
          <w:sz w:val="20"/>
          <w:szCs w:val="20"/>
        </w:rPr>
        <w:t xml:space="preserve"> quo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scilicet </w:t>
      </w:r>
      <w:proofErr w:type="spellStart"/>
      <w:r w:rsidRPr="009D7635">
        <w:rPr>
          <w:rFonts w:ascii="Times New Roman" w:hAnsi="Times New Roman" w:cs="Times New Roman"/>
          <w:i/>
          <w:color w:val="000000" w:themeColor="text1"/>
          <w:sz w:val="20"/>
          <w:szCs w:val="20"/>
        </w:rPr>
        <w:t>sua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essencia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quia</w:t>
      </w:r>
      <w:proofErr w:type="spellEnd"/>
      <w:r w:rsidRPr="009D7635">
        <w:rPr>
          <w:rFonts w:ascii="Times New Roman" w:hAnsi="Times New Roman" w:cs="Times New Roman"/>
          <w:i/>
          <w:color w:val="000000" w:themeColor="text1"/>
          <w:sz w:val="20"/>
          <w:szCs w:val="20"/>
        </w:rPr>
        <w:t xml:space="preserve"> cum sit ens per </w:t>
      </w:r>
      <w:proofErr w:type="spellStart"/>
      <w:r w:rsidRPr="009D7635">
        <w:rPr>
          <w:rFonts w:ascii="Times New Roman" w:hAnsi="Times New Roman" w:cs="Times New Roman"/>
          <w:i/>
          <w:color w:val="000000" w:themeColor="text1"/>
          <w:sz w:val="20"/>
          <w:szCs w:val="20"/>
        </w:rPr>
        <w:t>participacionem</w:t>
      </w:r>
      <w:proofErr w:type="spellEnd"/>
      <w:r w:rsidRPr="009D7635">
        <w:rPr>
          <w:rFonts w:ascii="Times New Roman" w:hAnsi="Times New Roman" w:cs="Times New Roman"/>
          <w:i/>
          <w:color w:val="000000" w:themeColor="text1"/>
          <w:sz w:val="20"/>
          <w:szCs w:val="20"/>
        </w:rPr>
        <w:t xml:space="preserve">, non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essencia</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manifestatur</w:t>
      </w:r>
      <w:proofErr w:type="spellEnd"/>
      <w:r w:rsidRPr="009D7635">
        <w:rPr>
          <w:rFonts w:ascii="Times New Roman" w:hAnsi="Times New Roman" w:cs="Times New Roman"/>
          <w:i/>
          <w:color w:val="000000" w:themeColor="text1"/>
          <w:sz w:val="20"/>
          <w:szCs w:val="20"/>
        </w:rPr>
        <w:t xml:space="preserve"> sic: </w:t>
      </w:r>
      <w:proofErr w:type="spellStart"/>
      <w:r w:rsidRPr="009D7635">
        <w:rPr>
          <w:rFonts w:ascii="Times New Roman" w:hAnsi="Times New Roman" w:cs="Times New Roman"/>
          <w:i/>
          <w:color w:val="000000" w:themeColor="text1"/>
          <w:sz w:val="20"/>
          <w:szCs w:val="20"/>
        </w:rPr>
        <w:t>sicut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enim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bonum</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Deus,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bonum</w:t>
      </w:r>
      <w:proofErr w:type="spellEnd"/>
      <w:r w:rsidRPr="009D7635">
        <w:rPr>
          <w:rFonts w:ascii="Times New Roman" w:hAnsi="Times New Roman" w:cs="Times New Roman"/>
          <w:i/>
          <w:color w:val="000000" w:themeColor="text1"/>
          <w:sz w:val="20"/>
          <w:szCs w:val="20"/>
        </w:rPr>
        <w:t xml:space="preserve"> per </w:t>
      </w:r>
      <w:proofErr w:type="spellStart"/>
      <w:r w:rsidRPr="009D7635">
        <w:rPr>
          <w:rFonts w:ascii="Times New Roman" w:hAnsi="Times New Roman" w:cs="Times New Roman"/>
          <w:i/>
          <w:color w:val="000000" w:themeColor="text1"/>
          <w:sz w:val="20"/>
          <w:szCs w:val="20"/>
        </w:rPr>
        <w:t>essenciam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se ipso </w:t>
      </w:r>
      <w:proofErr w:type="spellStart"/>
      <w:r w:rsidRPr="009D7635">
        <w:rPr>
          <w:rFonts w:ascii="Times New Roman" w:hAnsi="Times New Roman" w:cs="Times New Roman"/>
          <w:i/>
          <w:color w:val="000000" w:themeColor="text1"/>
          <w:sz w:val="20"/>
          <w:szCs w:val="20"/>
        </w:rPr>
        <w:t>bonum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nec</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aliud</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bonum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ideo</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eo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indifferens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omnino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bonum</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bonitas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Creatura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autem</w:t>
      </w:r>
      <w:proofErr w:type="spellEnd"/>
      <w:r w:rsidRPr="009D7635">
        <w:rPr>
          <w:rFonts w:ascii="Times New Roman" w:hAnsi="Times New Roman" w:cs="Times New Roman"/>
          <w:i/>
          <w:color w:val="000000" w:themeColor="text1"/>
          <w:sz w:val="20"/>
          <w:szCs w:val="20"/>
        </w:rPr>
        <w:t xml:space="preserve">, cum sit bona, non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ex </w:t>
      </w:r>
      <w:proofErr w:type="spellStart"/>
      <w:r w:rsidRPr="009D7635">
        <w:rPr>
          <w:rFonts w:ascii="Times New Roman" w:hAnsi="Times New Roman" w:cs="Times New Roman"/>
          <w:i/>
          <w:color w:val="000000" w:themeColor="text1"/>
          <w:sz w:val="20"/>
          <w:szCs w:val="20"/>
        </w:rPr>
        <w:t>seipsa</w:t>
      </w:r>
      <w:proofErr w:type="spellEnd"/>
      <w:r w:rsidRPr="009D7635">
        <w:rPr>
          <w:rFonts w:ascii="Times New Roman" w:hAnsi="Times New Roman" w:cs="Times New Roman"/>
          <w:i/>
          <w:color w:val="000000" w:themeColor="text1"/>
          <w:sz w:val="20"/>
          <w:szCs w:val="20"/>
        </w:rPr>
        <w:t xml:space="preserve"> bona, </w:t>
      </w:r>
      <w:proofErr w:type="spellStart"/>
      <w:r w:rsidRPr="009D7635">
        <w:rPr>
          <w:rFonts w:ascii="Times New Roman" w:hAnsi="Times New Roman" w:cs="Times New Roman"/>
          <w:i/>
          <w:color w:val="000000" w:themeColor="text1"/>
          <w:sz w:val="20"/>
          <w:szCs w:val="20"/>
        </w:rPr>
        <w:t>nec</w:t>
      </w:r>
      <w:proofErr w:type="spellEnd"/>
      <w:r w:rsidRPr="009D7635">
        <w:rPr>
          <w:rFonts w:ascii="Times New Roman" w:hAnsi="Times New Roman" w:cs="Times New Roman"/>
          <w:i/>
          <w:color w:val="000000" w:themeColor="text1"/>
          <w:sz w:val="20"/>
          <w:szCs w:val="20"/>
        </w:rPr>
        <w:t xml:space="preserve"> ipsa </w:t>
      </w:r>
      <w:proofErr w:type="spellStart"/>
      <w:r w:rsidRPr="009D7635">
        <w:rPr>
          <w:rFonts w:ascii="Times New Roman" w:hAnsi="Times New Roman" w:cs="Times New Roman"/>
          <w:i/>
          <w:color w:val="000000" w:themeColor="text1"/>
          <w:sz w:val="20"/>
          <w:szCs w:val="20"/>
        </w:rPr>
        <w:t>bonitas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immo</w:t>
      </w:r>
      <w:proofErr w:type="spellEnd"/>
      <w:r w:rsidRPr="009D7635">
        <w:rPr>
          <w:rFonts w:ascii="Times New Roman" w:hAnsi="Times New Roman" w:cs="Times New Roman"/>
          <w:i/>
          <w:color w:val="000000" w:themeColor="text1"/>
          <w:sz w:val="20"/>
          <w:szCs w:val="20"/>
        </w:rPr>
        <w:t xml:space="preserve"> ex hoc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bona quod </w:t>
      </w:r>
      <w:proofErr w:type="spellStart"/>
      <w:r w:rsidRPr="009D7635">
        <w:rPr>
          <w:rFonts w:ascii="Times New Roman" w:hAnsi="Times New Roman" w:cs="Times New Roman"/>
          <w:i/>
          <w:color w:val="000000" w:themeColor="text1"/>
          <w:sz w:val="20"/>
          <w:szCs w:val="20"/>
        </w:rPr>
        <w:t>ordinabilis</w:t>
      </w:r>
      <w:proofErr w:type="spellEnd"/>
      <w:r w:rsidRPr="009D7635">
        <w:rPr>
          <w:rFonts w:ascii="Times New Roman" w:hAnsi="Times New Roman" w:cs="Times New Roman"/>
          <w:i/>
          <w:color w:val="000000" w:themeColor="text1"/>
          <w:sz w:val="20"/>
          <w:szCs w:val="20"/>
        </w:rPr>
        <w:t xml:space="preserve"> ad </w:t>
      </w:r>
      <w:proofErr w:type="spellStart"/>
      <w:r w:rsidRPr="009D7635">
        <w:rPr>
          <w:rFonts w:ascii="Times New Roman" w:hAnsi="Times New Roman" w:cs="Times New Roman"/>
          <w:i/>
          <w:color w:val="000000" w:themeColor="text1"/>
          <w:sz w:val="20"/>
          <w:szCs w:val="20"/>
        </w:rPr>
        <w:t>summam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bonitatem</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ideo</w:t>
      </w:r>
      <w:proofErr w:type="spellEnd"/>
      <w:r w:rsidRPr="009D7635">
        <w:rPr>
          <w:rFonts w:ascii="Times New Roman" w:hAnsi="Times New Roman" w:cs="Times New Roman"/>
          <w:i/>
          <w:color w:val="000000" w:themeColor="text1"/>
          <w:sz w:val="20"/>
          <w:szCs w:val="20"/>
        </w:rPr>
        <w:t xml:space="preserve"> non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bona per </w:t>
      </w:r>
      <w:proofErr w:type="spellStart"/>
      <w:r w:rsidRPr="009D7635">
        <w:rPr>
          <w:rFonts w:ascii="Times New Roman" w:hAnsi="Times New Roman" w:cs="Times New Roman"/>
          <w:i/>
          <w:color w:val="000000" w:themeColor="text1"/>
          <w:sz w:val="20"/>
          <w:szCs w:val="20"/>
        </w:rPr>
        <w:t>essenciam</w:t>
      </w:r>
      <w:proofErr w:type="spellEnd"/>
      <w:r w:rsidRPr="009D7635">
        <w:rPr>
          <w:rFonts w:ascii="Times New Roman" w:hAnsi="Times New Roman" w:cs="Times New Roman"/>
          <w:i/>
          <w:color w:val="000000" w:themeColor="text1"/>
          <w:sz w:val="20"/>
          <w:szCs w:val="20"/>
        </w:rPr>
        <w:t xml:space="preserve"> sed per </w:t>
      </w:r>
      <w:proofErr w:type="spellStart"/>
      <w:r w:rsidRPr="009D7635">
        <w:rPr>
          <w:rFonts w:ascii="Times New Roman" w:hAnsi="Times New Roman" w:cs="Times New Roman"/>
          <w:i/>
          <w:color w:val="000000" w:themeColor="text1"/>
          <w:sz w:val="20"/>
          <w:szCs w:val="20"/>
        </w:rPr>
        <w:t>participacionem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ipsius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summe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bonitatis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habet</w:t>
      </w:r>
      <w:proofErr w:type="spellEnd"/>
      <w:r w:rsidRPr="009D7635">
        <w:rPr>
          <w:rFonts w:ascii="Times New Roman" w:hAnsi="Times New Roman" w:cs="Times New Roman"/>
          <w:i/>
          <w:color w:val="000000" w:themeColor="text1"/>
          <w:sz w:val="20"/>
          <w:szCs w:val="20"/>
        </w:rPr>
        <w:t xml:space="preserve"> ex </w:t>
      </w:r>
      <w:proofErr w:type="spellStart"/>
      <w:r w:rsidRPr="009D7635">
        <w:rPr>
          <w:rFonts w:ascii="Times New Roman" w:hAnsi="Times New Roman" w:cs="Times New Roman"/>
          <w:i/>
          <w:color w:val="000000" w:themeColor="text1"/>
          <w:sz w:val="20"/>
          <w:szCs w:val="20"/>
        </w:rPr>
        <w:t>ordinacione</w:t>
      </w:r>
      <w:proofErr w:type="spellEnd"/>
      <w:r w:rsidRPr="009D7635">
        <w:rPr>
          <w:rFonts w:ascii="Times New Roman" w:hAnsi="Times New Roman" w:cs="Times New Roman"/>
          <w:i/>
          <w:color w:val="000000" w:themeColor="text1"/>
          <w:sz w:val="20"/>
          <w:szCs w:val="20"/>
        </w:rPr>
        <w:t xml:space="preserve"> ad </w:t>
      </w:r>
      <w:proofErr w:type="spellStart"/>
      <w:r w:rsidRPr="009D7635">
        <w:rPr>
          <w:rFonts w:ascii="Times New Roman" w:hAnsi="Times New Roman" w:cs="Times New Roman"/>
          <w:i/>
          <w:color w:val="000000" w:themeColor="text1"/>
          <w:sz w:val="20"/>
          <w:szCs w:val="20"/>
        </w:rPr>
        <w:t>ipsam</w:t>
      </w:r>
      <w:proofErr w:type="spellEnd"/>
      <w:r w:rsidRPr="009D7635">
        <w:rPr>
          <w:rFonts w:ascii="Times New Roman" w:hAnsi="Times New Roman" w:cs="Times New Roman"/>
          <w:i/>
          <w:color w:val="000000" w:themeColor="text1"/>
          <w:sz w:val="20"/>
          <w:szCs w:val="20"/>
        </w:rPr>
        <w:t xml:space="preserve">, bona est. </w:t>
      </w:r>
      <w:proofErr w:type="spellStart"/>
      <w:r w:rsidRPr="009D7635">
        <w:rPr>
          <w:rFonts w:ascii="Times New Roman" w:hAnsi="Times New Roman" w:cs="Times New Roman"/>
          <w:i/>
          <w:color w:val="000000" w:themeColor="text1"/>
          <w:sz w:val="20"/>
          <w:szCs w:val="20"/>
        </w:rPr>
        <w:t>Ideo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differt</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creatura</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bonum</w:t>
      </w:r>
      <w:proofErr w:type="spellEnd"/>
      <w:r w:rsidRPr="009D7635">
        <w:rPr>
          <w:rFonts w:ascii="Times New Roman" w:hAnsi="Times New Roman" w:cs="Times New Roman"/>
          <w:i/>
          <w:color w:val="000000" w:themeColor="text1"/>
          <w:sz w:val="20"/>
          <w:szCs w:val="20"/>
        </w:rPr>
        <w:t xml:space="preserve"> et quo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bonum</w:t>
      </w:r>
      <w:proofErr w:type="spellEnd"/>
      <w:r w:rsidRPr="009D7635">
        <w:rPr>
          <w:rFonts w:ascii="Times New Roman" w:hAnsi="Times New Roman" w:cs="Times New Roman"/>
          <w:i/>
          <w:color w:val="000000" w:themeColor="text1"/>
          <w:sz w:val="20"/>
          <w:szCs w:val="20"/>
        </w:rPr>
        <w:t xml:space="preserve">, et hoc </w:t>
      </w:r>
      <w:proofErr w:type="spellStart"/>
      <w:r w:rsidRPr="009D7635">
        <w:rPr>
          <w:rFonts w:ascii="Times New Roman" w:hAnsi="Times New Roman" w:cs="Times New Roman"/>
          <w:i/>
          <w:color w:val="000000" w:themeColor="text1"/>
          <w:sz w:val="20"/>
          <w:szCs w:val="20"/>
        </w:rPr>
        <w:t>ipsum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bonum</w:t>
      </w:r>
      <w:proofErr w:type="spellEnd"/>
      <w:r w:rsidRPr="009D7635">
        <w:rPr>
          <w:rFonts w:ascii="Times New Roman" w:hAnsi="Times New Roman" w:cs="Times New Roman"/>
          <w:i/>
          <w:color w:val="000000" w:themeColor="text1"/>
          <w:sz w:val="20"/>
          <w:szCs w:val="20"/>
        </w:rPr>
        <w:t xml:space="preserve"> et ipsa </w:t>
      </w:r>
      <w:proofErr w:type="spellStart"/>
      <w:r w:rsidRPr="009D7635">
        <w:rPr>
          <w:rFonts w:ascii="Times New Roman" w:hAnsi="Times New Roman" w:cs="Times New Roman"/>
          <w:i/>
          <w:color w:val="000000" w:themeColor="text1"/>
          <w:sz w:val="20"/>
          <w:szCs w:val="20"/>
        </w:rPr>
        <w:t>bonitas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Similiter</w:t>
      </w:r>
      <w:proofErr w:type="spellEnd"/>
      <w:r w:rsidRPr="009D7635">
        <w:rPr>
          <w:rFonts w:ascii="Times New Roman" w:hAnsi="Times New Roman" w:cs="Times New Roman"/>
          <w:i/>
          <w:color w:val="000000" w:themeColor="text1"/>
          <w:sz w:val="20"/>
          <w:szCs w:val="20"/>
        </w:rPr>
        <w:t xml:space="preserve"> ens quod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Deus, cum sit ens se ipso,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ens per </w:t>
      </w:r>
      <w:proofErr w:type="spellStart"/>
      <w:r w:rsidRPr="009D7635">
        <w:rPr>
          <w:rFonts w:ascii="Times New Roman" w:hAnsi="Times New Roman" w:cs="Times New Roman"/>
          <w:i/>
          <w:color w:val="000000" w:themeColor="text1"/>
          <w:sz w:val="20"/>
          <w:szCs w:val="20"/>
        </w:rPr>
        <w:t>essenciam</w:t>
      </w:r>
      <w:proofErr w:type="spellEnd"/>
      <w:r w:rsidRPr="009D7635">
        <w:rPr>
          <w:rFonts w:ascii="Times New Roman" w:hAnsi="Times New Roman" w:cs="Times New Roman"/>
          <w:i/>
          <w:color w:val="000000" w:themeColor="text1"/>
          <w:sz w:val="20"/>
          <w:szCs w:val="20"/>
        </w:rPr>
        <w:t xml:space="preserve">. Ens </w:t>
      </w:r>
      <w:proofErr w:type="spellStart"/>
      <w:r w:rsidRPr="009D7635">
        <w:rPr>
          <w:rFonts w:ascii="Times New Roman" w:hAnsi="Times New Roman" w:cs="Times New Roman"/>
          <w:i/>
          <w:color w:val="000000" w:themeColor="text1"/>
          <w:sz w:val="20"/>
          <w:szCs w:val="20"/>
        </w:rPr>
        <w:t>vero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creatum</w:t>
      </w:r>
      <w:proofErr w:type="spellEnd"/>
      <w:r w:rsidRPr="009D7635">
        <w:rPr>
          <w:rFonts w:ascii="Times New Roman" w:hAnsi="Times New Roman" w:cs="Times New Roman"/>
          <w:i/>
          <w:color w:val="000000" w:themeColor="text1"/>
          <w:sz w:val="20"/>
          <w:szCs w:val="20"/>
        </w:rPr>
        <w:t xml:space="preserve">, cum sit ens ab </w:t>
      </w:r>
      <w:proofErr w:type="spellStart"/>
      <w:r w:rsidRPr="009D7635">
        <w:rPr>
          <w:rFonts w:ascii="Times New Roman" w:hAnsi="Times New Roman" w:cs="Times New Roman"/>
          <w:i/>
          <w:color w:val="000000" w:themeColor="text1"/>
          <w:sz w:val="20"/>
          <w:szCs w:val="20"/>
        </w:rPr>
        <w:t>alio</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Deus,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ens per </w:t>
      </w:r>
      <w:proofErr w:type="spellStart"/>
      <w:r w:rsidRPr="009D7635">
        <w:rPr>
          <w:rFonts w:ascii="Times New Roman" w:hAnsi="Times New Roman" w:cs="Times New Roman"/>
          <w:i/>
          <w:color w:val="000000" w:themeColor="text1"/>
          <w:sz w:val="20"/>
          <w:szCs w:val="20"/>
        </w:rPr>
        <w:t>aliud</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ens per </w:t>
      </w:r>
      <w:proofErr w:type="spellStart"/>
      <w:r w:rsidRPr="009D7635">
        <w:rPr>
          <w:rFonts w:ascii="Times New Roman" w:hAnsi="Times New Roman" w:cs="Times New Roman"/>
          <w:i/>
          <w:color w:val="000000" w:themeColor="text1"/>
          <w:sz w:val="20"/>
          <w:szCs w:val="20"/>
        </w:rPr>
        <w:t>participationem</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ideo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erit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differens</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ente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creato</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et quo est. </w:t>
      </w:r>
    </w:p>
  </w:footnote>
  <w:footnote w:id="336">
    <w:p w14:paraId="2E38DB34" w14:textId="4F275DAF"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70: </w:t>
      </w:r>
      <w:proofErr w:type="spellStart"/>
      <w:r w:rsidRPr="009D7635">
        <w:rPr>
          <w:rFonts w:ascii="Times New Roman" w:hAnsi="Times New Roman" w:cs="Times New Roman"/>
          <w:i/>
          <w:color w:val="000000" w:themeColor="text1"/>
          <w:sz w:val="20"/>
          <w:szCs w:val="20"/>
        </w:rPr>
        <w:t>Preterea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omne</w:t>
      </w:r>
      <w:proofErr w:type="spellEnd"/>
      <w:r w:rsidRPr="009D7635">
        <w:rPr>
          <w:rFonts w:ascii="Times New Roman" w:hAnsi="Times New Roman" w:cs="Times New Roman"/>
          <w:i/>
          <w:color w:val="000000" w:themeColor="text1"/>
          <w:sz w:val="20"/>
          <w:szCs w:val="20"/>
        </w:rPr>
        <w:t xml:space="preserve"> ens </w:t>
      </w:r>
      <w:proofErr w:type="spellStart"/>
      <w:r w:rsidRPr="009D7635">
        <w:rPr>
          <w:rFonts w:ascii="Times New Roman" w:hAnsi="Times New Roman" w:cs="Times New Roman"/>
          <w:i/>
          <w:color w:val="000000" w:themeColor="text1"/>
          <w:sz w:val="20"/>
          <w:szCs w:val="20"/>
        </w:rPr>
        <w:t>creaturm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ens a </w:t>
      </w:r>
      <w:proofErr w:type="spellStart"/>
      <w:r w:rsidRPr="009D7635">
        <w:rPr>
          <w:rFonts w:ascii="Times New Roman" w:hAnsi="Times New Roman" w:cs="Times New Roman"/>
          <w:i/>
          <w:color w:val="000000" w:themeColor="text1"/>
          <w:sz w:val="20"/>
          <w:szCs w:val="20"/>
        </w:rPr>
        <w:t>Deo</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nichilo</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eo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autem</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dicitur</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creatura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intelligitur</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ens de </w:t>
      </w:r>
      <w:proofErr w:type="spellStart"/>
      <w:r w:rsidRPr="009D7635">
        <w:rPr>
          <w:rFonts w:ascii="Times New Roman" w:hAnsi="Times New Roman" w:cs="Times New Roman"/>
          <w:i/>
          <w:color w:val="000000" w:themeColor="text1"/>
          <w:sz w:val="20"/>
          <w:szCs w:val="20"/>
        </w:rPr>
        <w:t>nichilo</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eo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autem</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dicitur</w:t>
      </w:r>
      <w:proofErr w:type="spellEnd"/>
      <w:r w:rsidRPr="009D7635">
        <w:rPr>
          <w:rFonts w:ascii="Times New Roman" w:hAnsi="Times New Roman" w:cs="Times New Roman"/>
          <w:i/>
          <w:color w:val="000000" w:themeColor="text1"/>
          <w:sz w:val="20"/>
          <w:szCs w:val="20"/>
        </w:rPr>
        <w:t xml:space="preserve"> quo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intelligitur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essencia</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Deo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accipit</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Deo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primum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modum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creatura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potencia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receptiva</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passiva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iuxta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modum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potencia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activa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Alio</w:t>
      </w:r>
      <w:proofErr w:type="spellEnd"/>
      <w:r w:rsidRPr="009D7635">
        <w:rPr>
          <w:rFonts w:ascii="Times New Roman" w:hAnsi="Times New Roman" w:cs="Times New Roman"/>
          <w:i/>
          <w:color w:val="000000" w:themeColor="text1"/>
          <w:sz w:val="20"/>
          <w:szCs w:val="20"/>
        </w:rPr>
        <w:t xml:space="preserve"> modo </w:t>
      </w:r>
      <w:proofErr w:type="spellStart"/>
      <w:r w:rsidRPr="009D7635">
        <w:rPr>
          <w:rFonts w:ascii="Times New Roman" w:hAnsi="Times New Roman" w:cs="Times New Roman"/>
          <w:i/>
          <w:color w:val="000000" w:themeColor="text1"/>
          <w:sz w:val="20"/>
          <w:szCs w:val="20"/>
        </w:rPr>
        <w:t>dicuntur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partes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essentiales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materia</w:t>
      </w:r>
      <w:proofErr w:type="spellEnd"/>
      <w:r w:rsidRPr="009D7635">
        <w:rPr>
          <w:rFonts w:ascii="Times New Roman" w:hAnsi="Times New Roman" w:cs="Times New Roman"/>
          <w:i/>
          <w:color w:val="000000" w:themeColor="text1"/>
          <w:sz w:val="20"/>
          <w:szCs w:val="20"/>
        </w:rPr>
        <w:t xml:space="preserve"> et forma; et </w:t>
      </w:r>
      <w:proofErr w:type="spellStart"/>
      <w:r w:rsidRPr="009D7635">
        <w:rPr>
          <w:rFonts w:ascii="Times New Roman" w:hAnsi="Times New Roman" w:cs="Times New Roman"/>
          <w:i/>
          <w:color w:val="000000" w:themeColor="text1"/>
          <w:sz w:val="20"/>
          <w:szCs w:val="20"/>
        </w:rPr>
        <w:t>hec</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partes</w:t>
      </w:r>
      <w:proofErr w:type="spellEnd"/>
      <w:r w:rsidRPr="009D7635">
        <w:rPr>
          <w:rFonts w:ascii="Times New Roman" w:hAnsi="Times New Roman" w:cs="Times New Roman"/>
          <w:i/>
          <w:color w:val="000000" w:themeColor="text1"/>
          <w:sz w:val="20"/>
          <w:szCs w:val="20"/>
        </w:rPr>
        <w:t xml:space="preserve"> solum </w:t>
      </w:r>
      <w:proofErr w:type="spellStart"/>
      <w:r w:rsidRPr="009D7635">
        <w:rPr>
          <w:rFonts w:ascii="Times New Roman" w:hAnsi="Times New Roman" w:cs="Times New Roman"/>
          <w:i/>
          <w:color w:val="000000" w:themeColor="text1"/>
          <w:sz w:val="20"/>
          <w:szCs w:val="20"/>
        </w:rPr>
        <w:t>inveniuntur</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illos</w:t>
      </w:r>
      <w:proofErr w:type="spellEnd"/>
      <w:r w:rsidRPr="009D7635">
        <w:rPr>
          <w:rFonts w:ascii="Times New Roman" w:hAnsi="Times New Roman" w:cs="Times New Roman"/>
          <w:i/>
          <w:color w:val="000000" w:themeColor="text1"/>
          <w:sz w:val="20"/>
          <w:szCs w:val="20"/>
        </w:rPr>
        <w:t xml:space="preserve"> solis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Deo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sunt</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aliquo</w:t>
      </w:r>
      <w:proofErr w:type="spellEnd"/>
      <w:r w:rsidRPr="009D7635">
        <w:rPr>
          <w:rFonts w:ascii="Times New Roman" w:hAnsi="Times New Roman" w:cs="Times New Roman"/>
          <w:i/>
          <w:color w:val="000000" w:themeColor="text1"/>
          <w:sz w:val="20"/>
          <w:szCs w:val="20"/>
        </w:rPr>
        <w:t xml:space="preserve">, non </w:t>
      </w:r>
      <w:proofErr w:type="spellStart"/>
      <w:r w:rsidRPr="009D7635">
        <w:rPr>
          <w:rFonts w:ascii="Times New Roman" w:hAnsi="Times New Roman" w:cs="Times New Roman"/>
          <w:i/>
          <w:color w:val="000000" w:themeColor="text1"/>
          <w:sz w:val="20"/>
          <w:szCs w:val="20"/>
        </w:rPr>
        <w:t>autem</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hiis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Deo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sunt</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nichilo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Corporalia</w:t>
      </w:r>
      <w:proofErr w:type="spellEnd"/>
      <w:r w:rsidRPr="009D7635">
        <w:rPr>
          <w:rFonts w:ascii="Times New Roman" w:hAnsi="Times New Roman" w:cs="Times New Roman"/>
          <w:i/>
          <w:color w:val="000000" w:themeColor="text1"/>
          <w:sz w:val="20"/>
          <w:szCs w:val="20"/>
        </w:rPr>
        <w:t xml:space="preserve"> ergo,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sunt</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aliquo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composicionem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habent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materie</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forme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materia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enim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de qua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aliquid</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vel</w:t>
      </w:r>
      <w:proofErr w:type="spellEnd"/>
      <w:r w:rsidRPr="009D7635">
        <w:rPr>
          <w:rFonts w:ascii="Times New Roman" w:hAnsi="Times New Roman" w:cs="Times New Roman"/>
          <w:i/>
          <w:color w:val="000000" w:themeColor="text1"/>
          <w:sz w:val="20"/>
          <w:szCs w:val="20"/>
        </w:rPr>
        <w:t xml:space="preserve"> fit </w:t>
      </w:r>
      <w:proofErr w:type="spellStart"/>
      <w:r w:rsidRPr="009D7635">
        <w:rPr>
          <w:rFonts w:ascii="Times New Roman" w:hAnsi="Times New Roman" w:cs="Times New Roman"/>
          <w:i/>
          <w:color w:val="000000" w:themeColor="text1"/>
          <w:sz w:val="20"/>
          <w:szCs w:val="20"/>
        </w:rPr>
        <w:t>aliquid</w:t>
      </w:r>
      <w:proofErr w:type="spellEnd"/>
      <w:r w:rsidRPr="009D7635">
        <w:rPr>
          <w:rFonts w:ascii="Times New Roman" w:hAnsi="Times New Roman" w:cs="Times New Roman"/>
          <w:i/>
          <w:color w:val="000000" w:themeColor="text1"/>
          <w:sz w:val="20"/>
          <w:szCs w:val="20"/>
        </w:rPr>
        <w:t xml:space="preserve">; forma </w:t>
      </w:r>
      <w:proofErr w:type="spellStart"/>
      <w:r w:rsidRPr="009D7635">
        <w:rPr>
          <w:rFonts w:ascii="Times New Roman" w:hAnsi="Times New Roman" w:cs="Times New Roman"/>
          <w:i/>
          <w:color w:val="000000" w:themeColor="text1"/>
          <w:sz w:val="20"/>
          <w:szCs w:val="20"/>
        </w:rPr>
        <w:t>vero</w:t>
      </w:r>
      <w:proofErr w:type="spellEnd"/>
      <w:r w:rsidRPr="009D7635">
        <w:rPr>
          <w:rFonts w:ascii="Times New Roman" w:hAnsi="Times New Roman" w:cs="Times New Roman"/>
          <w:i/>
          <w:color w:val="000000" w:themeColor="text1"/>
          <w:sz w:val="20"/>
          <w:szCs w:val="20"/>
        </w:rPr>
        <w:t xml:space="preserve"> per </w:t>
      </w:r>
      <w:proofErr w:type="spellStart"/>
      <w:r w:rsidRPr="009D7635">
        <w:rPr>
          <w:rFonts w:ascii="Times New Roman" w:hAnsi="Times New Roman" w:cs="Times New Roman"/>
          <w:i/>
          <w:color w:val="000000" w:themeColor="text1"/>
          <w:sz w:val="20"/>
          <w:szCs w:val="20"/>
        </w:rPr>
        <w:t>quam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aliquid</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Dicendum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ergo quod </w:t>
      </w:r>
      <w:proofErr w:type="spellStart"/>
      <w:r w:rsidRPr="009D7635">
        <w:rPr>
          <w:rFonts w:ascii="Times New Roman" w:hAnsi="Times New Roman" w:cs="Times New Roman"/>
          <w:i/>
          <w:color w:val="000000" w:themeColor="text1"/>
          <w:sz w:val="20"/>
          <w:szCs w:val="20"/>
        </w:rPr>
        <w:t>spiritualia</w:t>
      </w:r>
      <w:proofErr w:type="spellEnd"/>
      <w:r w:rsidRPr="009D7635">
        <w:rPr>
          <w:rFonts w:ascii="Times New Roman" w:hAnsi="Times New Roman" w:cs="Times New Roman"/>
          <w:i/>
          <w:color w:val="000000" w:themeColor="text1"/>
          <w:sz w:val="20"/>
          <w:szCs w:val="20"/>
        </w:rPr>
        <w:t xml:space="preserve"> et anima </w:t>
      </w:r>
      <w:proofErr w:type="spellStart"/>
      <w:r w:rsidRPr="009D7635">
        <w:rPr>
          <w:rFonts w:ascii="Times New Roman" w:hAnsi="Times New Roman" w:cs="Times New Roman"/>
          <w:i/>
          <w:color w:val="000000" w:themeColor="text1"/>
          <w:sz w:val="20"/>
          <w:szCs w:val="20"/>
        </w:rPr>
        <w:t>racionalis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composicionem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habent</w:t>
      </w:r>
      <w:proofErr w:type="spellEnd"/>
      <w:r w:rsidRPr="009D7635">
        <w:rPr>
          <w:rFonts w:ascii="Times New Roman" w:hAnsi="Times New Roman" w:cs="Times New Roman"/>
          <w:i/>
          <w:color w:val="000000" w:themeColor="text1"/>
          <w:sz w:val="20"/>
          <w:szCs w:val="20"/>
        </w:rPr>
        <w:t xml:space="preserve"> ex </w:t>
      </w:r>
      <w:proofErr w:type="spellStart"/>
      <w:r w:rsidRPr="009D7635">
        <w:rPr>
          <w:rFonts w:ascii="Times New Roman" w:hAnsi="Times New Roman" w:cs="Times New Roman"/>
          <w:i/>
          <w:color w:val="000000" w:themeColor="text1"/>
          <w:sz w:val="20"/>
          <w:szCs w:val="20"/>
        </w:rPr>
        <w:t>partibus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essencialibus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partes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sunt</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et quo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sunt</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Deo</w:t>
      </w:r>
      <w:proofErr w:type="spellEnd"/>
      <w:r w:rsidRPr="009D7635">
        <w:rPr>
          <w:rFonts w:ascii="Times New Roman" w:hAnsi="Times New Roman" w:cs="Times New Roman"/>
          <w:i/>
          <w:color w:val="000000" w:themeColor="text1"/>
          <w:sz w:val="20"/>
          <w:szCs w:val="20"/>
        </w:rPr>
        <w:t xml:space="preserve"> et de </w:t>
      </w:r>
      <w:proofErr w:type="spellStart"/>
      <w:r w:rsidRPr="009D7635">
        <w:rPr>
          <w:rFonts w:ascii="Times New Roman" w:hAnsi="Times New Roman" w:cs="Times New Roman"/>
          <w:i/>
          <w:color w:val="000000" w:themeColor="text1"/>
          <w:sz w:val="20"/>
          <w:szCs w:val="20"/>
        </w:rPr>
        <w:t>nichilo</w:t>
      </w:r>
      <w:proofErr w:type="spellEnd"/>
      <w:r w:rsidRPr="009D7635">
        <w:rPr>
          <w:rFonts w:ascii="Times New Roman" w:hAnsi="Times New Roman" w:cs="Times New Roman"/>
          <w:i/>
          <w:color w:val="000000" w:themeColor="text1"/>
          <w:sz w:val="20"/>
          <w:szCs w:val="20"/>
        </w:rPr>
        <w:t xml:space="preserve">; et non </w:t>
      </w:r>
      <w:proofErr w:type="spellStart"/>
      <w:r w:rsidRPr="009D7635">
        <w:rPr>
          <w:rFonts w:ascii="Times New Roman" w:hAnsi="Times New Roman" w:cs="Times New Roman"/>
          <w:i/>
          <w:color w:val="000000" w:themeColor="text1"/>
          <w:sz w:val="20"/>
          <w:szCs w:val="20"/>
        </w:rPr>
        <w:t>habent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composicionem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materia</w:t>
      </w:r>
      <w:proofErr w:type="spellEnd"/>
      <w:r w:rsidRPr="009D7635">
        <w:rPr>
          <w:rFonts w:ascii="Times New Roman" w:hAnsi="Times New Roman" w:cs="Times New Roman"/>
          <w:i/>
          <w:color w:val="000000" w:themeColor="text1"/>
          <w:sz w:val="20"/>
          <w:szCs w:val="20"/>
        </w:rPr>
        <w:t xml:space="preserve"> et forma </w:t>
      </w:r>
      <w:proofErr w:type="spellStart"/>
      <w:r w:rsidRPr="009D7635">
        <w:rPr>
          <w:rFonts w:ascii="Times New Roman" w:hAnsi="Times New Roman" w:cs="Times New Roman"/>
          <w:i/>
          <w:color w:val="000000" w:themeColor="text1"/>
          <w:sz w:val="20"/>
          <w:szCs w:val="20"/>
        </w:rPr>
        <w:t>proprie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dictis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quia</w:t>
      </w:r>
      <w:proofErr w:type="spellEnd"/>
      <w:r w:rsidRPr="009D7635">
        <w:rPr>
          <w:rFonts w:ascii="Times New Roman" w:hAnsi="Times New Roman" w:cs="Times New Roman"/>
          <w:i/>
          <w:color w:val="000000" w:themeColor="text1"/>
          <w:sz w:val="20"/>
          <w:szCs w:val="20"/>
        </w:rPr>
        <w:t xml:space="preserve"> on </w:t>
      </w:r>
      <w:proofErr w:type="spellStart"/>
      <w:r w:rsidRPr="009D7635">
        <w:rPr>
          <w:rFonts w:ascii="Times New Roman" w:hAnsi="Times New Roman" w:cs="Times New Roman"/>
          <w:i/>
          <w:color w:val="000000" w:themeColor="text1"/>
          <w:sz w:val="20"/>
          <w:szCs w:val="20"/>
        </w:rPr>
        <w:t>sunt</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Deo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creata</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aliquo</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w:t>
      </w:r>
    </w:p>
  </w:footnote>
  <w:footnote w:id="337">
    <w:p w14:paraId="563E18D4" w14:textId="5B761AE7"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42D1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S1, Q2, T2, C1,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399: </w:t>
      </w:r>
      <w:r w:rsidRPr="009D7635">
        <w:rPr>
          <w:rFonts w:ascii="Times New Roman" w:hAnsi="Times New Roman" w:cs="Times New Roman"/>
          <w:i/>
          <w:color w:val="000000" w:themeColor="text1"/>
          <w:sz w:val="20"/>
          <w:szCs w:val="20"/>
        </w:rPr>
        <w:t xml:space="preserve">Ad quod </w:t>
      </w:r>
      <w:proofErr w:type="spellStart"/>
      <w:r w:rsidRPr="009D7635">
        <w:rPr>
          <w:rFonts w:ascii="Times New Roman" w:hAnsi="Times New Roman" w:cs="Times New Roman"/>
          <w:i/>
          <w:color w:val="000000" w:themeColor="text1"/>
          <w:sz w:val="20"/>
          <w:szCs w:val="20"/>
        </w:rPr>
        <w:t>dicendum</w:t>
      </w:r>
      <w:proofErr w:type="spellEnd"/>
      <w:r w:rsidRPr="009D7635">
        <w:rPr>
          <w:rFonts w:ascii="Times New Roman" w:hAnsi="Times New Roman" w:cs="Times New Roman"/>
          <w:i/>
          <w:color w:val="000000" w:themeColor="text1"/>
          <w:sz w:val="20"/>
          <w:szCs w:val="20"/>
        </w:rPr>
        <w:t xml:space="preserve"> quod anima </w:t>
      </w:r>
      <w:proofErr w:type="spellStart"/>
      <w:r w:rsidRPr="009D7635">
        <w:rPr>
          <w:rFonts w:ascii="Times New Roman" w:hAnsi="Times New Roman" w:cs="Times New Roman"/>
          <w:i/>
          <w:color w:val="000000" w:themeColor="text1"/>
          <w:sz w:val="20"/>
          <w:szCs w:val="20"/>
        </w:rPr>
        <w:t>humana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dicitur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composita</w:t>
      </w:r>
      <w:proofErr w:type="spellEnd"/>
      <w:r w:rsidRPr="009D7635">
        <w:rPr>
          <w:rFonts w:ascii="Times New Roman" w:hAnsi="Times New Roman" w:cs="Times New Roman"/>
          <w:i/>
          <w:color w:val="000000" w:themeColor="text1"/>
          <w:sz w:val="20"/>
          <w:szCs w:val="20"/>
        </w:rPr>
        <w:t xml:space="preserve"> ex forma et </w:t>
      </w:r>
      <w:proofErr w:type="spellStart"/>
      <w:r w:rsidRPr="009D7635">
        <w:rPr>
          <w:rFonts w:ascii="Times New Roman" w:hAnsi="Times New Roman" w:cs="Times New Roman"/>
          <w:i/>
          <w:color w:val="000000" w:themeColor="text1"/>
          <w:sz w:val="20"/>
          <w:szCs w:val="20"/>
        </w:rPr>
        <w:t>materia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intellectuali</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w:t>
      </w:r>
    </w:p>
  </w:footnote>
  <w:footnote w:id="338">
    <w:p w14:paraId="13A2BAF4" w14:textId="700F715A"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S1, Q2, Ti2, C1, Contra 1, 398, citing Augustine’s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quantitatae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animae</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1.2: </w:t>
      </w:r>
      <w:r w:rsidRPr="009D7635">
        <w:rPr>
          <w:rFonts w:ascii="Times New Roman" w:hAnsi="Times New Roman" w:cs="Times New Roman"/>
          <w:i/>
          <w:color w:val="000000" w:themeColor="text1"/>
        </w:rPr>
        <w:t xml:space="preserve">Simplex </w:t>
      </w:r>
      <w:proofErr w:type="spellStart"/>
      <w:r w:rsidRPr="009D7635">
        <w:rPr>
          <w:rFonts w:ascii="Times New Roman" w:hAnsi="Times New Roman" w:cs="Times New Roman"/>
          <w:i/>
          <w:color w:val="000000" w:themeColor="text1"/>
        </w:rPr>
        <w:t>natura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animae</w:t>
      </w:r>
      <w:proofErr w:type="spellEnd"/>
      <w:r w:rsidRPr="009D7635">
        <w:rPr>
          <w:rFonts w:ascii="Times New Roman" w:hAnsi="Times New Roman" w:cs="Times New Roman"/>
          <w:i/>
          <w:color w:val="000000" w:themeColor="text1"/>
        </w:rPr>
        <w:t xml:space="preserve"> dici </w:t>
      </w:r>
      <w:proofErr w:type="spellStart"/>
      <w:r w:rsidRPr="009D7635">
        <w:rPr>
          <w:rFonts w:ascii="Times New Roman" w:hAnsi="Times New Roman" w:cs="Times New Roman"/>
          <w:i/>
          <w:color w:val="000000" w:themeColor="text1"/>
        </w:rPr>
        <w:t>potest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quia</w:t>
      </w:r>
      <w:proofErr w:type="spellEnd"/>
      <w:r w:rsidRPr="009D7635">
        <w:rPr>
          <w:rFonts w:ascii="Times New Roman" w:hAnsi="Times New Roman" w:cs="Times New Roman"/>
          <w:i/>
          <w:color w:val="000000" w:themeColor="text1"/>
        </w:rPr>
        <w:t xml:space="preserve"> ex </w:t>
      </w:r>
      <w:proofErr w:type="spellStart"/>
      <w:r w:rsidRPr="009D7635">
        <w:rPr>
          <w:rFonts w:ascii="Times New Roman" w:hAnsi="Times New Roman" w:cs="Times New Roman"/>
          <w:i/>
          <w:color w:val="000000" w:themeColor="text1"/>
        </w:rPr>
        <w:t>aliis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naturis</w:t>
      </w:r>
      <w:proofErr w:type="spellEnd"/>
      <w:r w:rsidRPr="009D7635">
        <w:rPr>
          <w:rFonts w:ascii="Times New Roman" w:hAnsi="Times New Roman" w:cs="Times New Roman"/>
          <w:i/>
          <w:color w:val="000000" w:themeColor="text1"/>
        </w:rPr>
        <w:t xml:space="preserve"> non est.</w:t>
      </w:r>
    </w:p>
  </w:footnote>
  <w:footnote w:id="339">
    <w:p w14:paraId="64EADD75" w14:textId="0F4B01C7" w:rsidR="00B93ED5" w:rsidRPr="009D7635" w:rsidRDefault="00B93ED5" w:rsidP="007C038D">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S1, Q2, Ti2, C1, Contra 2, 398: </w:t>
      </w:r>
      <w:r w:rsidRPr="009D7635">
        <w:rPr>
          <w:rFonts w:ascii="Times New Roman" w:hAnsi="Times New Roman" w:cs="Times New Roman"/>
          <w:i/>
          <w:color w:val="000000" w:themeColor="text1"/>
        </w:rPr>
        <w:t xml:space="preserve">Anima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substantia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spiritualis</w:t>
      </w:r>
      <w:proofErr w:type="spellEnd"/>
      <w:r w:rsidRPr="009D7635">
        <w:rPr>
          <w:rFonts w:ascii="Times New Roman" w:hAnsi="Times New Roman" w:cs="Times New Roman"/>
          <w:i/>
          <w:color w:val="000000" w:themeColor="text1"/>
        </w:rPr>
        <w:t xml:space="preserve">, simplex, </w:t>
      </w:r>
      <w:proofErr w:type="spellStart"/>
      <w:r w:rsidRPr="009D7635">
        <w:rPr>
          <w:rFonts w:ascii="Times New Roman" w:hAnsi="Times New Roman" w:cs="Times New Roman"/>
          <w:i/>
          <w:color w:val="000000" w:themeColor="text1"/>
        </w:rPr>
        <w:t>indissolubilis</w:t>
      </w:r>
      <w:proofErr w:type="spellEnd"/>
      <w:r w:rsidRPr="009D7635">
        <w:rPr>
          <w:rFonts w:ascii="Times New Roman" w:hAnsi="Times New Roman" w:cs="Times New Roman"/>
          <w:i/>
          <w:color w:val="000000" w:themeColor="text1"/>
        </w:rPr>
        <w:t>.</w:t>
      </w:r>
    </w:p>
  </w:footnote>
  <w:footnote w:id="340">
    <w:p w14:paraId="213EC1E6" w14:textId="698B5648"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S1, Q2, Ti2, C1, Contra 4, 399.</w:t>
      </w:r>
    </w:p>
  </w:footnote>
  <w:footnote w:id="341">
    <w:p w14:paraId="7FA159B6" w14:textId="5CE5598A"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S1, Q2, Ti2, C1, Contra 5, 399: </w:t>
      </w:r>
      <w:proofErr w:type="spellStart"/>
      <w:r w:rsidRPr="009D7635">
        <w:rPr>
          <w:rFonts w:ascii="Times New Roman" w:hAnsi="Times New Roman" w:cs="Times New Roman"/>
          <w:i/>
          <w:color w:val="000000" w:themeColor="text1"/>
        </w:rPr>
        <w:t>Si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formam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contingit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esse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simplicem</w:t>
      </w:r>
      <w:proofErr w:type="spellEnd"/>
      <w:r w:rsidRPr="009D7635">
        <w:rPr>
          <w:rFonts w:ascii="Times New Roman" w:hAnsi="Times New Roman" w:cs="Times New Roman"/>
          <w:i/>
          <w:color w:val="000000" w:themeColor="text1"/>
        </w:rPr>
        <w:t xml:space="preserve">, non </w:t>
      </w:r>
      <w:proofErr w:type="spellStart"/>
      <w:r w:rsidRPr="009D7635">
        <w:rPr>
          <w:rFonts w:ascii="Times New Roman" w:hAnsi="Times New Roman" w:cs="Times New Roman"/>
          <w:i/>
          <w:color w:val="000000" w:themeColor="text1"/>
        </w:rPr>
        <w:t>compositam</w:t>
      </w:r>
      <w:proofErr w:type="spellEnd"/>
      <w:r w:rsidRPr="009D7635">
        <w:rPr>
          <w:rFonts w:ascii="Times New Roman" w:hAnsi="Times New Roman" w:cs="Times New Roman"/>
          <w:i/>
          <w:color w:val="000000" w:themeColor="text1"/>
        </w:rPr>
        <w:t xml:space="preserve"> scilicet ex </w:t>
      </w:r>
      <w:proofErr w:type="spellStart"/>
      <w:r w:rsidRPr="009D7635">
        <w:rPr>
          <w:rFonts w:ascii="Times New Roman" w:hAnsi="Times New Roman" w:cs="Times New Roman"/>
          <w:i/>
          <w:color w:val="000000" w:themeColor="text1"/>
        </w:rPr>
        <w:t>materia</w:t>
      </w:r>
      <w:proofErr w:type="spellEnd"/>
      <w:r w:rsidRPr="009D7635">
        <w:rPr>
          <w:rFonts w:ascii="Times New Roman" w:hAnsi="Times New Roman" w:cs="Times New Roman"/>
          <w:i/>
          <w:color w:val="000000" w:themeColor="text1"/>
        </w:rPr>
        <w:t xml:space="preserve"> et forma.</w:t>
      </w:r>
    </w:p>
  </w:footnote>
  <w:footnote w:id="342">
    <w:p w14:paraId="6BFB8E0E" w14:textId="1B6B6009"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S1, Q2, Ti2, C1, Contra 6, 399.</w:t>
      </w:r>
    </w:p>
  </w:footnote>
  <w:footnote w:id="343">
    <w:p w14:paraId="2C85A181" w14:textId="73D53A90"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S1, Q2, Ti2, C1, Contra 6, 399.</w:t>
      </w:r>
    </w:p>
  </w:footnote>
  <w:footnote w:id="344">
    <w:p w14:paraId="1D91936E" w14:textId="3ABFEBDE"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Q1, C1,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xml:space="preserve"> 3, 425: </w:t>
      </w:r>
      <w:r w:rsidRPr="009D7635">
        <w:rPr>
          <w:rFonts w:ascii="Times New Roman" w:hAnsi="Times New Roman" w:cs="Times New Roman"/>
          <w:i/>
          <w:color w:val="000000" w:themeColor="text1"/>
          <w:lang w:val="en-US"/>
        </w:rPr>
        <w:t xml:space="preserve">Anima </w:t>
      </w:r>
      <w:proofErr w:type="spellStart"/>
      <w:r w:rsidRPr="009D7635">
        <w:rPr>
          <w:rFonts w:ascii="Times New Roman" w:hAnsi="Times New Roman" w:cs="Times New Roman"/>
          <w:i/>
          <w:color w:val="000000" w:themeColor="text1"/>
          <w:lang w:val="en-US"/>
        </w:rPr>
        <w:t>enim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resolubilis</w:t>
      </w:r>
      <w:proofErr w:type="spellEnd"/>
      <w:r w:rsidRPr="009D7635">
        <w:rPr>
          <w:rFonts w:ascii="Times New Roman" w:hAnsi="Times New Roman" w:cs="Times New Roman"/>
          <w:i/>
          <w:color w:val="000000" w:themeColor="text1"/>
          <w:lang w:val="en-US"/>
        </w:rPr>
        <w:t xml:space="preserve"> in </w:t>
      </w:r>
      <w:proofErr w:type="spellStart"/>
      <w:r w:rsidRPr="009D7635">
        <w:rPr>
          <w:rFonts w:ascii="Times New Roman" w:hAnsi="Times New Roman" w:cs="Times New Roman"/>
          <w:i/>
          <w:color w:val="000000" w:themeColor="text1"/>
          <w:lang w:val="en-US"/>
        </w:rPr>
        <w:t>suam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formam</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materiam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sive</w:t>
      </w:r>
      <w:proofErr w:type="spellEnd"/>
      <w:r w:rsidRPr="009D7635">
        <w:rPr>
          <w:rFonts w:ascii="Times New Roman" w:hAnsi="Times New Roman" w:cs="Times New Roman"/>
          <w:i/>
          <w:color w:val="000000" w:themeColor="text1"/>
          <w:lang w:val="en-US"/>
        </w:rPr>
        <w:t xml:space="preserve"> in </w:t>
      </w:r>
      <w:proofErr w:type="spellStart"/>
      <w:r w:rsidRPr="009D7635">
        <w:rPr>
          <w:rFonts w:ascii="Times New Roman" w:hAnsi="Times New Roman" w:cs="Times New Roman"/>
          <w:i/>
          <w:color w:val="000000" w:themeColor="text1"/>
          <w:lang w:val="en-US"/>
        </w:rPr>
        <w:t>suum</w:t>
      </w:r>
      <w:proofErr w:type="spellEnd"/>
      <w:r w:rsidRPr="009D7635">
        <w:rPr>
          <w:rFonts w:ascii="Times New Roman" w:hAnsi="Times New Roman" w:cs="Times New Roman"/>
          <w:i/>
          <w:color w:val="000000" w:themeColor="text1"/>
          <w:lang w:val="en-US"/>
        </w:rPr>
        <w:t xml:space="preserve"> 'quod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et ' quo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w:t>
      </w:r>
    </w:p>
  </w:footnote>
  <w:footnote w:id="345">
    <w:p w14:paraId="74D193F6" w14:textId="7F1064EC"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Many thinkers at the time believed that </w:t>
      </w:r>
      <w:r w:rsidRPr="009D7635">
        <w:rPr>
          <w:rFonts w:ascii="Times New Roman" w:hAnsi="Times New Roman" w:cs="Times New Roman"/>
          <w:i/>
          <w:color w:val="000000" w:themeColor="text1"/>
          <w:sz w:val="20"/>
          <w:szCs w:val="20"/>
        </w:rPr>
        <w:t xml:space="preserve">De fide ad </w:t>
      </w:r>
      <w:proofErr w:type="spellStart"/>
      <w:r w:rsidRPr="009D7635">
        <w:rPr>
          <w:rFonts w:ascii="Times New Roman" w:hAnsi="Times New Roman" w:cs="Times New Roman"/>
          <w:i/>
          <w:color w:val="000000" w:themeColor="text1"/>
          <w:sz w:val="20"/>
          <w:szCs w:val="20"/>
        </w:rPr>
        <w:t>Petrum</w:t>
      </w:r>
      <w:proofErr w:type="spellEnd"/>
      <w:r w:rsidRPr="009D7635">
        <w:rPr>
          <w:rFonts w:ascii="Times New Roman" w:hAnsi="Times New Roman" w:cs="Times New Roman"/>
          <w:color w:val="000000" w:themeColor="text1"/>
          <w:sz w:val="20"/>
          <w:szCs w:val="20"/>
        </w:rPr>
        <w:t xml:space="preserve"> was Augustine’s authentic work, and that led to dualistic perspective on body and soul. </w:t>
      </w:r>
    </w:p>
  </w:footnote>
  <w:footnote w:id="346">
    <w:p w14:paraId="00F0B480" w14:textId="7683789C"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S1, Q2, Ti2, C1, e, 398. See also Ad </w:t>
      </w:r>
      <w:proofErr w:type="spellStart"/>
      <w:r w:rsidRPr="009D7635">
        <w:rPr>
          <w:rFonts w:ascii="Times New Roman" w:hAnsi="Times New Roman" w:cs="Times New Roman"/>
          <w:color w:val="000000" w:themeColor="text1"/>
        </w:rPr>
        <w:t>objeca</w:t>
      </w:r>
      <w:proofErr w:type="spellEnd"/>
      <w:r w:rsidRPr="009D7635">
        <w:rPr>
          <w:rFonts w:ascii="Times New Roman" w:hAnsi="Times New Roman" w:cs="Times New Roman"/>
          <w:color w:val="000000" w:themeColor="text1"/>
        </w:rPr>
        <w:t xml:space="preserve"> 1, 399: </w:t>
      </w:r>
      <w:r w:rsidRPr="009D7635">
        <w:rPr>
          <w:rFonts w:ascii="Times New Roman" w:hAnsi="Times New Roman" w:cs="Times New Roman"/>
          <w:i/>
          <w:color w:val="000000" w:themeColor="text1"/>
        </w:rPr>
        <w:t xml:space="preserve">Non </w:t>
      </w:r>
      <w:proofErr w:type="spellStart"/>
      <w:r w:rsidRPr="009D7635">
        <w:rPr>
          <w:rFonts w:ascii="Times New Roman" w:hAnsi="Times New Roman" w:cs="Times New Roman"/>
          <w:i/>
          <w:color w:val="000000" w:themeColor="text1"/>
        </w:rPr>
        <w:t>dicitur</w:t>
      </w:r>
      <w:proofErr w:type="spellEnd"/>
      <w:r w:rsidRPr="009D7635">
        <w:rPr>
          <w:rFonts w:ascii="Times New Roman" w:hAnsi="Times New Roman" w:cs="Times New Roman"/>
          <w:i/>
          <w:color w:val="000000" w:themeColor="text1"/>
        </w:rPr>
        <w:t xml:space="preserve"> simplex absolute: sic </w:t>
      </w:r>
      <w:proofErr w:type="spellStart"/>
      <w:r w:rsidRPr="009D7635">
        <w:rPr>
          <w:rFonts w:ascii="Times New Roman" w:hAnsi="Times New Roman" w:cs="Times New Roman"/>
          <w:i/>
          <w:color w:val="000000" w:themeColor="text1"/>
        </w:rPr>
        <w:t>enim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convenit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Deo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esse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simplicem</w:t>
      </w:r>
      <w:proofErr w:type="spellEnd"/>
      <w:r w:rsidRPr="009D7635">
        <w:rPr>
          <w:rFonts w:ascii="Times New Roman" w:hAnsi="Times New Roman" w:cs="Times New Roman"/>
          <w:color w:val="000000" w:themeColor="text1"/>
        </w:rPr>
        <w:t xml:space="preserve"> (referring to an angel).</w:t>
      </w:r>
    </w:p>
  </w:footnote>
  <w:footnote w:id="347">
    <w:p w14:paraId="5EB69640" w14:textId="112EAFF4" w:rsidR="00B93ED5" w:rsidRPr="009D7635" w:rsidRDefault="00B93ED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Much of the Summa’s account of universal hylomorphism is repeated by </w:t>
      </w:r>
      <w:proofErr w:type="spellStart"/>
      <w:r w:rsidRPr="009D7635">
        <w:rPr>
          <w:rFonts w:ascii="Times New Roman" w:hAnsi="Times New Roman" w:cs="Times New Roman"/>
          <w:color w:val="000000" w:themeColor="text1"/>
        </w:rPr>
        <w:t>Odo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Rigaldus</w:t>
      </w:r>
      <w:proofErr w:type="spellEnd"/>
      <w:r w:rsidRPr="009D7635">
        <w:rPr>
          <w:rFonts w:ascii="Times New Roman" w:hAnsi="Times New Roman" w:cs="Times New Roman"/>
          <w:color w:val="000000" w:themeColor="text1"/>
        </w:rPr>
        <w:t xml:space="preserve"> in his commentary on the </w:t>
      </w:r>
      <w:r w:rsidRPr="009D7635">
        <w:rPr>
          <w:rFonts w:ascii="Times New Roman" w:hAnsi="Times New Roman" w:cs="Times New Roman"/>
          <w:i/>
          <w:color w:val="000000" w:themeColor="text1"/>
        </w:rPr>
        <w:t>Sentences</w:t>
      </w:r>
      <w:r w:rsidRPr="009D7635">
        <w:rPr>
          <w:rFonts w:ascii="Times New Roman" w:hAnsi="Times New Roman" w:cs="Times New Roman"/>
          <w:color w:val="000000" w:themeColor="text1"/>
        </w:rPr>
        <w:t xml:space="preserve">. See James A. </w:t>
      </w:r>
      <w:proofErr w:type="spellStart"/>
      <w:r w:rsidRPr="009D7635">
        <w:rPr>
          <w:rFonts w:ascii="Times New Roman" w:hAnsi="Times New Roman" w:cs="Times New Roman"/>
          <w:color w:val="000000" w:themeColor="text1"/>
        </w:rPr>
        <w:t>Weisheipl</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Albertus</w:t>
      </w:r>
      <w:proofErr w:type="spellEnd"/>
      <w:r w:rsidRPr="009D7635">
        <w:rPr>
          <w:rFonts w:ascii="Times New Roman" w:hAnsi="Times New Roman" w:cs="Times New Roman"/>
          <w:color w:val="000000" w:themeColor="text1"/>
        </w:rPr>
        <w:t xml:space="preserve"> Magnus and Universal Hylomorphism,’ 253. </w:t>
      </w:r>
      <w:r w:rsidRPr="009D7635">
        <w:rPr>
          <w:rFonts w:ascii="Times New Roman" w:hAnsi="Times New Roman" w:cs="Times New Roman"/>
          <w:bCs/>
          <w:color w:val="000000" w:themeColor="text1"/>
        </w:rPr>
        <w:t xml:space="preserve">See also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‘La composition </w:t>
      </w:r>
      <w:proofErr w:type="spellStart"/>
      <w:r w:rsidRPr="009D7635">
        <w:rPr>
          <w:rFonts w:ascii="Times New Roman" w:hAnsi="Times New Roman" w:cs="Times New Roman"/>
          <w:bCs/>
          <w:color w:val="000000" w:themeColor="text1"/>
        </w:rPr>
        <w:t>hylémorphique</w:t>
      </w:r>
      <w:proofErr w:type="spellEnd"/>
      <w:r w:rsidRPr="009D7635">
        <w:rPr>
          <w:rFonts w:ascii="Times New Roman" w:hAnsi="Times New Roman" w:cs="Times New Roman"/>
          <w:bCs/>
          <w:color w:val="000000" w:themeColor="text1"/>
        </w:rPr>
        <w:t xml:space="preserve"> des substances </w:t>
      </w:r>
      <w:proofErr w:type="spellStart"/>
      <w:r w:rsidRPr="009D7635">
        <w:rPr>
          <w:rFonts w:ascii="Times New Roman" w:hAnsi="Times New Roman" w:cs="Times New Roman"/>
          <w:bCs/>
          <w:color w:val="000000" w:themeColor="text1"/>
        </w:rPr>
        <w:t>spirituelles</w:t>
      </w:r>
      <w:proofErr w:type="spellEnd"/>
      <w:r w:rsidRPr="009D7635">
        <w:rPr>
          <w:rFonts w:ascii="Times New Roman" w:hAnsi="Times New Roman" w:cs="Times New Roman"/>
          <w:bCs/>
          <w:color w:val="000000" w:themeColor="text1"/>
        </w:rPr>
        <w:t>.’</w:t>
      </w:r>
    </w:p>
  </w:footnote>
  <w:footnote w:id="348">
    <w:p w14:paraId="2D4934F8" w14:textId="4720D3F8"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Bernardo Carlos Bazán, ‘The Human Soul: Form and Substance? Thomas Aquinas’ Critique of Eclectic Aristotelianism,’ </w:t>
      </w:r>
      <w:r w:rsidRPr="009D7635">
        <w:rPr>
          <w:rFonts w:ascii="Times New Roman" w:hAnsi="Times New Roman" w:cs="Times New Roman"/>
          <w:i/>
          <w:color w:val="000000" w:themeColor="text1"/>
        </w:rPr>
        <w:t xml:space="preserve">Archives </w:t>
      </w:r>
      <w:proofErr w:type="spellStart"/>
      <w:r w:rsidRPr="009D7635">
        <w:rPr>
          <w:rFonts w:ascii="Times New Roman" w:hAnsi="Times New Roman" w:cs="Times New Roman"/>
          <w:i/>
          <w:color w:val="000000" w:themeColor="text1"/>
        </w:rPr>
        <w:t>d’histoire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doctrinale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littéraire</w:t>
      </w:r>
      <w:proofErr w:type="spellEnd"/>
      <w:r w:rsidRPr="009D7635">
        <w:rPr>
          <w:rFonts w:ascii="Times New Roman" w:hAnsi="Times New Roman" w:cs="Times New Roman"/>
          <w:i/>
          <w:color w:val="000000" w:themeColor="text1"/>
        </w:rPr>
        <w:t xml:space="preserve"> du </w:t>
      </w:r>
      <w:proofErr w:type="spellStart"/>
      <w:r w:rsidRPr="009D7635">
        <w:rPr>
          <w:rFonts w:ascii="Times New Roman" w:hAnsi="Times New Roman" w:cs="Times New Roman"/>
          <w:i/>
          <w:color w:val="000000" w:themeColor="text1"/>
        </w:rPr>
        <w:t>Moyen</w:t>
      </w:r>
      <w:proofErr w:type="spellEnd"/>
      <w:r w:rsidRPr="009D7635">
        <w:rPr>
          <w:rFonts w:ascii="Times New Roman" w:hAnsi="Times New Roman" w:cs="Times New Roman"/>
          <w:i/>
          <w:color w:val="000000" w:themeColor="text1"/>
        </w:rPr>
        <w:t xml:space="preserve"> Age </w:t>
      </w:r>
      <w:r w:rsidRPr="009D7635">
        <w:rPr>
          <w:rFonts w:ascii="Times New Roman" w:hAnsi="Times New Roman" w:cs="Times New Roman"/>
          <w:color w:val="000000" w:themeColor="text1"/>
        </w:rPr>
        <w:t xml:space="preserve">64 (1997), 104. For Avicenna, as Bazán writes, citing Avicenna’s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 xml:space="preserve">V.7, ‘the relationship between soul and body ceases to have any meaning after death, once the goals that were sought with the union are achieved the soul continues to live its substantial self-sufficient existence in the company of the superior intelligences that are its true realm. The spiritual substance is the real self of a human being: we are our soul.’ See also his article entitled, ‘Pluralism de </w:t>
      </w:r>
      <w:proofErr w:type="spellStart"/>
      <w:r w:rsidRPr="009D7635">
        <w:rPr>
          <w:rFonts w:ascii="Times New Roman" w:hAnsi="Times New Roman" w:cs="Times New Roman"/>
          <w:color w:val="000000" w:themeColor="text1"/>
        </w:rPr>
        <w:t>formes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ou</w:t>
      </w:r>
      <w:proofErr w:type="spellEnd"/>
      <w:r w:rsidRPr="009D7635">
        <w:rPr>
          <w:rFonts w:ascii="Times New Roman" w:hAnsi="Times New Roman" w:cs="Times New Roman"/>
          <w:color w:val="000000" w:themeColor="text1"/>
        </w:rPr>
        <w:t xml:space="preserve"> dualism de substances? La pensée </w:t>
      </w:r>
      <w:proofErr w:type="spellStart"/>
      <w:r w:rsidRPr="009D7635">
        <w:rPr>
          <w:rFonts w:ascii="Times New Roman" w:hAnsi="Times New Roman" w:cs="Times New Roman"/>
          <w:color w:val="000000" w:themeColor="text1"/>
        </w:rPr>
        <w:t>pré-thomiste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touchant</w:t>
      </w:r>
      <w:proofErr w:type="spellEnd"/>
      <w:r w:rsidRPr="009D7635">
        <w:rPr>
          <w:rFonts w:ascii="Times New Roman" w:hAnsi="Times New Roman" w:cs="Times New Roman"/>
          <w:color w:val="000000" w:themeColor="text1"/>
        </w:rPr>
        <w:t xml:space="preserve"> la nature de </w:t>
      </w:r>
      <w:proofErr w:type="spellStart"/>
      <w:r w:rsidR="00D71B3E" w:rsidRPr="009D7635">
        <w:rPr>
          <w:rFonts w:ascii="Times New Roman" w:hAnsi="Times New Roman" w:cs="Times New Roman"/>
          <w:color w:val="000000" w:themeColor="text1"/>
        </w:rPr>
        <w:t>l’âme</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Revue </w:t>
      </w:r>
      <w:proofErr w:type="spellStart"/>
      <w:r w:rsidRPr="009D7635">
        <w:rPr>
          <w:rFonts w:ascii="Times New Roman" w:hAnsi="Times New Roman" w:cs="Times New Roman"/>
          <w:i/>
          <w:color w:val="000000" w:themeColor="text1"/>
        </w:rPr>
        <w:t>philosophique</w:t>
      </w:r>
      <w:proofErr w:type="spellEnd"/>
      <w:r w:rsidRPr="009D7635">
        <w:rPr>
          <w:rFonts w:ascii="Times New Roman" w:hAnsi="Times New Roman" w:cs="Times New Roman"/>
          <w:i/>
          <w:color w:val="000000" w:themeColor="text1"/>
        </w:rPr>
        <w:t xml:space="preserve"> de </w:t>
      </w:r>
      <w:proofErr w:type="spellStart"/>
      <w:r w:rsidRPr="009D7635">
        <w:rPr>
          <w:rFonts w:ascii="Times New Roman" w:hAnsi="Times New Roman" w:cs="Times New Roman"/>
          <w:i/>
          <w:color w:val="000000" w:themeColor="text1"/>
        </w:rPr>
        <w:t>Louvain</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67 (1969)</w:t>
      </w:r>
      <w:r w:rsidR="0052775D"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30-73. </w:t>
      </w:r>
    </w:p>
  </w:footnote>
  <w:footnote w:id="349">
    <w:p w14:paraId="6C81D6D9" w14:textId="77777777" w:rsidR="00B93ED5" w:rsidRPr="009D7635" w:rsidRDefault="00B93ED5" w:rsidP="007C038D">
      <w:pPr>
        <w:rPr>
          <w:rFonts w:ascii="Times New Roman" w:hAnsi="Times New Roman" w:cs="Times New Roman"/>
          <w:color w:val="000000" w:themeColor="text1"/>
          <w:sz w:val="20"/>
          <w:szCs w:val="20"/>
          <w:lang w:val="fr-FR"/>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Magdalena </w:t>
      </w:r>
      <w:proofErr w:type="spellStart"/>
      <w:r w:rsidRPr="009D7635">
        <w:rPr>
          <w:rFonts w:ascii="Times New Roman" w:hAnsi="Times New Roman" w:cs="Times New Roman"/>
          <w:color w:val="000000" w:themeColor="text1"/>
          <w:sz w:val="20"/>
          <w:szCs w:val="20"/>
        </w:rPr>
        <w:t>Bieniak</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The Soul-Body Problem at Paris</w:t>
      </w:r>
      <w:r w:rsidRPr="009D7635">
        <w:rPr>
          <w:rFonts w:ascii="Times New Roman" w:hAnsi="Times New Roman" w:cs="Times New Roman"/>
          <w:color w:val="000000" w:themeColor="text1"/>
          <w:sz w:val="20"/>
          <w:szCs w:val="20"/>
        </w:rPr>
        <w:t>,</w:t>
      </w:r>
      <w:r w:rsidRPr="009D7635">
        <w:rPr>
          <w:rFonts w:ascii="Times New Roman" w:hAnsi="Times New Roman" w:cs="Times New Roman"/>
          <w:i/>
          <w:iCs/>
          <w:color w:val="000000" w:themeColor="text1"/>
          <w:sz w:val="20"/>
          <w:szCs w:val="20"/>
        </w:rPr>
        <w:t xml:space="preserve"> </w:t>
      </w:r>
      <w:r w:rsidRPr="009D7635">
        <w:rPr>
          <w:rFonts w:ascii="Times New Roman" w:hAnsi="Times New Roman" w:cs="Times New Roman"/>
          <w:color w:val="000000" w:themeColor="text1"/>
          <w:sz w:val="20"/>
          <w:szCs w:val="20"/>
          <w:lang w:val="fr-FR"/>
        </w:rPr>
        <w:t>12.</w:t>
      </w:r>
    </w:p>
  </w:footnote>
  <w:footnote w:id="350">
    <w:p w14:paraId="4C1C367C" w14:textId="2D1EA6F0"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Avicenna,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I.4.</w:t>
      </w:r>
    </w:p>
  </w:footnote>
  <w:footnote w:id="351">
    <w:p w14:paraId="716307A3" w14:textId="494FAE88"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Ernest A. Moody, </w:t>
      </w:r>
      <w:r w:rsidRPr="009D7635">
        <w:rPr>
          <w:rFonts w:ascii="Times New Roman" w:hAnsi="Times New Roman" w:cs="Times New Roman"/>
          <w:color w:val="000000" w:themeColor="text1"/>
          <w:lang w:val="en-US"/>
        </w:rPr>
        <w:t xml:space="preserve">‘William of Auvergne and His Treatise </w:t>
      </w:r>
      <w:r w:rsidRPr="009D7635">
        <w:rPr>
          <w:rFonts w:ascii="Times New Roman" w:hAnsi="Times New Roman" w:cs="Times New Roman"/>
          <w:i/>
          <w:iCs/>
          <w:color w:val="000000" w:themeColor="text1"/>
          <w:lang w:val="en-US"/>
        </w:rPr>
        <w:t>De anima</w:t>
      </w:r>
      <w:r w:rsidRPr="009D7635">
        <w:rPr>
          <w:rFonts w:ascii="Times New Roman" w:hAnsi="Times New Roman" w:cs="Times New Roman"/>
          <w:color w:val="000000" w:themeColor="text1"/>
          <w:lang w:val="en-US"/>
        </w:rPr>
        <w:t>,’</w:t>
      </w:r>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rPr>
        <w:t xml:space="preserve">39. William of Auvergne, </w:t>
      </w:r>
      <w:r w:rsidRPr="009D7635">
        <w:rPr>
          <w:rFonts w:ascii="Times New Roman" w:hAnsi="Times New Roman" w:cs="Times New Roman"/>
          <w:i/>
          <w:color w:val="000000" w:themeColor="text1"/>
        </w:rPr>
        <w:t>The Soul</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trans.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43</w:t>
      </w:r>
      <w:r w:rsidR="0039709F"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277; cf. 395, 400, 410. </w:t>
      </w:r>
    </w:p>
  </w:footnote>
  <w:footnote w:id="352">
    <w:p w14:paraId="7F28FB30"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William of Auvergne, </w:t>
      </w:r>
      <w:r w:rsidRPr="009D7635">
        <w:rPr>
          <w:rFonts w:ascii="Times New Roman" w:hAnsi="Times New Roman" w:cs="Times New Roman"/>
          <w:i/>
          <w:color w:val="000000" w:themeColor="text1"/>
        </w:rPr>
        <w:t>The Soul</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trans.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47.</w:t>
      </w:r>
    </w:p>
  </w:footnote>
  <w:footnote w:id="353">
    <w:p w14:paraId="62394DC2" w14:textId="497560BA"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D74F37"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140.</w:t>
      </w:r>
    </w:p>
  </w:footnote>
  <w:footnote w:id="354">
    <w:p w14:paraId="7882C374" w14:textId="39E8A85E" w:rsidR="00427372" w:rsidRPr="009D7635" w:rsidRDefault="0042737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The Soul-Body Problem at Paris</w:t>
      </w:r>
      <w:r w:rsidRPr="009D7635">
        <w:rPr>
          <w:rFonts w:ascii="Times New Roman" w:hAnsi="Times New Roman" w:cs="Times New Roman"/>
          <w:color w:val="000000" w:themeColor="text1"/>
        </w:rPr>
        <w:t>, 26</w:t>
      </w:r>
      <w:r w:rsidR="00D86916"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33.</w:t>
      </w:r>
    </w:p>
  </w:footnote>
  <w:footnote w:id="355">
    <w:p w14:paraId="1E2E0E8D" w14:textId="3B5033CF" w:rsidR="00BD68E5" w:rsidRPr="009D7635" w:rsidRDefault="00BD68E5" w:rsidP="00BD68E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Una</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questione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disputata</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di</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ugo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di</w:t>
      </w:r>
      <w:proofErr w:type="spellEnd"/>
      <w:r w:rsidRPr="009D7635">
        <w:rPr>
          <w:rFonts w:ascii="Times New Roman" w:hAnsi="Times New Roman" w:cs="Times New Roman"/>
          <w:color w:val="000000" w:themeColor="text1"/>
        </w:rPr>
        <w:t xml:space="preserve"> St Cher </w:t>
      </w:r>
      <w:proofErr w:type="spellStart"/>
      <w:r w:rsidRPr="009D7635">
        <w:rPr>
          <w:rFonts w:ascii="Times New Roman" w:hAnsi="Times New Roman" w:cs="Times New Roman"/>
          <w:color w:val="000000" w:themeColor="text1"/>
        </w:rPr>
        <w:t>sull’anima</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edizione</w:t>
      </w:r>
      <w:proofErr w:type="spellEnd"/>
      <w:r w:rsidRPr="009D7635">
        <w:rPr>
          <w:rFonts w:ascii="Times New Roman" w:hAnsi="Times New Roman" w:cs="Times New Roman"/>
          <w:color w:val="000000" w:themeColor="text1"/>
        </w:rPr>
        <w:t xml:space="preserve"> e studio </w:t>
      </w:r>
      <w:proofErr w:type="spellStart"/>
      <w:r w:rsidRPr="009D7635">
        <w:rPr>
          <w:rFonts w:ascii="Times New Roman" w:hAnsi="Times New Roman" w:cs="Times New Roman"/>
          <w:color w:val="000000" w:themeColor="text1"/>
        </w:rPr>
        <w:t>dottrinale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Studia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Antyczne</w:t>
      </w:r>
      <w:proofErr w:type="spellEnd"/>
      <w:r w:rsidRPr="009D7635">
        <w:rPr>
          <w:rFonts w:ascii="Times New Roman" w:hAnsi="Times New Roman" w:cs="Times New Roman"/>
          <w:i/>
          <w:color w:val="000000" w:themeColor="text1"/>
        </w:rPr>
        <w:t xml:space="preserve"> I </w:t>
      </w:r>
      <w:proofErr w:type="spellStart"/>
      <w:r w:rsidRPr="009D7635">
        <w:rPr>
          <w:rFonts w:ascii="Times New Roman" w:hAnsi="Times New Roman" w:cs="Times New Roman"/>
          <w:i/>
          <w:color w:val="000000" w:themeColor="text1"/>
        </w:rPr>
        <w:t>Mediewistyczne</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37 (2004)</w:t>
      </w:r>
      <w:r w:rsidR="00A446C5"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169.</w:t>
      </w:r>
    </w:p>
  </w:footnote>
  <w:footnote w:id="356">
    <w:p w14:paraId="2E55DA56" w14:textId="0A31A69E" w:rsidR="00B2570E" w:rsidRPr="009D7635" w:rsidRDefault="00B2570E" w:rsidP="00B2570E">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The Soul-Body Problem at Paris</w:t>
      </w:r>
      <w:r w:rsidRPr="009D7635">
        <w:rPr>
          <w:rFonts w:ascii="Times New Roman" w:hAnsi="Times New Roman" w:cs="Times New Roman"/>
          <w:color w:val="000000" w:themeColor="text1"/>
        </w:rPr>
        <w:t xml:space="preserve">, 24. William of </w:t>
      </w:r>
      <w:proofErr w:type="spellStart"/>
      <w:r w:rsidRPr="009D7635">
        <w:rPr>
          <w:rFonts w:ascii="Times New Roman" w:hAnsi="Times New Roman" w:cs="Times New Roman"/>
          <w:color w:val="000000" w:themeColor="text1"/>
        </w:rPr>
        <w:t>Auxerre</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Summa </w:t>
      </w:r>
      <w:proofErr w:type="spellStart"/>
      <w:r w:rsidRPr="009D7635">
        <w:rPr>
          <w:rFonts w:ascii="Times New Roman" w:hAnsi="Times New Roman" w:cs="Times New Roman"/>
          <w:i/>
          <w:color w:val="000000" w:themeColor="text1"/>
        </w:rPr>
        <w:t>Aurea</w:t>
      </w:r>
      <w:proofErr w:type="spellEnd"/>
      <w:r w:rsidRPr="009D7635">
        <w:rPr>
          <w:rFonts w:ascii="Times New Roman" w:hAnsi="Times New Roman" w:cs="Times New Roman"/>
          <w:color w:val="000000" w:themeColor="text1"/>
        </w:rPr>
        <w:t xml:space="preserve">, </w:t>
      </w:r>
      <w:r w:rsidR="004E663B" w:rsidRPr="009D7635">
        <w:rPr>
          <w:rFonts w:ascii="Times New Roman" w:hAnsi="Times New Roman" w:cs="Times New Roman"/>
          <w:color w:val="000000" w:themeColor="text1"/>
        </w:rPr>
        <w:t xml:space="preserve">ed. Jean </w:t>
      </w:r>
      <w:proofErr w:type="spellStart"/>
      <w:r w:rsidR="004E663B" w:rsidRPr="009D7635">
        <w:rPr>
          <w:rFonts w:ascii="Times New Roman" w:hAnsi="Times New Roman" w:cs="Times New Roman"/>
          <w:color w:val="000000" w:themeColor="text1"/>
        </w:rPr>
        <w:t>Ribaillier</w:t>
      </w:r>
      <w:proofErr w:type="spellEnd"/>
      <w:r w:rsidR="004E663B" w:rsidRPr="009D7635">
        <w:rPr>
          <w:rFonts w:ascii="Times New Roman" w:hAnsi="Times New Roman" w:cs="Times New Roman"/>
          <w:color w:val="000000" w:themeColor="text1"/>
        </w:rPr>
        <w:t xml:space="preserve">, in </w:t>
      </w:r>
      <w:proofErr w:type="spellStart"/>
      <w:r w:rsidR="004E663B" w:rsidRPr="009D7635">
        <w:rPr>
          <w:rFonts w:ascii="Times New Roman" w:hAnsi="Times New Roman" w:cs="Times New Roman"/>
          <w:i/>
          <w:color w:val="000000" w:themeColor="text1"/>
        </w:rPr>
        <w:t>Spicilegium</w:t>
      </w:r>
      <w:proofErr w:type="spellEnd"/>
      <w:r w:rsidR="004E663B" w:rsidRPr="009D7635">
        <w:rPr>
          <w:rFonts w:ascii="Times New Roman" w:hAnsi="Times New Roman" w:cs="Times New Roman"/>
          <w:i/>
          <w:color w:val="000000" w:themeColor="text1"/>
        </w:rPr>
        <w:t xml:space="preserve"> </w:t>
      </w:r>
      <w:proofErr w:type="spellStart"/>
      <w:r w:rsidR="004E663B" w:rsidRPr="009D7635">
        <w:rPr>
          <w:rFonts w:ascii="Times New Roman" w:hAnsi="Times New Roman" w:cs="Times New Roman"/>
          <w:i/>
          <w:color w:val="000000" w:themeColor="text1"/>
        </w:rPr>
        <w:t>Bonaventurianum</w:t>
      </w:r>
      <w:proofErr w:type="spellEnd"/>
      <w:r w:rsidR="004E663B" w:rsidRPr="009D7635">
        <w:rPr>
          <w:rFonts w:ascii="Times New Roman" w:hAnsi="Times New Roman" w:cs="Times New Roman"/>
          <w:color w:val="000000" w:themeColor="text1"/>
        </w:rPr>
        <w:t xml:space="preserve"> 17 (Paris: </w:t>
      </w:r>
      <w:proofErr w:type="spellStart"/>
      <w:r w:rsidR="004E663B" w:rsidRPr="009D7635">
        <w:rPr>
          <w:rFonts w:ascii="Times New Roman" w:hAnsi="Times New Roman" w:cs="Times New Roman"/>
          <w:color w:val="000000" w:themeColor="text1"/>
        </w:rPr>
        <w:t>Grottaferrata</w:t>
      </w:r>
      <w:proofErr w:type="spellEnd"/>
      <w:r w:rsidR="004E663B" w:rsidRPr="009D7635">
        <w:rPr>
          <w:rFonts w:ascii="Times New Roman" w:hAnsi="Times New Roman" w:cs="Times New Roman"/>
          <w:color w:val="000000" w:themeColor="text1"/>
        </w:rPr>
        <w:t>, 1982)</w:t>
      </w:r>
      <w:r w:rsidRPr="009D7635">
        <w:rPr>
          <w:rFonts w:ascii="Times New Roman" w:hAnsi="Times New Roman" w:cs="Times New Roman"/>
          <w:color w:val="000000" w:themeColor="text1"/>
        </w:rPr>
        <w:t>, 751-2.</w:t>
      </w:r>
    </w:p>
  </w:footnote>
  <w:footnote w:id="357">
    <w:p w14:paraId="68FC3AB4" w14:textId="39B4A075" w:rsidR="00B2570E" w:rsidRPr="009D7635" w:rsidRDefault="00B2570E" w:rsidP="00B2570E">
      <w:pPr>
        <w:widowControl w:val="0"/>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William of </w:t>
      </w:r>
      <w:proofErr w:type="spellStart"/>
      <w:r w:rsidRPr="009D7635">
        <w:rPr>
          <w:rFonts w:ascii="Times New Roman" w:hAnsi="Times New Roman" w:cs="Times New Roman"/>
          <w:color w:val="000000" w:themeColor="text1"/>
          <w:sz w:val="20"/>
          <w:szCs w:val="20"/>
        </w:rPr>
        <w:t>Auxerre</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Summa </w:t>
      </w:r>
      <w:proofErr w:type="spellStart"/>
      <w:r w:rsidRPr="009D7635">
        <w:rPr>
          <w:rFonts w:ascii="Times New Roman" w:hAnsi="Times New Roman" w:cs="Times New Roman"/>
          <w:i/>
          <w:color w:val="000000" w:themeColor="text1"/>
          <w:sz w:val="20"/>
          <w:szCs w:val="20"/>
        </w:rPr>
        <w:t>Aurea</w:t>
      </w:r>
      <w:proofErr w:type="spellEnd"/>
      <w:r w:rsidRPr="009D7635">
        <w:rPr>
          <w:rFonts w:ascii="Times New Roman" w:hAnsi="Times New Roman" w:cs="Times New Roman"/>
          <w:color w:val="000000" w:themeColor="text1"/>
          <w:sz w:val="20"/>
          <w:szCs w:val="20"/>
        </w:rPr>
        <w:t xml:space="preserve">, </w:t>
      </w:r>
      <w:r w:rsidR="00A928C4" w:rsidRPr="009D7635">
        <w:rPr>
          <w:rFonts w:ascii="Times New Roman" w:hAnsi="Times New Roman" w:cs="Times New Roman"/>
          <w:color w:val="000000" w:themeColor="text1"/>
          <w:sz w:val="20"/>
          <w:szCs w:val="20"/>
        </w:rPr>
        <w:t xml:space="preserve">in </w:t>
      </w:r>
      <w:proofErr w:type="spellStart"/>
      <w:r w:rsidR="00A928C4" w:rsidRPr="009D7635">
        <w:rPr>
          <w:rFonts w:ascii="Times New Roman" w:hAnsi="Times New Roman" w:cs="Times New Roman"/>
          <w:i/>
          <w:color w:val="000000" w:themeColor="text1"/>
          <w:sz w:val="20"/>
          <w:szCs w:val="20"/>
        </w:rPr>
        <w:t>Spicilegium</w:t>
      </w:r>
      <w:proofErr w:type="spellEnd"/>
      <w:r w:rsidR="00A928C4" w:rsidRPr="009D7635">
        <w:rPr>
          <w:rFonts w:ascii="Times New Roman" w:hAnsi="Times New Roman" w:cs="Times New Roman"/>
          <w:i/>
          <w:color w:val="000000" w:themeColor="text1"/>
          <w:sz w:val="20"/>
          <w:szCs w:val="20"/>
        </w:rPr>
        <w:t xml:space="preserve"> </w:t>
      </w:r>
      <w:proofErr w:type="spellStart"/>
      <w:r w:rsidR="00A928C4" w:rsidRPr="009D7635">
        <w:rPr>
          <w:rFonts w:ascii="Times New Roman" w:hAnsi="Times New Roman" w:cs="Times New Roman"/>
          <w:i/>
          <w:color w:val="000000" w:themeColor="text1"/>
          <w:sz w:val="20"/>
          <w:szCs w:val="20"/>
        </w:rPr>
        <w:t>Bonaventurianum</w:t>
      </w:r>
      <w:proofErr w:type="spellEnd"/>
      <w:r w:rsidR="00A928C4" w:rsidRPr="009D7635">
        <w:rPr>
          <w:rFonts w:ascii="Times New Roman" w:hAnsi="Times New Roman" w:cs="Times New Roman"/>
          <w:color w:val="000000" w:themeColor="text1"/>
          <w:sz w:val="20"/>
          <w:szCs w:val="20"/>
        </w:rPr>
        <w:t xml:space="preserve"> 17</w:t>
      </w:r>
      <w:r w:rsidR="00F177DC"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266.</w:t>
      </w:r>
    </w:p>
  </w:footnote>
  <w:footnote w:id="358">
    <w:p w14:paraId="12492511" w14:textId="02308739" w:rsidR="00B93ED5" w:rsidRPr="009D7635" w:rsidRDefault="00B93ED5" w:rsidP="004C7687">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4C7687" w:rsidRPr="009D7635">
        <w:rPr>
          <w:rFonts w:ascii="Times New Roman" w:hAnsi="Times New Roman" w:cs="Times New Roman"/>
          <w:color w:val="000000" w:themeColor="text1"/>
          <w:sz w:val="20"/>
          <w:szCs w:val="20"/>
        </w:rPr>
        <w:t xml:space="preserve">For example, Roland makes implicit reference to the dependence of the soul on the body when he says in </w:t>
      </w:r>
      <w:proofErr w:type="spellStart"/>
      <w:r w:rsidR="004C7687" w:rsidRPr="009D7635">
        <w:rPr>
          <w:rFonts w:ascii="Times New Roman" w:hAnsi="Times New Roman" w:cs="Times New Roman"/>
          <w:i/>
          <w:iCs/>
          <w:color w:val="000000" w:themeColor="text1"/>
          <w:sz w:val="20"/>
          <w:szCs w:val="20"/>
        </w:rPr>
        <w:t>Summae</w:t>
      </w:r>
      <w:proofErr w:type="spellEnd"/>
      <w:r w:rsidR="004C7687" w:rsidRPr="009D7635">
        <w:rPr>
          <w:rFonts w:ascii="Times New Roman" w:hAnsi="Times New Roman" w:cs="Times New Roman"/>
          <w:i/>
          <w:iCs/>
          <w:color w:val="000000" w:themeColor="text1"/>
          <w:sz w:val="20"/>
          <w:szCs w:val="20"/>
        </w:rPr>
        <w:t xml:space="preserve"> </w:t>
      </w:r>
      <w:proofErr w:type="spellStart"/>
      <w:r w:rsidR="004C7687" w:rsidRPr="009D7635">
        <w:rPr>
          <w:rFonts w:ascii="Times New Roman" w:hAnsi="Times New Roman" w:cs="Times New Roman"/>
          <w:i/>
          <w:iCs/>
          <w:color w:val="000000" w:themeColor="text1"/>
          <w:sz w:val="20"/>
          <w:szCs w:val="20"/>
        </w:rPr>
        <w:t>Mgistri</w:t>
      </w:r>
      <w:proofErr w:type="spellEnd"/>
      <w:r w:rsidR="004C7687" w:rsidRPr="009D7635">
        <w:rPr>
          <w:rFonts w:ascii="Times New Roman" w:hAnsi="Times New Roman" w:cs="Times New Roman"/>
          <w:i/>
          <w:iCs/>
          <w:color w:val="000000" w:themeColor="text1"/>
          <w:sz w:val="20"/>
          <w:szCs w:val="20"/>
        </w:rPr>
        <w:t xml:space="preserve"> </w:t>
      </w:r>
      <w:proofErr w:type="spellStart"/>
      <w:r w:rsidR="004C7687" w:rsidRPr="009D7635">
        <w:rPr>
          <w:rFonts w:ascii="Times New Roman" w:hAnsi="Times New Roman" w:cs="Times New Roman"/>
          <w:i/>
          <w:iCs/>
          <w:color w:val="000000" w:themeColor="text1"/>
          <w:sz w:val="20"/>
          <w:szCs w:val="20"/>
        </w:rPr>
        <w:t>Rolandi</w:t>
      </w:r>
      <w:proofErr w:type="spellEnd"/>
      <w:r w:rsidR="004C7687" w:rsidRPr="009D7635">
        <w:rPr>
          <w:rFonts w:ascii="Times New Roman" w:hAnsi="Times New Roman" w:cs="Times New Roman"/>
          <w:i/>
          <w:iCs/>
          <w:color w:val="000000" w:themeColor="text1"/>
          <w:sz w:val="20"/>
          <w:szCs w:val="20"/>
        </w:rPr>
        <w:t xml:space="preserve"> </w:t>
      </w:r>
      <w:proofErr w:type="spellStart"/>
      <w:r w:rsidR="004C7687" w:rsidRPr="009D7635">
        <w:rPr>
          <w:rFonts w:ascii="Times New Roman" w:hAnsi="Times New Roman" w:cs="Times New Roman"/>
          <w:i/>
          <w:iCs/>
          <w:color w:val="000000" w:themeColor="text1"/>
          <w:sz w:val="20"/>
          <w:szCs w:val="20"/>
        </w:rPr>
        <w:t>Cremonensis</w:t>
      </w:r>
      <w:proofErr w:type="spellEnd"/>
      <w:r w:rsidR="004C7687" w:rsidRPr="009D7635">
        <w:rPr>
          <w:rFonts w:ascii="Times New Roman" w:hAnsi="Times New Roman" w:cs="Times New Roman"/>
          <w:i/>
          <w:iCs/>
          <w:color w:val="000000" w:themeColor="text1"/>
          <w:sz w:val="20"/>
          <w:szCs w:val="20"/>
        </w:rPr>
        <w:t xml:space="preserve">, O.P. Liber </w:t>
      </w:r>
      <w:proofErr w:type="spellStart"/>
      <w:r w:rsidR="004C7687" w:rsidRPr="009D7635">
        <w:rPr>
          <w:rFonts w:ascii="Times New Roman" w:hAnsi="Times New Roman" w:cs="Times New Roman"/>
          <w:i/>
          <w:iCs/>
          <w:color w:val="000000" w:themeColor="text1"/>
          <w:sz w:val="20"/>
          <w:szCs w:val="20"/>
        </w:rPr>
        <w:t>Secundus</w:t>
      </w:r>
      <w:proofErr w:type="spellEnd"/>
      <w:r w:rsidR="004C7687" w:rsidRPr="009D7635">
        <w:rPr>
          <w:rFonts w:ascii="Times New Roman" w:hAnsi="Times New Roman" w:cs="Times New Roman"/>
          <w:i/>
          <w:iCs/>
          <w:color w:val="000000" w:themeColor="text1"/>
          <w:sz w:val="20"/>
          <w:szCs w:val="20"/>
        </w:rPr>
        <w:t xml:space="preserve">, </w:t>
      </w:r>
      <w:r w:rsidR="004C7687" w:rsidRPr="009D7635">
        <w:rPr>
          <w:rFonts w:ascii="Times New Roman" w:hAnsi="Times New Roman" w:cs="Times New Roman"/>
          <w:color w:val="000000" w:themeColor="text1"/>
          <w:sz w:val="20"/>
          <w:szCs w:val="20"/>
        </w:rPr>
        <w:t xml:space="preserve">ed. </w:t>
      </w:r>
      <w:proofErr w:type="spellStart"/>
      <w:r w:rsidR="004C7687" w:rsidRPr="009D7635">
        <w:rPr>
          <w:rFonts w:ascii="Times New Roman" w:hAnsi="Times New Roman" w:cs="Times New Roman"/>
          <w:color w:val="000000" w:themeColor="text1"/>
          <w:sz w:val="20"/>
          <w:szCs w:val="20"/>
        </w:rPr>
        <w:t>Aloysio</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Cortesi</w:t>
      </w:r>
      <w:proofErr w:type="spellEnd"/>
      <w:r w:rsidR="004C7687" w:rsidRPr="009D7635">
        <w:rPr>
          <w:rFonts w:ascii="Times New Roman" w:hAnsi="Times New Roman" w:cs="Times New Roman"/>
          <w:color w:val="000000" w:themeColor="text1"/>
          <w:sz w:val="20"/>
          <w:szCs w:val="20"/>
        </w:rPr>
        <w:t xml:space="preserve"> (Bergamo: Humberto </w:t>
      </w:r>
      <w:proofErr w:type="spellStart"/>
      <w:r w:rsidR="004C7687" w:rsidRPr="009D7635">
        <w:rPr>
          <w:rFonts w:ascii="Times New Roman" w:hAnsi="Times New Roman" w:cs="Times New Roman"/>
          <w:color w:val="000000" w:themeColor="text1"/>
          <w:sz w:val="20"/>
          <w:szCs w:val="20"/>
        </w:rPr>
        <w:t>Midali</w:t>
      </w:r>
      <w:proofErr w:type="spellEnd"/>
      <w:r w:rsidR="004C7687" w:rsidRPr="009D7635">
        <w:rPr>
          <w:rFonts w:ascii="Times New Roman" w:hAnsi="Times New Roman" w:cs="Times New Roman"/>
          <w:color w:val="000000" w:themeColor="text1"/>
          <w:sz w:val="20"/>
          <w:szCs w:val="20"/>
        </w:rPr>
        <w:t>, 2016),</w:t>
      </w:r>
      <w:r w:rsidR="004C7687" w:rsidRPr="009D7635">
        <w:rPr>
          <w:rFonts w:ascii="Times New Roman" w:hAnsi="Times New Roman" w:cs="Times New Roman"/>
          <w:i/>
          <w:iCs/>
          <w:color w:val="000000" w:themeColor="text1"/>
          <w:sz w:val="20"/>
          <w:szCs w:val="20"/>
        </w:rPr>
        <w:t xml:space="preserve"> </w:t>
      </w:r>
      <w:r w:rsidR="004C7687" w:rsidRPr="009D7635">
        <w:rPr>
          <w:rFonts w:ascii="Times New Roman" w:hAnsi="Times New Roman" w:cs="Times New Roman"/>
          <w:color w:val="000000" w:themeColor="text1"/>
          <w:sz w:val="20"/>
          <w:szCs w:val="20"/>
        </w:rPr>
        <w:t>Ch 263.7, 339: ‘</w:t>
      </w:r>
      <w:proofErr w:type="spellStart"/>
      <w:r w:rsidR="004C7687" w:rsidRPr="009D7635">
        <w:rPr>
          <w:rFonts w:ascii="Times New Roman" w:hAnsi="Times New Roman" w:cs="Times New Roman"/>
          <w:color w:val="000000" w:themeColor="text1"/>
          <w:sz w:val="20"/>
          <w:szCs w:val="20"/>
        </w:rPr>
        <w:t>Similiter</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patet</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quare</w:t>
      </w:r>
      <w:proofErr w:type="spellEnd"/>
      <w:r w:rsidR="004C7687" w:rsidRPr="009D7635">
        <w:rPr>
          <w:rFonts w:ascii="Times New Roman" w:hAnsi="Times New Roman" w:cs="Times New Roman"/>
          <w:color w:val="000000" w:themeColor="text1"/>
          <w:sz w:val="20"/>
          <w:szCs w:val="20"/>
        </w:rPr>
        <w:t xml:space="preserve"> anima </w:t>
      </w:r>
      <w:proofErr w:type="spellStart"/>
      <w:r w:rsidR="004C7687" w:rsidRPr="009D7635">
        <w:rPr>
          <w:rFonts w:ascii="Times New Roman" w:hAnsi="Times New Roman" w:cs="Times New Roman"/>
          <w:color w:val="000000" w:themeColor="text1"/>
          <w:sz w:val="20"/>
          <w:szCs w:val="20"/>
        </w:rPr>
        <w:t>hominis</w:t>
      </w:r>
      <w:proofErr w:type="spellEnd"/>
      <w:r w:rsidR="004C7687" w:rsidRPr="009D7635">
        <w:rPr>
          <w:rFonts w:ascii="Times New Roman" w:hAnsi="Times New Roman" w:cs="Times New Roman"/>
          <w:color w:val="000000" w:themeColor="text1"/>
          <w:sz w:val="20"/>
          <w:szCs w:val="20"/>
        </w:rPr>
        <w:t xml:space="preserve"> non </w:t>
      </w:r>
      <w:proofErr w:type="spellStart"/>
      <w:r w:rsidR="004C7687" w:rsidRPr="009D7635">
        <w:rPr>
          <w:rFonts w:ascii="Times New Roman" w:hAnsi="Times New Roman" w:cs="Times New Roman"/>
          <w:color w:val="000000" w:themeColor="text1"/>
          <w:sz w:val="20"/>
          <w:szCs w:val="20"/>
        </w:rPr>
        <w:t>creatur</w:t>
      </w:r>
      <w:proofErr w:type="spellEnd"/>
      <w:r w:rsidR="004C7687" w:rsidRPr="009D7635">
        <w:rPr>
          <w:rFonts w:ascii="Times New Roman" w:hAnsi="Times New Roman" w:cs="Times New Roman"/>
          <w:color w:val="000000" w:themeColor="text1"/>
          <w:sz w:val="20"/>
          <w:szCs w:val="20"/>
        </w:rPr>
        <w:t xml:space="preserve"> ante </w:t>
      </w:r>
      <w:proofErr w:type="spellStart"/>
      <w:r w:rsidR="004C7687" w:rsidRPr="009D7635">
        <w:rPr>
          <w:rFonts w:ascii="Times New Roman" w:hAnsi="Times New Roman" w:cs="Times New Roman"/>
          <w:color w:val="000000" w:themeColor="text1"/>
          <w:sz w:val="20"/>
          <w:szCs w:val="20"/>
        </w:rPr>
        <w:t>infusionem</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quia</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creatur</w:t>
      </w:r>
      <w:proofErr w:type="spellEnd"/>
      <w:r w:rsidR="004C7687" w:rsidRPr="009D7635">
        <w:rPr>
          <w:rFonts w:ascii="Times New Roman" w:hAnsi="Times New Roman" w:cs="Times New Roman"/>
          <w:color w:val="000000" w:themeColor="text1"/>
          <w:sz w:val="20"/>
          <w:szCs w:val="20"/>
        </w:rPr>
        <w:t xml:space="preserve"> cum </w:t>
      </w:r>
      <w:proofErr w:type="spellStart"/>
      <w:r w:rsidR="004C7687" w:rsidRPr="009D7635">
        <w:rPr>
          <w:rFonts w:ascii="Times New Roman" w:hAnsi="Times New Roman" w:cs="Times New Roman"/>
          <w:color w:val="000000" w:themeColor="text1"/>
          <w:sz w:val="20"/>
          <w:szCs w:val="20"/>
        </w:rPr>
        <w:t>viribus</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dependentibus</w:t>
      </w:r>
      <w:proofErr w:type="spellEnd"/>
      <w:r w:rsidR="004C7687" w:rsidRPr="009D7635">
        <w:rPr>
          <w:rFonts w:ascii="Times New Roman" w:hAnsi="Times New Roman" w:cs="Times New Roman"/>
          <w:color w:val="000000" w:themeColor="text1"/>
          <w:sz w:val="20"/>
          <w:szCs w:val="20"/>
        </w:rPr>
        <w:t xml:space="preserve"> a </w:t>
      </w:r>
      <w:proofErr w:type="spellStart"/>
      <w:r w:rsidR="004C7687" w:rsidRPr="009D7635">
        <w:rPr>
          <w:rFonts w:ascii="Times New Roman" w:hAnsi="Times New Roman" w:cs="Times New Roman"/>
          <w:color w:val="000000" w:themeColor="text1"/>
          <w:sz w:val="20"/>
          <w:szCs w:val="20"/>
        </w:rPr>
        <w:t>corpore</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unde</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si</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crearetur</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antequam</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infunderetur</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cruciaretur</w:t>
      </w:r>
      <w:proofErr w:type="spellEnd"/>
      <w:r w:rsidR="004C7687" w:rsidRPr="009D7635">
        <w:rPr>
          <w:rFonts w:ascii="Times New Roman" w:hAnsi="Times New Roman" w:cs="Times New Roman"/>
          <w:color w:val="000000" w:themeColor="text1"/>
          <w:sz w:val="20"/>
          <w:szCs w:val="20"/>
        </w:rPr>
        <w:t xml:space="preserve"> ex hoc quod non posset </w:t>
      </w:r>
      <w:proofErr w:type="spellStart"/>
      <w:r w:rsidR="004C7687" w:rsidRPr="009D7635">
        <w:rPr>
          <w:rFonts w:ascii="Times New Roman" w:hAnsi="Times New Roman" w:cs="Times New Roman"/>
          <w:color w:val="000000" w:themeColor="text1"/>
          <w:sz w:val="20"/>
          <w:szCs w:val="20"/>
        </w:rPr>
        <w:t>exercere</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potentias</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suas</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dependentes</w:t>
      </w:r>
      <w:proofErr w:type="spellEnd"/>
      <w:r w:rsidR="004C7687" w:rsidRPr="009D7635">
        <w:rPr>
          <w:rFonts w:ascii="Times New Roman" w:hAnsi="Times New Roman" w:cs="Times New Roman"/>
          <w:color w:val="000000" w:themeColor="text1"/>
          <w:sz w:val="20"/>
          <w:szCs w:val="20"/>
        </w:rPr>
        <w:t xml:space="preserve"> a </w:t>
      </w:r>
      <w:proofErr w:type="spellStart"/>
      <w:r w:rsidR="004C7687" w:rsidRPr="009D7635">
        <w:rPr>
          <w:rFonts w:ascii="Times New Roman" w:hAnsi="Times New Roman" w:cs="Times New Roman"/>
          <w:color w:val="000000" w:themeColor="text1"/>
          <w:sz w:val="20"/>
          <w:szCs w:val="20"/>
        </w:rPr>
        <w:t>corpore</w:t>
      </w:r>
      <w:proofErr w:type="spellEnd"/>
      <w:r w:rsidR="004C7687" w:rsidRPr="009D7635">
        <w:rPr>
          <w:rFonts w:ascii="Times New Roman" w:hAnsi="Times New Roman" w:cs="Times New Roman"/>
          <w:color w:val="000000" w:themeColor="text1"/>
          <w:sz w:val="20"/>
          <w:szCs w:val="20"/>
        </w:rPr>
        <w:t xml:space="preserve">, et </w:t>
      </w:r>
      <w:proofErr w:type="spellStart"/>
      <w:r w:rsidR="004C7687" w:rsidRPr="009D7635">
        <w:rPr>
          <w:rFonts w:ascii="Times New Roman" w:hAnsi="Times New Roman" w:cs="Times New Roman"/>
          <w:color w:val="000000" w:themeColor="text1"/>
          <w:sz w:val="20"/>
          <w:szCs w:val="20"/>
        </w:rPr>
        <w:t>ita</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pena</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esset</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antequam</w:t>
      </w:r>
      <w:proofErr w:type="spellEnd"/>
      <w:r w:rsidR="004C7687" w:rsidRPr="009D7635">
        <w:rPr>
          <w:rFonts w:ascii="Times New Roman" w:hAnsi="Times New Roman" w:cs="Times New Roman"/>
          <w:color w:val="000000" w:themeColor="text1"/>
          <w:sz w:val="20"/>
          <w:szCs w:val="20"/>
        </w:rPr>
        <w:t xml:space="preserve"> culpa, quod </w:t>
      </w:r>
      <w:proofErr w:type="spellStart"/>
      <w:r w:rsidR="004C7687" w:rsidRPr="009D7635">
        <w:rPr>
          <w:rFonts w:ascii="Times New Roman" w:hAnsi="Times New Roman" w:cs="Times New Roman"/>
          <w:color w:val="000000" w:themeColor="text1"/>
          <w:sz w:val="20"/>
          <w:szCs w:val="20"/>
        </w:rPr>
        <w:t>est</w:t>
      </w:r>
      <w:proofErr w:type="spellEnd"/>
      <w:r w:rsidR="004C7687" w:rsidRPr="009D7635">
        <w:rPr>
          <w:rFonts w:ascii="Times New Roman" w:hAnsi="Times New Roman" w:cs="Times New Roman"/>
          <w:color w:val="000000" w:themeColor="text1"/>
          <w:sz w:val="20"/>
          <w:szCs w:val="20"/>
        </w:rPr>
        <w:t xml:space="preserve"> </w:t>
      </w:r>
      <w:proofErr w:type="spellStart"/>
      <w:r w:rsidR="004C7687" w:rsidRPr="009D7635">
        <w:rPr>
          <w:rFonts w:ascii="Times New Roman" w:hAnsi="Times New Roman" w:cs="Times New Roman"/>
          <w:color w:val="000000" w:themeColor="text1"/>
          <w:sz w:val="20"/>
          <w:szCs w:val="20"/>
        </w:rPr>
        <w:t>inconveniens</w:t>
      </w:r>
      <w:proofErr w:type="spellEnd"/>
      <w:r w:rsidR="004C7687" w:rsidRPr="009D7635">
        <w:rPr>
          <w:rFonts w:ascii="Times New Roman" w:hAnsi="Times New Roman" w:cs="Times New Roman"/>
          <w:color w:val="000000" w:themeColor="text1"/>
          <w:sz w:val="20"/>
          <w:szCs w:val="20"/>
        </w:rPr>
        <w:t>.’</w:t>
      </w:r>
    </w:p>
  </w:footnote>
  <w:footnote w:id="359">
    <w:p w14:paraId="1B1FB599" w14:textId="22104765" w:rsidR="00B93ED5" w:rsidRPr="009D7635" w:rsidRDefault="00B93ED5" w:rsidP="00D04BF8">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3504AD" w:rsidRPr="009D7635">
        <w:rPr>
          <w:rFonts w:ascii="Times New Roman" w:hAnsi="Times New Roman" w:cs="Times New Roman"/>
          <w:color w:val="000000" w:themeColor="text1"/>
        </w:rPr>
        <w:t xml:space="preserve">Magdalena </w:t>
      </w:r>
      <w:proofErr w:type="spellStart"/>
      <w:r w:rsidR="003504AD" w:rsidRPr="009D7635">
        <w:rPr>
          <w:rFonts w:ascii="Times New Roman" w:hAnsi="Times New Roman" w:cs="Times New Roman"/>
          <w:color w:val="000000" w:themeColor="text1"/>
        </w:rPr>
        <w:t>Bieniak</w:t>
      </w:r>
      <w:proofErr w:type="spellEnd"/>
      <w:r w:rsidR="003504AD" w:rsidRPr="009D7635">
        <w:rPr>
          <w:rFonts w:ascii="Times New Roman" w:hAnsi="Times New Roman" w:cs="Times New Roman"/>
          <w:color w:val="000000" w:themeColor="text1"/>
        </w:rPr>
        <w:t xml:space="preserve">, </w:t>
      </w:r>
      <w:r w:rsidR="003504AD" w:rsidRPr="009D7635">
        <w:rPr>
          <w:rFonts w:ascii="Times New Roman" w:hAnsi="Times New Roman" w:cs="Times New Roman"/>
          <w:i/>
          <w:iCs/>
          <w:color w:val="000000" w:themeColor="text1"/>
        </w:rPr>
        <w:t>The Soul-Body Problem at Paris</w:t>
      </w:r>
      <w:r w:rsidR="003504AD" w:rsidRPr="009D7635">
        <w:rPr>
          <w:rFonts w:ascii="Times New Roman" w:hAnsi="Times New Roman" w:cs="Times New Roman"/>
          <w:color w:val="000000" w:themeColor="text1"/>
        </w:rPr>
        <w:t>, 28-9: ‘</w:t>
      </w:r>
      <w:r w:rsidR="003504AD" w:rsidRPr="009D7635">
        <w:rPr>
          <w:rFonts w:ascii="Times New Roman" w:hAnsi="Times New Roman" w:cs="Times New Roman"/>
          <w:color w:val="000000" w:themeColor="text1"/>
          <w:lang w:val="en-US"/>
        </w:rPr>
        <w:t>Indeed, while discussing the punishment of purgatory, Roland dwells upon the difference between the human soul and the angel. Whereas the angel, since it is a separate substance, acquires its perfection outside the body – he writes – the human soul can receive its ultimate perfection only in the resurrected body: for the soul somehow depends upon its body</w:t>
      </w:r>
      <w:r w:rsidR="003504AD" w:rsidRPr="009D7635">
        <w:rPr>
          <w:rFonts w:ascii="Times New Roman" w:hAnsi="Times New Roman" w:cs="Times New Roman"/>
          <w:color w:val="000000" w:themeColor="text1"/>
        </w:rPr>
        <w:t xml:space="preserve">; </w:t>
      </w:r>
      <w:r w:rsidR="003504AD" w:rsidRPr="009D7635">
        <w:rPr>
          <w:rFonts w:ascii="Times New Roman" w:hAnsi="Times New Roman" w:cs="Times New Roman"/>
          <w:color w:val="000000" w:themeColor="text1"/>
          <w:lang w:val="en-US"/>
        </w:rPr>
        <w:t>“</w:t>
      </w:r>
      <w:r w:rsidR="003504AD" w:rsidRPr="009D7635">
        <w:rPr>
          <w:rFonts w:ascii="Times New Roman" w:hAnsi="Times New Roman" w:cs="Times New Roman"/>
          <w:i/>
          <w:color w:val="000000" w:themeColor="text1"/>
          <w:lang w:val="en-US"/>
        </w:rPr>
        <w:t xml:space="preserve">Set contra: </w:t>
      </w:r>
      <w:proofErr w:type="spellStart"/>
      <w:r w:rsidR="003504AD" w:rsidRPr="009D7635">
        <w:rPr>
          <w:rFonts w:ascii="Times New Roman" w:hAnsi="Times New Roman" w:cs="Times New Roman"/>
          <w:i/>
          <w:color w:val="000000" w:themeColor="text1"/>
          <w:lang w:val="en-US"/>
        </w:rPr>
        <w:t>talis</w:t>
      </w:r>
      <w:proofErr w:type="spellEnd"/>
      <w:r w:rsidR="003504AD" w:rsidRPr="009D7635">
        <w:rPr>
          <w:rFonts w:ascii="Times New Roman" w:hAnsi="Times New Roman" w:cs="Times New Roman"/>
          <w:i/>
          <w:color w:val="000000" w:themeColor="text1"/>
          <w:lang w:val="en-US"/>
        </w:rPr>
        <w:t xml:space="preserve"> differentia non </w:t>
      </w:r>
      <w:proofErr w:type="spellStart"/>
      <w:r w:rsidR="003504AD" w:rsidRPr="009D7635">
        <w:rPr>
          <w:rFonts w:ascii="Times New Roman" w:hAnsi="Times New Roman" w:cs="Times New Roman"/>
          <w:i/>
          <w:color w:val="000000" w:themeColor="text1"/>
          <w:lang w:val="en-US"/>
        </w:rPr>
        <w:t>est</w:t>
      </w:r>
      <w:proofErr w:type="spellEnd"/>
      <w:r w:rsidR="003504AD" w:rsidRPr="009D7635">
        <w:rPr>
          <w:rFonts w:ascii="Times New Roman" w:hAnsi="Times New Roman" w:cs="Times New Roman"/>
          <w:i/>
          <w:color w:val="000000" w:themeColor="text1"/>
          <w:lang w:val="en-US"/>
        </w:rPr>
        <w:t xml:space="preserve"> </w:t>
      </w:r>
      <w:proofErr w:type="spellStart"/>
      <w:r w:rsidR="003504AD" w:rsidRPr="009D7635">
        <w:rPr>
          <w:rFonts w:ascii="Times New Roman" w:hAnsi="Times New Roman" w:cs="Times New Roman"/>
          <w:i/>
          <w:color w:val="000000" w:themeColor="text1"/>
          <w:lang w:val="en-US"/>
        </w:rPr>
        <w:t>nisi</w:t>
      </w:r>
      <w:proofErr w:type="spellEnd"/>
      <w:r w:rsidR="003504AD" w:rsidRPr="009D7635">
        <w:rPr>
          <w:rFonts w:ascii="Times New Roman" w:hAnsi="Times New Roman" w:cs="Times New Roman"/>
          <w:i/>
          <w:color w:val="000000" w:themeColor="text1"/>
          <w:lang w:val="en-US"/>
        </w:rPr>
        <w:t xml:space="preserve"> </w:t>
      </w:r>
      <w:proofErr w:type="spellStart"/>
      <w:r w:rsidR="003504AD" w:rsidRPr="009D7635">
        <w:rPr>
          <w:rFonts w:ascii="Times New Roman" w:hAnsi="Times New Roman" w:cs="Times New Roman"/>
          <w:i/>
          <w:color w:val="000000" w:themeColor="text1"/>
          <w:lang w:val="en-US"/>
        </w:rPr>
        <w:t>accidentalis</w:t>
      </w:r>
      <w:proofErr w:type="spellEnd"/>
      <w:r w:rsidR="003504AD" w:rsidRPr="009D7635">
        <w:rPr>
          <w:rFonts w:ascii="Times New Roman" w:hAnsi="Times New Roman" w:cs="Times New Roman"/>
          <w:i/>
          <w:color w:val="000000" w:themeColor="text1"/>
          <w:lang w:val="en-US"/>
        </w:rPr>
        <w:t xml:space="preserve">, intra corpus et extra corpus; set </w:t>
      </w:r>
      <w:proofErr w:type="spellStart"/>
      <w:r w:rsidR="003504AD" w:rsidRPr="009D7635">
        <w:rPr>
          <w:rFonts w:ascii="Times New Roman" w:hAnsi="Times New Roman" w:cs="Times New Roman"/>
          <w:i/>
          <w:color w:val="000000" w:themeColor="text1"/>
          <w:lang w:val="en-US"/>
        </w:rPr>
        <w:t>angeli</w:t>
      </w:r>
      <w:proofErr w:type="spellEnd"/>
      <w:r w:rsidR="003504AD" w:rsidRPr="009D7635">
        <w:rPr>
          <w:rFonts w:ascii="Times New Roman" w:hAnsi="Times New Roman" w:cs="Times New Roman"/>
          <w:i/>
          <w:color w:val="000000" w:themeColor="text1"/>
          <w:lang w:val="en-US"/>
        </w:rPr>
        <w:t xml:space="preserve"> et </w:t>
      </w:r>
      <w:proofErr w:type="spellStart"/>
      <w:r w:rsidR="003504AD" w:rsidRPr="009D7635">
        <w:rPr>
          <w:rFonts w:ascii="Times New Roman" w:hAnsi="Times New Roman" w:cs="Times New Roman"/>
          <w:i/>
          <w:color w:val="000000" w:themeColor="text1"/>
          <w:lang w:val="en-US"/>
        </w:rPr>
        <w:t>omnes</w:t>
      </w:r>
      <w:proofErr w:type="spellEnd"/>
      <w:r w:rsidR="003504AD" w:rsidRPr="009D7635">
        <w:rPr>
          <w:rFonts w:ascii="Times New Roman" w:hAnsi="Times New Roman" w:cs="Times New Roman"/>
          <w:i/>
          <w:color w:val="000000" w:themeColor="text1"/>
          <w:lang w:val="en-US"/>
        </w:rPr>
        <w:t xml:space="preserve"> anime </w:t>
      </w:r>
      <w:proofErr w:type="spellStart"/>
      <w:r w:rsidR="003504AD" w:rsidRPr="009D7635">
        <w:rPr>
          <w:rFonts w:ascii="Times New Roman" w:hAnsi="Times New Roman" w:cs="Times New Roman"/>
          <w:i/>
          <w:color w:val="000000" w:themeColor="text1"/>
          <w:lang w:val="en-US"/>
        </w:rPr>
        <w:t>differunt</w:t>
      </w:r>
      <w:proofErr w:type="spellEnd"/>
      <w:r w:rsidR="003504AD" w:rsidRPr="009D7635">
        <w:rPr>
          <w:rFonts w:ascii="Times New Roman" w:hAnsi="Times New Roman" w:cs="Times New Roman"/>
          <w:i/>
          <w:color w:val="000000" w:themeColor="text1"/>
          <w:lang w:val="en-US"/>
        </w:rPr>
        <w:t xml:space="preserve"> </w:t>
      </w:r>
      <w:proofErr w:type="spellStart"/>
      <w:r w:rsidR="003504AD" w:rsidRPr="009D7635">
        <w:rPr>
          <w:rFonts w:ascii="Times New Roman" w:hAnsi="Times New Roman" w:cs="Times New Roman"/>
          <w:i/>
          <w:color w:val="000000" w:themeColor="text1"/>
          <w:lang w:val="en-US"/>
        </w:rPr>
        <w:t>secundum</w:t>
      </w:r>
      <w:proofErr w:type="spellEnd"/>
      <w:r w:rsidR="003504AD" w:rsidRPr="009D7635">
        <w:rPr>
          <w:rFonts w:ascii="Times New Roman" w:hAnsi="Times New Roman" w:cs="Times New Roman"/>
          <w:i/>
          <w:color w:val="000000" w:themeColor="text1"/>
          <w:lang w:val="en-US"/>
        </w:rPr>
        <w:t xml:space="preserve"> </w:t>
      </w:r>
      <w:proofErr w:type="spellStart"/>
      <w:r w:rsidR="003504AD" w:rsidRPr="009D7635">
        <w:rPr>
          <w:rFonts w:ascii="Times New Roman" w:hAnsi="Times New Roman" w:cs="Times New Roman"/>
          <w:i/>
          <w:color w:val="000000" w:themeColor="text1"/>
          <w:lang w:val="en-US"/>
        </w:rPr>
        <w:t>speciem</w:t>
      </w:r>
      <w:proofErr w:type="spellEnd"/>
      <w:r w:rsidR="003504AD" w:rsidRPr="009D7635">
        <w:rPr>
          <w:rFonts w:ascii="Times New Roman" w:hAnsi="Times New Roman" w:cs="Times New Roman"/>
          <w:i/>
          <w:color w:val="000000" w:themeColor="text1"/>
          <w:lang w:val="en-US"/>
        </w:rPr>
        <w:t xml:space="preserve">, ergo per </w:t>
      </w:r>
      <w:proofErr w:type="spellStart"/>
      <w:r w:rsidR="003504AD" w:rsidRPr="009D7635">
        <w:rPr>
          <w:rFonts w:ascii="Times New Roman" w:hAnsi="Times New Roman" w:cs="Times New Roman"/>
          <w:i/>
          <w:color w:val="000000" w:themeColor="text1"/>
          <w:lang w:val="en-US"/>
        </w:rPr>
        <w:t>aliud</w:t>
      </w:r>
      <w:proofErr w:type="spellEnd"/>
      <w:r w:rsidR="003504AD" w:rsidRPr="009D7635">
        <w:rPr>
          <w:rFonts w:ascii="Times New Roman" w:hAnsi="Times New Roman" w:cs="Times New Roman"/>
          <w:i/>
          <w:color w:val="000000" w:themeColor="text1"/>
          <w:lang w:val="en-US"/>
        </w:rPr>
        <w:t xml:space="preserve">, quod </w:t>
      </w:r>
      <w:proofErr w:type="spellStart"/>
      <w:r w:rsidR="003504AD" w:rsidRPr="009D7635">
        <w:rPr>
          <w:rFonts w:ascii="Times New Roman" w:hAnsi="Times New Roman" w:cs="Times New Roman"/>
          <w:i/>
          <w:color w:val="000000" w:themeColor="text1"/>
          <w:lang w:val="en-US"/>
        </w:rPr>
        <w:t>concedimus</w:t>
      </w:r>
      <w:proofErr w:type="spellEnd"/>
      <w:r w:rsidR="003504AD" w:rsidRPr="009D7635">
        <w:rPr>
          <w:rFonts w:ascii="Times New Roman" w:hAnsi="Times New Roman" w:cs="Times New Roman"/>
          <w:i/>
          <w:color w:val="000000" w:themeColor="text1"/>
          <w:lang w:val="en-US"/>
        </w:rPr>
        <w:t xml:space="preserve">. </w:t>
      </w:r>
      <w:proofErr w:type="spellStart"/>
      <w:r w:rsidR="003504AD" w:rsidRPr="009D7635">
        <w:rPr>
          <w:rFonts w:ascii="Times New Roman" w:hAnsi="Times New Roman" w:cs="Times New Roman"/>
          <w:i/>
          <w:color w:val="000000" w:themeColor="text1"/>
          <w:lang w:val="en-US"/>
        </w:rPr>
        <w:t>Differunt</w:t>
      </w:r>
      <w:proofErr w:type="spellEnd"/>
      <w:r w:rsidR="003504AD" w:rsidRPr="009D7635">
        <w:rPr>
          <w:rFonts w:ascii="Times New Roman" w:hAnsi="Times New Roman" w:cs="Times New Roman"/>
          <w:i/>
          <w:color w:val="000000" w:themeColor="text1"/>
          <w:lang w:val="en-US"/>
        </w:rPr>
        <w:t xml:space="preserve"> </w:t>
      </w:r>
      <w:proofErr w:type="spellStart"/>
      <w:r w:rsidR="003504AD" w:rsidRPr="009D7635">
        <w:rPr>
          <w:rFonts w:ascii="Times New Roman" w:hAnsi="Times New Roman" w:cs="Times New Roman"/>
          <w:i/>
          <w:color w:val="000000" w:themeColor="text1"/>
          <w:lang w:val="en-US"/>
        </w:rPr>
        <w:t>enim</w:t>
      </w:r>
      <w:proofErr w:type="spellEnd"/>
      <w:r w:rsidR="003504AD" w:rsidRPr="009D7635">
        <w:rPr>
          <w:rFonts w:ascii="Times New Roman" w:hAnsi="Times New Roman" w:cs="Times New Roman"/>
          <w:i/>
          <w:color w:val="000000" w:themeColor="text1"/>
          <w:lang w:val="en-US"/>
        </w:rPr>
        <w:t xml:space="preserve"> ab </w:t>
      </w:r>
      <w:proofErr w:type="spellStart"/>
      <w:r w:rsidR="003504AD" w:rsidRPr="009D7635">
        <w:rPr>
          <w:rFonts w:ascii="Times New Roman" w:hAnsi="Times New Roman" w:cs="Times New Roman"/>
          <w:i/>
          <w:color w:val="000000" w:themeColor="text1"/>
          <w:lang w:val="en-US"/>
        </w:rPr>
        <w:t>inuicem</w:t>
      </w:r>
      <w:proofErr w:type="spellEnd"/>
      <w:r w:rsidR="003504AD" w:rsidRPr="009D7635">
        <w:rPr>
          <w:rFonts w:ascii="Times New Roman" w:hAnsi="Times New Roman" w:cs="Times New Roman"/>
          <w:i/>
          <w:color w:val="000000" w:themeColor="text1"/>
          <w:lang w:val="en-US"/>
        </w:rPr>
        <w:t xml:space="preserve"> </w:t>
      </w:r>
      <w:proofErr w:type="spellStart"/>
      <w:r w:rsidR="003504AD" w:rsidRPr="009D7635">
        <w:rPr>
          <w:rFonts w:ascii="Times New Roman" w:hAnsi="Times New Roman" w:cs="Times New Roman"/>
          <w:i/>
          <w:color w:val="000000" w:themeColor="text1"/>
          <w:lang w:val="en-US"/>
        </w:rPr>
        <w:t>quia</w:t>
      </w:r>
      <w:proofErr w:type="spellEnd"/>
      <w:r w:rsidR="003504AD" w:rsidRPr="009D7635">
        <w:rPr>
          <w:rFonts w:ascii="Times New Roman" w:hAnsi="Times New Roman" w:cs="Times New Roman"/>
          <w:i/>
          <w:color w:val="000000" w:themeColor="text1"/>
          <w:lang w:val="en-US"/>
        </w:rPr>
        <w:t xml:space="preserve"> anima </w:t>
      </w:r>
      <w:proofErr w:type="spellStart"/>
      <w:r w:rsidR="003504AD" w:rsidRPr="009D7635">
        <w:rPr>
          <w:rFonts w:ascii="Times New Roman" w:hAnsi="Times New Roman" w:cs="Times New Roman"/>
          <w:i/>
          <w:color w:val="000000" w:themeColor="text1"/>
          <w:lang w:val="en-US"/>
        </w:rPr>
        <w:t>creatur</w:t>
      </w:r>
      <w:proofErr w:type="spellEnd"/>
      <w:r w:rsidR="003504AD" w:rsidRPr="009D7635">
        <w:rPr>
          <w:rFonts w:ascii="Times New Roman" w:hAnsi="Times New Roman" w:cs="Times New Roman"/>
          <w:i/>
          <w:color w:val="000000" w:themeColor="text1"/>
          <w:lang w:val="en-US"/>
        </w:rPr>
        <w:t xml:space="preserve"> cum </w:t>
      </w:r>
      <w:proofErr w:type="spellStart"/>
      <w:r w:rsidR="003504AD" w:rsidRPr="009D7635">
        <w:rPr>
          <w:rFonts w:ascii="Times New Roman" w:hAnsi="Times New Roman" w:cs="Times New Roman"/>
          <w:i/>
          <w:color w:val="000000" w:themeColor="text1"/>
          <w:lang w:val="en-US"/>
        </w:rPr>
        <w:t>dependentibus</w:t>
      </w:r>
      <w:proofErr w:type="spellEnd"/>
      <w:r w:rsidR="003504AD" w:rsidRPr="009D7635">
        <w:rPr>
          <w:rFonts w:ascii="Times New Roman" w:hAnsi="Times New Roman" w:cs="Times New Roman"/>
          <w:i/>
          <w:color w:val="000000" w:themeColor="text1"/>
          <w:lang w:val="en-US"/>
        </w:rPr>
        <w:t xml:space="preserve"> a </w:t>
      </w:r>
      <w:proofErr w:type="spellStart"/>
      <w:r w:rsidR="003504AD" w:rsidRPr="009D7635">
        <w:rPr>
          <w:rFonts w:ascii="Times New Roman" w:hAnsi="Times New Roman" w:cs="Times New Roman"/>
          <w:i/>
          <w:color w:val="000000" w:themeColor="text1"/>
          <w:lang w:val="en-US"/>
        </w:rPr>
        <w:t>corpore</w:t>
      </w:r>
      <w:proofErr w:type="spellEnd"/>
      <w:r w:rsidR="003504AD" w:rsidRPr="009D7635">
        <w:rPr>
          <w:rFonts w:ascii="Times New Roman" w:hAnsi="Times New Roman" w:cs="Times New Roman"/>
          <w:i/>
          <w:color w:val="000000" w:themeColor="text1"/>
          <w:lang w:val="en-US"/>
        </w:rPr>
        <w:t xml:space="preserve">, et </w:t>
      </w:r>
      <w:proofErr w:type="spellStart"/>
      <w:r w:rsidR="003504AD" w:rsidRPr="009D7635">
        <w:rPr>
          <w:rFonts w:ascii="Times New Roman" w:hAnsi="Times New Roman" w:cs="Times New Roman"/>
          <w:i/>
          <w:color w:val="000000" w:themeColor="text1"/>
          <w:lang w:val="en-US"/>
        </w:rPr>
        <w:t>hec</w:t>
      </w:r>
      <w:proofErr w:type="spellEnd"/>
      <w:r w:rsidR="003504AD" w:rsidRPr="009D7635">
        <w:rPr>
          <w:rFonts w:ascii="Times New Roman" w:hAnsi="Times New Roman" w:cs="Times New Roman"/>
          <w:i/>
          <w:color w:val="000000" w:themeColor="text1"/>
          <w:lang w:val="en-US"/>
        </w:rPr>
        <w:t xml:space="preserve"> </w:t>
      </w:r>
      <w:proofErr w:type="spellStart"/>
      <w:r w:rsidR="003504AD" w:rsidRPr="009D7635">
        <w:rPr>
          <w:rFonts w:ascii="Times New Roman" w:hAnsi="Times New Roman" w:cs="Times New Roman"/>
          <w:i/>
          <w:color w:val="000000" w:themeColor="text1"/>
          <w:lang w:val="en-US"/>
        </w:rPr>
        <w:t>est</w:t>
      </w:r>
      <w:proofErr w:type="spellEnd"/>
      <w:r w:rsidR="003504AD" w:rsidRPr="009D7635">
        <w:rPr>
          <w:rFonts w:ascii="Times New Roman" w:hAnsi="Times New Roman" w:cs="Times New Roman"/>
          <w:i/>
          <w:color w:val="000000" w:themeColor="text1"/>
          <w:lang w:val="en-US"/>
        </w:rPr>
        <w:t xml:space="preserve"> </w:t>
      </w:r>
      <w:proofErr w:type="spellStart"/>
      <w:r w:rsidR="003504AD" w:rsidRPr="009D7635">
        <w:rPr>
          <w:rFonts w:ascii="Times New Roman" w:hAnsi="Times New Roman" w:cs="Times New Roman"/>
          <w:i/>
          <w:color w:val="000000" w:themeColor="text1"/>
          <w:lang w:val="en-US"/>
        </w:rPr>
        <w:t>substantialis</w:t>
      </w:r>
      <w:proofErr w:type="spellEnd"/>
      <w:r w:rsidR="003504AD" w:rsidRPr="009D7635">
        <w:rPr>
          <w:rFonts w:ascii="Times New Roman" w:hAnsi="Times New Roman" w:cs="Times New Roman"/>
          <w:i/>
          <w:color w:val="000000" w:themeColor="text1"/>
          <w:lang w:val="en-US"/>
        </w:rPr>
        <w:t xml:space="preserve"> differentia, angelus </w:t>
      </w:r>
      <w:proofErr w:type="spellStart"/>
      <w:r w:rsidR="003504AD" w:rsidRPr="009D7635">
        <w:rPr>
          <w:rFonts w:ascii="Times New Roman" w:hAnsi="Times New Roman" w:cs="Times New Roman"/>
          <w:i/>
          <w:color w:val="000000" w:themeColor="text1"/>
          <w:lang w:val="en-US"/>
        </w:rPr>
        <w:t>autem</w:t>
      </w:r>
      <w:proofErr w:type="spellEnd"/>
      <w:r w:rsidR="003504AD" w:rsidRPr="009D7635">
        <w:rPr>
          <w:rFonts w:ascii="Times New Roman" w:hAnsi="Times New Roman" w:cs="Times New Roman"/>
          <w:i/>
          <w:color w:val="000000" w:themeColor="text1"/>
          <w:lang w:val="en-US"/>
        </w:rPr>
        <w:t xml:space="preserve"> non</w:t>
      </w:r>
      <w:r w:rsidR="003504AD" w:rsidRPr="009D7635">
        <w:rPr>
          <w:rFonts w:ascii="Times New Roman" w:hAnsi="Times New Roman" w:cs="Times New Roman"/>
          <w:color w:val="000000" w:themeColor="text1"/>
          <w:lang w:val="en-US"/>
        </w:rPr>
        <w:t xml:space="preserve">”.’ Cf. </w:t>
      </w:r>
      <w:r w:rsidRPr="009D7635">
        <w:rPr>
          <w:rFonts w:ascii="Times New Roman" w:hAnsi="Times New Roman" w:cs="Times New Roman"/>
          <w:color w:val="000000" w:themeColor="text1"/>
        </w:rPr>
        <w:t xml:space="preserve">Richard C. Dales, </w:t>
      </w:r>
      <w:r w:rsidRPr="009D7635">
        <w:rPr>
          <w:rFonts w:ascii="Times New Roman" w:hAnsi="Times New Roman" w:cs="Times New Roman"/>
          <w:i/>
          <w:color w:val="000000" w:themeColor="text1"/>
        </w:rPr>
        <w:t>The Problem of the Rational Soul in the Thirteenth Century</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37.</w:t>
      </w:r>
    </w:p>
  </w:footnote>
  <w:footnote w:id="360">
    <w:p w14:paraId="27978418" w14:textId="1727779D" w:rsidR="00D04BF8" w:rsidRPr="009D7635" w:rsidRDefault="00D04BF8" w:rsidP="00D04BF8">
      <w:pPr>
        <w:autoSpaceDE w:val="0"/>
        <w:autoSpaceDN w:val="0"/>
        <w:adjustRightInd w:val="0"/>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Guerric</w:t>
      </w:r>
      <w:proofErr w:type="spellEnd"/>
      <w:r w:rsidRPr="009D7635">
        <w:rPr>
          <w:rFonts w:ascii="Times New Roman" w:hAnsi="Times New Roman" w:cs="Times New Roman"/>
          <w:color w:val="000000" w:themeColor="text1"/>
          <w:sz w:val="20"/>
          <w:szCs w:val="20"/>
        </w:rPr>
        <w:t xml:space="preserve"> of Saint-Quentin, </w:t>
      </w:r>
      <w:proofErr w:type="spellStart"/>
      <w:r w:rsidRPr="009D7635">
        <w:rPr>
          <w:rFonts w:ascii="Times New Roman" w:hAnsi="Times New Roman" w:cs="Times New Roman"/>
          <w:i/>
          <w:iCs/>
          <w:color w:val="000000" w:themeColor="text1"/>
          <w:sz w:val="20"/>
          <w:szCs w:val="20"/>
        </w:rPr>
        <w:t>Quaestiones</w:t>
      </w:r>
      <w:proofErr w:type="spellEnd"/>
      <w:r w:rsidRPr="009D7635">
        <w:rPr>
          <w:rFonts w:ascii="Times New Roman" w:hAnsi="Times New Roman" w:cs="Times New Roman"/>
          <w:i/>
          <w:iCs/>
          <w:color w:val="000000" w:themeColor="text1"/>
          <w:sz w:val="20"/>
          <w:szCs w:val="20"/>
        </w:rPr>
        <w:t xml:space="preserve"> de </w:t>
      </w:r>
      <w:r w:rsidR="00797700" w:rsidRPr="009D7635">
        <w:rPr>
          <w:rFonts w:ascii="Times New Roman" w:hAnsi="Times New Roman" w:cs="Times New Roman"/>
          <w:i/>
          <w:iCs/>
          <w:color w:val="000000" w:themeColor="text1"/>
          <w:sz w:val="20"/>
          <w:szCs w:val="20"/>
        </w:rPr>
        <w:t>quodlibet</w:t>
      </w:r>
      <w:r w:rsidRPr="009D7635">
        <w:rPr>
          <w:rFonts w:ascii="Times New Roman" w:hAnsi="Times New Roman" w:cs="Times New Roman"/>
          <w:i/>
          <w:iCs/>
          <w:color w:val="000000" w:themeColor="text1"/>
          <w:sz w:val="20"/>
          <w:szCs w:val="20"/>
        </w:rPr>
        <w:t xml:space="preserve">: A Critical Edition, </w:t>
      </w:r>
      <w:r w:rsidRPr="009D7635">
        <w:rPr>
          <w:rFonts w:ascii="Times New Roman" w:hAnsi="Times New Roman" w:cs="Times New Roman"/>
          <w:color w:val="000000" w:themeColor="text1"/>
          <w:sz w:val="20"/>
          <w:szCs w:val="20"/>
        </w:rPr>
        <w:t xml:space="preserve">ed. Walter H. Principe (Toronto: </w:t>
      </w:r>
      <w:proofErr w:type="spellStart"/>
      <w:r w:rsidRPr="009D7635">
        <w:rPr>
          <w:rFonts w:ascii="Times New Roman" w:hAnsi="Times New Roman" w:cs="Times New Roman"/>
          <w:color w:val="000000" w:themeColor="text1"/>
          <w:sz w:val="20"/>
          <w:szCs w:val="20"/>
        </w:rPr>
        <w:t>Pontificial</w:t>
      </w:r>
      <w:proofErr w:type="spellEnd"/>
      <w:r w:rsidRPr="009D7635">
        <w:rPr>
          <w:rFonts w:ascii="Times New Roman" w:hAnsi="Times New Roman" w:cs="Times New Roman"/>
          <w:color w:val="000000" w:themeColor="text1"/>
          <w:sz w:val="20"/>
          <w:szCs w:val="20"/>
        </w:rPr>
        <w:t xml:space="preserve"> Institute of Mediaeval Studies, 2002), Quodlibet 3, Article 6, 228-32. See also </w:t>
      </w:r>
      <w:r w:rsidR="00331CA0" w:rsidRPr="009D7635">
        <w:rPr>
          <w:rFonts w:ascii="Times New Roman" w:hAnsi="Times New Roman" w:cs="Times New Roman"/>
          <w:color w:val="000000" w:themeColor="text1"/>
          <w:sz w:val="20"/>
          <w:szCs w:val="20"/>
        </w:rPr>
        <w:t>Q</w:t>
      </w:r>
      <w:r w:rsidRPr="009D7635">
        <w:rPr>
          <w:rFonts w:ascii="Times New Roman" w:hAnsi="Times New Roman" w:cs="Times New Roman"/>
          <w:color w:val="000000" w:themeColor="text1"/>
          <w:sz w:val="20"/>
          <w:szCs w:val="20"/>
        </w:rPr>
        <w:t>uodlibe</w:t>
      </w:r>
      <w:r w:rsidR="00331CA0" w:rsidRPr="009D7635">
        <w:rPr>
          <w:rFonts w:ascii="Times New Roman" w:hAnsi="Times New Roman" w:cs="Times New Roman"/>
          <w:color w:val="000000" w:themeColor="text1"/>
          <w:sz w:val="20"/>
          <w:szCs w:val="20"/>
        </w:rPr>
        <w:t>t</w:t>
      </w:r>
      <w:r w:rsidRPr="009D7635">
        <w:rPr>
          <w:rFonts w:ascii="Times New Roman" w:hAnsi="Times New Roman" w:cs="Times New Roman"/>
          <w:color w:val="000000" w:themeColor="text1"/>
          <w:sz w:val="20"/>
          <w:szCs w:val="20"/>
        </w:rPr>
        <w:t xml:space="preserve"> 7, Article 5, 328-33.</w:t>
      </w:r>
    </w:p>
  </w:footnote>
  <w:footnote w:id="361">
    <w:p w14:paraId="671FD43E" w14:textId="6D892CDE" w:rsidR="00B93ED5" w:rsidRPr="009D7635" w:rsidRDefault="00B93ED5" w:rsidP="00D04BF8">
      <w:pPr>
        <w:autoSpaceDE w:val="0"/>
        <w:autoSpaceDN w:val="0"/>
        <w:adjustRightInd w:val="0"/>
        <w:rPr>
          <w:rFonts w:ascii="Times New Roman" w:hAnsi="Times New Roman" w:cs="Times New Roman"/>
          <w:bCs/>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C. R. Hess, ‘Roland of Cremona’s Place in the Current of Thought,’ </w:t>
      </w:r>
      <w:proofErr w:type="spellStart"/>
      <w:r w:rsidRPr="009D7635">
        <w:rPr>
          <w:rFonts w:ascii="Times New Roman" w:hAnsi="Times New Roman" w:cs="Times New Roman"/>
          <w:i/>
          <w:color w:val="000000" w:themeColor="text1"/>
          <w:sz w:val="20"/>
          <w:szCs w:val="20"/>
        </w:rPr>
        <w:t>Angelicum</w:t>
      </w:r>
      <w:proofErr w:type="spellEnd"/>
      <w:r w:rsidRPr="009D7635">
        <w:rPr>
          <w:rFonts w:ascii="Times New Roman" w:hAnsi="Times New Roman" w:cs="Times New Roman"/>
          <w:color w:val="000000" w:themeColor="text1"/>
          <w:sz w:val="20"/>
          <w:szCs w:val="20"/>
        </w:rPr>
        <w:t xml:space="preserve"> 45 (1968)</w:t>
      </w:r>
      <w:r w:rsidR="00F22358"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438: </w:t>
      </w:r>
      <w:r w:rsidRPr="009D7635">
        <w:rPr>
          <w:rFonts w:ascii="Times New Roman" w:hAnsi="Times New Roman" w:cs="Times New Roman"/>
          <w:color w:val="000000" w:themeColor="text1"/>
          <w:sz w:val="20"/>
          <w:szCs w:val="20"/>
          <w:lang w:val="en-US"/>
        </w:rPr>
        <w:t xml:space="preserve">Roland said the soul wants to be united to a body naturally. </w:t>
      </w:r>
      <w:r w:rsidRPr="009D7635">
        <w:rPr>
          <w:rFonts w:ascii="Times New Roman" w:hAnsi="Times New Roman" w:cs="Times New Roman"/>
          <w:bCs/>
          <w:color w:val="000000" w:themeColor="text1"/>
          <w:sz w:val="20"/>
          <w:szCs w:val="20"/>
          <w:lang w:val="en-US"/>
        </w:rPr>
        <w:t xml:space="preserve">On Roland, see also E. </w:t>
      </w:r>
      <w:proofErr w:type="spellStart"/>
      <w:r w:rsidRPr="009D7635">
        <w:rPr>
          <w:rFonts w:ascii="Times New Roman" w:hAnsi="Times New Roman" w:cs="Times New Roman"/>
          <w:bCs/>
          <w:color w:val="000000" w:themeColor="text1"/>
          <w:sz w:val="20"/>
          <w:szCs w:val="20"/>
          <w:lang w:val="en-US"/>
        </w:rPr>
        <w:t>Prête</w:t>
      </w:r>
      <w:proofErr w:type="spellEnd"/>
      <w:r w:rsidRPr="009D7635">
        <w:rPr>
          <w:rFonts w:ascii="Times New Roman" w:hAnsi="Times New Roman" w:cs="Times New Roman"/>
          <w:bCs/>
          <w:color w:val="000000" w:themeColor="text1"/>
          <w:sz w:val="20"/>
          <w:szCs w:val="20"/>
          <w:lang w:val="en-US"/>
        </w:rPr>
        <w:t xml:space="preserve">, ‘La </w:t>
      </w:r>
      <w:proofErr w:type="spellStart"/>
      <w:r w:rsidRPr="009D7635">
        <w:rPr>
          <w:rFonts w:ascii="Times New Roman" w:hAnsi="Times New Roman" w:cs="Times New Roman"/>
          <w:bCs/>
          <w:color w:val="000000" w:themeColor="text1"/>
          <w:sz w:val="20"/>
          <w:szCs w:val="20"/>
          <w:lang w:val="en-US"/>
        </w:rPr>
        <w:t>posizione</w:t>
      </w:r>
      <w:proofErr w:type="spellEnd"/>
      <w:r w:rsidRPr="009D7635">
        <w:rPr>
          <w:rFonts w:ascii="Times New Roman" w:hAnsi="Times New Roman" w:cs="Times New Roman"/>
          <w:bCs/>
          <w:color w:val="000000" w:themeColor="text1"/>
          <w:sz w:val="20"/>
          <w:szCs w:val="20"/>
          <w:lang w:val="en-US"/>
        </w:rPr>
        <w:t xml:space="preserve"> </w:t>
      </w:r>
      <w:proofErr w:type="spellStart"/>
      <w:r w:rsidRPr="009D7635">
        <w:rPr>
          <w:rFonts w:ascii="Times New Roman" w:hAnsi="Times New Roman" w:cs="Times New Roman"/>
          <w:bCs/>
          <w:color w:val="000000" w:themeColor="text1"/>
          <w:sz w:val="20"/>
          <w:szCs w:val="20"/>
          <w:lang w:val="en-US"/>
        </w:rPr>
        <w:t>di</w:t>
      </w:r>
      <w:proofErr w:type="spellEnd"/>
      <w:r w:rsidRPr="009D7635">
        <w:rPr>
          <w:rFonts w:ascii="Times New Roman" w:hAnsi="Times New Roman" w:cs="Times New Roman"/>
          <w:bCs/>
          <w:color w:val="000000" w:themeColor="text1"/>
          <w:sz w:val="20"/>
          <w:szCs w:val="20"/>
          <w:lang w:val="en-US"/>
        </w:rPr>
        <w:t xml:space="preserve"> Rolando da Cremona </w:t>
      </w:r>
      <w:proofErr w:type="spellStart"/>
      <w:r w:rsidRPr="009D7635">
        <w:rPr>
          <w:rFonts w:ascii="Times New Roman" w:hAnsi="Times New Roman" w:cs="Times New Roman"/>
          <w:bCs/>
          <w:color w:val="000000" w:themeColor="text1"/>
          <w:sz w:val="20"/>
          <w:szCs w:val="20"/>
          <w:lang w:val="en-US"/>
        </w:rPr>
        <w:t>nel</w:t>
      </w:r>
      <w:proofErr w:type="spellEnd"/>
      <w:r w:rsidRPr="009D7635">
        <w:rPr>
          <w:rFonts w:ascii="Times New Roman" w:hAnsi="Times New Roman" w:cs="Times New Roman"/>
          <w:bCs/>
          <w:color w:val="000000" w:themeColor="text1"/>
          <w:sz w:val="20"/>
          <w:szCs w:val="20"/>
          <w:lang w:val="en-US"/>
        </w:rPr>
        <w:t xml:space="preserve"> </w:t>
      </w:r>
      <w:proofErr w:type="spellStart"/>
      <w:r w:rsidRPr="009D7635">
        <w:rPr>
          <w:rFonts w:ascii="Times New Roman" w:hAnsi="Times New Roman" w:cs="Times New Roman"/>
          <w:bCs/>
          <w:color w:val="000000" w:themeColor="text1"/>
          <w:sz w:val="20"/>
          <w:szCs w:val="20"/>
          <w:lang w:val="en-US"/>
        </w:rPr>
        <w:t>pensiero</w:t>
      </w:r>
      <w:proofErr w:type="spellEnd"/>
      <w:r w:rsidRPr="009D7635">
        <w:rPr>
          <w:rFonts w:ascii="Times New Roman" w:hAnsi="Times New Roman" w:cs="Times New Roman"/>
          <w:bCs/>
          <w:color w:val="000000" w:themeColor="text1"/>
          <w:sz w:val="20"/>
          <w:szCs w:val="20"/>
          <w:lang w:val="en-US"/>
        </w:rPr>
        <w:t xml:space="preserve"> </w:t>
      </w:r>
      <w:proofErr w:type="spellStart"/>
      <w:r w:rsidRPr="009D7635">
        <w:rPr>
          <w:rFonts w:ascii="Times New Roman" w:hAnsi="Times New Roman" w:cs="Times New Roman"/>
          <w:bCs/>
          <w:color w:val="000000" w:themeColor="text1"/>
          <w:sz w:val="20"/>
          <w:szCs w:val="20"/>
          <w:lang w:val="en-US"/>
        </w:rPr>
        <w:t>médiévale</w:t>
      </w:r>
      <w:proofErr w:type="spellEnd"/>
      <w:r w:rsidRPr="009D7635">
        <w:rPr>
          <w:rFonts w:ascii="Times New Roman" w:hAnsi="Times New Roman" w:cs="Times New Roman"/>
          <w:bCs/>
          <w:color w:val="000000" w:themeColor="text1"/>
          <w:sz w:val="20"/>
          <w:szCs w:val="20"/>
          <w:lang w:val="en-US"/>
        </w:rPr>
        <w:t xml:space="preserve">,’ </w:t>
      </w:r>
      <w:proofErr w:type="spellStart"/>
      <w:r w:rsidRPr="009D7635">
        <w:rPr>
          <w:rFonts w:ascii="Times New Roman" w:hAnsi="Times New Roman" w:cs="Times New Roman"/>
          <w:bCs/>
          <w:i/>
          <w:iCs/>
          <w:color w:val="000000" w:themeColor="text1"/>
          <w:sz w:val="20"/>
          <w:szCs w:val="20"/>
          <w:lang w:val="en-US"/>
        </w:rPr>
        <w:t>Rivista</w:t>
      </w:r>
      <w:proofErr w:type="spellEnd"/>
      <w:r w:rsidRPr="009D7635">
        <w:rPr>
          <w:rFonts w:ascii="Times New Roman" w:hAnsi="Times New Roman" w:cs="Times New Roman"/>
          <w:bCs/>
          <w:i/>
          <w:iCs/>
          <w:color w:val="000000" w:themeColor="text1"/>
          <w:sz w:val="20"/>
          <w:szCs w:val="20"/>
          <w:lang w:val="en-US"/>
        </w:rPr>
        <w:t xml:space="preserve"> </w:t>
      </w:r>
      <w:proofErr w:type="spellStart"/>
      <w:r w:rsidRPr="009D7635">
        <w:rPr>
          <w:rFonts w:ascii="Times New Roman" w:hAnsi="Times New Roman" w:cs="Times New Roman"/>
          <w:bCs/>
          <w:i/>
          <w:iCs/>
          <w:color w:val="000000" w:themeColor="text1"/>
          <w:sz w:val="20"/>
          <w:szCs w:val="20"/>
          <w:lang w:val="en-US"/>
        </w:rPr>
        <w:t>di</w:t>
      </w:r>
      <w:proofErr w:type="spellEnd"/>
      <w:r w:rsidRPr="009D7635">
        <w:rPr>
          <w:rFonts w:ascii="Times New Roman" w:hAnsi="Times New Roman" w:cs="Times New Roman"/>
          <w:bCs/>
          <w:i/>
          <w:iCs/>
          <w:color w:val="000000" w:themeColor="text1"/>
          <w:sz w:val="20"/>
          <w:szCs w:val="20"/>
          <w:lang w:val="en-US"/>
        </w:rPr>
        <w:t xml:space="preserve"> </w:t>
      </w:r>
      <w:proofErr w:type="spellStart"/>
      <w:r w:rsidRPr="009D7635">
        <w:rPr>
          <w:rFonts w:ascii="Times New Roman" w:hAnsi="Times New Roman" w:cs="Times New Roman"/>
          <w:bCs/>
          <w:i/>
          <w:iCs/>
          <w:color w:val="000000" w:themeColor="text1"/>
          <w:sz w:val="20"/>
          <w:szCs w:val="20"/>
          <w:lang w:val="en-US"/>
        </w:rPr>
        <w:t>Folosofia</w:t>
      </w:r>
      <w:proofErr w:type="spellEnd"/>
      <w:r w:rsidRPr="009D7635">
        <w:rPr>
          <w:rFonts w:ascii="Times New Roman" w:hAnsi="Times New Roman" w:cs="Times New Roman"/>
          <w:bCs/>
          <w:i/>
          <w:iCs/>
          <w:color w:val="000000" w:themeColor="text1"/>
          <w:sz w:val="20"/>
          <w:szCs w:val="20"/>
          <w:lang w:val="en-US"/>
        </w:rPr>
        <w:t xml:space="preserve"> </w:t>
      </w:r>
      <w:proofErr w:type="spellStart"/>
      <w:r w:rsidRPr="009D7635">
        <w:rPr>
          <w:rFonts w:ascii="Times New Roman" w:hAnsi="Times New Roman" w:cs="Times New Roman"/>
          <w:bCs/>
          <w:i/>
          <w:iCs/>
          <w:color w:val="000000" w:themeColor="text1"/>
          <w:sz w:val="20"/>
          <w:szCs w:val="20"/>
          <w:lang w:val="en-US"/>
        </w:rPr>
        <w:t>neoscolastica</w:t>
      </w:r>
      <w:proofErr w:type="spellEnd"/>
      <w:r w:rsidRPr="009D7635">
        <w:rPr>
          <w:rFonts w:ascii="Times New Roman" w:hAnsi="Times New Roman" w:cs="Times New Roman"/>
          <w:bCs/>
          <w:i/>
          <w:iCs/>
          <w:color w:val="000000" w:themeColor="text1"/>
          <w:sz w:val="20"/>
          <w:szCs w:val="20"/>
          <w:lang w:val="en-US"/>
        </w:rPr>
        <w:t xml:space="preserve"> </w:t>
      </w:r>
      <w:r w:rsidRPr="009D7635">
        <w:rPr>
          <w:rFonts w:ascii="Times New Roman" w:hAnsi="Times New Roman" w:cs="Times New Roman"/>
          <w:bCs/>
          <w:color w:val="000000" w:themeColor="text1"/>
          <w:sz w:val="20"/>
          <w:szCs w:val="20"/>
          <w:lang w:val="en-US"/>
        </w:rPr>
        <w:t>23 (1931)</w:t>
      </w:r>
      <w:r w:rsidR="00F22358" w:rsidRPr="009D7635">
        <w:rPr>
          <w:rFonts w:ascii="Times New Roman" w:hAnsi="Times New Roman" w:cs="Times New Roman"/>
          <w:bCs/>
          <w:color w:val="000000" w:themeColor="text1"/>
          <w:sz w:val="20"/>
          <w:szCs w:val="20"/>
          <w:lang w:val="en-US"/>
        </w:rPr>
        <w:t>:</w:t>
      </w:r>
      <w:r w:rsidRPr="009D7635">
        <w:rPr>
          <w:rFonts w:ascii="Times New Roman" w:hAnsi="Times New Roman" w:cs="Times New Roman"/>
          <w:bCs/>
          <w:color w:val="000000" w:themeColor="text1"/>
          <w:sz w:val="20"/>
          <w:szCs w:val="20"/>
          <w:lang w:val="en-US"/>
        </w:rPr>
        <w:t xml:space="preserve"> 484-89. E. </w:t>
      </w:r>
      <w:proofErr w:type="spellStart"/>
      <w:r w:rsidRPr="009D7635">
        <w:rPr>
          <w:rFonts w:ascii="Times New Roman" w:hAnsi="Times New Roman" w:cs="Times New Roman"/>
          <w:bCs/>
          <w:color w:val="000000" w:themeColor="text1"/>
          <w:sz w:val="20"/>
          <w:szCs w:val="20"/>
          <w:lang w:val="en-US"/>
        </w:rPr>
        <w:t>Filthaut</w:t>
      </w:r>
      <w:proofErr w:type="spellEnd"/>
      <w:r w:rsidRPr="009D7635">
        <w:rPr>
          <w:rFonts w:ascii="Times New Roman" w:hAnsi="Times New Roman" w:cs="Times New Roman"/>
          <w:bCs/>
          <w:color w:val="000000" w:themeColor="text1"/>
          <w:sz w:val="20"/>
          <w:szCs w:val="20"/>
          <w:lang w:val="en-US"/>
        </w:rPr>
        <w:t xml:space="preserve">, </w:t>
      </w:r>
      <w:r w:rsidRPr="009D7635">
        <w:rPr>
          <w:rFonts w:ascii="Times New Roman" w:hAnsi="Times New Roman" w:cs="Times New Roman"/>
          <w:bCs/>
          <w:i/>
          <w:iCs/>
          <w:color w:val="000000" w:themeColor="text1"/>
          <w:sz w:val="20"/>
          <w:szCs w:val="20"/>
          <w:lang w:val="en-US"/>
        </w:rPr>
        <w:t xml:space="preserve">Roland von Cremona OP und die </w:t>
      </w:r>
      <w:proofErr w:type="spellStart"/>
      <w:r w:rsidRPr="009D7635">
        <w:rPr>
          <w:rFonts w:ascii="Times New Roman" w:hAnsi="Times New Roman" w:cs="Times New Roman"/>
          <w:bCs/>
          <w:i/>
          <w:iCs/>
          <w:color w:val="000000" w:themeColor="text1"/>
          <w:sz w:val="20"/>
          <w:szCs w:val="20"/>
          <w:lang w:val="en-US"/>
        </w:rPr>
        <w:t>Anfänge</w:t>
      </w:r>
      <w:proofErr w:type="spellEnd"/>
      <w:r w:rsidRPr="009D7635">
        <w:rPr>
          <w:rFonts w:ascii="Times New Roman" w:hAnsi="Times New Roman" w:cs="Times New Roman"/>
          <w:bCs/>
          <w:i/>
          <w:iCs/>
          <w:color w:val="000000" w:themeColor="text1"/>
          <w:sz w:val="20"/>
          <w:szCs w:val="20"/>
          <w:lang w:val="en-US"/>
        </w:rPr>
        <w:t xml:space="preserve"> der scholastic </w:t>
      </w:r>
      <w:proofErr w:type="spellStart"/>
      <w:r w:rsidRPr="009D7635">
        <w:rPr>
          <w:rFonts w:ascii="Times New Roman" w:hAnsi="Times New Roman" w:cs="Times New Roman"/>
          <w:bCs/>
          <w:i/>
          <w:iCs/>
          <w:color w:val="000000" w:themeColor="text1"/>
          <w:sz w:val="20"/>
          <w:szCs w:val="20"/>
          <w:lang w:val="en-US"/>
        </w:rPr>
        <w:t>im</w:t>
      </w:r>
      <w:proofErr w:type="spellEnd"/>
      <w:r w:rsidRPr="009D7635">
        <w:rPr>
          <w:rFonts w:ascii="Times New Roman" w:hAnsi="Times New Roman" w:cs="Times New Roman"/>
          <w:bCs/>
          <w:i/>
          <w:iCs/>
          <w:color w:val="000000" w:themeColor="text1"/>
          <w:sz w:val="20"/>
          <w:szCs w:val="20"/>
          <w:lang w:val="en-US"/>
        </w:rPr>
        <w:t xml:space="preserve"> </w:t>
      </w:r>
      <w:proofErr w:type="spellStart"/>
      <w:r w:rsidRPr="009D7635">
        <w:rPr>
          <w:rFonts w:ascii="Times New Roman" w:hAnsi="Times New Roman" w:cs="Times New Roman"/>
          <w:bCs/>
          <w:i/>
          <w:iCs/>
          <w:color w:val="000000" w:themeColor="text1"/>
          <w:sz w:val="20"/>
          <w:szCs w:val="20"/>
          <w:lang w:val="en-US"/>
        </w:rPr>
        <w:t>Predigerorden</w:t>
      </w:r>
      <w:proofErr w:type="spellEnd"/>
      <w:r w:rsidR="00F22358" w:rsidRPr="009D7635">
        <w:rPr>
          <w:rFonts w:ascii="Times New Roman" w:hAnsi="Times New Roman" w:cs="Times New Roman"/>
          <w:bCs/>
          <w:i/>
          <w:iCs/>
          <w:color w:val="000000" w:themeColor="text1"/>
          <w:sz w:val="20"/>
          <w:szCs w:val="20"/>
          <w:lang w:val="en-US"/>
        </w:rPr>
        <w:t>:</w:t>
      </w:r>
      <w:r w:rsidRPr="009D7635">
        <w:rPr>
          <w:rFonts w:ascii="Times New Roman" w:hAnsi="Times New Roman" w:cs="Times New Roman"/>
          <w:bCs/>
          <w:i/>
          <w:iCs/>
          <w:color w:val="000000" w:themeColor="text1"/>
          <w:sz w:val="20"/>
          <w:szCs w:val="20"/>
          <w:lang w:val="en-US"/>
        </w:rPr>
        <w:t xml:space="preserve"> </w:t>
      </w:r>
      <w:proofErr w:type="spellStart"/>
      <w:r w:rsidRPr="009D7635">
        <w:rPr>
          <w:rFonts w:ascii="Times New Roman" w:hAnsi="Times New Roman" w:cs="Times New Roman"/>
          <w:bCs/>
          <w:i/>
          <w:iCs/>
          <w:color w:val="000000" w:themeColor="text1"/>
          <w:sz w:val="20"/>
          <w:szCs w:val="20"/>
          <w:lang w:val="en-US"/>
        </w:rPr>
        <w:t>Ein</w:t>
      </w:r>
      <w:proofErr w:type="spellEnd"/>
      <w:r w:rsidRPr="009D7635">
        <w:rPr>
          <w:rFonts w:ascii="Times New Roman" w:hAnsi="Times New Roman" w:cs="Times New Roman"/>
          <w:bCs/>
          <w:i/>
          <w:iCs/>
          <w:color w:val="000000" w:themeColor="text1"/>
          <w:sz w:val="20"/>
          <w:szCs w:val="20"/>
          <w:lang w:val="en-US"/>
        </w:rPr>
        <w:t xml:space="preserve"> </w:t>
      </w:r>
      <w:proofErr w:type="spellStart"/>
      <w:r w:rsidRPr="009D7635">
        <w:rPr>
          <w:rFonts w:ascii="Times New Roman" w:hAnsi="Times New Roman" w:cs="Times New Roman"/>
          <w:bCs/>
          <w:i/>
          <w:iCs/>
          <w:color w:val="000000" w:themeColor="text1"/>
          <w:sz w:val="20"/>
          <w:szCs w:val="20"/>
          <w:lang w:val="en-US"/>
        </w:rPr>
        <w:t>Beitrag</w:t>
      </w:r>
      <w:proofErr w:type="spellEnd"/>
      <w:r w:rsidRPr="009D7635">
        <w:rPr>
          <w:rFonts w:ascii="Times New Roman" w:hAnsi="Times New Roman" w:cs="Times New Roman"/>
          <w:bCs/>
          <w:i/>
          <w:iCs/>
          <w:color w:val="000000" w:themeColor="text1"/>
          <w:sz w:val="20"/>
          <w:szCs w:val="20"/>
          <w:lang w:val="en-US"/>
        </w:rPr>
        <w:t xml:space="preserve"> </w:t>
      </w:r>
      <w:proofErr w:type="spellStart"/>
      <w:r w:rsidRPr="009D7635">
        <w:rPr>
          <w:rFonts w:ascii="Times New Roman" w:hAnsi="Times New Roman" w:cs="Times New Roman"/>
          <w:bCs/>
          <w:i/>
          <w:iCs/>
          <w:color w:val="000000" w:themeColor="text1"/>
          <w:sz w:val="20"/>
          <w:szCs w:val="20"/>
          <w:lang w:val="en-US"/>
        </w:rPr>
        <w:t>zur</w:t>
      </w:r>
      <w:proofErr w:type="spellEnd"/>
      <w:r w:rsidRPr="009D7635">
        <w:rPr>
          <w:rFonts w:ascii="Times New Roman" w:hAnsi="Times New Roman" w:cs="Times New Roman"/>
          <w:bCs/>
          <w:i/>
          <w:iCs/>
          <w:color w:val="000000" w:themeColor="text1"/>
          <w:sz w:val="20"/>
          <w:szCs w:val="20"/>
          <w:lang w:val="en-US"/>
        </w:rPr>
        <w:t xml:space="preserve"> </w:t>
      </w:r>
      <w:proofErr w:type="spellStart"/>
      <w:r w:rsidRPr="009D7635">
        <w:rPr>
          <w:rFonts w:ascii="Times New Roman" w:hAnsi="Times New Roman" w:cs="Times New Roman"/>
          <w:bCs/>
          <w:i/>
          <w:iCs/>
          <w:color w:val="000000" w:themeColor="text1"/>
          <w:sz w:val="20"/>
          <w:szCs w:val="20"/>
          <w:lang w:val="en-US"/>
        </w:rPr>
        <w:t>Geistesgeschichte</w:t>
      </w:r>
      <w:proofErr w:type="spellEnd"/>
      <w:r w:rsidRPr="009D7635">
        <w:rPr>
          <w:rFonts w:ascii="Times New Roman" w:hAnsi="Times New Roman" w:cs="Times New Roman"/>
          <w:bCs/>
          <w:i/>
          <w:iCs/>
          <w:color w:val="000000" w:themeColor="text1"/>
          <w:sz w:val="20"/>
          <w:szCs w:val="20"/>
          <w:lang w:val="en-US"/>
        </w:rPr>
        <w:t xml:space="preserve"> der </w:t>
      </w:r>
      <w:proofErr w:type="spellStart"/>
      <w:r w:rsidRPr="009D7635">
        <w:rPr>
          <w:rFonts w:ascii="Times New Roman" w:hAnsi="Times New Roman" w:cs="Times New Roman"/>
          <w:bCs/>
          <w:i/>
          <w:iCs/>
          <w:color w:val="000000" w:themeColor="text1"/>
          <w:sz w:val="20"/>
          <w:szCs w:val="20"/>
          <w:lang w:val="en-US"/>
        </w:rPr>
        <w:t>ältern</w:t>
      </w:r>
      <w:proofErr w:type="spellEnd"/>
      <w:r w:rsidRPr="009D7635">
        <w:rPr>
          <w:rFonts w:ascii="Times New Roman" w:hAnsi="Times New Roman" w:cs="Times New Roman"/>
          <w:bCs/>
          <w:i/>
          <w:iCs/>
          <w:color w:val="000000" w:themeColor="text1"/>
          <w:sz w:val="20"/>
          <w:szCs w:val="20"/>
          <w:lang w:val="en-US"/>
        </w:rPr>
        <w:t xml:space="preserve"> </w:t>
      </w:r>
      <w:proofErr w:type="spellStart"/>
      <w:r w:rsidRPr="009D7635">
        <w:rPr>
          <w:rFonts w:ascii="Times New Roman" w:hAnsi="Times New Roman" w:cs="Times New Roman"/>
          <w:bCs/>
          <w:i/>
          <w:iCs/>
          <w:color w:val="000000" w:themeColor="text1"/>
          <w:sz w:val="20"/>
          <w:szCs w:val="20"/>
          <w:lang w:val="en-US"/>
        </w:rPr>
        <w:t>Dominikaner</w:t>
      </w:r>
      <w:proofErr w:type="spellEnd"/>
      <w:r w:rsidRPr="009D7635">
        <w:rPr>
          <w:rFonts w:ascii="Times New Roman" w:hAnsi="Times New Roman" w:cs="Times New Roman"/>
          <w:bCs/>
          <w:i/>
          <w:iCs/>
          <w:color w:val="000000" w:themeColor="text1"/>
          <w:sz w:val="20"/>
          <w:szCs w:val="20"/>
          <w:lang w:val="en-US"/>
        </w:rPr>
        <w:t xml:space="preserve"> </w:t>
      </w:r>
      <w:r w:rsidRPr="009D7635">
        <w:rPr>
          <w:rFonts w:ascii="Times New Roman" w:hAnsi="Times New Roman" w:cs="Times New Roman"/>
          <w:bCs/>
          <w:color w:val="000000" w:themeColor="text1"/>
          <w:sz w:val="20"/>
          <w:szCs w:val="20"/>
          <w:lang w:val="en-US"/>
        </w:rPr>
        <w:t>(</w:t>
      </w:r>
      <w:proofErr w:type="spellStart"/>
      <w:r w:rsidRPr="009D7635">
        <w:rPr>
          <w:rFonts w:ascii="Times New Roman" w:hAnsi="Times New Roman" w:cs="Times New Roman"/>
          <w:color w:val="000000" w:themeColor="text1"/>
          <w:sz w:val="20"/>
          <w:szCs w:val="20"/>
        </w:rPr>
        <w:t>Vechta</w:t>
      </w:r>
      <w:proofErr w:type="spellEnd"/>
      <w:r w:rsidRPr="009D7635">
        <w:rPr>
          <w:rFonts w:ascii="Times New Roman" w:hAnsi="Times New Roman" w:cs="Times New Roman"/>
          <w:color w:val="000000" w:themeColor="text1"/>
          <w:sz w:val="20"/>
          <w:szCs w:val="20"/>
        </w:rPr>
        <w:t xml:space="preserve"> i.O.: </w:t>
      </w:r>
      <w:proofErr w:type="spellStart"/>
      <w:r w:rsidRPr="009D7635">
        <w:rPr>
          <w:rFonts w:ascii="Times New Roman" w:hAnsi="Times New Roman" w:cs="Times New Roman"/>
          <w:color w:val="000000" w:themeColor="text1"/>
          <w:sz w:val="20"/>
          <w:szCs w:val="20"/>
        </w:rPr>
        <w:t>Albertus-Magnus-Verlag</w:t>
      </w:r>
      <w:proofErr w:type="spellEnd"/>
      <w:r w:rsidRPr="009D7635">
        <w:rPr>
          <w:rFonts w:ascii="Times New Roman" w:hAnsi="Times New Roman" w:cs="Times New Roman"/>
          <w:color w:val="000000" w:themeColor="text1"/>
          <w:sz w:val="20"/>
          <w:szCs w:val="20"/>
        </w:rPr>
        <w:t xml:space="preserve"> der </w:t>
      </w:r>
      <w:proofErr w:type="spellStart"/>
      <w:r w:rsidRPr="009D7635">
        <w:rPr>
          <w:rFonts w:ascii="Times New Roman" w:hAnsi="Times New Roman" w:cs="Times New Roman"/>
          <w:color w:val="000000" w:themeColor="text1"/>
          <w:sz w:val="20"/>
          <w:szCs w:val="20"/>
        </w:rPr>
        <w:t>Dominikaner</w:t>
      </w:r>
      <w:proofErr w:type="spellEnd"/>
      <w:r w:rsidRPr="009D7635">
        <w:rPr>
          <w:rFonts w:ascii="Times New Roman" w:hAnsi="Times New Roman" w:cs="Times New Roman"/>
          <w:bCs/>
          <w:color w:val="000000" w:themeColor="text1"/>
          <w:sz w:val="20"/>
          <w:szCs w:val="20"/>
          <w:lang w:val="en-US"/>
        </w:rPr>
        <w:t>, 1936).</w:t>
      </w:r>
    </w:p>
  </w:footnote>
  <w:footnote w:id="362">
    <w:p w14:paraId="4B1E3E64" w14:textId="2E41A103" w:rsidR="00B93ED5" w:rsidRPr="009D7635" w:rsidRDefault="00B93ED5" w:rsidP="00D04BF8">
      <w:pPr>
        <w:autoSpaceDE w:val="0"/>
        <w:autoSpaceDN w:val="0"/>
        <w:adjustRightInd w:val="0"/>
        <w:ind w:right="-72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color w:val="000000" w:themeColor="text1"/>
          <w:sz w:val="20"/>
          <w:szCs w:val="20"/>
          <w:lang w:val="en-US"/>
        </w:rPr>
        <w:t xml:space="preserve">, 53: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perfectio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ipsius</w:t>
      </w:r>
      <w:proofErr w:type="spellEnd"/>
      <w:r w:rsidRPr="009D7635">
        <w:rPr>
          <w:rFonts w:ascii="Times New Roman" w:hAnsi="Times New Roman" w:cs="Times New Roman"/>
          <w:i/>
          <w:color w:val="000000" w:themeColor="text1"/>
          <w:sz w:val="20"/>
          <w:szCs w:val="20"/>
          <w:lang w:val="en-US"/>
        </w:rPr>
        <w:t xml:space="preserve"> et forma, et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hoc </w:t>
      </w:r>
      <w:proofErr w:type="spellStart"/>
      <w:r w:rsidRPr="009D7635">
        <w:rPr>
          <w:rFonts w:ascii="Times New Roman" w:hAnsi="Times New Roman" w:cs="Times New Roman"/>
          <w:i/>
          <w:color w:val="000000" w:themeColor="text1"/>
          <w:sz w:val="20"/>
          <w:szCs w:val="20"/>
          <w:lang w:val="en-US"/>
        </w:rPr>
        <w:t>diffinitur</w:t>
      </w:r>
      <w:proofErr w:type="spellEnd"/>
      <w:r w:rsidRPr="009D7635">
        <w:rPr>
          <w:rFonts w:ascii="Times New Roman" w:hAnsi="Times New Roman" w:cs="Times New Roman"/>
          <w:i/>
          <w:color w:val="000000" w:themeColor="text1"/>
          <w:sz w:val="20"/>
          <w:szCs w:val="20"/>
          <w:lang w:val="en-US"/>
        </w:rPr>
        <w:t xml:space="preserve"> ab </w:t>
      </w:r>
      <w:proofErr w:type="spellStart"/>
      <w:r w:rsidRPr="009D7635">
        <w:rPr>
          <w:rFonts w:ascii="Times New Roman" w:hAnsi="Times New Roman" w:cs="Times New Roman"/>
          <w:i/>
          <w:color w:val="000000" w:themeColor="text1"/>
          <w:sz w:val="20"/>
          <w:szCs w:val="20"/>
          <w:lang w:val="en-US"/>
        </w:rPr>
        <w:t>Aristotele</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libro</w:t>
      </w:r>
      <w:proofErr w:type="spellEnd"/>
      <w:r w:rsidRPr="009D7635">
        <w:rPr>
          <w:rFonts w:ascii="Times New Roman" w:hAnsi="Times New Roman" w:cs="Times New Roman"/>
          <w:i/>
          <w:color w:val="000000" w:themeColor="text1"/>
          <w:sz w:val="20"/>
          <w:szCs w:val="20"/>
          <w:lang w:val="en-US"/>
        </w:rPr>
        <w:t xml:space="preserve"> de anima: ‘Anima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primus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phisici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organici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vitam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habentis</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This supposedly agrees with Augustine DSEA 6, which states: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substance </w:t>
      </w:r>
      <w:proofErr w:type="spellStart"/>
      <w:r w:rsidRPr="009D7635">
        <w:rPr>
          <w:rFonts w:ascii="Times New Roman" w:hAnsi="Times New Roman" w:cs="Times New Roman"/>
          <w:i/>
          <w:color w:val="000000" w:themeColor="text1"/>
          <w:sz w:val="20"/>
          <w:szCs w:val="20"/>
          <w:lang w:val="en-US"/>
        </w:rPr>
        <w:t>quaedam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racoons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participio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regendo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accomodata</w:t>
      </w:r>
      <w:proofErr w:type="spellEnd"/>
      <w:r w:rsidRPr="009D7635">
        <w:rPr>
          <w:rFonts w:ascii="Times New Roman" w:hAnsi="Times New Roman" w:cs="Times New Roman"/>
          <w:i/>
          <w:color w:val="000000" w:themeColor="text1"/>
          <w:sz w:val="20"/>
          <w:szCs w:val="20"/>
          <w:lang w:val="en-US"/>
        </w:rPr>
        <w:t>.</w:t>
      </w:r>
    </w:p>
  </w:footnote>
  <w:footnote w:id="363">
    <w:p w14:paraId="624C636F"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On the translations see L. </w:t>
      </w:r>
      <w:proofErr w:type="spellStart"/>
      <w:r w:rsidRPr="009D7635">
        <w:rPr>
          <w:rFonts w:ascii="Times New Roman" w:hAnsi="Times New Roman" w:cs="Times New Roman"/>
          <w:color w:val="000000" w:themeColor="text1"/>
        </w:rPr>
        <w:t>Minio-Paluello</w:t>
      </w:r>
      <w:proofErr w:type="spellEnd"/>
      <w:r w:rsidRPr="009D7635">
        <w:rPr>
          <w:rFonts w:ascii="Times New Roman" w:hAnsi="Times New Roman" w:cs="Times New Roman"/>
          <w:color w:val="000000" w:themeColor="text1"/>
        </w:rPr>
        <w:t xml:space="preserve">, ‘Le </w:t>
      </w:r>
      <w:proofErr w:type="spellStart"/>
      <w:r w:rsidRPr="009D7635">
        <w:rPr>
          <w:rFonts w:ascii="Times New Roman" w:hAnsi="Times New Roman" w:cs="Times New Roman"/>
          <w:color w:val="000000" w:themeColor="text1"/>
        </w:rPr>
        <w:t>texte</w:t>
      </w:r>
      <w:proofErr w:type="spellEnd"/>
      <w:r w:rsidRPr="009D7635">
        <w:rPr>
          <w:rFonts w:ascii="Times New Roman" w:hAnsi="Times New Roman" w:cs="Times New Roman"/>
          <w:color w:val="000000" w:themeColor="text1"/>
        </w:rPr>
        <w:t xml:space="preserve"> du </w:t>
      </w:r>
      <w:r w:rsidRPr="009D7635">
        <w:rPr>
          <w:rFonts w:ascii="Times New Roman" w:hAnsi="Times New Roman" w:cs="Times New Roman"/>
          <w:i/>
          <w:iCs/>
          <w:color w:val="000000" w:themeColor="text1"/>
        </w:rPr>
        <w:t>De anima</w:t>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d’Aristote</w:t>
      </w:r>
      <w:proofErr w:type="spellEnd"/>
      <w:r w:rsidRPr="009D7635">
        <w:rPr>
          <w:rFonts w:ascii="Times New Roman" w:hAnsi="Times New Roman" w:cs="Times New Roman"/>
          <w:color w:val="000000" w:themeColor="text1"/>
        </w:rPr>
        <w:t xml:space="preserve">: la tradition </w:t>
      </w:r>
      <w:proofErr w:type="spellStart"/>
      <w:r w:rsidRPr="009D7635">
        <w:rPr>
          <w:rFonts w:ascii="Times New Roman" w:hAnsi="Times New Roman" w:cs="Times New Roman"/>
          <w:color w:val="000000" w:themeColor="text1"/>
        </w:rPr>
        <w:t>latine</w:t>
      </w:r>
      <w:proofErr w:type="spellEnd"/>
      <w:r w:rsidRPr="009D7635">
        <w:rPr>
          <w:rFonts w:ascii="Times New Roman" w:hAnsi="Times New Roman" w:cs="Times New Roman"/>
          <w:color w:val="000000" w:themeColor="text1"/>
        </w:rPr>
        <w:t xml:space="preserve"> avant 1500,’ chapter 14, 250-76; the later translation of William of Moerbeke, in use by 1270s corrected numerous problems with the earlier translations off John of Venice, including poor word choice.</w:t>
      </w:r>
    </w:p>
  </w:footnote>
  <w:footnote w:id="364">
    <w:p w14:paraId="278F82C0"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Aristotle,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412a27.</w:t>
      </w:r>
    </w:p>
  </w:footnote>
  <w:footnote w:id="365">
    <w:p w14:paraId="4797C908" w14:textId="796C9BE7"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Magdalena </w:t>
      </w:r>
      <w:proofErr w:type="spellStart"/>
      <w:r w:rsidRPr="009D7635">
        <w:rPr>
          <w:rFonts w:ascii="Times New Roman" w:hAnsi="Times New Roman" w:cs="Times New Roman"/>
          <w:color w:val="000000" w:themeColor="text1"/>
          <w:sz w:val="20"/>
          <w:szCs w:val="20"/>
        </w:rPr>
        <w:t>Bieniak</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The Soul-Body Problem at Paris</w:t>
      </w:r>
      <w:r w:rsidRPr="009D7635">
        <w:rPr>
          <w:rFonts w:ascii="Times New Roman" w:hAnsi="Times New Roman" w:cs="Times New Roman"/>
          <w:color w:val="000000" w:themeColor="text1"/>
          <w:sz w:val="20"/>
          <w:szCs w:val="20"/>
        </w:rPr>
        <w:t xml:space="preserve">, 13. This definition of the soul as ‘first act’ is another one that Aristotle gives following his first definition, and he uses the two definitions interchangeably. See Sander De Boer, </w:t>
      </w:r>
      <w:r w:rsidRPr="009D7635">
        <w:rPr>
          <w:rFonts w:ascii="Times New Roman" w:hAnsi="Times New Roman" w:cs="Times New Roman"/>
          <w:i/>
          <w:color w:val="000000" w:themeColor="text1"/>
          <w:sz w:val="20"/>
          <w:szCs w:val="20"/>
        </w:rPr>
        <w:t xml:space="preserve">The Science of the Soul: The Commentary Tradition on Aristotle’s De anima, c. 1260-1360 </w:t>
      </w:r>
      <w:r w:rsidRPr="009D7635">
        <w:rPr>
          <w:rFonts w:ascii="Times New Roman" w:hAnsi="Times New Roman" w:cs="Times New Roman"/>
          <w:color w:val="000000" w:themeColor="text1"/>
          <w:sz w:val="20"/>
          <w:szCs w:val="20"/>
        </w:rPr>
        <w:t>(Leuven: Leuven University Press, 2017), 125. As de Boer elaborates, ‘being a substance qua form already implies being the first actuality, since the substantial form is that which by definition gives the first actuality to a substance,’ realising its potential for actual existence.</w:t>
      </w:r>
    </w:p>
  </w:footnote>
  <w:footnote w:id="366">
    <w:p w14:paraId="2508041C" w14:textId="5573625D" w:rsidR="00B93ED5" w:rsidRPr="009D7635" w:rsidRDefault="00B93ED5" w:rsidP="007C038D">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The translation of Aristotle is contained in </w:t>
      </w:r>
      <w:r w:rsidR="00E47D4C" w:rsidRPr="009D7635">
        <w:rPr>
          <w:rFonts w:ascii="Times New Roman" w:hAnsi="Times New Roman" w:cs="Times New Roman"/>
          <w:color w:val="000000" w:themeColor="text1"/>
          <w:sz w:val="20"/>
          <w:szCs w:val="20"/>
        </w:rPr>
        <w:t xml:space="preserve">a </w:t>
      </w:r>
      <w:r w:rsidRPr="009D7635">
        <w:rPr>
          <w:rFonts w:ascii="Times New Roman" w:hAnsi="Times New Roman" w:cs="Times New Roman"/>
          <w:color w:val="000000" w:themeColor="text1"/>
          <w:sz w:val="20"/>
          <w:szCs w:val="20"/>
        </w:rPr>
        <w:t xml:space="preserve">lemma translated from Arabic, as noted by </w:t>
      </w:r>
      <w:proofErr w:type="spellStart"/>
      <w:r w:rsidRPr="009D7635">
        <w:rPr>
          <w:rFonts w:ascii="Times New Roman" w:hAnsi="Times New Roman" w:cs="Times New Roman"/>
          <w:color w:val="000000" w:themeColor="text1"/>
          <w:sz w:val="20"/>
          <w:szCs w:val="20"/>
        </w:rPr>
        <w:t>Minio-Paluello</w:t>
      </w:r>
      <w:proofErr w:type="spellEnd"/>
      <w:r w:rsidRPr="009D7635">
        <w:rPr>
          <w:rFonts w:ascii="Times New Roman" w:hAnsi="Times New Roman" w:cs="Times New Roman"/>
          <w:color w:val="000000" w:themeColor="text1"/>
          <w:sz w:val="20"/>
          <w:szCs w:val="20"/>
        </w:rPr>
        <w:t xml:space="preserve"> in ‘Le </w:t>
      </w:r>
      <w:proofErr w:type="spellStart"/>
      <w:r w:rsidRPr="009D7635">
        <w:rPr>
          <w:rFonts w:ascii="Times New Roman" w:hAnsi="Times New Roman" w:cs="Times New Roman"/>
          <w:color w:val="000000" w:themeColor="text1"/>
          <w:sz w:val="20"/>
          <w:szCs w:val="20"/>
        </w:rPr>
        <w:t>texte</w:t>
      </w:r>
      <w:proofErr w:type="spellEnd"/>
      <w:r w:rsidRPr="009D7635">
        <w:rPr>
          <w:rFonts w:ascii="Times New Roman" w:hAnsi="Times New Roman" w:cs="Times New Roman"/>
          <w:color w:val="000000" w:themeColor="text1"/>
          <w:sz w:val="20"/>
          <w:szCs w:val="20"/>
        </w:rPr>
        <w:t xml:space="preserve"> du </w:t>
      </w:r>
      <w:r w:rsidRPr="009D7635">
        <w:rPr>
          <w:rFonts w:ascii="Times New Roman" w:hAnsi="Times New Roman" w:cs="Times New Roman"/>
          <w:i/>
          <w:iCs/>
          <w:color w:val="000000" w:themeColor="text1"/>
          <w:sz w:val="20"/>
          <w:szCs w:val="20"/>
        </w:rPr>
        <w:t>De anima</w:t>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d’Aristote</w:t>
      </w:r>
      <w:proofErr w:type="spellEnd"/>
      <w:r w:rsidRPr="009D7635">
        <w:rPr>
          <w:rFonts w:ascii="Times New Roman" w:hAnsi="Times New Roman" w:cs="Times New Roman"/>
          <w:color w:val="000000" w:themeColor="text1"/>
          <w:sz w:val="20"/>
          <w:szCs w:val="20"/>
        </w:rPr>
        <w:t xml:space="preserve">,’ 270. See </w:t>
      </w:r>
      <w:proofErr w:type="spellStart"/>
      <w:r w:rsidRPr="009D7635">
        <w:rPr>
          <w:rFonts w:ascii="Times New Roman" w:hAnsi="Times New Roman" w:cs="Times New Roman"/>
          <w:bCs/>
          <w:i/>
          <w:iCs/>
          <w:color w:val="000000" w:themeColor="text1"/>
          <w:sz w:val="20"/>
          <w:szCs w:val="20"/>
        </w:rPr>
        <w:t>Averrois</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Cordubensis</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Commentarium</w:t>
      </w:r>
      <w:proofErr w:type="spellEnd"/>
      <w:r w:rsidRPr="009D7635">
        <w:rPr>
          <w:rFonts w:ascii="Times New Roman" w:hAnsi="Times New Roman" w:cs="Times New Roman"/>
          <w:bCs/>
          <w:i/>
          <w:iCs/>
          <w:color w:val="000000" w:themeColor="text1"/>
          <w:sz w:val="20"/>
          <w:szCs w:val="20"/>
        </w:rPr>
        <w:t xml:space="preserve"> Magnum in </w:t>
      </w:r>
      <w:proofErr w:type="spellStart"/>
      <w:r w:rsidRPr="009D7635">
        <w:rPr>
          <w:rFonts w:ascii="Times New Roman" w:hAnsi="Times New Roman" w:cs="Times New Roman"/>
          <w:bCs/>
          <w:i/>
          <w:iCs/>
          <w:color w:val="000000" w:themeColor="text1"/>
          <w:sz w:val="20"/>
          <w:szCs w:val="20"/>
        </w:rPr>
        <w:t>Aristotelis</w:t>
      </w:r>
      <w:proofErr w:type="spellEnd"/>
      <w:r w:rsidRPr="009D7635">
        <w:rPr>
          <w:rFonts w:ascii="Times New Roman" w:hAnsi="Times New Roman" w:cs="Times New Roman"/>
          <w:bCs/>
          <w:i/>
          <w:iCs/>
          <w:color w:val="000000" w:themeColor="text1"/>
          <w:sz w:val="20"/>
          <w:szCs w:val="20"/>
        </w:rPr>
        <w:t xml:space="preserve"> De Anima </w:t>
      </w:r>
      <w:proofErr w:type="spellStart"/>
      <w:r w:rsidRPr="009D7635">
        <w:rPr>
          <w:rFonts w:ascii="Times New Roman" w:hAnsi="Times New Roman" w:cs="Times New Roman"/>
          <w:bCs/>
          <w:i/>
          <w:iCs/>
          <w:color w:val="000000" w:themeColor="text1"/>
          <w:sz w:val="20"/>
          <w:szCs w:val="20"/>
        </w:rPr>
        <w:t>Libros</w:t>
      </w:r>
      <w:proofErr w:type="spellEnd"/>
      <w:r w:rsidRPr="009D7635">
        <w:rPr>
          <w:rFonts w:ascii="Times New Roman" w:hAnsi="Times New Roman" w:cs="Times New Roman"/>
          <w:bCs/>
          <w:i/>
          <w:iCs/>
          <w:color w:val="000000" w:themeColor="text1"/>
          <w:sz w:val="20"/>
          <w:szCs w:val="20"/>
        </w:rPr>
        <w:t xml:space="preserve">, </w:t>
      </w:r>
      <w:r w:rsidRPr="009D7635">
        <w:rPr>
          <w:rFonts w:ascii="Times New Roman" w:hAnsi="Times New Roman" w:cs="Times New Roman"/>
          <w:bCs/>
          <w:color w:val="000000" w:themeColor="text1"/>
          <w:sz w:val="20"/>
          <w:szCs w:val="20"/>
        </w:rPr>
        <w:t xml:space="preserve">ed. F.S. Crawford (Cambridge, Mass., 1953), 136: </w:t>
      </w:r>
      <w:r w:rsidRPr="009D7635">
        <w:rPr>
          <w:rFonts w:ascii="Times New Roman" w:hAnsi="Times New Roman" w:cs="Times New Roman"/>
          <w:bCs/>
          <w:i/>
          <w:color w:val="000000" w:themeColor="text1"/>
          <w:sz w:val="20"/>
          <w:szCs w:val="20"/>
        </w:rPr>
        <w:t xml:space="preserve">Anima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prima </w:t>
      </w:r>
      <w:proofErr w:type="spellStart"/>
      <w:r w:rsidRPr="009D7635">
        <w:rPr>
          <w:rFonts w:ascii="Times New Roman" w:hAnsi="Times New Roman" w:cs="Times New Roman"/>
          <w:bCs/>
          <w:i/>
          <w:color w:val="000000" w:themeColor="text1"/>
          <w:sz w:val="20"/>
          <w:szCs w:val="20"/>
        </w:rPr>
        <w:t>perfectio</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corporis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naturalis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habentis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vitam</w:t>
      </w:r>
      <w:proofErr w:type="spellEnd"/>
      <w:r w:rsidRPr="009D7635">
        <w:rPr>
          <w:rFonts w:ascii="Times New Roman" w:hAnsi="Times New Roman" w:cs="Times New Roman"/>
          <w:bCs/>
          <w:i/>
          <w:color w:val="000000" w:themeColor="text1"/>
          <w:sz w:val="20"/>
          <w:szCs w:val="20"/>
        </w:rPr>
        <w:t xml:space="preserve"> in </w:t>
      </w:r>
      <w:proofErr w:type="spellStart"/>
      <w:r w:rsidRPr="009D7635">
        <w:rPr>
          <w:rFonts w:ascii="Times New Roman" w:hAnsi="Times New Roman" w:cs="Times New Roman"/>
          <w:bCs/>
          <w:i/>
          <w:color w:val="000000" w:themeColor="text1"/>
          <w:sz w:val="20"/>
          <w:szCs w:val="20"/>
        </w:rPr>
        <w:t>potentia</w:t>
      </w:r>
      <w:proofErr w:type="spellEnd"/>
      <w:r w:rsidRPr="009D7635">
        <w:rPr>
          <w:rFonts w:ascii="Times New Roman" w:hAnsi="Times New Roman" w:cs="Times New Roman"/>
          <w:bCs/>
          <w:i/>
          <w:color w:val="000000" w:themeColor="text1"/>
          <w:sz w:val="20"/>
          <w:szCs w:val="20"/>
        </w:rPr>
        <w:t xml:space="preserve">. Et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secundum</w:t>
      </w:r>
      <w:proofErr w:type="spellEnd"/>
      <w:r w:rsidRPr="009D7635">
        <w:rPr>
          <w:rFonts w:ascii="Times New Roman" w:hAnsi="Times New Roman" w:cs="Times New Roman"/>
          <w:bCs/>
          <w:i/>
          <w:color w:val="000000" w:themeColor="text1"/>
          <w:sz w:val="20"/>
          <w:szCs w:val="20"/>
        </w:rPr>
        <w:t xml:space="preserve"> quod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organicum</w:t>
      </w:r>
      <w:proofErr w:type="spellEnd"/>
      <w:r w:rsidRPr="009D7635">
        <w:rPr>
          <w:rFonts w:ascii="Times New Roman" w:hAnsi="Times New Roman" w:cs="Times New Roman"/>
          <w:bCs/>
          <w:i/>
          <w:color w:val="000000" w:themeColor="text1"/>
          <w:sz w:val="20"/>
          <w:szCs w:val="20"/>
        </w:rPr>
        <w:t xml:space="preserve"> </w:t>
      </w:r>
      <w:r w:rsidRPr="009D7635">
        <w:rPr>
          <w:rFonts w:ascii="Times New Roman" w:hAnsi="Times New Roman" w:cs="Times New Roman"/>
          <w:bCs/>
          <w:color w:val="000000" w:themeColor="text1"/>
          <w:sz w:val="20"/>
          <w:szCs w:val="20"/>
        </w:rPr>
        <w:t>(</w:t>
      </w:r>
      <w:r w:rsidRPr="009D7635">
        <w:rPr>
          <w:rFonts w:ascii="Times New Roman" w:hAnsi="Times New Roman" w:cs="Times New Roman"/>
          <w:color w:val="000000" w:themeColor="text1"/>
          <w:sz w:val="20"/>
          <w:szCs w:val="20"/>
        </w:rPr>
        <w:t xml:space="preserve">The soul is </w:t>
      </w:r>
      <w:r w:rsidRPr="009D7635">
        <w:rPr>
          <w:rFonts w:ascii="Times New Roman" w:hAnsi="Times New Roman" w:cs="Times New Roman"/>
          <w:bCs/>
          <w:color w:val="000000" w:themeColor="text1"/>
          <w:sz w:val="20"/>
          <w:szCs w:val="20"/>
        </w:rPr>
        <w:t xml:space="preserve">the first perfection of a natural organic body having the potentiality for life). See also 138: </w:t>
      </w:r>
      <w:proofErr w:type="spellStart"/>
      <w:r w:rsidRPr="009D7635">
        <w:rPr>
          <w:rFonts w:ascii="Times New Roman" w:hAnsi="Times New Roman" w:cs="Times New Roman"/>
          <w:bCs/>
          <w:i/>
          <w:color w:val="000000" w:themeColor="text1"/>
          <w:sz w:val="20"/>
          <w:szCs w:val="20"/>
        </w:rPr>
        <w:t>Si</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igitur</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aliquod</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universale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dicendum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in omni anima, </w:t>
      </w:r>
      <w:proofErr w:type="spellStart"/>
      <w:r w:rsidRPr="009D7635">
        <w:rPr>
          <w:rFonts w:ascii="Times New Roman" w:hAnsi="Times New Roman" w:cs="Times New Roman"/>
          <w:bCs/>
          <w:i/>
          <w:color w:val="000000" w:themeColor="text1"/>
          <w:sz w:val="20"/>
          <w:szCs w:val="20"/>
        </w:rPr>
        <w:t>dicemus</w:t>
      </w:r>
      <w:proofErr w:type="spellEnd"/>
      <w:r w:rsidRPr="009D7635">
        <w:rPr>
          <w:rFonts w:ascii="Times New Roman" w:hAnsi="Times New Roman" w:cs="Times New Roman"/>
          <w:bCs/>
          <w:i/>
          <w:color w:val="000000" w:themeColor="text1"/>
          <w:sz w:val="20"/>
          <w:szCs w:val="20"/>
        </w:rPr>
        <w:t xml:space="preserve"> quod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prima </w:t>
      </w:r>
      <w:proofErr w:type="spellStart"/>
      <w:r w:rsidRPr="009D7635">
        <w:rPr>
          <w:rFonts w:ascii="Times New Roman" w:hAnsi="Times New Roman" w:cs="Times New Roman"/>
          <w:bCs/>
          <w:i/>
          <w:color w:val="000000" w:themeColor="text1"/>
          <w:sz w:val="20"/>
          <w:szCs w:val="20"/>
        </w:rPr>
        <w:t>perfectio</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corporis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naturalis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organici</w:t>
      </w:r>
      <w:proofErr w:type="spellEnd"/>
      <w:r w:rsidRPr="009D7635">
        <w:rPr>
          <w:rFonts w:ascii="Times New Roman" w:hAnsi="Times New Roman" w:cs="Times New Roman"/>
          <w:bCs/>
          <w:color w:val="000000" w:themeColor="text1"/>
          <w:sz w:val="20"/>
          <w:szCs w:val="20"/>
        </w:rPr>
        <w:t xml:space="preserve">. </w:t>
      </w:r>
    </w:p>
  </w:footnote>
  <w:footnote w:id="367">
    <w:p w14:paraId="3F927599"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The Soul-Body Problem at Paris</w:t>
      </w:r>
      <w:r w:rsidRPr="009D7635">
        <w:rPr>
          <w:rFonts w:ascii="Times New Roman" w:hAnsi="Times New Roman" w:cs="Times New Roman"/>
          <w:color w:val="000000" w:themeColor="text1"/>
        </w:rPr>
        <w:t>, 14.</w:t>
      </w:r>
    </w:p>
  </w:footnote>
  <w:footnote w:id="368">
    <w:p w14:paraId="70B636BC" w14:textId="0A4FDE96" w:rsidR="00B93ED5" w:rsidRPr="009D7635" w:rsidRDefault="00B93ED5" w:rsidP="007C038D">
      <w:pPr>
        <w:autoSpaceDE w:val="0"/>
        <w:autoSpaceDN w:val="0"/>
        <w:adjustRightInd w:val="0"/>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This definition reads as follows: </w:t>
      </w:r>
      <w:r w:rsidRPr="009D7635">
        <w:rPr>
          <w:rFonts w:ascii="Times New Roman" w:hAnsi="Times New Roman" w:cs="Times New Roman"/>
          <w:i/>
          <w:color w:val="000000" w:themeColor="text1"/>
          <w:sz w:val="20"/>
          <w:szCs w:val="20"/>
        </w:rPr>
        <w:t xml:space="preserve">Anima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prima </w:t>
      </w:r>
      <w:proofErr w:type="spellStart"/>
      <w:r w:rsidRPr="009D7635">
        <w:rPr>
          <w:rFonts w:ascii="Times New Roman" w:hAnsi="Times New Roman" w:cs="Times New Roman"/>
          <w:i/>
          <w:color w:val="000000" w:themeColor="text1"/>
          <w:sz w:val="20"/>
          <w:szCs w:val="20"/>
        </w:rPr>
        <w:t>perfectio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naturalis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habentis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vitam</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potentia</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See Sander De Boer, </w:t>
      </w:r>
      <w:r w:rsidRPr="009D7635">
        <w:rPr>
          <w:rFonts w:ascii="Times New Roman" w:hAnsi="Times New Roman" w:cs="Times New Roman"/>
          <w:i/>
          <w:color w:val="000000" w:themeColor="text1"/>
          <w:sz w:val="20"/>
          <w:szCs w:val="20"/>
        </w:rPr>
        <w:t>The Science of the Soul</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123. The slightly later Greco-Latin translation of William Moerbeke reads: </w:t>
      </w:r>
      <w:r w:rsidRPr="009D7635">
        <w:rPr>
          <w:rFonts w:ascii="Times New Roman" w:hAnsi="Times New Roman" w:cs="Times New Roman"/>
          <w:i/>
          <w:color w:val="000000" w:themeColor="text1"/>
          <w:sz w:val="20"/>
          <w:szCs w:val="20"/>
        </w:rPr>
        <w:t xml:space="preserve">Anima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primus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physici</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potentia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vitam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habentis</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D.A. Callus, ‘The Treatise of John </w:t>
      </w:r>
      <w:proofErr w:type="spellStart"/>
      <w:r w:rsidRPr="009D7635">
        <w:rPr>
          <w:rFonts w:ascii="Times New Roman" w:hAnsi="Times New Roman" w:cs="Times New Roman"/>
          <w:color w:val="000000" w:themeColor="text1"/>
          <w:sz w:val="20"/>
          <w:szCs w:val="20"/>
          <w:lang w:val="en-US"/>
        </w:rPr>
        <w:t>Blund</w:t>
      </w:r>
      <w:proofErr w:type="spellEnd"/>
      <w:r w:rsidRPr="009D7635">
        <w:rPr>
          <w:rFonts w:ascii="Times New Roman" w:hAnsi="Times New Roman" w:cs="Times New Roman"/>
          <w:color w:val="000000" w:themeColor="text1"/>
          <w:sz w:val="20"/>
          <w:szCs w:val="20"/>
          <w:lang w:val="en-US"/>
        </w:rPr>
        <w:t xml:space="preserve"> on the Soul’, 491, lists several variants of the definition that were used in the early thirteenth century, all of which contain the term ‘</w:t>
      </w:r>
      <w:proofErr w:type="spellStart"/>
      <w:r w:rsidRPr="009D7635">
        <w:rPr>
          <w:rFonts w:ascii="Times New Roman" w:hAnsi="Times New Roman" w:cs="Times New Roman"/>
          <w:color w:val="000000" w:themeColor="text1"/>
          <w:sz w:val="20"/>
          <w:szCs w:val="20"/>
          <w:lang w:val="en-US"/>
        </w:rPr>
        <w:t>perfectio</w:t>
      </w:r>
      <w:proofErr w:type="spellEnd"/>
      <w:r w:rsidRPr="009D7635">
        <w:rPr>
          <w:rFonts w:ascii="Times New Roman" w:hAnsi="Times New Roman" w:cs="Times New Roman"/>
          <w:color w:val="000000" w:themeColor="text1"/>
          <w:sz w:val="20"/>
          <w:szCs w:val="20"/>
          <w:lang w:val="en-US"/>
        </w:rPr>
        <w:t>’.</w:t>
      </w:r>
    </w:p>
  </w:footnote>
  <w:footnote w:id="369">
    <w:p w14:paraId="195EC76E" w14:textId="0F58DF67" w:rsidR="00B93ED5" w:rsidRPr="009D7635" w:rsidRDefault="00B93ED5" w:rsidP="007C038D">
      <w:pPr>
        <w:rPr>
          <w:rFonts w:ascii="Times New Roman" w:hAnsi="Times New Roman" w:cs="Times New Roman"/>
          <w:bCs/>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bCs/>
          <w:i/>
          <w:color w:val="000000" w:themeColor="text1"/>
          <w:sz w:val="20"/>
          <w:szCs w:val="20"/>
          <w:lang w:val="en-US"/>
        </w:rPr>
        <w:t xml:space="preserve">Anima </w:t>
      </w:r>
      <w:proofErr w:type="spellStart"/>
      <w:r w:rsidRPr="009D7635">
        <w:rPr>
          <w:rFonts w:ascii="Times New Roman" w:hAnsi="Times New Roman" w:cs="Times New Roman"/>
          <w:bCs/>
          <w:i/>
          <w:color w:val="000000" w:themeColor="text1"/>
          <w:sz w:val="20"/>
          <w:szCs w:val="20"/>
          <w:lang w:val="en-US"/>
        </w:rPr>
        <w:t>est</w:t>
      </w:r>
      <w:proofErr w:type="spellEnd"/>
      <w:r w:rsidRPr="009D7635">
        <w:rPr>
          <w:rFonts w:ascii="Times New Roman" w:hAnsi="Times New Roman" w:cs="Times New Roman"/>
          <w:bCs/>
          <w:i/>
          <w:color w:val="000000" w:themeColor="text1"/>
          <w:sz w:val="20"/>
          <w:szCs w:val="20"/>
          <w:lang w:val="en-US"/>
        </w:rPr>
        <w:t xml:space="preserve"> prima </w:t>
      </w:r>
      <w:proofErr w:type="spellStart"/>
      <w:r w:rsidRPr="009D7635">
        <w:rPr>
          <w:rFonts w:ascii="Times New Roman" w:hAnsi="Times New Roman" w:cs="Times New Roman"/>
          <w:bCs/>
          <w:i/>
          <w:color w:val="000000" w:themeColor="text1"/>
          <w:sz w:val="20"/>
          <w:szCs w:val="20"/>
          <w:lang w:val="en-US"/>
        </w:rPr>
        <w:t>perfectio</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corporis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naturalis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instrumentalis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viventis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potentialiter</w:t>
      </w:r>
      <w:proofErr w:type="spellEnd"/>
      <w:r w:rsidRPr="009D7635">
        <w:rPr>
          <w:rFonts w:ascii="Times New Roman" w:hAnsi="Times New Roman" w:cs="Times New Roman"/>
          <w:bCs/>
          <w:i/>
          <w:color w:val="000000" w:themeColor="text1"/>
          <w:sz w:val="20"/>
          <w:szCs w:val="20"/>
          <w:lang w:val="en-US"/>
        </w:rPr>
        <w:t>.</w:t>
      </w:r>
      <w:r w:rsidRPr="009D7635">
        <w:rPr>
          <w:rFonts w:ascii="Times New Roman" w:hAnsi="Times New Roman" w:cs="Times New Roman"/>
          <w:bCs/>
          <w:color w:val="000000" w:themeColor="text1"/>
          <w:sz w:val="20"/>
          <w:szCs w:val="20"/>
          <w:lang w:val="en-US"/>
        </w:rPr>
        <w:t xml:space="preserve"> See</w:t>
      </w:r>
      <w:r w:rsidRPr="009D7635">
        <w:rPr>
          <w:rFonts w:ascii="Times New Roman" w:hAnsi="Times New Roman" w:cs="Times New Roman"/>
          <w:color w:val="000000" w:themeColor="text1"/>
          <w:sz w:val="20"/>
          <w:szCs w:val="20"/>
        </w:rPr>
        <w:t xml:space="preserve"> Richard C. Dales, </w:t>
      </w:r>
      <w:r w:rsidRPr="009D7635">
        <w:rPr>
          <w:rFonts w:ascii="Times New Roman" w:hAnsi="Times New Roman" w:cs="Times New Roman"/>
          <w:i/>
          <w:color w:val="000000" w:themeColor="text1"/>
          <w:sz w:val="20"/>
          <w:szCs w:val="20"/>
        </w:rPr>
        <w:t>The Problem of the Rational Soul in the Thirteenth Century</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9: This version is found in </w:t>
      </w:r>
      <w:proofErr w:type="spellStart"/>
      <w:r w:rsidRPr="009D7635">
        <w:rPr>
          <w:rFonts w:ascii="Times New Roman" w:hAnsi="Times New Roman" w:cs="Times New Roman"/>
          <w:color w:val="000000" w:themeColor="text1"/>
          <w:sz w:val="20"/>
          <w:szCs w:val="20"/>
        </w:rPr>
        <w:t>Gundissalinus</w:t>
      </w:r>
      <w:proofErr w:type="spellEnd"/>
      <w:r w:rsidRPr="009D7635">
        <w:rPr>
          <w:rFonts w:ascii="Times New Roman" w:hAnsi="Times New Roman" w:cs="Times New Roman"/>
          <w:color w:val="000000" w:themeColor="text1"/>
          <w:sz w:val="20"/>
          <w:szCs w:val="20"/>
        </w:rPr>
        <w:t xml:space="preserve">; see J.T. </w:t>
      </w:r>
      <w:proofErr w:type="spellStart"/>
      <w:r w:rsidRPr="009D7635">
        <w:rPr>
          <w:rFonts w:ascii="Times New Roman" w:hAnsi="Times New Roman" w:cs="Times New Roman"/>
          <w:color w:val="000000" w:themeColor="text1"/>
          <w:sz w:val="20"/>
          <w:szCs w:val="20"/>
          <w:lang w:val="en-US"/>
        </w:rPr>
        <w:t>Muckle</w:t>
      </w:r>
      <w:proofErr w:type="spellEnd"/>
      <w:r w:rsidRPr="009D7635">
        <w:rPr>
          <w:rFonts w:ascii="Times New Roman" w:hAnsi="Times New Roman" w:cs="Times New Roman"/>
          <w:color w:val="000000" w:themeColor="text1"/>
          <w:sz w:val="20"/>
          <w:szCs w:val="20"/>
          <w:lang w:val="en-US"/>
        </w:rPr>
        <w:t xml:space="preserve">, ‘The Treatise </w:t>
      </w:r>
      <w:r w:rsidRPr="009D7635">
        <w:rPr>
          <w:rFonts w:ascii="Times New Roman" w:hAnsi="Times New Roman" w:cs="Times New Roman"/>
          <w:i/>
          <w:color w:val="000000" w:themeColor="text1"/>
          <w:sz w:val="20"/>
          <w:szCs w:val="20"/>
          <w:lang w:val="en-US"/>
        </w:rPr>
        <w:t>De anima</w:t>
      </w:r>
      <w:r w:rsidRPr="009D7635">
        <w:rPr>
          <w:rFonts w:ascii="Times New Roman" w:hAnsi="Times New Roman" w:cs="Times New Roman"/>
          <w:color w:val="000000" w:themeColor="text1"/>
          <w:sz w:val="20"/>
          <w:szCs w:val="20"/>
          <w:lang w:val="en-US"/>
        </w:rPr>
        <w:t xml:space="preserve"> of </w:t>
      </w:r>
      <w:proofErr w:type="spellStart"/>
      <w:r w:rsidRPr="009D7635">
        <w:rPr>
          <w:rFonts w:ascii="Times New Roman" w:hAnsi="Times New Roman" w:cs="Times New Roman"/>
          <w:color w:val="000000" w:themeColor="text1"/>
          <w:sz w:val="20"/>
          <w:szCs w:val="20"/>
          <w:lang w:val="en-US"/>
        </w:rPr>
        <w:t>Dominicus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Gundissalinus</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Mediaeval Studies </w:t>
      </w:r>
      <w:r w:rsidRPr="009D7635">
        <w:rPr>
          <w:rFonts w:ascii="Times New Roman" w:hAnsi="Times New Roman" w:cs="Times New Roman"/>
          <w:color w:val="000000" w:themeColor="text1"/>
          <w:sz w:val="20"/>
          <w:szCs w:val="20"/>
          <w:lang w:val="en-US"/>
        </w:rPr>
        <w:t>2 (1940)</w:t>
      </w:r>
      <w:r w:rsidR="00F22358"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40. </w:t>
      </w:r>
      <w:r w:rsidRPr="009D7635">
        <w:rPr>
          <w:rFonts w:ascii="Times New Roman" w:hAnsi="Times New Roman" w:cs="Times New Roman"/>
          <w:color w:val="000000" w:themeColor="text1"/>
          <w:sz w:val="20"/>
          <w:szCs w:val="20"/>
        </w:rPr>
        <w:t xml:space="preserve">Costa’s version stated as follows: </w:t>
      </w:r>
      <w:r w:rsidRPr="009D7635">
        <w:rPr>
          <w:rFonts w:ascii="Times New Roman" w:hAnsi="Times New Roman" w:cs="Times New Roman"/>
          <w:bCs/>
          <w:i/>
          <w:color w:val="000000" w:themeColor="text1"/>
          <w:sz w:val="20"/>
          <w:szCs w:val="20"/>
          <w:lang w:val="en-US"/>
        </w:rPr>
        <w:t xml:space="preserve">Anima </w:t>
      </w:r>
      <w:proofErr w:type="spellStart"/>
      <w:r w:rsidRPr="009D7635">
        <w:rPr>
          <w:rFonts w:ascii="Times New Roman" w:hAnsi="Times New Roman" w:cs="Times New Roman"/>
          <w:bCs/>
          <w:i/>
          <w:color w:val="000000" w:themeColor="text1"/>
          <w:sz w:val="20"/>
          <w:szCs w:val="20"/>
          <w:lang w:val="en-US"/>
        </w:rPr>
        <w:t>est</w:t>
      </w:r>
      <w:proofErr w:type="spellEnd"/>
      <w:r w:rsidRPr="009D7635">
        <w:rPr>
          <w:rFonts w:ascii="Times New Roman" w:hAnsi="Times New Roman" w:cs="Times New Roman"/>
          <w:bCs/>
          <w:i/>
          <w:color w:val="000000" w:themeColor="text1"/>
          <w:sz w:val="20"/>
          <w:szCs w:val="20"/>
          <w:lang w:val="en-US"/>
        </w:rPr>
        <w:t xml:space="preserve"> prima </w:t>
      </w:r>
      <w:proofErr w:type="spellStart"/>
      <w:r w:rsidRPr="009D7635">
        <w:rPr>
          <w:rFonts w:ascii="Times New Roman" w:hAnsi="Times New Roman" w:cs="Times New Roman"/>
          <w:bCs/>
          <w:i/>
          <w:color w:val="000000" w:themeColor="text1"/>
          <w:sz w:val="20"/>
          <w:szCs w:val="20"/>
          <w:lang w:val="en-US"/>
        </w:rPr>
        <w:t>perfectio</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corporis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naturalis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instrumentalis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viventis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potentialiter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vitam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habentis</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See Carl Sigmund Baruch (ed.), </w:t>
      </w:r>
      <w:proofErr w:type="spellStart"/>
      <w:r w:rsidRPr="009D7635">
        <w:rPr>
          <w:rFonts w:ascii="Times New Roman" w:hAnsi="Times New Roman" w:cs="Times New Roman"/>
          <w:i/>
          <w:color w:val="000000" w:themeColor="text1"/>
          <w:sz w:val="20"/>
          <w:szCs w:val="20"/>
          <w:lang w:val="en-US"/>
        </w:rPr>
        <w:t>Excerpta</w:t>
      </w:r>
      <w:proofErr w:type="spellEnd"/>
      <w:r w:rsidRPr="009D7635">
        <w:rPr>
          <w:rFonts w:ascii="Times New Roman" w:hAnsi="Times New Roman" w:cs="Times New Roman"/>
          <w:i/>
          <w:color w:val="000000" w:themeColor="text1"/>
          <w:sz w:val="20"/>
          <w:szCs w:val="20"/>
          <w:lang w:val="en-US"/>
        </w:rPr>
        <w:t xml:space="preserve"> e </w:t>
      </w:r>
      <w:proofErr w:type="spellStart"/>
      <w:r w:rsidRPr="009D7635">
        <w:rPr>
          <w:rFonts w:ascii="Times New Roman" w:hAnsi="Times New Roman" w:cs="Times New Roman"/>
          <w:i/>
          <w:color w:val="000000" w:themeColor="text1"/>
          <w:sz w:val="20"/>
          <w:szCs w:val="20"/>
          <w:lang w:val="en-US"/>
        </w:rPr>
        <w:t>libro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Alfredi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Angelici</w:t>
      </w:r>
      <w:proofErr w:type="spellEnd"/>
      <w:r w:rsidRPr="009D7635">
        <w:rPr>
          <w:rFonts w:ascii="Times New Roman" w:hAnsi="Times New Roman" w:cs="Times New Roman"/>
          <w:i/>
          <w:color w:val="000000" w:themeColor="text1"/>
          <w:sz w:val="20"/>
          <w:szCs w:val="20"/>
          <w:lang w:val="en-US"/>
        </w:rPr>
        <w:t xml:space="preserve"> De </w:t>
      </w:r>
      <w:proofErr w:type="spellStart"/>
      <w:r w:rsidRPr="009D7635">
        <w:rPr>
          <w:rFonts w:ascii="Times New Roman" w:hAnsi="Times New Roman" w:cs="Times New Roman"/>
          <w:i/>
          <w:color w:val="000000" w:themeColor="text1"/>
          <w:sz w:val="20"/>
          <w:szCs w:val="20"/>
          <w:lang w:val="en-US"/>
        </w:rPr>
        <w:t>motu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cordis</w:t>
      </w:r>
      <w:proofErr w:type="spellEnd"/>
      <w:r w:rsidRPr="009D7635">
        <w:rPr>
          <w:rFonts w:ascii="Times New Roman" w:hAnsi="Times New Roman" w:cs="Times New Roman"/>
          <w:i/>
          <w:color w:val="000000" w:themeColor="text1"/>
          <w:sz w:val="20"/>
          <w:szCs w:val="20"/>
          <w:lang w:val="en-US"/>
        </w:rPr>
        <w:t xml:space="preserve"> item Costa Ben </w:t>
      </w:r>
      <w:proofErr w:type="spellStart"/>
      <w:r w:rsidRPr="009D7635">
        <w:rPr>
          <w:rFonts w:ascii="Times New Roman" w:hAnsi="Times New Roman" w:cs="Times New Roman"/>
          <w:i/>
          <w:color w:val="000000" w:themeColor="text1"/>
          <w:sz w:val="20"/>
          <w:szCs w:val="20"/>
          <w:lang w:val="en-US"/>
        </w:rPr>
        <w:t>Lucae</w:t>
      </w:r>
      <w:proofErr w:type="spellEnd"/>
      <w:r w:rsidRPr="009D7635">
        <w:rPr>
          <w:rFonts w:ascii="Times New Roman" w:hAnsi="Times New Roman" w:cs="Times New Roman"/>
          <w:i/>
          <w:color w:val="000000" w:themeColor="text1"/>
          <w:sz w:val="20"/>
          <w:szCs w:val="20"/>
          <w:lang w:val="en-US"/>
        </w:rPr>
        <w:t xml:space="preserve"> De differentia </w:t>
      </w:r>
      <w:proofErr w:type="spellStart"/>
      <w:r w:rsidRPr="009D7635">
        <w:rPr>
          <w:rFonts w:ascii="Times New Roman" w:hAnsi="Times New Roman" w:cs="Times New Roman"/>
          <w:i/>
          <w:color w:val="000000" w:themeColor="text1"/>
          <w:sz w:val="20"/>
          <w:szCs w:val="20"/>
          <w:lang w:val="en-US"/>
        </w:rPr>
        <w:t>animae</w:t>
      </w:r>
      <w:proofErr w:type="spellEnd"/>
      <w:r w:rsidRPr="009D7635">
        <w:rPr>
          <w:rFonts w:ascii="Times New Roman" w:hAnsi="Times New Roman" w:cs="Times New Roman"/>
          <w:i/>
          <w:color w:val="000000" w:themeColor="text1"/>
          <w:sz w:val="20"/>
          <w:szCs w:val="20"/>
          <w:lang w:val="en-US"/>
        </w:rPr>
        <w:t xml:space="preserve"> et spiritus liber translates a Johanne </w:t>
      </w:r>
      <w:proofErr w:type="spellStart"/>
      <w:r w:rsidRPr="009D7635">
        <w:rPr>
          <w:rFonts w:ascii="Times New Roman" w:hAnsi="Times New Roman" w:cs="Times New Roman"/>
          <w:i/>
          <w:color w:val="000000" w:themeColor="text1"/>
          <w:sz w:val="20"/>
          <w:szCs w:val="20"/>
          <w:lang w:val="en-US"/>
        </w:rPr>
        <w:t>Hispalensi</w:t>
      </w:r>
      <w:proofErr w:type="spellEnd"/>
      <w:r w:rsidRPr="009D7635">
        <w:rPr>
          <w:rFonts w:ascii="Times New Roman" w:hAnsi="Times New Roman" w:cs="Times New Roman"/>
          <w:color w:val="000000" w:themeColor="text1"/>
          <w:sz w:val="20"/>
          <w:szCs w:val="20"/>
          <w:lang w:val="en-US"/>
        </w:rPr>
        <w:t xml:space="preserve"> (Innsbruck: </w:t>
      </w:r>
      <w:proofErr w:type="spellStart"/>
      <w:r w:rsidRPr="009D7635">
        <w:rPr>
          <w:rFonts w:ascii="Times New Roman" w:hAnsi="Times New Roman" w:cs="Times New Roman"/>
          <w:color w:val="000000" w:themeColor="text1"/>
          <w:sz w:val="20"/>
          <w:szCs w:val="20"/>
          <w:lang w:val="en-US"/>
        </w:rPr>
        <w:t>Verlag</w:t>
      </w:r>
      <w:proofErr w:type="spellEnd"/>
      <w:r w:rsidRPr="009D7635">
        <w:rPr>
          <w:rFonts w:ascii="Times New Roman" w:hAnsi="Times New Roman" w:cs="Times New Roman"/>
          <w:color w:val="000000" w:themeColor="text1"/>
          <w:sz w:val="20"/>
          <w:szCs w:val="20"/>
          <w:lang w:val="en-US"/>
        </w:rPr>
        <w:t xml:space="preserve"> der </w:t>
      </w:r>
      <w:proofErr w:type="spellStart"/>
      <w:r w:rsidRPr="009D7635">
        <w:rPr>
          <w:rFonts w:ascii="Times New Roman" w:hAnsi="Times New Roman" w:cs="Times New Roman"/>
          <w:color w:val="000000" w:themeColor="text1"/>
          <w:sz w:val="20"/>
          <w:szCs w:val="20"/>
          <w:lang w:val="en-US"/>
        </w:rPr>
        <w:t>Wagnerschen</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Universitaets</w:t>
      </w:r>
      <w:proofErr w:type="spellEnd"/>
      <w:r w:rsidRPr="009D7635">
        <w:rPr>
          <w:rFonts w:ascii="Times New Roman" w:hAnsi="Times New Roman" w:cs="Times New Roman"/>
          <w:color w:val="000000" w:themeColor="text1"/>
          <w:sz w:val="20"/>
          <w:szCs w:val="20"/>
          <w:lang w:val="en-US"/>
        </w:rPr>
        <w:t>-</w:t>
      </w:r>
      <w:proofErr w:type="spellStart"/>
      <w:r w:rsidRPr="009D7635">
        <w:rPr>
          <w:rFonts w:ascii="Times New Roman" w:hAnsi="Times New Roman" w:cs="Times New Roman"/>
          <w:color w:val="000000" w:themeColor="text1"/>
          <w:sz w:val="20"/>
          <w:szCs w:val="20"/>
          <w:lang w:val="en-US"/>
        </w:rPr>
        <w:t>Buchhandlung</w:t>
      </w:r>
      <w:proofErr w:type="spellEnd"/>
      <w:r w:rsidRPr="009D7635">
        <w:rPr>
          <w:rFonts w:ascii="Times New Roman" w:hAnsi="Times New Roman" w:cs="Times New Roman"/>
          <w:color w:val="000000" w:themeColor="text1"/>
          <w:sz w:val="20"/>
          <w:szCs w:val="20"/>
          <w:lang w:val="en-US"/>
        </w:rPr>
        <w:t xml:space="preserve">, 1878), 134. See also the excellent dissertation by Judith Carol Wilcox, ‘The Transmission and Influence of </w:t>
      </w:r>
      <w:proofErr w:type="spellStart"/>
      <w:r w:rsidRPr="009D7635">
        <w:rPr>
          <w:rFonts w:ascii="Times New Roman" w:hAnsi="Times New Roman" w:cs="Times New Roman"/>
          <w:color w:val="000000" w:themeColor="text1"/>
          <w:sz w:val="20"/>
          <w:szCs w:val="20"/>
          <w:lang w:val="en-US"/>
        </w:rPr>
        <w:t>Questa</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ibn</w:t>
      </w:r>
      <w:proofErr w:type="spellEnd"/>
      <w:r w:rsidRPr="009D7635">
        <w:rPr>
          <w:rFonts w:ascii="Times New Roman" w:hAnsi="Times New Roman" w:cs="Times New Roman"/>
          <w:color w:val="000000" w:themeColor="text1"/>
          <w:sz w:val="20"/>
          <w:szCs w:val="20"/>
          <w:lang w:val="en-US"/>
        </w:rPr>
        <w:t xml:space="preserve"> Luca’s </w:t>
      </w:r>
      <w:r w:rsidRPr="009D7635">
        <w:rPr>
          <w:rFonts w:ascii="Times New Roman" w:hAnsi="Times New Roman" w:cs="Times New Roman"/>
          <w:i/>
          <w:color w:val="000000" w:themeColor="text1"/>
          <w:sz w:val="20"/>
          <w:szCs w:val="20"/>
          <w:lang w:val="en-US"/>
        </w:rPr>
        <w:t xml:space="preserve">On the Difference </w:t>
      </w:r>
      <w:r w:rsidR="00F22358" w:rsidRPr="009D7635">
        <w:rPr>
          <w:rFonts w:ascii="Times New Roman" w:hAnsi="Times New Roman" w:cs="Times New Roman"/>
          <w:i/>
          <w:color w:val="000000" w:themeColor="text1"/>
          <w:sz w:val="20"/>
          <w:szCs w:val="20"/>
          <w:lang w:val="en-US"/>
        </w:rPr>
        <w:t>B</w:t>
      </w:r>
      <w:r w:rsidRPr="009D7635">
        <w:rPr>
          <w:rFonts w:ascii="Times New Roman" w:hAnsi="Times New Roman" w:cs="Times New Roman"/>
          <w:i/>
          <w:color w:val="000000" w:themeColor="text1"/>
          <w:sz w:val="20"/>
          <w:szCs w:val="20"/>
          <w:lang w:val="en-US"/>
        </w:rPr>
        <w:t>etween Spirit and the Soul</w:t>
      </w:r>
      <w:r w:rsidRPr="009D7635">
        <w:rPr>
          <w:rFonts w:ascii="Times New Roman" w:hAnsi="Times New Roman" w:cs="Times New Roman"/>
          <w:color w:val="000000" w:themeColor="text1"/>
          <w:sz w:val="20"/>
          <w:szCs w:val="20"/>
          <w:lang w:val="en-US"/>
        </w:rPr>
        <w:t xml:space="preserve">,’ PhD dissertation (Ann Arbor: UMI, 1985), 228. </w:t>
      </w:r>
    </w:p>
  </w:footnote>
  <w:footnote w:id="370">
    <w:p w14:paraId="6415879F" w14:textId="77777777" w:rsidR="00B93ED5" w:rsidRPr="009D7635" w:rsidRDefault="00B93ED5" w:rsidP="007C038D">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Avicenna, </w:t>
      </w:r>
      <w:r w:rsidRPr="009D7635">
        <w:rPr>
          <w:rFonts w:ascii="Times New Roman" w:hAnsi="Times New Roman" w:cs="Times New Roman"/>
          <w:i/>
          <w:color w:val="000000" w:themeColor="text1"/>
          <w:sz w:val="20"/>
          <w:szCs w:val="20"/>
        </w:rPr>
        <w:t>De anima</w:t>
      </w:r>
      <w:r w:rsidRPr="009D7635">
        <w:rPr>
          <w:rFonts w:ascii="Times New Roman" w:hAnsi="Times New Roman" w:cs="Times New Roman"/>
          <w:color w:val="000000" w:themeColor="text1"/>
          <w:sz w:val="20"/>
          <w:szCs w:val="20"/>
        </w:rPr>
        <w:t xml:space="preserve"> V.1. Magdalena </w:t>
      </w:r>
      <w:proofErr w:type="spellStart"/>
      <w:r w:rsidRPr="009D7635">
        <w:rPr>
          <w:rFonts w:ascii="Times New Roman" w:hAnsi="Times New Roman" w:cs="Times New Roman"/>
          <w:color w:val="000000" w:themeColor="text1"/>
          <w:sz w:val="20"/>
          <w:szCs w:val="20"/>
        </w:rPr>
        <w:t>Bieniak</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The Soul-Body Problem at Paris</w:t>
      </w:r>
      <w:r w:rsidRPr="009D7635">
        <w:rPr>
          <w:rFonts w:ascii="Times New Roman" w:hAnsi="Times New Roman" w:cs="Times New Roman"/>
          <w:color w:val="000000" w:themeColor="text1"/>
          <w:sz w:val="20"/>
          <w:szCs w:val="20"/>
        </w:rPr>
        <w:t>, 17: ‘</w:t>
      </w:r>
      <w:r w:rsidRPr="009D7635">
        <w:rPr>
          <w:rFonts w:ascii="Times New Roman" w:hAnsi="Times New Roman" w:cs="Times New Roman"/>
          <w:color w:val="000000" w:themeColor="text1"/>
          <w:sz w:val="20"/>
          <w:szCs w:val="20"/>
          <w:lang w:val="en-US"/>
        </w:rPr>
        <w:t xml:space="preserve">The Arabic definition of the soul as perfection of the body enters the Latin West not only through Avicenna, but also thanks to Costa Ben Luca’s treatise </w:t>
      </w:r>
      <w:r w:rsidRPr="009D7635">
        <w:rPr>
          <w:rFonts w:ascii="Times New Roman" w:hAnsi="Times New Roman" w:cs="Times New Roman"/>
          <w:i/>
          <w:color w:val="000000" w:themeColor="text1"/>
          <w:sz w:val="20"/>
          <w:szCs w:val="20"/>
          <w:lang w:val="en-US"/>
        </w:rPr>
        <w:t xml:space="preserve">De differentia spiritus et </w:t>
      </w:r>
      <w:proofErr w:type="spellStart"/>
      <w:r w:rsidRPr="009D7635">
        <w:rPr>
          <w:rFonts w:ascii="Times New Roman" w:hAnsi="Times New Roman" w:cs="Times New Roman"/>
          <w:i/>
          <w:color w:val="000000" w:themeColor="text1"/>
          <w:sz w:val="20"/>
          <w:szCs w:val="20"/>
          <w:lang w:val="en-US"/>
        </w:rPr>
        <w:t>animae</w:t>
      </w:r>
      <w:proofErr w:type="spellEnd"/>
      <w:r w:rsidRPr="009D7635">
        <w:rPr>
          <w:rFonts w:ascii="Times New Roman" w:hAnsi="Times New Roman" w:cs="Times New Roman"/>
          <w:color w:val="000000" w:themeColor="text1"/>
          <w:sz w:val="20"/>
          <w:szCs w:val="20"/>
          <w:lang w:val="en-US"/>
        </w:rPr>
        <w:t xml:space="preserve">. It is through the latter that the definition is assimilated into the first Latin work influenced by Avicenna, i.e. the </w:t>
      </w:r>
      <w:r w:rsidRPr="009D7635">
        <w:rPr>
          <w:rFonts w:ascii="Times New Roman" w:hAnsi="Times New Roman" w:cs="Times New Roman"/>
          <w:i/>
          <w:color w:val="000000" w:themeColor="text1"/>
          <w:sz w:val="20"/>
          <w:szCs w:val="20"/>
          <w:lang w:val="en-US"/>
        </w:rPr>
        <w:t>De anima</w:t>
      </w:r>
      <w:r w:rsidRPr="009D7635">
        <w:rPr>
          <w:rFonts w:ascii="Times New Roman" w:hAnsi="Times New Roman" w:cs="Times New Roman"/>
          <w:color w:val="000000" w:themeColor="text1"/>
          <w:sz w:val="20"/>
          <w:szCs w:val="20"/>
          <w:lang w:val="en-US"/>
        </w:rPr>
        <w:t xml:space="preserve"> by </w:t>
      </w:r>
      <w:proofErr w:type="spellStart"/>
      <w:r w:rsidRPr="009D7635">
        <w:rPr>
          <w:rFonts w:ascii="Times New Roman" w:hAnsi="Times New Roman" w:cs="Times New Roman"/>
          <w:color w:val="000000" w:themeColor="text1"/>
          <w:sz w:val="20"/>
          <w:szCs w:val="20"/>
          <w:lang w:val="en-US"/>
        </w:rPr>
        <w:t>Dominicus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Gundissalinus</w:t>
      </w:r>
      <w:proofErr w:type="spellEnd"/>
      <w:r w:rsidRPr="009D7635">
        <w:rPr>
          <w:rFonts w:ascii="Times New Roman" w:hAnsi="Times New Roman" w:cs="Times New Roman"/>
          <w:color w:val="000000" w:themeColor="text1"/>
          <w:sz w:val="20"/>
          <w:szCs w:val="20"/>
          <w:lang w:val="en-US"/>
        </w:rPr>
        <w:t>.’</w:t>
      </w:r>
    </w:p>
  </w:footnote>
  <w:footnote w:id="371">
    <w:p w14:paraId="2900D59A" w14:textId="11385439" w:rsidR="00B93ED5" w:rsidRPr="009D7635" w:rsidRDefault="00B93ED5" w:rsidP="007C038D">
      <w:pPr>
        <w:autoSpaceDE w:val="0"/>
        <w:autoSpaceDN w:val="0"/>
        <w:adjustRightInd w:val="0"/>
        <w:ind w:right="26"/>
        <w:rPr>
          <w:rFonts w:ascii="Times New Roman" w:hAnsi="Times New Roman" w:cs="Times New Roman"/>
          <w:bCs/>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Richard C. Dales, </w:t>
      </w:r>
      <w:r w:rsidRPr="009D7635">
        <w:rPr>
          <w:rFonts w:ascii="Times New Roman" w:hAnsi="Times New Roman" w:cs="Times New Roman"/>
          <w:i/>
          <w:color w:val="000000" w:themeColor="text1"/>
          <w:sz w:val="20"/>
          <w:szCs w:val="20"/>
        </w:rPr>
        <w:t>The Problem of the Rational Soul in the Thirteenth Century</w:t>
      </w:r>
      <w:r w:rsidRPr="009D7635">
        <w:rPr>
          <w:rFonts w:ascii="Times New Roman" w:hAnsi="Times New Roman" w:cs="Times New Roman"/>
          <w:color w:val="000000" w:themeColor="text1"/>
          <w:sz w:val="20"/>
          <w:szCs w:val="20"/>
        </w:rPr>
        <w:t>, 8</w:t>
      </w:r>
      <w:r w:rsidR="00D104C1" w:rsidRPr="009D7635">
        <w:rPr>
          <w:rFonts w:ascii="Times New Roman" w:hAnsi="Times New Roman" w:cs="Times New Roman"/>
          <w:color w:val="000000" w:themeColor="text1"/>
          <w:sz w:val="20"/>
          <w:szCs w:val="20"/>
        </w:rPr>
        <w:t>.</w:t>
      </w:r>
    </w:p>
  </w:footnote>
  <w:footnote w:id="372">
    <w:p w14:paraId="200F2B92" w14:textId="41D30B22" w:rsidR="00B93ED5" w:rsidRPr="009D7635" w:rsidRDefault="00B93ED5" w:rsidP="007C038D">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B90BD4" w:rsidRPr="009D7635">
        <w:rPr>
          <w:rFonts w:ascii="Times New Roman" w:hAnsi="Times New Roman" w:cs="Times New Roman"/>
          <w:color w:val="000000" w:themeColor="text1"/>
          <w:sz w:val="20"/>
          <w:szCs w:val="20"/>
        </w:rPr>
        <w:t>Ibid., 9.</w:t>
      </w:r>
    </w:p>
  </w:footnote>
  <w:footnote w:id="373">
    <w:p w14:paraId="0107437B" w14:textId="09A65506" w:rsidR="00B93ED5" w:rsidRPr="009D7635" w:rsidRDefault="00B93ED5" w:rsidP="007C038D">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Averrois</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Cordubensis</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Commentarium</w:t>
      </w:r>
      <w:proofErr w:type="spellEnd"/>
      <w:r w:rsidRPr="009D7635">
        <w:rPr>
          <w:rFonts w:ascii="Times New Roman" w:hAnsi="Times New Roman" w:cs="Times New Roman"/>
          <w:bCs/>
          <w:i/>
          <w:iCs/>
          <w:color w:val="000000" w:themeColor="text1"/>
          <w:sz w:val="20"/>
          <w:szCs w:val="20"/>
        </w:rPr>
        <w:t xml:space="preserve"> Magnum in </w:t>
      </w:r>
      <w:proofErr w:type="spellStart"/>
      <w:r w:rsidRPr="009D7635">
        <w:rPr>
          <w:rFonts w:ascii="Times New Roman" w:hAnsi="Times New Roman" w:cs="Times New Roman"/>
          <w:bCs/>
          <w:i/>
          <w:iCs/>
          <w:color w:val="000000" w:themeColor="text1"/>
          <w:sz w:val="20"/>
          <w:szCs w:val="20"/>
        </w:rPr>
        <w:t>Aristotelis</w:t>
      </w:r>
      <w:proofErr w:type="spellEnd"/>
      <w:r w:rsidRPr="009D7635">
        <w:rPr>
          <w:rFonts w:ascii="Times New Roman" w:hAnsi="Times New Roman" w:cs="Times New Roman"/>
          <w:bCs/>
          <w:i/>
          <w:iCs/>
          <w:color w:val="000000" w:themeColor="text1"/>
          <w:sz w:val="20"/>
          <w:szCs w:val="20"/>
        </w:rPr>
        <w:t xml:space="preserve"> De Anima </w:t>
      </w:r>
      <w:proofErr w:type="spellStart"/>
      <w:r w:rsidRPr="009D7635">
        <w:rPr>
          <w:rFonts w:ascii="Times New Roman" w:hAnsi="Times New Roman" w:cs="Times New Roman"/>
          <w:bCs/>
          <w:i/>
          <w:iCs/>
          <w:color w:val="000000" w:themeColor="text1"/>
          <w:sz w:val="20"/>
          <w:szCs w:val="20"/>
        </w:rPr>
        <w:t>Libros</w:t>
      </w:r>
      <w:proofErr w:type="spellEnd"/>
      <w:r w:rsidRPr="009D7635">
        <w:rPr>
          <w:rFonts w:ascii="Times New Roman" w:hAnsi="Times New Roman" w:cs="Times New Roman"/>
          <w:bCs/>
          <w:i/>
          <w:iCs/>
          <w:color w:val="000000" w:themeColor="text1"/>
          <w:sz w:val="20"/>
          <w:szCs w:val="20"/>
        </w:rPr>
        <w:t xml:space="preserve">, </w:t>
      </w:r>
      <w:r w:rsidRPr="009D7635">
        <w:rPr>
          <w:rFonts w:ascii="Times New Roman" w:hAnsi="Times New Roman" w:cs="Times New Roman"/>
          <w:bCs/>
          <w:color w:val="000000" w:themeColor="text1"/>
          <w:sz w:val="20"/>
          <w:szCs w:val="20"/>
        </w:rPr>
        <w:t xml:space="preserve">ed. F.S. Crawford, 417: </w:t>
      </w:r>
      <w:proofErr w:type="spellStart"/>
      <w:r w:rsidRPr="009D7635">
        <w:rPr>
          <w:rFonts w:ascii="Times New Roman" w:hAnsi="Times New Roman" w:cs="Times New Roman"/>
          <w:bCs/>
          <w:i/>
          <w:color w:val="000000" w:themeColor="text1"/>
          <w:sz w:val="20"/>
          <w:szCs w:val="20"/>
        </w:rPr>
        <w:t>Sentiens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enim</w:t>
      </w:r>
      <w:proofErr w:type="spellEnd"/>
      <w:r w:rsidRPr="009D7635">
        <w:rPr>
          <w:rFonts w:ascii="Times New Roman" w:hAnsi="Times New Roman" w:cs="Times New Roman"/>
          <w:bCs/>
          <w:i/>
          <w:color w:val="000000" w:themeColor="text1"/>
          <w:sz w:val="20"/>
          <w:szCs w:val="20"/>
        </w:rPr>
        <w:t xml:space="preserve"> non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extra corpus; </w:t>
      </w:r>
      <w:proofErr w:type="spellStart"/>
      <w:r w:rsidRPr="009D7635">
        <w:rPr>
          <w:rFonts w:ascii="Times New Roman" w:hAnsi="Times New Roman" w:cs="Times New Roman"/>
          <w:bCs/>
          <w:i/>
          <w:color w:val="000000" w:themeColor="text1"/>
          <w:sz w:val="20"/>
          <w:szCs w:val="20"/>
        </w:rPr>
        <w:t>iste</w:t>
      </w:r>
      <w:proofErr w:type="spellEnd"/>
      <w:r w:rsidRPr="009D7635">
        <w:rPr>
          <w:rFonts w:ascii="Times New Roman" w:hAnsi="Times New Roman" w:cs="Times New Roman"/>
          <w:bCs/>
          <w:i/>
          <w:color w:val="000000" w:themeColor="text1"/>
          <w:sz w:val="20"/>
          <w:szCs w:val="20"/>
        </w:rPr>
        <w:t xml:space="preserve"> [i.e., </w:t>
      </w:r>
      <w:proofErr w:type="spellStart"/>
      <w:r w:rsidRPr="009D7635">
        <w:rPr>
          <w:rFonts w:ascii="Times New Roman" w:hAnsi="Times New Roman" w:cs="Times New Roman"/>
          <w:bCs/>
          <w:i/>
          <w:color w:val="000000" w:themeColor="text1"/>
          <w:sz w:val="20"/>
          <w:szCs w:val="20"/>
        </w:rPr>
        <w:t>intellectus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autem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abstractus</w:t>
      </w:r>
      <w:proofErr w:type="spellEnd"/>
      <w:r w:rsidRPr="009D7635">
        <w:rPr>
          <w:rFonts w:ascii="Times New Roman" w:hAnsi="Times New Roman" w:cs="Times New Roman"/>
          <w:bCs/>
          <w:i/>
          <w:color w:val="000000" w:themeColor="text1"/>
          <w:sz w:val="20"/>
          <w:szCs w:val="20"/>
        </w:rPr>
        <w:t>.</w:t>
      </w:r>
    </w:p>
  </w:footnote>
  <w:footnote w:id="374">
    <w:p w14:paraId="0EB46515" w14:textId="2D6D21E3"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Judith Carol Wilcox, ‘The Transmission and Influence of </w:t>
      </w:r>
      <w:proofErr w:type="spellStart"/>
      <w:r w:rsidRPr="009D7635">
        <w:rPr>
          <w:rFonts w:ascii="Times New Roman" w:hAnsi="Times New Roman" w:cs="Times New Roman"/>
          <w:color w:val="000000" w:themeColor="text1"/>
          <w:lang w:val="en-US"/>
        </w:rPr>
        <w:t>Questa</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ibn</w:t>
      </w:r>
      <w:proofErr w:type="spellEnd"/>
      <w:r w:rsidRPr="009D7635">
        <w:rPr>
          <w:rFonts w:ascii="Times New Roman" w:hAnsi="Times New Roman" w:cs="Times New Roman"/>
          <w:color w:val="000000" w:themeColor="text1"/>
          <w:lang w:val="en-US"/>
        </w:rPr>
        <w:t xml:space="preserve"> Luca’s </w:t>
      </w:r>
      <w:r w:rsidRPr="009D7635">
        <w:rPr>
          <w:rFonts w:ascii="Times New Roman" w:hAnsi="Times New Roman" w:cs="Times New Roman"/>
          <w:i/>
          <w:color w:val="000000" w:themeColor="text1"/>
          <w:lang w:val="en-US"/>
        </w:rPr>
        <w:t xml:space="preserve">On the Difference </w:t>
      </w:r>
      <w:r w:rsidR="00F22358" w:rsidRPr="009D7635">
        <w:rPr>
          <w:rFonts w:ascii="Times New Roman" w:hAnsi="Times New Roman" w:cs="Times New Roman"/>
          <w:i/>
          <w:color w:val="000000" w:themeColor="text1"/>
          <w:lang w:val="en-US"/>
        </w:rPr>
        <w:t>B</w:t>
      </w:r>
      <w:r w:rsidRPr="009D7635">
        <w:rPr>
          <w:rFonts w:ascii="Times New Roman" w:hAnsi="Times New Roman" w:cs="Times New Roman"/>
          <w:i/>
          <w:color w:val="000000" w:themeColor="text1"/>
          <w:lang w:val="en-US"/>
        </w:rPr>
        <w:t>etween Spirit and the Soul</w:t>
      </w:r>
      <w:r w:rsidRPr="009D7635">
        <w:rPr>
          <w:rFonts w:ascii="Times New Roman" w:hAnsi="Times New Roman" w:cs="Times New Roman"/>
          <w:color w:val="000000" w:themeColor="text1"/>
          <w:lang w:val="en-US"/>
        </w:rPr>
        <w:t>,’ 226.</w:t>
      </w:r>
    </w:p>
  </w:footnote>
  <w:footnote w:id="375">
    <w:p w14:paraId="39968E3A" w14:textId="679D30C9"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i/>
          <w:iCs/>
          <w:color w:val="000000" w:themeColor="text1"/>
        </w:rPr>
        <w:t xml:space="preserve"> Anima </w:t>
      </w:r>
      <w:proofErr w:type="spellStart"/>
      <w:r w:rsidRPr="009D7635">
        <w:rPr>
          <w:rFonts w:ascii="Times New Roman" w:hAnsi="Times New Roman" w:cs="Times New Roman"/>
          <w:i/>
          <w:iCs/>
          <w:color w:val="000000" w:themeColor="text1"/>
        </w:rPr>
        <w:t>est</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corporis</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organici</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perfectio</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vitam</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habentis</w:t>
      </w:r>
      <w:proofErr w:type="spellEnd"/>
      <w:r w:rsidRPr="009D7635">
        <w:rPr>
          <w:rFonts w:ascii="Times New Roman" w:hAnsi="Times New Roman" w:cs="Times New Roman"/>
          <w:i/>
          <w:iCs/>
          <w:color w:val="000000" w:themeColor="text1"/>
        </w:rPr>
        <w:t xml:space="preserve"> in </w:t>
      </w:r>
      <w:proofErr w:type="spellStart"/>
      <w:r w:rsidRPr="009D7635">
        <w:rPr>
          <w:rFonts w:ascii="Times New Roman" w:hAnsi="Times New Roman" w:cs="Times New Roman"/>
          <w:i/>
          <w:iCs/>
          <w:color w:val="000000" w:themeColor="text1"/>
        </w:rPr>
        <w:t>potentia</w:t>
      </w:r>
      <w:proofErr w:type="spellEnd"/>
      <w:r w:rsidRPr="009D7635">
        <w:rPr>
          <w:rFonts w:ascii="Times New Roman" w:hAnsi="Times New Roman" w:cs="Times New Roman"/>
          <w:i/>
          <w:iCs/>
          <w:color w:val="000000" w:themeColor="text1"/>
        </w:rPr>
        <w:t>.</w:t>
      </w:r>
      <w:r w:rsidRPr="009D7635">
        <w:rPr>
          <w:rFonts w:ascii="Times New Roman" w:hAnsi="Times New Roman" w:cs="Times New Roman"/>
          <w:bCs/>
          <w:color w:val="000000" w:themeColor="text1"/>
        </w:rPr>
        <w:t xml:space="preserve"> D.A. Callus and R.W. Hunt, eds., </w:t>
      </w:r>
      <w:proofErr w:type="spellStart"/>
      <w:r w:rsidRPr="009D7635">
        <w:rPr>
          <w:rFonts w:ascii="Times New Roman" w:hAnsi="Times New Roman" w:cs="Times New Roman"/>
          <w:bCs/>
          <w:i/>
          <w:iCs/>
          <w:color w:val="000000" w:themeColor="text1"/>
        </w:rPr>
        <w:t>Iohannes</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Blund</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Tractatus</w:t>
      </w:r>
      <w:proofErr w:type="spellEnd"/>
      <w:r w:rsidRPr="009D7635">
        <w:rPr>
          <w:rFonts w:ascii="Times New Roman" w:hAnsi="Times New Roman" w:cs="Times New Roman"/>
          <w:bCs/>
          <w:i/>
          <w:iCs/>
          <w:color w:val="000000" w:themeColor="text1"/>
        </w:rPr>
        <w:t xml:space="preserve"> De Anima</w:t>
      </w:r>
      <w:r w:rsidRPr="009D7635">
        <w:rPr>
          <w:rFonts w:ascii="Times New Roman" w:hAnsi="Times New Roman" w:cs="Times New Roman"/>
          <w:color w:val="000000" w:themeColor="text1"/>
        </w:rPr>
        <w:t>, 10.</w:t>
      </w:r>
    </w:p>
  </w:footnote>
  <w:footnote w:id="376">
    <w:p w14:paraId="5FDB23DE"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 Callus, ‘The Treatise of John </w:t>
      </w:r>
      <w:proofErr w:type="spellStart"/>
      <w:r w:rsidRPr="009D7635">
        <w:rPr>
          <w:rFonts w:ascii="Times New Roman" w:hAnsi="Times New Roman" w:cs="Times New Roman"/>
          <w:color w:val="000000" w:themeColor="text1"/>
        </w:rPr>
        <w:t>Blund</w:t>
      </w:r>
      <w:proofErr w:type="spellEnd"/>
      <w:r w:rsidRPr="009D7635">
        <w:rPr>
          <w:rFonts w:ascii="Times New Roman" w:hAnsi="Times New Roman" w:cs="Times New Roman"/>
          <w:color w:val="000000" w:themeColor="text1"/>
        </w:rPr>
        <w:t xml:space="preserve"> on the Soul,’ 492. </w:t>
      </w:r>
    </w:p>
  </w:footnote>
  <w:footnote w:id="377">
    <w:p w14:paraId="74FBE73E" w14:textId="763F1D29"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bCs/>
          <w:color w:val="000000" w:themeColor="text1"/>
        </w:rPr>
        <w:t>D.A. Callus and R.W. Hunt</w:t>
      </w:r>
      <w:r w:rsidR="00F22358" w:rsidRPr="009D7635">
        <w:rPr>
          <w:rFonts w:ascii="Times New Roman" w:hAnsi="Times New Roman" w:cs="Times New Roman"/>
          <w:bCs/>
          <w:color w:val="000000" w:themeColor="text1"/>
        </w:rPr>
        <w:t xml:space="preserve"> (</w:t>
      </w:r>
      <w:r w:rsidRPr="009D7635">
        <w:rPr>
          <w:rFonts w:ascii="Times New Roman" w:hAnsi="Times New Roman" w:cs="Times New Roman"/>
          <w:bCs/>
          <w:color w:val="000000" w:themeColor="text1"/>
        </w:rPr>
        <w:t>eds.</w:t>
      </w:r>
      <w:r w:rsidR="00F22358" w:rsidRPr="009D7635">
        <w:rPr>
          <w:rFonts w:ascii="Times New Roman" w:hAnsi="Times New Roman" w:cs="Times New Roman"/>
          <w:bCs/>
          <w:color w:val="000000" w:themeColor="text1"/>
        </w:rPr>
        <w:t>)</w:t>
      </w:r>
      <w:r w:rsidRPr="009D7635">
        <w:rPr>
          <w:rFonts w:ascii="Times New Roman" w:hAnsi="Times New Roman" w:cs="Times New Roman"/>
          <w:bCs/>
          <w:color w:val="000000" w:themeColor="text1"/>
        </w:rPr>
        <w:t xml:space="preserve">, </w:t>
      </w:r>
      <w:proofErr w:type="spellStart"/>
      <w:r w:rsidRPr="009D7635">
        <w:rPr>
          <w:rFonts w:ascii="Times New Roman" w:hAnsi="Times New Roman" w:cs="Times New Roman"/>
          <w:bCs/>
          <w:i/>
          <w:iCs/>
          <w:color w:val="000000" w:themeColor="text1"/>
        </w:rPr>
        <w:t>Iohannes</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Blund</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Tractatus</w:t>
      </w:r>
      <w:proofErr w:type="spellEnd"/>
      <w:r w:rsidRPr="009D7635">
        <w:rPr>
          <w:rFonts w:ascii="Times New Roman" w:hAnsi="Times New Roman" w:cs="Times New Roman"/>
          <w:bCs/>
          <w:i/>
          <w:iCs/>
          <w:color w:val="000000" w:themeColor="text1"/>
        </w:rPr>
        <w:t xml:space="preserve"> De anima</w:t>
      </w:r>
      <w:r w:rsidRPr="009D7635">
        <w:rPr>
          <w:rFonts w:ascii="Times New Roman" w:hAnsi="Times New Roman" w:cs="Times New Roman"/>
          <w:color w:val="000000" w:themeColor="text1"/>
        </w:rPr>
        <w:t xml:space="preserve">, 11. </w:t>
      </w:r>
    </w:p>
  </w:footnote>
  <w:footnote w:id="378">
    <w:p w14:paraId="7EE32F6E" w14:textId="58CABD7E" w:rsidR="00B93ED5" w:rsidRPr="009D7635" w:rsidRDefault="00B93ED5" w:rsidP="007C038D">
      <w:pPr>
        <w:autoSpaceDE w:val="0"/>
        <w:autoSpaceDN w:val="0"/>
        <w:adjustRightInd w:val="0"/>
        <w:ind w:right="2"/>
        <w:jc w:val="both"/>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F22358" w:rsidRPr="009D7635">
        <w:rPr>
          <w:rFonts w:ascii="Times New Roman" w:hAnsi="Times New Roman" w:cs="Times New Roman"/>
          <w:bCs/>
          <w:color w:val="000000" w:themeColor="text1"/>
          <w:sz w:val="20"/>
          <w:szCs w:val="20"/>
        </w:rPr>
        <w:t>Ibid.,</w:t>
      </w:r>
      <w:r w:rsidRPr="009D7635">
        <w:rPr>
          <w:rFonts w:ascii="Times New Roman" w:hAnsi="Times New Roman" w:cs="Times New Roman"/>
          <w:b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Iohannes</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Blund</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Tractatus</w:t>
      </w:r>
      <w:proofErr w:type="spellEnd"/>
      <w:r w:rsidRPr="009D7635">
        <w:rPr>
          <w:rFonts w:ascii="Times New Roman" w:hAnsi="Times New Roman" w:cs="Times New Roman"/>
          <w:bCs/>
          <w:i/>
          <w:iCs/>
          <w:color w:val="000000" w:themeColor="text1"/>
          <w:sz w:val="20"/>
          <w:szCs w:val="20"/>
        </w:rPr>
        <w:t xml:space="preserve"> De Anima</w:t>
      </w:r>
      <w:r w:rsidRPr="009D7635">
        <w:rPr>
          <w:rFonts w:ascii="Times New Roman" w:hAnsi="Times New Roman" w:cs="Times New Roman"/>
          <w:color w:val="000000" w:themeColor="text1"/>
          <w:sz w:val="20"/>
          <w:szCs w:val="20"/>
        </w:rPr>
        <w:t>, 5-6: ‘</w:t>
      </w:r>
      <w:r w:rsidRPr="009D7635">
        <w:rPr>
          <w:rFonts w:ascii="Times New Roman" w:hAnsi="Times New Roman" w:cs="Times New Roman"/>
          <w:bCs/>
          <w:color w:val="000000" w:themeColor="text1"/>
          <w:sz w:val="20"/>
          <w:szCs w:val="20"/>
          <w:lang w:val="en-US"/>
        </w:rPr>
        <w:t xml:space="preserve">The word soul...signifies a kind of substance that has an accidental relation to the organic body, insofar as it animates and vivifies that body by itself, and because of this accidental relationship it is said to be its perfection, that is, because it gives the body life. </w:t>
      </w:r>
      <w:r w:rsidRPr="009D7635">
        <w:rPr>
          <w:rFonts w:ascii="Times New Roman" w:hAnsi="Times New Roman" w:cs="Times New Roman"/>
          <w:bCs/>
          <w:i/>
          <w:color w:val="000000" w:themeColor="text1"/>
          <w:sz w:val="20"/>
          <w:szCs w:val="20"/>
          <w:lang w:val="en-US"/>
        </w:rPr>
        <w:t>Hoc nomen 'anima' ...[s]</w:t>
      </w:r>
      <w:proofErr w:type="spellStart"/>
      <w:r w:rsidRPr="009D7635">
        <w:rPr>
          <w:rFonts w:ascii="Times New Roman" w:hAnsi="Times New Roman" w:cs="Times New Roman"/>
          <w:bCs/>
          <w:i/>
          <w:color w:val="000000" w:themeColor="text1"/>
          <w:sz w:val="20"/>
          <w:szCs w:val="20"/>
          <w:lang w:val="en-US"/>
        </w:rPr>
        <w:t>ignificat</w:t>
      </w:r>
      <w:proofErr w:type="spellEnd"/>
      <w:r w:rsidRPr="009D7635">
        <w:rPr>
          <w:rFonts w:ascii="Times New Roman" w:hAnsi="Times New Roman" w:cs="Times New Roman"/>
          <w:bCs/>
          <w:i/>
          <w:color w:val="000000" w:themeColor="text1"/>
          <w:sz w:val="20"/>
          <w:szCs w:val="20"/>
          <w:lang w:val="en-US"/>
        </w:rPr>
        <w:t>...</w:t>
      </w:r>
      <w:proofErr w:type="spellStart"/>
      <w:r w:rsidRPr="009D7635">
        <w:rPr>
          <w:rFonts w:ascii="Times New Roman" w:hAnsi="Times New Roman" w:cs="Times New Roman"/>
          <w:bCs/>
          <w:i/>
          <w:color w:val="000000" w:themeColor="text1"/>
          <w:sz w:val="20"/>
          <w:szCs w:val="20"/>
          <w:lang w:val="en-US"/>
        </w:rPr>
        <w:t>substantiam</w:t>
      </w:r>
      <w:proofErr w:type="spellEnd"/>
      <w:r w:rsidRPr="009D7635">
        <w:rPr>
          <w:rFonts w:ascii="Times New Roman" w:hAnsi="Times New Roman" w:cs="Times New Roman"/>
          <w:bCs/>
          <w:i/>
          <w:color w:val="000000" w:themeColor="text1"/>
          <w:sz w:val="20"/>
          <w:szCs w:val="20"/>
          <w:lang w:val="en-US"/>
        </w:rPr>
        <w:t xml:space="preserve"> sub </w:t>
      </w:r>
      <w:proofErr w:type="spellStart"/>
      <w:r w:rsidRPr="009D7635">
        <w:rPr>
          <w:rFonts w:ascii="Times New Roman" w:hAnsi="Times New Roman" w:cs="Times New Roman"/>
          <w:bCs/>
          <w:i/>
          <w:color w:val="000000" w:themeColor="text1"/>
          <w:sz w:val="20"/>
          <w:szCs w:val="20"/>
          <w:lang w:val="en-US"/>
        </w:rPr>
        <w:t>quodam</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accidente</w:t>
      </w:r>
      <w:proofErr w:type="spellEnd"/>
      <w:r w:rsidRPr="009D7635">
        <w:rPr>
          <w:rFonts w:ascii="Times New Roman" w:hAnsi="Times New Roman" w:cs="Times New Roman"/>
          <w:bCs/>
          <w:i/>
          <w:color w:val="000000" w:themeColor="text1"/>
          <w:sz w:val="20"/>
          <w:szCs w:val="20"/>
          <w:lang w:val="en-US"/>
        </w:rPr>
        <w:t xml:space="preserve"> in </w:t>
      </w:r>
      <w:proofErr w:type="spellStart"/>
      <w:r w:rsidRPr="009D7635">
        <w:rPr>
          <w:rFonts w:ascii="Times New Roman" w:hAnsi="Times New Roman" w:cs="Times New Roman"/>
          <w:bCs/>
          <w:i/>
          <w:color w:val="000000" w:themeColor="text1"/>
          <w:sz w:val="20"/>
          <w:szCs w:val="20"/>
          <w:lang w:val="en-US"/>
        </w:rPr>
        <w:t>relatione</w:t>
      </w:r>
      <w:proofErr w:type="spellEnd"/>
      <w:r w:rsidRPr="009D7635">
        <w:rPr>
          <w:rFonts w:ascii="Times New Roman" w:hAnsi="Times New Roman" w:cs="Times New Roman"/>
          <w:bCs/>
          <w:i/>
          <w:color w:val="000000" w:themeColor="text1"/>
          <w:sz w:val="20"/>
          <w:szCs w:val="20"/>
          <w:lang w:val="en-US"/>
        </w:rPr>
        <w:t xml:space="preserve"> ad corpus </w:t>
      </w:r>
      <w:proofErr w:type="spellStart"/>
      <w:r w:rsidRPr="009D7635">
        <w:rPr>
          <w:rFonts w:ascii="Times New Roman" w:hAnsi="Times New Roman" w:cs="Times New Roman"/>
          <w:bCs/>
          <w:i/>
          <w:color w:val="000000" w:themeColor="text1"/>
          <w:sz w:val="20"/>
          <w:szCs w:val="20"/>
          <w:lang w:val="en-US"/>
        </w:rPr>
        <w:t>organicum</w:t>
      </w:r>
      <w:proofErr w:type="spellEnd"/>
      <w:r w:rsidRPr="009D7635">
        <w:rPr>
          <w:rFonts w:ascii="Times New Roman" w:hAnsi="Times New Roman" w:cs="Times New Roman"/>
          <w:bCs/>
          <w:i/>
          <w:color w:val="000000" w:themeColor="text1"/>
          <w:sz w:val="20"/>
          <w:szCs w:val="20"/>
          <w:lang w:val="en-US"/>
        </w:rPr>
        <w:t xml:space="preserve"> in quantum </w:t>
      </w:r>
      <w:proofErr w:type="spellStart"/>
      <w:r w:rsidRPr="009D7635">
        <w:rPr>
          <w:rFonts w:ascii="Times New Roman" w:hAnsi="Times New Roman" w:cs="Times New Roman"/>
          <w:bCs/>
          <w:i/>
          <w:color w:val="000000" w:themeColor="text1"/>
          <w:sz w:val="20"/>
          <w:szCs w:val="20"/>
          <w:lang w:val="en-US"/>
        </w:rPr>
        <w:t>ipsum</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animatur</w:t>
      </w:r>
      <w:proofErr w:type="spellEnd"/>
      <w:r w:rsidRPr="009D7635">
        <w:rPr>
          <w:rFonts w:ascii="Times New Roman" w:hAnsi="Times New Roman" w:cs="Times New Roman"/>
          <w:bCs/>
          <w:i/>
          <w:color w:val="000000" w:themeColor="text1"/>
          <w:sz w:val="20"/>
          <w:szCs w:val="20"/>
          <w:lang w:val="en-US"/>
        </w:rPr>
        <w:t xml:space="preserve"> et </w:t>
      </w:r>
      <w:proofErr w:type="spellStart"/>
      <w:r w:rsidRPr="009D7635">
        <w:rPr>
          <w:rFonts w:ascii="Times New Roman" w:hAnsi="Times New Roman" w:cs="Times New Roman"/>
          <w:bCs/>
          <w:i/>
          <w:color w:val="000000" w:themeColor="text1"/>
          <w:sz w:val="20"/>
          <w:szCs w:val="20"/>
          <w:lang w:val="en-US"/>
        </w:rPr>
        <w:t>vivificatur</w:t>
      </w:r>
      <w:proofErr w:type="spellEnd"/>
      <w:r w:rsidRPr="009D7635">
        <w:rPr>
          <w:rFonts w:ascii="Times New Roman" w:hAnsi="Times New Roman" w:cs="Times New Roman"/>
          <w:bCs/>
          <w:i/>
          <w:color w:val="000000" w:themeColor="text1"/>
          <w:sz w:val="20"/>
          <w:szCs w:val="20"/>
          <w:lang w:val="en-US"/>
        </w:rPr>
        <w:t xml:space="preserve"> per </w:t>
      </w:r>
      <w:proofErr w:type="spellStart"/>
      <w:r w:rsidRPr="009D7635">
        <w:rPr>
          <w:rFonts w:ascii="Times New Roman" w:hAnsi="Times New Roman" w:cs="Times New Roman"/>
          <w:bCs/>
          <w:i/>
          <w:color w:val="000000" w:themeColor="text1"/>
          <w:sz w:val="20"/>
          <w:szCs w:val="20"/>
          <w:lang w:val="en-US"/>
        </w:rPr>
        <w:t>ipsam</w:t>
      </w:r>
      <w:proofErr w:type="spellEnd"/>
      <w:r w:rsidRPr="009D7635">
        <w:rPr>
          <w:rFonts w:ascii="Times New Roman" w:hAnsi="Times New Roman" w:cs="Times New Roman"/>
          <w:bCs/>
          <w:i/>
          <w:color w:val="000000" w:themeColor="text1"/>
          <w:sz w:val="20"/>
          <w:szCs w:val="20"/>
          <w:lang w:val="en-US"/>
        </w:rPr>
        <w:t xml:space="preserve">, et </w:t>
      </w:r>
      <w:proofErr w:type="spellStart"/>
      <w:r w:rsidRPr="009D7635">
        <w:rPr>
          <w:rFonts w:ascii="Times New Roman" w:hAnsi="Times New Roman" w:cs="Times New Roman"/>
          <w:bCs/>
          <w:i/>
          <w:color w:val="000000" w:themeColor="text1"/>
          <w:sz w:val="20"/>
          <w:szCs w:val="20"/>
          <w:lang w:val="en-US"/>
        </w:rPr>
        <w:t>gratia</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illius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accidentis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dicitur</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esse</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perfectio</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ipsius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eo</w:t>
      </w:r>
      <w:proofErr w:type="spellEnd"/>
      <w:r w:rsidRPr="009D7635">
        <w:rPr>
          <w:rFonts w:ascii="Times New Roman" w:hAnsi="Times New Roman" w:cs="Times New Roman"/>
          <w:bCs/>
          <w:i/>
          <w:color w:val="000000" w:themeColor="text1"/>
          <w:sz w:val="20"/>
          <w:szCs w:val="20"/>
          <w:lang w:val="en-US"/>
        </w:rPr>
        <w:t xml:space="preserve"> scilicet quod ipsa </w:t>
      </w:r>
      <w:proofErr w:type="spellStart"/>
      <w:r w:rsidRPr="009D7635">
        <w:rPr>
          <w:rFonts w:ascii="Times New Roman" w:hAnsi="Times New Roman" w:cs="Times New Roman"/>
          <w:bCs/>
          <w:i/>
          <w:color w:val="000000" w:themeColor="text1"/>
          <w:sz w:val="20"/>
          <w:szCs w:val="20"/>
          <w:lang w:val="en-US"/>
        </w:rPr>
        <w:t>ipsum</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animat</w:t>
      </w:r>
      <w:proofErr w:type="spellEnd"/>
      <w:r w:rsidRPr="009D7635">
        <w:rPr>
          <w:rFonts w:ascii="Times New Roman" w:hAnsi="Times New Roman" w:cs="Times New Roman"/>
          <w:bCs/>
          <w:i/>
          <w:color w:val="000000" w:themeColor="text1"/>
          <w:sz w:val="20"/>
          <w:szCs w:val="20"/>
          <w:lang w:val="en-US"/>
        </w:rPr>
        <w:t>.</w:t>
      </w:r>
      <w:r w:rsidRPr="009D7635">
        <w:rPr>
          <w:rFonts w:ascii="Times New Roman" w:hAnsi="Times New Roman" w:cs="Times New Roman"/>
          <w:bCs/>
          <w:iCs/>
          <w:color w:val="000000" w:themeColor="text1"/>
          <w:sz w:val="20"/>
          <w:szCs w:val="20"/>
          <w:lang w:val="en-US"/>
        </w:rPr>
        <w:t>’</w:t>
      </w:r>
    </w:p>
  </w:footnote>
  <w:footnote w:id="379">
    <w:p w14:paraId="6C9F7D2E" w14:textId="379CD5CC"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The Soul-Body Problem at Paris</w:t>
      </w:r>
      <w:r w:rsidRPr="009D7635">
        <w:rPr>
          <w:rFonts w:ascii="Times New Roman" w:hAnsi="Times New Roman" w:cs="Times New Roman"/>
          <w:color w:val="000000" w:themeColor="text1"/>
        </w:rPr>
        <w:t>, 34.</w:t>
      </w:r>
    </w:p>
  </w:footnote>
  <w:footnote w:id="380">
    <w:p w14:paraId="3D922F0B" w14:textId="77777777" w:rsidR="00B93ED5" w:rsidRPr="009D7635" w:rsidRDefault="00B93ED5" w:rsidP="007C038D">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Philippi </w:t>
      </w:r>
      <w:proofErr w:type="spellStart"/>
      <w:r w:rsidRPr="009D7635">
        <w:rPr>
          <w:rFonts w:ascii="Times New Roman" w:hAnsi="Times New Roman" w:cs="Times New Roman"/>
          <w:i/>
          <w:color w:val="000000" w:themeColor="text1"/>
          <w:sz w:val="20"/>
          <w:szCs w:val="20"/>
        </w:rPr>
        <w:t>Cancellarii</w:t>
      </w:r>
      <w:proofErr w:type="spellEnd"/>
      <w:r w:rsidRPr="009D7635">
        <w:rPr>
          <w:rFonts w:ascii="Times New Roman" w:hAnsi="Times New Roman" w:cs="Times New Roman"/>
          <w:i/>
          <w:color w:val="000000" w:themeColor="text1"/>
          <w:sz w:val="20"/>
          <w:szCs w:val="20"/>
        </w:rPr>
        <w:t xml:space="preserve"> Summa de bono</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ed. Nikolaus </w:t>
      </w:r>
      <w:proofErr w:type="spellStart"/>
      <w:r w:rsidRPr="009D7635">
        <w:rPr>
          <w:rFonts w:ascii="Times New Roman" w:hAnsi="Times New Roman" w:cs="Times New Roman"/>
          <w:color w:val="000000" w:themeColor="text1"/>
          <w:sz w:val="20"/>
          <w:szCs w:val="20"/>
        </w:rPr>
        <w:t>Wicki</w:t>
      </w:r>
      <w:proofErr w:type="spellEnd"/>
      <w:r w:rsidRPr="009D7635">
        <w:rPr>
          <w:rFonts w:ascii="Times New Roman" w:hAnsi="Times New Roman" w:cs="Times New Roman"/>
          <w:color w:val="000000" w:themeColor="text1"/>
          <w:sz w:val="20"/>
          <w:szCs w:val="20"/>
        </w:rPr>
        <w:t xml:space="preserve"> (Bern: </w:t>
      </w:r>
      <w:proofErr w:type="spellStart"/>
      <w:r w:rsidRPr="009D7635">
        <w:rPr>
          <w:rFonts w:ascii="Times New Roman" w:hAnsi="Times New Roman" w:cs="Times New Roman"/>
          <w:color w:val="000000" w:themeColor="text1"/>
          <w:sz w:val="20"/>
          <w:szCs w:val="20"/>
        </w:rPr>
        <w:t>Francke</w:t>
      </w:r>
      <w:proofErr w:type="spellEnd"/>
      <w:r w:rsidRPr="009D7635">
        <w:rPr>
          <w:rFonts w:ascii="Times New Roman" w:hAnsi="Times New Roman" w:cs="Times New Roman"/>
          <w:color w:val="000000" w:themeColor="text1"/>
          <w:sz w:val="20"/>
          <w:szCs w:val="20"/>
        </w:rPr>
        <w:t>, 1985), 264, 281.</w:t>
      </w:r>
    </w:p>
  </w:footnote>
  <w:footnote w:id="381">
    <w:p w14:paraId="2C23910A" w14:textId="77777777" w:rsidR="00B93ED5" w:rsidRPr="009D7635" w:rsidRDefault="00B93ED5" w:rsidP="007C038D">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bono</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284.</w:t>
      </w:r>
    </w:p>
  </w:footnote>
  <w:footnote w:id="382">
    <w:p w14:paraId="6B7FF084" w14:textId="280C349E" w:rsidR="00B93ED5" w:rsidRPr="009D7635" w:rsidRDefault="00B93ED5" w:rsidP="007C038D">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0C0B6D" w:rsidRPr="009D7635">
        <w:rPr>
          <w:rFonts w:ascii="Times New Roman" w:hAnsi="Times New Roman" w:cs="Times New Roman"/>
          <w:iCs/>
          <w:color w:val="000000" w:themeColor="text1"/>
          <w:sz w:val="20"/>
          <w:szCs w:val="20"/>
        </w:rPr>
        <w:t>Ibid.,</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282-3: </w:t>
      </w:r>
      <w:proofErr w:type="spellStart"/>
      <w:r w:rsidRPr="009D7635">
        <w:rPr>
          <w:rFonts w:ascii="Times New Roman" w:hAnsi="Times New Roman" w:cs="Times New Roman"/>
          <w:i/>
          <w:color w:val="000000" w:themeColor="text1"/>
          <w:sz w:val="20"/>
          <w:szCs w:val="20"/>
        </w:rPr>
        <w:t>Dicendum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quod anima, </w:t>
      </w:r>
      <w:proofErr w:type="spellStart"/>
      <w:r w:rsidRPr="009D7635">
        <w:rPr>
          <w:rFonts w:ascii="Times New Roman" w:hAnsi="Times New Roman" w:cs="Times New Roman"/>
          <w:i/>
          <w:color w:val="000000" w:themeColor="text1"/>
          <w:sz w:val="20"/>
          <w:szCs w:val="20"/>
        </w:rPr>
        <w:t>sicut</w:t>
      </w:r>
      <w:proofErr w:type="spellEnd"/>
      <w:r w:rsidRPr="009D7635">
        <w:rPr>
          <w:rFonts w:ascii="Times New Roman" w:hAnsi="Times New Roman" w:cs="Times New Roman"/>
          <w:i/>
          <w:color w:val="000000" w:themeColor="text1"/>
          <w:sz w:val="20"/>
          <w:szCs w:val="20"/>
        </w:rPr>
        <w:t xml:space="preserve"> dictum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non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forma </w:t>
      </w:r>
      <w:proofErr w:type="spellStart"/>
      <w:r w:rsidRPr="009D7635">
        <w:rPr>
          <w:rFonts w:ascii="Times New Roman" w:hAnsi="Times New Roman" w:cs="Times New Roman"/>
          <w:i/>
          <w:color w:val="000000" w:themeColor="text1"/>
          <w:sz w:val="20"/>
          <w:szCs w:val="20"/>
        </w:rPr>
        <w:t>tantum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perfectio</w:t>
      </w:r>
      <w:proofErr w:type="spellEnd"/>
      <w:r w:rsidRPr="009D7635">
        <w:rPr>
          <w:rFonts w:ascii="Times New Roman" w:hAnsi="Times New Roman" w:cs="Times New Roman"/>
          <w:i/>
          <w:color w:val="000000" w:themeColor="text1"/>
          <w:sz w:val="20"/>
          <w:szCs w:val="20"/>
        </w:rPr>
        <w:t xml:space="preserve">, sed et </w:t>
      </w:r>
      <w:proofErr w:type="spellStart"/>
      <w:r w:rsidRPr="009D7635">
        <w:rPr>
          <w:rFonts w:ascii="Times New Roman" w:hAnsi="Times New Roman" w:cs="Times New Roman"/>
          <w:i/>
          <w:color w:val="000000" w:themeColor="text1"/>
          <w:sz w:val="20"/>
          <w:szCs w:val="20"/>
        </w:rPr>
        <w:t>substantia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Intelligendum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quod non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sicut</w:t>
      </w:r>
      <w:proofErr w:type="spellEnd"/>
      <w:r w:rsidRPr="009D7635">
        <w:rPr>
          <w:rFonts w:ascii="Times New Roman" w:hAnsi="Times New Roman" w:cs="Times New Roman"/>
          <w:i/>
          <w:color w:val="000000" w:themeColor="text1"/>
          <w:sz w:val="20"/>
          <w:szCs w:val="20"/>
        </w:rPr>
        <w:t xml:space="preserve"> forma in </w:t>
      </w:r>
      <w:proofErr w:type="spellStart"/>
      <w:r w:rsidRPr="009D7635">
        <w:rPr>
          <w:rFonts w:ascii="Times New Roman" w:hAnsi="Times New Roman" w:cs="Times New Roman"/>
          <w:i/>
          <w:color w:val="000000" w:themeColor="text1"/>
          <w:sz w:val="20"/>
          <w:szCs w:val="20"/>
        </w:rPr>
        <w:t>materia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omnem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modum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separatur</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corpore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substantia</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w:t>
      </w:r>
    </w:p>
  </w:footnote>
  <w:footnote w:id="383">
    <w:p w14:paraId="7759412F" w14:textId="77777777" w:rsidR="007535EA" w:rsidRPr="009D7635" w:rsidRDefault="007535EA" w:rsidP="007535EA">
      <w:pPr>
        <w:autoSpaceDE w:val="0"/>
        <w:autoSpaceDN w:val="0"/>
        <w:adjustRightInd w:val="0"/>
        <w:rPr>
          <w:rFonts w:ascii="Times New Roman" w:hAnsi="Times New Roman" w:cs="Times New Roman"/>
          <w:color w:val="000000" w:themeColor="text1"/>
          <w:sz w:val="20"/>
          <w:szCs w:val="20"/>
          <w:highlight w:val="yellow"/>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Magdalena </w:t>
      </w:r>
      <w:proofErr w:type="spellStart"/>
      <w:r w:rsidRPr="009D7635">
        <w:rPr>
          <w:rFonts w:ascii="Times New Roman" w:hAnsi="Times New Roman" w:cs="Times New Roman"/>
          <w:color w:val="000000" w:themeColor="text1"/>
          <w:sz w:val="20"/>
          <w:szCs w:val="20"/>
        </w:rPr>
        <w:t>Bieniak</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The Soul-Body Problem at Paris</w:t>
      </w:r>
      <w:r w:rsidRPr="009D7635">
        <w:rPr>
          <w:rFonts w:ascii="Times New Roman" w:hAnsi="Times New Roman" w:cs="Times New Roman"/>
          <w:color w:val="000000" w:themeColor="text1"/>
          <w:sz w:val="20"/>
          <w:szCs w:val="20"/>
        </w:rPr>
        <w:t xml:space="preserve">, 121. In </w:t>
      </w:r>
      <w:r w:rsidRPr="009D7635">
        <w:rPr>
          <w:rFonts w:ascii="Times New Roman" w:hAnsi="Times New Roman" w:cs="Times New Roman"/>
          <w:i/>
          <w:color w:val="000000" w:themeColor="text1"/>
          <w:sz w:val="20"/>
          <w:szCs w:val="20"/>
        </w:rPr>
        <w:t>Summa de bono</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283, Philip </w:t>
      </w:r>
      <w:r w:rsidRPr="009D7635">
        <w:rPr>
          <w:rFonts w:ascii="Times New Roman" w:hAnsi="Times New Roman" w:cs="Times New Roman"/>
          <w:color w:val="000000" w:themeColor="text1"/>
          <w:sz w:val="20"/>
          <w:szCs w:val="20"/>
          <w:lang w:val="en-US"/>
        </w:rPr>
        <w:t xml:space="preserve">calls the soul the form and perfection and substance of the body; while it is form to matter, it is not a form in all respects because it also remains a separate substance. </w:t>
      </w:r>
    </w:p>
  </w:footnote>
  <w:footnote w:id="384">
    <w:p w14:paraId="263AE786" w14:textId="59915043" w:rsidR="00B93ED5" w:rsidRPr="009D7635" w:rsidRDefault="00B93ED5" w:rsidP="007C038D">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bono</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284: </w:t>
      </w:r>
      <w:proofErr w:type="spellStart"/>
      <w:r w:rsidRPr="009D7635">
        <w:rPr>
          <w:rFonts w:ascii="Times New Roman" w:hAnsi="Times New Roman" w:cs="Times New Roman"/>
          <w:bCs/>
          <w:i/>
          <w:color w:val="000000" w:themeColor="text1"/>
          <w:sz w:val="20"/>
          <w:szCs w:val="20"/>
        </w:rPr>
        <w:t>Manifestum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igitur</w:t>
      </w:r>
      <w:proofErr w:type="spellEnd"/>
      <w:r w:rsidRPr="009D7635">
        <w:rPr>
          <w:rFonts w:ascii="Times New Roman" w:hAnsi="Times New Roman" w:cs="Times New Roman"/>
          <w:bCs/>
          <w:i/>
          <w:color w:val="000000" w:themeColor="text1"/>
          <w:sz w:val="20"/>
          <w:szCs w:val="20"/>
        </w:rPr>
        <w:t xml:space="preserve"> quod, </w:t>
      </w:r>
      <w:proofErr w:type="spellStart"/>
      <w:r w:rsidRPr="009D7635">
        <w:rPr>
          <w:rFonts w:ascii="Times New Roman" w:hAnsi="Times New Roman" w:cs="Times New Roman"/>
          <w:bCs/>
          <w:i/>
          <w:color w:val="000000" w:themeColor="text1"/>
          <w:sz w:val="20"/>
          <w:szCs w:val="20"/>
        </w:rPr>
        <w:t>licet</w:t>
      </w:r>
      <w:proofErr w:type="spellEnd"/>
      <w:r w:rsidRPr="009D7635">
        <w:rPr>
          <w:rFonts w:ascii="Times New Roman" w:hAnsi="Times New Roman" w:cs="Times New Roman"/>
          <w:bCs/>
          <w:i/>
          <w:color w:val="000000" w:themeColor="text1"/>
          <w:sz w:val="20"/>
          <w:szCs w:val="20"/>
        </w:rPr>
        <w:t xml:space="preserve"> sit </w:t>
      </w:r>
      <w:proofErr w:type="spellStart"/>
      <w:r w:rsidRPr="009D7635">
        <w:rPr>
          <w:rFonts w:ascii="Times New Roman" w:hAnsi="Times New Roman" w:cs="Times New Roman"/>
          <w:bCs/>
          <w:i/>
          <w:color w:val="000000" w:themeColor="text1"/>
          <w:sz w:val="20"/>
          <w:szCs w:val="20"/>
        </w:rPr>
        <w:t>ut</w:t>
      </w:r>
      <w:proofErr w:type="spellEnd"/>
      <w:r w:rsidRPr="009D7635">
        <w:rPr>
          <w:rFonts w:ascii="Times New Roman" w:hAnsi="Times New Roman" w:cs="Times New Roman"/>
          <w:bCs/>
          <w:i/>
          <w:color w:val="000000" w:themeColor="text1"/>
          <w:sz w:val="20"/>
          <w:szCs w:val="20"/>
        </w:rPr>
        <w:t xml:space="preserve"> forma, non </w:t>
      </w:r>
      <w:proofErr w:type="spellStart"/>
      <w:r w:rsidRPr="009D7635">
        <w:rPr>
          <w:rFonts w:ascii="Times New Roman" w:hAnsi="Times New Roman" w:cs="Times New Roman"/>
          <w:bCs/>
          <w:i/>
          <w:color w:val="000000" w:themeColor="text1"/>
          <w:sz w:val="20"/>
          <w:szCs w:val="20"/>
        </w:rPr>
        <w:t>tamen</w:t>
      </w:r>
      <w:proofErr w:type="spellEnd"/>
      <w:r w:rsidRPr="009D7635">
        <w:rPr>
          <w:rFonts w:ascii="Times New Roman" w:hAnsi="Times New Roman" w:cs="Times New Roman"/>
          <w:bCs/>
          <w:i/>
          <w:color w:val="000000" w:themeColor="text1"/>
          <w:sz w:val="20"/>
          <w:szCs w:val="20"/>
        </w:rPr>
        <w:t xml:space="preserve"> per se </w:t>
      </w:r>
      <w:proofErr w:type="spellStart"/>
      <w:r w:rsidRPr="009D7635">
        <w:rPr>
          <w:rFonts w:ascii="Times New Roman" w:hAnsi="Times New Roman" w:cs="Times New Roman"/>
          <w:bCs/>
          <w:i/>
          <w:color w:val="000000" w:themeColor="text1"/>
          <w:sz w:val="20"/>
          <w:szCs w:val="20"/>
        </w:rPr>
        <w:t>corpori</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necesse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coniungi</w:t>
      </w:r>
      <w:proofErr w:type="spellEnd"/>
      <w:r w:rsidRPr="009D7635">
        <w:rPr>
          <w:rFonts w:ascii="Times New Roman" w:hAnsi="Times New Roman" w:cs="Times New Roman"/>
          <w:bCs/>
          <w:i/>
          <w:color w:val="000000" w:themeColor="text1"/>
          <w:sz w:val="20"/>
          <w:szCs w:val="20"/>
        </w:rPr>
        <w:t>.</w:t>
      </w:r>
    </w:p>
  </w:footnote>
  <w:footnote w:id="385">
    <w:p w14:paraId="3021F86D"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The Soul-Body Problem at Paris</w:t>
      </w:r>
      <w:r w:rsidRPr="009D7635">
        <w:rPr>
          <w:rFonts w:ascii="Times New Roman" w:hAnsi="Times New Roman" w:cs="Times New Roman"/>
          <w:color w:val="000000" w:themeColor="text1"/>
        </w:rPr>
        <w:t>, 16.</w:t>
      </w:r>
    </w:p>
  </w:footnote>
  <w:footnote w:id="386">
    <w:p w14:paraId="22443143" w14:textId="244BB72D"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Lesley Smith, ‘Hugh of St Cher and Medieval Collaboration,’ </w:t>
      </w:r>
      <w:r w:rsidRPr="009D7635">
        <w:rPr>
          <w:rFonts w:ascii="Times New Roman" w:hAnsi="Times New Roman" w:cs="Times New Roman"/>
          <w:i/>
          <w:color w:val="000000" w:themeColor="text1"/>
        </w:rPr>
        <w:t xml:space="preserve">Transforming Relations: Essays on Jews and Christians throughout History in </w:t>
      </w:r>
      <w:proofErr w:type="spellStart"/>
      <w:r w:rsidRPr="009D7635">
        <w:rPr>
          <w:rFonts w:ascii="Times New Roman" w:hAnsi="Times New Roman" w:cs="Times New Roman"/>
          <w:i/>
          <w:color w:val="000000" w:themeColor="text1"/>
        </w:rPr>
        <w:t>Honor</w:t>
      </w:r>
      <w:proofErr w:type="spellEnd"/>
      <w:r w:rsidRPr="009D7635">
        <w:rPr>
          <w:rFonts w:ascii="Times New Roman" w:hAnsi="Times New Roman" w:cs="Times New Roman"/>
          <w:i/>
          <w:color w:val="000000" w:themeColor="text1"/>
        </w:rPr>
        <w:t xml:space="preserve"> of Michael A. Signer, </w:t>
      </w:r>
      <w:r w:rsidRPr="009D7635">
        <w:rPr>
          <w:rFonts w:ascii="Times New Roman" w:hAnsi="Times New Roman" w:cs="Times New Roman"/>
          <w:color w:val="000000" w:themeColor="text1"/>
        </w:rPr>
        <w:t>ed. Franklin T. Harkins (Notre Dame: University of Notre Dame Press, 2010), 241-64.</w:t>
      </w:r>
    </w:p>
  </w:footnote>
  <w:footnote w:id="387">
    <w:p w14:paraId="2D228BA4" w14:textId="442E19B4"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Magdalena </w:t>
      </w:r>
      <w:proofErr w:type="spellStart"/>
      <w:r w:rsidRPr="009D7635">
        <w:rPr>
          <w:rFonts w:ascii="Times New Roman" w:hAnsi="Times New Roman" w:cs="Times New Roman"/>
          <w:color w:val="000000" w:themeColor="text1"/>
          <w:sz w:val="20"/>
          <w:szCs w:val="20"/>
        </w:rPr>
        <w:t>Bieniak</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The Soul-Body Problem at Paris</w:t>
      </w:r>
      <w:r w:rsidRPr="009D7635">
        <w:rPr>
          <w:rFonts w:ascii="Times New Roman" w:hAnsi="Times New Roman" w:cs="Times New Roman"/>
          <w:color w:val="000000" w:themeColor="text1"/>
          <w:sz w:val="20"/>
          <w:szCs w:val="20"/>
        </w:rPr>
        <w:t>, 35</w:t>
      </w:r>
      <w:r w:rsidR="004E7563" w:rsidRPr="009D7635">
        <w:rPr>
          <w:rFonts w:ascii="Times New Roman" w:hAnsi="Times New Roman" w:cs="Times New Roman"/>
          <w:color w:val="000000" w:themeColor="text1"/>
          <w:sz w:val="20"/>
          <w:szCs w:val="20"/>
        </w:rPr>
        <w:t>.</w:t>
      </w:r>
    </w:p>
  </w:footnote>
  <w:footnote w:id="388">
    <w:p w14:paraId="2153E42D" w14:textId="58A21C1D" w:rsidR="00B93ED5" w:rsidRPr="009D7635" w:rsidRDefault="00B93ED5" w:rsidP="007C038D">
      <w:pPr>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Summa de anima</w:t>
      </w:r>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115: </w:t>
      </w:r>
      <w:r w:rsidRPr="009D7635">
        <w:rPr>
          <w:rFonts w:ascii="Times New Roman" w:hAnsi="Times New Roman" w:cs="Times New Roman"/>
          <w:i/>
          <w:color w:val="000000" w:themeColor="text1"/>
          <w:sz w:val="20"/>
          <w:szCs w:val="20"/>
        </w:rPr>
        <w:t xml:space="preserve">Item, cum anima </w:t>
      </w:r>
      <w:proofErr w:type="spellStart"/>
      <w:r w:rsidRPr="009D7635">
        <w:rPr>
          <w:rFonts w:ascii="Times New Roman" w:hAnsi="Times New Roman" w:cs="Times New Roman"/>
          <w:i/>
          <w:color w:val="000000" w:themeColor="text1"/>
          <w:sz w:val="20"/>
          <w:szCs w:val="20"/>
        </w:rPr>
        <w:t>uniatur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forma et </w:t>
      </w:r>
      <w:proofErr w:type="spellStart"/>
      <w:r w:rsidRPr="009D7635">
        <w:rPr>
          <w:rFonts w:ascii="Times New Roman" w:hAnsi="Times New Roman" w:cs="Times New Roman"/>
          <w:i/>
          <w:color w:val="000000" w:themeColor="text1"/>
          <w:sz w:val="20"/>
          <w:szCs w:val="20"/>
        </w:rPr>
        <w:t>perfectio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eius</w:t>
      </w:r>
      <w:proofErr w:type="spellEnd"/>
      <w:r w:rsidRPr="009D7635">
        <w:rPr>
          <w:rFonts w:ascii="Times New Roman" w:hAnsi="Times New Roman" w:cs="Times New Roman"/>
          <w:i/>
          <w:color w:val="000000" w:themeColor="text1"/>
          <w:sz w:val="20"/>
          <w:szCs w:val="20"/>
        </w:rPr>
        <w:t>.</w:t>
      </w:r>
    </w:p>
  </w:footnote>
  <w:footnote w:id="389">
    <w:p w14:paraId="2A6564C5" w14:textId="720E0AED"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John of La Rochelle,</w:t>
      </w:r>
      <w:r w:rsidRPr="009D7635">
        <w:rPr>
          <w:rFonts w:ascii="Times New Roman" w:hAnsi="Times New Roman" w:cs="Times New Roman"/>
          <w:i/>
          <w:color w:val="000000" w:themeColor="text1"/>
          <w:sz w:val="20"/>
          <w:szCs w:val="20"/>
          <w:lang w:val="en-US"/>
        </w:rPr>
        <w:t xml:space="preserve"> Summa de anima</w:t>
      </w:r>
      <w:r w:rsidRPr="009D7635">
        <w:rPr>
          <w:rFonts w:ascii="Times New Roman" w:hAnsi="Times New Roman" w:cs="Times New Roman"/>
          <w:color w:val="000000" w:themeColor="text1"/>
          <w:sz w:val="20"/>
          <w:szCs w:val="20"/>
        </w:rPr>
        <w:t xml:space="preserve">, 116: </w:t>
      </w:r>
      <w:r w:rsidRPr="009D7635">
        <w:rPr>
          <w:rFonts w:ascii="Times New Roman" w:hAnsi="Times New Roman" w:cs="Times New Roman"/>
          <w:i/>
          <w:color w:val="000000" w:themeColor="text1"/>
          <w:sz w:val="20"/>
          <w:szCs w:val="20"/>
        </w:rPr>
        <w:t xml:space="preserve">Anima </w:t>
      </w:r>
      <w:proofErr w:type="spellStart"/>
      <w:r w:rsidRPr="009D7635">
        <w:rPr>
          <w:rFonts w:ascii="Times New Roman" w:hAnsi="Times New Roman" w:cs="Times New Roman"/>
          <w:i/>
          <w:color w:val="000000" w:themeColor="text1"/>
          <w:sz w:val="20"/>
          <w:szCs w:val="20"/>
        </w:rPr>
        <w:t>racionalis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duplicem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modum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enim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forma sue </w:t>
      </w:r>
      <w:proofErr w:type="spellStart"/>
      <w:r w:rsidRPr="009D7635">
        <w:rPr>
          <w:rFonts w:ascii="Times New Roman" w:hAnsi="Times New Roman" w:cs="Times New Roman"/>
          <w:i/>
          <w:color w:val="000000" w:themeColor="text1"/>
          <w:sz w:val="20"/>
          <w:szCs w:val="20"/>
        </w:rPr>
        <w:t>materie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perfectio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perfectibili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eciam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organo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instumento</w:t>
      </w:r>
      <w:proofErr w:type="spellEnd"/>
      <w:r w:rsidRPr="009D7635">
        <w:rPr>
          <w:rFonts w:ascii="Times New Roman" w:hAnsi="Times New Roman" w:cs="Times New Roman"/>
          <w:i/>
          <w:color w:val="000000" w:themeColor="text1"/>
          <w:sz w:val="20"/>
          <w:szCs w:val="20"/>
        </w:rPr>
        <w:t xml:space="preserve"> per quod operator, duplex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ergo </w:t>
      </w:r>
      <w:proofErr w:type="spellStart"/>
      <w:r w:rsidRPr="009D7635">
        <w:rPr>
          <w:rFonts w:ascii="Times New Roman" w:hAnsi="Times New Roman" w:cs="Times New Roman"/>
          <w:i/>
          <w:color w:val="000000" w:themeColor="text1"/>
          <w:sz w:val="20"/>
          <w:szCs w:val="20"/>
        </w:rPr>
        <w:t>racio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unionis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primum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modum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unitur</w:t>
      </w:r>
      <w:proofErr w:type="spellEnd"/>
      <w:r w:rsidRPr="009D7635">
        <w:rPr>
          <w:rFonts w:ascii="Times New Roman" w:hAnsi="Times New Roman" w:cs="Times New Roman"/>
          <w:i/>
          <w:color w:val="000000" w:themeColor="text1"/>
          <w:sz w:val="20"/>
          <w:szCs w:val="20"/>
        </w:rPr>
        <w:t xml:space="preserve"> anima </w:t>
      </w:r>
      <w:proofErr w:type="spellStart"/>
      <w:r w:rsidRPr="009D7635">
        <w:rPr>
          <w:rFonts w:ascii="Times New Roman" w:hAnsi="Times New Roman" w:cs="Times New Roman"/>
          <w:i/>
          <w:color w:val="000000" w:themeColor="text1"/>
          <w:sz w:val="20"/>
          <w:szCs w:val="20"/>
        </w:rPr>
        <w:t>corpori</w:t>
      </w:r>
      <w:proofErr w:type="spellEnd"/>
      <w:r w:rsidRPr="009D7635">
        <w:rPr>
          <w:rFonts w:ascii="Times New Roman" w:hAnsi="Times New Roman" w:cs="Times New Roman"/>
          <w:i/>
          <w:color w:val="000000" w:themeColor="text1"/>
          <w:sz w:val="20"/>
          <w:szCs w:val="20"/>
        </w:rPr>
        <w:t xml:space="preserve"> sine </w:t>
      </w:r>
      <w:proofErr w:type="spellStart"/>
      <w:r w:rsidRPr="009D7635">
        <w:rPr>
          <w:rFonts w:ascii="Times New Roman" w:hAnsi="Times New Roman" w:cs="Times New Roman"/>
          <w:i/>
          <w:color w:val="000000" w:themeColor="text1"/>
          <w:sz w:val="20"/>
          <w:szCs w:val="20"/>
        </w:rPr>
        <w:t>medio</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w:t>
      </w:r>
    </w:p>
  </w:footnote>
  <w:footnote w:id="390">
    <w:p w14:paraId="0ED7ABEA" w14:textId="789FA7D8"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C0B6D" w:rsidRPr="009D7635">
        <w:rPr>
          <w:rFonts w:ascii="Times New Roman" w:hAnsi="Times New Roman" w:cs="Times New Roman"/>
          <w:iCs/>
          <w:color w:val="000000" w:themeColor="text1"/>
          <w:lang w:val="en-US"/>
        </w:rPr>
        <w:t>Ibid.,</w:t>
      </w:r>
      <w:r w:rsidRPr="009D7635">
        <w:rPr>
          <w:rFonts w:ascii="Times New Roman" w:hAnsi="Times New Roman" w:cs="Times New Roman"/>
          <w:color w:val="000000" w:themeColor="text1"/>
        </w:rPr>
        <w:t xml:space="preserve"> 58: </w:t>
      </w:r>
      <w:r w:rsidRPr="009D7635">
        <w:rPr>
          <w:rFonts w:ascii="Times New Roman" w:hAnsi="Times New Roman" w:cs="Times New Roman"/>
          <w:i/>
          <w:color w:val="000000" w:themeColor="text1"/>
        </w:rPr>
        <w:t xml:space="preserve">Anima sit </w:t>
      </w:r>
      <w:proofErr w:type="spellStart"/>
      <w:r w:rsidRPr="009D7635">
        <w:rPr>
          <w:rFonts w:ascii="Times New Roman" w:hAnsi="Times New Roman" w:cs="Times New Roman"/>
          <w:i/>
          <w:color w:val="000000" w:themeColor="text1"/>
        </w:rPr>
        <w:t>perfectio</w:t>
      </w:r>
      <w:proofErr w:type="spellEnd"/>
      <w:r w:rsidRPr="009D7635">
        <w:rPr>
          <w:rFonts w:ascii="Times New Roman" w:hAnsi="Times New Roman" w:cs="Times New Roman"/>
          <w:i/>
          <w:color w:val="000000" w:themeColor="text1"/>
        </w:rPr>
        <w:t xml:space="preserve"> et forma et </w:t>
      </w:r>
      <w:proofErr w:type="spellStart"/>
      <w:r w:rsidRPr="009D7635">
        <w:rPr>
          <w:rFonts w:ascii="Times New Roman" w:hAnsi="Times New Roman" w:cs="Times New Roman"/>
          <w:i/>
          <w:color w:val="000000" w:themeColor="text1"/>
        </w:rPr>
        <w:t>actus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corporis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actus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primus</w:t>
      </w:r>
      <w:proofErr w:type="spellEnd"/>
      <w:r w:rsidRPr="009D7635">
        <w:rPr>
          <w:rFonts w:ascii="Times New Roman" w:hAnsi="Times New Roman" w:cs="Times New Roman"/>
          <w:i/>
          <w:color w:val="000000" w:themeColor="text1"/>
        </w:rPr>
        <w:t xml:space="preserve">, non </w:t>
      </w:r>
      <w:proofErr w:type="spellStart"/>
      <w:r w:rsidRPr="009D7635">
        <w:rPr>
          <w:rFonts w:ascii="Times New Roman" w:hAnsi="Times New Roman" w:cs="Times New Roman"/>
          <w:i/>
          <w:color w:val="000000" w:themeColor="text1"/>
        </w:rPr>
        <w:t>secundus</w:t>
      </w:r>
      <w:proofErr w:type="spellEnd"/>
      <w:r w:rsidRPr="009D7635">
        <w:rPr>
          <w:rFonts w:ascii="Times New Roman" w:hAnsi="Times New Roman" w:cs="Times New Roman"/>
          <w:i/>
          <w:color w:val="000000" w:themeColor="text1"/>
        </w:rPr>
        <w:t xml:space="preserve">. </w:t>
      </w:r>
    </w:p>
  </w:footnote>
  <w:footnote w:id="391">
    <w:p w14:paraId="02EAFB64" w14:textId="4B726D42"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Judith Carol Wilcox, ‘The Transmission and Influence of </w:t>
      </w:r>
      <w:proofErr w:type="spellStart"/>
      <w:r w:rsidRPr="009D7635">
        <w:rPr>
          <w:rFonts w:ascii="Times New Roman" w:hAnsi="Times New Roman" w:cs="Times New Roman"/>
          <w:color w:val="000000" w:themeColor="text1"/>
          <w:lang w:val="en-US"/>
        </w:rPr>
        <w:t>Questa</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ibn</w:t>
      </w:r>
      <w:proofErr w:type="spellEnd"/>
      <w:r w:rsidRPr="009D7635">
        <w:rPr>
          <w:rFonts w:ascii="Times New Roman" w:hAnsi="Times New Roman" w:cs="Times New Roman"/>
          <w:color w:val="000000" w:themeColor="text1"/>
          <w:lang w:val="en-US"/>
        </w:rPr>
        <w:t xml:space="preserve"> Luca’s </w:t>
      </w:r>
      <w:r w:rsidRPr="009D7635">
        <w:rPr>
          <w:rFonts w:ascii="Times New Roman" w:hAnsi="Times New Roman" w:cs="Times New Roman"/>
          <w:i/>
          <w:color w:val="000000" w:themeColor="text1"/>
          <w:lang w:val="en-US"/>
        </w:rPr>
        <w:t xml:space="preserve">On the Difference </w:t>
      </w:r>
      <w:r w:rsidR="00F22358" w:rsidRPr="009D7635">
        <w:rPr>
          <w:rFonts w:ascii="Times New Roman" w:hAnsi="Times New Roman" w:cs="Times New Roman"/>
          <w:i/>
          <w:color w:val="000000" w:themeColor="text1"/>
          <w:lang w:val="en-US"/>
        </w:rPr>
        <w:t>B</w:t>
      </w:r>
      <w:r w:rsidRPr="009D7635">
        <w:rPr>
          <w:rFonts w:ascii="Times New Roman" w:hAnsi="Times New Roman" w:cs="Times New Roman"/>
          <w:i/>
          <w:color w:val="000000" w:themeColor="text1"/>
          <w:lang w:val="en-US"/>
        </w:rPr>
        <w:t>etween Spirit and the Soul</w:t>
      </w:r>
      <w:r w:rsidRPr="009D7635">
        <w:rPr>
          <w:rFonts w:ascii="Times New Roman" w:hAnsi="Times New Roman" w:cs="Times New Roman"/>
          <w:color w:val="000000" w:themeColor="text1"/>
          <w:lang w:val="en-US"/>
        </w:rPr>
        <w:t>,’ 226.</w:t>
      </w:r>
    </w:p>
  </w:footnote>
  <w:footnote w:id="392">
    <w:p w14:paraId="0BBAD478" w14:textId="0D98E23E" w:rsidR="00B93ED5" w:rsidRPr="009D7635" w:rsidRDefault="00B93ED5" w:rsidP="007C038D">
      <w:pPr>
        <w:autoSpaceDE w:val="0"/>
        <w:autoSpaceDN w:val="0"/>
        <w:adjustRightInd w:val="0"/>
        <w:ind w:right="-72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Summa de anima</w:t>
      </w:r>
      <w:r w:rsidRPr="009D7635">
        <w:rPr>
          <w:rFonts w:ascii="Times New Roman" w:hAnsi="Times New Roman" w:cs="Times New Roman"/>
          <w:color w:val="000000" w:themeColor="text1"/>
          <w:sz w:val="20"/>
          <w:szCs w:val="20"/>
        </w:rPr>
        <w:t xml:space="preserve">, 58: </w:t>
      </w:r>
      <w:proofErr w:type="spellStart"/>
      <w:r w:rsidRPr="009D7635">
        <w:rPr>
          <w:rFonts w:ascii="Times New Roman" w:hAnsi="Times New Roman" w:cs="Times New Roman"/>
          <w:i/>
          <w:color w:val="000000" w:themeColor="text1"/>
          <w:sz w:val="20"/>
          <w:szCs w:val="20"/>
          <w:lang w:val="en-US"/>
        </w:rPr>
        <w:t>Sciendum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igitur</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ibi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perfectio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tamen</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perfection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duplex, scilicet </w:t>
      </w:r>
      <w:proofErr w:type="spellStart"/>
      <w:r w:rsidRPr="009D7635">
        <w:rPr>
          <w:rFonts w:ascii="Times New Roman" w:hAnsi="Times New Roman" w:cs="Times New Roman"/>
          <w:i/>
          <w:color w:val="000000" w:themeColor="text1"/>
          <w:sz w:val="20"/>
          <w:szCs w:val="20"/>
          <w:lang w:val="en-US"/>
        </w:rPr>
        <w:t>perfectio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habitum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quemadmodum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nos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dicimus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puerum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perfectum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racionabilitate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perfectio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usum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dicimus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perfectum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racionabilitate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racione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similiter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distinguitur</w:t>
      </w:r>
      <w:proofErr w:type="spellEnd"/>
      <w:r w:rsidRPr="009D7635">
        <w:rPr>
          <w:rFonts w:ascii="Times New Roman" w:hAnsi="Times New Roman" w:cs="Times New Roman"/>
          <w:i/>
          <w:color w:val="000000" w:themeColor="text1"/>
          <w:sz w:val="20"/>
          <w:szCs w:val="20"/>
          <w:lang w:val="en-US"/>
        </w:rPr>
        <w:t xml:space="preserve"> duplex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et duplex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essendi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sive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completio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habitum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usum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sive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perfectio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habitum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primus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usum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secundus</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igitur</w:t>
      </w:r>
      <w:proofErr w:type="spellEnd"/>
      <w:r w:rsidRPr="009D7635">
        <w:rPr>
          <w:rFonts w:ascii="Times New Roman" w:hAnsi="Times New Roman" w:cs="Times New Roman"/>
          <w:i/>
          <w:color w:val="000000" w:themeColor="text1"/>
          <w:sz w:val="20"/>
          <w:szCs w:val="20"/>
          <w:lang w:val="en-US"/>
        </w:rPr>
        <w:t xml:space="preserve"> anima sit </w:t>
      </w:r>
      <w:proofErr w:type="spellStart"/>
      <w:r w:rsidRPr="009D7635">
        <w:rPr>
          <w:rFonts w:ascii="Times New Roman" w:hAnsi="Times New Roman" w:cs="Times New Roman"/>
          <w:i/>
          <w:color w:val="000000" w:themeColor="text1"/>
          <w:sz w:val="20"/>
          <w:szCs w:val="20"/>
          <w:lang w:val="en-US"/>
        </w:rPr>
        <w:t>perfectio</w:t>
      </w:r>
      <w:proofErr w:type="spellEnd"/>
      <w:r w:rsidRPr="009D7635">
        <w:rPr>
          <w:rFonts w:ascii="Times New Roman" w:hAnsi="Times New Roman" w:cs="Times New Roman"/>
          <w:i/>
          <w:color w:val="000000" w:themeColor="text1"/>
          <w:sz w:val="20"/>
          <w:szCs w:val="20"/>
          <w:lang w:val="en-US"/>
        </w:rPr>
        <w:t xml:space="preserve"> et forma et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primus</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secundus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Cuius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sit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determinatur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corporis</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w:t>
      </w:r>
    </w:p>
  </w:footnote>
  <w:footnote w:id="393">
    <w:p w14:paraId="1975A85C" w14:textId="77777777"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Theodore Crowley, </w:t>
      </w:r>
      <w:r w:rsidRPr="009D7635">
        <w:rPr>
          <w:rFonts w:ascii="Times New Roman" w:hAnsi="Times New Roman" w:cs="Times New Roman"/>
          <w:i/>
          <w:color w:val="000000" w:themeColor="text1"/>
          <w:sz w:val="20"/>
          <w:szCs w:val="20"/>
        </w:rPr>
        <w:t>Roger Bacon</w:t>
      </w:r>
      <w:r w:rsidRPr="009D7635">
        <w:rPr>
          <w:rFonts w:ascii="Times New Roman" w:hAnsi="Times New Roman" w:cs="Times New Roman"/>
          <w:color w:val="000000" w:themeColor="text1"/>
          <w:sz w:val="20"/>
          <w:szCs w:val="20"/>
        </w:rPr>
        <w:t xml:space="preserve">, 122. </w:t>
      </w:r>
    </w:p>
  </w:footnote>
  <w:footnote w:id="394">
    <w:p w14:paraId="51C894B3" w14:textId="4E8D36A6"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C0B6D"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119.</w:t>
      </w:r>
    </w:p>
  </w:footnote>
  <w:footnote w:id="395">
    <w:p w14:paraId="16FD65F8"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Richard C. Dales, </w:t>
      </w:r>
      <w:r w:rsidRPr="009D7635">
        <w:rPr>
          <w:rFonts w:ascii="Times New Roman" w:hAnsi="Times New Roman" w:cs="Times New Roman"/>
          <w:i/>
          <w:color w:val="000000" w:themeColor="text1"/>
        </w:rPr>
        <w:t>The Problem of the Rational Soul in the Thirteenth Century</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22.</w:t>
      </w:r>
    </w:p>
  </w:footnote>
  <w:footnote w:id="396">
    <w:p w14:paraId="123D891A" w14:textId="43669186"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Summa de anima</w:t>
      </w:r>
      <w:r w:rsidRPr="009D7635">
        <w:rPr>
          <w:rFonts w:ascii="Times New Roman" w:hAnsi="Times New Roman" w:cs="Times New Roman"/>
          <w:color w:val="000000" w:themeColor="text1"/>
          <w:sz w:val="20"/>
          <w:szCs w:val="20"/>
        </w:rPr>
        <w:t>, 124</w:t>
      </w:r>
      <w:r w:rsidR="007535EA" w:rsidRPr="009D7635">
        <w:rPr>
          <w:rFonts w:ascii="Times New Roman" w:hAnsi="Times New Roman" w:cs="Times New Roman"/>
          <w:color w:val="000000" w:themeColor="text1"/>
          <w:sz w:val="20"/>
          <w:szCs w:val="20"/>
        </w:rPr>
        <w:t>.</w:t>
      </w:r>
    </w:p>
  </w:footnote>
  <w:footnote w:id="397">
    <w:p w14:paraId="5DC17226" w14:textId="77777777"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Summa de anima</w:t>
      </w:r>
      <w:r w:rsidRPr="009D7635">
        <w:rPr>
          <w:rFonts w:ascii="Times New Roman" w:hAnsi="Times New Roman" w:cs="Times New Roman"/>
          <w:color w:val="000000" w:themeColor="text1"/>
          <w:sz w:val="20"/>
          <w:szCs w:val="20"/>
        </w:rPr>
        <w:t>, 126.</w:t>
      </w:r>
    </w:p>
  </w:footnote>
  <w:footnote w:id="398">
    <w:p w14:paraId="6145157D" w14:textId="7A540917"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0C0B6D" w:rsidRPr="009D7635">
        <w:rPr>
          <w:rFonts w:ascii="Times New Roman" w:hAnsi="Times New Roman" w:cs="Times New Roman"/>
          <w:iCs/>
          <w:color w:val="000000" w:themeColor="text1"/>
          <w:sz w:val="20"/>
          <w:szCs w:val="20"/>
          <w:lang w:val="en-US"/>
        </w:rPr>
        <w:t>Ibid.,</w:t>
      </w:r>
      <w:r w:rsidRPr="009D7635">
        <w:rPr>
          <w:rFonts w:ascii="Times New Roman" w:hAnsi="Times New Roman" w:cs="Times New Roman"/>
          <w:color w:val="000000" w:themeColor="text1"/>
          <w:sz w:val="20"/>
          <w:szCs w:val="20"/>
        </w:rPr>
        <w:t xml:space="preserve"> 64: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ipsius</w:t>
      </w:r>
      <w:proofErr w:type="spellEnd"/>
      <w:r w:rsidRPr="009D7635">
        <w:rPr>
          <w:rFonts w:ascii="Times New Roman" w:hAnsi="Times New Roman" w:cs="Times New Roman"/>
          <w:i/>
          <w:color w:val="000000" w:themeColor="text1"/>
          <w:sz w:val="20"/>
          <w:szCs w:val="20"/>
        </w:rPr>
        <w:t xml:space="preserve"> anime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immaterialis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eius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operacio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per </w:t>
      </w:r>
      <w:proofErr w:type="spellStart"/>
      <w:r w:rsidRPr="009D7635">
        <w:rPr>
          <w:rFonts w:ascii="Times New Roman" w:hAnsi="Times New Roman" w:cs="Times New Roman"/>
          <w:i/>
          <w:color w:val="000000" w:themeColor="text1"/>
          <w:sz w:val="20"/>
          <w:szCs w:val="20"/>
        </w:rPr>
        <w:t>abstractionem</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materia</w:t>
      </w:r>
      <w:proofErr w:type="spellEnd"/>
      <w:r w:rsidRPr="009D7635">
        <w:rPr>
          <w:rFonts w:ascii="Times New Roman" w:hAnsi="Times New Roman" w:cs="Times New Roman"/>
          <w:i/>
          <w:color w:val="000000" w:themeColor="text1"/>
          <w:sz w:val="20"/>
          <w:szCs w:val="20"/>
        </w:rPr>
        <w:t>.</w:t>
      </w:r>
    </w:p>
  </w:footnote>
  <w:footnote w:id="399">
    <w:p w14:paraId="325635A7" w14:textId="56D04A9D"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C0B6D" w:rsidRPr="009D7635">
        <w:rPr>
          <w:rFonts w:ascii="Times New Roman" w:hAnsi="Times New Roman" w:cs="Times New Roman"/>
          <w:iCs/>
          <w:color w:val="000000" w:themeColor="text1"/>
          <w:lang w:val="en-US"/>
        </w:rPr>
        <w:t>Ibid.,</w:t>
      </w:r>
      <w:r w:rsidR="000C0B6D"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127.</w:t>
      </w:r>
    </w:p>
  </w:footnote>
  <w:footnote w:id="400">
    <w:p w14:paraId="305507F5" w14:textId="0478158D"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C0B6D" w:rsidRPr="009D7635">
        <w:rPr>
          <w:rFonts w:ascii="Times New Roman" w:hAnsi="Times New Roman" w:cs="Times New Roman"/>
          <w:iCs/>
          <w:color w:val="000000" w:themeColor="text1"/>
          <w:lang w:val="en-US"/>
        </w:rPr>
        <w:t>Ibid.,</w:t>
      </w:r>
      <w:r w:rsidR="000C0B6D"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126.</w:t>
      </w:r>
    </w:p>
  </w:footnote>
  <w:footnote w:id="401">
    <w:p w14:paraId="491F1600" w14:textId="4F4EB5BC"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0C0B6D" w:rsidRPr="009D7635">
        <w:rPr>
          <w:rFonts w:ascii="Times New Roman" w:hAnsi="Times New Roman" w:cs="Times New Roman"/>
          <w:iCs/>
          <w:color w:val="000000" w:themeColor="text1"/>
          <w:sz w:val="20"/>
          <w:szCs w:val="20"/>
          <w:lang w:val="en-US"/>
        </w:rPr>
        <w:t>Ibid.,</w:t>
      </w:r>
      <w:r w:rsidR="000C0B6D"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125. The soul and body are not united as motor to moved or sailor to ship because this is a union which is not according to substance</w:t>
      </w:r>
      <w:r w:rsidR="00E530A6"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but </w:t>
      </w:r>
      <w:r w:rsidR="00E530A6" w:rsidRPr="009D7635">
        <w:rPr>
          <w:rFonts w:ascii="Times New Roman" w:hAnsi="Times New Roman" w:cs="Times New Roman"/>
          <w:color w:val="000000" w:themeColor="text1"/>
          <w:sz w:val="20"/>
          <w:szCs w:val="20"/>
        </w:rPr>
        <w:t xml:space="preserve">the </w:t>
      </w:r>
      <w:r w:rsidRPr="009D7635">
        <w:rPr>
          <w:rFonts w:ascii="Times New Roman" w:hAnsi="Times New Roman" w:cs="Times New Roman"/>
          <w:color w:val="000000" w:themeColor="text1"/>
          <w:sz w:val="20"/>
          <w:szCs w:val="20"/>
        </w:rPr>
        <w:t>human body and soul are united by substance or essentially.</w:t>
      </w:r>
    </w:p>
  </w:footnote>
  <w:footnote w:id="402">
    <w:p w14:paraId="489BC93A" w14:textId="7D1086F3" w:rsidR="00B93ED5" w:rsidRPr="009D7635" w:rsidRDefault="00B93ED5" w:rsidP="007C038D">
      <w:pPr>
        <w:autoSpaceDE w:val="0"/>
        <w:autoSpaceDN w:val="0"/>
        <w:adjustRightInd w:val="0"/>
        <w:ind w:right="-72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0C0B6D" w:rsidRPr="009D7635">
        <w:rPr>
          <w:rFonts w:ascii="Times New Roman" w:hAnsi="Times New Roman" w:cs="Times New Roman"/>
          <w:iCs/>
          <w:color w:val="000000" w:themeColor="text1"/>
          <w:sz w:val="20"/>
          <w:szCs w:val="20"/>
          <w:lang w:val="en-US"/>
        </w:rPr>
        <w:t>Ibid.,</w:t>
      </w:r>
      <w:r w:rsidR="000C0B6D"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52.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naturam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unibilitatis</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quam</w:t>
      </w:r>
      <w:proofErr w:type="spellEnd"/>
      <w:r w:rsidRPr="009D7635">
        <w:rPr>
          <w:rFonts w:ascii="Times New Roman" w:hAnsi="Times New Roman" w:cs="Times New Roman"/>
          <w:i/>
          <w:color w:val="000000" w:themeColor="text1"/>
          <w:sz w:val="20"/>
          <w:szCs w:val="20"/>
          <w:lang w:val="en-US"/>
        </w:rPr>
        <w:t xml:space="preserve"> corpus </w:t>
      </w:r>
      <w:proofErr w:type="spellStart"/>
      <w:r w:rsidRPr="009D7635">
        <w:rPr>
          <w:rFonts w:ascii="Times New Roman" w:hAnsi="Times New Roman" w:cs="Times New Roman"/>
          <w:i/>
          <w:color w:val="000000" w:themeColor="text1"/>
          <w:sz w:val="20"/>
          <w:szCs w:val="20"/>
          <w:lang w:val="en-US"/>
        </w:rPr>
        <w:t>animando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vivificat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quedam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spiritus.</w:t>
      </w:r>
      <w:r w:rsidRPr="009D7635">
        <w:rPr>
          <w:rFonts w:ascii="Times New Roman" w:hAnsi="Times New Roman" w:cs="Times New Roman"/>
          <w:color w:val="000000" w:themeColor="text1"/>
          <w:sz w:val="20"/>
          <w:szCs w:val="20"/>
          <w:lang w:val="en-US"/>
        </w:rPr>
        <w:t xml:space="preserve"> </w:t>
      </w:r>
    </w:p>
  </w:footnote>
  <w:footnote w:id="403">
    <w:p w14:paraId="1B839E00" w14:textId="30CCF766"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0C0B6D" w:rsidRPr="009D7635">
        <w:rPr>
          <w:rFonts w:ascii="Times New Roman" w:hAnsi="Times New Roman" w:cs="Times New Roman"/>
          <w:iCs/>
          <w:color w:val="000000" w:themeColor="text1"/>
          <w:sz w:val="20"/>
          <w:szCs w:val="20"/>
          <w:lang w:val="en-US"/>
        </w:rPr>
        <w:t>Ibid.,</w:t>
      </w:r>
      <w:r w:rsidR="000C0B6D"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128. </w:t>
      </w:r>
      <w:r w:rsidRPr="009D7635">
        <w:rPr>
          <w:rFonts w:ascii="Times New Roman" w:hAnsi="Times New Roman" w:cs="Times New Roman"/>
          <w:i/>
          <w:color w:val="000000" w:themeColor="text1"/>
          <w:sz w:val="20"/>
          <w:szCs w:val="20"/>
        </w:rPr>
        <w:t xml:space="preserve">Nam </w:t>
      </w:r>
      <w:proofErr w:type="spellStart"/>
      <w:r w:rsidRPr="009D7635">
        <w:rPr>
          <w:rFonts w:ascii="Times New Roman" w:hAnsi="Times New Roman" w:cs="Times New Roman"/>
          <w:i/>
          <w:color w:val="000000" w:themeColor="text1"/>
          <w:sz w:val="20"/>
          <w:szCs w:val="20"/>
        </w:rPr>
        <w:t>una</w:t>
      </w:r>
      <w:proofErr w:type="spellEnd"/>
      <w:r w:rsidRPr="009D7635">
        <w:rPr>
          <w:rFonts w:ascii="Times New Roman" w:hAnsi="Times New Roman" w:cs="Times New Roman"/>
          <w:i/>
          <w:color w:val="000000" w:themeColor="text1"/>
          <w:sz w:val="20"/>
          <w:szCs w:val="20"/>
        </w:rPr>
        <w:t xml:space="preserve"> anima </w:t>
      </w:r>
      <w:proofErr w:type="spellStart"/>
      <w:r w:rsidRPr="009D7635">
        <w:rPr>
          <w:rFonts w:ascii="Times New Roman" w:hAnsi="Times New Roman" w:cs="Times New Roman"/>
          <w:i/>
          <w:color w:val="000000" w:themeColor="text1"/>
          <w:sz w:val="20"/>
          <w:szCs w:val="20"/>
        </w:rPr>
        <w:t>racionalis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determinata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ad unum corpus, et non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possibile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perficiat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splendore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aliud</w:t>
      </w:r>
      <w:proofErr w:type="spellEnd"/>
      <w:r w:rsidRPr="009D7635">
        <w:rPr>
          <w:rFonts w:ascii="Times New Roman" w:hAnsi="Times New Roman" w:cs="Times New Roman"/>
          <w:i/>
          <w:color w:val="000000" w:themeColor="text1"/>
          <w:sz w:val="20"/>
          <w:szCs w:val="20"/>
        </w:rPr>
        <w:t xml:space="preserve"> corpus.</w:t>
      </w:r>
    </w:p>
  </w:footnote>
  <w:footnote w:id="404">
    <w:p w14:paraId="23511701" w14:textId="09C89964"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0C0B6D" w:rsidRPr="009D7635">
        <w:rPr>
          <w:rFonts w:ascii="Times New Roman" w:hAnsi="Times New Roman" w:cs="Times New Roman"/>
          <w:iCs/>
          <w:color w:val="000000" w:themeColor="text1"/>
          <w:sz w:val="20"/>
          <w:szCs w:val="20"/>
          <w:lang w:val="en-US"/>
        </w:rPr>
        <w:t>Ibid.,</w:t>
      </w:r>
      <w:r w:rsidR="000C0B6D"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126.</w:t>
      </w:r>
    </w:p>
  </w:footnote>
  <w:footnote w:id="405">
    <w:p w14:paraId="78EC5342" w14:textId="0FC68F05"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0C0B6D" w:rsidRPr="009D7635">
        <w:rPr>
          <w:rFonts w:ascii="Times New Roman" w:hAnsi="Times New Roman" w:cs="Times New Roman"/>
          <w:iCs/>
          <w:color w:val="000000" w:themeColor="text1"/>
          <w:sz w:val="20"/>
          <w:szCs w:val="20"/>
          <w:lang w:val="en-US"/>
        </w:rPr>
        <w:t>Ibid.</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Anime </w:t>
      </w:r>
      <w:proofErr w:type="spellStart"/>
      <w:r w:rsidRPr="009D7635">
        <w:rPr>
          <w:rFonts w:ascii="Times New Roman" w:hAnsi="Times New Roman" w:cs="Times New Roman"/>
          <w:i/>
          <w:color w:val="000000" w:themeColor="text1"/>
          <w:sz w:val="20"/>
          <w:szCs w:val="20"/>
        </w:rPr>
        <w:t>racionalis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dicendum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unitur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duplicem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modum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enim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sicut</w:t>
      </w:r>
      <w:proofErr w:type="spellEnd"/>
      <w:r w:rsidRPr="009D7635">
        <w:rPr>
          <w:rFonts w:ascii="Times New Roman" w:hAnsi="Times New Roman" w:cs="Times New Roman"/>
          <w:i/>
          <w:color w:val="000000" w:themeColor="text1"/>
          <w:sz w:val="20"/>
          <w:szCs w:val="20"/>
        </w:rPr>
        <w:t xml:space="preserve"> forma </w:t>
      </w:r>
      <w:proofErr w:type="spellStart"/>
      <w:r w:rsidRPr="009D7635">
        <w:rPr>
          <w:rFonts w:ascii="Times New Roman" w:hAnsi="Times New Roman" w:cs="Times New Roman"/>
          <w:i/>
          <w:color w:val="000000" w:themeColor="text1"/>
          <w:sz w:val="20"/>
          <w:szCs w:val="20"/>
        </w:rPr>
        <w:t>vel</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perfectio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perfectibili</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Artifex</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organo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motor </w:t>
      </w:r>
      <w:proofErr w:type="spellStart"/>
      <w:r w:rsidRPr="009D7635">
        <w:rPr>
          <w:rFonts w:ascii="Times New Roman" w:hAnsi="Times New Roman" w:cs="Times New Roman"/>
          <w:i/>
          <w:color w:val="000000" w:themeColor="text1"/>
          <w:sz w:val="20"/>
          <w:szCs w:val="20"/>
        </w:rPr>
        <w:t>mobili</w:t>
      </w:r>
      <w:proofErr w:type="spellEnd"/>
      <w:r w:rsidRPr="009D7635">
        <w:rPr>
          <w:rFonts w:ascii="Times New Roman" w:hAnsi="Times New Roman" w:cs="Times New Roman"/>
          <w:i/>
          <w:color w:val="000000" w:themeColor="text1"/>
          <w:sz w:val="20"/>
          <w:szCs w:val="20"/>
        </w:rPr>
        <w:t xml:space="preserve">. </w:t>
      </w:r>
    </w:p>
  </w:footnote>
  <w:footnote w:id="406">
    <w:p w14:paraId="1D42F946" w14:textId="009390DA"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42D1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S1, Q3, T2, C1, Ar1, Contra c, 418. Cf. C6, Ad </w:t>
      </w:r>
      <w:proofErr w:type="spellStart"/>
      <w:r w:rsidRPr="009D7635">
        <w:rPr>
          <w:rFonts w:ascii="Times New Roman" w:hAnsi="Times New Roman" w:cs="Times New Roman"/>
          <w:color w:val="000000" w:themeColor="text1"/>
          <w:sz w:val="20"/>
          <w:szCs w:val="20"/>
        </w:rPr>
        <w:t>objecta</w:t>
      </w:r>
      <w:proofErr w:type="spellEnd"/>
      <w:r w:rsidRPr="009D7635">
        <w:rPr>
          <w:rFonts w:ascii="Times New Roman" w:hAnsi="Times New Roman" w:cs="Times New Roman"/>
          <w:color w:val="000000" w:themeColor="text1"/>
          <w:sz w:val="20"/>
          <w:szCs w:val="20"/>
        </w:rPr>
        <w:t xml:space="preserve"> 2, 417: </w:t>
      </w:r>
      <w:r w:rsidRPr="009D7635">
        <w:rPr>
          <w:rFonts w:ascii="Times New Roman" w:hAnsi="Times New Roman" w:cs="Times New Roman"/>
          <w:i/>
          <w:color w:val="000000" w:themeColor="text1"/>
          <w:sz w:val="20"/>
          <w:szCs w:val="20"/>
        </w:rPr>
        <w:t xml:space="preserve">Anima </w:t>
      </w:r>
      <w:proofErr w:type="spellStart"/>
      <w:r w:rsidRPr="009D7635">
        <w:rPr>
          <w:rFonts w:ascii="Times New Roman" w:hAnsi="Times New Roman" w:cs="Times New Roman"/>
          <w:i/>
          <w:color w:val="000000" w:themeColor="text1"/>
          <w:sz w:val="20"/>
          <w:szCs w:val="20"/>
        </w:rPr>
        <w:t>rationalis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praecedit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suum</w:t>
      </w:r>
      <w:proofErr w:type="spellEnd"/>
      <w:r w:rsidRPr="009D7635">
        <w:rPr>
          <w:rFonts w:ascii="Times New Roman" w:hAnsi="Times New Roman" w:cs="Times New Roman"/>
          <w:i/>
          <w:color w:val="000000" w:themeColor="text1"/>
          <w:sz w:val="20"/>
          <w:szCs w:val="20"/>
        </w:rPr>
        <w:t xml:space="preserve"> corpus, sed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perfectio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organici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potentia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vitam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habentis</w:t>
      </w:r>
      <w:proofErr w:type="spellEnd"/>
      <w:r w:rsidRPr="009D7635">
        <w:rPr>
          <w:rFonts w:ascii="Times New Roman" w:hAnsi="Times New Roman" w:cs="Times New Roman"/>
          <w:i/>
          <w:color w:val="000000" w:themeColor="text1"/>
          <w:sz w:val="20"/>
          <w:szCs w:val="20"/>
        </w:rPr>
        <w:t>.</w:t>
      </w:r>
    </w:p>
  </w:footnote>
  <w:footnote w:id="407">
    <w:p w14:paraId="2D61B44B" w14:textId="0D00DFCE" w:rsidR="00B93ED5" w:rsidRPr="009D7635" w:rsidRDefault="00B93ED5" w:rsidP="007C038D">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42D1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2.1, In4, Tr1, S2, Q1, C3, Ar3, Sed contra a, 428</w:t>
      </w:r>
      <w:r w:rsidRPr="009D7635">
        <w:rPr>
          <w:rFonts w:ascii="Times New Roman" w:hAnsi="Times New Roman" w:cs="Times New Roman"/>
          <w:color w:val="000000" w:themeColor="text1"/>
          <w:sz w:val="20"/>
          <w:szCs w:val="20"/>
          <w:lang w:val="en-US"/>
        </w:rPr>
        <w:t xml:space="preserve">, citing Aristotle, </w:t>
      </w:r>
      <w:r w:rsidRPr="009D7635">
        <w:rPr>
          <w:rFonts w:ascii="Times New Roman" w:hAnsi="Times New Roman" w:cs="Times New Roman"/>
          <w:i/>
          <w:color w:val="000000" w:themeColor="text1"/>
          <w:sz w:val="20"/>
          <w:szCs w:val="20"/>
          <w:lang w:val="en-US"/>
        </w:rPr>
        <w:t>De anima</w:t>
      </w:r>
      <w:r w:rsidRPr="009D7635">
        <w:rPr>
          <w:rFonts w:ascii="Times New Roman" w:hAnsi="Times New Roman" w:cs="Times New Roman"/>
          <w:color w:val="000000" w:themeColor="text1"/>
          <w:sz w:val="20"/>
          <w:szCs w:val="20"/>
          <w:lang w:val="en-US"/>
        </w:rPr>
        <w:t xml:space="preserve"> II.2: </w:t>
      </w:r>
      <w:r w:rsidRPr="009D7635">
        <w:rPr>
          <w:rFonts w:ascii="Times New Roman" w:hAnsi="Times New Roman" w:cs="Times New Roman"/>
          <w:i/>
          <w:color w:val="000000" w:themeColor="text1"/>
          <w:sz w:val="20"/>
          <w:szCs w:val="20"/>
          <w:lang w:val="en-US"/>
        </w:rPr>
        <w:t xml:space="preserve">Vita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primus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animae</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w:t>
      </w:r>
      <w:r w:rsidRPr="009D7635">
        <w:rPr>
          <w:rStyle w:val="FootnoteReference"/>
          <w:rFonts w:ascii="Times New Roman" w:hAnsi="Times New Roman" w:cs="Times New Roman"/>
          <w:i/>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 </w:t>
      </w:r>
    </w:p>
  </w:footnote>
  <w:footnote w:id="408">
    <w:p w14:paraId="184E6E20" w14:textId="2F0197AE"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Q1, C1, Ar1, 1, 425: </w:t>
      </w:r>
      <w:r w:rsidRPr="009D7635">
        <w:rPr>
          <w:rFonts w:ascii="Times New Roman" w:hAnsi="Times New Roman" w:cs="Times New Roman"/>
          <w:i/>
          <w:color w:val="000000" w:themeColor="text1"/>
        </w:rPr>
        <w:t xml:space="preserve">Forma </w:t>
      </w:r>
      <w:proofErr w:type="spellStart"/>
      <w:r w:rsidRPr="009D7635">
        <w:rPr>
          <w:rFonts w:ascii="Times New Roman" w:hAnsi="Times New Roman" w:cs="Times New Roman"/>
          <w:i/>
          <w:color w:val="000000" w:themeColor="text1"/>
        </w:rPr>
        <w:t>autem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dicitur</w:t>
      </w:r>
      <w:proofErr w:type="spellEnd"/>
      <w:r w:rsidRPr="009D7635">
        <w:rPr>
          <w:rFonts w:ascii="Times New Roman" w:hAnsi="Times New Roman" w:cs="Times New Roman"/>
          <w:i/>
          <w:color w:val="000000" w:themeColor="text1"/>
        </w:rPr>
        <w:t xml:space="preserve"> in quantum </w:t>
      </w:r>
      <w:proofErr w:type="spellStart"/>
      <w:r w:rsidRPr="009D7635">
        <w:rPr>
          <w:rFonts w:ascii="Times New Roman" w:hAnsi="Times New Roman" w:cs="Times New Roman"/>
          <w:i/>
          <w:color w:val="000000" w:themeColor="text1"/>
        </w:rPr>
        <w:t>perficit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esse</w:t>
      </w:r>
      <w:proofErr w:type="spellEnd"/>
      <w:r w:rsidRPr="009D7635">
        <w:rPr>
          <w:rFonts w:ascii="Times New Roman" w:hAnsi="Times New Roman" w:cs="Times New Roman"/>
          <w:i/>
          <w:color w:val="000000" w:themeColor="text1"/>
        </w:rPr>
        <w:t>.</w:t>
      </w:r>
    </w:p>
  </w:footnote>
  <w:footnote w:id="409">
    <w:p w14:paraId="13E3830A" w14:textId="7D26EBE0" w:rsidR="00B93ED5" w:rsidRPr="009D7635" w:rsidRDefault="00B93ED5" w:rsidP="007C038D">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Ti2, C1, Ar1, Contra e, 418: </w:t>
      </w:r>
      <w:r w:rsidRPr="009D7635">
        <w:rPr>
          <w:rFonts w:ascii="Times New Roman" w:hAnsi="Times New Roman" w:cs="Times New Roman"/>
          <w:i/>
          <w:color w:val="000000" w:themeColor="text1"/>
        </w:rPr>
        <w:t xml:space="preserve">Item, </w:t>
      </w:r>
      <w:proofErr w:type="spellStart"/>
      <w:r w:rsidRPr="009D7635">
        <w:rPr>
          <w:rFonts w:ascii="Times New Roman" w:hAnsi="Times New Roman" w:cs="Times New Roman"/>
          <w:i/>
          <w:color w:val="000000" w:themeColor="text1"/>
        </w:rPr>
        <w:t>omne</w:t>
      </w:r>
      <w:proofErr w:type="spellEnd"/>
      <w:r w:rsidRPr="009D7635">
        <w:rPr>
          <w:rFonts w:ascii="Times New Roman" w:hAnsi="Times New Roman" w:cs="Times New Roman"/>
          <w:i/>
          <w:color w:val="000000" w:themeColor="text1"/>
        </w:rPr>
        <w:t xml:space="preserve"> quod </w:t>
      </w:r>
      <w:proofErr w:type="spellStart"/>
      <w:r w:rsidRPr="009D7635">
        <w:rPr>
          <w:rFonts w:ascii="Times New Roman" w:hAnsi="Times New Roman" w:cs="Times New Roman"/>
          <w:i/>
          <w:color w:val="000000" w:themeColor="text1"/>
        </w:rPr>
        <w:t>continet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alterum</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salvat</w:t>
      </w:r>
      <w:proofErr w:type="spellEnd"/>
      <w:r w:rsidRPr="009D7635">
        <w:rPr>
          <w:rFonts w:ascii="Times New Roman" w:hAnsi="Times New Roman" w:cs="Times New Roman"/>
          <w:i/>
          <w:color w:val="000000" w:themeColor="text1"/>
        </w:rPr>
        <w:t xml:space="preserve"> per </w:t>
      </w:r>
      <w:proofErr w:type="spellStart"/>
      <w:r w:rsidRPr="009D7635">
        <w:rPr>
          <w:rFonts w:ascii="Times New Roman" w:hAnsi="Times New Roman" w:cs="Times New Roman"/>
          <w:i/>
          <w:color w:val="000000" w:themeColor="text1"/>
        </w:rPr>
        <w:t>modum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formae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facit</w:t>
      </w:r>
      <w:proofErr w:type="spellEnd"/>
      <w:r w:rsidRPr="009D7635">
        <w:rPr>
          <w:rFonts w:ascii="Times New Roman" w:hAnsi="Times New Roman" w:cs="Times New Roman"/>
          <w:i/>
          <w:color w:val="000000" w:themeColor="text1"/>
        </w:rPr>
        <w:t xml:space="preserve"> unum cum </w:t>
      </w:r>
      <w:proofErr w:type="spellStart"/>
      <w:r w:rsidRPr="009D7635">
        <w:rPr>
          <w:rFonts w:ascii="Times New Roman" w:hAnsi="Times New Roman" w:cs="Times New Roman"/>
          <w:i/>
          <w:color w:val="000000" w:themeColor="text1"/>
        </w:rPr>
        <w:t>illo</w:t>
      </w:r>
      <w:proofErr w:type="spellEnd"/>
      <w:r w:rsidRPr="009D7635">
        <w:rPr>
          <w:rFonts w:ascii="Times New Roman" w:hAnsi="Times New Roman" w:cs="Times New Roman"/>
          <w:i/>
          <w:color w:val="000000" w:themeColor="text1"/>
        </w:rPr>
        <w:t xml:space="preserve"> quod </w:t>
      </w:r>
      <w:proofErr w:type="spellStart"/>
      <w:r w:rsidRPr="009D7635">
        <w:rPr>
          <w:rFonts w:ascii="Times New Roman" w:hAnsi="Times New Roman" w:cs="Times New Roman"/>
          <w:i/>
          <w:color w:val="000000" w:themeColor="text1"/>
        </w:rPr>
        <w:t>continetur</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salvatur</w:t>
      </w:r>
      <w:proofErr w:type="spellEnd"/>
      <w:r w:rsidRPr="009D7635">
        <w:rPr>
          <w:rFonts w:ascii="Times New Roman" w:hAnsi="Times New Roman" w:cs="Times New Roman"/>
          <w:i/>
          <w:color w:val="000000" w:themeColor="text1"/>
        </w:rPr>
        <w:t xml:space="preserve">; sed anima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huiusmodi</w:t>
      </w:r>
      <w:proofErr w:type="spellEnd"/>
      <w:r w:rsidRPr="009D7635">
        <w:rPr>
          <w:rFonts w:ascii="Times New Roman" w:hAnsi="Times New Roman" w:cs="Times New Roman"/>
          <w:i/>
          <w:color w:val="000000" w:themeColor="text1"/>
        </w:rPr>
        <w:t xml:space="preserve">: ipsa </w:t>
      </w:r>
      <w:proofErr w:type="spellStart"/>
      <w:r w:rsidRPr="009D7635">
        <w:rPr>
          <w:rFonts w:ascii="Times New Roman" w:hAnsi="Times New Roman" w:cs="Times New Roman"/>
          <w:i/>
          <w:color w:val="000000" w:themeColor="text1"/>
        </w:rPr>
        <w:t>enim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continet</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salvat</w:t>
      </w:r>
      <w:proofErr w:type="spellEnd"/>
      <w:r w:rsidRPr="009D7635">
        <w:rPr>
          <w:rFonts w:ascii="Times New Roman" w:hAnsi="Times New Roman" w:cs="Times New Roman"/>
          <w:i/>
          <w:color w:val="000000" w:themeColor="text1"/>
        </w:rPr>
        <w:t xml:space="preserve"> corpus ens in </w:t>
      </w:r>
      <w:proofErr w:type="spellStart"/>
      <w:r w:rsidRPr="009D7635">
        <w:rPr>
          <w:rFonts w:ascii="Times New Roman" w:hAnsi="Times New Roman" w:cs="Times New Roman"/>
          <w:i/>
          <w:color w:val="000000" w:themeColor="text1"/>
        </w:rPr>
        <w:t>corpore</w:t>
      </w:r>
      <w:proofErr w:type="spellEnd"/>
      <w:r w:rsidRPr="009D7635">
        <w:rPr>
          <w:rFonts w:ascii="Times New Roman" w:hAnsi="Times New Roman" w:cs="Times New Roman"/>
          <w:i/>
          <w:color w:val="000000" w:themeColor="text1"/>
        </w:rPr>
        <w:t xml:space="preserve">, ipsa </w:t>
      </w:r>
      <w:proofErr w:type="spellStart"/>
      <w:r w:rsidRPr="009D7635">
        <w:rPr>
          <w:rFonts w:ascii="Times New Roman" w:hAnsi="Times New Roman" w:cs="Times New Roman"/>
          <w:i/>
          <w:color w:val="000000" w:themeColor="text1"/>
        </w:rPr>
        <w:t>vero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recedente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destruitur</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disolvitur</w:t>
      </w:r>
      <w:proofErr w:type="spellEnd"/>
      <w:r w:rsidRPr="009D7635">
        <w:rPr>
          <w:rFonts w:ascii="Times New Roman" w:hAnsi="Times New Roman" w:cs="Times New Roman"/>
          <w:i/>
          <w:color w:val="000000" w:themeColor="text1"/>
        </w:rPr>
        <w:t xml:space="preserve"> corpus; ergo ipsa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perfectio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corporis</w:t>
      </w:r>
      <w:proofErr w:type="spellEnd"/>
      <w:r w:rsidRPr="009D7635">
        <w:rPr>
          <w:rFonts w:ascii="Times New Roman" w:hAnsi="Times New Roman" w:cs="Times New Roman"/>
          <w:i/>
          <w:color w:val="000000" w:themeColor="text1"/>
        </w:rPr>
        <w:t>.</w:t>
      </w:r>
    </w:p>
  </w:footnote>
  <w:footnote w:id="410">
    <w:p w14:paraId="1A26E011" w14:textId="6DA0CAF6" w:rsidR="00B93ED5" w:rsidRPr="009D7635" w:rsidRDefault="00B93ED5" w:rsidP="007C038D">
      <w:pPr>
        <w:pStyle w:val="Default"/>
        <w:rPr>
          <w:rFonts w:ascii="Times New Roman" w:hAnsi="Times New Roman" w:cs="Times New Roman"/>
          <w:bCs/>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42D1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Ti2, C1, Ar1,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418: </w:t>
      </w:r>
      <w:r w:rsidRPr="009D7635">
        <w:rPr>
          <w:rFonts w:ascii="Times New Roman" w:hAnsi="Times New Roman" w:cs="Times New Roman"/>
          <w:i/>
          <w:color w:val="000000" w:themeColor="text1"/>
          <w:sz w:val="20"/>
          <w:szCs w:val="20"/>
        </w:rPr>
        <w:t xml:space="preserve">Ad quod </w:t>
      </w:r>
      <w:proofErr w:type="spellStart"/>
      <w:r w:rsidRPr="009D7635">
        <w:rPr>
          <w:rFonts w:ascii="Times New Roman" w:hAnsi="Times New Roman" w:cs="Times New Roman"/>
          <w:i/>
          <w:color w:val="000000" w:themeColor="text1"/>
          <w:sz w:val="20"/>
          <w:szCs w:val="20"/>
        </w:rPr>
        <w:t>dicendum</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coniungibilia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sunt</w:t>
      </w:r>
      <w:proofErr w:type="spellEnd"/>
      <w:r w:rsidRPr="009D7635">
        <w:rPr>
          <w:rFonts w:ascii="Times New Roman" w:hAnsi="Times New Roman" w:cs="Times New Roman"/>
          <w:i/>
          <w:color w:val="000000" w:themeColor="text1"/>
          <w:sz w:val="20"/>
          <w:szCs w:val="20"/>
        </w:rPr>
        <w:t xml:space="preserve"> anima et corpus et </w:t>
      </w:r>
      <w:proofErr w:type="spellStart"/>
      <w:r w:rsidRPr="009D7635">
        <w:rPr>
          <w:rFonts w:ascii="Times New Roman" w:hAnsi="Times New Roman" w:cs="Times New Roman"/>
          <w:i/>
          <w:color w:val="000000" w:themeColor="text1"/>
          <w:sz w:val="20"/>
          <w:szCs w:val="20"/>
        </w:rPr>
        <w:t>uniuntur</w:t>
      </w:r>
      <w:proofErr w:type="spellEnd"/>
      <w:r w:rsidRPr="009D7635">
        <w:rPr>
          <w:rFonts w:ascii="Times New Roman" w:hAnsi="Times New Roman" w:cs="Times New Roman"/>
          <w:i/>
          <w:color w:val="000000" w:themeColor="text1"/>
          <w:sz w:val="20"/>
          <w:szCs w:val="20"/>
        </w:rPr>
        <w:t xml:space="preserve"> in unum,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fiat </w:t>
      </w:r>
      <w:proofErr w:type="spellStart"/>
      <w:r w:rsidRPr="009D7635">
        <w:rPr>
          <w:rFonts w:ascii="Times New Roman" w:hAnsi="Times New Roman" w:cs="Times New Roman"/>
          <w:i/>
          <w:color w:val="000000" w:themeColor="text1"/>
          <w:sz w:val="20"/>
          <w:szCs w:val="20"/>
        </w:rPr>
        <w:t>una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natura</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See also ad 1 on page 73 and ad 3 on page 151, quoted by Richard C. Dales, </w:t>
      </w:r>
      <w:r w:rsidRPr="009D7635">
        <w:rPr>
          <w:rFonts w:ascii="Times New Roman" w:hAnsi="Times New Roman" w:cs="Times New Roman"/>
          <w:i/>
          <w:color w:val="000000" w:themeColor="text1"/>
          <w:sz w:val="20"/>
          <w:szCs w:val="20"/>
        </w:rPr>
        <w:t>The Problem of the Rational Soul</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28: ‘For the soul is a </w:t>
      </w:r>
      <w:r w:rsidRPr="009D7635">
        <w:rPr>
          <w:rFonts w:ascii="Times New Roman" w:hAnsi="Times New Roman" w:cs="Times New Roman"/>
          <w:i/>
          <w:iCs/>
          <w:color w:val="000000" w:themeColor="text1"/>
          <w:sz w:val="20"/>
          <w:szCs w:val="20"/>
        </w:rPr>
        <w:t xml:space="preserve">hoc </w:t>
      </w:r>
      <w:proofErr w:type="spellStart"/>
      <w:r w:rsidRPr="009D7635">
        <w:rPr>
          <w:rFonts w:ascii="Times New Roman" w:hAnsi="Times New Roman" w:cs="Times New Roman"/>
          <w:i/>
          <w:iCs/>
          <w:color w:val="000000" w:themeColor="text1"/>
          <w:sz w:val="20"/>
          <w:szCs w:val="20"/>
        </w:rPr>
        <w:t>aliquid</w:t>
      </w:r>
      <w:proofErr w:type="spellEnd"/>
      <w:r w:rsidRPr="009D7635">
        <w:rPr>
          <w:rFonts w:ascii="Times New Roman" w:hAnsi="Times New Roman" w:cs="Times New Roman"/>
          <w:i/>
          <w:iCs/>
          <w:color w:val="000000" w:themeColor="text1"/>
          <w:sz w:val="20"/>
          <w:szCs w:val="20"/>
        </w:rPr>
        <w:t xml:space="preserve"> </w:t>
      </w:r>
      <w:r w:rsidRPr="009D7635">
        <w:rPr>
          <w:rFonts w:ascii="Times New Roman" w:hAnsi="Times New Roman" w:cs="Times New Roman"/>
          <w:color w:val="000000" w:themeColor="text1"/>
          <w:sz w:val="20"/>
          <w:szCs w:val="20"/>
        </w:rPr>
        <w:t xml:space="preserve">apart from its matter, and one cannot say this of a natural form in an absolute sense. Whence [the soul] is not here, properly speaking, the act of matter, but the act of a natural body completed in its natural form, which form is called the corporeal form.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enim</w:t>
      </w:r>
      <w:proofErr w:type="spellEnd"/>
      <w:r w:rsidRPr="009D7635">
        <w:rPr>
          <w:rFonts w:ascii="Times New Roman" w:hAnsi="Times New Roman" w:cs="Times New Roman"/>
          <w:bCs/>
          <w:i/>
          <w:color w:val="000000" w:themeColor="text1"/>
          <w:sz w:val="20"/>
          <w:szCs w:val="20"/>
        </w:rPr>
        <w:t xml:space="preserve"> anima hoc </w:t>
      </w:r>
      <w:proofErr w:type="spellStart"/>
      <w:r w:rsidRPr="009D7635">
        <w:rPr>
          <w:rFonts w:ascii="Times New Roman" w:hAnsi="Times New Roman" w:cs="Times New Roman"/>
          <w:bCs/>
          <w:i/>
          <w:color w:val="000000" w:themeColor="text1"/>
          <w:sz w:val="20"/>
          <w:szCs w:val="20"/>
        </w:rPr>
        <w:t>aliquid</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praeter</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suam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materiam</w:t>
      </w:r>
      <w:proofErr w:type="spellEnd"/>
      <w:r w:rsidRPr="009D7635">
        <w:rPr>
          <w:rFonts w:ascii="Times New Roman" w:hAnsi="Times New Roman" w:cs="Times New Roman"/>
          <w:bCs/>
          <w:i/>
          <w:color w:val="000000" w:themeColor="text1"/>
          <w:sz w:val="20"/>
          <w:szCs w:val="20"/>
        </w:rPr>
        <w:t xml:space="preserve">: quod non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dicere</w:t>
      </w:r>
      <w:proofErr w:type="spellEnd"/>
      <w:r w:rsidRPr="009D7635">
        <w:rPr>
          <w:rFonts w:ascii="Times New Roman" w:hAnsi="Times New Roman" w:cs="Times New Roman"/>
          <w:bCs/>
          <w:i/>
          <w:color w:val="000000" w:themeColor="text1"/>
          <w:sz w:val="20"/>
          <w:szCs w:val="20"/>
        </w:rPr>
        <w:t xml:space="preserve"> in forma </w:t>
      </w:r>
      <w:proofErr w:type="spellStart"/>
      <w:r w:rsidRPr="009D7635">
        <w:rPr>
          <w:rFonts w:ascii="Times New Roman" w:hAnsi="Times New Roman" w:cs="Times New Roman"/>
          <w:bCs/>
          <w:i/>
          <w:color w:val="000000" w:themeColor="text1"/>
          <w:sz w:val="20"/>
          <w:szCs w:val="20"/>
        </w:rPr>
        <w:t>simpliciter</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naturali</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Unde</w:t>
      </w:r>
      <w:proofErr w:type="spellEnd"/>
      <w:r w:rsidRPr="009D7635">
        <w:rPr>
          <w:rFonts w:ascii="Times New Roman" w:hAnsi="Times New Roman" w:cs="Times New Roman"/>
          <w:bCs/>
          <w:i/>
          <w:color w:val="000000" w:themeColor="text1"/>
          <w:sz w:val="20"/>
          <w:szCs w:val="20"/>
        </w:rPr>
        <w:t xml:space="preserve"> non </w:t>
      </w:r>
      <w:proofErr w:type="spellStart"/>
      <w:r w:rsidRPr="009D7635">
        <w:rPr>
          <w:rFonts w:ascii="Times New Roman" w:hAnsi="Times New Roman" w:cs="Times New Roman"/>
          <w:bCs/>
          <w:i/>
          <w:color w:val="000000" w:themeColor="text1"/>
          <w:sz w:val="20"/>
          <w:szCs w:val="20"/>
        </w:rPr>
        <w:t>est</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ibi</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proprie</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actus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materiae</w:t>
      </w:r>
      <w:proofErr w:type="spellEnd"/>
      <w:r w:rsidRPr="009D7635">
        <w:rPr>
          <w:rFonts w:ascii="Times New Roman" w:hAnsi="Times New Roman" w:cs="Times New Roman"/>
          <w:bCs/>
          <w:i/>
          <w:color w:val="000000" w:themeColor="text1"/>
          <w:sz w:val="20"/>
          <w:szCs w:val="20"/>
        </w:rPr>
        <w:t xml:space="preserve">, sed </w:t>
      </w:r>
      <w:proofErr w:type="spellStart"/>
      <w:r w:rsidRPr="009D7635">
        <w:rPr>
          <w:rFonts w:ascii="Times New Roman" w:hAnsi="Times New Roman" w:cs="Times New Roman"/>
          <w:bCs/>
          <w:i/>
          <w:color w:val="000000" w:themeColor="text1"/>
          <w:sz w:val="20"/>
          <w:szCs w:val="20"/>
        </w:rPr>
        <w:t>actus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naturalis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corporis</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completi</w:t>
      </w:r>
      <w:proofErr w:type="spellEnd"/>
      <w:r w:rsidRPr="009D7635">
        <w:rPr>
          <w:rFonts w:ascii="Times New Roman" w:hAnsi="Times New Roman" w:cs="Times New Roman"/>
          <w:bCs/>
          <w:i/>
          <w:color w:val="000000" w:themeColor="text1"/>
          <w:sz w:val="20"/>
          <w:szCs w:val="20"/>
        </w:rPr>
        <w:t xml:space="preserve"> in forma </w:t>
      </w:r>
      <w:proofErr w:type="spellStart"/>
      <w:r w:rsidRPr="009D7635">
        <w:rPr>
          <w:rFonts w:ascii="Times New Roman" w:hAnsi="Times New Roman" w:cs="Times New Roman"/>
          <w:bCs/>
          <w:i/>
          <w:color w:val="000000" w:themeColor="text1"/>
          <w:sz w:val="20"/>
          <w:szCs w:val="20"/>
        </w:rPr>
        <w:t>naturali</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bCs/>
          <w:i/>
          <w:color w:val="000000" w:themeColor="text1"/>
          <w:sz w:val="20"/>
          <w:szCs w:val="20"/>
        </w:rPr>
        <w:t>quae</w:t>
      </w:r>
      <w:proofErr w:type="spellEnd"/>
      <w:r w:rsidRPr="009D7635">
        <w:rPr>
          <w:rFonts w:ascii="Times New Roman" w:hAnsi="Times New Roman" w:cs="Times New Roman"/>
          <w:bCs/>
          <w:i/>
          <w:color w:val="000000" w:themeColor="text1"/>
          <w:sz w:val="20"/>
          <w:szCs w:val="20"/>
        </w:rPr>
        <w:t xml:space="preserve"> forma </w:t>
      </w:r>
      <w:proofErr w:type="spellStart"/>
      <w:r w:rsidRPr="009D7635">
        <w:rPr>
          <w:rFonts w:ascii="Times New Roman" w:hAnsi="Times New Roman" w:cs="Times New Roman"/>
          <w:bCs/>
          <w:i/>
          <w:color w:val="000000" w:themeColor="text1"/>
          <w:sz w:val="20"/>
          <w:szCs w:val="20"/>
        </w:rPr>
        <w:t>dicitur</w:t>
      </w:r>
      <w:proofErr w:type="spellEnd"/>
      <w:r w:rsidRPr="009D7635">
        <w:rPr>
          <w:rFonts w:ascii="Times New Roman" w:hAnsi="Times New Roman" w:cs="Times New Roman"/>
          <w:bCs/>
          <w:i/>
          <w:color w:val="000000" w:themeColor="text1"/>
          <w:sz w:val="20"/>
          <w:szCs w:val="20"/>
        </w:rPr>
        <w:t xml:space="preserve"> forma </w:t>
      </w:r>
      <w:proofErr w:type="spellStart"/>
      <w:r w:rsidRPr="009D7635">
        <w:rPr>
          <w:rFonts w:ascii="Times New Roman" w:hAnsi="Times New Roman" w:cs="Times New Roman"/>
          <w:bCs/>
          <w:i/>
          <w:color w:val="000000" w:themeColor="text1"/>
          <w:sz w:val="20"/>
          <w:szCs w:val="20"/>
        </w:rPr>
        <w:t>corporalis</w:t>
      </w:r>
      <w:proofErr w:type="spellEnd"/>
      <w:r w:rsidRPr="009D7635">
        <w:rPr>
          <w:rFonts w:ascii="Times New Roman" w:hAnsi="Times New Roman" w:cs="Times New Roman"/>
          <w:bCs/>
          <w:color w:val="000000" w:themeColor="text1"/>
          <w:sz w:val="20"/>
          <w:szCs w:val="20"/>
        </w:rPr>
        <w:t>.’ See also</w:t>
      </w:r>
      <w:r w:rsidR="00942D1D" w:rsidRPr="009D7635">
        <w:rPr>
          <w:rFonts w:ascii="Times New Roman" w:hAnsi="Times New Roman" w:cs="Times New Roman"/>
          <w:bCs/>
          <w:color w:val="000000" w:themeColor="text1"/>
          <w:sz w:val="20"/>
          <w:szCs w:val="20"/>
        </w:rPr>
        <w:t xml:space="preserve"> SH </w:t>
      </w:r>
      <w:r w:rsidRPr="009D7635">
        <w:rPr>
          <w:rFonts w:ascii="Times New Roman" w:hAnsi="Times New Roman" w:cs="Times New Roman"/>
          <w:bCs/>
          <w:color w:val="000000" w:themeColor="text1"/>
          <w:sz w:val="20"/>
          <w:szCs w:val="20"/>
        </w:rPr>
        <w:t xml:space="preserve">2.1 In4, Tr1, S1, Q3, Ti2, C1, Ar1, 2, 418: </w:t>
      </w:r>
      <w:r w:rsidRPr="009D7635">
        <w:rPr>
          <w:rFonts w:ascii="Times New Roman" w:hAnsi="Times New Roman" w:cs="Times New Roman"/>
          <w:i/>
          <w:color w:val="000000" w:themeColor="text1"/>
          <w:sz w:val="20"/>
          <w:szCs w:val="20"/>
        </w:rPr>
        <w:t xml:space="preserve">Anima </w:t>
      </w:r>
      <w:proofErr w:type="spellStart"/>
      <w:r w:rsidRPr="009D7635">
        <w:rPr>
          <w:rFonts w:ascii="Times New Roman" w:hAnsi="Times New Roman" w:cs="Times New Roman"/>
          <w:i/>
          <w:color w:val="000000" w:themeColor="text1"/>
          <w:sz w:val="20"/>
          <w:szCs w:val="20"/>
        </w:rPr>
        <w:t>rationalis</w:t>
      </w:r>
      <w:proofErr w:type="spellEnd"/>
      <w:r w:rsidRPr="009D7635">
        <w:rPr>
          <w:rFonts w:ascii="Times New Roman" w:hAnsi="Times New Roman" w:cs="Times New Roman"/>
          <w:i/>
          <w:color w:val="000000" w:themeColor="text1"/>
          <w:sz w:val="20"/>
          <w:szCs w:val="20"/>
        </w:rPr>
        <w:t xml:space="preserve"> et corpus </w:t>
      </w:r>
      <w:proofErr w:type="spellStart"/>
      <w:r w:rsidRPr="009D7635">
        <w:rPr>
          <w:rFonts w:ascii="Times New Roman" w:hAnsi="Times New Roman" w:cs="Times New Roman"/>
          <w:i/>
          <w:color w:val="000000" w:themeColor="text1"/>
          <w:sz w:val="20"/>
          <w:szCs w:val="20"/>
        </w:rPr>
        <w:t>humanum</w:t>
      </w:r>
      <w:proofErr w:type="spellEnd"/>
      <w:r w:rsidRPr="009D7635">
        <w:rPr>
          <w:rFonts w:ascii="Times New Roman" w:hAnsi="Times New Roman" w:cs="Times New Roman"/>
          <w:i/>
          <w:color w:val="000000" w:themeColor="text1"/>
          <w:sz w:val="20"/>
          <w:szCs w:val="20"/>
        </w:rPr>
        <w:t xml:space="preserve"> se </w:t>
      </w:r>
      <w:proofErr w:type="spellStart"/>
      <w:r w:rsidRPr="009D7635">
        <w:rPr>
          <w:rFonts w:ascii="Times New Roman" w:hAnsi="Times New Roman" w:cs="Times New Roman"/>
          <w:i/>
          <w:color w:val="000000" w:themeColor="text1"/>
          <w:sz w:val="20"/>
          <w:szCs w:val="20"/>
        </w:rPr>
        <w:t>habeant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entia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completa</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suo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genere</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genere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enim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corporeorum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completissimum</w:t>
      </w:r>
      <w:proofErr w:type="spellEnd"/>
      <w:r w:rsidRPr="009D7635">
        <w:rPr>
          <w:rFonts w:ascii="Times New Roman" w:hAnsi="Times New Roman" w:cs="Times New Roman"/>
          <w:i/>
          <w:color w:val="000000" w:themeColor="text1"/>
          <w:sz w:val="20"/>
          <w:szCs w:val="20"/>
        </w:rPr>
        <w:t xml:space="preserve"> corpus </w:t>
      </w:r>
      <w:proofErr w:type="spellStart"/>
      <w:r w:rsidRPr="009D7635">
        <w:rPr>
          <w:rFonts w:ascii="Times New Roman" w:hAnsi="Times New Roman" w:cs="Times New Roman"/>
          <w:i/>
          <w:color w:val="000000" w:themeColor="text1"/>
          <w:sz w:val="20"/>
          <w:szCs w:val="20"/>
        </w:rPr>
        <w:t>humanum</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genere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incorporeorum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valde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completum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anima </w:t>
      </w:r>
      <w:proofErr w:type="spellStart"/>
      <w:r w:rsidRPr="009D7635">
        <w:rPr>
          <w:rFonts w:ascii="Times New Roman" w:hAnsi="Times New Roman" w:cs="Times New Roman"/>
          <w:i/>
          <w:color w:val="000000" w:themeColor="text1"/>
          <w:sz w:val="20"/>
          <w:szCs w:val="20"/>
        </w:rPr>
        <w:t>rationalis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per se </w:t>
      </w:r>
      <w:proofErr w:type="spellStart"/>
      <w:r w:rsidRPr="009D7635">
        <w:rPr>
          <w:rFonts w:ascii="Times New Roman" w:hAnsi="Times New Roman" w:cs="Times New Roman"/>
          <w:i/>
          <w:color w:val="000000" w:themeColor="text1"/>
          <w:sz w:val="20"/>
          <w:szCs w:val="20"/>
        </w:rPr>
        <w:t>potens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subsistere</w:t>
      </w:r>
      <w:proofErr w:type="spellEnd"/>
      <w:r w:rsidRPr="009D7635">
        <w:rPr>
          <w:rFonts w:ascii="Times New Roman" w:hAnsi="Times New Roman" w:cs="Times New Roman"/>
          <w:i/>
          <w:color w:val="000000" w:themeColor="text1"/>
          <w:sz w:val="20"/>
          <w:szCs w:val="20"/>
        </w:rPr>
        <w:t>.</w:t>
      </w:r>
    </w:p>
  </w:footnote>
  <w:footnote w:id="411">
    <w:p w14:paraId="606E9FF3" w14:textId="5CDCAA58"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bCs/>
          <w:color w:val="000000" w:themeColor="text1"/>
        </w:rPr>
        <w:t>2.1 In4, Tr1, S1, Q3, Ti2, C1, Ar1, Contra a, b, 418.</w:t>
      </w:r>
    </w:p>
  </w:footnote>
  <w:footnote w:id="412">
    <w:p w14:paraId="0EFB1AD3"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 </w:t>
      </w:r>
      <w:proofErr w:type="spellStart"/>
      <w:r w:rsidRPr="009D7635">
        <w:rPr>
          <w:rFonts w:ascii="Times New Roman" w:hAnsi="Times New Roman" w:cs="Times New Roman"/>
          <w:color w:val="000000" w:themeColor="text1"/>
        </w:rPr>
        <w:t>McGinn</w:t>
      </w:r>
      <w:proofErr w:type="spellEnd"/>
      <w:r w:rsidRPr="009D7635">
        <w:rPr>
          <w:rFonts w:ascii="Times New Roman" w:hAnsi="Times New Roman" w:cs="Times New Roman"/>
          <w:color w:val="000000" w:themeColor="text1"/>
        </w:rPr>
        <w:t xml:space="preserve">, ‘Introduction,’ in </w:t>
      </w:r>
      <w:r w:rsidRPr="009D7635">
        <w:rPr>
          <w:rFonts w:ascii="Times New Roman" w:hAnsi="Times New Roman" w:cs="Times New Roman"/>
          <w:i/>
          <w:color w:val="000000" w:themeColor="text1"/>
        </w:rPr>
        <w:t>Three Treatises on Man</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14.</w:t>
      </w:r>
    </w:p>
  </w:footnote>
  <w:footnote w:id="413">
    <w:p w14:paraId="5240D98F" w14:textId="7DCE06EC"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S1, Q3, T2, C1, Ar4, 1, 421: </w:t>
      </w:r>
      <w:r w:rsidRPr="009D7635">
        <w:rPr>
          <w:rFonts w:ascii="Times New Roman" w:hAnsi="Times New Roman" w:cs="Times New Roman"/>
          <w:i/>
          <w:color w:val="000000" w:themeColor="text1"/>
        </w:rPr>
        <w:t xml:space="preserve">Forma non </w:t>
      </w:r>
      <w:proofErr w:type="spellStart"/>
      <w:r w:rsidRPr="009D7635">
        <w:rPr>
          <w:rFonts w:ascii="Times New Roman" w:hAnsi="Times New Roman" w:cs="Times New Roman"/>
          <w:i/>
          <w:color w:val="000000" w:themeColor="text1"/>
        </w:rPr>
        <w:t>habet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esse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praeter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materiam</w:t>
      </w:r>
      <w:proofErr w:type="spellEnd"/>
      <w:r w:rsidRPr="009D7635">
        <w:rPr>
          <w:rFonts w:ascii="Times New Roman" w:hAnsi="Times New Roman" w:cs="Times New Roman"/>
          <w:i/>
          <w:color w:val="000000" w:themeColor="text1"/>
        </w:rPr>
        <w:t xml:space="preserve">; sed anima </w:t>
      </w:r>
      <w:proofErr w:type="spellStart"/>
      <w:r w:rsidRPr="009D7635">
        <w:rPr>
          <w:rFonts w:ascii="Times New Roman" w:hAnsi="Times New Roman" w:cs="Times New Roman"/>
          <w:i/>
          <w:color w:val="000000" w:themeColor="text1"/>
        </w:rPr>
        <w:t>habet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esse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praeter</w:t>
      </w:r>
      <w:proofErr w:type="spellEnd"/>
      <w:r w:rsidRPr="009D7635">
        <w:rPr>
          <w:rFonts w:ascii="Times New Roman" w:hAnsi="Times New Roman" w:cs="Times New Roman"/>
          <w:i/>
          <w:color w:val="000000" w:themeColor="text1"/>
        </w:rPr>
        <w:t xml:space="preserve"> corpus; ergo non </w:t>
      </w:r>
      <w:proofErr w:type="spellStart"/>
      <w:r w:rsidRPr="009D7635">
        <w:rPr>
          <w:rFonts w:ascii="Times New Roman" w:hAnsi="Times New Roman" w:cs="Times New Roman"/>
          <w:i/>
          <w:color w:val="000000" w:themeColor="text1"/>
        </w:rPr>
        <w:t>dicuntur</w:t>
      </w:r>
      <w:proofErr w:type="spellEnd"/>
      <w:r w:rsidRPr="009D7635">
        <w:rPr>
          <w:rFonts w:ascii="Times New Roman" w:hAnsi="Times New Roman" w:cs="Times New Roman"/>
          <w:i/>
          <w:color w:val="000000" w:themeColor="text1"/>
        </w:rPr>
        <w:t xml:space="preserve"> unum </w:t>
      </w:r>
      <w:proofErr w:type="spellStart"/>
      <w:r w:rsidRPr="009D7635">
        <w:rPr>
          <w:rFonts w:ascii="Times New Roman" w:hAnsi="Times New Roman" w:cs="Times New Roman"/>
          <w:i/>
          <w:color w:val="000000" w:themeColor="text1"/>
        </w:rPr>
        <w:t>illo</w:t>
      </w:r>
      <w:proofErr w:type="spellEnd"/>
      <w:r w:rsidRPr="009D7635">
        <w:rPr>
          <w:rFonts w:ascii="Times New Roman" w:hAnsi="Times New Roman" w:cs="Times New Roman"/>
          <w:i/>
          <w:color w:val="000000" w:themeColor="text1"/>
        </w:rPr>
        <w:t xml:space="preserve"> modo.</w:t>
      </w:r>
      <w:r w:rsidRPr="009D7635">
        <w:rPr>
          <w:rFonts w:ascii="Times New Roman" w:hAnsi="Times New Roman" w:cs="Times New Roman"/>
          <w:color w:val="000000" w:themeColor="text1"/>
        </w:rPr>
        <w:t xml:space="preserve"> </w:t>
      </w:r>
    </w:p>
  </w:footnote>
  <w:footnote w:id="414">
    <w:p w14:paraId="32DC21CD" w14:textId="6E967560" w:rsidR="00DB0CE8" w:rsidRPr="009D7635" w:rsidRDefault="00DB0CE8">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On this topic see, Cecilia Trifogli, ‘The Creation of Matter in the </w:t>
      </w:r>
      <w:r w:rsidRPr="009D7635">
        <w:rPr>
          <w:rFonts w:ascii="Times New Roman" w:hAnsi="Times New Roman" w:cs="Times New Roman"/>
          <w:i/>
          <w:iCs/>
          <w:color w:val="000000" w:themeColor="text1"/>
        </w:rPr>
        <w:t xml:space="preserve">Summa </w:t>
      </w:r>
      <w:proofErr w:type="spellStart"/>
      <w:r w:rsidRPr="009D7635">
        <w:rPr>
          <w:rFonts w:ascii="Times New Roman" w:hAnsi="Times New Roman" w:cs="Times New Roman"/>
          <w:i/>
          <w:iCs/>
          <w:color w:val="000000" w:themeColor="text1"/>
        </w:rPr>
        <w:t>Halensis</w:t>
      </w:r>
      <w:proofErr w:type="spellEnd"/>
      <w:r w:rsidRPr="009D7635">
        <w:rPr>
          <w:rFonts w:ascii="Times New Roman" w:hAnsi="Times New Roman" w:cs="Times New Roman"/>
          <w:i/>
          <w:iCs/>
          <w:color w:val="000000" w:themeColor="text1"/>
        </w:rPr>
        <w:t>,</w:t>
      </w:r>
      <w:r w:rsidRPr="009D7635">
        <w:rPr>
          <w:rFonts w:ascii="Times New Roman" w:hAnsi="Times New Roman" w:cs="Times New Roman"/>
          <w:color w:val="000000" w:themeColor="text1"/>
        </w:rPr>
        <w:t xml:space="preserve">’ in </w:t>
      </w:r>
      <w:r w:rsidRPr="009D7635">
        <w:rPr>
          <w:rFonts w:ascii="Times New Roman" w:hAnsi="Times New Roman" w:cs="Times New Roman"/>
          <w:i/>
          <w:iCs/>
          <w:color w:val="000000" w:themeColor="text1"/>
        </w:rPr>
        <w:t xml:space="preserve">The Legacy of Early Franciscan Thought, </w:t>
      </w:r>
      <w:r w:rsidRPr="009D7635">
        <w:rPr>
          <w:rFonts w:ascii="Times New Roman" w:hAnsi="Times New Roman" w:cs="Times New Roman"/>
          <w:color w:val="000000" w:themeColor="text1"/>
        </w:rPr>
        <w:t xml:space="preserve">ed. Lydia Schumacher (Berlin: De Gruyter, 2021), 15-36. In the same volume, see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‘The Body-Soul Union in the </w:t>
      </w:r>
      <w:r w:rsidRPr="009D7635">
        <w:rPr>
          <w:rFonts w:ascii="Times New Roman" w:hAnsi="Times New Roman" w:cs="Times New Roman"/>
          <w:i/>
          <w:iCs/>
          <w:color w:val="000000" w:themeColor="text1"/>
        </w:rPr>
        <w:t xml:space="preserve">Summa </w:t>
      </w:r>
      <w:proofErr w:type="spellStart"/>
      <w:r w:rsidRPr="009D7635">
        <w:rPr>
          <w:rFonts w:ascii="Times New Roman" w:hAnsi="Times New Roman" w:cs="Times New Roman"/>
          <w:i/>
          <w:iCs/>
          <w:color w:val="000000" w:themeColor="text1"/>
        </w:rPr>
        <w:t>Halensis</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37-48.</w:t>
      </w:r>
    </w:p>
  </w:footnote>
  <w:footnote w:id="415">
    <w:p w14:paraId="1CE712AD" w14:textId="77777777"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124, on three different modes of union.</w:t>
      </w:r>
    </w:p>
  </w:footnote>
  <w:footnote w:id="416">
    <w:p w14:paraId="67C43483" w14:textId="240A86AE" w:rsidR="00B93ED5" w:rsidRPr="009D7635" w:rsidRDefault="00B93ED5" w:rsidP="007C038D">
      <w:pPr>
        <w:pStyle w:val="FootnoteText"/>
        <w:rPr>
          <w:rFonts w:ascii="Times New Roman" w:hAnsi="Times New Roman" w:cs="Times New Roman"/>
          <w:bCs/>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bCs/>
          <w:color w:val="000000" w:themeColor="text1"/>
        </w:rPr>
        <w:t>2.1 In4, Tr1, S1, Q1, C1, Contra c, 386.</w:t>
      </w:r>
      <w:r w:rsidR="00942D1D" w:rsidRPr="009D7635">
        <w:rPr>
          <w:rFonts w:ascii="Times New Roman" w:hAnsi="Times New Roman" w:cs="Times New Roman"/>
          <w:bCs/>
          <w:color w:val="000000" w:themeColor="text1"/>
        </w:rPr>
        <w:t xml:space="preserve"> SH </w:t>
      </w:r>
      <w:r w:rsidRPr="009D7635">
        <w:rPr>
          <w:rFonts w:ascii="Times New Roman" w:hAnsi="Times New Roman" w:cs="Times New Roman"/>
          <w:bCs/>
          <w:color w:val="000000" w:themeColor="text1"/>
        </w:rPr>
        <w:t xml:space="preserve">2.1 In4, Tr1, S1, Q3, Ti2, C1, Ar4, </w:t>
      </w:r>
      <w:proofErr w:type="spellStart"/>
      <w:r w:rsidRPr="009D7635">
        <w:rPr>
          <w:rFonts w:ascii="Times New Roman" w:hAnsi="Times New Roman" w:cs="Times New Roman"/>
          <w:bCs/>
          <w:color w:val="000000" w:themeColor="text1"/>
        </w:rPr>
        <w:t>Solutio</w:t>
      </w:r>
      <w:proofErr w:type="spellEnd"/>
      <w:r w:rsidRPr="009D7635">
        <w:rPr>
          <w:rFonts w:ascii="Times New Roman" w:hAnsi="Times New Roman" w:cs="Times New Roman"/>
          <w:bCs/>
          <w:color w:val="000000" w:themeColor="text1"/>
        </w:rPr>
        <w:t xml:space="preserve">, 422. </w:t>
      </w:r>
    </w:p>
  </w:footnote>
  <w:footnote w:id="417">
    <w:p w14:paraId="6D1F723C" w14:textId="4A0AF979" w:rsidR="00B93ED5" w:rsidRPr="009D7635" w:rsidRDefault="00B93ED5" w:rsidP="007C038D">
      <w:pPr>
        <w:autoSpaceDE w:val="0"/>
        <w:autoSpaceDN w:val="0"/>
        <w:adjustRightInd w:val="0"/>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42D1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bCs/>
          <w:color w:val="000000" w:themeColor="text1"/>
          <w:sz w:val="20"/>
          <w:szCs w:val="20"/>
        </w:rPr>
        <w:t xml:space="preserve">2.1 In4, Tr1, S1, Q2, Ti1, C3, Ar1, Solution, 394: </w:t>
      </w:r>
      <w:proofErr w:type="spellStart"/>
      <w:r w:rsidRPr="009D7635">
        <w:rPr>
          <w:rFonts w:ascii="Times New Roman" w:hAnsi="Times New Roman" w:cs="Times New Roman"/>
          <w:i/>
          <w:color w:val="000000" w:themeColor="text1"/>
          <w:sz w:val="20"/>
          <w:szCs w:val="20"/>
          <w:lang w:val="en-US"/>
        </w:rPr>
        <w:t>Praeterea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igneitas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extra </w:t>
      </w:r>
      <w:proofErr w:type="spellStart"/>
      <w:r w:rsidRPr="009D7635">
        <w:rPr>
          <w:rFonts w:ascii="Times New Roman" w:hAnsi="Times New Roman" w:cs="Times New Roman"/>
          <w:i/>
          <w:color w:val="000000" w:themeColor="text1"/>
          <w:sz w:val="20"/>
          <w:szCs w:val="20"/>
          <w:lang w:val="en-US"/>
        </w:rPr>
        <w:t>partem</w:t>
      </w:r>
      <w:proofErr w:type="spellEnd"/>
      <w:r w:rsidRPr="009D7635">
        <w:rPr>
          <w:rFonts w:ascii="Times New Roman" w:hAnsi="Times New Roman" w:cs="Times New Roman"/>
          <w:bCs/>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in </w:t>
      </w:r>
      <w:proofErr w:type="spellStart"/>
      <w:r w:rsidRPr="009D7635">
        <w:rPr>
          <w:rFonts w:ascii="Times New Roman" w:hAnsi="Times New Roman" w:cs="Times New Roman"/>
          <w:i/>
          <w:color w:val="000000" w:themeColor="text1"/>
          <w:sz w:val="20"/>
          <w:szCs w:val="20"/>
          <w:lang w:val="en-US"/>
        </w:rPr>
        <w:t>igne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unde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maior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maiori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igne</w:t>
      </w:r>
      <w:proofErr w:type="spellEnd"/>
      <w:r w:rsidRPr="009D7635">
        <w:rPr>
          <w:rFonts w:ascii="Times New Roman" w:hAnsi="Times New Roman" w:cs="Times New Roman"/>
          <w:i/>
          <w:color w:val="000000" w:themeColor="text1"/>
          <w:sz w:val="20"/>
          <w:szCs w:val="20"/>
          <w:lang w:val="en-US"/>
        </w:rPr>
        <w:t xml:space="preserve"> et</w:t>
      </w:r>
      <w:r w:rsidRPr="009D7635">
        <w:rPr>
          <w:rFonts w:ascii="Times New Roman" w:hAnsi="Times New Roman" w:cs="Times New Roman"/>
          <w:bCs/>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minor in </w:t>
      </w:r>
      <w:proofErr w:type="spellStart"/>
      <w:r w:rsidRPr="009D7635">
        <w:rPr>
          <w:rFonts w:ascii="Times New Roman" w:hAnsi="Times New Roman" w:cs="Times New Roman"/>
          <w:i/>
          <w:color w:val="000000" w:themeColor="text1"/>
          <w:sz w:val="20"/>
          <w:szCs w:val="20"/>
          <w:lang w:val="en-US"/>
        </w:rPr>
        <w:t>minori</w:t>
      </w:r>
      <w:proofErr w:type="spellEnd"/>
      <w:r w:rsidRPr="009D7635">
        <w:rPr>
          <w:rFonts w:ascii="Times New Roman" w:hAnsi="Times New Roman" w:cs="Times New Roman"/>
          <w:i/>
          <w:color w:val="000000" w:themeColor="text1"/>
          <w:sz w:val="20"/>
          <w:szCs w:val="20"/>
          <w:lang w:val="en-US"/>
        </w:rPr>
        <w:t xml:space="preserve">; anima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non sic: </w:t>
      </w:r>
      <w:proofErr w:type="spellStart"/>
      <w:r w:rsidRPr="009D7635">
        <w:rPr>
          <w:rFonts w:ascii="Times New Roman" w:hAnsi="Times New Roman" w:cs="Times New Roman"/>
          <w:i/>
          <w:color w:val="000000" w:themeColor="text1"/>
          <w:sz w:val="20"/>
          <w:szCs w:val="20"/>
          <w:lang w:val="en-US"/>
        </w:rPr>
        <w:t>neque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partem</w:t>
      </w:r>
      <w:proofErr w:type="spellEnd"/>
      <w:r w:rsidRPr="009D7635">
        <w:rPr>
          <w:rFonts w:ascii="Times New Roman" w:hAnsi="Times New Roman" w:cs="Times New Roman"/>
          <w:i/>
          <w:color w:val="000000" w:themeColor="text1"/>
          <w:sz w:val="20"/>
          <w:szCs w:val="20"/>
          <w:lang w:val="en-US"/>
        </w:rPr>
        <w:t xml:space="preserve"> extra </w:t>
      </w:r>
      <w:proofErr w:type="spellStart"/>
      <w:r w:rsidRPr="009D7635">
        <w:rPr>
          <w:rFonts w:ascii="Times New Roman" w:hAnsi="Times New Roman" w:cs="Times New Roman"/>
          <w:i/>
          <w:color w:val="000000" w:themeColor="text1"/>
          <w:sz w:val="20"/>
          <w:szCs w:val="20"/>
          <w:lang w:val="en-US"/>
        </w:rPr>
        <w:t>partem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maior</w:t>
      </w:r>
      <w:proofErr w:type="spellEnd"/>
      <w:r w:rsidRPr="009D7635">
        <w:rPr>
          <w:rFonts w:ascii="Times New Roman" w:hAnsi="Times New Roman" w:cs="Times New Roman"/>
          <w:i/>
          <w:color w:val="000000" w:themeColor="text1"/>
          <w:sz w:val="20"/>
          <w:szCs w:val="20"/>
          <w:lang w:val="en-US"/>
        </w:rPr>
        <w:t xml:space="preserve"> in</w:t>
      </w:r>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maiori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minor in </w:t>
      </w:r>
      <w:proofErr w:type="spellStart"/>
      <w:r w:rsidRPr="009D7635">
        <w:rPr>
          <w:rFonts w:ascii="Times New Roman" w:hAnsi="Times New Roman" w:cs="Times New Roman"/>
          <w:i/>
          <w:color w:val="000000" w:themeColor="text1"/>
          <w:sz w:val="20"/>
          <w:szCs w:val="20"/>
          <w:lang w:val="en-US"/>
        </w:rPr>
        <w:t>minori</w:t>
      </w:r>
      <w:proofErr w:type="spellEnd"/>
      <w:r w:rsidRPr="009D7635">
        <w:rPr>
          <w:rFonts w:ascii="Times New Roman" w:hAnsi="Times New Roman" w:cs="Times New Roman"/>
          <w:i/>
          <w:color w:val="000000" w:themeColor="text1"/>
          <w:sz w:val="20"/>
          <w:szCs w:val="20"/>
          <w:lang w:val="en-US"/>
        </w:rPr>
        <w:t xml:space="preserve">. In hoc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convenientia</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utrobique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similium</w:t>
      </w:r>
      <w:proofErr w:type="spellEnd"/>
      <w:r w:rsidRPr="009D7635">
        <w:rPr>
          <w:rFonts w:ascii="Times New Roman" w:hAnsi="Times New Roman" w:cs="Times New Roman"/>
          <w:i/>
          <w:color w:val="000000" w:themeColor="text1"/>
          <w:sz w:val="20"/>
          <w:szCs w:val="20"/>
          <w:lang w:val="en-US"/>
        </w:rPr>
        <w:t xml:space="preserve"> ex</w:t>
      </w:r>
      <w:r w:rsidRPr="009D7635">
        <w:rPr>
          <w:rFonts w:ascii="Times New Roman" w:hAnsi="Times New Roman" w:cs="Times New Roman"/>
          <w:bCs/>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similibus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productio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unde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animatum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ex</w:t>
      </w:r>
      <w:r w:rsidRPr="009D7635">
        <w:rPr>
          <w:rFonts w:ascii="Times New Roman" w:hAnsi="Times New Roman" w:cs="Times New Roman"/>
          <w:bCs/>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animato. </w:t>
      </w:r>
    </w:p>
  </w:footnote>
  <w:footnote w:id="418">
    <w:p w14:paraId="6A6E502B" w14:textId="1257B154"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bCs/>
          <w:color w:val="000000" w:themeColor="text1"/>
        </w:rPr>
        <w:t xml:space="preserve">2.1 In4, Tr1, S1, Q3, Ti2, C1, Ar4, </w:t>
      </w:r>
      <w:proofErr w:type="spellStart"/>
      <w:r w:rsidRPr="009D7635">
        <w:rPr>
          <w:rFonts w:ascii="Times New Roman" w:hAnsi="Times New Roman" w:cs="Times New Roman"/>
          <w:bCs/>
          <w:color w:val="000000" w:themeColor="text1"/>
        </w:rPr>
        <w:t>Solutio</w:t>
      </w:r>
      <w:proofErr w:type="spellEnd"/>
      <w:r w:rsidRPr="009D7635">
        <w:rPr>
          <w:rFonts w:ascii="Times New Roman" w:hAnsi="Times New Roman" w:cs="Times New Roman"/>
          <w:bCs/>
          <w:color w:val="000000" w:themeColor="text1"/>
        </w:rPr>
        <w:t>, 422.</w:t>
      </w:r>
    </w:p>
  </w:footnote>
  <w:footnote w:id="419">
    <w:p w14:paraId="250682E0"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This example is also mentioned in </w:t>
      </w:r>
      <w:r w:rsidRPr="009D7635">
        <w:rPr>
          <w:rFonts w:ascii="Times New Roman" w:hAnsi="Times New Roman" w:cs="Times New Roman"/>
          <w:i/>
          <w:color w:val="000000" w:themeColor="text1"/>
        </w:rPr>
        <w:t>Summa de bono</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288-9.</w:t>
      </w:r>
    </w:p>
  </w:footnote>
  <w:footnote w:id="420">
    <w:p w14:paraId="05D78B84" w14:textId="6771C36F" w:rsidR="00B93ED5" w:rsidRPr="009D7635" w:rsidRDefault="00B93ED5" w:rsidP="007C038D">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S1, Q3, T2, C1, Ar4,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xml:space="preserve">, 422: </w:t>
      </w:r>
      <w:proofErr w:type="spellStart"/>
      <w:r w:rsidRPr="009D7635">
        <w:rPr>
          <w:rFonts w:ascii="Times New Roman" w:hAnsi="Times New Roman" w:cs="Times New Roman"/>
          <w:i/>
          <w:color w:val="000000" w:themeColor="text1"/>
        </w:rPr>
        <w:t>Haec</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unio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quae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animae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corporis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dicitur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nativa</w:t>
      </w:r>
      <w:proofErr w:type="spellEnd"/>
      <w:r w:rsidRPr="009D7635">
        <w:rPr>
          <w:rFonts w:ascii="Times New Roman" w:hAnsi="Times New Roman" w:cs="Times New Roman"/>
          <w:i/>
          <w:color w:val="000000" w:themeColor="text1"/>
        </w:rPr>
        <w:t xml:space="preserve"> et se </w:t>
      </w:r>
      <w:proofErr w:type="spellStart"/>
      <w:r w:rsidRPr="009D7635">
        <w:rPr>
          <w:rFonts w:ascii="Times New Roman" w:hAnsi="Times New Roman" w:cs="Times New Roman"/>
          <w:i/>
          <w:color w:val="000000" w:themeColor="text1"/>
        </w:rPr>
        <w:t>habet</w:t>
      </w:r>
      <w:proofErr w:type="spellEnd"/>
      <w:r w:rsidRPr="009D7635">
        <w:rPr>
          <w:rFonts w:ascii="Times New Roman" w:hAnsi="Times New Roman" w:cs="Times New Roman"/>
          <w:i/>
          <w:color w:val="000000" w:themeColor="text1"/>
        </w:rPr>
        <w:t xml:space="preserve"> ad </w:t>
      </w:r>
      <w:proofErr w:type="spellStart"/>
      <w:r w:rsidRPr="009D7635">
        <w:rPr>
          <w:rFonts w:ascii="Times New Roman" w:hAnsi="Times New Roman" w:cs="Times New Roman"/>
          <w:i/>
          <w:color w:val="000000" w:themeColor="text1"/>
        </w:rPr>
        <w:t>modum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formae</w:t>
      </w:r>
      <w:proofErr w:type="spellEnd"/>
      <w:r w:rsidRPr="009D7635">
        <w:rPr>
          <w:rFonts w:ascii="Times New Roman" w:hAnsi="Times New Roman" w:cs="Times New Roman"/>
          <w:i/>
          <w:color w:val="000000" w:themeColor="text1"/>
        </w:rPr>
        <w:t xml:space="preserve"> cum </w:t>
      </w:r>
      <w:proofErr w:type="spellStart"/>
      <w:r w:rsidRPr="009D7635">
        <w:rPr>
          <w:rFonts w:ascii="Times New Roman" w:hAnsi="Times New Roman" w:cs="Times New Roman"/>
          <w:i/>
          <w:color w:val="000000" w:themeColor="text1"/>
        </w:rPr>
        <w:t>materia</w:t>
      </w:r>
      <w:proofErr w:type="spellEnd"/>
      <w:r w:rsidRPr="009D7635">
        <w:rPr>
          <w:rFonts w:ascii="Times New Roman" w:hAnsi="Times New Roman" w:cs="Times New Roman"/>
          <w:i/>
          <w:color w:val="000000" w:themeColor="text1"/>
        </w:rPr>
        <w:t>.</w:t>
      </w:r>
    </w:p>
  </w:footnote>
  <w:footnote w:id="421">
    <w:p w14:paraId="39100D03" w14:textId="0C962917" w:rsidR="00B93ED5" w:rsidRPr="009D7635" w:rsidRDefault="00B93ED5" w:rsidP="007C038D">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bCs/>
          <w:color w:val="000000" w:themeColor="text1"/>
        </w:rPr>
        <w:t xml:space="preserve">2.1 In4, Tr1, S1, Q2, Ti2, C1, Ad </w:t>
      </w:r>
      <w:proofErr w:type="spellStart"/>
      <w:r w:rsidRPr="009D7635">
        <w:rPr>
          <w:rFonts w:ascii="Times New Roman" w:hAnsi="Times New Roman" w:cs="Times New Roman"/>
          <w:bCs/>
          <w:color w:val="000000" w:themeColor="text1"/>
        </w:rPr>
        <w:t>objecta</w:t>
      </w:r>
      <w:proofErr w:type="spellEnd"/>
      <w:r w:rsidRPr="009D7635">
        <w:rPr>
          <w:rFonts w:ascii="Times New Roman" w:hAnsi="Times New Roman" w:cs="Times New Roman"/>
          <w:bCs/>
          <w:color w:val="000000" w:themeColor="text1"/>
        </w:rPr>
        <w:t xml:space="preserve"> 5, 399: </w:t>
      </w:r>
      <w:r w:rsidRPr="009D7635">
        <w:rPr>
          <w:rFonts w:ascii="Times New Roman" w:hAnsi="Times New Roman" w:cs="Times New Roman"/>
          <w:i/>
          <w:color w:val="000000" w:themeColor="text1"/>
        </w:rPr>
        <w:t xml:space="preserve">Non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simile de forma et anima; forma </w:t>
      </w:r>
      <w:proofErr w:type="spellStart"/>
      <w:r w:rsidRPr="009D7635">
        <w:rPr>
          <w:rFonts w:ascii="Times New Roman" w:hAnsi="Times New Roman" w:cs="Times New Roman"/>
          <w:i/>
          <w:color w:val="000000" w:themeColor="text1"/>
        </w:rPr>
        <w:t>enim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praeter</w:t>
      </w:r>
      <w:proofErr w:type="spellEnd"/>
      <w:r w:rsidRPr="009D7635">
        <w:rPr>
          <w:rFonts w:ascii="Times New Roman" w:hAnsi="Times New Roman" w:cs="Times New Roman"/>
          <w:i/>
          <w:color w:val="000000" w:themeColor="text1"/>
        </w:rPr>
        <w:t xml:space="preserve"> hoc quod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materiae</w:t>
      </w:r>
      <w:proofErr w:type="spellEnd"/>
      <w:r w:rsidRPr="009D7635">
        <w:rPr>
          <w:rFonts w:ascii="Times New Roman" w:hAnsi="Times New Roman" w:cs="Times New Roman"/>
          <w:i/>
          <w:color w:val="000000" w:themeColor="text1"/>
        </w:rPr>
        <w:t xml:space="preserve"> forma, non </w:t>
      </w:r>
      <w:proofErr w:type="spellStart"/>
      <w:r w:rsidRPr="009D7635">
        <w:rPr>
          <w:rFonts w:ascii="Times New Roman" w:hAnsi="Times New Roman" w:cs="Times New Roman"/>
          <w:i/>
          <w:color w:val="000000" w:themeColor="text1"/>
        </w:rPr>
        <w:t>habet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aliquam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actualitatem</w:t>
      </w:r>
      <w:proofErr w:type="spellEnd"/>
      <w:r w:rsidRPr="009D7635">
        <w:rPr>
          <w:rFonts w:ascii="Times New Roman" w:hAnsi="Times New Roman" w:cs="Times New Roman"/>
          <w:i/>
          <w:color w:val="000000" w:themeColor="text1"/>
        </w:rPr>
        <w:t xml:space="preserve">; sed anima </w:t>
      </w:r>
      <w:proofErr w:type="spellStart"/>
      <w:r w:rsidRPr="009D7635">
        <w:rPr>
          <w:rFonts w:ascii="Times New Roman" w:hAnsi="Times New Roman" w:cs="Times New Roman"/>
          <w:i/>
          <w:color w:val="000000" w:themeColor="text1"/>
        </w:rPr>
        <w:t>praeter</w:t>
      </w:r>
      <w:proofErr w:type="spellEnd"/>
      <w:r w:rsidRPr="009D7635">
        <w:rPr>
          <w:rFonts w:ascii="Times New Roman" w:hAnsi="Times New Roman" w:cs="Times New Roman"/>
          <w:i/>
          <w:color w:val="000000" w:themeColor="text1"/>
        </w:rPr>
        <w:t xml:space="preserve"> hoc quod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anima </w:t>
      </w:r>
      <w:proofErr w:type="spellStart"/>
      <w:r w:rsidRPr="009D7635">
        <w:rPr>
          <w:rFonts w:ascii="Times New Roman" w:hAnsi="Times New Roman" w:cs="Times New Roman"/>
          <w:i/>
          <w:color w:val="000000" w:themeColor="text1"/>
        </w:rPr>
        <w:t>habet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virtutem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quamdam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secundum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quam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dicitur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habere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compositionem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propriam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cui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respondet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agere</w:t>
      </w:r>
      <w:proofErr w:type="spellEnd"/>
      <w:r w:rsidRPr="009D7635">
        <w:rPr>
          <w:rFonts w:ascii="Times New Roman" w:hAnsi="Times New Roman" w:cs="Times New Roman"/>
          <w:i/>
          <w:color w:val="000000" w:themeColor="text1"/>
        </w:rPr>
        <w:t xml:space="preserve"> et pati, </w:t>
      </w:r>
      <w:proofErr w:type="spellStart"/>
      <w:r w:rsidRPr="009D7635">
        <w:rPr>
          <w:rFonts w:ascii="Times New Roman" w:hAnsi="Times New Roman" w:cs="Times New Roman"/>
          <w:i/>
          <w:color w:val="000000" w:themeColor="text1"/>
        </w:rPr>
        <w:t>etiam</w:t>
      </w:r>
      <w:proofErr w:type="spellEnd"/>
      <w:r w:rsidRPr="009D7635">
        <w:rPr>
          <w:rFonts w:ascii="Times New Roman" w:hAnsi="Times New Roman" w:cs="Times New Roman"/>
          <w:i/>
          <w:color w:val="000000" w:themeColor="text1"/>
        </w:rPr>
        <w:t xml:space="preserve"> cum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separata</w:t>
      </w:r>
      <w:proofErr w:type="spellEnd"/>
      <w:r w:rsidRPr="009D7635">
        <w:rPr>
          <w:rFonts w:ascii="Times New Roman" w:hAnsi="Times New Roman" w:cs="Times New Roman"/>
          <w:i/>
          <w:color w:val="000000" w:themeColor="text1"/>
        </w:rPr>
        <w:t>.</w:t>
      </w:r>
    </w:p>
  </w:footnote>
  <w:footnote w:id="422">
    <w:p w14:paraId="37CFFF90" w14:textId="2B5737AE"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42D1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S1, Q3, T2, C1, Ar1, Ad </w:t>
      </w:r>
      <w:proofErr w:type="spellStart"/>
      <w:r w:rsidRPr="009D7635">
        <w:rPr>
          <w:rFonts w:ascii="Times New Roman" w:hAnsi="Times New Roman" w:cs="Times New Roman"/>
          <w:color w:val="000000" w:themeColor="text1"/>
          <w:sz w:val="20"/>
          <w:szCs w:val="20"/>
        </w:rPr>
        <w:t>objecta</w:t>
      </w:r>
      <w:proofErr w:type="spellEnd"/>
      <w:r w:rsidRPr="009D7635">
        <w:rPr>
          <w:rFonts w:ascii="Times New Roman" w:hAnsi="Times New Roman" w:cs="Times New Roman"/>
          <w:color w:val="000000" w:themeColor="text1"/>
          <w:sz w:val="20"/>
          <w:szCs w:val="20"/>
        </w:rPr>
        <w:t xml:space="preserve"> 3, 419: </w:t>
      </w:r>
      <w:r w:rsidRPr="009D7635">
        <w:rPr>
          <w:rFonts w:ascii="Times New Roman" w:hAnsi="Times New Roman" w:cs="Times New Roman"/>
          <w:i/>
          <w:color w:val="000000" w:themeColor="text1"/>
          <w:sz w:val="20"/>
          <w:szCs w:val="20"/>
        </w:rPr>
        <w:t xml:space="preserve">Corpus </w:t>
      </w:r>
      <w:proofErr w:type="spellStart"/>
      <w:r w:rsidRPr="009D7635">
        <w:rPr>
          <w:rFonts w:ascii="Times New Roman" w:hAnsi="Times New Roman" w:cs="Times New Roman"/>
          <w:i/>
          <w:color w:val="000000" w:themeColor="text1"/>
          <w:sz w:val="20"/>
          <w:szCs w:val="20"/>
        </w:rPr>
        <w:t>vero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humanum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indiget</w:t>
      </w:r>
      <w:proofErr w:type="spellEnd"/>
      <w:r w:rsidRPr="009D7635">
        <w:rPr>
          <w:rFonts w:ascii="Times New Roman" w:hAnsi="Times New Roman" w:cs="Times New Roman"/>
          <w:i/>
          <w:color w:val="000000" w:themeColor="text1"/>
          <w:sz w:val="20"/>
          <w:szCs w:val="20"/>
        </w:rPr>
        <w:t xml:space="preserve"> anima, non </w:t>
      </w:r>
      <w:proofErr w:type="spellStart"/>
      <w:r w:rsidRPr="009D7635">
        <w:rPr>
          <w:rFonts w:ascii="Times New Roman" w:hAnsi="Times New Roman" w:cs="Times New Roman"/>
          <w:i/>
          <w:color w:val="000000" w:themeColor="text1"/>
          <w:sz w:val="20"/>
          <w:szCs w:val="20"/>
        </w:rPr>
        <w:t>tantum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moveatur</w:t>
      </w:r>
      <w:proofErr w:type="spellEnd"/>
      <w:r w:rsidRPr="009D7635">
        <w:rPr>
          <w:rFonts w:ascii="Times New Roman" w:hAnsi="Times New Roman" w:cs="Times New Roman"/>
          <w:i/>
          <w:color w:val="000000" w:themeColor="text1"/>
          <w:sz w:val="20"/>
          <w:szCs w:val="20"/>
        </w:rPr>
        <w:t xml:space="preserve">, sed </w:t>
      </w:r>
      <w:proofErr w:type="spellStart"/>
      <w:r w:rsidRPr="009D7635">
        <w:rPr>
          <w:rFonts w:ascii="Times New Roman" w:hAnsi="Times New Roman" w:cs="Times New Roman"/>
          <w:i/>
          <w:color w:val="000000" w:themeColor="text1"/>
          <w:sz w:val="20"/>
          <w:szCs w:val="20"/>
        </w:rPr>
        <w:t>etiam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esse</w:t>
      </w:r>
      <w:proofErr w:type="spellEnd"/>
      <w:r w:rsidRPr="009D7635">
        <w:rPr>
          <w:rFonts w:ascii="Times New Roman" w:hAnsi="Times New Roman" w:cs="Times New Roman"/>
          <w:i/>
          <w:color w:val="000000" w:themeColor="text1"/>
          <w:sz w:val="20"/>
          <w:szCs w:val="20"/>
        </w:rPr>
        <w:t xml:space="preserve">, in quo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subsistat</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permaneat</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ideo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duplicem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habet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comparationem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mobilis</w:t>
      </w:r>
      <w:proofErr w:type="spellEnd"/>
      <w:r w:rsidRPr="009D7635">
        <w:rPr>
          <w:rFonts w:ascii="Times New Roman" w:hAnsi="Times New Roman" w:cs="Times New Roman"/>
          <w:i/>
          <w:color w:val="000000" w:themeColor="text1"/>
          <w:sz w:val="20"/>
          <w:szCs w:val="20"/>
        </w:rPr>
        <w:t xml:space="preserve"> ad </w:t>
      </w:r>
      <w:proofErr w:type="spellStart"/>
      <w:r w:rsidRPr="009D7635">
        <w:rPr>
          <w:rFonts w:ascii="Times New Roman" w:hAnsi="Times New Roman" w:cs="Times New Roman"/>
          <w:i/>
          <w:color w:val="000000" w:themeColor="text1"/>
          <w:sz w:val="20"/>
          <w:szCs w:val="20"/>
        </w:rPr>
        <w:t>motorem</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perfectibilis</w:t>
      </w:r>
      <w:proofErr w:type="spellEnd"/>
      <w:r w:rsidRPr="009D7635">
        <w:rPr>
          <w:rFonts w:ascii="Times New Roman" w:hAnsi="Times New Roman" w:cs="Times New Roman"/>
          <w:i/>
          <w:color w:val="000000" w:themeColor="text1"/>
          <w:sz w:val="20"/>
          <w:szCs w:val="20"/>
        </w:rPr>
        <w:t xml:space="preserve"> ad </w:t>
      </w:r>
      <w:proofErr w:type="spellStart"/>
      <w:r w:rsidRPr="009D7635">
        <w:rPr>
          <w:rFonts w:ascii="Times New Roman" w:hAnsi="Times New Roman" w:cs="Times New Roman"/>
          <w:i/>
          <w:color w:val="000000" w:themeColor="text1"/>
          <w:sz w:val="20"/>
          <w:szCs w:val="20"/>
        </w:rPr>
        <w:t>perfectionem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unde</w:t>
      </w:r>
      <w:proofErr w:type="spellEnd"/>
      <w:r w:rsidRPr="009D7635">
        <w:rPr>
          <w:rFonts w:ascii="Times New Roman" w:hAnsi="Times New Roman" w:cs="Times New Roman"/>
          <w:i/>
          <w:color w:val="000000" w:themeColor="text1"/>
          <w:sz w:val="20"/>
          <w:szCs w:val="20"/>
        </w:rPr>
        <w:t xml:space="preserve"> unum in </w:t>
      </w:r>
      <w:proofErr w:type="spellStart"/>
      <w:r w:rsidRPr="009D7635">
        <w:rPr>
          <w:rFonts w:ascii="Times New Roman" w:hAnsi="Times New Roman" w:cs="Times New Roman"/>
          <w:i/>
          <w:color w:val="000000" w:themeColor="text1"/>
          <w:sz w:val="20"/>
          <w:szCs w:val="20"/>
        </w:rPr>
        <w:t>natura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constituunt</w:t>
      </w:r>
      <w:proofErr w:type="spellEnd"/>
      <w:r w:rsidRPr="009D7635">
        <w:rPr>
          <w:rFonts w:ascii="Times New Roman" w:hAnsi="Times New Roman" w:cs="Times New Roman"/>
          <w:i/>
          <w:color w:val="000000" w:themeColor="text1"/>
          <w:sz w:val="20"/>
          <w:szCs w:val="20"/>
        </w:rPr>
        <w:t>, scilicet hominem.</w:t>
      </w:r>
      <w:r w:rsidRPr="009D7635">
        <w:rPr>
          <w:rFonts w:ascii="Times New Roman" w:hAnsi="Times New Roman" w:cs="Times New Roman"/>
          <w:color w:val="000000" w:themeColor="text1"/>
          <w:sz w:val="20"/>
          <w:szCs w:val="20"/>
        </w:rPr>
        <w:t xml:space="preserve">   </w:t>
      </w:r>
    </w:p>
  </w:footnote>
  <w:footnote w:id="423">
    <w:p w14:paraId="418BF820" w14:textId="32B29531" w:rsidR="00B93ED5" w:rsidRPr="009D7635" w:rsidRDefault="00B93ED5" w:rsidP="007C038D">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S1, Q3, T2, C1, Ar1,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xml:space="preserve">, 418: </w:t>
      </w:r>
      <w:proofErr w:type="spellStart"/>
      <w:r w:rsidRPr="009D7635">
        <w:rPr>
          <w:rFonts w:ascii="Times New Roman" w:hAnsi="Times New Roman" w:cs="Times New Roman"/>
          <w:i/>
          <w:color w:val="000000" w:themeColor="text1"/>
        </w:rPr>
        <w:t>Coniungibilia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sunt</w:t>
      </w:r>
      <w:proofErr w:type="spellEnd"/>
      <w:r w:rsidRPr="009D7635">
        <w:rPr>
          <w:rFonts w:ascii="Times New Roman" w:hAnsi="Times New Roman" w:cs="Times New Roman"/>
          <w:i/>
          <w:color w:val="000000" w:themeColor="text1"/>
        </w:rPr>
        <w:t xml:space="preserve"> anima et corpus et </w:t>
      </w:r>
      <w:proofErr w:type="spellStart"/>
      <w:r w:rsidRPr="009D7635">
        <w:rPr>
          <w:rFonts w:ascii="Times New Roman" w:hAnsi="Times New Roman" w:cs="Times New Roman"/>
          <w:i/>
          <w:color w:val="000000" w:themeColor="text1"/>
        </w:rPr>
        <w:t>uniuntur</w:t>
      </w:r>
      <w:proofErr w:type="spellEnd"/>
      <w:r w:rsidRPr="009D7635">
        <w:rPr>
          <w:rFonts w:ascii="Times New Roman" w:hAnsi="Times New Roman" w:cs="Times New Roman"/>
          <w:i/>
          <w:color w:val="000000" w:themeColor="text1"/>
        </w:rPr>
        <w:t xml:space="preserve"> in unum, </w:t>
      </w:r>
      <w:proofErr w:type="spellStart"/>
      <w:r w:rsidRPr="009D7635">
        <w:rPr>
          <w:rFonts w:ascii="Times New Roman" w:hAnsi="Times New Roman" w:cs="Times New Roman"/>
          <w:i/>
          <w:color w:val="000000" w:themeColor="text1"/>
        </w:rPr>
        <w:t>ut</w:t>
      </w:r>
      <w:proofErr w:type="spellEnd"/>
      <w:r w:rsidRPr="009D7635">
        <w:rPr>
          <w:rFonts w:ascii="Times New Roman" w:hAnsi="Times New Roman" w:cs="Times New Roman"/>
          <w:i/>
          <w:color w:val="000000" w:themeColor="text1"/>
        </w:rPr>
        <w:t xml:space="preserve"> fiat </w:t>
      </w:r>
      <w:proofErr w:type="spellStart"/>
      <w:r w:rsidRPr="009D7635">
        <w:rPr>
          <w:rFonts w:ascii="Times New Roman" w:hAnsi="Times New Roman" w:cs="Times New Roman"/>
          <w:i/>
          <w:color w:val="000000" w:themeColor="text1"/>
        </w:rPr>
        <w:t>una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natura</w:t>
      </w:r>
      <w:proofErr w:type="spellEnd"/>
      <w:r w:rsidRPr="009D7635">
        <w:rPr>
          <w:rFonts w:ascii="Times New Roman" w:hAnsi="Times New Roman" w:cs="Times New Roman"/>
          <w:i/>
          <w:color w:val="000000" w:themeColor="text1"/>
        </w:rPr>
        <w:t>.</w:t>
      </w:r>
    </w:p>
  </w:footnote>
  <w:footnote w:id="424">
    <w:p w14:paraId="31BAC209" w14:textId="77777777" w:rsidR="00B93ED5" w:rsidRPr="009D7635" w:rsidRDefault="00B93ED5" w:rsidP="007C038D">
      <w:pPr>
        <w:widowControl w:val="0"/>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William of </w:t>
      </w:r>
      <w:proofErr w:type="spellStart"/>
      <w:r w:rsidRPr="009D7635">
        <w:rPr>
          <w:rFonts w:ascii="Times New Roman" w:hAnsi="Times New Roman" w:cs="Times New Roman"/>
          <w:color w:val="000000" w:themeColor="text1"/>
          <w:sz w:val="20"/>
          <w:szCs w:val="20"/>
        </w:rPr>
        <w:t>Auxerre</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Summa </w:t>
      </w:r>
      <w:proofErr w:type="spellStart"/>
      <w:r w:rsidRPr="009D7635">
        <w:rPr>
          <w:rFonts w:ascii="Times New Roman" w:hAnsi="Times New Roman" w:cs="Times New Roman"/>
          <w:i/>
          <w:color w:val="000000" w:themeColor="text1"/>
          <w:sz w:val="20"/>
          <w:szCs w:val="20"/>
        </w:rPr>
        <w:t>Aurea</w:t>
      </w:r>
      <w:proofErr w:type="spellEnd"/>
      <w:r w:rsidRPr="009D7635">
        <w:rPr>
          <w:rFonts w:ascii="Times New Roman" w:hAnsi="Times New Roman" w:cs="Times New Roman"/>
          <w:color w:val="000000" w:themeColor="text1"/>
          <w:sz w:val="20"/>
          <w:szCs w:val="20"/>
        </w:rPr>
        <w:t xml:space="preserve">, ed. Jean </w:t>
      </w:r>
      <w:proofErr w:type="spellStart"/>
      <w:r w:rsidRPr="009D7635">
        <w:rPr>
          <w:rFonts w:ascii="Times New Roman" w:hAnsi="Times New Roman" w:cs="Times New Roman"/>
          <w:color w:val="000000" w:themeColor="text1"/>
          <w:sz w:val="20"/>
          <w:szCs w:val="20"/>
        </w:rPr>
        <w:t>Ribaillier</w:t>
      </w:r>
      <w:proofErr w:type="spellEnd"/>
      <w:r w:rsidRPr="009D7635">
        <w:rPr>
          <w:rFonts w:ascii="Times New Roman" w:hAnsi="Times New Roman" w:cs="Times New Roman"/>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Spicilegium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Bonaventurianum</w:t>
      </w:r>
      <w:proofErr w:type="spellEnd"/>
      <w:r w:rsidRPr="009D7635">
        <w:rPr>
          <w:rFonts w:ascii="Times New Roman" w:hAnsi="Times New Roman" w:cs="Times New Roman"/>
          <w:color w:val="000000" w:themeColor="text1"/>
          <w:sz w:val="20"/>
          <w:szCs w:val="20"/>
        </w:rPr>
        <w:t xml:space="preserve"> 17 (Paris: </w:t>
      </w:r>
      <w:proofErr w:type="spellStart"/>
      <w:r w:rsidRPr="009D7635">
        <w:rPr>
          <w:rFonts w:ascii="Times New Roman" w:hAnsi="Times New Roman" w:cs="Times New Roman"/>
          <w:color w:val="000000" w:themeColor="text1"/>
          <w:sz w:val="20"/>
          <w:szCs w:val="20"/>
        </w:rPr>
        <w:t>Grottaferrata</w:t>
      </w:r>
      <w:proofErr w:type="spellEnd"/>
      <w:r w:rsidRPr="009D7635">
        <w:rPr>
          <w:rFonts w:ascii="Times New Roman" w:hAnsi="Times New Roman" w:cs="Times New Roman"/>
          <w:color w:val="000000" w:themeColor="text1"/>
          <w:sz w:val="20"/>
          <w:szCs w:val="20"/>
        </w:rPr>
        <w:t>, 1982), 266.</w:t>
      </w:r>
    </w:p>
  </w:footnote>
  <w:footnote w:id="425">
    <w:p w14:paraId="64B2A803"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The Soul-Body Problem at Paris</w:t>
      </w:r>
      <w:r w:rsidRPr="009D7635">
        <w:rPr>
          <w:rFonts w:ascii="Times New Roman" w:hAnsi="Times New Roman" w:cs="Times New Roman"/>
          <w:color w:val="000000" w:themeColor="text1"/>
        </w:rPr>
        <w:t>, 24.</w:t>
      </w:r>
    </w:p>
  </w:footnote>
  <w:footnote w:id="426">
    <w:p w14:paraId="34E465A4"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William of </w:t>
      </w:r>
      <w:proofErr w:type="spellStart"/>
      <w:r w:rsidRPr="009D7635">
        <w:rPr>
          <w:rFonts w:ascii="Times New Roman" w:hAnsi="Times New Roman" w:cs="Times New Roman"/>
          <w:color w:val="000000" w:themeColor="text1"/>
        </w:rPr>
        <w:t>Auxerre</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Summa </w:t>
      </w:r>
      <w:proofErr w:type="spellStart"/>
      <w:r w:rsidRPr="009D7635">
        <w:rPr>
          <w:rFonts w:ascii="Times New Roman" w:hAnsi="Times New Roman" w:cs="Times New Roman"/>
          <w:i/>
          <w:color w:val="000000" w:themeColor="text1"/>
        </w:rPr>
        <w:t>Aurea</w:t>
      </w:r>
      <w:proofErr w:type="spellEnd"/>
      <w:r w:rsidRPr="009D7635">
        <w:rPr>
          <w:rFonts w:ascii="Times New Roman" w:hAnsi="Times New Roman" w:cs="Times New Roman"/>
          <w:color w:val="000000" w:themeColor="text1"/>
        </w:rPr>
        <w:t xml:space="preserve">, in </w:t>
      </w:r>
      <w:proofErr w:type="spellStart"/>
      <w:r w:rsidRPr="009D7635">
        <w:rPr>
          <w:rFonts w:ascii="Times New Roman" w:hAnsi="Times New Roman" w:cs="Times New Roman"/>
          <w:i/>
          <w:color w:val="000000" w:themeColor="text1"/>
        </w:rPr>
        <w:t>Spicilegium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Bonaventurianum</w:t>
      </w:r>
      <w:proofErr w:type="spellEnd"/>
      <w:r w:rsidRPr="009D7635">
        <w:rPr>
          <w:rFonts w:ascii="Times New Roman" w:hAnsi="Times New Roman" w:cs="Times New Roman"/>
          <w:color w:val="000000" w:themeColor="text1"/>
        </w:rPr>
        <w:t xml:space="preserve"> 17, 751-2.</w:t>
      </w:r>
    </w:p>
  </w:footnote>
  <w:footnote w:id="427">
    <w:p w14:paraId="391C034B" w14:textId="686C0020"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Riccardo </w:t>
      </w:r>
      <w:proofErr w:type="spellStart"/>
      <w:r w:rsidRPr="009D7635">
        <w:rPr>
          <w:rFonts w:ascii="Times New Roman" w:hAnsi="Times New Roman" w:cs="Times New Roman"/>
          <w:color w:val="000000" w:themeColor="text1"/>
        </w:rPr>
        <w:t>Quinto</w:t>
      </w:r>
      <w:proofErr w:type="spellEnd"/>
      <w:r w:rsidRPr="009D7635">
        <w:rPr>
          <w:rFonts w:ascii="Times New Roman" w:hAnsi="Times New Roman" w:cs="Times New Roman"/>
          <w:color w:val="000000" w:themeColor="text1"/>
        </w:rPr>
        <w:t xml:space="preserve">, ‘Le </w:t>
      </w:r>
      <w:proofErr w:type="spellStart"/>
      <w:r w:rsidRPr="009D7635">
        <w:rPr>
          <w:rFonts w:ascii="Times New Roman" w:hAnsi="Times New Roman" w:cs="Times New Roman"/>
          <w:color w:val="000000" w:themeColor="text1"/>
        </w:rPr>
        <w:t>commentaire</w:t>
      </w:r>
      <w:proofErr w:type="spellEnd"/>
      <w:r w:rsidRPr="009D7635">
        <w:rPr>
          <w:rFonts w:ascii="Times New Roman" w:hAnsi="Times New Roman" w:cs="Times New Roman"/>
          <w:color w:val="000000" w:themeColor="text1"/>
        </w:rPr>
        <w:t xml:space="preserve"> des </w:t>
      </w:r>
      <w:r w:rsidRPr="009D7635">
        <w:rPr>
          <w:rFonts w:ascii="Times New Roman" w:hAnsi="Times New Roman" w:cs="Times New Roman"/>
          <w:i/>
          <w:color w:val="000000" w:themeColor="text1"/>
        </w:rPr>
        <w:t>Sentences</w:t>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d’Hugues</w:t>
      </w:r>
      <w:proofErr w:type="spellEnd"/>
      <w:r w:rsidRPr="009D7635">
        <w:rPr>
          <w:rFonts w:ascii="Times New Roman" w:hAnsi="Times New Roman" w:cs="Times New Roman"/>
          <w:color w:val="000000" w:themeColor="text1"/>
        </w:rPr>
        <w:t xml:space="preserve"> de Saint-Cher et la </w:t>
      </w:r>
      <w:proofErr w:type="spellStart"/>
      <w:r w:rsidRPr="009D7635">
        <w:rPr>
          <w:rFonts w:ascii="Times New Roman" w:hAnsi="Times New Roman" w:cs="Times New Roman"/>
          <w:color w:val="000000" w:themeColor="text1"/>
        </w:rPr>
        <w:t>littérature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théologique</w:t>
      </w:r>
      <w:proofErr w:type="spellEnd"/>
      <w:r w:rsidRPr="009D7635">
        <w:rPr>
          <w:rFonts w:ascii="Times New Roman" w:hAnsi="Times New Roman" w:cs="Times New Roman"/>
          <w:color w:val="000000" w:themeColor="text1"/>
        </w:rPr>
        <w:t xml:space="preserve"> de son temps,’ in </w:t>
      </w:r>
      <w:proofErr w:type="spellStart"/>
      <w:r w:rsidRPr="009D7635">
        <w:rPr>
          <w:rFonts w:ascii="Times New Roman" w:hAnsi="Times New Roman" w:cs="Times New Roman"/>
          <w:i/>
          <w:color w:val="000000" w:themeColor="text1"/>
        </w:rPr>
        <w:t>Hugues</w:t>
      </w:r>
      <w:proofErr w:type="spellEnd"/>
      <w:r w:rsidRPr="009D7635">
        <w:rPr>
          <w:rFonts w:ascii="Times New Roman" w:hAnsi="Times New Roman" w:cs="Times New Roman"/>
          <w:i/>
          <w:color w:val="000000" w:themeColor="text1"/>
        </w:rPr>
        <w:t xml:space="preserve"> de Saint-Cher (1263): </w:t>
      </w:r>
      <w:proofErr w:type="spellStart"/>
      <w:r w:rsidR="00F1722A" w:rsidRPr="009D7635">
        <w:rPr>
          <w:rFonts w:ascii="Times New Roman" w:hAnsi="Times New Roman" w:cs="Times New Roman"/>
          <w:i/>
          <w:color w:val="000000" w:themeColor="text1"/>
        </w:rPr>
        <w:t>b</w:t>
      </w:r>
      <w:r w:rsidRPr="009D7635">
        <w:rPr>
          <w:rFonts w:ascii="Times New Roman" w:hAnsi="Times New Roman" w:cs="Times New Roman"/>
          <w:i/>
          <w:color w:val="000000" w:themeColor="text1"/>
        </w:rPr>
        <w:t>ibliste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théologien</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Louis-Jacques </w:t>
      </w:r>
      <w:proofErr w:type="spellStart"/>
      <w:r w:rsidRPr="009D7635">
        <w:rPr>
          <w:rFonts w:ascii="Times New Roman" w:hAnsi="Times New Roman" w:cs="Times New Roman"/>
          <w:color w:val="000000" w:themeColor="text1"/>
        </w:rPr>
        <w:t>Batallion</w:t>
      </w:r>
      <w:proofErr w:type="spellEnd"/>
      <w:r w:rsidRPr="009D7635">
        <w:rPr>
          <w:rFonts w:ascii="Times New Roman" w:hAnsi="Times New Roman" w:cs="Times New Roman"/>
          <w:color w:val="000000" w:themeColor="text1"/>
        </w:rPr>
        <w:t xml:space="preserve">, Gilbert </w:t>
      </w:r>
      <w:proofErr w:type="spellStart"/>
      <w:r w:rsidRPr="009D7635">
        <w:rPr>
          <w:rFonts w:ascii="Times New Roman" w:hAnsi="Times New Roman" w:cs="Times New Roman"/>
          <w:color w:val="000000" w:themeColor="text1"/>
        </w:rPr>
        <w:t>Dahan</w:t>
      </w:r>
      <w:proofErr w:type="spellEnd"/>
      <w:r w:rsidRPr="009D7635">
        <w:rPr>
          <w:rFonts w:ascii="Times New Roman" w:hAnsi="Times New Roman" w:cs="Times New Roman"/>
          <w:color w:val="000000" w:themeColor="text1"/>
        </w:rPr>
        <w:t>, Pierre-Marie Gy (</w:t>
      </w:r>
      <w:proofErr w:type="spellStart"/>
      <w:r w:rsidRPr="009D7635">
        <w:rPr>
          <w:rFonts w:ascii="Times New Roman" w:hAnsi="Times New Roman" w:cs="Times New Roman"/>
          <w:color w:val="000000" w:themeColor="text1"/>
        </w:rPr>
        <w:t>Turnhout</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Brepols</w:t>
      </w:r>
      <w:proofErr w:type="spellEnd"/>
      <w:r w:rsidRPr="009D7635">
        <w:rPr>
          <w:rFonts w:ascii="Times New Roman" w:hAnsi="Times New Roman" w:cs="Times New Roman"/>
          <w:color w:val="000000" w:themeColor="text1"/>
        </w:rPr>
        <w:t>, 2004), 316.</w:t>
      </w:r>
    </w:p>
  </w:footnote>
  <w:footnote w:id="428">
    <w:p w14:paraId="02B72F5D" w14:textId="4AC875C3" w:rsidR="00B93ED5" w:rsidRPr="009D7635" w:rsidRDefault="00B93ED5" w:rsidP="007C038D">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Magdalena </w:t>
      </w:r>
      <w:proofErr w:type="spellStart"/>
      <w:r w:rsidRPr="009D7635">
        <w:rPr>
          <w:rFonts w:ascii="Times New Roman" w:hAnsi="Times New Roman" w:cs="Times New Roman"/>
          <w:color w:val="000000" w:themeColor="text1"/>
          <w:sz w:val="20"/>
          <w:szCs w:val="20"/>
        </w:rPr>
        <w:t>Bieniak</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The Soul-Body Problem at Paris</w:t>
      </w:r>
      <w:r w:rsidRPr="009D7635">
        <w:rPr>
          <w:rFonts w:ascii="Times New Roman" w:hAnsi="Times New Roman" w:cs="Times New Roman"/>
          <w:color w:val="000000" w:themeColor="text1"/>
          <w:sz w:val="20"/>
          <w:szCs w:val="20"/>
        </w:rPr>
        <w:t>, 30: ‘</w:t>
      </w:r>
      <w:r w:rsidRPr="009D7635">
        <w:rPr>
          <w:rFonts w:ascii="Times New Roman" w:hAnsi="Times New Roman" w:cs="Times New Roman"/>
          <w:color w:val="000000" w:themeColor="text1"/>
          <w:sz w:val="20"/>
          <w:szCs w:val="20"/>
          <w:lang w:val="en-US"/>
        </w:rPr>
        <w:t xml:space="preserve">Indeed, in a question entitled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intentione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necessaria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baptismo</w:t>
      </w:r>
      <w:proofErr w:type="spellEnd"/>
      <w:r w:rsidRPr="009D7635">
        <w:rPr>
          <w:rFonts w:ascii="Times New Roman" w:hAnsi="Times New Roman" w:cs="Times New Roman"/>
          <w:color w:val="000000" w:themeColor="text1"/>
          <w:sz w:val="20"/>
          <w:szCs w:val="20"/>
          <w:lang w:val="en-US"/>
        </w:rPr>
        <w:t>, i.e. outside a strictly psychological context, Roland states that the soul, after its separation from the body, becomes a spirit that cannot even be called ‘soul’: the separation brings about the abandonment of the relation with the body, thanks to which the soul receives its name.’ See also</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C. R. Hess, ‘Roland of Cremona’s Place in the Current of Thought,’ </w:t>
      </w:r>
      <w:proofErr w:type="spellStart"/>
      <w:r w:rsidRPr="009D7635">
        <w:rPr>
          <w:rFonts w:ascii="Times New Roman" w:hAnsi="Times New Roman" w:cs="Times New Roman"/>
          <w:i/>
          <w:color w:val="000000" w:themeColor="text1"/>
          <w:sz w:val="20"/>
          <w:szCs w:val="20"/>
          <w:lang w:val="en-US"/>
        </w:rPr>
        <w:t>Angelicum</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45 (1968)</w:t>
      </w:r>
      <w:r w:rsidR="00F1722A"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438.</w:t>
      </w:r>
    </w:p>
  </w:footnote>
  <w:footnote w:id="429">
    <w:p w14:paraId="48A0B177" w14:textId="77777777"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DSEA 14 is quoted to affirm the need for a medium; Magdalena </w:t>
      </w:r>
      <w:proofErr w:type="spellStart"/>
      <w:r w:rsidRPr="009D7635">
        <w:rPr>
          <w:rFonts w:ascii="Times New Roman" w:hAnsi="Times New Roman" w:cs="Times New Roman"/>
          <w:color w:val="000000" w:themeColor="text1"/>
          <w:sz w:val="20"/>
          <w:szCs w:val="20"/>
        </w:rPr>
        <w:t>Bieniak</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The Soul-Body Problem at Paris</w:t>
      </w:r>
      <w:r w:rsidRPr="009D7635">
        <w:rPr>
          <w:rFonts w:ascii="Times New Roman" w:hAnsi="Times New Roman" w:cs="Times New Roman"/>
          <w:color w:val="000000" w:themeColor="text1"/>
          <w:sz w:val="20"/>
          <w:szCs w:val="20"/>
        </w:rPr>
        <w:t>, 123-4.</w:t>
      </w:r>
    </w:p>
    <w:p w14:paraId="57C5024A" w14:textId="77777777" w:rsidR="00B93ED5" w:rsidRPr="009D7635" w:rsidRDefault="00B93ED5" w:rsidP="007C038D">
      <w:pPr>
        <w:pStyle w:val="FootnoteText"/>
        <w:rPr>
          <w:rFonts w:ascii="Times New Roman" w:hAnsi="Times New Roman" w:cs="Times New Roman"/>
          <w:color w:val="000000" w:themeColor="text1"/>
        </w:rPr>
      </w:pPr>
      <w:r w:rsidRPr="009D7635">
        <w:rPr>
          <w:rFonts w:ascii="Times New Roman" w:hAnsi="Times New Roman" w:cs="Times New Roman"/>
          <w:color w:val="000000" w:themeColor="text1"/>
        </w:rPr>
        <w:t xml:space="preserve">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The Soul-Body Problem at Paris</w:t>
      </w:r>
      <w:r w:rsidRPr="009D7635">
        <w:rPr>
          <w:rFonts w:ascii="Times New Roman" w:hAnsi="Times New Roman" w:cs="Times New Roman"/>
          <w:color w:val="000000" w:themeColor="text1"/>
        </w:rPr>
        <w:t>, 126.</w:t>
      </w:r>
    </w:p>
  </w:footnote>
  <w:footnote w:id="430">
    <w:p w14:paraId="3BF5BC7B" w14:textId="3BFAD04C"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1722A" w:rsidRPr="009D7635">
        <w:rPr>
          <w:rFonts w:ascii="Times New Roman" w:hAnsi="Times New Roman" w:cs="Times New Roman"/>
          <w:lang w:val="en-US"/>
        </w:rPr>
        <w:t xml:space="preserve">Ibid., </w:t>
      </w:r>
      <w:r w:rsidRPr="009D7635">
        <w:rPr>
          <w:rFonts w:ascii="Times New Roman" w:hAnsi="Times New Roman" w:cs="Times New Roman"/>
          <w:color w:val="000000" w:themeColor="text1"/>
        </w:rPr>
        <w:t>127.</w:t>
      </w:r>
    </w:p>
  </w:footnote>
  <w:footnote w:id="431">
    <w:p w14:paraId="5D4C8E3A" w14:textId="23EF1156"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1722A" w:rsidRPr="009D7635">
        <w:rPr>
          <w:rFonts w:ascii="Times New Roman" w:hAnsi="Times New Roman" w:cs="Times New Roman"/>
          <w:lang w:val="en-US"/>
        </w:rPr>
        <w:t xml:space="preserve">Ibid., </w:t>
      </w:r>
      <w:r w:rsidRPr="009D7635">
        <w:rPr>
          <w:rFonts w:ascii="Times New Roman" w:hAnsi="Times New Roman" w:cs="Times New Roman"/>
          <w:color w:val="000000" w:themeColor="text1"/>
        </w:rPr>
        <w:t>120</w:t>
      </w:r>
      <w:r w:rsidR="00F1722A"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130-6.</w:t>
      </w:r>
    </w:p>
  </w:footnote>
  <w:footnote w:id="432">
    <w:p w14:paraId="5CF93537" w14:textId="25C55256"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1722A" w:rsidRPr="009D7635">
        <w:rPr>
          <w:rFonts w:ascii="Times New Roman" w:hAnsi="Times New Roman" w:cs="Times New Roman"/>
          <w:lang w:val="en-US"/>
        </w:rPr>
        <w:t xml:space="preserve">Ibid., </w:t>
      </w:r>
      <w:r w:rsidRPr="009D7635">
        <w:rPr>
          <w:rFonts w:ascii="Times New Roman" w:hAnsi="Times New Roman" w:cs="Times New Roman"/>
          <w:color w:val="000000" w:themeColor="text1"/>
        </w:rPr>
        <w:t>127.</w:t>
      </w:r>
    </w:p>
  </w:footnote>
  <w:footnote w:id="433">
    <w:p w14:paraId="5F7B5944" w14:textId="45430C9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1722A" w:rsidRPr="009D7635">
        <w:rPr>
          <w:rFonts w:ascii="Times New Roman" w:hAnsi="Times New Roman" w:cs="Times New Roman"/>
          <w:lang w:val="en-US"/>
        </w:rPr>
        <w:t xml:space="preserve">Ibid., </w:t>
      </w:r>
      <w:r w:rsidRPr="009D7635">
        <w:rPr>
          <w:rFonts w:ascii="Times New Roman" w:hAnsi="Times New Roman" w:cs="Times New Roman"/>
          <w:color w:val="000000" w:themeColor="text1"/>
        </w:rPr>
        <w:t>119.</w:t>
      </w:r>
    </w:p>
  </w:footnote>
  <w:footnote w:id="434">
    <w:p w14:paraId="1A1C8130"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bono</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284.</w:t>
      </w:r>
    </w:p>
  </w:footnote>
  <w:footnote w:id="435">
    <w:p w14:paraId="5294CF1A" w14:textId="7D976994"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Leo W. Keeler, ‘The Dependence of Robert </w:t>
      </w:r>
      <w:proofErr w:type="spellStart"/>
      <w:r w:rsidRPr="009D7635">
        <w:rPr>
          <w:rFonts w:ascii="Times New Roman" w:hAnsi="Times New Roman" w:cs="Times New Roman"/>
          <w:color w:val="000000" w:themeColor="text1"/>
          <w:sz w:val="20"/>
          <w:szCs w:val="20"/>
        </w:rPr>
        <w:t>Grosseteste’s</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De anima </w:t>
      </w:r>
      <w:r w:rsidRPr="009D7635">
        <w:rPr>
          <w:rFonts w:ascii="Times New Roman" w:hAnsi="Times New Roman" w:cs="Times New Roman"/>
          <w:color w:val="000000" w:themeColor="text1"/>
          <w:sz w:val="20"/>
          <w:szCs w:val="20"/>
        </w:rPr>
        <w:t xml:space="preserve">on the </w:t>
      </w:r>
      <w:r w:rsidRPr="009D7635">
        <w:rPr>
          <w:rFonts w:ascii="Times New Roman" w:hAnsi="Times New Roman" w:cs="Times New Roman"/>
          <w:i/>
          <w:color w:val="000000" w:themeColor="text1"/>
          <w:sz w:val="20"/>
          <w:szCs w:val="20"/>
        </w:rPr>
        <w:t xml:space="preserve">Summa </w:t>
      </w:r>
      <w:r w:rsidRPr="009D7635">
        <w:rPr>
          <w:rFonts w:ascii="Times New Roman" w:hAnsi="Times New Roman" w:cs="Times New Roman"/>
          <w:color w:val="000000" w:themeColor="text1"/>
          <w:sz w:val="20"/>
          <w:szCs w:val="20"/>
        </w:rPr>
        <w:t xml:space="preserve">of Philip the Chancellor,’ </w:t>
      </w:r>
      <w:r w:rsidRPr="009D7635">
        <w:rPr>
          <w:rFonts w:ascii="Times New Roman" w:hAnsi="Times New Roman" w:cs="Times New Roman"/>
          <w:i/>
          <w:color w:val="000000" w:themeColor="text1"/>
          <w:sz w:val="20"/>
          <w:szCs w:val="20"/>
        </w:rPr>
        <w:t xml:space="preserve">The New Scholasticism </w:t>
      </w:r>
      <w:r w:rsidRPr="009D7635">
        <w:rPr>
          <w:rFonts w:ascii="Times New Roman" w:hAnsi="Times New Roman" w:cs="Times New Roman"/>
          <w:color w:val="000000" w:themeColor="text1"/>
          <w:sz w:val="20"/>
          <w:szCs w:val="20"/>
        </w:rPr>
        <w:t>11 (1937)</w:t>
      </w:r>
      <w:r w:rsidR="005964D5"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218: Philip was the first to use the term </w:t>
      </w:r>
      <w:r w:rsidRPr="009D7635">
        <w:rPr>
          <w:rFonts w:ascii="Times New Roman" w:hAnsi="Times New Roman" w:cs="Times New Roman"/>
          <w:i/>
          <w:color w:val="000000" w:themeColor="text1"/>
          <w:sz w:val="20"/>
          <w:szCs w:val="20"/>
        </w:rPr>
        <w:t xml:space="preserve">forma </w:t>
      </w:r>
      <w:proofErr w:type="spellStart"/>
      <w:r w:rsidRPr="009D7635">
        <w:rPr>
          <w:rFonts w:ascii="Times New Roman" w:hAnsi="Times New Roman" w:cs="Times New Roman"/>
          <w:i/>
          <w:color w:val="000000" w:themeColor="text1"/>
          <w:sz w:val="20"/>
          <w:szCs w:val="20"/>
        </w:rPr>
        <w:t>corporeatatis</w:t>
      </w:r>
      <w:proofErr w:type="spellEnd"/>
      <w:r w:rsidRPr="009D7635">
        <w:rPr>
          <w:rFonts w:ascii="Times New Roman" w:hAnsi="Times New Roman" w:cs="Times New Roman"/>
          <w:color w:val="000000" w:themeColor="text1"/>
          <w:sz w:val="20"/>
          <w:szCs w:val="20"/>
        </w:rPr>
        <w:t>.</w:t>
      </w:r>
    </w:p>
  </w:footnote>
  <w:footnote w:id="436">
    <w:p w14:paraId="31D9E8EB" w14:textId="08F614BC" w:rsidR="00B93ED5" w:rsidRPr="009D7635" w:rsidRDefault="00B93ED5" w:rsidP="007C038D">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bono</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285-6: </w:t>
      </w:r>
      <w:r w:rsidRPr="009D7635">
        <w:rPr>
          <w:rFonts w:ascii="Times New Roman" w:hAnsi="Times New Roman" w:cs="Times New Roman"/>
          <w:i/>
          <w:color w:val="000000" w:themeColor="text1"/>
          <w:sz w:val="20"/>
          <w:szCs w:val="20"/>
          <w:lang w:val="en-US"/>
        </w:rPr>
        <w:t xml:space="preserve">Ad quod </w:t>
      </w:r>
      <w:proofErr w:type="spellStart"/>
      <w:r w:rsidRPr="009D7635">
        <w:rPr>
          <w:rFonts w:ascii="Times New Roman" w:hAnsi="Times New Roman" w:cs="Times New Roman"/>
          <w:i/>
          <w:color w:val="000000" w:themeColor="text1"/>
          <w:sz w:val="20"/>
          <w:szCs w:val="20"/>
          <w:lang w:val="en-US"/>
        </w:rPr>
        <w:t>intelligendum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accipienda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distantia</w:t>
      </w:r>
      <w:proofErr w:type="spellEnd"/>
      <w:r w:rsidRPr="009D7635">
        <w:rPr>
          <w:rFonts w:ascii="Times New Roman" w:hAnsi="Times New Roman" w:cs="Times New Roman"/>
          <w:i/>
          <w:color w:val="000000" w:themeColor="text1"/>
          <w:sz w:val="20"/>
          <w:szCs w:val="20"/>
          <w:lang w:val="en-US"/>
        </w:rPr>
        <w:t xml:space="preserve"> prime anime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ad corpus. Et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multimoda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distantia</w:t>
      </w:r>
      <w:proofErr w:type="spellEnd"/>
      <w:r w:rsidRPr="009D7635">
        <w:rPr>
          <w:rFonts w:ascii="Times New Roman" w:hAnsi="Times New Roman" w:cs="Times New Roman"/>
          <w:i/>
          <w:color w:val="000000" w:themeColor="text1"/>
          <w:sz w:val="20"/>
          <w:szCs w:val="20"/>
          <w:lang w:val="en-US"/>
        </w:rPr>
        <w:t xml:space="preserve">. Anima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tres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oppositiones</w:t>
      </w:r>
      <w:proofErr w:type="spellEnd"/>
      <w:r w:rsidRPr="009D7635">
        <w:rPr>
          <w:rFonts w:ascii="Times New Roman" w:hAnsi="Times New Roman" w:cs="Times New Roman"/>
          <w:i/>
          <w:color w:val="000000" w:themeColor="text1"/>
          <w:sz w:val="20"/>
          <w:szCs w:val="20"/>
          <w:lang w:val="en-US"/>
        </w:rPr>
        <w:t xml:space="preserve"> ad corpus </w:t>
      </w:r>
      <w:proofErr w:type="spellStart"/>
      <w:r w:rsidRPr="009D7635">
        <w:rPr>
          <w:rFonts w:ascii="Times New Roman" w:hAnsi="Times New Roman" w:cs="Times New Roman"/>
          <w:i/>
          <w:color w:val="000000" w:themeColor="text1"/>
          <w:sz w:val="20"/>
          <w:szCs w:val="20"/>
          <w:lang w:val="en-US"/>
        </w:rPr>
        <w:t>ipsum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simplex, </w:t>
      </w:r>
      <w:proofErr w:type="spellStart"/>
      <w:r w:rsidRPr="009D7635">
        <w:rPr>
          <w:rFonts w:ascii="Times New Roman" w:hAnsi="Times New Roman" w:cs="Times New Roman"/>
          <w:i/>
          <w:color w:val="000000" w:themeColor="text1"/>
          <w:sz w:val="20"/>
          <w:szCs w:val="20"/>
          <w:lang w:val="en-US"/>
        </w:rPr>
        <w:t>incorporea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incorruptibilis</w:t>
      </w:r>
      <w:proofErr w:type="spellEnd"/>
      <w:r w:rsidRPr="009D7635">
        <w:rPr>
          <w:rFonts w:ascii="Times New Roman" w:hAnsi="Times New Roman" w:cs="Times New Roman"/>
          <w:i/>
          <w:color w:val="000000" w:themeColor="text1"/>
          <w:sz w:val="20"/>
          <w:szCs w:val="20"/>
          <w:lang w:val="en-US"/>
        </w:rPr>
        <w:t xml:space="preserve">, corpus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compositum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corporeum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corruptibile</w:t>
      </w:r>
      <w:proofErr w:type="spellEnd"/>
      <w:r w:rsidRPr="009D7635">
        <w:rPr>
          <w:rFonts w:ascii="Times New Roman" w:hAnsi="Times New Roman" w:cs="Times New Roman"/>
          <w:i/>
          <w:color w:val="000000" w:themeColor="text1"/>
          <w:sz w:val="20"/>
          <w:szCs w:val="20"/>
          <w:lang w:val="en-US"/>
        </w:rPr>
        <w:t xml:space="preserve">. Propter </w:t>
      </w:r>
      <w:proofErr w:type="spellStart"/>
      <w:r w:rsidRPr="009D7635">
        <w:rPr>
          <w:rFonts w:ascii="Times New Roman" w:hAnsi="Times New Roman" w:cs="Times New Roman"/>
          <w:i/>
          <w:color w:val="000000" w:themeColor="text1"/>
          <w:sz w:val="20"/>
          <w:szCs w:val="20"/>
          <w:lang w:val="en-US"/>
        </w:rPr>
        <w:t>igitur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nimiam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distantiam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non posset anima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coniungi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nisi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advenirent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dispositiones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sive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adaptationes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essent</w:t>
      </w:r>
      <w:proofErr w:type="spellEnd"/>
      <w:r w:rsidRPr="009D7635">
        <w:rPr>
          <w:rFonts w:ascii="Times New Roman" w:hAnsi="Times New Roman" w:cs="Times New Roman"/>
          <w:i/>
          <w:color w:val="000000" w:themeColor="text1"/>
          <w:sz w:val="20"/>
          <w:szCs w:val="20"/>
          <w:lang w:val="en-US"/>
        </w:rPr>
        <w:t xml:space="preserve"> media </w:t>
      </w:r>
      <w:proofErr w:type="spellStart"/>
      <w:r w:rsidRPr="009D7635">
        <w:rPr>
          <w:rFonts w:ascii="Times New Roman" w:hAnsi="Times New Roman" w:cs="Times New Roman"/>
          <w:i/>
          <w:color w:val="000000" w:themeColor="text1"/>
          <w:sz w:val="20"/>
          <w:szCs w:val="20"/>
          <w:lang w:val="en-US"/>
        </w:rPr>
        <w:t>coniungendi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hec</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invicem</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Magdalena </w:t>
      </w:r>
      <w:proofErr w:type="spellStart"/>
      <w:r w:rsidRPr="009D7635">
        <w:rPr>
          <w:rFonts w:ascii="Times New Roman" w:hAnsi="Times New Roman" w:cs="Times New Roman"/>
          <w:color w:val="000000" w:themeColor="text1"/>
          <w:sz w:val="20"/>
          <w:szCs w:val="20"/>
        </w:rPr>
        <w:t>Bieniak</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The Soul-Body Problem at Paris</w:t>
      </w:r>
      <w:r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lang w:val="en-US"/>
        </w:rPr>
        <w:t xml:space="preserve"> 122.</w:t>
      </w:r>
    </w:p>
  </w:footnote>
  <w:footnote w:id="437">
    <w:p w14:paraId="0FC95C5C"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Summae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Magistri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Rolandi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Cremonensis</w:t>
      </w:r>
      <w:proofErr w:type="spellEnd"/>
      <w:r w:rsidRPr="009D7635">
        <w:rPr>
          <w:rFonts w:ascii="Times New Roman" w:hAnsi="Times New Roman" w:cs="Times New Roman"/>
          <w:i/>
          <w:color w:val="000000" w:themeColor="text1"/>
        </w:rPr>
        <w:t xml:space="preserve">, O.P., Liber </w:t>
      </w:r>
      <w:proofErr w:type="spellStart"/>
      <w:r w:rsidRPr="009D7635">
        <w:rPr>
          <w:rFonts w:ascii="Times New Roman" w:hAnsi="Times New Roman" w:cs="Times New Roman"/>
          <w:i/>
          <w:color w:val="000000" w:themeColor="text1"/>
        </w:rPr>
        <w:t>Secundus</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Aloysio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Cortesi</w:t>
      </w:r>
      <w:proofErr w:type="spellEnd"/>
      <w:r w:rsidRPr="009D7635">
        <w:rPr>
          <w:rFonts w:ascii="Times New Roman" w:hAnsi="Times New Roman" w:cs="Times New Roman"/>
          <w:color w:val="000000" w:themeColor="text1"/>
        </w:rPr>
        <w:t xml:space="preserve"> and Humberto </w:t>
      </w:r>
      <w:proofErr w:type="spellStart"/>
      <w:r w:rsidRPr="009D7635">
        <w:rPr>
          <w:rFonts w:ascii="Times New Roman" w:hAnsi="Times New Roman" w:cs="Times New Roman"/>
          <w:color w:val="000000" w:themeColor="text1"/>
        </w:rPr>
        <w:t>Midali</w:t>
      </w:r>
      <w:proofErr w:type="spellEnd"/>
      <w:r w:rsidRPr="009D7635">
        <w:rPr>
          <w:rFonts w:ascii="Times New Roman" w:hAnsi="Times New Roman" w:cs="Times New Roman"/>
          <w:color w:val="000000" w:themeColor="text1"/>
        </w:rPr>
        <w:t xml:space="preserve"> (Bergamo: Umberto </w:t>
      </w:r>
      <w:proofErr w:type="spellStart"/>
      <w:r w:rsidRPr="009D7635">
        <w:rPr>
          <w:rFonts w:ascii="Times New Roman" w:hAnsi="Times New Roman" w:cs="Times New Roman"/>
          <w:color w:val="000000" w:themeColor="text1"/>
        </w:rPr>
        <w:t>Midali</w:t>
      </w:r>
      <w:proofErr w:type="spellEnd"/>
      <w:r w:rsidRPr="009D7635">
        <w:rPr>
          <w:rFonts w:ascii="Times New Roman" w:hAnsi="Times New Roman" w:cs="Times New Roman"/>
          <w:color w:val="000000" w:themeColor="text1"/>
        </w:rPr>
        <w:t>, 2016), 181.</w:t>
      </w:r>
    </w:p>
  </w:footnote>
  <w:footnote w:id="438">
    <w:p w14:paraId="3AE8F8DC"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bono</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283.</w:t>
      </w:r>
    </w:p>
  </w:footnote>
  <w:footnote w:id="439">
    <w:p w14:paraId="7AD17938" w14:textId="0D106AE1" w:rsidR="00286570" w:rsidRPr="009D7635" w:rsidRDefault="00286570">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w:t>
      </w:r>
      <w:r w:rsidRPr="009D7635">
        <w:rPr>
          <w:rFonts w:ascii="Times New Roman" w:hAnsi="Times New Roman" w:cs="Times New Roman"/>
          <w:color w:val="000000" w:themeColor="text1"/>
        </w:rPr>
        <w:t xml:space="preserve">Danielle </w:t>
      </w:r>
      <w:proofErr w:type="spellStart"/>
      <w:r w:rsidRPr="009D7635">
        <w:rPr>
          <w:rFonts w:ascii="Times New Roman" w:hAnsi="Times New Roman" w:cs="Times New Roman"/>
          <w:color w:val="000000" w:themeColor="text1"/>
        </w:rPr>
        <w:t>Jacquart</w:t>
      </w:r>
      <w:proofErr w:type="spellEnd"/>
      <w:r w:rsidRPr="009D7635">
        <w:rPr>
          <w:rFonts w:ascii="Times New Roman" w:hAnsi="Times New Roman" w:cs="Times New Roman"/>
          <w:color w:val="000000" w:themeColor="text1"/>
        </w:rPr>
        <w:t xml:space="preserve">, ‘La reconstruction </w:t>
      </w:r>
      <w:proofErr w:type="spellStart"/>
      <w:r w:rsidRPr="009D7635">
        <w:rPr>
          <w:rFonts w:ascii="Times New Roman" w:hAnsi="Times New Roman" w:cs="Times New Roman"/>
          <w:color w:val="000000" w:themeColor="text1"/>
        </w:rPr>
        <w:t>médicale</w:t>
      </w:r>
      <w:proofErr w:type="spellEnd"/>
      <w:r w:rsidRPr="009D7635">
        <w:rPr>
          <w:rFonts w:ascii="Times New Roman" w:hAnsi="Times New Roman" w:cs="Times New Roman"/>
          <w:color w:val="000000" w:themeColor="text1"/>
        </w:rPr>
        <w:t xml:space="preserve"> de la nature de </w:t>
      </w:r>
      <w:proofErr w:type="spellStart"/>
      <w:r w:rsidRPr="009D7635">
        <w:rPr>
          <w:rFonts w:ascii="Times New Roman" w:hAnsi="Times New Roman" w:cs="Times New Roman"/>
          <w:color w:val="000000" w:themeColor="text1"/>
        </w:rPr>
        <w:t>l’homme</w:t>
      </w:r>
      <w:proofErr w:type="spellEnd"/>
      <w:r w:rsidRPr="009D7635">
        <w:rPr>
          <w:rFonts w:ascii="Times New Roman" w:hAnsi="Times New Roman" w:cs="Times New Roman"/>
          <w:color w:val="000000" w:themeColor="text1"/>
        </w:rPr>
        <w:t xml:space="preserve"> aux </w:t>
      </w:r>
      <w:proofErr w:type="spellStart"/>
      <w:r w:rsidRPr="009D7635">
        <w:rPr>
          <w:rFonts w:ascii="Times New Roman" w:hAnsi="Times New Roman" w:cs="Times New Roman"/>
          <w:color w:val="000000" w:themeColor="text1"/>
        </w:rPr>
        <w:t>XIe</w:t>
      </w:r>
      <w:proofErr w:type="spellEnd"/>
      <w:r w:rsidRPr="009D7635">
        <w:rPr>
          <w:rFonts w:ascii="Times New Roman" w:hAnsi="Times New Roman" w:cs="Times New Roman"/>
          <w:color w:val="000000" w:themeColor="text1"/>
        </w:rPr>
        <w:t xml:space="preserve"> et XIIe </w:t>
      </w:r>
      <w:proofErr w:type="spellStart"/>
      <w:r w:rsidRPr="009D7635">
        <w:rPr>
          <w:rFonts w:ascii="Times New Roman" w:hAnsi="Times New Roman" w:cs="Times New Roman"/>
          <w:color w:val="000000" w:themeColor="text1"/>
        </w:rPr>
        <w:t>siècles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 xml:space="preserve">Revue de </w:t>
      </w:r>
      <w:proofErr w:type="spellStart"/>
      <w:r w:rsidRPr="009D7635">
        <w:rPr>
          <w:rFonts w:ascii="Times New Roman" w:hAnsi="Times New Roman" w:cs="Times New Roman"/>
          <w:i/>
          <w:iCs/>
          <w:color w:val="000000" w:themeColor="text1"/>
        </w:rPr>
        <w:t>synthèse</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134:6:4 (2013):</w:t>
      </w:r>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44.</w:t>
      </w:r>
    </w:p>
  </w:footnote>
  <w:footnote w:id="440">
    <w:p w14:paraId="169FD5AF" w14:textId="62AD74DF" w:rsidR="00B93ED5" w:rsidRPr="009D7635" w:rsidRDefault="00B93ED5" w:rsidP="007C038D">
      <w:pPr>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Magdalena </w:t>
      </w:r>
      <w:proofErr w:type="spellStart"/>
      <w:r w:rsidRPr="009D7635">
        <w:rPr>
          <w:rFonts w:ascii="Times New Roman" w:hAnsi="Times New Roman" w:cs="Times New Roman"/>
          <w:color w:val="000000" w:themeColor="text1"/>
          <w:sz w:val="20"/>
          <w:szCs w:val="20"/>
        </w:rPr>
        <w:t>Bieniak</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The Soul-Body Problem at Paris</w:t>
      </w:r>
      <w:r w:rsidRPr="009D7635">
        <w:rPr>
          <w:rFonts w:ascii="Times New Roman" w:hAnsi="Times New Roman" w:cs="Times New Roman"/>
          <w:color w:val="000000" w:themeColor="text1"/>
          <w:sz w:val="20"/>
          <w:szCs w:val="20"/>
        </w:rPr>
        <w:t xml:space="preserve">, 120; </w:t>
      </w:r>
      <w:r w:rsidRPr="009D7635">
        <w:rPr>
          <w:rFonts w:ascii="Times New Roman" w:hAnsi="Times New Roman" w:cs="Times New Roman"/>
          <w:i/>
          <w:color w:val="000000" w:themeColor="text1"/>
          <w:sz w:val="20"/>
          <w:szCs w:val="20"/>
        </w:rPr>
        <w:t>Summa de bono</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286-7. </w:t>
      </w:r>
    </w:p>
  </w:footnote>
  <w:footnote w:id="441">
    <w:p w14:paraId="0CD5522D"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bono</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284. </w:t>
      </w:r>
    </w:p>
  </w:footnote>
  <w:footnote w:id="442">
    <w:p w14:paraId="6EBE3347"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The Soul-Body Problem at Paris</w:t>
      </w:r>
      <w:r w:rsidRPr="009D7635">
        <w:rPr>
          <w:rFonts w:ascii="Times New Roman" w:hAnsi="Times New Roman" w:cs="Times New Roman"/>
          <w:color w:val="000000" w:themeColor="text1"/>
        </w:rPr>
        <w:t>, 130.</w:t>
      </w:r>
    </w:p>
  </w:footnote>
  <w:footnote w:id="443">
    <w:p w14:paraId="11C22E12" w14:textId="04EAD0F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870C01" w:rsidRPr="009D7635">
        <w:rPr>
          <w:rFonts w:ascii="Times New Roman" w:hAnsi="Times New Roman" w:cs="Times New Roman"/>
          <w:lang w:val="en-US"/>
        </w:rPr>
        <w:t xml:space="preserve">Ibid., </w:t>
      </w:r>
      <w:r w:rsidRPr="009D7635">
        <w:rPr>
          <w:rFonts w:ascii="Times New Roman" w:hAnsi="Times New Roman" w:cs="Times New Roman"/>
          <w:color w:val="000000" w:themeColor="text1"/>
        </w:rPr>
        <w:t xml:space="preserve">138. </w:t>
      </w:r>
    </w:p>
  </w:footnote>
  <w:footnote w:id="444">
    <w:p w14:paraId="616E2501" w14:textId="444A18CA"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870C01" w:rsidRPr="009D7635">
        <w:rPr>
          <w:rFonts w:ascii="Times New Roman" w:hAnsi="Times New Roman" w:cs="Times New Roman"/>
          <w:sz w:val="20"/>
          <w:szCs w:val="20"/>
          <w:lang w:val="en-US"/>
        </w:rPr>
        <w:t xml:space="preserve">Ibid., </w:t>
      </w:r>
      <w:r w:rsidRPr="009D7635">
        <w:rPr>
          <w:rFonts w:ascii="Times New Roman" w:hAnsi="Times New Roman" w:cs="Times New Roman"/>
          <w:color w:val="000000" w:themeColor="text1"/>
          <w:sz w:val="20"/>
          <w:szCs w:val="20"/>
        </w:rPr>
        <w:t xml:space="preserve">128. </w:t>
      </w:r>
      <w:proofErr w:type="spellStart"/>
      <w:r w:rsidRPr="009D7635">
        <w:rPr>
          <w:rStyle w:val="Emphasis"/>
          <w:rFonts w:ascii="Times New Roman" w:hAnsi="Times New Roman" w:cs="Times New Roman"/>
          <w:color w:val="000000" w:themeColor="text1"/>
          <w:sz w:val="20"/>
          <w:szCs w:val="20"/>
        </w:rPr>
        <w:t>Avencebrolis</w:t>
      </w:r>
      <w:proofErr w:type="spellEnd"/>
      <w:r w:rsidRPr="009D7635">
        <w:rPr>
          <w:rStyle w:val="Emphasis"/>
          <w:rFonts w:ascii="Times New Roman" w:hAnsi="Times New Roman" w:cs="Times New Roman"/>
          <w:color w:val="000000" w:themeColor="text1"/>
          <w:sz w:val="20"/>
          <w:szCs w:val="20"/>
        </w:rPr>
        <w:t xml:space="preserve"> (Ibn </w:t>
      </w:r>
      <w:proofErr w:type="spellStart"/>
      <w:r w:rsidRPr="009D7635">
        <w:rPr>
          <w:rStyle w:val="Emphasis"/>
          <w:rFonts w:ascii="Times New Roman" w:hAnsi="Times New Roman" w:cs="Times New Roman"/>
          <w:color w:val="000000" w:themeColor="text1"/>
          <w:sz w:val="20"/>
          <w:szCs w:val="20"/>
        </w:rPr>
        <w:t>Gabirol</w:t>
      </w:r>
      <w:proofErr w:type="spellEnd"/>
      <w:r w:rsidRPr="009D7635">
        <w:rPr>
          <w:rStyle w:val="Emphasis"/>
          <w:rFonts w:ascii="Times New Roman" w:hAnsi="Times New Roman" w:cs="Times New Roman"/>
          <w:color w:val="000000" w:themeColor="text1"/>
          <w:sz w:val="20"/>
          <w:szCs w:val="20"/>
        </w:rPr>
        <w:t xml:space="preserve">) Fons Vitae, </w:t>
      </w:r>
      <w:r w:rsidRPr="009D7635">
        <w:rPr>
          <w:rFonts w:ascii="Times New Roman" w:hAnsi="Times New Roman" w:cs="Times New Roman"/>
          <w:color w:val="000000" w:themeColor="text1"/>
          <w:sz w:val="20"/>
          <w:szCs w:val="20"/>
          <w:shd w:val="clear" w:color="auto" w:fill="FFFFFF"/>
        </w:rPr>
        <w:t xml:space="preserve">ed. </w:t>
      </w:r>
      <w:proofErr w:type="spellStart"/>
      <w:r w:rsidRPr="009D7635">
        <w:rPr>
          <w:rFonts w:ascii="Times New Roman" w:hAnsi="Times New Roman" w:cs="Times New Roman"/>
          <w:color w:val="000000" w:themeColor="text1"/>
          <w:sz w:val="20"/>
          <w:szCs w:val="20"/>
          <w:shd w:val="clear" w:color="auto" w:fill="FFFFFF"/>
        </w:rPr>
        <w:t>Baeumker</w:t>
      </w:r>
      <w:proofErr w:type="spellEnd"/>
      <w:r w:rsidRPr="009D7635">
        <w:rPr>
          <w:rFonts w:ascii="Times New Roman" w:hAnsi="Times New Roman" w:cs="Times New Roman"/>
          <w:color w:val="000000" w:themeColor="text1"/>
          <w:sz w:val="20"/>
          <w:szCs w:val="20"/>
          <w:shd w:val="clear" w:color="auto" w:fill="FFFFFF"/>
        </w:rPr>
        <w:t xml:space="preserve">, </w:t>
      </w:r>
      <w:r w:rsidRPr="009D7635">
        <w:rPr>
          <w:rFonts w:ascii="Times New Roman" w:hAnsi="Times New Roman" w:cs="Times New Roman"/>
          <w:color w:val="000000" w:themeColor="text1"/>
          <w:sz w:val="20"/>
          <w:szCs w:val="20"/>
        </w:rPr>
        <w:t>294</w:t>
      </w:r>
      <w:r w:rsidRPr="009D7635">
        <w:rPr>
          <w:rFonts w:ascii="Times New Roman" w:hAnsi="Times New Roman" w:cs="Times New Roman"/>
          <w:color w:val="000000" w:themeColor="text1"/>
          <w:sz w:val="20"/>
          <w:szCs w:val="20"/>
          <w:lang w:val="en-US"/>
        </w:rPr>
        <w:t>.</w:t>
      </w:r>
    </w:p>
  </w:footnote>
  <w:footnote w:id="445">
    <w:p w14:paraId="598E879B"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Style w:val="Emphasis"/>
          <w:rFonts w:ascii="Times New Roman" w:hAnsi="Times New Roman" w:cs="Times New Roman"/>
          <w:color w:val="000000" w:themeColor="text1"/>
        </w:rPr>
        <w:t>Avencebrolis</w:t>
      </w:r>
      <w:proofErr w:type="spellEnd"/>
      <w:r w:rsidRPr="009D7635">
        <w:rPr>
          <w:rStyle w:val="Emphasis"/>
          <w:rFonts w:ascii="Times New Roman" w:hAnsi="Times New Roman" w:cs="Times New Roman"/>
          <w:color w:val="000000" w:themeColor="text1"/>
        </w:rPr>
        <w:t xml:space="preserve"> (Ibn </w:t>
      </w:r>
      <w:proofErr w:type="spellStart"/>
      <w:r w:rsidRPr="009D7635">
        <w:rPr>
          <w:rStyle w:val="Emphasis"/>
          <w:rFonts w:ascii="Times New Roman" w:hAnsi="Times New Roman" w:cs="Times New Roman"/>
          <w:color w:val="000000" w:themeColor="text1"/>
        </w:rPr>
        <w:t>Gabirol</w:t>
      </w:r>
      <w:proofErr w:type="spellEnd"/>
      <w:r w:rsidRPr="009D7635">
        <w:rPr>
          <w:rStyle w:val="Emphasis"/>
          <w:rFonts w:ascii="Times New Roman" w:hAnsi="Times New Roman" w:cs="Times New Roman"/>
          <w:color w:val="000000" w:themeColor="text1"/>
        </w:rPr>
        <w:t>) Fons Vitae</w:t>
      </w:r>
      <w:r w:rsidRPr="009D7635">
        <w:rPr>
          <w:rStyle w:val="Emphasis"/>
          <w:rFonts w:ascii="Times New Roman" w:hAnsi="Times New Roman" w:cs="Times New Roman"/>
          <w:i w:val="0"/>
          <w:iCs w:val="0"/>
          <w:color w:val="000000" w:themeColor="text1"/>
        </w:rPr>
        <w:t>,</w:t>
      </w:r>
      <w:r w:rsidRPr="009D7635">
        <w:rPr>
          <w:rStyle w:val="Emphasis"/>
          <w:rFonts w:ascii="Times New Roman" w:hAnsi="Times New Roman" w:cs="Times New Roman"/>
          <w:color w:val="000000" w:themeColor="text1"/>
        </w:rPr>
        <w:t xml:space="preserve"> </w:t>
      </w:r>
      <w:r w:rsidRPr="009D7635">
        <w:rPr>
          <w:rFonts w:ascii="Times New Roman" w:hAnsi="Times New Roman" w:cs="Times New Roman"/>
          <w:color w:val="000000" w:themeColor="text1"/>
          <w:shd w:val="clear" w:color="auto" w:fill="FFFFFF"/>
        </w:rPr>
        <w:t xml:space="preserve">ed. </w:t>
      </w:r>
      <w:proofErr w:type="spellStart"/>
      <w:r w:rsidRPr="009D7635">
        <w:rPr>
          <w:rFonts w:ascii="Times New Roman" w:hAnsi="Times New Roman" w:cs="Times New Roman"/>
          <w:color w:val="000000" w:themeColor="text1"/>
          <w:shd w:val="clear" w:color="auto" w:fill="FFFFFF"/>
        </w:rPr>
        <w:t>Baeumker</w:t>
      </w:r>
      <w:proofErr w:type="spellEnd"/>
      <w:r w:rsidRPr="009D7635">
        <w:rPr>
          <w:rFonts w:ascii="Times New Roman" w:hAnsi="Times New Roman" w:cs="Times New Roman"/>
          <w:color w:val="000000" w:themeColor="text1"/>
          <w:shd w:val="clear" w:color="auto" w:fill="FFFFFF"/>
        </w:rPr>
        <w:t xml:space="preserve">, </w:t>
      </w:r>
      <w:r w:rsidRPr="009D7635">
        <w:rPr>
          <w:rFonts w:ascii="Times New Roman" w:hAnsi="Times New Roman" w:cs="Times New Roman"/>
          <w:color w:val="000000" w:themeColor="text1"/>
        </w:rPr>
        <w:t>185-6.</w:t>
      </w:r>
    </w:p>
  </w:footnote>
  <w:footnote w:id="446">
    <w:p w14:paraId="4BF522E5"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The Soul-Body Problem at Paris</w:t>
      </w:r>
      <w:r w:rsidRPr="009D7635">
        <w:rPr>
          <w:rFonts w:ascii="Times New Roman" w:hAnsi="Times New Roman" w:cs="Times New Roman"/>
          <w:color w:val="000000" w:themeColor="text1"/>
        </w:rPr>
        <w:t>, 130.</w:t>
      </w:r>
    </w:p>
  </w:footnote>
  <w:footnote w:id="447">
    <w:p w14:paraId="16488003" w14:textId="78F040B9"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17517" w:rsidRPr="009D7635">
        <w:rPr>
          <w:rFonts w:ascii="Times New Roman" w:hAnsi="Times New Roman" w:cs="Times New Roman"/>
          <w:lang w:val="en-US"/>
        </w:rPr>
        <w:t xml:space="preserve">Ibid., </w:t>
      </w:r>
      <w:r w:rsidRPr="009D7635">
        <w:rPr>
          <w:rFonts w:ascii="Times New Roman" w:hAnsi="Times New Roman" w:cs="Times New Roman"/>
          <w:color w:val="000000" w:themeColor="text1"/>
        </w:rPr>
        <w:t>139-40.</w:t>
      </w:r>
    </w:p>
  </w:footnote>
  <w:footnote w:id="448">
    <w:p w14:paraId="7663BE3D" w14:textId="3C83DC90" w:rsidR="00B93ED5" w:rsidRPr="009D7635" w:rsidRDefault="00B93ED5" w:rsidP="007C038D">
      <w:pPr>
        <w:rPr>
          <w:rFonts w:ascii="Times New Roman" w:hAnsi="Times New Roman" w:cs="Times New Roman"/>
          <w:color w:val="000000" w:themeColor="text1"/>
          <w:sz w:val="20"/>
          <w:szCs w:val="20"/>
          <w:lang w:val="fr-FR"/>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Cs/>
          <w:color w:val="000000" w:themeColor="text1"/>
          <w:sz w:val="20"/>
          <w:szCs w:val="20"/>
          <w:lang w:val="fr-FR"/>
        </w:rPr>
        <w:t>Anonymous,</w:t>
      </w:r>
      <w:r w:rsidRPr="009D7635">
        <w:rPr>
          <w:rFonts w:ascii="Times New Roman" w:hAnsi="Times New Roman" w:cs="Times New Roman"/>
          <w:i/>
          <w:iCs/>
          <w:color w:val="000000" w:themeColor="text1"/>
          <w:sz w:val="20"/>
          <w:szCs w:val="20"/>
          <w:lang w:val="fr-FR"/>
        </w:rPr>
        <w:t xml:space="preserve"> De </w:t>
      </w:r>
      <w:proofErr w:type="spellStart"/>
      <w:r w:rsidRPr="009D7635">
        <w:rPr>
          <w:rFonts w:ascii="Times New Roman" w:hAnsi="Times New Roman" w:cs="Times New Roman"/>
          <w:i/>
          <w:iCs/>
          <w:color w:val="000000" w:themeColor="text1"/>
          <w:sz w:val="20"/>
          <w:szCs w:val="20"/>
          <w:lang w:val="fr-FR"/>
        </w:rPr>
        <w:t>potentiis</w:t>
      </w:r>
      <w:proofErr w:type="spellEnd"/>
      <w:r w:rsidRPr="009D7635">
        <w:rPr>
          <w:rFonts w:ascii="Times New Roman" w:hAnsi="Times New Roman" w:cs="Times New Roman"/>
          <w:i/>
          <w:iCs/>
          <w:color w:val="000000" w:themeColor="text1"/>
          <w:sz w:val="20"/>
          <w:szCs w:val="20"/>
          <w:lang w:val="fr-FR"/>
        </w:rPr>
        <w:t xml:space="preserve"> </w:t>
      </w:r>
      <w:proofErr w:type="spellStart"/>
      <w:r w:rsidRPr="009D7635">
        <w:rPr>
          <w:rFonts w:ascii="Times New Roman" w:hAnsi="Times New Roman" w:cs="Times New Roman"/>
          <w:i/>
          <w:iCs/>
          <w:color w:val="000000" w:themeColor="text1"/>
          <w:sz w:val="20"/>
          <w:szCs w:val="20"/>
          <w:lang w:val="fr-FR"/>
        </w:rPr>
        <w:t>animae</w:t>
      </w:r>
      <w:proofErr w:type="spellEnd"/>
      <w:r w:rsidRPr="009D7635">
        <w:rPr>
          <w:rFonts w:ascii="Times New Roman" w:hAnsi="Times New Roman" w:cs="Times New Roman"/>
          <w:i/>
          <w:iCs/>
          <w:color w:val="000000" w:themeColor="text1"/>
          <w:sz w:val="20"/>
          <w:szCs w:val="20"/>
          <w:lang w:val="fr-FR"/>
        </w:rPr>
        <w:t xml:space="preserve"> et </w:t>
      </w:r>
      <w:proofErr w:type="spellStart"/>
      <w:r w:rsidRPr="009D7635">
        <w:rPr>
          <w:rFonts w:ascii="Times New Roman" w:hAnsi="Times New Roman" w:cs="Times New Roman"/>
          <w:i/>
          <w:iCs/>
          <w:color w:val="000000" w:themeColor="text1"/>
          <w:sz w:val="20"/>
          <w:szCs w:val="20"/>
          <w:lang w:val="fr-FR"/>
        </w:rPr>
        <w:t>obiectis</w:t>
      </w:r>
      <w:proofErr w:type="spellEnd"/>
      <w:r w:rsidRPr="009D7635">
        <w:rPr>
          <w:rFonts w:ascii="Times New Roman" w:hAnsi="Times New Roman" w:cs="Times New Roman"/>
          <w:color w:val="000000" w:themeColor="text1"/>
          <w:sz w:val="20"/>
          <w:szCs w:val="20"/>
          <w:lang w:val="fr-FR"/>
        </w:rPr>
        <w:t>, ed.</w:t>
      </w:r>
      <w:r w:rsidRPr="009D7635">
        <w:rPr>
          <w:rFonts w:ascii="Times New Roman" w:hAnsi="Times New Roman" w:cs="Times New Roman"/>
          <w:color w:val="000000" w:themeColor="text1"/>
          <w:sz w:val="20"/>
          <w:szCs w:val="20"/>
        </w:rPr>
        <w:t xml:space="preserve"> Daniel A. Callus, in ‘The Powers of the Soul: An Early Unpublished Text,’ </w:t>
      </w:r>
      <w:proofErr w:type="spellStart"/>
      <w:r w:rsidR="009F76A1" w:rsidRPr="004746EC">
        <w:rPr>
          <w:rFonts w:ascii="Times New Roman" w:hAnsi="Times New Roman" w:cs="Times New Roman"/>
          <w:i/>
          <w:iCs/>
          <w:color w:val="000000" w:themeColor="text1"/>
        </w:rPr>
        <w:t>Recherches</w:t>
      </w:r>
      <w:proofErr w:type="spellEnd"/>
      <w:r w:rsidR="009F76A1" w:rsidRPr="004746EC">
        <w:rPr>
          <w:rFonts w:ascii="Times New Roman" w:hAnsi="Times New Roman" w:cs="Times New Roman"/>
          <w:i/>
          <w:iCs/>
          <w:color w:val="000000" w:themeColor="text1"/>
        </w:rPr>
        <w:t xml:space="preserve"> de </w:t>
      </w:r>
      <w:proofErr w:type="spellStart"/>
      <w:r w:rsidR="009F76A1" w:rsidRPr="004746EC">
        <w:rPr>
          <w:rFonts w:ascii="Times New Roman" w:hAnsi="Times New Roman" w:cs="Times New Roman"/>
          <w:i/>
          <w:iCs/>
          <w:color w:val="000000" w:themeColor="text1"/>
        </w:rPr>
        <w:t>théologie</w:t>
      </w:r>
      <w:proofErr w:type="spellEnd"/>
      <w:r w:rsidR="009F76A1" w:rsidRPr="004746EC">
        <w:rPr>
          <w:rFonts w:ascii="Times New Roman" w:hAnsi="Times New Roman" w:cs="Times New Roman"/>
          <w:i/>
          <w:iCs/>
          <w:color w:val="000000" w:themeColor="text1"/>
        </w:rPr>
        <w:t xml:space="preserve"> </w:t>
      </w:r>
      <w:proofErr w:type="spellStart"/>
      <w:r w:rsidR="009F76A1" w:rsidRPr="004746EC">
        <w:rPr>
          <w:rFonts w:ascii="Times New Roman" w:hAnsi="Times New Roman" w:cs="Times New Roman"/>
          <w:i/>
          <w:iCs/>
          <w:color w:val="000000" w:themeColor="text1"/>
        </w:rPr>
        <w:t>ancienne</w:t>
      </w:r>
      <w:proofErr w:type="spellEnd"/>
      <w:r w:rsidR="009F76A1" w:rsidRPr="004746EC">
        <w:rPr>
          <w:rFonts w:ascii="Times New Roman" w:hAnsi="Times New Roman" w:cs="Times New Roman"/>
          <w:i/>
          <w:iCs/>
          <w:color w:val="000000" w:themeColor="text1"/>
        </w:rPr>
        <w:t xml:space="preserve"> et </w:t>
      </w:r>
      <w:proofErr w:type="spellStart"/>
      <w:r w:rsidR="009F76A1" w:rsidRPr="004746EC">
        <w:rPr>
          <w:rFonts w:ascii="Times New Roman" w:hAnsi="Times New Roman" w:cs="Times New Roman"/>
          <w:i/>
          <w:iCs/>
          <w:color w:val="000000" w:themeColor="text1"/>
        </w:rPr>
        <w:t>médiévale</w:t>
      </w:r>
      <w:proofErr w:type="spellEnd"/>
      <w:r w:rsidR="009F76A1">
        <w:rPr>
          <w:rFonts w:ascii="Times New Roman" w:hAnsi="Times New Roman" w:cs="Times New Roman"/>
          <w:color w:val="000000" w:themeColor="text1"/>
        </w:rPr>
        <w:t xml:space="preserve"> </w:t>
      </w:r>
      <w:r w:rsidRPr="009D7635">
        <w:rPr>
          <w:rFonts w:ascii="Times New Roman" w:hAnsi="Times New Roman" w:cs="Times New Roman"/>
          <w:color w:val="000000" w:themeColor="text1"/>
          <w:sz w:val="20"/>
          <w:szCs w:val="20"/>
          <w:lang w:val="fr-FR"/>
        </w:rPr>
        <w:t>19 (1952)</w:t>
      </w:r>
      <w:r w:rsidR="00C47023" w:rsidRPr="009D7635">
        <w:rPr>
          <w:rFonts w:ascii="Times New Roman" w:hAnsi="Times New Roman" w:cs="Times New Roman"/>
          <w:color w:val="000000" w:themeColor="text1"/>
          <w:sz w:val="20"/>
          <w:szCs w:val="20"/>
          <w:lang w:val="fr-FR"/>
        </w:rPr>
        <w:t>:</w:t>
      </w:r>
      <w:r w:rsidRPr="009D7635">
        <w:rPr>
          <w:rFonts w:ascii="Times New Roman" w:hAnsi="Times New Roman" w:cs="Times New Roman"/>
          <w:color w:val="000000" w:themeColor="text1"/>
          <w:sz w:val="20"/>
          <w:szCs w:val="20"/>
          <w:lang w:val="en-US"/>
        </w:rPr>
        <w:t>149-150</w:t>
      </w:r>
      <w:r w:rsidRPr="009D7635">
        <w:rPr>
          <w:rFonts w:ascii="Times New Roman" w:hAnsi="Times New Roman" w:cs="Times New Roman"/>
          <w:color w:val="000000" w:themeColor="text1"/>
          <w:sz w:val="20"/>
          <w:szCs w:val="20"/>
          <w:lang w:val="fr-FR"/>
        </w:rPr>
        <w:t>.</w:t>
      </w:r>
    </w:p>
  </w:footnote>
  <w:footnote w:id="449">
    <w:p w14:paraId="6B86317A" w14:textId="1738414D"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115: </w:t>
      </w:r>
      <w:r w:rsidRPr="009D7635">
        <w:rPr>
          <w:rFonts w:ascii="Times New Roman" w:hAnsi="Times New Roman" w:cs="Times New Roman"/>
          <w:i/>
          <w:color w:val="000000" w:themeColor="text1"/>
          <w:sz w:val="20"/>
          <w:szCs w:val="20"/>
        </w:rPr>
        <w:t xml:space="preserve">Primo ergo </w:t>
      </w:r>
      <w:proofErr w:type="spellStart"/>
      <w:r w:rsidRPr="009D7635">
        <w:rPr>
          <w:rFonts w:ascii="Times New Roman" w:hAnsi="Times New Roman" w:cs="Times New Roman"/>
          <w:i/>
          <w:color w:val="000000" w:themeColor="text1"/>
          <w:sz w:val="20"/>
          <w:szCs w:val="20"/>
        </w:rPr>
        <w:t>queritur</w:t>
      </w:r>
      <w:proofErr w:type="spellEnd"/>
      <w:r w:rsidRPr="009D7635">
        <w:rPr>
          <w:rFonts w:ascii="Times New Roman" w:hAnsi="Times New Roman" w:cs="Times New Roman"/>
          <w:i/>
          <w:color w:val="000000" w:themeColor="text1"/>
          <w:sz w:val="20"/>
          <w:szCs w:val="20"/>
        </w:rPr>
        <w:t xml:space="preserve"> an anima </w:t>
      </w:r>
      <w:proofErr w:type="spellStart"/>
      <w:r w:rsidRPr="009D7635">
        <w:rPr>
          <w:rFonts w:ascii="Times New Roman" w:hAnsi="Times New Roman" w:cs="Times New Roman"/>
          <w:i/>
          <w:color w:val="000000" w:themeColor="text1"/>
          <w:sz w:val="20"/>
          <w:szCs w:val="20"/>
        </w:rPr>
        <w:t>corpori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uniatur</w:t>
      </w:r>
      <w:proofErr w:type="spellEnd"/>
      <w:r w:rsidRPr="009D7635">
        <w:rPr>
          <w:rFonts w:ascii="Times New Roman" w:hAnsi="Times New Roman" w:cs="Times New Roman"/>
          <w:i/>
          <w:color w:val="000000" w:themeColor="text1"/>
          <w:sz w:val="20"/>
          <w:szCs w:val="20"/>
        </w:rPr>
        <w:t xml:space="preserve"> per medium, an sine </w:t>
      </w:r>
      <w:proofErr w:type="spellStart"/>
      <w:r w:rsidRPr="009D7635">
        <w:rPr>
          <w:rFonts w:ascii="Times New Roman" w:hAnsi="Times New Roman" w:cs="Times New Roman"/>
          <w:i/>
          <w:color w:val="000000" w:themeColor="text1"/>
          <w:sz w:val="20"/>
          <w:szCs w:val="20"/>
        </w:rPr>
        <w:t>medio</w:t>
      </w:r>
      <w:proofErr w:type="spellEnd"/>
      <w:r w:rsidRPr="009D7635">
        <w:rPr>
          <w:rFonts w:ascii="Times New Roman" w:hAnsi="Times New Roman" w:cs="Times New Roman"/>
          <w:i/>
          <w:color w:val="000000" w:themeColor="text1"/>
          <w:sz w:val="20"/>
          <w:szCs w:val="20"/>
        </w:rPr>
        <w:t xml:space="preserve">; et cum </w:t>
      </w:r>
      <w:proofErr w:type="spellStart"/>
      <w:r w:rsidRPr="009D7635">
        <w:rPr>
          <w:rFonts w:ascii="Times New Roman" w:hAnsi="Times New Roman" w:cs="Times New Roman"/>
          <w:i/>
          <w:color w:val="000000" w:themeColor="text1"/>
          <w:sz w:val="20"/>
          <w:szCs w:val="20"/>
        </w:rPr>
        <w:t>unibilitas</w:t>
      </w:r>
      <w:proofErr w:type="spellEnd"/>
      <w:r w:rsidRPr="009D7635">
        <w:rPr>
          <w:rFonts w:ascii="Times New Roman" w:hAnsi="Times New Roman" w:cs="Times New Roman"/>
          <w:i/>
          <w:color w:val="000000" w:themeColor="text1"/>
          <w:sz w:val="20"/>
          <w:szCs w:val="20"/>
        </w:rPr>
        <w:t xml:space="preserve"> non sit </w:t>
      </w:r>
      <w:proofErr w:type="spellStart"/>
      <w:r w:rsidRPr="009D7635">
        <w:rPr>
          <w:rFonts w:ascii="Times New Roman" w:hAnsi="Times New Roman" w:cs="Times New Roman"/>
          <w:i/>
          <w:color w:val="000000" w:themeColor="text1"/>
          <w:sz w:val="20"/>
          <w:szCs w:val="20"/>
        </w:rPr>
        <w:t>accidentalis</w:t>
      </w:r>
      <w:proofErr w:type="spellEnd"/>
      <w:r w:rsidRPr="009D7635">
        <w:rPr>
          <w:rFonts w:ascii="Times New Roman" w:hAnsi="Times New Roman" w:cs="Times New Roman"/>
          <w:i/>
          <w:color w:val="000000" w:themeColor="text1"/>
          <w:sz w:val="20"/>
          <w:szCs w:val="20"/>
        </w:rPr>
        <w:t xml:space="preserve"> anime sed </w:t>
      </w:r>
      <w:proofErr w:type="spellStart"/>
      <w:r w:rsidRPr="009D7635">
        <w:rPr>
          <w:rFonts w:ascii="Times New Roman" w:hAnsi="Times New Roman" w:cs="Times New Roman"/>
          <w:i/>
          <w:color w:val="000000" w:themeColor="text1"/>
          <w:sz w:val="20"/>
          <w:szCs w:val="20"/>
        </w:rPr>
        <w:t>essencialis</w:t>
      </w:r>
      <w:proofErr w:type="spellEnd"/>
      <w:r w:rsidRPr="009D7635">
        <w:rPr>
          <w:rFonts w:ascii="Times New Roman" w:hAnsi="Times New Roman" w:cs="Times New Roman"/>
          <w:i/>
          <w:color w:val="000000" w:themeColor="text1"/>
          <w:sz w:val="20"/>
          <w:szCs w:val="20"/>
        </w:rPr>
        <w:t xml:space="preserve"> et sit </w:t>
      </w:r>
      <w:proofErr w:type="spellStart"/>
      <w:r w:rsidRPr="009D7635">
        <w:rPr>
          <w:rFonts w:ascii="Times New Roman" w:hAnsi="Times New Roman" w:cs="Times New Roman"/>
          <w:i/>
          <w:color w:val="000000" w:themeColor="text1"/>
          <w:sz w:val="20"/>
          <w:szCs w:val="20"/>
        </w:rPr>
        <w:t>illud</w:t>
      </w:r>
      <w:proofErr w:type="spellEnd"/>
      <w:r w:rsidRPr="009D7635">
        <w:rPr>
          <w:rFonts w:ascii="Times New Roman" w:hAnsi="Times New Roman" w:cs="Times New Roman"/>
          <w:i/>
          <w:color w:val="000000" w:themeColor="text1"/>
          <w:sz w:val="20"/>
          <w:szCs w:val="20"/>
        </w:rPr>
        <w:t xml:space="preserve"> quo </w:t>
      </w:r>
      <w:proofErr w:type="spellStart"/>
      <w:r w:rsidRPr="009D7635">
        <w:rPr>
          <w:rFonts w:ascii="Times New Roman" w:hAnsi="Times New Roman" w:cs="Times New Roman"/>
          <w:i/>
          <w:color w:val="000000" w:themeColor="text1"/>
          <w:sz w:val="20"/>
          <w:szCs w:val="20"/>
        </w:rPr>
        <w:t>essencialiter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differt</w:t>
      </w:r>
      <w:proofErr w:type="spellEnd"/>
      <w:r w:rsidRPr="009D7635">
        <w:rPr>
          <w:rFonts w:ascii="Times New Roman" w:hAnsi="Times New Roman" w:cs="Times New Roman"/>
          <w:i/>
          <w:color w:val="000000" w:themeColor="text1"/>
          <w:sz w:val="20"/>
          <w:szCs w:val="20"/>
        </w:rPr>
        <w:t xml:space="preserve"> anima </w:t>
      </w:r>
      <w:proofErr w:type="spellStart"/>
      <w:r w:rsidRPr="009D7635">
        <w:rPr>
          <w:rFonts w:ascii="Times New Roman" w:hAnsi="Times New Roman" w:cs="Times New Roman"/>
          <w:i/>
          <w:color w:val="000000" w:themeColor="text1"/>
          <w:sz w:val="20"/>
          <w:szCs w:val="20"/>
        </w:rPr>
        <w:t>racionalis</w:t>
      </w:r>
      <w:proofErr w:type="spellEnd"/>
      <w:r w:rsidRPr="009D7635">
        <w:rPr>
          <w:rFonts w:ascii="Times New Roman" w:hAnsi="Times New Roman" w:cs="Times New Roman"/>
          <w:i/>
          <w:color w:val="000000" w:themeColor="text1"/>
          <w:sz w:val="20"/>
          <w:szCs w:val="20"/>
        </w:rPr>
        <w:t xml:space="preserve"> ab </w:t>
      </w:r>
      <w:proofErr w:type="spellStart"/>
      <w:r w:rsidRPr="009D7635">
        <w:rPr>
          <w:rFonts w:ascii="Times New Roman" w:hAnsi="Times New Roman" w:cs="Times New Roman"/>
          <w:i/>
          <w:color w:val="000000" w:themeColor="text1"/>
          <w:sz w:val="20"/>
          <w:szCs w:val="20"/>
        </w:rPr>
        <w:t>angelo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sicut</w:t>
      </w:r>
      <w:proofErr w:type="spellEnd"/>
      <w:r w:rsidRPr="009D7635">
        <w:rPr>
          <w:rFonts w:ascii="Times New Roman" w:hAnsi="Times New Roman" w:cs="Times New Roman"/>
          <w:i/>
          <w:color w:val="000000" w:themeColor="text1"/>
          <w:sz w:val="20"/>
          <w:szCs w:val="20"/>
        </w:rPr>
        <w:t xml:space="preserve"> dictum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prius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Unitur</w:t>
      </w:r>
      <w:proofErr w:type="spellEnd"/>
      <w:r w:rsidRPr="009D7635">
        <w:rPr>
          <w:rFonts w:ascii="Times New Roman" w:hAnsi="Times New Roman" w:cs="Times New Roman"/>
          <w:i/>
          <w:color w:val="000000" w:themeColor="text1"/>
          <w:sz w:val="20"/>
          <w:szCs w:val="20"/>
        </w:rPr>
        <w:t xml:space="preserve"> anima </w:t>
      </w:r>
      <w:proofErr w:type="spellStart"/>
      <w:r w:rsidRPr="009D7635">
        <w:rPr>
          <w:rFonts w:ascii="Times New Roman" w:hAnsi="Times New Roman" w:cs="Times New Roman"/>
          <w:i/>
          <w:color w:val="000000" w:themeColor="text1"/>
          <w:sz w:val="20"/>
          <w:szCs w:val="20"/>
        </w:rPr>
        <w:t>corpori</w:t>
      </w:r>
      <w:proofErr w:type="spellEnd"/>
      <w:r w:rsidRPr="009D7635">
        <w:rPr>
          <w:rFonts w:ascii="Times New Roman" w:hAnsi="Times New Roman" w:cs="Times New Roman"/>
          <w:i/>
          <w:color w:val="000000" w:themeColor="text1"/>
          <w:sz w:val="20"/>
          <w:szCs w:val="20"/>
        </w:rPr>
        <w:t xml:space="preserve"> per </w:t>
      </w:r>
      <w:proofErr w:type="spellStart"/>
      <w:r w:rsidRPr="009D7635">
        <w:rPr>
          <w:rFonts w:ascii="Times New Roman" w:hAnsi="Times New Roman" w:cs="Times New Roman"/>
          <w:i/>
          <w:color w:val="000000" w:themeColor="text1"/>
          <w:sz w:val="20"/>
          <w:szCs w:val="20"/>
        </w:rPr>
        <w:t>suam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unibilitatem</w:t>
      </w:r>
      <w:proofErr w:type="spellEnd"/>
      <w:r w:rsidRPr="009D7635">
        <w:rPr>
          <w:rFonts w:ascii="Times New Roman" w:hAnsi="Times New Roman" w:cs="Times New Roman"/>
          <w:i/>
          <w:color w:val="000000" w:themeColor="text1"/>
          <w:sz w:val="20"/>
          <w:szCs w:val="20"/>
        </w:rPr>
        <w:t xml:space="preserve">: ergo </w:t>
      </w:r>
      <w:proofErr w:type="spellStart"/>
      <w:r w:rsidRPr="009D7635">
        <w:rPr>
          <w:rFonts w:ascii="Times New Roman" w:hAnsi="Times New Roman" w:cs="Times New Roman"/>
          <w:i/>
          <w:color w:val="000000" w:themeColor="text1"/>
          <w:sz w:val="20"/>
          <w:szCs w:val="20"/>
        </w:rPr>
        <w:t>unitur</w:t>
      </w:r>
      <w:proofErr w:type="spellEnd"/>
      <w:r w:rsidRPr="009D7635">
        <w:rPr>
          <w:rFonts w:ascii="Times New Roman" w:hAnsi="Times New Roman" w:cs="Times New Roman"/>
          <w:i/>
          <w:color w:val="000000" w:themeColor="text1"/>
          <w:sz w:val="20"/>
          <w:szCs w:val="20"/>
        </w:rPr>
        <w:t xml:space="preserve"> per </w:t>
      </w:r>
      <w:proofErr w:type="spellStart"/>
      <w:r w:rsidRPr="009D7635">
        <w:rPr>
          <w:rFonts w:ascii="Times New Roman" w:hAnsi="Times New Roman" w:cs="Times New Roman"/>
          <w:i/>
          <w:color w:val="000000" w:themeColor="text1"/>
          <w:sz w:val="20"/>
          <w:szCs w:val="20"/>
        </w:rPr>
        <w:t>suam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essenciam</w:t>
      </w:r>
      <w:proofErr w:type="spellEnd"/>
      <w:r w:rsidRPr="009D7635">
        <w:rPr>
          <w:rFonts w:ascii="Times New Roman" w:hAnsi="Times New Roman" w:cs="Times New Roman"/>
          <w:i/>
          <w:color w:val="000000" w:themeColor="text1"/>
          <w:sz w:val="20"/>
          <w:szCs w:val="20"/>
        </w:rPr>
        <w:t xml:space="preserve"> ergo sine </w:t>
      </w:r>
      <w:proofErr w:type="spellStart"/>
      <w:r w:rsidRPr="009D7635">
        <w:rPr>
          <w:rFonts w:ascii="Times New Roman" w:hAnsi="Times New Roman" w:cs="Times New Roman"/>
          <w:i/>
          <w:color w:val="000000" w:themeColor="text1"/>
          <w:sz w:val="20"/>
          <w:szCs w:val="20"/>
        </w:rPr>
        <w:t>medio</w:t>
      </w:r>
      <w:proofErr w:type="spellEnd"/>
      <w:r w:rsidRPr="009D7635">
        <w:rPr>
          <w:rFonts w:ascii="Times New Roman" w:hAnsi="Times New Roman" w:cs="Times New Roman"/>
          <w:i/>
          <w:color w:val="000000" w:themeColor="text1"/>
          <w:sz w:val="20"/>
          <w:szCs w:val="20"/>
        </w:rPr>
        <w:t xml:space="preserve">. Item, cum anima </w:t>
      </w:r>
      <w:proofErr w:type="spellStart"/>
      <w:r w:rsidRPr="009D7635">
        <w:rPr>
          <w:rFonts w:ascii="Times New Roman" w:hAnsi="Times New Roman" w:cs="Times New Roman"/>
          <w:i/>
          <w:color w:val="000000" w:themeColor="text1"/>
          <w:sz w:val="20"/>
          <w:szCs w:val="20"/>
        </w:rPr>
        <w:t>uniatur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forma et </w:t>
      </w:r>
      <w:proofErr w:type="spellStart"/>
      <w:r w:rsidRPr="009D7635">
        <w:rPr>
          <w:rFonts w:ascii="Times New Roman" w:hAnsi="Times New Roman" w:cs="Times New Roman"/>
          <w:i/>
          <w:color w:val="000000" w:themeColor="text1"/>
          <w:sz w:val="20"/>
          <w:szCs w:val="20"/>
        </w:rPr>
        <w:t>perfectio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eius</w:t>
      </w:r>
      <w:proofErr w:type="spellEnd"/>
      <w:r w:rsidRPr="009D7635">
        <w:rPr>
          <w:rFonts w:ascii="Times New Roman" w:hAnsi="Times New Roman" w:cs="Times New Roman"/>
          <w:i/>
          <w:color w:val="000000" w:themeColor="text1"/>
          <w:sz w:val="20"/>
          <w:szCs w:val="20"/>
        </w:rPr>
        <w:t xml:space="preserve">, forma </w:t>
      </w:r>
      <w:proofErr w:type="spellStart"/>
      <w:r w:rsidRPr="009D7635">
        <w:rPr>
          <w:rFonts w:ascii="Times New Roman" w:hAnsi="Times New Roman" w:cs="Times New Roman"/>
          <w:i/>
          <w:color w:val="000000" w:themeColor="text1"/>
          <w:sz w:val="20"/>
          <w:szCs w:val="20"/>
        </w:rPr>
        <w:t>autem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unitur</w:t>
      </w:r>
      <w:proofErr w:type="spellEnd"/>
      <w:r w:rsidRPr="009D7635">
        <w:rPr>
          <w:rFonts w:ascii="Times New Roman" w:hAnsi="Times New Roman" w:cs="Times New Roman"/>
          <w:i/>
          <w:color w:val="000000" w:themeColor="text1"/>
          <w:sz w:val="20"/>
          <w:szCs w:val="20"/>
        </w:rPr>
        <w:t xml:space="preserve"> per se </w:t>
      </w:r>
      <w:proofErr w:type="spellStart"/>
      <w:r w:rsidRPr="009D7635">
        <w:rPr>
          <w:rFonts w:ascii="Times New Roman" w:hAnsi="Times New Roman" w:cs="Times New Roman"/>
          <w:i/>
          <w:color w:val="000000" w:themeColor="text1"/>
          <w:sz w:val="20"/>
          <w:szCs w:val="20"/>
        </w:rPr>
        <w:t>materie</w:t>
      </w:r>
      <w:proofErr w:type="spellEnd"/>
      <w:r w:rsidRPr="009D7635">
        <w:rPr>
          <w:rFonts w:ascii="Times New Roman" w:hAnsi="Times New Roman" w:cs="Times New Roman"/>
          <w:i/>
          <w:color w:val="000000" w:themeColor="text1"/>
          <w:sz w:val="20"/>
          <w:szCs w:val="20"/>
        </w:rPr>
        <w:t xml:space="preserve">, ergo anima uniter per se </w:t>
      </w:r>
      <w:proofErr w:type="spellStart"/>
      <w:r w:rsidRPr="009D7635">
        <w:rPr>
          <w:rFonts w:ascii="Times New Roman" w:hAnsi="Times New Roman" w:cs="Times New Roman"/>
          <w:i/>
          <w:color w:val="000000" w:themeColor="text1"/>
          <w:sz w:val="20"/>
          <w:szCs w:val="20"/>
        </w:rPr>
        <w:t>corpori</w:t>
      </w:r>
      <w:proofErr w:type="spellEnd"/>
      <w:r w:rsidRPr="009D7635">
        <w:rPr>
          <w:rFonts w:ascii="Times New Roman" w:hAnsi="Times New Roman" w:cs="Times New Roman"/>
          <w:i/>
          <w:color w:val="000000" w:themeColor="text1"/>
          <w:sz w:val="20"/>
          <w:szCs w:val="20"/>
        </w:rPr>
        <w:t xml:space="preserve">; ergo sine </w:t>
      </w:r>
      <w:proofErr w:type="spellStart"/>
      <w:r w:rsidRPr="009D7635">
        <w:rPr>
          <w:rFonts w:ascii="Times New Roman" w:hAnsi="Times New Roman" w:cs="Times New Roman"/>
          <w:i/>
          <w:color w:val="000000" w:themeColor="text1"/>
          <w:sz w:val="20"/>
          <w:szCs w:val="20"/>
        </w:rPr>
        <w:t>medio</w:t>
      </w:r>
      <w:proofErr w:type="spellEnd"/>
      <w:r w:rsidRPr="009D7635">
        <w:rPr>
          <w:rFonts w:ascii="Times New Roman" w:hAnsi="Times New Roman" w:cs="Times New Roman"/>
          <w:i/>
          <w:color w:val="000000" w:themeColor="text1"/>
          <w:sz w:val="20"/>
          <w:szCs w:val="20"/>
        </w:rPr>
        <w:t xml:space="preserve">. </w:t>
      </w:r>
    </w:p>
  </w:footnote>
  <w:footnote w:id="450">
    <w:p w14:paraId="16251753" w14:textId="5E87AC4B"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ED61C3" w:rsidRPr="009D7635">
        <w:rPr>
          <w:rFonts w:ascii="Times New Roman" w:hAnsi="Times New Roman" w:cs="Times New Roman"/>
          <w:sz w:val="20"/>
          <w:szCs w:val="20"/>
          <w:lang w:val="en-US"/>
        </w:rPr>
        <w:t xml:space="preserve">Ibid., </w:t>
      </w:r>
      <w:r w:rsidRPr="009D7635">
        <w:rPr>
          <w:rFonts w:ascii="Times New Roman" w:hAnsi="Times New Roman" w:cs="Times New Roman"/>
          <w:color w:val="000000" w:themeColor="text1"/>
          <w:sz w:val="20"/>
          <w:szCs w:val="20"/>
        </w:rPr>
        <w:t>115</w:t>
      </w:r>
      <w:r w:rsidR="001B30D6" w:rsidRPr="009D7635">
        <w:rPr>
          <w:rFonts w:ascii="Times New Roman" w:hAnsi="Times New Roman" w:cs="Times New Roman"/>
          <w:color w:val="000000" w:themeColor="text1"/>
          <w:sz w:val="20"/>
          <w:szCs w:val="20"/>
        </w:rPr>
        <w:t>.</w:t>
      </w:r>
    </w:p>
  </w:footnote>
  <w:footnote w:id="451">
    <w:p w14:paraId="1D6D2E55" w14:textId="72C8C27C"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The Soul-Body Problem at Paris</w:t>
      </w:r>
      <w:r w:rsidRPr="009D7635">
        <w:rPr>
          <w:rFonts w:ascii="Times New Roman" w:hAnsi="Times New Roman" w:cs="Times New Roman"/>
          <w:color w:val="000000" w:themeColor="text1"/>
        </w:rPr>
        <w:t>, 137.</w:t>
      </w:r>
      <w:r w:rsidR="00FA60DD" w:rsidRPr="009D7635">
        <w:rPr>
          <w:rFonts w:ascii="Times New Roman" w:hAnsi="Times New Roman" w:cs="Times New Roman"/>
          <w:color w:val="000000" w:themeColor="text1"/>
        </w:rPr>
        <w:t xml:space="preserve"> On </w:t>
      </w:r>
      <w:proofErr w:type="spellStart"/>
      <w:r w:rsidR="00FA60DD" w:rsidRPr="009D7635">
        <w:rPr>
          <w:rFonts w:ascii="Times New Roman" w:hAnsi="Times New Roman" w:cs="Times New Roman"/>
          <w:color w:val="000000" w:themeColor="text1"/>
        </w:rPr>
        <w:t>Gueric</w:t>
      </w:r>
      <w:proofErr w:type="spellEnd"/>
      <w:r w:rsidR="00FA60DD" w:rsidRPr="009D7635">
        <w:rPr>
          <w:rFonts w:ascii="Times New Roman" w:hAnsi="Times New Roman" w:cs="Times New Roman"/>
          <w:color w:val="000000" w:themeColor="text1"/>
        </w:rPr>
        <w:t xml:space="preserve"> of St Quentin’s account of the medium between the soul and the body, see Ayelet Even Ezra, </w:t>
      </w:r>
      <w:r w:rsidR="00FA60DD" w:rsidRPr="009D7635">
        <w:rPr>
          <w:rFonts w:ascii="Times New Roman" w:hAnsi="Times New Roman" w:cs="Times New Roman"/>
          <w:i/>
          <w:iCs/>
          <w:color w:val="000000" w:themeColor="text1"/>
        </w:rPr>
        <w:t xml:space="preserve">Ecstasy in the Classroom: Trance, Self and the Academic Profession in Medieval Paris </w:t>
      </w:r>
      <w:r w:rsidR="00FA60DD" w:rsidRPr="009D7635">
        <w:rPr>
          <w:rFonts w:ascii="Times New Roman" w:hAnsi="Times New Roman" w:cs="Times New Roman"/>
          <w:color w:val="000000" w:themeColor="text1"/>
        </w:rPr>
        <w:t xml:space="preserve">(New York: Fordham </w:t>
      </w:r>
      <w:proofErr w:type="spellStart"/>
      <w:r w:rsidR="00FA60DD" w:rsidRPr="009D7635">
        <w:rPr>
          <w:rFonts w:ascii="Times New Roman" w:hAnsi="Times New Roman" w:cs="Times New Roman"/>
          <w:color w:val="000000" w:themeColor="text1"/>
        </w:rPr>
        <w:t>Univeristy</w:t>
      </w:r>
      <w:proofErr w:type="spellEnd"/>
      <w:r w:rsidR="00FA60DD" w:rsidRPr="009D7635">
        <w:rPr>
          <w:rFonts w:ascii="Times New Roman" w:hAnsi="Times New Roman" w:cs="Times New Roman"/>
          <w:color w:val="000000" w:themeColor="text1"/>
        </w:rPr>
        <w:t xml:space="preserve"> Press, 2018)</w:t>
      </w:r>
      <w:r w:rsidR="00027651" w:rsidRPr="009D7635">
        <w:rPr>
          <w:rFonts w:ascii="Times New Roman" w:hAnsi="Times New Roman" w:cs="Times New Roman"/>
          <w:color w:val="000000" w:themeColor="text1"/>
        </w:rPr>
        <w:t xml:space="preserve">, 40. </w:t>
      </w:r>
    </w:p>
  </w:footnote>
  <w:footnote w:id="452">
    <w:p w14:paraId="009745FB" w14:textId="5FC6EF96" w:rsidR="00B93ED5" w:rsidRPr="009D7635" w:rsidRDefault="00B93ED5" w:rsidP="007C038D">
      <w:pPr>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116-17: The soul is united to the body in two ways: </w:t>
      </w:r>
      <w:proofErr w:type="spellStart"/>
      <w:r w:rsidRPr="009D7635">
        <w:rPr>
          <w:rFonts w:ascii="Times New Roman" w:hAnsi="Times New Roman" w:cs="Times New Roman"/>
          <w:i/>
          <w:color w:val="000000" w:themeColor="text1"/>
          <w:sz w:val="20"/>
          <w:szCs w:val="20"/>
        </w:rPr>
        <w:t>unitur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enim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forma sue </w:t>
      </w:r>
      <w:proofErr w:type="spellStart"/>
      <w:r w:rsidRPr="009D7635">
        <w:rPr>
          <w:rFonts w:ascii="Times New Roman" w:hAnsi="Times New Roman" w:cs="Times New Roman"/>
          <w:i/>
          <w:color w:val="000000" w:themeColor="text1"/>
          <w:sz w:val="20"/>
          <w:szCs w:val="20"/>
        </w:rPr>
        <w:t>materie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perfectio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perfectibili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etiam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organo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instrumento</w:t>
      </w:r>
      <w:proofErr w:type="spellEnd"/>
      <w:r w:rsidRPr="009D7635">
        <w:rPr>
          <w:rFonts w:ascii="Times New Roman" w:hAnsi="Times New Roman" w:cs="Times New Roman"/>
          <w:i/>
          <w:color w:val="000000" w:themeColor="text1"/>
          <w:sz w:val="20"/>
          <w:szCs w:val="20"/>
        </w:rPr>
        <w:t xml:space="preserve"> per quod </w:t>
      </w:r>
      <w:proofErr w:type="spellStart"/>
      <w:r w:rsidRPr="009D7635">
        <w:rPr>
          <w:rFonts w:ascii="Times New Roman" w:hAnsi="Times New Roman" w:cs="Times New Roman"/>
          <w:i/>
          <w:color w:val="000000" w:themeColor="text1"/>
          <w:sz w:val="20"/>
          <w:szCs w:val="20"/>
        </w:rPr>
        <w:t>operatur</w:t>
      </w:r>
      <w:proofErr w:type="spellEnd"/>
      <w:r w:rsidRPr="009D7635">
        <w:rPr>
          <w:rFonts w:ascii="Times New Roman" w:hAnsi="Times New Roman" w:cs="Times New Roman"/>
          <w:i/>
          <w:color w:val="000000" w:themeColor="text1"/>
          <w:sz w:val="20"/>
          <w:szCs w:val="20"/>
        </w:rPr>
        <w:t xml:space="preserve">, duplex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ergo </w:t>
      </w:r>
      <w:proofErr w:type="spellStart"/>
      <w:r w:rsidRPr="009D7635">
        <w:rPr>
          <w:rFonts w:ascii="Times New Roman" w:hAnsi="Times New Roman" w:cs="Times New Roman"/>
          <w:i/>
          <w:color w:val="000000" w:themeColor="text1"/>
          <w:sz w:val="20"/>
          <w:szCs w:val="20"/>
        </w:rPr>
        <w:t>racio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unionis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primum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modum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unitur</w:t>
      </w:r>
      <w:proofErr w:type="spellEnd"/>
      <w:r w:rsidRPr="009D7635">
        <w:rPr>
          <w:rFonts w:ascii="Times New Roman" w:hAnsi="Times New Roman" w:cs="Times New Roman"/>
          <w:i/>
          <w:color w:val="000000" w:themeColor="text1"/>
          <w:sz w:val="20"/>
          <w:szCs w:val="20"/>
        </w:rPr>
        <w:t xml:space="preserve"> anima </w:t>
      </w:r>
      <w:proofErr w:type="spellStart"/>
      <w:r w:rsidRPr="009D7635">
        <w:rPr>
          <w:rFonts w:ascii="Times New Roman" w:hAnsi="Times New Roman" w:cs="Times New Roman"/>
          <w:i/>
          <w:color w:val="000000" w:themeColor="text1"/>
          <w:sz w:val="20"/>
          <w:szCs w:val="20"/>
        </w:rPr>
        <w:t>corpori</w:t>
      </w:r>
      <w:proofErr w:type="spellEnd"/>
      <w:r w:rsidRPr="009D7635">
        <w:rPr>
          <w:rFonts w:ascii="Times New Roman" w:hAnsi="Times New Roman" w:cs="Times New Roman"/>
          <w:i/>
          <w:color w:val="000000" w:themeColor="text1"/>
          <w:sz w:val="20"/>
          <w:szCs w:val="20"/>
        </w:rPr>
        <w:t xml:space="preserve"> sine </w:t>
      </w:r>
      <w:proofErr w:type="spellStart"/>
      <w:r w:rsidRPr="009D7635">
        <w:rPr>
          <w:rFonts w:ascii="Times New Roman" w:hAnsi="Times New Roman" w:cs="Times New Roman"/>
          <w:i/>
          <w:color w:val="000000" w:themeColor="text1"/>
          <w:sz w:val="20"/>
          <w:szCs w:val="20"/>
        </w:rPr>
        <w:t>medio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dico</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ultima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disposicione</w:t>
      </w:r>
      <w:proofErr w:type="spellEnd"/>
      <w:r w:rsidRPr="009D7635">
        <w:rPr>
          <w:rFonts w:ascii="Times New Roman" w:hAnsi="Times New Roman" w:cs="Times New Roman"/>
          <w:i/>
          <w:color w:val="000000" w:themeColor="text1"/>
          <w:sz w:val="20"/>
          <w:szCs w:val="20"/>
        </w:rPr>
        <w:t xml:space="preserve"> se </w:t>
      </w:r>
      <w:proofErr w:type="spellStart"/>
      <w:r w:rsidRPr="009D7635">
        <w:rPr>
          <w:rFonts w:ascii="Times New Roman" w:hAnsi="Times New Roman" w:cs="Times New Roman"/>
          <w:i/>
          <w:color w:val="000000" w:themeColor="text1"/>
          <w:sz w:val="20"/>
          <w:szCs w:val="20"/>
        </w:rPr>
        <w:t>habenti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corpore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sicut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materie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necessitas</w:t>
      </w:r>
      <w:proofErr w:type="spellEnd"/>
      <w:r w:rsidRPr="009D7635">
        <w:rPr>
          <w:rFonts w:ascii="Times New Roman" w:hAnsi="Times New Roman" w:cs="Times New Roman"/>
          <w:i/>
          <w:color w:val="000000" w:themeColor="text1"/>
          <w:sz w:val="20"/>
          <w:szCs w:val="20"/>
        </w:rPr>
        <w:t xml:space="preserve"> ad </w:t>
      </w:r>
      <w:proofErr w:type="spellStart"/>
      <w:r w:rsidRPr="009D7635">
        <w:rPr>
          <w:rFonts w:ascii="Times New Roman" w:hAnsi="Times New Roman" w:cs="Times New Roman"/>
          <w:i/>
          <w:color w:val="000000" w:themeColor="text1"/>
          <w:sz w:val="20"/>
          <w:szCs w:val="20"/>
        </w:rPr>
        <w:t>forme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susceptionem</w:t>
      </w:r>
      <w:proofErr w:type="spellEnd"/>
      <w:r w:rsidRPr="009D7635">
        <w:rPr>
          <w:rFonts w:ascii="Times New Roman" w:hAnsi="Times New Roman" w:cs="Times New Roman"/>
          <w:i/>
          <w:color w:val="000000" w:themeColor="text1"/>
          <w:sz w:val="20"/>
          <w:szCs w:val="20"/>
        </w:rPr>
        <w:t xml:space="preserve"> scilicet anime, </w:t>
      </w:r>
      <w:proofErr w:type="spellStart"/>
      <w:r w:rsidRPr="009D7635">
        <w:rPr>
          <w:rFonts w:ascii="Times New Roman" w:hAnsi="Times New Roman" w:cs="Times New Roman"/>
          <w:i/>
          <w:color w:val="000000" w:themeColor="text1"/>
          <w:sz w:val="20"/>
          <w:szCs w:val="20"/>
        </w:rPr>
        <w:t>sicut</w:t>
      </w:r>
      <w:proofErr w:type="spellEnd"/>
      <w:r w:rsidRPr="009D7635">
        <w:rPr>
          <w:rFonts w:ascii="Times New Roman" w:hAnsi="Times New Roman" w:cs="Times New Roman"/>
          <w:i/>
          <w:color w:val="000000" w:themeColor="text1"/>
          <w:sz w:val="20"/>
          <w:szCs w:val="20"/>
        </w:rPr>
        <w:t xml:space="preserve"> lignum in </w:t>
      </w:r>
      <w:proofErr w:type="spellStart"/>
      <w:r w:rsidRPr="009D7635">
        <w:rPr>
          <w:rFonts w:ascii="Times New Roman" w:hAnsi="Times New Roman" w:cs="Times New Roman"/>
          <w:i/>
          <w:color w:val="000000" w:themeColor="text1"/>
          <w:sz w:val="20"/>
          <w:szCs w:val="20"/>
        </w:rPr>
        <w:t>ultima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disposicione</w:t>
      </w:r>
      <w:proofErr w:type="spellEnd"/>
      <w:r w:rsidRPr="009D7635">
        <w:rPr>
          <w:rFonts w:ascii="Times New Roman" w:hAnsi="Times New Roman" w:cs="Times New Roman"/>
          <w:i/>
          <w:color w:val="000000" w:themeColor="text1"/>
          <w:sz w:val="20"/>
          <w:szCs w:val="20"/>
        </w:rPr>
        <w:t xml:space="preserve"> se </w:t>
      </w:r>
      <w:proofErr w:type="spellStart"/>
      <w:r w:rsidRPr="009D7635">
        <w:rPr>
          <w:rFonts w:ascii="Times New Roman" w:hAnsi="Times New Roman" w:cs="Times New Roman"/>
          <w:i/>
          <w:color w:val="000000" w:themeColor="text1"/>
          <w:sz w:val="20"/>
          <w:szCs w:val="20"/>
        </w:rPr>
        <w:t>habens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calefactionis</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siccitatis</w:t>
      </w:r>
      <w:proofErr w:type="spellEnd"/>
      <w:r w:rsidRPr="009D7635">
        <w:rPr>
          <w:rFonts w:ascii="Times New Roman" w:hAnsi="Times New Roman" w:cs="Times New Roman"/>
          <w:i/>
          <w:color w:val="000000" w:themeColor="text1"/>
          <w:sz w:val="20"/>
          <w:szCs w:val="20"/>
        </w:rPr>
        <w:t xml:space="preserve">: cum scilicet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summe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calefactum</w:t>
      </w:r>
      <w:proofErr w:type="spellEnd"/>
      <w:r w:rsidRPr="009D7635">
        <w:rPr>
          <w:rFonts w:ascii="Times New Roman" w:hAnsi="Times New Roman" w:cs="Times New Roman"/>
          <w:i/>
          <w:color w:val="000000" w:themeColor="text1"/>
          <w:sz w:val="20"/>
          <w:szCs w:val="20"/>
        </w:rPr>
        <w:t xml:space="preserve">, se </w:t>
      </w:r>
      <w:proofErr w:type="spellStart"/>
      <w:r w:rsidRPr="009D7635">
        <w:rPr>
          <w:rFonts w:ascii="Times New Roman" w:hAnsi="Times New Roman" w:cs="Times New Roman"/>
          <w:i/>
          <w:color w:val="000000" w:themeColor="text1"/>
          <w:sz w:val="20"/>
          <w:szCs w:val="20"/>
        </w:rPr>
        <w:t>habet</w:t>
      </w:r>
      <w:proofErr w:type="spellEnd"/>
      <w:r w:rsidRPr="009D7635">
        <w:rPr>
          <w:rFonts w:ascii="Times New Roman" w:hAnsi="Times New Roman" w:cs="Times New Roman"/>
          <w:i/>
          <w:color w:val="000000" w:themeColor="text1"/>
          <w:sz w:val="20"/>
          <w:szCs w:val="20"/>
        </w:rPr>
        <w:t xml:space="preserve"> immediate ad </w:t>
      </w:r>
      <w:proofErr w:type="spellStart"/>
      <w:r w:rsidRPr="009D7635">
        <w:rPr>
          <w:rFonts w:ascii="Times New Roman" w:hAnsi="Times New Roman" w:cs="Times New Roman"/>
          <w:i/>
          <w:color w:val="000000" w:themeColor="text1"/>
          <w:sz w:val="20"/>
          <w:szCs w:val="20"/>
        </w:rPr>
        <w:t>susceptionem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forme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igneitatis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modum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unitur</w:t>
      </w:r>
      <w:proofErr w:type="spellEnd"/>
      <w:r w:rsidRPr="009D7635">
        <w:rPr>
          <w:rFonts w:ascii="Times New Roman" w:hAnsi="Times New Roman" w:cs="Times New Roman"/>
          <w:i/>
          <w:color w:val="000000" w:themeColor="text1"/>
          <w:sz w:val="20"/>
          <w:szCs w:val="20"/>
        </w:rPr>
        <w:t xml:space="preserve"> anima per medium, et medium </w:t>
      </w:r>
      <w:proofErr w:type="spellStart"/>
      <w:r w:rsidRPr="009D7635">
        <w:rPr>
          <w:rFonts w:ascii="Times New Roman" w:hAnsi="Times New Roman" w:cs="Times New Roman"/>
          <w:i/>
          <w:color w:val="000000" w:themeColor="text1"/>
          <w:sz w:val="20"/>
          <w:szCs w:val="20"/>
        </w:rPr>
        <w:t>istud</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potencia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vis </w:t>
      </w:r>
      <w:proofErr w:type="spellStart"/>
      <w:r w:rsidRPr="009D7635">
        <w:rPr>
          <w:rFonts w:ascii="Times New Roman" w:hAnsi="Times New Roman" w:cs="Times New Roman"/>
          <w:i/>
          <w:color w:val="000000" w:themeColor="text1"/>
          <w:sz w:val="20"/>
          <w:szCs w:val="20"/>
        </w:rPr>
        <w:t>eius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enim</w:t>
      </w:r>
      <w:proofErr w:type="spellEnd"/>
      <w:r w:rsidRPr="009D7635">
        <w:rPr>
          <w:rFonts w:ascii="Times New Roman" w:hAnsi="Times New Roman" w:cs="Times New Roman"/>
          <w:i/>
          <w:color w:val="000000" w:themeColor="text1"/>
          <w:sz w:val="20"/>
          <w:szCs w:val="20"/>
        </w:rPr>
        <w:t xml:space="preserve"> quod anima </w:t>
      </w:r>
      <w:proofErr w:type="spellStart"/>
      <w:r w:rsidRPr="009D7635">
        <w:rPr>
          <w:rFonts w:ascii="Times New Roman" w:hAnsi="Times New Roman" w:cs="Times New Roman"/>
          <w:i/>
          <w:color w:val="000000" w:themeColor="text1"/>
          <w:sz w:val="20"/>
          <w:szCs w:val="20"/>
        </w:rPr>
        <w:t>unitur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organo</w:t>
      </w:r>
      <w:proofErr w:type="spellEnd"/>
      <w:r w:rsidRPr="009D7635">
        <w:rPr>
          <w:rFonts w:ascii="Times New Roman" w:hAnsi="Times New Roman" w:cs="Times New Roman"/>
          <w:i/>
          <w:color w:val="000000" w:themeColor="text1"/>
          <w:sz w:val="20"/>
          <w:szCs w:val="20"/>
        </w:rPr>
        <w:t xml:space="preserve"> per quod </w:t>
      </w:r>
      <w:proofErr w:type="spellStart"/>
      <w:r w:rsidRPr="009D7635">
        <w:rPr>
          <w:rFonts w:ascii="Times New Roman" w:hAnsi="Times New Roman" w:cs="Times New Roman"/>
          <w:i/>
          <w:color w:val="000000" w:themeColor="text1"/>
          <w:sz w:val="20"/>
          <w:szCs w:val="20"/>
        </w:rPr>
        <w:t>operatur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comparacio</w:t>
      </w:r>
      <w:proofErr w:type="spellEnd"/>
      <w:r w:rsidRPr="009D7635">
        <w:rPr>
          <w:rFonts w:ascii="Times New Roman" w:hAnsi="Times New Roman" w:cs="Times New Roman"/>
          <w:i/>
          <w:color w:val="000000" w:themeColor="text1"/>
          <w:sz w:val="20"/>
          <w:szCs w:val="20"/>
        </w:rPr>
        <w:t xml:space="preserve"> anime </w:t>
      </w:r>
      <w:proofErr w:type="spellStart"/>
      <w:r w:rsidRPr="009D7635">
        <w:rPr>
          <w:rFonts w:ascii="Times New Roman" w:hAnsi="Times New Roman" w:cs="Times New Roman"/>
          <w:i/>
          <w:color w:val="000000" w:themeColor="text1"/>
          <w:sz w:val="20"/>
          <w:szCs w:val="20"/>
        </w:rPr>
        <w:t>sicut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artificis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operantis</w:t>
      </w:r>
      <w:proofErr w:type="spellEnd"/>
      <w:r w:rsidRPr="009D7635">
        <w:rPr>
          <w:rFonts w:ascii="Times New Roman" w:hAnsi="Times New Roman" w:cs="Times New Roman"/>
          <w:i/>
          <w:color w:val="000000" w:themeColor="text1"/>
          <w:sz w:val="20"/>
          <w:szCs w:val="20"/>
        </w:rPr>
        <w:t xml:space="preserve"> per </w:t>
      </w:r>
      <w:proofErr w:type="spellStart"/>
      <w:r w:rsidRPr="009D7635">
        <w:rPr>
          <w:rFonts w:ascii="Times New Roman" w:hAnsi="Times New Roman" w:cs="Times New Roman"/>
          <w:i/>
          <w:color w:val="000000" w:themeColor="text1"/>
          <w:sz w:val="20"/>
          <w:szCs w:val="20"/>
        </w:rPr>
        <w:t>instrumentum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hunc</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modum</w:t>
      </w:r>
      <w:proofErr w:type="spellEnd"/>
      <w:r w:rsidRPr="009D7635">
        <w:rPr>
          <w:rFonts w:ascii="Times New Roman" w:hAnsi="Times New Roman" w:cs="Times New Roman"/>
          <w:i/>
          <w:color w:val="000000" w:themeColor="text1"/>
          <w:sz w:val="20"/>
          <w:szCs w:val="20"/>
        </w:rPr>
        <w:t xml:space="preserve"> se </w:t>
      </w:r>
      <w:proofErr w:type="spellStart"/>
      <w:r w:rsidRPr="009D7635">
        <w:rPr>
          <w:rFonts w:ascii="Times New Roman" w:hAnsi="Times New Roman" w:cs="Times New Roman"/>
          <w:i/>
          <w:color w:val="000000" w:themeColor="text1"/>
          <w:sz w:val="20"/>
          <w:szCs w:val="20"/>
        </w:rPr>
        <w:t>habet</w:t>
      </w:r>
      <w:proofErr w:type="spellEnd"/>
      <w:r w:rsidRPr="009D7635">
        <w:rPr>
          <w:rFonts w:ascii="Times New Roman" w:hAnsi="Times New Roman" w:cs="Times New Roman"/>
          <w:i/>
          <w:color w:val="000000" w:themeColor="text1"/>
          <w:sz w:val="20"/>
          <w:szCs w:val="20"/>
        </w:rPr>
        <w:t xml:space="preserve"> anima ad corpus…</w:t>
      </w:r>
      <w:proofErr w:type="spellStart"/>
      <w:r w:rsidRPr="009D7635">
        <w:rPr>
          <w:rFonts w:ascii="Times New Roman" w:hAnsi="Times New Roman" w:cs="Times New Roman"/>
          <w:i/>
          <w:color w:val="000000" w:themeColor="text1"/>
          <w:sz w:val="20"/>
          <w:szCs w:val="20"/>
        </w:rPr>
        <w:t>vero</w:t>
      </w:r>
      <w:proofErr w:type="spellEnd"/>
      <w:r w:rsidRPr="009D7635">
        <w:rPr>
          <w:rFonts w:ascii="Times New Roman" w:hAnsi="Times New Roman" w:cs="Times New Roman"/>
          <w:i/>
          <w:color w:val="000000" w:themeColor="text1"/>
          <w:sz w:val="20"/>
          <w:szCs w:val="20"/>
        </w:rPr>
        <w:t xml:space="preserve"> medium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virtus</w:t>
      </w:r>
      <w:proofErr w:type="spellEnd"/>
      <w:r w:rsidRPr="009D7635">
        <w:rPr>
          <w:rFonts w:ascii="Times New Roman" w:hAnsi="Times New Roman" w:cs="Times New Roman"/>
          <w:i/>
          <w:color w:val="000000" w:themeColor="text1"/>
          <w:sz w:val="20"/>
          <w:szCs w:val="20"/>
        </w:rPr>
        <w:t xml:space="preserve"> inter </w:t>
      </w:r>
      <w:proofErr w:type="spellStart"/>
      <w:r w:rsidRPr="009D7635">
        <w:rPr>
          <w:rFonts w:ascii="Times New Roman" w:hAnsi="Times New Roman" w:cs="Times New Roman"/>
          <w:i/>
          <w:color w:val="000000" w:themeColor="text1"/>
          <w:sz w:val="20"/>
          <w:szCs w:val="20"/>
        </w:rPr>
        <w:t>essenciam</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operactionem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Quia</w:t>
      </w:r>
      <w:proofErr w:type="spellEnd"/>
      <w:r w:rsidRPr="009D7635">
        <w:rPr>
          <w:rFonts w:ascii="Times New Roman" w:hAnsi="Times New Roman" w:cs="Times New Roman"/>
          <w:i/>
          <w:color w:val="000000" w:themeColor="text1"/>
          <w:sz w:val="20"/>
          <w:szCs w:val="20"/>
        </w:rPr>
        <w:t xml:space="preserve"> ergo </w:t>
      </w:r>
      <w:proofErr w:type="spellStart"/>
      <w:r w:rsidRPr="009D7635">
        <w:rPr>
          <w:rFonts w:ascii="Times New Roman" w:hAnsi="Times New Roman" w:cs="Times New Roman"/>
          <w:i/>
          <w:color w:val="000000" w:themeColor="text1"/>
          <w:sz w:val="20"/>
          <w:szCs w:val="20"/>
        </w:rPr>
        <w:t>operacio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animae</w:t>
      </w:r>
      <w:proofErr w:type="spellEnd"/>
      <w:r w:rsidRPr="009D7635">
        <w:rPr>
          <w:rFonts w:ascii="Times New Roman" w:hAnsi="Times New Roman" w:cs="Times New Roman"/>
          <w:i/>
          <w:color w:val="000000" w:themeColor="text1"/>
          <w:sz w:val="20"/>
          <w:szCs w:val="20"/>
        </w:rPr>
        <w:t xml:space="preserve"> fit </w:t>
      </w:r>
      <w:proofErr w:type="spellStart"/>
      <w:r w:rsidRPr="009D7635">
        <w:rPr>
          <w:rFonts w:ascii="Times New Roman" w:hAnsi="Times New Roman" w:cs="Times New Roman"/>
          <w:i/>
          <w:color w:val="000000" w:themeColor="text1"/>
          <w:sz w:val="20"/>
          <w:szCs w:val="20"/>
        </w:rPr>
        <w:t>organo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quod anima per corpus </w:t>
      </w:r>
      <w:proofErr w:type="spellStart"/>
      <w:r w:rsidRPr="009D7635">
        <w:rPr>
          <w:rFonts w:ascii="Times New Roman" w:hAnsi="Times New Roman" w:cs="Times New Roman"/>
          <w:i/>
          <w:color w:val="000000" w:themeColor="text1"/>
          <w:sz w:val="20"/>
          <w:szCs w:val="20"/>
        </w:rPr>
        <w:t>animatum</w:t>
      </w:r>
      <w:proofErr w:type="spellEnd"/>
      <w:r w:rsidRPr="009D7635">
        <w:rPr>
          <w:rFonts w:ascii="Times New Roman" w:hAnsi="Times New Roman" w:cs="Times New Roman"/>
          <w:i/>
          <w:color w:val="000000" w:themeColor="text1"/>
          <w:sz w:val="20"/>
          <w:szCs w:val="20"/>
        </w:rPr>
        <w:t xml:space="preserve"> operator, </w:t>
      </w:r>
      <w:proofErr w:type="spellStart"/>
      <w:r w:rsidRPr="009D7635">
        <w:rPr>
          <w:rFonts w:ascii="Times New Roman" w:hAnsi="Times New Roman" w:cs="Times New Roman"/>
          <w:i/>
          <w:color w:val="000000" w:themeColor="text1"/>
          <w:sz w:val="20"/>
          <w:szCs w:val="20"/>
        </w:rPr>
        <w:t>videndo</w:t>
      </w:r>
      <w:proofErr w:type="spellEnd"/>
      <w:r w:rsidRPr="009D7635">
        <w:rPr>
          <w:rFonts w:ascii="Times New Roman" w:hAnsi="Times New Roman" w:cs="Times New Roman"/>
          <w:i/>
          <w:color w:val="000000" w:themeColor="text1"/>
          <w:sz w:val="20"/>
          <w:szCs w:val="20"/>
        </w:rPr>
        <w:t xml:space="preserve"> scilicet et </w:t>
      </w:r>
      <w:proofErr w:type="spellStart"/>
      <w:r w:rsidRPr="009D7635">
        <w:rPr>
          <w:rFonts w:ascii="Times New Roman" w:hAnsi="Times New Roman" w:cs="Times New Roman"/>
          <w:i/>
          <w:color w:val="000000" w:themeColor="text1"/>
          <w:sz w:val="20"/>
          <w:szCs w:val="20"/>
        </w:rPr>
        <w:t>audiendo</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huiusmodi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ipsius</w:t>
      </w:r>
      <w:proofErr w:type="spellEnd"/>
      <w:r w:rsidRPr="009D7635">
        <w:rPr>
          <w:rFonts w:ascii="Times New Roman" w:hAnsi="Times New Roman" w:cs="Times New Roman"/>
          <w:i/>
          <w:color w:val="000000" w:themeColor="text1"/>
          <w:sz w:val="20"/>
          <w:szCs w:val="20"/>
        </w:rPr>
        <w:t xml:space="preserve"> anime ad corpus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organum </w:t>
      </w:r>
      <w:proofErr w:type="spellStart"/>
      <w:r w:rsidRPr="009D7635">
        <w:rPr>
          <w:rFonts w:ascii="Times New Roman" w:hAnsi="Times New Roman" w:cs="Times New Roman"/>
          <w:i/>
          <w:color w:val="000000" w:themeColor="text1"/>
          <w:sz w:val="20"/>
          <w:szCs w:val="20"/>
        </w:rPr>
        <w:t>erit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mediante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potencia</w:t>
      </w:r>
      <w:proofErr w:type="spellEnd"/>
      <w:r w:rsidRPr="009D7635">
        <w:rPr>
          <w:rFonts w:ascii="Times New Roman" w:hAnsi="Times New Roman" w:cs="Times New Roman"/>
          <w:i/>
          <w:color w:val="000000" w:themeColor="text1"/>
          <w:sz w:val="20"/>
          <w:szCs w:val="20"/>
        </w:rPr>
        <w:t xml:space="preserve"> et vi </w:t>
      </w:r>
      <w:proofErr w:type="spellStart"/>
      <w:r w:rsidRPr="009D7635">
        <w:rPr>
          <w:rFonts w:ascii="Times New Roman" w:hAnsi="Times New Roman" w:cs="Times New Roman"/>
          <w:i/>
          <w:color w:val="000000" w:themeColor="text1"/>
          <w:sz w:val="20"/>
          <w:szCs w:val="20"/>
        </w:rPr>
        <w:t>eius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verbi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gracia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mediante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virtute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vegetativa</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sensitiva</w:t>
      </w:r>
      <w:proofErr w:type="spellEnd"/>
      <w:r w:rsidRPr="009D7635">
        <w:rPr>
          <w:rFonts w:ascii="Times New Roman" w:hAnsi="Times New Roman" w:cs="Times New Roman"/>
          <w:i/>
          <w:color w:val="000000" w:themeColor="text1"/>
          <w:sz w:val="20"/>
          <w:szCs w:val="20"/>
        </w:rPr>
        <w:t>.</w:t>
      </w:r>
    </w:p>
  </w:footnote>
  <w:footnote w:id="453">
    <w:p w14:paraId="46644C28" w14:textId="3F90E413"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ED61C3" w:rsidRPr="009D7635">
        <w:rPr>
          <w:rFonts w:ascii="Times New Roman" w:hAnsi="Times New Roman" w:cs="Times New Roman"/>
          <w:lang w:val="en-US"/>
        </w:rPr>
        <w:t xml:space="preserve">Ibid., </w:t>
      </w:r>
      <w:r w:rsidRPr="009D7635">
        <w:rPr>
          <w:rFonts w:ascii="Times New Roman" w:hAnsi="Times New Roman" w:cs="Times New Roman"/>
          <w:color w:val="000000" w:themeColor="text1"/>
        </w:rPr>
        <w:t xml:space="preserve">123: </w:t>
      </w:r>
      <w:proofErr w:type="spellStart"/>
      <w:r w:rsidRPr="009D7635">
        <w:rPr>
          <w:rFonts w:ascii="Times New Roman" w:hAnsi="Times New Roman" w:cs="Times New Roman"/>
          <w:i/>
          <w:color w:val="000000" w:themeColor="text1"/>
        </w:rPr>
        <w:t>Quattor</w:t>
      </w:r>
      <w:proofErr w:type="spellEnd"/>
      <w:r w:rsidRPr="009D7635">
        <w:rPr>
          <w:rFonts w:ascii="Times New Roman" w:hAnsi="Times New Roman" w:cs="Times New Roman"/>
          <w:i/>
          <w:color w:val="000000" w:themeColor="text1"/>
        </w:rPr>
        <w:t xml:space="preserve"> ergo </w:t>
      </w:r>
      <w:proofErr w:type="spellStart"/>
      <w:r w:rsidRPr="009D7635">
        <w:rPr>
          <w:rFonts w:ascii="Times New Roman" w:hAnsi="Times New Roman" w:cs="Times New Roman"/>
          <w:i/>
          <w:color w:val="000000" w:themeColor="text1"/>
        </w:rPr>
        <w:t>erunt</w:t>
      </w:r>
      <w:proofErr w:type="spellEnd"/>
      <w:r w:rsidRPr="009D7635">
        <w:rPr>
          <w:rFonts w:ascii="Times New Roman" w:hAnsi="Times New Roman" w:cs="Times New Roman"/>
          <w:i/>
          <w:color w:val="000000" w:themeColor="text1"/>
        </w:rPr>
        <w:t xml:space="preserve"> media </w:t>
      </w:r>
      <w:proofErr w:type="spellStart"/>
      <w:r w:rsidRPr="009D7635">
        <w:rPr>
          <w:rFonts w:ascii="Times New Roman" w:hAnsi="Times New Roman" w:cs="Times New Roman"/>
          <w:i/>
          <w:color w:val="000000" w:themeColor="text1"/>
        </w:rPr>
        <w:t>uniencia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natura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sensitiva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vegetativa</w:t>
      </w:r>
      <w:proofErr w:type="spellEnd"/>
      <w:r w:rsidRPr="009D7635">
        <w:rPr>
          <w:rFonts w:ascii="Times New Roman" w:hAnsi="Times New Roman" w:cs="Times New Roman"/>
          <w:i/>
          <w:color w:val="000000" w:themeColor="text1"/>
        </w:rPr>
        <w:t xml:space="preserve">, spiritus qui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natura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celestis</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natura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elementaris</w:t>
      </w:r>
      <w:proofErr w:type="spellEnd"/>
      <w:r w:rsidRPr="009D7635">
        <w:rPr>
          <w:rFonts w:ascii="Times New Roman" w:hAnsi="Times New Roman" w:cs="Times New Roman"/>
          <w:i/>
          <w:color w:val="000000" w:themeColor="text1"/>
        </w:rPr>
        <w:t>.</w:t>
      </w:r>
    </w:p>
  </w:footnote>
  <w:footnote w:id="454">
    <w:p w14:paraId="10CA6730" w14:textId="6E3184C7" w:rsidR="00B93ED5" w:rsidRPr="009D7635" w:rsidRDefault="00B93ED5" w:rsidP="007C038D">
      <w:pPr>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ED61C3" w:rsidRPr="009D7635">
        <w:rPr>
          <w:rFonts w:ascii="Times New Roman" w:hAnsi="Times New Roman" w:cs="Times New Roman"/>
          <w:sz w:val="20"/>
          <w:szCs w:val="20"/>
          <w:lang w:val="en-US"/>
        </w:rPr>
        <w:t>Ibid.,</w:t>
      </w:r>
      <w:r w:rsidRPr="009D7635">
        <w:rPr>
          <w:rFonts w:ascii="Times New Roman" w:hAnsi="Times New Roman" w:cs="Times New Roman"/>
          <w:color w:val="000000" w:themeColor="text1"/>
          <w:sz w:val="20"/>
          <w:szCs w:val="20"/>
        </w:rPr>
        <w:t xml:space="preserve">120: Four media are necessary, two on the side of the body and two on the side of the soul: </w:t>
      </w:r>
      <w:proofErr w:type="spellStart"/>
      <w:r w:rsidRPr="009D7635">
        <w:rPr>
          <w:rFonts w:ascii="Times New Roman" w:hAnsi="Times New Roman" w:cs="Times New Roman"/>
          <w:i/>
          <w:color w:val="000000" w:themeColor="text1"/>
          <w:sz w:val="20"/>
          <w:szCs w:val="20"/>
        </w:rPr>
        <w:t>Quia</w:t>
      </w:r>
      <w:proofErr w:type="spellEnd"/>
      <w:r w:rsidRPr="009D7635">
        <w:rPr>
          <w:rFonts w:ascii="Times New Roman" w:hAnsi="Times New Roman" w:cs="Times New Roman"/>
          <w:i/>
          <w:color w:val="000000" w:themeColor="text1"/>
          <w:sz w:val="20"/>
          <w:szCs w:val="20"/>
        </w:rPr>
        <w:t xml:space="preserve"> ergo media </w:t>
      </w:r>
      <w:proofErr w:type="spellStart"/>
      <w:r w:rsidRPr="009D7635">
        <w:rPr>
          <w:rFonts w:ascii="Times New Roman" w:hAnsi="Times New Roman" w:cs="Times New Roman"/>
          <w:i/>
          <w:color w:val="000000" w:themeColor="text1"/>
          <w:sz w:val="20"/>
          <w:szCs w:val="20"/>
        </w:rPr>
        <w:t>debent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habere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equaliter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convenienciam</w:t>
      </w:r>
      <w:proofErr w:type="spellEnd"/>
      <w:r w:rsidRPr="009D7635">
        <w:rPr>
          <w:rFonts w:ascii="Times New Roman" w:hAnsi="Times New Roman" w:cs="Times New Roman"/>
          <w:i/>
          <w:color w:val="000000" w:themeColor="text1"/>
          <w:sz w:val="20"/>
          <w:szCs w:val="20"/>
        </w:rPr>
        <w:t xml:space="preserve"> cum extremis, </w:t>
      </w:r>
      <w:proofErr w:type="spellStart"/>
      <w:r w:rsidRPr="009D7635">
        <w:rPr>
          <w:rFonts w:ascii="Times New Roman" w:hAnsi="Times New Roman" w:cs="Times New Roman"/>
          <w:i/>
          <w:color w:val="000000" w:themeColor="text1"/>
          <w:sz w:val="20"/>
          <w:szCs w:val="20"/>
        </w:rPr>
        <w:t>quattuor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autem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sunt</w:t>
      </w:r>
      <w:proofErr w:type="spellEnd"/>
      <w:r w:rsidRPr="009D7635">
        <w:rPr>
          <w:rFonts w:ascii="Times New Roman" w:hAnsi="Times New Roman" w:cs="Times New Roman"/>
          <w:i/>
          <w:color w:val="000000" w:themeColor="text1"/>
          <w:sz w:val="20"/>
          <w:szCs w:val="20"/>
        </w:rPr>
        <w:t xml:space="preserve"> media </w:t>
      </w:r>
      <w:proofErr w:type="spellStart"/>
      <w:r w:rsidRPr="009D7635">
        <w:rPr>
          <w:rFonts w:ascii="Times New Roman" w:hAnsi="Times New Roman" w:cs="Times New Roman"/>
          <w:i/>
          <w:color w:val="000000" w:themeColor="text1"/>
          <w:sz w:val="20"/>
          <w:szCs w:val="20"/>
        </w:rPr>
        <w:t>necessaria</w:t>
      </w:r>
      <w:proofErr w:type="spellEnd"/>
      <w:r w:rsidRPr="009D7635">
        <w:rPr>
          <w:rFonts w:ascii="Times New Roman" w:hAnsi="Times New Roman" w:cs="Times New Roman"/>
          <w:i/>
          <w:color w:val="000000" w:themeColor="text1"/>
          <w:sz w:val="20"/>
          <w:szCs w:val="20"/>
        </w:rPr>
        <w:t xml:space="preserve">: ergo duo </w:t>
      </w:r>
      <w:proofErr w:type="spellStart"/>
      <w:r w:rsidRPr="009D7635">
        <w:rPr>
          <w:rFonts w:ascii="Times New Roman" w:hAnsi="Times New Roman" w:cs="Times New Roman"/>
          <w:i/>
          <w:color w:val="000000" w:themeColor="text1"/>
          <w:sz w:val="20"/>
          <w:szCs w:val="20"/>
        </w:rPr>
        <w:t>debent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w:t>
      </w:r>
      <w:proofErr w:type="spellEnd"/>
      <w:r w:rsidRPr="009D7635">
        <w:rPr>
          <w:rFonts w:ascii="Times New Roman" w:hAnsi="Times New Roman" w:cs="Times New Roman"/>
          <w:i/>
          <w:color w:val="000000" w:themeColor="text1"/>
          <w:sz w:val="20"/>
          <w:szCs w:val="20"/>
        </w:rPr>
        <w:t xml:space="preserve"> ex </w:t>
      </w:r>
      <w:proofErr w:type="spellStart"/>
      <w:r w:rsidRPr="009D7635">
        <w:rPr>
          <w:rFonts w:ascii="Times New Roman" w:hAnsi="Times New Roman" w:cs="Times New Roman"/>
          <w:i/>
          <w:color w:val="000000" w:themeColor="text1"/>
          <w:sz w:val="20"/>
          <w:szCs w:val="20"/>
        </w:rPr>
        <w:t>parte</w:t>
      </w:r>
      <w:proofErr w:type="spellEnd"/>
      <w:r w:rsidRPr="009D7635">
        <w:rPr>
          <w:rFonts w:ascii="Times New Roman" w:hAnsi="Times New Roman" w:cs="Times New Roman"/>
          <w:i/>
          <w:color w:val="000000" w:themeColor="text1"/>
          <w:sz w:val="20"/>
          <w:szCs w:val="20"/>
        </w:rPr>
        <w:t xml:space="preserve"> anime et duo ex </w:t>
      </w:r>
      <w:proofErr w:type="spellStart"/>
      <w:r w:rsidRPr="009D7635">
        <w:rPr>
          <w:rFonts w:ascii="Times New Roman" w:hAnsi="Times New Roman" w:cs="Times New Roman"/>
          <w:i/>
          <w:color w:val="000000" w:themeColor="text1"/>
          <w:sz w:val="20"/>
          <w:szCs w:val="20"/>
        </w:rPr>
        <w:t>parte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coroporis</w:t>
      </w:r>
      <w:proofErr w:type="spellEnd"/>
      <w:r w:rsidRPr="009D7635">
        <w:rPr>
          <w:rFonts w:ascii="Times New Roman" w:hAnsi="Times New Roman" w:cs="Times New Roman"/>
          <w:i/>
          <w:color w:val="000000" w:themeColor="text1"/>
          <w:sz w:val="20"/>
          <w:szCs w:val="20"/>
        </w:rPr>
        <w:t xml:space="preserve">…ex </w:t>
      </w:r>
      <w:proofErr w:type="spellStart"/>
      <w:r w:rsidRPr="009D7635">
        <w:rPr>
          <w:rFonts w:ascii="Times New Roman" w:hAnsi="Times New Roman" w:cs="Times New Roman"/>
          <w:i/>
          <w:color w:val="000000" w:themeColor="text1"/>
          <w:sz w:val="20"/>
          <w:szCs w:val="20"/>
        </w:rPr>
        <w:t>parte</w:t>
      </w:r>
      <w:proofErr w:type="spellEnd"/>
      <w:r w:rsidRPr="009D7635">
        <w:rPr>
          <w:rFonts w:ascii="Times New Roman" w:hAnsi="Times New Roman" w:cs="Times New Roman"/>
          <w:i/>
          <w:color w:val="000000" w:themeColor="text1"/>
          <w:sz w:val="20"/>
          <w:szCs w:val="20"/>
        </w:rPr>
        <w:t xml:space="preserve"> anime </w:t>
      </w:r>
      <w:proofErr w:type="spellStart"/>
      <w:r w:rsidRPr="009D7635">
        <w:rPr>
          <w:rFonts w:ascii="Times New Roman" w:hAnsi="Times New Roman" w:cs="Times New Roman"/>
          <w:i/>
          <w:color w:val="000000" w:themeColor="text1"/>
          <w:sz w:val="20"/>
          <w:szCs w:val="20"/>
        </w:rPr>
        <w:t>sunt</w:t>
      </w:r>
      <w:proofErr w:type="spellEnd"/>
      <w:r w:rsidRPr="009D7635">
        <w:rPr>
          <w:rFonts w:ascii="Times New Roman" w:hAnsi="Times New Roman" w:cs="Times New Roman"/>
          <w:i/>
          <w:color w:val="000000" w:themeColor="text1"/>
          <w:sz w:val="20"/>
          <w:szCs w:val="20"/>
        </w:rPr>
        <w:t xml:space="preserve"> duo </w:t>
      </w:r>
      <w:proofErr w:type="spellStart"/>
      <w:r w:rsidRPr="009D7635">
        <w:rPr>
          <w:rFonts w:ascii="Times New Roman" w:hAnsi="Times New Roman" w:cs="Times New Roman"/>
          <w:i/>
          <w:color w:val="000000" w:themeColor="text1"/>
          <w:sz w:val="20"/>
          <w:szCs w:val="20"/>
        </w:rPr>
        <w:t>natura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sensibilis</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vegetabilis</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natura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sensibilis</w:t>
      </w:r>
      <w:proofErr w:type="spellEnd"/>
      <w:r w:rsidRPr="009D7635">
        <w:rPr>
          <w:rFonts w:ascii="Times New Roman" w:hAnsi="Times New Roman" w:cs="Times New Roman"/>
          <w:i/>
          <w:color w:val="000000" w:themeColor="text1"/>
          <w:sz w:val="20"/>
          <w:szCs w:val="20"/>
        </w:rPr>
        <w:t xml:space="preserve"> simplex, non </w:t>
      </w:r>
      <w:proofErr w:type="spellStart"/>
      <w:r w:rsidRPr="009D7635">
        <w:rPr>
          <w:rFonts w:ascii="Times New Roman" w:hAnsi="Times New Roman" w:cs="Times New Roman"/>
          <w:i/>
          <w:color w:val="000000" w:themeColor="text1"/>
          <w:sz w:val="20"/>
          <w:szCs w:val="20"/>
        </w:rPr>
        <w:t>contraria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incorporea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cognoscitiva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dependens</w:t>
      </w:r>
      <w:proofErr w:type="spellEnd"/>
      <w:r w:rsidRPr="009D7635">
        <w:rPr>
          <w:rFonts w:ascii="Times New Roman" w:hAnsi="Times New Roman" w:cs="Times New Roman"/>
          <w:i/>
          <w:color w:val="000000" w:themeColor="text1"/>
          <w:sz w:val="20"/>
          <w:szCs w:val="20"/>
        </w:rPr>
        <w:t xml:space="preserve">. Simplex </w:t>
      </w:r>
      <w:proofErr w:type="spellStart"/>
      <w:r w:rsidRPr="009D7635">
        <w:rPr>
          <w:rFonts w:ascii="Times New Roman" w:hAnsi="Times New Roman" w:cs="Times New Roman"/>
          <w:i/>
          <w:color w:val="000000" w:themeColor="text1"/>
          <w:sz w:val="20"/>
          <w:szCs w:val="20"/>
        </w:rPr>
        <w:t>enim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aliter</w:t>
      </w:r>
      <w:proofErr w:type="spellEnd"/>
      <w:r w:rsidRPr="009D7635">
        <w:rPr>
          <w:rFonts w:ascii="Times New Roman" w:hAnsi="Times New Roman" w:cs="Times New Roman"/>
          <w:i/>
          <w:color w:val="000000" w:themeColor="text1"/>
          <w:sz w:val="20"/>
          <w:szCs w:val="20"/>
        </w:rPr>
        <w:t xml:space="preserve"> species et imagines </w:t>
      </w:r>
      <w:proofErr w:type="spellStart"/>
      <w:r w:rsidRPr="009D7635">
        <w:rPr>
          <w:rFonts w:ascii="Times New Roman" w:hAnsi="Times New Roman" w:cs="Times New Roman"/>
          <w:i/>
          <w:color w:val="000000" w:themeColor="text1"/>
          <w:sz w:val="20"/>
          <w:szCs w:val="20"/>
        </w:rPr>
        <w:t>sensibiles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facerent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distanciam</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ea</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replerent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istam</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See also 121: </w:t>
      </w:r>
      <w:proofErr w:type="spellStart"/>
      <w:r w:rsidRPr="009D7635">
        <w:rPr>
          <w:rFonts w:ascii="Times New Roman" w:hAnsi="Times New Roman" w:cs="Times New Roman"/>
          <w:i/>
          <w:color w:val="000000" w:themeColor="text1"/>
          <w:sz w:val="20"/>
          <w:szCs w:val="20"/>
        </w:rPr>
        <w:t>Natura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vegetabilis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incorporea</w:t>
      </w:r>
      <w:proofErr w:type="spellEnd"/>
      <w:r w:rsidRPr="009D7635">
        <w:rPr>
          <w:rFonts w:ascii="Times New Roman" w:hAnsi="Times New Roman" w:cs="Times New Roman"/>
          <w:i/>
          <w:color w:val="000000" w:themeColor="text1"/>
          <w:sz w:val="20"/>
          <w:szCs w:val="20"/>
        </w:rPr>
        <w:t xml:space="preserve">, simplex, non </w:t>
      </w:r>
      <w:proofErr w:type="spellStart"/>
      <w:r w:rsidRPr="009D7635">
        <w:rPr>
          <w:rFonts w:ascii="Times New Roman" w:hAnsi="Times New Roman" w:cs="Times New Roman"/>
          <w:i/>
          <w:color w:val="000000" w:themeColor="text1"/>
          <w:sz w:val="20"/>
          <w:szCs w:val="20"/>
        </w:rPr>
        <w:t>contraria</w:t>
      </w:r>
      <w:proofErr w:type="spellEnd"/>
      <w:r w:rsidRPr="009D7635">
        <w:rPr>
          <w:rFonts w:ascii="Times New Roman" w:hAnsi="Times New Roman" w:cs="Times New Roman"/>
          <w:i/>
          <w:color w:val="000000" w:themeColor="text1"/>
          <w:sz w:val="20"/>
          <w:szCs w:val="20"/>
        </w:rPr>
        <w:t xml:space="preserve">, obtuse, </w:t>
      </w:r>
      <w:proofErr w:type="spellStart"/>
      <w:r w:rsidRPr="009D7635">
        <w:rPr>
          <w:rFonts w:ascii="Times New Roman" w:hAnsi="Times New Roman" w:cs="Times New Roman"/>
          <w:i/>
          <w:color w:val="000000" w:themeColor="text1"/>
          <w:sz w:val="20"/>
          <w:szCs w:val="20"/>
        </w:rPr>
        <w:t>dependens</w:t>
      </w:r>
      <w:proofErr w:type="spellEnd"/>
      <w:r w:rsidRPr="009D7635">
        <w:rPr>
          <w:rFonts w:ascii="Times New Roman" w:hAnsi="Times New Roman" w:cs="Times New Roman"/>
          <w:i/>
          <w:color w:val="000000" w:themeColor="text1"/>
          <w:sz w:val="20"/>
          <w:szCs w:val="20"/>
        </w:rPr>
        <w:t xml:space="preserve">. Simplex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hic</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enim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simplicitatem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dicimus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opponitur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compositioni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elementatis</w:t>
      </w:r>
      <w:proofErr w:type="spellEnd"/>
      <w:r w:rsidRPr="009D7635">
        <w:rPr>
          <w:rFonts w:ascii="Times New Roman" w:hAnsi="Times New Roman" w:cs="Times New Roman"/>
          <w:i/>
          <w:color w:val="000000" w:themeColor="text1"/>
          <w:sz w:val="20"/>
          <w:szCs w:val="20"/>
        </w:rPr>
        <w:t>.</w:t>
      </w:r>
    </w:p>
  </w:footnote>
  <w:footnote w:id="455">
    <w:p w14:paraId="56F6DF0A" w14:textId="68EC09B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2629D8" w:rsidRPr="009D7635">
        <w:rPr>
          <w:rFonts w:ascii="Times New Roman" w:hAnsi="Times New Roman" w:cs="Times New Roman"/>
          <w:lang w:val="en-US"/>
        </w:rPr>
        <w:t xml:space="preserve">Ibid., </w:t>
      </w:r>
      <w:r w:rsidRPr="009D7635">
        <w:rPr>
          <w:rFonts w:ascii="Times New Roman" w:hAnsi="Times New Roman" w:cs="Times New Roman"/>
          <w:color w:val="000000" w:themeColor="text1"/>
        </w:rPr>
        <w:t>132.</w:t>
      </w:r>
    </w:p>
  </w:footnote>
  <w:footnote w:id="456">
    <w:p w14:paraId="57D76756" w14:textId="50C87B6C"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2629D8" w:rsidRPr="009D7635">
        <w:rPr>
          <w:rFonts w:ascii="Times New Roman" w:hAnsi="Times New Roman" w:cs="Times New Roman"/>
          <w:sz w:val="20"/>
          <w:szCs w:val="20"/>
          <w:lang w:val="en-US"/>
        </w:rPr>
        <w:t xml:space="preserve">Ibid., </w:t>
      </w:r>
      <w:r w:rsidRPr="009D7635">
        <w:rPr>
          <w:rFonts w:ascii="Times New Roman" w:hAnsi="Times New Roman" w:cs="Times New Roman"/>
          <w:color w:val="000000" w:themeColor="text1"/>
          <w:sz w:val="20"/>
          <w:szCs w:val="20"/>
        </w:rPr>
        <w:t>60-1: Spirit can be considered in two ways either as that which gives life to the body, as in Costa Ben Luca, or as the substance of the rational soul.</w:t>
      </w:r>
    </w:p>
  </w:footnote>
  <w:footnote w:id="457">
    <w:p w14:paraId="7DA42CE0" w14:textId="7A5A34DD" w:rsidR="00B93ED5" w:rsidRPr="009D7635" w:rsidRDefault="00B93ED5" w:rsidP="007C038D">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2629D8" w:rsidRPr="009D7635">
        <w:rPr>
          <w:rFonts w:ascii="Times New Roman" w:hAnsi="Times New Roman" w:cs="Times New Roman"/>
          <w:sz w:val="20"/>
          <w:szCs w:val="20"/>
          <w:lang w:val="en-US"/>
        </w:rPr>
        <w:t xml:space="preserve">Ibid., </w:t>
      </w:r>
      <w:r w:rsidRPr="009D7635">
        <w:rPr>
          <w:rFonts w:ascii="Times New Roman" w:hAnsi="Times New Roman" w:cs="Times New Roman"/>
          <w:color w:val="000000" w:themeColor="text1"/>
          <w:sz w:val="20"/>
          <w:szCs w:val="20"/>
        </w:rPr>
        <w:t xml:space="preserve">121: </w:t>
      </w:r>
      <w:r w:rsidRPr="009D7635">
        <w:rPr>
          <w:rFonts w:ascii="Times New Roman" w:hAnsi="Times New Roman" w:cs="Times New Roman"/>
          <w:i/>
          <w:color w:val="000000" w:themeColor="text1"/>
          <w:sz w:val="20"/>
          <w:szCs w:val="20"/>
        </w:rPr>
        <w:t xml:space="preserve">Ex </w:t>
      </w:r>
      <w:proofErr w:type="spellStart"/>
      <w:r w:rsidRPr="009D7635">
        <w:rPr>
          <w:rFonts w:ascii="Times New Roman" w:hAnsi="Times New Roman" w:cs="Times New Roman"/>
          <w:i/>
          <w:color w:val="000000" w:themeColor="text1"/>
          <w:sz w:val="20"/>
          <w:szCs w:val="20"/>
        </w:rPr>
        <w:t>parte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corporis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ponenda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sunt</w:t>
      </w:r>
      <w:proofErr w:type="spellEnd"/>
      <w:r w:rsidRPr="009D7635">
        <w:rPr>
          <w:rFonts w:ascii="Times New Roman" w:hAnsi="Times New Roman" w:cs="Times New Roman"/>
          <w:i/>
          <w:color w:val="000000" w:themeColor="text1"/>
          <w:sz w:val="20"/>
          <w:szCs w:val="20"/>
        </w:rPr>
        <w:t xml:space="preserve"> duo media: unum </w:t>
      </w:r>
      <w:proofErr w:type="spellStart"/>
      <w:r w:rsidRPr="009D7635">
        <w:rPr>
          <w:rFonts w:ascii="Times New Roman" w:hAnsi="Times New Roman" w:cs="Times New Roman"/>
          <w:i/>
          <w:color w:val="000000" w:themeColor="text1"/>
          <w:sz w:val="20"/>
          <w:szCs w:val="20"/>
        </w:rPr>
        <w:t>pertinens</w:t>
      </w:r>
      <w:proofErr w:type="spellEnd"/>
      <w:r w:rsidRPr="009D7635">
        <w:rPr>
          <w:rFonts w:ascii="Times New Roman" w:hAnsi="Times New Roman" w:cs="Times New Roman"/>
          <w:i/>
          <w:color w:val="000000" w:themeColor="text1"/>
          <w:sz w:val="20"/>
          <w:szCs w:val="20"/>
        </w:rPr>
        <w:t xml:space="preserve"> ad </w:t>
      </w:r>
      <w:proofErr w:type="spellStart"/>
      <w:r w:rsidRPr="009D7635">
        <w:rPr>
          <w:rFonts w:ascii="Times New Roman" w:hAnsi="Times New Roman" w:cs="Times New Roman"/>
          <w:i/>
          <w:color w:val="000000" w:themeColor="text1"/>
          <w:sz w:val="20"/>
          <w:szCs w:val="20"/>
        </w:rPr>
        <w:t>naturam</w:t>
      </w:r>
      <w:proofErr w:type="spellEnd"/>
      <w:r w:rsidRPr="009D7635">
        <w:rPr>
          <w:rFonts w:ascii="Times New Roman" w:hAnsi="Times New Roman" w:cs="Times New Roman"/>
          <w:i/>
          <w:color w:val="000000" w:themeColor="text1"/>
          <w:sz w:val="20"/>
          <w:szCs w:val="20"/>
        </w:rPr>
        <w:t xml:space="preserve"> celeste,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quinta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essencia</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dicitur</w:t>
      </w:r>
      <w:proofErr w:type="spellEnd"/>
      <w:r w:rsidRPr="009D7635">
        <w:rPr>
          <w:rFonts w:ascii="Times New Roman" w:hAnsi="Times New Roman" w:cs="Times New Roman"/>
          <w:i/>
          <w:color w:val="000000" w:themeColor="text1"/>
          <w:sz w:val="20"/>
          <w:szCs w:val="20"/>
        </w:rPr>
        <w:t xml:space="preserve"> spiritus, </w:t>
      </w:r>
      <w:proofErr w:type="spellStart"/>
      <w:r w:rsidRPr="009D7635">
        <w:rPr>
          <w:rFonts w:ascii="Times New Roman" w:hAnsi="Times New Roman" w:cs="Times New Roman"/>
          <w:i/>
          <w:color w:val="000000" w:themeColor="text1"/>
          <w:sz w:val="20"/>
          <w:szCs w:val="20"/>
        </w:rPr>
        <w:t>dicitur</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phisicis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vehiculum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virium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animae</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w:t>
      </w:r>
    </w:p>
  </w:footnote>
  <w:footnote w:id="458">
    <w:p w14:paraId="6C71D731" w14:textId="77777777" w:rsidR="00B93ED5" w:rsidRPr="009D7635" w:rsidRDefault="00B93ED5" w:rsidP="00725A0E">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Ernest A. Moody, </w:t>
      </w:r>
      <w:r w:rsidRPr="009D7635">
        <w:rPr>
          <w:rFonts w:ascii="Times New Roman" w:hAnsi="Times New Roman" w:cs="Times New Roman"/>
          <w:color w:val="000000" w:themeColor="text1"/>
          <w:lang w:val="en-US"/>
        </w:rPr>
        <w:t xml:space="preserve">‘William of Auvergne and His Treatise </w:t>
      </w:r>
      <w:r w:rsidRPr="009D7635">
        <w:rPr>
          <w:rFonts w:ascii="Times New Roman" w:hAnsi="Times New Roman" w:cs="Times New Roman"/>
          <w:i/>
          <w:iCs/>
          <w:color w:val="000000" w:themeColor="text1"/>
          <w:lang w:val="en-US"/>
        </w:rPr>
        <w:t>De anima</w:t>
      </w:r>
      <w:r w:rsidRPr="009D7635">
        <w:rPr>
          <w:rFonts w:ascii="Times New Roman" w:hAnsi="Times New Roman" w:cs="Times New Roman"/>
          <w:color w:val="000000" w:themeColor="text1"/>
          <w:lang w:val="en-US"/>
        </w:rPr>
        <w:t>,’</w:t>
      </w:r>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rPr>
        <w:t>41, 45.</w:t>
      </w:r>
    </w:p>
  </w:footnote>
  <w:footnote w:id="459">
    <w:p w14:paraId="1E5A7707" w14:textId="3DE89E11"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S1, Q3, T2, C1, Ar2, 1, 419: </w:t>
      </w:r>
      <w:r w:rsidRPr="009D7635">
        <w:rPr>
          <w:rFonts w:ascii="Times New Roman" w:hAnsi="Times New Roman" w:cs="Times New Roman"/>
          <w:i/>
          <w:color w:val="000000" w:themeColor="text1"/>
        </w:rPr>
        <w:t xml:space="preserve">Ergo, cum anima </w:t>
      </w:r>
      <w:proofErr w:type="spellStart"/>
      <w:r w:rsidRPr="009D7635">
        <w:rPr>
          <w:rFonts w:ascii="Times New Roman" w:hAnsi="Times New Roman" w:cs="Times New Roman"/>
          <w:i/>
          <w:color w:val="000000" w:themeColor="text1"/>
        </w:rPr>
        <w:t>uniatur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corpori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unibilitate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unitur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essentia</w:t>
      </w:r>
      <w:proofErr w:type="spellEnd"/>
      <w:r w:rsidRPr="009D7635">
        <w:rPr>
          <w:rFonts w:ascii="Times New Roman" w:hAnsi="Times New Roman" w:cs="Times New Roman"/>
          <w:i/>
          <w:color w:val="000000" w:themeColor="text1"/>
        </w:rPr>
        <w:t xml:space="preserve">; sed quod </w:t>
      </w:r>
      <w:proofErr w:type="spellStart"/>
      <w:r w:rsidRPr="009D7635">
        <w:rPr>
          <w:rFonts w:ascii="Times New Roman" w:hAnsi="Times New Roman" w:cs="Times New Roman"/>
          <w:i/>
          <w:color w:val="000000" w:themeColor="text1"/>
        </w:rPr>
        <w:t>unitur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essentia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unitur</w:t>
      </w:r>
      <w:proofErr w:type="spellEnd"/>
      <w:r w:rsidRPr="009D7635">
        <w:rPr>
          <w:rFonts w:ascii="Times New Roman" w:hAnsi="Times New Roman" w:cs="Times New Roman"/>
          <w:i/>
          <w:color w:val="000000" w:themeColor="text1"/>
        </w:rPr>
        <w:t xml:space="preserve"> sine </w:t>
      </w:r>
      <w:proofErr w:type="spellStart"/>
      <w:r w:rsidRPr="009D7635">
        <w:rPr>
          <w:rFonts w:ascii="Times New Roman" w:hAnsi="Times New Roman" w:cs="Times New Roman"/>
          <w:i/>
          <w:color w:val="000000" w:themeColor="text1"/>
        </w:rPr>
        <w:t>medio</w:t>
      </w:r>
      <w:proofErr w:type="spellEnd"/>
      <w:r w:rsidRPr="009D7635">
        <w:rPr>
          <w:rFonts w:ascii="Times New Roman" w:hAnsi="Times New Roman" w:cs="Times New Roman"/>
          <w:i/>
          <w:color w:val="000000" w:themeColor="text1"/>
        </w:rPr>
        <w:t>.</w:t>
      </w:r>
    </w:p>
  </w:footnote>
  <w:footnote w:id="460">
    <w:p w14:paraId="0F94FF85" w14:textId="725B8F66"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S1, Q3, T1, C5, Ar2,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xml:space="preserve">, 410: </w:t>
      </w:r>
      <w:r w:rsidRPr="009D7635">
        <w:rPr>
          <w:rFonts w:ascii="Times New Roman" w:hAnsi="Times New Roman" w:cs="Times New Roman"/>
          <w:i/>
          <w:color w:val="000000" w:themeColor="text1"/>
        </w:rPr>
        <w:t xml:space="preserve">Anima </w:t>
      </w:r>
      <w:proofErr w:type="spellStart"/>
      <w:r w:rsidRPr="009D7635">
        <w:rPr>
          <w:rFonts w:ascii="Times New Roman" w:hAnsi="Times New Roman" w:cs="Times New Roman"/>
          <w:i/>
          <w:color w:val="000000" w:themeColor="text1"/>
        </w:rPr>
        <w:t>rationalis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coniungitur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corpori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ut</w:t>
      </w:r>
      <w:proofErr w:type="spellEnd"/>
      <w:r w:rsidRPr="009D7635">
        <w:rPr>
          <w:rFonts w:ascii="Times New Roman" w:hAnsi="Times New Roman" w:cs="Times New Roman"/>
          <w:i/>
          <w:color w:val="000000" w:themeColor="text1"/>
        </w:rPr>
        <w:t xml:space="preserve"> motor </w:t>
      </w:r>
      <w:proofErr w:type="spellStart"/>
      <w:r w:rsidRPr="009D7635">
        <w:rPr>
          <w:rFonts w:ascii="Times New Roman" w:hAnsi="Times New Roman" w:cs="Times New Roman"/>
          <w:i/>
          <w:color w:val="000000" w:themeColor="text1"/>
        </w:rPr>
        <w:t>mobili</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ut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perfectio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formalis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perfectibili</w:t>
      </w:r>
      <w:proofErr w:type="spellEnd"/>
      <w:r w:rsidRPr="009D7635">
        <w:rPr>
          <w:rFonts w:ascii="Times New Roman" w:hAnsi="Times New Roman" w:cs="Times New Roman"/>
          <w:i/>
          <w:color w:val="000000" w:themeColor="text1"/>
        </w:rPr>
        <w:t>.</w:t>
      </w:r>
    </w:p>
  </w:footnote>
  <w:footnote w:id="461">
    <w:p w14:paraId="621B38BA" w14:textId="39E04AC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S1, Q3, T2, C1, Ar2, Ad </w:t>
      </w:r>
      <w:proofErr w:type="spellStart"/>
      <w:r w:rsidRPr="009D7635">
        <w:rPr>
          <w:rFonts w:ascii="Times New Roman" w:hAnsi="Times New Roman" w:cs="Times New Roman"/>
          <w:color w:val="000000" w:themeColor="text1"/>
        </w:rPr>
        <w:t>objecta</w:t>
      </w:r>
      <w:proofErr w:type="spellEnd"/>
      <w:r w:rsidRPr="009D7635">
        <w:rPr>
          <w:rFonts w:ascii="Times New Roman" w:hAnsi="Times New Roman" w:cs="Times New Roman"/>
          <w:color w:val="000000" w:themeColor="text1"/>
        </w:rPr>
        <w:t xml:space="preserve"> 2, 420: </w:t>
      </w:r>
      <w:proofErr w:type="spellStart"/>
      <w:r w:rsidRPr="009D7635">
        <w:rPr>
          <w:rFonts w:ascii="Times New Roman" w:hAnsi="Times New Roman" w:cs="Times New Roman"/>
          <w:i/>
          <w:color w:val="000000" w:themeColor="text1"/>
        </w:rPr>
        <w:t>Sicut</w:t>
      </w:r>
      <w:proofErr w:type="spellEnd"/>
      <w:r w:rsidRPr="009D7635">
        <w:rPr>
          <w:rFonts w:ascii="Times New Roman" w:hAnsi="Times New Roman" w:cs="Times New Roman"/>
          <w:i/>
          <w:color w:val="000000" w:themeColor="text1"/>
        </w:rPr>
        <w:t xml:space="preserve"> anima </w:t>
      </w:r>
      <w:proofErr w:type="spellStart"/>
      <w:r w:rsidRPr="009D7635">
        <w:rPr>
          <w:rFonts w:ascii="Times New Roman" w:hAnsi="Times New Roman" w:cs="Times New Roman"/>
          <w:i/>
          <w:color w:val="000000" w:themeColor="text1"/>
        </w:rPr>
        <w:t>habet</w:t>
      </w:r>
      <w:proofErr w:type="spellEnd"/>
      <w:r w:rsidRPr="009D7635">
        <w:rPr>
          <w:rFonts w:ascii="Times New Roman" w:hAnsi="Times New Roman" w:cs="Times New Roman"/>
          <w:i/>
          <w:color w:val="000000" w:themeColor="text1"/>
        </w:rPr>
        <w:t xml:space="preserve"> media ex </w:t>
      </w:r>
      <w:proofErr w:type="spellStart"/>
      <w:r w:rsidRPr="009D7635">
        <w:rPr>
          <w:rFonts w:ascii="Times New Roman" w:hAnsi="Times New Roman" w:cs="Times New Roman"/>
          <w:i/>
          <w:color w:val="000000" w:themeColor="text1"/>
        </w:rPr>
        <w:t>parte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sua</w:t>
      </w:r>
      <w:proofErr w:type="spellEnd"/>
      <w:r w:rsidRPr="009D7635">
        <w:rPr>
          <w:rFonts w:ascii="Times New Roman" w:hAnsi="Times New Roman" w:cs="Times New Roman"/>
          <w:i/>
          <w:color w:val="000000" w:themeColor="text1"/>
        </w:rPr>
        <w:t xml:space="preserve"> vires </w:t>
      </w:r>
      <w:proofErr w:type="spellStart"/>
      <w:r w:rsidRPr="009D7635">
        <w:rPr>
          <w:rFonts w:ascii="Times New Roman" w:hAnsi="Times New Roman" w:cs="Times New Roman"/>
          <w:i/>
          <w:color w:val="000000" w:themeColor="text1"/>
        </w:rPr>
        <w:t>animales</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vitales</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naturales</w:t>
      </w:r>
      <w:proofErr w:type="spellEnd"/>
      <w:r w:rsidRPr="009D7635">
        <w:rPr>
          <w:rFonts w:ascii="Times New Roman" w:hAnsi="Times New Roman" w:cs="Times New Roman"/>
          <w:i/>
          <w:color w:val="000000" w:themeColor="text1"/>
        </w:rPr>
        <w:t xml:space="preserve">, et corpus ex alia </w:t>
      </w:r>
      <w:proofErr w:type="spellStart"/>
      <w:r w:rsidRPr="009D7635">
        <w:rPr>
          <w:rFonts w:ascii="Times New Roman" w:hAnsi="Times New Roman" w:cs="Times New Roman"/>
          <w:i/>
          <w:color w:val="000000" w:themeColor="text1"/>
        </w:rPr>
        <w:t>parte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habet</w:t>
      </w:r>
      <w:proofErr w:type="spellEnd"/>
      <w:r w:rsidRPr="009D7635">
        <w:rPr>
          <w:rFonts w:ascii="Times New Roman" w:hAnsi="Times New Roman" w:cs="Times New Roman"/>
          <w:i/>
          <w:color w:val="000000" w:themeColor="text1"/>
        </w:rPr>
        <w:t xml:space="preserve"> medium spiritus tres </w:t>
      </w:r>
      <w:proofErr w:type="spellStart"/>
      <w:r w:rsidRPr="009D7635">
        <w:rPr>
          <w:rFonts w:ascii="Times New Roman" w:hAnsi="Times New Roman" w:cs="Times New Roman"/>
          <w:i/>
          <w:color w:val="000000" w:themeColor="text1"/>
        </w:rPr>
        <w:t>respondentes</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istud</w:t>
      </w:r>
      <w:proofErr w:type="spellEnd"/>
      <w:r w:rsidRPr="009D7635">
        <w:rPr>
          <w:rFonts w:ascii="Times New Roman" w:hAnsi="Times New Roman" w:cs="Times New Roman"/>
          <w:i/>
          <w:color w:val="000000" w:themeColor="text1"/>
        </w:rPr>
        <w:t xml:space="preserve"> ex via qua motor et organum, quod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mobile, </w:t>
      </w:r>
      <w:proofErr w:type="spellStart"/>
      <w:r w:rsidRPr="009D7635">
        <w:rPr>
          <w:rFonts w:ascii="Times New Roman" w:hAnsi="Times New Roman" w:cs="Times New Roman"/>
          <w:i/>
          <w:color w:val="000000" w:themeColor="text1"/>
        </w:rPr>
        <w:t>coniunguntur</w:t>
      </w:r>
      <w:proofErr w:type="spellEnd"/>
      <w:r w:rsidRPr="009D7635">
        <w:rPr>
          <w:rFonts w:ascii="Times New Roman" w:hAnsi="Times New Roman" w:cs="Times New Roman"/>
          <w:i/>
          <w:color w:val="000000" w:themeColor="text1"/>
        </w:rPr>
        <w:t>.</w:t>
      </w:r>
    </w:p>
  </w:footnote>
  <w:footnote w:id="462">
    <w:p w14:paraId="495C263D" w14:textId="0B0D749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S1, Q3, T2, C1, Ar3, 1, 421.</w:t>
      </w:r>
    </w:p>
  </w:footnote>
  <w:footnote w:id="463">
    <w:p w14:paraId="6F33D6DC" w14:textId="5E02A1E5" w:rsidR="00B93ED5" w:rsidRPr="009D7635" w:rsidRDefault="00B93ED5" w:rsidP="007C038D">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42D1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S1, Q3, T2, C1, Ar3, Contra a, 421: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incorporea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motiva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cognoscitiva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separabilis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sive</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dependens</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corpus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cui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tamquam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organo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sive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perfectibili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corpus </w:t>
      </w:r>
      <w:proofErr w:type="spellStart"/>
      <w:r w:rsidRPr="009D7635">
        <w:rPr>
          <w:rFonts w:ascii="Times New Roman" w:hAnsi="Times New Roman" w:cs="Times New Roman"/>
          <w:i/>
          <w:color w:val="000000" w:themeColor="text1"/>
          <w:sz w:val="20"/>
          <w:szCs w:val="20"/>
          <w:lang w:val="en-US"/>
        </w:rPr>
        <w:t>compositum</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elementis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complexionatum</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incorporei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incorporea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motiva</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cognoscitiva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inseparabilis</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sciIicet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vegetabilis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incorporea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motiva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cognoscitiva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inseparabilis</w:t>
      </w:r>
      <w:proofErr w:type="spellEnd"/>
      <w:r w:rsidRPr="009D7635">
        <w:rPr>
          <w:rFonts w:ascii="Times New Roman" w:hAnsi="Times New Roman" w:cs="Times New Roman"/>
          <w:i/>
          <w:color w:val="000000" w:themeColor="text1"/>
          <w:sz w:val="20"/>
          <w:szCs w:val="20"/>
          <w:lang w:val="en-US"/>
        </w:rPr>
        <w:t xml:space="preserve">, scilicet </w:t>
      </w:r>
      <w:proofErr w:type="spellStart"/>
      <w:r w:rsidRPr="009D7635">
        <w:rPr>
          <w:rFonts w:ascii="Times New Roman" w:hAnsi="Times New Roman" w:cs="Times New Roman"/>
          <w:i/>
          <w:color w:val="000000" w:themeColor="text1"/>
          <w:sz w:val="20"/>
          <w:szCs w:val="20"/>
          <w:lang w:val="en-US"/>
        </w:rPr>
        <w:t>sensibilis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ita</w:t>
      </w:r>
      <w:proofErr w:type="spellEnd"/>
      <w:r w:rsidRPr="009D7635">
        <w:rPr>
          <w:rFonts w:ascii="Times New Roman" w:hAnsi="Times New Roman" w:cs="Times New Roman"/>
          <w:i/>
          <w:color w:val="000000" w:themeColor="text1"/>
          <w:sz w:val="20"/>
          <w:szCs w:val="20"/>
          <w:lang w:val="en-US"/>
        </w:rPr>
        <w:t xml:space="preserve"> duo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media. Ex </w:t>
      </w:r>
      <w:proofErr w:type="spellStart"/>
      <w:r w:rsidRPr="009D7635">
        <w:rPr>
          <w:rFonts w:ascii="Times New Roman" w:hAnsi="Times New Roman" w:cs="Times New Roman"/>
          <w:i/>
          <w:color w:val="000000" w:themeColor="text1"/>
          <w:sz w:val="20"/>
          <w:szCs w:val="20"/>
          <w:lang w:val="en-US"/>
        </w:rPr>
        <w:t>altera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corpus </w:t>
      </w:r>
      <w:proofErr w:type="spellStart"/>
      <w:r w:rsidRPr="009D7635">
        <w:rPr>
          <w:rFonts w:ascii="Times New Roman" w:hAnsi="Times New Roman" w:cs="Times New Roman"/>
          <w:i/>
          <w:color w:val="000000" w:themeColor="text1"/>
          <w:sz w:val="20"/>
          <w:szCs w:val="20"/>
          <w:lang w:val="en-US"/>
        </w:rPr>
        <w:t>compositum</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elementis</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complexionatum</w:t>
      </w:r>
      <w:proofErr w:type="spellEnd"/>
      <w:r w:rsidRPr="009D7635">
        <w:rPr>
          <w:rFonts w:ascii="Times New Roman" w:hAnsi="Times New Roman" w:cs="Times New Roman"/>
          <w:i/>
          <w:color w:val="000000" w:themeColor="text1"/>
          <w:sz w:val="20"/>
          <w:szCs w:val="20"/>
          <w:lang w:val="en-US"/>
        </w:rPr>
        <w:t xml:space="preserve">, et corpus non </w:t>
      </w:r>
      <w:proofErr w:type="spellStart"/>
      <w:r w:rsidRPr="009D7635">
        <w:rPr>
          <w:rFonts w:ascii="Times New Roman" w:hAnsi="Times New Roman" w:cs="Times New Roman"/>
          <w:i/>
          <w:color w:val="000000" w:themeColor="text1"/>
          <w:sz w:val="20"/>
          <w:szCs w:val="20"/>
          <w:lang w:val="en-US"/>
        </w:rPr>
        <w:t>compositum</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elementis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ita</w:t>
      </w:r>
      <w:proofErr w:type="spellEnd"/>
      <w:r w:rsidRPr="009D7635">
        <w:rPr>
          <w:rFonts w:ascii="Times New Roman" w:hAnsi="Times New Roman" w:cs="Times New Roman"/>
          <w:i/>
          <w:color w:val="000000" w:themeColor="text1"/>
          <w:sz w:val="20"/>
          <w:szCs w:val="20"/>
          <w:lang w:val="en-US"/>
        </w:rPr>
        <w:t xml:space="preserve"> duo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media. Et </w:t>
      </w:r>
      <w:proofErr w:type="spellStart"/>
      <w:r w:rsidRPr="009D7635">
        <w:rPr>
          <w:rFonts w:ascii="Times New Roman" w:hAnsi="Times New Roman" w:cs="Times New Roman"/>
          <w:i/>
          <w:color w:val="000000" w:themeColor="text1"/>
          <w:sz w:val="20"/>
          <w:szCs w:val="20"/>
          <w:lang w:val="en-US"/>
        </w:rPr>
        <w:t>ita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quatuor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erunt</w:t>
      </w:r>
      <w:proofErr w:type="spellEnd"/>
      <w:r w:rsidRPr="009D7635">
        <w:rPr>
          <w:rFonts w:ascii="Times New Roman" w:hAnsi="Times New Roman" w:cs="Times New Roman"/>
          <w:i/>
          <w:color w:val="000000" w:themeColor="text1"/>
          <w:sz w:val="20"/>
          <w:szCs w:val="20"/>
          <w:lang w:val="en-US"/>
        </w:rPr>
        <w:t xml:space="preserve"> media inter </w:t>
      </w:r>
      <w:proofErr w:type="spellStart"/>
      <w:r w:rsidRPr="009D7635">
        <w:rPr>
          <w:rFonts w:ascii="Times New Roman" w:hAnsi="Times New Roman" w:cs="Times New Roman"/>
          <w:i/>
          <w:color w:val="000000" w:themeColor="text1"/>
          <w:sz w:val="20"/>
          <w:szCs w:val="20"/>
          <w:lang w:val="en-US"/>
        </w:rPr>
        <w:t>animam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rationalem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suum</w:t>
      </w:r>
      <w:proofErr w:type="spellEnd"/>
      <w:r w:rsidRPr="009D7635">
        <w:rPr>
          <w:rFonts w:ascii="Times New Roman" w:hAnsi="Times New Roman" w:cs="Times New Roman"/>
          <w:i/>
          <w:color w:val="000000" w:themeColor="text1"/>
          <w:sz w:val="20"/>
          <w:szCs w:val="20"/>
          <w:lang w:val="en-US"/>
        </w:rPr>
        <w:t xml:space="preserve"> corpus, duo ex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et duo ex alia: spiritus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corpus non </w:t>
      </w:r>
      <w:proofErr w:type="spellStart"/>
      <w:r w:rsidRPr="009D7635">
        <w:rPr>
          <w:rFonts w:ascii="Times New Roman" w:hAnsi="Times New Roman" w:cs="Times New Roman"/>
          <w:i/>
          <w:color w:val="000000" w:themeColor="text1"/>
          <w:sz w:val="20"/>
          <w:szCs w:val="20"/>
          <w:lang w:val="en-US"/>
        </w:rPr>
        <w:t>compositum</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elementis</w:t>
      </w:r>
      <w:proofErr w:type="spellEnd"/>
      <w:r w:rsidRPr="009D7635">
        <w:rPr>
          <w:rFonts w:ascii="Times New Roman" w:hAnsi="Times New Roman" w:cs="Times New Roman"/>
          <w:i/>
          <w:color w:val="000000" w:themeColor="text1"/>
          <w:sz w:val="20"/>
          <w:szCs w:val="20"/>
          <w:lang w:val="en-US"/>
        </w:rPr>
        <w:t xml:space="preserve">, humor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corpus </w:t>
      </w:r>
      <w:proofErr w:type="spellStart"/>
      <w:r w:rsidRPr="009D7635">
        <w:rPr>
          <w:rFonts w:ascii="Times New Roman" w:hAnsi="Times New Roman" w:cs="Times New Roman"/>
          <w:i/>
          <w:color w:val="000000" w:themeColor="text1"/>
          <w:sz w:val="20"/>
          <w:szCs w:val="20"/>
          <w:lang w:val="en-US"/>
        </w:rPr>
        <w:t>compositum</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elementis</w:t>
      </w:r>
      <w:proofErr w:type="spellEnd"/>
      <w:r w:rsidRPr="009D7635">
        <w:rPr>
          <w:rFonts w:ascii="Times New Roman" w:hAnsi="Times New Roman" w:cs="Times New Roman"/>
          <w:i/>
          <w:color w:val="000000" w:themeColor="text1"/>
          <w:sz w:val="20"/>
          <w:szCs w:val="20"/>
          <w:lang w:val="en-US"/>
        </w:rPr>
        <w:t xml:space="preserve">, sed non </w:t>
      </w:r>
      <w:proofErr w:type="spellStart"/>
      <w:r w:rsidRPr="009D7635">
        <w:rPr>
          <w:rFonts w:ascii="Times New Roman" w:hAnsi="Times New Roman" w:cs="Times New Roman"/>
          <w:i/>
          <w:color w:val="000000" w:themeColor="text1"/>
          <w:sz w:val="20"/>
          <w:szCs w:val="20"/>
          <w:lang w:val="en-US"/>
        </w:rPr>
        <w:t>complexionatum</w:t>
      </w:r>
      <w:proofErr w:type="spellEnd"/>
      <w:r w:rsidRPr="009D7635">
        <w:rPr>
          <w:rFonts w:ascii="Times New Roman" w:hAnsi="Times New Roman" w:cs="Times New Roman"/>
          <w:i/>
          <w:color w:val="000000" w:themeColor="text1"/>
          <w:sz w:val="20"/>
          <w:szCs w:val="20"/>
          <w:lang w:val="en-US"/>
        </w:rPr>
        <w:t>.</w:t>
      </w:r>
    </w:p>
  </w:footnote>
  <w:footnote w:id="464">
    <w:p w14:paraId="32C6BAEC" w14:textId="77777777"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Richard C. Dales, </w:t>
      </w:r>
      <w:r w:rsidRPr="009D7635">
        <w:rPr>
          <w:rFonts w:ascii="Times New Roman" w:hAnsi="Times New Roman" w:cs="Times New Roman"/>
          <w:i/>
          <w:color w:val="000000" w:themeColor="text1"/>
        </w:rPr>
        <w:t>The Problem of the Rational Soul</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24.</w:t>
      </w:r>
    </w:p>
  </w:footnote>
  <w:footnote w:id="465">
    <w:p w14:paraId="0CFDB319" w14:textId="5C32448F"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S1, Q3, T2, C1, Ar2, Ad </w:t>
      </w:r>
      <w:proofErr w:type="spellStart"/>
      <w:r w:rsidRPr="009D7635">
        <w:rPr>
          <w:rFonts w:ascii="Times New Roman" w:hAnsi="Times New Roman" w:cs="Times New Roman"/>
          <w:color w:val="000000" w:themeColor="text1"/>
        </w:rPr>
        <w:t>objecta</w:t>
      </w:r>
      <w:proofErr w:type="spellEnd"/>
      <w:r w:rsidRPr="009D7635">
        <w:rPr>
          <w:rFonts w:ascii="Times New Roman" w:hAnsi="Times New Roman" w:cs="Times New Roman"/>
          <w:color w:val="000000" w:themeColor="text1"/>
        </w:rPr>
        <w:t xml:space="preserve"> 3, 420.</w:t>
      </w:r>
    </w:p>
  </w:footnote>
  <w:footnote w:id="466">
    <w:p w14:paraId="7BCC84DE" w14:textId="4AB73054"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Q1, C3, Contra 1, 429: </w:t>
      </w:r>
      <w:proofErr w:type="spellStart"/>
      <w:r w:rsidRPr="009D7635">
        <w:rPr>
          <w:rFonts w:ascii="Times New Roman" w:hAnsi="Times New Roman" w:cs="Times New Roman"/>
          <w:i/>
          <w:color w:val="000000" w:themeColor="text1"/>
        </w:rPr>
        <w:t>Omnes</w:t>
      </w:r>
      <w:proofErr w:type="spellEnd"/>
      <w:r w:rsidRPr="009D7635">
        <w:rPr>
          <w:rFonts w:ascii="Times New Roman" w:hAnsi="Times New Roman" w:cs="Times New Roman"/>
          <w:i/>
          <w:color w:val="000000" w:themeColor="text1"/>
        </w:rPr>
        <w:t xml:space="preserve"> ergo </w:t>
      </w:r>
      <w:proofErr w:type="spellStart"/>
      <w:r w:rsidRPr="009D7635">
        <w:rPr>
          <w:rFonts w:ascii="Times New Roman" w:hAnsi="Times New Roman" w:cs="Times New Roman"/>
          <w:i/>
          <w:color w:val="000000" w:themeColor="text1"/>
        </w:rPr>
        <w:t>motus</w:t>
      </w:r>
      <w:proofErr w:type="spellEnd"/>
      <w:r w:rsidRPr="009D7635">
        <w:rPr>
          <w:rFonts w:ascii="Times New Roman" w:hAnsi="Times New Roman" w:cs="Times New Roman"/>
          <w:i/>
          <w:color w:val="000000" w:themeColor="text1"/>
        </w:rPr>
        <w:t xml:space="preserve"> in </w:t>
      </w:r>
      <w:proofErr w:type="spellStart"/>
      <w:r w:rsidRPr="009D7635">
        <w:rPr>
          <w:rFonts w:ascii="Times New Roman" w:hAnsi="Times New Roman" w:cs="Times New Roman"/>
          <w:i/>
          <w:color w:val="000000" w:themeColor="text1"/>
        </w:rPr>
        <w:t>corpore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fiunt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praeexistente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motu</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cordis</w:t>
      </w:r>
      <w:proofErr w:type="spellEnd"/>
      <w:r w:rsidRPr="009D7635">
        <w:rPr>
          <w:rFonts w:ascii="Times New Roman" w:hAnsi="Times New Roman" w:cs="Times New Roman"/>
          <w:i/>
          <w:color w:val="000000" w:themeColor="text1"/>
        </w:rPr>
        <w:t>.</w:t>
      </w:r>
      <w:r w:rsidRPr="009D7635">
        <w:rPr>
          <w:rFonts w:ascii="Times New Roman" w:hAnsi="Times New Roman" w:cs="Times New Roman"/>
          <w:color w:val="000000" w:themeColor="text1"/>
        </w:rPr>
        <w:t xml:space="preserve"> </w:t>
      </w:r>
    </w:p>
  </w:footnote>
  <w:footnote w:id="467">
    <w:p w14:paraId="70124117" w14:textId="71E6989C" w:rsidR="00B93ED5" w:rsidRPr="009D7635" w:rsidRDefault="00B93ED5" w:rsidP="007C038D">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42D1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Q1, C3, 428-9. </w:t>
      </w:r>
    </w:p>
  </w:footnote>
  <w:footnote w:id="468">
    <w:p w14:paraId="717F846B" w14:textId="307C7B38"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eastAsia="Times New Roman" w:hAnsi="Times New Roman" w:cs="Times New Roman"/>
          <w:color w:val="000000" w:themeColor="text1"/>
        </w:rPr>
        <w:t>Lottin</w:t>
      </w:r>
      <w:proofErr w:type="spellEnd"/>
      <w:r w:rsidRPr="009D7635">
        <w:rPr>
          <w:rFonts w:ascii="Times New Roman" w:eastAsia="Times New Roman" w:hAnsi="Times New Roman" w:cs="Times New Roman"/>
          <w:color w:val="000000" w:themeColor="text1"/>
        </w:rPr>
        <w:t xml:space="preserve">, </w:t>
      </w:r>
      <w:r w:rsidRPr="009D7635">
        <w:rPr>
          <w:rFonts w:ascii="Times New Roman" w:hAnsi="Times New Roman" w:cs="Times New Roman"/>
          <w:i/>
          <w:color w:val="000000" w:themeColor="text1"/>
          <w:lang w:val="de-DE"/>
        </w:rPr>
        <w:t xml:space="preserve">Psychologie et </w:t>
      </w:r>
      <w:proofErr w:type="spellStart"/>
      <w:r w:rsidRPr="009D7635">
        <w:rPr>
          <w:rFonts w:ascii="Times New Roman" w:hAnsi="Times New Roman" w:cs="Times New Roman"/>
          <w:i/>
          <w:color w:val="000000" w:themeColor="text1"/>
          <w:lang w:val="de-DE"/>
        </w:rPr>
        <w:t>morale</w:t>
      </w:r>
      <w:proofErr w:type="spellEnd"/>
      <w:r w:rsidRPr="009D7635">
        <w:rPr>
          <w:rFonts w:ascii="Times New Roman" w:hAnsi="Times New Roman" w:cs="Times New Roman"/>
          <w:i/>
          <w:color w:val="000000" w:themeColor="text1"/>
          <w:lang w:val="de-DE"/>
        </w:rPr>
        <w:t xml:space="preserve"> au XII</w:t>
      </w:r>
      <w:r w:rsidRPr="009D7635">
        <w:rPr>
          <w:rFonts w:ascii="Times New Roman" w:hAnsi="Times New Roman" w:cs="Times New Roman"/>
          <w:i/>
          <w:color w:val="000000" w:themeColor="text1"/>
          <w:vertAlign w:val="superscript"/>
          <w:lang w:val="de-DE"/>
        </w:rPr>
        <w:t>e</w:t>
      </w:r>
      <w:r w:rsidRPr="009D7635">
        <w:rPr>
          <w:rFonts w:ascii="Times New Roman" w:hAnsi="Times New Roman" w:cs="Times New Roman"/>
          <w:i/>
          <w:color w:val="000000" w:themeColor="text1"/>
          <w:lang w:val="de-DE"/>
        </w:rPr>
        <w:t xml:space="preserve"> et XIII</w:t>
      </w:r>
      <w:r w:rsidRPr="009D7635">
        <w:rPr>
          <w:rFonts w:ascii="Times New Roman" w:hAnsi="Times New Roman" w:cs="Times New Roman"/>
          <w:i/>
          <w:color w:val="000000" w:themeColor="text1"/>
          <w:vertAlign w:val="superscript"/>
          <w:lang w:val="de-DE"/>
        </w:rPr>
        <w:t>e</w:t>
      </w:r>
      <w:r w:rsidRPr="009D7635">
        <w:rPr>
          <w:rFonts w:ascii="Times New Roman" w:hAnsi="Times New Roman" w:cs="Times New Roman"/>
          <w:i/>
          <w:color w:val="000000" w:themeColor="text1"/>
          <w:lang w:val="de-DE"/>
        </w:rPr>
        <w:t xml:space="preserve"> </w:t>
      </w:r>
      <w:proofErr w:type="spellStart"/>
      <w:r w:rsidRPr="009D7635">
        <w:rPr>
          <w:rFonts w:ascii="Times New Roman" w:hAnsi="Times New Roman" w:cs="Times New Roman"/>
          <w:i/>
          <w:color w:val="000000" w:themeColor="text1"/>
          <w:lang w:val="de-DE"/>
        </w:rPr>
        <w:t>siècles</w:t>
      </w:r>
      <w:proofErr w:type="spellEnd"/>
      <w:r w:rsidRPr="009D7635">
        <w:rPr>
          <w:rFonts w:ascii="Times New Roman" w:hAnsi="Times New Roman" w:cs="Times New Roman"/>
          <w:color w:val="000000" w:themeColor="text1"/>
          <w:lang w:val="de-DE"/>
        </w:rPr>
        <w:t>, vol. 1 (</w:t>
      </w:r>
      <w:proofErr w:type="spellStart"/>
      <w:r w:rsidRPr="009D7635">
        <w:rPr>
          <w:rFonts w:ascii="Times New Roman" w:hAnsi="Times New Roman" w:cs="Times New Roman"/>
          <w:color w:val="000000" w:themeColor="text1"/>
        </w:rPr>
        <w:t>Gembloux</w:t>
      </w:r>
      <w:proofErr w:type="spellEnd"/>
      <w:r w:rsidRPr="009D7635">
        <w:rPr>
          <w:rFonts w:ascii="Times New Roman" w:hAnsi="Times New Roman" w:cs="Times New Roman"/>
          <w:color w:val="000000" w:themeColor="text1"/>
        </w:rPr>
        <w:t xml:space="preserve">: J. </w:t>
      </w:r>
      <w:proofErr w:type="spellStart"/>
      <w:r w:rsidRPr="009D7635">
        <w:rPr>
          <w:rFonts w:ascii="Times New Roman" w:hAnsi="Times New Roman" w:cs="Times New Roman"/>
          <w:color w:val="000000" w:themeColor="text1"/>
        </w:rPr>
        <w:t>Duculot</w:t>
      </w:r>
      <w:proofErr w:type="spellEnd"/>
      <w:r w:rsidRPr="009D7635">
        <w:rPr>
          <w:rFonts w:ascii="Times New Roman" w:hAnsi="Times New Roman" w:cs="Times New Roman"/>
          <w:color w:val="000000" w:themeColor="text1"/>
        </w:rPr>
        <w:t>, 1957</w:t>
      </w:r>
      <w:r w:rsidRPr="009D7635">
        <w:rPr>
          <w:rFonts w:ascii="Times New Roman" w:hAnsi="Times New Roman" w:cs="Times New Roman"/>
          <w:color w:val="000000" w:themeColor="text1"/>
          <w:lang w:val="de-DE"/>
        </w:rPr>
        <w:t xml:space="preserve">), </w:t>
      </w:r>
      <w:r w:rsidRPr="009D7635">
        <w:rPr>
          <w:rFonts w:ascii="Times New Roman" w:eastAsia="Times New Roman" w:hAnsi="Times New Roman" w:cs="Times New Roman"/>
          <w:color w:val="000000" w:themeColor="text1"/>
        </w:rPr>
        <w:t>463-79</w:t>
      </w:r>
      <w:r w:rsidR="00B556AC" w:rsidRPr="009D7635">
        <w:rPr>
          <w:rFonts w:ascii="Times New Roman" w:eastAsia="Times New Roman" w:hAnsi="Times New Roman" w:cs="Times New Roman"/>
          <w:color w:val="000000" w:themeColor="text1"/>
        </w:rPr>
        <w:t>.</w:t>
      </w:r>
    </w:p>
  </w:footnote>
  <w:footnote w:id="469">
    <w:p w14:paraId="2C849F3D" w14:textId="22A6F2D3" w:rsidR="006E1ABF" w:rsidRPr="009D7635" w:rsidRDefault="006E1ABF" w:rsidP="00CD179E">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On this subject, see Dominik Perler,</w:t>
      </w:r>
      <w:r w:rsidR="006D0182" w:rsidRPr="009D7635">
        <w:rPr>
          <w:rFonts w:ascii="Times New Roman" w:hAnsi="Times New Roman" w:cs="Times New Roman"/>
          <w:color w:val="000000" w:themeColor="text1"/>
          <w:sz w:val="20"/>
          <w:szCs w:val="20"/>
        </w:rPr>
        <w:t xml:space="preserve"> ‘How Many Souls Do I Have? Late Aristotelian Debates on the Plurality of Faculties.’ In </w:t>
      </w:r>
      <w:r w:rsidR="006D0182" w:rsidRPr="009D7635">
        <w:rPr>
          <w:rFonts w:ascii="Times New Roman" w:hAnsi="Times New Roman" w:cs="Times New Roman"/>
          <w:i/>
          <w:iCs/>
          <w:color w:val="000000" w:themeColor="text1"/>
          <w:sz w:val="20"/>
          <w:szCs w:val="20"/>
        </w:rPr>
        <w:t>Medieval Perspectives on Aristotle’s De anima</w:t>
      </w:r>
      <w:r w:rsidR="006D0182" w:rsidRPr="009D7635">
        <w:rPr>
          <w:rFonts w:ascii="Times New Roman" w:hAnsi="Times New Roman" w:cs="Times New Roman"/>
          <w:color w:val="000000" w:themeColor="text1"/>
          <w:sz w:val="20"/>
          <w:szCs w:val="20"/>
        </w:rPr>
        <w:t xml:space="preserve">, ed. R. Friedman &amp; J.-M. </w:t>
      </w:r>
      <w:proofErr w:type="spellStart"/>
      <w:r w:rsidR="006D0182" w:rsidRPr="009D7635">
        <w:rPr>
          <w:rFonts w:ascii="Times New Roman" w:hAnsi="Times New Roman" w:cs="Times New Roman"/>
          <w:color w:val="000000" w:themeColor="text1"/>
          <w:sz w:val="20"/>
          <w:szCs w:val="20"/>
        </w:rPr>
        <w:t>Counet</w:t>
      </w:r>
      <w:proofErr w:type="spellEnd"/>
      <w:r w:rsidR="00CD179E" w:rsidRPr="009D7635">
        <w:rPr>
          <w:rFonts w:ascii="Times New Roman" w:hAnsi="Times New Roman" w:cs="Times New Roman"/>
          <w:color w:val="000000" w:themeColor="text1"/>
          <w:sz w:val="20"/>
          <w:szCs w:val="20"/>
        </w:rPr>
        <w:t xml:space="preserve"> (</w:t>
      </w:r>
      <w:proofErr w:type="spellStart"/>
      <w:r w:rsidR="006D0182" w:rsidRPr="009D7635">
        <w:rPr>
          <w:rFonts w:ascii="Times New Roman" w:hAnsi="Times New Roman" w:cs="Times New Roman"/>
          <w:color w:val="000000" w:themeColor="text1"/>
          <w:sz w:val="20"/>
          <w:szCs w:val="20"/>
        </w:rPr>
        <w:t>Louvain</w:t>
      </w:r>
      <w:proofErr w:type="spellEnd"/>
      <w:r w:rsidR="006D0182" w:rsidRPr="009D7635">
        <w:rPr>
          <w:rFonts w:ascii="Times New Roman" w:hAnsi="Times New Roman" w:cs="Times New Roman"/>
          <w:color w:val="000000" w:themeColor="text1"/>
          <w:sz w:val="20"/>
          <w:szCs w:val="20"/>
        </w:rPr>
        <w:t>: Peeters 2013</w:t>
      </w:r>
      <w:r w:rsidR="00CD179E" w:rsidRPr="009D7635">
        <w:rPr>
          <w:rFonts w:ascii="Times New Roman" w:hAnsi="Times New Roman" w:cs="Times New Roman"/>
          <w:color w:val="000000" w:themeColor="text1"/>
          <w:sz w:val="20"/>
          <w:szCs w:val="20"/>
        </w:rPr>
        <w:t>)</w:t>
      </w:r>
      <w:r w:rsidR="006D0182" w:rsidRPr="009D7635">
        <w:rPr>
          <w:rFonts w:ascii="Times New Roman" w:hAnsi="Times New Roman" w:cs="Times New Roman"/>
          <w:color w:val="000000" w:themeColor="text1"/>
          <w:sz w:val="20"/>
          <w:szCs w:val="20"/>
        </w:rPr>
        <w:t>, 277-296</w:t>
      </w:r>
      <w:r w:rsidR="00CD179E" w:rsidRPr="009D7635">
        <w:rPr>
          <w:rFonts w:ascii="Times New Roman" w:hAnsi="Times New Roman" w:cs="Times New Roman"/>
          <w:color w:val="000000" w:themeColor="text1"/>
          <w:sz w:val="20"/>
          <w:szCs w:val="20"/>
        </w:rPr>
        <w:t>; ‘</w:t>
      </w:r>
      <w:r w:rsidR="006D0182" w:rsidRPr="009D7635">
        <w:rPr>
          <w:rFonts w:ascii="Times New Roman" w:hAnsi="Times New Roman" w:cs="Times New Roman"/>
          <w:color w:val="000000" w:themeColor="text1"/>
          <w:sz w:val="20"/>
          <w:szCs w:val="20"/>
        </w:rPr>
        <w:t>What Are Faculties of the Soul? Descartes and His Scholastic Background</w:t>
      </w:r>
      <w:r w:rsidR="00CD179E" w:rsidRPr="009D7635">
        <w:rPr>
          <w:rFonts w:ascii="Times New Roman" w:hAnsi="Times New Roman" w:cs="Times New Roman"/>
          <w:color w:val="000000" w:themeColor="text1"/>
          <w:sz w:val="20"/>
          <w:szCs w:val="20"/>
        </w:rPr>
        <w:t>,’</w:t>
      </w:r>
      <w:r w:rsidR="006D0182" w:rsidRPr="009D7635">
        <w:rPr>
          <w:rFonts w:ascii="Times New Roman" w:hAnsi="Times New Roman" w:cs="Times New Roman"/>
          <w:color w:val="000000" w:themeColor="text1"/>
          <w:sz w:val="20"/>
          <w:szCs w:val="20"/>
        </w:rPr>
        <w:t xml:space="preserve"> </w:t>
      </w:r>
      <w:r w:rsidR="006D0182" w:rsidRPr="009D7635">
        <w:rPr>
          <w:rFonts w:ascii="Times New Roman" w:hAnsi="Times New Roman" w:cs="Times New Roman"/>
          <w:i/>
          <w:iCs/>
          <w:color w:val="000000" w:themeColor="text1"/>
          <w:sz w:val="20"/>
          <w:szCs w:val="20"/>
        </w:rPr>
        <w:t xml:space="preserve">Proceedings of the British Academy </w:t>
      </w:r>
      <w:r w:rsidR="006D0182" w:rsidRPr="009D7635">
        <w:rPr>
          <w:rFonts w:ascii="Times New Roman" w:hAnsi="Times New Roman" w:cs="Times New Roman"/>
          <w:color w:val="000000" w:themeColor="text1"/>
          <w:sz w:val="20"/>
          <w:szCs w:val="20"/>
        </w:rPr>
        <w:t>189 (2013)</w:t>
      </w:r>
      <w:r w:rsidR="00A820DC" w:rsidRPr="009D7635">
        <w:rPr>
          <w:rFonts w:ascii="Times New Roman" w:hAnsi="Times New Roman" w:cs="Times New Roman"/>
          <w:color w:val="000000" w:themeColor="text1"/>
          <w:sz w:val="20"/>
          <w:szCs w:val="20"/>
        </w:rPr>
        <w:t>:</w:t>
      </w:r>
      <w:r w:rsidR="006D0182" w:rsidRPr="009D7635">
        <w:rPr>
          <w:rFonts w:ascii="Times New Roman" w:hAnsi="Times New Roman" w:cs="Times New Roman"/>
          <w:color w:val="000000" w:themeColor="text1"/>
          <w:sz w:val="20"/>
          <w:szCs w:val="20"/>
        </w:rPr>
        <w:t xml:space="preserve"> 9-38</w:t>
      </w:r>
      <w:r w:rsidR="00CD179E" w:rsidRPr="009D7635">
        <w:rPr>
          <w:rFonts w:ascii="Times New Roman" w:hAnsi="Times New Roman" w:cs="Times New Roman"/>
          <w:color w:val="000000" w:themeColor="text1"/>
          <w:sz w:val="20"/>
          <w:szCs w:val="20"/>
        </w:rPr>
        <w:t>.</w:t>
      </w:r>
    </w:p>
  </w:footnote>
  <w:footnote w:id="470">
    <w:p w14:paraId="4407F62E" w14:textId="77777777" w:rsidR="00B93ED5" w:rsidRPr="009D7635" w:rsidRDefault="00B93ED5" w:rsidP="00CD179E">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Gregory of </w:t>
      </w:r>
      <w:proofErr w:type="spellStart"/>
      <w:r w:rsidRPr="009D7635">
        <w:rPr>
          <w:rFonts w:ascii="Times New Roman" w:hAnsi="Times New Roman" w:cs="Times New Roman"/>
          <w:color w:val="000000" w:themeColor="text1"/>
        </w:rPr>
        <w:t>Nyssa</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opificio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hominis</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(PG 44, 124-256), trans. H.A. Wilson in </w:t>
      </w:r>
      <w:r w:rsidRPr="009D7635">
        <w:rPr>
          <w:rFonts w:ascii="Times New Roman" w:hAnsi="Times New Roman" w:cs="Times New Roman"/>
          <w:i/>
          <w:color w:val="000000" w:themeColor="text1"/>
        </w:rPr>
        <w:t xml:space="preserve">On the Making of Man </w:t>
      </w:r>
      <w:r w:rsidRPr="009D7635">
        <w:rPr>
          <w:rFonts w:ascii="Times New Roman" w:hAnsi="Times New Roman" w:cs="Times New Roman"/>
          <w:color w:val="000000" w:themeColor="text1"/>
        </w:rPr>
        <w:t xml:space="preserve">(New York: Christian Literature Company, 1893), 14.2-3, 15.2. </w:t>
      </w:r>
    </w:p>
  </w:footnote>
  <w:footnote w:id="471">
    <w:p w14:paraId="007C1F8D" w14:textId="5C128A01" w:rsidR="00B93ED5" w:rsidRPr="009D7635" w:rsidRDefault="00B93ED5" w:rsidP="00CD179E">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Judith Carol Wilcox, ‘The Transmission and Influence of </w:t>
      </w:r>
      <w:proofErr w:type="spellStart"/>
      <w:r w:rsidRPr="009D7635">
        <w:rPr>
          <w:rFonts w:ascii="Times New Roman" w:hAnsi="Times New Roman" w:cs="Times New Roman"/>
          <w:color w:val="000000" w:themeColor="text1"/>
          <w:lang w:val="en-US"/>
        </w:rPr>
        <w:t>Questa</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ibn</w:t>
      </w:r>
      <w:proofErr w:type="spellEnd"/>
      <w:r w:rsidRPr="009D7635">
        <w:rPr>
          <w:rFonts w:ascii="Times New Roman" w:hAnsi="Times New Roman" w:cs="Times New Roman"/>
          <w:color w:val="000000" w:themeColor="text1"/>
          <w:lang w:val="en-US"/>
        </w:rPr>
        <w:t xml:space="preserve"> Luca’s </w:t>
      </w:r>
      <w:r w:rsidRPr="009D7635">
        <w:rPr>
          <w:rFonts w:ascii="Times New Roman" w:hAnsi="Times New Roman" w:cs="Times New Roman"/>
          <w:i/>
          <w:color w:val="000000" w:themeColor="text1"/>
          <w:lang w:val="en-US"/>
        </w:rPr>
        <w:t xml:space="preserve">On the Difference </w:t>
      </w:r>
      <w:r w:rsidR="00F22358" w:rsidRPr="009D7635">
        <w:rPr>
          <w:rFonts w:ascii="Times New Roman" w:hAnsi="Times New Roman" w:cs="Times New Roman"/>
          <w:i/>
          <w:color w:val="000000" w:themeColor="text1"/>
          <w:lang w:val="en-US"/>
        </w:rPr>
        <w:t>B</w:t>
      </w:r>
      <w:r w:rsidRPr="009D7635">
        <w:rPr>
          <w:rFonts w:ascii="Times New Roman" w:hAnsi="Times New Roman" w:cs="Times New Roman"/>
          <w:i/>
          <w:color w:val="000000" w:themeColor="text1"/>
          <w:lang w:val="en-US"/>
        </w:rPr>
        <w:t>etween Spirit and the Soul</w:t>
      </w:r>
      <w:r w:rsidRPr="009D7635">
        <w:rPr>
          <w:rFonts w:ascii="Times New Roman" w:hAnsi="Times New Roman" w:cs="Times New Roman"/>
          <w:color w:val="000000" w:themeColor="text1"/>
          <w:lang w:val="en-US"/>
        </w:rPr>
        <w:t>,’ PhD dissertation (Ann Arbor: UMI, 1985),</w:t>
      </w:r>
      <w:r w:rsidRPr="009D7635">
        <w:rPr>
          <w:rFonts w:ascii="Times New Roman" w:hAnsi="Times New Roman" w:cs="Times New Roman"/>
          <w:color w:val="000000" w:themeColor="text1"/>
        </w:rPr>
        <w:t xml:space="preserve"> 229.</w:t>
      </w:r>
    </w:p>
  </w:footnote>
  <w:footnote w:id="472">
    <w:p w14:paraId="34D319B9" w14:textId="6C64B14F" w:rsidR="00B93ED5" w:rsidRPr="009D7635" w:rsidRDefault="00B93ED5" w:rsidP="004C1CD7">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See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in </w:t>
      </w:r>
      <w:r w:rsidRPr="009D7635">
        <w:rPr>
          <w:rFonts w:ascii="Times New Roman" w:hAnsi="Times New Roman" w:cs="Times New Roman"/>
          <w:i/>
          <w:color w:val="000000" w:themeColor="text1"/>
          <w:sz w:val="20"/>
          <w:szCs w:val="20"/>
          <w:lang w:val="de-DE"/>
        </w:rPr>
        <w:t xml:space="preserve">Psychologie et </w:t>
      </w:r>
      <w:proofErr w:type="spellStart"/>
      <w:r w:rsidRPr="009D7635">
        <w:rPr>
          <w:rFonts w:ascii="Times New Roman" w:hAnsi="Times New Roman" w:cs="Times New Roman"/>
          <w:i/>
          <w:color w:val="000000" w:themeColor="text1"/>
          <w:sz w:val="20"/>
          <w:szCs w:val="20"/>
          <w:lang w:val="de-DE"/>
        </w:rPr>
        <w:t>morale</w:t>
      </w:r>
      <w:proofErr w:type="spellEnd"/>
      <w:r w:rsidRPr="009D7635">
        <w:rPr>
          <w:rFonts w:ascii="Times New Roman" w:hAnsi="Times New Roman" w:cs="Times New Roman"/>
          <w:color w:val="000000" w:themeColor="text1"/>
          <w:sz w:val="20"/>
          <w:szCs w:val="20"/>
          <w:lang w:val="de-DE"/>
        </w:rPr>
        <w:t xml:space="preserve">, vol. 1, </w:t>
      </w:r>
      <w:r w:rsidRPr="009D7635">
        <w:rPr>
          <w:rFonts w:ascii="Times New Roman" w:hAnsi="Times New Roman" w:cs="Times New Roman"/>
          <w:color w:val="000000" w:themeColor="text1"/>
          <w:sz w:val="20"/>
          <w:szCs w:val="20"/>
        </w:rPr>
        <w:t xml:space="preserve">459. </w:t>
      </w:r>
      <w:r w:rsidRPr="009D7635">
        <w:rPr>
          <w:rFonts w:ascii="Times New Roman" w:hAnsi="Times New Roman" w:cs="Times New Roman"/>
          <w:color w:val="000000" w:themeColor="text1"/>
          <w:sz w:val="20"/>
          <w:szCs w:val="20"/>
          <w:lang w:val="en-US"/>
        </w:rPr>
        <w:t xml:space="preserve">M. </w:t>
      </w:r>
      <w:proofErr w:type="spellStart"/>
      <w:r w:rsidRPr="009D7635">
        <w:rPr>
          <w:rFonts w:ascii="Times New Roman" w:hAnsi="Times New Roman" w:cs="Times New Roman"/>
          <w:color w:val="000000" w:themeColor="text1"/>
          <w:sz w:val="20"/>
          <w:szCs w:val="20"/>
          <w:lang w:val="en-US"/>
        </w:rPr>
        <w:t>Wittmann</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Die </w:t>
      </w:r>
      <w:proofErr w:type="spellStart"/>
      <w:r w:rsidRPr="009D7635">
        <w:rPr>
          <w:rFonts w:ascii="Times New Roman" w:hAnsi="Times New Roman" w:cs="Times New Roman"/>
          <w:i/>
          <w:color w:val="000000" w:themeColor="text1"/>
          <w:sz w:val="20"/>
          <w:szCs w:val="20"/>
          <w:lang w:val="en-US"/>
        </w:rPr>
        <w:t>Stellung</w:t>
      </w:r>
      <w:proofErr w:type="spellEnd"/>
      <w:r w:rsidRPr="009D7635">
        <w:rPr>
          <w:rFonts w:ascii="Times New Roman" w:hAnsi="Times New Roman" w:cs="Times New Roman"/>
          <w:i/>
          <w:color w:val="000000" w:themeColor="text1"/>
          <w:sz w:val="20"/>
          <w:szCs w:val="20"/>
          <w:lang w:val="en-US"/>
        </w:rPr>
        <w:t xml:space="preserve"> des hl. Thomas von </w:t>
      </w:r>
      <w:proofErr w:type="spellStart"/>
      <w:r w:rsidRPr="009D7635">
        <w:rPr>
          <w:rFonts w:ascii="Times New Roman" w:hAnsi="Times New Roman" w:cs="Times New Roman"/>
          <w:i/>
          <w:color w:val="000000" w:themeColor="text1"/>
          <w:sz w:val="20"/>
          <w:szCs w:val="20"/>
          <w:lang w:val="en-US"/>
        </w:rPr>
        <w:t>Aquin</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zu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Avencebrol</w:t>
      </w:r>
      <w:proofErr w:type="spellEnd"/>
      <w:r w:rsidRPr="009D7635">
        <w:rPr>
          <w:rFonts w:ascii="Times New Roman" w:hAnsi="Times New Roman" w:cs="Times New Roman"/>
          <w:i/>
          <w:color w:val="000000" w:themeColor="text1"/>
          <w:sz w:val="20"/>
          <w:szCs w:val="20"/>
          <w:lang w:val="en-US"/>
        </w:rPr>
        <w:t xml:space="preserve"> (Ibn</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Gebirol</w:t>
      </w:r>
      <w:proofErr w:type="spellEnd"/>
      <w:r w:rsidRPr="009D7635">
        <w:rPr>
          <w:rFonts w:ascii="Times New Roman" w:hAnsi="Times New Roman" w:cs="Times New Roman"/>
          <w:i/>
          <w:color w:val="000000" w:themeColor="text1"/>
          <w:sz w:val="20"/>
          <w:szCs w:val="20"/>
          <w:lang w:val="en-US"/>
        </w:rPr>
        <w:t>)</w:t>
      </w:r>
      <w:r w:rsidR="00A820DC"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(Munster: </w:t>
      </w:r>
      <w:proofErr w:type="spellStart"/>
      <w:r w:rsidRPr="009D7635">
        <w:rPr>
          <w:rFonts w:ascii="Times New Roman" w:hAnsi="Times New Roman" w:cs="Times New Roman"/>
          <w:color w:val="000000" w:themeColor="text1"/>
          <w:sz w:val="20"/>
          <w:szCs w:val="20"/>
          <w:lang w:val="en-US"/>
        </w:rPr>
        <w:t>Aschendorff</w:t>
      </w:r>
      <w:proofErr w:type="spellEnd"/>
      <w:r w:rsidRPr="009D7635">
        <w:rPr>
          <w:rFonts w:ascii="Times New Roman" w:hAnsi="Times New Roman" w:cs="Times New Roman"/>
          <w:color w:val="000000" w:themeColor="text1"/>
          <w:sz w:val="20"/>
          <w:szCs w:val="20"/>
          <w:lang w:val="en-US"/>
        </w:rPr>
        <w:t xml:space="preserve">, 1900), 1-32. </w:t>
      </w:r>
      <w:proofErr w:type="spellStart"/>
      <w:r w:rsidRPr="009D7635">
        <w:rPr>
          <w:rFonts w:ascii="Times New Roman" w:hAnsi="Times New Roman" w:cs="Times New Roman"/>
          <w:color w:val="000000" w:themeColor="text1"/>
          <w:sz w:val="20"/>
          <w:szCs w:val="20"/>
        </w:rPr>
        <w:t>Wittmann</w:t>
      </w:r>
      <w:proofErr w:type="spellEnd"/>
      <w:r w:rsidRPr="009D7635">
        <w:rPr>
          <w:rFonts w:ascii="Times New Roman" w:hAnsi="Times New Roman" w:cs="Times New Roman"/>
          <w:color w:val="000000" w:themeColor="text1"/>
          <w:sz w:val="20"/>
          <w:szCs w:val="20"/>
        </w:rPr>
        <w:t xml:space="preserve"> established that the plurality thesis derived from the influence of </w:t>
      </w:r>
      <w:proofErr w:type="spellStart"/>
      <w:r w:rsidRPr="009D7635">
        <w:rPr>
          <w:rFonts w:ascii="Times New Roman" w:hAnsi="Times New Roman" w:cs="Times New Roman"/>
          <w:color w:val="000000" w:themeColor="text1"/>
          <w:sz w:val="20"/>
          <w:szCs w:val="20"/>
        </w:rPr>
        <w:t>Avicebron</w:t>
      </w:r>
      <w:proofErr w:type="spellEnd"/>
      <w:r w:rsidRPr="009D7635">
        <w:rPr>
          <w:rFonts w:ascii="Times New Roman" w:hAnsi="Times New Roman" w:cs="Times New Roman"/>
          <w:color w:val="000000" w:themeColor="text1"/>
          <w:sz w:val="20"/>
          <w:szCs w:val="20"/>
        </w:rPr>
        <w:t xml:space="preserve"> channelled to the Latins by </w:t>
      </w:r>
      <w:proofErr w:type="spellStart"/>
      <w:r w:rsidRPr="009D7635">
        <w:rPr>
          <w:rFonts w:ascii="Times New Roman" w:hAnsi="Times New Roman" w:cs="Times New Roman"/>
          <w:color w:val="000000" w:themeColor="text1"/>
          <w:sz w:val="20"/>
          <w:szCs w:val="20"/>
        </w:rPr>
        <w:t>Gundissalinus</w:t>
      </w:r>
      <w:proofErr w:type="spellEnd"/>
      <w:r w:rsidRPr="009D7635">
        <w:rPr>
          <w:rFonts w:ascii="Times New Roman" w:hAnsi="Times New Roman" w:cs="Times New Roman"/>
          <w:color w:val="000000" w:themeColor="text1"/>
          <w:sz w:val="20"/>
          <w:szCs w:val="20"/>
        </w:rPr>
        <w:t xml:space="preserve">. </w:t>
      </w:r>
    </w:p>
  </w:footnote>
  <w:footnote w:id="473">
    <w:p w14:paraId="218E9C36" w14:textId="38346C3A" w:rsidR="00B93ED5" w:rsidRPr="009D7635" w:rsidRDefault="00B93ED5" w:rsidP="004C1CD7">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Theodore Crowley, </w:t>
      </w:r>
      <w:r w:rsidRPr="009D7635">
        <w:rPr>
          <w:rFonts w:ascii="Times New Roman" w:hAnsi="Times New Roman" w:cs="Times New Roman"/>
          <w:i/>
          <w:color w:val="000000" w:themeColor="text1"/>
          <w:sz w:val="20"/>
          <w:szCs w:val="20"/>
        </w:rPr>
        <w:t xml:space="preserve">Roger Bacon: The Problem of the Soul in His Philosophical Commentaries </w:t>
      </w:r>
      <w:r w:rsidRPr="009D7635">
        <w:rPr>
          <w:rFonts w:ascii="Times New Roman" w:hAnsi="Times New Roman" w:cs="Times New Roman"/>
          <w:color w:val="000000" w:themeColor="text1"/>
          <w:sz w:val="20"/>
          <w:szCs w:val="20"/>
        </w:rPr>
        <w:t xml:space="preserve">(Dublin: Maes Duffey, 1950), 136; DSEA, </w:t>
      </w:r>
      <w:r w:rsidR="0025789E" w:rsidRPr="009D7635">
        <w:rPr>
          <w:rFonts w:ascii="Times New Roman" w:hAnsi="Times New Roman" w:cs="Times New Roman"/>
          <w:color w:val="000000" w:themeColor="text1"/>
          <w:sz w:val="20"/>
          <w:szCs w:val="20"/>
        </w:rPr>
        <w:t>trans. Clark</w:t>
      </w:r>
      <w:r w:rsidRPr="009D7635">
        <w:rPr>
          <w:rFonts w:ascii="Times New Roman" w:hAnsi="Times New Roman" w:cs="Times New Roman"/>
          <w:color w:val="000000" w:themeColor="text1"/>
          <w:sz w:val="20"/>
          <w:szCs w:val="20"/>
        </w:rPr>
        <w:t xml:space="preserve">, 256. See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de-DE"/>
        </w:rPr>
        <w:t xml:space="preserve">Psychologie et </w:t>
      </w:r>
      <w:proofErr w:type="spellStart"/>
      <w:r w:rsidRPr="009D7635">
        <w:rPr>
          <w:rFonts w:ascii="Times New Roman" w:hAnsi="Times New Roman" w:cs="Times New Roman"/>
          <w:i/>
          <w:color w:val="000000" w:themeColor="text1"/>
          <w:sz w:val="20"/>
          <w:szCs w:val="20"/>
          <w:lang w:val="de-DE"/>
        </w:rPr>
        <w:t>Morale</w:t>
      </w:r>
      <w:proofErr w:type="spellEnd"/>
      <w:r w:rsidRPr="009D7635">
        <w:rPr>
          <w:rFonts w:ascii="Times New Roman" w:hAnsi="Times New Roman" w:cs="Times New Roman"/>
          <w:color w:val="000000" w:themeColor="text1"/>
          <w:sz w:val="20"/>
          <w:szCs w:val="20"/>
          <w:lang w:val="de-DE"/>
        </w:rPr>
        <w:t xml:space="preserve">, vol. 1, </w:t>
      </w:r>
      <w:r w:rsidRPr="009D7635">
        <w:rPr>
          <w:rFonts w:ascii="Times New Roman" w:hAnsi="Times New Roman" w:cs="Times New Roman"/>
          <w:color w:val="000000" w:themeColor="text1"/>
          <w:sz w:val="20"/>
          <w:szCs w:val="20"/>
        </w:rPr>
        <w:t xml:space="preserve">449 and ‘La composition </w:t>
      </w:r>
      <w:proofErr w:type="spellStart"/>
      <w:r w:rsidRPr="009D7635">
        <w:rPr>
          <w:rFonts w:ascii="Times New Roman" w:hAnsi="Times New Roman" w:cs="Times New Roman"/>
          <w:color w:val="000000" w:themeColor="text1"/>
          <w:sz w:val="20"/>
          <w:szCs w:val="20"/>
        </w:rPr>
        <w:t>hylémorphique</w:t>
      </w:r>
      <w:proofErr w:type="spellEnd"/>
      <w:r w:rsidRPr="009D7635">
        <w:rPr>
          <w:rFonts w:ascii="Times New Roman" w:hAnsi="Times New Roman" w:cs="Times New Roman"/>
          <w:color w:val="000000" w:themeColor="text1"/>
          <w:sz w:val="20"/>
          <w:szCs w:val="20"/>
        </w:rPr>
        <w:t xml:space="preserve"> des substances </w:t>
      </w:r>
      <w:proofErr w:type="spellStart"/>
      <w:r w:rsidRPr="009D7635">
        <w:rPr>
          <w:rFonts w:ascii="Times New Roman" w:hAnsi="Times New Roman" w:cs="Times New Roman"/>
          <w:color w:val="000000" w:themeColor="text1"/>
          <w:sz w:val="20"/>
          <w:szCs w:val="20"/>
        </w:rPr>
        <w:t>spirituelles</w:t>
      </w:r>
      <w:proofErr w:type="spellEnd"/>
      <w:r w:rsidR="00202C2B"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Les débuts de la </w:t>
      </w:r>
      <w:proofErr w:type="spellStart"/>
      <w:r w:rsidRPr="009D7635">
        <w:rPr>
          <w:rFonts w:ascii="Times New Roman" w:hAnsi="Times New Roman" w:cs="Times New Roman"/>
          <w:color w:val="000000" w:themeColor="text1"/>
          <w:sz w:val="20"/>
          <w:szCs w:val="20"/>
        </w:rPr>
        <w:t>controverse</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Revue </w:t>
      </w:r>
      <w:proofErr w:type="spellStart"/>
      <w:r w:rsidRPr="009D7635">
        <w:rPr>
          <w:rFonts w:ascii="Times New Roman" w:hAnsi="Times New Roman" w:cs="Times New Roman"/>
          <w:i/>
          <w:color w:val="000000" w:themeColor="text1"/>
          <w:sz w:val="20"/>
          <w:szCs w:val="20"/>
          <w:lang w:val="en-US"/>
        </w:rPr>
        <w:t>néoscolastique</w:t>
      </w:r>
      <w:proofErr w:type="spellEnd"/>
      <w:r w:rsidRPr="009D7635">
        <w:rPr>
          <w:rFonts w:ascii="Times New Roman" w:hAnsi="Times New Roman" w:cs="Times New Roman"/>
          <w:i/>
          <w:color w:val="000000" w:themeColor="text1"/>
          <w:sz w:val="20"/>
          <w:szCs w:val="20"/>
          <w:lang w:val="en-US"/>
        </w:rPr>
        <w:t xml:space="preserve"> de </w:t>
      </w:r>
      <w:proofErr w:type="spellStart"/>
      <w:r w:rsidRPr="009D7635">
        <w:rPr>
          <w:rFonts w:ascii="Times New Roman" w:hAnsi="Times New Roman" w:cs="Times New Roman"/>
          <w:i/>
          <w:color w:val="000000" w:themeColor="text1"/>
          <w:sz w:val="20"/>
          <w:szCs w:val="20"/>
          <w:lang w:val="en-US"/>
        </w:rPr>
        <w:t>philosophie</w:t>
      </w:r>
      <w:proofErr w:type="spellEnd"/>
      <w:r w:rsidRPr="009D7635">
        <w:rPr>
          <w:rFonts w:ascii="Times New Roman" w:hAnsi="Times New Roman" w:cs="Times New Roman"/>
          <w:color w:val="000000" w:themeColor="text1"/>
          <w:sz w:val="20"/>
          <w:szCs w:val="20"/>
          <w:lang w:val="en-US"/>
        </w:rPr>
        <w:t xml:space="preserve"> 34 (1932)</w:t>
      </w:r>
      <w:r w:rsidR="00A820DC"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21-41. Here he observes that </w:t>
      </w:r>
      <w:proofErr w:type="spellStart"/>
      <w:r w:rsidRPr="009D7635">
        <w:rPr>
          <w:rFonts w:ascii="Times New Roman" w:hAnsi="Times New Roman" w:cs="Times New Roman"/>
          <w:color w:val="000000" w:themeColor="text1"/>
          <w:sz w:val="20"/>
          <w:szCs w:val="20"/>
          <w:lang w:val="en-US"/>
        </w:rPr>
        <w:t>Théry</w:t>
      </w:r>
      <w:proofErr w:type="spellEnd"/>
      <w:r w:rsidRPr="009D7635">
        <w:rPr>
          <w:rFonts w:ascii="Times New Roman" w:hAnsi="Times New Roman" w:cs="Times New Roman"/>
          <w:color w:val="000000" w:themeColor="text1"/>
          <w:sz w:val="20"/>
          <w:szCs w:val="20"/>
          <w:lang w:val="en-US"/>
        </w:rPr>
        <w:t xml:space="preserve">, developing the thesis of De </w:t>
      </w:r>
      <w:proofErr w:type="spellStart"/>
      <w:r w:rsidRPr="009D7635">
        <w:rPr>
          <w:rFonts w:ascii="Times New Roman" w:hAnsi="Times New Roman" w:cs="Times New Roman"/>
          <w:color w:val="000000" w:themeColor="text1"/>
          <w:sz w:val="20"/>
          <w:szCs w:val="20"/>
          <w:lang w:val="en-US"/>
        </w:rPr>
        <w:t>Wulf</w:t>
      </w:r>
      <w:proofErr w:type="spellEnd"/>
      <w:r w:rsidRPr="009D7635">
        <w:rPr>
          <w:rFonts w:ascii="Times New Roman" w:hAnsi="Times New Roman" w:cs="Times New Roman"/>
          <w:color w:val="000000" w:themeColor="text1"/>
          <w:sz w:val="20"/>
          <w:szCs w:val="20"/>
          <w:lang w:val="en-US"/>
        </w:rPr>
        <w:t xml:space="preserve">, argued that it would be wrong to see Augustine as a pluralist. G. </w:t>
      </w:r>
      <w:proofErr w:type="spellStart"/>
      <w:r w:rsidRPr="009D7635">
        <w:rPr>
          <w:rFonts w:ascii="Times New Roman" w:hAnsi="Times New Roman" w:cs="Times New Roman"/>
          <w:color w:val="000000" w:themeColor="text1"/>
          <w:sz w:val="20"/>
          <w:szCs w:val="20"/>
          <w:lang w:val="en-US"/>
        </w:rPr>
        <w:t>Théry</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w:t>
      </w:r>
      <w:proofErr w:type="spellStart"/>
      <w:r w:rsidRPr="009D7635">
        <w:rPr>
          <w:rFonts w:ascii="Times New Roman" w:hAnsi="Times New Roman" w:cs="Times New Roman"/>
          <w:color w:val="000000" w:themeColor="text1"/>
          <w:sz w:val="20"/>
          <w:szCs w:val="20"/>
          <w:lang w:val="en-US"/>
        </w:rPr>
        <w:t>L'Augustinisme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médiéval</w:t>
      </w:r>
      <w:proofErr w:type="spellEnd"/>
      <w:r w:rsidRPr="009D7635">
        <w:rPr>
          <w:rFonts w:ascii="Times New Roman" w:hAnsi="Times New Roman" w:cs="Times New Roman"/>
          <w:color w:val="000000" w:themeColor="text1"/>
          <w:sz w:val="20"/>
          <w:szCs w:val="20"/>
          <w:lang w:val="en-US"/>
        </w:rPr>
        <w:t xml:space="preserve"> et </w:t>
      </w:r>
      <w:proofErr w:type="spellStart"/>
      <w:r w:rsidRPr="009D7635">
        <w:rPr>
          <w:rFonts w:ascii="Times New Roman" w:hAnsi="Times New Roman" w:cs="Times New Roman"/>
          <w:color w:val="000000" w:themeColor="text1"/>
          <w:sz w:val="20"/>
          <w:szCs w:val="20"/>
          <w:lang w:val="en-US"/>
        </w:rPr>
        <w:t>le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problème</w:t>
      </w:r>
      <w:proofErr w:type="spellEnd"/>
      <w:r w:rsidRPr="009D7635">
        <w:rPr>
          <w:rFonts w:ascii="Times New Roman" w:hAnsi="Times New Roman" w:cs="Times New Roman"/>
          <w:color w:val="000000" w:themeColor="text1"/>
          <w:sz w:val="20"/>
          <w:szCs w:val="20"/>
          <w:lang w:val="en-US"/>
        </w:rPr>
        <w:t xml:space="preserve"> de </w:t>
      </w:r>
      <w:proofErr w:type="spellStart"/>
      <w:r w:rsidRPr="009D7635">
        <w:rPr>
          <w:rFonts w:ascii="Times New Roman" w:hAnsi="Times New Roman" w:cs="Times New Roman"/>
          <w:color w:val="000000" w:themeColor="text1"/>
          <w:sz w:val="20"/>
          <w:szCs w:val="20"/>
          <w:lang w:val="en-US"/>
        </w:rPr>
        <w:t>l'unité</w:t>
      </w:r>
      <w:proofErr w:type="spellEnd"/>
      <w:r w:rsidRPr="009D7635">
        <w:rPr>
          <w:rFonts w:ascii="Times New Roman" w:hAnsi="Times New Roman" w:cs="Times New Roman"/>
          <w:color w:val="000000" w:themeColor="text1"/>
          <w:sz w:val="20"/>
          <w:szCs w:val="20"/>
          <w:lang w:val="en-US"/>
        </w:rPr>
        <w:t xml:space="preserve"> de la </w:t>
      </w:r>
      <w:proofErr w:type="spellStart"/>
      <w:r w:rsidRPr="009D7635">
        <w:rPr>
          <w:rFonts w:ascii="Times New Roman" w:hAnsi="Times New Roman" w:cs="Times New Roman"/>
          <w:color w:val="000000" w:themeColor="text1"/>
          <w:sz w:val="20"/>
          <w:szCs w:val="20"/>
          <w:lang w:val="en-US"/>
        </w:rPr>
        <w:t>forme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substantielle</w:t>
      </w:r>
      <w:proofErr w:type="spellEnd"/>
      <w:r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rPr>
        <w:t xml:space="preserve">’ in </w:t>
      </w:r>
      <w:r w:rsidRPr="009D7635">
        <w:rPr>
          <w:rFonts w:ascii="Times New Roman" w:hAnsi="Times New Roman" w:cs="Times New Roman"/>
          <w:i/>
          <w:color w:val="000000" w:themeColor="text1"/>
          <w:sz w:val="20"/>
          <w:szCs w:val="20"/>
          <w:lang w:val="en-US"/>
        </w:rPr>
        <w:t xml:space="preserve">Revue de </w:t>
      </w:r>
      <w:proofErr w:type="spellStart"/>
      <w:r w:rsidRPr="009D7635">
        <w:rPr>
          <w:rFonts w:ascii="Times New Roman" w:hAnsi="Times New Roman" w:cs="Times New Roman"/>
          <w:i/>
          <w:color w:val="000000" w:themeColor="text1"/>
          <w:sz w:val="20"/>
          <w:szCs w:val="20"/>
          <w:lang w:val="en-US"/>
        </w:rPr>
        <w:t>Philosophie</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1:660 (1930)</w:t>
      </w:r>
      <w:r w:rsidR="00A820DC"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140-200. See also Maurice De </w:t>
      </w:r>
      <w:proofErr w:type="spellStart"/>
      <w:r w:rsidRPr="009D7635">
        <w:rPr>
          <w:rFonts w:ascii="Times New Roman" w:hAnsi="Times New Roman" w:cs="Times New Roman"/>
          <w:color w:val="000000" w:themeColor="text1"/>
          <w:sz w:val="20"/>
          <w:szCs w:val="20"/>
          <w:lang w:val="en-US"/>
        </w:rPr>
        <w:t>Wulf</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lang w:val="en-US"/>
        </w:rPr>
        <w:t xml:space="preserve">Le </w:t>
      </w:r>
      <w:proofErr w:type="spellStart"/>
      <w:r w:rsidRPr="009D7635">
        <w:rPr>
          <w:rFonts w:ascii="Times New Roman" w:hAnsi="Times New Roman" w:cs="Times New Roman"/>
          <w:color w:val="000000" w:themeColor="text1"/>
          <w:sz w:val="20"/>
          <w:szCs w:val="20"/>
          <w:lang w:val="en-US"/>
        </w:rPr>
        <w:t>traité</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unitate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jormae</w:t>
      </w:r>
      <w:proofErr w:type="spellEnd"/>
      <w:r w:rsidRPr="009D7635">
        <w:rPr>
          <w:rFonts w:ascii="Times New Roman" w:hAnsi="Times New Roman" w:cs="Times New Roman"/>
          <w:color w:val="000000" w:themeColor="text1"/>
          <w:sz w:val="20"/>
          <w:szCs w:val="20"/>
          <w:lang w:val="en-US"/>
        </w:rPr>
        <w:t xml:space="preserve"> de Gilles de </w:t>
      </w:r>
      <w:proofErr w:type="spellStart"/>
      <w:r w:rsidRPr="009D7635">
        <w:rPr>
          <w:rFonts w:ascii="Times New Roman" w:hAnsi="Times New Roman" w:cs="Times New Roman"/>
          <w:color w:val="000000" w:themeColor="text1"/>
          <w:sz w:val="20"/>
          <w:szCs w:val="20"/>
          <w:lang w:val="en-US"/>
        </w:rPr>
        <w:t>Lessines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Texte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inédit</w:t>
      </w:r>
      <w:proofErr w:type="spellEnd"/>
      <w:r w:rsidRPr="009D7635">
        <w:rPr>
          <w:rFonts w:ascii="Times New Roman" w:hAnsi="Times New Roman" w:cs="Times New Roman"/>
          <w:color w:val="000000" w:themeColor="text1"/>
          <w:sz w:val="20"/>
          <w:szCs w:val="20"/>
          <w:lang w:val="en-US"/>
        </w:rPr>
        <w:t xml:space="preserve"> et étude), in </w:t>
      </w:r>
      <w:r w:rsidRPr="009D7635">
        <w:rPr>
          <w:rFonts w:ascii="Times New Roman" w:hAnsi="Times New Roman" w:cs="Times New Roman"/>
          <w:i/>
          <w:color w:val="000000" w:themeColor="text1"/>
          <w:sz w:val="20"/>
          <w:szCs w:val="20"/>
          <w:lang w:val="en-US"/>
        </w:rPr>
        <w:t xml:space="preserve">Les </w:t>
      </w:r>
      <w:proofErr w:type="spellStart"/>
      <w:r w:rsidRPr="009D7635">
        <w:rPr>
          <w:rFonts w:ascii="Times New Roman" w:hAnsi="Times New Roman" w:cs="Times New Roman"/>
          <w:i/>
          <w:color w:val="000000" w:themeColor="text1"/>
          <w:sz w:val="20"/>
          <w:szCs w:val="20"/>
          <w:lang w:val="en-US"/>
        </w:rPr>
        <w:t>Philosophes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Belges</w:t>
      </w:r>
      <w:proofErr w:type="spellEnd"/>
      <w:r w:rsidRPr="009D7635">
        <w:rPr>
          <w:rFonts w:ascii="Times New Roman" w:hAnsi="Times New Roman" w:cs="Times New Roman"/>
          <w:color w:val="000000" w:themeColor="text1"/>
          <w:sz w:val="20"/>
          <w:szCs w:val="20"/>
          <w:lang w:val="en-US"/>
        </w:rPr>
        <w:t>, t. 1 (</w:t>
      </w:r>
      <w:proofErr w:type="spellStart"/>
      <w:r w:rsidRPr="009D7635">
        <w:rPr>
          <w:rFonts w:ascii="Times New Roman" w:hAnsi="Times New Roman" w:cs="Times New Roman"/>
          <w:color w:val="000000" w:themeColor="text1"/>
          <w:sz w:val="20"/>
          <w:szCs w:val="20"/>
          <w:lang w:val="en-US"/>
        </w:rPr>
        <w:t>Louvain</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Institut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Supérior</w:t>
      </w:r>
      <w:proofErr w:type="spellEnd"/>
      <w:r w:rsidRPr="009D7635">
        <w:rPr>
          <w:rFonts w:ascii="Times New Roman" w:hAnsi="Times New Roman" w:cs="Times New Roman"/>
          <w:color w:val="000000" w:themeColor="text1"/>
          <w:sz w:val="20"/>
          <w:szCs w:val="20"/>
          <w:lang w:val="en-US"/>
        </w:rPr>
        <w:t xml:space="preserve"> de </w:t>
      </w:r>
      <w:proofErr w:type="spellStart"/>
      <w:r w:rsidRPr="009D7635">
        <w:rPr>
          <w:rFonts w:ascii="Times New Roman" w:hAnsi="Times New Roman" w:cs="Times New Roman"/>
          <w:color w:val="000000" w:themeColor="text1"/>
          <w:sz w:val="20"/>
          <w:szCs w:val="20"/>
          <w:lang w:val="en-US"/>
        </w:rPr>
        <w:t>Philosophie</w:t>
      </w:r>
      <w:proofErr w:type="spellEnd"/>
      <w:r w:rsidRPr="009D7635">
        <w:rPr>
          <w:rFonts w:ascii="Times New Roman" w:hAnsi="Times New Roman" w:cs="Times New Roman"/>
          <w:color w:val="000000" w:themeColor="text1"/>
          <w:sz w:val="20"/>
          <w:szCs w:val="20"/>
          <w:lang w:val="en-US"/>
        </w:rPr>
        <w:t xml:space="preserve"> de l</w:t>
      </w:r>
      <w:r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lang w:val="en-US"/>
        </w:rPr>
        <w:t>Université, 1901), Introduction, 10-82.</w:t>
      </w:r>
    </w:p>
  </w:footnote>
  <w:footnote w:id="474">
    <w:p w14:paraId="770B85F7" w14:textId="5B0C8280" w:rsidR="00B93ED5" w:rsidRPr="009D7635" w:rsidRDefault="00B93ED5" w:rsidP="004C1CD7">
      <w:pPr>
        <w:rPr>
          <w:rFonts w:ascii="Times New Roman" w:eastAsia="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D.A. Callus, ‘The Origins of the Problem of the Unity of Form,’ </w:t>
      </w:r>
      <w:r w:rsidRPr="009D7635">
        <w:rPr>
          <w:rFonts w:ascii="Times New Roman" w:eastAsia="Times New Roman" w:hAnsi="Times New Roman" w:cs="Times New Roman"/>
          <w:i/>
          <w:color w:val="000000" w:themeColor="text1"/>
          <w:sz w:val="20"/>
          <w:szCs w:val="20"/>
          <w:shd w:val="clear" w:color="auto" w:fill="FFFFFF"/>
        </w:rPr>
        <w:t xml:space="preserve">The </w:t>
      </w:r>
      <w:proofErr w:type="spellStart"/>
      <w:r w:rsidRPr="009D7635">
        <w:rPr>
          <w:rFonts w:ascii="Times New Roman" w:eastAsia="Times New Roman" w:hAnsi="Times New Roman" w:cs="Times New Roman"/>
          <w:i/>
          <w:color w:val="000000" w:themeColor="text1"/>
          <w:sz w:val="20"/>
          <w:szCs w:val="20"/>
          <w:shd w:val="clear" w:color="auto" w:fill="FFFFFF"/>
        </w:rPr>
        <w:t>Thomist</w:t>
      </w:r>
      <w:proofErr w:type="spellEnd"/>
      <w:r w:rsidRPr="009D7635">
        <w:rPr>
          <w:rFonts w:ascii="Times New Roman" w:eastAsia="Times New Roman" w:hAnsi="Times New Roman" w:cs="Times New Roman"/>
          <w:color w:val="000000" w:themeColor="text1"/>
          <w:sz w:val="20"/>
          <w:szCs w:val="20"/>
          <w:shd w:val="clear" w:color="auto" w:fill="FFFFFF"/>
        </w:rPr>
        <w:t xml:space="preserve"> 24:2 (1961)</w:t>
      </w:r>
      <w:r w:rsidR="00A820DC" w:rsidRPr="009D7635">
        <w:rPr>
          <w:rFonts w:ascii="Times New Roman" w:eastAsia="Times New Roman" w:hAnsi="Times New Roman" w:cs="Times New Roman"/>
          <w:color w:val="000000" w:themeColor="text1"/>
          <w:sz w:val="20"/>
          <w:szCs w:val="20"/>
          <w:shd w:val="clear" w:color="auto" w:fill="FFFFFF"/>
        </w:rPr>
        <w:t>:</w:t>
      </w:r>
      <w:r w:rsidRPr="009D7635">
        <w:rPr>
          <w:rFonts w:ascii="Times New Roman" w:eastAsia="Times New Roman" w:hAnsi="Times New Roman" w:cs="Times New Roman"/>
          <w:color w:val="000000" w:themeColor="text1"/>
          <w:sz w:val="20"/>
          <w:szCs w:val="20"/>
          <w:shd w:val="clear" w:color="auto" w:fill="FFFFFF"/>
        </w:rPr>
        <w:t xml:space="preserve"> </w:t>
      </w:r>
      <w:r w:rsidRPr="009D7635">
        <w:rPr>
          <w:rFonts w:ascii="Times New Roman" w:hAnsi="Times New Roman" w:cs="Times New Roman"/>
          <w:color w:val="000000" w:themeColor="text1"/>
          <w:sz w:val="20"/>
          <w:szCs w:val="20"/>
        </w:rPr>
        <w:t xml:space="preserve">268. Étienne Gilson, ‘Les sources </w:t>
      </w:r>
      <w:proofErr w:type="spellStart"/>
      <w:r w:rsidRPr="009D7635">
        <w:rPr>
          <w:rFonts w:ascii="Times New Roman" w:hAnsi="Times New Roman" w:cs="Times New Roman"/>
          <w:color w:val="000000" w:themeColor="text1"/>
          <w:sz w:val="20"/>
          <w:szCs w:val="20"/>
        </w:rPr>
        <w:t>Greco-arabes</w:t>
      </w:r>
      <w:proofErr w:type="spellEnd"/>
      <w:r w:rsidRPr="009D7635">
        <w:rPr>
          <w:rFonts w:ascii="Times New Roman" w:hAnsi="Times New Roman" w:cs="Times New Roman"/>
          <w:color w:val="000000" w:themeColor="text1"/>
          <w:sz w:val="20"/>
          <w:szCs w:val="20"/>
        </w:rPr>
        <w:t xml:space="preserve"> de </w:t>
      </w:r>
      <w:proofErr w:type="spellStart"/>
      <w:r w:rsidRPr="009D7635">
        <w:rPr>
          <w:rFonts w:ascii="Times New Roman" w:hAnsi="Times New Roman" w:cs="Times New Roman"/>
          <w:color w:val="000000" w:themeColor="text1"/>
          <w:sz w:val="20"/>
          <w:szCs w:val="20"/>
        </w:rPr>
        <w:t>l’augustinisme</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avicennisant</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Archives </w:t>
      </w:r>
      <w:proofErr w:type="spellStart"/>
      <w:r w:rsidRPr="009D7635">
        <w:rPr>
          <w:rFonts w:ascii="Times New Roman" w:hAnsi="Times New Roman" w:cs="Times New Roman"/>
          <w:i/>
          <w:color w:val="000000" w:themeColor="text1"/>
          <w:sz w:val="20"/>
          <w:szCs w:val="20"/>
        </w:rPr>
        <w:t>d'histoire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doctrinale</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littéraire</w:t>
      </w:r>
      <w:proofErr w:type="spellEnd"/>
      <w:r w:rsidRPr="009D7635">
        <w:rPr>
          <w:rFonts w:ascii="Times New Roman" w:hAnsi="Times New Roman" w:cs="Times New Roman"/>
          <w:i/>
          <w:color w:val="000000" w:themeColor="text1"/>
          <w:sz w:val="20"/>
          <w:szCs w:val="20"/>
        </w:rPr>
        <w:t xml:space="preserve"> du </w:t>
      </w:r>
      <w:proofErr w:type="spellStart"/>
      <w:r w:rsidRPr="009D7635">
        <w:rPr>
          <w:rFonts w:ascii="Times New Roman" w:hAnsi="Times New Roman" w:cs="Times New Roman"/>
          <w:i/>
          <w:color w:val="000000" w:themeColor="text1"/>
          <w:sz w:val="20"/>
          <w:szCs w:val="20"/>
        </w:rPr>
        <w:t>Moyen</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Âge</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4 (1929-30)</w:t>
      </w:r>
      <w:r w:rsidR="00A820DC"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84. </w:t>
      </w:r>
    </w:p>
  </w:footnote>
  <w:footnote w:id="475">
    <w:p w14:paraId="101F3BB9" w14:textId="6122A5F9"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w:t>
      </w:r>
      <w:r w:rsidRPr="009D7635">
        <w:rPr>
          <w:rFonts w:ascii="Times New Roman" w:hAnsi="Times New Roman" w:cs="Times New Roman"/>
          <w:bCs/>
          <w:color w:val="000000" w:themeColor="text1"/>
        </w:rPr>
        <w:t xml:space="preserve">A. Callus and R.W. Hunt, eds., </w:t>
      </w:r>
      <w:proofErr w:type="spellStart"/>
      <w:r w:rsidRPr="009D7635">
        <w:rPr>
          <w:rFonts w:ascii="Times New Roman" w:hAnsi="Times New Roman" w:cs="Times New Roman"/>
          <w:bCs/>
          <w:i/>
          <w:iCs/>
          <w:color w:val="000000" w:themeColor="text1"/>
        </w:rPr>
        <w:t>Iohannes</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Blund</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Tractatus</w:t>
      </w:r>
      <w:proofErr w:type="spellEnd"/>
      <w:r w:rsidRPr="009D7635">
        <w:rPr>
          <w:rFonts w:ascii="Times New Roman" w:hAnsi="Times New Roman" w:cs="Times New Roman"/>
          <w:bCs/>
          <w:i/>
          <w:iCs/>
          <w:color w:val="000000" w:themeColor="text1"/>
        </w:rPr>
        <w:t xml:space="preserve"> De Anima</w:t>
      </w:r>
      <w:r w:rsidR="00A820DC" w:rsidRPr="009D7635">
        <w:rPr>
          <w:rFonts w:ascii="Times New Roman" w:hAnsi="Times New Roman" w:cs="Times New Roman"/>
          <w:bCs/>
          <w:i/>
          <w:iCs/>
          <w:color w:val="000000" w:themeColor="text1"/>
        </w:rPr>
        <w:t xml:space="preserve"> </w:t>
      </w:r>
      <w:r w:rsidRPr="009D7635">
        <w:rPr>
          <w:rFonts w:ascii="Times New Roman" w:hAnsi="Times New Roman" w:cs="Times New Roman"/>
          <w:bCs/>
          <w:color w:val="000000" w:themeColor="text1"/>
        </w:rPr>
        <w:t xml:space="preserve">(London: British Academy, 1970), </w:t>
      </w:r>
      <w:r w:rsidRPr="009D7635">
        <w:rPr>
          <w:rFonts w:ascii="Times New Roman" w:hAnsi="Times New Roman" w:cs="Times New Roman"/>
          <w:color w:val="000000" w:themeColor="text1"/>
        </w:rPr>
        <w:t>23.</w:t>
      </w:r>
    </w:p>
  </w:footnote>
  <w:footnote w:id="476">
    <w:p w14:paraId="1942E221" w14:textId="6557D8D3" w:rsidR="00B93ED5" w:rsidRPr="009D7635" w:rsidRDefault="00B93ED5" w:rsidP="000F0F2F">
      <w:pPr>
        <w:pStyle w:val="Heading3"/>
        <w:spacing w:before="0" w:beforeAutospacing="0" w:after="0" w:afterAutospacing="0"/>
        <w:rPr>
          <w:rFonts w:eastAsia="Arial Unicode MS"/>
          <w:color w:val="000000" w:themeColor="text1"/>
          <w:sz w:val="20"/>
          <w:szCs w:val="20"/>
        </w:rPr>
      </w:pPr>
      <w:r w:rsidRPr="009D7635">
        <w:rPr>
          <w:rStyle w:val="FootnoteReference"/>
          <w:b w:val="0"/>
          <w:color w:val="000000" w:themeColor="text1"/>
          <w:sz w:val="20"/>
          <w:szCs w:val="20"/>
        </w:rPr>
        <w:footnoteRef/>
      </w:r>
      <w:r w:rsidRPr="009D7635">
        <w:rPr>
          <w:b w:val="0"/>
          <w:color w:val="000000" w:themeColor="text1"/>
          <w:sz w:val="20"/>
          <w:szCs w:val="20"/>
        </w:rPr>
        <w:t xml:space="preserve"> D.A. Callus, ‘The Treatise of John </w:t>
      </w:r>
      <w:proofErr w:type="spellStart"/>
      <w:r w:rsidRPr="009D7635">
        <w:rPr>
          <w:b w:val="0"/>
          <w:color w:val="000000" w:themeColor="text1"/>
          <w:sz w:val="20"/>
          <w:szCs w:val="20"/>
        </w:rPr>
        <w:t>Blund</w:t>
      </w:r>
      <w:proofErr w:type="spellEnd"/>
      <w:r w:rsidRPr="009D7635">
        <w:rPr>
          <w:b w:val="0"/>
          <w:color w:val="000000" w:themeColor="text1"/>
          <w:sz w:val="20"/>
          <w:szCs w:val="20"/>
        </w:rPr>
        <w:t xml:space="preserve"> on the Soul,’ in </w:t>
      </w:r>
      <w:proofErr w:type="spellStart"/>
      <w:r w:rsidRPr="009D7635">
        <w:rPr>
          <w:b w:val="0"/>
          <w:i/>
          <w:color w:val="000000" w:themeColor="text1"/>
          <w:sz w:val="20"/>
          <w:szCs w:val="20"/>
        </w:rPr>
        <w:t>Autour</w:t>
      </w:r>
      <w:proofErr w:type="spellEnd"/>
      <w:r w:rsidRPr="009D7635">
        <w:rPr>
          <w:b w:val="0"/>
          <w:i/>
          <w:color w:val="000000" w:themeColor="text1"/>
          <w:sz w:val="20"/>
          <w:szCs w:val="20"/>
        </w:rPr>
        <w:t xml:space="preserve"> </w:t>
      </w:r>
      <w:proofErr w:type="spellStart"/>
      <w:r w:rsidRPr="009D7635">
        <w:rPr>
          <w:b w:val="0"/>
          <w:i/>
          <w:color w:val="000000" w:themeColor="text1"/>
          <w:sz w:val="20"/>
          <w:szCs w:val="20"/>
        </w:rPr>
        <w:t>d’Aristote</w:t>
      </w:r>
      <w:proofErr w:type="spellEnd"/>
      <w:r w:rsidR="00A820DC" w:rsidRPr="009D7635">
        <w:rPr>
          <w:b w:val="0"/>
          <w:i/>
          <w:color w:val="000000" w:themeColor="text1"/>
          <w:sz w:val="20"/>
          <w:szCs w:val="20"/>
        </w:rPr>
        <w:t>:</w:t>
      </w:r>
      <w:r w:rsidRPr="009D7635">
        <w:rPr>
          <w:b w:val="0"/>
          <w:i/>
          <w:color w:val="000000" w:themeColor="text1"/>
          <w:sz w:val="20"/>
          <w:szCs w:val="20"/>
        </w:rPr>
        <w:t xml:space="preserve"> </w:t>
      </w:r>
      <w:proofErr w:type="spellStart"/>
      <w:r w:rsidRPr="009D7635">
        <w:rPr>
          <w:b w:val="0"/>
          <w:i/>
          <w:color w:val="000000" w:themeColor="text1"/>
          <w:sz w:val="20"/>
          <w:szCs w:val="20"/>
        </w:rPr>
        <w:t>Recueil</w:t>
      </w:r>
      <w:proofErr w:type="spellEnd"/>
      <w:r w:rsidRPr="009D7635">
        <w:rPr>
          <w:b w:val="0"/>
          <w:i/>
          <w:color w:val="000000" w:themeColor="text1"/>
          <w:sz w:val="20"/>
          <w:szCs w:val="20"/>
        </w:rPr>
        <w:t xml:space="preserve"> d’Etudes de </w:t>
      </w:r>
      <w:proofErr w:type="spellStart"/>
      <w:r w:rsidRPr="009D7635">
        <w:rPr>
          <w:b w:val="0"/>
          <w:i/>
          <w:color w:val="000000" w:themeColor="text1"/>
          <w:sz w:val="20"/>
          <w:szCs w:val="20"/>
        </w:rPr>
        <w:t>Philosophie</w:t>
      </w:r>
      <w:proofErr w:type="spellEnd"/>
      <w:r w:rsidRPr="009D7635">
        <w:rPr>
          <w:b w:val="0"/>
          <w:i/>
          <w:color w:val="000000" w:themeColor="text1"/>
          <w:sz w:val="20"/>
          <w:szCs w:val="20"/>
        </w:rPr>
        <w:t xml:space="preserve"> </w:t>
      </w:r>
      <w:proofErr w:type="spellStart"/>
      <w:r w:rsidRPr="009D7635">
        <w:rPr>
          <w:b w:val="0"/>
          <w:i/>
          <w:color w:val="000000" w:themeColor="text1"/>
          <w:sz w:val="20"/>
          <w:szCs w:val="20"/>
        </w:rPr>
        <w:t>ancienne</w:t>
      </w:r>
      <w:proofErr w:type="spellEnd"/>
      <w:r w:rsidRPr="009D7635">
        <w:rPr>
          <w:b w:val="0"/>
          <w:i/>
          <w:color w:val="000000" w:themeColor="text1"/>
          <w:sz w:val="20"/>
          <w:szCs w:val="20"/>
        </w:rPr>
        <w:t xml:space="preserve"> et </w:t>
      </w:r>
      <w:proofErr w:type="spellStart"/>
      <w:r w:rsidRPr="009D7635">
        <w:rPr>
          <w:b w:val="0"/>
          <w:i/>
          <w:color w:val="000000" w:themeColor="text1"/>
          <w:sz w:val="20"/>
          <w:szCs w:val="20"/>
        </w:rPr>
        <w:t>médiévale</w:t>
      </w:r>
      <w:proofErr w:type="spellEnd"/>
      <w:r w:rsidRPr="009D7635">
        <w:rPr>
          <w:b w:val="0"/>
          <w:i/>
          <w:color w:val="000000" w:themeColor="text1"/>
          <w:sz w:val="20"/>
          <w:szCs w:val="20"/>
        </w:rPr>
        <w:t xml:space="preserve"> </w:t>
      </w:r>
      <w:proofErr w:type="spellStart"/>
      <w:r w:rsidRPr="009D7635">
        <w:rPr>
          <w:b w:val="0"/>
          <w:i/>
          <w:color w:val="000000" w:themeColor="text1"/>
          <w:sz w:val="20"/>
          <w:szCs w:val="20"/>
        </w:rPr>
        <w:t>affert</w:t>
      </w:r>
      <w:proofErr w:type="spellEnd"/>
      <w:r w:rsidRPr="009D7635">
        <w:rPr>
          <w:b w:val="0"/>
          <w:i/>
          <w:color w:val="000000" w:themeColor="text1"/>
          <w:sz w:val="20"/>
          <w:szCs w:val="20"/>
        </w:rPr>
        <w:t xml:space="preserve"> à Monseigneur A. Mansion </w:t>
      </w:r>
      <w:r w:rsidRPr="009D7635">
        <w:rPr>
          <w:b w:val="0"/>
          <w:color w:val="000000" w:themeColor="text1"/>
          <w:sz w:val="20"/>
          <w:szCs w:val="20"/>
        </w:rPr>
        <w:t>(</w:t>
      </w:r>
      <w:proofErr w:type="spellStart"/>
      <w:r w:rsidRPr="009D7635">
        <w:rPr>
          <w:b w:val="0"/>
          <w:color w:val="000000" w:themeColor="text1"/>
          <w:sz w:val="20"/>
          <w:szCs w:val="20"/>
        </w:rPr>
        <w:t>Louvain</w:t>
      </w:r>
      <w:proofErr w:type="spellEnd"/>
      <w:r w:rsidRPr="009D7635">
        <w:rPr>
          <w:b w:val="0"/>
          <w:color w:val="000000" w:themeColor="text1"/>
          <w:sz w:val="20"/>
          <w:szCs w:val="20"/>
        </w:rPr>
        <w:t xml:space="preserve">: </w:t>
      </w:r>
      <w:r w:rsidRPr="009D7635">
        <w:rPr>
          <w:rFonts w:eastAsia="Arial Unicode MS"/>
          <w:b w:val="0"/>
          <w:bCs w:val="0"/>
          <w:color w:val="000000" w:themeColor="text1"/>
          <w:sz w:val="20"/>
          <w:szCs w:val="20"/>
        </w:rPr>
        <w:t xml:space="preserve">Publications </w:t>
      </w:r>
      <w:proofErr w:type="spellStart"/>
      <w:r w:rsidRPr="009D7635">
        <w:rPr>
          <w:rFonts w:eastAsia="Arial Unicode MS"/>
          <w:b w:val="0"/>
          <w:bCs w:val="0"/>
          <w:color w:val="000000" w:themeColor="text1"/>
          <w:sz w:val="20"/>
          <w:szCs w:val="20"/>
        </w:rPr>
        <w:t>universitaíres</w:t>
      </w:r>
      <w:proofErr w:type="spellEnd"/>
      <w:r w:rsidRPr="009D7635">
        <w:rPr>
          <w:rStyle w:val="apple-converted-space"/>
          <w:rFonts w:eastAsia="Arial Unicode MS"/>
          <w:b w:val="0"/>
          <w:bCs w:val="0"/>
          <w:color w:val="000000" w:themeColor="text1"/>
          <w:sz w:val="20"/>
          <w:szCs w:val="20"/>
        </w:rPr>
        <w:t xml:space="preserve"> de </w:t>
      </w:r>
      <w:proofErr w:type="spellStart"/>
      <w:r w:rsidRPr="009D7635">
        <w:rPr>
          <w:rFonts w:eastAsia="Arial Unicode MS"/>
          <w:b w:val="0"/>
          <w:bCs w:val="0"/>
          <w:color w:val="000000" w:themeColor="text1"/>
          <w:sz w:val="20"/>
          <w:szCs w:val="20"/>
        </w:rPr>
        <w:t>Louvain</w:t>
      </w:r>
      <w:proofErr w:type="spellEnd"/>
      <w:r w:rsidRPr="009D7635">
        <w:rPr>
          <w:b w:val="0"/>
          <w:color w:val="000000" w:themeColor="text1"/>
          <w:sz w:val="20"/>
          <w:szCs w:val="20"/>
        </w:rPr>
        <w:t xml:space="preserve">, 1955), 494. </w:t>
      </w:r>
    </w:p>
  </w:footnote>
  <w:footnote w:id="477">
    <w:p w14:paraId="35E9CF20"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 Callus, ‘The Origins of the Problem of the Unity of Form,’ 277;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97.</w:t>
      </w:r>
    </w:p>
  </w:footnote>
  <w:footnote w:id="478">
    <w:p w14:paraId="65BBCEDF" w14:textId="5E1FF147" w:rsidR="00B93ED5" w:rsidRPr="009D7635" w:rsidRDefault="00B93ED5" w:rsidP="00FA58AB">
      <w:pPr>
        <w:widowControl w:val="0"/>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Alexander of Hales</w:t>
      </w:r>
      <w:r w:rsidR="00C52125" w:rsidRPr="009D7635">
        <w:rPr>
          <w:rFonts w:ascii="Times New Roman" w:hAnsi="Times New Roman" w:cs="Times New Roman"/>
          <w:color w:val="000000" w:themeColor="text1"/>
          <w:sz w:val="20"/>
          <w:szCs w:val="20"/>
          <w:lang w:val="en-US"/>
        </w:rPr>
        <w:t>,</w:t>
      </w:r>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Magistri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Alexandri</w:t>
      </w:r>
      <w:proofErr w:type="spellEnd"/>
      <w:r w:rsidRPr="009D7635">
        <w:rPr>
          <w:rFonts w:ascii="Times New Roman" w:hAnsi="Times New Roman" w:cs="Times New Roman"/>
          <w:i/>
          <w:color w:val="000000" w:themeColor="text1"/>
          <w:sz w:val="20"/>
          <w:szCs w:val="20"/>
          <w:lang w:val="en-US"/>
        </w:rPr>
        <w:t xml:space="preserve"> de Hales Glossa in </w:t>
      </w:r>
      <w:proofErr w:type="spellStart"/>
      <w:r w:rsidRPr="009D7635">
        <w:rPr>
          <w:rFonts w:ascii="Times New Roman" w:hAnsi="Times New Roman" w:cs="Times New Roman"/>
          <w:i/>
          <w:color w:val="000000" w:themeColor="text1"/>
          <w:sz w:val="20"/>
          <w:szCs w:val="20"/>
          <w:lang w:val="en-US"/>
        </w:rPr>
        <w:t>quatuor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libros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Sententiarum</w:t>
      </w:r>
      <w:proofErr w:type="spellEnd"/>
      <w:r w:rsidRPr="009D7635">
        <w:rPr>
          <w:rFonts w:ascii="Times New Roman" w:hAnsi="Times New Roman" w:cs="Times New Roman"/>
          <w:i/>
          <w:color w:val="000000" w:themeColor="text1"/>
          <w:sz w:val="20"/>
          <w:szCs w:val="20"/>
          <w:lang w:val="en-US"/>
        </w:rPr>
        <w:t xml:space="preserve"> Petri Lombardi</w:t>
      </w:r>
      <w:r w:rsidRPr="009D7635">
        <w:rPr>
          <w:rFonts w:ascii="Times New Roman" w:hAnsi="Times New Roman" w:cs="Times New Roman"/>
          <w:color w:val="000000" w:themeColor="text1"/>
          <w:sz w:val="20"/>
          <w:szCs w:val="20"/>
          <w:lang w:val="en-US"/>
        </w:rPr>
        <w:t>, vol. 1 (</w:t>
      </w:r>
      <w:proofErr w:type="spellStart"/>
      <w:r w:rsidRPr="009D7635">
        <w:rPr>
          <w:rFonts w:ascii="Times New Roman" w:hAnsi="Times New Roman" w:cs="Times New Roman"/>
          <w:bCs/>
          <w:color w:val="000000" w:themeColor="text1"/>
          <w:sz w:val="20"/>
          <w:szCs w:val="20"/>
        </w:rPr>
        <w:t>Quaracchi</w:t>
      </w:r>
      <w:proofErr w:type="spellEnd"/>
      <w:r w:rsidRPr="009D7635">
        <w:rPr>
          <w:rFonts w:ascii="Times New Roman" w:hAnsi="Times New Roman" w:cs="Times New Roman"/>
          <w:bCs/>
          <w:color w:val="000000" w:themeColor="text1"/>
          <w:sz w:val="20"/>
          <w:szCs w:val="20"/>
        </w:rPr>
        <w:t xml:space="preserve">, </w:t>
      </w:r>
      <w:proofErr w:type="spellStart"/>
      <w:r w:rsidRPr="009D7635">
        <w:rPr>
          <w:rFonts w:ascii="Times New Roman" w:hAnsi="Times New Roman" w:cs="Times New Roman"/>
          <w:bCs/>
          <w:color w:val="000000" w:themeColor="text1"/>
          <w:sz w:val="20"/>
          <w:szCs w:val="20"/>
        </w:rPr>
        <w:t>Florentiae</w:t>
      </w:r>
      <w:proofErr w:type="spellEnd"/>
      <w:r w:rsidRPr="009D7635">
        <w:rPr>
          <w:rFonts w:ascii="Times New Roman" w:hAnsi="Times New Roman" w:cs="Times New Roman"/>
          <w:bCs/>
          <w:color w:val="000000" w:themeColor="text1"/>
          <w:sz w:val="20"/>
          <w:szCs w:val="20"/>
        </w:rPr>
        <w:t xml:space="preserve">: </w:t>
      </w:r>
      <w:proofErr w:type="spellStart"/>
      <w:r w:rsidRPr="009D7635">
        <w:rPr>
          <w:rFonts w:ascii="Times New Roman" w:hAnsi="Times New Roman" w:cs="Times New Roman"/>
          <w:bCs/>
          <w:color w:val="000000" w:themeColor="text1"/>
          <w:sz w:val="20"/>
          <w:szCs w:val="20"/>
        </w:rPr>
        <w:t>Collegii</w:t>
      </w:r>
      <w:proofErr w:type="spellEnd"/>
      <w:r w:rsidRPr="009D7635">
        <w:rPr>
          <w:rFonts w:ascii="Times New Roman" w:hAnsi="Times New Roman" w:cs="Times New Roman"/>
          <w:bCs/>
          <w:color w:val="000000" w:themeColor="text1"/>
          <w:sz w:val="20"/>
          <w:szCs w:val="20"/>
        </w:rPr>
        <w:t xml:space="preserve"> S. </w:t>
      </w:r>
      <w:proofErr w:type="spellStart"/>
      <w:r w:rsidRPr="009D7635">
        <w:rPr>
          <w:rFonts w:ascii="Times New Roman" w:hAnsi="Times New Roman" w:cs="Times New Roman"/>
          <w:bCs/>
          <w:color w:val="000000" w:themeColor="text1"/>
          <w:sz w:val="20"/>
          <w:szCs w:val="20"/>
        </w:rPr>
        <w:t>Bonaventurae</w:t>
      </w:r>
      <w:proofErr w:type="spellEnd"/>
      <w:r w:rsidRPr="009D7635">
        <w:rPr>
          <w:rFonts w:ascii="Times New Roman" w:hAnsi="Times New Roman" w:cs="Times New Roman"/>
          <w:color w:val="000000" w:themeColor="text1"/>
          <w:sz w:val="20"/>
          <w:szCs w:val="20"/>
          <w:lang w:val="en-US"/>
        </w:rPr>
        <w:t>, 1951), d. 3, n. 30, 52. D.</w:t>
      </w:r>
      <w:r w:rsidRPr="009D7635">
        <w:rPr>
          <w:rFonts w:ascii="Times New Roman" w:hAnsi="Times New Roman" w:cs="Times New Roman"/>
          <w:bCs/>
          <w:color w:val="000000" w:themeColor="text1"/>
          <w:sz w:val="20"/>
          <w:szCs w:val="20"/>
        </w:rPr>
        <w:t xml:space="preserve">A. Callus and R.W. Hunt, eds., </w:t>
      </w:r>
      <w:proofErr w:type="spellStart"/>
      <w:r w:rsidRPr="009D7635">
        <w:rPr>
          <w:rFonts w:ascii="Times New Roman" w:hAnsi="Times New Roman" w:cs="Times New Roman"/>
          <w:bCs/>
          <w:i/>
          <w:iCs/>
          <w:color w:val="000000" w:themeColor="text1"/>
          <w:sz w:val="20"/>
          <w:szCs w:val="20"/>
        </w:rPr>
        <w:t>Iohannes</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Blund</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Tractatus</w:t>
      </w:r>
      <w:proofErr w:type="spellEnd"/>
      <w:r w:rsidRPr="009D7635">
        <w:rPr>
          <w:rFonts w:ascii="Times New Roman" w:hAnsi="Times New Roman" w:cs="Times New Roman"/>
          <w:bCs/>
          <w:i/>
          <w:iCs/>
          <w:color w:val="000000" w:themeColor="text1"/>
          <w:sz w:val="20"/>
          <w:szCs w:val="20"/>
        </w:rPr>
        <w:t xml:space="preserve"> De Anima, </w:t>
      </w:r>
      <w:r w:rsidRPr="009D7635">
        <w:rPr>
          <w:rFonts w:ascii="Times New Roman" w:hAnsi="Times New Roman" w:cs="Times New Roman"/>
          <w:bCs/>
          <w:iCs/>
          <w:color w:val="000000" w:themeColor="text1"/>
          <w:sz w:val="20"/>
          <w:szCs w:val="20"/>
        </w:rPr>
        <w:t xml:space="preserve">10-13. </w:t>
      </w:r>
      <w:r w:rsidRPr="009D7635">
        <w:rPr>
          <w:rFonts w:ascii="Times New Roman" w:hAnsi="Times New Roman" w:cs="Times New Roman"/>
          <w:i/>
          <w:color w:val="000000" w:themeColor="text1"/>
          <w:sz w:val="20"/>
          <w:szCs w:val="20"/>
        </w:rPr>
        <w:t xml:space="preserve">Philippi </w:t>
      </w:r>
      <w:proofErr w:type="spellStart"/>
      <w:r w:rsidRPr="009D7635">
        <w:rPr>
          <w:rFonts w:ascii="Times New Roman" w:hAnsi="Times New Roman" w:cs="Times New Roman"/>
          <w:i/>
          <w:color w:val="000000" w:themeColor="text1"/>
          <w:sz w:val="20"/>
          <w:szCs w:val="20"/>
        </w:rPr>
        <w:t>Cancellarii</w:t>
      </w:r>
      <w:proofErr w:type="spellEnd"/>
      <w:r w:rsidRPr="009D7635">
        <w:rPr>
          <w:rFonts w:ascii="Times New Roman" w:hAnsi="Times New Roman" w:cs="Times New Roman"/>
          <w:i/>
          <w:color w:val="000000" w:themeColor="text1"/>
          <w:sz w:val="20"/>
          <w:szCs w:val="20"/>
        </w:rPr>
        <w:t xml:space="preserve"> Summa de bono</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ed. Nikolaus </w:t>
      </w:r>
      <w:proofErr w:type="spellStart"/>
      <w:r w:rsidRPr="009D7635">
        <w:rPr>
          <w:rFonts w:ascii="Times New Roman" w:hAnsi="Times New Roman" w:cs="Times New Roman"/>
          <w:color w:val="000000" w:themeColor="text1"/>
          <w:sz w:val="20"/>
          <w:szCs w:val="20"/>
        </w:rPr>
        <w:t>Wicki</w:t>
      </w:r>
      <w:proofErr w:type="spellEnd"/>
      <w:r w:rsidRPr="009D7635">
        <w:rPr>
          <w:rFonts w:ascii="Times New Roman" w:hAnsi="Times New Roman" w:cs="Times New Roman"/>
          <w:color w:val="000000" w:themeColor="text1"/>
          <w:sz w:val="20"/>
          <w:szCs w:val="20"/>
        </w:rPr>
        <w:t xml:space="preserve"> (Bern: </w:t>
      </w:r>
      <w:proofErr w:type="spellStart"/>
      <w:r w:rsidRPr="009D7635">
        <w:rPr>
          <w:rFonts w:ascii="Times New Roman" w:hAnsi="Times New Roman" w:cs="Times New Roman"/>
          <w:color w:val="000000" w:themeColor="text1"/>
          <w:sz w:val="20"/>
          <w:szCs w:val="20"/>
        </w:rPr>
        <w:t>Francke</w:t>
      </w:r>
      <w:proofErr w:type="spellEnd"/>
      <w:r w:rsidRPr="009D7635">
        <w:rPr>
          <w:rFonts w:ascii="Times New Roman" w:hAnsi="Times New Roman" w:cs="Times New Roman"/>
          <w:color w:val="000000" w:themeColor="text1"/>
          <w:sz w:val="20"/>
          <w:szCs w:val="20"/>
        </w:rPr>
        <w:t xml:space="preserve">, 1985), 231-7. J.T. </w:t>
      </w:r>
      <w:proofErr w:type="spellStart"/>
      <w:r w:rsidRPr="009D7635">
        <w:rPr>
          <w:rFonts w:ascii="Times New Roman" w:hAnsi="Times New Roman" w:cs="Times New Roman"/>
          <w:color w:val="000000" w:themeColor="text1"/>
          <w:sz w:val="20"/>
          <w:szCs w:val="20"/>
          <w:lang w:val="en-US"/>
        </w:rPr>
        <w:t>Muckle</w:t>
      </w:r>
      <w:proofErr w:type="spellEnd"/>
      <w:r w:rsidRPr="009D7635">
        <w:rPr>
          <w:rFonts w:ascii="Times New Roman" w:hAnsi="Times New Roman" w:cs="Times New Roman"/>
          <w:color w:val="000000" w:themeColor="text1"/>
          <w:sz w:val="20"/>
          <w:szCs w:val="20"/>
          <w:lang w:val="en-US"/>
        </w:rPr>
        <w:t xml:space="preserve">, ‘The Treatise </w:t>
      </w:r>
      <w:r w:rsidRPr="009D7635">
        <w:rPr>
          <w:rFonts w:ascii="Times New Roman" w:hAnsi="Times New Roman" w:cs="Times New Roman"/>
          <w:i/>
          <w:color w:val="000000" w:themeColor="text1"/>
          <w:sz w:val="20"/>
          <w:szCs w:val="20"/>
          <w:lang w:val="en-US"/>
        </w:rPr>
        <w:t>De anima</w:t>
      </w:r>
      <w:r w:rsidRPr="009D7635">
        <w:rPr>
          <w:rFonts w:ascii="Times New Roman" w:hAnsi="Times New Roman" w:cs="Times New Roman"/>
          <w:color w:val="000000" w:themeColor="text1"/>
          <w:sz w:val="20"/>
          <w:szCs w:val="20"/>
          <w:lang w:val="en-US"/>
        </w:rPr>
        <w:t xml:space="preserve"> of </w:t>
      </w:r>
      <w:proofErr w:type="spellStart"/>
      <w:r w:rsidRPr="009D7635">
        <w:rPr>
          <w:rFonts w:ascii="Times New Roman" w:hAnsi="Times New Roman" w:cs="Times New Roman"/>
          <w:color w:val="000000" w:themeColor="text1"/>
          <w:sz w:val="20"/>
          <w:szCs w:val="20"/>
          <w:lang w:val="en-US"/>
        </w:rPr>
        <w:t>Dominicus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Gundissalinus</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Mediaeval Studies </w:t>
      </w:r>
      <w:r w:rsidRPr="009D7635">
        <w:rPr>
          <w:rFonts w:ascii="Times New Roman" w:hAnsi="Times New Roman" w:cs="Times New Roman"/>
          <w:color w:val="000000" w:themeColor="text1"/>
          <w:sz w:val="20"/>
          <w:szCs w:val="20"/>
          <w:lang w:val="en-US"/>
        </w:rPr>
        <w:t xml:space="preserve">2 (1940), 44-7.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eastAsia="Times New Roman" w:hAnsi="Times New Roman" w:cs="Times New Roman"/>
          <w:color w:val="000000" w:themeColor="text1"/>
          <w:sz w:val="20"/>
          <w:szCs w:val="20"/>
        </w:rPr>
        <w:t>Lottin</w:t>
      </w:r>
      <w:proofErr w:type="spellEnd"/>
      <w:r w:rsidRPr="009D7635">
        <w:rPr>
          <w:rFonts w:ascii="Times New Roman" w:eastAsia="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de-DE"/>
        </w:rPr>
        <w:t xml:space="preserve">Psychologie et </w:t>
      </w:r>
      <w:proofErr w:type="spellStart"/>
      <w:r w:rsidRPr="009D7635">
        <w:rPr>
          <w:rFonts w:ascii="Times New Roman" w:hAnsi="Times New Roman" w:cs="Times New Roman"/>
          <w:i/>
          <w:color w:val="000000" w:themeColor="text1"/>
          <w:sz w:val="20"/>
          <w:szCs w:val="20"/>
          <w:lang w:val="de-DE"/>
        </w:rPr>
        <w:t>morale</w:t>
      </w:r>
      <w:proofErr w:type="spellEnd"/>
      <w:r w:rsidRPr="009D7635">
        <w:rPr>
          <w:rFonts w:ascii="Times New Roman" w:hAnsi="Times New Roman" w:cs="Times New Roman"/>
          <w:iCs/>
          <w:color w:val="000000" w:themeColor="text1"/>
          <w:sz w:val="20"/>
          <w:szCs w:val="20"/>
          <w:lang w:val="de-DE"/>
        </w:rPr>
        <w:t>,</w:t>
      </w:r>
      <w:r w:rsidRPr="009D7635">
        <w:rPr>
          <w:rFonts w:ascii="Times New Roman" w:hAnsi="Times New Roman" w:cs="Times New Roman"/>
          <w:i/>
          <w:color w:val="000000" w:themeColor="text1"/>
          <w:sz w:val="20"/>
          <w:szCs w:val="20"/>
          <w:lang w:val="de-DE"/>
        </w:rPr>
        <w:t xml:space="preserve"> </w:t>
      </w:r>
      <w:r w:rsidRPr="009D7635">
        <w:rPr>
          <w:rFonts w:ascii="Times New Roman" w:hAnsi="Times New Roman" w:cs="Times New Roman"/>
          <w:color w:val="000000" w:themeColor="text1"/>
          <w:sz w:val="20"/>
          <w:szCs w:val="20"/>
          <w:lang w:val="de-DE"/>
        </w:rPr>
        <w:t xml:space="preserve">vol. 1, 465-71. </w:t>
      </w:r>
    </w:p>
  </w:footnote>
  <w:footnote w:id="479">
    <w:p w14:paraId="15B56B4E" w14:textId="3DDA50E2" w:rsidR="00B93ED5" w:rsidRPr="009D7635" w:rsidRDefault="00B93ED5" w:rsidP="00FA58AB">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 Callus, ‘</w:t>
      </w:r>
      <w:proofErr w:type="spellStart"/>
      <w:r w:rsidRPr="009D7635">
        <w:rPr>
          <w:rFonts w:ascii="Times New Roman" w:hAnsi="Times New Roman" w:cs="Times New Roman"/>
          <w:color w:val="000000" w:themeColor="text1"/>
        </w:rPr>
        <w:t>Gundissalinus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 xml:space="preserve">and the Problem of the Substantial Form,’ </w:t>
      </w:r>
      <w:r w:rsidRPr="009D7635">
        <w:rPr>
          <w:rFonts w:ascii="Times New Roman" w:hAnsi="Times New Roman" w:cs="Times New Roman"/>
          <w:i/>
          <w:color w:val="000000" w:themeColor="text1"/>
        </w:rPr>
        <w:t xml:space="preserve">The New Scholasticism </w:t>
      </w:r>
      <w:r w:rsidRPr="009D7635">
        <w:rPr>
          <w:rFonts w:ascii="Times New Roman" w:hAnsi="Times New Roman" w:cs="Times New Roman"/>
          <w:color w:val="000000" w:themeColor="text1"/>
        </w:rPr>
        <w:t>13 (1939)</w:t>
      </w:r>
      <w:r w:rsidR="00C52125"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348 in 344-48; D.A. Callus, ‘The Origins of the Problem of the Unity of Form,’ 263, 265.</w:t>
      </w:r>
    </w:p>
  </w:footnote>
  <w:footnote w:id="480">
    <w:p w14:paraId="6BE2540B" w14:textId="77777777" w:rsidR="00B93ED5" w:rsidRPr="009D7635" w:rsidRDefault="00B93ED5" w:rsidP="00FA58AB">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 Callus, ‘The Origins of the Problem of the Unity of Form,’ 265.</w:t>
      </w:r>
    </w:p>
  </w:footnote>
  <w:footnote w:id="481">
    <w:p w14:paraId="64BF197D" w14:textId="4EEEDDF2"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C52125"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266.</w:t>
      </w:r>
    </w:p>
  </w:footnote>
  <w:footnote w:id="482">
    <w:p w14:paraId="1241B50B" w14:textId="7EC2EEDA"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138D4" w:rsidRPr="009D7635">
        <w:rPr>
          <w:rFonts w:ascii="Times New Roman" w:hAnsi="Times New Roman" w:cs="Times New Roman"/>
          <w:color w:val="000000" w:themeColor="text1"/>
        </w:rPr>
        <w:t>Ibid.</w:t>
      </w:r>
    </w:p>
  </w:footnote>
  <w:footnote w:id="483">
    <w:p w14:paraId="7DCB184C" w14:textId="6ABB714F"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138D4" w:rsidRPr="009D7635">
        <w:rPr>
          <w:rFonts w:ascii="Times New Roman" w:hAnsi="Times New Roman" w:cs="Times New Roman"/>
          <w:color w:val="000000" w:themeColor="text1"/>
        </w:rPr>
        <w:t>Ibid.</w:t>
      </w:r>
    </w:p>
  </w:footnote>
  <w:footnote w:id="484">
    <w:p w14:paraId="73700960"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 Callus, ‘</w:t>
      </w:r>
      <w:proofErr w:type="spellStart"/>
      <w:r w:rsidRPr="009D7635">
        <w:rPr>
          <w:rFonts w:ascii="Times New Roman" w:hAnsi="Times New Roman" w:cs="Times New Roman"/>
          <w:color w:val="000000" w:themeColor="text1"/>
        </w:rPr>
        <w:t>Gundissalinus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347. </w:t>
      </w:r>
    </w:p>
  </w:footnote>
  <w:footnote w:id="485">
    <w:p w14:paraId="2C24AC20"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 Callus, ‘The Origins of the Problem of the Unity of Form,’ 282.</w:t>
      </w:r>
    </w:p>
  </w:footnote>
  <w:footnote w:id="486">
    <w:p w14:paraId="15EC1208" w14:textId="79D570FD"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w:t>
      </w:r>
      <w:r w:rsidRPr="009D7635">
        <w:rPr>
          <w:rFonts w:ascii="Times New Roman" w:hAnsi="Times New Roman" w:cs="Times New Roman"/>
          <w:bCs/>
          <w:color w:val="000000" w:themeColor="text1"/>
        </w:rPr>
        <w:t xml:space="preserve">A. Callus and R.W. Hunt, eds., </w:t>
      </w:r>
      <w:proofErr w:type="spellStart"/>
      <w:r w:rsidRPr="009D7635">
        <w:rPr>
          <w:rFonts w:ascii="Times New Roman" w:hAnsi="Times New Roman" w:cs="Times New Roman"/>
          <w:bCs/>
          <w:i/>
          <w:iCs/>
          <w:color w:val="000000" w:themeColor="text1"/>
        </w:rPr>
        <w:t>Iohannes</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Blund</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Tractatus</w:t>
      </w:r>
      <w:proofErr w:type="spellEnd"/>
      <w:r w:rsidRPr="009D7635">
        <w:rPr>
          <w:rFonts w:ascii="Times New Roman" w:hAnsi="Times New Roman" w:cs="Times New Roman"/>
          <w:bCs/>
          <w:i/>
          <w:iCs/>
          <w:color w:val="000000" w:themeColor="text1"/>
        </w:rPr>
        <w:t xml:space="preserve"> De Anima</w:t>
      </w:r>
      <w:r w:rsidRPr="009D7635">
        <w:rPr>
          <w:rFonts w:ascii="Times New Roman" w:hAnsi="Times New Roman" w:cs="Times New Roman"/>
          <w:bCs/>
          <w:color w:val="000000" w:themeColor="text1"/>
        </w:rPr>
        <w:t>,</w:t>
      </w:r>
      <w:r w:rsidRPr="009D7635">
        <w:rPr>
          <w:rFonts w:ascii="Times New Roman" w:hAnsi="Times New Roman" w:cs="Times New Roman"/>
          <w:color w:val="000000" w:themeColor="text1"/>
        </w:rPr>
        <w:t xml:space="preserve"> 21-27.</w:t>
      </w:r>
    </w:p>
  </w:footnote>
  <w:footnote w:id="487">
    <w:p w14:paraId="1C7C7E8C" w14:textId="77777777" w:rsidR="00B93ED5" w:rsidRPr="009D7635" w:rsidRDefault="00B93ED5" w:rsidP="004C1CD7">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Theodore Crowley, </w:t>
      </w:r>
      <w:r w:rsidRPr="009D7635">
        <w:rPr>
          <w:rFonts w:ascii="Times New Roman" w:hAnsi="Times New Roman" w:cs="Times New Roman"/>
          <w:i/>
          <w:color w:val="000000" w:themeColor="text1"/>
          <w:sz w:val="20"/>
          <w:szCs w:val="20"/>
        </w:rPr>
        <w:t>Roger Bacon</w:t>
      </w:r>
      <w:r w:rsidRPr="009D7635">
        <w:rPr>
          <w:rFonts w:ascii="Times New Roman" w:hAnsi="Times New Roman" w:cs="Times New Roman"/>
          <w:color w:val="000000" w:themeColor="text1"/>
          <w:sz w:val="20"/>
          <w:szCs w:val="20"/>
        </w:rPr>
        <w:t xml:space="preserve">, 127: ‘John replies by distinguishing a twofold nutritive soul. One is transitory and has for its function to adapt the body for the infusion of the rational soul. The other, con-created with the rational soul and one in substance with it is the perfection of the body and remains as long as the rational soul remains. The first disappears </w:t>
      </w:r>
      <w:proofErr w:type="spellStart"/>
      <w:r w:rsidRPr="009D7635">
        <w:rPr>
          <w:rFonts w:ascii="Times New Roman" w:hAnsi="Times New Roman" w:cs="Times New Roman"/>
          <w:i/>
          <w:color w:val="000000" w:themeColor="text1"/>
          <w:sz w:val="20"/>
          <w:szCs w:val="20"/>
        </w:rPr>
        <w:t>completo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fieri</w:t>
      </w:r>
      <w:proofErr w:type="spellEnd"/>
      <w:r w:rsidRPr="009D7635">
        <w:rPr>
          <w:rFonts w:ascii="Times New Roman" w:hAnsi="Times New Roman" w:cs="Times New Roman"/>
          <w:color w:val="000000" w:themeColor="text1"/>
          <w:sz w:val="20"/>
          <w:szCs w:val="20"/>
        </w:rPr>
        <w:t xml:space="preserve">, i.e. when the body is prepared and adapted. The same holds true for the sensitive soul. It will be seen that John’s solution of the problem does not differ from that of St Thomas.’ </w:t>
      </w:r>
    </w:p>
  </w:footnote>
  <w:footnote w:id="488">
    <w:p w14:paraId="6F0F78D4" w14:textId="77777777" w:rsidR="00B93ED5" w:rsidRPr="009D7635" w:rsidRDefault="00B93ED5" w:rsidP="004C1CD7">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Theodore Crowley, </w:t>
      </w:r>
      <w:r w:rsidRPr="009D7635">
        <w:rPr>
          <w:rFonts w:ascii="Times New Roman" w:hAnsi="Times New Roman" w:cs="Times New Roman"/>
          <w:i/>
          <w:color w:val="000000" w:themeColor="text1"/>
          <w:sz w:val="20"/>
          <w:szCs w:val="20"/>
        </w:rPr>
        <w:t>Roger Bacon</w:t>
      </w:r>
      <w:r w:rsidRPr="009D7635">
        <w:rPr>
          <w:rFonts w:ascii="Times New Roman" w:hAnsi="Times New Roman" w:cs="Times New Roman"/>
          <w:color w:val="000000" w:themeColor="text1"/>
          <w:sz w:val="20"/>
          <w:szCs w:val="20"/>
        </w:rPr>
        <w:t xml:space="preserve">, 126, citing Aquinas’ </w:t>
      </w:r>
      <w:r w:rsidRPr="009D7635">
        <w:rPr>
          <w:rFonts w:ascii="Times New Roman" w:hAnsi="Times New Roman" w:cs="Times New Roman"/>
          <w:i/>
          <w:color w:val="000000" w:themeColor="text1"/>
          <w:sz w:val="20"/>
          <w:szCs w:val="20"/>
        </w:rPr>
        <w:t xml:space="preserve">De </w:t>
      </w:r>
      <w:proofErr w:type="spellStart"/>
      <w:r w:rsidRPr="009D7635">
        <w:rPr>
          <w:rFonts w:ascii="Times New Roman" w:hAnsi="Times New Roman" w:cs="Times New Roman"/>
          <w:i/>
          <w:color w:val="000000" w:themeColor="text1"/>
          <w:sz w:val="20"/>
          <w:szCs w:val="20"/>
        </w:rPr>
        <w:t>potentia</w:t>
      </w:r>
      <w:proofErr w:type="spellEnd"/>
      <w:r w:rsidRPr="009D7635">
        <w:rPr>
          <w:rFonts w:ascii="Times New Roman" w:hAnsi="Times New Roman" w:cs="Times New Roman"/>
          <w:color w:val="000000" w:themeColor="text1"/>
          <w:sz w:val="20"/>
          <w:szCs w:val="20"/>
        </w:rPr>
        <w:t xml:space="preserve"> q 3 a 9 ad 9. ‘Thomas Aquinas taught that previous to the infusion of the rational soul, the human embryo is successively animated by a nutritive and sensitive soul whose function is to prepare and adapt the body for the reception of the rational soul. The two souls do not co-exist. The sensitive replaces the nutritive, and this in turn is replaced by the rational soul… In general, the schoolmen held for the late infusion of the rational soul into the body. This was in accordance with the universally accepted view that matter had to have certain dispositions which made it apt to receive a particular form. Those who admitted the unity and simplicity of the human soul and its creation were faced with the problem of how to explain the life of the embryo prior to the infusion of the rational soul. Must we ascribe to the embryo a principle of life, a soul? If so, what becomes of such a principle when the rational soul is infused.’</w:t>
      </w:r>
    </w:p>
  </w:footnote>
  <w:footnote w:id="489">
    <w:p w14:paraId="3F9B5128"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 Callus, ‘The Origins of the Problem of the Unity of Form,’ 283.</w:t>
      </w:r>
    </w:p>
  </w:footnote>
  <w:footnote w:id="490">
    <w:p w14:paraId="425211B9" w14:textId="5BBCD027" w:rsidR="004A7111" w:rsidRPr="009D7635" w:rsidRDefault="004A7111">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According to Richard Dales, the plurality view was more common amongst arts masters like </w:t>
      </w:r>
      <w:r w:rsidR="005149AA" w:rsidRPr="009D7635">
        <w:rPr>
          <w:rFonts w:ascii="Times New Roman" w:hAnsi="Times New Roman" w:cs="Times New Roman"/>
          <w:color w:val="000000" w:themeColor="text1"/>
        </w:rPr>
        <w:t xml:space="preserve">Adam of </w:t>
      </w:r>
      <w:proofErr w:type="spellStart"/>
      <w:r w:rsidR="005149AA" w:rsidRPr="009D7635">
        <w:rPr>
          <w:rFonts w:ascii="Times New Roman" w:hAnsi="Times New Roman" w:cs="Times New Roman"/>
          <w:color w:val="000000" w:themeColor="text1"/>
        </w:rPr>
        <w:t>Bockenfield</w:t>
      </w:r>
      <w:proofErr w:type="spellEnd"/>
      <w:r w:rsidR="005149AA" w:rsidRPr="009D7635">
        <w:rPr>
          <w:rFonts w:ascii="Times New Roman" w:hAnsi="Times New Roman" w:cs="Times New Roman"/>
          <w:color w:val="000000" w:themeColor="text1"/>
        </w:rPr>
        <w:t xml:space="preserve">. See </w:t>
      </w:r>
      <w:r w:rsidR="005149AA" w:rsidRPr="009D7635">
        <w:rPr>
          <w:rFonts w:ascii="Times New Roman" w:hAnsi="Times New Roman" w:cs="Times New Roman"/>
          <w:i/>
          <w:iCs/>
          <w:color w:val="000000" w:themeColor="text1"/>
        </w:rPr>
        <w:t xml:space="preserve">The </w:t>
      </w:r>
      <w:proofErr w:type="spellStart"/>
      <w:r w:rsidR="005149AA" w:rsidRPr="009D7635">
        <w:rPr>
          <w:rFonts w:ascii="Times New Roman" w:hAnsi="Times New Roman" w:cs="Times New Roman"/>
          <w:i/>
          <w:iCs/>
          <w:color w:val="000000" w:themeColor="text1"/>
        </w:rPr>
        <w:t>Probem</w:t>
      </w:r>
      <w:proofErr w:type="spellEnd"/>
      <w:r w:rsidR="005149AA" w:rsidRPr="009D7635">
        <w:rPr>
          <w:rFonts w:ascii="Times New Roman" w:hAnsi="Times New Roman" w:cs="Times New Roman"/>
          <w:i/>
          <w:iCs/>
          <w:color w:val="000000" w:themeColor="text1"/>
        </w:rPr>
        <w:t xml:space="preserve"> of the Rational Soul in the Thirteenth Century </w:t>
      </w:r>
      <w:r w:rsidR="0027552F" w:rsidRPr="009D7635">
        <w:rPr>
          <w:rFonts w:ascii="Times New Roman" w:hAnsi="Times New Roman" w:cs="Times New Roman"/>
          <w:color w:val="000000" w:themeColor="text1"/>
        </w:rPr>
        <w:t xml:space="preserve">(Leiden: Brill, 1995), </w:t>
      </w:r>
      <w:r w:rsidR="00816569" w:rsidRPr="009D7635">
        <w:rPr>
          <w:rFonts w:ascii="Times New Roman" w:hAnsi="Times New Roman" w:cs="Times New Roman"/>
          <w:color w:val="000000" w:themeColor="text1"/>
        </w:rPr>
        <w:t>59.</w:t>
      </w:r>
    </w:p>
  </w:footnote>
  <w:footnote w:id="491">
    <w:p w14:paraId="448533FD" w14:textId="784B08E8" w:rsidR="00B93ED5" w:rsidRPr="009D7635" w:rsidRDefault="00B93ED5" w:rsidP="004C1CD7">
      <w:pPr>
        <w:autoSpaceDE w:val="0"/>
        <w:autoSpaceDN w:val="0"/>
        <w:adjustRightInd w:val="0"/>
        <w:rPr>
          <w:rFonts w:ascii="Times New Roman" w:hAnsi="Times New Roman" w:cs="Times New Roman"/>
          <w:i/>
          <w:color w:val="000000" w:themeColor="text1"/>
          <w:sz w:val="20"/>
          <w:szCs w:val="20"/>
          <w:lang w:val="en-US"/>
        </w:rPr>
      </w:pPr>
      <w:r w:rsidRPr="009D7635">
        <w:rPr>
          <w:rFonts w:ascii="Times New Roman" w:hAnsi="Times New Roman" w:cs="Times New Roman"/>
          <w:color w:val="000000" w:themeColor="text1"/>
          <w:sz w:val="20"/>
          <w:szCs w:val="20"/>
        </w:rPr>
        <w:t xml:space="preserve"> </w:t>
      </w: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Summa de bono</w:t>
      </w:r>
      <w:r w:rsidRPr="009D7635">
        <w:rPr>
          <w:rFonts w:ascii="Times New Roman" w:hAnsi="Times New Roman" w:cs="Times New Roman"/>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233-4: </w:t>
      </w:r>
      <w:r w:rsidRPr="009D7635">
        <w:rPr>
          <w:rFonts w:ascii="Times New Roman" w:hAnsi="Times New Roman" w:cs="Times New Roman"/>
          <w:i/>
          <w:color w:val="000000" w:themeColor="text1"/>
          <w:sz w:val="20"/>
          <w:szCs w:val="20"/>
          <w:lang w:val="en-US"/>
        </w:rPr>
        <w:t xml:space="preserve">Sed </w:t>
      </w:r>
      <w:proofErr w:type="spellStart"/>
      <w:r w:rsidRPr="009D7635">
        <w:rPr>
          <w:rFonts w:ascii="Times New Roman" w:hAnsi="Times New Roman" w:cs="Times New Roman"/>
          <w:i/>
          <w:color w:val="000000" w:themeColor="text1"/>
          <w:sz w:val="20"/>
          <w:szCs w:val="20"/>
          <w:lang w:val="en-US"/>
        </w:rPr>
        <w:t>licet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sint</w:t>
      </w:r>
      <w:proofErr w:type="spellEnd"/>
      <w:r w:rsidRPr="009D7635">
        <w:rPr>
          <w:rFonts w:ascii="Times New Roman" w:hAnsi="Times New Roman" w:cs="Times New Roman"/>
          <w:i/>
          <w:color w:val="000000" w:themeColor="text1"/>
          <w:sz w:val="20"/>
          <w:szCs w:val="20"/>
          <w:lang w:val="en-US"/>
        </w:rPr>
        <w:t xml:space="preserve"> tres </w:t>
      </w:r>
      <w:proofErr w:type="spellStart"/>
      <w:r w:rsidRPr="009D7635">
        <w:rPr>
          <w:rFonts w:ascii="Times New Roman" w:hAnsi="Times New Roman" w:cs="Times New Roman"/>
          <w:i/>
          <w:color w:val="000000" w:themeColor="text1"/>
          <w:sz w:val="20"/>
          <w:szCs w:val="20"/>
          <w:lang w:val="en-US"/>
        </w:rPr>
        <w:t>substantie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incorporee</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tamen</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tres anime, </w:t>
      </w:r>
      <w:proofErr w:type="spellStart"/>
      <w:r w:rsidRPr="009D7635">
        <w:rPr>
          <w:rFonts w:ascii="Times New Roman" w:hAnsi="Times New Roman" w:cs="Times New Roman"/>
          <w:i/>
          <w:color w:val="000000" w:themeColor="text1"/>
          <w:sz w:val="20"/>
          <w:szCs w:val="20"/>
          <w:lang w:val="en-US"/>
        </w:rPr>
        <w:t>eo</w:t>
      </w:r>
      <w:proofErr w:type="spellEnd"/>
      <w:r w:rsidRPr="009D7635">
        <w:rPr>
          <w:rFonts w:ascii="Times New Roman" w:hAnsi="Times New Roman" w:cs="Times New Roman"/>
          <w:i/>
          <w:color w:val="000000" w:themeColor="text1"/>
          <w:sz w:val="20"/>
          <w:szCs w:val="20"/>
          <w:lang w:val="en-US"/>
        </w:rPr>
        <w:t xml:space="preserve"> quod anima nomen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perfectionis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Ideo</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anima </w:t>
      </w:r>
      <w:proofErr w:type="spellStart"/>
      <w:r w:rsidRPr="009D7635">
        <w:rPr>
          <w:rFonts w:ascii="Times New Roman" w:hAnsi="Times New Roman" w:cs="Times New Roman"/>
          <w:i/>
          <w:color w:val="000000" w:themeColor="text1"/>
          <w:sz w:val="20"/>
          <w:szCs w:val="20"/>
          <w:lang w:val="en-US"/>
        </w:rPr>
        <w:t>vegetabilis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nisi</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plantis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consimilibus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perfectio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completa</w:t>
      </w:r>
      <w:proofErr w:type="spellEnd"/>
      <w:r w:rsidRPr="009D7635">
        <w:rPr>
          <w:rFonts w:ascii="Times New Roman" w:hAnsi="Times New Roman" w:cs="Times New Roman"/>
          <w:i/>
          <w:color w:val="000000" w:themeColor="text1"/>
          <w:sz w:val="20"/>
          <w:szCs w:val="20"/>
          <w:lang w:val="en-US"/>
        </w:rPr>
        <w:t xml:space="preserve">. Et non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anima </w:t>
      </w:r>
      <w:proofErr w:type="spellStart"/>
      <w:r w:rsidRPr="009D7635">
        <w:rPr>
          <w:rFonts w:ascii="Times New Roman" w:hAnsi="Times New Roman" w:cs="Times New Roman"/>
          <w:i/>
          <w:color w:val="000000" w:themeColor="text1"/>
          <w:sz w:val="20"/>
          <w:szCs w:val="20"/>
          <w:lang w:val="en-US"/>
        </w:rPr>
        <w:t>sensibilis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nisi</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brutis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ibi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similiter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perfectio</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homine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quasi </w:t>
      </w:r>
      <w:proofErr w:type="spellStart"/>
      <w:r w:rsidRPr="009D7635">
        <w:rPr>
          <w:rFonts w:ascii="Times New Roman" w:hAnsi="Times New Roman" w:cs="Times New Roman"/>
          <w:i/>
          <w:color w:val="000000" w:themeColor="text1"/>
          <w:sz w:val="20"/>
          <w:szCs w:val="20"/>
          <w:lang w:val="en-US"/>
        </w:rPr>
        <w:t>materiales</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rationalem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completio</w:t>
      </w:r>
      <w:proofErr w:type="spellEnd"/>
      <w:r w:rsidRPr="009D7635">
        <w:rPr>
          <w:rFonts w:ascii="Times New Roman" w:hAnsi="Times New Roman" w:cs="Times New Roman"/>
          <w:i/>
          <w:color w:val="000000" w:themeColor="text1"/>
          <w:sz w:val="20"/>
          <w:szCs w:val="20"/>
          <w:lang w:val="en-US"/>
        </w:rPr>
        <w:t xml:space="preserve">, et ipsa </w:t>
      </w:r>
      <w:proofErr w:type="spellStart"/>
      <w:r w:rsidRPr="009D7635">
        <w:rPr>
          <w:rFonts w:ascii="Times New Roman" w:hAnsi="Times New Roman" w:cs="Times New Roman"/>
          <w:i/>
          <w:color w:val="000000" w:themeColor="text1"/>
          <w:sz w:val="20"/>
          <w:szCs w:val="20"/>
          <w:lang w:val="en-US"/>
        </w:rPr>
        <w:t>tantum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anima in </w:t>
      </w:r>
      <w:proofErr w:type="spellStart"/>
      <w:r w:rsidRPr="009D7635">
        <w:rPr>
          <w:rFonts w:ascii="Times New Roman" w:hAnsi="Times New Roman" w:cs="Times New Roman"/>
          <w:i/>
          <w:color w:val="000000" w:themeColor="text1"/>
          <w:sz w:val="20"/>
          <w:szCs w:val="20"/>
          <w:lang w:val="en-US"/>
        </w:rPr>
        <w:t>homine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ille</w:t>
      </w:r>
      <w:proofErr w:type="spellEnd"/>
      <w:r w:rsidRPr="009D7635">
        <w:rPr>
          <w:rFonts w:ascii="Times New Roman" w:hAnsi="Times New Roman" w:cs="Times New Roman"/>
          <w:i/>
          <w:color w:val="000000" w:themeColor="text1"/>
          <w:sz w:val="20"/>
          <w:szCs w:val="20"/>
          <w:lang w:val="en-US"/>
        </w:rPr>
        <w:t xml:space="preserve"> tres </w:t>
      </w:r>
      <w:proofErr w:type="spellStart"/>
      <w:r w:rsidRPr="009D7635">
        <w:rPr>
          <w:rFonts w:ascii="Times New Roman" w:hAnsi="Times New Roman" w:cs="Times New Roman"/>
          <w:i/>
          <w:color w:val="000000" w:themeColor="text1"/>
          <w:sz w:val="20"/>
          <w:szCs w:val="20"/>
          <w:lang w:val="en-US"/>
        </w:rPr>
        <w:t>uniuntur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ita</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sint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anima. Et quod </w:t>
      </w:r>
      <w:proofErr w:type="spellStart"/>
      <w:r w:rsidRPr="009D7635">
        <w:rPr>
          <w:rFonts w:ascii="Times New Roman" w:hAnsi="Times New Roman" w:cs="Times New Roman"/>
          <w:i/>
          <w:color w:val="000000" w:themeColor="text1"/>
          <w:sz w:val="20"/>
          <w:szCs w:val="20"/>
          <w:lang w:val="en-US"/>
        </w:rPr>
        <w:t>sint</w:t>
      </w:r>
      <w:proofErr w:type="spellEnd"/>
      <w:r w:rsidRPr="009D7635">
        <w:rPr>
          <w:rFonts w:ascii="Times New Roman" w:hAnsi="Times New Roman" w:cs="Times New Roman"/>
          <w:i/>
          <w:color w:val="000000" w:themeColor="text1"/>
          <w:sz w:val="20"/>
          <w:szCs w:val="20"/>
          <w:lang w:val="en-US"/>
        </w:rPr>
        <w:t xml:space="preserve"> anima </w:t>
      </w:r>
      <w:proofErr w:type="spellStart"/>
      <w:r w:rsidRPr="009D7635">
        <w:rPr>
          <w:rFonts w:ascii="Times New Roman" w:hAnsi="Times New Roman" w:cs="Times New Roman"/>
          <w:i/>
          <w:color w:val="000000" w:themeColor="text1"/>
          <w:sz w:val="20"/>
          <w:szCs w:val="20"/>
          <w:lang w:val="en-US"/>
        </w:rPr>
        <w:t>habent</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completivo</w:t>
      </w:r>
      <w:proofErr w:type="spellEnd"/>
      <w:r w:rsidRPr="009D7635">
        <w:rPr>
          <w:rFonts w:ascii="Times New Roman" w:hAnsi="Times New Roman" w:cs="Times New Roman"/>
          <w:i/>
          <w:color w:val="000000" w:themeColor="text1"/>
          <w:sz w:val="20"/>
          <w:szCs w:val="20"/>
          <w:lang w:val="en-US"/>
        </w:rPr>
        <w:t xml:space="preserve">; et sic tres </w:t>
      </w:r>
      <w:proofErr w:type="spellStart"/>
      <w:r w:rsidRPr="009D7635">
        <w:rPr>
          <w:rFonts w:ascii="Times New Roman" w:hAnsi="Times New Roman" w:cs="Times New Roman"/>
          <w:i/>
          <w:color w:val="000000" w:themeColor="text1"/>
          <w:sz w:val="20"/>
          <w:szCs w:val="20"/>
          <w:lang w:val="en-US"/>
        </w:rPr>
        <w:t>substantie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incorporee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anima.</w:t>
      </w:r>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On page 237, Philip seems to deny that the soul is three substances. </w:t>
      </w:r>
      <w:r w:rsidRPr="009D7635">
        <w:rPr>
          <w:rFonts w:ascii="Times New Roman" w:hAnsi="Times New Roman" w:cs="Times New Roman"/>
          <w:color w:val="000000" w:themeColor="text1"/>
          <w:sz w:val="20"/>
          <w:szCs w:val="20"/>
          <w:lang w:val="en-US"/>
        </w:rPr>
        <w:t xml:space="preserve">Thus, </w:t>
      </w:r>
      <w:proofErr w:type="spellStart"/>
      <w:r w:rsidRPr="009D7635">
        <w:rPr>
          <w:rFonts w:ascii="Times New Roman" w:hAnsi="Times New Roman" w:cs="Times New Roman"/>
          <w:color w:val="000000" w:themeColor="text1"/>
          <w:sz w:val="20"/>
          <w:szCs w:val="20"/>
          <w:lang w:val="en-US"/>
        </w:rPr>
        <w:t>Wicki</w:t>
      </w:r>
      <w:proofErr w:type="spellEnd"/>
      <w:r w:rsidRPr="009D7635">
        <w:rPr>
          <w:rFonts w:ascii="Times New Roman" w:hAnsi="Times New Roman" w:cs="Times New Roman"/>
          <w:color w:val="000000" w:themeColor="text1"/>
          <w:sz w:val="20"/>
          <w:szCs w:val="20"/>
          <w:lang w:val="en-US"/>
        </w:rPr>
        <w:t xml:space="preserve"> and </w:t>
      </w:r>
      <w:proofErr w:type="spellStart"/>
      <w:r w:rsidRPr="009D7635">
        <w:rPr>
          <w:rFonts w:ascii="Times New Roman" w:hAnsi="Times New Roman" w:cs="Times New Roman"/>
          <w:color w:val="000000" w:themeColor="text1"/>
          <w:sz w:val="20"/>
          <w:szCs w:val="20"/>
          <w:lang w:val="en-US"/>
        </w:rPr>
        <w:t>Lottin</w:t>
      </w:r>
      <w:proofErr w:type="spellEnd"/>
      <w:r w:rsidRPr="009D7635">
        <w:rPr>
          <w:rFonts w:ascii="Times New Roman" w:hAnsi="Times New Roman" w:cs="Times New Roman"/>
          <w:color w:val="000000" w:themeColor="text1"/>
          <w:sz w:val="20"/>
          <w:szCs w:val="20"/>
          <w:lang w:val="en-US"/>
        </w:rPr>
        <w:t xml:space="preserve"> say that this is his position favors unicity. See </w:t>
      </w:r>
      <w:proofErr w:type="spellStart"/>
      <w:r w:rsidRPr="009D7635">
        <w:rPr>
          <w:rFonts w:ascii="Times New Roman" w:hAnsi="Times New Roman" w:cs="Times New Roman"/>
          <w:color w:val="000000" w:themeColor="text1"/>
          <w:sz w:val="20"/>
          <w:szCs w:val="20"/>
          <w:lang w:val="en-US"/>
        </w:rPr>
        <w:t>Lottin</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Psychologie</w:t>
      </w:r>
      <w:proofErr w:type="spellEnd"/>
      <w:r w:rsidRPr="009D7635">
        <w:rPr>
          <w:rFonts w:ascii="Times New Roman" w:hAnsi="Times New Roman" w:cs="Times New Roman"/>
          <w:i/>
          <w:color w:val="000000" w:themeColor="text1"/>
          <w:sz w:val="20"/>
          <w:szCs w:val="20"/>
          <w:lang w:val="en-US"/>
        </w:rPr>
        <w:t xml:space="preserve"> et morale</w:t>
      </w:r>
      <w:r w:rsidRPr="009D7635">
        <w:rPr>
          <w:rFonts w:ascii="Times New Roman" w:hAnsi="Times New Roman" w:cs="Times New Roman"/>
          <w:iCs/>
          <w:color w:val="000000" w:themeColor="text1"/>
          <w:sz w:val="20"/>
          <w:szCs w:val="20"/>
          <w:lang w:val="en-US"/>
        </w:rPr>
        <w:t>, vol. 1</w:t>
      </w:r>
      <w:r w:rsidRPr="009D7635">
        <w:rPr>
          <w:rFonts w:ascii="Times New Roman" w:hAnsi="Times New Roman" w:cs="Times New Roman"/>
          <w:color w:val="000000" w:themeColor="text1"/>
          <w:sz w:val="20"/>
          <w:szCs w:val="20"/>
          <w:lang w:val="en-US"/>
        </w:rPr>
        <w:t xml:space="preserve">, 467, 478-479. Nikolaus </w:t>
      </w:r>
      <w:proofErr w:type="spellStart"/>
      <w:r w:rsidRPr="009D7635">
        <w:rPr>
          <w:rFonts w:ascii="Times New Roman" w:hAnsi="Times New Roman" w:cs="Times New Roman"/>
          <w:color w:val="000000" w:themeColor="text1"/>
          <w:sz w:val="20"/>
          <w:szCs w:val="20"/>
          <w:lang w:val="en-US"/>
        </w:rPr>
        <w:t>Wicki</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Die </w:t>
      </w:r>
      <w:proofErr w:type="spellStart"/>
      <w:r w:rsidRPr="009D7635">
        <w:rPr>
          <w:rFonts w:ascii="Times New Roman" w:hAnsi="Times New Roman" w:cs="Times New Roman"/>
          <w:i/>
          <w:color w:val="000000" w:themeColor="text1"/>
          <w:sz w:val="20"/>
          <w:szCs w:val="20"/>
          <w:lang w:val="en-US"/>
        </w:rPr>
        <w:t>Philosophie</w:t>
      </w:r>
      <w:proofErr w:type="spellEnd"/>
      <w:r w:rsidRPr="009D7635">
        <w:rPr>
          <w:rFonts w:ascii="Times New Roman" w:hAnsi="Times New Roman" w:cs="Times New Roman"/>
          <w:i/>
          <w:color w:val="000000" w:themeColor="text1"/>
          <w:sz w:val="20"/>
          <w:szCs w:val="20"/>
          <w:lang w:val="en-US"/>
        </w:rPr>
        <w:t xml:space="preserve"> Philipps des </w:t>
      </w:r>
      <w:proofErr w:type="spellStart"/>
      <w:r w:rsidRPr="009D7635">
        <w:rPr>
          <w:rFonts w:ascii="Times New Roman" w:hAnsi="Times New Roman" w:cs="Times New Roman"/>
          <w:i/>
          <w:color w:val="000000" w:themeColor="text1"/>
          <w:sz w:val="20"/>
          <w:szCs w:val="20"/>
          <w:lang w:val="en-US"/>
        </w:rPr>
        <w:t>Kanzlers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ein</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philosophierender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Theologe</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i/>
          <w:iCs/>
          <w:color w:val="000000" w:themeColor="text1"/>
          <w:sz w:val="20"/>
          <w:szCs w:val="20"/>
          <w:lang w:val="en-US"/>
        </w:rPr>
        <w:t xml:space="preserve">des </w:t>
      </w:r>
      <w:proofErr w:type="spellStart"/>
      <w:r w:rsidRPr="009D7635">
        <w:rPr>
          <w:rFonts w:ascii="Times New Roman" w:hAnsi="Times New Roman" w:cs="Times New Roman"/>
          <w:i/>
          <w:iCs/>
          <w:color w:val="000000" w:themeColor="text1"/>
          <w:sz w:val="20"/>
          <w:szCs w:val="20"/>
          <w:lang w:val="en-US"/>
        </w:rPr>
        <w:t>frühen</w:t>
      </w:r>
      <w:proofErr w:type="spellEnd"/>
      <w:r w:rsidRPr="009D7635">
        <w:rPr>
          <w:rFonts w:ascii="Times New Roman" w:hAnsi="Times New Roman" w:cs="Times New Roman"/>
          <w:i/>
          <w:iCs/>
          <w:color w:val="000000" w:themeColor="text1"/>
          <w:sz w:val="20"/>
          <w:szCs w:val="20"/>
          <w:lang w:val="en-US"/>
        </w:rPr>
        <w:t xml:space="preserve"> 13. </w:t>
      </w:r>
      <w:proofErr w:type="spellStart"/>
      <w:r w:rsidRPr="009D7635">
        <w:rPr>
          <w:rFonts w:ascii="Times New Roman" w:hAnsi="Times New Roman" w:cs="Times New Roman"/>
          <w:i/>
          <w:iCs/>
          <w:color w:val="000000" w:themeColor="text1"/>
          <w:sz w:val="20"/>
          <w:szCs w:val="20"/>
          <w:lang w:val="en-US"/>
        </w:rPr>
        <w:t>Jahrhunderts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Fribourg</w:t>
      </w:r>
      <w:proofErr w:type="spellEnd"/>
      <w:r w:rsidRPr="009D7635">
        <w:rPr>
          <w:rFonts w:ascii="Times New Roman" w:hAnsi="Times New Roman" w:cs="Times New Roman"/>
          <w:color w:val="000000" w:themeColor="text1"/>
          <w:sz w:val="20"/>
          <w:szCs w:val="20"/>
          <w:lang w:val="en-US"/>
        </w:rPr>
        <w:t xml:space="preserve">: Academic Press, 2005), 102, 123. However, Magdalena </w:t>
      </w:r>
      <w:proofErr w:type="spellStart"/>
      <w:r w:rsidRPr="009D7635">
        <w:rPr>
          <w:rFonts w:ascii="Times New Roman" w:hAnsi="Times New Roman" w:cs="Times New Roman"/>
          <w:color w:val="000000" w:themeColor="text1"/>
          <w:sz w:val="20"/>
          <w:szCs w:val="20"/>
          <w:lang w:val="en-US"/>
        </w:rPr>
        <w:t>Bieniak</w:t>
      </w:r>
      <w:proofErr w:type="spellEnd"/>
      <w:r w:rsidRPr="009D7635">
        <w:rPr>
          <w:rFonts w:ascii="Times New Roman" w:hAnsi="Times New Roman" w:cs="Times New Roman"/>
          <w:color w:val="000000" w:themeColor="text1"/>
          <w:sz w:val="20"/>
          <w:szCs w:val="20"/>
          <w:lang w:val="en-US"/>
        </w:rPr>
        <w:t xml:space="preserve"> </w:t>
      </w:r>
      <w:r w:rsidR="00AF770E" w:rsidRPr="009D7635">
        <w:rPr>
          <w:rFonts w:ascii="Times New Roman" w:hAnsi="Times New Roman" w:cs="Times New Roman"/>
          <w:color w:val="000000" w:themeColor="text1"/>
          <w:sz w:val="20"/>
          <w:szCs w:val="20"/>
          <w:lang w:val="en-US"/>
        </w:rPr>
        <w:t>argues</w:t>
      </w:r>
      <w:r w:rsidRPr="009D7635">
        <w:rPr>
          <w:rFonts w:ascii="Times New Roman" w:hAnsi="Times New Roman" w:cs="Times New Roman"/>
          <w:color w:val="000000" w:themeColor="text1"/>
          <w:sz w:val="20"/>
          <w:szCs w:val="20"/>
          <w:lang w:val="en-US"/>
        </w:rPr>
        <w:t xml:space="preserve"> in </w:t>
      </w:r>
      <w:proofErr w:type="spellStart"/>
      <w:r w:rsidRPr="009D7635">
        <w:rPr>
          <w:rFonts w:ascii="Times New Roman" w:hAnsi="Times New Roman" w:cs="Times New Roman"/>
          <w:color w:val="000000" w:themeColor="text1"/>
          <w:sz w:val="20"/>
          <w:szCs w:val="20"/>
          <w:lang w:val="en-US"/>
        </w:rPr>
        <w:t>favour</w:t>
      </w:r>
      <w:proofErr w:type="spellEnd"/>
      <w:r w:rsidRPr="009D7635">
        <w:rPr>
          <w:rFonts w:ascii="Times New Roman" w:hAnsi="Times New Roman" w:cs="Times New Roman"/>
          <w:color w:val="000000" w:themeColor="text1"/>
          <w:sz w:val="20"/>
          <w:szCs w:val="20"/>
          <w:lang w:val="en-US"/>
        </w:rPr>
        <w:t xml:space="preserve"> of the idea that Philip does hold the pluralist position in </w:t>
      </w:r>
      <w:r w:rsidRPr="009D7635">
        <w:rPr>
          <w:rFonts w:ascii="Times New Roman" w:hAnsi="Times New Roman" w:cs="Times New Roman"/>
          <w:i/>
          <w:color w:val="000000" w:themeColor="text1"/>
          <w:sz w:val="20"/>
          <w:szCs w:val="20"/>
          <w:lang w:val="en-US"/>
        </w:rPr>
        <w:t>The Body-Soul Problem at Paris</w:t>
      </w:r>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122-3</w:t>
      </w:r>
      <w:r w:rsidR="006B1A5E" w:rsidRPr="009D7635">
        <w:rPr>
          <w:rFonts w:ascii="Times New Roman" w:hAnsi="Times New Roman" w:cs="Times New Roman"/>
          <w:color w:val="000000" w:themeColor="text1"/>
          <w:sz w:val="20"/>
          <w:szCs w:val="20"/>
          <w:lang w:val="en-US"/>
        </w:rPr>
        <w:t xml:space="preserve">; and idem., </w:t>
      </w:r>
      <w:r w:rsidRPr="009D7635">
        <w:rPr>
          <w:rFonts w:ascii="Times New Roman" w:hAnsi="Times New Roman" w:cs="Times New Roman"/>
          <w:color w:val="000000" w:themeColor="text1"/>
          <w:sz w:val="20"/>
          <w:szCs w:val="20"/>
        </w:rPr>
        <w:t xml:space="preserve">‘The Powers of the Soul in the Anthropology of Hugh of St Cher,’ in </w:t>
      </w:r>
      <w:r w:rsidRPr="009D7635">
        <w:rPr>
          <w:rFonts w:ascii="Times New Roman" w:hAnsi="Times New Roman" w:cs="Times New Roman"/>
          <w:i/>
          <w:color w:val="000000" w:themeColor="text1"/>
          <w:sz w:val="20"/>
          <w:szCs w:val="20"/>
        </w:rPr>
        <w:t xml:space="preserve">Psychology and Other Disciplines: A Case of Cross-Disciplinary </w:t>
      </w:r>
      <w:proofErr w:type="spellStart"/>
      <w:r w:rsidRPr="009D7635">
        <w:rPr>
          <w:rFonts w:ascii="Times New Roman" w:hAnsi="Times New Roman" w:cs="Times New Roman"/>
          <w:i/>
          <w:color w:val="000000" w:themeColor="text1"/>
          <w:sz w:val="20"/>
          <w:szCs w:val="20"/>
        </w:rPr>
        <w:t>Interactino</w:t>
      </w:r>
      <w:proofErr w:type="spellEnd"/>
      <w:r w:rsidRPr="009D7635">
        <w:rPr>
          <w:rFonts w:ascii="Times New Roman" w:hAnsi="Times New Roman" w:cs="Times New Roman"/>
          <w:i/>
          <w:color w:val="000000" w:themeColor="text1"/>
          <w:sz w:val="20"/>
          <w:szCs w:val="20"/>
        </w:rPr>
        <w:t xml:space="preserve"> (1250-1750)</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ed. Paul J.J.M. Bakker, Sander W. de Boer, Cees </w:t>
      </w:r>
      <w:proofErr w:type="spellStart"/>
      <w:r w:rsidRPr="009D7635">
        <w:rPr>
          <w:rFonts w:ascii="Times New Roman" w:hAnsi="Times New Roman" w:cs="Times New Roman"/>
          <w:color w:val="000000" w:themeColor="text1"/>
          <w:sz w:val="20"/>
          <w:szCs w:val="20"/>
        </w:rPr>
        <w:t>Leijenhorst</w:t>
      </w:r>
      <w:proofErr w:type="spellEnd"/>
      <w:r w:rsidRPr="009D7635">
        <w:rPr>
          <w:rFonts w:ascii="Times New Roman" w:hAnsi="Times New Roman" w:cs="Times New Roman"/>
          <w:color w:val="000000" w:themeColor="text1"/>
          <w:sz w:val="20"/>
          <w:szCs w:val="20"/>
        </w:rPr>
        <w:t xml:space="preserve"> (Leiden: Brill, 2012), 164</w:t>
      </w:r>
      <w:r w:rsidR="001E25AA"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w:t>
      </w:r>
      <w:r w:rsidR="00F315B2" w:rsidRPr="009D7635">
        <w:rPr>
          <w:rFonts w:ascii="Times New Roman" w:hAnsi="Times New Roman" w:cs="Times New Roman"/>
          <w:color w:val="000000" w:themeColor="text1"/>
          <w:sz w:val="20"/>
          <w:szCs w:val="20"/>
        </w:rPr>
        <w:t xml:space="preserve">See also </w:t>
      </w:r>
      <w:r w:rsidRPr="009D7635">
        <w:rPr>
          <w:rFonts w:ascii="Times New Roman" w:hAnsi="Times New Roman" w:cs="Times New Roman"/>
          <w:color w:val="000000" w:themeColor="text1"/>
          <w:sz w:val="20"/>
          <w:szCs w:val="20"/>
          <w:lang w:val="en-US"/>
        </w:rPr>
        <w:t xml:space="preserve">Roberto </w:t>
      </w:r>
      <w:proofErr w:type="spellStart"/>
      <w:r w:rsidRPr="009D7635">
        <w:rPr>
          <w:rFonts w:ascii="Times New Roman" w:hAnsi="Times New Roman" w:cs="Times New Roman"/>
          <w:color w:val="000000" w:themeColor="text1"/>
          <w:sz w:val="20"/>
          <w:szCs w:val="20"/>
          <w:lang w:val="en-US"/>
        </w:rPr>
        <w:t>Zavalloni</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Richard de </w:t>
      </w:r>
      <w:proofErr w:type="spellStart"/>
      <w:r w:rsidRPr="009D7635">
        <w:rPr>
          <w:rFonts w:ascii="Times New Roman" w:hAnsi="Times New Roman" w:cs="Times New Roman"/>
          <w:i/>
          <w:color w:val="000000" w:themeColor="text1"/>
          <w:sz w:val="20"/>
          <w:szCs w:val="20"/>
          <w:lang w:val="en-US"/>
        </w:rPr>
        <w:t>Mediavilla</w:t>
      </w:r>
      <w:proofErr w:type="spellEnd"/>
      <w:r w:rsidRPr="009D7635">
        <w:rPr>
          <w:rFonts w:ascii="Times New Roman" w:hAnsi="Times New Roman" w:cs="Times New Roman"/>
          <w:i/>
          <w:color w:val="000000" w:themeColor="text1"/>
          <w:sz w:val="20"/>
          <w:szCs w:val="20"/>
          <w:lang w:val="en-US"/>
        </w:rPr>
        <w:t xml:space="preserve"> et la </w:t>
      </w:r>
      <w:proofErr w:type="spellStart"/>
      <w:r w:rsidRPr="009D7635">
        <w:rPr>
          <w:rFonts w:ascii="Times New Roman" w:hAnsi="Times New Roman" w:cs="Times New Roman"/>
          <w:i/>
          <w:color w:val="000000" w:themeColor="text1"/>
          <w:sz w:val="20"/>
          <w:szCs w:val="20"/>
          <w:lang w:val="en-US"/>
        </w:rPr>
        <w:t>controverse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sur</w:t>
      </w:r>
      <w:proofErr w:type="spellEnd"/>
      <w:r w:rsidRPr="009D7635">
        <w:rPr>
          <w:rFonts w:ascii="Times New Roman" w:hAnsi="Times New Roman" w:cs="Times New Roman"/>
          <w:i/>
          <w:color w:val="000000" w:themeColor="text1"/>
          <w:sz w:val="20"/>
          <w:szCs w:val="20"/>
          <w:lang w:val="en-US"/>
        </w:rPr>
        <w:t xml:space="preserve"> la </w:t>
      </w:r>
      <w:proofErr w:type="spellStart"/>
      <w:r w:rsidRPr="009D7635">
        <w:rPr>
          <w:rFonts w:ascii="Times New Roman" w:hAnsi="Times New Roman" w:cs="Times New Roman"/>
          <w:i/>
          <w:color w:val="000000" w:themeColor="text1"/>
          <w:sz w:val="20"/>
          <w:szCs w:val="20"/>
          <w:lang w:val="en-US"/>
        </w:rPr>
        <w:t>pluralité</w:t>
      </w:r>
      <w:proofErr w:type="spellEnd"/>
      <w:r w:rsidRPr="009D7635">
        <w:rPr>
          <w:rFonts w:ascii="Times New Roman" w:hAnsi="Times New Roman" w:cs="Times New Roman"/>
          <w:i/>
          <w:color w:val="000000" w:themeColor="text1"/>
          <w:sz w:val="20"/>
          <w:szCs w:val="20"/>
          <w:lang w:val="en-US"/>
        </w:rPr>
        <w:t xml:space="preserve"> des forms</w:t>
      </w:r>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Louvain</w:t>
      </w:r>
      <w:proofErr w:type="spellEnd"/>
      <w:r w:rsidRPr="009D7635">
        <w:rPr>
          <w:rFonts w:ascii="Times New Roman" w:hAnsi="Times New Roman" w:cs="Times New Roman"/>
          <w:color w:val="000000" w:themeColor="text1"/>
          <w:sz w:val="20"/>
          <w:szCs w:val="20"/>
          <w:lang w:val="en-US"/>
        </w:rPr>
        <w:t xml:space="preserve">: Editions de </w:t>
      </w:r>
      <w:proofErr w:type="spellStart"/>
      <w:r w:rsidRPr="009D7635">
        <w:rPr>
          <w:rFonts w:ascii="Times New Roman" w:hAnsi="Times New Roman" w:cs="Times New Roman"/>
          <w:color w:val="000000" w:themeColor="text1"/>
          <w:sz w:val="20"/>
          <w:szCs w:val="20"/>
          <w:lang w:val="en-US"/>
        </w:rPr>
        <w:t>l’Institut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superieur</w:t>
      </w:r>
      <w:proofErr w:type="spellEnd"/>
      <w:r w:rsidRPr="009D7635">
        <w:rPr>
          <w:rFonts w:ascii="Times New Roman" w:hAnsi="Times New Roman" w:cs="Times New Roman"/>
          <w:color w:val="000000" w:themeColor="text1"/>
          <w:sz w:val="20"/>
          <w:szCs w:val="20"/>
          <w:lang w:val="en-US"/>
        </w:rPr>
        <w:t xml:space="preserve"> de </w:t>
      </w:r>
      <w:proofErr w:type="spellStart"/>
      <w:r w:rsidRPr="009D7635">
        <w:rPr>
          <w:rFonts w:ascii="Times New Roman" w:hAnsi="Times New Roman" w:cs="Times New Roman"/>
          <w:color w:val="000000" w:themeColor="text1"/>
          <w:sz w:val="20"/>
          <w:szCs w:val="20"/>
          <w:lang w:val="en-US"/>
        </w:rPr>
        <w:t>philosophie</w:t>
      </w:r>
      <w:proofErr w:type="spellEnd"/>
      <w:r w:rsidRPr="009D7635">
        <w:rPr>
          <w:rFonts w:ascii="Times New Roman" w:hAnsi="Times New Roman" w:cs="Times New Roman"/>
          <w:color w:val="000000" w:themeColor="text1"/>
          <w:sz w:val="20"/>
          <w:szCs w:val="20"/>
          <w:lang w:val="en-US"/>
        </w:rPr>
        <w:t>, 1951), 397-8, 407-9</w:t>
      </w:r>
      <w:r w:rsidR="0047593B"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‘La </w:t>
      </w:r>
      <w:proofErr w:type="spellStart"/>
      <w:r w:rsidRPr="009D7635">
        <w:rPr>
          <w:rFonts w:ascii="Times New Roman" w:hAnsi="Times New Roman" w:cs="Times New Roman"/>
          <w:color w:val="000000" w:themeColor="text1"/>
          <w:sz w:val="20"/>
          <w:szCs w:val="20"/>
        </w:rPr>
        <w:t>pluralité</w:t>
      </w:r>
      <w:proofErr w:type="spellEnd"/>
      <w:r w:rsidRPr="009D7635">
        <w:rPr>
          <w:rFonts w:ascii="Times New Roman" w:hAnsi="Times New Roman" w:cs="Times New Roman"/>
          <w:color w:val="000000" w:themeColor="text1"/>
          <w:sz w:val="20"/>
          <w:szCs w:val="20"/>
        </w:rPr>
        <w:t xml:space="preserve"> des forms </w:t>
      </w:r>
      <w:proofErr w:type="spellStart"/>
      <w:r w:rsidRPr="009D7635">
        <w:rPr>
          <w:rFonts w:ascii="Times New Roman" w:hAnsi="Times New Roman" w:cs="Times New Roman"/>
          <w:color w:val="000000" w:themeColor="text1"/>
          <w:sz w:val="20"/>
          <w:szCs w:val="20"/>
        </w:rPr>
        <w:t>substantielles</w:t>
      </w:r>
      <w:proofErr w:type="spellEnd"/>
      <w:r w:rsidRPr="009D7635">
        <w:rPr>
          <w:rFonts w:ascii="Times New Roman" w:hAnsi="Times New Roman" w:cs="Times New Roman"/>
          <w:color w:val="000000" w:themeColor="text1"/>
          <w:sz w:val="20"/>
          <w:szCs w:val="20"/>
        </w:rPr>
        <w:t xml:space="preserve"> avant saint Thomas </w:t>
      </w:r>
      <w:proofErr w:type="spellStart"/>
      <w:r w:rsidRPr="009D7635">
        <w:rPr>
          <w:rFonts w:ascii="Times New Roman" w:hAnsi="Times New Roman" w:cs="Times New Roman"/>
          <w:color w:val="000000" w:themeColor="text1"/>
          <w:sz w:val="20"/>
          <w:szCs w:val="20"/>
        </w:rPr>
        <w:t>d’Aquin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Quelques</w:t>
      </w:r>
      <w:proofErr w:type="spellEnd"/>
      <w:r w:rsidRPr="009D7635">
        <w:rPr>
          <w:rFonts w:ascii="Times New Roman" w:hAnsi="Times New Roman" w:cs="Times New Roman"/>
          <w:color w:val="000000" w:themeColor="text1"/>
          <w:sz w:val="20"/>
          <w:szCs w:val="20"/>
        </w:rPr>
        <w:t xml:space="preserve"> documents nouveaux,’ </w:t>
      </w:r>
      <w:r w:rsidRPr="009D7635">
        <w:rPr>
          <w:rFonts w:ascii="Times New Roman" w:hAnsi="Times New Roman" w:cs="Times New Roman"/>
          <w:i/>
          <w:color w:val="000000" w:themeColor="text1"/>
          <w:sz w:val="20"/>
          <w:szCs w:val="20"/>
        </w:rPr>
        <w:t xml:space="preserve">Revue </w:t>
      </w:r>
      <w:proofErr w:type="spellStart"/>
      <w:r w:rsidRPr="009D7635">
        <w:rPr>
          <w:rFonts w:ascii="Times New Roman" w:hAnsi="Times New Roman" w:cs="Times New Roman"/>
          <w:i/>
          <w:color w:val="000000" w:themeColor="text1"/>
          <w:sz w:val="20"/>
          <w:szCs w:val="20"/>
        </w:rPr>
        <w:t>néo-scolastique</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philosophie</w:t>
      </w:r>
      <w:proofErr w:type="spellEnd"/>
      <w:r w:rsidRPr="009D7635">
        <w:rPr>
          <w:rFonts w:ascii="Times New Roman" w:hAnsi="Times New Roman" w:cs="Times New Roman"/>
          <w:color w:val="000000" w:themeColor="text1"/>
          <w:sz w:val="20"/>
          <w:szCs w:val="20"/>
        </w:rPr>
        <w:t xml:space="preserve"> 34 (1932)</w:t>
      </w:r>
      <w:r w:rsidR="00841E1C"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451-8. </w:t>
      </w:r>
    </w:p>
  </w:footnote>
  <w:footnote w:id="492">
    <w:p w14:paraId="45283D30"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lang w:val="en-US"/>
        </w:rPr>
        <w:t>Summa de bono</w:t>
      </w:r>
      <w:r w:rsidRPr="009D7635">
        <w:rPr>
          <w:rFonts w:ascii="Times New Roman" w:hAnsi="Times New Roman" w:cs="Times New Roman"/>
          <w:iCs/>
          <w:color w:val="000000" w:themeColor="text1"/>
          <w:lang w:val="en-US"/>
        </w:rPr>
        <w:t>,</w:t>
      </w:r>
      <w:r w:rsidRPr="009D7635">
        <w:rPr>
          <w:rFonts w:ascii="Times New Roman" w:hAnsi="Times New Roman" w:cs="Times New Roman"/>
          <w:color w:val="000000" w:themeColor="text1"/>
        </w:rPr>
        <w:t xml:space="preserve"> 232-4.</w:t>
      </w:r>
    </w:p>
  </w:footnote>
  <w:footnote w:id="493">
    <w:p w14:paraId="33C030D5" w14:textId="0E40B9AD"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841E1C" w:rsidRPr="009D7635">
        <w:rPr>
          <w:rFonts w:ascii="Times New Roman" w:hAnsi="Times New Roman" w:cs="Times New Roman"/>
          <w:iCs/>
          <w:color w:val="000000" w:themeColor="text1"/>
          <w:lang w:val="en-US"/>
        </w:rPr>
        <w:t>Ibid.,</w:t>
      </w:r>
      <w:r w:rsidRPr="009D7635">
        <w:rPr>
          <w:rFonts w:ascii="Times New Roman" w:hAnsi="Times New Roman" w:cs="Times New Roman"/>
          <w:iCs/>
          <w:color w:val="000000" w:themeColor="text1"/>
          <w:lang w:val="en-US"/>
        </w:rPr>
        <w:t xml:space="preserve"> </w:t>
      </w:r>
      <w:r w:rsidRPr="009D7635">
        <w:rPr>
          <w:rFonts w:ascii="Times New Roman" w:hAnsi="Times New Roman" w:cs="Times New Roman"/>
          <w:color w:val="000000" w:themeColor="text1"/>
        </w:rPr>
        <w:t>235.</w:t>
      </w:r>
    </w:p>
  </w:footnote>
  <w:footnote w:id="494">
    <w:p w14:paraId="6F1E1F69" w14:textId="020498EB"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841E1C" w:rsidRPr="009D7635">
        <w:rPr>
          <w:rFonts w:ascii="Times New Roman" w:hAnsi="Times New Roman" w:cs="Times New Roman"/>
          <w:iCs/>
          <w:color w:val="000000" w:themeColor="text1"/>
          <w:lang w:val="en-US"/>
        </w:rPr>
        <w:t xml:space="preserve">Ibid., </w:t>
      </w:r>
      <w:r w:rsidRPr="009D7635">
        <w:rPr>
          <w:rFonts w:ascii="Times New Roman" w:hAnsi="Times New Roman" w:cs="Times New Roman"/>
          <w:color w:val="000000" w:themeColor="text1"/>
        </w:rPr>
        <w:t>233.</w:t>
      </w:r>
    </w:p>
  </w:footnote>
  <w:footnote w:id="495">
    <w:p w14:paraId="71A7FCA6" w14:textId="0F83D31D"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Richard C. Dales, </w:t>
      </w:r>
      <w:r w:rsidRPr="009D7635">
        <w:rPr>
          <w:rFonts w:ascii="Times New Roman" w:hAnsi="Times New Roman" w:cs="Times New Roman"/>
          <w:i/>
          <w:color w:val="000000" w:themeColor="text1"/>
          <w:lang w:val="en-US"/>
        </w:rPr>
        <w:t xml:space="preserve">The Problem of the Rational Soul in the Thirteenth Century </w:t>
      </w:r>
      <w:r w:rsidRPr="009D7635">
        <w:rPr>
          <w:rFonts w:ascii="Times New Roman" w:hAnsi="Times New Roman" w:cs="Times New Roman"/>
          <w:color w:val="000000" w:themeColor="text1"/>
          <w:lang w:val="en-US"/>
        </w:rPr>
        <w:t>(Leiden: Brill, 1995),</w:t>
      </w:r>
      <w:r w:rsidRPr="009D7635">
        <w:rPr>
          <w:rFonts w:ascii="Times New Roman" w:hAnsi="Times New Roman" w:cs="Times New Roman"/>
          <w:color w:val="000000" w:themeColor="text1"/>
        </w:rPr>
        <w:t xml:space="preserve"> 14; DSEA, </w:t>
      </w:r>
      <w:r w:rsidR="0025789E" w:rsidRPr="009D7635">
        <w:rPr>
          <w:rFonts w:ascii="Times New Roman" w:hAnsi="Times New Roman" w:cs="Times New Roman"/>
          <w:color w:val="000000" w:themeColor="text1"/>
        </w:rPr>
        <w:t>trans. Clark</w:t>
      </w:r>
      <w:r w:rsidRPr="009D7635">
        <w:rPr>
          <w:rFonts w:ascii="Times New Roman" w:hAnsi="Times New Roman" w:cs="Times New Roman"/>
          <w:color w:val="000000" w:themeColor="text1"/>
        </w:rPr>
        <w:t xml:space="preserve">, 257; </w:t>
      </w:r>
      <w:proofErr w:type="spellStart"/>
      <w:r w:rsidRPr="009D7635">
        <w:rPr>
          <w:rFonts w:ascii="Times New Roman" w:hAnsi="Times New Roman" w:cs="Times New Roman"/>
          <w:bCs/>
          <w:i/>
          <w:iCs/>
          <w:color w:val="000000" w:themeColor="text1"/>
        </w:rPr>
        <w:t>Iohannes</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Blund</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Tractatus</w:t>
      </w:r>
      <w:proofErr w:type="spellEnd"/>
      <w:r w:rsidRPr="009D7635">
        <w:rPr>
          <w:rFonts w:ascii="Times New Roman" w:hAnsi="Times New Roman" w:cs="Times New Roman"/>
          <w:bCs/>
          <w:i/>
          <w:iCs/>
          <w:color w:val="000000" w:themeColor="text1"/>
        </w:rPr>
        <w:t xml:space="preserve"> De Anima</w:t>
      </w:r>
      <w:r w:rsidRPr="009D7635">
        <w:rPr>
          <w:rFonts w:ascii="Times New Roman" w:hAnsi="Times New Roman" w:cs="Times New Roman"/>
          <w:bCs/>
          <w:color w:val="000000" w:themeColor="text1"/>
        </w:rPr>
        <w:t xml:space="preserve">, </w:t>
      </w:r>
      <w:r w:rsidRPr="009D7635">
        <w:rPr>
          <w:rFonts w:ascii="Times New Roman" w:hAnsi="Times New Roman" w:cs="Times New Roman"/>
          <w:color w:val="000000" w:themeColor="text1"/>
        </w:rPr>
        <w:t xml:space="preserve">201. Both affirm the soul was created. </w:t>
      </w:r>
    </w:p>
  </w:footnote>
  <w:footnote w:id="496">
    <w:p w14:paraId="54944FBC"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lang w:val="en-US"/>
        </w:rPr>
        <w:t>Summa de bono</w:t>
      </w:r>
      <w:r w:rsidRPr="009D7635">
        <w:rPr>
          <w:rFonts w:ascii="Times New Roman" w:hAnsi="Times New Roman" w:cs="Times New Roman"/>
          <w:iCs/>
          <w:color w:val="000000" w:themeColor="text1"/>
          <w:lang w:val="en-US"/>
        </w:rPr>
        <w:t xml:space="preserve">, </w:t>
      </w:r>
      <w:r w:rsidRPr="009D7635">
        <w:rPr>
          <w:rFonts w:ascii="Times New Roman" w:hAnsi="Times New Roman" w:cs="Times New Roman"/>
          <w:color w:val="000000" w:themeColor="text1"/>
        </w:rPr>
        <w:t xml:space="preserve">233: </w:t>
      </w:r>
      <w:r w:rsidRPr="009D7635">
        <w:rPr>
          <w:rFonts w:ascii="Times New Roman" w:hAnsi="Times New Roman" w:cs="Times New Roman"/>
          <w:i/>
          <w:color w:val="000000" w:themeColor="text1"/>
        </w:rPr>
        <w:t xml:space="preserve">Non </w:t>
      </w:r>
      <w:proofErr w:type="spellStart"/>
      <w:r w:rsidRPr="009D7635">
        <w:rPr>
          <w:rFonts w:ascii="Times New Roman" w:hAnsi="Times New Roman" w:cs="Times New Roman"/>
          <w:i/>
          <w:color w:val="000000" w:themeColor="text1"/>
        </w:rPr>
        <w:t>tamen</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sunt</w:t>
      </w:r>
      <w:proofErr w:type="spellEnd"/>
      <w:r w:rsidRPr="009D7635">
        <w:rPr>
          <w:rFonts w:ascii="Times New Roman" w:hAnsi="Times New Roman" w:cs="Times New Roman"/>
          <w:i/>
          <w:color w:val="000000" w:themeColor="text1"/>
        </w:rPr>
        <w:t xml:space="preserve"> tres anime </w:t>
      </w:r>
      <w:proofErr w:type="spellStart"/>
      <w:r w:rsidRPr="009D7635">
        <w:rPr>
          <w:rFonts w:ascii="Times New Roman" w:hAnsi="Times New Roman" w:cs="Times New Roman"/>
          <w:i/>
          <w:color w:val="000000" w:themeColor="text1"/>
        </w:rPr>
        <w:t>eo</w:t>
      </w:r>
      <w:proofErr w:type="spellEnd"/>
      <w:r w:rsidRPr="009D7635">
        <w:rPr>
          <w:rFonts w:ascii="Times New Roman" w:hAnsi="Times New Roman" w:cs="Times New Roman"/>
          <w:i/>
          <w:color w:val="000000" w:themeColor="text1"/>
        </w:rPr>
        <w:t xml:space="preserve"> quod anima nomen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perfectionis</w:t>
      </w:r>
      <w:proofErr w:type="spellEnd"/>
      <w:r w:rsidRPr="009D7635">
        <w:rPr>
          <w:rFonts w:ascii="Times New Roman" w:hAnsi="Times New Roman" w:cs="Times New Roman"/>
          <w:i/>
          <w:color w:val="000000" w:themeColor="text1"/>
        </w:rPr>
        <w:t>…</w:t>
      </w:r>
      <w:proofErr w:type="spellStart"/>
      <w:r w:rsidRPr="009D7635">
        <w:rPr>
          <w:rFonts w:ascii="Times New Roman" w:hAnsi="Times New Roman" w:cs="Times New Roman"/>
          <w:i/>
          <w:color w:val="000000" w:themeColor="text1"/>
        </w:rPr>
        <w:t>ille</w:t>
      </w:r>
      <w:proofErr w:type="spellEnd"/>
      <w:r w:rsidRPr="009D7635">
        <w:rPr>
          <w:rFonts w:ascii="Times New Roman" w:hAnsi="Times New Roman" w:cs="Times New Roman"/>
          <w:i/>
          <w:color w:val="000000" w:themeColor="text1"/>
        </w:rPr>
        <w:t xml:space="preserve"> tres </w:t>
      </w:r>
      <w:proofErr w:type="spellStart"/>
      <w:r w:rsidRPr="009D7635">
        <w:rPr>
          <w:rFonts w:ascii="Times New Roman" w:hAnsi="Times New Roman" w:cs="Times New Roman"/>
          <w:i/>
          <w:color w:val="000000" w:themeColor="text1"/>
        </w:rPr>
        <w:t>uniuntur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ita</w:t>
      </w:r>
      <w:proofErr w:type="spellEnd"/>
      <w:r w:rsidRPr="009D7635">
        <w:rPr>
          <w:rFonts w:ascii="Times New Roman" w:hAnsi="Times New Roman" w:cs="Times New Roman"/>
          <w:i/>
          <w:color w:val="000000" w:themeColor="text1"/>
        </w:rPr>
        <w:t xml:space="preserve"> quod </w:t>
      </w:r>
      <w:proofErr w:type="spellStart"/>
      <w:r w:rsidRPr="009D7635">
        <w:rPr>
          <w:rFonts w:ascii="Times New Roman" w:hAnsi="Times New Roman" w:cs="Times New Roman"/>
          <w:i/>
          <w:color w:val="000000" w:themeColor="text1"/>
        </w:rPr>
        <w:t>sint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una</w:t>
      </w:r>
      <w:proofErr w:type="spellEnd"/>
      <w:r w:rsidRPr="009D7635">
        <w:rPr>
          <w:rFonts w:ascii="Times New Roman" w:hAnsi="Times New Roman" w:cs="Times New Roman"/>
          <w:i/>
          <w:color w:val="000000" w:themeColor="text1"/>
        </w:rPr>
        <w:t xml:space="preserve"> anima.</w:t>
      </w:r>
    </w:p>
  </w:footnote>
  <w:footnote w:id="497">
    <w:p w14:paraId="58C3BAA2" w14:textId="19A30681"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As noted above, a similar position was held by Thomas Aquinas</w:t>
      </w:r>
      <w:r w:rsidR="006B1647"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as Robert Pasnau has shown in his article on ‘Souls and the Beginning of Life,’ </w:t>
      </w:r>
      <w:r w:rsidRPr="009D7635">
        <w:rPr>
          <w:rFonts w:ascii="Times New Roman" w:hAnsi="Times New Roman" w:cs="Times New Roman"/>
          <w:i/>
          <w:color w:val="000000" w:themeColor="text1"/>
        </w:rPr>
        <w:t xml:space="preserve">Philosophy </w:t>
      </w:r>
      <w:r w:rsidRPr="009D7635">
        <w:rPr>
          <w:rFonts w:ascii="Times New Roman" w:hAnsi="Times New Roman" w:cs="Times New Roman"/>
          <w:color w:val="000000" w:themeColor="text1"/>
        </w:rPr>
        <w:t>78: 306 (October 2003)</w:t>
      </w:r>
      <w:r w:rsidR="00EA21FE"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509-19. Here and in his </w:t>
      </w:r>
      <w:r w:rsidRPr="009D7635">
        <w:rPr>
          <w:rFonts w:ascii="Times New Roman" w:hAnsi="Times New Roman" w:cs="Times New Roman"/>
          <w:i/>
          <w:color w:val="000000" w:themeColor="text1"/>
        </w:rPr>
        <w:t xml:space="preserve">Thomas Aquinas on Human Nature: A Philosophical Study of the Summa </w:t>
      </w:r>
      <w:proofErr w:type="spellStart"/>
      <w:r w:rsidRPr="009D7635">
        <w:rPr>
          <w:rFonts w:ascii="Times New Roman" w:hAnsi="Times New Roman" w:cs="Times New Roman"/>
          <w:i/>
          <w:color w:val="000000" w:themeColor="text1"/>
        </w:rPr>
        <w:t>Theologiae</w:t>
      </w:r>
      <w:proofErr w:type="spellEnd"/>
      <w:r w:rsidRPr="009D7635">
        <w:rPr>
          <w:rFonts w:ascii="Times New Roman" w:hAnsi="Times New Roman" w:cs="Times New Roman"/>
          <w:i/>
          <w:color w:val="000000" w:themeColor="text1"/>
        </w:rPr>
        <w:t xml:space="preserve"> Ia 75-89 </w:t>
      </w:r>
      <w:r w:rsidRPr="009D7635">
        <w:rPr>
          <w:rFonts w:ascii="Times New Roman" w:hAnsi="Times New Roman" w:cs="Times New Roman"/>
          <w:color w:val="000000" w:themeColor="text1"/>
        </w:rPr>
        <w:t xml:space="preserve">(Cambridge: Cambridge University Press, 2001), Pasnau takes this argument as a basis for his claim that Aquinas’ thought does not preclude abortion early in a pregnancy. I find Pasnau’s arguments compelling, though they have been contested by John Haldane and Patrick Lee in, ‘Aquinas on Human Ensoulment: Abortion and the Value of Life,’ </w:t>
      </w:r>
      <w:r w:rsidRPr="009D7635">
        <w:rPr>
          <w:rFonts w:ascii="Times New Roman" w:hAnsi="Times New Roman" w:cs="Times New Roman"/>
          <w:i/>
          <w:color w:val="000000" w:themeColor="text1"/>
        </w:rPr>
        <w:t xml:space="preserve">Philosophy </w:t>
      </w:r>
      <w:r w:rsidRPr="009D7635">
        <w:rPr>
          <w:rFonts w:ascii="Times New Roman" w:hAnsi="Times New Roman" w:cs="Times New Roman"/>
          <w:color w:val="000000" w:themeColor="text1"/>
        </w:rPr>
        <w:t>78:304 (April 2003)</w:t>
      </w:r>
      <w:r w:rsidR="00EA21FE"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255-278. </w:t>
      </w:r>
    </w:p>
  </w:footnote>
  <w:footnote w:id="498">
    <w:p w14:paraId="67DBC2CC" w14:textId="1E8E3C1C"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Michaud-Quantin</w:t>
      </w:r>
      <w:proofErr w:type="spellEnd"/>
      <w:r w:rsidRPr="009D7635">
        <w:rPr>
          <w:rFonts w:ascii="Times New Roman" w:hAnsi="Times New Roman" w:cs="Times New Roman"/>
          <w:color w:val="000000" w:themeColor="text1"/>
        </w:rPr>
        <w:t xml:space="preserve">, ‘La classification des </w:t>
      </w:r>
      <w:proofErr w:type="spellStart"/>
      <w:r w:rsidRPr="009D7635">
        <w:rPr>
          <w:rFonts w:ascii="Times New Roman" w:hAnsi="Times New Roman" w:cs="Times New Roman"/>
          <w:color w:val="000000" w:themeColor="text1"/>
        </w:rPr>
        <w:t>puissances</w:t>
      </w:r>
      <w:proofErr w:type="spellEnd"/>
      <w:r w:rsidRPr="009D7635">
        <w:rPr>
          <w:rFonts w:ascii="Times New Roman" w:hAnsi="Times New Roman" w:cs="Times New Roman"/>
          <w:color w:val="000000" w:themeColor="text1"/>
        </w:rPr>
        <w:t xml:space="preserve"> de </w:t>
      </w:r>
      <w:proofErr w:type="spellStart"/>
      <w:r w:rsidR="00D71B3E" w:rsidRPr="009D7635">
        <w:rPr>
          <w:rFonts w:ascii="Times New Roman" w:hAnsi="Times New Roman" w:cs="Times New Roman"/>
          <w:color w:val="000000" w:themeColor="text1"/>
        </w:rPr>
        <w:t>l’âme</w:t>
      </w:r>
      <w:proofErr w:type="spellEnd"/>
      <w:r w:rsidRPr="009D7635">
        <w:rPr>
          <w:rFonts w:ascii="Times New Roman" w:hAnsi="Times New Roman" w:cs="Times New Roman"/>
          <w:color w:val="000000" w:themeColor="text1"/>
        </w:rPr>
        <w:t xml:space="preserve"> au XIIe siècle,’ </w:t>
      </w:r>
      <w:r w:rsidRPr="009D7635">
        <w:rPr>
          <w:rFonts w:ascii="Times New Roman" w:hAnsi="Times New Roman" w:cs="Times New Roman"/>
          <w:i/>
          <w:color w:val="000000" w:themeColor="text1"/>
        </w:rPr>
        <w:t xml:space="preserve">Revue du </w:t>
      </w:r>
      <w:proofErr w:type="spellStart"/>
      <w:r w:rsidRPr="009D7635">
        <w:rPr>
          <w:rFonts w:ascii="Times New Roman" w:hAnsi="Times New Roman" w:cs="Times New Roman"/>
          <w:i/>
          <w:color w:val="000000" w:themeColor="text1"/>
        </w:rPr>
        <w:t>Moyen</w:t>
      </w:r>
      <w:proofErr w:type="spellEnd"/>
      <w:r w:rsidRPr="009D7635">
        <w:rPr>
          <w:rFonts w:ascii="Times New Roman" w:hAnsi="Times New Roman" w:cs="Times New Roman"/>
          <w:i/>
          <w:color w:val="000000" w:themeColor="text1"/>
        </w:rPr>
        <w:t xml:space="preserve"> Age Latin</w:t>
      </w:r>
      <w:r w:rsidRPr="009D7635">
        <w:rPr>
          <w:rFonts w:ascii="Times New Roman" w:hAnsi="Times New Roman" w:cs="Times New Roman"/>
          <w:color w:val="000000" w:themeColor="text1"/>
        </w:rPr>
        <w:t xml:space="preserve"> 5 (1949)</w:t>
      </w:r>
      <w:r w:rsidR="00483CAD"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23.</w:t>
      </w:r>
    </w:p>
  </w:footnote>
  <w:footnote w:id="499">
    <w:p w14:paraId="74CD062A"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lang w:val="en-US"/>
        </w:rPr>
        <w:t>Summa de bono</w:t>
      </w:r>
      <w:r w:rsidRPr="009D7635">
        <w:rPr>
          <w:rFonts w:ascii="Times New Roman" w:hAnsi="Times New Roman" w:cs="Times New Roman"/>
          <w:iCs/>
          <w:color w:val="000000" w:themeColor="text1"/>
          <w:lang w:val="en-US"/>
        </w:rPr>
        <w:t xml:space="preserve">, </w:t>
      </w:r>
      <w:r w:rsidRPr="009D7635">
        <w:rPr>
          <w:rFonts w:ascii="Times New Roman" w:hAnsi="Times New Roman" w:cs="Times New Roman"/>
          <w:color w:val="000000" w:themeColor="text1"/>
        </w:rPr>
        <w:t>236.</w:t>
      </w:r>
    </w:p>
  </w:footnote>
  <w:footnote w:id="500">
    <w:p w14:paraId="78727556" w14:textId="46170900"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008E7B59" w:rsidRPr="009D7635">
        <w:rPr>
          <w:rFonts w:ascii="Times New Roman" w:hAnsi="Times New Roman" w:cs="Times New Roman"/>
          <w:i/>
          <w:color w:val="000000" w:themeColor="text1"/>
        </w:rPr>
        <w:t>Summae</w:t>
      </w:r>
      <w:proofErr w:type="spellEnd"/>
      <w:r w:rsidR="008E7B59" w:rsidRPr="009D7635">
        <w:rPr>
          <w:rFonts w:ascii="Times New Roman" w:hAnsi="Times New Roman" w:cs="Times New Roman"/>
          <w:i/>
          <w:color w:val="000000" w:themeColor="text1"/>
        </w:rPr>
        <w:t xml:space="preserve"> </w:t>
      </w:r>
      <w:proofErr w:type="spellStart"/>
      <w:r w:rsidR="008E7B59" w:rsidRPr="009D7635">
        <w:rPr>
          <w:rFonts w:ascii="Times New Roman" w:hAnsi="Times New Roman" w:cs="Times New Roman"/>
          <w:i/>
          <w:color w:val="000000" w:themeColor="text1"/>
        </w:rPr>
        <w:t>Magistri</w:t>
      </w:r>
      <w:proofErr w:type="spellEnd"/>
      <w:r w:rsidR="008E7B59" w:rsidRPr="009D7635">
        <w:rPr>
          <w:rFonts w:ascii="Times New Roman" w:hAnsi="Times New Roman" w:cs="Times New Roman"/>
          <w:i/>
          <w:color w:val="000000" w:themeColor="text1"/>
        </w:rPr>
        <w:t xml:space="preserve"> </w:t>
      </w:r>
      <w:proofErr w:type="spellStart"/>
      <w:r w:rsidR="008E7B59" w:rsidRPr="009D7635">
        <w:rPr>
          <w:rFonts w:ascii="Times New Roman" w:hAnsi="Times New Roman" w:cs="Times New Roman"/>
          <w:i/>
          <w:color w:val="000000" w:themeColor="text1"/>
        </w:rPr>
        <w:t>Rolandi</w:t>
      </w:r>
      <w:proofErr w:type="spellEnd"/>
      <w:r w:rsidR="008E7B59" w:rsidRPr="009D7635">
        <w:rPr>
          <w:rFonts w:ascii="Times New Roman" w:hAnsi="Times New Roman" w:cs="Times New Roman"/>
          <w:i/>
          <w:color w:val="000000" w:themeColor="text1"/>
        </w:rPr>
        <w:t xml:space="preserve"> </w:t>
      </w:r>
      <w:proofErr w:type="spellStart"/>
      <w:r w:rsidR="008E7B59" w:rsidRPr="009D7635">
        <w:rPr>
          <w:rFonts w:ascii="Times New Roman" w:hAnsi="Times New Roman" w:cs="Times New Roman"/>
          <w:i/>
          <w:color w:val="000000" w:themeColor="text1"/>
        </w:rPr>
        <w:t>Cremonensis</w:t>
      </w:r>
      <w:proofErr w:type="spellEnd"/>
      <w:r w:rsidR="008E7B59" w:rsidRPr="009D7635">
        <w:rPr>
          <w:rFonts w:ascii="Times New Roman" w:hAnsi="Times New Roman" w:cs="Times New Roman"/>
          <w:i/>
          <w:color w:val="000000" w:themeColor="text1"/>
        </w:rPr>
        <w:t xml:space="preserve">, O.P., Liber </w:t>
      </w:r>
      <w:proofErr w:type="spellStart"/>
      <w:r w:rsidR="008E7B59" w:rsidRPr="009D7635">
        <w:rPr>
          <w:rFonts w:ascii="Times New Roman" w:hAnsi="Times New Roman" w:cs="Times New Roman"/>
          <w:i/>
          <w:color w:val="000000" w:themeColor="text1"/>
        </w:rPr>
        <w:t>Secundus</w:t>
      </w:r>
      <w:proofErr w:type="spellEnd"/>
      <w:r w:rsidR="008E7B59" w:rsidRPr="009D7635">
        <w:rPr>
          <w:rFonts w:ascii="Times New Roman" w:hAnsi="Times New Roman" w:cs="Times New Roman"/>
          <w:iCs/>
          <w:color w:val="000000" w:themeColor="text1"/>
        </w:rPr>
        <w:t xml:space="preserve">, </w:t>
      </w:r>
      <w:r w:rsidR="008E7B59" w:rsidRPr="009D7635">
        <w:rPr>
          <w:rFonts w:ascii="Times New Roman" w:hAnsi="Times New Roman" w:cs="Times New Roman"/>
          <w:color w:val="000000" w:themeColor="text1"/>
        </w:rPr>
        <w:t xml:space="preserve">ed. </w:t>
      </w:r>
      <w:proofErr w:type="spellStart"/>
      <w:r w:rsidR="008E7B59" w:rsidRPr="009D7635">
        <w:rPr>
          <w:rFonts w:ascii="Times New Roman" w:hAnsi="Times New Roman" w:cs="Times New Roman"/>
          <w:color w:val="000000" w:themeColor="text1"/>
        </w:rPr>
        <w:t>Aloysio</w:t>
      </w:r>
      <w:proofErr w:type="spellEnd"/>
      <w:r w:rsidR="008E7B59" w:rsidRPr="009D7635">
        <w:rPr>
          <w:rFonts w:ascii="Times New Roman" w:hAnsi="Times New Roman" w:cs="Times New Roman"/>
          <w:color w:val="000000" w:themeColor="text1"/>
        </w:rPr>
        <w:t xml:space="preserve"> </w:t>
      </w:r>
      <w:proofErr w:type="spellStart"/>
      <w:r w:rsidR="008E7B59" w:rsidRPr="009D7635">
        <w:rPr>
          <w:rFonts w:ascii="Times New Roman" w:hAnsi="Times New Roman" w:cs="Times New Roman"/>
          <w:color w:val="000000" w:themeColor="text1"/>
        </w:rPr>
        <w:t>Cortesi</w:t>
      </w:r>
      <w:proofErr w:type="spellEnd"/>
      <w:r w:rsidR="008E7B59" w:rsidRPr="009D7635">
        <w:rPr>
          <w:rFonts w:ascii="Times New Roman" w:hAnsi="Times New Roman" w:cs="Times New Roman"/>
          <w:color w:val="000000" w:themeColor="text1"/>
        </w:rPr>
        <w:t xml:space="preserve"> and Humberto </w:t>
      </w:r>
      <w:proofErr w:type="spellStart"/>
      <w:r w:rsidR="008E7B59" w:rsidRPr="009D7635">
        <w:rPr>
          <w:rFonts w:ascii="Times New Roman" w:hAnsi="Times New Roman" w:cs="Times New Roman"/>
          <w:color w:val="000000" w:themeColor="text1"/>
        </w:rPr>
        <w:t>Midali</w:t>
      </w:r>
      <w:proofErr w:type="spellEnd"/>
      <w:r w:rsidR="008E7B59" w:rsidRPr="009D7635">
        <w:rPr>
          <w:rFonts w:ascii="Times New Roman" w:hAnsi="Times New Roman" w:cs="Times New Roman"/>
          <w:color w:val="000000" w:themeColor="text1"/>
        </w:rPr>
        <w:t xml:space="preserve"> (Bergamo: Umberto </w:t>
      </w:r>
      <w:proofErr w:type="spellStart"/>
      <w:r w:rsidR="008E7B59" w:rsidRPr="009D7635">
        <w:rPr>
          <w:rFonts w:ascii="Times New Roman" w:hAnsi="Times New Roman" w:cs="Times New Roman"/>
          <w:color w:val="000000" w:themeColor="text1"/>
        </w:rPr>
        <w:t>Midali</w:t>
      </w:r>
      <w:proofErr w:type="spellEnd"/>
      <w:r w:rsidR="008E7B59" w:rsidRPr="009D7635">
        <w:rPr>
          <w:rFonts w:ascii="Times New Roman" w:hAnsi="Times New Roman" w:cs="Times New Roman"/>
          <w:color w:val="000000" w:themeColor="text1"/>
        </w:rPr>
        <w:t xml:space="preserve">, 2016), </w:t>
      </w:r>
      <w:r w:rsidR="000971C7" w:rsidRPr="009D7635">
        <w:rPr>
          <w:rFonts w:ascii="Times New Roman" w:hAnsi="Times New Roman" w:cs="Times New Roman"/>
          <w:color w:val="000000" w:themeColor="text1"/>
        </w:rPr>
        <w:t xml:space="preserve">Ch 134, 189. </w:t>
      </w:r>
      <w:r w:rsidRPr="009D7635">
        <w:rPr>
          <w:rFonts w:ascii="Times New Roman" w:hAnsi="Times New Roman" w:cs="Times New Roman"/>
          <w:color w:val="000000" w:themeColor="text1"/>
          <w:lang w:val="en-US"/>
        </w:rPr>
        <w:t xml:space="preserve">C.R. Hess, ‘Roland of Cremona’s Place in the Current of Thought,’ </w:t>
      </w:r>
      <w:proofErr w:type="spellStart"/>
      <w:r w:rsidRPr="009D7635">
        <w:rPr>
          <w:rFonts w:ascii="Times New Roman" w:hAnsi="Times New Roman" w:cs="Times New Roman"/>
          <w:i/>
          <w:color w:val="000000" w:themeColor="text1"/>
        </w:rPr>
        <w:t>Angelicum</w:t>
      </w:r>
      <w:proofErr w:type="spellEnd"/>
      <w:r w:rsidRPr="009D7635">
        <w:rPr>
          <w:rFonts w:ascii="Times New Roman" w:hAnsi="Times New Roman" w:cs="Times New Roman"/>
          <w:color w:val="000000" w:themeColor="text1"/>
        </w:rPr>
        <w:t xml:space="preserve"> 45 (1968)</w:t>
      </w:r>
      <w:r w:rsidR="0061178B"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439-40.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‘La </w:t>
      </w:r>
      <w:proofErr w:type="spellStart"/>
      <w:r w:rsidRPr="009D7635">
        <w:rPr>
          <w:rFonts w:ascii="Times New Roman" w:hAnsi="Times New Roman" w:cs="Times New Roman"/>
          <w:color w:val="000000" w:themeColor="text1"/>
        </w:rPr>
        <w:t>pluralité</w:t>
      </w:r>
      <w:proofErr w:type="spellEnd"/>
      <w:r w:rsidRPr="009D7635">
        <w:rPr>
          <w:rFonts w:ascii="Times New Roman" w:hAnsi="Times New Roman" w:cs="Times New Roman"/>
          <w:color w:val="000000" w:themeColor="text1"/>
        </w:rPr>
        <w:t xml:space="preserve"> des forms </w:t>
      </w:r>
      <w:proofErr w:type="spellStart"/>
      <w:r w:rsidRPr="009D7635">
        <w:rPr>
          <w:rFonts w:ascii="Times New Roman" w:hAnsi="Times New Roman" w:cs="Times New Roman"/>
          <w:color w:val="000000" w:themeColor="text1"/>
        </w:rPr>
        <w:t>substantielles</w:t>
      </w:r>
      <w:proofErr w:type="spellEnd"/>
      <w:r w:rsidRPr="009D7635">
        <w:rPr>
          <w:rFonts w:ascii="Times New Roman" w:hAnsi="Times New Roman" w:cs="Times New Roman"/>
          <w:color w:val="000000" w:themeColor="text1"/>
        </w:rPr>
        <w:t>,’ 450-1. D.A. Callus, ‘The Origins of the Problem of the Unity of Form,’ 280.</w:t>
      </w:r>
    </w:p>
  </w:footnote>
  <w:footnote w:id="501">
    <w:p w14:paraId="5A0C5CA7" w14:textId="2EAFBF2A"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For a full account of Hugh, see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130-40 and 174; ‘</w:t>
      </w:r>
      <w:proofErr w:type="spellStart"/>
      <w:r w:rsidRPr="009D7635">
        <w:rPr>
          <w:rFonts w:ascii="Times New Roman" w:hAnsi="Times New Roman" w:cs="Times New Roman"/>
          <w:color w:val="000000" w:themeColor="text1"/>
        </w:rPr>
        <w:t>Una</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questione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disputata</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di</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Ugo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di</w:t>
      </w:r>
      <w:proofErr w:type="spellEnd"/>
      <w:r w:rsidRPr="009D7635">
        <w:rPr>
          <w:rFonts w:ascii="Times New Roman" w:hAnsi="Times New Roman" w:cs="Times New Roman"/>
          <w:color w:val="000000" w:themeColor="text1"/>
        </w:rPr>
        <w:t xml:space="preserve"> St Cher </w:t>
      </w:r>
      <w:proofErr w:type="spellStart"/>
      <w:r w:rsidRPr="009D7635">
        <w:rPr>
          <w:rFonts w:ascii="Times New Roman" w:hAnsi="Times New Roman" w:cs="Times New Roman"/>
          <w:color w:val="000000" w:themeColor="text1"/>
        </w:rPr>
        <w:t>sull’anima</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Edizione</w:t>
      </w:r>
      <w:proofErr w:type="spellEnd"/>
      <w:r w:rsidRPr="009D7635">
        <w:rPr>
          <w:rFonts w:ascii="Times New Roman" w:hAnsi="Times New Roman" w:cs="Times New Roman"/>
          <w:color w:val="000000" w:themeColor="text1"/>
        </w:rPr>
        <w:t xml:space="preserve"> e Studio </w:t>
      </w:r>
      <w:proofErr w:type="spellStart"/>
      <w:r w:rsidRPr="009D7635">
        <w:rPr>
          <w:rFonts w:ascii="Times New Roman" w:hAnsi="Times New Roman" w:cs="Times New Roman"/>
          <w:color w:val="000000" w:themeColor="text1"/>
        </w:rPr>
        <w:t>Dotrrinale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Studia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Antyczne</w:t>
      </w:r>
      <w:proofErr w:type="spellEnd"/>
      <w:r w:rsidRPr="009D7635">
        <w:rPr>
          <w:rFonts w:ascii="Times New Roman" w:hAnsi="Times New Roman" w:cs="Times New Roman"/>
          <w:i/>
          <w:color w:val="000000" w:themeColor="text1"/>
        </w:rPr>
        <w:t xml:space="preserve"> I </w:t>
      </w:r>
      <w:proofErr w:type="spellStart"/>
      <w:r w:rsidRPr="009D7635">
        <w:rPr>
          <w:rFonts w:ascii="Times New Roman" w:hAnsi="Times New Roman" w:cs="Times New Roman"/>
          <w:i/>
          <w:color w:val="000000" w:themeColor="text1"/>
        </w:rPr>
        <w:t>Mediewistyczne</w:t>
      </w:r>
      <w:proofErr w:type="spellEnd"/>
      <w:r w:rsidRPr="009D7635">
        <w:rPr>
          <w:rFonts w:ascii="Times New Roman" w:hAnsi="Times New Roman" w:cs="Times New Roman"/>
          <w:color w:val="000000" w:themeColor="text1"/>
        </w:rPr>
        <w:t xml:space="preserve"> 37 (2004)</w:t>
      </w:r>
      <w:r w:rsidR="0061178B"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127-6; ‘Filippo il </w:t>
      </w:r>
      <w:proofErr w:type="spellStart"/>
      <w:r w:rsidRPr="009D7635">
        <w:rPr>
          <w:rFonts w:ascii="Times New Roman" w:hAnsi="Times New Roman" w:cs="Times New Roman"/>
          <w:color w:val="000000" w:themeColor="text1"/>
        </w:rPr>
        <w:t>Cancelliere</w:t>
      </w:r>
      <w:proofErr w:type="spellEnd"/>
      <w:r w:rsidRPr="009D7635">
        <w:rPr>
          <w:rFonts w:ascii="Times New Roman" w:hAnsi="Times New Roman" w:cs="Times New Roman"/>
          <w:color w:val="000000" w:themeColor="text1"/>
        </w:rPr>
        <w:t xml:space="preserve"> e </w:t>
      </w:r>
      <w:proofErr w:type="spellStart"/>
      <w:r w:rsidRPr="009D7635">
        <w:rPr>
          <w:rFonts w:ascii="Times New Roman" w:hAnsi="Times New Roman" w:cs="Times New Roman"/>
          <w:color w:val="000000" w:themeColor="text1"/>
        </w:rPr>
        <w:t>Ugo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di</w:t>
      </w:r>
      <w:proofErr w:type="spellEnd"/>
      <w:r w:rsidRPr="009D7635">
        <w:rPr>
          <w:rFonts w:ascii="Times New Roman" w:hAnsi="Times New Roman" w:cs="Times New Roman"/>
          <w:color w:val="000000" w:themeColor="text1"/>
        </w:rPr>
        <w:t xml:space="preserve"> Saint-Cher </w:t>
      </w:r>
      <w:proofErr w:type="spellStart"/>
      <w:r w:rsidRPr="009D7635">
        <w:rPr>
          <w:rFonts w:ascii="Times New Roman" w:hAnsi="Times New Roman" w:cs="Times New Roman"/>
          <w:color w:val="000000" w:themeColor="text1"/>
        </w:rPr>
        <w:t>sull’anima</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Umana</w:t>
      </w:r>
      <w:proofErr w:type="spellEnd"/>
      <w:r w:rsidRPr="009D7635">
        <w:rPr>
          <w:rFonts w:ascii="Times New Roman" w:hAnsi="Times New Roman" w:cs="Times New Roman"/>
          <w:color w:val="000000" w:themeColor="text1"/>
        </w:rPr>
        <w:t xml:space="preserve">,’ in </w:t>
      </w:r>
      <w:proofErr w:type="spellStart"/>
      <w:r w:rsidRPr="009D7635">
        <w:rPr>
          <w:rFonts w:ascii="Times New Roman" w:hAnsi="Times New Roman" w:cs="Times New Roman"/>
          <w:i/>
          <w:iCs/>
          <w:color w:val="000000" w:themeColor="text1"/>
        </w:rPr>
        <w:t>L’origine</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dell’Ordine</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dei</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Predicatori</w:t>
      </w:r>
      <w:proofErr w:type="spellEnd"/>
      <w:r w:rsidRPr="009D7635">
        <w:rPr>
          <w:rFonts w:ascii="Times New Roman" w:hAnsi="Times New Roman" w:cs="Times New Roman"/>
          <w:i/>
          <w:iCs/>
          <w:color w:val="000000" w:themeColor="text1"/>
        </w:rPr>
        <w:t xml:space="preserve"> e </w:t>
      </w:r>
      <w:proofErr w:type="spellStart"/>
      <w:r w:rsidRPr="009D7635">
        <w:rPr>
          <w:rFonts w:ascii="Times New Roman" w:hAnsi="Times New Roman" w:cs="Times New Roman"/>
          <w:i/>
          <w:iCs/>
          <w:color w:val="000000" w:themeColor="text1"/>
        </w:rPr>
        <w:t>l’Università</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di</w:t>
      </w:r>
      <w:proofErr w:type="spellEnd"/>
      <w:r w:rsidRPr="009D7635">
        <w:rPr>
          <w:rFonts w:ascii="Times New Roman" w:hAnsi="Times New Roman" w:cs="Times New Roman"/>
          <w:i/>
          <w:iCs/>
          <w:color w:val="000000" w:themeColor="text1"/>
        </w:rPr>
        <w:t xml:space="preserve"> Bologna,</w:t>
      </w:r>
      <w:r w:rsidRPr="009D7635">
        <w:rPr>
          <w:rFonts w:ascii="Times New Roman" w:hAnsi="Times New Roman" w:cs="Times New Roman"/>
          <w:color w:val="000000" w:themeColor="text1"/>
        </w:rPr>
        <w:t xml:space="preserve"> ed. Giovanni </w:t>
      </w:r>
      <w:proofErr w:type="spellStart"/>
      <w:r w:rsidRPr="009D7635">
        <w:rPr>
          <w:rFonts w:ascii="Times New Roman" w:hAnsi="Times New Roman" w:cs="Times New Roman"/>
          <w:color w:val="000000" w:themeColor="text1"/>
        </w:rPr>
        <w:t>Bertuzzi</w:t>
      </w:r>
      <w:proofErr w:type="spellEnd"/>
      <w:r w:rsidRPr="009D7635">
        <w:rPr>
          <w:rFonts w:ascii="Times New Roman" w:hAnsi="Times New Roman" w:cs="Times New Roman"/>
          <w:color w:val="000000" w:themeColor="text1"/>
        </w:rPr>
        <w:t xml:space="preserve"> (Bologna: </w:t>
      </w:r>
      <w:proofErr w:type="spellStart"/>
      <w:r w:rsidRPr="009D7635">
        <w:rPr>
          <w:rFonts w:ascii="Times New Roman" w:hAnsi="Times New Roman" w:cs="Times New Roman"/>
          <w:color w:val="000000" w:themeColor="text1"/>
        </w:rPr>
        <w:t>Edizioni</w:t>
      </w:r>
      <w:proofErr w:type="spellEnd"/>
      <w:r w:rsidRPr="009D7635">
        <w:rPr>
          <w:rFonts w:ascii="Times New Roman" w:hAnsi="Times New Roman" w:cs="Times New Roman"/>
          <w:color w:val="000000" w:themeColor="text1"/>
        </w:rPr>
        <w:t xml:space="preserve"> Studio </w:t>
      </w:r>
      <w:proofErr w:type="spellStart"/>
      <w:r w:rsidRPr="009D7635">
        <w:rPr>
          <w:rFonts w:ascii="Times New Roman" w:hAnsi="Times New Roman" w:cs="Times New Roman"/>
          <w:color w:val="000000" w:themeColor="text1"/>
        </w:rPr>
        <w:t>Domenicano</w:t>
      </w:r>
      <w:proofErr w:type="spellEnd"/>
      <w:r w:rsidRPr="009D7635">
        <w:rPr>
          <w:rFonts w:ascii="Times New Roman" w:hAnsi="Times New Roman" w:cs="Times New Roman"/>
          <w:color w:val="000000" w:themeColor="text1"/>
        </w:rPr>
        <w:t xml:space="preserve">, 2006), 105-17. On Roland, see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vol. 1, 464-5. </w:t>
      </w:r>
    </w:p>
  </w:footnote>
  <w:footnote w:id="502">
    <w:p w14:paraId="274B489D"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Theodore Crowley, </w:t>
      </w:r>
      <w:r w:rsidRPr="009D7635">
        <w:rPr>
          <w:rFonts w:ascii="Times New Roman" w:hAnsi="Times New Roman" w:cs="Times New Roman"/>
          <w:i/>
          <w:color w:val="000000" w:themeColor="text1"/>
        </w:rPr>
        <w:t>Roger Bacon</w:t>
      </w:r>
      <w:r w:rsidRPr="009D7635">
        <w:rPr>
          <w:rFonts w:ascii="Times New Roman" w:hAnsi="Times New Roman" w:cs="Times New Roman"/>
          <w:color w:val="000000" w:themeColor="text1"/>
        </w:rPr>
        <w:t>, 128.</w:t>
      </w:r>
    </w:p>
  </w:footnote>
  <w:footnote w:id="503">
    <w:p w14:paraId="0E2D6FA0" w14:textId="0D4D9861"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61178B" w:rsidRPr="009D7635">
        <w:rPr>
          <w:rFonts w:ascii="Times New Roman" w:hAnsi="Times New Roman" w:cs="Times New Roman"/>
          <w:color w:val="000000" w:themeColor="text1"/>
        </w:rPr>
        <w:t>Ibid.</w:t>
      </w:r>
    </w:p>
  </w:footnote>
  <w:footnote w:id="504">
    <w:p w14:paraId="002016A2"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‘The Powers of the Soul in the Anthropology of Hugh of St Cher,’ 165. See also her edition of Hugh’s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in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175.</w:t>
      </w:r>
    </w:p>
  </w:footnote>
  <w:footnote w:id="505">
    <w:p w14:paraId="6A10FF98"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139;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‘La </w:t>
      </w:r>
      <w:proofErr w:type="spellStart"/>
      <w:r w:rsidRPr="009D7635">
        <w:rPr>
          <w:rFonts w:ascii="Times New Roman" w:hAnsi="Times New Roman" w:cs="Times New Roman"/>
          <w:color w:val="000000" w:themeColor="text1"/>
        </w:rPr>
        <w:t>pluralité</w:t>
      </w:r>
      <w:proofErr w:type="spellEnd"/>
      <w:r w:rsidRPr="009D7635">
        <w:rPr>
          <w:rFonts w:ascii="Times New Roman" w:hAnsi="Times New Roman" w:cs="Times New Roman"/>
          <w:color w:val="000000" w:themeColor="text1"/>
        </w:rPr>
        <w:t xml:space="preserve"> des forms </w:t>
      </w:r>
      <w:proofErr w:type="spellStart"/>
      <w:r w:rsidRPr="009D7635">
        <w:rPr>
          <w:rFonts w:ascii="Times New Roman" w:hAnsi="Times New Roman" w:cs="Times New Roman"/>
          <w:color w:val="000000" w:themeColor="text1"/>
        </w:rPr>
        <w:t>substantielles</w:t>
      </w:r>
      <w:proofErr w:type="spellEnd"/>
      <w:r w:rsidRPr="009D7635">
        <w:rPr>
          <w:rFonts w:ascii="Times New Roman" w:hAnsi="Times New Roman" w:cs="Times New Roman"/>
          <w:color w:val="000000" w:themeColor="text1"/>
        </w:rPr>
        <w:t>,’ 459-62.</w:t>
      </w:r>
    </w:p>
  </w:footnote>
  <w:footnote w:id="506">
    <w:p w14:paraId="41D56B5B" w14:textId="77777777" w:rsidR="00CA0A72" w:rsidRPr="009D7635" w:rsidRDefault="00CA0A72" w:rsidP="00CA0A7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Guerric</w:t>
      </w:r>
      <w:proofErr w:type="spellEnd"/>
      <w:r w:rsidRPr="009D7635">
        <w:rPr>
          <w:rFonts w:ascii="Times New Roman" w:hAnsi="Times New Roman" w:cs="Times New Roman"/>
          <w:color w:val="000000" w:themeColor="text1"/>
        </w:rPr>
        <w:t xml:space="preserve"> of St Quentin, </w:t>
      </w:r>
      <w:proofErr w:type="spellStart"/>
      <w:r w:rsidRPr="009D7635">
        <w:rPr>
          <w:rFonts w:ascii="Times New Roman" w:hAnsi="Times New Roman" w:cs="Times New Roman"/>
          <w:i/>
          <w:color w:val="000000" w:themeColor="text1"/>
        </w:rPr>
        <w:t>Quaestiones</w:t>
      </w:r>
      <w:proofErr w:type="spellEnd"/>
      <w:r w:rsidRPr="009D7635">
        <w:rPr>
          <w:rFonts w:ascii="Times New Roman" w:hAnsi="Times New Roman" w:cs="Times New Roman"/>
          <w:i/>
          <w:color w:val="000000" w:themeColor="text1"/>
        </w:rPr>
        <w:t xml:space="preserve"> de quodlibet</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72 (introduction), Quodlibet 8.4a, 350.</w:t>
      </w:r>
    </w:p>
  </w:footnote>
  <w:footnote w:id="507">
    <w:p w14:paraId="292A53A5"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William of Auvergne, </w:t>
      </w:r>
      <w:r w:rsidRPr="009D7635">
        <w:rPr>
          <w:rFonts w:ascii="Times New Roman" w:hAnsi="Times New Roman" w:cs="Times New Roman"/>
          <w:i/>
          <w:color w:val="000000" w:themeColor="text1"/>
        </w:rPr>
        <w:t>The Soul</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trans.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154, 163-4.</w:t>
      </w:r>
    </w:p>
  </w:footnote>
  <w:footnote w:id="508">
    <w:p w14:paraId="57D7B89B" w14:textId="4649D339"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654AC7"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158-9, 166, 176.</w:t>
      </w:r>
    </w:p>
  </w:footnote>
  <w:footnote w:id="509">
    <w:p w14:paraId="09D20015" w14:textId="1020CB37" w:rsidR="00B93ED5" w:rsidRPr="009D7635" w:rsidRDefault="00B93ED5" w:rsidP="004C1CD7">
      <w:pPr>
        <w:widowControl w:val="0"/>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hyperlink r:id="rId2" w:history="1">
        <w:proofErr w:type="spellStart"/>
        <w:r w:rsidRPr="009D7635">
          <w:rPr>
            <w:rFonts w:ascii="Times New Roman" w:hAnsi="Times New Roman" w:cs="Times New Roman"/>
            <w:i/>
            <w:color w:val="000000" w:themeColor="text1"/>
            <w:sz w:val="20"/>
            <w:szCs w:val="20"/>
            <w:lang w:val="en-US"/>
          </w:rPr>
          <w:t>Magistri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Alexandri</w:t>
        </w:r>
        <w:proofErr w:type="spellEnd"/>
        <w:r w:rsidRPr="009D7635">
          <w:rPr>
            <w:rFonts w:ascii="Times New Roman" w:hAnsi="Times New Roman" w:cs="Times New Roman"/>
            <w:i/>
            <w:color w:val="000000" w:themeColor="text1"/>
            <w:sz w:val="20"/>
            <w:szCs w:val="20"/>
            <w:lang w:val="en-US"/>
          </w:rPr>
          <w:t xml:space="preserve"> de Hales </w:t>
        </w:r>
        <w:proofErr w:type="spellStart"/>
        <w:r w:rsidRPr="009D7635">
          <w:rPr>
            <w:rFonts w:ascii="Times New Roman" w:hAnsi="Times New Roman" w:cs="Times New Roman"/>
            <w:i/>
            <w:color w:val="000000" w:themeColor="text1"/>
            <w:sz w:val="20"/>
            <w:szCs w:val="20"/>
            <w:lang w:val="en-US"/>
          </w:rPr>
          <w:t>Quaestiones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disputatae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Antequam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esset</w:t>
        </w:r>
        <w:proofErr w:type="spellEnd"/>
        <w:r w:rsidRPr="009D7635">
          <w:rPr>
            <w:rFonts w:ascii="Times New Roman" w:hAnsi="Times New Roman" w:cs="Times New Roman"/>
            <w:i/>
            <w:color w:val="000000" w:themeColor="text1"/>
            <w:sz w:val="20"/>
            <w:szCs w:val="20"/>
            <w:lang w:val="en-US"/>
          </w:rPr>
          <w:t xml:space="preserve"> frater’</w:t>
        </w:r>
      </w:hyperlink>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3 </w:t>
      </w:r>
      <w:proofErr w:type="spellStart"/>
      <w:r w:rsidRPr="009D7635">
        <w:rPr>
          <w:rFonts w:ascii="Times New Roman" w:hAnsi="Times New Roman" w:cs="Times New Roman"/>
          <w:color w:val="000000" w:themeColor="text1"/>
          <w:sz w:val="20"/>
          <w:szCs w:val="20"/>
          <w:lang w:val="en-US"/>
        </w:rPr>
        <w:t>vols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bCs/>
          <w:color w:val="000000" w:themeColor="text1"/>
          <w:sz w:val="20"/>
          <w:szCs w:val="20"/>
        </w:rPr>
        <w:t>Quaracchi</w:t>
      </w:r>
      <w:proofErr w:type="spellEnd"/>
      <w:r w:rsidRPr="009D7635">
        <w:rPr>
          <w:rFonts w:ascii="Times New Roman" w:hAnsi="Times New Roman" w:cs="Times New Roman"/>
          <w:bCs/>
          <w:color w:val="000000" w:themeColor="text1"/>
          <w:sz w:val="20"/>
          <w:szCs w:val="20"/>
        </w:rPr>
        <w:t xml:space="preserve">, </w:t>
      </w:r>
      <w:proofErr w:type="spellStart"/>
      <w:r w:rsidRPr="009D7635">
        <w:rPr>
          <w:rFonts w:ascii="Times New Roman" w:hAnsi="Times New Roman" w:cs="Times New Roman"/>
          <w:bCs/>
          <w:color w:val="000000" w:themeColor="text1"/>
          <w:sz w:val="20"/>
          <w:szCs w:val="20"/>
        </w:rPr>
        <w:t>Florentiae</w:t>
      </w:r>
      <w:proofErr w:type="spellEnd"/>
      <w:r w:rsidRPr="009D7635">
        <w:rPr>
          <w:rFonts w:ascii="Times New Roman" w:hAnsi="Times New Roman" w:cs="Times New Roman"/>
          <w:bCs/>
          <w:color w:val="000000" w:themeColor="text1"/>
          <w:sz w:val="20"/>
          <w:szCs w:val="20"/>
        </w:rPr>
        <w:t xml:space="preserve">: </w:t>
      </w:r>
      <w:proofErr w:type="spellStart"/>
      <w:r w:rsidRPr="009D7635">
        <w:rPr>
          <w:rFonts w:ascii="Times New Roman" w:hAnsi="Times New Roman" w:cs="Times New Roman"/>
          <w:bCs/>
          <w:color w:val="000000" w:themeColor="text1"/>
          <w:sz w:val="20"/>
          <w:szCs w:val="20"/>
        </w:rPr>
        <w:t>Collegii</w:t>
      </w:r>
      <w:proofErr w:type="spellEnd"/>
      <w:r w:rsidRPr="009D7635">
        <w:rPr>
          <w:rFonts w:ascii="Times New Roman" w:hAnsi="Times New Roman" w:cs="Times New Roman"/>
          <w:bCs/>
          <w:color w:val="000000" w:themeColor="text1"/>
          <w:sz w:val="20"/>
          <w:szCs w:val="20"/>
        </w:rPr>
        <w:t xml:space="preserve"> S. </w:t>
      </w:r>
      <w:proofErr w:type="spellStart"/>
      <w:r w:rsidRPr="009D7635">
        <w:rPr>
          <w:rFonts w:ascii="Times New Roman" w:hAnsi="Times New Roman" w:cs="Times New Roman"/>
          <w:bCs/>
          <w:color w:val="000000" w:themeColor="text1"/>
          <w:sz w:val="20"/>
          <w:szCs w:val="20"/>
        </w:rPr>
        <w:t>Bonaventurae</w:t>
      </w:r>
      <w:proofErr w:type="spellEnd"/>
      <w:r w:rsidRPr="009D7635">
        <w:rPr>
          <w:rFonts w:ascii="Times New Roman" w:hAnsi="Times New Roman" w:cs="Times New Roman"/>
          <w:color w:val="000000" w:themeColor="text1"/>
          <w:sz w:val="20"/>
          <w:szCs w:val="20"/>
        </w:rPr>
        <w:t>, 1960), Q32, M3.</w:t>
      </w:r>
    </w:p>
  </w:footnote>
  <w:footnote w:id="510">
    <w:p w14:paraId="5859DD13"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Alexander of Hales, </w:t>
      </w:r>
      <w:proofErr w:type="spellStart"/>
      <w:r w:rsidRPr="009D7635">
        <w:rPr>
          <w:rFonts w:ascii="Times New Roman" w:hAnsi="Times New Roman" w:cs="Times New Roman"/>
          <w:i/>
          <w:color w:val="000000" w:themeColor="text1"/>
        </w:rPr>
        <w:t>Quaestiones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disputatae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Antequam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esset</w:t>
      </w:r>
      <w:proofErr w:type="spellEnd"/>
      <w:r w:rsidRPr="009D7635">
        <w:rPr>
          <w:rFonts w:ascii="Times New Roman" w:hAnsi="Times New Roman" w:cs="Times New Roman"/>
          <w:i/>
          <w:color w:val="000000" w:themeColor="text1"/>
        </w:rPr>
        <w:t xml:space="preserve"> frater’</w:t>
      </w:r>
      <w:r w:rsidRPr="009D7635">
        <w:rPr>
          <w:rFonts w:ascii="Times New Roman" w:hAnsi="Times New Roman" w:cs="Times New Roman"/>
          <w:color w:val="000000" w:themeColor="text1"/>
        </w:rPr>
        <w:t>, Q32, M3, 565.</w:t>
      </w:r>
    </w:p>
  </w:footnote>
  <w:footnote w:id="511">
    <w:p w14:paraId="0A830BA1"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‘The Powers of the Soul in the Anthropology of Hugh of St Cher,’ 168.</w:t>
      </w:r>
    </w:p>
  </w:footnote>
  <w:footnote w:id="512">
    <w:p w14:paraId="25992BE0" w14:textId="7F138E1E" w:rsidR="00B93ED5" w:rsidRPr="009D7635" w:rsidRDefault="00B93ED5" w:rsidP="004C1CD7">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 143: </w:t>
      </w:r>
      <w:r w:rsidRPr="009D7635">
        <w:rPr>
          <w:rFonts w:ascii="Times New Roman" w:hAnsi="Times New Roman" w:cs="Times New Roman"/>
          <w:i/>
          <w:color w:val="000000" w:themeColor="text1"/>
          <w:sz w:val="20"/>
          <w:szCs w:val="20"/>
          <w:lang w:val="en-US"/>
        </w:rPr>
        <w:t xml:space="preserve">Et </w:t>
      </w:r>
      <w:proofErr w:type="spellStart"/>
      <w:r w:rsidRPr="009D7635">
        <w:rPr>
          <w:rFonts w:ascii="Times New Roman" w:hAnsi="Times New Roman" w:cs="Times New Roman"/>
          <w:i/>
          <w:color w:val="000000" w:themeColor="text1"/>
          <w:sz w:val="20"/>
          <w:szCs w:val="20"/>
          <w:lang w:val="en-US"/>
        </w:rPr>
        <w:t>dicendum</w:t>
      </w:r>
      <w:proofErr w:type="spellEnd"/>
      <w:r w:rsidRPr="009D7635">
        <w:rPr>
          <w:rFonts w:ascii="Times New Roman" w:hAnsi="Times New Roman" w:cs="Times New Roman"/>
          <w:i/>
          <w:color w:val="000000" w:themeColor="text1"/>
          <w:sz w:val="20"/>
          <w:szCs w:val="20"/>
          <w:lang w:val="en-US"/>
        </w:rPr>
        <w:t xml:space="preserve"> quod cum </w:t>
      </w:r>
      <w:proofErr w:type="spellStart"/>
      <w:r w:rsidRPr="009D7635">
        <w:rPr>
          <w:rFonts w:ascii="Times New Roman" w:hAnsi="Times New Roman" w:cs="Times New Roman"/>
          <w:i/>
          <w:color w:val="000000" w:themeColor="text1"/>
          <w:sz w:val="20"/>
          <w:szCs w:val="20"/>
          <w:lang w:val="en-US"/>
        </w:rPr>
        <w:t>vegetabilis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sensibilis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homine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ordinem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habeant</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racionem</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eciam</w:t>
      </w:r>
      <w:proofErr w:type="spellEnd"/>
      <w:r w:rsidRPr="009D7635">
        <w:rPr>
          <w:rFonts w:ascii="Times New Roman" w:hAnsi="Times New Roman" w:cs="Times New Roman"/>
          <w:i/>
          <w:color w:val="000000" w:themeColor="text1"/>
          <w:sz w:val="20"/>
          <w:szCs w:val="20"/>
          <w:lang w:val="en-US"/>
        </w:rPr>
        <w:t xml:space="preserve"> anima </w:t>
      </w:r>
      <w:proofErr w:type="spellStart"/>
      <w:r w:rsidRPr="009D7635">
        <w:rPr>
          <w:rFonts w:ascii="Times New Roman" w:hAnsi="Times New Roman" w:cs="Times New Roman"/>
          <w:i/>
          <w:color w:val="000000" w:themeColor="text1"/>
          <w:sz w:val="20"/>
          <w:szCs w:val="20"/>
          <w:lang w:val="en-US"/>
        </w:rPr>
        <w:t>racionalis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mereatur</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demereatur</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eis</w:t>
      </w:r>
      <w:proofErr w:type="spellEnd"/>
      <w:r w:rsidRPr="009D7635">
        <w:rPr>
          <w:rFonts w:ascii="Times New Roman" w:hAnsi="Times New Roman" w:cs="Times New Roman"/>
          <w:i/>
          <w:color w:val="000000" w:themeColor="text1"/>
          <w:sz w:val="20"/>
          <w:szCs w:val="20"/>
          <w:lang w:val="en-US"/>
        </w:rPr>
        <w:t xml:space="preserve"> et per </w:t>
      </w:r>
      <w:proofErr w:type="spellStart"/>
      <w:r w:rsidRPr="009D7635">
        <w:rPr>
          <w:rFonts w:ascii="Times New Roman" w:hAnsi="Times New Roman" w:cs="Times New Roman"/>
          <w:i/>
          <w:color w:val="000000" w:themeColor="text1"/>
          <w:sz w:val="20"/>
          <w:szCs w:val="20"/>
          <w:lang w:val="en-US"/>
        </w:rPr>
        <w:t>eas</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eciam</w:t>
      </w:r>
      <w:proofErr w:type="spellEnd"/>
      <w:r w:rsidRPr="009D7635">
        <w:rPr>
          <w:rFonts w:ascii="Times New Roman" w:hAnsi="Times New Roman" w:cs="Times New Roman"/>
          <w:i/>
          <w:color w:val="000000" w:themeColor="text1"/>
          <w:sz w:val="20"/>
          <w:szCs w:val="20"/>
          <w:lang w:val="en-US"/>
        </w:rPr>
        <w:t xml:space="preserve"> anima </w:t>
      </w:r>
      <w:proofErr w:type="spellStart"/>
      <w:r w:rsidRPr="009D7635">
        <w:rPr>
          <w:rFonts w:ascii="Times New Roman" w:hAnsi="Times New Roman" w:cs="Times New Roman"/>
          <w:i/>
          <w:color w:val="000000" w:themeColor="text1"/>
          <w:sz w:val="20"/>
          <w:szCs w:val="20"/>
          <w:lang w:val="en-US"/>
        </w:rPr>
        <w:t>racionalis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merito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unienda</w:t>
      </w:r>
      <w:proofErr w:type="spellEnd"/>
      <w:r w:rsidRPr="009D7635">
        <w:rPr>
          <w:rFonts w:ascii="Times New Roman" w:hAnsi="Times New Roman" w:cs="Times New Roman"/>
          <w:i/>
          <w:color w:val="000000" w:themeColor="text1"/>
          <w:sz w:val="20"/>
          <w:szCs w:val="20"/>
          <w:lang w:val="en-US"/>
        </w:rPr>
        <w:t xml:space="preserve"> sit </w:t>
      </w:r>
      <w:proofErr w:type="spellStart"/>
      <w:r w:rsidRPr="009D7635">
        <w:rPr>
          <w:rFonts w:ascii="Times New Roman" w:hAnsi="Times New Roman" w:cs="Times New Roman"/>
          <w:i/>
          <w:color w:val="000000" w:themeColor="text1"/>
          <w:sz w:val="20"/>
          <w:szCs w:val="20"/>
          <w:lang w:val="en-US"/>
        </w:rPr>
        <w:t>corpori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eciam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resurrectione</w:t>
      </w:r>
      <w:proofErr w:type="spellEnd"/>
      <w:r w:rsidRPr="009D7635">
        <w:rPr>
          <w:rFonts w:ascii="Times New Roman" w:hAnsi="Times New Roman" w:cs="Times New Roman"/>
          <w:i/>
          <w:color w:val="000000" w:themeColor="text1"/>
          <w:sz w:val="20"/>
          <w:szCs w:val="20"/>
          <w:lang w:val="en-US"/>
        </w:rPr>
        <w:t xml:space="preserve">, et per vires </w:t>
      </w:r>
      <w:proofErr w:type="spellStart"/>
      <w:r w:rsidRPr="009D7635">
        <w:rPr>
          <w:rFonts w:ascii="Times New Roman" w:hAnsi="Times New Roman" w:cs="Times New Roman"/>
          <w:i/>
          <w:color w:val="000000" w:themeColor="text1"/>
          <w:sz w:val="20"/>
          <w:szCs w:val="20"/>
          <w:lang w:val="en-US"/>
        </w:rPr>
        <w:t>vegetabilem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sensibilem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habeat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immortale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superuacua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operacio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earum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homine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Unde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Augustinus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libro</w:t>
      </w:r>
      <w:proofErr w:type="spellEnd"/>
      <w:r w:rsidRPr="009D7635">
        <w:rPr>
          <w:rFonts w:ascii="Times New Roman" w:hAnsi="Times New Roman" w:cs="Times New Roman"/>
          <w:i/>
          <w:color w:val="000000" w:themeColor="text1"/>
          <w:sz w:val="20"/>
          <w:szCs w:val="20"/>
          <w:lang w:val="en-US"/>
        </w:rPr>
        <w:t xml:space="preserve"> De anima et </w:t>
      </w:r>
      <w:proofErr w:type="spellStart"/>
      <w:r w:rsidRPr="009D7635">
        <w:rPr>
          <w:rFonts w:ascii="Times New Roman" w:hAnsi="Times New Roman" w:cs="Times New Roman"/>
          <w:i/>
          <w:color w:val="000000" w:themeColor="text1"/>
          <w:sz w:val="20"/>
          <w:szCs w:val="20"/>
          <w:lang w:val="en-US"/>
        </w:rPr>
        <w:t>spiritu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w:t>
      </w:r>
      <w:proofErr w:type="spellEnd"/>
      <w:r w:rsidRPr="009D7635">
        <w:rPr>
          <w:rFonts w:ascii="Times New Roman" w:hAnsi="Times New Roman" w:cs="Times New Roman"/>
          <w:i/>
          <w:color w:val="000000" w:themeColor="text1"/>
          <w:sz w:val="20"/>
          <w:szCs w:val="20"/>
          <w:lang w:val="en-US"/>
        </w:rPr>
        <w:t xml:space="preserve"> quod anima in </w:t>
      </w:r>
      <w:proofErr w:type="spellStart"/>
      <w:r w:rsidRPr="009D7635">
        <w:rPr>
          <w:rFonts w:ascii="Times New Roman" w:hAnsi="Times New Roman" w:cs="Times New Roman"/>
          <w:i/>
          <w:color w:val="000000" w:themeColor="text1"/>
          <w:sz w:val="20"/>
          <w:szCs w:val="20"/>
          <w:lang w:val="en-US"/>
        </w:rPr>
        <w:t>morte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trahit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vegetatiuam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sensitiuam</w:t>
      </w:r>
      <w:proofErr w:type="spellEnd"/>
      <w:r w:rsidRPr="009D7635">
        <w:rPr>
          <w:rFonts w:ascii="Times New Roman" w:hAnsi="Times New Roman" w:cs="Times New Roman"/>
          <w:i/>
          <w:color w:val="000000" w:themeColor="text1"/>
          <w:sz w:val="20"/>
          <w:szCs w:val="20"/>
          <w:lang w:val="en-US"/>
        </w:rPr>
        <w:t>.</w:t>
      </w:r>
    </w:p>
  </w:footnote>
  <w:footnote w:id="513">
    <w:p w14:paraId="0035014D" w14:textId="7DCC839C"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142-3; </w:t>
      </w:r>
      <w:r w:rsidR="00146A40" w:rsidRPr="009D7635">
        <w:rPr>
          <w:rFonts w:ascii="Times New Roman" w:hAnsi="Times New Roman" w:cs="Times New Roman"/>
          <w:color w:val="000000" w:themeColor="text1"/>
        </w:rPr>
        <w:t>SH</w:t>
      </w:r>
      <w:r w:rsidRPr="009D7635">
        <w:rPr>
          <w:rFonts w:ascii="Times New Roman" w:hAnsi="Times New Roman" w:cs="Times New Roman"/>
          <w:color w:val="000000" w:themeColor="text1"/>
        </w:rPr>
        <w:t xml:space="preserve"> </w:t>
      </w:r>
      <w:r w:rsidR="003B5C4D" w:rsidRPr="009D7635">
        <w:rPr>
          <w:rFonts w:ascii="Times New Roman" w:hAnsi="Times New Roman" w:cs="Times New Roman"/>
          <w:color w:val="000000" w:themeColor="text1"/>
        </w:rPr>
        <w:t>3</w:t>
      </w:r>
      <w:r w:rsidRPr="009D7635">
        <w:rPr>
          <w:rFonts w:ascii="Times New Roman" w:hAnsi="Times New Roman" w:cs="Times New Roman"/>
          <w:color w:val="000000" w:themeColor="text1"/>
        </w:rPr>
        <w:t xml:space="preserve">, 237-51. J.-P. </w:t>
      </w:r>
      <w:proofErr w:type="spellStart"/>
      <w:r w:rsidRPr="009D7635">
        <w:rPr>
          <w:rFonts w:ascii="Times New Roman" w:hAnsi="Times New Roman" w:cs="Times New Roman"/>
          <w:color w:val="000000" w:themeColor="text1"/>
        </w:rPr>
        <w:t>Torrell</w:t>
      </w:r>
      <w:proofErr w:type="spellEnd"/>
      <w:r w:rsidRPr="009D7635">
        <w:rPr>
          <w:rFonts w:ascii="Times New Roman" w:hAnsi="Times New Roman" w:cs="Times New Roman"/>
          <w:color w:val="000000" w:themeColor="text1"/>
        </w:rPr>
        <w:t xml:space="preserve">, ‘Introduction,’ in </w:t>
      </w:r>
      <w:proofErr w:type="spellStart"/>
      <w:r w:rsidRPr="009D7635">
        <w:rPr>
          <w:rFonts w:ascii="Times New Roman" w:hAnsi="Times New Roman" w:cs="Times New Roman"/>
          <w:color w:val="000000" w:themeColor="text1"/>
          <w:lang w:val="en-US"/>
        </w:rPr>
        <w:t>Guerric</w:t>
      </w:r>
      <w:proofErr w:type="spellEnd"/>
      <w:r w:rsidRPr="009D7635">
        <w:rPr>
          <w:rFonts w:ascii="Times New Roman" w:hAnsi="Times New Roman" w:cs="Times New Roman"/>
          <w:color w:val="000000" w:themeColor="text1"/>
          <w:lang w:val="en-US"/>
        </w:rPr>
        <w:t xml:space="preserve"> of Saint-Quentin, </w:t>
      </w:r>
      <w:proofErr w:type="spellStart"/>
      <w:r w:rsidRPr="009D7635">
        <w:rPr>
          <w:rFonts w:ascii="Times New Roman" w:hAnsi="Times New Roman" w:cs="Times New Roman"/>
          <w:i/>
          <w:color w:val="000000" w:themeColor="text1"/>
          <w:lang w:val="en-US"/>
        </w:rPr>
        <w:t>Quaestiones</w:t>
      </w:r>
      <w:proofErr w:type="spellEnd"/>
      <w:r w:rsidRPr="009D7635">
        <w:rPr>
          <w:rFonts w:ascii="Times New Roman" w:hAnsi="Times New Roman" w:cs="Times New Roman"/>
          <w:i/>
          <w:color w:val="000000" w:themeColor="text1"/>
          <w:lang w:val="en-US"/>
        </w:rPr>
        <w:t xml:space="preserve"> de </w:t>
      </w:r>
      <w:r w:rsidR="00797700" w:rsidRPr="009D7635">
        <w:rPr>
          <w:rFonts w:ascii="Times New Roman" w:hAnsi="Times New Roman" w:cs="Times New Roman"/>
          <w:i/>
          <w:color w:val="000000" w:themeColor="text1"/>
          <w:lang w:val="en-US"/>
        </w:rPr>
        <w:t>quodlibet</w:t>
      </w:r>
      <w:r w:rsidR="00BB7CD7" w:rsidRPr="009D7635">
        <w:rPr>
          <w:rFonts w:ascii="Times New Roman" w:hAnsi="Times New Roman" w:cs="Times New Roman"/>
          <w:i/>
          <w:color w:val="000000" w:themeColor="text1"/>
          <w:lang w:val="en-US"/>
        </w:rPr>
        <w:t>:</w:t>
      </w:r>
      <w:r w:rsidRPr="009D7635">
        <w:rPr>
          <w:rFonts w:ascii="Times New Roman" w:hAnsi="Times New Roman" w:cs="Times New Roman"/>
          <w:i/>
          <w:color w:val="000000" w:themeColor="text1"/>
          <w:lang w:val="en-US"/>
        </w:rPr>
        <w:t xml:space="preserve"> A Critical Edition</w:t>
      </w:r>
      <w:r w:rsidRPr="009D7635">
        <w:rPr>
          <w:rFonts w:ascii="Times New Roman" w:hAnsi="Times New Roman" w:cs="Times New Roman"/>
          <w:color w:val="000000" w:themeColor="text1"/>
          <w:lang w:val="en-US"/>
        </w:rPr>
        <w:t xml:space="preserve">, ed. W.H. Principe (Toronto: </w:t>
      </w:r>
      <w:proofErr w:type="spellStart"/>
      <w:r w:rsidRPr="009D7635">
        <w:rPr>
          <w:rFonts w:ascii="Times New Roman" w:hAnsi="Times New Roman" w:cs="Times New Roman"/>
          <w:color w:val="000000" w:themeColor="text1"/>
          <w:lang w:val="en-US"/>
        </w:rPr>
        <w:t>Pontificial</w:t>
      </w:r>
      <w:proofErr w:type="spellEnd"/>
      <w:r w:rsidRPr="009D7635">
        <w:rPr>
          <w:rFonts w:ascii="Times New Roman" w:hAnsi="Times New Roman" w:cs="Times New Roman"/>
          <w:color w:val="000000" w:themeColor="text1"/>
          <w:lang w:val="en-US"/>
        </w:rPr>
        <w:t xml:space="preserve"> Institute of Mediaeval Studies, 2002), 81, see also </w:t>
      </w:r>
      <w:r w:rsidR="008F1577" w:rsidRPr="009D7635">
        <w:rPr>
          <w:rFonts w:ascii="Times New Roman" w:hAnsi="Times New Roman" w:cs="Times New Roman"/>
          <w:color w:val="000000" w:themeColor="text1"/>
          <w:lang w:val="en-US"/>
        </w:rPr>
        <w:t>Q</w:t>
      </w:r>
      <w:r w:rsidRPr="009D7635">
        <w:rPr>
          <w:rFonts w:ascii="Times New Roman" w:hAnsi="Times New Roman" w:cs="Times New Roman"/>
          <w:color w:val="000000" w:themeColor="text1"/>
          <w:lang w:val="en-US"/>
        </w:rPr>
        <w:t xml:space="preserve">uodlibet 2.3. Here, </w:t>
      </w:r>
      <w:proofErr w:type="spellStart"/>
      <w:r w:rsidRPr="009D7635">
        <w:rPr>
          <w:rFonts w:ascii="Times New Roman" w:hAnsi="Times New Roman" w:cs="Times New Roman"/>
          <w:color w:val="000000" w:themeColor="text1"/>
          <w:lang w:val="en-US"/>
        </w:rPr>
        <w:t>Guerric</w:t>
      </w:r>
      <w:proofErr w:type="spellEnd"/>
      <w:r w:rsidRPr="009D7635">
        <w:rPr>
          <w:rFonts w:ascii="Times New Roman" w:hAnsi="Times New Roman" w:cs="Times New Roman"/>
          <w:color w:val="000000" w:themeColor="text1"/>
          <w:lang w:val="en-US"/>
        </w:rPr>
        <w:t xml:space="preserve"> argues that the vegetative and sensitive powers</w:t>
      </w:r>
      <w:r w:rsidRPr="009D7635">
        <w:rPr>
          <w:rFonts w:ascii="Times New Roman" w:hAnsi="Times New Roman" w:cs="Times New Roman"/>
          <w:color w:val="000000" w:themeColor="text1"/>
        </w:rPr>
        <w:t xml:space="preserve"> which are still needed will remain active, such as vision and capacity to speak, but others will pass away. In Quodlibet 8.4, 355, </w:t>
      </w:r>
      <w:proofErr w:type="spellStart"/>
      <w:r w:rsidRPr="009D7635">
        <w:rPr>
          <w:rFonts w:ascii="Times New Roman" w:hAnsi="Times New Roman" w:cs="Times New Roman"/>
          <w:color w:val="000000" w:themeColor="text1"/>
        </w:rPr>
        <w:t>Guerric</w:t>
      </w:r>
      <w:proofErr w:type="spellEnd"/>
      <w:r w:rsidRPr="009D7635">
        <w:rPr>
          <w:rFonts w:ascii="Times New Roman" w:hAnsi="Times New Roman" w:cs="Times New Roman"/>
          <w:color w:val="000000" w:themeColor="text1"/>
        </w:rPr>
        <w:t xml:space="preserve"> affirms that while the separated soul does not have its senses, it has the potential to have them, as lines can be potentially be drawn out of a centre.</w:t>
      </w:r>
    </w:p>
  </w:footnote>
  <w:footnote w:id="514">
    <w:p w14:paraId="0C7FA10C"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Aristotle affirms that the bodily powers die with body in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II.1 (413a).</w:t>
      </w:r>
    </w:p>
  </w:footnote>
  <w:footnote w:id="515">
    <w:p w14:paraId="1751F413" w14:textId="65294720"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141. </w:t>
      </w:r>
      <w:proofErr w:type="spellStart"/>
      <w:r w:rsidRPr="009D7635">
        <w:rPr>
          <w:rFonts w:ascii="Times New Roman" w:hAnsi="Times New Roman" w:cs="Times New Roman"/>
          <w:color w:val="000000" w:themeColor="text1"/>
        </w:rPr>
        <w:t>Gundissalinus</w:t>
      </w:r>
      <w:proofErr w:type="spellEnd"/>
      <w:r w:rsidRPr="009D7635">
        <w:rPr>
          <w:rFonts w:ascii="Times New Roman" w:hAnsi="Times New Roman" w:cs="Times New Roman"/>
          <w:color w:val="000000" w:themeColor="text1"/>
        </w:rPr>
        <w:t xml:space="preserve"> affirms that the vegetative and sensitive powers are accidental, so not immortal, but subsequently seems to suggest differently. See J.T. </w:t>
      </w:r>
      <w:proofErr w:type="spellStart"/>
      <w:r w:rsidRPr="009D7635">
        <w:rPr>
          <w:rFonts w:ascii="Times New Roman" w:hAnsi="Times New Roman" w:cs="Times New Roman"/>
          <w:color w:val="000000" w:themeColor="text1"/>
          <w:lang w:val="en-US"/>
        </w:rPr>
        <w:t>Muckle</w:t>
      </w:r>
      <w:proofErr w:type="spellEnd"/>
      <w:r w:rsidRPr="009D7635">
        <w:rPr>
          <w:rFonts w:ascii="Times New Roman" w:hAnsi="Times New Roman" w:cs="Times New Roman"/>
          <w:color w:val="000000" w:themeColor="text1"/>
          <w:lang w:val="en-US"/>
        </w:rPr>
        <w:t xml:space="preserve">, ‘The Treatise </w:t>
      </w:r>
      <w:r w:rsidRPr="009D7635">
        <w:rPr>
          <w:rFonts w:ascii="Times New Roman" w:hAnsi="Times New Roman" w:cs="Times New Roman"/>
          <w:i/>
          <w:color w:val="000000" w:themeColor="text1"/>
          <w:lang w:val="en-US"/>
        </w:rPr>
        <w:t>De anima</w:t>
      </w:r>
      <w:r w:rsidRPr="009D7635">
        <w:rPr>
          <w:rFonts w:ascii="Times New Roman" w:hAnsi="Times New Roman" w:cs="Times New Roman"/>
          <w:color w:val="000000" w:themeColor="text1"/>
          <w:lang w:val="en-US"/>
        </w:rPr>
        <w:t xml:space="preserve"> of </w:t>
      </w:r>
      <w:proofErr w:type="spellStart"/>
      <w:r w:rsidRPr="009D7635">
        <w:rPr>
          <w:rFonts w:ascii="Times New Roman" w:hAnsi="Times New Roman" w:cs="Times New Roman"/>
          <w:color w:val="000000" w:themeColor="text1"/>
          <w:lang w:val="en-US"/>
        </w:rPr>
        <w:t>Dominicus</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Gundissalinus</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rPr>
        <w:t>83.</w:t>
      </w:r>
    </w:p>
  </w:footnote>
  <w:footnote w:id="516">
    <w:p w14:paraId="3E0D2CEC"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85-6. </w:t>
      </w:r>
    </w:p>
  </w:footnote>
  <w:footnote w:id="517">
    <w:p w14:paraId="1A8134E3"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On John, see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‘La </w:t>
      </w:r>
      <w:proofErr w:type="spellStart"/>
      <w:r w:rsidRPr="009D7635">
        <w:rPr>
          <w:rFonts w:ascii="Times New Roman" w:hAnsi="Times New Roman" w:cs="Times New Roman"/>
          <w:color w:val="000000" w:themeColor="text1"/>
        </w:rPr>
        <w:t>pluralité</w:t>
      </w:r>
      <w:proofErr w:type="spellEnd"/>
      <w:r w:rsidRPr="009D7635">
        <w:rPr>
          <w:rFonts w:ascii="Times New Roman" w:hAnsi="Times New Roman" w:cs="Times New Roman"/>
          <w:color w:val="000000" w:themeColor="text1"/>
        </w:rPr>
        <w:t xml:space="preserve"> des forms </w:t>
      </w:r>
      <w:proofErr w:type="spellStart"/>
      <w:r w:rsidRPr="009D7635">
        <w:rPr>
          <w:rFonts w:ascii="Times New Roman" w:hAnsi="Times New Roman" w:cs="Times New Roman"/>
          <w:color w:val="000000" w:themeColor="text1"/>
        </w:rPr>
        <w:t>substantielles</w:t>
      </w:r>
      <w:proofErr w:type="spellEnd"/>
      <w:r w:rsidRPr="009D7635">
        <w:rPr>
          <w:rFonts w:ascii="Times New Roman" w:hAnsi="Times New Roman" w:cs="Times New Roman"/>
          <w:color w:val="000000" w:themeColor="text1"/>
        </w:rPr>
        <w:t>,’ 458-9.</w:t>
      </w:r>
    </w:p>
  </w:footnote>
  <w:footnote w:id="518">
    <w:p w14:paraId="69D6ADD9"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Richard C. Dales, </w:t>
      </w:r>
      <w:r w:rsidRPr="009D7635">
        <w:rPr>
          <w:rFonts w:ascii="Times New Roman" w:hAnsi="Times New Roman" w:cs="Times New Roman"/>
          <w:i/>
          <w:color w:val="000000" w:themeColor="text1"/>
          <w:lang w:val="en-US"/>
        </w:rPr>
        <w:t>The Problem of the Rational Soul</w:t>
      </w:r>
      <w:r w:rsidRPr="009D7635">
        <w:rPr>
          <w:rFonts w:ascii="Times New Roman" w:hAnsi="Times New Roman" w:cs="Times New Roman"/>
          <w:iCs/>
          <w:color w:val="000000" w:themeColor="text1"/>
          <w:lang w:val="en-US"/>
        </w:rPr>
        <w:t>,</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88.</w:t>
      </w:r>
    </w:p>
  </w:footnote>
  <w:footnote w:id="519">
    <w:p w14:paraId="79146FC4" w14:textId="7545AB8E" w:rsidR="00B93ED5" w:rsidRPr="009D7635" w:rsidRDefault="00B93ED5" w:rsidP="000F0F2F">
      <w:pPr>
        <w:autoSpaceDE w:val="0"/>
        <w:autoSpaceDN w:val="0"/>
        <w:adjustRightInd w:val="0"/>
        <w:ind w:right="-720"/>
        <w:rPr>
          <w:rFonts w:ascii="Times New Roman" w:hAnsi="Times New Roman" w:cs="Times New Roman"/>
          <w:bCs/>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 142: </w:t>
      </w:r>
      <w:r w:rsidRPr="009D7635">
        <w:rPr>
          <w:rFonts w:ascii="Times New Roman" w:hAnsi="Times New Roman" w:cs="Times New Roman"/>
          <w:i/>
          <w:color w:val="000000" w:themeColor="text1"/>
          <w:sz w:val="20"/>
          <w:szCs w:val="20"/>
          <w:lang w:val="en-US"/>
        </w:rPr>
        <w:t xml:space="preserve">Ad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dicendum</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uegetatiua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sensitiua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duos </w:t>
      </w:r>
      <w:proofErr w:type="spellStart"/>
      <w:r w:rsidRPr="009D7635">
        <w:rPr>
          <w:rFonts w:ascii="Times New Roman" w:hAnsi="Times New Roman" w:cs="Times New Roman"/>
          <w:i/>
          <w:color w:val="000000" w:themeColor="text1"/>
          <w:sz w:val="20"/>
          <w:szCs w:val="20"/>
          <w:lang w:val="en-US"/>
        </w:rPr>
        <w:t>modos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homine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homine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uegetatiua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sensitiua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disponens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uegetatiua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sensitiua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perficiens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Vegetatiua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disponens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embryone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operatur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nutricionis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augmentacionis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configuracionis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organizacionis</w:t>
      </w:r>
      <w:proofErr w:type="spellEnd"/>
      <w:r w:rsidRPr="009D7635">
        <w:rPr>
          <w:rFonts w:ascii="Times New Roman" w:hAnsi="Times New Roman" w:cs="Times New Roman"/>
          <w:i/>
          <w:color w:val="000000" w:themeColor="text1"/>
          <w:sz w:val="20"/>
          <w:szCs w:val="20"/>
          <w:lang w:val="en-US"/>
        </w:rPr>
        <w:t xml:space="preserve"> ante </w:t>
      </w:r>
      <w:proofErr w:type="spellStart"/>
      <w:r w:rsidRPr="009D7635">
        <w:rPr>
          <w:rFonts w:ascii="Times New Roman" w:hAnsi="Times New Roman" w:cs="Times New Roman"/>
          <w:i/>
          <w:color w:val="000000" w:themeColor="text1"/>
          <w:sz w:val="20"/>
          <w:szCs w:val="20"/>
          <w:lang w:val="en-US"/>
        </w:rPr>
        <w:t>infusionem</w:t>
      </w:r>
      <w:proofErr w:type="spellEnd"/>
      <w:r w:rsidRPr="009D7635">
        <w:rPr>
          <w:rFonts w:ascii="Times New Roman" w:hAnsi="Times New Roman" w:cs="Times New Roman"/>
          <w:i/>
          <w:color w:val="000000" w:themeColor="text1"/>
          <w:sz w:val="20"/>
          <w:szCs w:val="20"/>
          <w:lang w:val="en-US"/>
        </w:rPr>
        <w:t xml:space="preserve"> anime </w:t>
      </w:r>
      <w:proofErr w:type="spellStart"/>
      <w:r w:rsidRPr="009D7635">
        <w:rPr>
          <w:rFonts w:ascii="Times New Roman" w:hAnsi="Times New Roman" w:cs="Times New Roman"/>
          <w:i/>
          <w:color w:val="000000" w:themeColor="text1"/>
          <w:sz w:val="20"/>
          <w:szCs w:val="20"/>
          <w:lang w:val="en-US"/>
        </w:rPr>
        <w:t>racionalis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substancia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uegetabilem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Similiter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disponens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motum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operatur</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embryone</w:t>
      </w:r>
      <w:proofErr w:type="spellEnd"/>
      <w:r w:rsidRPr="009D7635">
        <w:rPr>
          <w:rFonts w:ascii="Times New Roman" w:hAnsi="Times New Roman" w:cs="Times New Roman"/>
          <w:i/>
          <w:color w:val="000000" w:themeColor="text1"/>
          <w:sz w:val="20"/>
          <w:szCs w:val="20"/>
          <w:lang w:val="en-US"/>
        </w:rPr>
        <w:t xml:space="preserve"> ante </w:t>
      </w:r>
      <w:proofErr w:type="spellStart"/>
      <w:r w:rsidRPr="009D7635">
        <w:rPr>
          <w:rFonts w:ascii="Times New Roman" w:hAnsi="Times New Roman" w:cs="Times New Roman"/>
          <w:i/>
          <w:color w:val="000000" w:themeColor="text1"/>
          <w:sz w:val="20"/>
          <w:szCs w:val="20"/>
          <w:lang w:val="en-US"/>
        </w:rPr>
        <w:t>infusionem</w:t>
      </w:r>
      <w:proofErr w:type="spellEnd"/>
      <w:r w:rsidRPr="009D7635">
        <w:rPr>
          <w:rFonts w:ascii="Times New Roman" w:hAnsi="Times New Roman" w:cs="Times New Roman"/>
          <w:i/>
          <w:color w:val="000000" w:themeColor="text1"/>
          <w:sz w:val="20"/>
          <w:szCs w:val="20"/>
          <w:lang w:val="en-US"/>
        </w:rPr>
        <w:t xml:space="preserve"> anime </w:t>
      </w:r>
      <w:proofErr w:type="spellStart"/>
      <w:r w:rsidRPr="009D7635">
        <w:rPr>
          <w:rFonts w:ascii="Times New Roman" w:hAnsi="Times New Roman" w:cs="Times New Roman"/>
          <w:i/>
          <w:color w:val="000000" w:themeColor="text1"/>
          <w:sz w:val="20"/>
          <w:szCs w:val="20"/>
          <w:lang w:val="en-US"/>
        </w:rPr>
        <w:t>racionalis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Vegetatiua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uero</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sensitiua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perficiens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ipsa anima </w:t>
      </w:r>
      <w:proofErr w:type="spellStart"/>
      <w:r w:rsidRPr="009D7635">
        <w:rPr>
          <w:rFonts w:ascii="Times New Roman" w:hAnsi="Times New Roman" w:cs="Times New Roman"/>
          <w:i/>
          <w:color w:val="000000" w:themeColor="text1"/>
          <w:sz w:val="20"/>
          <w:szCs w:val="20"/>
          <w:lang w:val="en-US"/>
        </w:rPr>
        <w:t>racionalis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substancia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uegetatiuam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sensitiuam</w:t>
      </w:r>
      <w:proofErr w:type="spellEnd"/>
      <w:r w:rsidRPr="009D7635">
        <w:rPr>
          <w:rFonts w:ascii="Times New Roman" w:hAnsi="Times New Roman" w:cs="Times New Roman"/>
          <w:i/>
          <w:color w:val="000000" w:themeColor="text1"/>
          <w:sz w:val="20"/>
          <w:szCs w:val="20"/>
          <w:lang w:val="en-US"/>
        </w:rPr>
        <w:t xml:space="preserve">, corpus </w:t>
      </w:r>
      <w:proofErr w:type="spellStart"/>
      <w:r w:rsidRPr="009D7635">
        <w:rPr>
          <w:rFonts w:ascii="Times New Roman" w:hAnsi="Times New Roman" w:cs="Times New Roman"/>
          <w:i/>
          <w:color w:val="000000" w:themeColor="text1"/>
          <w:sz w:val="20"/>
          <w:szCs w:val="20"/>
          <w:lang w:val="en-US"/>
        </w:rPr>
        <w:t>uegetat</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sensificat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uegetacione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sensificacione</w:t>
      </w:r>
      <w:proofErr w:type="spellEnd"/>
      <w:r w:rsidRPr="009D7635">
        <w:rPr>
          <w:rFonts w:ascii="Times New Roman" w:hAnsi="Times New Roman" w:cs="Times New Roman"/>
          <w:i/>
          <w:color w:val="000000" w:themeColor="text1"/>
          <w:sz w:val="20"/>
          <w:szCs w:val="20"/>
          <w:lang w:val="en-US"/>
        </w:rPr>
        <w:t xml:space="preserve"> perfecta. Prima </w:t>
      </w:r>
      <w:proofErr w:type="spellStart"/>
      <w:r w:rsidRPr="009D7635">
        <w:rPr>
          <w:rFonts w:ascii="Times New Roman" w:hAnsi="Times New Roman" w:cs="Times New Roman"/>
          <w:i/>
          <w:color w:val="000000" w:themeColor="text1"/>
          <w:sz w:val="20"/>
          <w:szCs w:val="20"/>
          <w:lang w:val="en-US"/>
        </w:rPr>
        <w:t>seminatur</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infunditur</w:t>
      </w:r>
      <w:proofErr w:type="spellEnd"/>
      <w:r w:rsidRPr="009D7635">
        <w:rPr>
          <w:rFonts w:ascii="Times New Roman" w:hAnsi="Times New Roman" w:cs="Times New Roman"/>
          <w:i/>
          <w:color w:val="000000" w:themeColor="text1"/>
          <w:sz w:val="20"/>
          <w:szCs w:val="20"/>
          <w:lang w:val="en-US"/>
        </w:rPr>
        <w:t xml:space="preserve"> cum ipsa </w:t>
      </w:r>
      <w:proofErr w:type="spellStart"/>
      <w:r w:rsidRPr="009D7635">
        <w:rPr>
          <w:rFonts w:ascii="Times New Roman" w:hAnsi="Times New Roman" w:cs="Times New Roman"/>
          <w:i/>
          <w:color w:val="000000" w:themeColor="text1"/>
          <w:sz w:val="20"/>
          <w:szCs w:val="20"/>
          <w:lang w:val="en-US"/>
        </w:rPr>
        <w:t>infusione</w:t>
      </w:r>
      <w:proofErr w:type="spellEnd"/>
      <w:r w:rsidRPr="009D7635">
        <w:rPr>
          <w:rFonts w:ascii="Times New Roman" w:hAnsi="Times New Roman" w:cs="Times New Roman"/>
          <w:i/>
          <w:color w:val="000000" w:themeColor="text1"/>
          <w:sz w:val="20"/>
          <w:szCs w:val="20"/>
          <w:lang w:val="en-US"/>
        </w:rPr>
        <w:t xml:space="preserve"> anime </w:t>
      </w:r>
      <w:proofErr w:type="spellStart"/>
      <w:r w:rsidRPr="009D7635">
        <w:rPr>
          <w:rFonts w:ascii="Times New Roman" w:hAnsi="Times New Roman" w:cs="Times New Roman"/>
          <w:i/>
          <w:color w:val="000000" w:themeColor="text1"/>
          <w:sz w:val="20"/>
          <w:szCs w:val="20"/>
          <w:lang w:val="en-US"/>
        </w:rPr>
        <w:t>racionalis</w:t>
      </w:r>
      <w:proofErr w:type="spellEnd"/>
      <w:r w:rsidRPr="009D7635">
        <w:rPr>
          <w:rFonts w:ascii="Times New Roman" w:hAnsi="Times New Roman" w:cs="Times New Roman"/>
          <w:i/>
          <w:color w:val="000000" w:themeColor="text1"/>
          <w:sz w:val="20"/>
          <w:szCs w:val="20"/>
          <w:lang w:val="en-US"/>
        </w:rPr>
        <w:t xml:space="preserve">. Prima non </w:t>
      </w:r>
      <w:proofErr w:type="spellStart"/>
      <w:r w:rsidRPr="009D7635">
        <w:rPr>
          <w:rFonts w:ascii="Times New Roman" w:hAnsi="Times New Roman" w:cs="Times New Roman"/>
          <w:i/>
          <w:color w:val="000000" w:themeColor="text1"/>
          <w:sz w:val="20"/>
          <w:szCs w:val="20"/>
          <w:lang w:val="en-US"/>
        </w:rPr>
        <w:t>meretur</w:t>
      </w:r>
      <w:proofErr w:type="spellEnd"/>
      <w:r w:rsidRPr="009D7635">
        <w:rPr>
          <w:rFonts w:ascii="Times New Roman" w:hAnsi="Times New Roman" w:cs="Times New Roman"/>
          <w:i/>
          <w:color w:val="000000" w:themeColor="text1"/>
          <w:sz w:val="20"/>
          <w:szCs w:val="20"/>
          <w:lang w:val="en-US"/>
        </w:rPr>
        <w:t xml:space="preserve"> nomen anime </w:t>
      </w:r>
      <w:proofErr w:type="spellStart"/>
      <w:r w:rsidRPr="009D7635">
        <w:rPr>
          <w:rFonts w:ascii="Times New Roman" w:hAnsi="Times New Roman" w:cs="Times New Roman"/>
          <w:i/>
          <w:color w:val="000000" w:themeColor="text1"/>
          <w:sz w:val="20"/>
          <w:szCs w:val="20"/>
          <w:lang w:val="en-US"/>
        </w:rPr>
        <w:t>eo</w:t>
      </w:r>
      <w:proofErr w:type="spellEnd"/>
      <w:r w:rsidRPr="009D7635">
        <w:rPr>
          <w:rFonts w:ascii="Times New Roman" w:hAnsi="Times New Roman" w:cs="Times New Roman"/>
          <w:i/>
          <w:color w:val="000000" w:themeColor="text1"/>
          <w:sz w:val="20"/>
          <w:szCs w:val="20"/>
          <w:lang w:val="en-US"/>
        </w:rPr>
        <w:t xml:space="preserve"> quod sit </w:t>
      </w:r>
      <w:proofErr w:type="spellStart"/>
      <w:r w:rsidRPr="009D7635">
        <w:rPr>
          <w:rFonts w:ascii="Times New Roman" w:hAnsi="Times New Roman" w:cs="Times New Roman"/>
          <w:i/>
          <w:color w:val="000000" w:themeColor="text1"/>
          <w:sz w:val="20"/>
          <w:szCs w:val="20"/>
          <w:lang w:val="en-US"/>
        </w:rPr>
        <w:t>disponens</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perficiens</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secunda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Similiter</w:t>
      </w:r>
      <w:proofErr w:type="spellEnd"/>
      <w:r w:rsidRPr="009D7635">
        <w:rPr>
          <w:rFonts w:ascii="Times New Roman" w:hAnsi="Times New Roman" w:cs="Times New Roman"/>
          <w:i/>
          <w:color w:val="000000" w:themeColor="text1"/>
          <w:sz w:val="20"/>
          <w:szCs w:val="20"/>
          <w:lang w:val="en-US"/>
        </w:rPr>
        <w:t xml:space="preserve"> prima </w:t>
      </w:r>
      <w:proofErr w:type="spellStart"/>
      <w:r w:rsidRPr="009D7635">
        <w:rPr>
          <w:rFonts w:ascii="Times New Roman" w:hAnsi="Times New Roman" w:cs="Times New Roman"/>
          <w:i/>
          <w:color w:val="000000" w:themeColor="text1"/>
          <w:sz w:val="20"/>
          <w:szCs w:val="20"/>
          <w:lang w:val="en-US"/>
        </w:rPr>
        <w:t>interit</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secunda</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fundatur</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substancia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immortalis</w:t>
      </w:r>
      <w:proofErr w:type="spellEnd"/>
      <w:r w:rsidRPr="009D7635">
        <w:rPr>
          <w:rFonts w:ascii="Times New Roman" w:hAnsi="Times New Roman" w:cs="Times New Roman"/>
          <w:i/>
          <w:color w:val="000000" w:themeColor="text1"/>
          <w:sz w:val="20"/>
          <w:szCs w:val="20"/>
          <w:lang w:val="en-US"/>
        </w:rPr>
        <w:t xml:space="preserve"> nature. </w:t>
      </w:r>
      <w:r w:rsidRPr="009D7635">
        <w:rPr>
          <w:rFonts w:ascii="Times New Roman" w:hAnsi="Times New Roman" w:cs="Times New Roman"/>
          <w:color w:val="000000" w:themeColor="text1"/>
          <w:sz w:val="20"/>
          <w:szCs w:val="20"/>
          <w:lang w:val="en-US"/>
        </w:rPr>
        <w:t xml:space="preserve">See also </w:t>
      </w:r>
      <w:r w:rsidRPr="009D7635">
        <w:rPr>
          <w:rFonts w:ascii="Times New Roman" w:hAnsi="Times New Roman" w:cs="Times New Roman"/>
          <w:bCs/>
          <w:i/>
          <w:color w:val="000000" w:themeColor="text1"/>
          <w:sz w:val="20"/>
          <w:szCs w:val="20"/>
          <w:lang w:val="en-US"/>
        </w:rPr>
        <w:t>Summa de anima</w:t>
      </w:r>
      <w:r w:rsidRPr="009D7635">
        <w:rPr>
          <w:rFonts w:ascii="Times New Roman" w:hAnsi="Times New Roman" w:cs="Times New Roman"/>
          <w:bCs/>
          <w:iCs/>
          <w:color w:val="000000" w:themeColor="text1"/>
          <w:sz w:val="20"/>
          <w:szCs w:val="20"/>
          <w:lang w:val="en-US"/>
        </w:rPr>
        <w:t>,</w:t>
      </w:r>
      <w:r w:rsidRPr="009D7635">
        <w:rPr>
          <w:rFonts w:ascii="Times New Roman" w:hAnsi="Times New Roman" w:cs="Times New Roman"/>
          <w:bCs/>
          <w:color w:val="000000" w:themeColor="text1"/>
          <w:sz w:val="20"/>
          <w:szCs w:val="20"/>
          <w:lang w:val="en-US"/>
        </w:rPr>
        <w:t xml:space="preserve"> 137: </w:t>
      </w:r>
      <w:r w:rsidRPr="009D7635">
        <w:rPr>
          <w:rFonts w:ascii="Times New Roman" w:hAnsi="Times New Roman" w:cs="Times New Roman"/>
          <w:bCs/>
          <w:i/>
          <w:color w:val="000000" w:themeColor="text1"/>
          <w:sz w:val="20"/>
          <w:szCs w:val="20"/>
          <w:lang w:val="en-US"/>
        </w:rPr>
        <w:t xml:space="preserve">Duplex </w:t>
      </w:r>
      <w:proofErr w:type="spellStart"/>
      <w:r w:rsidRPr="009D7635">
        <w:rPr>
          <w:rFonts w:ascii="Times New Roman" w:hAnsi="Times New Roman" w:cs="Times New Roman"/>
          <w:bCs/>
          <w:i/>
          <w:color w:val="000000" w:themeColor="text1"/>
          <w:sz w:val="20"/>
          <w:szCs w:val="20"/>
          <w:lang w:val="en-US"/>
        </w:rPr>
        <w:t>est</w:t>
      </w:r>
      <w:proofErr w:type="spellEnd"/>
      <w:r w:rsidRPr="009D7635">
        <w:rPr>
          <w:rFonts w:ascii="Times New Roman" w:hAnsi="Times New Roman" w:cs="Times New Roman"/>
          <w:bCs/>
          <w:i/>
          <w:color w:val="000000" w:themeColor="text1"/>
          <w:sz w:val="20"/>
          <w:szCs w:val="20"/>
          <w:lang w:val="en-US"/>
        </w:rPr>
        <w:t xml:space="preserve"> vegetative, scilicet </w:t>
      </w:r>
      <w:proofErr w:type="spellStart"/>
      <w:r w:rsidRPr="009D7635">
        <w:rPr>
          <w:rFonts w:ascii="Times New Roman" w:hAnsi="Times New Roman" w:cs="Times New Roman"/>
          <w:bCs/>
          <w:i/>
          <w:color w:val="000000" w:themeColor="text1"/>
          <w:sz w:val="20"/>
          <w:szCs w:val="20"/>
          <w:lang w:val="en-US"/>
        </w:rPr>
        <w:t>disponens</w:t>
      </w:r>
      <w:proofErr w:type="spellEnd"/>
      <w:r w:rsidRPr="009D7635">
        <w:rPr>
          <w:rFonts w:ascii="Times New Roman" w:hAnsi="Times New Roman" w:cs="Times New Roman"/>
          <w:bCs/>
          <w:i/>
          <w:color w:val="000000" w:themeColor="text1"/>
          <w:sz w:val="20"/>
          <w:szCs w:val="20"/>
          <w:lang w:val="en-US"/>
        </w:rPr>
        <w:t xml:space="preserve"> et </w:t>
      </w:r>
      <w:proofErr w:type="spellStart"/>
      <w:r w:rsidRPr="009D7635">
        <w:rPr>
          <w:rFonts w:ascii="Times New Roman" w:hAnsi="Times New Roman" w:cs="Times New Roman"/>
          <w:bCs/>
          <w:i/>
          <w:color w:val="000000" w:themeColor="text1"/>
          <w:sz w:val="20"/>
          <w:szCs w:val="20"/>
          <w:lang w:val="en-US"/>
        </w:rPr>
        <w:t>vegetativa</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perficiens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Una</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est</w:t>
      </w:r>
      <w:proofErr w:type="spellEnd"/>
      <w:r w:rsidRPr="009D7635">
        <w:rPr>
          <w:rFonts w:ascii="Times New Roman" w:hAnsi="Times New Roman" w:cs="Times New Roman"/>
          <w:bCs/>
          <w:i/>
          <w:color w:val="000000" w:themeColor="text1"/>
          <w:sz w:val="20"/>
          <w:szCs w:val="20"/>
          <w:lang w:val="en-US"/>
        </w:rPr>
        <w:t xml:space="preserve"> forma in </w:t>
      </w:r>
      <w:proofErr w:type="spellStart"/>
      <w:r w:rsidRPr="009D7635">
        <w:rPr>
          <w:rFonts w:ascii="Times New Roman" w:hAnsi="Times New Roman" w:cs="Times New Roman"/>
          <w:bCs/>
          <w:i/>
          <w:color w:val="000000" w:themeColor="text1"/>
          <w:sz w:val="20"/>
          <w:szCs w:val="20"/>
          <w:lang w:val="en-US"/>
        </w:rPr>
        <w:t>fieri</w:t>
      </w:r>
      <w:proofErr w:type="spellEnd"/>
      <w:r w:rsidRPr="009D7635">
        <w:rPr>
          <w:rFonts w:ascii="Times New Roman" w:hAnsi="Times New Roman" w:cs="Times New Roman"/>
          <w:bCs/>
          <w:i/>
          <w:color w:val="000000" w:themeColor="text1"/>
          <w:sz w:val="20"/>
          <w:szCs w:val="20"/>
          <w:lang w:val="en-US"/>
        </w:rPr>
        <w:t xml:space="preserve">, alia in </w:t>
      </w:r>
      <w:proofErr w:type="spellStart"/>
      <w:r w:rsidRPr="009D7635">
        <w:rPr>
          <w:rFonts w:ascii="Times New Roman" w:hAnsi="Times New Roman" w:cs="Times New Roman"/>
          <w:bCs/>
          <w:i/>
          <w:color w:val="000000" w:themeColor="text1"/>
          <w:sz w:val="20"/>
          <w:szCs w:val="20"/>
          <w:lang w:val="en-US"/>
        </w:rPr>
        <w:t>esse</w:t>
      </w:r>
      <w:proofErr w:type="spellEnd"/>
      <w:r w:rsidRPr="009D7635">
        <w:rPr>
          <w:rFonts w:ascii="Times New Roman" w:hAnsi="Times New Roman" w:cs="Times New Roman"/>
          <w:bCs/>
          <w:i/>
          <w:color w:val="000000" w:themeColor="text1"/>
          <w:sz w:val="20"/>
          <w:szCs w:val="20"/>
          <w:lang w:val="en-US"/>
        </w:rPr>
        <w:t xml:space="preserve">; prima </w:t>
      </w:r>
      <w:proofErr w:type="spellStart"/>
      <w:r w:rsidRPr="009D7635">
        <w:rPr>
          <w:rFonts w:ascii="Times New Roman" w:hAnsi="Times New Roman" w:cs="Times New Roman"/>
          <w:bCs/>
          <w:i/>
          <w:color w:val="000000" w:themeColor="text1"/>
          <w:sz w:val="20"/>
          <w:szCs w:val="20"/>
          <w:lang w:val="en-US"/>
        </w:rPr>
        <w:t>autem</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traducitur</w:t>
      </w:r>
      <w:proofErr w:type="spellEnd"/>
      <w:r w:rsidRPr="009D7635">
        <w:rPr>
          <w:rFonts w:ascii="Times New Roman" w:hAnsi="Times New Roman" w:cs="Times New Roman"/>
          <w:bCs/>
          <w:i/>
          <w:color w:val="000000" w:themeColor="text1"/>
          <w:sz w:val="20"/>
          <w:szCs w:val="20"/>
          <w:lang w:val="en-US"/>
        </w:rPr>
        <w:t xml:space="preserve"> et </w:t>
      </w:r>
      <w:proofErr w:type="spellStart"/>
      <w:r w:rsidRPr="009D7635">
        <w:rPr>
          <w:rFonts w:ascii="Times New Roman" w:hAnsi="Times New Roman" w:cs="Times New Roman"/>
          <w:bCs/>
          <w:i/>
          <w:color w:val="000000" w:themeColor="text1"/>
          <w:sz w:val="20"/>
          <w:szCs w:val="20"/>
          <w:lang w:val="en-US"/>
        </w:rPr>
        <w:t>seminatur</w:t>
      </w:r>
      <w:proofErr w:type="spellEnd"/>
      <w:r w:rsidRPr="009D7635">
        <w:rPr>
          <w:rFonts w:ascii="Times New Roman" w:hAnsi="Times New Roman" w:cs="Times New Roman"/>
          <w:bCs/>
          <w:i/>
          <w:color w:val="000000" w:themeColor="text1"/>
          <w:sz w:val="20"/>
          <w:szCs w:val="20"/>
          <w:lang w:val="en-US"/>
        </w:rPr>
        <w:t xml:space="preserve"> cum </w:t>
      </w:r>
      <w:proofErr w:type="spellStart"/>
      <w:r w:rsidRPr="009D7635">
        <w:rPr>
          <w:rFonts w:ascii="Times New Roman" w:hAnsi="Times New Roman" w:cs="Times New Roman"/>
          <w:bCs/>
          <w:i/>
          <w:color w:val="000000" w:themeColor="text1"/>
          <w:sz w:val="20"/>
          <w:szCs w:val="20"/>
          <w:lang w:val="en-US"/>
        </w:rPr>
        <w:t>corpore</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secunda</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vero</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infunditur</w:t>
      </w:r>
      <w:proofErr w:type="spellEnd"/>
      <w:r w:rsidRPr="009D7635">
        <w:rPr>
          <w:rFonts w:ascii="Times New Roman" w:hAnsi="Times New Roman" w:cs="Times New Roman"/>
          <w:bCs/>
          <w:i/>
          <w:color w:val="000000" w:themeColor="text1"/>
          <w:sz w:val="20"/>
          <w:szCs w:val="20"/>
          <w:lang w:val="en-US"/>
        </w:rPr>
        <w:t xml:space="preserve"> cum </w:t>
      </w:r>
      <w:proofErr w:type="spellStart"/>
      <w:r w:rsidRPr="009D7635">
        <w:rPr>
          <w:rFonts w:ascii="Times New Roman" w:hAnsi="Times New Roman" w:cs="Times New Roman"/>
          <w:bCs/>
          <w:i/>
          <w:color w:val="000000" w:themeColor="text1"/>
          <w:sz w:val="20"/>
          <w:szCs w:val="20"/>
          <w:lang w:val="en-US"/>
        </w:rPr>
        <w:t>rationali</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animae</w:t>
      </w:r>
      <w:proofErr w:type="spellEnd"/>
      <w:r w:rsidRPr="009D7635">
        <w:rPr>
          <w:rFonts w:ascii="Times New Roman" w:hAnsi="Times New Roman" w:cs="Times New Roman"/>
          <w:bCs/>
          <w:i/>
          <w:color w:val="000000" w:themeColor="text1"/>
          <w:sz w:val="20"/>
          <w:szCs w:val="20"/>
          <w:lang w:val="en-US"/>
        </w:rPr>
        <w:t xml:space="preserve">. Prima ergo transit complete </w:t>
      </w:r>
      <w:proofErr w:type="spellStart"/>
      <w:r w:rsidRPr="009D7635">
        <w:rPr>
          <w:rFonts w:ascii="Times New Roman" w:hAnsi="Times New Roman" w:cs="Times New Roman"/>
          <w:bCs/>
          <w:i/>
          <w:color w:val="000000" w:themeColor="text1"/>
          <w:sz w:val="20"/>
          <w:szCs w:val="20"/>
          <w:lang w:val="en-US"/>
        </w:rPr>
        <w:t>fieri</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idest</w:t>
      </w:r>
      <w:proofErr w:type="spellEnd"/>
      <w:r w:rsidRPr="009D7635">
        <w:rPr>
          <w:rFonts w:ascii="Times New Roman" w:hAnsi="Times New Roman" w:cs="Times New Roman"/>
          <w:bCs/>
          <w:i/>
          <w:color w:val="000000" w:themeColor="text1"/>
          <w:sz w:val="20"/>
          <w:szCs w:val="20"/>
          <w:lang w:val="en-US"/>
        </w:rPr>
        <w:t xml:space="preserve"> formate </w:t>
      </w:r>
      <w:proofErr w:type="spellStart"/>
      <w:r w:rsidRPr="009D7635">
        <w:rPr>
          <w:rFonts w:ascii="Times New Roman" w:hAnsi="Times New Roman" w:cs="Times New Roman"/>
          <w:bCs/>
          <w:i/>
          <w:color w:val="000000" w:themeColor="text1"/>
          <w:sz w:val="20"/>
          <w:szCs w:val="20"/>
          <w:lang w:val="en-US"/>
        </w:rPr>
        <w:t>corpore</w:t>
      </w:r>
      <w:proofErr w:type="spellEnd"/>
      <w:r w:rsidRPr="009D7635">
        <w:rPr>
          <w:rFonts w:ascii="Times New Roman" w:hAnsi="Times New Roman" w:cs="Times New Roman"/>
          <w:bCs/>
          <w:i/>
          <w:color w:val="000000" w:themeColor="text1"/>
          <w:sz w:val="20"/>
          <w:szCs w:val="20"/>
          <w:lang w:val="en-US"/>
        </w:rPr>
        <w:t xml:space="preserve"> et </w:t>
      </w:r>
      <w:proofErr w:type="spellStart"/>
      <w:r w:rsidRPr="009D7635">
        <w:rPr>
          <w:rFonts w:ascii="Times New Roman" w:hAnsi="Times New Roman" w:cs="Times New Roman"/>
          <w:bCs/>
          <w:i/>
          <w:color w:val="000000" w:themeColor="text1"/>
          <w:sz w:val="20"/>
          <w:szCs w:val="20"/>
          <w:lang w:val="en-US"/>
        </w:rPr>
        <w:t>organizato</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secunda</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autem</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manet</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posita</w:t>
      </w:r>
      <w:proofErr w:type="spellEnd"/>
      <w:r w:rsidRPr="009D7635">
        <w:rPr>
          <w:rFonts w:ascii="Times New Roman" w:hAnsi="Times New Roman" w:cs="Times New Roman"/>
          <w:bCs/>
          <w:i/>
          <w:color w:val="000000" w:themeColor="text1"/>
          <w:sz w:val="20"/>
          <w:szCs w:val="20"/>
          <w:lang w:val="en-US"/>
        </w:rPr>
        <w:t xml:space="preserve"> in </w:t>
      </w:r>
      <w:proofErr w:type="spellStart"/>
      <w:r w:rsidRPr="009D7635">
        <w:rPr>
          <w:rFonts w:ascii="Times New Roman" w:hAnsi="Times New Roman" w:cs="Times New Roman"/>
          <w:bCs/>
          <w:i/>
          <w:color w:val="000000" w:themeColor="text1"/>
          <w:sz w:val="20"/>
          <w:szCs w:val="20"/>
          <w:lang w:val="en-US"/>
        </w:rPr>
        <w:t>esse</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rationalis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animae</w:t>
      </w:r>
      <w:proofErr w:type="spellEnd"/>
      <w:r w:rsidRPr="009D7635">
        <w:rPr>
          <w:rFonts w:ascii="Times New Roman" w:hAnsi="Times New Roman" w:cs="Times New Roman"/>
          <w:bCs/>
          <w:i/>
          <w:color w:val="000000" w:themeColor="text1"/>
          <w:sz w:val="20"/>
          <w:szCs w:val="20"/>
          <w:lang w:val="en-US"/>
        </w:rPr>
        <w:t xml:space="preserve">. Et </w:t>
      </w:r>
      <w:proofErr w:type="spellStart"/>
      <w:r w:rsidRPr="009D7635">
        <w:rPr>
          <w:rFonts w:ascii="Times New Roman" w:hAnsi="Times New Roman" w:cs="Times New Roman"/>
          <w:bCs/>
          <w:i/>
          <w:color w:val="000000" w:themeColor="text1"/>
          <w:sz w:val="20"/>
          <w:szCs w:val="20"/>
          <w:lang w:val="en-US"/>
        </w:rPr>
        <w:t>similiter</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etiam</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distinguendum</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est</w:t>
      </w:r>
      <w:proofErr w:type="spellEnd"/>
      <w:r w:rsidRPr="009D7635">
        <w:rPr>
          <w:rFonts w:ascii="Times New Roman" w:hAnsi="Times New Roman" w:cs="Times New Roman"/>
          <w:bCs/>
          <w:i/>
          <w:color w:val="000000" w:themeColor="text1"/>
          <w:sz w:val="20"/>
          <w:szCs w:val="20"/>
          <w:lang w:val="en-US"/>
        </w:rPr>
        <w:t xml:space="preserve"> de </w:t>
      </w:r>
      <w:proofErr w:type="spellStart"/>
      <w:r w:rsidRPr="009D7635">
        <w:rPr>
          <w:rFonts w:ascii="Times New Roman" w:hAnsi="Times New Roman" w:cs="Times New Roman"/>
          <w:bCs/>
          <w:i/>
          <w:color w:val="000000" w:themeColor="text1"/>
          <w:sz w:val="20"/>
          <w:szCs w:val="20"/>
          <w:lang w:val="en-US"/>
        </w:rPr>
        <w:t>sensibili</w:t>
      </w:r>
      <w:proofErr w:type="spellEnd"/>
      <w:r w:rsidRPr="009D7635">
        <w:rPr>
          <w:rFonts w:ascii="Times New Roman" w:hAnsi="Times New Roman" w:cs="Times New Roman"/>
          <w:bCs/>
          <w:i/>
          <w:color w:val="000000" w:themeColor="text1"/>
          <w:sz w:val="20"/>
          <w:szCs w:val="20"/>
          <w:lang w:val="en-US"/>
        </w:rPr>
        <w:t>.</w:t>
      </w:r>
      <w:r w:rsidRPr="009D7635">
        <w:rPr>
          <w:rFonts w:ascii="Times New Roman" w:hAnsi="Times New Roman" w:cs="Times New Roman"/>
          <w:bCs/>
          <w:color w:val="000000" w:themeColor="text1"/>
          <w:sz w:val="20"/>
          <w:szCs w:val="20"/>
          <w:lang w:val="en-US"/>
        </w:rPr>
        <w:t xml:space="preserve"> </w:t>
      </w:r>
      <w:r w:rsidRPr="009D7635">
        <w:rPr>
          <w:rFonts w:ascii="Times New Roman" w:hAnsi="Times New Roman" w:cs="Times New Roman"/>
          <w:bCs/>
          <w:i/>
          <w:color w:val="000000" w:themeColor="text1"/>
          <w:sz w:val="20"/>
          <w:szCs w:val="20"/>
          <w:lang w:val="en-US"/>
        </w:rPr>
        <w:t>Summa de anima,</w:t>
      </w:r>
      <w:r w:rsidRPr="009D7635">
        <w:rPr>
          <w:rFonts w:ascii="Times New Roman" w:hAnsi="Times New Roman" w:cs="Times New Roman"/>
          <w:bCs/>
          <w:color w:val="000000" w:themeColor="text1"/>
          <w:sz w:val="20"/>
          <w:szCs w:val="20"/>
          <w:lang w:val="en-US"/>
        </w:rPr>
        <w:t xml:space="preserve"> 186: </w:t>
      </w:r>
      <w:r w:rsidRPr="009D7635">
        <w:rPr>
          <w:rFonts w:ascii="Times New Roman" w:hAnsi="Times New Roman" w:cs="Times New Roman"/>
          <w:bCs/>
          <w:i/>
          <w:color w:val="000000" w:themeColor="text1"/>
          <w:sz w:val="20"/>
          <w:szCs w:val="20"/>
          <w:lang w:val="en-US"/>
        </w:rPr>
        <w:t xml:space="preserve">Prima </w:t>
      </w:r>
      <w:proofErr w:type="spellStart"/>
      <w:r w:rsidRPr="009D7635">
        <w:rPr>
          <w:rFonts w:ascii="Times New Roman" w:hAnsi="Times New Roman" w:cs="Times New Roman"/>
          <w:bCs/>
          <w:i/>
          <w:color w:val="000000" w:themeColor="text1"/>
          <w:sz w:val="20"/>
          <w:szCs w:val="20"/>
          <w:lang w:val="en-US"/>
        </w:rPr>
        <w:t>seminatur</w:t>
      </w:r>
      <w:proofErr w:type="spellEnd"/>
      <w:r w:rsidRPr="009D7635">
        <w:rPr>
          <w:rFonts w:ascii="Times New Roman" w:hAnsi="Times New Roman" w:cs="Times New Roman"/>
          <w:bCs/>
          <w:i/>
          <w:color w:val="000000" w:themeColor="text1"/>
          <w:sz w:val="20"/>
          <w:szCs w:val="20"/>
          <w:lang w:val="en-US"/>
        </w:rPr>
        <w:t xml:space="preserve"> cum </w:t>
      </w:r>
      <w:proofErr w:type="spellStart"/>
      <w:r w:rsidRPr="009D7635">
        <w:rPr>
          <w:rFonts w:ascii="Times New Roman" w:hAnsi="Times New Roman" w:cs="Times New Roman"/>
          <w:bCs/>
          <w:i/>
          <w:color w:val="000000" w:themeColor="text1"/>
          <w:sz w:val="20"/>
          <w:szCs w:val="20"/>
          <w:lang w:val="en-US"/>
        </w:rPr>
        <w:t>corpore</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secunda</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infunditur</w:t>
      </w:r>
      <w:proofErr w:type="spellEnd"/>
      <w:r w:rsidRPr="009D7635">
        <w:rPr>
          <w:rFonts w:ascii="Times New Roman" w:hAnsi="Times New Roman" w:cs="Times New Roman"/>
          <w:bCs/>
          <w:i/>
          <w:color w:val="000000" w:themeColor="text1"/>
          <w:sz w:val="20"/>
          <w:szCs w:val="20"/>
          <w:lang w:val="en-US"/>
        </w:rPr>
        <w:t xml:space="preserve"> cum </w:t>
      </w:r>
      <w:proofErr w:type="spellStart"/>
      <w:r w:rsidRPr="009D7635">
        <w:rPr>
          <w:rFonts w:ascii="Times New Roman" w:hAnsi="Times New Roman" w:cs="Times New Roman"/>
          <w:bCs/>
          <w:i/>
          <w:color w:val="000000" w:themeColor="text1"/>
          <w:sz w:val="20"/>
          <w:szCs w:val="20"/>
          <w:lang w:val="en-US"/>
        </w:rPr>
        <w:t>ipsi</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infusione</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animae</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rationalis</w:t>
      </w:r>
      <w:proofErr w:type="spellEnd"/>
      <w:r w:rsidRPr="009D7635">
        <w:rPr>
          <w:rFonts w:ascii="Times New Roman" w:hAnsi="Times New Roman" w:cs="Times New Roman"/>
          <w:bCs/>
          <w:i/>
          <w:color w:val="000000" w:themeColor="text1"/>
          <w:sz w:val="20"/>
          <w:szCs w:val="20"/>
          <w:lang w:val="en-US"/>
        </w:rPr>
        <w:t xml:space="preserve">; prima non </w:t>
      </w:r>
      <w:proofErr w:type="spellStart"/>
      <w:r w:rsidRPr="009D7635">
        <w:rPr>
          <w:rFonts w:ascii="Times New Roman" w:hAnsi="Times New Roman" w:cs="Times New Roman"/>
          <w:bCs/>
          <w:i/>
          <w:color w:val="000000" w:themeColor="text1"/>
          <w:sz w:val="20"/>
          <w:szCs w:val="20"/>
          <w:lang w:val="en-US"/>
        </w:rPr>
        <w:t>meretur</w:t>
      </w:r>
      <w:proofErr w:type="spellEnd"/>
      <w:r w:rsidRPr="009D7635">
        <w:rPr>
          <w:rFonts w:ascii="Times New Roman" w:hAnsi="Times New Roman" w:cs="Times New Roman"/>
          <w:bCs/>
          <w:i/>
          <w:color w:val="000000" w:themeColor="text1"/>
          <w:sz w:val="20"/>
          <w:szCs w:val="20"/>
          <w:lang w:val="en-US"/>
        </w:rPr>
        <w:t xml:space="preserve"> nomen </w:t>
      </w:r>
      <w:proofErr w:type="spellStart"/>
      <w:r w:rsidRPr="009D7635">
        <w:rPr>
          <w:rFonts w:ascii="Times New Roman" w:hAnsi="Times New Roman" w:cs="Times New Roman"/>
          <w:bCs/>
          <w:i/>
          <w:color w:val="000000" w:themeColor="text1"/>
          <w:sz w:val="20"/>
          <w:szCs w:val="20"/>
          <w:lang w:val="en-US"/>
        </w:rPr>
        <w:t>animae</w:t>
      </w:r>
      <w:proofErr w:type="spellEnd"/>
      <w:r w:rsidRPr="009D7635">
        <w:rPr>
          <w:rFonts w:ascii="Times New Roman" w:hAnsi="Times New Roman" w:cs="Times New Roman"/>
          <w:bCs/>
          <w:i/>
          <w:color w:val="000000" w:themeColor="text1"/>
          <w:sz w:val="20"/>
          <w:szCs w:val="20"/>
          <w:lang w:val="en-US"/>
        </w:rPr>
        <w:t xml:space="preserve">, cum sit </w:t>
      </w:r>
      <w:proofErr w:type="spellStart"/>
      <w:r w:rsidRPr="009D7635">
        <w:rPr>
          <w:rFonts w:ascii="Times New Roman" w:hAnsi="Times New Roman" w:cs="Times New Roman"/>
          <w:bCs/>
          <w:i/>
          <w:color w:val="000000" w:themeColor="text1"/>
          <w:sz w:val="20"/>
          <w:szCs w:val="20"/>
          <w:lang w:val="en-US"/>
        </w:rPr>
        <w:t>disponens</w:t>
      </w:r>
      <w:proofErr w:type="spellEnd"/>
      <w:r w:rsidRPr="009D7635">
        <w:rPr>
          <w:rFonts w:ascii="Times New Roman" w:hAnsi="Times New Roman" w:cs="Times New Roman"/>
          <w:bCs/>
          <w:i/>
          <w:color w:val="000000" w:themeColor="text1"/>
          <w:sz w:val="20"/>
          <w:szCs w:val="20"/>
          <w:lang w:val="en-US"/>
        </w:rPr>
        <w:t xml:space="preserve"> et non </w:t>
      </w:r>
      <w:proofErr w:type="spellStart"/>
      <w:r w:rsidRPr="009D7635">
        <w:rPr>
          <w:rFonts w:ascii="Times New Roman" w:hAnsi="Times New Roman" w:cs="Times New Roman"/>
          <w:bCs/>
          <w:i/>
          <w:color w:val="000000" w:themeColor="text1"/>
          <w:sz w:val="20"/>
          <w:szCs w:val="20"/>
          <w:lang w:val="en-US"/>
        </w:rPr>
        <w:t>perficiens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secunda</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meretur</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Similiter</w:t>
      </w:r>
      <w:proofErr w:type="spellEnd"/>
      <w:r w:rsidRPr="009D7635">
        <w:rPr>
          <w:rFonts w:ascii="Times New Roman" w:hAnsi="Times New Roman" w:cs="Times New Roman"/>
          <w:bCs/>
          <w:i/>
          <w:color w:val="000000" w:themeColor="text1"/>
          <w:sz w:val="20"/>
          <w:szCs w:val="20"/>
          <w:lang w:val="en-US"/>
        </w:rPr>
        <w:t xml:space="preserve"> prima </w:t>
      </w:r>
      <w:proofErr w:type="spellStart"/>
      <w:r w:rsidRPr="009D7635">
        <w:rPr>
          <w:rFonts w:ascii="Times New Roman" w:hAnsi="Times New Roman" w:cs="Times New Roman"/>
          <w:bCs/>
          <w:i/>
          <w:color w:val="000000" w:themeColor="text1"/>
          <w:sz w:val="20"/>
          <w:szCs w:val="20"/>
          <w:lang w:val="en-US"/>
        </w:rPr>
        <w:t>interiit</w:t>
      </w:r>
      <w:proofErr w:type="spellEnd"/>
      <w:r w:rsidRPr="009D7635">
        <w:rPr>
          <w:rFonts w:ascii="Times New Roman" w:hAnsi="Times New Roman" w:cs="Times New Roman"/>
          <w:bCs/>
          <w:i/>
          <w:color w:val="000000" w:themeColor="text1"/>
          <w:sz w:val="20"/>
          <w:szCs w:val="20"/>
          <w:lang w:val="en-US"/>
        </w:rPr>
        <w:t xml:space="preserve"> cum </w:t>
      </w:r>
      <w:proofErr w:type="spellStart"/>
      <w:r w:rsidRPr="009D7635">
        <w:rPr>
          <w:rFonts w:ascii="Times New Roman" w:hAnsi="Times New Roman" w:cs="Times New Roman"/>
          <w:bCs/>
          <w:i/>
          <w:color w:val="000000" w:themeColor="text1"/>
          <w:sz w:val="20"/>
          <w:szCs w:val="20"/>
          <w:lang w:val="en-US"/>
        </w:rPr>
        <w:t>corpore</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secunda</w:t>
      </w:r>
      <w:proofErr w:type="spellEnd"/>
      <w:r w:rsidRPr="009D7635">
        <w:rPr>
          <w:rFonts w:ascii="Times New Roman" w:hAnsi="Times New Roman" w:cs="Times New Roman"/>
          <w:bCs/>
          <w:i/>
          <w:color w:val="000000" w:themeColor="text1"/>
          <w:sz w:val="20"/>
          <w:szCs w:val="20"/>
          <w:lang w:val="en-US"/>
        </w:rPr>
        <w:t xml:space="preserve"> non, </w:t>
      </w:r>
      <w:proofErr w:type="spellStart"/>
      <w:r w:rsidRPr="009D7635">
        <w:rPr>
          <w:rFonts w:ascii="Times New Roman" w:hAnsi="Times New Roman" w:cs="Times New Roman"/>
          <w:bCs/>
          <w:i/>
          <w:color w:val="000000" w:themeColor="text1"/>
          <w:sz w:val="20"/>
          <w:szCs w:val="20"/>
          <w:lang w:val="en-US"/>
        </w:rPr>
        <w:t>quia</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fundatur</w:t>
      </w:r>
      <w:proofErr w:type="spellEnd"/>
      <w:r w:rsidRPr="009D7635">
        <w:rPr>
          <w:rFonts w:ascii="Times New Roman" w:hAnsi="Times New Roman" w:cs="Times New Roman"/>
          <w:bCs/>
          <w:i/>
          <w:color w:val="000000" w:themeColor="text1"/>
          <w:sz w:val="20"/>
          <w:szCs w:val="20"/>
          <w:lang w:val="en-US"/>
        </w:rPr>
        <w:t xml:space="preserve"> in </w:t>
      </w:r>
      <w:proofErr w:type="spellStart"/>
      <w:r w:rsidRPr="009D7635">
        <w:rPr>
          <w:rFonts w:ascii="Times New Roman" w:hAnsi="Times New Roman" w:cs="Times New Roman"/>
          <w:bCs/>
          <w:i/>
          <w:color w:val="000000" w:themeColor="text1"/>
          <w:sz w:val="20"/>
          <w:szCs w:val="20"/>
          <w:lang w:val="en-US"/>
        </w:rPr>
        <w:t>substantia</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immortalis</w:t>
      </w:r>
      <w:proofErr w:type="spellEnd"/>
      <w:r w:rsidRPr="009D7635">
        <w:rPr>
          <w:rFonts w:ascii="Times New Roman" w:hAnsi="Times New Roman" w:cs="Times New Roman"/>
          <w:bCs/>
          <w:i/>
          <w:color w:val="000000" w:themeColor="text1"/>
          <w:sz w:val="20"/>
          <w:szCs w:val="20"/>
          <w:lang w:val="en-US"/>
        </w:rPr>
        <w:t xml:space="preserve"> </w:t>
      </w:r>
      <w:proofErr w:type="spellStart"/>
      <w:r w:rsidRPr="009D7635">
        <w:rPr>
          <w:rFonts w:ascii="Times New Roman" w:hAnsi="Times New Roman" w:cs="Times New Roman"/>
          <w:bCs/>
          <w:i/>
          <w:color w:val="000000" w:themeColor="text1"/>
          <w:sz w:val="20"/>
          <w:szCs w:val="20"/>
          <w:lang w:val="en-US"/>
        </w:rPr>
        <w:t>naturae</w:t>
      </w:r>
      <w:proofErr w:type="spellEnd"/>
      <w:r w:rsidRPr="009D7635">
        <w:rPr>
          <w:rFonts w:ascii="Times New Roman" w:hAnsi="Times New Roman" w:cs="Times New Roman"/>
          <w:bCs/>
          <w:i/>
          <w:color w:val="000000" w:themeColor="text1"/>
          <w:sz w:val="20"/>
          <w:szCs w:val="20"/>
          <w:lang w:val="en-US"/>
        </w:rPr>
        <w:t xml:space="preserve">. </w:t>
      </w:r>
      <w:r w:rsidRPr="009D7635">
        <w:rPr>
          <w:rFonts w:ascii="Times New Roman" w:hAnsi="Times New Roman" w:cs="Times New Roman"/>
          <w:bCs/>
          <w:color w:val="000000" w:themeColor="text1"/>
          <w:sz w:val="20"/>
          <w:szCs w:val="20"/>
          <w:lang w:val="en-US"/>
        </w:rPr>
        <w:t xml:space="preserve">See also the discussion of </w:t>
      </w:r>
      <w:proofErr w:type="spellStart"/>
      <w:r w:rsidRPr="009D7635">
        <w:rPr>
          <w:rFonts w:ascii="Times New Roman" w:hAnsi="Times New Roman" w:cs="Times New Roman"/>
          <w:bCs/>
          <w:color w:val="000000" w:themeColor="text1"/>
          <w:sz w:val="20"/>
          <w:szCs w:val="20"/>
          <w:lang w:val="en-US"/>
        </w:rPr>
        <w:t>Zavalloni</w:t>
      </w:r>
      <w:proofErr w:type="spellEnd"/>
      <w:r w:rsidRPr="009D7635">
        <w:rPr>
          <w:rFonts w:ascii="Times New Roman" w:hAnsi="Times New Roman" w:cs="Times New Roman"/>
          <w:bCs/>
          <w:color w:val="000000" w:themeColor="text1"/>
          <w:sz w:val="20"/>
          <w:szCs w:val="20"/>
          <w:lang w:val="en-US"/>
        </w:rPr>
        <w:t xml:space="preserve"> in </w:t>
      </w:r>
      <w:r w:rsidRPr="009D7635">
        <w:rPr>
          <w:rFonts w:ascii="Times New Roman" w:hAnsi="Times New Roman" w:cs="Times New Roman"/>
          <w:i/>
          <w:color w:val="000000" w:themeColor="text1"/>
          <w:sz w:val="20"/>
          <w:szCs w:val="20"/>
          <w:lang w:val="en-US"/>
        </w:rPr>
        <w:t xml:space="preserve">Richard de </w:t>
      </w:r>
      <w:proofErr w:type="spellStart"/>
      <w:r w:rsidRPr="009D7635">
        <w:rPr>
          <w:rFonts w:ascii="Times New Roman" w:hAnsi="Times New Roman" w:cs="Times New Roman"/>
          <w:i/>
          <w:color w:val="000000" w:themeColor="text1"/>
          <w:sz w:val="20"/>
          <w:szCs w:val="20"/>
          <w:lang w:val="en-US"/>
        </w:rPr>
        <w:t>Mediavilla</w:t>
      </w:r>
      <w:proofErr w:type="spellEnd"/>
      <w:r w:rsidRPr="009D7635">
        <w:rPr>
          <w:rFonts w:ascii="Times New Roman" w:hAnsi="Times New Roman" w:cs="Times New Roman"/>
          <w:bCs/>
          <w:color w:val="000000" w:themeColor="text1"/>
          <w:sz w:val="20"/>
          <w:szCs w:val="20"/>
          <w:lang w:val="en-US"/>
        </w:rPr>
        <w:t>, 402-3.</w:t>
      </w:r>
    </w:p>
  </w:footnote>
  <w:footnote w:id="520">
    <w:p w14:paraId="2010A6A5"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‘La </w:t>
      </w:r>
      <w:proofErr w:type="spellStart"/>
      <w:r w:rsidRPr="009D7635">
        <w:rPr>
          <w:rFonts w:ascii="Times New Roman" w:hAnsi="Times New Roman" w:cs="Times New Roman"/>
          <w:color w:val="000000" w:themeColor="text1"/>
        </w:rPr>
        <w:t>pluralité</w:t>
      </w:r>
      <w:proofErr w:type="spellEnd"/>
      <w:r w:rsidRPr="009D7635">
        <w:rPr>
          <w:rFonts w:ascii="Times New Roman" w:hAnsi="Times New Roman" w:cs="Times New Roman"/>
          <w:color w:val="000000" w:themeColor="text1"/>
        </w:rPr>
        <w:t xml:space="preserve"> des forms </w:t>
      </w:r>
      <w:proofErr w:type="spellStart"/>
      <w:r w:rsidRPr="009D7635">
        <w:rPr>
          <w:rFonts w:ascii="Times New Roman" w:hAnsi="Times New Roman" w:cs="Times New Roman"/>
          <w:color w:val="000000" w:themeColor="text1"/>
        </w:rPr>
        <w:t>substantielles</w:t>
      </w:r>
      <w:proofErr w:type="spellEnd"/>
      <w:r w:rsidRPr="009D7635">
        <w:rPr>
          <w:rFonts w:ascii="Times New Roman" w:hAnsi="Times New Roman" w:cs="Times New Roman"/>
          <w:color w:val="000000" w:themeColor="text1"/>
        </w:rPr>
        <w:t>,’ 466.</w:t>
      </w:r>
    </w:p>
  </w:footnote>
  <w:footnote w:id="521">
    <w:p w14:paraId="39D5C5E8"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S1, Q3, Ti1, C2,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404.</w:t>
      </w:r>
    </w:p>
  </w:footnote>
  <w:footnote w:id="522">
    <w:p w14:paraId="59163770"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S1, Q3, Ti1, C2, a, 404; cf. SH 2.1, In4, Tr1, S2, Q1, C2, Ar1, 1, 425. </w:t>
      </w:r>
    </w:p>
  </w:footnote>
  <w:footnote w:id="523">
    <w:p w14:paraId="44599B94"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S1, Q3, Ti1, C2, b, 404.</w:t>
      </w:r>
    </w:p>
  </w:footnote>
  <w:footnote w:id="524">
    <w:p w14:paraId="2BD269A6" w14:textId="58E58196" w:rsidR="00B71271" w:rsidRPr="009D7635" w:rsidRDefault="00B71271" w:rsidP="00B71271">
      <w:pPr>
        <w:autoSpaceDE w:val="0"/>
        <w:autoSpaceDN w:val="0"/>
        <w:adjustRightInd w:val="0"/>
        <w:ind w:right="-72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Cf.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142. </w:t>
      </w:r>
    </w:p>
  </w:footnote>
  <w:footnote w:id="525">
    <w:p w14:paraId="3CB25914"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S1, Q3, Ti1, C2, c, 404.</w:t>
      </w:r>
    </w:p>
  </w:footnote>
  <w:footnote w:id="526">
    <w:p w14:paraId="211025B7"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S1, Q3, Ti1, C2, Ad </w:t>
      </w:r>
      <w:proofErr w:type="spellStart"/>
      <w:r w:rsidRPr="009D7635">
        <w:rPr>
          <w:rFonts w:ascii="Times New Roman" w:hAnsi="Times New Roman" w:cs="Times New Roman"/>
          <w:color w:val="000000" w:themeColor="text1"/>
        </w:rPr>
        <w:t>objecta</w:t>
      </w:r>
      <w:proofErr w:type="spellEnd"/>
      <w:r w:rsidRPr="009D7635">
        <w:rPr>
          <w:rFonts w:ascii="Times New Roman" w:hAnsi="Times New Roman" w:cs="Times New Roman"/>
          <w:color w:val="000000" w:themeColor="text1"/>
        </w:rPr>
        <w:t xml:space="preserve"> 2, 404.</w:t>
      </w:r>
    </w:p>
  </w:footnote>
  <w:footnote w:id="527">
    <w:p w14:paraId="0383A1F8"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S1, Q3, Ti1, C2, Contra 1, 404.</w:t>
      </w:r>
    </w:p>
  </w:footnote>
  <w:footnote w:id="528">
    <w:p w14:paraId="6BE95B51"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S1, Q3, Ti1, C2, Contra 2 and 3, 404.</w:t>
      </w:r>
    </w:p>
  </w:footnote>
  <w:footnote w:id="529">
    <w:p w14:paraId="7261236A" w14:textId="6D614F5E" w:rsidR="00B93ED5" w:rsidRPr="009D7635" w:rsidRDefault="00B93ED5" w:rsidP="004C1CD7">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S1, Q3, Ti1, C2, Ad </w:t>
      </w:r>
      <w:proofErr w:type="spellStart"/>
      <w:r w:rsidRPr="009D7635">
        <w:rPr>
          <w:rFonts w:ascii="Times New Roman" w:hAnsi="Times New Roman" w:cs="Times New Roman"/>
          <w:color w:val="000000" w:themeColor="text1"/>
          <w:sz w:val="20"/>
          <w:szCs w:val="20"/>
        </w:rPr>
        <w:t>objecta</w:t>
      </w:r>
      <w:proofErr w:type="spellEnd"/>
      <w:r w:rsidRPr="009D7635">
        <w:rPr>
          <w:rFonts w:ascii="Times New Roman" w:hAnsi="Times New Roman" w:cs="Times New Roman"/>
          <w:color w:val="000000" w:themeColor="text1"/>
          <w:sz w:val="20"/>
          <w:szCs w:val="20"/>
        </w:rPr>
        <w:t xml:space="preserve"> 1, 404. The Summa contests this on the ground that the embryo had those powers not through the mode of a perfection but through the mode of </w:t>
      </w:r>
      <w:proofErr w:type="spellStart"/>
      <w:r w:rsidRPr="009D7635">
        <w:rPr>
          <w:rFonts w:ascii="Times New Roman" w:hAnsi="Times New Roman" w:cs="Times New Roman"/>
          <w:i/>
          <w:color w:val="000000" w:themeColor="text1"/>
          <w:sz w:val="20"/>
          <w:szCs w:val="20"/>
        </w:rPr>
        <w:t>artificis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praeparantis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ipsum</w:t>
      </w:r>
      <w:proofErr w:type="spellEnd"/>
      <w:r w:rsidRPr="009D7635">
        <w:rPr>
          <w:rFonts w:ascii="Times New Roman" w:hAnsi="Times New Roman" w:cs="Times New Roman"/>
          <w:i/>
          <w:color w:val="000000" w:themeColor="text1"/>
          <w:sz w:val="20"/>
          <w:szCs w:val="20"/>
        </w:rPr>
        <w:t xml:space="preserve"> corpus, quod </w:t>
      </w:r>
      <w:proofErr w:type="spellStart"/>
      <w:r w:rsidRPr="009D7635">
        <w:rPr>
          <w:rFonts w:ascii="Times New Roman" w:hAnsi="Times New Roman" w:cs="Times New Roman"/>
          <w:i/>
          <w:color w:val="000000" w:themeColor="text1"/>
          <w:sz w:val="20"/>
          <w:szCs w:val="20"/>
        </w:rPr>
        <w:t>debet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esse</w:t>
      </w:r>
      <w:proofErr w:type="spellEnd"/>
      <w:r w:rsidRPr="009D7635">
        <w:rPr>
          <w:rFonts w:ascii="Times New Roman" w:hAnsi="Times New Roman" w:cs="Times New Roman"/>
          <w:i/>
          <w:color w:val="000000" w:themeColor="text1"/>
          <w:sz w:val="20"/>
          <w:szCs w:val="20"/>
        </w:rPr>
        <w:t xml:space="preserve"> organum </w:t>
      </w:r>
      <w:proofErr w:type="spellStart"/>
      <w:r w:rsidRPr="009D7635">
        <w:rPr>
          <w:rFonts w:ascii="Times New Roman" w:hAnsi="Times New Roman" w:cs="Times New Roman"/>
          <w:i/>
          <w:color w:val="000000" w:themeColor="text1"/>
          <w:sz w:val="20"/>
          <w:szCs w:val="20"/>
        </w:rPr>
        <w:t>ipsius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animae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quae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perfectio</w:t>
      </w:r>
      <w:proofErr w:type="spellEnd"/>
      <w:r w:rsidRPr="009D7635">
        <w:rPr>
          <w:rFonts w:ascii="Times New Roman" w:hAnsi="Times New Roman" w:cs="Times New Roman"/>
          <w:i/>
          <w:color w:val="000000" w:themeColor="text1"/>
          <w:sz w:val="20"/>
          <w:szCs w:val="20"/>
        </w:rPr>
        <w:t>.</w:t>
      </w:r>
      <w:r w:rsidR="00942D1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Tr3, Q1, Ti2, C4, Ad 4, 682: The human body cannot be prepared and </w:t>
      </w:r>
      <w:proofErr w:type="spellStart"/>
      <w:r w:rsidRPr="009D7635">
        <w:rPr>
          <w:rFonts w:ascii="Times New Roman" w:hAnsi="Times New Roman" w:cs="Times New Roman"/>
          <w:color w:val="000000" w:themeColor="text1"/>
          <w:sz w:val="20"/>
          <w:szCs w:val="20"/>
        </w:rPr>
        <w:t>organized</w:t>
      </w:r>
      <w:proofErr w:type="spellEnd"/>
      <w:r w:rsidRPr="009D7635">
        <w:rPr>
          <w:rFonts w:ascii="Times New Roman" w:hAnsi="Times New Roman" w:cs="Times New Roman"/>
          <w:color w:val="000000" w:themeColor="text1"/>
          <w:sz w:val="20"/>
          <w:szCs w:val="20"/>
        </w:rPr>
        <w:t xml:space="preserve"> in order to receive the rational soul without the prior development of the vegetable and sensible souls. </w:t>
      </w:r>
    </w:p>
  </w:footnote>
  <w:footnote w:id="530">
    <w:p w14:paraId="5FCF328D"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Tr3, Q1, Ti2, C6,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683.</w:t>
      </w:r>
    </w:p>
  </w:footnote>
  <w:footnote w:id="531">
    <w:p w14:paraId="2AD34775"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S1, Q3, Ti1, C2, Ad </w:t>
      </w:r>
      <w:proofErr w:type="spellStart"/>
      <w:r w:rsidRPr="009D7635">
        <w:rPr>
          <w:rFonts w:ascii="Times New Roman" w:hAnsi="Times New Roman" w:cs="Times New Roman"/>
          <w:color w:val="000000" w:themeColor="text1"/>
        </w:rPr>
        <w:t>objecta</w:t>
      </w:r>
      <w:proofErr w:type="spellEnd"/>
      <w:r w:rsidRPr="009D7635">
        <w:rPr>
          <w:rFonts w:ascii="Times New Roman" w:hAnsi="Times New Roman" w:cs="Times New Roman"/>
          <w:color w:val="000000" w:themeColor="text1"/>
        </w:rPr>
        <w:t xml:space="preserve"> 2 and 3, 404.</w:t>
      </w:r>
    </w:p>
  </w:footnote>
  <w:footnote w:id="532">
    <w:p w14:paraId="06690D21"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Q1, C2, Ar1, 2, 425. </w:t>
      </w:r>
    </w:p>
  </w:footnote>
  <w:footnote w:id="533">
    <w:p w14:paraId="07295241" w14:textId="223B463D" w:rsidR="00B93ED5" w:rsidRPr="009D7635" w:rsidRDefault="00B93ED5" w:rsidP="004C1CD7">
      <w:pPr>
        <w:autoSpaceDE w:val="0"/>
        <w:autoSpaceDN w:val="0"/>
        <w:adjustRightInd w:val="0"/>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Q1, C2, Ar1, Contra a, 426: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ergo </w:t>
      </w:r>
      <w:proofErr w:type="spellStart"/>
      <w:r w:rsidRPr="009D7635">
        <w:rPr>
          <w:rFonts w:ascii="Times New Roman" w:hAnsi="Times New Roman" w:cs="Times New Roman"/>
          <w:i/>
          <w:color w:val="000000" w:themeColor="text1"/>
          <w:sz w:val="20"/>
          <w:szCs w:val="20"/>
          <w:lang w:val="en-US"/>
        </w:rPr>
        <w:t>creatura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differt</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a </w:t>
      </w:r>
      <w:proofErr w:type="spellStart"/>
      <w:r w:rsidRPr="009D7635">
        <w:rPr>
          <w:rFonts w:ascii="Times New Roman" w:hAnsi="Times New Roman" w:cs="Times New Roman"/>
          <w:i/>
          <w:color w:val="000000" w:themeColor="text1"/>
          <w:sz w:val="20"/>
          <w:szCs w:val="20"/>
          <w:lang w:val="en-US"/>
        </w:rPr>
        <w:t>Creatore</w:t>
      </w:r>
      <w:proofErr w:type="spellEnd"/>
      <w:r w:rsidRPr="009D7635">
        <w:rPr>
          <w:rFonts w:ascii="Times New Roman" w:hAnsi="Times New Roman" w:cs="Times New Roman"/>
          <w:i/>
          <w:color w:val="000000" w:themeColor="text1"/>
          <w:sz w:val="20"/>
          <w:szCs w:val="20"/>
          <w:lang w:val="en-US"/>
        </w:rPr>
        <w:t xml:space="preserve"> in hoc quod </w:t>
      </w:r>
      <w:proofErr w:type="spellStart"/>
      <w:r w:rsidRPr="009D7635">
        <w:rPr>
          <w:rFonts w:ascii="Times New Roman" w:hAnsi="Times New Roman" w:cs="Times New Roman"/>
          <w:i/>
          <w:color w:val="000000" w:themeColor="text1"/>
          <w:sz w:val="20"/>
          <w:szCs w:val="20"/>
          <w:lang w:val="en-US"/>
        </w:rPr>
        <w:t>virtus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creatura</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omnino</w:t>
      </w:r>
      <w:proofErr w:type="spellEnd"/>
      <w:r w:rsidRPr="009D7635">
        <w:rPr>
          <w:rFonts w:ascii="Times New Roman" w:hAnsi="Times New Roman" w:cs="Times New Roman"/>
          <w:i/>
          <w:color w:val="000000" w:themeColor="text1"/>
          <w:sz w:val="20"/>
          <w:szCs w:val="20"/>
          <w:lang w:val="en-US"/>
        </w:rPr>
        <w:t xml:space="preserve"> idem quod </w:t>
      </w:r>
      <w:proofErr w:type="spellStart"/>
      <w:r w:rsidRPr="009D7635">
        <w:rPr>
          <w:rFonts w:ascii="Times New Roman" w:hAnsi="Times New Roman" w:cs="Times New Roman"/>
          <w:i/>
          <w:color w:val="000000" w:themeColor="text1"/>
          <w:sz w:val="20"/>
          <w:szCs w:val="20"/>
          <w:lang w:val="en-US"/>
        </w:rPr>
        <w:t>sua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essentia</w:t>
      </w:r>
      <w:proofErr w:type="spellEnd"/>
      <w:r w:rsidRPr="009D7635">
        <w:rPr>
          <w:rFonts w:ascii="Times New Roman" w:hAnsi="Times New Roman" w:cs="Times New Roman"/>
          <w:i/>
          <w:color w:val="000000" w:themeColor="text1"/>
          <w:sz w:val="20"/>
          <w:szCs w:val="20"/>
          <w:lang w:val="en-US"/>
        </w:rPr>
        <w:t xml:space="preserve">, sic </w:t>
      </w:r>
      <w:proofErr w:type="spellStart"/>
      <w:r w:rsidRPr="009D7635">
        <w:rPr>
          <w:rFonts w:ascii="Times New Roman" w:hAnsi="Times New Roman" w:cs="Times New Roman"/>
          <w:i/>
          <w:color w:val="000000" w:themeColor="text1"/>
          <w:sz w:val="20"/>
          <w:szCs w:val="20"/>
          <w:lang w:val="en-US"/>
        </w:rPr>
        <w:t>differet</w:t>
      </w:r>
      <w:proofErr w:type="spellEnd"/>
      <w:r w:rsidRPr="009D7635">
        <w:rPr>
          <w:rFonts w:ascii="Times New Roman" w:hAnsi="Times New Roman" w:cs="Times New Roman"/>
          <w:i/>
          <w:color w:val="000000" w:themeColor="text1"/>
          <w:sz w:val="20"/>
          <w:szCs w:val="20"/>
          <w:lang w:val="en-US"/>
        </w:rPr>
        <w:t xml:space="preserve"> in hoc quod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pluralitatem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virtutis</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Creator per </w:t>
      </w:r>
      <w:proofErr w:type="spellStart"/>
      <w:r w:rsidRPr="009D7635">
        <w:rPr>
          <w:rFonts w:ascii="Times New Roman" w:hAnsi="Times New Roman" w:cs="Times New Roman"/>
          <w:i/>
          <w:color w:val="000000" w:themeColor="text1"/>
          <w:sz w:val="20"/>
          <w:szCs w:val="20"/>
          <w:lang w:val="en-US"/>
        </w:rPr>
        <w:t>virtutis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indivisionem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Creator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virtute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agat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omne</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agit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creatura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agat</w:t>
      </w:r>
      <w:proofErr w:type="spellEnd"/>
      <w:r w:rsidRPr="009D7635">
        <w:rPr>
          <w:rFonts w:ascii="Times New Roman" w:hAnsi="Times New Roman" w:cs="Times New Roman"/>
          <w:i/>
          <w:color w:val="000000" w:themeColor="text1"/>
          <w:sz w:val="20"/>
          <w:szCs w:val="20"/>
          <w:lang w:val="en-US"/>
        </w:rPr>
        <w:t xml:space="preserve"> pluribus </w:t>
      </w:r>
      <w:proofErr w:type="spellStart"/>
      <w:r w:rsidRPr="009D7635">
        <w:rPr>
          <w:rFonts w:ascii="Times New Roman" w:hAnsi="Times New Roman" w:cs="Times New Roman"/>
          <w:i/>
          <w:color w:val="000000" w:themeColor="text1"/>
          <w:sz w:val="20"/>
          <w:szCs w:val="20"/>
          <w:lang w:val="en-US"/>
        </w:rPr>
        <w:t>virtutibus</w:t>
      </w:r>
      <w:proofErr w:type="spellEnd"/>
      <w:r w:rsidRPr="009D7635">
        <w:rPr>
          <w:rFonts w:ascii="Times New Roman" w:hAnsi="Times New Roman" w:cs="Times New Roman"/>
          <w:i/>
          <w:color w:val="000000" w:themeColor="text1"/>
          <w:sz w:val="20"/>
          <w:szCs w:val="20"/>
          <w:lang w:val="en-US"/>
        </w:rPr>
        <w:t xml:space="preserve"> differentia.</w:t>
      </w:r>
    </w:p>
  </w:footnote>
  <w:footnote w:id="534">
    <w:p w14:paraId="3CB56912" w14:textId="216AEDEE" w:rsidR="00B93ED5" w:rsidRPr="009D7635" w:rsidRDefault="00B93ED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On this broader question in medieval philosophy, see Dominik Perler and</w:t>
      </w:r>
      <w:r w:rsidRPr="009D7635">
        <w:rPr>
          <w:rFonts w:ascii="Times New Roman" w:hAnsi="Times New Roman" w:cs="Times New Roman"/>
          <w:color w:val="000000" w:themeColor="text1"/>
          <w:lang w:val="en-US"/>
        </w:rPr>
        <w:t xml:space="preserve"> Klaus </w:t>
      </w:r>
      <w:proofErr w:type="spellStart"/>
      <w:r w:rsidRPr="009D7635">
        <w:rPr>
          <w:rFonts w:ascii="Times New Roman" w:hAnsi="Times New Roman" w:cs="Times New Roman"/>
          <w:color w:val="000000" w:themeColor="text1"/>
          <w:lang w:val="en-US"/>
        </w:rPr>
        <w:t>Corciliu</w:t>
      </w:r>
      <w:r w:rsidR="00181E1B" w:rsidRPr="009D7635">
        <w:rPr>
          <w:rFonts w:ascii="Times New Roman" w:hAnsi="Times New Roman" w:cs="Times New Roman"/>
          <w:color w:val="000000" w:themeColor="text1"/>
          <w:lang w:val="en-US"/>
        </w:rPr>
        <w:t>s</w:t>
      </w:r>
      <w:proofErr w:type="spellEnd"/>
      <w:r w:rsidR="00181E1B" w:rsidRPr="009D7635">
        <w:rPr>
          <w:rFonts w:ascii="Times New Roman" w:hAnsi="Times New Roman" w:cs="Times New Roman"/>
          <w:i/>
          <w:iCs/>
          <w:color w:val="000000" w:themeColor="text1"/>
          <w:lang w:val="en-US"/>
        </w:rPr>
        <w:t>,</w:t>
      </w:r>
      <w:r w:rsidRPr="009D7635">
        <w:rPr>
          <w:rFonts w:ascii="Times New Roman" w:hAnsi="Times New Roman" w:cs="Times New Roman"/>
          <w:i/>
          <w:iCs/>
          <w:color w:val="000000" w:themeColor="text1"/>
          <w:lang w:val="en-US"/>
        </w:rPr>
        <w:t xml:space="preserve"> Partitioning the Soul</w:t>
      </w:r>
      <w:r w:rsidR="008A1722" w:rsidRPr="009D7635">
        <w:rPr>
          <w:rFonts w:ascii="Times New Roman" w:hAnsi="Times New Roman" w:cs="Times New Roman"/>
          <w:i/>
          <w:iCs/>
          <w:color w:val="000000" w:themeColor="text1"/>
          <w:lang w:val="en-US"/>
        </w:rPr>
        <w:t>:</w:t>
      </w:r>
      <w:r w:rsidRPr="009D7635">
        <w:rPr>
          <w:rFonts w:ascii="Times New Roman" w:hAnsi="Times New Roman" w:cs="Times New Roman"/>
          <w:i/>
          <w:iCs/>
          <w:color w:val="000000" w:themeColor="text1"/>
          <w:lang w:val="en-US"/>
        </w:rPr>
        <w:t xml:space="preserve"> Debates from Plato to Leibniz</w:t>
      </w:r>
      <w:r w:rsidRPr="009D7635">
        <w:rPr>
          <w:rFonts w:ascii="Times New Roman" w:hAnsi="Times New Roman" w:cs="Times New Roman"/>
          <w:color w:val="000000" w:themeColor="text1"/>
          <w:lang w:val="en-US"/>
        </w:rPr>
        <w:t xml:space="preserve"> (Berlin: De Gruyter 2014).</w:t>
      </w:r>
    </w:p>
  </w:footnote>
  <w:footnote w:id="535">
    <w:p w14:paraId="574541FB" w14:textId="77777777" w:rsidR="00B93ED5" w:rsidRPr="009D7635" w:rsidRDefault="00B93ED5" w:rsidP="004C1CD7">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Q1, C2, Ar2, Contra b, 426: </w:t>
      </w:r>
      <w:proofErr w:type="spellStart"/>
      <w:r w:rsidRPr="009D7635">
        <w:rPr>
          <w:rFonts w:ascii="Times New Roman" w:hAnsi="Times New Roman" w:cs="Times New Roman"/>
          <w:i/>
          <w:color w:val="000000" w:themeColor="text1"/>
          <w:sz w:val="20"/>
          <w:szCs w:val="20"/>
          <w:lang w:val="en-US"/>
        </w:rPr>
        <w:t>Tota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essentia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animae</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consistit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partes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dividitur</w:t>
      </w:r>
      <w:proofErr w:type="spellEnd"/>
      <w:r w:rsidRPr="009D7635">
        <w:rPr>
          <w:rFonts w:ascii="Times New Roman" w:hAnsi="Times New Roman" w:cs="Times New Roman"/>
          <w:i/>
          <w:color w:val="000000" w:themeColor="text1"/>
          <w:sz w:val="20"/>
          <w:szCs w:val="20"/>
          <w:lang w:val="en-US"/>
        </w:rPr>
        <w:t xml:space="preserve">, cum sit simplex et </w:t>
      </w:r>
      <w:proofErr w:type="spellStart"/>
      <w:r w:rsidRPr="009D7635">
        <w:rPr>
          <w:rFonts w:ascii="Times New Roman" w:hAnsi="Times New Roman" w:cs="Times New Roman"/>
          <w:i/>
          <w:color w:val="000000" w:themeColor="text1"/>
          <w:sz w:val="20"/>
          <w:szCs w:val="20"/>
          <w:lang w:val="en-US"/>
        </w:rPr>
        <w:t>individua</w:t>
      </w:r>
      <w:proofErr w:type="spellEnd"/>
      <w:r w:rsidRPr="009D7635">
        <w:rPr>
          <w:rFonts w:ascii="Times New Roman" w:hAnsi="Times New Roman" w:cs="Times New Roman"/>
          <w:i/>
          <w:color w:val="000000" w:themeColor="text1"/>
          <w:sz w:val="20"/>
          <w:szCs w:val="20"/>
          <w:lang w:val="en-US"/>
        </w:rPr>
        <w:t>.</w:t>
      </w:r>
    </w:p>
  </w:footnote>
  <w:footnote w:id="536">
    <w:p w14:paraId="17012722" w14:textId="57025F56" w:rsidR="00B93ED5" w:rsidRPr="009D7635" w:rsidRDefault="00B93ED5" w:rsidP="004C1CD7">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Q1, C2, Ar2, Ad </w:t>
      </w:r>
      <w:proofErr w:type="spellStart"/>
      <w:r w:rsidRPr="009D7635">
        <w:rPr>
          <w:rFonts w:ascii="Times New Roman" w:hAnsi="Times New Roman" w:cs="Times New Roman"/>
          <w:color w:val="000000" w:themeColor="text1"/>
          <w:sz w:val="20"/>
          <w:szCs w:val="20"/>
        </w:rPr>
        <w:t>objecta</w:t>
      </w:r>
      <w:proofErr w:type="spellEnd"/>
      <w:r w:rsidRPr="009D7635">
        <w:rPr>
          <w:rFonts w:ascii="Times New Roman" w:hAnsi="Times New Roman" w:cs="Times New Roman"/>
          <w:color w:val="000000" w:themeColor="text1"/>
          <w:sz w:val="20"/>
          <w:szCs w:val="20"/>
        </w:rPr>
        <w:t xml:space="preserve">, 427: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particulant</w:t>
      </w:r>
      <w:proofErr w:type="spellEnd"/>
      <w:r w:rsidRPr="009D7635">
        <w:rPr>
          <w:rFonts w:ascii="Times New Roman" w:hAnsi="Times New Roman" w:cs="Times New Roman"/>
          <w:i/>
          <w:color w:val="000000" w:themeColor="text1"/>
          <w:sz w:val="20"/>
          <w:szCs w:val="20"/>
          <w:lang w:val="en-US"/>
        </w:rPr>
        <w:t xml:space="preserve"> posse </w:t>
      </w:r>
      <w:proofErr w:type="spellStart"/>
      <w:r w:rsidRPr="009D7635">
        <w:rPr>
          <w:rFonts w:ascii="Times New Roman" w:hAnsi="Times New Roman" w:cs="Times New Roman"/>
          <w:i/>
          <w:color w:val="000000" w:themeColor="text1"/>
          <w:sz w:val="20"/>
          <w:szCs w:val="20"/>
          <w:lang w:val="en-US"/>
        </w:rPr>
        <w:t>animae</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differentes</w:t>
      </w:r>
      <w:proofErr w:type="spellEnd"/>
      <w:r w:rsidRPr="009D7635">
        <w:rPr>
          <w:rFonts w:ascii="Times New Roman" w:hAnsi="Times New Roman" w:cs="Times New Roman"/>
          <w:i/>
          <w:color w:val="000000" w:themeColor="text1"/>
          <w:sz w:val="20"/>
          <w:szCs w:val="20"/>
          <w:lang w:val="en-US"/>
        </w:rPr>
        <w:t xml:space="preserve">, et sic </w:t>
      </w:r>
      <w:proofErr w:type="spellStart"/>
      <w:r w:rsidRPr="009D7635">
        <w:rPr>
          <w:rFonts w:ascii="Times New Roman" w:hAnsi="Times New Roman" w:cs="Times New Roman"/>
          <w:i/>
          <w:color w:val="000000" w:themeColor="text1"/>
          <w:sz w:val="20"/>
          <w:szCs w:val="20"/>
          <w:lang w:val="en-US"/>
        </w:rPr>
        <w:t>aliae</w:t>
      </w:r>
      <w:proofErr w:type="spellEnd"/>
      <w:r w:rsidRPr="009D7635">
        <w:rPr>
          <w:rFonts w:ascii="Times New Roman" w:hAnsi="Times New Roman" w:cs="Times New Roman"/>
          <w:i/>
          <w:color w:val="000000" w:themeColor="text1"/>
          <w:sz w:val="20"/>
          <w:szCs w:val="20"/>
          <w:lang w:val="en-US"/>
        </w:rPr>
        <w:t xml:space="preserve"> vires </w:t>
      </w:r>
      <w:proofErr w:type="spellStart"/>
      <w:r w:rsidRPr="009D7635">
        <w:rPr>
          <w:rFonts w:ascii="Times New Roman" w:hAnsi="Times New Roman" w:cs="Times New Roman"/>
          <w:i/>
          <w:color w:val="000000" w:themeColor="text1"/>
          <w:sz w:val="20"/>
          <w:szCs w:val="20"/>
          <w:lang w:val="en-US"/>
        </w:rPr>
        <w:t>dicuntur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hae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proprie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virtuales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animae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conveniunt</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differunt</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differentes</w:t>
      </w:r>
      <w:proofErr w:type="spellEnd"/>
      <w:r w:rsidRPr="009D7635">
        <w:rPr>
          <w:rFonts w:ascii="Times New Roman" w:hAnsi="Times New Roman" w:cs="Times New Roman"/>
          <w:i/>
          <w:color w:val="000000" w:themeColor="text1"/>
          <w:sz w:val="20"/>
          <w:szCs w:val="20"/>
          <w:lang w:val="en-US"/>
        </w:rPr>
        <w:t xml:space="preserve"> in specie.</w:t>
      </w:r>
    </w:p>
  </w:footnote>
  <w:footnote w:id="537">
    <w:p w14:paraId="2246FAE0" w14:textId="7305A475" w:rsidR="00B93ED5" w:rsidRPr="009D7635" w:rsidRDefault="00B93ED5" w:rsidP="004C1CD7">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S1, Q3, Ti1, C5, Ar3,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411: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imaginem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Trinitatis</w:t>
      </w:r>
      <w:proofErr w:type="spellEnd"/>
      <w:r w:rsidRPr="009D7635">
        <w:rPr>
          <w:rFonts w:ascii="Times New Roman" w:hAnsi="Times New Roman" w:cs="Times New Roman"/>
          <w:i/>
          <w:color w:val="000000" w:themeColor="text1"/>
          <w:sz w:val="20"/>
          <w:szCs w:val="20"/>
          <w:lang w:val="en-US"/>
        </w:rPr>
        <w:t xml:space="preserve"> propter </w:t>
      </w:r>
      <w:proofErr w:type="spellStart"/>
      <w:r w:rsidRPr="009D7635">
        <w:rPr>
          <w:rFonts w:ascii="Times New Roman" w:hAnsi="Times New Roman" w:cs="Times New Roman"/>
          <w:i/>
          <w:color w:val="000000" w:themeColor="text1"/>
          <w:sz w:val="20"/>
          <w:szCs w:val="20"/>
          <w:lang w:val="en-US"/>
        </w:rPr>
        <w:t>rationem</w:t>
      </w:r>
      <w:proofErr w:type="spellEnd"/>
      <w:r w:rsidRPr="009D7635">
        <w:rPr>
          <w:rFonts w:ascii="Times New Roman" w:hAnsi="Times New Roman" w:cs="Times New Roman"/>
          <w:i/>
          <w:color w:val="000000" w:themeColor="text1"/>
          <w:sz w:val="20"/>
          <w:szCs w:val="20"/>
          <w:lang w:val="en-US"/>
        </w:rPr>
        <w:t xml:space="preserve"> supra </w:t>
      </w:r>
      <w:proofErr w:type="spellStart"/>
      <w:r w:rsidRPr="009D7635">
        <w:rPr>
          <w:rFonts w:ascii="Times New Roman" w:hAnsi="Times New Roman" w:cs="Times New Roman"/>
          <w:i/>
          <w:color w:val="000000" w:themeColor="text1"/>
          <w:sz w:val="20"/>
          <w:szCs w:val="20"/>
          <w:lang w:val="en-US"/>
        </w:rPr>
        <w:t>dictam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unitas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essentiae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divinae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tribus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personis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procedit</w:t>
      </w:r>
      <w:proofErr w:type="spellEnd"/>
      <w:r w:rsidRPr="009D7635">
        <w:rPr>
          <w:rFonts w:ascii="Times New Roman" w:hAnsi="Times New Roman" w:cs="Times New Roman"/>
          <w:i/>
          <w:color w:val="000000" w:themeColor="text1"/>
          <w:sz w:val="20"/>
          <w:szCs w:val="20"/>
          <w:lang w:val="en-US"/>
        </w:rPr>
        <w:t xml:space="preserve"> ab </w:t>
      </w:r>
      <w:proofErr w:type="spellStart"/>
      <w:r w:rsidRPr="009D7635">
        <w:rPr>
          <w:rFonts w:ascii="Times New Roman" w:hAnsi="Times New Roman" w:cs="Times New Roman"/>
          <w:i/>
          <w:color w:val="000000" w:themeColor="text1"/>
          <w:sz w:val="20"/>
          <w:szCs w:val="20"/>
          <w:lang w:val="en-US"/>
        </w:rPr>
        <w:t>altera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unitas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essentiae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animae</w:t>
      </w:r>
      <w:proofErr w:type="spellEnd"/>
      <w:r w:rsidRPr="009D7635">
        <w:rPr>
          <w:rFonts w:ascii="Times New Roman" w:hAnsi="Times New Roman" w:cs="Times New Roman"/>
          <w:i/>
          <w:color w:val="000000" w:themeColor="text1"/>
          <w:sz w:val="20"/>
          <w:szCs w:val="20"/>
          <w:lang w:val="en-US"/>
        </w:rPr>
        <w:t xml:space="preserve"> d in </w:t>
      </w:r>
      <w:proofErr w:type="spellStart"/>
      <w:r w:rsidRPr="009D7635">
        <w:rPr>
          <w:rFonts w:ascii="Times New Roman" w:hAnsi="Times New Roman" w:cs="Times New Roman"/>
          <w:i/>
          <w:color w:val="000000" w:themeColor="text1"/>
          <w:sz w:val="20"/>
          <w:szCs w:val="20"/>
          <w:lang w:val="en-US"/>
        </w:rPr>
        <w:t>tribus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dependet</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intellectum</w:t>
      </w:r>
      <w:proofErr w:type="spellEnd"/>
      <w:r w:rsidRPr="009D7635">
        <w:rPr>
          <w:rFonts w:ascii="Times New Roman" w:hAnsi="Times New Roman" w:cs="Times New Roman"/>
          <w:i/>
          <w:color w:val="000000" w:themeColor="text1"/>
          <w:sz w:val="20"/>
          <w:szCs w:val="20"/>
          <w:lang w:val="en-US"/>
        </w:rPr>
        <w:t xml:space="preserve"> ab alia et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mediante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elicitur</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w:t>
      </w:r>
      <w:r w:rsidRPr="009D7635">
        <w:rPr>
          <w:rFonts w:ascii="Times New Roman" w:eastAsia="Times New Roman" w:hAnsi="Times New Roman" w:cs="Times New Roman"/>
          <w:color w:val="000000" w:themeColor="text1"/>
          <w:sz w:val="20"/>
          <w:szCs w:val="20"/>
        </w:rPr>
        <w:t xml:space="preserve">See also </w:t>
      </w:r>
      <w:proofErr w:type="spellStart"/>
      <w:r w:rsidRPr="009D7635">
        <w:rPr>
          <w:rFonts w:ascii="Times New Roman" w:eastAsia="Times New Roman" w:hAnsi="Times New Roman" w:cs="Times New Roman"/>
          <w:color w:val="000000" w:themeColor="text1"/>
          <w:sz w:val="20"/>
          <w:szCs w:val="20"/>
        </w:rPr>
        <w:t>Odon</w:t>
      </w:r>
      <w:proofErr w:type="spellEnd"/>
      <w:r w:rsidRPr="009D7635">
        <w:rPr>
          <w:rFonts w:ascii="Times New Roman" w:eastAsia="Times New Roman" w:hAnsi="Times New Roman" w:cs="Times New Roman"/>
          <w:color w:val="000000" w:themeColor="text1"/>
          <w:sz w:val="20"/>
          <w:szCs w:val="20"/>
        </w:rPr>
        <w:t xml:space="preserve"> </w:t>
      </w:r>
      <w:proofErr w:type="spellStart"/>
      <w:r w:rsidRPr="009D7635">
        <w:rPr>
          <w:rFonts w:ascii="Times New Roman" w:eastAsia="Times New Roman" w:hAnsi="Times New Roman" w:cs="Times New Roman"/>
          <w:color w:val="000000" w:themeColor="text1"/>
          <w:sz w:val="20"/>
          <w:szCs w:val="20"/>
        </w:rPr>
        <w:t>Lottin</w:t>
      </w:r>
      <w:proofErr w:type="spellEnd"/>
      <w:r w:rsidRPr="009D7635">
        <w:rPr>
          <w:rFonts w:ascii="Times New Roman" w:eastAsia="Times New Roman" w:hAnsi="Times New Roman" w:cs="Times New Roman"/>
          <w:color w:val="000000" w:themeColor="text1"/>
          <w:sz w:val="20"/>
          <w:szCs w:val="20"/>
        </w:rPr>
        <w:t xml:space="preserve">, </w:t>
      </w:r>
      <w:proofErr w:type="spellStart"/>
      <w:r w:rsidRPr="009D7635">
        <w:rPr>
          <w:rFonts w:ascii="Times New Roman" w:eastAsia="Times New Roman" w:hAnsi="Times New Roman" w:cs="Times New Roman"/>
          <w:i/>
          <w:color w:val="000000" w:themeColor="text1"/>
          <w:sz w:val="20"/>
          <w:szCs w:val="20"/>
        </w:rPr>
        <w:t>Psychologie</w:t>
      </w:r>
      <w:proofErr w:type="spellEnd"/>
      <w:r w:rsidRPr="009D7635">
        <w:rPr>
          <w:rFonts w:ascii="Times New Roman" w:eastAsia="Times New Roman" w:hAnsi="Times New Roman" w:cs="Times New Roman"/>
          <w:i/>
          <w:color w:val="000000" w:themeColor="text1"/>
          <w:sz w:val="20"/>
          <w:szCs w:val="20"/>
        </w:rPr>
        <w:t xml:space="preserve"> et morale</w:t>
      </w:r>
      <w:r w:rsidRPr="009D7635">
        <w:rPr>
          <w:rFonts w:ascii="Times New Roman" w:eastAsia="Times New Roman" w:hAnsi="Times New Roman" w:cs="Times New Roman"/>
          <w:iCs/>
          <w:color w:val="000000" w:themeColor="text1"/>
          <w:sz w:val="20"/>
          <w:szCs w:val="20"/>
        </w:rPr>
        <w:t xml:space="preserve">, </w:t>
      </w:r>
      <w:r w:rsidRPr="009D7635">
        <w:rPr>
          <w:rFonts w:ascii="Times New Roman" w:eastAsia="Times New Roman" w:hAnsi="Times New Roman" w:cs="Times New Roman"/>
          <w:color w:val="000000" w:themeColor="text1"/>
          <w:sz w:val="20"/>
          <w:szCs w:val="20"/>
        </w:rPr>
        <w:t>vol. 1, 483-97</w:t>
      </w:r>
      <w:r w:rsidR="00AA0092" w:rsidRPr="009D7635">
        <w:rPr>
          <w:rFonts w:ascii="Times New Roman" w:eastAsia="Times New Roman" w:hAnsi="Times New Roman" w:cs="Times New Roman"/>
          <w:color w:val="000000" w:themeColor="text1"/>
          <w:sz w:val="20"/>
          <w:szCs w:val="20"/>
        </w:rPr>
        <w:t>.</w:t>
      </w:r>
    </w:p>
  </w:footnote>
  <w:footnote w:id="538">
    <w:p w14:paraId="18132DB5" w14:textId="28DE6A1F" w:rsidR="00B93ED5" w:rsidRPr="009D7635" w:rsidRDefault="00B93ED5" w:rsidP="004C1CD7">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P. </w:t>
      </w:r>
      <w:proofErr w:type="spellStart"/>
      <w:r w:rsidRPr="009D7635">
        <w:rPr>
          <w:rFonts w:ascii="Times New Roman" w:hAnsi="Times New Roman" w:cs="Times New Roman"/>
          <w:color w:val="000000" w:themeColor="text1"/>
          <w:sz w:val="20"/>
          <w:szCs w:val="20"/>
          <w:lang w:val="en-US"/>
        </w:rPr>
        <w:t>Künzle</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Das </w:t>
      </w:r>
      <w:proofErr w:type="spellStart"/>
      <w:r w:rsidRPr="009D7635">
        <w:rPr>
          <w:rFonts w:ascii="Times New Roman" w:hAnsi="Times New Roman" w:cs="Times New Roman"/>
          <w:i/>
          <w:color w:val="000000" w:themeColor="text1"/>
          <w:sz w:val="20"/>
          <w:szCs w:val="20"/>
          <w:lang w:val="en-US"/>
        </w:rPr>
        <w:t>Verhältnis</w:t>
      </w:r>
      <w:proofErr w:type="spellEnd"/>
      <w:r w:rsidRPr="009D7635">
        <w:rPr>
          <w:rFonts w:ascii="Times New Roman" w:hAnsi="Times New Roman" w:cs="Times New Roman"/>
          <w:i/>
          <w:color w:val="000000" w:themeColor="text1"/>
          <w:sz w:val="20"/>
          <w:szCs w:val="20"/>
          <w:lang w:val="en-US"/>
        </w:rPr>
        <w:t xml:space="preserve"> der </w:t>
      </w:r>
      <w:proofErr w:type="spellStart"/>
      <w:r w:rsidRPr="009D7635">
        <w:rPr>
          <w:rFonts w:ascii="Times New Roman" w:hAnsi="Times New Roman" w:cs="Times New Roman"/>
          <w:i/>
          <w:color w:val="000000" w:themeColor="text1"/>
          <w:sz w:val="20"/>
          <w:szCs w:val="20"/>
          <w:lang w:val="en-US"/>
        </w:rPr>
        <w:t>Seele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zu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ihren</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Potenzen</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problemgeschichtliche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Untersuchungen</w:t>
      </w:r>
      <w:proofErr w:type="spellEnd"/>
      <w:r w:rsidRPr="009D7635">
        <w:rPr>
          <w:rFonts w:ascii="Times New Roman" w:hAnsi="Times New Roman" w:cs="Times New Roman"/>
          <w:i/>
          <w:color w:val="000000" w:themeColor="text1"/>
          <w:sz w:val="20"/>
          <w:szCs w:val="20"/>
          <w:lang w:val="en-US"/>
        </w:rPr>
        <w:t xml:space="preserve"> von Augustin bis und </w:t>
      </w:r>
      <w:proofErr w:type="spellStart"/>
      <w:r w:rsidRPr="009D7635">
        <w:rPr>
          <w:rFonts w:ascii="Times New Roman" w:hAnsi="Times New Roman" w:cs="Times New Roman"/>
          <w:i/>
          <w:color w:val="000000" w:themeColor="text1"/>
          <w:sz w:val="20"/>
          <w:szCs w:val="20"/>
          <w:lang w:val="en-US"/>
        </w:rPr>
        <w:t>mit</w:t>
      </w:r>
      <w:proofErr w:type="spellEnd"/>
      <w:r w:rsidRPr="009D7635">
        <w:rPr>
          <w:rFonts w:ascii="Times New Roman" w:hAnsi="Times New Roman" w:cs="Times New Roman"/>
          <w:i/>
          <w:color w:val="000000" w:themeColor="text1"/>
          <w:sz w:val="20"/>
          <w:szCs w:val="20"/>
          <w:lang w:val="en-US"/>
        </w:rPr>
        <w:t xml:space="preserve"> Thomas von </w:t>
      </w:r>
      <w:proofErr w:type="spellStart"/>
      <w:r w:rsidRPr="009D7635">
        <w:rPr>
          <w:rFonts w:ascii="Times New Roman" w:hAnsi="Times New Roman" w:cs="Times New Roman"/>
          <w:i/>
          <w:color w:val="000000" w:themeColor="text1"/>
          <w:sz w:val="20"/>
          <w:szCs w:val="20"/>
          <w:lang w:val="en-US"/>
        </w:rPr>
        <w:t>Aquin</w:t>
      </w:r>
      <w:proofErr w:type="spellEnd"/>
      <w:r w:rsidRPr="009D7635">
        <w:rPr>
          <w:rFonts w:ascii="Times New Roman" w:hAnsi="Times New Roman" w:cs="Times New Roman"/>
          <w:color w:val="000000" w:themeColor="text1"/>
          <w:sz w:val="20"/>
          <w:szCs w:val="20"/>
          <w:lang w:val="en-US"/>
        </w:rPr>
        <w:t xml:space="preserve"> (Freiburg: </w:t>
      </w:r>
      <w:proofErr w:type="spellStart"/>
      <w:r w:rsidRPr="009D7635">
        <w:rPr>
          <w:rFonts w:ascii="Times New Roman" w:hAnsi="Times New Roman" w:cs="Times New Roman"/>
          <w:color w:val="000000" w:themeColor="text1"/>
          <w:sz w:val="20"/>
          <w:szCs w:val="20"/>
          <w:lang w:val="en-US"/>
        </w:rPr>
        <w:t>Universitätsverlag</w:t>
      </w:r>
      <w:proofErr w:type="spellEnd"/>
      <w:r w:rsidRPr="009D7635">
        <w:rPr>
          <w:rFonts w:ascii="Times New Roman" w:hAnsi="Times New Roman" w:cs="Times New Roman"/>
          <w:color w:val="000000" w:themeColor="text1"/>
          <w:sz w:val="20"/>
          <w:szCs w:val="20"/>
          <w:lang w:val="en-US"/>
        </w:rPr>
        <w:t xml:space="preserve">, 1956), 21, citing Augustine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Trinitate</w:t>
      </w:r>
      <w:proofErr w:type="spellEnd"/>
      <w:r w:rsidRPr="009D7635">
        <w:rPr>
          <w:rFonts w:ascii="Times New Roman" w:hAnsi="Times New Roman" w:cs="Times New Roman"/>
          <w:i/>
          <w:color w:val="000000" w:themeColor="text1"/>
          <w:sz w:val="20"/>
          <w:szCs w:val="20"/>
          <w:lang w:val="en-US"/>
        </w:rPr>
        <w:t xml:space="preserve"> </w:t>
      </w:r>
      <w:r w:rsidR="00586443" w:rsidRPr="009D7635">
        <w:rPr>
          <w:rFonts w:ascii="Times New Roman" w:hAnsi="Times New Roman" w:cs="Times New Roman"/>
          <w:color w:val="000000" w:themeColor="text1"/>
          <w:sz w:val="20"/>
          <w:szCs w:val="20"/>
          <w:lang w:val="en-US"/>
        </w:rPr>
        <w:t>15</w:t>
      </w:r>
      <w:r w:rsidR="005E5742"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17.28</w:t>
      </w:r>
      <w:r w:rsidR="001022CA" w:rsidRPr="009D7635">
        <w:rPr>
          <w:rFonts w:ascii="Times New Roman" w:hAnsi="Times New Roman" w:cs="Times New Roman"/>
          <w:color w:val="000000" w:themeColor="text1"/>
          <w:sz w:val="20"/>
          <w:szCs w:val="20"/>
          <w:lang w:val="en-US"/>
        </w:rPr>
        <w:t xml:space="preserve">, </w:t>
      </w:r>
      <w:r w:rsidR="001022CA" w:rsidRPr="009D7635">
        <w:rPr>
          <w:rFonts w:ascii="Times New Roman" w:hAnsi="Times New Roman" w:cs="Times New Roman"/>
          <w:color w:val="000000" w:themeColor="text1"/>
          <w:sz w:val="20"/>
          <w:szCs w:val="20"/>
        </w:rPr>
        <w:t xml:space="preserve">ed. W.J. Mountain and F. </w:t>
      </w:r>
      <w:proofErr w:type="spellStart"/>
      <w:r w:rsidR="001022CA" w:rsidRPr="009D7635">
        <w:rPr>
          <w:rFonts w:ascii="Times New Roman" w:hAnsi="Times New Roman" w:cs="Times New Roman"/>
          <w:color w:val="000000" w:themeColor="text1"/>
          <w:sz w:val="20"/>
          <w:szCs w:val="20"/>
        </w:rPr>
        <w:t>Glorie</w:t>
      </w:r>
      <w:proofErr w:type="spellEnd"/>
      <w:r w:rsidR="001022CA" w:rsidRPr="009D7635">
        <w:rPr>
          <w:rFonts w:ascii="Times New Roman" w:hAnsi="Times New Roman" w:cs="Times New Roman"/>
          <w:color w:val="000000" w:themeColor="text1"/>
          <w:sz w:val="20"/>
          <w:szCs w:val="20"/>
        </w:rPr>
        <w:t>, CCSL 50A (</w:t>
      </w:r>
      <w:proofErr w:type="spellStart"/>
      <w:r w:rsidR="001022CA" w:rsidRPr="009D7635">
        <w:rPr>
          <w:rFonts w:ascii="Times New Roman" w:hAnsi="Times New Roman" w:cs="Times New Roman"/>
          <w:color w:val="000000" w:themeColor="text1"/>
          <w:sz w:val="20"/>
          <w:szCs w:val="20"/>
        </w:rPr>
        <w:t>Turnhout</w:t>
      </w:r>
      <w:proofErr w:type="spellEnd"/>
      <w:r w:rsidR="001022CA" w:rsidRPr="009D7635">
        <w:rPr>
          <w:rFonts w:ascii="Times New Roman" w:hAnsi="Times New Roman" w:cs="Times New Roman"/>
          <w:color w:val="000000" w:themeColor="text1"/>
          <w:sz w:val="20"/>
          <w:szCs w:val="20"/>
        </w:rPr>
        <w:t xml:space="preserve">: </w:t>
      </w:r>
      <w:proofErr w:type="spellStart"/>
      <w:r w:rsidR="001022CA" w:rsidRPr="009D7635">
        <w:rPr>
          <w:rFonts w:ascii="Times New Roman" w:hAnsi="Times New Roman" w:cs="Times New Roman"/>
          <w:color w:val="000000" w:themeColor="text1"/>
          <w:sz w:val="20"/>
          <w:szCs w:val="20"/>
        </w:rPr>
        <w:t>Brepols</w:t>
      </w:r>
      <w:proofErr w:type="spellEnd"/>
      <w:r w:rsidR="001022CA" w:rsidRPr="009D7635">
        <w:rPr>
          <w:rFonts w:ascii="Times New Roman" w:hAnsi="Times New Roman" w:cs="Times New Roman"/>
          <w:color w:val="000000" w:themeColor="text1"/>
          <w:sz w:val="20"/>
          <w:szCs w:val="20"/>
        </w:rPr>
        <w:t>, 1968).</w:t>
      </w:r>
    </w:p>
  </w:footnote>
  <w:footnote w:id="539">
    <w:p w14:paraId="32CD336D" w14:textId="2CCFB974"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L’identité</w:t>
      </w:r>
      <w:proofErr w:type="spellEnd"/>
      <w:r w:rsidRPr="009D7635">
        <w:rPr>
          <w:rFonts w:ascii="Times New Roman" w:hAnsi="Times New Roman" w:cs="Times New Roman"/>
          <w:color w:val="000000" w:themeColor="text1"/>
        </w:rPr>
        <w:t xml:space="preserve"> de </w:t>
      </w:r>
      <w:proofErr w:type="spellStart"/>
      <w:r w:rsidR="00D71B3E" w:rsidRPr="009D7635">
        <w:rPr>
          <w:rFonts w:ascii="Times New Roman" w:hAnsi="Times New Roman" w:cs="Times New Roman"/>
          <w:color w:val="000000" w:themeColor="text1"/>
        </w:rPr>
        <w:t>l’âme</w:t>
      </w:r>
      <w:proofErr w:type="spellEnd"/>
      <w:r w:rsidRPr="009D7635">
        <w:rPr>
          <w:rFonts w:ascii="Times New Roman" w:hAnsi="Times New Roman" w:cs="Times New Roman"/>
          <w:color w:val="000000" w:themeColor="text1"/>
        </w:rPr>
        <w:t xml:space="preserve"> et de </w:t>
      </w:r>
      <w:proofErr w:type="spellStart"/>
      <w:r w:rsidRPr="009D7635">
        <w:rPr>
          <w:rFonts w:ascii="Times New Roman" w:hAnsi="Times New Roman" w:cs="Times New Roman"/>
          <w:color w:val="000000" w:themeColor="text1"/>
        </w:rPr>
        <w:t>ses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facultés</w:t>
      </w:r>
      <w:proofErr w:type="spellEnd"/>
      <w:r w:rsidRPr="009D7635">
        <w:rPr>
          <w:rFonts w:ascii="Times New Roman" w:hAnsi="Times New Roman" w:cs="Times New Roman"/>
          <w:color w:val="000000" w:themeColor="text1"/>
        </w:rPr>
        <w:t xml:space="preserve"> pendent la première </w:t>
      </w:r>
      <w:proofErr w:type="spellStart"/>
      <w:r w:rsidRPr="009D7635">
        <w:rPr>
          <w:rFonts w:ascii="Times New Roman" w:hAnsi="Times New Roman" w:cs="Times New Roman"/>
          <w:color w:val="000000" w:themeColor="text1"/>
        </w:rPr>
        <w:t>moitié</w:t>
      </w:r>
      <w:proofErr w:type="spellEnd"/>
      <w:r w:rsidRPr="009D7635">
        <w:rPr>
          <w:rFonts w:ascii="Times New Roman" w:hAnsi="Times New Roman" w:cs="Times New Roman"/>
          <w:color w:val="000000" w:themeColor="text1"/>
        </w:rPr>
        <w:t xml:space="preserve"> du </w:t>
      </w:r>
      <w:proofErr w:type="spellStart"/>
      <w:r w:rsidRPr="009D7635">
        <w:rPr>
          <w:rFonts w:ascii="Times New Roman" w:hAnsi="Times New Roman" w:cs="Times New Roman"/>
          <w:color w:val="000000" w:themeColor="text1"/>
        </w:rPr>
        <w:t>Xiiie</w:t>
      </w:r>
      <w:proofErr w:type="spellEnd"/>
      <w:r w:rsidRPr="009D7635">
        <w:rPr>
          <w:rFonts w:ascii="Times New Roman" w:hAnsi="Times New Roman" w:cs="Times New Roman"/>
          <w:color w:val="000000" w:themeColor="text1"/>
        </w:rPr>
        <w:t xml:space="preserve"> siècle,’ </w:t>
      </w:r>
      <w:r w:rsidRPr="009D7635">
        <w:rPr>
          <w:rFonts w:ascii="Times New Roman" w:hAnsi="Times New Roman" w:cs="Times New Roman"/>
          <w:i/>
          <w:color w:val="000000" w:themeColor="text1"/>
        </w:rPr>
        <w:t xml:space="preserve">Revue </w:t>
      </w:r>
      <w:proofErr w:type="spellStart"/>
      <w:r w:rsidRPr="009D7635">
        <w:rPr>
          <w:rFonts w:ascii="Times New Roman" w:hAnsi="Times New Roman" w:cs="Times New Roman"/>
          <w:i/>
          <w:color w:val="000000" w:themeColor="text1"/>
        </w:rPr>
        <w:t>néoscolastique</w:t>
      </w:r>
      <w:proofErr w:type="spellEnd"/>
      <w:r w:rsidRPr="009D7635">
        <w:rPr>
          <w:rFonts w:ascii="Times New Roman" w:hAnsi="Times New Roman" w:cs="Times New Roman"/>
          <w:i/>
          <w:color w:val="000000" w:themeColor="text1"/>
        </w:rPr>
        <w:t xml:space="preserve"> de</w:t>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philosophie</w:t>
      </w:r>
      <w:proofErr w:type="spellEnd"/>
      <w:r w:rsidRPr="009D7635">
        <w:rPr>
          <w:rFonts w:ascii="Times New Roman" w:hAnsi="Times New Roman" w:cs="Times New Roman"/>
          <w:color w:val="000000" w:themeColor="text1"/>
        </w:rPr>
        <w:t xml:space="preserve"> 41 (1934)</w:t>
      </w:r>
      <w:r w:rsidR="00181E1B"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191. </w:t>
      </w:r>
    </w:p>
  </w:footnote>
  <w:footnote w:id="540">
    <w:p w14:paraId="053A98B2" w14:textId="11B6E8EE" w:rsidR="00B93ED5" w:rsidRPr="009D7635" w:rsidRDefault="00B93ED5" w:rsidP="004C1CD7">
      <w:pPr>
        <w:autoSpaceDE w:val="0"/>
        <w:autoSpaceDN w:val="0"/>
        <w:adjustRightInd w:val="0"/>
        <w:rPr>
          <w:rFonts w:ascii="Times New Roman" w:hAnsi="Times New Roman" w:cs="Times New Roman"/>
          <w:iCs/>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5E5742" w:rsidRPr="009D7635">
        <w:rPr>
          <w:rFonts w:ascii="Times New Roman" w:hAnsi="Times New Roman" w:cs="Times New Roman"/>
          <w:color w:val="000000" w:themeColor="text1"/>
          <w:sz w:val="20"/>
          <w:szCs w:val="20"/>
        </w:rPr>
        <w:t xml:space="preserve">Magdalena </w:t>
      </w:r>
      <w:proofErr w:type="spellStart"/>
      <w:r w:rsidR="005E5742" w:rsidRPr="009D7635">
        <w:rPr>
          <w:rFonts w:ascii="Times New Roman" w:hAnsi="Times New Roman" w:cs="Times New Roman"/>
          <w:color w:val="000000" w:themeColor="text1"/>
          <w:sz w:val="20"/>
          <w:szCs w:val="20"/>
        </w:rPr>
        <w:t>Bieniak</w:t>
      </w:r>
      <w:proofErr w:type="spellEnd"/>
      <w:r w:rsidR="005E5742" w:rsidRPr="009D7635">
        <w:rPr>
          <w:rFonts w:ascii="Times New Roman" w:hAnsi="Times New Roman" w:cs="Times New Roman"/>
          <w:color w:val="000000" w:themeColor="text1"/>
          <w:sz w:val="20"/>
          <w:szCs w:val="20"/>
        </w:rPr>
        <w:t xml:space="preserve">, </w:t>
      </w:r>
      <w:r w:rsidR="005E5742" w:rsidRPr="009D7635">
        <w:rPr>
          <w:rFonts w:ascii="Times New Roman" w:hAnsi="Times New Roman" w:cs="Times New Roman"/>
          <w:i/>
          <w:iCs/>
          <w:color w:val="000000" w:themeColor="text1"/>
          <w:sz w:val="20"/>
          <w:szCs w:val="20"/>
        </w:rPr>
        <w:t xml:space="preserve">The Body-Soul Problem at Paris, </w:t>
      </w:r>
      <w:r w:rsidR="005E5742" w:rsidRPr="009D7635">
        <w:rPr>
          <w:rFonts w:ascii="Times New Roman" w:hAnsi="Times New Roman" w:cs="Times New Roman"/>
          <w:color w:val="000000" w:themeColor="text1"/>
          <w:sz w:val="20"/>
          <w:szCs w:val="20"/>
        </w:rPr>
        <w:t xml:space="preserve">99. </w:t>
      </w:r>
      <w:r w:rsidRPr="009D7635">
        <w:rPr>
          <w:rFonts w:ascii="Times New Roman" w:hAnsi="Times New Roman" w:cs="Times New Roman"/>
          <w:color w:val="000000" w:themeColor="text1"/>
          <w:sz w:val="20"/>
          <w:szCs w:val="20"/>
        </w:rPr>
        <w:t xml:space="preserve">P. </w:t>
      </w:r>
      <w:proofErr w:type="spellStart"/>
      <w:r w:rsidRPr="009D7635">
        <w:rPr>
          <w:rFonts w:ascii="Times New Roman" w:hAnsi="Times New Roman" w:cs="Times New Roman"/>
          <w:color w:val="000000" w:themeColor="text1"/>
          <w:sz w:val="20"/>
          <w:szCs w:val="20"/>
          <w:lang w:val="en-US"/>
        </w:rPr>
        <w:t>Künzle</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Das </w:t>
      </w:r>
      <w:proofErr w:type="spellStart"/>
      <w:r w:rsidRPr="009D7635">
        <w:rPr>
          <w:rFonts w:ascii="Times New Roman" w:hAnsi="Times New Roman" w:cs="Times New Roman"/>
          <w:i/>
          <w:color w:val="000000" w:themeColor="text1"/>
          <w:sz w:val="20"/>
          <w:szCs w:val="20"/>
          <w:lang w:val="en-US"/>
        </w:rPr>
        <w:t>Verhältnis</w:t>
      </w:r>
      <w:proofErr w:type="spellEnd"/>
      <w:r w:rsidRPr="009D7635">
        <w:rPr>
          <w:rFonts w:ascii="Times New Roman" w:hAnsi="Times New Roman" w:cs="Times New Roman"/>
          <w:i/>
          <w:color w:val="000000" w:themeColor="text1"/>
          <w:sz w:val="20"/>
          <w:szCs w:val="20"/>
          <w:lang w:val="en-US"/>
        </w:rPr>
        <w:t xml:space="preserve"> der </w:t>
      </w:r>
      <w:proofErr w:type="spellStart"/>
      <w:r w:rsidRPr="009D7635">
        <w:rPr>
          <w:rFonts w:ascii="Times New Roman" w:hAnsi="Times New Roman" w:cs="Times New Roman"/>
          <w:i/>
          <w:color w:val="000000" w:themeColor="text1"/>
          <w:sz w:val="20"/>
          <w:szCs w:val="20"/>
          <w:lang w:val="en-US"/>
        </w:rPr>
        <w:t>Seele</w:t>
      </w:r>
      <w:proofErr w:type="spellEnd"/>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22; cf. Augustine, </w:t>
      </w:r>
      <w:r w:rsidR="00F00126" w:rsidRPr="009D7635">
        <w:rPr>
          <w:rFonts w:ascii="Times New Roman" w:hAnsi="Times New Roman" w:cs="Times New Roman"/>
          <w:color w:val="000000" w:themeColor="text1"/>
          <w:sz w:val="20"/>
          <w:szCs w:val="20"/>
          <w:lang w:val="en-US"/>
        </w:rPr>
        <w:t>E</w:t>
      </w:r>
      <w:r w:rsidRPr="009D7635">
        <w:rPr>
          <w:rFonts w:ascii="Times New Roman" w:hAnsi="Times New Roman" w:cs="Times New Roman"/>
          <w:color w:val="000000" w:themeColor="text1"/>
          <w:sz w:val="20"/>
          <w:szCs w:val="20"/>
          <w:lang w:val="en-US"/>
        </w:rPr>
        <w:t xml:space="preserve">pistle </w:t>
      </w:r>
      <w:r w:rsidR="00AA0092" w:rsidRPr="009D7635">
        <w:rPr>
          <w:rFonts w:ascii="Times New Roman" w:hAnsi="Times New Roman" w:cs="Times New Roman"/>
          <w:color w:val="000000" w:themeColor="text1"/>
          <w:sz w:val="20"/>
          <w:szCs w:val="20"/>
          <w:lang w:val="en-US"/>
        </w:rPr>
        <w:t>169</w:t>
      </w:r>
      <w:r w:rsidRPr="009D7635">
        <w:rPr>
          <w:rFonts w:ascii="Times New Roman" w:hAnsi="Times New Roman" w:cs="Times New Roman"/>
          <w:color w:val="000000" w:themeColor="text1"/>
          <w:sz w:val="20"/>
          <w:szCs w:val="20"/>
          <w:lang w:val="en-US"/>
        </w:rPr>
        <w:t xml:space="preserve">.2.6: </w:t>
      </w:r>
      <w:r w:rsidRPr="009D7635">
        <w:rPr>
          <w:rFonts w:ascii="Times New Roman" w:hAnsi="Times New Roman" w:cs="Times New Roman"/>
          <w:i/>
          <w:color w:val="000000" w:themeColor="text1"/>
          <w:sz w:val="20"/>
          <w:szCs w:val="20"/>
          <w:lang w:val="en-US"/>
        </w:rPr>
        <w:t xml:space="preserve">Primo ergo in hoc </w:t>
      </w:r>
      <w:proofErr w:type="spellStart"/>
      <w:r w:rsidRPr="009D7635">
        <w:rPr>
          <w:rFonts w:ascii="Times New Roman" w:hAnsi="Times New Roman" w:cs="Times New Roman"/>
          <w:i/>
          <w:color w:val="000000" w:themeColor="text1"/>
          <w:sz w:val="20"/>
          <w:szCs w:val="20"/>
          <w:lang w:val="en-US"/>
        </w:rPr>
        <w:t>invenitur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ista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similitudo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dissimilis</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tria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memoria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voluntas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animae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insunt</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eadem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anima; </w:t>
      </w:r>
      <w:proofErr w:type="spellStart"/>
      <w:r w:rsidRPr="009D7635">
        <w:rPr>
          <w:rFonts w:ascii="Times New Roman" w:hAnsi="Times New Roman" w:cs="Times New Roman"/>
          <w:i/>
          <w:color w:val="000000" w:themeColor="text1"/>
          <w:sz w:val="20"/>
          <w:szCs w:val="20"/>
          <w:lang w:val="en-US"/>
        </w:rPr>
        <w:t>illa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trinitas</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inest</w:t>
      </w:r>
      <w:proofErr w:type="spellEnd"/>
      <w:r w:rsidRPr="009D7635">
        <w:rPr>
          <w:rFonts w:ascii="Times New Roman" w:hAnsi="Times New Roman" w:cs="Times New Roman"/>
          <w:i/>
          <w:color w:val="000000" w:themeColor="text1"/>
          <w:sz w:val="20"/>
          <w:szCs w:val="20"/>
          <w:lang w:val="en-US"/>
        </w:rPr>
        <w:t xml:space="preserve">, sed ipsa Deus est. </w:t>
      </w:r>
      <w:proofErr w:type="spellStart"/>
      <w:r w:rsidRPr="009D7635">
        <w:rPr>
          <w:rFonts w:ascii="Times New Roman" w:hAnsi="Times New Roman" w:cs="Times New Roman"/>
          <w:i/>
          <w:color w:val="000000" w:themeColor="text1"/>
          <w:sz w:val="20"/>
          <w:szCs w:val="20"/>
          <w:lang w:val="en-US"/>
        </w:rPr>
        <w:t>Ideo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ibi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mirabilis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simplicitas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commendatur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ibi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aliud</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aliud</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w:t>
      </w:r>
      <w:proofErr w:type="spellEnd"/>
      <w:r w:rsidRPr="009D7635">
        <w:rPr>
          <w:rFonts w:ascii="Times New Roman" w:hAnsi="Times New Roman" w:cs="Times New Roman"/>
          <w:i/>
          <w:color w:val="000000" w:themeColor="text1"/>
          <w:sz w:val="20"/>
          <w:szCs w:val="20"/>
          <w:lang w:val="en-US"/>
        </w:rPr>
        <w:t xml:space="preserve"> quid </w:t>
      </w:r>
      <w:proofErr w:type="spellStart"/>
      <w:r w:rsidRPr="009D7635">
        <w:rPr>
          <w:rFonts w:ascii="Times New Roman" w:hAnsi="Times New Roman" w:cs="Times New Roman"/>
          <w:i/>
          <w:color w:val="000000" w:themeColor="text1"/>
          <w:sz w:val="20"/>
          <w:szCs w:val="20"/>
          <w:lang w:val="en-US"/>
        </w:rPr>
        <w:t>aliud</w:t>
      </w:r>
      <w:proofErr w:type="spellEnd"/>
      <w:r w:rsidRPr="009D7635">
        <w:rPr>
          <w:rFonts w:ascii="Times New Roman" w:hAnsi="Times New Roman" w:cs="Times New Roman"/>
          <w:i/>
          <w:color w:val="000000" w:themeColor="text1"/>
          <w:sz w:val="20"/>
          <w:szCs w:val="20"/>
          <w:lang w:val="en-US"/>
        </w:rPr>
        <w:t xml:space="preserve"> de Dei </w:t>
      </w:r>
      <w:proofErr w:type="spellStart"/>
      <w:r w:rsidRPr="009D7635">
        <w:rPr>
          <w:rFonts w:ascii="Times New Roman" w:hAnsi="Times New Roman" w:cs="Times New Roman"/>
          <w:i/>
          <w:color w:val="000000" w:themeColor="text1"/>
          <w:sz w:val="20"/>
          <w:szCs w:val="20"/>
          <w:lang w:val="en-US"/>
        </w:rPr>
        <w:t>natura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anima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etiam</w:t>
      </w:r>
      <w:proofErr w:type="spellEnd"/>
      <w:r w:rsidRPr="009D7635">
        <w:rPr>
          <w:rFonts w:ascii="Times New Roman" w:hAnsi="Times New Roman" w:cs="Times New Roman"/>
          <w:i/>
          <w:color w:val="000000" w:themeColor="text1"/>
          <w:sz w:val="20"/>
          <w:szCs w:val="20"/>
          <w:lang w:val="en-US"/>
        </w:rPr>
        <w:t xml:space="preserve"> dum non </w:t>
      </w:r>
      <w:proofErr w:type="spellStart"/>
      <w:r w:rsidRPr="009D7635">
        <w:rPr>
          <w:rFonts w:ascii="Times New Roman" w:hAnsi="Times New Roman" w:cs="Times New Roman"/>
          <w:i/>
          <w:color w:val="000000" w:themeColor="text1"/>
          <w:sz w:val="20"/>
          <w:szCs w:val="20"/>
          <w:lang w:val="en-US"/>
        </w:rPr>
        <w:t>intellegit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aliud</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aliud</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intelligit</w:t>
      </w:r>
      <w:proofErr w:type="spellEnd"/>
      <w:r w:rsidRPr="009D7635">
        <w:rPr>
          <w:rFonts w:ascii="Times New Roman" w:hAnsi="Times New Roman" w:cs="Times New Roman"/>
          <w:i/>
          <w:color w:val="000000" w:themeColor="text1"/>
          <w:sz w:val="20"/>
          <w:szCs w:val="20"/>
          <w:lang w:val="en-US"/>
        </w:rPr>
        <w:t>.</w:t>
      </w:r>
      <w:r w:rsidR="00C22378" w:rsidRPr="009D7635">
        <w:rPr>
          <w:rFonts w:ascii="Times New Roman" w:hAnsi="Times New Roman" w:cs="Times New Roman"/>
          <w:i/>
          <w:color w:val="000000" w:themeColor="text1"/>
          <w:sz w:val="20"/>
          <w:szCs w:val="20"/>
          <w:lang w:val="en-US"/>
        </w:rPr>
        <w:t xml:space="preserve"> </w:t>
      </w:r>
      <w:r w:rsidR="00C22378" w:rsidRPr="009D7635">
        <w:rPr>
          <w:rFonts w:ascii="Times New Roman" w:hAnsi="Times New Roman" w:cs="Times New Roman"/>
          <w:iCs/>
          <w:color w:val="000000" w:themeColor="text1"/>
          <w:sz w:val="20"/>
          <w:szCs w:val="20"/>
          <w:lang w:val="en-US"/>
        </w:rPr>
        <w:t xml:space="preserve">In </w:t>
      </w:r>
      <w:proofErr w:type="spellStart"/>
      <w:r w:rsidR="00C22378" w:rsidRPr="009D7635">
        <w:rPr>
          <w:rFonts w:ascii="Times New Roman" w:hAnsi="Times New Roman" w:cs="Times New Roman"/>
          <w:i/>
          <w:color w:val="000000" w:themeColor="text1"/>
          <w:sz w:val="20"/>
          <w:szCs w:val="20"/>
          <w:lang w:val="en-US"/>
        </w:rPr>
        <w:t>Augustinus</w:t>
      </w:r>
      <w:proofErr w:type="spellEnd"/>
      <w:r w:rsidR="00C22378" w:rsidRPr="009D7635">
        <w:rPr>
          <w:rFonts w:ascii="Times New Roman" w:hAnsi="Times New Roman" w:cs="Times New Roman"/>
          <w:i/>
          <w:color w:val="000000" w:themeColor="text1"/>
          <w:sz w:val="20"/>
          <w:szCs w:val="20"/>
          <w:lang w:val="en-US"/>
        </w:rPr>
        <w:t xml:space="preserve"> </w:t>
      </w:r>
      <w:proofErr w:type="spellStart"/>
      <w:r w:rsidR="00C22378" w:rsidRPr="009D7635">
        <w:rPr>
          <w:rFonts w:ascii="Times New Roman" w:hAnsi="Times New Roman" w:cs="Times New Roman"/>
          <w:i/>
          <w:color w:val="000000" w:themeColor="text1"/>
          <w:sz w:val="20"/>
          <w:szCs w:val="20"/>
          <w:lang w:val="en-US"/>
        </w:rPr>
        <w:t>Epistulae</w:t>
      </w:r>
      <w:proofErr w:type="spellEnd"/>
      <w:r w:rsidR="00C22378" w:rsidRPr="009D7635">
        <w:rPr>
          <w:rFonts w:ascii="Times New Roman" w:hAnsi="Times New Roman" w:cs="Times New Roman"/>
          <w:i/>
          <w:color w:val="000000" w:themeColor="text1"/>
          <w:sz w:val="20"/>
          <w:szCs w:val="20"/>
          <w:lang w:val="en-US"/>
        </w:rPr>
        <w:t xml:space="preserve"> 124-184, </w:t>
      </w:r>
      <w:r w:rsidR="00C22378" w:rsidRPr="009D7635">
        <w:rPr>
          <w:rFonts w:ascii="Times New Roman" w:hAnsi="Times New Roman" w:cs="Times New Roman"/>
          <w:iCs/>
          <w:color w:val="000000" w:themeColor="text1"/>
          <w:sz w:val="20"/>
          <w:szCs w:val="20"/>
          <w:lang w:val="en-US"/>
        </w:rPr>
        <w:t xml:space="preserve">ed. A. </w:t>
      </w:r>
      <w:proofErr w:type="spellStart"/>
      <w:r w:rsidR="00C22378" w:rsidRPr="009D7635">
        <w:rPr>
          <w:rFonts w:ascii="Times New Roman" w:hAnsi="Times New Roman" w:cs="Times New Roman"/>
          <w:iCs/>
          <w:color w:val="000000" w:themeColor="text1"/>
          <w:sz w:val="20"/>
          <w:szCs w:val="20"/>
          <w:lang w:val="en-US"/>
        </w:rPr>
        <w:t>Goldbacher</w:t>
      </w:r>
      <w:proofErr w:type="spellEnd"/>
      <w:r w:rsidR="00C22378" w:rsidRPr="009D7635">
        <w:rPr>
          <w:rFonts w:ascii="Times New Roman" w:hAnsi="Times New Roman" w:cs="Times New Roman"/>
          <w:iCs/>
          <w:color w:val="000000" w:themeColor="text1"/>
          <w:sz w:val="20"/>
          <w:szCs w:val="20"/>
          <w:lang w:val="en-US"/>
        </w:rPr>
        <w:t xml:space="preserve">, CSEL 44 (Vienna: </w:t>
      </w:r>
      <w:proofErr w:type="spellStart"/>
      <w:r w:rsidR="00454514" w:rsidRPr="009D7635">
        <w:rPr>
          <w:rFonts w:ascii="Times New Roman" w:hAnsi="Times New Roman" w:cs="Times New Roman"/>
          <w:iCs/>
          <w:color w:val="000000" w:themeColor="text1"/>
          <w:sz w:val="20"/>
          <w:szCs w:val="20"/>
          <w:lang w:val="en-US"/>
        </w:rPr>
        <w:t>Verlag</w:t>
      </w:r>
      <w:proofErr w:type="spellEnd"/>
      <w:r w:rsidR="00454514" w:rsidRPr="009D7635">
        <w:rPr>
          <w:rFonts w:ascii="Times New Roman" w:hAnsi="Times New Roman" w:cs="Times New Roman"/>
          <w:iCs/>
          <w:color w:val="000000" w:themeColor="text1"/>
          <w:sz w:val="20"/>
          <w:szCs w:val="20"/>
          <w:lang w:val="en-US"/>
        </w:rPr>
        <w:t xml:space="preserve"> der </w:t>
      </w:r>
      <w:proofErr w:type="spellStart"/>
      <w:r w:rsidR="00454514" w:rsidRPr="009D7635">
        <w:rPr>
          <w:rFonts w:ascii="Times New Roman" w:hAnsi="Times New Roman" w:cs="Times New Roman"/>
          <w:iCs/>
          <w:color w:val="000000" w:themeColor="text1"/>
          <w:sz w:val="20"/>
          <w:szCs w:val="20"/>
          <w:lang w:val="en-US"/>
        </w:rPr>
        <w:t>österreichischen</w:t>
      </w:r>
      <w:proofErr w:type="spellEnd"/>
      <w:r w:rsidR="00454514" w:rsidRPr="009D7635">
        <w:rPr>
          <w:rFonts w:ascii="Times New Roman" w:hAnsi="Times New Roman" w:cs="Times New Roman"/>
          <w:iCs/>
          <w:color w:val="000000" w:themeColor="text1"/>
          <w:sz w:val="20"/>
          <w:szCs w:val="20"/>
          <w:lang w:val="en-US"/>
        </w:rPr>
        <w:t xml:space="preserve"> </w:t>
      </w:r>
      <w:proofErr w:type="spellStart"/>
      <w:r w:rsidR="00454514" w:rsidRPr="009D7635">
        <w:rPr>
          <w:rFonts w:ascii="Times New Roman" w:hAnsi="Times New Roman" w:cs="Times New Roman"/>
          <w:iCs/>
          <w:color w:val="000000" w:themeColor="text1"/>
          <w:sz w:val="20"/>
          <w:szCs w:val="20"/>
          <w:lang w:val="en-US"/>
        </w:rPr>
        <w:t>Akademie</w:t>
      </w:r>
      <w:proofErr w:type="spellEnd"/>
      <w:r w:rsidR="00454514" w:rsidRPr="009D7635">
        <w:rPr>
          <w:rFonts w:ascii="Times New Roman" w:hAnsi="Times New Roman" w:cs="Times New Roman"/>
          <w:iCs/>
          <w:color w:val="000000" w:themeColor="text1"/>
          <w:sz w:val="20"/>
          <w:szCs w:val="20"/>
          <w:lang w:val="en-US"/>
        </w:rPr>
        <w:t xml:space="preserve"> der </w:t>
      </w:r>
      <w:proofErr w:type="spellStart"/>
      <w:r w:rsidR="00454514" w:rsidRPr="009D7635">
        <w:rPr>
          <w:rFonts w:ascii="Times New Roman" w:hAnsi="Times New Roman" w:cs="Times New Roman"/>
          <w:iCs/>
          <w:color w:val="000000" w:themeColor="text1"/>
          <w:sz w:val="20"/>
          <w:szCs w:val="20"/>
          <w:lang w:val="en-US"/>
        </w:rPr>
        <w:t>Wissenschaften</w:t>
      </w:r>
      <w:proofErr w:type="spellEnd"/>
      <w:r w:rsidR="00454514" w:rsidRPr="009D7635">
        <w:rPr>
          <w:rFonts w:ascii="Times New Roman" w:hAnsi="Times New Roman" w:cs="Times New Roman"/>
          <w:iCs/>
          <w:color w:val="000000" w:themeColor="text1"/>
          <w:sz w:val="20"/>
          <w:szCs w:val="20"/>
          <w:lang w:val="en-US"/>
        </w:rPr>
        <w:t xml:space="preserve">, </w:t>
      </w:r>
      <w:r w:rsidR="00C22378" w:rsidRPr="009D7635">
        <w:rPr>
          <w:rFonts w:ascii="Times New Roman" w:hAnsi="Times New Roman" w:cs="Times New Roman"/>
          <w:iCs/>
          <w:color w:val="000000" w:themeColor="text1"/>
          <w:sz w:val="20"/>
          <w:szCs w:val="20"/>
          <w:lang w:val="en-US"/>
        </w:rPr>
        <w:t xml:space="preserve">1904; </w:t>
      </w:r>
      <w:proofErr w:type="spellStart"/>
      <w:r w:rsidR="00C22378" w:rsidRPr="009D7635">
        <w:rPr>
          <w:rFonts w:ascii="Times New Roman" w:hAnsi="Times New Roman" w:cs="Times New Roman"/>
          <w:iCs/>
          <w:color w:val="000000" w:themeColor="text1"/>
          <w:sz w:val="20"/>
          <w:szCs w:val="20"/>
          <w:lang w:val="en-US"/>
        </w:rPr>
        <w:t>repr</w:t>
      </w:r>
      <w:proofErr w:type="spellEnd"/>
      <w:r w:rsidR="00C22378" w:rsidRPr="009D7635">
        <w:rPr>
          <w:rFonts w:ascii="Times New Roman" w:hAnsi="Times New Roman" w:cs="Times New Roman"/>
          <w:iCs/>
          <w:color w:val="000000" w:themeColor="text1"/>
          <w:sz w:val="20"/>
          <w:szCs w:val="20"/>
          <w:lang w:val="en-US"/>
        </w:rPr>
        <w:t>. 2013).</w:t>
      </w:r>
    </w:p>
  </w:footnote>
  <w:footnote w:id="541">
    <w:p w14:paraId="34008BB4" w14:textId="77777777" w:rsidR="00B93ED5" w:rsidRPr="009D7635" w:rsidRDefault="00B93ED5" w:rsidP="004C1CD7">
      <w:pPr>
        <w:pStyle w:val="FootnoteText"/>
        <w:rPr>
          <w:rFonts w:ascii="Times New Roman" w:hAnsi="Times New Roman" w:cs="Times New Roman"/>
          <w:color w:val="000000" w:themeColor="text1"/>
          <w:lang w:val="en-US"/>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P. </w:t>
      </w:r>
      <w:proofErr w:type="spellStart"/>
      <w:r w:rsidRPr="009D7635">
        <w:rPr>
          <w:rFonts w:ascii="Times New Roman" w:hAnsi="Times New Roman" w:cs="Times New Roman"/>
          <w:color w:val="000000" w:themeColor="text1"/>
          <w:lang w:val="en-US"/>
        </w:rPr>
        <w:t>Künzle</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i/>
          <w:color w:val="000000" w:themeColor="text1"/>
          <w:lang w:val="en-US"/>
        </w:rPr>
        <w:t xml:space="preserve">Das </w:t>
      </w:r>
      <w:proofErr w:type="spellStart"/>
      <w:r w:rsidRPr="009D7635">
        <w:rPr>
          <w:rFonts w:ascii="Times New Roman" w:hAnsi="Times New Roman" w:cs="Times New Roman"/>
          <w:i/>
          <w:color w:val="000000" w:themeColor="text1"/>
          <w:lang w:val="en-US"/>
        </w:rPr>
        <w:t>Verhältnis</w:t>
      </w:r>
      <w:proofErr w:type="spellEnd"/>
      <w:r w:rsidRPr="009D7635">
        <w:rPr>
          <w:rFonts w:ascii="Times New Roman" w:hAnsi="Times New Roman" w:cs="Times New Roman"/>
          <w:i/>
          <w:color w:val="000000" w:themeColor="text1"/>
          <w:lang w:val="en-US"/>
        </w:rPr>
        <w:t xml:space="preserve"> der </w:t>
      </w:r>
      <w:proofErr w:type="spellStart"/>
      <w:r w:rsidRPr="009D7635">
        <w:rPr>
          <w:rFonts w:ascii="Times New Roman" w:hAnsi="Times New Roman" w:cs="Times New Roman"/>
          <w:i/>
          <w:color w:val="000000" w:themeColor="text1"/>
          <w:lang w:val="en-US"/>
        </w:rPr>
        <w:t>Seele</w:t>
      </w:r>
      <w:proofErr w:type="spellEnd"/>
      <w:r w:rsidRPr="009D7635">
        <w:rPr>
          <w:rFonts w:ascii="Times New Roman" w:hAnsi="Times New Roman" w:cs="Times New Roman"/>
          <w:iCs/>
          <w:color w:val="000000" w:themeColor="text1"/>
          <w:lang w:val="en-US"/>
        </w:rPr>
        <w:t>,</w:t>
      </w:r>
      <w:r w:rsidRPr="009D7635">
        <w:rPr>
          <w:rFonts w:ascii="Times New Roman" w:hAnsi="Times New Roman" w:cs="Times New Roman"/>
          <w:i/>
          <w:color w:val="000000" w:themeColor="text1"/>
          <w:lang w:val="en-US"/>
        </w:rPr>
        <w:t xml:space="preserve"> </w:t>
      </w:r>
      <w:r w:rsidRPr="009D7635">
        <w:rPr>
          <w:rFonts w:ascii="Times New Roman" w:hAnsi="Times New Roman" w:cs="Times New Roman"/>
          <w:color w:val="000000" w:themeColor="text1"/>
          <w:lang w:val="en-US"/>
        </w:rPr>
        <w:t xml:space="preserve">34-38; cf. Isidore of Seville, </w:t>
      </w:r>
      <w:proofErr w:type="spellStart"/>
      <w:r w:rsidRPr="009D7635">
        <w:rPr>
          <w:rFonts w:ascii="Times New Roman" w:hAnsi="Times New Roman" w:cs="Times New Roman"/>
          <w:i/>
          <w:iCs/>
          <w:color w:val="000000" w:themeColor="text1"/>
          <w:lang w:val="en-US"/>
        </w:rPr>
        <w:t>Differentiae</w:t>
      </w:r>
      <w:proofErr w:type="spellEnd"/>
      <w:r w:rsidRPr="009D7635">
        <w:rPr>
          <w:rFonts w:ascii="Times New Roman" w:hAnsi="Times New Roman" w:cs="Times New Roman"/>
          <w:color w:val="000000" w:themeColor="text1"/>
          <w:lang w:val="en-US"/>
        </w:rPr>
        <w:t xml:space="preserve"> II.29.97 (PL 83, 9A-98A), 84 B-C.</w:t>
      </w:r>
    </w:p>
  </w:footnote>
  <w:footnote w:id="542">
    <w:p w14:paraId="4FD1EB4A" w14:textId="1D737B87" w:rsidR="00B93ED5" w:rsidRPr="009D7635" w:rsidRDefault="00B93ED5" w:rsidP="000F0F2F">
      <w:pPr>
        <w:autoSpaceDE w:val="0"/>
        <w:autoSpaceDN w:val="0"/>
        <w:adjustRightInd w:val="0"/>
        <w:rPr>
          <w:rFonts w:ascii="Times New Roman" w:hAnsi="Times New Roman" w:cs="Times New Roman"/>
          <w:iCs/>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Pseudo-Augustine,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spiritu</w:t>
      </w:r>
      <w:proofErr w:type="spellEnd"/>
      <w:r w:rsidRPr="009D7635">
        <w:rPr>
          <w:rFonts w:ascii="Times New Roman" w:hAnsi="Times New Roman" w:cs="Times New Roman"/>
          <w:i/>
          <w:color w:val="000000" w:themeColor="text1"/>
          <w:sz w:val="20"/>
          <w:szCs w:val="20"/>
          <w:lang w:val="en-US"/>
        </w:rPr>
        <w:t xml:space="preserve"> et anima</w:t>
      </w:r>
      <w:r w:rsidRPr="009D7635">
        <w:rPr>
          <w:rFonts w:ascii="Times New Roman" w:hAnsi="Times New Roman" w:cs="Times New Roman"/>
          <w:color w:val="000000" w:themeColor="text1"/>
          <w:sz w:val="20"/>
          <w:szCs w:val="20"/>
          <w:lang w:val="en-US"/>
        </w:rPr>
        <w:t xml:space="preserve"> 13 (PL 40, 788-789):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namque</w:t>
      </w:r>
      <w:proofErr w:type="spellEnd"/>
      <w:r w:rsidRPr="009D7635">
        <w:rPr>
          <w:rFonts w:ascii="Times New Roman" w:hAnsi="Times New Roman" w:cs="Times New Roman"/>
          <w:i/>
          <w:color w:val="000000" w:themeColor="text1"/>
          <w:sz w:val="20"/>
          <w:szCs w:val="20"/>
          <w:lang w:val="en-US"/>
        </w:rPr>
        <w:t xml:space="preserve"> anima, dum </w:t>
      </w:r>
      <w:proofErr w:type="spellStart"/>
      <w:r w:rsidRPr="009D7635">
        <w:rPr>
          <w:rFonts w:ascii="Times New Roman" w:hAnsi="Times New Roman" w:cs="Times New Roman"/>
          <w:i/>
          <w:color w:val="000000" w:themeColor="text1"/>
          <w:sz w:val="20"/>
          <w:szCs w:val="20"/>
          <w:lang w:val="en-US"/>
        </w:rPr>
        <w:t>vegetat</w:t>
      </w:r>
      <w:proofErr w:type="spellEnd"/>
      <w:r w:rsidRPr="009D7635">
        <w:rPr>
          <w:rFonts w:ascii="Times New Roman" w:hAnsi="Times New Roman" w:cs="Times New Roman"/>
          <w:i/>
          <w:color w:val="000000" w:themeColor="text1"/>
          <w:sz w:val="20"/>
          <w:szCs w:val="20"/>
          <w:lang w:val="en-US"/>
        </w:rPr>
        <w:t xml:space="preserve">; spiritus, dum </w:t>
      </w:r>
      <w:proofErr w:type="spellStart"/>
      <w:r w:rsidRPr="009D7635">
        <w:rPr>
          <w:rFonts w:ascii="Times New Roman" w:hAnsi="Times New Roman" w:cs="Times New Roman"/>
          <w:i/>
          <w:color w:val="000000" w:themeColor="text1"/>
          <w:sz w:val="20"/>
          <w:szCs w:val="20"/>
          <w:lang w:val="en-US"/>
        </w:rPr>
        <w:t>contemplatur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dum </w:t>
      </w:r>
      <w:proofErr w:type="spellStart"/>
      <w:r w:rsidRPr="009D7635">
        <w:rPr>
          <w:rFonts w:ascii="Times New Roman" w:hAnsi="Times New Roman" w:cs="Times New Roman"/>
          <w:i/>
          <w:color w:val="000000" w:themeColor="text1"/>
          <w:sz w:val="20"/>
          <w:szCs w:val="20"/>
          <w:lang w:val="en-US"/>
        </w:rPr>
        <w:t>sentit</w:t>
      </w:r>
      <w:proofErr w:type="spellEnd"/>
      <w:r w:rsidRPr="009D7635">
        <w:rPr>
          <w:rFonts w:ascii="Times New Roman" w:hAnsi="Times New Roman" w:cs="Times New Roman"/>
          <w:i/>
          <w:color w:val="000000" w:themeColor="text1"/>
          <w:sz w:val="20"/>
          <w:szCs w:val="20"/>
          <w:lang w:val="en-US"/>
        </w:rPr>
        <w:t xml:space="preserve">; animus, dum </w:t>
      </w:r>
      <w:proofErr w:type="spellStart"/>
      <w:r w:rsidRPr="009D7635">
        <w:rPr>
          <w:rFonts w:ascii="Times New Roman" w:hAnsi="Times New Roman" w:cs="Times New Roman"/>
          <w:i/>
          <w:color w:val="000000" w:themeColor="text1"/>
          <w:sz w:val="20"/>
          <w:szCs w:val="20"/>
          <w:lang w:val="en-US"/>
        </w:rPr>
        <w:t>sapit</w:t>
      </w:r>
      <w:proofErr w:type="spellEnd"/>
      <w:r w:rsidRPr="009D7635">
        <w:rPr>
          <w:rFonts w:ascii="Times New Roman" w:hAnsi="Times New Roman" w:cs="Times New Roman"/>
          <w:i/>
          <w:color w:val="000000" w:themeColor="text1"/>
          <w:sz w:val="20"/>
          <w:szCs w:val="20"/>
          <w:lang w:val="en-US"/>
        </w:rPr>
        <w:t xml:space="preserve">; dum </w:t>
      </w:r>
      <w:proofErr w:type="spellStart"/>
      <w:r w:rsidRPr="009D7635">
        <w:rPr>
          <w:rFonts w:ascii="Times New Roman" w:hAnsi="Times New Roman" w:cs="Times New Roman"/>
          <w:i/>
          <w:color w:val="000000" w:themeColor="text1"/>
          <w:sz w:val="20"/>
          <w:szCs w:val="20"/>
          <w:lang w:val="en-US"/>
        </w:rPr>
        <w:t>intelligit</w:t>
      </w:r>
      <w:proofErr w:type="spellEnd"/>
      <w:r w:rsidRPr="009D7635">
        <w:rPr>
          <w:rFonts w:ascii="Times New Roman" w:hAnsi="Times New Roman" w:cs="Times New Roman"/>
          <w:i/>
          <w:color w:val="000000" w:themeColor="text1"/>
          <w:sz w:val="20"/>
          <w:szCs w:val="20"/>
          <w:lang w:val="en-US"/>
        </w:rPr>
        <w:t xml:space="preserve">, mens; dum </w:t>
      </w:r>
      <w:proofErr w:type="spellStart"/>
      <w:r w:rsidRPr="009D7635">
        <w:rPr>
          <w:rFonts w:ascii="Times New Roman" w:hAnsi="Times New Roman" w:cs="Times New Roman"/>
          <w:i/>
          <w:color w:val="000000" w:themeColor="text1"/>
          <w:sz w:val="20"/>
          <w:szCs w:val="20"/>
          <w:lang w:val="en-US"/>
        </w:rPr>
        <w:t>discernit</w:t>
      </w:r>
      <w:proofErr w:type="spellEnd"/>
      <w:r w:rsidRPr="009D7635">
        <w:rPr>
          <w:rFonts w:ascii="Times New Roman" w:hAnsi="Times New Roman" w:cs="Times New Roman"/>
          <w:i/>
          <w:color w:val="000000" w:themeColor="text1"/>
          <w:sz w:val="20"/>
          <w:szCs w:val="20"/>
          <w:lang w:val="en-US"/>
        </w:rPr>
        <w:t xml:space="preserve">, ratio; dum </w:t>
      </w:r>
      <w:proofErr w:type="spellStart"/>
      <w:r w:rsidRPr="009D7635">
        <w:rPr>
          <w:rFonts w:ascii="Times New Roman" w:hAnsi="Times New Roman" w:cs="Times New Roman"/>
          <w:i/>
          <w:color w:val="000000" w:themeColor="text1"/>
          <w:sz w:val="20"/>
          <w:szCs w:val="20"/>
          <w:lang w:val="en-US"/>
        </w:rPr>
        <w:t>recordatur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memoria</w:t>
      </w:r>
      <w:proofErr w:type="spellEnd"/>
      <w:r w:rsidRPr="009D7635">
        <w:rPr>
          <w:rFonts w:ascii="Times New Roman" w:hAnsi="Times New Roman" w:cs="Times New Roman"/>
          <w:i/>
          <w:color w:val="000000" w:themeColor="text1"/>
          <w:sz w:val="20"/>
          <w:szCs w:val="20"/>
          <w:lang w:val="en-US"/>
        </w:rPr>
        <w:t xml:space="preserve">; dum </w:t>
      </w:r>
      <w:proofErr w:type="spellStart"/>
      <w:r w:rsidRPr="009D7635">
        <w:rPr>
          <w:rFonts w:ascii="Times New Roman" w:hAnsi="Times New Roman" w:cs="Times New Roman"/>
          <w:i/>
          <w:color w:val="000000" w:themeColor="text1"/>
          <w:sz w:val="20"/>
          <w:szCs w:val="20"/>
          <w:lang w:val="en-US"/>
        </w:rPr>
        <w:t>consentit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voluntas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Ista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tamen</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differunt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quemadmodum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nominibus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quoniam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omnia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ista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proprietates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quidem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diversae</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essentia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w:t>
      </w:r>
      <w:r w:rsidR="00CC1198" w:rsidRPr="009D7635">
        <w:rPr>
          <w:rFonts w:ascii="Times New Roman" w:hAnsi="Times New Roman" w:cs="Times New Roman"/>
          <w:i/>
          <w:color w:val="000000" w:themeColor="text1"/>
          <w:sz w:val="20"/>
          <w:szCs w:val="20"/>
          <w:lang w:val="en-US"/>
        </w:rPr>
        <w:t xml:space="preserve"> </w:t>
      </w:r>
      <w:r w:rsidR="00445C8E" w:rsidRPr="009D7635">
        <w:rPr>
          <w:rFonts w:ascii="Times New Roman" w:hAnsi="Times New Roman" w:cs="Times New Roman"/>
          <w:iCs/>
          <w:color w:val="000000" w:themeColor="text1"/>
          <w:sz w:val="20"/>
          <w:szCs w:val="20"/>
          <w:lang w:val="en-US"/>
        </w:rPr>
        <w:t>See Bernard</w:t>
      </w:r>
      <w:r w:rsidR="00445C8E" w:rsidRPr="009D7635">
        <w:rPr>
          <w:rFonts w:ascii="Times New Roman" w:hAnsi="Times New Roman" w:cs="Times New Roman"/>
          <w:color w:val="000000" w:themeColor="text1"/>
          <w:sz w:val="20"/>
          <w:szCs w:val="20"/>
        </w:rPr>
        <w:t xml:space="preserve"> </w:t>
      </w:r>
      <w:proofErr w:type="spellStart"/>
      <w:r w:rsidR="00445C8E" w:rsidRPr="009D7635">
        <w:rPr>
          <w:rFonts w:ascii="Times New Roman" w:hAnsi="Times New Roman" w:cs="Times New Roman"/>
          <w:color w:val="000000" w:themeColor="text1"/>
          <w:sz w:val="20"/>
          <w:szCs w:val="20"/>
        </w:rPr>
        <w:t>McGinn</w:t>
      </w:r>
      <w:proofErr w:type="spellEnd"/>
      <w:r w:rsidR="00445C8E" w:rsidRPr="009D7635">
        <w:rPr>
          <w:rFonts w:ascii="Times New Roman" w:hAnsi="Times New Roman" w:cs="Times New Roman"/>
          <w:color w:val="000000" w:themeColor="text1"/>
          <w:sz w:val="20"/>
          <w:szCs w:val="20"/>
        </w:rPr>
        <w:t xml:space="preserve">, ‘Introduction,’ in </w:t>
      </w:r>
      <w:r w:rsidR="00445C8E" w:rsidRPr="009D7635">
        <w:rPr>
          <w:rFonts w:ascii="Times New Roman" w:hAnsi="Times New Roman" w:cs="Times New Roman"/>
          <w:i/>
          <w:color w:val="000000" w:themeColor="text1"/>
          <w:sz w:val="20"/>
          <w:szCs w:val="20"/>
        </w:rPr>
        <w:t>Three Treatises on Man</w:t>
      </w:r>
      <w:r w:rsidR="00445C8E" w:rsidRPr="009D7635">
        <w:rPr>
          <w:rFonts w:ascii="Times New Roman" w:hAnsi="Times New Roman" w:cs="Times New Roman"/>
          <w:iCs/>
          <w:color w:val="000000" w:themeColor="text1"/>
          <w:sz w:val="20"/>
          <w:szCs w:val="20"/>
        </w:rPr>
        <w:t>,</w:t>
      </w:r>
      <w:r w:rsidR="00445C8E" w:rsidRPr="009D7635">
        <w:rPr>
          <w:rFonts w:ascii="Times New Roman" w:hAnsi="Times New Roman" w:cs="Times New Roman"/>
          <w:i/>
          <w:color w:val="000000" w:themeColor="text1"/>
          <w:sz w:val="20"/>
          <w:szCs w:val="20"/>
        </w:rPr>
        <w:t xml:space="preserve"> </w:t>
      </w:r>
      <w:r w:rsidR="00445C8E" w:rsidRPr="009D7635">
        <w:rPr>
          <w:rFonts w:ascii="Times New Roman" w:eastAsia="Times New Roman" w:hAnsi="Times New Roman" w:cs="Times New Roman"/>
          <w:color w:val="000000" w:themeColor="text1"/>
          <w:sz w:val="20"/>
          <w:szCs w:val="20"/>
        </w:rPr>
        <w:t>43, 157, 189.</w:t>
      </w:r>
    </w:p>
  </w:footnote>
  <w:footnote w:id="543">
    <w:p w14:paraId="433C52A5" w14:textId="77777777" w:rsidR="00B93ED5" w:rsidRPr="009D7635" w:rsidRDefault="00B93ED5" w:rsidP="004C1CD7">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P. </w:t>
      </w:r>
      <w:proofErr w:type="spellStart"/>
      <w:r w:rsidRPr="009D7635">
        <w:rPr>
          <w:rFonts w:ascii="Times New Roman" w:hAnsi="Times New Roman" w:cs="Times New Roman"/>
          <w:color w:val="000000" w:themeColor="text1"/>
          <w:sz w:val="20"/>
          <w:szCs w:val="20"/>
          <w:lang w:val="en-US"/>
        </w:rPr>
        <w:t>Künzle</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Das </w:t>
      </w:r>
      <w:proofErr w:type="spellStart"/>
      <w:r w:rsidRPr="009D7635">
        <w:rPr>
          <w:rFonts w:ascii="Times New Roman" w:hAnsi="Times New Roman" w:cs="Times New Roman"/>
          <w:i/>
          <w:color w:val="000000" w:themeColor="text1"/>
          <w:sz w:val="20"/>
          <w:szCs w:val="20"/>
          <w:lang w:val="en-US"/>
        </w:rPr>
        <w:t>Verhältnis</w:t>
      </w:r>
      <w:proofErr w:type="spellEnd"/>
      <w:r w:rsidRPr="009D7635">
        <w:rPr>
          <w:rFonts w:ascii="Times New Roman" w:hAnsi="Times New Roman" w:cs="Times New Roman"/>
          <w:i/>
          <w:color w:val="000000" w:themeColor="text1"/>
          <w:sz w:val="20"/>
          <w:szCs w:val="20"/>
          <w:lang w:val="en-US"/>
        </w:rPr>
        <w:t xml:space="preserve"> der </w:t>
      </w:r>
      <w:proofErr w:type="spellStart"/>
      <w:r w:rsidRPr="009D7635">
        <w:rPr>
          <w:rFonts w:ascii="Times New Roman" w:hAnsi="Times New Roman" w:cs="Times New Roman"/>
          <w:i/>
          <w:color w:val="000000" w:themeColor="text1"/>
          <w:sz w:val="20"/>
          <w:szCs w:val="20"/>
          <w:lang w:val="en-US"/>
        </w:rPr>
        <w:t>Seele</w:t>
      </w:r>
      <w:proofErr w:type="spellEnd"/>
      <w:r w:rsidRPr="009D7635">
        <w:rPr>
          <w:rFonts w:ascii="Times New Roman" w:hAnsi="Times New Roman" w:cs="Times New Roman"/>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59-63; in reference to Bernard of </w:t>
      </w:r>
      <w:proofErr w:type="spellStart"/>
      <w:r w:rsidRPr="009D7635">
        <w:rPr>
          <w:rFonts w:ascii="Times New Roman" w:hAnsi="Times New Roman" w:cs="Times New Roman"/>
          <w:color w:val="000000" w:themeColor="text1"/>
          <w:sz w:val="20"/>
          <w:szCs w:val="20"/>
          <w:lang w:val="en-US"/>
        </w:rPr>
        <w:t>Clairvaux</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Ad </w:t>
      </w:r>
      <w:proofErr w:type="spellStart"/>
      <w:r w:rsidRPr="009D7635">
        <w:rPr>
          <w:rFonts w:ascii="Times New Roman" w:hAnsi="Times New Roman" w:cs="Times New Roman"/>
          <w:i/>
          <w:color w:val="000000" w:themeColor="text1"/>
          <w:sz w:val="20"/>
          <w:szCs w:val="20"/>
          <w:lang w:val="en-US"/>
        </w:rPr>
        <w:t>clericos</w:t>
      </w:r>
      <w:proofErr w:type="spellEnd"/>
      <w:r w:rsidRPr="009D7635">
        <w:rPr>
          <w:rFonts w:ascii="Times New Roman" w:hAnsi="Times New Roman" w:cs="Times New Roman"/>
          <w:i/>
          <w:color w:val="000000" w:themeColor="text1"/>
          <w:sz w:val="20"/>
          <w:szCs w:val="20"/>
          <w:lang w:val="en-US"/>
        </w:rPr>
        <w:t xml:space="preserve"> de </w:t>
      </w:r>
      <w:proofErr w:type="spellStart"/>
      <w:r w:rsidRPr="009D7635">
        <w:rPr>
          <w:rFonts w:ascii="Times New Roman" w:hAnsi="Times New Roman" w:cs="Times New Roman"/>
          <w:i/>
          <w:color w:val="000000" w:themeColor="text1"/>
          <w:sz w:val="20"/>
          <w:szCs w:val="20"/>
          <w:lang w:val="en-US"/>
        </w:rPr>
        <w:t>conversione</w:t>
      </w:r>
      <w:proofErr w:type="spellEnd"/>
      <w:r w:rsidRPr="009D7635">
        <w:rPr>
          <w:rFonts w:ascii="Times New Roman" w:hAnsi="Times New Roman" w:cs="Times New Roman"/>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ed. J. </w:t>
      </w:r>
      <w:proofErr w:type="spellStart"/>
      <w:r w:rsidRPr="009D7635">
        <w:rPr>
          <w:rFonts w:ascii="Times New Roman" w:hAnsi="Times New Roman" w:cs="Times New Roman"/>
          <w:color w:val="000000" w:themeColor="text1"/>
          <w:sz w:val="20"/>
          <w:szCs w:val="20"/>
          <w:lang w:val="en-US"/>
        </w:rPr>
        <w:t>Leclercq</w:t>
      </w:r>
      <w:proofErr w:type="spellEnd"/>
      <w:r w:rsidRPr="009D7635">
        <w:rPr>
          <w:rFonts w:ascii="Times New Roman" w:hAnsi="Times New Roman" w:cs="Times New Roman"/>
          <w:color w:val="000000" w:themeColor="text1"/>
          <w:sz w:val="20"/>
          <w:szCs w:val="20"/>
          <w:lang w:val="en-US"/>
        </w:rPr>
        <w:t xml:space="preserve"> and H.-M. </w:t>
      </w:r>
      <w:proofErr w:type="spellStart"/>
      <w:r w:rsidRPr="009D7635">
        <w:rPr>
          <w:rFonts w:ascii="Times New Roman" w:hAnsi="Times New Roman" w:cs="Times New Roman"/>
          <w:color w:val="000000" w:themeColor="text1"/>
          <w:sz w:val="20"/>
          <w:szCs w:val="20"/>
          <w:lang w:val="en-US"/>
        </w:rPr>
        <w:t>Rochais</w:t>
      </w:r>
      <w:proofErr w:type="spellEnd"/>
      <w:r w:rsidRPr="009D7635">
        <w:rPr>
          <w:rFonts w:ascii="Times New Roman" w:hAnsi="Times New Roman" w:cs="Times New Roman"/>
          <w:color w:val="000000" w:themeColor="text1"/>
          <w:sz w:val="20"/>
          <w:szCs w:val="20"/>
          <w:lang w:val="en-US"/>
        </w:rPr>
        <w:t xml:space="preserve"> (Roma: </w:t>
      </w:r>
      <w:proofErr w:type="spellStart"/>
      <w:r w:rsidRPr="009D7635">
        <w:rPr>
          <w:rFonts w:ascii="Times New Roman" w:hAnsi="Times New Roman" w:cs="Times New Roman"/>
          <w:color w:val="000000" w:themeColor="text1"/>
          <w:sz w:val="20"/>
          <w:szCs w:val="20"/>
          <w:lang w:val="en-US"/>
        </w:rPr>
        <w:t>Editiones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Cistercienses</w:t>
      </w:r>
      <w:proofErr w:type="spellEnd"/>
      <w:r w:rsidRPr="009D7635">
        <w:rPr>
          <w:rFonts w:ascii="Times New Roman" w:hAnsi="Times New Roman" w:cs="Times New Roman"/>
          <w:color w:val="000000" w:themeColor="text1"/>
          <w:sz w:val="20"/>
          <w:szCs w:val="20"/>
          <w:lang w:val="en-US"/>
        </w:rPr>
        <w:t xml:space="preserve">, 1974), 72-4. Hugh of St Cher, </w:t>
      </w:r>
      <w:proofErr w:type="spellStart"/>
      <w:r w:rsidRPr="009D7635">
        <w:rPr>
          <w:rFonts w:ascii="Times New Roman" w:hAnsi="Times New Roman" w:cs="Times New Roman"/>
          <w:i/>
          <w:color w:val="000000" w:themeColor="text1"/>
          <w:sz w:val="20"/>
          <w:szCs w:val="20"/>
          <w:lang w:val="en-US"/>
        </w:rPr>
        <w:t>Didascalicon</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II.5</w:t>
      </w:r>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ed. H. </w:t>
      </w:r>
      <w:proofErr w:type="spellStart"/>
      <w:r w:rsidRPr="009D7635">
        <w:rPr>
          <w:rFonts w:ascii="Times New Roman" w:hAnsi="Times New Roman" w:cs="Times New Roman"/>
          <w:color w:val="000000" w:themeColor="text1"/>
          <w:sz w:val="20"/>
          <w:szCs w:val="20"/>
          <w:lang w:val="en-US"/>
        </w:rPr>
        <w:t>Buttimer</w:t>
      </w:r>
      <w:proofErr w:type="spellEnd"/>
      <w:r w:rsidRPr="009D7635">
        <w:rPr>
          <w:rFonts w:ascii="Times New Roman" w:hAnsi="Times New Roman" w:cs="Times New Roman"/>
          <w:color w:val="000000" w:themeColor="text1"/>
          <w:sz w:val="20"/>
          <w:szCs w:val="20"/>
          <w:lang w:val="en-US"/>
        </w:rPr>
        <w:t xml:space="preserve"> (Washington: The Catholic University Press, 1939), 2728-810.</w:t>
      </w:r>
    </w:p>
  </w:footnote>
  <w:footnote w:id="544">
    <w:p w14:paraId="7C3B58D5" w14:textId="6473A087" w:rsidR="00B93ED5" w:rsidRPr="009D7635" w:rsidRDefault="00B93ED5" w:rsidP="004C1CD7">
      <w:pPr>
        <w:pStyle w:val="FootnoteText"/>
        <w:rPr>
          <w:rFonts w:ascii="Times New Roman" w:hAnsi="Times New Roman" w:cs="Times New Roman"/>
          <w:color w:val="000000" w:themeColor="text1"/>
          <w:lang w:val="en-US"/>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100. P. </w:t>
      </w:r>
      <w:proofErr w:type="spellStart"/>
      <w:r w:rsidRPr="009D7635">
        <w:rPr>
          <w:rFonts w:ascii="Times New Roman" w:hAnsi="Times New Roman" w:cs="Times New Roman"/>
          <w:color w:val="000000" w:themeColor="text1"/>
          <w:lang w:val="en-US"/>
        </w:rPr>
        <w:t>Künzle</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i/>
          <w:color w:val="000000" w:themeColor="text1"/>
          <w:lang w:val="en-US"/>
        </w:rPr>
        <w:t xml:space="preserve">Das </w:t>
      </w:r>
      <w:proofErr w:type="spellStart"/>
      <w:r w:rsidRPr="009D7635">
        <w:rPr>
          <w:rFonts w:ascii="Times New Roman" w:hAnsi="Times New Roman" w:cs="Times New Roman"/>
          <w:i/>
          <w:color w:val="000000" w:themeColor="text1"/>
          <w:lang w:val="en-US"/>
        </w:rPr>
        <w:t>Verhältnis</w:t>
      </w:r>
      <w:proofErr w:type="spellEnd"/>
      <w:r w:rsidRPr="009D7635">
        <w:rPr>
          <w:rFonts w:ascii="Times New Roman" w:hAnsi="Times New Roman" w:cs="Times New Roman"/>
          <w:i/>
          <w:color w:val="000000" w:themeColor="text1"/>
          <w:lang w:val="en-US"/>
        </w:rPr>
        <w:t xml:space="preserve"> der </w:t>
      </w:r>
      <w:proofErr w:type="spellStart"/>
      <w:r w:rsidRPr="009D7635">
        <w:rPr>
          <w:rFonts w:ascii="Times New Roman" w:hAnsi="Times New Roman" w:cs="Times New Roman"/>
          <w:i/>
          <w:color w:val="000000" w:themeColor="text1"/>
          <w:lang w:val="en-US"/>
        </w:rPr>
        <w:t>Seele</w:t>
      </w:r>
      <w:proofErr w:type="spellEnd"/>
      <w:r w:rsidRPr="009D7635">
        <w:rPr>
          <w:rFonts w:ascii="Times New Roman" w:hAnsi="Times New Roman" w:cs="Times New Roman"/>
          <w:iCs/>
          <w:color w:val="000000" w:themeColor="text1"/>
          <w:lang w:val="en-US"/>
        </w:rPr>
        <w:t xml:space="preserve">, </w:t>
      </w:r>
      <w:r w:rsidRPr="009D7635">
        <w:rPr>
          <w:rFonts w:ascii="Times New Roman" w:hAnsi="Times New Roman" w:cs="Times New Roman"/>
          <w:color w:val="000000" w:themeColor="text1"/>
          <w:lang w:val="en-US"/>
        </w:rPr>
        <w:t xml:space="preserve">74-77, in reference to Peter Lombard’s </w:t>
      </w:r>
      <w:proofErr w:type="spellStart"/>
      <w:r w:rsidRPr="009D7635">
        <w:rPr>
          <w:rFonts w:ascii="Times New Roman" w:hAnsi="Times New Roman" w:cs="Times New Roman"/>
          <w:i/>
          <w:color w:val="000000" w:themeColor="text1"/>
          <w:lang w:val="en-US"/>
        </w:rPr>
        <w:t>Sententiae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color w:val="000000" w:themeColor="text1"/>
          <w:lang w:val="en-US"/>
        </w:rPr>
        <w:t>bk</w:t>
      </w:r>
      <w:proofErr w:type="spellEnd"/>
      <w:r w:rsidRPr="009D7635">
        <w:rPr>
          <w:rFonts w:ascii="Times New Roman" w:hAnsi="Times New Roman" w:cs="Times New Roman"/>
          <w:color w:val="000000" w:themeColor="text1"/>
          <w:lang w:val="en-US"/>
        </w:rPr>
        <w:t xml:space="preserve"> 1, d3, c2</w:t>
      </w:r>
      <w:r w:rsidRPr="009D7635">
        <w:rPr>
          <w:rFonts w:ascii="Times New Roman" w:hAnsi="Times New Roman" w:cs="Times New Roman"/>
          <w:i/>
          <w:color w:val="000000" w:themeColor="text1"/>
          <w:lang w:val="en-US"/>
        </w:rPr>
        <w:t>,</w:t>
      </w:r>
      <w:r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shd w:val="clear" w:color="auto" w:fill="FFFFFF"/>
        </w:rPr>
        <w:t xml:space="preserve">Rome: </w:t>
      </w:r>
      <w:proofErr w:type="spellStart"/>
      <w:r w:rsidRPr="009D7635">
        <w:rPr>
          <w:rFonts w:ascii="Times New Roman" w:hAnsi="Times New Roman" w:cs="Times New Roman"/>
          <w:color w:val="000000" w:themeColor="text1"/>
          <w:shd w:val="clear" w:color="auto" w:fill="FFFFFF"/>
        </w:rPr>
        <w:t>Collegii</w:t>
      </w:r>
      <w:proofErr w:type="spellEnd"/>
      <w:r w:rsidRPr="009D7635">
        <w:rPr>
          <w:rFonts w:ascii="Times New Roman" w:hAnsi="Times New Roman" w:cs="Times New Roman"/>
          <w:color w:val="000000" w:themeColor="text1"/>
          <w:shd w:val="clear" w:color="auto" w:fill="FFFFFF"/>
        </w:rPr>
        <w:t xml:space="preserve"> S. </w:t>
      </w:r>
      <w:proofErr w:type="spellStart"/>
      <w:r w:rsidRPr="009D7635">
        <w:rPr>
          <w:rFonts w:ascii="Times New Roman" w:hAnsi="Times New Roman" w:cs="Times New Roman"/>
          <w:color w:val="000000" w:themeColor="text1"/>
          <w:shd w:val="clear" w:color="auto" w:fill="FFFFFF"/>
        </w:rPr>
        <w:t>Bonaventurae</w:t>
      </w:r>
      <w:proofErr w:type="spellEnd"/>
      <w:r w:rsidRPr="009D7635">
        <w:rPr>
          <w:rFonts w:ascii="Times New Roman" w:hAnsi="Times New Roman" w:cs="Times New Roman"/>
          <w:color w:val="000000" w:themeColor="text1"/>
          <w:lang w:val="en-US"/>
        </w:rPr>
        <w:t xml:space="preserve">, 1981): </w:t>
      </w:r>
      <w:r w:rsidRPr="009D7635">
        <w:rPr>
          <w:rFonts w:ascii="Times New Roman" w:hAnsi="Times New Roman" w:cs="Times New Roman"/>
          <w:i/>
          <w:color w:val="000000" w:themeColor="text1"/>
          <w:lang w:val="en-US"/>
        </w:rPr>
        <w:t xml:space="preserve">Sed </w:t>
      </w:r>
      <w:proofErr w:type="spellStart"/>
      <w:r w:rsidRPr="009D7635">
        <w:rPr>
          <w:rFonts w:ascii="Times New Roman" w:hAnsi="Times New Roman" w:cs="Times New Roman"/>
          <w:i/>
          <w:color w:val="000000" w:themeColor="text1"/>
          <w:lang w:val="en-US"/>
        </w:rPr>
        <w:t>iam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videndum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quomodo</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haec</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tria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dicantur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una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substantia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ideo</w:t>
      </w:r>
      <w:proofErr w:type="spellEnd"/>
      <w:r w:rsidRPr="009D7635">
        <w:rPr>
          <w:rFonts w:ascii="Times New Roman" w:hAnsi="Times New Roman" w:cs="Times New Roman"/>
          <w:i/>
          <w:color w:val="000000" w:themeColor="text1"/>
          <w:lang w:val="en-US"/>
        </w:rPr>
        <w:t xml:space="preserve"> scilicet </w:t>
      </w:r>
      <w:proofErr w:type="spellStart"/>
      <w:r w:rsidRPr="009D7635">
        <w:rPr>
          <w:rFonts w:ascii="Times New Roman" w:hAnsi="Times New Roman" w:cs="Times New Roman"/>
          <w:i/>
          <w:color w:val="000000" w:themeColor="text1"/>
          <w:lang w:val="en-US"/>
        </w:rPr>
        <w:t>quia</w:t>
      </w:r>
      <w:proofErr w:type="spellEnd"/>
      <w:r w:rsidRPr="009D7635">
        <w:rPr>
          <w:rFonts w:ascii="Times New Roman" w:hAnsi="Times New Roman" w:cs="Times New Roman"/>
          <w:i/>
          <w:color w:val="000000" w:themeColor="text1"/>
          <w:lang w:val="en-US"/>
        </w:rPr>
        <w:t xml:space="preserve"> in ipsa anima </w:t>
      </w:r>
      <w:proofErr w:type="spellStart"/>
      <w:r w:rsidRPr="009D7635">
        <w:rPr>
          <w:rFonts w:ascii="Times New Roman" w:hAnsi="Times New Roman" w:cs="Times New Roman"/>
          <w:i/>
          <w:color w:val="000000" w:themeColor="text1"/>
          <w:lang w:val="en-US"/>
        </w:rPr>
        <w:t>vel</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mente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substantialiter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existunt</w:t>
      </w:r>
      <w:proofErr w:type="spellEnd"/>
      <w:r w:rsidRPr="009D7635">
        <w:rPr>
          <w:rFonts w:ascii="Times New Roman" w:hAnsi="Times New Roman" w:cs="Times New Roman"/>
          <w:i/>
          <w:color w:val="000000" w:themeColor="text1"/>
          <w:lang w:val="en-US"/>
        </w:rPr>
        <w:t xml:space="preserve">, non </w:t>
      </w:r>
      <w:proofErr w:type="spellStart"/>
      <w:r w:rsidRPr="009D7635">
        <w:rPr>
          <w:rFonts w:ascii="Times New Roman" w:hAnsi="Times New Roman" w:cs="Times New Roman"/>
          <w:i/>
          <w:color w:val="000000" w:themeColor="text1"/>
          <w:lang w:val="en-US"/>
        </w:rPr>
        <w:t>sicut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accidentia</w:t>
      </w:r>
      <w:proofErr w:type="spellEnd"/>
      <w:r w:rsidRPr="009D7635">
        <w:rPr>
          <w:rFonts w:ascii="Times New Roman" w:hAnsi="Times New Roman" w:cs="Times New Roman"/>
          <w:i/>
          <w:color w:val="000000" w:themeColor="text1"/>
          <w:lang w:val="en-US"/>
        </w:rPr>
        <w:t xml:space="preserve"> in </w:t>
      </w:r>
      <w:proofErr w:type="spellStart"/>
      <w:r w:rsidRPr="009D7635">
        <w:rPr>
          <w:rFonts w:ascii="Times New Roman" w:hAnsi="Times New Roman" w:cs="Times New Roman"/>
          <w:i/>
          <w:color w:val="000000" w:themeColor="text1"/>
          <w:lang w:val="en-US"/>
        </w:rPr>
        <w:t>subiectis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quae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possunt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adesse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vel</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abesse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Unde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Augustinus</w:t>
      </w:r>
      <w:proofErr w:type="spellEnd"/>
      <w:r w:rsidRPr="009D7635">
        <w:rPr>
          <w:rFonts w:ascii="Times New Roman" w:hAnsi="Times New Roman" w:cs="Times New Roman"/>
          <w:i/>
          <w:color w:val="000000" w:themeColor="text1"/>
          <w:lang w:val="en-US"/>
        </w:rPr>
        <w:t xml:space="preserve"> in </w:t>
      </w:r>
      <w:proofErr w:type="spellStart"/>
      <w:r w:rsidRPr="009D7635">
        <w:rPr>
          <w:rFonts w:ascii="Times New Roman" w:hAnsi="Times New Roman" w:cs="Times New Roman"/>
          <w:i/>
          <w:color w:val="000000" w:themeColor="text1"/>
          <w:lang w:val="en-US"/>
        </w:rPr>
        <w:t>libro</w:t>
      </w:r>
      <w:proofErr w:type="spellEnd"/>
      <w:r w:rsidRPr="009D7635">
        <w:rPr>
          <w:rFonts w:ascii="Times New Roman" w:hAnsi="Times New Roman" w:cs="Times New Roman"/>
          <w:i/>
          <w:color w:val="000000" w:themeColor="text1"/>
          <w:lang w:val="en-US"/>
        </w:rPr>
        <w:t xml:space="preserve"> IX De </w:t>
      </w:r>
      <w:proofErr w:type="spellStart"/>
      <w:r w:rsidRPr="009D7635">
        <w:rPr>
          <w:rFonts w:ascii="Times New Roman" w:hAnsi="Times New Roman" w:cs="Times New Roman"/>
          <w:i/>
          <w:color w:val="000000" w:themeColor="text1"/>
          <w:lang w:val="en-US"/>
        </w:rPr>
        <w:t>Trinitate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ait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Admonemur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si</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utcumque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videre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possumus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haec</w:t>
      </w:r>
      <w:proofErr w:type="spellEnd"/>
      <w:r w:rsidRPr="009D7635">
        <w:rPr>
          <w:rFonts w:ascii="Times New Roman" w:hAnsi="Times New Roman" w:cs="Times New Roman"/>
          <w:i/>
          <w:color w:val="000000" w:themeColor="text1"/>
          <w:lang w:val="en-US"/>
        </w:rPr>
        <w:t xml:space="preserve"> in animo </w:t>
      </w:r>
      <w:proofErr w:type="spellStart"/>
      <w:r w:rsidRPr="009D7635">
        <w:rPr>
          <w:rFonts w:ascii="Times New Roman" w:hAnsi="Times New Roman" w:cs="Times New Roman"/>
          <w:i/>
          <w:color w:val="000000" w:themeColor="text1"/>
          <w:lang w:val="en-US"/>
        </w:rPr>
        <w:t>existere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substantialiter</w:t>
      </w:r>
      <w:proofErr w:type="spellEnd"/>
      <w:r w:rsidRPr="009D7635">
        <w:rPr>
          <w:rFonts w:ascii="Times New Roman" w:hAnsi="Times New Roman" w:cs="Times New Roman"/>
          <w:i/>
          <w:color w:val="000000" w:themeColor="text1"/>
          <w:lang w:val="en-US"/>
        </w:rPr>
        <w:t xml:space="preserve">, non </w:t>
      </w:r>
      <w:proofErr w:type="spellStart"/>
      <w:r w:rsidRPr="009D7635">
        <w:rPr>
          <w:rFonts w:ascii="Times New Roman" w:hAnsi="Times New Roman" w:cs="Times New Roman"/>
          <w:i/>
          <w:color w:val="000000" w:themeColor="text1"/>
          <w:lang w:val="en-US"/>
        </w:rPr>
        <w:t>tamquam</w:t>
      </w:r>
      <w:proofErr w:type="spellEnd"/>
      <w:r w:rsidRPr="009D7635">
        <w:rPr>
          <w:rFonts w:ascii="Times New Roman" w:hAnsi="Times New Roman" w:cs="Times New Roman"/>
          <w:i/>
          <w:color w:val="000000" w:themeColor="text1"/>
          <w:lang w:val="en-US"/>
        </w:rPr>
        <w:t xml:space="preserve"> in </w:t>
      </w:r>
      <w:proofErr w:type="spellStart"/>
      <w:r w:rsidRPr="009D7635">
        <w:rPr>
          <w:rFonts w:ascii="Times New Roman" w:hAnsi="Times New Roman" w:cs="Times New Roman"/>
          <w:i/>
          <w:color w:val="000000" w:themeColor="text1"/>
          <w:lang w:val="en-US"/>
        </w:rPr>
        <w:t>subjecto</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ut</w:t>
      </w:r>
      <w:proofErr w:type="spellEnd"/>
      <w:r w:rsidRPr="009D7635">
        <w:rPr>
          <w:rFonts w:ascii="Times New Roman" w:hAnsi="Times New Roman" w:cs="Times New Roman"/>
          <w:i/>
          <w:color w:val="000000" w:themeColor="text1"/>
          <w:lang w:val="en-US"/>
        </w:rPr>
        <w:t xml:space="preserve"> color in </w:t>
      </w:r>
      <w:proofErr w:type="spellStart"/>
      <w:r w:rsidRPr="009D7635">
        <w:rPr>
          <w:rFonts w:ascii="Times New Roman" w:hAnsi="Times New Roman" w:cs="Times New Roman"/>
          <w:i/>
          <w:color w:val="000000" w:themeColor="text1"/>
          <w:lang w:val="en-US"/>
        </w:rPr>
        <w:t>corpore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quia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etsi</w:t>
      </w:r>
      <w:proofErr w:type="spellEnd"/>
      <w:r w:rsidRPr="009D7635">
        <w:rPr>
          <w:rFonts w:ascii="Times New Roman" w:hAnsi="Times New Roman" w:cs="Times New Roman"/>
          <w:i/>
          <w:color w:val="000000" w:themeColor="text1"/>
          <w:lang w:val="en-US"/>
        </w:rPr>
        <w:t xml:space="preserve"> relative </w:t>
      </w:r>
      <w:proofErr w:type="spellStart"/>
      <w:r w:rsidRPr="009D7635">
        <w:rPr>
          <w:rFonts w:ascii="Times New Roman" w:hAnsi="Times New Roman" w:cs="Times New Roman"/>
          <w:i/>
          <w:color w:val="000000" w:themeColor="text1"/>
          <w:lang w:val="en-US"/>
        </w:rPr>
        <w:t>dicuntur</w:t>
      </w:r>
      <w:proofErr w:type="spellEnd"/>
      <w:r w:rsidRPr="009D7635">
        <w:rPr>
          <w:rFonts w:ascii="Times New Roman" w:hAnsi="Times New Roman" w:cs="Times New Roman"/>
          <w:i/>
          <w:color w:val="000000" w:themeColor="text1"/>
          <w:lang w:val="en-US"/>
        </w:rPr>
        <w:t xml:space="preserve"> ad </w:t>
      </w:r>
      <w:proofErr w:type="spellStart"/>
      <w:r w:rsidRPr="009D7635">
        <w:rPr>
          <w:rFonts w:ascii="Times New Roman" w:hAnsi="Times New Roman" w:cs="Times New Roman"/>
          <w:i/>
          <w:color w:val="000000" w:themeColor="text1"/>
          <w:lang w:val="en-US"/>
        </w:rPr>
        <w:t>invicem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singula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tamen</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substantialiter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sunt</w:t>
      </w:r>
      <w:proofErr w:type="spellEnd"/>
      <w:r w:rsidRPr="009D7635">
        <w:rPr>
          <w:rFonts w:ascii="Times New Roman" w:hAnsi="Times New Roman" w:cs="Times New Roman"/>
          <w:i/>
          <w:color w:val="000000" w:themeColor="text1"/>
          <w:lang w:val="en-US"/>
        </w:rPr>
        <w:t xml:space="preserve"> in </w:t>
      </w:r>
      <w:proofErr w:type="spellStart"/>
      <w:r w:rsidRPr="009D7635">
        <w:rPr>
          <w:rFonts w:ascii="Times New Roman" w:hAnsi="Times New Roman" w:cs="Times New Roman"/>
          <w:i/>
          <w:color w:val="000000" w:themeColor="text1"/>
          <w:lang w:val="en-US"/>
        </w:rPr>
        <w:t>sua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substantia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Ecce</w:t>
      </w:r>
      <w:proofErr w:type="spellEnd"/>
      <w:r w:rsidRPr="009D7635">
        <w:rPr>
          <w:rFonts w:ascii="Times New Roman" w:hAnsi="Times New Roman" w:cs="Times New Roman"/>
          <w:i/>
          <w:color w:val="000000" w:themeColor="text1"/>
          <w:lang w:val="en-US"/>
        </w:rPr>
        <w:t xml:space="preserve"> ex quo </w:t>
      </w:r>
      <w:proofErr w:type="spellStart"/>
      <w:r w:rsidRPr="009D7635">
        <w:rPr>
          <w:rFonts w:ascii="Times New Roman" w:hAnsi="Times New Roman" w:cs="Times New Roman"/>
          <w:i/>
          <w:color w:val="000000" w:themeColor="text1"/>
          <w:lang w:val="en-US"/>
        </w:rPr>
        <w:t>sensu</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illa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tria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dicantur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esse</w:t>
      </w:r>
      <w:proofErr w:type="spellEnd"/>
      <w:r w:rsidRPr="009D7635">
        <w:rPr>
          <w:rFonts w:ascii="Times New Roman" w:hAnsi="Times New Roman" w:cs="Times New Roman"/>
          <w:i/>
          <w:color w:val="000000" w:themeColor="text1"/>
          <w:lang w:val="en-US"/>
        </w:rPr>
        <w:t xml:space="preserve"> unum </w:t>
      </w:r>
      <w:proofErr w:type="spellStart"/>
      <w:r w:rsidRPr="009D7635">
        <w:rPr>
          <w:rFonts w:ascii="Times New Roman" w:hAnsi="Times New Roman" w:cs="Times New Roman"/>
          <w:i/>
          <w:color w:val="000000" w:themeColor="text1"/>
          <w:lang w:val="en-US"/>
        </w:rPr>
        <w:t>vel</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una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substantia</w:t>
      </w:r>
      <w:proofErr w:type="spellEnd"/>
      <w:r w:rsidRPr="009D7635">
        <w:rPr>
          <w:rFonts w:ascii="Times New Roman" w:hAnsi="Times New Roman" w:cs="Times New Roman"/>
          <w:i/>
          <w:color w:val="000000" w:themeColor="text1"/>
          <w:lang w:val="en-US"/>
        </w:rPr>
        <w:t>.</w:t>
      </w:r>
      <w:r w:rsidRPr="009D7635">
        <w:rPr>
          <w:rFonts w:ascii="Times New Roman" w:hAnsi="Times New Roman" w:cs="Times New Roman"/>
          <w:color w:val="000000" w:themeColor="text1"/>
          <w:lang w:val="en-US"/>
        </w:rPr>
        <w:t xml:space="preserve"> See also Augustine, </w:t>
      </w:r>
      <w:r w:rsidRPr="009D7635">
        <w:rPr>
          <w:rFonts w:ascii="Times New Roman" w:hAnsi="Times New Roman" w:cs="Times New Roman"/>
          <w:i/>
          <w:color w:val="000000" w:themeColor="text1"/>
          <w:lang w:val="en-US"/>
        </w:rPr>
        <w:t xml:space="preserve">De </w:t>
      </w:r>
      <w:proofErr w:type="spellStart"/>
      <w:r w:rsidRPr="009D7635">
        <w:rPr>
          <w:rFonts w:ascii="Times New Roman" w:hAnsi="Times New Roman" w:cs="Times New Roman"/>
          <w:i/>
          <w:color w:val="000000" w:themeColor="text1"/>
          <w:lang w:val="en-US"/>
        </w:rPr>
        <w:t>Trinitate</w:t>
      </w:r>
      <w:proofErr w:type="spellEnd"/>
      <w:r w:rsidRPr="009D7635">
        <w:rPr>
          <w:rFonts w:ascii="Times New Roman" w:hAnsi="Times New Roman" w:cs="Times New Roman"/>
          <w:i/>
          <w:color w:val="000000" w:themeColor="text1"/>
          <w:lang w:val="en-US"/>
        </w:rPr>
        <w:t xml:space="preserve"> </w:t>
      </w:r>
      <w:r w:rsidRPr="009D7635">
        <w:rPr>
          <w:rFonts w:ascii="Times New Roman" w:hAnsi="Times New Roman" w:cs="Times New Roman"/>
          <w:color w:val="000000" w:themeColor="text1"/>
          <w:lang w:val="en-US"/>
        </w:rPr>
        <w:t xml:space="preserve">IX.4.5 and </w:t>
      </w:r>
      <w:proofErr w:type="spellStart"/>
      <w:r w:rsidRPr="009D7635">
        <w:rPr>
          <w:rFonts w:ascii="Times New Roman" w:hAnsi="Times New Roman" w:cs="Times New Roman"/>
          <w:color w:val="000000" w:themeColor="text1"/>
          <w:lang w:val="en-US"/>
        </w:rPr>
        <w:t>Künzle</w:t>
      </w:r>
      <w:proofErr w:type="spellEnd"/>
      <w:r w:rsidRPr="009D7635">
        <w:rPr>
          <w:rFonts w:ascii="Times New Roman" w:hAnsi="Times New Roman" w:cs="Times New Roman"/>
          <w:color w:val="000000" w:themeColor="text1"/>
          <w:lang w:val="en-US"/>
        </w:rPr>
        <w:t>, 83-84.</w:t>
      </w:r>
    </w:p>
  </w:footnote>
  <w:footnote w:id="545">
    <w:p w14:paraId="0BCBDBDE" w14:textId="7B095CEF"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L’identité</w:t>
      </w:r>
      <w:proofErr w:type="spellEnd"/>
      <w:r w:rsidRPr="009D7635">
        <w:rPr>
          <w:rFonts w:ascii="Times New Roman" w:hAnsi="Times New Roman" w:cs="Times New Roman"/>
          <w:color w:val="000000" w:themeColor="text1"/>
        </w:rPr>
        <w:t xml:space="preserve"> de </w:t>
      </w:r>
      <w:proofErr w:type="spellStart"/>
      <w:r w:rsidR="00D71B3E" w:rsidRPr="009D7635">
        <w:rPr>
          <w:rFonts w:ascii="Times New Roman" w:hAnsi="Times New Roman" w:cs="Times New Roman"/>
          <w:color w:val="000000" w:themeColor="text1"/>
        </w:rPr>
        <w:t>l’âme</w:t>
      </w:r>
      <w:proofErr w:type="spellEnd"/>
      <w:r w:rsidRPr="009D7635">
        <w:rPr>
          <w:rFonts w:ascii="Times New Roman" w:hAnsi="Times New Roman" w:cs="Times New Roman"/>
          <w:color w:val="000000" w:themeColor="text1"/>
        </w:rPr>
        <w:t xml:space="preserve"> et de </w:t>
      </w:r>
      <w:proofErr w:type="spellStart"/>
      <w:r w:rsidRPr="009D7635">
        <w:rPr>
          <w:rFonts w:ascii="Times New Roman" w:hAnsi="Times New Roman" w:cs="Times New Roman"/>
          <w:color w:val="000000" w:themeColor="text1"/>
        </w:rPr>
        <w:t>ses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facultés</w:t>
      </w:r>
      <w:proofErr w:type="spellEnd"/>
      <w:r w:rsidRPr="009D7635">
        <w:rPr>
          <w:rFonts w:ascii="Times New Roman" w:hAnsi="Times New Roman" w:cs="Times New Roman"/>
          <w:color w:val="000000" w:themeColor="text1"/>
        </w:rPr>
        <w:t xml:space="preserve">,’ 191. </w:t>
      </w:r>
    </w:p>
  </w:footnote>
  <w:footnote w:id="546">
    <w:p w14:paraId="26BE8A20"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William of </w:t>
      </w:r>
      <w:proofErr w:type="spellStart"/>
      <w:r w:rsidRPr="009D7635">
        <w:rPr>
          <w:rFonts w:ascii="Times New Roman" w:hAnsi="Times New Roman" w:cs="Times New Roman"/>
          <w:color w:val="000000" w:themeColor="text1"/>
        </w:rPr>
        <w:t>Auxerre</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Summa </w:t>
      </w:r>
      <w:proofErr w:type="spellStart"/>
      <w:r w:rsidRPr="009D7635">
        <w:rPr>
          <w:rFonts w:ascii="Times New Roman" w:hAnsi="Times New Roman" w:cs="Times New Roman"/>
          <w:i/>
          <w:color w:val="000000" w:themeColor="text1"/>
        </w:rPr>
        <w:t>Aurea</w:t>
      </w:r>
      <w:proofErr w:type="spellEnd"/>
      <w:r w:rsidRPr="009D7635">
        <w:rPr>
          <w:rFonts w:ascii="Times New Roman" w:hAnsi="Times New Roman" w:cs="Times New Roman"/>
          <w:color w:val="000000" w:themeColor="text1"/>
        </w:rPr>
        <w:t xml:space="preserve">, ed. Jean </w:t>
      </w:r>
      <w:proofErr w:type="spellStart"/>
      <w:r w:rsidRPr="009D7635">
        <w:rPr>
          <w:rFonts w:ascii="Times New Roman" w:hAnsi="Times New Roman" w:cs="Times New Roman"/>
          <w:color w:val="000000" w:themeColor="text1"/>
        </w:rPr>
        <w:t>Ribaillier</w:t>
      </w:r>
      <w:proofErr w:type="spellEnd"/>
      <w:r w:rsidRPr="009D7635">
        <w:rPr>
          <w:rFonts w:ascii="Times New Roman" w:hAnsi="Times New Roman" w:cs="Times New Roman"/>
          <w:color w:val="000000" w:themeColor="text1"/>
        </w:rPr>
        <w:t xml:space="preserve">, in </w:t>
      </w:r>
      <w:proofErr w:type="spellStart"/>
      <w:r w:rsidRPr="009D7635">
        <w:rPr>
          <w:rFonts w:ascii="Times New Roman" w:hAnsi="Times New Roman" w:cs="Times New Roman"/>
          <w:color w:val="000000" w:themeColor="text1"/>
        </w:rPr>
        <w:t>Spicilegium</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Bonaventurianum</w:t>
      </w:r>
      <w:proofErr w:type="spellEnd"/>
      <w:r w:rsidRPr="009D7635">
        <w:rPr>
          <w:rFonts w:ascii="Times New Roman" w:hAnsi="Times New Roman" w:cs="Times New Roman"/>
          <w:color w:val="000000" w:themeColor="text1"/>
        </w:rPr>
        <w:t xml:space="preserve"> 17 (Paris: </w:t>
      </w:r>
      <w:proofErr w:type="spellStart"/>
      <w:r w:rsidRPr="009D7635">
        <w:rPr>
          <w:rFonts w:ascii="Times New Roman" w:hAnsi="Times New Roman" w:cs="Times New Roman"/>
          <w:color w:val="000000" w:themeColor="text1"/>
        </w:rPr>
        <w:t>Grottaferrata</w:t>
      </w:r>
      <w:proofErr w:type="spellEnd"/>
      <w:r w:rsidRPr="009D7635">
        <w:rPr>
          <w:rFonts w:ascii="Times New Roman" w:hAnsi="Times New Roman" w:cs="Times New Roman"/>
          <w:color w:val="000000" w:themeColor="text1"/>
        </w:rPr>
        <w:t>, 1982), 237, 280.</w:t>
      </w:r>
    </w:p>
  </w:footnote>
  <w:footnote w:id="547">
    <w:p w14:paraId="76C5A31F" w14:textId="42E258B3" w:rsidR="00B93ED5" w:rsidRPr="009D7635" w:rsidRDefault="00B93ED5" w:rsidP="004C1CD7">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Magdalena </w:t>
      </w:r>
      <w:proofErr w:type="spellStart"/>
      <w:r w:rsidRPr="009D7635">
        <w:rPr>
          <w:rFonts w:ascii="Times New Roman" w:hAnsi="Times New Roman" w:cs="Times New Roman"/>
          <w:color w:val="000000" w:themeColor="text1"/>
          <w:sz w:val="20"/>
          <w:szCs w:val="20"/>
        </w:rPr>
        <w:t>Bieniak</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The Body-Soul Problem at Paris</w:t>
      </w:r>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 101. William of </w:t>
      </w:r>
      <w:proofErr w:type="spellStart"/>
      <w:r w:rsidRPr="009D7635">
        <w:rPr>
          <w:rFonts w:ascii="Times New Roman" w:hAnsi="Times New Roman" w:cs="Times New Roman"/>
          <w:color w:val="000000" w:themeColor="text1"/>
          <w:sz w:val="20"/>
          <w:szCs w:val="20"/>
        </w:rPr>
        <w:t>Auxerre</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Summa </w:t>
      </w:r>
      <w:proofErr w:type="spellStart"/>
      <w:r w:rsidRPr="009D7635">
        <w:rPr>
          <w:rFonts w:ascii="Times New Roman" w:hAnsi="Times New Roman" w:cs="Times New Roman"/>
          <w:i/>
          <w:color w:val="000000" w:themeColor="text1"/>
          <w:sz w:val="20"/>
          <w:szCs w:val="20"/>
        </w:rPr>
        <w:t>Aurea</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243: </w:t>
      </w:r>
      <w:proofErr w:type="spellStart"/>
      <w:r w:rsidRPr="009D7635">
        <w:rPr>
          <w:rFonts w:ascii="Times New Roman" w:hAnsi="Times New Roman" w:cs="Times New Roman"/>
          <w:i/>
          <w:color w:val="000000" w:themeColor="text1"/>
          <w:sz w:val="20"/>
          <w:szCs w:val="20"/>
          <w:lang w:val="en-US"/>
        </w:rPr>
        <w:t>Quidam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tamen</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dicunt</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hec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proprie</w:t>
      </w:r>
      <w:proofErr w:type="spellEnd"/>
      <w:r w:rsidRPr="009D7635">
        <w:rPr>
          <w:rFonts w:ascii="Times New Roman" w:hAnsi="Times New Roman" w:cs="Times New Roman"/>
          <w:i/>
          <w:color w:val="000000" w:themeColor="text1"/>
          <w:sz w:val="20"/>
          <w:szCs w:val="20"/>
          <w:lang w:val="en-US"/>
        </w:rPr>
        <w:t xml:space="preserve"> unum, et </w:t>
      </w:r>
      <w:proofErr w:type="spellStart"/>
      <w:r w:rsidRPr="009D7635">
        <w:rPr>
          <w:rFonts w:ascii="Times New Roman" w:hAnsi="Times New Roman" w:cs="Times New Roman"/>
          <w:i/>
          <w:color w:val="000000" w:themeColor="text1"/>
          <w:sz w:val="20"/>
          <w:szCs w:val="20"/>
          <w:lang w:val="en-US"/>
        </w:rPr>
        <w:t>intelligunt</w:t>
      </w:r>
      <w:proofErr w:type="spellEnd"/>
      <w:r w:rsidRPr="009D7635">
        <w:rPr>
          <w:rFonts w:ascii="Times New Roman" w:hAnsi="Times New Roman" w:cs="Times New Roman"/>
          <w:i/>
          <w:color w:val="000000" w:themeColor="text1"/>
          <w:sz w:val="20"/>
          <w:szCs w:val="20"/>
          <w:lang w:val="en-US"/>
        </w:rPr>
        <w:t xml:space="preserve"> hoc de ipsa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quod anima idem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sua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dicuntur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tres </w:t>
      </w:r>
      <w:proofErr w:type="spellStart"/>
      <w:r w:rsidRPr="009D7635">
        <w:rPr>
          <w:rFonts w:ascii="Times New Roman" w:hAnsi="Times New Roman" w:cs="Times New Roman"/>
          <w:i/>
          <w:color w:val="000000" w:themeColor="text1"/>
          <w:sz w:val="20"/>
          <w:szCs w:val="20"/>
          <w:lang w:val="en-US"/>
        </w:rPr>
        <w:t>potentie</w:t>
      </w:r>
      <w:proofErr w:type="spellEnd"/>
      <w:r w:rsidRPr="009D7635">
        <w:rPr>
          <w:rFonts w:ascii="Times New Roman" w:hAnsi="Times New Roman" w:cs="Times New Roman"/>
          <w:i/>
          <w:color w:val="000000" w:themeColor="text1"/>
          <w:sz w:val="20"/>
          <w:szCs w:val="20"/>
          <w:lang w:val="en-US"/>
        </w:rPr>
        <w:t xml:space="preserve"> propter </w:t>
      </w:r>
      <w:proofErr w:type="spellStart"/>
      <w:r w:rsidRPr="009D7635">
        <w:rPr>
          <w:rFonts w:ascii="Times New Roman" w:hAnsi="Times New Roman" w:cs="Times New Roman"/>
          <w:i/>
          <w:color w:val="000000" w:themeColor="text1"/>
          <w:sz w:val="20"/>
          <w:szCs w:val="20"/>
          <w:lang w:val="en-US"/>
        </w:rPr>
        <w:t>diversos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cum non sit </w:t>
      </w:r>
      <w:proofErr w:type="spellStart"/>
      <w:r w:rsidRPr="009D7635">
        <w:rPr>
          <w:rFonts w:ascii="Times New Roman" w:hAnsi="Times New Roman" w:cs="Times New Roman"/>
          <w:i/>
          <w:color w:val="000000" w:themeColor="text1"/>
          <w:sz w:val="20"/>
          <w:szCs w:val="20"/>
          <w:lang w:val="en-US"/>
        </w:rPr>
        <w:t>nisi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anima et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essentia</w:t>
      </w:r>
      <w:proofErr w:type="spellEnd"/>
      <w:r w:rsidRPr="009D7635">
        <w:rPr>
          <w:rFonts w:ascii="Times New Roman" w:hAnsi="Times New Roman" w:cs="Times New Roman"/>
          <w:i/>
          <w:color w:val="000000" w:themeColor="text1"/>
          <w:sz w:val="20"/>
          <w:szCs w:val="20"/>
          <w:lang w:val="en-US"/>
        </w:rPr>
        <w:t xml:space="preserve">. Et hoc </w:t>
      </w:r>
      <w:proofErr w:type="spellStart"/>
      <w:r w:rsidRPr="009D7635">
        <w:rPr>
          <w:rFonts w:ascii="Times New Roman" w:hAnsi="Times New Roman" w:cs="Times New Roman"/>
          <w:i/>
          <w:color w:val="000000" w:themeColor="text1"/>
          <w:sz w:val="20"/>
          <w:szCs w:val="20"/>
          <w:lang w:val="en-US"/>
        </w:rPr>
        <w:t>volunt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verbis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beati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Augustini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dicunt</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hec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vita,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anima, et per hoc quod ipse </w:t>
      </w:r>
      <w:proofErr w:type="spellStart"/>
      <w:r w:rsidRPr="009D7635">
        <w:rPr>
          <w:rFonts w:ascii="Times New Roman" w:hAnsi="Times New Roman" w:cs="Times New Roman"/>
          <w:i/>
          <w:color w:val="000000" w:themeColor="text1"/>
          <w:sz w:val="20"/>
          <w:szCs w:val="20"/>
          <w:lang w:val="en-US"/>
        </w:rPr>
        <w:t>dicit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tria</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in anima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subiecto</w:t>
      </w:r>
      <w:proofErr w:type="spellEnd"/>
      <w:r w:rsidRPr="009D7635">
        <w:rPr>
          <w:rFonts w:ascii="Times New Roman" w:hAnsi="Times New Roman" w:cs="Times New Roman"/>
          <w:i/>
          <w:color w:val="000000" w:themeColor="text1"/>
          <w:sz w:val="20"/>
          <w:szCs w:val="20"/>
          <w:lang w:val="en-US"/>
        </w:rPr>
        <w:t xml:space="preserve">; ergo non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qualitates</w:t>
      </w:r>
      <w:proofErr w:type="spellEnd"/>
      <w:r w:rsidRPr="009D7635">
        <w:rPr>
          <w:rFonts w:ascii="Times New Roman" w:hAnsi="Times New Roman" w:cs="Times New Roman"/>
          <w:i/>
          <w:color w:val="000000" w:themeColor="text1"/>
          <w:sz w:val="20"/>
          <w:szCs w:val="20"/>
          <w:lang w:val="en-US"/>
        </w:rPr>
        <w:t xml:space="preserve"> anime, sed ipsa anima.</w:t>
      </w:r>
    </w:p>
  </w:footnote>
  <w:footnote w:id="548">
    <w:p w14:paraId="170FD0A1" w14:textId="3BAD5C0F" w:rsidR="00B93ED5" w:rsidRPr="009D7635" w:rsidRDefault="00B93ED5" w:rsidP="004C1CD7">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P. </w:t>
      </w:r>
      <w:proofErr w:type="spellStart"/>
      <w:r w:rsidRPr="009D7635">
        <w:rPr>
          <w:rFonts w:ascii="Times New Roman" w:hAnsi="Times New Roman" w:cs="Times New Roman"/>
          <w:color w:val="000000" w:themeColor="text1"/>
          <w:sz w:val="20"/>
          <w:szCs w:val="20"/>
          <w:lang w:val="en-US"/>
        </w:rPr>
        <w:t>Künzle</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Das </w:t>
      </w:r>
      <w:proofErr w:type="spellStart"/>
      <w:r w:rsidRPr="009D7635">
        <w:rPr>
          <w:rFonts w:ascii="Times New Roman" w:hAnsi="Times New Roman" w:cs="Times New Roman"/>
          <w:i/>
          <w:color w:val="000000" w:themeColor="text1"/>
          <w:sz w:val="20"/>
          <w:szCs w:val="20"/>
          <w:lang w:val="en-US"/>
        </w:rPr>
        <w:t>Verhältnis</w:t>
      </w:r>
      <w:proofErr w:type="spellEnd"/>
      <w:r w:rsidRPr="009D7635">
        <w:rPr>
          <w:rFonts w:ascii="Times New Roman" w:hAnsi="Times New Roman" w:cs="Times New Roman"/>
          <w:i/>
          <w:color w:val="000000" w:themeColor="text1"/>
          <w:sz w:val="20"/>
          <w:szCs w:val="20"/>
          <w:lang w:val="en-US"/>
        </w:rPr>
        <w:t xml:space="preserve"> der </w:t>
      </w:r>
      <w:proofErr w:type="spellStart"/>
      <w:r w:rsidRPr="009D7635">
        <w:rPr>
          <w:rFonts w:ascii="Times New Roman" w:hAnsi="Times New Roman" w:cs="Times New Roman"/>
          <w:i/>
          <w:color w:val="000000" w:themeColor="text1"/>
          <w:sz w:val="20"/>
          <w:szCs w:val="20"/>
          <w:lang w:val="en-US"/>
        </w:rPr>
        <w:t>Seele</w:t>
      </w:r>
      <w:proofErr w:type="spellEnd"/>
      <w:r w:rsidRPr="009D7635">
        <w:rPr>
          <w:rFonts w:ascii="Times New Roman" w:hAnsi="Times New Roman" w:cs="Times New Roman"/>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50. G. </w:t>
      </w:r>
      <w:proofErr w:type="spellStart"/>
      <w:r w:rsidRPr="009D7635">
        <w:rPr>
          <w:rFonts w:ascii="Times New Roman" w:hAnsi="Times New Roman" w:cs="Times New Roman"/>
          <w:color w:val="000000" w:themeColor="text1"/>
          <w:sz w:val="20"/>
          <w:szCs w:val="20"/>
          <w:lang w:val="en-US"/>
        </w:rPr>
        <w:t>Lefevre</w:t>
      </w:r>
      <w:proofErr w:type="spellEnd"/>
      <w:r w:rsidRPr="009D7635">
        <w:rPr>
          <w:rFonts w:ascii="Times New Roman" w:hAnsi="Times New Roman" w:cs="Times New Roman"/>
          <w:color w:val="000000" w:themeColor="text1"/>
          <w:sz w:val="20"/>
          <w:szCs w:val="20"/>
          <w:lang w:val="en-US"/>
        </w:rPr>
        <w:t>,</w:t>
      </w:r>
      <w:r w:rsidRPr="009D7635">
        <w:rPr>
          <w:rFonts w:ascii="Times New Roman" w:hAnsi="Times New Roman" w:cs="Times New Roman"/>
          <w:i/>
          <w:iCs/>
          <w:color w:val="000000" w:themeColor="text1"/>
          <w:sz w:val="20"/>
          <w:szCs w:val="20"/>
          <w:lang w:val="en-US"/>
        </w:rPr>
        <w:t xml:space="preserve"> Les variations de Guillaume de </w:t>
      </w:r>
      <w:proofErr w:type="spellStart"/>
      <w:r w:rsidRPr="009D7635">
        <w:rPr>
          <w:rFonts w:ascii="Times New Roman" w:hAnsi="Times New Roman" w:cs="Times New Roman"/>
          <w:i/>
          <w:iCs/>
          <w:color w:val="000000" w:themeColor="text1"/>
          <w:sz w:val="20"/>
          <w:szCs w:val="20"/>
          <w:lang w:val="en-US"/>
        </w:rPr>
        <w:t>Champeaux</w:t>
      </w:r>
      <w:proofErr w:type="spellEnd"/>
      <w:r w:rsidRPr="009D7635">
        <w:rPr>
          <w:rFonts w:ascii="Times New Roman" w:hAnsi="Times New Roman" w:cs="Times New Roman"/>
          <w:i/>
          <w:iCs/>
          <w:color w:val="000000" w:themeColor="text1"/>
          <w:sz w:val="20"/>
          <w:szCs w:val="20"/>
          <w:lang w:val="en-US"/>
        </w:rPr>
        <w:t xml:space="preserve"> et la question des </w:t>
      </w:r>
      <w:proofErr w:type="spellStart"/>
      <w:r w:rsidRPr="009D7635">
        <w:rPr>
          <w:rFonts w:ascii="Times New Roman" w:hAnsi="Times New Roman" w:cs="Times New Roman"/>
          <w:i/>
          <w:iCs/>
          <w:color w:val="000000" w:themeColor="text1"/>
          <w:sz w:val="20"/>
          <w:szCs w:val="20"/>
          <w:lang w:val="en-US"/>
        </w:rPr>
        <w:t>Universaux</w:t>
      </w:r>
      <w:proofErr w:type="spellEnd"/>
      <w:r w:rsidRPr="009D7635">
        <w:rPr>
          <w:rFonts w:ascii="Times New Roman" w:hAnsi="Times New Roman" w:cs="Times New Roman"/>
          <w:i/>
          <w:iCs/>
          <w:color w:val="000000" w:themeColor="text1"/>
          <w:sz w:val="20"/>
          <w:szCs w:val="20"/>
          <w:lang w:val="en-US"/>
        </w:rPr>
        <w:t xml:space="preserve">: Étude </w:t>
      </w:r>
      <w:proofErr w:type="spellStart"/>
      <w:r w:rsidRPr="009D7635">
        <w:rPr>
          <w:rFonts w:ascii="Times New Roman" w:hAnsi="Times New Roman" w:cs="Times New Roman"/>
          <w:i/>
          <w:iCs/>
          <w:color w:val="000000" w:themeColor="text1"/>
          <w:sz w:val="20"/>
          <w:szCs w:val="20"/>
          <w:lang w:val="en-US"/>
        </w:rPr>
        <w:t>suivie</w:t>
      </w:r>
      <w:proofErr w:type="spellEnd"/>
      <w:r w:rsidRPr="009D7635">
        <w:rPr>
          <w:rFonts w:ascii="Times New Roman" w:hAnsi="Times New Roman" w:cs="Times New Roman"/>
          <w:i/>
          <w:iCs/>
          <w:color w:val="000000" w:themeColor="text1"/>
          <w:sz w:val="20"/>
          <w:szCs w:val="20"/>
          <w:lang w:val="en-US"/>
        </w:rPr>
        <w:t xml:space="preserve"> de documents </w:t>
      </w:r>
      <w:proofErr w:type="spellStart"/>
      <w:r w:rsidRPr="009D7635">
        <w:rPr>
          <w:rFonts w:ascii="Times New Roman" w:hAnsi="Times New Roman" w:cs="Times New Roman"/>
          <w:i/>
          <w:iCs/>
          <w:color w:val="000000" w:themeColor="text1"/>
          <w:sz w:val="20"/>
          <w:szCs w:val="20"/>
          <w:lang w:val="en-US"/>
        </w:rPr>
        <w:t>originaux</w:t>
      </w:r>
      <w:proofErr w:type="spellEnd"/>
      <w:r w:rsidRPr="009D7635">
        <w:rPr>
          <w:rFonts w:ascii="Times New Roman" w:hAnsi="Times New Roman" w:cs="Times New Roman"/>
          <w:color w:val="000000" w:themeColor="text1"/>
          <w:sz w:val="20"/>
          <w:szCs w:val="20"/>
          <w:lang w:val="en-US"/>
        </w:rPr>
        <w:t xml:space="preserve"> (Lille: Université de Lille, 1898), 24: </w:t>
      </w:r>
      <w:proofErr w:type="spellStart"/>
      <w:r w:rsidRPr="009D7635">
        <w:rPr>
          <w:rFonts w:ascii="Times New Roman" w:hAnsi="Times New Roman" w:cs="Times New Roman"/>
          <w:i/>
          <w:color w:val="000000" w:themeColor="text1"/>
          <w:sz w:val="20"/>
          <w:szCs w:val="20"/>
          <w:lang w:val="en-US"/>
        </w:rPr>
        <w:t>Ponit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iterum</w:t>
      </w:r>
      <w:proofErr w:type="spellEnd"/>
      <w:r w:rsidRPr="009D7635">
        <w:rPr>
          <w:rFonts w:ascii="Times New Roman" w:hAnsi="Times New Roman" w:cs="Times New Roman"/>
          <w:i/>
          <w:color w:val="000000" w:themeColor="text1"/>
          <w:sz w:val="20"/>
          <w:szCs w:val="20"/>
          <w:lang w:val="en-US"/>
        </w:rPr>
        <w:t xml:space="preserve"> de anima et </w:t>
      </w:r>
      <w:proofErr w:type="spellStart"/>
      <w:r w:rsidRPr="009D7635">
        <w:rPr>
          <w:rFonts w:ascii="Times New Roman" w:hAnsi="Times New Roman" w:cs="Times New Roman"/>
          <w:i/>
          <w:color w:val="000000" w:themeColor="text1"/>
          <w:sz w:val="20"/>
          <w:szCs w:val="20"/>
          <w:lang w:val="en-US"/>
        </w:rPr>
        <w:t>ratione</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iterum</w:t>
      </w:r>
      <w:proofErr w:type="spellEnd"/>
      <w:r w:rsidRPr="009D7635">
        <w:rPr>
          <w:rFonts w:ascii="Times New Roman" w:hAnsi="Times New Roman" w:cs="Times New Roman"/>
          <w:i/>
          <w:color w:val="000000" w:themeColor="text1"/>
          <w:sz w:val="20"/>
          <w:szCs w:val="20"/>
          <w:lang w:val="en-US"/>
        </w:rPr>
        <w:t xml:space="preserve"> ratio, </w:t>
      </w:r>
      <w:proofErr w:type="spellStart"/>
      <w:r w:rsidRPr="009D7635">
        <w:rPr>
          <w:rFonts w:ascii="Times New Roman" w:hAnsi="Times New Roman" w:cs="Times New Roman"/>
          <w:i/>
          <w:color w:val="000000" w:themeColor="text1"/>
          <w:sz w:val="20"/>
          <w:szCs w:val="20"/>
          <w:lang w:val="en-US"/>
        </w:rPr>
        <w:t>licet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sit </w:t>
      </w:r>
      <w:proofErr w:type="spellStart"/>
      <w:r w:rsidRPr="009D7635">
        <w:rPr>
          <w:rFonts w:ascii="Times New Roman" w:hAnsi="Times New Roman" w:cs="Times New Roman"/>
          <w:i/>
          <w:color w:val="000000" w:themeColor="text1"/>
          <w:sz w:val="20"/>
          <w:szCs w:val="20"/>
          <w:lang w:val="en-US"/>
        </w:rPr>
        <w:t>animae</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tamen</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eiusdem</w:t>
      </w:r>
      <w:proofErr w:type="spellEnd"/>
      <w:r w:rsidRPr="009D7635">
        <w:rPr>
          <w:rFonts w:ascii="Times New Roman" w:hAnsi="Times New Roman" w:cs="Times New Roman"/>
          <w:i/>
          <w:color w:val="000000" w:themeColor="text1"/>
          <w:sz w:val="20"/>
          <w:szCs w:val="20"/>
          <w:lang w:val="en-US"/>
        </w:rPr>
        <w:t xml:space="preserve"> cum anima </w:t>
      </w:r>
      <w:proofErr w:type="spellStart"/>
      <w:r w:rsidRPr="009D7635">
        <w:rPr>
          <w:rFonts w:ascii="Times New Roman" w:hAnsi="Times New Roman" w:cs="Times New Roman"/>
          <w:i/>
          <w:color w:val="000000" w:themeColor="text1"/>
          <w:sz w:val="20"/>
          <w:szCs w:val="20"/>
          <w:lang w:val="en-US"/>
        </w:rPr>
        <w:t>substantiae</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eius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inseparabilis</w:t>
      </w:r>
      <w:proofErr w:type="spellEnd"/>
      <w:r w:rsidRPr="009D7635">
        <w:rPr>
          <w:rFonts w:ascii="Times New Roman" w:hAnsi="Times New Roman" w:cs="Times New Roman"/>
          <w:i/>
          <w:color w:val="000000" w:themeColor="text1"/>
          <w:sz w:val="20"/>
          <w:szCs w:val="20"/>
          <w:lang w:val="en-US"/>
        </w:rPr>
        <w:t xml:space="preserve"> forma. Nam quod in </w:t>
      </w:r>
      <w:proofErr w:type="spellStart"/>
      <w:r w:rsidRPr="009D7635">
        <w:rPr>
          <w:rFonts w:ascii="Times New Roman" w:hAnsi="Times New Roman" w:cs="Times New Roman"/>
          <w:i/>
          <w:color w:val="000000" w:themeColor="text1"/>
          <w:sz w:val="20"/>
          <w:szCs w:val="20"/>
          <w:lang w:val="en-US"/>
        </w:rPr>
        <w:t>praedictis</w:t>
      </w:r>
      <w:proofErr w:type="spellEnd"/>
      <w:r w:rsidRPr="009D7635">
        <w:rPr>
          <w:rFonts w:ascii="Times New Roman" w:hAnsi="Times New Roman" w:cs="Times New Roman"/>
          <w:i/>
          <w:color w:val="000000" w:themeColor="text1"/>
          <w:sz w:val="20"/>
          <w:szCs w:val="20"/>
          <w:lang w:val="en-US"/>
        </w:rPr>
        <w:t xml:space="preserve"> ratio et anima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anima, </w:t>
      </w:r>
      <w:proofErr w:type="spellStart"/>
      <w:r w:rsidRPr="009D7635">
        <w:rPr>
          <w:rFonts w:ascii="Times New Roman" w:hAnsi="Times New Roman" w:cs="Times New Roman"/>
          <w:i/>
          <w:color w:val="000000" w:themeColor="text1"/>
          <w:sz w:val="20"/>
          <w:szCs w:val="20"/>
          <w:lang w:val="en-US"/>
        </w:rPr>
        <w:t>convenienter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dicamus</w:t>
      </w:r>
      <w:proofErr w:type="spellEnd"/>
      <w:r w:rsidRPr="009D7635">
        <w:rPr>
          <w:rFonts w:ascii="Times New Roman" w:hAnsi="Times New Roman" w:cs="Times New Roman"/>
          <w:i/>
          <w:color w:val="000000" w:themeColor="text1"/>
          <w:sz w:val="20"/>
          <w:szCs w:val="20"/>
          <w:lang w:val="en-US"/>
        </w:rPr>
        <w:t xml:space="preserve"> simul et </w:t>
      </w:r>
      <w:proofErr w:type="spellStart"/>
      <w:r w:rsidRPr="009D7635">
        <w:rPr>
          <w:rFonts w:ascii="Times New Roman" w:hAnsi="Times New Roman" w:cs="Times New Roman"/>
          <w:i/>
          <w:color w:val="000000" w:themeColor="text1"/>
          <w:sz w:val="20"/>
          <w:szCs w:val="20"/>
          <w:lang w:val="en-US"/>
        </w:rPr>
        <w:t>inseparabiliter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inhaerere</w:t>
      </w:r>
      <w:proofErr w:type="spellEnd"/>
      <w:r w:rsidRPr="009D7635">
        <w:rPr>
          <w:rFonts w:ascii="Times New Roman" w:hAnsi="Times New Roman" w:cs="Times New Roman"/>
          <w:i/>
          <w:color w:val="000000" w:themeColor="text1"/>
          <w:sz w:val="20"/>
          <w:szCs w:val="20"/>
          <w:lang w:val="en-US"/>
        </w:rPr>
        <w:t xml:space="preserve"> et non idem </w:t>
      </w:r>
      <w:proofErr w:type="spellStart"/>
      <w:r w:rsidRPr="009D7635">
        <w:rPr>
          <w:rFonts w:ascii="Times New Roman" w:hAnsi="Times New Roman" w:cs="Times New Roman"/>
          <w:i/>
          <w:color w:val="000000" w:themeColor="text1"/>
          <w:sz w:val="20"/>
          <w:szCs w:val="20"/>
          <w:lang w:val="en-US"/>
        </w:rPr>
        <w:t>etiam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w:t>
      </w:r>
    </w:p>
  </w:footnote>
  <w:footnote w:id="549">
    <w:p w14:paraId="54C36769" w14:textId="77777777" w:rsidR="00B93ED5" w:rsidRPr="009D7635" w:rsidRDefault="00B93ED5" w:rsidP="004C1CD7">
      <w:pPr>
        <w:pStyle w:val="FootnoteText"/>
        <w:rPr>
          <w:rFonts w:ascii="Times New Roman" w:hAnsi="Times New Roman" w:cs="Times New Roman"/>
          <w:color w:val="000000" w:themeColor="text1"/>
          <w:lang w:val="en-US"/>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P. </w:t>
      </w:r>
      <w:proofErr w:type="spellStart"/>
      <w:r w:rsidRPr="009D7635">
        <w:rPr>
          <w:rFonts w:ascii="Times New Roman" w:hAnsi="Times New Roman" w:cs="Times New Roman"/>
          <w:color w:val="000000" w:themeColor="text1"/>
          <w:lang w:val="en-US"/>
        </w:rPr>
        <w:t>Künzle</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i/>
          <w:color w:val="000000" w:themeColor="text1"/>
          <w:lang w:val="en-US"/>
        </w:rPr>
        <w:t xml:space="preserve">Das </w:t>
      </w:r>
      <w:proofErr w:type="spellStart"/>
      <w:r w:rsidRPr="009D7635">
        <w:rPr>
          <w:rFonts w:ascii="Times New Roman" w:hAnsi="Times New Roman" w:cs="Times New Roman"/>
          <w:i/>
          <w:color w:val="000000" w:themeColor="text1"/>
          <w:lang w:val="en-US"/>
        </w:rPr>
        <w:t>Verhältnis</w:t>
      </w:r>
      <w:proofErr w:type="spellEnd"/>
      <w:r w:rsidRPr="009D7635">
        <w:rPr>
          <w:rFonts w:ascii="Times New Roman" w:hAnsi="Times New Roman" w:cs="Times New Roman"/>
          <w:i/>
          <w:color w:val="000000" w:themeColor="text1"/>
          <w:lang w:val="en-US"/>
        </w:rPr>
        <w:t xml:space="preserve"> der </w:t>
      </w:r>
      <w:proofErr w:type="spellStart"/>
      <w:r w:rsidRPr="009D7635">
        <w:rPr>
          <w:rFonts w:ascii="Times New Roman" w:hAnsi="Times New Roman" w:cs="Times New Roman"/>
          <w:i/>
          <w:color w:val="000000" w:themeColor="text1"/>
          <w:lang w:val="en-US"/>
        </w:rPr>
        <w:t>Seele</w:t>
      </w:r>
      <w:proofErr w:type="spellEnd"/>
      <w:r w:rsidRPr="009D7635">
        <w:rPr>
          <w:rFonts w:ascii="Times New Roman" w:hAnsi="Times New Roman" w:cs="Times New Roman"/>
          <w:iCs/>
          <w:color w:val="000000" w:themeColor="text1"/>
          <w:lang w:val="en-US"/>
        </w:rPr>
        <w:t>,</w:t>
      </w:r>
      <w:r w:rsidRPr="009D7635">
        <w:rPr>
          <w:rFonts w:ascii="Times New Roman" w:hAnsi="Times New Roman" w:cs="Times New Roman"/>
          <w:i/>
          <w:color w:val="000000" w:themeColor="text1"/>
          <w:lang w:val="en-US"/>
        </w:rPr>
        <w:t xml:space="preserve"> </w:t>
      </w:r>
      <w:r w:rsidRPr="009D7635">
        <w:rPr>
          <w:rFonts w:ascii="Times New Roman" w:hAnsi="Times New Roman" w:cs="Times New Roman"/>
          <w:color w:val="000000" w:themeColor="text1"/>
          <w:lang w:val="en-US"/>
        </w:rPr>
        <w:t xml:space="preserve">100-1. Avicenna, </w:t>
      </w:r>
      <w:r w:rsidRPr="009D7635">
        <w:rPr>
          <w:rFonts w:ascii="Times New Roman" w:hAnsi="Times New Roman" w:cs="Times New Roman"/>
          <w:i/>
          <w:color w:val="000000" w:themeColor="text1"/>
          <w:lang w:val="en-US"/>
        </w:rPr>
        <w:t xml:space="preserve">De anima </w:t>
      </w:r>
      <w:r w:rsidRPr="009D7635">
        <w:rPr>
          <w:rFonts w:ascii="Times New Roman" w:hAnsi="Times New Roman" w:cs="Times New Roman"/>
          <w:color w:val="000000" w:themeColor="text1"/>
          <w:lang w:val="en-US"/>
        </w:rPr>
        <w:t>I.5.</w:t>
      </w:r>
    </w:p>
  </w:footnote>
  <w:footnote w:id="550">
    <w:p w14:paraId="67630674"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100-6.</w:t>
      </w:r>
    </w:p>
  </w:footnote>
  <w:footnote w:id="551">
    <w:p w14:paraId="5CFB6BC7" w14:textId="723B8DEE"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D438F" w:rsidRPr="009D7635">
        <w:rPr>
          <w:rFonts w:ascii="Times New Roman" w:hAnsi="Times New Roman" w:cs="Times New Roman"/>
          <w:color w:val="000000" w:themeColor="text1"/>
        </w:rPr>
        <w:t>Ibid.,</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107-12.</w:t>
      </w:r>
    </w:p>
  </w:footnote>
  <w:footnote w:id="552">
    <w:p w14:paraId="346290C1" w14:textId="2BA3DD12"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D438F" w:rsidRPr="009D7635">
        <w:rPr>
          <w:rFonts w:ascii="Times New Roman" w:hAnsi="Times New Roman" w:cs="Times New Roman"/>
          <w:color w:val="000000" w:themeColor="text1"/>
        </w:rPr>
        <w:t>Ibid.,</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102-6 and 103, which refers referring to Hugh of St Cher’s </w:t>
      </w:r>
      <w:r w:rsidRPr="009D7635">
        <w:rPr>
          <w:rFonts w:ascii="Times New Roman" w:hAnsi="Times New Roman" w:cs="Times New Roman"/>
          <w:i/>
          <w:color w:val="000000" w:themeColor="text1"/>
        </w:rPr>
        <w:t xml:space="preserve">Sentences Commentary, </w:t>
      </w:r>
      <w:proofErr w:type="spellStart"/>
      <w:r w:rsidRPr="009D7635">
        <w:rPr>
          <w:rFonts w:ascii="Times New Roman" w:hAnsi="Times New Roman" w:cs="Times New Roman"/>
          <w:color w:val="000000" w:themeColor="text1"/>
        </w:rPr>
        <w:t>bk</w:t>
      </w:r>
      <w:proofErr w:type="spellEnd"/>
      <w:r w:rsidRPr="009D7635">
        <w:rPr>
          <w:rFonts w:ascii="Times New Roman" w:hAnsi="Times New Roman" w:cs="Times New Roman"/>
          <w:color w:val="000000" w:themeColor="text1"/>
        </w:rPr>
        <w:t xml:space="preserve"> 1, d3, 2; see the edition within her book at pages 189-90. This shows that Hugh believed the soul was identical with memory, understanding and will, not with the vegetative and sense powers.</w:t>
      </w:r>
    </w:p>
  </w:footnote>
  <w:footnote w:id="553">
    <w:p w14:paraId="4457FF53"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‘The Powers of the Soul in the Anthropology of Hugh of St Cher,’ 161.</w:t>
      </w:r>
    </w:p>
  </w:footnote>
  <w:footnote w:id="554">
    <w:p w14:paraId="7EEAEA5E"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105.</w:t>
      </w:r>
    </w:p>
  </w:footnote>
  <w:footnote w:id="555">
    <w:p w14:paraId="6BC570B8" w14:textId="555600C1" w:rsidR="00AA5402" w:rsidRPr="009D7635" w:rsidRDefault="00AA5402">
      <w:pPr>
        <w:pStyle w:val="FootnoteText"/>
        <w:rPr>
          <w:rFonts w:ascii="Times New Roman" w:hAnsi="Times New Roman" w:cs="Times New Roman"/>
          <w:iCs/>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lang w:val="en-US"/>
        </w:rPr>
        <w:t>Guerric</w:t>
      </w:r>
      <w:proofErr w:type="spellEnd"/>
      <w:r w:rsidRPr="009D7635">
        <w:rPr>
          <w:rFonts w:ascii="Times New Roman" w:hAnsi="Times New Roman" w:cs="Times New Roman"/>
          <w:color w:val="000000" w:themeColor="text1"/>
          <w:lang w:val="en-US"/>
        </w:rPr>
        <w:t xml:space="preserve"> of Saint-Quentin, </w:t>
      </w:r>
      <w:proofErr w:type="spellStart"/>
      <w:r w:rsidRPr="009D7635">
        <w:rPr>
          <w:rFonts w:ascii="Times New Roman" w:hAnsi="Times New Roman" w:cs="Times New Roman"/>
          <w:i/>
          <w:color w:val="000000" w:themeColor="text1"/>
          <w:lang w:val="en-US"/>
        </w:rPr>
        <w:t>Quaestiones</w:t>
      </w:r>
      <w:proofErr w:type="spellEnd"/>
      <w:r w:rsidRPr="009D7635">
        <w:rPr>
          <w:rFonts w:ascii="Times New Roman" w:hAnsi="Times New Roman" w:cs="Times New Roman"/>
          <w:i/>
          <w:color w:val="000000" w:themeColor="text1"/>
          <w:lang w:val="en-US"/>
        </w:rPr>
        <w:t xml:space="preserve"> de </w:t>
      </w:r>
      <w:r w:rsidR="00797700" w:rsidRPr="009D7635">
        <w:rPr>
          <w:rFonts w:ascii="Times New Roman" w:hAnsi="Times New Roman" w:cs="Times New Roman"/>
          <w:i/>
          <w:color w:val="000000" w:themeColor="text1"/>
          <w:lang w:val="en-US"/>
        </w:rPr>
        <w:t>quodlibet</w:t>
      </w:r>
      <w:r w:rsidRPr="009D7635">
        <w:rPr>
          <w:rFonts w:ascii="Times New Roman" w:hAnsi="Times New Roman" w:cs="Times New Roman"/>
          <w:i/>
          <w:color w:val="000000" w:themeColor="text1"/>
          <w:lang w:val="en-US"/>
        </w:rPr>
        <w:t xml:space="preserve">, </w:t>
      </w:r>
      <w:r w:rsidRPr="009D7635">
        <w:rPr>
          <w:rFonts w:ascii="Times New Roman" w:hAnsi="Times New Roman" w:cs="Times New Roman"/>
          <w:iCs/>
          <w:color w:val="000000" w:themeColor="text1"/>
          <w:lang w:val="en-US"/>
        </w:rPr>
        <w:t xml:space="preserve">Quodlibet 9, </w:t>
      </w:r>
      <w:r w:rsidR="00AF6214" w:rsidRPr="009D7635">
        <w:rPr>
          <w:rFonts w:ascii="Times New Roman" w:hAnsi="Times New Roman" w:cs="Times New Roman"/>
          <w:iCs/>
          <w:color w:val="000000" w:themeColor="text1"/>
          <w:lang w:val="en-US"/>
        </w:rPr>
        <w:t>A</w:t>
      </w:r>
      <w:r w:rsidRPr="009D7635">
        <w:rPr>
          <w:rFonts w:ascii="Times New Roman" w:hAnsi="Times New Roman" w:cs="Times New Roman"/>
          <w:iCs/>
          <w:color w:val="000000" w:themeColor="text1"/>
          <w:lang w:val="en-US"/>
        </w:rPr>
        <w:t xml:space="preserve">rticle 5, </w:t>
      </w:r>
      <w:proofErr w:type="spellStart"/>
      <w:r w:rsidRPr="009D7635">
        <w:rPr>
          <w:rFonts w:ascii="Times New Roman" w:hAnsi="Times New Roman" w:cs="Times New Roman"/>
          <w:iCs/>
          <w:color w:val="000000" w:themeColor="text1"/>
          <w:lang w:val="en-US"/>
        </w:rPr>
        <w:t>Solutio</w:t>
      </w:r>
      <w:proofErr w:type="spellEnd"/>
      <w:r w:rsidRPr="009D7635">
        <w:rPr>
          <w:rFonts w:ascii="Times New Roman" w:hAnsi="Times New Roman" w:cs="Times New Roman"/>
          <w:iCs/>
          <w:color w:val="000000" w:themeColor="text1"/>
          <w:lang w:val="en-US"/>
        </w:rPr>
        <w:t>, 390.</w:t>
      </w:r>
    </w:p>
  </w:footnote>
  <w:footnote w:id="556">
    <w:p w14:paraId="2121AC35" w14:textId="0171E4FA"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00C1185E" w:rsidRPr="009D7635">
        <w:rPr>
          <w:rFonts w:ascii="Times New Roman" w:hAnsi="Times New Roman" w:cs="Times New Roman"/>
          <w:i/>
          <w:color w:val="000000" w:themeColor="text1"/>
        </w:rPr>
        <w:t>Summae</w:t>
      </w:r>
      <w:proofErr w:type="spellEnd"/>
      <w:r w:rsidR="00C1185E" w:rsidRPr="009D7635">
        <w:rPr>
          <w:rFonts w:ascii="Times New Roman" w:hAnsi="Times New Roman" w:cs="Times New Roman"/>
          <w:i/>
          <w:color w:val="000000" w:themeColor="text1"/>
        </w:rPr>
        <w:t xml:space="preserve"> </w:t>
      </w:r>
      <w:proofErr w:type="spellStart"/>
      <w:r w:rsidR="00C1185E" w:rsidRPr="009D7635">
        <w:rPr>
          <w:rFonts w:ascii="Times New Roman" w:hAnsi="Times New Roman" w:cs="Times New Roman"/>
          <w:i/>
          <w:color w:val="000000" w:themeColor="text1"/>
        </w:rPr>
        <w:t>Magistri</w:t>
      </w:r>
      <w:proofErr w:type="spellEnd"/>
      <w:r w:rsidR="00C1185E" w:rsidRPr="009D7635">
        <w:rPr>
          <w:rFonts w:ascii="Times New Roman" w:hAnsi="Times New Roman" w:cs="Times New Roman"/>
          <w:i/>
          <w:color w:val="000000" w:themeColor="text1"/>
        </w:rPr>
        <w:t xml:space="preserve"> </w:t>
      </w:r>
      <w:proofErr w:type="spellStart"/>
      <w:r w:rsidR="00C1185E" w:rsidRPr="009D7635">
        <w:rPr>
          <w:rFonts w:ascii="Times New Roman" w:hAnsi="Times New Roman" w:cs="Times New Roman"/>
          <w:i/>
          <w:color w:val="000000" w:themeColor="text1"/>
        </w:rPr>
        <w:t>Rolandi</w:t>
      </w:r>
      <w:proofErr w:type="spellEnd"/>
      <w:r w:rsidR="00C1185E" w:rsidRPr="009D7635">
        <w:rPr>
          <w:rFonts w:ascii="Times New Roman" w:hAnsi="Times New Roman" w:cs="Times New Roman"/>
          <w:i/>
          <w:color w:val="000000" w:themeColor="text1"/>
        </w:rPr>
        <w:t xml:space="preserve"> </w:t>
      </w:r>
      <w:proofErr w:type="spellStart"/>
      <w:r w:rsidR="00C1185E" w:rsidRPr="009D7635">
        <w:rPr>
          <w:rFonts w:ascii="Times New Roman" w:hAnsi="Times New Roman" w:cs="Times New Roman"/>
          <w:i/>
          <w:color w:val="000000" w:themeColor="text1"/>
        </w:rPr>
        <w:t>Cremonensis</w:t>
      </w:r>
      <w:proofErr w:type="spellEnd"/>
      <w:r w:rsidR="00C1185E" w:rsidRPr="009D7635">
        <w:rPr>
          <w:rFonts w:ascii="Times New Roman" w:hAnsi="Times New Roman" w:cs="Times New Roman"/>
          <w:i/>
          <w:color w:val="000000" w:themeColor="text1"/>
        </w:rPr>
        <w:t xml:space="preserve">, O.P., Liber </w:t>
      </w:r>
      <w:proofErr w:type="spellStart"/>
      <w:r w:rsidR="00C1185E" w:rsidRPr="009D7635">
        <w:rPr>
          <w:rFonts w:ascii="Times New Roman" w:hAnsi="Times New Roman" w:cs="Times New Roman"/>
          <w:i/>
          <w:color w:val="000000" w:themeColor="text1"/>
        </w:rPr>
        <w:t>Secundus</w:t>
      </w:r>
      <w:proofErr w:type="spellEnd"/>
      <w:r w:rsidR="00C1185E" w:rsidRPr="009D7635">
        <w:rPr>
          <w:rFonts w:ascii="Times New Roman" w:hAnsi="Times New Roman" w:cs="Times New Roman"/>
          <w:i/>
          <w:color w:val="000000" w:themeColor="text1"/>
        </w:rPr>
        <w:t xml:space="preserve">, </w:t>
      </w:r>
      <w:r w:rsidR="00C1185E" w:rsidRPr="009D7635">
        <w:rPr>
          <w:rFonts w:ascii="Times New Roman" w:hAnsi="Times New Roman" w:cs="Times New Roman"/>
          <w:color w:val="000000" w:themeColor="text1"/>
        </w:rPr>
        <w:t xml:space="preserve">ed. </w:t>
      </w:r>
      <w:proofErr w:type="spellStart"/>
      <w:r w:rsidR="00C1185E" w:rsidRPr="009D7635">
        <w:rPr>
          <w:rFonts w:ascii="Times New Roman" w:hAnsi="Times New Roman" w:cs="Times New Roman"/>
          <w:color w:val="000000" w:themeColor="text1"/>
        </w:rPr>
        <w:t>Aloysio</w:t>
      </w:r>
      <w:proofErr w:type="spellEnd"/>
      <w:r w:rsidR="00C1185E" w:rsidRPr="009D7635">
        <w:rPr>
          <w:rFonts w:ascii="Times New Roman" w:hAnsi="Times New Roman" w:cs="Times New Roman"/>
          <w:color w:val="000000" w:themeColor="text1"/>
        </w:rPr>
        <w:t xml:space="preserve"> </w:t>
      </w:r>
      <w:proofErr w:type="spellStart"/>
      <w:r w:rsidR="00C1185E" w:rsidRPr="009D7635">
        <w:rPr>
          <w:rFonts w:ascii="Times New Roman" w:hAnsi="Times New Roman" w:cs="Times New Roman"/>
          <w:color w:val="000000" w:themeColor="text1"/>
        </w:rPr>
        <w:t>Cortesi</w:t>
      </w:r>
      <w:proofErr w:type="spellEnd"/>
      <w:r w:rsidR="00C1185E" w:rsidRPr="009D7635">
        <w:rPr>
          <w:rFonts w:ascii="Times New Roman" w:hAnsi="Times New Roman" w:cs="Times New Roman"/>
          <w:color w:val="000000" w:themeColor="text1"/>
        </w:rPr>
        <w:t xml:space="preserve"> (Bergamo: Umberto </w:t>
      </w:r>
      <w:proofErr w:type="spellStart"/>
      <w:r w:rsidR="00C1185E" w:rsidRPr="009D7635">
        <w:rPr>
          <w:rFonts w:ascii="Times New Roman" w:hAnsi="Times New Roman" w:cs="Times New Roman"/>
          <w:color w:val="000000" w:themeColor="text1"/>
        </w:rPr>
        <w:t>Midali</w:t>
      </w:r>
      <w:proofErr w:type="spellEnd"/>
      <w:r w:rsidR="00C1185E" w:rsidRPr="009D7635">
        <w:rPr>
          <w:rFonts w:ascii="Times New Roman" w:hAnsi="Times New Roman" w:cs="Times New Roman"/>
          <w:color w:val="000000" w:themeColor="text1"/>
        </w:rPr>
        <w:t>, 2016), Ch 114</w:t>
      </w:r>
      <w:r w:rsidR="00E43E2F" w:rsidRPr="009D7635">
        <w:rPr>
          <w:rFonts w:ascii="Times New Roman" w:hAnsi="Times New Roman" w:cs="Times New Roman"/>
          <w:color w:val="000000" w:themeColor="text1"/>
        </w:rPr>
        <w:t>.7</w:t>
      </w:r>
      <w:r w:rsidR="00C1185E" w:rsidRPr="009D7635">
        <w:rPr>
          <w:rFonts w:ascii="Times New Roman" w:hAnsi="Times New Roman" w:cs="Times New Roman"/>
          <w:color w:val="000000" w:themeColor="text1"/>
        </w:rPr>
        <w:t xml:space="preserve">, </w:t>
      </w:r>
      <w:r w:rsidR="00E43E2F" w:rsidRPr="009D7635">
        <w:rPr>
          <w:rFonts w:ascii="Times New Roman" w:hAnsi="Times New Roman" w:cs="Times New Roman"/>
          <w:color w:val="000000" w:themeColor="text1"/>
        </w:rPr>
        <w:t>163</w:t>
      </w:r>
      <w:r w:rsidR="00763B5E" w:rsidRPr="009D7635">
        <w:rPr>
          <w:rFonts w:ascii="Times New Roman" w:hAnsi="Times New Roman" w:cs="Times New Roman"/>
          <w:color w:val="000000" w:themeColor="text1"/>
        </w:rPr>
        <w:t>.</w:t>
      </w:r>
      <w:r w:rsidR="00E562E5"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C.R. Hess, ‘Roland of Cremona’s Place in the Current of Thought,’</w:t>
      </w:r>
      <w:r w:rsidRPr="009D7635">
        <w:rPr>
          <w:rFonts w:ascii="Times New Roman" w:hAnsi="Times New Roman" w:cs="Times New Roman"/>
          <w:color w:val="000000" w:themeColor="text1"/>
        </w:rPr>
        <w:t xml:space="preserve"> 440. </w:t>
      </w:r>
    </w:p>
  </w:footnote>
  <w:footnote w:id="557">
    <w:p w14:paraId="23D83556" w14:textId="6BE30BA8"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Ernest A. Moody, ‘William of Auvergne and His Treatise </w:t>
      </w:r>
      <w:r w:rsidRPr="009D7635">
        <w:rPr>
          <w:rFonts w:ascii="Times New Roman" w:hAnsi="Times New Roman" w:cs="Times New Roman"/>
          <w:i/>
          <w:iCs/>
          <w:color w:val="000000" w:themeColor="text1"/>
          <w:lang w:val="en-US"/>
        </w:rPr>
        <w:t>De anima</w:t>
      </w:r>
      <w:r w:rsidRPr="009D7635">
        <w:rPr>
          <w:rFonts w:ascii="Times New Roman" w:hAnsi="Times New Roman" w:cs="Times New Roman"/>
          <w:color w:val="000000" w:themeColor="text1"/>
          <w:lang w:val="en-US"/>
        </w:rPr>
        <w:t>,’</w:t>
      </w:r>
      <w:r w:rsidRPr="009D7635">
        <w:rPr>
          <w:rFonts w:ascii="Times New Roman" w:hAnsi="Times New Roman" w:cs="Times New Roman"/>
          <w:color w:val="000000" w:themeColor="text1"/>
        </w:rPr>
        <w:t xml:space="preserve"> 28-9; William of Auvergne, </w:t>
      </w:r>
      <w:r w:rsidRPr="009D7635">
        <w:rPr>
          <w:rFonts w:ascii="Times New Roman" w:hAnsi="Times New Roman" w:cs="Times New Roman"/>
          <w:i/>
          <w:color w:val="000000" w:themeColor="text1"/>
        </w:rPr>
        <w:t>The Soul</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trans.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116-17.</w:t>
      </w:r>
    </w:p>
  </w:footnote>
  <w:footnote w:id="558">
    <w:p w14:paraId="3642437B" w14:textId="432CE685" w:rsidR="00166B90" w:rsidRPr="009D7635" w:rsidRDefault="00166B90">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On Alexander’s position, see also Rega Wood and Zita Toth, </w:t>
      </w:r>
      <w:r w:rsidR="00DB3AE4" w:rsidRPr="009D7635">
        <w:rPr>
          <w:rFonts w:ascii="Times New Roman" w:hAnsi="Times New Roman" w:cs="Times New Roman"/>
          <w:color w:val="000000" w:themeColor="text1"/>
        </w:rPr>
        <w:t>‘</w:t>
      </w:r>
      <w:proofErr w:type="spellStart"/>
      <w:r w:rsidR="00DB3AE4" w:rsidRPr="009D7635">
        <w:rPr>
          <w:rFonts w:ascii="Times New Roman" w:hAnsi="Times New Roman" w:cs="Times New Roman"/>
          <w:i/>
          <w:iCs/>
          <w:color w:val="000000" w:themeColor="text1"/>
        </w:rPr>
        <w:t>Nec</w:t>
      </w:r>
      <w:proofErr w:type="spellEnd"/>
      <w:r w:rsidR="00DB3AE4" w:rsidRPr="009D7635">
        <w:rPr>
          <w:rFonts w:ascii="Times New Roman" w:hAnsi="Times New Roman" w:cs="Times New Roman"/>
          <w:i/>
          <w:iCs/>
          <w:color w:val="000000" w:themeColor="text1"/>
        </w:rPr>
        <w:t xml:space="preserve"> idem </w:t>
      </w:r>
      <w:proofErr w:type="spellStart"/>
      <w:r w:rsidR="00DB3AE4" w:rsidRPr="009D7635">
        <w:rPr>
          <w:rFonts w:ascii="Times New Roman" w:hAnsi="Times New Roman" w:cs="Times New Roman"/>
          <w:i/>
          <w:iCs/>
          <w:color w:val="000000" w:themeColor="text1"/>
        </w:rPr>
        <w:t>nec</w:t>
      </w:r>
      <w:proofErr w:type="spellEnd"/>
      <w:r w:rsidR="00DB3AE4" w:rsidRPr="009D7635">
        <w:rPr>
          <w:rFonts w:ascii="Times New Roman" w:hAnsi="Times New Roman" w:cs="Times New Roman"/>
          <w:i/>
          <w:iCs/>
          <w:color w:val="000000" w:themeColor="text1"/>
        </w:rPr>
        <w:t xml:space="preserve"> </w:t>
      </w:r>
      <w:proofErr w:type="spellStart"/>
      <w:r w:rsidR="00DB3AE4" w:rsidRPr="009D7635">
        <w:rPr>
          <w:rFonts w:ascii="Times New Roman" w:hAnsi="Times New Roman" w:cs="Times New Roman"/>
          <w:i/>
          <w:iCs/>
          <w:color w:val="000000" w:themeColor="text1"/>
        </w:rPr>
        <w:t>aliud</w:t>
      </w:r>
      <w:proofErr w:type="spellEnd"/>
      <w:r w:rsidR="00DB3AE4" w:rsidRPr="009D7635">
        <w:rPr>
          <w:rFonts w:ascii="Times New Roman" w:hAnsi="Times New Roman" w:cs="Times New Roman"/>
          <w:i/>
          <w:iCs/>
          <w:color w:val="000000" w:themeColor="text1"/>
        </w:rPr>
        <w:t xml:space="preserve">: </w:t>
      </w:r>
      <w:r w:rsidR="00DB3AE4" w:rsidRPr="009D7635">
        <w:rPr>
          <w:rFonts w:ascii="Times New Roman" w:hAnsi="Times New Roman" w:cs="Times New Roman"/>
          <w:color w:val="000000" w:themeColor="text1"/>
        </w:rPr>
        <w:t xml:space="preserve">The Powers of the Soul and the Origins of the Formal Distinction,’ in </w:t>
      </w:r>
      <w:r w:rsidR="00DB3AE4" w:rsidRPr="009D7635">
        <w:rPr>
          <w:rFonts w:ascii="Times New Roman" w:hAnsi="Times New Roman" w:cs="Times New Roman"/>
          <w:i/>
          <w:iCs/>
          <w:color w:val="000000" w:themeColor="text1"/>
        </w:rPr>
        <w:t xml:space="preserve">Early Thirteenth-Century English Franciscan Thought, </w:t>
      </w:r>
      <w:r w:rsidR="00DB3AE4" w:rsidRPr="009D7635">
        <w:rPr>
          <w:rFonts w:ascii="Times New Roman" w:hAnsi="Times New Roman" w:cs="Times New Roman"/>
          <w:color w:val="000000" w:themeColor="text1"/>
        </w:rPr>
        <w:t>ed. Lydia Schumacher (Berlin: De Gruyter, 2021), 171-97.</w:t>
      </w:r>
    </w:p>
  </w:footnote>
  <w:footnote w:id="559">
    <w:p w14:paraId="74999ED6" w14:textId="2B920E45" w:rsidR="00B93ED5" w:rsidRPr="009D7635" w:rsidRDefault="00B93ED5" w:rsidP="004C1CD7">
      <w:pPr>
        <w:widowControl w:val="0"/>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Alexander of Hales,</w:t>
      </w:r>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Magistri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Alexandri</w:t>
      </w:r>
      <w:proofErr w:type="spellEnd"/>
      <w:r w:rsidRPr="009D7635">
        <w:rPr>
          <w:rFonts w:ascii="Times New Roman" w:hAnsi="Times New Roman" w:cs="Times New Roman"/>
          <w:i/>
          <w:color w:val="000000" w:themeColor="text1"/>
          <w:sz w:val="20"/>
          <w:szCs w:val="20"/>
          <w:lang w:val="en-US"/>
        </w:rPr>
        <w:t xml:space="preserve"> de Hales Glossa in </w:t>
      </w:r>
      <w:proofErr w:type="spellStart"/>
      <w:r w:rsidRPr="009D7635">
        <w:rPr>
          <w:rFonts w:ascii="Times New Roman" w:hAnsi="Times New Roman" w:cs="Times New Roman"/>
          <w:i/>
          <w:color w:val="000000" w:themeColor="text1"/>
          <w:sz w:val="20"/>
          <w:szCs w:val="20"/>
          <w:lang w:val="en-US"/>
        </w:rPr>
        <w:t>quatuor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libros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Sententiarum</w:t>
      </w:r>
      <w:proofErr w:type="spellEnd"/>
      <w:r w:rsidRPr="009D7635">
        <w:rPr>
          <w:rFonts w:ascii="Times New Roman" w:hAnsi="Times New Roman" w:cs="Times New Roman"/>
          <w:i/>
          <w:color w:val="000000" w:themeColor="text1"/>
          <w:sz w:val="20"/>
          <w:szCs w:val="20"/>
          <w:lang w:val="en-US"/>
        </w:rPr>
        <w:t xml:space="preserve"> Petri Lombardi</w:t>
      </w:r>
      <w:r w:rsidRPr="009D7635">
        <w:rPr>
          <w:rFonts w:ascii="Times New Roman" w:hAnsi="Times New Roman" w:cs="Times New Roman"/>
          <w:color w:val="000000" w:themeColor="text1"/>
          <w:sz w:val="20"/>
          <w:szCs w:val="20"/>
          <w:lang w:val="en-US"/>
        </w:rPr>
        <w:t>, vol. 1 (</w:t>
      </w:r>
      <w:proofErr w:type="spellStart"/>
      <w:r w:rsidRPr="009D7635">
        <w:rPr>
          <w:rFonts w:ascii="Times New Roman" w:hAnsi="Times New Roman" w:cs="Times New Roman"/>
          <w:bCs/>
          <w:color w:val="000000" w:themeColor="text1"/>
          <w:sz w:val="20"/>
          <w:szCs w:val="20"/>
        </w:rPr>
        <w:t>Quaracchi</w:t>
      </w:r>
      <w:proofErr w:type="spellEnd"/>
      <w:r w:rsidRPr="009D7635">
        <w:rPr>
          <w:rFonts w:ascii="Times New Roman" w:hAnsi="Times New Roman" w:cs="Times New Roman"/>
          <w:bCs/>
          <w:color w:val="000000" w:themeColor="text1"/>
          <w:sz w:val="20"/>
          <w:szCs w:val="20"/>
        </w:rPr>
        <w:t xml:space="preserve">, </w:t>
      </w:r>
      <w:proofErr w:type="spellStart"/>
      <w:r w:rsidRPr="009D7635">
        <w:rPr>
          <w:rFonts w:ascii="Times New Roman" w:hAnsi="Times New Roman" w:cs="Times New Roman"/>
          <w:bCs/>
          <w:color w:val="000000" w:themeColor="text1"/>
          <w:sz w:val="20"/>
          <w:szCs w:val="20"/>
        </w:rPr>
        <w:t>Florentiae</w:t>
      </w:r>
      <w:proofErr w:type="spellEnd"/>
      <w:r w:rsidRPr="009D7635">
        <w:rPr>
          <w:rFonts w:ascii="Times New Roman" w:hAnsi="Times New Roman" w:cs="Times New Roman"/>
          <w:bCs/>
          <w:color w:val="000000" w:themeColor="text1"/>
          <w:sz w:val="20"/>
          <w:szCs w:val="20"/>
        </w:rPr>
        <w:t xml:space="preserve">: </w:t>
      </w:r>
      <w:proofErr w:type="spellStart"/>
      <w:r w:rsidRPr="009D7635">
        <w:rPr>
          <w:rFonts w:ascii="Times New Roman" w:hAnsi="Times New Roman" w:cs="Times New Roman"/>
          <w:bCs/>
          <w:color w:val="000000" w:themeColor="text1"/>
          <w:sz w:val="20"/>
          <w:szCs w:val="20"/>
        </w:rPr>
        <w:t>Collegii</w:t>
      </w:r>
      <w:proofErr w:type="spellEnd"/>
      <w:r w:rsidRPr="009D7635">
        <w:rPr>
          <w:rFonts w:ascii="Times New Roman" w:hAnsi="Times New Roman" w:cs="Times New Roman"/>
          <w:bCs/>
          <w:color w:val="000000" w:themeColor="text1"/>
          <w:sz w:val="20"/>
          <w:szCs w:val="20"/>
        </w:rPr>
        <w:t xml:space="preserve"> S. </w:t>
      </w:r>
      <w:proofErr w:type="spellStart"/>
      <w:r w:rsidRPr="009D7635">
        <w:rPr>
          <w:rFonts w:ascii="Times New Roman" w:hAnsi="Times New Roman" w:cs="Times New Roman"/>
          <w:bCs/>
          <w:color w:val="000000" w:themeColor="text1"/>
          <w:sz w:val="20"/>
          <w:szCs w:val="20"/>
        </w:rPr>
        <w:t>Bonaventurae</w:t>
      </w:r>
      <w:proofErr w:type="spellEnd"/>
      <w:r w:rsidRPr="009D7635">
        <w:rPr>
          <w:rFonts w:ascii="Times New Roman" w:hAnsi="Times New Roman" w:cs="Times New Roman"/>
          <w:color w:val="000000" w:themeColor="text1"/>
          <w:sz w:val="20"/>
          <w:szCs w:val="20"/>
          <w:lang w:val="en-US"/>
        </w:rPr>
        <w:t xml:space="preserve">, 1951), d. 3, 65: </w:t>
      </w:r>
      <w:proofErr w:type="spellStart"/>
      <w:r w:rsidRPr="009D7635">
        <w:rPr>
          <w:rFonts w:ascii="Times New Roman" w:hAnsi="Times New Roman" w:cs="Times New Roman"/>
          <w:i/>
          <w:color w:val="000000" w:themeColor="text1"/>
          <w:sz w:val="20"/>
          <w:szCs w:val="20"/>
          <w:lang w:val="en-US"/>
        </w:rPr>
        <w:t>Essentia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illud</w:t>
      </w:r>
      <w:proofErr w:type="spellEnd"/>
      <w:r w:rsidRPr="009D7635">
        <w:rPr>
          <w:rFonts w:ascii="Times New Roman" w:hAnsi="Times New Roman" w:cs="Times New Roman"/>
          <w:i/>
          <w:color w:val="000000" w:themeColor="text1"/>
          <w:sz w:val="20"/>
          <w:szCs w:val="20"/>
          <w:lang w:val="en-US"/>
        </w:rPr>
        <w:t xml:space="preserve">, quo res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id,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homo </w:t>
      </w:r>
      <w:proofErr w:type="spellStart"/>
      <w:r w:rsidRPr="009D7635">
        <w:rPr>
          <w:rFonts w:ascii="Times New Roman" w:hAnsi="Times New Roman" w:cs="Times New Roman"/>
          <w:i/>
          <w:color w:val="000000" w:themeColor="text1"/>
          <w:sz w:val="20"/>
          <w:szCs w:val="20"/>
          <w:lang w:val="en-US"/>
        </w:rPr>
        <w:t>humanitate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quo res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sive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subsistit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inseparabiliter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Subiectum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cui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adveniunt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aliqua</w:t>
      </w:r>
      <w:proofErr w:type="spellEnd"/>
      <w:r w:rsidRPr="009D7635">
        <w:rPr>
          <w:rFonts w:ascii="Times New Roman" w:hAnsi="Times New Roman" w:cs="Times New Roman"/>
          <w:i/>
          <w:color w:val="000000" w:themeColor="text1"/>
          <w:sz w:val="20"/>
          <w:szCs w:val="20"/>
          <w:lang w:val="en-US"/>
        </w:rPr>
        <w:t xml:space="preserve"> et sine quorum </w:t>
      </w:r>
      <w:proofErr w:type="spellStart"/>
      <w:r w:rsidRPr="009D7635">
        <w:rPr>
          <w:rFonts w:ascii="Times New Roman" w:hAnsi="Times New Roman" w:cs="Times New Roman"/>
          <w:i/>
          <w:color w:val="000000" w:themeColor="text1"/>
          <w:sz w:val="20"/>
          <w:szCs w:val="20"/>
          <w:lang w:val="en-US"/>
        </w:rPr>
        <w:t>aliquo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r w:rsidR="00797700" w:rsidRPr="009D7635">
        <w:rPr>
          <w:rFonts w:ascii="Times New Roman" w:hAnsi="Times New Roman" w:cs="Times New Roman"/>
          <w:i/>
          <w:color w:val="000000" w:themeColor="text1"/>
          <w:sz w:val="20"/>
          <w:szCs w:val="20"/>
          <w:lang w:val="en-US"/>
        </w:rPr>
        <w:t>quodlibet</w:t>
      </w:r>
      <w:r w:rsidRPr="009D7635">
        <w:rPr>
          <w:rFonts w:ascii="Times New Roman" w:hAnsi="Times New Roman" w:cs="Times New Roman"/>
          <w:i/>
          <w:color w:val="000000" w:themeColor="text1"/>
          <w:sz w:val="20"/>
          <w:szCs w:val="20"/>
          <w:lang w:val="en-US"/>
        </w:rPr>
        <w:t xml:space="preserve"> res </w:t>
      </w:r>
      <w:proofErr w:type="spellStart"/>
      <w:r w:rsidRPr="009D7635">
        <w:rPr>
          <w:rFonts w:ascii="Times New Roman" w:hAnsi="Times New Roman" w:cs="Times New Roman"/>
          <w:i/>
          <w:color w:val="000000" w:themeColor="text1"/>
          <w:sz w:val="20"/>
          <w:szCs w:val="20"/>
          <w:lang w:val="en-US"/>
        </w:rPr>
        <w:t>potest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Unde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definitur</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Philosopho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Subiectum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 se </w:t>
      </w:r>
      <w:proofErr w:type="spellStart"/>
      <w:r w:rsidRPr="009D7635">
        <w:rPr>
          <w:rFonts w:ascii="Times New Roman" w:hAnsi="Times New Roman" w:cs="Times New Roman"/>
          <w:i/>
          <w:color w:val="000000" w:themeColor="text1"/>
          <w:sz w:val="20"/>
          <w:szCs w:val="20"/>
          <w:lang w:val="en-US"/>
        </w:rPr>
        <w:t>completum</w:t>
      </w:r>
      <w:proofErr w:type="spellEnd"/>
      <w:r w:rsidRPr="009D7635">
        <w:rPr>
          <w:rFonts w:ascii="Times New Roman" w:hAnsi="Times New Roman" w:cs="Times New Roman"/>
          <w:i/>
          <w:color w:val="000000" w:themeColor="text1"/>
          <w:sz w:val="20"/>
          <w:szCs w:val="20"/>
          <w:lang w:val="en-US"/>
        </w:rPr>
        <w:t xml:space="preserve"> ens, </w:t>
      </w:r>
      <w:proofErr w:type="spellStart"/>
      <w:r w:rsidRPr="009D7635">
        <w:rPr>
          <w:rFonts w:ascii="Times New Roman" w:hAnsi="Times New Roman" w:cs="Times New Roman"/>
          <w:i/>
          <w:color w:val="000000" w:themeColor="text1"/>
          <w:sz w:val="20"/>
          <w:szCs w:val="20"/>
          <w:lang w:val="en-US"/>
        </w:rPr>
        <w:t>occasio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alterius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existendi</w:t>
      </w:r>
      <w:proofErr w:type="spellEnd"/>
      <w:r w:rsidRPr="009D7635">
        <w:rPr>
          <w:rFonts w:ascii="Times New Roman" w:hAnsi="Times New Roman" w:cs="Times New Roman"/>
          <w:i/>
          <w:color w:val="000000" w:themeColor="text1"/>
          <w:sz w:val="20"/>
          <w:szCs w:val="20"/>
          <w:lang w:val="en-US"/>
        </w:rPr>
        <w:t xml:space="preserve"> in ipso (...) </w:t>
      </w:r>
      <w:proofErr w:type="spellStart"/>
      <w:r w:rsidRPr="009D7635">
        <w:rPr>
          <w:rFonts w:ascii="Times New Roman" w:hAnsi="Times New Roman" w:cs="Times New Roman"/>
          <w:i/>
          <w:color w:val="000000" w:themeColor="text1"/>
          <w:sz w:val="20"/>
          <w:szCs w:val="20"/>
          <w:lang w:val="en-US"/>
        </w:rPr>
        <w:t>Subiectum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anima </w:t>
      </w:r>
      <w:proofErr w:type="spellStart"/>
      <w:r w:rsidRPr="009D7635">
        <w:rPr>
          <w:rFonts w:ascii="Times New Roman" w:hAnsi="Times New Roman" w:cs="Times New Roman"/>
          <w:i/>
          <w:color w:val="000000" w:themeColor="text1"/>
          <w:sz w:val="20"/>
          <w:szCs w:val="20"/>
          <w:lang w:val="en-US"/>
        </w:rPr>
        <w:t>respectu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accidentium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respectu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proprietatum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respectu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essentialium</w:t>
      </w:r>
      <w:proofErr w:type="spellEnd"/>
      <w:r w:rsidRPr="009D7635">
        <w:rPr>
          <w:rFonts w:ascii="Times New Roman" w:hAnsi="Times New Roman" w:cs="Times New Roman"/>
          <w:i/>
          <w:color w:val="000000" w:themeColor="text1"/>
          <w:sz w:val="20"/>
          <w:szCs w:val="20"/>
          <w:lang w:val="en-US"/>
        </w:rPr>
        <w:t>.</w:t>
      </w:r>
    </w:p>
  </w:footnote>
  <w:footnote w:id="560">
    <w:p w14:paraId="446F7566" w14:textId="77777777" w:rsidR="00B93ED5" w:rsidRPr="009D7635" w:rsidRDefault="00B93ED5" w:rsidP="004C1CD7">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lang w:val="en-US"/>
        </w:rPr>
        <w:t>Alexandri</w:t>
      </w:r>
      <w:proofErr w:type="spellEnd"/>
      <w:r w:rsidRPr="009D7635">
        <w:rPr>
          <w:rFonts w:ascii="Times New Roman" w:hAnsi="Times New Roman" w:cs="Times New Roman"/>
          <w:i/>
          <w:color w:val="000000" w:themeColor="text1"/>
          <w:lang w:val="en-US"/>
        </w:rPr>
        <w:t xml:space="preserve"> de Hales Glossa</w:t>
      </w:r>
      <w:r w:rsidRPr="009D7635">
        <w:rPr>
          <w:rFonts w:ascii="Times New Roman" w:hAnsi="Times New Roman" w:cs="Times New Roman"/>
          <w:iCs/>
          <w:color w:val="000000" w:themeColor="text1"/>
          <w:lang w:val="en-US"/>
        </w:rPr>
        <w:t>,</w:t>
      </w:r>
      <w:r w:rsidRPr="009D7635">
        <w:rPr>
          <w:rFonts w:ascii="Times New Roman" w:hAnsi="Times New Roman" w:cs="Times New Roman"/>
          <w:i/>
          <w:color w:val="000000" w:themeColor="text1"/>
          <w:lang w:val="en-US"/>
        </w:rPr>
        <w:t xml:space="preserve"> </w:t>
      </w:r>
      <w:r w:rsidRPr="009D7635">
        <w:rPr>
          <w:rFonts w:ascii="Times New Roman" w:hAnsi="Times New Roman" w:cs="Times New Roman"/>
          <w:color w:val="000000" w:themeColor="text1"/>
          <w:lang w:val="en-US"/>
        </w:rPr>
        <w:t xml:space="preserve">vol. 1, d. 3, </w:t>
      </w:r>
      <w:proofErr w:type="spellStart"/>
      <w:r w:rsidRPr="009D7635">
        <w:rPr>
          <w:rFonts w:ascii="Times New Roman" w:hAnsi="Times New Roman" w:cs="Times New Roman"/>
          <w:color w:val="000000" w:themeColor="text1"/>
          <w:lang w:val="en-US"/>
        </w:rPr>
        <w:t>Respondeo</w:t>
      </w:r>
      <w:proofErr w:type="spellEnd"/>
      <w:r w:rsidRPr="009D7635">
        <w:rPr>
          <w:rFonts w:ascii="Times New Roman" w:hAnsi="Times New Roman" w:cs="Times New Roman"/>
          <w:color w:val="000000" w:themeColor="text1"/>
          <w:lang w:val="en-US"/>
        </w:rPr>
        <w:t xml:space="preserve"> c, 65: </w:t>
      </w:r>
      <w:proofErr w:type="spellStart"/>
      <w:r w:rsidRPr="009D7635">
        <w:rPr>
          <w:rFonts w:ascii="Times New Roman" w:hAnsi="Times New Roman" w:cs="Times New Roman"/>
          <w:i/>
          <w:color w:val="000000" w:themeColor="text1"/>
        </w:rPr>
        <w:t>Essentia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illud</w:t>
      </w:r>
      <w:proofErr w:type="spellEnd"/>
      <w:r w:rsidRPr="009D7635">
        <w:rPr>
          <w:rFonts w:ascii="Times New Roman" w:hAnsi="Times New Roman" w:cs="Times New Roman"/>
          <w:i/>
          <w:color w:val="000000" w:themeColor="text1"/>
        </w:rPr>
        <w:t xml:space="preserve"> quo res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id quod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ut</w:t>
      </w:r>
      <w:proofErr w:type="spellEnd"/>
      <w:r w:rsidRPr="009D7635">
        <w:rPr>
          <w:rFonts w:ascii="Times New Roman" w:hAnsi="Times New Roman" w:cs="Times New Roman"/>
          <w:i/>
          <w:color w:val="000000" w:themeColor="text1"/>
        </w:rPr>
        <w:t xml:space="preserve"> homo </w:t>
      </w:r>
      <w:proofErr w:type="spellStart"/>
      <w:r w:rsidRPr="009D7635">
        <w:rPr>
          <w:rFonts w:ascii="Times New Roman" w:hAnsi="Times New Roman" w:cs="Times New Roman"/>
          <w:i/>
          <w:color w:val="000000" w:themeColor="text1"/>
        </w:rPr>
        <w:t>humanitate</w:t>
      </w:r>
      <w:proofErr w:type="spellEnd"/>
      <w:r w:rsidRPr="009D7635">
        <w:rPr>
          <w:rFonts w:ascii="Times New Roman" w:hAnsi="Times New Roman" w:cs="Times New Roman"/>
          <w:i/>
          <w:color w:val="000000" w:themeColor="text1"/>
        </w:rPr>
        <w:t>.</w:t>
      </w:r>
    </w:p>
  </w:footnote>
  <w:footnote w:id="561">
    <w:p w14:paraId="02F79510" w14:textId="2853EBA5"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110</w:t>
      </w:r>
      <w:r w:rsidR="00DB3AE4"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lang w:val="en-US"/>
        </w:rPr>
        <w:t>Alexandri</w:t>
      </w:r>
      <w:proofErr w:type="spellEnd"/>
      <w:r w:rsidRPr="009D7635">
        <w:rPr>
          <w:rFonts w:ascii="Times New Roman" w:hAnsi="Times New Roman" w:cs="Times New Roman"/>
          <w:i/>
          <w:color w:val="000000" w:themeColor="text1"/>
          <w:lang w:val="en-US"/>
        </w:rPr>
        <w:t xml:space="preserve"> de Hales Glossa</w:t>
      </w:r>
      <w:r w:rsidRPr="009D7635">
        <w:rPr>
          <w:rFonts w:ascii="Times New Roman" w:hAnsi="Times New Roman" w:cs="Times New Roman"/>
          <w:iCs/>
          <w:color w:val="000000" w:themeColor="text1"/>
          <w:lang w:val="en-US"/>
        </w:rPr>
        <w:t>,</w:t>
      </w:r>
      <w:r w:rsidRPr="009D7635">
        <w:rPr>
          <w:rFonts w:ascii="Times New Roman" w:hAnsi="Times New Roman" w:cs="Times New Roman"/>
          <w:i/>
          <w:color w:val="000000" w:themeColor="text1"/>
          <w:lang w:val="en-US"/>
        </w:rPr>
        <w:t xml:space="preserve"> </w:t>
      </w:r>
      <w:r w:rsidRPr="009D7635">
        <w:rPr>
          <w:rFonts w:ascii="Times New Roman" w:hAnsi="Times New Roman" w:cs="Times New Roman"/>
          <w:color w:val="000000" w:themeColor="text1"/>
          <w:lang w:val="en-US"/>
        </w:rPr>
        <w:t xml:space="preserve">vol. 1, d. 3, </w:t>
      </w:r>
      <w:proofErr w:type="spellStart"/>
      <w:r w:rsidRPr="009D7635">
        <w:rPr>
          <w:rFonts w:ascii="Times New Roman" w:hAnsi="Times New Roman" w:cs="Times New Roman"/>
          <w:color w:val="000000" w:themeColor="text1"/>
          <w:lang w:val="en-US"/>
        </w:rPr>
        <w:t>Respondeo</w:t>
      </w:r>
      <w:proofErr w:type="spellEnd"/>
      <w:r w:rsidRPr="009D7635">
        <w:rPr>
          <w:rFonts w:ascii="Times New Roman" w:hAnsi="Times New Roman" w:cs="Times New Roman"/>
          <w:color w:val="000000" w:themeColor="text1"/>
          <w:lang w:val="en-US"/>
        </w:rPr>
        <w:t xml:space="preserve"> c, 65</w:t>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Substantia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vero</w:t>
      </w:r>
      <w:proofErr w:type="spellEnd"/>
      <w:r w:rsidRPr="009D7635">
        <w:rPr>
          <w:rFonts w:ascii="Times New Roman" w:hAnsi="Times New Roman" w:cs="Times New Roman"/>
          <w:i/>
          <w:color w:val="000000" w:themeColor="text1"/>
        </w:rPr>
        <w:t xml:space="preserve">, quo res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substans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sive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subsistit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inseparabiliter</w:t>
      </w:r>
      <w:proofErr w:type="spellEnd"/>
      <w:r w:rsidRPr="009D7635">
        <w:rPr>
          <w:rFonts w:ascii="Times New Roman" w:hAnsi="Times New Roman" w:cs="Times New Roman"/>
          <w:i/>
          <w:color w:val="000000" w:themeColor="text1"/>
        </w:rPr>
        <w:t>.</w:t>
      </w:r>
      <w:r w:rsidRPr="009D7635">
        <w:rPr>
          <w:rFonts w:ascii="Times New Roman" w:hAnsi="Times New Roman" w:cs="Times New Roman"/>
          <w:color w:val="000000" w:themeColor="text1"/>
        </w:rPr>
        <w:t xml:space="preserve"> </w:t>
      </w:r>
    </w:p>
  </w:footnote>
  <w:footnote w:id="562">
    <w:p w14:paraId="6F1E3378" w14:textId="5E96F146"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DB3AE4" w:rsidRPr="009D7635">
        <w:rPr>
          <w:rFonts w:ascii="Times New Roman" w:hAnsi="Times New Roman" w:cs="Times New Roman"/>
          <w:color w:val="000000" w:themeColor="text1"/>
        </w:rPr>
        <w:t xml:space="preserve">Magdalena </w:t>
      </w:r>
      <w:proofErr w:type="spellStart"/>
      <w:r w:rsidR="00DB3AE4" w:rsidRPr="009D7635">
        <w:rPr>
          <w:rFonts w:ascii="Times New Roman" w:hAnsi="Times New Roman" w:cs="Times New Roman"/>
          <w:color w:val="000000" w:themeColor="text1"/>
        </w:rPr>
        <w:t>Bieniak</w:t>
      </w:r>
      <w:proofErr w:type="spellEnd"/>
      <w:r w:rsidR="00DB3AE4" w:rsidRPr="009D7635">
        <w:rPr>
          <w:rFonts w:ascii="Times New Roman" w:hAnsi="Times New Roman" w:cs="Times New Roman"/>
          <w:color w:val="000000" w:themeColor="text1"/>
        </w:rPr>
        <w:t xml:space="preserve">, </w:t>
      </w:r>
      <w:r w:rsidR="00DB3AE4" w:rsidRPr="009D7635">
        <w:rPr>
          <w:rFonts w:ascii="Times New Roman" w:hAnsi="Times New Roman" w:cs="Times New Roman"/>
          <w:i/>
          <w:color w:val="000000" w:themeColor="text1"/>
        </w:rPr>
        <w:t>The Body-Soul Problem at Paris</w:t>
      </w:r>
      <w:r w:rsidR="00DB3AE4" w:rsidRPr="009D7635">
        <w:rPr>
          <w:rFonts w:ascii="Times New Roman" w:hAnsi="Times New Roman" w:cs="Times New Roman"/>
          <w:iCs/>
          <w:color w:val="000000" w:themeColor="text1"/>
        </w:rPr>
        <w:t xml:space="preserve">, </w:t>
      </w:r>
      <w:r w:rsidR="00DB3AE4" w:rsidRPr="009D7635">
        <w:rPr>
          <w:rFonts w:ascii="Times New Roman" w:hAnsi="Times New Roman" w:cs="Times New Roman"/>
          <w:color w:val="000000" w:themeColor="text1"/>
        </w:rPr>
        <w:t xml:space="preserve">110. </w:t>
      </w:r>
      <w:proofErr w:type="spellStart"/>
      <w:r w:rsidRPr="009D7635">
        <w:rPr>
          <w:rFonts w:ascii="Times New Roman" w:hAnsi="Times New Roman" w:cs="Times New Roman"/>
          <w:i/>
          <w:color w:val="000000" w:themeColor="text1"/>
          <w:lang w:val="en-US"/>
        </w:rPr>
        <w:t>Alexandri</w:t>
      </w:r>
      <w:proofErr w:type="spellEnd"/>
      <w:r w:rsidRPr="009D7635">
        <w:rPr>
          <w:rFonts w:ascii="Times New Roman" w:hAnsi="Times New Roman" w:cs="Times New Roman"/>
          <w:i/>
          <w:color w:val="000000" w:themeColor="text1"/>
          <w:lang w:val="en-US"/>
        </w:rPr>
        <w:t xml:space="preserve"> de Hales Glossa</w:t>
      </w:r>
      <w:r w:rsidRPr="009D7635">
        <w:rPr>
          <w:rFonts w:ascii="Times New Roman" w:hAnsi="Times New Roman" w:cs="Times New Roman"/>
          <w:iCs/>
          <w:color w:val="000000" w:themeColor="text1"/>
          <w:lang w:val="en-US"/>
        </w:rPr>
        <w:t>,</w:t>
      </w:r>
      <w:r w:rsidRPr="009D7635">
        <w:rPr>
          <w:rFonts w:ascii="Times New Roman" w:hAnsi="Times New Roman" w:cs="Times New Roman"/>
          <w:i/>
          <w:color w:val="000000" w:themeColor="text1"/>
          <w:lang w:val="en-US"/>
        </w:rPr>
        <w:t xml:space="preserve"> </w:t>
      </w:r>
      <w:r w:rsidRPr="009D7635">
        <w:rPr>
          <w:rFonts w:ascii="Times New Roman" w:hAnsi="Times New Roman" w:cs="Times New Roman"/>
          <w:color w:val="000000" w:themeColor="text1"/>
          <w:lang w:val="en-US"/>
        </w:rPr>
        <w:t xml:space="preserve">vol. 1, d. 3, </w:t>
      </w:r>
      <w:proofErr w:type="spellStart"/>
      <w:r w:rsidRPr="009D7635">
        <w:rPr>
          <w:rFonts w:ascii="Times New Roman" w:hAnsi="Times New Roman" w:cs="Times New Roman"/>
          <w:color w:val="000000" w:themeColor="text1"/>
          <w:lang w:val="en-US"/>
        </w:rPr>
        <w:t>Respondeo</w:t>
      </w:r>
      <w:proofErr w:type="spellEnd"/>
      <w:r w:rsidRPr="009D7635">
        <w:rPr>
          <w:rFonts w:ascii="Times New Roman" w:hAnsi="Times New Roman" w:cs="Times New Roman"/>
          <w:color w:val="000000" w:themeColor="text1"/>
          <w:lang w:val="en-US"/>
        </w:rPr>
        <w:t xml:space="preserve"> c, 65: </w:t>
      </w:r>
      <w:proofErr w:type="spellStart"/>
      <w:r w:rsidRPr="009D7635">
        <w:rPr>
          <w:rFonts w:ascii="Times New Roman" w:hAnsi="Times New Roman" w:cs="Times New Roman"/>
          <w:i/>
          <w:color w:val="000000" w:themeColor="text1"/>
        </w:rPr>
        <w:t>Subiectum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cui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adveniunt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aliqua</w:t>
      </w:r>
      <w:proofErr w:type="spellEnd"/>
      <w:r w:rsidRPr="009D7635">
        <w:rPr>
          <w:rFonts w:ascii="Times New Roman" w:hAnsi="Times New Roman" w:cs="Times New Roman"/>
          <w:i/>
          <w:color w:val="000000" w:themeColor="text1"/>
        </w:rPr>
        <w:t xml:space="preserve"> et sine quorum </w:t>
      </w:r>
      <w:proofErr w:type="spellStart"/>
      <w:r w:rsidRPr="009D7635">
        <w:rPr>
          <w:rFonts w:ascii="Times New Roman" w:hAnsi="Times New Roman" w:cs="Times New Roman"/>
          <w:i/>
          <w:color w:val="000000" w:themeColor="text1"/>
        </w:rPr>
        <w:t>aliquo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vel</w:t>
      </w:r>
      <w:proofErr w:type="spellEnd"/>
      <w:r w:rsidRPr="009D7635">
        <w:rPr>
          <w:rFonts w:ascii="Times New Roman" w:hAnsi="Times New Roman" w:cs="Times New Roman"/>
          <w:i/>
          <w:color w:val="000000" w:themeColor="text1"/>
        </w:rPr>
        <w:t xml:space="preserve"> </w:t>
      </w:r>
      <w:r w:rsidR="00797700" w:rsidRPr="009D7635">
        <w:rPr>
          <w:rFonts w:ascii="Times New Roman" w:hAnsi="Times New Roman" w:cs="Times New Roman"/>
          <w:i/>
          <w:color w:val="000000" w:themeColor="text1"/>
        </w:rPr>
        <w:t>quodlibet</w:t>
      </w:r>
      <w:r w:rsidRPr="009D7635">
        <w:rPr>
          <w:rFonts w:ascii="Times New Roman" w:hAnsi="Times New Roman" w:cs="Times New Roman"/>
          <w:i/>
          <w:color w:val="000000" w:themeColor="text1"/>
        </w:rPr>
        <w:t xml:space="preserve"> res </w:t>
      </w:r>
      <w:proofErr w:type="spellStart"/>
      <w:r w:rsidRPr="009D7635">
        <w:rPr>
          <w:rFonts w:ascii="Times New Roman" w:hAnsi="Times New Roman" w:cs="Times New Roman"/>
          <w:i/>
          <w:color w:val="000000" w:themeColor="text1"/>
        </w:rPr>
        <w:t>potest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esse</w:t>
      </w:r>
      <w:proofErr w:type="spellEnd"/>
      <w:r w:rsidRPr="009D7635">
        <w:rPr>
          <w:rFonts w:ascii="Times New Roman" w:hAnsi="Times New Roman" w:cs="Times New Roman"/>
          <w:i/>
          <w:color w:val="000000" w:themeColor="text1"/>
        </w:rPr>
        <w:t xml:space="preserve">. </w:t>
      </w:r>
    </w:p>
  </w:footnote>
  <w:footnote w:id="563">
    <w:p w14:paraId="21C765EE" w14:textId="44386555" w:rsidR="00B93ED5" w:rsidRPr="009D7635" w:rsidRDefault="00B93ED5" w:rsidP="004C1CD7">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Alexandri</w:t>
      </w:r>
      <w:proofErr w:type="spellEnd"/>
      <w:r w:rsidRPr="009D7635">
        <w:rPr>
          <w:rFonts w:ascii="Times New Roman" w:hAnsi="Times New Roman" w:cs="Times New Roman"/>
          <w:i/>
          <w:color w:val="000000" w:themeColor="text1"/>
          <w:sz w:val="20"/>
          <w:szCs w:val="20"/>
          <w:lang w:val="en-US"/>
        </w:rPr>
        <w:t xml:space="preserve"> de Hales Glossa</w:t>
      </w:r>
      <w:r w:rsidRPr="009D7635">
        <w:rPr>
          <w:rFonts w:ascii="Times New Roman" w:hAnsi="Times New Roman" w:cs="Times New Roman"/>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vol. 1, d. 3, </w:t>
      </w:r>
      <w:proofErr w:type="spellStart"/>
      <w:r w:rsidRPr="009D7635">
        <w:rPr>
          <w:rFonts w:ascii="Times New Roman" w:hAnsi="Times New Roman" w:cs="Times New Roman"/>
          <w:color w:val="000000" w:themeColor="text1"/>
          <w:sz w:val="20"/>
          <w:szCs w:val="20"/>
          <w:lang w:val="en-US"/>
        </w:rPr>
        <w:t>Respondeo</w:t>
      </w:r>
      <w:proofErr w:type="spellEnd"/>
      <w:r w:rsidRPr="009D7635">
        <w:rPr>
          <w:rFonts w:ascii="Times New Roman" w:hAnsi="Times New Roman" w:cs="Times New Roman"/>
          <w:color w:val="000000" w:themeColor="text1"/>
          <w:sz w:val="20"/>
          <w:szCs w:val="20"/>
          <w:lang w:val="en-US"/>
        </w:rPr>
        <w:t xml:space="preserve"> c, 65: </w:t>
      </w:r>
      <w:r w:rsidRPr="009D7635">
        <w:rPr>
          <w:rFonts w:ascii="Times New Roman" w:hAnsi="Times New Roman" w:cs="Times New Roman"/>
          <w:i/>
          <w:color w:val="000000" w:themeColor="text1"/>
          <w:sz w:val="20"/>
          <w:szCs w:val="20"/>
          <w:lang w:val="en-US"/>
        </w:rPr>
        <w:t xml:space="preserve">Tres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personae </w:t>
      </w:r>
      <w:proofErr w:type="spellStart"/>
      <w:r w:rsidRPr="009D7635">
        <w:rPr>
          <w:rFonts w:ascii="Times New Roman" w:hAnsi="Times New Roman" w:cs="Times New Roman"/>
          <w:i/>
          <w:color w:val="000000" w:themeColor="text1"/>
          <w:sz w:val="20"/>
          <w:szCs w:val="20"/>
          <w:lang w:val="en-US"/>
        </w:rPr>
        <w:t>conveniunt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essentia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memoria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voluntas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separantur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essentia</w:t>
      </w:r>
      <w:proofErr w:type="spellEnd"/>
      <w:r w:rsidRPr="009D7635">
        <w:rPr>
          <w:rFonts w:ascii="Times New Roman" w:hAnsi="Times New Roman" w:cs="Times New Roman"/>
          <w:i/>
          <w:color w:val="000000" w:themeColor="text1"/>
          <w:sz w:val="20"/>
          <w:szCs w:val="20"/>
          <w:lang w:val="en-US"/>
        </w:rPr>
        <w:t xml:space="preserve">. (...) </w:t>
      </w:r>
      <w:proofErr w:type="spellStart"/>
      <w:r w:rsidRPr="009D7635">
        <w:rPr>
          <w:rFonts w:ascii="Times New Roman" w:hAnsi="Times New Roman" w:cs="Times New Roman"/>
          <w:i/>
          <w:color w:val="000000" w:themeColor="text1"/>
          <w:sz w:val="20"/>
          <w:szCs w:val="20"/>
          <w:lang w:val="en-US"/>
        </w:rPr>
        <w:t>Istae</w:t>
      </w:r>
      <w:proofErr w:type="spellEnd"/>
      <w:r w:rsidRPr="009D7635">
        <w:rPr>
          <w:rFonts w:ascii="Times New Roman" w:hAnsi="Times New Roman" w:cs="Times New Roman"/>
          <w:i/>
          <w:color w:val="000000" w:themeColor="text1"/>
          <w:sz w:val="20"/>
          <w:szCs w:val="20"/>
          <w:lang w:val="en-US"/>
        </w:rPr>
        <w:t xml:space="preserve"> ergo tres </w:t>
      </w:r>
      <w:proofErr w:type="spellStart"/>
      <w:r w:rsidRPr="009D7635">
        <w:rPr>
          <w:rFonts w:ascii="Times New Roman" w:hAnsi="Times New Roman" w:cs="Times New Roman"/>
          <w:i/>
          <w:color w:val="000000" w:themeColor="text1"/>
          <w:sz w:val="20"/>
          <w:szCs w:val="20"/>
          <w:lang w:val="en-US"/>
        </w:rPr>
        <w:t>potentiae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distinguuntur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essentiam</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conveniunt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anima non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completa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sine </w:t>
      </w:r>
      <w:proofErr w:type="spellStart"/>
      <w:r w:rsidRPr="009D7635">
        <w:rPr>
          <w:rFonts w:ascii="Times New Roman" w:hAnsi="Times New Roman" w:cs="Times New Roman"/>
          <w:i/>
          <w:color w:val="000000" w:themeColor="text1"/>
          <w:sz w:val="20"/>
          <w:szCs w:val="20"/>
          <w:lang w:val="en-US"/>
        </w:rPr>
        <w:t>suis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potentiis</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eo</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dico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substare</w:t>
      </w:r>
      <w:proofErr w:type="spellEnd"/>
      <w:r w:rsidRPr="009D7635">
        <w:rPr>
          <w:rFonts w:ascii="Times New Roman" w:hAnsi="Times New Roman" w:cs="Times New Roman"/>
          <w:i/>
          <w:color w:val="000000" w:themeColor="text1"/>
          <w:sz w:val="20"/>
          <w:szCs w:val="20"/>
          <w:lang w:val="en-US"/>
        </w:rPr>
        <w:t xml:space="preserve">’ duo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‘sub’ et ‘stare’, anima uno modo </w:t>
      </w:r>
      <w:proofErr w:type="spellStart"/>
      <w:r w:rsidRPr="009D7635">
        <w:rPr>
          <w:rFonts w:ascii="Times New Roman" w:hAnsi="Times New Roman" w:cs="Times New Roman"/>
          <w:i/>
          <w:color w:val="000000" w:themeColor="text1"/>
          <w:sz w:val="20"/>
          <w:szCs w:val="20"/>
          <w:lang w:val="en-US"/>
        </w:rPr>
        <w:t>supponitur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alio</w:t>
      </w:r>
      <w:proofErr w:type="spellEnd"/>
      <w:r w:rsidRPr="009D7635">
        <w:rPr>
          <w:rFonts w:ascii="Times New Roman" w:hAnsi="Times New Roman" w:cs="Times New Roman"/>
          <w:i/>
          <w:color w:val="000000" w:themeColor="text1"/>
          <w:sz w:val="20"/>
          <w:szCs w:val="20"/>
          <w:lang w:val="en-US"/>
        </w:rPr>
        <w:t xml:space="preserve"> modo e </w:t>
      </w:r>
      <w:proofErr w:type="spellStart"/>
      <w:r w:rsidRPr="009D7635">
        <w:rPr>
          <w:rFonts w:ascii="Times New Roman" w:hAnsi="Times New Roman" w:cs="Times New Roman"/>
          <w:i/>
          <w:color w:val="000000" w:themeColor="text1"/>
          <w:sz w:val="20"/>
          <w:szCs w:val="20"/>
          <w:lang w:val="en-US"/>
        </w:rPr>
        <w:t>converso</w:t>
      </w:r>
      <w:proofErr w:type="spellEnd"/>
      <w:r w:rsidRPr="009D7635">
        <w:rPr>
          <w:rFonts w:ascii="Times New Roman" w:hAnsi="Times New Roman" w:cs="Times New Roman"/>
          <w:i/>
          <w:color w:val="000000" w:themeColor="text1"/>
          <w:sz w:val="20"/>
          <w:szCs w:val="20"/>
          <w:lang w:val="en-US"/>
        </w:rPr>
        <w:t xml:space="preserve">. Prout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primo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ab anima,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operatur</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potentias</w:t>
      </w:r>
      <w:proofErr w:type="spellEnd"/>
      <w:r w:rsidRPr="009D7635">
        <w:rPr>
          <w:rFonts w:ascii="Times New Roman" w:hAnsi="Times New Roman" w:cs="Times New Roman"/>
          <w:i/>
          <w:color w:val="000000" w:themeColor="text1"/>
          <w:sz w:val="20"/>
          <w:szCs w:val="20"/>
          <w:lang w:val="en-US"/>
        </w:rPr>
        <w:t xml:space="preserve">, sic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super </w:t>
      </w:r>
      <w:proofErr w:type="spellStart"/>
      <w:r w:rsidRPr="009D7635">
        <w:rPr>
          <w:rFonts w:ascii="Times New Roman" w:hAnsi="Times New Roman" w:cs="Times New Roman"/>
          <w:i/>
          <w:color w:val="000000" w:themeColor="text1"/>
          <w:sz w:val="20"/>
          <w:szCs w:val="20"/>
          <w:lang w:val="en-US"/>
        </w:rPr>
        <w:t>potentias</w:t>
      </w:r>
      <w:proofErr w:type="spellEnd"/>
      <w:r w:rsidRPr="009D7635">
        <w:rPr>
          <w:rFonts w:ascii="Times New Roman" w:hAnsi="Times New Roman" w:cs="Times New Roman"/>
          <w:i/>
          <w:color w:val="000000" w:themeColor="text1"/>
          <w:sz w:val="20"/>
          <w:szCs w:val="20"/>
          <w:lang w:val="en-US"/>
        </w:rPr>
        <w:t xml:space="preserve">; sed in quantum </w:t>
      </w:r>
      <w:proofErr w:type="spellStart"/>
      <w:r w:rsidRPr="009D7635">
        <w:rPr>
          <w:rFonts w:ascii="Times New Roman" w:hAnsi="Times New Roman" w:cs="Times New Roman"/>
          <w:i/>
          <w:color w:val="000000" w:themeColor="text1"/>
          <w:sz w:val="20"/>
          <w:szCs w:val="20"/>
          <w:lang w:val="en-US"/>
        </w:rPr>
        <w:t>operatio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 anima </w:t>
      </w:r>
      <w:proofErr w:type="spellStart"/>
      <w:r w:rsidRPr="009D7635">
        <w:rPr>
          <w:rFonts w:ascii="Times New Roman" w:hAnsi="Times New Roman" w:cs="Times New Roman"/>
          <w:i/>
          <w:color w:val="000000" w:themeColor="text1"/>
          <w:sz w:val="20"/>
          <w:szCs w:val="20"/>
          <w:lang w:val="en-US"/>
        </w:rPr>
        <w:t>mediantibus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potentiis</w:t>
      </w:r>
      <w:proofErr w:type="spellEnd"/>
      <w:r w:rsidRPr="009D7635">
        <w:rPr>
          <w:rFonts w:ascii="Times New Roman" w:hAnsi="Times New Roman" w:cs="Times New Roman"/>
          <w:i/>
          <w:color w:val="000000" w:themeColor="text1"/>
          <w:sz w:val="20"/>
          <w:szCs w:val="20"/>
          <w:lang w:val="en-US"/>
        </w:rPr>
        <w:t xml:space="preserve">, sic </w:t>
      </w:r>
      <w:proofErr w:type="spellStart"/>
      <w:r w:rsidRPr="009D7635">
        <w:rPr>
          <w:rFonts w:ascii="Times New Roman" w:hAnsi="Times New Roman" w:cs="Times New Roman"/>
          <w:i/>
          <w:color w:val="000000" w:themeColor="text1"/>
          <w:sz w:val="20"/>
          <w:szCs w:val="20"/>
          <w:lang w:val="en-US"/>
        </w:rPr>
        <w:t>supponitur</w:t>
      </w:r>
      <w:proofErr w:type="spellEnd"/>
      <w:r w:rsidRPr="009D7635">
        <w:rPr>
          <w:rFonts w:ascii="Times New Roman" w:hAnsi="Times New Roman" w:cs="Times New Roman"/>
          <w:i/>
          <w:color w:val="000000" w:themeColor="text1"/>
          <w:sz w:val="20"/>
          <w:szCs w:val="20"/>
          <w:lang w:val="en-US"/>
        </w:rPr>
        <w:t>.</w:t>
      </w:r>
    </w:p>
  </w:footnote>
  <w:footnote w:id="564">
    <w:p w14:paraId="799E24F6"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107-8, 111.</w:t>
      </w:r>
    </w:p>
  </w:footnote>
  <w:footnote w:id="565">
    <w:p w14:paraId="42FCF8D6"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Nikolaus </w:t>
      </w:r>
      <w:proofErr w:type="spellStart"/>
      <w:r w:rsidRPr="009D7635">
        <w:rPr>
          <w:rFonts w:ascii="Times New Roman" w:hAnsi="Times New Roman" w:cs="Times New Roman"/>
          <w:color w:val="000000" w:themeColor="text1"/>
          <w:lang w:val="en-US"/>
        </w:rPr>
        <w:t>Wicki</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i/>
          <w:color w:val="000000" w:themeColor="text1"/>
          <w:lang w:val="en-US"/>
        </w:rPr>
        <w:t xml:space="preserve">Die </w:t>
      </w:r>
      <w:proofErr w:type="spellStart"/>
      <w:r w:rsidRPr="009D7635">
        <w:rPr>
          <w:rFonts w:ascii="Times New Roman" w:hAnsi="Times New Roman" w:cs="Times New Roman"/>
          <w:i/>
          <w:color w:val="000000" w:themeColor="text1"/>
          <w:lang w:val="en-US"/>
        </w:rPr>
        <w:t>Philosophie</w:t>
      </w:r>
      <w:proofErr w:type="spellEnd"/>
      <w:r w:rsidRPr="009D7635">
        <w:rPr>
          <w:rFonts w:ascii="Times New Roman" w:hAnsi="Times New Roman" w:cs="Times New Roman"/>
          <w:i/>
          <w:color w:val="000000" w:themeColor="text1"/>
          <w:lang w:val="en-US"/>
        </w:rPr>
        <w:t xml:space="preserve"> Philipps des </w:t>
      </w:r>
      <w:proofErr w:type="spellStart"/>
      <w:r w:rsidRPr="009D7635">
        <w:rPr>
          <w:rFonts w:ascii="Times New Roman" w:hAnsi="Times New Roman" w:cs="Times New Roman"/>
          <w:i/>
          <w:color w:val="000000" w:themeColor="text1"/>
          <w:lang w:val="en-US"/>
        </w:rPr>
        <w:t>Kanzlers</w:t>
      </w:r>
      <w:proofErr w:type="spellEnd"/>
      <w:r w:rsidRPr="009D7635">
        <w:rPr>
          <w:rFonts w:ascii="Times New Roman" w:hAnsi="Times New Roman" w:cs="Times New Roman"/>
          <w:iCs/>
          <w:color w:val="000000" w:themeColor="text1"/>
          <w:lang w:val="en-US"/>
        </w:rPr>
        <w:t>,</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359-60;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116.</w:t>
      </w:r>
    </w:p>
  </w:footnote>
  <w:footnote w:id="566">
    <w:p w14:paraId="442C45C9" w14:textId="77777777" w:rsidR="00C40F9B" w:rsidRPr="009D7635" w:rsidRDefault="00C40F9B" w:rsidP="00C40F9B">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Contradictory conclusions have been reached concerning the relative chronology of Alexander’s Glossa and Philip the Chancellor’s </w:t>
      </w:r>
      <w:r w:rsidRPr="009D7635">
        <w:rPr>
          <w:rFonts w:ascii="Times New Roman" w:hAnsi="Times New Roman" w:cs="Times New Roman"/>
          <w:i/>
          <w:iCs/>
          <w:color w:val="000000" w:themeColor="text1"/>
          <w:sz w:val="20"/>
          <w:szCs w:val="20"/>
          <w:lang w:val="en-US"/>
        </w:rPr>
        <w:t>Summa de bono.</w:t>
      </w:r>
      <w:r w:rsidRPr="009D7635">
        <w:rPr>
          <w:rFonts w:ascii="Times New Roman" w:hAnsi="Times New Roman" w:cs="Times New Roman"/>
          <w:color w:val="000000" w:themeColor="text1"/>
          <w:sz w:val="20"/>
          <w:szCs w:val="20"/>
          <w:lang w:val="en-US"/>
        </w:rPr>
        <w:t xml:space="preserve"> The editors of the Glossa maintain the temporal priority of Alexander’s work, whereas Nicolaus </w:t>
      </w:r>
      <w:proofErr w:type="spellStart"/>
      <w:r w:rsidRPr="009D7635">
        <w:rPr>
          <w:rFonts w:ascii="Times New Roman" w:hAnsi="Times New Roman" w:cs="Times New Roman"/>
          <w:color w:val="000000" w:themeColor="text1"/>
          <w:sz w:val="20"/>
          <w:szCs w:val="20"/>
          <w:lang w:val="en-US"/>
        </w:rPr>
        <w:t>Wicki</w:t>
      </w:r>
      <w:proofErr w:type="spellEnd"/>
      <w:r w:rsidRPr="009D7635">
        <w:rPr>
          <w:rFonts w:ascii="Times New Roman" w:hAnsi="Times New Roman" w:cs="Times New Roman"/>
          <w:color w:val="000000" w:themeColor="text1"/>
          <w:sz w:val="20"/>
          <w:szCs w:val="20"/>
          <w:lang w:val="en-US"/>
        </w:rPr>
        <w:t xml:space="preserve"> argues for the priority of the </w:t>
      </w:r>
      <w:r w:rsidRPr="009D7635">
        <w:rPr>
          <w:rFonts w:ascii="Times New Roman" w:hAnsi="Times New Roman" w:cs="Times New Roman"/>
          <w:i/>
          <w:color w:val="000000" w:themeColor="text1"/>
          <w:sz w:val="20"/>
          <w:szCs w:val="20"/>
          <w:lang w:val="en-US"/>
        </w:rPr>
        <w:t>Summa de bono</w:t>
      </w:r>
      <w:r w:rsidRPr="009D7635">
        <w:rPr>
          <w:rFonts w:ascii="Times New Roman" w:hAnsi="Times New Roman" w:cs="Times New Roman"/>
          <w:color w:val="000000" w:themeColor="text1"/>
          <w:sz w:val="20"/>
          <w:szCs w:val="20"/>
          <w:lang w:val="en-US"/>
        </w:rPr>
        <w:t xml:space="preserve">. See the ‘Prolegomena’ in Alexander’s </w:t>
      </w:r>
      <w:r w:rsidRPr="009D7635">
        <w:rPr>
          <w:rFonts w:ascii="Times New Roman" w:hAnsi="Times New Roman" w:cs="Times New Roman"/>
          <w:i/>
          <w:color w:val="000000" w:themeColor="text1"/>
          <w:sz w:val="20"/>
          <w:szCs w:val="20"/>
          <w:lang w:val="en-US"/>
        </w:rPr>
        <w:t xml:space="preserve">Glossa in </w:t>
      </w:r>
      <w:proofErr w:type="spellStart"/>
      <w:r w:rsidRPr="009D7635">
        <w:rPr>
          <w:rFonts w:ascii="Times New Roman" w:hAnsi="Times New Roman" w:cs="Times New Roman"/>
          <w:i/>
          <w:color w:val="000000" w:themeColor="text1"/>
          <w:sz w:val="20"/>
          <w:szCs w:val="20"/>
          <w:lang w:val="en-US"/>
        </w:rPr>
        <w:t>quatuor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libros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Sententiarum</w:t>
      </w:r>
      <w:proofErr w:type="spellEnd"/>
      <w:r w:rsidRPr="009D7635">
        <w:rPr>
          <w:rFonts w:ascii="Times New Roman" w:hAnsi="Times New Roman" w:cs="Times New Roman"/>
          <w:color w:val="000000" w:themeColor="text1"/>
          <w:sz w:val="20"/>
          <w:szCs w:val="20"/>
          <w:lang w:val="en-US"/>
        </w:rPr>
        <w:t xml:space="preserve"> and the Introduction in </w:t>
      </w:r>
      <w:proofErr w:type="spellStart"/>
      <w:r w:rsidRPr="009D7635">
        <w:rPr>
          <w:rFonts w:ascii="Times New Roman" w:hAnsi="Times New Roman" w:cs="Times New Roman"/>
          <w:color w:val="000000" w:themeColor="text1"/>
          <w:sz w:val="20"/>
          <w:szCs w:val="20"/>
          <w:lang w:val="en-US"/>
        </w:rPr>
        <w:t>Wicki’s</w:t>
      </w:r>
      <w:proofErr w:type="spellEnd"/>
      <w:r w:rsidRPr="009D7635">
        <w:rPr>
          <w:rFonts w:ascii="Times New Roman" w:hAnsi="Times New Roman" w:cs="Times New Roman"/>
          <w:color w:val="000000" w:themeColor="text1"/>
          <w:sz w:val="20"/>
          <w:szCs w:val="20"/>
          <w:lang w:val="en-US"/>
        </w:rPr>
        <w:t xml:space="preserve"> edition of the </w:t>
      </w:r>
      <w:r w:rsidRPr="009D7635">
        <w:rPr>
          <w:rFonts w:ascii="Times New Roman" w:hAnsi="Times New Roman" w:cs="Times New Roman"/>
          <w:i/>
          <w:color w:val="000000" w:themeColor="text1"/>
          <w:sz w:val="20"/>
          <w:szCs w:val="20"/>
          <w:lang w:val="en-US"/>
        </w:rPr>
        <w:t>Summa de bono</w:t>
      </w:r>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64-6. </w:t>
      </w:r>
    </w:p>
  </w:footnote>
  <w:footnote w:id="567">
    <w:p w14:paraId="7DE3132A" w14:textId="7E1CBA24"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182: </w:t>
      </w:r>
      <w:r w:rsidRPr="009D7635">
        <w:rPr>
          <w:rFonts w:ascii="Times New Roman" w:hAnsi="Times New Roman" w:cs="Times New Roman"/>
          <w:i/>
          <w:color w:val="000000" w:themeColor="text1"/>
          <w:kern w:val="1"/>
          <w:lang w:val="en-US"/>
        </w:rPr>
        <w:t xml:space="preserve">Anima </w:t>
      </w:r>
      <w:proofErr w:type="spellStart"/>
      <w:r w:rsidRPr="009D7635">
        <w:rPr>
          <w:rFonts w:ascii="Times New Roman" w:hAnsi="Times New Roman" w:cs="Times New Roman"/>
          <w:i/>
          <w:color w:val="000000" w:themeColor="text1"/>
          <w:kern w:val="1"/>
          <w:lang w:val="en-US"/>
        </w:rPr>
        <w:t>secundum</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sui</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operis</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officium</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variis</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nuncupatur</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nominibus</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dicitur</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namque</w:t>
      </w:r>
      <w:proofErr w:type="spellEnd"/>
      <w:r w:rsidRPr="009D7635">
        <w:rPr>
          <w:rFonts w:ascii="Times New Roman" w:hAnsi="Times New Roman" w:cs="Times New Roman"/>
          <w:i/>
          <w:color w:val="000000" w:themeColor="text1"/>
          <w:kern w:val="1"/>
          <w:lang w:val="en-US"/>
        </w:rPr>
        <w:t xml:space="preserve"> anima dum </w:t>
      </w:r>
      <w:proofErr w:type="spellStart"/>
      <w:r w:rsidRPr="009D7635">
        <w:rPr>
          <w:rFonts w:ascii="Times New Roman" w:hAnsi="Times New Roman" w:cs="Times New Roman"/>
          <w:i/>
          <w:color w:val="000000" w:themeColor="text1"/>
          <w:kern w:val="1"/>
          <w:lang w:val="en-US"/>
        </w:rPr>
        <w:t>vegetat</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sensus</w:t>
      </w:r>
      <w:proofErr w:type="spellEnd"/>
      <w:r w:rsidRPr="009D7635">
        <w:rPr>
          <w:rFonts w:ascii="Times New Roman" w:hAnsi="Times New Roman" w:cs="Times New Roman"/>
          <w:i/>
          <w:color w:val="000000" w:themeColor="text1"/>
          <w:kern w:val="1"/>
          <w:lang w:val="en-US"/>
        </w:rPr>
        <w:t xml:space="preserve"> dum </w:t>
      </w:r>
      <w:proofErr w:type="spellStart"/>
      <w:r w:rsidRPr="009D7635">
        <w:rPr>
          <w:rFonts w:ascii="Times New Roman" w:hAnsi="Times New Roman" w:cs="Times New Roman"/>
          <w:i/>
          <w:color w:val="000000" w:themeColor="text1"/>
          <w:kern w:val="1"/>
          <w:lang w:val="en-US"/>
        </w:rPr>
        <w:t>sentit</w:t>
      </w:r>
      <w:proofErr w:type="spellEnd"/>
      <w:r w:rsidRPr="009D7635">
        <w:rPr>
          <w:rFonts w:ascii="Times New Roman" w:hAnsi="Times New Roman" w:cs="Times New Roman"/>
          <w:i/>
          <w:color w:val="000000" w:themeColor="text1"/>
          <w:kern w:val="1"/>
          <w:lang w:val="en-US"/>
        </w:rPr>
        <w:t xml:space="preserve">; animus dum </w:t>
      </w:r>
      <w:proofErr w:type="spellStart"/>
      <w:r w:rsidRPr="009D7635">
        <w:rPr>
          <w:rFonts w:ascii="Times New Roman" w:hAnsi="Times New Roman" w:cs="Times New Roman"/>
          <w:i/>
          <w:color w:val="000000" w:themeColor="text1"/>
          <w:kern w:val="1"/>
          <w:lang w:val="en-US"/>
        </w:rPr>
        <w:t>sapit</w:t>
      </w:r>
      <w:proofErr w:type="spellEnd"/>
      <w:r w:rsidRPr="009D7635">
        <w:rPr>
          <w:rFonts w:ascii="Times New Roman" w:hAnsi="Times New Roman" w:cs="Times New Roman"/>
          <w:i/>
          <w:color w:val="000000" w:themeColor="text1"/>
          <w:kern w:val="1"/>
          <w:lang w:val="en-US"/>
        </w:rPr>
        <w:t xml:space="preserve">; mens dum </w:t>
      </w:r>
      <w:proofErr w:type="spellStart"/>
      <w:r w:rsidRPr="009D7635">
        <w:rPr>
          <w:rFonts w:ascii="Times New Roman" w:hAnsi="Times New Roman" w:cs="Times New Roman"/>
          <w:i/>
          <w:color w:val="000000" w:themeColor="text1"/>
          <w:kern w:val="1"/>
          <w:lang w:val="en-US"/>
        </w:rPr>
        <w:t>intelligit</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racio</w:t>
      </w:r>
      <w:proofErr w:type="spellEnd"/>
      <w:r w:rsidRPr="009D7635">
        <w:rPr>
          <w:rFonts w:ascii="Times New Roman" w:hAnsi="Times New Roman" w:cs="Times New Roman"/>
          <w:i/>
          <w:color w:val="000000" w:themeColor="text1"/>
          <w:kern w:val="1"/>
          <w:lang w:val="en-US"/>
        </w:rPr>
        <w:t xml:space="preserve"> dum </w:t>
      </w:r>
      <w:proofErr w:type="spellStart"/>
      <w:r w:rsidRPr="009D7635">
        <w:rPr>
          <w:rFonts w:ascii="Times New Roman" w:hAnsi="Times New Roman" w:cs="Times New Roman"/>
          <w:i/>
          <w:color w:val="000000" w:themeColor="text1"/>
          <w:kern w:val="1"/>
          <w:lang w:val="en-US"/>
        </w:rPr>
        <w:t>discernit</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memoria</w:t>
      </w:r>
      <w:proofErr w:type="spellEnd"/>
      <w:r w:rsidRPr="009D7635">
        <w:rPr>
          <w:rFonts w:ascii="Times New Roman" w:hAnsi="Times New Roman" w:cs="Times New Roman"/>
          <w:i/>
          <w:color w:val="000000" w:themeColor="text1"/>
          <w:kern w:val="1"/>
          <w:lang w:val="en-US"/>
        </w:rPr>
        <w:t xml:space="preserve"> dum </w:t>
      </w:r>
      <w:proofErr w:type="spellStart"/>
      <w:r w:rsidRPr="009D7635">
        <w:rPr>
          <w:rFonts w:ascii="Times New Roman" w:hAnsi="Times New Roman" w:cs="Times New Roman"/>
          <w:i/>
          <w:color w:val="000000" w:themeColor="text1"/>
          <w:kern w:val="1"/>
          <w:lang w:val="en-US"/>
        </w:rPr>
        <w:t>recordatur</w:t>
      </w:r>
      <w:proofErr w:type="spellEnd"/>
      <w:r w:rsidRPr="009D7635">
        <w:rPr>
          <w:rFonts w:ascii="Times New Roman" w:hAnsi="Times New Roman" w:cs="Times New Roman"/>
          <w:i/>
          <w:color w:val="000000" w:themeColor="text1"/>
          <w:kern w:val="1"/>
          <w:lang w:val="en-US"/>
        </w:rPr>
        <w:t xml:space="preserve">; dum </w:t>
      </w:r>
      <w:proofErr w:type="spellStart"/>
      <w:r w:rsidRPr="009D7635">
        <w:rPr>
          <w:rFonts w:ascii="Times New Roman" w:hAnsi="Times New Roman" w:cs="Times New Roman"/>
          <w:i/>
          <w:color w:val="000000" w:themeColor="text1"/>
          <w:kern w:val="1"/>
          <w:lang w:val="en-US"/>
        </w:rPr>
        <w:t>vult</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voluntas</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Ista</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tamen</w:t>
      </w:r>
      <w:proofErr w:type="spellEnd"/>
      <w:r w:rsidRPr="009D7635">
        <w:rPr>
          <w:rFonts w:ascii="Times New Roman" w:hAnsi="Times New Roman" w:cs="Times New Roman"/>
          <w:i/>
          <w:color w:val="000000" w:themeColor="text1"/>
          <w:kern w:val="1"/>
          <w:lang w:val="en-US"/>
        </w:rPr>
        <w:t xml:space="preserve"> non </w:t>
      </w:r>
      <w:proofErr w:type="spellStart"/>
      <w:r w:rsidRPr="009D7635">
        <w:rPr>
          <w:rFonts w:ascii="Times New Roman" w:hAnsi="Times New Roman" w:cs="Times New Roman"/>
          <w:i/>
          <w:color w:val="000000" w:themeColor="text1"/>
          <w:kern w:val="1"/>
          <w:lang w:val="en-US"/>
        </w:rPr>
        <w:t>differunt</w:t>
      </w:r>
      <w:proofErr w:type="spellEnd"/>
      <w:r w:rsidRPr="009D7635">
        <w:rPr>
          <w:rFonts w:ascii="Times New Roman" w:hAnsi="Times New Roman" w:cs="Times New Roman"/>
          <w:i/>
          <w:color w:val="000000" w:themeColor="text1"/>
          <w:kern w:val="1"/>
          <w:lang w:val="en-US"/>
        </w:rPr>
        <w:t xml:space="preserve"> in </w:t>
      </w:r>
      <w:proofErr w:type="spellStart"/>
      <w:r w:rsidRPr="009D7635">
        <w:rPr>
          <w:rFonts w:ascii="Times New Roman" w:hAnsi="Times New Roman" w:cs="Times New Roman"/>
          <w:i/>
          <w:color w:val="000000" w:themeColor="text1"/>
          <w:kern w:val="1"/>
          <w:lang w:val="en-US"/>
        </w:rPr>
        <w:t>substancia</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quemadmodum</w:t>
      </w:r>
      <w:proofErr w:type="spellEnd"/>
      <w:r w:rsidRPr="009D7635">
        <w:rPr>
          <w:rFonts w:ascii="Times New Roman" w:hAnsi="Times New Roman" w:cs="Times New Roman"/>
          <w:i/>
          <w:color w:val="000000" w:themeColor="text1"/>
          <w:kern w:val="1"/>
          <w:lang w:val="en-US"/>
        </w:rPr>
        <w:t xml:space="preserve"> in </w:t>
      </w:r>
      <w:proofErr w:type="spellStart"/>
      <w:r w:rsidRPr="009D7635">
        <w:rPr>
          <w:rFonts w:ascii="Times New Roman" w:hAnsi="Times New Roman" w:cs="Times New Roman"/>
          <w:i/>
          <w:color w:val="000000" w:themeColor="text1"/>
          <w:kern w:val="1"/>
          <w:lang w:val="en-US"/>
        </w:rPr>
        <w:t>nominibus</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quoniam</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ista</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omnia</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una</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sunt</w:t>
      </w:r>
      <w:proofErr w:type="spellEnd"/>
      <w:r w:rsidRPr="009D7635">
        <w:rPr>
          <w:rFonts w:ascii="Times New Roman" w:hAnsi="Times New Roman" w:cs="Times New Roman"/>
          <w:i/>
          <w:color w:val="000000" w:themeColor="text1"/>
          <w:kern w:val="1"/>
          <w:lang w:val="en-US"/>
        </w:rPr>
        <w:t xml:space="preserve"> anima, </w:t>
      </w:r>
      <w:proofErr w:type="spellStart"/>
      <w:r w:rsidRPr="009D7635">
        <w:rPr>
          <w:rFonts w:ascii="Times New Roman" w:hAnsi="Times New Roman" w:cs="Times New Roman"/>
          <w:i/>
          <w:color w:val="000000" w:themeColor="text1"/>
          <w:kern w:val="1"/>
          <w:lang w:val="en-US"/>
        </w:rPr>
        <w:t>proprietates</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quidem</w:t>
      </w:r>
      <w:proofErr w:type="spellEnd"/>
      <w:r w:rsidRPr="009D7635">
        <w:rPr>
          <w:rFonts w:ascii="Times New Roman" w:hAnsi="Times New Roman" w:cs="Times New Roman"/>
          <w:i/>
          <w:color w:val="000000" w:themeColor="text1"/>
          <w:kern w:val="1"/>
          <w:lang w:val="en-US"/>
        </w:rPr>
        <w:t xml:space="preserve"> diverse, sed </w:t>
      </w:r>
      <w:proofErr w:type="spellStart"/>
      <w:r w:rsidRPr="009D7635">
        <w:rPr>
          <w:rFonts w:ascii="Times New Roman" w:hAnsi="Times New Roman" w:cs="Times New Roman"/>
          <w:i/>
          <w:color w:val="000000" w:themeColor="text1"/>
          <w:kern w:val="1"/>
          <w:lang w:val="en-US"/>
        </w:rPr>
        <w:t>essencia</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una</w:t>
      </w:r>
      <w:proofErr w:type="spellEnd"/>
      <w:r w:rsidRPr="009D7635">
        <w:rPr>
          <w:rFonts w:ascii="Times New Roman" w:hAnsi="Times New Roman" w:cs="Times New Roman"/>
          <w:i/>
          <w:color w:val="000000" w:themeColor="text1"/>
          <w:kern w:val="1"/>
          <w:lang w:val="en-US"/>
        </w:rPr>
        <w:t xml:space="preserve">. Ex quo </w:t>
      </w:r>
      <w:proofErr w:type="spellStart"/>
      <w:r w:rsidRPr="009D7635">
        <w:rPr>
          <w:rFonts w:ascii="Times New Roman" w:hAnsi="Times New Roman" w:cs="Times New Roman"/>
          <w:i/>
          <w:color w:val="000000" w:themeColor="text1"/>
          <w:kern w:val="1"/>
          <w:lang w:val="en-US"/>
        </w:rPr>
        <w:t>relinquitur</w:t>
      </w:r>
      <w:proofErr w:type="spellEnd"/>
      <w:r w:rsidRPr="009D7635">
        <w:rPr>
          <w:rFonts w:ascii="Times New Roman" w:hAnsi="Times New Roman" w:cs="Times New Roman"/>
          <w:i/>
          <w:color w:val="000000" w:themeColor="text1"/>
          <w:kern w:val="1"/>
          <w:lang w:val="en-US"/>
        </w:rPr>
        <w:t xml:space="preserve"> quod anima </w:t>
      </w:r>
      <w:proofErr w:type="spellStart"/>
      <w:r w:rsidRPr="009D7635">
        <w:rPr>
          <w:rFonts w:ascii="Times New Roman" w:hAnsi="Times New Roman" w:cs="Times New Roman"/>
          <w:i/>
          <w:color w:val="000000" w:themeColor="text1"/>
          <w:kern w:val="1"/>
          <w:lang w:val="en-US"/>
        </w:rPr>
        <w:t>est</w:t>
      </w:r>
      <w:proofErr w:type="spellEnd"/>
      <w:r w:rsidRPr="009D7635">
        <w:rPr>
          <w:rFonts w:ascii="Times New Roman" w:hAnsi="Times New Roman" w:cs="Times New Roman"/>
          <w:i/>
          <w:color w:val="000000" w:themeColor="text1"/>
          <w:kern w:val="1"/>
          <w:lang w:val="en-US"/>
        </w:rPr>
        <w:t xml:space="preserve"> sue vires et </w:t>
      </w:r>
      <w:proofErr w:type="spellStart"/>
      <w:r w:rsidRPr="009D7635">
        <w:rPr>
          <w:rFonts w:ascii="Times New Roman" w:hAnsi="Times New Roman" w:cs="Times New Roman"/>
          <w:i/>
          <w:color w:val="000000" w:themeColor="text1"/>
          <w:kern w:val="1"/>
          <w:lang w:val="en-US"/>
        </w:rPr>
        <w:t>potencie</w:t>
      </w:r>
      <w:proofErr w:type="spellEnd"/>
      <w:r w:rsidRPr="009D7635">
        <w:rPr>
          <w:rFonts w:ascii="Times New Roman" w:hAnsi="Times New Roman" w:cs="Times New Roman"/>
          <w:i/>
          <w:color w:val="000000" w:themeColor="text1"/>
          <w:kern w:val="1"/>
          <w:lang w:val="en-US"/>
        </w:rPr>
        <w:t xml:space="preserve"> et </w:t>
      </w:r>
      <w:proofErr w:type="spellStart"/>
      <w:r w:rsidRPr="009D7635">
        <w:rPr>
          <w:rFonts w:ascii="Times New Roman" w:hAnsi="Times New Roman" w:cs="Times New Roman"/>
          <w:i/>
          <w:color w:val="000000" w:themeColor="text1"/>
          <w:kern w:val="1"/>
          <w:lang w:val="en-US"/>
        </w:rPr>
        <w:t>econverso</w:t>
      </w:r>
      <w:proofErr w:type="spellEnd"/>
      <w:r w:rsidRPr="009D7635">
        <w:rPr>
          <w:rFonts w:ascii="Times New Roman" w:hAnsi="Times New Roman" w:cs="Times New Roman"/>
          <w:i/>
          <w:color w:val="000000" w:themeColor="text1"/>
          <w:kern w:val="1"/>
          <w:lang w:val="en-US"/>
        </w:rPr>
        <w:t>.</w:t>
      </w:r>
    </w:p>
  </w:footnote>
  <w:footnote w:id="568">
    <w:p w14:paraId="0B6321E8"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184.</w:t>
      </w:r>
    </w:p>
  </w:footnote>
  <w:footnote w:id="569">
    <w:p w14:paraId="75186744" w14:textId="125927CB"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Magdalena </w:t>
      </w:r>
      <w:proofErr w:type="spellStart"/>
      <w:r w:rsidRPr="009D7635">
        <w:rPr>
          <w:rFonts w:ascii="Times New Roman" w:hAnsi="Times New Roman" w:cs="Times New Roman"/>
          <w:color w:val="000000" w:themeColor="text1"/>
        </w:rPr>
        <w:t>Bieniak</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The Body-Soul Problem at Paris</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lang w:val="en-US"/>
        </w:rPr>
        <w:t xml:space="preserve">93-4; </w:t>
      </w:r>
      <w:r w:rsidRPr="009D7635">
        <w:rPr>
          <w:rFonts w:ascii="Times New Roman" w:hAnsi="Times New Roman" w:cs="Times New Roman"/>
          <w:i/>
          <w:color w:val="000000" w:themeColor="text1"/>
          <w:lang w:val="en-US"/>
        </w:rPr>
        <w:t>Summa de anima</w:t>
      </w:r>
      <w:r w:rsidRPr="009D7635">
        <w:rPr>
          <w:rFonts w:ascii="Times New Roman" w:hAnsi="Times New Roman" w:cs="Times New Roman"/>
          <w:iCs/>
          <w:color w:val="000000" w:themeColor="text1"/>
          <w:lang w:val="en-US"/>
        </w:rPr>
        <w:t>,</w:t>
      </w:r>
      <w:r w:rsidRPr="009D7635">
        <w:rPr>
          <w:rFonts w:ascii="Times New Roman" w:hAnsi="Times New Roman" w:cs="Times New Roman"/>
          <w:i/>
          <w:color w:val="000000" w:themeColor="text1"/>
          <w:lang w:val="en-US"/>
        </w:rPr>
        <w:t xml:space="preserve"> </w:t>
      </w:r>
      <w:r w:rsidRPr="009D7635">
        <w:rPr>
          <w:rFonts w:ascii="Times New Roman" w:hAnsi="Times New Roman" w:cs="Times New Roman"/>
          <w:color w:val="000000" w:themeColor="text1"/>
          <w:lang w:val="en-US"/>
        </w:rPr>
        <w:t>118.</w:t>
      </w:r>
    </w:p>
  </w:footnote>
  <w:footnote w:id="570">
    <w:p w14:paraId="443E9F6D" w14:textId="285CFCAB" w:rsidR="00B93ED5" w:rsidRPr="009D7635" w:rsidRDefault="00B93ED5" w:rsidP="004C1CD7">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S1, Q3, Ti1, C2,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404: </w:t>
      </w:r>
      <w:r w:rsidRPr="009D7635">
        <w:rPr>
          <w:rFonts w:ascii="Times New Roman" w:hAnsi="Times New Roman" w:cs="Times New Roman"/>
          <w:i/>
          <w:color w:val="000000" w:themeColor="text1"/>
          <w:sz w:val="20"/>
          <w:szCs w:val="20"/>
        </w:rPr>
        <w:t xml:space="preserve">Ad quod </w:t>
      </w:r>
      <w:proofErr w:type="spellStart"/>
      <w:r w:rsidRPr="009D7635">
        <w:rPr>
          <w:rFonts w:ascii="Times New Roman" w:hAnsi="Times New Roman" w:cs="Times New Roman"/>
          <w:i/>
          <w:color w:val="000000" w:themeColor="text1"/>
          <w:sz w:val="20"/>
          <w:szCs w:val="20"/>
        </w:rPr>
        <w:t>potest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responderi</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una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substantia</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homine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habens</w:t>
      </w:r>
      <w:proofErr w:type="spellEnd"/>
      <w:r w:rsidRPr="009D7635">
        <w:rPr>
          <w:rFonts w:ascii="Times New Roman" w:hAnsi="Times New Roman" w:cs="Times New Roman"/>
          <w:i/>
          <w:color w:val="000000" w:themeColor="text1"/>
          <w:sz w:val="20"/>
          <w:szCs w:val="20"/>
        </w:rPr>
        <w:t xml:space="preserve"> has </w:t>
      </w:r>
      <w:proofErr w:type="spellStart"/>
      <w:r w:rsidRPr="009D7635">
        <w:rPr>
          <w:rFonts w:ascii="Times New Roman" w:hAnsi="Times New Roman" w:cs="Times New Roman"/>
          <w:i/>
          <w:color w:val="000000" w:themeColor="text1"/>
          <w:sz w:val="20"/>
          <w:szCs w:val="20"/>
        </w:rPr>
        <w:t>virtutes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unde</w:t>
      </w:r>
      <w:proofErr w:type="spellEnd"/>
      <w:r w:rsidRPr="009D7635">
        <w:rPr>
          <w:rFonts w:ascii="Times New Roman" w:hAnsi="Times New Roman" w:cs="Times New Roman"/>
          <w:i/>
          <w:color w:val="000000" w:themeColor="text1"/>
          <w:sz w:val="20"/>
          <w:szCs w:val="20"/>
        </w:rPr>
        <w:t xml:space="preserve"> ‘anima </w:t>
      </w:r>
      <w:proofErr w:type="spellStart"/>
      <w:r w:rsidRPr="009D7635">
        <w:rPr>
          <w:rFonts w:ascii="Times New Roman" w:hAnsi="Times New Roman" w:cs="Times New Roman"/>
          <w:i/>
          <w:color w:val="000000" w:themeColor="text1"/>
          <w:sz w:val="20"/>
          <w:szCs w:val="20"/>
        </w:rPr>
        <w:t>rationalis</w:t>
      </w:r>
      <w:proofErr w:type="spellEnd"/>
      <w:r w:rsidRPr="009D7635">
        <w:rPr>
          <w:rFonts w:ascii="Times New Roman" w:hAnsi="Times New Roman" w:cs="Times New Roman"/>
          <w:i/>
          <w:color w:val="000000" w:themeColor="text1"/>
          <w:sz w:val="20"/>
          <w:szCs w:val="20"/>
        </w:rPr>
        <w:t xml:space="preserve">, cum </w:t>
      </w:r>
      <w:proofErr w:type="spellStart"/>
      <w:r w:rsidRPr="009D7635">
        <w:rPr>
          <w:rFonts w:ascii="Times New Roman" w:hAnsi="Times New Roman" w:cs="Times New Roman"/>
          <w:i/>
          <w:color w:val="000000" w:themeColor="text1"/>
          <w:sz w:val="20"/>
          <w:szCs w:val="20"/>
        </w:rPr>
        <w:t>separatur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trahit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sensum</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imaginationem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sicut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dicitur</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libro</w:t>
      </w:r>
      <w:proofErr w:type="spellEnd"/>
      <w:r w:rsidRPr="009D7635">
        <w:rPr>
          <w:rFonts w:ascii="Times New Roman" w:hAnsi="Times New Roman" w:cs="Times New Roman"/>
          <w:i/>
          <w:color w:val="000000" w:themeColor="text1"/>
          <w:sz w:val="20"/>
          <w:szCs w:val="20"/>
        </w:rPr>
        <w:t xml:space="preserve"> De anima et </w:t>
      </w:r>
      <w:proofErr w:type="spellStart"/>
      <w:r w:rsidRPr="009D7635">
        <w:rPr>
          <w:rFonts w:ascii="Times New Roman" w:hAnsi="Times New Roman" w:cs="Times New Roman"/>
          <w:i/>
          <w:color w:val="000000" w:themeColor="text1"/>
          <w:sz w:val="20"/>
          <w:szCs w:val="20"/>
        </w:rPr>
        <w:t>spiritu</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w:t>
      </w:r>
    </w:p>
  </w:footnote>
  <w:footnote w:id="571">
    <w:p w14:paraId="3176FF07" w14:textId="1255F435" w:rsidR="00B93ED5" w:rsidRPr="009D7635" w:rsidRDefault="00B93ED5" w:rsidP="004C1CD7">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Q1, C1, 1, 424, citing DSEA 13: </w:t>
      </w:r>
      <w:r w:rsidRPr="009D7635">
        <w:rPr>
          <w:rFonts w:ascii="Times New Roman" w:hAnsi="Times New Roman" w:cs="Times New Roman"/>
          <w:i/>
          <w:color w:val="000000" w:themeColor="text1"/>
          <w:sz w:val="20"/>
          <w:szCs w:val="20"/>
        </w:rPr>
        <w:t xml:space="preserve">Anima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operis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officium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variis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nuncupatur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nominibus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Dicitur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namque</w:t>
      </w:r>
      <w:proofErr w:type="spellEnd"/>
      <w:r w:rsidRPr="009D7635">
        <w:rPr>
          <w:rFonts w:ascii="Times New Roman" w:hAnsi="Times New Roman" w:cs="Times New Roman"/>
          <w:i/>
          <w:color w:val="000000" w:themeColor="text1"/>
          <w:sz w:val="20"/>
          <w:szCs w:val="20"/>
        </w:rPr>
        <w:t xml:space="preserve"> anima, dum </w:t>
      </w:r>
      <w:proofErr w:type="spellStart"/>
      <w:r w:rsidRPr="009D7635">
        <w:rPr>
          <w:rFonts w:ascii="Times New Roman" w:hAnsi="Times New Roman" w:cs="Times New Roman"/>
          <w:i/>
          <w:color w:val="000000" w:themeColor="text1"/>
          <w:sz w:val="20"/>
          <w:szCs w:val="20"/>
        </w:rPr>
        <w:t>vegetat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sensus</w:t>
      </w:r>
      <w:proofErr w:type="spellEnd"/>
      <w:r w:rsidRPr="009D7635">
        <w:rPr>
          <w:rFonts w:ascii="Times New Roman" w:hAnsi="Times New Roman" w:cs="Times New Roman"/>
          <w:i/>
          <w:color w:val="000000" w:themeColor="text1"/>
          <w:sz w:val="20"/>
          <w:szCs w:val="20"/>
        </w:rPr>
        <w:t xml:space="preserve">, dum </w:t>
      </w:r>
      <w:proofErr w:type="spellStart"/>
      <w:r w:rsidRPr="009D7635">
        <w:rPr>
          <w:rFonts w:ascii="Times New Roman" w:hAnsi="Times New Roman" w:cs="Times New Roman"/>
          <w:i/>
          <w:color w:val="000000" w:themeColor="text1"/>
          <w:sz w:val="20"/>
          <w:szCs w:val="20"/>
        </w:rPr>
        <w:t>sentit</w:t>
      </w:r>
      <w:proofErr w:type="spellEnd"/>
      <w:r w:rsidRPr="009D7635">
        <w:rPr>
          <w:rFonts w:ascii="Times New Roman" w:hAnsi="Times New Roman" w:cs="Times New Roman"/>
          <w:i/>
          <w:color w:val="000000" w:themeColor="text1"/>
          <w:sz w:val="20"/>
          <w:szCs w:val="20"/>
        </w:rPr>
        <w:t xml:space="preserve">; animus, dum </w:t>
      </w:r>
      <w:proofErr w:type="spellStart"/>
      <w:r w:rsidRPr="009D7635">
        <w:rPr>
          <w:rFonts w:ascii="Times New Roman" w:hAnsi="Times New Roman" w:cs="Times New Roman"/>
          <w:i/>
          <w:color w:val="000000" w:themeColor="text1"/>
          <w:sz w:val="20"/>
          <w:szCs w:val="20"/>
        </w:rPr>
        <w:t>sapit</w:t>
      </w:r>
      <w:proofErr w:type="spellEnd"/>
      <w:r w:rsidRPr="009D7635">
        <w:rPr>
          <w:rFonts w:ascii="Times New Roman" w:hAnsi="Times New Roman" w:cs="Times New Roman"/>
          <w:i/>
          <w:color w:val="000000" w:themeColor="text1"/>
          <w:sz w:val="20"/>
          <w:szCs w:val="20"/>
        </w:rPr>
        <w:t xml:space="preserve">; mens, dum </w:t>
      </w:r>
      <w:proofErr w:type="spellStart"/>
      <w:r w:rsidRPr="009D7635">
        <w:rPr>
          <w:rFonts w:ascii="Times New Roman" w:hAnsi="Times New Roman" w:cs="Times New Roman"/>
          <w:i/>
          <w:color w:val="000000" w:themeColor="text1"/>
          <w:sz w:val="20"/>
          <w:szCs w:val="20"/>
        </w:rPr>
        <w:t>intelligit</w:t>
      </w:r>
      <w:proofErr w:type="spellEnd"/>
      <w:r w:rsidRPr="009D7635">
        <w:rPr>
          <w:rFonts w:ascii="Times New Roman" w:hAnsi="Times New Roman" w:cs="Times New Roman"/>
          <w:i/>
          <w:color w:val="000000" w:themeColor="text1"/>
          <w:sz w:val="20"/>
          <w:szCs w:val="20"/>
        </w:rPr>
        <w:t xml:space="preserve">; ratio, dum </w:t>
      </w:r>
      <w:proofErr w:type="spellStart"/>
      <w:r w:rsidRPr="009D7635">
        <w:rPr>
          <w:rFonts w:ascii="Times New Roman" w:hAnsi="Times New Roman" w:cs="Times New Roman"/>
          <w:i/>
          <w:color w:val="000000" w:themeColor="text1"/>
          <w:sz w:val="20"/>
          <w:szCs w:val="20"/>
        </w:rPr>
        <w:t>discernit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memoria</w:t>
      </w:r>
      <w:proofErr w:type="spellEnd"/>
      <w:r w:rsidRPr="009D7635">
        <w:rPr>
          <w:rFonts w:ascii="Times New Roman" w:hAnsi="Times New Roman" w:cs="Times New Roman"/>
          <w:i/>
          <w:color w:val="000000" w:themeColor="text1"/>
          <w:sz w:val="20"/>
          <w:szCs w:val="20"/>
        </w:rPr>
        <w:t xml:space="preserve">, dum </w:t>
      </w:r>
      <w:proofErr w:type="spellStart"/>
      <w:r w:rsidRPr="009D7635">
        <w:rPr>
          <w:rFonts w:ascii="Times New Roman" w:hAnsi="Times New Roman" w:cs="Times New Roman"/>
          <w:i/>
          <w:color w:val="000000" w:themeColor="text1"/>
          <w:sz w:val="20"/>
          <w:szCs w:val="20"/>
        </w:rPr>
        <w:t>recordatur</w:t>
      </w:r>
      <w:proofErr w:type="spellEnd"/>
      <w:r w:rsidRPr="009D7635">
        <w:rPr>
          <w:rFonts w:ascii="Times New Roman" w:hAnsi="Times New Roman" w:cs="Times New Roman"/>
          <w:i/>
          <w:color w:val="000000" w:themeColor="text1"/>
          <w:sz w:val="20"/>
          <w:szCs w:val="20"/>
        </w:rPr>
        <w:t xml:space="preserve">; dum </w:t>
      </w:r>
      <w:proofErr w:type="spellStart"/>
      <w:r w:rsidRPr="009D7635">
        <w:rPr>
          <w:rFonts w:ascii="Times New Roman" w:hAnsi="Times New Roman" w:cs="Times New Roman"/>
          <w:i/>
          <w:color w:val="000000" w:themeColor="text1"/>
          <w:sz w:val="20"/>
          <w:szCs w:val="20"/>
        </w:rPr>
        <w:t>vult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voluntas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Ista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tamen</w:t>
      </w:r>
      <w:proofErr w:type="spellEnd"/>
      <w:r w:rsidRPr="009D7635">
        <w:rPr>
          <w:rFonts w:ascii="Times New Roman" w:hAnsi="Times New Roman" w:cs="Times New Roman"/>
          <w:i/>
          <w:color w:val="000000" w:themeColor="text1"/>
          <w:sz w:val="20"/>
          <w:szCs w:val="20"/>
        </w:rPr>
        <w:t xml:space="preserve"> non </w:t>
      </w:r>
      <w:proofErr w:type="spellStart"/>
      <w:r w:rsidRPr="009D7635">
        <w:rPr>
          <w:rFonts w:ascii="Times New Roman" w:hAnsi="Times New Roman" w:cs="Times New Roman"/>
          <w:i/>
          <w:color w:val="000000" w:themeColor="text1"/>
          <w:sz w:val="20"/>
          <w:szCs w:val="20"/>
        </w:rPr>
        <w:t>differunt</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substantia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quemadmodum</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nominibus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quoniam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omnia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ista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sunt</w:t>
      </w:r>
      <w:proofErr w:type="spellEnd"/>
      <w:r w:rsidRPr="009D7635">
        <w:rPr>
          <w:rFonts w:ascii="Times New Roman" w:hAnsi="Times New Roman" w:cs="Times New Roman"/>
          <w:i/>
          <w:color w:val="000000" w:themeColor="text1"/>
          <w:sz w:val="20"/>
          <w:szCs w:val="20"/>
        </w:rPr>
        <w:t xml:space="preserve"> anima; </w:t>
      </w:r>
      <w:proofErr w:type="spellStart"/>
      <w:r w:rsidRPr="009D7635">
        <w:rPr>
          <w:rFonts w:ascii="Times New Roman" w:hAnsi="Times New Roman" w:cs="Times New Roman"/>
          <w:i/>
          <w:color w:val="000000" w:themeColor="text1"/>
          <w:sz w:val="20"/>
          <w:szCs w:val="20"/>
        </w:rPr>
        <w:t>proprietates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quidem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diversae</w:t>
      </w:r>
      <w:proofErr w:type="spellEnd"/>
      <w:r w:rsidRPr="009D7635">
        <w:rPr>
          <w:rFonts w:ascii="Times New Roman" w:hAnsi="Times New Roman" w:cs="Times New Roman"/>
          <w:i/>
          <w:color w:val="000000" w:themeColor="text1"/>
          <w:sz w:val="20"/>
          <w:szCs w:val="20"/>
        </w:rPr>
        <w:t xml:space="preserve">, sed </w:t>
      </w:r>
      <w:proofErr w:type="spellStart"/>
      <w:r w:rsidRPr="009D7635">
        <w:rPr>
          <w:rFonts w:ascii="Times New Roman" w:hAnsi="Times New Roman" w:cs="Times New Roman"/>
          <w:i/>
          <w:color w:val="000000" w:themeColor="text1"/>
          <w:sz w:val="20"/>
          <w:szCs w:val="20"/>
        </w:rPr>
        <w:t>essentia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una</w:t>
      </w:r>
      <w:proofErr w:type="spellEnd"/>
      <w:r w:rsidRPr="009D7635">
        <w:rPr>
          <w:rFonts w:ascii="Times New Roman" w:hAnsi="Times New Roman" w:cs="Times New Roman"/>
          <w:i/>
          <w:color w:val="000000" w:themeColor="text1"/>
          <w:sz w:val="20"/>
          <w:szCs w:val="20"/>
        </w:rPr>
        <w:t>.</w:t>
      </w:r>
    </w:p>
  </w:footnote>
  <w:footnote w:id="572">
    <w:p w14:paraId="3D226EA2" w14:textId="06863EB1"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Q1, C1,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xml:space="preserve">, 425: </w:t>
      </w:r>
      <w:proofErr w:type="spellStart"/>
      <w:r w:rsidRPr="009D7635">
        <w:rPr>
          <w:rFonts w:ascii="Times New Roman" w:hAnsi="Times New Roman" w:cs="Times New Roman"/>
          <w:i/>
          <w:color w:val="000000" w:themeColor="text1"/>
          <w:lang w:val="en-US"/>
        </w:rPr>
        <w:t>Sicut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enim</w:t>
      </w:r>
      <w:proofErr w:type="spellEnd"/>
      <w:r w:rsidRPr="009D7635">
        <w:rPr>
          <w:rFonts w:ascii="Times New Roman" w:hAnsi="Times New Roman" w:cs="Times New Roman"/>
          <w:i/>
          <w:color w:val="000000" w:themeColor="text1"/>
          <w:lang w:val="en-US"/>
        </w:rPr>
        <w:t xml:space="preserve"> non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idem </w:t>
      </w:r>
      <w:proofErr w:type="spellStart"/>
      <w:r w:rsidRPr="009D7635">
        <w:rPr>
          <w:rFonts w:ascii="Times New Roman" w:hAnsi="Times New Roman" w:cs="Times New Roman"/>
          <w:i/>
          <w:color w:val="000000" w:themeColor="text1"/>
          <w:lang w:val="en-US"/>
        </w:rPr>
        <w:t>esse</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operari</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ita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nec</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essentia</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potentia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essentia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enim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animae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id per quod anima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absolute </w:t>
      </w:r>
      <w:proofErr w:type="spellStart"/>
      <w:r w:rsidRPr="009D7635">
        <w:rPr>
          <w:rFonts w:ascii="Times New Roman" w:hAnsi="Times New Roman" w:cs="Times New Roman"/>
          <w:i/>
          <w:color w:val="000000" w:themeColor="text1"/>
          <w:lang w:val="en-US"/>
        </w:rPr>
        <w:t>essentia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potentia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id per quod anima ad </w:t>
      </w:r>
      <w:proofErr w:type="spellStart"/>
      <w:r w:rsidRPr="009D7635">
        <w:rPr>
          <w:rFonts w:ascii="Times New Roman" w:hAnsi="Times New Roman" w:cs="Times New Roman"/>
          <w:i/>
          <w:color w:val="000000" w:themeColor="text1"/>
          <w:lang w:val="en-US"/>
        </w:rPr>
        <w:t>aliud</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efficiendum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vel</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recipiendum</w:t>
      </w:r>
      <w:proofErr w:type="spellEnd"/>
      <w:r w:rsidRPr="009D7635">
        <w:rPr>
          <w:rFonts w:ascii="Times New Roman" w:hAnsi="Times New Roman" w:cs="Times New Roman"/>
          <w:i/>
          <w:color w:val="000000" w:themeColor="text1"/>
          <w:lang w:val="en-US"/>
        </w:rPr>
        <w:t>.</w:t>
      </w:r>
    </w:p>
  </w:footnote>
  <w:footnote w:id="573">
    <w:p w14:paraId="6CFB1471" w14:textId="77777777" w:rsidR="00B93ED5" w:rsidRPr="009D7635" w:rsidRDefault="00B93ED5" w:rsidP="004C1CD7">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Q1, C1,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425. </w:t>
      </w:r>
    </w:p>
  </w:footnote>
  <w:footnote w:id="574">
    <w:p w14:paraId="774C19D9" w14:textId="59B1560C" w:rsidR="00B93ED5" w:rsidRPr="009D7635" w:rsidRDefault="00B93ED5" w:rsidP="004C1CD7">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Q1, C1,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1-2, 425: </w:t>
      </w:r>
      <w:r w:rsidRPr="009D7635">
        <w:rPr>
          <w:rFonts w:ascii="Times New Roman" w:hAnsi="Times New Roman" w:cs="Times New Roman"/>
          <w:i/>
          <w:color w:val="000000" w:themeColor="text1"/>
          <w:sz w:val="20"/>
          <w:szCs w:val="20"/>
          <w:lang w:val="en-US"/>
        </w:rPr>
        <w:t xml:space="preserve">Ad hoc </w:t>
      </w:r>
      <w:proofErr w:type="spellStart"/>
      <w:r w:rsidRPr="009D7635">
        <w:rPr>
          <w:rFonts w:ascii="Times New Roman" w:hAnsi="Times New Roman" w:cs="Times New Roman"/>
          <w:i/>
          <w:color w:val="000000" w:themeColor="text1"/>
          <w:sz w:val="20"/>
          <w:szCs w:val="20"/>
          <w:lang w:val="en-US"/>
        </w:rPr>
        <w:t>dicunt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quidam</w:t>
      </w:r>
      <w:proofErr w:type="spellEnd"/>
      <w:r w:rsidRPr="009D7635">
        <w:rPr>
          <w:rFonts w:ascii="Times New Roman" w:hAnsi="Times New Roman" w:cs="Times New Roman"/>
          <w:i/>
          <w:color w:val="000000" w:themeColor="text1"/>
          <w:sz w:val="20"/>
          <w:szCs w:val="20"/>
          <w:lang w:val="en-US"/>
        </w:rPr>
        <w:t xml:space="preserve"> quod in </w:t>
      </w:r>
      <w:proofErr w:type="spellStart"/>
      <w:r w:rsidRPr="009D7635">
        <w:rPr>
          <w:rFonts w:ascii="Times New Roman" w:hAnsi="Times New Roman" w:cs="Times New Roman"/>
          <w:i/>
          <w:color w:val="000000" w:themeColor="text1"/>
          <w:sz w:val="20"/>
          <w:szCs w:val="20"/>
          <w:lang w:val="en-US"/>
        </w:rPr>
        <w:t>nullo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alio</w:t>
      </w:r>
      <w:proofErr w:type="spellEnd"/>
      <w:r w:rsidRPr="009D7635">
        <w:rPr>
          <w:rFonts w:ascii="Times New Roman" w:hAnsi="Times New Roman" w:cs="Times New Roman"/>
          <w:i/>
          <w:color w:val="000000" w:themeColor="text1"/>
          <w:sz w:val="20"/>
          <w:szCs w:val="20"/>
          <w:lang w:val="en-US"/>
        </w:rPr>
        <w:t xml:space="preserve"> a Primo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idem </w:t>
      </w:r>
      <w:proofErr w:type="spellStart"/>
      <w:r w:rsidRPr="009D7635">
        <w:rPr>
          <w:rFonts w:ascii="Times New Roman" w:hAnsi="Times New Roman" w:cs="Times New Roman"/>
          <w:i/>
          <w:color w:val="000000" w:themeColor="text1"/>
          <w:sz w:val="20"/>
          <w:szCs w:val="20"/>
          <w:lang w:val="en-US"/>
        </w:rPr>
        <w:t>essentia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rei</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sua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unde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dicunt</w:t>
      </w:r>
      <w:proofErr w:type="spellEnd"/>
      <w:r w:rsidRPr="009D7635">
        <w:rPr>
          <w:rFonts w:ascii="Times New Roman" w:hAnsi="Times New Roman" w:cs="Times New Roman"/>
          <w:i/>
          <w:color w:val="000000" w:themeColor="text1"/>
          <w:sz w:val="20"/>
          <w:szCs w:val="20"/>
          <w:lang w:val="en-US"/>
        </w:rPr>
        <w:t xml:space="preserve"> quod anima non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idem in </w:t>
      </w:r>
      <w:proofErr w:type="spellStart"/>
      <w:r w:rsidRPr="009D7635">
        <w:rPr>
          <w:rFonts w:ascii="Times New Roman" w:hAnsi="Times New Roman" w:cs="Times New Roman"/>
          <w:i/>
          <w:color w:val="000000" w:themeColor="text1"/>
          <w:sz w:val="20"/>
          <w:szCs w:val="20"/>
          <w:lang w:val="en-US"/>
        </w:rPr>
        <w:t>essentia</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sua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tamen</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idem in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idem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operari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essentia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animae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id per quod 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absolute </w:t>
      </w:r>
      <w:proofErr w:type="spellStart"/>
      <w:r w:rsidRPr="009D7635">
        <w:rPr>
          <w:rFonts w:ascii="Times New Roman" w:hAnsi="Times New Roman" w:cs="Times New Roman"/>
          <w:i/>
          <w:color w:val="000000" w:themeColor="text1"/>
          <w:sz w:val="20"/>
          <w:szCs w:val="20"/>
          <w:lang w:val="en-US"/>
        </w:rPr>
        <w:t>essentia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id per quod anima ad </w:t>
      </w:r>
      <w:proofErr w:type="spellStart"/>
      <w:r w:rsidRPr="009D7635">
        <w:rPr>
          <w:rFonts w:ascii="Times New Roman" w:hAnsi="Times New Roman" w:cs="Times New Roman"/>
          <w:i/>
          <w:color w:val="000000" w:themeColor="text1"/>
          <w:sz w:val="20"/>
          <w:szCs w:val="20"/>
          <w:lang w:val="en-US"/>
        </w:rPr>
        <w:t>aliud</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efficiendum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recipiendum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tamen</w:t>
      </w:r>
      <w:proofErr w:type="spellEnd"/>
      <w:r w:rsidRPr="009D7635">
        <w:rPr>
          <w:rFonts w:ascii="Times New Roman" w:hAnsi="Times New Roman" w:cs="Times New Roman"/>
          <w:i/>
          <w:color w:val="000000" w:themeColor="text1"/>
          <w:sz w:val="20"/>
          <w:szCs w:val="20"/>
          <w:lang w:val="en-US"/>
        </w:rPr>
        <w:t xml:space="preserve"> quod idem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eo</w:t>
      </w:r>
      <w:proofErr w:type="spellEnd"/>
      <w:r w:rsidRPr="009D7635">
        <w:rPr>
          <w:rFonts w:ascii="Times New Roman" w:hAnsi="Times New Roman" w:cs="Times New Roman"/>
          <w:i/>
          <w:color w:val="000000" w:themeColor="text1"/>
          <w:sz w:val="20"/>
          <w:szCs w:val="20"/>
          <w:lang w:val="en-US"/>
        </w:rPr>
        <w:t xml:space="preserve"> quod anima non </w:t>
      </w:r>
      <w:proofErr w:type="spellStart"/>
      <w:r w:rsidRPr="009D7635">
        <w:rPr>
          <w:rFonts w:ascii="Times New Roman" w:hAnsi="Times New Roman" w:cs="Times New Roman"/>
          <w:i/>
          <w:color w:val="000000" w:themeColor="text1"/>
          <w:sz w:val="20"/>
          <w:szCs w:val="20"/>
          <w:lang w:val="en-US"/>
        </w:rPr>
        <w:t>subsistat</w:t>
      </w:r>
      <w:proofErr w:type="spellEnd"/>
      <w:r w:rsidRPr="009D7635">
        <w:rPr>
          <w:rFonts w:ascii="Times New Roman" w:hAnsi="Times New Roman" w:cs="Times New Roman"/>
          <w:i/>
          <w:color w:val="000000" w:themeColor="text1"/>
          <w:sz w:val="20"/>
          <w:szCs w:val="20"/>
          <w:lang w:val="en-US"/>
        </w:rPr>
        <w:t xml:space="preserve"> sine </w:t>
      </w:r>
      <w:proofErr w:type="spellStart"/>
      <w:r w:rsidRPr="009D7635">
        <w:rPr>
          <w:rFonts w:ascii="Times New Roman" w:hAnsi="Times New Roman" w:cs="Times New Roman"/>
          <w:i/>
          <w:color w:val="000000" w:themeColor="text1"/>
          <w:sz w:val="20"/>
          <w:szCs w:val="20"/>
          <w:lang w:val="en-US"/>
        </w:rPr>
        <w:t>suis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intelligatur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ipsae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potentiae</w:t>
      </w:r>
      <w:proofErr w:type="spellEnd"/>
      <w:r w:rsidRPr="009D7635">
        <w:rPr>
          <w:rFonts w:ascii="Times New Roman" w:hAnsi="Times New Roman" w:cs="Times New Roman"/>
          <w:i/>
          <w:color w:val="000000" w:themeColor="text1"/>
          <w:sz w:val="20"/>
          <w:szCs w:val="20"/>
          <w:lang w:val="en-US"/>
        </w:rPr>
        <w:t xml:space="preserve"> sine anima. </w:t>
      </w:r>
      <w:proofErr w:type="spellStart"/>
      <w:r w:rsidRPr="009D7635">
        <w:rPr>
          <w:rFonts w:ascii="Times New Roman" w:hAnsi="Times New Roman" w:cs="Times New Roman"/>
          <w:i/>
          <w:color w:val="000000" w:themeColor="text1"/>
          <w:sz w:val="20"/>
          <w:szCs w:val="20"/>
          <w:lang w:val="en-US"/>
        </w:rPr>
        <w:t>Identitas</w:t>
      </w:r>
      <w:proofErr w:type="spellEnd"/>
      <w:r w:rsidRPr="009D7635">
        <w:rPr>
          <w:rFonts w:ascii="Times New Roman" w:hAnsi="Times New Roman" w:cs="Times New Roman"/>
          <w:i/>
          <w:color w:val="000000" w:themeColor="text1"/>
          <w:sz w:val="20"/>
          <w:szCs w:val="20"/>
          <w:lang w:val="en-US"/>
        </w:rPr>
        <w:t xml:space="preserve"> ergo, </w:t>
      </w:r>
      <w:proofErr w:type="spellStart"/>
      <w:r w:rsidRPr="009D7635">
        <w:rPr>
          <w:rFonts w:ascii="Times New Roman" w:hAnsi="Times New Roman" w:cs="Times New Roman"/>
          <w:i/>
          <w:color w:val="000000" w:themeColor="text1"/>
          <w:sz w:val="20"/>
          <w:szCs w:val="20"/>
          <w:lang w:val="en-US"/>
        </w:rPr>
        <w:t>quam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ponit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Augustinus</w:t>
      </w:r>
      <w:proofErr w:type="spellEnd"/>
      <w:r w:rsidRPr="009D7635">
        <w:rPr>
          <w:rFonts w:ascii="Times New Roman" w:hAnsi="Times New Roman" w:cs="Times New Roman"/>
          <w:i/>
          <w:color w:val="000000" w:themeColor="text1"/>
          <w:sz w:val="20"/>
          <w:szCs w:val="20"/>
          <w:lang w:val="en-US"/>
        </w:rPr>
        <w:t xml:space="preserve">, referenda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substantiam</w:t>
      </w:r>
      <w:proofErr w:type="spellEnd"/>
      <w:r w:rsidRPr="009D7635">
        <w:rPr>
          <w:rFonts w:ascii="Times New Roman" w:hAnsi="Times New Roman" w:cs="Times New Roman"/>
          <w:i/>
          <w:color w:val="000000" w:themeColor="text1"/>
          <w:sz w:val="20"/>
          <w:szCs w:val="20"/>
          <w:lang w:val="en-US"/>
        </w:rPr>
        <w:t xml:space="preserve">, non ad </w:t>
      </w:r>
      <w:proofErr w:type="spellStart"/>
      <w:r w:rsidRPr="009D7635">
        <w:rPr>
          <w:rFonts w:ascii="Times New Roman" w:hAnsi="Times New Roman" w:cs="Times New Roman"/>
          <w:i/>
          <w:color w:val="000000" w:themeColor="text1"/>
          <w:sz w:val="20"/>
          <w:szCs w:val="20"/>
          <w:lang w:val="en-US"/>
        </w:rPr>
        <w:t>essentiam</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tamen</w:t>
      </w:r>
      <w:proofErr w:type="spellEnd"/>
      <w:r w:rsidRPr="009D7635">
        <w:rPr>
          <w:rFonts w:ascii="Times New Roman" w:hAnsi="Times New Roman" w:cs="Times New Roman"/>
          <w:i/>
          <w:color w:val="000000" w:themeColor="text1"/>
          <w:sz w:val="20"/>
          <w:szCs w:val="20"/>
          <w:lang w:val="en-US"/>
        </w:rPr>
        <w:t xml:space="preserve"> quod idem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eo</w:t>
      </w:r>
      <w:proofErr w:type="spellEnd"/>
      <w:r w:rsidRPr="009D7635">
        <w:rPr>
          <w:rFonts w:ascii="Times New Roman" w:hAnsi="Times New Roman" w:cs="Times New Roman"/>
          <w:i/>
          <w:color w:val="000000" w:themeColor="text1"/>
          <w:sz w:val="20"/>
          <w:szCs w:val="20"/>
          <w:lang w:val="en-US"/>
        </w:rPr>
        <w:t xml:space="preserve"> quod anima non </w:t>
      </w:r>
      <w:proofErr w:type="spellStart"/>
      <w:r w:rsidRPr="009D7635">
        <w:rPr>
          <w:rFonts w:ascii="Times New Roman" w:hAnsi="Times New Roman" w:cs="Times New Roman"/>
          <w:i/>
          <w:color w:val="000000" w:themeColor="text1"/>
          <w:sz w:val="20"/>
          <w:szCs w:val="20"/>
          <w:lang w:val="en-US"/>
        </w:rPr>
        <w:t>subsistat</w:t>
      </w:r>
      <w:proofErr w:type="spellEnd"/>
      <w:r w:rsidRPr="009D7635">
        <w:rPr>
          <w:rFonts w:ascii="Times New Roman" w:hAnsi="Times New Roman" w:cs="Times New Roman"/>
          <w:i/>
          <w:color w:val="000000" w:themeColor="text1"/>
          <w:sz w:val="20"/>
          <w:szCs w:val="20"/>
          <w:lang w:val="en-US"/>
        </w:rPr>
        <w:t xml:space="preserve"> sine </w:t>
      </w:r>
      <w:proofErr w:type="spellStart"/>
      <w:r w:rsidRPr="009D7635">
        <w:rPr>
          <w:rFonts w:ascii="Times New Roman" w:hAnsi="Times New Roman" w:cs="Times New Roman"/>
          <w:i/>
          <w:color w:val="000000" w:themeColor="text1"/>
          <w:sz w:val="20"/>
          <w:szCs w:val="20"/>
          <w:lang w:val="en-US"/>
        </w:rPr>
        <w:t>suis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intelligatur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ipsae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potentiae</w:t>
      </w:r>
      <w:proofErr w:type="spellEnd"/>
      <w:r w:rsidRPr="009D7635">
        <w:rPr>
          <w:rFonts w:ascii="Times New Roman" w:hAnsi="Times New Roman" w:cs="Times New Roman"/>
          <w:i/>
          <w:color w:val="000000" w:themeColor="text1"/>
          <w:sz w:val="20"/>
          <w:szCs w:val="20"/>
          <w:lang w:val="en-US"/>
        </w:rPr>
        <w:t xml:space="preserve"> sine anima. </w:t>
      </w:r>
      <w:proofErr w:type="spellStart"/>
      <w:r w:rsidRPr="009D7635">
        <w:rPr>
          <w:rFonts w:ascii="Times New Roman" w:hAnsi="Times New Roman" w:cs="Times New Roman"/>
          <w:i/>
          <w:color w:val="000000" w:themeColor="text1"/>
          <w:sz w:val="20"/>
          <w:szCs w:val="20"/>
          <w:lang w:val="en-US"/>
        </w:rPr>
        <w:t>Identitas</w:t>
      </w:r>
      <w:proofErr w:type="spellEnd"/>
      <w:r w:rsidRPr="009D7635">
        <w:rPr>
          <w:rFonts w:ascii="Times New Roman" w:hAnsi="Times New Roman" w:cs="Times New Roman"/>
          <w:i/>
          <w:color w:val="000000" w:themeColor="text1"/>
          <w:sz w:val="20"/>
          <w:szCs w:val="20"/>
          <w:lang w:val="en-US"/>
        </w:rPr>
        <w:t xml:space="preserve"> ergo, </w:t>
      </w:r>
      <w:proofErr w:type="spellStart"/>
      <w:r w:rsidRPr="009D7635">
        <w:rPr>
          <w:rFonts w:ascii="Times New Roman" w:hAnsi="Times New Roman" w:cs="Times New Roman"/>
          <w:i/>
          <w:color w:val="000000" w:themeColor="text1"/>
          <w:sz w:val="20"/>
          <w:szCs w:val="20"/>
          <w:lang w:val="en-US"/>
        </w:rPr>
        <w:t>quam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ponit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Augustinus</w:t>
      </w:r>
      <w:proofErr w:type="spellEnd"/>
      <w:r w:rsidRPr="009D7635">
        <w:rPr>
          <w:rFonts w:ascii="Times New Roman" w:hAnsi="Times New Roman" w:cs="Times New Roman"/>
          <w:i/>
          <w:color w:val="000000" w:themeColor="text1"/>
          <w:sz w:val="20"/>
          <w:szCs w:val="20"/>
          <w:lang w:val="en-US"/>
        </w:rPr>
        <w:t xml:space="preserve">, referenda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substantiam</w:t>
      </w:r>
      <w:proofErr w:type="spellEnd"/>
      <w:r w:rsidRPr="009D7635">
        <w:rPr>
          <w:rFonts w:ascii="Times New Roman" w:hAnsi="Times New Roman" w:cs="Times New Roman"/>
          <w:i/>
          <w:color w:val="000000" w:themeColor="text1"/>
          <w:sz w:val="20"/>
          <w:szCs w:val="20"/>
          <w:lang w:val="en-US"/>
        </w:rPr>
        <w:t xml:space="preserve">, non ad </w:t>
      </w:r>
      <w:proofErr w:type="spellStart"/>
      <w:r w:rsidRPr="009D7635">
        <w:rPr>
          <w:rFonts w:ascii="Times New Roman" w:hAnsi="Times New Roman" w:cs="Times New Roman"/>
          <w:i/>
          <w:color w:val="000000" w:themeColor="text1"/>
          <w:sz w:val="20"/>
          <w:szCs w:val="20"/>
          <w:lang w:val="en-US"/>
        </w:rPr>
        <w:t>essentiam</w:t>
      </w:r>
      <w:proofErr w:type="spellEnd"/>
      <w:r w:rsidRPr="009D7635">
        <w:rPr>
          <w:rFonts w:ascii="Times New Roman" w:hAnsi="Times New Roman" w:cs="Times New Roman"/>
          <w:i/>
          <w:color w:val="000000" w:themeColor="text1"/>
          <w:sz w:val="20"/>
          <w:szCs w:val="20"/>
          <w:lang w:val="en-US"/>
        </w:rPr>
        <w:t>.</w:t>
      </w:r>
    </w:p>
  </w:footnote>
  <w:footnote w:id="575">
    <w:p w14:paraId="3D88A221" w14:textId="77777777" w:rsidR="00B93ED5" w:rsidRPr="009D7635" w:rsidRDefault="00B93ED5" w:rsidP="004C1CD7">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Q1, C1, Ad </w:t>
      </w:r>
      <w:proofErr w:type="spellStart"/>
      <w:r w:rsidRPr="009D7635">
        <w:rPr>
          <w:rFonts w:ascii="Times New Roman" w:hAnsi="Times New Roman" w:cs="Times New Roman"/>
          <w:color w:val="000000" w:themeColor="text1"/>
        </w:rPr>
        <w:t>objecta</w:t>
      </w:r>
      <w:proofErr w:type="spellEnd"/>
      <w:r w:rsidRPr="009D7635">
        <w:rPr>
          <w:rFonts w:ascii="Times New Roman" w:hAnsi="Times New Roman" w:cs="Times New Roman"/>
          <w:color w:val="000000" w:themeColor="text1"/>
        </w:rPr>
        <w:t xml:space="preserve"> 3, 425. </w:t>
      </w:r>
    </w:p>
  </w:footnote>
  <w:footnote w:id="576">
    <w:p w14:paraId="5122E38E" w14:textId="621C234D" w:rsidR="00B93ED5" w:rsidRPr="009D7635" w:rsidRDefault="00B93ED5" w:rsidP="00E212D3">
      <w:pPr>
        <w:rPr>
          <w:rFonts w:ascii="Times New Roman" w:eastAsia="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‘Les </w:t>
      </w:r>
      <w:proofErr w:type="spellStart"/>
      <w:r w:rsidRPr="009D7635">
        <w:rPr>
          <w:rFonts w:ascii="Times New Roman" w:hAnsi="Times New Roman" w:cs="Times New Roman"/>
          <w:color w:val="000000" w:themeColor="text1"/>
          <w:sz w:val="20"/>
          <w:szCs w:val="20"/>
        </w:rPr>
        <w:t>traités</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sur</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w:t>
      </w:r>
      <w:r w:rsidR="001E2F53" w:rsidRPr="009D7635">
        <w:rPr>
          <w:rFonts w:ascii="Times New Roman" w:hAnsi="Times New Roman" w:cs="Times New Roman"/>
          <w:color w:val="000000" w:themeColor="text1"/>
          <w:sz w:val="20"/>
          <w:szCs w:val="20"/>
        </w:rPr>
        <w:t>â</w:t>
      </w:r>
      <w:r w:rsidRPr="009D7635">
        <w:rPr>
          <w:rFonts w:ascii="Times New Roman" w:hAnsi="Times New Roman" w:cs="Times New Roman"/>
          <w:color w:val="000000" w:themeColor="text1"/>
          <w:sz w:val="20"/>
          <w:szCs w:val="20"/>
        </w:rPr>
        <w:t>me</w:t>
      </w:r>
      <w:proofErr w:type="spellEnd"/>
      <w:r w:rsidRPr="009D7635">
        <w:rPr>
          <w:rFonts w:ascii="Times New Roman" w:hAnsi="Times New Roman" w:cs="Times New Roman"/>
          <w:color w:val="000000" w:themeColor="text1"/>
          <w:sz w:val="20"/>
          <w:szCs w:val="20"/>
        </w:rPr>
        <w:t xml:space="preserve"> et les </w:t>
      </w:r>
      <w:proofErr w:type="spellStart"/>
      <w:r w:rsidRPr="009D7635">
        <w:rPr>
          <w:rFonts w:ascii="Times New Roman" w:hAnsi="Times New Roman" w:cs="Times New Roman"/>
          <w:color w:val="000000" w:themeColor="text1"/>
          <w:sz w:val="20"/>
          <w:szCs w:val="20"/>
        </w:rPr>
        <w:t>vertus</w:t>
      </w:r>
      <w:proofErr w:type="spellEnd"/>
      <w:r w:rsidRPr="009D7635">
        <w:rPr>
          <w:rFonts w:ascii="Times New Roman" w:hAnsi="Times New Roman" w:cs="Times New Roman"/>
          <w:color w:val="000000" w:themeColor="text1"/>
          <w:sz w:val="20"/>
          <w:szCs w:val="20"/>
        </w:rPr>
        <w:t xml:space="preserve"> de Jean de la Rochelle,’ </w:t>
      </w:r>
      <w:hyperlink r:id="rId3" w:history="1">
        <w:r w:rsidRPr="009D7635">
          <w:rPr>
            <w:rFonts w:ascii="Times New Roman" w:eastAsia="Times New Roman" w:hAnsi="Times New Roman" w:cs="Times New Roman"/>
            <w:i/>
            <w:color w:val="000000" w:themeColor="text1"/>
            <w:sz w:val="20"/>
            <w:szCs w:val="20"/>
          </w:rPr>
          <w:t xml:space="preserve">Revue </w:t>
        </w:r>
        <w:proofErr w:type="spellStart"/>
        <w:r w:rsidRPr="009D7635">
          <w:rPr>
            <w:rFonts w:ascii="Times New Roman" w:eastAsia="Times New Roman" w:hAnsi="Times New Roman" w:cs="Times New Roman"/>
            <w:i/>
            <w:color w:val="000000" w:themeColor="text1"/>
            <w:sz w:val="20"/>
            <w:szCs w:val="20"/>
          </w:rPr>
          <w:t>Philosophique</w:t>
        </w:r>
        <w:proofErr w:type="spellEnd"/>
        <w:r w:rsidRPr="009D7635">
          <w:rPr>
            <w:rFonts w:ascii="Times New Roman" w:eastAsia="Times New Roman" w:hAnsi="Times New Roman" w:cs="Times New Roman"/>
            <w:i/>
            <w:color w:val="000000" w:themeColor="text1"/>
            <w:sz w:val="20"/>
            <w:szCs w:val="20"/>
          </w:rPr>
          <w:t xml:space="preserve"> de </w:t>
        </w:r>
        <w:proofErr w:type="spellStart"/>
        <w:r w:rsidRPr="009D7635">
          <w:rPr>
            <w:rFonts w:ascii="Times New Roman" w:eastAsia="Times New Roman" w:hAnsi="Times New Roman" w:cs="Times New Roman"/>
            <w:i/>
            <w:color w:val="000000" w:themeColor="text1"/>
            <w:sz w:val="20"/>
            <w:szCs w:val="20"/>
          </w:rPr>
          <w:t>Louvain</w:t>
        </w:r>
        <w:proofErr w:type="spellEnd"/>
      </w:hyperlink>
      <w:r w:rsidRPr="009D7635">
        <w:rPr>
          <w:rFonts w:ascii="Times New Roman" w:eastAsia="Times New Roman" w:hAnsi="Times New Roman" w:cs="Times New Roman"/>
          <w:i/>
          <w:color w:val="000000" w:themeColor="text1"/>
          <w:sz w:val="20"/>
          <w:szCs w:val="20"/>
        </w:rPr>
        <w:t xml:space="preserve"> </w:t>
      </w:r>
      <w:r w:rsidRPr="009D7635">
        <w:rPr>
          <w:rFonts w:ascii="Times New Roman" w:eastAsia="Times New Roman" w:hAnsi="Times New Roman" w:cs="Times New Roman"/>
          <w:color w:val="000000" w:themeColor="text1"/>
          <w:sz w:val="20"/>
          <w:szCs w:val="20"/>
        </w:rPr>
        <w:t>25 (1930)</w:t>
      </w:r>
      <w:r w:rsidR="007638DA" w:rsidRPr="009D7635">
        <w:rPr>
          <w:rFonts w:ascii="Times New Roman" w:eastAsia="Times New Roman" w:hAnsi="Times New Roman" w:cs="Times New Roman"/>
          <w:color w:val="000000" w:themeColor="text1"/>
          <w:sz w:val="20"/>
          <w:szCs w:val="20"/>
        </w:rPr>
        <w:t>:</w:t>
      </w:r>
      <w:r w:rsidRPr="009D7635">
        <w:rPr>
          <w:rFonts w:ascii="Times New Roman" w:eastAsia="Times New Roman" w:hAnsi="Times New Roman" w:cs="Times New Roman"/>
          <w:color w:val="000000" w:themeColor="text1"/>
          <w:sz w:val="20"/>
          <w:szCs w:val="20"/>
        </w:rPr>
        <w:t xml:space="preserve"> 5-32.</w:t>
      </w:r>
    </w:p>
  </w:footnote>
  <w:footnote w:id="577">
    <w:p w14:paraId="4280956E" w14:textId="77777777" w:rsidR="00B93ED5" w:rsidRPr="009D7635" w:rsidRDefault="00B93ED5" w:rsidP="00E212D3">
      <w:pPr>
        <w:rPr>
          <w:rFonts w:ascii="Times New Roman" w:eastAsia="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bCs/>
          <w:color w:val="000000" w:themeColor="text1"/>
          <w:sz w:val="20"/>
          <w:szCs w:val="20"/>
          <w:shd w:val="clear" w:color="auto" w:fill="FFFFFF"/>
        </w:rPr>
        <w:t xml:space="preserve">Pierre </w:t>
      </w:r>
      <w:proofErr w:type="spellStart"/>
      <w:r w:rsidRPr="009D7635">
        <w:rPr>
          <w:rFonts w:ascii="Times New Roman" w:eastAsia="Times New Roman" w:hAnsi="Times New Roman" w:cs="Times New Roman"/>
          <w:bCs/>
          <w:color w:val="000000" w:themeColor="text1"/>
          <w:sz w:val="20"/>
          <w:szCs w:val="20"/>
          <w:shd w:val="clear" w:color="auto" w:fill="FFFFFF"/>
        </w:rPr>
        <w:t>Michaud-Quantin</w:t>
      </w:r>
      <w:proofErr w:type="spellEnd"/>
      <w:r w:rsidRPr="009D7635">
        <w:rPr>
          <w:rFonts w:ascii="Times New Roman" w:eastAsia="Times New Roman" w:hAnsi="Times New Roman" w:cs="Times New Roman"/>
          <w:bCs/>
          <w:color w:val="000000" w:themeColor="text1"/>
          <w:sz w:val="20"/>
          <w:szCs w:val="20"/>
          <w:shd w:val="clear" w:color="auto" w:fill="FFFFFF"/>
        </w:rPr>
        <w:t xml:space="preserve">, ‘Introduction,’ in </w:t>
      </w:r>
      <w:r w:rsidRPr="009D7635">
        <w:rPr>
          <w:rFonts w:ascii="Times New Roman" w:eastAsia="Times New Roman" w:hAnsi="Times New Roman" w:cs="Times New Roman"/>
          <w:bCs/>
          <w:i/>
          <w:iCs/>
          <w:color w:val="000000" w:themeColor="text1"/>
          <w:sz w:val="20"/>
          <w:szCs w:val="20"/>
        </w:rPr>
        <w:t xml:space="preserve">Jean de La Rochelle. </w:t>
      </w:r>
      <w:proofErr w:type="spellStart"/>
      <w:r w:rsidRPr="009D7635">
        <w:rPr>
          <w:rFonts w:ascii="Times New Roman" w:eastAsia="Times New Roman" w:hAnsi="Times New Roman" w:cs="Times New Roman"/>
          <w:bCs/>
          <w:i/>
          <w:iCs/>
          <w:color w:val="000000" w:themeColor="text1"/>
          <w:sz w:val="20"/>
          <w:szCs w:val="20"/>
        </w:rPr>
        <w:t>Tractatus</w:t>
      </w:r>
      <w:proofErr w:type="spellEnd"/>
      <w:r w:rsidRPr="009D7635">
        <w:rPr>
          <w:rFonts w:ascii="Times New Roman" w:eastAsia="Times New Roman" w:hAnsi="Times New Roman" w:cs="Times New Roman"/>
          <w:bCs/>
          <w:i/>
          <w:iCs/>
          <w:color w:val="000000" w:themeColor="text1"/>
          <w:sz w:val="20"/>
          <w:szCs w:val="20"/>
        </w:rPr>
        <w:t xml:space="preserve"> de </w:t>
      </w:r>
      <w:proofErr w:type="spellStart"/>
      <w:r w:rsidRPr="009D7635">
        <w:rPr>
          <w:rFonts w:ascii="Times New Roman" w:eastAsia="Times New Roman" w:hAnsi="Times New Roman" w:cs="Times New Roman"/>
          <w:bCs/>
          <w:i/>
          <w:iCs/>
          <w:color w:val="000000" w:themeColor="text1"/>
          <w:sz w:val="20"/>
          <w:szCs w:val="20"/>
        </w:rPr>
        <w:t>divisione</w:t>
      </w:r>
      <w:proofErr w:type="spellEnd"/>
      <w:r w:rsidRPr="009D7635">
        <w:rPr>
          <w:rFonts w:ascii="Times New Roman" w:eastAsia="Times New Roman" w:hAnsi="Times New Roman" w:cs="Times New Roman"/>
          <w:bCs/>
          <w:i/>
          <w:iCs/>
          <w:color w:val="000000" w:themeColor="text1"/>
          <w:sz w:val="20"/>
          <w:szCs w:val="20"/>
        </w:rPr>
        <w:t xml:space="preserve"> </w:t>
      </w:r>
      <w:proofErr w:type="spellStart"/>
      <w:r w:rsidRPr="009D7635">
        <w:rPr>
          <w:rFonts w:ascii="Times New Roman" w:eastAsia="Times New Roman" w:hAnsi="Times New Roman" w:cs="Times New Roman"/>
          <w:bCs/>
          <w:i/>
          <w:iCs/>
          <w:color w:val="000000" w:themeColor="text1"/>
          <w:sz w:val="20"/>
          <w:szCs w:val="20"/>
        </w:rPr>
        <w:t>multiplici</w:t>
      </w:r>
      <w:proofErr w:type="spellEnd"/>
      <w:r w:rsidRPr="009D7635">
        <w:rPr>
          <w:rFonts w:ascii="Times New Roman" w:eastAsia="Times New Roman" w:hAnsi="Times New Roman" w:cs="Times New Roman"/>
          <w:bCs/>
          <w:i/>
          <w:iCs/>
          <w:color w:val="000000" w:themeColor="text1"/>
          <w:sz w:val="20"/>
          <w:szCs w:val="20"/>
        </w:rPr>
        <w:t xml:space="preserve"> </w:t>
      </w:r>
      <w:proofErr w:type="spellStart"/>
      <w:r w:rsidRPr="009D7635">
        <w:rPr>
          <w:rFonts w:ascii="Times New Roman" w:eastAsia="Times New Roman" w:hAnsi="Times New Roman" w:cs="Times New Roman"/>
          <w:bCs/>
          <w:i/>
          <w:iCs/>
          <w:color w:val="000000" w:themeColor="text1"/>
          <w:sz w:val="20"/>
          <w:szCs w:val="20"/>
        </w:rPr>
        <w:t>potentiarum</w:t>
      </w:r>
      <w:proofErr w:type="spellEnd"/>
      <w:r w:rsidRPr="009D7635">
        <w:rPr>
          <w:rFonts w:ascii="Times New Roman" w:eastAsia="Times New Roman" w:hAnsi="Times New Roman" w:cs="Times New Roman"/>
          <w:bCs/>
          <w:i/>
          <w:iCs/>
          <w:color w:val="000000" w:themeColor="text1"/>
          <w:sz w:val="20"/>
          <w:szCs w:val="20"/>
        </w:rPr>
        <w:t xml:space="preserve"> </w:t>
      </w:r>
      <w:proofErr w:type="spellStart"/>
      <w:r w:rsidRPr="009D7635">
        <w:rPr>
          <w:rFonts w:ascii="Times New Roman" w:eastAsia="Times New Roman" w:hAnsi="Times New Roman" w:cs="Times New Roman"/>
          <w:bCs/>
          <w:i/>
          <w:iCs/>
          <w:color w:val="000000" w:themeColor="text1"/>
          <w:sz w:val="20"/>
          <w:szCs w:val="20"/>
        </w:rPr>
        <w:t>animae</w:t>
      </w:r>
      <w:proofErr w:type="spellEnd"/>
      <w:r w:rsidRPr="009D7635">
        <w:rPr>
          <w:rFonts w:ascii="Times New Roman" w:eastAsia="Times New Roman" w:hAnsi="Times New Roman" w:cs="Times New Roman"/>
          <w:bCs/>
          <w:i/>
          <w:iCs/>
          <w:color w:val="000000" w:themeColor="text1"/>
          <w:sz w:val="20"/>
          <w:szCs w:val="20"/>
        </w:rPr>
        <w:t xml:space="preserve">. </w:t>
      </w:r>
      <w:proofErr w:type="spellStart"/>
      <w:r w:rsidRPr="009D7635">
        <w:rPr>
          <w:rFonts w:ascii="Times New Roman" w:eastAsia="Times New Roman" w:hAnsi="Times New Roman" w:cs="Times New Roman"/>
          <w:bCs/>
          <w:i/>
          <w:iCs/>
          <w:color w:val="000000" w:themeColor="text1"/>
          <w:sz w:val="20"/>
          <w:szCs w:val="20"/>
        </w:rPr>
        <w:t>Texte</w:t>
      </w:r>
      <w:proofErr w:type="spellEnd"/>
      <w:r w:rsidRPr="009D7635">
        <w:rPr>
          <w:rFonts w:ascii="Times New Roman" w:eastAsia="Times New Roman" w:hAnsi="Times New Roman" w:cs="Times New Roman"/>
          <w:bCs/>
          <w:i/>
          <w:iCs/>
          <w:color w:val="000000" w:themeColor="text1"/>
          <w:sz w:val="20"/>
          <w:szCs w:val="20"/>
        </w:rPr>
        <w:t xml:space="preserve"> critique </w:t>
      </w:r>
      <w:proofErr w:type="spellStart"/>
      <w:r w:rsidRPr="009D7635">
        <w:rPr>
          <w:rFonts w:ascii="Times New Roman" w:eastAsia="Times New Roman" w:hAnsi="Times New Roman" w:cs="Times New Roman"/>
          <w:bCs/>
          <w:i/>
          <w:iCs/>
          <w:color w:val="000000" w:themeColor="text1"/>
          <w:sz w:val="20"/>
          <w:szCs w:val="20"/>
        </w:rPr>
        <w:t>avec</w:t>
      </w:r>
      <w:proofErr w:type="spellEnd"/>
      <w:r w:rsidRPr="009D7635">
        <w:rPr>
          <w:rFonts w:ascii="Times New Roman" w:eastAsia="Times New Roman" w:hAnsi="Times New Roman" w:cs="Times New Roman"/>
          <w:bCs/>
          <w:i/>
          <w:iCs/>
          <w:color w:val="000000" w:themeColor="text1"/>
          <w:sz w:val="20"/>
          <w:szCs w:val="20"/>
        </w:rPr>
        <w:t xml:space="preserve"> introduction, notes et tables </w:t>
      </w:r>
      <w:r w:rsidRPr="009D7635">
        <w:rPr>
          <w:rFonts w:ascii="Times New Roman" w:eastAsia="Times New Roman" w:hAnsi="Times New Roman" w:cs="Times New Roman"/>
          <w:bCs/>
          <w:iCs/>
          <w:color w:val="000000" w:themeColor="text1"/>
          <w:sz w:val="20"/>
          <w:szCs w:val="20"/>
        </w:rPr>
        <w:t xml:space="preserve">(Paris: Vrin, 1964), </w:t>
      </w:r>
      <w:r w:rsidRPr="009D7635">
        <w:rPr>
          <w:rFonts w:ascii="Times New Roman" w:hAnsi="Times New Roman" w:cs="Times New Roman"/>
          <w:color w:val="000000" w:themeColor="text1"/>
          <w:sz w:val="20"/>
          <w:szCs w:val="20"/>
        </w:rPr>
        <w:t>23: ‘</w:t>
      </w:r>
      <w:r w:rsidRPr="009D7635">
        <w:rPr>
          <w:rFonts w:ascii="Times New Roman" w:hAnsi="Times New Roman" w:cs="Times New Roman"/>
          <w:color w:val="000000" w:themeColor="text1"/>
          <w:sz w:val="20"/>
          <w:szCs w:val="20"/>
          <w:lang w:val="en-US"/>
        </w:rPr>
        <w:t>Tout</w:t>
      </w:r>
      <w:r w:rsidRPr="009D7635">
        <w:rPr>
          <w:rFonts w:ascii="Times New Roman" w:eastAsia="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au plus </w:t>
      </w:r>
      <w:proofErr w:type="spellStart"/>
      <w:r w:rsidRPr="009D7635">
        <w:rPr>
          <w:rFonts w:ascii="Times New Roman" w:hAnsi="Times New Roman" w:cs="Times New Roman"/>
          <w:color w:val="000000" w:themeColor="text1"/>
          <w:sz w:val="20"/>
          <w:szCs w:val="20"/>
          <w:lang w:val="en-US"/>
        </w:rPr>
        <w:t>pourrait-on</w:t>
      </w:r>
      <w:proofErr w:type="spellEnd"/>
      <w:r w:rsidRPr="009D7635">
        <w:rPr>
          <w:rFonts w:ascii="Times New Roman" w:hAnsi="Times New Roman" w:cs="Times New Roman"/>
          <w:color w:val="000000" w:themeColor="text1"/>
          <w:sz w:val="20"/>
          <w:szCs w:val="20"/>
          <w:lang w:val="en-US"/>
        </w:rPr>
        <w:t xml:space="preserve"> dire </w:t>
      </w:r>
      <w:proofErr w:type="spellStart"/>
      <w:r w:rsidRPr="009D7635">
        <w:rPr>
          <w:rFonts w:ascii="Times New Roman" w:hAnsi="Times New Roman" w:cs="Times New Roman"/>
          <w:color w:val="000000" w:themeColor="text1"/>
          <w:sz w:val="20"/>
          <w:szCs w:val="20"/>
          <w:lang w:val="en-US"/>
        </w:rPr>
        <w:t>qu'il</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dut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s'écouler</w:t>
      </w:r>
      <w:proofErr w:type="spellEnd"/>
      <w:r w:rsidRPr="009D7635">
        <w:rPr>
          <w:rFonts w:ascii="Times New Roman" w:hAnsi="Times New Roman" w:cs="Times New Roman"/>
          <w:color w:val="000000" w:themeColor="text1"/>
          <w:sz w:val="20"/>
          <w:szCs w:val="20"/>
          <w:lang w:val="en-US"/>
        </w:rPr>
        <w:t xml:space="preserve"> un certain </w:t>
      </w:r>
      <w:proofErr w:type="spellStart"/>
      <w:r w:rsidRPr="009D7635">
        <w:rPr>
          <w:rFonts w:ascii="Times New Roman" w:hAnsi="Times New Roman" w:cs="Times New Roman"/>
          <w:color w:val="000000" w:themeColor="text1"/>
          <w:sz w:val="20"/>
          <w:szCs w:val="20"/>
          <w:lang w:val="en-US"/>
        </w:rPr>
        <w:t>délai</w:t>
      </w:r>
      <w:proofErr w:type="spellEnd"/>
      <w:r w:rsidRPr="009D7635">
        <w:rPr>
          <w:rFonts w:ascii="Times New Roman" w:hAnsi="Times New Roman" w:cs="Times New Roman"/>
          <w:color w:val="000000" w:themeColor="text1"/>
          <w:sz w:val="20"/>
          <w:szCs w:val="20"/>
          <w:lang w:val="en-US"/>
        </w:rPr>
        <w:t xml:space="preserve"> avant </w:t>
      </w:r>
      <w:proofErr w:type="spellStart"/>
      <w:r w:rsidRPr="009D7635">
        <w:rPr>
          <w:rFonts w:ascii="Times New Roman" w:hAnsi="Times New Roman" w:cs="Times New Roman"/>
          <w:color w:val="000000" w:themeColor="text1"/>
          <w:sz w:val="20"/>
          <w:szCs w:val="20"/>
          <w:lang w:val="en-US"/>
        </w:rPr>
        <w:t>que</w:t>
      </w:r>
      <w:proofErr w:type="spellEnd"/>
      <w:r w:rsidRPr="009D7635">
        <w:rPr>
          <w:rFonts w:ascii="Times New Roman" w:eastAsia="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l'auteur </w:t>
      </w:r>
      <w:proofErr w:type="spellStart"/>
      <w:r w:rsidRPr="009D7635">
        <w:rPr>
          <w:rFonts w:ascii="Times New Roman" w:hAnsi="Times New Roman" w:cs="Times New Roman"/>
          <w:color w:val="000000" w:themeColor="text1"/>
          <w:sz w:val="20"/>
          <w:szCs w:val="20"/>
          <w:lang w:val="en-US"/>
        </w:rPr>
        <w:t>ne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remaniât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sa</w:t>
      </w:r>
      <w:proofErr w:type="spellEnd"/>
      <w:r w:rsidRPr="009D7635">
        <w:rPr>
          <w:rFonts w:ascii="Times New Roman" w:hAnsi="Times New Roman" w:cs="Times New Roman"/>
          <w:color w:val="000000" w:themeColor="text1"/>
          <w:sz w:val="20"/>
          <w:szCs w:val="20"/>
          <w:lang w:val="en-US"/>
        </w:rPr>
        <w:t xml:space="preserve"> compilation pour en </w:t>
      </w:r>
      <w:proofErr w:type="spellStart"/>
      <w:r w:rsidRPr="009D7635">
        <w:rPr>
          <w:rFonts w:ascii="Times New Roman" w:hAnsi="Times New Roman" w:cs="Times New Roman"/>
          <w:color w:val="000000" w:themeColor="text1"/>
          <w:sz w:val="20"/>
          <w:szCs w:val="20"/>
          <w:lang w:val="en-US"/>
        </w:rPr>
        <w:t>introduire</w:t>
      </w:r>
      <w:proofErr w:type="spellEnd"/>
      <w:r w:rsidRPr="009D7635">
        <w:rPr>
          <w:rFonts w:ascii="Times New Roman" w:hAnsi="Times New Roman" w:cs="Times New Roman"/>
          <w:color w:val="000000" w:themeColor="text1"/>
          <w:sz w:val="20"/>
          <w:szCs w:val="20"/>
          <w:lang w:val="en-US"/>
        </w:rPr>
        <w:t xml:space="preserve"> les </w:t>
      </w:r>
      <w:proofErr w:type="spellStart"/>
      <w:r w:rsidRPr="009D7635">
        <w:rPr>
          <w:rFonts w:ascii="Times New Roman" w:hAnsi="Times New Roman" w:cs="Times New Roman"/>
          <w:color w:val="000000" w:themeColor="text1"/>
          <w:sz w:val="20"/>
          <w:szCs w:val="20"/>
          <w:lang w:val="en-US"/>
        </w:rPr>
        <w:t>matériaux</w:t>
      </w:r>
      <w:proofErr w:type="spellEnd"/>
      <w:r w:rsidRPr="009D7635">
        <w:rPr>
          <w:rFonts w:ascii="Times New Roman" w:eastAsia="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dans la composition </w:t>
      </w:r>
      <w:proofErr w:type="spellStart"/>
      <w:r w:rsidRPr="009D7635">
        <w:rPr>
          <w:rFonts w:ascii="Times New Roman" w:hAnsi="Times New Roman" w:cs="Times New Roman"/>
          <w:color w:val="000000" w:themeColor="text1"/>
          <w:sz w:val="20"/>
          <w:szCs w:val="20"/>
          <w:lang w:val="en-US"/>
        </w:rPr>
        <w:t>d'une</w:t>
      </w:r>
      <w:proofErr w:type="spellEnd"/>
      <w:r w:rsidRPr="009D7635">
        <w:rPr>
          <w:rFonts w:ascii="Times New Roman" w:hAnsi="Times New Roman" w:cs="Times New Roman"/>
          <w:color w:val="000000" w:themeColor="text1"/>
          <w:sz w:val="20"/>
          <w:szCs w:val="20"/>
          <w:lang w:val="en-US"/>
        </w:rPr>
        <w:t xml:space="preserve"> oeuvre </w:t>
      </w:r>
      <w:proofErr w:type="spellStart"/>
      <w:r w:rsidRPr="009D7635">
        <w:rPr>
          <w:rFonts w:ascii="Times New Roman" w:hAnsi="Times New Roman" w:cs="Times New Roman"/>
          <w:color w:val="000000" w:themeColor="text1"/>
          <w:sz w:val="20"/>
          <w:szCs w:val="20"/>
          <w:lang w:val="en-US"/>
        </w:rPr>
        <w:t>personnelle</w:t>
      </w:r>
      <w:proofErr w:type="spellEnd"/>
      <w:r w:rsidRPr="009D7635">
        <w:rPr>
          <w:rFonts w:ascii="Times New Roman" w:hAnsi="Times New Roman" w:cs="Times New Roman"/>
          <w:color w:val="000000" w:themeColor="text1"/>
          <w:sz w:val="20"/>
          <w:szCs w:val="20"/>
          <w:lang w:val="en-US"/>
        </w:rPr>
        <w:t xml:space="preserve">, qui </w:t>
      </w:r>
      <w:proofErr w:type="spellStart"/>
      <w:r w:rsidRPr="009D7635">
        <w:rPr>
          <w:rFonts w:ascii="Times New Roman" w:hAnsi="Times New Roman" w:cs="Times New Roman"/>
          <w:color w:val="000000" w:themeColor="text1"/>
          <w:sz w:val="20"/>
          <w:szCs w:val="20"/>
          <w:lang w:val="en-US"/>
        </w:rPr>
        <w:t>est</w:t>
      </w:r>
      <w:proofErr w:type="spellEnd"/>
      <w:r w:rsidRPr="009D7635">
        <w:rPr>
          <w:rFonts w:ascii="Times New Roman" w:hAnsi="Times New Roman" w:cs="Times New Roman"/>
          <w:color w:val="000000" w:themeColor="text1"/>
          <w:sz w:val="20"/>
          <w:szCs w:val="20"/>
          <w:lang w:val="en-US"/>
        </w:rPr>
        <w:t xml:space="preserve"> à son tour </w:t>
      </w:r>
      <w:proofErr w:type="spellStart"/>
      <w:r w:rsidRPr="009D7635">
        <w:rPr>
          <w:rFonts w:ascii="Times New Roman" w:hAnsi="Times New Roman" w:cs="Times New Roman"/>
          <w:color w:val="000000" w:themeColor="text1"/>
          <w:sz w:val="20"/>
          <w:szCs w:val="20"/>
          <w:lang w:val="en-US"/>
        </w:rPr>
        <w:t>largement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utilisée</w:t>
      </w:r>
      <w:proofErr w:type="spellEnd"/>
      <w:r w:rsidRPr="009D7635">
        <w:rPr>
          <w:rFonts w:ascii="Times New Roman" w:hAnsi="Times New Roman" w:cs="Times New Roman"/>
          <w:color w:val="000000" w:themeColor="text1"/>
          <w:sz w:val="20"/>
          <w:szCs w:val="20"/>
          <w:lang w:val="en-US"/>
        </w:rPr>
        <w:t xml:space="preserve"> dans la </w:t>
      </w:r>
      <w:proofErr w:type="spellStart"/>
      <w:r w:rsidRPr="009D7635">
        <w:rPr>
          <w:rFonts w:ascii="Times New Roman" w:hAnsi="Times New Roman" w:cs="Times New Roman"/>
          <w:color w:val="000000" w:themeColor="text1"/>
          <w:sz w:val="20"/>
          <w:szCs w:val="20"/>
          <w:lang w:val="en-US"/>
        </w:rPr>
        <w:t>deuxième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partie</w:t>
      </w:r>
      <w:proofErr w:type="spellEnd"/>
      <w:r w:rsidRPr="009D7635">
        <w:rPr>
          <w:rFonts w:ascii="Times New Roman" w:hAnsi="Times New Roman" w:cs="Times New Roman"/>
          <w:color w:val="000000" w:themeColor="text1"/>
          <w:sz w:val="20"/>
          <w:szCs w:val="20"/>
          <w:lang w:val="en-US"/>
        </w:rPr>
        <w:t xml:space="preserve"> de la </w:t>
      </w:r>
      <w:r w:rsidRPr="009D7635">
        <w:rPr>
          <w:rFonts w:ascii="Times New Roman" w:hAnsi="Times New Roman" w:cs="Times New Roman"/>
          <w:i/>
          <w:color w:val="000000" w:themeColor="text1"/>
          <w:sz w:val="20"/>
          <w:szCs w:val="20"/>
          <w:lang w:val="en-US"/>
        </w:rPr>
        <w:t xml:space="preserve">Summa </w:t>
      </w:r>
      <w:proofErr w:type="spellStart"/>
      <w:r w:rsidRPr="009D7635">
        <w:rPr>
          <w:rFonts w:ascii="Times New Roman" w:hAnsi="Times New Roman" w:cs="Times New Roman"/>
          <w:i/>
          <w:color w:val="000000" w:themeColor="text1"/>
          <w:sz w:val="20"/>
          <w:szCs w:val="20"/>
          <w:lang w:val="en-US"/>
        </w:rPr>
        <w:t>fratris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Alexandri</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achevée</w:t>
      </w:r>
      <w:proofErr w:type="spellEnd"/>
      <w:r w:rsidRPr="009D7635">
        <w:rPr>
          <w:rFonts w:ascii="Times New Roman" w:hAnsi="Times New Roman" w:cs="Times New Roman"/>
          <w:color w:val="000000" w:themeColor="text1"/>
          <w:sz w:val="20"/>
          <w:szCs w:val="20"/>
          <w:lang w:val="en-US"/>
        </w:rPr>
        <w:t xml:space="preserve"> avant 1245.’</w:t>
      </w:r>
    </w:p>
  </w:footnote>
  <w:footnote w:id="578">
    <w:p w14:paraId="1FEB30B4" w14:textId="6E429EA7" w:rsidR="00B93ED5" w:rsidRPr="009D7635" w:rsidRDefault="00B93ED5" w:rsidP="00E212D3">
      <w:pPr>
        <w:rPr>
          <w:rFonts w:ascii="Times New Roman" w:eastAsia="Times New Roman" w:hAnsi="Times New Roman" w:cs="Times New Roman"/>
          <w:color w:val="000000" w:themeColor="text1"/>
          <w:sz w:val="20"/>
          <w:szCs w:val="20"/>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color w:val="000000" w:themeColor="text1"/>
          <w:sz w:val="20"/>
          <w:szCs w:val="20"/>
          <w:lang w:eastAsia="en-GB"/>
        </w:rPr>
        <w:t xml:space="preserve">J. </w:t>
      </w:r>
      <w:proofErr w:type="spellStart"/>
      <w:r w:rsidRPr="009D7635">
        <w:rPr>
          <w:rFonts w:ascii="Times New Roman" w:eastAsia="Times New Roman" w:hAnsi="Times New Roman" w:cs="Times New Roman"/>
          <w:color w:val="000000" w:themeColor="text1"/>
          <w:sz w:val="20"/>
          <w:szCs w:val="20"/>
          <w:lang w:eastAsia="en-GB"/>
        </w:rPr>
        <w:t>Rohmer</w:t>
      </w:r>
      <w:proofErr w:type="spellEnd"/>
      <w:r w:rsidRPr="009D7635">
        <w:rPr>
          <w:rFonts w:ascii="Times New Roman" w:eastAsia="Times New Roman" w:hAnsi="Times New Roman" w:cs="Times New Roman"/>
          <w:color w:val="000000" w:themeColor="text1"/>
          <w:sz w:val="20"/>
          <w:szCs w:val="20"/>
          <w:lang w:eastAsia="en-GB"/>
        </w:rPr>
        <w:t xml:space="preserve">, ‘La </w:t>
      </w:r>
      <w:proofErr w:type="spellStart"/>
      <w:r w:rsidRPr="009D7635">
        <w:rPr>
          <w:rFonts w:ascii="Times New Roman" w:eastAsia="Times New Roman" w:hAnsi="Times New Roman" w:cs="Times New Roman"/>
          <w:color w:val="000000" w:themeColor="text1"/>
          <w:sz w:val="20"/>
          <w:szCs w:val="20"/>
          <w:lang w:eastAsia="en-GB"/>
        </w:rPr>
        <w:t>théorie</w:t>
      </w:r>
      <w:proofErr w:type="spellEnd"/>
      <w:r w:rsidRPr="009D7635">
        <w:rPr>
          <w:rFonts w:ascii="Times New Roman" w:eastAsia="Times New Roman" w:hAnsi="Times New Roman" w:cs="Times New Roman"/>
          <w:color w:val="000000" w:themeColor="text1"/>
          <w:sz w:val="20"/>
          <w:szCs w:val="20"/>
          <w:lang w:eastAsia="en-GB"/>
        </w:rPr>
        <w:t xml:space="preserve"> de l'abstraction dans l'école </w:t>
      </w:r>
      <w:proofErr w:type="spellStart"/>
      <w:r w:rsidRPr="009D7635">
        <w:rPr>
          <w:rFonts w:ascii="Times New Roman" w:eastAsia="Times New Roman" w:hAnsi="Times New Roman" w:cs="Times New Roman"/>
          <w:color w:val="000000" w:themeColor="text1"/>
          <w:sz w:val="20"/>
          <w:szCs w:val="20"/>
          <w:lang w:eastAsia="en-GB"/>
        </w:rPr>
        <w:t>Franciscaine</w:t>
      </w:r>
      <w:proofErr w:type="spellEnd"/>
      <w:r w:rsidRPr="009D7635">
        <w:rPr>
          <w:rFonts w:ascii="Times New Roman" w:eastAsia="Times New Roman" w:hAnsi="Times New Roman" w:cs="Times New Roman"/>
          <w:color w:val="000000" w:themeColor="text1"/>
          <w:sz w:val="20"/>
          <w:szCs w:val="20"/>
          <w:lang w:eastAsia="en-GB"/>
        </w:rPr>
        <w:t xml:space="preserve"> d'Alexandre de </w:t>
      </w:r>
      <w:proofErr w:type="spellStart"/>
      <w:r w:rsidRPr="009D7635">
        <w:rPr>
          <w:rFonts w:ascii="Times New Roman" w:eastAsia="Times New Roman" w:hAnsi="Times New Roman" w:cs="Times New Roman"/>
          <w:color w:val="000000" w:themeColor="text1"/>
          <w:sz w:val="20"/>
          <w:szCs w:val="20"/>
          <w:lang w:eastAsia="en-GB"/>
        </w:rPr>
        <w:t>Halés</w:t>
      </w:r>
      <w:proofErr w:type="spellEnd"/>
      <w:r w:rsidRPr="009D7635">
        <w:rPr>
          <w:rFonts w:ascii="Times New Roman" w:eastAsia="Times New Roman" w:hAnsi="Times New Roman" w:cs="Times New Roman"/>
          <w:color w:val="000000" w:themeColor="text1"/>
          <w:sz w:val="20"/>
          <w:szCs w:val="20"/>
          <w:lang w:eastAsia="en-GB"/>
        </w:rPr>
        <w:t xml:space="preserve"> à Jean Peckham,’ </w:t>
      </w:r>
      <w:r w:rsidRPr="009D7635">
        <w:rPr>
          <w:rFonts w:ascii="Times New Roman" w:hAnsi="Times New Roman" w:cs="Times New Roman"/>
          <w:i/>
          <w:color w:val="000000" w:themeColor="text1"/>
          <w:sz w:val="20"/>
          <w:szCs w:val="20"/>
        </w:rPr>
        <w:t xml:space="preserve">Archives </w:t>
      </w:r>
      <w:proofErr w:type="spellStart"/>
      <w:r w:rsidRPr="009D7635">
        <w:rPr>
          <w:rFonts w:ascii="Times New Roman" w:hAnsi="Times New Roman" w:cs="Times New Roman"/>
          <w:i/>
          <w:color w:val="000000" w:themeColor="text1"/>
          <w:sz w:val="20"/>
          <w:szCs w:val="20"/>
        </w:rPr>
        <w:t>d'histoire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doctrinale</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littéraire</w:t>
      </w:r>
      <w:proofErr w:type="spellEnd"/>
      <w:r w:rsidRPr="009D7635">
        <w:rPr>
          <w:rFonts w:ascii="Times New Roman" w:hAnsi="Times New Roman" w:cs="Times New Roman"/>
          <w:i/>
          <w:color w:val="000000" w:themeColor="text1"/>
          <w:sz w:val="20"/>
          <w:szCs w:val="20"/>
        </w:rPr>
        <w:t xml:space="preserve"> du </w:t>
      </w:r>
      <w:proofErr w:type="spellStart"/>
      <w:r w:rsidRPr="009D7635">
        <w:rPr>
          <w:rFonts w:ascii="Times New Roman" w:hAnsi="Times New Roman" w:cs="Times New Roman"/>
          <w:i/>
          <w:color w:val="000000" w:themeColor="text1"/>
          <w:sz w:val="20"/>
          <w:szCs w:val="20"/>
        </w:rPr>
        <w:t>Moyen</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Âge</w:t>
      </w:r>
      <w:proofErr w:type="spellEnd"/>
      <w:r w:rsidRPr="009D7635">
        <w:rPr>
          <w:rFonts w:ascii="Times New Roman" w:eastAsia="Times New Roman" w:hAnsi="Times New Roman" w:cs="Times New Roman"/>
          <w:color w:val="000000" w:themeColor="text1"/>
          <w:sz w:val="20"/>
          <w:szCs w:val="20"/>
          <w:lang w:eastAsia="en-GB"/>
        </w:rPr>
        <w:t xml:space="preserve"> 3 (1928)</w:t>
      </w:r>
      <w:r w:rsidR="007638DA" w:rsidRPr="009D7635">
        <w:rPr>
          <w:rFonts w:ascii="Times New Roman" w:eastAsia="Times New Roman" w:hAnsi="Times New Roman" w:cs="Times New Roman"/>
          <w:color w:val="000000" w:themeColor="text1"/>
          <w:sz w:val="20"/>
          <w:szCs w:val="20"/>
          <w:lang w:eastAsia="en-GB"/>
        </w:rPr>
        <w:t>:</w:t>
      </w:r>
      <w:r w:rsidRPr="009D7635">
        <w:rPr>
          <w:rFonts w:ascii="Times New Roman" w:eastAsia="Times New Roman" w:hAnsi="Times New Roman" w:cs="Times New Roman"/>
          <w:color w:val="000000" w:themeColor="text1"/>
          <w:sz w:val="20"/>
          <w:szCs w:val="20"/>
          <w:lang w:eastAsia="en-GB"/>
        </w:rPr>
        <w:t xml:space="preserve"> 107. </w:t>
      </w:r>
    </w:p>
  </w:footnote>
  <w:footnote w:id="579">
    <w:p w14:paraId="59F16471"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eastAsia="Times New Roman" w:hAnsi="Times New Roman" w:cs="Times New Roman"/>
          <w:bCs/>
          <w:color w:val="000000" w:themeColor="text1"/>
          <w:shd w:val="clear" w:color="auto" w:fill="FFFFFF"/>
        </w:rPr>
        <w:t xml:space="preserve">Pierre </w:t>
      </w:r>
      <w:proofErr w:type="spellStart"/>
      <w:r w:rsidRPr="009D7635">
        <w:rPr>
          <w:rFonts w:ascii="Times New Roman" w:eastAsia="Times New Roman" w:hAnsi="Times New Roman" w:cs="Times New Roman"/>
          <w:bCs/>
          <w:color w:val="000000" w:themeColor="text1"/>
          <w:shd w:val="clear" w:color="auto" w:fill="FFFFFF"/>
        </w:rPr>
        <w:t>Michaud-Quantin</w:t>
      </w:r>
      <w:proofErr w:type="spellEnd"/>
      <w:r w:rsidRPr="009D7635">
        <w:rPr>
          <w:rFonts w:ascii="Times New Roman" w:eastAsia="Times New Roman" w:hAnsi="Times New Roman" w:cs="Times New Roman"/>
          <w:bCs/>
          <w:color w:val="000000" w:themeColor="text1"/>
          <w:shd w:val="clear" w:color="auto" w:fill="FFFFFF"/>
        </w:rPr>
        <w:t xml:space="preserve">, ‘Introduction,’ in the </w:t>
      </w:r>
      <w:proofErr w:type="spellStart"/>
      <w:r w:rsidRPr="009D7635">
        <w:rPr>
          <w:rFonts w:ascii="Times New Roman" w:eastAsia="Times New Roman" w:hAnsi="Times New Roman" w:cs="Times New Roman"/>
          <w:bCs/>
          <w:i/>
          <w:color w:val="000000" w:themeColor="text1"/>
          <w:shd w:val="clear" w:color="auto" w:fill="FFFFFF"/>
        </w:rPr>
        <w:t>Tractatus</w:t>
      </w:r>
      <w:proofErr w:type="spellEnd"/>
      <w:r w:rsidRPr="009D7635">
        <w:rPr>
          <w:rFonts w:ascii="Times New Roman" w:eastAsia="Times New Roman" w:hAnsi="Times New Roman" w:cs="Times New Roman"/>
          <w:bCs/>
          <w:iCs/>
          <w:color w:val="000000" w:themeColor="text1"/>
          <w:shd w:val="clear" w:color="auto" w:fill="FFFFFF"/>
        </w:rPr>
        <w:t>,</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17-18; see also the chart comparing the two works provided by Jacques Guy </w:t>
      </w:r>
      <w:proofErr w:type="spellStart"/>
      <w:r w:rsidRPr="009D7635">
        <w:rPr>
          <w:rFonts w:ascii="Times New Roman" w:hAnsi="Times New Roman" w:cs="Times New Roman"/>
          <w:color w:val="000000" w:themeColor="text1"/>
        </w:rPr>
        <w:t>Bougerol</w:t>
      </w:r>
      <w:proofErr w:type="spellEnd"/>
      <w:r w:rsidRPr="009D7635">
        <w:rPr>
          <w:rFonts w:ascii="Times New Roman" w:hAnsi="Times New Roman" w:cs="Times New Roman"/>
          <w:color w:val="000000" w:themeColor="text1"/>
        </w:rPr>
        <w:t xml:space="preserve"> in his introduction to the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34-36.</w:t>
      </w:r>
    </w:p>
  </w:footnote>
  <w:footnote w:id="580">
    <w:p w14:paraId="2E7D38FF" w14:textId="149A2D36" w:rsidR="00837953" w:rsidRPr="009D7635" w:rsidRDefault="00837953">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See </w:t>
      </w:r>
      <w:r w:rsidRPr="009D7635">
        <w:rPr>
          <w:rFonts w:ascii="Times New Roman" w:hAnsi="Times New Roman" w:cs="Times New Roman"/>
          <w:i/>
          <w:iCs/>
        </w:rPr>
        <w:t xml:space="preserve">Avicenna </w:t>
      </w:r>
      <w:proofErr w:type="spellStart"/>
      <w:r w:rsidRPr="009D7635">
        <w:rPr>
          <w:rFonts w:ascii="Times New Roman" w:hAnsi="Times New Roman" w:cs="Times New Roman"/>
          <w:i/>
          <w:iCs/>
        </w:rPr>
        <w:t>Latinus</w:t>
      </w:r>
      <w:proofErr w:type="spellEnd"/>
      <w:r w:rsidR="00404ADB" w:rsidRPr="009D7635">
        <w:rPr>
          <w:rFonts w:ascii="Times New Roman" w:hAnsi="Times New Roman" w:cs="Times New Roman"/>
          <w:i/>
          <w:iCs/>
        </w:rPr>
        <w:t>:</w:t>
      </w:r>
      <w:r w:rsidRPr="009D7635">
        <w:rPr>
          <w:rFonts w:ascii="Times New Roman" w:hAnsi="Times New Roman" w:cs="Times New Roman"/>
          <w:i/>
          <w:iCs/>
        </w:rPr>
        <w:t xml:space="preserve"> Liber de anima </w:t>
      </w:r>
      <w:proofErr w:type="spellStart"/>
      <w:r w:rsidRPr="009D7635">
        <w:rPr>
          <w:rFonts w:ascii="Times New Roman" w:hAnsi="Times New Roman" w:cs="Times New Roman"/>
          <w:i/>
          <w:iCs/>
        </w:rPr>
        <w:t>seu</w:t>
      </w:r>
      <w:proofErr w:type="spellEnd"/>
      <w:r w:rsidRPr="009D7635">
        <w:rPr>
          <w:rFonts w:ascii="Times New Roman" w:hAnsi="Times New Roman" w:cs="Times New Roman"/>
          <w:i/>
          <w:iCs/>
        </w:rPr>
        <w:t xml:space="preserve"> </w:t>
      </w:r>
      <w:proofErr w:type="spellStart"/>
      <w:r w:rsidRPr="009D7635">
        <w:rPr>
          <w:rFonts w:ascii="Times New Roman" w:hAnsi="Times New Roman" w:cs="Times New Roman"/>
          <w:i/>
          <w:iCs/>
        </w:rPr>
        <w:t>sextus</w:t>
      </w:r>
      <w:proofErr w:type="spellEnd"/>
      <w:r w:rsidRPr="009D7635">
        <w:rPr>
          <w:rFonts w:ascii="Times New Roman" w:hAnsi="Times New Roman" w:cs="Times New Roman"/>
          <w:i/>
          <w:iCs/>
        </w:rPr>
        <w:t xml:space="preserve"> de </w:t>
      </w:r>
      <w:proofErr w:type="spellStart"/>
      <w:r w:rsidRPr="009D7635">
        <w:rPr>
          <w:rFonts w:ascii="Times New Roman" w:hAnsi="Times New Roman" w:cs="Times New Roman"/>
          <w:i/>
          <w:iCs/>
        </w:rPr>
        <w:t>naturalibus</w:t>
      </w:r>
      <w:proofErr w:type="spellEnd"/>
      <w:r w:rsidRPr="009D7635">
        <w:rPr>
          <w:rFonts w:ascii="Times New Roman" w:hAnsi="Times New Roman" w:cs="Times New Roman"/>
          <w:i/>
          <w:iCs/>
        </w:rPr>
        <w:t xml:space="preserve"> </w:t>
      </w:r>
      <w:r w:rsidR="00024594" w:rsidRPr="009D7635">
        <w:rPr>
          <w:rFonts w:ascii="Times New Roman" w:hAnsi="Times New Roman" w:cs="Times New Roman"/>
          <w:i/>
          <w:iCs/>
        </w:rPr>
        <w:t>I-II-III,</w:t>
      </w:r>
      <w:r w:rsidR="00024594" w:rsidRPr="009D7635">
        <w:rPr>
          <w:rFonts w:ascii="Times New Roman" w:hAnsi="Times New Roman" w:cs="Times New Roman"/>
        </w:rPr>
        <w:t xml:space="preserve"> ed. S. Van </w:t>
      </w:r>
      <w:proofErr w:type="spellStart"/>
      <w:r w:rsidR="00024594" w:rsidRPr="009D7635">
        <w:rPr>
          <w:rFonts w:ascii="Times New Roman" w:hAnsi="Times New Roman" w:cs="Times New Roman"/>
        </w:rPr>
        <w:t>Riet</w:t>
      </w:r>
      <w:proofErr w:type="spellEnd"/>
      <w:r w:rsidR="00024594" w:rsidRPr="009D7635">
        <w:rPr>
          <w:rFonts w:ascii="Times New Roman" w:hAnsi="Times New Roman" w:cs="Times New Roman"/>
        </w:rPr>
        <w:t xml:space="preserve"> (Leiden: Brill, 1972), </w:t>
      </w:r>
      <w:r w:rsidR="00877D81" w:rsidRPr="009D7635">
        <w:rPr>
          <w:rFonts w:ascii="Times New Roman" w:hAnsi="Times New Roman" w:cs="Times New Roman"/>
        </w:rPr>
        <w:t xml:space="preserve">I.1, 14-37. </w:t>
      </w:r>
    </w:p>
  </w:footnote>
  <w:footnote w:id="581">
    <w:p w14:paraId="1CA727D5" w14:textId="1A4DEC66" w:rsidR="00B93ED5" w:rsidRPr="009D7635" w:rsidRDefault="00B93ED5" w:rsidP="00E212D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John of La Rochelle,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divisione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multiplici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potentiarum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animae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Texte</w:t>
      </w:r>
      <w:proofErr w:type="spellEnd"/>
      <w:r w:rsidRPr="009D7635">
        <w:rPr>
          <w:rFonts w:ascii="Times New Roman" w:hAnsi="Times New Roman" w:cs="Times New Roman"/>
          <w:i/>
          <w:color w:val="000000" w:themeColor="text1"/>
          <w:sz w:val="20"/>
          <w:szCs w:val="20"/>
        </w:rPr>
        <w:t xml:space="preserve"> critique </w:t>
      </w:r>
      <w:proofErr w:type="spellStart"/>
      <w:r w:rsidRPr="009D7635">
        <w:rPr>
          <w:rFonts w:ascii="Times New Roman" w:hAnsi="Times New Roman" w:cs="Times New Roman"/>
          <w:i/>
          <w:color w:val="000000" w:themeColor="text1"/>
          <w:sz w:val="20"/>
          <w:szCs w:val="20"/>
        </w:rPr>
        <w:t>avec</w:t>
      </w:r>
      <w:proofErr w:type="spellEnd"/>
      <w:r w:rsidRPr="009D7635">
        <w:rPr>
          <w:rFonts w:ascii="Times New Roman" w:hAnsi="Times New Roman" w:cs="Times New Roman"/>
          <w:i/>
          <w:color w:val="000000" w:themeColor="text1"/>
          <w:sz w:val="20"/>
          <w:szCs w:val="20"/>
        </w:rPr>
        <w:t xml:space="preserve"> introduction, notes et tables, </w:t>
      </w:r>
      <w:r w:rsidRPr="009D7635">
        <w:rPr>
          <w:rFonts w:ascii="Times New Roman" w:hAnsi="Times New Roman" w:cs="Times New Roman"/>
          <w:color w:val="000000" w:themeColor="text1"/>
          <w:sz w:val="20"/>
          <w:szCs w:val="20"/>
        </w:rPr>
        <w:t xml:space="preserve">ed. Pierre </w:t>
      </w:r>
      <w:proofErr w:type="spellStart"/>
      <w:r w:rsidRPr="009D7635">
        <w:rPr>
          <w:rFonts w:ascii="Times New Roman" w:hAnsi="Times New Roman" w:cs="Times New Roman"/>
          <w:color w:val="000000" w:themeColor="text1"/>
          <w:sz w:val="20"/>
          <w:szCs w:val="20"/>
        </w:rPr>
        <w:t>Michaud-Quantin</w:t>
      </w:r>
      <w:proofErr w:type="spellEnd"/>
      <w:r w:rsidRPr="009D7635">
        <w:rPr>
          <w:rFonts w:ascii="Times New Roman" w:hAnsi="Times New Roman" w:cs="Times New Roman"/>
          <w:color w:val="000000" w:themeColor="text1"/>
          <w:sz w:val="20"/>
          <w:szCs w:val="20"/>
        </w:rPr>
        <w:t xml:space="preserve"> (Paris: Vrin, 1964), 54: </w:t>
      </w:r>
      <w:r w:rsidRPr="009D7635">
        <w:rPr>
          <w:rFonts w:ascii="Times New Roman" w:hAnsi="Times New Roman" w:cs="Times New Roman"/>
          <w:i/>
          <w:color w:val="000000" w:themeColor="text1"/>
          <w:sz w:val="20"/>
          <w:szCs w:val="20"/>
          <w:lang w:val="en-US"/>
        </w:rPr>
        <w:t xml:space="preserve">Magnus </w:t>
      </w:r>
      <w:proofErr w:type="spellStart"/>
      <w:r w:rsidRPr="009D7635">
        <w:rPr>
          <w:rFonts w:ascii="Times New Roman" w:hAnsi="Times New Roman" w:cs="Times New Roman"/>
          <w:i/>
          <w:color w:val="000000" w:themeColor="text1"/>
          <w:sz w:val="20"/>
          <w:szCs w:val="20"/>
          <w:lang w:val="en-US"/>
        </w:rPr>
        <w:t>theologus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medicus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philosophus</w:t>
      </w:r>
      <w:proofErr w:type="spellEnd"/>
      <w:r w:rsidRPr="009D7635">
        <w:rPr>
          <w:rFonts w:ascii="Times New Roman" w:hAnsi="Times New Roman" w:cs="Times New Roman"/>
          <w:i/>
          <w:color w:val="000000" w:themeColor="text1"/>
          <w:sz w:val="20"/>
          <w:szCs w:val="20"/>
          <w:lang w:val="en-US"/>
        </w:rPr>
        <w:t xml:space="preserve">, 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viuens</w:t>
      </w:r>
      <w:proofErr w:type="spellEnd"/>
      <w:r w:rsidRPr="009D7635">
        <w:rPr>
          <w:rFonts w:ascii="Times New Roman" w:hAnsi="Times New Roman" w:cs="Times New Roman"/>
          <w:i/>
          <w:color w:val="000000" w:themeColor="text1"/>
          <w:sz w:val="20"/>
          <w:szCs w:val="20"/>
          <w:lang w:val="en-US"/>
        </w:rPr>
        <w:t xml:space="preserve">, simplex et </w:t>
      </w:r>
      <w:proofErr w:type="spellStart"/>
      <w:r w:rsidRPr="009D7635">
        <w:rPr>
          <w:rFonts w:ascii="Times New Roman" w:hAnsi="Times New Roman" w:cs="Times New Roman"/>
          <w:i/>
          <w:color w:val="000000" w:themeColor="text1"/>
          <w:sz w:val="20"/>
          <w:szCs w:val="20"/>
          <w:lang w:val="en-US"/>
        </w:rPr>
        <w:t>incorporea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corporalibus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oculis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propriam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inuisibilis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immortalis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intellectualis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infigurabilis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organico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huic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vite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augmentationis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generationis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tributiua</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aliud</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habens</w:t>
      </w:r>
      <w:proofErr w:type="spellEnd"/>
      <w:r w:rsidRPr="009D7635">
        <w:rPr>
          <w:rFonts w:ascii="Times New Roman" w:hAnsi="Times New Roman" w:cs="Times New Roman"/>
          <w:i/>
          <w:color w:val="000000" w:themeColor="text1"/>
          <w:sz w:val="20"/>
          <w:szCs w:val="20"/>
          <w:lang w:val="en-US"/>
        </w:rPr>
        <w:t xml:space="preserve"> extra </w:t>
      </w:r>
      <w:proofErr w:type="spellStart"/>
      <w:r w:rsidRPr="009D7635">
        <w:rPr>
          <w:rFonts w:ascii="Times New Roman" w:hAnsi="Times New Roman" w:cs="Times New Roman"/>
          <w:i/>
          <w:color w:val="000000" w:themeColor="text1"/>
          <w:sz w:val="20"/>
          <w:szCs w:val="20"/>
          <w:lang w:val="en-US"/>
        </w:rPr>
        <w:t>seipsam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intellectum</w:t>
      </w:r>
      <w:proofErr w:type="spellEnd"/>
      <w:r w:rsidRPr="009D7635">
        <w:rPr>
          <w:rFonts w:ascii="Times New Roman" w:hAnsi="Times New Roman" w:cs="Times New Roman"/>
          <w:i/>
          <w:color w:val="000000" w:themeColor="text1"/>
          <w:sz w:val="20"/>
          <w:szCs w:val="20"/>
          <w:lang w:val="en-US"/>
        </w:rPr>
        <w:t xml:space="preserve"> sed et </w:t>
      </w:r>
      <w:proofErr w:type="spellStart"/>
      <w:r w:rsidRPr="009D7635">
        <w:rPr>
          <w:rFonts w:ascii="Times New Roman" w:hAnsi="Times New Roman" w:cs="Times New Roman"/>
          <w:i/>
          <w:color w:val="000000" w:themeColor="text1"/>
          <w:sz w:val="20"/>
          <w:szCs w:val="20"/>
          <w:lang w:val="en-US"/>
        </w:rPr>
        <w:t>partem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suiipsius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purissimam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oculus in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ita</w:t>
      </w:r>
      <w:proofErr w:type="spellEnd"/>
      <w:r w:rsidRPr="009D7635">
        <w:rPr>
          <w:rFonts w:ascii="Times New Roman" w:hAnsi="Times New Roman" w:cs="Times New Roman"/>
          <w:i/>
          <w:color w:val="000000" w:themeColor="text1"/>
          <w:sz w:val="20"/>
          <w:szCs w:val="20"/>
          <w:lang w:val="en-US"/>
        </w:rPr>
        <w:t xml:space="preserve"> in 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libera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voluntatiua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operatiua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vertibilis</w:t>
      </w:r>
      <w:proofErr w:type="spellEnd"/>
      <w:r w:rsidRPr="009D7635">
        <w:rPr>
          <w:rFonts w:ascii="Times New Roman" w:hAnsi="Times New Roman" w:cs="Times New Roman"/>
          <w:i/>
          <w:color w:val="000000" w:themeColor="text1"/>
          <w:sz w:val="20"/>
          <w:szCs w:val="20"/>
          <w:lang w:val="en-US"/>
        </w:rPr>
        <w:t xml:space="preserve"> id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voluntate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vertibilis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quoniam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creabilis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omnia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hec</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eius</w:t>
      </w:r>
      <w:proofErr w:type="spellEnd"/>
      <w:r w:rsidRPr="009D7635">
        <w:rPr>
          <w:rFonts w:ascii="Times New Roman" w:hAnsi="Times New Roman" w:cs="Times New Roman"/>
          <w:i/>
          <w:color w:val="000000" w:themeColor="text1"/>
          <w:sz w:val="20"/>
          <w:szCs w:val="20"/>
          <w:lang w:val="en-US"/>
        </w:rPr>
        <w:t xml:space="preserve"> qui </w:t>
      </w:r>
      <w:proofErr w:type="spellStart"/>
      <w:r w:rsidRPr="009D7635">
        <w:rPr>
          <w:rFonts w:ascii="Times New Roman" w:hAnsi="Times New Roman" w:cs="Times New Roman"/>
          <w:i/>
          <w:color w:val="000000" w:themeColor="text1"/>
          <w:sz w:val="20"/>
          <w:szCs w:val="20"/>
          <w:lang w:val="en-US"/>
        </w:rPr>
        <w:t>condidit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gratia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suscipiens</w:t>
      </w:r>
      <w:proofErr w:type="spellEnd"/>
      <w:r w:rsidRPr="009D7635">
        <w:rPr>
          <w:rFonts w:ascii="Times New Roman" w:hAnsi="Times New Roman" w:cs="Times New Roman"/>
          <w:i/>
          <w:color w:val="000000" w:themeColor="text1"/>
          <w:sz w:val="20"/>
          <w:szCs w:val="20"/>
          <w:lang w:val="en-US"/>
        </w:rPr>
        <w:t xml:space="preserve">, ex qua et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natura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suscepit</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The quote is derived from</w:t>
      </w:r>
      <w:r w:rsidRPr="009D7635">
        <w:rPr>
          <w:rFonts w:ascii="Times New Roman" w:hAnsi="Times New Roman" w:cs="Times New Roman"/>
          <w:color w:val="000000" w:themeColor="text1"/>
          <w:sz w:val="20"/>
          <w:szCs w:val="20"/>
        </w:rPr>
        <w:t xml:space="preserve"> John of Damascus, </w:t>
      </w:r>
      <w:r w:rsidRPr="009D7635">
        <w:rPr>
          <w:rFonts w:ascii="Times New Roman" w:hAnsi="Times New Roman" w:cs="Times New Roman"/>
          <w:i/>
          <w:color w:val="000000" w:themeColor="text1"/>
          <w:sz w:val="20"/>
          <w:szCs w:val="20"/>
        </w:rPr>
        <w:t xml:space="preserve">De Fide </w:t>
      </w:r>
      <w:proofErr w:type="spellStart"/>
      <w:r w:rsidRPr="009D7635">
        <w:rPr>
          <w:rFonts w:ascii="Times New Roman" w:hAnsi="Times New Roman" w:cs="Times New Roman"/>
          <w:i/>
          <w:color w:val="000000" w:themeColor="text1"/>
          <w:sz w:val="20"/>
          <w:szCs w:val="20"/>
        </w:rPr>
        <w:t>Orthodoxa</w:t>
      </w:r>
      <w:proofErr w:type="spellEnd"/>
      <w:r w:rsidRPr="009D7635">
        <w:rPr>
          <w:rFonts w:ascii="Times New Roman" w:hAnsi="Times New Roman" w:cs="Times New Roman"/>
          <w:i/>
          <w:color w:val="000000" w:themeColor="text1"/>
          <w:sz w:val="20"/>
          <w:szCs w:val="20"/>
        </w:rPr>
        <w:t xml:space="preserve">: Versions of </w:t>
      </w:r>
      <w:proofErr w:type="spellStart"/>
      <w:r w:rsidRPr="009D7635">
        <w:rPr>
          <w:rFonts w:ascii="Times New Roman" w:hAnsi="Times New Roman" w:cs="Times New Roman"/>
          <w:i/>
          <w:color w:val="000000" w:themeColor="text1"/>
          <w:sz w:val="20"/>
          <w:szCs w:val="20"/>
        </w:rPr>
        <w:t>Burgundio</w:t>
      </w:r>
      <w:proofErr w:type="spellEnd"/>
      <w:r w:rsidRPr="009D7635">
        <w:rPr>
          <w:rFonts w:ascii="Times New Roman" w:hAnsi="Times New Roman" w:cs="Times New Roman"/>
          <w:i/>
          <w:color w:val="000000" w:themeColor="text1"/>
          <w:sz w:val="20"/>
          <w:szCs w:val="20"/>
        </w:rPr>
        <w:t xml:space="preserve"> and </w:t>
      </w:r>
      <w:proofErr w:type="spellStart"/>
      <w:r w:rsidRPr="009D7635">
        <w:rPr>
          <w:rFonts w:ascii="Times New Roman" w:hAnsi="Times New Roman" w:cs="Times New Roman"/>
          <w:i/>
          <w:color w:val="000000" w:themeColor="text1"/>
          <w:sz w:val="20"/>
          <w:szCs w:val="20"/>
        </w:rPr>
        <w:t>Cerbanus</w:t>
      </w:r>
      <w:proofErr w:type="spellEnd"/>
      <w:r w:rsidRPr="009D7635">
        <w:rPr>
          <w:rFonts w:ascii="Times New Roman" w:hAnsi="Times New Roman" w:cs="Times New Roman"/>
          <w:color w:val="000000" w:themeColor="text1"/>
          <w:sz w:val="20"/>
          <w:szCs w:val="20"/>
        </w:rPr>
        <w:t xml:space="preserve">, ed. </w:t>
      </w:r>
      <w:proofErr w:type="spellStart"/>
      <w:r w:rsidRPr="009D7635">
        <w:rPr>
          <w:rFonts w:ascii="Times New Roman" w:hAnsi="Times New Roman" w:cs="Times New Roman"/>
          <w:color w:val="000000" w:themeColor="text1"/>
          <w:sz w:val="20"/>
          <w:szCs w:val="20"/>
        </w:rPr>
        <w:t>Eligius</w:t>
      </w:r>
      <w:proofErr w:type="spellEnd"/>
      <w:r w:rsidRPr="009D7635">
        <w:rPr>
          <w:rFonts w:ascii="Times New Roman" w:hAnsi="Times New Roman" w:cs="Times New Roman"/>
          <w:color w:val="000000" w:themeColor="text1"/>
          <w:sz w:val="20"/>
          <w:szCs w:val="20"/>
        </w:rPr>
        <w:t xml:space="preserve"> M. </w:t>
      </w:r>
      <w:proofErr w:type="spellStart"/>
      <w:r w:rsidRPr="009D7635">
        <w:rPr>
          <w:rFonts w:ascii="Times New Roman" w:hAnsi="Times New Roman" w:cs="Times New Roman"/>
          <w:color w:val="000000" w:themeColor="text1"/>
          <w:sz w:val="20"/>
          <w:szCs w:val="20"/>
        </w:rPr>
        <w:t>Buytaert</w:t>
      </w:r>
      <w:proofErr w:type="spellEnd"/>
      <w:r w:rsidRPr="009D7635">
        <w:rPr>
          <w:rFonts w:ascii="Times New Roman" w:hAnsi="Times New Roman" w:cs="Times New Roman"/>
          <w:color w:val="000000" w:themeColor="text1"/>
          <w:sz w:val="20"/>
          <w:szCs w:val="20"/>
        </w:rPr>
        <w:t xml:space="preserve"> (St Bonaventure, New York: Franciscan Institute Publications, 1955), 26.6.</w:t>
      </w:r>
    </w:p>
  </w:footnote>
  <w:footnote w:id="582">
    <w:p w14:paraId="53AFD59E" w14:textId="7777777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Tractatus</w:t>
      </w:r>
      <w:proofErr w:type="spellEnd"/>
      <w:r w:rsidRPr="009D7635">
        <w:rPr>
          <w:rFonts w:ascii="Times New Roman" w:hAnsi="Times New Roman" w:cs="Times New Roman"/>
          <w:color w:val="000000" w:themeColor="text1"/>
          <w:sz w:val="20"/>
          <w:szCs w:val="20"/>
          <w:lang w:val="en-US"/>
        </w:rPr>
        <w:t xml:space="preserve">, 57: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incorporea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illuminationum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a Primo </w:t>
      </w:r>
      <w:proofErr w:type="spellStart"/>
      <w:r w:rsidRPr="009D7635">
        <w:rPr>
          <w:rFonts w:ascii="Times New Roman" w:hAnsi="Times New Roman" w:cs="Times New Roman"/>
          <w:i/>
          <w:color w:val="000000" w:themeColor="text1"/>
          <w:sz w:val="20"/>
          <w:szCs w:val="20"/>
          <w:lang w:val="en-US"/>
        </w:rPr>
        <w:t>ultima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relatione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perceptiva</w:t>
      </w:r>
      <w:proofErr w:type="spellEnd"/>
      <w:r w:rsidRPr="009D7635">
        <w:rPr>
          <w:rFonts w:ascii="Times New Roman" w:hAnsi="Times New Roman" w:cs="Times New Roman"/>
          <w:color w:val="000000" w:themeColor="text1"/>
          <w:sz w:val="20"/>
          <w:szCs w:val="20"/>
          <w:lang w:val="en-US"/>
        </w:rPr>
        <w:t xml:space="preserve">, quoting Alfred </w:t>
      </w:r>
      <w:proofErr w:type="spellStart"/>
      <w:r w:rsidRPr="009D7635">
        <w:rPr>
          <w:rFonts w:ascii="Times New Roman" w:hAnsi="Times New Roman" w:cs="Times New Roman"/>
          <w:color w:val="000000" w:themeColor="text1"/>
          <w:sz w:val="20"/>
          <w:szCs w:val="20"/>
          <w:lang w:val="en-US"/>
        </w:rPr>
        <w:t>Sarashel</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motu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cordis</w:t>
      </w:r>
      <w:proofErr w:type="spellEnd"/>
      <w:r w:rsidRPr="009D7635">
        <w:rPr>
          <w:rFonts w:ascii="Times New Roman" w:hAnsi="Times New Roman" w:cs="Times New Roman"/>
          <w:color w:val="000000" w:themeColor="text1"/>
          <w:sz w:val="20"/>
          <w:szCs w:val="20"/>
          <w:lang w:val="en-US"/>
        </w:rPr>
        <w:t xml:space="preserve">, ed. </w:t>
      </w:r>
      <w:r w:rsidRPr="009D7635">
        <w:rPr>
          <w:rFonts w:ascii="Times New Roman" w:hAnsi="Times New Roman" w:cs="Times New Roman"/>
          <w:color w:val="000000" w:themeColor="text1"/>
          <w:sz w:val="20"/>
          <w:szCs w:val="20"/>
        </w:rPr>
        <w:t xml:space="preserve">Carl Sigmund Baruch, </w:t>
      </w:r>
      <w:proofErr w:type="spellStart"/>
      <w:r w:rsidRPr="009D7635">
        <w:rPr>
          <w:rFonts w:ascii="Times New Roman" w:hAnsi="Times New Roman" w:cs="Times New Roman"/>
          <w:i/>
          <w:color w:val="000000" w:themeColor="text1"/>
          <w:sz w:val="20"/>
          <w:szCs w:val="20"/>
        </w:rPr>
        <w:t>Excerpta</w:t>
      </w:r>
      <w:proofErr w:type="spellEnd"/>
      <w:r w:rsidRPr="009D7635">
        <w:rPr>
          <w:rFonts w:ascii="Times New Roman" w:hAnsi="Times New Roman" w:cs="Times New Roman"/>
          <w:i/>
          <w:color w:val="000000" w:themeColor="text1"/>
          <w:sz w:val="20"/>
          <w:szCs w:val="20"/>
        </w:rPr>
        <w:t xml:space="preserve"> e </w:t>
      </w:r>
      <w:proofErr w:type="spellStart"/>
      <w:r w:rsidRPr="009D7635">
        <w:rPr>
          <w:rFonts w:ascii="Times New Roman" w:hAnsi="Times New Roman" w:cs="Times New Roman"/>
          <w:i/>
          <w:color w:val="000000" w:themeColor="text1"/>
          <w:sz w:val="20"/>
          <w:szCs w:val="20"/>
        </w:rPr>
        <w:t>libro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Alfredi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Angelici</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motu</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cordis</w:t>
      </w:r>
      <w:proofErr w:type="spellEnd"/>
      <w:r w:rsidRPr="009D7635">
        <w:rPr>
          <w:rFonts w:ascii="Times New Roman" w:hAnsi="Times New Roman" w:cs="Times New Roman"/>
          <w:i/>
          <w:color w:val="000000" w:themeColor="text1"/>
          <w:sz w:val="20"/>
          <w:szCs w:val="20"/>
        </w:rPr>
        <w:t xml:space="preserve"> item Costa Ben </w:t>
      </w:r>
      <w:proofErr w:type="spellStart"/>
      <w:r w:rsidRPr="009D7635">
        <w:rPr>
          <w:rFonts w:ascii="Times New Roman" w:hAnsi="Times New Roman" w:cs="Times New Roman"/>
          <w:i/>
          <w:color w:val="000000" w:themeColor="text1"/>
          <w:sz w:val="20"/>
          <w:szCs w:val="20"/>
        </w:rPr>
        <w:t>Lucae</w:t>
      </w:r>
      <w:proofErr w:type="spellEnd"/>
      <w:r w:rsidRPr="009D7635">
        <w:rPr>
          <w:rFonts w:ascii="Times New Roman" w:hAnsi="Times New Roman" w:cs="Times New Roman"/>
          <w:i/>
          <w:color w:val="000000" w:themeColor="text1"/>
          <w:sz w:val="20"/>
          <w:szCs w:val="20"/>
        </w:rPr>
        <w:t xml:space="preserve"> De differentia </w:t>
      </w:r>
      <w:proofErr w:type="spellStart"/>
      <w:r w:rsidRPr="009D7635">
        <w:rPr>
          <w:rFonts w:ascii="Times New Roman" w:hAnsi="Times New Roman" w:cs="Times New Roman"/>
          <w:i/>
          <w:color w:val="000000" w:themeColor="text1"/>
          <w:sz w:val="20"/>
          <w:szCs w:val="20"/>
        </w:rPr>
        <w:t>animae</w:t>
      </w:r>
      <w:proofErr w:type="spellEnd"/>
      <w:r w:rsidRPr="009D7635">
        <w:rPr>
          <w:rFonts w:ascii="Times New Roman" w:hAnsi="Times New Roman" w:cs="Times New Roman"/>
          <w:i/>
          <w:color w:val="000000" w:themeColor="text1"/>
          <w:sz w:val="20"/>
          <w:szCs w:val="20"/>
        </w:rPr>
        <w:t xml:space="preserve"> et spiritus liber </w:t>
      </w:r>
      <w:proofErr w:type="spellStart"/>
      <w:r w:rsidRPr="009D7635">
        <w:rPr>
          <w:rFonts w:ascii="Times New Roman" w:hAnsi="Times New Roman" w:cs="Times New Roman"/>
          <w:i/>
          <w:color w:val="000000" w:themeColor="text1"/>
          <w:sz w:val="20"/>
          <w:szCs w:val="20"/>
        </w:rPr>
        <w:t>translatus</w:t>
      </w:r>
      <w:proofErr w:type="spellEnd"/>
      <w:r w:rsidRPr="009D7635">
        <w:rPr>
          <w:rFonts w:ascii="Times New Roman" w:hAnsi="Times New Roman" w:cs="Times New Roman"/>
          <w:i/>
          <w:color w:val="000000" w:themeColor="text1"/>
          <w:sz w:val="20"/>
          <w:szCs w:val="20"/>
        </w:rPr>
        <w:t xml:space="preserve"> a Johanne </w:t>
      </w:r>
      <w:proofErr w:type="spellStart"/>
      <w:r w:rsidRPr="009D7635">
        <w:rPr>
          <w:rFonts w:ascii="Times New Roman" w:hAnsi="Times New Roman" w:cs="Times New Roman"/>
          <w:i/>
          <w:color w:val="000000" w:themeColor="text1"/>
          <w:sz w:val="20"/>
          <w:szCs w:val="20"/>
        </w:rPr>
        <w:t>Hispalensi</w:t>
      </w:r>
      <w:proofErr w:type="spellEnd"/>
      <w:r w:rsidRPr="009D7635">
        <w:rPr>
          <w:rFonts w:ascii="Times New Roman" w:hAnsi="Times New Roman" w:cs="Times New Roman"/>
          <w:color w:val="000000" w:themeColor="text1"/>
          <w:sz w:val="20"/>
          <w:szCs w:val="20"/>
        </w:rPr>
        <w:t xml:space="preserve"> (Innsbruck: </w:t>
      </w:r>
      <w:proofErr w:type="spellStart"/>
      <w:r w:rsidRPr="009D7635">
        <w:rPr>
          <w:rFonts w:ascii="Times New Roman" w:hAnsi="Times New Roman" w:cs="Times New Roman"/>
          <w:color w:val="000000" w:themeColor="text1"/>
          <w:sz w:val="20"/>
          <w:szCs w:val="20"/>
        </w:rPr>
        <w:t>Verlag</w:t>
      </w:r>
      <w:proofErr w:type="spellEnd"/>
      <w:r w:rsidRPr="009D7635">
        <w:rPr>
          <w:rFonts w:ascii="Times New Roman" w:hAnsi="Times New Roman" w:cs="Times New Roman"/>
          <w:color w:val="000000" w:themeColor="text1"/>
          <w:sz w:val="20"/>
          <w:szCs w:val="20"/>
        </w:rPr>
        <w:t xml:space="preserve"> der </w:t>
      </w:r>
      <w:proofErr w:type="spellStart"/>
      <w:r w:rsidRPr="009D7635">
        <w:rPr>
          <w:rFonts w:ascii="Times New Roman" w:hAnsi="Times New Roman" w:cs="Times New Roman"/>
          <w:color w:val="000000" w:themeColor="text1"/>
          <w:sz w:val="20"/>
          <w:szCs w:val="20"/>
        </w:rPr>
        <w:t>Wagnerschen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Universitaets</w:t>
      </w:r>
      <w:proofErr w:type="spellEnd"/>
      <w:r w:rsidRPr="009D7635">
        <w:rPr>
          <w:rFonts w:ascii="Times New Roman" w:hAnsi="Times New Roman" w:cs="Times New Roman"/>
          <w:color w:val="000000" w:themeColor="text1"/>
          <w:sz w:val="20"/>
          <w:szCs w:val="20"/>
        </w:rPr>
        <w:t>-</w:t>
      </w:r>
      <w:proofErr w:type="spellStart"/>
      <w:r w:rsidRPr="009D7635">
        <w:rPr>
          <w:rFonts w:ascii="Times New Roman" w:hAnsi="Times New Roman" w:cs="Times New Roman"/>
          <w:color w:val="000000" w:themeColor="text1"/>
          <w:sz w:val="20"/>
          <w:szCs w:val="20"/>
        </w:rPr>
        <w:t>Buchhandlung</w:t>
      </w:r>
      <w:proofErr w:type="spellEnd"/>
      <w:r w:rsidRPr="009D7635">
        <w:rPr>
          <w:rFonts w:ascii="Times New Roman" w:hAnsi="Times New Roman" w:cs="Times New Roman"/>
          <w:color w:val="000000" w:themeColor="text1"/>
          <w:sz w:val="20"/>
          <w:szCs w:val="20"/>
        </w:rPr>
        <w:t>, 1878).</w:t>
      </w:r>
    </w:p>
  </w:footnote>
  <w:footnote w:id="583">
    <w:p w14:paraId="1BA2F3EE" w14:textId="71F576A9"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Tractatus</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57-8, quoting passages from DSEA </w:t>
      </w:r>
      <w:r w:rsidRPr="009D7635">
        <w:rPr>
          <w:rFonts w:ascii="Times New Roman" w:hAnsi="Times New Roman" w:cs="Times New Roman"/>
          <w:color w:val="000000" w:themeColor="text1"/>
          <w:sz w:val="20"/>
          <w:szCs w:val="20"/>
          <w:lang w:val="en-US"/>
        </w:rPr>
        <w:t xml:space="preserve">(PL 40, 788-789) </w:t>
      </w:r>
      <w:r w:rsidRPr="009D7635">
        <w:rPr>
          <w:rFonts w:ascii="Times New Roman" w:hAnsi="Times New Roman" w:cs="Times New Roman"/>
          <w:color w:val="000000" w:themeColor="text1"/>
          <w:sz w:val="20"/>
          <w:szCs w:val="20"/>
        </w:rPr>
        <w:t xml:space="preserve">in the following order. </w:t>
      </w:r>
      <w:r w:rsidRPr="009D7635">
        <w:rPr>
          <w:rFonts w:ascii="Times New Roman" w:hAnsi="Times New Roman" w:cs="Times New Roman"/>
          <w:color w:val="000000" w:themeColor="text1"/>
          <w:sz w:val="20"/>
          <w:szCs w:val="20"/>
          <w:lang w:val="en-US"/>
        </w:rPr>
        <w:t xml:space="preserve">DSEA 8: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intellectualis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spiritualis</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Deo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facta</w:t>
      </w:r>
      <w:proofErr w:type="spellEnd"/>
      <w:r w:rsidRPr="009D7635">
        <w:rPr>
          <w:rFonts w:ascii="Times New Roman" w:hAnsi="Times New Roman" w:cs="Times New Roman"/>
          <w:i/>
          <w:color w:val="000000" w:themeColor="text1"/>
          <w:sz w:val="20"/>
          <w:szCs w:val="20"/>
          <w:lang w:val="en-US"/>
        </w:rPr>
        <w:t xml:space="preserve"> non ex Dei </w:t>
      </w:r>
      <w:proofErr w:type="spellStart"/>
      <w:r w:rsidRPr="009D7635">
        <w:rPr>
          <w:rFonts w:ascii="Times New Roman" w:hAnsi="Times New Roman" w:cs="Times New Roman"/>
          <w:i/>
          <w:color w:val="000000" w:themeColor="text1"/>
          <w:sz w:val="20"/>
          <w:szCs w:val="20"/>
          <w:lang w:val="en-US"/>
        </w:rPr>
        <w:t>natura</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potius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creata</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nichilo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facta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malumque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conuertibilis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ideo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aliquatenus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mortalis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aliquatenus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immortalis</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DSEA 24: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spiritualis</w:t>
      </w:r>
      <w:proofErr w:type="spellEnd"/>
      <w:r w:rsidRPr="009D7635">
        <w:rPr>
          <w:rFonts w:ascii="Times New Roman" w:hAnsi="Times New Roman" w:cs="Times New Roman"/>
          <w:i/>
          <w:color w:val="000000" w:themeColor="text1"/>
          <w:sz w:val="20"/>
          <w:szCs w:val="20"/>
          <w:lang w:val="en-US"/>
        </w:rPr>
        <w:t xml:space="preserve">, simplex, </w:t>
      </w:r>
      <w:proofErr w:type="spellStart"/>
      <w:r w:rsidRPr="009D7635">
        <w:rPr>
          <w:rFonts w:ascii="Times New Roman" w:hAnsi="Times New Roman" w:cs="Times New Roman"/>
          <w:i/>
          <w:color w:val="000000" w:themeColor="text1"/>
          <w:sz w:val="20"/>
          <w:szCs w:val="20"/>
          <w:lang w:val="en-US"/>
        </w:rPr>
        <w:t>incorporea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indissolubilis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passibilis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mutabilis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carens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pondere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figura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colore</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DSEA 13: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spiritus </w:t>
      </w:r>
      <w:proofErr w:type="spellStart"/>
      <w:r w:rsidRPr="009D7635">
        <w:rPr>
          <w:rFonts w:ascii="Times New Roman" w:hAnsi="Times New Roman" w:cs="Times New Roman"/>
          <w:i/>
          <w:color w:val="000000" w:themeColor="text1"/>
          <w:sz w:val="20"/>
          <w:szCs w:val="20"/>
          <w:lang w:val="en-US"/>
        </w:rPr>
        <w:t>intellectualis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semper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uiuens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semper</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motu</w:t>
      </w:r>
      <w:proofErr w:type="spellEnd"/>
      <w:r w:rsidRPr="009D7635">
        <w:rPr>
          <w:rFonts w:ascii="Times New Roman" w:hAnsi="Times New Roman" w:cs="Times New Roman"/>
          <w:i/>
          <w:color w:val="000000" w:themeColor="text1"/>
          <w:sz w:val="20"/>
          <w:szCs w:val="20"/>
          <w:lang w:val="en-US"/>
        </w:rPr>
        <w:t xml:space="preserve">, bone </w:t>
      </w:r>
      <w:proofErr w:type="spellStart"/>
      <w:r w:rsidRPr="009D7635">
        <w:rPr>
          <w:rFonts w:ascii="Times New Roman" w:hAnsi="Times New Roman" w:cs="Times New Roman"/>
          <w:i/>
          <w:color w:val="000000" w:themeColor="text1"/>
          <w:sz w:val="20"/>
          <w:szCs w:val="20"/>
          <w:lang w:val="en-US"/>
        </w:rPr>
        <w:t>maleque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capax</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voluntatis</w:t>
      </w:r>
      <w:proofErr w:type="spellEnd"/>
      <w:r w:rsidRPr="009D7635">
        <w:rPr>
          <w:rFonts w:ascii="Times New Roman" w:hAnsi="Times New Roman" w:cs="Times New Roman"/>
          <w:color w:val="000000" w:themeColor="text1"/>
          <w:sz w:val="20"/>
          <w:szCs w:val="20"/>
          <w:lang w:val="en-US"/>
        </w:rPr>
        <w:t xml:space="preserve">. DSEA 6: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omnium </w:t>
      </w:r>
      <w:proofErr w:type="spellStart"/>
      <w:r w:rsidRPr="009D7635">
        <w:rPr>
          <w:rFonts w:ascii="Times New Roman" w:hAnsi="Times New Roman" w:cs="Times New Roman"/>
          <w:i/>
          <w:color w:val="000000" w:themeColor="text1"/>
          <w:sz w:val="20"/>
          <w:szCs w:val="20"/>
          <w:lang w:val="en-US"/>
        </w:rPr>
        <w:t>simulitudo</w:t>
      </w:r>
      <w:proofErr w:type="spellEnd"/>
      <w:r w:rsidRPr="009D7635">
        <w:rPr>
          <w:rFonts w:ascii="Times New Roman" w:hAnsi="Times New Roman" w:cs="Times New Roman"/>
          <w:color w:val="000000" w:themeColor="text1"/>
          <w:sz w:val="20"/>
          <w:szCs w:val="20"/>
          <w:lang w:val="en-US"/>
        </w:rPr>
        <w:t xml:space="preserve">. DSEA 1: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quedam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particeps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regendo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accomodata</w:t>
      </w:r>
      <w:proofErr w:type="spellEnd"/>
      <w:r w:rsidRPr="009D7635">
        <w:rPr>
          <w:rFonts w:ascii="Times New Roman" w:hAnsi="Times New Roman" w:cs="Times New Roman"/>
          <w:i/>
          <w:color w:val="000000" w:themeColor="text1"/>
          <w:sz w:val="20"/>
          <w:szCs w:val="20"/>
          <w:lang w:val="en-US"/>
        </w:rPr>
        <w:t>.</w:t>
      </w:r>
    </w:p>
  </w:footnote>
  <w:footnote w:id="584">
    <w:p w14:paraId="5574A9A8" w14:textId="033F0120"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Tractatus</w:t>
      </w:r>
      <w:proofErr w:type="spellEnd"/>
      <w:r w:rsidRPr="009D7635">
        <w:rPr>
          <w:rFonts w:ascii="Times New Roman" w:hAnsi="Times New Roman" w:cs="Times New Roman"/>
          <w:color w:val="000000" w:themeColor="text1"/>
          <w:sz w:val="20"/>
          <w:szCs w:val="20"/>
          <w:lang w:val="en-US"/>
        </w:rPr>
        <w:t xml:space="preserve">, 57, quoting Aristotle, </w:t>
      </w:r>
      <w:r w:rsidRPr="009D7635">
        <w:rPr>
          <w:rFonts w:ascii="Times New Roman" w:hAnsi="Times New Roman" w:cs="Times New Roman"/>
          <w:i/>
          <w:color w:val="000000" w:themeColor="text1"/>
          <w:sz w:val="20"/>
          <w:szCs w:val="20"/>
          <w:lang w:val="en-US"/>
        </w:rPr>
        <w:t>De anima</w:t>
      </w:r>
      <w:r w:rsidRPr="009D7635">
        <w:rPr>
          <w:rFonts w:ascii="Times New Roman" w:hAnsi="Times New Roman" w:cs="Times New Roman"/>
          <w:color w:val="000000" w:themeColor="text1"/>
          <w:sz w:val="20"/>
          <w:szCs w:val="20"/>
          <w:lang w:val="en-US"/>
        </w:rPr>
        <w:t xml:space="preserve"> II (412a 19-22, 27-28, 412b 5-6):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primus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phisici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organici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vitam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habentis</w:t>
      </w:r>
      <w:proofErr w:type="spellEnd"/>
      <w:r w:rsidRPr="009D7635">
        <w:rPr>
          <w:rFonts w:ascii="Times New Roman" w:hAnsi="Times New Roman" w:cs="Times New Roman"/>
          <w:i/>
          <w:color w:val="000000" w:themeColor="text1"/>
          <w:sz w:val="20"/>
          <w:szCs w:val="20"/>
          <w:lang w:val="en-US"/>
        </w:rPr>
        <w:t>.</w:t>
      </w:r>
    </w:p>
  </w:footnote>
  <w:footnote w:id="585">
    <w:p w14:paraId="779D74B5" w14:textId="0B38E05F"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Tractatus</w:t>
      </w:r>
      <w:proofErr w:type="spellEnd"/>
      <w:r w:rsidRPr="009D7635">
        <w:rPr>
          <w:rFonts w:ascii="Times New Roman" w:hAnsi="Times New Roman" w:cs="Times New Roman"/>
          <w:color w:val="000000" w:themeColor="text1"/>
          <w:sz w:val="20"/>
          <w:szCs w:val="20"/>
          <w:lang w:val="en-US"/>
        </w:rPr>
        <w:t xml:space="preserve">, 63, quoting Plato’s </w:t>
      </w:r>
      <w:r w:rsidRPr="009D7635">
        <w:rPr>
          <w:rFonts w:ascii="Times New Roman" w:hAnsi="Times New Roman" w:cs="Times New Roman"/>
          <w:i/>
          <w:color w:val="000000" w:themeColor="text1"/>
          <w:sz w:val="20"/>
          <w:szCs w:val="20"/>
          <w:lang w:val="en-US"/>
        </w:rPr>
        <w:t>Crato</w:t>
      </w:r>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incorporea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mouens</w:t>
      </w:r>
      <w:proofErr w:type="spellEnd"/>
      <w:r w:rsidRPr="009D7635">
        <w:rPr>
          <w:rFonts w:ascii="Times New Roman" w:hAnsi="Times New Roman" w:cs="Times New Roman"/>
          <w:i/>
          <w:color w:val="000000" w:themeColor="text1"/>
          <w:sz w:val="20"/>
          <w:szCs w:val="20"/>
          <w:lang w:val="en-US"/>
        </w:rPr>
        <w:t xml:space="preserve"> corpus</w:t>
      </w:r>
      <w:r w:rsidRPr="009D7635">
        <w:rPr>
          <w:rFonts w:ascii="Times New Roman" w:hAnsi="Times New Roman" w:cs="Times New Roman"/>
          <w:color w:val="000000" w:themeColor="text1"/>
          <w:sz w:val="20"/>
          <w:szCs w:val="20"/>
          <w:lang w:val="en-US"/>
        </w:rPr>
        <w:t xml:space="preserve">. Here also is quoted someone called </w:t>
      </w:r>
      <w:proofErr w:type="spellStart"/>
      <w:r w:rsidRPr="009D7635">
        <w:rPr>
          <w:rFonts w:ascii="Times New Roman" w:hAnsi="Times New Roman" w:cs="Times New Roman"/>
          <w:color w:val="000000" w:themeColor="text1"/>
          <w:sz w:val="20"/>
          <w:szCs w:val="20"/>
          <w:lang w:val="en-US"/>
        </w:rPr>
        <w:t>Remegius</w:t>
      </w:r>
      <w:proofErr w:type="spellEnd"/>
      <w:r w:rsidRPr="009D7635">
        <w:rPr>
          <w:rFonts w:ascii="Times New Roman" w:hAnsi="Times New Roman" w:cs="Times New Roman"/>
          <w:color w:val="000000" w:themeColor="text1"/>
          <w:sz w:val="20"/>
          <w:szCs w:val="20"/>
          <w:lang w:val="en-US"/>
        </w:rPr>
        <w:t xml:space="preserve">, who is actually </w:t>
      </w:r>
      <w:proofErr w:type="spellStart"/>
      <w:r w:rsidRPr="009D7635">
        <w:rPr>
          <w:rFonts w:ascii="Times New Roman" w:hAnsi="Times New Roman" w:cs="Times New Roman"/>
          <w:color w:val="000000" w:themeColor="text1"/>
          <w:sz w:val="20"/>
          <w:szCs w:val="20"/>
          <w:lang w:val="en-US"/>
        </w:rPr>
        <w:t>Nemesius</w:t>
      </w:r>
      <w:proofErr w:type="spellEnd"/>
      <w:r w:rsidRPr="009D7635">
        <w:rPr>
          <w:rFonts w:ascii="Times New Roman" w:hAnsi="Times New Roman" w:cs="Times New Roman"/>
          <w:color w:val="000000" w:themeColor="text1"/>
          <w:sz w:val="20"/>
          <w:szCs w:val="20"/>
          <w:lang w:val="en-US"/>
        </w:rPr>
        <w:t xml:space="preserve"> of </w:t>
      </w:r>
      <w:proofErr w:type="spellStart"/>
      <w:r w:rsidRPr="009D7635">
        <w:rPr>
          <w:rFonts w:ascii="Times New Roman" w:hAnsi="Times New Roman" w:cs="Times New Roman"/>
          <w:color w:val="000000" w:themeColor="text1"/>
          <w:sz w:val="20"/>
          <w:szCs w:val="20"/>
          <w:lang w:val="en-US"/>
        </w:rPr>
        <w:t>Emesa</w:t>
      </w:r>
      <w:proofErr w:type="spellEnd"/>
      <w:r w:rsidRPr="009D7635">
        <w:rPr>
          <w:rFonts w:ascii="Times New Roman" w:hAnsi="Times New Roman" w:cs="Times New Roman"/>
          <w:color w:val="000000" w:themeColor="text1"/>
          <w:sz w:val="20"/>
          <w:szCs w:val="20"/>
          <w:lang w:val="en-US"/>
        </w:rPr>
        <w:t xml:space="preserve"> in the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natura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hominis</w:t>
      </w:r>
      <w:proofErr w:type="spellEnd"/>
      <w:r w:rsidRPr="009D7635">
        <w:rPr>
          <w:rFonts w:ascii="Times New Roman" w:hAnsi="Times New Roman" w:cs="Times New Roman"/>
          <w:color w:val="000000" w:themeColor="text1"/>
          <w:sz w:val="20"/>
          <w:szCs w:val="20"/>
          <w:lang w:val="en-US"/>
        </w:rPr>
        <w:t xml:space="preserve">, c. 2 (PG 40, 589A).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incorporea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regens</w:t>
      </w:r>
      <w:proofErr w:type="spellEnd"/>
      <w:r w:rsidRPr="009D7635">
        <w:rPr>
          <w:rFonts w:ascii="Times New Roman" w:hAnsi="Times New Roman" w:cs="Times New Roman"/>
          <w:i/>
          <w:color w:val="000000" w:themeColor="text1"/>
          <w:sz w:val="20"/>
          <w:szCs w:val="20"/>
          <w:lang w:val="en-US"/>
        </w:rPr>
        <w:t xml:space="preserve"> corpus</w:t>
      </w:r>
      <w:r w:rsidRPr="009D7635">
        <w:rPr>
          <w:rFonts w:ascii="Times New Roman" w:hAnsi="Times New Roman" w:cs="Times New Roman"/>
          <w:color w:val="000000" w:themeColor="text1"/>
          <w:sz w:val="20"/>
          <w:szCs w:val="20"/>
          <w:lang w:val="en-US"/>
        </w:rPr>
        <w:t xml:space="preserve">. See </w:t>
      </w:r>
      <w:proofErr w:type="spellStart"/>
      <w:r w:rsidRPr="009D7635">
        <w:rPr>
          <w:rFonts w:ascii="Times New Roman" w:hAnsi="Times New Roman" w:cs="Times New Roman"/>
          <w:color w:val="000000" w:themeColor="text1"/>
          <w:sz w:val="20"/>
          <w:szCs w:val="20"/>
        </w:rPr>
        <w:t>Nemesius</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On the Nature of Man</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trans. and introduction and notes by R.W. </w:t>
      </w:r>
      <w:proofErr w:type="spellStart"/>
      <w:r w:rsidRPr="009D7635">
        <w:rPr>
          <w:rFonts w:ascii="Times New Roman" w:hAnsi="Times New Roman" w:cs="Times New Roman"/>
          <w:color w:val="000000" w:themeColor="text1"/>
          <w:sz w:val="20"/>
          <w:szCs w:val="20"/>
        </w:rPr>
        <w:t>Sharples</w:t>
      </w:r>
      <w:proofErr w:type="spellEnd"/>
      <w:r w:rsidRPr="009D7635">
        <w:rPr>
          <w:rFonts w:ascii="Times New Roman" w:hAnsi="Times New Roman" w:cs="Times New Roman"/>
          <w:color w:val="000000" w:themeColor="text1"/>
          <w:sz w:val="20"/>
          <w:szCs w:val="20"/>
        </w:rPr>
        <w:t xml:space="preserve"> and P.J. Van der </w:t>
      </w:r>
      <w:proofErr w:type="spellStart"/>
      <w:r w:rsidRPr="009D7635">
        <w:rPr>
          <w:rFonts w:ascii="Times New Roman" w:hAnsi="Times New Roman" w:cs="Times New Roman"/>
          <w:color w:val="000000" w:themeColor="text1"/>
          <w:sz w:val="20"/>
          <w:szCs w:val="20"/>
        </w:rPr>
        <w:t>Eijk</w:t>
      </w:r>
      <w:proofErr w:type="spellEnd"/>
      <w:r w:rsidRPr="009D7635">
        <w:rPr>
          <w:rFonts w:ascii="Times New Roman" w:hAnsi="Times New Roman" w:cs="Times New Roman"/>
          <w:color w:val="000000" w:themeColor="text1"/>
          <w:sz w:val="20"/>
          <w:szCs w:val="20"/>
        </w:rPr>
        <w:t xml:space="preserve"> (Liverpool: Liverpool University Press, 2008). Ignatius Brady, ‘</w:t>
      </w:r>
      <w:proofErr w:type="spellStart"/>
      <w:r w:rsidRPr="009D7635">
        <w:rPr>
          <w:rFonts w:ascii="Times New Roman" w:hAnsi="Times New Roman" w:cs="Times New Roman"/>
          <w:color w:val="000000" w:themeColor="text1"/>
          <w:sz w:val="20"/>
          <w:szCs w:val="20"/>
        </w:rPr>
        <w:t>Remegius-Nemesius</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Franciscan Studies </w:t>
      </w:r>
      <w:r w:rsidRPr="009D7635">
        <w:rPr>
          <w:rFonts w:ascii="Times New Roman" w:hAnsi="Times New Roman" w:cs="Times New Roman"/>
          <w:color w:val="000000" w:themeColor="text1"/>
          <w:sz w:val="20"/>
          <w:szCs w:val="20"/>
        </w:rPr>
        <w:t>8 (1948)</w:t>
      </w:r>
      <w:r w:rsidR="004B1603"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275-84. </w:t>
      </w:r>
    </w:p>
  </w:footnote>
  <w:footnote w:id="586">
    <w:p w14:paraId="6E934C6C" w14:textId="7777777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Tractatus</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58, quoting </w:t>
      </w:r>
      <w:r w:rsidRPr="009D7635">
        <w:rPr>
          <w:rFonts w:ascii="Times New Roman" w:hAnsi="Times New Roman" w:cs="Times New Roman"/>
          <w:color w:val="000000" w:themeColor="text1"/>
          <w:sz w:val="20"/>
          <w:szCs w:val="20"/>
          <w:lang w:val="en-US"/>
        </w:rPr>
        <w:t xml:space="preserve">Genesis 1:26: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deiforme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spiraculum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vite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sumitur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diffinitio</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Genesi</w:t>
      </w:r>
      <w:proofErr w:type="spellEnd"/>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also mentioned is Genesis 11:7 which states that God makes man in his own image.</w:t>
      </w:r>
    </w:p>
  </w:footnote>
  <w:footnote w:id="587">
    <w:p w14:paraId="23E7B110" w14:textId="77777777"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Tractatus</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58, quoting </w:t>
      </w:r>
      <w:r w:rsidRPr="009D7635">
        <w:rPr>
          <w:rFonts w:ascii="Times New Roman" w:hAnsi="Times New Roman" w:cs="Times New Roman"/>
          <w:color w:val="000000" w:themeColor="text1"/>
          <w:sz w:val="20"/>
          <w:szCs w:val="20"/>
          <w:lang w:val="en-US"/>
        </w:rPr>
        <w:t xml:space="preserve">Seneca, </w:t>
      </w:r>
      <w:proofErr w:type="spellStart"/>
      <w:r w:rsidRPr="009D7635">
        <w:rPr>
          <w:rFonts w:ascii="Times New Roman" w:hAnsi="Times New Roman" w:cs="Times New Roman"/>
          <w:i/>
          <w:color w:val="000000" w:themeColor="text1"/>
          <w:sz w:val="20"/>
          <w:szCs w:val="20"/>
          <w:lang w:val="en-US"/>
        </w:rPr>
        <w:t>Epist</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92, 1-2: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spiritus </w:t>
      </w:r>
      <w:proofErr w:type="spellStart"/>
      <w:r w:rsidRPr="009D7635">
        <w:rPr>
          <w:rFonts w:ascii="Times New Roman" w:hAnsi="Times New Roman" w:cs="Times New Roman"/>
          <w:i/>
          <w:color w:val="000000" w:themeColor="text1"/>
          <w:sz w:val="20"/>
          <w:szCs w:val="20"/>
          <w:lang w:val="en-US"/>
        </w:rPr>
        <w:t>intellectualis</w:t>
      </w:r>
      <w:proofErr w:type="spellEnd"/>
      <w:r w:rsidRPr="009D7635">
        <w:rPr>
          <w:rFonts w:ascii="Times New Roman" w:hAnsi="Times New Roman" w:cs="Times New Roman"/>
          <w:i/>
          <w:color w:val="000000" w:themeColor="text1"/>
          <w:sz w:val="20"/>
          <w:szCs w:val="20"/>
          <w:lang w:val="en-US"/>
        </w:rPr>
        <w:t xml:space="preserve"> in se et in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beatitudinem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ordinatus</w:t>
      </w:r>
      <w:proofErr w:type="spellEnd"/>
      <w:r w:rsidRPr="009D7635">
        <w:rPr>
          <w:rFonts w:ascii="Times New Roman" w:hAnsi="Times New Roman" w:cs="Times New Roman"/>
          <w:i/>
          <w:color w:val="000000" w:themeColor="text1"/>
          <w:sz w:val="20"/>
          <w:szCs w:val="20"/>
          <w:lang w:val="en-US"/>
        </w:rPr>
        <w:t>.</w:t>
      </w:r>
    </w:p>
  </w:footnote>
  <w:footnote w:id="588">
    <w:p w14:paraId="0A8086F6" w14:textId="77777777"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John of La Rochelle,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ed. Jacques Guy </w:t>
      </w:r>
      <w:proofErr w:type="spellStart"/>
      <w:r w:rsidRPr="009D7635">
        <w:rPr>
          <w:rFonts w:ascii="Times New Roman" w:hAnsi="Times New Roman" w:cs="Times New Roman"/>
          <w:color w:val="000000" w:themeColor="text1"/>
          <w:sz w:val="20"/>
          <w:szCs w:val="20"/>
        </w:rPr>
        <w:t>Bougerol</w:t>
      </w:r>
      <w:proofErr w:type="spellEnd"/>
      <w:r w:rsidRPr="009D7635">
        <w:rPr>
          <w:rFonts w:ascii="Times New Roman" w:hAnsi="Times New Roman" w:cs="Times New Roman"/>
          <w:color w:val="000000" w:themeColor="text1"/>
          <w:sz w:val="20"/>
          <w:szCs w:val="20"/>
        </w:rPr>
        <w:t xml:space="preserve"> (Paris: Vrin, 1995), 53: quoting </w:t>
      </w:r>
      <w:proofErr w:type="spellStart"/>
      <w:r w:rsidRPr="009D7635">
        <w:rPr>
          <w:rFonts w:ascii="Times New Roman" w:hAnsi="Times New Roman" w:cs="Times New Roman"/>
          <w:color w:val="000000" w:themeColor="text1"/>
          <w:sz w:val="20"/>
          <w:szCs w:val="20"/>
          <w:lang w:val="en-US"/>
        </w:rPr>
        <w:t>Alfredus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Anglicus</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motu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cordis</w:t>
      </w:r>
      <w:proofErr w:type="spellEnd"/>
      <w:r w:rsidRPr="009D7635">
        <w:rPr>
          <w:rFonts w:ascii="Times New Roman" w:hAnsi="Times New Roman" w:cs="Times New Roman"/>
          <w:color w:val="000000" w:themeColor="text1"/>
          <w:sz w:val="20"/>
          <w:szCs w:val="20"/>
          <w:lang w:val="en-US"/>
        </w:rPr>
        <w:t xml:space="preserve">, I: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incorporea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illuminacionum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a primo </w:t>
      </w:r>
      <w:proofErr w:type="spellStart"/>
      <w:r w:rsidRPr="009D7635">
        <w:rPr>
          <w:rFonts w:ascii="Times New Roman" w:hAnsi="Times New Roman" w:cs="Times New Roman"/>
          <w:i/>
          <w:color w:val="000000" w:themeColor="text1"/>
          <w:sz w:val="20"/>
          <w:szCs w:val="20"/>
          <w:lang w:val="en-US"/>
        </w:rPr>
        <w:t>ultima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relacione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perceptiua</w:t>
      </w:r>
      <w:proofErr w:type="spellEnd"/>
      <w:r w:rsidRPr="009D7635">
        <w:rPr>
          <w:rFonts w:ascii="Times New Roman" w:hAnsi="Times New Roman" w:cs="Times New Roman"/>
          <w:i/>
          <w:color w:val="000000" w:themeColor="text1"/>
          <w:sz w:val="20"/>
          <w:szCs w:val="20"/>
          <w:lang w:val="en-US"/>
        </w:rPr>
        <w:t>.</w:t>
      </w:r>
    </w:p>
  </w:footnote>
  <w:footnote w:id="589">
    <w:p w14:paraId="7FC63E2A" w14:textId="77777777" w:rsidR="00B93ED5" w:rsidRPr="009D7635" w:rsidRDefault="00B93ED5" w:rsidP="00E212D3">
      <w:pPr>
        <w:autoSpaceDE w:val="0"/>
        <w:autoSpaceDN w:val="0"/>
        <w:adjustRightInd w:val="0"/>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53: quoting </w:t>
      </w:r>
      <w:proofErr w:type="spellStart"/>
      <w:r w:rsidRPr="009D7635">
        <w:rPr>
          <w:rFonts w:ascii="Times New Roman" w:hAnsi="Times New Roman" w:cs="Times New Roman"/>
          <w:color w:val="000000" w:themeColor="text1"/>
          <w:sz w:val="20"/>
          <w:szCs w:val="20"/>
        </w:rPr>
        <w:t>Nemesius</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incorporea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regens</w:t>
      </w:r>
      <w:proofErr w:type="spellEnd"/>
      <w:r w:rsidRPr="009D7635">
        <w:rPr>
          <w:rFonts w:ascii="Times New Roman" w:hAnsi="Times New Roman" w:cs="Times New Roman"/>
          <w:i/>
          <w:color w:val="000000" w:themeColor="text1"/>
          <w:sz w:val="20"/>
          <w:szCs w:val="20"/>
          <w:lang w:val="en-US"/>
        </w:rPr>
        <w:t xml:space="preserve"> corpus.</w:t>
      </w:r>
    </w:p>
  </w:footnote>
  <w:footnote w:id="590">
    <w:p w14:paraId="734BD74D" w14:textId="73CB13BF" w:rsidR="00B93ED5" w:rsidRPr="009D7635" w:rsidRDefault="00B93ED5" w:rsidP="00E212D3">
      <w:pPr>
        <w:autoSpaceDE w:val="0"/>
        <w:autoSpaceDN w:val="0"/>
        <w:adjustRightInd w:val="0"/>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4B1603" w:rsidRPr="009D7635">
        <w:rPr>
          <w:rFonts w:ascii="Times New Roman" w:hAnsi="Times New Roman" w:cs="Times New Roman"/>
          <w:iCs/>
          <w:color w:val="000000" w:themeColor="text1"/>
          <w:sz w:val="20"/>
          <w:szCs w:val="20"/>
        </w:rPr>
        <w:t>Ibid.</w:t>
      </w:r>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 quoting Aristotle: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primus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phisici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organici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uitam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habentis</w:t>
      </w:r>
      <w:proofErr w:type="spellEnd"/>
      <w:r w:rsidRPr="009D7635">
        <w:rPr>
          <w:rFonts w:ascii="Times New Roman" w:hAnsi="Times New Roman" w:cs="Times New Roman"/>
          <w:i/>
          <w:color w:val="000000" w:themeColor="text1"/>
          <w:sz w:val="20"/>
          <w:szCs w:val="20"/>
          <w:lang w:val="en-US"/>
        </w:rPr>
        <w:t>.</w:t>
      </w:r>
    </w:p>
  </w:footnote>
  <w:footnote w:id="591">
    <w:p w14:paraId="3F8FA387" w14:textId="19508180" w:rsidR="00B93ED5" w:rsidRPr="009D7635" w:rsidRDefault="00B93ED5" w:rsidP="00E212D3">
      <w:pPr>
        <w:autoSpaceDE w:val="0"/>
        <w:autoSpaceDN w:val="0"/>
        <w:adjustRightInd w:val="0"/>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4B1603" w:rsidRPr="009D7635">
        <w:rPr>
          <w:rFonts w:ascii="Times New Roman" w:hAnsi="Times New Roman" w:cs="Times New Roman"/>
          <w:iCs/>
          <w:color w:val="000000" w:themeColor="text1"/>
          <w:sz w:val="20"/>
          <w:szCs w:val="20"/>
        </w:rPr>
        <w:t>Ibid.</w:t>
      </w:r>
      <w:r w:rsidRPr="009D7635">
        <w:rPr>
          <w:rFonts w:ascii="Times New Roman" w:hAnsi="Times New Roman" w:cs="Times New Roman"/>
          <w:color w:val="000000" w:themeColor="text1"/>
          <w:sz w:val="20"/>
          <w:szCs w:val="20"/>
        </w:rPr>
        <w:t xml:space="preserve">, quoting DSEA 6: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omnium </w:t>
      </w:r>
      <w:proofErr w:type="spellStart"/>
      <w:r w:rsidRPr="009D7635">
        <w:rPr>
          <w:rFonts w:ascii="Times New Roman" w:hAnsi="Times New Roman" w:cs="Times New Roman"/>
          <w:i/>
          <w:color w:val="000000" w:themeColor="text1"/>
          <w:sz w:val="20"/>
          <w:szCs w:val="20"/>
          <w:lang w:val="en-US"/>
        </w:rPr>
        <w:t>similitudo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alio</w:t>
      </w:r>
      <w:proofErr w:type="spellEnd"/>
      <w:r w:rsidRPr="009D7635">
        <w:rPr>
          <w:rFonts w:ascii="Times New Roman" w:hAnsi="Times New Roman" w:cs="Times New Roman"/>
          <w:i/>
          <w:color w:val="000000" w:themeColor="text1"/>
          <w:sz w:val="20"/>
          <w:szCs w:val="20"/>
          <w:lang w:val="en-US"/>
        </w:rPr>
        <w:t xml:space="preserve"> modo, per </w:t>
      </w:r>
      <w:proofErr w:type="spellStart"/>
      <w:r w:rsidRPr="009D7635">
        <w:rPr>
          <w:rFonts w:ascii="Times New Roman" w:hAnsi="Times New Roman" w:cs="Times New Roman"/>
          <w:i/>
          <w:color w:val="000000" w:themeColor="text1"/>
          <w:sz w:val="20"/>
          <w:szCs w:val="20"/>
          <w:lang w:val="en-US"/>
        </w:rPr>
        <w:t>comparacionem</w:t>
      </w:r>
      <w:proofErr w:type="spellEnd"/>
      <w:r w:rsidRPr="009D7635">
        <w:rPr>
          <w:rFonts w:ascii="Times New Roman" w:hAnsi="Times New Roman" w:cs="Times New Roman"/>
          <w:i/>
          <w:color w:val="000000" w:themeColor="text1"/>
          <w:sz w:val="20"/>
          <w:szCs w:val="20"/>
          <w:lang w:val="en-US"/>
        </w:rPr>
        <w:t xml:space="preserve"> ad corpus </w:t>
      </w:r>
      <w:proofErr w:type="spellStart"/>
      <w:r w:rsidRPr="009D7635">
        <w:rPr>
          <w:rFonts w:ascii="Times New Roman" w:hAnsi="Times New Roman" w:cs="Times New Roman"/>
          <w:i/>
          <w:color w:val="000000" w:themeColor="text1"/>
          <w:sz w:val="20"/>
          <w:szCs w:val="20"/>
          <w:lang w:val="en-US"/>
        </w:rPr>
        <w:t>cuius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perfectio</w:t>
      </w:r>
      <w:proofErr w:type="spellEnd"/>
      <w:r w:rsidRPr="009D7635">
        <w:rPr>
          <w:rFonts w:ascii="Times New Roman" w:hAnsi="Times New Roman" w:cs="Times New Roman"/>
          <w:i/>
          <w:color w:val="000000" w:themeColor="text1"/>
          <w:sz w:val="20"/>
          <w:szCs w:val="20"/>
          <w:lang w:val="en-US"/>
        </w:rPr>
        <w:t xml:space="preserve">, et sic </w:t>
      </w:r>
      <w:proofErr w:type="spellStart"/>
      <w:r w:rsidRPr="009D7635">
        <w:rPr>
          <w:rFonts w:ascii="Times New Roman" w:hAnsi="Times New Roman" w:cs="Times New Roman"/>
          <w:i/>
          <w:color w:val="000000" w:themeColor="text1"/>
          <w:sz w:val="20"/>
          <w:szCs w:val="20"/>
          <w:lang w:val="en-US"/>
        </w:rPr>
        <w:t>iterum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diffinitur</w:t>
      </w:r>
      <w:proofErr w:type="spellEnd"/>
      <w:r w:rsidRPr="009D7635">
        <w:rPr>
          <w:rFonts w:ascii="Times New Roman" w:hAnsi="Times New Roman" w:cs="Times New Roman"/>
          <w:i/>
          <w:color w:val="000000" w:themeColor="text1"/>
          <w:sz w:val="20"/>
          <w:szCs w:val="20"/>
          <w:lang w:val="en-US"/>
        </w:rPr>
        <w:t xml:space="preserve"> ab </w:t>
      </w:r>
      <w:proofErr w:type="spellStart"/>
      <w:r w:rsidRPr="009D7635">
        <w:rPr>
          <w:rFonts w:ascii="Times New Roman" w:hAnsi="Times New Roman" w:cs="Times New Roman"/>
          <w:i/>
          <w:color w:val="000000" w:themeColor="text1"/>
          <w:sz w:val="20"/>
          <w:szCs w:val="20"/>
          <w:lang w:val="en-US"/>
        </w:rPr>
        <w:t>Augustino</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DSEA 1: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substancia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quedam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racionis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particeps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regendo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accommodata</w:t>
      </w:r>
      <w:proofErr w:type="spellEnd"/>
      <w:r w:rsidRPr="009D7635">
        <w:rPr>
          <w:rFonts w:ascii="Times New Roman" w:hAnsi="Times New Roman" w:cs="Times New Roman"/>
          <w:i/>
          <w:color w:val="000000" w:themeColor="text1"/>
          <w:sz w:val="20"/>
          <w:szCs w:val="20"/>
          <w:lang w:val="en-US"/>
        </w:rPr>
        <w:t>.</w:t>
      </w:r>
    </w:p>
  </w:footnote>
  <w:footnote w:id="592">
    <w:p w14:paraId="048143F2" w14:textId="407F8468"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4B1603" w:rsidRPr="009D7635">
        <w:rPr>
          <w:rFonts w:ascii="Times New Roman" w:hAnsi="Times New Roman" w:cs="Times New Roman"/>
          <w:iCs/>
          <w:color w:val="000000" w:themeColor="text1"/>
          <w:sz w:val="20"/>
          <w:szCs w:val="20"/>
        </w:rPr>
        <w:t>Ibid.,</w:t>
      </w:r>
      <w:r w:rsidR="004B1603"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53, </w:t>
      </w:r>
      <w:r w:rsidRPr="009D7635">
        <w:rPr>
          <w:rFonts w:ascii="Times New Roman" w:hAnsi="Times New Roman" w:cs="Times New Roman"/>
          <w:color w:val="000000" w:themeColor="text1"/>
          <w:sz w:val="20"/>
          <w:szCs w:val="20"/>
          <w:lang w:val="en-US"/>
        </w:rPr>
        <w:t xml:space="preserve">Genesis 2:7: </w:t>
      </w:r>
      <w:proofErr w:type="spellStart"/>
      <w:r w:rsidRPr="009D7635">
        <w:rPr>
          <w:rFonts w:ascii="Times New Roman" w:hAnsi="Times New Roman" w:cs="Times New Roman"/>
          <w:i/>
          <w:color w:val="000000" w:themeColor="text1"/>
          <w:sz w:val="20"/>
          <w:szCs w:val="20"/>
          <w:lang w:val="en-US"/>
        </w:rPr>
        <w:t>Formauit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Deum</w:t>
      </w:r>
      <w:proofErr w:type="spellEnd"/>
      <w:r w:rsidRPr="009D7635">
        <w:rPr>
          <w:rFonts w:ascii="Times New Roman" w:hAnsi="Times New Roman" w:cs="Times New Roman"/>
          <w:i/>
          <w:color w:val="000000" w:themeColor="text1"/>
          <w:sz w:val="20"/>
          <w:szCs w:val="20"/>
          <w:lang w:val="en-US"/>
        </w:rPr>
        <w:t xml:space="preserve"> hominem de limo </w:t>
      </w:r>
      <w:proofErr w:type="spellStart"/>
      <w:r w:rsidRPr="009D7635">
        <w:rPr>
          <w:rFonts w:ascii="Times New Roman" w:hAnsi="Times New Roman" w:cs="Times New Roman"/>
          <w:i/>
          <w:color w:val="000000" w:themeColor="text1"/>
          <w:sz w:val="20"/>
          <w:szCs w:val="20"/>
          <w:lang w:val="en-US"/>
        </w:rPr>
        <w:t>terre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inspirauit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faciem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spiraculum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uite</w:t>
      </w:r>
      <w:proofErr w:type="spellEnd"/>
      <w:r w:rsidRPr="009D7635">
        <w:rPr>
          <w:rFonts w:ascii="Times New Roman" w:hAnsi="Times New Roman" w:cs="Times New Roman"/>
          <w:i/>
          <w:color w:val="000000" w:themeColor="text1"/>
          <w:sz w:val="20"/>
          <w:szCs w:val="20"/>
          <w:lang w:val="en-US"/>
        </w:rPr>
        <w:t>.</w:t>
      </w:r>
    </w:p>
  </w:footnote>
  <w:footnote w:id="593">
    <w:p w14:paraId="6E183C7B" w14:textId="6F46B64C"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4B1603" w:rsidRPr="009D7635">
        <w:rPr>
          <w:rFonts w:ascii="Times New Roman" w:hAnsi="Times New Roman" w:cs="Times New Roman"/>
          <w:iCs/>
          <w:color w:val="000000" w:themeColor="text1"/>
          <w:sz w:val="20"/>
          <w:szCs w:val="20"/>
        </w:rPr>
        <w:t>Ibid.,</w:t>
      </w:r>
      <w:r w:rsidR="004B1603"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53, quoting Seneca: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spiritus </w:t>
      </w:r>
      <w:proofErr w:type="spellStart"/>
      <w:r w:rsidRPr="009D7635">
        <w:rPr>
          <w:rFonts w:ascii="Times New Roman" w:hAnsi="Times New Roman" w:cs="Times New Roman"/>
          <w:i/>
          <w:color w:val="000000" w:themeColor="text1"/>
          <w:sz w:val="20"/>
          <w:szCs w:val="20"/>
          <w:lang w:val="en-US"/>
        </w:rPr>
        <w:t>intellectualis</w:t>
      </w:r>
      <w:proofErr w:type="spellEnd"/>
      <w:r w:rsidRPr="009D7635">
        <w:rPr>
          <w:rFonts w:ascii="Times New Roman" w:hAnsi="Times New Roman" w:cs="Times New Roman"/>
          <w:i/>
          <w:color w:val="000000" w:themeColor="text1"/>
          <w:sz w:val="20"/>
          <w:szCs w:val="20"/>
          <w:lang w:val="en-US"/>
        </w:rPr>
        <w:t xml:space="preserve"> in se et in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beatitudinem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ordinatus</w:t>
      </w:r>
      <w:proofErr w:type="spellEnd"/>
      <w:r w:rsidRPr="009D7635">
        <w:rPr>
          <w:rFonts w:ascii="Times New Roman" w:hAnsi="Times New Roman" w:cs="Times New Roman"/>
          <w:i/>
          <w:color w:val="000000" w:themeColor="text1"/>
          <w:sz w:val="20"/>
          <w:szCs w:val="20"/>
          <w:lang w:val="en-US"/>
        </w:rPr>
        <w:t xml:space="preserve">. </w:t>
      </w:r>
    </w:p>
  </w:footnote>
  <w:footnote w:id="594">
    <w:p w14:paraId="32D522E9"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Dag Hasse, </w:t>
      </w:r>
      <w:r w:rsidRPr="009D7635">
        <w:rPr>
          <w:rFonts w:ascii="Times New Roman" w:hAnsi="Times New Roman" w:cs="Times New Roman"/>
          <w:i/>
          <w:color w:val="000000" w:themeColor="text1"/>
        </w:rPr>
        <w:t xml:space="preserve">Avicenna’s De anima in the Latin West </w:t>
      </w:r>
      <w:r w:rsidRPr="009D7635">
        <w:rPr>
          <w:rFonts w:ascii="Times New Roman" w:hAnsi="Times New Roman" w:cs="Times New Roman"/>
          <w:color w:val="000000" w:themeColor="text1"/>
        </w:rPr>
        <w:t>(London: Warburg Institute, 2000), 49.</w:t>
      </w:r>
    </w:p>
  </w:footnote>
  <w:footnote w:id="595">
    <w:p w14:paraId="35A91199" w14:textId="7777777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bCs/>
          <w:color w:val="000000" w:themeColor="text1"/>
          <w:sz w:val="20"/>
          <w:szCs w:val="20"/>
          <w:shd w:val="clear" w:color="auto" w:fill="FFFFFF"/>
        </w:rPr>
        <w:t xml:space="preserve">Pierre </w:t>
      </w:r>
      <w:proofErr w:type="spellStart"/>
      <w:r w:rsidRPr="009D7635">
        <w:rPr>
          <w:rFonts w:ascii="Times New Roman" w:eastAsia="Times New Roman" w:hAnsi="Times New Roman" w:cs="Times New Roman"/>
          <w:bCs/>
          <w:color w:val="000000" w:themeColor="text1"/>
          <w:sz w:val="20"/>
          <w:szCs w:val="20"/>
          <w:shd w:val="clear" w:color="auto" w:fill="FFFFFF"/>
        </w:rPr>
        <w:t>Michaud-Quantin</w:t>
      </w:r>
      <w:proofErr w:type="spellEnd"/>
      <w:r w:rsidRPr="009D7635">
        <w:rPr>
          <w:rFonts w:ascii="Times New Roman" w:eastAsia="Times New Roman" w:hAnsi="Times New Roman" w:cs="Times New Roman"/>
          <w:bCs/>
          <w:color w:val="000000" w:themeColor="text1"/>
          <w:sz w:val="20"/>
          <w:szCs w:val="20"/>
          <w:shd w:val="clear" w:color="auto" w:fill="FFFFFF"/>
        </w:rPr>
        <w:t xml:space="preserve">, ‘Introduction,’ in the </w:t>
      </w:r>
      <w:proofErr w:type="spellStart"/>
      <w:r w:rsidRPr="009D7635">
        <w:rPr>
          <w:rFonts w:ascii="Times New Roman" w:eastAsia="Times New Roman" w:hAnsi="Times New Roman" w:cs="Times New Roman"/>
          <w:bCs/>
          <w:i/>
          <w:color w:val="000000" w:themeColor="text1"/>
          <w:sz w:val="20"/>
          <w:szCs w:val="20"/>
          <w:shd w:val="clear" w:color="auto" w:fill="FFFFFF"/>
        </w:rPr>
        <w:t>Tractatus</w:t>
      </w:r>
      <w:proofErr w:type="spellEnd"/>
      <w:r w:rsidRPr="009D7635">
        <w:rPr>
          <w:rFonts w:ascii="Times New Roman" w:eastAsia="Times New Roman" w:hAnsi="Times New Roman" w:cs="Times New Roman"/>
          <w:bCs/>
          <w:iCs/>
          <w:color w:val="000000" w:themeColor="text1"/>
          <w:sz w:val="20"/>
          <w:szCs w:val="20"/>
          <w:shd w:val="clear" w:color="auto" w:fill="FFFFFF"/>
        </w:rPr>
        <w:t>,</w:t>
      </w:r>
      <w:r w:rsidRPr="009D7635">
        <w:rPr>
          <w:rFonts w:ascii="Times New Roman" w:eastAsia="Times New Roman" w:hAnsi="Times New Roman" w:cs="Times New Roman"/>
          <w:bCs/>
          <w:i/>
          <w:color w:val="000000" w:themeColor="text1"/>
          <w:sz w:val="20"/>
          <w:szCs w:val="20"/>
          <w:shd w:val="clear" w:color="auto" w:fill="FFFFFF"/>
        </w:rPr>
        <w:t xml:space="preserve"> </w:t>
      </w:r>
      <w:r w:rsidRPr="009D7635">
        <w:rPr>
          <w:rFonts w:ascii="Times New Roman" w:hAnsi="Times New Roman" w:cs="Times New Roman"/>
          <w:color w:val="000000" w:themeColor="text1"/>
          <w:sz w:val="20"/>
          <w:szCs w:val="20"/>
        </w:rPr>
        <w:t>10: ‘</w:t>
      </w:r>
      <w:r w:rsidRPr="009D7635">
        <w:rPr>
          <w:rFonts w:ascii="Times New Roman" w:hAnsi="Times New Roman" w:cs="Times New Roman"/>
          <w:color w:val="000000" w:themeColor="text1"/>
          <w:sz w:val="20"/>
          <w:szCs w:val="20"/>
          <w:lang w:val="en-US"/>
        </w:rPr>
        <w:t xml:space="preserve">Ce </w:t>
      </w:r>
      <w:proofErr w:type="spellStart"/>
      <w:r w:rsidRPr="009D7635">
        <w:rPr>
          <w:rFonts w:ascii="Times New Roman" w:hAnsi="Times New Roman" w:cs="Times New Roman"/>
          <w:color w:val="000000" w:themeColor="text1"/>
          <w:sz w:val="20"/>
          <w:szCs w:val="20"/>
          <w:lang w:val="en-US"/>
        </w:rPr>
        <w:t>procédé</w:t>
      </w:r>
      <w:proofErr w:type="spellEnd"/>
      <w:r w:rsidRPr="009D7635">
        <w:rPr>
          <w:rFonts w:ascii="Times New Roman" w:hAnsi="Times New Roman" w:cs="Times New Roman"/>
          <w:color w:val="000000" w:themeColor="text1"/>
          <w:sz w:val="20"/>
          <w:szCs w:val="20"/>
          <w:lang w:val="en-US"/>
        </w:rPr>
        <w:t xml:space="preserve"> qui </w:t>
      </w:r>
      <w:proofErr w:type="spellStart"/>
      <w:r w:rsidRPr="009D7635">
        <w:rPr>
          <w:rFonts w:ascii="Times New Roman" w:hAnsi="Times New Roman" w:cs="Times New Roman"/>
          <w:color w:val="000000" w:themeColor="text1"/>
          <w:sz w:val="20"/>
          <w:szCs w:val="20"/>
          <w:lang w:val="en-US"/>
        </w:rPr>
        <w:t>consiste</w:t>
      </w:r>
      <w:proofErr w:type="spellEnd"/>
      <w:r w:rsidRPr="009D7635">
        <w:rPr>
          <w:rFonts w:ascii="Times New Roman" w:hAnsi="Times New Roman" w:cs="Times New Roman"/>
          <w:color w:val="000000" w:themeColor="text1"/>
          <w:sz w:val="20"/>
          <w:szCs w:val="20"/>
          <w:lang w:val="en-US"/>
        </w:rPr>
        <w:t xml:space="preserve"> à </w:t>
      </w:r>
      <w:proofErr w:type="spellStart"/>
      <w:r w:rsidRPr="009D7635">
        <w:rPr>
          <w:rFonts w:ascii="Times New Roman" w:hAnsi="Times New Roman" w:cs="Times New Roman"/>
          <w:color w:val="000000" w:themeColor="text1"/>
          <w:sz w:val="20"/>
          <w:szCs w:val="20"/>
          <w:lang w:val="en-US"/>
        </w:rPr>
        <w:t>compléter</w:t>
      </w:r>
      <w:proofErr w:type="spellEnd"/>
      <w:r w:rsidRPr="009D7635">
        <w:rPr>
          <w:rFonts w:ascii="Times New Roman" w:hAnsi="Times New Roman" w:cs="Times New Roman"/>
          <w:color w:val="000000" w:themeColor="text1"/>
          <w:sz w:val="20"/>
          <w:szCs w:val="20"/>
          <w:lang w:val="en-US"/>
        </w:rPr>
        <w:t xml:space="preserve"> et à </w:t>
      </w:r>
      <w:proofErr w:type="spellStart"/>
      <w:r w:rsidRPr="009D7635">
        <w:rPr>
          <w:rFonts w:ascii="Times New Roman" w:hAnsi="Times New Roman" w:cs="Times New Roman"/>
          <w:color w:val="000000" w:themeColor="text1"/>
          <w:sz w:val="20"/>
          <w:szCs w:val="20"/>
          <w:lang w:val="en-US"/>
        </w:rPr>
        <w:t>parfaire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le</w:t>
      </w:r>
      <w:proofErr w:type="spellEnd"/>
      <w:r w:rsidRPr="009D7635">
        <w:rPr>
          <w:rFonts w:ascii="Times New Roman" w:hAnsi="Times New Roman" w:cs="Times New Roman"/>
          <w:color w:val="000000" w:themeColor="text1"/>
          <w:sz w:val="20"/>
          <w:szCs w:val="20"/>
          <w:lang w:val="en-US"/>
        </w:rPr>
        <w:t xml:space="preserve"> tableau </w:t>
      </w:r>
      <w:proofErr w:type="spellStart"/>
      <w:r w:rsidRPr="009D7635">
        <w:rPr>
          <w:rFonts w:ascii="Times New Roman" w:hAnsi="Times New Roman" w:cs="Times New Roman"/>
          <w:color w:val="000000" w:themeColor="text1"/>
          <w:sz w:val="20"/>
          <w:szCs w:val="20"/>
          <w:lang w:val="en-US"/>
        </w:rPr>
        <w:t>composé</w:t>
      </w:r>
      <w:proofErr w:type="spellEnd"/>
      <w:r w:rsidRPr="009D7635">
        <w:rPr>
          <w:rFonts w:ascii="Times New Roman" w:hAnsi="Times New Roman" w:cs="Times New Roman"/>
          <w:color w:val="000000" w:themeColor="text1"/>
          <w:sz w:val="20"/>
          <w:szCs w:val="20"/>
          <w:lang w:val="en-US"/>
        </w:rPr>
        <w:t xml:space="preserve"> par </w:t>
      </w:r>
      <w:proofErr w:type="spellStart"/>
      <w:r w:rsidRPr="009D7635">
        <w:rPr>
          <w:rFonts w:ascii="Times New Roman" w:hAnsi="Times New Roman" w:cs="Times New Roman"/>
          <w:color w:val="000000" w:themeColor="text1"/>
          <w:sz w:val="20"/>
          <w:szCs w:val="20"/>
          <w:lang w:val="en-US"/>
        </w:rPr>
        <w:t>Avicenne</w:t>
      </w:r>
      <w:proofErr w:type="spellEnd"/>
      <w:r w:rsidRPr="009D7635">
        <w:rPr>
          <w:rFonts w:ascii="Times New Roman" w:hAnsi="Times New Roman" w:cs="Times New Roman"/>
          <w:color w:val="000000" w:themeColor="text1"/>
          <w:sz w:val="20"/>
          <w:szCs w:val="20"/>
          <w:lang w:val="en-US"/>
        </w:rPr>
        <w:t xml:space="preserve"> à l'aide de </w:t>
      </w:r>
      <w:proofErr w:type="spellStart"/>
      <w:r w:rsidRPr="009D7635">
        <w:rPr>
          <w:rFonts w:ascii="Times New Roman" w:hAnsi="Times New Roman" w:cs="Times New Roman"/>
          <w:color w:val="000000" w:themeColor="text1"/>
          <w:sz w:val="20"/>
          <w:szCs w:val="20"/>
          <w:lang w:val="en-US"/>
        </w:rPr>
        <w:t>facultés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rencontrées</w:t>
      </w:r>
      <w:proofErr w:type="spellEnd"/>
      <w:r w:rsidRPr="009D7635">
        <w:rPr>
          <w:rFonts w:ascii="Times New Roman" w:hAnsi="Times New Roman" w:cs="Times New Roman"/>
          <w:color w:val="000000" w:themeColor="text1"/>
          <w:sz w:val="20"/>
          <w:szCs w:val="20"/>
          <w:lang w:val="en-US"/>
        </w:rPr>
        <w:t xml:space="preserve"> chez les </w:t>
      </w:r>
      <w:proofErr w:type="spellStart"/>
      <w:r w:rsidRPr="009D7635">
        <w:rPr>
          <w:rFonts w:ascii="Times New Roman" w:hAnsi="Times New Roman" w:cs="Times New Roman"/>
          <w:color w:val="000000" w:themeColor="text1"/>
          <w:sz w:val="20"/>
          <w:szCs w:val="20"/>
          <w:lang w:val="en-US"/>
        </w:rPr>
        <w:t>théologiens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est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une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méthode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couramment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utilisée</w:t>
      </w:r>
      <w:proofErr w:type="spellEnd"/>
      <w:r w:rsidRPr="009D7635">
        <w:rPr>
          <w:rFonts w:ascii="Times New Roman" w:hAnsi="Times New Roman" w:cs="Times New Roman"/>
          <w:color w:val="000000" w:themeColor="text1"/>
          <w:sz w:val="20"/>
          <w:szCs w:val="20"/>
          <w:lang w:val="en-US"/>
        </w:rPr>
        <w:t xml:space="preserve"> au début du хше siècle: </w:t>
      </w:r>
      <w:proofErr w:type="spellStart"/>
      <w:r w:rsidRPr="009D7635">
        <w:rPr>
          <w:rFonts w:ascii="Times New Roman" w:hAnsi="Times New Roman" w:cs="Times New Roman"/>
          <w:color w:val="000000" w:themeColor="text1"/>
          <w:sz w:val="20"/>
          <w:szCs w:val="20"/>
          <w:lang w:val="en-US"/>
        </w:rPr>
        <w:t>elle</w:t>
      </w:r>
      <w:proofErr w:type="spellEnd"/>
      <w:r w:rsidRPr="009D7635">
        <w:rPr>
          <w:rFonts w:ascii="Times New Roman" w:hAnsi="Times New Roman" w:cs="Times New Roman"/>
          <w:color w:val="000000" w:themeColor="text1"/>
          <w:sz w:val="20"/>
          <w:szCs w:val="20"/>
          <w:lang w:val="en-US"/>
        </w:rPr>
        <w:t xml:space="preserve"> se </w:t>
      </w:r>
      <w:proofErr w:type="spellStart"/>
      <w:r w:rsidRPr="009D7635">
        <w:rPr>
          <w:rFonts w:ascii="Times New Roman" w:hAnsi="Times New Roman" w:cs="Times New Roman"/>
          <w:color w:val="000000" w:themeColor="text1"/>
          <w:sz w:val="20"/>
          <w:szCs w:val="20"/>
          <w:lang w:val="en-US"/>
        </w:rPr>
        <w:t>retrouve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même</w:t>
      </w:r>
      <w:proofErr w:type="spellEnd"/>
      <w:r w:rsidRPr="009D7635">
        <w:rPr>
          <w:rFonts w:ascii="Times New Roman" w:hAnsi="Times New Roman" w:cs="Times New Roman"/>
          <w:color w:val="000000" w:themeColor="text1"/>
          <w:sz w:val="20"/>
          <w:szCs w:val="20"/>
          <w:lang w:val="en-US"/>
        </w:rPr>
        <w:t xml:space="preserve"> dans </w:t>
      </w:r>
      <w:proofErr w:type="spellStart"/>
      <w:r w:rsidRPr="009D7635">
        <w:rPr>
          <w:rFonts w:ascii="Times New Roman" w:hAnsi="Times New Roman" w:cs="Times New Roman"/>
          <w:color w:val="000000" w:themeColor="text1"/>
          <w:sz w:val="20"/>
          <w:szCs w:val="20"/>
          <w:lang w:val="en-US"/>
        </w:rPr>
        <w:t>une</w:t>
      </w:r>
      <w:proofErr w:type="spellEnd"/>
      <w:r w:rsidRPr="009D7635">
        <w:rPr>
          <w:rFonts w:ascii="Times New Roman" w:hAnsi="Times New Roman" w:cs="Times New Roman"/>
          <w:color w:val="000000" w:themeColor="text1"/>
          <w:sz w:val="20"/>
          <w:szCs w:val="20"/>
          <w:lang w:val="en-US"/>
        </w:rPr>
        <w:t xml:space="preserve"> oeuvre </w:t>
      </w:r>
      <w:proofErr w:type="spellStart"/>
      <w:r w:rsidRPr="009D7635">
        <w:rPr>
          <w:rFonts w:ascii="Times New Roman" w:hAnsi="Times New Roman" w:cs="Times New Roman"/>
          <w:color w:val="000000" w:themeColor="text1"/>
          <w:sz w:val="20"/>
          <w:szCs w:val="20"/>
          <w:lang w:val="en-US"/>
        </w:rPr>
        <w:t>composée</w:t>
      </w:r>
      <w:proofErr w:type="spellEnd"/>
      <w:r w:rsidRPr="009D7635">
        <w:rPr>
          <w:rFonts w:ascii="Times New Roman" w:hAnsi="Times New Roman" w:cs="Times New Roman"/>
          <w:color w:val="000000" w:themeColor="text1"/>
          <w:sz w:val="20"/>
          <w:szCs w:val="20"/>
          <w:lang w:val="en-US"/>
        </w:rPr>
        <w:t xml:space="preserve"> à la </w:t>
      </w:r>
      <w:proofErr w:type="spellStart"/>
      <w:r w:rsidRPr="009D7635">
        <w:rPr>
          <w:rFonts w:ascii="Times New Roman" w:hAnsi="Times New Roman" w:cs="Times New Roman"/>
          <w:color w:val="000000" w:themeColor="text1"/>
          <w:sz w:val="20"/>
          <w:szCs w:val="20"/>
          <w:lang w:val="en-US"/>
        </w:rPr>
        <w:t>Faculté</w:t>
      </w:r>
      <w:proofErr w:type="spellEnd"/>
      <w:r w:rsidRPr="009D7635">
        <w:rPr>
          <w:rFonts w:ascii="Times New Roman" w:hAnsi="Times New Roman" w:cs="Times New Roman"/>
          <w:color w:val="000000" w:themeColor="text1"/>
          <w:sz w:val="20"/>
          <w:szCs w:val="20"/>
          <w:lang w:val="en-US"/>
        </w:rPr>
        <w:t xml:space="preserve"> des Arts </w:t>
      </w:r>
      <w:proofErr w:type="spellStart"/>
      <w:r w:rsidRPr="009D7635">
        <w:rPr>
          <w:rFonts w:ascii="Times New Roman" w:hAnsi="Times New Roman" w:cs="Times New Roman"/>
          <w:color w:val="000000" w:themeColor="text1"/>
          <w:sz w:val="20"/>
          <w:szCs w:val="20"/>
          <w:lang w:val="en-US"/>
        </w:rPr>
        <w:t>comme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le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Traité</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l'âme</w:t>
      </w:r>
      <w:proofErr w:type="spellEnd"/>
      <w:r w:rsidRPr="009D7635">
        <w:rPr>
          <w:rFonts w:ascii="Times New Roman" w:hAnsi="Times New Roman" w:cs="Times New Roman"/>
          <w:color w:val="000000" w:themeColor="text1"/>
          <w:sz w:val="20"/>
          <w:szCs w:val="20"/>
          <w:lang w:val="en-US"/>
        </w:rPr>
        <w:t xml:space="preserve"> de John </w:t>
      </w:r>
      <w:proofErr w:type="spellStart"/>
      <w:r w:rsidRPr="009D7635">
        <w:rPr>
          <w:rFonts w:ascii="Times New Roman" w:hAnsi="Times New Roman" w:cs="Times New Roman"/>
          <w:color w:val="000000" w:themeColor="text1"/>
          <w:sz w:val="20"/>
          <w:szCs w:val="20"/>
          <w:lang w:val="en-US"/>
        </w:rPr>
        <w:t>Blound</w:t>
      </w:r>
      <w:proofErr w:type="spellEnd"/>
      <w:r w:rsidRPr="009D7635">
        <w:rPr>
          <w:rFonts w:ascii="Times New Roman" w:hAnsi="Times New Roman" w:cs="Times New Roman"/>
          <w:color w:val="000000" w:themeColor="text1"/>
          <w:sz w:val="20"/>
          <w:szCs w:val="20"/>
          <w:lang w:val="en-US"/>
        </w:rPr>
        <w:t>.’</w:t>
      </w:r>
    </w:p>
  </w:footnote>
  <w:footnote w:id="596">
    <w:p w14:paraId="3214E2F7"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eastAsia="Times New Roman" w:hAnsi="Times New Roman" w:cs="Times New Roman"/>
          <w:bCs/>
          <w:color w:val="000000" w:themeColor="text1"/>
          <w:shd w:val="clear" w:color="auto" w:fill="FFFFFF"/>
        </w:rPr>
        <w:t xml:space="preserve">Pierre </w:t>
      </w:r>
      <w:proofErr w:type="spellStart"/>
      <w:r w:rsidRPr="009D7635">
        <w:rPr>
          <w:rFonts w:ascii="Times New Roman" w:eastAsia="Times New Roman" w:hAnsi="Times New Roman" w:cs="Times New Roman"/>
          <w:bCs/>
          <w:color w:val="000000" w:themeColor="text1"/>
          <w:shd w:val="clear" w:color="auto" w:fill="FFFFFF"/>
        </w:rPr>
        <w:t>Michaud-Quantin</w:t>
      </w:r>
      <w:proofErr w:type="spellEnd"/>
      <w:r w:rsidRPr="009D7635">
        <w:rPr>
          <w:rFonts w:ascii="Times New Roman" w:eastAsia="Times New Roman" w:hAnsi="Times New Roman" w:cs="Times New Roman"/>
          <w:bCs/>
          <w:color w:val="000000" w:themeColor="text1"/>
          <w:shd w:val="clear" w:color="auto" w:fill="FFFFFF"/>
        </w:rPr>
        <w:t xml:space="preserve">, ‘Introduction,’ in the </w:t>
      </w:r>
      <w:proofErr w:type="spellStart"/>
      <w:r w:rsidRPr="009D7635">
        <w:rPr>
          <w:rFonts w:ascii="Times New Roman" w:eastAsia="Times New Roman" w:hAnsi="Times New Roman" w:cs="Times New Roman"/>
          <w:bCs/>
          <w:i/>
          <w:color w:val="000000" w:themeColor="text1"/>
          <w:shd w:val="clear" w:color="auto" w:fill="FFFFFF"/>
        </w:rPr>
        <w:t>Tractatus</w:t>
      </w:r>
      <w:proofErr w:type="spellEnd"/>
      <w:r w:rsidRPr="009D7635">
        <w:rPr>
          <w:rFonts w:ascii="Times New Roman" w:eastAsia="Times New Roman" w:hAnsi="Times New Roman" w:cs="Times New Roman"/>
          <w:bCs/>
          <w:iCs/>
          <w:color w:val="000000" w:themeColor="text1"/>
          <w:shd w:val="clear" w:color="auto" w:fill="FFFFFF"/>
        </w:rPr>
        <w:t xml:space="preserve">, </w:t>
      </w:r>
      <w:r w:rsidRPr="009D7635">
        <w:rPr>
          <w:rFonts w:ascii="Times New Roman" w:hAnsi="Times New Roman" w:cs="Times New Roman"/>
          <w:color w:val="000000" w:themeColor="text1"/>
        </w:rPr>
        <w:t>20.</w:t>
      </w:r>
    </w:p>
  </w:footnote>
  <w:footnote w:id="597">
    <w:p w14:paraId="6653E30A" w14:textId="49F2A708"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Pierre </w:t>
      </w:r>
      <w:proofErr w:type="spellStart"/>
      <w:r w:rsidRPr="009D7635">
        <w:rPr>
          <w:rFonts w:ascii="Times New Roman" w:hAnsi="Times New Roman" w:cs="Times New Roman"/>
          <w:color w:val="000000" w:themeColor="text1"/>
        </w:rPr>
        <w:t>Michaud-Quantin</w:t>
      </w:r>
      <w:proofErr w:type="spellEnd"/>
      <w:r w:rsidRPr="009D7635">
        <w:rPr>
          <w:rFonts w:ascii="Times New Roman" w:hAnsi="Times New Roman" w:cs="Times New Roman"/>
          <w:color w:val="000000" w:themeColor="text1"/>
        </w:rPr>
        <w:t xml:space="preserve">, ‘Les </w:t>
      </w:r>
      <w:proofErr w:type="spellStart"/>
      <w:r w:rsidRPr="009D7635">
        <w:rPr>
          <w:rFonts w:ascii="Times New Roman" w:hAnsi="Times New Roman" w:cs="Times New Roman"/>
          <w:color w:val="000000" w:themeColor="text1"/>
        </w:rPr>
        <w:t>puissances</w:t>
      </w:r>
      <w:proofErr w:type="spellEnd"/>
      <w:r w:rsidRPr="009D7635">
        <w:rPr>
          <w:rFonts w:ascii="Times New Roman" w:hAnsi="Times New Roman" w:cs="Times New Roman"/>
          <w:color w:val="000000" w:themeColor="text1"/>
        </w:rPr>
        <w:t xml:space="preserve"> de </w:t>
      </w:r>
      <w:proofErr w:type="spellStart"/>
      <w:r w:rsidR="00D71B3E" w:rsidRPr="009D7635">
        <w:rPr>
          <w:rFonts w:ascii="Times New Roman" w:hAnsi="Times New Roman" w:cs="Times New Roman"/>
          <w:color w:val="000000" w:themeColor="text1"/>
        </w:rPr>
        <w:t>l’âme</w:t>
      </w:r>
      <w:proofErr w:type="spellEnd"/>
      <w:r w:rsidRPr="009D7635">
        <w:rPr>
          <w:rFonts w:ascii="Times New Roman" w:hAnsi="Times New Roman" w:cs="Times New Roman"/>
          <w:color w:val="000000" w:themeColor="text1"/>
        </w:rPr>
        <w:t xml:space="preserve"> chez Jean de la Rochelle,’ </w:t>
      </w:r>
      <w:proofErr w:type="spellStart"/>
      <w:r w:rsidRPr="009D7635">
        <w:rPr>
          <w:rFonts w:ascii="Times New Roman" w:hAnsi="Times New Roman" w:cs="Times New Roman"/>
          <w:i/>
          <w:color w:val="000000" w:themeColor="text1"/>
        </w:rPr>
        <w:t>Antonianum</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24 (1949)</w:t>
      </w:r>
      <w:r w:rsidR="00956842"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492. </w:t>
      </w:r>
    </w:p>
  </w:footnote>
  <w:footnote w:id="598">
    <w:p w14:paraId="3B39D126" w14:textId="51CDB83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956842" w:rsidRPr="009D7635">
        <w:rPr>
          <w:rFonts w:ascii="Times New Roman" w:hAnsi="Times New Roman" w:cs="Times New Roman"/>
          <w:iCs/>
          <w:color w:val="000000" w:themeColor="text1"/>
        </w:rPr>
        <w:t>Ibid.,</w:t>
      </w:r>
      <w:r w:rsidR="00956842"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490.</w:t>
      </w:r>
    </w:p>
  </w:footnote>
  <w:footnote w:id="599">
    <w:p w14:paraId="34196277" w14:textId="771B9744"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956842" w:rsidRPr="009D7635">
        <w:rPr>
          <w:rFonts w:ascii="Times New Roman" w:hAnsi="Times New Roman" w:cs="Times New Roman"/>
          <w:iCs/>
          <w:color w:val="000000" w:themeColor="text1"/>
        </w:rPr>
        <w:t>Ibid.,</w:t>
      </w:r>
      <w:r w:rsidR="00956842"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493.</w:t>
      </w:r>
    </w:p>
  </w:footnote>
  <w:footnote w:id="600">
    <w:p w14:paraId="4CE349E5"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eastAsia="Times New Roman" w:hAnsi="Times New Roman" w:cs="Times New Roman"/>
          <w:bCs/>
          <w:color w:val="000000" w:themeColor="text1"/>
          <w:shd w:val="clear" w:color="auto" w:fill="FFFFFF"/>
        </w:rPr>
        <w:t xml:space="preserve">Pierre </w:t>
      </w:r>
      <w:proofErr w:type="spellStart"/>
      <w:r w:rsidRPr="009D7635">
        <w:rPr>
          <w:rFonts w:ascii="Times New Roman" w:eastAsia="Times New Roman" w:hAnsi="Times New Roman" w:cs="Times New Roman"/>
          <w:bCs/>
          <w:color w:val="000000" w:themeColor="text1"/>
          <w:shd w:val="clear" w:color="auto" w:fill="FFFFFF"/>
        </w:rPr>
        <w:t>Michaud-Quantin</w:t>
      </w:r>
      <w:proofErr w:type="spellEnd"/>
      <w:r w:rsidRPr="009D7635">
        <w:rPr>
          <w:rFonts w:ascii="Times New Roman" w:eastAsia="Times New Roman" w:hAnsi="Times New Roman" w:cs="Times New Roman"/>
          <w:bCs/>
          <w:color w:val="000000" w:themeColor="text1"/>
          <w:shd w:val="clear" w:color="auto" w:fill="FFFFFF"/>
        </w:rPr>
        <w:t xml:space="preserve">, ‘Introduction,’ in the </w:t>
      </w:r>
      <w:proofErr w:type="spellStart"/>
      <w:r w:rsidRPr="009D7635">
        <w:rPr>
          <w:rFonts w:ascii="Times New Roman" w:eastAsia="Times New Roman" w:hAnsi="Times New Roman" w:cs="Times New Roman"/>
          <w:bCs/>
          <w:i/>
          <w:color w:val="000000" w:themeColor="text1"/>
          <w:shd w:val="clear" w:color="auto" w:fill="FFFFFF"/>
        </w:rPr>
        <w:t>Tractatus</w:t>
      </w:r>
      <w:proofErr w:type="spellEnd"/>
      <w:r w:rsidRPr="009D7635">
        <w:rPr>
          <w:rFonts w:ascii="Times New Roman" w:eastAsia="Times New Roman" w:hAnsi="Times New Roman" w:cs="Times New Roman"/>
          <w:bCs/>
          <w:iCs/>
          <w:color w:val="000000" w:themeColor="text1"/>
          <w:shd w:val="clear" w:color="auto" w:fill="FFFFFF"/>
        </w:rPr>
        <w:t xml:space="preserve">, </w:t>
      </w:r>
      <w:r w:rsidRPr="009D7635">
        <w:rPr>
          <w:rFonts w:ascii="Times New Roman" w:hAnsi="Times New Roman" w:cs="Times New Roman"/>
          <w:color w:val="000000" w:themeColor="text1"/>
        </w:rPr>
        <w:t xml:space="preserve">11. </w:t>
      </w:r>
    </w:p>
  </w:footnote>
  <w:footnote w:id="601">
    <w:p w14:paraId="4696A7CA" w14:textId="4DFCBB77" w:rsidR="00B93ED5" w:rsidRPr="009D7635" w:rsidRDefault="00B93ED5" w:rsidP="00E212D3">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6306C6" w:rsidRPr="009D7635">
        <w:rPr>
          <w:rFonts w:ascii="Times New Roman" w:hAnsi="Times New Roman" w:cs="Times New Roman"/>
          <w:iCs/>
          <w:color w:val="000000" w:themeColor="text1"/>
          <w:sz w:val="20"/>
          <w:szCs w:val="20"/>
        </w:rPr>
        <w:t>Ibid.,</w:t>
      </w:r>
      <w:r w:rsidR="006306C6"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21: ‘La Summa </w:t>
      </w:r>
      <w:proofErr w:type="spellStart"/>
      <w:r w:rsidRPr="009D7635">
        <w:rPr>
          <w:rFonts w:ascii="Times New Roman" w:hAnsi="Times New Roman" w:cs="Times New Roman"/>
          <w:color w:val="000000" w:themeColor="text1"/>
          <w:sz w:val="20"/>
          <w:szCs w:val="20"/>
          <w:lang w:val="en-US"/>
        </w:rPr>
        <w:t>est</w:t>
      </w:r>
      <w:proofErr w:type="spellEnd"/>
      <w:r w:rsidRPr="009D7635">
        <w:rPr>
          <w:rFonts w:ascii="Times New Roman" w:hAnsi="Times New Roman" w:cs="Times New Roman"/>
          <w:color w:val="000000" w:themeColor="text1"/>
          <w:sz w:val="20"/>
          <w:szCs w:val="20"/>
          <w:lang w:val="en-US"/>
        </w:rPr>
        <w:t xml:space="preserve"> l'oeuvre </w:t>
      </w:r>
      <w:proofErr w:type="spellStart"/>
      <w:r w:rsidRPr="009D7635">
        <w:rPr>
          <w:rFonts w:ascii="Times New Roman" w:hAnsi="Times New Roman" w:cs="Times New Roman"/>
          <w:color w:val="000000" w:themeColor="text1"/>
          <w:sz w:val="20"/>
          <w:szCs w:val="20"/>
          <w:lang w:val="en-US"/>
        </w:rPr>
        <w:t>personnelle</w:t>
      </w:r>
      <w:proofErr w:type="spellEnd"/>
      <w:r w:rsidRPr="009D7635">
        <w:rPr>
          <w:rFonts w:ascii="Times New Roman" w:hAnsi="Times New Roman" w:cs="Times New Roman"/>
          <w:color w:val="000000" w:themeColor="text1"/>
          <w:sz w:val="20"/>
          <w:szCs w:val="20"/>
          <w:lang w:val="en-US"/>
        </w:rPr>
        <w:t xml:space="preserve"> d'un magister in sacra </w:t>
      </w:r>
      <w:proofErr w:type="spellStart"/>
      <w:r w:rsidRPr="009D7635">
        <w:rPr>
          <w:rFonts w:ascii="Times New Roman" w:hAnsi="Times New Roman" w:cs="Times New Roman"/>
          <w:color w:val="000000" w:themeColor="text1"/>
          <w:sz w:val="20"/>
          <w:szCs w:val="20"/>
          <w:lang w:val="en-US"/>
        </w:rPr>
        <w:t>pagina</w:t>
      </w:r>
      <w:proofErr w:type="spellEnd"/>
      <w:r w:rsidRPr="009D7635">
        <w:rPr>
          <w:rFonts w:ascii="Times New Roman" w:hAnsi="Times New Roman" w:cs="Times New Roman"/>
          <w:color w:val="000000" w:themeColor="text1"/>
          <w:sz w:val="20"/>
          <w:szCs w:val="20"/>
          <w:lang w:val="en-US"/>
        </w:rPr>
        <w:t xml:space="preserve">, qui porte un </w:t>
      </w:r>
      <w:proofErr w:type="spellStart"/>
      <w:r w:rsidRPr="009D7635">
        <w:rPr>
          <w:rFonts w:ascii="Times New Roman" w:hAnsi="Times New Roman" w:cs="Times New Roman"/>
          <w:color w:val="000000" w:themeColor="text1"/>
          <w:sz w:val="20"/>
          <w:szCs w:val="20"/>
          <w:lang w:val="en-US"/>
        </w:rPr>
        <w:t>vif</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intérêt</w:t>
      </w:r>
      <w:proofErr w:type="spellEnd"/>
      <w:r w:rsidRPr="009D7635">
        <w:rPr>
          <w:rFonts w:ascii="Times New Roman" w:hAnsi="Times New Roman" w:cs="Times New Roman"/>
          <w:color w:val="000000" w:themeColor="text1"/>
          <w:sz w:val="20"/>
          <w:szCs w:val="20"/>
          <w:lang w:val="en-US"/>
        </w:rPr>
        <w:t xml:space="preserve"> aux </w:t>
      </w:r>
      <w:proofErr w:type="spellStart"/>
      <w:r w:rsidRPr="009D7635">
        <w:rPr>
          <w:rFonts w:ascii="Times New Roman" w:hAnsi="Times New Roman" w:cs="Times New Roman"/>
          <w:color w:val="000000" w:themeColor="text1"/>
          <w:sz w:val="20"/>
          <w:szCs w:val="20"/>
          <w:lang w:val="en-US"/>
        </w:rPr>
        <w:t>données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scientifiques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récemment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mises</w:t>
      </w:r>
      <w:proofErr w:type="spellEnd"/>
      <w:r w:rsidRPr="009D7635">
        <w:rPr>
          <w:rFonts w:ascii="Times New Roman" w:hAnsi="Times New Roman" w:cs="Times New Roman"/>
          <w:color w:val="000000" w:themeColor="text1"/>
          <w:sz w:val="20"/>
          <w:szCs w:val="20"/>
          <w:lang w:val="en-US"/>
        </w:rPr>
        <w:t xml:space="preserve"> à la disposition des Latins par les </w:t>
      </w:r>
      <w:proofErr w:type="spellStart"/>
      <w:r w:rsidRPr="009D7635">
        <w:rPr>
          <w:rFonts w:ascii="Times New Roman" w:hAnsi="Times New Roman" w:cs="Times New Roman"/>
          <w:color w:val="000000" w:themeColor="text1"/>
          <w:sz w:val="20"/>
          <w:szCs w:val="20"/>
          <w:lang w:val="en-US"/>
        </w:rPr>
        <w:t>traducteurs</w:t>
      </w:r>
      <w:proofErr w:type="spellEnd"/>
      <w:r w:rsidRPr="009D7635">
        <w:rPr>
          <w:rFonts w:ascii="Times New Roman" w:hAnsi="Times New Roman" w:cs="Times New Roman"/>
          <w:color w:val="000000" w:themeColor="text1"/>
          <w:sz w:val="20"/>
          <w:szCs w:val="20"/>
          <w:lang w:val="en-US"/>
        </w:rPr>
        <w:t xml:space="preserve"> du </w:t>
      </w:r>
      <w:proofErr w:type="spellStart"/>
      <w:r w:rsidRPr="009D7635">
        <w:rPr>
          <w:rFonts w:ascii="Times New Roman" w:hAnsi="Times New Roman" w:cs="Times New Roman"/>
          <w:color w:val="000000" w:themeColor="text1"/>
          <w:sz w:val="20"/>
          <w:szCs w:val="20"/>
          <w:lang w:val="en-US"/>
        </w:rPr>
        <w:t>grec</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ou</w:t>
      </w:r>
      <w:proofErr w:type="spellEnd"/>
      <w:r w:rsidRPr="009D7635">
        <w:rPr>
          <w:rFonts w:ascii="Times New Roman" w:hAnsi="Times New Roman" w:cs="Times New Roman"/>
          <w:color w:val="000000" w:themeColor="text1"/>
          <w:sz w:val="20"/>
          <w:szCs w:val="20"/>
          <w:lang w:val="en-US"/>
        </w:rPr>
        <w:t xml:space="preserve"> de </w:t>
      </w:r>
      <w:proofErr w:type="spellStart"/>
      <w:r w:rsidRPr="009D7635">
        <w:rPr>
          <w:rFonts w:ascii="Times New Roman" w:hAnsi="Times New Roman" w:cs="Times New Roman"/>
          <w:color w:val="000000" w:themeColor="text1"/>
          <w:sz w:val="20"/>
          <w:szCs w:val="20"/>
          <w:lang w:val="en-US"/>
        </w:rPr>
        <w:t>l'arabe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mais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dont</w:t>
      </w:r>
      <w:proofErr w:type="spellEnd"/>
      <w:r w:rsidRPr="009D7635">
        <w:rPr>
          <w:rFonts w:ascii="Times New Roman" w:hAnsi="Times New Roman" w:cs="Times New Roman"/>
          <w:color w:val="000000" w:themeColor="text1"/>
          <w:sz w:val="20"/>
          <w:szCs w:val="20"/>
          <w:lang w:val="en-US"/>
        </w:rPr>
        <w:t xml:space="preserve"> l'exposé se </w:t>
      </w:r>
      <w:proofErr w:type="spellStart"/>
      <w:r w:rsidRPr="009D7635">
        <w:rPr>
          <w:rFonts w:ascii="Times New Roman" w:hAnsi="Times New Roman" w:cs="Times New Roman"/>
          <w:color w:val="000000" w:themeColor="text1"/>
          <w:sz w:val="20"/>
          <w:szCs w:val="20"/>
          <w:lang w:val="en-US"/>
        </w:rPr>
        <w:t>situe</w:t>
      </w:r>
      <w:proofErr w:type="spellEnd"/>
      <w:r w:rsidRPr="009D7635">
        <w:rPr>
          <w:rFonts w:ascii="Times New Roman" w:hAnsi="Times New Roman" w:cs="Times New Roman"/>
          <w:color w:val="000000" w:themeColor="text1"/>
          <w:sz w:val="20"/>
          <w:szCs w:val="20"/>
          <w:lang w:val="en-US"/>
        </w:rPr>
        <w:t xml:space="preserve"> dans </w:t>
      </w:r>
      <w:proofErr w:type="spellStart"/>
      <w:r w:rsidRPr="009D7635">
        <w:rPr>
          <w:rFonts w:ascii="Times New Roman" w:hAnsi="Times New Roman" w:cs="Times New Roman"/>
          <w:color w:val="000000" w:themeColor="text1"/>
          <w:sz w:val="20"/>
          <w:szCs w:val="20"/>
          <w:lang w:val="en-US"/>
        </w:rPr>
        <w:t>le</w:t>
      </w:r>
      <w:proofErr w:type="spellEnd"/>
      <w:r w:rsidRPr="009D7635">
        <w:rPr>
          <w:rFonts w:ascii="Times New Roman" w:hAnsi="Times New Roman" w:cs="Times New Roman"/>
          <w:color w:val="000000" w:themeColor="text1"/>
          <w:sz w:val="20"/>
          <w:szCs w:val="20"/>
          <w:lang w:val="en-US"/>
        </w:rPr>
        <w:t xml:space="preserve"> cadre de son </w:t>
      </w:r>
      <w:proofErr w:type="spellStart"/>
      <w:r w:rsidRPr="009D7635">
        <w:rPr>
          <w:rFonts w:ascii="Times New Roman" w:hAnsi="Times New Roman" w:cs="Times New Roman"/>
          <w:color w:val="000000" w:themeColor="text1"/>
          <w:sz w:val="20"/>
          <w:szCs w:val="20"/>
          <w:lang w:val="en-US"/>
        </w:rPr>
        <w:t>enseignement</w:t>
      </w:r>
      <w:proofErr w:type="spellEnd"/>
      <w:r w:rsidRPr="009D7635">
        <w:rPr>
          <w:rFonts w:ascii="Times New Roman" w:hAnsi="Times New Roman" w:cs="Times New Roman"/>
          <w:color w:val="000000" w:themeColor="text1"/>
          <w:sz w:val="20"/>
          <w:szCs w:val="20"/>
          <w:lang w:val="en-US"/>
        </w:rPr>
        <w:t xml:space="preserve"> et de la </w:t>
      </w:r>
      <w:proofErr w:type="spellStart"/>
      <w:r w:rsidRPr="009D7635">
        <w:rPr>
          <w:rFonts w:ascii="Times New Roman" w:hAnsi="Times New Roman" w:cs="Times New Roman"/>
          <w:color w:val="000000" w:themeColor="text1"/>
          <w:sz w:val="20"/>
          <w:szCs w:val="20"/>
          <w:lang w:val="en-US"/>
        </w:rPr>
        <w:t>Faculté</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où</w:t>
      </w:r>
      <w:proofErr w:type="spellEnd"/>
      <w:r w:rsidRPr="009D7635">
        <w:rPr>
          <w:rFonts w:ascii="Times New Roman" w:hAnsi="Times New Roman" w:cs="Times New Roman"/>
          <w:color w:val="000000" w:themeColor="text1"/>
          <w:sz w:val="20"/>
          <w:szCs w:val="20"/>
          <w:lang w:val="en-US"/>
        </w:rPr>
        <w:t xml:space="preserve"> il </w:t>
      </w:r>
      <w:proofErr w:type="spellStart"/>
      <w:r w:rsidRPr="009D7635">
        <w:rPr>
          <w:rFonts w:ascii="Times New Roman" w:hAnsi="Times New Roman" w:cs="Times New Roman"/>
          <w:color w:val="000000" w:themeColor="text1"/>
          <w:sz w:val="20"/>
          <w:szCs w:val="20"/>
          <w:lang w:val="en-US"/>
        </w:rPr>
        <w:t>le</w:t>
      </w:r>
      <w:proofErr w:type="spellEnd"/>
      <w:r w:rsidRPr="009D7635">
        <w:rPr>
          <w:rFonts w:ascii="Times New Roman" w:hAnsi="Times New Roman" w:cs="Times New Roman"/>
          <w:color w:val="000000" w:themeColor="text1"/>
          <w:sz w:val="20"/>
          <w:szCs w:val="20"/>
          <w:lang w:val="en-US"/>
        </w:rPr>
        <w:t xml:space="preserve"> dispense. Le </w:t>
      </w:r>
      <w:proofErr w:type="spellStart"/>
      <w:r w:rsidRPr="009D7635">
        <w:rPr>
          <w:rFonts w:ascii="Times New Roman" w:hAnsi="Times New Roman" w:cs="Times New Roman"/>
          <w:i/>
          <w:color w:val="000000" w:themeColor="text1"/>
          <w:sz w:val="20"/>
          <w:szCs w:val="20"/>
          <w:lang w:val="en-US"/>
        </w:rPr>
        <w:t>Tractatus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est</w:t>
      </w:r>
      <w:proofErr w:type="spellEnd"/>
      <w:r w:rsidRPr="009D7635">
        <w:rPr>
          <w:rFonts w:ascii="Times New Roman" w:hAnsi="Times New Roman" w:cs="Times New Roman"/>
          <w:color w:val="000000" w:themeColor="text1"/>
          <w:sz w:val="20"/>
          <w:szCs w:val="20"/>
          <w:lang w:val="en-US"/>
        </w:rPr>
        <w:t xml:space="preserve"> au contraire </w:t>
      </w:r>
      <w:proofErr w:type="spellStart"/>
      <w:r w:rsidRPr="009D7635">
        <w:rPr>
          <w:rFonts w:ascii="Times New Roman" w:hAnsi="Times New Roman" w:cs="Times New Roman"/>
          <w:color w:val="000000" w:themeColor="text1"/>
          <w:sz w:val="20"/>
          <w:szCs w:val="20"/>
          <w:lang w:val="en-US"/>
        </w:rPr>
        <w:t>une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compilatio</w:t>
      </w:r>
      <w:proofErr w:type="spellEnd"/>
      <w:r w:rsidRPr="009D7635">
        <w:rPr>
          <w:rFonts w:ascii="Times New Roman" w:hAnsi="Times New Roman" w:cs="Times New Roman"/>
          <w:color w:val="000000" w:themeColor="text1"/>
          <w:sz w:val="20"/>
          <w:szCs w:val="20"/>
          <w:lang w:val="en-US"/>
        </w:rPr>
        <w:t xml:space="preserve">, un </w:t>
      </w:r>
      <w:proofErr w:type="spellStart"/>
      <w:r w:rsidRPr="009D7635">
        <w:rPr>
          <w:rFonts w:ascii="Times New Roman" w:hAnsi="Times New Roman" w:cs="Times New Roman"/>
          <w:color w:val="000000" w:themeColor="text1"/>
          <w:sz w:val="20"/>
          <w:szCs w:val="20"/>
          <w:lang w:val="en-US"/>
        </w:rPr>
        <w:t>recueil</w:t>
      </w:r>
      <w:proofErr w:type="spellEnd"/>
      <w:r w:rsidRPr="009D7635">
        <w:rPr>
          <w:rFonts w:ascii="Times New Roman" w:hAnsi="Times New Roman" w:cs="Times New Roman"/>
          <w:color w:val="000000" w:themeColor="text1"/>
          <w:sz w:val="20"/>
          <w:szCs w:val="20"/>
          <w:lang w:val="en-US"/>
        </w:rPr>
        <w:t xml:space="preserve"> de documentation, </w:t>
      </w:r>
      <w:proofErr w:type="spellStart"/>
      <w:r w:rsidRPr="009D7635">
        <w:rPr>
          <w:rFonts w:ascii="Times New Roman" w:hAnsi="Times New Roman" w:cs="Times New Roman"/>
          <w:color w:val="000000" w:themeColor="text1"/>
          <w:sz w:val="20"/>
          <w:szCs w:val="20"/>
          <w:lang w:val="en-US"/>
        </w:rPr>
        <w:t>dont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le</w:t>
      </w:r>
      <w:proofErr w:type="spellEnd"/>
      <w:r w:rsidRPr="009D7635">
        <w:rPr>
          <w:rFonts w:ascii="Times New Roman" w:hAnsi="Times New Roman" w:cs="Times New Roman"/>
          <w:color w:val="000000" w:themeColor="text1"/>
          <w:sz w:val="20"/>
          <w:szCs w:val="20"/>
          <w:lang w:val="en-US"/>
        </w:rPr>
        <w:t xml:space="preserve"> but et </w:t>
      </w:r>
      <w:proofErr w:type="spellStart"/>
      <w:r w:rsidRPr="009D7635">
        <w:rPr>
          <w:rFonts w:ascii="Times New Roman" w:hAnsi="Times New Roman" w:cs="Times New Roman"/>
          <w:color w:val="000000" w:themeColor="text1"/>
          <w:sz w:val="20"/>
          <w:szCs w:val="20"/>
          <w:lang w:val="en-US"/>
        </w:rPr>
        <w:t>le</w:t>
      </w:r>
      <w:proofErr w:type="spellEnd"/>
      <w:r w:rsidRPr="009D7635">
        <w:rPr>
          <w:rFonts w:ascii="Times New Roman" w:hAnsi="Times New Roman" w:cs="Times New Roman"/>
          <w:color w:val="000000" w:themeColor="text1"/>
          <w:sz w:val="20"/>
          <w:szCs w:val="20"/>
          <w:lang w:val="en-US"/>
        </w:rPr>
        <w:t xml:space="preserve"> principal </w:t>
      </w:r>
      <w:proofErr w:type="spellStart"/>
      <w:r w:rsidRPr="009D7635">
        <w:rPr>
          <w:rFonts w:ascii="Times New Roman" w:hAnsi="Times New Roman" w:cs="Times New Roman"/>
          <w:color w:val="000000" w:themeColor="text1"/>
          <w:sz w:val="20"/>
          <w:szCs w:val="20"/>
          <w:lang w:val="en-US"/>
        </w:rPr>
        <w:t>mérite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sont</w:t>
      </w:r>
      <w:proofErr w:type="spellEnd"/>
      <w:r w:rsidRPr="009D7635">
        <w:rPr>
          <w:rFonts w:ascii="Times New Roman" w:hAnsi="Times New Roman" w:cs="Times New Roman"/>
          <w:color w:val="000000" w:themeColor="text1"/>
          <w:sz w:val="20"/>
          <w:szCs w:val="20"/>
          <w:lang w:val="en-US"/>
        </w:rPr>
        <w:t xml:space="preserve"> d'être un </w:t>
      </w:r>
      <w:proofErr w:type="spellStart"/>
      <w:r w:rsidRPr="009D7635">
        <w:rPr>
          <w:rFonts w:ascii="Times New Roman" w:hAnsi="Times New Roman" w:cs="Times New Roman"/>
          <w:color w:val="000000" w:themeColor="text1"/>
          <w:sz w:val="20"/>
          <w:szCs w:val="20"/>
          <w:lang w:val="en-US"/>
        </w:rPr>
        <w:t>reflet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fidèle</w:t>
      </w:r>
      <w:proofErr w:type="spellEnd"/>
      <w:r w:rsidRPr="009D7635">
        <w:rPr>
          <w:rFonts w:ascii="Times New Roman" w:hAnsi="Times New Roman" w:cs="Times New Roman"/>
          <w:color w:val="000000" w:themeColor="text1"/>
          <w:sz w:val="20"/>
          <w:szCs w:val="20"/>
          <w:lang w:val="en-US"/>
        </w:rPr>
        <w:t xml:space="preserve"> et exact des doctrines </w:t>
      </w:r>
      <w:proofErr w:type="spellStart"/>
      <w:r w:rsidRPr="009D7635">
        <w:rPr>
          <w:rFonts w:ascii="Times New Roman" w:hAnsi="Times New Roman" w:cs="Times New Roman"/>
          <w:color w:val="000000" w:themeColor="text1"/>
          <w:sz w:val="20"/>
          <w:szCs w:val="20"/>
          <w:lang w:val="en-US"/>
        </w:rPr>
        <w:t>qu'il</w:t>
      </w:r>
      <w:proofErr w:type="spellEnd"/>
      <w:r w:rsidRPr="009D7635">
        <w:rPr>
          <w:rFonts w:ascii="Times New Roman" w:hAnsi="Times New Roman" w:cs="Times New Roman"/>
          <w:color w:val="000000" w:themeColor="text1"/>
          <w:sz w:val="20"/>
          <w:szCs w:val="20"/>
          <w:lang w:val="en-US"/>
        </w:rPr>
        <w:t xml:space="preserve"> a </w:t>
      </w:r>
      <w:proofErr w:type="spellStart"/>
      <w:r w:rsidRPr="009D7635">
        <w:rPr>
          <w:rFonts w:ascii="Times New Roman" w:hAnsi="Times New Roman" w:cs="Times New Roman"/>
          <w:color w:val="000000" w:themeColor="text1"/>
          <w:sz w:val="20"/>
          <w:szCs w:val="20"/>
          <w:lang w:val="en-US"/>
        </w:rPr>
        <w:t>entrepris</w:t>
      </w:r>
      <w:proofErr w:type="spellEnd"/>
      <w:r w:rsidRPr="009D7635">
        <w:rPr>
          <w:rFonts w:ascii="Times New Roman" w:hAnsi="Times New Roman" w:cs="Times New Roman"/>
          <w:color w:val="000000" w:themeColor="text1"/>
          <w:sz w:val="20"/>
          <w:szCs w:val="20"/>
          <w:lang w:val="en-US"/>
        </w:rPr>
        <w:t xml:space="preserve"> de faire </w:t>
      </w:r>
      <w:proofErr w:type="spellStart"/>
      <w:r w:rsidRPr="009D7635">
        <w:rPr>
          <w:rFonts w:ascii="Times New Roman" w:hAnsi="Times New Roman" w:cs="Times New Roman"/>
          <w:color w:val="000000" w:themeColor="text1"/>
          <w:sz w:val="20"/>
          <w:szCs w:val="20"/>
          <w:lang w:val="en-US"/>
        </w:rPr>
        <w:t>connaître</w:t>
      </w:r>
      <w:proofErr w:type="spellEnd"/>
      <w:r w:rsidRPr="009D7635">
        <w:rPr>
          <w:rFonts w:ascii="Times New Roman" w:hAnsi="Times New Roman" w:cs="Times New Roman"/>
          <w:color w:val="000000" w:themeColor="text1"/>
          <w:sz w:val="20"/>
          <w:szCs w:val="20"/>
          <w:lang w:val="en-US"/>
        </w:rPr>
        <w:t xml:space="preserve">, il se </w:t>
      </w:r>
      <w:proofErr w:type="spellStart"/>
      <w:r w:rsidRPr="009D7635">
        <w:rPr>
          <w:rFonts w:ascii="Times New Roman" w:hAnsi="Times New Roman" w:cs="Times New Roman"/>
          <w:color w:val="000000" w:themeColor="text1"/>
          <w:sz w:val="20"/>
          <w:szCs w:val="20"/>
          <w:lang w:val="en-US"/>
        </w:rPr>
        <w:t>rapproche</w:t>
      </w:r>
      <w:proofErr w:type="spellEnd"/>
      <w:r w:rsidRPr="009D7635">
        <w:rPr>
          <w:rFonts w:ascii="Times New Roman" w:hAnsi="Times New Roman" w:cs="Times New Roman"/>
          <w:color w:val="000000" w:themeColor="text1"/>
          <w:sz w:val="20"/>
          <w:szCs w:val="20"/>
          <w:lang w:val="en-US"/>
        </w:rPr>
        <w:t xml:space="preserve"> beaucoup de </w:t>
      </w:r>
      <w:proofErr w:type="spellStart"/>
      <w:r w:rsidRPr="009D7635">
        <w:rPr>
          <w:rFonts w:ascii="Times New Roman" w:hAnsi="Times New Roman" w:cs="Times New Roman"/>
          <w:color w:val="000000" w:themeColor="text1"/>
          <w:sz w:val="20"/>
          <w:szCs w:val="20"/>
          <w:lang w:val="en-US"/>
        </w:rPr>
        <w:t>ce</w:t>
      </w:r>
      <w:proofErr w:type="spellEnd"/>
      <w:r w:rsidRPr="009D7635">
        <w:rPr>
          <w:rFonts w:ascii="Times New Roman" w:hAnsi="Times New Roman" w:cs="Times New Roman"/>
          <w:color w:val="000000" w:themeColor="text1"/>
          <w:sz w:val="20"/>
          <w:szCs w:val="20"/>
          <w:lang w:val="en-US"/>
        </w:rPr>
        <w:t xml:space="preserve"> genre </w:t>
      </w:r>
      <w:proofErr w:type="spellStart"/>
      <w:r w:rsidRPr="009D7635">
        <w:rPr>
          <w:rFonts w:ascii="Times New Roman" w:hAnsi="Times New Roman" w:cs="Times New Roman"/>
          <w:color w:val="000000" w:themeColor="text1"/>
          <w:sz w:val="20"/>
          <w:szCs w:val="20"/>
          <w:lang w:val="en-US"/>
        </w:rPr>
        <w:t>très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goûté</w:t>
      </w:r>
      <w:proofErr w:type="spellEnd"/>
      <w:r w:rsidRPr="009D7635">
        <w:rPr>
          <w:rFonts w:ascii="Times New Roman" w:hAnsi="Times New Roman" w:cs="Times New Roman"/>
          <w:color w:val="000000" w:themeColor="text1"/>
          <w:sz w:val="20"/>
          <w:szCs w:val="20"/>
          <w:lang w:val="en-US"/>
        </w:rPr>
        <w:t xml:space="preserve"> des </w:t>
      </w:r>
      <w:proofErr w:type="spellStart"/>
      <w:r w:rsidRPr="009D7635">
        <w:rPr>
          <w:rFonts w:ascii="Times New Roman" w:hAnsi="Times New Roman" w:cs="Times New Roman"/>
          <w:color w:val="000000" w:themeColor="text1"/>
          <w:sz w:val="20"/>
          <w:szCs w:val="20"/>
          <w:lang w:val="en-US"/>
        </w:rPr>
        <w:t>médiévaux</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que</w:t>
      </w:r>
      <w:proofErr w:type="spellEnd"/>
      <w:r w:rsidRPr="009D7635">
        <w:rPr>
          <w:rFonts w:ascii="Times New Roman" w:hAnsi="Times New Roman" w:cs="Times New Roman"/>
          <w:color w:val="000000" w:themeColor="text1"/>
          <w:sz w:val="20"/>
          <w:szCs w:val="20"/>
          <w:lang w:val="en-US"/>
        </w:rPr>
        <w:t xml:space="preserve"> l'on a </w:t>
      </w:r>
      <w:proofErr w:type="spellStart"/>
      <w:r w:rsidRPr="009D7635">
        <w:rPr>
          <w:rFonts w:ascii="Times New Roman" w:hAnsi="Times New Roman" w:cs="Times New Roman"/>
          <w:color w:val="000000" w:themeColor="text1"/>
          <w:sz w:val="20"/>
          <w:szCs w:val="20"/>
          <w:lang w:val="en-US"/>
        </w:rPr>
        <w:t>désigné</w:t>
      </w:r>
      <w:proofErr w:type="spellEnd"/>
      <w:r w:rsidRPr="009D7635">
        <w:rPr>
          <w:rFonts w:ascii="Times New Roman" w:hAnsi="Times New Roman" w:cs="Times New Roman"/>
          <w:color w:val="000000" w:themeColor="text1"/>
          <w:sz w:val="20"/>
          <w:szCs w:val="20"/>
          <w:lang w:val="en-US"/>
        </w:rPr>
        <w:t xml:space="preserve"> du nom </w:t>
      </w:r>
      <w:proofErr w:type="spellStart"/>
      <w:r w:rsidRPr="009D7635">
        <w:rPr>
          <w:rFonts w:ascii="Times New Roman" w:hAnsi="Times New Roman" w:cs="Times New Roman"/>
          <w:color w:val="000000" w:themeColor="text1"/>
          <w:sz w:val="20"/>
          <w:szCs w:val="20"/>
          <w:lang w:val="en-US"/>
        </w:rPr>
        <w:t>d'encyclopédie</w:t>
      </w:r>
      <w:proofErr w:type="spellEnd"/>
      <w:r w:rsidRPr="009D7635">
        <w:rPr>
          <w:rFonts w:ascii="Times New Roman" w:hAnsi="Times New Roman" w:cs="Times New Roman"/>
          <w:color w:val="000000" w:themeColor="text1"/>
          <w:sz w:val="20"/>
          <w:szCs w:val="20"/>
          <w:lang w:val="en-US"/>
        </w:rPr>
        <w:t>.’</w:t>
      </w:r>
    </w:p>
  </w:footnote>
  <w:footnote w:id="602">
    <w:p w14:paraId="1CAFC2CE" w14:textId="5B115A2C"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6306C6" w:rsidRPr="009D7635">
        <w:rPr>
          <w:rFonts w:ascii="Times New Roman" w:hAnsi="Times New Roman" w:cs="Times New Roman"/>
          <w:iCs/>
          <w:color w:val="000000" w:themeColor="text1"/>
          <w:sz w:val="20"/>
          <w:szCs w:val="20"/>
        </w:rPr>
        <w:t>Ibid.,</w:t>
      </w:r>
      <w:r w:rsidR="006306C6"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19: ‘</w:t>
      </w:r>
      <w:r w:rsidRPr="009D7635">
        <w:rPr>
          <w:rFonts w:ascii="Times New Roman" w:hAnsi="Times New Roman" w:cs="Times New Roman"/>
          <w:color w:val="000000" w:themeColor="text1"/>
          <w:sz w:val="20"/>
          <w:szCs w:val="20"/>
          <w:lang w:val="en-US"/>
        </w:rPr>
        <w:t xml:space="preserve">On </w:t>
      </w:r>
      <w:proofErr w:type="spellStart"/>
      <w:r w:rsidRPr="009D7635">
        <w:rPr>
          <w:rFonts w:ascii="Times New Roman" w:hAnsi="Times New Roman" w:cs="Times New Roman"/>
          <w:color w:val="000000" w:themeColor="text1"/>
          <w:sz w:val="20"/>
          <w:szCs w:val="20"/>
          <w:lang w:val="en-US"/>
        </w:rPr>
        <w:t>trouve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donc</w:t>
      </w:r>
      <w:proofErr w:type="spellEnd"/>
      <w:r w:rsidRPr="009D7635">
        <w:rPr>
          <w:rFonts w:ascii="Times New Roman" w:hAnsi="Times New Roman" w:cs="Times New Roman"/>
          <w:color w:val="000000" w:themeColor="text1"/>
          <w:sz w:val="20"/>
          <w:szCs w:val="20"/>
          <w:lang w:val="en-US"/>
        </w:rPr>
        <w:t xml:space="preserve"> dans la Summa </w:t>
      </w:r>
      <w:proofErr w:type="spellStart"/>
      <w:r w:rsidRPr="009D7635">
        <w:rPr>
          <w:rFonts w:ascii="Times New Roman" w:hAnsi="Times New Roman" w:cs="Times New Roman"/>
          <w:color w:val="000000" w:themeColor="text1"/>
          <w:sz w:val="20"/>
          <w:szCs w:val="20"/>
          <w:lang w:val="en-US"/>
        </w:rPr>
        <w:t>alors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qu'elles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sont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absentes</w:t>
      </w:r>
      <w:proofErr w:type="spellEnd"/>
      <w:r w:rsidRPr="009D7635">
        <w:rPr>
          <w:rFonts w:ascii="Times New Roman" w:hAnsi="Times New Roman" w:cs="Times New Roman"/>
          <w:color w:val="000000" w:themeColor="text1"/>
          <w:sz w:val="20"/>
          <w:szCs w:val="20"/>
          <w:lang w:val="en-US"/>
        </w:rPr>
        <w:t xml:space="preserve"> du </w:t>
      </w:r>
      <w:proofErr w:type="spellStart"/>
      <w:r w:rsidRPr="009D7635">
        <w:rPr>
          <w:rFonts w:ascii="Times New Roman" w:hAnsi="Times New Roman" w:cs="Times New Roman"/>
          <w:i/>
          <w:color w:val="000000" w:themeColor="text1"/>
          <w:sz w:val="20"/>
          <w:szCs w:val="20"/>
          <w:lang w:val="en-US"/>
        </w:rPr>
        <w:t>Tractatus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d'importantes</w:t>
      </w:r>
      <w:proofErr w:type="spellEnd"/>
      <w:r w:rsidRPr="009D7635">
        <w:rPr>
          <w:rFonts w:ascii="Times New Roman" w:hAnsi="Times New Roman" w:cs="Times New Roman"/>
          <w:color w:val="000000" w:themeColor="text1"/>
          <w:sz w:val="20"/>
          <w:szCs w:val="20"/>
          <w:lang w:val="en-US"/>
        </w:rPr>
        <w:t xml:space="preserve"> questions </w:t>
      </w:r>
      <w:proofErr w:type="spellStart"/>
      <w:r w:rsidRPr="009D7635">
        <w:rPr>
          <w:rFonts w:ascii="Times New Roman" w:hAnsi="Times New Roman" w:cs="Times New Roman"/>
          <w:color w:val="000000" w:themeColor="text1"/>
          <w:sz w:val="20"/>
          <w:szCs w:val="20"/>
          <w:lang w:val="en-US"/>
        </w:rPr>
        <w:t>doctrinales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dont</w:t>
      </w:r>
      <w:proofErr w:type="spellEnd"/>
      <w:r w:rsidRPr="009D7635">
        <w:rPr>
          <w:rFonts w:ascii="Times New Roman" w:hAnsi="Times New Roman" w:cs="Times New Roman"/>
          <w:color w:val="000000" w:themeColor="text1"/>
          <w:sz w:val="20"/>
          <w:szCs w:val="20"/>
          <w:lang w:val="en-US"/>
        </w:rPr>
        <w:t xml:space="preserve"> la place </w:t>
      </w:r>
      <w:proofErr w:type="spellStart"/>
      <w:r w:rsidRPr="009D7635">
        <w:rPr>
          <w:rFonts w:ascii="Times New Roman" w:hAnsi="Times New Roman" w:cs="Times New Roman"/>
          <w:color w:val="000000" w:themeColor="text1"/>
          <w:sz w:val="20"/>
          <w:szCs w:val="20"/>
          <w:lang w:val="en-US"/>
        </w:rPr>
        <w:t>est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marquée</w:t>
      </w:r>
      <w:proofErr w:type="spellEnd"/>
      <w:r w:rsidRPr="009D7635">
        <w:rPr>
          <w:rFonts w:ascii="Times New Roman" w:hAnsi="Times New Roman" w:cs="Times New Roman"/>
          <w:color w:val="000000" w:themeColor="text1"/>
          <w:sz w:val="20"/>
          <w:szCs w:val="20"/>
          <w:lang w:val="en-US"/>
        </w:rPr>
        <w:t xml:space="preserve"> dans la </w:t>
      </w:r>
      <w:proofErr w:type="spellStart"/>
      <w:r w:rsidRPr="009D7635">
        <w:rPr>
          <w:rFonts w:ascii="Times New Roman" w:hAnsi="Times New Roman" w:cs="Times New Roman"/>
          <w:color w:val="000000" w:themeColor="text1"/>
          <w:sz w:val="20"/>
          <w:szCs w:val="20"/>
          <w:lang w:val="en-US"/>
        </w:rPr>
        <w:t>problématique</w:t>
      </w:r>
      <w:proofErr w:type="spellEnd"/>
      <w:r w:rsidRPr="009D7635">
        <w:rPr>
          <w:rFonts w:ascii="Times New Roman" w:hAnsi="Times New Roman" w:cs="Times New Roman"/>
          <w:color w:val="000000" w:themeColor="text1"/>
          <w:sz w:val="20"/>
          <w:szCs w:val="20"/>
          <w:lang w:val="en-US"/>
        </w:rPr>
        <w:t xml:space="preserve"> et </w:t>
      </w:r>
      <w:proofErr w:type="spellStart"/>
      <w:r w:rsidRPr="009D7635">
        <w:rPr>
          <w:rFonts w:ascii="Times New Roman" w:hAnsi="Times New Roman" w:cs="Times New Roman"/>
          <w:color w:val="000000" w:themeColor="text1"/>
          <w:sz w:val="20"/>
          <w:szCs w:val="20"/>
          <w:lang w:val="en-US"/>
        </w:rPr>
        <w:t>l'enseignement</w:t>
      </w:r>
      <w:proofErr w:type="spellEnd"/>
      <w:r w:rsidRPr="009D7635">
        <w:rPr>
          <w:rFonts w:ascii="Times New Roman" w:hAnsi="Times New Roman" w:cs="Times New Roman"/>
          <w:color w:val="000000" w:themeColor="text1"/>
          <w:sz w:val="20"/>
          <w:szCs w:val="20"/>
          <w:lang w:val="en-US"/>
        </w:rPr>
        <w:t xml:space="preserve"> de l'époque, et sans </w:t>
      </w:r>
      <w:proofErr w:type="spellStart"/>
      <w:r w:rsidRPr="009D7635">
        <w:rPr>
          <w:rFonts w:ascii="Times New Roman" w:hAnsi="Times New Roman" w:cs="Times New Roman"/>
          <w:color w:val="000000" w:themeColor="text1"/>
          <w:sz w:val="20"/>
          <w:szCs w:val="20"/>
          <w:lang w:val="en-US"/>
        </w:rPr>
        <w:t>lesquelles</w:t>
      </w:r>
      <w:proofErr w:type="spellEnd"/>
      <w:r w:rsidRPr="009D7635">
        <w:rPr>
          <w:rFonts w:ascii="Times New Roman" w:hAnsi="Times New Roman" w:cs="Times New Roman"/>
          <w:color w:val="000000" w:themeColor="text1"/>
          <w:sz w:val="20"/>
          <w:szCs w:val="20"/>
          <w:lang w:val="en-US"/>
        </w:rPr>
        <w:t xml:space="preserve"> il </w:t>
      </w:r>
      <w:proofErr w:type="spellStart"/>
      <w:r w:rsidRPr="009D7635">
        <w:rPr>
          <w:rFonts w:ascii="Times New Roman" w:hAnsi="Times New Roman" w:cs="Times New Roman"/>
          <w:color w:val="000000" w:themeColor="text1"/>
          <w:sz w:val="20"/>
          <w:szCs w:val="20"/>
          <w:lang w:val="en-US"/>
        </w:rPr>
        <w:t>est</w:t>
      </w:r>
      <w:proofErr w:type="spellEnd"/>
      <w:r w:rsidRPr="009D7635">
        <w:rPr>
          <w:rFonts w:ascii="Times New Roman" w:hAnsi="Times New Roman" w:cs="Times New Roman"/>
          <w:color w:val="000000" w:themeColor="text1"/>
          <w:sz w:val="20"/>
          <w:szCs w:val="20"/>
          <w:lang w:val="en-US"/>
        </w:rPr>
        <w:t xml:space="preserve"> impossible de </w:t>
      </w:r>
      <w:proofErr w:type="spellStart"/>
      <w:r w:rsidRPr="009D7635">
        <w:rPr>
          <w:rFonts w:ascii="Times New Roman" w:hAnsi="Times New Roman" w:cs="Times New Roman"/>
          <w:color w:val="000000" w:themeColor="text1"/>
          <w:sz w:val="20"/>
          <w:szCs w:val="20"/>
          <w:lang w:val="en-US"/>
        </w:rPr>
        <w:t>concevoir</w:t>
      </w:r>
      <w:proofErr w:type="spellEnd"/>
      <w:r w:rsidRPr="009D7635">
        <w:rPr>
          <w:rFonts w:ascii="Times New Roman" w:hAnsi="Times New Roman" w:cs="Times New Roman"/>
          <w:color w:val="000000" w:themeColor="text1"/>
          <w:sz w:val="20"/>
          <w:szCs w:val="20"/>
          <w:lang w:val="en-US"/>
        </w:rPr>
        <w:t xml:space="preserve"> un </w:t>
      </w:r>
      <w:r w:rsidRPr="009D7635">
        <w:rPr>
          <w:rFonts w:ascii="Times New Roman" w:hAnsi="Times New Roman" w:cs="Times New Roman"/>
          <w:i/>
          <w:iCs/>
          <w:color w:val="000000" w:themeColor="text1"/>
          <w:sz w:val="20"/>
          <w:szCs w:val="20"/>
          <w:lang w:val="en-US"/>
        </w:rPr>
        <w:t>De anima</w:t>
      </w:r>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satisfaisant</w:t>
      </w:r>
      <w:proofErr w:type="spellEnd"/>
      <w:r w:rsidRPr="009D7635">
        <w:rPr>
          <w:rFonts w:ascii="Times New Roman" w:hAnsi="Times New Roman" w:cs="Times New Roman"/>
          <w:color w:val="000000" w:themeColor="text1"/>
          <w:sz w:val="20"/>
          <w:szCs w:val="20"/>
          <w:lang w:val="en-US"/>
        </w:rPr>
        <w:t xml:space="preserve"> et </w:t>
      </w:r>
      <w:proofErr w:type="spellStart"/>
      <w:r w:rsidRPr="009D7635">
        <w:rPr>
          <w:rFonts w:ascii="Times New Roman" w:hAnsi="Times New Roman" w:cs="Times New Roman"/>
          <w:color w:val="000000" w:themeColor="text1"/>
          <w:sz w:val="20"/>
          <w:szCs w:val="20"/>
          <w:lang w:val="en-US"/>
        </w:rPr>
        <w:t>suffisant</w:t>
      </w:r>
      <w:proofErr w:type="spellEnd"/>
      <w:r w:rsidRPr="009D7635">
        <w:rPr>
          <w:rFonts w:ascii="Times New Roman" w:hAnsi="Times New Roman" w:cs="Times New Roman"/>
          <w:color w:val="000000" w:themeColor="text1"/>
          <w:sz w:val="20"/>
          <w:szCs w:val="20"/>
          <w:lang w:val="en-US"/>
        </w:rPr>
        <w:t>.’</w:t>
      </w:r>
    </w:p>
  </w:footnote>
  <w:footnote w:id="603">
    <w:p w14:paraId="1DD12B2F" w14:textId="7C26746F"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Pierre </w:t>
      </w:r>
      <w:proofErr w:type="spellStart"/>
      <w:r w:rsidRPr="009D7635">
        <w:rPr>
          <w:rFonts w:ascii="Times New Roman" w:hAnsi="Times New Roman" w:cs="Times New Roman"/>
          <w:color w:val="000000" w:themeColor="text1"/>
        </w:rPr>
        <w:t>Michaud-Quantin</w:t>
      </w:r>
      <w:proofErr w:type="spellEnd"/>
      <w:r w:rsidRPr="009D7635">
        <w:rPr>
          <w:rFonts w:ascii="Times New Roman" w:hAnsi="Times New Roman" w:cs="Times New Roman"/>
          <w:color w:val="000000" w:themeColor="text1"/>
        </w:rPr>
        <w:t xml:space="preserve">, ‘Les </w:t>
      </w:r>
      <w:proofErr w:type="spellStart"/>
      <w:r w:rsidRPr="009D7635">
        <w:rPr>
          <w:rFonts w:ascii="Times New Roman" w:hAnsi="Times New Roman" w:cs="Times New Roman"/>
          <w:color w:val="000000" w:themeColor="text1"/>
        </w:rPr>
        <w:t>puissances</w:t>
      </w:r>
      <w:proofErr w:type="spellEnd"/>
      <w:r w:rsidRPr="009D7635">
        <w:rPr>
          <w:rFonts w:ascii="Times New Roman" w:hAnsi="Times New Roman" w:cs="Times New Roman"/>
          <w:color w:val="000000" w:themeColor="text1"/>
        </w:rPr>
        <w:t xml:space="preserve"> de </w:t>
      </w:r>
      <w:proofErr w:type="spellStart"/>
      <w:r w:rsidR="00D71B3E" w:rsidRPr="009D7635">
        <w:rPr>
          <w:rFonts w:ascii="Times New Roman" w:hAnsi="Times New Roman" w:cs="Times New Roman"/>
          <w:color w:val="000000" w:themeColor="text1"/>
        </w:rPr>
        <w:t>l’âme</w:t>
      </w:r>
      <w:proofErr w:type="spellEnd"/>
      <w:r w:rsidRPr="009D7635">
        <w:rPr>
          <w:rFonts w:ascii="Times New Roman" w:hAnsi="Times New Roman" w:cs="Times New Roman"/>
          <w:color w:val="000000" w:themeColor="text1"/>
        </w:rPr>
        <w:t>,’ 494.</w:t>
      </w:r>
    </w:p>
  </w:footnote>
  <w:footnote w:id="604">
    <w:p w14:paraId="7C727573" w14:textId="7A84AE9B"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Pierre </w:t>
      </w:r>
      <w:proofErr w:type="spellStart"/>
      <w:r w:rsidRPr="009D7635">
        <w:rPr>
          <w:rFonts w:ascii="Times New Roman" w:hAnsi="Times New Roman" w:cs="Times New Roman"/>
          <w:color w:val="000000" w:themeColor="text1"/>
        </w:rPr>
        <w:t>Michaud-Quantin</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Une</w:t>
      </w:r>
      <w:proofErr w:type="spellEnd"/>
      <w:r w:rsidRPr="009D7635">
        <w:rPr>
          <w:rFonts w:ascii="Times New Roman" w:hAnsi="Times New Roman" w:cs="Times New Roman"/>
          <w:color w:val="000000" w:themeColor="text1"/>
        </w:rPr>
        <w:t xml:space="preserve"> division “</w:t>
      </w:r>
      <w:proofErr w:type="spellStart"/>
      <w:r w:rsidRPr="009D7635">
        <w:rPr>
          <w:rFonts w:ascii="Times New Roman" w:hAnsi="Times New Roman" w:cs="Times New Roman"/>
          <w:color w:val="000000" w:themeColor="text1"/>
        </w:rPr>
        <w:t>augustinienne</w:t>
      </w:r>
      <w:proofErr w:type="spellEnd"/>
      <w:r w:rsidRPr="009D7635">
        <w:rPr>
          <w:rFonts w:ascii="Times New Roman" w:hAnsi="Times New Roman" w:cs="Times New Roman"/>
          <w:color w:val="000000" w:themeColor="text1"/>
        </w:rPr>
        <w:t xml:space="preserve">” des </w:t>
      </w:r>
      <w:proofErr w:type="spellStart"/>
      <w:r w:rsidRPr="009D7635">
        <w:rPr>
          <w:rFonts w:ascii="Times New Roman" w:hAnsi="Times New Roman" w:cs="Times New Roman"/>
          <w:color w:val="000000" w:themeColor="text1"/>
        </w:rPr>
        <w:t>puissances</w:t>
      </w:r>
      <w:proofErr w:type="spellEnd"/>
      <w:r w:rsidRPr="009D7635">
        <w:rPr>
          <w:rFonts w:ascii="Times New Roman" w:hAnsi="Times New Roman" w:cs="Times New Roman"/>
          <w:color w:val="000000" w:themeColor="text1"/>
        </w:rPr>
        <w:t xml:space="preserve"> de </w:t>
      </w:r>
      <w:proofErr w:type="spellStart"/>
      <w:r w:rsidR="00D71B3E" w:rsidRPr="009D7635">
        <w:rPr>
          <w:rFonts w:ascii="Times New Roman" w:hAnsi="Times New Roman" w:cs="Times New Roman"/>
          <w:color w:val="000000" w:themeColor="text1"/>
        </w:rPr>
        <w:t>l’âme</w:t>
      </w:r>
      <w:proofErr w:type="spellEnd"/>
      <w:r w:rsidRPr="009D7635">
        <w:rPr>
          <w:rFonts w:ascii="Times New Roman" w:hAnsi="Times New Roman" w:cs="Times New Roman"/>
          <w:color w:val="000000" w:themeColor="text1"/>
        </w:rPr>
        <w:t xml:space="preserve"> au </w:t>
      </w:r>
      <w:proofErr w:type="spellStart"/>
      <w:r w:rsidRPr="009D7635">
        <w:rPr>
          <w:rFonts w:ascii="Times New Roman" w:hAnsi="Times New Roman" w:cs="Times New Roman"/>
          <w:color w:val="000000" w:themeColor="text1"/>
        </w:rPr>
        <w:t>moyen</w:t>
      </w:r>
      <w:proofErr w:type="spellEnd"/>
      <w:r w:rsidRPr="009D7635">
        <w:rPr>
          <w:rFonts w:ascii="Times New Roman" w:hAnsi="Times New Roman" w:cs="Times New Roman"/>
          <w:color w:val="000000" w:themeColor="text1"/>
        </w:rPr>
        <w:t xml:space="preserve"> age,’ </w:t>
      </w:r>
      <w:r w:rsidRPr="009D7635">
        <w:rPr>
          <w:rFonts w:ascii="Times New Roman" w:hAnsi="Times New Roman" w:cs="Times New Roman"/>
          <w:i/>
          <w:color w:val="000000" w:themeColor="text1"/>
        </w:rPr>
        <w:t xml:space="preserve">Revue des Études </w:t>
      </w:r>
      <w:proofErr w:type="spellStart"/>
      <w:r w:rsidRPr="009D7635">
        <w:rPr>
          <w:rFonts w:ascii="Times New Roman" w:hAnsi="Times New Roman" w:cs="Times New Roman"/>
          <w:i/>
          <w:color w:val="000000" w:themeColor="text1"/>
        </w:rPr>
        <w:t>Augustiniennes</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3 (1957)</w:t>
      </w:r>
      <w:r w:rsidR="00D11A89"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235-48.</w:t>
      </w:r>
    </w:p>
  </w:footnote>
  <w:footnote w:id="605">
    <w:p w14:paraId="4E10B2A4" w14:textId="77777777" w:rsidR="00B93ED5" w:rsidRPr="009D7635" w:rsidRDefault="00B93ED5" w:rsidP="00E212D3">
      <w:pPr>
        <w:pStyle w:val="FootnoteText"/>
        <w:rPr>
          <w:rFonts w:ascii="Times New Roman" w:hAnsi="Times New Roman" w:cs="Times New Roman"/>
          <w:color w:val="000000" w:themeColor="text1"/>
          <w:lang w:val="de-DE"/>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eastAsia="Times New Roman" w:hAnsi="Times New Roman" w:cs="Times New Roman"/>
          <w:color w:val="000000" w:themeColor="text1"/>
        </w:rPr>
        <w:t>Lottin</w:t>
      </w:r>
      <w:proofErr w:type="spellEnd"/>
      <w:r w:rsidRPr="009D7635">
        <w:rPr>
          <w:rFonts w:ascii="Times New Roman" w:eastAsia="Times New Roman" w:hAnsi="Times New Roman" w:cs="Times New Roman"/>
          <w:color w:val="000000" w:themeColor="text1"/>
        </w:rPr>
        <w:t xml:space="preserve">, </w:t>
      </w:r>
      <w:r w:rsidRPr="009D7635">
        <w:rPr>
          <w:rFonts w:ascii="Times New Roman" w:hAnsi="Times New Roman" w:cs="Times New Roman"/>
          <w:i/>
          <w:color w:val="000000" w:themeColor="text1"/>
          <w:lang w:val="de-DE"/>
        </w:rPr>
        <w:t xml:space="preserve">Psychologie et </w:t>
      </w:r>
      <w:proofErr w:type="spellStart"/>
      <w:r w:rsidRPr="009D7635">
        <w:rPr>
          <w:rFonts w:ascii="Times New Roman" w:hAnsi="Times New Roman" w:cs="Times New Roman"/>
          <w:i/>
          <w:color w:val="000000" w:themeColor="text1"/>
          <w:lang w:val="de-DE"/>
        </w:rPr>
        <w:t>morale</w:t>
      </w:r>
      <w:proofErr w:type="spellEnd"/>
      <w:r w:rsidRPr="009D7635">
        <w:rPr>
          <w:rFonts w:ascii="Times New Roman" w:hAnsi="Times New Roman" w:cs="Times New Roman"/>
          <w:i/>
          <w:color w:val="000000" w:themeColor="text1"/>
          <w:lang w:val="de-DE"/>
        </w:rPr>
        <w:t xml:space="preserve"> au XII</w:t>
      </w:r>
      <w:r w:rsidRPr="009D7635">
        <w:rPr>
          <w:rFonts w:ascii="Times New Roman" w:hAnsi="Times New Roman" w:cs="Times New Roman"/>
          <w:i/>
          <w:color w:val="000000" w:themeColor="text1"/>
          <w:vertAlign w:val="superscript"/>
          <w:lang w:val="de-DE"/>
        </w:rPr>
        <w:t>e</w:t>
      </w:r>
      <w:r w:rsidRPr="009D7635">
        <w:rPr>
          <w:rFonts w:ascii="Times New Roman" w:hAnsi="Times New Roman" w:cs="Times New Roman"/>
          <w:i/>
          <w:color w:val="000000" w:themeColor="text1"/>
          <w:lang w:val="de-DE"/>
        </w:rPr>
        <w:t xml:space="preserve"> et XIII</w:t>
      </w:r>
      <w:r w:rsidRPr="009D7635">
        <w:rPr>
          <w:rFonts w:ascii="Times New Roman" w:hAnsi="Times New Roman" w:cs="Times New Roman"/>
          <w:i/>
          <w:color w:val="000000" w:themeColor="text1"/>
          <w:vertAlign w:val="superscript"/>
          <w:lang w:val="de-DE"/>
        </w:rPr>
        <w:t>e</w:t>
      </w:r>
      <w:r w:rsidRPr="009D7635">
        <w:rPr>
          <w:rFonts w:ascii="Times New Roman" w:hAnsi="Times New Roman" w:cs="Times New Roman"/>
          <w:i/>
          <w:color w:val="000000" w:themeColor="text1"/>
          <w:lang w:val="de-DE"/>
        </w:rPr>
        <w:t xml:space="preserve"> </w:t>
      </w:r>
      <w:proofErr w:type="spellStart"/>
      <w:r w:rsidRPr="009D7635">
        <w:rPr>
          <w:rFonts w:ascii="Times New Roman" w:hAnsi="Times New Roman" w:cs="Times New Roman"/>
          <w:i/>
          <w:color w:val="000000" w:themeColor="text1"/>
          <w:lang w:val="de-DE"/>
        </w:rPr>
        <w:t>siècles</w:t>
      </w:r>
      <w:proofErr w:type="spellEnd"/>
      <w:r w:rsidRPr="009D7635">
        <w:rPr>
          <w:rFonts w:ascii="Times New Roman" w:hAnsi="Times New Roman" w:cs="Times New Roman"/>
          <w:color w:val="000000" w:themeColor="text1"/>
          <w:lang w:val="de-DE"/>
        </w:rPr>
        <w:t>, vol. 1 (</w:t>
      </w:r>
      <w:proofErr w:type="spellStart"/>
      <w:r w:rsidRPr="009D7635">
        <w:rPr>
          <w:rFonts w:ascii="Times New Roman" w:hAnsi="Times New Roman" w:cs="Times New Roman"/>
          <w:color w:val="000000" w:themeColor="text1"/>
        </w:rPr>
        <w:t>Gembloux</w:t>
      </w:r>
      <w:proofErr w:type="spellEnd"/>
      <w:r w:rsidRPr="009D7635">
        <w:rPr>
          <w:rFonts w:ascii="Times New Roman" w:hAnsi="Times New Roman" w:cs="Times New Roman"/>
          <w:color w:val="000000" w:themeColor="text1"/>
        </w:rPr>
        <w:t xml:space="preserve">: J. </w:t>
      </w:r>
      <w:proofErr w:type="spellStart"/>
      <w:r w:rsidRPr="009D7635">
        <w:rPr>
          <w:rFonts w:ascii="Times New Roman" w:hAnsi="Times New Roman" w:cs="Times New Roman"/>
          <w:color w:val="000000" w:themeColor="text1"/>
        </w:rPr>
        <w:t>Duculot</w:t>
      </w:r>
      <w:proofErr w:type="spellEnd"/>
      <w:r w:rsidRPr="009D7635">
        <w:rPr>
          <w:rFonts w:ascii="Times New Roman" w:hAnsi="Times New Roman" w:cs="Times New Roman"/>
          <w:color w:val="000000" w:themeColor="text1"/>
        </w:rPr>
        <w:t>, 1957</w:t>
      </w:r>
      <w:r w:rsidRPr="009D7635">
        <w:rPr>
          <w:rFonts w:ascii="Times New Roman" w:hAnsi="Times New Roman" w:cs="Times New Roman"/>
          <w:color w:val="000000" w:themeColor="text1"/>
          <w:lang w:val="de-DE"/>
        </w:rPr>
        <w:t xml:space="preserve">), </w:t>
      </w:r>
      <w:r w:rsidRPr="009D7635">
        <w:rPr>
          <w:rFonts w:ascii="Times New Roman" w:eastAsia="Times New Roman" w:hAnsi="Times New Roman" w:cs="Times New Roman"/>
          <w:color w:val="000000" w:themeColor="text1"/>
        </w:rPr>
        <w:t>393-414: John of Damascus’ influence on psychology in the thirteenth century.</w:t>
      </w:r>
    </w:p>
  </w:footnote>
  <w:footnote w:id="606">
    <w:p w14:paraId="71A20CC6" w14:textId="58C517C3" w:rsidR="00B93ED5" w:rsidRPr="009D7635" w:rsidRDefault="00B93ED5" w:rsidP="00E212D3">
      <w:pPr>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See </w:t>
      </w:r>
      <w:proofErr w:type="spellStart"/>
      <w:r w:rsidRPr="009D7635">
        <w:rPr>
          <w:rFonts w:ascii="Times New Roman" w:hAnsi="Times New Roman" w:cs="Times New Roman"/>
          <w:color w:val="000000" w:themeColor="text1"/>
          <w:sz w:val="20"/>
          <w:szCs w:val="20"/>
        </w:rPr>
        <w:t>Eligius</w:t>
      </w:r>
      <w:proofErr w:type="spellEnd"/>
      <w:r w:rsidRPr="009D7635">
        <w:rPr>
          <w:rFonts w:ascii="Times New Roman" w:hAnsi="Times New Roman" w:cs="Times New Roman"/>
          <w:color w:val="000000" w:themeColor="text1"/>
          <w:sz w:val="20"/>
          <w:szCs w:val="20"/>
        </w:rPr>
        <w:t xml:space="preserve"> M. </w:t>
      </w:r>
      <w:proofErr w:type="spellStart"/>
      <w:r w:rsidRPr="009D7635">
        <w:rPr>
          <w:rFonts w:ascii="Times New Roman" w:hAnsi="Times New Roman" w:cs="Times New Roman"/>
          <w:color w:val="000000" w:themeColor="text1"/>
          <w:sz w:val="20"/>
          <w:szCs w:val="20"/>
        </w:rPr>
        <w:t>Buytaert</w:t>
      </w:r>
      <w:proofErr w:type="spellEnd"/>
      <w:r w:rsidRPr="009D7635">
        <w:rPr>
          <w:rFonts w:ascii="Times New Roman" w:hAnsi="Times New Roman" w:cs="Times New Roman"/>
          <w:color w:val="000000" w:themeColor="text1"/>
          <w:sz w:val="20"/>
          <w:szCs w:val="20"/>
        </w:rPr>
        <w:t xml:space="preserve">, ‘Introduction,’ in </w:t>
      </w:r>
      <w:r w:rsidRPr="009D7635">
        <w:rPr>
          <w:rFonts w:ascii="Times New Roman" w:hAnsi="Times New Roman" w:cs="Times New Roman"/>
          <w:i/>
          <w:color w:val="000000" w:themeColor="text1"/>
          <w:sz w:val="20"/>
          <w:szCs w:val="20"/>
        </w:rPr>
        <w:t xml:space="preserve">De Fide </w:t>
      </w:r>
      <w:proofErr w:type="spellStart"/>
      <w:r w:rsidRPr="009D7635">
        <w:rPr>
          <w:rFonts w:ascii="Times New Roman" w:hAnsi="Times New Roman" w:cs="Times New Roman"/>
          <w:i/>
          <w:color w:val="000000" w:themeColor="text1"/>
          <w:sz w:val="20"/>
          <w:szCs w:val="20"/>
        </w:rPr>
        <w:t>Orthodoxa</w:t>
      </w:r>
      <w:proofErr w:type="spellEnd"/>
      <w:r w:rsidRPr="009D7635">
        <w:rPr>
          <w:rFonts w:ascii="Times New Roman" w:hAnsi="Times New Roman" w:cs="Times New Roman"/>
          <w:i/>
          <w:color w:val="000000" w:themeColor="text1"/>
          <w:sz w:val="20"/>
          <w:szCs w:val="20"/>
        </w:rPr>
        <w:t xml:space="preserve">: Versions of </w:t>
      </w:r>
      <w:proofErr w:type="spellStart"/>
      <w:r w:rsidRPr="009D7635">
        <w:rPr>
          <w:rFonts w:ascii="Times New Roman" w:hAnsi="Times New Roman" w:cs="Times New Roman"/>
          <w:i/>
          <w:color w:val="000000" w:themeColor="text1"/>
          <w:sz w:val="20"/>
          <w:szCs w:val="20"/>
        </w:rPr>
        <w:t>Burgundio</w:t>
      </w:r>
      <w:proofErr w:type="spellEnd"/>
      <w:r w:rsidRPr="009D7635">
        <w:rPr>
          <w:rFonts w:ascii="Times New Roman" w:hAnsi="Times New Roman" w:cs="Times New Roman"/>
          <w:i/>
          <w:color w:val="000000" w:themeColor="text1"/>
          <w:sz w:val="20"/>
          <w:szCs w:val="20"/>
        </w:rPr>
        <w:t xml:space="preserve"> and </w:t>
      </w:r>
      <w:proofErr w:type="spellStart"/>
      <w:r w:rsidRPr="009D7635">
        <w:rPr>
          <w:rFonts w:ascii="Times New Roman" w:hAnsi="Times New Roman" w:cs="Times New Roman"/>
          <w:i/>
          <w:color w:val="000000" w:themeColor="text1"/>
          <w:sz w:val="20"/>
          <w:szCs w:val="20"/>
        </w:rPr>
        <w:t>Cerbanus</w:t>
      </w:r>
      <w:proofErr w:type="spellEnd"/>
      <w:r w:rsidRPr="009D7635">
        <w:rPr>
          <w:rFonts w:ascii="Times New Roman" w:hAnsi="Times New Roman" w:cs="Times New Roman"/>
          <w:color w:val="000000" w:themeColor="text1"/>
          <w:sz w:val="20"/>
          <w:szCs w:val="20"/>
        </w:rPr>
        <w:t xml:space="preserve">, especially pages XII-XV in I-LIV. Riccardo Saccenti, </w:t>
      </w:r>
      <w:proofErr w:type="spellStart"/>
      <w:r w:rsidRPr="009D7635">
        <w:rPr>
          <w:rFonts w:ascii="Times New Roman" w:hAnsi="Times New Roman" w:cs="Times New Roman"/>
          <w:i/>
          <w:color w:val="000000" w:themeColor="text1"/>
          <w:sz w:val="20"/>
          <w:szCs w:val="20"/>
        </w:rPr>
        <w:t>Conservare</w:t>
      </w:r>
      <w:proofErr w:type="spellEnd"/>
      <w:r w:rsidRPr="009D7635">
        <w:rPr>
          <w:rFonts w:ascii="Times New Roman" w:hAnsi="Times New Roman" w:cs="Times New Roman"/>
          <w:i/>
          <w:color w:val="000000" w:themeColor="text1"/>
          <w:sz w:val="20"/>
          <w:szCs w:val="20"/>
        </w:rPr>
        <w:t xml:space="preserve"> la </w:t>
      </w:r>
      <w:proofErr w:type="spellStart"/>
      <w:r w:rsidRPr="009D7635">
        <w:rPr>
          <w:rFonts w:ascii="Times New Roman" w:hAnsi="Times New Roman" w:cs="Times New Roman"/>
          <w:i/>
          <w:color w:val="000000" w:themeColor="text1"/>
          <w:sz w:val="20"/>
          <w:szCs w:val="20"/>
        </w:rPr>
        <w:t>retta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volontà</w:t>
      </w:r>
      <w:proofErr w:type="spellEnd"/>
      <w:r w:rsidRPr="009D7635">
        <w:rPr>
          <w:rFonts w:ascii="Times New Roman" w:hAnsi="Times New Roman" w:cs="Times New Roman"/>
          <w:i/>
          <w:color w:val="000000" w:themeColor="text1"/>
          <w:sz w:val="20"/>
          <w:szCs w:val="20"/>
        </w:rPr>
        <w:t xml:space="preserve">: L’atto morale </w:t>
      </w:r>
      <w:proofErr w:type="spellStart"/>
      <w:r w:rsidRPr="009D7635">
        <w:rPr>
          <w:rFonts w:ascii="Times New Roman" w:hAnsi="Times New Roman" w:cs="Times New Roman"/>
          <w:i/>
          <w:color w:val="000000" w:themeColor="text1"/>
          <w:sz w:val="20"/>
          <w:szCs w:val="20"/>
        </w:rPr>
        <w:t>nelle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dottrine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w:t>
      </w:r>
      <w:proofErr w:type="spellEnd"/>
      <w:r w:rsidRPr="009D7635">
        <w:rPr>
          <w:rFonts w:ascii="Times New Roman" w:hAnsi="Times New Roman" w:cs="Times New Roman"/>
          <w:i/>
          <w:color w:val="000000" w:themeColor="text1"/>
          <w:sz w:val="20"/>
          <w:szCs w:val="20"/>
        </w:rPr>
        <w:t xml:space="preserve"> Filippo il </w:t>
      </w:r>
      <w:proofErr w:type="spellStart"/>
      <w:r w:rsidRPr="009D7635">
        <w:rPr>
          <w:rFonts w:ascii="Times New Roman" w:hAnsi="Times New Roman" w:cs="Times New Roman"/>
          <w:i/>
          <w:color w:val="000000" w:themeColor="text1"/>
          <w:sz w:val="20"/>
          <w:szCs w:val="20"/>
        </w:rPr>
        <w:t>Cancelliere</w:t>
      </w:r>
      <w:proofErr w:type="spellEnd"/>
      <w:r w:rsidRPr="009D7635">
        <w:rPr>
          <w:rFonts w:ascii="Times New Roman" w:hAnsi="Times New Roman" w:cs="Times New Roman"/>
          <w:i/>
          <w:color w:val="000000" w:themeColor="text1"/>
          <w:sz w:val="20"/>
          <w:szCs w:val="20"/>
        </w:rPr>
        <w:t xml:space="preserve"> e </w:t>
      </w:r>
      <w:proofErr w:type="spellStart"/>
      <w:r w:rsidRPr="009D7635">
        <w:rPr>
          <w:rFonts w:ascii="Times New Roman" w:hAnsi="Times New Roman" w:cs="Times New Roman"/>
          <w:i/>
          <w:color w:val="000000" w:themeColor="text1"/>
          <w:sz w:val="20"/>
          <w:szCs w:val="20"/>
        </w:rPr>
        <w:t>Ugo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w:t>
      </w:r>
      <w:proofErr w:type="spellEnd"/>
      <w:r w:rsidRPr="009D7635">
        <w:rPr>
          <w:rFonts w:ascii="Times New Roman" w:hAnsi="Times New Roman" w:cs="Times New Roman"/>
          <w:i/>
          <w:color w:val="000000" w:themeColor="text1"/>
          <w:sz w:val="20"/>
          <w:szCs w:val="20"/>
        </w:rPr>
        <w:t xml:space="preserve"> Saint-Cher (1225-1235)</w:t>
      </w:r>
      <w:r w:rsidRPr="009D7635">
        <w:rPr>
          <w:rFonts w:ascii="Times New Roman" w:hAnsi="Times New Roman" w:cs="Times New Roman"/>
          <w:color w:val="000000" w:themeColor="text1"/>
          <w:sz w:val="20"/>
          <w:szCs w:val="20"/>
        </w:rPr>
        <w:t xml:space="preserve"> (Bologna: </w:t>
      </w:r>
      <w:proofErr w:type="spellStart"/>
      <w:r w:rsidRPr="009D7635">
        <w:rPr>
          <w:rFonts w:ascii="Times New Roman" w:hAnsi="Times New Roman" w:cs="Times New Roman"/>
          <w:color w:val="000000" w:themeColor="text1"/>
          <w:sz w:val="20"/>
          <w:szCs w:val="20"/>
        </w:rPr>
        <w:t>Società</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editrice</w:t>
      </w:r>
      <w:proofErr w:type="spellEnd"/>
      <w:r w:rsidRPr="009D7635">
        <w:rPr>
          <w:rFonts w:ascii="Times New Roman" w:hAnsi="Times New Roman" w:cs="Times New Roman"/>
          <w:color w:val="000000" w:themeColor="text1"/>
          <w:sz w:val="20"/>
          <w:szCs w:val="20"/>
        </w:rPr>
        <w:t xml:space="preserve"> il Mulino), 60. </w:t>
      </w:r>
      <w:proofErr w:type="spellStart"/>
      <w:r w:rsidRPr="009D7635">
        <w:rPr>
          <w:rFonts w:ascii="Times New Roman" w:hAnsi="Times New Roman" w:cs="Times New Roman"/>
          <w:color w:val="000000" w:themeColor="text1"/>
          <w:sz w:val="20"/>
          <w:szCs w:val="20"/>
        </w:rPr>
        <w:t>Irena</w:t>
      </w:r>
      <w:proofErr w:type="spellEnd"/>
      <w:r w:rsidRPr="009D7635">
        <w:rPr>
          <w:rFonts w:ascii="Times New Roman" w:hAnsi="Times New Roman" w:cs="Times New Roman"/>
          <w:color w:val="000000" w:themeColor="text1"/>
          <w:sz w:val="20"/>
          <w:szCs w:val="20"/>
        </w:rPr>
        <w:t xml:space="preserve"> Backus, </w:t>
      </w:r>
      <w:r w:rsidRPr="009D7635">
        <w:rPr>
          <w:rFonts w:ascii="Times New Roman" w:hAnsi="Times New Roman" w:cs="Times New Roman"/>
          <w:iCs/>
          <w:color w:val="000000" w:themeColor="text1"/>
          <w:sz w:val="20"/>
          <w:szCs w:val="20"/>
        </w:rPr>
        <w:t xml:space="preserve">‘John of Damascus, </w:t>
      </w:r>
      <w:r w:rsidRPr="009D7635">
        <w:rPr>
          <w:rFonts w:ascii="Times New Roman" w:hAnsi="Times New Roman" w:cs="Times New Roman"/>
          <w:i/>
          <w:color w:val="000000" w:themeColor="text1"/>
          <w:sz w:val="20"/>
          <w:szCs w:val="20"/>
        </w:rPr>
        <w:t xml:space="preserve">De fide </w:t>
      </w:r>
      <w:proofErr w:type="spellStart"/>
      <w:r w:rsidRPr="009D7635">
        <w:rPr>
          <w:rFonts w:ascii="Times New Roman" w:hAnsi="Times New Roman" w:cs="Times New Roman"/>
          <w:i/>
          <w:color w:val="000000" w:themeColor="text1"/>
          <w:sz w:val="20"/>
          <w:szCs w:val="20"/>
        </w:rPr>
        <w:t>orthodoxa</w:t>
      </w:r>
      <w:proofErr w:type="spellEnd"/>
      <w:r w:rsidRPr="009D7635">
        <w:rPr>
          <w:rFonts w:ascii="Times New Roman" w:hAnsi="Times New Roman" w:cs="Times New Roman"/>
          <w:iCs/>
          <w:color w:val="000000" w:themeColor="text1"/>
          <w:sz w:val="20"/>
          <w:szCs w:val="20"/>
        </w:rPr>
        <w:t xml:space="preserve">: Translations by </w:t>
      </w:r>
      <w:proofErr w:type="spellStart"/>
      <w:r w:rsidRPr="009D7635">
        <w:rPr>
          <w:rFonts w:ascii="Times New Roman" w:hAnsi="Times New Roman" w:cs="Times New Roman"/>
          <w:iCs/>
          <w:color w:val="000000" w:themeColor="text1"/>
          <w:sz w:val="20"/>
          <w:szCs w:val="20"/>
        </w:rPr>
        <w:t>Burgundio</w:t>
      </w:r>
      <w:proofErr w:type="spellEnd"/>
      <w:r w:rsidRPr="009D7635">
        <w:rPr>
          <w:rFonts w:ascii="Times New Roman" w:hAnsi="Times New Roman" w:cs="Times New Roman"/>
          <w:iCs/>
          <w:color w:val="000000" w:themeColor="text1"/>
          <w:sz w:val="20"/>
          <w:szCs w:val="20"/>
        </w:rPr>
        <w:t xml:space="preserve"> (1153/4), </w:t>
      </w:r>
      <w:proofErr w:type="spellStart"/>
      <w:r w:rsidRPr="009D7635">
        <w:rPr>
          <w:rFonts w:ascii="Times New Roman" w:hAnsi="Times New Roman" w:cs="Times New Roman"/>
          <w:iCs/>
          <w:color w:val="000000" w:themeColor="text1"/>
          <w:sz w:val="20"/>
          <w:szCs w:val="20"/>
        </w:rPr>
        <w:t>Grosseteste</w:t>
      </w:r>
      <w:proofErr w:type="spellEnd"/>
      <w:r w:rsidRPr="009D7635">
        <w:rPr>
          <w:rFonts w:ascii="Times New Roman" w:hAnsi="Times New Roman" w:cs="Times New Roman"/>
          <w:iCs/>
          <w:color w:val="000000" w:themeColor="text1"/>
          <w:sz w:val="20"/>
          <w:szCs w:val="20"/>
        </w:rPr>
        <w:t xml:space="preserve"> (1235/40) and Lefèvre </w:t>
      </w:r>
      <w:proofErr w:type="spellStart"/>
      <w:r w:rsidRPr="009D7635">
        <w:rPr>
          <w:rFonts w:ascii="Times New Roman" w:hAnsi="Times New Roman" w:cs="Times New Roman"/>
          <w:iCs/>
          <w:color w:val="000000" w:themeColor="text1"/>
          <w:sz w:val="20"/>
          <w:szCs w:val="20"/>
        </w:rPr>
        <w:t>d’Etaples</w:t>
      </w:r>
      <w:proofErr w:type="spellEnd"/>
      <w:r w:rsidRPr="009D7635">
        <w:rPr>
          <w:rFonts w:ascii="Times New Roman" w:hAnsi="Times New Roman" w:cs="Times New Roman"/>
          <w:iCs/>
          <w:color w:val="000000" w:themeColor="text1"/>
          <w:sz w:val="20"/>
          <w:szCs w:val="20"/>
        </w:rPr>
        <w:t xml:space="preserve"> (1507),’</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in </w:t>
      </w:r>
      <w:r w:rsidRPr="009D7635">
        <w:rPr>
          <w:rFonts w:ascii="Times New Roman" w:hAnsi="Times New Roman" w:cs="Times New Roman"/>
          <w:i/>
          <w:color w:val="000000" w:themeColor="text1"/>
          <w:sz w:val="20"/>
          <w:szCs w:val="20"/>
        </w:rPr>
        <w:t xml:space="preserve">Journal of the Warburg and </w:t>
      </w:r>
      <w:proofErr w:type="spellStart"/>
      <w:r w:rsidRPr="009D7635">
        <w:rPr>
          <w:rFonts w:ascii="Times New Roman" w:hAnsi="Times New Roman" w:cs="Times New Roman"/>
          <w:i/>
          <w:color w:val="000000" w:themeColor="text1"/>
          <w:sz w:val="20"/>
          <w:szCs w:val="20"/>
        </w:rPr>
        <w:t>Courtauld</w:t>
      </w:r>
      <w:proofErr w:type="spellEnd"/>
      <w:r w:rsidRPr="009D7635">
        <w:rPr>
          <w:rFonts w:ascii="Times New Roman" w:hAnsi="Times New Roman" w:cs="Times New Roman"/>
          <w:i/>
          <w:color w:val="000000" w:themeColor="text1"/>
          <w:sz w:val="20"/>
          <w:szCs w:val="20"/>
        </w:rPr>
        <w:t xml:space="preserve"> Institutes </w:t>
      </w:r>
      <w:r w:rsidRPr="009D7635">
        <w:rPr>
          <w:rFonts w:ascii="Times New Roman" w:hAnsi="Times New Roman" w:cs="Times New Roman"/>
          <w:color w:val="000000" w:themeColor="text1"/>
          <w:sz w:val="20"/>
          <w:szCs w:val="20"/>
        </w:rPr>
        <w:t>49 (1986)</w:t>
      </w:r>
      <w:r w:rsidR="00D11A89"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211.</w:t>
      </w:r>
    </w:p>
  </w:footnote>
  <w:footnote w:id="607">
    <w:p w14:paraId="70D107E8" w14:textId="63B4D222" w:rsidR="00B93ED5" w:rsidRPr="009D7635" w:rsidRDefault="00B93ED5" w:rsidP="00E212D3">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On the use of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by Peter Lombard, see</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lang w:val="en-US"/>
        </w:rPr>
        <w:t xml:space="preserve">J. de </w:t>
      </w:r>
      <w:proofErr w:type="spellStart"/>
      <w:r w:rsidRPr="009D7635">
        <w:rPr>
          <w:rFonts w:ascii="Times New Roman" w:hAnsi="Times New Roman" w:cs="Times New Roman"/>
          <w:color w:val="000000" w:themeColor="text1"/>
          <w:lang w:val="en-US"/>
        </w:rPr>
        <w:t>Ghellinck</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i/>
          <w:iCs/>
          <w:color w:val="000000" w:themeColor="text1"/>
          <w:lang w:val="en-US"/>
        </w:rPr>
        <w:t xml:space="preserve">Le </w:t>
      </w:r>
      <w:proofErr w:type="spellStart"/>
      <w:r w:rsidRPr="009D7635">
        <w:rPr>
          <w:rFonts w:ascii="Times New Roman" w:hAnsi="Times New Roman" w:cs="Times New Roman"/>
          <w:i/>
          <w:iCs/>
          <w:color w:val="000000" w:themeColor="text1"/>
          <w:lang w:val="en-US"/>
        </w:rPr>
        <w:t>Mouvement</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théologique</w:t>
      </w:r>
      <w:proofErr w:type="spellEnd"/>
      <w:r w:rsidRPr="009D7635">
        <w:rPr>
          <w:rFonts w:ascii="Times New Roman" w:hAnsi="Times New Roman" w:cs="Times New Roman"/>
          <w:i/>
          <w:iCs/>
          <w:color w:val="000000" w:themeColor="text1"/>
          <w:lang w:val="en-US"/>
        </w:rPr>
        <w:t xml:space="preserve"> du XIIe siècle</w:t>
      </w:r>
      <w:r w:rsidR="00D11A89" w:rsidRPr="009D7635">
        <w:rPr>
          <w:rFonts w:ascii="Times New Roman" w:hAnsi="Times New Roman" w:cs="Times New Roman"/>
          <w:i/>
          <w:iCs/>
          <w:color w:val="000000" w:themeColor="text1"/>
          <w:lang w:val="en-US"/>
        </w:rPr>
        <w:t>:</w:t>
      </w:r>
      <w:r w:rsidRPr="009D7635">
        <w:rPr>
          <w:rFonts w:ascii="Times New Roman" w:hAnsi="Times New Roman" w:cs="Times New Roman"/>
          <w:i/>
          <w:iCs/>
          <w:color w:val="000000" w:themeColor="text1"/>
          <w:lang w:val="en-US"/>
        </w:rPr>
        <w:t xml:space="preserve"> Sa </w:t>
      </w:r>
      <w:proofErr w:type="spellStart"/>
      <w:r w:rsidRPr="009D7635">
        <w:rPr>
          <w:rFonts w:ascii="Times New Roman" w:hAnsi="Times New Roman" w:cs="Times New Roman"/>
          <w:i/>
          <w:iCs/>
          <w:color w:val="000000" w:themeColor="text1"/>
          <w:lang w:val="en-US"/>
        </w:rPr>
        <w:t>préparation</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lointaine</w:t>
      </w:r>
      <w:proofErr w:type="spellEnd"/>
      <w:r w:rsidRPr="009D7635">
        <w:rPr>
          <w:rFonts w:ascii="Times New Roman" w:hAnsi="Times New Roman" w:cs="Times New Roman"/>
          <w:i/>
          <w:iCs/>
          <w:color w:val="000000" w:themeColor="text1"/>
          <w:lang w:val="en-US"/>
        </w:rPr>
        <w:t xml:space="preserve"> avant et </w:t>
      </w:r>
      <w:proofErr w:type="spellStart"/>
      <w:r w:rsidRPr="009D7635">
        <w:rPr>
          <w:rFonts w:ascii="Times New Roman" w:hAnsi="Times New Roman" w:cs="Times New Roman"/>
          <w:i/>
          <w:iCs/>
          <w:color w:val="000000" w:themeColor="text1"/>
          <w:lang w:val="en-US"/>
        </w:rPr>
        <w:t>autour</w:t>
      </w:r>
      <w:proofErr w:type="spellEnd"/>
      <w:r w:rsidRPr="009D7635">
        <w:rPr>
          <w:rFonts w:ascii="Times New Roman" w:hAnsi="Times New Roman" w:cs="Times New Roman"/>
          <w:i/>
          <w:iCs/>
          <w:color w:val="000000" w:themeColor="text1"/>
          <w:lang w:val="en-US"/>
        </w:rPr>
        <w:t xml:space="preserve"> de Pierre Lombard, </w:t>
      </w:r>
      <w:proofErr w:type="spellStart"/>
      <w:r w:rsidRPr="009D7635">
        <w:rPr>
          <w:rFonts w:ascii="Times New Roman" w:hAnsi="Times New Roman" w:cs="Times New Roman"/>
          <w:i/>
          <w:iCs/>
          <w:color w:val="000000" w:themeColor="text1"/>
          <w:lang w:val="en-US"/>
        </w:rPr>
        <w:t>ses</w:t>
      </w:r>
      <w:proofErr w:type="spellEnd"/>
      <w:r w:rsidRPr="009D7635">
        <w:rPr>
          <w:rFonts w:ascii="Times New Roman" w:hAnsi="Times New Roman" w:cs="Times New Roman"/>
          <w:i/>
          <w:iCs/>
          <w:color w:val="000000" w:themeColor="text1"/>
          <w:lang w:val="en-US"/>
        </w:rPr>
        <w:t xml:space="preserve"> rapports </w:t>
      </w:r>
      <w:proofErr w:type="spellStart"/>
      <w:r w:rsidRPr="009D7635">
        <w:rPr>
          <w:rFonts w:ascii="Times New Roman" w:hAnsi="Times New Roman" w:cs="Times New Roman"/>
          <w:i/>
          <w:iCs/>
          <w:color w:val="000000" w:themeColor="text1"/>
          <w:lang w:val="en-US"/>
        </w:rPr>
        <w:t>avec</w:t>
      </w:r>
      <w:proofErr w:type="spellEnd"/>
      <w:r w:rsidRPr="009D7635">
        <w:rPr>
          <w:rFonts w:ascii="Times New Roman" w:hAnsi="Times New Roman" w:cs="Times New Roman"/>
          <w:i/>
          <w:iCs/>
          <w:color w:val="000000" w:themeColor="text1"/>
          <w:lang w:val="en-US"/>
        </w:rPr>
        <w:t xml:space="preserve"> les initiatives des </w:t>
      </w:r>
      <w:proofErr w:type="spellStart"/>
      <w:r w:rsidRPr="009D7635">
        <w:rPr>
          <w:rFonts w:ascii="Times New Roman" w:hAnsi="Times New Roman" w:cs="Times New Roman"/>
          <w:i/>
          <w:iCs/>
          <w:color w:val="000000" w:themeColor="text1"/>
          <w:lang w:val="en-US"/>
        </w:rPr>
        <w:t>canonistes</w:t>
      </w:r>
      <w:proofErr w:type="spellEnd"/>
      <w:r w:rsidR="00D11A89" w:rsidRPr="009D7635">
        <w:rPr>
          <w:rFonts w:ascii="Times New Roman" w:hAnsi="Times New Roman" w:cs="Times New Roman"/>
          <w:i/>
          <w:iCs/>
          <w:color w:val="000000" w:themeColor="text1"/>
          <w:lang w:val="en-US"/>
        </w:rPr>
        <w:t>:</w:t>
      </w:r>
      <w:r w:rsidRPr="009D7635">
        <w:rPr>
          <w:rFonts w:ascii="Times New Roman" w:hAnsi="Times New Roman" w:cs="Times New Roman"/>
          <w:i/>
          <w:iCs/>
          <w:color w:val="000000" w:themeColor="text1"/>
          <w:lang w:val="en-US"/>
        </w:rPr>
        <w:t xml:space="preserve"> Études, </w:t>
      </w:r>
      <w:proofErr w:type="spellStart"/>
      <w:r w:rsidRPr="009D7635">
        <w:rPr>
          <w:rFonts w:ascii="Times New Roman" w:hAnsi="Times New Roman" w:cs="Times New Roman"/>
          <w:i/>
          <w:iCs/>
          <w:color w:val="000000" w:themeColor="text1"/>
          <w:lang w:val="en-US"/>
        </w:rPr>
        <w:t>recherches</w:t>
      </w:r>
      <w:proofErr w:type="spellEnd"/>
      <w:r w:rsidRPr="009D7635">
        <w:rPr>
          <w:rFonts w:ascii="Times New Roman" w:hAnsi="Times New Roman" w:cs="Times New Roman"/>
          <w:i/>
          <w:iCs/>
          <w:color w:val="000000" w:themeColor="text1"/>
          <w:lang w:val="en-US"/>
        </w:rPr>
        <w:t xml:space="preserve"> et documents</w:t>
      </w:r>
      <w:r w:rsidRPr="009D7635">
        <w:rPr>
          <w:rFonts w:ascii="Times New Roman" w:hAnsi="Times New Roman" w:cs="Times New Roman"/>
          <w:color w:val="000000" w:themeColor="text1"/>
          <w:lang w:val="en-US"/>
        </w:rPr>
        <w:t xml:space="preserve"> (Bruges, Éditions De Temple, 1948), 374-415. E. </w:t>
      </w:r>
      <w:proofErr w:type="spellStart"/>
      <w:r w:rsidRPr="009D7635">
        <w:rPr>
          <w:rFonts w:ascii="Times New Roman" w:hAnsi="Times New Roman" w:cs="Times New Roman"/>
          <w:color w:val="000000" w:themeColor="text1"/>
          <w:lang w:val="en-US"/>
        </w:rPr>
        <w:t>Bertola</w:t>
      </w:r>
      <w:proofErr w:type="spellEnd"/>
      <w:r w:rsidRPr="009D7635">
        <w:rPr>
          <w:rFonts w:ascii="Times New Roman" w:hAnsi="Times New Roman" w:cs="Times New Roman"/>
          <w:color w:val="000000" w:themeColor="text1"/>
          <w:lang w:val="en-US"/>
        </w:rPr>
        <w:t>, ‘</w:t>
      </w:r>
      <w:r w:rsidRPr="009D7635">
        <w:rPr>
          <w:rFonts w:ascii="Times New Roman" w:hAnsi="Times New Roman" w:cs="Times New Roman"/>
          <w:iCs/>
          <w:color w:val="000000" w:themeColor="text1"/>
          <w:lang w:val="en-US"/>
        </w:rPr>
        <w:t xml:space="preserve">Le </w:t>
      </w:r>
      <w:proofErr w:type="spellStart"/>
      <w:r w:rsidRPr="009D7635">
        <w:rPr>
          <w:rFonts w:ascii="Times New Roman" w:hAnsi="Times New Roman" w:cs="Times New Roman"/>
          <w:iCs/>
          <w:color w:val="000000" w:themeColor="text1"/>
          <w:lang w:val="en-US"/>
        </w:rPr>
        <w:t>citazioni</w:t>
      </w:r>
      <w:proofErr w:type="spellEnd"/>
      <w:r w:rsidRPr="009D7635">
        <w:rPr>
          <w:rFonts w:ascii="Times New Roman" w:hAnsi="Times New Roman" w:cs="Times New Roman"/>
          <w:iCs/>
          <w:color w:val="000000" w:themeColor="text1"/>
          <w:lang w:val="en-US"/>
        </w:rPr>
        <w:t xml:space="preserve"> </w:t>
      </w:r>
      <w:proofErr w:type="spellStart"/>
      <w:r w:rsidRPr="009D7635">
        <w:rPr>
          <w:rFonts w:ascii="Times New Roman" w:hAnsi="Times New Roman" w:cs="Times New Roman"/>
          <w:iCs/>
          <w:color w:val="000000" w:themeColor="text1"/>
          <w:lang w:val="en-US"/>
        </w:rPr>
        <w:t>di</w:t>
      </w:r>
      <w:proofErr w:type="spellEnd"/>
      <w:r w:rsidRPr="009D7635">
        <w:rPr>
          <w:rFonts w:ascii="Times New Roman" w:hAnsi="Times New Roman" w:cs="Times New Roman"/>
          <w:iCs/>
          <w:color w:val="000000" w:themeColor="text1"/>
          <w:lang w:val="en-US"/>
        </w:rPr>
        <w:t xml:space="preserve"> Giovanni </w:t>
      </w:r>
      <w:proofErr w:type="spellStart"/>
      <w:r w:rsidRPr="009D7635">
        <w:rPr>
          <w:rFonts w:ascii="Times New Roman" w:hAnsi="Times New Roman" w:cs="Times New Roman"/>
          <w:iCs/>
          <w:color w:val="000000" w:themeColor="text1"/>
          <w:lang w:val="en-US"/>
        </w:rPr>
        <w:t>Damasceno</w:t>
      </w:r>
      <w:proofErr w:type="spellEnd"/>
      <w:r w:rsidRPr="009D7635">
        <w:rPr>
          <w:rFonts w:ascii="Times New Roman" w:hAnsi="Times New Roman" w:cs="Times New Roman"/>
          <w:iCs/>
          <w:color w:val="000000" w:themeColor="text1"/>
          <w:lang w:val="en-US"/>
        </w:rPr>
        <w:t xml:space="preserve"> </w:t>
      </w:r>
      <w:proofErr w:type="spellStart"/>
      <w:r w:rsidRPr="009D7635">
        <w:rPr>
          <w:rFonts w:ascii="Times New Roman" w:hAnsi="Times New Roman" w:cs="Times New Roman"/>
          <w:iCs/>
          <w:color w:val="000000" w:themeColor="text1"/>
          <w:lang w:val="en-US"/>
        </w:rPr>
        <w:t>nel</w:t>
      </w:r>
      <w:proofErr w:type="spellEnd"/>
      <w:r w:rsidRPr="009D7635">
        <w:rPr>
          <w:rFonts w:ascii="Times New Roman" w:hAnsi="Times New Roman" w:cs="Times New Roman"/>
          <w:iCs/>
          <w:color w:val="000000" w:themeColor="text1"/>
          <w:lang w:val="en-US"/>
        </w:rPr>
        <w:t xml:space="preserve"> primo </w:t>
      </w:r>
      <w:proofErr w:type="spellStart"/>
      <w:r w:rsidRPr="009D7635">
        <w:rPr>
          <w:rFonts w:ascii="Times New Roman" w:hAnsi="Times New Roman" w:cs="Times New Roman"/>
          <w:iCs/>
          <w:color w:val="000000" w:themeColor="text1"/>
          <w:lang w:val="en-US"/>
        </w:rPr>
        <w:t>libro</w:t>
      </w:r>
      <w:proofErr w:type="spellEnd"/>
      <w:r w:rsidRPr="009D7635">
        <w:rPr>
          <w:rFonts w:ascii="Times New Roman" w:hAnsi="Times New Roman" w:cs="Times New Roman"/>
          <w:iCs/>
          <w:color w:val="000000" w:themeColor="text1"/>
          <w:lang w:val="en-US"/>
        </w:rPr>
        <w:t xml:space="preserve"> </w:t>
      </w:r>
      <w:proofErr w:type="spellStart"/>
      <w:r w:rsidRPr="009D7635">
        <w:rPr>
          <w:rFonts w:ascii="Times New Roman" w:hAnsi="Times New Roman" w:cs="Times New Roman"/>
          <w:iCs/>
          <w:color w:val="000000" w:themeColor="text1"/>
          <w:lang w:val="en-US"/>
        </w:rPr>
        <w:t>delle</w:t>
      </w:r>
      <w:proofErr w:type="spellEnd"/>
      <w:r w:rsidRPr="009D7635">
        <w:rPr>
          <w:rFonts w:ascii="Times New Roman" w:hAnsi="Times New Roman" w:cs="Times New Roman"/>
          <w:iCs/>
          <w:color w:val="000000" w:themeColor="text1"/>
          <w:lang w:val="en-US"/>
        </w:rPr>
        <w:t xml:space="preserve"> </w:t>
      </w:r>
      <w:proofErr w:type="spellStart"/>
      <w:r w:rsidRPr="009D7635">
        <w:rPr>
          <w:rFonts w:ascii="Times New Roman" w:hAnsi="Times New Roman" w:cs="Times New Roman"/>
          <w:iCs/>
          <w:color w:val="000000" w:themeColor="text1"/>
          <w:lang w:val="en-US"/>
        </w:rPr>
        <w:t>Sentenze</w:t>
      </w:r>
      <w:proofErr w:type="spellEnd"/>
      <w:r w:rsidRPr="009D7635">
        <w:rPr>
          <w:rFonts w:ascii="Times New Roman" w:hAnsi="Times New Roman" w:cs="Times New Roman"/>
          <w:iCs/>
          <w:color w:val="000000" w:themeColor="text1"/>
          <w:lang w:val="en-US"/>
        </w:rPr>
        <w:t xml:space="preserve"> </w:t>
      </w:r>
      <w:proofErr w:type="spellStart"/>
      <w:r w:rsidRPr="009D7635">
        <w:rPr>
          <w:rFonts w:ascii="Times New Roman" w:hAnsi="Times New Roman" w:cs="Times New Roman"/>
          <w:iCs/>
          <w:color w:val="000000" w:themeColor="text1"/>
          <w:lang w:val="en-US"/>
        </w:rPr>
        <w:t>lombardiane</w:t>
      </w:r>
      <w:proofErr w:type="spellEnd"/>
      <w:r w:rsidRPr="009D7635">
        <w:rPr>
          <w:rFonts w:ascii="Times New Roman" w:hAnsi="Times New Roman" w:cs="Times New Roman"/>
          <w:color w:val="000000" w:themeColor="text1"/>
          <w:lang w:val="en-US"/>
        </w:rPr>
        <w:t xml:space="preserve">,’ in </w:t>
      </w:r>
      <w:r w:rsidRPr="009D7635">
        <w:rPr>
          <w:rFonts w:ascii="Times New Roman" w:hAnsi="Times New Roman" w:cs="Times New Roman"/>
          <w:i/>
          <w:color w:val="000000" w:themeColor="text1"/>
          <w:lang w:val="en-US"/>
        </w:rPr>
        <w:t>Pier Lombardo</w:t>
      </w:r>
      <w:r w:rsidRPr="009D7635">
        <w:rPr>
          <w:rFonts w:ascii="Times New Roman" w:hAnsi="Times New Roman" w:cs="Times New Roman"/>
          <w:color w:val="000000" w:themeColor="text1"/>
          <w:lang w:val="en-US"/>
        </w:rPr>
        <w:t xml:space="preserve"> 1 (1957)</w:t>
      </w:r>
      <w:r w:rsidR="00D11A89" w:rsidRPr="009D7635">
        <w:rPr>
          <w:rFonts w:ascii="Times New Roman" w:hAnsi="Times New Roman" w:cs="Times New Roman"/>
          <w:color w:val="000000" w:themeColor="text1"/>
          <w:lang w:val="en-US"/>
        </w:rPr>
        <w:t>:</w:t>
      </w:r>
      <w:r w:rsidRPr="009D7635">
        <w:rPr>
          <w:rFonts w:ascii="Times New Roman" w:hAnsi="Times New Roman" w:cs="Times New Roman"/>
          <w:color w:val="000000" w:themeColor="text1"/>
          <w:lang w:val="en-US"/>
        </w:rPr>
        <w:t xml:space="preserve"> 2-17.</w:t>
      </w:r>
    </w:p>
  </w:footnote>
  <w:footnote w:id="608">
    <w:p w14:paraId="1E29326A"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Riccardo Saccenti, </w:t>
      </w:r>
      <w:proofErr w:type="spellStart"/>
      <w:r w:rsidRPr="009D7635">
        <w:rPr>
          <w:rFonts w:ascii="Times New Roman" w:hAnsi="Times New Roman" w:cs="Times New Roman"/>
          <w:i/>
          <w:color w:val="000000" w:themeColor="text1"/>
        </w:rPr>
        <w:t>Conservare</w:t>
      </w:r>
      <w:proofErr w:type="spellEnd"/>
      <w:r w:rsidRPr="009D7635">
        <w:rPr>
          <w:rFonts w:ascii="Times New Roman" w:hAnsi="Times New Roman" w:cs="Times New Roman"/>
          <w:i/>
          <w:color w:val="000000" w:themeColor="text1"/>
        </w:rPr>
        <w:t xml:space="preserve"> la </w:t>
      </w:r>
      <w:proofErr w:type="spellStart"/>
      <w:r w:rsidRPr="009D7635">
        <w:rPr>
          <w:rFonts w:ascii="Times New Roman" w:hAnsi="Times New Roman" w:cs="Times New Roman"/>
          <w:i/>
          <w:color w:val="000000" w:themeColor="text1"/>
        </w:rPr>
        <w:t>retta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volontà</w:t>
      </w:r>
      <w:proofErr w:type="spellEnd"/>
      <w:r w:rsidRPr="009D7635">
        <w:rPr>
          <w:rFonts w:ascii="Times New Roman" w:hAnsi="Times New Roman" w:cs="Times New Roman"/>
          <w:color w:val="000000" w:themeColor="text1"/>
        </w:rPr>
        <w:t>, 55.</w:t>
      </w:r>
    </w:p>
  </w:footnote>
  <w:footnote w:id="609">
    <w:p w14:paraId="2D7FCBF9" w14:textId="77777777" w:rsidR="00B93ED5" w:rsidRPr="009D7635" w:rsidRDefault="00B93ED5" w:rsidP="00E212D3">
      <w:pPr>
        <w:autoSpaceDE w:val="0"/>
        <w:autoSpaceDN w:val="0"/>
        <w:adjustRightInd w:val="0"/>
        <w:ind w:right="-72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Eligius</w:t>
      </w:r>
      <w:proofErr w:type="spellEnd"/>
      <w:r w:rsidRPr="009D7635">
        <w:rPr>
          <w:rFonts w:ascii="Times New Roman" w:hAnsi="Times New Roman" w:cs="Times New Roman"/>
          <w:color w:val="000000" w:themeColor="text1"/>
          <w:sz w:val="20"/>
          <w:szCs w:val="20"/>
        </w:rPr>
        <w:t xml:space="preserve"> M. </w:t>
      </w:r>
      <w:proofErr w:type="spellStart"/>
      <w:r w:rsidRPr="009D7635">
        <w:rPr>
          <w:rFonts w:ascii="Times New Roman" w:hAnsi="Times New Roman" w:cs="Times New Roman"/>
          <w:color w:val="000000" w:themeColor="text1"/>
          <w:sz w:val="20"/>
          <w:szCs w:val="20"/>
        </w:rPr>
        <w:t>Buytaert</w:t>
      </w:r>
      <w:proofErr w:type="spellEnd"/>
      <w:r w:rsidRPr="009D7635">
        <w:rPr>
          <w:rFonts w:ascii="Times New Roman" w:hAnsi="Times New Roman" w:cs="Times New Roman"/>
          <w:color w:val="000000" w:themeColor="text1"/>
          <w:sz w:val="20"/>
          <w:szCs w:val="20"/>
        </w:rPr>
        <w:t xml:space="preserve"> attributes the partitioning of the text to Philip the Chancellor. See his ‘Introduction,’ in </w:t>
      </w:r>
      <w:r w:rsidRPr="009D7635">
        <w:rPr>
          <w:rFonts w:ascii="Times New Roman" w:hAnsi="Times New Roman" w:cs="Times New Roman"/>
          <w:i/>
          <w:color w:val="000000" w:themeColor="text1"/>
          <w:sz w:val="20"/>
          <w:szCs w:val="20"/>
        </w:rPr>
        <w:t xml:space="preserve">De Fide </w:t>
      </w:r>
      <w:proofErr w:type="spellStart"/>
      <w:r w:rsidRPr="009D7635">
        <w:rPr>
          <w:rFonts w:ascii="Times New Roman" w:hAnsi="Times New Roman" w:cs="Times New Roman"/>
          <w:i/>
          <w:color w:val="000000" w:themeColor="text1"/>
          <w:sz w:val="20"/>
          <w:szCs w:val="20"/>
        </w:rPr>
        <w:t>Orthodoxa</w:t>
      </w:r>
      <w:proofErr w:type="spellEnd"/>
      <w:r w:rsidRPr="009D7635">
        <w:rPr>
          <w:rFonts w:ascii="Times New Roman" w:hAnsi="Times New Roman" w:cs="Times New Roman"/>
          <w:i/>
          <w:color w:val="000000" w:themeColor="text1"/>
          <w:sz w:val="20"/>
          <w:szCs w:val="20"/>
        </w:rPr>
        <w:t xml:space="preserve">: Versions of </w:t>
      </w:r>
      <w:proofErr w:type="spellStart"/>
      <w:r w:rsidRPr="009D7635">
        <w:rPr>
          <w:rFonts w:ascii="Times New Roman" w:hAnsi="Times New Roman" w:cs="Times New Roman"/>
          <w:i/>
          <w:color w:val="000000" w:themeColor="text1"/>
          <w:sz w:val="20"/>
          <w:szCs w:val="20"/>
        </w:rPr>
        <w:t>Burgundio</w:t>
      </w:r>
      <w:proofErr w:type="spellEnd"/>
      <w:r w:rsidRPr="009D7635">
        <w:rPr>
          <w:rFonts w:ascii="Times New Roman" w:hAnsi="Times New Roman" w:cs="Times New Roman"/>
          <w:i/>
          <w:color w:val="000000" w:themeColor="text1"/>
          <w:sz w:val="20"/>
          <w:szCs w:val="20"/>
        </w:rPr>
        <w:t xml:space="preserve"> and </w:t>
      </w:r>
      <w:proofErr w:type="spellStart"/>
      <w:r w:rsidRPr="009D7635">
        <w:rPr>
          <w:rFonts w:ascii="Times New Roman" w:hAnsi="Times New Roman" w:cs="Times New Roman"/>
          <w:i/>
          <w:color w:val="000000" w:themeColor="text1"/>
          <w:sz w:val="20"/>
          <w:szCs w:val="20"/>
        </w:rPr>
        <w:t>Cerbanus</w:t>
      </w:r>
      <w:proofErr w:type="spellEnd"/>
      <w:r w:rsidRPr="009D7635">
        <w:rPr>
          <w:rFonts w:ascii="Times New Roman" w:hAnsi="Times New Roman" w:cs="Times New Roman"/>
          <w:color w:val="000000" w:themeColor="text1"/>
          <w:sz w:val="20"/>
          <w:szCs w:val="20"/>
        </w:rPr>
        <w:t xml:space="preserve">, XXI. The study of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concerning the influence of the psychology of the human action of the Damascene on the theology of the thirteenth century shows in fact that Philip is the first author to make extensive use of the contents of the </w:t>
      </w:r>
      <w:r w:rsidRPr="009D7635">
        <w:rPr>
          <w:rFonts w:ascii="Times New Roman" w:hAnsi="Times New Roman" w:cs="Times New Roman"/>
          <w:i/>
          <w:color w:val="000000" w:themeColor="text1"/>
          <w:sz w:val="20"/>
          <w:szCs w:val="20"/>
        </w:rPr>
        <w:t xml:space="preserve">De fide </w:t>
      </w:r>
      <w:proofErr w:type="spellStart"/>
      <w:r w:rsidRPr="009D7635">
        <w:rPr>
          <w:rFonts w:ascii="Times New Roman" w:hAnsi="Times New Roman" w:cs="Times New Roman"/>
          <w:i/>
          <w:color w:val="000000" w:themeColor="text1"/>
          <w:sz w:val="20"/>
          <w:szCs w:val="20"/>
        </w:rPr>
        <w:t>orthodoxa</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See his section on ‘La </w:t>
      </w:r>
      <w:proofErr w:type="spellStart"/>
      <w:r w:rsidRPr="009D7635">
        <w:rPr>
          <w:rFonts w:ascii="Times New Roman" w:hAnsi="Times New Roman" w:cs="Times New Roman"/>
          <w:color w:val="000000" w:themeColor="text1"/>
          <w:sz w:val="20"/>
          <w:szCs w:val="20"/>
        </w:rPr>
        <w:t>psychologie</w:t>
      </w:r>
      <w:proofErr w:type="spellEnd"/>
      <w:r w:rsidRPr="009D7635">
        <w:rPr>
          <w:rFonts w:ascii="Times New Roman" w:hAnsi="Times New Roman" w:cs="Times New Roman"/>
          <w:color w:val="000000" w:themeColor="text1"/>
          <w:sz w:val="20"/>
          <w:szCs w:val="20"/>
        </w:rPr>
        <w:t xml:space="preserve"> de </w:t>
      </w:r>
      <w:proofErr w:type="spellStart"/>
      <w:r w:rsidRPr="009D7635">
        <w:rPr>
          <w:rFonts w:ascii="Times New Roman" w:hAnsi="Times New Roman" w:cs="Times New Roman"/>
          <w:color w:val="000000" w:themeColor="text1"/>
          <w:sz w:val="20"/>
          <w:szCs w:val="20"/>
        </w:rPr>
        <w:t>l’acte</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humain</w:t>
      </w:r>
      <w:proofErr w:type="spellEnd"/>
      <w:r w:rsidRPr="009D7635">
        <w:rPr>
          <w:rFonts w:ascii="Times New Roman" w:hAnsi="Times New Roman" w:cs="Times New Roman"/>
          <w:color w:val="000000" w:themeColor="text1"/>
          <w:sz w:val="20"/>
          <w:szCs w:val="20"/>
        </w:rPr>
        <w:t xml:space="preserve"> chez Saint Jean Damascene et les </w:t>
      </w:r>
      <w:proofErr w:type="spellStart"/>
      <w:r w:rsidRPr="009D7635">
        <w:rPr>
          <w:rFonts w:ascii="Times New Roman" w:hAnsi="Times New Roman" w:cs="Times New Roman"/>
          <w:color w:val="000000" w:themeColor="text1"/>
          <w:sz w:val="20"/>
          <w:szCs w:val="20"/>
        </w:rPr>
        <w:t>théolgiens</w:t>
      </w:r>
      <w:proofErr w:type="spellEnd"/>
      <w:r w:rsidRPr="009D7635">
        <w:rPr>
          <w:rFonts w:ascii="Times New Roman" w:hAnsi="Times New Roman" w:cs="Times New Roman"/>
          <w:color w:val="000000" w:themeColor="text1"/>
          <w:sz w:val="20"/>
          <w:szCs w:val="20"/>
        </w:rPr>
        <w:t xml:space="preserve"> du XIII siècle occidental,’ in </w:t>
      </w:r>
      <w:proofErr w:type="spellStart"/>
      <w:r w:rsidRPr="009D7635">
        <w:rPr>
          <w:rFonts w:ascii="Times New Roman" w:hAnsi="Times New Roman" w:cs="Times New Roman"/>
          <w:i/>
          <w:color w:val="000000" w:themeColor="text1"/>
          <w:sz w:val="20"/>
          <w:szCs w:val="20"/>
        </w:rPr>
        <w:t>Psychologie</w:t>
      </w:r>
      <w:proofErr w:type="spellEnd"/>
      <w:r w:rsidRPr="009D7635">
        <w:rPr>
          <w:rFonts w:ascii="Times New Roman" w:hAnsi="Times New Roman" w:cs="Times New Roman"/>
          <w:i/>
          <w:color w:val="000000" w:themeColor="text1"/>
          <w:sz w:val="20"/>
          <w:szCs w:val="20"/>
        </w:rPr>
        <w:t xml:space="preserve"> et morale, </w:t>
      </w:r>
      <w:r w:rsidRPr="009D7635">
        <w:rPr>
          <w:rFonts w:ascii="Times New Roman" w:hAnsi="Times New Roman" w:cs="Times New Roman"/>
          <w:color w:val="000000" w:themeColor="text1"/>
          <w:sz w:val="20"/>
          <w:szCs w:val="20"/>
        </w:rPr>
        <w:t xml:space="preserve">vol. 1, </w:t>
      </w:r>
      <w:r w:rsidRPr="009D7635">
        <w:rPr>
          <w:rStyle w:val="A9"/>
          <w:rFonts w:ascii="Times New Roman" w:hAnsi="Times New Roman" w:cs="Times New Roman"/>
          <w:color w:val="000000" w:themeColor="text1"/>
          <w:sz w:val="20"/>
          <w:szCs w:val="20"/>
        </w:rPr>
        <w:t>400-1, 405-10.</w:t>
      </w:r>
    </w:p>
  </w:footnote>
  <w:footnote w:id="610">
    <w:p w14:paraId="1AC0E387"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Eligius</w:t>
      </w:r>
      <w:proofErr w:type="spellEnd"/>
      <w:r w:rsidRPr="009D7635">
        <w:rPr>
          <w:rFonts w:ascii="Times New Roman" w:hAnsi="Times New Roman" w:cs="Times New Roman"/>
          <w:color w:val="000000" w:themeColor="text1"/>
        </w:rPr>
        <w:t xml:space="preserve"> M. </w:t>
      </w:r>
      <w:proofErr w:type="spellStart"/>
      <w:r w:rsidRPr="009D7635">
        <w:rPr>
          <w:rFonts w:ascii="Times New Roman" w:hAnsi="Times New Roman" w:cs="Times New Roman"/>
          <w:color w:val="000000" w:themeColor="text1"/>
        </w:rPr>
        <w:t>Buytaert</w:t>
      </w:r>
      <w:proofErr w:type="spellEnd"/>
      <w:r w:rsidRPr="009D7635">
        <w:rPr>
          <w:rFonts w:ascii="Times New Roman" w:hAnsi="Times New Roman" w:cs="Times New Roman"/>
          <w:color w:val="000000" w:themeColor="text1"/>
        </w:rPr>
        <w:t xml:space="preserve">, ‘Introduction, in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
          <w:color w:val="000000" w:themeColor="text1"/>
        </w:rPr>
        <w:t xml:space="preserve">: Versions of </w:t>
      </w:r>
      <w:proofErr w:type="spellStart"/>
      <w:r w:rsidRPr="009D7635">
        <w:rPr>
          <w:rFonts w:ascii="Times New Roman" w:hAnsi="Times New Roman" w:cs="Times New Roman"/>
          <w:i/>
          <w:color w:val="000000" w:themeColor="text1"/>
        </w:rPr>
        <w:t>Burgundio</w:t>
      </w:r>
      <w:proofErr w:type="spellEnd"/>
      <w:r w:rsidRPr="009D7635">
        <w:rPr>
          <w:rFonts w:ascii="Times New Roman" w:hAnsi="Times New Roman" w:cs="Times New Roman"/>
          <w:i/>
          <w:color w:val="000000" w:themeColor="text1"/>
        </w:rPr>
        <w:t xml:space="preserve"> and </w:t>
      </w:r>
      <w:proofErr w:type="spellStart"/>
      <w:r w:rsidRPr="009D7635">
        <w:rPr>
          <w:rFonts w:ascii="Times New Roman" w:hAnsi="Times New Roman" w:cs="Times New Roman"/>
          <w:i/>
          <w:color w:val="000000" w:themeColor="text1"/>
        </w:rPr>
        <w:t>Cerbanus</w:t>
      </w:r>
      <w:proofErr w:type="spellEnd"/>
      <w:r w:rsidRPr="009D7635">
        <w:rPr>
          <w:rFonts w:ascii="Times New Roman" w:hAnsi="Times New Roman" w:cs="Times New Roman"/>
          <w:color w:val="000000" w:themeColor="text1"/>
        </w:rPr>
        <w:t xml:space="preserve">, XXXV-XXXVI: ‘The oldest code that certifies the version of </w:t>
      </w:r>
      <w:proofErr w:type="spellStart"/>
      <w:r w:rsidRPr="009D7635">
        <w:rPr>
          <w:rFonts w:ascii="Times New Roman" w:hAnsi="Times New Roman" w:cs="Times New Roman"/>
          <w:color w:val="000000" w:themeColor="text1"/>
        </w:rPr>
        <w:t>Burgundio</w:t>
      </w:r>
      <w:proofErr w:type="spellEnd"/>
      <w:r w:rsidRPr="009D7635">
        <w:rPr>
          <w:rFonts w:ascii="Times New Roman" w:hAnsi="Times New Roman" w:cs="Times New Roman"/>
          <w:color w:val="000000" w:themeColor="text1"/>
        </w:rPr>
        <w:t xml:space="preserve">, the </w:t>
      </w:r>
      <w:proofErr w:type="spellStart"/>
      <w:r w:rsidRPr="009D7635">
        <w:rPr>
          <w:rFonts w:ascii="Times New Roman" w:hAnsi="Times New Roman" w:cs="Times New Roman"/>
          <w:color w:val="000000" w:themeColor="text1"/>
        </w:rPr>
        <w:t>Vaticanus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latinus</w:t>
      </w:r>
      <w:proofErr w:type="spellEnd"/>
      <w:r w:rsidRPr="009D7635">
        <w:rPr>
          <w:rFonts w:ascii="Times New Roman" w:hAnsi="Times New Roman" w:cs="Times New Roman"/>
          <w:color w:val="000000" w:themeColor="text1"/>
        </w:rPr>
        <w:t xml:space="preserve"> 313 (late 12th century), does not present the division into four books but only the partition of the text into 100 chapters, according to the original </w:t>
      </w:r>
      <w:proofErr w:type="spellStart"/>
      <w:r w:rsidRPr="009D7635">
        <w:rPr>
          <w:rFonts w:ascii="Times New Roman" w:hAnsi="Times New Roman" w:cs="Times New Roman"/>
          <w:color w:val="000000" w:themeColor="text1"/>
        </w:rPr>
        <w:t>organization</w:t>
      </w:r>
      <w:proofErr w:type="spellEnd"/>
      <w:r w:rsidRPr="009D7635">
        <w:rPr>
          <w:rFonts w:ascii="Times New Roman" w:hAnsi="Times New Roman" w:cs="Times New Roman"/>
          <w:color w:val="000000" w:themeColor="text1"/>
        </w:rPr>
        <w:t xml:space="preserve"> given to the work by Damascene.’</w:t>
      </w:r>
    </w:p>
  </w:footnote>
  <w:footnote w:id="611">
    <w:p w14:paraId="74E5843D"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 vol</w:t>
      </w:r>
      <w:r w:rsidRPr="009D7635">
        <w:rPr>
          <w:rFonts w:ascii="Times New Roman" w:hAnsi="Times New Roman" w:cs="Times New Roman"/>
          <w:color w:val="000000" w:themeColor="text1"/>
        </w:rPr>
        <w:t xml:space="preserve">. 1, </w:t>
      </w:r>
      <w:r w:rsidRPr="009D7635">
        <w:rPr>
          <w:rFonts w:ascii="Times New Roman" w:hAnsi="Times New Roman" w:cs="Times New Roman"/>
          <w:color w:val="000000" w:themeColor="text1"/>
          <w:lang w:val="en-US"/>
        </w:rPr>
        <w:t xml:space="preserve">393-99. </w:t>
      </w:r>
    </w:p>
  </w:footnote>
  <w:footnote w:id="612">
    <w:p w14:paraId="240EFBF7" w14:textId="225D5552"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AE2032" w:rsidRPr="009D7635">
        <w:rPr>
          <w:rFonts w:ascii="Times New Roman" w:hAnsi="Times New Roman" w:cs="Times New Roman"/>
          <w:color w:val="000000" w:themeColor="text1"/>
        </w:rPr>
        <w:t>Ibid.,</w:t>
      </w:r>
      <w:r w:rsidRPr="009D7635">
        <w:rPr>
          <w:rFonts w:ascii="Times New Roman" w:hAnsi="Times New Roman" w:cs="Times New Roman"/>
          <w:iCs/>
          <w:color w:val="000000" w:themeColor="text1"/>
        </w:rPr>
        <w:t xml:space="preserve"> </w:t>
      </w:r>
      <w:r w:rsidRPr="009D7635">
        <w:rPr>
          <w:rFonts w:ascii="Times New Roman" w:hAnsi="Times New Roman" w:cs="Times New Roman"/>
          <w:iCs/>
          <w:color w:val="000000" w:themeColor="text1"/>
          <w:lang w:val="en-US"/>
        </w:rPr>
        <w:t xml:space="preserve">399: </w:t>
      </w:r>
      <w:r w:rsidR="002757E6" w:rsidRPr="009D7635">
        <w:rPr>
          <w:rFonts w:ascii="Times New Roman" w:hAnsi="Times New Roman" w:cs="Times New Roman"/>
          <w:iCs/>
          <w:color w:val="000000" w:themeColor="text1"/>
          <w:lang w:val="en-US"/>
        </w:rPr>
        <w:t>A</w:t>
      </w:r>
      <w:r w:rsidRPr="009D7635">
        <w:rPr>
          <w:rFonts w:ascii="Times New Roman" w:hAnsi="Times New Roman" w:cs="Times New Roman"/>
          <w:iCs/>
          <w:color w:val="000000" w:themeColor="text1"/>
          <w:lang w:val="en-US"/>
        </w:rPr>
        <w:t>side from a brief reference to irrational versus rational powers in Hugh of St Cher, it was really</w:t>
      </w:r>
      <w:r w:rsidRPr="009D7635">
        <w:rPr>
          <w:rFonts w:ascii="Times New Roman" w:hAnsi="Times New Roman" w:cs="Times New Roman"/>
          <w:color w:val="000000" w:themeColor="text1"/>
          <w:lang w:val="en-US"/>
        </w:rPr>
        <w:t xml:space="preserve"> Philip the Chancellor who introduced the Damascene’s psychology to the West.  </w:t>
      </w:r>
    </w:p>
  </w:footnote>
  <w:footnote w:id="613">
    <w:p w14:paraId="6DE50A78" w14:textId="0B50156A" w:rsidR="00B93ED5" w:rsidRPr="009D7635" w:rsidRDefault="00B93ED5" w:rsidP="00E212D3">
      <w:pPr>
        <w:autoSpaceDE w:val="0"/>
        <w:autoSpaceDN w:val="0"/>
        <w:adjustRightInd w:val="0"/>
        <w:ind w:right="-72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color w:val="000000" w:themeColor="text1"/>
          <w:sz w:val="20"/>
          <w:szCs w:val="20"/>
          <w:lang w:eastAsia="en-GB"/>
        </w:rPr>
        <w:t xml:space="preserve">J. </w:t>
      </w:r>
      <w:proofErr w:type="spellStart"/>
      <w:r w:rsidRPr="009D7635">
        <w:rPr>
          <w:rFonts w:ascii="Times New Roman" w:eastAsia="Times New Roman" w:hAnsi="Times New Roman" w:cs="Times New Roman"/>
          <w:color w:val="000000" w:themeColor="text1"/>
          <w:sz w:val="20"/>
          <w:szCs w:val="20"/>
          <w:lang w:eastAsia="en-GB"/>
        </w:rPr>
        <w:t>Rohmer</w:t>
      </w:r>
      <w:proofErr w:type="spellEnd"/>
      <w:r w:rsidRPr="009D7635">
        <w:rPr>
          <w:rFonts w:ascii="Times New Roman" w:eastAsia="Times New Roman" w:hAnsi="Times New Roman" w:cs="Times New Roman"/>
          <w:color w:val="000000" w:themeColor="text1"/>
          <w:sz w:val="20"/>
          <w:szCs w:val="20"/>
          <w:lang w:eastAsia="en-GB"/>
        </w:rPr>
        <w:t xml:space="preserve">, ‘La </w:t>
      </w:r>
      <w:proofErr w:type="spellStart"/>
      <w:r w:rsidRPr="009D7635">
        <w:rPr>
          <w:rFonts w:ascii="Times New Roman" w:eastAsia="Times New Roman" w:hAnsi="Times New Roman" w:cs="Times New Roman"/>
          <w:color w:val="000000" w:themeColor="text1"/>
          <w:sz w:val="20"/>
          <w:szCs w:val="20"/>
          <w:lang w:eastAsia="en-GB"/>
        </w:rPr>
        <w:t>théorie</w:t>
      </w:r>
      <w:proofErr w:type="spellEnd"/>
      <w:r w:rsidRPr="009D7635">
        <w:rPr>
          <w:rFonts w:ascii="Times New Roman" w:eastAsia="Times New Roman" w:hAnsi="Times New Roman" w:cs="Times New Roman"/>
          <w:color w:val="000000" w:themeColor="text1"/>
          <w:sz w:val="20"/>
          <w:szCs w:val="20"/>
          <w:lang w:eastAsia="en-GB"/>
        </w:rPr>
        <w:t xml:space="preserve"> de l'abstraction dans l'école </w:t>
      </w:r>
      <w:proofErr w:type="spellStart"/>
      <w:r w:rsidRPr="009D7635">
        <w:rPr>
          <w:rFonts w:ascii="Times New Roman" w:eastAsia="Times New Roman" w:hAnsi="Times New Roman" w:cs="Times New Roman"/>
          <w:color w:val="000000" w:themeColor="text1"/>
          <w:sz w:val="20"/>
          <w:szCs w:val="20"/>
          <w:lang w:eastAsia="en-GB"/>
        </w:rPr>
        <w:t>Franciscaine</w:t>
      </w:r>
      <w:proofErr w:type="spellEnd"/>
      <w:r w:rsidRPr="009D7635">
        <w:rPr>
          <w:rFonts w:ascii="Times New Roman" w:eastAsia="Times New Roman" w:hAnsi="Times New Roman" w:cs="Times New Roman"/>
          <w:color w:val="000000" w:themeColor="text1"/>
          <w:sz w:val="20"/>
          <w:szCs w:val="20"/>
          <w:lang w:eastAsia="en-GB"/>
        </w:rPr>
        <w:t xml:space="preserve"> d'Alexandre de </w:t>
      </w:r>
      <w:proofErr w:type="spellStart"/>
      <w:r w:rsidRPr="009D7635">
        <w:rPr>
          <w:rFonts w:ascii="Times New Roman" w:eastAsia="Times New Roman" w:hAnsi="Times New Roman" w:cs="Times New Roman"/>
          <w:color w:val="000000" w:themeColor="text1"/>
          <w:sz w:val="20"/>
          <w:szCs w:val="20"/>
          <w:lang w:eastAsia="en-GB"/>
        </w:rPr>
        <w:t>Halés</w:t>
      </w:r>
      <w:proofErr w:type="spellEnd"/>
      <w:r w:rsidRPr="009D7635">
        <w:rPr>
          <w:rFonts w:ascii="Times New Roman" w:eastAsia="Times New Roman" w:hAnsi="Times New Roman" w:cs="Times New Roman"/>
          <w:color w:val="000000" w:themeColor="text1"/>
          <w:sz w:val="20"/>
          <w:szCs w:val="20"/>
          <w:lang w:eastAsia="en-GB"/>
        </w:rPr>
        <w:t xml:space="preserve"> à Jean Peckham,’ </w:t>
      </w:r>
      <w:r w:rsidRPr="009D7635">
        <w:rPr>
          <w:rFonts w:ascii="Times New Roman" w:hAnsi="Times New Roman" w:cs="Times New Roman"/>
          <w:i/>
          <w:color w:val="000000" w:themeColor="text1"/>
          <w:sz w:val="20"/>
          <w:szCs w:val="20"/>
        </w:rPr>
        <w:t xml:space="preserve">Archives </w:t>
      </w:r>
      <w:proofErr w:type="spellStart"/>
      <w:r w:rsidRPr="009D7635">
        <w:rPr>
          <w:rFonts w:ascii="Times New Roman" w:hAnsi="Times New Roman" w:cs="Times New Roman"/>
          <w:i/>
          <w:color w:val="000000" w:themeColor="text1"/>
          <w:sz w:val="20"/>
          <w:szCs w:val="20"/>
        </w:rPr>
        <w:t>d'histoire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doctrinale</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littéraire</w:t>
      </w:r>
      <w:proofErr w:type="spellEnd"/>
      <w:r w:rsidRPr="009D7635">
        <w:rPr>
          <w:rFonts w:ascii="Times New Roman" w:hAnsi="Times New Roman" w:cs="Times New Roman"/>
          <w:i/>
          <w:color w:val="000000" w:themeColor="text1"/>
          <w:sz w:val="20"/>
          <w:szCs w:val="20"/>
        </w:rPr>
        <w:t xml:space="preserve"> du </w:t>
      </w:r>
      <w:proofErr w:type="spellStart"/>
      <w:r w:rsidRPr="009D7635">
        <w:rPr>
          <w:rFonts w:ascii="Times New Roman" w:hAnsi="Times New Roman" w:cs="Times New Roman"/>
          <w:i/>
          <w:color w:val="000000" w:themeColor="text1"/>
          <w:sz w:val="20"/>
          <w:szCs w:val="20"/>
        </w:rPr>
        <w:t>Moyen</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Âge</w:t>
      </w:r>
      <w:proofErr w:type="spellEnd"/>
      <w:r w:rsidRPr="009D7635">
        <w:rPr>
          <w:rFonts w:ascii="Times New Roman" w:eastAsia="Times New Roman" w:hAnsi="Times New Roman" w:cs="Times New Roman"/>
          <w:color w:val="000000" w:themeColor="text1"/>
          <w:sz w:val="20"/>
          <w:szCs w:val="20"/>
          <w:lang w:eastAsia="en-GB"/>
        </w:rPr>
        <w:t xml:space="preserve"> 3 (1928</w:t>
      </w:r>
      <w:r w:rsidR="00B22DC9" w:rsidRPr="009D7635">
        <w:rPr>
          <w:rFonts w:ascii="Times New Roman" w:eastAsia="Times New Roman" w:hAnsi="Times New Roman" w:cs="Times New Roman"/>
          <w:color w:val="000000" w:themeColor="text1"/>
          <w:sz w:val="20"/>
          <w:szCs w:val="20"/>
          <w:lang w:eastAsia="en-GB"/>
        </w:rPr>
        <w:t>):</w:t>
      </w:r>
      <w:r w:rsidRPr="009D7635">
        <w:rPr>
          <w:rFonts w:ascii="Times New Roman" w:eastAsia="Times New Roman" w:hAnsi="Times New Roman" w:cs="Times New Roman"/>
          <w:color w:val="000000" w:themeColor="text1"/>
          <w:sz w:val="20"/>
          <w:szCs w:val="20"/>
          <w:lang w:eastAsia="en-GB"/>
        </w:rPr>
        <w:t xml:space="preserve"> 106-7. </w:t>
      </w:r>
      <w:r w:rsidRPr="009D7635">
        <w:rPr>
          <w:rFonts w:ascii="Times New Roman" w:hAnsi="Times New Roman" w:cs="Times New Roman"/>
          <w:color w:val="000000" w:themeColor="text1"/>
          <w:sz w:val="20"/>
          <w:szCs w:val="20"/>
        </w:rPr>
        <w:t xml:space="preserve">As </w:t>
      </w:r>
      <w:proofErr w:type="spellStart"/>
      <w:r w:rsidRPr="009D7635">
        <w:rPr>
          <w:rFonts w:ascii="Times New Roman" w:hAnsi="Times New Roman" w:cs="Times New Roman"/>
          <w:color w:val="000000" w:themeColor="text1"/>
          <w:sz w:val="20"/>
          <w:szCs w:val="20"/>
        </w:rPr>
        <w:t>Rohmer</w:t>
      </w:r>
      <w:proofErr w:type="spellEnd"/>
      <w:r w:rsidRPr="009D7635">
        <w:rPr>
          <w:rFonts w:ascii="Times New Roman" w:hAnsi="Times New Roman" w:cs="Times New Roman"/>
          <w:color w:val="000000" w:themeColor="text1"/>
          <w:sz w:val="20"/>
          <w:szCs w:val="20"/>
        </w:rPr>
        <w:t xml:space="preserve"> noted long ago, the early Franciscan attempt to integrate Augustine and Damascus with a broadly Aristotelian philosophy resulted in giving all these authors a new orientation from Avicenna. </w:t>
      </w:r>
    </w:p>
  </w:footnote>
  <w:footnote w:id="614">
    <w:p w14:paraId="06CF9256" w14:textId="7777777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bCs/>
          <w:color w:val="000000" w:themeColor="text1"/>
          <w:sz w:val="20"/>
          <w:szCs w:val="20"/>
          <w:shd w:val="clear" w:color="auto" w:fill="FFFFFF"/>
        </w:rPr>
        <w:t xml:space="preserve">Pierre </w:t>
      </w:r>
      <w:proofErr w:type="spellStart"/>
      <w:r w:rsidRPr="009D7635">
        <w:rPr>
          <w:rFonts w:ascii="Times New Roman" w:eastAsia="Times New Roman" w:hAnsi="Times New Roman" w:cs="Times New Roman"/>
          <w:bCs/>
          <w:color w:val="000000" w:themeColor="text1"/>
          <w:sz w:val="20"/>
          <w:szCs w:val="20"/>
          <w:shd w:val="clear" w:color="auto" w:fill="FFFFFF"/>
        </w:rPr>
        <w:t>Michaud-Quantin</w:t>
      </w:r>
      <w:proofErr w:type="spellEnd"/>
      <w:r w:rsidRPr="009D7635">
        <w:rPr>
          <w:rFonts w:ascii="Times New Roman" w:eastAsia="Times New Roman" w:hAnsi="Times New Roman" w:cs="Times New Roman"/>
          <w:bCs/>
          <w:color w:val="000000" w:themeColor="text1"/>
          <w:sz w:val="20"/>
          <w:szCs w:val="20"/>
          <w:shd w:val="clear" w:color="auto" w:fill="FFFFFF"/>
        </w:rPr>
        <w:t xml:space="preserve">, ‘Introduction,’ in the </w:t>
      </w:r>
      <w:proofErr w:type="spellStart"/>
      <w:r w:rsidRPr="009D7635">
        <w:rPr>
          <w:rFonts w:ascii="Times New Roman" w:eastAsia="Times New Roman" w:hAnsi="Times New Roman" w:cs="Times New Roman"/>
          <w:bCs/>
          <w:i/>
          <w:color w:val="000000" w:themeColor="text1"/>
          <w:sz w:val="20"/>
          <w:szCs w:val="20"/>
          <w:shd w:val="clear" w:color="auto" w:fill="FFFFFF"/>
        </w:rPr>
        <w:t>Tractatus</w:t>
      </w:r>
      <w:proofErr w:type="spellEnd"/>
      <w:r w:rsidRPr="009D7635">
        <w:rPr>
          <w:rFonts w:ascii="Times New Roman" w:eastAsia="Times New Roman" w:hAnsi="Times New Roman" w:cs="Times New Roman"/>
          <w:bCs/>
          <w:iCs/>
          <w:color w:val="000000" w:themeColor="text1"/>
          <w:sz w:val="20"/>
          <w:szCs w:val="20"/>
          <w:shd w:val="clear" w:color="auto" w:fill="FFFFFF"/>
        </w:rPr>
        <w:t>,</w:t>
      </w:r>
      <w:r w:rsidRPr="009D7635">
        <w:rPr>
          <w:rFonts w:ascii="Times New Roman" w:eastAsia="Times New Roman" w:hAnsi="Times New Roman" w:cs="Times New Roman"/>
          <w:bCs/>
          <w:i/>
          <w:color w:val="000000" w:themeColor="text1"/>
          <w:sz w:val="20"/>
          <w:szCs w:val="20"/>
          <w:shd w:val="clear" w:color="auto" w:fill="FFFFFF"/>
        </w:rPr>
        <w:t xml:space="preserve"> </w:t>
      </w:r>
      <w:r w:rsidRPr="009D7635">
        <w:rPr>
          <w:rFonts w:ascii="Times New Roman" w:hAnsi="Times New Roman" w:cs="Times New Roman"/>
          <w:color w:val="000000" w:themeColor="text1"/>
          <w:sz w:val="20"/>
          <w:szCs w:val="20"/>
        </w:rPr>
        <w:t>13: ‘L</w:t>
      </w:r>
      <w:r w:rsidRPr="009D7635">
        <w:rPr>
          <w:rFonts w:ascii="Times New Roman" w:hAnsi="Times New Roman" w:cs="Times New Roman"/>
          <w:color w:val="000000" w:themeColor="text1"/>
          <w:sz w:val="20"/>
          <w:szCs w:val="20"/>
          <w:lang w:val="en-US"/>
        </w:rPr>
        <w:t xml:space="preserve">es </w:t>
      </w:r>
      <w:proofErr w:type="spellStart"/>
      <w:r w:rsidRPr="009D7635">
        <w:rPr>
          <w:rFonts w:ascii="Times New Roman" w:hAnsi="Times New Roman" w:cs="Times New Roman"/>
          <w:color w:val="000000" w:themeColor="text1"/>
          <w:sz w:val="20"/>
          <w:szCs w:val="20"/>
          <w:lang w:val="en-US"/>
        </w:rPr>
        <w:t>diverses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définitions</w:t>
      </w:r>
      <w:proofErr w:type="spellEnd"/>
      <w:r w:rsidRPr="009D7635">
        <w:rPr>
          <w:rFonts w:ascii="Times New Roman" w:hAnsi="Times New Roman" w:cs="Times New Roman"/>
          <w:color w:val="000000" w:themeColor="text1"/>
          <w:sz w:val="20"/>
          <w:szCs w:val="20"/>
          <w:lang w:val="en-US"/>
        </w:rPr>
        <w:t xml:space="preserve"> de </w:t>
      </w:r>
      <w:proofErr w:type="spellStart"/>
      <w:r w:rsidRPr="009D7635">
        <w:rPr>
          <w:rFonts w:ascii="Times New Roman" w:hAnsi="Times New Roman" w:cs="Times New Roman"/>
          <w:color w:val="000000" w:themeColor="text1"/>
          <w:sz w:val="20"/>
          <w:szCs w:val="20"/>
          <w:lang w:val="en-US"/>
        </w:rPr>
        <w:t>l'âme</w:t>
      </w:r>
      <w:proofErr w:type="spellEnd"/>
      <w:r w:rsidRPr="009D7635">
        <w:rPr>
          <w:rFonts w:ascii="Times New Roman" w:hAnsi="Times New Roman" w:cs="Times New Roman"/>
          <w:color w:val="000000" w:themeColor="text1"/>
          <w:sz w:val="20"/>
          <w:szCs w:val="20"/>
          <w:lang w:val="en-US"/>
        </w:rPr>
        <w:t xml:space="preserve">, de la grâce, des </w:t>
      </w:r>
      <w:proofErr w:type="spellStart"/>
      <w:r w:rsidRPr="009D7635">
        <w:rPr>
          <w:rFonts w:ascii="Times New Roman" w:hAnsi="Times New Roman" w:cs="Times New Roman"/>
          <w:color w:val="000000" w:themeColor="text1"/>
          <w:sz w:val="20"/>
          <w:szCs w:val="20"/>
          <w:lang w:val="en-US"/>
        </w:rPr>
        <w:t>vertus</w:t>
      </w:r>
      <w:proofErr w:type="spellEnd"/>
      <w:r w:rsidRPr="009D7635">
        <w:rPr>
          <w:rFonts w:ascii="Times New Roman" w:hAnsi="Times New Roman" w:cs="Times New Roman"/>
          <w:color w:val="000000" w:themeColor="text1"/>
          <w:sz w:val="20"/>
          <w:szCs w:val="20"/>
          <w:lang w:val="en-US"/>
        </w:rPr>
        <w:t xml:space="preserve">, de la </w:t>
      </w:r>
      <w:proofErr w:type="spellStart"/>
      <w:r w:rsidRPr="009D7635">
        <w:rPr>
          <w:rFonts w:ascii="Times New Roman" w:hAnsi="Times New Roman" w:cs="Times New Roman"/>
          <w:color w:val="000000" w:themeColor="text1"/>
          <w:sz w:val="20"/>
          <w:szCs w:val="20"/>
          <w:lang w:val="en-US"/>
        </w:rPr>
        <w:t>béatitude</w:t>
      </w:r>
      <w:proofErr w:type="spellEnd"/>
      <w:r w:rsidRPr="009D7635">
        <w:rPr>
          <w:rFonts w:ascii="Times New Roman" w:hAnsi="Times New Roman" w:cs="Times New Roman"/>
          <w:color w:val="000000" w:themeColor="text1"/>
          <w:sz w:val="20"/>
          <w:szCs w:val="20"/>
          <w:lang w:val="en-US"/>
        </w:rPr>
        <w:t xml:space="preserve">, les classifications des </w:t>
      </w:r>
      <w:proofErr w:type="spellStart"/>
      <w:r w:rsidRPr="009D7635">
        <w:rPr>
          <w:rFonts w:ascii="Times New Roman" w:hAnsi="Times New Roman" w:cs="Times New Roman"/>
          <w:color w:val="000000" w:themeColor="text1"/>
          <w:sz w:val="20"/>
          <w:szCs w:val="20"/>
          <w:lang w:val="en-US"/>
        </w:rPr>
        <w:t>facultés</w:t>
      </w:r>
      <w:proofErr w:type="spellEnd"/>
      <w:r w:rsidRPr="009D7635">
        <w:rPr>
          <w:rFonts w:ascii="Times New Roman" w:hAnsi="Times New Roman" w:cs="Times New Roman"/>
          <w:color w:val="000000" w:themeColor="text1"/>
          <w:sz w:val="20"/>
          <w:szCs w:val="20"/>
          <w:lang w:val="en-US"/>
        </w:rPr>
        <w:t xml:space="preserve"> et des </w:t>
      </w:r>
      <w:proofErr w:type="spellStart"/>
      <w:r w:rsidRPr="009D7635">
        <w:rPr>
          <w:rFonts w:ascii="Times New Roman" w:hAnsi="Times New Roman" w:cs="Times New Roman"/>
          <w:color w:val="000000" w:themeColor="text1"/>
          <w:sz w:val="20"/>
          <w:szCs w:val="20"/>
          <w:lang w:val="en-US"/>
        </w:rPr>
        <w:t>vertus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ne</w:t>
      </w:r>
      <w:proofErr w:type="spellEnd"/>
      <w:r w:rsidRPr="009D7635">
        <w:rPr>
          <w:rFonts w:ascii="Times New Roman" w:hAnsi="Times New Roman" w:cs="Times New Roman"/>
          <w:color w:val="000000" w:themeColor="text1"/>
          <w:sz w:val="20"/>
          <w:szCs w:val="20"/>
          <w:lang w:val="en-US"/>
        </w:rPr>
        <w:t xml:space="preserve"> se </w:t>
      </w:r>
      <w:proofErr w:type="spellStart"/>
      <w:r w:rsidRPr="009D7635">
        <w:rPr>
          <w:rFonts w:ascii="Times New Roman" w:hAnsi="Times New Roman" w:cs="Times New Roman"/>
          <w:color w:val="000000" w:themeColor="text1"/>
          <w:sz w:val="20"/>
          <w:szCs w:val="20"/>
          <w:lang w:val="en-US"/>
        </w:rPr>
        <w:t>contredisent</w:t>
      </w:r>
      <w:proofErr w:type="spellEnd"/>
      <w:r w:rsidRPr="009D7635">
        <w:rPr>
          <w:rFonts w:ascii="Times New Roman" w:hAnsi="Times New Roman" w:cs="Times New Roman"/>
          <w:color w:val="000000" w:themeColor="text1"/>
          <w:sz w:val="20"/>
          <w:szCs w:val="20"/>
          <w:lang w:val="en-US"/>
        </w:rPr>
        <w:t xml:space="preserve"> pas </w:t>
      </w:r>
      <w:proofErr w:type="spellStart"/>
      <w:r w:rsidRPr="009D7635">
        <w:rPr>
          <w:rFonts w:ascii="Times New Roman" w:hAnsi="Times New Roman" w:cs="Times New Roman"/>
          <w:color w:val="000000" w:themeColor="text1"/>
          <w:sz w:val="20"/>
          <w:szCs w:val="20"/>
          <w:lang w:val="en-US"/>
        </w:rPr>
        <w:t>réellement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elles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donnent</w:t>
      </w:r>
      <w:proofErr w:type="spellEnd"/>
      <w:r w:rsidRPr="009D7635">
        <w:rPr>
          <w:rFonts w:ascii="Times New Roman" w:hAnsi="Times New Roman" w:cs="Times New Roman"/>
          <w:color w:val="000000" w:themeColor="text1"/>
          <w:sz w:val="20"/>
          <w:szCs w:val="20"/>
          <w:lang w:val="en-US"/>
        </w:rPr>
        <w:t xml:space="preserve"> des points de </w:t>
      </w:r>
      <w:proofErr w:type="spellStart"/>
      <w:r w:rsidRPr="009D7635">
        <w:rPr>
          <w:rFonts w:ascii="Times New Roman" w:hAnsi="Times New Roman" w:cs="Times New Roman"/>
          <w:color w:val="000000" w:themeColor="text1"/>
          <w:sz w:val="20"/>
          <w:szCs w:val="20"/>
          <w:lang w:val="en-US"/>
        </w:rPr>
        <w:t>vue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différents</w:t>
      </w:r>
      <w:proofErr w:type="spellEnd"/>
      <w:r w:rsidRPr="009D7635">
        <w:rPr>
          <w:rFonts w:ascii="Times New Roman" w:hAnsi="Times New Roman" w:cs="Times New Roman"/>
          <w:color w:val="000000" w:themeColor="text1"/>
          <w:sz w:val="20"/>
          <w:szCs w:val="20"/>
          <w:lang w:val="en-US"/>
        </w:rPr>
        <w:t xml:space="preserve">; les </w:t>
      </w:r>
      <w:proofErr w:type="spellStart"/>
      <w:r w:rsidRPr="009D7635">
        <w:rPr>
          <w:rFonts w:ascii="Times New Roman" w:hAnsi="Times New Roman" w:cs="Times New Roman"/>
          <w:color w:val="000000" w:themeColor="text1"/>
          <w:sz w:val="20"/>
          <w:szCs w:val="20"/>
          <w:lang w:val="en-US"/>
        </w:rPr>
        <w:t>théologiens</w:t>
      </w:r>
      <w:proofErr w:type="spellEnd"/>
      <w:r w:rsidRPr="009D7635">
        <w:rPr>
          <w:rFonts w:ascii="Times New Roman" w:hAnsi="Times New Roman" w:cs="Times New Roman"/>
          <w:color w:val="000000" w:themeColor="text1"/>
          <w:sz w:val="20"/>
          <w:szCs w:val="20"/>
          <w:lang w:val="en-US"/>
        </w:rPr>
        <w:t xml:space="preserve"> et les </w:t>
      </w:r>
      <w:proofErr w:type="spellStart"/>
      <w:r w:rsidRPr="009D7635">
        <w:rPr>
          <w:rFonts w:ascii="Times New Roman" w:hAnsi="Times New Roman" w:cs="Times New Roman"/>
          <w:color w:val="000000" w:themeColor="text1"/>
          <w:sz w:val="20"/>
          <w:szCs w:val="20"/>
          <w:lang w:val="en-US"/>
        </w:rPr>
        <w:t>philosophes</w:t>
      </w:r>
      <w:proofErr w:type="spellEnd"/>
      <w:r w:rsidRPr="009D7635">
        <w:rPr>
          <w:rFonts w:ascii="Times New Roman" w:hAnsi="Times New Roman" w:cs="Times New Roman"/>
          <w:color w:val="000000" w:themeColor="text1"/>
          <w:sz w:val="20"/>
          <w:szCs w:val="20"/>
          <w:lang w:val="en-US"/>
        </w:rPr>
        <w:t xml:space="preserve">, en face </w:t>
      </w:r>
      <w:proofErr w:type="spellStart"/>
      <w:r w:rsidRPr="009D7635">
        <w:rPr>
          <w:rFonts w:ascii="Times New Roman" w:hAnsi="Times New Roman" w:cs="Times New Roman"/>
          <w:color w:val="000000" w:themeColor="text1"/>
          <w:sz w:val="20"/>
          <w:szCs w:val="20"/>
          <w:lang w:val="en-US"/>
        </w:rPr>
        <w:t>d'une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réalité</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complexe</w:t>
      </w:r>
      <w:proofErr w:type="spellEnd"/>
      <w:r w:rsidRPr="009D7635">
        <w:rPr>
          <w:rFonts w:ascii="Times New Roman" w:hAnsi="Times New Roman" w:cs="Times New Roman"/>
          <w:color w:val="000000" w:themeColor="text1"/>
          <w:sz w:val="20"/>
          <w:szCs w:val="20"/>
          <w:lang w:val="en-US"/>
        </w:rPr>
        <w:t xml:space="preserve"> et difficile à </w:t>
      </w:r>
      <w:proofErr w:type="spellStart"/>
      <w:r w:rsidRPr="009D7635">
        <w:rPr>
          <w:rFonts w:ascii="Times New Roman" w:hAnsi="Times New Roman" w:cs="Times New Roman"/>
          <w:color w:val="000000" w:themeColor="text1"/>
          <w:sz w:val="20"/>
          <w:szCs w:val="20"/>
          <w:lang w:val="en-US"/>
        </w:rPr>
        <w:t>embrasser</w:t>
      </w:r>
      <w:proofErr w:type="spellEnd"/>
      <w:r w:rsidRPr="009D7635">
        <w:rPr>
          <w:rFonts w:ascii="Times New Roman" w:hAnsi="Times New Roman" w:cs="Times New Roman"/>
          <w:color w:val="000000" w:themeColor="text1"/>
          <w:sz w:val="20"/>
          <w:szCs w:val="20"/>
          <w:lang w:val="en-US"/>
        </w:rPr>
        <w:t xml:space="preserve"> en </w:t>
      </w:r>
      <w:proofErr w:type="spellStart"/>
      <w:r w:rsidRPr="009D7635">
        <w:rPr>
          <w:rFonts w:ascii="Times New Roman" w:hAnsi="Times New Roman" w:cs="Times New Roman"/>
          <w:color w:val="000000" w:themeColor="text1"/>
          <w:sz w:val="20"/>
          <w:szCs w:val="20"/>
          <w:lang w:val="en-US"/>
        </w:rPr>
        <w:t>une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seule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formule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ou</w:t>
      </w:r>
      <w:proofErr w:type="spellEnd"/>
      <w:r w:rsidRPr="009D7635">
        <w:rPr>
          <w:rFonts w:ascii="Times New Roman" w:hAnsi="Times New Roman" w:cs="Times New Roman"/>
          <w:color w:val="000000" w:themeColor="text1"/>
          <w:sz w:val="20"/>
          <w:szCs w:val="20"/>
          <w:lang w:val="en-US"/>
        </w:rPr>
        <w:t xml:space="preserve"> un </w:t>
      </w:r>
      <w:proofErr w:type="spellStart"/>
      <w:r w:rsidRPr="009D7635">
        <w:rPr>
          <w:rFonts w:ascii="Times New Roman" w:hAnsi="Times New Roman" w:cs="Times New Roman"/>
          <w:color w:val="000000" w:themeColor="text1"/>
          <w:sz w:val="20"/>
          <w:szCs w:val="20"/>
          <w:lang w:val="en-US"/>
        </w:rPr>
        <w:t>seul</w:t>
      </w:r>
      <w:proofErr w:type="spellEnd"/>
      <w:r w:rsidRPr="009D7635">
        <w:rPr>
          <w:rFonts w:ascii="Times New Roman" w:hAnsi="Times New Roman" w:cs="Times New Roman"/>
          <w:color w:val="000000" w:themeColor="text1"/>
          <w:sz w:val="20"/>
          <w:szCs w:val="20"/>
          <w:lang w:val="en-US"/>
        </w:rPr>
        <w:t xml:space="preserve"> tableau, </w:t>
      </w:r>
      <w:proofErr w:type="spellStart"/>
      <w:r w:rsidRPr="009D7635">
        <w:rPr>
          <w:rFonts w:ascii="Times New Roman" w:hAnsi="Times New Roman" w:cs="Times New Roman"/>
          <w:color w:val="000000" w:themeColor="text1"/>
          <w:sz w:val="20"/>
          <w:szCs w:val="20"/>
          <w:lang w:val="en-US"/>
        </w:rPr>
        <w:t>l'ont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saisie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chacun</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selon</w:t>
      </w:r>
      <w:proofErr w:type="spellEnd"/>
      <w:r w:rsidRPr="009D7635">
        <w:rPr>
          <w:rFonts w:ascii="Times New Roman" w:hAnsi="Times New Roman" w:cs="Times New Roman"/>
          <w:color w:val="000000" w:themeColor="text1"/>
          <w:sz w:val="20"/>
          <w:szCs w:val="20"/>
          <w:lang w:val="en-US"/>
        </w:rPr>
        <w:t xml:space="preserve"> son </w:t>
      </w:r>
      <w:proofErr w:type="spellStart"/>
      <w:r w:rsidRPr="009D7635">
        <w:rPr>
          <w:rFonts w:ascii="Times New Roman" w:hAnsi="Times New Roman" w:cs="Times New Roman"/>
          <w:color w:val="000000" w:themeColor="text1"/>
          <w:sz w:val="20"/>
          <w:szCs w:val="20"/>
          <w:lang w:val="en-US"/>
        </w:rPr>
        <w:t>génie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propre</w:t>
      </w:r>
      <w:proofErr w:type="spellEnd"/>
      <w:r w:rsidRPr="009D7635">
        <w:rPr>
          <w:rFonts w:ascii="Times New Roman" w:hAnsi="Times New Roman" w:cs="Times New Roman"/>
          <w:color w:val="000000" w:themeColor="text1"/>
          <w:sz w:val="20"/>
          <w:szCs w:val="20"/>
          <w:lang w:val="en-US"/>
        </w:rPr>
        <w:t xml:space="preserve"> et sous son angle de </w:t>
      </w:r>
      <w:proofErr w:type="spellStart"/>
      <w:r w:rsidRPr="009D7635">
        <w:rPr>
          <w:rFonts w:ascii="Times New Roman" w:hAnsi="Times New Roman" w:cs="Times New Roman"/>
          <w:color w:val="000000" w:themeColor="text1"/>
          <w:sz w:val="20"/>
          <w:szCs w:val="20"/>
          <w:lang w:val="en-US"/>
        </w:rPr>
        <w:t>vue</w:t>
      </w:r>
      <w:proofErr w:type="spellEnd"/>
      <w:r w:rsidRPr="009D7635">
        <w:rPr>
          <w:rFonts w:ascii="Times New Roman" w:hAnsi="Times New Roman" w:cs="Times New Roman"/>
          <w:color w:val="000000" w:themeColor="text1"/>
          <w:sz w:val="20"/>
          <w:szCs w:val="20"/>
          <w:lang w:val="en-US"/>
        </w:rPr>
        <w:t xml:space="preserve"> personnel.’</w:t>
      </w:r>
    </w:p>
  </w:footnote>
  <w:footnote w:id="615">
    <w:p w14:paraId="642DA0B7" w14:textId="758963CB"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5624A1" w:rsidRPr="009D7635">
        <w:rPr>
          <w:rFonts w:ascii="Times New Roman" w:hAnsi="Times New Roman" w:cs="Times New Roman"/>
          <w:iCs/>
          <w:color w:val="000000" w:themeColor="text1"/>
          <w:sz w:val="20"/>
          <w:szCs w:val="20"/>
        </w:rPr>
        <w:t>Ibid.,</w:t>
      </w:r>
      <w:r w:rsidR="005624A1"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18: ‘</w:t>
      </w:r>
      <w:r w:rsidRPr="009D7635">
        <w:rPr>
          <w:rFonts w:ascii="Times New Roman" w:hAnsi="Times New Roman" w:cs="Times New Roman"/>
          <w:color w:val="000000" w:themeColor="text1"/>
          <w:sz w:val="20"/>
          <w:szCs w:val="20"/>
          <w:lang w:val="en-US"/>
        </w:rPr>
        <w:t xml:space="preserve">Le </w:t>
      </w:r>
      <w:proofErr w:type="spellStart"/>
      <w:r w:rsidRPr="009D7635">
        <w:rPr>
          <w:rFonts w:ascii="Times New Roman" w:hAnsi="Times New Roman" w:cs="Times New Roman"/>
          <w:i/>
          <w:color w:val="000000" w:themeColor="text1"/>
          <w:sz w:val="20"/>
          <w:szCs w:val="20"/>
          <w:lang w:val="en-US"/>
        </w:rPr>
        <w:t>Tractatus</w:t>
      </w:r>
      <w:proofErr w:type="spellEnd"/>
      <w:r w:rsidRPr="009D7635">
        <w:rPr>
          <w:rFonts w:ascii="Times New Roman" w:hAnsi="Times New Roman" w:cs="Times New Roman"/>
          <w:color w:val="000000" w:themeColor="text1"/>
          <w:sz w:val="20"/>
          <w:szCs w:val="20"/>
          <w:lang w:val="en-US"/>
        </w:rPr>
        <w:t xml:space="preserve"> se </w:t>
      </w:r>
      <w:proofErr w:type="spellStart"/>
      <w:r w:rsidRPr="009D7635">
        <w:rPr>
          <w:rFonts w:ascii="Times New Roman" w:hAnsi="Times New Roman" w:cs="Times New Roman"/>
          <w:color w:val="000000" w:themeColor="text1"/>
          <w:sz w:val="20"/>
          <w:szCs w:val="20"/>
          <w:lang w:val="en-US"/>
        </w:rPr>
        <w:t>préoccupe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d'accumuler</w:t>
      </w:r>
      <w:proofErr w:type="spellEnd"/>
      <w:r w:rsidRPr="009D7635">
        <w:rPr>
          <w:rFonts w:ascii="Times New Roman" w:hAnsi="Times New Roman" w:cs="Times New Roman"/>
          <w:color w:val="000000" w:themeColor="text1"/>
          <w:sz w:val="20"/>
          <w:szCs w:val="20"/>
          <w:lang w:val="en-US"/>
        </w:rPr>
        <w:t xml:space="preserve"> les </w:t>
      </w:r>
      <w:proofErr w:type="spellStart"/>
      <w:r w:rsidRPr="009D7635">
        <w:rPr>
          <w:rFonts w:ascii="Times New Roman" w:hAnsi="Times New Roman" w:cs="Times New Roman"/>
          <w:color w:val="000000" w:themeColor="text1"/>
          <w:sz w:val="20"/>
          <w:szCs w:val="20"/>
          <w:lang w:val="en-US"/>
        </w:rPr>
        <w:t>définitions</w:t>
      </w:r>
      <w:proofErr w:type="spellEnd"/>
      <w:r w:rsidRPr="009D7635">
        <w:rPr>
          <w:rFonts w:ascii="Times New Roman" w:hAnsi="Times New Roman" w:cs="Times New Roman"/>
          <w:color w:val="000000" w:themeColor="text1"/>
          <w:sz w:val="20"/>
          <w:szCs w:val="20"/>
          <w:lang w:val="en-US"/>
        </w:rPr>
        <w:t xml:space="preserve"> et </w:t>
      </w:r>
      <w:proofErr w:type="spellStart"/>
      <w:r w:rsidRPr="009D7635">
        <w:rPr>
          <w:rFonts w:ascii="Times New Roman" w:hAnsi="Times New Roman" w:cs="Times New Roman"/>
          <w:color w:val="000000" w:themeColor="text1"/>
          <w:sz w:val="20"/>
          <w:szCs w:val="20"/>
          <w:lang w:val="en-US"/>
        </w:rPr>
        <w:t>énumérations</w:t>
      </w:r>
      <w:proofErr w:type="spellEnd"/>
      <w:r w:rsidRPr="009D7635">
        <w:rPr>
          <w:rFonts w:ascii="Times New Roman" w:hAnsi="Times New Roman" w:cs="Times New Roman"/>
          <w:color w:val="000000" w:themeColor="text1"/>
          <w:sz w:val="20"/>
          <w:szCs w:val="20"/>
          <w:lang w:val="en-US"/>
        </w:rPr>
        <w:t xml:space="preserve">, les </w:t>
      </w:r>
      <w:proofErr w:type="spellStart"/>
      <w:r w:rsidRPr="009D7635">
        <w:rPr>
          <w:rFonts w:ascii="Times New Roman" w:hAnsi="Times New Roman" w:cs="Times New Roman"/>
          <w:color w:val="000000" w:themeColor="text1"/>
          <w:sz w:val="20"/>
          <w:szCs w:val="20"/>
          <w:lang w:val="en-US"/>
        </w:rPr>
        <w:t>développant</w:t>
      </w:r>
      <w:proofErr w:type="spellEnd"/>
      <w:r w:rsidRPr="009D7635">
        <w:rPr>
          <w:rFonts w:ascii="Times New Roman" w:hAnsi="Times New Roman" w:cs="Times New Roman"/>
          <w:color w:val="000000" w:themeColor="text1"/>
          <w:sz w:val="20"/>
          <w:szCs w:val="20"/>
          <w:lang w:val="en-US"/>
        </w:rPr>
        <w:t xml:space="preserve"> tout au plus en de </w:t>
      </w:r>
      <w:proofErr w:type="spellStart"/>
      <w:r w:rsidRPr="009D7635">
        <w:rPr>
          <w:rFonts w:ascii="Times New Roman" w:hAnsi="Times New Roman" w:cs="Times New Roman"/>
          <w:color w:val="000000" w:themeColor="text1"/>
          <w:sz w:val="20"/>
          <w:szCs w:val="20"/>
          <w:lang w:val="en-US"/>
        </w:rPr>
        <w:t>brefs</w:t>
      </w:r>
      <w:proofErr w:type="spellEnd"/>
      <w:r w:rsidRPr="009D7635">
        <w:rPr>
          <w:rFonts w:ascii="Times New Roman" w:hAnsi="Times New Roman" w:cs="Times New Roman"/>
          <w:color w:val="000000" w:themeColor="text1"/>
          <w:sz w:val="20"/>
          <w:szCs w:val="20"/>
          <w:lang w:val="en-US"/>
        </w:rPr>
        <w:t xml:space="preserve"> exposés qui </w:t>
      </w:r>
      <w:proofErr w:type="spellStart"/>
      <w:r w:rsidRPr="009D7635">
        <w:rPr>
          <w:rFonts w:ascii="Times New Roman" w:hAnsi="Times New Roman" w:cs="Times New Roman"/>
          <w:color w:val="000000" w:themeColor="text1"/>
          <w:sz w:val="20"/>
          <w:szCs w:val="20"/>
          <w:lang w:val="en-US"/>
        </w:rPr>
        <w:t>donnent</w:t>
      </w:r>
      <w:proofErr w:type="spellEnd"/>
      <w:r w:rsidRPr="009D7635">
        <w:rPr>
          <w:rFonts w:ascii="Times New Roman" w:hAnsi="Times New Roman" w:cs="Times New Roman"/>
          <w:color w:val="000000" w:themeColor="text1"/>
          <w:sz w:val="20"/>
          <w:szCs w:val="20"/>
          <w:lang w:val="en-US"/>
        </w:rPr>
        <w:t xml:space="preserve"> les explications indispensables pour </w:t>
      </w:r>
      <w:proofErr w:type="spellStart"/>
      <w:r w:rsidRPr="009D7635">
        <w:rPr>
          <w:rFonts w:ascii="Times New Roman" w:hAnsi="Times New Roman" w:cs="Times New Roman"/>
          <w:color w:val="000000" w:themeColor="text1"/>
          <w:sz w:val="20"/>
          <w:szCs w:val="20"/>
          <w:lang w:val="en-US"/>
        </w:rPr>
        <w:t>pouvoir</w:t>
      </w:r>
      <w:proofErr w:type="spellEnd"/>
      <w:r w:rsidRPr="009D7635">
        <w:rPr>
          <w:rFonts w:ascii="Times New Roman" w:hAnsi="Times New Roman" w:cs="Times New Roman"/>
          <w:color w:val="000000" w:themeColor="text1"/>
          <w:sz w:val="20"/>
          <w:szCs w:val="20"/>
          <w:lang w:val="en-US"/>
        </w:rPr>
        <w:t xml:space="preserve"> les </w:t>
      </w:r>
      <w:proofErr w:type="spellStart"/>
      <w:r w:rsidRPr="009D7635">
        <w:rPr>
          <w:rFonts w:ascii="Times New Roman" w:hAnsi="Times New Roman" w:cs="Times New Roman"/>
          <w:color w:val="000000" w:themeColor="text1"/>
          <w:sz w:val="20"/>
          <w:szCs w:val="20"/>
          <w:lang w:val="en-US"/>
        </w:rPr>
        <w:t>saisir</w:t>
      </w:r>
      <w:proofErr w:type="spellEnd"/>
      <w:r w:rsidRPr="009D7635">
        <w:rPr>
          <w:rFonts w:ascii="Times New Roman" w:hAnsi="Times New Roman" w:cs="Times New Roman"/>
          <w:color w:val="000000" w:themeColor="text1"/>
          <w:sz w:val="20"/>
          <w:szCs w:val="20"/>
          <w:lang w:val="en-US"/>
        </w:rPr>
        <w:t xml:space="preserve">; il n'y a </w:t>
      </w:r>
      <w:proofErr w:type="spellStart"/>
      <w:r w:rsidRPr="009D7635">
        <w:rPr>
          <w:rFonts w:ascii="Times New Roman" w:hAnsi="Times New Roman" w:cs="Times New Roman"/>
          <w:color w:val="000000" w:themeColor="text1"/>
          <w:sz w:val="20"/>
          <w:szCs w:val="20"/>
          <w:lang w:val="en-US"/>
        </w:rPr>
        <w:t>ni</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formules</w:t>
      </w:r>
      <w:proofErr w:type="spellEnd"/>
      <w:r w:rsidRPr="009D7635">
        <w:rPr>
          <w:rFonts w:ascii="Times New Roman" w:hAnsi="Times New Roman" w:cs="Times New Roman"/>
          <w:color w:val="000000" w:themeColor="text1"/>
          <w:sz w:val="20"/>
          <w:szCs w:val="20"/>
          <w:lang w:val="en-US"/>
        </w:rPr>
        <w:t xml:space="preserve"> de transition </w:t>
      </w:r>
      <w:proofErr w:type="spellStart"/>
      <w:r w:rsidRPr="009D7635">
        <w:rPr>
          <w:rFonts w:ascii="Times New Roman" w:hAnsi="Times New Roman" w:cs="Times New Roman"/>
          <w:color w:val="000000" w:themeColor="text1"/>
          <w:sz w:val="20"/>
          <w:szCs w:val="20"/>
          <w:lang w:val="en-US"/>
        </w:rPr>
        <w:t>ni</w:t>
      </w:r>
      <w:proofErr w:type="spellEnd"/>
      <w:r w:rsidRPr="009D7635">
        <w:rPr>
          <w:rFonts w:ascii="Times New Roman" w:hAnsi="Times New Roman" w:cs="Times New Roman"/>
          <w:color w:val="000000" w:themeColor="text1"/>
          <w:sz w:val="20"/>
          <w:szCs w:val="20"/>
          <w:lang w:val="en-US"/>
        </w:rPr>
        <w:t xml:space="preserve"> introduction: Jean de La Rochelle y </w:t>
      </w:r>
      <w:proofErr w:type="spellStart"/>
      <w:r w:rsidRPr="009D7635">
        <w:rPr>
          <w:rFonts w:ascii="Times New Roman" w:hAnsi="Times New Roman" w:cs="Times New Roman"/>
          <w:color w:val="000000" w:themeColor="text1"/>
          <w:sz w:val="20"/>
          <w:szCs w:val="20"/>
          <w:lang w:val="en-US"/>
        </w:rPr>
        <w:t>offre</w:t>
      </w:r>
      <w:proofErr w:type="spellEnd"/>
      <w:r w:rsidRPr="009D7635">
        <w:rPr>
          <w:rFonts w:ascii="Times New Roman" w:hAnsi="Times New Roman" w:cs="Times New Roman"/>
          <w:color w:val="000000" w:themeColor="text1"/>
          <w:sz w:val="20"/>
          <w:szCs w:val="20"/>
          <w:lang w:val="en-US"/>
        </w:rPr>
        <w:t xml:space="preserve"> au </w:t>
      </w:r>
      <w:proofErr w:type="spellStart"/>
      <w:r w:rsidRPr="009D7635">
        <w:rPr>
          <w:rFonts w:ascii="Times New Roman" w:hAnsi="Times New Roman" w:cs="Times New Roman"/>
          <w:color w:val="000000" w:themeColor="text1"/>
          <w:sz w:val="20"/>
          <w:szCs w:val="20"/>
          <w:lang w:val="en-US"/>
        </w:rPr>
        <w:t>lecteur</w:t>
      </w:r>
      <w:proofErr w:type="spellEnd"/>
      <w:r w:rsidRPr="009D7635">
        <w:rPr>
          <w:rFonts w:ascii="Times New Roman" w:hAnsi="Times New Roman" w:cs="Times New Roman"/>
          <w:color w:val="000000" w:themeColor="text1"/>
          <w:sz w:val="20"/>
          <w:szCs w:val="20"/>
          <w:lang w:val="en-US"/>
        </w:rPr>
        <w:t xml:space="preserve"> de la documentation pure, à l'état brut </w:t>
      </w:r>
      <w:proofErr w:type="spellStart"/>
      <w:r w:rsidRPr="009D7635">
        <w:rPr>
          <w:rFonts w:ascii="Times New Roman" w:hAnsi="Times New Roman" w:cs="Times New Roman"/>
          <w:color w:val="000000" w:themeColor="text1"/>
          <w:sz w:val="20"/>
          <w:szCs w:val="20"/>
          <w:lang w:val="en-US"/>
        </w:rPr>
        <w:t>pourrait-on</w:t>
      </w:r>
      <w:proofErr w:type="spellEnd"/>
      <w:r w:rsidRPr="009D7635">
        <w:rPr>
          <w:rFonts w:ascii="Times New Roman" w:hAnsi="Times New Roman" w:cs="Times New Roman"/>
          <w:color w:val="000000" w:themeColor="text1"/>
          <w:sz w:val="20"/>
          <w:szCs w:val="20"/>
          <w:lang w:val="en-US"/>
        </w:rPr>
        <w:t xml:space="preserve"> dire, et il </w:t>
      </w:r>
      <w:proofErr w:type="spellStart"/>
      <w:r w:rsidRPr="009D7635">
        <w:rPr>
          <w:rFonts w:ascii="Times New Roman" w:hAnsi="Times New Roman" w:cs="Times New Roman"/>
          <w:color w:val="000000" w:themeColor="text1"/>
          <w:sz w:val="20"/>
          <w:szCs w:val="20"/>
          <w:lang w:val="en-US"/>
        </w:rPr>
        <w:t>rassemble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le</w:t>
      </w:r>
      <w:proofErr w:type="spellEnd"/>
      <w:r w:rsidRPr="009D7635">
        <w:rPr>
          <w:rFonts w:ascii="Times New Roman" w:hAnsi="Times New Roman" w:cs="Times New Roman"/>
          <w:color w:val="000000" w:themeColor="text1"/>
          <w:sz w:val="20"/>
          <w:szCs w:val="20"/>
          <w:lang w:val="en-US"/>
        </w:rPr>
        <w:t xml:space="preserve"> plus grand </w:t>
      </w:r>
      <w:proofErr w:type="spellStart"/>
      <w:r w:rsidRPr="009D7635">
        <w:rPr>
          <w:rFonts w:ascii="Times New Roman" w:hAnsi="Times New Roman" w:cs="Times New Roman"/>
          <w:color w:val="000000" w:themeColor="text1"/>
          <w:sz w:val="20"/>
          <w:szCs w:val="20"/>
          <w:lang w:val="en-US"/>
        </w:rPr>
        <w:t>nombre</w:t>
      </w:r>
      <w:proofErr w:type="spellEnd"/>
      <w:r w:rsidRPr="009D7635">
        <w:rPr>
          <w:rFonts w:ascii="Times New Roman" w:hAnsi="Times New Roman" w:cs="Times New Roman"/>
          <w:color w:val="000000" w:themeColor="text1"/>
          <w:sz w:val="20"/>
          <w:szCs w:val="20"/>
          <w:lang w:val="en-US"/>
        </w:rPr>
        <w:t xml:space="preserve"> de </w:t>
      </w:r>
      <w:proofErr w:type="spellStart"/>
      <w:r w:rsidRPr="009D7635">
        <w:rPr>
          <w:rFonts w:ascii="Times New Roman" w:hAnsi="Times New Roman" w:cs="Times New Roman"/>
          <w:color w:val="000000" w:themeColor="text1"/>
          <w:sz w:val="20"/>
          <w:szCs w:val="20"/>
          <w:lang w:val="en-US"/>
        </w:rPr>
        <w:t>matériaux</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qu'il</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peut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atteindre</w:t>
      </w:r>
      <w:proofErr w:type="spellEnd"/>
      <w:r w:rsidRPr="009D7635">
        <w:rPr>
          <w:rFonts w:ascii="Times New Roman" w:hAnsi="Times New Roman" w:cs="Times New Roman"/>
          <w:color w:val="000000" w:themeColor="text1"/>
          <w:sz w:val="20"/>
          <w:szCs w:val="20"/>
          <w:lang w:val="en-US"/>
        </w:rPr>
        <w:t xml:space="preserve">, sans se </w:t>
      </w:r>
      <w:proofErr w:type="spellStart"/>
      <w:r w:rsidRPr="009D7635">
        <w:rPr>
          <w:rFonts w:ascii="Times New Roman" w:hAnsi="Times New Roman" w:cs="Times New Roman"/>
          <w:color w:val="000000" w:themeColor="text1"/>
          <w:sz w:val="20"/>
          <w:szCs w:val="20"/>
          <w:lang w:val="en-US"/>
        </w:rPr>
        <w:t>soucier</w:t>
      </w:r>
      <w:proofErr w:type="spellEnd"/>
      <w:r w:rsidRPr="009D7635">
        <w:rPr>
          <w:rFonts w:ascii="Times New Roman" w:hAnsi="Times New Roman" w:cs="Times New Roman"/>
          <w:color w:val="000000" w:themeColor="text1"/>
          <w:sz w:val="20"/>
          <w:szCs w:val="20"/>
          <w:lang w:val="en-US"/>
        </w:rPr>
        <w:t xml:space="preserve"> de </w:t>
      </w:r>
      <w:proofErr w:type="spellStart"/>
      <w:r w:rsidRPr="009D7635">
        <w:rPr>
          <w:rFonts w:ascii="Times New Roman" w:hAnsi="Times New Roman" w:cs="Times New Roman"/>
          <w:color w:val="000000" w:themeColor="text1"/>
          <w:sz w:val="20"/>
          <w:szCs w:val="20"/>
          <w:lang w:val="en-US"/>
        </w:rPr>
        <w:t>leur</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intérêt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propre</w:t>
      </w:r>
      <w:proofErr w:type="spellEnd"/>
      <w:r w:rsidRPr="009D7635">
        <w:rPr>
          <w:rFonts w:ascii="Times New Roman" w:hAnsi="Times New Roman" w:cs="Times New Roman"/>
          <w:color w:val="000000" w:themeColor="text1"/>
          <w:sz w:val="20"/>
          <w:szCs w:val="20"/>
          <w:lang w:val="en-US"/>
        </w:rPr>
        <w:t xml:space="preserve"> et de </w:t>
      </w:r>
      <w:proofErr w:type="spellStart"/>
      <w:r w:rsidRPr="009D7635">
        <w:rPr>
          <w:rFonts w:ascii="Times New Roman" w:hAnsi="Times New Roman" w:cs="Times New Roman"/>
          <w:color w:val="000000" w:themeColor="text1"/>
          <w:sz w:val="20"/>
          <w:szCs w:val="20"/>
          <w:lang w:val="en-US"/>
        </w:rPr>
        <w:t>leur</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mise</w:t>
      </w:r>
      <w:proofErr w:type="spellEnd"/>
      <w:r w:rsidRPr="009D7635">
        <w:rPr>
          <w:rFonts w:ascii="Times New Roman" w:hAnsi="Times New Roman" w:cs="Times New Roman"/>
          <w:color w:val="000000" w:themeColor="text1"/>
          <w:sz w:val="20"/>
          <w:szCs w:val="20"/>
          <w:lang w:val="en-US"/>
        </w:rPr>
        <w:t xml:space="preserve"> en </w:t>
      </w:r>
      <w:proofErr w:type="spellStart"/>
      <w:r w:rsidRPr="009D7635">
        <w:rPr>
          <w:rFonts w:ascii="Times New Roman" w:hAnsi="Times New Roman" w:cs="Times New Roman"/>
          <w:color w:val="000000" w:themeColor="text1"/>
          <w:sz w:val="20"/>
          <w:szCs w:val="20"/>
          <w:lang w:val="en-US"/>
        </w:rPr>
        <w:t>valeur</w:t>
      </w:r>
      <w:proofErr w:type="spellEnd"/>
      <w:r w:rsidRPr="009D7635">
        <w:rPr>
          <w:rFonts w:ascii="Times New Roman" w:hAnsi="Times New Roman" w:cs="Times New Roman"/>
          <w:color w:val="000000" w:themeColor="text1"/>
          <w:sz w:val="20"/>
          <w:szCs w:val="20"/>
          <w:lang w:val="en-US"/>
        </w:rPr>
        <w:t xml:space="preserve">. La Summa se </w:t>
      </w:r>
      <w:proofErr w:type="spellStart"/>
      <w:r w:rsidRPr="009D7635">
        <w:rPr>
          <w:rFonts w:ascii="Times New Roman" w:hAnsi="Times New Roman" w:cs="Times New Roman"/>
          <w:color w:val="000000" w:themeColor="text1"/>
          <w:sz w:val="20"/>
          <w:szCs w:val="20"/>
          <w:lang w:val="en-US"/>
        </w:rPr>
        <w:t>présente</w:t>
      </w:r>
      <w:proofErr w:type="spellEnd"/>
      <w:r w:rsidRPr="009D7635">
        <w:rPr>
          <w:rFonts w:ascii="Times New Roman" w:hAnsi="Times New Roman" w:cs="Times New Roman"/>
          <w:color w:val="000000" w:themeColor="text1"/>
          <w:sz w:val="20"/>
          <w:szCs w:val="20"/>
          <w:lang w:val="en-US"/>
        </w:rPr>
        <w:t xml:space="preserve"> au contraire </w:t>
      </w:r>
      <w:proofErr w:type="spellStart"/>
      <w:r w:rsidRPr="009D7635">
        <w:rPr>
          <w:rFonts w:ascii="Times New Roman" w:hAnsi="Times New Roman" w:cs="Times New Roman"/>
          <w:color w:val="000000" w:themeColor="text1"/>
          <w:sz w:val="20"/>
          <w:szCs w:val="20"/>
          <w:lang w:val="en-US"/>
        </w:rPr>
        <w:t>comme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une</w:t>
      </w:r>
      <w:proofErr w:type="spellEnd"/>
      <w:r w:rsidRPr="009D7635">
        <w:rPr>
          <w:rFonts w:ascii="Times New Roman" w:hAnsi="Times New Roman" w:cs="Times New Roman"/>
          <w:color w:val="000000" w:themeColor="text1"/>
          <w:sz w:val="20"/>
          <w:szCs w:val="20"/>
          <w:lang w:val="en-US"/>
        </w:rPr>
        <w:t xml:space="preserve"> oeuvre plus </w:t>
      </w:r>
      <w:proofErr w:type="spellStart"/>
      <w:r w:rsidRPr="009D7635">
        <w:rPr>
          <w:rFonts w:ascii="Times New Roman" w:hAnsi="Times New Roman" w:cs="Times New Roman"/>
          <w:color w:val="000000" w:themeColor="text1"/>
          <w:sz w:val="20"/>
          <w:szCs w:val="20"/>
          <w:lang w:val="en-US"/>
        </w:rPr>
        <w:t>personnelle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conforme</w:t>
      </w:r>
      <w:proofErr w:type="spellEnd"/>
      <w:r w:rsidRPr="009D7635">
        <w:rPr>
          <w:rFonts w:ascii="Times New Roman" w:hAnsi="Times New Roman" w:cs="Times New Roman"/>
          <w:color w:val="000000" w:themeColor="text1"/>
          <w:sz w:val="20"/>
          <w:szCs w:val="20"/>
          <w:lang w:val="en-US"/>
        </w:rPr>
        <w:t xml:space="preserve"> aux </w:t>
      </w:r>
      <w:proofErr w:type="spellStart"/>
      <w:r w:rsidRPr="009D7635">
        <w:rPr>
          <w:rFonts w:ascii="Times New Roman" w:hAnsi="Times New Roman" w:cs="Times New Roman"/>
          <w:color w:val="000000" w:themeColor="text1"/>
          <w:sz w:val="20"/>
          <w:szCs w:val="20"/>
          <w:lang w:val="en-US"/>
        </w:rPr>
        <w:t>règles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habituelles</w:t>
      </w:r>
      <w:proofErr w:type="spellEnd"/>
      <w:r w:rsidRPr="009D7635">
        <w:rPr>
          <w:rFonts w:ascii="Times New Roman" w:hAnsi="Times New Roman" w:cs="Times New Roman"/>
          <w:color w:val="000000" w:themeColor="text1"/>
          <w:sz w:val="20"/>
          <w:szCs w:val="20"/>
          <w:lang w:val="en-US"/>
        </w:rPr>
        <w:t xml:space="preserve"> de la composition </w:t>
      </w:r>
      <w:proofErr w:type="spellStart"/>
      <w:r w:rsidRPr="009D7635">
        <w:rPr>
          <w:rFonts w:ascii="Times New Roman" w:hAnsi="Times New Roman" w:cs="Times New Roman"/>
          <w:color w:val="000000" w:themeColor="text1"/>
          <w:sz w:val="20"/>
          <w:szCs w:val="20"/>
          <w:lang w:val="en-US"/>
        </w:rPr>
        <w:t>littéraire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médiévale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avec</w:t>
      </w:r>
      <w:proofErr w:type="spellEnd"/>
      <w:r w:rsidRPr="009D7635">
        <w:rPr>
          <w:rFonts w:ascii="Times New Roman" w:hAnsi="Times New Roman" w:cs="Times New Roman"/>
          <w:color w:val="000000" w:themeColor="text1"/>
          <w:sz w:val="20"/>
          <w:szCs w:val="20"/>
          <w:lang w:val="en-US"/>
        </w:rPr>
        <w:t xml:space="preserve"> son prologue </w:t>
      </w:r>
      <w:proofErr w:type="spellStart"/>
      <w:r w:rsidRPr="009D7635">
        <w:rPr>
          <w:rFonts w:ascii="Times New Roman" w:hAnsi="Times New Roman" w:cs="Times New Roman"/>
          <w:color w:val="000000" w:themeColor="text1"/>
          <w:sz w:val="20"/>
          <w:szCs w:val="20"/>
          <w:lang w:val="en-US"/>
        </w:rPr>
        <w:t>articulé</w:t>
      </w:r>
      <w:proofErr w:type="spellEnd"/>
      <w:r w:rsidRPr="009D7635">
        <w:rPr>
          <w:rFonts w:ascii="Times New Roman" w:hAnsi="Times New Roman" w:cs="Times New Roman"/>
          <w:color w:val="000000" w:themeColor="text1"/>
          <w:sz w:val="20"/>
          <w:szCs w:val="20"/>
          <w:lang w:val="en-US"/>
        </w:rPr>
        <w:t xml:space="preserve"> à </w:t>
      </w:r>
      <w:proofErr w:type="spellStart"/>
      <w:r w:rsidRPr="009D7635">
        <w:rPr>
          <w:rFonts w:ascii="Times New Roman" w:hAnsi="Times New Roman" w:cs="Times New Roman"/>
          <w:color w:val="000000" w:themeColor="text1"/>
          <w:sz w:val="20"/>
          <w:szCs w:val="20"/>
          <w:lang w:val="en-US"/>
        </w:rPr>
        <w:t>partir</w:t>
      </w:r>
      <w:proofErr w:type="spellEnd"/>
      <w:r w:rsidRPr="009D7635">
        <w:rPr>
          <w:rFonts w:ascii="Times New Roman" w:hAnsi="Times New Roman" w:cs="Times New Roman"/>
          <w:color w:val="000000" w:themeColor="text1"/>
          <w:sz w:val="20"/>
          <w:szCs w:val="20"/>
          <w:lang w:val="en-US"/>
        </w:rPr>
        <w:t xml:space="preserve"> d'un </w:t>
      </w:r>
      <w:proofErr w:type="spellStart"/>
      <w:r w:rsidRPr="009D7635">
        <w:rPr>
          <w:rFonts w:ascii="Times New Roman" w:hAnsi="Times New Roman" w:cs="Times New Roman"/>
          <w:color w:val="000000" w:themeColor="text1"/>
          <w:sz w:val="20"/>
          <w:szCs w:val="20"/>
          <w:lang w:val="en-US"/>
        </w:rPr>
        <w:t>texte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scripturaire</w:t>
      </w:r>
      <w:proofErr w:type="spellEnd"/>
      <w:r w:rsidRPr="009D7635">
        <w:rPr>
          <w:rFonts w:ascii="Times New Roman" w:hAnsi="Times New Roman" w:cs="Times New Roman"/>
          <w:color w:val="000000" w:themeColor="text1"/>
          <w:sz w:val="20"/>
          <w:szCs w:val="20"/>
          <w:lang w:val="en-US"/>
        </w:rPr>
        <w:t xml:space="preserve">, et la transition </w:t>
      </w:r>
      <w:proofErr w:type="spellStart"/>
      <w:r w:rsidRPr="009D7635">
        <w:rPr>
          <w:rFonts w:ascii="Times New Roman" w:hAnsi="Times New Roman" w:cs="Times New Roman"/>
          <w:color w:val="000000" w:themeColor="text1"/>
          <w:sz w:val="20"/>
          <w:szCs w:val="20"/>
          <w:lang w:val="en-US"/>
        </w:rPr>
        <w:t>entre</w:t>
      </w:r>
      <w:proofErr w:type="spellEnd"/>
      <w:r w:rsidRPr="009D7635">
        <w:rPr>
          <w:rFonts w:ascii="Times New Roman" w:hAnsi="Times New Roman" w:cs="Times New Roman"/>
          <w:color w:val="000000" w:themeColor="text1"/>
          <w:sz w:val="20"/>
          <w:szCs w:val="20"/>
          <w:lang w:val="en-US"/>
        </w:rPr>
        <w:t xml:space="preserve"> les </w:t>
      </w:r>
      <w:proofErr w:type="spellStart"/>
      <w:r w:rsidRPr="009D7635">
        <w:rPr>
          <w:rFonts w:ascii="Times New Roman" w:hAnsi="Times New Roman" w:cs="Times New Roman"/>
          <w:color w:val="000000" w:themeColor="text1"/>
          <w:sz w:val="20"/>
          <w:szCs w:val="20"/>
          <w:lang w:val="en-US"/>
        </w:rPr>
        <w:t>deux</w:t>
      </w:r>
      <w:proofErr w:type="spellEnd"/>
      <w:r w:rsidRPr="009D7635">
        <w:rPr>
          <w:rFonts w:ascii="Times New Roman" w:hAnsi="Times New Roman" w:cs="Times New Roman"/>
          <w:color w:val="000000" w:themeColor="text1"/>
          <w:sz w:val="20"/>
          <w:szCs w:val="20"/>
          <w:lang w:val="en-US"/>
        </w:rPr>
        <w:t xml:space="preserve"> parties, qui fait </w:t>
      </w:r>
      <w:proofErr w:type="spellStart"/>
      <w:r w:rsidRPr="009D7635">
        <w:rPr>
          <w:rFonts w:ascii="Times New Roman" w:hAnsi="Times New Roman" w:cs="Times New Roman"/>
          <w:color w:val="000000" w:themeColor="text1"/>
          <w:sz w:val="20"/>
          <w:szCs w:val="20"/>
          <w:lang w:val="en-US"/>
        </w:rPr>
        <w:t>appel</w:t>
      </w:r>
      <w:proofErr w:type="spellEnd"/>
      <w:r w:rsidRPr="009D7635">
        <w:rPr>
          <w:rFonts w:ascii="Times New Roman" w:hAnsi="Times New Roman" w:cs="Times New Roman"/>
          <w:color w:val="000000" w:themeColor="text1"/>
          <w:sz w:val="20"/>
          <w:szCs w:val="20"/>
          <w:lang w:val="en-US"/>
        </w:rPr>
        <w:t xml:space="preserve"> à l'aide divine.’</w:t>
      </w:r>
    </w:p>
  </w:footnote>
  <w:footnote w:id="616">
    <w:p w14:paraId="2E979558" w14:textId="7D33F406"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5624A1" w:rsidRPr="009D7635">
        <w:rPr>
          <w:rFonts w:ascii="Times New Roman" w:hAnsi="Times New Roman" w:cs="Times New Roman"/>
          <w:iCs/>
          <w:color w:val="000000" w:themeColor="text1"/>
          <w:sz w:val="20"/>
          <w:szCs w:val="20"/>
        </w:rPr>
        <w:t>Ibid.,</w:t>
      </w:r>
      <w:r w:rsidR="005624A1"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13: on the use of the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color w:val="000000" w:themeColor="text1"/>
          <w:sz w:val="20"/>
          <w:szCs w:val="20"/>
        </w:rPr>
        <w:t xml:space="preserve"> for teaching, 16: ‘</w:t>
      </w:r>
      <w:r w:rsidRPr="009D7635">
        <w:rPr>
          <w:rFonts w:ascii="Times New Roman" w:hAnsi="Times New Roman" w:cs="Times New Roman"/>
          <w:color w:val="000000" w:themeColor="text1"/>
          <w:sz w:val="20"/>
          <w:szCs w:val="20"/>
          <w:lang w:val="en-US"/>
        </w:rPr>
        <w:t xml:space="preserve">En de </w:t>
      </w:r>
      <w:proofErr w:type="spellStart"/>
      <w:r w:rsidRPr="009D7635">
        <w:rPr>
          <w:rFonts w:ascii="Times New Roman" w:hAnsi="Times New Roman" w:cs="Times New Roman"/>
          <w:color w:val="000000" w:themeColor="text1"/>
          <w:sz w:val="20"/>
          <w:szCs w:val="20"/>
          <w:lang w:val="en-US"/>
        </w:rPr>
        <w:t>nombreux</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endroits</w:t>
      </w:r>
      <w:proofErr w:type="spellEnd"/>
      <w:r w:rsidRPr="009D7635">
        <w:rPr>
          <w:rFonts w:ascii="Times New Roman" w:hAnsi="Times New Roman" w:cs="Times New Roman"/>
          <w:color w:val="000000" w:themeColor="text1"/>
          <w:sz w:val="20"/>
          <w:szCs w:val="20"/>
          <w:lang w:val="en-US"/>
        </w:rPr>
        <w:t xml:space="preserve"> les </w:t>
      </w:r>
      <w:proofErr w:type="spellStart"/>
      <w:r w:rsidRPr="009D7635">
        <w:rPr>
          <w:rFonts w:ascii="Times New Roman" w:hAnsi="Times New Roman" w:cs="Times New Roman"/>
          <w:color w:val="000000" w:themeColor="text1"/>
          <w:sz w:val="20"/>
          <w:szCs w:val="20"/>
          <w:lang w:val="en-US"/>
        </w:rPr>
        <w:t>lignes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selon</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lesquelles</w:t>
      </w:r>
      <w:proofErr w:type="spellEnd"/>
      <w:r w:rsidRPr="009D7635">
        <w:rPr>
          <w:rFonts w:ascii="Times New Roman" w:hAnsi="Times New Roman" w:cs="Times New Roman"/>
          <w:color w:val="000000" w:themeColor="text1"/>
          <w:sz w:val="20"/>
          <w:szCs w:val="20"/>
          <w:lang w:val="en-US"/>
        </w:rPr>
        <w:t xml:space="preserve"> l'auteur a </w:t>
      </w:r>
      <w:proofErr w:type="spellStart"/>
      <w:r w:rsidRPr="009D7635">
        <w:rPr>
          <w:rFonts w:ascii="Times New Roman" w:hAnsi="Times New Roman" w:cs="Times New Roman"/>
          <w:color w:val="000000" w:themeColor="text1"/>
          <w:sz w:val="20"/>
          <w:szCs w:val="20"/>
          <w:lang w:val="en-US"/>
        </w:rPr>
        <w:t>organisé</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le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développement</w:t>
      </w:r>
      <w:proofErr w:type="spellEnd"/>
      <w:r w:rsidRPr="009D7635">
        <w:rPr>
          <w:rFonts w:ascii="Times New Roman" w:hAnsi="Times New Roman" w:cs="Times New Roman"/>
          <w:color w:val="000000" w:themeColor="text1"/>
          <w:sz w:val="20"/>
          <w:szCs w:val="20"/>
          <w:lang w:val="en-US"/>
        </w:rPr>
        <w:t xml:space="preserve"> de </w:t>
      </w:r>
      <w:proofErr w:type="spellStart"/>
      <w:r w:rsidRPr="009D7635">
        <w:rPr>
          <w:rFonts w:ascii="Times New Roman" w:hAnsi="Times New Roman" w:cs="Times New Roman"/>
          <w:color w:val="000000" w:themeColor="text1"/>
          <w:sz w:val="20"/>
          <w:szCs w:val="20"/>
          <w:lang w:val="en-US"/>
        </w:rPr>
        <w:t>ses</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deux</w:t>
      </w:r>
      <w:proofErr w:type="spellEnd"/>
      <w:r w:rsidRPr="009D7635">
        <w:rPr>
          <w:rFonts w:ascii="Times New Roman" w:hAnsi="Times New Roman" w:cs="Times New Roman"/>
          <w:color w:val="000000" w:themeColor="text1"/>
          <w:sz w:val="20"/>
          <w:szCs w:val="20"/>
          <w:lang w:val="en-US"/>
        </w:rPr>
        <w:t xml:space="preserve"> exposés </w:t>
      </w:r>
      <w:proofErr w:type="spellStart"/>
      <w:r w:rsidRPr="009D7635">
        <w:rPr>
          <w:rFonts w:ascii="Times New Roman" w:hAnsi="Times New Roman" w:cs="Times New Roman"/>
          <w:color w:val="000000" w:themeColor="text1"/>
          <w:sz w:val="20"/>
          <w:szCs w:val="20"/>
          <w:lang w:val="en-US"/>
        </w:rPr>
        <w:t>sur</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l'âme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humaine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sont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parallèles</w:t>
      </w:r>
      <w:proofErr w:type="spellEnd"/>
      <w:r w:rsidRPr="009D7635">
        <w:rPr>
          <w:rFonts w:ascii="Times New Roman" w:hAnsi="Times New Roman" w:cs="Times New Roman"/>
          <w:color w:val="000000" w:themeColor="text1"/>
          <w:sz w:val="20"/>
          <w:szCs w:val="20"/>
          <w:lang w:val="en-US"/>
        </w:rPr>
        <w:t xml:space="preserve">, et </w:t>
      </w:r>
      <w:proofErr w:type="spellStart"/>
      <w:r w:rsidRPr="009D7635">
        <w:rPr>
          <w:rFonts w:ascii="Times New Roman" w:hAnsi="Times New Roman" w:cs="Times New Roman"/>
          <w:color w:val="000000" w:themeColor="text1"/>
          <w:sz w:val="20"/>
          <w:szCs w:val="20"/>
          <w:lang w:val="en-US"/>
        </w:rPr>
        <w:t>certains</w:t>
      </w:r>
      <w:proofErr w:type="spellEnd"/>
      <w:r w:rsidRPr="009D7635">
        <w:rPr>
          <w:rFonts w:ascii="Times New Roman" w:hAnsi="Times New Roman" w:cs="Times New Roman"/>
          <w:color w:val="000000" w:themeColor="text1"/>
          <w:sz w:val="20"/>
          <w:szCs w:val="20"/>
          <w:lang w:val="en-US"/>
        </w:rPr>
        <w:t xml:space="preserve"> passages </w:t>
      </w:r>
      <w:proofErr w:type="spellStart"/>
      <w:r w:rsidRPr="009D7635">
        <w:rPr>
          <w:rFonts w:ascii="Times New Roman" w:hAnsi="Times New Roman" w:cs="Times New Roman"/>
          <w:color w:val="000000" w:themeColor="text1"/>
          <w:sz w:val="20"/>
          <w:szCs w:val="20"/>
          <w:lang w:val="en-US"/>
        </w:rPr>
        <w:t>d'une</w:t>
      </w:r>
      <w:proofErr w:type="spellEnd"/>
      <w:r w:rsidRPr="009D7635">
        <w:rPr>
          <w:rFonts w:ascii="Times New Roman" w:hAnsi="Times New Roman" w:cs="Times New Roman"/>
          <w:color w:val="000000" w:themeColor="text1"/>
          <w:sz w:val="20"/>
          <w:szCs w:val="20"/>
          <w:lang w:val="en-US"/>
        </w:rPr>
        <w:t xml:space="preserve"> fort notable </w:t>
      </w:r>
      <w:proofErr w:type="spellStart"/>
      <w:r w:rsidRPr="009D7635">
        <w:rPr>
          <w:rFonts w:ascii="Times New Roman" w:hAnsi="Times New Roman" w:cs="Times New Roman"/>
          <w:color w:val="000000" w:themeColor="text1"/>
          <w:sz w:val="20"/>
          <w:szCs w:val="20"/>
          <w:lang w:val="en-US"/>
        </w:rPr>
        <w:t>étendue</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sont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littéralement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identiques</w:t>
      </w:r>
      <w:proofErr w:type="spellEnd"/>
      <w:r w:rsidRPr="009D7635">
        <w:rPr>
          <w:rFonts w:ascii="Times New Roman" w:hAnsi="Times New Roman" w:cs="Times New Roman"/>
          <w:color w:val="000000" w:themeColor="text1"/>
          <w:sz w:val="20"/>
          <w:szCs w:val="20"/>
          <w:lang w:val="en-US"/>
        </w:rPr>
        <w:t xml:space="preserve"> dans l'un et dans </w:t>
      </w:r>
      <w:proofErr w:type="spellStart"/>
      <w:r w:rsidRPr="009D7635">
        <w:rPr>
          <w:rFonts w:ascii="Times New Roman" w:hAnsi="Times New Roman" w:cs="Times New Roman"/>
          <w:color w:val="000000" w:themeColor="text1"/>
          <w:sz w:val="20"/>
          <w:szCs w:val="20"/>
          <w:lang w:val="en-US"/>
        </w:rPr>
        <w:t>l'autre</w:t>
      </w:r>
      <w:proofErr w:type="spellEnd"/>
      <w:r w:rsidRPr="009D7635">
        <w:rPr>
          <w:rFonts w:ascii="Times New Roman" w:hAnsi="Times New Roman" w:cs="Times New Roman"/>
          <w:color w:val="000000" w:themeColor="text1"/>
          <w:sz w:val="20"/>
          <w:szCs w:val="20"/>
          <w:lang w:val="en-US"/>
        </w:rPr>
        <w:t>.’</w:t>
      </w:r>
    </w:p>
  </w:footnote>
  <w:footnote w:id="617">
    <w:p w14:paraId="08491F33" w14:textId="1BC715BA"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70, quoting </w:t>
      </w:r>
      <w:r w:rsidRPr="009D7635">
        <w:rPr>
          <w:rFonts w:ascii="Times New Roman" w:hAnsi="Times New Roman" w:cs="Times New Roman"/>
          <w:i/>
          <w:iCs/>
          <w:color w:val="000000" w:themeColor="text1"/>
        </w:rPr>
        <w:t>Avicenna</w:t>
      </w:r>
      <w:r w:rsidR="007F6428" w:rsidRPr="009D7635">
        <w:rPr>
          <w:rFonts w:ascii="Times New Roman" w:hAnsi="Times New Roman" w:cs="Times New Roman"/>
          <w:i/>
          <w:iCs/>
          <w:color w:val="000000" w:themeColor="text1"/>
        </w:rPr>
        <w:t xml:space="preserve"> </w:t>
      </w:r>
      <w:proofErr w:type="spellStart"/>
      <w:r w:rsidR="007F6428" w:rsidRPr="009D7635">
        <w:rPr>
          <w:rFonts w:ascii="Times New Roman" w:hAnsi="Times New Roman" w:cs="Times New Roman"/>
          <w:i/>
          <w:iCs/>
          <w:color w:val="000000" w:themeColor="text1"/>
        </w:rPr>
        <w:t>Latinus</w:t>
      </w:r>
      <w:proofErr w:type="spellEnd"/>
      <w:r w:rsidR="00404ADB" w:rsidRPr="009D7635">
        <w:rPr>
          <w:rFonts w:ascii="Times New Roman" w:hAnsi="Times New Roman" w:cs="Times New Roman"/>
          <w:color w:val="000000" w:themeColor="text1"/>
        </w:rPr>
        <w:t>:</w:t>
      </w:r>
      <w:r w:rsidR="007F6428" w:rsidRPr="009D7635">
        <w:rPr>
          <w:rFonts w:ascii="Times New Roman" w:hAnsi="Times New Roman" w:cs="Times New Roman"/>
          <w:color w:val="000000" w:themeColor="text1"/>
        </w:rPr>
        <w:t xml:space="preserve"> </w:t>
      </w:r>
      <w:r w:rsidR="007F6428" w:rsidRPr="009D7635">
        <w:rPr>
          <w:rFonts w:ascii="Times New Roman" w:hAnsi="Times New Roman" w:cs="Times New Roman"/>
          <w:i/>
          <w:iCs/>
          <w:color w:val="000000" w:themeColor="text1"/>
        </w:rPr>
        <w:t>Liber</w:t>
      </w:r>
      <w:r w:rsidR="007F6428" w:rsidRPr="009D7635">
        <w:rPr>
          <w:rFonts w:ascii="Times New Roman" w:hAnsi="Times New Roman" w:cs="Times New Roman"/>
          <w:color w:val="000000" w:themeColor="text1"/>
        </w:rPr>
        <w:t xml:space="preserve"> </w:t>
      </w:r>
      <w:r w:rsidR="007F6428" w:rsidRPr="009D7635">
        <w:rPr>
          <w:rFonts w:ascii="Times New Roman" w:hAnsi="Times New Roman" w:cs="Times New Roman"/>
          <w:i/>
          <w:color w:val="000000" w:themeColor="text1"/>
        </w:rPr>
        <w:t>d</w:t>
      </w:r>
      <w:r w:rsidRPr="009D7635">
        <w:rPr>
          <w:rFonts w:ascii="Times New Roman" w:hAnsi="Times New Roman" w:cs="Times New Roman"/>
          <w:i/>
          <w:color w:val="000000" w:themeColor="text1"/>
        </w:rPr>
        <w:t xml:space="preserve">e anima </w:t>
      </w:r>
      <w:r w:rsidRPr="009D7635">
        <w:rPr>
          <w:rFonts w:ascii="Times New Roman" w:hAnsi="Times New Roman" w:cs="Times New Roman"/>
          <w:color w:val="000000" w:themeColor="text1"/>
        </w:rPr>
        <w:t>I.5</w:t>
      </w:r>
      <w:r w:rsidR="007F6428" w:rsidRPr="009D7635">
        <w:rPr>
          <w:rFonts w:ascii="Times New Roman" w:hAnsi="Times New Roman" w:cs="Times New Roman"/>
          <w:color w:val="000000" w:themeColor="text1"/>
        </w:rPr>
        <w:t>, 79-82</w:t>
      </w:r>
    </w:p>
  </w:footnote>
  <w:footnote w:id="618">
    <w:p w14:paraId="783E8CEA" w14:textId="6A9A8F7C"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70-1: </w:t>
      </w:r>
      <w:r w:rsidRPr="009D7635">
        <w:rPr>
          <w:rFonts w:ascii="Times New Roman" w:hAnsi="Times New Roman" w:cs="Times New Roman"/>
          <w:i/>
          <w:color w:val="000000" w:themeColor="text1"/>
          <w:sz w:val="20"/>
          <w:szCs w:val="20"/>
        </w:rPr>
        <w:t xml:space="preserve">Vis </w:t>
      </w:r>
      <w:proofErr w:type="spellStart"/>
      <w:r w:rsidRPr="009D7635">
        <w:rPr>
          <w:rFonts w:ascii="Times New Roman" w:hAnsi="Times New Roman" w:cs="Times New Roman"/>
          <w:i/>
          <w:color w:val="000000" w:themeColor="text1"/>
          <w:sz w:val="20"/>
          <w:szCs w:val="20"/>
        </w:rPr>
        <w:t>vege</w:t>
      </w:r>
      <w:r w:rsidRPr="009D7635">
        <w:rPr>
          <w:rFonts w:ascii="Times New Roman" w:hAnsi="Times New Roman" w:cs="Times New Roman"/>
          <w:i/>
          <w:color w:val="000000" w:themeColor="text1"/>
          <w:sz w:val="20"/>
          <w:szCs w:val="20"/>
          <w:lang w:val="en-US"/>
        </w:rPr>
        <w:t>tabilis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principium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conseruationis</w:t>
      </w:r>
      <w:proofErr w:type="spellEnd"/>
      <w:r w:rsidRPr="009D7635">
        <w:rPr>
          <w:rFonts w:ascii="Times New Roman" w:hAnsi="Times New Roman" w:cs="Times New Roman"/>
          <w:i/>
          <w:color w:val="000000" w:themeColor="text1"/>
          <w:sz w:val="20"/>
          <w:szCs w:val="20"/>
          <w:lang w:val="en-US"/>
        </w:rPr>
        <w:t xml:space="preserve"> nature per </w:t>
      </w:r>
      <w:proofErr w:type="spellStart"/>
      <w:r w:rsidRPr="009D7635">
        <w:rPr>
          <w:rFonts w:ascii="Times New Roman" w:hAnsi="Times New Roman" w:cs="Times New Roman"/>
          <w:i/>
          <w:color w:val="000000" w:themeColor="text1"/>
          <w:sz w:val="20"/>
          <w:szCs w:val="20"/>
          <w:lang w:val="en-US"/>
        </w:rPr>
        <w:t>generationem</w:t>
      </w:r>
      <w:proofErr w:type="spellEnd"/>
      <w:r w:rsidRPr="009D7635">
        <w:rPr>
          <w:rFonts w:ascii="Times New Roman" w:hAnsi="Times New Roman" w:cs="Times New Roman"/>
          <w:i/>
          <w:color w:val="000000" w:themeColor="text1"/>
          <w:sz w:val="20"/>
          <w:szCs w:val="20"/>
          <w:lang w:val="en-US"/>
        </w:rPr>
        <w:t xml:space="preserve"> et</w:t>
      </w:r>
    </w:p>
    <w:p w14:paraId="12B0DF5A" w14:textId="57E809B7"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proofErr w:type="spellStart"/>
      <w:r w:rsidRPr="009D7635">
        <w:rPr>
          <w:rFonts w:ascii="Times New Roman" w:hAnsi="Times New Roman" w:cs="Times New Roman"/>
          <w:i/>
          <w:color w:val="000000" w:themeColor="text1"/>
          <w:sz w:val="20"/>
          <w:szCs w:val="20"/>
          <w:lang w:val="en-US"/>
        </w:rPr>
        <w:t>nutrimentum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perfectionis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eius</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augmentum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principium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motus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animalis</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principium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speculationis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libere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electionis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actionum</w:t>
      </w:r>
      <w:proofErr w:type="spellEnd"/>
      <w:r w:rsidRPr="009D7635">
        <w:rPr>
          <w:rFonts w:ascii="Times New Roman" w:hAnsi="Times New Roman" w:cs="Times New Roman"/>
          <w:i/>
          <w:color w:val="000000" w:themeColor="text1"/>
          <w:sz w:val="20"/>
          <w:szCs w:val="20"/>
          <w:lang w:val="en-US"/>
        </w:rPr>
        <w:t>.</w:t>
      </w:r>
    </w:p>
  </w:footnote>
  <w:footnote w:id="619">
    <w:p w14:paraId="26753A5E" w14:textId="1C8FC5E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C1563" w:rsidRPr="009D7635">
        <w:rPr>
          <w:rFonts w:ascii="Times New Roman" w:hAnsi="Times New Roman" w:cs="Times New Roman"/>
          <w:iCs/>
          <w:color w:val="000000" w:themeColor="text1"/>
        </w:rPr>
        <w:t>Ibid.,</w:t>
      </w:r>
      <w:r w:rsidR="00FC1563"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citing Avicenna,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II.4; cf.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221</w:t>
      </w:r>
      <w:r w:rsidRPr="009D7635">
        <w:rPr>
          <w:rFonts w:ascii="Times New Roman" w:hAnsi="Times New Roman" w:cs="Times New Roman"/>
          <w:color w:val="000000" w:themeColor="text1"/>
        </w:rPr>
        <w:t>.</w:t>
      </w:r>
    </w:p>
  </w:footnote>
  <w:footnote w:id="620">
    <w:p w14:paraId="7A4CE43D" w14:textId="77FD8D86"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222</w:t>
      </w:r>
      <w:r w:rsidRPr="009D7635">
        <w:rPr>
          <w:rFonts w:ascii="Times New Roman" w:hAnsi="Times New Roman" w:cs="Times New Roman"/>
          <w:color w:val="000000" w:themeColor="text1"/>
        </w:rPr>
        <w:t>.</w:t>
      </w:r>
      <w:r w:rsidR="00694A81" w:rsidRPr="009D7635">
        <w:rPr>
          <w:rFonts w:ascii="Times New Roman" w:hAnsi="Times New Roman" w:cs="Times New Roman"/>
          <w:color w:val="000000" w:themeColor="text1"/>
        </w:rPr>
        <w:t xml:space="preserve"> </w:t>
      </w:r>
      <w:r w:rsidR="00694A81" w:rsidRPr="009D7635">
        <w:rPr>
          <w:rFonts w:ascii="Times New Roman" w:hAnsi="Times New Roman" w:cs="Times New Roman"/>
          <w:i/>
          <w:iCs/>
          <w:color w:val="000000" w:themeColor="text1"/>
        </w:rPr>
        <w:t xml:space="preserve">Avicenna </w:t>
      </w:r>
      <w:proofErr w:type="spellStart"/>
      <w:r w:rsidR="00694A81" w:rsidRPr="009D7635">
        <w:rPr>
          <w:rFonts w:ascii="Times New Roman" w:hAnsi="Times New Roman" w:cs="Times New Roman"/>
          <w:i/>
          <w:iCs/>
          <w:color w:val="000000" w:themeColor="text1"/>
        </w:rPr>
        <w:t>Latinus</w:t>
      </w:r>
      <w:proofErr w:type="spellEnd"/>
      <w:r w:rsidR="00404ADB" w:rsidRPr="009D7635">
        <w:rPr>
          <w:rFonts w:ascii="Times New Roman" w:hAnsi="Times New Roman" w:cs="Times New Roman"/>
          <w:color w:val="000000" w:themeColor="text1"/>
        </w:rPr>
        <w:t>:</w:t>
      </w:r>
      <w:r w:rsidR="00694A81" w:rsidRPr="009D7635">
        <w:rPr>
          <w:rFonts w:ascii="Times New Roman" w:hAnsi="Times New Roman" w:cs="Times New Roman"/>
          <w:color w:val="000000" w:themeColor="text1"/>
        </w:rPr>
        <w:t xml:space="preserve"> </w:t>
      </w:r>
      <w:r w:rsidR="00694A81" w:rsidRPr="009D7635">
        <w:rPr>
          <w:rFonts w:ascii="Times New Roman" w:hAnsi="Times New Roman" w:cs="Times New Roman"/>
          <w:i/>
          <w:iCs/>
          <w:color w:val="000000" w:themeColor="text1"/>
        </w:rPr>
        <w:t>Liber</w:t>
      </w:r>
      <w:r w:rsidR="00694A81" w:rsidRPr="009D7635">
        <w:rPr>
          <w:rFonts w:ascii="Times New Roman" w:hAnsi="Times New Roman" w:cs="Times New Roman"/>
          <w:color w:val="000000" w:themeColor="text1"/>
        </w:rPr>
        <w:t xml:space="preserve"> </w:t>
      </w:r>
      <w:r w:rsidR="00694A81" w:rsidRPr="009D7635">
        <w:rPr>
          <w:rFonts w:ascii="Times New Roman" w:hAnsi="Times New Roman" w:cs="Times New Roman"/>
          <w:i/>
          <w:color w:val="000000" w:themeColor="text1"/>
        </w:rPr>
        <w:t xml:space="preserve">de anima </w:t>
      </w:r>
      <w:r w:rsidR="00694A81" w:rsidRPr="009D7635">
        <w:rPr>
          <w:rFonts w:ascii="Times New Roman" w:hAnsi="Times New Roman" w:cs="Times New Roman"/>
          <w:color w:val="000000" w:themeColor="text1"/>
        </w:rPr>
        <w:t>I.5, 105-13 on the vegetative powers.</w:t>
      </w:r>
    </w:p>
  </w:footnote>
  <w:footnote w:id="621">
    <w:p w14:paraId="72DCEBEC"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 </w:t>
      </w:r>
      <w:proofErr w:type="spellStart"/>
      <w:r w:rsidRPr="009D7635">
        <w:rPr>
          <w:rFonts w:ascii="Times New Roman" w:hAnsi="Times New Roman" w:cs="Times New Roman"/>
          <w:color w:val="000000" w:themeColor="text1"/>
        </w:rPr>
        <w:t>McGinn</w:t>
      </w:r>
      <w:proofErr w:type="spellEnd"/>
      <w:r w:rsidRPr="009D7635">
        <w:rPr>
          <w:rFonts w:ascii="Times New Roman" w:hAnsi="Times New Roman" w:cs="Times New Roman"/>
          <w:color w:val="000000" w:themeColor="text1"/>
        </w:rPr>
        <w:t xml:space="preserve">, ‘Introduction,’ in </w:t>
      </w:r>
      <w:r w:rsidRPr="009D7635">
        <w:rPr>
          <w:rFonts w:ascii="Times New Roman" w:hAnsi="Times New Roman" w:cs="Times New Roman"/>
          <w:i/>
          <w:color w:val="000000" w:themeColor="text1"/>
        </w:rPr>
        <w:t xml:space="preserve">Three Treatises on Man </w:t>
      </w:r>
      <w:r w:rsidRPr="009D7635">
        <w:rPr>
          <w:rFonts w:ascii="Times New Roman" w:hAnsi="Times New Roman" w:cs="Times New Roman"/>
          <w:color w:val="000000" w:themeColor="text1"/>
        </w:rPr>
        <w:t>(Kalamazoo: Cistercian Publications, 1977), 32.</w:t>
      </w:r>
    </w:p>
  </w:footnote>
  <w:footnote w:id="622">
    <w:p w14:paraId="2053AF01" w14:textId="0DCD4C8E" w:rsidR="00B93ED5" w:rsidRPr="009D7635" w:rsidRDefault="00B93ED5" w:rsidP="00E212D3">
      <w:pPr>
        <w:jc w:val="both"/>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FC1563" w:rsidRPr="009D7635">
        <w:rPr>
          <w:rFonts w:ascii="Times New Roman" w:hAnsi="Times New Roman" w:cs="Times New Roman"/>
          <w:iCs/>
          <w:color w:val="000000" w:themeColor="text1"/>
          <w:sz w:val="20"/>
          <w:szCs w:val="20"/>
        </w:rPr>
        <w:t>Ibid.,</w:t>
      </w:r>
      <w:r w:rsidR="00FC1563"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30, 41; See also Lynn </w:t>
      </w:r>
      <w:proofErr w:type="spellStart"/>
      <w:r w:rsidRPr="009D7635">
        <w:rPr>
          <w:rFonts w:ascii="Times New Roman" w:hAnsi="Times New Roman" w:cs="Times New Roman"/>
          <w:color w:val="000000" w:themeColor="text1"/>
          <w:sz w:val="20"/>
          <w:szCs w:val="20"/>
        </w:rPr>
        <w:t>Thorndike</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A History of Magic and Experimental Science</w:t>
      </w:r>
      <w:r w:rsidRPr="009D7635">
        <w:rPr>
          <w:rFonts w:ascii="Times New Roman" w:hAnsi="Times New Roman" w:cs="Times New Roman"/>
          <w:color w:val="000000" w:themeColor="text1"/>
          <w:sz w:val="20"/>
          <w:szCs w:val="20"/>
        </w:rPr>
        <w:t xml:space="preserve"> (New York: Columbia University Press, 1923).</w:t>
      </w:r>
    </w:p>
  </w:footnote>
  <w:footnote w:id="623">
    <w:p w14:paraId="456D6CFD"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103-4.</w:t>
      </w:r>
    </w:p>
  </w:footnote>
  <w:footnote w:id="624">
    <w:p w14:paraId="36CEEF49" w14:textId="1FBEF26A" w:rsidR="00025325" w:rsidRPr="009D7635" w:rsidRDefault="00025325" w:rsidP="0002532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C1563" w:rsidRPr="009D7635">
        <w:rPr>
          <w:rFonts w:ascii="Times New Roman" w:hAnsi="Times New Roman" w:cs="Times New Roman"/>
          <w:iCs/>
          <w:color w:val="000000" w:themeColor="text1"/>
        </w:rPr>
        <w:t>Ibid.,</w:t>
      </w:r>
      <w:r w:rsidR="00FC1563"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72, citing Damascus’ distinction between cognitive and motive powers in chapter 36 of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Buytaert</w:t>
      </w:r>
      <w:proofErr w:type="spellEnd"/>
      <w:r w:rsidRPr="009D7635">
        <w:rPr>
          <w:rFonts w:ascii="Times New Roman" w:hAnsi="Times New Roman" w:cs="Times New Roman"/>
          <w:color w:val="000000" w:themeColor="text1"/>
        </w:rPr>
        <w:t xml:space="preserve">, 134. </w:t>
      </w:r>
    </w:p>
  </w:footnote>
  <w:footnote w:id="625">
    <w:p w14:paraId="3BBE81A3" w14:textId="28486133" w:rsidR="00025325" w:rsidRPr="009D7635" w:rsidRDefault="00025325" w:rsidP="0002532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C1563" w:rsidRPr="009D7635">
        <w:rPr>
          <w:rFonts w:ascii="Times New Roman" w:hAnsi="Times New Roman" w:cs="Times New Roman"/>
          <w:iCs/>
          <w:color w:val="000000" w:themeColor="text1"/>
        </w:rPr>
        <w:t>Ibid.,</w:t>
      </w:r>
      <w:r w:rsidR="00FC1563"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73.</w:t>
      </w:r>
    </w:p>
  </w:footnote>
  <w:footnote w:id="626">
    <w:p w14:paraId="168013F2" w14:textId="6AEE5F9D" w:rsidR="00025325" w:rsidRPr="009D7635" w:rsidRDefault="00025325" w:rsidP="0002532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C1563" w:rsidRPr="009D7635">
        <w:rPr>
          <w:rFonts w:ascii="Times New Roman" w:hAnsi="Times New Roman" w:cs="Times New Roman"/>
          <w:iCs/>
          <w:color w:val="000000" w:themeColor="text1"/>
        </w:rPr>
        <w:t>Ibid.,</w:t>
      </w:r>
      <w:r w:rsidR="00FC1563"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73-4.</w:t>
      </w:r>
    </w:p>
  </w:footnote>
  <w:footnote w:id="627">
    <w:p w14:paraId="4A89FA90" w14:textId="41E9370B" w:rsidR="00025325" w:rsidRPr="009D7635" w:rsidRDefault="00025325" w:rsidP="0002532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C1563" w:rsidRPr="009D7635">
        <w:rPr>
          <w:rFonts w:ascii="Times New Roman" w:hAnsi="Times New Roman" w:cs="Times New Roman"/>
          <w:iCs/>
          <w:color w:val="000000" w:themeColor="text1"/>
        </w:rPr>
        <w:t>Ibid.,</w:t>
      </w:r>
      <w:r w:rsidR="00FC1563" w:rsidRPr="009D7635">
        <w:rPr>
          <w:rFonts w:ascii="Times New Roman" w:hAnsi="Times New Roman" w:cs="Times New Roman"/>
          <w:color w:val="000000" w:themeColor="text1"/>
        </w:rPr>
        <w:t xml:space="preserve"> </w:t>
      </w:r>
      <w:r w:rsidRPr="009D7635">
        <w:rPr>
          <w:rFonts w:ascii="Times New Roman" w:hAnsi="Times New Roman" w:cs="Times New Roman"/>
          <w:iCs/>
          <w:color w:val="000000" w:themeColor="text1"/>
        </w:rPr>
        <w:t>74</w:t>
      </w:r>
      <w:r w:rsidRPr="009D7635">
        <w:rPr>
          <w:rFonts w:ascii="Times New Roman" w:hAnsi="Times New Roman" w:cs="Times New Roman"/>
          <w:color w:val="000000" w:themeColor="text1"/>
        </w:rPr>
        <w:t xml:space="preserve">; cf.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240</w:t>
      </w:r>
      <w:r w:rsidRPr="009D7635">
        <w:rPr>
          <w:rFonts w:ascii="Times New Roman" w:hAnsi="Times New Roman" w:cs="Times New Roman"/>
          <w:color w:val="000000" w:themeColor="text1"/>
        </w:rPr>
        <w:t xml:space="preserve">. On the internal senses, see </w:t>
      </w:r>
      <w:r w:rsidRPr="009D7635">
        <w:rPr>
          <w:rFonts w:ascii="Times New Roman" w:hAnsi="Times New Roman" w:cs="Times New Roman"/>
          <w:i/>
          <w:iCs/>
          <w:color w:val="000000" w:themeColor="text1"/>
        </w:rPr>
        <w:t xml:space="preserve">Avicenna </w:t>
      </w:r>
      <w:proofErr w:type="spellStart"/>
      <w:r w:rsidRPr="009D7635">
        <w:rPr>
          <w:rFonts w:ascii="Times New Roman" w:hAnsi="Times New Roman" w:cs="Times New Roman"/>
          <w:i/>
          <w:iCs/>
          <w:color w:val="000000" w:themeColor="text1"/>
        </w:rPr>
        <w:t>Latinus</w:t>
      </w:r>
      <w:proofErr w:type="spellEnd"/>
      <w:r w:rsidR="00404ADB"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Liber</w:t>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 xml:space="preserve">I.5, 87ff.; </w:t>
      </w:r>
      <w:r w:rsidRPr="009D7635">
        <w:rPr>
          <w:rFonts w:ascii="Times New Roman" w:hAnsi="Times New Roman" w:cs="Times New Roman"/>
          <w:i/>
          <w:iCs/>
        </w:rPr>
        <w:t xml:space="preserve">Avicenna </w:t>
      </w:r>
      <w:proofErr w:type="spellStart"/>
      <w:r w:rsidRPr="009D7635">
        <w:rPr>
          <w:rFonts w:ascii="Times New Roman" w:hAnsi="Times New Roman" w:cs="Times New Roman"/>
          <w:i/>
          <w:iCs/>
        </w:rPr>
        <w:t>Latinu</w:t>
      </w:r>
      <w:r w:rsidR="00404ADB" w:rsidRPr="009D7635">
        <w:rPr>
          <w:rFonts w:ascii="Times New Roman" w:hAnsi="Times New Roman" w:cs="Times New Roman"/>
          <w:i/>
          <w:iCs/>
        </w:rPr>
        <w:t>s</w:t>
      </w:r>
      <w:proofErr w:type="spellEnd"/>
      <w:r w:rsidR="00404ADB" w:rsidRPr="009D7635">
        <w:rPr>
          <w:rFonts w:ascii="Times New Roman" w:hAnsi="Times New Roman" w:cs="Times New Roman"/>
          <w:i/>
          <w:iCs/>
        </w:rPr>
        <w:t>:</w:t>
      </w:r>
      <w:r w:rsidRPr="009D7635">
        <w:rPr>
          <w:rFonts w:ascii="Times New Roman" w:hAnsi="Times New Roman" w:cs="Times New Roman"/>
          <w:i/>
          <w:iCs/>
        </w:rPr>
        <w:t xml:space="preserve"> Liber de anima </w:t>
      </w:r>
      <w:proofErr w:type="spellStart"/>
      <w:r w:rsidRPr="009D7635">
        <w:rPr>
          <w:rFonts w:ascii="Times New Roman" w:hAnsi="Times New Roman" w:cs="Times New Roman"/>
          <w:i/>
          <w:iCs/>
        </w:rPr>
        <w:t>seu</w:t>
      </w:r>
      <w:proofErr w:type="spellEnd"/>
      <w:r w:rsidRPr="009D7635">
        <w:rPr>
          <w:rFonts w:ascii="Times New Roman" w:hAnsi="Times New Roman" w:cs="Times New Roman"/>
          <w:i/>
          <w:iCs/>
        </w:rPr>
        <w:t xml:space="preserve"> </w:t>
      </w:r>
      <w:proofErr w:type="spellStart"/>
      <w:r w:rsidRPr="009D7635">
        <w:rPr>
          <w:rFonts w:ascii="Times New Roman" w:hAnsi="Times New Roman" w:cs="Times New Roman"/>
          <w:i/>
          <w:iCs/>
        </w:rPr>
        <w:t>sextus</w:t>
      </w:r>
      <w:proofErr w:type="spellEnd"/>
      <w:r w:rsidRPr="009D7635">
        <w:rPr>
          <w:rFonts w:ascii="Times New Roman" w:hAnsi="Times New Roman" w:cs="Times New Roman"/>
          <w:i/>
          <w:iCs/>
        </w:rPr>
        <w:t xml:space="preserve"> de </w:t>
      </w:r>
      <w:proofErr w:type="spellStart"/>
      <w:r w:rsidRPr="009D7635">
        <w:rPr>
          <w:rFonts w:ascii="Times New Roman" w:hAnsi="Times New Roman" w:cs="Times New Roman"/>
          <w:i/>
          <w:iCs/>
        </w:rPr>
        <w:t>naturalibus</w:t>
      </w:r>
      <w:proofErr w:type="spellEnd"/>
      <w:r w:rsidRPr="009D7635">
        <w:rPr>
          <w:rFonts w:ascii="Times New Roman" w:hAnsi="Times New Roman" w:cs="Times New Roman"/>
          <w:i/>
          <w:iCs/>
        </w:rPr>
        <w:t xml:space="preserve"> IV-V,</w:t>
      </w:r>
      <w:r w:rsidRPr="009D7635">
        <w:rPr>
          <w:rFonts w:ascii="Times New Roman" w:hAnsi="Times New Roman" w:cs="Times New Roman"/>
        </w:rPr>
        <w:t xml:space="preserve"> ed. S. Van </w:t>
      </w:r>
      <w:proofErr w:type="spellStart"/>
      <w:r w:rsidRPr="009D7635">
        <w:rPr>
          <w:rFonts w:ascii="Times New Roman" w:hAnsi="Times New Roman" w:cs="Times New Roman"/>
        </w:rPr>
        <w:t>Riet</w:t>
      </w:r>
      <w:proofErr w:type="spellEnd"/>
      <w:r w:rsidRPr="009D7635">
        <w:rPr>
          <w:rFonts w:ascii="Times New Roman" w:hAnsi="Times New Roman" w:cs="Times New Roman"/>
        </w:rPr>
        <w:t xml:space="preserve"> (Leiden: Brill, 1968), IV.I, 1-11. </w:t>
      </w:r>
    </w:p>
  </w:footnote>
  <w:footnote w:id="628">
    <w:p w14:paraId="2A5E4360" w14:textId="77777777" w:rsidR="00025325" w:rsidRPr="009D7635" w:rsidRDefault="00025325" w:rsidP="0002532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 </w:t>
      </w:r>
      <w:proofErr w:type="spellStart"/>
      <w:r w:rsidRPr="009D7635">
        <w:rPr>
          <w:rFonts w:ascii="Times New Roman" w:hAnsi="Times New Roman" w:cs="Times New Roman"/>
          <w:color w:val="000000" w:themeColor="text1"/>
        </w:rPr>
        <w:t>McGinn</w:t>
      </w:r>
      <w:proofErr w:type="spellEnd"/>
      <w:r w:rsidRPr="009D7635">
        <w:rPr>
          <w:rFonts w:ascii="Times New Roman" w:hAnsi="Times New Roman" w:cs="Times New Roman"/>
          <w:color w:val="000000" w:themeColor="text1"/>
        </w:rPr>
        <w:t xml:space="preserve">, ‘Introduction,’ in </w:t>
      </w:r>
      <w:r w:rsidRPr="009D7635">
        <w:rPr>
          <w:rFonts w:ascii="Times New Roman" w:hAnsi="Times New Roman" w:cs="Times New Roman"/>
          <w:i/>
          <w:color w:val="000000" w:themeColor="text1"/>
        </w:rPr>
        <w:t>Three Treatises on Man</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32.</w:t>
      </w:r>
    </w:p>
  </w:footnote>
  <w:footnote w:id="629">
    <w:p w14:paraId="7D4B8446" w14:textId="42D89A71" w:rsidR="00025325" w:rsidRPr="009D7635" w:rsidRDefault="00025325" w:rsidP="0002532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66989" w:rsidRPr="009D7635">
        <w:rPr>
          <w:rFonts w:ascii="Times New Roman" w:hAnsi="Times New Roman" w:cs="Times New Roman"/>
          <w:iCs/>
          <w:color w:val="000000" w:themeColor="text1"/>
        </w:rPr>
        <w:t>Ibid.,</w:t>
      </w:r>
      <w:r w:rsidR="00F66989"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49.</w:t>
      </w:r>
    </w:p>
  </w:footnote>
  <w:footnote w:id="630">
    <w:p w14:paraId="7F76BB6F" w14:textId="3E88F112" w:rsidR="00B93ED5" w:rsidRPr="009D7635" w:rsidRDefault="00B93ED5" w:rsidP="00E212D3">
      <w:pPr>
        <w:rPr>
          <w:rFonts w:ascii="Times New Roman" w:eastAsia="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iCs/>
          <w:color w:val="000000" w:themeColor="text1"/>
          <w:sz w:val="20"/>
          <w:szCs w:val="20"/>
          <w:lang w:val="en-US"/>
        </w:rPr>
        <w:t>75</w:t>
      </w:r>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communis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ordinata</w:t>
      </w:r>
      <w:proofErr w:type="spellEnd"/>
      <w:r w:rsidRPr="009D7635">
        <w:rPr>
          <w:rFonts w:ascii="Times New Roman" w:hAnsi="Times New Roman" w:cs="Times New Roman"/>
          <w:i/>
          <w:color w:val="000000" w:themeColor="text1"/>
          <w:sz w:val="20"/>
          <w:szCs w:val="20"/>
          <w:lang w:val="en-US"/>
        </w:rPr>
        <w:t xml:space="preserve"> in prima </w:t>
      </w:r>
      <w:proofErr w:type="spellStart"/>
      <w:r w:rsidRPr="009D7635">
        <w:rPr>
          <w:rFonts w:ascii="Times New Roman" w:hAnsi="Times New Roman" w:cs="Times New Roman"/>
          <w:i/>
          <w:color w:val="000000" w:themeColor="text1"/>
          <w:sz w:val="20"/>
          <w:szCs w:val="20"/>
          <w:lang w:val="en-US"/>
        </w:rPr>
        <w:t>concauitate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cerebri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recipiens</w:t>
      </w:r>
      <w:proofErr w:type="spellEnd"/>
      <w:r w:rsidRPr="009D7635">
        <w:rPr>
          <w:rFonts w:ascii="Times New Roman" w:hAnsi="Times New Roman" w:cs="Times New Roman"/>
          <w:i/>
          <w:color w:val="000000" w:themeColor="text1"/>
          <w:sz w:val="20"/>
          <w:szCs w:val="20"/>
          <w:lang w:val="en-US"/>
        </w:rPr>
        <w:t xml:space="preserve"> per se </w:t>
      </w:r>
      <w:proofErr w:type="spellStart"/>
      <w:r w:rsidRPr="009D7635">
        <w:rPr>
          <w:rFonts w:ascii="Times New Roman" w:hAnsi="Times New Roman" w:cs="Times New Roman"/>
          <w:i/>
          <w:color w:val="000000" w:themeColor="text1"/>
          <w:sz w:val="20"/>
          <w:szCs w:val="20"/>
          <w:lang w:val="en-US"/>
        </w:rPr>
        <w:t>ipsam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omnes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imprimuntur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sensibus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redduntur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centrum omnium </w:t>
      </w:r>
      <w:proofErr w:type="spellStart"/>
      <w:r w:rsidRPr="009D7635">
        <w:rPr>
          <w:rFonts w:ascii="Times New Roman" w:hAnsi="Times New Roman" w:cs="Times New Roman"/>
          <w:i/>
          <w:color w:val="000000" w:themeColor="text1"/>
          <w:sz w:val="20"/>
          <w:szCs w:val="20"/>
          <w:lang w:val="en-US"/>
        </w:rPr>
        <w:t>sensuum</w:t>
      </w:r>
      <w:proofErr w:type="spellEnd"/>
      <w:r w:rsidRPr="009D7635">
        <w:rPr>
          <w:rFonts w:ascii="Times New Roman" w:hAnsi="Times New Roman" w:cs="Times New Roman"/>
          <w:i/>
          <w:color w:val="000000" w:themeColor="text1"/>
          <w:sz w:val="20"/>
          <w:szCs w:val="20"/>
          <w:lang w:val="en-US"/>
        </w:rPr>
        <w:t xml:space="preserve"> et a qua </w:t>
      </w:r>
      <w:proofErr w:type="spellStart"/>
      <w:r w:rsidRPr="009D7635">
        <w:rPr>
          <w:rFonts w:ascii="Times New Roman" w:hAnsi="Times New Roman" w:cs="Times New Roman"/>
          <w:i/>
          <w:color w:val="000000" w:themeColor="text1"/>
          <w:sz w:val="20"/>
          <w:szCs w:val="20"/>
          <w:lang w:val="en-US"/>
        </w:rPr>
        <w:t>deriuantur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rami. </w:t>
      </w:r>
      <w:r w:rsidRPr="009D7635">
        <w:rPr>
          <w:rFonts w:ascii="Times New Roman" w:hAnsi="Times New Roman" w:cs="Times New Roman"/>
          <w:color w:val="000000" w:themeColor="text1"/>
          <w:sz w:val="20"/>
          <w:szCs w:val="20"/>
          <w:lang w:val="en-US"/>
        </w:rPr>
        <w:t xml:space="preserve">Cf.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240</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Alain de Libera, ‘</w:t>
      </w:r>
      <w:r w:rsidRPr="009D7635">
        <w:rPr>
          <w:rFonts w:ascii="Times New Roman" w:eastAsia="Times New Roman" w:hAnsi="Times New Roman" w:cs="Times New Roman"/>
          <w:color w:val="000000" w:themeColor="text1"/>
          <w:spacing w:val="2"/>
          <w:sz w:val="20"/>
          <w:szCs w:val="20"/>
          <w:shd w:val="clear" w:color="auto" w:fill="FCFCFC"/>
        </w:rPr>
        <w:t xml:space="preserve">Le </w:t>
      </w:r>
      <w:proofErr w:type="spellStart"/>
      <w:r w:rsidRPr="009D7635">
        <w:rPr>
          <w:rFonts w:ascii="Times New Roman" w:eastAsia="Times New Roman" w:hAnsi="Times New Roman" w:cs="Times New Roman"/>
          <w:color w:val="000000" w:themeColor="text1"/>
          <w:spacing w:val="2"/>
          <w:sz w:val="20"/>
          <w:szCs w:val="20"/>
          <w:shd w:val="clear" w:color="auto" w:fill="FCFCFC"/>
        </w:rPr>
        <w:t>sens</w:t>
      </w:r>
      <w:proofErr w:type="spellEnd"/>
      <w:r w:rsidRPr="009D7635">
        <w:rPr>
          <w:rFonts w:ascii="Times New Roman" w:eastAsia="Times New Roman" w:hAnsi="Times New Roman" w:cs="Times New Roman"/>
          <w:color w:val="000000" w:themeColor="text1"/>
          <w:spacing w:val="2"/>
          <w:sz w:val="20"/>
          <w:szCs w:val="20"/>
          <w:shd w:val="clear" w:color="auto" w:fill="FCFCFC"/>
        </w:rPr>
        <w:t xml:space="preserve"> </w:t>
      </w:r>
      <w:proofErr w:type="spellStart"/>
      <w:r w:rsidRPr="009D7635">
        <w:rPr>
          <w:rFonts w:ascii="Times New Roman" w:eastAsia="Times New Roman" w:hAnsi="Times New Roman" w:cs="Times New Roman"/>
          <w:color w:val="000000" w:themeColor="text1"/>
          <w:spacing w:val="2"/>
          <w:sz w:val="20"/>
          <w:szCs w:val="20"/>
          <w:shd w:val="clear" w:color="auto" w:fill="FCFCFC"/>
        </w:rPr>
        <w:t>commun</w:t>
      </w:r>
      <w:proofErr w:type="spellEnd"/>
      <w:r w:rsidRPr="009D7635">
        <w:rPr>
          <w:rFonts w:ascii="Times New Roman" w:eastAsia="Times New Roman" w:hAnsi="Times New Roman" w:cs="Times New Roman"/>
          <w:color w:val="000000" w:themeColor="text1"/>
          <w:spacing w:val="2"/>
          <w:sz w:val="20"/>
          <w:szCs w:val="20"/>
          <w:shd w:val="clear" w:color="auto" w:fill="FCFCFC"/>
        </w:rPr>
        <w:t xml:space="preserve"> au XIIIe siècle: De Jean de La Rochelle à Albert le Grand,’ </w:t>
      </w:r>
      <w:r w:rsidRPr="009D7635">
        <w:rPr>
          <w:rFonts w:ascii="Times New Roman" w:eastAsia="Times New Roman" w:hAnsi="Times New Roman" w:cs="Times New Roman"/>
          <w:i/>
          <w:color w:val="000000" w:themeColor="text1"/>
          <w:spacing w:val="2"/>
          <w:sz w:val="20"/>
          <w:szCs w:val="20"/>
          <w:shd w:val="clear" w:color="auto" w:fill="FCFCFC"/>
        </w:rPr>
        <w:t xml:space="preserve">Revue de </w:t>
      </w:r>
      <w:proofErr w:type="spellStart"/>
      <w:r w:rsidRPr="009D7635">
        <w:rPr>
          <w:rFonts w:ascii="Times New Roman" w:eastAsia="Times New Roman" w:hAnsi="Times New Roman" w:cs="Times New Roman"/>
          <w:i/>
          <w:color w:val="000000" w:themeColor="text1"/>
          <w:spacing w:val="2"/>
          <w:sz w:val="20"/>
          <w:szCs w:val="20"/>
          <w:shd w:val="clear" w:color="auto" w:fill="FCFCFC"/>
        </w:rPr>
        <w:t>métaphysique</w:t>
      </w:r>
      <w:proofErr w:type="spellEnd"/>
      <w:r w:rsidRPr="009D7635">
        <w:rPr>
          <w:rFonts w:ascii="Times New Roman" w:eastAsia="Times New Roman" w:hAnsi="Times New Roman" w:cs="Times New Roman"/>
          <w:i/>
          <w:color w:val="000000" w:themeColor="text1"/>
          <w:spacing w:val="2"/>
          <w:sz w:val="20"/>
          <w:szCs w:val="20"/>
          <w:shd w:val="clear" w:color="auto" w:fill="FCFCFC"/>
        </w:rPr>
        <w:t xml:space="preserve"> et morale </w:t>
      </w:r>
      <w:r w:rsidRPr="009D7635">
        <w:rPr>
          <w:rFonts w:ascii="Times New Roman" w:eastAsia="Times New Roman" w:hAnsi="Times New Roman" w:cs="Times New Roman"/>
          <w:color w:val="000000" w:themeColor="text1"/>
          <w:spacing w:val="2"/>
          <w:sz w:val="20"/>
          <w:szCs w:val="20"/>
          <w:shd w:val="clear" w:color="auto" w:fill="FCFCFC"/>
        </w:rPr>
        <w:t>96 (1991)</w:t>
      </w:r>
      <w:r w:rsidR="00F66989" w:rsidRPr="009D7635">
        <w:rPr>
          <w:rFonts w:ascii="Times New Roman" w:eastAsia="Times New Roman" w:hAnsi="Times New Roman" w:cs="Times New Roman"/>
          <w:color w:val="000000" w:themeColor="text1"/>
          <w:spacing w:val="2"/>
          <w:sz w:val="20"/>
          <w:szCs w:val="20"/>
          <w:shd w:val="clear" w:color="auto" w:fill="FCFCFC"/>
        </w:rPr>
        <w:t>:</w:t>
      </w:r>
      <w:r w:rsidRPr="009D7635">
        <w:rPr>
          <w:rFonts w:ascii="Times New Roman" w:eastAsia="Times New Roman" w:hAnsi="Times New Roman" w:cs="Times New Roman"/>
          <w:color w:val="000000" w:themeColor="text1"/>
          <w:spacing w:val="2"/>
          <w:sz w:val="20"/>
          <w:szCs w:val="20"/>
          <w:shd w:val="clear" w:color="auto" w:fill="FCFCFC"/>
        </w:rPr>
        <w:t xml:space="preserve"> 475-96.</w:t>
      </w:r>
    </w:p>
  </w:footnote>
  <w:footnote w:id="631">
    <w:p w14:paraId="090191FB" w14:textId="78CC4E04"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241.</w:t>
      </w:r>
      <w:r w:rsidR="007F6428" w:rsidRPr="009D7635">
        <w:rPr>
          <w:rFonts w:ascii="Times New Roman" w:hAnsi="Times New Roman" w:cs="Times New Roman"/>
          <w:color w:val="000000" w:themeColor="text1"/>
        </w:rPr>
        <w:t xml:space="preserve"> </w:t>
      </w:r>
    </w:p>
  </w:footnote>
  <w:footnote w:id="632">
    <w:p w14:paraId="1C49F904" w14:textId="77777777"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75: </w:t>
      </w:r>
      <w:proofErr w:type="spellStart"/>
      <w:r w:rsidRPr="009D7635">
        <w:rPr>
          <w:rFonts w:ascii="Times New Roman" w:hAnsi="Times New Roman" w:cs="Times New Roman"/>
          <w:i/>
          <w:color w:val="000000" w:themeColor="text1"/>
          <w:sz w:val="20"/>
          <w:szCs w:val="20"/>
          <w:lang w:val="en-US"/>
        </w:rPr>
        <w:t>Unde</w:t>
      </w:r>
      <w:proofErr w:type="spellEnd"/>
      <w:r w:rsidRPr="009D7635">
        <w:rPr>
          <w:rFonts w:ascii="Times New Roman" w:hAnsi="Times New Roman" w:cs="Times New Roman"/>
          <w:i/>
          <w:color w:val="000000" w:themeColor="text1"/>
          <w:sz w:val="20"/>
          <w:szCs w:val="20"/>
          <w:lang w:val="en-US"/>
        </w:rPr>
        <w:t xml:space="preserve"> bene a </w:t>
      </w:r>
      <w:proofErr w:type="spellStart"/>
      <w:r w:rsidRPr="009D7635">
        <w:rPr>
          <w:rFonts w:ascii="Times New Roman" w:hAnsi="Times New Roman" w:cs="Times New Roman"/>
          <w:i/>
          <w:color w:val="000000" w:themeColor="text1"/>
          <w:sz w:val="20"/>
          <w:szCs w:val="20"/>
          <w:lang w:val="en-US"/>
        </w:rPr>
        <w:t>quodam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diffinitur</w:t>
      </w:r>
      <w:proofErr w:type="spellEnd"/>
      <w:r w:rsidRPr="009D7635">
        <w:rPr>
          <w:rFonts w:ascii="Times New Roman" w:hAnsi="Times New Roman" w:cs="Times New Roman"/>
          <w:i/>
          <w:color w:val="000000" w:themeColor="text1"/>
          <w:sz w:val="20"/>
          <w:szCs w:val="20"/>
          <w:lang w:val="en-US"/>
        </w:rPr>
        <w:t xml:space="preserve"> sic: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communis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insita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neruis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concauis</w:t>
      </w:r>
      <w:proofErr w:type="spellEnd"/>
      <w:r w:rsidRPr="009D7635">
        <w:rPr>
          <w:rFonts w:ascii="Times New Roman" w:hAnsi="Times New Roman" w:cs="Times New Roman"/>
          <w:i/>
          <w:color w:val="000000" w:themeColor="text1"/>
          <w:sz w:val="20"/>
          <w:szCs w:val="20"/>
          <w:lang w:val="en-US"/>
        </w:rPr>
        <w:t xml:space="preserve"> in prima </w:t>
      </w:r>
      <w:proofErr w:type="spellStart"/>
      <w:r w:rsidRPr="009D7635">
        <w:rPr>
          <w:rFonts w:ascii="Times New Roman" w:hAnsi="Times New Roman" w:cs="Times New Roman"/>
          <w:i/>
          <w:color w:val="000000" w:themeColor="text1"/>
          <w:sz w:val="20"/>
          <w:szCs w:val="20"/>
          <w:lang w:val="en-US"/>
        </w:rPr>
        <w:t>concauitate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cerebri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recipiens</w:t>
      </w:r>
      <w:proofErr w:type="spellEnd"/>
      <w:r w:rsidRPr="009D7635">
        <w:rPr>
          <w:rFonts w:ascii="Times New Roman" w:hAnsi="Times New Roman" w:cs="Times New Roman"/>
          <w:i/>
          <w:color w:val="000000" w:themeColor="text1"/>
          <w:sz w:val="20"/>
          <w:szCs w:val="20"/>
          <w:lang w:val="en-US"/>
        </w:rPr>
        <w:t xml:space="preserve"> per se </w:t>
      </w:r>
      <w:proofErr w:type="spellStart"/>
      <w:r w:rsidRPr="009D7635">
        <w:rPr>
          <w:rFonts w:ascii="Times New Roman" w:hAnsi="Times New Roman" w:cs="Times New Roman"/>
          <w:i/>
          <w:color w:val="000000" w:themeColor="text1"/>
          <w:sz w:val="20"/>
          <w:szCs w:val="20"/>
          <w:lang w:val="en-US"/>
        </w:rPr>
        <w:t>ipsam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omnes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receptas</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sensibus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particularibus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assignans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conuenientias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differentias</w:t>
      </w:r>
      <w:proofErr w:type="spellEnd"/>
      <w:r w:rsidRPr="009D7635">
        <w:rPr>
          <w:rFonts w:ascii="Times New Roman" w:hAnsi="Times New Roman" w:cs="Times New Roman"/>
          <w:i/>
          <w:color w:val="000000" w:themeColor="text1"/>
          <w:sz w:val="20"/>
          <w:szCs w:val="20"/>
          <w:lang w:val="en-US"/>
        </w:rPr>
        <w:t xml:space="preserve"> inter </w:t>
      </w:r>
      <w:proofErr w:type="spellStart"/>
      <w:r w:rsidRPr="009D7635">
        <w:rPr>
          <w:rFonts w:ascii="Times New Roman" w:hAnsi="Times New Roman" w:cs="Times New Roman"/>
          <w:i/>
          <w:color w:val="000000" w:themeColor="text1"/>
          <w:sz w:val="20"/>
          <w:szCs w:val="20"/>
          <w:lang w:val="en-US"/>
        </w:rPr>
        <w:t>illas</w:t>
      </w:r>
      <w:proofErr w:type="spellEnd"/>
      <w:r w:rsidRPr="009D7635">
        <w:rPr>
          <w:rFonts w:ascii="Times New Roman" w:hAnsi="Times New Roman" w:cs="Times New Roman"/>
          <w:i/>
          <w:color w:val="000000" w:themeColor="text1"/>
          <w:sz w:val="20"/>
          <w:szCs w:val="20"/>
          <w:lang w:val="en-US"/>
        </w:rPr>
        <w:t>.</w:t>
      </w:r>
    </w:p>
  </w:footnote>
  <w:footnote w:id="633">
    <w:p w14:paraId="5CE2D615" w14:textId="1BF0DE17"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4C2E7D" w:rsidRPr="009D7635">
        <w:rPr>
          <w:rFonts w:ascii="Times New Roman" w:hAnsi="Times New Roman" w:cs="Times New Roman"/>
          <w:iCs/>
          <w:color w:val="000000" w:themeColor="text1"/>
          <w:sz w:val="20"/>
          <w:szCs w:val="20"/>
        </w:rPr>
        <w:t>Ibid.:</w:t>
      </w:r>
      <w:proofErr w:type="spellStart"/>
      <w:r w:rsidRPr="009D7635">
        <w:rPr>
          <w:rFonts w:ascii="Times New Roman" w:hAnsi="Times New Roman" w:cs="Times New Roman"/>
          <w:i/>
          <w:color w:val="000000" w:themeColor="text1"/>
          <w:sz w:val="20"/>
          <w:szCs w:val="20"/>
          <w:lang w:val="en-US"/>
        </w:rPr>
        <w:t>Ymaginatio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ordinata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extremo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anterioris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concauitatis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cerebri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retinens</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recipit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communis</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sensibus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remanet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ea</w:t>
      </w:r>
      <w:proofErr w:type="spellEnd"/>
      <w:r w:rsidRPr="009D7635">
        <w:rPr>
          <w:rFonts w:ascii="Times New Roman" w:hAnsi="Times New Roman" w:cs="Times New Roman"/>
          <w:i/>
          <w:color w:val="000000" w:themeColor="text1"/>
          <w:sz w:val="20"/>
          <w:szCs w:val="20"/>
          <w:lang w:val="en-US"/>
        </w:rPr>
        <w:t xml:space="preserve"> post </w:t>
      </w:r>
      <w:proofErr w:type="spellStart"/>
      <w:r w:rsidRPr="009D7635">
        <w:rPr>
          <w:rFonts w:ascii="Times New Roman" w:hAnsi="Times New Roman" w:cs="Times New Roman"/>
          <w:i/>
          <w:color w:val="000000" w:themeColor="text1"/>
          <w:sz w:val="20"/>
          <w:szCs w:val="20"/>
          <w:lang w:val="en-US"/>
        </w:rPr>
        <w:t>remotionem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illorum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sensibilium</w:t>
      </w:r>
      <w:proofErr w:type="spellEnd"/>
      <w:r w:rsidRPr="009D7635">
        <w:rPr>
          <w:rFonts w:ascii="Times New Roman" w:hAnsi="Times New Roman" w:cs="Times New Roman"/>
          <w:i/>
          <w:color w:val="000000" w:themeColor="text1"/>
          <w:sz w:val="20"/>
          <w:szCs w:val="20"/>
          <w:lang w:val="en-US"/>
        </w:rPr>
        <w:t xml:space="preserve">. </w:t>
      </w:r>
    </w:p>
  </w:footnote>
  <w:footnote w:id="634">
    <w:p w14:paraId="053BD659" w14:textId="7B35B7C9"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4C2E7D" w:rsidRPr="009D7635">
        <w:rPr>
          <w:rFonts w:ascii="Times New Roman" w:hAnsi="Times New Roman" w:cs="Times New Roman"/>
          <w:iCs/>
          <w:color w:val="000000" w:themeColor="text1"/>
          <w:sz w:val="20"/>
          <w:szCs w:val="20"/>
        </w:rPr>
        <w:t>Ibid.:</w:t>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Vult</w:t>
      </w:r>
      <w:proofErr w:type="spellEnd"/>
      <w:r w:rsidRPr="009D7635">
        <w:rPr>
          <w:rFonts w:ascii="Times New Roman" w:hAnsi="Times New Roman" w:cs="Times New Roman"/>
          <w:i/>
          <w:color w:val="000000" w:themeColor="text1"/>
          <w:sz w:val="20"/>
          <w:szCs w:val="20"/>
          <w:lang w:val="en-US"/>
        </w:rPr>
        <w:t xml:space="preserve"> ergo </w:t>
      </w:r>
      <w:proofErr w:type="spellStart"/>
      <w:r w:rsidRPr="009D7635">
        <w:rPr>
          <w:rFonts w:ascii="Times New Roman" w:hAnsi="Times New Roman" w:cs="Times New Roman"/>
          <w:i/>
          <w:color w:val="000000" w:themeColor="text1"/>
          <w:sz w:val="20"/>
          <w:szCs w:val="20"/>
          <w:lang w:val="en-US"/>
        </w:rPr>
        <w:t>dicere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Auicenna</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communis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apprehendere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omnium </w:t>
      </w:r>
      <w:proofErr w:type="spellStart"/>
      <w:r w:rsidRPr="009D7635">
        <w:rPr>
          <w:rFonts w:ascii="Times New Roman" w:hAnsi="Times New Roman" w:cs="Times New Roman"/>
          <w:i/>
          <w:color w:val="000000" w:themeColor="text1"/>
          <w:sz w:val="20"/>
          <w:szCs w:val="20"/>
          <w:lang w:val="en-US"/>
        </w:rPr>
        <w:t>sensibilium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virtutis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formatiue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vocatur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ymaginatio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retinere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w:t>
      </w:r>
      <w:proofErr w:type="spellEnd"/>
      <w:r w:rsidRPr="009D7635">
        <w:rPr>
          <w:rFonts w:ascii="Times New Roman" w:hAnsi="Times New Roman" w:cs="Times New Roman"/>
          <w:i/>
          <w:color w:val="000000" w:themeColor="text1"/>
          <w:sz w:val="20"/>
          <w:szCs w:val="20"/>
          <w:lang w:val="en-US"/>
        </w:rPr>
        <w:t xml:space="preserve"> ergo quod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communis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ymaginatio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quasi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virtus</w:t>
      </w:r>
      <w:proofErr w:type="spellEnd"/>
      <w:r w:rsidRPr="009D7635">
        <w:rPr>
          <w:rFonts w:ascii="Times New Roman" w:hAnsi="Times New Roman" w:cs="Times New Roman"/>
          <w:i/>
          <w:color w:val="000000" w:themeColor="text1"/>
          <w:sz w:val="20"/>
          <w:szCs w:val="20"/>
          <w:lang w:val="en-US"/>
        </w:rPr>
        <w:t xml:space="preserve"> et non </w:t>
      </w:r>
      <w:proofErr w:type="spellStart"/>
      <w:r w:rsidRPr="009D7635">
        <w:rPr>
          <w:rFonts w:ascii="Times New Roman" w:hAnsi="Times New Roman" w:cs="Times New Roman"/>
          <w:i/>
          <w:color w:val="000000" w:themeColor="text1"/>
          <w:sz w:val="20"/>
          <w:szCs w:val="20"/>
          <w:lang w:val="en-US"/>
        </w:rPr>
        <w:t>diuersificantur</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subiecto</w:t>
      </w:r>
      <w:proofErr w:type="spellEnd"/>
      <w:r w:rsidRPr="009D7635">
        <w:rPr>
          <w:rFonts w:ascii="Times New Roman" w:hAnsi="Times New Roman" w:cs="Times New Roman"/>
          <w:i/>
          <w:color w:val="000000" w:themeColor="text1"/>
          <w:sz w:val="20"/>
          <w:szCs w:val="20"/>
          <w:lang w:val="en-US"/>
        </w:rPr>
        <w:t xml:space="preserve"> sed in forma: </w:t>
      </w:r>
      <w:proofErr w:type="spellStart"/>
      <w:r w:rsidRPr="009D7635">
        <w:rPr>
          <w:rFonts w:ascii="Times New Roman" w:hAnsi="Times New Roman" w:cs="Times New Roman"/>
          <w:i/>
          <w:color w:val="000000" w:themeColor="text1"/>
          <w:sz w:val="20"/>
          <w:szCs w:val="20"/>
          <w:lang w:val="en-US"/>
        </w:rPr>
        <w:t>hic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recipit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retinet</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Cf.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242</w:t>
      </w:r>
      <w:r w:rsidRPr="009D7635">
        <w:rPr>
          <w:rFonts w:ascii="Times New Roman" w:hAnsi="Times New Roman" w:cs="Times New Roman"/>
          <w:color w:val="000000" w:themeColor="text1"/>
          <w:sz w:val="20"/>
          <w:szCs w:val="20"/>
        </w:rPr>
        <w:t>.</w:t>
      </w:r>
    </w:p>
  </w:footnote>
  <w:footnote w:id="635">
    <w:p w14:paraId="639ACB54" w14:textId="18BD490D"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D16EC6" w:rsidRPr="009D7635">
        <w:rPr>
          <w:rFonts w:ascii="Times New Roman" w:hAnsi="Times New Roman" w:cs="Times New Roman"/>
          <w:iCs/>
          <w:color w:val="000000" w:themeColor="text1"/>
          <w:sz w:val="20"/>
          <w:szCs w:val="20"/>
        </w:rPr>
        <w:t>Ibid.,</w:t>
      </w:r>
      <w:r w:rsidR="00D16EC6"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76: </w:t>
      </w:r>
      <w:proofErr w:type="spellStart"/>
      <w:r w:rsidRPr="009D7635">
        <w:rPr>
          <w:rFonts w:ascii="Times New Roman" w:hAnsi="Times New Roman" w:cs="Times New Roman"/>
          <w:i/>
          <w:color w:val="000000" w:themeColor="text1"/>
          <w:sz w:val="20"/>
          <w:szCs w:val="20"/>
          <w:lang w:val="en-US"/>
        </w:rPr>
        <w:t>Ymaginatiua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ordinata</w:t>
      </w:r>
      <w:proofErr w:type="spellEnd"/>
      <w:r w:rsidRPr="009D7635">
        <w:rPr>
          <w:rFonts w:ascii="Times New Roman" w:hAnsi="Times New Roman" w:cs="Times New Roman"/>
          <w:i/>
          <w:color w:val="000000" w:themeColor="text1"/>
          <w:sz w:val="20"/>
          <w:szCs w:val="20"/>
          <w:lang w:val="en-US"/>
        </w:rPr>
        <w:t xml:space="preserve"> in media </w:t>
      </w:r>
      <w:proofErr w:type="spellStart"/>
      <w:r w:rsidRPr="009D7635">
        <w:rPr>
          <w:rFonts w:ascii="Times New Roman" w:hAnsi="Times New Roman" w:cs="Times New Roman"/>
          <w:i/>
          <w:color w:val="000000" w:themeColor="text1"/>
          <w:sz w:val="20"/>
          <w:szCs w:val="20"/>
          <w:lang w:val="en-US"/>
        </w:rPr>
        <w:t>concauitate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cerebri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componere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aliquid</w:t>
      </w:r>
      <w:proofErr w:type="spellEnd"/>
      <w:r w:rsidRPr="009D7635">
        <w:rPr>
          <w:rFonts w:ascii="Times New Roman" w:hAnsi="Times New Roman" w:cs="Times New Roman"/>
          <w:i/>
          <w:color w:val="000000" w:themeColor="text1"/>
          <w:sz w:val="20"/>
          <w:szCs w:val="20"/>
          <w:lang w:val="en-US"/>
        </w:rPr>
        <w:t xml:space="preserve"> de </w:t>
      </w:r>
      <w:proofErr w:type="spellStart"/>
      <w:r w:rsidRPr="009D7635">
        <w:rPr>
          <w:rFonts w:ascii="Times New Roman" w:hAnsi="Times New Roman" w:cs="Times New Roman"/>
          <w:i/>
          <w:color w:val="000000" w:themeColor="text1"/>
          <w:sz w:val="20"/>
          <w:szCs w:val="20"/>
          <w:lang w:val="en-US"/>
        </w:rPr>
        <w:t>eo</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ymaginatione</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alio</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diuidere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vult</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Cf.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243</w:t>
      </w:r>
    </w:p>
  </w:footnote>
  <w:footnote w:id="636">
    <w:p w14:paraId="44773BCB" w14:textId="78CD5882"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D16EC6" w:rsidRPr="009D7635">
        <w:rPr>
          <w:rFonts w:ascii="Times New Roman" w:hAnsi="Times New Roman" w:cs="Times New Roman"/>
          <w:iCs/>
          <w:color w:val="000000" w:themeColor="text1"/>
          <w:sz w:val="20"/>
          <w:szCs w:val="20"/>
        </w:rPr>
        <w:t>Ibid.</w:t>
      </w:r>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Estimatiua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ordinata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summo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medie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concauitatis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cerebri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apprehendens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intentiones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oue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diiudicans</w:t>
      </w:r>
      <w:proofErr w:type="spellEnd"/>
      <w:r w:rsidRPr="009D7635">
        <w:rPr>
          <w:rFonts w:ascii="Times New Roman" w:hAnsi="Times New Roman" w:cs="Times New Roman"/>
          <w:i/>
          <w:color w:val="000000" w:themeColor="text1"/>
          <w:sz w:val="20"/>
          <w:szCs w:val="20"/>
          <w:lang w:val="en-US"/>
        </w:rPr>
        <w:t xml:space="preserve">, quod a </w:t>
      </w:r>
      <w:proofErr w:type="spellStart"/>
      <w:r w:rsidRPr="009D7635">
        <w:rPr>
          <w:rFonts w:ascii="Times New Roman" w:hAnsi="Times New Roman" w:cs="Times New Roman"/>
          <w:i/>
          <w:color w:val="000000" w:themeColor="text1"/>
          <w:sz w:val="20"/>
          <w:szCs w:val="20"/>
          <w:lang w:val="en-US"/>
        </w:rPr>
        <w:t>lupo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fugiendum</w:t>
      </w:r>
      <w:proofErr w:type="spellEnd"/>
      <w:r w:rsidRPr="009D7635">
        <w:rPr>
          <w:rFonts w:ascii="Times New Roman" w:hAnsi="Times New Roman" w:cs="Times New Roman"/>
          <w:i/>
          <w:color w:val="000000" w:themeColor="text1"/>
          <w:sz w:val="20"/>
          <w:szCs w:val="20"/>
          <w:lang w:val="en-US"/>
        </w:rPr>
        <w:t xml:space="preserve"> et quod cum </w:t>
      </w:r>
      <w:proofErr w:type="spellStart"/>
      <w:r w:rsidRPr="009D7635">
        <w:rPr>
          <w:rFonts w:ascii="Times New Roman" w:hAnsi="Times New Roman" w:cs="Times New Roman"/>
          <w:i/>
          <w:color w:val="000000" w:themeColor="text1"/>
          <w:sz w:val="20"/>
          <w:szCs w:val="20"/>
          <w:lang w:val="en-US"/>
        </w:rPr>
        <w:t>agno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cohabitandum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ista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transcendens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apprehensio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sua</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sensibilium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materialium</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immaterialium</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Cf.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248</w:t>
      </w:r>
      <w:r w:rsidRPr="009D7635">
        <w:rPr>
          <w:rFonts w:ascii="Times New Roman" w:hAnsi="Times New Roman" w:cs="Times New Roman"/>
          <w:color w:val="000000" w:themeColor="text1"/>
          <w:sz w:val="20"/>
          <w:szCs w:val="20"/>
        </w:rPr>
        <w:t>.</w:t>
      </w:r>
    </w:p>
  </w:footnote>
  <w:footnote w:id="637">
    <w:p w14:paraId="2D3DB244" w14:textId="4E42213B"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D16EC6" w:rsidRPr="009D7635">
        <w:rPr>
          <w:rFonts w:ascii="Times New Roman" w:hAnsi="Times New Roman" w:cs="Times New Roman"/>
          <w:iCs/>
          <w:color w:val="000000" w:themeColor="text1"/>
          <w:sz w:val="20"/>
          <w:szCs w:val="20"/>
        </w:rPr>
        <w:t>Ibid.:</w:t>
      </w:r>
      <w:r w:rsidR="00D16EC6"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Cs/>
          <w:color w:val="000000" w:themeColor="text1"/>
          <w:sz w:val="20"/>
          <w:szCs w:val="20"/>
        </w:rPr>
        <w:t>76:</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Vis </w:t>
      </w:r>
      <w:proofErr w:type="spellStart"/>
      <w:r w:rsidRPr="009D7635">
        <w:rPr>
          <w:rFonts w:ascii="Times New Roman" w:hAnsi="Times New Roman" w:cs="Times New Roman"/>
          <w:i/>
          <w:color w:val="000000" w:themeColor="text1"/>
          <w:sz w:val="20"/>
          <w:szCs w:val="20"/>
          <w:lang w:val="en-US"/>
        </w:rPr>
        <w:t>memoratiua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ordinata</w:t>
      </w:r>
      <w:proofErr w:type="spellEnd"/>
      <w:r w:rsidRPr="009D7635">
        <w:rPr>
          <w:rFonts w:ascii="Times New Roman" w:hAnsi="Times New Roman" w:cs="Times New Roman"/>
          <w:i/>
          <w:color w:val="000000" w:themeColor="text1"/>
          <w:sz w:val="20"/>
          <w:szCs w:val="20"/>
          <w:lang w:val="en-US"/>
        </w:rPr>
        <w:t xml:space="preserve"> in posteriori </w:t>
      </w:r>
      <w:proofErr w:type="spellStart"/>
      <w:r w:rsidRPr="009D7635">
        <w:rPr>
          <w:rFonts w:ascii="Times New Roman" w:hAnsi="Times New Roman" w:cs="Times New Roman"/>
          <w:i/>
          <w:color w:val="000000" w:themeColor="text1"/>
          <w:sz w:val="20"/>
          <w:szCs w:val="20"/>
          <w:lang w:val="en-US"/>
        </w:rPr>
        <w:t>concauitate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cerebri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retinens</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apprehendit</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estimatiua</w:t>
      </w:r>
      <w:proofErr w:type="spellEnd"/>
      <w:r w:rsidRPr="009D7635">
        <w:rPr>
          <w:rFonts w:ascii="Times New Roman" w:hAnsi="Times New Roman" w:cs="Times New Roman"/>
          <w:i/>
          <w:color w:val="000000" w:themeColor="text1"/>
          <w:sz w:val="20"/>
          <w:szCs w:val="20"/>
          <w:lang w:val="en-US"/>
        </w:rPr>
        <w:t xml:space="preserve"> de </w:t>
      </w:r>
      <w:proofErr w:type="spellStart"/>
      <w:r w:rsidRPr="009D7635">
        <w:rPr>
          <w:rFonts w:ascii="Times New Roman" w:hAnsi="Times New Roman" w:cs="Times New Roman"/>
          <w:i/>
          <w:color w:val="000000" w:themeColor="text1"/>
          <w:sz w:val="20"/>
          <w:szCs w:val="20"/>
          <w:lang w:val="en-US"/>
        </w:rPr>
        <w:t>intentionibus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sensibilium</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Cf.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249.</w:t>
      </w:r>
    </w:p>
  </w:footnote>
  <w:footnote w:id="638">
    <w:p w14:paraId="32EC942D"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Avicenna,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 xml:space="preserve">IV.3 </w:t>
      </w:r>
    </w:p>
  </w:footnote>
  <w:footnote w:id="639">
    <w:p w14:paraId="38FD420A" w14:textId="77777777" w:rsidR="00B93ED5" w:rsidRPr="009D7635" w:rsidRDefault="00B93ED5" w:rsidP="00E212D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250. Another difference that John discusses in this context is between is between </w:t>
      </w:r>
      <w:proofErr w:type="spellStart"/>
      <w:r w:rsidRPr="009D7635">
        <w:rPr>
          <w:rFonts w:ascii="Times New Roman" w:hAnsi="Times New Roman" w:cs="Times New Roman"/>
          <w:i/>
          <w:color w:val="000000" w:themeColor="text1"/>
          <w:sz w:val="20"/>
          <w:szCs w:val="20"/>
        </w:rPr>
        <w:t>recordari</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and </w:t>
      </w:r>
      <w:proofErr w:type="spellStart"/>
      <w:r w:rsidRPr="009D7635">
        <w:rPr>
          <w:rFonts w:ascii="Times New Roman" w:hAnsi="Times New Roman" w:cs="Times New Roman"/>
          <w:i/>
          <w:color w:val="000000" w:themeColor="text1"/>
          <w:sz w:val="20"/>
          <w:szCs w:val="20"/>
        </w:rPr>
        <w:t>addiscere</w:t>
      </w:r>
      <w:proofErr w:type="spellEnd"/>
      <w:r w:rsidRPr="009D7635">
        <w:rPr>
          <w:rFonts w:ascii="Times New Roman" w:hAnsi="Times New Roman" w:cs="Times New Roman"/>
          <w:color w:val="000000" w:themeColor="text1"/>
          <w:sz w:val="20"/>
          <w:szCs w:val="20"/>
        </w:rPr>
        <w:t xml:space="preserve">. Both involve a movement from what is unknown to known, but in different ways, because </w:t>
      </w:r>
      <w:proofErr w:type="spellStart"/>
      <w:r w:rsidRPr="009D7635">
        <w:rPr>
          <w:rFonts w:ascii="Times New Roman" w:hAnsi="Times New Roman" w:cs="Times New Roman"/>
          <w:i/>
          <w:color w:val="000000" w:themeColor="text1"/>
          <w:sz w:val="20"/>
          <w:szCs w:val="20"/>
        </w:rPr>
        <w:t>recordatio</w:t>
      </w:r>
      <w:proofErr w:type="spellEnd"/>
      <w:r w:rsidRPr="009D7635">
        <w:rPr>
          <w:rFonts w:ascii="Times New Roman" w:hAnsi="Times New Roman" w:cs="Times New Roman"/>
          <w:color w:val="000000" w:themeColor="text1"/>
          <w:sz w:val="20"/>
          <w:szCs w:val="20"/>
        </w:rPr>
        <w:t xml:space="preserve"> involves speculating about how something will be in the future on the basis of what has happened in the past, while in true learning or </w:t>
      </w:r>
      <w:proofErr w:type="spellStart"/>
      <w:r w:rsidRPr="009D7635">
        <w:rPr>
          <w:rFonts w:ascii="Times New Roman" w:hAnsi="Times New Roman" w:cs="Times New Roman"/>
          <w:i/>
          <w:color w:val="000000" w:themeColor="text1"/>
          <w:sz w:val="20"/>
          <w:szCs w:val="20"/>
        </w:rPr>
        <w:t>addiscentia</w:t>
      </w:r>
      <w:proofErr w:type="spellEnd"/>
      <w:r w:rsidRPr="009D7635">
        <w:rPr>
          <w:rFonts w:ascii="Times New Roman" w:hAnsi="Times New Roman" w:cs="Times New Roman"/>
          <w:color w:val="000000" w:themeColor="text1"/>
          <w:sz w:val="20"/>
          <w:szCs w:val="20"/>
        </w:rPr>
        <w:t xml:space="preserve">, which is only possible for humans, the soul comes to know that of which it did not yet have any knowledge. </w:t>
      </w:r>
    </w:p>
  </w:footnote>
  <w:footnote w:id="640">
    <w:p w14:paraId="66DB3C3E"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80.</w:t>
      </w:r>
    </w:p>
  </w:footnote>
  <w:footnote w:id="641">
    <w:p w14:paraId="16BDEF51" w14:textId="4CF0144C" w:rsidR="007B6667" w:rsidRPr="009D7635" w:rsidRDefault="007B6667">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See for example </w:t>
      </w:r>
      <w:r w:rsidRPr="009D7635">
        <w:rPr>
          <w:rFonts w:ascii="Times New Roman" w:hAnsi="Times New Roman" w:cs="Times New Roman"/>
          <w:i/>
          <w:iCs/>
          <w:color w:val="000000" w:themeColor="text1"/>
        </w:rPr>
        <w:t xml:space="preserve">Avicenna </w:t>
      </w:r>
      <w:proofErr w:type="spellStart"/>
      <w:r w:rsidRPr="009D7635">
        <w:rPr>
          <w:rFonts w:ascii="Times New Roman" w:hAnsi="Times New Roman" w:cs="Times New Roman"/>
          <w:i/>
          <w:iCs/>
          <w:color w:val="000000" w:themeColor="text1"/>
        </w:rPr>
        <w:t>Latinus</w:t>
      </w:r>
      <w:proofErr w:type="spellEnd"/>
      <w:r w:rsidR="002D3BBE" w:rsidRPr="009D7635">
        <w:rPr>
          <w:rFonts w:ascii="Times New Roman" w:hAnsi="Times New Roman" w:cs="Times New Roman"/>
          <w:i/>
          <w:iCs/>
          <w:color w:val="000000" w:themeColor="text1"/>
        </w:rPr>
        <w:t>:</w:t>
      </w:r>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Liber</w:t>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I.5, 94 on the two faces of the soul.</w:t>
      </w:r>
    </w:p>
  </w:footnote>
  <w:footnote w:id="642">
    <w:p w14:paraId="03A302B9" w14:textId="4D561D51"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Theodore Crowley, </w:t>
      </w:r>
      <w:r w:rsidRPr="009D7635">
        <w:rPr>
          <w:rFonts w:ascii="Times New Roman" w:hAnsi="Times New Roman" w:cs="Times New Roman"/>
          <w:i/>
          <w:color w:val="000000" w:themeColor="text1"/>
        </w:rPr>
        <w:t xml:space="preserve">Roger Bacon: The Problem of the Soul in His Philosophical Commentaries </w:t>
      </w:r>
      <w:r w:rsidRPr="009D7635">
        <w:rPr>
          <w:rFonts w:ascii="Times New Roman" w:hAnsi="Times New Roman" w:cs="Times New Roman"/>
          <w:color w:val="000000" w:themeColor="text1"/>
        </w:rPr>
        <w:t xml:space="preserve">(Dublin: Maes Duffey, 1950), 188. This position was already stated by J. </w:t>
      </w:r>
      <w:proofErr w:type="spellStart"/>
      <w:r w:rsidRPr="009D7635">
        <w:rPr>
          <w:rFonts w:ascii="Times New Roman" w:hAnsi="Times New Roman" w:cs="Times New Roman"/>
          <w:color w:val="000000" w:themeColor="text1"/>
        </w:rPr>
        <w:t>Rohmer</w:t>
      </w:r>
      <w:proofErr w:type="spellEnd"/>
      <w:r w:rsidRPr="009D7635">
        <w:rPr>
          <w:rFonts w:ascii="Times New Roman" w:hAnsi="Times New Roman" w:cs="Times New Roman"/>
          <w:color w:val="000000" w:themeColor="text1"/>
        </w:rPr>
        <w:t xml:space="preserve">, who notes that the doctrine of the two faces of the soul came to Latin thinkers through the Arab tradition and more directly </w:t>
      </w:r>
      <w:proofErr w:type="spellStart"/>
      <w:r w:rsidRPr="009D7635">
        <w:rPr>
          <w:rFonts w:ascii="Times New Roman" w:hAnsi="Times New Roman" w:cs="Times New Roman"/>
          <w:color w:val="000000" w:themeColor="text1"/>
        </w:rPr>
        <w:t>Gundissalinus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immortalitate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animae</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See his </w:t>
      </w:r>
      <w:r w:rsidRPr="009D7635">
        <w:rPr>
          <w:rFonts w:ascii="Times New Roman" w:eastAsia="Times New Roman" w:hAnsi="Times New Roman" w:cs="Times New Roman"/>
          <w:color w:val="000000" w:themeColor="text1"/>
          <w:lang w:eastAsia="en-GB"/>
        </w:rPr>
        <w:t xml:space="preserve">‘La </w:t>
      </w:r>
      <w:proofErr w:type="spellStart"/>
      <w:r w:rsidRPr="009D7635">
        <w:rPr>
          <w:rFonts w:ascii="Times New Roman" w:eastAsia="Times New Roman" w:hAnsi="Times New Roman" w:cs="Times New Roman"/>
          <w:color w:val="000000" w:themeColor="text1"/>
          <w:lang w:eastAsia="en-GB"/>
        </w:rPr>
        <w:t>théorie</w:t>
      </w:r>
      <w:proofErr w:type="spellEnd"/>
      <w:r w:rsidRPr="009D7635">
        <w:rPr>
          <w:rFonts w:ascii="Times New Roman" w:eastAsia="Times New Roman" w:hAnsi="Times New Roman" w:cs="Times New Roman"/>
          <w:color w:val="000000" w:themeColor="text1"/>
          <w:lang w:eastAsia="en-GB"/>
        </w:rPr>
        <w:t xml:space="preserve"> de l'abstraction dans l'école </w:t>
      </w:r>
      <w:proofErr w:type="spellStart"/>
      <w:r w:rsidRPr="009D7635">
        <w:rPr>
          <w:rFonts w:ascii="Times New Roman" w:eastAsia="Times New Roman" w:hAnsi="Times New Roman" w:cs="Times New Roman"/>
          <w:color w:val="000000" w:themeColor="text1"/>
          <w:lang w:eastAsia="en-GB"/>
        </w:rPr>
        <w:t>Franciscaine</w:t>
      </w:r>
      <w:proofErr w:type="spellEnd"/>
      <w:r w:rsidRPr="009D7635">
        <w:rPr>
          <w:rFonts w:ascii="Times New Roman" w:eastAsia="Times New Roman" w:hAnsi="Times New Roman" w:cs="Times New Roman"/>
          <w:color w:val="000000" w:themeColor="text1"/>
          <w:lang w:eastAsia="en-GB"/>
        </w:rPr>
        <w:t xml:space="preserve"> d'Alexandre de </w:t>
      </w:r>
      <w:proofErr w:type="spellStart"/>
      <w:r w:rsidRPr="009D7635">
        <w:rPr>
          <w:rFonts w:ascii="Times New Roman" w:eastAsia="Times New Roman" w:hAnsi="Times New Roman" w:cs="Times New Roman"/>
          <w:color w:val="000000" w:themeColor="text1"/>
          <w:lang w:eastAsia="en-GB"/>
        </w:rPr>
        <w:t>Halés</w:t>
      </w:r>
      <w:proofErr w:type="spellEnd"/>
      <w:r w:rsidRPr="009D7635">
        <w:rPr>
          <w:rFonts w:ascii="Times New Roman" w:eastAsia="Times New Roman" w:hAnsi="Times New Roman" w:cs="Times New Roman"/>
          <w:color w:val="000000" w:themeColor="text1"/>
          <w:lang w:eastAsia="en-GB"/>
        </w:rPr>
        <w:t xml:space="preserve"> à Jean Peckham,’ </w:t>
      </w:r>
      <w:r w:rsidRPr="009D7635">
        <w:rPr>
          <w:rFonts w:ascii="Times New Roman" w:hAnsi="Times New Roman" w:cs="Times New Roman"/>
          <w:i/>
          <w:color w:val="000000" w:themeColor="text1"/>
        </w:rPr>
        <w:t xml:space="preserve">Archives </w:t>
      </w:r>
      <w:proofErr w:type="spellStart"/>
      <w:r w:rsidRPr="009D7635">
        <w:rPr>
          <w:rFonts w:ascii="Times New Roman" w:hAnsi="Times New Roman" w:cs="Times New Roman"/>
          <w:i/>
          <w:color w:val="000000" w:themeColor="text1"/>
        </w:rPr>
        <w:t>d'histoire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doctrinale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littéraire</w:t>
      </w:r>
      <w:proofErr w:type="spellEnd"/>
      <w:r w:rsidRPr="009D7635">
        <w:rPr>
          <w:rFonts w:ascii="Times New Roman" w:hAnsi="Times New Roman" w:cs="Times New Roman"/>
          <w:i/>
          <w:color w:val="000000" w:themeColor="text1"/>
        </w:rPr>
        <w:t xml:space="preserve"> du </w:t>
      </w:r>
      <w:proofErr w:type="spellStart"/>
      <w:r w:rsidRPr="009D7635">
        <w:rPr>
          <w:rFonts w:ascii="Times New Roman" w:hAnsi="Times New Roman" w:cs="Times New Roman"/>
          <w:i/>
          <w:color w:val="000000" w:themeColor="text1"/>
        </w:rPr>
        <w:t>Moyen</w:t>
      </w:r>
      <w:proofErr w:type="spellEnd"/>
      <w:r w:rsidRPr="009D7635">
        <w:rPr>
          <w:rFonts w:ascii="Times New Roman" w:hAnsi="Times New Roman" w:cs="Times New Roman"/>
          <w:i/>
          <w:color w:val="000000" w:themeColor="text1"/>
        </w:rPr>
        <w:t xml:space="preserve"> Age</w:t>
      </w:r>
      <w:r w:rsidRPr="009D7635">
        <w:rPr>
          <w:rFonts w:ascii="Times New Roman" w:eastAsia="Times New Roman" w:hAnsi="Times New Roman" w:cs="Times New Roman"/>
          <w:color w:val="000000" w:themeColor="text1"/>
          <w:lang w:eastAsia="en-GB"/>
        </w:rPr>
        <w:t xml:space="preserve"> 3 (1928)</w:t>
      </w:r>
      <w:r w:rsidR="007A5FF6" w:rsidRPr="009D7635">
        <w:rPr>
          <w:rFonts w:ascii="Times New Roman" w:eastAsia="Times New Roman" w:hAnsi="Times New Roman" w:cs="Times New Roman"/>
          <w:color w:val="000000" w:themeColor="text1"/>
          <w:lang w:eastAsia="en-GB"/>
        </w:rPr>
        <w:t>:</w:t>
      </w:r>
      <w:r w:rsidRPr="009D7635">
        <w:rPr>
          <w:rFonts w:ascii="Times New Roman" w:eastAsia="Times New Roman" w:hAnsi="Times New Roman" w:cs="Times New Roman"/>
          <w:color w:val="000000" w:themeColor="text1"/>
          <w:lang w:eastAsia="en-GB"/>
        </w:rPr>
        <w:t xml:space="preserve"> 123</w:t>
      </w:r>
      <w:r w:rsidRPr="009D7635">
        <w:rPr>
          <w:rFonts w:ascii="Times New Roman" w:hAnsi="Times New Roman" w:cs="Times New Roman"/>
          <w:color w:val="000000" w:themeColor="text1"/>
        </w:rPr>
        <w:t>.</w:t>
      </w:r>
    </w:p>
  </w:footnote>
  <w:footnote w:id="643">
    <w:p w14:paraId="1FAC31C6" w14:textId="7BAF8E81" w:rsidR="00B93ED5" w:rsidRPr="009D7635" w:rsidRDefault="00B93ED5" w:rsidP="00E212D3">
      <w:pPr>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268.</w:t>
      </w:r>
    </w:p>
  </w:footnote>
  <w:footnote w:id="644">
    <w:p w14:paraId="2BFE461B" w14:textId="0DD9C9A9"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7A5FF6" w:rsidRPr="009D7635">
        <w:rPr>
          <w:rFonts w:ascii="Times New Roman" w:hAnsi="Times New Roman" w:cs="Times New Roman"/>
          <w:iCs/>
          <w:color w:val="000000" w:themeColor="text1"/>
        </w:rPr>
        <w:t>Ibid.</w:t>
      </w:r>
    </w:p>
  </w:footnote>
  <w:footnote w:id="645">
    <w:p w14:paraId="54D45718"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81-2.</w:t>
      </w:r>
    </w:p>
  </w:footnote>
  <w:footnote w:id="646">
    <w:p w14:paraId="711E1306" w14:textId="7FCA176F"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7A5FF6" w:rsidRPr="009D7635">
        <w:rPr>
          <w:rFonts w:ascii="Times New Roman" w:hAnsi="Times New Roman" w:cs="Times New Roman"/>
          <w:iCs/>
          <w:color w:val="000000" w:themeColor="text1"/>
          <w:sz w:val="20"/>
          <w:szCs w:val="20"/>
        </w:rPr>
        <w:t>Ibid.,</w:t>
      </w:r>
      <w:r w:rsidRPr="009D7635">
        <w:rPr>
          <w:rFonts w:ascii="Times New Roman" w:hAnsi="Times New Roman" w:cs="Times New Roman"/>
          <w:iCs/>
          <w:color w:val="000000" w:themeColor="text1"/>
          <w:sz w:val="20"/>
          <w:szCs w:val="20"/>
        </w:rPr>
        <w:t xml:space="preserve"> 82</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Item </w:t>
      </w:r>
      <w:proofErr w:type="spellStart"/>
      <w:r w:rsidRPr="009D7635">
        <w:rPr>
          <w:rFonts w:ascii="Times New Roman" w:hAnsi="Times New Roman" w:cs="Times New Roman"/>
          <w:i/>
          <w:color w:val="000000" w:themeColor="text1"/>
          <w:sz w:val="20"/>
          <w:szCs w:val="20"/>
          <w:lang w:val="en-US"/>
        </w:rPr>
        <w:t>nullum</w:t>
      </w:r>
      <w:proofErr w:type="spellEnd"/>
      <w:r w:rsidRPr="009D7635">
        <w:rPr>
          <w:rFonts w:ascii="Times New Roman" w:hAnsi="Times New Roman" w:cs="Times New Roman"/>
          <w:i/>
          <w:color w:val="000000" w:themeColor="text1"/>
          <w:sz w:val="20"/>
          <w:szCs w:val="20"/>
          <w:lang w:val="en-US"/>
        </w:rPr>
        <w:t xml:space="preserve"> organum </w:t>
      </w:r>
      <w:proofErr w:type="spellStart"/>
      <w:r w:rsidRPr="009D7635">
        <w:rPr>
          <w:rFonts w:ascii="Times New Roman" w:hAnsi="Times New Roman" w:cs="Times New Roman"/>
          <w:i/>
          <w:color w:val="000000" w:themeColor="text1"/>
          <w:sz w:val="20"/>
          <w:szCs w:val="20"/>
          <w:lang w:val="en-US"/>
        </w:rPr>
        <w:t>corporale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possibilitatem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dispositionem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incorporalia</w:t>
      </w:r>
      <w:proofErr w:type="spellEnd"/>
      <w:r w:rsidRPr="009D7635">
        <w:rPr>
          <w:rFonts w:ascii="Times New Roman" w:hAnsi="Times New Roman" w:cs="Times New Roman"/>
          <w:i/>
          <w:color w:val="000000" w:themeColor="text1"/>
          <w:sz w:val="20"/>
          <w:szCs w:val="20"/>
          <w:lang w:val="en-US"/>
        </w:rPr>
        <w:t>…</w:t>
      </w:r>
      <w:proofErr w:type="spellStart"/>
      <w:r w:rsidRPr="009D7635">
        <w:rPr>
          <w:rFonts w:ascii="Times New Roman" w:hAnsi="Times New Roman" w:cs="Times New Roman"/>
          <w:i/>
          <w:color w:val="000000" w:themeColor="text1"/>
          <w:sz w:val="20"/>
          <w:szCs w:val="20"/>
          <w:lang w:val="en-US"/>
        </w:rPr>
        <w:t>si</w:t>
      </w:r>
      <w:proofErr w:type="spellEnd"/>
      <w:r w:rsidRPr="009D7635">
        <w:rPr>
          <w:rFonts w:ascii="Times New Roman" w:hAnsi="Times New Roman" w:cs="Times New Roman"/>
          <w:i/>
          <w:color w:val="000000" w:themeColor="text1"/>
          <w:sz w:val="20"/>
          <w:szCs w:val="20"/>
          <w:lang w:val="en-US"/>
        </w:rPr>
        <w:t xml:space="preserve"> ergo </w:t>
      </w:r>
      <w:proofErr w:type="spellStart"/>
      <w:r w:rsidRPr="009D7635">
        <w:rPr>
          <w:rFonts w:ascii="Times New Roman" w:hAnsi="Times New Roman" w:cs="Times New Roman"/>
          <w:i/>
          <w:color w:val="000000" w:themeColor="text1"/>
          <w:sz w:val="20"/>
          <w:szCs w:val="20"/>
          <w:lang w:val="en-US"/>
        </w:rPr>
        <w:t>intellectiua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intelligeret</w:t>
      </w:r>
      <w:proofErr w:type="spellEnd"/>
      <w:r w:rsidRPr="009D7635">
        <w:rPr>
          <w:rFonts w:ascii="Times New Roman" w:hAnsi="Times New Roman" w:cs="Times New Roman"/>
          <w:i/>
          <w:color w:val="000000" w:themeColor="text1"/>
          <w:sz w:val="20"/>
          <w:szCs w:val="20"/>
          <w:lang w:val="en-US"/>
        </w:rPr>
        <w:t xml:space="preserve"> per organum </w:t>
      </w:r>
      <w:proofErr w:type="spellStart"/>
      <w:r w:rsidRPr="009D7635">
        <w:rPr>
          <w:rFonts w:ascii="Times New Roman" w:hAnsi="Times New Roman" w:cs="Times New Roman"/>
          <w:i/>
          <w:color w:val="000000" w:themeColor="text1"/>
          <w:sz w:val="20"/>
          <w:szCs w:val="20"/>
          <w:lang w:val="en-US"/>
        </w:rPr>
        <w:t>corporale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intelligeret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tantum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corporalia</w:t>
      </w:r>
      <w:proofErr w:type="spellEnd"/>
      <w:r w:rsidRPr="009D7635">
        <w:rPr>
          <w:rFonts w:ascii="Times New Roman" w:hAnsi="Times New Roman" w:cs="Times New Roman"/>
          <w:i/>
          <w:color w:val="000000" w:themeColor="text1"/>
          <w:sz w:val="20"/>
          <w:szCs w:val="20"/>
          <w:lang w:val="en-US"/>
        </w:rPr>
        <w:t xml:space="preserve"> et non </w:t>
      </w:r>
      <w:proofErr w:type="spellStart"/>
      <w:r w:rsidRPr="009D7635">
        <w:rPr>
          <w:rFonts w:ascii="Times New Roman" w:hAnsi="Times New Roman" w:cs="Times New Roman"/>
          <w:i/>
          <w:color w:val="000000" w:themeColor="text1"/>
          <w:sz w:val="20"/>
          <w:szCs w:val="20"/>
          <w:lang w:val="en-US"/>
        </w:rPr>
        <w:t>spiritualia</w:t>
      </w:r>
      <w:proofErr w:type="spellEnd"/>
      <w:r w:rsidRPr="009D7635">
        <w:rPr>
          <w:rFonts w:ascii="Times New Roman" w:hAnsi="Times New Roman" w:cs="Times New Roman"/>
          <w:i/>
          <w:color w:val="000000" w:themeColor="text1"/>
          <w:sz w:val="20"/>
          <w:szCs w:val="20"/>
          <w:lang w:val="en-US"/>
        </w:rPr>
        <w:t>.</w:t>
      </w:r>
    </w:p>
  </w:footnote>
  <w:footnote w:id="647">
    <w:p w14:paraId="29CCCF2F" w14:textId="0D91A374"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7A5FF6" w:rsidRPr="009D7635">
        <w:rPr>
          <w:rFonts w:ascii="Times New Roman" w:hAnsi="Times New Roman" w:cs="Times New Roman"/>
          <w:iCs/>
          <w:color w:val="000000" w:themeColor="text1"/>
          <w:sz w:val="20"/>
          <w:szCs w:val="20"/>
        </w:rPr>
        <w:t>Ibid.</w:t>
      </w:r>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Preterea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operatio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virtutis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semper</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abstractionem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materialibus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conditionibus</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omnis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operatio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virtutis</w:t>
      </w:r>
      <w:proofErr w:type="spellEnd"/>
      <w:r w:rsidRPr="009D7635">
        <w:rPr>
          <w:rFonts w:ascii="Times New Roman" w:hAnsi="Times New Roman" w:cs="Times New Roman"/>
          <w:i/>
          <w:color w:val="000000" w:themeColor="text1"/>
          <w:sz w:val="20"/>
          <w:szCs w:val="20"/>
          <w:lang w:val="en-US"/>
        </w:rPr>
        <w:t xml:space="preserve">, a qua </w:t>
      </w:r>
      <w:proofErr w:type="spellStart"/>
      <w:r w:rsidRPr="009D7635">
        <w:rPr>
          <w:rFonts w:ascii="Times New Roman" w:hAnsi="Times New Roman" w:cs="Times New Roman"/>
          <w:i/>
          <w:color w:val="000000" w:themeColor="text1"/>
          <w:sz w:val="20"/>
          <w:szCs w:val="20"/>
          <w:lang w:val="en-US"/>
        </w:rPr>
        <w:t>egreditur</w:t>
      </w:r>
      <w:proofErr w:type="spellEnd"/>
      <w:r w:rsidRPr="009D7635">
        <w:rPr>
          <w:rFonts w:ascii="Times New Roman" w:hAnsi="Times New Roman" w:cs="Times New Roman"/>
          <w:i/>
          <w:color w:val="000000" w:themeColor="text1"/>
          <w:sz w:val="20"/>
          <w:szCs w:val="20"/>
          <w:lang w:val="en-US"/>
        </w:rPr>
        <w:t xml:space="preserve">; cum ergo </w:t>
      </w:r>
      <w:proofErr w:type="spellStart"/>
      <w:r w:rsidRPr="009D7635">
        <w:rPr>
          <w:rFonts w:ascii="Times New Roman" w:hAnsi="Times New Roman" w:cs="Times New Roman"/>
          <w:i/>
          <w:color w:val="000000" w:themeColor="text1"/>
          <w:sz w:val="20"/>
          <w:szCs w:val="20"/>
          <w:lang w:val="en-US"/>
        </w:rPr>
        <w:t>virtus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intellectiua</w:t>
      </w:r>
      <w:proofErr w:type="spellEnd"/>
      <w:r w:rsidRPr="009D7635">
        <w:rPr>
          <w:rFonts w:ascii="Times New Roman" w:hAnsi="Times New Roman" w:cs="Times New Roman"/>
          <w:i/>
          <w:color w:val="000000" w:themeColor="text1"/>
          <w:sz w:val="20"/>
          <w:szCs w:val="20"/>
          <w:lang w:val="en-US"/>
        </w:rPr>
        <w:t xml:space="preserve"> sit </w:t>
      </w:r>
      <w:proofErr w:type="spellStart"/>
      <w:r w:rsidRPr="009D7635">
        <w:rPr>
          <w:rFonts w:ascii="Times New Roman" w:hAnsi="Times New Roman" w:cs="Times New Roman"/>
          <w:i/>
          <w:color w:val="000000" w:themeColor="text1"/>
          <w:sz w:val="20"/>
          <w:szCs w:val="20"/>
          <w:lang w:val="en-US"/>
        </w:rPr>
        <w:t>abstracta</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organum </w:t>
      </w:r>
      <w:proofErr w:type="spellStart"/>
      <w:r w:rsidRPr="009D7635">
        <w:rPr>
          <w:rFonts w:ascii="Times New Roman" w:hAnsi="Times New Roman" w:cs="Times New Roman"/>
          <w:i/>
          <w:color w:val="000000" w:themeColor="text1"/>
          <w:sz w:val="20"/>
          <w:szCs w:val="20"/>
          <w:lang w:val="en-US"/>
        </w:rPr>
        <w:t>corporale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materialem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assignationem</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Cf.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269.</w:t>
      </w:r>
    </w:p>
  </w:footnote>
  <w:footnote w:id="648">
    <w:p w14:paraId="00EDBB75" w14:textId="2231E870" w:rsidR="00CF255A" w:rsidRPr="009D7635" w:rsidRDefault="00CF255A">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w:t>
      </w:r>
      <w:r w:rsidRPr="009D7635">
        <w:rPr>
          <w:rFonts w:ascii="Times New Roman" w:hAnsi="Times New Roman" w:cs="Times New Roman"/>
          <w:color w:val="000000" w:themeColor="text1"/>
        </w:rPr>
        <w:t xml:space="preserve">See also </w:t>
      </w:r>
      <w:r w:rsidRPr="009D7635">
        <w:rPr>
          <w:rFonts w:ascii="Times New Roman" w:hAnsi="Times New Roman" w:cs="Times New Roman"/>
          <w:i/>
          <w:iCs/>
          <w:color w:val="000000" w:themeColor="text1"/>
        </w:rPr>
        <w:t xml:space="preserve">Avicenna </w:t>
      </w:r>
      <w:proofErr w:type="spellStart"/>
      <w:r w:rsidRPr="009D7635">
        <w:rPr>
          <w:rFonts w:ascii="Times New Roman" w:hAnsi="Times New Roman" w:cs="Times New Roman"/>
          <w:i/>
          <w:iCs/>
          <w:color w:val="000000" w:themeColor="text1"/>
        </w:rPr>
        <w:t>Latinus</w:t>
      </w:r>
      <w:proofErr w:type="spellEnd"/>
      <w:r w:rsidR="002D3BBE" w:rsidRPr="009D7635">
        <w:rPr>
          <w:rFonts w:ascii="Times New Roman" w:hAnsi="Times New Roman" w:cs="Times New Roman"/>
          <w:i/>
          <w:iCs/>
          <w:color w:val="000000" w:themeColor="text1"/>
        </w:rPr>
        <w:t>:</w:t>
      </w:r>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Liber</w:t>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IV.2, 81-101.</w:t>
      </w:r>
    </w:p>
  </w:footnote>
  <w:footnote w:id="649">
    <w:p w14:paraId="3134F73F" w14:textId="77777777" w:rsidR="00B93ED5" w:rsidRPr="009D7635" w:rsidRDefault="00B93ED5" w:rsidP="00E212D3">
      <w:pPr>
        <w:autoSpaceDE w:val="0"/>
        <w:autoSpaceDN w:val="0"/>
        <w:adjustRightInd w:val="0"/>
        <w:ind w:right="-72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82: </w:t>
      </w:r>
      <w:r w:rsidRPr="009D7635">
        <w:rPr>
          <w:rFonts w:ascii="Times New Roman" w:hAnsi="Times New Roman" w:cs="Times New Roman"/>
          <w:i/>
          <w:color w:val="000000" w:themeColor="text1"/>
          <w:sz w:val="20"/>
          <w:szCs w:val="20"/>
          <w:lang w:val="en-US"/>
        </w:rPr>
        <w:t xml:space="preserve">Item </w:t>
      </w:r>
      <w:proofErr w:type="spellStart"/>
      <w:r w:rsidRPr="009D7635">
        <w:rPr>
          <w:rFonts w:ascii="Times New Roman" w:hAnsi="Times New Roman" w:cs="Times New Roman"/>
          <w:i/>
          <w:color w:val="000000" w:themeColor="text1"/>
          <w:sz w:val="20"/>
          <w:szCs w:val="20"/>
          <w:lang w:val="en-US"/>
        </w:rPr>
        <w:t>nulla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incorporata</w:t>
      </w:r>
      <w:proofErr w:type="spellEnd"/>
      <w:r w:rsidRPr="009D7635">
        <w:rPr>
          <w:rFonts w:ascii="Times New Roman" w:hAnsi="Times New Roman" w:cs="Times New Roman"/>
          <w:i/>
          <w:color w:val="000000" w:themeColor="text1"/>
          <w:sz w:val="20"/>
          <w:szCs w:val="20"/>
          <w:lang w:val="en-US"/>
        </w:rPr>
        <w:t xml:space="preserve">, id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parti </w:t>
      </w:r>
      <w:proofErr w:type="spellStart"/>
      <w:r w:rsidRPr="009D7635">
        <w:rPr>
          <w:rFonts w:ascii="Times New Roman" w:hAnsi="Times New Roman" w:cs="Times New Roman"/>
          <w:i/>
          <w:color w:val="000000" w:themeColor="text1"/>
          <w:sz w:val="20"/>
          <w:szCs w:val="20"/>
          <w:lang w:val="en-US"/>
        </w:rPr>
        <w:t>corporis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determinata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operans</w:t>
      </w:r>
      <w:proofErr w:type="spellEnd"/>
      <w:r w:rsidRPr="009D7635">
        <w:rPr>
          <w:rFonts w:ascii="Times New Roman" w:hAnsi="Times New Roman" w:cs="Times New Roman"/>
          <w:i/>
          <w:color w:val="000000" w:themeColor="text1"/>
          <w:sz w:val="20"/>
          <w:szCs w:val="20"/>
          <w:lang w:val="en-US"/>
        </w:rPr>
        <w:t xml:space="preserve"> per organum,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cognitiua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potest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reflecti</w:t>
      </w:r>
      <w:proofErr w:type="spellEnd"/>
      <w:r w:rsidRPr="009D7635">
        <w:rPr>
          <w:rFonts w:ascii="Times New Roman" w:hAnsi="Times New Roman" w:cs="Times New Roman"/>
          <w:i/>
          <w:color w:val="000000" w:themeColor="text1"/>
          <w:sz w:val="20"/>
          <w:szCs w:val="20"/>
          <w:lang w:val="en-US"/>
        </w:rPr>
        <w:t xml:space="preserve"> supra se, cum sit </w:t>
      </w:r>
      <w:proofErr w:type="spellStart"/>
      <w:r w:rsidRPr="009D7635">
        <w:rPr>
          <w:rFonts w:ascii="Times New Roman" w:hAnsi="Times New Roman" w:cs="Times New Roman"/>
          <w:i/>
          <w:color w:val="000000" w:themeColor="text1"/>
          <w:sz w:val="20"/>
          <w:szCs w:val="20"/>
          <w:lang w:val="en-US"/>
        </w:rPr>
        <w:t>incorporata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unde</w:t>
      </w:r>
      <w:proofErr w:type="spellEnd"/>
      <w:r w:rsidRPr="009D7635">
        <w:rPr>
          <w:rFonts w:ascii="Times New Roman" w:hAnsi="Times New Roman" w:cs="Times New Roman"/>
          <w:i/>
          <w:color w:val="000000" w:themeColor="text1"/>
          <w:sz w:val="20"/>
          <w:szCs w:val="20"/>
          <w:lang w:val="en-US"/>
        </w:rPr>
        <w:t xml:space="preserve"> oculus non </w:t>
      </w:r>
      <w:proofErr w:type="spellStart"/>
      <w:r w:rsidRPr="009D7635">
        <w:rPr>
          <w:rFonts w:ascii="Times New Roman" w:hAnsi="Times New Roman" w:cs="Times New Roman"/>
          <w:i/>
          <w:color w:val="000000" w:themeColor="text1"/>
          <w:sz w:val="20"/>
          <w:szCs w:val="20"/>
          <w:lang w:val="en-US"/>
        </w:rPr>
        <w:t>videt</w:t>
      </w:r>
      <w:proofErr w:type="spellEnd"/>
      <w:r w:rsidRPr="009D7635">
        <w:rPr>
          <w:rFonts w:ascii="Times New Roman" w:hAnsi="Times New Roman" w:cs="Times New Roman"/>
          <w:i/>
          <w:color w:val="000000" w:themeColor="text1"/>
          <w:sz w:val="20"/>
          <w:szCs w:val="20"/>
          <w:lang w:val="en-US"/>
        </w:rPr>
        <w:t xml:space="preserve"> se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imaginatio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ymaginatur</w:t>
      </w:r>
      <w:proofErr w:type="spellEnd"/>
      <w:r w:rsidRPr="009D7635">
        <w:rPr>
          <w:rFonts w:ascii="Times New Roman" w:hAnsi="Times New Roman" w:cs="Times New Roman"/>
          <w:i/>
          <w:color w:val="000000" w:themeColor="text1"/>
          <w:sz w:val="20"/>
          <w:szCs w:val="20"/>
          <w:lang w:val="en-US"/>
        </w:rPr>
        <w:t xml:space="preserve"> se; cum ergo </w:t>
      </w:r>
      <w:proofErr w:type="spellStart"/>
      <w:r w:rsidRPr="009D7635">
        <w:rPr>
          <w:rFonts w:ascii="Times New Roman" w:hAnsi="Times New Roman" w:cs="Times New Roman"/>
          <w:i/>
          <w:color w:val="000000" w:themeColor="text1"/>
          <w:sz w:val="20"/>
          <w:szCs w:val="20"/>
          <w:lang w:val="en-US"/>
        </w:rPr>
        <w:t>virtus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intellectiua</w:t>
      </w:r>
      <w:proofErr w:type="spellEnd"/>
      <w:r w:rsidRPr="009D7635">
        <w:rPr>
          <w:rFonts w:ascii="Times New Roman" w:hAnsi="Times New Roman" w:cs="Times New Roman"/>
          <w:i/>
          <w:color w:val="000000" w:themeColor="text1"/>
          <w:sz w:val="20"/>
          <w:szCs w:val="20"/>
          <w:lang w:val="en-US"/>
        </w:rPr>
        <w:t xml:space="preserve"> sit </w:t>
      </w:r>
      <w:proofErr w:type="spellStart"/>
      <w:r w:rsidRPr="009D7635">
        <w:rPr>
          <w:rFonts w:ascii="Times New Roman" w:hAnsi="Times New Roman" w:cs="Times New Roman"/>
          <w:i/>
          <w:color w:val="000000" w:themeColor="text1"/>
          <w:sz w:val="20"/>
          <w:szCs w:val="20"/>
          <w:lang w:val="en-US"/>
        </w:rPr>
        <w:t>cognitiua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se, cum </w:t>
      </w:r>
      <w:proofErr w:type="spellStart"/>
      <w:r w:rsidRPr="009D7635">
        <w:rPr>
          <w:rFonts w:ascii="Times New Roman" w:hAnsi="Times New Roman" w:cs="Times New Roman"/>
          <w:i/>
          <w:color w:val="000000" w:themeColor="text1"/>
          <w:sz w:val="20"/>
          <w:szCs w:val="20"/>
          <w:lang w:val="en-US"/>
        </w:rPr>
        <w:t>reflectitur</w:t>
      </w:r>
      <w:proofErr w:type="spellEnd"/>
      <w:r w:rsidRPr="009D7635">
        <w:rPr>
          <w:rFonts w:ascii="Times New Roman" w:hAnsi="Times New Roman" w:cs="Times New Roman"/>
          <w:i/>
          <w:color w:val="000000" w:themeColor="text1"/>
          <w:sz w:val="20"/>
          <w:szCs w:val="20"/>
          <w:lang w:val="en-US"/>
        </w:rPr>
        <w:t xml:space="preserve"> supra se, ergo </w:t>
      </w:r>
      <w:proofErr w:type="spellStart"/>
      <w:r w:rsidRPr="009D7635">
        <w:rPr>
          <w:rFonts w:ascii="Times New Roman" w:hAnsi="Times New Roman" w:cs="Times New Roman"/>
          <w:i/>
          <w:color w:val="000000" w:themeColor="text1"/>
          <w:sz w:val="20"/>
          <w:szCs w:val="20"/>
          <w:lang w:val="en-US"/>
        </w:rPr>
        <w:t>virtus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intellectiua</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incorporata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operans</w:t>
      </w:r>
      <w:proofErr w:type="spellEnd"/>
      <w:r w:rsidRPr="009D7635">
        <w:rPr>
          <w:rFonts w:ascii="Times New Roman" w:hAnsi="Times New Roman" w:cs="Times New Roman"/>
          <w:i/>
          <w:color w:val="000000" w:themeColor="text1"/>
          <w:sz w:val="20"/>
          <w:szCs w:val="20"/>
          <w:lang w:val="en-US"/>
        </w:rPr>
        <w:t xml:space="preserve"> per organum. </w:t>
      </w:r>
      <w:r w:rsidRPr="009D7635">
        <w:rPr>
          <w:rFonts w:ascii="Times New Roman" w:hAnsi="Times New Roman" w:cs="Times New Roman"/>
          <w:color w:val="000000" w:themeColor="text1"/>
          <w:sz w:val="20"/>
          <w:szCs w:val="20"/>
          <w:lang w:val="en-US"/>
        </w:rPr>
        <w:t xml:space="preserve">Cf.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269. </w:t>
      </w:r>
    </w:p>
  </w:footnote>
  <w:footnote w:id="650">
    <w:p w14:paraId="57FDF611" w14:textId="77777777" w:rsidR="00B93ED5" w:rsidRPr="009D7635" w:rsidRDefault="00B93ED5" w:rsidP="00E212D3">
      <w:pPr>
        <w:autoSpaceDE w:val="0"/>
        <w:autoSpaceDN w:val="0"/>
        <w:adjustRightInd w:val="0"/>
        <w:ind w:right="-72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Cf.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269. </w:t>
      </w:r>
    </w:p>
  </w:footnote>
  <w:footnote w:id="651">
    <w:p w14:paraId="44D5BD45" w14:textId="7777777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82: </w:t>
      </w:r>
      <w:r w:rsidRPr="009D7635">
        <w:rPr>
          <w:rFonts w:ascii="Times New Roman" w:hAnsi="Times New Roman" w:cs="Times New Roman"/>
          <w:i/>
          <w:color w:val="000000" w:themeColor="text1"/>
          <w:sz w:val="20"/>
          <w:szCs w:val="20"/>
          <w:lang w:val="en-US"/>
        </w:rPr>
        <w:t xml:space="preserve">Item quod </w:t>
      </w:r>
      <w:proofErr w:type="spellStart"/>
      <w:r w:rsidRPr="009D7635">
        <w:rPr>
          <w:rFonts w:ascii="Times New Roman" w:hAnsi="Times New Roman" w:cs="Times New Roman"/>
          <w:i/>
          <w:color w:val="000000" w:themeColor="text1"/>
          <w:sz w:val="20"/>
          <w:szCs w:val="20"/>
          <w:lang w:val="en-US"/>
        </w:rPr>
        <w:t>cognoscitur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 cognoscente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cognoscentis</w:t>
      </w:r>
      <w:proofErr w:type="spellEnd"/>
      <w:r w:rsidRPr="009D7635">
        <w:rPr>
          <w:rFonts w:ascii="Times New Roman" w:hAnsi="Times New Roman" w:cs="Times New Roman"/>
          <w:i/>
          <w:color w:val="000000" w:themeColor="text1"/>
          <w:sz w:val="20"/>
          <w:szCs w:val="20"/>
          <w:lang w:val="en-US"/>
        </w:rPr>
        <w:t xml:space="preserve"> et non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cognite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generaliter</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recipitur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recipiente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recipientis</w:t>
      </w:r>
      <w:proofErr w:type="spellEnd"/>
      <w:r w:rsidRPr="009D7635">
        <w:rPr>
          <w:rFonts w:ascii="Times New Roman" w:hAnsi="Times New Roman" w:cs="Times New Roman"/>
          <w:i/>
          <w:color w:val="000000" w:themeColor="text1"/>
          <w:sz w:val="20"/>
          <w:szCs w:val="20"/>
          <w:lang w:val="en-US"/>
        </w:rPr>
        <w:t xml:space="preserve"> et non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recepti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sancti</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philosophi</w:t>
      </w:r>
      <w:proofErr w:type="spellEnd"/>
      <w:r w:rsidRPr="009D7635">
        <w:rPr>
          <w:rFonts w:ascii="Times New Roman" w:hAnsi="Times New Roman" w:cs="Times New Roman"/>
          <w:i/>
          <w:color w:val="000000" w:themeColor="text1"/>
          <w:sz w:val="20"/>
          <w:szCs w:val="20"/>
          <w:lang w:val="en-US"/>
        </w:rPr>
        <w:t xml:space="preserve">. Cum ergo </w:t>
      </w:r>
      <w:proofErr w:type="spellStart"/>
      <w:r w:rsidRPr="009D7635">
        <w:rPr>
          <w:rFonts w:ascii="Times New Roman" w:hAnsi="Times New Roman" w:cs="Times New Roman"/>
          <w:i/>
          <w:color w:val="000000" w:themeColor="text1"/>
          <w:sz w:val="20"/>
          <w:szCs w:val="20"/>
          <w:lang w:val="en-US"/>
        </w:rPr>
        <w:t>corporalia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materialia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sint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intellectu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immaterialem</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intelliguntur</w:t>
      </w:r>
      <w:proofErr w:type="spellEnd"/>
      <w:r w:rsidRPr="009D7635">
        <w:rPr>
          <w:rFonts w:ascii="Times New Roman" w:hAnsi="Times New Roman" w:cs="Times New Roman"/>
          <w:i/>
          <w:color w:val="000000" w:themeColor="text1"/>
          <w:sz w:val="20"/>
          <w:szCs w:val="20"/>
          <w:lang w:val="en-US"/>
        </w:rPr>
        <w:t xml:space="preserve">, ergo </w:t>
      </w:r>
      <w:proofErr w:type="spellStart"/>
      <w:r w:rsidRPr="009D7635">
        <w:rPr>
          <w:rFonts w:ascii="Times New Roman" w:hAnsi="Times New Roman" w:cs="Times New Roman"/>
          <w:i/>
          <w:color w:val="000000" w:themeColor="text1"/>
          <w:sz w:val="20"/>
          <w:szCs w:val="20"/>
          <w:lang w:val="en-US"/>
        </w:rPr>
        <w:t>natura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immaterialis</w:t>
      </w:r>
      <w:proofErr w:type="spellEnd"/>
      <w:r w:rsidRPr="009D7635">
        <w:rPr>
          <w:rFonts w:ascii="Times New Roman" w:hAnsi="Times New Roman" w:cs="Times New Roman"/>
          <w:i/>
          <w:color w:val="000000" w:themeColor="text1"/>
          <w:sz w:val="20"/>
          <w:szCs w:val="20"/>
          <w:lang w:val="en-US"/>
        </w:rPr>
        <w:t xml:space="preserve">, ergo simplex, non </w:t>
      </w:r>
      <w:proofErr w:type="spellStart"/>
      <w:r w:rsidRPr="009D7635">
        <w:rPr>
          <w:rFonts w:ascii="Times New Roman" w:hAnsi="Times New Roman" w:cs="Times New Roman"/>
          <w:i/>
          <w:color w:val="000000" w:themeColor="text1"/>
          <w:sz w:val="20"/>
          <w:szCs w:val="20"/>
          <w:lang w:val="en-US"/>
        </w:rPr>
        <w:t>utens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organo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corporali</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concedendum</w:t>
      </w:r>
      <w:proofErr w:type="spellEnd"/>
      <w:r w:rsidRPr="009D7635">
        <w:rPr>
          <w:rFonts w:ascii="Times New Roman" w:hAnsi="Times New Roman" w:cs="Times New Roman"/>
          <w:i/>
          <w:color w:val="000000" w:themeColor="text1"/>
          <w:sz w:val="20"/>
          <w:szCs w:val="20"/>
          <w:lang w:val="en-US"/>
        </w:rPr>
        <w:t xml:space="preserve"> est.</w:t>
      </w:r>
    </w:p>
  </w:footnote>
  <w:footnote w:id="652">
    <w:p w14:paraId="56CAEAC3" w14:textId="1B0F8EBB"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E9727C" w:rsidRPr="009D7635">
        <w:rPr>
          <w:rFonts w:ascii="Times New Roman" w:hAnsi="Times New Roman" w:cs="Times New Roman"/>
          <w:iCs/>
          <w:color w:val="000000" w:themeColor="text1"/>
        </w:rPr>
        <w:t>Ibid.</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cf.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270.</w:t>
      </w:r>
    </w:p>
  </w:footnote>
  <w:footnote w:id="653">
    <w:p w14:paraId="45F4FD6E" w14:textId="38AC8D39"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 </w:t>
      </w:r>
      <w:r w:rsidR="00E9727C" w:rsidRPr="009D7635">
        <w:rPr>
          <w:rFonts w:ascii="Times New Roman" w:hAnsi="Times New Roman" w:cs="Times New Roman"/>
          <w:iCs/>
          <w:color w:val="000000" w:themeColor="text1"/>
          <w:sz w:val="20"/>
          <w:szCs w:val="20"/>
        </w:rPr>
        <w:t>Ibid.,</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83, citing </w:t>
      </w:r>
      <w:r w:rsidRPr="009D7635">
        <w:rPr>
          <w:rFonts w:ascii="Times New Roman" w:hAnsi="Times New Roman" w:cs="Times New Roman"/>
          <w:i/>
          <w:color w:val="000000" w:themeColor="text1"/>
          <w:sz w:val="20"/>
          <w:szCs w:val="20"/>
          <w:lang w:val="en-US"/>
        </w:rPr>
        <w:t xml:space="preserve">De fide </w:t>
      </w:r>
      <w:proofErr w:type="spellStart"/>
      <w:r w:rsidRPr="009D7635">
        <w:rPr>
          <w:rFonts w:ascii="Times New Roman" w:hAnsi="Times New Roman" w:cs="Times New Roman"/>
          <w:i/>
          <w:color w:val="000000" w:themeColor="text1"/>
          <w:sz w:val="20"/>
          <w:szCs w:val="20"/>
          <w:lang w:val="en-US"/>
        </w:rPr>
        <w:t>orthodoxa</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1.2: </w:t>
      </w:r>
      <w:r w:rsidRPr="009D7635">
        <w:rPr>
          <w:rFonts w:ascii="Times New Roman" w:hAnsi="Times New Roman" w:cs="Times New Roman"/>
          <w:i/>
          <w:color w:val="000000" w:themeColor="text1"/>
          <w:sz w:val="20"/>
          <w:szCs w:val="20"/>
          <w:lang w:val="en-US"/>
        </w:rPr>
        <w:t xml:space="preserve">Omnibus </w:t>
      </w:r>
      <w:proofErr w:type="spellStart"/>
      <w:r w:rsidRPr="009D7635">
        <w:rPr>
          <w:rFonts w:ascii="Times New Roman" w:hAnsi="Times New Roman" w:cs="Times New Roman"/>
          <w:i/>
          <w:color w:val="000000" w:themeColor="text1"/>
          <w:sz w:val="20"/>
          <w:szCs w:val="20"/>
          <w:lang w:val="en-US"/>
        </w:rPr>
        <w:t>cognitio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existendi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Deum</w:t>
      </w:r>
      <w:proofErr w:type="spellEnd"/>
      <w:r w:rsidRPr="009D7635">
        <w:rPr>
          <w:rFonts w:ascii="Times New Roman" w:hAnsi="Times New Roman" w:cs="Times New Roman"/>
          <w:i/>
          <w:color w:val="000000" w:themeColor="text1"/>
          <w:sz w:val="20"/>
          <w:szCs w:val="20"/>
          <w:lang w:val="en-US"/>
        </w:rPr>
        <w:t xml:space="preserve"> ab ipso </w:t>
      </w:r>
      <w:proofErr w:type="spellStart"/>
      <w:r w:rsidRPr="009D7635">
        <w:rPr>
          <w:rFonts w:ascii="Times New Roman" w:hAnsi="Times New Roman" w:cs="Times New Roman"/>
          <w:i/>
          <w:color w:val="000000" w:themeColor="text1"/>
          <w:sz w:val="20"/>
          <w:szCs w:val="20"/>
          <w:lang w:val="en-US"/>
        </w:rPr>
        <w:t>naturaliter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inserta</w:t>
      </w:r>
      <w:proofErr w:type="spellEnd"/>
      <w:r w:rsidRPr="009D7635">
        <w:rPr>
          <w:rFonts w:ascii="Times New Roman" w:hAnsi="Times New Roman" w:cs="Times New Roman"/>
          <w:i/>
          <w:color w:val="000000" w:themeColor="text1"/>
          <w:sz w:val="20"/>
          <w:szCs w:val="20"/>
          <w:lang w:val="en-US"/>
        </w:rPr>
        <w:t xml:space="preserve"> est. </w:t>
      </w:r>
      <w:r w:rsidRPr="009D7635">
        <w:rPr>
          <w:rFonts w:ascii="Times New Roman" w:hAnsi="Times New Roman" w:cs="Times New Roman"/>
          <w:color w:val="000000" w:themeColor="text1"/>
          <w:sz w:val="20"/>
          <w:szCs w:val="20"/>
          <w:lang w:val="en-US"/>
        </w:rPr>
        <w:t xml:space="preserve">cf.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270.</w:t>
      </w:r>
    </w:p>
  </w:footnote>
  <w:footnote w:id="654">
    <w:p w14:paraId="62AB3AC1" w14:textId="5EC56855"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E9727C" w:rsidRPr="009D7635">
        <w:rPr>
          <w:rFonts w:ascii="Times New Roman" w:hAnsi="Times New Roman" w:cs="Times New Roman"/>
          <w:iCs/>
          <w:color w:val="000000" w:themeColor="text1"/>
          <w:sz w:val="20"/>
          <w:szCs w:val="20"/>
        </w:rPr>
        <w:t>Ibid.</w:t>
      </w:r>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 citing DSEA 4: </w:t>
      </w:r>
      <w:r w:rsidRPr="009D7635">
        <w:rPr>
          <w:rFonts w:ascii="Times New Roman" w:hAnsi="Times New Roman" w:cs="Times New Roman"/>
          <w:i/>
          <w:color w:val="000000" w:themeColor="text1"/>
          <w:sz w:val="20"/>
          <w:szCs w:val="20"/>
          <w:lang w:val="en-US"/>
        </w:rPr>
        <w:t xml:space="preserve">Et hoc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dicit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Augustinus</w:t>
      </w:r>
      <w:proofErr w:type="spellEnd"/>
      <w:r w:rsidRPr="009D7635">
        <w:rPr>
          <w:rFonts w:ascii="Times New Roman" w:hAnsi="Times New Roman" w:cs="Times New Roman"/>
          <w:i/>
          <w:color w:val="000000" w:themeColor="text1"/>
          <w:sz w:val="20"/>
          <w:szCs w:val="20"/>
          <w:lang w:val="en-US"/>
        </w:rPr>
        <w:t xml:space="preserve">, quod anima </w:t>
      </w:r>
      <w:proofErr w:type="spellStart"/>
      <w:r w:rsidRPr="009D7635">
        <w:rPr>
          <w:rFonts w:ascii="Times New Roman" w:hAnsi="Times New Roman" w:cs="Times New Roman"/>
          <w:i/>
          <w:color w:val="000000" w:themeColor="text1"/>
          <w:sz w:val="20"/>
          <w:szCs w:val="20"/>
          <w:lang w:val="en-US"/>
        </w:rPr>
        <w:t>cognoscit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Deum</w:t>
      </w:r>
      <w:proofErr w:type="spellEnd"/>
      <w:r w:rsidRPr="009D7635">
        <w:rPr>
          <w:rFonts w:ascii="Times New Roman" w:hAnsi="Times New Roman" w:cs="Times New Roman"/>
          <w:i/>
          <w:color w:val="000000" w:themeColor="text1"/>
          <w:sz w:val="20"/>
          <w:szCs w:val="20"/>
          <w:lang w:val="en-US"/>
        </w:rPr>
        <w:t xml:space="preserve"> supra se, se in se, </w:t>
      </w:r>
      <w:proofErr w:type="spellStart"/>
      <w:r w:rsidRPr="009D7635">
        <w:rPr>
          <w:rFonts w:ascii="Times New Roman" w:hAnsi="Times New Roman" w:cs="Times New Roman"/>
          <w:i/>
          <w:color w:val="000000" w:themeColor="text1"/>
          <w:sz w:val="20"/>
          <w:szCs w:val="20"/>
          <w:lang w:val="en-US"/>
        </w:rPr>
        <w:t>angelum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iuxta</w:t>
      </w:r>
      <w:proofErr w:type="spellEnd"/>
      <w:r w:rsidRPr="009D7635">
        <w:rPr>
          <w:rFonts w:ascii="Times New Roman" w:hAnsi="Times New Roman" w:cs="Times New Roman"/>
          <w:i/>
          <w:color w:val="000000" w:themeColor="text1"/>
          <w:sz w:val="20"/>
          <w:szCs w:val="20"/>
          <w:lang w:val="en-US"/>
        </w:rPr>
        <w:t xml:space="preserve"> se.</w:t>
      </w:r>
    </w:p>
  </w:footnote>
  <w:footnote w:id="655">
    <w:p w14:paraId="5DF9D720" w14:textId="2E77C777"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 </w:t>
      </w:r>
      <w:r w:rsidR="00E9727C" w:rsidRPr="009D7635">
        <w:rPr>
          <w:rFonts w:ascii="Times New Roman" w:hAnsi="Times New Roman" w:cs="Times New Roman"/>
          <w:iCs/>
          <w:color w:val="000000" w:themeColor="text1"/>
          <w:sz w:val="20"/>
          <w:szCs w:val="20"/>
        </w:rPr>
        <w:t>Ibid.,</w:t>
      </w:r>
      <w:r w:rsidR="00E9727C"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citing </w:t>
      </w:r>
      <w:r w:rsidRPr="009D7635">
        <w:rPr>
          <w:rFonts w:ascii="Times New Roman" w:hAnsi="Times New Roman" w:cs="Times New Roman"/>
          <w:i/>
          <w:color w:val="000000" w:themeColor="text1"/>
          <w:sz w:val="20"/>
          <w:szCs w:val="20"/>
          <w:lang w:val="en-US"/>
        </w:rPr>
        <w:t>De anima</w:t>
      </w:r>
      <w:r w:rsidRPr="009D7635">
        <w:rPr>
          <w:rFonts w:ascii="Times New Roman" w:hAnsi="Times New Roman" w:cs="Times New Roman"/>
          <w:color w:val="000000" w:themeColor="text1"/>
          <w:sz w:val="20"/>
          <w:szCs w:val="20"/>
          <w:lang w:val="en-US"/>
        </w:rPr>
        <w:t xml:space="preserve"> III.4: </w:t>
      </w:r>
      <w:r w:rsidRPr="009D7635">
        <w:rPr>
          <w:rFonts w:ascii="Times New Roman" w:hAnsi="Times New Roman" w:cs="Times New Roman"/>
          <w:i/>
          <w:color w:val="000000" w:themeColor="text1"/>
          <w:sz w:val="20"/>
          <w:szCs w:val="20"/>
          <w:lang w:val="en-US"/>
        </w:rPr>
        <w:t xml:space="preserve">In </w:t>
      </w:r>
      <w:proofErr w:type="spellStart"/>
      <w:r w:rsidRPr="009D7635">
        <w:rPr>
          <w:rFonts w:ascii="Times New Roman" w:hAnsi="Times New Roman" w:cs="Times New Roman"/>
          <w:i/>
          <w:color w:val="000000" w:themeColor="text1"/>
          <w:sz w:val="20"/>
          <w:szCs w:val="20"/>
          <w:lang w:val="en-US"/>
        </w:rPr>
        <w:t>hiis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sine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 xml:space="preserve">, idem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quo </w:t>
      </w:r>
      <w:proofErr w:type="spellStart"/>
      <w:r w:rsidRPr="009D7635">
        <w:rPr>
          <w:rFonts w:ascii="Times New Roman" w:hAnsi="Times New Roman" w:cs="Times New Roman"/>
          <w:i/>
          <w:color w:val="000000" w:themeColor="text1"/>
          <w:sz w:val="20"/>
          <w:szCs w:val="20"/>
          <w:lang w:val="en-US"/>
        </w:rPr>
        <w:t>intelligitur</w:t>
      </w:r>
      <w:proofErr w:type="spellEnd"/>
      <w:r w:rsidRPr="009D7635">
        <w:rPr>
          <w:rFonts w:ascii="Times New Roman" w:hAnsi="Times New Roman" w:cs="Times New Roman"/>
          <w:i/>
          <w:color w:val="000000" w:themeColor="text1"/>
          <w:sz w:val="20"/>
          <w:szCs w:val="20"/>
          <w:lang w:val="en-US"/>
        </w:rPr>
        <w:t xml:space="preserve"> et quod </w:t>
      </w:r>
      <w:proofErr w:type="spellStart"/>
      <w:r w:rsidRPr="009D7635">
        <w:rPr>
          <w:rFonts w:ascii="Times New Roman" w:hAnsi="Times New Roman" w:cs="Times New Roman"/>
          <w:i/>
          <w:color w:val="000000" w:themeColor="text1"/>
          <w:sz w:val="20"/>
          <w:szCs w:val="20"/>
          <w:lang w:val="en-US"/>
        </w:rPr>
        <w:t>intelligitur</w:t>
      </w:r>
      <w:proofErr w:type="spellEnd"/>
      <w:r w:rsidRPr="009D7635">
        <w:rPr>
          <w:rFonts w:ascii="Times New Roman" w:hAnsi="Times New Roman" w:cs="Times New Roman"/>
          <w:i/>
          <w:color w:val="000000" w:themeColor="text1"/>
          <w:sz w:val="20"/>
          <w:szCs w:val="20"/>
          <w:lang w:val="en-US"/>
        </w:rPr>
        <w:t>.</w:t>
      </w:r>
    </w:p>
  </w:footnote>
  <w:footnote w:id="656">
    <w:p w14:paraId="54BEDEBC" w14:textId="12FB60C4"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3657CA" w:rsidRPr="009D7635">
        <w:rPr>
          <w:rFonts w:ascii="Times New Roman" w:hAnsi="Times New Roman" w:cs="Times New Roman"/>
          <w:iCs/>
          <w:color w:val="000000" w:themeColor="text1"/>
        </w:rPr>
        <w:t>Ibid.,</w:t>
      </w:r>
      <w:r w:rsidR="003657CA"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84, citing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lang w:val="en-US"/>
        </w:rPr>
        <w:t>II.2.</w:t>
      </w:r>
    </w:p>
  </w:footnote>
  <w:footnote w:id="657">
    <w:p w14:paraId="5C4FDC3F" w14:textId="0FDADCBD" w:rsidR="009E7198" w:rsidRPr="009D7635" w:rsidRDefault="009E7198">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w:t>
      </w:r>
      <w:r w:rsidRPr="009D7635">
        <w:rPr>
          <w:rFonts w:ascii="Times New Roman" w:hAnsi="Times New Roman" w:cs="Times New Roman"/>
          <w:i/>
          <w:iCs/>
          <w:color w:val="000000" w:themeColor="text1"/>
        </w:rPr>
        <w:t xml:space="preserve">Avicenna </w:t>
      </w:r>
      <w:proofErr w:type="spellStart"/>
      <w:r w:rsidRPr="009D7635">
        <w:rPr>
          <w:rFonts w:ascii="Times New Roman" w:hAnsi="Times New Roman" w:cs="Times New Roman"/>
          <w:i/>
          <w:iCs/>
          <w:color w:val="000000" w:themeColor="text1"/>
        </w:rPr>
        <w:t>Latinus</w:t>
      </w:r>
      <w:proofErr w:type="spellEnd"/>
      <w:r w:rsidR="002D3BBE" w:rsidRPr="009D7635">
        <w:rPr>
          <w:rFonts w:ascii="Times New Roman" w:hAnsi="Times New Roman" w:cs="Times New Roman"/>
          <w:i/>
          <w:iCs/>
          <w:color w:val="000000" w:themeColor="text1"/>
        </w:rPr>
        <w:t>:</w:t>
      </w:r>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Liber</w:t>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II.1, 114-15.</w:t>
      </w:r>
    </w:p>
  </w:footnote>
  <w:footnote w:id="658">
    <w:p w14:paraId="3973B2A8" w14:textId="77777777" w:rsidR="00B93ED5" w:rsidRPr="009D7635" w:rsidRDefault="00B93ED5" w:rsidP="00E212D3">
      <w:pPr>
        <w:rPr>
          <w:rFonts w:ascii="Times New Roman" w:eastAsia="Times New Roman" w:hAnsi="Times New Roman" w:cs="Times New Roman"/>
          <w:color w:val="000000" w:themeColor="text1"/>
          <w:sz w:val="20"/>
          <w:szCs w:val="20"/>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J. </w:t>
      </w:r>
      <w:proofErr w:type="spellStart"/>
      <w:r w:rsidRPr="009D7635">
        <w:rPr>
          <w:rFonts w:ascii="Times New Roman" w:hAnsi="Times New Roman" w:cs="Times New Roman"/>
          <w:color w:val="000000" w:themeColor="text1"/>
          <w:sz w:val="20"/>
          <w:szCs w:val="20"/>
        </w:rPr>
        <w:t>Rohmer</w:t>
      </w:r>
      <w:proofErr w:type="spellEnd"/>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color w:val="000000" w:themeColor="text1"/>
          <w:sz w:val="20"/>
          <w:szCs w:val="20"/>
          <w:lang w:eastAsia="en-GB"/>
        </w:rPr>
        <w:t xml:space="preserve">‘La </w:t>
      </w:r>
      <w:proofErr w:type="spellStart"/>
      <w:r w:rsidRPr="009D7635">
        <w:rPr>
          <w:rFonts w:ascii="Times New Roman" w:eastAsia="Times New Roman" w:hAnsi="Times New Roman" w:cs="Times New Roman"/>
          <w:color w:val="000000" w:themeColor="text1"/>
          <w:sz w:val="20"/>
          <w:szCs w:val="20"/>
          <w:lang w:eastAsia="en-GB"/>
        </w:rPr>
        <w:t>théorie</w:t>
      </w:r>
      <w:proofErr w:type="spellEnd"/>
      <w:r w:rsidRPr="009D7635">
        <w:rPr>
          <w:rFonts w:ascii="Times New Roman" w:eastAsia="Times New Roman" w:hAnsi="Times New Roman" w:cs="Times New Roman"/>
          <w:color w:val="000000" w:themeColor="text1"/>
          <w:sz w:val="20"/>
          <w:szCs w:val="20"/>
          <w:lang w:eastAsia="en-GB"/>
        </w:rPr>
        <w:t xml:space="preserve"> de l'abstraction dans l'école </w:t>
      </w:r>
      <w:proofErr w:type="spellStart"/>
      <w:r w:rsidRPr="009D7635">
        <w:rPr>
          <w:rFonts w:ascii="Times New Roman" w:eastAsia="Times New Roman" w:hAnsi="Times New Roman" w:cs="Times New Roman"/>
          <w:color w:val="000000" w:themeColor="text1"/>
          <w:sz w:val="20"/>
          <w:szCs w:val="20"/>
          <w:lang w:eastAsia="en-GB"/>
        </w:rPr>
        <w:t>Franciscaine</w:t>
      </w:r>
      <w:proofErr w:type="spellEnd"/>
      <w:r w:rsidRPr="009D7635">
        <w:rPr>
          <w:rFonts w:ascii="Times New Roman" w:eastAsia="Times New Roman" w:hAnsi="Times New Roman" w:cs="Times New Roman"/>
          <w:color w:val="000000" w:themeColor="text1"/>
          <w:sz w:val="20"/>
          <w:szCs w:val="20"/>
          <w:lang w:eastAsia="en-GB"/>
        </w:rPr>
        <w:t xml:space="preserve"> d'Alexandre de </w:t>
      </w:r>
      <w:proofErr w:type="spellStart"/>
      <w:r w:rsidRPr="009D7635">
        <w:rPr>
          <w:rFonts w:ascii="Times New Roman" w:eastAsia="Times New Roman" w:hAnsi="Times New Roman" w:cs="Times New Roman"/>
          <w:color w:val="000000" w:themeColor="text1"/>
          <w:sz w:val="20"/>
          <w:szCs w:val="20"/>
          <w:lang w:eastAsia="en-GB"/>
        </w:rPr>
        <w:t>Halés</w:t>
      </w:r>
      <w:proofErr w:type="spellEnd"/>
      <w:r w:rsidRPr="009D7635">
        <w:rPr>
          <w:rFonts w:ascii="Times New Roman" w:eastAsia="Times New Roman" w:hAnsi="Times New Roman" w:cs="Times New Roman"/>
          <w:color w:val="000000" w:themeColor="text1"/>
          <w:sz w:val="20"/>
          <w:szCs w:val="20"/>
          <w:lang w:eastAsia="en-GB"/>
        </w:rPr>
        <w:t xml:space="preserve"> à Jean Peckham,’ 132, discusses the phases of abstraction in John’s thought.</w:t>
      </w:r>
    </w:p>
  </w:footnote>
  <w:footnote w:id="659">
    <w:p w14:paraId="42FA2CCF" w14:textId="3AA73FD2" w:rsidR="00A4680F" w:rsidRPr="009D7635" w:rsidRDefault="00A4680F">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w:t>
      </w:r>
      <w:r w:rsidRPr="009D7635">
        <w:rPr>
          <w:rFonts w:ascii="Times New Roman" w:hAnsi="Times New Roman" w:cs="Times New Roman"/>
          <w:i/>
          <w:iCs/>
          <w:color w:val="000000" w:themeColor="text1"/>
        </w:rPr>
        <w:t xml:space="preserve">Avicenna </w:t>
      </w:r>
      <w:proofErr w:type="spellStart"/>
      <w:r w:rsidRPr="009D7635">
        <w:rPr>
          <w:rFonts w:ascii="Times New Roman" w:hAnsi="Times New Roman" w:cs="Times New Roman"/>
          <w:i/>
          <w:iCs/>
          <w:color w:val="000000" w:themeColor="text1"/>
        </w:rPr>
        <w:t>Latinus</w:t>
      </w:r>
      <w:proofErr w:type="spellEnd"/>
      <w:r w:rsidR="002D3BBE" w:rsidRPr="009D7635">
        <w:rPr>
          <w:rFonts w:ascii="Times New Roman" w:hAnsi="Times New Roman" w:cs="Times New Roman"/>
          <w:i/>
          <w:iCs/>
          <w:color w:val="000000" w:themeColor="text1"/>
        </w:rPr>
        <w:t>:</w:t>
      </w:r>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Liber</w:t>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II.1, 116-</w:t>
      </w:r>
      <w:r w:rsidR="005B00BE" w:rsidRPr="009D7635">
        <w:rPr>
          <w:rFonts w:ascii="Times New Roman" w:hAnsi="Times New Roman" w:cs="Times New Roman"/>
          <w:color w:val="000000" w:themeColor="text1"/>
        </w:rPr>
        <w:t>21</w:t>
      </w:r>
    </w:p>
  </w:footnote>
  <w:footnote w:id="660">
    <w:p w14:paraId="2699A123" w14:textId="77777777"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86: </w:t>
      </w:r>
      <w:proofErr w:type="spellStart"/>
      <w:r w:rsidRPr="009D7635">
        <w:rPr>
          <w:rFonts w:ascii="Times New Roman" w:hAnsi="Times New Roman" w:cs="Times New Roman"/>
          <w:i/>
          <w:color w:val="000000" w:themeColor="text1"/>
          <w:sz w:val="20"/>
          <w:szCs w:val="20"/>
        </w:rPr>
        <w:t>Consequenter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dicendum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de </w:t>
      </w:r>
      <w:proofErr w:type="spellStart"/>
      <w:r w:rsidRPr="009D7635">
        <w:rPr>
          <w:rFonts w:ascii="Times New Roman" w:hAnsi="Times New Roman" w:cs="Times New Roman"/>
          <w:i/>
          <w:color w:val="000000" w:themeColor="text1"/>
          <w:sz w:val="20"/>
          <w:szCs w:val="20"/>
          <w:lang w:val="en-US"/>
        </w:rPr>
        <w:t>diuisione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virtutis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apprehensiue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Sciendum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igitur</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passiuus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corruptibilis</w:t>
      </w:r>
      <w:proofErr w:type="spellEnd"/>
      <w:r w:rsidRPr="009D7635">
        <w:rPr>
          <w:rFonts w:ascii="Times New Roman" w:hAnsi="Times New Roman" w:cs="Times New Roman"/>
          <w:i/>
          <w:color w:val="000000" w:themeColor="text1"/>
          <w:sz w:val="20"/>
          <w:szCs w:val="20"/>
          <w:lang w:val="en-US"/>
        </w:rPr>
        <w:t xml:space="preserve">, qui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ab </w:t>
      </w:r>
      <w:proofErr w:type="spellStart"/>
      <w:r w:rsidRPr="009D7635">
        <w:rPr>
          <w:rFonts w:ascii="Times New Roman" w:hAnsi="Times New Roman" w:cs="Times New Roman"/>
          <w:i/>
          <w:color w:val="000000" w:themeColor="text1"/>
          <w:sz w:val="20"/>
          <w:szCs w:val="20"/>
          <w:lang w:val="en-US"/>
        </w:rPr>
        <w:t>Aristotele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incorruptibilis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separabilis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passiuus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vis inferior </w:t>
      </w:r>
      <w:proofErr w:type="spellStart"/>
      <w:r w:rsidRPr="009D7635">
        <w:rPr>
          <w:rFonts w:ascii="Times New Roman" w:hAnsi="Times New Roman" w:cs="Times New Roman"/>
          <w:i/>
          <w:color w:val="000000" w:themeColor="text1"/>
          <w:sz w:val="20"/>
          <w:szCs w:val="20"/>
          <w:lang w:val="en-US"/>
        </w:rPr>
        <w:t>partis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coniuncte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recipit</w:t>
      </w:r>
      <w:proofErr w:type="spellEnd"/>
      <w:r w:rsidRPr="009D7635">
        <w:rPr>
          <w:rFonts w:ascii="Times New Roman" w:hAnsi="Times New Roman" w:cs="Times New Roman"/>
          <w:i/>
          <w:color w:val="000000" w:themeColor="text1"/>
          <w:sz w:val="20"/>
          <w:szCs w:val="20"/>
          <w:lang w:val="en-US"/>
        </w:rPr>
        <w:t xml:space="preserve"> species </w:t>
      </w:r>
      <w:proofErr w:type="spellStart"/>
      <w:r w:rsidRPr="009D7635">
        <w:rPr>
          <w:rFonts w:ascii="Times New Roman" w:hAnsi="Times New Roman" w:cs="Times New Roman"/>
          <w:i/>
          <w:color w:val="000000" w:themeColor="text1"/>
          <w:sz w:val="20"/>
          <w:szCs w:val="20"/>
          <w:lang w:val="en-US"/>
        </w:rPr>
        <w:t>intelligibiles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fantasmatibus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oportuit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hanc</w:t>
      </w:r>
      <w:proofErr w:type="spellEnd"/>
      <w:r w:rsidRPr="009D7635">
        <w:rPr>
          <w:rFonts w:ascii="Times New Roman" w:hAnsi="Times New Roman" w:cs="Times New Roman"/>
          <w:i/>
          <w:color w:val="000000" w:themeColor="text1"/>
          <w:sz w:val="20"/>
          <w:szCs w:val="20"/>
          <w:lang w:val="en-US"/>
        </w:rPr>
        <w:t xml:space="preserve"> vim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qui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separabilis</w:t>
      </w:r>
      <w:proofErr w:type="spellEnd"/>
      <w:r w:rsidRPr="009D7635">
        <w:rPr>
          <w:rFonts w:ascii="Times New Roman" w:hAnsi="Times New Roman" w:cs="Times New Roman"/>
          <w:i/>
          <w:color w:val="000000" w:themeColor="text1"/>
          <w:sz w:val="20"/>
          <w:szCs w:val="20"/>
          <w:lang w:val="en-US"/>
        </w:rPr>
        <w:t xml:space="preserve">, species </w:t>
      </w:r>
      <w:proofErr w:type="spellStart"/>
      <w:r w:rsidRPr="009D7635">
        <w:rPr>
          <w:rFonts w:ascii="Times New Roman" w:hAnsi="Times New Roman" w:cs="Times New Roman"/>
          <w:i/>
          <w:color w:val="000000" w:themeColor="text1"/>
          <w:sz w:val="20"/>
          <w:szCs w:val="20"/>
          <w:lang w:val="en-US"/>
        </w:rPr>
        <w:t>abstractas</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fantasmatibus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intelligeret</w:t>
      </w:r>
      <w:proofErr w:type="spellEnd"/>
      <w:r w:rsidRPr="009D7635">
        <w:rPr>
          <w:rFonts w:ascii="Times New Roman" w:hAnsi="Times New Roman" w:cs="Times New Roman"/>
          <w:i/>
          <w:color w:val="000000" w:themeColor="text1"/>
          <w:sz w:val="20"/>
          <w:szCs w:val="20"/>
          <w:lang w:val="en-US"/>
        </w:rPr>
        <w:t>.</w:t>
      </w:r>
    </w:p>
  </w:footnote>
  <w:footnote w:id="661">
    <w:p w14:paraId="6EC787D7"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 </w:t>
      </w:r>
      <w:proofErr w:type="spellStart"/>
      <w:r w:rsidRPr="009D7635">
        <w:rPr>
          <w:rFonts w:ascii="Times New Roman" w:hAnsi="Times New Roman" w:cs="Times New Roman"/>
          <w:color w:val="000000" w:themeColor="text1"/>
        </w:rPr>
        <w:t>Rohmer</w:t>
      </w:r>
      <w:proofErr w:type="spellEnd"/>
      <w:r w:rsidRPr="009D7635">
        <w:rPr>
          <w:rFonts w:ascii="Times New Roman" w:hAnsi="Times New Roman" w:cs="Times New Roman"/>
          <w:color w:val="000000" w:themeColor="text1"/>
        </w:rPr>
        <w:t xml:space="preserve"> discusses John’s treatment of the material intellect in, </w:t>
      </w:r>
      <w:r w:rsidRPr="009D7635">
        <w:rPr>
          <w:rFonts w:ascii="Times New Roman" w:eastAsia="Times New Roman" w:hAnsi="Times New Roman" w:cs="Times New Roman"/>
          <w:color w:val="000000" w:themeColor="text1"/>
          <w:lang w:eastAsia="en-GB"/>
        </w:rPr>
        <w:t xml:space="preserve">‘La </w:t>
      </w:r>
      <w:proofErr w:type="spellStart"/>
      <w:r w:rsidRPr="009D7635">
        <w:rPr>
          <w:rFonts w:ascii="Times New Roman" w:eastAsia="Times New Roman" w:hAnsi="Times New Roman" w:cs="Times New Roman"/>
          <w:color w:val="000000" w:themeColor="text1"/>
          <w:lang w:eastAsia="en-GB"/>
        </w:rPr>
        <w:t>théorie</w:t>
      </w:r>
      <w:proofErr w:type="spellEnd"/>
      <w:r w:rsidRPr="009D7635">
        <w:rPr>
          <w:rFonts w:ascii="Times New Roman" w:eastAsia="Times New Roman" w:hAnsi="Times New Roman" w:cs="Times New Roman"/>
          <w:color w:val="000000" w:themeColor="text1"/>
          <w:lang w:eastAsia="en-GB"/>
        </w:rPr>
        <w:t xml:space="preserve"> de l'abstraction dans l'école </w:t>
      </w:r>
      <w:proofErr w:type="spellStart"/>
      <w:r w:rsidRPr="009D7635">
        <w:rPr>
          <w:rFonts w:ascii="Times New Roman" w:eastAsia="Times New Roman" w:hAnsi="Times New Roman" w:cs="Times New Roman"/>
          <w:color w:val="000000" w:themeColor="text1"/>
          <w:lang w:eastAsia="en-GB"/>
        </w:rPr>
        <w:t>Franciscaine</w:t>
      </w:r>
      <w:proofErr w:type="spellEnd"/>
      <w:r w:rsidRPr="009D7635">
        <w:rPr>
          <w:rFonts w:ascii="Times New Roman" w:eastAsia="Times New Roman" w:hAnsi="Times New Roman" w:cs="Times New Roman"/>
          <w:color w:val="000000" w:themeColor="text1"/>
          <w:lang w:eastAsia="en-GB"/>
        </w:rPr>
        <w:t xml:space="preserve"> d'Alexandre de </w:t>
      </w:r>
      <w:proofErr w:type="spellStart"/>
      <w:r w:rsidRPr="009D7635">
        <w:rPr>
          <w:rFonts w:ascii="Times New Roman" w:eastAsia="Times New Roman" w:hAnsi="Times New Roman" w:cs="Times New Roman"/>
          <w:color w:val="000000" w:themeColor="text1"/>
          <w:lang w:eastAsia="en-GB"/>
        </w:rPr>
        <w:t>Halés</w:t>
      </w:r>
      <w:proofErr w:type="spellEnd"/>
      <w:r w:rsidRPr="009D7635">
        <w:rPr>
          <w:rFonts w:ascii="Times New Roman" w:eastAsia="Times New Roman" w:hAnsi="Times New Roman" w:cs="Times New Roman"/>
          <w:color w:val="000000" w:themeColor="text1"/>
          <w:lang w:eastAsia="en-GB"/>
        </w:rPr>
        <w:t xml:space="preserve"> à Jean Peckham,’ 135. </w:t>
      </w:r>
    </w:p>
  </w:footnote>
  <w:footnote w:id="662">
    <w:p w14:paraId="77B331EC"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87, citing </w:t>
      </w:r>
      <w:r w:rsidRPr="009D7635">
        <w:rPr>
          <w:rFonts w:ascii="Times New Roman" w:hAnsi="Times New Roman" w:cs="Times New Roman"/>
          <w:i/>
          <w:color w:val="000000" w:themeColor="text1"/>
          <w:lang w:val="en-US"/>
        </w:rPr>
        <w:t>De anima</w:t>
      </w:r>
      <w:r w:rsidRPr="009D7635">
        <w:rPr>
          <w:rFonts w:ascii="Times New Roman" w:hAnsi="Times New Roman" w:cs="Times New Roman"/>
          <w:color w:val="000000" w:themeColor="text1"/>
          <w:lang w:val="en-US"/>
        </w:rPr>
        <w:t xml:space="preserve"> III.5.</w:t>
      </w:r>
    </w:p>
  </w:footnote>
  <w:footnote w:id="663">
    <w:p w14:paraId="308F1D73" w14:textId="35EA3472"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64181B" w:rsidRPr="009D7635">
        <w:rPr>
          <w:rFonts w:ascii="Times New Roman" w:hAnsi="Times New Roman" w:cs="Times New Roman"/>
          <w:iCs/>
          <w:color w:val="000000" w:themeColor="text1"/>
        </w:rPr>
        <w:t>Ibid</w:t>
      </w:r>
      <w:r w:rsidRPr="009D7635">
        <w:rPr>
          <w:rFonts w:ascii="Times New Roman" w:hAnsi="Times New Roman" w:cs="Times New Roman"/>
          <w:color w:val="000000" w:themeColor="text1"/>
        </w:rPr>
        <w:t>.</w:t>
      </w:r>
    </w:p>
  </w:footnote>
  <w:footnote w:id="664">
    <w:p w14:paraId="7D69A236" w14:textId="5846103D"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 </w:t>
      </w:r>
      <w:r w:rsidR="0064181B" w:rsidRPr="009D7635">
        <w:rPr>
          <w:rFonts w:ascii="Times New Roman" w:hAnsi="Times New Roman" w:cs="Times New Roman"/>
          <w:iCs/>
          <w:color w:val="000000" w:themeColor="text1"/>
          <w:sz w:val="20"/>
          <w:szCs w:val="20"/>
        </w:rPr>
        <w:t>Ibid.</w:t>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tabula rasa, </w:t>
      </w:r>
      <w:proofErr w:type="spellStart"/>
      <w:r w:rsidRPr="009D7635">
        <w:rPr>
          <w:rFonts w:ascii="Times New Roman" w:hAnsi="Times New Roman" w:cs="Times New Roman"/>
          <w:i/>
          <w:color w:val="000000" w:themeColor="text1"/>
          <w:sz w:val="20"/>
          <w:szCs w:val="20"/>
          <w:lang w:val="en-US"/>
        </w:rPr>
        <w:t>nuda</w:t>
      </w:r>
      <w:proofErr w:type="spellEnd"/>
      <w:r w:rsidRPr="009D7635">
        <w:rPr>
          <w:rFonts w:ascii="Times New Roman" w:hAnsi="Times New Roman" w:cs="Times New Roman"/>
          <w:i/>
          <w:color w:val="000000" w:themeColor="text1"/>
          <w:sz w:val="20"/>
          <w:szCs w:val="20"/>
          <w:lang w:val="en-US"/>
        </w:rPr>
        <w:t xml:space="preserve"> ab omni </w:t>
      </w:r>
      <w:proofErr w:type="spellStart"/>
      <w:r w:rsidRPr="009D7635">
        <w:rPr>
          <w:rFonts w:ascii="Times New Roman" w:hAnsi="Times New Roman" w:cs="Times New Roman"/>
          <w:i/>
          <w:color w:val="000000" w:themeColor="text1"/>
          <w:sz w:val="20"/>
          <w:szCs w:val="20"/>
          <w:lang w:val="en-US"/>
        </w:rPr>
        <w:t>pictura</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susceptiua</w:t>
      </w:r>
      <w:proofErr w:type="spellEnd"/>
      <w:r w:rsidRPr="009D7635">
        <w:rPr>
          <w:rFonts w:ascii="Times New Roman" w:hAnsi="Times New Roman" w:cs="Times New Roman"/>
          <w:i/>
          <w:color w:val="000000" w:themeColor="text1"/>
          <w:sz w:val="20"/>
          <w:szCs w:val="20"/>
          <w:lang w:val="en-US"/>
        </w:rPr>
        <w:t xml:space="preserve"> omnium </w:t>
      </w:r>
      <w:proofErr w:type="spellStart"/>
      <w:r w:rsidRPr="009D7635">
        <w:rPr>
          <w:rFonts w:ascii="Times New Roman" w:hAnsi="Times New Roman" w:cs="Times New Roman"/>
          <w:i/>
          <w:color w:val="000000" w:themeColor="text1"/>
          <w:sz w:val="20"/>
          <w:szCs w:val="20"/>
          <w:lang w:val="en-US"/>
        </w:rPr>
        <w:t>picturarum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nullam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omnes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hec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See also the Anonymous, </w:t>
      </w:r>
      <w:r w:rsidRPr="009D7635">
        <w:rPr>
          <w:rFonts w:ascii="Times New Roman" w:hAnsi="Times New Roman" w:cs="Times New Roman"/>
          <w:i/>
          <w:color w:val="000000" w:themeColor="text1"/>
          <w:sz w:val="20"/>
          <w:szCs w:val="20"/>
          <w:lang w:val="en-US"/>
        </w:rPr>
        <w:t xml:space="preserve">De anima et de </w:t>
      </w:r>
      <w:proofErr w:type="spellStart"/>
      <w:r w:rsidRPr="009D7635">
        <w:rPr>
          <w:rFonts w:ascii="Times New Roman" w:hAnsi="Times New Roman" w:cs="Times New Roman"/>
          <w:i/>
          <w:color w:val="000000" w:themeColor="text1"/>
          <w:sz w:val="20"/>
          <w:szCs w:val="20"/>
          <w:lang w:val="en-US"/>
        </w:rPr>
        <w:t>potentiis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eius</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ed. René A. Gauthier, ‘Le </w:t>
      </w:r>
      <w:proofErr w:type="spellStart"/>
      <w:r w:rsidRPr="009D7635">
        <w:rPr>
          <w:rFonts w:ascii="Times New Roman" w:hAnsi="Times New Roman" w:cs="Times New Roman"/>
          <w:color w:val="000000" w:themeColor="text1"/>
          <w:sz w:val="20"/>
          <w:szCs w:val="20"/>
          <w:lang w:val="en-US"/>
        </w:rPr>
        <w:t>traité</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De anima et de </w:t>
      </w:r>
      <w:proofErr w:type="spellStart"/>
      <w:r w:rsidRPr="009D7635">
        <w:rPr>
          <w:rFonts w:ascii="Times New Roman" w:hAnsi="Times New Roman" w:cs="Times New Roman"/>
          <w:i/>
          <w:color w:val="000000" w:themeColor="text1"/>
          <w:sz w:val="20"/>
          <w:szCs w:val="20"/>
          <w:lang w:val="en-US"/>
        </w:rPr>
        <w:t>potentiis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eius</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d’un maître des arts (</w:t>
      </w:r>
      <w:proofErr w:type="spellStart"/>
      <w:r w:rsidRPr="009D7635">
        <w:rPr>
          <w:rFonts w:ascii="Times New Roman" w:hAnsi="Times New Roman" w:cs="Times New Roman"/>
          <w:color w:val="000000" w:themeColor="text1"/>
          <w:sz w:val="20"/>
          <w:szCs w:val="20"/>
          <w:lang w:val="en-US"/>
        </w:rPr>
        <w:t>vers</w:t>
      </w:r>
      <w:proofErr w:type="spellEnd"/>
      <w:r w:rsidRPr="009D7635">
        <w:rPr>
          <w:rFonts w:ascii="Times New Roman" w:hAnsi="Times New Roman" w:cs="Times New Roman"/>
          <w:color w:val="000000" w:themeColor="text1"/>
          <w:sz w:val="20"/>
          <w:szCs w:val="20"/>
          <w:lang w:val="en-US"/>
        </w:rPr>
        <w:t xml:space="preserve"> 1225): introduction et </w:t>
      </w:r>
      <w:proofErr w:type="spellStart"/>
      <w:r w:rsidRPr="009D7635">
        <w:rPr>
          <w:rFonts w:ascii="Times New Roman" w:hAnsi="Times New Roman" w:cs="Times New Roman"/>
          <w:color w:val="000000" w:themeColor="text1"/>
          <w:sz w:val="20"/>
          <w:szCs w:val="20"/>
          <w:lang w:val="en-US"/>
        </w:rPr>
        <w:t>texte</w:t>
      </w:r>
      <w:proofErr w:type="spellEnd"/>
      <w:r w:rsidRPr="009D7635">
        <w:rPr>
          <w:rFonts w:ascii="Times New Roman" w:hAnsi="Times New Roman" w:cs="Times New Roman"/>
          <w:color w:val="000000" w:themeColor="text1"/>
          <w:sz w:val="20"/>
          <w:szCs w:val="20"/>
          <w:lang w:val="en-US"/>
        </w:rPr>
        <w:t xml:space="preserve"> critique,’ </w:t>
      </w:r>
      <w:r w:rsidRPr="009D7635">
        <w:rPr>
          <w:rFonts w:ascii="Times New Roman" w:hAnsi="Times New Roman" w:cs="Times New Roman"/>
          <w:i/>
          <w:color w:val="000000" w:themeColor="text1"/>
          <w:sz w:val="20"/>
          <w:szCs w:val="20"/>
          <w:lang w:val="en-US"/>
        </w:rPr>
        <w:t xml:space="preserve">Revue sciences </w:t>
      </w:r>
      <w:proofErr w:type="spellStart"/>
      <w:r w:rsidRPr="009D7635">
        <w:rPr>
          <w:rFonts w:ascii="Times New Roman" w:hAnsi="Times New Roman" w:cs="Times New Roman"/>
          <w:i/>
          <w:color w:val="000000" w:themeColor="text1"/>
          <w:sz w:val="20"/>
          <w:szCs w:val="20"/>
          <w:lang w:val="en-US"/>
        </w:rPr>
        <w:t>philosophiques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théologiques</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66 (1982)</w:t>
      </w:r>
      <w:r w:rsidR="00CE7F81"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52: </w:t>
      </w:r>
      <w:r w:rsidRPr="009D7635">
        <w:rPr>
          <w:rFonts w:ascii="Times New Roman" w:hAnsi="Times New Roman" w:cs="Times New Roman"/>
          <w:i/>
          <w:color w:val="000000" w:themeColor="text1"/>
          <w:sz w:val="20"/>
          <w:szCs w:val="20"/>
          <w:lang w:val="en-US"/>
        </w:rPr>
        <w:t xml:space="preserve">Sequitur de </w:t>
      </w:r>
      <w:proofErr w:type="spellStart"/>
      <w:r w:rsidRPr="009D7635">
        <w:rPr>
          <w:rFonts w:ascii="Times New Roman" w:hAnsi="Times New Roman" w:cs="Times New Roman"/>
          <w:i/>
          <w:color w:val="000000" w:themeColor="text1"/>
          <w:sz w:val="20"/>
          <w:szCs w:val="20"/>
          <w:lang w:val="en-US"/>
        </w:rPr>
        <w:t>intellectu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w:t>
      </w:r>
      <w:proofErr w:type="spellEnd"/>
      <w:r w:rsidRPr="009D7635">
        <w:rPr>
          <w:rFonts w:ascii="Times New Roman" w:hAnsi="Times New Roman" w:cs="Times New Roman"/>
          <w:i/>
          <w:color w:val="000000" w:themeColor="text1"/>
          <w:sz w:val="20"/>
          <w:szCs w:val="20"/>
          <w:lang w:val="en-US"/>
        </w:rPr>
        <w:t xml:space="preserve">, qui primo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cum ipse sit </w:t>
      </w:r>
      <w:proofErr w:type="spellStart"/>
      <w:r w:rsidRPr="009D7635">
        <w:rPr>
          <w:rFonts w:ascii="Times New Roman" w:hAnsi="Times New Roman" w:cs="Times New Roman"/>
          <w:i/>
          <w:color w:val="000000" w:themeColor="text1"/>
          <w:sz w:val="20"/>
          <w:szCs w:val="20"/>
          <w:lang w:val="en-US"/>
        </w:rPr>
        <w:t>potencia</w:t>
      </w:r>
      <w:proofErr w:type="spellEnd"/>
      <w:r w:rsidRPr="009D7635">
        <w:rPr>
          <w:rFonts w:ascii="Times New Roman" w:hAnsi="Times New Roman" w:cs="Times New Roman"/>
          <w:i/>
          <w:color w:val="000000" w:themeColor="text1"/>
          <w:sz w:val="20"/>
          <w:szCs w:val="20"/>
          <w:lang w:val="en-US"/>
        </w:rPr>
        <w:t xml:space="preserve"> anime et </w:t>
      </w:r>
      <w:proofErr w:type="spellStart"/>
      <w:r w:rsidRPr="009D7635">
        <w:rPr>
          <w:rFonts w:ascii="Times New Roman" w:hAnsi="Times New Roman" w:cs="Times New Roman"/>
          <w:i/>
          <w:color w:val="000000" w:themeColor="text1"/>
          <w:sz w:val="20"/>
          <w:szCs w:val="20"/>
          <w:lang w:val="en-US"/>
        </w:rPr>
        <w:t>nichil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cuius</w:t>
      </w:r>
      <w:proofErr w:type="spellEnd"/>
      <w:r w:rsidRPr="009D7635">
        <w:rPr>
          <w:rFonts w:ascii="Times New Roman" w:hAnsi="Times New Roman" w:cs="Times New Roman"/>
          <w:i/>
          <w:color w:val="000000" w:themeColor="text1"/>
          <w:sz w:val="20"/>
          <w:szCs w:val="20"/>
          <w:lang w:val="en-US"/>
        </w:rPr>
        <w:t xml:space="preserve"> exemplum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tabula </w:t>
      </w:r>
      <w:proofErr w:type="spellStart"/>
      <w:r w:rsidRPr="009D7635">
        <w:rPr>
          <w:rFonts w:ascii="Times New Roman" w:hAnsi="Times New Roman" w:cs="Times New Roman"/>
          <w:i/>
          <w:color w:val="000000" w:themeColor="text1"/>
          <w:sz w:val="20"/>
          <w:szCs w:val="20"/>
          <w:lang w:val="en-US"/>
        </w:rPr>
        <w:t>nuda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nullam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picturam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aptitudinem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unam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magis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aliam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quamcunque</w:t>
      </w:r>
      <w:proofErr w:type="spellEnd"/>
      <w:r w:rsidRPr="009D7635">
        <w:rPr>
          <w:rFonts w:ascii="Times New Roman" w:hAnsi="Times New Roman" w:cs="Times New Roman"/>
          <w:i/>
          <w:color w:val="000000" w:themeColor="text1"/>
          <w:sz w:val="20"/>
          <w:szCs w:val="20"/>
          <w:lang w:val="en-US"/>
        </w:rPr>
        <w:t>.</w:t>
      </w:r>
    </w:p>
  </w:footnote>
  <w:footnote w:id="665">
    <w:p w14:paraId="5880DEDD" w14:textId="09493F49" w:rsidR="00B93ED5" w:rsidRPr="009D7635" w:rsidRDefault="00B93ED5" w:rsidP="00E212D3">
      <w:pPr>
        <w:rPr>
          <w:rFonts w:ascii="Times New Roman" w:hAnsi="Times New Roman" w:cs="Times New Roman"/>
          <w:b/>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Aristotle, </w:t>
      </w:r>
      <w:r w:rsidRPr="009D7635">
        <w:rPr>
          <w:rFonts w:ascii="Times New Roman" w:hAnsi="Times New Roman" w:cs="Times New Roman"/>
          <w:i/>
          <w:color w:val="000000" w:themeColor="text1"/>
          <w:sz w:val="20"/>
          <w:szCs w:val="20"/>
        </w:rPr>
        <w:t xml:space="preserve">De anima </w:t>
      </w:r>
      <w:r w:rsidRPr="009D7635">
        <w:rPr>
          <w:rFonts w:ascii="Times New Roman" w:hAnsi="Times New Roman" w:cs="Times New Roman"/>
          <w:color w:val="000000" w:themeColor="text1"/>
          <w:sz w:val="20"/>
          <w:szCs w:val="20"/>
        </w:rPr>
        <w:t xml:space="preserve">III.5, 430a17-18. </w:t>
      </w:r>
      <w:r w:rsidRPr="009D7635">
        <w:rPr>
          <w:rFonts w:ascii="Times New Roman" w:eastAsia="Times New Roman" w:hAnsi="Times New Roman" w:cs="Times New Roman"/>
          <w:color w:val="000000" w:themeColor="text1"/>
          <w:sz w:val="20"/>
          <w:szCs w:val="20"/>
          <w:lang w:val="de-DE" w:eastAsia="en-GB"/>
        </w:rPr>
        <w:t xml:space="preserve">Paul </w:t>
      </w:r>
      <w:proofErr w:type="spellStart"/>
      <w:r w:rsidRPr="009D7635">
        <w:rPr>
          <w:rFonts w:ascii="Times New Roman" w:eastAsia="Times New Roman" w:hAnsi="Times New Roman" w:cs="Times New Roman"/>
          <w:color w:val="000000" w:themeColor="text1"/>
          <w:sz w:val="20"/>
          <w:szCs w:val="20"/>
          <w:lang w:val="de-DE" w:eastAsia="en-GB"/>
        </w:rPr>
        <w:t>Wilpert</w:t>
      </w:r>
      <w:proofErr w:type="spellEnd"/>
      <w:r w:rsidRPr="009D7635">
        <w:rPr>
          <w:rFonts w:ascii="Times New Roman" w:eastAsia="Times New Roman" w:hAnsi="Times New Roman" w:cs="Times New Roman"/>
          <w:color w:val="000000" w:themeColor="text1"/>
          <w:sz w:val="20"/>
          <w:szCs w:val="20"/>
          <w:lang w:val="de-DE" w:eastAsia="en-GB"/>
        </w:rPr>
        <w:t xml:space="preserve">, ‘Die Ausgestaltung der </w:t>
      </w:r>
      <w:proofErr w:type="spellStart"/>
      <w:r w:rsidRPr="009D7635">
        <w:rPr>
          <w:rFonts w:ascii="Times New Roman" w:eastAsia="Times New Roman" w:hAnsi="Times New Roman" w:cs="Times New Roman"/>
          <w:color w:val="000000" w:themeColor="text1"/>
          <w:sz w:val="20"/>
          <w:szCs w:val="20"/>
          <w:lang w:val="de-DE" w:eastAsia="en-GB"/>
        </w:rPr>
        <w:t>aristotelischen</w:t>
      </w:r>
      <w:proofErr w:type="spellEnd"/>
      <w:r w:rsidRPr="009D7635">
        <w:rPr>
          <w:rFonts w:ascii="Times New Roman" w:eastAsia="Times New Roman" w:hAnsi="Times New Roman" w:cs="Times New Roman"/>
          <w:color w:val="000000" w:themeColor="text1"/>
          <w:sz w:val="20"/>
          <w:szCs w:val="20"/>
          <w:lang w:val="de-DE" w:eastAsia="en-GB"/>
        </w:rPr>
        <w:t xml:space="preserve"> Lehre vom </w:t>
      </w:r>
      <w:proofErr w:type="spellStart"/>
      <w:r w:rsidRPr="009D7635">
        <w:rPr>
          <w:rFonts w:ascii="Times New Roman" w:eastAsia="Times New Roman" w:hAnsi="Times New Roman" w:cs="Times New Roman"/>
          <w:color w:val="000000" w:themeColor="text1"/>
          <w:sz w:val="20"/>
          <w:szCs w:val="20"/>
          <w:lang w:val="de-DE" w:eastAsia="en-GB"/>
        </w:rPr>
        <w:t>Intellectus</w:t>
      </w:r>
      <w:proofErr w:type="spellEnd"/>
      <w:r w:rsidRPr="009D7635">
        <w:rPr>
          <w:rFonts w:ascii="Times New Roman" w:eastAsia="Times New Roman" w:hAnsi="Times New Roman" w:cs="Times New Roman"/>
          <w:color w:val="000000" w:themeColor="text1"/>
          <w:sz w:val="20"/>
          <w:szCs w:val="20"/>
          <w:lang w:val="de-DE" w:eastAsia="en-GB"/>
        </w:rPr>
        <w:t xml:space="preserve"> </w:t>
      </w:r>
      <w:proofErr w:type="spellStart"/>
      <w:r w:rsidRPr="009D7635">
        <w:rPr>
          <w:rFonts w:ascii="Times New Roman" w:eastAsia="Times New Roman" w:hAnsi="Times New Roman" w:cs="Times New Roman"/>
          <w:color w:val="000000" w:themeColor="text1"/>
          <w:sz w:val="20"/>
          <w:szCs w:val="20"/>
          <w:lang w:val="de-DE" w:eastAsia="en-GB"/>
        </w:rPr>
        <w:t>agens</w:t>
      </w:r>
      <w:proofErr w:type="spellEnd"/>
      <w:r w:rsidRPr="009D7635">
        <w:rPr>
          <w:rFonts w:ascii="Times New Roman" w:eastAsia="Times New Roman" w:hAnsi="Times New Roman" w:cs="Times New Roman"/>
          <w:color w:val="000000" w:themeColor="text1"/>
          <w:sz w:val="20"/>
          <w:szCs w:val="20"/>
          <w:lang w:val="de-DE" w:eastAsia="en-GB"/>
        </w:rPr>
        <w:t xml:space="preserve"> bei den griechischen Kommentatoren und in der Scholastik des 13. Jahrhunderts,’ in </w:t>
      </w:r>
      <w:r w:rsidRPr="009D7635">
        <w:rPr>
          <w:rFonts w:ascii="Times New Roman" w:eastAsia="Times New Roman" w:hAnsi="Times New Roman" w:cs="Times New Roman"/>
          <w:i/>
          <w:color w:val="000000" w:themeColor="text1"/>
          <w:sz w:val="20"/>
          <w:szCs w:val="20"/>
          <w:lang w:val="de-DE" w:eastAsia="en-GB"/>
        </w:rPr>
        <w:t>Aus der Geisteswelt des Mittelalters: Studien und Texte: Martin Grabmann zur Vollendung des 60. Lebensjahres von Freunden und Schülern gewidmet</w:t>
      </w:r>
      <w:r w:rsidRPr="009D7635">
        <w:rPr>
          <w:rFonts w:ascii="Times New Roman" w:eastAsia="Times New Roman" w:hAnsi="Times New Roman" w:cs="Times New Roman"/>
          <w:color w:val="000000" w:themeColor="text1"/>
          <w:sz w:val="20"/>
          <w:szCs w:val="20"/>
          <w:lang w:val="de-DE" w:eastAsia="en-GB"/>
        </w:rPr>
        <w:t>, vol. 1, ed. Albert Lang, Josef Lechner and Michael Schmaus (</w:t>
      </w:r>
      <w:r w:rsidRPr="009D7635">
        <w:rPr>
          <w:rFonts w:ascii="Times New Roman" w:eastAsia="Times New Roman" w:hAnsi="Times New Roman" w:cs="Times New Roman"/>
          <w:color w:val="000000" w:themeColor="text1"/>
          <w:sz w:val="20"/>
          <w:szCs w:val="20"/>
          <w:lang w:eastAsia="en-GB"/>
        </w:rPr>
        <w:t xml:space="preserve">Münster: </w:t>
      </w:r>
      <w:proofErr w:type="spellStart"/>
      <w:r w:rsidRPr="009D7635">
        <w:rPr>
          <w:rFonts w:ascii="Times New Roman" w:eastAsia="Times New Roman" w:hAnsi="Times New Roman" w:cs="Times New Roman"/>
          <w:color w:val="000000" w:themeColor="text1"/>
          <w:sz w:val="20"/>
          <w:szCs w:val="20"/>
          <w:lang w:eastAsia="en-GB"/>
        </w:rPr>
        <w:t>Aschendorff</w:t>
      </w:r>
      <w:proofErr w:type="spellEnd"/>
      <w:r w:rsidRPr="009D7635">
        <w:rPr>
          <w:rFonts w:ascii="Times New Roman" w:eastAsia="Times New Roman" w:hAnsi="Times New Roman" w:cs="Times New Roman"/>
          <w:color w:val="000000" w:themeColor="text1"/>
          <w:sz w:val="20"/>
          <w:szCs w:val="20"/>
          <w:lang w:eastAsia="en-GB"/>
        </w:rPr>
        <w:t>, 1935)</w:t>
      </w:r>
      <w:r w:rsidRPr="009D7635">
        <w:rPr>
          <w:rFonts w:ascii="Times New Roman" w:eastAsia="Times New Roman" w:hAnsi="Times New Roman" w:cs="Times New Roman"/>
          <w:color w:val="000000" w:themeColor="text1"/>
          <w:sz w:val="20"/>
          <w:szCs w:val="20"/>
          <w:lang w:val="de-DE" w:eastAsia="en-GB"/>
        </w:rPr>
        <w:t>, 447</w:t>
      </w:r>
      <w:r w:rsidRPr="009D7635">
        <w:rPr>
          <w:rFonts w:ascii="Times New Roman" w:eastAsia="Times New Roman" w:hAnsi="Times New Roman" w:cs="Times New Roman"/>
          <w:color w:val="000000" w:themeColor="text1"/>
          <w:sz w:val="20"/>
          <w:szCs w:val="20"/>
          <w:lang w:eastAsia="en-GB"/>
        </w:rPr>
        <w:t xml:space="preserve">. See also Aristotle </w:t>
      </w:r>
      <w:r w:rsidRPr="009D7635">
        <w:rPr>
          <w:rFonts w:ascii="Times New Roman" w:eastAsia="Times New Roman" w:hAnsi="Times New Roman" w:cs="Times New Roman"/>
          <w:i/>
          <w:color w:val="000000" w:themeColor="text1"/>
          <w:sz w:val="20"/>
          <w:szCs w:val="20"/>
          <w:lang w:eastAsia="en-GB"/>
        </w:rPr>
        <w:t xml:space="preserve">De anima </w:t>
      </w:r>
      <w:r w:rsidRPr="009D7635">
        <w:rPr>
          <w:rFonts w:ascii="Times New Roman" w:eastAsia="Times New Roman" w:hAnsi="Times New Roman" w:cs="Times New Roman"/>
          <w:color w:val="000000" w:themeColor="text1"/>
          <w:sz w:val="20"/>
          <w:szCs w:val="20"/>
          <w:lang w:eastAsia="en-GB"/>
        </w:rPr>
        <w:t>II.7, 418b on the light/colours analogy.</w:t>
      </w:r>
    </w:p>
  </w:footnote>
  <w:footnote w:id="666">
    <w:p w14:paraId="62F297D4"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color w:val="000000" w:themeColor="text1"/>
        </w:rPr>
        <w:t xml:space="preserve">, 87; cf.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276.</w:t>
      </w:r>
    </w:p>
  </w:footnote>
  <w:footnote w:id="667">
    <w:p w14:paraId="0FB78E2A" w14:textId="7D676E16"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These four phases of the intellect in John are treated by J. </w:t>
      </w:r>
      <w:proofErr w:type="spellStart"/>
      <w:r w:rsidRPr="009D7635">
        <w:rPr>
          <w:rFonts w:ascii="Times New Roman" w:hAnsi="Times New Roman" w:cs="Times New Roman"/>
          <w:color w:val="000000" w:themeColor="text1"/>
        </w:rPr>
        <w:t>Rohmer</w:t>
      </w:r>
      <w:proofErr w:type="spellEnd"/>
      <w:r w:rsidRPr="009D7635">
        <w:rPr>
          <w:rFonts w:ascii="Times New Roman" w:hAnsi="Times New Roman" w:cs="Times New Roman"/>
          <w:color w:val="000000" w:themeColor="text1"/>
        </w:rPr>
        <w:t xml:space="preserve"> in </w:t>
      </w:r>
      <w:r w:rsidRPr="009D7635">
        <w:rPr>
          <w:rFonts w:ascii="Times New Roman" w:eastAsia="Times New Roman" w:hAnsi="Times New Roman" w:cs="Times New Roman"/>
          <w:color w:val="000000" w:themeColor="text1"/>
          <w:lang w:eastAsia="en-GB"/>
        </w:rPr>
        <w:t xml:space="preserve">‘La </w:t>
      </w:r>
      <w:proofErr w:type="spellStart"/>
      <w:r w:rsidRPr="009D7635">
        <w:rPr>
          <w:rFonts w:ascii="Times New Roman" w:eastAsia="Times New Roman" w:hAnsi="Times New Roman" w:cs="Times New Roman"/>
          <w:color w:val="000000" w:themeColor="text1"/>
          <w:lang w:eastAsia="en-GB"/>
        </w:rPr>
        <w:t>théorie</w:t>
      </w:r>
      <w:proofErr w:type="spellEnd"/>
      <w:r w:rsidRPr="009D7635">
        <w:rPr>
          <w:rFonts w:ascii="Times New Roman" w:eastAsia="Times New Roman" w:hAnsi="Times New Roman" w:cs="Times New Roman"/>
          <w:color w:val="000000" w:themeColor="text1"/>
          <w:lang w:eastAsia="en-GB"/>
        </w:rPr>
        <w:t xml:space="preserve"> de l'abstraction dans l'école </w:t>
      </w:r>
      <w:proofErr w:type="spellStart"/>
      <w:r w:rsidRPr="009D7635">
        <w:rPr>
          <w:rFonts w:ascii="Times New Roman" w:eastAsia="Times New Roman" w:hAnsi="Times New Roman" w:cs="Times New Roman"/>
          <w:color w:val="000000" w:themeColor="text1"/>
          <w:lang w:eastAsia="en-GB"/>
        </w:rPr>
        <w:t>Franciscaine</w:t>
      </w:r>
      <w:proofErr w:type="spellEnd"/>
      <w:r w:rsidRPr="009D7635">
        <w:rPr>
          <w:rFonts w:ascii="Times New Roman" w:eastAsia="Times New Roman" w:hAnsi="Times New Roman" w:cs="Times New Roman"/>
          <w:color w:val="000000" w:themeColor="text1"/>
          <w:lang w:eastAsia="en-GB"/>
        </w:rPr>
        <w:t xml:space="preserve"> d'Alexandre de </w:t>
      </w:r>
      <w:proofErr w:type="spellStart"/>
      <w:r w:rsidRPr="009D7635">
        <w:rPr>
          <w:rFonts w:ascii="Times New Roman" w:eastAsia="Times New Roman" w:hAnsi="Times New Roman" w:cs="Times New Roman"/>
          <w:color w:val="000000" w:themeColor="text1"/>
          <w:lang w:eastAsia="en-GB"/>
        </w:rPr>
        <w:t>Halés</w:t>
      </w:r>
      <w:proofErr w:type="spellEnd"/>
      <w:r w:rsidRPr="009D7635">
        <w:rPr>
          <w:rFonts w:ascii="Times New Roman" w:eastAsia="Times New Roman" w:hAnsi="Times New Roman" w:cs="Times New Roman"/>
          <w:color w:val="000000" w:themeColor="text1"/>
          <w:lang w:eastAsia="en-GB"/>
        </w:rPr>
        <w:t xml:space="preserve"> à Jean Peckham,’ 136. See also </w:t>
      </w:r>
      <w:r w:rsidRPr="009D7635">
        <w:rPr>
          <w:rFonts w:ascii="Times New Roman" w:hAnsi="Times New Roman" w:cs="Times New Roman"/>
          <w:color w:val="000000" w:themeColor="text1"/>
          <w:lang w:val="en-US"/>
        </w:rPr>
        <w:t>Dag Hasse, ‘</w:t>
      </w:r>
      <w:r w:rsidRPr="009D7635">
        <w:rPr>
          <w:rFonts w:ascii="Times New Roman" w:hAnsi="Times New Roman" w:cs="Times New Roman"/>
          <w:iCs/>
          <w:color w:val="000000" w:themeColor="text1"/>
          <w:lang w:val="en-US"/>
        </w:rPr>
        <w:t xml:space="preserve">Das </w:t>
      </w:r>
      <w:proofErr w:type="spellStart"/>
      <w:r w:rsidRPr="009D7635">
        <w:rPr>
          <w:rFonts w:ascii="Times New Roman" w:hAnsi="Times New Roman" w:cs="Times New Roman"/>
          <w:iCs/>
          <w:color w:val="000000" w:themeColor="text1"/>
          <w:lang w:val="en-US"/>
        </w:rPr>
        <w:t>Lehrstück</w:t>
      </w:r>
      <w:proofErr w:type="spellEnd"/>
      <w:r w:rsidRPr="009D7635">
        <w:rPr>
          <w:rFonts w:ascii="Times New Roman" w:hAnsi="Times New Roman" w:cs="Times New Roman"/>
          <w:iCs/>
          <w:color w:val="000000" w:themeColor="text1"/>
          <w:lang w:val="en-US"/>
        </w:rPr>
        <w:t xml:space="preserve"> von den vier </w:t>
      </w:r>
      <w:proofErr w:type="spellStart"/>
      <w:r w:rsidRPr="009D7635">
        <w:rPr>
          <w:rFonts w:ascii="Times New Roman" w:hAnsi="Times New Roman" w:cs="Times New Roman"/>
          <w:iCs/>
          <w:color w:val="000000" w:themeColor="text1"/>
          <w:lang w:val="en-US"/>
        </w:rPr>
        <w:t>Intellekten</w:t>
      </w:r>
      <w:proofErr w:type="spellEnd"/>
      <w:r w:rsidRPr="009D7635">
        <w:rPr>
          <w:rFonts w:ascii="Times New Roman" w:hAnsi="Times New Roman" w:cs="Times New Roman"/>
          <w:iCs/>
          <w:color w:val="000000" w:themeColor="text1"/>
          <w:lang w:val="en-US"/>
        </w:rPr>
        <w:t xml:space="preserve"> in der </w:t>
      </w:r>
      <w:proofErr w:type="spellStart"/>
      <w:r w:rsidRPr="009D7635">
        <w:rPr>
          <w:rFonts w:ascii="Times New Roman" w:hAnsi="Times New Roman" w:cs="Times New Roman"/>
          <w:iCs/>
          <w:color w:val="000000" w:themeColor="text1"/>
          <w:lang w:val="en-US"/>
        </w:rPr>
        <w:t>Scholastik</w:t>
      </w:r>
      <w:proofErr w:type="spellEnd"/>
      <w:r w:rsidRPr="009D7635">
        <w:rPr>
          <w:rFonts w:ascii="Times New Roman" w:hAnsi="Times New Roman" w:cs="Times New Roman"/>
          <w:iCs/>
          <w:color w:val="000000" w:themeColor="text1"/>
          <w:lang w:val="en-US"/>
        </w:rPr>
        <w:t xml:space="preserve">: von den </w:t>
      </w:r>
      <w:proofErr w:type="spellStart"/>
      <w:r w:rsidRPr="009D7635">
        <w:rPr>
          <w:rFonts w:ascii="Times New Roman" w:hAnsi="Times New Roman" w:cs="Times New Roman"/>
          <w:iCs/>
          <w:color w:val="000000" w:themeColor="text1"/>
          <w:lang w:val="en-US"/>
        </w:rPr>
        <w:t>arabischen</w:t>
      </w:r>
      <w:proofErr w:type="spellEnd"/>
      <w:r w:rsidRPr="009D7635">
        <w:rPr>
          <w:rFonts w:ascii="Times New Roman" w:hAnsi="Times New Roman" w:cs="Times New Roman"/>
          <w:iCs/>
          <w:color w:val="000000" w:themeColor="text1"/>
          <w:lang w:val="en-US"/>
        </w:rPr>
        <w:t xml:space="preserve"> </w:t>
      </w:r>
      <w:proofErr w:type="spellStart"/>
      <w:r w:rsidRPr="009D7635">
        <w:rPr>
          <w:rFonts w:ascii="Times New Roman" w:hAnsi="Times New Roman" w:cs="Times New Roman"/>
          <w:iCs/>
          <w:color w:val="000000" w:themeColor="text1"/>
          <w:lang w:val="en-US"/>
        </w:rPr>
        <w:t>Quellen</w:t>
      </w:r>
      <w:proofErr w:type="spellEnd"/>
      <w:r w:rsidRPr="009D7635">
        <w:rPr>
          <w:rFonts w:ascii="Times New Roman" w:hAnsi="Times New Roman" w:cs="Times New Roman"/>
          <w:iCs/>
          <w:color w:val="000000" w:themeColor="text1"/>
          <w:lang w:val="en-US"/>
        </w:rPr>
        <w:t xml:space="preserve"> bis </w:t>
      </w:r>
      <w:proofErr w:type="spellStart"/>
      <w:r w:rsidRPr="009D7635">
        <w:rPr>
          <w:rFonts w:ascii="Times New Roman" w:hAnsi="Times New Roman" w:cs="Times New Roman"/>
          <w:iCs/>
          <w:color w:val="000000" w:themeColor="text1"/>
          <w:lang w:val="en-US"/>
        </w:rPr>
        <w:t>zu</w:t>
      </w:r>
      <w:proofErr w:type="spellEnd"/>
      <w:r w:rsidRPr="009D7635">
        <w:rPr>
          <w:rFonts w:ascii="Times New Roman" w:hAnsi="Times New Roman" w:cs="Times New Roman"/>
          <w:iCs/>
          <w:color w:val="000000" w:themeColor="text1"/>
          <w:lang w:val="en-US"/>
        </w:rPr>
        <w:t xml:space="preserve"> </w:t>
      </w:r>
      <w:proofErr w:type="spellStart"/>
      <w:r w:rsidRPr="009D7635">
        <w:rPr>
          <w:rFonts w:ascii="Times New Roman" w:hAnsi="Times New Roman" w:cs="Times New Roman"/>
          <w:iCs/>
          <w:color w:val="000000" w:themeColor="text1"/>
          <w:lang w:val="en-US"/>
        </w:rPr>
        <w:t>Albertus</w:t>
      </w:r>
      <w:proofErr w:type="spellEnd"/>
      <w:r w:rsidRPr="009D7635">
        <w:rPr>
          <w:rFonts w:ascii="Times New Roman" w:hAnsi="Times New Roman" w:cs="Times New Roman"/>
          <w:iCs/>
          <w:color w:val="000000" w:themeColor="text1"/>
          <w:lang w:val="en-US"/>
        </w:rPr>
        <w:t xml:space="preserve"> Magnus</w:t>
      </w:r>
      <w:r w:rsidRPr="009D7635">
        <w:rPr>
          <w:rFonts w:ascii="Times New Roman" w:hAnsi="Times New Roman" w:cs="Times New Roman"/>
          <w:color w:val="000000" w:themeColor="text1"/>
          <w:lang w:val="en-US"/>
        </w:rPr>
        <w:t xml:space="preserve">,’ in </w:t>
      </w:r>
      <w:proofErr w:type="spellStart"/>
      <w:r w:rsidR="005B562E" w:rsidRPr="004746EC">
        <w:rPr>
          <w:rFonts w:ascii="Times New Roman" w:hAnsi="Times New Roman" w:cs="Times New Roman"/>
          <w:i/>
          <w:iCs/>
          <w:color w:val="000000" w:themeColor="text1"/>
        </w:rPr>
        <w:t>Recherches</w:t>
      </w:r>
      <w:proofErr w:type="spellEnd"/>
      <w:r w:rsidR="005B562E" w:rsidRPr="004746EC">
        <w:rPr>
          <w:rFonts w:ascii="Times New Roman" w:hAnsi="Times New Roman" w:cs="Times New Roman"/>
          <w:i/>
          <w:iCs/>
          <w:color w:val="000000" w:themeColor="text1"/>
        </w:rPr>
        <w:t xml:space="preserve"> de </w:t>
      </w:r>
      <w:proofErr w:type="spellStart"/>
      <w:r w:rsidR="005B562E" w:rsidRPr="004746EC">
        <w:rPr>
          <w:rFonts w:ascii="Times New Roman" w:hAnsi="Times New Roman" w:cs="Times New Roman"/>
          <w:i/>
          <w:iCs/>
          <w:color w:val="000000" w:themeColor="text1"/>
        </w:rPr>
        <w:t>théologie</w:t>
      </w:r>
      <w:proofErr w:type="spellEnd"/>
      <w:r w:rsidR="005B562E" w:rsidRPr="004746EC">
        <w:rPr>
          <w:rFonts w:ascii="Times New Roman" w:hAnsi="Times New Roman" w:cs="Times New Roman"/>
          <w:i/>
          <w:iCs/>
          <w:color w:val="000000" w:themeColor="text1"/>
        </w:rPr>
        <w:t xml:space="preserve"> </w:t>
      </w:r>
      <w:proofErr w:type="spellStart"/>
      <w:r w:rsidR="005B562E" w:rsidRPr="004746EC">
        <w:rPr>
          <w:rFonts w:ascii="Times New Roman" w:hAnsi="Times New Roman" w:cs="Times New Roman"/>
          <w:i/>
          <w:iCs/>
          <w:color w:val="000000" w:themeColor="text1"/>
        </w:rPr>
        <w:t>ancienne</w:t>
      </w:r>
      <w:proofErr w:type="spellEnd"/>
      <w:r w:rsidR="005B562E" w:rsidRPr="004746EC">
        <w:rPr>
          <w:rFonts w:ascii="Times New Roman" w:hAnsi="Times New Roman" w:cs="Times New Roman"/>
          <w:i/>
          <w:iCs/>
          <w:color w:val="000000" w:themeColor="text1"/>
        </w:rPr>
        <w:t xml:space="preserve"> et </w:t>
      </w:r>
      <w:proofErr w:type="spellStart"/>
      <w:r w:rsidR="005B562E" w:rsidRPr="004746EC">
        <w:rPr>
          <w:rFonts w:ascii="Times New Roman" w:hAnsi="Times New Roman" w:cs="Times New Roman"/>
          <w:i/>
          <w:iCs/>
          <w:color w:val="000000" w:themeColor="text1"/>
        </w:rPr>
        <w:t>médiévale</w:t>
      </w:r>
      <w:proofErr w:type="spellEnd"/>
      <w:r w:rsidR="005B562E">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66 (1999)</w:t>
      </w:r>
      <w:r w:rsidR="008A3E62" w:rsidRPr="009D7635">
        <w:rPr>
          <w:rFonts w:ascii="Times New Roman" w:hAnsi="Times New Roman" w:cs="Times New Roman"/>
          <w:color w:val="000000" w:themeColor="text1"/>
          <w:lang w:val="en-US"/>
        </w:rPr>
        <w:t>:</w:t>
      </w:r>
      <w:r w:rsidRPr="009D7635">
        <w:rPr>
          <w:rFonts w:ascii="Times New Roman" w:hAnsi="Times New Roman" w:cs="Times New Roman"/>
          <w:color w:val="000000" w:themeColor="text1"/>
          <w:lang w:val="en-US"/>
        </w:rPr>
        <w:t xml:space="preserve"> 21-77.</w:t>
      </w:r>
    </w:p>
  </w:footnote>
  <w:footnote w:id="668">
    <w:p w14:paraId="4F17310D" w14:textId="134B25C5" w:rsidR="005869A0" w:rsidRPr="009D7635" w:rsidRDefault="005869A0">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w:t>
      </w:r>
      <w:r w:rsidR="004008E6" w:rsidRPr="009D7635">
        <w:rPr>
          <w:rFonts w:ascii="Times New Roman" w:hAnsi="Times New Roman" w:cs="Times New Roman"/>
        </w:rPr>
        <w:t xml:space="preserve">On the four grades </w:t>
      </w:r>
      <w:r w:rsidR="003D175D" w:rsidRPr="009D7635">
        <w:rPr>
          <w:rFonts w:ascii="Times New Roman" w:hAnsi="Times New Roman" w:cs="Times New Roman"/>
        </w:rPr>
        <w:t>of</w:t>
      </w:r>
      <w:r w:rsidR="004008E6" w:rsidRPr="009D7635">
        <w:rPr>
          <w:rFonts w:ascii="Times New Roman" w:hAnsi="Times New Roman" w:cs="Times New Roman"/>
        </w:rPr>
        <w:t xml:space="preserve"> the possible intellect see, </w:t>
      </w:r>
      <w:r w:rsidRPr="009D7635">
        <w:rPr>
          <w:rFonts w:ascii="Times New Roman" w:hAnsi="Times New Roman" w:cs="Times New Roman"/>
          <w:i/>
          <w:iCs/>
          <w:color w:val="000000" w:themeColor="text1"/>
        </w:rPr>
        <w:t xml:space="preserve">Avicenna </w:t>
      </w:r>
      <w:proofErr w:type="spellStart"/>
      <w:r w:rsidRPr="009D7635">
        <w:rPr>
          <w:rFonts w:ascii="Times New Roman" w:hAnsi="Times New Roman" w:cs="Times New Roman"/>
          <w:i/>
          <w:iCs/>
          <w:color w:val="000000" w:themeColor="text1"/>
        </w:rPr>
        <w:t>Latinus</w:t>
      </w:r>
      <w:proofErr w:type="spellEnd"/>
      <w:r w:rsidR="002D3BBE" w:rsidRPr="009D7635">
        <w:rPr>
          <w:rFonts w:ascii="Times New Roman" w:hAnsi="Times New Roman" w:cs="Times New Roman"/>
          <w:i/>
          <w:iCs/>
          <w:color w:val="000000" w:themeColor="text1"/>
        </w:rPr>
        <w:t>:</w:t>
      </w:r>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Liber</w:t>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I.5, 95ff.</w:t>
      </w:r>
      <w:r w:rsidR="004008E6" w:rsidRPr="009D7635">
        <w:rPr>
          <w:rFonts w:ascii="Times New Roman" w:hAnsi="Times New Roman" w:cs="Times New Roman"/>
          <w:color w:val="000000" w:themeColor="text1"/>
        </w:rPr>
        <w:t>; V.6, 134-53.</w:t>
      </w:r>
      <w:r w:rsidRPr="009D7635">
        <w:rPr>
          <w:rFonts w:ascii="Times New Roman" w:hAnsi="Times New Roman" w:cs="Times New Roman"/>
          <w:color w:val="000000" w:themeColor="text1"/>
        </w:rPr>
        <w:t xml:space="preserve"> </w:t>
      </w:r>
    </w:p>
  </w:footnote>
  <w:footnote w:id="669">
    <w:p w14:paraId="0FD59530" w14:textId="7777777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88: </w:t>
      </w:r>
      <w:r w:rsidRPr="009D7635">
        <w:rPr>
          <w:rFonts w:ascii="Times New Roman" w:hAnsi="Times New Roman" w:cs="Times New Roman"/>
          <w:i/>
          <w:color w:val="000000" w:themeColor="text1"/>
          <w:sz w:val="20"/>
          <w:szCs w:val="20"/>
          <w:lang w:val="en-US"/>
        </w:rPr>
        <w:t xml:space="preserve">Primus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habitu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respectu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consequentis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conclusionem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effectu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conclusionum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respectu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precedentis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Tertius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adeptus</w:t>
      </w:r>
      <w:proofErr w:type="spellEnd"/>
      <w:r w:rsidRPr="009D7635">
        <w:rPr>
          <w:rFonts w:ascii="Times New Roman" w:hAnsi="Times New Roman" w:cs="Times New Roman"/>
          <w:i/>
          <w:color w:val="000000" w:themeColor="text1"/>
          <w:sz w:val="20"/>
          <w:szCs w:val="20"/>
          <w:lang w:val="en-US"/>
        </w:rPr>
        <w:t xml:space="preserve"> et in </w:t>
      </w:r>
      <w:proofErr w:type="spellStart"/>
      <w:r w:rsidRPr="009D7635">
        <w:rPr>
          <w:rFonts w:ascii="Times New Roman" w:hAnsi="Times New Roman" w:cs="Times New Roman"/>
          <w:i/>
          <w:color w:val="000000" w:themeColor="text1"/>
          <w:sz w:val="20"/>
          <w:szCs w:val="20"/>
          <w:lang w:val="en-US"/>
        </w:rPr>
        <w:t>habitu</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habitu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respectu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consequentis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usu</w:t>
      </w:r>
      <w:proofErr w:type="spellEnd"/>
      <w:r w:rsidRPr="009D7635">
        <w:rPr>
          <w:rFonts w:ascii="Times New Roman" w:hAnsi="Times New Roman" w:cs="Times New Roman"/>
          <w:i/>
          <w:color w:val="000000" w:themeColor="text1"/>
          <w:sz w:val="20"/>
          <w:szCs w:val="20"/>
          <w:lang w:val="en-US"/>
        </w:rPr>
        <w:t xml:space="preserve"> et in </w:t>
      </w:r>
      <w:proofErr w:type="spellStart"/>
      <w:r w:rsidRPr="009D7635">
        <w:rPr>
          <w:rFonts w:ascii="Times New Roman" w:hAnsi="Times New Roman" w:cs="Times New Roman"/>
          <w:i/>
          <w:color w:val="000000" w:themeColor="text1"/>
          <w:sz w:val="20"/>
          <w:szCs w:val="20"/>
          <w:lang w:val="en-US"/>
        </w:rPr>
        <w:t>effectu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respectu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precedentis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principiorum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Quartus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accomodatus</w:t>
      </w:r>
      <w:proofErr w:type="spellEnd"/>
      <w:r w:rsidRPr="009D7635">
        <w:rPr>
          <w:rFonts w:ascii="Times New Roman" w:hAnsi="Times New Roman" w:cs="Times New Roman"/>
          <w:i/>
          <w:color w:val="000000" w:themeColor="text1"/>
          <w:sz w:val="20"/>
          <w:szCs w:val="20"/>
          <w:lang w:val="en-US"/>
        </w:rPr>
        <w:t xml:space="preserve"> in usu. </w:t>
      </w:r>
      <w:proofErr w:type="spellStart"/>
      <w:r w:rsidRPr="009D7635">
        <w:rPr>
          <w:rFonts w:ascii="Times New Roman" w:hAnsi="Times New Roman" w:cs="Times New Roman"/>
          <w:i/>
          <w:color w:val="000000" w:themeColor="text1"/>
          <w:sz w:val="20"/>
          <w:szCs w:val="20"/>
          <w:lang w:val="en-US"/>
        </w:rPr>
        <w:t>Hii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quatuor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ordines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speculatiui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w:t>
      </w:r>
    </w:p>
  </w:footnote>
  <w:footnote w:id="670">
    <w:p w14:paraId="0FC90132" w14:textId="5C33B1CA"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1F0998" w:rsidRPr="009D7635">
        <w:rPr>
          <w:rFonts w:ascii="Times New Roman" w:hAnsi="Times New Roman" w:cs="Times New Roman"/>
          <w:iCs/>
          <w:color w:val="000000" w:themeColor="text1"/>
        </w:rPr>
        <w:t>Ibid.</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citing Avicenna,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I.5.</w:t>
      </w:r>
      <w:r w:rsidR="00D73EC3" w:rsidRPr="009D7635">
        <w:rPr>
          <w:rFonts w:ascii="Times New Roman" w:hAnsi="Times New Roman" w:cs="Times New Roman"/>
          <w:color w:val="000000" w:themeColor="text1"/>
        </w:rPr>
        <w:t xml:space="preserve"> On the agent intellect see Avicenna, </w:t>
      </w:r>
      <w:r w:rsidR="00D73EC3" w:rsidRPr="009D7635">
        <w:rPr>
          <w:rFonts w:ascii="Times New Roman" w:hAnsi="Times New Roman" w:cs="Times New Roman"/>
          <w:i/>
          <w:iCs/>
          <w:color w:val="000000" w:themeColor="text1"/>
        </w:rPr>
        <w:t>De anima</w:t>
      </w:r>
      <w:r w:rsidR="00D73EC3" w:rsidRPr="009D7635">
        <w:rPr>
          <w:rFonts w:ascii="Times New Roman" w:hAnsi="Times New Roman" w:cs="Times New Roman"/>
          <w:color w:val="000000" w:themeColor="text1"/>
        </w:rPr>
        <w:t xml:space="preserve"> V.5, 126-33. </w:t>
      </w:r>
    </w:p>
  </w:footnote>
  <w:footnote w:id="671">
    <w:p w14:paraId="2D3F9BD4"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278.</w:t>
      </w:r>
    </w:p>
  </w:footnote>
  <w:footnote w:id="672">
    <w:p w14:paraId="7C49E47C" w14:textId="7777777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89: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isto</w:t>
      </w:r>
      <w:proofErr w:type="spellEnd"/>
      <w:r w:rsidRPr="009D7635">
        <w:rPr>
          <w:rFonts w:ascii="Times New Roman" w:hAnsi="Times New Roman" w:cs="Times New Roman"/>
          <w:i/>
          <w:color w:val="000000" w:themeColor="text1"/>
          <w:sz w:val="20"/>
          <w:szCs w:val="20"/>
          <w:lang w:val="en-US"/>
        </w:rPr>
        <w:t xml:space="preserve"> sole </w:t>
      </w:r>
      <w:proofErr w:type="spellStart"/>
      <w:r w:rsidRPr="009D7635">
        <w:rPr>
          <w:rFonts w:ascii="Times New Roman" w:hAnsi="Times New Roman" w:cs="Times New Roman"/>
          <w:i/>
          <w:color w:val="000000" w:themeColor="text1"/>
          <w:sz w:val="20"/>
          <w:szCs w:val="20"/>
          <w:lang w:val="en-US"/>
        </w:rPr>
        <w:t>materiali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aduertimus</w:t>
      </w:r>
      <w:proofErr w:type="spellEnd"/>
      <w:r w:rsidRPr="009D7635">
        <w:rPr>
          <w:rFonts w:ascii="Times New Roman" w:hAnsi="Times New Roman" w:cs="Times New Roman"/>
          <w:i/>
          <w:color w:val="000000" w:themeColor="text1"/>
          <w:sz w:val="20"/>
          <w:szCs w:val="20"/>
          <w:lang w:val="en-US"/>
        </w:rPr>
        <w:t xml:space="preserve">, scilicet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fulget</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illuminat</w:t>
      </w:r>
      <w:proofErr w:type="spellEnd"/>
      <w:r w:rsidRPr="009D7635">
        <w:rPr>
          <w:rFonts w:ascii="Times New Roman" w:hAnsi="Times New Roman" w:cs="Times New Roman"/>
          <w:i/>
          <w:color w:val="000000" w:themeColor="text1"/>
          <w:sz w:val="20"/>
          <w:szCs w:val="20"/>
          <w:lang w:val="en-US"/>
        </w:rPr>
        <w:t xml:space="preserve">, sic in </w:t>
      </w:r>
      <w:proofErr w:type="spellStart"/>
      <w:r w:rsidRPr="009D7635">
        <w:rPr>
          <w:rFonts w:ascii="Times New Roman" w:hAnsi="Times New Roman" w:cs="Times New Roman"/>
          <w:i/>
          <w:color w:val="000000" w:themeColor="text1"/>
          <w:sz w:val="20"/>
          <w:szCs w:val="20"/>
          <w:lang w:val="en-US"/>
        </w:rPr>
        <w:t>secretissimo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debemus</w:t>
      </w:r>
      <w:proofErr w:type="spellEnd"/>
      <w:r w:rsidRPr="009D7635">
        <w:rPr>
          <w:rFonts w:ascii="Times New Roman" w:hAnsi="Times New Roman" w:cs="Times New Roman"/>
          <w:i/>
          <w:color w:val="000000" w:themeColor="text1"/>
          <w:sz w:val="20"/>
          <w:szCs w:val="20"/>
          <w:lang w:val="en-US"/>
        </w:rPr>
        <w:t xml:space="preserve">, scilicet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intelligit</w:t>
      </w:r>
      <w:proofErr w:type="spellEnd"/>
      <w:r w:rsidRPr="009D7635">
        <w:rPr>
          <w:rFonts w:ascii="Times New Roman" w:hAnsi="Times New Roman" w:cs="Times New Roman"/>
          <w:i/>
          <w:color w:val="000000" w:themeColor="text1"/>
          <w:sz w:val="20"/>
          <w:szCs w:val="20"/>
          <w:lang w:val="en-US"/>
        </w:rPr>
        <w:t xml:space="preserve">, quod cetera </w:t>
      </w:r>
      <w:proofErr w:type="spellStart"/>
      <w:r w:rsidRPr="009D7635">
        <w:rPr>
          <w:rFonts w:ascii="Times New Roman" w:hAnsi="Times New Roman" w:cs="Times New Roman"/>
          <w:i/>
          <w:color w:val="000000" w:themeColor="text1"/>
          <w:sz w:val="20"/>
          <w:szCs w:val="20"/>
          <w:lang w:val="en-US"/>
        </w:rPr>
        <w:t>intelligere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facit</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Cf.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277.</w:t>
      </w:r>
    </w:p>
  </w:footnote>
  <w:footnote w:id="673">
    <w:p w14:paraId="39CF6C66" w14:textId="2786A76E"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1F0998" w:rsidRPr="009D7635">
        <w:rPr>
          <w:rFonts w:ascii="Times New Roman" w:hAnsi="Times New Roman" w:cs="Times New Roman"/>
          <w:iCs/>
          <w:color w:val="000000" w:themeColor="text1"/>
        </w:rPr>
        <w:t>Ibid.,</w:t>
      </w:r>
      <w:r w:rsidRPr="009D7635">
        <w:rPr>
          <w:rFonts w:ascii="Times New Roman" w:hAnsi="Times New Roman" w:cs="Times New Roman"/>
          <w:color w:val="000000" w:themeColor="text1"/>
        </w:rPr>
        <w:t xml:space="preserve"> 90.</w:t>
      </w:r>
    </w:p>
  </w:footnote>
  <w:footnote w:id="674">
    <w:p w14:paraId="657E4890"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278.</w:t>
      </w:r>
    </w:p>
  </w:footnote>
  <w:footnote w:id="675">
    <w:p w14:paraId="38B2AF67"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color w:val="000000" w:themeColor="text1"/>
        </w:rPr>
        <w:t>, 90.</w:t>
      </w:r>
    </w:p>
  </w:footnote>
  <w:footnote w:id="676">
    <w:p w14:paraId="39FFDC42"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279.</w:t>
      </w:r>
    </w:p>
  </w:footnote>
  <w:footnote w:id="677">
    <w:p w14:paraId="27B1A1A6"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color w:val="000000" w:themeColor="text1"/>
        </w:rPr>
        <w:t>, 91, citing DSEA 4.</w:t>
      </w:r>
    </w:p>
  </w:footnote>
  <w:footnote w:id="678">
    <w:p w14:paraId="649336B1"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280.</w:t>
      </w:r>
    </w:p>
  </w:footnote>
  <w:footnote w:id="679">
    <w:p w14:paraId="7EA618E3"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color w:val="000000" w:themeColor="text1"/>
        </w:rPr>
        <w:t>, 91.</w:t>
      </w:r>
    </w:p>
  </w:footnote>
  <w:footnote w:id="680">
    <w:p w14:paraId="4515AE95" w14:textId="0F508D1F"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Summa de anima,</w:t>
      </w:r>
      <w:r w:rsidRPr="009D7635">
        <w:rPr>
          <w:rFonts w:ascii="Times New Roman" w:hAnsi="Times New Roman" w:cs="Times New Roman"/>
          <w:color w:val="000000" w:themeColor="text1"/>
          <w:sz w:val="20"/>
          <w:szCs w:val="20"/>
          <w:lang w:val="en-US"/>
        </w:rPr>
        <w:t xml:space="preserve"> 280: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operacio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primo </w:t>
      </w:r>
      <w:proofErr w:type="spellStart"/>
      <w:r w:rsidRPr="009D7635">
        <w:rPr>
          <w:rFonts w:ascii="Times New Roman" w:hAnsi="Times New Roman" w:cs="Times New Roman"/>
          <w:i/>
          <w:color w:val="000000" w:themeColor="text1"/>
          <w:sz w:val="20"/>
          <w:szCs w:val="20"/>
          <w:lang w:val="en-US"/>
        </w:rPr>
        <w:t>conuertere</w:t>
      </w:r>
      <w:proofErr w:type="spellEnd"/>
      <w:r w:rsidRPr="009D7635">
        <w:rPr>
          <w:rFonts w:ascii="Times New Roman" w:hAnsi="Times New Roman" w:cs="Times New Roman"/>
          <w:i/>
          <w:color w:val="000000" w:themeColor="text1"/>
          <w:sz w:val="20"/>
          <w:szCs w:val="20"/>
          <w:lang w:val="en-US"/>
        </w:rPr>
        <w:t xml:space="preserve"> se per </w:t>
      </w:r>
      <w:proofErr w:type="spellStart"/>
      <w:r w:rsidRPr="009D7635">
        <w:rPr>
          <w:rFonts w:ascii="Times New Roman" w:hAnsi="Times New Roman" w:cs="Times New Roman"/>
          <w:i/>
          <w:color w:val="000000" w:themeColor="text1"/>
          <w:sz w:val="20"/>
          <w:szCs w:val="20"/>
          <w:lang w:val="en-US"/>
        </w:rPr>
        <w:t>consideracionem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ymaginacione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illuminantur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luce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intelligencie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agentis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abstrahuntur</w:t>
      </w:r>
      <w:proofErr w:type="spellEnd"/>
      <w:r w:rsidRPr="009D7635">
        <w:rPr>
          <w:rFonts w:ascii="Times New Roman" w:hAnsi="Times New Roman" w:cs="Times New Roman"/>
          <w:i/>
          <w:color w:val="000000" w:themeColor="text1"/>
          <w:sz w:val="20"/>
          <w:szCs w:val="20"/>
          <w:lang w:val="en-US"/>
        </w:rPr>
        <w:t xml:space="preserve"> denudate ab omnibus </w:t>
      </w:r>
      <w:proofErr w:type="spellStart"/>
      <w:r w:rsidRPr="009D7635">
        <w:rPr>
          <w:rFonts w:ascii="Times New Roman" w:hAnsi="Times New Roman" w:cs="Times New Roman"/>
          <w:i/>
          <w:color w:val="000000" w:themeColor="text1"/>
          <w:sz w:val="20"/>
          <w:szCs w:val="20"/>
          <w:lang w:val="en-US"/>
        </w:rPr>
        <w:t>circumstanciis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imprimuntur</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intellectu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dictum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educitur</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actum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formatur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tunc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formatus</w:t>
      </w:r>
      <w:proofErr w:type="spellEnd"/>
      <w:r w:rsidRPr="009D7635">
        <w:rPr>
          <w:rFonts w:ascii="Times New Roman" w:hAnsi="Times New Roman" w:cs="Times New Roman"/>
          <w:i/>
          <w:color w:val="000000" w:themeColor="text1"/>
          <w:sz w:val="20"/>
          <w:szCs w:val="20"/>
          <w:lang w:val="en-US"/>
        </w:rPr>
        <w:t>.</w:t>
      </w:r>
    </w:p>
  </w:footnote>
  <w:footnote w:id="681">
    <w:p w14:paraId="6BD7562E" w14:textId="384D69C2" w:rsidR="00B93ED5" w:rsidRPr="009D7635" w:rsidRDefault="00B93ED5" w:rsidP="00E212D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color w:val="000000" w:themeColor="text1"/>
          <w:sz w:val="20"/>
          <w:szCs w:val="20"/>
        </w:rPr>
        <w:t xml:space="preserve">, 93 quoting, </w:t>
      </w:r>
      <w:r w:rsidRPr="009D7635">
        <w:rPr>
          <w:rFonts w:ascii="Times New Roman" w:hAnsi="Times New Roman" w:cs="Times New Roman"/>
          <w:i/>
          <w:color w:val="000000" w:themeColor="text1"/>
          <w:sz w:val="20"/>
          <w:szCs w:val="20"/>
        </w:rPr>
        <w:t>De anima</w:t>
      </w:r>
      <w:r w:rsidRPr="009D7635">
        <w:rPr>
          <w:rFonts w:ascii="Times New Roman" w:hAnsi="Times New Roman" w:cs="Times New Roman"/>
          <w:color w:val="000000" w:themeColor="text1"/>
          <w:sz w:val="20"/>
          <w:szCs w:val="20"/>
        </w:rPr>
        <w:t xml:space="preserve"> V.5: </w:t>
      </w:r>
      <w:proofErr w:type="spellStart"/>
      <w:r w:rsidRPr="009D7635">
        <w:rPr>
          <w:rFonts w:ascii="Times New Roman" w:hAnsi="Times New Roman" w:cs="Times New Roman"/>
          <w:i/>
          <w:color w:val="000000" w:themeColor="text1"/>
          <w:sz w:val="20"/>
          <w:szCs w:val="20"/>
          <w:lang w:val="en-US"/>
        </w:rPr>
        <w:t>Notandum</w:t>
      </w:r>
      <w:proofErr w:type="spellEnd"/>
      <w:r w:rsidRPr="009D7635">
        <w:rPr>
          <w:rFonts w:ascii="Times New Roman" w:hAnsi="Times New Roman" w:cs="Times New Roman"/>
          <w:i/>
          <w:color w:val="000000" w:themeColor="text1"/>
          <w:sz w:val="20"/>
          <w:szCs w:val="20"/>
          <w:lang w:val="en-US"/>
        </w:rPr>
        <w:t xml:space="preserve"> ergo,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Auicennam</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operatio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illuminare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siue</w:t>
      </w:r>
      <w:proofErr w:type="spellEnd"/>
      <w:r w:rsidRPr="009D7635">
        <w:rPr>
          <w:rFonts w:ascii="Times New Roman" w:hAnsi="Times New Roman" w:cs="Times New Roman"/>
          <w:i/>
          <w:color w:val="000000" w:themeColor="text1"/>
          <w:sz w:val="20"/>
          <w:szCs w:val="20"/>
          <w:lang w:val="en-US"/>
        </w:rPr>
        <w:t xml:space="preserve"> lumen </w:t>
      </w:r>
      <w:proofErr w:type="spellStart"/>
      <w:r w:rsidRPr="009D7635">
        <w:rPr>
          <w:rFonts w:ascii="Times New Roman" w:hAnsi="Times New Roman" w:cs="Times New Roman"/>
          <w:i/>
          <w:color w:val="000000" w:themeColor="text1"/>
          <w:sz w:val="20"/>
          <w:szCs w:val="20"/>
          <w:lang w:val="en-US"/>
        </w:rPr>
        <w:t>intelligentie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diffundere</w:t>
      </w:r>
      <w:proofErr w:type="spellEnd"/>
      <w:r w:rsidRPr="009D7635">
        <w:rPr>
          <w:rFonts w:ascii="Times New Roman" w:hAnsi="Times New Roman" w:cs="Times New Roman"/>
          <w:i/>
          <w:color w:val="000000" w:themeColor="text1"/>
          <w:sz w:val="20"/>
          <w:szCs w:val="20"/>
          <w:lang w:val="en-US"/>
        </w:rPr>
        <w:t xml:space="preserve"> super</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existentes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ymaginatione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estimatione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illuminando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abstrahere</w:t>
      </w:r>
      <w:proofErr w:type="spellEnd"/>
      <w:r w:rsidRPr="009D7635">
        <w:rPr>
          <w:rFonts w:ascii="Times New Roman" w:hAnsi="Times New Roman" w:cs="Times New Roman"/>
          <w:i/>
          <w:color w:val="000000" w:themeColor="text1"/>
          <w:sz w:val="20"/>
          <w:szCs w:val="20"/>
          <w:lang w:val="en-US"/>
        </w:rPr>
        <w:t xml:space="preserve"> ab omnibus </w:t>
      </w:r>
      <w:proofErr w:type="spellStart"/>
      <w:r w:rsidRPr="009D7635">
        <w:rPr>
          <w:rFonts w:ascii="Times New Roman" w:hAnsi="Times New Roman" w:cs="Times New Roman"/>
          <w:i/>
          <w:color w:val="000000" w:themeColor="text1"/>
          <w:sz w:val="20"/>
          <w:szCs w:val="20"/>
          <w:lang w:val="en-US"/>
        </w:rPr>
        <w:t>circumstantiis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materialibus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abstractas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copulare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ordinare</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intellectu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quemadmodum</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per </w:t>
      </w:r>
      <w:proofErr w:type="spellStart"/>
      <w:r w:rsidRPr="009D7635">
        <w:rPr>
          <w:rFonts w:ascii="Times New Roman" w:hAnsi="Times New Roman" w:cs="Times New Roman"/>
          <w:i/>
          <w:color w:val="000000" w:themeColor="text1"/>
          <w:sz w:val="20"/>
          <w:szCs w:val="20"/>
          <w:lang w:val="en-US"/>
        </w:rPr>
        <w:t>operationem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lucis</w:t>
      </w:r>
      <w:proofErr w:type="spellEnd"/>
      <w:r w:rsidRPr="009D7635">
        <w:rPr>
          <w:rFonts w:ascii="Times New Roman" w:hAnsi="Times New Roman" w:cs="Times New Roman"/>
          <w:i/>
          <w:color w:val="000000" w:themeColor="text1"/>
          <w:sz w:val="20"/>
          <w:szCs w:val="20"/>
          <w:lang w:val="en-US"/>
        </w:rPr>
        <w:t xml:space="preserve"> species </w:t>
      </w:r>
      <w:proofErr w:type="spellStart"/>
      <w:r w:rsidRPr="009D7635">
        <w:rPr>
          <w:rFonts w:ascii="Times New Roman" w:hAnsi="Times New Roman" w:cs="Times New Roman"/>
          <w:i/>
          <w:color w:val="000000" w:themeColor="text1"/>
          <w:sz w:val="20"/>
          <w:szCs w:val="20"/>
          <w:lang w:val="en-US"/>
        </w:rPr>
        <w:t>coloris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abstrahitur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quodammodo</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pupille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copulatur</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Cf.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280.</w:t>
      </w:r>
    </w:p>
  </w:footnote>
  <w:footnote w:id="682">
    <w:p w14:paraId="3F120A90"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color w:val="000000" w:themeColor="text1"/>
        </w:rPr>
        <w:t xml:space="preserve"> 91, 95; as mentioned in DSEA</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4</w:t>
      </w:r>
    </w:p>
  </w:footnote>
  <w:footnote w:id="683">
    <w:p w14:paraId="322C06DD"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181.</w:t>
      </w:r>
    </w:p>
  </w:footnote>
  <w:footnote w:id="684">
    <w:p w14:paraId="5E1009E0" w14:textId="3F390E0C" w:rsidR="00B93ED5" w:rsidRPr="009D7635" w:rsidRDefault="00B93ED5" w:rsidP="00E212D3">
      <w:pPr>
        <w:rPr>
          <w:rFonts w:ascii="Times New Roman" w:hAnsi="Times New Roman" w:cs="Times New Roman"/>
          <w:color w:val="000000" w:themeColor="text1"/>
          <w:sz w:val="20"/>
          <w:szCs w:val="20"/>
          <w:lang w:val="fr-FR"/>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Cs/>
          <w:color w:val="000000" w:themeColor="text1"/>
          <w:sz w:val="20"/>
          <w:szCs w:val="20"/>
          <w:lang w:val="fr-FR"/>
        </w:rPr>
        <w:t>Anonymous,</w:t>
      </w:r>
      <w:r w:rsidRPr="009D7635">
        <w:rPr>
          <w:rFonts w:ascii="Times New Roman" w:hAnsi="Times New Roman" w:cs="Times New Roman"/>
          <w:i/>
          <w:iCs/>
          <w:color w:val="000000" w:themeColor="text1"/>
          <w:sz w:val="20"/>
          <w:szCs w:val="20"/>
          <w:lang w:val="fr-FR"/>
        </w:rPr>
        <w:t xml:space="preserve"> De </w:t>
      </w:r>
      <w:proofErr w:type="spellStart"/>
      <w:r w:rsidRPr="009D7635">
        <w:rPr>
          <w:rFonts w:ascii="Times New Roman" w:hAnsi="Times New Roman" w:cs="Times New Roman"/>
          <w:i/>
          <w:iCs/>
          <w:color w:val="000000" w:themeColor="text1"/>
          <w:sz w:val="20"/>
          <w:szCs w:val="20"/>
          <w:lang w:val="fr-FR"/>
        </w:rPr>
        <w:t>potentiis</w:t>
      </w:r>
      <w:proofErr w:type="spellEnd"/>
      <w:r w:rsidRPr="009D7635">
        <w:rPr>
          <w:rFonts w:ascii="Times New Roman" w:hAnsi="Times New Roman" w:cs="Times New Roman"/>
          <w:i/>
          <w:iCs/>
          <w:color w:val="000000" w:themeColor="text1"/>
          <w:sz w:val="20"/>
          <w:szCs w:val="20"/>
          <w:lang w:val="fr-FR"/>
        </w:rPr>
        <w:t xml:space="preserve"> </w:t>
      </w:r>
      <w:proofErr w:type="spellStart"/>
      <w:r w:rsidRPr="009D7635">
        <w:rPr>
          <w:rFonts w:ascii="Times New Roman" w:hAnsi="Times New Roman" w:cs="Times New Roman"/>
          <w:i/>
          <w:iCs/>
          <w:color w:val="000000" w:themeColor="text1"/>
          <w:sz w:val="20"/>
          <w:szCs w:val="20"/>
          <w:lang w:val="fr-FR"/>
        </w:rPr>
        <w:t>animae</w:t>
      </w:r>
      <w:proofErr w:type="spellEnd"/>
      <w:r w:rsidRPr="009D7635">
        <w:rPr>
          <w:rFonts w:ascii="Times New Roman" w:hAnsi="Times New Roman" w:cs="Times New Roman"/>
          <w:i/>
          <w:iCs/>
          <w:color w:val="000000" w:themeColor="text1"/>
          <w:sz w:val="20"/>
          <w:szCs w:val="20"/>
          <w:lang w:val="fr-FR"/>
        </w:rPr>
        <w:t xml:space="preserve"> et </w:t>
      </w:r>
      <w:proofErr w:type="spellStart"/>
      <w:r w:rsidRPr="009D7635">
        <w:rPr>
          <w:rFonts w:ascii="Times New Roman" w:hAnsi="Times New Roman" w:cs="Times New Roman"/>
          <w:i/>
          <w:iCs/>
          <w:color w:val="000000" w:themeColor="text1"/>
          <w:sz w:val="20"/>
          <w:szCs w:val="20"/>
          <w:lang w:val="fr-FR"/>
        </w:rPr>
        <w:t>obiectis</w:t>
      </w:r>
      <w:proofErr w:type="spellEnd"/>
      <w:r w:rsidRPr="009D7635">
        <w:rPr>
          <w:rFonts w:ascii="Times New Roman" w:hAnsi="Times New Roman" w:cs="Times New Roman"/>
          <w:color w:val="000000" w:themeColor="text1"/>
          <w:sz w:val="20"/>
          <w:szCs w:val="20"/>
          <w:lang w:val="fr-FR"/>
        </w:rPr>
        <w:t>, ed.</w:t>
      </w:r>
      <w:r w:rsidRPr="009D7635">
        <w:rPr>
          <w:rFonts w:ascii="Times New Roman" w:hAnsi="Times New Roman" w:cs="Times New Roman"/>
          <w:color w:val="000000" w:themeColor="text1"/>
          <w:sz w:val="20"/>
          <w:szCs w:val="20"/>
        </w:rPr>
        <w:t xml:space="preserve"> Daniel A. Callus, in ‘The Powers of the Soul: An Early Unpublished Text,’ </w:t>
      </w:r>
      <w:r w:rsidRPr="009D7635">
        <w:rPr>
          <w:rFonts w:ascii="Times New Roman" w:hAnsi="Times New Roman" w:cs="Times New Roman"/>
          <w:i/>
          <w:iCs/>
          <w:color w:val="000000" w:themeColor="text1"/>
          <w:sz w:val="20"/>
          <w:szCs w:val="20"/>
          <w:lang w:val="fr-FR"/>
        </w:rPr>
        <w:t xml:space="preserve">Recherches de </w:t>
      </w:r>
      <w:r w:rsidR="00182DB5">
        <w:rPr>
          <w:rFonts w:ascii="Times New Roman" w:hAnsi="Times New Roman" w:cs="Times New Roman"/>
          <w:i/>
          <w:iCs/>
          <w:color w:val="000000" w:themeColor="text1"/>
          <w:sz w:val="20"/>
          <w:szCs w:val="20"/>
          <w:lang w:val="fr-FR"/>
        </w:rPr>
        <w:t>t</w:t>
      </w:r>
      <w:r w:rsidRPr="009D7635">
        <w:rPr>
          <w:rFonts w:ascii="Times New Roman" w:hAnsi="Times New Roman" w:cs="Times New Roman"/>
          <w:i/>
          <w:iCs/>
          <w:color w:val="000000" w:themeColor="text1"/>
          <w:sz w:val="20"/>
          <w:szCs w:val="20"/>
          <w:lang w:val="fr-FR"/>
        </w:rPr>
        <w:t xml:space="preserve">héologie ancienne et médiévale </w:t>
      </w:r>
      <w:r w:rsidRPr="009D7635">
        <w:rPr>
          <w:rFonts w:ascii="Times New Roman" w:hAnsi="Times New Roman" w:cs="Times New Roman"/>
          <w:color w:val="000000" w:themeColor="text1"/>
          <w:sz w:val="20"/>
          <w:szCs w:val="20"/>
          <w:lang w:val="fr-FR"/>
        </w:rPr>
        <w:t>19 (1952)</w:t>
      </w:r>
      <w:r w:rsidR="001F0998" w:rsidRPr="009D7635">
        <w:rPr>
          <w:rFonts w:ascii="Times New Roman" w:hAnsi="Times New Roman" w:cs="Times New Roman"/>
          <w:color w:val="000000" w:themeColor="text1"/>
          <w:sz w:val="20"/>
          <w:szCs w:val="20"/>
          <w:lang w:val="fr-FR"/>
        </w:rPr>
        <w:t>:</w:t>
      </w:r>
      <w:r w:rsidRPr="009D7635">
        <w:rPr>
          <w:rFonts w:ascii="Times New Roman" w:hAnsi="Times New Roman" w:cs="Times New Roman"/>
          <w:color w:val="000000" w:themeColor="text1"/>
          <w:sz w:val="20"/>
          <w:szCs w:val="20"/>
          <w:lang w:val="fr-FR"/>
        </w:rPr>
        <w:t xml:space="preserve"> 158.</w:t>
      </w:r>
    </w:p>
  </w:footnote>
  <w:footnote w:id="685">
    <w:p w14:paraId="2857BC0E"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René A. Gauthier, ‘Le </w:t>
      </w:r>
      <w:proofErr w:type="spellStart"/>
      <w:r w:rsidRPr="009D7635">
        <w:rPr>
          <w:rFonts w:ascii="Times New Roman" w:hAnsi="Times New Roman" w:cs="Times New Roman"/>
          <w:color w:val="000000" w:themeColor="text1"/>
          <w:lang w:val="en-US"/>
        </w:rPr>
        <w:t>traité</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i/>
          <w:color w:val="000000" w:themeColor="text1"/>
          <w:lang w:val="en-US"/>
        </w:rPr>
        <w:t xml:space="preserve">De anima et de </w:t>
      </w:r>
      <w:proofErr w:type="spellStart"/>
      <w:r w:rsidRPr="009D7635">
        <w:rPr>
          <w:rFonts w:ascii="Times New Roman" w:hAnsi="Times New Roman" w:cs="Times New Roman"/>
          <w:i/>
          <w:color w:val="000000" w:themeColor="text1"/>
          <w:lang w:val="en-US"/>
        </w:rPr>
        <w:t>potentiis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eius</w:t>
      </w:r>
      <w:proofErr w:type="spellEnd"/>
      <w:r w:rsidRPr="009D7635">
        <w:rPr>
          <w:rFonts w:ascii="Times New Roman" w:hAnsi="Times New Roman" w:cs="Times New Roman"/>
          <w:i/>
          <w:color w:val="000000" w:themeColor="text1"/>
          <w:lang w:val="en-US"/>
        </w:rPr>
        <w:t xml:space="preserve"> </w:t>
      </w:r>
      <w:r w:rsidRPr="009D7635">
        <w:rPr>
          <w:rFonts w:ascii="Times New Roman" w:hAnsi="Times New Roman" w:cs="Times New Roman"/>
          <w:color w:val="000000" w:themeColor="text1"/>
          <w:lang w:val="en-US"/>
        </w:rPr>
        <w:t>d’un maître des arts (</w:t>
      </w:r>
      <w:proofErr w:type="spellStart"/>
      <w:r w:rsidRPr="009D7635">
        <w:rPr>
          <w:rFonts w:ascii="Times New Roman" w:hAnsi="Times New Roman" w:cs="Times New Roman"/>
          <w:color w:val="000000" w:themeColor="text1"/>
          <w:lang w:val="en-US"/>
        </w:rPr>
        <w:t>vers</w:t>
      </w:r>
      <w:proofErr w:type="spellEnd"/>
      <w:r w:rsidRPr="009D7635">
        <w:rPr>
          <w:rFonts w:ascii="Times New Roman" w:hAnsi="Times New Roman" w:cs="Times New Roman"/>
          <w:color w:val="000000" w:themeColor="text1"/>
          <w:lang w:val="en-US"/>
        </w:rPr>
        <w:t xml:space="preserve"> 1225),’ </w:t>
      </w:r>
      <w:r w:rsidRPr="009D7635">
        <w:rPr>
          <w:rFonts w:ascii="Times New Roman" w:hAnsi="Times New Roman" w:cs="Times New Roman"/>
          <w:color w:val="000000" w:themeColor="text1"/>
        </w:rPr>
        <w:t>53.</w:t>
      </w:r>
    </w:p>
  </w:footnote>
  <w:footnote w:id="686">
    <w:p w14:paraId="4F62244A" w14:textId="6BE46847" w:rsidR="00B93ED5" w:rsidRPr="009D7635" w:rsidRDefault="00B93ED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Dag Nikolaus Hasse, ‘Das </w:t>
      </w:r>
      <w:proofErr w:type="spellStart"/>
      <w:r w:rsidRPr="009D7635">
        <w:rPr>
          <w:rFonts w:ascii="Times New Roman" w:hAnsi="Times New Roman" w:cs="Times New Roman"/>
          <w:color w:val="000000" w:themeColor="text1"/>
        </w:rPr>
        <w:t>Lehrstück</w:t>
      </w:r>
      <w:proofErr w:type="spellEnd"/>
      <w:r w:rsidRPr="009D7635">
        <w:rPr>
          <w:rFonts w:ascii="Times New Roman" w:hAnsi="Times New Roman" w:cs="Times New Roman"/>
          <w:color w:val="000000" w:themeColor="text1"/>
        </w:rPr>
        <w:t xml:space="preserve"> von den vier </w:t>
      </w:r>
      <w:proofErr w:type="spellStart"/>
      <w:r w:rsidRPr="009D7635">
        <w:rPr>
          <w:rFonts w:ascii="Times New Roman" w:hAnsi="Times New Roman" w:cs="Times New Roman"/>
          <w:color w:val="000000" w:themeColor="text1"/>
        </w:rPr>
        <w:t>Intellekten</w:t>
      </w:r>
      <w:proofErr w:type="spellEnd"/>
      <w:r w:rsidRPr="009D7635">
        <w:rPr>
          <w:rFonts w:ascii="Times New Roman" w:hAnsi="Times New Roman" w:cs="Times New Roman"/>
          <w:color w:val="000000" w:themeColor="text1"/>
        </w:rPr>
        <w:t xml:space="preserve"> in der </w:t>
      </w:r>
      <w:proofErr w:type="spellStart"/>
      <w:r w:rsidRPr="009D7635">
        <w:rPr>
          <w:rFonts w:ascii="Times New Roman" w:hAnsi="Times New Roman" w:cs="Times New Roman"/>
          <w:color w:val="000000" w:themeColor="text1"/>
        </w:rPr>
        <w:t>Scholastik</w:t>
      </w:r>
      <w:proofErr w:type="spellEnd"/>
      <w:r w:rsidR="001F0998"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32, citing Avicenna, </w:t>
      </w:r>
      <w:r w:rsidRPr="009D7635">
        <w:rPr>
          <w:rFonts w:ascii="Times New Roman" w:hAnsi="Times New Roman" w:cs="Times New Roman"/>
          <w:i/>
          <w:iCs/>
          <w:color w:val="000000" w:themeColor="text1"/>
        </w:rPr>
        <w:t xml:space="preserve">De anima </w:t>
      </w:r>
      <w:r w:rsidRPr="009D7635">
        <w:rPr>
          <w:rFonts w:ascii="Times New Roman" w:hAnsi="Times New Roman" w:cs="Times New Roman"/>
          <w:color w:val="000000" w:themeColor="text1"/>
        </w:rPr>
        <w:t xml:space="preserve">I, 5. As Hasse elaborates on page 48, the </w:t>
      </w:r>
      <w:proofErr w:type="spellStart"/>
      <w:r w:rsidRPr="009D7635">
        <w:rPr>
          <w:rFonts w:ascii="Times New Roman" w:hAnsi="Times New Roman" w:cs="Times New Roman"/>
          <w:color w:val="000000" w:themeColor="text1"/>
        </w:rPr>
        <w:t>Avicennian</w:t>
      </w:r>
      <w:proofErr w:type="spellEnd"/>
      <w:r w:rsidRPr="009D7635">
        <w:rPr>
          <w:rFonts w:ascii="Times New Roman" w:hAnsi="Times New Roman" w:cs="Times New Roman"/>
          <w:color w:val="000000" w:themeColor="text1"/>
        </w:rPr>
        <w:t xml:space="preserve"> tradition meets here with the Western doctrine of the first principles or maxims of knowledge based on </w:t>
      </w:r>
      <w:proofErr w:type="spellStart"/>
      <w:r w:rsidRPr="009D7635">
        <w:rPr>
          <w:rFonts w:ascii="Times New Roman" w:hAnsi="Times New Roman" w:cs="Times New Roman"/>
          <w:color w:val="000000" w:themeColor="text1"/>
        </w:rPr>
        <w:t>Boethius</w:t>
      </w:r>
      <w:proofErr w:type="spellEnd"/>
      <w:r w:rsidRPr="009D7635">
        <w:rPr>
          <w:rFonts w:ascii="Times New Roman" w:hAnsi="Times New Roman" w:cs="Times New Roman"/>
          <w:color w:val="000000" w:themeColor="text1"/>
        </w:rPr>
        <w:t xml:space="preserve"> and the Aristotelian </w:t>
      </w:r>
      <w:r w:rsidRPr="009D7635">
        <w:rPr>
          <w:rFonts w:ascii="Times New Roman" w:hAnsi="Times New Roman" w:cs="Times New Roman"/>
          <w:i/>
          <w:iCs/>
          <w:color w:val="000000" w:themeColor="text1"/>
        </w:rPr>
        <w:t>Organon</w:t>
      </w:r>
      <w:r w:rsidRPr="009D7635">
        <w:rPr>
          <w:rFonts w:ascii="Times New Roman" w:hAnsi="Times New Roman" w:cs="Times New Roman"/>
          <w:color w:val="000000" w:themeColor="text1"/>
        </w:rPr>
        <w:t xml:space="preserve">. </w:t>
      </w:r>
    </w:p>
  </w:footnote>
  <w:footnote w:id="687">
    <w:p w14:paraId="48D62B38"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Daniel A. Callus, in ‘The Powers of the Soul,’ 157.</w:t>
      </w:r>
    </w:p>
  </w:footnote>
  <w:footnote w:id="688">
    <w:p w14:paraId="5B44DDC8"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color w:val="000000" w:themeColor="text1"/>
        </w:rPr>
        <w:t xml:space="preserve">, 95; cf.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282.</w:t>
      </w:r>
    </w:p>
  </w:footnote>
  <w:footnote w:id="689">
    <w:p w14:paraId="7BFD24B5"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Augustine,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Trinitate</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X.11-12, 17-19.</w:t>
      </w:r>
    </w:p>
  </w:footnote>
  <w:footnote w:id="690">
    <w:p w14:paraId="4CEFC7EA" w14:textId="5D406654" w:rsidR="00461B34" w:rsidRPr="009D7635" w:rsidRDefault="00461B34" w:rsidP="00461B34">
      <w:pPr>
        <w:rPr>
          <w:rFonts w:ascii="Times New Roman" w:eastAsia="Times New Roman" w:hAnsi="Times New Roman" w:cs="Times New Roman"/>
          <w:color w:val="000000" w:themeColor="text1"/>
          <w:sz w:val="20"/>
          <w:szCs w:val="20"/>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color w:val="000000" w:themeColor="text1"/>
          <w:spacing w:val="2"/>
          <w:sz w:val="20"/>
          <w:szCs w:val="20"/>
          <w:shd w:val="clear" w:color="auto" w:fill="FCFCFC"/>
          <w:lang w:eastAsia="en-GB"/>
        </w:rPr>
        <w:t xml:space="preserve">Avicenna, </w:t>
      </w:r>
      <w:r w:rsidRPr="009D7635">
        <w:rPr>
          <w:rFonts w:ascii="Times New Roman" w:eastAsia="Times New Roman" w:hAnsi="Times New Roman" w:cs="Times New Roman"/>
          <w:i/>
          <w:iCs/>
          <w:color w:val="000000" w:themeColor="text1"/>
          <w:spacing w:val="2"/>
          <w:sz w:val="20"/>
          <w:szCs w:val="20"/>
          <w:shd w:val="clear" w:color="auto" w:fill="FCFCFC"/>
          <w:lang w:eastAsia="en-GB"/>
        </w:rPr>
        <w:t xml:space="preserve">Canon </w:t>
      </w:r>
      <w:proofErr w:type="spellStart"/>
      <w:r w:rsidRPr="009D7635">
        <w:rPr>
          <w:rFonts w:ascii="Times New Roman" w:eastAsia="Times New Roman" w:hAnsi="Times New Roman" w:cs="Times New Roman"/>
          <w:i/>
          <w:iCs/>
          <w:color w:val="000000" w:themeColor="text1"/>
          <w:spacing w:val="2"/>
          <w:sz w:val="20"/>
          <w:szCs w:val="20"/>
          <w:shd w:val="clear" w:color="auto" w:fill="FCFCFC"/>
          <w:lang w:eastAsia="en-GB"/>
        </w:rPr>
        <w:t>medicinae</w:t>
      </w:r>
      <w:proofErr w:type="spellEnd"/>
      <w:r w:rsidRPr="009D7635">
        <w:rPr>
          <w:rFonts w:ascii="Times New Roman" w:eastAsia="Times New Roman" w:hAnsi="Times New Roman" w:cs="Times New Roman"/>
          <w:color w:val="000000" w:themeColor="text1"/>
          <w:spacing w:val="2"/>
          <w:sz w:val="20"/>
          <w:szCs w:val="20"/>
          <w:shd w:val="clear" w:color="auto" w:fill="FCFCFC"/>
          <w:lang w:eastAsia="en-GB"/>
        </w:rPr>
        <w:t xml:space="preserve">, trans. Gerard of Cremona (Venice: </w:t>
      </w:r>
      <w:proofErr w:type="spellStart"/>
      <w:r w:rsidRPr="009D7635">
        <w:rPr>
          <w:rFonts w:ascii="Times New Roman" w:eastAsia="Times New Roman" w:hAnsi="Times New Roman" w:cs="Times New Roman"/>
          <w:color w:val="000000" w:themeColor="text1"/>
          <w:spacing w:val="2"/>
          <w:sz w:val="20"/>
          <w:szCs w:val="20"/>
          <w:shd w:val="clear" w:color="auto" w:fill="FCFCFC"/>
          <w:lang w:eastAsia="en-GB"/>
        </w:rPr>
        <w:t>Paganino</w:t>
      </w:r>
      <w:proofErr w:type="spellEnd"/>
      <w:r w:rsidRPr="009D7635">
        <w:rPr>
          <w:rFonts w:ascii="Times New Roman" w:eastAsia="Times New Roman" w:hAnsi="Times New Roman" w:cs="Times New Roman"/>
          <w:color w:val="000000" w:themeColor="text1"/>
          <w:spacing w:val="2"/>
          <w:sz w:val="20"/>
          <w:szCs w:val="20"/>
          <w:shd w:val="clear" w:color="auto" w:fill="FCFCFC"/>
          <w:lang w:eastAsia="en-GB"/>
        </w:rPr>
        <w:t xml:space="preserve"> de Paganini, 1507; </w:t>
      </w:r>
      <w:proofErr w:type="spellStart"/>
      <w:r w:rsidRPr="009D7635">
        <w:rPr>
          <w:rFonts w:ascii="Times New Roman" w:eastAsia="Times New Roman" w:hAnsi="Times New Roman" w:cs="Times New Roman"/>
          <w:color w:val="000000" w:themeColor="text1"/>
          <w:spacing w:val="2"/>
          <w:sz w:val="20"/>
          <w:szCs w:val="20"/>
          <w:shd w:val="clear" w:color="auto" w:fill="FCFCFC"/>
          <w:lang w:eastAsia="en-GB"/>
        </w:rPr>
        <w:t>repr</w:t>
      </w:r>
      <w:proofErr w:type="spellEnd"/>
      <w:r w:rsidRPr="009D7635">
        <w:rPr>
          <w:rFonts w:ascii="Times New Roman" w:eastAsia="Times New Roman" w:hAnsi="Times New Roman" w:cs="Times New Roman"/>
          <w:color w:val="000000" w:themeColor="text1"/>
          <w:spacing w:val="2"/>
          <w:sz w:val="20"/>
          <w:szCs w:val="20"/>
          <w:shd w:val="clear" w:color="auto" w:fill="FCFCFC"/>
          <w:lang w:eastAsia="en-GB"/>
        </w:rPr>
        <w:t xml:space="preserve">. </w:t>
      </w:r>
      <w:proofErr w:type="spellStart"/>
      <w:r w:rsidRPr="009D7635">
        <w:rPr>
          <w:rFonts w:ascii="Times New Roman" w:eastAsia="Times New Roman" w:hAnsi="Times New Roman" w:cs="Times New Roman"/>
          <w:color w:val="000000" w:themeColor="text1"/>
          <w:spacing w:val="2"/>
          <w:sz w:val="20"/>
          <w:szCs w:val="20"/>
          <w:shd w:val="clear" w:color="auto" w:fill="FCFCFC"/>
          <w:lang w:eastAsia="en-GB"/>
        </w:rPr>
        <w:t>Olms</w:t>
      </w:r>
      <w:proofErr w:type="spellEnd"/>
      <w:r w:rsidRPr="009D7635">
        <w:rPr>
          <w:rFonts w:ascii="Times New Roman" w:eastAsia="Times New Roman" w:hAnsi="Times New Roman" w:cs="Times New Roman"/>
          <w:color w:val="000000" w:themeColor="text1"/>
          <w:spacing w:val="2"/>
          <w:sz w:val="20"/>
          <w:szCs w:val="20"/>
          <w:shd w:val="clear" w:color="auto" w:fill="FCFCFC"/>
          <w:lang w:eastAsia="en-GB"/>
        </w:rPr>
        <w:t xml:space="preserve"> </w:t>
      </w:r>
      <w:proofErr w:type="spellStart"/>
      <w:r w:rsidRPr="009D7635">
        <w:rPr>
          <w:rFonts w:ascii="Times New Roman" w:eastAsia="Times New Roman" w:hAnsi="Times New Roman" w:cs="Times New Roman"/>
          <w:color w:val="000000" w:themeColor="text1"/>
          <w:spacing w:val="2"/>
          <w:sz w:val="20"/>
          <w:szCs w:val="20"/>
          <w:shd w:val="clear" w:color="auto" w:fill="FCFCFC"/>
          <w:lang w:eastAsia="en-GB"/>
        </w:rPr>
        <w:t>Verlag</w:t>
      </w:r>
      <w:proofErr w:type="spellEnd"/>
      <w:r w:rsidRPr="009D7635">
        <w:rPr>
          <w:rFonts w:ascii="Times New Roman" w:eastAsia="Times New Roman" w:hAnsi="Times New Roman" w:cs="Times New Roman"/>
          <w:color w:val="000000" w:themeColor="text1"/>
          <w:spacing w:val="2"/>
          <w:sz w:val="20"/>
          <w:szCs w:val="20"/>
          <w:shd w:val="clear" w:color="auto" w:fill="FCFCFC"/>
          <w:lang w:eastAsia="en-GB"/>
        </w:rPr>
        <w:t>, Hildesheim, 2003)</w:t>
      </w:r>
      <w:r w:rsidR="008B6A81" w:rsidRPr="009D7635">
        <w:rPr>
          <w:rFonts w:ascii="Times New Roman" w:eastAsia="Times New Roman" w:hAnsi="Times New Roman" w:cs="Times New Roman"/>
          <w:color w:val="000000" w:themeColor="text1"/>
          <w:spacing w:val="2"/>
          <w:sz w:val="20"/>
          <w:szCs w:val="20"/>
          <w:shd w:val="clear" w:color="auto" w:fill="FCFCFC"/>
          <w:lang w:eastAsia="en-GB"/>
        </w:rPr>
        <w:t xml:space="preserve">. See also </w:t>
      </w:r>
      <w:r w:rsidR="008B6A81" w:rsidRPr="009D7635">
        <w:rPr>
          <w:rFonts w:ascii="Times New Roman" w:eastAsia="Times New Roman" w:hAnsi="Times New Roman" w:cs="Times New Roman"/>
          <w:i/>
          <w:iCs/>
          <w:color w:val="000000" w:themeColor="text1"/>
          <w:spacing w:val="2"/>
          <w:sz w:val="20"/>
          <w:szCs w:val="20"/>
          <w:shd w:val="clear" w:color="auto" w:fill="FCFCFC"/>
          <w:lang w:eastAsia="en-GB"/>
        </w:rPr>
        <w:t xml:space="preserve">Avicenna’s Medicine: A New Translation, </w:t>
      </w:r>
      <w:r w:rsidR="008B6A81" w:rsidRPr="009D7635">
        <w:rPr>
          <w:rFonts w:ascii="Times New Roman" w:eastAsia="Times New Roman" w:hAnsi="Times New Roman" w:cs="Times New Roman"/>
          <w:color w:val="000000" w:themeColor="text1"/>
          <w:spacing w:val="2"/>
          <w:sz w:val="20"/>
          <w:szCs w:val="20"/>
          <w:shd w:val="clear" w:color="auto" w:fill="FCFCFC"/>
          <w:lang w:eastAsia="en-GB"/>
        </w:rPr>
        <w:t xml:space="preserve">ed. </w:t>
      </w:r>
      <w:proofErr w:type="spellStart"/>
      <w:r w:rsidR="008B6A81" w:rsidRPr="009D7635">
        <w:rPr>
          <w:rFonts w:ascii="Times New Roman" w:eastAsia="Times New Roman" w:hAnsi="Times New Roman" w:cs="Times New Roman"/>
          <w:color w:val="000000" w:themeColor="text1"/>
          <w:spacing w:val="2"/>
          <w:sz w:val="20"/>
          <w:szCs w:val="20"/>
          <w:shd w:val="clear" w:color="auto" w:fill="FCFCFC"/>
          <w:lang w:eastAsia="en-GB"/>
        </w:rPr>
        <w:t>Mones</w:t>
      </w:r>
      <w:proofErr w:type="spellEnd"/>
      <w:r w:rsidR="008B6A81" w:rsidRPr="009D7635">
        <w:rPr>
          <w:rFonts w:ascii="Times New Roman" w:eastAsia="Times New Roman" w:hAnsi="Times New Roman" w:cs="Times New Roman"/>
          <w:color w:val="000000" w:themeColor="text1"/>
          <w:spacing w:val="2"/>
          <w:sz w:val="20"/>
          <w:szCs w:val="20"/>
          <w:shd w:val="clear" w:color="auto" w:fill="FCFCFC"/>
          <w:lang w:eastAsia="en-GB"/>
        </w:rPr>
        <w:t xml:space="preserve"> </w:t>
      </w:r>
      <w:proofErr w:type="spellStart"/>
      <w:r w:rsidR="008B6A81" w:rsidRPr="009D7635">
        <w:rPr>
          <w:rFonts w:ascii="Times New Roman" w:eastAsia="Times New Roman" w:hAnsi="Times New Roman" w:cs="Times New Roman"/>
          <w:color w:val="000000" w:themeColor="text1"/>
          <w:spacing w:val="2"/>
          <w:sz w:val="20"/>
          <w:szCs w:val="20"/>
          <w:shd w:val="clear" w:color="auto" w:fill="FCFCFC"/>
          <w:lang w:eastAsia="en-GB"/>
        </w:rPr>
        <w:t>Abu-Asab</w:t>
      </w:r>
      <w:proofErr w:type="spellEnd"/>
      <w:r w:rsidR="008B6A81" w:rsidRPr="009D7635">
        <w:rPr>
          <w:rFonts w:ascii="Times New Roman" w:eastAsia="Times New Roman" w:hAnsi="Times New Roman" w:cs="Times New Roman"/>
          <w:color w:val="000000" w:themeColor="text1"/>
          <w:spacing w:val="2"/>
          <w:sz w:val="20"/>
          <w:szCs w:val="20"/>
          <w:shd w:val="clear" w:color="auto" w:fill="FCFCFC"/>
          <w:lang w:eastAsia="en-GB"/>
        </w:rPr>
        <w:t xml:space="preserve">, </w:t>
      </w:r>
      <w:proofErr w:type="spellStart"/>
      <w:r w:rsidR="008B6A81" w:rsidRPr="009D7635">
        <w:rPr>
          <w:rFonts w:ascii="Times New Roman" w:eastAsia="Times New Roman" w:hAnsi="Times New Roman" w:cs="Times New Roman"/>
          <w:color w:val="000000" w:themeColor="text1"/>
          <w:spacing w:val="2"/>
          <w:sz w:val="20"/>
          <w:szCs w:val="20"/>
          <w:shd w:val="clear" w:color="auto" w:fill="FCFCFC"/>
          <w:lang w:eastAsia="en-GB"/>
        </w:rPr>
        <w:t>Hakima</w:t>
      </w:r>
      <w:proofErr w:type="spellEnd"/>
      <w:r w:rsidR="008B6A81" w:rsidRPr="009D7635">
        <w:rPr>
          <w:rFonts w:ascii="Times New Roman" w:eastAsia="Times New Roman" w:hAnsi="Times New Roman" w:cs="Times New Roman"/>
          <w:color w:val="000000" w:themeColor="text1"/>
          <w:spacing w:val="2"/>
          <w:sz w:val="20"/>
          <w:szCs w:val="20"/>
          <w:shd w:val="clear" w:color="auto" w:fill="FCFCFC"/>
          <w:lang w:eastAsia="en-GB"/>
        </w:rPr>
        <w:t xml:space="preserve"> </w:t>
      </w:r>
      <w:proofErr w:type="spellStart"/>
      <w:r w:rsidR="008B6A81" w:rsidRPr="009D7635">
        <w:rPr>
          <w:rFonts w:ascii="Times New Roman" w:eastAsia="Times New Roman" w:hAnsi="Times New Roman" w:cs="Times New Roman"/>
          <w:color w:val="000000" w:themeColor="text1"/>
          <w:spacing w:val="2"/>
          <w:sz w:val="20"/>
          <w:szCs w:val="20"/>
          <w:shd w:val="clear" w:color="auto" w:fill="FCFCFC"/>
          <w:lang w:eastAsia="en-GB"/>
        </w:rPr>
        <w:t>Amri</w:t>
      </w:r>
      <w:proofErr w:type="spellEnd"/>
      <w:r w:rsidR="008B6A81" w:rsidRPr="009D7635">
        <w:rPr>
          <w:rFonts w:ascii="Times New Roman" w:eastAsia="Times New Roman" w:hAnsi="Times New Roman" w:cs="Times New Roman"/>
          <w:color w:val="000000" w:themeColor="text1"/>
          <w:spacing w:val="2"/>
          <w:sz w:val="20"/>
          <w:szCs w:val="20"/>
          <w:shd w:val="clear" w:color="auto" w:fill="FCFCFC"/>
          <w:lang w:eastAsia="en-GB"/>
        </w:rPr>
        <w:t xml:space="preserve">, Marc S. </w:t>
      </w:r>
      <w:proofErr w:type="spellStart"/>
      <w:r w:rsidR="008B6A81" w:rsidRPr="009D7635">
        <w:rPr>
          <w:rFonts w:ascii="Times New Roman" w:eastAsia="Times New Roman" w:hAnsi="Times New Roman" w:cs="Times New Roman"/>
          <w:color w:val="000000" w:themeColor="text1"/>
          <w:spacing w:val="2"/>
          <w:sz w:val="20"/>
          <w:szCs w:val="20"/>
          <w:shd w:val="clear" w:color="auto" w:fill="FCFCFC"/>
          <w:lang w:eastAsia="en-GB"/>
        </w:rPr>
        <w:t>Micozzi</w:t>
      </w:r>
      <w:proofErr w:type="spellEnd"/>
      <w:r w:rsidR="008B6A81" w:rsidRPr="009D7635">
        <w:rPr>
          <w:rFonts w:ascii="Times New Roman" w:eastAsia="Times New Roman" w:hAnsi="Times New Roman" w:cs="Times New Roman"/>
          <w:color w:val="000000" w:themeColor="text1"/>
          <w:spacing w:val="2"/>
          <w:sz w:val="20"/>
          <w:szCs w:val="20"/>
          <w:shd w:val="clear" w:color="auto" w:fill="FCFCFC"/>
          <w:lang w:eastAsia="en-GB"/>
        </w:rPr>
        <w:t xml:space="preserve"> (</w:t>
      </w:r>
      <w:r w:rsidR="0040227A" w:rsidRPr="009D7635">
        <w:rPr>
          <w:rFonts w:ascii="Times New Roman" w:eastAsia="Times New Roman" w:hAnsi="Times New Roman" w:cs="Times New Roman"/>
          <w:color w:val="000000" w:themeColor="text1"/>
          <w:spacing w:val="2"/>
          <w:sz w:val="20"/>
          <w:szCs w:val="20"/>
          <w:shd w:val="clear" w:color="auto" w:fill="FCFCFC"/>
          <w:lang w:eastAsia="en-GB"/>
        </w:rPr>
        <w:t xml:space="preserve">Toronto: </w:t>
      </w:r>
      <w:r w:rsidR="008B6A81" w:rsidRPr="009D7635">
        <w:rPr>
          <w:rFonts w:ascii="Times New Roman" w:eastAsia="Times New Roman" w:hAnsi="Times New Roman" w:cs="Times New Roman"/>
          <w:color w:val="000000" w:themeColor="text1"/>
          <w:spacing w:val="2"/>
          <w:sz w:val="20"/>
          <w:szCs w:val="20"/>
          <w:shd w:val="clear" w:color="auto" w:fill="FCFCFC"/>
          <w:lang w:eastAsia="en-GB"/>
        </w:rPr>
        <w:t xml:space="preserve">Healing Arts Press, 2013). </w:t>
      </w:r>
    </w:p>
  </w:footnote>
  <w:footnote w:id="691">
    <w:p w14:paraId="25D53D0B" w14:textId="03BAB0F3" w:rsidR="00461B34" w:rsidRPr="009D7635" w:rsidRDefault="00461B34" w:rsidP="00461B34">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iCs/>
          <w:color w:val="000000" w:themeColor="text1"/>
          <w:lang w:val="en-US"/>
        </w:rPr>
        <w:t xml:space="preserve">104; cf. </w:t>
      </w:r>
      <w:r w:rsidRPr="009D7635">
        <w:rPr>
          <w:rFonts w:ascii="Times New Roman" w:hAnsi="Times New Roman" w:cs="Times New Roman"/>
          <w:color w:val="000000" w:themeColor="text1"/>
        </w:rPr>
        <w:t>‘</w:t>
      </w:r>
      <w:proofErr w:type="spellStart"/>
      <w:r w:rsidRPr="009D7635">
        <w:rPr>
          <w:rFonts w:ascii="Times New Roman" w:hAnsi="Times New Roman" w:cs="Times New Roman"/>
          <w:color w:val="000000" w:themeColor="text1"/>
        </w:rPr>
        <w:t>Johannicius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iCs/>
          <w:color w:val="000000" w:themeColor="text1"/>
        </w:rPr>
        <w:t>Isagoge</w:t>
      </w:r>
      <w:proofErr w:type="spellEnd"/>
      <w:r w:rsidRPr="009D7635">
        <w:rPr>
          <w:rFonts w:ascii="Times New Roman" w:hAnsi="Times New Roman" w:cs="Times New Roman"/>
          <w:i/>
          <w:iCs/>
          <w:color w:val="000000" w:themeColor="text1"/>
        </w:rPr>
        <w:t xml:space="preserve"> ad </w:t>
      </w:r>
      <w:proofErr w:type="spellStart"/>
      <w:r w:rsidRPr="009D7635">
        <w:rPr>
          <w:rFonts w:ascii="Times New Roman" w:hAnsi="Times New Roman" w:cs="Times New Roman"/>
          <w:i/>
          <w:iCs/>
          <w:color w:val="000000" w:themeColor="text1"/>
        </w:rPr>
        <w:t>Techne</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Galieni</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 xml:space="preserve">ed. Gregor </w:t>
      </w:r>
      <w:proofErr w:type="spellStart"/>
      <w:r w:rsidRPr="009D7635">
        <w:rPr>
          <w:rFonts w:ascii="Times New Roman" w:hAnsi="Times New Roman" w:cs="Times New Roman"/>
          <w:color w:val="000000" w:themeColor="text1"/>
        </w:rPr>
        <w:t>Maurach</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iCs/>
          <w:color w:val="000000" w:themeColor="text1"/>
        </w:rPr>
        <w:t>Sudhoffs</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Archiv</w:t>
      </w:r>
      <w:proofErr w:type="spellEnd"/>
      <w:r w:rsidRPr="009D7635">
        <w:rPr>
          <w:rFonts w:ascii="Times New Roman" w:hAnsi="Times New Roman" w:cs="Times New Roman"/>
          <w:color w:val="000000" w:themeColor="text1"/>
        </w:rPr>
        <w:t xml:space="preserve"> 62:2 (1978)</w:t>
      </w:r>
      <w:r w:rsidR="00BA74AF"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section 12, 153-4.</w:t>
      </w:r>
    </w:p>
  </w:footnote>
  <w:footnote w:id="692">
    <w:p w14:paraId="00938B18" w14:textId="77777777" w:rsidR="00461B34" w:rsidRPr="009D7635" w:rsidRDefault="00461B34" w:rsidP="00461B34">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Johannicius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iCs/>
          <w:color w:val="000000" w:themeColor="text1"/>
        </w:rPr>
        <w:t>Isagoge</w:t>
      </w:r>
      <w:proofErr w:type="spellEnd"/>
      <w:r w:rsidRPr="009D7635">
        <w:rPr>
          <w:rFonts w:ascii="Times New Roman" w:hAnsi="Times New Roman" w:cs="Times New Roman"/>
          <w:i/>
          <w:iCs/>
          <w:color w:val="000000" w:themeColor="text1"/>
        </w:rPr>
        <w:t xml:space="preserve"> ad </w:t>
      </w:r>
      <w:proofErr w:type="spellStart"/>
      <w:r w:rsidRPr="009D7635">
        <w:rPr>
          <w:rFonts w:ascii="Times New Roman" w:hAnsi="Times New Roman" w:cs="Times New Roman"/>
          <w:i/>
          <w:iCs/>
          <w:color w:val="000000" w:themeColor="text1"/>
        </w:rPr>
        <w:t>Techne</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Galieni</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section 14, 154.</w:t>
      </w:r>
    </w:p>
  </w:footnote>
  <w:footnote w:id="693">
    <w:p w14:paraId="374BBEC2" w14:textId="77777777" w:rsidR="00461B34" w:rsidRPr="009D7635" w:rsidRDefault="00461B34" w:rsidP="00461B34">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105. </w:t>
      </w:r>
      <w:proofErr w:type="spellStart"/>
      <w:r w:rsidRPr="009D7635">
        <w:rPr>
          <w:rFonts w:ascii="Times New Roman" w:hAnsi="Times New Roman" w:cs="Times New Roman"/>
          <w:color w:val="000000" w:themeColor="text1"/>
        </w:rPr>
        <w:t>Johannicius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iCs/>
          <w:color w:val="000000" w:themeColor="text1"/>
        </w:rPr>
        <w:t>Isagoge</w:t>
      </w:r>
      <w:proofErr w:type="spellEnd"/>
      <w:r w:rsidRPr="009D7635">
        <w:rPr>
          <w:rFonts w:ascii="Times New Roman" w:hAnsi="Times New Roman" w:cs="Times New Roman"/>
          <w:i/>
          <w:iCs/>
          <w:color w:val="000000" w:themeColor="text1"/>
        </w:rPr>
        <w:t xml:space="preserve"> ad </w:t>
      </w:r>
      <w:proofErr w:type="spellStart"/>
      <w:r w:rsidRPr="009D7635">
        <w:rPr>
          <w:rFonts w:ascii="Times New Roman" w:hAnsi="Times New Roman" w:cs="Times New Roman"/>
          <w:i/>
          <w:iCs/>
          <w:color w:val="000000" w:themeColor="text1"/>
        </w:rPr>
        <w:t>Techne</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Galieni</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section 15, 154.</w:t>
      </w:r>
    </w:p>
  </w:footnote>
  <w:footnote w:id="694">
    <w:p w14:paraId="6FE1E44D" w14:textId="0E52AD67" w:rsidR="00461B34" w:rsidRPr="009D7635" w:rsidRDefault="00461B34" w:rsidP="00461B34">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A74AF" w:rsidRPr="009D7635">
        <w:rPr>
          <w:rFonts w:ascii="Times New Roman" w:hAnsi="Times New Roman" w:cs="Times New Roman"/>
          <w:iCs/>
          <w:color w:val="000000" w:themeColor="text1"/>
        </w:rPr>
        <w:t>Ibid.,</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105-6. A</w:t>
      </w:r>
      <w:r w:rsidR="00BA74AF" w:rsidRPr="009D7635">
        <w:rPr>
          <w:rFonts w:ascii="Times New Roman" w:hAnsi="Times New Roman" w:cs="Times New Roman"/>
          <w:color w:val="000000" w:themeColor="text1"/>
        </w:rPr>
        <w:t>vicenna</w:t>
      </w:r>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Сanon</w:t>
      </w:r>
      <w:r w:rsidRPr="009D7635">
        <w:rPr>
          <w:rFonts w:ascii="Times New Roman" w:hAnsi="Times New Roman" w:cs="Times New Roman"/>
          <w:color w:val="000000" w:themeColor="text1"/>
        </w:rPr>
        <w:t xml:space="preserve">, Lib. I, fen 1, </w:t>
      </w:r>
      <w:proofErr w:type="spellStart"/>
      <w:r w:rsidRPr="009D7635">
        <w:rPr>
          <w:rFonts w:ascii="Times New Roman" w:hAnsi="Times New Roman" w:cs="Times New Roman"/>
          <w:color w:val="000000" w:themeColor="text1"/>
        </w:rPr>
        <w:t>doct</w:t>
      </w:r>
      <w:proofErr w:type="spellEnd"/>
      <w:r w:rsidRPr="009D7635">
        <w:rPr>
          <w:rFonts w:ascii="Times New Roman" w:hAnsi="Times New Roman" w:cs="Times New Roman"/>
          <w:color w:val="000000" w:themeColor="text1"/>
        </w:rPr>
        <w:t>. 6, cap. 4 (</w:t>
      </w:r>
      <w:proofErr w:type="spellStart"/>
      <w:r w:rsidRPr="009D7635">
        <w:rPr>
          <w:rFonts w:ascii="Times New Roman" w:hAnsi="Times New Roman" w:cs="Times New Roman"/>
          <w:color w:val="000000" w:themeColor="text1"/>
        </w:rPr>
        <w:t>22vb</w:t>
      </w:r>
      <w:proofErr w:type="spellEnd"/>
      <w:r w:rsidRPr="009D7635">
        <w:rPr>
          <w:rFonts w:ascii="Times New Roman" w:hAnsi="Times New Roman" w:cs="Times New Roman"/>
          <w:color w:val="000000" w:themeColor="text1"/>
        </w:rPr>
        <w:t>).</w:t>
      </w:r>
    </w:p>
  </w:footnote>
  <w:footnote w:id="695">
    <w:p w14:paraId="480062BF" w14:textId="4EBC6EEE" w:rsidR="00461B34" w:rsidRPr="009D7635" w:rsidRDefault="00461B34" w:rsidP="00461B34">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7C6820" w:rsidRPr="009D7635">
        <w:rPr>
          <w:rFonts w:ascii="Times New Roman" w:hAnsi="Times New Roman" w:cs="Times New Roman"/>
          <w:iCs/>
          <w:color w:val="000000" w:themeColor="text1"/>
        </w:rPr>
        <w:t>Ibid.,</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106-8.</w:t>
      </w:r>
    </w:p>
  </w:footnote>
  <w:footnote w:id="696">
    <w:p w14:paraId="51D90E21" w14:textId="1613F4DD" w:rsidR="00461B34" w:rsidRPr="009D7635" w:rsidRDefault="00461B34" w:rsidP="00461B34">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7C6820" w:rsidRPr="009D7635">
        <w:rPr>
          <w:rFonts w:ascii="Times New Roman" w:hAnsi="Times New Roman" w:cs="Times New Roman"/>
          <w:iCs/>
          <w:color w:val="000000" w:themeColor="text1"/>
        </w:rPr>
        <w:t>Ibid.,</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109-11. </w:t>
      </w:r>
    </w:p>
  </w:footnote>
  <w:footnote w:id="697">
    <w:p w14:paraId="397638E7" w14:textId="6D230A95"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7C6820" w:rsidRPr="009D7635">
        <w:rPr>
          <w:rFonts w:ascii="Times New Roman" w:hAnsi="Times New Roman" w:cs="Times New Roman"/>
          <w:iCs/>
          <w:color w:val="000000" w:themeColor="text1"/>
        </w:rPr>
        <w:t>Ibid.,</w:t>
      </w:r>
      <w:r w:rsidR="007C6820"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113.</w:t>
      </w:r>
    </w:p>
  </w:footnote>
  <w:footnote w:id="698">
    <w:p w14:paraId="0771C738" w14:textId="37A58B26"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7C6820" w:rsidRPr="009D7635">
        <w:rPr>
          <w:rFonts w:ascii="Times New Roman" w:hAnsi="Times New Roman" w:cs="Times New Roman"/>
          <w:iCs/>
          <w:color w:val="000000" w:themeColor="text1"/>
        </w:rPr>
        <w:t>Ibid.,</w:t>
      </w:r>
      <w:r w:rsidR="007C6820"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118-19, citing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Butyaert</w:t>
      </w:r>
      <w:proofErr w:type="spellEnd"/>
      <w:r w:rsidRPr="009D7635">
        <w:rPr>
          <w:rFonts w:ascii="Times New Roman" w:hAnsi="Times New Roman" w:cs="Times New Roman"/>
          <w:color w:val="000000" w:themeColor="text1"/>
        </w:rPr>
        <w:t>, 117.</w:t>
      </w:r>
    </w:p>
  </w:footnote>
  <w:footnote w:id="699">
    <w:p w14:paraId="32F465E5"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Butyaert</w:t>
      </w:r>
      <w:proofErr w:type="spellEnd"/>
      <w:r w:rsidRPr="009D7635">
        <w:rPr>
          <w:rFonts w:ascii="Times New Roman" w:hAnsi="Times New Roman" w:cs="Times New Roman"/>
          <w:color w:val="000000" w:themeColor="text1"/>
        </w:rPr>
        <w:t>, 123-4.</w:t>
      </w:r>
    </w:p>
  </w:footnote>
  <w:footnote w:id="700">
    <w:p w14:paraId="64F5BEA8"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color w:val="000000" w:themeColor="text1"/>
        </w:rPr>
        <w:t xml:space="preserve">, 113, citing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Butyaert</w:t>
      </w:r>
      <w:proofErr w:type="spellEnd"/>
      <w:r w:rsidRPr="009D7635">
        <w:rPr>
          <w:rFonts w:ascii="Times New Roman" w:hAnsi="Times New Roman" w:cs="Times New Roman"/>
          <w:color w:val="000000" w:themeColor="text1"/>
        </w:rPr>
        <w:t xml:space="preserve">, 134; cf.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197.</w:t>
      </w:r>
    </w:p>
  </w:footnote>
  <w:footnote w:id="701">
    <w:p w14:paraId="42A02346"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Butyaert</w:t>
      </w:r>
      <w:proofErr w:type="spellEnd"/>
      <w:r w:rsidRPr="009D7635">
        <w:rPr>
          <w:rFonts w:ascii="Times New Roman" w:hAnsi="Times New Roman" w:cs="Times New Roman"/>
          <w:color w:val="000000" w:themeColor="text1"/>
        </w:rPr>
        <w:t>, 134.</w:t>
      </w:r>
    </w:p>
  </w:footnote>
  <w:footnote w:id="702">
    <w:p w14:paraId="14761205" w14:textId="7FCB112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A1131B" w:rsidRPr="009D7635">
        <w:rPr>
          <w:rFonts w:ascii="Times New Roman" w:hAnsi="Times New Roman" w:cs="Times New Roman"/>
          <w:iCs/>
          <w:color w:val="000000" w:themeColor="text1"/>
        </w:rPr>
        <w:t>Ibid.,</w:t>
      </w:r>
      <w:r w:rsidR="00A1131B"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126-8.</w:t>
      </w:r>
    </w:p>
  </w:footnote>
  <w:footnote w:id="703">
    <w:p w14:paraId="109DF846"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color w:val="000000" w:themeColor="text1"/>
        </w:rPr>
        <w:t xml:space="preserve">, 114, citing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Butyaert</w:t>
      </w:r>
      <w:proofErr w:type="spellEnd"/>
      <w:r w:rsidRPr="009D7635">
        <w:rPr>
          <w:rFonts w:ascii="Times New Roman" w:hAnsi="Times New Roman" w:cs="Times New Roman"/>
          <w:color w:val="000000" w:themeColor="text1"/>
        </w:rPr>
        <w:t xml:space="preserve">, 124-5; cf.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200.</w:t>
      </w:r>
    </w:p>
  </w:footnote>
  <w:footnote w:id="704">
    <w:p w14:paraId="174A6096" w14:textId="2F28F204"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A1131B" w:rsidRPr="009D7635">
        <w:rPr>
          <w:rFonts w:ascii="Times New Roman" w:hAnsi="Times New Roman" w:cs="Times New Roman"/>
          <w:iCs/>
          <w:color w:val="000000" w:themeColor="text1"/>
          <w:sz w:val="20"/>
          <w:szCs w:val="20"/>
        </w:rPr>
        <w:t>Ibid.,</w:t>
      </w:r>
      <w:r w:rsidR="00A1131B"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citing </w:t>
      </w:r>
      <w:r w:rsidRPr="009D7635">
        <w:rPr>
          <w:rFonts w:ascii="Times New Roman" w:hAnsi="Times New Roman" w:cs="Times New Roman"/>
          <w:i/>
          <w:color w:val="000000" w:themeColor="text1"/>
          <w:sz w:val="20"/>
          <w:szCs w:val="20"/>
        </w:rPr>
        <w:t xml:space="preserve">De fide </w:t>
      </w:r>
      <w:proofErr w:type="spellStart"/>
      <w:r w:rsidRPr="009D7635">
        <w:rPr>
          <w:rFonts w:ascii="Times New Roman" w:hAnsi="Times New Roman" w:cs="Times New Roman"/>
          <w:i/>
          <w:color w:val="000000" w:themeColor="text1"/>
          <w:sz w:val="20"/>
          <w:szCs w:val="20"/>
        </w:rPr>
        <w:t>orthodoxa</w:t>
      </w:r>
      <w:proofErr w:type="spellEnd"/>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ed. </w:t>
      </w:r>
      <w:proofErr w:type="spellStart"/>
      <w:r w:rsidRPr="009D7635">
        <w:rPr>
          <w:rFonts w:ascii="Times New Roman" w:hAnsi="Times New Roman" w:cs="Times New Roman"/>
          <w:color w:val="000000" w:themeColor="text1"/>
          <w:sz w:val="20"/>
          <w:szCs w:val="20"/>
        </w:rPr>
        <w:t>Butyaert</w:t>
      </w:r>
      <w:proofErr w:type="spellEnd"/>
      <w:r w:rsidRPr="009D7635">
        <w:rPr>
          <w:rFonts w:ascii="Times New Roman" w:hAnsi="Times New Roman" w:cs="Times New Roman"/>
          <w:color w:val="000000" w:themeColor="text1"/>
          <w:sz w:val="20"/>
          <w:szCs w:val="20"/>
        </w:rPr>
        <w:t xml:space="preserve">, 125 and DSEA 22. </w:t>
      </w:r>
    </w:p>
  </w:footnote>
  <w:footnote w:id="705">
    <w:p w14:paraId="1B681517" w14:textId="114702BE"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A1131B" w:rsidRPr="009D7635">
        <w:rPr>
          <w:rFonts w:ascii="Times New Roman" w:hAnsi="Times New Roman" w:cs="Times New Roman"/>
          <w:iCs/>
          <w:color w:val="000000" w:themeColor="text1"/>
        </w:rPr>
        <w:t>Ibid.</w:t>
      </w:r>
    </w:p>
  </w:footnote>
  <w:footnote w:id="706">
    <w:p w14:paraId="02FDC87C"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Butyaert</w:t>
      </w:r>
      <w:proofErr w:type="spellEnd"/>
      <w:r w:rsidRPr="009D7635">
        <w:rPr>
          <w:rFonts w:ascii="Times New Roman" w:hAnsi="Times New Roman" w:cs="Times New Roman"/>
          <w:color w:val="000000" w:themeColor="text1"/>
        </w:rPr>
        <w:t xml:space="preserve">, 129; cf.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201.</w:t>
      </w:r>
    </w:p>
  </w:footnote>
  <w:footnote w:id="707">
    <w:p w14:paraId="5D00E834" w14:textId="7777777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color w:val="000000" w:themeColor="text1"/>
          <w:sz w:val="20"/>
          <w:szCs w:val="20"/>
        </w:rPr>
        <w:t xml:space="preserve">, 115: </w:t>
      </w:r>
      <w:r w:rsidRPr="009D7635">
        <w:rPr>
          <w:rFonts w:ascii="Times New Roman" w:hAnsi="Times New Roman" w:cs="Times New Roman"/>
          <w:i/>
          <w:color w:val="000000" w:themeColor="text1"/>
          <w:sz w:val="20"/>
          <w:szCs w:val="20"/>
          <w:lang w:val="en-US"/>
        </w:rPr>
        <w:t xml:space="preserve">Circa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notandum</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exterior </w:t>
      </w:r>
      <w:proofErr w:type="spellStart"/>
      <w:r w:rsidRPr="009D7635">
        <w:rPr>
          <w:rFonts w:ascii="Times New Roman" w:hAnsi="Times New Roman" w:cs="Times New Roman"/>
          <w:i/>
          <w:color w:val="000000" w:themeColor="text1"/>
          <w:sz w:val="20"/>
          <w:szCs w:val="20"/>
          <w:lang w:val="en-US"/>
        </w:rPr>
        <w:t>comprehendit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speciem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presentem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simplicem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ymaginatiua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comprehendit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absentem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simplicem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Excogitatio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opinio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iudicat</w:t>
      </w:r>
      <w:proofErr w:type="spellEnd"/>
      <w:r w:rsidRPr="009D7635">
        <w:rPr>
          <w:rFonts w:ascii="Times New Roman" w:hAnsi="Times New Roman" w:cs="Times New Roman"/>
          <w:i/>
          <w:color w:val="000000" w:themeColor="text1"/>
          <w:sz w:val="20"/>
          <w:szCs w:val="20"/>
          <w:lang w:val="en-US"/>
        </w:rPr>
        <w:t xml:space="preserve"> de ea.</w:t>
      </w:r>
    </w:p>
  </w:footnote>
  <w:footnote w:id="708">
    <w:p w14:paraId="06D904B6" w14:textId="614F09AC"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242B6A" w:rsidRPr="009D7635">
        <w:rPr>
          <w:rFonts w:ascii="Times New Roman" w:hAnsi="Times New Roman" w:cs="Times New Roman"/>
          <w:iCs/>
          <w:color w:val="000000" w:themeColor="text1"/>
        </w:rPr>
        <w:t>Ibid.</w:t>
      </w:r>
      <w:r w:rsidRPr="009D7635">
        <w:rPr>
          <w:rFonts w:ascii="Times New Roman" w:hAnsi="Times New Roman" w:cs="Times New Roman"/>
          <w:color w:val="000000" w:themeColor="text1"/>
        </w:rPr>
        <w:t xml:space="preserve">, citing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Butyaert</w:t>
      </w:r>
      <w:proofErr w:type="spellEnd"/>
      <w:r w:rsidRPr="009D7635">
        <w:rPr>
          <w:rFonts w:ascii="Times New Roman" w:hAnsi="Times New Roman" w:cs="Times New Roman"/>
          <w:color w:val="000000" w:themeColor="text1"/>
        </w:rPr>
        <w:t xml:space="preserve">, 131; cf.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201-2.</w:t>
      </w:r>
    </w:p>
  </w:footnote>
  <w:footnote w:id="709">
    <w:p w14:paraId="4E968139" w14:textId="13F5EC61"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C73237" w:rsidRPr="009D7635">
        <w:rPr>
          <w:rFonts w:ascii="Times New Roman" w:hAnsi="Times New Roman" w:cs="Times New Roman"/>
          <w:iCs/>
          <w:color w:val="000000" w:themeColor="text1"/>
          <w:sz w:val="20"/>
          <w:szCs w:val="20"/>
        </w:rPr>
        <w:t>Ibid.,</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132, quoting DSEA 23: </w:t>
      </w:r>
      <w:proofErr w:type="spellStart"/>
      <w:r w:rsidRPr="009D7635">
        <w:rPr>
          <w:rFonts w:ascii="Times New Roman" w:hAnsi="Times New Roman" w:cs="Times New Roman"/>
          <w:i/>
          <w:color w:val="000000" w:themeColor="text1"/>
          <w:sz w:val="20"/>
          <w:szCs w:val="20"/>
          <w:lang w:val="en-US"/>
        </w:rPr>
        <w:t>Memoria</w:t>
      </w:r>
      <w:proofErr w:type="spellEnd"/>
      <w:r w:rsidRPr="009D7635">
        <w:rPr>
          <w:rFonts w:ascii="Times New Roman" w:hAnsi="Times New Roman" w:cs="Times New Roman"/>
          <w:i/>
          <w:color w:val="000000" w:themeColor="text1"/>
          <w:sz w:val="20"/>
          <w:szCs w:val="20"/>
          <w:lang w:val="en-US"/>
        </w:rPr>
        <w:t xml:space="preserve"> triplex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dictum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superius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memoria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quedam</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conseruatiua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specierum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communis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nobis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brutis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alia </w:t>
      </w:r>
      <w:proofErr w:type="spellStart"/>
      <w:r w:rsidRPr="009D7635">
        <w:rPr>
          <w:rFonts w:ascii="Times New Roman" w:hAnsi="Times New Roman" w:cs="Times New Roman"/>
          <w:i/>
          <w:color w:val="000000" w:themeColor="text1"/>
          <w:sz w:val="20"/>
          <w:szCs w:val="20"/>
          <w:lang w:val="en-US"/>
        </w:rPr>
        <w:t>memoria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conseruatiua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specierum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tantum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nobis</w:t>
      </w:r>
      <w:proofErr w:type="spellEnd"/>
      <w:r w:rsidRPr="009D7635">
        <w:rPr>
          <w:rFonts w:ascii="Times New Roman" w:hAnsi="Times New Roman" w:cs="Times New Roman"/>
          <w:i/>
          <w:color w:val="000000" w:themeColor="text1"/>
          <w:sz w:val="20"/>
          <w:szCs w:val="20"/>
          <w:lang w:val="en-US"/>
        </w:rPr>
        <w:t xml:space="preserve">; angelus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cognoscit</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receptionem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specierum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iterum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memoria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quedam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conseruatiua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diuine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similitudinis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hec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communis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nobis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angelis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Memorative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id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tantum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nobis</w:t>
      </w:r>
      <w:proofErr w:type="spellEnd"/>
      <w:r w:rsidRPr="009D7635">
        <w:rPr>
          <w:rFonts w:ascii="Times New Roman" w:hAnsi="Times New Roman" w:cs="Times New Roman"/>
          <w:i/>
          <w:color w:val="000000" w:themeColor="text1"/>
          <w:sz w:val="20"/>
          <w:szCs w:val="20"/>
          <w:lang w:val="en-US"/>
        </w:rPr>
        <w:t xml:space="preserve">, triplex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Primus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species </w:t>
      </w:r>
      <w:proofErr w:type="spellStart"/>
      <w:r w:rsidRPr="009D7635">
        <w:rPr>
          <w:rFonts w:ascii="Times New Roman" w:hAnsi="Times New Roman" w:cs="Times New Roman"/>
          <w:i/>
          <w:color w:val="000000" w:themeColor="text1"/>
          <w:sz w:val="20"/>
          <w:szCs w:val="20"/>
          <w:lang w:val="en-US"/>
        </w:rPr>
        <w:t>intelligibiles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retinere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easdem</w:t>
      </w:r>
      <w:proofErr w:type="spellEnd"/>
      <w:r w:rsidRPr="009D7635">
        <w:rPr>
          <w:rFonts w:ascii="Times New Roman" w:hAnsi="Times New Roman" w:cs="Times New Roman"/>
          <w:i/>
          <w:color w:val="000000" w:themeColor="text1"/>
          <w:sz w:val="20"/>
          <w:szCs w:val="20"/>
          <w:lang w:val="en-US"/>
        </w:rPr>
        <w:t xml:space="preserve"> species </w:t>
      </w:r>
      <w:proofErr w:type="spellStart"/>
      <w:r w:rsidRPr="009D7635">
        <w:rPr>
          <w:rFonts w:ascii="Times New Roman" w:hAnsi="Times New Roman" w:cs="Times New Roman"/>
          <w:i/>
          <w:color w:val="000000" w:themeColor="text1"/>
          <w:sz w:val="20"/>
          <w:szCs w:val="20"/>
          <w:lang w:val="en-US"/>
        </w:rPr>
        <w:t>representare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tertius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amissas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oblitas</w:t>
      </w:r>
      <w:proofErr w:type="spellEnd"/>
      <w:r w:rsidRPr="009D7635">
        <w:rPr>
          <w:rFonts w:ascii="Times New Roman" w:hAnsi="Times New Roman" w:cs="Times New Roman"/>
          <w:i/>
          <w:color w:val="000000" w:themeColor="text1"/>
          <w:sz w:val="20"/>
          <w:szCs w:val="20"/>
          <w:lang w:val="en-US"/>
        </w:rPr>
        <w:t xml:space="preserve"> species </w:t>
      </w:r>
      <w:proofErr w:type="spellStart"/>
      <w:r w:rsidRPr="009D7635">
        <w:rPr>
          <w:rFonts w:ascii="Times New Roman" w:hAnsi="Times New Roman" w:cs="Times New Roman"/>
          <w:i/>
          <w:color w:val="000000" w:themeColor="text1"/>
          <w:sz w:val="20"/>
          <w:szCs w:val="20"/>
          <w:lang w:val="en-US"/>
        </w:rPr>
        <w:t>reparare</w:t>
      </w:r>
      <w:proofErr w:type="spellEnd"/>
      <w:r w:rsidRPr="009D7635">
        <w:rPr>
          <w:rFonts w:ascii="Times New Roman" w:hAnsi="Times New Roman" w:cs="Times New Roman"/>
          <w:i/>
          <w:color w:val="000000" w:themeColor="text1"/>
          <w:sz w:val="20"/>
          <w:szCs w:val="20"/>
          <w:lang w:val="en-US"/>
        </w:rPr>
        <w:t xml:space="preserve"> et hoc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reminisci</w:t>
      </w:r>
      <w:proofErr w:type="spellEnd"/>
      <w:r w:rsidRPr="009D7635">
        <w:rPr>
          <w:rFonts w:ascii="Times New Roman" w:hAnsi="Times New Roman" w:cs="Times New Roman"/>
          <w:i/>
          <w:color w:val="000000" w:themeColor="text1"/>
          <w:sz w:val="20"/>
          <w:szCs w:val="20"/>
          <w:lang w:val="en-US"/>
        </w:rPr>
        <w:t>.</w:t>
      </w:r>
    </w:p>
  </w:footnote>
  <w:footnote w:id="710">
    <w:p w14:paraId="7EE85001" w14:textId="2B277955"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C73237" w:rsidRPr="009D7635">
        <w:rPr>
          <w:rFonts w:ascii="Times New Roman" w:hAnsi="Times New Roman" w:cs="Times New Roman"/>
          <w:iCs/>
          <w:color w:val="000000" w:themeColor="text1"/>
        </w:rPr>
        <w:t>Ibid.,</w:t>
      </w:r>
      <w:r w:rsidR="00C73237"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116.</w:t>
      </w:r>
    </w:p>
  </w:footnote>
  <w:footnote w:id="711">
    <w:p w14:paraId="31523093" w14:textId="0BD7515B"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C73237" w:rsidRPr="009D7635">
        <w:rPr>
          <w:rFonts w:ascii="Times New Roman" w:hAnsi="Times New Roman" w:cs="Times New Roman"/>
          <w:iCs/>
          <w:color w:val="000000" w:themeColor="text1"/>
        </w:rPr>
        <w:t>Ibid.,</w:t>
      </w:r>
      <w:r w:rsidR="00C73237"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122; cf.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189.</w:t>
      </w:r>
    </w:p>
  </w:footnote>
  <w:footnote w:id="712">
    <w:p w14:paraId="391E34C5" w14:textId="6809636F"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C73237" w:rsidRPr="009D7635">
        <w:rPr>
          <w:rFonts w:ascii="Times New Roman" w:hAnsi="Times New Roman" w:cs="Times New Roman"/>
          <w:iCs/>
          <w:color w:val="000000" w:themeColor="text1"/>
        </w:rPr>
        <w:t>Ibid.,</w:t>
      </w:r>
      <w:r w:rsidRPr="009D7635">
        <w:rPr>
          <w:rFonts w:ascii="Times New Roman" w:hAnsi="Times New Roman" w:cs="Times New Roman"/>
          <w:color w:val="000000" w:themeColor="text1"/>
        </w:rPr>
        <w:t xml:space="preserve"> 123, citing DSEA 22. </w:t>
      </w:r>
    </w:p>
  </w:footnote>
  <w:footnote w:id="713">
    <w:p w14:paraId="56DB3A57" w14:textId="6FEA24BA"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C73237" w:rsidRPr="009D7635">
        <w:rPr>
          <w:rFonts w:ascii="Times New Roman" w:hAnsi="Times New Roman" w:cs="Times New Roman"/>
          <w:iCs/>
          <w:color w:val="000000" w:themeColor="text1"/>
        </w:rPr>
        <w:t>Ibid.,</w:t>
      </w:r>
      <w:r w:rsidRPr="009D7635">
        <w:rPr>
          <w:rFonts w:ascii="Times New Roman" w:hAnsi="Times New Roman" w:cs="Times New Roman"/>
          <w:color w:val="000000" w:themeColor="text1"/>
        </w:rPr>
        <w:t xml:space="preserve"> 124; cf.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191-2.</w:t>
      </w:r>
    </w:p>
  </w:footnote>
  <w:footnote w:id="714">
    <w:p w14:paraId="3359EE1A"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192.</w:t>
      </w:r>
    </w:p>
  </w:footnote>
  <w:footnote w:id="715">
    <w:p w14:paraId="1C1034C3"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color w:val="000000" w:themeColor="text1"/>
        </w:rPr>
        <w:t xml:space="preserve">, 125; cf.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194.</w:t>
      </w:r>
    </w:p>
  </w:footnote>
  <w:footnote w:id="716">
    <w:p w14:paraId="34C4E419"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color w:val="000000" w:themeColor="text1"/>
        </w:rPr>
        <w:t xml:space="preserve">, 129. Bernard </w:t>
      </w:r>
      <w:proofErr w:type="spellStart"/>
      <w:r w:rsidRPr="009D7635">
        <w:rPr>
          <w:rFonts w:ascii="Times New Roman" w:hAnsi="Times New Roman" w:cs="Times New Roman"/>
          <w:color w:val="000000" w:themeColor="text1"/>
        </w:rPr>
        <w:t>McGinn</w:t>
      </w:r>
      <w:proofErr w:type="spellEnd"/>
      <w:r w:rsidRPr="009D7635">
        <w:rPr>
          <w:rFonts w:ascii="Times New Roman" w:hAnsi="Times New Roman" w:cs="Times New Roman"/>
          <w:color w:val="000000" w:themeColor="text1"/>
        </w:rPr>
        <w:t xml:space="preserve">, ‘Introduction,’ in </w:t>
      </w:r>
      <w:r w:rsidRPr="009D7635">
        <w:rPr>
          <w:rFonts w:ascii="Times New Roman" w:hAnsi="Times New Roman" w:cs="Times New Roman"/>
          <w:i/>
          <w:color w:val="000000" w:themeColor="text1"/>
        </w:rPr>
        <w:t>Three Treatises on Man</w:t>
      </w:r>
      <w:r w:rsidRPr="009D7635">
        <w:rPr>
          <w:rFonts w:ascii="Times New Roman" w:hAnsi="Times New Roman" w:cs="Times New Roman"/>
          <w:iCs/>
          <w:color w:val="000000" w:themeColor="text1"/>
        </w:rPr>
        <w:t>, 54</w:t>
      </w:r>
      <w:r w:rsidRPr="009D7635">
        <w:rPr>
          <w:rFonts w:ascii="Times New Roman" w:hAnsi="Times New Roman" w:cs="Times New Roman"/>
          <w:color w:val="000000" w:themeColor="text1"/>
        </w:rPr>
        <w:t>.</w:t>
      </w:r>
    </w:p>
  </w:footnote>
  <w:footnote w:id="717">
    <w:p w14:paraId="006F62F6"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 </w:t>
      </w:r>
      <w:proofErr w:type="spellStart"/>
      <w:r w:rsidRPr="009D7635">
        <w:rPr>
          <w:rFonts w:ascii="Times New Roman" w:hAnsi="Times New Roman" w:cs="Times New Roman"/>
          <w:color w:val="000000" w:themeColor="text1"/>
        </w:rPr>
        <w:t>McGinn</w:t>
      </w:r>
      <w:proofErr w:type="spellEnd"/>
      <w:r w:rsidRPr="009D7635">
        <w:rPr>
          <w:rFonts w:ascii="Times New Roman" w:hAnsi="Times New Roman" w:cs="Times New Roman"/>
          <w:color w:val="000000" w:themeColor="text1"/>
        </w:rPr>
        <w:t xml:space="preserve">, ‘Introduction,’ in </w:t>
      </w:r>
      <w:r w:rsidRPr="009D7635">
        <w:rPr>
          <w:rFonts w:ascii="Times New Roman" w:hAnsi="Times New Roman" w:cs="Times New Roman"/>
          <w:i/>
          <w:color w:val="000000" w:themeColor="text1"/>
        </w:rPr>
        <w:t>Three Treatises on Man</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55.</w:t>
      </w:r>
    </w:p>
  </w:footnote>
  <w:footnote w:id="718">
    <w:p w14:paraId="4C341C9B"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205.</w:t>
      </w:r>
    </w:p>
  </w:footnote>
  <w:footnote w:id="719">
    <w:p w14:paraId="063A4AB8" w14:textId="46DFDC3C"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Cf. DSEA 23: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194: </w:t>
      </w:r>
      <w:proofErr w:type="spellStart"/>
      <w:r w:rsidRPr="009D7635">
        <w:rPr>
          <w:rFonts w:ascii="Times New Roman" w:hAnsi="Times New Roman" w:cs="Times New Roman"/>
          <w:i/>
          <w:color w:val="000000" w:themeColor="text1"/>
        </w:rPr>
        <w:t>Sensus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sicut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dicit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Augustinus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illa</w:t>
      </w:r>
      <w:proofErr w:type="spellEnd"/>
      <w:r w:rsidRPr="009D7635">
        <w:rPr>
          <w:rFonts w:ascii="Times New Roman" w:hAnsi="Times New Roman" w:cs="Times New Roman"/>
          <w:i/>
          <w:color w:val="000000" w:themeColor="text1"/>
        </w:rPr>
        <w:t xml:space="preserve"> vis anime </w:t>
      </w:r>
      <w:proofErr w:type="spellStart"/>
      <w:r w:rsidRPr="009D7635">
        <w:rPr>
          <w:rFonts w:ascii="Times New Roman" w:hAnsi="Times New Roman" w:cs="Times New Roman"/>
          <w:i/>
          <w:color w:val="000000" w:themeColor="text1"/>
        </w:rPr>
        <w:t>que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rerum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corporearum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corporeas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percipit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formas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presentes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ymaginacio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vero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vis anime </w:t>
      </w:r>
      <w:proofErr w:type="spellStart"/>
      <w:r w:rsidRPr="009D7635">
        <w:rPr>
          <w:rFonts w:ascii="Times New Roman" w:hAnsi="Times New Roman" w:cs="Times New Roman"/>
          <w:i/>
          <w:color w:val="000000" w:themeColor="text1"/>
        </w:rPr>
        <w:t>que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rerum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corporearum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percipit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formas</w:t>
      </w:r>
      <w:proofErr w:type="spellEnd"/>
      <w:r w:rsidRPr="009D7635">
        <w:rPr>
          <w:rFonts w:ascii="Times New Roman" w:hAnsi="Times New Roman" w:cs="Times New Roman"/>
          <w:i/>
          <w:color w:val="000000" w:themeColor="text1"/>
        </w:rPr>
        <w:t xml:space="preserve">, sed </w:t>
      </w:r>
      <w:proofErr w:type="spellStart"/>
      <w:r w:rsidRPr="009D7635">
        <w:rPr>
          <w:rFonts w:ascii="Times New Roman" w:hAnsi="Times New Roman" w:cs="Times New Roman"/>
          <w:i/>
          <w:color w:val="000000" w:themeColor="text1"/>
        </w:rPr>
        <w:t>absentes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sensus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namque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formas</w:t>
      </w:r>
      <w:proofErr w:type="spellEnd"/>
      <w:r w:rsidRPr="009D7635">
        <w:rPr>
          <w:rFonts w:ascii="Times New Roman" w:hAnsi="Times New Roman" w:cs="Times New Roman"/>
          <w:i/>
          <w:color w:val="000000" w:themeColor="text1"/>
        </w:rPr>
        <w:t xml:space="preserve"> in </w:t>
      </w:r>
      <w:proofErr w:type="spellStart"/>
      <w:r w:rsidRPr="009D7635">
        <w:rPr>
          <w:rFonts w:ascii="Times New Roman" w:hAnsi="Times New Roman" w:cs="Times New Roman"/>
          <w:i/>
          <w:color w:val="000000" w:themeColor="text1"/>
        </w:rPr>
        <w:t>materia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percipit</w:t>
      </w:r>
      <w:proofErr w:type="spellEnd"/>
      <w:r w:rsidRPr="009D7635">
        <w:rPr>
          <w:rFonts w:ascii="Times New Roman" w:hAnsi="Times New Roman" w:cs="Times New Roman"/>
          <w:i/>
          <w:color w:val="000000" w:themeColor="text1"/>
        </w:rPr>
        <w:t xml:space="preserve">, sed </w:t>
      </w:r>
      <w:proofErr w:type="spellStart"/>
      <w:r w:rsidRPr="009D7635">
        <w:rPr>
          <w:rFonts w:ascii="Times New Roman" w:hAnsi="Times New Roman" w:cs="Times New Roman"/>
          <w:i/>
          <w:color w:val="000000" w:themeColor="text1"/>
        </w:rPr>
        <w:t>ymaginacio</w:t>
      </w:r>
      <w:proofErr w:type="spellEnd"/>
      <w:r w:rsidRPr="009D7635">
        <w:rPr>
          <w:rFonts w:ascii="Times New Roman" w:hAnsi="Times New Roman" w:cs="Times New Roman"/>
          <w:i/>
          <w:color w:val="000000" w:themeColor="text1"/>
        </w:rPr>
        <w:t xml:space="preserve"> extra </w:t>
      </w:r>
      <w:proofErr w:type="spellStart"/>
      <w:r w:rsidRPr="009D7635">
        <w:rPr>
          <w:rFonts w:ascii="Times New Roman" w:hAnsi="Times New Roman" w:cs="Times New Roman"/>
          <w:i/>
          <w:color w:val="000000" w:themeColor="text1"/>
        </w:rPr>
        <w:t>materiam</w:t>
      </w:r>
      <w:proofErr w:type="spellEnd"/>
      <w:r w:rsidRPr="009D7635">
        <w:rPr>
          <w:rFonts w:ascii="Times New Roman" w:hAnsi="Times New Roman" w:cs="Times New Roman"/>
          <w:i/>
          <w:color w:val="000000" w:themeColor="text1"/>
        </w:rPr>
        <w:t>.</w:t>
      </w:r>
    </w:p>
  </w:footnote>
  <w:footnote w:id="720">
    <w:p w14:paraId="05511CB6" w14:textId="77777777" w:rsidR="00B93ED5" w:rsidRPr="009D7635" w:rsidRDefault="00B93ED5" w:rsidP="00E212D3">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193. According to the </w:t>
      </w:r>
      <w:r w:rsidRPr="009D7635">
        <w:rPr>
          <w:rFonts w:ascii="Times New Roman" w:hAnsi="Times New Roman" w:cs="Times New Roman"/>
          <w:i/>
          <w:color w:val="000000" w:themeColor="text1"/>
        </w:rPr>
        <w:t xml:space="preserve">Summa, </w:t>
      </w:r>
      <w:r w:rsidRPr="009D7635">
        <w:rPr>
          <w:rFonts w:ascii="Times New Roman" w:hAnsi="Times New Roman" w:cs="Times New Roman"/>
          <w:color w:val="000000" w:themeColor="text1"/>
          <w:kern w:val="1"/>
          <w:lang w:val="en-US"/>
        </w:rPr>
        <w:t>this faculty is infallible. Either it thinks of things that are true, or it does not think at all. By contrast, the external senses can be mistaken; we can perceive something from afar for instance as something that it is not; our senses can mislead us. The spiritual vision sometimes fails, and sometimes it does not. It depends upon the quality of the input it receives from the external senses. Since the spiritual power can remember images after the objects of sensation are gone, it can also conjure up or combine images of things that are not actually the case.</w:t>
      </w:r>
    </w:p>
  </w:footnote>
  <w:footnote w:id="721">
    <w:p w14:paraId="13C71782" w14:textId="7B72BFFB" w:rsidR="00B93ED5" w:rsidRPr="009D7635" w:rsidRDefault="00B93ED5" w:rsidP="00E212D3">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194: </w:t>
      </w:r>
      <w:proofErr w:type="spellStart"/>
      <w:r w:rsidRPr="009D7635">
        <w:rPr>
          <w:rFonts w:ascii="Times New Roman" w:hAnsi="Times New Roman" w:cs="Times New Roman"/>
          <w:i/>
          <w:color w:val="000000" w:themeColor="text1"/>
        </w:rPr>
        <w:t>Racio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vero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ea</w:t>
      </w:r>
      <w:proofErr w:type="spellEnd"/>
      <w:r w:rsidRPr="009D7635">
        <w:rPr>
          <w:rFonts w:ascii="Times New Roman" w:hAnsi="Times New Roman" w:cs="Times New Roman"/>
          <w:i/>
          <w:color w:val="000000" w:themeColor="text1"/>
        </w:rPr>
        <w:t xml:space="preserve"> vis anime </w:t>
      </w:r>
      <w:proofErr w:type="spellStart"/>
      <w:r w:rsidRPr="009D7635">
        <w:rPr>
          <w:rFonts w:ascii="Times New Roman" w:hAnsi="Times New Roman" w:cs="Times New Roman"/>
          <w:i/>
          <w:color w:val="000000" w:themeColor="text1"/>
        </w:rPr>
        <w:t>que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rerum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corporearum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naturas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formas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differencias</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propria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accidencia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percipit</w:t>
      </w:r>
      <w:proofErr w:type="spellEnd"/>
      <w:r w:rsidRPr="009D7635">
        <w:rPr>
          <w:rFonts w:ascii="Times New Roman" w:hAnsi="Times New Roman" w:cs="Times New Roman"/>
          <w:i/>
          <w:color w:val="000000" w:themeColor="text1"/>
        </w:rPr>
        <w:t xml:space="preserve">, scilicet </w:t>
      </w:r>
      <w:proofErr w:type="spellStart"/>
      <w:r w:rsidRPr="009D7635">
        <w:rPr>
          <w:rFonts w:ascii="Times New Roman" w:hAnsi="Times New Roman" w:cs="Times New Roman"/>
          <w:i/>
          <w:color w:val="000000" w:themeColor="text1"/>
        </w:rPr>
        <w:t>universalia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omnia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incorporea</w:t>
      </w:r>
      <w:proofErr w:type="spellEnd"/>
      <w:r w:rsidRPr="009D7635">
        <w:rPr>
          <w:rFonts w:ascii="Times New Roman" w:hAnsi="Times New Roman" w:cs="Times New Roman"/>
          <w:i/>
          <w:color w:val="000000" w:themeColor="text1"/>
        </w:rPr>
        <w:t xml:space="preserve"> sed non extra corpus </w:t>
      </w:r>
      <w:proofErr w:type="spellStart"/>
      <w:r w:rsidRPr="009D7635">
        <w:rPr>
          <w:rFonts w:ascii="Times New Roman" w:hAnsi="Times New Roman" w:cs="Times New Roman"/>
          <w:i/>
          <w:color w:val="000000" w:themeColor="text1"/>
        </w:rPr>
        <w:t>nisi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racione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subsistencie</w:t>
      </w:r>
      <w:proofErr w:type="spellEnd"/>
      <w:r w:rsidRPr="009D7635">
        <w:rPr>
          <w:rFonts w:ascii="Times New Roman" w:hAnsi="Times New Roman" w:cs="Times New Roman"/>
          <w:i/>
          <w:color w:val="000000" w:themeColor="text1"/>
        </w:rPr>
        <w:t>.</w:t>
      </w:r>
    </w:p>
  </w:footnote>
  <w:footnote w:id="722">
    <w:p w14:paraId="57DDA234" w14:textId="7777777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color w:val="000000" w:themeColor="text1"/>
          <w:sz w:val="20"/>
          <w:szCs w:val="20"/>
        </w:rPr>
        <w:t>, 126:</w:t>
      </w:r>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Sic ergo anima </w:t>
      </w:r>
      <w:proofErr w:type="spellStart"/>
      <w:r w:rsidRPr="009D7635">
        <w:rPr>
          <w:rFonts w:ascii="Times New Roman" w:hAnsi="Times New Roman" w:cs="Times New Roman"/>
          <w:i/>
          <w:color w:val="000000" w:themeColor="text1"/>
          <w:sz w:val="20"/>
          <w:szCs w:val="20"/>
          <w:lang w:val="en-US"/>
        </w:rPr>
        <w:t>sensu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percipit</w:t>
      </w:r>
      <w:proofErr w:type="spellEnd"/>
      <w:r w:rsidRPr="009D7635">
        <w:rPr>
          <w:rFonts w:ascii="Times New Roman" w:hAnsi="Times New Roman" w:cs="Times New Roman"/>
          <w:i/>
          <w:color w:val="000000" w:themeColor="text1"/>
          <w:sz w:val="20"/>
          <w:szCs w:val="20"/>
          <w:lang w:val="en-US"/>
        </w:rPr>
        <w:t xml:space="preserve"> corpora, </w:t>
      </w:r>
      <w:proofErr w:type="spellStart"/>
      <w:r w:rsidRPr="009D7635">
        <w:rPr>
          <w:rFonts w:ascii="Times New Roman" w:hAnsi="Times New Roman" w:cs="Times New Roman"/>
          <w:i/>
          <w:color w:val="000000" w:themeColor="text1"/>
          <w:sz w:val="20"/>
          <w:szCs w:val="20"/>
          <w:lang w:val="en-US"/>
        </w:rPr>
        <w:t>ymaginatione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similitudines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spiritum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creatum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incommutabile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verum</w:t>
      </w:r>
      <w:proofErr w:type="spellEnd"/>
      <w:r w:rsidRPr="009D7635">
        <w:rPr>
          <w:rFonts w:ascii="Times New Roman" w:hAnsi="Times New Roman" w:cs="Times New Roman"/>
          <w:i/>
          <w:color w:val="000000" w:themeColor="text1"/>
          <w:sz w:val="20"/>
          <w:szCs w:val="20"/>
          <w:lang w:val="en-US"/>
        </w:rPr>
        <w:t xml:space="preserve">. Ratio </w:t>
      </w:r>
      <w:proofErr w:type="spellStart"/>
      <w:r w:rsidRPr="009D7635">
        <w:rPr>
          <w:rFonts w:ascii="Times New Roman" w:hAnsi="Times New Roman" w:cs="Times New Roman"/>
          <w:i/>
          <w:color w:val="000000" w:themeColor="text1"/>
          <w:sz w:val="20"/>
          <w:szCs w:val="20"/>
          <w:lang w:val="en-US"/>
        </w:rPr>
        <w:t>huius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diuisionis</w:t>
      </w:r>
      <w:proofErr w:type="spellEnd"/>
      <w:r w:rsidRPr="009D7635">
        <w:rPr>
          <w:rFonts w:ascii="Times New Roman" w:hAnsi="Times New Roman" w:cs="Times New Roman"/>
          <w:i/>
          <w:color w:val="000000" w:themeColor="text1"/>
          <w:sz w:val="20"/>
          <w:szCs w:val="20"/>
          <w:lang w:val="en-US"/>
        </w:rPr>
        <w:t xml:space="preserve"> per se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manifesta</w:t>
      </w:r>
      <w:proofErr w:type="spellEnd"/>
      <w:r w:rsidRPr="009D7635">
        <w:rPr>
          <w:rFonts w:ascii="Times New Roman" w:hAnsi="Times New Roman" w:cs="Times New Roman"/>
          <w:color w:val="000000" w:themeColor="text1"/>
          <w:sz w:val="20"/>
          <w:szCs w:val="20"/>
          <w:lang w:val="en-US"/>
        </w:rPr>
        <w:t>.</w:t>
      </w:r>
    </w:p>
  </w:footnote>
  <w:footnote w:id="723">
    <w:p w14:paraId="6CA485C5" w14:textId="018CD3B0"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In an introduction to his edition of the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Jacques </w:t>
      </w:r>
      <w:proofErr w:type="spellStart"/>
      <w:r w:rsidRPr="009D7635">
        <w:rPr>
          <w:rFonts w:ascii="Times New Roman" w:hAnsi="Times New Roman" w:cs="Times New Roman"/>
          <w:color w:val="000000" w:themeColor="text1"/>
        </w:rPr>
        <w:t>Bougerol</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recognizes</w:t>
      </w:r>
      <w:proofErr w:type="spellEnd"/>
      <w:r w:rsidRPr="009D7635">
        <w:rPr>
          <w:rFonts w:ascii="Times New Roman" w:hAnsi="Times New Roman" w:cs="Times New Roman"/>
          <w:color w:val="000000" w:themeColor="text1"/>
        </w:rPr>
        <w:t xml:space="preserve"> that the most important source for this work was Avicenna. As Hasse notes, however, </w:t>
      </w:r>
      <w:proofErr w:type="spellStart"/>
      <w:r w:rsidRPr="009D7635">
        <w:rPr>
          <w:rFonts w:ascii="Times New Roman" w:hAnsi="Times New Roman" w:cs="Times New Roman"/>
          <w:color w:val="000000" w:themeColor="text1"/>
        </w:rPr>
        <w:t>Bougerol</w:t>
      </w:r>
      <w:proofErr w:type="spellEnd"/>
      <w:r w:rsidRPr="009D7635">
        <w:rPr>
          <w:rFonts w:ascii="Times New Roman" w:hAnsi="Times New Roman" w:cs="Times New Roman"/>
          <w:color w:val="000000" w:themeColor="text1"/>
        </w:rPr>
        <w:t xml:space="preserve"> neglects to identify around half of these extensive quotations from Avicenna. </w:t>
      </w:r>
      <w:r w:rsidR="004607A0" w:rsidRPr="009D7635">
        <w:rPr>
          <w:rFonts w:ascii="Times New Roman" w:hAnsi="Times New Roman" w:cs="Times New Roman"/>
          <w:color w:val="000000" w:themeColor="text1"/>
        </w:rPr>
        <w:t xml:space="preserve">See </w:t>
      </w:r>
      <w:r w:rsidRPr="009D7635">
        <w:rPr>
          <w:rFonts w:ascii="Times New Roman" w:hAnsi="Times New Roman" w:cs="Times New Roman"/>
          <w:color w:val="000000" w:themeColor="text1"/>
        </w:rPr>
        <w:t xml:space="preserve">Dag Hasse, </w:t>
      </w:r>
      <w:r w:rsidRPr="009D7635">
        <w:rPr>
          <w:rFonts w:ascii="Times New Roman" w:hAnsi="Times New Roman" w:cs="Times New Roman"/>
          <w:i/>
          <w:color w:val="000000" w:themeColor="text1"/>
        </w:rPr>
        <w:t xml:space="preserve">Avicenna’s De anima in the Latin West </w:t>
      </w:r>
      <w:r w:rsidRPr="009D7635">
        <w:rPr>
          <w:rFonts w:ascii="Times New Roman" w:hAnsi="Times New Roman" w:cs="Times New Roman"/>
          <w:color w:val="000000" w:themeColor="text1"/>
        </w:rPr>
        <w:t xml:space="preserve">(London: Warburg Institute, 2000), 49. Otherwise </w:t>
      </w:r>
      <w:r w:rsidR="004607A0" w:rsidRPr="009D7635">
        <w:rPr>
          <w:rFonts w:ascii="Times New Roman" w:hAnsi="Times New Roman" w:cs="Times New Roman"/>
          <w:color w:val="000000" w:themeColor="text1"/>
        </w:rPr>
        <w:t>prone</w:t>
      </w:r>
      <w:r w:rsidRPr="009D7635">
        <w:rPr>
          <w:rFonts w:ascii="Times New Roman" w:hAnsi="Times New Roman" w:cs="Times New Roman"/>
          <w:color w:val="000000" w:themeColor="text1"/>
        </w:rPr>
        <w:t xml:space="preserve"> to count quotations, </w:t>
      </w:r>
      <w:proofErr w:type="spellStart"/>
      <w:r w:rsidRPr="009D7635">
        <w:rPr>
          <w:rFonts w:ascii="Times New Roman" w:hAnsi="Times New Roman" w:cs="Times New Roman"/>
          <w:color w:val="000000" w:themeColor="text1"/>
        </w:rPr>
        <w:t>Bougerol</w:t>
      </w:r>
      <w:proofErr w:type="spellEnd"/>
      <w:r w:rsidRPr="009D7635">
        <w:rPr>
          <w:rFonts w:ascii="Times New Roman" w:hAnsi="Times New Roman" w:cs="Times New Roman"/>
          <w:color w:val="000000" w:themeColor="text1"/>
        </w:rPr>
        <w:t xml:space="preserve"> identifies 49 references to DSEA across 20 chapters; 45 cites to John of Damascus across 24 chapters; and 48 cites to Augustine, including 15 to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Trinitate</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12 to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genesi</w:t>
      </w:r>
      <w:proofErr w:type="spellEnd"/>
      <w:r w:rsidRPr="009D7635">
        <w:rPr>
          <w:rFonts w:ascii="Times New Roman" w:hAnsi="Times New Roman" w:cs="Times New Roman"/>
          <w:i/>
          <w:color w:val="000000" w:themeColor="text1"/>
        </w:rPr>
        <w:t xml:space="preserve"> ad </w:t>
      </w:r>
      <w:proofErr w:type="spellStart"/>
      <w:r w:rsidRPr="009D7635">
        <w:rPr>
          <w:rFonts w:ascii="Times New Roman" w:hAnsi="Times New Roman" w:cs="Times New Roman"/>
          <w:i/>
          <w:color w:val="000000" w:themeColor="text1"/>
        </w:rPr>
        <w:t>litteram</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and 8 to </w:t>
      </w:r>
      <w:r w:rsidRPr="009D7635">
        <w:rPr>
          <w:rFonts w:ascii="Times New Roman" w:hAnsi="Times New Roman" w:cs="Times New Roman"/>
          <w:i/>
          <w:color w:val="000000" w:themeColor="text1"/>
        </w:rPr>
        <w:t>83 Different Questions</w:t>
      </w:r>
      <w:r w:rsidRPr="009D7635">
        <w:rPr>
          <w:rFonts w:ascii="Times New Roman" w:hAnsi="Times New Roman" w:cs="Times New Roman"/>
          <w:color w:val="000000" w:themeColor="text1"/>
        </w:rPr>
        <w:t xml:space="preserve">. Anonymous Callus is cited 12 times, amongst other works. See Jacques Guy </w:t>
      </w:r>
      <w:proofErr w:type="spellStart"/>
      <w:r w:rsidRPr="009D7635">
        <w:rPr>
          <w:rFonts w:ascii="Times New Roman" w:hAnsi="Times New Roman" w:cs="Times New Roman"/>
          <w:color w:val="000000" w:themeColor="text1"/>
        </w:rPr>
        <w:t>Bougerol</w:t>
      </w:r>
      <w:proofErr w:type="spellEnd"/>
      <w:r w:rsidRPr="009D7635">
        <w:rPr>
          <w:rFonts w:ascii="Times New Roman" w:hAnsi="Times New Roman" w:cs="Times New Roman"/>
          <w:color w:val="000000" w:themeColor="text1"/>
        </w:rPr>
        <w:t xml:space="preserve">, ‘Introduction,’ in John of La Rochelle,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ed. Jacques Guy </w:t>
      </w:r>
      <w:proofErr w:type="spellStart"/>
      <w:r w:rsidRPr="009D7635">
        <w:rPr>
          <w:rFonts w:ascii="Times New Roman" w:hAnsi="Times New Roman" w:cs="Times New Roman"/>
          <w:color w:val="000000" w:themeColor="text1"/>
        </w:rPr>
        <w:t>Bougerol</w:t>
      </w:r>
      <w:proofErr w:type="spellEnd"/>
      <w:r w:rsidRPr="009D7635">
        <w:rPr>
          <w:rFonts w:ascii="Times New Roman" w:hAnsi="Times New Roman" w:cs="Times New Roman"/>
          <w:color w:val="000000" w:themeColor="text1"/>
        </w:rPr>
        <w:t xml:space="preserve"> (Paris: Vrin, 1995), 31. </w:t>
      </w:r>
      <w:r w:rsidR="005E05E3" w:rsidRPr="009D7635">
        <w:rPr>
          <w:rFonts w:ascii="Times New Roman" w:hAnsi="Times New Roman" w:cs="Times New Roman"/>
          <w:color w:val="000000" w:themeColor="text1"/>
        </w:rPr>
        <w:t xml:space="preserve">As </w:t>
      </w:r>
      <w:proofErr w:type="spellStart"/>
      <w:r w:rsidR="005E05E3" w:rsidRPr="009D7635">
        <w:rPr>
          <w:rFonts w:ascii="Times New Roman" w:hAnsi="Times New Roman" w:cs="Times New Roman"/>
          <w:color w:val="000000" w:themeColor="text1"/>
        </w:rPr>
        <w:t>Bougerol</w:t>
      </w:r>
      <w:proofErr w:type="spellEnd"/>
      <w:r w:rsidR="005E05E3" w:rsidRPr="009D7635">
        <w:rPr>
          <w:rFonts w:ascii="Times New Roman" w:hAnsi="Times New Roman" w:cs="Times New Roman"/>
          <w:color w:val="000000" w:themeColor="text1"/>
        </w:rPr>
        <w:t xml:space="preserve"> also notes in his introduction, there is some variation amongst different manuscripts of the SDA regarding chapter titles. For his part, </w:t>
      </w:r>
      <w:proofErr w:type="spellStart"/>
      <w:r w:rsidR="005E05E3" w:rsidRPr="009D7635">
        <w:rPr>
          <w:rFonts w:ascii="Times New Roman" w:hAnsi="Times New Roman" w:cs="Times New Roman"/>
          <w:color w:val="000000" w:themeColor="text1"/>
        </w:rPr>
        <w:t>Bougerol</w:t>
      </w:r>
      <w:proofErr w:type="spellEnd"/>
      <w:r w:rsidR="005E05E3" w:rsidRPr="009D7635">
        <w:rPr>
          <w:rFonts w:ascii="Times New Roman" w:hAnsi="Times New Roman" w:cs="Times New Roman"/>
          <w:color w:val="000000" w:themeColor="text1"/>
        </w:rPr>
        <w:t xml:space="preserve"> states on page 24 of his introduction that he follows the transcription prepared by </w:t>
      </w:r>
      <w:proofErr w:type="spellStart"/>
      <w:r w:rsidR="005E05E3" w:rsidRPr="009D7635">
        <w:rPr>
          <w:rFonts w:ascii="Times New Roman" w:hAnsi="Times New Roman" w:cs="Times New Roman"/>
          <w:color w:val="000000" w:themeColor="text1"/>
        </w:rPr>
        <w:t>Cholet</w:t>
      </w:r>
      <w:proofErr w:type="spellEnd"/>
      <w:r w:rsidR="005E05E3" w:rsidRPr="009D7635">
        <w:rPr>
          <w:rFonts w:ascii="Times New Roman" w:hAnsi="Times New Roman" w:cs="Times New Roman"/>
          <w:color w:val="000000" w:themeColor="text1"/>
        </w:rPr>
        <w:t xml:space="preserve">, a decision that some have found problematic. </w:t>
      </w:r>
      <w:r w:rsidRPr="009D7635">
        <w:rPr>
          <w:rFonts w:ascii="Times New Roman" w:hAnsi="Times New Roman" w:cs="Times New Roman"/>
          <w:color w:val="000000" w:themeColor="text1"/>
        </w:rPr>
        <w:t xml:space="preserve">See also </w:t>
      </w:r>
      <w:r w:rsidRPr="009D7635">
        <w:rPr>
          <w:rFonts w:ascii="Times New Roman" w:hAnsi="Times New Roman" w:cs="Times New Roman"/>
          <w:i/>
          <w:color w:val="000000" w:themeColor="text1"/>
        </w:rPr>
        <w:t xml:space="preserve">Somme de </w:t>
      </w:r>
      <w:proofErr w:type="spellStart"/>
      <w:r w:rsidR="00D71B3E" w:rsidRPr="009D7635">
        <w:rPr>
          <w:rFonts w:ascii="Times New Roman" w:hAnsi="Times New Roman" w:cs="Times New Roman"/>
          <w:i/>
          <w:color w:val="000000" w:themeColor="text1"/>
        </w:rPr>
        <w:t>l’âme</w:t>
      </w:r>
      <w:proofErr w:type="spellEnd"/>
      <w:r w:rsidRPr="009D7635">
        <w:rPr>
          <w:rFonts w:ascii="Times New Roman" w:hAnsi="Times New Roman" w:cs="Times New Roman"/>
          <w:color w:val="000000" w:themeColor="text1"/>
        </w:rPr>
        <w:t xml:space="preserve">, introduction by L.-J. </w:t>
      </w:r>
      <w:proofErr w:type="spellStart"/>
      <w:r w:rsidRPr="009D7635">
        <w:rPr>
          <w:rFonts w:ascii="Times New Roman" w:hAnsi="Times New Roman" w:cs="Times New Roman"/>
          <w:color w:val="000000" w:themeColor="text1"/>
        </w:rPr>
        <w:t>Bataillon</w:t>
      </w:r>
      <w:proofErr w:type="spellEnd"/>
      <w:r w:rsidRPr="009D7635">
        <w:rPr>
          <w:rFonts w:ascii="Times New Roman" w:hAnsi="Times New Roman" w:cs="Times New Roman"/>
          <w:color w:val="000000" w:themeColor="text1"/>
        </w:rPr>
        <w:t xml:space="preserve">, trans. J.M. Vernier (Paris: Vrin, 2001). </w:t>
      </w:r>
    </w:p>
  </w:footnote>
  <w:footnote w:id="724">
    <w:p w14:paraId="7EACD172" w14:textId="7B8C7804" w:rsidR="00B93ED5" w:rsidRPr="009D7635" w:rsidRDefault="00B93ED5" w:rsidP="00E212D3">
      <w:pPr>
        <w:rPr>
          <w:rFonts w:ascii="Times New Roman" w:hAnsi="Times New Roman" w:cs="Times New Roman"/>
          <w:iCs/>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 xml:space="preserve">Avicenna </w:t>
      </w:r>
      <w:proofErr w:type="spellStart"/>
      <w:r w:rsidRPr="009D7635">
        <w:rPr>
          <w:rFonts w:ascii="Times New Roman" w:hAnsi="Times New Roman" w:cs="Times New Roman"/>
          <w:i/>
          <w:iCs/>
          <w:color w:val="000000" w:themeColor="text1"/>
          <w:sz w:val="20"/>
          <w:szCs w:val="20"/>
        </w:rPr>
        <w:t>Latinus</w:t>
      </w:r>
      <w:proofErr w:type="spellEnd"/>
      <w:r w:rsidRPr="009D7635">
        <w:rPr>
          <w:rFonts w:ascii="Times New Roman" w:hAnsi="Times New Roman" w:cs="Times New Roman"/>
          <w:i/>
          <w:iCs/>
          <w:color w:val="000000" w:themeColor="text1"/>
          <w:sz w:val="20"/>
          <w:szCs w:val="20"/>
        </w:rPr>
        <w:t xml:space="preserve">: Liber de Anima </w:t>
      </w:r>
      <w:proofErr w:type="spellStart"/>
      <w:r w:rsidRPr="009D7635">
        <w:rPr>
          <w:rFonts w:ascii="Times New Roman" w:hAnsi="Times New Roman" w:cs="Times New Roman"/>
          <w:i/>
          <w:iCs/>
          <w:color w:val="000000" w:themeColor="text1"/>
          <w:sz w:val="20"/>
          <w:szCs w:val="20"/>
        </w:rPr>
        <w:t>seu</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Sextus</w:t>
      </w:r>
      <w:proofErr w:type="spellEnd"/>
      <w:r w:rsidRPr="009D7635">
        <w:rPr>
          <w:rFonts w:ascii="Times New Roman" w:hAnsi="Times New Roman" w:cs="Times New Roman"/>
          <w:i/>
          <w:iCs/>
          <w:color w:val="000000" w:themeColor="text1"/>
          <w:sz w:val="20"/>
          <w:szCs w:val="20"/>
        </w:rPr>
        <w:t xml:space="preserve"> de </w:t>
      </w:r>
      <w:proofErr w:type="spellStart"/>
      <w:r w:rsidRPr="009D7635">
        <w:rPr>
          <w:rFonts w:ascii="Times New Roman" w:hAnsi="Times New Roman" w:cs="Times New Roman"/>
          <w:i/>
          <w:iCs/>
          <w:color w:val="000000" w:themeColor="text1"/>
          <w:sz w:val="20"/>
          <w:szCs w:val="20"/>
        </w:rPr>
        <w:t>Naturalibus</w:t>
      </w:r>
      <w:proofErr w:type="spellEnd"/>
      <w:r w:rsidRPr="009D7635">
        <w:rPr>
          <w:rFonts w:ascii="Times New Roman" w:hAnsi="Times New Roman" w:cs="Times New Roman"/>
          <w:i/>
          <w:iCs/>
          <w:color w:val="000000" w:themeColor="text1"/>
          <w:sz w:val="20"/>
          <w:szCs w:val="20"/>
        </w:rPr>
        <w:t xml:space="preserve"> IV-V, </w:t>
      </w:r>
      <w:r w:rsidRPr="009D7635">
        <w:rPr>
          <w:rFonts w:ascii="Times New Roman" w:hAnsi="Times New Roman" w:cs="Times New Roman"/>
          <w:iCs/>
          <w:color w:val="000000" w:themeColor="text1"/>
          <w:sz w:val="20"/>
          <w:szCs w:val="20"/>
        </w:rPr>
        <w:t xml:space="preserve">ed. Simone Van </w:t>
      </w:r>
      <w:proofErr w:type="spellStart"/>
      <w:r w:rsidRPr="009D7635">
        <w:rPr>
          <w:rFonts w:ascii="Times New Roman" w:hAnsi="Times New Roman" w:cs="Times New Roman"/>
          <w:iCs/>
          <w:color w:val="000000" w:themeColor="text1"/>
          <w:sz w:val="20"/>
          <w:szCs w:val="20"/>
        </w:rPr>
        <w:t>Riet</w:t>
      </w:r>
      <w:proofErr w:type="spellEnd"/>
      <w:r w:rsidRPr="009D7635">
        <w:rPr>
          <w:rFonts w:ascii="Times New Roman" w:hAnsi="Times New Roman" w:cs="Times New Roman"/>
          <w:iCs/>
          <w:color w:val="000000" w:themeColor="text1"/>
          <w:sz w:val="20"/>
          <w:szCs w:val="20"/>
        </w:rPr>
        <w:t xml:space="preserve"> (Leiden: Brill, 1968), IV.1.</w:t>
      </w:r>
    </w:p>
  </w:footnote>
  <w:footnote w:id="725">
    <w:p w14:paraId="46EBFE6C"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John of La Rochelle, </w:t>
      </w:r>
      <w:r w:rsidRPr="009D7635">
        <w:rPr>
          <w:rFonts w:ascii="Times New Roman" w:hAnsi="Times New Roman" w:cs="Times New Roman"/>
          <w:i/>
          <w:color w:val="000000" w:themeColor="text1"/>
        </w:rPr>
        <w:t xml:space="preserve">Summa de anima, </w:t>
      </w:r>
      <w:r w:rsidRPr="009D7635">
        <w:rPr>
          <w:rFonts w:ascii="Times New Roman" w:hAnsi="Times New Roman" w:cs="Times New Roman"/>
          <w:color w:val="000000" w:themeColor="text1"/>
        </w:rPr>
        <w:t xml:space="preserve">ed. Jacques Guy </w:t>
      </w:r>
      <w:proofErr w:type="spellStart"/>
      <w:r w:rsidRPr="009D7635">
        <w:rPr>
          <w:rFonts w:ascii="Times New Roman" w:hAnsi="Times New Roman" w:cs="Times New Roman"/>
          <w:color w:val="000000" w:themeColor="text1"/>
        </w:rPr>
        <w:t>Bougerol</w:t>
      </w:r>
      <w:proofErr w:type="spellEnd"/>
      <w:r w:rsidRPr="009D7635">
        <w:rPr>
          <w:rFonts w:ascii="Times New Roman" w:hAnsi="Times New Roman" w:cs="Times New Roman"/>
          <w:color w:val="000000" w:themeColor="text1"/>
        </w:rPr>
        <w:t xml:space="preserve"> (Paris: Vrin, 1995)</w:t>
      </w:r>
      <w:r w:rsidRPr="009D7635">
        <w:rPr>
          <w:rFonts w:ascii="Times New Roman" w:hAnsi="Times New Roman" w:cs="Times New Roman"/>
          <w:iCs/>
          <w:color w:val="000000" w:themeColor="text1"/>
        </w:rPr>
        <w:t>, 240</w:t>
      </w:r>
      <w:r w:rsidRPr="009D7635">
        <w:rPr>
          <w:rFonts w:ascii="Times New Roman" w:hAnsi="Times New Roman" w:cs="Times New Roman"/>
          <w:color w:val="000000" w:themeColor="text1"/>
        </w:rPr>
        <w:t>.</w:t>
      </w:r>
    </w:p>
  </w:footnote>
  <w:footnote w:id="726">
    <w:p w14:paraId="668C4063" w14:textId="0672785A" w:rsidR="00B93ED5" w:rsidRPr="009D7635" w:rsidRDefault="00B93ED5" w:rsidP="00E212D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F63B43" w:rsidRPr="009D7635">
        <w:rPr>
          <w:rFonts w:ascii="Times New Roman" w:hAnsi="Times New Roman" w:cs="Times New Roman"/>
          <w:iCs/>
          <w:color w:val="000000" w:themeColor="text1"/>
          <w:sz w:val="20"/>
          <w:szCs w:val="20"/>
        </w:rPr>
        <w:t>Ibid.,</w:t>
      </w:r>
      <w:r w:rsidRPr="009D7635">
        <w:rPr>
          <w:rFonts w:ascii="Times New Roman" w:hAnsi="Times New Roman" w:cs="Times New Roman"/>
          <w:iCs/>
          <w:color w:val="000000" w:themeColor="text1"/>
          <w:sz w:val="20"/>
          <w:szCs w:val="20"/>
        </w:rPr>
        <w:t xml:space="preserve"> 240</w:t>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Sensus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communis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vis </w:t>
      </w:r>
      <w:proofErr w:type="spellStart"/>
      <w:r w:rsidRPr="009D7635">
        <w:rPr>
          <w:rFonts w:ascii="Times New Roman" w:hAnsi="Times New Roman" w:cs="Times New Roman"/>
          <w:i/>
          <w:color w:val="000000" w:themeColor="text1"/>
          <w:sz w:val="20"/>
          <w:szCs w:val="20"/>
        </w:rPr>
        <w:t>ordinata</w:t>
      </w:r>
      <w:proofErr w:type="spellEnd"/>
      <w:r w:rsidRPr="009D7635">
        <w:rPr>
          <w:rFonts w:ascii="Times New Roman" w:hAnsi="Times New Roman" w:cs="Times New Roman"/>
          <w:i/>
          <w:color w:val="000000" w:themeColor="text1"/>
          <w:sz w:val="20"/>
          <w:szCs w:val="20"/>
        </w:rPr>
        <w:t xml:space="preserve"> in prima </w:t>
      </w:r>
      <w:proofErr w:type="spellStart"/>
      <w:r w:rsidRPr="009D7635">
        <w:rPr>
          <w:rFonts w:ascii="Times New Roman" w:hAnsi="Times New Roman" w:cs="Times New Roman"/>
          <w:i/>
          <w:color w:val="000000" w:themeColor="text1"/>
          <w:sz w:val="20"/>
          <w:szCs w:val="20"/>
        </w:rPr>
        <w:t>concavitate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cerebri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recipiens</w:t>
      </w:r>
      <w:proofErr w:type="spellEnd"/>
      <w:r w:rsidRPr="009D7635">
        <w:rPr>
          <w:rFonts w:ascii="Times New Roman" w:hAnsi="Times New Roman" w:cs="Times New Roman"/>
          <w:i/>
          <w:color w:val="000000" w:themeColor="text1"/>
          <w:sz w:val="20"/>
          <w:szCs w:val="20"/>
        </w:rPr>
        <w:t xml:space="preserve"> per se </w:t>
      </w:r>
      <w:proofErr w:type="spellStart"/>
      <w:r w:rsidRPr="009D7635">
        <w:rPr>
          <w:rFonts w:ascii="Times New Roman" w:hAnsi="Times New Roman" w:cs="Times New Roman"/>
          <w:i/>
          <w:color w:val="000000" w:themeColor="text1"/>
          <w:sz w:val="20"/>
          <w:szCs w:val="20"/>
        </w:rPr>
        <w:t>ipsam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omnes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formas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imprimuntur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quinque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sensibus</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redduntur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ei</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w:t>
      </w:r>
    </w:p>
  </w:footnote>
  <w:footnote w:id="727">
    <w:p w14:paraId="2D8EF6EC" w14:textId="17C87955" w:rsidR="00B93ED5" w:rsidRPr="009D7635" w:rsidRDefault="00B93ED5" w:rsidP="00E212D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F63B43" w:rsidRPr="009D7635">
        <w:rPr>
          <w:rFonts w:ascii="Times New Roman" w:hAnsi="Times New Roman" w:cs="Times New Roman"/>
          <w:iCs/>
          <w:color w:val="000000" w:themeColor="text1"/>
          <w:sz w:val="20"/>
          <w:szCs w:val="20"/>
        </w:rPr>
        <w:t xml:space="preserve">Ibid., </w:t>
      </w:r>
      <w:r w:rsidRPr="009D7635">
        <w:rPr>
          <w:rFonts w:ascii="Times New Roman" w:hAnsi="Times New Roman" w:cs="Times New Roman"/>
          <w:color w:val="000000" w:themeColor="text1"/>
          <w:sz w:val="20"/>
          <w:szCs w:val="20"/>
        </w:rPr>
        <w:t xml:space="preserve">241. </w:t>
      </w:r>
    </w:p>
  </w:footnote>
  <w:footnote w:id="728">
    <w:p w14:paraId="60A39738" w14:textId="310A0AD5" w:rsidR="00B93ED5" w:rsidRPr="009D7635" w:rsidRDefault="00B93ED5" w:rsidP="00E212D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F63B43" w:rsidRPr="009D7635">
        <w:rPr>
          <w:rFonts w:ascii="Times New Roman" w:hAnsi="Times New Roman" w:cs="Times New Roman"/>
          <w:iCs/>
          <w:color w:val="000000" w:themeColor="text1"/>
          <w:sz w:val="20"/>
          <w:szCs w:val="20"/>
        </w:rPr>
        <w:t xml:space="preserve">Ibid., </w:t>
      </w:r>
      <w:r w:rsidRPr="009D7635">
        <w:rPr>
          <w:rFonts w:ascii="Times New Roman" w:hAnsi="Times New Roman" w:cs="Times New Roman"/>
          <w:iCs/>
          <w:color w:val="000000" w:themeColor="text1"/>
          <w:sz w:val="20"/>
          <w:szCs w:val="20"/>
        </w:rPr>
        <w:t>242</w:t>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autem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sicut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dicit</w:t>
      </w:r>
      <w:proofErr w:type="spellEnd"/>
      <w:r w:rsidRPr="009D7635">
        <w:rPr>
          <w:rFonts w:ascii="Times New Roman" w:hAnsi="Times New Roman" w:cs="Times New Roman"/>
          <w:i/>
          <w:color w:val="000000" w:themeColor="text1"/>
          <w:sz w:val="20"/>
          <w:szCs w:val="20"/>
        </w:rPr>
        <w:t xml:space="preserve"> Avicenna vis </w:t>
      </w:r>
      <w:proofErr w:type="spellStart"/>
      <w:r w:rsidRPr="009D7635">
        <w:rPr>
          <w:rFonts w:ascii="Times New Roman" w:hAnsi="Times New Roman" w:cs="Times New Roman"/>
          <w:i/>
          <w:color w:val="000000" w:themeColor="text1"/>
          <w:sz w:val="20"/>
          <w:szCs w:val="20"/>
        </w:rPr>
        <w:t>ordinata</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extremo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concavitatis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anterioris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partis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cerebri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retinens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recipit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sensus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communis</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quinque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sensibus</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remanet</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ea</w:t>
      </w:r>
      <w:proofErr w:type="spellEnd"/>
      <w:r w:rsidRPr="009D7635">
        <w:rPr>
          <w:rFonts w:ascii="Times New Roman" w:hAnsi="Times New Roman" w:cs="Times New Roman"/>
          <w:i/>
          <w:color w:val="000000" w:themeColor="text1"/>
          <w:sz w:val="20"/>
          <w:szCs w:val="20"/>
        </w:rPr>
        <w:t xml:space="preserve"> post </w:t>
      </w:r>
      <w:proofErr w:type="spellStart"/>
      <w:r w:rsidRPr="009D7635">
        <w:rPr>
          <w:rFonts w:ascii="Times New Roman" w:hAnsi="Times New Roman" w:cs="Times New Roman"/>
          <w:i/>
          <w:color w:val="000000" w:themeColor="text1"/>
          <w:sz w:val="20"/>
          <w:szCs w:val="20"/>
        </w:rPr>
        <w:t>remocionem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illorum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sensibilium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Vult</w:t>
      </w:r>
      <w:proofErr w:type="spellEnd"/>
      <w:r w:rsidRPr="009D7635">
        <w:rPr>
          <w:rFonts w:ascii="Times New Roman" w:hAnsi="Times New Roman" w:cs="Times New Roman"/>
          <w:i/>
          <w:color w:val="000000" w:themeColor="text1"/>
          <w:sz w:val="20"/>
          <w:szCs w:val="20"/>
        </w:rPr>
        <w:t xml:space="preserve"> ergo </w:t>
      </w:r>
      <w:proofErr w:type="spellStart"/>
      <w:r w:rsidRPr="009D7635">
        <w:rPr>
          <w:rFonts w:ascii="Times New Roman" w:hAnsi="Times New Roman" w:cs="Times New Roman"/>
          <w:i/>
          <w:color w:val="000000" w:themeColor="text1"/>
          <w:sz w:val="20"/>
          <w:szCs w:val="20"/>
        </w:rPr>
        <w:t>dicere</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sensus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communis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apprehendere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formas</w:t>
      </w:r>
      <w:proofErr w:type="spellEnd"/>
      <w:r w:rsidRPr="009D7635">
        <w:rPr>
          <w:rFonts w:ascii="Times New Roman" w:hAnsi="Times New Roman" w:cs="Times New Roman"/>
          <w:i/>
          <w:color w:val="000000" w:themeColor="text1"/>
          <w:sz w:val="20"/>
          <w:szCs w:val="20"/>
        </w:rPr>
        <w:t xml:space="preserve"> omnium </w:t>
      </w:r>
      <w:proofErr w:type="spellStart"/>
      <w:r w:rsidRPr="009D7635">
        <w:rPr>
          <w:rFonts w:ascii="Times New Roman" w:hAnsi="Times New Roman" w:cs="Times New Roman"/>
          <w:i/>
          <w:color w:val="000000" w:themeColor="text1"/>
          <w:sz w:val="20"/>
          <w:szCs w:val="20"/>
        </w:rPr>
        <w:t>sensibilium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Vertutis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vero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vocatur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ymaginacio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retinere</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w:t>
      </w:r>
    </w:p>
  </w:footnote>
  <w:footnote w:id="729">
    <w:p w14:paraId="7EED373A" w14:textId="7DCF840D" w:rsidR="00B93ED5" w:rsidRPr="009D7635" w:rsidRDefault="00B93ED5" w:rsidP="00E212D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F63B43" w:rsidRPr="009D7635">
        <w:rPr>
          <w:rFonts w:ascii="Times New Roman" w:hAnsi="Times New Roman" w:cs="Times New Roman"/>
          <w:iCs/>
          <w:color w:val="000000" w:themeColor="text1"/>
          <w:sz w:val="20"/>
          <w:szCs w:val="20"/>
        </w:rPr>
        <w:t xml:space="preserve">Ibid., </w:t>
      </w:r>
      <w:r w:rsidRPr="009D7635">
        <w:rPr>
          <w:rFonts w:ascii="Times New Roman" w:hAnsi="Times New Roman" w:cs="Times New Roman"/>
          <w:iCs/>
          <w:color w:val="000000" w:themeColor="text1"/>
          <w:sz w:val="20"/>
          <w:szCs w:val="20"/>
        </w:rPr>
        <w:t>243</w:t>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Tertia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virtus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vocatur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imaginativa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excogitativa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Avicennam</w:t>
      </w:r>
      <w:proofErr w:type="spellEnd"/>
      <w:r w:rsidRPr="009D7635">
        <w:rPr>
          <w:rFonts w:ascii="Times New Roman" w:hAnsi="Times New Roman" w:cs="Times New Roman"/>
          <w:i/>
          <w:color w:val="000000" w:themeColor="text1"/>
          <w:sz w:val="20"/>
          <w:szCs w:val="20"/>
        </w:rPr>
        <w:t xml:space="preserve">, vis </w:t>
      </w:r>
      <w:proofErr w:type="spellStart"/>
      <w:r w:rsidRPr="009D7635">
        <w:rPr>
          <w:rFonts w:ascii="Times New Roman" w:hAnsi="Times New Roman" w:cs="Times New Roman"/>
          <w:i/>
          <w:color w:val="000000" w:themeColor="text1"/>
          <w:sz w:val="20"/>
          <w:szCs w:val="20"/>
        </w:rPr>
        <w:t>ordinata</w:t>
      </w:r>
      <w:proofErr w:type="spellEnd"/>
      <w:r w:rsidRPr="009D7635">
        <w:rPr>
          <w:rFonts w:ascii="Times New Roman" w:hAnsi="Times New Roman" w:cs="Times New Roman"/>
          <w:i/>
          <w:color w:val="000000" w:themeColor="text1"/>
          <w:sz w:val="20"/>
          <w:szCs w:val="20"/>
        </w:rPr>
        <w:t xml:space="preserve"> in media </w:t>
      </w:r>
      <w:proofErr w:type="spellStart"/>
      <w:r w:rsidRPr="009D7635">
        <w:rPr>
          <w:rFonts w:ascii="Times New Roman" w:hAnsi="Times New Roman" w:cs="Times New Roman"/>
          <w:i/>
          <w:color w:val="000000" w:themeColor="text1"/>
          <w:sz w:val="20"/>
          <w:szCs w:val="20"/>
        </w:rPr>
        <w:t>concavitate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cerebri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potens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componere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aliquid</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eo</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ymaginatione</w:t>
      </w:r>
      <w:proofErr w:type="spellEnd"/>
      <w:r w:rsidRPr="009D7635">
        <w:rPr>
          <w:rFonts w:ascii="Times New Roman" w:hAnsi="Times New Roman" w:cs="Times New Roman"/>
          <w:i/>
          <w:color w:val="000000" w:themeColor="text1"/>
          <w:sz w:val="20"/>
          <w:szCs w:val="20"/>
        </w:rPr>
        <w:t xml:space="preserve"> cum </w:t>
      </w:r>
      <w:proofErr w:type="spellStart"/>
      <w:r w:rsidRPr="009D7635">
        <w:rPr>
          <w:rFonts w:ascii="Times New Roman" w:hAnsi="Times New Roman" w:cs="Times New Roman"/>
          <w:i/>
          <w:color w:val="000000" w:themeColor="text1"/>
          <w:sz w:val="20"/>
          <w:szCs w:val="20"/>
        </w:rPr>
        <w:t>alio</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dividere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vult</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w:t>
      </w:r>
    </w:p>
  </w:footnote>
  <w:footnote w:id="730">
    <w:p w14:paraId="6D6C9DE2" w14:textId="1F770939"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63B43" w:rsidRPr="009D7635">
        <w:rPr>
          <w:rFonts w:ascii="Times New Roman" w:hAnsi="Times New Roman" w:cs="Times New Roman"/>
          <w:iCs/>
          <w:color w:val="000000" w:themeColor="text1"/>
        </w:rPr>
        <w:t xml:space="preserve">Ibid., </w:t>
      </w:r>
      <w:r w:rsidRPr="009D7635">
        <w:rPr>
          <w:rFonts w:ascii="Times New Roman" w:hAnsi="Times New Roman" w:cs="Times New Roman"/>
          <w:iCs/>
          <w:color w:val="000000" w:themeColor="text1"/>
        </w:rPr>
        <w:t>248</w:t>
      </w:r>
      <w:r w:rsidRPr="009D7635">
        <w:rPr>
          <w:rFonts w:ascii="Times New Roman" w:hAnsi="Times New Roman" w:cs="Times New Roman"/>
          <w:color w:val="000000" w:themeColor="text1"/>
        </w:rPr>
        <w:t>.</w:t>
      </w:r>
    </w:p>
  </w:footnote>
  <w:footnote w:id="731">
    <w:p w14:paraId="7AF1E401" w14:textId="6A72E1B2" w:rsidR="00B93ED5" w:rsidRPr="009D7635" w:rsidRDefault="00B93ED5" w:rsidP="00E212D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F63B43" w:rsidRPr="009D7635">
        <w:rPr>
          <w:rFonts w:ascii="Times New Roman" w:hAnsi="Times New Roman" w:cs="Times New Roman"/>
          <w:iCs/>
          <w:color w:val="000000" w:themeColor="text1"/>
          <w:sz w:val="20"/>
          <w:szCs w:val="20"/>
        </w:rPr>
        <w:t xml:space="preserve">Ibid., </w:t>
      </w:r>
      <w:r w:rsidRPr="009D7635">
        <w:rPr>
          <w:rFonts w:ascii="Times New Roman" w:hAnsi="Times New Roman" w:cs="Times New Roman"/>
          <w:color w:val="000000" w:themeColor="text1"/>
          <w:sz w:val="20"/>
          <w:szCs w:val="20"/>
        </w:rPr>
        <w:t xml:space="preserve">249: </w:t>
      </w:r>
      <w:r w:rsidRPr="009D7635">
        <w:rPr>
          <w:rFonts w:ascii="Times New Roman" w:hAnsi="Times New Roman" w:cs="Times New Roman"/>
          <w:i/>
          <w:color w:val="000000" w:themeColor="text1"/>
          <w:sz w:val="20"/>
          <w:szCs w:val="20"/>
        </w:rPr>
        <w:t xml:space="preserve">Quinta </w:t>
      </w:r>
      <w:proofErr w:type="spellStart"/>
      <w:r w:rsidRPr="009D7635">
        <w:rPr>
          <w:rFonts w:ascii="Times New Roman" w:hAnsi="Times New Roman" w:cs="Times New Roman"/>
          <w:i/>
          <w:color w:val="000000" w:themeColor="text1"/>
          <w:sz w:val="20"/>
          <w:szCs w:val="20"/>
        </w:rPr>
        <w:t>virtus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memorativa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vis </w:t>
      </w:r>
      <w:proofErr w:type="spellStart"/>
      <w:r w:rsidRPr="009D7635">
        <w:rPr>
          <w:rFonts w:ascii="Times New Roman" w:hAnsi="Times New Roman" w:cs="Times New Roman"/>
          <w:i/>
          <w:color w:val="000000" w:themeColor="text1"/>
          <w:sz w:val="20"/>
          <w:szCs w:val="20"/>
        </w:rPr>
        <w:t>ordinata</w:t>
      </w:r>
      <w:proofErr w:type="spellEnd"/>
      <w:r w:rsidRPr="009D7635">
        <w:rPr>
          <w:rFonts w:ascii="Times New Roman" w:hAnsi="Times New Roman" w:cs="Times New Roman"/>
          <w:i/>
          <w:color w:val="000000" w:themeColor="text1"/>
          <w:sz w:val="20"/>
          <w:szCs w:val="20"/>
        </w:rPr>
        <w:t xml:space="preserve"> in posteriori </w:t>
      </w:r>
      <w:proofErr w:type="spellStart"/>
      <w:r w:rsidRPr="009D7635">
        <w:rPr>
          <w:rFonts w:ascii="Times New Roman" w:hAnsi="Times New Roman" w:cs="Times New Roman"/>
          <w:i/>
          <w:color w:val="000000" w:themeColor="text1"/>
          <w:sz w:val="20"/>
          <w:szCs w:val="20"/>
        </w:rPr>
        <w:t>concavitate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cerebri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retinens</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apprehendit</w:t>
      </w:r>
      <w:proofErr w:type="spellEnd"/>
      <w:r w:rsidRPr="009D7635">
        <w:rPr>
          <w:rFonts w:ascii="Times New Roman" w:hAnsi="Times New Roman" w:cs="Times New Roman"/>
          <w:i/>
          <w:color w:val="000000" w:themeColor="text1"/>
          <w:sz w:val="20"/>
          <w:szCs w:val="20"/>
        </w:rPr>
        <w:t xml:space="preserve"> vis </w:t>
      </w:r>
      <w:proofErr w:type="spellStart"/>
      <w:r w:rsidRPr="009D7635">
        <w:rPr>
          <w:rFonts w:ascii="Times New Roman" w:hAnsi="Times New Roman" w:cs="Times New Roman"/>
          <w:i/>
          <w:color w:val="000000" w:themeColor="text1"/>
          <w:sz w:val="20"/>
          <w:szCs w:val="20"/>
        </w:rPr>
        <w:t>estimacionis</w:t>
      </w:r>
      <w:proofErr w:type="spellEnd"/>
      <w:r w:rsidRPr="009D7635">
        <w:rPr>
          <w:rFonts w:ascii="Times New Roman" w:hAnsi="Times New Roman" w:cs="Times New Roman"/>
          <w:i/>
          <w:color w:val="000000" w:themeColor="text1"/>
          <w:sz w:val="20"/>
          <w:szCs w:val="20"/>
        </w:rPr>
        <w:t xml:space="preserve"> de </w:t>
      </w:r>
      <w:proofErr w:type="spellStart"/>
      <w:r w:rsidRPr="009D7635">
        <w:rPr>
          <w:rFonts w:ascii="Times New Roman" w:hAnsi="Times New Roman" w:cs="Times New Roman"/>
          <w:i/>
          <w:color w:val="000000" w:themeColor="text1"/>
          <w:sz w:val="20"/>
          <w:szCs w:val="20"/>
        </w:rPr>
        <w:t>intencionibus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sensibilium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Comparacio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autem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virtutis</w:t>
      </w:r>
      <w:proofErr w:type="spellEnd"/>
      <w:r w:rsidRPr="009D7635">
        <w:rPr>
          <w:rFonts w:ascii="Times New Roman" w:hAnsi="Times New Roman" w:cs="Times New Roman"/>
          <w:i/>
          <w:color w:val="000000" w:themeColor="text1"/>
          <w:sz w:val="20"/>
          <w:szCs w:val="20"/>
        </w:rPr>
        <w:t xml:space="preserve"> estimative ad </w:t>
      </w:r>
      <w:proofErr w:type="spellStart"/>
      <w:r w:rsidRPr="009D7635">
        <w:rPr>
          <w:rFonts w:ascii="Times New Roman" w:hAnsi="Times New Roman" w:cs="Times New Roman"/>
          <w:i/>
          <w:color w:val="000000" w:themeColor="text1"/>
          <w:sz w:val="20"/>
          <w:szCs w:val="20"/>
        </w:rPr>
        <w:t>virtutem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memorativam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Avicennam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qualis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comparacio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virtutis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ymaginacionis</w:t>
      </w:r>
      <w:proofErr w:type="spellEnd"/>
      <w:r w:rsidRPr="009D7635">
        <w:rPr>
          <w:rFonts w:ascii="Times New Roman" w:hAnsi="Times New Roman" w:cs="Times New Roman"/>
          <w:i/>
          <w:color w:val="000000" w:themeColor="text1"/>
          <w:sz w:val="20"/>
          <w:szCs w:val="20"/>
        </w:rPr>
        <w:t xml:space="preserve"> ad </w:t>
      </w:r>
      <w:proofErr w:type="spellStart"/>
      <w:r w:rsidRPr="009D7635">
        <w:rPr>
          <w:rFonts w:ascii="Times New Roman" w:hAnsi="Times New Roman" w:cs="Times New Roman"/>
          <w:i/>
          <w:color w:val="000000" w:themeColor="text1"/>
          <w:sz w:val="20"/>
          <w:szCs w:val="20"/>
        </w:rPr>
        <w:t>sensum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communem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sicut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enim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ymaginacio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retinet</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thesaurus </w:t>
      </w:r>
      <w:proofErr w:type="spellStart"/>
      <w:r w:rsidRPr="009D7635">
        <w:rPr>
          <w:rFonts w:ascii="Times New Roman" w:hAnsi="Times New Roman" w:cs="Times New Roman"/>
          <w:i/>
          <w:color w:val="000000" w:themeColor="text1"/>
          <w:sz w:val="20"/>
          <w:szCs w:val="20"/>
        </w:rPr>
        <w:t>formarum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sensibilium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quas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apprehendit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sensus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communis</w:t>
      </w:r>
      <w:proofErr w:type="spellEnd"/>
      <w:r w:rsidRPr="009D7635">
        <w:rPr>
          <w:rFonts w:ascii="Times New Roman" w:hAnsi="Times New Roman" w:cs="Times New Roman"/>
          <w:i/>
          <w:color w:val="000000" w:themeColor="text1"/>
          <w:sz w:val="20"/>
          <w:szCs w:val="20"/>
        </w:rPr>
        <w:t xml:space="preserve">, sic </w:t>
      </w:r>
      <w:proofErr w:type="spellStart"/>
      <w:r w:rsidRPr="009D7635">
        <w:rPr>
          <w:rFonts w:ascii="Times New Roman" w:hAnsi="Times New Roman" w:cs="Times New Roman"/>
          <w:i/>
          <w:color w:val="000000" w:themeColor="text1"/>
          <w:sz w:val="20"/>
          <w:szCs w:val="20"/>
        </w:rPr>
        <w:t>virtus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memorativa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thesaurus </w:t>
      </w:r>
      <w:proofErr w:type="spellStart"/>
      <w:r w:rsidRPr="009D7635">
        <w:rPr>
          <w:rFonts w:ascii="Times New Roman" w:hAnsi="Times New Roman" w:cs="Times New Roman"/>
          <w:i/>
          <w:color w:val="000000" w:themeColor="text1"/>
          <w:sz w:val="20"/>
          <w:szCs w:val="20"/>
        </w:rPr>
        <w:t>conservans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intenciones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sensibilium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quas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apprehendit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virtus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estimativa</w:t>
      </w:r>
      <w:proofErr w:type="spellEnd"/>
      <w:r w:rsidRPr="009D7635">
        <w:rPr>
          <w:rFonts w:ascii="Times New Roman" w:hAnsi="Times New Roman" w:cs="Times New Roman"/>
          <w:i/>
          <w:color w:val="000000" w:themeColor="text1"/>
          <w:sz w:val="20"/>
          <w:szCs w:val="20"/>
        </w:rPr>
        <w:t>.</w:t>
      </w:r>
    </w:p>
  </w:footnote>
  <w:footnote w:id="732">
    <w:p w14:paraId="2CC4F2C6" w14:textId="5D50F384"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CD24E7" w:rsidRPr="009D7635">
        <w:rPr>
          <w:rFonts w:ascii="Times New Roman" w:hAnsi="Times New Roman" w:cs="Times New Roman"/>
          <w:iCs/>
          <w:color w:val="000000" w:themeColor="text1"/>
        </w:rPr>
        <w:t xml:space="preserve">Ibid., </w:t>
      </w:r>
      <w:r w:rsidRPr="009D7635">
        <w:rPr>
          <w:rFonts w:ascii="Times New Roman" w:hAnsi="Times New Roman" w:cs="Times New Roman"/>
          <w:color w:val="000000" w:themeColor="text1"/>
        </w:rPr>
        <w:t>271-2.</w:t>
      </w:r>
    </w:p>
  </w:footnote>
  <w:footnote w:id="733">
    <w:p w14:paraId="1AA26BE0" w14:textId="5893A6C0"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eastAsia="Times New Roman" w:hAnsi="Times New Roman" w:cs="Times New Roman"/>
          <w:bCs/>
          <w:i/>
          <w:iCs/>
          <w:color w:val="000000" w:themeColor="text1"/>
        </w:rPr>
        <w:t>Jean de La Rochelle</w:t>
      </w:r>
      <w:r w:rsidR="00CD24E7" w:rsidRPr="009D7635">
        <w:rPr>
          <w:rFonts w:ascii="Times New Roman" w:eastAsia="Times New Roman" w:hAnsi="Times New Roman" w:cs="Times New Roman"/>
          <w:bCs/>
          <w:i/>
          <w:iCs/>
          <w:color w:val="000000" w:themeColor="text1"/>
        </w:rPr>
        <w:t xml:space="preserve">: </w:t>
      </w:r>
      <w:proofErr w:type="spellStart"/>
      <w:r w:rsidRPr="009D7635">
        <w:rPr>
          <w:rFonts w:ascii="Times New Roman" w:eastAsia="Times New Roman" w:hAnsi="Times New Roman" w:cs="Times New Roman"/>
          <w:bCs/>
          <w:i/>
          <w:iCs/>
          <w:color w:val="000000" w:themeColor="text1"/>
        </w:rPr>
        <w:t>Tractatus</w:t>
      </w:r>
      <w:proofErr w:type="spellEnd"/>
      <w:r w:rsidRPr="009D7635">
        <w:rPr>
          <w:rFonts w:ascii="Times New Roman" w:eastAsia="Times New Roman" w:hAnsi="Times New Roman" w:cs="Times New Roman"/>
          <w:bCs/>
          <w:i/>
          <w:iCs/>
          <w:color w:val="000000" w:themeColor="text1"/>
        </w:rPr>
        <w:t xml:space="preserve"> de </w:t>
      </w:r>
      <w:proofErr w:type="spellStart"/>
      <w:r w:rsidRPr="009D7635">
        <w:rPr>
          <w:rFonts w:ascii="Times New Roman" w:eastAsia="Times New Roman" w:hAnsi="Times New Roman" w:cs="Times New Roman"/>
          <w:bCs/>
          <w:i/>
          <w:iCs/>
          <w:color w:val="000000" w:themeColor="text1"/>
        </w:rPr>
        <w:t>divisione</w:t>
      </w:r>
      <w:proofErr w:type="spellEnd"/>
      <w:r w:rsidRPr="009D7635">
        <w:rPr>
          <w:rFonts w:ascii="Times New Roman" w:eastAsia="Times New Roman" w:hAnsi="Times New Roman" w:cs="Times New Roman"/>
          <w:bCs/>
          <w:i/>
          <w:iCs/>
          <w:color w:val="000000" w:themeColor="text1"/>
        </w:rPr>
        <w:t xml:space="preserve"> </w:t>
      </w:r>
      <w:proofErr w:type="spellStart"/>
      <w:r w:rsidRPr="009D7635">
        <w:rPr>
          <w:rFonts w:ascii="Times New Roman" w:eastAsia="Times New Roman" w:hAnsi="Times New Roman" w:cs="Times New Roman"/>
          <w:bCs/>
          <w:i/>
          <w:iCs/>
          <w:color w:val="000000" w:themeColor="text1"/>
        </w:rPr>
        <w:t>multiplici</w:t>
      </w:r>
      <w:proofErr w:type="spellEnd"/>
      <w:r w:rsidRPr="009D7635">
        <w:rPr>
          <w:rFonts w:ascii="Times New Roman" w:eastAsia="Times New Roman" w:hAnsi="Times New Roman" w:cs="Times New Roman"/>
          <w:bCs/>
          <w:i/>
          <w:iCs/>
          <w:color w:val="000000" w:themeColor="text1"/>
        </w:rPr>
        <w:t xml:space="preserve"> </w:t>
      </w:r>
      <w:proofErr w:type="spellStart"/>
      <w:r w:rsidRPr="009D7635">
        <w:rPr>
          <w:rFonts w:ascii="Times New Roman" w:eastAsia="Times New Roman" w:hAnsi="Times New Roman" w:cs="Times New Roman"/>
          <w:bCs/>
          <w:i/>
          <w:iCs/>
          <w:color w:val="000000" w:themeColor="text1"/>
        </w:rPr>
        <w:t>potentiarum</w:t>
      </w:r>
      <w:proofErr w:type="spellEnd"/>
      <w:r w:rsidRPr="009D7635">
        <w:rPr>
          <w:rFonts w:ascii="Times New Roman" w:eastAsia="Times New Roman" w:hAnsi="Times New Roman" w:cs="Times New Roman"/>
          <w:bCs/>
          <w:i/>
          <w:iCs/>
          <w:color w:val="000000" w:themeColor="text1"/>
        </w:rPr>
        <w:t xml:space="preserve"> </w:t>
      </w:r>
      <w:proofErr w:type="spellStart"/>
      <w:r w:rsidRPr="009D7635">
        <w:rPr>
          <w:rFonts w:ascii="Times New Roman" w:eastAsia="Times New Roman" w:hAnsi="Times New Roman" w:cs="Times New Roman"/>
          <w:bCs/>
          <w:i/>
          <w:iCs/>
          <w:color w:val="000000" w:themeColor="text1"/>
        </w:rPr>
        <w:t>animae</w:t>
      </w:r>
      <w:proofErr w:type="spellEnd"/>
      <w:r w:rsidR="00BD61C0" w:rsidRPr="009D7635">
        <w:rPr>
          <w:rFonts w:ascii="Times New Roman" w:eastAsia="Times New Roman" w:hAnsi="Times New Roman" w:cs="Times New Roman"/>
          <w:bCs/>
          <w:i/>
          <w:iCs/>
          <w:color w:val="000000" w:themeColor="text1"/>
        </w:rPr>
        <w:t>:</w:t>
      </w:r>
      <w:r w:rsidRPr="009D7635">
        <w:rPr>
          <w:rFonts w:ascii="Times New Roman" w:eastAsia="Times New Roman" w:hAnsi="Times New Roman" w:cs="Times New Roman"/>
          <w:bCs/>
          <w:i/>
          <w:iCs/>
          <w:color w:val="000000" w:themeColor="text1"/>
        </w:rPr>
        <w:t xml:space="preserve"> </w:t>
      </w:r>
      <w:proofErr w:type="spellStart"/>
      <w:r w:rsidRPr="009D7635">
        <w:rPr>
          <w:rFonts w:ascii="Times New Roman" w:eastAsia="Times New Roman" w:hAnsi="Times New Roman" w:cs="Times New Roman"/>
          <w:bCs/>
          <w:i/>
          <w:iCs/>
          <w:color w:val="000000" w:themeColor="text1"/>
        </w:rPr>
        <w:t>Texte</w:t>
      </w:r>
      <w:proofErr w:type="spellEnd"/>
      <w:r w:rsidRPr="009D7635">
        <w:rPr>
          <w:rFonts w:ascii="Times New Roman" w:eastAsia="Times New Roman" w:hAnsi="Times New Roman" w:cs="Times New Roman"/>
          <w:bCs/>
          <w:i/>
          <w:iCs/>
          <w:color w:val="000000" w:themeColor="text1"/>
        </w:rPr>
        <w:t xml:space="preserve"> critique </w:t>
      </w:r>
      <w:proofErr w:type="spellStart"/>
      <w:r w:rsidRPr="009D7635">
        <w:rPr>
          <w:rFonts w:ascii="Times New Roman" w:eastAsia="Times New Roman" w:hAnsi="Times New Roman" w:cs="Times New Roman"/>
          <w:bCs/>
          <w:i/>
          <w:iCs/>
          <w:color w:val="000000" w:themeColor="text1"/>
        </w:rPr>
        <w:t>avec</w:t>
      </w:r>
      <w:proofErr w:type="spellEnd"/>
      <w:r w:rsidRPr="009D7635">
        <w:rPr>
          <w:rFonts w:ascii="Times New Roman" w:eastAsia="Times New Roman" w:hAnsi="Times New Roman" w:cs="Times New Roman"/>
          <w:bCs/>
          <w:i/>
          <w:iCs/>
          <w:color w:val="000000" w:themeColor="text1"/>
        </w:rPr>
        <w:t xml:space="preserve"> introduction, notes et tables, </w:t>
      </w:r>
      <w:r w:rsidRPr="009D7635">
        <w:rPr>
          <w:rFonts w:ascii="Times New Roman" w:eastAsia="Times New Roman" w:hAnsi="Times New Roman" w:cs="Times New Roman"/>
          <w:bCs/>
          <w:iCs/>
          <w:color w:val="000000" w:themeColor="text1"/>
        </w:rPr>
        <w:t xml:space="preserve">ed. </w:t>
      </w:r>
      <w:r w:rsidRPr="009D7635">
        <w:rPr>
          <w:rFonts w:ascii="Times New Roman" w:hAnsi="Times New Roman" w:cs="Times New Roman"/>
          <w:color w:val="000000" w:themeColor="text1"/>
        </w:rPr>
        <w:t xml:space="preserve">Pierre </w:t>
      </w:r>
      <w:proofErr w:type="spellStart"/>
      <w:r w:rsidRPr="009D7635">
        <w:rPr>
          <w:rFonts w:ascii="Times New Roman" w:hAnsi="Times New Roman" w:cs="Times New Roman"/>
          <w:color w:val="000000" w:themeColor="text1"/>
        </w:rPr>
        <w:t>Michaud-Quantin</w:t>
      </w:r>
      <w:proofErr w:type="spellEnd"/>
      <w:r w:rsidRPr="009D7635">
        <w:rPr>
          <w:rFonts w:ascii="Times New Roman" w:eastAsia="Times New Roman" w:hAnsi="Times New Roman" w:cs="Times New Roman"/>
          <w:bCs/>
          <w:i/>
          <w:iCs/>
          <w:color w:val="000000" w:themeColor="text1"/>
        </w:rPr>
        <w:t xml:space="preserve"> </w:t>
      </w:r>
      <w:r w:rsidRPr="009D7635">
        <w:rPr>
          <w:rFonts w:ascii="Times New Roman" w:eastAsia="Times New Roman" w:hAnsi="Times New Roman" w:cs="Times New Roman"/>
          <w:bCs/>
          <w:iCs/>
          <w:color w:val="000000" w:themeColor="text1"/>
        </w:rPr>
        <w:t>(Paris: Vrin, 1964),</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84, citing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lang w:val="en-US"/>
        </w:rPr>
        <w:t>II.2.</w:t>
      </w:r>
    </w:p>
  </w:footnote>
  <w:footnote w:id="734">
    <w:p w14:paraId="641130F6"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Dag Nikolaus Hasse, ‘Avicenna on Abstraction,’ in </w:t>
      </w:r>
      <w:r w:rsidRPr="009D7635">
        <w:rPr>
          <w:rFonts w:ascii="Times New Roman" w:hAnsi="Times New Roman" w:cs="Times New Roman"/>
          <w:i/>
          <w:color w:val="000000" w:themeColor="text1"/>
          <w:lang w:val="en-US"/>
        </w:rPr>
        <w:t>Aspects of Avicenna</w:t>
      </w:r>
      <w:r w:rsidRPr="009D7635">
        <w:rPr>
          <w:rFonts w:ascii="Times New Roman" w:hAnsi="Times New Roman" w:cs="Times New Roman"/>
          <w:color w:val="000000" w:themeColor="text1"/>
          <w:lang w:val="en-US"/>
        </w:rPr>
        <w:t xml:space="preserve">, ed. Robert </w:t>
      </w:r>
      <w:proofErr w:type="spellStart"/>
      <w:r w:rsidRPr="009D7635">
        <w:rPr>
          <w:rFonts w:ascii="Times New Roman" w:hAnsi="Times New Roman" w:cs="Times New Roman"/>
          <w:color w:val="000000" w:themeColor="text1"/>
          <w:lang w:val="en-US"/>
        </w:rPr>
        <w:t>Wisnovsky</w:t>
      </w:r>
      <w:proofErr w:type="spellEnd"/>
      <w:r w:rsidRPr="009D7635">
        <w:rPr>
          <w:rFonts w:ascii="Times New Roman" w:hAnsi="Times New Roman" w:cs="Times New Roman"/>
          <w:color w:val="000000" w:themeColor="text1"/>
          <w:lang w:val="en-US"/>
        </w:rPr>
        <w:t xml:space="preserve"> (Princeton; NJ: Markus Wiener, 2001), 39-72.</w:t>
      </w:r>
    </w:p>
  </w:footnote>
  <w:footnote w:id="735">
    <w:p w14:paraId="02903D3D" w14:textId="77777777" w:rsidR="00B93ED5" w:rsidRPr="009D7635" w:rsidRDefault="00B93ED5" w:rsidP="00E212D3">
      <w:pPr>
        <w:rPr>
          <w:rFonts w:ascii="Times New Roman" w:eastAsia="Times New Roman" w:hAnsi="Times New Roman" w:cs="Times New Roman"/>
          <w:color w:val="000000" w:themeColor="text1"/>
          <w:sz w:val="20"/>
          <w:szCs w:val="20"/>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J. </w:t>
      </w:r>
      <w:proofErr w:type="spellStart"/>
      <w:r w:rsidRPr="009D7635">
        <w:rPr>
          <w:rFonts w:ascii="Times New Roman" w:hAnsi="Times New Roman" w:cs="Times New Roman"/>
          <w:color w:val="000000" w:themeColor="text1"/>
          <w:sz w:val="20"/>
          <w:szCs w:val="20"/>
        </w:rPr>
        <w:t>Rohmer</w:t>
      </w:r>
      <w:proofErr w:type="spellEnd"/>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color w:val="000000" w:themeColor="text1"/>
          <w:sz w:val="20"/>
          <w:szCs w:val="20"/>
          <w:lang w:eastAsia="en-GB"/>
        </w:rPr>
        <w:t xml:space="preserve">‘La </w:t>
      </w:r>
      <w:proofErr w:type="spellStart"/>
      <w:r w:rsidRPr="009D7635">
        <w:rPr>
          <w:rFonts w:ascii="Times New Roman" w:eastAsia="Times New Roman" w:hAnsi="Times New Roman" w:cs="Times New Roman"/>
          <w:color w:val="000000" w:themeColor="text1"/>
          <w:sz w:val="20"/>
          <w:szCs w:val="20"/>
          <w:lang w:eastAsia="en-GB"/>
        </w:rPr>
        <w:t>théorie</w:t>
      </w:r>
      <w:proofErr w:type="spellEnd"/>
      <w:r w:rsidRPr="009D7635">
        <w:rPr>
          <w:rFonts w:ascii="Times New Roman" w:eastAsia="Times New Roman" w:hAnsi="Times New Roman" w:cs="Times New Roman"/>
          <w:color w:val="000000" w:themeColor="text1"/>
          <w:sz w:val="20"/>
          <w:szCs w:val="20"/>
          <w:lang w:eastAsia="en-GB"/>
        </w:rPr>
        <w:t xml:space="preserve"> de l'abstraction dans l'école </w:t>
      </w:r>
      <w:proofErr w:type="spellStart"/>
      <w:r w:rsidRPr="009D7635">
        <w:rPr>
          <w:rFonts w:ascii="Times New Roman" w:eastAsia="Times New Roman" w:hAnsi="Times New Roman" w:cs="Times New Roman"/>
          <w:color w:val="000000" w:themeColor="text1"/>
          <w:sz w:val="20"/>
          <w:szCs w:val="20"/>
          <w:lang w:eastAsia="en-GB"/>
        </w:rPr>
        <w:t>Franciscaine</w:t>
      </w:r>
      <w:proofErr w:type="spellEnd"/>
      <w:r w:rsidRPr="009D7635">
        <w:rPr>
          <w:rFonts w:ascii="Times New Roman" w:eastAsia="Times New Roman" w:hAnsi="Times New Roman" w:cs="Times New Roman"/>
          <w:color w:val="000000" w:themeColor="text1"/>
          <w:sz w:val="20"/>
          <w:szCs w:val="20"/>
          <w:lang w:eastAsia="en-GB"/>
        </w:rPr>
        <w:t xml:space="preserve"> d'Alexandre de </w:t>
      </w:r>
      <w:proofErr w:type="spellStart"/>
      <w:r w:rsidRPr="009D7635">
        <w:rPr>
          <w:rFonts w:ascii="Times New Roman" w:eastAsia="Times New Roman" w:hAnsi="Times New Roman" w:cs="Times New Roman"/>
          <w:color w:val="000000" w:themeColor="text1"/>
          <w:sz w:val="20"/>
          <w:szCs w:val="20"/>
          <w:lang w:eastAsia="en-GB"/>
        </w:rPr>
        <w:t>Halés</w:t>
      </w:r>
      <w:proofErr w:type="spellEnd"/>
      <w:r w:rsidRPr="009D7635">
        <w:rPr>
          <w:rFonts w:ascii="Times New Roman" w:eastAsia="Times New Roman" w:hAnsi="Times New Roman" w:cs="Times New Roman"/>
          <w:color w:val="000000" w:themeColor="text1"/>
          <w:sz w:val="20"/>
          <w:szCs w:val="20"/>
          <w:lang w:eastAsia="en-GB"/>
        </w:rPr>
        <w:t xml:space="preserve"> à Jean Peckham,’ 132, discusses the phases of abstraction in John’s thought.</w:t>
      </w:r>
    </w:p>
  </w:footnote>
  <w:footnote w:id="736">
    <w:p w14:paraId="728A07E7" w14:textId="32626590"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bCs/>
          <w:i/>
          <w:color w:val="000000" w:themeColor="text1"/>
          <w:lang w:val="en-US"/>
        </w:rPr>
        <w:t>Doctoris</w:t>
      </w:r>
      <w:proofErr w:type="spellEnd"/>
      <w:r w:rsidRPr="009D7635">
        <w:rPr>
          <w:rFonts w:ascii="Times New Roman" w:hAnsi="Times New Roman" w:cs="Times New Roman"/>
          <w:bCs/>
          <w:i/>
          <w:color w:val="000000" w:themeColor="text1"/>
          <w:lang w:val="en-US"/>
        </w:rPr>
        <w:t xml:space="preserve"> </w:t>
      </w:r>
      <w:proofErr w:type="spellStart"/>
      <w:r w:rsidRPr="009D7635">
        <w:rPr>
          <w:rFonts w:ascii="Times New Roman" w:hAnsi="Times New Roman" w:cs="Times New Roman"/>
          <w:bCs/>
          <w:i/>
          <w:color w:val="000000" w:themeColor="text1"/>
          <w:lang w:val="en-US"/>
        </w:rPr>
        <w:t>irrefragabilis</w:t>
      </w:r>
      <w:proofErr w:type="spellEnd"/>
      <w:r w:rsidRPr="009D7635">
        <w:rPr>
          <w:rFonts w:ascii="Times New Roman" w:hAnsi="Times New Roman" w:cs="Times New Roman"/>
          <w:bCs/>
          <w:i/>
          <w:color w:val="000000" w:themeColor="text1"/>
          <w:lang w:val="en-US"/>
        </w:rPr>
        <w:t xml:space="preserve"> </w:t>
      </w:r>
      <w:proofErr w:type="spellStart"/>
      <w:r w:rsidRPr="009D7635">
        <w:rPr>
          <w:rFonts w:ascii="Times New Roman" w:hAnsi="Times New Roman" w:cs="Times New Roman"/>
          <w:bCs/>
          <w:i/>
          <w:color w:val="000000" w:themeColor="text1"/>
          <w:lang w:val="en-US"/>
        </w:rPr>
        <w:t>Alexandri</w:t>
      </w:r>
      <w:proofErr w:type="spellEnd"/>
      <w:r w:rsidRPr="009D7635">
        <w:rPr>
          <w:rFonts w:ascii="Times New Roman" w:hAnsi="Times New Roman" w:cs="Times New Roman"/>
          <w:bCs/>
          <w:i/>
          <w:color w:val="000000" w:themeColor="text1"/>
          <w:lang w:val="en-US"/>
        </w:rPr>
        <w:t xml:space="preserve"> de Hales </w:t>
      </w:r>
      <w:proofErr w:type="spellStart"/>
      <w:r w:rsidRPr="009D7635">
        <w:rPr>
          <w:rFonts w:ascii="Times New Roman" w:hAnsi="Times New Roman" w:cs="Times New Roman"/>
          <w:bCs/>
          <w:i/>
          <w:color w:val="000000" w:themeColor="text1"/>
          <w:lang w:val="en-US"/>
        </w:rPr>
        <w:t>Ordinis</w:t>
      </w:r>
      <w:proofErr w:type="spellEnd"/>
      <w:r w:rsidRPr="009D7635">
        <w:rPr>
          <w:rFonts w:ascii="Times New Roman" w:hAnsi="Times New Roman" w:cs="Times New Roman"/>
          <w:bCs/>
          <w:i/>
          <w:color w:val="000000" w:themeColor="text1"/>
          <w:lang w:val="en-US"/>
        </w:rPr>
        <w:t xml:space="preserve"> </w:t>
      </w:r>
      <w:proofErr w:type="spellStart"/>
      <w:r w:rsidRPr="009D7635">
        <w:rPr>
          <w:rFonts w:ascii="Times New Roman" w:hAnsi="Times New Roman" w:cs="Times New Roman"/>
          <w:bCs/>
          <w:i/>
          <w:color w:val="000000" w:themeColor="text1"/>
          <w:lang w:val="en-US"/>
        </w:rPr>
        <w:t>minorum</w:t>
      </w:r>
      <w:proofErr w:type="spellEnd"/>
      <w:r w:rsidRPr="009D7635">
        <w:rPr>
          <w:rFonts w:ascii="Times New Roman" w:hAnsi="Times New Roman" w:cs="Times New Roman"/>
          <w:bCs/>
          <w:i/>
          <w:color w:val="000000" w:themeColor="text1"/>
          <w:lang w:val="en-US"/>
        </w:rPr>
        <w:t xml:space="preserve"> Summa </w:t>
      </w:r>
      <w:proofErr w:type="spellStart"/>
      <w:r w:rsidRPr="009D7635">
        <w:rPr>
          <w:rFonts w:ascii="Times New Roman" w:hAnsi="Times New Roman" w:cs="Times New Roman"/>
          <w:bCs/>
          <w:i/>
          <w:color w:val="000000" w:themeColor="text1"/>
          <w:lang w:val="en-US"/>
        </w:rPr>
        <w:t>theologica</w:t>
      </w:r>
      <w:proofErr w:type="spellEnd"/>
      <w:r w:rsidRPr="009D7635">
        <w:rPr>
          <w:rFonts w:ascii="Times New Roman" w:hAnsi="Times New Roman" w:cs="Times New Roman"/>
          <w:bCs/>
          <w:color w:val="000000" w:themeColor="text1"/>
          <w:lang w:val="en-US"/>
        </w:rPr>
        <w:t xml:space="preserve">, 4 </w:t>
      </w:r>
      <w:proofErr w:type="spellStart"/>
      <w:r w:rsidRPr="009D7635">
        <w:rPr>
          <w:rFonts w:ascii="Times New Roman" w:hAnsi="Times New Roman" w:cs="Times New Roman"/>
          <w:bCs/>
          <w:color w:val="000000" w:themeColor="text1"/>
          <w:lang w:val="en-US"/>
        </w:rPr>
        <w:t>vols</w:t>
      </w:r>
      <w:proofErr w:type="spellEnd"/>
      <w:r w:rsidRPr="009D7635">
        <w:rPr>
          <w:rFonts w:ascii="Times New Roman" w:hAnsi="Times New Roman" w:cs="Times New Roman"/>
          <w:bCs/>
          <w:color w:val="000000" w:themeColor="text1"/>
          <w:lang w:val="en-US"/>
        </w:rPr>
        <w:t xml:space="preserve"> (</w:t>
      </w:r>
      <w:proofErr w:type="spellStart"/>
      <w:r w:rsidRPr="009D7635">
        <w:rPr>
          <w:rFonts w:ascii="Times New Roman" w:hAnsi="Times New Roman" w:cs="Times New Roman"/>
          <w:bCs/>
          <w:color w:val="000000" w:themeColor="text1"/>
        </w:rPr>
        <w:t>Quaracchi</w:t>
      </w:r>
      <w:proofErr w:type="spellEnd"/>
      <w:r w:rsidRPr="009D7635">
        <w:rPr>
          <w:rFonts w:ascii="Times New Roman" w:hAnsi="Times New Roman" w:cs="Times New Roman"/>
          <w:bCs/>
          <w:color w:val="000000" w:themeColor="text1"/>
        </w:rPr>
        <w:t xml:space="preserve">, </w:t>
      </w:r>
      <w:proofErr w:type="spellStart"/>
      <w:r w:rsidRPr="009D7635">
        <w:rPr>
          <w:rFonts w:ascii="Times New Roman" w:hAnsi="Times New Roman" w:cs="Times New Roman"/>
          <w:bCs/>
          <w:color w:val="000000" w:themeColor="text1"/>
        </w:rPr>
        <w:t>Florentiae</w:t>
      </w:r>
      <w:proofErr w:type="spellEnd"/>
      <w:r w:rsidRPr="009D7635">
        <w:rPr>
          <w:rFonts w:ascii="Times New Roman" w:hAnsi="Times New Roman" w:cs="Times New Roman"/>
          <w:bCs/>
          <w:color w:val="000000" w:themeColor="text1"/>
        </w:rPr>
        <w:t xml:space="preserve">: </w:t>
      </w:r>
      <w:proofErr w:type="spellStart"/>
      <w:r w:rsidRPr="009D7635">
        <w:rPr>
          <w:rFonts w:ascii="Times New Roman" w:hAnsi="Times New Roman" w:cs="Times New Roman"/>
          <w:bCs/>
          <w:color w:val="000000" w:themeColor="text1"/>
        </w:rPr>
        <w:t>Collegii</w:t>
      </w:r>
      <w:proofErr w:type="spellEnd"/>
      <w:r w:rsidRPr="009D7635">
        <w:rPr>
          <w:rFonts w:ascii="Times New Roman" w:hAnsi="Times New Roman" w:cs="Times New Roman"/>
          <w:bCs/>
          <w:color w:val="000000" w:themeColor="text1"/>
        </w:rPr>
        <w:t xml:space="preserve"> S. </w:t>
      </w:r>
      <w:proofErr w:type="spellStart"/>
      <w:r w:rsidRPr="009D7635">
        <w:rPr>
          <w:rFonts w:ascii="Times New Roman" w:hAnsi="Times New Roman" w:cs="Times New Roman"/>
          <w:bCs/>
          <w:color w:val="000000" w:themeColor="text1"/>
        </w:rPr>
        <w:t>Bonaventurae</w:t>
      </w:r>
      <w:proofErr w:type="spellEnd"/>
      <w:r w:rsidRPr="009D7635">
        <w:rPr>
          <w:rFonts w:ascii="Times New Roman" w:hAnsi="Times New Roman" w:cs="Times New Roman"/>
          <w:bCs/>
          <w:color w:val="000000" w:themeColor="text1"/>
          <w:lang w:val="en-US"/>
        </w:rPr>
        <w:t>, 1924-48),</w:t>
      </w:r>
      <w:r w:rsidRPr="009D7635">
        <w:rPr>
          <w:rFonts w:ascii="Times New Roman" w:hAnsi="Times New Roman" w:cs="Times New Roman"/>
          <w:i/>
          <w:color w:val="000000" w:themeColor="text1"/>
        </w:rPr>
        <w:t xml:space="preserve"> </w:t>
      </w:r>
      <w:r w:rsidR="001939A0" w:rsidRPr="009D7635">
        <w:rPr>
          <w:rFonts w:ascii="Times New Roman" w:hAnsi="Times New Roman" w:cs="Times New Roman"/>
          <w:iCs/>
          <w:color w:val="000000" w:themeColor="text1"/>
        </w:rPr>
        <w:t>L</w:t>
      </w:r>
      <w:r w:rsidRPr="009D7635">
        <w:rPr>
          <w:rFonts w:ascii="Times New Roman" w:hAnsi="Times New Roman" w:cs="Times New Roman"/>
          <w:color w:val="000000" w:themeColor="text1"/>
        </w:rPr>
        <w:t xml:space="preserve">1, Tr Intro, Q2, M1, C5, 4, 21: </w:t>
      </w:r>
      <w:r w:rsidRPr="009D7635">
        <w:rPr>
          <w:rFonts w:ascii="Times New Roman" w:hAnsi="Times New Roman" w:cs="Times New Roman"/>
          <w:i/>
          <w:color w:val="000000" w:themeColor="text1"/>
        </w:rPr>
        <w:t xml:space="preserve">Species </w:t>
      </w:r>
      <w:proofErr w:type="spellStart"/>
      <w:r w:rsidRPr="009D7635">
        <w:rPr>
          <w:rFonts w:ascii="Times New Roman" w:hAnsi="Times New Roman" w:cs="Times New Roman"/>
          <w:i/>
          <w:color w:val="000000" w:themeColor="text1"/>
        </w:rPr>
        <w:t>omnino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abstracta</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absoluta</w:t>
      </w:r>
      <w:proofErr w:type="spellEnd"/>
      <w:r w:rsidRPr="009D7635">
        <w:rPr>
          <w:rFonts w:ascii="Times New Roman" w:hAnsi="Times New Roman" w:cs="Times New Roman"/>
          <w:i/>
          <w:color w:val="000000" w:themeColor="text1"/>
        </w:rPr>
        <w:t xml:space="preserve"> a </w:t>
      </w:r>
      <w:proofErr w:type="spellStart"/>
      <w:r w:rsidRPr="009D7635">
        <w:rPr>
          <w:rFonts w:ascii="Times New Roman" w:hAnsi="Times New Roman" w:cs="Times New Roman"/>
          <w:i/>
          <w:color w:val="000000" w:themeColor="text1"/>
        </w:rPr>
        <w:t>corporeitate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intelligitur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sicuti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non </w:t>
      </w:r>
      <w:proofErr w:type="spellStart"/>
      <w:r w:rsidRPr="009D7635">
        <w:rPr>
          <w:rFonts w:ascii="Times New Roman" w:hAnsi="Times New Roman" w:cs="Times New Roman"/>
          <w:i/>
          <w:color w:val="000000" w:themeColor="text1"/>
        </w:rPr>
        <w:t>intelligitur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nisi</w:t>
      </w:r>
      <w:proofErr w:type="spellEnd"/>
      <w:r w:rsidRPr="009D7635">
        <w:rPr>
          <w:rFonts w:ascii="Times New Roman" w:hAnsi="Times New Roman" w:cs="Times New Roman"/>
          <w:i/>
          <w:color w:val="000000" w:themeColor="text1"/>
        </w:rPr>
        <w:t xml:space="preserve"> a vi </w:t>
      </w:r>
      <w:proofErr w:type="spellStart"/>
      <w:r w:rsidRPr="009D7635">
        <w:rPr>
          <w:rFonts w:ascii="Times New Roman" w:hAnsi="Times New Roman" w:cs="Times New Roman"/>
          <w:i/>
          <w:color w:val="000000" w:themeColor="text1"/>
        </w:rPr>
        <w:t>intellectiva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omnino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absoluta</w:t>
      </w:r>
      <w:proofErr w:type="spellEnd"/>
      <w:r w:rsidRPr="009D7635">
        <w:rPr>
          <w:rFonts w:ascii="Times New Roman" w:hAnsi="Times New Roman" w:cs="Times New Roman"/>
          <w:i/>
          <w:color w:val="000000" w:themeColor="text1"/>
        </w:rPr>
        <w:t xml:space="preserve"> a </w:t>
      </w:r>
      <w:proofErr w:type="spellStart"/>
      <w:r w:rsidRPr="009D7635">
        <w:rPr>
          <w:rFonts w:ascii="Times New Roman" w:hAnsi="Times New Roman" w:cs="Times New Roman"/>
          <w:i/>
          <w:color w:val="000000" w:themeColor="text1"/>
        </w:rPr>
        <w:t>corpore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expedita</w:t>
      </w:r>
      <w:proofErr w:type="spellEnd"/>
      <w:r w:rsidRPr="009D7635">
        <w:rPr>
          <w:rFonts w:ascii="Times New Roman" w:hAnsi="Times New Roman" w:cs="Times New Roman"/>
          <w:i/>
          <w:color w:val="000000" w:themeColor="text1"/>
        </w:rPr>
        <w:t xml:space="preserve"> a mole </w:t>
      </w:r>
      <w:proofErr w:type="spellStart"/>
      <w:r w:rsidRPr="009D7635">
        <w:rPr>
          <w:rFonts w:ascii="Times New Roman" w:hAnsi="Times New Roman" w:cs="Times New Roman"/>
          <w:i/>
          <w:color w:val="000000" w:themeColor="text1"/>
        </w:rPr>
        <w:t>corporea</w:t>
      </w:r>
      <w:proofErr w:type="spellEnd"/>
      <w:r w:rsidRPr="009D7635">
        <w:rPr>
          <w:rFonts w:ascii="Times New Roman" w:hAnsi="Times New Roman" w:cs="Times New Roman"/>
          <w:color w:val="000000" w:themeColor="text1"/>
        </w:rPr>
        <w:t>.</w:t>
      </w:r>
    </w:p>
  </w:footnote>
  <w:footnote w:id="737">
    <w:p w14:paraId="345E1258" w14:textId="7CA8B3E8"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Summa de anima, </w:t>
      </w:r>
      <w:r w:rsidRPr="009D7635">
        <w:rPr>
          <w:rFonts w:ascii="Times New Roman" w:hAnsi="Times New Roman" w:cs="Times New Roman"/>
          <w:color w:val="000000" w:themeColor="text1"/>
          <w:sz w:val="20"/>
          <w:szCs w:val="20"/>
        </w:rPr>
        <w:t xml:space="preserve">274: </w:t>
      </w:r>
      <w:proofErr w:type="spellStart"/>
      <w:r w:rsidRPr="009D7635">
        <w:rPr>
          <w:rFonts w:ascii="Times New Roman" w:hAnsi="Times New Roman" w:cs="Times New Roman"/>
          <w:i/>
          <w:color w:val="000000" w:themeColor="text1"/>
          <w:sz w:val="20"/>
          <w:szCs w:val="20"/>
          <w:lang w:val="en-US"/>
        </w:rPr>
        <w:t>Sciendum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igitur</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passiuus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corruptibilis</w:t>
      </w:r>
      <w:proofErr w:type="spellEnd"/>
      <w:r w:rsidRPr="009D7635">
        <w:rPr>
          <w:rFonts w:ascii="Times New Roman" w:hAnsi="Times New Roman" w:cs="Times New Roman"/>
          <w:i/>
          <w:color w:val="000000" w:themeColor="text1"/>
          <w:sz w:val="20"/>
          <w:szCs w:val="20"/>
          <w:lang w:val="en-US"/>
        </w:rPr>
        <w:t xml:space="preserve"> qui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ab </w:t>
      </w:r>
      <w:proofErr w:type="spellStart"/>
      <w:r w:rsidRPr="009D7635">
        <w:rPr>
          <w:rFonts w:ascii="Times New Roman" w:hAnsi="Times New Roman" w:cs="Times New Roman"/>
          <w:i/>
          <w:color w:val="000000" w:themeColor="text1"/>
          <w:sz w:val="20"/>
          <w:szCs w:val="20"/>
          <w:lang w:val="en-US"/>
        </w:rPr>
        <w:t>Aristotele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incorruptibilis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separabilis</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eastAsia="en-GB"/>
        </w:rPr>
        <w:t xml:space="preserve">J. </w:t>
      </w:r>
      <w:proofErr w:type="spellStart"/>
      <w:r w:rsidRPr="009D7635">
        <w:rPr>
          <w:rFonts w:ascii="Times New Roman" w:hAnsi="Times New Roman" w:cs="Times New Roman"/>
          <w:color w:val="000000" w:themeColor="text1"/>
          <w:sz w:val="20"/>
          <w:szCs w:val="20"/>
          <w:lang w:eastAsia="en-GB"/>
        </w:rPr>
        <w:t>Rohmer</w:t>
      </w:r>
      <w:proofErr w:type="spellEnd"/>
      <w:r w:rsidRPr="009D7635">
        <w:rPr>
          <w:rFonts w:ascii="Times New Roman" w:hAnsi="Times New Roman" w:cs="Times New Roman"/>
          <w:color w:val="000000" w:themeColor="text1"/>
          <w:sz w:val="20"/>
          <w:szCs w:val="20"/>
          <w:lang w:eastAsia="en-GB"/>
        </w:rPr>
        <w:t xml:space="preserve">, ‘La </w:t>
      </w:r>
      <w:proofErr w:type="spellStart"/>
      <w:r w:rsidRPr="009D7635">
        <w:rPr>
          <w:rFonts w:ascii="Times New Roman" w:hAnsi="Times New Roman" w:cs="Times New Roman"/>
          <w:color w:val="000000" w:themeColor="text1"/>
          <w:sz w:val="20"/>
          <w:szCs w:val="20"/>
          <w:lang w:eastAsia="en-GB"/>
        </w:rPr>
        <w:t>théorie</w:t>
      </w:r>
      <w:proofErr w:type="spellEnd"/>
      <w:r w:rsidRPr="009D7635">
        <w:rPr>
          <w:rFonts w:ascii="Times New Roman" w:hAnsi="Times New Roman" w:cs="Times New Roman"/>
          <w:color w:val="000000" w:themeColor="text1"/>
          <w:sz w:val="20"/>
          <w:szCs w:val="20"/>
          <w:lang w:eastAsia="en-GB"/>
        </w:rPr>
        <w:t xml:space="preserve"> de l'abstraction dans l'école </w:t>
      </w:r>
      <w:proofErr w:type="spellStart"/>
      <w:r w:rsidRPr="009D7635">
        <w:rPr>
          <w:rFonts w:ascii="Times New Roman" w:hAnsi="Times New Roman" w:cs="Times New Roman"/>
          <w:color w:val="000000" w:themeColor="text1"/>
          <w:sz w:val="20"/>
          <w:szCs w:val="20"/>
          <w:lang w:eastAsia="en-GB"/>
        </w:rPr>
        <w:t>Franciscaine</w:t>
      </w:r>
      <w:proofErr w:type="spellEnd"/>
      <w:r w:rsidRPr="009D7635">
        <w:rPr>
          <w:rFonts w:ascii="Times New Roman" w:hAnsi="Times New Roman" w:cs="Times New Roman"/>
          <w:color w:val="000000" w:themeColor="text1"/>
          <w:sz w:val="20"/>
          <w:szCs w:val="20"/>
          <w:lang w:eastAsia="en-GB"/>
        </w:rPr>
        <w:t xml:space="preserve"> d'Alexandre de </w:t>
      </w:r>
      <w:proofErr w:type="spellStart"/>
      <w:r w:rsidRPr="009D7635">
        <w:rPr>
          <w:rFonts w:ascii="Times New Roman" w:hAnsi="Times New Roman" w:cs="Times New Roman"/>
          <w:color w:val="000000" w:themeColor="text1"/>
          <w:sz w:val="20"/>
          <w:szCs w:val="20"/>
          <w:lang w:eastAsia="en-GB"/>
        </w:rPr>
        <w:t>Halés</w:t>
      </w:r>
      <w:proofErr w:type="spellEnd"/>
      <w:r w:rsidRPr="009D7635">
        <w:rPr>
          <w:rFonts w:ascii="Times New Roman" w:hAnsi="Times New Roman" w:cs="Times New Roman"/>
          <w:color w:val="000000" w:themeColor="text1"/>
          <w:sz w:val="20"/>
          <w:szCs w:val="20"/>
          <w:lang w:eastAsia="en-GB"/>
        </w:rPr>
        <w:t xml:space="preserve"> à Jean Peckham,’ </w:t>
      </w:r>
      <w:r w:rsidRPr="009D7635">
        <w:rPr>
          <w:rFonts w:ascii="Times New Roman" w:hAnsi="Times New Roman" w:cs="Times New Roman"/>
          <w:i/>
          <w:color w:val="000000" w:themeColor="text1"/>
          <w:sz w:val="20"/>
          <w:szCs w:val="20"/>
        </w:rPr>
        <w:t xml:space="preserve">Archives </w:t>
      </w:r>
      <w:proofErr w:type="spellStart"/>
      <w:r w:rsidRPr="009D7635">
        <w:rPr>
          <w:rFonts w:ascii="Times New Roman" w:hAnsi="Times New Roman" w:cs="Times New Roman"/>
          <w:i/>
          <w:color w:val="000000" w:themeColor="text1"/>
          <w:sz w:val="20"/>
          <w:szCs w:val="20"/>
        </w:rPr>
        <w:t>d'histoire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doctrinale</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littéraire</w:t>
      </w:r>
      <w:proofErr w:type="spellEnd"/>
      <w:r w:rsidRPr="009D7635">
        <w:rPr>
          <w:rFonts w:ascii="Times New Roman" w:hAnsi="Times New Roman" w:cs="Times New Roman"/>
          <w:i/>
          <w:color w:val="000000" w:themeColor="text1"/>
          <w:sz w:val="20"/>
          <w:szCs w:val="20"/>
        </w:rPr>
        <w:t xml:space="preserve"> du </w:t>
      </w:r>
      <w:proofErr w:type="spellStart"/>
      <w:r w:rsidRPr="009D7635">
        <w:rPr>
          <w:rFonts w:ascii="Times New Roman" w:hAnsi="Times New Roman" w:cs="Times New Roman"/>
          <w:i/>
          <w:color w:val="000000" w:themeColor="text1"/>
          <w:sz w:val="20"/>
          <w:szCs w:val="20"/>
        </w:rPr>
        <w:t>Moyen</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Âge</w:t>
      </w:r>
      <w:proofErr w:type="spellEnd"/>
      <w:r w:rsidRPr="009D7635">
        <w:rPr>
          <w:rFonts w:ascii="Times New Roman" w:hAnsi="Times New Roman" w:cs="Times New Roman"/>
          <w:color w:val="000000" w:themeColor="text1"/>
          <w:sz w:val="20"/>
          <w:szCs w:val="20"/>
          <w:lang w:eastAsia="en-GB"/>
        </w:rPr>
        <w:t xml:space="preserve"> 3 (1928)</w:t>
      </w:r>
      <w:r w:rsidR="00F93D60" w:rsidRPr="009D7635">
        <w:rPr>
          <w:rFonts w:ascii="Times New Roman" w:hAnsi="Times New Roman" w:cs="Times New Roman"/>
          <w:color w:val="000000" w:themeColor="text1"/>
          <w:sz w:val="20"/>
          <w:szCs w:val="20"/>
          <w:lang w:eastAsia="en-GB"/>
        </w:rPr>
        <w:t>:</w:t>
      </w:r>
      <w:r w:rsidRPr="009D7635">
        <w:rPr>
          <w:rFonts w:ascii="Times New Roman" w:hAnsi="Times New Roman" w:cs="Times New Roman"/>
          <w:color w:val="000000" w:themeColor="text1"/>
          <w:sz w:val="20"/>
          <w:szCs w:val="20"/>
          <w:lang w:eastAsia="en-GB"/>
        </w:rPr>
        <w:t xml:space="preserve"> 135</w:t>
      </w:r>
      <w:r w:rsidRPr="009D7635">
        <w:rPr>
          <w:rFonts w:ascii="Times New Roman" w:eastAsia="Times New Roman" w:hAnsi="Times New Roman" w:cs="Times New Roman"/>
          <w:color w:val="000000" w:themeColor="text1"/>
          <w:sz w:val="20"/>
          <w:szCs w:val="20"/>
          <w:lang w:eastAsia="en-GB"/>
        </w:rPr>
        <w:t xml:space="preserve">. </w:t>
      </w:r>
    </w:p>
  </w:footnote>
  <w:footnote w:id="738">
    <w:p w14:paraId="17F29A41" w14:textId="4C4C766C"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bCs/>
          <w:color w:val="000000" w:themeColor="text1"/>
        </w:rPr>
        <w:t xml:space="preserve">René A. Gauthier, ‘Notes </w:t>
      </w:r>
      <w:proofErr w:type="spellStart"/>
      <w:r w:rsidRPr="009D7635">
        <w:rPr>
          <w:rFonts w:ascii="Times New Roman" w:hAnsi="Times New Roman" w:cs="Times New Roman"/>
          <w:bCs/>
          <w:color w:val="000000" w:themeColor="text1"/>
        </w:rPr>
        <w:t>sur</w:t>
      </w:r>
      <w:proofErr w:type="spellEnd"/>
      <w:r w:rsidRPr="009D7635">
        <w:rPr>
          <w:rFonts w:ascii="Times New Roman" w:hAnsi="Times New Roman" w:cs="Times New Roman"/>
          <w:bCs/>
          <w:color w:val="000000" w:themeColor="text1"/>
        </w:rPr>
        <w:t xml:space="preserve"> les débuts (1225-1240) du premier </w:t>
      </w:r>
      <w:proofErr w:type="spellStart"/>
      <w:r w:rsidRPr="009D7635">
        <w:rPr>
          <w:rFonts w:ascii="Times New Roman" w:hAnsi="Times New Roman" w:cs="Times New Roman"/>
          <w:bCs/>
          <w:color w:val="000000" w:themeColor="text1"/>
        </w:rPr>
        <w:t>Averroisme</w:t>
      </w:r>
      <w:proofErr w:type="spellEnd"/>
      <w:r w:rsidRPr="009D7635">
        <w:rPr>
          <w:rFonts w:ascii="Times New Roman" w:hAnsi="Times New Roman" w:cs="Times New Roman"/>
          <w:bCs/>
          <w:color w:val="000000" w:themeColor="text1"/>
        </w:rPr>
        <w:t xml:space="preserve">,’ </w:t>
      </w:r>
      <w:r w:rsidRPr="009D7635">
        <w:rPr>
          <w:rFonts w:ascii="Times New Roman" w:hAnsi="Times New Roman" w:cs="Times New Roman"/>
          <w:bCs/>
          <w:i/>
          <w:color w:val="000000" w:themeColor="text1"/>
        </w:rPr>
        <w:t xml:space="preserve">Revue des sciences </w:t>
      </w:r>
      <w:proofErr w:type="spellStart"/>
      <w:r w:rsidRPr="009D7635">
        <w:rPr>
          <w:rFonts w:ascii="Times New Roman" w:hAnsi="Times New Roman" w:cs="Times New Roman"/>
          <w:bCs/>
          <w:i/>
          <w:color w:val="000000" w:themeColor="text1"/>
        </w:rPr>
        <w:t>philosophiques</w:t>
      </w:r>
      <w:proofErr w:type="spellEnd"/>
      <w:r w:rsidRPr="009D7635">
        <w:rPr>
          <w:rFonts w:ascii="Times New Roman" w:hAnsi="Times New Roman" w:cs="Times New Roman"/>
          <w:bCs/>
          <w:i/>
          <w:color w:val="000000" w:themeColor="text1"/>
        </w:rPr>
        <w:t xml:space="preserve"> et </w:t>
      </w:r>
      <w:proofErr w:type="spellStart"/>
      <w:r w:rsidRPr="009D7635">
        <w:rPr>
          <w:rFonts w:ascii="Times New Roman" w:hAnsi="Times New Roman" w:cs="Times New Roman"/>
          <w:bCs/>
          <w:i/>
          <w:color w:val="000000" w:themeColor="text1"/>
        </w:rPr>
        <w:t>théologiques</w:t>
      </w:r>
      <w:proofErr w:type="spellEnd"/>
      <w:r w:rsidRPr="009D7635">
        <w:rPr>
          <w:rFonts w:ascii="Times New Roman" w:hAnsi="Times New Roman" w:cs="Times New Roman"/>
          <w:bCs/>
          <w:i/>
          <w:color w:val="000000" w:themeColor="text1"/>
        </w:rPr>
        <w:t xml:space="preserve"> </w:t>
      </w:r>
      <w:r w:rsidRPr="009D7635">
        <w:rPr>
          <w:rFonts w:ascii="Times New Roman" w:hAnsi="Times New Roman" w:cs="Times New Roman"/>
          <w:bCs/>
          <w:color w:val="000000" w:themeColor="text1"/>
        </w:rPr>
        <w:t>66 (1982)</w:t>
      </w:r>
      <w:r w:rsidR="00F93D60" w:rsidRPr="009D7635">
        <w:rPr>
          <w:rFonts w:ascii="Times New Roman" w:hAnsi="Times New Roman" w:cs="Times New Roman"/>
          <w:bCs/>
          <w:color w:val="000000" w:themeColor="text1"/>
        </w:rPr>
        <w:t>:</w:t>
      </w:r>
      <w:r w:rsidRPr="009D7635">
        <w:rPr>
          <w:rFonts w:ascii="Times New Roman" w:hAnsi="Times New Roman" w:cs="Times New Roman"/>
          <w:bCs/>
          <w:color w:val="000000" w:themeColor="text1"/>
        </w:rPr>
        <w:t xml:space="preserve"> 322-7.</w:t>
      </w:r>
      <w:r w:rsidRPr="009D7635">
        <w:rPr>
          <w:rFonts w:ascii="Times New Roman" w:hAnsi="Times New Roman" w:cs="Times New Roman"/>
          <w:color w:val="000000" w:themeColor="text1"/>
        </w:rPr>
        <w:t xml:space="preserve"> R. de </w:t>
      </w:r>
      <w:proofErr w:type="spellStart"/>
      <w:r w:rsidRPr="009D7635">
        <w:rPr>
          <w:rFonts w:ascii="Times New Roman" w:hAnsi="Times New Roman" w:cs="Times New Roman"/>
          <w:color w:val="000000" w:themeColor="text1"/>
        </w:rPr>
        <w:t>Vaux</w:t>
      </w:r>
      <w:proofErr w:type="spellEnd"/>
      <w:r w:rsidRPr="009D7635">
        <w:rPr>
          <w:rFonts w:ascii="Times New Roman" w:hAnsi="Times New Roman" w:cs="Times New Roman"/>
          <w:color w:val="000000" w:themeColor="text1"/>
        </w:rPr>
        <w:t xml:space="preserve">, ‘La première entrée </w:t>
      </w:r>
      <w:proofErr w:type="spellStart"/>
      <w:r w:rsidRPr="009D7635">
        <w:rPr>
          <w:rFonts w:ascii="Times New Roman" w:hAnsi="Times New Roman" w:cs="Times New Roman"/>
          <w:color w:val="000000" w:themeColor="text1"/>
        </w:rPr>
        <w:t>d’Averroës</w:t>
      </w:r>
      <w:proofErr w:type="spellEnd"/>
      <w:r w:rsidRPr="009D7635">
        <w:rPr>
          <w:rFonts w:ascii="Times New Roman" w:hAnsi="Times New Roman" w:cs="Times New Roman"/>
          <w:color w:val="000000" w:themeColor="text1"/>
        </w:rPr>
        <w:t xml:space="preserve"> chez les Latins,’ </w:t>
      </w:r>
      <w:r w:rsidRPr="009D7635">
        <w:rPr>
          <w:rFonts w:ascii="Times New Roman" w:hAnsi="Times New Roman" w:cs="Times New Roman"/>
          <w:i/>
          <w:color w:val="000000" w:themeColor="text1"/>
        </w:rPr>
        <w:t xml:space="preserve">Revue des sciences </w:t>
      </w:r>
      <w:proofErr w:type="spellStart"/>
      <w:r w:rsidRPr="009D7635">
        <w:rPr>
          <w:rFonts w:ascii="Times New Roman" w:hAnsi="Times New Roman" w:cs="Times New Roman"/>
          <w:i/>
          <w:color w:val="000000" w:themeColor="text1"/>
        </w:rPr>
        <w:t>philosophiques</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theologiques</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 (1933)</w:t>
      </w:r>
      <w:r w:rsidR="00F93D60"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211. Dominique H. Salman, O.P., ‘Jean de La Rochelle et les débuts de </w:t>
      </w:r>
      <w:proofErr w:type="spellStart"/>
      <w:r w:rsidRPr="009D7635">
        <w:rPr>
          <w:rFonts w:ascii="Times New Roman" w:hAnsi="Times New Roman" w:cs="Times New Roman"/>
          <w:color w:val="000000" w:themeColor="text1"/>
        </w:rPr>
        <w:t>l’Averroisme</w:t>
      </w:r>
      <w:proofErr w:type="spellEnd"/>
      <w:r w:rsidRPr="009D7635">
        <w:rPr>
          <w:rFonts w:ascii="Times New Roman" w:hAnsi="Times New Roman" w:cs="Times New Roman"/>
          <w:color w:val="000000" w:themeColor="text1"/>
        </w:rPr>
        <w:t xml:space="preserve"> Latin,’ </w:t>
      </w:r>
      <w:r w:rsidRPr="009D7635">
        <w:rPr>
          <w:rFonts w:ascii="Times New Roman" w:hAnsi="Times New Roman" w:cs="Times New Roman"/>
          <w:i/>
          <w:color w:val="000000" w:themeColor="text1"/>
        </w:rPr>
        <w:t xml:space="preserve">Archives </w:t>
      </w:r>
      <w:proofErr w:type="spellStart"/>
      <w:r w:rsidRPr="009D7635">
        <w:rPr>
          <w:rFonts w:ascii="Times New Roman" w:hAnsi="Times New Roman" w:cs="Times New Roman"/>
          <w:i/>
          <w:color w:val="000000" w:themeColor="text1"/>
        </w:rPr>
        <w:t>d’histoire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doctrinale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littéraire</w:t>
      </w:r>
      <w:proofErr w:type="spellEnd"/>
      <w:r w:rsidRPr="009D7635">
        <w:rPr>
          <w:rFonts w:ascii="Times New Roman" w:hAnsi="Times New Roman" w:cs="Times New Roman"/>
          <w:i/>
          <w:color w:val="000000" w:themeColor="text1"/>
        </w:rPr>
        <w:t xml:space="preserve"> du </w:t>
      </w:r>
      <w:proofErr w:type="spellStart"/>
      <w:r w:rsidRPr="009D7635">
        <w:rPr>
          <w:rFonts w:ascii="Times New Roman" w:hAnsi="Times New Roman" w:cs="Times New Roman"/>
          <w:i/>
          <w:color w:val="000000" w:themeColor="text1"/>
        </w:rPr>
        <w:t>Moyen</w:t>
      </w:r>
      <w:proofErr w:type="spellEnd"/>
      <w:r w:rsidRPr="009D7635">
        <w:rPr>
          <w:rFonts w:ascii="Times New Roman" w:hAnsi="Times New Roman" w:cs="Times New Roman"/>
          <w:i/>
          <w:color w:val="000000" w:themeColor="text1"/>
        </w:rPr>
        <w:t xml:space="preserve"> Age </w:t>
      </w:r>
      <w:r w:rsidRPr="009D7635">
        <w:rPr>
          <w:rFonts w:ascii="Times New Roman" w:hAnsi="Times New Roman" w:cs="Times New Roman"/>
          <w:color w:val="000000" w:themeColor="text1"/>
        </w:rPr>
        <w:t>(1947-8)</w:t>
      </w:r>
      <w:r w:rsidR="00F93D60"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133-44.</w:t>
      </w:r>
    </w:p>
  </w:footnote>
  <w:footnote w:id="739">
    <w:p w14:paraId="511472C0" w14:textId="1DD5C440" w:rsidR="00B93ED5" w:rsidRPr="009D7635" w:rsidRDefault="00B93ED5" w:rsidP="00F93D60">
      <w:pPr>
        <w:rPr>
          <w:rFonts w:ascii="Times New Roman" w:hAnsi="Times New Roman" w:cs="Times New Roman"/>
          <w:color w:val="000000" w:themeColor="text1"/>
          <w:sz w:val="20"/>
          <w:szCs w:val="20"/>
          <w:lang w:val="fr-FR"/>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René A. Gauthier, ‘La </w:t>
      </w:r>
      <w:proofErr w:type="spellStart"/>
      <w:r w:rsidRPr="009D7635">
        <w:rPr>
          <w:rFonts w:ascii="Times New Roman" w:hAnsi="Times New Roman" w:cs="Times New Roman"/>
          <w:color w:val="000000" w:themeColor="text1"/>
          <w:sz w:val="20"/>
          <w:szCs w:val="20"/>
        </w:rPr>
        <w:t>traité</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De anima et de </w:t>
      </w:r>
      <w:proofErr w:type="spellStart"/>
      <w:r w:rsidRPr="009D7635">
        <w:rPr>
          <w:rFonts w:ascii="Times New Roman" w:hAnsi="Times New Roman" w:cs="Times New Roman"/>
          <w:i/>
          <w:color w:val="000000" w:themeColor="text1"/>
          <w:sz w:val="20"/>
          <w:szCs w:val="20"/>
        </w:rPr>
        <w:t>potenciis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eius</w:t>
      </w:r>
      <w:proofErr w:type="spellEnd"/>
      <w:r w:rsidRPr="009D7635">
        <w:rPr>
          <w:rFonts w:ascii="Times New Roman" w:hAnsi="Times New Roman" w:cs="Times New Roman"/>
          <w:color w:val="000000" w:themeColor="text1"/>
          <w:sz w:val="20"/>
          <w:szCs w:val="20"/>
        </w:rPr>
        <w:t xml:space="preserve"> d’un maitre des arts (</w:t>
      </w:r>
      <w:proofErr w:type="spellStart"/>
      <w:r w:rsidRPr="009D7635">
        <w:rPr>
          <w:rFonts w:ascii="Times New Roman" w:hAnsi="Times New Roman" w:cs="Times New Roman"/>
          <w:color w:val="000000" w:themeColor="text1"/>
          <w:sz w:val="20"/>
          <w:szCs w:val="20"/>
        </w:rPr>
        <w:t>vers</w:t>
      </w:r>
      <w:proofErr w:type="spellEnd"/>
      <w:r w:rsidRPr="009D7635">
        <w:rPr>
          <w:rFonts w:ascii="Times New Roman" w:hAnsi="Times New Roman" w:cs="Times New Roman"/>
          <w:color w:val="000000" w:themeColor="text1"/>
          <w:sz w:val="20"/>
          <w:szCs w:val="20"/>
        </w:rPr>
        <w:t xml:space="preserve"> 1225): Introduction et </w:t>
      </w:r>
      <w:proofErr w:type="spellStart"/>
      <w:r w:rsidRPr="009D7635">
        <w:rPr>
          <w:rFonts w:ascii="Times New Roman" w:hAnsi="Times New Roman" w:cs="Times New Roman"/>
          <w:color w:val="000000" w:themeColor="text1"/>
          <w:sz w:val="20"/>
          <w:szCs w:val="20"/>
        </w:rPr>
        <w:t>texte</w:t>
      </w:r>
      <w:proofErr w:type="spellEnd"/>
      <w:r w:rsidRPr="009D7635">
        <w:rPr>
          <w:rFonts w:ascii="Times New Roman" w:hAnsi="Times New Roman" w:cs="Times New Roman"/>
          <w:color w:val="000000" w:themeColor="text1"/>
          <w:sz w:val="20"/>
          <w:szCs w:val="20"/>
        </w:rPr>
        <w:t xml:space="preserve"> critique,’ </w:t>
      </w:r>
      <w:r w:rsidRPr="009D7635">
        <w:rPr>
          <w:rFonts w:ascii="Times New Roman" w:hAnsi="Times New Roman" w:cs="Times New Roman"/>
          <w:i/>
          <w:color w:val="000000" w:themeColor="text1"/>
          <w:sz w:val="20"/>
          <w:szCs w:val="20"/>
        </w:rPr>
        <w:t xml:space="preserve">Revue des sciences </w:t>
      </w:r>
      <w:proofErr w:type="spellStart"/>
      <w:r w:rsidRPr="009D7635">
        <w:rPr>
          <w:rFonts w:ascii="Times New Roman" w:hAnsi="Times New Roman" w:cs="Times New Roman"/>
          <w:i/>
          <w:color w:val="000000" w:themeColor="text1"/>
          <w:sz w:val="20"/>
          <w:szCs w:val="20"/>
        </w:rPr>
        <w:t>philosophiques</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théologiques</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66 (Paris: Vrin, 1982</w:t>
      </w:r>
      <w:r w:rsidR="00F93D60"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3-55. Daniel A. Callus, ‘The Powers of the Soul: An Early Unpublished Text,’</w:t>
      </w:r>
      <w:r w:rsidR="00182DB5">
        <w:rPr>
          <w:rFonts w:ascii="Times New Roman" w:hAnsi="Times New Roman" w:cs="Times New Roman"/>
          <w:color w:val="000000" w:themeColor="text1"/>
          <w:sz w:val="20"/>
          <w:szCs w:val="20"/>
        </w:rPr>
        <w:t xml:space="preserve"> </w:t>
      </w:r>
      <w:proofErr w:type="spellStart"/>
      <w:r w:rsidR="00182DB5" w:rsidRPr="004746EC">
        <w:rPr>
          <w:rFonts w:ascii="Times New Roman" w:hAnsi="Times New Roman" w:cs="Times New Roman"/>
          <w:i/>
          <w:iCs/>
          <w:color w:val="000000" w:themeColor="text1"/>
        </w:rPr>
        <w:t>Recherches</w:t>
      </w:r>
      <w:proofErr w:type="spellEnd"/>
      <w:r w:rsidR="00182DB5" w:rsidRPr="004746EC">
        <w:rPr>
          <w:rFonts w:ascii="Times New Roman" w:hAnsi="Times New Roman" w:cs="Times New Roman"/>
          <w:i/>
          <w:iCs/>
          <w:color w:val="000000" w:themeColor="text1"/>
        </w:rPr>
        <w:t xml:space="preserve"> de </w:t>
      </w:r>
      <w:proofErr w:type="spellStart"/>
      <w:r w:rsidR="00182DB5" w:rsidRPr="004746EC">
        <w:rPr>
          <w:rFonts w:ascii="Times New Roman" w:hAnsi="Times New Roman" w:cs="Times New Roman"/>
          <w:i/>
          <w:iCs/>
          <w:color w:val="000000" w:themeColor="text1"/>
        </w:rPr>
        <w:t>théologie</w:t>
      </w:r>
      <w:proofErr w:type="spellEnd"/>
      <w:r w:rsidR="00182DB5" w:rsidRPr="004746EC">
        <w:rPr>
          <w:rFonts w:ascii="Times New Roman" w:hAnsi="Times New Roman" w:cs="Times New Roman"/>
          <w:i/>
          <w:iCs/>
          <w:color w:val="000000" w:themeColor="text1"/>
        </w:rPr>
        <w:t xml:space="preserve"> </w:t>
      </w:r>
      <w:proofErr w:type="spellStart"/>
      <w:r w:rsidR="00182DB5" w:rsidRPr="004746EC">
        <w:rPr>
          <w:rFonts w:ascii="Times New Roman" w:hAnsi="Times New Roman" w:cs="Times New Roman"/>
          <w:i/>
          <w:iCs/>
          <w:color w:val="000000" w:themeColor="text1"/>
        </w:rPr>
        <w:t>ancienne</w:t>
      </w:r>
      <w:proofErr w:type="spellEnd"/>
      <w:r w:rsidR="00182DB5" w:rsidRPr="004746EC">
        <w:rPr>
          <w:rFonts w:ascii="Times New Roman" w:hAnsi="Times New Roman" w:cs="Times New Roman"/>
          <w:i/>
          <w:iCs/>
          <w:color w:val="000000" w:themeColor="text1"/>
        </w:rPr>
        <w:t xml:space="preserve"> et </w:t>
      </w:r>
      <w:proofErr w:type="spellStart"/>
      <w:r w:rsidR="00182DB5" w:rsidRPr="004746EC">
        <w:rPr>
          <w:rFonts w:ascii="Times New Roman" w:hAnsi="Times New Roman" w:cs="Times New Roman"/>
          <w:i/>
          <w:iCs/>
          <w:color w:val="000000" w:themeColor="text1"/>
        </w:rPr>
        <w:t>médiévale</w:t>
      </w:r>
      <w:proofErr w:type="spellEnd"/>
      <w:r w:rsidR="00182DB5">
        <w:rPr>
          <w:rFonts w:ascii="Times New Roman" w:hAnsi="Times New Roman" w:cs="Times New Roman"/>
          <w:color w:val="000000" w:themeColor="text1"/>
        </w:rPr>
        <w:t xml:space="preserve"> </w:t>
      </w:r>
      <w:r w:rsidR="00F93D60" w:rsidRPr="009D7635">
        <w:rPr>
          <w:rFonts w:ascii="Times New Roman" w:hAnsi="Times New Roman" w:cs="Times New Roman"/>
          <w:color w:val="000000" w:themeColor="text1"/>
          <w:sz w:val="20"/>
          <w:szCs w:val="20"/>
          <w:lang w:val="fr-FR"/>
        </w:rPr>
        <w:t xml:space="preserve">19 (1952): </w:t>
      </w:r>
      <w:r w:rsidRPr="009D7635">
        <w:rPr>
          <w:rFonts w:ascii="Times New Roman" w:hAnsi="Times New Roman" w:cs="Times New Roman"/>
          <w:color w:val="000000" w:themeColor="text1"/>
          <w:sz w:val="20"/>
          <w:szCs w:val="20"/>
        </w:rPr>
        <w:t>131-70.</w:t>
      </w:r>
    </w:p>
  </w:footnote>
  <w:footnote w:id="740">
    <w:p w14:paraId="18830000" w14:textId="5113191A"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F93D60" w:rsidRPr="009D7635">
        <w:rPr>
          <w:rFonts w:ascii="Times New Roman" w:hAnsi="Times New Roman" w:cs="Times New Roman"/>
          <w:iCs/>
          <w:color w:val="000000" w:themeColor="text1"/>
          <w:sz w:val="20"/>
          <w:szCs w:val="20"/>
        </w:rPr>
        <w:t>Ibid.,</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274:</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passiuus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uis</w:t>
      </w:r>
      <w:proofErr w:type="spellEnd"/>
      <w:r w:rsidRPr="009D7635">
        <w:rPr>
          <w:rFonts w:ascii="Times New Roman" w:hAnsi="Times New Roman" w:cs="Times New Roman"/>
          <w:i/>
          <w:color w:val="000000" w:themeColor="text1"/>
          <w:sz w:val="20"/>
          <w:szCs w:val="20"/>
          <w:lang w:val="en-US"/>
        </w:rPr>
        <w:t xml:space="preserve"> inferior </w:t>
      </w:r>
      <w:proofErr w:type="spellStart"/>
      <w:r w:rsidRPr="009D7635">
        <w:rPr>
          <w:rFonts w:ascii="Times New Roman" w:hAnsi="Times New Roman" w:cs="Times New Roman"/>
          <w:i/>
          <w:color w:val="000000" w:themeColor="text1"/>
          <w:sz w:val="20"/>
          <w:szCs w:val="20"/>
          <w:lang w:val="en-US"/>
        </w:rPr>
        <w:t>partis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coniuncte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recipit</w:t>
      </w:r>
      <w:proofErr w:type="spellEnd"/>
      <w:r w:rsidRPr="009D7635">
        <w:rPr>
          <w:rFonts w:ascii="Times New Roman" w:hAnsi="Times New Roman" w:cs="Times New Roman"/>
          <w:i/>
          <w:color w:val="000000" w:themeColor="text1"/>
          <w:sz w:val="20"/>
          <w:szCs w:val="20"/>
          <w:lang w:val="en-US"/>
        </w:rPr>
        <w:t xml:space="preserve"> species </w:t>
      </w:r>
      <w:proofErr w:type="spellStart"/>
      <w:r w:rsidRPr="009D7635">
        <w:rPr>
          <w:rFonts w:ascii="Times New Roman" w:hAnsi="Times New Roman" w:cs="Times New Roman"/>
          <w:i/>
          <w:color w:val="000000" w:themeColor="text1"/>
          <w:sz w:val="20"/>
          <w:szCs w:val="20"/>
          <w:lang w:val="en-US"/>
        </w:rPr>
        <w:t>intelligibiles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fantasmatibus</w:t>
      </w:r>
      <w:proofErr w:type="spellEnd"/>
      <w:r w:rsidRPr="009D7635">
        <w:rPr>
          <w:rFonts w:ascii="Times New Roman" w:hAnsi="Times New Roman" w:cs="Times New Roman"/>
          <w:i/>
          <w:color w:val="000000" w:themeColor="text1"/>
          <w:sz w:val="20"/>
          <w:szCs w:val="20"/>
          <w:lang w:val="en-US"/>
        </w:rPr>
        <w:t>.</w:t>
      </w:r>
    </w:p>
  </w:footnote>
  <w:footnote w:id="741">
    <w:p w14:paraId="74A3C814" w14:textId="15394C40"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F93D60" w:rsidRPr="009D7635">
        <w:rPr>
          <w:rFonts w:ascii="Times New Roman" w:hAnsi="Times New Roman" w:cs="Times New Roman"/>
          <w:iCs/>
          <w:color w:val="000000" w:themeColor="text1"/>
          <w:sz w:val="20"/>
          <w:szCs w:val="20"/>
        </w:rPr>
        <w:t>Ibid.</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Oportuit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hanc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qui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separabilis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species </w:t>
      </w:r>
      <w:proofErr w:type="spellStart"/>
      <w:r w:rsidRPr="009D7635">
        <w:rPr>
          <w:rFonts w:ascii="Times New Roman" w:hAnsi="Times New Roman" w:cs="Times New Roman"/>
          <w:i/>
          <w:color w:val="000000" w:themeColor="text1"/>
          <w:sz w:val="20"/>
          <w:szCs w:val="20"/>
          <w:lang w:val="en-US"/>
        </w:rPr>
        <w:t>abstractas</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fantasmatibus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intelligeret</w:t>
      </w:r>
      <w:proofErr w:type="spellEnd"/>
      <w:r w:rsidRPr="009D7635">
        <w:rPr>
          <w:rFonts w:ascii="Times New Roman" w:hAnsi="Times New Roman" w:cs="Times New Roman"/>
          <w:i/>
          <w:color w:val="000000" w:themeColor="text1"/>
          <w:sz w:val="20"/>
          <w:szCs w:val="20"/>
          <w:lang w:val="en-US"/>
        </w:rPr>
        <w:t>.</w:t>
      </w:r>
    </w:p>
  </w:footnote>
  <w:footnote w:id="742">
    <w:p w14:paraId="4A3F9D6D" w14:textId="4703218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F93D60" w:rsidRPr="009D7635">
        <w:rPr>
          <w:rFonts w:ascii="Times New Roman" w:hAnsi="Times New Roman" w:cs="Times New Roman"/>
          <w:iCs/>
          <w:color w:val="000000" w:themeColor="text1"/>
          <w:sz w:val="20"/>
          <w:szCs w:val="20"/>
        </w:rPr>
        <w:t>Ibid.:</w:t>
      </w:r>
      <w:r w:rsidR="00F93D60"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Нec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fantasmatibus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offert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materialiter</w:t>
      </w:r>
      <w:proofErr w:type="spellEnd"/>
      <w:r w:rsidRPr="009D7635">
        <w:rPr>
          <w:rFonts w:ascii="Times New Roman" w:hAnsi="Times New Roman" w:cs="Times New Roman"/>
          <w:i/>
          <w:color w:val="000000" w:themeColor="text1"/>
          <w:sz w:val="20"/>
          <w:szCs w:val="20"/>
          <w:lang w:val="en-US"/>
        </w:rPr>
        <w:t xml:space="preserve"> species </w:t>
      </w:r>
      <w:proofErr w:type="spellStart"/>
      <w:r w:rsidRPr="009D7635">
        <w:rPr>
          <w:rFonts w:ascii="Times New Roman" w:hAnsi="Times New Roman" w:cs="Times New Roman"/>
          <w:i/>
          <w:color w:val="000000" w:themeColor="text1"/>
          <w:sz w:val="20"/>
          <w:szCs w:val="20"/>
          <w:lang w:val="en-US"/>
        </w:rPr>
        <w:t>intelligibiles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abstrahendas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Нec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uirtus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nunquam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anime </w:t>
      </w:r>
      <w:proofErr w:type="spellStart"/>
      <w:r w:rsidRPr="009D7635">
        <w:rPr>
          <w:rFonts w:ascii="Times New Roman" w:hAnsi="Times New Roman" w:cs="Times New Roman"/>
          <w:i/>
          <w:color w:val="000000" w:themeColor="text1"/>
          <w:sz w:val="20"/>
          <w:szCs w:val="20"/>
          <w:lang w:val="en-US"/>
        </w:rPr>
        <w:t>racionalis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nisi</w:t>
      </w:r>
      <w:proofErr w:type="spellEnd"/>
      <w:r w:rsidRPr="009D7635">
        <w:rPr>
          <w:rFonts w:ascii="Times New Roman" w:hAnsi="Times New Roman" w:cs="Times New Roman"/>
          <w:i/>
          <w:color w:val="000000" w:themeColor="text1"/>
          <w:sz w:val="20"/>
          <w:szCs w:val="20"/>
          <w:lang w:val="en-US"/>
        </w:rPr>
        <w:t xml:space="preserve">, dum </w:t>
      </w:r>
      <w:proofErr w:type="spellStart"/>
      <w:r w:rsidRPr="009D7635">
        <w:rPr>
          <w:rFonts w:ascii="Times New Roman" w:hAnsi="Times New Roman" w:cs="Times New Roman"/>
          <w:i/>
          <w:color w:val="000000" w:themeColor="text1"/>
          <w:sz w:val="20"/>
          <w:szCs w:val="20"/>
          <w:lang w:val="en-US"/>
        </w:rPr>
        <w:t>coniungitur</w:t>
      </w:r>
      <w:proofErr w:type="spellEnd"/>
      <w:r w:rsidRPr="009D7635">
        <w:rPr>
          <w:rFonts w:ascii="Times New Roman" w:hAnsi="Times New Roman" w:cs="Times New Roman"/>
          <w:i/>
          <w:color w:val="000000" w:themeColor="text1"/>
          <w:sz w:val="20"/>
          <w:szCs w:val="20"/>
          <w:lang w:val="en-US"/>
        </w:rPr>
        <w:t xml:space="preserve"> ad corpus.</w:t>
      </w:r>
    </w:p>
  </w:footnote>
  <w:footnote w:id="743">
    <w:p w14:paraId="058749AD" w14:textId="1368788C"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D86975" w:rsidRPr="009D7635">
        <w:rPr>
          <w:rFonts w:ascii="Times New Roman" w:hAnsi="Times New Roman" w:cs="Times New Roman"/>
          <w:iCs/>
          <w:color w:val="000000" w:themeColor="text1"/>
        </w:rPr>
        <w:t>Ibid.,</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275.</w:t>
      </w:r>
    </w:p>
  </w:footnote>
  <w:footnote w:id="744">
    <w:p w14:paraId="3222149E"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eastAsia="Times New Roman" w:hAnsi="Times New Roman" w:cs="Times New Roman"/>
          <w:bCs/>
          <w:i/>
          <w:iCs/>
          <w:color w:val="000000" w:themeColor="text1"/>
        </w:rPr>
        <w:t>Tractatus</w:t>
      </w:r>
      <w:proofErr w:type="spellEnd"/>
      <w:r w:rsidRPr="009D7635">
        <w:rPr>
          <w:rFonts w:ascii="Times New Roman" w:eastAsia="Times New Roman" w:hAnsi="Times New Roman" w:cs="Times New Roman"/>
          <w:bCs/>
          <w:iCs/>
          <w:color w:val="000000" w:themeColor="text1"/>
        </w:rPr>
        <w:t xml:space="preserve"> </w:t>
      </w:r>
      <w:r w:rsidRPr="009D7635">
        <w:rPr>
          <w:rFonts w:ascii="Times New Roman" w:hAnsi="Times New Roman" w:cs="Times New Roman"/>
          <w:color w:val="000000" w:themeColor="text1"/>
        </w:rPr>
        <w:t xml:space="preserve">87, citing </w:t>
      </w:r>
      <w:r w:rsidRPr="009D7635">
        <w:rPr>
          <w:rFonts w:ascii="Times New Roman" w:hAnsi="Times New Roman" w:cs="Times New Roman"/>
          <w:i/>
          <w:color w:val="000000" w:themeColor="text1"/>
          <w:lang w:val="en-US"/>
        </w:rPr>
        <w:t>De anima</w:t>
      </w:r>
      <w:r w:rsidRPr="009D7635">
        <w:rPr>
          <w:rFonts w:ascii="Times New Roman" w:hAnsi="Times New Roman" w:cs="Times New Roman"/>
          <w:color w:val="000000" w:themeColor="text1"/>
          <w:lang w:val="en-US"/>
        </w:rPr>
        <w:t xml:space="preserve"> III.5.</w:t>
      </w:r>
    </w:p>
  </w:footnote>
  <w:footnote w:id="745">
    <w:p w14:paraId="607DAFAA" w14:textId="7777777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Summa de anima,</w:t>
      </w:r>
      <w:r w:rsidRPr="009D7635">
        <w:rPr>
          <w:rFonts w:ascii="Times New Roman" w:hAnsi="Times New Roman" w:cs="Times New Roman"/>
          <w:color w:val="000000" w:themeColor="text1"/>
          <w:sz w:val="20"/>
          <w:szCs w:val="20"/>
          <w:lang w:val="en-US"/>
        </w:rPr>
        <w:t xml:space="preserve"> 275: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quasi </w:t>
      </w:r>
      <w:proofErr w:type="spellStart"/>
      <w:r w:rsidRPr="009D7635">
        <w:rPr>
          <w:rFonts w:ascii="Times New Roman" w:hAnsi="Times New Roman" w:cs="Times New Roman"/>
          <w:i/>
          <w:color w:val="000000" w:themeColor="text1"/>
          <w:sz w:val="20"/>
          <w:szCs w:val="20"/>
          <w:lang w:val="en-US"/>
        </w:rPr>
        <w:t>materialis</w:t>
      </w:r>
      <w:proofErr w:type="spellEnd"/>
      <w:r w:rsidRPr="009D7635">
        <w:rPr>
          <w:rFonts w:ascii="Times New Roman" w:hAnsi="Times New Roman" w:cs="Times New Roman"/>
          <w:i/>
          <w:color w:val="000000" w:themeColor="text1"/>
          <w:sz w:val="20"/>
          <w:szCs w:val="20"/>
          <w:lang w:val="en-US"/>
        </w:rPr>
        <w:t xml:space="preserve">, alia </w:t>
      </w:r>
      <w:proofErr w:type="spellStart"/>
      <w:r w:rsidRPr="009D7635">
        <w:rPr>
          <w:rFonts w:ascii="Times New Roman" w:hAnsi="Times New Roman" w:cs="Times New Roman"/>
          <w:i/>
          <w:color w:val="000000" w:themeColor="text1"/>
          <w:sz w:val="20"/>
          <w:szCs w:val="20"/>
          <w:lang w:val="en-US"/>
        </w:rPr>
        <w:t>formalis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tabula </w:t>
      </w:r>
      <w:proofErr w:type="spellStart"/>
      <w:r w:rsidRPr="009D7635">
        <w:rPr>
          <w:rFonts w:ascii="Times New Roman" w:hAnsi="Times New Roman" w:cs="Times New Roman"/>
          <w:i/>
          <w:color w:val="000000" w:themeColor="text1"/>
          <w:sz w:val="20"/>
          <w:szCs w:val="20"/>
          <w:lang w:val="en-US"/>
        </w:rPr>
        <w:t>nuda</w:t>
      </w:r>
      <w:proofErr w:type="spellEnd"/>
      <w:r w:rsidRPr="009D7635">
        <w:rPr>
          <w:rFonts w:ascii="Times New Roman" w:hAnsi="Times New Roman" w:cs="Times New Roman"/>
          <w:i/>
          <w:color w:val="000000" w:themeColor="text1"/>
          <w:sz w:val="20"/>
          <w:szCs w:val="20"/>
          <w:lang w:val="en-US"/>
        </w:rPr>
        <w:t xml:space="preserve"> ab omni </w:t>
      </w:r>
      <w:proofErr w:type="spellStart"/>
      <w:r w:rsidRPr="009D7635">
        <w:rPr>
          <w:rFonts w:ascii="Times New Roman" w:hAnsi="Times New Roman" w:cs="Times New Roman"/>
          <w:i/>
          <w:color w:val="000000" w:themeColor="text1"/>
          <w:sz w:val="20"/>
          <w:szCs w:val="20"/>
          <w:lang w:val="en-US"/>
        </w:rPr>
        <w:t>pictura</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susceptibilis</w:t>
      </w:r>
      <w:proofErr w:type="spellEnd"/>
      <w:r w:rsidRPr="009D7635">
        <w:rPr>
          <w:rFonts w:ascii="Times New Roman" w:hAnsi="Times New Roman" w:cs="Times New Roman"/>
          <w:i/>
          <w:color w:val="000000" w:themeColor="text1"/>
          <w:sz w:val="20"/>
          <w:szCs w:val="20"/>
          <w:lang w:val="en-US"/>
        </w:rPr>
        <w:t xml:space="preserve"> omnium </w:t>
      </w:r>
      <w:proofErr w:type="spellStart"/>
      <w:r w:rsidRPr="009D7635">
        <w:rPr>
          <w:rFonts w:ascii="Times New Roman" w:hAnsi="Times New Roman" w:cs="Times New Roman"/>
          <w:i/>
          <w:color w:val="000000" w:themeColor="text1"/>
          <w:sz w:val="20"/>
          <w:szCs w:val="20"/>
          <w:lang w:val="en-US"/>
        </w:rPr>
        <w:t>picturarum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nullam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omnes</w:t>
      </w:r>
      <w:proofErr w:type="spellEnd"/>
      <w:r w:rsidRPr="009D7635">
        <w:rPr>
          <w:rFonts w:ascii="Times New Roman" w:hAnsi="Times New Roman" w:cs="Times New Roman"/>
          <w:i/>
          <w:color w:val="000000" w:themeColor="text1"/>
          <w:sz w:val="20"/>
          <w:szCs w:val="20"/>
          <w:lang w:val="en-US"/>
        </w:rPr>
        <w:t xml:space="preserve">. Et hoc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Cf.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87: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tabula rasa, </w:t>
      </w:r>
      <w:proofErr w:type="spellStart"/>
      <w:r w:rsidRPr="009D7635">
        <w:rPr>
          <w:rFonts w:ascii="Times New Roman" w:hAnsi="Times New Roman" w:cs="Times New Roman"/>
          <w:i/>
          <w:color w:val="000000" w:themeColor="text1"/>
          <w:sz w:val="20"/>
          <w:szCs w:val="20"/>
          <w:lang w:val="en-US"/>
        </w:rPr>
        <w:t>nuda</w:t>
      </w:r>
      <w:proofErr w:type="spellEnd"/>
      <w:r w:rsidRPr="009D7635">
        <w:rPr>
          <w:rFonts w:ascii="Times New Roman" w:hAnsi="Times New Roman" w:cs="Times New Roman"/>
          <w:i/>
          <w:color w:val="000000" w:themeColor="text1"/>
          <w:sz w:val="20"/>
          <w:szCs w:val="20"/>
          <w:lang w:val="en-US"/>
        </w:rPr>
        <w:t xml:space="preserve"> ab omni </w:t>
      </w:r>
      <w:proofErr w:type="spellStart"/>
      <w:r w:rsidRPr="009D7635">
        <w:rPr>
          <w:rFonts w:ascii="Times New Roman" w:hAnsi="Times New Roman" w:cs="Times New Roman"/>
          <w:i/>
          <w:color w:val="000000" w:themeColor="text1"/>
          <w:sz w:val="20"/>
          <w:szCs w:val="20"/>
          <w:lang w:val="en-US"/>
        </w:rPr>
        <w:t>pictura</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susceptiua</w:t>
      </w:r>
      <w:proofErr w:type="spellEnd"/>
      <w:r w:rsidRPr="009D7635">
        <w:rPr>
          <w:rFonts w:ascii="Times New Roman" w:hAnsi="Times New Roman" w:cs="Times New Roman"/>
          <w:i/>
          <w:color w:val="000000" w:themeColor="text1"/>
          <w:sz w:val="20"/>
          <w:szCs w:val="20"/>
          <w:lang w:val="en-US"/>
        </w:rPr>
        <w:t xml:space="preserve"> omnium </w:t>
      </w:r>
      <w:proofErr w:type="spellStart"/>
      <w:r w:rsidRPr="009D7635">
        <w:rPr>
          <w:rFonts w:ascii="Times New Roman" w:hAnsi="Times New Roman" w:cs="Times New Roman"/>
          <w:i/>
          <w:color w:val="000000" w:themeColor="text1"/>
          <w:sz w:val="20"/>
          <w:szCs w:val="20"/>
          <w:lang w:val="en-US"/>
        </w:rPr>
        <w:t>picturarum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nullam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omnes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hec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w:t>
      </w:r>
    </w:p>
  </w:footnote>
  <w:footnote w:id="746">
    <w:p w14:paraId="30C91870" w14:textId="7DE89CB3" w:rsidR="00B93ED5" w:rsidRPr="009D7635" w:rsidRDefault="00B93ED5" w:rsidP="00533957">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FC006A" w:rsidRPr="009D7635">
        <w:rPr>
          <w:rFonts w:ascii="Times New Roman" w:hAnsi="Times New Roman" w:cs="Times New Roman"/>
          <w:iCs/>
          <w:color w:val="000000" w:themeColor="text1"/>
          <w:sz w:val="20"/>
          <w:szCs w:val="20"/>
        </w:rPr>
        <w:t>Ibid.</w:t>
      </w:r>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operacio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primo </w:t>
      </w:r>
      <w:proofErr w:type="spellStart"/>
      <w:r w:rsidRPr="009D7635">
        <w:rPr>
          <w:rFonts w:ascii="Times New Roman" w:hAnsi="Times New Roman" w:cs="Times New Roman"/>
          <w:i/>
          <w:color w:val="000000" w:themeColor="text1"/>
          <w:sz w:val="20"/>
          <w:szCs w:val="20"/>
          <w:lang w:val="en-US"/>
        </w:rPr>
        <w:t>conuertere</w:t>
      </w:r>
      <w:proofErr w:type="spellEnd"/>
      <w:r w:rsidRPr="009D7635">
        <w:rPr>
          <w:rFonts w:ascii="Times New Roman" w:hAnsi="Times New Roman" w:cs="Times New Roman"/>
          <w:i/>
          <w:color w:val="000000" w:themeColor="text1"/>
          <w:sz w:val="20"/>
          <w:szCs w:val="20"/>
          <w:lang w:val="en-US"/>
        </w:rPr>
        <w:t xml:space="preserve"> se per </w:t>
      </w:r>
      <w:proofErr w:type="spellStart"/>
      <w:r w:rsidRPr="009D7635">
        <w:rPr>
          <w:rFonts w:ascii="Times New Roman" w:hAnsi="Times New Roman" w:cs="Times New Roman"/>
          <w:i/>
          <w:color w:val="000000" w:themeColor="text1"/>
          <w:sz w:val="20"/>
          <w:szCs w:val="20"/>
          <w:lang w:val="en-US"/>
        </w:rPr>
        <w:t>consideracionem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ymaginacione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illuminantur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luce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intelligencie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agentis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abstrahuntur</w:t>
      </w:r>
      <w:proofErr w:type="spellEnd"/>
      <w:r w:rsidRPr="009D7635">
        <w:rPr>
          <w:rFonts w:ascii="Times New Roman" w:hAnsi="Times New Roman" w:cs="Times New Roman"/>
          <w:i/>
          <w:color w:val="000000" w:themeColor="text1"/>
          <w:sz w:val="20"/>
          <w:szCs w:val="20"/>
          <w:lang w:val="en-US"/>
        </w:rPr>
        <w:t xml:space="preserve"> et denudate ab omnibus </w:t>
      </w:r>
      <w:proofErr w:type="spellStart"/>
      <w:r w:rsidRPr="009D7635">
        <w:rPr>
          <w:rFonts w:ascii="Times New Roman" w:hAnsi="Times New Roman" w:cs="Times New Roman"/>
          <w:i/>
          <w:color w:val="000000" w:themeColor="text1"/>
          <w:sz w:val="20"/>
          <w:szCs w:val="20"/>
          <w:lang w:val="en-US"/>
        </w:rPr>
        <w:t>circumstanciis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imprimuntur</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intellectu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dictum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educitur</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actum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formatur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tunc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formatus</w:t>
      </w:r>
      <w:proofErr w:type="spellEnd"/>
    </w:p>
  </w:footnote>
  <w:footnote w:id="747">
    <w:p w14:paraId="45EFF101"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color w:val="000000" w:themeColor="text1"/>
        </w:rPr>
        <w:t xml:space="preserve"> 91, 95; as mentioned in DSEA</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4</w:t>
      </w:r>
    </w:p>
  </w:footnote>
  <w:footnote w:id="748">
    <w:p w14:paraId="20FD912D" w14:textId="0B1B191F" w:rsidR="00B93ED5" w:rsidRPr="009D7635" w:rsidRDefault="00B93ED5" w:rsidP="00E212D3">
      <w:pPr>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color w:val="000000" w:themeColor="text1"/>
          <w:sz w:val="20"/>
          <w:szCs w:val="20"/>
        </w:rPr>
        <w:t xml:space="preserve"> 280: </w:t>
      </w:r>
      <w:proofErr w:type="spellStart"/>
      <w:r w:rsidRPr="009D7635">
        <w:rPr>
          <w:rFonts w:ascii="Times New Roman" w:hAnsi="Times New Roman" w:cs="Times New Roman"/>
          <w:i/>
          <w:color w:val="000000" w:themeColor="text1"/>
          <w:sz w:val="20"/>
          <w:szCs w:val="20"/>
        </w:rPr>
        <w:t>Notandum</w:t>
      </w:r>
      <w:proofErr w:type="spellEnd"/>
      <w:r w:rsidRPr="009D7635">
        <w:rPr>
          <w:rFonts w:ascii="Times New Roman" w:hAnsi="Times New Roman" w:cs="Times New Roman"/>
          <w:i/>
          <w:color w:val="000000" w:themeColor="text1"/>
          <w:sz w:val="20"/>
          <w:szCs w:val="20"/>
        </w:rPr>
        <w:t xml:space="preserve"> ergo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Avicennam</w:t>
      </w:r>
      <w:proofErr w:type="spellEnd"/>
      <w:r w:rsidRPr="009D7635">
        <w:rPr>
          <w:rFonts w:ascii="Times New Roman" w:hAnsi="Times New Roman" w:cs="Times New Roman"/>
          <w:i/>
          <w:color w:val="000000" w:themeColor="text1"/>
          <w:sz w:val="20"/>
          <w:szCs w:val="20"/>
        </w:rPr>
        <w:t xml:space="preserve">, quod </w:t>
      </w:r>
      <w:proofErr w:type="spellStart"/>
      <w:r w:rsidRPr="009D7635">
        <w:rPr>
          <w:rFonts w:ascii="Times New Roman" w:hAnsi="Times New Roman" w:cs="Times New Roman"/>
          <w:i/>
          <w:color w:val="000000" w:themeColor="text1"/>
          <w:sz w:val="20"/>
          <w:szCs w:val="20"/>
        </w:rPr>
        <w:t>operacio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agentis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illuminare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lumen </w:t>
      </w:r>
      <w:proofErr w:type="spellStart"/>
      <w:r w:rsidRPr="009D7635">
        <w:rPr>
          <w:rFonts w:ascii="Times New Roman" w:hAnsi="Times New Roman" w:cs="Times New Roman"/>
          <w:i/>
          <w:color w:val="000000" w:themeColor="text1"/>
          <w:sz w:val="20"/>
          <w:szCs w:val="20"/>
        </w:rPr>
        <w:t>intelligencie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diffundere</w:t>
      </w:r>
      <w:proofErr w:type="spellEnd"/>
      <w:r w:rsidRPr="009D7635">
        <w:rPr>
          <w:rFonts w:ascii="Times New Roman" w:hAnsi="Times New Roman" w:cs="Times New Roman"/>
          <w:i/>
          <w:color w:val="000000" w:themeColor="text1"/>
          <w:sz w:val="20"/>
          <w:szCs w:val="20"/>
        </w:rPr>
        <w:t xml:space="preserve"> super </w:t>
      </w:r>
      <w:proofErr w:type="spellStart"/>
      <w:r w:rsidRPr="009D7635">
        <w:rPr>
          <w:rFonts w:ascii="Times New Roman" w:hAnsi="Times New Roman" w:cs="Times New Roman"/>
          <w:i/>
          <w:color w:val="000000" w:themeColor="text1"/>
          <w:sz w:val="20"/>
          <w:szCs w:val="20"/>
        </w:rPr>
        <w:t>formas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sensibiles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existentes</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ymaginacione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estimacione</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illuminando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abstrahere</w:t>
      </w:r>
      <w:proofErr w:type="spellEnd"/>
      <w:r w:rsidRPr="009D7635">
        <w:rPr>
          <w:rFonts w:ascii="Times New Roman" w:hAnsi="Times New Roman" w:cs="Times New Roman"/>
          <w:i/>
          <w:color w:val="000000" w:themeColor="text1"/>
          <w:sz w:val="20"/>
          <w:szCs w:val="20"/>
        </w:rPr>
        <w:t xml:space="preserve"> ab omnibus </w:t>
      </w:r>
      <w:proofErr w:type="spellStart"/>
      <w:r w:rsidRPr="009D7635">
        <w:rPr>
          <w:rFonts w:ascii="Times New Roman" w:hAnsi="Times New Roman" w:cs="Times New Roman"/>
          <w:i/>
          <w:color w:val="000000" w:themeColor="text1"/>
          <w:sz w:val="20"/>
          <w:szCs w:val="20"/>
        </w:rPr>
        <w:t>circumstanciis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materialibus</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abstractas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copulare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sive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ordinare</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intellectu</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possibili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quemadmodum</w:t>
      </w:r>
      <w:proofErr w:type="spellEnd"/>
      <w:r w:rsidRPr="009D7635">
        <w:rPr>
          <w:rFonts w:ascii="Times New Roman" w:hAnsi="Times New Roman" w:cs="Times New Roman"/>
          <w:i/>
          <w:color w:val="000000" w:themeColor="text1"/>
          <w:sz w:val="20"/>
          <w:szCs w:val="20"/>
        </w:rPr>
        <w:t xml:space="preserve"> per </w:t>
      </w:r>
      <w:proofErr w:type="spellStart"/>
      <w:r w:rsidRPr="009D7635">
        <w:rPr>
          <w:rFonts w:ascii="Times New Roman" w:hAnsi="Times New Roman" w:cs="Times New Roman"/>
          <w:i/>
          <w:color w:val="000000" w:themeColor="text1"/>
          <w:sz w:val="20"/>
          <w:szCs w:val="20"/>
        </w:rPr>
        <w:t>operacionem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lucis</w:t>
      </w:r>
      <w:proofErr w:type="spellEnd"/>
      <w:r w:rsidRPr="009D7635">
        <w:rPr>
          <w:rFonts w:ascii="Times New Roman" w:hAnsi="Times New Roman" w:cs="Times New Roman"/>
          <w:i/>
          <w:color w:val="000000" w:themeColor="text1"/>
          <w:sz w:val="20"/>
          <w:szCs w:val="20"/>
        </w:rPr>
        <w:t xml:space="preserve"> species </w:t>
      </w:r>
      <w:proofErr w:type="spellStart"/>
      <w:r w:rsidRPr="009D7635">
        <w:rPr>
          <w:rFonts w:ascii="Times New Roman" w:hAnsi="Times New Roman" w:cs="Times New Roman"/>
          <w:i/>
          <w:color w:val="000000" w:themeColor="text1"/>
          <w:sz w:val="20"/>
          <w:szCs w:val="20"/>
        </w:rPr>
        <w:t>coloris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abstrahitur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quodam</w:t>
      </w:r>
      <w:proofErr w:type="spellEnd"/>
      <w:r w:rsidRPr="009D7635">
        <w:rPr>
          <w:rFonts w:ascii="Times New Roman" w:hAnsi="Times New Roman" w:cs="Times New Roman"/>
          <w:i/>
          <w:color w:val="000000" w:themeColor="text1"/>
          <w:sz w:val="20"/>
          <w:szCs w:val="20"/>
        </w:rPr>
        <w:t xml:space="preserve"> modo et </w:t>
      </w:r>
      <w:proofErr w:type="spellStart"/>
      <w:r w:rsidRPr="009D7635">
        <w:rPr>
          <w:rFonts w:ascii="Times New Roman" w:hAnsi="Times New Roman" w:cs="Times New Roman"/>
          <w:i/>
          <w:color w:val="000000" w:themeColor="text1"/>
          <w:sz w:val="20"/>
          <w:szCs w:val="20"/>
        </w:rPr>
        <w:t>pupille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copulatur</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Cf.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color w:val="000000" w:themeColor="text1"/>
          <w:sz w:val="20"/>
          <w:szCs w:val="20"/>
        </w:rPr>
        <w:t xml:space="preserve">, 93 quoting, </w:t>
      </w:r>
      <w:r w:rsidRPr="009D7635">
        <w:rPr>
          <w:rFonts w:ascii="Times New Roman" w:hAnsi="Times New Roman" w:cs="Times New Roman"/>
          <w:i/>
          <w:color w:val="000000" w:themeColor="text1"/>
          <w:sz w:val="20"/>
          <w:szCs w:val="20"/>
        </w:rPr>
        <w:t>De anima</w:t>
      </w:r>
      <w:r w:rsidRPr="009D7635">
        <w:rPr>
          <w:rFonts w:ascii="Times New Roman" w:hAnsi="Times New Roman" w:cs="Times New Roman"/>
          <w:color w:val="000000" w:themeColor="text1"/>
          <w:sz w:val="20"/>
          <w:szCs w:val="20"/>
        </w:rPr>
        <w:t xml:space="preserve"> V.5: </w:t>
      </w:r>
      <w:proofErr w:type="spellStart"/>
      <w:r w:rsidRPr="009D7635">
        <w:rPr>
          <w:rFonts w:ascii="Times New Roman" w:hAnsi="Times New Roman" w:cs="Times New Roman"/>
          <w:i/>
          <w:color w:val="000000" w:themeColor="text1"/>
          <w:sz w:val="20"/>
          <w:szCs w:val="20"/>
          <w:lang w:val="en-US"/>
        </w:rPr>
        <w:t>Notandum</w:t>
      </w:r>
      <w:proofErr w:type="spellEnd"/>
      <w:r w:rsidRPr="009D7635">
        <w:rPr>
          <w:rFonts w:ascii="Times New Roman" w:hAnsi="Times New Roman" w:cs="Times New Roman"/>
          <w:i/>
          <w:color w:val="000000" w:themeColor="text1"/>
          <w:sz w:val="20"/>
          <w:szCs w:val="20"/>
          <w:lang w:val="en-US"/>
        </w:rPr>
        <w:t xml:space="preserve"> ergo,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Auicennam</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operatio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illuminare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siue</w:t>
      </w:r>
      <w:proofErr w:type="spellEnd"/>
      <w:r w:rsidRPr="009D7635">
        <w:rPr>
          <w:rFonts w:ascii="Times New Roman" w:hAnsi="Times New Roman" w:cs="Times New Roman"/>
          <w:i/>
          <w:color w:val="000000" w:themeColor="text1"/>
          <w:sz w:val="20"/>
          <w:szCs w:val="20"/>
          <w:lang w:val="en-US"/>
        </w:rPr>
        <w:t xml:space="preserve"> lumen </w:t>
      </w:r>
      <w:proofErr w:type="spellStart"/>
      <w:r w:rsidRPr="009D7635">
        <w:rPr>
          <w:rFonts w:ascii="Times New Roman" w:hAnsi="Times New Roman" w:cs="Times New Roman"/>
          <w:i/>
          <w:color w:val="000000" w:themeColor="text1"/>
          <w:sz w:val="20"/>
          <w:szCs w:val="20"/>
          <w:lang w:val="en-US"/>
        </w:rPr>
        <w:t>intelligentie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diffundere</w:t>
      </w:r>
      <w:proofErr w:type="spellEnd"/>
      <w:r w:rsidRPr="009D7635">
        <w:rPr>
          <w:rFonts w:ascii="Times New Roman" w:hAnsi="Times New Roman" w:cs="Times New Roman"/>
          <w:i/>
          <w:color w:val="000000" w:themeColor="text1"/>
          <w:sz w:val="20"/>
          <w:szCs w:val="20"/>
          <w:lang w:val="en-US"/>
        </w:rPr>
        <w:t xml:space="preserve"> super</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existentes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ymaginatione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estimatione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illuminando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abstrahere</w:t>
      </w:r>
      <w:proofErr w:type="spellEnd"/>
      <w:r w:rsidRPr="009D7635">
        <w:rPr>
          <w:rFonts w:ascii="Times New Roman" w:hAnsi="Times New Roman" w:cs="Times New Roman"/>
          <w:i/>
          <w:color w:val="000000" w:themeColor="text1"/>
          <w:sz w:val="20"/>
          <w:szCs w:val="20"/>
          <w:lang w:val="en-US"/>
        </w:rPr>
        <w:t xml:space="preserve"> ab omnibus </w:t>
      </w:r>
      <w:proofErr w:type="spellStart"/>
      <w:r w:rsidRPr="009D7635">
        <w:rPr>
          <w:rFonts w:ascii="Times New Roman" w:hAnsi="Times New Roman" w:cs="Times New Roman"/>
          <w:i/>
          <w:color w:val="000000" w:themeColor="text1"/>
          <w:sz w:val="20"/>
          <w:szCs w:val="20"/>
          <w:lang w:val="en-US"/>
        </w:rPr>
        <w:t>circumstantiis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materialibus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abstractas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copulare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ordinare</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intellectu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quemadmodum</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per </w:t>
      </w:r>
      <w:proofErr w:type="spellStart"/>
      <w:r w:rsidRPr="009D7635">
        <w:rPr>
          <w:rFonts w:ascii="Times New Roman" w:hAnsi="Times New Roman" w:cs="Times New Roman"/>
          <w:i/>
          <w:color w:val="000000" w:themeColor="text1"/>
          <w:sz w:val="20"/>
          <w:szCs w:val="20"/>
          <w:lang w:val="en-US"/>
        </w:rPr>
        <w:t>operationem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lucis</w:t>
      </w:r>
      <w:proofErr w:type="spellEnd"/>
      <w:r w:rsidRPr="009D7635">
        <w:rPr>
          <w:rFonts w:ascii="Times New Roman" w:hAnsi="Times New Roman" w:cs="Times New Roman"/>
          <w:i/>
          <w:color w:val="000000" w:themeColor="text1"/>
          <w:sz w:val="20"/>
          <w:szCs w:val="20"/>
          <w:lang w:val="en-US"/>
        </w:rPr>
        <w:t xml:space="preserve"> species </w:t>
      </w:r>
      <w:proofErr w:type="spellStart"/>
      <w:r w:rsidRPr="009D7635">
        <w:rPr>
          <w:rFonts w:ascii="Times New Roman" w:hAnsi="Times New Roman" w:cs="Times New Roman"/>
          <w:i/>
          <w:color w:val="000000" w:themeColor="text1"/>
          <w:sz w:val="20"/>
          <w:szCs w:val="20"/>
          <w:lang w:val="en-US"/>
        </w:rPr>
        <w:t>coloris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abstrahitur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quodammodo</w:t>
      </w:r>
      <w:proofErr w:type="spellEnd"/>
      <w:r w:rsidRPr="009D7635">
        <w:rPr>
          <w:rFonts w:ascii="Times New Roman" w:hAnsi="Times New Roman" w:cs="Times New Roman"/>
          <w:i/>
          <w:color w:val="000000" w:themeColor="text1"/>
          <w:sz w:val="20"/>
          <w:szCs w:val="20"/>
          <w:lang w:val="en-US"/>
        </w:rPr>
        <w:t xml:space="preserve"> et</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pupille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copulatur</w:t>
      </w:r>
      <w:proofErr w:type="spellEnd"/>
      <w:r w:rsidRPr="009D7635">
        <w:rPr>
          <w:rFonts w:ascii="Times New Roman" w:hAnsi="Times New Roman" w:cs="Times New Roman"/>
          <w:i/>
          <w:color w:val="000000" w:themeColor="text1"/>
          <w:sz w:val="20"/>
          <w:szCs w:val="20"/>
          <w:lang w:val="en-US"/>
        </w:rPr>
        <w:t xml:space="preserve">. </w:t>
      </w:r>
    </w:p>
  </w:footnote>
  <w:footnote w:id="749">
    <w:p w14:paraId="3AB72EB5" w14:textId="494D9E42"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Summa de anima,</w:t>
      </w:r>
      <w:r w:rsidRPr="009D7635">
        <w:rPr>
          <w:rFonts w:ascii="Times New Roman" w:hAnsi="Times New Roman" w:cs="Times New Roman"/>
          <w:color w:val="000000" w:themeColor="text1"/>
          <w:sz w:val="20"/>
          <w:szCs w:val="20"/>
          <w:lang w:val="en-US"/>
        </w:rPr>
        <w:t xml:space="preserve"> 275: </w:t>
      </w:r>
      <w:r w:rsidRPr="009D7635">
        <w:rPr>
          <w:rFonts w:ascii="Times New Roman" w:hAnsi="Times New Roman" w:cs="Times New Roman"/>
          <w:i/>
          <w:color w:val="000000" w:themeColor="text1"/>
          <w:sz w:val="20"/>
          <w:szCs w:val="20"/>
          <w:lang w:val="en-US"/>
        </w:rPr>
        <w:t xml:space="preserve">Alia </w:t>
      </w:r>
      <w:proofErr w:type="spellStart"/>
      <w:r w:rsidRPr="009D7635">
        <w:rPr>
          <w:rFonts w:ascii="Times New Roman" w:hAnsi="Times New Roman" w:cs="Times New Roman"/>
          <w:i/>
          <w:color w:val="000000" w:themeColor="text1"/>
          <w:sz w:val="20"/>
          <w:szCs w:val="20"/>
          <w:lang w:val="en-US"/>
        </w:rPr>
        <w:t>uero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lumen.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lumen </w:t>
      </w:r>
      <w:proofErr w:type="spellStart"/>
      <w:r w:rsidRPr="009D7635">
        <w:rPr>
          <w:rFonts w:ascii="Times New Roman" w:hAnsi="Times New Roman" w:cs="Times New Roman"/>
          <w:i/>
          <w:color w:val="000000" w:themeColor="text1"/>
          <w:sz w:val="20"/>
          <w:szCs w:val="20"/>
          <w:lang w:val="en-US"/>
        </w:rPr>
        <w:t>intelligibile</w:t>
      </w:r>
      <w:proofErr w:type="spellEnd"/>
      <w:r w:rsidRPr="009D7635">
        <w:rPr>
          <w:rFonts w:ascii="Times New Roman" w:hAnsi="Times New Roman" w:cs="Times New Roman"/>
          <w:i/>
          <w:color w:val="000000" w:themeColor="text1"/>
          <w:sz w:val="20"/>
          <w:szCs w:val="20"/>
          <w:lang w:val="en-US"/>
        </w:rPr>
        <w:t xml:space="preserve"> prime </w:t>
      </w:r>
      <w:proofErr w:type="spellStart"/>
      <w:r w:rsidRPr="009D7635">
        <w:rPr>
          <w:rFonts w:ascii="Times New Roman" w:hAnsi="Times New Roman" w:cs="Times New Roman"/>
          <w:i/>
          <w:color w:val="000000" w:themeColor="text1"/>
          <w:sz w:val="20"/>
          <w:szCs w:val="20"/>
          <w:lang w:val="en-US"/>
        </w:rPr>
        <w:t>ueritatis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nobis</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naturam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impressum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semper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lux, </w:t>
      </w:r>
      <w:proofErr w:type="spellStart"/>
      <w:r w:rsidRPr="009D7635">
        <w:rPr>
          <w:rFonts w:ascii="Times New Roman" w:hAnsi="Times New Roman" w:cs="Times New Roman"/>
          <w:i/>
          <w:color w:val="000000" w:themeColor="text1"/>
          <w:sz w:val="20"/>
          <w:szCs w:val="20"/>
          <w:lang w:val="en-US"/>
        </w:rPr>
        <w:t>semper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irradians</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As </w:t>
      </w:r>
      <w:proofErr w:type="spellStart"/>
      <w:r w:rsidRPr="009D7635">
        <w:rPr>
          <w:rFonts w:ascii="Times New Roman" w:hAnsi="Times New Roman" w:cs="Times New Roman"/>
          <w:color w:val="000000" w:themeColor="text1"/>
          <w:sz w:val="20"/>
          <w:szCs w:val="20"/>
        </w:rPr>
        <w:t>Wilpert</w:t>
      </w:r>
      <w:proofErr w:type="spellEnd"/>
      <w:r w:rsidRPr="009D7635">
        <w:rPr>
          <w:rFonts w:ascii="Times New Roman" w:hAnsi="Times New Roman" w:cs="Times New Roman"/>
          <w:color w:val="000000" w:themeColor="text1"/>
          <w:sz w:val="20"/>
          <w:szCs w:val="20"/>
        </w:rPr>
        <w:t xml:space="preserve"> notes, this analogy of the way light makes </w:t>
      </w:r>
      <w:proofErr w:type="spellStart"/>
      <w:r w:rsidRPr="009D7635">
        <w:rPr>
          <w:rFonts w:ascii="Times New Roman" w:hAnsi="Times New Roman" w:cs="Times New Roman"/>
          <w:color w:val="000000" w:themeColor="text1"/>
          <w:sz w:val="20"/>
          <w:szCs w:val="20"/>
        </w:rPr>
        <w:t>colors</w:t>
      </w:r>
      <w:proofErr w:type="spellEnd"/>
      <w:r w:rsidRPr="009D7635">
        <w:rPr>
          <w:rFonts w:ascii="Times New Roman" w:hAnsi="Times New Roman" w:cs="Times New Roman"/>
          <w:color w:val="000000" w:themeColor="text1"/>
          <w:sz w:val="20"/>
          <w:szCs w:val="20"/>
        </w:rPr>
        <w:t xml:space="preserve"> visible was as old as Aristotle who was himself probably referring to Plato’s analogy of the way that the light of the good is like a sun which exposes intelligible truths. Aristotle, </w:t>
      </w:r>
      <w:r w:rsidRPr="009D7635">
        <w:rPr>
          <w:rFonts w:ascii="Times New Roman" w:hAnsi="Times New Roman" w:cs="Times New Roman"/>
          <w:i/>
          <w:color w:val="000000" w:themeColor="text1"/>
          <w:sz w:val="20"/>
          <w:szCs w:val="20"/>
        </w:rPr>
        <w:t xml:space="preserve">De anima </w:t>
      </w:r>
      <w:r w:rsidRPr="009D7635">
        <w:rPr>
          <w:rFonts w:ascii="Times New Roman" w:hAnsi="Times New Roman" w:cs="Times New Roman"/>
          <w:color w:val="000000" w:themeColor="text1"/>
          <w:sz w:val="20"/>
          <w:szCs w:val="20"/>
        </w:rPr>
        <w:t xml:space="preserve">III.5, 430a17-18. </w:t>
      </w:r>
      <w:r w:rsidRPr="009D7635">
        <w:rPr>
          <w:rFonts w:ascii="Times New Roman" w:eastAsia="Times New Roman" w:hAnsi="Times New Roman" w:cs="Times New Roman"/>
          <w:color w:val="000000" w:themeColor="text1"/>
          <w:sz w:val="20"/>
          <w:szCs w:val="20"/>
          <w:lang w:val="de-DE" w:eastAsia="en-GB"/>
        </w:rPr>
        <w:t xml:space="preserve">Paul </w:t>
      </w:r>
      <w:proofErr w:type="spellStart"/>
      <w:r w:rsidRPr="009D7635">
        <w:rPr>
          <w:rFonts w:ascii="Times New Roman" w:eastAsia="Times New Roman" w:hAnsi="Times New Roman" w:cs="Times New Roman"/>
          <w:color w:val="000000" w:themeColor="text1"/>
          <w:sz w:val="20"/>
          <w:szCs w:val="20"/>
          <w:lang w:val="de-DE" w:eastAsia="en-GB"/>
        </w:rPr>
        <w:t>Wilpert</w:t>
      </w:r>
      <w:proofErr w:type="spellEnd"/>
      <w:r w:rsidRPr="009D7635">
        <w:rPr>
          <w:rFonts w:ascii="Times New Roman" w:eastAsia="Times New Roman" w:hAnsi="Times New Roman" w:cs="Times New Roman"/>
          <w:color w:val="000000" w:themeColor="text1"/>
          <w:sz w:val="20"/>
          <w:szCs w:val="20"/>
          <w:lang w:val="de-DE" w:eastAsia="en-GB"/>
        </w:rPr>
        <w:t xml:space="preserve">, ‘Die Ausgestaltung der </w:t>
      </w:r>
      <w:proofErr w:type="spellStart"/>
      <w:r w:rsidRPr="009D7635">
        <w:rPr>
          <w:rFonts w:ascii="Times New Roman" w:eastAsia="Times New Roman" w:hAnsi="Times New Roman" w:cs="Times New Roman"/>
          <w:color w:val="000000" w:themeColor="text1"/>
          <w:sz w:val="20"/>
          <w:szCs w:val="20"/>
          <w:lang w:val="de-DE" w:eastAsia="en-GB"/>
        </w:rPr>
        <w:t>aristotelischen</w:t>
      </w:r>
      <w:proofErr w:type="spellEnd"/>
      <w:r w:rsidRPr="009D7635">
        <w:rPr>
          <w:rFonts w:ascii="Times New Roman" w:eastAsia="Times New Roman" w:hAnsi="Times New Roman" w:cs="Times New Roman"/>
          <w:color w:val="000000" w:themeColor="text1"/>
          <w:sz w:val="20"/>
          <w:szCs w:val="20"/>
          <w:lang w:val="de-DE" w:eastAsia="en-GB"/>
        </w:rPr>
        <w:t xml:space="preserve"> Lehre vom </w:t>
      </w:r>
      <w:proofErr w:type="spellStart"/>
      <w:r w:rsidRPr="009D7635">
        <w:rPr>
          <w:rFonts w:ascii="Times New Roman" w:eastAsia="Times New Roman" w:hAnsi="Times New Roman" w:cs="Times New Roman"/>
          <w:color w:val="000000" w:themeColor="text1"/>
          <w:sz w:val="20"/>
          <w:szCs w:val="20"/>
          <w:lang w:val="de-DE" w:eastAsia="en-GB"/>
        </w:rPr>
        <w:t>Intellectus</w:t>
      </w:r>
      <w:proofErr w:type="spellEnd"/>
      <w:r w:rsidRPr="009D7635">
        <w:rPr>
          <w:rFonts w:ascii="Times New Roman" w:eastAsia="Times New Roman" w:hAnsi="Times New Roman" w:cs="Times New Roman"/>
          <w:color w:val="000000" w:themeColor="text1"/>
          <w:sz w:val="20"/>
          <w:szCs w:val="20"/>
          <w:lang w:val="de-DE" w:eastAsia="en-GB"/>
        </w:rPr>
        <w:t xml:space="preserve"> </w:t>
      </w:r>
      <w:proofErr w:type="spellStart"/>
      <w:r w:rsidRPr="009D7635">
        <w:rPr>
          <w:rFonts w:ascii="Times New Roman" w:eastAsia="Times New Roman" w:hAnsi="Times New Roman" w:cs="Times New Roman"/>
          <w:color w:val="000000" w:themeColor="text1"/>
          <w:sz w:val="20"/>
          <w:szCs w:val="20"/>
          <w:lang w:val="de-DE" w:eastAsia="en-GB"/>
        </w:rPr>
        <w:t>agens</w:t>
      </w:r>
      <w:proofErr w:type="spellEnd"/>
      <w:r w:rsidRPr="009D7635">
        <w:rPr>
          <w:rFonts w:ascii="Times New Roman" w:eastAsia="Times New Roman" w:hAnsi="Times New Roman" w:cs="Times New Roman"/>
          <w:color w:val="000000" w:themeColor="text1"/>
          <w:sz w:val="20"/>
          <w:szCs w:val="20"/>
          <w:lang w:val="de-DE" w:eastAsia="en-GB"/>
        </w:rPr>
        <w:t xml:space="preserve"> bei den griechischen Kommentatoren und in der Scholastik des 13. Jahrhunderts,’ in </w:t>
      </w:r>
      <w:r w:rsidRPr="009D7635">
        <w:rPr>
          <w:rFonts w:ascii="Times New Roman" w:eastAsia="Times New Roman" w:hAnsi="Times New Roman" w:cs="Times New Roman"/>
          <w:i/>
          <w:color w:val="000000" w:themeColor="text1"/>
          <w:sz w:val="20"/>
          <w:szCs w:val="20"/>
          <w:lang w:val="de-DE" w:eastAsia="en-GB"/>
        </w:rPr>
        <w:t>Aus der Geisteswelt des Mittelalters: Studien und Texte: Martin Grabmann zur Vollendung des 60. Lebensjahres von Freunden und Schülern gewidmet</w:t>
      </w:r>
      <w:r w:rsidRPr="009D7635">
        <w:rPr>
          <w:rFonts w:ascii="Times New Roman" w:eastAsia="Times New Roman" w:hAnsi="Times New Roman" w:cs="Times New Roman"/>
          <w:color w:val="000000" w:themeColor="text1"/>
          <w:sz w:val="20"/>
          <w:szCs w:val="20"/>
          <w:lang w:val="de-DE" w:eastAsia="en-GB"/>
        </w:rPr>
        <w:t>, vol. 1, ed. Albert Lang, Josef Lechner and Michael Schmaus (</w:t>
      </w:r>
      <w:r w:rsidRPr="009D7635">
        <w:rPr>
          <w:rFonts w:ascii="Times New Roman" w:eastAsia="Times New Roman" w:hAnsi="Times New Roman" w:cs="Times New Roman"/>
          <w:color w:val="000000" w:themeColor="text1"/>
          <w:sz w:val="20"/>
          <w:szCs w:val="20"/>
          <w:lang w:eastAsia="en-GB"/>
        </w:rPr>
        <w:t xml:space="preserve">Münster: </w:t>
      </w:r>
      <w:proofErr w:type="spellStart"/>
      <w:r w:rsidRPr="009D7635">
        <w:rPr>
          <w:rFonts w:ascii="Times New Roman" w:eastAsia="Times New Roman" w:hAnsi="Times New Roman" w:cs="Times New Roman"/>
          <w:color w:val="000000" w:themeColor="text1"/>
          <w:sz w:val="20"/>
          <w:szCs w:val="20"/>
          <w:lang w:eastAsia="en-GB"/>
        </w:rPr>
        <w:t>Aschendorff</w:t>
      </w:r>
      <w:proofErr w:type="spellEnd"/>
      <w:r w:rsidRPr="009D7635">
        <w:rPr>
          <w:rFonts w:ascii="Times New Roman" w:eastAsia="Times New Roman" w:hAnsi="Times New Roman" w:cs="Times New Roman"/>
          <w:color w:val="000000" w:themeColor="text1"/>
          <w:sz w:val="20"/>
          <w:szCs w:val="20"/>
          <w:lang w:eastAsia="en-GB"/>
        </w:rPr>
        <w:t>, 1935)</w:t>
      </w:r>
      <w:r w:rsidRPr="009D7635">
        <w:rPr>
          <w:rFonts w:ascii="Times New Roman" w:eastAsia="Times New Roman" w:hAnsi="Times New Roman" w:cs="Times New Roman"/>
          <w:color w:val="000000" w:themeColor="text1"/>
          <w:sz w:val="20"/>
          <w:szCs w:val="20"/>
          <w:lang w:val="de-DE" w:eastAsia="en-GB"/>
        </w:rPr>
        <w:t>, 447</w:t>
      </w:r>
      <w:r w:rsidRPr="009D7635">
        <w:rPr>
          <w:rFonts w:ascii="Times New Roman" w:eastAsia="Times New Roman" w:hAnsi="Times New Roman" w:cs="Times New Roman"/>
          <w:color w:val="000000" w:themeColor="text1"/>
          <w:sz w:val="20"/>
          <w:szCs w:val="20"/>
          <w:lang w:eastAsia="en-GB"/>
        </w:rPr>
        <w:t xml:space="preserve">. See also Aristotle </w:t>
      </w:r>
      <w:r w:rsidRPr="009D7635">
        <w:rPr>
          <w:rFonts w:ascii="Times New Roman" w:eastAsia="Times New Roman" w:hAnsi="Times New Roman" w:cs="Times New Roman"/>
          <w:i/>
          <w:color w:val="000000" w:themeColor="text1"/>
          <w:sz w:val="20"/>
          <w:szCs w:val="20"/>
          <w:lang w:eastAsia="en-GB"/>
        </w:rPr>
        <w:t xml:space="preserve">De anima </w:t>
      </w:r>
      <w:r w:rsidRPr="009D7635">
        <w:rPr>
          <w:rFonts w:ascii="Times New Roman" w:eastAsia="Times New Roman" w:hAnsi="Times New Roman" w:cs="Times New Roman"/>
          <w:color w:val="000000" w:themeColor="text1"/>
          <w:sz w:val="20"/>
          <w:szCs w:val="20"/>
          <w:lang w:eastAsia="en-GB"/>
        </w:rPr>
        <w:t>II.7, 418b on the light/</w:t>
      </w:r>
      <w:proofErr w:type="spellStart"/>
      <w:r w:rsidRPr="009D7635">
        <w:rPr>
          <w:rFonts w:ascii="Times New Roman" w:eastAsia="Times New Roman" w:hAnsi="Times New Roman" w:cs="Times New Roman"/>
          <w:color w:val="000000" w:themeColor="text1"/>
          <w:sz w:val="20"/>
          <w:szCs w:val="20"/>
          <w:lang w:eastAsia="en-GB"/>
        </w:rPr>
        <w:t>colors</w:t>
      </w:r>
      <w:proofErr w:type="spellEnd"/>
      <w:r w:rsidRPr="009D7635">
        <w:rPr>
          <w:rFonts w:ascii="Times New Roman" w:eastAsia="Times New Roman" w:hAnsi="Times New Roman" w:cs="Times New Roman"/>
          <w:color w:val="000000" w:themeColor="text1"/>
          <w:sz w:val="20"/>
          <w:szCs w:val="20"/>
          <w:lang w:eastAsia="en-GB"/>
        </w:rPr>
        <w:t xml:space="preserve"> analogy.</w:t>
      </w:r>
    </w:p>
  </w:footnote>
  <w:footnote w:id="750">
    <w:p w14:paraId="2087BAE9" w14:textId="3DFBDDE5"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276. These four phases of the intellect in John are treated by J. </w:t>
      </w:r>
      <w:proofErr w:type="spellStart"/>
      <w:r w:rsidRPr="009D7635">
        <w:rPr>
          <w:rFonts w:ascii="Times New Roman" w:hAnsi="Times New Roman" w:cs="Times New Roman"/>
          <w:color w:val="000000" w:themeColor="text1"/>
        </w:rPr>
        <w:t>Rohmer</w:t>
      </w:r>
      <w:proofErr w:type="spellEnd"/>
      <w:r w:rsidRPr="009D7635">
        <w:rPr>
          <w:rFonts w:ascii="Times New Roman" w:hAnsi="Times New Roman" w:cs="Times New Roman"/>
          <w:color w:val="000000" w:themeColor="text1"/>
        </w:rPr>
        <w:t xml:space="preserve"> in </w:t>
      </w:r>
      <w:r w:rsidRPr="009D7635">
        <w:rPr>
          <w:rFonts w:ascii="Times New Roman" w:eastAsia="Times New Roman" w:hAnsi="Times New Roman" w:cs="Times New Roman"/>
          <w:color w:val="000000" w:themeColor="text1"/>
          <w:lang w:eastAsia="en-GB"/>
        </w:rPr>
        <w:t xml:space="preserve">‘La </w:t>
      </w:r>
      <w:proofErr w:type="spellStart"/>
      <w:r w:rsidRPr="009D7635">
        <w:rPr>
          <w:rFonts w:ascii="Times New Roman" w:eastAsia="Times New Roman" w:hAnsi="Times New Roman" w:cs="Times New Roman"/>
          <w:color w:val="000000" w:themeColor="text1"/>
          <w:lang w:eastAsia="en-GB"/>
        </w:rPr>
        <w:t>théorie</w:t>
      </w:r>
      <w:proofErr w:type="spellEnd"/>
      <w:r w:rsidRPr="009D7635">
        <w:rPr>
          <w:rFonts w:ascii="Times New Roman" w:eastAsia="Times New Roman" w:hAnsi="Times New Roman" w:cs="Times New Roman"/>
          <w:color w:val="000000" w:themeColor="text1"/>
          <w:lang w:eastAsia="en-GB"/>
        </w:rPr>
        <w:t xml:space="preserve"> de l'abstraction dans l'école </w:t>
      </w:r>
      <w:proofErr w:type="spellStart"/>
      <w:r w:rsidRPr="009D7635">
        <w:rPr>
          <w:rFonts w:ascii="Times New Roman" w:eastAsia="Times New Roman" w:hAnsi="Times New Roman" w:cs="Times New Roman"/>
          <w:color w:val="000000" w:themeColor="text1"/>
          <w:lang w:eastAsia="en-GB"/>
        </w:rPr>
        <w:t>Franciscaine</w:t>
      </w:r>
      <w:proofErr w:type="spellEnd"/>
      <w:r w:rsidRPr="009D7635">
        <w:rPr>
          <w:rFonts w:ascii="Times New Roman" w:eastAsia="Times New Roman" w:hAnsi="Times New Roman" w:cs="Times New Roman"/>
          <w:color w:val="000000" w:themeColor="text1"/>
          <w:lang w:eastAsia="en-GB"/>
        </w:rPr>
        <w:t xml:space="preserve"> d'Alexandre de </w:t>
      </w:r>
      <w:proofErr w:type="spellStart"/>
      <w:r w:rsidRPr="009D7635">
        <w:rPr>
          <w:rFonts w:ascii="Times New Roman" w:eastAsia="Times New Roman" w:hAnsi="Times New Roman" w:cs="Times New Roman"/>
          <w:color w:val="000000" w:themeColor="text1"/>
          <w:lang w:eastAsia="en-GB"/>
        </w:rPr>
        <w:t>Halés</w:t>
      </w:r>
      <w:proofErr w:type="spellEnd"/>
      <w:r w:rsidRPr="009D7635">
        <w:rPr>
          <w:rFonts w:ascii="Times New Roman" w:eastAsia="Times New Roman" w:hAnsi="Times New Roman" w:cs="Times New Roman"/>
          <w:color w:val="000000" w:themeColor="text1"/>
          <w:lang w:eastAsia="en-GB"/>
        </w:rPr>
        <w:t xml:space="preserve"> à Jean Peckham,’ 136. See also </w:t>
      </w:r>
      <w:r w:rsidRPr="009D7635">
        <w:rPr>
          <w:rFonts w:ascii="Times New Roman" w:hAnsi="Times New Roman" w:cs="Times New Roman"/>
          <w:color w:val="000000" w:themeColor="text1"/>
          <w:lang w:val="en-US"/>
        </w:rPr>
        <w:t>Dag Hasse, ‘</w:t>
      </w:r>
      <w:r w:rsidRPr="009D7635">
        <w:rPr>
          <w:rFonts w:ascii="Times New Roman" w:hAnsi="Times New Roman" w:cs="Times New Roman"/>
          <w:iCs/>
          <w:color w:val="000000" w:themeColor="text1"/>
          <w:lang w:val="en-US"/>
        </w:rPr>
        <w:t xml:space="preserve">Das </w:t>
      </w:r>
      <w:proofErr w:type="spellStart"/>
      <w:r w:rsidRPr="009D7635">
        <w:rPr>
          <w:rFonts w:ascii="Times New Roman" w:hAnsi="Times New Roman" w:cs="Times New Roman"/>
          <w:iCs/>
          <w:color w:val="000000" w:themeColor="text1"/>
          <w:lang w:val="en-US"/>
        </w:rPr>
        <w:t>Lehrstück</w:t>
      </w:r>
      <w:proofErr w:type="spellEnd"/>
      <w:r w:rsidRPr="009D7635">
        <w:rPr>
          <w:rFonts w:ascii="Times New Roman" w:hAnsi="Times New Roman" w:cs="Times New Roman"/>
          <w:iCs/>
          <w:color w:val="000000" w:themeColor="text1"/>
          <w:lang w:val="en-US"/>
        </w:rPr>
        <w:t xml:space="preserve"> von den vier </w:t>
      </w:r>
      <w:proofErr w:type="spellStart"/>
      <w:r w:rsidRPr="009D7635">
        <w:rPr>
          <w:rFonts w:ascii="Times New Roman" w:hAnsi="Times New Roman" w:cs="Times New Roman"/>
          <w:iCs/>
          <w:color w:val="000000" w:themeColor="text1"/>
          <w:lang w:val="en-US"/>
        </w:rPr>
        <w:t>Intellekten</w:t>
      </w:r>
      <w:proofErr w:type="spellEnd"/>
      <w:r w:rsidRPr="009D7635">
        <w:rPr>
          <w:rFonts w:ascii="Times New Roman" w:hAnsi="Times New Roman" w:cs="Times New Roman"/>
          <w:iCs/>
          <w:color w:val="000000" w:themeColor="text1"/>
          <w:lang w:val="en-US"/>
        </w:rPr>
        <w:t xml:space="preserve"> in der </w:t>
      </w:r>
      <w:proofErr w:type="spellStart"/>
      <w:r w:rsidRPr="009D7635">
        <w:rPr>
          <w:rFonts w:ascii="Times New Roman" w:hAnsi="Times New Roman" w:cs="Times New Roman"/>
          <w:iCs/>
          <w:color w:val="000000" w:themeColor="text1"/>
          <w:lang w:val="en-US"/>
        </w:rPr>
        <w:t>Scholastik</w:t>
      </w:r>
      <w:proofErr w:type="spellEnd"/>
      <w:r w:rsidRPr="009D7635">
        <w:rPr>
          <w:rFonts w:ascii="Times New Roman" w:hAnsi="Times New Roman" w:cs="Times New Roman"/>
          <w:iCs/>
          <w:color w:val="000000" w:themeColor="text1"/>
          <w:lang w:val="en-US"/>
        </w:rPr>
        <w:t xml:space="preserve">: von den </w:t>
      </w:r>
      <w:proofErr w:type="spellStart"/>
      <w:r w:rsidRPr="009D7635">
        <w:rPr>
          <w:rFonts w:ascii="Times New Roman" w:hAnsi="Times New Roman" w:cs="Times New Roman"/>
          <w:iCs/>
          <w:color w:val="000000" w:themeColor="text1"/>
          <w:lang w:val="en-US"/>
        </w:rPr>
        <w:t>arabischen</w:t>
      </w:r>
      <w:proofErr w:type="spellEnd"/>
      <w:r w:rsidRPr="009D7635">
        <w:rPr>
          <w:rFonts w:ascii="Times New Roman" w:hAnsi="Times New Roman" w:cs="Times New Roman"/>
          <w:iCs/>
          <w:color w:val="000000" w:themeColor="text1"/>
          <w:lang w:val="en-US"/>
        </w:rPr>
        <w:t xml:space="preserve"> </w:t>
      </w:r>
      <w:proofErr w:type="spellStart"/>
      <w:r w:rsidRPr="009D7635">
        <w:rPr>
          <w:rFonts w:ascii="Times New Roman" w:hAnsi="Times New Roman" w:cs="Times New Roman"/>
          <w:iCs/>
          <w:color w:val="000000" w:themeColor="text1"/>
          <w:lang w:val="en-US"/>
        </w:rPr>
        <w:t>Quellen</w:t>
      </w:r>
      <w:proofErr w:type="spellEnd"/>
      <w:r w:rsidRPr="009D7635">
        <w:rPr>
          <w:rFonts w:ascii="Times New Roman" w:hAnsi="Times New Roman" w:cs="Times New Roman"/>
          <w:iCs/>
          <w:color w:val="000000" w:themeColor="text1"/>
          <w:lang w:val="en-US"/>
        </w:rPr>
        <w:t xml:space="preserve"> bis </w:t>
      </w:r>
      <w:proofErr w:type="spellStart"/>
      <w:r w:rsidRPr="009D7635">
        <w:rPr>
          <w:rFonts w:ascii="Times New Roman" w:hAnsi="Times New Roman" w:cs="Times New Roman"/>
          <w:iCs/>
          <w:color w:val="000000" w:themeColor="text1"/>
          <w:lang w:val="en-US"/>
        </w:rPr>
        <w:t>zu</w:t>
      </w:r>
      <w:proofErr w:type="spellEnd"/>
      <w:r w:rsidRPr="009D7635">
        <w:rPr>
          <w:rFonts w:ascii="Times New Roman" w:hAnsi="Times New Roman" w:cs="Times New Roman"/>
          <w:iCs/>
          <w:color w:val="000000" w:themeColor="text1"/>
          <w:lang w:val="en-US"/>
        </w:rPr>
        <w:t xml:space="preserve"> </w:t>
      </w:r>
      <w:proofErr w:type="spellStart"/>
      <w:r w:rsidRPr="009D7635">
        <w:rPr>
          <w:rFonts w:ascii="Times New Roman" w:hAnsi="Times New Roman" w:cs="Times New Roman"/>
          <w:iCs/>
          <w:color w:val="000000" w:themeColor="text1"/>
          <w:lang w:val="en-US"/>
        </w:rPr>
        <w:t>Albertus</w:t>
      </w:r>
      <w:proofErr w:type="spellEnd"/>
      <w:r w:rsidRPr="009D7635">
        <w:rPr>
          <w:rFonts w:ascii="Times New Roman" w:hAnsi="Times New Roman" w:cs="Times New Roman"/>
          <w:iCs/>
          <w:color w:val="000000" w:themeColor="text1"/>
          <w:lang w:val="en-US"/>
        </w:rPr>
        <w:t xml:space="preserve"> Magnus</w:t>
      </w:r>
      <w:r w:rsidRPr="009D7635">
        <w:rPr>
          <w:rFonts w:ascii="Times New Roman" w:hAnsi="Times New Roman" w:cs="Times New Roman"/>
          <w:color w:val="000000" w:themeColor="text1"/>
          <w:lang w:val="en-US"/>
        </w:rPr>
        <w:t xml:space="preserve">,’ in </w:t>
      </w:r>
      <w:proofErr w:type="spellStart"/>
      <w:r w:rsidR="00182DB5" w:rsidRPr="004746EC">
        <w:rPr>
          <w:rFonts w:ascii="Times New Roman" w:hAnsi="Times New Roman" w:cs="Times New Roman"/>
          <w:i/>
          <w:iCs/>
          <w:color w:val="000000" w:themeColor="text1"/>
        </w:rPr>
        <w:t>Recherches</w:t>
      </w:r>
      <w:proofErr w:type="spellEnd"/>
      <w:r w:rsidR="00182DB5" w:rsidRPr="004746EC">
        <w:rPr>
          <w:rFonts w:ascii="Times New Roman" w:hAnsi="Times New Roman" w:cs="Times New Roman"/>
          <w:i/>
          <w:iCs/>
          <w:color w:val="000000" w:themeColor="text1"/>
        </w:rPr>
        <w:t xml:space="preserve"> de </w:t>
      </w:r>
      <w:proofErr w:type="spellStart"/>
      <w:r w:rsidR="00182DB5" w:rsidRPr="004746EC">
        <w:rPr>
          <w:rFonts w:ascii="Times New Roman" w:hAnsi="Times New Roman" w:cs="Times New Roman"/>
          <w:i/>
          <w:iCs/>
          <w:color w:val="000000" w:themeColor="text1"/>
        </w:rPr>
        <w:t>théologie</w:t>
      </w:r>
      <w:proofErr w:type="spellEnd"/>
      <w:r w:rsidR="00182DB5" w:rsidRPr="004746EC">
        <w:rPr>
          <w:rFonts w:ascii="Times New Roman" w:hAnsi="Times New Roman" w:cs="Times New Roman"/>
          <w:i/>
          <w:iCs/>
          <w:color w:val="000000" w:themeColor="text1"/>
        </w:rPr>
        <w:t xml:space="preserve"> </w:t>
      </w:r>
      <w:proofErr w:type="spellStart"/>
      <w:r w:rsidR="00182DB5" w:rsidRPr="004746EC">
        <w:rPr>
          <w:rFonts w:ascii="Times New Roman" w:hAnsi="Times New Roman" w:cs="Times New Roman"/>
          <w:i/>
          <w:iCs/>
          <w:color w:val="000000" w:themeColor="text1"/>
        </w:rPr>
        <w:t>ancienne</w:t>
      </w:r>
      <w:proofErr w:type="spellEnd"/>
      <w:r w:rsidR="00182DB5" w:rsidRPr="004746EC">
        <w:rPr>
          <w:rFonts w:ascii="Times New Roman" w:hAnsi="Times New Roman" w:cs="Times New Roman"/>
          <w:i/>
          <w:iCs/>
          <w:color w:val="000000" w:themeColor="text1"/>
        </w:rPr>
        <w:t xml:space="preserve"> et </w:t>
      </w:r>
      <w:proofErr w:type="spellStart"/>
      <w:r w:rsidR="00182DB5" w:rsidRPr="004746EC">
        <w:rPr>
          <w:rFonts w:ascii="Times New Roman" w:hAnsi="Times New Roman" w:cs="Times New Roman"/>
          <w:i/>
          <w:iCs/>
          <w:color w:val="000000" w:themeColor="text1"/>
        </w:rPr>
        <w:t>médiévale</w:t>
      </w:r>
      <w:proofErr w:type="spellEnd"/>
      <w:r w:rsidR="00182DB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66 (1999), 21-77.</w:t>
      </w:r>
    </w:p>
  </w:footnote>
  <w:footnote w:id="751">
    <w:p w14:paraId="121A385E" w14:textId="77777777" w:rsidR="00B93ED5" w:rsidRPr="009D7635" w:rsidRDefault="00B93ED5" w:rsidP="00E212D3">
      <w:pPr>
        <w:widowControl w:val="0"/>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 xml:space="preserve">Avicenna </w:t>
      </w:r>
      <w:proofErr w:type="spellStart"/>
      <w:r w:rsidRPr="009D7635">
        <w:rPr>
          <w:rFonts w:ascii="Times New Roman" w:hAnsi="Times New Roman" w:cs="Times New Roman"/>
          <w:i/>
          <w:iCs/>
          <w:color w:val="000000" w:themeColor="text1"/>
          <w:sz w:val="20"/>
          <w:szCs w:val="20"/>
        </w:rPr>
        <w:t>Latinus</w:t>
      </w:r>
      <w:proofErr w:type="spellEnd"/>
      <w:r w:rsidRPr="009D7635">
        <w:rPr>
          <w:rFonts w:ascii="Times New Roman" w:hAnsi="Times New Roman" w:cs="Times New Roman"/>
          <w:i/>
          <w:iCs/>
          <w:color w:val="000000" w:themeColor="text1"/>
          <w:sz w:val="20"/>
          <w:szCs w:val="20"/>
        </w:rPr>
        <w:t xml:space="preserve">: Liber de Anima </w:t>
      </w:r>
      <w:proofErr w:type="spellStart"/>
      <w:r w:rsidRPr="009D7635">
        <w:rPr>
          <w:rFonts w:ascii="Times New Roman" w:hAnsi="Times New Roman" w:cs="Times New Roman"/>
          <w:i/>
          <w:iCs/>
          <w:color w:val="000000" w:themeColor="text1"/>
          <w:sz w:val="20"/>
          <w:szCs w:val="20"/>
        </w:rPr>
        <w:t>seu</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Sextus</w:t>
      </w:r>
      <w:proofErr w:type="spellEnd"/>
      <w:r w:rsidRPr="009D7635">
        <w:rPr>
          <w:rFonts w:ascii="Times New Roman" w:hAnsi="Times New Roman" w:cs="Times New Roman"/>
          <w:i/>
          <w:iCs/>
          <w:color w:val="000000" w:themeColor="text1"/>
          <w:sz w:val="20"/>
          <w:szCs w:val="20"/>
        </w:rPr>
        <w:t xml:space="preserve"> de </w:t>
      </w:r>
      <w:proofErr w:type="spellStart"/>
      <w:r w:rsidRPr="009D7635">
        <w:rPr>
          <w:rFonts w:ascii="Times New Roman" w:hAnsi="Times New Roman" w:cs="Times New Roman"/>
          <w:i/>
          <w:iCs/>
          <w:color w:val="000000" w:themeColor="text1"/>
          <w:sz w:val="20"/>
          <w:szCs w:val="20"/>
        </w:rPr>
        <w:t>Naturalibus</w:t>
      </w:r>
      <w:proofErr w:type="spellEnd"/>
      <w:r w:rsidRPr="009D7635">
        <w:rPr>
          <w:rFonts w:ascii="Times New Roman" w:hAnsi="Times New Roman" w:cs="Times New Roman"/>
          <w:i/>
          <w:iCs/>
          <w:color w:val="000000" w:themeColor="text1"/>
          <w:sz w:val="20"/>
          <w:szCs w:val="20"/>
        </w:rPr>
        <w:t xml:space="preserve">, </w:t>
      </w:r>
      <w:r w:rsidRPr="009D7635">
        <w:rPr>
          <w:rFonts w:ascii="Times New Roman" w:hAnsi="Times New Roman" w:cs="Times New Roman"/>
          <w:iCs/>
          <w:color w:val="000000" w:themeColor="text1"/>
          <w:sz w:val="20"/>
          <w:szCs w:val="20"/>
        </w:rPr>
        <w:t xml:space="preserve">vol. 2, ed. Simone Van </w:t>
      </w:r>
      <w:proofErr w:type="spellStart"/>
      <w:r w:rsidRPr="009D7635">
        <w:rPr>
          <w:rFonts w:ascii="Times New Roman" w:hAnsi="Times New Roman" w:cs="Times New Roman"/>
          <w:iCs/>
          <w:color w:val="000000" w:themeColor="text1"/>
          <w:sz w:val="20"/>
          <w:szCs w:val="20"/>
        </w:rPr>
        <w:t>Riet</w:t>
      </w:r>
      <w:proofErr w:type="spellEnd"/>
      <w:r w:rsidRPr="009D7635">
        <w:rPr>
          <w:rFonts w:ascii="Times New Roman" w:hAnsi="Times New Roman" w:cs="Times New Roman"/>
          <w:iCs/>
          <w:color w:val="000000" w:themeColor="text1"/>
          <w:sz w:val="20"/>
          <w:szCs w:val="20"/>
        </w:rPr>
        <w:t xml:space="preserve"> (Leiden: Brill, 1972), V.6. </w:t>
      </w:r>
      <w:r w:rsidRPr="009D7635">
        <w:rPr>
          <w:rFonts w:ascii="Times New Roman" w:hAnsi="Times New Roman" w:cs="Times New Roman"/>
          <w:color w:val="000000" w:themeColor="text1"/>
          <w:sz w:val="20"/>
          <w:szCs w:val="20"/>
        </w:rPr>
        <w:t xml:space="preserve">Dag Hasse, </w:t>
      </w:r>
      <w:r w:rsidRPr="009D7635">
        <w:rPr>
          <w:rFonts w:ascii="Times New Roman" w:hAnsi="Times New Roman" w:cs="Times New Roman"/>
          <w:i/>
          <w:color w:val="000000" w:themeColor="text1"/>
          <w:sz w:val="20"/>
          <w:szCs w:val="20"/>
        </w:rPr>
        <w:t>Avicenna’s De anima,</w:t>
      </w:r>
      <w:r w:rsidRPr="009D7635">
        <w:rPr>
          <w:rFonts w:ascii="Times New Roman" w:hAnsi="Times New Roman" w:cs="Times New Roman"/>
          <w:color w:val="000000" w:themeColor="text1"/>
          <w:sz w:val="20"/>
          <w:szCs w:val="20"/>
        </w:rPr>
        <w:t xml:space="preserve"> 178.</w:t>
      </w:r>
    </w:p>
  </w:footnote>
  <w:footnote w:id="752">
    <w:p w14:paraId="12F118B6" w14:textId="7777777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Summa de anima,</w:t>
      </w:r>
      <w:r w:rsidRPr="009D7635">
        <w:rPr>
          <w:rFonts w:ascii="Times New Roman" w:hAnsi="Times New Roman" w:cs="Times New Roman"/>
          <w:color w:val="000000" w:themeColor="text1"/>
          <w:sz w:val="20"/>
          <w:szCs w:val="20"/>
          <w:lang w:val="en-US"/>
        </w:rPr>
        <w:t xml:space="preserve"> 276: </w:t>
      </w:r>
      <w:r w:rsidRPr="009D7635">
        <w:rPr>
          <w:rFonts w:ascii="Times New Roman" w:hAnsi="Times New Roman" w:cs="Times New Roman"/>
          <w:i/>
          <w:color w:val="000000" w:themeColor="text1"/>
          <w:sz w:val="20"/>
          <w:szCs w:val="20"/>
          <w:lang w:val="en-US"/>
        </w:rPr>
        <w:t xml:space="preserve">Prima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possibilitatem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tantum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materialis</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similitudinem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materie</w:t>
      </w:r>
      <w:proofErr w:type="spellEnd"/>
      <w:r w:rsidRPr="009D7635">
        <w:rPr>
          <w:rFonts w:ascii="Times New Roman" w:hAnsi="Times New Roman" w:cs="Times New Roman"/>
          <w:i/>
          <w:color w:val="000000" w:themeColor="text1"/>
          <w:sz w:val="20"/>
          <w:szCs w:val="20"/>
          <w:lang w:val="en-US"/>
        </w:rPr>
        <w:t xml:space="preserve"> prime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ex se non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aliquam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formam</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subiectum</w:t>
      </w:r>
      <w:proofErr w:type="spellEnd"/>
      <w:r w:rsidRPr="009D7635">
        <w:rPr>
          <w:rFonts w:ascii="Times New Roman" w:hAnsi="Times New Roman" w:cs="Times New Roman"/>
          <w:i/>
          <w:color w:val="000000" w:themeColor="text1"/>
          <w:sz w:val="20"/>
          <w:szCs w:val="20"/>
          <w:lang w:val="en-US"/>
        </w:rPr>
        <w:t xml:space="preserve"> omnium </w:t>
      </w:r>
      <w:proofErr w:type="spellStart"/>
      <w:r w:rsidRPr="009D7635">
        <w:rPr>
          <w:rFonts w:ascii="Times New Roman" w:hAnsi="Times New Roman" w:cs="Times New Roman"/>
          <w:i/>
          <w:color w:val="000000" w:themeColor="text1"/>
          <w:sz w:val="20"/>
          <w:szCs w:val="20"/>
          <w:lang w:val="en-US"/>
        </w:rPr>
        <w:t>formarum</w:t>
      </w:r>
      <w:proofErr w:type="spellEnd"/>
      <w:r w:rsidRPr="009D7635">
        <w:rPr>
          <w:rFonts w:ascii="Times New Roman" w:hAnsi="Times New Roman" w:cs="Times New Roman"/>
          <w:i/>
          <w:color w:val="000000" w:themeColor="text1"/>
          <w:sz w:val="20"/>
          <w:szCs w:val="20"/>
          <w:lang w:val="en-US"/>
        </w:rPr>
        <w:t>.</w:t>
      </w:r>
    </w:p>
  </w:footnote>
  <w:footnote w:id="753">
    <w:p w14:paraId="464DB830" w14:textId="73B2A4AB"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0258FA" w:rsidRPr="009D7635">
        <w:rPr>
          <w:rFonts w:ascii="Times New Roman" w:hAnsi="Times New Roman" w:cs="Times New Roman"/>
          <w:iCs/>
          <w:color w:val="000000" w:themeColor="text1"/>
          <w:sz w:val="20"/>
          <w:szCs w:val="20"/>
          <w:lang w:val="en-US"/>
        </w:rPr>
        <w:t>Ibid.</w:t>
      </w:r>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disposicionem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habens</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habentur</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intellectu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principia</w:t>
      </w:r>
      <w:proofErr w:type="spellEnd"/>
      <w:r w:rsidRPr="009D7635">
        <w:rPr>
          <w:rFonts w:ascii="Times New Roman" w:hAnsi="Times New Roman" w:cs="Times New Roman"/>
          <w:i/>
          <w:color w:val="000000" w:themeColor="text1"/>
          <w:sz w:val="20"/>
          <w:szCs w:val="20"/>
          <w:lang w:val="en-US"/>
        </w:rPr>
        <w:t xml:space="preserve">, hoc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proposiciones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contingit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credere</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aliunde</w:t>
      </w:r>
      <w:proofErr w:type="spellEnd"/>
      <w:r w:rsidRPr="009D7635">
        <w:rPr>
          <w:rFonts w:ascii="Times New Roman" w:hAnsi="Times New Roman" w:cs="Times New Roman"/>
          <w:i/>
          <w:color w:val="000000" w:themeColor="text1"/>
          <w:sz w:val="20"/>
          <w:szCs w:val="20"/>
          <w:lang w:val="en-US"/>
        </w:rPr>
        <w:t xml:space="preserve"> sed per se note;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omne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totum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si</w:t>
      </w:r>
      <w:proofErr w:type="spellEnd"/>
      <w:r w:rsidRPr="009D7635">
        <w:rPr>
          <w:rFonts w:ascii="Times New Roman" w:hAnsi="Times New Roman" w:cs="Times New Roman"/>
          <w:i/>
          <w:color w:val="000000" w:themeColor="text1"/>
          <w:sz w:val="20"/>
          <w:szCs w:val="20"/>
          <w:lang w:val="en-US"/>
        </w:rPr>
        <w:t xml:space="preserve"> ab </w:t>
      </w:r>
      <w:proofErr w:type="spellStart"/>
      <w:r w:rsidRPr="009D7635">
        <w:rPr>
          <w:rFonts w:ascii="Times New Roman" w:hAnsi="Times New Roman" w:cs="Times New Roman"/>
          <w:i/>
          <w:color w:val="000000" w:themeColor="text1"/>
          <w:sz w:val="20"/>
          <w:szCs w:val="20"/>
          <w:lang w:val="en-US"/>
        </w:rPr>
        <w:t>equalibus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equalia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relinquantur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equalia</w:t>
      </w:r>
      <w:proofErr w:type="spellEnd"/>
      <w:r w:rsidRPr="009D7635">
        <w:rPr>
          <w:rFonts w:ascii="Times New Roman" w:hAnsi="Times New Roman" w:cs="Times New Roman"/>
          <w:i/>
          <w:color w:val="000000" w:themeColor="text1"/>
          <w:sz w:val="20"/>
          <w:szCs w:val="20"/>
          <w:lang w:val="en-US"/>
        </w:rPr>
        <w:t>.</w:t>
      </w:r>
    </w:p>
  </w:footnote>
  <w:footnote w:id="754">
    <w:p w14:paraId="2E9FDA83" w14:textId="77777777" w:rsidR="00B93ED5" w:rsidRPr="009D7635" w:rsidRDefault="00B93ED5" w:rsidP="00E212D3">
      <w:pPr>
        <w:widowControl w:val="0"/>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Michael E. </w:t>
      </w:r>
      <w:proofErr w:type="spellStart"/>
      <w:r w:rsidRPr="009D7635">
        <w:rPr>
          <w:rFonts w:ascii="Times New Roman" w:hAnsi="Times New Roman" w:cs="Times New Roman"/>
          <w:color w:val="000000" w:themeColor="text1"/>
          <w:sz w:val="20"/>
          <w:szCs w:val="20"/>
        </w:rPr>
        <w:t>Marmura</w:t>
      </w:r>
      <w:proofErr w:type="spellEnd"/>
      <w:r w:rsidRPr="009D7635">
        <w:rPr>
          <w:rFonts w:ascii="Times New Roman" w:hAnsi="Times New Roman" w:cs="Times New Roman"/>
          <w:color w:val="000000" w:themeColor="text1"/>
          <w:sz w:val="20"/>
          <w:szCs w:val="20"/>
        </w:rPr>
        <w:t xml:space="preserve">, ‘Avicenna on Primary Concepts,’ in </w:t>
      </w:r>
      <w:r w:rsidRPr="009D7635">
        <w:rPr>
          <w:rFonts w:ascii="Times New Roman" w:hAnsi="Times New Roman" w:cs="Times New Roman"/>
          <w:i/>
          <w:color w:val="000000" w:themeColor="text1"/>
          <w:sz w:val="20"/>
          <w:szCs w:val="20"/>
        </w:rPr>
        <w:t xml:space="preserve">Logos </w:t>
      </w:r>
      <w:proofErr w:type="spellStart"/>
      <w:r w:rsidRPr="009D7635">
        <w:rPr>
          <w:rFonts w:ascii="Times New Roman" w:hAnsi="Times New Roman" w:cs="Times New Roman"/>
          <w:i/>
          <w:color w:val="000000" w:themeColor="text1"/>
          <w:sz w:val="20"/>
          <w:szCs w:val="20"/>
        </w:rPr>
        <w:t>Islamikos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Studia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Islamica</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Honorem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Georgii</w:t>
      </w:r>
      <w:proofErr w:type="spellEnd"/>
      <w:r w:rsidRPr="009D7635">
        <w:rPr>
          <w:rFonts w:ascii="Times New Roman" w:hAnsi="Times New Roman" w:cs="Times New Roman"/>
          <w:i/>
          <w:color w:val="000000" w:themeColor="text1"/>
          <w:sz w:val="20"/>
          <w:szCs w:val="20"/>
        </w:rPr>
        <w:t xml:space="preserve"> Michaelis </w:t>
      </w:r>
      <w:proofErr w:type="spellStart"/>
      <w:r w:rsidRPr="009D7635">
        <w:rPr>
          <w:rFonts w:ascii="Times New Roman" w:hAnsi="Times New Roman" w:cs="Times New Roman"/>
          <w:i/>
          <w:color w:val="000000" w:themeColor="text1"/>
          <w:sz w:val="20"/>
          <w:szCs w:val="20"/>
        </w:rPr>
        <w:t>Wickens</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ed. R.M. </w:t>
      </w:r>
      <w:proofErr w:type="spellStart"/>
      <w:r w:rsidRPr="009D7635">
        <w:rPr>
          <w:rFonts w:ascii="Times New Roman" w:hAnsi="Times New Roman" w:cs="Times New Roman"/>
          <w:color w:val="000000" w:themeColor="text1"/>
          <w:sz w:val="20"/>
          <w:szCs w:val="20"/>
        </w:rPr>
        <w:t>Savory</w:t>
      </w:r>
      <w:proofErr w:type="spellEnd"/>
      <w:r w:rsidRPr="009D7635">
        <w:rPr>
          <w:rFonts w:ascii="Times New Roman" w:hAnsi="Times New Roman" w:cs="Times New Roman"/>
          <w:color w:val="000000" w:themeColor="text1"/>
          <w:sz w:val="20"/>
          <w:szCs w:val="20"/>
        </w:rPr>
        <w:t xml:space="preserve"> and D.A. </w:t>
      </w:r>
      <w:proofErr w:type="spellStart"/>
      <w:r w:rsidRPr="009D7635">
        <w:rPr>
          <w:rFonts w:ascii="Times New Roman" w:hAnsi="Times New Roman" w:cs="Times New Roman"/>
          <w:color w:val="000000" w:themeColor="text1"/>
          <w:sz w:val="20"/>
          <w:szCs w:val="20"/>
        </w:rPr>
        <w:t>Agius</w:t>
      </w:r>
      <w:proofErr w:type="spellEnd"/>
      <w:r w:rsidRPr="009D7635">
        <w:rPr>
          <w:rFonts w:ascii="Times New Roman" w:hAnsi="Times New Roman" w:cs="Times New Roman"/>
          <w:color w:val="000000" w:themeColor="text1"/>
          <w:sz w:val="20"/>
          <w:szCs w:val="20"/>
        </w:rPr>
        <w:t xml:space="preserve"> (Toronto: Pontifical Institute of Mediaeval Studies Press, 1984), 219-39. Avicenna, </w:t>
      </w:r>
      <w:r w:rsidRPr="009D7635">
        <w:rPr>
          <w:rFonts w:ascii="Times New Roman" w:hAnsi="Times New Roman" w:cs="Times New Roman"/>
          <w:i/>
          <w:color w:val="000000" w:themeColor="text1"/>
          <w:sz w:val="20"/>
          <w:szCs w:val="20"/>
        </w:rPr>
        <w:t xml:space="preserve">Metaphysics, </w:t>
      </w:r>
      <w:r w:rsidRPr="009D7635">
        <w:rPr>
          <w:rFonts w:ascii="Times New Roman" w:hAnsi="Times New Roman" w:cs="Times New Roman"/>
          <w:color w:val="000000" w:themeColor="text1"/>
          <w:sz w:val="20"/>
          <w:szCs w:val="20"/>
        </w:rPr>
        <w:t>I.1-2.</w:t>
      </w:r>
    </w:p>
  </w:footnote>
  <w:footnote w:id="755">
    <w:p w14:paraId="458E9B99" w14:textId="77777777" w:rsidR="00B93ED5" w:rsidRPr="009D7635" w:rsidRDefault="00B93ED5" w:rsidP="00E212D3">
      <w:pPr>
        <w:rPr>
          <w:rFonts w:ascii="Times New Roman" w:hAnsi="Times New Roman" w:cs="Times New Roman"/>
          <w:iCs/>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 xml:space="preserve">Avicenna </w:t>
      </w:r>
      <w:proofErr w:type="spellStart"/>
      <w:r w:rsidRPr="009D7635">
        <w:rPr>
          <w:rFonts w:ascii="Times New Roman" w:hAnsi="Times New Roman" w:cs="Times New Roman"/>
          <w:i/>
          <w:iCs/>
          <w:color w:val="000000" w:themeColor="text1"/>
          <w:sz w:val="20"/>
          <w:szCs w:val="20"/>
        </w:rPr>
        <w:t>Latinus</w:t>
      </w:r>
      <w:proofErr w:type="spellEnd"/>
      <w:r w:rsidRPr="009D7635">
        <w:rPr>
          <w:rFonts w:ascii="Times New Roman" w:hAnsi="Times New Roman" w:cs="Times New Roman"/>
          <w:i/>
          <w:iCs/>
          <w:color w:val="000000" w:themeColor="text1"/>
          <w:sz w:val="20"/>
          <w:szCs w:val="20"/>
        </w:rPr>
        <w:t xml:space="preserve">: Liber de </w:t>
      </w:r>
      <w:proofErr w:type="spellStart"/>
      <w:r w:rsidRPr="009D7635">
        <w:rPr>
          <w:rFonts w:ascii="Times New Roman" w:hAnsi="Times New Roman" w:cs="Times New Roman"/>
          <w:i/>
          <w:iCs/>
          <w:color w:val="000000" w:themeColor="text1"/>
          <w:sz w:val="20"/>
          <w:szCs w:val="20"/>
        </w:rPr>
        <w:t>Philosophia</w:t>
      </w:r>
      <w:proofErr w:type="spellEnd"/>
      <w:r w:rsidRPr="009D7635">
        <w:rPr>
          <w:rFonts w:ascii="Times New Roman" w:hAnsi="Times New Roman" w:cs="Times New Roman"/>
          <w:i/>
          <w:iCs/>
          <w:color w:val="000000" w:themeColor="text1"/>
          <w:sz w:val="20"/>
          <w:szCs w:val="20"/>
        </w:rPr>
        <w:t xml:space="preserve"> Prima </w:t>
      </w:r>
      <w:proofErr w:type="spellStart"/>
      <w:r w:rsidRPr="009D7635">
        <w:rPr>
          <w:rFonts w:ascii="Times New Roman" w:hAnsi="Times New Roman" w:cs="Times New Roman"/>
          <w:i/>
          <w:iCs/>
          <w:color w:val="000000" w:themeColor="text1"/>
          <w:sz w:val="20"/>
          <w:szCs w:val="20"/>
        </w:rPr>
        <w:t>sive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Scientia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Divina</w:t>
      </w:r>
      <w:proofErr w:type="spellEnd"/>
      <w:r w:rsidRPr="009D7635">
        <w:rPr>
          <w:rFonts w:ascii="Times New Roman" w:hAnsi="Times New Roman" w:cs="Times New Roman"/>
          <w:i/>
          <w:iCs/>
          <w:color w:val="000000" w:themeColor="text1"/>
          <w:sz w:val="20"/>
          <w:szCs w:val="20"/>
        </w:rPr>
        <w:t xml:space="preserve"> I-IV (Meta.), </w:t>
      </w:r>
      <w:r w:rsidRPr="009D7635">
        <w:rPr>
          <w:rFonts w:ascii="Times New Roman" w:hAnsi="Times New Roman" w:cs="Times New Roman"/>
          <w:iCs/>
          <w:color w:val="000000" w:themeColor="text1"/>
          <w:sz w:val="20"/>
          <w:szCs w:val="20"/>
        </w:rPr>
        <w:t xml:space="preserve">ed. Simone Van </w:t>
      </w:r>
      <w:proofErr w:type="spellStart"/>
      <w:r w:rsidRPr="009D7635">
        <w:rPr>
          <w:rFonts w:ascii="Times New Roman" w:hAnsi="Times New Roman" w:cs="Times New Roman"/>
          <w:iCs/>
          <w:color w:val="000000" w:themeColor="text1"/>
          <w:sz w:val="20"/>
          <w:szCs w:val="20"/>
        </w:rPr>
        <w:t>Riet</w:t>
      </w:r>
      <w:proofErr w:type="spellEnd"/>
      <w:r w:rsidRPr="009D7635">
        <w:rPr>
          <w:rFonts w:ascii="Times New Roman" w:hAnsi="Times New Roman" w:cs="Times New Roman"/>
          <w:iCs/>
          <w:color w:val="000000" w:themeColor="text1"/>
          <w:sz w:val="20"/>
          <w:szCs w:val="20"/>
        </w:rPr>
        <w:t xml:space="preserve"> (Leiden: Brill, 1977), </w:t>
      </w:r>
      <w:r w:rsidRPr="009D7635">
        <w:rPr>
          <w:rFonts w:ascii="Times New Roman" w:hAnsi="Times New Roman" w:cs="Times New Roman"/>
          <w:color w:val="000000" w:themeColor="text1"/>
          <w:sz w:val="20"/>
          <w:szCs w:val="20"/>
        </w:rPr>
        <w:t xml:space="preserve">I.1-2. </w:t>
      </w:r>
    </w:p>
  </w:footnote>
  <w:footnote w:id="756">
    <w:p w14:paraId="657F4978" w14:textId="4259E491" w:rsidR="00846629" w:rsidRPr="009D7635" w:rsidRDefault="00846629">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w:t>
      </w:r>
      <w:r w:rsidRPr="009D7635">
        <w:rPr>
          <w:rFonts w:ascii="Times New Roman" w:hAnsi="Times New Roman" w:cs="Times New Roman"/>
          <w:color w:val="000000" w:themeColor="text1"/>
        </w:rPr>
        <w:t xml:space="preserve">Jan A. </w:t>
      </w:r>
      <w:proofErr w:type="spellStart"/>
      <w:r w:rsidRPr="009D7635">
        <w:rPr>
          <w:rFonts w:ascii="Times New Roman" w:hAnsi="Times New Roman" w:cs="Times New Roman"/>
          <w:color w:val="000000" w:themeColor="text1"/>
          <w:lang w:val="en-US"/>
        </w:rPr>
        <w:t>Aertsen</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i/>
          <w:color w:val="000000" w:themeColor="text1"/>
          <w:lang w:val="en-US"/>
        </w:rPr>
        <w:t>Medieval Philosophy as Transcendental Thought</w:t>
      </w:r>
      <w:r w:rsidRPr="009D7635">
        <w:rPr>
          <w:rFonts w:ascii="Times New Roman" w:hAnsi="Times New Roman" w:cs="Times New Roman"/>
          <w:color w:val="000000" w:themeColor="text1"/>
        </w:rPr>
        <w:t xml:space="preserve"> (Leiden: Brill, 2012), 87.</w:t>
      </w:r>
    </w:p>
  </w:footnote>
  <w:footnote w:id="757">
    <w:p w14:paraId="0AF4056A" w14:textId="67172706" w:rsidR="00B93ED5" w:rsidRPr="009D7635" w:rsidRDefault="00B93ED5" w:rsidP="00E212D3">
      <w:pPr>
        <w:widowControl w:val="0"/>
        <w:autoSpaceDE w:val="0"/>
        <w:autoSpaceDN w:val="0"/>
        <w:adjustRightInd w:val="0"/>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 xml:space="preserve">Meta. </w:t>
      </w:r>
      <w:r w:rsidRPr="009D7635">
        <w:rPr>
          <w:rFonts w:ascii="Times New Roman" w:hAnsi="Times New Roman" w:cs="Times New Roman"/>
          <w:color w:val="000000" w:themeColor="text1"/>
          <w:sz w:val="20"/>
          <w:szCs w:val="20"/>
        </w:rPr>
        <w:t xml:space="preserve">I.5. Jan A. </w:t>
      </w:r>
      <w:proofErr w:type="spellStart"/>
      <w:r w:rsidRPr="009D7635">
        <w:rPr>
          <w:rFonts w:ascii="Times New Roman" w:hAnsi="Times New Roman" w:cs="Times New Roman"/>
          <w:color w:val="000000" w:themeColor="text1"/>
          <w:sz w:val="20"/>
          <w:szCs w:val="20"/>
          <w:lang w:val="en-US"/>
        </w:rPr>
        <w:t>Aertsen</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Medieval Philosophy as Transcendental Thought</w:t>
      </w:r>
      <w:r w:rsidR="00846629"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76.</w:t>
      </w:r>
    </w:p>
  </w:footnote>
  <w:footnote w:id="758">
    <w:p w14:paraId="4E807C43" w14:textId="77777777" w:rsidR="00B93ED5" w:rsidRPr="009D7635" w:rsidRDefault="00B93ED5" w:rsidP="00E212D3">
      <w:pPr>
        <w:widowControl w:val="0"/>
        <w:tabs>
          <w:tab w:val="left" w:pos="5220"/>
        </w:tabs>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Étienne Gilson, </w:t>
      </w:r>
      <w:r w:rsidRPr="009D7635">
        <w:rPr>
          <w:rFonts w:ascii="Times New Roman" w:hAnsi="Times New Roman" w:cs="Times New Roman"/>
          <w:i/>
          <w:color w:val="000000" w:themeColor="text1"/>
          <w:sz w:val="20"/>
          <w:szCs w:val="20"/>
        </w:rPr>
        <w:t xml:space="preserve">History of Christian Philosophy in the Middle Ages </w:t>
      </w:r>
      <w:r w:rsidRPr="009D7635">
        <w:rPr>
          <w:rFonts w:ascii="Times New Roman" w:hAnsi="Times New Roman" w:cs="Times New Roman"/>
          <w:color w:val="000000" w:themeColor="text1"/>
          <w:sz w:val="20"/>
          <w:szCs w:val="20"/>
        </w:rPr>
        <w:t>(New York: Random House, 1955), 200.</w:t>
      </w:r>
    </w:p>
  </w:footnote>
  <w:footnote w:id="759">
    <w:p w14:paraId="322BFE7E" w14:textId="77777777" w:rsidR="00B93ED5" w:rsidRPr="009D7635" w:rsidRDefault="00B93ED5" w:rsidP="00E212D3">
      <w:pPr>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Avicenna, </w:t>
      </w:r>
      <w:r w:rsidRPr="009D7635">
        <w:rPr>
          <w:rFonts w:ascii="Times New Roman" w:hAnsi="Times New Roman" w:cs="Times New Roman"/>
          <w:i/>
          <w:iCs/>
          <w:color w:val="000000" w:themeColor="text1"/>
          <w:sz w:val="20"/>
          <w:szCs w:val="20"/>
        </w:rPr>
        <w:t>De anima</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Cs/>
          <w:color w:val="000000" w:themeColor="text1"/>
          <w:sz w:val="20"/>
          <w:szCs w:val="20"/>
        </w:rPr>
        <w:t xml:space="preserve">V.5. </w:t>
      </w:r>
      <w:r w:rsidRPr="009D7635">
        <w:rPr>
          <w:rFonts w:ascii="Times New Roman" w:hAnsi="Times New Roman" w:cs="Times New Roman"/>
          <w:color w:val="000000" w:themeColor="text1"/>
          <w:sz w:val="20"/>
          <w:szCs w:val="20"/>
        </w:rPr>
        <w:t xml:space="preserve">Dag Hasse, </w:t>
      </w:r>
      <w:r w:rsidRPr="009D7635">
        <w:rPr>
          <w:rFonts w:ascii="Times New Roman" w:hAnsi="Times New Roman" w:cs="Times New Roman"/>
          <w:i/>
          <w:color w:val="000000" w:themeColor="text1"/>
          <w:sz w:val="20"/>
          <w:szCs w:val="20"/>
        </w:rPr>
        <w:t xml:space="preserve">Avicenna’s De anima, </w:t>
      </w:r>
      <w:r w:rsidRPr="009D7635">
        <w:rPr>
          <w:rFonts w:ascii="Times New Roman" w:hAnsi="Times New Roman" w:cs="Times New Roman"/>
          <w:color w:val="000000" w:themeColor="text1"/>
          <w:sz w:val="20"/>
          <w:szCs w:val="20"/>
        </w:rPr>
        <w:t>187-8.</w:t>
      </w:r>
    </w:p>
  </w:footnote>
  <w:footnote w:id="760">
    <w:p w14:paraId="5CCEEDAE" w14:textId="7777777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Summa de anima, </w:t>
      </w:r>
      <w:r w:rsidRPr="009D7635">
        <w:rPr>
          <w:rFonts w:ascii="Times New Roman" w:hAnsi="Times New Roman" w:cs="Times New Roman"/>
          <w:color w:val="000000" w:themeColor="text1"/>
          <w:sz w:val="20"/>
          <w:szCs w:val="20"/>
          <w:lang w:val="en-US"/>
        </w:rPr>
        <w:t xml:space="preserve">276: </w:t>
      </w:r>
      <w:proofErr w:type="spellStart"/>
      <w:r w:rsidRPr="009D7635">
        <w:rPr>
          <w:rFonts w:ascii="Times New Roman" w:hAnsi="Times New Roman" w:cs="Times New Roman"/>
          <w:i/>
          <w:color w:val="000000" w:themeColor="text1"/>
          <w:sz w:val="20"/>
          <w:szCs w:val="20"/>
          <w:lang w:val="en-US"/>
        </w:rPr>
        <w:t>Tercia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perfectus</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conclusionum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eorum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secuntur</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principia</w:t>
      </w:r>
      <w:proofErr w:type="spellEnd"/>
      <w:r w:rsidRPr="009D7635">
        <w:rPr>
          <w:rFonts w:ascii="Times New Roman" w:hAnsi="Times New Roman" w:cs="Times New Roman"/>
          <w:i/>
          <w:color w:val="000000" w:themeColor="text1"/>
          <w:sz w:val="20"/>
          <w:szCs w:val="20"/>
          <w:lang w:val="en-US"/>
        </w:rPr>
        <w:t xml:space="preserve">, sed non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conuersio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illa</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consideracionem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Quarta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usu</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considerat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actu</w:t>
      </w:r>
      <w:proofErr w:type="spellEnd"/>
      <w:r w:rsidRPr="009D7635">
        <w:rPr>
          <w:rFonts w:ascii="Times New Roman" w:hAnsi="Times New Roman" w:cs="Times New Roman"/>
          <w:i/>
          <w:color w:val="000000" w:themeColor="text1"/>
          <w:sz w:val="20"/>
          <w:szCs w:val="20"/>
          <w:lang w:val="en-US"/>
        </w:rPr>
        <w:t>.</w:t>
      </w:r>
    </w:p>
  </w:footnote>
  <w:footnote w:id="761">
    <w:p w14:paraId="0981181C" w14:textId="746424AC"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6A1DFC" w:rsidRPr="009D7635">
        <w:rPr>
          <w:rFonts w:ascii="Times New Roman" w:hAnsi="Times New Roman" w:cs="Times New Roman"/>
          <w:iCs/>
          <w:color w:val="000000" w:themeColor="text1"/>
          <w:lang w:val="en-US"/>
        </w:rPr>
        <w:t>Ibid.,</w:t>
      </w:r>
      <w:r w:rsidRPr="009D7635">
        <w:rPr>
          <w:rFonts w:ascii="Times New Roman" w:hAnsi="Times New Roman" w:cs="Times New Roman"/>
          <w:color w:val="000000" w:themeColor="text1"/>
          <w:lang w:val="en-US"/>
        </w:rPr>
        <w:t xml:space="preserve"> 281.</w:t>
      </w:r>
    </w:p>
  </w:footnote>
  <w:footnote w:id="762">
    <w:p w14:paraId="3886B33A" w14:textId="77777777" w:rsidR="00B93ED5" w:rsidRPr="009D7635" w:rsidRDefault="00B93ED5" w:rsidP="00E212D3">
      <w:pPr>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This example comes originally from: </w:t>
      </w:r>
      <w:r w:rsidRPr="009D7635">
        <w:rPr>
          <w:rFonts w:ascii="Times New Roman" w:hAnsi="Times New Roman" w:cs="Times New Roman"/>
          <w:iCs/>
          <w:color w:val="000000" w:themeColor="text1"/>
          <w:sz w:val="20"/>
          <w:szCs w:val="20"/>
          <w:lang w:val="fr-FR"/>
        </w:rPr>
        <w:t>Anonymous,</w:t>
      </w:r>
      <w:r w:rsidRPr="009D7635">
        <w:rPr>
          <w:rFonts w:ascii="Times New Roman" w:hAnsi="Times New Roman" w:cs="Times New Roman"/>
          <w:i/>
          <w:iCs/>
          <w:color w:val="000000" w:themeColor="text1"/>
          <w:sz w:val="20"/>
          <w:szCs w:val="20"/>
          <w:lang w:val="fr-FR"/>
        </w:rPr>
        <w:t xml:space="preserve"> De </w:t>
      </w:r>
      <w:proofErr w:type="spellStart"/>
      <w:r w:rsidRPr="009D7635">
        <w:rPr>
          <w:rFonts w:ascii="Times New Roman" w:hAnsi="Times New Roman" w:cs="Times New Roman"/>
          <w:i/>
          <w:iCs/>
          <w:color w:val="000000" w:themeColor="text1"/>
          <w:sz w:val="20"/>
          <w:szCs w:val="20"/>
          <w:lang w:val="fr-FR"/>
        </w:rPr>
        <w:t>potentiis</w:t>
      </w:r>
      <w:proofErr w:type="spellEnd"/>
      <w:r w:rsidRPr="009D7635">
        <w:rPr>
          <w:rFonts w:ascii="Times New Roman" w:hAnsi="Times New Roman" w:cs="Times New Roman"/>
          <w:i/>
          <w:iCs/>
          <w:color w:val="000000" w:themeColor="text1"/>
          <w:sz w:val="20"/>
          <w:szCs w:val="20"/>
          <w:lang w:val="fr-FR"/>
        </w:rPr>
        <w:t xml:space="preserve"> </w:t>
      </w:r>
      <w:proofErr w:type="spellStart"/>
      <w:r w:rsidRPr="009D7635">
        <w:rPr>
          <w:rFonts w:ascii="Times New Roman" w:hAnsi="Times New Roman" w:cs="Times New Roman"/>
          <w:i/>
          <w:iCs/>
          <w:color w:val="000000" w:themeColor="text1"/>
          <w:sz w:val="20"/>
          <w:szCs w:val="20"/>
          <w:lang w:val="fr-FR"/>
        </w:rPr>
        <w:t>animae</w:t>
      </w:r>
      <w:proofErr w:type="spellEnd"/>
      <w:r w:rsidRPr="009D7635">
        <w:rPr>
          <w:rFonts w:ascii="Times New Roman" w:hAnsi="Times New Roman" w:cs="Times New Roman"/>
          <w:i/>
          <w:iCs/>
          <w:color w:val="000000" w:themeColor="text1"/>
          <w:sz w:val="20"/>
          <w:szCs w:val="20"/>
          <w:lang w:val="fr-FR"/>
        </w:rPr>
        <w:t xml:space="preserve"> et </w:t>
      </w:r>
      <w:proofErr w:type="spellStart"/>
      <w:r w:rsidRPr="009D7635">
        <w:rPr>
          <w:rFonts w:ascii="Times New Roman" w:hAnsi="Times New Roman" w:cs="Times New Roman"/>
          <w:i/>
          <w:iCs/>
          <w:color w:val="000000" w:themeColor="text1"/>
          <w:sz w:val="20"/>
          <w:szCs w:val="20"/>
          <w:lang w:val="fr-FR"/>
        </w:rPr>
        <w:t>obiectis</w:t>
      </w:r>
      <w:proofErr w:type="spellEnd"/>
      <w:r w:rsidRPr="009D7635">
        <w:rPr>
          <w:rFonts w:ascii="Times New Roman" w:hAnsi="Times New Roman" w:cs="Times New Roman"/>
          <w:color w:val="000000" w:themeColor="text1"/>
          <w:sz w:val="20"/>
          <w:szCs w:val="20"/>
          <w:lang w:val="fr-FR"/>
        </w:rPr>
        <w:t>, ed.</w:t>
      </w:r>
      <w:r w:rsidRPr="009D7635">
        <w:rPr>
          <w:rFonts w:ascii="Times New Roman" w:hAnsi="Times New Roman" w:cs="Times New Roman"/>
          <w:color w:val="000000" w:themeColor="text1"/>
          <w:sz w:val="20"/>
          <w:szCs w:val="20"/>
        </w:rPr>
        <w:t xml:space="preserve"> Daniel A. Callus, in ‘The Powers of the Soul: An Early Unpublished Text,’ </w:t>
      </w:r>
      <w:r w:rsidRPr="009D7635">
        <w:rPr>
          <w:rFonts w:ascii="Times New Roman" w:hAnsi="Times New Roman" w:cs="Times New Roman"/>
          <w:color w:val="000000" w:themeColor="text1"/>
          <w:sz w:val="20"/>
          <w:szCs w:val="20"/>
          <w:lang w:val="fr-FR"/>
        </w:rPr>
        <w:t xml:space="preserve">158. </w:t>
      </w:r>
      <w:r w:rsidRPr="009D7635">
        <w:rPr>
          <w:rFonts w:ascii="Times New Roman" w:hAnsi="Times New Roman" w:cs="Times New Roman"/>
          <w:color w:val="000000" w:themeColor="text1"/>
          <w:sz w:val="20"/>
          <w:szCs w:val="20"/>
          <w:lang w:val="en-US"/>
        </w:rPr>
        <w:t xml:space="preserve">René Gauthier, ‘Le </w:t>
      </w:r>
      <w:proofErr w:type="spellStart"/>
      <w:r w:rsidRPr="009D7635">
        <w:rPr>
          <w:rFonts w:ascii="Times New Roman" w:hAnsi="Times New Roman" w:cs="Times New Roman"/>
          <w:color w:val="000000" w:themeColor="text1"/>
          <w:sz w:val="20"/>
          <w:szCs w:val="20"/>
          <w:lang w:val="en-US"/>
        </w:rPr>
        <w:t>traité</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 xml:space="preserve">De anima et de </w:t>
      </w:r>
      <w:proofErr w:type="spellStart"/>
      <w:r w:rsidRPr="009D7635">
        <w:rPr>
          <w:rFonts w:ascii="Times New Roman" w:hAnsi="Times New Roman" w:cs="Times New Roman"/>
          <w:i/>
          <w:color w:val="000000" w:themeColor="text1"/>
          <w:sz w:val="20"/>
          <w:szCs w:val="20"/>
          <w:lang w:val="en-US"/>
        </w:rPr>
        <w:t>potentiis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eius</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d’un maître des arts (</w:t>
      </w:r>
      <w:proofErr w:type="spellStart"/>
      <w:r w:rsidRPr="009D7635">
        <w:rPr>
          <w:rFonts w:ascii="Times New Roman" w:hAnsi="Times New Roman" w:cs="Times New Roman"/>
          <w:color w:val="000000" w:themeColor="text1"/>
          <w:sz w:val="20"/>
          <w:szCs w:val="20"/>
          <w:lang w:val="en-US"/>
        </w:rPr>
        <w:t>vers</w:t>
      </w:r>
      <w:proofErr w:type="spellEnd"/>
      <w:r w:rsidRPr="009D7635">
        <w:rPr>
          <w:rFonts w:ascii="Times New Roman" w:hAnsi="Times New Roman" w:cs="Times New Roman"/>
          <w:color w:val="000000" w:themeColor="text1"/>
          <w:sz w:val="20"/>
          <w:szCs w:val="20"/>
          <w:lang w:val="en-US"/>
        </w:rPr>
        <w:t xml:space="preserve"> 1225),’ </w:t>
      </w:r>
      <w:r w:rsidRPr="009D7635">
        <w:rPr>
          <w:rFonts w:ascii="Times New Roman" w:hAnsi="Times New Roman" w:cs="Times New Roman"/>
          <w:color w:val="000000" w:themeColor="text1"/>
          <w:sz w:val="20"/>
          <w:szCs w:val="20"/>
        </w:rPr>
        <w:t>53.</w:t>
      </w:r>
    </w:p>
  </w:footnote>
  <w:footnote w:id="763">
    <w:p w14:paraId="351E4F09" w14:textId="77777777" w:rsidR="00B93ED5" w:rsidRPr="009D7635" w:rsidRDefault="00B93ED5" w:rsidP="009A6BBB">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Summa de anima, </w:t>
      </w:r>
      <w:r w:rsidRPr="009D7635">
        <w:rPr>
          <w:rFonts w:ascii="Times New Roman" w:hAnsi="Times New Roman" w:cs="Times New Roman"/>
          <w:color w:val="000000" w:themeColor="text1"/>
          <w:sz w:val="20"/>
          <w:szCs w:val="20"/>
        </w:rPr>
        <w:t xml:space="preserve">281: </w:t>
      </w:r>
      <w:proofErr w:type="spellStart"/>
      <w:r w:rsidRPr="009D7635">
        <w:rPr>
          <w:rFonts w:ascii="Times New Roman" w:hAnsi="Times New Roman" w:cs="Times New Roman"/>
          <w:i/>
          <w:color w:val="000000" w:themeColor="text1"/>
          <w:sz w:val="20"/>
          <w:szCs w:val="20"/>
          <w:lang w:val="en-US"/>
        </w:rPr>
        <w:t>Unus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quasi </w:t>
      </w:r>
      <w:proofErr w:type="spellStart"/>
      <w:r w:rsidRPr="009D7635">
        <w:rPr>
          <w:rFonts w:ascii="Times New Roman" w:hAnsi="Times New Roman" w:cs="Times New Roman"/>
          <w:i/>
          <w:color w:val="000000" w:themeColor="text1"/>
          <w:sz w:val="20"/>
          <w:szCs w:val="20"/>
          <w:lang w:val="en-US"/>
        </w:rPr>
        <w:t>inductiuus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Conuersio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ipsius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consideracionem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abstrahatur</w:t>
      </w:r>
      <w:proofErr w:type="spellEnd"/>
      <w:r w:rsidRPr="009D7635">
        <w:rPr>
          <w:rFonts w:ascii="Times New Roman" w:hAnsi="Times New Roman" w:cs="Times New Roman"/>
          <w:i/>
          <w:color w:val="000000" w:themeColor="text1"/>
          <w:sz w:val="20"/>
          <w:szCs w:val="20"/>
          <w:lang w:val="en-US"/>
        </w:rPr>
        <w:t xml:space="preserve"> forma per </w:t>
      </w:r>
      <w:proofErr w:type="spellStart"/>
      <w:r w:rsidRPr="009D7635">
        <w:rPr>
          <w:rFonts w:ascii="Times New Roman" w:hAnsi="Times New Roman" w:cs="Times New Roman"/>
          <w:i/>
          <w:color w:val="000000" w:themeColor="text1"/>
          <w:sz w:val="20"/>
          <w:szCs w:val="20"/>
          <w:lang w:val="en-US"/>
        </w:rPr>
        <w:t>actiones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luminis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agentis</w:t>
      </w:r>
      <w:proofErr w:type="spellEnd"/>
      <w:r w:rsidRPr="009D7635">
        <w:rPr>
          <w:rFonts w:ascii="Times New Roman" w:hAnsi="Times New Roman" w:cs="Times New Roman"/>
          <w:i/>
          <w:color w:val="000000" w:themeColor="text1"/>
          <w:sz w:val="20"/>
          <w:szCs w:val="20"/>
          <w:lang w:val="en-US"/>
        </w:rPr>
        <w:t xml:space="preserve">, qua </w:t>
      </w:r>
      <w:proofErr w:type="spellStart"/>
      <w:r w:rsidRPr="009D7635">
        <w:rPr>
          <w:rFonts w:ascii="Times New Roman" w:hAnsi="Times New Roman" w:cs="Times New Roman"/>
          <w:i/>
          <w:color w:val="000000" w:themeColor="text1"/>
          <w:sz w:val="20"/>
          <w:szCs w:val="20"/>
          <w:lang w:val="en-US"/>
        </w:rPr>
        <w:t>informetur</w:t>
      </w:r>
      <w:proofErr w:type="spellEnd"/>
      <w:r w:rsidRPr="009D7635">
        <w:rPr>
          <w:rFonts w:ascii="Times New Roman" w:hAnsi="Times New Roman" w:cs="Times New Roman"/>
          <w:i/>
          <w:color w:val="000000" w:themeColor="text1"/>
          <w:sz w:val="20"/>
          <w:szCs w:val="20"/>
          <w:lang w:val="en-US"/>
        </w:rPr>
        <w:t xml:space="preserve"> et in hoc fit </w:t>
      </w:r>
      <w:proofErr w:type="spellStart"/>
      <w:r w:rsidRPr="009D7635">
        <w:rPr>
          <w:rFonts w:ascii="Times New Roman" w:hAnsi="Times New Roman" w:cs="Times New Roman"/>
          <w:i/>
          <w:color w:val="000000" w:themeColor="text1"/>
          <w:sz w:val="20"/>
          <w:szCs w:val="20"/>
          <w:lang w:val="en-US"/>
        </w:rPr>
        <w:t>differencia</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sensum</w:t>
      </w:r>
      <w:proofErr w:type="spellEnd"/>
      <w:r w:rsidRPr="009D7635">
        <w:rPr>
          <w:rFonts w:ascii="Times New Roman" w:hAnsi="Times New Roman" w:cs="Times New Roman"/>
          <w:i/>
          <w:color w:val="000000" w:themeColor="text1"/>
          <w:sz w:val="20"/>
          <w:szCs w:val="20"/>
          <w:lang w:val="en-US"/>
        </w:rPr>
        <w:t>.</w:t>
      </w:r>
    </w:p>
  </w:footnote>
  <w:footnote w:id="764">
    <w:p w14:paraId="05FB02BA" w14:textId="75C61674"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Henri </w:t>
      </w:r>
      <w:proofErr w:type="spellStart"/>
      <w:r w:rsidRPr="009D7635">
        <w:rPr>
          <w:rFonts w:ascii="Times New Roman" w:hAnsi="Times New Roman" w:cs="Times New Roman"/>
          <w:color w:val="000000" w:themeColor="text1"/>
        </w:rPr>
        <w:t>Pouillon</w:t>
      </w:r>
      <w:proofErr w:type="spellEnd"/>
      <w:r w:rsidRPr="009D7635">
        <w:rPr>
          <w:rFonts w:ascii="Times New Roman" w:hAnsi="Times New Roman" w:cs="Times New Roman"/>
          <w:color w:val="000000" w:themeColor="text1"/>
        </w:rPr>
        <w:t xml:space="preserve">, in </w:t>
      </w:r>
      <w:r w:rsidRPr="009D7635">
        <w:rPr>
          <w:rFonts w:ascii="Times New Roman" w:hAnsi="Times New Roman" w:cs="Times New Roman"/>
          <w:color w:val="000000" w:themeColor="text1"/>
          <w:lang w:val="en-US"/>
        </w:rPr>
        <w:t xml:space="preserve">‘Le premier </w:t>
      </w:r>
      <w:proofErr w:type="spellStart"/>
      <w:r w:rsidRPr="009D7635">
        <w:rPr>
          <w:rFonts w:ascii="Times New Roman" w:hAnsi="Times New Roman" w:cs="Times New Roman"/>
          <w:color w:val="000000" w:themeColor="text1"/>
          <w:lang w:val="en-US"/>
        </w:rPr>
        <w:t>traité</w:t>
      </w:r>
      <w:proofErr w:type="spellEnd"/>
      <w:r w:rsidRPr="009D7635">
        <w:rPr>
          <w:rFonts w:ascii="Times New Roman" w:hAnsi="Times New Roman" w:cs="Times New Roman"/>
          <w:color w:val="000000" w:themeColor="text1"/>
          <w:lang w:val="en-US"/>
        </w:rPr>
        <w:t xml:space="preserve"> des </w:t>
      </w:r>
      <w:proofErr w:type="spellStart"/>
      <w:r w:rsidRPr="009D7635">
        <w:rPr>
          <w:rFonts w:ascii="Times New Roman" w:hAnsi="Times New Roman" w:cs="Times New Roman"/>
          <w:color w:val="000000" w:themeColor="text1"/>
          <w:lang w:val="en-US"/>
        </w:rPr>
        <w:t>propriétiés</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transcendentales</w:t>
      </w:r>
      <w:proofErr w:type="spellEnd"/>
      <w:r w:rsidRPr="009D7635">
        <w:rPr>
          <w:rFonts w:ascii="Times New Roman" w:hAnsi="Times New Roman" w:cs="Times New Roman"/>
          <w:color w:val="000000" w:themeColor="text1"/>
          <w:lang w:val="en-US"/>
        </w:rPr>
        <w:t xml:space="preserve">, La </w:t>
      </w:r>
      <w:r w:rsidRPr="009D7635">
        <w:rPr>
          <w:rFonts w:ascii="Times New Roman" w:hAnsi="Times New Roman" w:cs="Times New Roman"/>
          <w:i/>
          <w:color w:val="000000" w:themeColor="text1"/>
          <w:lang w:val="en-US"/>
        </w:rPr>
        <w:t>Summa de bono</w:t>
      </w:r>
      <w:r w:rsidRPr="009D7635">
        <w:rPr>
          <w:rFonts w:ascii="Times New Roman" w:hAnsi="Times New Roman" w:cs="Times New Roman"/>
          <w:color w:val="000000" w:themeColor="text1"/>
          <w:lang w:val="en-US"/>
        </w:rPr>
        <w:t xml:space="preserve"> du </w:t>
      </w:r>
      <w:proofErr w:type="spellStart"/>
      <w:r w:rsidRPr="009D7635">
        <w:rPr>
          <w:rFonts w:ascii="Times New Roman" w:hAnsi="Times New Roman" w:cs="Times New Roman"/>
          <w:color w:val="000000" w:themeColor="text1"/>
          <w:lang w:val="en-US"/>
        </w:rPr>
        <w:t>Chancelier</w:t>
      </w:r>
      <w:proofErr w:type="spellEnd"/>
      <w:r w:rsidRPr="009D7635">
        <w:rPr>
          <w:rFonts w:ascii="Times New Roman" w:hAnsi="Times New Roman" w:cs="Times New Roman"/>
          <w:color w:val="000000" w:themeColor="text1"/>
          <w:lang w:val="en-US"/>
        </w:rPr>
        <w:t xml:space="preserve"> Philippe,’ </w:t>
      </w:r>
      <w:r w:rsidRPr="009D7635">
        <w:rPr>
          <w:rFonts w:ascii="Times New Roman" w:hAnsi="Times New Roman" w:cs="Times New Roman"/>
          <w:i/>
          <w:color w:val="000000" w:themeColor="text1"/>
          <w:lang w:val="en-US"/>
        </w:rPr>
        <w:t xml:space="preserve">Revue </w:t>
      </w:r>
      <w:proofErr w:type="spellStart"/>
      <w:r w:rsidRPr="009D7635">
        <w:rPr>
          <w:rFonts w:ascii="Times New Roman" w:hAnsi="Times New Roman" w:cs="Times New Roman"/>
          <w:i/>
          <w:color w:val="000000" w:themeColor="text1"/>
          <w:lang w:val="en-US"/>
        </w:rPr>
        <w:t>néoscolastique</w:t>
      </w:r>
      <w:proofErr w:type="spellEnd"/>
      <w:r w:rsidRPr="009D7635">
        <w:rPr>
          <w:rFonts w:ascii="Times New Roman" w:hAnsi="Times New Roman" w:cs="Times New Roman"/>
          <w:i/>
          <w:color w:val="000000" w:themeColor="text1"/>
          <w:lang w:val="en-US"/>
        </w:rPr>
        <w:t xml:space="preserve"> de </w:t>
      </w:r>
      <w:proofErr w:type="spellStart"/>
      <w:r w:rsidRPr="009D7635">
        <w:rPr>
          <w:rFonts w:ascii="Times New Roman" w:hAnsi="Times New Roman" w:cs="Times New Roman"/>
          <w:i/>
          <w:color w:val="000000" w:themeColor="text1"/>
          <w:lang w:val="en-US"/>
        </w:rPr>
        <w:t>philosophie</w:t>
      </w:r>
      <w:proofErr w:type="spellEnd"/>
      <w:r w:rsidRPr="009D7635">
        <w:rPr>
          <w:rFonts w:ascii="Times New Roman" w:hAnsi="Times New Roman" w:cs="Times New Roman"/>
          <w:color w:val="000000" w:themeColor="text1"/>
          <w:lang w:val="en-US"/>
        </w:rPr>
        <w:t xml:space="preserve"> 42 (1939)</w:t>
      </w:r>
      <w:r w:rsidR="006A1DFC" w:rsidRPr="009D7635">
        <w:rPr>
          <w:rFonts w:ascii="Times New Roman" w:hAnsi="Times New Roman" w:cs="Times New Roman"/>
          <w:color w:val="000000" w:themeColor="text1"/>
          <w:lang w:val="en-US"/>
        </w:rPr>
        <w:t>:</w:t>
      </w:r>
      <w:r w:rsidRPr="009D7635">
        <w:rPr>
          <w:rFonts w:ascii="Times New Roman" w:hAnsi="Times New Roman" w:cs="Times New Roman"/>
          <w:color w:val="000000" w:themeColor="text1"/>
          <w:lang w:val="en-US"/>
        </w:rPr>
        <w:t xml:space="preserve"> 40-77. </w:t>
      </w:r>
      <w:r w:rsidRPr="009D7635">
        <w:rPr>
          <w:rFonts w:ascii="Times New Roman" w:hAnsi="Times New Roman" w:cs="Times New Roman"/>
          <w:color w:val="000000" w:themeColor="text1"/>
        </w:rPr>
        <w:t xml:space="preserve">Antonella </w:t>
      </w:r>
      <w:proofErr w:type="spellStart"/>
      <w:r w:rsidRPr="009D7635">
        <w:rPr>
          <w:rFonts w:ascii="Times New Roman" w:hAnsi="Times New Roman" w:cs="Times New Roman"/>
          <w:color w:val="000000" w:themeColor="text1"/>
        </w:rPr>
        <w:t>Fani</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w:t>
      </w:r>
      <w:proofErr w:type="spellStart"/>
      <w:r w:rsidRPr="009D7635">
        <w:rPr>
          <w:rFonts w:ascii="Times New Roman" w:hAnsi="Times New Roman" w:cs="Times New Roman"/>
          <w:i/>
          <w:color w:val="000000" w:themeColor="text1"/>
        </w:rPr>
        <w:t>Communissima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color w:val="000000" w:themeColor="text1"/>
        </w:rPr>
        <w:t>trascendentali</w:t>
      </w:r>
      <w:proofErr w:type="spellEnd"/>
      <w:r w:rsidRPr="009D7635">
        <w:rPr>
          <w:rFonts w:ascii="Times New Roman" w:hAnsi="Times New Roman" w:cs="Times New Roman"/>
          <w:color w:val="000000" w:themeColor="text1"/>
        </w:rPr>
        <w:t xml:space="preserve"> e </w:t>
      </w:r>
      <w:proofErr w:type="spellStart"/>
      <w:r w:rsidRPr="009D7635">
        <w:rPr>
          <w:rFonts w:ascii="Times New Roman" w:hAnsi="Times New Roman" w:cs="Times New Roman"/>
          <w:color w:val="000000" w:themeColor="text1"/>
        </w:rPr>
        <w:t>Trinità</w:t>
      </w:r>
      <w:proofErr w:type="spellEnd"/>
      <w:r w:rsidRPr="009D7635">
        <w:rPr>
          <w:rFonts w:ascii="Times New Roman" w:hAnsi="Times New Roman" w:cs="Times New Roman"/>
          <w:color w:val="000000" w:themeColor="text1"/>
        </w:rPr>
        <w:t xml:space="preserve">: da Filippo il </w:t>
      </w:r>
      <w:proofErr w:type="spellStart"/>
      <w:r w:rsidRPr="009D7635">
        <w:rPr>
          <w:rFonts w:ascii="Times New Roman" w:hAnsi="Times New Roman" w:cs="Times New Roman"/>
          <w:color w:val="000000" w:themeColor="text1"/>
        </w:rPr>
        <w:t>Cancelliere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alla</w:t>
      </w:r>
      <w:proofErr w:type="spellEnd"/>
      <w:r w:rsidRPr="009D7635">
        <w:rPr>
          <w:rFonts w:ascii="Times New Roman" w:hAnsi="Times New Roman" w:cs="Times New Roman"/>
          <w:color w:val="000000" w:themeColor="text1"/>
        </w:rPr>
        <w:t xml:space="preserve"> prima </w:t>
      </w:r>
      <w:proofErr w:type="spellStart"/>
      <w:r w:rsidRPr="009D7635">
        <w:rPr>
          <w:rFonts w:ascii="Times New Roman" w:hAnsi="Times New Roman" w:cs="Times New Roman"/>
          <w:color w:val="000000" w:themeColor="text1"/>
        </w:rPr>
        <w:t>scuola</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francescana</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Il Santo: </w:t>
      </w:r>
      <w:proofErr w:type="spellStart"/>
      <w:r w:rsidRPr="009D7635">
        <w:rPr>
          <w:rFonts w:ascii="Times New Roman" w:hAnsi="Times New Roman" w:cs="Times New Roman"/>
          <w:i/>
          <w:color w:val="000000" w:themeColor="text1"/>
        </w:rPr>
        <w:t>Rivista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Francescana</w:t>
      </w:r>
      <w:proofErr w:type="spellEnd"/>
      <w:r w:rsidRPr="009D7635">
        <w:rPr>
          <w:rFonts w:ascii="Times New Roman" w:hAnsi="Times New Roman" w:cs="Times New Roman"/>
          <w:i/>
          <w:color w:val="000000" w:themeColor="text1"/>
        </w:rPr>
        <w:t xml:space="preserve"> de </w:t>
      </w:r>
      <w:proofErr w:type="spellStart"/>
      <w:r w:rsidRPr="009D7635">
        <w:rPr>
          <w:rFonts w:ascii="Times New Roman" w:hAnsi="Times New Roman" w:cs="Times New Roman"/>
          <w:i/>
          <w:color w:val="000000" w:themeColor="text1"/>
        </w:rPr>
        <w:t>storia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dottrina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arte</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49:1 (2009)</w:t>
      </w:r>
      <w:r w:rsidR="006C74B5"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131-54.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‘Alexandre de </w:t>
      </w:r>
      <w:proofErr w:type="spellStart"/>
      <w:r w:rsidRPr="009D7635">
        <w:rPr>
          <w:rFonts w:ascii="Times New Roman" w:hAnsi="Times New Roman" w:cs="Times New Roman"/>
          <w:color w:val="000000" w:themeColor="text1"/>
        </w:rPr>
        <w:t>Halés</w:t>
      </w:r>
      <w:proofErr w:type="spellEnd"/>
      <w:r w:rsidRPr="009D7635">
        <w:rPr>
          <w:rFonts w:ascii="Times New Roman" w:hAnsi="Times New Roman" w:cs="Times New Roman"/>
          <w:color w:val="000000" w:themeColor="text1"/>
        </w:rPr>
        <w:t xml:space="preserve"> et la </w:t>
      </w:r>
      <w:r w:rsidRPr="009D7635">
        <w:rPr>
          <w:rFonts w:ascii="Times New Roman" w:hAnsi="Times New Roman" w:cs="Times New Roman"/>
          <w:i/>
          <w:color w:val="000000" w:themeColor="text1"/>
        </w:rPr>
        <w:t>Summa de anima</w:t>
      </w:r>
      <w:r w:rsidRPr="009D7635">
        <w:rPr>
          <w:rFonts w:ascii="Times New Roman" w:hAnsi="Times New Roman" w:cs="Times New Roman"/>
          <w:color w:val="000000" w:themeColor="text1"/>
        </w:rPr>
        <w:t xml:space="preserve"> de Jean de la Rochelle,’ </w:t>
      </w:r>
      <w:proofErr w:type="spellStart"/>
      <w:r w:rsidR="00F834F1" w:rsidRPr="004746EC">
        <w:rPr>
          <w:rFonts w:ascii="Times New Roman" w:hAnsi="Times New Roman" w:cs="Times New Roman"/>
          <w:i/>
          <w:iCs/>
          <w:color w:val="000000" w:themeColor="text1"/>
        </w:rPr>
        <w:t>Recherches</w:t>
      </w:r>
      <w:proofErr w:type="spellEnd"/>
      <w:r w:rsidR="00F834F1" w:rsidRPr="004746EC">
        <w:rPr>
          <w:rFonts w:ascii="Times New Roman" w:hAnsi="Times New Roman" w:cs="Times New Roman"/>
          <w:i/>
          <w:iCs/>
          <w:color w:val="000000" w:themeColor="text1"/>
        </w:rPr>
        <w:t xml:space="preserve"> de </w:t>
      </w:r>
      <w:proofErr w:type="spellStart"/>
      <w:r w:rsidR="00F834F1" w:rsidRPr="004746EC">
        <w:rPr>
          <w:rFonts w:ascii="Times New Roman" w:hAnsi="Times New Roman" w:cs="Times New Roman"/>
          <w:i/>
          <w:iCs/>
          <w:color w:val="000000" w:themeColor="text1"/>
        </w:rPr>
        <w:t>théologie</w:t>
      </w:r>
      <w:proofErr w:type="spellEnd"/>
      <w:r w:rsidR="00F834F1" w:rsidRPr="004746EC">
        <w:rPr>
          <w:rFonts w:ascii="Times New Roman" w:hAnsi="Times New Roman" w:cs="Times New Roman"/>
          <w:i/>
          <w:iCs/>
          <w:color w:val="000000" w:themeColor="text1"/>
        </w:rPr>
        <w:t xml:space="preserve"> </w:t>
      </w:r>
      <w:proofErr w:type="spellStart"/>
      <w:r w:rsidR="00F834F1" w:rsidRPr="004746EC">
        <w:rPr>
          <w:rFonts w:ascii="Times New Roman" w:hAnsi="Times New Roman" w:cs="Times New Roman"/>
          <w:i/>
          <w:iCs/>
          <w:color w:val="000000" w:themeColor="text1"/>
        </w:rPr>
        <w:t>ancienne</w:t>
      </w:r>
      <w:proofErr w:type="spellEnd"/>
      <w:r w:rsidR="00F834F1" w:rsidRPr="004746EC">
        <w:rPr>
          <w:rFonts w:ascii="Times New Roman" w:hAnsi="Times New Roman" w:cs="Times New Roman"/>
          <w:i/>
          <w:iCs/>
          <w:color w:val="000000" w:themeColor="text1"/>
        </w:rPr>
        <w:t xml:space="preserve"> et </w:t>
      </w:r>
      <w:proofErr w:type="spellStart"/>
      <w:r w:rsidR="00F834F1" w:rsidRPr="004746EC">
        <w:rPr>
          <w:rFonts w:ascii="Times New Roman" w:hAnsi="Times New Roman" w:cs="Times New Roman"/>
          <w:i/>
          <w:iCs/>
          <w:color w:val="000000" w:themeColor="text1"/>
        </w:rPr>
        <w:t>médiévale</w:t>
      </w:r>
      <w:proofErr w:type="spellEnd"/>
      <w:r w:rsidR="00F834F1">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2 (1930)</w:t>
      </w:r>
      <w:r w:rsidR="006C74B5"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396-409.</w:t>
      </w:r>
    </w:p>
  </w:footnote>
  <w:footnote w:id="765">
    <w:p w14:paraId="09A43A3E" w14:textId="1072EE9C" w:rsidR="00B93ED5" w:rsidRPr="009D7635" w:rsidRDefault="00B93ED5" w:rsidP="00E212D3">
      <w:pPr>
        <w:rPr>
          <w:rFonts w:ascii="Times New Roman" w:hAnsi="Times New Roman" w:cs="Times New Roman"/>
          <w:bCs/>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bCs/>
          <w:i/>
          <w:color w:val="000000" w:themeColor="text1"/>
          <w:sz w:val="20"/>
          <w:szCs w:val="20"/>
          <w:lang w:val="en-US"/>
        </w:rPr>
        <w:t>SH</w:t>
      </w:r>
      <w:r w:rsidRPr="009D7635">
        <w:rPr>
          <w:rFonts w:ascii="Times New Roman" w:hAnsi="Times New Roman" w:cs="Times New Roman"/>
          <w:bCs/>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Vol 2.1, In4, Tr 1, S1, Qu3, T1, C5, Ar6,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414; cf. Augustine, </w:t>
      </w:r>
      <w:r w:rsidRPr="009D7635">
        <w:rPr>
          <w:rFonts w:ascii="Times New Roman" w:hAnsi="Times New Roman" w:cs="Times New Roman"/>
          <w:i/>
          <w:color w:val="000000" w:themeColor="text1"/>
          <w:sz w:val="20"/>
          <w:szCs w:val="20"/>
        </w:rPr>
        <w:t xml:space="preserve">De </w:t>
      </w:r>
      <w:proofErr w:type="spellStart"/>
      <w:r w:rsidRPr="009D7635">
        <w:rPr>
          <w:rFonts w:ascii="Times New Roman" w:hAnsi="Times New Roman" w:cs="Times New Roman"/>
          <w:i/>
          <w:color w:val="000000" w:themeColor="text1"/>
          <w:sz w:val="20"/>
          <w:szCs w:val="20"/>
        </w:rPr>
        <w:t>Trinitate</w:t>
      </w:r>
      <w:proofErr w:type="spellEnd"/>
      <w:r w:rsidRPr="009D7635">
        <w:rPr>
          <w:rFonts w:ascii="Times New Roman" w:hAnsi="Times New Roman" w:cs="Times New Roman"/>
          <w:color w:val="000000" w:themeColor="text1"/>
          <w:sz w:val="20"/>
          <w:szCs w:val="20"/>
        </w:rPr>
        <w:t xml:space="preserve"> X.</w:t>
      </w:r>
    </w:p>
  </w:footnote>
  <w:footnote w:id="766">
    <w:p w14:paraId="7C5B177D" w14:textId="2213A96A"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165244" w:rsidRPr="009D7635">
        <w:rPr>
          <w:rFonts w:ascii="Times New Roman" w:hAnsi="Times New Roman" w:cs="Times New Roman"/>
          <w:iCs/>
          <w:color w:val="000000" w:themeColor="text1"/>
          <w:sz w:val="20"/>
          <w:szCs w:val="20"/>
        </w:rPr>
        <w:t>SH</w:t>
      </w:r>
      <w:r w:rsidRPr="009D7635">
        <w:rPr>
          <w:rFonts w:ascii="Times New Roman" w:hAnsi="Times New Roman" w:cs="Times New Roman"/>
          <w:color w:val="000000" w:themeColor="text1"/>
          <w:sz w:val="20"/>
          <w:szCs w:val="20"/>
        </w:rPr>
        <w:t xml:space="preserve">, Tr3, Q1, M1, C1,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II, 113:</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Dicendum</w:t>
      </w:r>
      <w:proofErr w:type="spellEnd"/>
      <w:r w:rsidRPr="009D7635">
        <w:rPr>
          <w:rFonts w:ascii="Times New Roman" w:hAnsi="Times New Roman" w:cs="Times New Roman"/>
          <w:i/>
          <w:color w:val="000000" w:themeColor="text1"/>
          <w:sz w:val="20"/>
          <w:szCs w:val="20"/>
        </w:rPr>
        <w:t xml:space="preserve"> quod cum sit ens </w:t>
      </w:r>
      <w:proofErr w:type="spellStart"/>
      <w:r w:rsidRPr="009D7635">
        <w:rPr>
          <w:rFonts w:ascii="Times New Roman" w:hAnsi="Times New Roman" w:cs="Times New Roman"/>
          <w:i/>
          <w:color w:val="000000" w:themeColor="text1"/>
          <w:sz w:val="20"/>
          <w:szCs w:val="20"/>
        </w:rPr>
        <w:t>primum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intelligibile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eius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intentio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apud</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intellectum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nota</w:t>
      </w:r>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(Avicenna, </w:t>
      </w:r>
      <w:r w:rsidRPr="009D7635">
        <w:rPr>
          <w:rFonts w:ascii="Times New Roman" w:hAnsi="Times New Roman" w:cs="Times New Roman"/>
          <w:i/>
          <w:color w:val="000000" w:themeColor="text1"/>
          <w:sz w:val="20"/>
          <w:szCs w:val="20"/>
          <w:lang w:val="en-US"/>
        </w:rPr>
        <w:t>Meta</w:t>
      </w:r>
      <w:r w:rsidRPr="009D7635">
        <w:rPr>
          <w:rFonts w:ascii="Times New Roman" w:hAnsi="Times New Roman" w:cs="Times New Roman"/>
          <w:color w:val="000000" w:themeColor="text1"/>
          <w:sz w:val="20"/>
          <w:szCs w:val="20"/>
          <w:lang w:val="en-US"/>
        </w:rPr>
        <w:t xml:space="preserve"> I.6); cf. Vol </w:t>
      </w:r>
      <w:r w:rsidRPr="009D7635">
        <w:rPr>
          <w:rFonts w:ascii="Times New Roman" w:hAnsi="Times New Roman" w:cs="Times New Roman"/>
          <w:color w:val="000000" w:themeColor="text1"/>
          <w:sz w:val="20"/>
          <w:szCs w:val="20"/>
        </w:rPr>
        <w:t xml:space="preserve">2.1, In1, S1, Q1, C2, 3. </w:t>
      </w:r>
      <w:r w:rsidR="00165244" w:rsidRPr="009D7635">
        <w:rPr>
          <w:rFonts w:ascii="Times New Roman" w:hAnsi="Times New Roman" w:cs="Times New Roman"/>
          <w:color w:val="000000" w:themeColor="text1"/>
          <w:sz w:val="20"/>
          <w:szCs w:val="20"/>
        </w:rPr>
        <w:t>SH</w:t>
      </w:r>
      <w:r w:rsidRPr="009D7635">
        <w:rPr>
          <w:rFonts w:ascii="Times New Roman" w:hAnsi="Times New Roman" w:cs="Times New Roman"/>
          <w:color w:val="000000" w:themeColor="text1"/>
          <w:sz w:val="20"/>
          <w:szCs w:val="20"/>
        </w:rPr>
        <w:t xml:space="preserve"> 1, P1, In2, Tr1, Q1, C2, Ar2,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522: </w:t>
      </w:r>
      <w:r w:rsidRPr="009D7635">
        <w:rPr>
          <w:rFonts w:ascii="Times New Roman" w:hAnsi="Times New Roman" w:cs="Times New Roman"/>
          <w:i/>
          <w:color w:val="000000" w:themeColor="text1"/>
          <w:sz w:val="20"/>
          <w:szCs w:val="20"/>
          <w:lang w:val="en-US"/>
        </w:rPr>
        <w:t xml:space="preserve">Deus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efficiens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primum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eius</w:t>
      </w:r>
      <w:proofErr w:type="spellEnd"/>
      <w:r w:rsidRPr="009D7635">
        <w:rPr>
          <w:rFonts w:ascii="Times New Roman" w:hAnsi="Times New Roman" w:cs="Times New Roman"/>
          <w:i/>
          <w:color w:val="000000" w:themeColor="text1"/>
          <w:sz w:val="20"/>
          <w:szCs w:val="20"/>
          <w:lang w:val="en-US"/>
        </w:rPr>
        <w:t xml:space="preserve"> nomen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ens</w:t>
      </w:r>
      <w:r w:rsidRPr="009D7635">
        <w:rPr>
          <w:rFonts w:ascii="Times New Roman" w:hAnsi="Times New Roman" w:cs="Times New Roman"/>
          <w:color w:val="000000" w:themeColor="text1"/>
          <w:sz w:val="20"/>
          <w:szCs w:val="20"/>
          <w:lang w:val="en-US"/>
        </w:rPr>
        <w:t>.</w:t>
      </w:r>
    </w:p>
  </w:footnote>
  <w:footnote w:id="767">
    <w:p w14:paraId="4DA114BD" w14:textId="3F63CA38" w:rsidR="00B93ED5" w:rsidRPr="009D7635" w:rsidRDefault="00B93ED5" w:rsidP="00E164F7">
      <w:pPr>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E164F7" w:rsidRPr="009D7635">
        <w:rPr>
          <w:rFonts w:ascii="Times New Roman" w:hAnsi="Times New Roman" w:cs="Times New Roman"/>
          <w:bCs/>
          <w:sz w:val="20"/>
          <w:szCs w:val="20"/>
        </w:rPr>
        <w:t xml:space="preserve">SH 1, P1, In1, Tr3, Q1, M1, C2, </w:t>
      </w:r>
      <w:proofErr w:type="spellStart"/>
      <w:r w:rsidR="00E164F7" w:rsidRPr="009D7635">
        <w:rPr>
          <w:rFonts w:ascii="Times New Roman" w:hAnsi="Times New Roman" w:cs="Times New Roman"/>
          <w:bCs/>
          <w:sz w:val="20"/>
          <w:szCs w:val="20"/>
        </w:rPr>
        <w:t>Respondeo</w:t>
      </w:r>
      <w:proofErr w:type="spellEnd"/>
      <w:r w:rsidR="00E164F7" w:rsidRPr="009D7635">
        <w:rPr>
          <w:rFonts w:ascii="Times New Roman" w:hAnsi="Times New Roman" w:cs="Times New Roman"/>
          <w:bCs/>
          <w:sz w:val="20"/>
          <w:szCs w:val="20"/>
        </w:rPr>
        <w:t>, 114-15: ‘</w:t>
      </w:r>
      <w:proofErr w:type="spellStart"/>
      <w:r w:rsidR="00E164F7" w:rsidRPr="009D7635">
        <w:rPr>
          <w:rFonts w:ascii="Times New Roman" w:hAnsi="Times New Roman" w:cs="Times New Roman"/>
          <w:sz w:val="20"/>
          <w:szCs w:val="20"/>
        </w:rPr>
        <w:t>Secundum</w:t>
      </w:r>
      <w:proofErr w:type="spellEnd"/>
      <w:r w:rsidR="00E164F7" w:rsidRPr="009D7635">
        <w:rPr>
          <w:rFonts w:ascii="Times New Roman" w:hAnsi="Times New Roman" w:cs="Times New Roman"/>
          <w:sz w:val="20"/>
          <w:szCs w:val="20"/>
        </w:rPr>
        <w:t xml:space="preserve"> quod ens </w:t>
      </w:r>
      <w:proofErr w:type="spellStart"/>
      <w:r w:rsidR="00E164F7" w:rsidRPr="009D7635">
        <w:rPr>
          <w:rFonts w:ascii="Times New Roman" w:hAnsi="Times New Roman" w:cs="Times New Roman"/>
          <w:sz w:val="20"/>
          <w:szCs w:val="20"/>
        </w:rPr>
        <w:t>aliquod</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consideratur</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absolutum</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ut</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divisum</w:t>
      </w:r>
      <w:proofErr w:type="spellEnd"/>
      <w:r w:rsidR="00E164F7" w:rsidRPr="009D7635">
        <w:rPr>
          <w:rFonts w:ascii="Times New Roman" w:hAnsi="Times New Roman" w:cs="Times New Roman"/>
          <w:sz w:val="20"/>
          <w:szCs w:val="20"/>
        </w:rPr>
        <w:t xml:space="preserve"> ab </w:t>
      </w:r>
      <w:proofErr w:type="spellStart"/>
      <w:r w:rsidR="00E164F7" w:rsidRPr="009D7635">
        <w:rPr>
          <w:rFonts w:ascii="Times New Roman" w:hAnsi="Times New Roman" w:cs="Times New Roman"/>
          <w:sz w:val="20"/>
          <w:szCs w:val="20"/>
        </w:rPr>
        <w:t>aliis</w:t>
      </w:r>
      <w:proofErr w:type="spellEnd"/>
      <w:r w:rsidR="00E164F7" w:rsidRPr="009D7635">
        <w:rPr>
          <w:rFonts w:ascii="Times New Roman" w:hAnsi="Times New Roman" w:cs="Times New Roman"/>
          <w:sz w:val="20"/>
          <w:szCs w:val="20"/>
        </w:rPr>
        <w:t xml:space="preserve"> et in se </w:t>
      </w:r>
      <w:proofErr w:type="spellStart"/>
      <w:r w:rsidR="00E164F7" w:rsidRPr="009D7635">
        <w:rPr>
          <w:rFonts w:ascii="Times New Roman" w:hAnsi="Times New Roman" w:cs="Times New Roman"/>
          <w:sz w:val="20"/>
          <w:szCs w:val="20"/>
        </w:rPr>
        <w:t>indivisum</w:t>
      </w:r>
      <w:proofErr w:type="spellEnd"/>
      <w:r w:rsidR="00E164F7" w:rsidRPr="009D7635">
        <w:rPr>
          <w:rFonts w:ascii="Times New Roman" w:hAnsi="Times New Roman" w:cs="Times New Roman"/>
          <w:sz w:val="20"/>
          <w:szCs w:val="20"/>
        </w:rPr>
        <w:t xml:space="preserve">, determinator per “unum”. </w:t>
      </w:r>
      <w:proofErr w:type="spellStart"/>
      <w:r w:rsidR="00E164F7" w:rsidRPr="009D7635">
        <w:rPr>
          <w:rFonts w:ascii="Times New Roman" w:hAnsi="Times New Roman" w:cs="Times New Roman"/>
          <w:sz w:val="20"/>
          <w:szCs w:val="20"/>
        </w:rPr>
        <w:t>Secundum</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vero</w:t>
      </w:r>
      <w:proofErr w:type="spellEnd"/>
      <w:r w:rsidR="00E164F7" w:rsidRPr="009D7635">
        <w:rPr>
          <w:rFonts w:ascii="Times New Roman" w:hAnsi="Times New Roman" w:cs="Times New Roman"/>
          <w:sz w:val="20"/>
          <w:szCs w:val="20"/>
        </w:rPr>
        <w:t xml:space="preserve"> quod </w:t>
      </w:r>
      <w:proofErr w:type="spellStart"/>
      <w:r w:rsidR="00E164F7" w:rsidRPr="009D7635">
        <w:rPr>
          <w:rFonts w:ascii="Times New Roman" w:hAnsi="Times New Roman" w:cs="Times New Roman"/>
          <w:sz w:val="20"/>
          <w:szCs w:val="20"/>
        </w:rPr>
        <w:t>consideratur</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aliquod</w:t>
      </w:r>
      <w:proofErr w:type="spellEnd"/>
      <w:r w:rsidR="00E164F7" w:rsidRPr="009D7635">
        <w:rPr>
          <w:rFonts w:ascii="Times New Roman" w:hAnsi="Times New Roman" w:cs="Times New Roman"/>
          <w:sz w:val="20"/>
          <w:szCs w:val="20"/>
        </w:rPr>
        <w:t xml:space="preserve"> ens </w:t>
      </w:r>
      <w:proofErr w:type="spellStart"/>
      <w:r w:rsidR="00E164F7" w:rsidRPr="009D7635">
        <w:rPr>
          <w:rFonts w:ascii="Times New Roman" w:hAnsi="Times New Roman" w:cs="Times New Roman"/>
          <w:sz w:val="20"/>
          <w:szCs w:val="20"/>
        </w:rPr>
        <w:t>comparatum</w:t>
      </w:r>
      <w:proofErr w:type="spellEnd"/>
      <w:r w:rsidR="00E164F7" w:rsidRPr="009D7635">
        <w:rPr>
          <w:rFonts w:ascii="Times New Roman" w:hAnsi="Times New Roman" w:cs="Times New Roman"/>
          <w:sz w:val="20"/>
          <w:szCs w:val="20"/>
        </w:rPr>
        <w:t xml:space="preserve"> ad </w:t>
      </w:r>
      <w:proofErr w:type="spellStart"/>
      <w:r w:rsidR="00E164F7" w:rsidRPr="009D7635">
        <w:rPr>
          <w:rFonts w:ascii="Times New Roman" w:hAnsi="Times New Roman" w:cs="Times New Roman"/>
          <w:sz w:val="20"/>
          <w:szCs w:val="20"/>
        </w:rPr>
        <w:t>aliud</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secundum</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distinctionem</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determinatur</w:t>
      </w:r>
      <w:proofErr w:type="spellEnd"/>
      <w:r w:rsidR="00E164F7" w:rsidRPr="009D7635">
        <w:rPr>
          <w:rFonts w:ascii="Times New Roman" w:hAnsi="Times New Roman" w:cs="Times New Roman"/>
          <w:sz w:val="20"/>
          <w:szCs w:val="20"/>
        </w:rPr>
        <w:t xml:space="preserve"> per “</w:t>
      </w:r>
      <w:proofErr w:type="spellStart"/>
      <w:r w:rsidR="00E164F7" w:rsidRPr="009D7635">
        <w:rPr>
          <w:rFonts w:ascii="Times New Roman" w:hAnsi="Times New Roman" w:cs="Times New Roman"/>
          <w:sz w:val="20"/>
          <w:szCs w:val="20"/>
        </w:rPr>
        <w:t>verum</w:t>
      </w:r>
      <w:proofErr w:type="spellEnd"/>
      <w:r w:rsidR="00E164F7" w:rsidRPr="009D7635">
        <w:rPr>
          <w:rFonts w:ascii="Times New Roman" w:hAnsi="Times New Roman" w:cs="Times New Roman"/>
          <w:sz w:val="20"/>
          <w:szCs w:val="20"/>
        </w:rPr>
        <w:t>”: ‘</w:t>
      </w:r>
      <w:proofErr w:type="spellStart"/>
      <w:r w:rsidR="00E164F7" w:rsidRPr="009D7635">
        <w:rPr>
          <w:rFonts w:ascii="Times New Roman" w:hAnsi="Times New Roman" w:cs="Times New Roman"/>
          <w:sz w:val="20"/>
          <w:szCs w:val="20"/>
        </w:rPr>
        <w:t>verum</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enim</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est</w:t>
      </w:r>
      <w:proofErr w:type="spellEnd"/>
      <w:r w:rsidR="00E164F7" w:rsidRPr="009D7635">
        <w:rPr>
          <w:rFonts w:ascii="Times New Roman" w:hAnsi="Times New Roman" w:cs="Times New Roman"/>
          <w:sz w:val="20"/>
          <w:szCs w:val="20"/>
        </w:rPr>
        <w:t xml:space="preserve"> quo res </w:t>
      </w:r>
      <w:proofErr w:type="spellStart"/>
      <w:r w:rsidR="00E164F7" w:rsidRPr="009D7635">
        <w:rPr>
          <w:rFonts w:ascii="Times New Roman" w:hAnsi="Times New Roman" w:cs="Times New Roman"/>
          <w:sz w:val="20"/>
          <w:szCs w:val="20"/>
        </w:rPr>
        <w:t>habet</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discerni</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Secundum</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vero</w:t>
      </w:r>
      <w:proofErr w:type="spellEnd"/>
      <w:r w:rsidR="00E164F7" w:rsidRPr="009D7635">
        <w:rPr>
          <w:rFonts w:ascii="Times New Roman" w:hAnsi="Times New Roman" w:cs="Times New Roman"/>
          <w:sz w:val="20"/>
          <w:szCs w:val="20"/>
        </w:rPr>
        <w:t xml:space="preserve"> quod </w:t>
      </w:r>
      <w:proofErr w:type="spellStart"/>
      <w:r w:rsidR="00E164F7" w:rsidRPr="009D7635">
        <w:rPr>
          <w:rFonts w:ascii="Times New Roman" w:hAnsi="Times New Roman" w:cs="Times New Roman"/>
          <w:sz w:val="20"/>
          <w:szCs w:val="20"/>
        </w:rPr>
        <w:t>consideratur</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comparatum</w:t>
      </w:r>
      <w:proofErr w:type="spellEnd"/>
      <w:r w:rsidR="00E164F7" w:rsidRPr="009D7635">
        <w:rPr>
          <w:rFonts w:ascii="Times New Roman" w:hAnsi="Times New Roman" w:cs="Times New Roman"/>
          <w:sz w:val="20"/>
          <w:szCs w:val="20"/>
        </w:rPr>
        <w:t xml:space="preserve"> ad </w:t>
      </w:r>
      <w:proofErr w:type="spellStart"/>
      <w:r w:rsidR="00E164F7" w:rsidRPr="009D7635">
        <w:rPr>
          <w:rFonts w:ascii="Times New Roman" w:hAnsi="Times New Roman" w:cs="Times New Roman"/>
          <w:sz w:val="20"/>
          <w:szCs w:val="20"/>
        </w:rPr>
        <w:t>aliud</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secundum</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convenientiam</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sive</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ordinem</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determinatur</w:t>
      </w:r>
      <w:proofErr w:type="spellEnd"/>
      <w:r w:rsidR="00E164F7" w:rsidRPr="009D7635">
        <w:rPr>
          <w:rFonts w:ascii="Times New Roman" w:hAnsi="Times New Roman" w:cs="Times New Roman"/>
          <w:sz w:val="20"/>
          <w:szCs w:val="20"/>
        </w:rPr>
        <w:t xml:space="preserve"> per “</w:t>
      </w:r>
      <w:proofErr w:type="spellStart"/>
      <w:r w:rsidR="00E164F7" w:rsidRPr="009D7635">
        <w:rPr>
          <w:rFonts w:ascii="Times New Roman" w:hAnsi="Times New Roman" w:cs="Times New Roman"/>
          <w:sz w:val="20"/>
          <w:szCs w:val="20"/>
        </w:rPr>
        <w:t>bonum</w:t>
      </w:r>
      <w:proofErr w:type="spellEnd"/>
      <w:r w:rsidR="00E164F7" w:rsidRPr="009D7635">
        <w:rPr>
          <w:rFonts w:ascii="Times New Roman" w:hAnsi="Times New Roman" w:cs="Times New Roman"/>
          <w:sz w:val="20"/>
          <w:szCs w:val="20"/>
        </w:rPr>
        <w:t>”: '</w:t>
      </w:r>
      <w:proofErr w:type="spellStart"/>
      <w:r w:rsidR="00E164F7" w:rsidRPr="009D7635">
        <w:rPr>
          <w:rFonts w:ascii="Times New Roman" w:hAnsi="Times New Roman" w:cs="Times New Roman"/>
          <w:sz w:val="20"/>
          <w:szCs w:val="20"/>
        </w:rPr>
        <w:t>bonum</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enim</w:t>
      </w:r>
      <w:proofErr w:type="spellEnd"/>
      <w:r w:rsidR="00E164F7" w:rsidRPr="009D7635">
        <w:rPr>
          <w:rFonts w:ascii="Times New Roman" w:hAnsi="Times New Roman" w:cs="Times New Roman"/>
          <w:sz w:val="20"/>
          <w:szCs w:val="20"/>
        </w:rPr>
        <w:t xml:space="preserve"> </w:t>
      </w:r>
      <w:proofErr w:type="spellStart"/>
      <w:r w:rsidR="00E164F7" w:rsidRPr="009D7635">
        <w:rPr>
          <w:rFonts w:ascii="Times New Roman" w:hAnsi="Times New Roman" w:cs="Times New Roman"/>
          <w:sz w:val="20"/>
          <w:szCs w:val="20"/>
        </w:rPr>
        <w:t>est</w:t>
      </w:r>
      <w:proofErr w:type="spellEnd"/>
      <w:r w:rsidR="00E164F7" w:rsidRPr="009D7635">
        <w:rPr>
          <w:rFonts w:ascii="Times New Roman" w:hAnsi="Times New Roman" w:cs="Times New Roman"/>
          <w:sz w:val="20"/>
          <w:szCs w:val="20"/>
        </w:rPr>
        <w:t xml:space="preserve"> ex quo res </w:t>
      </w:r>
      <w:proofErr w:type="spellStart"/>
      <w:r w:rsidR="00E164F7" w:rsidRPr="009D7635">
        <w:rPr>
          <w:rFonts w:ascii="Times New Roman" w:hAnsi="Times New Roman" w:cs="Times New Roman"/>
          <w:sz w:val="20"/>
          <w:szCs w:val="20"/>
        </w:rPr>
        <w:t>habet</w:t>
      </w:r>
      <w:proofErr w:type="spellEnd"/>
      <w:r w:rsidR="00E164F7" w:rsidRPr="009D7635">
        <w:rPr>
          <w:rFonts w:ascii="Times New Roman" w:hAnsi="Times New Roman" w:cs="Times New Roman"/>
          <w:sz w:val="20"/>
          <w:szCs w:val="20"/>
        </w:rPr>
        <w:t xml:space="preserve"> ordinary. (‘Insofar as a being is considered as absolute, undivided in itself, and separated from other [beings], it is delimited by “oneness”. However, insofar as a being is considered in relation to another [being] in terms of its distinctness, it is delimited by “truth”, for “true” stands for the ability of a thing to be detectible. However, insofar as [a being] is considered in relation to another [being] in terms of agreement or order, it is delimited by “goodness”, for “good” stands for the ability of a thing to fit into an order.’) Translation by Oleg Bychkov in </w:t>
      </w:r>
      <w:r w:rsidR="00E164F7" w:rsidRPr="009D7635">
        <w:rPr>
          <w:rFonts w:ascii="Times New Roman" w:hAnsi="Times New Roman" w:cs="Times New Roman"/>
          <w:i/>
          <w:iCs/>
          <w:sz w:val="20"/>
          <w:szCs w:val="20"/>
        </w:rPr>
        <w:t>A Reader in Early Franciscan Theology</w:t>
      </w:r>
      <w:r w:rsidR="00E164F7" w:rsidRPr="009D7635">
        <w:rPr>
          <w:rFonts w:ascii="Times New Roman" w:hAnsi="Times New Roman" w:cs="Times New Roman"/>
          <w:sz w:val="20"/>
          <w:szCs w:val="20"/>
        </w:rPr>
        <w:t>, ed. Lydia Schumacher and Oleg Bychkov (New York: Fordham University Press, 2021)</w:t>
      </w:r>
      <w:r w:rsidR="006C74B5" w:rsidRPr="009D7635">
        <w:rPr>
          <w:rFonts w:ascii="Times New Roman" w:hAnsi="Times New Roman" w:cs="Times New Roman"/>
          <w:sz w:val="20"/>
          <w:szCs w:val="20"/>
        </w:rPr>
        <w:t>, 142-43</w:t>
      </w:r>
      <w:r w:rsidR="00E164F7" w:rsidRPr="009D7635">
        <w:rPr>
          <w:rFonts w:ascii="Times New Roman" w:hAnsi="Times New Roman" w:cs="Times New Roman"/>
          <w:sz w:val="20"/>
          <w:szCs w:val="20"/>
        </w:rPr>
        <w:t>.</w:t>
      </w:r>
      <w:r w:rsidR="00E164F7" w:rsidRPr="009D7635">
        <w:rPr>
          <w:rFonts w:ascii="Times New Roman" w:hAnsi="Times New Roman" w:cs="Times New Roman"/>
          <w:color w:val="000000" w:themeColor="text1"/>
          <w:sz w:val="20"/>
          <w:szCs w:val="20"/>
        </w:rPr>
        <w:t xml:space="preserve"> C</w:t>
      </w:r>
      <w:r w:rsidRPr="009D7635">
        <w:rPr>
          <w:rFonts w:ascii="Times New Roman" w:hAnsi="Times New Roman" w:cs="Times New Roman"/>
          <w:color w:val="000000" w:themeColor="text1"/>
          <w:sz w:val="20"/>
          <w:szCs w:val="20"/>
        </w:rPr>
        <w:t xml:space="preserve">f. Vol 1, Tr3, Q2, M1, C2,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140.  </w:t>
      </w:r>
    </w:p>
  </w:footnote>
  <w:footnote w:id="768">
    <w:p w14:paraId="37A57A17" w14:textId="1E1CC961" w:rsidR="00B93ED5" w:rsidRPr="009D7635" w:rsidRDefault="00B93ED5" w:rsidP="00E212D3">
      <w:pPr>
        <w:rPr>
          <w:rFonts w:ascii="Times New Roman" w:eastAsia="Times New Roman" w:hAnsi="Times New Roman" w:cs="Times New Roman"/>
          <w:color w:val="000000" w:themeColor="text1"/>
          <w:sz w:val="20"/>
          <w:szCs w:val="20"/>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J. </w:t>
      </w:r>
      <w:proofErr w:type="spellStart"/>
      <w:r w:rsidRPr="009D7635">
        <w:rPr>
          <w:rFonts w:ascii="Times New Roman" w:hAnsi="Times New Roman" w:cs="Times New Roman"/>
          <w:color w:val="000000" w:themeColor="text1"/>
          <w:sz w:val="20"/>
          <w:szCs w:val="20"/>
        </w:rPr>
        <w:t>Rohmer</w:t>
      </w:r>
      <w:proofErr w:type="spellEnd"/>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color w:val="000000" w:themeColor="text1"/>
          <w:sz w:val="20"/>
          <w:szCs w:val="20"/>
          <w:lang w:eastAsia="en-GB"/>
        </w:rPr>
        <w:t xml:space="preserve">‘La </w:t>
      </w:r>
      <w:proofErr w:type="spellStart"/>
      <w:r w:rsidRPr="009D7635">
        <w:rPr>
          <w:rFonts w:ascii="Times New Roman" w:eastAsia="Times New Roman" w:hAnsi="Times New Roman" w:cs="Times New Roman"/>
          <w:color w:val="000000" w:themeColor="text1"/>
          <w:sz w:val="20"/>
          <w:szCs w:val="20"/>
          <w:lang w:eastAsia="en-GB"/>
        </w:rPr>
        <w:t>théorie</w:t>
      </w:r>
      <w:proofErr w:type="spellEnd"/>
      <w:r w:rsidRPr="009D7635">
        <w:rPr>
          <w:rFonts w:ascii="Times New Roman" w:eastAsia="Times New Roman" w:hAnsi="Times New Roman" w:cs="Times New Roman"/>
          <w:color w:val="000000" w:themeColor="text1"/>
          <w:sz w:val="20"/>
          <w:szCs w:val="20"/>
          <w:lang w:eastAsia="en-GB"/>
        </w:rPr>
        <w:t xml:space="preserve"> de l'abstraction dans l'école </w:t>
      </w:r>
      <w:proofErr w:type="spellStart"/>
      <w:r w:rsidRPr="009D7635">
        <w:rPr>
          <w:rFonts w:ascii="Times New Roman" w:eastAsia="Times New Roman" w:hAnsi="Times New Roman" w:cs="Times New Roman"/>
          <w:color w:val="000000" w:themeColor="text1"/>
          <w:sz w:val="20"/>
          <w:szCs w:val="20"/>
          <w:lang w:eastAsia="en-GB"/>
        </w:rPr>
        <w:t>Franciscaine</w:t>
      </w:r>
      <w:proofErr w:type="spellEnd"/>
      <w:r w:rsidRPr="009D7635">
        <w:rPr>
          <w:rFonts w:ascii="Times New Roman" w:eastAsia="Times New Roman" w:hAnsi="Times New Roman" w:cs="Times New Roman"/>
          <w:color w:val="000000" w:themeColor="text1"/>
          <w:sz w:val="20"/>
          <w:szCs w:val="20"/>
          <w:lang w:eastAsia="en-GB"/>
        </w:rPr>
        <w:t xml:space="preserve"> d'Alexandre de </w:t>
      </w:r>
      <w:proofErr w:type="spellStart"/>
      <w:r w:rsidRPr="009D7635">
        <w:rPr>
          <w:rFonts w:ascii="Times New Roman" w:eastAsia="Times New Roman" w:hAnsi="Times New Roman" w:cs="Times New Roman"/>
          <w:color w:val="000000" w:themeColor="text1"/>
          <w:sz w:val="20"/>
          <w:szCs w:val="20"/>
          <w:lang w:eastAsia="en-GB"/>
        </w:rPr>
        <w:t>Halés</w:t>
      </w:r>
      <w:proofErr w:type="spellEnd"/>
      <w:r w:rsidRPr="009D7635">
        <w:rPr>
          <w:rFonts w:ascii="Times New Roman" w:eastAsia="Times New Roman" w:hAnsi="Times New Roman" w:cs="Times New Roman"/>
          <w:color w:val="000000" w:themeColor="text1"/>
          <w:sz w:val="20"/>
          <w:szCs w:val="20"/>
          <w:lang w:eastAsia="en-GB"/>
        </w:rPr>
        <w:t xml:space="preserve"> à Jean Peckham,’ 132, discusses the phases of abstraction in John’s thought. For a further discussion of how the transcendentals aid in abstraction in the </w:t>
      </w:r>
      <w:r w:rsidRPr="009D7635">
        <w:rPr>
          <w:rFonts w:ascii="Times New Roman" w:eastAsia="Times New Roman" w:hAnsi="Times New Roman" w:cs="Times New Roman"/>
          <w:i/>
          <w:iCs/>
          <w:color w:val="000000" w:themeColor="text1"/>
          <w:sz w:val="20"/>
          <w:szCs w:val="20"/>
          <w:lang w:eastAsia="en-GB"/>
        </w:rPr>
        <w:t xml:space="preserve">Summa </w:t>
      </w:r>
      <w:proofErr w:type="spellStart"/>
      <w:r w:rsidRPr="009D7635">
        <w:rPr>
          <w:rFonts w:ascii="Times New Roman" w:eastAsia="Times New Roman" w:hAnsi="Times New Roman" w:cs="Times New Roman"/>
          <w:i/>
          <w:iCs/>
          <w:color w:val="000000" w:themeColor="text1"/>
          <w:sz w:val="20"/>
          <w:szCs w:val="20"/>
          <w:lang w:eastAsia="en-GB"/>
        </w:rPr>
        <w:t>Halensis</w:t>
      </w:r>
      <w:proofErr w:type="spellEnd"/>
      <w:r w:rsidRPr="009D7635">
        <w:rPr>
          <w:rFonts w:ascii="Times New Roman" w:eastAsia="Times New Roman" w:hAnsi="Times New Roman" w:cs="Times New Roman"/>
          <w:i/>
          <w:iCs/>
          <w:color w:val="000000" w:themeColor="text1"/>
          <w:sz w:val="20"/>
          <w:szCs w:val="20"/>
          <w:lang w:eastAsia="en-GB"/>
        </w:rPr>
        <w:t xml:space="preserve">, </w:t>
      </w:r>
      <w:r w:rsidRPr="009D7635">
        <w:rPr>
          <w:rFonts w:ascii="Times New Roman" w:eastAsia="Times New Roman" w:hAnsi="Times New Roman" w:cs="Times New Roman"/>
          <w:color w:val="000000" w:themeColor="text1"/>
          <w:sz w:val="20"/>
          <w:szCs w:val="20"/>
          <w:lang w:eastAsia="en-GB"/>
        </w:rPr>
        <w:t xml:space="preserve">see the chapter on ‘theological vision’ in Lydia Schumacher, </w:t>
      </w:r>
      <w:r w:rsidRPr="009D7635">
        <w:rPr>
          <w:rFonts w:ascii="Times New Roman" w:eastAsia="Times New Roman" w:hAnsi="Times New Roman" w:cs="Times New Roman"/>
          <w:i/>
          <w:iCs/>
          <w:color w:val="000000" w:themeColor="text1"/>
          <w:sz w:val="20"/>
          <w:szCs w:val="20"/>
          <w:lang w:eastAsia="en-GB"/>
        </w:rPr>
        <w:t>Early Franciscan Theology: Between Authority and Innovation</w:t>
      </w:r>
      <w:r w:rsidR="008F6277" w:rsidRPr="009D7635">
        <w:rPr>
          <w:rFonts w:ascii="Times New Roman" w:eastAsia="Times New Roman" w:hAnsi="Times New Roman" w:cs="Times New Roman"/>
          <w:i/>
          <w:iCs/>
          <w:color w:val="000000" w:themeColor="text1"/>
          <w:sz w:val="20"/>
          <w:szCs w:val="20"/>
          <w:lang w:eastAsia="en-GB"/>
        </w:rPr>
        <w:t xml:space="preserve">, </w:t>
      </w:r>
      <w:r w:rsidR="008F6277" w:rsidRPr="009D7635">
        <w:rPr>
          <w:rFonts w:ascii="Times New Roman" w:eastAsia="Times New Roman" w:hAnsi="Times New Roman" w:cs="Times New Roman"/>
          <w:color w:val="000000" w:themeColor="text1"/>
          <w:sz w:val="20"/>
          <w:szCs w:val="20"/>
          <w:lang w:eastAsia="en-GB"/>
        </w:rPr>
        <w:t>72-102.</w:t>
      </w:r>
    </w:p>
  </w:footnote>
  <w:footnote w:id="769">
    <w:p w14:paraId="5F29CE94" w14:textId="44ABFE5A" w:rsidR="000B00AD" w:rsidRPr="009D7635" w:rsidRDefault="000B00AD" w:rsidP="000B00AD">
      <w:pPr>
        <w:autoSpaceDE w:val="0"/>
        <w:autoSpaceDN w:val="0"/>
        <w:adjustRightInd w:val="0"/>
        <w:rPr>
          <w:rFonts w:ascii="Times New Roman" w:hAnsi="Times New Roman" w:cs="Times New Roman"/>
          <w:b/>
          <w:bCs/>
          <w:sz w:val="20"/>
          <w:szCs w:val="20"/>
        </w:rPr>
      </w:pPr>
      <w:r w:rsidRPr="009D7635">
        <w:rPr>
          <w:rStyle w:val="FootnoteReference"/>
          <w:rFonts w:ascii="Times New Roman" w:hAnsi="Times New Roman" w:cs="Times New Roman"/>
          <w:sz w:val="20"/>
          <w:szCs w:val="20"/>
        </w:rPr>
        <w:footnoteRef/>
      </w:r>
      <w:r w:rsidRPr="009D7635">
        <w:rPr>
          <w:rFonts w:ascii="Times New Roman" w:hAnsi="Times New Roman" w:cs="Times New Roman"/>
          <w:sz w:val="20"/>
          <w:szCs w:val="20"/>
        </w:rPr>
        <w:t xml:space="preserve"> </w:t>
      </w:r>
      <w:bookmarkStart w:id="2" w:name="_Hlk79823552"/>
      <w:bookmarkStart w:id="3" w:name="OLE_LINK25"/>
      <w:r w:rsidRPr="009D7635">
        <w:rPr>
          <w:rFonts w:ascii="Times New Roman" w:hAnsi="Times New Roman" w:cs="Times New Roman"/>
          <w:sz w:val="20"/>
          <w:szCs w:val="20"/>
        </w:rPr>
        <w:t xml:space="preserve">This was first pointed out to me by Oleg Bychkov and noted in our jointly edited </w:t>
      </w:r>
      <w:r w:rsidRPr="009D7635">
        <w:rPr>
          <w:rFonts w:ascii="Times New Roman" w:hAnsi="Times New Roman" w:cs="Times New Roman"/>
          <w:i/>
          <w:sz w:val="20"/>
          <w:szCs w:val="20"/>
        </w:rPr>
        <w:t xml:space="preserve">Reader in Early Franciscan Theology. </w:t>
      </w:r>
      <w:r w:rsidRPr="009D7635">
        <w:rPr>
          <w:rFonts w:ascii="Times New Roman" w:hAnsi="Times New Roman" w:cs="Times New Roman"/>
          <w:bCs/>
          <w:sz w:val="20"/>
          <w:szCs w:val="20"/>
        </w:rPr>
        <w:t xml:space="preserve">SH I, Tr Int, Q2, M3, C3, </w:t>
      </w:r>
      <w:bookmarkEnd w:id="2"/>
      <w:bookmarkEnd w:id="3"/>
      <w:r w:rsidRPr="009D7635">
        <w:rPr>
          <w:rFonts w:ascii="Times New Roman" w:hAnsi="Times New Roman" w:cs="Times New Roman"/>
          <w:bCs/>
          <w:sz w:val="20"/>
          <w:szCs w:val="20"/>
        </w:rPr>
        <w:t>I. a, 3</w:t>
      </w:r>
      <w:r w:rsidRPr="00F11E09">
        <w:rPr>
          <w:rFonts w:ascii="Times New Roman" w:hAnsi="Times New Roman" w:cs="Times New Roman"/>
          <w:sz w:val="20"/>
          <w:szCs w:val="20"/>
        </w:rPr>
        <w:t>3:</w:t>
      </w:r>
      <w:r w:rsidRPr="009D7635">
        <w:rPr>
          <w:rFonts w:ascii="Times New Roman" w:hAnsi="Times New Roman" w:cs="Times New Roman"/>
          <w:bCs/>
          <w:sz w:val="20"/>
          <w:szCs w:val="20"/>
        </w:rPr>
        <w:t xml:space="preserve"> </w:t>
      </w:r>
      <w:r w:rsidR="00F11E09">
        <w:rPr>
          <w:rFonts w:ascii="Times New Roman" w:hAnsi="Times New Roman" w:cs="Times New Roman"/>
          <w:bCs/>
          <w:sz w:val="20"/>
          <w:szCs w:val="20"/>
        </w:rPr>
        <w:t>‘</w:t>
      </w:r>
      <w:r w:rsidRPr="009D7635">
        <w:rPr>
          <w:rFonts w:ascii="Times New Roman" w:hAnsi="Times New Roman" w:cs="Times New Roman"/>
          <w:sz w:val="20"/>
          <w:szCs w:val="20"/>
        </w:rPr>
        <w:t xml:space="preserve">Ad hoc ergo primo </w:t>
      </w:r>
      <w:proofErr w:type="spellStart"/>
      <w:r w:rsidRPr="009D7635">
        <w:rPr>
          <w:rFonts w:ascii="Times New Roman" w:hAnsi="Times New Roman" w:cs="Times New Roman"/>
          <w:sz w:val="20"/>
          <w:szCs w:val="20"/>
        </w:rPr>
        <w:t>introducitur</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illud</w:t>
      </w:r>
      <w:proofErr w:type="spellEnd"/>
      <w:r w:rsidRPr="009D7635">
        <w:rPr>
          <w:rFonts w:ascii="Times New Roman" w:hAnsi="Times New Roman" w:cs="Times New Roman"/>
          <w:sz w:val="20"/>
          <w:szCs w:val="20"/>
        </w:rPr>
        <w:t xml:space="preserve"> quod </w:t>
      </w:r>
      <w:proofErr w:type="spellStart"/>
      <w:r w:rsidRPr="009D7635">
        <w:rPr>
          <w:rFonts w:ascii="Times New Roman" w:hAnsi="Times New Roman" w:cs="Times New Roman"/>
          <w:sz w:val="20"/>
          <w:szCs w:val="20"/>
        </w:rPr>
        <w:t>dicit</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Augustinus</w:t>
      </w:r>
      <w:proofErr w:type="spellEnd"/>
      <w:r w:rsidRPr="009D7635">
        <w:rPr>
          <w:rFonts w:ascii="Times New Roman" w:hAnsi="Times New Roman" w:cs="Times New Roman"/>
          <w:sz w:val="20"/>
          <w:szCs w:val="20"/>
        </w:rPr>
        <w:t xml:space="preserve">, in </w:t>
      </w:r>
      <w:proofErr w:type="spellStart"/>
      <w:r w:rsidRPr="009D7635">
        <w:rPr>
          <w:rFonts w:ascii="Times New Roman" w:hAnsi="Times New Roman" w:cs="Times New Roman"/>
          <w:sz w:val="20"/>
          <w:szCs w:val="20"/>
        </w:rPr>
        <w:t>libro</w:t>
      </w:r>
      <w:proofErr w:type="spellEnd"/>
      <w:r w:rsidRPr="009D7635">
        <w:rPr>
          <w:rFonts w:ascii="Times New Roman" w:hAnsi="Times New Roman" w:cs="Times New Roman"/>
          <w:sz w:val="20"/>
          <w:szCs w:val="20"/>
        </w:rPr>
        <w:t xml:space="preserve"> De </w:t>
      </w:r>
      <w:proofErr w:type="spellStart"/>
      <w:r w:rsidRPr="009D7635">
        <w:rPr>
          <w:rFonts w:ascii="Times New Roman" w:hAnsi="Times New Roman" w:cs="Times New Roman"/>
          <w:sz w:val="20"/>
          <w:szCs w:val="20"/>
        </w:rPr>
        <w:t>videndo</w:t>
      </w:r>
      <w:proofErr w:type="spellEnd"/>
      <w:r w:rsidRPr="009D7635">
        <w:rPr>
          <w:rFonts w:ascii="Times New Roman" w:hAnsi="Times New Roman" w:cs="Times New Roman"/>
          <w:sz w:val="20"/>
          <w:szCs w:val="20"/>
        </w:rPr>
        <w:t xml:space="preserve"> Dei, ‘Inter </w:t>
      </w:r>
      <w:proofErr w:type="spellStart"/>
      <w:r w:rsidRPr="009D7635">
        <w:rPr>
          <w:rFonts w:ascii="Times New Roman" w:hAnsi="Times New Roman" w:cs="Times New Roman"/>
          <w:sz w:val="20"/>
          <w:szCs w:val="20"/>
        </w:rPr>
        <w:t>videre</w:t>
      </w:r>
      <w:proofErr w:type="spellEnd"/>
      <w:r w:rsidRPr="009D7635">
        <w:rPr>
          <w:rFonts w:ascii="Times New Roman" w:hAnsi="Times New Roman" w:cs="Times New Roman"/>
          <w:sz w:val="20"/>
          <w:szCs w:val="20"/>
        </w:rPr>
        <w:t xml:space="preserve"> et </w:t>
      </w:r>
      <w:proofErr w:type="spellStart"/>
      <w:r w:rsidRPr="009D7635">
        <w:rPr>
          <w:rFonts w:ascii="Times New Roman" w:hAnsi="Times New Roman" w:cs="Times New Roman"/>
          <w:sz w:val="20"/>
          <w:szCs w:val="20"/>
        </w:rPr>
        <w:t>credere</w:t>
      </w:r>
      <w:proofErr w:type="spellEnd"/>
      <w:r w:rsidRPr="009D7635">
        <w:rPr>
          <w:rFonts w:ascii="Times New Roman" w:hAnsi="Times New Roman" w:cs="Times New Roman"/>
          <w:sz w:val="20"/>
          <w:szCs w:val="20"/>
        </w:rPr>
        <w:t xml:space="preserve"> hoc </w:t>
      </w:r>
      <w:proofErr w:type="spellStart"/>
      <w:r w:rsidRPr="009D7635">
        <w:rPr>
          <w:rFonts w:ascii="Times New Roman" w:hAnsi="Times New Roman" w:cs="Times New Roman"/>
          <w:sz w:val="20"/>
          <w:szCs w:val="20"/>
        </w:rPr>
        <w:t>distare</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dicimus</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quia</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videntur</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praesentia</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creduntur</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praesentia</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autem</w:t>
      </w:r>
      <w:proofErr w:type="spellEnd"/>
      <w:r w:rsidRPr="009D7635">
        <w:rPr>
          <w:rFonts w:ascii="Times New Roman" w:hAnsi="Times New Roman" w:cs="Times New Roman"/>
          <w:sz w:val="20"/>
          <w:szCs w:val="20"/>
        </w:rPr>
        <w:t xml:space="preserve"> in hoc loco </w:t>
      </w:r>
      <w:proofErr w:type="spellStart"/>
      <w:r w:rsidRPr="009D7635">
        <w:rPr>
          <w:rFonts w:ascii="Times New Roman" w:hAnsi="Times New Roman" w:cs="Times New Roman"/>
          <w:sz w:val="20"/>
          <w:szCs w:val="20"/>
        </w:rPr>
        <w:t>intelligimus</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omnia</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quae</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praesto</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sunt</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sensibus</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sive</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corporis</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sive</w:t>
      </w:r>
      <w:proofErr w:type="spellEnd"/>
      <w:r w:rsidRPr="009D7635">
        <w:rPr>
          <w:rFonts w:ascii="Times New Roman" w:hAnsi="Times New Roman" w:cs="Times New Roman"/>
          <w:sz w:val="20"/>
          <w:szCs w:val="20"/>
        </w:rPr>
        <w:t xml:space="preserve"> animi, </w:t>
      </w:r>
      <w:proofErr w:type="spellStart"/>
      <w:r w:rsidRPr="009D7635">
        <w:rPr>
          <w:rFonts w:ascii="Times New Roman" w:hAnsi="Times New Roman" w:cs="Times New Roman"/>
          <w:sz w:val="20"/>
          <w:szCs w:val="20"/>
        </w:rPr>
        <w:t>unde</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sumpto</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vocabulo</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praesentia</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sz w:val="20"/>
          <w:szCs w:val="20"/>
        </w:rPr>
        <w:t>nominantur</w:t>
      </w:r>
      <w:proofErr w:type="spellEnd"/>
      <w:r w:rsidRPr="009D7635">
        <w:rPr>
          <w:rFonts w:ascii="Times New Roman" w:hAnsi="Times New Roman" w:cs="Times New Roman"/>
          <w:sz w:val="20"/>
          <w:szCs w:val="20"/>
        </w:rPr>
        <w:t>.’ (‘</w:t>
      </w:r>
      <w:r w:rsidRPr="009D7635">
        <w:rPr>
          <w:rFonts w:ascii="Times New Roman" w:hAnsi="Times New Roman" w:cs="Times New Roman"/>
          <w:bCs/>
          <w:sz w:val="20"/>
          <w:szCs w:val="20"/>
        </w:rPr>
        <w:t xml:space="preserve">Regarding this matter, the first opinion to be introduced is that of Augustine in his book </w:t>
      </w:r>
      <w:r w:rsidRPr="009D7635">
        <w:rPr>
          <w:rStyle w:val="Italics"/>
          <w:rFonts w:ascii="Times New Roman" w:hAnsi="Times New Roman" w:cs="Times New Roman"/>
          <w:bCs/>
          <w:sz w:val="20"/>
          <w:szCs w:val="20"/>
        </w:rPr>
        <w:t>On Seeing God</w:t>
      </w:r>
      <w:r w:rsidRPr="009D7635">
        <w:rPr>
          <w:rFonts w:ascii="Times New Roman" w:hAnsi="Times New Roman" w:cs="Times New Roman"/>
          <w:bCs/>
          <w:sz w:val="20"/>
          <w:szCs w:val="20"/>
        </w:rPr>
        <w:t xml:space="preserve"> [i.e., Letter 147.2.7]: We say that the difference between seeing and believing is that the things that are present are seen and the things that are absent are believed. By “things that are present right here” we understand all those things that are instantly accessible (</w:t>
      </w:r>
      <w:proofErr w:type="spellStart"/>
      <w:r w:rsidRPr="009D7635">
        <w:rPr>
          <w:rStyle w:val="Italics"/>
          <w:rFonts w:ascii="Times New Roman" w:hAnsi="Times New Roman" w:cs="Times New Roman"/>
          <w:bCs/>
          <w:sz w:val="20"/>
          <w:szCs w:val="20"/>
        </w:rPr>
        <w:t>praesto</w:t>
      </w:r>
      <w:proofErr w:type="spellEnd"/>
      <w:r w:rsidRPr="009D7635">
        <w:rPr>
          <w:rFonts w:ascii="Times New Roman" w:hAnsi="Times New Roman" w:cs="Times New Roman"/>
          <w:bCs/>
          <w:sz w:val="20"/>
          <w:szCs w:val="20"/>
        </w:rPr>
        <w:t>) to our sensory awareness, either mental or bodily. Therefore, borrowing the term [</w:t>
      </w:r>
      <w:proofErr w:type="spellStart"/>
      <w:r w:rsidRPr="009D7635">
        <w:rPr>
          <w:rStyle w:val="Italics"/>
          <w:rFonts w:ascii="Times New Roman" w:hAnsi="Times New Roman" w:cs="Times New Roman"/>
          <w:bCs/>
          <w:sz w:val="20"/>
          <w:szCs w:val="20"/>
        </w:rPr>
        <w:t>praesto</w:t>
      </w:r>
      <w:proofErr w:type="spellEnd"/>
      <w:r w:rsidRPr="009D7635">
        <w:rPr>
          <w:rFonts w:ascii="Times New Roman" w:hAnsi="Times New Roman" w:cs="Times New Roman"/>
          <w:bCs/>
          <w:sz w:val="20"/>
          <w:szCs w:val="20"/>
        </w:rPr>
        <w:t>] they are called ‘present’ (</w:t>
      </w:r>
      <w:proofErr w:type="spellStart"/>
      <w:r w:rsidRPr="009D7635">
        <w:rPr>
          <w:rStyle w:val="Italics"/>
          <w:rFonts w:ascii="Times New Roman" w:hAnsi="Times New Roman" w:cs="Times New Roman"/>
          <w:bCs/>
          <w:sz w:val="20"/>
          <w:szCs w:val="20"/>
        </w:rPr>
        <w:t>praesentia</w:t>
      </w:r>
      <w:proofErr w:type="spellEnd"/>
      <w:r w:rsidRPr="009D7635">
        <w:rPr>
          <w:rFonts w:ascii="Times New Roman" w:hAnsi="Times New Roman" w:cs="Times New Roman"/>
          <w:bCs/>
          <w:sz w:val="20"/>
          <w:szCs w:val="20"/>
        </w:rPr>
        <w:t xml:space="preserve">).’) </w:t>
      </w:r>
      <w:r w:rsidRPr="009D7635">
        <w:rPr>
          <w:rFonts w:ascii="Times New Roman" w:hAnsi="Times New Roman" w:cs="Times New Roman"/>
          <w:sz w:val="20"/>
          <w:szCs w:val="20"/>
        </w:rPr>
        <w:t xml:space="preserve">Translation by Oleg Bychkov in </w:t>
      </w:r>
      <w:r w:rsidRPr="009D7635">
        <w:rPr>
          <w:rFonts w:ascii="Times New Roman" w:hAnsi="Times New Roman" w:cs="Times New Roman"/>
          <w:i/>
          <w:iCs/>
          <w:sz w:val="20"/>
          <w:szCs w:val="20"/>
        </w:rPr>
        <w:t>A Reader in Early Franciscan Theology</w:t>
      </w:r>
      <w:r w:rsidR="00B8139F" w:rsidRPr="009D7635">
        <w:rPr>
          <w:rFonts w:ascii="Times New Roman" w:hAnsi="Times New Roman" w:cs="Times New Roman"/>
          <w:i/>
          <w:iCs/>
          <w:sz w:val="20"/>
          <w:szCs w:val="20"/>
        </w:rPr>
        <w:t xml:space="preserve">, </w:t>
      </w:r>
      <w:r w:rsidR="00B8139F" w:rsidRPr="009D7635">
        <w:rPr>
          <w:rFonts w:ascii="Times New Roman" w:hAnsi="Times New Roman" w:cs="Times New Roman"/>
          <w:sz w:val="20"/>
          <w:szCs w:val="20"/>
        </w:rPr>
        <w:t>16</w:t>
      </w:r>
      <w:r w:rsidRPr="009D7635">
        <w:rPr>
          <w:rFonts w:ascii="Times New Roman" w:hAnsi="Times New Roman" w:cs="Times New Roman"/>
          <w:bCs/>
          <w:sz w:val="20"/>
          <w:szCs w:val="20"/>
        </w:rPr>
        <w:t xml:space="preserve">. Cf. </w:t>
      </w:r>
      <w:r w:rsidRPr="009D7635">
        <w:rPr>
          <w:rFonts w:ascii="Times New Roman" w:hAnsi="Times New Roman" w:cs="Times New Roman"/>
          <w:sz w:val="20"/>
          <w:szCs w:val="20"/>
        </w:rPr>
        <w:t>SH I, Tr Int, Q2, M1, C1, 1, 15-16.</w:t>
      </w:r>
    </w:p>
  </w:footnote>
  <w:footnote w:id="770">
    <w:p w14:paraId="01500B77" w14:textId="15473FB4" w:rsidR="00D70E13" w:rsidRPr="009D7635" w:rsidRDefault="00D70E13">
      <w:pPr>
        <w:pStyle w:val="FootnoteText"/>
        <w:rPr>
          <w:rFonts w:ascii="Times New Roman" w:hAnsi="Times New Roman" w:cs="Times New Roman"/>
          <w:lang w:val="de-DE"/>
        </w:rPr>
      </w:pPr>
      <w:r w:rsidRPr="009D7635">
        <w:rPr>
          <w:rStyle w:val="FootnoteReference"/>
          <w:rFonts w:ascii="Times New Roman" w:hAnsi="Times New Roman" w:cs="Times New Roman"/>
        </w:rPr>
        <w:footnoteRef/>
      </w:r>
      <w:r w:rsidRPr="009D7635">
        <w:rPr>
          <w:rFonts w:ascii="Times New Roman" w:hAnsi="Times New Roman" w:cs="Times New Roman"/>
        </w:rPr>
        <w:t xml:space="preserve"> Avicenna</w:t>
      </w:r>
      <w:r w:rsidR="00632D00" w:rsidRPr="009D7635">
        <w:rPr>
          <w:rFonts w:ascii="Times New Roman" w:hAnsi="Times New Roman" w:cs="Times New Roman"/>
        </w:rPr>
        <w:t xml:space="preserve">, </w:t>
      </w:r>
      <w:r w:rsidR="00632D00" w:rsidRPr="009D7635">
        <w:rPr>
          <w:rFonts w:ascii="Times New Roman" w:hAnsi="Times New Roman" w:cs="Times New Roman"/>
          <w:i/>
          <w:iCs/>
        </w:rPr>
        <w:t>Metaphysics</w:t>
      </w:r>
      <w:r w:rsidRPr="009D7635">
        <w:rPr>
          <w:rFonts w:ascii="Times New Roman" w:hAnsi="Times New Roman" w:cs="Times New Roman"/>
        </w:rPr>
        <w:t xml:space="preserve"> 1.2, 1.5</w:t>
      </w:r>
      <w:r w:rsidR="00632D00" w:rsidRPr="009D7635">
        <w:rPr>
          <w:rFonts w:ascii="Times New Roman" w:hAnsi="Times New Roman" w:cs="Times New Roman"/>
        </w:rPr>
        <w:t xml:space="preserve">; cf. Damien Janos, </w:t>
      </w:r>
      <w:r w:rsidR="00632D00" w:rsidRPr="009D7635">
        <w:rPr>
          <w:rFonts w:ascii="Times New Roman" w:hAnsi="Times New Roman" w:cs="Times New Roman"/>
          <w:i/>
          <w:iCs/>
        </w:rPr>
        <w:t xml:space="preserve">Avicenna on the Ontology of Pure Quiddity </w:t>
      </w:r>
      <w:r w:rsidR="00632D00" w:rsidRPr="009D7635">
        <w:rPr>
          <w:rFonts w:ascii="Times New Roman" w:hAnsi="Times New Roman" w:cs="Times New Roman"/>
        </w:rPr>
        <w:t>(Berlin: De Gruyter, 2020), 428.</w:t>
      </w:r>
    </w:p>
  </w:footnote>
  <w:footnote w:id="771">
    <w:p w14:paraId="17D7DD38" w14:textId="3F53886D" w:rsidR="00506BBA" w:rsidRPr="009D7635" w:rsidRDefault="00506BBA" w:rsidP="00506BBA">
      <w:pPr>
        <w:autoSpaceDE w:val="0"/>
        <w:autoSpaceDN w:val="0"/>
        <w:adjustRightInd w:val="0"/>
        <w:rPr>
          <w:rFonts w:ascii="Times New Roman" w:hAnsi="Times New Roman" w:cs="Times New Roman"/>
          <w:sz w:val="20"/>
          <w:szCs w:val="20"/>
        </w:rPr>
      </w:pPr>
      <w:r w:rsidRPr="009D7635">
        <w:rPr>
          <w:rStyle w:val="FootnoteReference"/>
          <w:rFonts w:ascii="Times New Roman" w:hAnsi="Times New Roman" w:cs="Times New Roman"/>
          <w:sz w:val="20"/>
          <w:szCs w:val="20"/>
        </w:rPr>
        <w:footnoteRef/>
      </w:r>
      <w:r w:rsidRPr="009D7635">
        <w:rPr>
          <w:rFonts w:ascii="Times New Roman" w:hAnsi="Times New Roman" w:cs="Times New Roman"/>
          <w:sz w:val="20"/>
          <w:szCs w:val="20"/>
        </w:rPr>
        <w:t xml:space="preserve"> </w:t>
      </w:r>
      <w:r w:rsidR="00465EE2" w:rsidRPr="009D7635">
        <w:rPr>
          <w:rFonts w:ascii="Times New Roman" w:hAnsi="Times New Roman" w:cs="Times New Roman"/>
          <w:sz w:val="20"/>
          <w:szCs w:val="20"/>
        </w:rPr>
        <w:t>SH</w:t>
      </w:r>
      <w:r w:rsidR="00D5406E" w:rsidRPr="009D7635">
        <w:rPr>
          <w:rFonts w:ascii="Times New Roman" w:hAnsi="Times New Roman" w:cs="Times New Roman"/>
          <w:sz w:val="20"/>
          <w:szCs w:val="20"/>
        </w:rPr>
        <w:t xml:space="preserve"> I,</w:t>
      </w:r>
      <w:r w:rsidRPr="009D7635">
        <w:rPr>
          <w:rFonts w:ascii="Times New Roman" w:hAnsi="Times New Roman" w:cs="Times New Roman"/>
          <w:color w:val="030303"/>
          <w:sz w:val="20"/>
          <w:szCs w:val="20"/>
        </w:rPr>
        <w:t xml:space="preserve"> P1, In1, Tr5, S1, Q1, M4, C1, </w:t>
      </w:r>
      <w:proofErr w:type="spellStart"/>
      <w:r w:rsidRPr="009D7635">
        <w:rPr>
          <w:rFonts w:ascii="Times New Roman" w:hAnsi="Times New Roman" w:cs="Times New Roman"/>
          <w:color w:val="030303"/>
          <w:sz w:val="20"/>
          <w:szCs w:val="20"/>
        </w:rPr>
        <w:t>Respondeo</w:t>
      </w:r>
      <w:proofErr w:type="spellEnd"/>
      <w:r w:rsidRPr="009D7635">
        <w:rPr>
          <w:rFonts w:ascii="Times New Roman" w:hAnsi="Times New Roman" w:cs="Times New Roman"/>
          <w:color w:val="030303"/>
          <w:sz w:val="20"/>
          <w:szCs w:val="20"/>
        </w:rPr>
        <w:t xml:space="preserve">, p.  258: </w:t>
      </w:r>
      <w:r w:rsidRPr="009D7635">
        <w:rPr>
          <w:rFonts w:ascii="Times New Roman" w:hAnsi="Times New Roman" w:cs="Times New Roman"/>
          <w:i/>
          <w:iCs/>
          <w:color w:val="030303"/>
          <w:sz w:val="20"/>
          <w:szCs w:val="20"/>
        </w:rPr>
        <w:t xml:space="preserve">De </w:t>
      </w:r>
      <w:proofErr w:type="spellStart"/>
      <w:r w:rsidRPr="009D7635">
        <w:rPr>
          <w:rFonts w:ascii="Times New Roman" w:hAnsi="Times New Roman" w:cs="Times New Roman"/>
          <w:i/>
          <w:iCs/>
          <w:color w:val="030303"/>
          <w:sz w:val="20"/>
          <w:szCs w:val="20"/>
        </w:rPr>
        <w:t>ideis</w:t>
      </w:r>
      <w:proofErr w:type="spellEnd"/>
      <w:r w:rsidRPr="009D7635">
        <w:rPr>
          <w:rFonts w:ascii="Times New Roman" w:hAnsi="Times New Roman" w:cs="Times New Roman"/>
          <w:i/>
          <w:iCs/>
          <w:color w:val="030303"/>
          <w:sz w:val="20"/>
          <w:szCs w:val="20"/>
        </w:rPr>
        <w:t xml:space="preserve"> </w:t>
      </w:r>
      <w:proofErr w:type="spellStart"/>
      <w:r w:rsidRPr="009D7635">
        <w:rPr>
          <w:rFonts w:ascii="Times New Roman" w:hAnsi="Times New Roman" w:cs="Times New Roman"/>
          <w:i/>
          <w:iCs/>
          <w:color w:val="030303"/>
          <w:sz w:val="20"/>
          <w:szCs w:val="20"/>
        </w:rPr>
        <w:t>rerum</w:t>
      </w:r>
      <w:proofErr w:type="spellEnd"/>
      <w:r w:rsidRPr="009D7635">
        <w:rPr>
          <w:rFonts w:ascii="Times New Roman" w:hAnsi="Times New Roman" w:cs="Times New Roman"/>
          <w:i/>
          <w:iCs/>
          <w:color w:val="030303"/>
          <w:sz w:val="20"/>
          <w:szCs w:val="20"/>
        </w:rPr>
        <w:t xml:space="preserve"> et </w:t>
      </w:r>
      <w:proofErr w:type="spellStart"/>
      <w:r w:rsidRPr="009D7635">
        <w:rPr>
          <w:rFonts w:ascii="Times New Roman" w:hAnsi="Times New Roman" w:cs="Times New Roman"/>
          <w:i/>
          <w:iCs/>
          <w:color w:val="030303"/>
          <w:sz w:val="20"/>
          <w:szCs w:val="20"/>
        </w:rPr>
        <w:t>rationibus</w:t>
      </w:r>
      <w:proofErr w:type="spellEnd"/>
      <w:r w:rsidRPr="009D7635">
        <w:rPr>
          <w:rFonts w:ascii="Times New Roman" w:hAnsi="Times New Roman" w:cs="Times New Roman"/>
          <w:i/>
          <w:iCs/>
          <w:color w:val="030303"/>
          <w:sz w:val="20"/>
          <w:szCs w:val="20"/>
        </w:rPr>
        <w:t xml:space="preserve"> in </w:t>
      </w:r>
      <w:proofErr w:type="spellStart"/>
      <w:r w:rsidRPr="009D7635">
        <w:rPr>
          <w:rFonts w:ascii="Times New Roman" w:hAnsi="Times New Roman" w:cs="Times New Roman"/>
          <w:i/>
          <w:iCs/>
          <w:color w:val="030303"/>
          <w:sz w:val="20"/>
          <w:szCs w:val="20"/>
        </w:rPr>
        <w:t>dei</w:t>
      </w:r>
      <w:proofErr w:type="spellEnd"/>
      <w:r w:rsidRPr="009D7635">
        <w:rPr>
          <w:rFonts w:ascii="Times New Roman" w:hAnsi="Times New Roman" w:cs="Times New Roman"/>
          <w:i/>
          <w:iCs/>
          <w:color w:val="030303"/>
          <w:sz w:val="20"/>
          <w:szCs w:val="20"/>
        </w:rPr>
        <w:t xml:space="preserve"> </w:t>
      </w:r>
      <w:proofErr w:type="spellStart"/>
      <w:r w:rsidRPr="009D7635">
        <w:rPr>
          <w:rFonts w:ascii="Times New Roman" w:hAnsi="Times New Roman" w:cs="Times New Roman"/>
          <w:i/>
          <w:iCs/>
          <w:color w:val="030303"/>
          <w:sz w:val="20"/>
          <w:szCs w:val="20"/>
        </w:rPr>
        <w:t>sapientia</w:t>
      </w:r>
      <w:proofErr w:type="spellEnd"/>
      <w:r w:rsidRPr="009D7635">
        <w:rPr>
          <w:rFonts w:ascii="Times New Roman" w:hAnsi="Times New Roman" w:cs="Times New Roman"/>
          <w:i/>
          <w:iCs/>
          <w:color w:val="030303"/>
          <w:sz w:val="20"/>
          <w:szCs w:val="20"/>
        </w:rPr>
        <w:t xml:space="preserve"> quod </w:t>
      </w:r>
      <w:proofErr w:type="spellStart"/>
      <w:r w:rsidRPr="009D7635">
        <w:rPr>
          <w:rFonts w:ascii="Times New Roman" w:hAnsi="Times New Roman" w:cs="Times New Roman"/>
          <w:i/>
          <w:iCs/>
          <w:color w:val="030303"/>
          <w:sz w:val="20"/>
          <w:szCs w:val="20"/>
        </w:rPr>
        <w:t>licet</w:t>
      </w:r>
      <w:proofErr w:type="spellEnd"/>
      <w:r w:rsidRPr="009D7635">
        <w:rPr>
          <w:rFonts w:ascii="Times New Roman" w:hAnsi="Times New Roman" w:cs="Times New Roman"/>
          <w:i/>
          <w:iCs/>
          <w:color w:val="030303"/>
          <w:sz w:val="20"/>
          <w:szCs w:val="20"/>
        </w:rPr>
        <w:t xml:space="preserve"> </w:t>
      </w:r>
      <w:proofErr w:type="spellStart"/>
      <w:r w:rsidRPr="009D7635">
        <w:rPr>
          <w:rFonts w:ascii="Times New Roman" w:hAnsi="Times New Roman" w:cs="Times New Roman"/>
          <w:i/>
          <w:iCs/>
          <w:color w:val="030303"/>
          <w:sz w:val="20"/>
          <w:szCs w:val="20"/>
        </w:rPr>
        <w:t>sint</w:t>
      </w:r>
      <w:proofErr w:type="spellEnd"/>
      <w:r w:rsidRPr="009D7635">
        <w:rPr>
          <w:rFonts w:ascii="Times New Roman" w:hAnsi="Times New Roman" w:cs="Times New Roman"/>
          <w:i/>
          <w:iCs/>
          <w:color w:val="030303"/>
          <w:sz w:val="20"/>
          <w:szCs w:val="20"/>
        </w:rPr>
        <w:t xml:space="preserve"> idem </w:t>
      </w:r>
      <w:proofErr w:type="spellStart"/>
      <w:r w:rsidRPr="009D7635">
        <w:rPr>
          <w:rFonts w:ascii="Times New Roman" w:hAnsi="Times New Roman" w:cs="Times New Roman"/>
          <w:i/>
          <w:iCs/>
          <w:color w:val="030303"/>
          <w:sz w:val="20"/>
          <w:szCs w:val="20"/>
        </w:rPr>
        <w:t>secundum</w:t>
      </w:r>
      <w:proofErr w:type="spellEnd"/>
      <w:r w:rsidRPr="009D7635">
        <w:rPr>
          <w:rFonts w:ascii="Times New Roman" w:hAnsi="Times New Roman" w:cs="Times New Roman"/>
          <w:i/>
          <w:iCs/>
          <w:color w:val="030303"/>
          <w:sz w:val="20"/>
          <w:szCs w:val="20"/>
        </w:rPr>
        <w:t xml:space="preserve"> rem, </w:t>
      </w:r>
      <w:proofErr w:type="spellStart"/>
      <w:r w:rsidRPr="009D7635">
        <w:rPr>
          <w:rFonts w:ascii="Times New Roman" w:hAnsi="Times New Roman" w:cs="Times New Roman"/>
          <w:i/>
          <w:iCs/>
          <w:color w:val="030303"/>
          <w:sz w:val="20"/>
          <w:szCs w:val="20"/>
        </w:rPr>
        <w:t>tamen</w:t>
      </w:r>
      <w:proofErr w:type="spellEnd"/>
      <w:r w:rsidRPr="009D7635">
        <w:rPr>
          <w:rFonts w:ascii="Times New Roman" w:hAnsi="Times New Roman" w:cs="Times New Roman"/>
          <w:i/>
          <w:iCs/>
          <w:color w:val="030303"/>
          <w:sz w:val="20"/>
          <w:szCs w:val="20"/>
        </w:rPr>
        <w:t xml:space="preserve"> differentia </w:t>
      </w:r>
      <w:proofErr w:type="spellStart"/>
      <w:r w:rsidRPr="009D7635">
        <w:rPr>
          <w:rFonts w:ascii="Times New Roman" w:hAnsi="Times New Roman" w:cs="Times New Roman"/>
          <w:i/>
          <w:iCs/>
          <w:color w:val="030303"/>
          <w:sz w:val="20"/>
          <w:szCs w:val="20"/>
        </w:rPr>
        <w:t>est</w:t>
      </w:r>
      <w:proofErr w:type="spellEnd"/>
      <w:r w:rsidRPr="009D7635">
        <w:rPr>
          <w:rFonts w:ascii="Times New Roman" w:hAnsi="Times New Roman" w:cs="Times New Roman"/>
          <w:i/>
          <w:iCs/>
          <w:color w:val="030303"/>
          <w:sz w:val="20"/>
          <w:szCs w:val="20"/>
        </w:rPr>
        <w:t xml:space="preserve"> inter </w:t>
      </w:r>
      <w:proofErr w:type="spellStart"/>
      <w:r w:rsidRPr="009D7635">
        <w:rPr>
          <w:rFonts w:ascii="Times New Roman" w:hAnsi="Times New Roman" w:cs="Times New Roman"/>
          <w:i/>
          <w:iCs/>
          <w:color w:val="030303"/>
          <w:sz w:val="20"/>
          <w:szCs w:val="20"/>
        </w:rPr>
        <w:t>haec</w:t>
      </w:r>
      <w:proofErr w:type="spellEnd"/>
      <w:r w:rsidRPr="009D7635">
        <w:rPr>
          <w:rFonts w:ascii="Times New Roman" w:hAnsi="Times New Roman" w:cs="Times New Roman"/>
          <w:i/>
          <w:iCs/>
          <w:color w:val="030303"/>
          <w:sz w:val="20"/>
          <w:szCs w:val="20"/>
        </w:rPr>
        <w:t xml:space="preserve"> </w:t>
      </w:r>
      <w:proofErr w:type="spellStart"/>
      <w:r w:rsidRPr="009D7635">
        <w:rPr>
          <w:rFonts w:ascii="Times New Roman" w:hAnsi="Times New Roman" w:cs="Times New Roman"/>
          <w:i/>
          <w:iCs/>
          <w:color w:val="030303"/>
          <w:sz w:val="20"/>
          <w:szCs w:val="20"/>
        </w:rPr>
        <w:t>secundum</w:t>
      </w:r>
      <w:proofErr w:type="spellEnd"/>
      <w:r w:rsidRPr="009D7635">
        <w:rPr>
          <w:rFonts w:ascii="Times New Roman" w:hAnsi="Times New Roman" w:cs="Times New Roman"/>
          <w:i/>
          <w:iCs/>
          <w:color w:val="030303"/>
          <w:sz w:val="20"/>
          <w:szCs w:val="20"/>
        </w:rPr>
        <w:t xml:space="preserve"> nomen.</w:t>
      </w:r>
      <w:r w:rsidR="00D5406E" w:rsidRPr="009D7635">
        <w:rPr>
          <w:rFonts w:ascii="Times New Roman" w:hAnsi="Times New Roman" w:cs="Times New Roman"/>
          <w:i/>
          <w:iCs/>
          <w:color w:val="030303"/>
          <w:sz w:val="20"/>
          <w:szCs w:val="20"/>
        </w:rPr>
        <w:t xml:space="preserve"> </w:t>
      </w:r>
      <w:r w:rsidR="00D5406E" w:rsidRPr="009D7635">
        <w:rPr>
          <w:rFonts w:ascii="Times New Roman" w:hAnsi="Times New Roman" w:cs="Times New Roman"/>
          <w:color w:val="030303"/>
          <w:sz w:val="20"/>
          <w:szCs w:val="20"/>
        </w:rPr>
        <w:t xml:space="preserve">Cf. </w:t>
      </w:r>
      <w:hyperlink r:id="rId4" w:history="1">
        <w:proofErr w:type="spellStart"/>
        <w:r w:rsidR="00D5406E" w:rsidRPr="009D7635">
          <w:rPr>
            <w:rFonts w:ascii="Times New Roman" w:hAnsi="Times New Roman" w:cs="Times New Roman"/>
            <w:i/>
            <w:color w:val="000000" w:themeColor="text1"/>
            <w:sz w:val="20"/>
            <w:szCs w:val="20"/>
            <w:lang w:val="en-US"/>
          </w:rPr>
          <w:t>Magistri</w:t>
        </w:r>
        <w:proofErr w:type="spellEnd"/>
        <w:r w:rsidR="00D5406E" w:rsidRPr="009D7635">
          <w:rPr>
            <w:rFonts w:ascii="Times New Roman" w:hAnsi="Times New Roman" w:cs="Times New Roman"/>
            <w:i/>
            <w:color w:val="000000" w:themeColor="text1"/>
            <w:sz w:val="20"/>
            <w:szCs w:val="20"/>
            <w:lang w:val="en-US"/>
          </w:rPr>
          <w:t xml:space="preserve"> </w:t>
        </w:r>
        <w:proofErr w:type="spellStart"/>
        <w:r w:rsidR="00D5406E" w:rsidRPr="009D7635">
          <w:rPr>
            <w:rFonts w:ascii="Times New Roman" w:hAnsi="Times New Roman" w:cs="Times New Roman"/>
            <w:i/>
            <w:color w:val="000000" w:themeColor="text1"/>
            <w:sz w:val="20"/>
            <w:szCs w:val="20"/>
            <w:lang w:val="en-US"/>
          </w:rPr>
          <w:t>Alexandri</w:t>
        </w:r>
        <w:proofErr w:type="spellEnd"/>
        <w:r w:rsidR="00D5406E" w:rsidRPr="009D7635">
          <w:rPr>
            <w:rFonts w:ascii="Times New Roman" w:hAnsi="Times New Roman" w:cs="Times New Roman"/>
            <w:i/>
            <w:color w:val="000000" w:themeColor="text1"/>
            <w:sz w:val="20"/>
            <w:szCs w:val="20"/>
            <w:lang w:val="en-US"/>
          </w:rPr>
          <w:t xml:space="preserve"> de Hales </w:t>
        </w:r>
        <w:proofErr w:type="spellStart"/>
        <w:r w:rsidR="00D5406E" w:rsidRPr="009D7635">
          <w:rPr>
            <w:rFonts w:ascii="Times New Roman" w:hAnsi="Times New Roman" w:cs="Times New Roman"/>
            <w:i/>
            <w:color w:val="000000" w:themeColor="text1"/>
            <w:sz w:val="20"/>
            <w:szCs w:val="20"/>
            <w:lang w:val="en-US"/>
          </w:rPr>
          <w:t>Quaestiones</w:t>
        </w:r>
        <w:proofErr w:type="spellEnd"/>
        <w:r w:rsidR="00D5406E" w:rsidRPr="009D7635">
          <w:rPr>
            <w:rFonts w:ascii="Times New Roman" w:hAnsi="Times New Roman" w:cs="Times New Roman"/>
            <w:i/>
            <w:color w:val="000000" w:themeColor="text1"/>
            <w:sz w:val="20"/>
            <w:szCs w:val="20"/>
            <w:lang w:val="en-US"/>
          </w:rPr>
          <w:t xml:space="preserve"> </w:t>
        </w:r>
        <w:proofErr w:type="spellStart"/>
        <w:r w:rsidR="00D5406E" w:rsidRPr="009D7635">
          <w:rPr>
            <w:rFonts w:ascii="Times New Roman" w:hAnsi="Times New Roman" w:cs="Times New Roman"/>
            <w:i/>
            <w:color w:val="000000" w:themeColor="text1"/>
            <w:sz w:val="20"/>
            <w:szCs w:val="20"/>
            <w:lang w:val="en-US"/>
          </w:rPr>
          <w:t>disputatae</w:t>
        </w:r>
        <w:proofErr w:type="spellEnd"/>
        <w:r w:rsidR="00D5406E" w:rsidRPr="009D7635">
          <w:rPr>
            <w:rFonts w:ascii="Times New Roman" w:hAnsi="Times New Roman" w:cs="Times New Roman"/>
            <w:i/>
            <w:color w:val="000000" w:themeColor="text1"/>
            <w:sz w:val="20"/>
            <w:szCs w:val="20"/>
            <w:lang w:val="en-US"/>
          </w:rPr>
          <w:t xml:space="preserve"> ‘</w:t>
        </w:r>
        <w:proofErr w:type="spellStart"/>
        <w:r w:rsidR="00D5406E" w:rsidRPr="009D7635">
          <w:rPr>
            <w:rFonts w:ascii="Times New Roman" w:hAnsi="Times New Roman" w:cs="Times New Roman"/>
            <w:i/>
            <w:color w:val="000000" w:themeColor="text1"/>
            <w:sz w:val="20"/>
            <w:szCs w:val="20"/>
            <w:lang w:val="en-US"/>
          </w:rPr>
          <w:t>Antequam</w:t>
        </w:r>
        <w:proofErr w:type="spellEnd"/>
        <w:r w:rsidR="00D5406E" w:rsidRPr="009D7635">
          <w:rPr>
            <w:rFonts w:ascii="Times New Roman" w:hAnsi="Times New Roman" w:cs="Times New Roman"/>
            <w:i/>
            <w:color w:val="000000" w:themeColor="text1"/>
            <w:sz w:val="20"/>
            <w:szCs w:val="20"/>
            <w:lang w:val="en-US"/>
          </w:rPr>
          <w:t xml:space="preserve"> </w:t>
        </w:r>
        <w:proofErr w:type="spellStart"/>
        <w:r w:rsidR="00D5406E" w:rsidRPr="009D7635">
          <w:rPr>
            <w:rFonts w:ascii="Times New Roman" w:hAnsi="Times New Roman" w:cs="Times New Roman"/>
            <w:i/>
            <w:color w:val="000000" w:themeColor="text1"/>
            <w:sz w:val="20"/>
            <w:szCs w:val="20"/>
            <w:lang w:val="en-US"/>
          </w:rPr>
          <w:t>esset</w:t>
        </w:r>
        <w:proofErr w:type="spellEnd"/>
        <w:r w:rsidR="00D5406E" w:rsidRPr="009D7635">
          <w:rPr>
            <w:rFonts w:ascii="Times New Roman" w:hAnsi="Times New Roman" w:cs="Times New Roman"/>
            <w:i/>
            <w:color w:val="000000" w:themeColor="text1"/>
            <w:sz w:val="20"/>
            <w:szCs w:val="20"/>
            <w:lang w:val="en-US"/>
          </w:rPr>
          <w:t xml:space="preserve"> frater’</w:t>
        </w:r>
      </w:hyperlink>
      <w:r w:rsidR="00D5406E" w:rsidRPr="009D7635">
        <w:rPr>
          <w:rFonts w:ascii="Times New Roman" w:hAnsi="Times New Roman" w:cs="Times New Roman"/>
          <w:color w:val="000000" w:themeColor="text1"/>
          <w:sz w:val="20"/>
          <w:szCs w:val="20"/>
          <w:lang w:val="en-US"/>
        </w:rPr>
        <w:t>, vol. 2 (</w:t>
      </w:r>
      <w:proofErr w:type="spellStart"/>
      <w:r w:rsidR="00D5406E" w:rsidRPr="009D7635">
        <w:rPr>
          <w:rFonts w:ascii="Times New Roman" w:hAnsi="Times New Roman" w:cs="Times New Roman"/>
          <w:bCs/>
          <w:color w:val="000000" w:themeColor="text1"/>
          <w:sz w:val="20"/>
          <w:szCs w:val="20"/>
        </w:rPr>
        <w:t>Quaracchi</w:t>
      </w:r>
      <w:proofErr w:type="spellEnd"/>
      <w:r w:rsidR="00D5406E" w:rsidRPr="009D7635">
        <w:rPr>
          <w:rFonts w:ascii="Times New Roman" w:hAnsi="Times New Roman" w:cs="Times New Roman"/>
          <w:bCs/>
          <w:color w:val="000000" w:themeColor="text1"/>
          <w:sz w:val="20"/>
          <w:szCs w:val="20"/>
        </w:rPr>
        <w:t xml:space="preserve">, </w:t>
      </w:r>
      <w:proofErr w:type="spellStart"/>
      <w:r w:rsidR="00D5406E" w:rsidRPr="009D7635">
        <w:rPr>
          <w:rFonts w:ascii="Times New Roman" w:hAnsi="Times New Roman" w:cs="Times New Roman"/>
          <w:bCs/>
          <w:color w:val="000000" w:themeColor="text1"/>
          <w:sz w:val="20"/>
          <w:szCs w:val="20"/>
        </w:rPr>
        <w:t>Florentiae</w:t>
      </w:r>
      <w:proofErr w:type="spellEnd"/>
      <w:r w:rsidR="00D5406E" w:rsidRPr="009D7635">
        <w:rPr>
          <w:rFonts w:ascii="Times New Roman" w:hAnsi="Times New Roman" w:cs="Times New Roman"/>
          <w:bCs/>
          <w:color w:val="000000" w:themeColor="text1"/>
          <w:sz w:val="20"/>
          <w:szCs w:val="20"/>
        </w:rPr>
        <w:t xml:space="preserve">: </w:t>
      </w:r>
      <w:proofErr w:type="spellStart"/>
      <w:r w:rsidR="00D5406E" w:rsidRPr="009D7635">
        <w:rPr>
          <w:rFonts w:ascii="Times New Roman" w:hAnsi="Times New Roman" w:cs="Times New Roman"/>
          <w:bCs/>
          <w:color w:val="000000" w:themeColor="text1"/>
          <w:sz w:val="20"/>
          <w:szCs w:val="20"/>
        </w:rPr>
        <w:t>Collegii</w:t>
      </w:r>
      <w:proofErr w:type="spellEnd"/>
      <w:r w:rsidR="00D5406E" w:rsidRPr="009D7635">
        <w:rPr>
          <w:rFonts w:ascii="Times New Roman" w:hAnsi="Times New Roman" w:cs="Times New Roman"/>
          <w:bCs/>
          <w:color w:val="000000" w:themeColor="text1"/>
          <w:sz w:val="20"/>
          <w:szCs w:val="20"/>
        </w:rPr>
        <w:t xml:space="preserve"> S. </w:t>
      </w:r>
      <w:proofErr w:type="spellStart"/>
      <w:r w:rsidR="00D5406E" w:rsidRPr="009D7635">
        <w:rPr>
          <w:rFonts w:ascii="Times New Roman" w:hAnsi="Times New Roman" w:cs="Times New Roman"/>
          <w:bCs/>
          <w:color w:val="000000" w:themeColor="text1"/>
          <w:sz w:val="20"/>
          <w:szCs w:val="20"/>
        </w:rPr>
        <w:t>Bonaventurae</w:t>
      </w:r>
      <w:proofErr w:type="spellEnd"/>
      <w:r w:rsidR="00D5406E" w:rsidRPr="009D7635">
        <w:rPr>
          <w:rFonts w:ascii="Times New Roman" w:hAnsi="Times New Roman" w:cs="Times New Roman"/>
          <w:color w:val="000000" w:themeColor="text1"/>
          <w:sz w:val="20"/>
          <w:szCs w:val="20"/>
        </w:rPr>
        <w:t xml:space="preserve">, 1960), Q. 46, </w:t>
      </w:r>
      <w:r w:rsidR="00D5406E" w:rsidRPr="009D7635">
        <w:rPr>
          <w:rFonts w:ascii="Times New Roman" w:hAnsi="Times New Roman" w:cs="Times New Roman"/>
          <w:sz w:val="20"/>
          <w:szCs w:val="20"/>
        </w:rPr>
        <w:t>*25.</w:t>
      </w:r>
    </w:p>
  </w:footnote>
  <w:footnote w:id="772">
    <w:p w14:paraId="5A9DCE16" w14:textId="164FDE1A" w:rsidR="00E46EC5" w:rsidRPr="009D7635" w:rsidRDefault="00E46EC5" w:rsidP="00D22126">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w:t>
      </w:r>
      <w:r w:rsidRPr="009D7635">
        <w:rPr>
          <w:rFonts w:ascii="Times New Roman" w:hAnsi="Times New Roman" w:cs="Times New Roman"/>
          <w:i/>
          <w:iCs/>
        </w:rPr>
        <w:t xml:space="preserve">De </w:t>
      </w:r>
      <w:proofErr w:type="spellStart"/>
      <w:r w:rsidRPr="009D7635">
        <w:rPr>
          <w:rFonts w:ascii="Times New Roman" w:hAnsi="Times New Roman" w:cs="Times New Roman"/>
          <w:i/>
          <w:iCs/>
        </w:rPr>
        <w:t>divinis</w:t>
      </w:r>
      <w:proofErr w:type="spellEnd"/>
      <w:r w:rsidRPr="009D7635">
        <w:rPr>
          <w:rFonts w:ascii="Times New Roman" w:hAnsi="Times New Roman" w:cs="Times New Roman"/>
          <w:i/>
          <w:iCs/>
        </w:rPr>
        <w:t xml:space="preserve"> </w:t>
      </w:r>
      <w:proofErr w:type="spellStart"/>
      <w:r w:rsidRPr="009D7635">
        <w:rPr>
          <w:rFonts w:ascii="Times New Roman" w:hAnsi="Times New Roman" w:cs="Times New Roman"/>
          <w:i/>
          <w:iCs/>
        </w:rPr>
        <w:t>nominibus</w:t>
      </w:r>
      <w:proofErr w:type="spellEnd"/>
      <w:r w:rsidRPr="009D7635">
        <w:rPr>
          <w:rFonts w:ascii="Times New Roman" w:hAnsi="Times New Roman" w:cs="Times New Roman"/>
          <w:i/>
          <w:iCs/>
        </w:rPr>
        <w:t xml:space="preserve">, </w:t>
      </w:r>
      <w:r w:rsidRPr="009D7635">
        <w:rPr>
          <w:rFonts w:ascii="Times New Roman" w:hAnsi="Times New Roman" w:cs="Times New Roman"/>
        </w:rPr>
        <w:t xml:space="preserve">trans. Thomas </w:t>
      </w:r>
      <w:proofErr w:type="spellStart"/>
      <w:r w:rsidRPr="009D7635">
        <w:rPr>
          <w:rFonts w:ascii="Times New Roman" w:hAnsi="Times New Roman" w:cs="Times New Roman"/>
        </w:rPr>
        <w:t>Gallus</w:t>
      </w:r>
      <w:proofErr w:type="spellEnd"/>
      <w:r w:rsidRPr="009D7635">
        <w:rPr>
          <w:rFonts w:ascii="Times New Roman" w:hAnsi="Times New Roman" w:cs="Times New Roman"/>
        </w:rPr>
        <w:t xml:space="preserve">, ed. Declan Anthony </w:t>
      </w:r>
      <w:proofErr w:type="spellStart"/>
      <w:r w:rsidRPr="009D7635">
        <w:rPr>
          <w:rFonts w:ascii="Times New Roman" w:hAnsi="Times New Roman" w:cs="Times New Roman"/>
        </w:rPr>
        <w:t>Lawell</w:t>
      </w:r>
      <w:proofErr w:type="spellEnd"/>
      <w:r w:rsidRPr="009D7635">
        <w:rPr>
          <w:rFonts w:ascii="Times New Roman" w:hAnsi="Times New Roman" w:cs="Times New Roman"/>
        </w:rPr>
        <w:t xml:space="preserve">, Corpus </w:t>
      </w:r>
      <w:proofErr w:type="spellStart"/>
      <w:r w:rsidRPr="009D7635">
        <w:rPr>
          <w:rFonts w:ascii="Times New Roman" w:hAnsi="Times New Roman" w:cs="Times New Roman"/>
        </w:rPr>
        <w:t>Christianorum</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Continuatio</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Medievalis</w:t>
      </w:r>
      <w:proofErr w:type="spellEnd"/>
      <w:r w:rsidRPr="009D7635">
        <w:rPr>
          <w:rFonts w:ascii="Times New Roman" w:hAnsi="Times New Roman" w:cs="Times New Roman"/>
        </w:rPr>
        <w:t xml:space="preserve"> 223 (</w:t>
      </w:r>
      <w:proofErr w:type="spellStart"/>
      <w:r w:rsidRPr="009D7635">
        <w:rPr>
          <w:rFonts w:ascii="Times New Roman" w:hAnsi="Times New Roman" w:cs="Times New Roman"/>
        </w:rPr>
        <w:t>Turnhout</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Brepols</w:t>
      </w:r>
      <w:proofErr w:type="spellEnd"/>
      <w:r w:rsidRPr="009D7635">
        <w:rPr>
          <w:rFonts w:ascii="Times New Roman" w:hAnsi="Times New Roman" w:cs="Times New Roman"/>
        </w:rPr>
        <w:t>, 2011), c. 5, *6, p. 342.</w:t>
      </w:r>
    </w:p>
  </w:footnote>
  <w:footnote w:id="773">
    <w:p w14:paraId="24AEA0E3" w14:textId="2FBBCACB" w:rsidR="00E46EC5" w:rsidRPr="009D7635" w:rsidRDefault="00E46EC5" w:rsidP="00E46EC5">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w:t>
      </w:r>
      <w:r w:rsidR="006A13E1" w:rsidRPr="009D7635">
        <w:rPr>
          <w:rFonts w:ascii="Times New Roman" w:hAnsi="Times New Roman" w:cs="Times New Roman"/>
        </w:rPr>
        <w:t>SH</w:t>
      </w:r>
      <w:r w:rsidRPr="009D7635">
        <w:rPr>
          <w:rFonts w:ascii="Times New Roman" w:hAnsi="Times New Roman" w:cs="Times New Roman"/>
          <w:bCs/>
          <w:color w:val="000000" w:themeColor="text1"/>
          <w:lang w:val="en-US"/>
        </w:rPr>
        <w:t xml:space="preserve"> 1, </w:t>
      </w:r>
      <w:r w:rsidRPr="009D7635">
        <w:rPr>
          <w:rFonts w:ascii="Times New Roman" w:hAnsi="Times New Roman" w:cs="Times New Roman"/>
          <w:color w:val="030303"/>
        </w:rPr>
        <w:t xml:space="preserve">P1, In1, Tr5, S1, Q1, M4, C1, </w:t>
      </w:r>
      <w:proofErr w:type="spellStart"/>
      <w:r w:rsidRPr="009D7635">
        <w:rPr>
          <w:rFonts w:ascii="Times New Roman" w:hAnsi="Times New Roman" w:cs="Times New Roman"/>
          <w:color w:val="030303"/>
        </w:rPr>
        <w:t>Respondeo</w:t>
      </w:r>
      <w:proofErr w:type="spellEnd"/>
      <w:r w:rsidRPr="009D7635">
        <w:rPr>
          <w:rFonts w:ascii="Times New Roman" w:hAnsi="Times New Roman" w:cs="Times New Roman"/>
          <w:color w:val="030303"/>
        </w:rPr>
        <w:t xml:space="preserve"> IV, pp. </w:t>
      </w:r>
      <w:r w:rsidRPr="009D7635">
        <w:rPr>
          <w:rFonts w:ascii="Times New Roman" w:hAnsi="Times New Roman" w:cs="Times New Roman"/>
        </w:rPr>
        <w:t>259.</w:t>
      </w:r>
    </w:p>
  </w:footnote>
  <w:footnote w:id="774">
    <w:p w14:paraId="61BCD63A" w14:textId="4BB4872C" w:rsidR="00506BBA" w:rsidRPr="009D7635" w:rsidRDefault="00506BBA" w:rsidP="007A428B">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SH</w:t>
      </w:r>
      <w:r w:rsidR="006A13E1" w:rsidRPr="009D7635">
        <w:rPr>
          <w:rFonts w:ascii="Times New Roman" w:hAnsi="Times New Roman" w:cs="Times New Roman"/>
        </w:rPr>
        <w:t xml:space="preserve"> </w:t>
      </w:r>
      <w:r w:rsidRPr="009D7635">
        <w:rPr>
          <w:rFonts w:ascii="Times New Roman" w:hAnsi="Times New Roman" w:cs="Times New Roman"/>
        </w:rPr>
        <w:t>1, P1 In1, Tr5, S1, Q1, M2, C2, p. 248</w:t>
      </w:r>
    </w:p>
  </w:footnote>
  <w:footnote w:id="775">
    <w:p w14:paraId="79C03646" w14:textId="2783EA59" w:rsidR="00506BBA" w:rsidRPr="009D7635" w:rsidRDefault="00506BBA" w:rsidP="007A428B">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w:t>
      </w:r>
      <w:r w:rsidR="006A13E1" w:rsidRPr="009D7635">
        <w:rPr>
          <w:rFonts w:ascii="Times New Roman" w:hAnsi="Times New Roman" w:cs="Times New Roman"/>
        </w:rPr>
        <w:t>SH</w:t>
      </w:r>
      <w:r w:rsidRPr="009D7635">
        <w:rPr>
          <w:rFonts w:ascii="Times New Roman" w:hAnsi="Times New Roman" w:cs="Times New Roman"/>
        </w:rPr>
        <w:t xml:space="preserve"> 1, P1, In1, Tr5, S1, Q1, M2, C2, </w:t>
      </w:r>
      <w:proofErr w:type="spellStart"/>
      <w:r w:rsidRPr="009D7635">
        <w:rPr>
          <w:rFonts w:ascii="Times New Roman" w:hAnsi="Times New Roman" w:cs="Times New Roman"/>
        </w:rPr>
        <w:t>Respondeo</w:t>
      </w:r>
      <w:proofErr w:type="spellEnd"/>
      <w:r w:rsidRPr="009D7635">
        <w:rPr>
          <w:rFonts w:ascii="Times New Roman" w:hAnsi="Times New Roman" w:cs="Times New Roman"/>
        </w:rPr>
        <w:t xml:space="preserve"> p. 252</w:t>
      </w:r>
      <w:r w:rsidR="009B600C" w:rsidRPr="009D7635">
        <w:rPr>
          <w:rFonts w:ascii="Times New Roman" w:hAnsi="Times New Roman" w:cs="Times New Roman"/>
        </w:rPr>
        <w:t>.</w:t>
      </w:r>
    </w:p>
  </w:footnote>
  <w:footnote w:id="776">
    <w:p w14:paraId="3BFC10EA" w14:textId="01368BAD" w:rsidR="00400ABF" w:rsidRPr="009D7635" w:rsidRDefault="00400ABF" w:rsidP="00F9747C">
      <w:pPr>
        <w:pStyle w:val="p1"/>
        <w:rPr>
          <w:rFonts w:eastAsiaTheme="minorEastAsia"/>
          <w:color w:val="auto"/>
          <w:sz w:val="20"/>
          <w:szCs w:val="20"/>
        </w:rPr>
      </w:pPr>
      <w:r w:rsidRPr="009D7635">
        <w:rPr>
          <w:rStyle w:val="FootnoteReference"/>
          <w:sz w:val="20"/>
          <w:szCs w:val="20"/>
        </w:rPr>
        <w:footnoteRef/>
      </w:r>
      <w:r w:rsidRPr="009D7635">
        <w:rPr>
          <w:rStyle w:val="FootnoteReference"/>
          <w:sz w:val="20"/>
          <w:szCs w:val="20"/>
        </w:rPr>
        <w:footnoteRef/>
      </w:r>
      <w:r w:rsidRPr="009D7635">
        <w:rPr>
          <w:sz w:val="20"/>
          <w:szCs w:val="20"/>
        </w:rPr>
        <w:t xml:space="preserve"> </w:t>
      </w:r>
      <w:r w:rsidR="00F9747C" w:rsidRPr="009D7635">
        <w:rPr>
          <w:rFonts w:eastAsiaTheme="minorEastAsia"/>
          <w:sz w:val="20"/>
          <w:szCs w:val="20"/>
        </w:rPr>
        <w:t>See Jon McGinnis, ‘</w:t>
      </w:r>
      <w:proofErr w:type="spellStart"/>
      <w:r w:rsidR="00F9747C" w:rsidRPr="009D7635">
        <w:rPr>
          <w:rFonts w:eastAsiaTheme="minorEastAsia"/>
          <w:sz w:val="20"/>
          <w:szCs w:val="20"/>
        </w:rPr>
        <w:t>Avicennian</w:t>
      </w:r>
      <w:proofErr w:type="spellEnd"/>
      <w:r w:rsidR="00F9747C" w:rsidRPr="009D7635">
        <w:rPr>
          <w:rFonts w:eastAsiaTheme="minorEastAsia"/>
          <w:sz w:val="20"/>
          <w:szCs w:val="20"/>
        </w:rPr>
        <w:t xml:space="preserve"> Infinity: A Select History of the Infinite through Avicenna,’ </w:t>
      </w:r>
      <w:proofErr w:type="spellStart"/>
      <w:r w:rsidR="00F9747C" w:rsidRPr="009D7635">
        <w:rPr>
          <w:rFonts w:eastAsiaTheme="minorEastAsia"/>
          <w:i/>
          <w:iCs/>
          <w:sz w:val="20"/>
          <w:szCs w:val="20"/>
        </w:rPr>
        <w:t>Documenti</w:t>
      </w:r>
      <w:proofErr w:type="spellEnd"/>
      <w:r w:rsidR="00F9747C" w:rsidRPr="009D7635">
        <w:rPr>
          <w:rFonts w:eastAsiaTheme="minorEastAsia"/>
          <w:i/>
          <w:iCs/>
          <w:sz w:val="20"/>
          <w:szCs w:val="20"/>
        </w:rPr>
        <w:t xml:space="preserve"> e </w:t>
      </w:r>
      <w:proofErr w:type="spellStart"/>
      <w:r w:rsidR="00F9747C" w:rsidRPr="009D7635">
        <w:rPr>
          <w:rFonts w:eastAsiaTheme="minorEastAsia"/>
          <w:i/>
          <w:iCs/>
          <w:sz w:val="20"/>
          <w:szCs w:val="20"/>
        </w:rPr>
        <w:t>studi</w:t>
      </w:r>
      <w:proofErr w:type="spellEnd"/>
      <w:r w:rsidR="00F9747C" w:rsidRPr="009D7635">
        <w:rPr>
          <w:rFonts w:eastAsiaTheme="minorEastAsia"/>
          <w:i/>
          <w:iCs/>
          <w:sz w:val="20"/>
          <w:szCs w:val="20"/>
        </w:rPr>
        <w:t xml:space="preserve"> </w:t>
      </w:r>
      <w:proofErr w:type="spellStart"/>
      <w:r w:rsidR="00F9747C" w:rsidRPr="009D7635">
        <w:rPr>
          <w:rFonts w:eastAsiaTheme="minorEastAsia"/>
          <w:i/>
          <w:iCs/>
          <w:sz w:val="20"/>
          <w:szCs w:val="20"/>
        </w:rPr>
        <w:t>sulla</w:t>
      </w:r>
      <w:proofErr w:type="spellEnd"/>
      <w:r w:rsidR="00F9747C" w:rsidRPr="009D7635">
        <w:rPr>
          <w:rFonts w:eastAsiaTheme="minorEastAsia"/>
          <w:i/>
          <w:iCs/>
          <w:sz w:val="20"/>
          <w:szCs w:val="20"/>
        </w:rPr>
        <w:t xml:space="preserve"> </w:t>
      </w:r>
      <w:proofErr w:type="spellStart"/>
      <w:r w:rsidR="00F9747C" w:rsidRPr="009D7635">
        <w:rPr>
          <w:rFonts w:eastAsiaTheme="minorEastAsia"/>
          <w:i/>
          <w:iCs/>
          <w:sz w:val="20"/>
          <w:szCs w:val="20"/>
        </w:rPr>
        <w:t>tradizione</w:t>
      </w:r>
      <w:proofErr w:type="spellEnd"/>
      <w:r w:rsidR="00F9747C" w:rsidRPr="009D7635">
        <w:rPr>
          <w:rFonts w:eastAsiaTheme="minorEastAsia"/>
          <w:i/>
          <w:iCs/>
          <w:sz w:val="20"/>
          <w:szCs w:val="20"/>
        </w:rPr>
        <w:t xml:space="preserve"> </w:t>
      </w:r>
      <w:proofErr w:type="spellStart"/>
      <w:r w:rsidR="00F9747C" w:rsidRPr="009D7635">
        <w:rPr>
          <w:rFonts w:eastAsiaTheme="minorEastAsia"/>
          <w:i/>
          <w:iCs/>
          <w:sz w:val="20"/>
          <w:szCs w:val="20"/>
        </w:rPr>
        <w:t>filosofica</w:t>
      </w:r>
      <w:proofErr w:type="spellEnd"/>
      <w:r w:rsidR="00F9747C" w:rsidRPr="009D7635">
        <w:rPr>
          <w:rFonts w:eastAsiaTheme="minorEastAsia"/>
          <w:i/>
          <w:iCs/>
          <w:sz w:val="20"/>
          <w:szCs w:val="20"/>
        </w:rPr>
        <w:t xml:space="preserve"> medieval </w:t>
      </w:r>
      <w:r w:rsidR="00F9747C" w:rsidRPr="009D7635">
        <w:rPr>
          <w:rFonts w:eastAsiaTheme="minorEastAsia"/>
          <w:sz w:val="20"/>
          <w:szCs w:val="20"/>
        </w:rPr>
        <w:t>21 (2010): 212-13.</w:t>
      </w:r>
    </w:p>
  </w:footnote>
  <w:footnote w:id="777">
    <w:p w14:paraId="7099B0D6" w14:textId="066F23DA" w:rsidR="00711F15" w:rsidRDefault="00711F15">
      <w:pPr>
        <w:pStyle w:val="FootnoteText"/>
      </w:pPr>
      <w:r>
        <w:rPr>
          <w:rStyle w:val="FootnoteReference"/>
        </w:rPr>
        <w:footnoteRef/>
      </w:r>
      <w:r>
        <w:t xml:space="preserve"> Lydia Schumacher</w:t>
      </w:r>
      <w:r w:rsidR="00125C88">
        <w:t xml:space="preserve">, </w:t>
      </w:r>
      <w:r w:rsidR="00125C88" w:rsidRPr="00125C88">
        <w:rPr>
          <w:i/>
          <w:iCs/>
        </w:rPr>
        <w:t>Early Franciscan Theology: Between Authority and Innovation</w:t>
      </w:r>
      <w:r w:rsidR="00125C88">
        <w:t xml:space="preserve"> (Cambridge: Cambridge University Press, 2019), chapter on the divine nature.</w:t>
      </w:r>
    </w:p>
  </w:footnote>
  <w:footnote w:id="778">
    <w:p w14:paraId="378E3869" w14:textId="66A3F7EE" w:rsidR="00506BBA" w:rsidRPr="009D7635" w:rsidRDefault="00506BBA" w:rsidP="007A428B">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w:t>
      </w:r>
      <w:r w:rsidR="006A13E1" w:rsidRPr="009D7635">
        <w:rPr>
          <w:rFonts w:ascii="Times New Roman" w:hAnsi="Times New Roman" w:cs="Times New Roman"/>
        </w:rPr>
        <w:t>SH</w:t>
      </w:r>
      <w:r w:rsidRPr="009D7635">
        <w:rPr>
          <w:rFonts w:ascii="Times New Roman" w:hAnsi="Times New Roman" w:cs="Times New Roman"/>
        </w:rPr>
        <w:t xml:space="preserve"> 1, P1 In1, Tr5, S1 Q1, M3, C6, Contra, p. 256: Ergo ipse Deus </w:t>
      </w:r>
      <w:proofErr w:type="spellStart"/>
      <w:r w:rsidRPr="009D7635">
        <w:rPr>
          <w:rFonts w:ascii="Times New Roman" w:hAnsi="Times New Roman" w:cs="Times New Roman"/>
        </w:rPr>
        <w:t>aequaliter</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est</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artifex</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magnorum</w:t>
      </w:r>
      <w:proofErr w:type="spellEnd"/>
      <w:r w:rsidRPr="009D7635">
        <w:rPr>
          <w:rFonts w:ascii="Times New Roman" w:hAnsi="Times New Roman" w:cs="Times New Roman"/>
        </w:rPr>
        <w:t xml:space="preserve"> et </w:t>
      </w:r>
      <w:proofErr w:type="spellStart"/>
      <w:r w:rsidRPr="009D7635">
        <w:rPr>
          <w:rFonts w:ascii="Times New Roman" w:hAnsi="Times New Roman" w:cs="Times New Roman"/>
        </w:rPr>
        <w:t>parvorum</w:t>
      </w:r>
      <w:proofErr w:type="spellEnd"/>
      <w:r w:rsidRPr="009D7635">
        <w:rPr>
          <w:rFonts w:ascii="Times New Roman" w:hAnsi="Times New Roman" w:cs="Times New Roman"/>
        </w:rPr>
        <w:t xml:space="preserve">; ergo in </w:t>
      </w:r>
      <w:proofErr w:type="spellStart"/>
      <w:r w:rsidRPr="009D7635">
        <w:rPr>
          <w:rFonts w:ascii="Times New Roman" w:hAnsi="Times New Roman" w:cs="Times New Roman"/>
        </w:rPr>
        <w:t>arte</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sua</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aequaliter</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cognoscit</w:t>
      </w:r>
      <w:proofErr w:type="spellEnd"/>
      <w:r w:rsidRPr="009D7635">
        <w:rPr>
          <w:rFonts w:ascii="Times New Roman" w:hAnsi="Times New Roman" w:cs="Times New Roman"/>
        </w:rPr>
        <w:t xml:space="preserve"> magna et </w:t>
      </w:r>
      <w:proofErr w:type="spellStart"/>
      <w:r w:rsidRPr="009D7635">
        <w:rPr>
          <w:rFonts w:ascii="Times New Roman" w:hAnsi="Times New Roman" w:cs="Times New Roman"/>
        </w:rPr>
        <w:t>parva</w:t>
      </w:r>
      <w:proofErr w:type="spellEnd"/>
      <w:r w:rsidRPr="009D7635">
        <w:rPr>
          <w:rFonts w:ascii="Times New Roman" w:hAnsi="Times New Roman" w:cs="Times New Roman"/>
        </w:rPr>
        <w:t xml:space="preserve">. Item, quod </w:t>
      </w:r>
      <w:proofErr w:type="spellStart"/>
      <w:r w:rsidRPr="009D7635">
        <w:rPr>
          <w:rFonts w:ascii="Times New Roman" w:hAnsi="Times New Roman" w:cs="Times New Roman"/>
        </w:rPr>
        <w:t>potest</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cognoscere</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creatura</w:t>
      </w:r>
      <w:proofErr w:type="spellEnd"/>
      <w:r w:rsidRPr="009D7635">
        <w:rPr>
          <w:rFonts w:ascii="Times New Roman" w:hAnsi="Times New Roman" w:cs="Times New Roman"/>
        </w:rPr>
        <w:t xml:space="preserve">, non </w:t>
      </w:r>
      <w:proofErr w:type="spellStart"/>
      <w:r w:rsidRPr="009D7635">
        <w:rPr>
          <w:rFonts w:ascii="Times New Roman" w:hAnsi="Times New Roman" w:cs="Times New Roman"/>
        </w:rPr>
        <w:t>potest</w:t>
      </w:r>
      <w:proofErr w:type="spellEnd"/>
      <w:r w:rsidRPr="009D7635">
        <w:rPr>
          <w:rFonts w:ascii="Times New Roman" w:hAnsi="Times New Roman" w:cs="Times New Roman"/>
        </w:rPr>
        <w:t xml:space="preserve"> Deus </w:t>
      </w:r>
      <w:proofErr w:type="spellStart"/>
      <w:r w:rsidRPr="009D7635">
        <w:rPr>
          <w:rFonts w:ascii="Times New Roman" w:hAnsi="Times New Roman" w:cs="Times New Roman"/>
        </w:rPr>
        <w:t>ignorare</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Si</w:t>
      </w:r>
      <w:proofErr w:type="spellEnd"/>
      <w:r w:rsidRPr="009D7635">
        <w:rPr>
          <w:rFonts w:ascii="Times New Roman" w:hAnsi="Times New Roman" w:cs="Times New Roman"/>
        </w:rPr>
        <w:t xml:space="preserve"> ergo </w:t>
      </w:r>
      <w:proofErr w:type="spellStart"/>
      <w:r w:rsidRPr="009D7635">
        <w:rPr>
          <w:rFonts w:ascii="Times New Roman" w:hAnsi="Times New Roman" w:cs="Times New Roman"/>
        </w:rPr>
        <w:t>creatura</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potest</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cognoscere</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singularia</w:t>
      </w:r>
      <w:proofErr w:type="spellEnd"/>
      <w:r w:rsidRPr="009D7635">
        <w:rPr>
          <w:rFonts w:ascii="Times New Roman" w:hAnsi="Times New Roman" w:cs="Times New Roman"/>
        </w:rPr>
        <w:t xml:space="preserve">, Deus non </w:t>
      </w:r>
      <w:proofErr w:type="spellStart"/>
      <w:r w:rsidRPr="009D7635">
        <w:rPr>
          <w:rFonts w:ascii="Times New Roman" w:hAnsi="Times New Roman" w:cs="Times New Roman"/>
        </w:rPr>
        <w:t>potest</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ignorare</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singularia</w:t>
      </w:r>
      <w:proofErr w:type="spellEnd"/>
      <w:r w:rsidRPr="009D7635">
        <w:rPr>
          <w:rFonts w:ascii="Times New Roman" w:hAnsi="Times New Roman" w:cs="Times New Roman"/>
        </w:rPr>
        <w:t xml:space="preserve">. </w:t>
      </w:r>
    </w:p>
  </w:footnote>
  <w:footnote w:id="779">
    <w:p w14:paraId="60091818" w14:textId="65AF08E6" w:rsidR="00B43E88" w:rsidRPr="009D7635" w:rsidRDefault="00B43E88">
      <w:pPr>
        <w:pStyle w:val="FootnoteText"/>
        <w:rPr>
          <w:rFonts w:ascii="Times New Roman" w:hAnsi="Times New Roman" w:cs="Times New Roman"/>
          <w:lang w:val="fr-FR"/>
        </w:rPr>
      </w:pPr>
      <w:r w:rsidRPr="009D7635">
        <w:rPr>
          <w:rStyle w:val="FootnoteReference"/>
          <w:rFonts w:ascii="Times New Roman" w:hAnsi="Times New Roman" w:cs="Times New Roman"/>
        </w:rPr>
        <w:footnoteRef/>
      </w:r>
      <w:r w:rsidRPr="009D7635">
        <w:rPr>
          <w:rFonts w:ascii="Times New Roman" w:hAnsi="Times New Roman" w:cs="Times New Roman"/>
        </w:rPr>
        <w:t xml:space="preserve"> Once again, the </w:t>
      </w:r>
      <w:proofErr w:type="spellStart"/>
      <w:r w:rsidRPr="009D7635">
        <w:rPr>
          <w:rFonts w:ascii="Times New Roman" w:hAnsi="Times New Roman" w:cs="Times New Roman"/>
        </w:rPr>
        <w:t>center</w:t>
      </w:r>
      <w:proofErr w:type="spellEnd"/>
      <w:r w:rsidRPr="009D7635">
        <w:rPr>
          <w:rFonts w:ascii="Times New Roman" w:hAnsi="Times New Roman" w:cs="Times New Roman"/>
        </w:rPr>
        <w:t>/line analogy is used to justify this claim.</w:t>
      </w:r>
    </w:p>
  </w:footnote>
  <w:footnote w:id="780">
    <w:p w14:paraId="5C4B3320" w14:textId="37647895" w:rsidR="002014C1" w:rsidRPr="009D7635" w:rsidRDefault="002014C1" w:rsidP="001B7C27">
      <w:pPr>
        <w:autoSpaceDE w:val="0"/>
        <w:autoSpaceDN w:val="0"/>
        <w:adjustRightInd w:val="0"/>
        <w:rPr>
          <w:rFonts w:ascii="Times New Roman" w:hAnsi="Times New Roman" w:cs="Times New Roman"/>
          <w:sz w:val="20"/>
          <w:szCs w:val="20"/>
        </w:rPr>
      </w:pPr>
      <w:r w:rsidRPr="009D7635">
        <w:rPr>
          <w:rStyle w:val="FootnoteReference"/>
          <w:rFonts w:ascii="Times New Roman" w:hAnsi="Times New Roman" w:cs="Times New Roman"/>
          <w:sz w:val="20"/>
          <w:szCs w:val="20"/>
        </w:rPr>
        <w:footnoteRef/>
      </w:r>
      <w:r w:rsidRPr="009D7635">
        <w:rPr>
          <w:rFonts w:ascii="Times New Roman" w:hAnsi="Times New Roman" w:cs="Times New Roman"/>
          <w:sz w:val="20"/>
          <w:szCs w:val="20"/>
        </w:rPr>
        <w:t xml:space="preserve"> Avicenna, </w:t>
      </w:r>
      <w:r w:rsidRPr="009D7635">
        <w:rPr>
          <w:rFonts w:ascii="Times New Roman" w:hAnsi="Times New Roman" w:cs="Times New Roman"/>
          <w:i/>
          <w:iCs/>
          <w:sz w:val="20"/>
          <w:szCs w:val="20"/>
        </w:rPr>
        <w:t xml:space="preserve">The Metaphysics of the Healing, </w:t>
      </w:r>
      <w:r w:rsidRPr="009D7635">
        <w:rPr>
          <w:rFonts w:ascii="Times New Roman" w:hAnsi="Times New Roman" w:cs="Times New Roman"/>
          <w:sz w:val="20"/>
          <w:szCs w:val="20"/>
        </w:rPr>
        <w:t xml:space="preserve">trans. Michael E. </w:t>
      </w:r>
      <w:proofErr w:type="spellStart"/>
      <w:r w:rsidRPr="009D7635">
        <w:rPr>
          <w:rFonts w:ascii="Times New Roman" w:hAnsi="Times New Roman" w:cs="Times New Roman"/>
          <w:sz w:val="20"/>
          <w:szCs w:val="20"/>
        </w:rPr>
        <w:t>Marmura</w:t>
      </w:r>
      <w:proofErr w:type="spellEnd"/>
      <w:r w:rsidRPr="009D7635">
        <w:rPr>
          <w:rFonts w:ascii="Times New Roman" w:hAnsi="Times New Roman" w:cs="Times New Roman"/>
          <w:sz w:val="20"/>
          <w:szCs w:val="20"/>
        </w:rPr>
        <w:t xml:space="preserve"> (Provo: Brigham Young University Press, 2006), Book I, Chapter 5, 27. </w:t>
      </w:r>
      <w:r w:rsidRPr="009D7635">
        <w:rPr>
          <w:rFonts w:ascii="Times New Roman" w:hAnsi="Times New Roman" w:cs="Times New Roman"/>
          <w:i/>
          <w:iCs/>
          <w:sz w:val="20"/>
          <w:szCs w:val="20"/>
        </w:rPr>
        <w:t xml:space="preserve">Avicenna </w:t>
      </w:r>
      <w:proofErr w:type="spellStart"/>
      <w:r w:rsidRPr="009D7635">
        <w:rPr>
          <w:rFonts w:ascii="Times New Roman" w:hAnsi="Times New Roman" w:cs="Times New Roman"/>
          <w:i/>
          <w:iCs/>
          <w:sz w:val="20"/>
          <w:szCs w:val="20"/>
        </w:rPr>
        <w:t>latinus</w:t>
      </w:r>
      <w:proofErr w:type="spellEnd"/>
      <w:r w:rsidR="002D3BBE" w:rsidRPr="009D7635">
        <w:rPr>
          <w:rFonts w:ascii="Times New Roman" w:hAnsi="Times New Roman" w:cs="Times New Roman"/>
          <w:i/>
          <w:iCs/>
          <w:sz w:val="20"/>
          <w:szCs w:val="20"/>
        </w:rPr>
        <w:t>:</w:t>
      </w:r>
      <w:r w:rsidRPr="009D7635">
        <w:rPr>
          <w:rFonts w:ascii="Times New Roman" w:hAnsi="Times New Roman" w:cs="Times New Roman"/>
          <w:i/>
          <w:iCs/>
          <w:sz w:val="20"/>
          <w:szCs w:val="20"/>
        </w:rPr>
        <w:t xml:space="preserve"> Liber de </w:t>
      </w:r>
      <w:proofErr w:type="spellStart"/>
      <w:r w:rsidRPr="009D7635">
        <w:rPr>
          <w:rFonts w:ascii="Times New Roman" w:hAnsi="Times New Roman" w:cs="Times New Roman"/>
          <w:i/>
          <w:iCs/>
          <w:sz w:val="20"/>
          <w:szCs w:val="20"/>
        </w:rPr>
        <w:t>philosophia</w:t>
      </w:r>
      <w:proofErr w:type="spellEnd"/>
      <w:r w:rsidRPr="009D7635">
        <w:rPr>
          <w:rFonts w:ascii="Times New Roman" w:hAnsi="Times New Roman" w:cs="Times New Roman"/>
          <w:i/>
          <w:iCs/>
          <w:sz w:val="20"/>
          <w:szCs w:val="20"/>
        </w:rPr>
        <w:t xml:space="preserve"> prima </w:t>
      </w:r>
      <w:proofErr w:type="spellStart"/>
      <w:r w:rsidRPr="009D7635">
        <w:rPr>
          <w:rFonts w:ascii="Times New Roman" w:hAnsi="Times New Roman" w:cs="Times New Roman"/>
          <w:i/>
          <w:iCs/>
          <w:sz w:val="20"/>
          <w:szCs w:val="20"/>
        </w:rPr>
        <w:t>sive</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scientia</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divina</w:t>
      </w:r>
      <w:proofErr w:type="spellEnd"/>
      <w:r w:rsidRPr="009D7635">
        <w:rPr>
          <w:rFonts w:ascii="Times New Roman" w:hAnsi="Times New Roman" w:cs="Times New Roman"/>
          <w:sz w:val="20"/>
          <w:szCs w:val="20"/>
        </w:rPr>
        <w:t xml:space="preserve">, I, c. 5 (ed. Van </w:t>
      </w:r>
      <w:proofErr w:type="spellStart"/>
      <w:r w:rsidRPr="009D7635">
        <w:rPr>
          <w:rFonts w:ascii="Times New Roman" w:hAnsi="Times New Roman" w:cs="Times New Roman"/>
          <w:sz w:val="20"/>
          <w:szCs w:val="20"/>
        </w:rPr>
        <w:t>Riet</w:t>
      </w:r>
      <w:proofErr w:type="spellEnd"/>
      <w:r w:rsidRPr="009D7635">
        <w:rPr>
          <w:rFonts w:ascii="Times New Roman" w:hAnsi="Times New Roman" w:cs="Times New Roman"/>
          <w:sz w:val="20"/>
          <w:szCs w:val="20"/>
        </w:rPr>
        <w:t xml:space="preserve">, p. 40): </w:t>
      </w:r>
      <w:proofErr w:type="spellStart"/>
      <w:r w:rsidRPr="009D7635">
        <w:rPr>
          <w:rFonts w:ascii="Times New Roman" w:hAnsi="Times New Roman" w:cs="Times New Roman"/>
          <w:i/>
          <w:iCs/>
          <w:sz w:val="20"/>
          <w:szCs w:val="20"/>
        </w:rPr>
        <w:t>Dicemus</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igitur</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nunc</w:t>
      </w:r>
      <w:proofErr w:type="spellEnd"/>
      <w:r w:rsidRPr="009D7635">
        <w:rPr>
          <w:rFonts w:ascii="Times New Roman" w:hAnsi="Times New Roman" w:cs="Times New Roman"/>
          <w:i/>
          <w:iCs/>
          <w:sz w:val="20"/>
          <w:szCs w:val="20"/>
        </w:rPr>
        <w:t xml:space="preserve"> quod </w:t>
      </w:r>
      <w:proofErr w:type="spellStart"/>
      <w:r w:rsidRPr="009D7635">
        <w:rPr>
          <w:rFonts w:ascii="Times New Roman" w:hAnsi="Times New Roman" w:cs="Times New Roman"/>
          <w:i/>
          <w:iCs/>
          <w:sz w:val="20"/>
          <w:szCs w:val="20"/>
        </w:rPr>
        <w:t>quamvis</w:t>
      </w:r>
      <w:proofErr w:type="spellEnd"/>
      <w:r w:rsidRPr="009D7635">
        <w:rPr>
          <w:rFonts w:ascii="Times New Roman" w:hAnsi="Times New Roman" w:cs="Times New Roman"/>
          <w:i/>
          <w:iCs/>
          <w:sz w:val="20"/>
          <w:szCs w:val="20"/>
        </w:rPr>
        <w:t xml:space="preserve"> ens, </w:t>
      </w:r>
      <w:proofErr w:type="spellStart"/>
      <w:r w:rsidRPr="009D7635">
        <w:rPr>
          <w:rFonts w:ascii="Times New Roman" w:hAnsi="Times New Roman" w:cs="Times New Roman"/>
          <w:i/>
          <w:iCs/>
          <w:sz w:val="20"/>
          <w:szCs w:val="20"/>
        </w:rPr>
        <w:t>sicut</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scis</w:t>
      </w:r>
      <w:proofErr w:type="spellEnd"/>
      <w:r w:rsidRPr="009D7635">
        <w:rPr>
          <w:rFonts w:ascii="Times New Roman" w:hAnsi="Times New Roman" w:cs="Times New Roman"/>
          <w:i/>
          <w:iCs/>
          <w:sz w:val="20"/>
          <w:szCs w:val="20"/>
        </w:rPr>
        <w:t xml:space="preserve"> ti, non sit genus </w:t>
      </w:r>
      <w:proofErr w:type="spellStart"/>
      <w:r w:rsidRPr="009D7635">
        <w:rPr>
          <w:rFonts w:ascii="Times New Roman" w:hAnsi="Times New Roman" w:cs="Times New Roman"/>
          <w:i/>
          <w:iCs/>
          <w:sz w:val="20"/>
          <w:szCs w:val="20"/>
        </w:rPr>
        <w:t>nec</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praedicatum</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aequaliter</w:t>
      </w:r>
      <w:proofErr w:type="spellEnd"/>
      <w:r w:rsidRPr="009D7635">
        <w:rPr>
          <w:rFonts w:ascii="Times New Roman" w:hAnsi="Times New Roman" w:cs="Times New Roman"/>
          <w:i/>
          <w:iCs/>
          <w:sz w:val="20"/>
          <w:szCs w:val="20"/>
        </w:rPr>
        <w:t xml:space="preserve"> de his </w:t>
      </w:r>
      <w:proofErr w:type="spellStart"/>
      <w:r w:rsidRPr="009D7635">
        <w:rPr>
          <w:rFonts w:ascii="Times New Roman" w:hAnsi="Times New Roman" w:cs="Times New Roman"/>
          <w:i/>
          <w:iCs/>
          <w:sz w:val="20"/>
          <w:szCs w:val="20"/>
        </w:rPr>
        <w:t>quae</w:t>
      </w:r>
      <w:proofErr w:type="spellEnd"/>
      <w:r w:rsidRPr="009D7635">
        <w:rPr>
          <w:rFonts w:ascii="Times New Roman" w:hAnsi="Times New Roman" w:cs="Times New Roman"/>
          <w:i/>
          <w:iCs/>
          <w:sz w:val="20"/>
          <w:szCs w:val="20"/>
        </w:rPr>
        <w:t xml:space="preserve"> sub </w:t>
      </w:r>
      <w:proofErr w:type="spellStart"/>
      <w:r w:rsidRPr="009D7635">
        <w:rPr>
          <w:rFonts w:ascii="Times New Roman" w:hAnsi="Times New Roman" w:cs="Times New Roman"/>
          <w:i/>
          <w:iCs/>
          <w:sz w:val="20"/>
          <w:szCs w:val="20"/>
        </w:rPr>
        <w:t>eo</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sunt</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tamen</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est</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intentio</w:t>
      </w:r>
      <w:proofErr w:type="spellEnd"/>
      <w:r w:rsidRPr="009D7635">
        <w:rPr>
          <w:rFonts w:ascii="Times New Roman" w:hAnsi="Times New Roman" w:cs="Times New Roman"/>
          <w:i/>
          <w:iCs/>
          <w:sz w:val="20"/>
          <w:szCs w:val="20"/>
        </w:rPr>
        <w:t xml:space="preserve"> in qua convenient </w:t>
      </w:r>
      <w:proofErr w:type="spellStart"/>
      <w:r w:rsidRPr="009D7635">
        <w:rPr>
          <w:rFonts w:ascii="Times New Roman" w:hAnsi="Times New Roman" w:cs="Times New Roman"/>
          <w:i/>
          <w:iCs/>
          <w:sz w:val="20"/>
          <w:szCs w:val="20"/>
        </w:rPr>
        <w:t>secundum</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prius</w:t>
      </w:r>
      <w:proofErr w:type="spellEnd"/>
      <w:r w:rsidRPr="009D7635">
        <w:rPr>
          <w:rFonts w:ascii="Times New Roman" w:hAnsi="Times New Roman" w:cs="Times New Roman"/>
          <w:i/>
          <w:iCs/>
          <w:sz w:val="20"/>
          <w:szCs w:val="20"/>
        </w:rPr>
        <w:t xml:space="preserve"> et </w:t>
      </w:r>
      <w:proofErr w:type="spellStart"/>
      <w:r w:rsidRPr="009D7635">
        <w:rPr>
          <w:rFonts w:ascii="Times New Roman" w:hAnsi="Times New Roman" w:cs="Times New Roman"/>
          <w:i/>
          <w:iCs/>
          <w:sz w:val="20"/>
          <w:szCs w:val="20"/>
        </w:rPr>
        <w:t>posterius</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primum</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autem</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est</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quiditati</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quae</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est</w:t>
      </w:r>
      <w:proofErr w:type="spellEnd"/>
      <w:r w:rsidRPr="009D7635">
        <w:rPr>
          <w:rFonts w:ascii="Times New Roman" w:hAnsi="Times New Roman" w:cs="Times New Roman"/>
          <w:i/>
          <w:iCs/>
          <w:sz w:val="20"/>
          <w:szCs w:val="20"/>
        </w:rPr>
        <w:t xml:space="preserve"> in </w:t>
      </w:r>
      <w:proofErr w:type="spellStart"/>
      <w:r w:rsidRPr="009D7635">
        <w:rPr>
          <w:rFonts w:ascii="Times New Roman" w:hAnsi="Times New Roman" w:cs="Times New Roman"/>
          <w:i/>
          <w:iCs/>
          <w:sz w:val="20"/>
          <w:szCs w:val="20"/>
        </w:rPr>
        <w:t>substantia</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deinde</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ei</w:t>
      </w:r>
      <w:proofErr w:type="spellEnd"/>
      <w:r w:rsidRPr="009D7635">
        <w:rPr>
          <w:rFonts w:ascii="Times New Roman" w:hAnsi="Times New Roman" w:cs="Times New Roman"/>
          <w:i/>
          <w:iCs/>
          <w:sz w:val="20"/>
          <w:szCs w:val="20"/>
        </w:rPr>
        <w:t xml:space="preserve"> quod </w:t>
      </w:r>
      <w:proofErr w:type="spellStart"/>
      <w:r w:rsidRPr="009D7635">
        <w:rPr>
          <w:rFonts w:ascii="Times New Roman" w:hAnsi="Times New Roman" w:cs="Times New Roman"/>
          <w:i/>
          <w:iCs/>
          <w:sz w:val="20"/>
          <w:szCs w:val="20"/>
        </w:rPr>
        <w:t>est</w:t>
      </w:r>
      <w:proofErr w:type="spellEnd"/>
      <w:r w:rsidRPr="009D7635">
        <w:rPr>
          <w:rFonts w:ascii="Times New Roman" w:hAnsi="Times New Roman" w:cs="Times New Roman"/>
          <w:i/>
          <w:iCs/>
          <w:sz w:val="20"/>
          <w:szCs w:val="20"/>
        </w:rPr>
        <w:t xml:space="preserve"> post </w:t>
      </w:r>
      <w:proofErr w:type="spellStart"/>
      <w:r w:rsidRPr="009D7635">
        <w:rPr>
          <w:rFonts w:ascii="Times New Roman" w:hAnsi="Times New Roman" w:cs="Times New Roman"/>
          <w:i/>
          <w:iCs/>
          <w:sz w:val="20"/>
          <w:szCs w:val="20"/>
        </w:rPr>
        <w:t>ipsam</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Postquam</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autem</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una</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intentio</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est</w:t>
      </w:r>
      <w:proofErr w:type="spellEnd"/>
      <w:r w:rsidRPr="009D7635">
        <w:rPr>
          <w:rFonts w:ascii="Times New Roman" w:hAnsi="Times New Roman" w:cs="Times New Roman"/>
          <w:i/>
          <w:iCs/>
          <w:sz w:val="20"/>
          <w:szCs w:val="20"/>
        </w:rPr>
        <w:t xml:space="preserve"> ens </w:t>
      </w:r>
      <w:proofErr w:type="spellStart"/>
      <w:r w:rsidRPr="009D7635">
        <w:rPr>
          <w:rFonts w:ascii="Times New Roman" w:hAnsi="Times New Roman" w:cs="Times New Roman"/>
          <w:i/>
          <w:iCs/>
          <w:sz w:val="20"/>
          <w:szCs w:val="20"/>
        </w:rPr>
        <w:t>secundum</w:t>
      </w:r>
      <w:proofErr w:type="spellEnd"/>
      <w:r w:rsidRPr="009D7635">
        <w:rPr>
          <w:rFonts w:ascii="Times New Roman" w:hAnsi="Times New Roman" w:cs="Times New Roman"/>
          <w:i/>
          <w:iCs/>
          <w:sz w:val="20"/>
          <w:szCs w:val="20"/>
        </w:rPr>
        <w:t xml:space="preserve"> hoc quod </w:t>
      </w:r>
      <w:proofErr w:type="spellStart"/>
      <w:r w:rsidRPr="009D7635">
        <w:rPr>
          <w:rFonts w:ascii="Times New Roman" w:hAnsi="Times New Roman" w:cs="Times New Roman"/>
          <w:i/>
          <w:iCs/>
          <w:sz w:val="20"/>
          <w:szCs w:val="20"/>
        </w:rPr>
        <w:t>assignavimus</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sequuntur</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illud</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accidentlia</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quae</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ei</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sunt</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propria</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sicut</w:t>
      </w:r>
      <w:proofErr w:type="spellEnd"/>
      <w:r w:rsidRPr="009D7635">
        <w:rPr>
          <w:rFonts w:ascii="Times New Roman" w:hAnsi="Times New Roman" w:cs="Times New Roman"/>
          <w:i/>
          <w:iCs/>
          <w:sz w:val="20"/>
          <w:szCs w:val="20"/>
        </w:rPr>
        <w:t xml:space="preserve"> supra </w:t>
      </w:r>
      <w:proofErr w:type="spellStart"/>
      <w:r w:rsidRPr="009D7635">
        <w:rPr>
          <w:rFonts w:ascii="Times New Roman" w:hAnsi="Times New Roman" w:cs="Times New Roman"/>
          <w:i/>
          <w:iCs/>
          <w:sz w:val="20"/>
          <w:szCs w:val="20"/>
        </w:rPr>
        <w:t>diximus</w:t>
      </w:r>
      <w:proofErr w:type="spellEnd"/>
      <w:r w:rsidRPr="009D7635">
        <w:rPr>
          <w:rFonts w:ascii="Times New Roman" w:hAnsi="Times New Roman" w:cs="Times New Roman"/>
          <w:i/>
          <w:iCs/>
          <w:sz w:val="20"/>
          <w:szCs w:val="20"/>
        </w:rPr>
        <w:t>.</w:t>
      </w:r>
      <w:r w:rsidRPr="009D7635">
        <w:rPr>
          <w:rFonts w:ascii="Times New Roman" w:hAnsi="Times New Roman" w:cs="Times New Roman"/>
          <w:sz w:val="20"/>
          <w:szCs w:val="20"/>
        </w:rPr>
        <w:t xml:space="preserve"> (</w:t>
      </w:r>
      <w:r w:rsidR="003323D8" w:rsidRPr="009D7635">
        <w:rPr>
          <w:rFonts w:ascii="Times New Roman" w:hAnsi="Times New Roman" w:cs="Times New Roman"/>
          <w:sz w:val="20"/>
          <w:szCs w:val="20"/>
        </w:rPr>
        <w:t>‘</w:t>
      </w:r>
      <w:r w:rsidRPr="009D7635">
        <w:rPr>
          <w:rFonts w:ascii="Times New Roman" w:hAnsi="Times New Roman" w:cs="Times New Roman"/>
          <w:sz w:val="20"/>
          <w:szCs w:val="20"/>
        </w:rPr>
        <w:t>Although the existent (</w:t>
      </w:r>
      <w:r w:rsidRPr="009D7635">
        <w:rPr>
          <w:rFonts w:ascii="Times New Roman" w:hAnsi="Times New Roman" w:cs="Times New Roman"/>
          <w:i/>
          <w:iCs/>
          <w:sz w:val="20"/>
          <w:szCs w:val="20"/>
        </w:rPr>
        <w:t>ens</w:t>
      </w:r>
      <w:r w:rsidRPr="009D7635">
        <w:rPr>
          <w:rFonts w:ascii="Times New Roman" w:hAnsi="Times New Roman" w:cs="Times New Roman"/>
          <w:sz w:val="20"/>
          <w:szCs w:val="20"/>
        </w:rPr>
        <w:t xml:space="preserve">), as you have known, is not a genus and is not predicated equally of what is beneath it, yet it has a meaning agreed on with respect to priority and posteriority. The first thing to which it belongs is the quiddity, which is substance, and then to what comes after it. Since it [has] one meaning, in the manner to which we have alluded, accidental matters adhere to it that are proper to it, as we have shown earlier.’) </w:t>
      </w:r>
    </w:p>
  </w:footnote>
  <w:footnote w:id="781">
    <w:p w14:paraId="51549BA5" w14:textId="304F37FA" w:rsidR="008A1E9F" w:rsidRPr="00BC05DD" w:rsidRDefault="008A1E9F" w:rsidP="00F018E9">
      <w:pPr>
        <w:autoSpaceDE w:val="0"/>
        <w:autoSpaceDN w:val="0"/>
        <w:adjustRightInd w:val="0"/>
        <w:rPr>
          <w:rFonts w:ascii="Times New Roman" w:hAnsi="Times New Roman" w:cs="Times New Roman"/>
          <w:sz w:val="20"/>
          <w:szCs w:val="20"/>
        </w:rPr>
      </w:pPr>
      <w:r w:rsidRPr="009D7635">
        <w:rPr>
          <w:rStyle w:val="FootnoteReference"/>
          <w:rFonts w:ascii="Times New Roman" w:hAnsi="Times New Roman" w:cs="Times New Roman"/>
          <w:sz w:val="20"/>
          <w:szCs w:val="20"/>
        </w:rPr>
        <w:footnoteRef/>
      </w:r>
      <w:r w:rsidRPr="009D7635">
        <w:rPr>
          <w:rFonts w:ascii="Times New Roman" w:hAnsi="Times New Roman" w:cs="Times New Roman"/>
          <w:sz w:val="20"/>
          <w:szCs w:val="20"/>
        </w:rPr>
        <w:t xml:space="preserve"> Translation by Oleg Bychkov in </w:t>
      </w:r>
      <w:r w:rsidRPr="009D7635">
        <w:rPr>
          <w:rFonts w:ascii="Times New Roman" w:hAnsi="Times New Roman" w:cs="Times New Roman"/>
          <w:i/>
          <w:iCs/>
          <w:sz w:val="20"/>
          <w:szCs w:val="20"/>
        </w:rPr>
        <w:t>A Reader in Early Franciscan Theology</w:t>
      </w:r>
      <w:r w:rsidR="0051627C" w:rsidRPr="009D7635">
        <w:rPr>
          <w:rFonts w:ascii="Times New Roman" w:hAnsi="Times New Roman" w:cs="Times New Roman"/>
          <w:sz w:val="20"/>
          <w:szCs w:val="20"/>
        </w:rPr>
        <w:t xml:space="preserve">, 99-100. </w:t>
      </w:r>
      <w:r w:rsidRPr="009D7635">
        <w:rPr>
          <w:rFonts w:ascii="Times New Roman" w:hAnsi="Times New Roman" w:cs="Times New Roman"/>
          <w:i/>
          <w:iCs/>
          <w:sz w:val="20"/>
          <w:szCs w:val="20"/>
        </w:rPr>
        <w:t>SH</w:t>
      </w:r>
      <w:r w:rsidRPr="009D7635">
        <w:rPr>
          <w:rFonts w:ascii="Times New Roman" w:hAnsi="Times New Roman" w:cs="Times New Roman"/>
          <w:sz w:val="20"/>
          <w:szCs w:val="20"/>
        </w:rPr>
        <w:t xml:space="preserve"> Tr Int, Q2, M3, C2, </w:t>
      </w:r>
      <w:proofErr w:type="spellStart"/>
      <w:r w:rsidRPr="009D7635">
        <w:rPr>
          <w:rFonts w:ascii="Times New Roman" w:hAnsi="Times New Roman" w:cs="Times New Roman"/>
          <w:sz w:val="20"/>
          <w:szCs w:val="20"/>
        </w:rPr>
        <w:t>Respondeo</w:t>
      </w:r>
      <w:proofErr w:type="spellEnd"/>
      <w:r w:rsidRPr="009D7635">
        <w:rPr>
          <w:rFonts w:ascii="Times New Roman" w:hAnsi="Times New Roman" w:cs="Times New Roman"/>
          <w:sz w:val="20"/>
          <w:szCs w:val="20"/>
        </w:rPr>
        <w:t>, 32: 1</w:t>
      </w:r>
      <w:r w:rsidR="004F13A6" w:rsidRPr="009D7635">
        <w:rPr>
          <w:rFonts w:ascii="Times New Roman" w:hAnsi="Times New Roman" w:cs="Times New Roman"/>
          <w:sz w:val="20"/>
          <w:szCs w:val="20"/>
        </w:rPr>
        <w:t xml:space="preserve">: </w:t>
      </w:r>
      <w:proofErr w:type="spellStart"/>
      <w:r w:rsidRPr="009D7635">
        <w:rPr>
          <w:rFonts w:ascii="Times New Roman" w:hAnsi="Times New Roman" w:cs="Times New Roman"/>
          <w:i/>
          <w:iCs/>
          <w:sz w:val="20"/>
          <w:szCs w:val="20"/>
        </w:rPr>
        <w:t>Convenientia</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secundum</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analogiam</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ut</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substantia</w:t>
      </w:r>
      <w:proofErr w:type="spellEnd"/>
      <w:r w:rsidRPr="009D7635">
        <w:rPr>
          <w:rFonts w:ascii="Times New Roman" w:hAnsi="Times New Roman" w:cs="Times New Roman"/>
          <w:i/>
          <w:iCs/>
          <w:sz w:val="20"/>
          <w:szCs w:val="20"/>
        </w:rPr>
        <w:t xml:space="preserve"> et </w:t>
      </w:r>
      <w:proofErr w:type="spellStart"/>
      <w:r w:rsidRPr="009D7635">
        <w:rPr>
          <w:rFonts w:ascii="Times New Roman" w:hAnsi="Times New Roman" w:cs="Times New Roman"/>
          <w:i/>
          <w:iCs/>
          <w:sz w:val="20"/>
          <w:szCs w:val="20"/>
        </w:rPr>
        <w:t>accidens</w:t>
      </w:r>
      <w:proofErr w:type="spellEnd"/>
      <w:r w:rsidRPr="009D7635">
        <w:rPr>
          <w:rFonts w:ascii="Times New Roman" w:hAnsi="Times New Roman" w:cs="Times New Roman"/>
          <w:i/>
          <w:iCs/>
          <w:sz w:val="20"/>
          <w:szCs w:val="20"/>
        </w:rPr>
        <w:t xml:space="preserve"> convenient in </w:t>
      </w:r>
      <w:proofErr w:type="spellStart"/>
      <w:r w:rsidRPr="009D7635">
        <w:rPr>
          <w:rFonts w:ascii="Times New Roman" w:hAnsi="Times New Roman" w:cs="Times New Roman"/>
          <w:i/>
          <w:iCs/>
          <w:sz w:val="20"/>
          <w:szCs w:val="20"/>
        </w:rPr>
        <w:t>ente</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quia</w:t>
      </w:r>
      <w:proofErr w:type="spellEnd"/>
      <w:r w:rsidRPr="009D7635">
        <w:rPr>
          <w:rFonts w:ascii="Times New Roman" w:hAnsi="Times New Roman" w:cs="Times New Roman"/>
          <w:i/>
          <w:iCs/>
          <w:sz w:val="20"/>
          <w:szCs w:val="20"/>
        </w:rPr>
        <w:t xml:space="preserve"> d </w:t>
      </w:r>
      <w:proofErr w:type="spellStart"/>
      <w:r w:rsidRPr="009D7635">
        <w:rPr>
          <w:rFonts w:ascii="Times New Roman" w:hAnsi="Times New Roman" w:cs="Times New Roman"/>
          <w:i/>
          <w:iCs/>
          <w:sz w:val="20"/>
          <w:szCs w:val="20"/>
        </w:rPr>
        <w:t>dicitur</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secundum</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prius</w:t>
      </w:r>
      <w:proofErr w:type="spellEnd"/>
      <w:r w:rsidRPr="009D7635">
        <w:rPr>
          <w:rFonts w:ascii="Times New Roman" w:hAnsi="Times New Roman" w:cs="Times New Roman"/>
          <w:i/>
          <w:iCs/>
          <w:sz w:val="20"/>
          <w:szCs w:val="20"/>
        </w:rPr>
        <w:t xml:space="preserve"> et </w:t>
      </w:r>
      <w:proofErr w:type="spellStart"/>
      <w:r w:rsidRPr="009D7635">
        <w:rPr>
          <w:rFonts w:ascii="Times New Roman" w:hAnsi="Times New Roman" w:cs="Times New Roman"/>
          <w:i/>
          <w:iCs/>
          <w:sz w:val="20"/>
          <w:szCs w:val="20"/>
        </w:rPr>
        <w:t>posterius</w:t>
      </w:r>
      <w:proofErr w:type="spellEnd"/>
      <w:r w:rsidRPr="009D7635">
        <w:rPr>
          <w:rFonts w:ascii="Times New Roman" w:hAnsi="Times New Roman" w:cs="Times New Roman"/>
          <w:i/>
          <w:iCs/>
          <w:sz w:val="20"/>
          <w:szCs w:val="20"/>
        </w:rPr>
        <w:t xml:space="preserve"> de </w:t>
      </w:r>
      <w:proofErr w:type="spellStart"/>
      <w:r w:rsidRPr="009D7635">
        <w:rPr>
          <w:rFonts w:ascii="Times New Roman" w:hAnsi="Times New Roman" w:cs="Times New Roman"/>
          <w:i/>
          <w:iCs/>
          <w:sz w:val="20"/>
          <w:szCs w:val="20"/>
        </w:rPr>
        <w:t>illis</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quia</w:t>
      </w:r>
      <w:proofErr w:type="spellEnd"/>
      <w:r w:rsidRPr="009D7635">
        <w:rPr>
          <w:rFonts w:ascii="Times New Roman" w:hAnsi="Times New Roman" w:cs="Times New Roman"/>
          <w:i/>
          <w:iCs/>
          <w:sz w:val="20"/>
          <w:szCs w:val="20"/>
        </w:rPr>
        <w:t xml:space="preserve"> ens </w:t>
      </w:r>
      <w:proofErr w:type="spellStart"/>
      <w:r w:rsidRPr="009D7635">
        <w:rPr>
          <w:rFonts w:ascii="Times New Roman" w:hAnsi="Times New Roman" w:cs="Times New Roman"/>
          <w:i/>
          <w:iCs/>
          <w:sz w:val="20"/>
          <w:szCs w:val="20"/>
        </w:rPr>
        <w:t>substantia</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est</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principium</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accidentis</w:t>
      </w:r>
      <w:proofErr w:type="spellEnd"/>
      <w:r w:rsidRPr="009D7635">
        <w:rPr>
          <w:rFonts w:ascii="Times New Roman" w:hAnsi="Times New Roman" w:cs="Times New Roman"/>
          <w:i/>
          <w:iCs/>
          <w:sz w:val="20"/>
          <w:szCs w:val="20"/>
        </w:rPr>
        <w:t xml:space="preserve">, et </w:t>
      </w:r>
      <w:proofErr w:type="spellStart"/>
      <w:r w:rsidRPr="009D7635">
        <w:rPr>
          <w:rFonts w:ascii="Times New Roman" w:hAnsi="Times New Roman" w:cs="Times New Roman"/>
          <w:i/>
          <w:iCs/>
          <w:sz w:val="20"/>
          <w:szCs w:val="20"/>
        </w:rPr>
        <w:t>ideo</w:t>
      </w:r>
      <w:proofErr w:type="spellEnd"/>
      <w:r w:rsidRPr="009D7635">
        <w:rPr>
          <w:rFonts w:ascii="Times New Roman" w:hAnsi="Times New Roman" w:cs="Times New Roman"/>
          <w:i/>
          <w:iCs/>
          <w:sz w:val="20"/>
          <w:szCs w:val="20"/>
        </w:rPr>
        <w:t xml:space="preserve"> per </w:t>
      </w:r>
      <w:proofErr w:type="spellStart"/>
      <w:r w:rsidRPr="009D7635">
        <w:rPr>
          <w:rFonts w:ascii="Times New Roman" w:hAnsi="Times New Roman" w:cs="Times New Roman"/>
          <w:i/>
          <w:iCs/>
          <w:sz w:val="20"/>
          <w:szCs w:val="20"/>
        </w:rPr>
        <w:t>prius</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dicitur</w:t>
      </w:r>
      <w:proofErr w:type="spellEnd"/>
      <w:r w:rsidRPr="009D7635">
        <w:rPr>
          <w:rFonts w:ascii="Times New Roman" w:hAnsi="Times New Roman" w:cs="Times New Roman"/>
          <w:i/>
          <w:iCs/>
          <w:sz w:val="20"/>
          <w:szCs w:val="20"/>
        </w:rPr>
        <w:t xml:space="preserve"> ens de </w:t>
      </w:r>
      <w:proofErr w:type="spellStart"/>
      <w:r w:rsidRPr="009D7635">
        <w:rPr>
          <w:rFonts w:ascii="Times New Roman" w:hAnsi="Times New Roman" w:cs="Times New Roman"/>
          <w:i/>
          <w:iCs/>
          <w:sz w:val="20"/>
          <w:szCs w:val="20"/>
        </w:rPr>
        <w:t>substantia</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quae</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est</w:t>
      </w:r>
      <w:proofErr w:type="spellEnd"/>
      <w:r w:rsidRPr="009D7635">
        <w:rPr>
          <w:rFonts w:ascii="Times New Roman" w:hAnsi="Times New Roman" w:cs="Times New Roman"/>
          <w:i/>
          <w:iCs/>
          <w:sz w:val="20"/>
          <w:szCs w:val="20"/>
        </w:rPr>
        <w:t xml:space="preserve"> ens per se; per </w:t>
      </w:r>
      <w:proofErr w:type="spellStart"/>
      <w:r w:rsidRPr="009D7635">
        <w:rPr>
          <w:rFonts w:ascii="Times New Roman" w:hAnsi="Times New Roman" w:cs="Times New Roman"/>
          <w:i/>
          <w:iCs/>
          <w:sz w:val="20"/>
          <w:szCs w:val="20"/>
        </w:rPr>
        <w:t>posterius</w:t>
      </w:r>
      <w:proofErr w:type="spellEnd"/>
      <w:r w:rsidRPr="009D7635">
        <w:rPr>
          <w:rFonts w:ascii="Times New Roman" w:hAnsi="Times New Roman" w:cs="Times New Roman"/>
          <w:i/>
          <w:iCs/>
          <w:sz w:val="20"/>
          <w:szCs w:val="20"/>
        </w:rPr>
        <w:t xml:space="preserve"> de </w:t>
      </w:r>
      <w:proofErr w:type="spellStart"/>
      <w:r w:rsidRPr="009D7635">
        <w:rPr>
          <w:rFonts w:ascii="Times New Roman" w:hAnsi="Times New Roman" w:cs="Times New Roman"/>
          <w:i/>
          <w:iCs/>
          <w:sz w:val="20"/>
          <w:szCs w:val="20"/>
        </w:rPr>
        <w:t>accidente</w:t>
      </w:r>
      <w:proofErr w:type="spellEnd"/>
      <w:r w:rsidRPr="009D7635">
        <w:rPr>
          <w:rFonts w:ascii="Times New Roman" w:hAnsi="Times New Roman" w:cs="Times New Roman"/>
          <w:i/>
          <w:iCs/>
          <w:sz w:val="20"/>
          <w:szCs w:val="20"/>
        </w:rPr>
        <w:t xml:space="preserve">, quod </w:t>
      </w:r>
      <w:proofErr w:type="spellStart"/>
      <w:r w:rsidRPr="009D7635">
        <w:rPr>
          <w:rFonts w:ascii="Times New Roman" w:hAnsi="Times New Roman" w:cs="Times New Roman"/>
          <w:i/>
          <w:iCs/>
          <w:sz w:val="20"/>
          <w:szCs w:val="20"/>
        </w:rPr>
        <w:t>est</w:t>
      </w:r>
      <w:proofErr w:type="spellEnd"/>
      <w:r w:rsidRPr="009D7635">
        <w:rPr>
          <w:rFonts w:ascii="Times New Roman" w:hAnsi="Times New Roman" w:cs="Times New Roman"/>
          <w:i/>
          <w:iCs/>
          <w:sz w:val="20"/>
          <w:szCs w:val="20"/>
        </w:rPr>
        <w:t xml:space="preserve"> ens in </w:t>
      </w:r>
      <w:proofErr w:type="spellStart"/>
      <w:r w:rsidRPr="009D7635">
        <w:rPr>
          <w:rFonts w:ascii="Times New Roman" w:hAnsi="Times New Roman" w:cs="Times New Roman"/>
          <w:i/>
          <w:iCs/>
          <w:sz w:val="20"/>
          <w:szCs w:val="20"/>
        </w:rPr>
        <w:t>alio</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Dicendum</w:t>
      </w:r>
      <w:proofErr w:type="spellEnd"/>
      <w:r w:rsidRPr="009D7635">
        <w:rPr>
          <w:rFonts w:ascii="Times New Roman" w:hAnsi="Times New Roman" w:cs="Times New Roman"/>
          <w:i/>
          <w:iCs/>
          <w:sz w:val="20"/>
          <w:szCs w:val="20"/>
        </w:rPr>
        <w:t xml:space="preserve"> ergo quod non </w:t>
      </w:r>
      <w:proofErr w:type="spellStart"/>
      <w:r w:rsidRPr="009D7635">
        <w:rPr>
          <w:rFonts w:ascii="Times New Roman" w:hAnsi="Times New Roman" w:cs="Times New Roman"/>
          <w:i/>
          <w:iCs/>
          <w:sz w:val="20"/>
          <w:szCs w:val="20"/>
        </w:rPr>
        <w:t>est</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convenientia</w:t>
      </w:r>
      <w:proofErr w:type="spellEnd"/>
      <w:r w:rsidRPr="009D7635">
        <w:rPr>
          <w:rFonts w:ascii="Times New Roman" w:hAnsi="Times New Roman" w:cs="Times New Roman"/>
          <w:i/>
          <w:iCs/>
          <w:sz w:val="20"/>
          <w:szCs w:val="20"/>
        </w:rPr>
        <w:t xml:space="preserve"> Dei et </w:t>
      </w:r>
      <w:proofErr w:type="spellStart"/>
      <w:r w:rsidRPr="009D7635">
        <w:rPr>
          <w:rFonts w:ascii="Times New Roman" w:hAnsi="Times New Roman" w:cs="Times New Roman"/>
          <w:i/>
          <w:iCs/>
          <w:sz w:val="20"/>
          <w:szCs w:val="20"/>
        </w:rPr>
        <w:t>creaturae</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secundum</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univocationem</w:t>
      </w:r>
      <w:proofErr w:type="spellEnd"/>
      <w:r w:rsidRPr="009D7635">
        <w:rPr>
          <w:rFonts w:ascii="Times New Roman" w:hAnsi="Times New Roman" w:cs="Times New Roman"/>
          <w:i/>
          <w:iCs/>
          <w:sz w:val="20"/>
          <w:szCs w:val="20"/>
        </w:rPr>
        <w:t xml:space="preserve">, sed per </w:t>
      </w:r>
      <w:proofErr w:type="spellStart"/>
      <w:r w:rsidRPr="009D7635">
        <w:rPr>
          <w:rFonts w:ascii="Times New Roman" w:hAnsi="Times New Roman" w:cs="Times New Roman"/>
          <w:i/>
          <w:iCs/>
          <w:sz w:val="20"/>
          <w:szCs w:val="20"/>
        </w:rPr>
        <w:t>analogiam</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ut</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si</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dicatur</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bonum</w:t>
      </w:r>
      <w:proofErr w:type="spellEnd"/>
      <w:r w:rsidRPr="009D7635">
        <w:rPr>
          <w:rFonts w:ascii="Times New Roman" w:hAnsi="Times New Roman" w:cs="Times New Roman"/>
          <w:i/>
          <w:iCs/>
          <w:sz w:val="20"/>
          <w:szCs w:val="20"/>
        </w:rPr>
        <w:t xml:space="preserve"> de </w:t>
      </w:r>
      <w:proofErr w:type="spellStart"/>
      <w:r w:rsidRPr="009D7635">
        <w:rPr>
          <w:rFonts w:ascii="Times New Roman" w:hAnsi="Times New Roman" w:cs="Times New Roman"/>
          <w:i/>
          <w:iCs/>
          <w:sz w:val="20"/>
          <w:szCs w:val="20"/>
        </w:rPr>
        <w:t>Deo</w:t>
      </w:r>
      <w:proofErr w:type="spellEnd"/>
      <w:r w:rsidRPr="009D7635">
        <w:rPr>
          <w:rFonts w:ascii="Times New Roman" w:hAnsi="Times New Roman" w:cs="Times New Roman"/>
          <w:i/>
          <w:iCs/>
          <w:sz w:val="20"/>
          <w:szCs w:val="20"/>
        </w:rPr>
        <w:t xml:space="preserve"> et de </w:t>
      </w:r>
      <w:proofErr w:type="spellStart"/>
      <w:r w:rsidRPr="009D7635">
        <w:rPr>
          <w:rFonts w:ascii="Times New Roman" w:hAnsi="Times New Roman" w:cs="Times New Roman"/>
          <w:i/>
          <w:iCs/>
          <w:sz w:val="20"/>
          <w:szCs w:val="20"/>
        </w:rPr>
        <w:t>creatura</w:t>
      </w:r>
      <w:proofErr w:type="spellEnd"/>
      <w:r w:rsidRPr="009D7635">
        <w:rPr>
          <w:rFonts w:ascii="Times New Roman" w:hAnsi="Times New Roman" w:cs="Times New Roman"/>
          <w:i/>
          <w:iCs/>
          <w:sz w:val="20"/>
          <w:szCs w:val="20"/>
        </w:rPr>
        <w:t xml:space="preserve">, de </w:t>
      </w:r>
      <w:proofErr w:type="spellStart"/>
      <w:r w:rsidRPr="009D7635">
        <w:rPr>
          <w:rFonts w:ascii="Times New Roman" w:hAnsi="Times New Roman" w:cs="Times New Roman"/>
          <w:i/>
          <w:iCs/>
          <w:sz w:val="20"/>
          <w:szCs w:val="20"/>
        </w:rPr>
        <w:t>Deo</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dicitur</w:t>
      </w:r>
      <w:proofErr w:type="spellEnd"/>
      <w:r w:rsidRPr="009D7635">
        <w:rPr>
          <w:rFonts w:ascii="Times New Roman" w:hAnsi="Times New Roman" w:cs="Times New Roman"/>
          <w:i/>
          <w:iCs/>
          <w:sz w:val="20"/>
          <w:szCs w:val="20"/>
        </w:rPr>
        <w:t xml:space="preserve"> per </w:t>
      </w:r>
      <w:proofErr w:type="spellStart"/>
      <w:r w:rsidRPr="009D7635">
        <w:rPr>
          <w:rFonts w:ascii="Times New Roman" w:hAnsi="Times New Roman" w:cs="Times New Roman"/>
          <w:i/>
          <w:iCs/>
          <w:sz w:val="20"/>
          <w:szCs w:val="20"/>
        </w:rPr>
        <w:t>naturam</w:t>
      </w:r>
      <w:proofErr w:type="spellEnd"/>
      <w:r w:rsidRPr="009D7635">
        <w:rPr>
          <w:rFonts w:ascii="Times New Roman" w:hAnsi="Times New Roman" w:cs="Times New Roman"/>
          <w:i/>
          <w:iCs/>
          <w:sz w:val="20"/>
          <w:szCs w:val="20"/>
        </w:rPr>
        <w:t xml:space="preserve">, de </w:t>
      </w:r>
      <w:proofErr w:type="spellStart"/>
      <w:r w:rsidRPr="009D7635">
        <w:rPr>
          <w:rFonts w:ascii="Times New Roman" w:hAnsi="Times New Roman" w:cs="Times New Roman"/>
          <w:i/>
          <w:iCs/>
          <w:sz w:val="20"/>
          <w:szCs w:val="20"/>
        </w:rPr>
        <w:t>creatura</w:t>
      </w:r>
      <w:proofErr w:type="spellEnd"/>
      <w:r w:rsidRPr="009D7635">
        <w:rPr>
          <w:rFonts w:ascii="Times New Roman" w:hAnsi="Times New Roman" w:cs="Times New Roman"/>
          <w:i/>
          <w:iCs/>
          <w:sz w:val="20"/>
          <w:szCs w:val="20"/>
        </w:rPr>
        <w:t xml:space="preserve"> per </w:t>
      </w:r>
      <w:proofErr w:type="spellStart"/>
      <w:r w:rsidRPr="009D7635">
        <w:rPr>
          <w:rFonts w:ascii="Times New Roman" w:hAnsi="Times New Roman" w:cs="Times New Roman"/>
          <w:i/>
          <w:iCs/>
          <w:sz w:val="20"/>
          <w:szCs w:val="20"/>
        </w:rPr>
        <w:t>participationem</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Similiter</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omne</w:t>
      </w:r>
      <w:proofErr w:type="spellEnd"/>
      <w:r w:rsidRPr="009D7635">
        <w:rPr>
          <w:rFonts w:ascii="Times New Roman" w:hAnsi="Times New Roman" w:cs="Times New Roman"/>
          <w:i/>
          <w:iCs/>
          <w:sz w:val="20"/>
          <w:szCs w:val="20"/>
        </w:rPr>
        <w:t xml:space="preserve"> </w:t>
      </w:r>
      <w:proofErr w:type="spellStart"/>
      <w:r w:rsidRPr="009D7635">
        <w:rPr>
          <w:rFonts w:ascii="Times New Roman" w:hAnsi="Times New Roman" w:cs="Times New Roman"/>
          <w:i/>
          <w:iCs/>
          <w:sz w:val="20"/>
          <w:szCs w:val="20"/>
        </w:rPr>
        <w:t>bonum</w:t>
      </w:r>
      <w:proofErr w:type="spellEnd"/>
      <w:r w:rsidRPr="009D7635">
        <w:rPr>
          <w:rFonts w:ascii="Times New Roman" w:hAnsi="Times New Roman" w:cs="Times New Roman"/>
          <w:i/>
          <w:iCs/>
          <w:sz w:val="20"/>
          <w:szCs w:val="20"/>
        </w:rPr>
        <w:t xml:space="preserve"> de </w:t>
      </w:r>
      <w:proofErr w:type="spellStart"/>
      <w:r w:rsidRPr="00BC05DD">
        <w:rPr>
          <w:rFonts w:ascii="Times New Roman" w:hAnsi="Times New Roman" w:cs="Times New Roman"/>
          <w:i/>
          <w:iCs/>
          <w:sz w:val="20"/>
          <w:szCs w:val="20"/>
        </w:rPr>
        <w:t>Deo</w:t>
      </w:r>
      <w:proofErr w:type="spellEnd"/>
      <w:r w:rsidRPr="00BC05DD">
        <w:rPr>
          <w:rFonts w:ascii="Times New Roman" w:hAnsi="Times New Roman" w:cs="Times New Roman"/>
          <w:i/>
          <w:iCs/>
          <w:sz w:val="20"/>
          <w:szCs w:val="20"/>
        </w:rPr>
        <w:t xml:space="preserve"> et de </w:t>
      </w:r>
      <w:proofErr w:type="spellStart"/>
      <w:r w:rsidRPr="00BC05DD">
        <w:rPr>
          <w:rFonts w:ascii="Times New Roman" w:hAnsi="Times New Roman" w:cs="Times New Roman"/>
          <w:i/>
          <w:iCs/>
          <w:sz w:val="20"/>
          <w:szCs w:val="20"/>
        </w:rPr>
        <w:t>creatura</w:t>
      </w:r>
      <w:proofErr w:type="spellEnd"/>
      <w:r w:rsidRPr="00BC05DD">
        <w:rPr>
          <w:rFonts w:ascii="Times New Roman" w:hAnsi="Times New Roman" w:cs="Times New Roman"/>
          <w:i/>
          <w:iCs/>
          <w:sz w:val="20"/>
          <w:szCs w:val="20"/>
        </w:rPr>
        <w:t xml:space="preserve"> </w:t>
      </w:r>
      <w:proofErr w:type="spellStart"/>
      <w:r w:rsidRPr="00BC05DD">
        <w:rPr>
          <w:rFonts w:ascii="Times New Roman" w:hAnsi="Times New Roman" w:cs="Times New Roman"/>
          <w:i/>
          <w:iCs/>
          <w:sz w:val="20"/>
          <w:szCs w:val="20"/>
        </w:rPr>
        <w:t>dicitur</w:t>
      </w:r>
      <w:proofErr w:type="spellEnd"/>
      <w:r w:rsidRPr="00BC05DD">
        <w:rPr>
          <w:rFonts w:ascii="Times New Roman" w:hAnsi="Times New Roman" w:cs="Times New Roman"/>
          <w:i/>
          <w:iCs/>
          <w:sz w:val="20"/>
          <w:szCs w:val="20"/>
        </w:rPr>
        <w:t xml:space="preserve"> </w:t>
      </w:r>
      <w:proofErr w:type="spellStart"/>
      <w:r w:rsidRPr="00BC05DD">
        <w:rPr>
          <w:rFonts w:ascii="Times New Roman" w:hAnsi="Times New Roman" w:cs="Times New Roman"/>
          <w:i/>
          <w:iCs/>
          <w:sz w:val="20"/>
          <w:szCs w:val="20"/>
        </w:rPr>
        <w:t>secundum</w:t>
      </w:r>
      <w:proofErr w:type="spellEnd"/>
      <w:r w:rsidRPr="00BC05DD">
        <w:rPr>
          <w:rFonts w:ascii="Times New Roman" w:hAnsi="Times New Roman" w:cs="Times New Roman"/>
          <w:i/>
          <w:iCs/>
          <w:sz w:val="20"/>
          <w:szCs w:val="20"/>
        </w:rPr>
        <w:t xml:space="preserve"> </w:t>
      </w:r>
      <w:proofErr w:type="spellStart"/>
      <w:r w:rsidRPr="00BC05DD">
        <w:rPr>
          <w:rFonts w:ascii="Times New Roman" w:hAnsi="Times New Roman" w:cs="Times New Roman"/>
          <w:i/>
          <w:iCs/>
          <w:sz w:val="20"/>
          <w:szCs w:val="20"/>
        </w:rPr>
        <w:t>analogiam</w:t>
      </w:r>
      <w:proofErr w:type="spellEnd"/>
      <w:r w:rsidRPr="00BC05DD">
        <w:rPr>
          <w:rFonts w:ascii="Times New Roman" w:hAnsi="Times New Roman" w:cs="Times New Roman"/>
          <w:i/>
          <w:iCs/>
          <w:sz w:val="20"/>
          <w:szCs w:val="20"/>
        </w:rPr>
        <w:t>.</w:t>
      </w:r>
    </w:p>
  </w:footnote>
  <w:footnote w:id="782">
    <w:p w14:paraId="3E456224" w14:textId="77777777" w:rsidR="0013558B" w:rsidRPr="00BC05DD" w:rsidRDefault="0013558B">
      <w:pPr>
        <w:pStyle w:val="FootnoteText"/>
        <w:rPr>
          <w:rFonts w:ascii="Times New Roman" w:hAnsi="Times New Roman" w:cs="Times New Roman"/>
        </w:rPr>
      </w:pPr>
      <w:r w:rsidRPr="00BC05DD">
        <w:rPr>
          <w:rStyle w:val="FootnoteReference"/>
          <w:rFonts w:ascii="Times New Roman" w:hAnsi="Times New Roman" w:cs="Times New Roman"/>
        </w:rPr>
        <w:footnoteRef/>
      </w:r>
      <w:r w:rsidRPr="00BC05DD">
        <w:rPr>
          <w:rFonts w:ascii="Times New Roman" w:hAnsi="Times New Roman" w:cs="Times New Roman"/>
        </w:rPr>
        <w:t xml:space="preserve"> See for example Neil Lewis, ‘The Problem of the Unicity of Truth in the Early Oxford Franciscan School,’ in </w:t>
      </w:r>
      <w:r w:rsidRPr="00BC05DD">
        <w:rPr>
          <w:rFonts w:ascii="Times New Roman" w:hAnsi="Times New Roman" w:cs="Times New Roman"/>
          <w:i/>
          <w:iCs/>
        </w:rPr>
        <w:t xml:space="preserve">Early Thirteenth-Century English Franciscan Thought, </w:t>
      </w:r>
      <w:r w:rsidRPr="00BC05DD">
        <w:rPr>
          <w:rFonts w:ascii="Times New Roman" w:hAnsi="Times New Roman" w:cs="Times New Roman"/>
        </w:rPr>
        <w:t xml:space="preserve">ed. Lydia Schumacher (Berlin: De Gruyter, 2021), 149-70. See also Jan A. </w:t>
      </w:r>
      <w:proofErr w:type="spellStart"/>
      <w:r w:rsidRPr="00BC05DD">
        <w:rPr>
          <w:rFonts w:ascii="Times New Roman" w:hAnsi="Times New Roman" w:cs="Times New Roman"/>
        </w:rPr>
        <w:t>Aersten</w:t>
      </w:r>
      <w:proofErr w:type="spellEnd"/>
      <w:r w:rsidRPr="00BC05DD">
        <w:rPr>
          <w:rFonts w:ascii="Times New Roman" w:hAnsi="Times New Roman" w:cs="Times New Roman"/>
        </w:rPr>
        <w:t xml:space="preserve">, </w:t>
      </w:r>
      <w:r w:rsidRPr="00BC05DD">
        <w:rPr>
          <w:rFonts w:ascii="Times New Roman" w:hAnsi="Times New Roman" w:cs="Times New Roman"/>
          <w:i/>
          <w:iCs/>
        </w:rPr>
        <w:t xml:space="preserve">Medieval Philosophy as Transcendental Thought, </w:t>
      </w:r>
      <w:r w:rsidRPr="00BC05DD">
        <w:rPr>
          <w:rFonts w:ascii="Times New Roman" w:hAnsi="Times New Roman" w:cs="Times New Roman"/>
        </w:rPr>
        <w:t>96.</w:t>
      </w:r>
    </w:p>
  </w:footnote>
  <w:footnote w:id="783">
    <w:p w14:paraId="76ECE9B6" w14:textId="4AC137AA" w:rsidR="005C3D2D" w:rsidRPr="00BC05DD" w:rsidRDefault="005C3D2D" w:rsidP="00576BD4">
      <w:pPr>
        <w:rPr>
          <w:rFonts w:ascii="Times New Roman" w:hAnsi="Times New Roman" w:cs="Times New Roman"/>
          <w:sz w:val="20"/>
          <w:szCs w:val="20"/>
        </w:rPr>
      </w:pPr>
      <w:r w:rsidRPr="00BC05DD">
        <w:rPr>
          <w:rStyle w:val="FootnoteReference"/>
          <w:rFonts w:ascii="Times New Roman" w:hAnsi="Times New Roman" w:cs="Times New Roman"/>
          <w:sz w:val="20"/>
          <w:szCs w:val="20"/>
        </w:rPr>
        <w:footnoteRef/>
      </w:r>
      <w:r w:rsidRPr="00BC05DD">
        <w:rPr>
          <w:rFonts w:ascii="Times New Roman" w:hAnsi="Times New Roman" w:cs="Times New Roman"/>
          <w:sz w:val="20"/>
          <w:szCs w:val="20"/>
        </w:rPr>
        <w:t xml:space="preserve"> </w:t>
      </w:r>
      <w:r w:rsidR="00364DE0" w:rsidRPr="00BC05DD">
        <w:rPr>
          <w:rFonts w:ascii="Times New Roman" w:hAnsi="Times New Roman" w:cs="Times New Roman"/>
          <w:sz w:val="20"/>
          <w:szCs w:val="20"/>
          <w:lang w:val="de-DE"/>
        </w:rPr>
        <w:t>Lydia Schumacher</w:t>
      </w:r>
      <w:r w:rsidR="00576BD4" w:rsidRPr="00BC05DD">
        <w:rPr>
          <w:rFonts w:ascii="Times New Roman" w:hAnsi="Times New Roman" w:cs="Times New Roman"/>
          <w:sz w:val="20"/>
          <w:szCs w:val="20"/>
          <w:lang w:val="de-DE"/>
        </w:rPr>
        <w:t xml:space="preserve">, </w:t>
      </w:r>
      <w:r w:rsidR="00576BD4" w:rsidRPr="00BC05DD">
        <w:rPr>
          <w:rFonts w:ascii="Times New Roman" w:hAnsi="Times New Roman" w:cs="Times New Roman"/>
          <w:sz w:val="20"/>
          <w:szCs w:val="20"/>
        </w:rPr>
        <w:t>‘Aquinas’ Five Ways: A Pastoral Interpretation</w:t>
      </w:r>
      <w:r w:rsidR="00F11E09">
        <w:rPr>
          <w:rFonts w:ascii="Times New Roman" w:hAnsi="Times New Roman" w:cs="Times New Roman"/>
          <w:sz w:val="20"/>
          <w:szCs w:val="20"/>
        </w:rPr>
        <w:t xml:space="preserve">,’ </w:t>
      </w:r>
      <w:r w:rsidR="00576BD4" w:rsidRPr="00BC05DD">
        <w:rPr>
          <w:rFonts w:ascii="Times New Roman" w:hAnsi="Times New Roman" w:cs="Times New Roman"/>
          <w:i/>
          <w:sz w:val="20"/>
          <w:szCs w:val="20"/>
        </w:rPr>
        <w:t xml:space="preserve">Theology </w:t>
      </w:r>
      <w:r w:rsidR="00576BD4" w:rsidRPr="00BC05DD">
        <w:rPr>
          <w:rFonts w:ascii="Times New Roman" w:hAnsi="Times New Roman" w:cs="Times New Roman"/>
          <w:sz w:val="20"/>
          <w:szCs w:val="20"/>
        </w:rPr>
        <w:t>119:1</w:t>
      </w:r>
      <w:r w:rsidR="00576BD4" w:rsidRPr="00BC05DD">
        <w:rPr>
          <w:rFonts w:ascii="Times New Roman" w:hAnsi="Times New Roman" w:cs="Times New Roman"/>
          <w:i/>
          <w:sz w:val="20"/>
          <w:szCs w:val="20"/>
        </w:rPr>
        <w:t xml:space="preserve"> </w:t>
      </w:r>
      <w:r w:rsidR="00576BD4" w:rsidRPr="00BC05DD">
        <w:rPr>
          <w:rFonts w:ascii="Times New Roman" w:hAnsi="Times New Roman" w:cs="Times New Roman"/>
          <w:sz w:val="20"/>
          <w:szCs w:val="20"/>
        </w:rPr>
        <w:t>(2016), 26-33.</w:t>
      </w:r>
    </w:p>
  </w:footnote>
  <w:footnote w:id="784">
    <w:p w14:paraId="3CA7B22E" w14:textId="2E9854EA" w:rsidR="00731B4B" w:rsidRPr="009D7635" w:rsidRDefault="00731B4B" w:rsidP="00554494">
      <w:pPr>
        <w:autoSpaceDE w:val="0"/>
        <w:autoSpaceDN w:val="0"/>
        <w:adjustRightInd w:val="0"/>
        <w:rPr>
          <w:rFonts w:ascii="Times New Roman" w:hAnsi="Times New Roman" w:cs="Times New Roman"/>
          <w:sz w:val="20"/>
          <w:szCs w:val="20"/>
        </w:rPr>
      </w:pPr>
      <w:r w:rsidRPr="00BC05DD">
        <w:rPr>
          <w:rStyle w:val="FootnoteReference"/>
          <w:rFonts w:ascii="Times New Roman" w:hAnsi="Times New Roman" w:cs="Times New Roman"/>
          <w:sz w:val="20"/>
          <w:szCs w:val="20"/>
        </w:rPr>
        <w:footnoteRef/>
      </w:r>
      <w:r w:rsidR="009665BD" w:rsidRPr="00BC05DD">
        <w:rPr>
          <w:rFonts w:ascii="Times New Roman" w:hAnsi="Times New Roman" w:cs="Times New Roman"/>
          <w:sz w:val="20"/>
          <w:szCs w:val="20"/>
        </w:rPr>
        <w:t xml:space="preserve">SH </w:t>
      </w:r>
      <w:r w:rsidRPr="00BC05DD">
        <w:rPr>
          <w:rFonts w:ascii="Times New Roman" w:hAnsi="Times New Roman" w:cs="Times New Roman"/>
          <w:sz w:val="20"/>
          <w:szCs w:val="20"/>
        </w:rPr>
        <w:t>1, Tr3</w:t>
      </w:r>
      <w:r w:rsidRPr="009D7635">
        <w:rPr>
          <w:rFonts w:ascii="Times New Roman" w:hAnsi="Times New Roman" w:cs="Times New Roman"/>
          <w:sz w:val="20"/>
          <w:szCs w:val="20"/>
        </w:rPr>
        <w:t xml:space="preserve">, Q1, M1, C1, </w:t>
      </w:r>
      <w:proofErr w:type="spellStart"/>
      <w:r w:rsidRPr="009D7635">
        <w:rPr>
          <w:rFonts w:ascii="Times New Roman" w:hAnsi="Times New Roman" w:cs="Times New Roman"/>
          <w:sz w:val="20"/>
          <w:szCs w:val="20"/>
        </w:rPr>
        <w:t>Respondeo</w:t>
      </w:r>
      <w:proofErr w:type="spellEnd"/>
      <w:r w:rsidRPr="009D7635">
        <w:rPr>
          <w:rFonts w:ascii="Times New Roman" w:hAnsi="Times New Roman" w:cs="Times New Roman"/>
          <w:sz w:val="20"/>
          <w:szCs w:val="20"/>
        </w:rPr>
        <w:t xml:space="preserve"> II</w:t>
      </w:r>
      <w:r w:rsidR="00404ADB" w:rsidRPr="009D7635">
        <w:rPr>
          <w:rFonts w:ascii="Times New Roman" w:hAnsi="Times New Roman" w:cs="Times New Roman"/>
          <w:sz w:val="20"/>
          <w:szCs w:val="20"/>
        </w:rPr>
        <w:t>,</w:t>
      </w:r>
      <w:r w:rsidRPr="009D7635">
        <w:rPr>
          <w:rFonts w:ascii="Times New Roman" w:hAnsi="Times New Roman" w:cs="Times New Roman"/>
          <w:sz w:val="20"/>
          <w:szCs w:val="20"/>
        </w:rPr>
        <w:t xml:space="preserve"> 113: II. Jacob </w:t>
      </w:r>
      <w:r w:rsidR="00554494" w:rsidRPr="009D7635">
        <w:rPr>
          <w:rFonts w:ascii="Times New Roman" w:hAnsi="Times New Roman" w:cs="Times New Roman"/>
          <w:sz w:val="20"/>
          <w:szCs w:val="20"/>
        </w:rPr>
        <w:t xml:space="preserve">W. </w:t>
      </w:r>
      <w:r w:rsidRPr="009D7635">
        <w:rPr>
          <w:rFonts w:ascii="Times New Roman" w:hAnsi="Times New Roman" w:cs="Times New Roman"/>
          <w:sz w:val="20"/>
          <w:szCs w:val="20"/>
        </w:rPr>
        <w:t>Wood</w:t>
      </w:r>
      <w:r w:rsidR="00554494" w:rsidRPr="009D7635">
        <w:rPr>
          <w:rFonts w:ascii="Times New Roman" w:hAnsi="Times New Roman" w:cs="Times New Roman"/>
          <w:sz w:val="20"/>
          <w:szCs w:val="20"/>
        </w:rPr>
        <w:t>, ‘</w:t>
      </w:r>
      <w:proofErr w:type="spellStart"/>
      <w:r w:rsidR="00554494" w:rsidRPr="009D7635">
        <w:rPr>
          <w:rFonts w:ascii="Times New Roman" w:hAnsi="Times New Roman" w:cs="Times New Roman"/>
          <w:sz w:val="20"/>
          <w:szCs w:val="20"/>
        </w:rPr>
        <w:t>Kataphasis</w:t>
      </w:r>
      <w:proofErr w:type="spellEnd"/>
      <w:r w:rsidR="00554494" w:rsidRPr="009D7635">
        <w:rPr>
          <w:rFonts w:ascii="Times New Roman" w:hAnsi="Times New Roman" w:cs="Times New Roman"/>
          <w:sz w:val="20"/>
          <w:szCs w:val="20"/>
        </w:rPr>
        <w:t xml:space="preserve"> and </w:t>
      </w:r>
      <w:proofErr w:type="spellStart"/>
      <w:r w:rsidR="00554494" w:rsidRPr="009D7635">
        <w:rPr>
          <w:rFonts w:ascii="Times New Roman" w:hAnsi="Times New Roman" w:cs="Times New Roman"/>
          <w:sz w:val="20"/>
          <w:szCs w:val="20"/>
        </w:rPr>
        <w:t>Apophasis</w:t>
      </w:r>
      <w:proofErr w:type="spellEnd"/>
      <w:r w:rsidR="00554494" w:rsidRPr="009D7635">
        <w:rPr>
          <w:rFonts w:ascii="Times New Roman" w:hAnsi="Times New Roman" w:cs="Times New Roman"/>
          <w:sz w:val="20"/>
          <w:szCs w:val="20"/>
        </w:rPr>
        <w:t xml:space="preserve"> in Thirteenth Century Theology: The Anthropological Context of the Triplex Via in the </w:t>
      </w:r>
      <w:r w:rsidR="00554494" w:rsidRPr="009D7635">
        <w:rPr>
          <w:rFonts w:ascii="Times New Roman" w:hAnsi="Times New Roman" w:cs="Times New Roman"/>
          <w:i/>
          <w:iCs/>
          <w:sz w:val="20"/>
          <w:szCs w:val="20"/>
        </w:rPr>
        <w:t xml:space="preserve">Summa </w:t>
      </w:r>
      <w:proofErr w:type="spellStart"/>
      <w:r w:rsidR="00554494" w:rsidRPr="009D7635">
        <w:rPr>
          <w:rFonts w:ascii="Times New Roman" w:hAnsi="Times New Roman" w:cs="Times New Roman"/>
          <w:i/>
          <w:iCs/>
          <w:sz w:val="20"/>
          <w:szCs w:val="20"/>
        </w:rPr>
        <w:t>fratris</w:t>
      </w:r>
      <w:proofErr w:type="spellEnd"/>
      <w:r w:rsidR="00554494" w:rsidRPr="009D7635">
        <w:rPr>
          <w:rFonts w:ascii="Times New Roman" w:hAnsi="Times New Roman" w:cs="Times New Roman"/>
          <w:i/>
          <w:iCs/>
          <w:sz w:val="20"/>
          <w:szCs w:val="20"/>
        </w:rPr>
        <w:t xml:space="preserve"> </w:t>
      </w:r>
      <w:proofErr w:type="spellStart"/>
      <w:r w:rsidR="00554494" w:rsidRPr="009D7635">
        <w:rPr>
          <w:rFonts w:ascii="Times New Roman" w:hAnsi="Times New Roman" w:cs="Times New Roman"/>
          <w:i/>
          <w:iCs/>
          <w:sz w:val="20"/>
          <w:szCs w:val="20"/>
        </w:rPr>
        <w:t>Alexandri</w:t>
      </w:r>
      <w:proofErr w:type="spellEnd"/>
      <w:r w:rsidR="00554494" w:rsidRPr="009D7635">
        <w:rPr>
          <w:rFonts w:ascii="Times New Roman" w:hAnsi="Times New Roman" w:cs="Times New Roman"/>
          <w:sz w:val="20"/>
          <w:szCs w:val="20"/>
        </w:rPr>
        <w:t xml:space="preserve"> and Albert the Great,’ </w:t>
      </w:r>
      <w:r w:rsidR="00554494" w:rsidRPr="009D7635">
        <w:rPr>
          <w:rFonts w:ascii="Times New Roman" w:hAnsi="Times New Roman" w:cs="Times New Roman"/>
          <w:i/>
          <w:iCs/>
          <w:sz w:val="20"/>
          <w:szCs w:val="20"/>
        </w:rPr>
        <w:t xml:space="preserve">The </w:t>
      </w:r>
      <w:proofErr w:type="spellStart"/>
      <w:r w:rsidR="00554494" w:rsidRPr="009D7635">
        <w:rPr>
          <w:rFonts w:ascii="Times New Roman" w:hAnsi="Times New Roman" w:cs="Times New Roman"/>
          <w:i/>
          <w:iCs/>
          <w:sz w:val="20"/>
          <w:szCs w:val="20"/>
        </w:rPr>
        <w:t>Heythrop</w:t>
      </w:r>
      <w:proofErr w:type="spellEnd"/>
      <w:r w:rsidR="00554494" w:rsidRPr="009D7635">
        <w:rPr>
          <w:rFonts w:ascii="Times New Roman" w:hAnsi="Times New Roman" w:cs="Times New Roman"/>
          <w:i/>
          <w:iCs/>
          <w:sz w:val="20"/>
          <w:szCs w:val="20"/>
        </w:rPr>
        <w:t xml:space="preserve"> Journal</w:t>
      </w:r>
      <w:r w:rsidR="00554494" w:rsidRPr="009D7635">
        <w:rPr>
          <w:rFonts w:ascii="Times New Roman" w:hAnsi="Times New Roman" w:cs="Times New Roman"/>
          <w:sz w:val="20"/>
          <w:szCs w:val="20"/>
        </w:rPr>
        <w:t xml:space="preserve"> 57 (2016)</w:t>
      </w:r>
      <w:r w:rsidR="00995E04" w:rsidRPr="009D7635">
        <w:rPr>
          <w:rFonts w:ascii="Times New Roman" w:hAnsi="Times New Roman" w:cs="Times New Roman"/>
          <w:sz w:val="20"/>
          <w:szCs w:val="20"/>
        </w:rPr>
        <w:t>:</w:t>
      </w:r>
      <w:r w:rsidR="00554494" w:rsidRPr="009D7635">
        <w:rPr>
          <w:rFonts w:ascii="Times New Roman" w:hAnsi="Times New Roman" w:cs="Times New Roman"/>
          <w:sz w:val="20"/>
          <w:szCs w:val="20"/>
        </w:rPr>
        <w:t xml:space="preserve"> 293–311.</w:t>
      </w:r>
    </w:p>
  </w:footnote>
  <w:footnote w:id="785">
    <w:p w14:paraId="62499F9E"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color w:val="000000" w:themeColor="text1"/>
        </w:rPr>
        <w:t xml:space="preserve"> 278: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signacio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luminis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similitudinis</w:t>
      </w:r>
      <w:proofErr w:type="spellEnd"/>
      <w:r w:rsidRPr="009D7635">
        <w:rPr>
          <w:rFonts w:ascii="Times New Roman" w:hAnsi="Times New Roman" w:cs="Times New Roman"/>
          <w:i/>
          <w:color w:val="000000" w:themeColor="text1"/>
        </w:rPr>
        <w:t xml:space="preserve"> divine; </w:t>
      </w:r>
      <w:proofErr w:type="spellStart"/>
      <w:r w:rsidRPr="009D7635">
        <w:rPr>
          <w:rFonts w:ascii="Times New Roman" w:hAnsi="Times New Roman" w:cs="Times New Roman"/>
          <w:i/>
          <w:color w:val="000000" w:themeColor="text1"/>
        </w:rPr>
        <w:t>habemus</w:t>
      </w:r>
      <w:proofErr w:type="spellEnd"/>
      <w:r w:rsidRPr="009D7635">
        <w:rPr>
          <w:rFonts w:ascii="Times New Roman" w:hAnsi="Times New Roman" w:cs="Times New Roman"/>
          <w:i/>
          <w:color w:val="000000" w:themeColor="text1"/>
        </w:rPr>
        <w:t xml:space="preserve"> ergo lumen </w:t>
      </w:r>
      <w:proofErr w:type="spellStart"/>
      <w:r w:rsidRPr="009D7635">
        <w:rPr>
          <w:rFonts w:ascii="Times New Roman" w:hAnsi="Times New Roman" w:cs="Times New Roman"/>
          <w:i/>
          <w:color w:val="000000" w:themeColor="text1"/>
        </w:rPr>
        <w:t>impressum</w:t>
      </w:r>
      <w:proofErr w:type="spellEnd"/>
      <w:r w:rsidRPr="009D7635">
        <w:rPr>
          <w:rFonts w:ascii="Times New Roman" w:hAnsi="Times New Roman" w:cs="Times New Roman"/>
          <w:i/>
          <w:color w:val="000000" w:themeColor="text1"/>
        </w:rPr>
        <w:t xml:space="preserve"> a </w:t>
      </w:r>
      <w:proofErr w:type="spellStart"/>
      <w:r w:rsidRPr="009D7635">
        <w:rPr>
          <w:rFonts w:ascii="Times New Roman" w:hAnsi="Times New Roman" w:cs="Times New Roman"/>
          <w:i/>
          <w:color w:val="000000" w:themeColor="text1"/>
        </w:rPr>
        <w:t>creacione</w:t>
      </w:r>
      <w:proofErr w:type="spellEnd"/>
      <w:r w:rsidRPr="009D7635">
        <w:rPr>
          <w:rFonts w:ascii="Times New Roman" w:hAnsi="Times New Roman" w:cs="Times New Roman"/>
          <w:i/>
          <w:color w:val="000000" w:themeColor="text1"/>
        </w:rPr>
        <w:t xml:space="preserve"> ad </w:t>
      </w:r>
      <w:proofErr w:type="spellStart"/>
      <w:r w:rsidRPr="009D7635">
        <w:rPr>
          <w:rFonts w:ascii="Times New Roman" w:hAnsi="Times New Roman" w:cs="Times New Roman"/>
          <w:i/>
          <w:color w:val="000000" w:themeColor="text1"/>
        </w:rPr>
        <w:t>cognoscenda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intelligibilia</w:t>
      </w:r>
      <w:proofErr w:type="spellEnd"/>
      <w:r w:rsidRPr="009D7635">
        <w:rPr>
          <w:rFonts w:ascii="Times New Roman" w:hAnsi="Times New Roman" w:cs="Times New Roman"/>
          <w:i/>
          <w:color w:val="000000" w:themeColor="text1"/>
        </w:rPr>
        <w:t xml:space="preserve">; sed hoc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quod </w:t>
      </w:r>
      <w:proofErr w:type="spellStart"/>
      <w:r w:rsidRPr="009D7635">
        <w:rPr>
          <w:rFonts w:ascii="Times New Roman" w:hAnsi="Times New Roman" w:cs="Times New Roman"/>
          <w:i/>
          <w:color w:val="000000" w:themeColor="text1"/>
        </w:rPr>
        <w:t>diciums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intellectum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agentem</w:t>
      </w:r>
      <w:proofErr w:type="spellEnd"/>
      <w:r w:rsidRPr="009D7635">
        <w:rPr>
          <w:rFonts w:ascii="Times New Roman" w:hAnsi="Times New Roman" w:cs="Times New Roman"/>
          <w:i/>
          <w:color w:val="000000" w:themeColor="text1"/>
        </w:rPr>
        <w:t>.</w:t>
      </w:r>
    </w:p>
  </w:footnote>
  <w:footnote w:id="786">
    <w:p w14:paraId="4E8B1729" w14:textId="146CBF7C" w:rsidR="00B93ED5" w:rsidRPr="009D7635" w:rsidRDefault="00B93ED5" w:rsidP="00DC2360">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F351D7" w:rsidRPr="009D7635">
        <w:rPr>
          <w:rFonts w:ascii="Times New Roman" w:hAnsi="Times New Roman" w:cs="Times New Roman"/>
          <w:iCs/>
          <w:color w:val="000000" w:themeColor="text1"/>
          <w:sz w:val="20"/>
          <w:szCs w:val="20"/>
        </w:rPr>
        <w:t>Ibid.</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277: </w:t>
      </w:r>
      <w:proofErr w:type="spellStart"/>
      <w:r w:rsidRPr="009D7635">
        <w:rPr>
          <w:rFonts w:ascii="Times New Roman" w:hAnsi="Times New Roman" w:cs="Times New Roman"/>
          <w:i/>
          <w:color w:val="000000" w:themeColor="text1"/>
          <w:sz w:val="20"/>
          <w:szCs w:val="20"/>
          <w:lang w:val="en-US"/>
        </w:rPr>
        <w:t>Omne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quod exit de </w:t>
      </w:r>
      <w:proofErr w:type="spellStart"/>
      <w:r w:rsidRPr="009D7635">
        <w:rPr>
          <w:rFonts w:ascii="Times New Roman" w:hAnsi="Times New Roman" w:cs="Times New Roman"/>
          <w:i/>
          <w:color w:val="000000" w:themeColor="text1"/>
          <w:sz w:val="20"/>
          <w:szCs w:val="20"/>
          <w:lang w:val="en-US"/>
        </w:rPr>
        <w:t>potencia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effectum</w:t>
      </w:r>
      <w:proofErr w:type="spellEnd"/>
      <w:r w:rsidRPr="009D7635">
        <w:rPr>
          <w:rFonts w:ascii="Times New Roman" w:hAnsi="Times New Roman" w:cs="Times New Roman"/>
          <w:i/>
          <w:color w:val="000000" w:themeColor="text1"/>
          <w:sz w:val="20"/>
          <w:szCs w:val="20"/>
          <w:lang w:val="en-US"/>
        </w:rPr>
        <w:t xml:space="preserve">, non exit </w:t>
      </w:r>
      <w:proofErr w:type="spellStart"/>
      <w:r w:rsidRPr="009D7635">
        <w:rPr>
          <w:rFonts w:ascii="Times New Roman" w:hAnsi="Times New Roman" w:cs="Times New Roman"/>
          <w:i/>
          <w:color w:val="000000" w:themeColor="text1"/>
          <w:sz w:val="20"/>
          <w:szCs w:val="20"/>
          <w:lang w:val="en-US"/>
        </w:rPr>
        <w:t>nisi</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causam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educit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illud</w:t>
      </w:r>
      <w:proofErr w:type="spellEnd"/>
      <w:r w:rsidRPr="009D7635">
        <w:rPr>
          <w:rFonts w:ascii="Times New Roman" w:hAnsi="Times New Roman" w:cs="Times New Roman"/>
          <w:i/>
          <w:color w:val="000000" w:themeColor="text1"/>
          <w:sz w:val="20"/>
          <w:szCs w:val="20"/>
          <w:lang w:val="en-US"/>
        </w:rPr>
        <w:t xml:space="preserve"> de </w:t>
      </w:r>
      <w:proofErr w:type="spellStart"/>
      <w:r w:rsidRPr="009D7635">
        <w:rPr>
          <w:rFonts w:ascii="Times New Roman" w:hAnsi="Times New Roman" w:cs="Times New Roman"/>
          <w:i/>
          <w:color w:val="000000" w:themeColor="text1"/>
          <w:sz w:val="20"/>
          <w:szCs w:val="20"/>
          <w:lang w:val="en-US"/>
        </w:rPr>
        <w:t>potencia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effectum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ergo </w:t>
      </w:r>
      <w:proofErr w:type="spellStart"/>
      <w:r w:rsidRPr="009D7635">
        <w:rPr>
          <w:rFonts w:ascii="Times New Roman" w:hAnsi="Times New Roman" w:cs="Times New Roman"/>
          <w:i/>
          <w:color w:val="000000" w:themeColor="text1"/>
          <w:sz w:val="20"/>
          <w:szCs w:val="20"/>
          <w:lang w:val="en-US"/>
        </w:rPr>
        <w:t>hec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causa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quare</w:t>
      </w:r>
      <w:proofErr w:type="spellEnd"/>
      <w:r w:rsidRPr="009D7635">
        <w:rPr>
          <w:rFonts w:ascii="Times New Roman" w:hAnsi="Times New Roman" w:cs="Times New Roman"/>
          <w:i/>
          <w:color w:val="000000" w:themeColor="text1"/>
          <w:sz w:val="20"/>
          <w:szCs w:val="20"/>
          <w:lang w:val="en-US"/>
        </w:rPr>
        <w:t xml:space="preserve"> anime </w:t>
      </w:r>
      <w:proofErr w:type="spellStart"/>
      <w:r w:rsidRPr="009D7635">
        <w:rPr>
          <w:rFonts w:ascii="Times New Roman" w:hAnsi="Times New Roman" w:cs="Times New Roman"/>
          <w:i/>
          <w:color w:val="000000" w:themeColor="text1"/>
          <w:sz w:val="20"/>
          <w:szCs w:val="20"/>
          <w:lang w:val="en-US"/>
        </w:rPr>
        <w:t>nostre</w:t>
      </w:r>
      <w:proofErr w:type="spellEnd"/>
      <w:r w:rsidRPr="009D7635">
        <w:rPr>
          <w:rFonts w:ascii="Times New Roman" w:hAnsi="Times New Roman" w:cs="Times New Roman"/>
          <w:i/>
          <w:color w:val="000000" w:themeColor="text1"/>
          <w:sz w:val="20"/>
          <w:szCs w:val="20"/>
          <w:lang w:val="en-US"/>
        </w:rPr>
        <w:t xml:space="preserve"> in rebus </w:t>
      </w:r>
      <w:proofErr w:type="spellStart"/>
      <w:r w:rsidRPr="009D7635">
        <w:rPr>
          <w:rFonts w:ascii="Times New Roman" w:hAnsi="Times New Roman" w:cs="Times New Roman"/>
          <w:i/>
          <w:color w:val="000000" w:themeColor="text1"/>
          <w:sz w:val="20"/>
          <w:szCs w:val="20"/>
          <w:lang w:val="en-US"/>
        </w:rPr>
        <w:t>intelligibilibus</w:t>
      </w:r>
      <w:proofErr w:type="spellEnd"/>
      <w:r w:rsidRPr="009D7635">
        <w:rPr>
          <w:rFonts w:ascii="Times New Roman" w:hAnsi="Times New Roman" w:cs="Times New Roman"/>
          <w:i/>
          <w:color w:val="000000" w:themeColor="text1"/>
          <w:sz w:val="20"/>
          <w:szCs w:val="20"/>
          <w:lang w:val="en-US"/>
        </w:rPr>
        <w:t xml:space="preserve"> exeunt de </w:t>
      </w:r>
      <w:proofErr w:type="spellStart"/>
      <w:r w:rsidRPr="009D7635">
        <w:rPr>
          <w:rFonts w:ascii="Times New Roman" w:hAnsi="Times New Roman" w:cs="Times New Roman"/>
          <w:i/>
          <w:color w:val="000000" w:themeColor="text1"/>
          <w:sz w:val="20"/>
          <w:szCs w:val="20"/>
          <w:lang w:val="en-US"/>
        </w:rPr>
        <w:t>potencia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effectum</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causa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dandi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intelligibilem</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nisi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intelligencia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effectu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necessario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igitur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Cf.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color w:val="000000" w:themeColor="text1"/>
          <w:sz w:val="20"/>
          <w:szCs w:val="20"/>
        </w:rPr>
        <w:t xml:space="preserve">, 88, citing Avicenna, </w:t>
      </w:r>
      <w:r w:rsidRPr="009D7635">
        <w:rPr>
          <w:rFonts w:ascii="Times New Roman" w:hAnsi="Times New Roman" w:cs="Times New Roman"/>
          <w:i/>
          <w:color w:val="000000" w:themeColor="text1"/>
          <w:sz w:val="20"/>
          <w:szCs w:val="20"/>
        </w:rPr>
        <w:t xml:space="preserve">De anima </w:t>
      </w:r>
      <w:r w:rsidRPr="009D7635">
        <w:rPr>
          <w:rFonts w:ascii="Times New Roman" w:hAnsi="Times New Roman" w:cs="Times New Roman"/>
          <w:color w:val="000000" w:themeColor="text1"/>
          <w:sz w:val="20"/>
          <w:szCs w:val="20"/>
        </w:rPr>
        <w:t>I.5.</w:t>
      </w:r>
    </w:p>
  </w:footnote>
  <w:footnote w:id="787">
    <w:p w14:paraId="0BF4880F" w14:textId="437C1E6F"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351D7" w:rsidRPr="009D7635">
        <w:rPr>
          <w:rFonts w:ascii="Times New Roman" w:hAnsi="Times New Roman" w:cs="Times New Roman"/>
          <w:iCs/>
          <w:color w:val="000000" w:themeColor="text1"/>
        </w:rPr>
        <w:t>Ibid.,</w:t>
      </w:r>
      <w:r w:rsidR="00F351D7"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278.</w:t>
      </w:r>
    </w:p>
  </w:footnote>
  <w:footnote w:id="788">
    <w:p w14:paraId="3F14566E" w14:textId="7D7726AF"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E33285" w:rsidRPr="009D7635">
        <w:rPr>
          <w:rFonts w:ascii="Times New Roman" w:hAnsi="Times New Roman" w:cs="Times New Roman"/>
          <w:iCs/>
          <w:color w:val="000000" w:themeColor="text1"/>
        </w:rPr>
        <w:t>Ibid.,</w:t>
      </w:r>
      <w:r w:rsidR="00E33285"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279: </w:t>
      </w:r>
      <w:proofErr w:type="spellStart"/>
      <w:r w:rsidRPr="009D7635">
        <w:rPr>
          <w:rFonts w:ascii="Times New Roman" w:hAnsi="Times New Roman" w:cs="Times New Roman"/>
          <w:i/>
          <w:color w:val="000000" w:themeColor="text1"/>
        </w:rPr>
        <w:t>Respectu</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horum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intelligibilium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que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excedunt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intellectum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humanum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omnino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dicitur</w:t>
      </w:r>
      <w:proofErr w:type="spellEnd"/>
      <w:r w:rsidRPr="009D7635">
        <w:rPr>
          <w:rFonts w:ascii="Times New Roman" w:hAnsi="Times New Roman" w:cs="Times New Roman"/>
          <w:i/>
          <w:color w:val="000000" w:themeColor="text1"/>
        </w:rPr>
        <w:t xml:space="preserve"> Deus </w:t>
      </w:r>
      <w:proofErr w:type="spellStart"/>
      <w:r w:rsidRPr="009D7635">
        <w:rPr>
          <w:rFonts w:ascii="Times New Roman" w:hAnsi="Times New Roman" w:cs="Times New Roman"/>
          <w:i/>
          <w:color w:val="000000" w:themeColor="text1"/>
        </w:rPr>
        <w:t>intellectus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agens</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Cf.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color w:val="000000" w:themeColor="text1"/>
        </w:rPr>
        <w:t>, 91.</w:t>
      </w:r>
    </w:p>
  </w:footnote>
  <w:footnote w:id="789">
    <w:p w14:paraId="0A448F88" w14:textId="1F8682F1"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E33285" w:rsidRPr="009D7635">
        <w:rPr>
          <w:rFonts w:ascii="Times New Roman" w:hAnsi="Times New Roman" w:cs="Times New Roman"/>
          <w:iCs/>
          <w:color w:val="000000" w:themeColor="text1"/>
          <w:sz w:val="20"/>
          <w:szCs w:val="20"/>
        </w:rPr>
        <w:t>Ibid.,</w:t>
      </w:r>
      <w:r w:rsidR="00E33285"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280: </w:t>
      </w:r>
      <w:r w:rsidRPr="009D7635">
        <w:rPr>
          <w:rFonts w:ascii="Times New Roman" w:hAnsi="Times New Roman" w:cs="Times New Roman"/>
          <w:i/>
          <w:color w:val="000000" w:themeColor="text1"/>
          <w:sz w:val="20"/>
          <w:szCs w:val="20"/>
          <w:lang w:val="en-US"/>
        </w:rPr>
        <w:t xml:space="preserve">Ad </w:t>
      </w:r>
      <w:proofErr w:type="spellStart"/>
      <w:r w:rsidRPr="009D7635">
        <w:rPr>
          <w:rFonts w:ascii="Times New Roman" w:hAnsi="Times New Roman" w:cs="Times New Roman"/>
          <w:i/>
          <w:color w:val="000000" w:themeColor="text1"/>
          <w:sz w:val="20"/>
          <w:szCs w:val="20"/>
          <w:lang w:val="en-US"/>
        </w:rPr>
        <w:t>cognoscenda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infra se, non </w:t>
      </w:r>
      <w:proofErr w:type="spellStart"/>
      <w:r w:rsidRPr="009D7635">
        <w:rPr>
          <w:rFonts w:ascii="Times New Roman" w:hAnsi="Times New Roman" w:cs="Times New Roman"/>
          <w:i/>
          <w:color w:val="000000" w:themeColor="text1"/>
          <w:sz w:val="20"/>
          <w:szCs w:val="20"/>
          <w:lang w:val="en-US"/>
        </w:rPr>
        <w:t>indiget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similiter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lumine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intelligencie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sit extra se. Cum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humani</w:t>
      </w:r>
      <w:proofErr w:type="spellEnd"/>
      <w:r w:rsidRPr="009D7635">
        <w:rPr>
          <w:rFonts w:ascii="Times New Roman" w:hAnsi="Times New Roman" w:cs="Times New Roman"/>
          <w:i/>
          <w:color w:val="000000" w:themeColor="text1"/>
          <w:sz w:val="20"/>
          <w:szCs w:val="20"/>
          <w:lang w:val="en-US"/>
        </w:rPr>
        <w:t xml:space="preserve"> superior sit rebus </w:t>
      </w:r>
      <w:proofErr w:type="spellStart"/>
      <w:r w:rsidRPr="009D7635">
        <w:rPr>
          <w:rFonts w:ascii="Times New Roman" w:hAnsi="Times New Roman" w:cs="Times New Roman"/>
          <w:i/>
          <w:color w:val="000000" w:themeColor="text1"/>
          <w:sz w:val="20"/>
          <w:szCs w:val="20"/>
          <w:lang w:val="en-US"/>
        </w:rPr>
        <w:t>corporalibus</w:t>
      </w:r>
      <w:proofErr w:type="spellEnd"/>
      <w:r w:rsidRPr="009D7635">
        <w:rPr>
          <w:rFonts w:ascii="Times New Roman" w:hAnsi="Times New Roman" w:cs="Times New Roman"/>
          <w:i/>
          <w:color w:val="000000" w:themeColor="text1"/>
          <w:sz w:val="20"/>
          <w:szCs w:val="20"/>
          <w:lang w:val="en-US"/>
        </w:rPr>
        <w:t xml:space="preserve">, superior </w:t>
      </w:r>
      <w:proofErr w:type="spellStart"/>
      <w:r w:rsidRPr="009D7635">
        <w:rPr>
          <w:rFonts w:ascii="Times New Roman" w:hAnsi="Times New Roman" w:cs="Times New Roman"/>
          <w:i/>
          <w:color w:val="000000" w:themeColor="text1"/>
          <w:sz w:val="20"/>
          <w:szCs w:val="20"/>
          <w:lang w:val="en-US"/>
        </w:rPr>
        <w:t>eciam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incorporalibus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in ipsa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subiecto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utpote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habitus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disposiciones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affectiones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ideo</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hec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comprehendenda</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necessaria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illuminacio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substancie</w:t>
      </w:r>
      <w:proofErr w:type="spellEnd"/>
      <w:r w:rsidRPr="009D7635">
        <w:rPr>
          <w:rFonts w:ascii="Times New Roman" w:hAnsi="Times New Roman" w:cs="Times New Roman"/>
          <w:i/>
          <w:color w:val="000000" w:themeColor="text1"/>
          <w:sz w:val="20"/>
          <w:szCs w:val="20"/>
          <w:lang w:val="en-US"/>
        </w:rPr>
        <w:t xml:space="preserve"> separate, sed </w:t>
      </w:r>
      <w:proofErr w:type="spellStart"/>
      <w:r w:rsidRPr="009D7635">
        <w:rPr>
          <w:rFonts w:ascii="Times New Roman" w:hAnsi="Times New Roman" w:cs="Times New Roman"/>
          <w:i/>
          <w:color w:val="000000" w:themeColor="text1"/>
          <w:sz w:val="20"/>
          <w:szCs w:val="20"/>
          <w:lang w:val="en-US"/>
        </w:rPr>
        <w:t>sufficit</w:t>
      </w:r>
      <w:proofErr w:type="spellEnd"/>
      <w:r w:rsidRPr="009D7635">
        <w:rPr>
          <w:rFonts w:ascii="Times New Roman" w:hAnsi="Times New Roman" w:cs="Times New Roman"/>
          <w:i/>
          <w:color w:val="000000" w:themeColor="text1"/>
          <w:sz w:val="20"/>
          <w:szCs w:val="20"/>
          <w:lang w:val="en-US"/>
        </w:rPr>
        <w:t xml:space="preserve"> lumen </w:t>
      </w:r>
      <w:proofErr w:type="spellStart"/>
      <w:r w:rsidRPr="009D7635">
        <w:rPr>
          <w:rFonts w:ascii="Times New Roman" w:hAnsi="Times New Roman" w:cs="Times New Roman"/>
          <w:i/>
          <w:color w:val="000000" w:themeColor="text1"/>
          <w:sz w:val="20"/>
          <w:szCs w:val="20"/>
          <w:lang w:val="en-US"/>
        </w:rPr>
        <w:t>internum</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agens</w:t>
      </w:r>
      <w:proofErr w:type="spellEnd"/>
      <w:r w:rsidRPr="009D7635">
        <w:rPr>
          <w:rFonts w:ascii="Times New Roman" w:hAnsi="Times New Roman" w:cs="Times New Roman"/>
          <w:i/>
          <w:color w:val="000000" w:themeColor="text1"/>
          <w:sz w:val="20"/>
          <w:szCs w:val="20"/>
          <w:lang w:val="en-US"/>
        </w:rPr>
        <w:t xml:space="preserve">, vis anime </w:t>
      </w:r>
      <w:proofErr w:type="spellStart"/>
      <w:r w:rsidRPr="009D7635">
        <w:rPr>
          <w:rFonts w:ascii="Times New Roman" w:hAnsi="Times New Roman" w:cs="Times New Roman"/>
          <w:i/>
          <w:color w:val="000000" w:themeColor="text1"/>
          <w:sz w:val="20"/>
          <w:szCs w:val="20"/>
          <w:lang w:val="en-US"/>
        </w:rPr>
        <w:t>suprema</w:t>
      </w:r>
      <w:proofErr w:type="spellEnd"/>
      <w:r w:rsidRPr="009D7635">
        <w:rPr>
          <w:rFonts w:ascii="Times New Roman" w:hAnsi="Times New Roman" w:cs="Times New Roman"/>
          <w:i/>
          <w:color w:val="000000" w:themeColor="text1"/>
          <w:sz w:val="20"/>
          <w:szCs w:val="20"/>
          <w:lang w:val="en-US"/>
        </w:rPr>
        <w:t xml:space="preserve"> de qua fit </w:t>
      </w:r>
      <w:proofErr w:type="spellStart"/>
      <w:r w:rsidRPr="009D7635">
        <w:rPr>
          <w:rFonts w:ascii="Times New Roman" w:hAnsi="Times New Roman" w:cs="Times New Roman"/>
          <w:i/>
          <w:color w:val="000000" w:themeColor="text1"/>
          <w:sz w:val="20"/>
          <w:szCs w:val="20"/>
          <w:lang w:val="en-US"/>
        </w:rPr>
        <w:t>hic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sermo</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Cf.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color w:val="000000" w:themeColor="text1"/>
          <w:sz w:val="20"/>
          <w:szCs w:val="20"/>
        </w:rPr>
        <w:t>, 90.</w:t>
      </w:r>
    </w:p>
  </w:footnote>
  <w:footnote w:id="790">
    <w:p w14:paraId="03431885" w14:textId="6E2D097B"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William of Auvergne,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 xml:space="preserve">in </w:t>
      </w:r>
      <w:proofErr w:type="spellStart"/>
      <w:r w:rsidRPr="009D7635">
        <w:rPr>
          <w:rFonts w:ascii="Times New Roman" w:hAnsi="Times New Roman" w:cs="Times New Roman"/>
          <w:i/>
          <w:iCs/>
          <w:color w:val="000000" w:themeColor="text1"/>
          <w:lang w:val="it-IT"/>
        </w:rPr>
        <w:t>Guillelmi</w:t>
      </w:r>
      <w:proofErr w:type="spellEnd"/>
      <w:r w:rsidRPr="009D7635">
        <w:rPr>
          <w:rFonts w:ascii="Times New Roman" w:hAnsi="Times New Roman" w:cs="Times New Roman"/>
          <w:i/>
          <w:iCs/>
          <w:color w:val="000000" w:themeColor="text1"/>
          <w:lang w:val="it-IT"/>
        </w:rPr>
        <w:t xml:space="preserve"> </w:t>
      </w:r>
      <w:proofErr w:type="spellStart"/>
      <w:r w:rsidRPr="009D7635">
        <w:rPr>
          <w:rFonts w:ascii="Times New Roman" w:hAnsi="Times New Roman" w:cs="Times New Roman"/>
          <w:i/>
          <w:iCs/>
          <w:color w:val="000000" w:themeColor="text1"/>
          <w:lang w:val="it-IT"/>
        </w:rPr>
        <w:t>Alverni</w:t>
      </w:r>
      <w:proofErr w:type="spellEnd"/>
      <w:r w:rsidRPr="009D7635">
        <w:rPr>
          <w:rFonts w:ascii="Times New Roman" w:hAnsi="Times New Roman" w:cs="Times New Roman"/>
          <w:i/>
          <w:iCs/>
          <w:color w:val="000000" w:themeColor="text1"/>
          <w:lang w:val="it-IT"/>
        </w:rPr>
        <w:t xml:space="preserve"> Opera omnia</w:t>
      </w:r>
      <w:r w:rsidRPr="009D7635">
        <w:rPr>
          <w:rFonts w:ascii="Times New Roman" w:hAnsi="Times New Roman" w:cs="Times New Roman"/>
          <w:color w:val="000000" w:themeColor="text1"/>
          <w:lang w:val="it-IT"/>
        </w:rPr>
        <w:t xml:space="preserve">, vol. 2 (Paris, 1674); trans. Roland J. </w:t>
      </w:r>
      <w:proofErr w:type="spellStart"/>
      <w:r w:rsidRPr="009D7635">
        <w:rPr>
          <w:rFonts w:ascii="Times New Roman" w:hAnsi="Times New Roman" w:cs="Times New Roman"/>
          <w:color w:val="000000" w:themeColor="text1"/>
          <w:lang w:val="it-IT"/>
        </w:rPr>
        <w:t>Teske</w:t>
      </w:r>
      <w:proofErr w:type="spellEnd"/>
      <w:r w:rsidRPr="009D7635">
        <w:rPr>
          <w:rFonts w:ascii="Times New Roman" w:hAnsi="Times New Roman" w:cs="Times New Roman"/>
          <w:color w:val="000000" w:themeColor="text1"/>
          <w:lang w:val="it-IT"/>
        </w:rPr>
        <w:t xml:space="preserve">, </w:t>
      </w:r>
      <w:r w:rsidRPr="009D7635">
        <w:rPr>
          <w:rFonts w:ascii="Times New Roman" w:hAnsi="Times New Roman" w:cs="Times New Roman"/>
          <w:i/>
          <w:iCs/>
          <w:color w:val="000000" w:themeColor="text1"/>
          <w:lang w:val="en-US"/>
        </w:rPr>
        <w:t xml:space="preserve">The Soul </w:t>
      </w:r>
      <w:r w:rsidRPr="009D7635">
        <w:rPr>
          <w:rFonts w:ascii="Times New Roman" w:hAnsi="Times New Roman" w:cs="Times New Roman"/>
          <w:color w:val="000000" w:themeColor="text1"/>
          <w:lang w:val="en-US"/>
        </w:rPr>
        <w:t>(Milwaukee: Marquette University Press, 2000)</w:t>
      </w:r>
      <w:r w:rsidRPr="009D7635">
        <w:rPr>
          <w:rFonts w:ascii="Times New Roman" w:hAnsi="Times New Roman" w:cs="Times New Roman"/>
          <w:color w:val="000000" w:themeColor="text1"/>
          <w:lang w:val="it-IT"/>
        </w:rPr>
        <w:t xml:space="preserve">. </w:t>
      </w:r>
      <w:r w:rsidRPr="009D7635">
        <w:rPr>
          <w:rFonts w:ascii="Times New Roman" w:hAnsi="Times New Roman" w:cs="Times New Roman"/>
          <w:color w:val="000000" w:themeColor="text1"/>
        </w:rPr>
        <w:t xml:space="preserve">Ernest A. Moody, </w:t>
      </w:r>
      <w:r w:rsidRPr="009D7635">
        <w:rPr>
          <w:rFonts w:ascii="Times New Roman" w:hAnsi="Times New Roman" w:cs="Times New Roman"/>
          <w:color w:val="000000" w:themeColor="text1"/>
          <w:lang w:val="en-US"/>
        </w:rPr>
        <w:t xml:space="preserve">‘William of Auvergne and His Treatise </w:t>
      </w:r>
      <w:r w:rsidRPr="009D7635">
        <w:rPr>
          <w:rFonts w:ascii="Times New Roman" w:hAnsi="Times New Roman" w:cs="Times New Roman"/>
          <w:i/>
          <w:iCs/>
          <w:color w:val="000000" w:themeColor="text1"/>
          <w:lang w:val="en-US"/>
        </w:rPr>
        <w:t>De anima</w:t>
      </w:r>
      <w:r w:rsidRPr="009D7635">
        <w:rPr>
          <w:rFonts w:ascii="Times New Roman" w:hAnsi="Times New Roman" w:cs="Times New Roman"/>
          <w:color w:val="000000" w:themeColor="text1"/>
          <w:lang w:val="en-US"/>
        </w:rPr>
        <w:t>,’</w:t>
      </w:r>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lang w:val="en-US"/>
        </w:rPr>
        <w:t xml:space="preserve">in </w:t>
      </w:r>
      <w:r w:rsidRPr="009D7635">
        <w:rPr>
          <w:rFonts w:ascii="Times New Roman" w:hAnsi="Times New Roman" w:cs="Times New Roman"/>
          <w:i/>
          <w:iCs/>
          <w:color w:val="000000" w:themeColor="text1"/>
          <w:lang w:val="en-US"/>
        </w:rPr>
        <w:t>Studies in Medieval Philosophy, Science, and Logic</w:t>
      </w:r>
      <w:r w:rsidRPr="009D7635">
        <w:rPr>
          <w:rFonts w:ascii="Times New Roman" w:hAnsi="Times New Roman" w:cs="Times New Roman"/>
          <w:color w:val="000000" w:themeColor="text1"/>
          <w:lang w:val="en-US"/>
        </w:rPr>
        <w:t>,</w:t>
      </w:r>
      <w:r w:rsidRPr="009D7635">
        <w:rPr>
          <w:rFonts w:ascii="Times New Roman" w:hAnsi="Times New Roman" w:cs="Times New Roman"/>
          <w:i/>
          <w:iCs/>
          <w:color w:val="000000" w:themeColor="text1"/>
          <w:lang w:val="en-US"/>
        </w:rPr>
        <w:t xml:space="preserve"> </w:t>
      </w:r>
      <w:r w:rsidRPr="009D7635">
        <w:rPr>
          <w:rFonts w:ascii="Times New Roman" w:hAnsi="Times New Roman" w:cs="Times New Roman"/>
          <w:color w:val="000000" w:themeColor="text1"/>
          <w:lang w:val="en-US"/>
        </w:rPr>
        <w:t xml:space="preserve">ed. Ernest A. Moody (Berkeley: University of California Press, 1975). Roland J. </w:t>
      </w:r>
      <w:proofErr w:type="spellStart"/>
      <w:r w:rsidRPr="009D7635">
        <w:rPr>
          <w:rFonts w:ascii="Times New Roman" w:hAnsi="Times New Roman" w:cs="Times New Roman"/>
          <w:color w:val="000000" w:themeColor="text1"/>
          <w:lang w:val="en-US"/>
        </w:rPr>
        <w:t>Teske</w:t>
      </w:r>
      <w:proofErr w:type="spellEnd"/>
      <w:r w:rsidRPr="009D7635">
        <w:rPr>
          <w:rFonts w:ascii="Times New Roman" w:hAnsi="Times New Roman" w:cs="Times New Roman"/>
          <w:color w:val="000000" w:themeColor="text1"/>
          <w:lang w:val="en-US"/>
        </w:rPr>
        <w:t xml:space="preserve">, ‘William of Auvergne’s Debt to Avicenna,’ in Roland J. </w:t>
      </w:r>
      <w:proofErr w:type="spellStart"/>
      <w:r w:rsidRPr="009D7635">
        <w:rPr>
          <w:rFonts w:ascii="Times New Roman" w:hAnsi="Times New Roman" w:cs="Times New Roman"/>
          <w:color w:val="000000" w:themeColor="text1"/>
          <w:lang w:val="en-US"/>
        </w:rPr>
        <w:t>Teske</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i/>
          <w:iCs/>
          <w:color w:val="000000" w:themeColor="text1"/>
          <w:lang w:val="en-US"/>
        </w:rPr>
        <w:t xml:space="preserve">Studies in the Philosophy of William of Auvergne, Bishop of Paris 1228-1249 </w:t>
      </w:r>
      <w:r w:rsidRPr="009D7635">
        <w:rPr>
          <w:rFonts w:ascii="Times New Roman" w:hAnsi="Times New Roman" w:cs="Times New Roman"/>
          <w:color w:val="000000" w:themeColor="text1"/>
          <w:lang w:val="en-US"/>
        </w:rPr>
        <w:t>(Milwaukee: Marquette University Press, 2006), 217-37</w:t>
      </w:r>
      <w:r w:rsidR="008A6469" w:rsidRPr="009D7635">
        <w:rPr>
          <w:rFonts w:ascii="Times New Roman" w:hAnsi="Times New Roman" w:cs="Times New Roman"/>
          <w:color w:val="000000" w:themeColor="text1"/>
          <w:lang w:val="en-US"/>
        </w:rPr>
        <w:t>.</w:t>
      </w:r>
    </w:p>
  </w:footnote>
  <w:footnote w:id="791">
    <w:p w14:paraId="40105E10"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7.3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xml:space="preserve">, 429); William also objects and with the comparison between the material intellect and matter, which has a relationship of potency to all forms without having any forms as such.  </w:t>
      </w:r>
    </w:p>
  </w:footnote>
  <w:footnote w:id="792">
    <w:p w14:paraId="4EF56B0C" w14:textId="77777777" w:rsidR="00B93ED5" w:rsidRPr="009D7635" w:rsidRDefault="00B93ED5" w:rsidP="00E212D3">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Étienne Gilson, </w:t>
      </w:r>
      <w:r w:rsidRPr="009D7635">
        <w:rPr>
          <w:rFonts w:ascii="Times New Roman" w:hAnsi="Times New Roman" w:cs="Times New Roman"/>
          <w:i/>
          <w:color w:val="000000" w:themeColor="text1"/>
          <w:sz w:val="20"/>
          <w:szCs w:val="20"/>
        </w:rPr>
        <w:t xml:space="preserve">History of Christian Philosophy in the Middle Ages </w:t>
      </w:r>
      <w:r w:rsidRPr="009D7635">
        <w:rPr>
          <w:rFonts w:ascii="Times New Roman" w:hAnsi="Times New Roman" w:cs="Times New Roman"/>
          <w:color w:val="000000" w:themeColor="text1"/>
          <w:sz w:val="20"/>
          <w:szCs w:val="20"/>
        </w:rPr>
        <w:t xml:space="preserve">(New York: Random House, 1955, 256). Stephen P. </w:t>
      </w:r>
      <w:proofErr w:type="spellStart"/>
      <w:r w:rsidRPr="009D7635">
        <w:rPr>
          <w:rFonts w:ascii="Times New Roman" w:hAnsi="Times New Roman" w:cs="Times New Roman"/>
          <w:color w:val="000000" w:themeColor="text1"/>
          <w:sz w:val="20"/>
          <w:szCs w:val="20"/>
        </w:rPr>
        <w:t>Marrone</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William of Auvergne and Robert </w:t>
      </w:r>
      <w:proofErr w:type="spellStart"/>
      <w:r w:rsidRPr="009D7635">
        <w:rPr>
          <w:rFonts w:ascii="Times New Roman" w:hAnsi="Times New Roman" w:cs="Times New Roman"/>
          <w:i/>
          <w:color w:val="000000" w:themeColor="text1"/>
          <w:sz w:val="20"/>
          <w:szCs w:val="20"/>
        </w:rPr>
        <w:t>Grosseteste</w:t>
      </w:r>
      <w:proofErr w:type="spellEnd"/>
      <w:r w:rsidRPr="009D7635">
        <w:rPr>
          <w:rFonts w:ascii="Times New Roman" w:hAnsi="Times New Roman" w:cs="Times New Roman"/>
          <w:i/>
          <w:color w:val="000000" w:themeColor="text1"/>
          <w:sz w:val="20"/>
          <w:szCs w:val="20"/>
        </w:rPr>
        <w:t xml:space="preserve">: New Ideas of Truth in the Thirteenth Century </w:t>
      </w:r>
      <w:r w:rsidRPr="009D7635">
        <w:rPr>
          <w:rFonts w:ascii="Times New Roman" w:hAnsi="Times New Roman" w:cs="Times New Roman"/>
          <w:color w:val="000000" w:themeColor="text1"/>
          <w:sz w:val="20"/>
          <w:szCs w:val="20"/>
        </w:rPr>
        <w:t>(Princeton: Princeton University Press, 1983), 58.</w:t>
      </w:r>
    </w:p>
  </w:footnote>
  <w:footnote w:id="793">
    <w:p w14:paraId="2266E86C"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7.3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430).</w:t>
      </w:r>
    </w:p>
  </w:footnote>
  <w:footnote w:id="794">
    <w:p w14:paraId="0B5F5887" w14:textId="4B6179C4" w:rsidR="00B93ED5" w:rsidRPr="009D7635" w:rsidRDefault="00B93ED5" w:rsidP="00E716F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These are the words of Filipe da Silva to me. See also José Filipe Silva, ‘Medieval Theories of Active Perception: An Overview,’ in </w:t>
      </w:r>
      <w:r w:rsidRPr="009D7635">
        <w:rPr>
          <w:rFonts w:ascii="Times New Roman" w:hAnsi="Times New Roman" w:cs="Times New Roman"/>
          <w:i/>
          <w:iCs/>
          <w:color w:val="000000" w:themeColor="text1"/>
        </w:rPr>
        <w:t xml:space="preserve">Active Perception in the History of Philosophy: From Plato to Modern Philosophy, </w:t>
      </w:r>
      <w:r w:rsidRPr="009D7635">
        <w:rPr>
          <w:rFonts w:ascii="Times New Roman" w:hAnsi="Times New Roman" w:cs="Times New Roman"/>
          <w:color w:val="000000" w:themeColor="text1"/>
        </w:rPr>
        <w:t xml:space="preserve">ed. José Filipe Silva and Mikko </w:t>
      </w:r>
      <w:proofErr w:type="spellStart"/>
      <w:r w:rsidRPr="009D7635">
        <w:rPr>
          <w:rFonts w:ascii="Times New Roman" w:hAnsi="Times New Roman" w:cs="Times New Roman"/>
          <w:color w:val="000000" w:themeColor="text1"/>
        </w:rPr>
        <w:t>Yrjönsuuri</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(New York: Springer, 2014), 123: ‘The human soul does not receive anything from external physical objects. Instead, the intellect, excited (</w:t>
      </w:r>
      <w:proofErr w:type="spellStart"/>
      <w:r w:rsidRPr="009D7635">
        <w:rPr>
          <w:rFonts w:ascii="Times New Roman" w:hAnsi="Times New Roman" w:cs="Times New Roman"/>
          <w:i/>
          <w:iCs/>
          <w:color w:val="000000" w:themeColor="text1"/>
        </w:rPr>
        <w:t>excitatus</w:t>
      </w:r>
      <w:proofErr w:type="spellEnd"/>
      <w:r w:rsidRPr="009D7635">
        <w:rPr>
          <w:rFonts w:ascii="Times New Roman" w:hAnsi="Times New Roman" w:cs="Times New Roman"/>
          <w:color w:val="000000" w:themeColor="text1"/>
        </w:rPr>
        <w:t>) by the presence of things that are external to the senses, makes swiftly (</w:t>
      </w:r>
      <w:proofErr w:type="spellStart"/>
      <w:r w:rsidRPr="009D7635">
        <w:rPr>
          <w:rFonts w:ascii="Times New Roman" w:hAnsi="Times New Roman" w:cs="Times New Roman"/>
          <w:i/>
          <w:iCs/>
          <w:color w:val="000000" w:themeColor="text1"/>
        </w:rPr>
        <w:t>mira</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velocitate</w:t>
      </w:r>
      <w:proofErr w:type="spellEnd"/>
      <w:r w:rsidRPr="009D7635">
        <w:rPr>
          <w:rFonts w:ascii="Times New Roman" w:hAnsi="Times New Roman" w:cs="Times New Roman"/>
          <w:color w:val="000000" w:themeColor="text1"/>
        </w:rPr>
        <w:t xml:space="preserve">) images of them. The action of the external things provides the occasion to the soul to exercise/execute its…inclination for knowledge.’ Da Silva provides another exceptionally clear account of William’s views on cognition in ‘The Chameleonic Mind:  The Activity versus the Actuality of Perception,’ in </w:t>
      </w:r>
      <w:r w:rsidRPr="009D7635">
        <w:rPr>
          <w:rFonts w:ascii="Times New Roman" w:hAnsi="Times New Roman" w:cs="Times New Roman"/>
          <w:i/>
          <w:iCs/>
          <w:color w:val="000000" w:themeColor="text1"/>
        </w:rPr>
        <w:t>Medieval Perceptual Puzzles: Theories of Sense Perception in the 13</w:t>
      </w:r>
      <w:r w:rsidRPr="009D7635">
        <w:rPr>
          <w:rFonts w:ascii="Times New Roman" w:hAnsi="Times New Roman" w:cs="Times New Roman"/>
          <w:i/>
          <w:iCs/>
          <w:color w:val="000000" w:themeColor="text1"/>
          <w:vertAlign w:val="superscript"/>
        </w:rPr>
        <w:t>th</w:t>
      </w:r>
      <w:r w:rsidRPr="009D7635">
        <w:rPr>
          <w:rFonts w:ascii="Times New Roman" w:hAnsi="Times New Roman" w:cs="Times New Roman"/>
          <w:i/>
          <w:iCs/>
          <w:color w:val="000000" w:themeColor="text1"/>
        </w:rPr>
        <w:t xml:space="preserve"> and 14</w:t>
      </w:r>
      <w:r w:rsidRPr="009D7635">
        <w:rPr>
          <w:rFonts w:ascii="Times New Roman" w:hAnsi="Times New Roman" w:cs="Times New Roman"/>
          <w:i/>
          <w:iCs/>
          <w:color w:val="000000" w:themeColor="text1"/>
          <w:vertAlign w:val="superscript"/>
        </w:rPr>
        <w:t>th</w:t>
      </w:r>
      <w:r w:rsidRPr="009D7635">
        <w:rPr>
          <w:rFonts w:ascii="Times New Roman" w:hAnsi="Times New Roman" w:cs="Times New Roman"/>
          <w:i/>
          <w:iCs/>
          <w:color w:val="000000" w:themeColor="text1"/>
        </w:rPr>
        <w:t xml:space="preserve"> Centuries, </w:t>
      </w:r>
      <w:r w:rsidRPr="009D7635">
        <w:rPr>
          <w:rFonts w:ascii="Times New Roman" w:hAnsi="Times New Roman" w:cs="Times New Roman"/>
          <w:color w:val="000000" w:themeColor="text1"/>
        </w:rPr>
        <w:t xml:space="preserve">ed. Elena </w:t>
      </w:r>
      <w:proofErr w:type="spellStart"/>
      <w:r w:rsidRPr="009D7635">
        <w:rPr>
          <w:rFonts w:ascii="Times New Roman" w:hAnsi="Times New Roman" w:cs="Times New Roman"/>
          <w:color w:val="000000" w:themeColor="text1"/>
        </w:rPr>
        <w:t>Baltuta</w:t>
      </w:r>
      <w:proofErr w:type="spellEnd"/>
      <w:r w:rsidRPr="009D7635">
        <w:rPr>
          <w:rFonts w:ascii="Times New Roman" w:hAnsi="Times New Roman" w:cs="Times New Roman"/>
          <w:color w:val="000000" w:themeColor="text1"/>
        </w:rPr>
        <w:t xml:space="preserve"> (Leiden:  Brill, 2020), 43-46. </w:t>
      </w:r>
    </w:p>
  </w:footnote>
  <w:footnote w:id="795">
    <w:p w14:paraId="60EF3AE5"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7.7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xml:space="preserve">, 449): </w:t>
      </w:r>
      <w:r w:rsidRPr="009D7635">
        <w:rPr>
          <w:rFonts w:ascii="Times New Roman" w:hAnsi="Times New Roman" w:cs="Times New Roman"/>
          <w:color w:val="000000" w:themeColor="text1"/>
          <w:lang w:val="en-US"/>
        </w:rPr>
        <w:t>forms self-generated; 5.7 (</w:t>
      </w:r>
      <w:proofErr w:type="spellStart"/>
      <w:r w:rsidRPr="009D7635">
        <w:rPr>
          <w:rFonts w:ascii="Times New Roman" w:hAnsi="Times New Roman" w:cs="Times New Roman"/>
          <w:color w:val="000000" w:themeColor="text1"/>
          <w:lang w:val="en-US"/>
        </w:rPr>
        <w:t>Teske</w:t>
      </w:r>
      <w:proofErr w:type="spellEnd"/>
      <w:r w:rsidRPr="009D7635">
        <w:rPr>
          <w:rFonts w:ascii="Times New Roman" w:hAnsi="Times New Roman" w:cs="Times New Roman"/>
          <w:color w:val="000000" w:themeColor="text1"/>
          <w:lang w:val="en-US"/>
        </w:rPr>
        <w:t>, 203), 5.15 (</w:t>
      </w:r>
      <w:proofErr w:type="spellStart"/>
      <w:r w:rsidRPr="009D7635">
        <w:rPr>
          <w:rFonts w:ascii="Times New Roman" w:hAnsi="Times New Roman" w:cs="Times New Roman"/>
          <w:color w:val="000000" w:themeColor="text1"/>
          <w:lang w:val="en-US"/>
        </w:rPr>
        <w:t>Teske</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rPr>
        <w:t>241): through reflection on the body.</w:t>
      </w:r>
    </w:p>
  </w:footnote>
  <w:footnote w:id="796">
    <w:p w14:paraId="54B33DDB"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7.4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434).</w:t>
      </w:r>
    </w:p>
  </w:footnote>
  <w:footnote w:id="797">
    <w:p w14:paraId="7B58CC27"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Ernest A. Moody, ’William of Auvergne and His Treatise </w:t>
      </w:r>
      <w:r w:rsidRPr="009D7635">
        <w:rPr>
          <w:rFonts w:ascii="Times New Roman" w:hAnsi="Times New Roman" w:cs="Times New Roman"/>
          <w:i/>
          <w:iCs/>
          <w:color w:val="000000" w:themeColor="text1"/>
          <w:lang w:val="en-US"/>
        </w:rPr>
        <w:t xml:space="preserve">De Anima,’ </w:t>
      </w:r>
      <w:r w:rsidRPr="009D7635">
        <w:rPr>
          <w:rFonts w:ascii="Times New Roman" w:hAnsi="Times New Roman" w:cs="Times New Roman"/>
          <w:color w:val="000000" w:themeColor="text1"/>
        </w:rPr>
        <w:t xml:space="preserve">46. </w:t>
      </w:r>
      <w:r w:rsidRPr="009D7635">
        <w:rPr>
          <w:rFonts w:ascii="Times New Roman" w:hAnsi="Times New Roman" w:cs="Times New Roman"/>
          <w:color w:val="000000" w:themeColor="text1"/>
          <w:lang w:val="en-US"/>
        </w:rPr>
        <w:t xml:space="preserve">Roland J. </w:t>
      </w:r>
      <w:proofErr w:type="spellStart"/>
      <w:r w:rsidRPr="009D7635">
        <w:rPr>
          <w:rFonts w:ascii="Times New Roman" w:hAnsi="Times New Roman" w:cs="Times New Roman"/>
          <w:color w:val="000000" w:themeColor="text1"/>
          <w:lang w:val="en-US"/>
        </w:rPr>
        <w:t>Teske</w:t>
      </w:r>
      <w:proofErr w:type="spellEnd"/>
      <w:r w:rsidRPr="009D7635">
        <w:rPr>
          <w:rFonts w:ascii="Times New Roman" w:hAnsi="Times New Roman" w:cs="Times New Roman"/>
          <w:color w:val="000000" w:themeColor="text1"/>
          <w:lang w:val="en-US"/>
        </w:rPr>
        <w:t xml:space="preserve">, ‘William of Auvergne’s Spiritualist Concept of the Human Being,’ in </w:t>
      </w:r>
      <w:proofErr w:type="spellStart"/>
      <w:r w:rsidRPr="009D7635">
        <w:rPr>
          <w:rFonts w:ascii="Times New Roman" w:hAnsi="Times New Roman" w:cs="Times New Roman"/>
          <w:i/>
          <w:iCs/>
          <w:color w:val="000000" w:themeColor="text1"/>
          <w:lang w:val="en-US"/>
        </w:rPr>
        <w:t>Autour</w:t>
      </w:r>
      <w:proofErr w:type="spellEnd"/>
      <w:r w:rsidRPr="009D7635">
        <w:rPr>
          <w:rFonts w:ascii="Times New Roman" w:hAnsi="Times New Roman" w:cs="Times New Roman"/>
          <w:i/>
          <w:iCs/>
          <w:color w:val="000000" w:themeColor="text1"/>
          <w:lang w:val="en-US"/>
        </w:rPr>
        <w:t xml:space="preserve"> de Guillaume d'Auvergne († 1249),</w:t>
      </w:r>
      <w:r w:rsidRPr="009D7635">
        <w:rPr>
          <w:rFonts w:ascii="Times New Roman" w:hAnsi="Times New Roman" w:cs="Times New Roman"/>
          <w:color w:val="000000" w:themeColor="text1"/>
          <w:lang w:val="en-US"/>
        </w:rPr>
        <w:t xml:space="preserve"> ed. Franco </w:t>
      </w:r>
      <w:proofErr w:type="spellStart"/>
      <w:r w:rsidRPr="009D7635">
        <w:rPr>
          <w:rFonts w:ascii="Times New Roman" w:hAnsi="Times New Roman" w:cs="Times New Roman"/>
          <w:color w:val="000000" w:themeColor="text1"/>
          <w:lang w:val="en-US"/>
        </w:rPr>
        <w:t>Morenzoni</w:t>
      </w:r>
      <w:proofErr w:type="spellEnd"/>
      <w:r w:rsidRPr="009D7635">
        <w:rPr>
          <w:rFonts w:ascii="Times New Roman" w:hAnsi="Times New Roman" w:cs="Times New Roman"/>
          <w:color w:val="000000" w:themeColor="text1"/>
          <w:lang w:val="en-US"/>
        </w:rPr>
        <w:t xml:space="preserve"> and Jean-Yves </w:t>
      </w:r>
      <w:proofErr w:type="spellStart"/>
      <w:r w:rsidRPr="009D7635">
        <w:rPr>
          <w:rFonts w:ascii="Times New Roman" w:hAnsi="Times New Roman" w:cs="Times New Roman"/>
          <w:color w:val="000000" w:themeColor="text1"/>
          <w:lang w:val="en-US"/>
        </w:rPr>
        <w:t>Tilliette</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Turnhout</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Brepols</w:t>
      </w:r>
      <w:proofErr w:type="spellEnd"/>
      <w:r w:rsidRPr="009D7635">
        <w:rPr>
          <w:rFonts w:ascii="Times New Roman" w:hAnsi="Times New Roman" w:cs="Times New Roman"/>
          <w:color w:val="000000" w:themeColor="text1"/>
          <w:lang w:val="en-US"/>
        </w:rPr>
        <w:t>, 2005), 35-53.</w:t>
      </w:r>
    </w:p>
  </w:footnote>
  <w:footnote w:id="798">
    <w:p w14:paraId="189CECF5"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7.14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xml:space="preserve">, 470). </w:t>
      </w:r>
    </w:p>
  </w:footnote>
  <w:footnote w:id="799">
    <w:p w14:paraId="573B1EFC"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7.4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434).</w:t>
      </w:r>
    </w:p>
  </w:footnote>
  <w:footnote w:id="800">
    <w:p w14:paraId="12209B4B"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7.6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445).</w:t>
      </w:r>
    </w:p>
  </w:footnote>
  <w:footnote w:id="801">
    <w:p w14:paraId="07F23563" w14:textId="79884F97" w:rsidR="00B93ED5" w:rsidRPr="009D7635" w:rsidRDefault="00B93ED5" w:rsidP="00E212D3">
      <w:pPr>
        <w:autoSpaceDE w:val="0"/>
        <w:autoSpaceDN w:val="0"/>
        <w:adjustRightInd w:val="0"/>
        <w:ind w:right="-72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Summa de anima</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52: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naturam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unibilitatis</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quam</w:t>
      </w:r>
      <w:proofErr w:type="spellEnd"/>
      <w:r w:rsidRPr="009D7635">
        <w:rPr>
          <w:rFonts w:ascii="Times New Roman" w:hAnsi="Times New Roman" w:cs="Times New Roman"/>
          <w:i/>
          <w:color w:val="000000" w:themeColor="text1"/>
          <w:sz w:val="20"/>
          <w:szCs w:val="20"/>
          <w:lang w:val="en-US"/>
        </w:rPr>
        <w:t xml:space="preserve"> corpus </w:t>
      </w:r>
      <w:proofErr w:type="spellStart"/>
      <w:r w:rsidRPr="009D7635">
        <w:rPr>
          <w:rFonts w:ascii="Times New Roman" w:hAnsi="Times New Roman" w:cs="Times New Roman"/>
          <w:i/>
          <w:color w:val="000000" w:themeColor="text1"/>
          <w:sz w:val="20"/>
          <w:szCs w:val="20"/>
          <w:lang w:val="en-US"/>
        </w:rPr>
        <w:t>animando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vivificat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quedam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qua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spiritus.</w:t>
      </w:r>
      <w:r w:rsidRPr="009D7635">
        <w:rPr>
          <w:rFonts w:ascii="Times New Roman" w:hAnsi="Times New Roman" w:cs="Times New Roman"/>
          <w:color w:val="000000" w:themeColor="text1"/>
          <w:sz w:val="20"/>
          <w:szCs w:val="20"/>
          <w:lang w:val="en-US"/>
        </w:rPr>
        <w:t xml:space="preserve"> </w:t>
      </w:r>
    </w:p>
  </w:footnote>
  <w:footnote w:id="802">
    <w:p w14:paraId="71F6BFB9"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Ernest A. Moody, </w:t>
      </w:r>
      <w:r w:rsidRPr="009D7635">
        <w:rPr>
          <w:rFonts w:ascii="Times New Roman" w:hAnsi="Times New Roman" w:cs="Times New Roman"/>
          <w:color w:val="000000" w:themeColor="text1"/>
          <w:lang w:val="en-US"/>
        </w:rPr>
        <w:t xml:space="preserve">‘William of Auvergne and His Treatise </w:t>
      </w:r>
      <w:r w:rsidRPr="009D7635">
        <w:rPr>
          <w:rFonts w:ascii="Times New Roman" w:hAnsi="Times New Roman" w:cs="Times New Roman"/>
          <w:i/>
          <w:iCs/>
          <w:color w:val="000000" w:themeColor="text1"/>
          <w:lang w:val="en-US"/>
        </w:rPr>
        <w:t xml:space="preserve">De Anima,’ </w:t>
      </w:r>
      <w:r w:rsidRPr="009D7635">
        <w:rPr>
          <w:rFonts w:ascii="Times New Roman" w:hAnsi="Times New Roman" w:cs="Times New Roman"/>
          <w:color w:val="000000" w:themeColor="text1"/>
        </w:rPr>
        <w:t xml:space="preserve">39.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1.1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43); 5.20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277); cf. 6.35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395); 6.36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400); 6.40 (</w:t>
      </w:r>
      <w:proofErr w:type="spellStart"/>
      <w:r w:rsidRPr="009D7635">
        <w:rPr>
          <w:rFonts w:ascii="Times New Roman" w:hAnsi="Times New Roman" w:cs="Times New Roman"/>
          <w:color w:val="000000" w:themeColor="text1"/>
        </w:rPr>
        <w:t>Teske</w:t>
      </w:r>
      <w:proofErr w:type="spellEnd"/>
      <w:r w:rsidRPr="009D7635">
        <w:rPr>
          <w:rFonts w:ascii="Times New Roman" w:hAnsi="Times New Roman" w:cs="Times New Roman"/>
          <w:color w:val="000000" w:themeColor="text1"/>
        </w:rPr>
        <w:t>, 410).</w:t>
      </w:r>
    </w:p>
  </w:footnote>
  <w:footnote w:id="803">
    <w:p w14:paraId="22261538" w14:textId="0874CB78"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Lydia Schumacher, </w:t>
      </w:r>
      <w:r w:rsidRPr="009D7635">
        <w:rPr>
          <w:rFonts w:ascii="Times New Roman" w:hAnsi="Times New Roman" w:cs="Times New Roman"/>
          <w:i/>
          <w:color w:val="000000" w:themeColor="text1"/>
        </w:rPr>
        <w:t xml:space="preserve">Divine Illumination, </w:t>
      </w:r>
      <w:r w:rsidRPr="009D7635">
        <w:rPr>
          <w:rFonts w:ascii="Times New Roman" w:hAnsi="Times New Roman" w:cs="Times New Roman"/>
          <w:color w:val="000000" w:themeColor="text1"/>
        </w:rPr>
        <w:t>chapter 1</w:t>
      </w:r>
      <w:r w:rsidR="005E308E" w:rsidRPr="009D7635">
        <w:rPr>
          <w:rFonts w:ascii="Times New Roman" w:hAnsi="Times New Roman" w:cs="Times New Roman"/>
          <w:color w:val="000000" w:themeColor="text1"/>
        </w:rPr>
        <w:t>, 26-65.</w:t>
      </w:r>
    </w:p>
  </w:footnote>
  <w:footnote w:id="804">
    <w:p w14:paraId="32C35F47" w14:textId="2D713CD3" w:rsidR="00B93ED5" w:rsidRPr="009D7635" w:rsidRDefault="00B93ED5">
      <w:pPr>
        <w:pStyle w:val="FootnoteText"/>
        <w:rPr>
          <w:rFonts w:ascii="Times New Roman" w:hAnsi="Times New Roman" w:cs="Times New Roman"/>
          <w:b/>
          <w:bCs/>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This is a compelling suggestion, although work would still need to be done to prove the later dating of these two anonymous works. See José </w:t>
      </w:r>
      <w:proofErr w:type="spellStart"/>
      <w:r w:rsidRPr="009D7635">
        <w:rPr>
          <w:rFonts w:ascii="Times New Roman" w:hAnsi="Times New Roman" w:cs="Times New Roman"/>
          <w:color w:val="000000" w:themeColor="text1"/>
        </w:rPr>
        <w:t>Meirinhos</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i/>
          <w:iCs/>
          <w:color w:val="000000" w:themeColor="text1"/>
          <w:lang w:val="pt-PT"/>
        </w:rPr>
        <w:t>Intellectus</w:t>
      </w:r>
      <w:proofErr w:type="spellEnd"/>
      <w:r w:rsidRPr="009D7635">
        <w:rPr>
          <w:rFonts w:ascii="Times New Roman" w:hAnsi="Times New Roman" w:cs="Times New Roman"/>
          <w:i/>
          <w:iCs/>
          <w:color w:val="000000" w:themeColor="text1"/>
          <w:lang w:val="pt-PT"/>
        </w:rPr>
        <w:t xml:space="preserve"> </w:t>
      </w:r>
      <w:proofErr w:type="spellStart"/>
      <w:r w:rsidRPr="009D7635">
        <w:rPr>
          <w:rFonts w:ascii="Times New Roman" w:hAnsi="Times New Roman" w:cs="Times New Roman"/>
          <w:i/>
          <w:iCs/>
          <w:color w:val="000000" w:themeColor="text1"/>
          <w:lang w:val="pt-PT"/>
        </w:rPr>
        <w:t>agens</w:t>
      </w:r>
      <w:proofErr w:type="spellEnd"/>
      <w:r w:rsidRPr="009D7635">
        <w:rPr>
          <w:rFonts w:ascii="Times New Roman" w:hAnsi="Times New Roman" w:cs="Times New Roman"/>
          <w:i/>
          <w:iCs/>
          <w:color w:val="000000" w:themeColor="text1"/>
          <w:lang w:val="pt-PT"/>
        </w:rPr>
        <w:t xml:space="preserve"> </w:t>
      </w:r>
      <w:proofErr w:type="spellStart"/>
      <w:r w:rsidRPr="009D7635">
        <w:rPr>
          <w:rFonts w:ascii="Times New Roman" w:hAnsi="Times New Roman" w:cs="Times New Roman"/>
          <w:i/>
          <w:iCs/>
          <w:color w:val="000000" w:themeColor="text1"/>
          <w:lang w:val="pt-PT"/>
        </w:rPr>
        <w:t>triplex</w:t>
      </w:r>
      <w:proofErr w:type="spellEnd"/>
      <w:r w:rsidRPr="009D7635">
        <w:rPr>
          <w:rFonts w:ascii="Times New Roman" w:hAnsi="Times New Roman" w:cs="Times New Roman"/>
          <w:i/>
          <w:iCs/>
          <w:color w:val="000000" w:themeColor="text1"/>
          <w:lang w:val="pt-PT"/>
        </w:rPr>
        <w:t xml:space="preserve"> </w:t>
      </w:r>
      <w:proofErr w:type="spellStart"/>
      <w:r w:rsidRPr="009D7635">
        <w:rPr>
          <w:rFonts w:ascii="Times New Roman" w:hAnsi="Times New Roman" w:cs="Times New Roman"/>
          <w:i/>
          <w:iCs/>
          <w:color w:val="000000" w:themeColor="text1"/>
          <w:lang w:val="pt-PT"/>
        </w:rPr>
        <w:t>distinguitur</w:t>
      </w:r>
      <w:proofErr w:type="spellEnd"/>
      <w:r w:rsidRPr="009D7635">
        <w:rPr>
          <w:rFonts w:ascii="Times New Roman" w:hAnsi="Times New Roman" w:cs="Times New Roman"/>
          <w:color w:val="000000" w:themeColor="text1"/>
          <w:lang w:val="pt-PT"/>
        </w:rPr>
        <w:t xml:space="preserve">: </w:t>
      </w:r>
      <w:r w:rsidRPr="009D7635">
        <w:rPr>
          <w:rFonts w:ascii="Times New Roman" w:hAnsi="Times New Roman" w:cs="Times New Roman"/>
          <w:color w:val="000000" w:themeColor="text1"/>
        </w:rPr>
        <w:t xml:space="preserve">Early Franciscans and Avicenna in </w:t>
      </w:r>
      <w:proofErr w:type="spellStart"/>
      <w:r w:rsidRPr="009D7635">
        <w:rPr>
          <w:rFonts w:ascii="Times New Roman" w:hAnsi="Times New Roman" w:cs="Times New Roman"/>
          <w:color w:val="000000" w:themeColor="text1"/>
        </w:rPr>
        <w:t>Petrus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Hispanus</w:t>
      </w:r>
      <w:proofErr w:type="spellEnd"/>
      <w:r w:rsidRPr="009D7635">
        <w:rPr>
          <w:rFonts w:ascii="Times New Roman" w:hAnsi="Times New Roman" w:cs="Times New Roman"/>
          <w:color w:val="000000" w:themeColor="text1"/>
        </w:rPr>
        <w:t xml:space="preserve">’ Theory of the Agent Intellect in the </w:t>
      </w:r>
      <w:proofErr w:type="spellStart"/>
      <w:r w:rsidRPr="009D7635">
        <w:rPr>
          <w:rFonts w:ascii="Times New Roman" w:hAnsi="Times New Roman" w:cs="Times New Roman"/>
          <w:i/>
          <w:iCs/>
          <w:color w:val="000000" w:themeColor="text1"/>
        </w:rPr>
        <w:t>Scientia</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libri</w:t>
      </w:r>
      <w:proofErr w:type="spellEnd"/>
      <w:r w:rsidRPr="009D7635">
        <w:rPr>
          <w:rFonts w:ascii="Times New Roman" w:hAnsi="Times New Roman" w:cs="Times New Roman"/>
          <w:i/>
          <w:iCs/>
          <w:color w:val="000000" w:themeColor="text1"/>
        </w:rPr>
        <w:t xml:space="preserve"> de anima,’ </w:t>
      </w:r>
      <w:r w:rsidRPr="009D7635">
        <w:rPr>
          <w:rFonts w:ascii="Times New Roman" w:hAnsi="Times New Roman" w:cs="Times New Roman"/>
          <w:color w:val="000000" w:themeColor="text1"/>
        </w:rPr>
        <w:t xml:space="preserve">in </w:t>
      </w:r>
      <w:r w:rsidRPr="009D7635">
        <w:rPr>
          <w:rFonts w:ascii="Times New Roman" w:hAnsi="Times New Roman" w:cs="Times New Roman"/>
          <w:i/>
          <w:iCs/>
          <w:color w:val="000000" w:themeColor="text1"/>
        </w:rPr>
        <w:t xml:space="preserve">The Legacy of Early Franciscan Thought, </w:t>
      </w:r>
      <w:r w:rsidRPr="009D7635">
        <w:rPr>
          <w:rFonts w:ascii="Times New Roman" w:hAnsi="Times New Roman" w:cs="Times New Roman"/>
          <w:color w:val="000000" w:themeColor="text1"/>
        </w:rPr>
        <w:t xml:space="preserve">ed. Lydia Schumacher (Berlin: De </w:t>
      </w:r>
      <w:proofErr w:type="spellStart"/>
      <w:r w:rsidRPr="009D7635">
        <w:rPr>
          <w:rFonts w:ascii="Times New Roman" w:hAnsi="Times New Roman" w:cs="Times New Roman"/>
          <w:color w:val="000000" w:themeColor="text1"/>
        </w:rPr>
        <w:t>Grutyer</w:t>
      </w:r>
      <w:proofErr w:type="spellEnd"/>
      <w:r w:rsidRPr="009D7635">
        <w:rPr>
          <w:rFonts w:ascii="Times New Roman" w:hAnsi="Times New Roman" w:cs="Times New Roman"/>
          <w:color w:val="000000" w:themeColor="text1"/>
        </w:rPr>
        <w:t>, 2021)</w:t>
      </w:r>
      <w:r w:rsidR="00E53AFF" w:rsidRPr="009D7635">
        <w:rPr>
          <w:rFonts w:ascii="Times New Roman" w:hAnsi="Times New Roman" w:cs="Times New Roman"/>
          <w:color w:val="000000" w:themeColor="text1"/>
        </w:rPr>
        <w:t>, 297-322.</w:t>
      </w:r>
    </w:p>
  </w:footnote>
  <w:footnote w:id="805">
    <w:p w14:paraId="2E2B9CD0"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Aristotle,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III.4.</w:t>
      </w:r>
    </w:p>
  </w:footnote>
  <w:footnote w:id="806">
    <w:p w14:paraId="5A2BA962"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eastAsia="Times New Roman" w:hAnsi="Times New Roman" w:cs="Times New Roman"/>
          <w:i/>
          <w:color w:val="000000" w:themeColor="text1"/>
        </w:rPr>
        <w:t>Iacobus</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Veneticus</w:t>
      </w:r>
      <w:proofErr w:type="spellEnd"/>
      <w:r w:rsidRPr="009D7635">
        <w:rPr>
          <w:rFonts w:ascii="Times New Roman" w:eastAsia="Times New Roman" w:hAnsi="Times New Roman" w:cs="Times New Roman"/>
          <w:i/>
          <w:color w:val="000000" w:themeColor="text1"/>
        </w:rPr>
        <w:t xml:space="preserve"> translator </w:t>
      </w:r>
      <w:proofErr w:type="spellStart"/>
      <w:r w:rsidRPr="009D7635">
        <w:rPr>
          <w:rFonts w:ascii="Times New Roman" w:eastAsia="Times New Roman" w:hAnsi="Times New Roman" w:cs="Times New Roman"/>
          <w:i/>
          <w:color w:val="000000" w:themeColor="text1"/>
        </w:rPr>
        <w:t>Aristotelis</w:t>
      </w:r>
      <w:proofErr w:type="spellEnd"/>
      <w:r w:rsidRPr="009D7635">
        <w:rPr>
          <w:rFonts w:ascii="Times New Roman" w:eastAsia="Times New Roman" w:hAnsi="Times New Roman" w:cs="Times New Roman"/>
          <w:i/>
          <w:color w:val="000000" w:themeColor="text1"/>
        </w:rPr>
        <w:t xml:space="preserve"> - De anima</w:t>
      </w:r>
      <w:r w:rsidRPr="009D7635">
        <w:rPr>
          <w:rFonts w:ascii="Times New Roman" w:eastAsia="Times New Roman" w:hAnsi="Times New Roman" w:cs="Times New Roman"/>
          <w:color w:val="000000" w:themeColor="text1"/>
        </w:rPr>
        <w:t xml:space="preserve"> (TAGL.12.1), liber: 3, cap.: 4 (</w:t>
      </w:r>
      <w:proofErr w:type="spellStart"/>
      <w:r w:rsidRPr="009D7635">
        <w:rPr>
          <w:rFonts w:ascii="Times New Roman" w:eastAsia="Times New Roman" w:hAnsi="Times New Roman" w:cs="Times New Roman"/>
          <w:color w:val="000000" w:themeColor="text1"/>
        </w:rPr>
        <w:t>Bekker</w:t>
      </w:r>
      <w:proofErr w:type="spellEnd"/>
      <w:r w:rsidRPr="009D7635">
        <w:rPr>
          <w:rFonts w:ascii="Times New Roman" w:eastAsia="Times New Roman" w:hAnsi="Times New Roman" w:cs="Times New Roman"/>
          <w:color w:val="000000" w:themeColor="text1"/>
        </w:rPr>
        <w:t xml:space="preserve">: 429a): </w:t>
      </w:r>
      <w:proofErr w:type="spellStart"/>
      <w:r w:rsidRPr="009D7635">
        <w:rPr>
          <w:rFonts w:ascii="Times New Roman" w:eastAsia="Times New Roman" w:hAnsi="Times New Roman" w:cs="Times New Roman"/>
          <w:i/>
          <w:color w:val="000000" w:themeColor="text1"/>
        </w:rPr>
        <w:t>Despectum</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apparere</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enim</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prohibet</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extraneum</w:t>
      </w:r>
      <w:proofErr w:type="spellEnd"/>
      <w:r w:rsidRPr="009D7635">
        <w:rPr>
          <w:rFonts w:ascii="Times New Roman" w:eastAsia="Times New Roman" w:hAnsi="Times New Roman" w:cs="Times New Roman"/>
          <w:i/>
          <w:color w:val="000000" w:themeColor="text1"/>
        </w:rPr>
        <w:t xml:space="preserve"> et </w:t>
      </w:r>
      <w:proofErr w:type="spellStart"/>
      <w:r w:rsidRPr="009D7635">
        <w:rPr>
          <w:rFonts w:ascii="Times New Roman" w:eastAsia="Times New Roman" w:hAnsi="Times New Roman" w:cs="Times New Roman"/>
          <w:i/>
          <w:color w:val="000000" w:themeColor="text1"/>
        </w:rPr>
        <w:t>ei</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obicitur</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quare</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est</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neque</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ipsius</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esse</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naturam</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neque</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unam</w:t>
      </w:r>
      <w:proofErr w:type="spellEnd"/>
      <w:r w:rsidRPr="009D7635">
        <w:rPr>
          <w:rFonts w:ascii="Times New Roman" w:eastAsia="Times New Roman" w:hAnsi="Times New Roman" w:cs="Times New Roman"/>
          <w:i/>
          <w:color w:val="000000" w:themeColor="text1"/>
        </w:rPr>
        <w:t xml:space="preserve"> sed </w:t>
      </w:r>
      <w:proofErr w:type="spellStart"/>
      <w:r w:rsidRPr="009D7635">
        <w:rPr>
          <w:rFonts w:ascii="Times New Roman" w:eastAsia="Times New Roman" w:hAnsi="Times New Roman" w:cs="Times New Roman"/>
          <w:i/>
          <w:color w:val="000000" w:themeColor="text1"/>
        </w:rPr>
        <w:t>aut</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hec</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quia</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possibilis</w:t>
      </w:r>
      <w:proofErr w:type="spellEnd"/>
      <w:r w:rsidRPr="009D7635">
        <w:rPr>
          <w:rFonts w:ascii="Times New Roman" w:eastAsia="Times New Roman" w:hAnsi="Times New Roman" w:cs="Times New Roman"/>
          <w:i/>
          <w:color w:val="000000" w:themeColor="text1"/>
        </w:rPr>
        <w:t xml:space="preserve"> sit.</w:t>
      </w:r>
    </w:p>
  </w:footnote>
  <w:footnote w:id="807">
    <w:p w14:paraId="580DFBED" w14:textId="77777777" w:rsidR="00B93ED5" w:rsidRPr="009D7635" w:rsidRDefault="00B93ED5" w:rsidP="00255546">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eastAsia="Times New Roman" w:hAnsi="Times New Roman" w:cs="Times New Roman"/>
          <w:i/>
          <w:color w:val="000000" w:themeColor="text1"/>
        </w:rPr>
        <w:t>Iacobus</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Veneticus</w:t>
      </w:r>
      <w:proofErr w:type="spellEnd"/>
      <w:r w:rsidRPr="009D7635">
        <w:rPr>
          <w:rFonts w:ascii="Times New Roman" w:eastAsia="Times New Roman" w:hAnsi="Times New Roman" w:cs="Times New Roman"/>
          <w:i/>
          <w:color w:val="000000" w:themeColor="text1"/>
        </w:rPr>
        <w:t xml:space="preserve"> translator </w:t>
      </w:r>
      <w:proofErr w:type="spellStart"/>
      <w:r w:rsidRPr="009D7635">
        <w:rPr>
          <w:rFonts w:ascii="Times New Roman" w:eastAsia="Times New Roman" w:hAnsi="Times New Roman" w:cs="Times New Roman"/>
          <w:i/>
          <w:color w:val="000000" w:themeColor="text1"/>
        </w:rPr>
        <w:t>Aristotelis</w:t>
      </w:r>
      <w:proofErr w:type="spellEnd"/>
      <w:r w:rsidRPr="009D7635">
        <w:rPr>
          <w:rFonts w:ascii="Times New Roman" w:eastAsia="Times New Roman" w:hAnsi="Times New Roman" w:cs="Times New Roman"/>
          <w:i/>
          <w:color w:val="000000" w:themeColor="text1"/>
        </w:rPr>
        <w:t xml:space="preserve"> - De anima </w:t>
      </w:r>
      <w:r w:rsidRPr="009D7635">
        <w:rPr>
          <w:rFonts w:ascii="Times New Roman" w:eastAsia="Times New Roman" w:hAnsi="Times New Roman" w:cs="Times New Roman"/>
          <w:color w:val="000000" w:themeColor="text1"/>
        </w:rPr>
        <w:t>(TAGL.12.1), liber: 3, cap.: 5 (</w:t>
      </w:r>
      <w:proofErr w:type="spellStart"/>
      <w:r w:rsidRPr="009D7635">
        <w:rPr>
          <w:rFonts w:ascii="Times New Roman" w:eastAsia="Times New Roman" w:hAnsi="Times New Roman" w:cs="Times New Roman"/>
          <w:color w:val="000000" w:themeColor="text1"/>
        </w:rPr>
        <w:t>Bekker</w:t>
      </w:r>
      <w:proofErr w:type="spellEnd"/>
      <w:r w:rsidRPr="009D7635">
        <w:rPr>
          <w:rFonts w:ascii="Times New Roman" w:eastAsia="Times New Roman" w:hAnsi="Times New Roman" w:cs="Times New Roman"/>
          <w:color w:val="000000" w:themeColor="text1"/>
        </w:rPr>
        <w:t xml:space="preserve">: 430a): </w:t>
      </w:r>
      <w:r w:rsidRPr="009D7635">
        <w:rPr>
          <w:rFonts w:ascii="Times New Roman" w:eastAsia="Times New Roman" w:hAnsi="Times New Roman" w:cs="Times New Roman"/>
          <w:i/>
          <w:color w:val="000000" w:themeColor="text1"/>
        </w:rPr>
        <w:t xml:space="preserve">Et </w:t>
      </w:r>
      <w:proofErr w:type="spellStart"/>
      <w:r w:rsidRPr="009D7635">
        <w:rPr>
          <w:rFonts w:ascii="Times New Roman" w:eastAsia="Times New Roman" w:hAnsi="Times New Roman" w:cs="Times New Roman"/>
          <w:i/>
          <w:color w:val="000000" w:themeColor="text1"/>
        </w:rPr>
        <w:t>hic</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intellectus</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separatus</w:t>
      </w:r>
      <w:proofErr w:type="spellEnd"/>
      <w:r w:rsidRPr="009D7635">
        <w:rPr>
          <w:rFonts w:ascii="Times New Roman" w:eastAsia="Times New Roman" w:hAnsi="Times New Roman" w:cs="Times New Roman"/>
          <w:i/>
          <w:color w:val="000000" w:themeColor="text1"/>
        </w:rPr>
        <w:t xml:space="preserve"> et </w:t>
      </w:r>
      <w:proofErr w:type="spellStart"/>
      <w:r w:rsidRPr="009D7635">
        <w:rPr>
          <w:rFonts w:ascii="Times New Roman" w:eastAsia="Times New Roman" w:hAnsi="Times New Roman" w:cs="Times New Roman"/>
          <w:i/>
          <w:color w:val="000000" w:themeColor="text1"/>
        </w:rPr>
        <w:t>inmixtus</w:t>
      </w:r>
      <w:proofErr w:type="spellEnd"/>
      <w:r w:rsidRPr="009D7635">
        <w:rPr>
          <w:rFonts w:ascii="Times New Roman" w:eastAsia="Times New Roman" w:hAnsi="Times New Roman" w:cs="Times New Roman"/>
          <w:i/>
          <w:color w:val="000000" w:themeColor="text1"/>
        </w:rPr>
        <w:t xml:space="preserve"> et </w:t>
      </w:r>
      <w:proofErr w:type="spellStart"/>
      <w:r w:rsidRPr="009D7635">
        <w:rPr>
          <w:rFonts w:ascii="Times New Roman" w:eastAsia="Times New Roman" w:hAnsi="Times New Roman" w:cs="Times New Roman"/>
          <w:i/>
          <w:color w:val="000000" w:themeColor="text1"/>
        </w:rPr>
        <w:t>inpassibilis</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substantia</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actu</w:t>
      </w:r>
      <w:proofErr w:type="spellEnd"/>
      <w:r w:rsidRPr="009D7635">
        <w:rPr>
          <w:rFonts w:ascii="Times New Roman" w:eastAsia="Times New Roman" w:hAnsi="Times New Roman" w:cs="Times New Roman"/>
          <w:i/>
          <w:color w:val="000000" w:themeColor="text1"/>
        </w:rPr>
        <w:t xml:space="preserve"> est.</w:t>
      </w:r>
    </w:p>
  </w:footnote>
  <w:footnote w:id="808">
    <w:p w14:paraId="2B869F72" w14:textId="77777777" w:rsidR="00B93ED5" w:rsidRPr="009D7635" w:rsidRDefault="00B93ED5" w:rsidP="002555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Averrois</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Cordubensis</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Commentarium</w:t>
      </w:r>
      <w:proofErr w:type="spellEnd"/>
      <w:r w:rsidRPr="009D7635">
        <w:rPr>
          <w:rFonts w:ascii="Times New Roman" w:hAnsi="Times New Roman" w:cs="Times New Roman"/>
          <w:bCs/>
          <w:i/>
          <w:iCs/>
          <w:color w:val="000000" w:themeColor="text1"/>
          <w:sz w:val="20"/>
          <w:szCs w:val="20"/>
        </w:rPr>
        <w:t xml:space="preserve"> Magnum in </w:t>
      </w:r>
      <w:proofErr w:type="spellStart"/>
      <w:r w:rsidRPr="009D7635">
        <w:rPr>
          <w:rFonts w:ascii="Times New Roman" w:hAnsi="Times New Roman" w:cs="Times New Roman"/>
          <w:bCs/>
          <w:i/>
          <w:iCs/>
          <w:color w:val="000000" w:themeColor="text1"/>
          <w:sz w:val="20"/>
          <w:szCs w:val="20"/>
        </w:rPr>
        <w:t>Aristotelis</w:t>
      </w:r>
      <w:proofErr w:type="spellEnd"/>
      <w:r w:rsidRPr="009D7635">
        <w:rPr>
          <w:rFonts w:ascii="Times New Roman" w:hAnsi="Times New Roman" w:cs="Times New Roman"/>
          <w:bCs/>
          <w:i/>
          <w:iCs/>
          <w:color w:val="000000" w:themeColor="text1"/>
          <w:sz w:val="20"/>
          <w:szCs w:val="20"/>
        </w:rPr>
        <w:t xml:space="preserve"> De Anima </w:t>
      </w:r>
      <w:proofErr w:type="spellStart"/>
      <w:r w:rsidRPr="009D7635">
        <w:rPr>
          <w:rFonts w:ascii="Times New Roman" w:hAnsi="Times New Roman" w:cs="Times New Roman"/>
          <w:bCs/>
          <w:i/>
          <w:iCs/>
          <w:color w:val="000000" w:themeColor="text1"/>
          <w:sz w:val="20"/>
          <w:szCs w:val="20"/>
        </w:rPr>
        <w:t>Libros</w:t>
      </w:r>
      <w:proofErr w:type="spellEnd"/>
      <w:r w:rsidRPr="009D7635">
        <w:rPr>
          <w:rFonts w:ascii="Times New Roman" w:hAnsi="Times New Roman" w:cs="Times New Roman"/>
          <w:bCs/>
          <w:i/>
          <w:iCs/>
          <w:color w:val="000000" w:themeColor="text1"/>
          <w:sz w:val="20"/>
          <w:szCs w:val="20"/>
        </w:rPr>
        <w:t xml:space="preserve">, </w:t>
      </w:r>
      <w:r w:rsidRPr="009D7635">
        <w:rPr>
          <w:rFonts w:ascii="Times New Roman" w:hAnsi="Times New Roman" w:cs="Times New Roman"/>
          <w:bCs/>
          <w:color w:val="000000" w:themeColor="text1"/>
          <w:sz w:val="20"/>
          <w:szCs w:val="20"/>
        </w:rPr>
        <w:t>ed. F.S. Crawford (Cambridge, Mass., 1953),</w:t>
      </w:r>
      <w:r w:rsidRPr="009D7635">
        <w:rPr>
          <w:rFonts w:ascii="Times New Roman" w:hAnsi="Times New Roman" w:cs="Times New Roman"/>
          <w:color w:val="000000" w:themeColor="text1"/>
          <w:sz w:val="20"/>
          <w:szCs w:val="20"/>
        </w:rPr>
        <w:t xml:space="preserve"> 440: </w:t>
      </w:r>
      <w:r w:rsidRPr="009D7635">
        <w:rPr>
          <w:rFonts w:ascii="Times New Roman" w:hAnsi="Times New Roman" w:cs="Times New Roman"/>
          <w:i/>
          <w:color w:val="000000" w:themeColor="text1"/>
          <w:sz w:val="20"/>
          <w:szCs w:val="20"/>
          <w:lang w:val="en-US"/>
        </w:rPr>
        <w:t xml:space="preserve">Et </w:t>
      </w:r>
      <w:proofErr w:type="spellStart"/>
      <w:r w:rsidRPr="009D7635">
        <w:rPr>
          <w:rFonts w:ascii="Times New Roman" w:hAnsi="Times New Roman" w:cs="Times New Roman"/>
          <w:i/>
          <w:color w:val="000000" w:themeColor="text1"/>
          <w:sz w:val="20"/>
          <w:szCs w:val="20"/>
          <w:lang w:val="en-US"/>
        </w:rPr>
        <w:t>iste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abstractus</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mixtus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passibilis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semper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nobilius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patiente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principium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nobilius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scientia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actu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eadem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cum re. </w:t>
      </w:r>
      <w:r w:rsidRPr="009D7635">
        <w:rPr>
          <w:rFonts w:ascii="Times New Roman" w:hAnsi="Times New Roman" w:cs="Times New Roman"/>
          <w:color w:val="000000" w:themeColor="text1"/>
          <w:sz w:val="20"/>
          <w:szCs w:val="20"/>
          <w:lang w:val="en-US"/>
        </w:rPr>
        <w:t xml:space="preserve">See also the translation by Richard Taylor, </w:t>
      </w:r>
      <w:proofErr w:type="spellStart"/>
      <w:r w:rsidRPr="009D7635">
        <w:rPr>
          <w:rFonts w:ascii="Times New Roman" w:hAnsi="Times New Roman" w:cs="Times New Roman"/>
          <w:i/>
          <w:color w:val="000000" w:themeColor="text1"/>
          <w:sz w:val="20"/>
          <w:szCs w:val="20"/>
          <w:lang w:val="en-US"/>
        </w:rPr>
        <w:t>Averroes</w:t>
      </w:r>
      <w:proofErr w:type="spellEnd"/>
      <w:r w:rsidRPr="009D7635">
        <w:rPr>
          <w:rFonts w:ascii="Times New Roman" w:hAnsi="Times New Roman" w:cs="Times New Roman"/>
          <w:i/>
          <w:color w:val="000000" w:themeColor="text1"/>
          <w:sz w:val="20"/>
          <w:szCs w:val="20"/>
          <w:lang w:val="en-US"/>
        </w:rPr>
        <w:t xml:space="preserve"> (Ibn </w:t>
      </w:r>
      <w:proofErr w:type="spellStart"/>
      <w:r w:rsidRPr="009D7635">
        <w:rPr>
          <w:rFonts w:ascii="Times New Roman" w:hAnsi="Times New Roman" w:cs="Times New Roman"/>
          <w:i/>
          <w:color w:val="000000" w:themeColor="text1"/>
          <w:sz w:val="20"/>
          <w:szCs w:val="20"/>
          <w:lang w:val="en-US"/>
        </w:rPr>
        <w:t>Rushd</w:t>
      </w:r>
      <w:proofErr w:type="spellEnd"/>
      <w:r w:rsidRPr="009D7635">
        <w:rPr>
          <w:rFonts w:ascii="Times New Roman" w:hAnsi="Times New Roman" w:cs="Times New Roman"/>
          <w:i/>
          <w:color w:val="000000" w:themeColor="text1"/>
          <w:sz w:val="20"/>
          <w:szCs w:val="20"/>
          <w:lang w:val="en-US"/>
        </w:rPr>
        <w:t>) of Cordova: Long Commentary on The De Anima of Aristotle</w:t>
      </w:r>
      <w:r w:rsidRPr="009D7635">
        <w:rPr>
          <w:rFonts w:ascii="Times New Roman" w:hAnsi="Times New Roman" w:cs="Times New Roman"/>
          <w:color w:val="000000" w:themeColor="text1"/>
          <w:sz w:val="20"/>
          <w:szCs w:val="20"/>
          <w:lang w:val="en-US"/>
        </w:rPr>
        <w:t xml:space="preserve"> (New Haven, Yale University Press, 2009).</w:t>
      </w:r>
    </w:p>
  </w:footnote>
  <w:footnote w:id="809">
    <w:p w14:paraId="669FA4EA"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eastAsia="Times New Roman" w:hAnsi="Times New Roman" w:cs="Times New Roman"/>
          <w:i/>
          <w:color w:val="000000" w:themeColor="text1"/>
        </w:rPr>
        <w:t>Iacobus</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Veneticus</w:t>
      </w:r>
      <w:proofErr w:type="spellEnd"/>
      <w:r w:rsidRPr="009D7635">
        <w:rPr>
          <w:rFonts w:ascii="Times New Roman" w:eastAsia="Times New Roman" w:hAnsi="Times New Roman" w:cs="Times New Roman"/>
          <w:i/>
          <w:color w:val="000000" w:themeColor="text1"/>
        </w:rPr>
        <w:t xml:space="preserve"> translator </w:t>
      </w:r>
      <w:proofErr w:type="spellStart"/>
      <w:r w:rsidRPr="009D7635">
        <w:rPr>
          <w:rFonts w:ascii="Times New Roman" w:eastAsia="Times New Roman" w:hAnsi="Times New Roman" w:cs="Times New Roman"/>
          <w:i/>
          <w:color w:val="000000" w:themeColor="text1"/>
        </w:rPr>
        <w:t>Aristotelis</w:t>
      </w:r>
      <w:proofErr w:type="spellEnd"/>
      <w:r w:rsidRPr="009D7635">
        <w:rPr>
          <w:rFonts w:ascii="Times New Roman" w:eastAsia="Times New Roman" w:hAnsi="Times New Roman" w:cs="Times New Roman"/>
          <w:i/>
          <w:color w:val="000000" w:themeColor="text1"/>
        </w:rPr>
        <w:t xml:space="preserve"> - De anima </w:t>
      </w:r>
      <w:r w:rsidRPr="009D7635">
        <w:rPr>
          <w:rFonts w:ascii="Times New Roman" w:eastAsia="Times New Roman" w:hAnsi="Times New Roman" w:cs="Times New Roman"/>
          <w:color w:val="000000" w:themeColor="text1"/>
        </w:rPr>
        <w:t>(TAGL.12.1), liber: 3, cap.: 5 (</w:t>
      </w:r>
      <w:proofErr w:type="spellStart"/>
      <w:r w:rsidRPr="009D7635">
        <w:rPr>
          <w:rFonts w:ascii="Times New Roman" w:eastAsia="Times New Roman" w:hAnsi="Times New Roman" w:cs="Times New Roman"/>
          <w:color w:val="000000" w:themeColor="text1"/>
        </w:rPr>
        <w:t>Bekker</w:t>
      </w:r>
      <w:proofErr w:type="spellEnd"/>
      <w:r w:rsidRPr="009D7635">
        <w:rPr>
          <w:rFonts w:ascii="Times New Roman" w:eastAsia="Times New Roman" w:hAnsi="Times New Roman" w:cs="Times New Roman"/>
          <w:color w:val="000000" w:themeColor="text1"/>
        </w:rPr>
        <w:t xml:space="preserve">: 430a): </w:t>
      </w:r>
      <w:proofErr w:type="spellStart"/>
      <w:r w:rsidRPr="009D7635">
        <w:rPr>
          <w:rFonts w:ascii="Times New Roman" w:eastAsia="Times New Roman" w:hAnsi="Times New Roman" w:cs="Times New Roman"/>
          <w:i/>
          <w:color w:val="000000" w:themeColor="text1"/>
        </w:rPr>
        <w:t>Separatus</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autem</w:t>
      </w:r>
      <w:proofErr w:type="spellEnd"/>
      <w:r w:rsidRPr="009D7635">
        <w:rPr>
          <w:rFonts w:ascii="Times New Roman" w:eastAsia="Times New Roman" w:hAnsi="Times New Roman" w:cs="Times New Roman"/>
          <w:i/>
          <w:color w:val="000000" w:themeColor="text1"/>
        </w:rPr>
        <w:t xml:space="preserve"> solum </w:t>
      </w:r>
      <w:proofErr w:type="spellStart"/>
      <w:r w:rsidRPr="009D7635">
        <w:rPr>
          <w:rFonts w:ascii="Times New Roman" w:eastAsia="Times New Roman" w:hAnsi="Times New Roman" w:cs="Times New Roman"/>
          <w:i/>
          <w:color w:val="000000" w:themeColor="text1"/>
        </w:rPr>
        <w:t>est</w:t>
      </w:r>
      <w:proofErr w:type="spellEnd"/>
      <w:r w:rsidRPr="009D7635">
        <w:rPr>
          <w:rFonts w:ascii="Times New Roman" w:eastAsia="Times New Roman" w:hAnsi="Times New Roman" w:cs="Times New Roman"/>
          <w:i/>
          <w:color w:val="000000" w:themeColor="text1"/>
        </w:rPr>
        <w:t xml:space="preserve"> hoc quod </w:t>
      </w:r>
      <w:proofErr w:type="spellStart"/>
      <w:r w:rsidRPr="009D7635">
        <w:rPr>
          <w:rFonts w:ascii="Times New Roman" w:eastAsia="Times New Roman" w:hAnsi="Times New Roman" w:cs="Times New Roman"/>
          <w:i/>
          <w:color w:val="000000" w:themeColor="text1"/>
        </w:rPr>
        <w:t>vere</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est</w:t>
      </w:r>
      <w:proofErr w:type="spellEnd"/>
      <w:r w:rsidRPr="009D7635">
        <w:rPr>
          <w:rFonts w:ascii="Times New Roman" w:eastAsia="Times New Roman" w:hAnsi="Times New Roman" w:cs="Times New Roman"/>
          <w:i/>
          <w:color w:val="000000" w:themeColor="text1"/>
        </w:rPr>
        <w:t xml:space="preserve">, et hoc solum </w:t>
      </w:r>
      <w:proofErr w:type="spellStart"/>
      <w:r w:rsidRPr="009D7635">
        <w:rPr>
          <w:rFonts w:ascii="Times New Roman" w:eastAsia="Times New Roman" w:hAnsi="Times New Roman" w:cs="Times New Roman"/>
          <w:i/>
          <w:color w:val="000000" w:themeColor="text1"/>
        </w:rPr>
        <w:t>inmortale</w:t>
      </w:r>
      <w:proofErr w:type="spellEnd"/>
      <w:r w:rsidRPr="009D7635">
        <w:rPr>
          <w:rFonts w:ascii="Times New Roman" w:eastAsia="Times New Roman" w:hAnsi="Times New Roman" w:cs="Times New Roman"/>
          <w:i/>
          <w:color w:val="000000" w:themeColor="text1"/>
        </w:rPr>
        <w:t xml:space="preserve"> et </w:t>
      </w:r>
      <w:proofErr w:type="spellStart"/>
      <w:r w:rsidRPr="009D7635">
        <w:rPr>
          <w:rFonts w:ascii="Times New Roman" w:eastAsia="Times New Roman" w:hAnsi="Times New Roman" w:cs="Times New Roman"/>
          <w:i/>
          <w:color w:val="000000" w:themeColor="text1"/>
        </w:rPr>
        <w:t>perpetuum</w:t>
      </w:r>
      <w:proofErr w:type="spellEnd"/>
      <w:r w:rsidRPr="009D7635">
        <w:rPr>
          <w:rFonts w:ascii="Times New Roman" w:eastAsia="Times New Roman" w:hAnsi="Times New Roman" w:cs="Times New Roman"/>
          <w:i/>
          <w:color w:val="000000" w:themeColor="text1"/>
        </w:rPr>
        <w:t xml:space="preserve"> est</w:t>
      </w:r>
      <w:r w:rsidRPr="009D7635">
        <w:rPr>
          <w:rFonts w:ascii="Times New Roman" w:eastAsia="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Averroes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F.S. Crawford, 443: </w:t>
      </w:r>
      <w:r w:rsidRPr="009D7635">
        <w:rPr>
          <w:rFonts w:ascii="Times New Roman" w:hAnsi="Times New Roman" w:cs="Times New Roman"/>
          <w:i/>
          <w:color w:val="000000" w:themeColor="text1"/>
          <w:lang w:val="en-US"/>
        </w:rPr>
        <w:t xml:space="preserve">Et quod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in </w:t>
      </w:r>
      <w:proofErr w:type="spellStart"/>
      <w:r w:rsidRPr="009D7635">
        <w:rPr>
          <w:rFonts w:ascii="Times New Roman" w:hAnsi="Times New Roman" w:cs="Times New Roman"/>
          <w:i/>
          <w:color w:val="000000" w:themeColor="text1"/>
          <w:lang w:val="en-US"/>
        </w:rPr>
        <w:t>potentia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prius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tempore</w:t>
      </w:r>
      <w:proofErr w:type="spellEnd"/>
      <w:r w:rsidRPr="009D7635">
        <w:rPr>
          <w:rFonts w:ascii="Times New Roman" w:hAnsi="Times New Roman" w:cs="Times New Roman"/>
          <w:i/>
          <w:color w:val="000000" w:themeColor="text1"/>
          <w:lang w:val="en-US"/>
        </w:rPr>
        <w:t xml:space="preserve"> in </w:t>
      </w:r>
      <w:proofErr w:type="spellStart"/>
      <w:r w:rsidRPr="009D7635">
        <w:rPr>
          <w:rFonts w:ascii="Times New Roman" w:hAnsi="Times New Roman" w:cs="Times New Roman"/>
          <w:i/>
          <w:color w:val="000000" w:themeColor="text1"/>
          <w:lang w:val="en-US"/>
        </w:rPr>
        <w:t>individuo</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universaliter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autem</w:t>
      </w:r>
      <w:proofErr w:type="spellEnd"/>
      <w:r w:rsidRPr="009D7635">
        <w:rPr>
          <w:rFonts w:ascii="Times New Roman" w:hAnsi="Times New Roman" w:cs="Times New Roman"/>
          <w:i/>
          <w:color w:val="000000" w:themeColor="text1"/>
          <w:lang w:val="en-US"/>
        </w:rPr>
        <w:t xml:space="preserve"> non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neque</w:t>
      </w:r>
      <w:proofErr w:type="spellEnd"/>
      <w:r w:rsidRPr="009D7635">
        <w:rPr>
          <w:rFonts w:ascii="Times New Roman" w:hAnsi="Times New Roman" w:cs="Times New Roman"/>
          <w:i/>
          <w:color w:val="000000" w:themeColor="text1"/>
          <w:lang w:val="en-US"/>
        </w:rPr>
        <w:t xml:space="preserve"> in </w:t>
      </w:r>
      <w:proofErr w:type="spellStart"/>
      <w:r w:rsidRPr="009D7635">
        <w:rPr>
          <w:rFonts w:ascii="Times New Roman" w:hAnsi="Times New Roman" w:cs="Times New Roman"/>
          <w:i/>
          <w:color w:val="000000" w:themeColor="text1"/>
          <w:lang w:val="en-US"/>
        </w:rPr>
        <w:t>tempore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Neque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quandoque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intelligit</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quandoque</w:t>
      </w:r>
      <w:proofErr w:type="spellEnd"/>
      <w:r w:rsidRPr="009D7635">
        <w:rPr>
          <w:rFonts w:ascii="Times New Roman" w:hAnsi="Times New Roman" w:cs="Times New Roman"/>
          <w:i/>
          <w:color w:val="000000" w:themeColor="text1"/>
          <w:lang w:val="en-US"/>
        </w:rPr>
        <w:t xml:space="preserve"> non </w:t>
      </w:r>
      <w:proofErr w:type="spellStart"/>
      <w:r w:rsidRPr="009D7635">
        <w:rPr>
          <w:rFonts w:ascii="Times New Roman" w:hAnsi="Times New Roman" w:cs="Times New Roman"/>
          <w:i/>
          <w:color w:val="000000" w:themeColor="text1"/>
          <w:lang w:val="en-US"/>
        </w:rPr>
        <w:t>intelligit</w:t>
      </w:r>
      <w:proofErr w:type="spellEnd"/>
      <w:r w:rsidRPr="009D7635">
        <w:rPr>
          <w:rFonts w:ascii="Times New Roman" w:hAnsi="Times New Roman" w:cs="Times New Roman"/>
          <w:i/>
          <w:color w:val="000000" w:themeColor="text1"/>
          <w:lang w:val="en-US"/>
        </w:rPr>
        <w:t xml:space="preserve">. Et cum </w:t>
      </w:r>
      <w:proofErr w:type="spellStart"/>
      <w:r w:rsidRPr="009D7635">
        <w:rPr>
          <w:rFonts w:ascii="Times New Roman" w:hAnsi="Times New Roman" w:cs="Times New Roman"/>
          <w:i/>
          <w:color w:val="000000" w:themeColor="text1"/>
          <w:lang w:val="en-US"/>
        </w:rPr>
        <w:t>fuerit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abstractus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illud</w:t>
      </w:r>
      <w:proofErr w:type="spellEnd"/>
      <w:r w:rsidRPr="009D7635">
        <w:rPr>
          <w:rFonts w:ascii="Times New Roman" w:hAnsi="Times New Roman" w:cs="Times New Roman"/>
          <w:i/>
          <w:color w:val="000000" w:themeColor="text1"/>
          <w:lang w:val="en-US"/>
        </w:rPr>
        <w:t xml:space="preserve"> quod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tantum</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iste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tantum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immortalis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semper</w:t>
      </w:r>
      <w:proofErr w:type="spellEnd"/>
      <w:r w:rsidRPr="009D7635">
        <w:rPr>
          <w:rFonts w:ascii="Times New Roman" w:hAnsi="Times New Roman" w:cs="Times New Roman"/>
          <w:i/>
          <w:color w:val="000000" w:themeColor="text1"/>
          <w:lang w:val="en-US"/>
        </w:rPr>
        <w:t xml:space="preserve">. Et non </w:t>
      </w:r>
      <w:proofErr w:type="spellStart"/>
      <w:r w:rsidRPr="009D7635">
        <w:rPr>
          <w:rFonts w:ascii="Times New Roman" w:hAnsi="Times New Roman" w:cs="Times New Roman"/>
          <w:i/>
          <w:color w:val="000000" w:themeColor="text1"/>
          <w:lang w:val="en-US"/>
        </w:rPr>
        <w:t>rememoramur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quia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iste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non </w:t>
      </w:r>
      <w:proofErr w:type="spellStart"/>
      <w:r w:rsidRPr="009D7635">
        <w:rPr>
          <w:rFonts w:ascii="Times New Roman" w:hAnsi="Times New Roman" w:cs="Times New Roman"/>
          <w:i/>
          <w:color w:val="000000" w:themeColor="text1"/>
          <w:lang w:val="en-US"/>
        </w:rPr>
        <w:t>passibilis</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intellectus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passibilis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corruptibilis</w:t>
      </w:r>
      <w:proofErr w:type="spellEnd"/>
      <w:r w:rsidRPr="009D7635">
        <w:rPr>
          <w:rFonts w:ascii="Times New Roman" w:hAnsi="Times New Roman" w:cs="Times New Roman"/>
          <w:i/>
          <w:color w:val="000000" w:themeColor="text1"/>
          <w:lang w:val="en-US"/>
        </w:rPr>
        <w:t xml:space="preserve"> et sine hoc </w:t>
      </w:r>
      <w:proofErr w:type="spellStart"/>
      <w:r w:rsidRPr="009D7635">
        <w:rPr>
          <w:rFonts w:ascii="Times New Roman" w:hAnsi="Times New Roman" w:cs="Times New Roman"/>
          <w:i/>
          <w:color w:val="000000" w:themeColor="text1"/>
          <w:lang w:val="en-US"/>
        </w:rPr>
        <w:t>nichil</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intelligitur</w:t>
      </w:r>
      <w:proofErr w:type="spellEnd"/>
      <w:r w:rsidRPr="009D7635">
        <w:rPr>
          <w:rFonts w:ascii="Times New Roman" w:hAnsi="Times New Roman" w:cs="Times New Roman"/>
          <w:i/>
          <w:color w:val="000000" w:themeColor="text1"/>
          <w:lang w:val="en-US"/>
        </w:rPr>
        <w:t>.</w:t>
      </w:r>
    </w:p>
  </w:footnote>
  <w:footnote w:id="810">
    <w:p w14:paraId="1586904F" w14:textId="77777777" w:rsidR="00B93ED5" w:rsidRPr="009D7635" w:rsidRDefault="00B93ED5" w:rsidP="00255546">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eastAsia="Times New Roman" w:hAnsi="Times New Roman" w:cs="Times New Roman"/>
          <w:i/>
          <w:color w:val="000000" w:themeColor="text1"/>
        </w:rPr>
        <w:t>Iacobus</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Veneticus</w:t>
      </w:r>
      <w:proofErr w:type="spellEnd"/>
      <w:r w:rsidRPr="009D7635">
        <w:rPr>
          <w:rFonts w:ascii="Times New Roman" w:eastAsia="Times New Roman" w:hAnsi="Times New Roman" w:cs="Times New Roman"/>
          <w:i/>
          <w:color w:val="000000" w:themeColor="text1"/>
        </w:rPr>
        <w:t xml:space="preserve"> translator </w:t>
      </w:r>
      <w:proofErr w:type="spellStart"/>
      <w:r w:rsidRPr="009D7635">
        <w:rPr>
          <w:rFonts w:ascii="Times New Roman" w:eastAsia="Times New Roman" w:hAnsi="Times New Roman" w:cs="Times New Roman"/>
          <w:i/>
          <w:color w:val="000000" w:themeColor="text1"/>
        </w:rPr>
        <w:t>Aristotelis</w:t>
      </w:r>
      <w:proofErr w:type="spellEnd"/>
      <w:r w:rsidRPr="009D7635">
        <w:rPr>
          <w:rFonts w:ascii="Times New Roman" w:eastAsia="Times New Roman" w:hAnsi="Times New Roman" w:cs="Times New Roman"/>
          <w:i/>
          <w:color w:val="000000" w:themeColor="text1"/>
        </w:rPr>
        <w:t xml:space="preserve"> - De anima </w:t>
      </w:r>
      <w:r w:rsidRPr="009D7635">
        <w:rPr>
          <w:rFonts w:ascii="Times New Roman" w:eastAsia="Times New Roman" w:hAnsi="Times New Roman" w:cs="Times New Roman"/>
          <w:color w:val="000000" w:themeColor="text1"/>
        </w:rPr>
        <w:t>(TAGL.12.1), liber: 3, cap.: 5 (</w:t>
      </w:r>
      <w:proofErr w:type="spellStart"/>
      <w:r w:rsidRPr="009D7635">
        <w:rPr>
          <w:rFonts w:ascii="Times New Roman" w:eastAsia="Times New Roman" w:hAnsi="Times New Roman" w:cs="Times New Roman"/>
          <w:color w:val="000000" w:themeColor="text1"/>
        </w:rPr>
        <w:t>Bekker</w:t>
      </w:r>
      <w:proofErr w:type="spellEnd"/>
      <w:r w:rsidRPr="009D7635">
        <w:rPr>
          <w:rFonts w:ascii="Times New Roman" w:eastAsia="Times New Roman" w:hAnsi="Times New Roman" w:cs="Times New Roman"/>
          <w:color w:val="000000" w:themeColor="text1"/>
        </w:rPr>
        <w:t xml:space="preserve">: 430a): </w:t>
      </w:r>
      <w:r w:rsidRPr="009D7635">
        <w:rPr>
          <w:rFonts w:ascii="Times New Roman" w:eastAsia="Times New Roman" w:hAnsi="Times New Roman" w:cs="Times New Roman"/>
          <w:i/>
          <w:color w:val="000000" w:themeColor="text1"/>
        </w:rPr>
        <w:t xml:space="preserve">Non </w:t>
      </w:r>
      <w:proofErr w:type="spellStart"/>
      <w:r w:rsidRPr="009D7635">
        <w:rPr>
          <w:rFonts w:ascii="Times New Roman" w:eastAsia="Times New Roman" w:hAnsi="Times New Roman" w:cs="Times New Roman"/>
          <w:i/>
          <w:color w:val="000000" w:themeColor="text1"/>
        </w:rPr>
        <w:t>reminiscimur</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autem</w:t>
      </w:r>
      <w:proofErr w:type="spellEnd"/>
      <w:r w:rsidRPr="009D7635">
        <w:rPr>
          <w:rFonts w:ascii="Times New Roman" w:eastAsia="Times New Roman" w:hAnsi="Times New Roman" w:cs="Times New Roman"/>
          <w:i/>
          <w:color w:val="000000" w:themeColor="text1"/>
        </w:rPr>
        <w:t xml:space="preserve">, quod hoc </w:t>
      </w:r>
      <w:proofErr w:type="spellStart"/>
      <w:r w:rsidRPr="009D7635">
        <w:rPr>
          <w:rFonts w:ascii="Times New Roman" w:eastAsia="Times New Roman" w:hAnsi="Times New Roman" w:cs="Times New Roman"/>
          <w:i/>
          <w:color w:val="000000" w:themeColor="text1"/>
        </w:rPr>
        <w:t>quidem</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inpassibile</w:t>
      </w:r>
      <w:proofErr w:type="spellEnd"/>
      <w:r w:rsidRPr="009D7635">
        <w:rPr>
          <w:rFonts w:ascii="Times New Roman" w:eastAsia="Times New Roman" w:hAnsi="Times New Roman" w:cs="Times New Roman"/>
          <w:i/>
          <w:color w:val="000000" w:themeColor="text1"/>
        </w:rPr>
        <w:t xml:space="preserve"> sit, </w:t>
      </w:r>
      <w:proofErr w:type="spellStart"/>
      <w:r w:rsidRPr="009D7635">
        <w:rPr>
          <w:rFonts w:ascii="Times New Roman" w:eastAsia="Times New Roman" w:hAnsi="Times New Roman" w:cs="Times New Roman"/>
          <w:i/>
          <w:color w:val="000000" w:themeColor="text1"/>
        </w:rPr>
        <w:t>passivus</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autem</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intellectus</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corruptibilis</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est</w:t>
      </w:r>
      <w:proofErr w:type="spellEnd"/>
      <w:r w:rsidRPr="009D7635">
        <w:rPr>
          <w:rFonts w:ascii="Times New Roman" w:eastAsia="Times New Roman" w:hAnsi="Times New Roman" w:cs="Times New Roman"/>
          <w:i/>
          <w:color w:val="000000" w:themeColor="text1"/>
        </w:rPr>
        <w:t xml:space="preserve">, et sine hoc </w:t>
      </w:r>
      <w:proofErr w:type="spellStart"/>
      <w:r w:rsidRPr="009D7635">
        <w:rPr>
          <w:rFonts w:ascii="Times New Roman" w:eastAsia="Times New Roman" w:hAnsi="Times New Roman" w:cs="Times New Roman"/>
          <w:i/>
          <w:color w:val="000000" w:themeColor="text1"/>
        </w:rPr>
        <w:t>nichil</w:t>
      </w:r>
      <w:proofErr w:type="spellEnd"/>
      <w:r w:rsidRPr="009D7635">
        <w:rPr>
          <w:rFonts w:ascii="Times New Roman" w:eastAsia="Times New Roman" w:hAnsi="Times New Roman" w:cs="Times New Roman"/>
          <w:i/>
          <w:color w:val="000000" w:themeColor="text1"/>
        </w:rPr>
        <w:t xml:space="preserve"> </w:t>
      </w:r>
      <w:proofErr w:type="spellStart"/>
      <w:r w:rsidRPr="009D7635">
        <w:rPr>
          <w:rFonts w:ascii="Times New Roman" w:eastAsia="Times New Roman" w:hAnsi="Times New Roman" w:cs="Times New Roman"/>
          <w:i/>
          <w:color w:val="000000" w:themeColor="text1"/>
        </w:rPr>
        <w:t>intelligit</w:t>
      </w:r>
      <w:proofErr w:type="spellEnd"/>
      <w:r w:rsidRPr="009D7635">
        <w:rPr>
          <w:rFonts w:ascii="Times New Roman" w:eastAsia="Times New Roman" w:hAnsi="Times New Roman" w:cs="Times New Roman"/>
          <w:i/>
          <w:color w:val="000000" w:themeColor="text1"/>
        </w:rPr>
        <w:t>.</w:t>
      </w:r>
    </w:p>
  </w:footnote>
  <w:footnote w:id="811">
    <w:p w14:paraId="665ADE5E" w14:textId="365789B8" w:rsidR="00B93ED5" w:rsidRPr="009D7635" w:rsidRDefault="00B93ED5" w:rsidP="00255546">
      <w:pPr>
        <w:pStyle w:val="FootnoteText"/>
        <w:rPr>
          <w:rFonts w:ascii="Times New Roman" w:hAnsi="Times New Roman" w:cs="Times New Roman"/>
          <w:i/>
          <w:iCs/>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G. </w:t>
      </w:r>
      <w:proofErr w:type="spellStart"/>
      <w:r w:rsidRPr="009D7635">
        <w:rPr>
          <w:rFonts w:ascii="Times New Roman" w:hAnsi="Times New Roman" w:cs="Times New Roman"/>
          <w:color w:val="000000" w:themeColor="text1"/>
        </w:rPr>
        <w:t>Théry</w:t>
      </w:r>
      <w:proofErr w:type="spellEnd"/>
      <w:r w:rsidRPr="009D7635">
        <w:rPr>
          <w:rFonts w:ascii="Times New Roman" w:hAnsi="Times New Roman" w:cs="Times New Roman"/>
          <w:color w:val="000000" w:themeColor="text1"/>
        </w:rPr>
        <w:t xml:space="preserve"> O.P., </w:t>
      </w:r>
      <w:proofErr w:type="spellStart"/>
      <w:r w:rsidRPr="009D7635">
        <w:rPr>
          <w:rFonts w:ascii="Times New Roman" w:hAnsi="Times New Roman" w:cs="Times New Roman"/>
          <w:i/>
          <w:color w:val="000000" w:themeColor="text1"/>
        </w:rPr>
        <w:t>Autour</w:t>
      </w:r>
      <w:proofErr w:type="spellEnd"/>
      <w:r w:rsidRPr="009D7635">
        <w:rPr>
          <w:rFonts w:ascii="Times New Roman" w:hAnsi="Times New Roman" w:cs="Times New Roman"/>
          <w:i/>
          <w:color w:val="000000" w:themeColor="text1"/>
        </w:rPr>
        <w:t xml:space="preserve"> du </w:t>
      </w:r>
      <w:proofErr w:type="spellStart"/>
      <w:r w:rsidRPr="009D7635">
        <w:rPr>
          <w:rFonts w:ascii="Times New Roman" w:hAnsi="Times New Roman" w:cs="Times New Roman"/>
          <w:i/>
          <w:color w:val="000000" w:themeColor="text1"/>
        </w:rPr>
        <w:t>décret</w:t>
      </w:r>
      <w:proofErr w:type="spellEnd"/>
      <w:r w:rsidRPr="009D7635">
        <w:rPr>
          <w:rFonts w:ascii="Times New Roman" w:hAnsi="Times New Roman" w:cs="Times New Roman"/>
          <w:i/>
          <w:color w:val="000000" w:themeColor="text1"/>
        </w:rPr>
        <w:t xml:space="preserve"> de 1210: Alexandre </w:t>
      </w:r>
      <w:proofErr w:type="spellStart"/>
      <w:r w:rsidRPr="009D7635">
        <w:rPr>
          <w:rFonts w:ascii="Times New Roman" w:hAnsi="Times New Roman" w:cs="Times New Roman"/>
          <w:i/>
          <w:color w:val="000000" w:themeColor="text1"/>
        </w:rPr>
        <w:t>d’Aphrodise</w:t>
      </w:r>
      <w:proofErr w:type="spellEnd"/>
      <w:r w:rsidRPr="009D7635">
        <w:rPr>
          <w:rFonts w:ascii="Times New Roman" w:hAnsi="Times New Roman" w:cs="Times New Roman"/>
          <w:i/>
          <w:color w:val="000000" w:themeColor="text1"/>
        </w:rPr>
        <w:t>: aper</w:t>
      </w:r>
      <w:r w:rsidR="00402F25" w:rsidRPr="009D7635">
        <w:rPr>
          <w:rFonts w:ascii="Times New Roman" w:hAnsi="Times New Roman" w:cs="Times New Roman"/>
          <w:i/>
          <w:color w:val="000000" w:themeColor="text1"/>
        </w:rPr>
        <w:t>ç</w:t>
      </w:r>
      <w:r w:rsidRPr="009D7635">
        <w:rPr>
          <w:rFonts w:ascii="Times New Roman" w:hAnsi="Times New Roman" w:cs="Times New Roman"/>
          <w:i/>
          <w:color w:val="000000" w:themeColor="text1"/>
        </w:rPr>
        <w:t xml:space="preserve">u </w:t>
      </w:r>
      <w:proofErr w:type="spellStart"/>
      <w:r w:rsidRPr="009D7635">
        <w:rPr>
          <w:rFonts w:ascii="Times New Roman" w:hAnsi="Times New Roman" w:cs="Times New Roman"/>
          <w:i/>
          <w:color w:val="000000" w:themeColor="text1"/>
        </w:rPr>
        <w:t>sur</w:t>
      </w:r>
      <w:proofErr w:type="spellEnd"/>
      <w:r w:rsidRPr="009D7635">
        <w:rPr>
          <w:rFonts w:ascii="Times New Roman" w:hAnsi="Times New Roman" w:cs="Times New Roman"/>
          <w:i/>
          <w:color w:val="000000" w:themeColor="text1"/>
        </w:rPr>
        <w:t xml:space="preserve"> l’influence de </w:t>
      </w:r>
      <w:proofErr w:type="spellStart"/>
      <w:r w:rsidRPr="009D7635">
        <w:rPr>
          <w:rFonts w:ascii="Times New Roman" w:hAnsi="Times New Roman" w:cs="Times New Roman"/>
          <w:i/>
          <w:color w:val="000000" w:themeColor="text1"/>
        </w:rPr>
        <w:t>sa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noétique</w:t>
      </w:r>
      <w:proofErr w:type="spellEnd"/>
      <w:r w:rsidRPr="009D7635">
        <w:rPr>
          <w:rFonts w:ascii="Times New Roman" w:hAnsi="Times New Roman" w:cs="Times New Roman"/>
          <w:color w:val="000000" w:themeColor="text1"/>
        </w:rPr>
        <w:t xml:space="preserve"> (Paris: Le </w:t>
      </w:r>
      <w:proofErr w:type="spellStart"/>
      <w:r w:rsidRPr="009D7635">
        <w:rPr>
          <w:rFonts w:ascii="Times New Roman" w:hAnsi="Times New Roman" w:cs="Times New Roman"/>
          <w:color w:val="000000" w:themeColor="text1"/>
        </w:rPr>
        <w:t>Salchoir</w:t>
      </w:r>
      <w:proofErr w:type="spellEnd"/>
      <w:r w:rsidRPr="009D7635">
        <w:rPr>
          <w:rFonts w:ascii="Times New Roman" w:hAnsi="Times New Roman" w:cs="Times New Roman"/>
          <w:color w:val="000000" w:themeColor="text1"/>
        </w:rPr>
        <w:t xml:space="preserve">, 1926), 11. This work includes a discussion of the Arabic and Latin translations of some of Alexander’s writing, such as </w:t>
      </w:r>
      <w:r w:rsidRPr="009D7635">
        <w:rPr>
          <w:rFonts w:ascii="Times New Roman" w:hAnsi="Times New Roman" w:cs="Times New Roman"/>
          <w:i/>
          <w:iCs/>
          <w:color w:val="000000" w:themeColor="text1"/>
        </w:rPr>
        <w:t xml:space="preserve">De </w:t>
      </w:r>
      <w:proofErr w:type="spellStart"/>
      <w:r w:rsidRPr="009D7635">
        <w:rPr>
          <w:rFonts w:ascii="Times New Roman" w:hAnsi="Times New Roman" w:cs="Times New Roman"/>
          <w:i/>
          <w:iCs/>
          <w:color w:val="000000" w:themeColor="text1"/>
        </w:rPr>
        <w:t>intellectu</w:t>
      </w:r>
      <w:proofErr w:type="spellEnd"/>
      <w:r w:rsidRPr="009D7635">
        <w:rPr>
          <w:rFonts w:ascii="Times New Roman" w:hAnsi="Times New Roman" w:cs="Times New Roman"/>
          <w:i/>
          <w:iCs/>
          <w:color w:val="000000" w:themeColor="text1"/>
        </w:rPr>
        <w:t>.</w:t>
      </w:r>
    </w:p>
  </w:footnote>
  <w:footnote w:id="812">
    <w:p w14:paraId="4711BAC7"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G. </w:t>
      </w:r>
      <w:proofErr w:type="spellStart"/>
      <w:r w:rsidRPr="009D7635">
        <w:rPr>
          <w:rFonts w:ascii="Times New Roman" w:hAnsi="Times New Roman" w:cs="Times New Roman"/>
          <w:color w:val="000000" w:themeColor="text1"/>
        </w:rPr>
        <w:t>Théry</w:t>
      </w:r>
      <w:proofErr w:type="spellEnd"/>
      <w:r w:rsidRPr="009D7635">
        <w:rPr>
          <w:rFonts w:ascii="Times New Roman" w:hAnsi="Times New Roman" w:cs="Times New Roman"/>
          <w:color w:val="000000" w:themeColor="text1"/>
        </w:rPr>
        <w:t xml:space="preserve"> O.P., </w:t>
      </w:r>
      <w:proofErr w:type="spellStart"/>
      <w:r w:rsidRPr="009D7635">
        <w:rPr>
          <w:rFonts w:ascii="Times New Roman" w:hAnsi="Times New Roman" w:cs="Times New Roman"/>
          <w:i/>
          <w:color w:val="000000" w:themeColor="text1"/>
        </w:rPr>
        <w:t>Autour</w:t>
      </w:r>
      <w:proofErr w:type="spellEnd"/>
      <w:r w:rsidRPr="009D7635">
        <w:rPr>
          <w:rFonts w:ascii="Times New Roman" w:hAnsi="Times New Roman" w:cs="Times New Roman"/>
          <w:i/>
          <w:color w:val="000000" w:themeColor="text1"/>
        </w:rPr>
        <w:t xml:space="preserve"> du </w:t>
      </w:r>
      <w:proofErr w:type="spellStart"/>
      <w:r w:rsidRPr="009D7635">
        <w:rPr>
          <w:rFonts w:ascii="Times New Roman" w:hAnsi="Times New Roman" w:cs="Times New Roman"/>
          <w:i/>
          <w:color w:val="000000" w:themeColor="text1"/>
        </w:rPr>
        <w:t>décret</w:t>
      </w:r>
      <w:proofErr w:type="spellEnd"/>
      <w:r w:rsidRPr="009D7635">
        <w:rPr>
          <w:rFonts w:ascii="Times New Roman" w:hAnsi="Times New Roman" w:cs="Times New Roman"/>
          <w:i/>
          <w:color w:val="000000" w:themeColor="text1"/>
        </w:rPr>
        <w:t xml:space="preserve"> de 1210</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82.</w:t>
      </w:r>
    </w:p>
  </w:footnote>
  <w:footnote w:id="813">
    <w:p w14:paraId="0E373D16" w14:textId="28C36258"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874284" w:rsidRPr="009D7635">
        <w:rPr>
          <w:rFonts w:ascii="Times New Roman" w:hAnsi="Times New Roman" w:cs="Times New Roman"/>
          <w:color w:val="000000" w:themeColor="text1"/>
          <w:sz w:val="20"/>
          <w:szCs w:val="20"/>
        </w:rPr>
        <w:t xml:space="preserve">Ibid., </w:t>
      </w:r>
      <w:r w:rsidRPr="009D7635">
        <w:rPr>
          <w:rFonts w:ascii="Times New Roman" w:hAnsi="Times New Roman" w:cs="Times New Roman"/>
          <w:color w:val="000000" w:themeColor="text1"/>
          <w:sz w:val="20"/>
          <w:szCs w:val="20"/>
        </w:rPr>
        <w:t xml:space="preserve">7. </w:t>
      </w:r>
    </w:p>
  </w:footnote>
  <w:footnote w:id="814">
    <w:p w14:paraId="782F31D5" w14:textId="3EADE826"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Ernest A. Moody, ‘William of Auvergne and His Treatise</w:t>
      </w:r>
      <w:r w:rsidRPr="009D7635">
        <w:rPr>
          <w:rStyle w:val="apple-converted-space"/>
          <w:rFonts w:ascii="Times New Roman" w:hAnsi="Times New Roman" w:cs="Times New Roman"/>
          <w:color w:val="000000" w:themeColor="text1"/>
          <w:sz w:val="20"/>
          <w:szCs w:val="20"/>
        </w:rPr>
        <w:t> </w:t>
      </w:r>
      <w:r w:rsidRPr="009D7635">
        <w:rPr>
          <w:rStyle w:val="Emphasis"/>
          <w:rFonts w:ascii="Times New Roman" w:hAnsi="Times New Roman" w:cs="Times New Roman"/>
          <w:color w:val="000000" w:themeColor="text1"/>
          <w:sz w:val="20"/>
          <w:szCs w:val="20"/>
        </w:rPr>
        <w:t>De anima</w:t>
      </w:r>
      <w:r w:rsidRPr="009D7635">
        <w:rPr>
          <w:rFonts w:ascii="Times New Roman" w:hAnsi="Times New Roman" w:cs="Times New Roman"/>
          <w:color w:val="000000" w:themeColor="text1"/>
          <w:sz w:val="20"/>
          <w:szCs w:val="20"/>
        </w:rPr>
        <w:t>,’ in</w:t>
      </w:r>
      <w:r w:rsidRPr="009D7635">
        <w:rPr>
          <w:rStyle w:val="apple-converted-space"/>
          <w:rFonts w:ascii="Times New Roman" w:hAnsi="Times New Roman" w:cs="Times New Roman"/>
          <w:color w:val="000000" w:themeColor="text1"/>
          <w:sz w:val="20"/>
          <w:szCs w:val="20"/>
        </w:rPr>
        <w:t> </w:t>
      </w:r>
      <w:r w:rsidRPr="009D7635">
        <w:rPr>
          <w:rStyle w:val="Emphasis"/>
          <w:rFonts w:ascii="Times New Roman" w:hAnsi="Times New Roman" w:cs="Times New Roman"/>
          <w:color w:val="000000" w:themeColor="text1"/>
          <w:sz w:val="20"/>
          <w:szCs w:val="20"/>
        </w:rPr>
        <w:t>Studies in Medieval Philosophy, Science, and Logic, Collected Papers 1933–1969</w:t>
      </w:r>
      <w:r w:rsidRPr="009D7635">
        <w:rPr>
          <w:rFonts w:ascii="Times New Roman" w:hAnsi="Times New Roman" w:cs="Times New Roman"/>
          <w:color w:val="000000" w:themeColor="text1"/>
          <w:sz w:val="20"/>
          <w:szCs w:val="20"/>
        </w:rPr>
        <w:t xml:space="preserve"> (Berkeley: University of California Press, 1975), 21. G. </w:t>
      </w:r>
      <w:proofErr w:type="spellStart"/>
      <w:r w:rsidRPr="009D7635">
        <w:rPr>
          <w:rFonts w:ascii="Times New Roman" w:hAnsi="Times New Roman" w:cs="Times New Roman"/>
          <w:color w:val="000000" w:themeColor="text1"/>
          <w:sz w:val="20"/>
          <w:szCs w:val="20"/>
        </w:rPr>
        <w:t>Théry</w:t>
      </w:r>
      <w:proofErr w:type="spellEnd"/>
      <w:r w:rsidRPr="009D7635">
        <w:rPr>
          <w:rFonts w:ascii="Times New Roman" w:hAnsi="Times New Roman" w:cs="Times New Roman"/>
          <w:color w:val="000000" w:themeColor="text1"/>
          <w:sz w:val="20"/>
          <w:szCs w:val="20"/>
        </w:rPr>
        <w:t xml:space="preserve"> O.P., </w:t>
      </w:r>
      <w:proofErr w:type="spellStart"/>
      <w:r w:rsidRPr="009D7635">
        <w:rPr>
          <w:rFonts w:ascii="Times New Roman" w:hAnsi="Times New Roman" w:cs="Times New Roman"/>
          <w:i/>
          <w:color w:val="000000" w:themeColor="text1"/>
          <w:sz w:val="20"/>
          <w:szCs w:val="20"/>
        </w:rPr>
        <w:t>Autour</w:t>
      </w:r>
      <w:proofErr w:type="spellEnd"/>
      <w:r w:rsidRPr="009D7635">
        <w:rPr>
          <w:rFonts w:ascii="Times New Roman" w:hAnsi="Times New Roman" w:cs="Times New Roman"/>
          <w:i/>
          <w:color w:val="000000" w:themeColor="text1"/>
          <w:sz w:val="20"/>
          <w:szCs w:val="20"/>
        </w:rPr>
        <w:t xml:space="preserve"> du </w:t>
      </w:r>
      <w:proofErr w:type="spellStart"/>
      <w:r w:rsidRPr="009D7635">
        <w:rPr>
          <w:rFonts w:ascii="Times New Roman" w:hAnsi="Times New Roman" w:cs="Times New Roman"/>
          <w:i/>
          <w:color w:val="000000" w:themeColor="text1"/>
          <w:sz w:val="20"/>
          <w:szCs w:val="20"/>
        </w:rPr>
        <w:t>décret</w:t>
      </w:r>
      <w:proofErr w:type="spellEnd"/>
      <w:r w:rsidRPr="009D7635">
        <w:rPr>
          <w:rFonts w:ascii="Times New Roman" w:hAnsi="Times New Roman" w:cs="Times New Roman"/>
          <w:i/>
          <w:color w:val="000000" w:themeColor="text1"/>
          <w:sz w:val="20"/>
          <w:szCs w:val="20"/>
        </w:rPr>
        <w:t xml:space="preserve"> de 1210</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110. In particular, William objected to </w:t>
      </w:r>
      <w:r w:rsidR="00E2496A" w:rsidRPr="009D7635">
        <w:rPr>
          <w:rFonts w:ascii="Times New Roman" w:hAnsi="Times New Roman" w:cs="Times New Roman"/>
          <w:color w:val="000000" w:themeColor="text1"/>
          <w:sz w:val="20"/>
          <w:szCs w:val="20"/>
        </w:rPr>
        <w:t xml:space="preserve">Alexander of </w:t>
      </w:r>
      <w:proofErr w:type="spellStart"/>
      <w:r w:rsidRPr="009D7635">
        <w:rPr>
          <w:rFonts w:ascii="Times New Roman" w:hAnsi="Times New Roman" w:cs="Times New Roman"/>
          <w:color w:val="000000" w:themeColor="text1"/>
          <w:sz w:val="20"/>
          <w:szCs w:val="20"/>
        </w:rPr>
        <w:t>Aphrodisias</w:t>
      </w:r>
      <w:proofErr w:type="spellEnd"/>
      <w:r w:rsidRPr="009D7635">
        <w:rPr>
          <w:rFonts w:ascii="Times New Roman" w:hAnsi="Times New Roman" w:cs="Times New Roman"/>
          <w:color w:val="000000" w:themeColor="text1"/>
          <w:sz w:val="20"/>
          <w:szCs w:val="20"/>
        </w:rPr>
        <w:t>’ materialist belief that the intellect is a function of the body.</w:t>
      </w:r>
    </w:p>
  </w:footnote>
  <w:footnote w:id="815">
    <w:p w14:paraId="4597A51A" w14:textId="504DDB79"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Athanasios</w:t>
      </w:r>
      <w:proofErr w:type="spellEnd"/>
      <w:r w:rsidRPr="009D7635">
        <w:rPr>
          <w:rFonts w:ascii="Times New Roman" w:hAnsi="Times New Roman" w:cs="Times New Roman"/>
          <w:color w:val="000000" w:themeColor="text1"/>
        </w:rPr>
        <w:t xml:space="preserve"> P. </w:t>
      </w:r>
      <w:proofErr w:type="spellStart"/>
      <w:r w:rsidRPr="009D7635">
        <w:rPr>
          <w:rFonts w:ascii="Times New Roman" w:hAnsi="Times New Roman" w:cs="Times New Roman"/>
          <w:color w:val="000000" w:themeColor="text1"/>
        </w:rPr>
        <w:t>Fotonis</w:t>
      </w:r>
      <w:proofErr w:type="spellEnd"/>
      <w:r w:rsidRPr="009D7635">
        <w:rPr>
          <w:rFonts w:ascii="Times New Roman" w:hAnsi="Times New Roman" w:cs="Times New Roman"/>
          <w:color w:val="000000" w:themeColor="text1"/>
        </w:rPr>
        <w:t xml:space="preserve">, ‘The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of Alexander of </w:t>
      </w:r>
      <w:proofErr w:type="spellStart"/>
      <w:r w:rsidRPr="009D7635">
        <w:rPr>
          <w:rFonts w:ascii="Times New Roman" w:hAnsi="Times New Roman" w:cs="Times New Roman"/>
          <w:color w:val="000000" w:themeColor="text1"/>
        </w:rPr>
        <w:t>Aphrodisias</w:t>
      </w:r>
      <w:proofErr w:type="spellEnd"/>
      <w:r w:rsidRPr="009D7635">
        <w:rPr>
          <w:rFonts w:ascii="Times New Roman" w:hAnsi="Times New Roman" w:cs="Times New Roman"/>
          <w:color w:val="000000" w:themeColor="text1"/>
        </w:rPr>
        <w:t xml:space="preserve">: A Translation and Commentary,’ </w:t>
      </w:r>
      <w:r w:rsidR="00C7192F"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PhD Dissertation</w:t>
      </w:r>
      <w:r w:rsidR="00C7192F"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Marquette University, 1978), 303. The translation is based upon Alexander of </w:t>
      </w:r>
      <w:proofErr w:type="spellStart"/>
      <w:r w:rsidRPr="009D7635">
        <w:rPr>
          <w:rFonts w:ascii="Times New Roman" w:hAnsi="Times New Roman" w:cs="Times New Roman"/>
          <w:color w:val="000000" w:themeColor="text1"/>
        </w:rPr>
        <w:t>Aphrodisias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 xml:space="preserve">ed. </w:t>
      </w:r>
      <w:r w:rsidRPr="009D7635">
        <w:rPr>
          <w:rFonts w:ascii="Times New Roman" w:hAnsi="Times New Roman" w:cs="Times New Roman"/>
          <w:color w:val="000000" w:themeColor="text1"/>
          <w:lang w:val="en-US"/>
        </w:rPr>
        <w:t xml:space="preserve">Ivo </w:t>
      </w:r>
      <w:proofErr w:type="spellStart"/>
      <w:r w:rsidRPr="009D7635">
        <w:rPr>
          <w:rFonts w:ascii="Times New Roman" w:hAnsi="Times New Roman" w:cs="Times New Roman"/>
          <w:color w:val="000000" w:themeColor="text1"/>
          <w:lang w:val="en-US"/>
        </w:rPr>
        <w:t>Bruns</w:t>
      </w:r>
      <w:proofErr w:type="spellEnd"/>
      <w:r w:rsidRPr="009D7635">
        <w:rPr>
          <w:rFonts w:ascii="Times New Roman" w:hAnsi="Times New Roman" w:cs="Times New Roman"/>
          <w:color w:val="000000" w:themeColor="text1"/>
          <w:lang w:val="en-US"/>
        </w:rPr>
        <w:t xml:space="preserve">, Pars I, </w:t>
      </w:r>
      <w:proofErr w:type="spellStart"/>
      <w:r w:rsidRPr="009D7635">
        <w:rPr>
          <w:rFonts w:ascii="Times New Roman" w:hAnsi="Times New Roman" w:cs="Times New Roman"/>
          <w:color w:val="000000" w:themeColor="text1"/>
          <w:lang w:val="en-US"/>
        </w:rPr>
        <w:t>Voluminis</w:t>
      </w:r>
      <w:proofErr w:type="spellEnd"/>
      <w:r w:rsidRPr="009D7635">
        <w:rPr>
          <w:rFonts w:ascii="Times New Roman" w:hAnsi="Times New Roman" w:cs="Times New Roman"/>
          <w:color w:val="000000" w:themeColor="text1"/>
          <w:lang w:val="en-US"/>
        </w:rPr>
        <w:t xml:space="preserve"> II: </w:t>
      </w:r>
      <w:proofErr w:type="spellStart"/>
      <w:r w:rsidRPr="009D7635">
        <w:rPr>
          <w:rFonts w:ascii="Times New Roman" w:hAnsi="Times New Roman" w:cs="Times New Roman"/>
          <w:i/>
          <w:iCs/>
          <w:color w:val="000000" w:themeColor="text1"/>
          <w:lang w:val="en-US"/>
        </w:rPr>
        <w:t>Alexandri</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Aphrodisiensis</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Praeter</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Commentaria</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Scripta</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Minora</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Commentaria</w:t>
      </w:r>
      <w:proofErr w:type="spellEnd"/>
      <w:r w:rsidRPr="009D7635">
        <w:rPr>
          <w:rFonts w:ascii="Times New Roman" w:hAnsi="Times New Roman" w:cs="Times New Roman"/>
          <w:i/>
          <w:iCs/>
          <w:color w:val="000000" w:themeColor="text1"/>
          <w:lang w:val="en-US"/>
        </w:rPr>
        <w:t xml:space="preserve"> in </w:t>
      </w:r>
      <w:proofErr w:type="spellStart"/>
      <w:r w:rsidRPr="009D7635">
        <w:rPr>
          <w:rFonts w:ascii="Times New Roman" w:hAnsi="Times New Roman" w:cs="Times New Roman"/>
          <w:i/>
          <w:iCs/>
          <w:color w:val="000000" w:themeColor="text1"/>
          <w:lang w:val="en-US"/>
        </w:rPr>
        <w:t>Aristotelem</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Graeca</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Berolini</w:t>
      </w:r>
      <w:proofErr w:type="spellEnd"/>
      <w:r w:rsidRPr="009D7635">
        <w:rPr>
          <w:rFonts w:ascii="Times New Roman" w:hAnsi="Times New Roman" w:cs="Times New Roman"/>
          <w:color w:val="000000" w:themeColor="text1"/>
          <w:lang w:val="en-US"/>
        </w:rPr>
        <w:t>:</w:t>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lang w:val="en-US"/>
        </w:rPr>
        <w:t>Typis</w:t>
      </w:r>
      <w:proofErr w:type="spellEnd"/>
      <w:r w:rsidRPr="009D7635">
        <w:rPr>
          <w:rFonts w:ascii="Times New Roman" w:hAnsi="Times New Roman" w:cs="Times New Roman"/>
          <w:color w:val="000000" w:themeColor="text1"/>
          <w:lang w:val="en-US"/>
        </w:rPr>
        <w:t xml:space="preserve"> et </w:t>
      </w:r>
      <w:proofErr w:type="spellStart"/>
      <w:r w:rsidRPr="009D7635">
        <w:rPr>
          <w:rFonts w:ascii="Times New Roman" w:hAnsi="Times New Roman" w:cs="Times New Roman"/>
          <w:color w:val="000000" w:themeColor="text1"/>
          <w:lang w:val="en-US"/>
        </w:rPr>
        <w:t>Impensis</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Georgii</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Reimeri</w:t>
      </w:r>
      <w:proofErr w:type="spellEnd"/>
      <w:r w:rsidRPr="009D7635">
        <w:rPr>
          <w:rFonts w:ascii="Times New Roman" w:hAnsi="Times New Roman" w:cs="Times New Roman"/>
          <w:color w:val="000000" w:themeColor="text1"/>
          <w:lang w:val="en-US"/>
        </w:rPr>
        <w:t>, 1887).</w:t>
      </w:r>
      <w:r w:rsidRPr="009D7635">
        <w:rPr>
          <w:rFonts w:ascii="Times New Roman" w:hAnsi="Times New Roman" w:cs="Times New Roman"/>
          <w:color w:val="000000" w:themeColor="text1"/>
        </w:rPr>
        <w:t xml:space="preserve"> Herbert A. Davidson, </w:t>
      </w:r>
      <w:proofErr w:type="spellStart"/>
      <w:r w:rsidRPr="009D7635">
        <w:rPr>
          <w:rFonts w:ascii="Times New Roman" w:hAnsi="Times New Roman" w:cs="Times New Roman"/>
          <w:i/>
          <w:color w:val="000000" w:themeColor="text1"/>
          <w:lang w:val="en-US"/>
        </w:rPr>
        <w:t>Alfarabi</w:t>
      </w:r>
      <w:proofErr w:type="spellEnd"/>
      <w:r w:rsidRPr="009D7635">
        <w:rPr>
          <w:rFonts w:ascii="Times New Roman" w:hAnsi="Times New Roman" w:cs="Times New Roman"/>
          <w:i/>
          <w:color w:val="000000" w:themeColor="text1"/>
          <w:lang w:val="en-US"/>
        </w:rPr>
        <w:t xml:space="preserve">, Avicenna, and </w:t>
      </w:r>
      <w:proofErr w:type="spellStart"/>
      <w:r w:rsidRPr="009D7635">
        <w:rPr>
          <w:rFonts w:ascii="Times New Roman" w:hAnsi="Times New Roman" w:cs="Times New Roman"/>
          <w:i/>
          <w:color w:val="000000" w:themeColor="text1"/>
          <w:lang w:val="en-US"/>
        </w:rPr>
        <w:t>Averroes</w:t>
      </w:r>
      <w:proofErr w:type="spellEnd"/>
      <w:r w:rsidRPr="009D7635">
        <w:rPr>
          <w:rFonts w:ascii="Times New Roman" w:hAnsi="Times New Roman" w:cs="Times New Roman"/>
          <w:i/>
          <w:color w:val="000000" w:themeColor="text1"/>
          <w:lang w:val="en-US"/>
        </w:rPr>
        <w:t xml:space="preserve"> on Intellect: Their Cosmologies, Theories of Active Intellect, and Theories of Human Intellect</w:t>
      </w:r>
      <w:r w:rsidRPr="009D7635">
        <w:rPr>
          <w:rFonts w:ascii="Times New Roman" w:hAnsi="Times New Roman" w:cs="Times New Roman"/>
          <w:color w:val="000000" w:themeColor="text1"/>
          <w:lang w:val="en-US"/>
        </w:rPr>
        <w:t xml:space="preserve"> (Oxford: Oxford University Press, 1992)</w:t>
      </w:r>
      <w:r w:rsidRPr="009D7635">
        <w:rPr>
          <w:rFonts w:ascii="Times New Roman" w:hAnsi="Times New Roman" w:cs="Times New Roman"/>
          <w:iCs/>
          <w:color w:val="000000" w:themeColor="text1"/>
          <w:lang w:val="en-US"/>
        </w:rPr>
        <w:t>,</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9</w:t>
      </w:r>
      <w:r w:rsidR="006B1382" w:rsidRPr="009D7635">
        <w:rPr>
          <w:rFonts w:ascii="Times New Roman" w:hAnsi="Times New Roman" w:cs="Times New Roman"/>
          <w:color w:val="000000" w:themeColor="text1"/>
        </w:rPr>
        <w:t>.</w:t>
      </w:r>
    </w:p>
  </w:footnote>
  <w:footnote w:id="816">
    <w:p w14:paraId="65A59F80" w14:textId="5A2919A7" w:rsidR="00B93ED5" w:rsidRPr="009D7635" w:rsidRDefault="00B93ED5" w:rsidP="002555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Athanasios</w:t>
      </w:r>
      <w:proofErr w:type="spellEnd"/>
      <w:r w:rsidRPr="009D7635">
        <w:rPr>
          <w:rFonts w:ascii="Times New Roman" w:hAnsi="Times New Roman" w:cs="Times New Roman"/>
          <w:color w:val="000000" w:themeColor="text1"/>
          <w:sz w:val="20"/>
          <w:szCs w:val="20"/>
        </w:rPr>
        <w:t xml:space="preserve"> P. </w:t>
      </w:r>
      <w:proofErr w:type="spellStart"/>
      <w:r w:rsidRPr="009D7635">
        <w:rPr>
          <w:rFonts w:ascii="Times New Roman" w:hAnsi="Times New Roman" w:cs="Times New Roman"/>
          <w:color w:val="000000" w:themeColor="text1"/>
          <w:sz w:val="20"/>
          <w:szCs w:val="20"/>
        </w:rPr>
        <w:t>Fotonis</w:t>
      </w:r>
      <w:proofErr w:type="spellEnd"/>
      <w:r w:rsidRPr="009D7635">
        <w:rPr>
          <w:rFonts w:ascii="Times New Roman" w:hAnsi="Times New Roman" w:cs="Times New Roman"/>
          <w:color w:val="000000" w:themeColor="text1"/>
          <w:sz w:val="20"/>
          <w:szCs w:val="20"/>
        </w:rPr>
        <w:t xml:space="preserve">, ‘The </w:t>
      </w:r>
      <w:r w:rsidRPr="009D7635">
        <w:rPr>
          <w:rFonts w:ascii="Times New Roman" w:hAnsi="Times New Roman" w:cs="Times New Roman"/>
          <w:i/>
          <w:color w:val="000000" w:themeColor="text1"/>
          <w:sz w:val="20"/>
          <w:szCs w:val="20"/>
        </w:rPr>
        <w:t>De anima</w:t>
      </w:r>
      <w:r w:rsidRPr="009D7635">
        <w:rPr>
          <w:rFonts w:ascii="Times New Roman" w:hAnsi="Times New Roman" w:cs="Times New Roman"/>
          <w:color w:val="000000" w:themeColor="text1"/>
          <w:sz w:val="20"/>
          <w:szCs w:val="20"/>
        </w:rPr>
        <w:t xml:space="preserve"> of Alexander of </w:t>
      </w:r>
      <w:proofErr w:type="spellStart"/>
      <w:r w:rsidRPr="009D7635">
        <w:rPr>
          <w:rFonts w:ascii="Times New Roman" w:hAnsi="Times New Roman" w:cs="Times New Roman"/>
          <w:color w:val="000000" w:themeColor="text1"/>
          <w:sz w:val="20"/>
          <w:szCs w:val="20"/>
        </w:rPr>
        <w:t>Aphrodisias</w:t>
      </w:r>
      <w:proofErr w:type="spellEnd"/>
      <w:r w:rsidRPr="009D7635">
        <w:rPr>
          <w:rFonts w:ascii="Times New Roman" w:hAnsi="Times New Roman" w:cs="Times New Roman"/>
          <w:color w:val="000000" w:themeColor="text1"/>
          <w:sz w:val="20"/>
          <w:szCs w:val="20"/>
        </w:rPr>
        <w:t>,’ 138 (text), 312 (commentary</w:t>
      </w:r>
      <w:r w:rsidR="006B1382" w:rsidRPr="009D7635">
        <w:rPr>
          <w:rFonts w:ascii="Times New Roman" w:hAnsi="Times New Roman" w:cs="Times New Roman"/>
          <w:color w:val="000000" w:themeColor="text1"/>
          <w:sz w:val="20"/>
          <w:szCs w:val="20"/>
        </w:rPr>
        <w:t>)</w:t>
      </w:r>
      <w:r w:rsidR="000155B5" w:rsidRPr="009D7635">
        <w:rPr>
          <w:rFonts w:ascii="Times New Roman" w:hAnsi="Times New Roman" w:cs="Times New Roman"/>
          <w:color w:val="000000" w:themeColor="text1"/>
          <w:sz w:val="20"/>
          <w:szCs w:val="20"/>
        </w:rPr>
        <w:t>.</w:t>
      </w:r>
    </w:p>
  </w:footnote>
  <w:footnote w:id="817">
    <w:p w14:paraId="1DE4CF2A" w14:textId="64865E75" w:rsidR="00B93ED5" w:rsidRPr="009D7635" w:rsidRDefault="00B93ED5" w:rsidP="002555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Athanasios</w:t>
      </w:r>
      <w:proofErr w:type="spellEnd"/>
      <w:r w:rsidRPr="009D7635">
        <w:rPr>
          <w:rFonts w:ascii="Times New Roman" w:hAnsi="Times New Roman" w:cs="Times New Roman"/>
          <w:color w:val="000000" w:themeColor="text1"/>
          <w:sz w:val="20"/>
          <w:szCs w:val="20"/>
        </w:rPr>
        <w:t xml:space="preserve"> P. </w:t>
      </w:r>
      <w:proofErr w:type="spellStart"/>
      <w:r w:rsidRPr="009D7635">
        <w:rPr>
          <w:rFonts w:ascii="Times New Roman" w:hAnsi="Times New Roman" w:cs="Times New Roman"/>
          <w:color w:val="000000" w:themeColor="text1"/>
          <w:sz w:val="20"/>
          <w:szCs w:val="20"/>
        </w:rPr>
        <w:t>Fotonis</w:t>
      </w:r>
      <w:proofErr w:type="spellEnd"/>
      <w:r w:rsidRPr="009D7635">
        <w:rPr>
          <w:rFonts w:ascii="Times New Roman" w:hAnsi="Times New Roman" w:cs="Times New Roman"/>
          <w:color w:val="000000" w:themeColor="text1"/>
          <w:sz w:val="20"/>
          <w:szCs w:val="20"/>
        </w:rPr>
        <w:t xml:space="preserve">, ‘The </w:t>
      </w:r>
      <w:r w:rsidRPr="009D7635">
        <w:rPr>
          <w:rFonts w:ascii="Times New Roman" w:hAnsi="Times New Roman" w:cs="Times New Roman"/>
          <w:i/>
          <w:color w:val="000000" w:themeColor="text1"/>
          <w:sz w:val="20"/>
          <w:szCs w:val="20"/>
        </w:rPr>
        <w:t>De anima</w:t>
      </w:r>
      <w:r w:rsidRPr="009D7635">
        <w:rPr>
          <w:rFonts w:ascii="Times New Roman" w:hAnsi="Times New Roman" w:cs="Times New Roman"/>
          <w:color w:val="000000" w:themeColor="text1"/>
          <w:sz w:val="20"/>
          <w:szCs w:val="20"/>
        </w:rPr>
        <w:t xml:space="preserve"> of Alexander of </w:t>
      </w:r>
      <w:proofErr w:type="spellStart"/>
      <w:r w:rsidRPr="009D7635">
        <w:rPr>
          <w:rFonts w:ascii="Times New Roman" w:hAnsi="Times New Roman" w:cs="Times New Roman"/>
          <w:color w:val="000000" w:themeColor="text1"/>
          <w:sz w:val="20"/>
          <w:szCs w:val="20"/>
        </w:rPr>
        <w:t>Aphrodisias</w:t>
      </w:r>
      <w:proofErr w:type="spellEnd"/>
      <w:r w:rsidRPr="009D7635">
        <w:rPr>
          <w:rFonts w:ascii="Times New Roman" w:hAnsi="Times New Roman" w:cs="Times New Roman"/>
          <w:color w:val="000000" w:themeColor="text1"/>
          <w:sz w:val="20"/>
          <w:szCs w:val="20"/>
        </w:rPr>
        <w:t>,’ 110-11</w:t>
      </w:r>
      <w:r w:rsidR="000155B5" w:rsidRPr="009D7635">
        <w:rPr>
          <w:rFonts w:ascii="Times New Roman" w:hAnsi="Times New Roman" w:cs="Times New Roman"/>
          <w:color w:val="000000" w:themeColor="text1"/>
          <w:sz w:val="20"/>
          <w:szCs w:val="20"/>
        </w:rPr>
        <w:t xml:space="preserve">; </w:t>
      </w:r>
      <w:r w:rsidR="000155B5" w:rsidRPr="009D7635">
        <w:rPr>
          <w:rFonts w:ascii="Times New Roman" w:hAnsi="Times New Roman" w:cs="Times New Roman"/>
          <w:color w:val="000000" w:themeColor="text1"/>
          <w:sz w:val="20"/>
          <w:szCs w:val="20"/>
          <w:lang w:val="en-US"/>
        </w:rPr>
        <w:t>referencing</w:t>
      </w:r>
      <w:r w:rsidRPr="009D7635">
        <w:rPr>
          <w:rFonts w:ascii="Times New Roman" w:hAnsi="Times New Roman" w:cs="Times New Roman"/>
          <w:color w:val="000000" w:themeColor="text1"/>
          <w:sz w:val="20"/>
          <w:szCs w:val="20"/>
          <w:lang w:val="en-US"/>
        </w:rPr>
        <w:t xml:space="preserve"> Aristotle, </w:t>
      </w:r>
      <w:r w:rsidRPr="009D7635">
        <w:rPr>
          <w:rFonts w:ascii="Times New Roman" w:hAnsi="Times New Roman" w:cs="Times New Roman"/>
          <w:i/>
          <w:iCs/>
          <w:color w:val="000000" w:themeColor="text1"/>
          <w:sz w:val="20"/>
          <w:szCs w:val="20"/>
          <w:lang w:val="en-US"/>
        </w:rPr>
        <w:t>De anima</w:t>
      </w:r>
      <w:r w:rsidRPr="009D7635">
        <w:rPr>
          <w:rFonts w:ascii="Times New Roman" w:hAnsi="Times New Roman" w:cs="Times New Roman"/>
          <w:color w:val="000000" w:themeColor="text1"/>
          <w:sz w:val="20"/>
          <w:szCs w:val="20"/>
          <w:lang w:val="en-US"/>
        </w:rPr>
        <w:t>, III.5, 430a 10-12 and III.4, 430a 1-2.</w:t>
      </w:r>
    </w:p>
  </w:footnote>
  <w:footnote w:id="818">
    <w:p w14:paraId="6DEC33AE" w14:textId="284BF4C8"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Herbert A. Davidson, </w:t>
      </w:r>
      <w:proofErr w:type="spellStart"/>
      <w:r w:rsidRPr="009D7635">
        <w:rPr>
          <w:rFonts w:ascii="Times New Roman" w:hAnsi="Times New Roman" w:cs="Times New Roman"/>
          <w:i/>
          <w:color w:val="000000" w:themeColor="text1"/>
          <w:sz w:val="20"/>
          <w:szCs w:val="20"/>
          <w:lang w:val="en-US"/>
        </w:rPr>
        <w:t>Alfarabi</w:t>
      </w:r>
      <w:proofErr w:type="spellEnd"/>
      <w:r w:rsidRPr="009D7635">
        <w:rPr>
          <w:rFonts w:ascii="Times New Roman" w:hAnsi="Times New Roman" w:cs="Times New Roman"/>
          <w:i/>
          <w:color w:val="000000" w:themeColor="text1"/>
          <w:sz w:val="20"/>
          <w:szCs w:val="20"/>
          <w:lang w:val="en-US"/>
        </w:rPr>
        <w:t xml:space="preserve">, Avicenna, and </w:t>
      </w:r>
      <w:proofErr w:type="spellStart"/>
      <w:r w:rsidRPr="009D7635">
        <w:rPr>
          <w:rFonts w:ascii="Times New Roman" w:hAnsi="Times New Roman" w:cs="Times New Roman"/>
          <w:i/>
          <w:color w:val="000000" w:themeColor="text1"/>
          <w:sz w:val="20"/>
          <w:szCs w:val="20"/>
          <w:lang w:val="en-US"/>
        </w:rPr>
        <w:t>Averroes</w:t>
      </w:r>
      <w:proofErr w:type="spellEnd"/>
      <w:r w:rsidRPr="009D7635">
        <w:rPr>
          <w:rFonts w:ascii="Times New Roman" w:hAnsi="Times New Roman" w:cs="Times New Roman"/>
          <w:i/>
          <w:color w:val="000000" w:themeColor="text1"/>
          <w:sz w:val="20"/>
          <w:szCs w:val="20"/>
          <w:lang w:val="en-US"/>
        </w:rPr>
        <w:t xml:space="preserve"> on Intellect</w:t>
      </w:r>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37</w:t>
      </w:r>
      <w:r w:rsidR="00E82150"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Arthur Hyman,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 xml:space="preserve">’ Theory of the Intellect and the Ancient Commentators,’ in </w:t>
      </w:r>
      <w:proofErr w:type="spellStart"/>
      <w:r w:rsidRPr="009D7635">
        <w:rPr>
          <w:rFonts w:ascii="Times New Roman" w:hAnsi="Times New Roman" w:cs="Times New Roman"/>
          <w:i/>
          <w:color w:val="000000" w:themeColor="text1"/>
          <w:sz w:val="20"/>
          <w:szCs w:val="20"/>
        </w:rPr>
        <w:t>Averroes</w:t>
      </w:r>
      <w:proofErr w:type="spellEnd"/>
      <w:r w:rsidRPr="009D7635">
        <w:rPr>
          <w:rFonts w:ascii="Times New Roman" w:hAnsi="Times New Roman" w:cs="Times New Roman"/>
          <w:i/>
          <w:color w:val="000000" w:themeColor="text1"/>
          <w:sz w:val="20"/>
          <w:szCs w:val="20"/>
        </w:rPr>
        <w:t xml:space="preserve"> and the Aristotelian Tradition</w:t>
      </w:r>
      <w:r w:rsidRPr="009D7635">
        <w:rPr>
          <w:rFonts w:ascii="Times New Roman" w:hAnsi="Times New Roman" w:cs="Times New Roman"/>
          <w:color w:val="000000" w:themeColor="text1"/>
          <w:sz w:val="20"/>
          <w:szCs w:val="20"/>
        </w:rPr>
        <w:t xml:space="preserve">, ed. Gerhard </w:t>
      </w:r>
      <w:proofErr w:type="spellStart"/>
      <w:r w:rsidRPr="009D7635">
        <w:rPr>
          <w:rFonts w:ascii="Times New Roman" w:hAnsi="Times New Roman" w:cs="Times New Roman"/>
          <w:color w:val="000000" w:themeColor="text1"/>
          <w:sz w:val="20"/>
          <w:szCs w:val="20"/>
        </w:rPr>
        <w:t>Endress</w:t>
      </w:r>
      <w:proofErr w:type="spellEnd"/>
      <w:r w:rsidRPr="009D7635">
        <w:rPr>
          <w:rFonts w:ascii="Times New Roman" w:hAnsi="Times New Roman" w:cs="Times New Roman"/>
          <w:color w:val="000000" w:themeColor="text1"/>
          <w:sz w:val="20"/>
          <w:szCs w:val="20"/>
        </w:rPr>
        <w:t xml:space="preserve"> and Jan A. </w:t>
      </w:r>
      <w:proofErr w:type="spellStart"/>
      <w:r w:rsidRPr="009D7635">
        <w:rPr>
          <w:rFonts w:ascii="Times New Roman" w:hAnsi="Times New Roman" w:cs="Times New Roman"/>
          <w:color w:val="000000" w:themeColor="text1"/>
          <w:sz w:val="20"/>
          <w:szCs w:val="20"/>
        </w:rPr>
        <w:t>Aertsten</w:t>
      </w:r>
      <w:proofErr w:type="spellEnd"/>
      <w:r w:rsidRPr="009D7635">
        <w:rPr>
          <w:rFonts w:ascii="Times New Roman" w:hAnsi="Times New Roman" w:cs="Times New Roman"/>
          <w:color w:val="000000" w:themeColor="text1"/>
          <w:sz w:val="20"/>
          <w:szCs w:val="20"/>
        </w:rPr>
        <w:t xml:space="preserve"> (Leiden: Brill, 1999), 188-98, citing the </w:t>
      </w:r>
      <w:r w:rsidRPr="009D7635">
        <w:rPr>
          <w:rFonts w:ascii="Times New Roman" w:hAnsi="Times New Roman" w:cs="Times New Roman"/>
          <w:i/>
          <w:color w:val="000000" w:themeColor="text1"/>
          <w:sz w:val="20"/>
          <w:szCs w:val="20"/>
        </w:rPr>
        <w:t>Long Commentary</w:t>
      </w:r>
      <w:r w:rsidRPr="009D7635">
        <w:rPr>
          <w:rFonts w:ascii="Times New Roman" w:hAnsi="Times New Roman" w:cs="Times New Roman"/>
          <w:color w:val="000000" w:themeColor="text1"/>
          <w:sz w:val="20"/>
          <w:szCs w:val="20"/>
        </w:rPr>
        <w:t>, ed. Crawford, III.5, 393-7.</w:t>
      </w:r>
    </w:p>
  </w:footnote>
  <w:footnote w:id="819">
    <w:p w14:paraId="1987879C"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Athanasios</w:t>
      </w:r>
      <w:proofErr w:type="spellEnd"/>
      <w:r w:rsidRPr="009D7635">
        <w:rPr>
          <w:rFonts w:ascii="Times New Roman" w:hAnsi="Times New Roman" w:cs="Times New Roman"/>
          <w:color w:val="000000" w:themeColor="text1"/>
        </w:rPr>
        <w:t xml:space="preserve"> P. </w:t>
      </w:r>
      <w:proofErr w:type="spellStart"/>
      <w:r w:rsidRPr="009D7635">
        <w:rPr>
          <w:rFonts w:ascii="Times New Roman" w:hAnsi="Times New Roman" w:cs="Times New Roman"/>
          <w:color w:val="000000" w:themeColor="text1"/>
        </w:rPr>
        <w:t>Fotonis</w:t>
      </w:r>
      <w:proofErr w:type="spellEnd"/>
      <w:r w:rsidRPr="009D7635">
        <w:rPr>
          <w:rFonts w:ascii="Times New Roman" w:hAnsi="Times New Roman" w:cs="Times New Roman"/>
          <w:color w:val="000000" w:themeColor="text1"/>
        </w:rPr>
        <w:t xml:space="preserve">, ‘The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of Alexander of </w:t>
      </w:r>
      <w:proofErr w:type="spellStart"/>
      <w:r w:rsidRPr="009D7635">
        <w:rPr>
          <w:rFonts w:ascii="Times New Roman" w:hAnsi="Times New Roman" w:cs="Times New Roman"/>
          <w:color w:val="000000" w:themeColor="text1"/>
        </w:rPr>
        <w:t>Aphrodisias</w:t>
      </w:r>
      <w:proofErr w:type="spellEnd"/>
      <w:r w:rsidRPr="009D7635">
        <w:rPr>
          <w:rFonts w:ascii="Times New Roman" w:hAnsi="Times New Roman" w:cs="Times New Roman"/>
          <w:color w:val="000000" w:themeColor="text1"/>
        </w:rPr>
        <w:t xml:space="preserve">,’ 111. See also Herbert A. Davidson, </w:t>
      </w:r>
      <w:proofErr w:type="spellStart"/>
      <w:r w:rsidRPr="009D7635">
        <w:rPr>
          <w:rFonts w:ascii="Times New Roman" w:hAnsi="Times New Roman" w:cs="Times New Roman"/>
          <w:i/>
          <w:color w:val="000000" w:themeColor="text1"/>
          <w:lang w:val="en-US"/>
        </w:rPr>
        <w:t>Alfarabi</w:t>
      </w:r>
      <w:proofErr w:type="spellEnd"/>
      <w:r w:rsidRPr="009D7635">
        <w:rPr>
          <w:rFonts w:ascii="Times New Roman" w:hAnsi="Times New Roman" w:cs="Times New Roman"/>
          <w:i/>
          <w:color w:val="000000" w:themeColor="text1"/>
          <w:lang w:val="en-US"/>
        </w:rPr>
        <w:t xml:space="preserve">, Avicenna, and </w:t>
      </w:r>
      <w:proofErr w:type="spellStart"/>
      <w:r w:rsidRPr="009D7635">
        <w:rPr>
          <w:rFonts w:ascii="Times New Roman" w:hAnsi="Times New Roman" w:cs="Times New Roman"/>
          <w:i/>
          <w:color w:val="000000" w:themeColor="text1"/>
          <w:lang w:val="en-US"/>
        </w:rPr>
        <w:t>Averroes</w:t>
      </w:r>
      <w:proofErr w:type="spellEnd"/>
      <w:r w:rsidRPr="009D7635">
        <w:rPr>
          <w:rFonts w:ascii="Times New Roman" w:hAnsi="Times New Roman" w:cs="Times New Roman"/>
          <w:i/>
          <w:color w:val="000000" w:themeColor="text1"/>
          <w:lang w:val="en-US"/>
        </w:rPr>
        <w:t xml:space="preserve"> on Intellect</w:t>
      </w:r>
      <w:r w:rsidRPr="009D7635">
        <w:rPr>
          <w:rFonts w:ascii="Times New Roman" w:hAnsi="Times New Roman" w:cs="Times New Roman"/>
          <w:iCs/>
          <w:color w:val="000000" w:themeColor="text1"/>
          <w:lang w:val="en-US"/>
        </w:rPr>
        <w:t>,</w:t>
      </w:r>
      <w:r w:rsidRPr="009D7635">
        <w:rPr>
          <w:rFonts w:ascii="Times New Roman" w:hAnsi="Times New Roman" w:cs="Times New Roman"/>
          <w:i/>
          <w:color w:val="000000" w:themeColor="text1"/>
          <w:lang w:val="en-US"/>
        </w:rPr>
        <w:t xml:space="preserve"> </w:t>
      </w:r>
      <w:r w:rsidRPr="009D7635">
        <w:rPr>
          <w:rFonts w:ascii="Times New Roman" w:hAnsi="Times New Roman" w:cs="Times New Roman"/>
          <w:color w:val="000000" w:themeColor="text1"/>
          <w:lang w:val="en-US"/>
        </w:rPr>
        <w:t>10.</w:t>
      </w:r>
    </w:p>
  </w:footnote>
  <w:footnote w:id="820">
    <w:p w14:paraId="7F6A26A3"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Athanasios</w:t>
      </w:r>
      <w:proofErr w:type="spellEnd"/>
      <w:r w:rsidRPr="009D7635">
        <w:rPr>
          <w:rFonts w:ascii="Times New Roman" w:hAnsi="Times New Roman" w:cs="Times New Roman"/>
          <w:color w:val="000000" w:themeColor="text1"/>
        </w:rPr>
        <w:t xml:space="preserve"> P. </w:t>
      </w:r>
      <w:proofErr w:type="spellStart"/>
      <w:r w:rsidRPr="009D7635">
        <w:rPr>
          <w:rFonts w:ascii="Times New Roman" w:hAnsi="Times New Roman" w:cs="Times New Roman"/>
          <w:color w:val="000000" w:themeColor="text1"/>
        </w:rPr>
        <w:t>Fotonis</w:t>
      </w:r>
      <w:proofErr w:type="spellEnd"/>
      <w:r w:rsidRPr="009D7635">
        <w:rPr>
          <w:rFonts w:ascii="Times New Roman" w:hAnsi="Times New Roman" w:cs="Times New Roman"/>
          <w:color w:val="000000" w:themeColor="text1"/>
        </w:rPr>
        <w:t xml:space="preserve">, ‘The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of Alexander of </w:t>
      </w:r>
      <w:proofErr w:type="spellStart"/>
      <w:r w:rsidRPr="009D7635">
        <w:rPr>
          <w:rFonts w:ascii="Times New Roman" w:hAnsi="Times New Roman" w:cs="Times New Roman"/>
          <w:color w:val="000000" w:themeColor="text1"/>
        </w:rPr>
        <w:t>Aphrodisias</w:t>
      </w:r>
      <w:proofErr w:type="spellEnd"/>
      <w:r w:rsidRPr="009D7635">
        <w:rPr>
          <w:rFonts w:ascii="Times New Roman" w:hAnsi="Times New Roman" w:cs="Times New Roman"/>
          <w:color w:val="000000" w:themeColor="text1"/>
        </w:rPr>
        <w:t>,’ 140 (text), 306-7 (commentary).</w:t>
      </w:r>
    </w:p>
  </w:footnote>
  <w:footnote w:id="821">
    <w:p w14:paraId="2659398C" w14:textId="26F93216"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3600C0"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287 (text), 314-15 (commentary).</w:t>
      </w:r>
    </w:p>
  </w:footnote>
  <w:footnote w:id="822">
    <w:p w14:paraId="48016CED" w14:textId="72D9AE42"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3600C0"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113.</w:t>
      </w:r>
    </w:p>
  </w:footnote>
  <w:footnote w:id="823">
    <w:p w14:paraId="79BC9B5B" w14:textId="3C62C1AF"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G. </w:t>
      </w:r>
      <w:proofErr w:type="spellStart"/>
      <w:r w:rsidRPr="009D7635">
        <w:rPr>
          <w:rFonts w:ascii="Times New Roman" w:hAnsi="Times New Roman" w:cs="Times New Roman"/>
          <w:color w:val="000000" w:themeColor="text1"/>
        </w:rPr>
        <w:t>Théry</w:t>
      </w:r>
      <w:proofErr w:type="spellEnd"/>
      <w:r w:rsidRPr="009D7635">
        <w:rPr>
          <w:rFonts w:ascii="Times New Roman" w:hAnsi="Times New Roman" w:cs="Times New Roman"/>
          <w:color w:val="000000" w:themeColor="text1"/>
        </w:rPr>
        <w:t xml:space="preserve"> O.P., </w:t>
      </w:r>
      <w:proofErr w:type="spellStart"/>
      <w:r w:rsidRPr="009D7635">
        <w:rPr>
          <w:rFonts w:ascii="Times New Roman" w:hAnsi="Times New Roman" w:cs="Times New Roman"/>
          <w:i/>
          <w:color w:val="000000" w:themeColor="text1"/>
        </w:rPr>
        <w:t>Autour</w:t>
      </w:r>
      <w:proofErr w:type="spellEnd"/>
      <w:r w:rsidRPr="009D7635">
        <w:rPr>
          <w:rFonts w:ascii="Times New Roman" w:hAnsi="Times New Roman" w:cs="Times New Roman"/>
          <w:i/>
          <w:color w:val="000000" w:themeColor="text1"/>
        </w:rPr>
        <w:t xml:space="preserve"> du </w:t>
      </w:r>
      <w:proofErr w:type="spellStart"/>
      <w:r w:rsidRPr="009D7635">
        <w:rPr>
          <w:rFonts w:ascii="Times New Roman" w:hAnsi="Times New Roman" w:cs="Times New Roman"/>
          <w:i/>
          <w:color w:val="000000" w:themeColor="text1"/>
        </w:rPr>
        <w:t>décret</w:t>
      </w:r>
      <w:proofErr w:type="spellEnd"/>
      <w:r w:rsidRPr="009D7635">
        <w:rPr>
          <w:rFonts w:ascii="Times New Roman" w:hAnsi="Times New Roman" w:cs="Times New Roman"/>
          <w:i/>
          <w:color w:val="000000" w:themeColor="text1"/>
        </w:rPr>
        <w:t xml:space="preserve"> de 1210</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76: </w:t>
      </w:r>
      <w:proofErr w:type="spellStart"/>
      <w:r w:rsidRPr="009D7635">
        <w:rPr>
          <w:rFonts w:ascii="Times New Roman" w:hAnsi="Times New Roman" w:cs="Times New Roman"/>
          <w:i/>
          <w:color w:val="000000" w:themeColor="text1"/>
        </w:rPr>
        <w:t>Tercius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autem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preter</w:t>
      </w:r>
      <w:proofErr w:type="spellEnd"/>
      <w:r w:rsidRPr="009D7635">
        <w:rPr>
          <w:rFonts w:ascii="Times New Roman" w:hAnsi="Times New Roman" w:cs="Times New Roman"/>
          <w:i/>
          <w:color w:val="000000" w:themeColor="text1"/>
        </w:rPr>
        <w:t xml:space="preserve"> duos </w:t>
      </w:r>
      <w:proofErr w:type="spellStart"/>
      <w:r w:rsidRPr="009D7635">
        <w:rPr>
          <w:rFonts w:ascii="Times New Roman" w:hAnsi="Times New Roman" w:cs="Times New Roman"/>
          <w:i/>
          <w:color w:val="000000" w:themeColor="text1"/>
        </w:rPr>
        <w:t>predictos</w:t>
      </w:r>
      <w:proofErr w:type="spellEnd"/>
      <w:r w:rsidRPr="009D7635">
        <w:rPr>
          <w:rFonts w:ascii="Times New Roman" w:hAnsi="Times New Roman" w:cs="Times New Roman"/>
          <w:i/>
          <w:color w:val="000000" w:themeColor="text1"/>
        </w:rPr>
        <w:t xml:space="preserve">, qui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intelligencia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agens</w:t>
      </w:r>
      <w:proofErr w:type="spellEnd"/>
      <w:r w:rsidRPr="009D7635">
        <w:rPr>
          <w:rFonts w:ascii="Times New Roman" w:hAnsi="Times New Roman" w:cs="Times New Roman"/>
          <w:i/>
          <w:color w:val="000000" w:themeColor="text1"/>
        </w:rPr>
        <w:t xml:space="preserve"> per </w:t>
      </w:r>
      <w:proofErr w:type="spellStart"/>
      <w:r w:rsidRPr="009D7635">
        <w:rPr>
          <w:rFonts w:ascii="Times New Roman" w:hAnsi="Times New Roman" w:cs="Times New Roman"/>
          <w:i/>
          <w:color w:val="000000" w:themeColor="text1"/>
        </w:rPr>
        <w:t>quam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intellectus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materialis</w:t>
      </w:r>
      <w:proofErr w:type="spellEnd"/>
      <w:r w:rsidRPr="009D7635">
        <w:rPr>
          <w:rFonts w:ascii="Times New Roman" w:hAnsi="Times New Roman" w:cs="Times New Roman"/>
          <w:i/>
          <w:color w:val="000000" w:themeColor="text1"/>
        </w:rPr>
        <w:t xml:space="preserve"> fit </w:t>
      </w:r>
      <w:proofErr w:type="spellStart"/>
      <w:r w:rsidRPr="009D7635">
        <w:rPr>
          <w:rFonts w:ascii="Times New Roman" w:hAnsi="Times New Roman" w:cs="Times New Roman"/>
          <w:i/>
          <w:color w:val="000000" w:themeColor="text1"/>
        </w:rPr>
        <w:t>ut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habeat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habitum</w:t>
      </w:r>
      <w:proofErr w:type="spellEnd"/>
      <w:r w:rsidRPr="009D7635">
        <w:rPr>
          <w:rFonts w:ascii="Times New Roman" w:hAnsi="Times New Roman" w:cs="Times New Roman"/>
          <w:i/>
          <w:color w:val="000000" w:themeColor="text1"/>
        </w:rPr>
        <w:t>.</w:t>
      </w:r>
      <w:r w:rsidRPr="009D7635">
        <w:rPr>
          <w:rFonts w:ascii="Times New Roman" w:hAnsi="Times New Roman" w:cs="Times New Roman"/>
          <w:color w:val="000000" w:themeColor="text1"/>
        </w:rPr>
        <w:t xml:space="preserve"> </w:t>
      </w:r>
    </w:p>
  </w:footnote>
  <w:footnote w:id="824">
    <w:p w14:paraId="53A0FB67"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Athanasios</w:t>
      </w:r>
      <w:proofErr w:type="spellEnd"/>
      <w:r w:rsidRPr="009D7635">
        <w:rPr>
          <w:rFonts w:ascii="Times New Roman" w:hAnsi="Times New Roman" w:cs="Times New Roman"/>
          <w:color w:val="000000" w:themeColor="text1"/>
        </w:rPr>
        <w:t xml:space="preserve"> P. </w:t>
      </w:r>
      <w:proofErr w:type="spellStart"/>
      <w:r w:rsidRPr="009D7635">
        <w:rPr>
          <w:rFonts w:ascii="Times New Roman" w:hAnsi="Times New Roman" w:cs="Times New Roman"/>
          <w:color w:val="000000" w:themeColor="text1"/>
        </w:rPr>
        <w:t>Fotonis</w:t>
      </w:r>
      <w:proofErr w:type="spellEnd"/>
      <w:r w:rsidRPr="009D7635">
        <w:rPr>
          <w:rFonts w:ascii="Times New Roman" w:hAnsi="Times New Roman" w:cs="Times New Roman"/>
          <w:color w:val="000000" w:themeColor="text1"/>
        </w:rPr>
        <w:t xml:space="preserve">, ‘The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of Alexander of </w:t>
      </w:r>
      <w:proofErr w:type="spellStart"/>
      <w:r w:rsidRPr="009D7635">
        <w:rPr>
          <w:rFonts w:ascii="Times New Roman" w:hAnsi="Times New Roman" w:cs="Times New Roman"/>
          <w:color w:val="000000" w:themeColor="text1"/>
        </w:rPr>
        <w:t>Aphrodisias</w:t>
      </w:r>
      <w:proofErr w:type="spellEnd"/>
      <w:r w:rsidRPr="009D7635">
        <w:rPr>
          <w:rFonts w:ascii="Times New Roman" w:hAnsi="Times New Roman" w:cs="Times New Roman"/>
          <w:color w:val="000000" w:themeColor="text1"/>
        </w:rPr>
        <w:t>,’ 141.</w:t>
      </w:r>
    </w:p>
  </w:footnote>
  <w:footnote w:id="825">
    <w:p w14:paraId="61D9764F" w14:textId="77777777"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Herbert A. Davidson, </w:t>
      </w:r>
      <w:proofErr w:type="spellStart"/>
      <w:r w:rsidRPr="009D7635">
        <w:rPr>
          <w:rFonts w:ascii="Times New Roman" w:hAnsi="Times New Roman" w:cs="Times New Roman"/>
          <w:i/>
          <w:color w:val="000000" w:themeColor="text1"/>
          <w:sz w:val="20"/>
          <w:szCs w:val="20"/>
          <w:lang w:val="en-US"/>
        </w:rPr>
        <w:t>Alfarabi</w:t>
      </w:r>
      <w:proofErr w:type="spellEnd"/>
      <w:r w:rsidRPr="009D7635">
        <w:rPr>
          <w:rFonts w:ascii="Times New Roman" w:hAnsi="Times New Roman" w:cs="Times New Roman"/>
          <w:i/>
          <w:color w:val="000000" w:themeColor="text1"/>
          <w:sz w:val="20"/>
          <w:szCs w:val="20"/>
          <w:lang w:val="en-US"/>
        </w:rPr>
        <w:t xml:space="preserve">, Avicenna, and </w:t>
      </w:r>
      <w:proofErr w:type="spellStart"/>
      <w:r w:rsidRPr="009D7635">
        <w:rPr>
          <w:rFonts w:ascii="Times New Roman" w:hAnsi="Times New Roman" w:cs="Times New Roman"/>
          <w:i/>
          <w:color w:val="000000" w:themeColor="text1"/>
          <w:sz w:val="20"/>
          <w:szCs w:val="20"/>
          <w:lang w:val="en-US"/>
        </w:rPr>
        <w:t>Averroes</w:t>
      </w:r>
      <w:proofErr w:type="spellEnd"/>
      <w:r w:rsidRPr="009D7635">
        <w:rPr>
          <w:rFonts w:ascii="Times New Roman" w:hAnsi="Times New Roman" w:cs="Times New Roman"/>
          <w:i/>
          <w:color w:val="000000" w:themeColor="text1"/>
          <w:sz w:val="20"/>
          <w:szCs w:val="20"/>
          <w:lang w:val="en-US"/>
        </w:rPr>
        <w:t xml:space="preserve"> on Intellect</w:t>
      </w:r>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26, 29.</w:t>
      </w:r>
    </w:p>
  </w:footnote>
  <w:footnote w:id="826">
    <w:p w14:paraId="6E9C9102" w14:textId="4FAD3BBE" w:rsidR="00B93ED5" w:rsidRPr="009D7635" w:rsidRDefault="00B93ED5" w:rsidP="002555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Athanasios</w:t>
      </w:r>
      <w:proofErr w:type="spellEnd"/>
      <w:r w:rsidRPr="009D7635">
        <w:rPr>
          <w:rFonts w:ascii="Times New Roman" w:hAnsi="Times New Roman" w:cs="Times New Roman"/>
          <w:color w:val="000000" w:themeColor="text1"/>
          <w:sz w:val="20"/>
          <w:szCs w:val="20"/>
        </w:rPr>
        <w:t xml:space="preserve"> P. </w:t>
      </w:r>
      <w:proofErr w:type="spellStart"/>
      <w:r w:rsidRPr="009D7635">
        <w:rPr>
          <w:rFonts w:ascii="Times New Roman" w:hAnsi="Times New Roman" w:cs="Times New Roman"/>
          <w:color w:val="000000" w:themeColor="text1"/>
          <w:sz w:val="20"/>
          <w:szCs w:val="20"/>
        </w:rPr>
        <w:t>Fotonis</w:t>
      </w:r>
      <w:proofErr w:type="spellEnd"/>
      <w:r w:rsidRPr="009D7635">
        <w:rPr>
          <w:rFonts w:ascii="Times New Roman" w:hAnsi="Times New Roman" w:cs="Times New Roman"/>
          <w:color w:val="000000" w:themeColor="text1"/>
          <w:sz w:val="20"/>
          <w:szCs w:val="20"/>
        </w:rPr>
        <w:t xml:space="preserve">, ‘The </w:t>
      </w:r>
      <w:r w:rsidRPr="009D7635">
        <w:rPr>
          <w:rFonts w:ascii="Times New Roman" w:hAnsi="Times New Roman" w:cs="Times New Roman"/>
          <w:i/>
          <w:color w:val="000000" w:themeColor="text1"/>
          <w:sz w:val="20"/>
          <w:szCs w:val="20"/>
        </w:rPr>
        <w:t>De anima</w:t>
      </w:r>
      <w:r w:rsidRPr="009D7635">
        <w:rPr>
          <w:rFonts w:ascii="Times New Roman" w:hAnsi="Times New Roman" w:cs="Times New Roman"/>
          <w:color w:val="000000" w:themeColor="text1"/>
          <w:sz w:val="20"/>
          <w:szCs w:val="20"/>
        </w:rPr>
        <w:t xml:space="preserve"> of Alexander of </w:t>
      </w:r>
      <w:proofErr w:type="spellStart"/>
      <w:r w:rsidRPr="009D7635">
        <w:rPr>
          <w:rFonts w:ascii="Times New Roman" w:hAnsi="Times New Roman" w:cs="Times New Roman"/>
          <w:color w:val="000000" w:themeColor="text1"/>
          <w:sz w:val="20"/>
          <w:szCs w:val="20"/>
        </w:rPr>
        <w:t>Aphrodisias</w:t>
      </w:r>
      <w:proofErr w:type="spellEnd"/>
      <w:r w:rsidRPr="009D7635">
        <w:rPr>
          <w:rFonts w:ascii="Times New Roman" w:hAnsi="Times New Roman" w:cs="Times New Roman"/>
          <w:color w:val="000000" w:themeColor="text1"/>
          <w:sz w:val="20"/>
          <w:szCs w:val="20"/>
        </w:rPr>
        <w:t>,’ 121, 159</w:t>
      </w:r>
      <w:r w:rsidR="00B72D8F"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Herbert A. Davidson, </w:t>
      </w:r>
      <w:proofErr w:type="spellStart"/>
      <w:r w:rsidRPr="009D7635">
        <w:rPr>
          <w:rFonts w:ascii="Times New Roman" w:hAnsi="Times New Roman" w:cs="Times New Roman"/>
          <w:i/>
          <w:color w:val="000000" w:themeColor="text1"/>
          <w:sz w:val="20"/>
          <w:szCs w:val="20"/>
          <w:lang w:val="en-US"/>
        </w:rPr>
        <w:t>Alfarabi</w:t>
      </w:r>
      <w:proofErr w:type="spellEnd"/>
      <w:r w:rsidRPr="009D7635">
        <w:rPr>
          <w:rFonts w:ascii="Times New Roman" w:hAnsi="Times New Roman" w:cs="Times New Roman"/>
          <w:i/>
          <w:color w:val="000000" w:themeColor="text1"/>
          <w:sz w:val="20"/>
          <w:szCs w:val="20"/>
          <w:lang w:val="en-US"/>
        </w:rPr>
        <w:t xml:space="preserve">, Avicenna, and </w:t>
      </w:r>
      <w:proofErr w:type="spellStart"/>
      <w:r w:rsidRPr="009D7635">
        <w:rPr>
          <w:rFonts w:ascii="Times New Roman" w:hAnsi="Times New Roman" w:cs="Times New Roman"/>
          <w:i/>
          <w:color w:val="000000" w:themeColor="text1"/>
          <w:sz w:val="20"/>
          <w:szCs w:val="20"/>
          <w:lang w:val="en-US"/>
        </w:rPr>
        <w:t>Averroes</w:t>
      </w:r>
      <w:proofErr w:type="spellEnd"/>
      <w:r w:rsidRPr="009D7635">
        <w:rPr>
          <w:rFonts w:ascii="Times New Roman" w:hAnsi="Times New Roman" w:cs="Times New Roman"/>
          <w:i/>
          <w:color w:val="000000" w:themeColor="text1"/>
          <w:sz w:val="20"/>
          <w:szCs w:val="20"/>
          <w:lang w:val="en-US"/>
        </w:rPr>
        <w:t xml:space="preserve"> on Intellect</w:t>
      </w:r>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13-14</w:t>
      </w:r>
      <w:r w:rsidR="00B72D8F" w:rsidRPr="009D7635">
        <w:rPr>
          <w:rFonts w:ascii="Times New Roman" w:hAnsi="Times New Roman" w:cs="Times New Roman"/>
          <w:color w:val="000000" w:themeColor="text1"/>
          <w:sz w:val="20"/>
          <w:szCs w:val="20"/>
          <w:lang w:val="en-US"/>
        </w:rPr>
        <w:t>.</w:t>
      </w:r>
    </w:p>
  </w:footnote>
  <w:footnote w:id="827">
    <w:p w14:paraId="16830E20" w14:textId="538629D1" w:rsidR="00B93ED5" w:rsidRPr="009D7635" w:rsidRDefault="00B93ED5" w:rsidP="00255546">
      <w:pPr>
        <w:autoSpaceDE w:val="0"/>
        <w:autoSpaceDN w:val="0"/>
        <w:adjustRightInd w:val="0"/>
        <w:ind w:right="-72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Beatrice H. </w:t>
      </w:r>
      <w:proofErr w:type="spellStart"/>
      <w:r w:rsidRPr="009D7635">
        <w:rPr>
          <w:rFonts w:ascii="Times New Roman" w:hAnsi="Times New Roman" w:cs="Times New Roman"/>
          <w:color w:val="000000" w:themeColor="text1"/>
          <w:sz w:val="20"/>
          <w:szCs w:val="20"/>
        </w:rPr>
        <w:t>Zedler</w:t>
      </w:r>
      <w:proofErr w:type="spellEnd"/>
      <w:r w:rsidRPr="009D7635">
        <w:rPr>
          <w:rFonts w:ascii="Times New Roman" w:hAnsi="Times New Roman" w:cs="Times New Roman"/>
          <w:color w:val="000000" w:themeColor="text1"/>
          <w:sz w:val="20"/>
          <w:szCs w:val="20"/>
        </w:rPr>
        <w:t xml:space="preserve">, ‘Problem: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 xml:space="preserve"> on the Possible Intellect,’ in</w:t>
      </w:r>
      <w:r w:rsidRPr="009D7635">
        <w:rPr>
          <w:rFonts w:ascii="Times New Roman" w:hAnsi="Times New Roman" w:cs="Times New Roman"/>
          <w:color w:val="000000" w:themeColor="text1"/>
          <w:sz w:val="20"/>
          <w:szCs w:val="20"/>
          <w:shd w:val="clear" w:color="auto" w:fill="FFFFFF"/>
        </w:rPr>
        <w:t> </w:t>
      </w:r>
      <w:r w:rsidRPr="009D7635">
        <w:rPr>
          <w:rFonts w:ascii="Times New Roman" w:hAnsi="Times New Roman" w:cs="Times New Roman"/>
          <w:i/>
          <w:iCs/>
          <w:color w:val="000000" w:themeColor="text1"/>
          <w:sz w:val="20"/>
          <w:szCs w:val="20"/>
        </w:rPr>
        <w:t>Proceedings and Addresses of the American Philosophical Association</w:t>
      </w:r>
      <w:r w:rsidRPr="009D7635">
        <w:rPr>
          <w:rFonts w:ascii="Times New Roman" w:hAnsi="Times New Roman" w:cs="Times New Roman"/>
          <w:color w:val="000000" w:themeColor="text1"/>
          <w:sz w:val="20"/>
          <w:szCs w:val="20"/>
        </w:rPr>
        <w:t> 25 (1951)</w:t>
      </w:r>
      <w:r w:rsidR="0063097F"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172. The term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adeptus</w:t>
      </w:r>
      <w:proofErr w:type="spellEnd"/>
      <w:r w:rsidRPr="009D7635">
        <w:rPr>
          <w:rFonts w:ascii="Times New Roman" w:hAnsi="Times New Roman" w:cs="Times New Roman"/>
          <w:color w:val="000000" w:themeColor="text1"/>
          <w:sz w:val="20"/>
          <w:szCs w:val="20"/>
        </w:rPr>
        <w:t xml:space="preserve">, was used by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 xml:space="preserve"> to name cases where the material intellect is activated by the agent intellect.</w:t>
      </w:r>
    </w:p>
  </w:footnote>
  <w:footnote w:id="828">
    <w:p w14:paraId="3CC1A031"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See </w:t>
      </w:r>
      <w:proofErr w:type="spellStart"/>
      <w:r w:rsidRPr="009D7635">
        <w:rPr>
          <w:rFonts w:ascii="Times New Roman" w:hAnsi="Times New Roman" w:cs="Times New Roman"/>
          <w:color w:val="000000" w:themeColor="text1"/>
        </w:rPr>
        <w:t>Averroes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Averrois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Cordubensis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Commentarium</w:t>
      </w:r>
      <w:proofErr w:type="spellEnd"/>
      <w:r w:rsidRPr="009D7635">
        <w:rPr>
          <w:rFonts w:ascii="Times New Roman" w:hAnsi="Times New Roman" w:cs="Times New Roman"/>
          <w:i/>
          <w:color w:val="000000" w:themeColor="text1"/>
        </w:rPr>
        <w:t xml:space="preserve"> Magnum in </w:t>
      </w:r>
      <w:proofErr w:type="spellStart"/>
      <w:r w:rsidRPr="009D7635">
        <w:rPr>
          <w:rFonts w:ascii="Times New Roman" w:hAnsi="Times New Roman" w:cs="Times New Roman"/>
          <w:i/>
          <w:color w:val="000000" w:themeColor="text1"/>
        </w:rPr>
        <w:t>libros</w:t>
      </w:r>
      <w:proofErr w:type="spellEnd"/>
      <w:r w:rsidRPr="009D7635">
        <w:rPr>
          <w:rFonts w:ascii="Times New Roman" w:hAnsi="Times New Roman" w:cs="Times New Roman"/>
          <w:i/>
          <w:color w:val="000000" w:themeColor="text1"/>
        </w:rPr>
        <w:t xml:space="preserve"> De anima, </w:t>
      </w:r>
      <w:r w:rsidRPr="009D7635">
        <w:rPr>
          <w:rFonts w:ascii="Times New Roman" w:hAnsi="Times New Roman" w:cs="Times New Roman"/>
          <w:color w:val="000000" w:themeColor="text1"/>
        </w:rPr>
        <w:t>ed. F.S. Crawford (Cambridge, MA: The Medieval Academy of America, 1953), III.5, pp. 387ff. See also the online version of Michael Scot’s translation at: https://dare.uni-koeln.de/app/sourceviewer?type=text&amp;textid=33.</w:t>
      </w:r>
    </w:p>
  </w:footnote>
  <w:footnote w:id="829">
    <w:p w14:paraId="6B2B44FA" w14:textId="77777777"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 284. See also David </w:t>
      </w:r>
      <w:proofErr w:type="spellStart"/>
      <w:r w:rsidRPr="009D7635">
        <w:rPr>
          <w:rFonts w:ascii="Times New Roman" w:hAnsi="Times New Roman" w:cs="Times New Roman"/>
          <w:color w:val="000000" w:themeColor="text1"/>
          <w:sz w:val="20"/>
          <w:szCs w:val="20"/>
        </w:rPr>
        <w:t>Wirmer</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Averroes</w:t>
      </w:r>
      <w:proofErr w:type="spellEnd"/>
      <w:r w:rsidRPr="009D7635">
        <w:rPr>
          <w:rFonts w:ascii="Times New Roman" w:hAnsi="Times New Roman" w:cs="Times New Roman"/>
          <w:i/>
          <w:color w:val="000000" w:themeColor="text1"/>
          <w:sz w:val="20"/>
          <w:szCs w:val="20"/>
          <w:lang w:val="en-US"/>
        </w:rPr>
        <w:t xml:space="preserve">: Über den </w:t>
      </w:r>
      <w:proofErr w:type="spellStart"/>
      <w:r w:rsidRPr="009D7635">
        <w:rPr>
          <w:rFonts w:ascii="Times New Roman" w:hAnsi="Times New Roman" w:cs="Times New Roman"/>
          <w:i/>
          <w:color w:val="000000" w:themeColor="text1"/>
          <w:sz w:val="20"/>
          <w:szCs w:val="20"/>
          <w:lang w:val="en-US"/>
        </w:rPr>
        <w:t>Intellekt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Auszüge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seinen</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drei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Kommentaren</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zu</w:t>
      </w:r>
      <w:proofErr w:type="spellEnd"/>
      <w:r w:rsidRPr="009D7635">
        <w:rPr>
          <w:rFonts w:ascii="Times New Roman" w:hAnsi="Times New Roman" w:cs="Times New Roman"/>
          <w:i/>
          <w:color w:val="000000" w:themeColor="text1"/>
          <w:sz w:val="20"/>
          <w:szCs w:val="20"/>
          <w:lang w:val="en-US"/>
        </w:rPr>
        <w:t xml:space="preserve"> Aristoteles' De anima</w:t>
      </w:r>
      <w:r w:rsidRPr="009D7635">
        <w:rPr>
          <w:rFonts w:ascii="Times New Roman" w:hAnsi="Times New Roman" w:cs="Times New Roman"/>
          <w:color w:val="000000" w:themeColor="text1"/>
          <w:sz w:val="20"/>
          <w:szCs w:val="20"/>
          <w:lang w:val="en-US"/>
        </w:rPr>
        <w:t xml:space="preserve"> (Herder: Freiburg i. B., 2008).</w:t>
      </w:r>
    </w:p>
  </w:footnote>
  <w:footnote w:id="830">
    <w:p w14:paraId="7602081A" w14:textId="2AA4B5A5"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Dominique H. Salman, O.P., ‘Jean de La Rochelle et les débuts de </w:t>
      </w:r>
      <w:proofErr w:type="spellStart"/>
      <w:r w:rsidRPr="009D7635">
        <w:rPr>
          <w:rFonts w:ascii="Times New Roman" w:hAnsi="Times New Roman" w:cs="Times New Roman"/>
          <w:color w:val="000000" w:themeColor="text1"/>
        </w:rPr>
        <w:t>l’Averroisme</w:t>
      </w:r>
      <w:proofErr w:type="spellEnd"/>
      <w:r w:rsidRPr="009D7635">
        <w:rPr>
          <w:rFonts w:ascii="Times New Roman" w:hAnsi="Times New Roman" w:cs="Times New Roman"/>
          <w:color w:val="000000" w:themeColor="text1"/>
        </w:rPr>
        <w:t xml:space="preserve"> Latin,’ </w:t>
      </w:r>
      <w:r w:rsidRPr="009D7635">
        <w:rPr>
          <w:rFonts w:ascii="Times New Roman" w:hAnsi="Times New Roman" w:cs="Times New Roman"/>
          <w:i/>
          <w:color w:val="000000" w:themeColor="text1"/>
        </w:rPr>
        <w:t xml:space="preserve">Archives </w:t>
      </w:r>
      <w:proofErr w:type="spellStart"/>
      <w:r w:rsidRPr="009D7635">
        <w:rPr>
          <w:rFonts w:ascii="Times New Roman" w:hAnsi="Times New Roman" w:cs="Times New Roman"/>
          <w:i/>
          <w:color w:val="000000" w:themeColor="text1"/>
        </w:rPr>
        <w:t>d’histoire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doctrinale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littéraire</w:t>
      </w:r>
      <w:proofErr w:type="spellEnd"/>
      <w:r w:rsidRPr="009D7635">
        <w:rPr>
          <w:rFonts w:ascii="Times New Roman" w:hAnsi="Times New Roman" w:cs="Times New Roman"/>
          <w:i/>
          <w:color w:val="000000" w:themeColor="text1"/>
        </w:rPr>
        <w:t xml:space="preserve"> du </w:t>
      </w:r>
      <w:proofErr w:type="spellStart"/>
      <w:r w:rsidRPr="009D7635">
        <w:rPr>
          <w:rFonts w:ascii="Times New Roman" w:hAnsi="Times New Roman" w:cs="Times New Roman"/>
          <w:i/>
          <w:color w:val="000000" w:themeColor="text1"/>
        </w:rPr>
        <w:t>Moyen</w:t>
      </w:r>
      <w:proofErr w:type="spellEnd"/>
      <w:r w:rsidRPr="009D7635">
        <w:rPr>
          <w:rFonts w:ascii="Times New Roman" w:hAnsi="Times New Roman" w:cs="Times New Roman"/>
          <w:i/>
          <w:color w:val="000000" w:themeColor="text1"/>
        </w:rPr>
        <w:t xml:space="preserve"> Age </w:t>
      </w:r>
      <w:r w:rsidRPr="009D7635">
        <w:rPr>
          <w:rFonts w:ascii="Times New Roman" w:hAnsi="Times New Roman" w:cs="Times New Roman"/>
          <w:color w:val="000000" w:themeColor="text1"/>
        </w:rPr>
        <w:t>(1947-8)</w:t>
      </w:r>
      <w:r w:rsidR="0063097F"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143; G. </w:t>
      </w:r>
      <w:proofErr w:type="spellStart"/>
      <w:r w:rsidRPr="009D7635">
        <w:rPr>
          <w:rFonts w:ascii="Times New Roman" w:hAnsi="Times New Roman" w:cs="Times New Roman"/>
          <w:color w:val="000000" w:themeColor="text1"/>
        </w:rPr>
        <w:t>Théry</w:t>
      </w:r>
      <w:proofErr w:type="spellEnd"/>
      <w:r w:rsidRPr="009D7635">
        <w:rPr>
          <w:rFonts w:ascii="Times New Roman" w:hAnsi="Times New Roman" w:cs="Times New Roman"/>
          <w:color w:val="000000" w:themeColor="text1"/>
        </w:rPr>
        <w:t xml:space="preserve"> O.P., </w:t>
      </w:r>
      <w:proofErr w:type="spellStart"/>
      <w:r w:rsidRPr="009D7635">
        <w:rPr>
          <w:rFonts w:ascii="Times New Roman" w:hAnsi="Times New Roman" w:cs="Times New Roman"/>
          <w:i/>
          <w:color w:val="000000" w:themeColor="text1"/>
        </w:rPr>
        <w:t>Autour</w:t>
      </w:r>
      <w:proofErr w:type="spellEnd"/>
      <w:r w:rsidRPr="009D7635">
        <w:rPr>
          <w:rFonts w:ascii="Times New Roman" w:hAnsi="Times New Roman" w:cs="Times New Roman"/>
          <w:i/>
          <w:color w:val="000000" w:themeColor="text1"/>
        </w:rPr>
        <w:t xml:space="preserve"> du </w:t>
      </w:r>
      <w:proofErr w:type="spellStart"/>
      <w:r w:rsidRPr="009D7635">
        <w:rPr>
          <w:rFonts w:ascii="Times New Roman" w:hAnsi="Times New Roman" w:cs="Times New Roman"/>
          <w:i/>
          <w:color w:val="000000" w:themeColor="text1"/>
        </w:rPr>
        <w:t>décret</w:t>
      </w:r>
      <w:proofErr w:type="spellEnd"/>
      <w:r w:rsidRPr="009D7635">
        <w:rPr>
          <w:rFonts w:ascii="Times New Roman" w:hAnsi="Times New Roman" w:cs="Times New Roman"/>
          <w:i/>
          <w:color w:val="000000" w:themeColor="text1"/>
        </w:rPr>
        <w:t xml:space="preserve"> de 1210</w:t>
      </w:r>
      <w:r w:rsidR="0063097F" w:rsidRPr="009D7635">
        <w:rPr>
          <w:rFonts w:ascii="Times New Roman" w:hAnsi="Times New Roman" w:cs="Times New Roman"/>
          <w:i/>
          <w:iCs/>
        </w:rPr>
        <w:t xml:space="preserve">: Alexandre </w:t>
      </w:r>
      <w:proofErr w:type="spellStart"/>
      <w:r w:rsidR="0063097F" w:rsidRPr="009D7635">
        <w:rPr>
          <w:rFonts w:ascii="Times New Roman" w:hAnsi="Times New Roman" w:cs="Times New Roman"/>
          <w:i/>
          <w:iCs/>
        </w:rPr>
        <w:t>d’Aphrodise</w:t>
      </w:r>
      <w:proofErr w:type="spellEnd"/>
      <w:r w:rsidR="0063097F" w:rsidRPr="009D7635">
        <w:rPr>
          <w:rFonts w:ascii="Times New Roman" w:hAnsi="Times New Roman" w:cs="Times New Roman"/>
          <w:i/>
          <w:iCs/>
        </w:rPr>
        <w:t xml:space="preserve">: aperçu </w:t>
      </w:r>
      <w:proofErr w:type="spellStart"/>
      <w:r w:rsidR="0063097F" w:rsidRPr="009D7635">
        <w:rPr>
          <w:rFonts w:ascii="Times New Roman" w:hAnsi="Times New Roman" w:cs="Times New Roman"/>
          <w:i/>
          <w:iCs/>
        </w:rPr>
        <w:t>sur</w:t>
      </w:r>
      <w:proofErr w:type="spellEnd"/>
      <w:r w:rsidR="0063097F" w:rsidRPr="009D7635">
        <w:rPr>
          <w:rFonts w:ascii="Times New Roman" w:hAnsi="Times New Roman" w:cs="Times New Roman"/>
          <w:i/>
          <w:iCs/>
        </w:rPr>
        <w:t xml:space="preserve"> l’influence de </w:t>
      </w:r>
      <w:proofErr w:type="spellStart"/>
      <w:r w:rsidR="0063097F" w:rsidRPr="009D7635">
        <w:rPr>
          <w:rFonts w:ascii="Times New Roman" w:hAnsi="Times New Roman" w:cs="Times New Roman"/>
          <w:i/>
          <w:iCs/>
        </w:rPr>
        <w:t>sa</w:t>
      </w:r>
      <w:proofErr w:type="spellEnd"/>
      <w:r w:rsidR="0063097F" w:rsidRPr="009D7635">
        <w:rPr>
          <w:rFonts w:ascii="Times New Roman" w:hAnsi="Times New Roman" w:cs="Times New Roman"/>
          <w:i/>
          <w:iCs/>
        </w:rPr>
        <w:t xml:space="preserve"> </w:t>
      </w:r>
      <w:proofErr w:type="spellStart"/>
      <w:r w:rsidR="0063097F" w:rsidRPr="009D7635">
        <w:rPr>
          <w:rFonts w:ascii="Times New Roman" w:hAnsi="Times New Roman" w:cs="Times New Roman"/>
          <w:i/>
          <w:iCs/>
        </w:rPr>
        <w:t>noétique</w:t>
      </w:r>
      <w:proofErr w:type="spellEnd"/>
      <w:r w:rsidR="0063097F" w:rsidRPr="009D7635">
        <w:rPr>
          <w:rFonts w:ascii="Times New Roman" w:hAnsi="Times New Roman" w:cs="Times New Roman"/>
        </w:rPr>
        <w:t xml:space="preserve"> (Paris: Le </w:t>
      </w:r>
      <w:proofErr w:type="spellStart"/>
      <w:r w:rsidR="0063097F" w:rsidRPr="009D7635">
        <w:rPr>
          <w:rFonts w:ascii="Times New Roman" w:hAnsi="Times New Roman" w:cs="Times New Roman"/>
        </w:rPr>
        <w:t>Salchoir</w:t>
      </w:r>
      <w:proofErr w:type="spellEnd"/>
      <w:r w:rsidR="0063097F" w:rsidRPr="009D7635">
        <w:rPr>
          <w:rFonts w:ascii="Times New Roman" w:hAnsi="Times New Roman" w:cs="Times New Roman"/>
        </w:rPr>
        <w:t>, 1926),</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81. </w:t>
      </w:r>
    </w:p>
  </w:footnote>
  <w:footnote w:id="831">
    <w:p w14:paraId="46FDD331" w14:textId="014A6FE6"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Herbert A. </w:t>
      </w:r>
      <w:r w:rsidRPr="009D7635">
        <w:rPr>
          <w:rFonts w:ascii="Times New Roman" w:eastAsia="Times New Roman" w:hAnsi="Times New Roman" w:cs="Times New Roman"/>
          <w:color w:val="000000" w:themeColor="text1"/>
        </w:rPr>
        <w:t xml:space="preserve">Davidson, </w:t>
      </w:r>
      <w:proofErr w:type="spellStart"/>
      <w:r w:rsidRPr="009D7635">
        <w:rPr>
          <w:rFonts w:ascii="Times New Roman" w:hAnsi="Times New Roman" w:cs="Times New Roman"/>
          <w:i/>
          <w:color w:val="000000" w:themeColor="text1"/>
          <w:lang w:val="en-US"/>
        </w:rPr>
        <w:t>Alfarabi</w:t>
      </w:r>
      <w:proofErr w:type="spellEnd"/>
      <w:r w:rsidRPr="009D7635">
        <w:rPr>
          <w:rFonts w:ascii="Times New Roman" w:hAnsi="Times New Roman" w:cs="Times New Roman"/>
          <w:i/>
          <w:color w:val="000000" w:themeColor="text1"/>
          <w:lang w:val="en-US"/>
        </w:rPr>
        <w:t xml:space="preserve">, Avicenna, and </w:t>
      </w:r>
      <w:proofErr w:type="spellStart"/>
      <w:r w:rsidRPr="009D7635">
        <w:rPr>
          <w:rFonts w:ascii="Times New Roman" w:hAnsi="Times New Roman" w:cs="Times New Roman"/>
          <w:i/>
          <w:color w:val="000000" w:themeColor="text1"/>
          <w:lang w:val="en-US"/>
        </w:rPr>
        <w:t>Averroes</w:t>
      </w:r>
      <w:proofErr w:type="spellEnd"/>
      <w:r w:rsidRPr="009D7635">
        <w:rPr>
          <w:rFonts w:ascii="Times New Roman" w:hAnsi="Times New Roman" w:cs="Times New Roman"/>
          <w:i/>
          <w:color w:val="000000" w:themeColor="text1"/>
          <w:lang w:val="en-US"/>
        </w:rPr>
        <w:t xml:space="preserve"> on Intellect,</w:t>
      </w:r>
      <w:r w:rsidRPr="009D7635">
        <w:rPr>
          <w:rFonts w:ascii="Times New Roman" w:hAnsi="Times New Roman" w:cs="Times New Roman"/>
          <w:color w:val="000000" w:themeColor="text1"/>
        </w:rPr>
        <w:t xml:space="preserve"> </w:t>
      </w:r>
      <w:r w:rsidRPr="009D7635">
        <w:rPr>
          <w:rFonts w:ascii="Times New Roman" w:eastAsia="Times New Roman" w:hAnsi="Times New Roman" w:cs="Times New Roman"/>
          <w:color w:val="000000" w:themeColor="text1"/>
        </w:rPr>
        <w:t xml:space="preserve">262. </w:t>
      </w:r>
      <w:r w:rsidRPr="009D7635">
        <w:rPr>
          <w:rFonts w:ascii="Times New Roman" w:hAnsi="Times New Roman" w:cs="Times New Roman"/>
          <w:color w:val="000000" w:themeColor="text1"/>
        </w:rPr>
        <w:t>Arthur Hyman, ‘</w:t>
      </w:r>
      <w:proofErr w:type="spellStart"/>
      <w:r w:rsidRPr="009D7635">
        <w:rPr>
          <w:rFonts w:ascii="Times New Roman" w:hAnsi="Times New Roman" w:cs="Times New Roman"/>
          <w:color w:val="000000" w:themeColor="text1"/>
        </w:rPr>
        <w:t>Averroes</w:t>
      </w:r>
      <w:proofErr w:type="spellEnd"/>
      <w:r w:rsidRPr="009D7635">
        <w:rPr>
          <w:rFonts w:ascii="Times New Roman" w:hAnsi="Times New Roman" w:cs="Times New Roman"/>
          <w:color w:val="000000" w:themeColor="text1"/>
        </w:rPr>
        <w:t>’ Theory of the Intellect and the Ancient Commentators</w:t>
      </w:r>
      <w:r w:rsidR="0063097F" w:rsidRPr="009D7635">
        <w:rPr>
          <w:rFonts w:ascii="Times New Roman" w:hAnsi="Times New Roman" w:cs="Times New Roman"/>
          <w:color w:val="000000" w:themeColor="text1"/>
        </w:rPr>
        <w:t>,’ in</w:t>
      </w:r>
      <w:r w:rsidR="0063097F" w:rsidRPr="009D7635">
        <w:rPr>
          <w:rFonts w:ascii="Times New Roman" w:hAnsi="Times New Roman" w:cs="Times New Roman"/>
        </w:rPr>
        <w:t xml:space="preserve"> </w:t>
      </w:r>
      <w:proofErr w:type="spellStart"/>
      <w:r w:rsidR="0063097F" w:rsidRPr="009D7635">
        <w:rPr>
          <w:rFonts w:ascii="Times New Roman" w:hAnsi="Times New Roman" w:cs="Times New Roman"/>
          <w:i/>
          <w:iCs/>
        </w:rPr>
        <w:t>Averroes</w:t>
      </w:r>
      <w:proofErr w:type="spellEnd"/>
      <w:r w:rsidR="0063097F" w:rsidRPr="009D7635">
        <w:rPr>
          <w:rFonts w:ascii="Times New Roman" w:hAnsi="Times New Roman" w:cs="Times New Roman"/>
          <w:i/>
          <w:iCs/>
        </w:rPr>
        <w:t xml:space="preserve"> and the Aristotelian Tradition</w:t>
      </w:r>
      <w:r w:rsidR="0063097F" w:rsidRPr="009D7635">
        <w:rPr>
          <w:rFonts w:ascii="Times New Roman" w:hAnsi="Times New Roman" w:cs="Times New Roman"/>
        </w:rPr>
        <w:t xml:space="preserve">, ed. Gerhard </w:t>
      </w:r>
      <w:proofErr w:type="spellStart"/>
      <w:r w:rsidR="0063097F" w:rsidRPr="009D7635">
        <w:rPr>
          <w:rFonts w:ascii="Times New Roman" w:hAnsi="Times New Roman" w:cs="Times New Roman"/>
        </w:rPr>
        <w:t>Endress</w:t>
      </w:r>
      <w:proofErr w:type="spellEnd"/>
      <w:r w:rsidR="0063097F" w:rsidRPr="009D7635">
        <w:rPr>
          <w:rFonts w:ascii="Times New Roman" w:hAnsi="Times New Roman" w:cs="Times New Roman"/>
        </w:rPr>
        <w:t xml:space="preserve"> and Jan A. </w:t>
      </w:r>
      <w:proofErr w:type="spellStart"/>
      <w:r w:rsidR="0063097F" w:rsidRPr="009D7635">
        <w:rPr>
          <w:rFonts w:ascii="Times New Roman" w:hAnsi="Times New Roman" w:cs="Times New Roman"/>
        </w:rPr>
        <w:t>Aertsten</w:t>
      </w:r>
      <w:proofErr w:type="spellEnd"/>
      <w:r w:rsidR="0063097F" w:rsidRPr="009D7635">
        <w:rPr>
          <w:rFonts w:ascii="Times New Roman" w:hAnsi="Times New Roman" w:cs="Times New Roman"/>
        </w:rPr>
        <w:t xml:space="preserve"> (Leiden: Brill, 1999), </w:t>
      </w:r>
      <w:r w:rsidRPr="009D7635">
        <w:rPr>
          <w:rFonts w:ascii="Times New Roman" w:hAnsi="Times New Roman" w:cs="Times New Roman"/>
          <w:color w:val="000000" w:themeColor="text1"/>
        </w:rPr>
        <w:t>193</w:t>
      </w:r>
      <w:r w:rsidR="00CE0911"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citing the </w:t>
      </w:r>
      <w:r w:rsidRPr="009D7635">
        <w:rPr>
          <w:rFonts w:ascii="Times New Roman" w:hAnsi="Times New Roman" w:cs="Times New Roman"/>
          <w:i/>
          <w:color w:val="000000" w:themeColor="text1"/>
        </w:rPr>
        <w:t>Long Commentary</w:t>
      </w:r>
      <w:r w:rsidRPr="009D7635">
        <w:rPr>
          <w:rFonts w:ascii="Times New Roman" w:hAnsi="Times New Roman" w:cs="Times New Roman"/>
          <w:color w:val="000000" w:themeColor="text1"/>
        </w:rPr>
        <w:t xml:space="preserve">, ed. Crawford, III.5, 393-7. </w:t>
      </w:r>
    </w:p>
  </w:footnote>
  <w:footnote w:id="832">
    <w:p w14:paraId="129BE17C" w14:textId="77777777"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Herbert A. Davidson, </w:t>
      </w:r>
      <w:proofErr w:type="spellStart"/>
      <w:r w:rsidRPr="009D7635">
        <w:rPr>
          <w:rFonts w:ascii="Times New Roman" w:hAnsi="Times New Roman" w:cs="Times New Roman"/>
          <w:i/>
          <w:color w:val="000000" w:themeColor="text1"/>
          <w:sz w:val="20"/>
          <w:szCs w:val="20"/>
          <w:lang w:val="en-US"/>
        </w:rPr>
        <w:t>Alfarabi</w:t>
      </w:r>
      <w:proofErr w:type="spellEnd"/>
      <w:r w:rsidRPr="009D7635">
        <w:rPr>
          <w:rFonts w:ascii="Times New Roman" w:hAnsi="Times New Roman" w:cs="Times New Roman"/>
          <w:i/>
          <w:color w:val="000000" w:themeColor="text1"/>
          <w:sz w:val="20"/>
          <w:szCs w:val="20"/>
          <w:lang w:val="en-US"/>
        </w:rPr>
        <w:t xml:space="preserve">, Avicenna, and </w:t>
      </w:r>
      <w:proofErr w:type="spellStart"/>
      <w:r w:rsidRPr="009D7635">
        <w:rPr>
          <w:rFonts w:ascii="Times New Roman" w:hAnsi="Times New Roman" w:cs="Times New Roman"/>
          <w:i/>
          <w:color w:val="000000" w:themeColor="text1"/>
          <w:sz w:val="20"/>
          <w:szCs w:val="20"/>
          <w:lang w:val="en-US"/>
        </w:rPr>
        <w:t>Averroes</w:t>
      </w:r>
      <w:proofErr w:type="spellEnd"/>
      <w:r w:rsidRPr="009D7635">
        <w:rPr>
          <w:rFonts w:ascii="Times New Roman" w:hAnsi="Times New Roman" w:cs="Times New Roman"/>
          <w:i/>
          <w:color w:val="000000" w:themeColor="text1"/>
          <w:sz w:val="20"/>
          <w:szCs w:val="20"/>
          <w:lang w:val="en-US"/>
        </w:rPr>
        <w:t xml:space="preserve"> on Intellect</w:t>
      </w:r>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color w:val="000000" w:themeColor="text1"/>
          <w:sz w:val="20"/>
          <w:szCs w:val="20"/>
        </w:rPr>
        <w:t xml:space="preserve"> 8-9. </w:t>
      </w:r>
    </w:p>
  </w:footnote>
  <w:footnote w:id="833">
    <w:p w14:paraId="01260DFE" w14:textId="39CA3ADB"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63097F" w:rsidRPr="009D7635">
        <w:rPr>
          <w:rFonts w:ascii="Times New Roman" w:hAnsi="Times New Roman" w:cs="Times New Roman"/>
          <w:color w:val="000000" w:themeColor="text1"/>
          <w:sz w:val="20"/>
          <w:szCs w:val="20"/>
        </w:rPr>
        <w:t>Ibid.</w:t>
      </w:r>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rPr>
        <w:t>286.</w:t>
      </w:r>
      <w:r w:rsidRPr="009D7635">
        <w:rPr>
          <w:rFonts w:ascii="Times New Roman" w:hAnsi="Times New Roman" w:cs="Times New Roman"/>
          <w:color w:val="000000" w:themeColor="text1"/>
          <w:sz w:val="20"/>
          <w:szCs w:val="20"/>
          <w:lang w:val="en-US"/>
        </w:rPr>
        <w:t xml:space="preserve"> Richard Taylor, </w:t>
      </w:r>
      <w:proofErr w:type="spellStart"/>
      <w:r w:rsidRPr="009D7635">
        <w:rPr>
          <w:rFonts w:ascii="Times New Roman" w:hAnsi="Times New Roman" w:cs="Times New Roman"/>
          <w:i/>
          <w:color w:val="000000" w:themeColor="text1"/>
          <w:sz w:val="20"/>
          <w:szCs w:val="20"/>
          <w:lang w:val="en-US"/>
        </w:rPr>
        <w:t>Averroes</w:t>
      </w:r>
      <w:proofErr w:type="spellEnd"/>
      <w:r w:rsidRPr="009D7635">
        <w:rPr>
          <w:rFonts w:ascii="Times New Roman" w:hAnsi="Times New Roman" w:cs="Times New Roman"/>
          <w:i/>
          <w:color w:val="000000" w:themeColor="text1"/>
          <w:sz w:val="20"/>
          <w:szCs w:val="20"/>
          <w:lang w:val="en-US"/>
        </w:rPr>
        <w:t xml:space="preserve"> (Ibn </w:t>
      </w:r>
      <w:proofErr w:type="spellStart"/>
      <w:r w:rsidRPr="009D7635">
        <w:rPr>
          <w:rFonts w:ascii="Times New Roman" w:hAnsi="Times New Roman" w:cs="Times New Roman"/>
          <w:i/>
          <w:color w:val="000000" w:themeColor="text1"/>
          <w:sz w:val="20"/>
          <w:szCs w:val="20"/>
          <w:lang w:val="en-US"/>
        </w:rPr>
        <w:t>Rushd</w:t>
      </w:r>
      <w:proofErr w:type="spellEnd"/>
      <w:r w:rsidRPr="009D7635">
        <w:rPr>
          <w:rFonts w:ascii="Times New Roman" w:hAnsi="Times New Roman" w:cs="Times New Roman"/>
          <w:i/>
          <w:color w:val="000000" w:themeColor="text1"/>
          <w:sz w:val="20"/>
          <w:szCs w:val="20"/>
          <w:lang w:val="en-US"/>
        </w:rPr>
        <w:t>) of Cordova: Long Commentary on The De Anima of Aristotle</w:t>
      </w:r>
      <w:r w:rsidR="0063097F" w:rsidRPr="009D7635">
        <w:rPr>
          <w:rFonts w:ascii="Times New Roman" w:hAnsi="Times New Roman" w:cs="Times New Roman"/>
          <w:i/>
          <w:color w:val="000000" w:themeColor="text1"/>
          <w:sz w:val="20"/>
          <w:szCs w:val="20"/>
          <w:lang w:val="en-US"/>
        </w:rPr>
        <w:t xml:space="preserve"> </w:t>
      </w:r>
      <w:proofErr w:type="spellStart"/>
      <w:r w:rsidR="0063097F" w:rsidRPr="009D7635">
        <w:rPr>
          <w:rFonts w:ascii="Times New Roman" w:hAnsi="Times New Roman" w:cs="Times New Roman"/>
          <w:i/>
          <w:iCs/>
          <w:sz w:val="20"/>
          <w:szCs w:val="20"/>
        </w:rPr>
        <w:t>Averroes</w:t>
      </w:r>
      <w:proofErr w:type="spellEnd"/>
      <w:r w:rsidR="0063097F" w:rsidRPr="009D7635">
        <w:rPr>
          <w:rFonts w:ascii="Times New Roman" w:hAnsi="Times New Roman" w:cs="Times New Roman"/>
          <w:i/>
          <w:iCs/>
          <w:sz w:val="20"/>
          <w:szCs w:val="20"/>
        </w:rPr>
        <w:t xml:space="preserve"> (Ibn </w:t>
      </w:r>
      <w:proofErr w:type="spellStart"/>
      <w:r w:rsidR="0063097F" w:rsidRPr="009D7635">
        <w:rPr>
          <w:rFonts w:ascii="Times New Roman" w:hAnsi="Times New Roman" w:cs="Times New Roman"/>
          <w:i/>
          <w:iCs/>
          <w:sz w:val="20"/>
          <w:szCs w:val="20"/>
        </w:rPr>
        <w:t>Rushd</w:t>
      </w:r>
      <w:proofErr w:type="spellEnd"/>
      <w:r w:rsidR="0063097F" w:rsidRPr="009D7635">
        <w:rPr>
          <w:rFonts w:ascii="Times New Roman" w:hAnsi="Times New Roman" w:cs="Times New Roman"/>
          <w:i/>
          <w:iCs/>
          <w:sz w:val="20"/>
          <w:szCs w:val="20"/>
        </w:rPr>
        <w:t xml:space="preserve">) of Cordova, </w:t>
      </w:r>
      <w:r w:rsidR="0063097F" w:rsidRPr="009D7635">
        <w:rPr>
          <w:rFonts w:ascii="Times New Roman" w:hAnsi="Times New Roman" w:cs="Times New Roman"/>
          <w:sz w:val="20"/>
          <w:szCs w:val="20"/>
        </w:rPr>
        <w:t>trans.</w:t>
      </w:r>
      <w:r w:rsidR="0063097F" w:rsidRPr="009D7635">
        <w:rPr>
          <w:rFonts w:ascii="Times New Roman" w:hAnsi="Times New Roman" w:cs="Times New Roman"/>
          <w:i/>
          <w:iCs/>
          <w:sz w:val="20"/>
          <w:szCs w:val="20"/>
        </w:rPr>
        <w:t xml:space="preserve"> </w:t>
      </w:r>
      <w:r w:rsidR="0063097F" w:rsidRPr="009D7635">
        <w:rPr>
          <w:rFonts w:ascii="Times New Roman" w:hAnsi="Times New Roman" w:cs="Times New Roman"/>
          <w:sz w:val="20"/>
          <w:szCs w:val="20"/>
        </w:rPr>
        <w:t>Richard Taylor (New Haven: Yale University Press, 2009),</w:t>
      </w:r>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302-5. Cristina D’Ancona provides an extremely helpful list of known commentaries on Aristotle that were available in Arabic, and when they became available, in ‘The Origins of Islamic Philosophy,’ in </w:t>
      </w:r>
      <w:r w:rsidRPr="009D7635">
        <w:rPr>
          <w:rFonts w:ascii="Times New Roman" w:hAnsi="Times New Roman" w:cs="Times New Roman"/>
          <w:i/>
          <w:color w:val="000000" w:themeColor="text1"/>
          <w:sz w:val="20"/>
          <w:szCs w:val="20"/>
          <w:lang w:val="en-US"/>
        </w:rPr>
        <w:t xml:space="preserve">The Cambridge History of Philosophy in Late Antiquity, </w:t>
      </w:r>
      <w:r w:rsidRPr="009D7635">
        <w:rPr>
          <w:rFonts w:ascii="Times New Roman" w:hAnsi="Times New Roman" w:cs="Times New Roman"/>
          <w:color w:val="000000" w:themeColor="text1"/>
          <w:sz w:val="20"/>
          <w:szCs w:val="20"/>
          <w:lang w:val="en-US"/>
        </w:rPr>
        <w:t>ed. Lloyd Gerson (Cambridge: Cambridge University Press, 2000), 869-93.</w:t>
      </w:r>
    </w:p>
  </w:footnote>
  <w:footnote w:id="834">
    <w:p w14:paraId="2BF388BD" w14:textId="65574CDA"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Beatrice H. </w:t>
      </w:r>
      <w:proofErr w:type="spellStart"/>
      <w:r w:rsidRPr="009D7635">
        <w:rPr>
          <w:rFonts w:ascii="Times New Roman" w:hAnsi="Times New Roman" w:cs="Times New Roman"/>
          <w:color w:val="000000" w:themeColor="text1"/>
          <w:sz w:val="20"/>
          <w:szCs w:val="20"/>
        </w:rPr>
        <w:t>Zedler</w:t>
      </w:r>
      <w:proofErr w:type="spellEnd"/>
      <w:r w:rsidRPr="009D7635">
        <w:rPr>
          <w:rFonts w:ascii="Times New Roman" w:hAnsi="Times New Roman" w:cs="Times New Roman"/>
          <w:color w:val="000000" w:themeColor="text1"/>
          <w:sz w:val="20"/>
          <w:szCs w:val="20"/>
        </w:rPr>
        <w:t xml:space="preserve">, ‘Problem: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 xml:space="preserve"> on the Possible Intellect,’ 166</w:t>
      </w:r>
      <w:r w:rsidR="006E447E" w:rsidRPr="009D7635">
        <w:rPr>
          <w:rFonts w:ascii="Times New Roman" w:hAnsi="Times New Roman" w:cs="Times New Roman"/>
          <w:color w:val="000000" w:themeColor="text1"/>
          <w:sz w:val="20"/>
          <w:szCs w:val="20"/>
        </w:rPr>
        <w:t>.</w:t>
      </w:r>
    </w:p>
  </w:footnote>
  <w:footnote w:id="835">
    <w:p w14:paraId="38D18EBB" w14:textId="77777777"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Herbert A. Davidson, </w:t>
      </w:r>
      <w:proofErr w:type="spellStart"/>
      <w:r w:rsidRPr="009D7635">
        <w:rPr>
          <w:rFonts w:ascii="Times New Roman" w:hAnsi="Times New Roman" w:cs="Times New Roman"/>
          <w:i/>
          <w:color w:val="000000" w:themeColor="text1"/>
          <w:sz w:val="20"/>
          <w:szCs w:val="20"/>
          <w:lang w:val="en-US"/>
        </w:rPr>
        <w:t>Alfarabi</w:t>
      </w:r>
      <w:proofErr w:type="spellEnd"/>
      <w:r w:rsidRPr="009D7635">
        <w:rPr>
          <w:rFonts w:ascii="Times New Roman" w:hAnsi="Times New Roman" w:cs="Times New Roman"/>
          <w:i/>
          <w:color w:val="000000" w:themeColor="text1"/>
          <w:sz w:val="20"/>
          <w:szCs w:val="20"/>
          <w:lang w:val="en-US"/>
        </w:rPr>
        <w:t xml:space="preserve">, Avicenna, and </w:t>
      </w:r>
      <w:proofErr w:type="spellStart"/>
      <w:r w:rsidRPr="009D7635">
        <w:rPr>
          <w:rFonts w:ascii="Times New Roman" w:hAnsi="Times New Roman" w:cs="Times New Roman"/>
          <w:i/>
          <w:color w:val="000000" w:themeColor="text1"/>
          <w:sz w:val="20"/>
          <w:szCs w:val="20"/>
          <w:lang w:val="en-US"/>
        </w:rPr>
        <w:t>Averroes</w:t>
      </w:r>
      <w:proofErr w:type="spellEnd"/>
      <w:r w:rsidRPr="009D7635">
        <w:rPr>
          <w:rFonts w:ascii="Times New Roman" w:hAnsi="Times New Roman" w:cs="Times New Roman"/>
          <w:i/>
          <w:color w:val="000000" w:themeColor="text1"/>
          <w:sz w:val="20"/>
          <w:szCs w:val="20"/>
          <w:lang w:val="en-US"/>
        </w:rPr>
        <w:t xml:space="preserve"> on Intellect</w:t>
      </w:r>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317.</w:t>
      </w:r>
    </w:p>
  </w:footnote>
  <w:footnote w:id="836">
    <w:p w14:paraId="5A5D79A1" w14:textId="0E457A14"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63097F" w:rsidRPr="009D7635">
        <w:rPr>
          <w:rFonts w:ascii="Times New Roman" w:hAnsi="Times New Roman" w:cs="Times New Roman"/>
          <w:color w:val="000000" w:themeColor="text1"/>
          <w:sz w:val="20"/>
          <w:szCs w:val="20"/>
        </w:rPr>
        <w:t>Ibid.</w:t>
      </w:r>
      <w:r w:rsidR="0063097F" w:rsidRPr="009D7635">
        <w:rPr>
          <w:rFonts w:ascii="Times New Roman" w:hAnsi="Times New Roman" w:cs="Times New Roman"/>
          <w:iCs/>
          <w:color w:val="000000" w:themeColor="text1"/>
          <w:sz w:val="20"/>
          <w:szCs w:val="20"/>
          <w:lang w:val="en-US"/>
        </w:rPr>
        <w:t>,</w:t>
      </w:r>
      <w:r w:rsidR="0063097F"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rPr>
        <w:t>290</w:t>
      </w:r>
      <w:r w:rsidR="006E447E" w:rsidRPr="009D7635">
        <w:rPr>
          <w:rFonts w:ascii="Times New Roman" w:hAnsi="Times New Roman" w:cs="Times New Roman"/>
          <w:color w:val="000000" w:themeColor="text1"/>
          <w:sz w:val="20"/>
          <w:szCs w:val="20"/>
        </w:rPr>
        <w:t>.</w:t>
      </w:r>
    </w:p>
  </w:footnote>
  <w:footnote w:id="837">
    <w:p w14:paraId="4F1007FA" w14:textId="210973F0"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63097F" w:rsidRPr="009D7635">
        <w:rPr>
          <w:rFonts w:ascii="Times New Roman" w:hAnsi="Times New Roman" w:cs="Times New Roman"/>
          <w:color w:val="000000" w:themeColor="text1"/>
          <w:sz w:val="20"/>
          <w:szCs w:val="20"/>
        </w:rPr>
        <w:t>Ibid</w:t>
      </w:r>
      <w:r w:rsidR="006E447E"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Beatrice H. </w:t>
      </w:r>
      <w:proofErr w:type="spellStart"/>
      <w:r w:rsidRPr="009D7635">
        <w:rPr>
          <w:rFonts w:ascii="Times New Roman" w:hAnsi="Times New Roman" w:cs="Times New Roman"/>
          <w:color w:val="000000" w:themeColor="text1"/>
          <w:sz w:val="20"/>
          <w:szCs w:val="20"/>
        </w:rPr>
        <w:t>Zedler</w:t>
      </w:r>
      <w:proofErr w:type="spellEnd"/>
      <w:r w:rsidRPr="009D7635">
        <w:rPr>
          <w:rFonts w:ascii="Times New Roman" w:hAnsi="Times New Roman" w:cs="Times New Roman"/>
          <w:color w:val="000000" w:themeColor="text1"/>
          <w:sz w:val="20"/>
          <w:szCs w:val="20"/>
        </w:rPr>
        <w:t xml:space="preserve">, ‘Problem: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 xml:space="preserve"> on the Possible Intellect,’ 170</w:t>
      </w:r>
      <w:r w:rsidR="006E447E"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Arthur Hyman,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 Theory of the Intellect and the Ancient Commentators,’ 196</w:t>
      </w:r>
      <w:r w:rsidR="006E447E"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w:t>
      </w:r>
    </w:p>
  </w:footnote>
  <w:footnote w:id="838">
    <w:p w14:paraId="350EF0A4" w14:textId="57920E56"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Beatrice H. </w:t>
      </w:r>
      <w:proofErr w:type="spellStart"/>
      <w:r w:rsidRPr="009D7635">
        <w:rPr>
          <w:rFonts w:ascii="Times New Roman" w:hAnsi="Times New Roman" w:cs="Times New Roman"/>
          <w:color w:val="000000" w:themeColor="text1"/>
          <w:sz w:val="20"/>
          <w:szCs w:val="20"/>
        </w:rPr>
        <w:t>Zedler</w:t>
      </w:r>
      <w:proofErr w:type="spellEnd"/>
      <w:r w:rsidRPr="009D7635">
        <w:rPr>
          <w:rFonts w:ascii="Times New Roman" w:hAnsi="Times New Roman" w:cs="Times New Roman"/>
          <w:color w:val="000000" w:themeColor="text1"/>
          <w:sz w:val="20"/>
          <w:szCs w:val="20"/>
        </w:rPr>
        <w:t xml:space="preserve">, ‘Problem: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 xml:space="preserve"> on the Possible Intellect,’ 165</w:t>
      </w:r>
      <w:r w:rsidR="006E447E" w:rsidRPr="009D7635">
        <w:rPr>
          <w:rFonts w:ascii="Times New Roman" w:hAnsi="Times New Roman" w:cs="Times New Roman"/>
          <w:color w:val="000000" w:themeColor="text1"/>
          <w:sz w:val="20"/>
          <w:szCs w:val="20"/>
        </w:rPr>
        <w:t>.</w:t>
      </w:r>
    </w:p>
  </w:footnote>
  <w:footnote w:id="839">
    <w:p w14:paraId="19328FDC" w14:textId="02B1805A"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Alfred L. </w:t>
      </w:r>
      <w:proofErr w:type="spellStart"/>
      <w:r w:rsidRPr="009D7635">
        <w:rPr>
          <w:rFonts w:ascii="Times New Roman" w:hAnsi="Times New Roman" w:cs="Times New Roman"/>
          <w:color w:val="000000" w:themeColor="text1"/>
          <w:sz w:val="20"/>
          <w:szCs w:val="20"/>
        </w:rPr>
        <w:t>Ivry</w:t>
      </w:r>
      <w:proofErr w:type="spellEnd"/>
      <w:r w:rsidRPr="009D7635">
        <w:rPr>
          <w:rFonts w:ascii="Times New Roman" w:hAnsi="Times New Roman" w:cs="Times New Roman"/>
          <w:color w:val="000000" w:themeColor="text1"/>
          <w:sz w:val="20"/>
          <w:szCs w:val="20"/>
        </w:rPr>
        <w:t>,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 xml:space="preserve">’ Three Commentaries on </w:t>
      </w:r>
      <w:r w:rsidRPr="009D7635">
        <w:rPr>
          <w:rFonts w:ascii="Times New Roman" w:hAnsi="Times New Roman" w:cs="Times New Roman"/>
          <w:i/>
          <w:color w:val="000000" w:themeColor="text1"/>
          <w:sz w:val="20"/>
          <w:szCs w:val="20"/>
        </w:rPr>
        <w:t>De anima,</w:t>
      </w:r>
      <w:r w:rsidRPr="009D7635">
        <w:rPr>
          <w:rFonts w:ascii="Times New Roman" w:hAnsi="Times New Roman" w:cs="Times New Roman"/>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Averroes</w:t>
      </w:r>
      <w:proofErr w:type="spellEnd"/>
      <w:r w:rsidRPr="009D7635">
        <w:rPr>
          <w:rFonts w:ascii="Times New Roman" w:hAnsi="Times New Roman" w:cs="Times New Roman"/>
          <w:i/>
          <w:color w:val="000000" w:themeColor="text1"/>
          <w:sz w:val="20"/>
          <w:szCs w:val="20"/>
        </w:rPr>
        <w:t xml:space="preserve"> and the Aristotelian Tradition, </w:t>
      </w:r>
      <w:r w:rsidRPr="009D7635">
        <w:rPr>
          <w:rFonts w:ascii="Times New Roman" w:hAnsi="Times New Roman" w:cs="Times New Roman"/>
          <w:color w:val="000000" w:themeColor="text1"/>
          <w:sz w:val="20"/>
          <w:szCs w:val="20"/>
        </w:rPr>
        <w:t xml:space="preserve">ed. Gerhard </w:t>
      </w:r>
      <w:proofErr w:type="spellStart"/>
      <w:r w:rsidRPr="009D7635">
        <w:rPr>
          <w:rFonts w:ascii="Times New Roman" w:hAnsi="Times New Roman" w:cs="Times New Roman"/>
          <w:color w:val="000000" w:themeColor="text1"/>
          <w:sz w:val="20"/>
          <w:szCs w:val="20"/>
        </w:rPr>
        <w:t>Endress</w:t>
      </w:r>
      <w:proofErr w:type="spellEnd"/>
      <w:r w:rsidRPr="009D7635">
        <w:rPr>
          <w:rFonts w:ascii="Times New Roman" w:hAnsi="Times New Roman" w:cs="Times New Roman"/>
          <w:color w:val="000000" w:themeColor="text1"/>
          <w:sz w:val="20"/>
          <w:szCs w:val="20"/>
        </w:rPr>
        <w:t xml:space="preserve"> and Jan A. </w:t>
      </w:r>
      <w:proofErr w:type="spellStart"/>
      <w:r w:rsidRPr="009D7635">
        <w:rPr>
          <w:rFonts w:ascii="Times New Roman" w:hAnsi="Times New Roman" w:cs="Times New Roman"/>
          <w:color w:val="000000" w:themeColor="text1"/>
          <w:sz w:val="20"/>
          <w:szCs w:val="20"/>
        </w:rPr>
        <w:t>Aertsen</w:t>
      </w:r>
      <w:proofErr w:type="spellEnd"/>
      <w:r w:rsidRPr="009D7635">
        <w:rPr>
          <w:rFonts w:ascii="Times New Roman" w:hAnsi="Times New Roman" w:cs="Times New Roman"/>
          <w:color w:val="000000" w:themeColor="text1"/>
          <w:sz w:val="20"/>
          <w:szCs w:val="20"/>
        </w:rPr>
        <w:t xml:space="preserve"> (Leiden: Brill, 1999), 213. See also Beatrice H. </w:t>
      </w:r>
      <w:proofErr w:type="spellStart"/>
      <w:r w:rsidRPr="009D7635">
        <w:rPr>
          <w:rFonts w:ascii="Times New Roman" w:hAnsi="Times New Roman" w:cs="Times New Roman"/>
          <w:color w:val="000000" w:themeColor="text1"/>
          <w:sz w:val="20"/>
          <w:szCs w:val="20"/>
        </w:rPr>
        <w:t>Zedler</w:t>
      </w:r>
      <w:proofErr w:type="spellEnd"/>
      <w:r w:rsidRPr="009D7635">
        <w:rPr>
          <w:rFonts w:ascii="Times New Roman" w:hAnsi="Times New Roman" w:cs="Times New Roman"/>
          <w:color w:val="000000" w:themeColor="text1"/>
          <w:sz w:val="20"/>
          <w:szCs w:val="20"/>
        </w:rPr>
        <w:t xml:space="preserve">, ‘Problem: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 xml:space="preserve"> on the Possible Intellect,’ 170</w:t>
      </w:r>
      <w:r w:rsidR="0030648B" w:rsidRPr="009D7635">
        <w:rPr>
          <w:rFonts w:ascii="Times New Roman" w:hAnsi="Times New Roman" w:cs="Times New Roman"/>
          <w:color w:val="000000" w:themeColor="text1"/>
          <w:sz w:val="20"/>
          <w:szCs w:val="20"/>
        </w:rPr>
        <w:t>.</w:t>
      </w:r>
    </w:p>
  </w:footnote>
  <w:footnote w:id="840">
    <w:p w14:paraId="43C59AF3" w14:textId="26968476" w:rsidR="00B93ED5" w:rsidRPr="009D7635" w:rsidRDefault="00B93ED5" w:rsidP="00255546">
      <w:pPr>
        <w:pStyle w:val="FootnoteText"/>
        <w:rPr>
          <w:rFonts w:ascii="Times New Roman" w:hAnsi="Times New Roman" w:cs="Times New Roman"/>
          <w:color w:val="000000" w:themeColor="text1"/>
          <w:lang w:val="en-US"/>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Richard C. Taylor, ‘Remarks on </w:t>
      </w:r>
      <w:proofErr w:type="spellStart"/>
      <w:r w:rsidRPr="009D7635">
        <w:rPr>
          <w:rFonts w:ascii="Times New Roman" w:hAnsi="Times New Roman" w:cs="Times New Roman"/>
          <w:i/>
          <w:color w:val="000000" w:themeColor="text1"/>
        </w:rPr>
        <w:t>Cogitatio</w:t>
      </w:r>
      <w:proofErr w:type="spellEnd"/>
      <w:r w:rsidRPr="009D7635">
        <w:rPr>
          <w:rFonts w:ascii="Times New Roman" w:hAnsi="Times New Roman" w:cs="Times New Roman"/>
          <w:color w:val="000000" w:themeColor="text1"/>
        </w:rPr>
        <w:t xml:space="preserve"> in </w:t>
      </w:r>
      <w:proofErr w:type="spellStart"/>
      <w:r w:rsidRPr="009D7635">
        <w:rPr>
          <w:rFonts w:ascii="Times New Roman" w:hAnsi="Times New Roman" w:cs="Times New Roman"/>
          <w:color w:val="000000" w:themeColor="text1"/>
        </w:rPr>
        <w:t>Averroes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Commentarium</w:t>
      </w:r>
      <w:proofErr w:type="spellEnd"/>
      <w:r w:rsidRPr="009D7635">
        <w:rPr>
          <w:rFonts w:ascii="Times New Roman" w:hAnsi="Times New Roman" w:cs="Times New Roman"/>
          <w:color w:val="000000" w:themeColor="text1"/>
        </w:rPr>
        <w:t xml:space="preserve"> Magnum in </w:t>
      </w:r>
      <w:proofErr w:type="spellStart"/>
      <w:r w:rsidRPr="009D7635">
        <w:rPr>
          <w:rFonts w:ascii="Times New Roman" w:hAnsi="Times New Roman" w:cs="Times New Roman"/>
          <w:color w:val="000000" w:themeColor="text1"/>
        </w:rPr>
        <w:t>Aristotelis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Libros</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in </w:t>
      </w:r>
      <w:proofErr w:type="spellStart"/>
      <w:r w:rsidRPr="009D7635">
        <w:rPr>
          <w:rFonts w:ascii="Times New Roman" w:hAnsi="Times New Roman" w:cs="Times New Roman"/>
          <w:i/>
          <w:color w:val="000000" w:themeColor="text1"/>
        </w:rPr>
        <w:t>Averroes</w:t>
      </w:r>
      <w:proofErr w:type="spellEnd"/>
      <w:r w:rsidRPr="009D7635">
        <w:rPr>
          <w:rFonts w:ascii="Times New Roman" w:hAnsi="Times New Roman" w:cs="Times New Roman"/>
          <w:i/>
          <w:color w:val="000000" w:themeColor="text1"/>
        </w:rPr>
        <w:t xml:space="preserve"> and the Aristotelian Tradition, </w:t>
      </w:r>
      <w:r w:rsidRPr="009D7635">
        <w:rPr>
          <w:rFonts w:ascii="Times New Roman" w:hAnsi="Times New Roman" w:cs="Times New Roman"/>
          <w:color w:val="000000" w:themeColor="text1"/>
        </w:rPr>
        <w:t xml:space="preserve">ed. Gerhard </w:t>
      </w:r>
      <w:proofErr w:type="spellStart"/>
      <w:r w:rsidRPr="009D7635">
        <w:rPr>
          <w:rFonts w:ascii="Times New Roman" w:hAnsi="Times New Roman" w:cs="Times New Roman"/>
          <w:color w:val="000000" w:themeColor="text1"/>
        </w:rPr>
        <w:t>Endress</w:t>
      </w:r>
      <w:proofErr w:type="spellEnd"/>
      <w:r w:rsidRPr="009D7635">
        <w:rPr>
          <w:rFonts w:ascii="Times New Roman" w:hAnsi="Times New Roman" w:cs="Times New Roman"/>
          <w:color w:val="000000" w:themeColor="text1"/>
        </w:rPr>
        <w:t xml:space="preserve"> and Jan A. </w:t>
      </w:r>
      <w:proofErr w:type="spellStart"/>
      <w:r w:rsidRPr="009D7635">
        <w:rPr>
          <w:rFonts w:ascii="Times New Roman" w:hAnsi="Times New Roman" w:cs="Times New Roman"/>
          <w:color w:val="000000" w:themeColor="text1"/>
        </w:rPr>
        <w:t>Aertsen</w:t>
      </w:r>
      <w:proofErr w:type="spellEnd"/>
      <w:r w:rsidRPr="009D7635">
        <w:rPr>
          <w:rFonts w:ascii="Times New Roman" w:hAnsi="Times New Roman" w:cs="Times New Roman"/>
          <w:color w:val="000000" w:themeColor="text1"/>
        </w:rPr>
        <w:t xml:space="preserve"> (Leiden: Brill, 1999),</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224 in 217-55. See also Harry A. </w:t>
      </w:r>
      <w:proofErr w:type="spellStart"/>
      <w:r w:rsidRPr="009D7635">
        <w:rPr>
          <w:rFonts w:ascii="Times New Roman" w:hAnsi="Times New Roman" w:cs="Times New Roman"/>
          <w:color w:val="000000" w:themeColor="text1"/>
        </w:rPr>
        <w:t>Wolfson</w:t>
      </w:r>
      <w:proofErr w:type="spellEnd"/>
      <w:r w:rsidRPr="009D7635">
        <w:rPr>
          <w:rFonts w:ascii="Times New Roman" w:hAnsi="Times New Roman" w:cs="Times New Roman"/>
          <w:color w:val="000000" w:themeColor="text1"/>
        </w:rPr>
        <w:t>, ‘</w:t>
      </w:r>
      <w:r w:rsidRPr="009D7635">
        <w:rPr>
          <w:rFonts w:ascii="Times New Roman" w:hAnsi="Times New Roman" w:cs="Times New Roman"/>
          <w:color w:val="000000" w:themeColor="text1"/>
          <w:lang w:val="en-US"/>
        </w:rPr>
        <w:t xml:space="preserve">The Internal Senses in Latin, Arabic and Hebrew Philosophic Texts,’ </w:t>
      </w:r>
      <w:r w:rsidRPr="009D7635">
        <w:rPr>
          <w:rFonts w:ascii="Times New Roman" w:hAnsi="Times New Roman" w:cs="Times New Roman"/>
          <w:i/>
          <w:color w:val="000000" w:themeColor="text1"/>
          <w:lang w:val="en-US"/>
        </w:rPr>
        <w:t>Harvard Theological Review</w:t>
      </w:r>
      <w:r w:rsidRPr="009D7635">
        <w:rPr>
          <w:rFonts w:ascii="Times New Roman" w:hAnsi="Times New Roman" w:cs="Times New Roman"/>
          <w:color w:val="000000" w:themeColor="text1"/>
          <w:lang w:val="en-US"/>
        </w:rPr>
        <w:t xml:space="preserve"> 28:2 (1935)</w:t>
      </w:r>
      <w:r w:rsidR="0063097F" w:rsidRPr="009D7635">
        <w:rPr>
          <w:rFonts w:ascii="Times New Roman" w:hAnsi="Times New Roman" w:cs="Times New Roman"/>
          <w:color w:val="000000" w:themeColor="text1"/>
          <w:lang w:val="en-US"/>
        </w:rPr>
        <w:t>:</w:t>
      </w:r>
      <w:r w:rsidRPr="009D7635">
        <w:rPr>
          <w:rFonts w:ascii="Times New Roman" w:hAnsi="Times New Roman" w:cs="Times New Roman"/>
          <w:color w:val="000000" w:themeColor="text1"/>
          <w:lang w:val="en-US"/>
        </w:rPr>
        <w:t xml:space="preserve"> 70–133.</w:t>
      </w:r>
    </w:p>
  </w:footnote>
  <w:footnote w:id="841">
    <w:p w14:paraId="0ED646AE" w14:textId="7DABD9AD"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Richard C. Taylor, ‘Remarks on </w:t>
      </w:r>
      <w:proofErr w:type="spellStart"/>
      <w:r w:rsidRPr="009D7635">
        <w:rPr>
          <w:rFonts w:ascii="Times New Roman" w:hAnsi="Times New Roman" w:cs="Times New Roman"/>
          <w:color w:val="000000" w:themeColor="text1"/>
          <w:sz w:val="20"/>
          <w:szCs w:val="20"/>
        </w:rPr>
        <w:t>Cogitatio</w:t>
      </w:r>
      <w:proofErr w:type="spellEnd"/>
      <w:r w:rsidRPr="009D7635">
        <w:rPr>
          <w:rFonts w:ascii="Times New Roman" w:hAnsi="Times New Roman" w:cs="Times New Roman"/>
          <w:color w:val="000000" w:themeColor="text1"/>
          <w:sz w:val="20"/>
          <w:szCs w:val="20"/>
        </w:rPr>
        <w:t xml:space="preserve">,’ 227-8. Alfred L. </w:t>
      </w:r>
      <w:proofErr w:type="spellStart"/>
      <w:r w:rsidRPr="009D7635">
        <w:rPr>
          <w:rFonts w:ascii="Times New Roman" w:hAnsi="Times New Roman" w:cs="Times New Roman"/>
          <w:color w:val="000000" w:themeColor="text1"/>
          <w:sz w:val="20"/>
          <w:szCs w:val="20"/>
        </w:rPr>
        <w:t>Ivry</w:t>
      </w:r>
      <w:proofErr w:type="spellEnd"/>
      <w:r w:rsidRPr="009D7635">
        <w:rPr>
          <w:rFonts w:ascii="Times New Roman" w:hAnsi="Times New Roman" w:cs="Times New Roman"/>
          <w:color w:val="000000" w:themeColor="text1"/>
          <w:sz w:val="20"/>
          <w:szCs w:val="20"/>
        </w:rPr>
        <w:t>,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 xml:space="preserve">’ Three Commentaries on </w:t>
      </w:r>
      <w:r w:rsidRPr="009D7635">
        <w:rPr>
          <w:rFonts w:ascii="Times New Roman" w:hAnsi="Times New Roman" w:cs="Times New Roman"/>
          <w:i/>
          <w:color w:val="000000" w:themeColor="text1"/>
          <w:sz w:val="20"/>
          <w:szCs w:val="20"/>
        </w:rPr>
        <w:t>De anima,</w:t>
      </w:r>
      <w:r w:rsidRPr="009D7635">
        <w:rPr>
          <w:rFonts w:ascii="Times New Roman" w:hAnsi="Times New Roman" w:cs="Times New Roman"/>
          <w:color w:val="000000" w:themeColor="text1"/>
          <w:sz w:val="20"/>
          <w:szCs w:val="20"/>
        </w:rPr>
        <w:t>’ 213</w:t>
      </w:r>
      <w:r w:rsidR="0030648B"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Long Commentary,</w:t>
      </w:r>
      <w:r w:rsidRPr="009D7635">
        <w:rPr>
          <w:rFonts w:ascii="Times New Roman" w:hAnsi="Times New Roman" w:cs="Times New Roman"/>
          <w:color w:val="000000" w:themeColor="text1"/>
          <w:sz w:val="20"/>
          <w:szCs w:val="20"/>
        </w:rPr>
        <w:t xml:space="preserve"> 476.76.</w:t>
      </w:r>
    </w:p>
  </w:footnote>
  <w:footnote w:id="842">
    <w:p w14:paraId="4D6231FD" w14:textId="77777777"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Richard C. Taylor, ‘Remarks on </w:t>
      </w:r>
      <w:proofErr w:type="spellStart"/>
      <w:r w:rsidRPr="009D7635">
        <w:rPr>
          <w:rFonts w:ascii="Times New Roman" w:hAnsi="Times New Roman" w:cs="Times New Roman"/>
          <w:color w:val="000000" w:themeColor="text1"/>
          <w:sz w:val="20"/>
          <w:szCs w:val="20"/>
        </w:rPr>
        <w:t>Cogitatio</w:t>
      </w:r>
      <w:proofErr w:type="spellEnd"/>
      <w:r w:rsidRPr="009D7635">
        <w:rPr>
          <w:rFonts w:ascii="Times New Roman" w:hAnsi="Times New Roman" w:cs="Times New Roman"/>
          <w:color w:val="000000" w:themeColor="text1"/>
          <w:sz w:val="20"/>
          <w:szCs w:val="20"/>
        </w:rPr>
        <w:t>,’ 225.</w:t>
      </w:r>
    </w:p>
  </w:footnote>
  <w:footnote w:id="843">
    <w:p w14:paraId="4B249A44"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Beatrice H. </w:t>
      </w:r>
      <w:proofErr w:type="spellStart"/>
      <w:r w:rsidRPr="009D7635">
        <w:rPr>
          <w:rFonts w:ascii="Times New Roman" w:hAnsi="Times New Roman" w:cs="Times New Roman"/>
          <w:color w:val="000000" w:themeColor="text1"/>
        </w:rPr>
        <w:t>Zedler</w:t>
      </w:r>
      <w:proofErr w:type="spellEnd"/>
      <w:r w:rsidRPr="009D7635">
        <w:rPr>
          <w:rFonts w:ascii="Times New Roman" w:hAnsi="Times New Roman" w:cs="Times New Roman"/>
          <w:color w:val="000000" w:themeColor="text1"/>
        </w:rPr>
        <w:t xml:space="preserve">, ‘Problem: </w:t>
      </w:r>
      <w:proofErr w:type="spellStart"/>
      <w:r w:rsidRPr="009D7635">
        <w:rPr>
          <w:rFonts w:ascii="Times New Roman" w:hAnsi="Times New Roman" w:cs="Times New Roman"/>
          <w:color w:val="000000" w:themeColor="text1"/>
        </w:rPr>
        <w:t>Averroes</w:t>
      </w:r>
      <w:proofErr w:type="spellEnd"/>
      <w:r w:rsidRPr="009D7635">
        <w:rPr>
          <w:rFonts w:ascii="Times New Roman" w:hAnsi="Times New Roman" w:cs="Times New Roman"/>
          <w:color w:val="000000" w:themeColor="text1"/>
        </w:rPr>
        <w:t xml:space="preserve"> on the Possible Intellect,’ 172.</w:t>
      </w:r>
    </w:p>
  </w:footnote>
  <w:footnote w:id="844">
    <w:p w14:paraId="563EF6FF" w14:textId="6430A3F0"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Herbert A. Davidson, </w:t>
      </w:r>
      <w:proofErr w:type="spellStart"/>
      <w:r w:rsidRPr="009D7635">
        <w:rPr>
          <w:rFonts w:ascii="Times New Roman" w:hAnsi="Times New Roman" w:cs="Times New Roman"/>
          <w:i/>
          <w:color w:val="000000" w:themeColor="text1"/>
          <w:sz w:val="20"/>
          <w:szCs w:val="20"/>
          <w:lang w:val="en-US"/>
        </w:rPr>
        <w:t>Alfarabi</w:t>
      </w:r>
      <w:proofErr w:type="spellEnd"/>
      <w:r w:rsidRPr="009D7635">
        <w:rPr>
          <w:rFonts w:ascii="Times New Roman" w:hAnsi="Times New Roman" w:cs="Times New Roman"/>
          <w:i/>
          <w:color w:val="000000" w:themeColor="text1"/>
          <w:sz w:val="20"/>
          <w:szCs w:val="20"/>
          <w:lang w:val="en-US"/>
        </w:rPr>
        <w:t xml:space="preserve">, Avicenna, and </w:t>
      </w:r>
      <w:proofErr w:type="spellStart"/>
      <w:r w:rsidRPr="009D7635">
        <w:rPr>
          <w:rFonts w:ascii="Times New Roman" w:hAnsi="Times New Roman" w:cs="Times New Roman"/>
          <w:i/>
          <w:color w:val="000000" w:themeColor="text1"/>
          <w:sz w:val="20"/>
          <w:szCs w:val="20"/>
          <w:lang w:val="en-US"/>
        </w:rPr>
        <w:t>Averroes</w:t>
      </w:r>
      <w:proofErr w:type="spellEnd"/>
      <w:r w:rsidRPr="009D7635">
        <w:rPr>
          <w:rFonts w:ascii="Times New Roman" w:hAnsi="Times New Roman" w:cs="Times New Roman"/>
          <w:i/>
          <w:color w:val="000000" w:themeColor="text1"/>
          <w:sz w:val="20"/>
          <w:szCs w:val="20"/>
          <w:lang w:val="en-US"/>
        </w:rPr>
        <w:t xml:space="preserve"> on Intellect</w:t>
      </w:r>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317; </w:t>
      </w:r>
      <w:r w:rsidRPr="009D7635">
        <w:rPr>
          <w:rFonts w:ascii="Times New Roman" w:hAnsi="Times New Roman" w:cs="Times New Roman"/>
          <w:i/>
          <w:color w:val="000000" w:themeColor="text1"/>
          <w:sz w:val="20"/>
          <w:szCs w:val="20"/>
        </w:rPr>
        <w:t xml:space="preserve">Long Commentary </w:t>
      </w:r>
      <w:r w:rsidRPr="009D7635">
        <w:rPr>
          <w:rFonts w:ascii="Times New Roman" w:hAnsi="Times New Roman" w:cs="Times New Roman"/>
          <w:color w:val="000000" w:themeColor="text1"/>
          <w:sz w:val="20"/>
          <w:szCs w:val="20"/>
        </w:rPr>
        <w:t>III.19, 440. Arthur Hyman,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 Theory of the Intellect and the Ancient Commentators,’ 19</w:t>
      </w:r>
      <w:r w:rsidR="00D2506E" w:rsidRPr="009D7635">
        <w:rPr>
          <w:rFonts w:ascii="Times New Roman" w:hAnsi="Times New Roman" w:cs="Times New Roman"/>
          <w:color w:val="000000" w:themeColor="text1"/>
          <w:sz w:val="20"/>
          <w:szCs w:val="20"/>
        </w:rPr>
        <w:t>6.</w:t>
      </w:r>
    </w:p>
  </w:footnote>
  <w:footnote w:id="845">
    <w:p w14:paraId="48967BBD" w14:textId="571B0790"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 de </w:t>
      </w:r>
      <w:proofErr w:type="spellStart"/>
      <w:r w:rsidRPr="009D7635">
        <w:rPr>
          <w:rFonts w:ascii="Times New Roman" w:hAnsi="Times New Roman" w:cs="Times New Roman"/>
          <w:color w:val="000000" w:themeColor="text1"/>
        </w:rPr>
        <w:t>Vaux</w:t>
      </w:r>
      <w:proofErr w:type="spellEnd"/>
      <w:r w:rsidRPr="009D7635">
        <w:rPr>
          <w:rFonts w:ascii="Times New Roman" w:hAnsi="Times New Roman" w:cs="Times New Roman"/>
          <w:color w:val="000000" w:themeColor="text1"/>
        </w:rPr>
        <w:t xml:space="preserve">, ‘La première entrée </w:t>
      </w:r>
      <w:proofErr w:type="spellStart"/>
      <w:r w:rsidRPr="009D7635">
        <w:rPr>
          <w:rFonts w:ascii="Times New Roman" w:hAnsi="Times New Roman" w:cs="Times New Roman"/>
          <w:color w:val="000000" w:themeColor="text1"/>
        </w:rPr>
        <w:t>d’Averroës</w:t>
      </w:r>
      <w:proofErr w:type="spellEnd"/>
      <w:r w:rsidRPr="009D7635">
        <w:rPr>
          <w:rFonts w:ascii="Times New Roman" w:hAnsi="Times New Roman" w:cs="Times New Roman"/>
          <w:color w:val="000000" w:themeColor="text1"/>
        </w:rPr>
        <w:t xml:space="preserve"> chez les Latins,’ </w:t>
      </w:r>
      <w:r w:rsidRPr="009D7635">
        <w:rPr>
          <w:rFonts w:ascii="Times New Roman" w:hAnsi="Times New Roman" w:cs="Times New Roman"/>
          <w:i/>
          <w:color w:val="000000" w:themeColor="text1"/>
        </w:rPr>
        <w:t xml:space="preserve">Revue des sciences </w:t>
      </w:r>
      <w:proofErr w:type="spellStart"/>
      <w:r w:rsidRPr="009D7635">
        <w:rPr>
          <w:rFonts w:ascii="Times New Roman" w:hAnsi="Times New Roman" w:cs="Times New Roman"/>
          <w:i/>
          <w:color w:val="000000" w:themeColor="text1"/>
        </w:rPr>
        <w:t>philosophiques</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theologiques</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 (1933)</w:t>
      </w:r>
      <w:r w:rsidR="0063097F"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w:t>
      </w:r>
      <w:r w:rsidR="0063097F" w:rsidRPr="009D7635">
        <w:rPr>
          <w:rFonts w:ascii="Times New Roman" w:hAnsi="Times New Roman" w:cs="Times New Roman"/>
          <w:color w:val="000000" w:themeColor="text1"/>
        </w:rPr>
        <w:t>241</w:t>
      </w:r>
      <w:r w:rsidR="00A80DFA"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René A. Gauthier, ‘Notes </w:t>
      </w:r>
      <w:proofErr w:type="spellStart"/>
      <w:r w:rsidRPr="009D7635">
        <w:rPr>
          <w:rFonts w:ascii="Times New Roman" w:hAnsi="Times New Roman" w:cs="Times New Roman"/>
          <w:color w:val="000000" w:themeColor="text1"/>
        </w:rPr>
        <w:t>sur</w:t>
      </w:r>
      <w:proofErr w:type="spellEnd"/>
      <w:r w:rsidRPr="009D7635">
        <w:rPr>
          <w:rFonts w:ascii="Times New Roman" w:hAnsi="Times New Roman" w:cs="Times New Roman"/>
          <w:color w:val="000000" w:themeColor="text1"/>
        </w:rPr>
        <w:t xml:space="preserve"> les débuts (1225-1240) du premier </w:t>
      </w:r>
      <w:proofErr w:type="spellStart"/>
      <w:r w:rsidRPr="009D7635">
        <w:rPr>
          <w:rFonts w:ascii="Times New Roman" w:hAnsi="Times New Roman" w:cs="Times New Roman"/>
          <w:color w:val="000000" w:themeColor="text1"/>
        </w:rPr>
        <w:t>Averroisme</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shd w:val="clear" w:color="auto" w:fill="FFFFFF"/>
        </w:rPr>
        <w:t xml:space="preserve">Revue des sciences </w:t>
      </w:r>
      <w:proofErr w:type="spellStart"/>
      <w:r w:rsidRPr="009D7635">
        <w:rPr>
          <w:rFonts w:ascii="Times New Roman" w:hAnsi="Times New Roman" w:cs="Times New Roman"/>
          <w:i/>
          <w:color w:val="000000" w:themeColor="text1"/>
          <w:shd w:val="clear" w:color="auto" w:fill="FFFFFF"/>
        </w:rPr>
        <w:t>philosophiques</w:t>
      </w:r>
      <w:proofErr w:type="spellEnd"/>
      <w:r w:rsidRPr="009D7635">
        <w:rPr>
          <w:rFonts w:ascii="Times New Roman" w:hAnsi="Times New Roman" w:cs="Times New Roman"/>
          <w:i/>
          <w:color w:val="000000" w:themeColor="text1"/>
          <w:shd w:val="clear" w:color="auto" w:fill="FFFFFF"/>
        </w:rPr>
        <w:t xml:space="preserve"> et </w:t>
      </w:r>
      <w:proofErr w:type="spellStart"/>
      <w:r w:rsidRPr="009D7635">
        <w:rPr>
          <w:rFonts w:ascii="Times New Roman" w:hAnsi="Times New Roman" w:cs="Times New Roman"/>
          <w:i/>
          <w:color w:val="000000" w:themeColor="text1"/>
          <w:shd w:val="clear" w:color="auto" w:fill="FFFFFF"/>
        </w:rPr>
        <w:t>théologiques</w:t>
      </w:r>
      <w:proofErr w:type="spellEnd"/>
      <w:r w:rsidRPr="009D7635">
        <w:rPr>
          <w:rFonts w:ascii="Times New Roman" w:hAnsi="Times New Roman" w:cs="Times New Roman"/>
          <w:i/>
          <w:color w:val="000000" w:themeColor="text1"/>
          <w:shd w:val="clear" w:color="auto" w:fill="FFFFFF"/>
        </w:rPr>
        <w:t xml:space="preserve"> </w:t>
      </w:r>
      <w:r w:rsidRPr="009D7635">
        <w:rPr>
          <w:rFonts w:ascii="Times New Roman" w:hAnsi="Times New Roman" w:cs="Times New Roman"/>
          <w:color w:val="000000" w:themeColor="text1"/>
          <w:shd w:val="clear" w:color="auto" w:fill="FFFFFF"/>
        </w:rPr>
        <w:t>66 (1982)</w:t>
      </w:r>
      <w:r w:rsidR="0063097F" w:rsidRPr="009D7635">
        <w:rPr>
          <w:rFonts w:ascii="Times New Roman" w:hAnsi="Times New Roman" w:cs="Times New Roman"/>
          <w:color w:val="000000" w:themeColor="text1"/>
          <w:shd w:val="clear" w:color="auto" w:fill="FFFFFF"/>
        </w:rPr>
        <w:t>:</w:t>
      </w:r>
      <w:r w:rsidRPr="009D7635">
        <w:rPr>
          <w:rFonts w:ascii="Times New Roman" w:hAnsi="Times New Roman" w:cs="Times New Roman"/>
          <w:color w:val="000000" w:themeColor="text1"/>
          <w:shd w:val="clear" w:color="auto" w:fill="FFFFFF"/>
        </w:rPr>
        <w:t xml:space="preserve"> 334.</w:t>
      </w:r>
    </w:p>
  </w:footnote>
  <w:footnote w:id="846">
    <w:p w14:paraId="5015D91A" w14:textId="198CFC73" w:rsidR="00B93ED5" w:rsidRPr="009D7635" w:rsidRDefault="00B93ED5" w:rsidP="00255546">
      <w:pPr>
        <w:widowControl w:val="0"/>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Dag Nikolaus Hasse,</w:t>
      </w:r>
      <w:r w:rsidRPr="009D7635">
        <w:rPr>
          <w:rFonts w:ascii="Times New Roman" w:hAnsi="Times New Roman" w:cs="Times New Roman"/>
          <w:i/>
          <w:color w:val="000000" w:themeColor="text1"/>
          <w:sz w:val="20"/>
          <w:szCs w:val="20"/>
          <w:lang w:val="en-US"/>
        </w:rPr>
        <w:t xml:space="preserve"> Latin </w:t>
      </w:r>
      <w:proofErr w:type="spellStart"/>
      <w:r w:rsidRPr="009D7635">
        <w:rPr>
          <w:rFonts w:ascii="Times New Roman" w:hAnsi="Times New Roman" w:cs="Times New Roman"/>
          <w:i/>
          <w:color w:val="000000" w:themeColor="text1"/>
          <w:sz w:val="20"/>
          <w:szCs w:val="20"/>
          <w:lang w:val="en-US"/>
        </w:rPr>
        <w:t>Averroes</w:t>
      </w:r>
      <w:proofErr w:type="spellEnd"/>
      <w:r w:rsidRPr="009D7635">
        <w:rPr>
          <w:rFonts w:ascii="Times New Roman" w:hAnsi="Times New Roman" w:cs="Times New Roman"/>
          <w:i/>
          <w:color w:val="000000" w:themeColor="text1"/>
          <w:sz w:val="20"/>
          <w:szCs w:val="20"/>
          <w:lang w:val="en-US"/>
        </w:rPr>
        <w:t xml:space="preserve"> Translations of the First Half of the Thirteenth Century </w:t>
      </w:r>
      <w:r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rPr>
        <w:t xml:space="preserve">Hildesheim/Zürich/New York: Georg </w:t>
      </w:r>
      <w:proofErr w:type="spellStart"/>
      <w:r w:rsidRPr="009D7635">
        <w:rPr>
          <w:rFonts w:ascii="Times New Roman" w:hAnsi="Times New Roman" w:cs="Times New Roman"/>
          <w:color w:val="000000" w:themeColor="text1"/>
          <w:sz w:val="20"/>
          <w:szCs w:val="20"/>
        </w:rPr>
        <w:t>Olms</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Verlag</w:t>
      </w:r>
      <w:proofErr w:type="spellEnd"/>
      <w:r w:rsidRPr="009D7635">
        <w:rPr>
          <w:rFonts w:ascii="Times New Roman" w:hAnsi="Times New Roman" w:cs="Times New Roman"/>
          <w:color w:val="000000" w:themeColor="text1"/>
          <w:sz w:val="20"/>
          <w:szCs w:val="20"/>
        </w:rPr>
        <w:t>, 2010)</w:t>
      </w:r>
      <w:r w:rsidR="004A34AE"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30</w:t>
      </w:r>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iCs/>
          <w:color w:val="000000" w:themeColor="text1"/>
          <w:sz w:val="20"/>
          <w:szCs w:val="20"/>
          <w:lang w:val="en-US"/>
        </w:rPr>
        <w:t>Comm. mag</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 xml:space="preserve">De </w:t>
      </w:r>
      <w:proofErr w:type="spellStart"/>
      <w:r w:rsidRPr="009D7635">
        <w:rPr>
          <w:rFonts w:ascii="Times New Roman" w:hAnsi="Times New Roman" w:cs="Times New Roman"/>
          <w:i/>
          <w:iCs/>
          <w:color w:val="000000" w:themeColor="text1"/>
          <w:sz w:val="20"/>
          <w:szCs w:val="20"/>
        </w:rPr>
        <w:t>caelo</w:t>
      </w:r>
      <w:proofErr w:type="spellEnd"/>
      <w:r w:rsidRPr="009D7635">
        <w:rPr>
          <w:rFonts w:ascii="Times New Roman" w:hAnsi="Times New Roman" w:cs="Times New Roman"/>
          <w:i/>
          <w:iCs/>
          <w:color w:val="000000" w:themeColor="text1"/>
          <w:sz w:val="20"/>
          <w:szCs w:val="20"/>
        </w:rPr>
        <w:t>;</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lang w:val="en-US"/>
        </w:rPr>
        <w:t>Comm. mag</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 xml:space="preserve">Physics; </w:t>
      </w:r>
      <w:r w:rsidRPr="009D7635">
        <w:rPr>
          <w:rFonts w:ascii="Times New Roman" w:hAnsi="Times New Roman" w:cs="Times New Roman"/>
          <w:i/>
          <w:iCs/>
          <w:color w:val="000000" w:themeColor="text1"/>
          <w:sz w:val="20"/>
          <w:szCs w:val="20"/>
          <w:lang w:val="en-US"/>
        </w:rPr>
        <w:t>Comm. mag</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 xml:space="preserve">De anima; </w:t>
      </w:r>
      <w:r w:rsidRPr="009D7635">
        <w:rPr>
          <w:rFonts w:ascii="Times New Roman" w:hAnsi="Times New Roman" w:cs="Times New Roman"/>
          <w:i/>
          <w:iCs/>
          <w:color w:val="000000" w:themeColor="text1"/>
          <w:sz w:val="20"/>
          <w:szCs w:val="20"/>
          <w:lang w:val="en-US"/>
        </w:rPr>
        <w:t>Comm. mag</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 xml:space="preserve">Metaphysics; De </w:t>
      </w:r>
      <w:proofErr w:type="spellStart"/>
      <w:r w:rsidRPr="009D7635">
        <w:rPr>
          <w:rFonts w:ascii="Times New Roman" w:hAnsi="Times New Roman" w:cs="Times New Roman"/>
          <w:i/>
          <w:iCs/>
          <w:color w:val="000000" w:themeColor="text1"/>
          <w:sz w:val="20"/>
          <w:szCs w:val="20"/>
        </w:rPr>
        <w:t>substantia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orbis</w:t>
      </w:r>
      <w:proofErr w:type="spellEnd"/>
      <w:r w:rsidRPr="009D7635">
        <w:rPr>
          <w:rFonts w:ascii="Times New Roman" w:hAnsi="Times New Roman" w:cs="Times New Roman"/>
          <w:i/>
          <w:iCs/>
          <w:color w:val="000000" w:themeColor="text1"/>
          <w:sz w:val="20"/>
          <w:szCs w:val="20"/>
        </w:rPr>
        <w:t xml:space="preserve">; Comm. med. De </w:t>
      </w:r>
      <w:proofErr w:type="spellStart"/>
      <w:r w:rsidRPr="009D7635">
        <w:rPr>
          <w:rFonts w:ascii="Times New Roman" w:hAnsi="Times New Roman" w:cs="Times New Roman"/>
          <w:i/>
          <w:iCs/>
          <w:color w:val="000000" w:themeColor="text1"/>
          <w:sz w:val="20"/>
          <w:szCs w:val="20"/>
        </w:rPr>
        <w:t>generatione</w:t>
      </w:r>
      <w:proofErr w:type="spellEnd"/>
      <w:r w:rsidRPr="009D7635">
        <w:rPr>
          <w:rFonts w:ascii="Times New Roman" w:hAnsi="Times New Roman" w:cs="Times New Roman"/>
          <w:i/>
          <w:iCs/>
          <w:color w:val="000000" w:themeColor="text1"/>
          <w:sz w:val="20"/>
          <w:szCs w:val="20"/>
        </w:rPr>
        <w:t xml:space="preserve">; Comp. </w:t>
      </w:r>
      <w:proofErr w:type="spellStart"/>
      <w:r w:rsidRPr="009D7635">
        <w:rPr>
          <w:rFonts w:ascii="Times New Roman" w:hAnsi="Times New Roman" w:cs="Times New Roman"/>
          <w:i/>
          <w:iCs/>
          <w:color w:val="000000" w:themeColor="text1"/>
          <w:sz w:val="20"/>
          <w:szCs w:val="20"/>
        </w:rPr>
        <w:t>Parva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naturalia</w:t>
      </w:r>
      <w:proofErr w:type="spellEnd"/>
      <w:r w:rsidRPr="009D7635">
        <w:rPr>
          <w:rFonts w:ascii="Times New Roman" w:hAnsi="Times New Roman" w:cs="Times New Roman"/>
          <w:i/>
          <w:iCs/>
          <w:color w:val="000000" w:themeColor="text1"/>
          <w:sz w:val="20"/>
          <w:szCs w:val="20"/>
        </w:rPr>
        <w:t xml:space="preserve">. </w:t>
      </w:r>
      <w:r w:rsidRPr="009D7635">
        <w:rPr>
          <w:rFonts w:ascii="Times New Roman" w:hAnsi="Times New Roman" w:cs="Times New Roman"/>
          <w:color w:val="000000" w:themeColor="text1"/>
          <w:sz w:val="20"/>
          <w:szCs w:val="20"/>
        </w:rPr>
        <w:t xml:space="preserve">R. de </w:t>
      </w:r>
      <w:proofErr w:type="spellStart"/>
      <w:r w:rsidRPr="009D7635">
        <w:rPr>
          <w:rFonts w:ascii="Times New Roman" w:hAnsi="Times New Roman" w:cs="Times New Roman"/>
          <w:color w:val="000000" w:themeColor="text1"/>
          <w:sz w:val="20"/>
          <w:szCs w:val="20"/>
        </w:rPr>
        <w:t>Vaux</w:t>
      </w:r>
      <w:proofErr w:type="spellEnd"/>
      <w:r w:rsidRPr="009D7635">
        <w:rPr>
          <w:rFonts w:ascii="Times New Roman" w:hAnsi="Times New Roman" w:cs="Times New Roman"/>
          <w:color w:val="000000" w:themeColor="text1"/>
          <w:sz w:val="20"/>
          <w:szCs w:val="20"/>
        </w:rPr>
        <w:t xml:space="preserve">, ‘La première entrée </w:t>
      </w:r>
      <w:proofErr w:type="spellStart"/>
      <w:r w:rsidRPr="009D7635">
        <w:rPr>
          <w:rFonts w:ascii="Times New Roman" w:hAnsi="Times New Roman" w:cs="Times New Roman"/>
          <w:color w:val="000000" w:themeColor="text1"/>
          <w:sz w:val="20"/>
          <w:szCs w:val="20"/>
        </w:rPr>
        <w:t>d’Averroës</w:t>
      </w:r>
      <w:proofErr w:type="spellEnd"/>
      <w:r w:rsidRPr="009D7635">
        <w:rPr>
          <w:rFonts w:ascii="Times New Roman" w:hAnsi="Times New Roman" w:cs="Times New Roman"/>
          <w:color w:val="000000" w:themeColor="text1"/>
          <w:sz w:val="20"/>
          <w:szCs w:val="20"/>
        </w:rPr>
        <w:t xml:space="preserve"> chez les Latins,’ 215, 220. </w:t>
      </w:r>
      <w:r w:rsidRPr="009D7635">
        <w:rPr>
          <w:rFonts w:ascii="Times New Roman" w:eastAsia="Times New Roman" w:hAnsi="Times New Roman" w:cs="Times New Roman"/>
          <w:color w:val="000000" w:themeColor="text1"/>
          <w:sz w:val="20"/>
          <w:szCs w:val="20"/>
        </w:rPr>
        <w:t xml:space="preserve">Charles Burnett, ‘Michael Scot and the Transmission of Scientific Culture from Toledo to Bologna via the Court of Frederick II Hohenstaufen,’ </w:t>
      </w:r>
      <w:proofErr w:type="spellStart"/>
      <w:r w:rsidRPr="009D7635">
        <w:rPr>
          <w:rFonts w:ascii="Times New Roman" w:eastAsia="Times New Roman" w:hAnsi="Times New Roman" w:cs="Times New Roman"/>
          <w:i/>
          <w:color w:val="000000" w:themeColor="text1"/>
          <w:sz w:val="20"/>
          <w:szCs w:val="20"/>
        </w:rPr>
        <w:t>Micrologus</w:t>
      </w:r>
      <w:proofErr w:type="spellEnd"/>
      <w:r w:rsidRPr="009D7635">
        <w:rPr>
          <w:rFonts w:ascii="Times New Roman" w:eastAsia="Times New Roman" w:hAnsi="Times New Roman" w:cs="Times New Roman"/>
          <w:i/>
          <w:color w:val="000000" w:themeColor="text1"/>
          <w:sz w:val="20"/>
          <w:szCs w:val="20"/>
        </w:rPr>
        <w:t xml:space="preserve"> </w:t>
      </w:r>
      <w:r w:rsidRPr="009D7635">
        <w:rPr>
          <w:rFonts w:ascii="Times New Roman" w:eastAsia="Times New Roman" w:hAnsi="Times New Roman" w:cs="Times New Roman"/>
          <w:color w:val="000000" w:themeColor="text1"/>
          <w:sz w:val="20"/>
          <w:szCs w:val="20"/>
        </w:rPr>
        <w:t>II (1994)</w:t>
      </w:r>
      <w:r w:rsidR="004A34AE" w:rsidRPr="009D7635">
        <w:rPr>
          <w:rFonts w:ascii="Times New Roman" w:eastAsia="Times New Roman" w:hAnsi="Times New Roman" w:cs="Times New Roman"/>
          <w:color w:val="000000" w:themeColor="text1"/>
          <w:sz w:val="20"/>
          <w:szCs w:val="20"/>
        </w:rPr>
        <w:t>:</w:t>
      </w:r>
      <w:r w:rsidRPr="009D7635">
        <w:rPr>
          <w:rFonts w:ascii="Times New Roman" w:eastAsia="Times New Roman" w:hAnsi="Times New Roman" w:cs="Times New Roman"/>
          <w:color w:val="000000" w:themeColor="text1"/>
          <w:sz w:val="20"/>
          <w:szCs w:val="20"/>
        </w:rPr>
        <w:t xml:space="preserve"> 101-26. Charles Burnett, ‘Vincent of </w:t>
      </w:r>
      <w:proofErr w:type="spellStart"/>
      <w:r w:rsidRPr="009D7635">
        <w:rPr>
          <w:rFonts w:ascii="Times New Roman" w:eastAsia="Times New Roman" w:hAnsi="Times New Roman" w:cs="Times New Roman"/>
          <w:color w:val="000000" w:themeColor="text1"/>
          <w:sz w:val="20"/>
          <w:szCs w:val="20"/>
        </w:rPr>
        <w:t>Beauvais</w:t>
      </w:r>
      <w:proofErr w:type="spellEnd"/>
      <w:r w:rsidRPr="009D7635">
        <w:rPr>
          <w:rFonts w:ascii="Times New Roman" w:eastAsia="Times New Roman" w:hAnsi="Times New Roman" w:cs="Times New Roman"/>
          <w:color w:val="000000" w:themeColor="text1"/>
          <w:sz w:val="20"/>
          <w:szCs w:val="20"/>
        </w:rPr>
        <w:t xml:space="preserve">, Michael Scot, and the New Aristotle,’ in </w:t>
      </w:r>
      <w:r w:rsidRPr="009D7635">
        <w:rPr>
          <w:rFonts w:ascii="Times New Roman" w:eastAsia="Times New Roman" w:hAnsi="Times New Roman" w:cs="Times New Roman"/>
          <w:i/>
          <w:color w:val="000000" w:themeColor="text1"/>
          <w:sz w:val="20"/>
          <w:szCs w:val="20"/>
        </w:rPr>
        <w:t xml:space="preserve">Vincent de </w:t>
      </w:r>
      <w:proofErr w:type="spellStart"/>
      <w:r w:rsidRPr="009D7635">
        <w:rPr>
          <w:rFonts w:ascii="Times New Roman" w:eastAsia="Times New Roman" w:hAnsi="Times New Roman" w:cs="Times New Roman"/>
          <w:i/>
          <w:color w:val="000000" w:themeColor="text1"/>
          <w:sz w:val="20"/>
          <w:szCs w:val="20"/>
        </w:rPr>
        <w:t>Beauvais</w:t>
      </w:r>
      <w:proofErr w:type="spellEnd"/>
      <w:r w:rsidRPr="009D7635">
        <w:rPr>
          <w:rFonts w:ascii="Times New Roman" w:eastAsia="Times New Roman" w:hAnsi="Times New Roman" w:cs="Times New Roman"/>
          <w:i/>
          <w:color w:val="000000" w:themeColor="text1"/>
          <w:sz w:val="20"/>
          <w:szCs w:val="20"/>
        </w:rPr>
        <w:t xml:space="preserve">, </w:t>
      </w:r>
      <w:proofErr w:type="spellStart"/>
      <w:r w:rsidRPr="009D7635">
        <w:rPr>
          <w:rFonts w:ascii="Times New Roman" w:eastAsia="Times New Roman" w:hAnsi="Times New Roman" w:cs="Times New Roman"/>
          <w:i/>
          <w:color w:val="000000" w:themeColor="text1"/>
          <w:sz w:val="20"/>
          <w:szCs w:val="20"/>
        </w:rPr>
        <w:t>frère</w:t>
      </w:r>
      <w:proofErr w:type="spellEnd"/>
      <w:r w:rsidRPr="009D7635">
        <w:rPr>
          <w:rFonts w:ascii="Times New Roman" w:eastAsia="Times New Roman" w:hAnsi="Times New Roman" w:cs="Times New Roman"/>
          <w:i/>
          <w:color w:val="000000" w:themeColor="text1"/>
          <w:sz w:val="20"/>
          <w:szCs w:val="20"/>
        </w:rPr>
        <w:t xml:space="preserve"> </w:t>
      </w:r>
      <w:proofErr w:type="spellStart"/>
      <w:r w:rsidRPr="009D7635">
        <w:rPr>
          <w:rFonts w:ascii="Times New Roman" w:eastAsia="Times New Roman" w:hAnsi="Times New Roman" w:cs="Times New Roman"/>
          <w:i/>
          <w:color w:val="000000" w:themeColor="text1"/>
          <w:sz w:val="20"/>
          <w:szCs w:val="20"/>
        </w:rPr>
        <w:t>precheur</w:t>
      </w:r>
      <w:proofErr w:type="spellEnd"/>
      <w:r w:rsidRPr="009D7635">
        <w:rPr>
          <w:rFonts w:ascii="Times New Roman" w:eastAsia="Times New Roman" w:hAnsi="Times New Roman" w:cs="Times New Roman"/>
          <w:i/>
          <w:color w:val="000000" w:themeColor="text1"/>
          <w:sz w:val="20"/>
          <w:szCs w:val="20"/>
        </w:rPr>
        <w:t>, un intellectual et son milieu au XIII siècle</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ed. Marie-Christine Duchenne, Serge </w:t>
      </w:r>
      <w:proofErr w:type="spellStart"/>
      <w:r w:rsidRPr="009D7635">
        <w:rPr>
          <w:rFonts w:ascii="Times New Roman" w:hAnsi="Times New Roman" w:cs="Times New Roman"/>
          <w:color w:val="000000" w:themeColor="text1"/>
          <w:sz w:val="20"/>
          <w:szCs w:val="20"/>
        </w:rPr>
        <w:t>Lusignan</w:t>
      </w:r>
      <w:proofErr w:type="spellEnd"/>
      <w:r w:rsidRPr="009D7635">
        <w:rPr>
          <w:rFonts w:ascii="Times New Roman" w:hAnsi="Times New Roman" w:cs="Times New Roman"/>
          <w:color w:val="000000" w:themeColor="text1"/>
          <w:sz w:val="20"/>
          <w:szCs w:val="20"/>
        </w:rPr>
        <w:t xml:space="preserve">, and Monique </w:t>
      </w:r>
      <w:proofErr w:type="spellStart"/>
      <w:r w:rsidRPr="009D7635">
        <w:rPr>
          <w:rFonts w:ascii="Times New Roman" w:hAnsi="Times New Roman" w:cs="Times New Roman"/>
          <w:color w:val="000000" w:themeColor="text1"/>
          <w:sz w:val="20"/>
          <w:szCs w:val="20"/>
        </w:rPr>
        <w:t>Paulmier-Foucart</w:t>
      </w:r>
      <w:proofErr w:type="spellEnd"/>
      <w:r w:rsidRPr="009D7635">
        <w:rPr>
          <w:rFonts w:ascii="Times New Roman" w:eastAsia="Times New Roman" w:hAnsi="Times New Roman" w:cs="Times New Roman"/>
          <w:i/>
          <w:color w:val="000000" w:themeColor="text1"/>
          <w:sz w:val="20"/>
          <w:szCs w:val="20"/>
        </w:rPr>
        <w:t xml:space="preserve"> </w:t>
      </w:r>
      <w:r w:rsidRPr="009D7635">
        <w:rPr>
          <w:rFonts w:ascii="Times New Roman" w:eastAsia="Times New Roman" w:hAnsi="Times New Roman" w:cs="Times New Roman"/>
          <w:color w:val="000000" w:themeColor="text1"/>
          <w:sz w:val="20"/>
          <w:szCs w:val="20"/>
        </w:rPr>
        <w:t>(</w:t>
      </w:r>
      <w:proofErr w:type="spellStart"/>
      <w:r w:rsidRPr="009D7635">
        <w:rPr>
          <w:rFonts w:ascii="Times New Roman" w:hAnsi="Times New Roman" w:cs="Times New Roman"/>
          <w:color w:val="000000" w:themeColor="text1"/>
          <w:sz w:val="20"/>
          <w:szCs w:val="20"/>
        </w:rPr>
        <w:t>Grâne</w:t>
      </w:r>
      <w:proofErr w:type="spellEnd"/>
      <w:r w:rsidRPr="009D7635">
        <w:rPr>
          <w:rFonts w:ascii="Times New Roman" w:hAnsi="Times New Roman" w:cs="Times New Roman"/>
          <w:color w:val="000000" w:themeColor="text1"/>
          <w:sz w:val="20"/>
          <w:szCs w:val="20"/>
        </w:rPr>
        <w:t xml:space="preserve">: Rencontres à </w:t>
      </w:r>
      <w:proofErr w:type="spellStart"/>
      <w:r w:rsidRPr="009D7635">
        <w:rPr>
          <w:rFonts w:ascii="Times New Roman" w:hAnsi="Times New Roman" w:cs="Times New Roman"/>
          <w:color w:val="000000" w:themeColor="text1"/>
          <w:sz w:val="20"/>
          <w:szCs w:val="20"/>
        </w:rPr>
        <w:t>Royaumont</w:t>
      </w:r>
      <w:proofErr w:type="spellEnd"/>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color w:val="000000" w:themeColor="text1"/>
          <w:sz w:val="20"/>
          <w:szCs w:val="20"/>
        </w:rPr>
        <w:t>1997), 189-213.</w:t>
      </w:r>
    </w:p>
  </w:footnote>
  <w:footnote w:id="847">
    <w:p w14:paraId="7136934F"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 de </w:t>
      </w:r>
      <w:proofErr w:type="spellStart"/>
      <w:r w:rsidRPr="009D7635">
        <w:rPr>
          <w:rFonts w:ascii="Times New Roman" w:hAnsi="Times New Roman" w:cs="Times New Roman"/>
          <w:color w:val="000000" w:themeColor="text1"/>
        </w:rPr>
        <w:t>Vaux</w:t>
      </w:r>
      <w:proofErr w:type="spellEnd"/>
      <w:r w:rsidRPr="009D7635">
        <w:rPr>
          <w:rFonts w:ascii="Times New Roman" w:hAnsi="Times New Roman" w:cs="Times New Roman"/>
          <w:color w:val="000000" w:themeColor="text1"/>
        </w:rPr>
        <w:t xml:space="preserve">, ‘La première entrée </w:t>
      </w:r>
      <w:proofErr w:type="spellStart"/>
      <w:r w:rsidRPr="009D7635">
        <w:rPr>
          <w:rFonts w:ascii="Times New Roman" w:hAnsi="Times New Roman" w:cs="Times New Roman"/>
          <w:color w:val="000000" w:themeColor="text1"/>
        </w:rPr>
        <w:t>d’Averroës</w:t>
      </w:r>
      <w:proofErr w:type="spellEnd"/>
      <w:r w:rsidRPr="009D7635">
        <w:rPr>
          <w:rFonts w:ascii="Times New Roman" w:hAnsi="Times New Roman" w:cs="Times New Roman"/>
          <w:color w:val="000000" w:themeColor="text1"/>
        </w:rPr>
        <w:t xml:space="preserve"> chez les Latins,’ 234.</w:t>
      </w:r>
    </w:p>
  </w:footnote>
  <w:footnote w:id="848">
    <w:p w14:paraId="55BE27DF" w14:textId="66522D2D"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4A34AE"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219</w:t>
      </w:r>
      <w:r w:rsidR="003B7262" w:rsidRPr="009D7635">
        <w:rPr>
          <w:rFonts w:ascii="Times New Roman" w:hAnsi="Times New Roman" w:cs="Times New Roman"/>
          <w:color w:val="000000" w:themeColor="text1"/>
        </w:rPr>
        <w:t>.</w:t>
      </w:r>
    </w:p>
  </w:footnote>
  <w:footnote w:id="849">
    <w:p w14:paraId="7B0C7EAF" w14:textId="66305FEE"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4A34AE"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217.</w:t>
      </w:r>
    </w:p>
  </w:footnote>
  <w:footnote w:id="850">
    <w:p w14:paraId="2964F643"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This term was coined by Ernest Renan, </w:t>
      </w:r>
      <w:proofErr w:type="spellStart"/>
      <w:r w:rsidRPr="009D7635">
        <w:rPr>
          <w:rFonts w:ascii="Times New Roman" w:hAnsi="Times New Roman" w:cs="Times New Roman"/>
          <w:i/>
          <w:color w:val="000000" w:themeColor="text1"/>
        </w:rPr>
        <w:t>Averroès</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l’Averroisme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essai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historique</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(Paris: </w:t>
      </w:r>
      <w:proofErr w:type="spellStart"/>
      <w:r w:rsidRPr="009D7635">
        <w:rPr>
          <w:rFonts w:ascii="Times New Roman" w:hAnsi="Times New Roman" w:cs="Times New Roman"/>
          <w:color w:val="000000" w:themeColor="text1"/>
        </w:rPr>
        <w:t>Calmann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Lèvy</w:t>
      </w:r>
      <w:proofErr w:type="spellEnd"/>
      <w:r w:rsidRPr="009D7635">
        <w:rPr>
          <w:rFonts w:ascii="Times New Roman" w:hAnsi="Times New Roman" w:cs="Times New Roman"/>
          <w:color w:val="000000" w:themeColor="text1"/>
        </w:rPr>
        <w:t xml:space="preserve">, 1882). </w:t>
      </w:r>
    </w:p>
  </w:footnote>
  <w:footnote w:id="851">
    <w:p w14:paraId="21483764" w14:textId="113D222D"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Dominique Salman, ‘Note </w:t>
      </w:r>
      <w:proofErr w:type="spellStart"/>
      <w:r w:rsidRPr="009D7635">
        <w:rPr>
          <w:rFonts w:ascii="Times New Roman" w:hAnsi="Times New Roman" w:cs="Times New Roman"/>
          <w:color w:val="000000" w:themeColor="text1"/>
        </w:rPr>
        <w:t>sur</w:t>
      </w:r>
      <w:proofErr w:type="spellEnd"/>
      <w:r w:rsidRPr="009D7635">
        <w:rPr>
          <w:rFonts w:ascii="Times New Roman" w:hAnsi="Times New Roman" w:cs="Times New Roman"/>
          <w:color w:val="000000" w:themeColor="text1"/>
        </w:rPr>
        <w:t xml:space="preserve"> le première influence </w:t>
      </w:r>
      <w:proofErr w:type="spellStart"/>
      <w:r w:rsidRPr="009D7635">
        <w:rPr>
          <w:rFonts w:ascii="Times New Roman" w:hAnsi="Times New Roman" w:cs="Times New Roman"/>
          <w:color w:val="000000" w:themeColor="text1"/>
        </w:rPr>
        <w:t>d’Averroès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Revue </w:t>
      </w:r>
      <w:proofErr w:type="spellStart"/>
      <w:r w:rsidRPr="009D7635">
        <w:rPr>
          <w:rFonts w:ascii="Times New Roman" w:hAnsi="Times New Roman" w:cs="Times New Roman"/>
          <w:i/>
          <w:color w:val="000000" w:themeColor="text1"/>
        </w:rPr>
        <w:t>néo-scolastique</w:t>
      </w:r>
      <w:proofErr w:type="spellEnd"/>
      <w:r w:rsidRPr="009D7635">
        <w:rPr>
          <w:rFonts w:ascii="Times New Roman" w:hAnsi="Times New Roman" w:cs="Times New Roman"/>
          <w:i/>
          <w:color w:val="000000" w:themeColor="text1"/>
        </w:rPr>
        <w:t xml:space="preserve"> de </w:t>
      </w:r>
      <w:proofErr w:type="spellStart"/>
      <w:r w:rsidRPr="009D7635">
        <w:rPr>
          <w:rFonts w:ascii="Times New Roman" w:hAnsi="Times New Roman" w:cs="Times New Roman"/>
          <w:i/>
          <w:color w:val="000000" w:themeColor="text1"/>
        </w:rPr>
        <w:t>philosophie</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54 (1937)</w:t>
      </w:r>
      <w:r w:rsidR="004E5A39"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203-12.</w:t>
      </w:r>
    </w:p>
  </w:footnote>
  <w:footnote w:id="852">
    <w:p w14:paraId="6A81C301"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René A. Gauthier, ‘Notes </w:t>
      </w:r>
      <w:proofErr w:type="spellStart"/>
      <w:r w:rsidRPr="009D7635">
        <w:rPr>
          <w:rFonts w:ascii="Times New Roman" w:hAnsi="Times New Roman" w:cs="Times New Roman"/>
          <w:color w:val="000000" w:themeColor="text1"/>
        </w:rPr>
        <w:t>sur</w:t>
      </w:r>
      <w:proofErr w:type="spellEnd"/>
      <w:r w:rsidRPr="009D7635">
        <w:rPr>
          <w:rFonts w:ascii="Times New Roman" w:hAnsi="Times New Roman" w:cs="Times New Roman"/>
          <w:color w:val="000000" w:themeColor="text1"/>
        </w:rPr>
        <w:t xml:space="preserve"> les débuts du premier </w:t>
      </w:r>
      <w:proofErr w:type="spellStart"/>
      <w:r w:rsidRPr="009D7635">
        <w:rPr>
          <w:rFonts w:ascii="Times New Roman" w:hAnsi="Times New Roman" w:cs="Times New Roman"/>
          <w:color w:val="000000" w:themeColor="text1"/>
        </w:rPr>
        <w:t>Averroisme</w:t>
      </w:r>
      <w:proofErr w:type="spellEnd"/>
      <w:r w:rsidRPr="009D7635">
        <w:rPr>
          <w:rFonts w:ascii="Times New Roman" w:hAnsi="Times New Roman" w:cs="Times New Roman"/>
          <w:color w:val="000000" w:themeColor="text1"/>
        </w:rPr>
        <w:t xml:space="preserve">,’ 334-5. </w:t>
      </w:r>
    </w:p>
  </w:footnote>
  <w:footnote w:id="853">
    <w:p w14:paraId="0F22E8BD"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Theodore Crowley, </w:t>
      </w:r>
      <w:r w:rsidRPr="009D7635">
        <w:rPr>
          <w:rFonts w:ascii="Times New Roman" w:hAnsi="Times New Roman" w:cs="Times New Roman"/>
          <w:i/>
          <w:color w:val="000000" w:themeColor="text1"/>
        </w:rPr>
        <w:t xml:space="preserve">Roger Bacon: The Problem of the Soul in His Philosophical Commentaries </w:t>
      </w:r>
      <w:r w:rsidRPr="009D7635">
        <w:rPr>
          <w:rFonts w:ascii="Times New Roman" w:hAnsi="Times New Roman" w:cs="Times New Roman"/>
          <w:color w:val="000000" w:themeColor="text1"/>
        </w:rPr>
        <w:t xml:space="preserve">(Dublin: Maes Duffey, 1950), 166. </w:t>
      </w:r>
    </w:p>
  </w:footnote>
  <w:footnote w:id="854">
    <w:p w14:paraId="4947594D" w14:textId="7EA0F348"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color w:val="000000" w:themeColor="text1"/>
          <w:sz w:val="20"/>
          <w:szCs w:val="20"/>
        </w:rPr>
        <w:t xml:space="preserve">, 129: </w:t>
      </w:r>
      <w:r w:rsidRPr="009D7635">
        <w:rPr>
          <w:rFonts w:ascii="Times New Roman" w:hAnsi="Times New Roman" w:cs="Times New Roman"/>
          <w:i/>
          <w:color w:val="000000" w:themeColor="text1"/>
          <w:sz w:val="20"/>
          <w:szCs w:val="20"/>
          <w:lang w:val="en-US"/>
        </w:rPr>
        <w:t xml:space="preserve">Item ratio sic </w:t>
      </w:r>
      <w:proofErr w:type="spellStart"/>
      <w:r w:rsidRPr="009D7635">
        <w:rPr>
          <w:rFonts w:ascii="Times New Roman" w:hAnsi="Times New Roman" w:cs="Times New Roman"/>
          <w:i/>
          <w:color w:val="000000" w:themeColor="text1"/>
          <w:sz w:val="20"/>
          <w:szCs w:val="20"/>
          <w:lang w:val="en-US"/>
        </w:rPr>
        <w:t>sumpta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corruptibilis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dicit</w:t>
      </w:r>
      <w:proofErr w:type="spellEnd"/>
      <w:r w:rsidRPr="009D7635">
        <w:rPr>
          <w:rFonts w:ascii="Times New Roman" w:hAnsi="Times New Roman" w:cs="Times New Roman"/>
          <w:i/>
          <w:color w:val="000000" w:themeColor="text1"/>
          <w:sz w:val="20"/>
          <w:szCs w:val="20"/>
          <w:lang w:val="en-US"/>
        </w:rPr>
        <w:t xml:space="preserve"> Commentator super </w:t>
      </w:r>
      <w:proofErr w:type="spellStart"/>
      <w:r w:rsidRPr="009D7635">
        <w:rPr>
          <w:rFonts w:ascii="Times New Roman" w:hAnsi="Times New Roman" w:cs="Times New Roman"/>
          <w:i/>
          <w:color w:val="000000" w:themeColor="text1"/>
          <w:sz w:val="20"/>
          <w:szCs w:val="20"/>
          <w:lang w:val="en-US"/>
        </w:rPr>
        <w:t>librum</w:t>
      </w:r>
      <w:proofErr w:type="spellEnd"/>
      <w:r w:rsidRPr="009D7635">
        <w:rPr>
          <w:rFonts w:ascii="Times New Roman" w:hAnsi="Times New Roman" w:cs="Times New Roman"/>
          <w:i/>
          <w:color w:val="000000" w:themeColor="text1"/>
          <w:sz w:val="20"/>
          <w:szCs w:val="20"/>
          <w:lang w:val="en-US"/>
        </w:rPr>
        <w:t xml:space="preserve"> De anima; </w:t>
      </w:r>
      <w:proofErr w:type="spellStart"/>
      <w:r w:rsidRPr="009D7635">
        <w:rPr>
          <w:rFonts w:ascii="Times New Roman" w:hAnsi="Times New Roman" w:cs="Times New Roman"/>
          <w:i/>
          <w:color w:val="000000" w:themeColor="text1"/>
          <w:sz w:val="20"/>
          <w:szCs w:val="20"/>
          <w:lang w:val="en-US"/>
        </w:rPr>
        <w:t>dicit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Ratio</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corruptibilis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incorruptibilis</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Dominique H. Salman, O.P., ‘Jean de La Rochelle et les débuts de </w:t>
      </w:r>
      <w:proofErr w:type="spellStart"/>
      <w:r w:rsidRPr="009D7635">
        <w:rPr>
          <w:rFonts w:ascii="Times New Roman" w:hAnsi="Times New Roman" w:cs="Times New Roman"/>
          <w:color w:val="000000" w:themeColor="text1"/>
          <w:sz w:val="20"/>
          <w:szCs w:val="20"/>
        </w:rPr>
        <w:t>l’Averroisme</w:t>
      </w:r>
      <w:proofErr w:type="spellEnd"/>
      <w:r w:rsidRPr="009D7635">
        <w:rPr>
          <w:rFonts w:ascii="Times New Roman" w:hAnsi="Times New Roman" w:cs="Times New Roman"/>
          <w:color w:val="000000" w:themeColor="text1"/>
          <w:sz w:val="20"/>
          <w:szCs w:val="20"/>
        </w:rPr>
        <w:t xml:space="preserve"> Latin,’ </w:t>
      </w:r>
      <w:r w:rsidRPr="009D7635">
        <w:rPr>
          <w:rFonts w:ascii="Times New Roman" w:hAnsi="Times New Roman" w:cs="Times New Roman"/>
          <w:i/>
          <w:iCs/>
          <w:color w:val="000000" w:themeColor="text1"/>
          <w:sz w:val="20"/>
          <w:szCs w:val="20"/>
        </w:rPr>
        <w:t xml:space="preserve">Archives </w:t>
      </w:r>
      <w:proofErr w:type="spellStart"/>
      <w:r w:rsidRPr="009D7635">
        <w:rPr>
          <w:rFonts w:ascii="Times New Roman" w:hAnsi="Times New Roman" w:cs="Times New Roman"/>
          <w:i/>
          <w:iCs/>
          <w:color w:val="000000" w:themeColor="text1"/>
          <w:sz w:val="20"/>
          <w:szCs w:val="20"/>
        </w:rPr>
        <w:t>d'histoire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doctrinale</w:t>
      </w:r>
      <w:proofErr w:type="spellEnd"/>
      <w:r w:rsidRPr="009D7635">
        <w:rPr>
          <w:rFonts w:ascii="Times New Roman" w:hAnsi="Times New Roman" w:cs="Times New Roman"/>
          <w:i/>
          <w:iCs/>
          <w:color w:val="000000" w:themeColor="text1"/>
          <w:sz w:val="20"/>
          <w:szCs w:val="20"/>
        </w:rPr>
        <w:t xml:space="preserve"> et </w:t>
      </w:r>
      <w:proofErr w:type="spellStart"/>
      <w:r w:rsidRPr="009D7635">
        <w:rPr>
          <w:rFonts w:ascii="Times New Roman" w:hAnsi="Times New Roman" w:cs="Times New Roman"/>
          <w:i/>
          <w:iCs/>
          <w:color w:val="000000" w:themeColor="text1"/>
          <w:sz w:val="20"/>
          <w:szCs w:val="20"/>
        </w:rPr>
        <w:t>littéraire</w:t>
      </w:r>
      <w:proofErr w:type="spellEnd"/>
      <w:r w:rsidRPr="009D7635">
        <w:rPr>
          <w:rFonts w:ascii="Times New Roman" w:hAnsi="Times New Roman" w:cs="Times New Roman"/>
          <w:i/>
          <w:iCs/>
          <w:color w:val="000000" w:themeColor="text1"/>
          <w:sz w:val="20"/>
          <w:szCs w:val="20"/>
        </w:rPr>
        <w:t xml:space="preserve"> du </w:t>
      </w:r>
      <w:proofErr w:type="spellStart"/>
      <w:r w:rsidRPr="009D7635">
        <w:rPr>
          <w:rFonts w:ascii="Times New Roman" w:hAnsi="Times New Roman" w:cs="Times New Roman"/>
          <w:i/>
          <w:iCs/>
          <w:color w:val="000000" w:themeColor="text1"/>
          <w:sz w:val="20"/>
          <w:szCs w:val="20"/>
        </w:rPr>
        <w:t>Moyen</w:t>
      </w:r>
      <w:proofErr w:type="spellEnd"/>
      <w:r w:rsidRPr="009D7635">
        <w:rPr>
          <w:rFonts w:ascii="Times New Roman" w:hAnsi="Times New Roman" w:cs="Times New Roman"/>
          <w:i/>
          <w:iCs/>
          <w:color w:val="000000" w:themeColor="text1"/>
          <w:sz w:val="20"/>
          <w:szCs w:val="20"/>
        </w:rPr>
        <w:t xml:space="preserve"> Age</w:t>
      </w:r>
      <w:r w:rsidRPr="009D7635">
        <w:rPr>
          <w:rFonts w:ascii="Times New Roman" w:hAnsi="Times New Roman" w:cs="Times New Roman"/>
          <w:color w:val="000000" w:themeColor="text1"/>
          <w:sz w:val="20"/>
          <w:szCs w:val="20"/>
        </w:rPr>
        <w:t xml:space="preserve"> 16 (1947-48)</w:t>
      </w:r>
      <w:r w:rsidR="009D0077"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136 refers to page 129 of the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color w:val="000000" w:themeColor="text1"/>
          <w:sz w:val="20"/>
          <w:szCs w:val="20"/>
        </w:rPr>
        <w:t xml:space="preserve">, which distinguishes between a corruptible </w:t>
      </w:r>
      <w:r w:rsidRPr="009D7635">
        <w:rPr>
          <w:rFonts w:ascii="Times New Roman" w:hAnsi="Times New Roman" w:cs="Times New Roman"/>
          <w:i/>
          <w:color w:val="000000" w:themeColor="text1"/>
          <w:sz w:val="20"/>
          <w:szCs w:val="20"/>
        </w:rPr>
        <w:t xml:space="preserve">ratio </w:t>
      </w:r>
      <w:r w:rsidRPr="009D7635">
        <w:rPr>
          <w:rFonts w:ascii="Times New Roman" w:hAnsi="Times New Roman" w:cs="Times New Roman"/>
          <w:color w:val="000000" w:themeColor="text1"/>
          <w:sz w:val="20"/>
          <w:szCs w:val="20"/>
        </w:rPr>
        <w:t xml:space="preserve">and and incorruptible intellect, attributing this distinction to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Long Commentary</w:t>
      </w:r>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 III.20, ed. Crawford, 446, 449</w:t>
      </w:r>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See also </w:t>
      </w:r>
      <w:r w:rsidRPr="009D7635">
        <w:rPr>
          <w:rFonts w:ascii="Times New Roman" w:hAnsi="Times New Roman" w:cs="Times New Roman"/>
          <w:bCs/>
          <w:i/>
          <w:iCs/>
          <w:color w:val="000000" w:themeColor="text1"/>
          <w:sz w:val="20"/>
          <w:szCs w:val="20"/>
        </w:rPr>
        <w:t xml:space="preserve">Philippi </w:t>
      </w:r>
      <w:proofErr w:type="spellStart"/>
      <w:r w:rsidRPr="009D7635">
        <w:rPr>
          <w:rFonts w:ascii="Times New Roman" w:hAnsi="Times New Roman" w:cs="Times New Roman"/>
          <w:bCs/>
          <w:i/>
          <w:iCs/>
          <w:color w:val="000000" w:themeColor="text1"/>
          <w:sz w:val="20"/>
          <w:szCs w:val="20"/>
        </w:rPr>
        <w:t>Cancellarii</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Parisiensis</w:t>
      </w:r>
      <w:proofErr w:type="spellEnd"/>
      <w:r w:rsidRPr="009D7635">
        <w:rPr>
          <w:rFonts w:ascii="Times New Roman" w:hAnsi="Times New Roman" w:cs="Times New Roman"/>
          <w:bCs/>
          <w:i/>
          <w:iCs/>
          <w:color w:val="000000" w:themeColor="text1"/>
          <w:sz w:val="20"/>
          <w:szCs w:val="20"/>
        </w:rPr>
        <w:t xml:space="preserve"> Summa de bono</w:t>
      </w:r>
      <w:r w:rsidRPr="009D7635">
        <w:rPr>
          <w:rFonts w:ascii="Times New Roman" w:hAnsi="Times New Roman" w:cs="Times New Roman"/>
          <w:bCs/>
          <w:color w:val="000000" w:themeColor="text1"/>
          <w:sz w:val="20"/>
          <w:szCs w:val="20"/>
        </w:rPr>
        <w:t xml:space="preserve">, </w:t>
      </w:r>
      <w:r w:rsidRPr="009D7635">
        <w:rPr>
          <w:rFonts w:ascii="Times New Roman" w:hAnsi="Times New Roman" w:cs="Times New Roman"/>
          <w:bCs/>
          <w:iCs/>
          <w:color w:val="000000" w:themeColor="text1"/>
          <w:sz w:val="20"/>
          <w:szCs w:val="20"/>
        </w:rPr>
        <w:t xml:space="preserve">2 </w:t>
      </w:r>
      <w:proofErr w:type="spellStart"/>
      <w:r w:rsidRPr="009D7635">
        <w:rPr>
          <w:rFonts w:ascii="Times New Roman" w:hAnsi="Times New Roman" w:cs="Times New Roman"/>
          <w:bCs/>
          <w:iCs/>
          <w:color w:val="000000" w:themeColor="text1"/>
          <w:sz w:val="20"/>
          <w:szCs w:val="20"/>
        </w:rPr>
        <w:t>vols</w:t>
      </w:r>
      <w:proofErr w:type="spellEnd"/>
      <w:r w:rsidRPr="009D7635">
        <w:rPr>
          <w:rFonts w:ascii="Times New Roman" w:hAnsi="Times New Roman" w:cs="Times New Roman"/>
          <w:bCs/>
          <w:iCs/>
          <w:color w:val="000000" w:themeColor="text1"/>
          <w:sz w:val="20"/>
          <w:szCs w:val="20"/>
        </w:rPr>
        <w:t>,</w:t>
      </w:r>
      <w:r w:rsidRPr="009D7635">
        <w:rPr>
          <w:rFonts w:ascii="Times New Roman" w:hAnsi="Times New Roman" w:cs="Times New Roman"/>
          <w:bCs/>
          <w:i/>
          <w:iCs/>
          <w:color w:val="000000" w:themeColor="text1"/>
          <w:sz w:val="20"/>
          <w:szCs w:val="20"/>
        </w:rPr>
        <w:t xml:space="preserve"> </w:t>
      </w:r>
      <w:r w:rsidRPr="009D7635">
        <w:rPr>
          <w:rFonts w:ascii="Times New Roman" w:hAnsi="Times New Roman" w:cs="Times New Roman"/>
          <w:bCs/>
          <w:iCs/>
          <w:color w:val="000000" w:themeColor="text1"/>
          <w:sz w:val="20"/>
          <w:szCs w:val="20"/>
        </w:rPr>
        <w:t>ed.</w:t>
      </w:r>
      <w:r w:rsidRPr="009D7635">
        <w:rPr>
          <w:rFonts w:ascii="Times New Roman" w:hAnsi="Times New Roman" w:cs="Times New Roman"/>
          <w:bCs/>
          <w:i/>
          <w:iCs/>
          <w:color w:val="000000" w:themeColor="text1"/>
          <w:sz w:val="20"/>
          <w:szCs w:val="20"/>
        </w:rPr>
        <w:t xml:space="preserve"> </w:t>
      </w:r>
      <w:r w:rsidRPr="009D7635">
        <w:rPr>
          <w:rFonts w:ascii="Times New Roman" w:hAnsi="Times New Roman" w:cs="Times New Roman"/>
          <w:bCs/>
          <w:color w:val="000000" w:themeColor="text1"/>
          <w:sz w:val="20"/>
          <w:szCs w:val="20"/>
        </w:rPr>
        <w:t xml:space="preserve">Nikolaus </w:t>
      </w:r>
      <w:proofErr w:type="spellStart"/>
      <w:r w:rsidRPr="009D7635">
        <w:rPr>
          <w:rFonts w:ascii="Times New Roman" w:hAnsi="Times New Roman" w:cs="Times New Roman"/>
          <w:bCs/>
          <w:color w:val="000000" w:themeColor="text1"/>
          <w:sz w:val="20"/>
          <w:szCs w:val="20"/>
        </w:rPr>
        <w:t>Wicki</w:t>
      </w:r>
      <w:proofErr w:type="spellEnd"/>
      <w:r w:rsidRPr="009D7635">
        <w:rPr>
          <w:rFonts w:ascii="Times New Roman" w:hAnsi="Times New Roman" w:cs="Times New Roman"/>
          <w:bCs/>
          <w:color w:val="000000" w:themeColor="text1"/>
          <w:sz w:val="20"/>
          <w:szCs w:val="20"/>
        </w:rPr>
        <w:t xml:space="preserve"> (</w:t>
      </w:r>
      <w:r w:rsidRPr="009D7635">
        <w:rPr>
          <w:rFonts w:ascii="Times New Roman" w:hAnsi="Times New Roman" w:cs="Times New Roman"/>
          <w:color w:val="000000" w:themeColor="text1"/>
          <w:sz w:val="20"/>
          <w:szCs w:val="20"/>
        </w:rPr>
        <w:t xml:space="preserve">Bern: </w:t>
      </w:r>
      <w:proofErr w:type="spellStart"/>
      <w:r w:rsidRPr="009D7635">
        <w:rPr>
          <w:rFonts w:ascii="Times New Roman" w:hAnsi="Times New Roman" w:cs="Times New Roman"/>
          <w:color w:val="000000" w:themeColor="text1"/>
          <w:sz w:val="20"/>
          <w:szCs w:val="20"/>
        </w:rPr>
        <w:t>Francke</w:t>
      </w:r>
      <w:proofErr w:type="spellEnd"/>
      <w:r w:rsidRPr="009D7635">
        <w:rPr>
          <w:rFonts w:ascii="Times New Roman" w:hAnsi="Times New Roman" w:cs="Times New Roman"/>
          <w:bCs/>
          <w:color w:val="000000" w:themeColor="text1"/>
          <w:sz w:val="20"/>
          <w:szCs w:val="20"/>
        </w:rPr>
        <w:t>, 1985), 272</w:t>
      </w:r>
      <w:r w:rsidRPr="009D7635">
        <w:rPr>
          <w:rFonts w:ascii="Times New Roman" w:hAnsi="Times New Roman" w:cs="Times New Roman"/>
          <w:color w:val="000000" w:themeColor="text1"/>
          <w:sz w:val="20"/>
          <w:szCs w:val="20"/>
        </w:rPr>
        <w:t xml:space="preserve"> for a quotation of the exact same passage from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 </w:t>
      </w:r>
    </w:p>
  </w:footnote>
  <w:footnote w:id="855">
    <w:p w14:paraId="5139B31E" w14:textId="77777777"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Dominique H. Salman, O.P., ‘Jean de La Rochelle et les débuts de </w:t>
      </w:r>
      <w:proofErr w:type="spellStart"/>
      <w:r w:rsidRPr="009D7635">
        <w:rPr>
          <w:rFonts w:ascii="Times New Roman" w:hAnsi="Times New Roman" w:cs="Times New Roman"/>
          <w:color w:val="000000" w:themeColor="text1"/>
          <w:sz w:val="20"/>
          <w:szCs w:val="20"/>
        </w:rPr>
        <w:t>l’Averroisme</w:t>
      </w:r>
      <w:proofErr w:type="spellEnd"/>
      <w:r w:rsidRPr="009D7635">
        <w:rPr>
          <w:rFonts w:ascii="Times New Roman" w:hAnsi="Times New Roman" w:cs="Times New Roman"/>
          <w:color w:val="000000" w:themeColor="text1"/>
          <w:sz w:val="20"/>
          <w:szCs w:val="20"/>
        </w:rPr>
        <w:t xml:space="preserve"> Latin,’ 135.</w:t>
      </w:r>
    </w:p>
  </w:footnote>
  <w:footnote w:id="856">
    <w:p w14:paraId="2D995F11" w14:textId="0FB153F6"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451FB5" w:rsidRPr="009D7635">
        <w:rPr>
          <w:rFonts w:ascii="Times New Roman" w:hAnsi="Times New Roman" w:cs="Times New Roman"/>
          <w:color w:val="000000" w:themeColor="text1"/>
          <w:sz w:val="20"/>
          <w:szCs w:val="20"/>
        </w:rPr>
        <w:t>Ibid.,</w:t>
      </w:r>
      <w:r w:rsidRPr="009D7635">
        <w:rPr>
          <w:rFonts w:ascii="Times New Roman" w:hAnsi="Times New Roman" w:cs="Times New Roman"/>
          <w:color w:val="000000" w:themeColor="text1"/>
          <w:sz w:val="20"/>
          <w:szCs w:val="20"/>
        </w:rPr>
        <w:t xml:space="preserve"> 136.</w:t>
      </w:r>
    </w:p>
  </w:footnote>
  <w:footnote w:id="857">
    <w:p w14:paraId="6FE0C87E" w14:textId="087424EA"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451FB5" w:rsidRPr="009D7635">
        <w:rPr>
          <w:rFonts w:ascii="Times New Roman" w:hAnsi="Times New Roman" w:cs="Times New Roman"/>
          <w:color w:val="000000" w:themeColor="text1"/>
          <w:sz w:val="20"/>
          <w:szCs w:val="20"/>
        </w:rPr>
        <w:t>Ibid.,</w:t>
      </w:r>
      <w:r w:rsidRPr="009D7635">
        <w:rPr>
          <w:rFonts w:ascii="Times New Roman" w:hAnsi="Times New Roman" w:cs="Times New Roman"/>
          <w:color w:val="000000" w:themeColor="text1"/>
          <w:sz w:val="20"/>
          <w:szCs w:val="20"/>
        </w:rPr>
        <w:t xml:space="preserve"> 137, 139</w:t>
      </w:r>
      <w:r w:rsidR="00997B71"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w:t>
      </w:r>
    </w:p>
  </w:footnote>
  <w:footnote w:id="858">
    <w:p w14:paraId="1D788841" w14:textId="16978489"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832247"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141.</w:t>
      </w:r>
    </w:p>
  </w:footnote>
  <w:footnote w:id="859">
    <w:p w14:paraId="340FF078"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bono</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272: </w:t>
      </w:r>
      <w:r w:rsidRPr="009D7635">
        <w:rPr>
          <w:rFonts w:ascii="Times New Roman" w:hAnsi="Times New Roman" w:cs="Times New Roman"/>
          <w:i/>
          <w:color w:val="000000" w:themeColor="text1"/>
          <w:lang w:val="en-US"/>
        </w:rPr>
        <w:t xml:space="preserve">Commentator super </w:t>
      </w:r>
      <w:proofErr w:type="spellStart"/>
      <w:r w:rsidRPr="009D7635">
        <w:rPr>
          <w:rFonts w:ascii="Times New Roman" w:hAnsi="Times New Roman" w:cs="Times New Roman"/>
          <w:i/>
          <w:color w:val="000000" w:themeColor="text1"/>
          <w:lang w:val="en-US"/>
        </w:rPr>
        <w:t>librum</w:t>
      </w:r>
      <w:proofErr w:type="spellEnd"/>
      <w:r w:rsidRPr="009D7635">
        <w:rPr>
          <w:rFonts w:ascii="Times New Roman" w:hAnsi="Times New Roman" w:cs="Times New Roman"/>
          <w:i/>
          <w:color w:val="000000" w:themeColor="text1"/>
          <w:lang w:val="en-US"/>
        </w:rPr>
        <w:t xml:space="preserve"> De anima </w:t>
      </w:r>
      <w:proofErr w:type="spellStart"/>
      <w:r w:rsidRPr="009D7635">
        <w:rPr>
          <w:rFonts w:ascii="Times New Roman" w:hAnsi="Times New Roman" w:cs="Times New Roman"/>
          <w:i/>
          <w:color w:val="000000" w:themeColor="text1"/>
          <w:lang w:val="en-US"/>
        </w:rPr>
        <w:t>ponit</w:t>
      </w:r>
      <w:proofErr w:type="spellEnd"/>
      <w:r w:rsidRPr="009D7635">
        <w:rPr>
          <w:rFonts w:ascii="Times New Roman" w:hAnsi="Times New Roman" w:cs="Times New Roman"/>
          <w:i/>
          <w:color w:val="000000" w:themeColor="text1"/>
          <w:lang w:val="en-US"/>
        </w:rPr>
        <w:t xml:space="preserve"> quod ratio sit </w:t>
      </w:r>
      <w:proofErr w:type="spellStart"/>
      <w:r w:rsidRPr="009D7635">
        <w:rPr>
          <w:rFonts w:ascii="Times New Roman" w:hAnsi="Times New Roman" w:cs="Times New Roman"/>
          <w:i/>
          <w:color w:val="000000" w:themeColor="text1"/>
          <w:lang w:val="en-US"/>
        </w:rPr>
        <w:t>corruptibilis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intellectus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autem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incorruptibilis</w:t>
      </w:r>
      <w:proofErr w:type="spellEnd"/>
      <w:r w:rsidRPr="009D7635">
        <w:rPr>
          <w:rFonts w:ascii="Times New Roman" w:hAnsi="Times New Roman" w:cs="Times New Roman"/>
          <w:i/>
          <w:color w:val="000000" w:themeColor="text1"/>
          <w:lang w:val="en-US"/>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De </w:t>
      </w:r>
      <w:proofErr w:type="spellStart"/>
      <w:r w:rsidRPr="009D7635">
        <w:rPr>
          <w:rFonts w:ascii="Times New Roman" w:hAnsi="Times New Roman" w:cs="Times New Roman"/>
          <w:color w:val="000000" w:themeColor="text1"/>
        </w:rPr>
        <w:t>Vaux</w:t>
      </w:r>
      <w:proofErr w:type="spellEnd"/>
      <w:r w:rsidRPr="009D7635">
        <w:rPr>
          <w:rFonts w:ascii="Times New Roman" w:hAnsi="Times New Roman" w:cs="Times New Roman"/>
          <w:color w:val="000000" w:themeColor="text1"/>
        </w:rPr>
        <w:t xml:space="preserve"> also highlights two quotations to </w:t>
      </w:r>
      <w:proofErr w:type="spellStart"/>
      <w:r w:rsidRPr="009D7635">
        <w:rPr>
          <w:rFonts w:ascii="Times New Roman" w:hAnsi="Times New Roman" w:cs="Times New Roman"/>
          <w:color w:val="000000" w:themeColor="text1"/>
        </w:rPr>
        <w:t>Averroes</w:t>
      </w:r>
      <w:proofErr w:type="spellEnd"/>
      <w:r w:rsidRPr="009D7635">
        <w:rPr>
          <w:rFonts w:ascii="Times New Roman" w:hAnsi="Times New Roman" w:cs="Times New Roman"/>
          <w:color w:val="000000" w:themeColor="text1"/>
        </w:rPr>
        <w:t xml:space="preserve"> by the Chancellor in his ‘Le </w:t>
      </w:r>
      <w:proofErr w:type="spellStart"/>
      <w:r w:rsidRPr="009D7635">
        <w:rPr>
          <w:rFonts w:ascii="Times New Roman" w:hAnsi="Times New Roman" w:cs="Times New Roman"/>
          <w:color w:val="000000" w:themeColor="text1"/>
        </w:rPr>
        <w:t>premiére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entré</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d’Averroes</w:t>
      </w:r>
      <w:proofErr w:type="spellEnd"/>
      <w:r w:rsidRPr="009D7635">
        <w:rPr>
          <w:rFonts w:ascii="Times New Roman" w:hAnsi="Times New Roman" w:cs="Times New Roman"/>
          <w:color w:val="000000" w:themeColor="text1"/>
        </w:rPr>
        <w:t xml:space="preserve"> chez les Latins,’ 237. </w:t>
      </w:r>
    </w:p>
  </w:footnote>
  <w:footnote w:id="860">
    <w:p w14:paraId="6288F0AD" w14:textId="72C1F9C2"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eastAsia="en-GB"/>
        </w:rPr>
        <w:t xml:space="preserve">J. </w:t>
      </w:r>
      <w:proofErr w:type="spellStart"/>
      <w:r w:rsidRPr="009D7635">
        <w:rPr>
          <w:rFonts w:ascii="Times New Roman" w:hAnsi="Times New Roman" w:cs="Times New Roman"/>
          <w:color w:val="000000" w:themeColor="text1"/>
          <w:sz w:val="20"/>
          <w:szCs w:val="20"/>
          <w:lang w:eastAsia="en-GB"/>
        </w:rPr>
        <w:t>Rohmer</w:t>
      </w:r>
      <w:proofErr w:type="spellEnd"/>
      <w:r w:rsidRPr="009D7635">
        <w:rPr>
          <w:rFonts w:ascii="Times New Roman" w:hAnsi="Times New Roman" w:cs="Times New Roman"/>
          <w:color w:val="000000" w:themeColor="text1"/>
          <w:sz w:val="20"/>
          <w:szCs w:val="20"/>
          <w:lang w:eastAsia="en-GB"/>
        </w:rPr>
        <w:t xml:space="preserve">, ‘La </w:t>
      </w:r>
      <w:proofErr w:type="spellStart"/>
      <w:r w:rsidRPr="009D7635">
        <w:rPr>
          <w:rFonts w:ascii="Times New Roman" w:hAnsi="Times New Roman" w:cs="Times New Roman"/>
          <w:color w:val="000000" w:themeColor="text1"/>
          <w:sz w:val="20"/>
          <w:szCs w:val="20"/>
          <w:lang w:eastAsia="en-GB"/>
        </w:rPr>
        <w:t>théorie</w:t>
      </w:r>
      <w:proofErr w:type="spellEnd"/>
      <w:r w:rsidRPr="009D7635">
        <w:rPr>
          <w:rFonts w:ascii="Times New Roman" w:hAnsi="Times New Roman" w:cs="Times New Roman"/>
          <w:color w:val="000000" w:themeColor="text1"/>
          <w:sz w:val="20"/>
          <w:szCs w:val="20"/>
          <w:lang w:eastAsia="en-GB"/>
        </w:rPr>
        <w:t xml:space="preserve"> de l'abstraction dans l'école </w:t>
      </w:r>
      <w:proofErr w:type="spellStart"/>
      <w:r w:rsidRPr="009D7635">
        <w:rPr>
          <w:rFonts w:ascii="Times New Roman" w:hAnsi="Times New Roman" w:cs="Times New Roman"/>
          <w:color w:val="000000" w:themeColor="text1"/>
          <w:sz w:val="20"/>
          <w:szCs w:val="20"/>
          <w:lang w:eastAsia="en-GB"/>
        </w:rPr>
        <w:t>Franciscaine</w:t>
      </w:r>
      <w:proofErr w:type="spellEnd"/>
      <w:r w:rsidRPr="009D7635">
        <w:rPr>
          <w:rFonts w:ascii="Times New Roman" w:hAnsi="Times New Roman" w:cs="Times New Roman"/>
          <w:color w:val="000000" w:themeColor="text1"/>
          <w:sz w:val="20"/>
          <w:szCs w:val="20"/>
          <w:lang w:eastAsia="en-GB"/>
        </w:rPr>
        <w:t xml:space="preserve"> d'Alexandre de </w:t>
      </w:r>
      <w:proofErr w:type="spellStart"/>
      <w:r w:rsidRPr="009D7635">
        <w:rPr>
          <w:rFonts w:ascii="Times New Roman" w:hAnsi="Times New Roman" w:cs="Times New Roman"/>
          <w:color w:val="000000" w:themeColor="text1"/>
          <w:sz w:val="20"/>
          <w:szCs w:val="20"/>
          <w:lang w:eastAsia="en-GB"/>
        </w:rPr>
        <w:t>Halés</w:t>
      </w:r>
      <w:proofErr w:type="spellEnd"/>
      <w:r w:rsidRPr="009D7635">
        <w:rPr>
          <w:rFonts w:ascii="Times New Roman" w:hAnsi="Times New Roman" w:cs="Times New Roman"/>
          <w:color w:val="000000" w:themeColor="text1"/>
          <w:sz w:val="20"/>
          <w:szCs w:val="20"/>
          <w:lang w:eastAsia="en-GB"/>
        </w:rPr>
        <w:t xml:space="preserve"> à Jean Peckham,’ </w:t>
      </w:r>
      <w:r w:rsidRPr="009D7635">
        <w:rPr>
          <w:rFonts w:ascii="Times New Roman" w:hAnsi="Times New Roman" w:cs="Times New Roman"/>
          <w:i/>
          <w:color w:val="000000" w:themeColor="text1"/>
          <w:sz w:val="20"/>
          <w:szCs w:val="20"/>
        </w:rPr>
        <w:t xml:space="preserve">Archives </w:t>
      </w:r>
      <w:proofErr w:type="spellStart"/>
      <w:r w:rsidRPr="009D7635">
        <w:rPr>
          <w:rFonts w:ascii="Times New Roman" w:hAnsi="Times New Roman" w:cs="Times New Roman"/>
          <w:i/>
          <w:color w:val="000000" w:themeColor="text1"/>
          <w:sz w:val="20"/>
          <w:szCs w:val="20"/>
        </w:rPr>
        <w:t>d'histoire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doctrinale</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littéraire</w:t>
      </w:r>
      <w:proofErr w:type="spellEnd"/>
      <w:r w:rsidRPr="009D7635">
        <w:rPr>
          <w:rFonts w:ascii="Times New Roman" w:hAnsi="Times New Roman" w:cs="Times New Roman"/>
          <w:i/>
          <w:color w:val="000000" w:themeColor="text1"/>
          <w:sz w:val="20"/>
          <w:szCs w:val="20"/>
        </w:rPr>
        <w:t xml:space="preserve"> du </w:t>
      </w:r>
      <w:proofErr w:type="spellStart"/>
      <w:r w:rsidRPr="009D7635">
        <w:rPr>
          <w:rFonts w:ascii="Times New Roman" w:hAnsi="Times New Roman" w:cs="Times New Roman"/>
          <w:i/>
          <w:color w:val="000000" w:themeColor="text1"/>
          <w:sz w:val="20"/>
          <w:szCs w:val="20"/>
        </w:rPr>
        <w:t>Moyen</w:t>
      </w:r>
      <w:proofErr w:type="spellEnd"/>
      <w:r w:rsidRPr="009D7635">
        <w:rPr>
          <w:rFonts w:ascii="Times New Roman" w:hAnsi="Times New Roman" w:cs="Times New Roman"/>
          <w:i/>
          <w:color w:val="000000" w:themeColor="text1"/>
          <w:sz w:val="20"/>
          <w:szCs w:val="20"/>
        </w:rPr>
        <w:t xml:space="preserve"> Age</w:t>
      </w:r>
      <w:r w:rsidRPr="009D7635">
        <w:rPr>
          <w:rFonts w:ascii="Times New Roman" w:hAnsi="Times New Roman" w:cs="Times New Roman"/>
          <w:color w:val="000000" w:themeColor="text1"/>
          <w:sz w:val="20"/>
          <w:szCs w:val="20"/>
          <w:lang w:eastAsia="en-GB"/>
        </w:rPr>
        <w:t xml:space="preserve"> 3 (1928)</w:t>
      </w:r>
      <w:r w:rsidR="008777C0" w:rsidRPr="009D7635">
        <w:rPr>
          <w:rFonts w:ascii="Times New Roman" w:hAnsi="Times New Roman" w:cs="Times New Roman"/>
          <w:color w:val="000000" w:themeColor="text1"/>
          <w:sz w:val="20"/>
          <w:szCs w:val="20"/>
          <w:lang w:eastAsia="en-GB"/>
        </w:rPr>
        <w:t>:</w:t>
      </w:r>
      <w:r w:rsidRPr="009D7635">
        <w:rPr>
          <w:rFonts w:ascii="Times New Roman" w:hAnsi="Times New Roman" w:cs="Times New Roman"/>
          <w:color w:val="000000" w:themeColor="text1"/>
          <w:sz w:val="20"/>
          <w:szCs w:val="20"/>
          <w:lang w:eastAsia="en-GB"/>
        </w:rPr>
        <w:t xml:space="preserve"> 110.</w:t>
      </w:r>
    </w:p>
  </w:footnote>
  <w:footnote w:id="861">
    <w:p w14:paraId="3A8608D2" w14:textId="543305B7" w:rsidR="00B93ED5" w:rsidRPr="009D7635" w:rsidRDefault="00B93ED5" w:rsidP="00255546">
      <w:pPr>
        <w:rPr>
          <w:rFonts w:ascii="Times New Roman" w:hAnsi="Times New Roman" w:cs="Times New Roman"/>
          <w:i/>
          <w:color w:val="000000" w:themeColor="text1"/>
          <w:sz w:val="20"/>
          <w:szCs w:val="20"/>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8777C0" w:rsidRPr="009D7635">
        <w:rPr>
          <w:rFonts w:ascii="Times New Roman" w:hAnsi="Times New Roman" w:cs="Times New Roman"/>
          <w:color w:val="000000" w:themeColor="text1"/>
          <w:sz w:val="20"/>
          <w:szCs w:val="20"/>
          <w:lang w:eastAsia="en-GB"/>
        </w:rPr>
        <w:t>Ibid.</w:t>
      </w:r>
    </w:p>
  </w:footnote>
  <w:footnote w:id="862">
    <w:p w14:paraId="430D3050" w14:textId="772E9BD1"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8777C0" w:rsidRPr="009D7635">
        <w:rPr>
          <w:rFonts w:ascii="Times New Roman" w:hAnsi="Times New Roman" w:cs="Times New Roman"/>
          <w:color w:val="000000" w:themeColor="text1"/>
          <w:sz w:val="20"/>
          <w:szCs w:val="20"/>
        </w:rPr>
        <w:t xml:space="preserve">Ibid., </w:t>
      </w:r>
      <w:r w:rsidRPr="009D7635">
        <w:rPr>
          <w:rFonts w:ascii="Times New Roman" w:hAnsi="Times New Roman" w:cs="Times New Roman"/>
          <w:color w:val="000000" w:themeColor="text1"/>
          <w:sz w:val="20"/>
          <w:szCs w:val="20"/>
        </w:rPr>
        <w:t>111.</w:t>
      </w:r>
    </w:p>
  </w:footnote>
  <w:footnote w:id="863">
    <w:p w14:paraId="6C034699" w14:textId="2137DF47"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8777C0" w:rsidRPr="009D7635">
        <w:rPr>
          <w:rFonts w:ascii="Times New Roman" w:hAnsi="Times New Roman" w:cs="Times New Roman"/>
          <w:color w:val="000000" w:themeColor="text1"/>
          <w:sz w:val="20"/>
          <w:szCs w:val="20"/>
        </w:rPr>
        <w:t xml:space="preserve">Ibid., </w:t>
      </w:r>
      <w:r w:rsidRPr="009D7635">
        <w:rPr>
          <w:rFonts w:ascii="Times New Roman" w:hAnsi="Times New Roman" w:cs="Times New Roman"/>
          <w:color w:val="000000" w:themeColor="text1"/>
          <w:sz w:val="20"/>
          <w:szCs w:val="20"/>
        </w:rPr>
        <w:t>114</w:t>
      </w:r>
      <w:r w:rsidR="000F13B4" w:rsidRPr="009D7635">
        <w:rPr>
          <w:rFonts w:ascii="Times New Roman" w:hAnsi="Times New Roman" w:cs="Times New Roman"/>
          <w:color w:val="000000" w:themeColor="text1"/>
          <w:sz w:val="20"/>
          <w:szCs w:val="20"/>
        </w:rPr>
        <w:t>, 116.</w:t>
      </w:r>
      <w:r w:rsidRPr="009D7635">
        <w:rPr>
          <w:rFonts w:ascii="Times New Roman" w:hAnsi="Times New Roman" w:cs="Times New Roman"/>
          <w:color w:val="000000" w:themeColor="text1"/>
          <w:sz w:val="20"/>
          <w:szCs w:val="20"/>
        </w:rPr>
        <w:t xml:space="preserve"> </w:t>
      </w:r>
    </w:p>
  </w:footnote>
  <w:footnote w:id="864">
    <w:p w14:paraId="54B85E1B" w14:textId="7897A905"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8777C0" w:rsidRPr="009D7635">
        <w:rPr>
          <w:rFonts w:ascii="Times New Roman" w:hAnsi="Times New Roman" w:cs="Times New Roman"/>
          <w:color w:val="000000" w:themeColor="text1"/>
          <w:sz w:val="20"/>
          <w:szCs w:val="20"/>
          <w:lang w:eastAsia="en-GB"/>
        </w:rPr>
        <w:t>Ibid.,</w:t>
      </w:r>
      <w:r w:rsidRPr="009D7635">
        <w:rPr>
          <w:rFonts w:ascii="Times New Roman" w:hAnsi="Times New Roman" w:cs="Times New Roman"/>
          <w:color w:val="000000" w:themeColor="text1"/>
          <w:sz w:val="20"/>
          <w:szCs w:val="20"/>
        </w:rPr>
        <w:t xml:space="preserve"> 118</w:t>
      </w:r>
      <w:r w:rsidR="00CB4252" w:rsidRPr="009D7635">
        <w:rPr>
          <w:rFonts w:ascii="Times New Roman" w:hAnsi="Times New Roman" w:cs="Times New Roman"/>
          <w:color w:val="000000" w:themeColor="text1"/>
          <w:sz w:val="20"/>
          <w:szCs w:val="20"/>
        </w:rPr>
        <w:t>.</w:t>
      </w:r>
    </w:p>
  </w:footnote>
  <w:footnote w:id="865">
    <w:p w14:paraId="3FFF1BD5" w14:textId="49678190"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 Carlos Bazán, ‘Was There Ever a First </w:t>
      </w:r>
      <w:proofErr w:type="spellStart"/>
      <w:r w:rsidRPr="009D7635">
        <w:rPr>
          <w:rFonts w:ascii="Times New Roman" w:hAnsi="Times New Roman" w:cs="Times New Roman"/>
          <w:color w:val="000000" w:themeColor="text1"/>
        </w:rPr>
        <w:t>Averroism</w:t>
      </w:r>
      <w:proofErr w:type="spellEnd"/>
      <w:r w:rsidRPr="009D7635">
        <w:rPr>
          <w:rFonts w:ascii="Times New Roman" w:hAnsi="Times New Roman" w:cs="Times New Roman"/>
          <w:color w:val="000000" w:themeColor="text1"/>
        </w:rPr>
        <w:t xml:space="preserve">?’ in </w:t>
      </w:r>
      <w:proofErr w:type="spellStart"/>
      <w:r w:rsidRPr="009D7635">
        <w:rPr>
          <w:rFonts w:ascii="Times New Roman" w:hAnsi="Times New Roman" w:cs="Times New Roman"/>
          <w:i/>
          <w:color w:val="000000" w:themeColor="text1"/>
        </w:rPr>
        <w:t>Geistesleben</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im</w:t>
      </w:r>
      <w:proofErr w:type="spellEnd"/>
      <w:r w:rsidRPr="009D7635">
        <w:rPr>
          <w:rFonts w:ascii="Times New Roman" w:hAnsi="Times New Roman" w:cs="Times New Roman"/>
          <w:i/>
          <w:color w:val="000000" w:themeColor="text1"/>
        </w:rPr>
        <w:t xml:space="preserve"> 13. </w:t>
      </w:r>
      <w:proofErr w:type="spellStart"/>
      <w:r w:rsidRPr="009D7635">
        <w:rPr>
          <w:rFonts w:ascii="Times New Roman" w:hAnsi="Times New Roman" w:cs="Times New Roman"/>
          <w:i/>
          <w:color w:val="000000" w:themeColor="text1"/>
        </w:rPr>
        <w:t>Jahrhundert</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Jan A. </w:t>
      </w:r>
      <w:proofErr w:type="spellStart"/>
      <w:r w:rsidRPr="009D7635">
        <w:rPr>
          <w:rFonts w:ascii="Times New Roman" w:hAnsi="Times New Roman" w:cs="Times New Roman"/>
          <w:color w:val="000000" w:themeColor="text1"/>
        </w:rPr>
        <w:t>Aertsen</w:t>
      </w:r>
      <w:proofErr w:type="spellEnd"/>
      <w:r w:rsidRPr="009D7635">
        <w:rPr>
          <w:rFonts w:ascii="Times New Roman" w:hAnsi="Times New Roman" w:cs="Times New Roman"/>
          <w:color w:val="000000" w:themeColor="text1"/>
        </w:rPr>
        <w:t xml:space="preserve"> and Andreas Speer (Berlin: Walter de Gruyter, 2000), 36.</w:t>
      </w:r>
    </w:p>
  </w:footnote>
  <w:footnote w:id="866">
    <w:p w14:paraId="38DB950B" w14:textId="23A9C93A"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A23E25"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37.</w:t>
      </w:r>
    </w:p>
  </w:footnote>
  <w:footnote w:id="867">
    <w:p w14:paraId="5AF19897" w14:textId="118D038A"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07A8B"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39.</w:t>
      </w:r>
    </w:p>
  </w:footnote>
  <w:footnote w:id="868">
    <w:p w14:paraId="0177D1A5" w14:textId="0B1464C9" w:rsidR="00B93ED5" w:rsidRPr="009D7635" w:rsidRDefault="00B93ED5" w:rsidP="002555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B07A8B" w:rsidRPr="009D7635">
        <w:rPr>
          <w:rFonts w:ascii="Times New Roman" w:hAnsi="Times New Roman" w:cs="Times New Roman"/>
          <w:color w:val="000000" w:themeColor="text1"/>
          <w:sz w:val="20"/>
          <w:szCs w:val="20"/>
        </w:rPr>
        <w:t xml:space="preserve">Ibid., </w:t>
      </w:r>
      <w:r w:rsidRPr="009D7635">
        <w:rPr>
          <w:rFonts w:ascii="Times New Roman" w:hAnsi="Times New Roman" w:cs="Times New Roman"/>
          <w:color w:val="000000" w:themeColor="text1"/>
          <w:sz w:val="20"/>
          <w:szCs w:val="20"/>
        </w:rPr>
        <w:t>50</w:t>
      </w:r>
      <w:r w:rsidR="008A59DD" w:rsidRPr="009D7635">
        <w:rPr>
          <w:rFonts w:ascii="Times New Roman" w:hAnsi="Times New Roman" w:cs="Times New Roman"/>
          <w:color w:val="000000" w:themeColor="text1"/>
          <w:sz w:val="20"/>
          <w:szCs w:val="20"/>
        </w:rPr>
        <w:t>.</w:t>
      </w:r>
    </w:p>
  </w:footnote>
  <w:footnote w:id="869">
    <w:p w14:paraId="6CB252EC" w14:textId="33CFEF5E"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07A8B"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44.</w:t>
      </w:r>
    </w:p>
  </w:footnote>
  <w:footnote w:id="870">
    <w:p w14:paraId="1024197B" w14:textId="745C6A6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07A8B"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49.</w:t>
      </w:r>
    </w:p>
  </w:footnote>
  <w:footnote w:id="871">
    <w:p w14:paraId="53F2385B" w14:textId="55A541E5"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07A8B"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52.</w:t>
      </w:r>
    </w:p>
  </w:footnote>
  <w:footnote w:id="872">
    <w:p w14:paraId="0E68EF80" w14:textId="3CAE314A"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07A8B" w:rsidRPr="009D7635">
        <w:rPr>
          <w:rFonts w:ascii="Times New Roman" w:hAnsi="Times New Roman" w:cs="Times New Roman"/>
          <w:color w:val="000000" w:themeColor="text1"/>
        </w:rPr>
        <w:t xml:space="preserve">Ibid., </w:t>
      </w:r>
      <w:r w:rsidRPr="009D7635">
        <w:rPr>
          <w:rFonts w:ascii="Times New Roman" w:hAnsi="Times New Roman" w:cs="Times New Roman"/>
          <w:color w:val="000000" w:themeColor="text1"/>
        </w:rPr>
        <w:t>53</w:t>
      </w:r>
      <w:r w:rsidR="00126125" w:rsidRPr="009D7635">
        <w:rPr>
          <w:rFonts w:ascii="Times New Roman" w:hAnsi="Times New Roman" w:cs="Times New Roman"/>
          <w:color w:val="000000" w:themeColor="text1"/>
        </w:rPr>
        <w:t>.</w:t>
      </w:r>
    </w:p>
  </w:footnote>
  <w:footnote w:id="873">
    <w:p w14:paraId="6AB8BF50"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Dominique H. Salman, O.P., ‘Jean de La Rochelle et les débuts de </w:t>
      </w:r>
      <w:proofErr w:type="spellStart"/>
      <w:r w:rsidRPr="009D7635">
        <w:rPr>
          <w:rFonts w:ascii="Times New Roman" w:hAnsi="Times New Roman" w:cs="Times New Roman"/>
          <w:color w:val="000000" w:themeColor="text1"/>
        </w:rPr>
        <w:t>l’Averroisme</w:t>
      </w:r>
      <w:proofErr w:type="spellEnd"/>
      <w:r w:rsidRPr="009D7635">
        <w:rPr>
          <w:rFonts w:ascii="Times New Roman" w:hAnsi="Times New Roman" w:cs="Times New Roman"/>
          <w:color w:val="000000" w:themeColor="text1"/>
        </w:rPr>
        <w:t xml:space="preserve"> Latin,’ 142.</w:t>
      </w:r>
    </w:p>
  </w:footnote>
  <w:footnote w:id="874">
    <w:p w14:paraId="4C905AA5" w14:textId="79C7E6D3"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shd w:val="clear" w:color="auto" w:fill="FFFFFF"/>
        </w:rPr>
        <w:t>René</w:t>
      </w:r>
      <w:r w:rsidRPr="009D7635" w:rsidDel="001E5926">
        <w:rPr>
          <w:rFonts w:ascii="Times New Roman" w:hAnsi="Times New Roman" w:cs="Times New Roman"/>
          <w:color w:val="000000" w:themeColor="text1"/>
          <w:sz w:val="20"/>
          <w:szCs w:val="20"/>
          <w:lang w:val="fr-FR"/>
        </w:rPr>
        <w:t xml:space="preserve"> </w:t>
      </w:r>
      <w:r w:rsidRPr="009D7635">
        <w:rPr>
          <w:rFonts w:ascii="Times New Roman" w:hAnsi="Times New Roman" w:cs="Times New Roman"/>
          <w:color w:val="000000" w:themeColor="text1"/>
          <w:sz w:val="20"/>
          <w:szCs w:val="20"/>
          <w:lang w:val="fr-FR"/>
        </w:rPr>
        <w:t xml:space="preserve">A. Gauthier, ‘Le Traité </w:t>
      </w:r>
      <w:r w:rsidRPr="009D7635">
        <w:rPr>
          <w:rFonts w:ascii="Times New Roman" w:hAnsi="Times New Roman" w:cs="Times New Roman"/>
          <w:i/>
          <w:iCs/>
          <w:color w:val="000000" w:themeColor="text1"/>
          <w:sz w:val="20"/>
          <w:szCs w:val="20"/>
          <w:lang w:val="fr-FR"/>
        </w:rPr>
        <w:t xml:space="preserve">De anima et </w:t>
      </w:r>
      <w:proofErr w:type="spellStart"/>
      <w:r w:rsidRPr="009D7635">
        <w:rPr>
          <w:rFonts w:ascii="Times New Roman" w:hAnsi="Times New Roman" w:cs="Times New Roman"/>
          <w:i/>
          <w:iCs/>
          <w:color w:val="000000" w:themeColor="text1"/>
          <w:sz w:val="20"/>
          <w:szCs w:val="20"/>
          <w:lang w:val="fr-FR"/>
        </w:rPr>
        <w:t>potenciis</w:t>
      </w:r>
      <w:proofErr w:type="spellEnd"/>
      <w:r w:rsidRPr="009D7635">
        <w:rPr>
          <w:rFonts w:ascii="Times New Roman" w:hAnsi="Times New Roman" w:cs="Times New Roman"/>
          <w:i/>
          <w:iCs/>
          <w:color w:val="000000" w:themeColor="text1"/>
          <w:sz w:val="20"/>
          <w:szCs w:val="20"/>
          <w:lang w:val="fr-FR"/>
        </w:rPr>
        <w:t xml:space="preserve"> </w:t>
      </w:r>
      <w:proofErr w:type="spellStart"/>
      <w:r w:rsidRPr="009D7635">
        <w:rPr>
          <w:rFonts w:ascii="Times New Roman" w:hAnsi="Times New Roman" w:cs="Times New Roman"/>
          <w:i/>
          <w:iCs/>
          <w:color w:val="000000" w:themeColor="text1"/>
          <w:sz w:val="20"/>
          <w:szCs w:val="20"/>
          <w:lang w:val="fr-FR"/>
        </w:rPr>
        <w:t>eius</w:t>
      </w:r>
      <w:proofErr w:type="spellEnd"/>
      <w:r w:rsidRPr="009D7635">
        <w:rPr>
          <w:rFonts w:ascii="Times New Roman" w:hAnsi="Times New Roman" w:cs="Times New Roman"/>
          <w:color w:val="000000" w:themeColor="text1"/>
          <w:sz w:val="20"/>
          <w:szCs w:val="20"/>
          <w:lang w:val="fr-FR"/>
        </w:rPr>
        <w:t xml:space="preserve"> d’un maître ès Arts (vers 1225),’ </w:t>
      </w:r>
      <w:r w:rsidRPr="009D7635">
        <w:rPr>
          <w:rFonts w:ascii="Times New Roman" w:hAnsi="Times New Roman" w:cs="Times New Roman"/>
          <w:i/>
          <w:iCs/>
          <w:color w:val="000000" w:themeColor="text1"/>
          <w:sz w:val="20"/>
          <w:szCs w:val="20"/>
        </w:rPr>
        <w:t xml:space="preserve">Revue des </w:t>
      </w:r>
      <w:r w:rsidR="00E329D7">
        <w:rPr>
          <w:rFonts w:ascii="Times New Roman" w:hAnsi="Times New Roman" w:cs="Times New Roman"/>
          <w:i/>
          <w:iCs/>
          <w:color w:val="000000" w:themeColor="text1"/>
          <w:sz w:val="20"/>
          <w:szCs w:val="20"/>
        </w:rPr>
        <w:t>s</w:t>
      </w:r>
      <w:r w:rsidRPr="009D7635">
        <w:rPr>
          <w:rFonts w:ascii="Times New Roman" w:hAnsi="Times New Roman" w:cs="Times New Roman"/>
          <w:i/>
          <w:iCs/>
          <w:color w:val="000000" w:themeColor="text1"/>
          <w:sz w:val="20"/>
          <w:szCs w:val="20"/>
        </w:rPr>
        <w:t xml:space="preserve">ciences </w:t>
      </w:r>
      <w:proofErr w:type="spellStart"/>
      <w:r w:rsidR="00E329D7">
        <w:rPr>
          <w:rFonts w:ascii="Times New Roman" w:hAnsi="Times New Roman" w:cs="Times New Roman"/>
          <w:i/>
          <w:iCs/>
          <w:color w:val="000000" w:themeColor="text1"/>
          <w:sz w:val="20"/>
          <w:szCs w:val="20"/>
        </w:rPr>
        <w:t>p</w:t>
      </w:r>
      <w:r w:rsidRPr="009D7635">
        <w:rPr>
          <w:rFonts w:ascii="Times New Roman" w:hAnsi="Times New Roman" w:cs="Times New Roman"/>
          <w:i/>
          <w:iCs/>
          <w:color w:val="000000" w:themeColor="text1"/>
          <w:sz w:val="20"/>
          <w:szCs w:val="20"/>
        </w:rPr>
        <w:t>hilosophiques</w:t>
      </w:r>
      <w:proofErr w:type="spellEnd"/>
      <w:r w:rsidRPr="009D7635">
        <w:rPr>
          <w:rFonts w:ascii="Times New Roman" w:hAnsi="Times New Roman" w:cs="Times New Roman"/>
          <w:i/>
          <w:iCs/>
          <w:color w:val="000000" w:themeColor="text1"/>
          <w:sz w:val="20"/>
          <w:szCs w:val="20"/>
        </w:rPr>
        <w:t xml:space="preserve"> et </w:t>
      </w:r>
      <w:proofErr w:type="spellStart"/>
      <w:r w:rsidR="00E329D7">
        <w:rPr>
          <w:rFonts w:ascii="Times New Roman" w:hAnsi="Times New Roman" w:cs="Times New Roman"/>
          <w:i/>
          <w:iCs/>
          <w:color w:val="000000" w:themeColor="text1"/>
          <w:sz w:val="20"/>
          <w:szCs w:val="20"/>
        </w:rPr>
        <w:t>t</w:t>
      </w:r>
      <w:r w:rsidRPr="009D7635">
        <w:rPr>
          <w:rFonts w:ascii="Times New Roman" w:hAnsi="Times New Roman" w:cs="Times New Roman"/>
          <w:i/>
          <w:iCs/>
          <w:color w:val="000000" w:themeColor="text1"/>
          <w:sz w:val="20"/>
          <w:szCs w:val="20"/>
        </w:rPr>
        <w:t>héologiques</w:t>
      </w:r>
      <w:proofErr w:type="spellEnd"/>
      <w:r w:rsidRPr="009D7635">
        <w:rPr>
          <w:rFonts w:ascii="Times New Roman" w:hAnsi="Times New Roman" w:cs="Times New Roman"/>
          <w:color w:val="000000" w:themeColor="text1"/>
          <w:sz w:val="20"/>
          <w:szCs w:val="20"/>
        </w:rPr>
        <w:t xml:space="preserve"> 66 (1985)</w:t>
      </w:r>
      <w:r w:rsidR="00867946"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49: </w:t>
      </w:r>
      <w:r w:rsidRPr="009D7635">
        <w:rPr>
          <w:rFonts w:ascii="Times New Roman" w:hAnsi="Times New Roman" w:cs="Times New Roman"/>
          <w:i/>
          <w:color w:val="000000" w:themeColor="text1"/>
          <w:sz w:val="20"/>
          <w:szCs w:val="20"/>
          <w:lang w:val="en-US"/>
        </w:rPr>
        <w:t xml:space="preserve">Anima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duas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inseparabilem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separabilem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Inseparabilis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rationalitas</w:t>
      </w:r>
      <w:proofErr w:type="spellEnd"/>
      <w:r w:rsidRPr="009D7635">
        <w:rPr>
          <w:rFonts w:ascii="Times New Roman" w:hAnsi="Times New Roman" w:cs="Times New Roman"/>
          <w:i/>
          <w:color w:val="000000" w:themeColor="text1"/>
          <w:sz w:val="20"/>
          <w:szCs w:val="20"/>
          <w:lang w:val="en-US"/>
        </w:rPr>
        <w:t xml:space="preserve">, a qua homo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uocat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Aristotiles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passibilem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corruptibilem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potencia</w:t>
      </w:r>
      <w:proofErr w:type="spellEnd"/>
      <w:r w:rsidRPr="009D7635">
        <w:rPr>
          <w:rFonts w:ascii="Times New Roman" w:hAnsi="Times New Roman" w:cs="Times New Roman"/>
          <w:i/>
          <w:color w:val="000000" w:themeColor="text1"/>
          <w:sz w:val="20"/>
          <w:szCs w:val="20"/>
          <w:lang w:val="en-US"/>
        </w:rPr>
        <w:t xml:space="preserve"> media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inter </w:t>
      </w:r>
      <w:proofErr w:type="spellStart"/>
      <w:r w:rsidRPr="009D7635">
        <w:rPr>
          <w:rFonts w:ascii="Times New Roman" w:hAnsi="Times New Roman" w:cs="Times New Roman"/>
          <w:i/>
          <w:color w:val="000000" w:themeColor="text1"/>
          <w:sz w:val="20"/>
          <w:szCs w:val="20"/>
          <w:lang w:val="en-US"/>
        </w:rPr>
        <w:t>potenciam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sensibilem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intellectum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separabilem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circa </w:t>
      </w:r>
      <w:proofErr w:type="spellStart"/>
      <w:r w:rsidRPr="009D7635">
        <w:rPr>
          <w:rFonts w:ascii="Times New Roman" w:hAnsi="Times New Roman" w:cs="Times New Roman"/>
          <w:i/>
          <w:color w:val="000000" w:themeColor="text1"/>
          <w:sz w:val="20"/>
          <w:szCs w:val="20"/>
          <w:lang w:val="en-US"/>
        </w:rPr>
        <w:t>fantasmata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separabilis</w:t>
      </w:r>
      <w:proofErr w:type="spellEnd"/>
      <w:r w:rsidRPr="009D7635">
        <w:rPr>
          <w:rFonts w:ascii="Times New Roman" w:hAnsi="Times New Roman" w:cs="Times New Roman"/>
          <w:i/>
          <w:color w:val="000000" w:themeColor="text1"/>
          <w:sz w:val="20"/>
          <w:szCs w:val="20"/>
          <w:lang w:val="en-US"/>
        </w:rPr>
        <w:t xml:space="preserve"> circa species, </w:t>
      </w:r>
      <w:proofErr w:type="spellStart"/>
      <w:r w:rsidRPr="009D7635">
        <w:rPr>
          <w:rFonts w:ascii="Times New Roman" w:hAnsi="Times New Roman" w:cs="Times New Roman"/>
          <w:i/>
          <w:color w:val="000000" w:themeColor="text1"/>
          <w:sz w:val="20"/>
          <w:szCs w:val="20"/>
          <w:lang w:val="en-US"/>
        </w:rPr>
        <w:t>hic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considerat</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species in </w:t>
      </w:r>
      <w:proofErr w:type="spellStart"/>
      <w:r w:rsidRPr="009D7635">
        <w:rPr>
          <w:rFonts w:ascii="Times New Roman" w:hAnsi="Times New Roman" w:cs="Times New Roman"/>
          <w:i/>
          <w:color w:val="000000" w:themeColor="text1"/>
          <w:sz w:val="20"/>
          <w:szCs w:val="20"/>
          <w:lang w:val="en-US"/>
        </w:rPr>
        <w:t>fantasmatibus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ita</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apprehendit</w:t>
      </w:r>
      <w:proofErr w:type="spellEnd"/>
      <w:r w:rsidRPr="009D7635">
        <w:rPr>
          <w:rFonts w:ascii="Times New Roman" w:hAnsi="Times New Roman" w:cs="Times New Roman"/>
          <w:i/>
          <w:color w:val="000000" w:themeColor="text1"/>
          <w:sz w:val="20"/>
          <w:szCs w:val="20"/>
          <w:lang w:val="en-US"/>
        </w:rPr>
        <w:t xml:space="preserve"> species cum </w:t>
      </w:r>
      <w:proofErr w:type="spellStart"/>
      <w:r w:rsidRPr="009D7635">
        <w:rPr>
          <w:rFonts w:ascii="Times New Roman" w:hAnsi="Times New Roman" w:cs="Times New Roman"/>
          <w:i/>
          <w:color w:val="000000" w:themeColor="text1"/>
          <w:sz w:val="20"/>
          <w:szCs w:val="20"/>
          <w:lang w:val="en-US"/>
        </w:rPr>
        <w:t>accidentibus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distinguens</w:t>
      </w:r>
      <w:proofErr w:type="spellEnd"/>
      <w:r w:rsidRPr="009D7635">
        <w:rPr>
          <w:rFonts w:ascii="Times New Roman" w:hAnsi="Times New Roman" w:cs="Times New Roman"/>
          <w:i/>
          <w:color w:val="000000" w:themeColor="text1"/>
          <w:sz w:val="20"/>
          <w:szCs w:val="20"/>
          <w:lang w:val="en-US"/>
        </w:rPr>
        <w:t xml:space="preserve"> inter </w:t>
      </w:r>
      <w:proofErr w:type="spellStart"/>
      <w:r w:rsidRPr="009D7635">
        <w:rPr>
          <w:rFonts w:ascii="Times New Roman" w:hAnsi="Times New Roman" w:cs="Times New Roman"/>
          <w:i/>
          <w:color w:val="000000" w:themeColor="text1"/>
          <w:sz w:val="20"/>
          <w:szCs w:val="20"/>
          <w:lang w:val="en-US"/>
        </w:rPr>
        <w:t>speciem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accidencia</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tamen</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abstrahens</w:t>
      </w:r>
      <w:proofErr w:type="spellEnd"/>
      <w:r w:rsidRPr="009D7635">
        <w:rPr>
          <w:rFonts w:ascii="Times New Roman" w:hAnsi="Times New Roman" w:cs="Times New Roman"/>
          <w:i/>
          <w:color w:val="000000" w:themeColor="text1"/>
          <w:sz w:val="20"/>
          <w:szCs w:val="20"/>
          <w:lang w:val="en-US"/>
        </w:rPr>
        <w:t xml:space="preserve">; et sic </w:t>
      </w:r>
      <w:proofErr w:type="spellStart"/>
      <w:r w:rsidRPr="009D7635">
        <w:rPr>
          <w:rFonts w:ascii="Times New Roman" w:hAnsi="Times New Roman" w:cs="Times New Roman"/>
          <w:i/>
          <w:color w:val="000000" w:themeColor="text1"/>
          <w:sz w:val="20"/>
          <w:szCs w:val="20"/>
          <w:lang w:val="en-US"/>
        </w:rPr>
        <w:t>preparat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materialiter</w:t>
      </w:r>
      <w:proofErr w:type="spellEnd"/>
      <w:r w:rsidRPr="009D7635">
        <w:rPr>
          <w:rFonts w:ascii="Times New Roman" w:hAnsi="Times New Roman" w:cs="Times New Roman"/>
          <w:i/>
          <w:color w:val="000000" w:themeColor="text1"/>
          <w:sz w:val="20"/>
          <w:szCs w:val="20"/>
          <w:lang w:val="en-US"/>
        </w:rPr>
        <w:t xml:space="preserve"> species </w:t>
      </w:r>
      <w:proofErr w:type="spellStart"/>
      <w:r w:rsidRPr="009D7635">
        <w:rPr>
          <w:rFonts w:ascii="Times New Roman" w:hAnsi="Times New Roman" w:cs="Times New Roman"/>
          <w:i/>
          <w:color w:val="000000" w:themeColor="text1"/>
          <w:sz w:val="20"/>
          <w:szCs w:val="20"/>
          <w:lang w:val="en-US"/>
        </w:rPr>
        <w:t>intellectui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separabili</w:t>
      </w:r>
      <w:proofErr w:type="spellEnd"/>
      <w:r w:rsidRPr="009D7635">
        <w:rPr>
          <w:rFonts w:ascii="Times New Roman" w:hAnsi="Times New Roman" w:cs="Times New Roman"/>
          <w:i/>
          <w:color w:val="000000" w:themeColor="text1"/>
          <w:sz w:val="20"/>
          <w:szCs w:val="20"/>
          <w:lang w:val="en-US"/>
        </w:rPr>
        <w:t>.</w:t>
      </w:r>
    </w:p>
  </w:footnote>
  <w:footnote w:id="875">
    <w:p w14:paraId="58F24C13" w14:textId="7BCBA798" w:rsidR="00B93ED5" w:rsidRPr="009D7635" w:rsidRDefault="00B93ED5" w:rsidP="002555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867946" w:rsidRPr="009D7635">
        <w:rPr>
          <w:rFonts w:ascii="Times New Roman" w:hAnsi="Times New Roman" w:cs="Times New Roman"/>
          <w:color w:val="000000" w:themeColor="text1"/>
          <w:sz w:val="20"/>
          <w:szCs w:val="20"/>
        </w:rPr>
        <w:t xml:space="preserve">Ibid., </w:t>
      </w:r>
      <w:r w:rsidRPr="009D7635">
        <w:rPr>
          <w:rFonts w:ascii="Times New Roman" w:hAnsi="Times New Roman" w:cs="Times New Roman"/>
          <w:color w:val="000000" w:themeColor="text1"/>
          <w:sz w:val="20"/>
          <w:szCs w:val="20"/>
          <w:lang w:val="en-US"/>
        </w:rPr>
        <w:t>52:</w:t>
      </w:r>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tabula </w:t>
      </w:r>
      <w:proofErr w:type="spellStart"/>
      <w:r w:rsidRPr="009D7635">
        <w:rPr>
          <w:rFonts w:ascii="Times New Roman" w:hAnsi="Times New Roman" w:cs="Times New Roman"/>
          <w:i/>
          <w:color w:val="000000" w:themeColor="text1"/>
          <w:sz w:val="20"/>
          <w:szCs w:val="20"/>
          <w:lang w:val="en-US"/>
        </w:rPr>
        <w:t>nuda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nullam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picturam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aptitudinem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unam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magis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aliam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quamcunque</w:t>
      </w:r>
      <w:proofErr w:type="spellEnd"/>
      <w:r w:rsidRPr="009D7635">
        <w:rPr>
          <w:rFonts w:ascii="Times New Roman" w:hAnsi="Times New Roman" w:cs="Times New Roman"/>
          <w:i/>
          <w:color w:val="000000" w:themeColor="text1"/>
          <w:sz w:val="20"/>
          <w:szCs w:val="20"/>
          <w:lang w:val="en-US"/>
        </w:rPr>
        <w:t>.</w:t>
      </w:r>
    </w:p>
  </w:footnote>
  <w:footnote w:id="876">
    <w:p w14:paraId="625D5077" w14:textId="6AA40454" w:rsidR="00B93ED5" w:rsidRPr="009D7635" w:rsidRDefault="00B93ED5" w:rsidP="002555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867946" w:rsidRPr="009D7635">
        <w:rPr>
          <w:rFonts w:ascii="Times New Roman" w:hAnsi="Times New Roman" w:cs="Times New Roman"/>
          <w:color w:val="000000" w:themeColor="text1"/>
          <w:sz w:val="20"/>
          <w:szCs w:val="20"/>
        </w:rPr>
        <w:t xml:space="preserve">Ibid., </w:t>
      </w:r>
      <w:r w:rsidRPr="009D7635">
        <w:rPr>
          <w:rFonts w:ascii="Times New Roman" w:hAnsi="Times New Roman" w:cs="Times New Roman"/>
          <w:color w:val="000000" w:themeColor="text1"/>
          <w:sz w:val="20"/>
          <w:szCs w:val="20"/>
          <w:lang w:val="en-US"/>
        </w:rPr>
        <w:t xml:space="preserve">51: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comparatio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agentis</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possibilem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comparatio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lucis</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uisum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lux </w:t>
      </w:r>
      <w:proofErr w:type="spellStart"/>
      <w:r w:rsidRPr="009D7635">
        <w:rPr>
          <w:rFonts w:ascii="Times New Roman" w:hAnsi="Times New Roman" w:cs="Times New Roman"/>
          <w:i/>
          <w:color w:val="000000" w:themeColor="text1"/>
          <w:sz w:val="20"/>
          <w:szCs w:val="20"/>
          <w:lang w:val="en-US"/>
        </w:rPr>
        <w:t>facit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resultare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speciem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coloris</w:t>
      </w:r>
      <w:proofErr w:type="spellEnd"/>
      <w:r w:rsidRPr="009D7635">
        <w:rPr>
          <w:rFonts w:ascii="Times New Roman" w:hAnsi="Times New Roman" w:cs="Times New Roman"/>
          <w:i/>
          <w:color w:val="000000" w:themeColor="text1"/>
          <w:sz w:val="20"/>
          <w:szCs w:val="20"/>
          <w:lang w:val="en-US"/>
        </w:rPr>
        <w:t xml:space="preserve"> de ipso </w:t>
      </w:r>
      <w:proofErr w:type="spellStart"/>
      <w:r w:rsidRPr="009D7635">
        <w:rPr>
          <w:rFonts w:ascii="Times New Roman" w:hAnsi="Times New Roman" w:cs="Times New Roman"/>
          <w:i/>
          <w:color w:val="000000" w:themeColor="text1"/>
          <w:sz w:val="20"/>
          <w:szCs w:val="20"/>
          <w:lang w:val="en-US"/>
        </w:rPr>
        <w:t>colorato</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oculum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abstrahit</w:t>
      </w:r>
      <w:proofErr w:type="spellEnd"/>
      <w:r w:rsidRPr="009D7635">
        <w:rPr>
          <w:rFonts w:ascii="Times New Roman" w:hAnsi="Times New Roman" w:cs="Times New Roman"/>
          <w:i/>
          <w:color w:val="000000" w:themeColor="text1"/>
          <w:sz w:val="20"/>
          <w:szCs w:val="20"/>
          <w:lang w:val="en-US"/>
        </w:rPr>
        <w:t xml:space="preserve"> species a </w:t>
      </w:r>
      <w:proofErr w:type="spellStart"/>
      <w:r w:rsidRPr="009D7635">
        <w:rPr>
          <w:rFonts w:ascii="Times New Roman" w:hAnsi="Times New Roman" w:cs="Times New Roman"/>
          <w:i/>
          <w:color w:val="000000" w:themeColor="text1"/>
          <w:sz w:val="20"/>
          <w:szCs w:val="20"/>
          <w:lang w:val="en-US"/>
        </w:rPr>
        <w:t>fantasmatibus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preparauit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facit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quodam</w:t>
      </w:r>
      <w:proofErr w:type="spellEnd"/>
      <w:r w:rsidRPr="009D7635">
        <w:rPr>
          <w:rFonts w:ascii="Times New Roman" w:hAnsi="Times New Roman" w:cs="Times New Roman"/>
          <w:i/>
          <w:color w:val="000000" w:themeColor="text1"/>
          <w:sz w:val="20"/>
          <w:szCs w:val="20"/>
          <w:lang w:val="en-US"/>
        </w:rPr>
        <w:t xml:space="preserve"> modo </w:t>
      </w:r>
      <w:proofErr w:type="spellStart"/>
      <w:r w:rsidRPr="009D7635">
        <w:rPr>
          <w:rFonts w:ascii="Times New Roman" w:hAnsi="Times New Roman" w:cs="Times New Roman"/>
          <w:i/>
          <w:color w:val="000000" w:themeColor="text1"/>
          <w:sz w:val="20"/>
          <w:szCs w:val="20"/>
          <w:lang w:val="en-US"/>
        </w:rPr>
        <w:t>resultare</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intellectu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Vnde</w:t>
      </w:r>
      <w:proofErr w:type="spellEnd"/>
      <w:r w:rsidRPr="009D7635">
        <w:rPr>
          <w:rFonts w:ascii="Times New Roman" w:hAnsi="Times New Roman" w:cs="Times New Roman"/>
          <w:i/>
          <w:color w:val="000000" w:themeColor="text1"/>
          <w:sz w:val="20"/>
          <w:szCs w:val="20"/>
          <w:lang w:val="en-US"/>
        </w:rPr>
        <w:t xml:space="preserve"> duo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abstrahere</w:t>
      </w:r>
      <w:proofErr w:type="spellEnd"/>
      <w:r w:rsidRPr="009D7635">
        <w:rPr>
          <w:rFonts w:ascii="Times New Roman" w:hAnsi="Times New Roman" w:cs="Times New Roman"/>
          <w:i/>
          <w:color w:val="000000" w:themeColor="text1"/>
          <w:sz w:val="20"/>
          <w:szCs w:val="20"/>
          <w:lang w:val="en-US"/>
        </w:rPr>
        <w:t xml:space="preserve"> species a </w:t>
      </w:r>
      <w:proofErr w:type="spellStart"/>
      <w:r w:rsidRPr="009D7635">
        <w:rPr>
          <w:rFonts w:ascii="Times New Roman" w:hAnsi="Times New Roman" w:cs="Times New Roman"/>
          <w:i/>
          <w:color w:val="000000" w:themeColor="text1"/>
          <w:sz w:val="20"/>
          <w:szCs w:val="20"/>
          <w:lang w:val="en-US"/>
        </w:rPr>
        <w:t>fantasmatibus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species </w:t>
      </w:r>
      <w:proofErr w:type="spellStart"/>
      <w:r w:rsidRPr="009D7635">
        <w:rPr>
          <w:rFonts w:ascii="Times New Roman" w:hAnsi="Times New Roman" w:cs="Times New Roman"/>
          <w:i/>
          <w:color w:val="000000" w:themeColor="text1"/>
          <w:sz w:val="20"/>
          <w:szCs w:val="20"/>
          <w:lang w:val="en-US"/>
        </w:rPr>
        <w:t>abstractas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ordinare</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intellectu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w:t>
      </w:r>
      <w:proofErr w:type="spellEnd"/>
      <w:r w:rsidRPr="009D7635">
        <w:rPr>
          <w:rFonts w:ascii="Times New Roman" w:hAnsi="Times New Roman" w:cs="Times New Roman"/>
          <w:i/>
          <w:color w:val="000000" w:themeColor="text1"/>
          <w:sz w:val="20"/>
          <w:szCs w:val="20"/>
          <w:lang w:val="en-US"/>
        </w:rPr>
        <w:t>.</w:t>
      </w:r>
    </w:p>
  </w:footnote>
  <w:footnote w:id="877">
    <w:p w14:paraId="30E4BDB9" w14:textId="06E296E6"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867946" w:rsidRPr="009D7635">
        <w:rPr>
          <w:rFonts w:ascii="Times New Roman" w:hAnsi="Times New Roman" w:cs="Times New Roman"/>
          <w:color w:val="000000" w:themeColor="text1"/>
          <w:sz w:val="20"/>
          <w:szCs w:val="20"/>
        </w:rPr>
        <w:t xml:space="preserve">Ibid., </w:t>
      </w:r>
      <w:r w:rsidRPr="009D7635">
        <w:rPr>
          <w:rFonts w:ascii="Times New Roman" w:hAnsi="Times New Roman" w:cs="Times New Roman"/>
          <w:color w:val="000000" w:themeColor="text1"/>
          <w:sz w:val="20"/>
          <w:szCs w:val="20"/>
        </w:rPr>
        <w:t xml:space="preserve">17: Gauthier notes here that, in his view, Robert Miller has shown that many texts of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 xml:space="preserve"> were conducive to the interpretation of him as affirming that the intellect belongs to the soul. See Robert Miller, ‘</w:t>
      </w:r>
      <w:r w:rsidRPr="009D7635">
        <w:rPr>
          <w:rFonts w:ascii="Times New Roman" w:hAnsi="Times New Roman" w:cs="Times New Roman"/>
          <w:color w:val="000000" w:themeColor="text1"/>
          <w:sz w:val="20"/>
          <w:szCs w:val="20"/>
          <w:lang w:val="en-US"/>
        </w:rPr>
        <w:t xml:space="preserve">An Aspect of </w:t>
      </w:r>
      <w:proofErr w:type="spellStart"/>
      <w:r w:rsidRPr="009D7635">
        <w:rPr>
          <w:rFonts w:ascii="Times New Roman" w:hAnsi="Times New Roman" w:cs="Times New Roman"/>
          <w:color w:val="000000" w:themeColor="text1"/>
          <w:sz w:val="20"/>
          <w:szCs w:val="20"/>
          <w:lang w:val="en-US"/>
        </w:rPr>
        <w:t>Averroes</w:t>
      </w:r>
      <w:proofErr w:type="spellEnd"/>
      <w:r w:rsidRPr="009D7635">
        <w:rPr>
          <w:rFonts w:ascii="Times New Roman" w:hAnsi="Times New Roman" w:cs="Times New Roman"/>
          <w:color w:val="000000" w:themeColor="text1"/>
          <w:sz w:val="20"/>
          <w:szCs w:val="20"/>
          <w:lang w:val="en-US"/>
        </w:rPr>
        <w:t xml:space="preserve">' Influence on St Albert,’ </w:t>
      </w:r>
      <w:r w:rsidRPr="009D7635">
        <w:rPr>
          <w:rFonts w:ascii="Times New Roman" w:hAnsi="Times New Roman" w:cs="Times New Roman"/>
          <w:i/>
          <w:color w:val="000000" w:themeColor="text1"/>
          <w:sz w:val="20"/>
          <w:szCs w:val="20"/>
          <w:lang w:val="en-US"/>
        </w:rPr>
        <w:t>Mediaeval</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Studies</w:t>
      </w:r>
      <w:r w:rsidRPr="009D7635">
        <w:rPr>
          <w:rFonts w:ascii="Times New Roman" w:hAnsi="Times New Roman" w:cs="Times New Roman"/>
          <w:color w:val="000000" w:themeColor="text1"/>
          <w:sz w:val="20"/>
          <w:szCs w:val="20"/>
          <w:lang w:val="en-US"/>
        </w:rPr>
        <w:t xml:space="preserve"> 16 (1954)</w:t>
      </w:r>
      <w:r w:rsidR="00867946" w:rsidRPr="009D7635">
        <w:rPr>
          <w:rFonts w:ascii="Times New Roman" w:hAnsi="Times New Roman" w:cs="Times New Roman"/>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61-2.</w:t>
      </w:r>
    </w:p>
  </w:footnote>
  <w:footnote w:id="878">
    <w:p w14:paraId="524F298A" w14:textId="1C36196E" w:rsidR="00B93ED5" w:rsidRPr="009D7635" w:rsidRDefault="00B93ED5" w:rsidP="00255546">
      <w:pPr>
        <w:pStyle w:val="NormalWeb"/>
        <w:spacing w:before="0" w:beforeAutospacing="0" w:after="0" w:afterAutospacing="0"/>
        <w:rPr>
          <w:color w:val="000000" w:themeColor="text1"/>
          <w:sz w:val="20"/>
          <w:szCs w:val="20"/>
        </w:rPr>
      </w:pPr>
      <w:r w:rsidRPr="009D7635">
        <w:rPr>
          <w:rStyle w:val="FootnoteReference"/>
          <w:color w:val="000000" w:themeColor="text1"/>
          <w:sz w:val="20"/>
          <w:szCs w:val="20"/>
        </w:rPr>
        <w:footnoteRef/>
      </w:r>
      <w:r w:rsidRPr="009D7635">
        <w:rPr>
          <w:color w:val="000000" w:themeColor="text1"/>
          <w:sz w:val="20"/>
          <w:szCs w:val="20"/>
        </w:rPr>
        <w:t xml:space="preserve"> </w:t>
      </w:r>
      <w:r w:rsidRPr="009D7635">
        <w:rPr>
          <w:color w:val="000000" w:themeColor="text1"/>
          <w:sz w:val="20"/>
          <w:szCs w:val="20"/>
          <w:shd w:val="clear" w:color="auto" w:fill="FFFFFF"/>
        </w:rPr>
        <w:t>René</w:t>
      </w:r>
      <w:r w:rsidRPr="009D7635" w:rsidDel="001E5926">
        <w:rPr>
          <w:color w:val="000000" w:themeColor="text1"/>
          <w:sz w:val="20"/>
          <w:szCs w:val="20"/>
          <w:lang w:val="fr-FR"/>
        </w:rPr>
        <w:t xml:space="preserve"> </w:t>
      </w:r>
      <w:r w:rsidRPr="009D7635">
        <w:rPr>
          <w:color w:val="000000" w:themeColor="text1"/>
          <w:sz w:val="20"/>
          <w:szCs w:val="20"/>
          <w:lang w:val="fr-FR"/>
        </w:rPr>
        <w:t>A. Gauthier</w:t>
      </w:r>
      <w:r w:rsidRPr="009D7635">
        <w:rPr>
          <w:color w:val="000000" w:themeColor="text1"/>
          <w:sz w:val="20"/>
          <w:szCs w:val="20"/>
        </w:rPr>
        <w:t xml:space="preserve">, ‘Notes </w:t>
      </w:r>
      <w:proofErr w:type="spellStart"/>
      <w:r w:rsidRPr="009D7635">
        <w:rPr>
          <w:color w:val="000000" w:themeColor="text1"/>
          <w:sz w:val="20"/>
          <w:szCs w:val="20"/>
        </w:rPr>
        <w:t>sur</w:t>
      </w:r>
      <w:proofErr w:type="spellEnd"/>
      <w:r w:rsidRPr="009D7635">
        <w:rPr>
          <w:color w:val="000000" w:themeColor="text1"/>
          <w:sz w:val="20"/>
          <w:szCs w:val="20"/>
        </w:rPr>
        <w:t xml:space="preserve"> les débuts (1225-40) du premier </w:t>
      </w:r>
      <w:proofErr w:type="spellStart"/>
      <w:r w:rsidRPr="009D7635">
        <w:rPr>
          <w:color w:val="000000" w:themeColor="text1"/>
          <w:sz w:val="20"/>
          <w:szCs w:val="20"/>
        </w:rPr>
        <w:t>Averroisme</w:t>
      </w:r>
      <w:proofErr w:type="spellEnd"/>
      <w:r w:rsidRPr="009D7635">
        <w:rPr>
          <w:color w:val="000000" w:themeColor="text1"/>
          <w:sz w:val="20"/>
          <w:szCs w:val="20"/>
        </w:rPr>
        <w:t xml:space="preserve">,’ </w:t>
      </w:r>
      <w:r w:rsidRPr="009D7635">
        <w:rPr>
          <w:i/>
          <w:color w:val="000000" w:themeColor="text1"/>
          <w:sz w:val="20"/>
          <w:szCs w:val="20"/>
        </w:rPr>
        <w:t xml:space="preserve">Revue des sciences </w:t>
      </w:r>
      <w:proofErr w:type="spellStart"/>
      <w:r w:rsidRPr="009D7635">
        <w:rPr>
          <w:i/>
          <w:color w:val="000000" w:themeColor="text1"/>
          <w:sz w:val="20"/>
          <w:szCs w:val="20"/>
        </w:rPr>
        <w:t>philosophiques</w:t>
      </w:r>
      <w:proofErr w:type="spellEnd"/>
      <w:r w:rsidRPr="009D7635">
        <w:rPr>
          <w:i/>
          <w:color w:val="000000" w:themeColor="text1"/>
          <w:sz w:val="20"/>
          <w:szCs w:val="20"/>
        </w:rPr>
        <w:t xml:space="preserve"> et </w:t>
      </w:r>
      <w:proofErr w:type="spellStart"/>
      <w:r w:rsidRPr="009D7635">
        <w:rPr>
          <w:i/>
          <w:color w:val="000000" w:themeColor="text1"/>
          <w:sz w:val="20"/>
          <w:szCs w:val="20"/>
        </w:rPr>
        <w:t>theologiques</w:t>
      </w:r>
      <w:proofErr w:type="spellEnd"/>
      <w:r w:rsidRPr="009D7635">
        <w:rPr>
          <w:i/>
          <w:color w:val="000000" w:themeColor="text1"/>
          <w:sz w:val="20"/>
          <w:szCs w:val="20"/>
        </w:rPr>
        <w:t xml:space="preserve"> </w:t>
      </w:r>
      <w:r w:rsidRPr="009D7635">
        <w:rPr>
          <w:color w:val="000000" w:themeColor="text1"/>
          <w:sz w:val="20"/>
          <w:szCs w:val="20"/>
        </w:rPr>
        <w:t>66 (1982)</w:t>
      </w:r>
      <w:r w:rsidR="00867946" w:rsidRPr="009D7635">
        <w:rPr>
          <w:color w:val="000000" w:themeColor="text1"/>
          <w:sz w:val="20"/>
          <w:szCs w:val="20"/>
        </w:rPr>
        <w:t>:</w:t>
      </w:r>
      <w:r w:rsidRPr="009D7635">
        <w:rPr>
          <w:color w:val="000000" w:themeColor="text1"/>
          <w:sz w:val="20"/>
          <w:szCs w:val="20"/>
        </w:rPr>
        <w:t xml:space="preserve"> 367. </w:t>
      </w:r>
    </w:p>
  </w:footnote>
  <w:footnote w:id="879">
    <w:p w14:paraId="41F969FA"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shd w:val="clear" w:color="auto" w:fill="FFFFFF"/>
        </w:rPr>
        <w:t>René</w:t>
      </w:r>
      <w:r w:rsidRPr="009D7635" w:rsidDel="001E5926">
        <w:rPr>
          <w:rFonts w:ascii="Times New Roman" w:hAnsi="Times New Roman" w:cs="Times New Roman"/>
          <w:color w:val="000000" w:themeColor="text1"/>
          <w:lang w:val="fr-FR"/>
        </w:rPr>
        <w:t xml:space="preserve"> </w:t>
      </w:r>
      <w:r w:rsidRPr="009D7635">
        <w:rPr>
          <w:rFonts w:ascii="Times New Roman" w:hAnsi="Times New Roman" w:cs="Times New Roman"/>
          <w:color w:val="000000" w:themeColor="text1"/>
          <w:lang w:val="fr-FR"/>
        </w:rPr>
        <w:t xml:space="preserve">A. Gauthier, ‘Le Traité </w:t>
      </w:r>
      <w:r w:rsidRPr="009D7635">
        <w:rPr>
          <w:rFonts w:ascii="Times New Roman" w:hAnsi="Times New Roman" w:cs="Times New Roman"/>
          <w:i/>
          <w:iCs/>
          <w:color w:val="000000" w:themeColor="text1"/>
          <w:lang w:val="fr-FR"/>
        </w:rPr>
        <w:t xml:space="preserve">De anima et </w:t>
      </w:r>
      <w:proofErr w:type="spellStart"/>
      <w:r w:rsidRPr="009D7635">
        <w:rPr>
          <w:rFonts w:ascii="Times New Roman" w:hAnsi="Times New Roman" w:cs="Times New Roman"/>
          <w:i/>
          <w:iCs/>
          <w:color w:val="000000" w:themeColor="text1"/>
          <w:lang w:val="fr-FR"/>
        </w:rPr>
        <w:t>potenciis</w:t>
      </w:r>
      <w:proofErr w:type="spellEnd"/>
      <w:r w:rsidRPr="009D7635">
        <w:rPr>
          <w:rFonts w:ascii="Times New Roman" w:hAnsi="Times New Roman" w:cs="Times New Roman"/>
          <w:i/>
          <w:iCs/>
          <w:color w:val="000000" w:themeColor="text1"/>
          <w:lang w:val="fr-FR"/>
        </w:rPr>
        <w:t xml:space="preserve"> </w:t>
      </w:r>
      <w:proofErr w:type="spellStart"/>
      <w:r w:rsidRPr="009D7635">
        <w:rPr>
          <w:rFonts w:ascii="Times New Roman" w:hAnsi="Times New Roman" w:cs="Times New Roman"/>
          <w:i/>
          <w:iCs/>
          <w:color w:val="000000" w:themeColor="text1"/>
          <w:lang w:val="fr-FR"/>
        </w:rPr>
        <w:t>eius</w:t>
      </w:r>
      <w:proofErr w:type="spellEnd"/>
      <w:r w:rsidRPr="009D7635">
        <w:rPr>
          <w:rFonts w:ascii="Times New Roman" w:hAnsi="Times New Roman" w:cs="Times New Roman"/>
          <w:color w:val="000000" w:themeColor="text1"/>
          <w:lang w:val="fr-FR"/>
        </w:rPr>
        <w:t xml:space="preserve">,’ </w:t>
      </w:r>
      <w:r w:rsidRPr="009D7635">
        <w:rPr>
          <w:rFonts w:ascii="Times New Roman" w:hAnsi="Times New Roman" w:cs="Times New Roman"/>
          <w:color w:val="000000" w:themeColor="text1"/>
        </w:rPr>
        <w:t>25.</w:t>
      </w:r>
    </w:p>
  </w:footnote>
  <w:footnote w:id="880">
    <w:p w14:paraId="1863634E"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shd w:val="clear" w:color="auto" w:fill="FFFFFF"/>
        </w:rPr>
        <w:t>René</w:t>
      </w:r>
      <w:r w:rsidRPr="009D7635" w:rsidDel="001E5926">
        <w:rPr>
          <w:rFonts w:ascii="Times New Roman" w:hAnsi="Times New Roman" w:cs="Times New Roman"/>
          <w:color w:val="000000" w:themeColor="text1"/>
          <w:lang w:val="fr-FR"/>
        </w:rPr>
        <w:t xml:space="preserve"> </w:t>
      </w:r>
      <w:r w:rsidRPr="009D7635">
        <w:rPr>
          <w:rFonts w:ascii="Times New Roman" w:hAnsi="Times New Roman" w:cs="Times New Roman"/>
          <w:color w:val="000000" w:themeColor="text1"/>
          <w:lang w:val="fr-FR"/>
        </w:rPr>
        <w:t>A. Gauthier</w:t>
      </w:r>
      <w:r w:rsidRPr="009D7635">
        <w:rPr>
          <w:rFonts w:ascii="Times New Roman" w:hAnsi="Times New Roman" w:cs="Times New Roman"/>
          <w:color w:val="000000" w:themeColor="text1"/>
        </w:rPr>
        <w:t xml:space="preserve">, ‘Notes </w:t>
      </w:r>
      <w:proofErr w:type="spellStart"/>
      <w:r w:rsidRPr="009D7635">
        <w:rPr>
          <w:rFonts w:ascii="Times New Roman" w:hAnsi="Times New Roman" w:cs="Times New Roman"/>
          <w:color w:val="000000" w:themeColor="text1"/>
        </w:rPr>
        <w:t>sur</w:t>
      </w:r>
      <w:proofErr w:type="spellEnd"/>
      <w:r w:rsidRPr="009D7635">
        <w:rPr>
          <w:rFonts w:ascii="Times New Roman" w:hAnsi="Times New Roman" w:cs="Times New Roman"/>
          <w:color w:val="000000" w:themeColor="text1"/>
        </w:rPr>
        <w:t xml:space="preserve"> les débuts du premier </w:t>
      </w:r>
      <w:proofErr w:type="spellStart"/>
      <w:r w:rsidRPr="009D7635">
        <w:rPr>
          <w:rFonts w:ascii="Times New Roman" w:hAnsi="Times New Roman" w:cs="Times New Roman"/>
          <w:color w:val="000000" w:themeColor="text1"/>
        </w:rPr>
        <w:t>Averroisme</w:t>
      </w:r>
      <w:proofErr w:type="spellEnd"/>
      <w:r w:rsidRPr="009D7635">
        <w:rPr>
          <w:rFonts w:ascii="Times New Roman" w:hAnsi="Times New Roman" w:cs="Times New Roman"/>
          <w:color w:val="000000" w:themeColor="text1"/>
        </w:rPr>
        <w:t xml:space="preserve">,’ 366. </w:t>
      </w:r>
    </w:p>
  </w:footnote>
  <w:footnote w:id="881">
    <w:p w14:paraId="37E565C1" w14:textId="0A84598F" w:rsidR="00B93ED5" w:rsidRPr="009D7635" w:rsidRDefault="00B93ED5" w:rsidP="00255546">
      <w:pPr>
        <w:rPr>
          <w:rFonts w:ascii="Times New Roman" w:hAnsi="Times New Roman" w:cs="Times New Roman"/>
          <w:color w:val="000000" w:themeColor="text1"/>
          <w:sz w:val="20"/>
          <w:szCs w:val="20"/>
          <w:lang w:val="fr-FR"/>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867946" w:rsidRPr="009D7635">
        <w:rPr>
          <w:rFonts w:ascii="Times New Roman" w:hAnsi="Times New Roman" w:cs="Times New Roman"/>
          <w:color w:val="000000" w:themeColor="text1"/>
          <w:sz w:val="20"/>
          <w:szCs w:val="20"/>
          <w:shd w:val="clear" w:color="auto" w:fill="FFFFFF"/>
        </w:rPr>
        <w:t>Ibid.,</w:t>
      </w:r>
      <w:r w:rsidRPr="009D7635">
        <w:rPr>
          <w:rFonts w:ascii="Times New Roman" w:hAnsi="Times New Roman" w:cs="Times New Roman"/>
          <w:color w:val="000000" w:themeColor="text1"/>
          <w:sz w:val="20"/>
          <w:szCs w:val="20"/>
        </w:rPr>
        <w:t xml:space="preserve"> 336. Daniel A. Callus. In ‘The Powers of the Soul: An Early Unpublished Text</w:t>
      </w:r>
      <w:r w:rsidR="00867946"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lang w:val="fr-FR"/>
        </w:rPr>
        <w:t xml:space="preserve">Recherches de </w:t>
      </w:r>
      <w:r w:rsidR="000A66DB">
        <w:rPr>
          <w:rFonts w:ascii="Times New Roman" w:hAnsi="Times New Roman" w:cs="Times New Roman"/>
          <w:i/>
          <w:iCs/>
          <w:color w:val="000000" w:themeColor="text1"/>
          <w:sz w:val="20"/>
          <w:szCs w:val="20"/>
          <w:lang w:val="fr-FR"/>
        </w:rPr>
        <w:t>t</w:t>
      </w:r>
      <w:r w:rsidRPr="009D7635">
        <w:rPr>
          <w:rFonts w:ascii="Times New Roman" w:hAnsi="Times New Roman" w:cs="Times New Roman"/>
          <w:i/>
          <w:iCs/>
          <w:color w:val="000000" w:themeColor="text1"/>
          <w:sz w:val="20"/>
          <w:szCs w:val="20"/>
          <w:lang w:val="fr-FR"/>
        </w:rPr>
        <w:t xml:space="preserve">héologie ancienne et médiévale </w:t>
      </w:r>
      <w:r w:rsidRPr="009D7635">
        <w:rPr>
          <w:rFonts w:ascii="Times New Roman" w:hAnsi="Times New Roman" w:cs="Times New Roman"/>
          <w:color w:val="000000" w:themeColor="text1"/>
          <w:sz w:val="20"/>
          <w:szCs w:val="20"/>
          <w:lang w:val="fr-FR"/>
        </w:rPr>
        <w:t>19 (1952)</w:t>
      </w:r>
      <w:r w:rsidR="00867946" w:rsidRPr="009D7635">
        <w:rPr>
          <w:rFonts w:ascii="Times New Roman" w:hAnsi="Times New Roman" w:cs="Times New Roman"/>
          <w:color w:val="000000" w:themeColor="text1"/>
          <w:sz w:val="20"/>
          <w:szCs w:val="20"/>
          <w:lang w:val="fr-FR"/>
        </w:rPr>
        <w:t> :</w:t>
      </w:r>
      <w:r w:rsidRPr="009D7635">
        <w:rPr>
          <w:rFonts w:ascii="Times New Roman" w:hAnsi="Times New Roman" w:cs="Times New Roman"/>
          <w:color w:val="000000" w:themeColor="text1"/>
          <w:sz w:val="20"/>
          <w:szCs w:val="20"/>
          <w:lang w:val="fr-FR"/>
        </w:rPr>
        <w:t xml:space="preserve"> 145</w:t>
      </w:r>
      <w:r w:rsidR="00126125" w:rsidRPr="009D7635">
        <w:rPr>
          <w:rFonts w:ascii="Times New Roman" w:hAnsi="Times New Roman" w:cs="Times New Roman"/>
          <w:color w:val="000000" w:themeColor="text1"/>
          <w:sz w:val="20"/>
          <w:szCs w:val="20"/>
          <w:lang w:val="fr-FR"/>
        </w:rPr>
        <w:t>.</w:t>
      </w:r>
    </w:p>
  </w:footnote>
  <w:footnote w:id="882">
    <w:p w14:paraId="767D5C5A"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shd w:val="clear" w:color="auto" w:fill="FFFFFF"/>
        </w:rPr>
        <w:t>René</w:t>
      </w:r>
      <w:r w:rsidRPr="009D7635" w:rsidDel="001E5926">
        <w:rPr>
          <w:rFonts w:ascii="Times New Roman" w:hAnsi="Times New Roman" w:cs="Times New Roman"/>
          <w:color w:val="000000" w:themeColor="text1"/>
          <w:lang w:val="fr-FR"/>
        </w:rPr>
        <w:t xml:space="preserve"> </w:t>
      </w:r>
      <w:r w:rsidRPr="009D7635">
        <w:rPr>
          <w:rFonts w:ascii="Times New Roman" w:hAnsi="Times New Roman" w:cs="Times New Roman"/>
          <w:color w:val="000000" w:themeColor="text1"/>
          <w:lang w:val="fr-FR"/>
        </w:rPr>
        <w:t xml:space="preserve">A. Gauthier, ‘Le Traité </w:t>
      </w:r>
      <w:r w:rsidRPr="009D7635">
        <w:rPr>
          <w:rFonts w:ascii="Times New Roman" w:hAnsi="Times New Roman" w:cs="Times New Roman"/>
          <w:i/>
          <w:iCs/>
          <w:color w:val="000000" w:themeColor="text1"/>
          <w:lang w:val="fr-FR"/>
        </w:rPr>
        <w:t xml:space="preserve">De anima et </w:t>
      </w:r>
      <w:proofErr w:type="spellStart"/>
      <w:r w:rsidRPr="009D7635">
        <w:rPr>
          <w:rFonts w:ascii="Times New Roman" w:hAnsi="Times New Roman" w:cs="Times New Roman"/>
          <w:i/>
          <w:iCs/>
          <w:color w:val="000000" w:themeColor="text1"/>
          <w:lang w:val="fr-FR"/>
        </w:rPr>
        <w:t>potenciis</w:t>
      </w:r>
      <w:proofErr w:type="spellEnd"/>
      <w:r w:rsidRPr="009D7635">
        <w:rPr>
          <w:rFonts w:ascii="Times New Roman" w:hAnsi="Times New Roman" w:cs="Times New Roman"/>
          <w:i/>
          <w:iCs/>
          <w:color w:val="000000" w:themeColor="text1"/>
          <w:lang w:val="fr-FR"/>
        </w:rPr>
        <w:t xml:space="preserve"> </w:t>
      </w:r>
      <w:proofErr w:type="spellStart"/>
      <w:r w:rsidRPr="009D7635">
        <w:rPr>
          <w:rFonts w:ascii="Times New Roman" w:hAnsi="Times New Roman" w:cs="Times New Roman"/>
          <w:i/>
          <w:iCs/>
          <w:color w:val="000000" w:themeColor="text1"/>
          <w:lang w:val="fr-FR"/>
        </w:rPr>
        <w:t>eius</w:t>
      </w:r>
      <w:proofErr w:type="spellEnd"/>
      <w:r w:rsidRPr="009D7635">
        <w:rPr>
          <w:rFonts w:ascii="Times New Roman" w:hAnsi="Times New Roman" w:cs="Times New Roman"/>
          <w:color w:val="000000" w:themeColor="text1"/>
          <w:lang w:val="fr-FR"/>
        </w:rPr>
        <w:t xml:space="preserve">,’ </w:t>
      </w:r>
      <w:r w:rsidRPr="009D7635">
        <w:rPr>
          <w:rFonts w:ascii="Times New Roman" w:hAnsi="Times New Roman" w:cs="Times New Roman"/>
          <w:color w:val="000000" w:themeColor="text1"/>
        </w:rPr>
        <w:t>22.</w:t>
      </w:r>
    </w:p>
  </w:footnote>
  <w:footnote w:id="883">
    <w:p w14:paraId="424CCE39" w14:textId="77777777"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Daniel A. Callus. In ‘The Powers of the Soul,’ </w:t>
      </w:r>
      <w:r w:rsidRPr="009D7635">
        <w:rPr>
          <w:rFonts w:ascii="Times New Roman" w:hAnsi="Times New Roman" w:cs="Times New Roman"/>
          <w:color w:val="000000" w:themeColor="text1"/>
          <w:sz w:val="20"/>
          <w:szCs w:val="20"/>
          <w:lang w:val="fr-FR"/>
        </w:rPr>
        <w:t>155: </w:t>
      </w:r>
      <w:proofErr w:type="spellStart"/>
      <w:r w:rsidRPr="009D7635">
        <w:rPr>
          <w:rFonts w:ascii="Times New Roman" w:hAnsi="Times New Roman" w:cs="Times New Roman"/>
          <w:i/>
          <w:color w:val="000000" w:themeColor="text1"/>
          <w:sz w:val="20"/>
          <w:szCs w:val="20"/>
        </w:rPr>
        <w:t>Loquamur</w:t>
      </w:r>
      <w:proofErr w:type="spellEnd"/>
      <w:r w:rsidRPr="009D7635">
        <w:rPr>
          <w:rFonts w:ascii="Times New Roman" w:hAnsi="Times New Roman" w:cs="Times New Roman"/>
          <w:i/>
          <w:color w:val="000000" w:themeColor="text1"/>
          <w:sz w:val="20"/>
          <w:szCs w:val="20"/>
        </w:rPr>
        <w:t xml:space="preserve"> ergo primo de prima vi in </w:t>
      </w:r>
      <w:proofErr w:type="spellStart"/>
      <w:r w:rsidRPr="009D7635">
        <w:rPr>
          <w:rFonts w:ascii="Times New Roman" w:hAnsi="Times New Roman" w:cs="Times New Roman"/>
          <w:i/>
          <w:color w:val="000000" w:themeColor="text1"/>
          <w:sz w:val="20"/>
          <w:szCs w:val="20"/>
        </w:rPr>
        <w:t>ordine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isto</w:t>
      </w:r>
      <w:proofErr w:type="spellEnd"/>
      <w:r w:rsidRPr="009D7635">
        <w:rPr>
          <w:rFonts w:ascii="Times New Roman" w:hAnsi="Times New Roman" w:cs="Times New Roman"/>
          <w:i/>
          <w:color w:val="000000" w:themeColor="text1"/>
          <w:sz w:val="20"/>
          <w:szCs w:val="20"/>
        </w:rPr>
        <w:t xml:space="preserve"> anime </w:t>
      </w:r>
      <w:proofErr w:type="spellStart"/>
      <w:r w:rsidRPr="009D7635">
        <w:rPr>
          <w:rFonts w:ascii="Times New Roman" w:hAnsi="Times New Roman" w:cs="Times New Roman"/>
          <w:i/>
          <w:color w:val="000000" w:themeColor="text1"/>
          <w:sz w:val="20"/>
          <w:szCs w:val="20"/>
        </w:rPr>
        <w:t>rationalis</w:t>
      </w:r>
      <w:proofErr w:type="spellEnd"/>
      <w:r w:rsidRPr="009D7635">
        <w:rPr>
          <w:rFonts w:ascii="Times New Roman" w:hAnsi="Times New Roman" w:cs="Times New Roman"/>
          <w:i/>
          <w:color w:val="000000" w:themeColor="text1"/>
          <w:sz w:val="20"/>
          <w:szCs w:val="20"/>
        </w:rPr>
        <w:t xml:space="preserve">, scilicet, </w:t>
      </w:r>
      <w:proofErr w:type="spellStart"/>
      <w:r w:rsidRPr="009D7635">
        <w:rPr>
          <w:rFonts w:ascii="Times New Roman" w:hAnsi="Times New Roman" w:cs="Times New Roman"/>
          <w:i/>
          <w:color w:val="000000" w:themeColor="text1"/>
          <w:sz w:val="20"/>
          <w:szCs w:val="20"/>
        </w:rPr>
        <w:t>intellectu</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materiali</w:t>
      </w:r>
      <w:proofErr w:type="spellEnd"/>
      <w:r w:rsidRPr="009D7635">
        <w:rPr>
          <w:rFonts w:ascii="Times New Roman" w:hAnsi="Times New Roman" w:cs="Times New Roman"/>
          <w:i/>
          <w:color w:val="000000" w:themeColor="text1"/>
          <w:sz w:val="20"/>
          <w:szCs w:val="20"/>
        </w:rPr>
        <w:t xml:space="preserve">, qui </w:t>
      </w:r>
      <w:proofErr w:type="spellStart"/>
      <w:r w:rsidRPr="009D7635">
        <w:rPr>
          <w:rFonts w:ascii="Times New Roman" w:hAnsi="Times New Roman" w:cs="Times New Roman"/>
          <w:i/>
          <w:color w:val="000000" w:themeColor="text1"/>
          <w:sz w:val="20"/>
          <w:szCs w:val="20"/>
        </w:rPr>
        <w:t>ponitur</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libro</w:t>
      </w:r>
      <w:proofErr w:type="spellEnd"/>
      <w:r w:rsidRPr="009D7635">
        <w:rPr>
          <w:rFonts w:ascii="Times New Roman" w:hAnsi="Times New Roman" w:cs="Times New Roman"/>
          <w:i/>
          <w:color w:val="000000" w:themeColor="text1"/>
          <w:sz w:val="20"/>
          <w:szCs w:val="20"/>
        </w:rPr>
        <w:t xml:space="preserve"> De anima, </w:t>
      </w:r>
      <w:proofErr w:type="spellStart"/>
      <w:r w:rsidRPr="009D7635">
        <w:rPr>
          <w:rFonts w:ascii="Times New Roman" w:hAnsi="Times New Roman" w:cs="Times New Roman"/>
          <w:i/>
          <w:color w:val="000000" w:themeColor="text1"/>
          <w:sz w:val="20"/>
          <w:szCs w:val="20"/>
        </w:rPr>
        <w:t>passivus</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corruptibilis</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iste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recipit</w:t>
      </w:r>
      <w:proofErr w:type="spellEnd"/>
      <w:r w:rsidRPr="009D7635">
        <w:rPr>
          <w:rFonts w:ascii="Times New Roman" w:hAnsi="Times New Roman" w:cs="Times New Roman"/>
          <w:i/>
          <w:color w:val="000000" w:themeColor="text1"/>
          <w:sz w:val="20"/>
          <w:szCs w:val="20"/>
        </w:rPr>
        <w:t xml:space="preserve"> species </w:t>
      </w:r>
      <w:proofErr w:type="spellStart"/>
      <w:r w:rsidRPr="009D7635">
        <w:rPr>
          <w:rFonts w:ascii="Times New Roman" w:hAnsi="Times New Roman" w:cs="Times New Roman"/>
          <w:i/>
          <w:color w:val="000000" w:themeColor="text1"/>
          <w:sz w:val="20"/>
          <w:szCs w:val="20"/>
        </w:rPr>
        <w:t>intelligibiles</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phantasmatibus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Oportuit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enim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hanc</w:t>
      </w:r>
      <w:proofErr w:type="spellEnd"/>
      <w:r w:rsidRPr="009D7635">
        <w:rPr>
          <w:rFonts w:ascii="Times New Roman" w:hAnsi="Times New Roman" w:cs="Times New Roman"/>
          <w:i/>
          <w:color w:val="000000" w:themeColor="text1"/>
          <w:sz w:val="20"/>
          <w:szCs w:val="20"/>
        </w:rPr>
        <w:t xml:space="preserve"> vim </w:t>
      </w:r>
      <w:proofErr w:type="spellStart"/>
      <w:r w:rsidRPr="009D7635">
        <w:rPr>
          <w:rFonts w:ascii="Times New Roman" w:hAnsi="Times New Roman" w:cs="Times New Roman"/>
          <w:i/>
          <w:color w:val="000000" w:themeColor="text1"/>
          <w:sz w:val="20"/>
          <w:szCs w:val="20"/>
        </w:rPr>
        <w:t>esse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qui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separabilis</w:t>
      </w:r>
      <w:proofErr w:type="spellEnd"/>
      <w:r w:rsidRPr="009D7635">
        <w:rPr>
          <w:rFonts w:ascii="Times New Roman" w:hAnsi="Times New Roman" w:cs="Times New Roman"/>
          <w:i/>
          <w:color w:val="000000" w:themeColor="text1"/>
          <w:sz w:val="20"/>
          <w:szCs w:val="20"/>
        </w:rPr>
        <w:t xml:space="preserve">, species </w:t>
      </w:r>
      <w:proofErr w:type="spellStart"/>
      <w:r w:rsidRPr="009D7635">
        <w:rPr>
          <w:rFonts w:ascii="Times New Roman" w:hAnsi="Times New Roman" w:cs="Times New Roman"/>
          <w:i/>
          <w:color w:val="000000" w:themeColor="text1"/>
          <w:sz w:val="20"/>
          <w:szCs w:val="20"/>
        </w:rPr>
        <w:t>intelligibiles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abstractas</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phantasmatibus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intelligeret</w:t>
      </w:r>
      <w:proofErr w:type="spellEnd"/>
      <w:r w:rsidRPr="009D7635">
        <w:rPr>
          <w:rFonts w:ascii="Times New Roman" w:hAnsi="Times New Roman" w:cs="Times New Roman"/>
          <w:i/>
          <w:color w:val="000000" w:themeColor="text1"/>
          <w:sz w:val="20"/>
          <w:szCs w:val="20"/>
        </w:rPr>
        <w:t>...</w:t>
      </w:r>
      <w:proofErr w:type="spellStart"/>
      <w:r w:rsidRPr="009D7635">
        <w:rPr>
          <w:rFonts w:ascii="Times New Roman" w:hAnsi="Times New Roman" w:cs="Times New Roman"/>
          <w:i/>
          <w:color w:val="000000" w:themeColor="text1"/>
          <w:sz w:val="20"/>
          <w:szCs w:val="20"/>
        </w:rPr>
        <w:t>hec</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autem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virtus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numquam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anime </w:t>
      </w:r>
      <w:proofErr w:type="spellStart"/>
      <w:r w:rsidRPr="009D7635">
        <w:rPr>
          <w:rFonts w:ascii="Times New Roman" w:hAnsi="Times New Roman" w:cs="Times New Roman"/>
          <w:i/>
          <w:color w:val="000000" w:themeColor="text1"/>
          <w:sz w:val="20"/>
          <w:szCs w:val="20"/>
        </w:rPr>
        <w:t>rationalis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nisi</w:t>
      </w:r>
      <w:proofErr w:type="spellEnd"/>
      <w:r w:rsidRPr="009D7635">
        <w:rPr>
          <w:rFonts w:ascii="Times New Roman" w:hAnsi="Times New Roman" w:cs="Times New Roman"/>
          <w:i/>
          <w:color w:val="000000" w:themeColor="text1"/>
          <w:sz w:val="20"/>
          <w:szCs w:val="20"/>
        </w:rPr>
        <w:t xml:space="preserve"> dum </w:t>
      </w:r>
      <w:proofErr w:type="spellStart"/>
      <w:r w:rsidRPr="009D7635">
        <w:rPr>
          <w:rFonts w:ascii="Times New Roman" w:hAnsi="Times New Roman" w:cs="Times New Roman"/>
          <w:i/>
          <w:color w:val="000000" w:themeColor="text1"/>
          <w:sz w:val="20"/>
          <w:szCs w:val="20"/>
        </w:rPr>
        <w:t>coniungitur</w:t>
      </w:r>
      <w:proofErr w:type="spellEnd"/>
      <w:r w:rsidRPr="009D7635">
        <w:rPr>
          <w:rFonts w:ascii="Times New Roman" w:hAnsi="Times New Roman" w:cs="Times New Roman"/>
          <w:i/>
          <w:color w:val="000000" w:themeColor="text1"/>
          <w:sz w:val="20"/>
          <w:szCs w:val="20"/>
        </w:rPr>
        <w:t xml:space="preserve"> ad corpus…dicta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autem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rationalitas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aut</w:t>
      </w:r>
      <w:proofErr w:type="spellEnd"/>
      <w:r w:rsidRPr="009D7635">
        <w:rPr>
          <w:rFonts w:ascii="Times New Roman" w:hAnsi="Times New Roman" w:cs="Times New Roman"/>
          <w:i/>
          <w:color w:val="000000" w:themeColor="text1"/>
          <w:sz w:val="20"/>
          <w:szCs w:val="20"/>
        </w:rPr>
        <w:t xml:space="preserve"> ratio, </w:t>
      </w:r>
      <w:proofErr w:type="spellStart"/>
      <w:r w:rsidRPr="009D7635">
        <w:rPr>
          <w:rFonts w:ascii="Times New Roman" w:hAnsi="Times New Roman" w:cs="Times New Roman"/>
          <w:i/>
          <w:color w:val="000000" w:themeColor="text1"/>
          <w:sz w:val="20"/>
          <w:szCs w:val="20"/>
        </w:rPr>
        <w:t>quia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potens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accipere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universalia</w:t>
      </w:r>
      <w:proofErr w:type="spellEnd"/>
      <w:r w:rsidRPr="009D7635">
        <w:rPr>
          <w:rFonts w:ascii="Times New Roman" w:hAnsi="Times New Roman" w:cs="Times New Roman"/>
          <w:i/>
          <w:color w:val="000000" w:themeColor="text1"/>
          <w:sz w:val="20"/>
          <w:szCs w:val="20"/>
        </w:rPr>
        <w:t xml:space="preserve"> in </w:t>
      </w:r>
      <w:proofErr w:type="spellStart"/>
      <w:r w:rsidRPr="009D7635">
        <w:rPr>
          <w:rFonts w:ascii="Times New Roman" w:hAnsi="Times New Roman" w:cs="Times New Roman"/>
          <w:i/>
          <w:color w:val="000000" w:themeColor="text1"/>
          <w:sz w:val="20"/>
          <w:szCs w:val="20"/>
        </w:rPr>
        <w:t>particularibus</w:t>
      </w:r>
      <w:proofErr w:type="spellEnd"/>
      <w:r w:rsidRPr="009D7635">
        <w:rPr>
          <w:rFonts w:ascii="Times New Roman" w:hAnsi="Times New Roman" w:cs="Times New Roman"/>
          <w:i/>
          <w:color w:val="000000" w:themeColor="text1"/>
          <w:sz w:val="20"/>
          <w:szCs w:val="20"/>
        </w:rPr>
        <w:t xml:space="preserve">, non </w:t>
      </w:r>
      <w:proofErr w:type="spellStart"/>
      <w:r w:rsidRPr="009D7635">
        <w:rPr>
          <w:rFonts w:ascii="Times New Roman" w:hAnsi="Times New Roman" w:cs="Times New Roman"/>
          <w:i/>
          <w:color w:val="000000" w:themeColor="text1"/>
          <w:sz w:val="20"/>
          <w:szCs w:val="20"/>
        </w:rPr>
        <w:t>tamen</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universale</w:t>
      </w:r>
      <w:proofErr w:type="spellEnd"/>
      <w:r w:rsidRPr="009D7635">
        <w:rPr>
          <w:rFonts w:ascii="Times New Roman" w:hAnsi="Times New Roman" w:cs="Times New Roman"/>
          <w:i/>
          <w:color w:val="000000" w:themeColor="text1"/>
          <w:sz w:val="20"/>
          <w:szCs w:val="20"/>
        </w:rPr>
        <w:t xml:space="preserve"> per </w:t>
      </w:r>
      <w:proofErr w:type="spellStart"/>
      <w:r w:rsidRPr="009D7635">
        <w:rPr>
          <w:rFonts w:ascii="Times New Roman" w:hAnsi="Times New Roman" w:cs="Times New Roman"/>
          <w:i/>
          <w:color w:val="000000" w:themeColor="text1"/>
          <w:sz w:val="20"/>
          <w:szCs w:val="20"/>
        </w:rPr>
        <w:t>modum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universalis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particulare</w:t>
      </w:r>
      <w:proofErr w:type="spellEnd"/>
      <w:r w:rsidRPr="009D7635">
        <w:rPr>
          <w:rFonts w:ascii="Times New Roman" w:hAnsi="Times New Roman" w:cs="Times New Roman"/>
          <w:i/>
          <w:color w:val="000000" w:themeColor="text1"/>
          <w:sz w:val="20"/>
          <w:szCs w:val="20"/>
        </w:rPr>
        <w:t xml:space="preserve"> per </w:t>
      </w:r>
      <w:proofErr w:type="spellStart"/>
      <w:r w:rsidRPr="009D7635">
        <w:rPr>
          <w:rFonts w:ascii="Times New Roman" w:hAnsi="Times New Roman" w:cs="Times New Roman"/>
          <w:i/>
          <w:color w:val="000000" w:themeColor="text1"/>
          <w:sz w:val="20"/>
          <w:szCs w:val="20"/>
        </w:rPr>
        <w:t>modum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particularis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Hec</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autem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virtus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inseparabilis</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corpore</w:t>
      </w:r>
      <w:proofErr w:type="spellEnd"/>
      <w:r w:rsidRPr="009D7635">
        <w:rPr>
          <w:rFonts w:ascii="Times New Roman" w:hAnsi="Times New Roman" w:cs="Times New Roman"/>
          <w:i/>
          <w:color w:val="000000" w:themeColor="text1"/>
          <w:sz w:val="20"/>
          <w:szCs w:val="20"/>
        </w:rPr>
        <w:t xml:space="preserve">, scilicet,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passibilis</w:t>
      </w:r>
      <w:proofErr w:type="spellEnd"/>
      <w:r w:rsidRPr="009D7635">
        <w:rPr>
          <w:rFonts w:ascii="Times New Roman" w:hAnsi="Times New Roman" w:cs="Times New Roman"/>
          <w:i/>
          <w:color w:val="000000" w:themeColor="text1"/>
          <w:sz w:val="20"/>
          <w:szCs w:val="20"/>
        </w:rPr>
        <w:t xml:space="preserve">, qui </w:t>
      </w:r>
      <w:proofErr w:type="spellStart"/>
      <w:r w:rsidRPr="009D7635">
        <w:rPr>
          <w:rFonts w:ascii="Times New Roman" w:hAnsi="Times New Roman" w:cs="Times New Roman"/>
          <w:i/>
          <w:color w:val="000000" w:themeColor="text1"/>
          <w:sz w:val="20"/>
          <w:szCs w:val="20"/>
        </w:rPr>
        <w:t>recipit</w:t>
      </w:r>
      <w:proofErr w:type="spellEnd"/>
      <w:r w:rsidRPr="009D7635">
        <w:rPr>
          <w:rFonts w:ascii="Times New Roman" w:hAnsi="Times New Roman" w:cs="Times New Roman"/>
          <w:i/>
          <w:color w:val="000000" w:themeColor="text1"/>
          <w:sz w:val="20"/>
          <w:szCs w:val="20"/>
        </w:rPr>
        <w:t xml:space="preserve"> species </w:t>
      </w:r>
      <w:proofErr w:type="spellStart"/>
      <w:r w:rsidRPr="009D7635">
        <w:rPr>
          <w:rFonts w:ascii="Times New Roman" w:hAnsi="Times New Roman" w:cs="Times New Roman"/>
          <w:i/>
          <w:color w:val="000000" w:themeColor="text1"/>
          <w:sz w:val="20"/>
          <w:szCs w:val="20"/>
        </w:rPr>
        <w:t>abstractas</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corpore</w:t>
      </w:r>
      <w:proofErr w:type="spellEnd"/>
      <w:r w:rsidRPr="009D7635">
        <w:rPr>
          <w:rFonts w:ascii="Times New Roman" w:hAnsi="Times New Roman" w:cs="Times New Roman"/>
          <w:i/>
          <w:color w:val="000000" w:themeColor="text1"/>
          <w:sz w:val="20"/>
          <w:szCs w:val="20"/>
        </w:rPr>
        <w:t xml:space="preserve">. </w:t>
      </w:r>
    </w:p>
  </w:footnote>
  <w:footnote w:id="884">
    <w:p w14:paraId="17903F58" w14:textId="69A1D268"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BE72F8" w:rsidRPr="009D7635">
        <w:rPr>
          <w:rFonts w:ascii="Times New Roman" w:hAnsi="Times New Roman" w:cs="Times New Roman"/>
          <w:color w:val="000000" w:themeColor="text1"/>
          <w:sz w:val="20"/>
          <w:szCs w:val="20"/>
        </w:rPr>
        <w:t>Ibid.,</w:t>
      </w:r>
      <w:r w:rsidRPr="009D7635">
        <w:rPr>
          <w:rFonts w:ascii="Times New Roman" w:hAnsi="Times New Roman" w:cs="Times New Roman"/>
          <w:color w:val="000000" w:themeColor="text1"/>
          <w:sz w:val="20"/>
          <w:szCs w:val="20"/>
        </w:rPr>
        <w:t xml:space="preserve"> 156: </w:t>
      </w:r>
      <w:r w:rsidRPr="009D7635">
        <w:rPr>
          <w:rFonts w:ascii="Times New Roman" w:hAnsi="Times New Roman" w:cs="Times New Roman"/>
          <w:i/>
          <w:color w:val="000000" w:themeColor="text1"/>
          <w:sz w:val="20"/>
          <w:szCs w:val="20"/>
        </w:rPr>
        <w:t xml:space="preserve">Post </w:t>
      </w:r>
      <w:proofErr w:type="spellStart"/>
      <w:r w:rsidRPr="009D7635">
        <w:rPr>
          <w:rFonts w:ascii="Times New Roman" w:hAnsi="Times New Roman" w:cs="Times New Roman"/>
          <w:i/>
          <w:color w:val="000000" w:themeColor="text1"/>
          <w:sz w:val="20"/>
          <w:szCs w:val="20"/>
        </w:rPr>
        <w:t>hanc</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virtutem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qui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separabilis</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corpore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cuius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sunt</w:t>
      </w:r>
      <w:proofErr w:type="spellEnd"/>
      <w:r w:rsidRPr="009D7635">
        <w:rPr>
          <w:rFonts w:ascii="Times New Roman" w:hAnsi="Times New Roman" w:cs="Times New Roman"/>
          <w:i/>
          <w:color w:val="000000" w:themeColor="text1"/>
          <w:sz w:val="20"/>
          <w:szCs w:val="20"/>
        </w:rPr>
        <w:t xml:space="preserve"> due </w:t>
      </w:r>
      <w:proofErr w:type="spellStart"/>
      <w:r w:rsidRPr="009D7635">
        <w:rPr>
          <w:rFonts w:ascii="Times New Roman" w:hAnsi="Times New Roman" w:cs="Times New Roman"/>
          <w:i/>
          <w:color w:val="000000" w:themeColor="text1"/>
          <w:sz w:val="20"/>
          <w:szCs w:val="20"/>
        </w:rPr>
        <w:t>differentie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enim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agens</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possibilis</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ponitur</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talis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comparatio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agentis</w:t>
      </w:r>
      <w:proofErr w:type="spellEnd"/>
      <w:r w:rsidRPr="009D7635">
        <w:rPr>
          <w:rFonts w:ascii="Times New Roman" w:hAnsi="Times New Roman" w:cs="Times New Roman"/>
          <w:i/>
          <w:color w:val="000000" w:themeColor="text1"/>
          <w:sz w:val="20"/>
          <w:szCs w:val="20"/>
        </w:rPr>
        <w:t xml:space="preserve"> ad </w:t>
      </w:r>
      <w:proofErr w:type="spellStart"/>
      <w:r w:rsidRPr="009D7635">
        <w:rPr>
          <w:rFonts w:ascii="Times New Roman" w:hAnsi="Times New Roman" w:cs="Times New Roman"/>
          <w:i/>
          <w:color w:val="000000" w:themeColor="text1"/>
          <w:sz w:val="20"/>
          <w:szCs w:val="20"/>
        </w:rPr>
        <w:t>possibilem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comparatio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lucis</w:t>
      </w:r>
      <w:proofErr w:type="spellEnd"/>
      <w:r w:rsidRPr="009D7635">
        <w:rPr>
          <w:rFonts w:ascii="Times New Roman" w:hAnsi="Times New Roman" w:cs="Times New Roman"/>
          <w:i/>
          <w:color w:val="000000" w:themeColor="text1"/>
          <w:sz w:val="20"/>
          <w:szCs w:val="20"/>
        </w:rPr>
        <w:t xml:space="preserve"> ad </w:t>
      </w:r>
      <w:proofErr w:type="spellStart"/>
      <w:r w:rsidRPr="009D7635">
        <w:rPr>
          <w:rFonts w:ascii="Times New Roman" w:hAnsi="Times New Roman" w:cs="Times New Roman"/>
          <w:i/>
          <w:color w:val="000000" w:themeColor="text1"/>
          <w:sz w:val="20"/>
          <w:szCs w:val="20"/>
        </w:rPr>
        <w:t>visum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Hec</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tamen</w:t>
      </w:r>
      <w:proofErr w:type="spellEnd"/>
      <w:r w:rsidRPr="009D7635">
        <w:rPr>
          <w:rFonts w:ascii="Times New Roman" w:hAnsi="Times New Roman" w:cs="Times New Roman"/>
          <w:i/>
          <w:color w:val="000000" w:themeColor="text1"/>
          <w:sz w:val="20"/>
          <w:szCs w:val="20"/>
        </w:rPr>
        <w:t xml:space="preserve"> differentia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quod lux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separata</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substantia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visus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autem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agens</w:t>
      </w:r>
      <w:proofErr w:type="spellEnd"/>
      <w:r w:rsidRPr="009D7635">
        <w:rPr>
          <w:rFonts w:ascii="Times New Roman" w:hAnsi="Times New Roman" w:cs="Times New Roman"/>
          <w:i/>
          <w:color w:val="000000" w:themeColor="text1"/>
          <w:sz w:val="20"/>
          <w:szCs w:val="20"/>
        </w:rPr>
        <w:t xml:space="preserve"> non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separatus</w:t>
      </w:r>
      <w:proofErr w:type="spellEnd"/>
      <w:r w:rsidRPr="009D7635">
        <w:rPr>
          <w:rFonts w:ascii="Times New Roman" w:hAnsi="Times New Roman" w:cs="Times New Roman"/>
          <w:i/>
          <w:color w:val="000000" w:themeColor="text1"/>
          <w:sz w:val="20"/>
          <w:szCs w:val="20"/>
        </w:rPr>
        <w:t xml:space="preserve"> a </w:t>
      </w:r>
      <w:proofErr w:type="spellStart"/>
      <w:r w:rsidRPr="009D7635">
        <w:rPr>
          <w:rFonts w:ascii="Times New Roman" w:hAnsi="Times New Roman" w:cs="Times New Roman"/>
          <w:i/>
          <w:color w:val="000000" w:themeColor="text1"/>
          <w:sz w:val="20"/>
          <w:szCs w:val="20"/>
        </w:rPr>
        <w:t>substantia</w:t>
      </w:r>
      <w:proofErr w:type="spellEnd"/>
      <w:r w:rsidRPr="009D7635">
        <w:rPr>
          <w:rFonts w:ascii="Times New Roman" w:hAnsi="Times New Roman" w:cs="Times New Roman"/>
          <w:i/>
          <w:color w:val="000000" w:themeColor="text1"/>
          <w:sz w:val="20"/>
          <w:szCs w:val="20"/>
        </w:rPr>
        <w:t xml:space="preserve"> anime.</w:t>
      </w:r>
    </w:p>
  </w:footnote>
  <w:footnote w:id="885">
    <w:p w14:paraId="13DAD642" w14:textId="6A45AFB2"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E72F8"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Fuerunt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tamen</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quidam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philosophorum</w:t>
      </w:r>
      <w:proofErr w:type="spellEnd"/>
      <w:r w:rsidRPr="009D7635">
        <w:rPr>
          <w:rFonts w:ascii="Times New Roman" w:hAnsi="Times New Roman" w:cs="Times New Roman"/>
          <w:i/>
          <w:color w:val="000000" w:themeColor="text1"/>
        </w:rPr>
        <w:t xml:space="preserve"> qui </w:t>
      </w:r>
      <w:proofErr w:type="spellStart"/>
      <w:r w:rsidRPr="009D7635">
        <w:rPr>
          <w:rFonts w:ascii="Times New Roman" w:hAnsi="Times New Roman" w:cs="Times New Roman"/>
          <w:i/>
          <w:color w:val="000000" w:themeColor="text1"/>
        </w:rPr>
        <w:t>dixerunt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intellectum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agentem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esse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substantiam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separatam</w:t>
      </w:r>
      <w:proofErr w:type="spellEnd"/>
      <w:r w:rsidRPr="009D7635">
        <w:rPr>
          <w:rFonts w:ascii="Times New Roman" w:hAnsi="Times New Roman" w:cs="Times New Roman"/>
          <w:i/>
          <w:color w:val="000000" w:themeColor="text1"/>
        </w:rPr>
        <w:t xml:space="preserve"> a </w:t>
      </w:r>
      <w:proofErr w:type="spellStart"/>
      <w:r w:rsidRPr="009D7635">
        <w:rPr>
          <w:rFonts w:ascii="Times New Roman" w:hAnsi="Times New Roman" w:cs="Times New Roman"/>
          <w:i/>
          <w:color w:val="000000" w:themeColor="text1"/>
        </w:rPr>
        <w:t>substantia</w:t>
      </w:r>
      <w:proofErr w:type="spellEnd"/>
      <w:r w:rsidRPr="009D7635">
        <w:rPr>
          <w:rFonts w:ascii="Times New Roman" w:hAnsi="Times New Roman" w:cs="Times New Roman"/>
          <w:i/>
          <w:color w:val="000000" w:themeColor="text1"/>
        </w:rPr>
        <w:t xml:space="preserve"> anime.</w:t>
      </w:r>
    </w:p>
  </w:footnote>
  <w:footnote w:id="886">
    <w:p w14:paraId="4D5A59CC" w14:textId="78187B81" w:rsidR="00B93ED5" w:rsidRPr="009D7635" w:rsidRDefault="00B93ED5" w:rsidP="002555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Daniel A. Callus, ‘The Powers of the Soul,’ 156</w:t>
      </w:r>
      <w:r w:rsidR="00126125" w:rsidRPr="009D7635">
        <w:rPr>
          <w:rFonts w:ascii="Times New Roman" w:hAnsi="Times New Roman" w:cs="Times New Roman"/>
          <w:color w:val="000000" w:themeColor="text1"/>
          <w:sz w:val="20"/>
          <w:szCs w:val="20"/>
        </w:rPr>
        <w:t>.</w:t>
      </w:r>
    </w:p>
  </w:footnote>
  <w:footnote w:id="887">
    <w:p w14:paraId="1E33CD50" w14:textId="6237F72B"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Herbert A. Davidson, </w:t>
      </w:r>
      <w:proofErr w:type="spellStart"/>
      <w:r w:rsidRPr="009D7635">
        <w:rPr>
          <w:rFonts w:ascii="Times New Roman" w:hAnsi="Times New Roman" w:cs="Times New Roman"/>
          <w:i/>
          <w:color w:val="000000" w:themeColor="text1"/>
          <w:sz w:val="20"/>
          <w:szCs w:val="20"/>
          <w:lang w:val="en-US"/>
        </w:rPr>
        <w:t>Alfarabi</w:t>
      </w:r>
      <w:proofErr w:type="spellEnd"/>
      <w:r w:rsidRPr="009D7635">
        <w:rPr>
          <w:rFonts w:ascii="Times New Roman" w:hAnsi="Times New Roman" w:cs="Times New Roman"/>
          <w:i/>
          <w:color w:val="000000" w:themeColor="text1"/>
          <w:sz w:val="20"/>
          <w:szCs w:val="20"/>
          <w:lang w:val="en-US"/>
        </w:rPr>
        <w:t xml:space="preserve">, Avicenna, and </w:t>
      </w:r>
      <w:proofErr w:type="spellStart"/>
      <w:r w:rsidRPr="009D7635">
        <w:rPr>
          <w:rFonts w:ascii="Times New Roman" w:hAnsi="Times New Roman" w:cs="Times New Roman"/>
          <w:i/>
          <w:color w:val="000000" w:themeColor="text1"/>
          <w:sz w:val="20"/>
          <w:szCs w:val="20"/>
          <w:lang w:val="en-US"/>
        </w:rPr>
        <w:t>Averroes</w:t>
      </w:r>
      <w:proofErr w:type="spellEnd"/>
      <w:r w:rsidRPr="009D7635">
        <w:rPr>
          <w:rFonts w:ascii="Times New Roman" w:hAnsi="Times New Roman" w:cs="Times New Roman"/>
          <w:i/>
          <w:color w:val="000000" w:themeColor="text1"/>
          <w:sz w:val="20"/>
          <w:szCs w:val="20"/>
          <w:lang w:val="en-US"/>
        </w:rPr>
        <w:t xml:space="preserve"> on Intellect</w:t>
      </w:r>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18</w:t>
      </w:r>
      <w:r w:rsidR="00126125" w:rsidRPr="009D7635">
        <w:rPr>
          <w:rFonts w:ascii="Times New Roman" w:hAnsi="Times New Roman" w:cs="Times New Roman"/>
          <w:color w:val="000000" w:themeColor="text1"/>
          <w:sz w:val="20"/>
          <w:szCs w:val="20"/>
        </w:rPr>
        <w:t>.</w:t>
      </w:r>
    </w:p>
  </w:footnote>
  <w:footnote w:id="888">
    <w:p w14:paraId="4458469C" w14:textId="77777777" w:rsidR="00B93ED5" w:rsidRPr="009D7635" w:rsidRDefault="00B93ED5" w:rsidP="00255546">
      <w:pPr>
        <w:autoSpaceDE w:val="0"/>
        <w:autoSpaceDN w:val="0"/>
        <w:adjustRightInd w:val="0"/>
        <w:ind w:right="-72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Daniel A. Callus, in ‘The Powers of the Soul,’ 156: </w:t>
      </w:r>
      <w:r w:rsidRPr="009D7635">
        <w:rPr>
          <w:rFonts w:ascii="Times New Roman" w:hAnsi="Times New Roman" w:cs="Times New Roman"/>
          <w:i/>
          <w:color w:val="000000" w:themeColor="text1"/>
          <w:sz w:val="20"/>
          <w:szCs w:val="20"/>
        </w:rPr>
        <w:t xml:space="preserve">Sed </w:t>
      </w:r>
      <w:proofErr w:type="spellStart"/>
      <w:r w:rsidRPr="009D7635">
        <w:rPr>
          <w:rFonts w:ascii="Times New Roman" w:hAnsi="Times New Roman" w:cs="Times New Roman"/>
          <w:i/>
          <w:color w:val="000000" w:themeColor="text1"/>
          <w:sz w:val="20"/>
          <w:szCs w:val="20"/>
        </w:rPr>
        <w:t>quia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natura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intellectualis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superior rebus </w:t>
      </w:r>
      <w:proofErr w:type="spellStart"/>
      <w:r w:rsidRPr="009D7635">
        <w:rPr>
          <w:rFonts w:ascii="Times New Roman" w:hAnsi="Times New Roman" w:cs="Times New Roman"/>
          <w:i/>
          <w:color w:val="000000" w:themeColor="text1"/>
          <w:sz w:val="20"/>
          <w:szCs w:val="20"/>
        </w:rPr>
        <w:t>corporalibus</w:t>
      </w:r>
      <w:proofErr w:type="spellEnd"/>
      <w:r w:rsidRPr="009D7635">
        <w:rPr>
          <w:rFonts w:ascii="Times New Roman" w:hAnsi="Times New Roman" w:cs="Times New Roman"/>
          <w:i/>
          <w:color w:val="000000" w:themeColor="text1"/>
          <w:sz w:val="20"/>
          <w:szCs w:val="20"/>
        </w:rPr>
        <w:t xml:space="preserve"> et supra res </w:t>
      </w:r>
      <w:proofErr w:type="spellStart"/>
      <w:r w:rsidRPr="009D7635">
        <w:rPr>
          <w:rFonts w:ascii="Times New Roman" w:hAnsi="Times New Roman" w:cs="Times New Roman"/>
          <w:i/>
          <w:color w:val="000000" w:themeColor="text1"/>
          <w:sz w:val="20"/>
          <w:szCs w:val="20"/>
        </w:rPr>
        <w:t>incorporales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sunt</w:t>
      </w:r>
      <w:proofErr w:type="spellEnd"/>
      <w:r w:rsidRPr="009D7635">
        <w:rPr>
          <w:rFonts w:ascii="Times New Roman" w:hAnsi="Times New Roman" w:cs="Times New Roman"/>
          <w:i/>
          <w:color w:val="000000" w:themeColor="text1"/>
          <w:sz w:val="20"/>
          <w:szCs w:val="20"/>
        </w:rPr>
        <w:t xml:space="preserve"> in ipsa, </w:t>
      </w:r>
      <w:proofErr w:type="spellStart"/>
      <w:r w:rsidRPr="009D7635">
        <w:rPr>
          <w:rFonts w:ascii="Times New Roman" w:hAnsi="Times New Roman" w:cs="Times New Roman"/>
          <w:i/>
          <w:color w:val="000000" w:themeColor="text1"/>
          <w:sz w:val="20"/>
          <w:szCs w:val="20"/>
        </w:rPr>
        <w:t>ideo</w:t>
      </w:r>
      <w:proofErr w:type="spellEnd"/>
      <w:r w:rsidRPr="009D7635">
        <w:rPr>
          <w:rFonts w:ascii="Times New Roman" w:hAnsi="Times New Roman" w:cs="Times New Roman"/>
          <w:i/>
          <w:color w:val="000000" w:themeColor="text1"/>
          <w:sz w:val="20"/>
          <w:szCs w:val="20"/>
        </w:rPr>
        <w:t xml:space="preserve"> ad </w:t>
      </w:r>
      <w:proofErr w:type="spellStart"/>
      <w:r w:rsidRPr="009D7635">
        <w:rPr>
          <w:rFonts w:ascii="Times New Roman" w:hAnsi="Times New Roman" w:cs="Times New Roman"/>
          <w:i/>
          <w:color w:val="000000" w:themeColor="text1"/>
          <w:sz w:val="20"/>
          <w:szCs w:val="20"/>
        </w:rPr>
        <w:t>hec</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comprehendenda</w:t>
      </w:r>
      <w:proofErr w:type="spellEnd"/>
      <w:r w:rsidRPr="009D7635">
        <w:rPr>
          <w:rFonts w:ascii="Times New Roman" w:hAnsi="Times New Roman" w:cs="Times New Roman"/>
          <w:i/>
          <w:color w:val="000000" w:themeColor="text1"/>
          <w:sz w:val="20"/>
          <w:szCs w:val="20"/>
        </w:rPr>
        <w:t xml:space="preserve"> non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necessarium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illuminatione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substantie</w:t>
      </w:r>
      <w:proofErr w:type="spellEnd"/>
      <w:r w:rsidRPr="009D7635">
        <w:rPr>
          <w:rFonts w:ascii="Times New Roman" w:hAnsi="Times New Roman" w:cs="Times New Roman"/>
          <w:i/>
          <w:color w:val="000000" w:themeColor="text1"/>
          <w:sz w:val="20"/>
          <w:szCs w:val="20"/>
        </w:rPr>
        <w:t xml:space="preserve"> separate, sed </w:t>
      </w:r>
      <w:proofErr w:type="spellStart"/>
      <w:r w:rsidRPr="009D7635">
        <w:rPr>
          <w:rFonts w:ascii="Times New Roman" w:hAnsi="Times New Roman" w:cs="Times New Roman"/>
          <w:i/>
          <w:color w:val="000000" w:themeColor="text1"/>
          <w:sz w:val="20"/>
          <w:szCs w:val="20"/>
        </w:rPr>
        <w:t>sufficit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agens</w:t>
      </w:r>
      <w:proofErr w:type="spellEnd"/>
      <w:r w:rsidRPr="009D7635">
        <w:rPr>
          <w:rFonts w:ascii="Times New Roman" w:hAnsi="Times New Roman" w:cs="Times New Roman"/>
          <w:i/>
          <w:color w:val="000000" w:themeColor="text1"/>
          <w:sz w:val="20"/>
          <w:szCs w:val="20"/>
        </w:rPr>
        <w:t xml:space="preserve">, qui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lumen </w:t>
      </w:r>
      <w:proofErr w:type="spellStart"/>
      <w:r w:rsidRPr="009D7635">
        <w:rPr>
          <w:rFonts w:ascii="Times New Roman" w:hAnsi="Times New Roman" w:cs="Times New Roman"/>
          <w:i/>
          <w:color w:val="000000" w:themeColor="text1"/>
          <w:sz w:val="20"/>
          <w:szCs w:val="20"/>
        </w:rPr>
        <w:t>interius</w:t>
      </w:r>
      <w:proofErr w:type="spellEnd"/>
      <w:r w:rsidRPr="009D7635">
        <w:rPr>
          <w:rFonts w:ascii="Times New Roman" w:hAnsi="Times New Roman" w:cs="Times New Roman"/>
          <w:i/>
          <w:color w:val="000000" w:themeColor="text1"/>
          <w:sz w:val="20"/>
          <w:szCs w:val="20"/>
        </w:rPr>
        <w:t xml:space="preserve">, cum </w:t>
      </w:r>
      <w:proofErr w:type="spellStart"/>
      <w:r w:rsidRPr="009D7635">
        <w:rPr>
          <w:rFonts w:ascii="Times New Roman" w:hAnsi="Times New Roman" w:cs="Times New Roman"/>
          <w:i/>
          <w:color w:val="000000" w:themeColor="text1"/>
          <w:sz w:val="20"/>
          <w:szCs w:val="20"/>
        </w:rPr>
        <w:t>intellectu</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possibili</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Dag Hasse, </w:t>
      </w:r>
      <w:r w:rsidRPr="009D7635">
        <w:rPr>
          <w:rFonts w:ascii="Times New Roman" w:hAnsi="Times New Roman" w:cs="Times New Roman"/>
          <w:i/>
          <w:color w:val="000000" w:themeColor="text1"/>
          <w:sz w:val="20"/>
          <w:szCs w:val="20"/>
        </w:rPr>
        <w:t xml:space="preserve">Avicenna’s De anima in the Latin West </w:t>
      </w:r>
      <w:r w:rsidRPr="009D7635">
        <w:rPr>
          <w:rFonts w:ascii="Times New Roman" w:hAnsi="Times New Roman" w:cs="Times New Roman"/>
          <w:color w:val="000000" w:themeColor="text1"/>
          <w:sz w:val="20"/>
          <w:szCs w:val="20"/>
        </w:rPr>
        <w:t>(London: Warburg, 2000)</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202: </w:t>
      </w:r>
      <w:r w:rsidRPr="009D7635">
        <w:rPr>
          <w:rFonts w:ascii="Times New Roman" w:hAnsi="Times New Roman" w:cs="Times New Roman"/>
          <w:color w:val="000000" w:themeColor="text1"/>
          <w:sz w:val="20"/>
          <w:szCs w:val="20"/>
          <w:lang w:val="en-US"/>
        </w:rPr>
        <w:t>‘The distinction between forms abstracted and forms illuminated was to travel through</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the anonymous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potentiis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animae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obiectis</w:t>
      </w:r>
      <w:proofErr w:type="spellEnd"/>
      <w:r w:rsidRPr="009D7635">
        <w:rPr>
          <w:rFonts w:ascii="Times New Roman" w:hAnsi="Times New Roman" w:cs="Times New Roman"/>
          <w:color w:val="000000" w:themeColor="text1"/>
          <w:sz w:val="20"/>
          <w:szCs w:val="20"/>
          <w:lang w:val="en-US"/>
        </w:rPr>
        <w:t xml:space="preserve"> to Jean de la Rochelle</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and the </w:t>
      </w:r>
      <w:r w:rsidRPr="009D7635">
        <w:rPr>
          <w:rFonts w:ascii="Times New Roman" w:hAnsi="Times New Roman" w:cs="Times New Roman"/>
          <w:i/>
          <w:color w:val="000000" w:themeColor="text1"/>
          <w:sz w:val="20"/>
          <w:szCs w:val="20"/>
          <w:lang w:val="en-US"/>
        </w:rPr>
        <w:t xml:space="preserve">Summa </w:t>
      </w:r>
      <w:proofErr w:type="spellStart"/>
      <w:r w:rsidRPr="009D7635">
        <w:rPr>
          <w:rFonts w:ascii="Times New Roman" w:hAnsi="Times New Roman" w:cs="Times New Roman"/>
          <w:i/>
          <w:color w:val="000000" w:themeColor="text1"/>
          <w:sz w:val="20"/>
          <w:szCs w:val="20"/>
          <w:lang w:val="en-US"/>
        </w:rPr>
        <w:t>fratris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Alexandri</w:t>
      </w:r>
      <w:proofErr w:type="spellEnd"/>
      <w:r w:rsidRPr="009D7635">
        <w:rPr>
          <w:rFonts w:ascii="Times New Roman" w:hAnsi="Times New Roman" w:cs="Times New Roman"/>
          <w:color w:val="000000" w:themeColor="text1"/>
          <w:sz w:val="20"/>
          <w:szCs w:val="20"/>
          <w:lang w:val="en-US"/>
        </w:rPr>
        <w:t>.’</w:t>
      </w:r>
    </w:p>
  </w:footnote>
  <w:footnote w:id="889">
    <w:p w14:paraId="0999B2A1"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bono</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232; Dominique H. Salman, O.P., ‘Jean de La Rochelle et les débuts de </w:t>
      </w:r>
      <w:proofErr w:type="spellStart"/>
      <w:r w:rsidRPr="009D7635">
        <w:rPr>
          <w:rFonts w:ascii="Times New Roman" w:hAnsi="Times New Roman" w:cs="Times New Roman"/>
          <w:color w:val="000000" w:themeColor="text1"/>
        </w:rPr>
        <w:t>l’Averroisme</w:t>
      </w:r>
      <w:proofErr w:type="spellEnd"/>
      <w:r w:rsidRPr="009D7635">
        <w:rPr>
          <w:rFonts w:ascii="Times New Roman" w:hAnsi="Times New Roman" w:cs="Times New Roman"/>
          <w:color w:val="000000" w:themeColor="text1"/>
        </w:rPr>
        <w:t xml:space="preserve"> Latin,’ 141.</w:t>
      </w:r>
    </w:p>
  </w:footnote>
  <w:footnote w:id="890">
    <w:p w14:paraId="686689CD" w14:textId="77777777" w:rsidR="00B93ED5" w:rsidRPr="009D7635" w:rsidRDefault="00B93ED5" w:rsidP="00255546">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bono</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270: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acquisitus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destructibilis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accidens</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et hoc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corporis</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shd w:val="clear" w:color="auto" w:fill="FFFFFF"/>
        </w:rPr>
        <w:t>René</w:t>
      </w:r>
      <w:r w:rsidRPr="009D7635" w:rsidDel="001E5926">
        <w:rPr>
          <w:rFonts w:ascii="Times New Roman" w:hAnsi="Times New Roman" w:cs="Times New Roman"/>
          <w:color w:val="000000" w:themeColor="text1"/>
          <w:sz w:val="20"/>
          <w:szCs w:val="20"/>
          <w:lang w:val="fr-FR"/>
        </w:rPr>
        <w:t xml:space="preserve"> </w:t>
      </w:r>
      <w:r w:rsidRPr="009D7635">
        <w:rPr>
          <w:rFonts w:ascii="Times New Roman" w:hAnsi="Times New Roman" w:cs="Times New Roman"/>
          <w:color w:val="000000" w:themeColor="text1"/>
          <w:sz w:val="20"/>
          <w:szCs w:val="20"/>
          <w:lang w:val="fr-FR"/>
        </w:rPr>
        <w:t xml:space="preserve">A. Gauthier, ‘Le Traité </w:t>
      </w:r>
      <w:r w:rsidRPr="009D7635">
        <w:rPr>
          <w:rFonts w:ascii="Times New Roman" w:hAnsi="Times New Roman" w:cs="Times New Roman"/>
          <w:i/>
          <w:iCs/>
          <w:color w:val="000000" w:themeColor="text1"/>
          <w:sz w:val="20"/>
          <w:szCs w:val="20"/>
          <w:lang w:val="fr-FR"/>
        </w:rPr>
        <w:t xml:space="preserve">De anima et </w:t>
      </w:r>
      <w:proofErr w:type="spellStart"/>
      <w:r w:rsidRPr="009D7635">
        <w:rPr>
          <w:rFonts w:ascii="Times New Roman" w:hAnsi="Times New Roman" w:cs="Times New Roman"/>
          <w:i/>
          <w:iCs/>
          <w:color w:val="000000" w:themeColor="text1"/>
          <w:sz w:val="20"/>
          <w:szCs w:val="20"/>
          <w:lang w:val="fr-FR"/>
        </w:rPr>
        <w:t>potenciis</w:t>
      </w:r>
      <w:proofErr w:type="spellEnd"/>
      <w:r w:rsidRPr="009D7635">
        <w:rPr>
          <w:rFonts w:ascii="Times New Roman" w:hAnsi="Times New Roman" w:cs="Times New Roman"/>
          <w:i/>
          <w:iCs/>
          <w:color w:val="000000" w:themeColor="text1"/>
          <w:sz w:val="20"/>
          <w:szCs w:val="20"/>
          <w:lang w:val="fr-FR"/>
        </w:rPr>
        <w:t xml:space="preserve"> </w:t>
      </w:r>
      <w:proofErr w:type="spellStart"/>
      <w:r w:rsidRPr="009D7635">
        <w:rPr>
          <w:rFonts w:ascii="Times New Roman" w:hAnsi="Times New Roman" w:cs="Times New Roman"/>
          <w:i/>
          <w:iCs/>
          <w:color w:val="000000" w:themeColor="text1"/>
          <w:sz w:val="20"/>
          <w:szCs w:val="20"/>
          <w:lang w:val="fr-FR"/>
        </w:rPr>
        <w:t>eius</w:t>
      </w:r>
      <w:proofErr w:type="spellEnd"/>
      <w:r w:rsidRPr="009D7635">
        <w:rPr>
          <w:rFonts w:ascii="Times New Roman" w:hAnsi="Times New Roman" w:cs="Times New Roman"/>
          <w:color w:val="000000" w:themeColor="text1"/>
          <w:sz w:val="20"/>
          <w:szCs w:val="20"/>
          <w:lang w:val="fr-FR"/>
        </w:rPr>
        <w:t xml:space="preserve">,’ </w:t>
      </w:r>
      <w:r w:rsidRPr="009D7635">
        <w:rPr>
          <w:rFonts w:ascii="Times New Roman" w:hAnsi="Times New Roman" w:cs="Times New Roman"/>
          <w:color w:val="000000" w:themeColor="text1"/>
          <w:sz w:val="20"/>
          <w:szCs w:val="20"/>
        </w:rPr>
        <w:t xml:space="preserve">13: As Gauthier notes, the term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formalis</w:t>
      </w:r>
      <w:proofErr w:type="spellEnd"/>
      <w:r w:rsidRPr="009D7635">
        <w:rPr>
          <w:rFonts w:ascii="Times New Roman" w:hAnsi="Times New Roman" w:cs="Times New Roman"/>
          <w:color w:val="000000" w:themeColor="text1"/>
          <w:sz w:val="20"/>
          <w:szCs w:val="20"/>
        </w:rPr>
        <w:t xml:space="preserve"> appeared not only in Anonymous Callus but also before him in the </w:t>
      </w:r>
      <w:r w:rsidRPr="009D7635">
        <w:rPr>
          <w:rFonts w:ascii="Times New Roman" w:hAnsi="Times New Roman" w:cs="Times New Roman"/>
          <w:i/>
          <w:color w:val="000000" w:themeColor="text1"/>
          <w:sz w:val="20"/>
          <w:szCs w:val="20"/>
        </w:rPr>
        <w:t xml:space="preserve">Liber de </w:t>
      </w:r>
      <w:proofErr w:type="spellStart"/>
      <w:r w:rsidRPr="009D7635">
        <w:rPr>
          <w:rFonts w:ascii="Times New Roman" w:hAnsi="Times New Roman" w:cs="Times New Roman"/>
          <w:i/>
          <w:color w:val="000000" w:themeColor="text1"/>
          <w:sz w:val="20"/>
          <w:szCs w:val="20"/>
        </w:rPr>
        <w:t>causis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primis</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secundis</w:t>
      </w:r>
      <w:proofErr w:type="spellEnd"/>
      <w:r w:rsidRPr="009D7635">
        <w:rPr>
          <w:rFonts w:ascii="Times New Roman" w:hAnsi="Times New Roman" w:cs="Times New Roman"/>
          <w:i/>
          <w:color w:val="000000" w:themeColor="text1"/>
          <w:sz w:val="20"/>
          <w:szCs w:val="20"/>
        </w:rPr>
        <w:t>,</w:t>
      </w:r>
      <w:r w:rsidRPr="009D7635">
        <w:rPr>
          <w:rFonts w:ascii="Times New Roman" w:hAnsi="Times New Roman" w:cs="Times New Roman"/>
          <w:color w:val="000000" w:themeColor="text1"/>
          <w:sz w:val="20"/>
          <w:szCs w:val="20"/>
        </w:rPr>
        <w:t xml:space="preserve"> and in John </w:t>
      </w:r>
      <w:proofErr w:type="spellStart"/>
      <w:r w:rsidRPr="009D7635">
        <w:rPr>
          <w:rFonts w:ascii="Times New Roman" w:hAnsi="Times New Roman" w:cs="Times New Roman"/>
          <w:color w:val="000000" w:themeColor="text1"/>
          <w:sz w:val="20"/>
          <w:szCs w:val="20"/>
        </w:rPr>
        <w:t>Blund</w:t>
      </w:r>
      <w:proofErr w:type="spellEnd"/>
      <w:r w:rsidRPr="009D7635">
        <w:rPr>
          <w:rFonts w:ascii="Times New Roman" w:hAnsi="Times New Roman" w:cs="Times New Roman"/>
          <w:color w:val="000000" w:themeColor="text1"/>
          <w:sz w:val="20"/>
          <w:szCs w:val="20"/>
        </w:rPr>
        <w:t xml:space="preserve">. It is picked up by Philip the Chancellor and the </w:t>
      </w:r>
      <w:r w:rsidRPr="009D7635">
        <w:rPr>
          <w:rFonts w:ascii="Times New Roman" w:hAnsi="Times New Roman" w:cs="Times New Roman"/>
          <w:i/>
          <w:color w:val="000000" w:themeColor="text1"/>
          <w:sz w:val="20"/>
          <w:szCs w:val="20"/>
        </w:rPr>
        <w:t xml:space="preserve">Summa </w:t>
      </w:r>
      <w:proofErr w:type="spellStart"/>
      <w:r w:rsidRPr="009D7635">
        <w:rPr>
          <w:rFonts w:ascii="Times New Roman" w:hAnsi="Times New Roman" w:cs="Times New Roman"/>
          <w:i/>
          <w:color w:val="000000" w:themeColor="text1"/>
          <w:sz w:val="20"/>
          <w:szCs w:val="20"/>
        </w:rPr>
        <w:t>duacensis</w:t>
      </w:r>
      <w:proofErr w:type="spellEnd"/>
      <w:r w:rsidRPr="009D7635">
        <w:rPr>
          <w:rFonts w:ascii="Times New Roman" w:hAnsi="Times New Roman" w:cs="Times New Roman"/>
          <w:color w:val="000000" w:themeColor="text1"/>
          <w:sz w:val="20"/>
          <w:szCs w:val="20"/>
        </w:rPr>
        <w:t xml:space="preserve">. See also his, ‘Notes </w:t>
      </w:r>
      <w:proofErr w:type="spellStart"/>
      <w:r w:rsidRPr="009D7635">
        <w:rPr>
          <w:rFonts w:ascii="Times New Roman" w:hAnsi="Times New Roman" w:cs="Times New Roman"/>
          <w:color w:val="000000" w:themeColor="text1"/>
          <w:sz w:val="20"/>
          <w:szCs w:val="20"/>
        </w:rPr>
        <w:t>sur</w:t>
      </w:r>
      <w:proofErr w:type="spellEnd"/>
      <w:r w:rsidRPr="009D7635">
        <w:rPr>
          <w:rFonts w:ascii="Times New Roman" w:hAnsi="Times New Roman" w:cs="Times New Roman"/>
          <w:color w:val="000000" w:themeColor="text1"/>
          <w:sz w:val="20"/>
          <w:szCs w:val="20"/>
        </w:rPr>
        <w:t xml:space="preserve"> les débuts du premier </w:t>
      </w:r>
      <w:proofErr w:type="spellStart"/>
      <w:r w:rsidRPr="009D7635">
        <w:rPr>
          <w:rFonts w:ascii="Times New Roman" w:hAnsi="Times New Roman" w:cs="Times New Roman"/>
          <w:color w:val="000000" w:themeColor="text1"/>
          <w:sz w:val="20"/>
          <w:szCs w:val="20"/>
        </w:rPr>
        <w:t>Averroisme</w:t>
      </w:r>
      <w:proofErr w:type="spellEnd"/>
      <w:r w:rsidRPr="009D7635">
        <w:rPr>
          <w:rFonts w:ascii="Times New Roman" w:hAnsi="Times New Roman" w:cs="Times New Roman"/>
          <w:color w:val="000000" w:themeColor="text1"/>
          <w:sz w:val="20"/>
          <w:szCs w:val="20"/>
        </w:rPr>
        <w:t xml:space="preserve">,’ 350. </w:t>
      </w:r>
    </w:p>
  </w:footnote>
  <w:footnote w:id="891">
    <w:p w14:paraId="570B2988" w14:textId="166DD089" w:rsidR="00B93ED5" w:rsidRPr="009D7635" w:rsidRDefault="00B93ED5" w:rsidP="00126125">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Daniel A. Callus, in ‘The Powers of the Soul,’</w:t>
      </w:r>
      <w:r w:rsidRPr="009D7635">
        <w:rPr>
          <w:rFonts w:ascii="Times New Roman" w:hAnsi="Times New Roman" w:cs="Times New Roman"/>
          <w:color w:val="000000" w:themeColor="text1"/>
          <w:sz w:val="20"/>
          <w:szCs w:val="20"/>
          <w:lang w:val="en-US"/>
        </w:rPr>
        <w:t xml:space="preserve"> 157: The formal intellect involves a similarity to the object of knowledge and relates to the faculty of common sense. See also </w:t>
      </w:r>
      <w:r w:rsidRPr="009D7635">
        <w:rPr>
          <w:rFonts w:ascii="Times New Roman" w:hAnsi="Times New Roman" w:cs="Times New Roman"/>
          <w:color w:val="000000" w:themeColor="text1"/>
          <w:sz w:val="20"/>
          <w:szCs w:val="20"/>
          <w:shd w:val="clear" w:color="auto" w:fill="FFFFFF"/>
        </w:rPr>
        <w:t>René</w:t>
      </w:r>
      <w:r w:rsidRPr="009D7635" w:rsidDel="001E5926">
        <w:rPr>
          <w:rFonts w:ascii="Times New Roman" w:hAnsi="Times New Roman" w:cs="Times New Roman"/>
          <w:color w:val="000000" w:themeColor="text1"/>
          <w:sz w:val="20"/>
          <w:szCs w:val="20"/>
          <w:lang w:val="fr-FR"/>
        </w:rPr>
        <w:t xml:space="preserve"> </w:t>
      </w:r>
      <w:r w:rsidRPr="009D7635">
        <w:rPr>
          <w:rFonts w:ascii="Times New Roman" w:hAnsi="Times New Roman" w:cs="Times New Roman"/>
          <w:color w:val="000000" w:themeColor="text1"/>
          <w:sz w:val="20"/>
          <w:szCs w:val="20"/>
          <w:lang w:val="fr-FR"/>
        </w:rPr>
        <w:t xml:space="preserve">A. Gauthier, ‘Le Traité </w:t>
      </w:r>
      <w:r w:rsidRPr="009D7635">
        <w:rPr>
          <w:rFonts w:ascii="Times New Roman" w:hAnsi="Times New Roman" w:cs="Times New Roman"/>
          <w:i/>
          <w:iCs/>
          <w:color w:val="000000" w:themeColor="text1"/>
          <w:sz w:val="20"/>
          <w:szCs w:val="20"/>
          <w:lang w:val="fr-FR"/>
        </w:rPr>
        <w:t xml:space="preserve">De anima et </w:t>
      </w:r>
      <w:proofErr w:type="spellStart"/>
      <w:r w:rsidRPr="009D7635">
        <w:rPr>
          <w:rFonts w:ascii="Times New Roman" w:hAnsi="Times New Roman" w:cs="Times New Roman"/>
          <w:i/>
          <w:iCs/>
          <w:color w:val="000000" w:themeColor="text1"/>
          <w:sz w:val="20"/>
          <w:szCs w:val="20"/>
          <w:lang w:val="fr-FR"/>
        </w:rPr>
        <w:t>potenciis</w:t>
      </w:r>
      <w:proofErr w:type="spellEnd"/>
      <w:r w:rsidRPr="009D7635">
        <w:rPr>
          <w:rFonts w:ascii="Times New Roman" w:hAnsi="Times New Roman" w:cs="Times New Roman"/>
          <w:i/>
          <w:iCs/>
          <w:color w:val="000000" w:themeColor="text1"/>
          <w:sz w:val="20"/>
          <w:szCs w:val="20"/>
          <w:lang w:val="fr-FR"/>
        </w:rPr>
        <w:t xml:space="preserve"> </w:t>
      </w:r>
      <w:proofErr w:type="spellStart"/>
      <w:r w:rsidRPr="009D7635">
        <w:rPr>
          <w:rFonts w:ascii="Times New Roman" w:hAnsi="Times New Roman" w:cs="Times New Roman"/>
          <w:i/>
          <w:iCs/>
          <w:color w:val="000000" w:themeColor="text1"/>
          <w:sz w:val="20"/>
          <w:szCs w:val="20"/>
          <w:lang w:val="fr-FR"/>
        </w:rPr>
        <w:t>eius</w:t>
      </w:r>
      <w:proofErr w:type="spellEnd"/>
      <w:r w:rsidRPr="009D7635">
        <w:rPr>
          <w:rFonts w:ascii="Times New Roman" w:hAnsi="Times New Roman" w:cs="Times New Roman"/>
          <w:color w:val="000000" w:themeColor="text1"/>
          <w:sz w:val="20"/>
          <w:szCs w:val="20"/>
          <w:lang w:val="fr-FR"/>
        </w:rPr>
        <w:t xml:space="preserve">,’ </w:t>
      </w:r>
      <w:r w:rsidRPr="009D7635">
        <w:rPr>
          <w:rFonts w:ascii="Times New Roman" w:hAnsi="Times New Roman" w:cs="Times New Roman"/>
          <w:color w:val="000000" w:themeColor="text1"/>
          <w:sz w:val="20"/>
          <w:szCs w:val="20"/>
        </w:rPr>
        <w:t>16-17</w:t>
      </w:r>
      <w:r w:rsidR="003D0604"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lang w:val="en-US"/>
        </w:rPr>
        <w:t xml:space="preserve"> P. Glorieux</w:t>
      </w:r>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i/>
          <w:color w:val="000000" w:themeColor="text1"/>
          <w:sz w:val="20"/>
          <w:szCs w:val="20"/>
          <w:lang w:val="en-US"/>
        </w:rPr>
        <w:t xml:space="preserve"> La Summa </w:t>
      </w:r>
      <w:proofErr w:type="spellStart"/>
      <w:r w:rsidRPr="009D7635">
        <w:rPr>
          <w:rFonts w:ascii="Times New Roman" w:hAnsi="Times New Roman" w:cs="Times New Roman"/>
          <w:i/>
          <w:color w:val="000000" w:themeColor="text1"/>
          <w:sz w:val="20"/>
          <w:szCs w:val="20"/>
          <w:lang w:val="en-US"/>
        </w:rPr>
        <w:t>duacensis</w:t>
      </w:r>
      <w:proofErr w:type="spellEnd"/>
      <w:r w:rsidRPr="009D7635">
        <w:rPr>
          <w:rFonts w:ascii="Times New Roman" w:hAnsi="Times New Roman" w:cs="Times New Roman"/>
          <w:color w:val="000000" w:themeColor="text1"/>
          <w:sz w:val="20"/>
          <w:szCs w:val="20"/>
          <w:lang w:val="en-US"/>
        </w:rPr>
        <w:t>, (Paris: Vrin, 1955), p. 44, 5-4</w:t>
      </w:r>
      <w:r w:rsidR="00903B5D" w:rsidRPr="009D7635">
        <w:rPr>
          <w:rFonts w:ascii="Times New Roman" w:hAnsi="Times New Roman" w:cs="Times New Roman"/>
          <w:color w:val="000000" w:themeColor="text1"/>
          <w:sz w:val="20"/>
          <w:szCs w:val="20"/>
          <w:lang w:val="en-US"/>
        </w:rPr>
        <w:t>.</w:t>
      </w:r>
    </w:p>
  </w:footnote>
  <w:footnote w:id="892">
    <w:p w14:paraId="62452976"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bono</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270. Daniel A. Callus, in ‘The Powers of the Soul,’ 157. </w:t>
      </w:r>
    </w:p>
  </w:footnote>
  <w:footnote w:id="893">
    <w:p w14:paraId="125472A8" w14:textId="77777777" w:rsidR="00B93ED5" w:rsidRPr="009D7635" w:rsidRDefault="00B93ED5" w:rsidP="00255546">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bono</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270: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abstrahit</w:t>
      </w:r>
      <w:proofErr w:type="spellEnd"/>
      <w:r w:rsidRPr="009D7635">
        <w:rPr>
          <w:rFonts w:ascii="Times New Roman" w:hAnsi="Times New Roman" w:cs="Times New Roman"/>
          <w:i/>
          <w:color w:val="000000" w:themeColor="text1"/>
          <w:sz w:val="20"/>
          <w:szCs w:val="20"/>
          <w:lang w:val="en-US"/>
        </w:rPr>
        <w:t xml:space="preserve"> species a </w:t>
      </w:r>
      <w:proofErr w:type="spellStart"/>
      <w:r w:rsidRPr="009D7635">
        <w:rPr>
          <w:rFonts w:ascii="Times New Roman" w:hAnsi="Times New Roman" w:cs="Times New Roman"/>
          <w:i/>
          <w:color w:val="000000" w:themeColor="text1"/>
          <w:sz w:val="20"/>
          <w:szCs w:val="20"/>
          <w:lang w:val="en-US"/>
        </w:rPr>
        <w:t>phantasmatibus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abstrahendo</w:t>
      </w:r>
      <w:proofErr w:type="spellEnd"/>
      <w:r w:rsidRPr="009D7635">
        <w:rPr>
          <w:rFonts w:ascii="Times New Roman" w:hAnsi="Times New Roman" w:cs="Times New Roman"/>
          <w:i/>
          <w:color w:val="000000" w:themeColor="text1"/>
          <w:sz w:val="20"/>
          <w:szCs w:val="20"/>
          <w:lang w:val="en-US"/>
        </w:rPr>
        <w:t xml:space="preserve"> unit cum </w:t>
      </w:r>
      <w:proofErr w:type="spellStart"/>
      <w:r w:rsidRPr="009D7635">
        <w:rPr>
          <w:rFonts w:ascii="Times New Roman" w:hAnsi="Times New Roman" w:cs="Times New Roman"/>
          <w:i/>
          <w:color w:val="000000" w:themeColor="text1"/>
          <w:sz w:val="20"/>
          <w:szCs w:val="20"/>
          <w:lang w:val="en-US"/>
        </w:rPr>
        <w:t>possibili</w:t>
      </w:r>
      <w:proofErr w:type="spellEnd"/>
      <w:r w:rsidRPr="009D7635">
        <w:rPr>
          <w:rFonts w:ascii="Times New Roman" w:hAnsi="Times New Roman" w:cs="Times New Roman"/>
          <w:i/>
          <w:color w:val="000000" w:themeColor="text1"/>
          <w:sz w:val="20"/>
          <w:szCs w:val="20"/>
          <w:lang w:val="en-US"/>
        </w:rPr>
        <w:t xml:space="preserve"> qui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recipiens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qui </w:t>
      </w:r>
      <w:proofErr w:type="spellStart"/>
      <w:r w:rsidRPr="009D7635">
        <w:rPr>
          <w:rFonts w:ascii="Times New Roman" w:hAnsi="Times New Roman" w:cs="Times New Roman"/>
          <w:i/>
          <w:color w:val="000000" w:themeColor="text1"/>
          <w:sz w:val="20"/>
          <w:szCs w:val="20"/>
          <w:lang w:val="en-US"/>
        </w:rPr>
        <w:t>recipitur</w:t>
      </w:r>
      <w:proofErr w:type="spellEnd"/>
      <w:r w:rsidRPr="009D7635">
        <w:rPr>
          <w:rFonts w:ascii="Times New Roman" w:hAnsi="Times New Roman" w:cs="Times New Roman"/>
          <w:i/>
          <w:color w:val="000000" w:themeColor="text1"/>
          <w:sz w:val="20"/>
          <w:szCs w:val="20"/>
          <w:lang w:val="en-US"/>
        </w:rPr>
        <w:t xml:space="preserve">, et hoc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intellectu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humano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proprium</w:t>
      </w:r>
      <w:proofErr w:type="spellEnd"/>
      <w:r w:rsidRPr="009D7635">
        <w:rPr>
          <w:rFonts w:ascii="Times New Roman" w:hAnsi="Times New Roman" w:cs="Times New Roman"/>
          <w:i/>
          <w:color w:val="000000" w:themeColor="text1"/>
          <w:sz w:val="20"/>
          <w:szCs w:val="20"/>
          <w:lang w:val="en-US"/>
        </w:rPr>
        <w:t xml:space="preserve">, qui se ipso res non </w:t>
      </w:r>
      <w:proofErr w:type="spellStart"/>
      <w:r w:rsidRPr="009D7635">
        <w:rPr>
          <w:rFonts w:ascii="Times New Roman" w:hAnsi="Times New Roman" w:cs="Times New Roman"/>
          <w:i/>
          <w:color w:val="000000" w:themeColor="text1"/>
          <w:sz w:val="20"/>
          <w:szCs w:val="20"/>
          <w:lang w:val="en-US"/>
        </w:rPr>
        <w:t>intelligit</w:t>
      </w:r>
      <w:proofErr w:type="spellEnd"/>
      <w:r w:rsidRPr="009D7635">
        <w:rPr>
          <w:rFonts w:ascii="Times New Roman" w:hAnsi="Times New Roman" w:cs="Times New Roman"/>
          <w:i/>
          <w:color w:val="000000" w:themeColor="text1"/>
          <w:sz w:val="20"/>
          <w:szCs w:val="20"/>
          <w:lang w:val="en-US"/>
        </w:rPr>
        <w:t>.</w:t>
      </w:r>
    </w:p>
  </w:footnote>
  <w:footnote w:id="894">
    <w:p w14:paraId="4CBF41E4"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274.</w:t>
      </w:r>
    </w:p>
  </w:footnote>
  <w:footnote w:id="895">
    <w:p w14:paraId="604F9DC5" w14:textId="77777777"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Daniel A. Callus, in ‘The Powers of the Soul,’ 143: ‘It is true that our author identifies the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materialis</w:t>
      </w:r>
      <w:proofErr w:type="spellEnd"/>
      <w:r w:rsidRPr="009D7635">
        <w:rPr>
          <w:rFonts w:ascii="Times New Roman" w:hAnsi="Times New Roman" w:cs="Times New Roman"/>
          <w:color w:val="000000" w:themeColor="text1"/>
          <w:sz w:val="20"/>
          <w:szCs w:val="20"/>
        </w:rPr>
        <w:t xml:space="preserve"> with the “passive and corruptible intellect” of the </w:t>
      </w:r>
      <w:r w:rsidRPr="009D7635">
        <w:rPr>
          <w:rFonts w:ascii="Times New Roman" w:hAnsi="Times New Roman" w:cs="Times New Roman"/>
          <w:i/>
          <w:color w:val="000000" w:themeColor="text1"/>
          <w:sz w:val="20"/>
          <w:szCs w:val="20"/>
        </w:rPr>
        <w:t>De anima</w:t>
      </w:r>
      <w:r w:rsidRPr="009D7635">
        <w:rPr>
          <w:rFonts w:ascii="Times New Roman" w:hAnsi="Times New Roman" w:cs="Times New Roman"/>
          <w:color w:val="000000" w:themeColor="text1"/>
          <w:sz w:val="20"/>
          <w:szCs w:val="20"/>
        </w:rPr>
        <w:t xml:space="preserve"> II.5, but unlike John of La Rochelle, he nowhere states that the name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materialis</w:t>
      </w:r>
      <w:proofErr w:type="spellEnd"/>
      <w:r w:rsidRPr="009D7635">
        <w:rPr>
          <w:rFonts w:ascii="Times New Roman" w:hAnsi="Times New Roman" w:cs="Times New Roman"/>
          <w:color w:val="000000" w:themeColor="text1"/>
          <w:sz w:val="20"/>
          <w:szCs w:val="20"/>
        </w:rPr>
        <w:t xml:space="preserve"> comes from Aristotle himself.</w:t>
      </w:r>
      <w:r w:rsidRPr="009D7635">
        <w:rPr>
          <w:rFonts w:ascii="Times New Roman" w:hAnsi="Times New Roman" w:cs="Times New Roman"/>
          <w:color w:val="000000" w:themeColor="text1"/>
          <w:sz w:val="20"/>
          <w:szCs w:val="20"/>
          <w:lang w:val="en-US"/>
        </w:rPr>
        <w:t xml:space="preserve"> The identification might perhaps have originated from a superficial understanding of the opening words of Alexander of </w:t>
      </w:r>
      <w:proofErr w:type="spellStart"/>
      <w:r w:rsidRPr="009D7635">
        <w:rPr>
          <w:rFonts w:ascii="Times New Roman" w:hAnsi="Times New Roman" w:cs="Times New Roman"/>
          <w:color w:val="000000" w:themeColor="text1"/>
          <w:sz w:val="20"/>
          <w:szCs w:val="20"/>
          <w:lang w:val="en-US"/>
        </w:rPr>
        <w:t>Aphrodisias</w:t>
      </w:r>
      <w:proofErr w:type="spellEnd"/>
      <w:r w:rsidRPr="009D7635">
        <w:rPr>
          <w:rFonts w:ascii="Times New Roman" w:hAnsi="Times New Roman" w:cs="Times New Roman"/>
          <w:color w:val="000000" w:themeColor="text1"/>
          <w:sz w:val="20"/>
          <w:szCs w:val="20"/>
          <w:lang w:val="en-US"/>
        </w:rPr>
        <w:t>,’ which refers to a material intellect.</w:t>
      </w:r>
    </w:p>
  </w:footnote>
  <w:footnote w:id="896">
    <w:p w14:paraId="69647584" w14:textId="77777777" w:rsidR="00B93ED5" w:rsidRPr="009D7635" w:rsidRDefault="00B93ED5" w:rsidP="00255546">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275.</w:t>
      </w:r>
    </w:p>
  </w:footnote>
  <w:footnote w:id="897">
    <w:p w14:paraId="4DFD38D2"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Daniel A. Callus, in ‘The Powers of the Soul,’ 143.</w:t>
      </w:r>
    </w:p>
  </w:footnote>
  <w:footnote w:id="898">
    <w:p w14:paraId="14C786B7" w14:textId="509AA79E" w:rsidR="00494A46" w:rsidRPr="009D7635" w:rsidRDefault="00494A46" w:rsidP="00494A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G. </w:t>
      </w:r>
      <w:proofErr w:type="spellStart"/>
      <w:r w:rsidRPr="009D7635">
        <w:rPr>
          <w:rFonts w:ascii="Times New Roman" w:hAnsi="Times New Roman" w:cs="Times New Roman"/>
          <w:color w:val="000000" w:themeColor="text1"/>
          <w:sz w:val="20"/>
          <w:szCs w:val="20"/>
        </w:rPr>
        <w:t>Théry</w:t>
      </w:r>
      <w:proofErr w:type="spellEnd"/>
      <w:r w:rsidRPr="009D7635">
        <w:rPr>
          <w:rFonts w:ascii="Times New Roman" w:hAnsi="Times New Roman" w:cs="Times New Roman"/>
          <w:color w:val="000000" w:themeColor="text1"/>
          <w:sz w:val="20"/>
          <w:szCs w:val="20"/>
        </w:rPr>
        <w:t xml:space="preserve"> O.P., </w:t>
      </w:r>
      <w:proofErr w:type="spellStart"/>
      <w:r w:rsidRPr="009D7635">
        <w:rPr>
          <w:rFonts w:ascii="Times New Roman" w:hAnsi="Times New Roman" w:cs="Times New Roman"/>
          <w:i/>
          <w:color w:val="000000" w:themeColor="text1"/>
          <w:sz w:val="20"/>
          <w:szCs w:val="20"/>
        </w:rPr>
        <w:t>Autour</w:t>
      </w:r>
      <w:proofErr w:type="spellEnd"/>
      <w:r w:rsidRPr="009D7635">
        <w:rPr>
          <w:rFonts w:ascii="Times New Roman" w:hAnsi="Times New Roman" w:cs="Times New Roman"/>
          <w:i/>
          <w:color w:val="000000" w:themeColor="text1"/>
          <w:sz w:val="20"/>
          <w:szCs w:val="20"/>
        </w:rPr>
        <w:t xml:space="preserve"> du </w:t>
      </w:r>
      <w:proofErr w:type="spellStart"/>
      <w:r w:rsidRPr="009D7635">
        <w:rPr>
          <w:rFonts w:ascii="Times New Roman" w:hAnsi="Times New Roman" w:cs="Times New Roman"/>
          <w:i/>
          <w:color w:val="000000" w:themeColor="text1"/>
          <w:sz w:val="20"/>
          <w:szCs w:val="20"/>
        </w:rPr>
        <w:t>décret</w:t>
      </w:r>
      <w:proofErr w:type="spellEnd"/>
      <w:r w:rsidRPr="009D7635">
        <w:rPr>
          <w:rFonts w:ascii="Times New Roman" w:hAnsi="Times New Roman" w:cs="Times New Roman"/>
          <w:i/>
          <w:color w:val="000000" w:themeColor="text1"/>
          <w:sz w:val="20"/>
          <w:szCs w:val="20"/>
        </w:rPr>
        <w:t xml:space="preserve"> de 1210</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74-5: </w:t>
      </w:r>
      <w:r w:rsidRPr="009D7635">
        <w:rPr>
          <w:rFonts w:ascii="Times New Roman" w:hAnsi="Times New Roman" w:cs="Times New Roman"/>
          <w:i/>
          <w:color w:val="000000" w:themeColor="text1"/>
          <w:sz w:val="20"/>
          <w:szCs w:val="20"/>
        </w:rPr>
        <w:t xml:space="preserve">Dixit Alexander quod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apud</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Aristotelem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tribus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modis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Unus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materialis</w:t>
      </w:r>
      <w:proofErr w:type="spellEnd"/>
      <w:r w:rsidRPr="009D7635">
        <w:rPr>
          <w:rFonts w:ascii="Times New Roman" w:hAnsi="Times New Roman" w:cs="Times New Roman"/>
          <w:i/>
          <w:color w:val="000000" w:themeColor="text1"/>
          <w:sz w:val="20"/>
          <w:szCs w:val="20"/>
        </w:rPr>
        <w:t>…</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autem</w:t>
      </w:r>
      <w:proofErr w:type="spellEnd"/>
      <w:r w:rsidRPr="009D7635">
        <w:rPr>
          <w:rFonts w:ascii="Times New Roman" w:hAnsi="Times New Roman" w:cs="Times New Roman"/>
          <w:i/>
          <w:color w:val="000000" w:themeColor="text1"/>
          <w:sz w:val="20"/>
          <w:szCs w:val="20"/>
        </w:rPr>
        <w:t xml:space="preserve"> qui </w:t>
      </w:r>
      <w:proofErr w:type="spellStart"/>
      <w:r w:rsidRPr="009D7635">
        <w:rPr>
          <w:rFonts w:ascii="Times New Roman" w:hAnsi="Times New Roman" w:cs="Times New Roman"/>
          <w:i/>
          <w:color w:val="000000" w:themeColor="text1"/>
          <w:sz w:val="20"/>
          <w:szCs w:val="20"/>
        </w:rPr>
        <w:t>nondum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intelligit</w:t>
      </w:r>
      <w:proofErr w:type="spellEnd"/>
      <w:r w:rsidRPr="009D7635">
        <w:rPr>
          <w:rFonts w:ascii="Times New Roman" w:hAnsi="Times New Roman" w:cs="Times New Roman"/>
          <w:i/>
          <w:color w:val="000000" w:themeColor="text1"/>
          <w:sz w:val="20"/>
          <w:szCs w:val="20"/>
        </w:rPr>
        <w:t xml:space="preserve">, sed </w:t>
      </w:r>
      <w:proofErr w:type="spellStart"/>
      <w:r w:rsidRPr="009D7635">
        <w:rPr>
          <w:rFonts w:ascii="Times New Roman" w:hAnsi="Times New Roman" w:cs="Times New Roman"/>
          <w:i/>
          <w:color w:val="000000" w:themeColor="text1"/>
          <w:sz w:val="20"/>
          <w:szCs w:val="20"/>
        </w:rPr>
        <w:t>possibile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ut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intelligat</w:t>
      </w:r>
      <w:proofErr w:type="spellEnd"/>
      <w:r w:rsidRPr="009D7635">
        <w:rPr>
          <w:rFonts w:ascii="Times New Roman" w:hAnsi="Times New Roman" w:cs="Times New Roman"/>
          <w:i/>
          <w:color w:val="000000" w:themeColor="text1"/>
          <w:sz w:val="20"/>
          <w:szCs w:val="20"/>
        </w:rPr>
        <w:t xml:space="preserve">. </w:t>
      </w:r>
    </w:p>
  </w:footnote>
  <w:footnote w:id="899">
    <w:p w14:paraId="0597591F"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Averroes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w:t>
      </w:r>
      <w:r w:rsidRPr="009D7635">
        <w:rPr>
          <w:rFonts w:ascii="Times New Roman" w:hAnsi="Times New Roman" w:cs="Times New Roman"/>
          <w:bCs/>
          <w:color w:val="000000" w:themeColor="text1"/>
        </w:rPr>
        <w:t>ed. F.S. Crawford</w:t>
      </w:r>
      <w:r w:rsidRPr="009D7635">
        <w:rPr>
          <w:rFonts w:ascii="Times New Roman" w:hAnsi="Times New Roman" w:cs="Times New Roman"/>
          <w:color w:val="000000" w:themeColor="text1"/>
        </w:rPr>
        <w:t>, 447-8.</w:t>
      </w:r>
    </w:p>
  </w:footnote>
  <w:footnote w:id="900">
    <w:p w14:paraId="1A429D2E" w14:textId="77777777"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shd w:val="clear" w:color="auto" w:fill="FFFFFF"/>
        </w:rPr>
        <w:t xml:space="preserve"> René</w:t>
      </w:r>
      <w:r w:rsidRPr="009D7635" w:rsidDel="001E5926">
        <w:rPr>
          <w:rFonts w:ascii="Times New Roman" w:hAnsi="Times New Roman" w:cs="Times New Roman"/>
          <w:color w:val="000000" w:themeColor="text1"/>
          <w:lang w:val="fr-FR"/>
        </w:rPr>
        <w:t xml:space="preserve"> </w:t>
      </w:r>
      <w:r w:rsidRPr="009D7635">
        <w:rPr>
          <w:rFonts w:ascii="Times New Roman" w:hAnsi="Times New Roman" w:cs="Times New Roman"/>
          <w:color w:val="000000" w:themeColor="text1"/>
          <w:lang w:val="fr-FR"/>
        </w:rPr>
        <w:t xml:space="preserve">A. Gauthier, ‘Le Traité </w:t>
      </w:r>
      <w:r w:rsidRPr="009D7635">
        <w:rPr>
          <w:rFonts w:ascii="Times New Roman" w:hAnsi="Times New Roman" w:cs="Times New Roman"/>
          <w:i/>
          <w:iCs/>
          <w:color w:val="000000" w:themeColor="text1"/>
          <w:lang w:val="fr-FR"/>
        </w:rPr>
        <w:t xml:space="preserve">De anima et </w:t>
      </w:r>
      <w:proofErr w:type="spellStart"/>
      <w:r w:rsidRPr="009D7635">
        <w:rPr>
          <w:rFonts w:ascii="Times New Roman" w:hAnsi="Times New Roman" w:cs="Times New Roman"/>
          <w:i/>
          <w:iCs/>
          <w:color w:val="000000" w:themeColor="text1"/>
          <w:lang w:val="fr-FR"/>
        </w:rPr>
        <w:t>potenciis</w:t>
      </w:r>
      <w:proofErr w:type="spellEnd"/>
      <w:r w:rsidRPr="009D7635">
        <w:rPr>
          <w:rFonts w:ascii="Times New Roman" w:hAnsi="Times New Roman" w:cs="Times New Roman"/>
          <w:i/>
          <w:iCs/>
          <w:color w:val="000000" w:themeColor="text1"/>
          <w:lang w:val="fr-FR"/>
        </w:rPr>
        <w:t xml:space="preserve"> </w:t>
      </w:r>
      <w:proofErr w:type="spellStart"/>
      <w:r w:rsidRPr="009D7635">
        <w:rPr>
          <w:rFonts w:ascii="Times New Roman" w:hAnsi="Times New Roman" w:cs="Times New Roman"/>
          <w:i/>
          <w:iCs/>
          <w:color w:val="000000" w:themeColor="text1"/>
          <w:lang w:val="fr-FR"/>
        </w:rPr>
        <w:t>eius</w:t>
      </w:r>
      <w:proofErr w:type="spellEnd"/>
      <w:r w:rsidRPr="009D7635">
        <w:rPr>
          <w:rFonts w:ascii="Times New Roman" w:hAnsi="Times New Roman" w:cs="Times New Roman"/>
          <w:color w:val="000000" w:themeColor="text1"/>
          <w:lang w:val="fr-FR"/>
        </w:rPr>
        <w:t>,’</w:t>
      </w:r>
      <w:r w:rsidRPr="009D7635">
        <w:rPr>
          <w:rFonts w:ascii="Times New Roman" w:hAnsi="Times New Roman" w:cs="Times New Roman"/>
          <w:color w:val="000000" w:themeColor="text1"/>
        </w:rPr>
        <w:t xml:space="preserve"> 14. </w:t>
      </w:r>
    </w:p>
  </w:footnote>
  <w:footnote w:id="901">
    <w:p w14:paraId="0894B9EB" w14:textId="36A0E9F9"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AD28DC" w:rsidRPr="009D7635">
        <w:rPr>
          <w:rFonts w:ascii="Times New Roman" w:hAnsi="Times New Roman" w:cs="Times New Roman"/>
          <w:color w:val="000000" w:themeColor="text1"/>
          <w:sz w:val="20"/>
          <w:szCs w:val="20"/>
          <w:shd w:val="clear" w:color="auto" w:fill="FFFFFF"/>
        </w:rPr>
        <w:t>Ibid.,</w:t>
      </w:r>
      <w:r w:rsidRPr="009D7635">
        <w:rPr>
          <w:rFonts w:ascii="Times New Roman" w:hAnsi="Times New Roman" w:cs="Times New Roman"/>
          <w:color w:val="000000" w:themeColor="text1"/>
          <w:sz w:val="20"/>
          <w:szCs w:val="20"/>
          <w:lang w:val="fr-FR"/>
        </w:rPr>
        <w:t xml:space="preserve"> </w:t>
      </w:r>
      <w:r w:rsidRPr="009D7635">
        <w:rPr>
          <w:rFonts w:ascii="Times New Roman" w:hAnsi="Times New Roman" w:cs="Times New Roman"/>
          <w:color w:val="000000" w:themeColor="text1"/>
          <w:sz w:val="20"/>
          <w:szCs w:val="20"/>
        </w:rPr>
        <w:t>25.</w:t>
      </w:r>
    </w:p>
  </w:footnote>
  <w:footnote w:id="902">
    <w:p w14:paraId="4CAD156E" w14:textId="6056D731"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bCs/>
          <w:color w:val="000000" w:themeColor="text1"/>
          <w:sz w:val="20"/>
          <w:szCs w:val="20"/>
        </w:rPr>
        <w:t xml:space="preserve">Nikolaus </w:t>
      </w:r>
      <w:proofErr w:type="spellStart"/>
      <w:r w:rsidRPr="009D7635">
        <w:rPr>
          <w:rFonts w:ascii="Times New Roman" w:hAnsi="Times New Roman" w:cs="Times New Roman"/>
          <w:bCs/>
          <w:color w:val="000000" w:themeColor="text1"/>
          <w:sz w:val="20"/>
          <w:szCs w:val="20"/>
        </w:rPr>
        <w:t>Wicki</w:t>
      </w:r>
      <w:proofErr w:type="spellEnd"/>
      <w:r w:rsidRPr="009D7635">
        <w:rPr>
          <w:rFonts w:ascii="Times New Roman" w:hAnsi="Times New Roman" w:cs="Times New Roman"/>
          <w:bCs/>
          <w:color w:val="000000" w:themeColor="text1"/>
          <w:sz w:val="20"/>
          <w:szCs w:val="20"/>
        </w:rPr>
        <w:t xml:space="preserve">, ‘Die </w:t>
      </w:r>
      <w:proofErr w:type="spellStart"/>
      <w:r w:rsidRPr="009D7635">
        <w:rPr>
          <w:rFonts w:ascii="Times New Roman" w:hAnsi="Times New Roman" w:cs="Times New Roman"/>
          <w:bCs/>
          <w:color w:val="000000" w:themeColor="text1"/>
          <w:sz w:val="20"/>
          <w:szCs w:val="20"/>
        </w:rPr>
        <w:t>intellectus</w:t>
      </w:r>
      <w:proofErr w:type="spellEnd"/>
      <w:r w:rsidRPr="009D7635">
        <w:rPr>
          <w:rFonts w:ascii="Times New Roman" w:hAnsi="Times New Roman" w:cs="Times New Roman"/>
          <w:bCs/>
          <w:color w:val="000000" w:themeColor="text1"/>
          <w:sz w:val="20"/>
          <w:szCs w:val="20"/>
        </w:rPr>
        <w:t xml:space="preserve"> </w:t>
      </w:r>
      <w:proofErr w:type="spellStart"/>
      <w:r w:rsidRPr="009D7635">
        <w:rPr>
          <w:rFonts w:ascii="Times New Roman" w:hAnsi="Times New Roman" w:cs="Times New Roman"/>
          <w:bCs/>
          <w:color w:val="000000" w:themeColor="text1"/>
          <w:sz w:val="20"/>
          <w:szCs w:val="20"/>
        </w:rPr>
        <w:t>agens-Lehre</w:t>
      </w:r>
      <w:proofErr w:type="spellEnd"/>
      <w:r w:rsidRPr="009D7635">
        <w:rPr>
          <w:rFonts w:ascii="Times New Roman" w:hAnsi="Times New Roman" w:cs="Times New Roman"/>
          <w:bCs/>
          <w:color w:val="000000" w:themeColor="text1"/>
          <w:sz w:val="20"/>
          <w:szCs w:val="20"/>
        </w:rPr>
        <w:t xml:space="preserve"> Philipps des </w:t>
      </w:r>
      <w:proofErr w:type="spellStart"/>
      <w:r w:rsidRPr="009D7635">
        <w:rPr>
          <w:rFonts w:ascii="Times New Roman" w:hAnsi="Times New Roman" w:cs="Times New Roman"/>
          <w:bCs/>
          <w:color w:val="000000" w:themeColor="text1"/>
          <w:sz w:val="20"/>
          <w:szCs w:val="20"/>
        </w:rPr>
        <w:t>Kanzlers</w:t>
      </w:r>
      <w:proofErr w:type="spellEnd"/>
      <w:r w:rsidRPr="009D7635">
        <w:rPr>
          <w:rFonts w:ascii="Times New Roman" w:hAnsi="Times New Roman" w:cs="Times New Roman"/>
          <w:bCs/>
          <w:color w:val="000000" w:themeColor="text1"/>
          <w:sz w:val="20"/>
          <w:szCs w:val="20"/>
        </w:rPr>
        <w:t xml:space="preserve"> (d. 1236),’ in </w:t>
      </w:r>
      <w:r w:rsidRPr="009D7635">
        <w:rPr>
          <w:rFonts w:ascii="Times New Roman" w:hAnsi="Times New Roman" w:cs="Times New Roman"/>
          <w:bCs/>
          <w:i/>
          <w:color w:val="000000" w:themeColor="text1"/>
          <w:sz w:val="20"/>
          <w:szCs w:val="20"/>
        </w:rPr>
        <w:t xml:space="preserve">Festschrift </w:t>
      </w:r>
      <w:proofErr w:type="spellStart"/>
      <w:r w:rsidRPr="009D7635">
        <w:rPr>
          <w:rFonts w:ascii="Times New Roman" w:hAnsi="Times New Roman" w:cs="Times New Roman"/>
          <w:bCs/>
          <w:i/>
          <w:color w:val="000000" w:themeColor="text1"/>
          <w:sz w:val="20"/>
          <w:szCs w:val="20"/>
        </w:rPr>
        <w:t>für</w:t>
      </w:r>
      <w:proofErr w:type="spellEnd"/>
      <w:r w:rsidRPr="009D7635">
        <w:rPr>
          <w:rFonts w:ascii="Times New Roman" w:hAnsi="Times New Roman" w:cs="Times New Roman"/>
          <w:bCs/>
          <w:i/>
          <w:color w:val="000000" w:themeColor="text1"/>
          <w:sz w:val="20"/>
          <w:szCs w:val="20"/>
        </w:rPr>
        <w:t xml:space="preserve"> Martin Anton Schmidt</w:t>
      </w:r>
      <w:r w:rsidRPr="009D7635">
        <w:rPr>
          <w:rFonts w:ascii="Times New Roman" w:hAnsi="Times New Roman" w:cs="Times New Roman"/>
          <w:bCs/>
          <w:color w:val="000000" w:themeColor="text1"/>
          <w:sz w:val="20"/>
          <w:szCs w:val="20"/>
        </w:rPr>
        <w:t xml:space="preserve"> (Basel: Friedrich Reinhardt, 1989), 172.</w:t>
      </w:r>
    </w:p>
  </w:footnote>
  <w:footnote w:id="903">
    <w:p w14:paraId="271C0B7B" w14:textId="77777777" w:rsidR="00B93ED5" w:rsidRPr="009D7635" w:rsidRDefault="00B93ED5" w:rsidP="00255546">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Herbert A. Davidson, </w:t>
      </w:r>
      <w:proofErr w:type="spellStart"/>
      <w:r w:rsidRPr="009D7635">
        <w:rPr>
          <w:rFonts w:ascii="Times New Roman" w:hAnsi="Times New Roman" w:cs="Times New Roman"/>
          <w:i/>
          <w:color w:val="000000" w:themeColor="text1"/>
          <w:sz w:val="20"/>
          <w:szCs w:val="20"/>
          <w:lang w:val="en-US"/>
        </w:rPr>
        <w:t>Alfarabi</w:t>
      </w:r>
      <w:proofErr w:type="spellEnd"/>
      <w:r w:rsidRPr="009D7635">
        <w:rPr>
          <w:rFonts w:ascii="Times New Roman" w:hAnsi="Times New Roman" w:cs="Times New Roman"/>
          <w:i/>
          <w:color w:val="000000" w:themeColor="text1"/>
          <w:sz w:val="20"/>
          <w:szCs w:val="20"/>
          <w:lang w:val="en-US"/>
        </w:rPr>
        <w:t xml:space="preserve">, Avicenna, and </w:t>
      </w:r>
      <w:proofErr w:type="spellStart"/>
      <w:r w:rsidRPr="009D7635">
        <w:rPr>
          <w:rFonts w:ascii="Times New Roman" w:hAnsi="Times New Roman" w:cs="Times New Roman"/>
          <w:i/>
          <w:color w:val="000000" w:themeColor="text1"/>
          <w:sz w:val="20"/>
          <w:szCs w:val="20"/>
          <w:lang w:val="en-US"/>
        </w:rPr>
        <w:t>Averroes</w:t>
      </w:r>
      <w:proofErr w:type="spellEnd"/>
      <w:r w:rsidRPr="009D7635">
        <w:rPr>
          <w:rFonts w:ascii="Times New Roman" w:hAnsi="Times New Roman" w:cs="Times New Roman"/>
          <w:i/>
          <w:color w:val="000000" w:themeColor="text1"/>
          <w:sz w:val="20"/>
          <w:szCs w:val="20"/>
          <w:lang w:val="en-US"/>
        </w:rPr>
        <w:t xml:space="preserve"> on Intellect, </w:t>
      </w:r>
      <w:r w:rsidRPr="009D7635">
        <w:rPr>
          <w:rFonts w:ascii="Times New Roman" w:hAnsi="Times New Roman" w:cs="Times New Roman"/>
          <w:color w:val="000000" w:themeColor="text1"/>
          <w:sz w:val="20"/>
          <w:szCs w:val="20"/>
        </w:rPr>
        <w:t xml:space="preserve">10: While the potential and material intellect appear in Avicenna, they have a much more central role in </w:t>
      </w:r>
      <w:proofErr w:type="spellStart"/>
      <w:r w:rsidRPr="009D7635">
        <w:rPr>
          <w:rFonts w:ascii="Times New Roman" w:hAnsi="Times New Roman" w:cs="Times New Roman"/>
          <w:color w:val="000000" w:themeColor="text1"/>
          <w:sz w:val="20"/>
          <w:szCs w:val="20"/>
        </w:rPr>
        <w:t>Averroes</w:t>
      </w:r>
      <w:proofErr w:type="spellEnd"/>
      <w:r w:rsidRPr="009D7635">
        <w:rPr>
          <w:rFonts w:ascii="Times New Roman" w:hAnsi="Times New Roman" w:cs="Times New Roman"/>
          <w:color w:val="000000" w:themeColor="text1"/>
          <w:sz w:val="20"/>
          <w:szCs w:val="20"/>
        </w:rPr>
        <w:t>.</w:t>
      </w:r>
    </w:p>
  </w:footnote>
  <w:footnote w:id="904">
    <w:p w14:paraId="79F14473" w14:textId="6A0ADD04" w:rsidR="00B93ED5" w:rsidRPr="009D7635" w:rsidRDefault="00B93ED5" w:rsidP="00255546">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 Carlos Bazán, ‘Was There Ever a First </w:t>
      </w:r>
      <w:proofErr w:type="spellStart"/>
      <w:r w:rsidRPr="009D7635">
        <w:rPr>
          <w:rFonts w:ascii="Times New Roman" w:hAnsi="Times New Roman" w:cs="Times New Roman"/>
          <w:color w:val="000000" w:themeColor="text1"/>
        </w:rPr>
        <w:t>Averroism</w:t>
      </w:r>
      <w:proofErr w:type="spellEnd"/>
      <w:r w:rsidRPr="009D7635">
        <w:rPr>
          <w:rFonts w:ascii="Times New Roman" w:hAnsi="Times New Roman" w:cs="Times New Roman"/>
          <w:color w:val="000000" w:themeColor="text1"/>
        </w:rPr>
        <w:t xml:space="preserve">?’ 44. </w:t>
      </w:r>
    </w:p>
  </w:footnote>
  <w:footnote w:id="905">
    <w:p w14:paraId="37DBD6A8" w14:textId="3F737048" w:rsidR="00B93ED5" w:rsidRPr="009D7635" w:rsidRDefault="00B93ED5" w:rsidP="00255546">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Dominique H. Salman, O.P., ‘Jean de La Rochelle et les débuts de </w:t>
      </w:r>
      <w:proofErr w:type="spellStart"/>
      <w:r w:rsidRPr="009D7635">
        <w:rPr>
          <w:rFonts w:ascii="Times New Roman" w:hAnsi="Times New Roman" w:cs="Times New Roman"/>
          <w:color w:val="000000" w:themeColor="text1"/>
          <w:sz w:val="20"/>
          <w:szCs w:val="20"/>
        </w:rPr>
        <w:t>l’Averroisme</w:t>
      </w:r>
      <w:proofErr w:type="spellEnd"/>
      <w:r w:rsidRPr="009D7635">
        <w:rPr>
          <w:rFonts w:ascii="Times New Roman" w:hAnsi="Times New Roman" w:cs="Times New Roman"/>
          <w:color w:val="000000" w:themeColor="text1"/>
          <w:sz w:val="20"/>
          <w:szCs w:val="20"/>
        </w:rPr>
        <w:t xml:space="preserve"> Latin,’ 204. Theodore Crowley, </w:t>
      </w:r>
      <w:r w:rsidRPr="009D7635">
        <w:rPr>
          <w:rFonts w:ascii="Times New Roman" w:hAnsi="Times New Roman" w:cs="Times New Roman"/>
          <w:i/>
          <w:color w:val="000000" w:themeColor="text1"/>
          <w:sz w:val="20"/>
          <w:szCs w:val="20"/>
        </w:rPr>
        <w:t>Roger Bacon</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164</w:t>
      </w:r>
      <w:r w:rsidR="00C559BA"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Fernand</w:t>
      </w:r>
      <w:proofErr w:type="spellEnd"/>
      <w:r w:rsidRPr="009D7635">
        <w:rPr>
          <w:rFonts w:ascii="Times New Roman" w:hAnsi="Times New Roman" w:cs="Times New Roman"/>
          <w:color w:val="000000" w:themeColor="text1"/>
          <w:sz w:val="20"/>
          <w:szCs w:val="20"/>
        </w:rPr>
        <w:t xml:space="preserve"> Van </w:t>
      </w:r>
      <w:proofErr w:type="spellStart"/>
      <w:r w:rsidRPr="009D7635">
        <w:rPr>
          <w:rFonts w:ascii="Times New Roman" w:hAnsi="Times New Roman" w:cs="Times New Roman"/>
          <w:color w:val="000000" w:themeColor="text1"/>
          <w:sz w:val="20"/>
          <w:szCs w:val="20"/>
        </w:rPr>
        <w:t>Steenberghen</w:t>
      </w:r>
      <w:proofErr w:type="spellEnd"/>
      <w:r w:rsidRPr="009D7635">
        <w:rPr>
          <w:rFonts w:ascii="Times New Roman" w:hAnsi="Times New Roman" w:cs="Times New Roman"/>
          <w:color w:val="000000" w:themeColor="text1"/>
          <w:sz w:val="20"/>
          <w:szCs w:val="20"/>
        </w:rPr>
        <w:t xml:space="preserve"> in ‘</w:t>
      </w:r>
      <w:r w:rsidRPr="009D7635">
        <w:rPr>
          <w:rFonts w:ascii="Times New Roman" w:hAnsi="Times New Roman" w:cs="Times New Roman"/>
          <w:color w:val="000000" w:themeColor="text1"/>
          <w:sz w:val="20"/>
          <w:szCs w:val="20"/>
          <w:shd w:val="clear" w:color="auto" w:fill="FFFFFF"/>
        </w:rPr>
        <w:t>Maître</w:t>
      </w:r>
      <w:r w:rsidRPr="009D7635">
        <w:rPr>
          <w:rStyle w:val="apple-converted-space"/>
          <w:rFonts w:ascii="Times New Roman" w:hAnsi="Times New Roman" w:cs="Times New Roman"/>
          <w:color w:val="000000" w:themeColor="text1"/>
          <w:sz w:val="20"/>
          <w:szCs w:val="20"/>
          <w:shd w:val="clear" w:color="auto" w:fill="FFFFFF"/>
        </w:rPr>
        <w:t> </w:t>
      </w:r>
      <w:proofErr w:type="spellStart"/>
      <w:r w:rsidRPr="009D7635">
        <w:rPr>
          <w:rStyle w:val="Emphasis"/>
          <w:rFonts w:ascii="Times New Roman" w:hAnsi="Times New Roman" w:cs="Times New Roman"/>
          <w:bCs/>
          <w:color w:val="000000" w:themeColor="text1"/>
          <w:sz w:val="20"/>
          <w:szCs w:val="20"/>
        </w:rPr>
        <w:t>Siger</w:t>
      </w:r>
      <w:proofErr w:type="spellEnd"/>
      <w:r w:rsidRPr="009D7635">
        <w:rPr>
          <w:rStyle w:val="Emphasis"/>
          <w:rFonts w:ascii="Times New Roman" w:hAnsi="Times New Roman" w:cs="Times New Roman"/>
          <w:bCs/>
          <w:color w:val="000000" w:themeColor="text1"/>
          <w:sz w:val="20"/>
          <w:szCs w:val="20"/>
        </w:rPr>
        <w:t xml:space="preserve"> de Brabant</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shd w:val="clear" w:color="auto" w:fill="FFFFFF"/>
        </w:rPr>
        <w:t xml:space="preserve">Laval </w:t>
      </w:r>
      <w:proofErr w:type="spellStart"/>
      <w:r w:rsidRPr="009D7635">
        <w:rPr>
          <w:rFonts w:ascii="Times New Roman" w:hAnsi="Times New Roman" w:cs="Times New Roman"/>
          <w:i/>
          <w:color w:val="000000" w:themeColor="text1"/>
          <w:sz w:val="20"/>
          <w:szCs w:val="20"/>
          <w:shd w:val="clear" w:color="auto" w:fill="FFFFFF"/>
        </w:rPr>
        <w:t>théologique</w:t>
      </w:r>
      <w:proofErr w:type="spellEnd"/>
      <w:r w:rsidRPr="009D7635">
        <w:rPr>
          <w:rFonts w:ascii="Times New Roman" w:hAnsi="Times New Roman" w:cs="Times New Roman"/>
          <w:i/>
          <w:color w:val="000000" w:themeColor="text1"/>
          <w:sz w:val="20"/>
          <w:szCs w:val="20"/>
          <w:shd w:val="clear" w:color="auto" w:fill="FFFFFF"/>
        </w:rPr>
        <w:t xml:space="preserve"> et </w:t>
      </w:r>
      <w:proofErr w:type="spellStart"/>
      <w:r w:rsidRPr="009D7635">
        <w:rPr>
          <w:rFonts w:ascii="Times New Roman" w:hAnsi="Times New Roman" w:cs="Times New Roman"/>
          <w:i/>
          <w:color w:val="000000" w:themeColor="text1"/>
          <w:sz w:val="20"/>
          <w:szCs w:val="20"/>
          <w:shd w:val="clear" w:color="auto" w:fill="FFFFFF"/>
        </w:rPr>
        <w:t>philosophique</w:t>
      </w:r>
      <w:proofErr w:type="spellEnd"/>
      <w:r w:rsidRPr="009D7635">
        <w:rPr>
          <w:rFonts w:ascii="Times New Roman" w:hAnsi="Times New Roman" w:cs="Times New Roman"/>
          <w:color w:val="000000" w:themeColor="text1"/>
          <w:sz w:val="20"/>
          <w:szCs w:val="20"/>
          <w:shd w:val="clear" w:color="auto" w:fill="FFFFFF"/>
        </w:rPr>
        <w:t xml:space="preserve"> 35:1 (1979)</w:t>
      </w:r>
      <w:r w:rsidR="00605CDA" w:rsidRPr="009D7635">
        <w:rPr>
          <w:rFonts w:ascii="Times New Roman" w:hAnsi="Times New Roman" w:cs="Times New Roman"/>
          <w:color w:val="000000" w:themeColor="text1"/>
          <w:sz w:val="20"/>
          <w:szCs w:val="20"/>
          <w:shd w:val="clear" w:color="auto" w:fill="FFFFFF"/>
        </w:rPr>
        <w:t>:</w:t>
      </w:r>
      <w:r w:rsidRPr="009D7635">
        <w:rPr>
          <w:rFonts w:ascii="Times New Roman" w:hAnsi="Times New Roman" w:cs="Times New Roman"/>
          <w:color w:val="000000" w:themeColor="text1"/>
          <w:sz w:val="20"/>
          <w:szCs w:val="20"/>
          <w:shd w:val="clear" w:color="auto" w:fill="FFFFFF"/>
        </w:rPr>
        <w:t xml:space="preserve"> 3-112. </w:t>
      </w:r>
    </w:p>
  </w:footnote>
  <w:footnote w:id="906">
    <w:p w14:paraId="2932BF84" w14:textId="0627B5A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‘Alexandre de </w:t>
      </w:r>
      <w:proofErr w:type="spellStart"/>
      <w:r w:rsidRPr="009D7635">
        <w:rPr>
          <w:rFonts w:ascii="Times New Roman" w:hAnsi="Times New Roman" w:cs="Times New Roman"/>
          <w:color w:val="000000" w:themeColor="text1"/>
        </w:rPr>
        <w:t>Halés</w:t>
      </w:r>
      <w:proofErr w:type="spellEnd"/>
      <w:r w:rsidRPr="009D7635">
        <w:rPr>
          <w:rFonts w:ascii="Times New Roman" w:hAnsi="Times New Roman" w:cs="Times New Roman"/>
          <w:color w:val="000000" w:themeColor="text1"/>
        </w:rPr>
        <w:t xml:space="preserve"> et la </w:t>
      </w:r>
      <w:r w:rsidRPr="009D7635">
        <w:rPr>
          <w:rFonts w:ascii="Times New Roman" w:hAnsi="Times New Roman" w:cs="Times New Roman"/>
          <w:i/>
          <w:color w:val="000000" w:themeColor="text1"/>
        </w:rPr>
        <w:t>Summa de anima</w:t>
      </w:r>
      <w:r w:rsidRPr="009D7635">
        <w:rPr>
          <w:rFonts w:ascii="Times New Roman" w:hAnsi="Times New Roman" w:cs="Times New Roman"/>
          <w:color w:val="000000" w:themeColor="text1"/>
        </w:rPr>
        <w:t xml:space="preserve"> de Jean de la Rochelle,’ </w:t>
      </w:r>
      <w:proofErr w:type="spellStart"/>
      <w:r w:rsidR="009E59AB" w:rsidRPr="004746EC">
        <w:rPr>
          <w:rFonts w:ascii="Times New Roman" w:hAnsi="Times New Roman" w:cs="Times New Roman"/>
          <w:i/>
          <w:iCs/>
          <w:color w:val="000000" w:themeColor="text1"/>
        </w:rPr>
        <w:t>Recherches</w:t>
      </w:r>
      <w:proofErr w:type="spellEnd"/>
      <w:r w:rsidR="009E59AB" w:rsidRPr="004746EC">
        <w:rPr>
          <w:rFonts w:ascii="Times New Roman" w:hAnsi="Times New Roman" w:cs="Times New Roman"/>
          <w:i/>
          <w:iCs/>
          <w:color w:val="000000" w:themeColor="text1"/>
        </w:rPr>
        <w:t xml:space="preserve"> de </w:t>
      </w:r>
      <w:proofErr w:type="spellStart"/>
      <w:r w:rsidR="009E59AB" w:rsidRPr="004746EC">
        <w:rPr>
          <w:rFonts w:ascii="Times New Roman" w:hAnsi="Times New Roman" w:cs="Times New Roman"/>
          <w:i/>
          <w:iCs/>
          <w:color w:val="000000" w:themeColor="text1"/>
        </w:rPr>
        <w:t>théologie</w:t>
      </w:r>
      <w:proofErr w:type="spellEnd"/>
      <w:r w:rsidR="009E59AB" w:rsidRPr="004746EC">
        <w:rPr>
          <w:rFonts w:ascii="Times New Roman" w:hAnsi="Times New Roman" w:cs="Times New Roman"/>
          <w:i/>
          <w:iCs/>
          <w:color w:val="000000" w:themeColor="text1"/>
        </w:rPr>
        <w:t xml:space="preserve"> </w:t>
      </w:r>
      <w:proofErr w:type="spellStart"/>
      <w:r w:rsidR="009E59AB" w:rsidRPr="004746EC">
        <w:rPr>
          <w:rFonts w:ascii="Times New Roman" w:hAnsi="Times New Roman" w:cs="Times New Roman"/>
          <w:i/>
          <w:iCs/>
          <w:color w:val="000000" w:themeColor="text1"/>
        </w:rPr>
        <w:t>ancienne</w:t>
      </w:r>
      <w:proofErr w:type="spellEnd"/>
      <w:r w:rsidR="009E59AB" w:rsidRPr="004746EC">
        <w:rPr>
          <w:rFonts w:ascii="Times New Roman" w:hAnsi="Times New Roman" w:cs="Times New Roman"/>
          <w:i/>
          <w:iCs/>
          <w:color w:val="000000" w:themeColor="text1"/>
        </w:rPr>
        <w:t xml:space="preserve"> et </w:t>
      </w:r>
      <w:proofErr w:type="spellStart"/>
      <w:r w:rsidR="009E59AB" w:rsidRPr="004746EC">
        <w:rPr>
          <w:rFonts w:ascii="Times New Roman" w:hAnsi="Times New Roman" w:cs="Times New Roman"/>
          <w:i/>
          <w:iCs/>
          <w:color w:val="000000" w:themeColor="text1"/>
        </w:rPr>
        <w:t>médiévale</w:t>
      </w:r>
      <w:proofErr w:type="spellEnd"/>
      <w:r w:rsidR="009E59AB">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2 (1930)</w:t>
      </w:r>
      <w:r w:rsidR="001032B1"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396-409. </w:t>
      </w:r>
    </w:p>
  </w:footnote>
  <w:footnote w:id="907">
    <w:p w14:paraId="1AE9EF84" w14:textId="24A734A9"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Tr3, Q1, Ti2, D1, 685-98</w:t>
      </w:r>
      <w:r w:rsidR="00C71DB7"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w:t>
      </w:r>
    </w:p>
  </w:footnote>
  <w:footnote w:id="908">
    <w:p w14:paraId="1B965626" w14:textId="7884F769"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 section on this topic is included in the treatise entitled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coniuncto</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which was one of a few sections added to the </w:t>
      </w:r>
      <w:r w:rsidRPr="009D7635">
        <w:rPr>
          <w:rFonts w:ascii="Times New Roman" w:hAnsi="Times New Roman" w:cs="Times New Roman"/>
          <w:i/>
          <w:color w:val="000000" w:themeColor="text1"/>
        </w:rPr>
        <w:t xml:space="preserve">Summa </w:t>
      </w:r>
      <w:proofErr w:type="spellStart"/>
      <w:r w:rsidRPr="009D7635">
        <w:rPr>
          <w:rFonts w:ascii="Times New Roman" w:hAnsi="Times New Roman" w:cs="Times New Roman"/>
          <w:i/>
          <w:color w:val="000000" w:themeColor="text1"/>
        </w:rPr>
        <w:t>Halensis</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in 1255-6 by William of </w:t>
      </w:r>
      <w:proofErr w:type="spellStart"/>
      <w:r w:rsidRPr="009D7635">
        <w:rPr>
          <w:rFonts w:ascii="Times New Roman" w:hAnsi="Times New Roman" w:cs="Times New Roman"/>
          <w:color w:val="000000" w:themeColor="text1"/>
        </w:rPr>
        <w:t>Melitona</w:t>
      </w:r>
      <w:proofErr w:type="spellEnd"/>
      <w:r w:rsidRPr="009D7635">
        <w:rPr>
          <w:rFonts w:ascii="Times New Roman" w:hAnsi="Times New Roman" w:cs="Times New Roman"/>
          <w:color w:val="000000" w:themeColor="text1"/>
        </w:rPr>
        <w:t xml:space="preserve"> and his team. This section can be found in</w:t>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Tr3, 631-98.</w:t>
      </w:r>
    </w:p>
  </w:footnote>
  <w:footnote w:id="909">
    <w:p w14:paraId="7173B64F" w14:textId="5A335452"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This topic is</w:t>
      </w:r>
      <w:r w:rsidR="00246D99" w:rsidRPr="009D7635">
        <w:rPr>
          <w:rFonts w:ascii="Times New Roman" w:hAnsi="Times New Roman" w:cs="Times New Roman"/>
          <w:color w:val="000000" w:themeColor="text1"/>
        </w:rPr>
        <w:t xml:space="preserve"> also</w:t>
      </w:r>
      <w:r w:rsidRPr="009D7635">
        <w:rPr>
          <w:rFonts w:ascii="Times New Roman" w:hAnsi="Times New Roman" w:cs="Times New Roman"/>
          <w:color w:val="000000" w:themeColor="text1"/>
        </w:rPr>
        <w:t xml:space="preserve"> dealt with to some extent in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coniuncto</w:t>
      </w:r>
      <w:proofErr w:type="spellEnd"/>
      <w:r w:rsidRPr="009D7635">
        <w:rPr>
          <w:rFonts w:ascii="Times New Roman" w:hAnsi="Times New Roman" w:cs="Times New Roman"/>
          <w:color w:val="000000" w:themeColor="text1"/>
        </w:rPr>
        <w:t>,</w:t>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Tr3, 631-98.</w:t>
      </w:r>
    </w:p>
  </w:footnote>
  <w:footnote w:id="910">
    <w:p w14:paraId="7F25F1FA" w14:textId="201DE39A"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S2, Q2, Ti1, M2, 434, quoting DSEA 4 and 11.</w:t>
      </w:r>
    </w:p>
  </w:footnote>
  <w:footnote w:id="911">
    <w:p w14:paraId="6DC0F8A2" w14:textId="7007351D"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Q2, Ti1, M1, C2,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432.</w:t>
      </w:r>
    </w:p>
  </w:footnote>
  <w:footnote w:id="912">
    <w:p w14:paraId="1F0F3F96" w14:textId="540981C0" w:rsidR="00B93ED5" w:rsidRPr="009D7635" w:rsidRDefault="00B93ED5" w:rsidP="00E212D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C3, Ar2,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456: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circa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sensibiles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praesente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imaginatio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circa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absente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 xml:space="preserve">; ratio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circa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intelligibiles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inventas</w:t>
      </w:r>
      <w:proofErr w:type="spellEnd"/>
      <w:r w:rsidRPr="009D7635">
        <w:rPr>
          <w:rFonts w:ascii="Times New Roman" w:hAnsi="Times New Roman" w:cs="Times New Roman"/>
          <w:i/>
          <w:color w:val="000000" w:themeColor="text1"/>
          <w:sz w:val="20"/>
          <w:szCs w:val="20"/>
          <w:lang w:val="en-US"/>
        </w:rPr>
        <w:t xml:space="preserve"> in rebus </w:t>
      </w:r>
      <w:proofErr w:type="spellStart"/>
      <w:r w:rsidRPr="009D7635">
        <w:rPr>
          <w:rFonts w:ascii="Times New Roman" w:hAnsi="Times New Roman" w:cs="Times New Roman"/>
          <w:i/>
          <w:color w:val="000000" w:themeColor="text1"/>
          <w:sz w:val="20"/>
          <w:szCs w:val="20"/>
          <w:lang w:val="en-US"/>
        </w:rPr>
        <w:t>sensibilibus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memoria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cognitiva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praeteritorum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quod</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sensit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ratione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comprehendit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creatarum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separatarum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sensibilibus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divinorum</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See also</w:t>
      </w:r>
      <w:r w:rsidR="009665BD" w:rsidRPr="009D7635">
        <w:rPr>
          <w:rFonts w:ascii="Times New Roman" w:hAnsi="Times New Roman" w:cs="Times New Roman"/>
          <w:color w:val="000000" w:themeColor="text1"/>
          <w:sz w:val="20"/>
          <w:szCs w:val="20"/>
          <w:lang w:val="en-US"/>
        </w:rPr>
        <w:t xml:space="preserve"> SH </w:t>
      </w:r>
      <w:r w:rsidRPr="009D7635">
        <w:rPr>
          <w:rFonts w:ascii="Times New Roman" w:hAnsi="Times New Roman" w:cs="Times New Roman"/>
          <w:color w:val="000000" w:themeColor="text1"/>
          <w:sz w:val="20"/>
          <w:szCs w:val="20"/>
        </w:rPr>
        <w:t xml:space="preserve">2.1, In4, Tr1, S2, Q2, Ti1, M1, C2, 2, 435, quoting DSEA 11: </w:t>
      </w:r>
      <w:proofErr w:type="spellStart"/>
      <w:r w:rsidRPr="009D7635">
        <w:rPr>
          <w:rFonts w:ascii="Times New Roman" w:hAnsi="Times New Roman" w:cs="Times New Roman"/>
          <w:i/>
          <w:color w:val="000000" w:themeColor="text1"/>
          <w:sz w:val="20"/>
          <w:szCs w:val="20"/>
          <w:lang w:val="en-US"/>
        </w:rPr>
        <w:t>Imaginatio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animae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corporeas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corporearum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percipit</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absentes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sive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absente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‘I</w:t>
      </w:r>
      <w:proofErr w:type="spellStart"/>
      <w:r w:rsidRPr="009D7635">
        <w:rPr>
          <w:rFonts w:ascii="Times New Roman" w:hAnsi="Times New Roman" w:cs="Times New Roman"/>
          <w:color w:val="000000" w:themeColor="text1"/>
          <w:sz w:val="20"/>
          <w:szCs w:val="20"/>
        </w:rPr>
        <w:t>magination</w:t>
      </w:r>
      <w:proofErr w:type="spellEnd"/>
      <w:r w:rsidRPr="009D7635">
        <w:rPr>
          <w:rFonts w:ascii="Times New Roman" w:hAnsi="Times New Roman" w:cs="Times New Roman"/>
          <w:color w:val="000000" w:themeColor="text1"/>
          <w:sz w:val="20"/>
          <w:szCs w:val="20"/>
        </w:rPr>
        <w:t xml:space="preserve"> is the power of the soul which perceives the corporeal forms of corporeal things, but absent or in abstraction from matter.’</w:t>
      </w:r>
    </w:p>
  </w:footnote>
  <w:footnote w:id="913">
    <w:p w14:paraId="27072427"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Saint John Damascene, 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
          <w:color w:val="000000" w:themeColor="text1"/>
        </w:rPr>
        <w:t xml:space="preserve">: Versions of </w:t>
      </w:r>
      <w:proofErr w:type="spellStart"/>
      <w:r w:rsidRPr="009D7635">
        <w:rPr>
          <w:rFonts w:ascii="Times New Roman" w:hAnsi="Times New Roman" w:cs="Times New Roman"/>
          <w:i/>
          <w:color w:val="000000" w:themeColor="text1"/>
        </w:rPr>
        <w:t>Burgundio</w:t>
      </w:r>
      <w:proofErr w:type="spellEnd"/>
      <w:r w:rsidRPr="009D7635">
        <w:rPr>
          <w:rFonts w:ascii="Times New Roman" w:hAnsi="Times New Roman" w:cs="Times New Roman"/>
          <w:i/>
          <w:color w:val="000000" w:themeColor="text1"/>
        </w:rPr>
        <w:t xml:space="preserve"> and </w:t>
      </w:r>
      <w:proofErr w:type="spellStart"/>
      <w:r w:rsidRPr="009D7635">
        <w:rPr>
          <w:rFonts w:ascii="Times New Roman" w:hAnsi="Times New Roman" w:cs="Times New Roman"/>
          <w:i/>
          <w:color w:val="000000" w:themeColor="text1"/>
        </w:rPr>
        <w:t>Cerbanus</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Eligius</w:t>
      </w:r>
      <w:proofErr w:type="spellEnd"/>
      <w:r w:rsidRPr="009D7635">
        <w:rPr>
          <w:rFonts w:ascii="Times New Roman" w:hAnsi="Times New Roman" w:cs="Times New Roman"/>
          <w:color w:val="000000" w:themeColor="text1"/>
        </w:rPr>
        <w:t xml:space="preserve"> M. </w:t>
      </w:r>
      <w:proofErr w:type="spellStart"/>
      <w:r w:rsidRPr="009D7635">
        <w:rPr>
          <w:rFonts w:ascii="Times New Roman" w:hAnsi="Times New Roman" w:cs="Times New Roman"/>
          <w:color w:val="000000" w:themeColor="text1"/>
        </w:rPr>
        <w:t>Buytaert</w:t>
      </w:r>
      <w:proofErr w:type="spellEnd"/>
      <w:r w:rsidRPr="009D7635">
        <w:rPr>
          <w:rFonts w:ascii="Times New Roman" w:hAnsi="Times New Roman" w:cs="Times New Roman"/>
          <w:color w:val="000000" w:themeColor="text1"/>
        </w:rPr>
        <w:t xml:space="preserve"> (St Bonaventure: Franciscan Institute, 1955), II, 17, 19, 20. </w:t>
      </w:r>
    </w:p>
  </w:footnote>
  <w:footnote w:id="914">
    <w:p w14:paraId="5802AAA8" w14:textId="65925E65"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S2, Q2, Ti1, M2, C1, b, 434.</w:t>
      </w:r>
    </w:p>
  </w:footnote>
  <w:footnote w:id="915">
    <w:p w14:paraId="7959DB99" w14:textId="1215F2C1"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S2, Q2, Ti1, M2, 434.</w:t>
      </w:r>
    </w:p>
  </w:footnote>
  <w:footnote w:id="916">
    <w:p w14:paraId="074A845B" w14:textId="1EDD73B5"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Q2, Ti1, M2, C1,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435.</w:t>
      </w:r>
    </w:p>
  </w:footnote>
  <w:footnote w:id="917">
    <w:p w14:paraId="50C44FA1"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Citing Avicenna’s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IV.1 and IV.2.</w:t>
      </w:r>
    </w:p>
  </w:footnote>
  <w:footnote w:id="918">
    <w:p w14:paraId="162FB2A6" w14:textId="69FE8B96"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Q2, Ti1, M2, C4, A2,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439.</w:t>
      </w:r>
    </w:p>
  </w:footnote>
  <w:footnote w:id="919">
    <w:p w14:paraId="3EE55801" w14:textId="1070EF16"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S2, Q2, Ti1, M1, C2, Contra 1, 435.</w:t>
      </w:r>
    </w:p>
  </w:footnote>
  <w:footnote w:id="920">
    <w:p w14:paraId="7F6E060F" w14:textId="6D736E65" w:rsidR="00B93ED5" w:rsidRPr="009D7635" w:rsidRDefault="00B93ED5" w:rsidP="00E212D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Q2, Ti1, M2, C2,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436, citing Avicenna, </w:t>
      </w:r>
      <w:r w:rsidRPr="009D7635">
        <w:rPr>
          <w:rFonts w:ascii="Times New Roman" w:hAnsi="Times New Roman" w:cs="Times New Roman"/>
          <w:i/>
          <w:color w:val="000000" w:themeColor="text1"/>
          <w:sz w:val="20"/>
          <w:szCs w:val="20"/>
        </w:rPr>
        <w:t xml:space="preserve">De anima </w:t>
      </w:r>
      <w:r w:rsidRPr="009D7635">
        <w:rPr>
          <w:rFonts w:ascii="Times New Roman" w:hAnsi="Times New Roman" w:cs="Times New Roman"/>
          <w:color w:val="000000" w:themeColor="text1"/>
          <w:sz w:val="20"/>
          <w:szCs w:val="20"/>
        </w:rPr>
        <w:t>I.5.</w:t>
      </w:r>
    </w:p>
  </w:footnote>
  <w:footnote w:id="921">
    <w:p w14:paraId="3AEB7CA3" w14:textId="5B8A1817" w:rsidR="00B93ED5" w:rsidRPr="009D7635" w:rsidRDefault="00B93ED5" w:rsidP="00E212D3">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Q2, Ti1, M1, C2, Ad </w:t>
      </w:r>
      <w:proofErr w:type="spellStart"/>
      <w:r w:rsidRPr="009D7635">
        <w:rPr>
          <w:rFonts w:ascii="Times New Roman" w:hAnsi="Times New Roman" w:cs="Times New Roman"/>
          <w:color w:val="000000" w:themeColor="text1"/>
          <w:sz w:val="20"/>
          <w:szCs w:val="20"/>
        </w:rPr>
        <w:t>objecta</w:t>
      </w:r>
      <w:proofErr w:type="spellEnd"/>
      <w:r w:rsidRPr="009D7635">
        <w:rPr>
          <w:rFonts w:ascii="Times New Roman" w:hAnsi="Times New Roman" w:cs="Times New Roman"/>
          <w:color w:val="000000" w:themeColor="text1"/>
          <w:sz w:val="20"/>
          <w:szCs w:val="20"/>
        </w:rPr>
        <w:t xml:space="preserve"> 2, 436, citing Avicenna </w:t>
      </w:r>
      <w:r w:rsidRPr="009D7635">
        <w:rPr>
          <w:rFonts w:ascii="Times New Roman" w:hAnsi="Times New Roman" w:cs="Times New Roman"/>
          <w:i/>
          <w:color w:val="000000" w:themeColor="text1"/>
          <w:sz w:val="20"/>
          <w:szCs w:val="20"/>
        </w:rPr>
        <w:t xml:space="preserve">De anima </w:t>
      </w:r>
      <w:r w:rsidRPr="009D7635">
        <w:rPr>
          <w:rFonts w:ascii="Times New Roman" w:hAnsi="Times New Roman" w:cs="Times New Roman"/>
          <w:color w:val="000000" w:themeColor="text1"/>
          <w:sz w:val="20"/>
          <w:szCs w:val="20"/>
        </w:rPr>
        <w:t xml:space="preserve">I.5: </w:t>
      </w:r>
      <w:proofErr w:type="spellStart"/>
      <w:r w:rsidRPr="009D7635">
        <w:rPr>
          <w:rFonts w:ascii="Times New Roman" w:hAnsi="Times New Roman" w:cs="Times New Roman"/>
          <w:i/>
          <w:color w:val="000000" w:themeColor="text1"/>
          <w:sz w:val="20"/>
          <w:szCs w:val="20"/>
          <w:lang w:val="en-US"/>
        </w:rPr>
        <w:t>Aestimativa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apprehendit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intentiones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abstractas</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w:t>
      </w:r>
    </w:p>
  </w:footnote>
  <w:footnote w:id="922">
    <w:p w14:paraId="7719578C" w14:textId="1B0FFCD0" w:rsidR="00B93ED5" w:rsidRPr="009D7635" w:rsidRDefault="00B93ED5" w:rsidP="00E212D3">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Q2, Ti1, M1, C4, A2, I, 438: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circa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apprehendens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custodiens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transformans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sive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conferens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absente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apprehendens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communis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custodiens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imaginatio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alio</w:t>
      </w:r>
      <w:proofErr w:type="spellEnd"/>
      <w:r w:rsidRPr="009D7635">
        <w:rPr>
          <w:rFonts w:ascii="Times New Roman" w:hAnsi="Times New Roman" w:cs="Times New Roman"/>
          <w:i/>
          <w:color w:val="000000" w:themeColor="text1"/>
          <w:sz w:val="20"/>
          <w:szCs w:val="20"/>
          <w:lang w:val="en-US"/>
        </w:rPr>
        <w:t xml:space="preserve"> modo </w:t>
      </w:r>
      <w:proofErr w:type="spellStart"/>
      <w:r w:rsidRPr="009D7635">
        <w:rPr>
          <w:rFonts w:ascii="Times New Roman" w:hAnsi="Times New Roman" w:cs="Times New Roman"/>
          <w:i/>
          <w:color w:val="000000" w:themeColor="text1"/>
          <w:sz w:val="20"/>
          <w:szCs w:val="20"/>
          <w:lang w:val="en-US"/>
        </w:rPr>
        <w:t>phantasia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transformans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conferens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absente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imaginativa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circa </w:t>
      </w:r>
      <w:proofErr w:type="spellStart"/>
      <w:r w:rsidRPr="009D7635">
        <w:rPr>
          <w:rFonts w:ascii="Times New Roman" w:hAnsi="Times New Roman" w:cs="Times New Roman"/>
          <w:i/>
          <w:color w:val="000000" w:themeColor="text1"/>
          <w:sz w:val="20"/>
          <w:szCs w:val="20"/>
          <w:lang w:val="en-US"/>
        </w:rPr>
        <w:t>intentiones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bonitatem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malitiam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sive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nocumentum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iuvamentum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accidit</w:t>
      </w:r>
      <w:proofErr w:type="spellEnd"/>
      <w:r w:rsidRPr="009D7635">
        <w:rPr>
          <w:rFonts w:ascii="Times New Roman" w:hAnsi="Times New Roman" w:cs="Times New Roman"/>
          <w:i/>
          <w:color w:val="000000" w:themeColor="text1"/>
          <w:sz w:val="20"/>
          <w:szCs w:val="20"/>
          <w:lang w:val="en-US"/>
        </w:rPr>
        <w:t xml:space="preserve"> de </w:t>
      </w:r>
      <w:proofErr w:type="spellStart"/>
      <w:r w:rsidRPr="009D7635">
        <w:rPr>
          <w:rFonts w:ascii="Times New Roman" w:hAnsi="Times New Roman" w:cs="Times New Roman"/>
          <w:i/>
          <w:color w:val="000000" w:themeColor="text1"/>
          <w:sz w:val="20"/>
          <w:szCs w:val="20"/>
          <w:lang w:val="en-US"/>
        </w:rPr>
        <w:t>agno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respectu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ovis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lupi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apprehendens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aut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custodiens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apprehendens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aestimativa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custodiens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memorativa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distinguuntur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Avicennam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communis</w:t>
      </w:r>
      <w:proofErr w:type="spellEnd"/>
      <w:r w:rsidRPr="009D7635">
        <w:rPr>
          <w:rFonts w:ascii="Times New Roman" w:hAnsi="Times New Roman" w:cs="Times New Roman"/>
          <w:i/>
          <w:color w:val="000000" w:themeColor="text1"/>
          <w:sz w:val="20"/>
          <w:szCs w:val="20"/>
          <w:lang w:val="en-US"/>
        </w:rPr>
        <w:t xml:space="preserve"> sit in </w:t>
      </w:r>
      <w:proofErr w:type="spellStart"/>
      <w:r w:rsidRPr="009D7635">
        <w:rPr>
          <w:rFonts w:ascii="Times New Roman" w:hAnsi="Times New Roman" w:cs="Times New Roman"/>
          <w:i/>
          <w:color w:val="000000" w:themeColor="text1"/>
          <w:sz w:val="20"/>
          <w:szCs w:val="20"/>
          <w:lang w:val="en-US"/>
        </w:rPr>
        <w:t>anteriori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cerebri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imaginatio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phantasia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eadem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imaginative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cogitative, in media, in </w:t>
      </w:r>
      <w:proofErr w:type="spellStart"/>
      <w:r w:rsidRPr="009D7635">
        <w:rPr>
          <w:rFonts w:ascii="Times New Roman" w:hAnsi="Times New Roman" w:cs="Times New Roman"/>
          <w:i/>
          <w:color w:val="000000" w:themeColor="text1"/>
          <w:sz w:val="20"/>
          <w:szCs w:val="20"/>
          <w:lang w:val="en-US"/>
        </w:rPr>
        <w:t>eadem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aestimativa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memorativa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ultima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cerebri</w:t>
      </w:r>
      <w:proofErr w:type="spellEnd"/>
      <w:r w:rsidRPr="009D7635">
        <w:rPr>
          <w:rFonts w:ascii="Times New Roman" w:hAnsi="Times New Roman" w:cs="Times New Roman"/>
          <w:i/>
          <w:color w:val="000000" w:themeColor="text1"/>
          <w:sz w:val="20"/>
          <w:szCs w:val="20"/>
          <w:lang w:val="en-US"/>
        </w:rPr>
        <w:t>.</w:t>
      </w:r>
    </w:p>
  </w:footnote>
  <w:footnote w:id="923">
    <w:p w14:paraId="22408A00" w14:textId="235A34F7"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Ingenium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investigat</w:t>
      </w:r>
      <w:proofErr w:type="spellEnd"/>
      <w:r w:rsidRPr="009D7635">
        <w:rPr>
          <w:rFonts w:ascii="Times New Roman" w:hAnsi="Times New Roman" w:cs="Times New Roman"/>
          <w:i/>
          <w:color w:val="000000" w:themeColor="text1"/>
          <w:sz w:val="20"/>
          <w:szCs w:val="20"/>
          <w:lang w:val="en-US"/>
        </w:rPr>
        <w:t xml:space="preserve">, ratio </w:t>
      </w:r>
      <w:proofErr w:type="spellStart"/>
      <w:r w:rsidRPr="009D7635">
        <w:rPr>
          <w:rFonts w:ascii="Times New Roman" w:hAnsi="Times New Roman" w:cs="Times New Roman"/>
          <w:i/>
          <w:color w:val="000000" w:themeColor="text1"/>
          <w:sz w:val="20"/>
          <w:szCs w:val="20"/>
          <w:lang w:val="en-US"/>
        </w:rPr>
        <w:t>iudicat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memoria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servat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comprehendit</w:t>
      </w:r>
      <w:proofErr w:type="spellEnd"/>
      <w:r w:rsidRPr="009D7635">
        <w:rPr>
          <w:rFonts w:ascii="Times New Roman" w:hAnsi="Times New Roman" w:cs="Times New Roman"/>
          <w:i/>
          <w:color w:val="000000" w:themeColor="text1"/>
          <w:sz w:val="20"/>
          <w:szCs w:val="20"/>
          <w:lang w:val="en-US"/>
        </w:rPr>
        <w:t>.</w:t>
      </w:r>
      <w:r w:rsidR="00702856" w:rsidRPr="009D7635">
        <w:rPr>
          <w:rFonts w:ascii="Times New Roman" w:hAnsi="Times New Roman" w:cs="Times New Roman"/>
          <w:sz w:val="20"/>
          <w:szCs w:val="20"/>
        </w:rPr>
        <w:t xml:space="preserve"> </w:t>
      </w:r>
    </w:p>
  </w:footnote>
  <w:footnote w:id="924">
    <w:p w14:paraId="6CDBEA99" w14:textId="108E2F54" w:rsidR="004E0F2F" w:rsidRPr="009D7635" w:rsidRDefault="004E0F2F" w:rsidP="004E0F2F">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sz w:val="20"/>
          <w:szCs w:val="20"/>
        </w:rPr>
        <w:footnoteRef/>
      </w:r>
      <w:r w:rsidR="009665BD" w:rsidRPr="009D7635">
        <w:rPr>
          <w:rFonts w:ascii="Times New Roman" w:hAnsi="Times New Roman" w:cs="Times New Roman"/>
          <w:sz w:val="20"/>
          <w:szCs w:val="20"/>
        </w:rPr>
        <w:t xml:space="preserve"> SH </w:t>
      </w:r>
      <w:r w:rsidRPr="009D7635">
        <w:rPr>
          <w:rFonts w:ascii="Times New Roman" w:hAnsi="Times New Roman" w:cs="Times New Roman"/>
          <w:sz w:val="20"/>
          <w:szCs w:val="20"/>
        </w:rPr>
        <w:t>2.1, In4, Tr1, S2, Q3, Ti1, M2, C3, 455.</w:t>
      </w:r>
    </w:p>
    <w:p w14:paraId="3AFEDD73" w14:textId="4BC3CFA4" w:rsidR="004E0F2F" w:rsidRPr="009D7635" w:rsidRDefault="004E0F2F">
      <w:pPr>
        <w:pStyle w:val="FootnoteText"/>
        <w:rPr>
          <w:rFonts w:ascii="Times New Roman" w:hAnsi="Times New Roman" w:cs="Times New Roman"/>
        </w:rPr>
      </w:pPr>
    </w:p>
  </w:footnote>
  <w:footnote w:id="925">
    <w:p w14:paraId="394B90F2" w14:textId="40FB0680" w:rsidR="00702856" w:rsidRPr="009D7635" w:rsidRDefault="00702856" w:rsidP="00702856">
      <w:pPr>
        <w:autoSpaceDE w:val="0"/>
        <w:autoSpaceDN w:val="0"/>
        <w:adjustRightInd w:val="0"/>
        <w:rPr>
          <w:rFonts w:ascii="Times New Roman" w:hAnsi="Times New Roman" w:cs="Times New Roman"/>
          <w:i/>
          <w:sz w:val="20"/>
          <w:szCs w:val="20"/>
        </w:rPr>
      </w:pPr>
      <w:r w:rsidRPr="009D7635">
        <w:rPr>
          <w:rStyle w:val="FootnoteReference"/>
          <w:rFonts w:ascii="Times New Roman" w:hAnsi="Times New Roman" w:cs="Times New Roman"/>
          <w:sz w:val="20"/>
          <w:szCs w:val="20"/>
        </w:rPr>
        <w:footnoteRef/>
      </w:r>
      <w:r w:rsidR="009665BD" w:rsidRPr="009D7635">
        <w:rPr>
          <w:rFonts w:ascii="Times New Roman" w:hAnsi="Times New Roman" w:cs="Times New Roman"/>
          <w:sz w:val="20"/>
          <w:szCs w:val="20"/>
        </w:rPr>
        <w:t xml:space="preserve"> SH </w:t>
      </w:r>
      <w:r w:rsidRPr="009D7635">
        <w:rPr>
          <w:rFonts w:ascii="Times New Roman" w:hAnsi="Times New Roman" w:cs="Times New Roman"/>
          <w:sz w:val="20"/>
          <w:szCs w:val="20"/>
        </w:rPr>
        <w:t xml:space="preserve">2.1, In4, Tr1, S2, Q3, Ti1, 446, quoting </w:t>
      </w:r>
      <w:r w:rsidRPr="009D7635">
        <w:rPr>
          <w:rFonts w:ascii="Times New Roman" w:hAnsi="Times New Roman" w:cs="Times New Roman"/>
          <w:i/>
          <w:sz w:val="20"/>
          <w:szCs w:val="20"/>
        </w:rPr>
        <w:t xml:space="preserve">De fide </w:t>
      </w:r>
      <w:proofErr w:type="spellStart"/>
      <w:r w:rsidRPr="009D7635">
        <w:rPr>
          <w:rFonts w:ascii="Times New Roman" w:hAnsi="Times New Roman" w:cs="Times New Roman"/>
          <w:i/>
          <w:sz w:val="20"/>
          <w:szCs w:val="20"/>
        </w:rPr>
        <w:t>orthodoxa</w:t>
      </w:r>
      <w:proofErr w:type="spellEnd"/>
      <w:r w:rsidRPr="009D7635">
        <w:rPr>
          <w:rFonts w:ascii="Times New Roman" w:hAnsi="Times New Roman" w:cs="Times New Roman"/>
          <w:i/>
          <w:sz w:val="20"/>
          <w:szCs w:val="20"/>
        </w:rPr>
        <w:t xml:space="preserve"> </w:t>
      </w:r>
      <w:r w:rsidRPr="009D7635">
        <w:rPr>
          <w:rFonts w:ascii="Times New Roman" w:hAnsi="Times New Roman" w:cs="Times New Roman"/>
          <w:sz w:val="20"/>
          <w:szCs w:val="20"/>
        </w:rPr>
        <w:t xml:space="preserve">II.22: </w:t>
      </w:r>
      <w:r w:rsidRPr="009D7635">
        <w:rPr>
          <w:rFonts w:ascii="Times New Roman" w:hAnsi="Times New Roman" w:cs="Times New Roman"/>
          <w:i/>
          <w:sz w:val="20"/>
          <w:szCs w:val="20"/>
        </w:rPr>
        <w:t xml:space="preserve">Per </w:t>
      </w:r>
      <w:proofErr w:type="spellStart"/>
      <w:r w:rsidRPr="009D7635">
        <w:rPr>
          <w:rFonts w:ascii="Times New Roman" w:hAnsi="Times New Roman" w:cs="Times New Roman"/>
          <w:i/>
          <w:sz w:val="20"/>
          <w:szCs w:val="20"/>
          <w:lang w:val="en-US"/>
        </w:rPr>
        <w:t>sensum</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animae</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constituitur</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passio</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quae</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dicitur</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imaginatio</w:t>
      </w:r>
      <w:proofErr w:type="spellEnd"/>
      <w:r w:rsidRPr="009D7635">
        <w:rPr>
          <w:rFonts w:ascii="Times New Roman" w:hAnsi="Times New Roman" w:cs="Times New Roman"/>
          <w:i/>
          <w:sz w:val="20"/>
          <w:szCs w:val="20"/>
          <w:lang w:val="en-US"/>
        </w:rPr>
        <w:t xml:space="preserve">, ex </w:t>
      </w:r>
      <w:proofErr w:type="spellStart"/>
      <w:r w:rsidRPr="009D7635">
        <w:rPr>
          <w:rFonts w:ascii="Times New Roman" w:hAnsi="Times New Roman" w:cs="Times New Roman"/>
          <w:i/>
          <w:sz w:val="20"/>
          <w:szCs w:val="20"/>
          <w:lang w:val="en-US"/>
        </w:rPr>
        <w:t>imaginatione</w:t>
      </w:r>
      <w:proofErr w:type="spellEnd"/>
      <w:r w:rsidRPr="009D7635">
        <w:rPr>
          <w:rFonts w:ascii="Times New Roman" w:hAnsi="Times New Roman" w:cs="Times New Roman"/>
          <w:sz w:val="20"/>
          <w:szCs w:val="20"/>
        </w:rPr>
        <w:t xml:space="preserve"> </w:t>
      </w:r>
      <w:proofErr w:type="spellStart"/>
      <w:r w:rsidRPr="009D7635">
        <w:rPr>
          <w:rFonts w:ascii="Times New Roman" w:hAnsi="Times New Roman" w:cs="Times New Roman"/>
          <w:i/>
          <w:sz w:val="20"/>
          <w:szCs w:val="20"/>
          <w:lang w:val="en-US"/>
        </w:rPr>
        <w:t>vero</w:t>
      </w:r>
      <w:proofErr w:type="spellEnd"/>
      <w:r w:rsidRPr="009D7635">
        <w:rPr>
          <w:rFonts w:ascii="Times New Roman" w:hAnsi="Times New Roman" w:cs="Times New Roman"/>
          <w:i/>
          <w:sz w:val="20"/>
          <w:szCs w:val="20"/>
          <w:lang w:val="en-US"/>
        </w:rPr>
        <w:t xml:space="preserve"> fit </w:t>
      </w:r>
      <w:proofErr w:type="spellStart"/>
      <w:r w:rsidRPr="009D7635">
        <w:rPr>
          <w:rFonts w:ascii="Times New Roman" w:hAnsi="Times New Roman" w:cs="Times New Roman"/>
          <w:i/>
          <w:sz w:val="20"/>
          <w:szCs w:val="20"/>
          <w:lang w:val="en-US"/>
        </w:rPr>
        <w:t>opinio</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deinde</w:t>
      </w:r>
      <w:proofErr w:type="spellEnd"/>
      <w:r w:rsidRPr="009D7635">
        <w:rPr>
          <w:rFonts w:ascii="Times New Roman" w:hAnsi="Times New Roman" w:cs="Times New Roman"/>
          <w:i/>
          <w:sz w:val="20"/>
          <w:szCs w:val="20"/>
          <w:lang w:val="en-US"/>
        </w:rPr>
        <w:t xml:space="preserve"> mens </w:t>
      </w:r>
      <w:proofErr w:type="spellStart"/>
      <w:r w:rsidRPr="009D7635">
        <w:rPr>
          <w:rFonts w:ascii="Times New Roman" w:hAnsi="Times New Roman" w:cs="Times New Roman"/>
          <w:i/>
          <w:sz w:val="20"/>
          <w:szCs w:val="20"/>
          <w:lang w:val="en-US"/>
        </w:rPr>
        <w:t>diiudicans</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opinionem</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sive</w:t>
      </w:r>
      <w:proofErr w:type="spellEnd"/>
      <w:r w:rsidRPr="009D7635">
        <w:rPr>
          <w:rFonts w:ascii="Times New Roman" w:hAnsi="Times New Roman" w:cs="Times New Roman"/>
          <w:i/>
          <w:sz w:val="20"/>
          <w:szCs w:val="20"/>
          <w:lang w:val="en-US"/>
        </w:rPr>
        <w:t xml:space="preserve"> vera sit </w:t>
      </w:r>
      <w:proofErr w:type="spellStart"/>
      <w:r w:rsidRPr="009D7635">
        <w:rPr>
          <w:rFonts w:ascii="Times New Roman" w:hAnsi="Times New Roman" w:cs="Times New Roman"/>
          <w:i/>
          <w:sz w:val="20"/>
          <w:szCs w:val="20"/>
          <w:lang w:val="en-US"/>
        </w:rPr>
        <w:t>sive</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falsa</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iudicat</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veritatem</w:t>
      </w:r>
      <w:proofErr w:type="spellEnd"/>
      <w:r w:rsidRPr="009D7635">
        <w:rPr>
          <w:rFonts w:ascii="Times New Roman" w:hAnsi="Times New Roman" w:cs="Times New Roman"/>
          <w:i/>
          <w:sz w:val="20"/>
          <w:szCs w:val="20"/>
          <w:lang w:val="en-US"/>
        </w:rPr>
        <w:t>:</w:t>
      </w:r>
      <w:r w:rsidRPr="009D7635">
        <w:rPr>
          <w:rFonts w:ascii="Times New Roman" w:hAnsi="Times New Roman" w:cs="Times New Roman"/>
          <w:i/>
          <w:sz w:val="20"/>
          <w:szCs w:val="20"/>
        </w:rPr>
        <w:t xml:space="preserve"> </w:t>
      </w:r>
      <w:proofErr w:type="spellStart"/>
      <w:r w:rsidRPr="009D7635">
        <w:rPr>
          <w:rFonts w:ascii="Times New Roman" w:hAnsi="Times New Roman" w:cs="Times New Roman"/>
          <w:i/>
          <w:sz w:val="20"/>
          <w:szCs w:val="20"/>
          <w:lang w:val="en-US"/>
        </w:rPr>
        <w:t>unde</w:t>
      </w:r>
      <w:proofErr w:type="spellEnd"/>
      <w:r w:rsidRPr="009D7635">
        <w:rPr>
          <w:rFonts w:ascii="Times New Roman" w:hAnsi="Times New Roman" w:cs="Times New Roman"/>
          <w:i/>
          <w:sz w:val="20"/>
          <w:szCs w:val="20"/>
          <w:lang w:val="en-US"/>
        </w:rPr>
        <w:t xml:space="preserve"> mens a </w:t>
      </w:r>
      <w:proofErr w:type="spellStart"/>
      <w:r w:rsidRPr="009D7635">
        <w:rPr>
          <w:rFonts w:ascii="Times New Roman" w:hAnsi="Times New Roman" w:cs="Times New Roman"/>
          <w:i/>
          <w:sz w:val="20"/>
          <w:szCs w:val="20"/>
          <w:lang w:val="en-US"/>
        </w:rPr>
        <w:t>metiendo</w:t>
      </w:r>
      <w:proofErr w:type="spellEnd"/>
      <w:r w:rsidRPr="009D7635">
        <w:rPr>
          <w:rFonts w:ascii="Times New Roman" w:hAnsi="Times New Roman" w:cs="Times New Roman"/>
          <w:i/>
          <w:sz w:val="20"/>
          <w:szCs w:val="20"/>
          <w:lang w:val="en-US"/>
        </w:rPr>
        <w:t xml:space="preserve"> et </w:t>
      </w:r>
      <w:proofErr w:type="spellStart"/>
      <w:r w:rsidRPr="009D7635">
        <w:rPr>
          <w:rFonts w:ascii="Times New Roman" w:hAnsi="Times New Roman" w:cs="Times New Roman"/>
          <w:i/>
          <w:sz w:val="20"/>
          <w:szCs w:val="20"/>
          <w:lang w:val="en-US"/>
        </w:rPr>
        <w:t>excogitando</w:t>
      </w:r>
      <w:proofErr w:type="spellEnd"/>
      <w:r w:rsidRPr="009D7635">
        <w:rPr>
          <w:rFonts w:ascii="Times New Roman" w:hAnsi="Times New Roman" w:cs="Times New Roman"/>
          <w:i/>
          <w:sz w:val="20"/>
          <w:szCs w:val="20"/>
          <w:lang w:val="en-US"/>
        </w:rPr>
        <w:t xml:space="preserve"> et </w:t>
      </w:r>
      <w:proofErr w:type="spellStart"/>
      <w:r w:rsidRPr="009D7635">
        <w:rPr>
          <w:rFonts w:ascii="Times New Roman" w:hAnsi="Times New Roman" w:cs="Times New Roman"/>
          <w:i/>
          <w:sz w:val="20"/>
          <w:szCs w:val="20"/>
          <w:lang w:val="en-US"/>
        </w:rPr>
        <w:t>indicando</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dicitur</w:t>
      </w:r>
      <w:proofErr w:type="spellEnd"/>
      <w:r w:rsidRPr="009D7635">
        <w:rPr>
          <w:rFonts w:ascii="Times New Roman" w:hAnsi="Times New Roman" w:cs="Times New Roman"/>
          <w:i/>
          <w:sz w:val="20"/>
          <w:szCs w:val="20"/>
          <w:lang w:val="en-US"/>
        </w:rPr>
        <w:t xml:space="preserve">; quod </w:t>
      </w:r>
      <w:proofErr w:type="spellStart"/>
      <w:r w:rsidRPr="009D7635">
        <w:rPr>
          <w:rFonts w:ascii="Times New Roman" w:hAnsi="Times New Roman" w:cs="Times New Roman"/>
          <w:i/>
          <w:sz w:val="20"/>
          <w:szCs w:val="20"/>
          <w:lang w:val="en-US"/>
        </w:rPr>
        <w:t>autem</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diiudicatum</w:t>
      </w:r>
      <w:proofErr w:type="spellEnd"/>
      <w:r w:rsidRPr="009D7635">
        <w:rPr>
          <w:rFonts w:ascii="Times New Roman" w:hAnsi="Times New Roman" w:cs="Times New Roman"/>
          <w:i/>
          <w:sz w:val="20"/>
          <w:szCs w:val="20"/>
          <w:lang w:val="en-US"/>
        </w:rPr>
        <w:t xml:space="preserve"> et </w:t>
      </w:r>
      <w:proofErr w:type="spellStart"/>
      <w:r w:rsidRPr="009D7635">
        <w:rPr>
          <w:rFonts w:ascii="Times New Roman" w:hAnsi="Times New Roman" w:cs="Times New Roman"/>
          <w:i/>
          <w:sz w:val="20"/>
          <w:szCs w:val="20"/>
          <w:lang w:val="en-US"/>
        </w:rPr>
        <w:t>determinatum</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est</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recte</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dicitur</w:t>
      </w:r>
      <w:proofErr w:type="spellEnd"/>
      <w:r w:rsidRPr="009D7635">
        <w:rPr>
          <w:rFonts w:ascii="Times New Roman" w:hAnsi="Times New Roman" w:cs="Times New Roman"/>
          <w:i/>
          <w:sz w:val="20"/>
          <w:szCs w:val="20"/>
          <w:lang w:val="en-US"/>
        </w:rPr>
        <w:t xml:space="preserve"> </w:t>
      </w:r>
      <w:proofErr w:type="spellStart"/>
      <w:r w:rsidRPr="009D7635">
        <w:rPr>
          <w:rFonts w:ascii="Times New Roman" w:hAnsi="Times New Roman" w:cs="Times New Roman"/>
          <w:i/>
          <w:sz w:val="20"/>
          <w:szCs w:val="20"/>
          <w:lang w:val="en-US"/>
        </w:rPr>
        <w:t>intellectus</w:t>
      </w:r>
      <w:proofErr w:type="spellEnd"/>
      <w:r w:rsidRPr="009D7635">
        <w:rPr>
          <w:rFonts w:ascii="Times New Roman" w:hAnsi="Times New Roman" w:cs="Times New Roman"/>
          <w:i/>
          <w:sz w:val="20"/>
          <w:szCs w:val="20"/>
          <w:lang w:val="en-US"/>
        </w:rPr>
        <w:t>.</w:t>
      </w:r>
    </w:p>
  </w:footnote>
  <w:footnote w:id="926">
    <w:p w14:paraId="550156C8" w14:textId="0ABD0A69"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446. </w:t>
      </w:r>
    </w:p>
  </w:footnote>
  <w:footnote w:id="927">
    <w:p w14:paraId="2F6B0D0D" w14:textId="1FAB2A7E"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M2, C1,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xml:space="preserve"> III, 450, citing DSEA 12. </w:t>
      </w:r>
    </w:p>
  </w:footnote>
  <w:footnote w:id="928">
    <w:p w14:paraId="38E06FC2" w14:textId="36E585FE"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M2, C1,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xml:space="preserve"> III, 450.</w:t>
      </w:r>
    </w:p>
  </w:footnote>
  <w:footnote w:id="929">
    <w:p w14:paraId="152C3C9F" w14:textId="52036C9B"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M2, C1,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III, 450: </w:t>
      </w:r>
      <w:r w:rsidRPr="009D7635">
        <w:rPr>
          <w:rFonts w:ascii="Times New Roman" w:hAnsi="Times New Roman" w:cs="Times New Roman"/>
          <w:i/>
          <w:color w:val="000000" w:themeColor="text1"/>
          <w:sz w:val="20"/>
          <w:szCs w:val="20"/>
          <w:lang w:val="en-US"/>
        </w:rPr>
        <w:t xml:space="preserve">Ea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intra,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scientiae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virtutes</w:t>
      </w:r>
      <w:proofErr w:type="spellEnd"/>
      <w:r w:rsidRPr="009D7635">
        <w:rPr>
          <w:rFonts w:ascii="Times New Roman" w:hAnsi="Times New Roman" w:cs="Times New Roman"/>
          <w:i/>
          <w:color w:val="000000" w:themeColor="text1"/>
          <w:sz w:val="20"/>
          <w:szCs w:val="20"/>
          <w:lang w:val="en-US"/>
        </w:rPr>
        <w:t xml:space="preserve"> et quod ipsa anima se </w:t>
      </w:r>
      <w:proofErr w:type="spellStart"/>
      <w:r w:rsidRPr="009D7635">
        <w:rPr>
          <w:rFonts w:ascii="Times New Roman" w:hAnsi="Times New Roman" w:cs="Times New Roman"/>
          <w:i/>
          <w:color w:val="000000" w:themeColor="text1"/>
          <w:sz w:val="20"/>
          <w:szCs w:val="20"/>
          <w:lang w:val="en-US"/>
        </w:rPr>
        <w:t>ipsam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cognoscit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necesse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similitudines</w:t>
      </w:r>
      <w:proofErr w:type="spellEnd"/>
      <w:r w:rsidRPr="009D7635">
        <w:rPr>
          <w:rFonts w:ascii="Times New Roman" w:hAnsi="Times New Roman" w:cs="Times New Roman"/>
          <w:i/>
          <w:color w:val="000000" w:themeColor="text1"/>
          <w:sz w:val="20"/>
          <w:szCs w:val="20"/>
          <w:lang w:val="en-US"/>
        </w:rPr>
        <w:t xml:space="preserve"> alias ab </w:t>
      </w:r>
      <w:proofErr w:type="spellStart"/>
      <w:r w:rsidRPr="009D7635">
        <w:rPr>
          <w:rFonts w:ascii="Times New Roman" w:hAnsi="Times New Roman" w:cs="Times New Roman"/>
          <w:i/>
          <w:color w:val="000000" w:themeColor="text1"/>
          <w:sz w:val="20"/>
          <w:szCs w:val="20"/>
          <w:lang w:val="en-US"/>
        </w:rPr>
        <w:t>intelligibilibus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pervenire</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intellectum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ideo</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computantur</w:t>
      </w:r>
      <w:proofErr w:type="spellEnd"/>
      <w:r w:rsidRPr="009D7635">
        <w:rPr>
          <w:rFonts w:ascii="Times New Roman" w:hAnsi="Times New Roman" w:cs="Times New Roman"/>
          <w:i/>
          <w:color w:val="000000" w:themeColor="text1"/>
          <w:sz w:val="20"/>
          <w:szCs w:val="20"/>
          <w:lang w:val="en-US"/>
        </w:rPr>
        <w:t xml:space="preserve"> in vi </w:t>
      </w:r>
      <w:proofErr w:type="spellStart"/>
      <w:r w:rsidRPr="009D7635">
        <w:rPr>
          <w:rFonts w:ascii="Times New Roman" w:hAnsi="Times New Roman" w:cs="Times New Roman"/>
          <w:i/>
          <w:color w:val="000000" w:themeColor="text1"/>
          <w:sz w:val="20"/>
          <w:szCs w:val="20"/>
          <w:lang w:val="en-US"/>
        </w:rPr>
        <w:t>separata</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cognoscuntur</w:t>
      </w:r>
      <w:proofErr w:type="spellEnd"/>
      <w:r w:rsidRPr="009D7635">
        <w:rPr>
          <w:rFonts w:ascii="Times New Roman" w:hAnsi="Times New Roman" w:cs="Times New Roman"/>
          <w:i/>
          <w:color w:val="000000" w:themeColor="text1"/>
          <w:sz w:val="20"/>
          <w:szCs w:val="20"/>
          <w:lang w:val="en-US"/>
        </w:rPr>
        <w:t xml:space="preserve"> a vi in qua </w:t>
      </w:r>
      <w:proofErr w:type="spellStart"/>
      <w:r w:rsidRPr="009D7635">
        <w:rPr>
          <w:rFonts w:ascii="Times New Roman" w:hAnsi="Times New Roman" w:cs="Times New Roman"/>
          <w:i/>
          <w:color w:val="000000" w:themeColor="text1"/>
          <w:sz w:val="20"/>
          <w:szCs w:val="20"/>
          <w:lang w:val="en-US"/>
        </w:rPr>
        <w:t>nata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w:t>
      </w:r>
    </w:p>
  </w:footnote>
  <w:footnote w:id="930">
    <w:p w14:paraId="5D1E5CC0" w14:textId="52270CC0"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C1, Sed contra a, 446, citing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II, 22. </w:t>
      </w:r>
    </w:p>
  </w:footnote>
  <w:footnote w:id="931">
    <w:p w14:paraId="70D92C68" w14:textId="71B0C6E2"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S2, Q3, Ti1, M1, C1, I.b, 447.</w:t>
      </w:r>
    </w:p>
  </w:footnote>
  <w:footnote w:id="932">
    <w:p w14:paraId="496D92DB" w14:textId="6ACD5969" w:rsidR="00B9164D" w:rsidRPr="009D7635" w:rsidRDefault="00B9164D" w:rsidP="00811405">
      <w:pPr>
        <w:autoSpaceDE w:val="0"/>
        <w:autoSpaceDN w:val="0"/>
        <w:adjustRightInd w:val="0"/>
        <w:rPr>
          <w:rFonts w:ascii="Times New Roman" w:hAnsi="Times New Roman" w:cs="Times New Roman"/>
          <w:sz w:val="20"/>
          <w:szCs w:val="20"/>
        </w:rPr>
      </w:pPr>
      <w:r w:rsidRPr="009D7635">
        <w:rPr>
          <w:rStyle w:val="FootnoteReference"/>
          <w:rFonts w:ascii="Times New Roman" w:hAnsi="Times New Roman" w:cs="Times New Roman"/>
          <w:sz w:val="20"/>
          <w:szCs w:val="20"/>
        </w:rPr>
        <w:footnoteRef/>
      </w:r>
      <w:r w:rsidRPr="009D7635">
        <w:rPr>
          <w:rFonts w:ascii="Times New Roman" w:hAnsi="Times New Roman" w:cs="Times New Roman"/>
          <w:sz w:val="20"/>
          <w:szCs w:val="20"/>
        </w:rPr>
        <w:t xml:space="preserve"> </w:t>
      </w:r>
      <w:r w:rsidR="00A535B0" w:rsidRPr="009D7635">
        <w:rPr>
          <w:rFonts w:ascii="Times New Roman" w:hAnsi="Times New Roman" w:cs="Times New Roman"/>
          <w:sz w:val="20"/>
          <w:szCs w:val="20"/>
        </w:rPr>
        <w:t xml:space="preserve">I am grateful to Rega Wood for helping me to clarify the meaning of complexion in this context. </w:t>
      </w:r>
      <w:r w:rsidRPr="009D7635">
        <w:rPr>
          <w:rFonts w:ascii="Times New Roman" w:hAnsi="Times New Roman" w:cs="Times New Roman"/>
          <w:sz w:val="20"/>
          <w:szCs w:val="20"/>
        </w:rPr>
        <w:t xml:space="preserve">See Stephen P. </w:t>
      </w:r>
      <w:proofErr w:type="spellStart"/>
      <w:r w:rsidRPr="009D7635">
        <w:rPr>
          <w:rFonts w:ascii="Times New Roman" w:hAnsi="Times New Roman" w:cs="Times New Roman"/>
          <w:sz w:val="20"/>
          <w:szCs w:val="20"/>
        </w:rPr>
        <w:t>Marrone</w:t>
      </w:r>
      <w:proofErr w:type="spellEnd"/>
      <w:r w:rsidRPr="009D7635">
        <w:rPr>
          <w:rFonts w:ascii="Times New Roman" w:hAnsi="Times New Roman" w:cs="Times New Roman"/>
          <w:sz w:val="20"/>
          <w:szCs w:val="20"/>
        </w:rPr>
        <w:t xml:space="preserve">, </w:t>
      </w:r>
      <w:r w:rsidRPr="009D7635">
        <w:rPr>
          <w:rFonts w:ascii="Times New Roman" w:hAnsi="Times New Roman" w:cs="Times New Roman"/>
          <w:i/>
          <w:iCs/>
          <w:sz w:val="20"/>
          <w:szCs w:val="20"/>
        </w:rPr>
        <w:t xml:space="preserve">William of Auvergne and Robert </w:t>
      </w:r>
      <w:proofErr w:type="spellStart"/>
      <w:r w:rsidRPr="009D7635">
        <w:rPr>
          <w:rFonts w:ascii="Times New Roman" w:hAnsi="Times New Roman" w:cs="Times New Roman"/>
          <w:i/>
          <w:iCs/>
          <w:sz w:val="20"/>
          <w:szCs w:val="20"/>
        </w:rPr>
        <w:t>Grosseteste</w:t>
      </w:r>
      <w:proofErr w:type="spellEnd"/>
      <w:r w:rsidRPr="009D7635">
        <w:rPr>
          <w:rFonts w:ascii="Times New Roman" w:hAnsi="Times New Roman" w:cs="Times New Roman"/>
          <w:i/>
          <w:iCs/>
          <w:sz w:val="20"/>
          <w:szCs w:val="20"/>
        </w:rPr>
        <w:t xml:space="preserve">: New Ideas of Truth in the Early Thirteenth Century </w:t>
      </w:r>
      <w:r w:rsidRPr="009D7635">
        <w:rPr>
          <w:rFonts w:ascii="Times New Roman" w:hAnsi="Times New Roman" w:cs="Times New Roman"/>
          <w:sz w:val="20"/>
          <w:szCs w:val="20"/>
        </w:rPr>
        <w:t>(Princeton: Princeton University Press, 1983)</w:t>
      </w:r>
      <w:r w:rsidR="00811405" w:rsidRPr="009D7635">
        <w:rPr>
          <w:rFonts w:ascii="Times New Roman" w:hAnsi="Times New Roman" w:cs="Times New Roman"/>
          <w:sz w:val="20"/>
          <w:szCs w:val="20"/>
        </w:rPr>
        <w:t xml:space="preserve">, 20, citing Aristotle’s </w:t>
      </w:r>
      <w:r w:rsidRPr="009D7635">
        <w:rPr>
          <w:rFonts w:ascii="Times New Roman" w:hAnsi="Times New Roman" w:cs="Times New Roman"/>
          <w:i/>
          <w:iCs/>
          <w:sz w:val="20"/>
          <w:szCs w:val="20"/>
        </w:rPr>
        <w:t xml:space="preserve">De </w:t>
      </w:r>
      <w:proofErr w:type="spellStart"/>
      <w:r w:rsidR="00811405" w:rsidRPr="009D7635">
        <w:rPr>
          <w:rFonts w:ascii="Times New Roman" w:hAnsi="Times New Roman" w:cs="Times New Roman"/>
          <w:i/>
          <w:iCs/>
          <w:sz w:val="20"/>
          <w:szCs w:val="20"/>
        </w:rPr>
        <w:t>interpretatione</w:t>
      </w:r>
      <w:proofErr w:type="spellEnd"/>
      <w:r w:rsidR="00811405" w:rsidRPr="009D7635">
        <w:rPr>
          <w:rFonts w:ascii="Times New Roman" w:hAnsi="Times New Roman" w:cs="Times New Roman"/>
          <w:sz w:val="20"/>
          <w:szCs w:val="20"/>
        </w:rPr>
        <w:t xml:space="preserve"> I.1</w:t>
      </w:r>
      <w:r w:rsidRPr="009D7635">
        <w:rPr>
          <w:rFonts w:ascii="Times New Roman" w:hAnsi="Times New Roman" w:cs="Times New Roman"/>
          <w:sz w:val="20"/>
          <w:szCs w:val="20"/>
        </w:rPr>
        <w:t xml:space="preserve"> </w:t>
      </w:r>
      <w:r w:rsidR="00811405" w:rsidRPr="009D7635">
        <w:rPr>
          <w:rFonts w:ascii="Times New Roman" w:hAnsi="Times New Roman" w:cs="Times New Roman"/>
          <w:sz w:val="20"/>
          <w:szCs w:val="20"/>
        </w:rPr>
        <w:t xml:space="preserve">and </w:t>
      </w:r>
      <w:r w:rsidR="00811405" w:rsidRPr="009D7635">
        <w:rPr>
          <w:rFonts w:ascii="Times New Roman" w:hAnsi="Times New Roman" w:cs="Times New Roman"/>
          <w:i/>
          <w:iCs/>
          <w:sz w:val="20"/>
          <w:szCs w:val="20"/>
        </w:rPr>
        <w:t xml:space="preserve">De anima </w:t>
      </w:r>
      <w:r w:rsidR="00811405" w:rsidRPr="009D7635">
        <w:rPr>
          <w:rFonts w:ascii="Times New Roman" w:hAnsi="Times New Roman" w:cs="Times New Roman"/>
          <w:sz w:val="20"/>
          <w:szCs w:val="20"/>
        </w:rPr>
        <w:t xml:space="preserve">III.6. </w:t>
      </w:r>
    </w:p>
  </w:footnote>
  <w:footnote w:id="933">
    <w:p w14:paraId="550D860B" w14:textId="6F3DA764" w:rsidR="00CE5359" w:rsidRPr="009D7635" w:rsidRDefault="00CE5359">
      <w:pPr>
        <w:pStyle w:val="FootnoteText"/>
        <w:rPr>
          <w:rFonts w:ascii="Times New Roman" w:hAnsi="Times New Roman" w:cs="Times New Roman"/>
        </w:rPr>
      </w:pPr>
      <w:r w:rsidRPr="009D7635">
        <w:rPr>
          <w:rStyle w:val="FootnoteReference"/>
          <w:rFonts w:ascii="Times New Roman" w:hAnsi="Times New Roman" w:cs="Times New Roman"/>
        </w:rPr>
        <w:footnoteRef/>
      </w:r>
      <w:r w:rsidR="009665BD" w:rsidRPr="009D7635">
        <w:rPr>
          <w:rFonts w:ascii="Times New Roman" w:hAnsi="Times New Roman" w:cs="Times New Roman"/>
        </w:rPr>
        <w:t xml:space="preserve"> SH </w:t>
      </w:r>
      <w:r w:rsidRPr="009D7635">
        <w:rPr>
          <w:rFonts w:ascii="Times New Roman" w:hAnsi="Times New Roman" w:cs="Times New Roman"/>
        </w:rPr>
        <w:t xml:space="preserve">I. P1, In1, Tr3, Q2, M1, C3, Ad </w:t>
      </w:r>
      <w:proofErr w:type="spellStart"/>
      <w:r w:rsidRPr="009D7635">
        <w:rPr>
          <w:rFonts w:ascii="Times New Roman" w:hAnsi="Times New Roman" w:cs="Times New Roman"/>
        </w:rPr>
        <w:t>objecta</w:t>
      </w:r>
      <w:proofErr w:type="spellEnd"/>
      <w:r w:rsidRPr="009D7635">
        <w:rPr>
          <w:rFonts w:ascii="Times New Roman" w:hAnsi="Times New Roman" w:cs="Times New Roman"/>
        </w:rPr>
        <w:t xml:space="preserve"> 11, 145. </w:t>
      </w:r>
    </w:p>
  </w:footnote>
  <w:footnote w:id="934">
    <w:p w14:paraId="247EC184" w14:textId="1220D728" w:rsidR="002A38D7" w:rsidRPr="009D7635" w:rsidRDefault="002A38D7">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The Summa holds by contrast to some others at the time that God does in fact know the content of such propositions, referred to as ‘</w:t>
      </w:r>
      <w:proofErr w:type="spellStart"/>
      <w:r w:rsidRPr="009D7635">
        <w:rPr>
          <w:rFonts w:ascii="Times New Roman" w:hAnsi="Times New Roman" w:cs="Times New Roman"/>
        </w:rPr>
        <w:t>enunciables</w:t>
      </w:r>
      <w:proofErr w:type="spellEnd"/>
      <w:r w:rsidR="00190CB1" w:rsidRPr="009D7635">
        <w:rPr>
          <w:rFonts w:ascii="Times New Roman" w:hAnsi="Times New Roman" w:cs="Times New Roman"/>
        </w:rPr>
        <w:t xml:space="preserve">,’ not however through the mode of </w:t>
      </w:r>
      <w:proofErr w:type="spellStart"/>
      <w:r w:rsidR="00190CB1" w:rsidRPr="009D7635">
        <w:rPr>
          <w:rFonts w:ascii="Times New Roman" w:hAnsi="Times New Roman" w:cs="Times New Roman"/>
        </w:rPr>
        <w:t>enunciables</w:t>
      </w:r>
      <w:proofErr w:type="spellEnd"/>
      <w:r w:rsidR="00190CB1" w:rsidRPr="009D7635">
        <w:rPr>
          <w:rFonts w:ascii="Times New Roman" w:hAnsi="Times New Roman" w:cs="Times New Roman"/>
        </w:rPr>
        <w:t xml:space="preserve"> but through the mode of the things which are enunciated</w:t>
      </w:r>
      <w:r w:rsidR="008C4E27" w:rsidRPr="009D7635">
        <w:rPr>
          <w:rFonts w:ascii="Times New Roman" w:hAnsi="Times New Roman" w:cs="Times New Roman"/>
        </w:rPr>
        <w:t>, an</w:t>
      </w:r>
      <w:r w:rsidR="00190CB1" w:rsidRPr="009D7635">
        <w:rPr>
          <w:rFonts w:ascii="Times New Roman" w:hAnsi="Times New Roman" w:cs="Times New Roman"/>
        </w:rPr>
        <w:t>d not moreover through the mode of the thing but the mode by which they are in him as cause.</w:t>
      </w:r>
      <w:r w:rsidR="009665BD" w:rsidRPr="009D7635">
        <w:rPr>
          <w:rFonts w:ascii="Times New Roman" w:hAnsi="Times New Roman" w:cs="Times New Roman"/>
        </w:rPr>
        <w:t xml:space="preserve"> SH </w:t>
      </w:r>
      <w:r w:rsidR="00366264" w:rsidRPr="009D7635">
        <w:rPr>
          <w:rFonts w:ascii="Times New Roman" w:hAnsi="Times New Roman" w:cs="Times New Roman"/>
        </w:rPr>
        <w:t>I. P1, In1, Tr5, S1, Q1, C4, 254</w:t>
      </w:r>
    </w:p>
  </w:footnote>
  <w:footnote w:id="935">
    <w:p w14:paraId="0EB4671A" w14:textId="72EFDB0F" w:rsidR="00141AC2" w:rsidRPr="009D7635" w:rsidRDefault="00141AC2">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Ibid., citing </w:t>
      </w:r>
      <w:r w:rsidRPr="009D7635">
        <w:rPr>
          <w:rFonts w:ascii="Times New Roman" w:hAnsi="Times New Roman" w:cs="Times New Roman"/>
          <w:i/>
          <w:iCs/>
        </w:rPr>
        <w:t xml:space="preserve">Posterior Analytics </w:t>
      </w:r>
      <w:r w:rsidRPr="009D7635">
        <w:rPr>
          <w:rFonts w:ascii="Times New Roman" w:hAnsi="Times New Roman" w:cs="Times New Roman"/>
        </w:rPr>
        <w:t>I.2.</w:t>
      </w:r>
    </w:p>
  </w:footnote>
  <w:footnote w:id="936">
    <w:p w14:paraId="7E72AEE4" w14:textId="79933B19" w:rsidR="004B6441" w:rsidRPr="009D7635" w:rsidRDefault="004B6441">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According to the Summa,</w:t>
      </w:r>
      <w:r w:rsidR="009665BD" w:rsidRPr="009D7635">
        <w:rPr>
          <w:rFonts w:ascii="Times New Roman" w:hAnsi="Times New Roman" w:cs="Times New Roman"/>
        </w:rPr>
        <w:t xml:space="preserve"> SH </w:t>
      </w:r>
      <w:r w:rsidR="00B7389E" w:rsidRPr="009D7635">
        <w:rPr>
          <w:rFonts w:ascii="Times New Roman" w:hAnsi="Times New Roman" w:cs="Times New Roman"/>
        </w:rPr>
        <w:t>I. P1, In1, Tr3, Q2, M3, C2, Ar1, 155-6,</w:t>
      </w:r>
      <w:r w:rsidRPr="009D7635">
        <w:rPr>
          <w:rFonts w:ascii="Times New Roman" w:hAnsi="Times New Roman" w:cs="Times New Roman"/>
        </w:rPr>
        <w:t xml:space="preserve"> </w:t>
      </w:r>
      <w:r w:rsidR="00B7389E" w:rsidRPr="009D7635">
        <w:rPr>
          <w:rFonts w:ascii="Times New Roman" w:hAnsi="Times New Roman" w:cs="Times New Roman"/>
        </w:rPr>
        <w:t xml:space="preserve">falsity exists in the interior senses, which project their misperceptions on to data received by the external senses. </w:t>
      </w:r>
    </w:p>
  </w:footnote>
  <w:footnote w:id="937">
    <w:p w14:paraId="568978E2" w14:textId="198CCE3C"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C1, II, 447.  </w:t>
      </w:r>
    </w:p>
  </w:footnote>
  <w:footnote w:id="938">
    <w:p w14:paraId="72EF4D8A" w14:textId="64014AA3" w:rsidR="00B93ED5" w:rsidRPr="009D7635" w:rsidRDefault="00B93ED5" w:rsidP="00E212D3">
      <w:pPr>
        <w:autoSpaceDE w:val="0"/>
        <w:autoSpaceDN w:val="0"/>
        <w:adjustRightInd w:val="0"/>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C1, II.2, 447: </w:t>
      </w:r>
      <w:r w:rsidRPr="009D7635">
        <w:rPr>
          <w:rFonts w:ascii="Times New Roman" w:hAnsi="Times New Roman" w:cs="Times New Roman"/>
          <w:i/>
          <w:color w:val="000000" w:themeColor="text1"/>
          <w:sz w:val="20"/>
          <w:szCs w:val="20"/>
          <w:lang w:val="en-US"/>
        </w:rPr>
        <w:t xml:space="preserve">Nam </w:t>
      </w:r>
      <w:proofErr w:type="spellStart"/>
      <w:r w:rsidRPr="009D7635">
        <w:rPr>
          <w:rFonts w:ascii="Times New Roman" w:hAnsi="Times New Roman" w:cs="Times New Roman"/>
          <w:i/>
          <w:color w:val="000000" w:themeColor="text1"/>
          <w:sz w:val="20"/>
          <w:szCs w:val="20"/>
          <w:lang w:val="en-US"/>
        </w:rPr>
        <w:t>illae</w:t>
      </w:r>
      <w:proofErr w:type="spellEnd"/>
      <w:r w:rsidRPr="009D7635">
        <w:rPr>
          <w:rFonts w:ascii="Times New Roman" w:hAnsi="Times New Roman" w:cs="Times New Roman"/>
          <w:i/>
          <w:color w:val="000000" w:themeColor="text1"/>
          <w:sz w:val="20"/>
          <w:szCs w:val="20"/>
          <w:lang w:val="en-US"/>
        </w:rPr>
        <w:t xml:space="preserve"> tres </w:t>
      </w:r>
      <w:proofErr w:type="spellStart"/>
      <w:r w:rsidRPr="009D7635">
        <w:rPr>
          <w:rFonts w:ascii="Times New Roman" w:hAnsi="Times New Roman" w:cs="Times New Roman"/>
          <w:i/>
          <w:color w:val="000000" w:themeColor="text1"/>
          <w:sz w:val="20"/>
          <w:szCs w:val="20"/>
          <w:lang w:val="en-US"/>
        </w:rPr>
        <w:t>differentiae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ponit</w:t>
      </w:r>
      <w:proofErr w:type="spellEnd"/>
    </w:p>
    <w:p w14:paraId="617EA65C" w14:textId="7777777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proofErr w:type="spellStart"/>
      <w:r w:rsidRPr="009D7635">
        <w:rPr>
          <w:rFonts w:ascii="Times New Roman" w:hAnsi="Times New Roman" w:cs="Times New Roman"/>
          <w:i/>
          <w:color w:val="000000" w:themeColor="text1"/>
          <w:sz w:val="20"/>
          <w:szCs w:val="20"/>
          <w:lang w:val="en-US"/>
        </w:rPr>
        <w:t>Augustinus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distinguuntur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intelligibilia</w:t>
      </w:r>
      <w:proofErr w:type="spellEnd"/>
      <w:r w:rsidRPr="009D7635">
        <w:rPr>
          <w:rFonts w:ascii="Times New Roman" w:hAnsi="Times New Roman" w:cs="Times New Roman"/>
          <w:i/>
          <w:color w:val="000000" w:themeColor="text1"/>
          <w:sz w:val="20"/>
          <w:szCs w:val="20"/>
          <w:lang w:val="en-US"/>
        </w:rPr>
        <w:t xml:space="preserve"> differentia in </w:t>
      </w:r>
      <w:proofErr w:type="spellStart"/>
      <w:r w:rsidRPr="009D7635">
        <w:rPr>
          <w:rFonts w:ascii="Times New Roman" w:hAnsi="Times New Roman" w:cs="Times New Roman"/>
          <w:i/>
          <w:color w:val="000000" w:themeColor="text1"/>
          <w:sz w:val="20"/>
          <w:szCs w:val="20"/>
          <w:lang w:val="en-US"/>
        </w:rPr>
        <w:t>nobilitate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maiori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minori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nobilius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increatum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creatum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creatum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separatum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formis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corporalibus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illud</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corporibus</w:t>
      </w:r>
      <w:proofErr w:type="spellEnd"/>
      <w:r w:rsidRPr="009D7635">
        <w:rPr>
          <w:rFonts w:ascii="Times New Roman" w:hAnsi="Times New Roman" w:cs="Times New Roman"/>
          <w:i/>
          <w:color w:val="000000" w:themeColor="text1"/>
          <w:sz w:val="20"/>
          <w:szCs w:val="20"/>
          <w:lang w:val="en-US"/>
        </w:rPr>
        <w:t>.</w:t>
      </w:r>
    </w:p>
  </w:footnote>
  <w:footnote w:id="939">
    <w:p w14:paraId="52C101BF" w14:textId="32078A62"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C1,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xml:space="preserve">, 448: </w:t>
      </w:r>
    </w:p>
  </w:footnote>
  <w:footnote w:id="940">
    <w:p w14:paraId="516CCC8F" w14:textId="58EE8379"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C1, II.2, 447: </w:t>
      </w:r>
      <w:proofErr w:type="spellStart"/>
      <w:r w:rsidRPr="009D7635">
        <w:rPr>
          <w:rFonts w:ascii="Times New Roman" w:hAnsi="Times New Roman" w:cs="Times New Roman"/>
          <w:i/>
          <w:color w:val="000000" w:themeColor="text1"/>
          <w:sz w:val="20"/>
          <w:szCs w:val="20"/>
          <w:lang w:val="en-US"/>
        </w:rPr>
        <w:t>Differentiae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assignatorum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Philosopho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attenduntur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comparationem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abstractibiles</w:t>
      </w:r>
      <w:proofErr w:type="spellEnd"/>
      <w:r w:rsidRPr="009D7635">
        <w:rPr>
          <w:rFonts w:ascii="Times New Roman" w:hAnsi="Times New Roman" w:cs="Times New Roman"/>
          <w:i/>
          <w:color w:val="000000" w:themeColor="text1"/>
          <w:sz w:val="20"/>
          <w:szCs w:val="20"/>
          <w:lang w:val="en-US"/>
        </w:rPr>
        <w:t xml:space="preserve">, differentia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Augustini</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has et alias; non ergo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unum </w:t>
      </w:r>
      <w:proofErr w:type="spellStart"/>
      <w:r w:rsidRPr="009D7635">
        <w:rPr>
          <w:rFonts w:ascii="Times New Roman" w:hAnsi="Times New Roman" w:cs="Times New Roman"/>
          <w:i/>
          <w:color w:val="000000" w:themeColor="text1"/>
          <w:sz w:val="20"/>
          <w:szCs w:val="20"/>
          <w:lang w:val="en-US"/>
        </w:rPr>
        <w:t>modum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accipiuntur</w:t>
      </w:r>
      <w:proofErr w:type="spellEnd"/>
      <w:r w:rsidRPr="009D7635">
        <w:rPr>
          <w:rFonts w:ascii="Times New Roman" w:hAnsi="Times New Roman" w:cs="Times New Roman"/>
          <w:i/>
          <w:color w:val="000000" w:themeColor="text1"/>
          <w:sz w:val="20"/>
          <w:szCs w:val="20"/>
          <w:lang w:val="en-US"/>
        </w:rPr>
        <w:t>.</w:t>
      </w:r>
    </w:p>
  </w:footnote>
  <w:footnote w:id="941">
    <w:p w14:paraId="55F0716D" w14:textId="3642C6EE"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C1, III, 447 and III, 449. </w:t>
      </w:r>
    </w:p>
  </w:footnote>
  <w:footnote w:id="942">
    <w:p w14:paraId="043C3685" w14:textId="4BDE1455"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C1, IV, 447. </w:t>
      </w:r>
    </w:p>
  </w:footnote>
  <w:footnote w:id="943">
    <w:p w14:paraId="15045094" w14:textId="77777777"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DSEA 11.</w:t>
      </w:r>
    </w:p>
  </w:footnote>
  <w:footnote w:id="944">
    <w:p w14:paraId="61940372" w14:textId="308385E8"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C3, Ar1,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456.</w:t>
      </w:r>
    </w:p>
  </w:footnote>
  <w:footnote w:id="945">
    <w:p w14:paraId="065529C6" w14:textId="76F5F910"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C3, Ar1,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455: </w:t>
      </w:r>
      <w:proofErr w:type="spellStart"/>
      <w:r w:rsidRPr="009D7635">
        <w:rPr>
          <w:rFonts w:ascii="Times New Roman" w:hAnsi="Times New Roman" w:cs="Times New Roman"/>
          <w:i/>
          <w:color w:val="000000" w:themeColor="text1"/>
          <w:sz w:val="20"/>
          <w:szCs w:val="20"/>
          <w:lang w:val="en-US"/>
        </w:rPr>
        <w:t>Ingenium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naturaliter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discretiva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veri</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falsi</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aliarum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differentiarum</w:t>
      </w:r>
      <w:proofErr w:type="spellEnd"/>
      <w:r w:rsidRPr="009D7635">
        <w:rPr>
          <w:rFonts w:ascii="Times New Roman" w:hAnsi="Times New Roman" w:cs="Times New Roman"/>
          <w:i/>
          <w:color w:val="000000" w:themeColor="text1"/>
          <w:sz w:val="20"/>
          <w:szCs w:val="20"/>
          <w:lang w:val="en-US"/>
        </w:rPr>
        <w:t xml:space="preserve">; ratio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accepta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iudicat</w:t>
      </w:r>
      <w:proofErr w:type="spellEnd"/>
      <w:r w:rsidRPr="009D7635">
        <w:rPr>
          <w:rFonts w:ascii="Times New Roman" w:hAnsi="Times New Roman" w:cs="Times New Roman"/>
          <w:i/>
          <w:color w:val="000000" w:themeColor="text1"/>
          <w:sz w:val="20"/>
          <w:szCs w:val="20"/>
          <w:lang w:val="en-US"/>
        </w:rPr>
        <w:t xml:space="preserve">. Cum ergo non </w:t>
      </w:r>
      <w:proofErr w:type="spellStart"/>
      <w:r w:rsidRPr="009D7635">
        <w:rPr>
          <w:rFonts w:ascii="Times New Roman" w:hAnsi="Times New Roman" w:cs="Times New Roman"/>
          <w:i/>
          <w:color w:val="000000" w:themeColor="text1"/>
          <w:sz w:val="20"/>
          <w:szCs w:val="20"/>
          <w:lang w:val="en-US"/>
        </w:rPr>
        <w:t>differant</w:t>
      </w:r>
      <w:proofErr w:type="spellEnd"/>
      <w:r w:rsidRPr="009D7635">
        <w:rPr>
          <w:rFonts w:ascii="Times New Roman" w:hAnsi="Times New Roman" w:cs="Times New Roman"/>
          <w:i/>
          <w:color w:val="000000" w:themeColor="text1"/>
          <w:sz w:val="20"/>
          <w:szCs w:val="20"/>
          <w:lang w:val="en-US"/>
        </w:rPr>
        <w:t xml:space="preserve"> inter se </w:t>
      </w:r>
      <w:proofErr w:type="spellStart"/>
      <w:r w:rsidRPr="009D7635">
        <w:rPr>
          <w:rFonts w:ascii="Times New Roman" w:hAnsi="Times New Roman" w:cs="Times New Roman"/>
          <w:i/>
          <w:color w:val="000000" w:themeColor="text1"/>
          <w:sz w:val="20"/>
          <w:szCs w:val="20"/>
          <w:lang w:val="en-US"/>
        </w:rPr>
        <w:t>nisi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natura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disposita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erunt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ingenium</w:t>
      </w:r>
      <w:proofErr w:type="spellEnd"/>
      <w:r w:rsidRPr="009D7635">
        <w:rPr>
          <w:rFonts w:ascii="Times New Roman" w:hAnsi="Times New Roman" w:cs="Times New Roman"/>
          <w:i/>
          <w:color w:val="000000" w:themeColor="text1"/>
          <w:sz w:val="20"/>
          <w:szCs w:val="20"/>
          <w:lang w:val="en-US"/>
        </w:rPr>
        <w:t xml:space="preserve"> et ratio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intellectiva</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videtur</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rationibus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illorum</w:t>
      </w:r>
      <w:proofErr w:type="spellEnd"/>
      <w:r w:rsidRPr="009D7635">
        <w:rPr>
          <w:rFonts w:ascii="Times New Roman" w:hAnsi="Times New Roman" w:cs="Times New Roman"/>
          <w:i/>
          <w:color w:val="000000" w:themeColor="text1"/>
          <w:sz w:val="20"/>
          <w:szCs w:val="20"/>
          <w:lang w:val="en-US"/>
        </w:rPr>
        <w:t xml:space="preserve">: Ratio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vis per </w:t>
      </w:r>
      <w:proofErr w:type="spellStart"/>
      <w:r w:rsidRPr="009D7635">
        <w:rPr>
          <w:rFonts w:ascii="Times New Roman" w:hAnsi="Times New Roman" w:cs="Times New Roman"/>
          <w:i/>
          <w:color w:val="000000" w:themeColor="text1"/>
          <w:sz w:val="20"/>
          <w:szCs w:val="20"/>
          <w:lang w:val="en-US"/>
        </w:rPr>
        <w:t>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conceduntur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perveniendi</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incognita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ingenium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instinctu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cadendi</w:t>
      </w:r>
      <w:proofErr w:type="spellEnd"/>
      <w:r w:rsidRPr="009D7635">
        <w:rPr>
          <w:rFonts w:ascii="Times New Roman" w:hAnsi="Times New Roman" w:cs="Times New Roman"/>
          <w:i/>
          <w:color w:val="000000" w:themeColor="text1"/>
          <w:sz w:val="20"/>
          <w:szCs w:val="20"/>
          <w:lang w:val="en-US"/>
        </w:rPr>
        <w:t xml:space="preserve"> super </w:t>
      </w:r>
      <w:proofErr w:type="spellStart"/>
      <w:r w:rsidRPr="009D7635">
        <w:rPr>
          <w:rFonts w:ascii="Times New Roman" w:hAnsi="Times New Roman" w:cs="Times New Roman"/>
          <w:i/>
          <w:color w:val="000000" w:themeColor="text1"/>
          <w:sz w:val="20"/>
          <w:szCs w:val="20"/>
          <w:lang w:val="en-US"/>
        </w:rPr>
        <w:t>occulta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Restat</w:t>
      </w:r>
      <w:proofErr w:type="spellEnd"/>
      <w:r w:rsidRPr="009D7635">
        <w:rPr>
          <w:rFonts w:ascii="Times New Roman" w:hAnsi="Times New Roman" w:cs="Times New Roman"/>
          <w:i/>
          <w:color w:val="000000" w:themeColor="text1"/>
          <w:sz w:val="20"/>
          <w:szCs w:val="20"/>
          <w:lang w:val="en-US"/>
        </w:rPr>
        <w:t xml:space="preserve"> ergo quod </w:t>
      </w:r>
      <w:proofErr w:type="spellStart"/>
      <w:r w:rsidRPr="009D7635">
        <w:rPr>
          <w:rFonts w:ascii="Times New Roman" w:hAnsi="Times New Roman" w:cs="Times New Roman"/>
          <w:i/>
          <w:color w:val="000000" w:themeColor="text1"/>
          <w:sz w:val="20"/>
          <w:szCs w:val="20"/>
          <w:lang w:val="en-US"/>
        </w:rPr>
        <w:t>eadem</w:t>
      </w:r>
      <w:proofErr w:type="spellEnd"/>
      <w:r w:rsidRPr="009D7635">
        <w:rPr>
          <w:rFonts w:ascii="Times New Roman" w:hAnsi="Times New Roman" w:cs="Times New Roman"/>
          <w:i/>
          <w:color w:val="000000" w:themeColor="text1"/>
          <w:sz w:val="20"/>
          <w:szCs w:val="20"/>
          <w:lang w:val="en-US"/>
        </w:rPr>
        <w:t xml:space="preserve"> sit vis, sed </w:t>
      </w:r>
      <w:proofErr w:type="spellStart"/>
      <w:r w:rsidRPr="009D7635">
        <w:rPr>
          <w:rFonts w:ascii="Times New Roman" w:hAnsi="Times New Roman" w:cs="Times New Roman"/>
          <w:i/>
          <w:color w:val="000000" w:themeColor="text1"/>
          <w:sz w:val="20"/>
          <w:szCs w:val="20"/>
          <w:lang w:val="en-US"/>
        </w:rPr>
        <w:t>ratione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differens</w:t>
      </w:r>
      <w:proofErr w:type="spellEnd"/>
      <w:r w:rsidRPr="009D7635">
        <w:rPr>
          <w:rFonts w:ascii="Times New Roman" w:hAnsi="Times New Roman" w:cs="Times New Roman"/>
          <w:i/>
          <w:color w:val="000000" w:themeColor="text1"/>
          <w:sz w:val="20"/>
          <w:szCs w:val="20"/>
          <w:lang w:val="en-US"/>
        </w:rPr>
        <w:t>.</w:t>
      </w:r>
    </w:p>
  </w:footnote>
  <w:footnote w:id="946">
    <w:p w14:paraId="0C303FFD" w14:textId="7D32777B"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C1, IV, 449, quoting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III.5.</w:t>
      </w:r>
    </w:p>
  </w:footnote>
  <w:footnote w:id="947">
    <w:p w14:paraId="32138316" w14:textId="73CD84CC"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M2, C4, Ar3, Ad </w:t>
      </w:r>
      <w:proofErr w:type="spellStart"/>
      <w:r w:rsidRPr="009D7635">
        <w:rPr>
          <w:rFonts w:ascii="Times New Roman" w:hAnsi="Times New Roman" w:cs="Times New Roman"/>
          <w:color w:val="000000" w:themeColor="text1"/>
        </w:rPr>
        <w:t>objecta</w:t>
      </w:r>
      <w:proofErr w:type="spellEnd"/>
      <w:r w:rsidRPr="009D7635">
        <w:rPr>
          <w:rFonts w:ascii="Times New Roman" w:hAnsi="Times New Roman" w:cs="Times New Roman"/>
          <w:color w:val="000000" w:themeColor="text1"/>
        </w:rPr>
        <w:t xml:space="preserve"> 2, 459. </w:t>
      </w:r>
    </w:p>
  </w:footnote>
  <w:footnote w:id="948">
    <w:p w14:paraId="3198A2FB" w14:textId="137527E1"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S2, Q3, Ti1, M2, C4, Ar3, 458.</w:t>
      </w:r>
    </w:p>
  </w:footnote>
  <w:footnote w:id="949">
    <w:p w14:paraId="47B155AB" w14:textId="3F608DB6"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M2, C4, Ar3, Ad </w:t>
      </w:r>
      <w:proofErr w:type="spellStart"/>
      <w:r w:rsidRPr="009D7635">
        <w:rPr>
          <w:rFonts w:ascii="Times New Roman" w:hAnsi="Times New Roman" w:cs="Times New Roman"/>
          <w:color w:val="000000" w:themeColor="text1"/>
          <w:sz w:val="20"/>
          <w:szCs w:val="20"/>
        </w:rPr>
        <w:t>objecta</w:t>
      </w:r>
      <w:proofErr w:type="spellEnd"/>
      <w:r w:rsidRPr="009D7635">
        <w:rPr>
          <w:rFonts w:ascii="Times New Roman" w:hAnsi="Times New Roman" w:cs="Times New Roman"/>
          <w:color w:val="000000" w:themeColor="text1"/>
          <w:sz w:val="20"/>
          <w:szCs w:val="20"/>
        </w:rPr>
        <w:t xml:space="preserve"> 3, </w:t>
      </w:r>
      <w:r w:rsidRPr="009D7635">
        <w:rPr>
          <w:rFonts w:ascii="Times New Roman" w:hAnsi="Times New Roman" w:cs="Times New Roman"/>
          <w:color w:val="000000" w:themeColor="text1"/>
          <w:sz w:val="20"/>
          <w:szCs w:val="20"/>
          <w:lang w:val="en-US"/>
        </w:rPr>
        <w:t xml:space="preserve">459: </w:t>
      </w:r>
      <w:proofErr w:type="spellStart"/>
      <w:r w:rsidRPr="009D7635">
        <w:rPr>
          <w:rFonts w:ascii="Times New Roman" w:hAnsi="Times New Roman" w:cs="Times New Roman"/>
          <w:i/>
          <w:color w:val="000000" w:themeColor="text1"/>
          <w:sz w:val="20"/>
          <w:szCs w:val="20"/>
          <w:lang w:val="en-US"/>
        </w:rPr>
        <w:t>Differentiae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quas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ponit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Philosophus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sumuntur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gradus </w:t>
      </w:r>
      <w:proofErr w:type="spellStart"/>
      <w:r w:rsidRPr="009D7635">
        <w:rPr>
          <w:rFonts w:ascii="Times New Roman" w:hAnsi="Times New Roman" w:cs="Times New Roman"/>
          <w:i/>
          <w:color w:val="000000" w:themeColor="text1"/>
          <w:sz w:val="20"/>
          <w:szCs w:val="20"/>
          <w:lang w:val="en-US"/>
        </w:rPr>
        <w:t>potentiae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prima,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simpliciter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secunda</w:t>
      </w:r>
      <w:proofErr w:type="spellEnd"/>
      <w:r w:rsidRPr="009D7635">
        <w:rPr>
          <w:rFonts w:ascii="Times New Roman" w:hAnsi="Times New Roman" w:cs="Times New Roman"/>
          <w:i/>
          <w:color w:val="000000" w:themeColor="text1"/>
          <w:sz w:val="20"/>
          <w:szCs w:val="20"/>
          <w:lang w:val="en-US"/>
        </w:rPr>
        <w:t xml:space="preserve">, scilicet </w:t>
      </w:r>
      <w:proofErr w:type="spellStart"/>
      <w:r w:rsidRPr="009D7635">
        <w:rPr>
          <w:rFonts w:ascii="Times New Roman" w:hAnsi="Times New Roman" w:cs="Times New Roman"/>
          <w:i/>
          <w:color w:val="000000" w:themeColor="text1"/>
          <w:sz w:val="20"/>
          <w:szCs w:val="20"/>
          <w:lang w:val="en-US"/>
        </w:rPr>
        <w:t>possibilitas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disposita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completa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habitualis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actu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hunc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modum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genere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quatuor</w:t>
      </w:r>
      <w:proofErr w:type="spellEnd"/>
      <w:r w:rsidRPr="009D7635">
        <w:rPr>
          <w:rFonts w:ascii="Times New Roman" w:hAnsi="Times New Roman" w:cs="Times New Roman"/>
          <w:i/>
          <w:color w:val="000000" w:themeColor="text1"/>
          <w:sz w:val="20"/>
          <w:szCs w:val="20"/>
          <w:lang w:val="en-US"/>
        </w:rPr>
        <w:t xml:space="preserve"> gradus: </w:t>
      </w:r>
      <w:proofErr w:type="spellStart"/>
      <w:r w:rsidRPr="009D7635">
        <w:rPr>
          <w:rFonts w:ascii="Times New Roman" w:hAnsi="Times New Roman" w:cs="Times New Roman"/>
          <w:i/>
          <w:color w:val="000000" w:themeColor="text1"/>
          <w:sz w:val="20"/>
          <w:szCs w:val="20"/>
          <w:lang w:val="en-US"/>
        </w:rPr>
        <w:t>primus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nondum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susceperit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intelligibiles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effectu</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formatus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disposita</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tertius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habitu</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potest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intelligere</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cum </w:t>
      </w:r>
      <w:proofErr w:type="spellStart"/>
      <w:r w:rsidRPr="009D7635">
        <w:rPr>
          <w:rFonts w:ascii="Times New Roman" w:hAnsi="Times New Roman" w:cs="Times New Roman"/>
          <w:i/>
          <w:color w:val="000000" w:themeColor="text1"/>
          <w:sz w:val="20"/>
          <w:szCs w:val="20"/>
          <w:lang w:val="en-US"/>
        </w:rPr>
        <w:t>vult</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habitualis</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quartus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adeptus</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exivit</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in </w:t>
      </w:r>
      <w:proofErr w:type="spellStart"/>
      <w:r w:rsidRPr="009D7635">
        <w:rPr>
          <w:rFonts w:ascii="Times New Roman" w:hAnsi="Times New Roman" w:cs="Times New Roman"/>
          <w:i/>
          <w:color w:val="000000" w:themeColor="text1"/>
          <w:sz w:val="20"/>
          <w:szCs w:val="20"/>
          <w:lang w:val="en-US"/>
        </w:rPr>
        <w:t>actum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completa</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suo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per hoc quod </w:t>
      </w:r>
      <w:proofErr w:type="spellStart"/>
      <w:r w:rsidRPr="009D7635">
        <w:rPr>
          <w:rFonts w:ascii="Times New Roman" w:hAnsi="Times New Roman" w:cs="Times New Roman"/>
          <w:i/>
          <w:color w:val="000000" w:themeColor="text1"/>
          <w:sz w:val="20"/>
          <w:szCs w:val="20"/>
          <w:lang w:val="en-US"/>
        </w:rPr>
        <w:t>sibi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acquisivit</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The differences posited by the philosopher are </w:t>
      </w:r>
      <w:proofErr w:type="spellStart"/>
      <w:r w:rsidRPr="009D7635">
        <w:rPr>
          <w:rFonts w:ascii="Times New Roman" w:hAnsi="Times New Roman" w:cs="Times New Roman"/>
          <w:color w:val="000000" w:themeColor="text1"/>
          <w:sz w:val="20"/>
          <w:szCs w:val="20"/>
        </w:rPr>
        <w:t>organized</w:t>
      </w:r>
      <w:proofErr w:type="spellEnd"/>
      <w:r w:rsidRPr="009D7635">
        <w:rPr>
          <w:rFonts w:ascii="Times New Roman" w:hAnsi="Times New Roman" w:cs="Times New Roman"/>
          <w:color w:val="000000" w:themeColor="text1"/>
          <w:sz w:val="20"/>
          <w:szCs w:val="20"/>
        </w:rPr>
        <w:t xml:space="preserve"> according to grades of potency: there is a first potency, which is simply called possibility and a second potency, which is disposed possibility. There is also a formed potential, which is called habitual, and there is a potential in act. According to this mode, there are four grades in the genus of the intellect: first is the possible intellect, which does not yet receive intelligible forms; then is the intellect in effect, which is called a formed or disposed potential; third is the intellect in habit, which is able to understand as it wills and is also called a habitual potential. Fourth there is the </w:t>
      </w:r>
      <w:proofErr w:type="spellStart"/>
      <w:r w:rsidRPr="009D7635">
        <w:rPr>
          <w:rFonts w:ascii="Times New Roman" w:hAnsi="Times New Roman" w:cs="Times New Roman"/>
          <w:i/>
          <w:color w:val="000000" w:themeColor="text1"/>
          <w:sz w:val="20"/>
          <w:szCs w:val="20"/>
        </w:rPr>
        <w:t>intellectus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adeptus</w:t>
      </w:r>
      <w:proofErr w:type="spellEnd"/>
      <w:r w:rsidRPr="009D7635">
        <w:rPr>
          <w:rFonts w:ascii="Times New Roman" w:hAnsi="Times New Roman" w:cs="Times New Roman"/>
          <w:color w:val="000000" w:themeColor="text1"/>
          <w:sz w:val="20"/>
          <w:szCs w:val="20"/>
        </w:rPr>
        <w:t>, which proceeds into act and is called a completed potential in its act insofar as it has acquired [knowledge] for itself.’</w:t>
      </w:r>
    </w:p>
  </w:footnote>
  <w:footnote w:id="950">
    <w:p w14:paraId="79305CD5" w14:textId="282484C2"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M2, C4, Ar3, Ad </w:t>
      </w:r>
      <w:proofErr w:type="spellStart"/>
      <w:r w:rsidRPr="009D7635">
        <w:rPr>
          <w:rFonts w:ascii="Times New Roman" w:hAnsi="Times New Roman" w:cs="Times New Roman"/>
          <w:color w:val="000000" w:themeColor="text1"/>
        </w:rPr>
        <w:t>objecta</w:t>
      </w:r>
      <w:proofErr w:type="spellEnd"/>
      <w:r w:rsidRPr="009D7635">
        <w:rPr>
          <w:rFonts w:ascii="Times New Roman" w:hAnsi="Times New Roman" w:cs="Times New Roman"/>
          <w:color w:val="000000" w:themeColor="text1"/>
        </w:rPr>
        <w:t xml:space="preserve"> 3, </w:t>
      </w:r>
      <w:r w:rsidRPr="009D7635">
        <w:rPr>
          <w:rFonts w:ascii="Times New Roman" w:hAnsi="Times New Roman" w:cs="Times New Roman"/>
          <w:color w:val="000000" w:themeColor="text1"/>
          <w:lang w:val="en-US"/>
        </w:rPr>
        <w:t xml:space="preserve">459. </w:t>
      </w:r>
    </w:p>
  </w:footnote>
  <w:footnote w:id="951">
    <w:p w14:paraId="4F663DCE" w14:textId="2841D7B0"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M2, C4, Ar3, Pro 3, 458. </w:t>
      </w:r>
    </w:p>
  </w:footnote>
  <w:footnote w:id="952">
    <w:p w14:paraId="205DED5E" w14:textId="6656A120"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C1,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xml:space="preserve">, 447. </w:t>
      </w:r>
    </w:p>
  </w:footnote>
  <w:footnote w:id="953">
    <w:p w14:paraId="4E67E758" w14:textId="7F98ED53"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447-8: </w:t>
      </w:r>
      <w:r w:rsidRPr="009D7635">
        <w:rPr>
          <w:rFonts w:ascii="Times New Roman" w:hAnsi="Times New Roman" w:cs="Times New Roman"/>
          <w:i/>
          <w:color w:val="000000" w:themeColor="text1"/>
          <w:sz w:val="20"/>
          <w:szCs w:val="20"/>
          <w:lang w:val="en-US"/>
        </w:rPr>
        <w:t xml:space="preserve">Sed in hoc </w:t>
      </w:r>
      <w:proofErr w:type="spellStart"/>
      <w:r w:rsidRPr="009D7635">
        <w:rPr>
          <w:rFonts w:ascii="Times New Roman" w:hAnsi="Times New Roman" w:cs="Times New Roman"/>
          <w:i/>
          <w:color w:val="000000" w:themeColor="text1"/>
          <w:sz w:val="20"/>
          <w:szCs w:val="20"/>
          <w:lang w:val="en-US"/>
        </w:rPr>
        <w:t>differunt</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illa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Augustini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accipitur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differentias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simplicium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Philosophi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accipitur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perveniendi</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cognitionem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veniunt</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intellectum</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abstractionem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phantasmate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sensibili</w:t>
      </w:r>
      <w:proofErr w:type="spellEnd"/>
      <w:r w:rsidRPr="009D7635">
        <w:rPr>
          <w:rFonts w:ascii="Times New Roman" w:hAnsi="Times New Roman" w:cs="Times New Roman"/>
          <w:i/>
          <w:color w:val="000000" w:themeColor="text1"/>
          <w:sz w:val="20"/>
          <w:szCs w:val="20"/>
          <w:lang w:val="en-US"/>
        </w:rPr>
        <w:t>.</w:t>
      </w:r>
    </w:p>
  </w:footnote>
  <w:footnote w:id="954">
    <w:p w14:paraId="0322FDA7" w14:textId="23005A03"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C1, II.1-2, 448. </w:t>
      </w:r>
    </w:p>
  </w:footnote>
  <w:footnote w:id="955">
    <w:p w14:paraId="7069AB9C" w14:textId="48E985F5"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S2, Q3, Ti1, M1, C1, II.1-2, 448.</w:t>
      </w:r>
    </w:p>
  </w:footnote>
  <w:footnote w:id="956">
    <w:p w14:paraId="20E96581" w14:textId="37A05E15"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C1, III, 449. </w:t>
      </w:r>
    </w:p>
  </w:footnote>
  <w:footnote w:id="957">
    <w:p w14:paraId="34E7CA93" w14:textId="04715A43"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448: </w:t>
      </w:r>
      <w:proofErr w:type="spellStart"/>
      <w:r w:rsidRPr="009D7635">
        <w:rPr>
          <w:rFonts w:ascii="Times New Roman" w:hAnsi="Times New Roman" w:cs="Times New Roman"/>
          <w:i/>
          <w:color w:val="000000" w:themeColor="text1"/>
          <w:sz w:val="20"/>
          <w:szCs w:val="20"/>
          <w:lang w:val="en-US"/>
        </w:rPr>
        <w:t>Aliae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divisiones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respiciunt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veritatem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intelligibilium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complexione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entium</w:t>
      </w:r>
      <w:proofErr w:type="spellEnd"/>
      <w:r w:rsidRPr="009D7635">
        <w:rPr>
          <w:rFonts w:ascii="Times New Roman" w:hAnsi="Times New Roman" w:cs="Times New Roman"/>
          <w:i/>
          <w:color w:val="000000" w:themeColor="text1"/>
          <w:sz w:val="20"/>
          <w:szCs w:val="20"/>
          <w:lang w:val="en-US"/>
        </w:rPr>
        <w:t xml:space="preserve">, sed in hoc </w:t>
      </w:r>
      <w:proofErr w:type="spellStart"/>
      <w:r w:rsidRPr="009D7635">
        <w:rPr>
          <w:rFonts w:ascii="Times New Roman" w:hAnsi="Times New Roman" w:cs="Times New Roman"/>
          <w:i/>
          <w:color w:val="000000" w:themeColor="text1"/>
          <w:sz w:val="20"/>
          <w:szCs w:val="20"/>
          <w:lang w:val="en-US"/>
        </w:rPr>
        <w:t>differunt</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una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accipitur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acceptionem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perfectam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imperfectam</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cognoscibilis</w:t>
      </w:r>
      <w:proofErr w:type="spellEnd"/>
      <w:r w:rsidRPr="009D7635">
        <w:rPr>
          <w:rFonts w:ascii="Times New Roman" w:hAnsi="Times New Roman" w:cs="Times New Roman"/>
          <w:i/>
          <w:color w:val="000000" w:themeColor="text1"/>
          <w:sz w:val="20"/>
          <w:szCs w:val="20"/>
          <w:lang w:val="en-US"/>
        </w:rPr>
        <w:t xml:space="preserve">. </w:t>
      </w:r>
    </w:p>
  </w:footnote>
  <w:footnote w:id="958">
    <w:p w14:paraId="3B533288" w14:textId="0654BEC9"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S2, Q3, Ti1, M1, C1, III, 449.</w:t>
      </w:r>
    </w:p>
  </w:footnote>
  <w:footnote w:id="959">
    <w:p w14:paraId="01C6700A" w14:textId="2041AAF5" w:rsidR="00B93ED5" w:rsidRPr="009D7635" w:rsidRDefault="00B93ED5" w:rsidP="00E212D3">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448: </w:t>
      </w:r>
      <w:proofErr w:type="spellStart"/>
      <w:r w:rsidRPr="009D7635">
        <w:rPr>
          <w:rFonts w:ascii="Times New Roman" w:hAnsi="Times New Roman" w:cs="Times New Roman"/>
          <w:i/>
          <w:color w:val="000000" w:themeColor="text1"/>
          <w:sz w:val="20"/>
          <w:szCs w:val="20"/>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accipere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verum</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quadam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admixtione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falsitatis</w:t>
      </w:r>
      <w:proofErr w:type="spellEnd"/>
      <w:r w:rsidRPr="009D7635">
        <w:rPr>
          <w:rFonts w:ascii="Times New Roman" w:hAnsi="Times New Roman" w:cs="Times New Roman"/>
          <w:i/>
          <w:color w:val="000000" w:themeColor="text1"/>
          <w:sz w:val="20"/>
          <w:szCs w:val="20"/>
          <w:lang w:val="en-US"/>
        </w:rPr>
        <w:t xml:space="preserve">, et sic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opinio</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discretione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veritatis</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falsitate</w:t>
      </w:r>
      <w:proofErr w:type="spellEnd"/>
      <w:r w:rsidRPr="009D7635">
        <w:rPr>
          <w:rFonts w:ascii="Times New Roman" w:hAnsi="Times New Roman" w:cs="Times New Roman"/>
          <w:i/>
          <w:color w:val="000000" w:themeColor="text1"/>
          <w:sz w:val="20"/>
          <w:szCs w:val="20"/>
          <w:lang w:val="en-US"/>
        </w:rPr>
        <w:t xml:space="preserve">, et sic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mentis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certitudine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veritatis</w:t>
      </w:r>
      <w:proofErr w:type="spellEnd"/>
      <w:r w:rsidRPr="009D7635">
        <w:rPr>
          <w:rFonts w:ascii="Times New Roman" w:hAnsi="Times New Roman" w:cs="Times New Roman"/>
          <w:i/>
          <w:color w:val="000000" w:themeColor="text1"/>
          <w:sz w:val="20"/>
          <w:szCs w:val="20"/>
          <w:lang w:val="en-US"/>
        </w:rPr>
        <w:t xml:space="preserve">, et sic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w:t>
      </w:r>
    </w:p>
  </w:footnote>
  <w:footnote w:id="960">
    <w:p w14:paraId="34C4E0F0" w14:textId="779428B2" w:rsidR="00B93ED5" w:rsidRPr="009D7635" w:rsidRDefault="00B93ED5" w:rsidP="00E212D3">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C2, 449: </w:t>
      </w:r>
      <w:proofErr w:type="spellStart"/>
      <w:r w:rsidRPr="009D7635">
        <w:rPr>
          <w:rFonts w:ascii="Times New Roman" w:hAnsi="Times New Roman" w:cs="Times New Roman"/>
          <w:i/>
          <w:color w:val="000000" w:themeColor="text1"/>
          <w:sz w:val="20"/>
          <w:szCs w:val="20"/>
          <w:lang w:val="en-US"/>
        </w:rPr>
        <w:t>Constat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divisiones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cognitivarum</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respiciunt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intelligibiles</w:t>
      </w:r>
      <w:proofErr w:type="spellEnd"/>
      <w:r w:rsidRPr="009D7635">
        <w:rPr>
          <w:rFonts w:ascii="Times New Roman" w:hAnsi="Times New Roman" w:cs="Times New Roman"/>
          <w:i/>
          <w:color w:val="000000" w:themeColor="text1"/>
          <w:sz w:val="20"/>
          <w:szCs w:val="20"/>
          <w:lang w:val="en-US"/>
        </w:rPr>
        <w:t xml:space="preserve"> sine</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complexione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priores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aliis</w:t>
      </w:r>
      <w:proofErr w:type="spellEnd"/>
      <w:r w:rsidRPr="009D7635">
        <w:rPr>
          <w:rFonts w:ascii="Times New Roman" w:hAnsi="Times New Roman" w:cs="Times New Roman"/>
          <w:i/>
          <w:color w:val="000000" w:themeColor="text1"/>
          <w:sz w:val="20"/>
          <w:szCs w:val="20"/>
          <w:lang w:val="en-US"/>
        </w:rPr>
        <w:t xml:space="preserve">. </w:t>
      </w:r>
    </w:p>
  </w:footnote>
  <w:footnote w:id="961">
    <w:p w14:paraId="7FF61E98" w14:textId="7706D0E5"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C2, 449: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duplex modus: a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inferiori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mediante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sensu</w:t>
      </w:r>
      <w:proofErr w:type="spellEnd"/>
      <w:r w:rsidRPr="009D7635">
        <w:rPr>
          <w:rFonts w:ascii="Times New Roman" w:hAnsi="Times New Roman" w:cs="Times New Roman"/>
          <w:i/>
          <w:color w:val="000000" w:themeColor="text1"/>
          <w:sz w:val="20"/>
          <w:szCs w:val="20"/>
          <w:lang w:val="en-US"/>
        </w:rPr>
        <w:t xml:space="preserve"> et a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superiori</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illuminationem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sive</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principio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datam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cognitio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innata</w:t>
      </w:r>
      <w:proofErr w:type="spellEnd"/>
      <w:r w:rsidRPr="009D7635">
        <w:rPr>
          <w:rFonts w:ascii="Times New Roman" w:hAnsi="Times New Roman" w:cs="Times New Roman"/>
          <w:i/>
          <w:color w:val="000000" w:themeColor="text1"/>
          <w:sz w:val="20"/>
          <w:szCs w:val="20"/>
          <w:lang w:val="en-US"/>
        </w:rPr>
        <w:t xml:space="preserve">, alia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acquisita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sive</w:t>
      </w:r>
      <w:proofErr w:type="spellEnd"/>
      <w:r w:rsidRPr="009D7635">
        <w:rPr>
          <w:rFonts w:ascii="Times New Roman" w:hAnsi="Times New Roman" w:cs="Times New Roman"/>
          <w:i/>
          <w:color w:val="000000" w:themeColor="text1"/>
          <w:sz w:val="20"/>
          <w:szCs w:val="20"/>
          <w:lang w:val="en-US"/>
        </w:rPr>
        <w:t xml:space="preserve"> ens </w:t>
      </w:r>
      <w:proofErr w:type="spellStart"/>
      <w:r w:rsidRPr="009D7635">
        <w:rPr>
          <w:rFonts w:ascii="Times New Roman" w:hAnsi="Times New Roman" w:cs="Times New Roman"/>
          <w:i/>
          <w:color w:val="000000" w:themeColor="text1"/>
          <w:sz w:val="20"/>
          <w:szCs w:val="20"/>
          <w:lang w:val="en-US"/>
        </w:rPr>
        <w:t>subsequenter</w:t>
      </w:r>
      <w:proofErr w:type="spellEnd"/>
      <w:r w:rsidRPr="009D7635">
        <w:rPr>
          <w:rFonts w:ascii="Times New Roman" w:hAnsi="Times New Roman" w:cs="Times New Roman"/>
          <w:i/>
          <w:color w:val="000000" w:themeColor="text1"/>
          <w:sz w:val="20"/>
          <w:szCs w:val="20"/>
          <w:lang w:val="en-US"/>
        </w:rPr>
        <w:t>.</w:t>
      </w:r>
    </w:p>
  </w:footnote>
  <w:footnote w:id="962">
    <w:p w14:paraId="2000A209" w14:textId="2C6F9A8C"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S2, Q3, Ti1, M1, C2, Ar1, 450.</w:t>
      </w:r>
    </w:p>
  </w:footnote>
  <w:footnote w:id="963">
    <w:p w14:paraId="5354EDA3" w14:textId="28054C2E"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C2, Ar3, P3, Ad </w:t>
      </w:r>
      <w:proofErr w:type="spellStart"/>
      <w:r w:rsidRPr="009D7635">
        <w:rPr>
          <w:rFonts w:ascii="Times New Roman" w:hAnsi="Times New Roman" w:cs="Times New Roman"/>
          <w:color w:val="000000" w:themeColor="text1"/>
          <w:sz w:val="20"/>
          <w:szCs w:val="20"/>
        </w:rPr>
        <w:t>objecta</w:t>
      </w:r>
      <w:proofErr w:type="spellEnd"/>
      <w:r w:rsidRPr="009D7635">
        <w:rPr>
          <w:rFonts w:ascii="Times New Roman" w:hAnsi="Times New Roman" w:cs="Times New Roman"/>
          <w:color w:val="000000" w:themeColor="text1"/>
          <w:sz w:val="20"/>
          <w:szCs w:val="20"/>
        </w:rPr>
        <w:t xml:space="preserve"> 1, 454: </w:t>
      </w:r>
      <w:r w:rsidRPr="009D7635">
        <w:rPr>
          <w:rFonts w:ascii="Times New Roman" w:hAnsi="Times New Roman" w:cs="Times New Roman"/>
          <w:i/>
          <w:color w:val="000000" w:themeColor="text1"/>
          <w:sz w:val="20"/>
          <w:szCs w:val="20"/>
          <w:lang w:val="en-US"/>
        </w:rPr>
        <w:t xml:space="preserve">Et ad </w:t>
      </w:r>
      <w:proofErr w:type="spellStart"/>
      <w:r w:rsidRPr="009D7635">
        <w:rPr>
          <w:rFonts w:ascii="Times New Roman" w:hAnsi="Times New Roman" w:cs="Times New Roman"/>
          <w:i/>
          <w:color w:val="000000" w:themeColor="text1"/>
          <w:sz w:val="20"/>
          <w:szCs w:val="20"/>
          <w:lang w:val="en-US"/>
        </w:rPr>
        <w:t>primum</w:t>
      </w:r>
      <w:proofErr w:type="spellEnd"/>
      <w:r w:rsidRPr="009D7635">
        <w:rPr>
          <w:rFonts w:ascii="Times New Roman" w:hAnsi="Times New Roman" w:cs="Times New Roman"/>
          <w:i/>
          <w:color w:val="000000" w:themeColor="text1"/>
          <w:sz w:val="20"/>
          <w:szCs w:val="20"/>
          <w:lang w:val="en-US"/>
        </w:rPr>
        <w:t xml:space="preserve"> primo. </w:t>
      </w:r>
      <w:proofErr w:type="spellStart"/>
      <w:r w:rsidRPr="009D7635">
        <w:rPr>
          <w:rFonts w:ascii="Times New Roman" w:hAnsi="Times New Roman" w:cs="Times New Roman"/>
          <w:i/>
          <w:color w:val="000000" w:themeColor="text1"/>
          <w:sz w:val="20"/>
          <w:szCs w:val="20"/>
          <w:lang w:val="en-US"/>
        </w:rPr>
        <w:t>Licet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non sit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forma </w:t>
      </w:r>
      <w:proofErr w:type="spellStart"/>
      <w:r w:rsidRPr="009D7635">
        <w:rPr>
          <w:rFonts w:ascii="Times New Roman" w:hAnsi="Times New Roman" w:cs="Times New Roman"/>
          <w:i/>
          <w:color w:val="000000" w:themeColor="text1"/>
          <w:sz w:val="20"/>
          <w:szCs w:val="20"/>
          <w:lang w:val="en-US"/>
        </w:rPr>
        <w:t>separata</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tamen</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separabilis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differentiae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illae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separatum</w:t>
      </w:r>
      <w:proofErr w:type="spellEnd"/>
      <w:r w:rsidRPr="009D7635">
        <w:rPr>
          <w:rFonts w:ascii="Times New Roman" w:hAnsi="Times New Roman" w:cs="Times New Roman"/>
          <w:i/>
          <w:color w:val="000000" w:themeColor="text1"/>
          <w:sz w:val="20"/>
          <w:szCs w:val="20"/>
          <w:lang w:val="en-US"/>
        </w:rPr>
        <w:t>’ et ‘</w:t>
      </w:r>
      <w:proofErr w:type="spellStart"/>
      <w:r w:rsidRPr="009D7635">
        <w:rPr>
          <w:rFonts w:ascii="Times New Roman" w:hAnsi="Times New Roman" w:cs="Times New Roman"/>
          <w:i/>
          <w:color w:val="000000" w:themeColor="text1"/>
          <w:sz w:val="20"/>
          <w:szCs w:val="20"/>
          <w:lang w:val="en-US"/>
        </w:rPr>
        <w:t>coniunctum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formarum</w:t>
      </w:r>
      <w:proofErr w:type="spellEnd"/>
      <w:r w:rsidRPr="009D7635">
        <w:rPr>
          <w:rFonts w:ascii="Times New Roman" w:hAnsi="Times New Roman" w:cs="Times New Roman"/>
          <w:i/>
          <w:color w:val="000000" w:themeColor="text1"/>
          <w:sz w:val="20"/>
          <w:szCs w:val="20"/>
          <w:lang w:val="en-US"/>
        </w:rPr>
        <w:t xml:space="preserve"> in</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differentiae</w:t>
      </w:r>
      <w:proofErr w:type="spellEnd"/>
      <w:r w:rsidRPr="009D7635">
        <w:rPr>
          <w:rFonts w:ascii="Times New Roman" w:hAnsi="Times New Roman" w:cs="Times New Roman"/>
          <w:i/>
          <w:color w:val="000000" w:themeColor="text1"/>
          <w:sz w:val="20"/>
          <w:szCs w:val="20"/>
        </w:rPr>
        <w:t xml:space="preserve"> ‘s</w:t>
      </w:r>
      <w:proofErr w:type="spellStart"/>
      <w:r w:rsidRPr="009D7635">
        <w:rPr>
          <w:rFonts w:ascii="Times New Roman" w:hAnsi="Times New Roman" w:cs="Times New Roman"/>
          <w:i/>
          <w:color w:val="000000" w:themeColor="text1"/>
          <w:sz w:val="20"/>
          <w:szCs w:val="20"/>
          <w:lang w:val="en-US"/>
        </w:rPr>
        <w:t>eparata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coniuncta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separabilis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coniungibilis</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et hoc modo se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animae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separabilis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coniungibilis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ideo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intelligere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proportionale</w:t>
      </w:r>
      <w:proofErr w:type="spellEnd"/>
      <w:r w:rsidRPr="009D7635">
        <w:rPr>
          <w:rFonts w:ascii="Times New Roman" w:hAnsi="Times New Roman" w:cs="Times New Roman"/>
          <w:i/>
          <w:color w:val="000000" w:themeColor="text1"/>
          <w:sz w:val="20"/>
          <w:szCs w:val="20"/>
          <w:lang w:val="en-US"/>
        </w:rPr>
        <w:t xml:space="preserve"> medium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inter </w:t>
      </w:r>
      <w:proofErr w:type="spellStart"/>
      <w:r w:rsidRPr="009D7635">
        <w:rPr>
          <w:rFonts w:ascii="Times New Roman" w:hAnsi="Times New Roman" w:cs="Times New Roman"/>
          <w:i/>
          <w:color w:val="000000" w:themeColor="text1"/>
          <w:sz w:val="20"/>
          <w:szCs w:val="20"/>
          <w:lang w:val="en-US"/>
        </w:rPr>
        <w:t>intelligere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speciem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phantasmate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speciem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omnino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separatam</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et hoc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speciem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abstractam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phantasmate</w:t>
      </w:r>
      <w:proofErr w:type="spellEnd"/>
      <w:r w:rsidRPr="009D7635">
        <w:rPr>
          <w:rFonts w:ascii="Times New Roman" w:hAnsi="Times New Roman" w:cs="Times New Roman"/>
          <w:i/>
          <w:color w:val="000000" w:themeColor="text1"/>
          <w:sz w:val="20"/>
          <w:szCs w:val="20"/>
          <w:lang w:val="en-US"/>
        </w:rPr>
        <w:t>.</w:t>
      </w:r>
    </w:p>
  </w:footnote>
  <w:footnote w:id="964">
    <w:p w14:paraId="7C2D7328" w14:textId="63E43D26"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C2, Ar3, P3,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454.</w:t>
      </w:r>
    </w:p>
  </w:footnote>
  <w:footnote w:id="965">
    <w:p w14:paraId="76A7C9C7" w14:textId="27E2C006"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C2, Ar1, 1, 450, citing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 xml:space="preserve">I.4.  </w:t>
      </w:r>
    </w:p>
  </w:footnote>
  <w:footnote w:id="966">
    <w:p w14:paraId="1DF4C810" w14:textId="6F35F570"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C2, Ar1,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451.</w:t>
      </w:r>
    </w:p>
  </w:footnote>
  <w:footnote w:id="967">
    <w:p w14:paraId="52ABCF86" w14:textId="52148B67"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C2, Ar1,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451: </w:t>
      </w:r>
      <w:r w:rsidRPr="009D7635">
        <w:rPr>
          <w:rFonts w:ascii="Times New Roman" w:hAnsi="Times New Roman" w:cs="Times New Roman"/>
          <w:i/>
          <w:color w:val="000000" w:themeColor="text1"/>
          <w:sz w:val="20"/>
          <w:szCs w:val="20"/>
        </w:rPr>
        <w:t>I</w:t>
      </w:r>
      <w:proofErr w:type="spellStart"/>
      <w:r w:rsidRPr="009D7635">
        <w:rPr>
          <w:rFonts w:ascii="Times New Roman" w:hAnsi="Times New Roman" w:cs="Times New Roman"/>
          <w:i/>
          <w:color w:val="000000" w:themeColor="text1"/>
          <w:sz w:val="20"/>
          <w:szCs w:val="20"/>
          <w:lang w:val="en-US"/>
        </w:rPr>
        <w:t>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materialis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species in </w:t>
      </w:r>
      <w:proofErr w:type="spellStart"/>
      <w:r w:rsidRPr="009D7635">
        <w:rPr>
          <w:rFonts w:ascii="Times New Roman" w:hAnsi="Times New Roman" w:cs="Times New Roman"/>
          <w:i/>
          <w:color w:val="000000" w:themeColor="text1"/>
          <w:sz w:val="20"/>
          <w:szCs w:val="20"/>
          <w:lang w:val="en-US"/>
        </w:rPr>
        <w:t>phantasmatibus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abstrahi</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intellectum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uniantur</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possibili</w:t>
      </w:r>
      <w:proofErr w:type="spellEnd"/>
      <w:r w:rsidRPr="009D7635">
        <w:rPr>
          <w:rFonts w:ascii="Times New Roman" w:hAnsi="Times New Roman" w:cs="Times New Roman"/>
          <w:i/>
          <w:color w:val="000000" w:themeColor="text1"/>
          <w:sz w:val="20"/>
          <w:szCs w:val="20"/>
          <w:lang w:val="en-US"/>
        </w:rPr>
        <w:t>.</w:t>
      </w:r>
    </w:p>
  </w:footnote>
  <w:footnote w:id="968">
    <w:p w14:paraId="24452CFC" w14:textId="7ADEE788"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C2, Ar2, I.1, 451.  </w:t>
      </w:r>
    </w:p>
  </w:footnote>
  <w:footnote w:id="969">
    <w:p w14:paraId="0CDB8934" w14:textId="4B0B2782"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C2, Ar2, II Sed contra, 451.  </w:t>
      </w:r>
    </w:p>
  </w:footnote>
  <w:footnote w:id="970">
    <w:p w14:paraId="5D2B5892" w14:textId="03073D34"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C2, Ar2, III a, 451.  </w:t>
      </w:r>
    </w:p>
  </w:footnote>
  <w:footnote w:id="971">
    <w:p w14:paraId="62F1BA38" w14:textId="3A9094F3" w:rsidR="00B93ED5" w:rsidRPr="009D7635" w:rsidRDefault="00B93ED5" w:rsidP="00E212D3">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C2, Ar2,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452: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ipse spiritus in se </w:t>
      </w:r>
      <w:proofErr w:type="spellStart"/>
      <w:r w:rsidRPr="009D7635">
        <w:rPr>
          <w:rFonts w:ascii="Times New Roman" w:hAnsi="Times New Roman" w:cs="Times New Roman"/>
          <w:i/>
          <w:color w:val="000000" w:themeColor="text1"/>
          <w:sz w:val="20"/>
          <w:szCs w:val="20"/>
          <w:lang w:val="en-US"/>
        </w:rPr>
        <w:t>habens</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lumen </w:t>
      </w:r>
      <w:proofErr w:type="spellStart"/>
      <w:r w:rsidRPr="009D7635">
        <w:rPr>
          <w:rFonts w:ascii="Times New Roman" w:hAnsi="Times New Roman" w:cs="Times New Roman"/>
          <w:i/>
          <w:color w:val="000000" w:themeColor="text1"/>
          <w:sz w:val="20"/>
          <w:szCs w:val="20"/>
          <w:lang w:val="en-US"/>
        </w:rPr>
        <w:t>quoddam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cuius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intelligibilium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principio</w:t>
      </w:r>
      <w:proofErr w:type="spellEnd"/>
      <w:r w:rsidRPr="009D7635">
        <w:rPr>
          <w:rFonts w:ascii="Times New Roman" w:hAnsi="Times New Roman" w:cs="Times New Roman"/>
          <w:i/>
          <w:color w:val="000000" w:themeColor="text1"/>
          <w:sz w:val="20"/>
          <w:szCs w:val="20"/>
          <w:lang w:val="en-US"/>
        </w:rPr>
        <w:t xml:space="preserve"> scilicet </w:t>
      </w:r>
      <w:proofErr w:type="spellStart"/>
      <w:r w:rsidRPr="009D7635">
        <w:rPr>
          <w:rFonts w:ascii="Times New Roman" w:hAnsi="Times New Roman" w:cs="Times New Roman"/>
          <w:i/>
          <w:color w:val="000000" w:themeColor="text1"/>
          <w:sz w:val="20"/>
          <w:szCs w:val="20"/>
          <w:lang w:val="en-US"/>
        </w:rPr>
        <w:t>creationis</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scilicet </w:t>
      </w:r>
      <w:proofErr w:type="spellStart"/>
      <w:r w:rsidRPr="009D7635">
        <w:rPr>
          <w:rFonts w:ascii="Times New Roman" w:hAnsi="Times New Roman" w:cs="Times New Roman"/>
          <w:i/>
          <w:color w:val="000000" w:themeColor="text1"/>
          <w:sz w:val="20"/>
          <w:szCs w:val="20"/>
          <w:lang w:val="en-US"/>
        </w:rPr>
        <w:t>illa</w:t>
      </w:r>
      <w:proofErr w:type="spellEnd"/>
      <w:r w:rsidRPr="009D7635">
        <w:rPr>
          <w:rFonts w:ascii="Times New Roman" w:hAnsi="Times New Roman" w:cs="Times New Roman"/>
          <w:i/>
          <w:color w:val="000000" w:themeColor="text1"/>
          <w:sz w:val="20"/>
          <w:szCs w:val="20"/>
          <w:lang w:val="en-US"/>
        </w:rPr>
        <w:t xml:space="preserve"> qua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immaterialis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se </w:t>
      </w:r>
      <w:proofErr w:type="spellStart"/>
      <w:r w:rsidRPr="009D7635">
        <w:rPr>
          <w:rFonts w:ascii="Times New Roman" w:hAnsi="Times New Roman" w:cs="Times New Roman"/>
          <w:i/>
          <w:color w:val="000000" w:themeColor="text1"/>
          <w:sz w:val="20"/>
          <w:szCs w:val="20"/>
          <w:lang w:val="en-US"/>
        </w:rPr>
        <w:t>separata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licet</w:t>
      </w:r>
      <w:proofErr w:type="spellEnd"/>
      <w:r w:rsidRPr="009D7635">
        <w:rPr>
          <w:rFonts w:ascii="Times New Roman" w:hAnsi="Times New Roman" w:cs="Times New Roman"/>
          <w:i/>
          <w:color w:val="000000" w:themeColor="text1"/>
          <w:sz w:val="20"/>
          <w:szCs w:val="20"/>
          <w:lang w:val="en-US"/>
        </w:rPr>
        <w:t xml:space="preserve"> ex alia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corpori</w:t>
      </w:r>
      <w:proofErr w:type="spellEnd"/>
      <w:r w:rsidRPr="009D7635">
        <w:rPr>
          <w:rFonts w:ascii="Times New Roman" w:hAnsi="Times New Roman" w:cs="Times New Roman"/>
          <w:i/>
          <w:color w:val="000000" w:themeColor="text1"/>
          <w:sz w:val="20"/>
          <w:szCs w:val="20"/>
          <w:lang w:val="en-US"/>
        </w:rPr>
        <w:t xml:space="preserve"> sit </w:t>
      </w:r>
      <w:proofErr w:type="spellStart"/>
      <w:r w:rsidRPr="009D7635">
        <w:rPr>
          <w:rFonts w:ascii="Times New Roman" w:hAnsi="Times New Roman" w:cs="Times New Roman"/>
          <w:i/>
          <w:color w:val="000000" w:themeColor="text1"/>
          <w:sz w:val="20"/>
          <w:szCs w:val="20"/>
          <w:lang w:val="en-US"/>
        </w:rPr>
        <w:t>coniungibilis</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videtur</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ita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condiderit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animam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rationalem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imaginem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quin</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dederit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perfectionem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aliquam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respectu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cognoscibilium</w:t>
      </w:r>
      <w:proofErr w:type="spellEnd"/>
      <w:r w:rsidRPr="009D7635">
        <w:rPr>
          <w:rFonts w:ascii="Times New Roman" w:hAnsi="Times New Roman" w:cs="Times New Roman"/>
          <w:i/>
          <w:color w:val="000000" w:themeColor="text1"/>
          <w:sz w:val="20"/>
          <w:szCs w:val="20"/>
          <w:lang w:val="en-US"/>
        </w:rPr>
        <w:t>.</w:t>
      </w:r>
    </w:p>
  </w:footnote>
  <w:footnote w:id="972">
    <w:p w14:paraId="6E81E6BC" w14:textId="6F89C792" w:rsidR="00B93ED5" w:rsidRPr="009D7635" w:rsidRDefault="00B93ED5" w:rsidP="00E212D3">
      <w:pPr>
        <w:autoSpaceDE w:val="0"/>
        <w:autoSpaceDN w:val="0"/>
        <w:adjustRightInd w:val="0"/>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C2, Ar2,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452: </w:t>
      </w:r>
      <w:r w:rsidRPr="009D7635">
        <w:rPr>
          <w:rFonts w:ascii="Times New Roman" w:hAnsi="Times New Roman" w:cs="Times New Roman"/>
          <w:i/>
          <w:color w:val="000000" w:themeColor="text1"/>
          <w:sz w:val="20"/>
          <w:szCs w:val="20"/>
          <w:lang w:val="en-US"/>
        </w:rPr>
        <w:t xml:space="preserve">Ex </w:t>
      </w:r>
      <w:proofErr w:type="spellStart"/>
      <w:r w:rsidRPr="009D7635">
        <w:rPr>
          <w:rFonts w:ascii="Times New Roman" w:hAnsi="Times New Roman" w:cs="Times New Roman"/>
          <w:i/>
          <w:color w:val="000000" w:themeColor="text1"/>
          <w:sz w:val="20"/>
          <w:szCs w:val="20"/>
          <w:lang w:val="en-US"/>
        </w:rPr>
        <w:t>illa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qua </w:t>
      </w:r>
      <w:proofErr w:type="spellStart"/>
      <w:r w:rsidRPr="009D7635">
        <w:rPr>
          <w:rFonts w:ascii="Times New Roman" w:hAnsi="Times New Roman" w:cs="Times New Roman"/>
          <w:i/>
          <w:color w:val="000000" w:themeColor="text1"/>
          <w:sz w:val="20"/>
          <w:szCs w:val="20"/>
          <w:lang w:val="en-US"/>
        </w:rPr>
        <w:t>habet</w:t>
      </w:r>
      <w:proofErr w:type="spellEnd"/>
    </w:p>
    <w:p w14:paraId="087DA5D3" w14:textId="77777777" w:rsidR="00B93ED5" w:rsidRPr="009D7635" w:rsidRDefault="00B93ED5" w:rsidP="00E212D3">
      <w:pPr>
        <w:autoSpaceDE w:val="0"/>
        <w:autoSpaceDN w:val="0"/>
        <w:adjustRightInd w:val="0"/>
        <w:rPr>
          <w:rFonts w:ascii="Times New Roman" w:hAnsi="Times New Roman" w:cs="Times New Roman"/>
          <w:i/>
          <w:color w:val="000000" w:themeColor="text1"/>
          <w:sz w:val="20"/>
          <w:szCs w:val="20"/>
          <w:lang w:val="en-US"/>
        </w:rPr>
      </w:pPr>
      <w:proofErr w:type="spellStart"/>
      <w:r w:rsidRPr="009D7635">
        <w:rPr>
          <w:rFonts w:ascii="Times New Roman" w:hAnsi="Times New Roman" w:cs="Times New Roman"/>
          <w:i/>
          <w:color w:val="000000" w:themeColor="text1"/>
          <w:sz w:val="20"/>
          <w:szCs w:val="20"/>
          <w:lang w:val="en-US"/>
        </w:rPr>
        <w:t>hanc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perfectionem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cognoscibilium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quamdam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similitudinem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Primi</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illa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pars, cum </w:t>
      </w:r>
      <w:proofErr w:type="spellStart"/>
      <w:r w:rsidRPr="009D7635">
        <w:rPr>
          <w:rFonts w:ascii="Times New Roman" w:hAnsi="Times New Roman" w:cs="Times New Roman"/>
          <w:i/>
          <w:color w:val="000000" w:themeColor="text1"/>
          <w:sz w:val="20"/>
          <w:szCs w:val="20"/>
          <w:lang w:val="en-US"/>
        </w:rPr>
        <w:t>obviaverit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intelligibili</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phantasmate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existenti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abstrahit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sit </w:t>
      </w:r>
      <w:proofErr w:type="spellStart"/>
      <w:r w:rsidRPr="009D7635">
        <w:rPr>
          <w:rFonts w:ascii="Times New Roman" w:hAnsi="Times New Roman" w:cs="Times New Roman"/>
          <w:i/>
          <w:color w:val="000000" w:themeColor="text1"/>
          <w:sz w:val="20"/>
          <w:szCs w:val="20"/>
          <w:lang w:val="en-US"/>
        </w:rPr>
        <w:t>actu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intellecta</w:t>
      </w:r>
      <w:proofErr w:type="spellEnd"/>
      <w:r w:rsidRPr="009D7635">
        <w:rPr>
          <w:rFonts w:ascii="Times New Roman" w:hAnsi="Times New Roman" w:cs="Times New Roman"/>
          <w:i/>
          <w:color w:val="000000" w:themeColor="text1"/>
          <w:sz w:val="20"/>
          <w:szCs w:val="20"/>
          <w:lang w:val="en-US"/>
        </w:rPr>
        <w:t xml:space="preserve">, et ex </w:t>
      </w:r>
      <w:proofErr w:type="spellStart"/>
      <w:r w:rsidRPr="009D7635">
        <w:rPr>
          <w:rFonts w:ascii="Times New Roman" w:hAnsi="Times New Roman" w:cs="Times New Roman"/>
          <w:i/>
          <w:color w:val="000000" w:themeColor="text1"/>
          <w:sz w:val="20"/>
          <w:szCs w:val="20"/>
          <w:lang w:val="en-US"/>
        </w:rPr>
        <w:t>illa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qua </w:t>
      </w:r>
      <w:proofErr w:type="spellStart"/>
      <w:r w:rsidRPr="009D7635">
        <w:rPr>
          <w:rFonts w:ascii="Times New Roman" w:hAnsi="Times New Roman" w:cs="Times New Roman"/>
          <w:i/>
          <w:color w:val="000000" w:themeColor="text1"/>
          <w:sz w:val="20"/>
          <w:szCs w:val="20"/>
          <w:lang w:val="en-US"/>
        </w:rPr>
        <w:t>nondum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anima </w:t>
      </w:r>
      <w:proofErr w:type="spellStart"/>
      <w:r w:rsidRPr="009D7635">
        <w:rPr>
          <w:rFonts w:ascii="Times New Roman" w:hAnsi="Times New Roman" w:cs="Times New Roman"/>
          <w:i/>
          <w:color w:val="000000" w:themeColor="text1"/>
          <w:sz w:val="20"/>
          <w:szCs w:val="20"/>
          <w:lang w:val="en-US"/>
        </w:rPr>
        <w:t>illas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w:t>
      </w:r>
    </w:p>
  </w:footnote>
  <w:footnote w:id="973">
    <w:p w14:paraId="574F35F1" w14:textId="65157CBD"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C2, Ar2, Ad </w:t>
      </w:r>
      <w:proofErr w:type="spellStart"/>
      <w:r w:rsidRPr="009D7635">
        <w:rPr>
          <w:rFonts w:ascii="Times New Roman" w:hAnsi="Times New Roman" w:cs="Times New Roman"/>
          <w:color w:val="000000" w:themeColor="text1"/>
        </w:rPr>
        <w:t>objecta</w:t>
      </w:r>
      <w:proofErr w:type="spellEnd"/>
      <w:r w:rsidRPr="009D7635">
        <w:rPr>
          <w:rFonts w:ascii="Times New Roman" w:hAnsi="Times New Roman" w:cs="Times New Roman"/>
          <w:color w:val="000000" w:themeColor="text1"/>
        </w:rPr>
        <w:t xml:space="preserve"> 1, 452.</w:t>
      </w:r>
    </w:p>
  </w:footnote>
  <w:footnote w:id="974">
    <w:p w14:paraId="14D5316D" w14:textId="56B09985"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C2, Ar2,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452.</w:t>
      </w:r>
    </w:p>
  </w:footnote>
  <w:footnote w:id="975">
    <w:p w14:paraId="51D5D207" w14:textId="6F539627" w:rsidR="00B93ED5" w:rsidRPr="009D7635" w:rsidRDefault="00B93ED5" w:rsidP="00E212D3">
      <w:pPr>
        <w:autoSpaceDE w:val="0"/>
        <w:autoSpaceDN w:val="0"/>
        <w:adjustRightInd w:val="0"/>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C2, Ar3, P2, Ad </w:t>
      </w:r>
      <w:proofErr w:type="spellStart"/>
      <w:r w:rsidRPr="009D7635">
        <w:rPr>
          <w:rFonts w:ascii="Times New Roman" w:hAnsi="Times New Roman" w:cs="Times New Roman"/>
          <w:color w:val="000000" w:themeColor="text1"/>
          <w:sz w:val="20"/>
          <w:szCs w:val="20"/>
        </w:rPr>
        <w:t>objecta</w:t>
      </w:r>
      <w:proofErr w:type="spellEnd"/>
      <w:r w:rsidRPr="009D7635">
        <w:rPr>
          <w:rFonts w:ascii="Times New Roman" w:hAnsi="Times New Roman" w:cs="Times New Roman"/>
          <w:color w:val="000000" w:themeColor="text1"/>
          <w:sz w:val="20"/>
          <w:szCs w:val="20"/>
        </w:rPr>
        <w:t xml:space="preserve"> 2, 454: </w:t>
      </w:r>
      <w:r w:rsidRPr="009D7635">
        <w:rPr>
          <w:rFonts w:ascii="Times New Roman" w:hAnsi="Times New Roman" w:cs="Times New Roman"/>
          <w:i/>
          <w:color w:val="000000" w:themeColor="text1"/>
          <w:sz w:val="20"/>
          <w:szCs w:val="20"/>
        </w:rPr>
        <w:t xml:space="preserve">Ad </w:t>
      </w:r>
      <w:proofErr w:type="spellStart"/>
      <w:r w:rsidRPr="009D7635">
        <w:rPr>
          <w:rFonts w:ascii="Times New Roman" w:hAnsi="Times New Roman" w:cs="Times New Roman"/>
          <w:i/>
          <w:color w:val="000000" w:themeColor="text1"/>
          <w:sz w:val="20"/>
          <w:szCs w:val="20"/>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patet</w:t>
      </w:r>
      <w:proofErr w:type="spellEnd"/>
      <w:r w:rsidRPr="009D7635">
        <w:rPr>
          <w:rFonts w:ascii="Times New Roman" w:hAnsi="Times New Roman" w:cs="Times New Roman"/>
          <w:i/>
          <w:color w:val="000000" w:themeColor="text1"/>
          <w:sz w:val="20"/>
          <w:szCs w:val="20"/>
          <w:lang w:val="en-US"/>
        </w:rPr>
        <w:t xml:space="preserve"> per hoc </w:t>
      </w:r>
      <w:proofErr w:type="spellStart"/>
      <w:r w:rsidRPr="009D7635">
        <w:rPr>
          <w:rFonts w:ascii="Times New Roman" w:hAnsi="Times New Roman" w:cs="Times New Roman"/>
          <w:i/>
          <w:color w:val="000000" w:themeColor="text1"/>
          <w:sz w:val="20"/>
          <w:szCs w:val="20"/>
          <w:lang w:val="en-US"/>
        </w:rPr>
        <w:t>responsio</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cum sit </w:t>
      </w:r>
      <w:proofErr w:type="spellStart"/>
      <w:r w:rsidRPr="009D7635">
        <w:rPr>
          <w:rFonts w:ascii="Times New Roman" w:hAnsi="Times New Roman" w:cs="Times New Roman"/>
          <w:i/>
          <w:color w:val="000000" w:themeColor="text1"/>
          <w:sz w:val="20"/>
          <w:szCs w:val="20"/>
          <w:lang w:val="en-US"/>
        </w:rPr>
        <w:t>formarum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abstractarum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phantasmate</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aliquam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comparationem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phantasma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a quo fit </w:t>
      </w:r>
      <w:proofErr w:type="spellStart"/>
      <w:r w:rsidRPr="009D7635">
        <w:rPr>
          <w:rFonts w:ascii="Times New Roman" w:hAnsi="Times New Roman" w:cs="Times New Roman"/>
          <w:i/>
          <w:color w:val="000000" w:themeColor="text1"/>
          <w:sz w:val="20"/>
          <w:szCs w:val="20"/>
          <w:lang w:val="en-US"/>
        </w:rPr>
        <w:t>abstractio</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ita</w:t>
      </w:r>
      <w:proofErr w:type="spellEnd"/>
      <w:r w:rsidRPr="009D7635">
        <w:rPr>
          <w:rFonts w:ascii="Times New Roman" w:hAnsi="Times New Roman" w:cs="Times New Roman"/>
          <w:i/>
          <w:color w:val="000000" w:themeColor="text1"/>
          <w:sz w:val="20"/>
          <w:szCs w:val="20"/>
          <w:lang w:val="en-US"/>
        </w:rPr>
        <w:t xml:space="preserve"> ad corpus,</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sed non sic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sit </w:t>
      </w:r>
      <w:proofErr w:type="spellStart"/>
      <w:r w:rsidRPr="009D7635">
        <w:rPr>
          <w:rFonts w:ascii="Times New Roman" w:hAnsi="Times New Roman" w:cs="Times New Roman"/>
          <w:i/>
          <w:color w:val="000000" w:themeColor="text1"/>
          <w:sz w:val="20"/>
          <w:szCs w:val="20"/>
          <w:lang w:val="en-US"/>
        </w:rPr>
        <w:t>animae</w:t>
      </w:r>
      <w:proofErr w:type="spellEnd"/>
      <w:r w:rsidRPr="009D7635">
        <w:rPr>
          <w:rFonts w:ascii="Times New Roman" w:hAnsi="Times New Roman" w:cs="Times New Roman"/>
          <w:i/>
          <w:color w:val="000000" w:themeColor="text1"/>
          <w:sz w:val="20"/>
          <w:szCs w:val="20"/>
          <w:lang w:val="en-US"/>
        </w:rPr>
        <w:t xml:space="preserve"> in quantum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corpore</w:t>
      </w:r>
      <w:proofErr w:type="spellEnd"/>
      <w:r w:rsidRPr="009D7635">
        <w:rPr>
          <w:rFonts w:ascii="Times New Roman" w:hAnsi="Times New Roman" w:cs="Times New Roman"/>
          <w:i/>
          <w:color w:val="000000" w:themeColor="text1"/>
          <w:sz w:val="20"/>
          <w:szCs w:val="20"/>
          <w:lang w:val="en-US"/>
        </w:rPr>
        <w:t xml:space="preserve">. </w:t>
      </w:r>
    </w:p>
  </w:footnote>
  <w:footnote w:id="976">
    <w:p w14:paraId="12E72F90" w14:textId="44AD3455" w:rsidR="00B93ED5" w:rsidRPr="009D7635" w:rsidRDefault="00B93ED5" w:rsidP="00E212D3">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C2, Ar3, P2, Ad </w:t>
      </w:r>
      <w:proofErr w:type="spellStart"/>
      <w:r w:rsidRPr="009D7635">
        <w:rPr>
          <w:rFonts w:ascii="Times New Roman" w:hAnsi="Times New Roman" w:cs="Times New Roman"/>
          <w:color w:val="000000" w:themeColor="text1"/>
          <w:sz w:val="20"/>
          <w:szCs w:val="20"/>
        </w:rPr>
        <w:t>objecta</w:t>
      </w:r>
      <w:proofErr w:type="spellEnd"/>
      <w:r w:rsidRPr="009D7635">
        <w:rPr>
          <w:rFonts w:ascii="Times New Roman" w:hAnsi="Times New Roman" w:cs="Times New Roman"/>
          <w:color w:val="000000" w:themeColor="text1"/>
          <w:sz w:val="20"/>
          <w:szCs w:val="20"/>
        </w:rPr>
        <w:t xml:space="preserve"> 1, 454: </w:t>
      </w:r>
      <w:r w:rsidRPr="009D7635">
        <w:rPr>
          <w:rFonts w:ascii="Times New Roman" w:hAnsi="Times New Roman" w:cs="Times New Roman"/>
          <w:i/>
          <w:color w:val="000000" w:themeColor="text1"/>
          <w:sz w:val="20"/>
          <w:szCs w:val="20"/>
        </w:rPr>
        <w:t>Et</w:t>
      </w:r>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ideo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intelligere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proportionale</w:t>
      </w:r>
      <w:proofErr w:type="spellEnd"/>
      <w:r w:rsidRPr="009D7635">
        <w:rPr>
          <w:rFonts w:ascii="Times New Roman" w:hAnsi="Times New Roman" w:cs="Times New Roman"/>
          <w:i/>
          <w:color w:val="000000" w:themeColor="text1"/>
          <w:sz w:val="20"/>
          <w:szCs w:val="20"/>
          <w:lang w:val="en-US"/>
        </w:rPr>
        <w:t xml:space="preserve"> medium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inter </w:t>
      </w:r>
      <w:proofErr w:type="spellStart"/>
      <w:r w:rsidRPr="009D7635">
        <w:rPr>
          <w:rFonts w:ascii="Times New Roman" w:hAnsi="Times New Roman" w:cs="Times New Roman"/>
          <w:i/>
          <w:color w:val="000000" w:themeColor="text1"/>
          <w:sz w:val="20"/>
          <w:szCs w:val="20"/>
          <w:lang w:val="en-US"/>
        </w:rPr>
        <w:t>intelligere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speciem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phantasmate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speciem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omnino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separatam</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et hoc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speciem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abstractam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phantasmate</w:t>
      </w:r>
      <w:proofErr w:type="spellEnd"/>
      <w:r w:rsidRPr="009D7635">
        <w:rPr>
          <w:rFonts w:ascii="Times New Roman" w:hAnsi="Times New Roman" w:cs="Times New Roman"/>
          <w:i/>
          <w:color w:val="000000" w:themeColor="text1"/>
          <w:sz w:val="20"/>
          <w:szCs w:val="20"/>
          <w:lang w:val="en-US"/>
        </w:rPr>
        <w:t>.</w:t>
      </w:r>
    </w:p>
  </w:footnote>
  <w:footnote w:id="977">
    <w:p w14:paraId="22295706" w14:textId="5D71880D" w:rsidR="00B93ED5" w:rsidRPr="009D7635" w:rsidRDefault="00B93ED5" w:rsidP="00E212D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Ti1, M1, C2, Ar2, Ad </w:t>
      </w:r>
      <w:proofErr w:type="spellStart"/>
      <w:r w:rsidRPr="009D7635">
        <w:rPr>
          <w:rFonts w:ascii="Times New Roman" w:hAnsi="Times New Roman" w:cs="Times New Roman"/>
          <w:color w:val="000000" w:themeColor="text1"/>
          <w:sz w:val="20"/>
          <w:szCs w:val="20"/>
        </w:rPr>
        <w:t>objecta</w:t>
      </w:r>
      <w:proofErr w:type="spellEnd"/>
      <w:r w:rsidRPr="009D7635">
        <w:rPr>
          <w:rFonts w:ascii="Times New Roman" w:hAnsi="Times New Roman" w:cs="Times New Roman"/>
          <w:color w:val="000000" w:themeColor="text1"/>
          <w:sz w:val="20"/>
          <w:szCs w:val="20"/>
        </w:rPr>
        <w:t xml:space="preserve"> 2, 452: </w:t>
      </w:r>
      <w:r w:rsidRPr="009D7635">
        <w:rPr>
          <w:rFonts w:ascii="Times New Roman" w:hAnsi="Times New Roman" w:cs="Times New Roman"/>
          <w:i/>
          <w:color w:val="000000" w:themeColor="text1"/>
          <w:sz w:val="20"/>
          <w:szCs w:val="20"/>
          <w:lang w:val="en-US"/>
        </w:rPr>
        <w:t xml:space="preserve">Pars ergo </w:t>
      </w:r>
      <w:proofErr w:type="spellStart"/>
      <w:r w:rsidRPr="009D7635">
        <w:rPr>
          <w:rFonts w:ascii="Times New Roman" w:hAnsi="Times New Roman" w:cs="Times New Roman"/>
          <w:i/>
          <w:color w:val="000000" w:themeColor="text1"/>
          <w:sz w:val="20"/>
          <w:szCs w:val="20"/>
          <w:lang w:val="en-US"/>
        </w:rPr>
        <w:t>intellectiva</w:t>
      </w:r>
      <w:proofErr w:type="spellEnd"/>
      <w:r w:rsidRPr="009D7635">
        <w:rPr>
          <w:rFonts w:ascii="Times New Roman" w:hAnsi="Times New Roman" w:cs="Times New Roman"/>
          <w:i/>
          <w:color w:val="000000" w:themeColor="text1"/>
          <w:sz w:val="20"/>
          <w:szCs w:val="20"/>
          <w:lang w:val="en-US"/>
        </w:rPr>
        <w:t xml:space="preserve"> in anima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coniuncta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parti </w:t>
      </w:r>
      <w:proofErr w:type="spellStart"/>
      <w:r w:rsidRPr="009D7635">
        <w:rPr>
          <w:rFonts w:ascii="Times New Roman" w:hAnsi="Times New Roman" w:cs="Times New Roman"/>
          <w:i/>
          <w:color w:val="000000" w:themeColor="text1"/>
          <w:sz w:val="20"/>
          <w:szCs w:val="20"/>
          <w:lang w:val="en-US"/>
        </w:rPr>
        <w:t>sensibili</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illa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sufficientiam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habet</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agente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viribus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praeambulis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sensibilibus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educatur</w:t>
      </w:r>
      <w:proofErr w:type="spellEnd"/>
      <w:r w:rsidRPr="009D7635">
        <w:rPr>
          <w:rFonts w:ascii="Times New Roman" w:hAnsi="Times New Roman" w:cs="Times New Roman"/>
          <w:i/>
          <w:color w:val="000000" w:themeColor="text1"/>
          <w:sz w:val="20"/>
          <w:szCs w:val="20"/>
          <w:lang w:val="en-US"/>
        </w:rPr>
        <w:t xml:space="preserve"> de </w:t>
      </w:r>
      <w:proofErr w:type="spellStart"/>
      <w:r w:rsidRPr="009D7635">
        <w:rPr>
          <w:rFonts w:ascii="Times New Roman" w:hAnsi="Times New Roman" w:cs="Times New Roman"/>
          <w:i/>
          <w:color w:val="000000" w:themeColor="text1"/>
          <w:sz w:val="20"/>
          <w:szCs w:val="20"/>
          <w:lang w:val="en-US"/>
        </w:rPr>
        <w:t>potentia</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actum</w:t>
      </w:r>
      <w:proofErr w:type="spellEnd"/>
      <w:r w:rsidRPr="009D7635">
        <w:rPr>
          <w:rFonts w:ascii="Times New Roman" w:hAnsi="Times New Roman" w:cs="Times New Roman"/>
          <w:i/>
          <w:color w:val="000000" w:themeColor="text1"/>
          <w:sz w:val="20"/>
          <w:szCs w:val="20"/>
          <w:lang w:val="en-US"/>
        </w:rPr>
        <w:t xml:space="preserve">. Vires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praeparant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sit </w:t>
      </w:r>
      <w:proofErr w:type="spellStart"/>
      <w:r w:rsidRPr="009D7635">
        <w:rPr>
          <w:rFonts w:ascii="Times New Roman" w:hAnsi="Times New Roman" w:cs="Times New Roman"/>
          <w:i/>
          <w:color w:val="000000" w:themeColor="text1"/>
          <w:sz w:val="20"/>
          <w:szCs w:val="20"/>
          <w:lang w:val="en-US"/>
        </w:rPr>
        <w:t>conveniens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abstractioni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agens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abstrahit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eam</w:t>
      </w:r>
      <w:proofErr w:type="spellEnd"/>
      <w:r w:rsidRPr="009D7635">
        <w:rPr>
          <w:rFonts w:ascii="Times New Roman" w:hAnsi="Times New Roman" w:cs="Times New Roman"/>
          <w:i/>
          <w:color w:val="000000" w:themeColor="text1"/>
          <w:sz w:val="20"/>
          <w:szCs w:val="20"/>
          <w:lang w:val="en-US"/>
        </w:rPr>
        <w:t xml:space="preserve"> et unit cum </w:t>
      </w:r>
      <w:proofErr w:type="spellStart"/>
      <w:r w:rsidRPr="009D7635">
        <w:rPr>
          <w:rFonts w:ascii="Times New Roman" w:hAnsi="Times New Roman" w:cs="Times New Roman"/>
          <w:i/>
          <w:color w:val="000000" w:themeColor="text1"/>
          <w:sz w:val="20"/>
          <w:szCs w:val="20"/>
          <w:lang w:val="en-US"/>
        </w:rPr>
        <w:t>possibili</w:t>
      </w:r>
      <w:proofErr w:type="spellEnd"/>
      <w:r w:rsidRPr="009D7635">
        <w:rPr>
          <w:rFonts w:ascii="Times New Roman" w:hAnsi="Times New Roman" w:cs="Times New Roman"/>
          <w:i/>
          <w:color w:val="000000" w:themeColor="text1"/>
          <w:sz w:val="20"/>
          <w:szCs w:val="20"/>
          <w:lang w:val="en-US"/>
        </w:rPr>
        <w:t xml:space="preserve">. Sic ergo </w:t>
      </w:r>
      <w:proofErr w:type="spellStart"/>
      <w:r w:rsidRPr="009D7635">
        <w:rPr>
          <w:rFonts w:ascii="Times New Roman" w:hAnsi="Times New Roman" w:cs="Times New Roman"/>
          <w:i/>
          <w:color w:val="000000" w:themeColor="text1"/>
          <w:sz w:val="20"/>
          <w:szCs w:val="20"/>
          <w:lang w:val="en-US"/>
        </w:rPr>
        <w:t>completur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possibilis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receptione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specierum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intelligibilium</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phantasmate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abstractarum</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See also</w:t>
      </w:r>
      <w:r w:rsidR="009665BD" w:rsidRPr="009D7635">
        <w:rPr>
          <w:rFonts w:ascii="Times New Roman" w:hAnsi="Times New Roman" w:cs="Times New Roman"/>
          <w:color w:val="000000" w:themeColor="text1"/>
          <w:sz w:val="20"/>
          <w:szCs w:val="20"/>
          <w:lang w:val="en-US"/>
        </w:rPr>
        <w:t xml:space="preserve"> SH </w:t>
      </w:r>
      <w:r w:rsidRPr="009D7635">
        <w:rPr>
          <w:rFonts w:ascii="Times New Roman" w:hAnsi="Times New Roman" w:cs="Times New Roman"/>
          <w:color w:val="000000" w:themeColor="text1"/>
          <w:sz w:val="20"/>
          <w:szCs w:val="20"/>
        </w:rPr>
        <w:t xml:space="preserve">2.1, In4, Tr1, S2, Q2, Ti1, M1, C1,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2, 431: </w:t>
      </w:r>
      <w:r w:rsidRPr="009D7635">
        <w:rPr>
          <w:rFonts w:ascii="Times New Roman" w:hAnsi="Times New Roman" w:cs="Times New Roman"/>
          <w:i/>
          <w:color w:val="000000" w:themeColor="text1"/>
          <w:sz w:val="20"/>
          <w:szCs w:val="20"/>
          <w:lang w:val="en-US"/>
        </w:rPr>
        <w:t xml:space="preserve">Ratio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convertit</w:t>
      </w:r>
      <w:proofErr w:type="spellEnd"/>
      <w:r w:rsidRPr="009D7635">
        <w:rPr>
          <w:rFonts w:ascii="Times New Roman" w:hAnsi="Times New Roman" w:cs="Times New Roman"/>
          <w:i/>
          <w:color w:val="000000" w:themeColor="text1"/>
          <w:sz w:val="20"/>
          <w:szCs w:val="20"/>
          <w:lang w:val="en-US"/>
        </w:rPr>
        <w:t xml:space="preserve"> se ad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abstractas</w:t>
      </w:r>
      <w:proofErr w:type="spellEnd"/>
      <w:r w:rsidRPr="009D7635">
        <w:rPr>
          <w:rFonts w:ascii="Times New Roman" w:hAnsi="Times New Roman" w:cs="Times New Roman"/>
          <w:i/>
          <w:color w:val="000000" w:themeColor="text1"/>
          <w:sz w:val="20"/>
          <w:szCs w:val="20"/>
          <w:lang w:val="en-US"/>
        </w:rPr>
        <w:t xml:space="preserve"> a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convertit</w:t>
      </w:r>
      <w:proofErr w:type="spellEnd"/>
      <w:r w:rsidRPr="009D7635">
        <w:rPr>
          <w:rFonts w:ascii="Times New Roman" w:hAnsi="Times New Roman" w:cs="Times New Roman"/>
          <w:i/>
          <w:color w:val="000000" w:themeColor="text1"/>
          <w:sz w:val="20"/>
          <w:szCs w:val="20"/>
          <w:lang w:val="en-US"/>
        </w:rPr>
        <w:t xml:space="preserve"> se ad </w:t>
      </w:r>
      <w:proofErr w:type="spellStart"/>
      <w:r w:rsidRPr="009D7635">
        <w:rPr>
          <w:rFonts w:ascii="Times New Roman" w:hAnsi="Times New Roman" w:cs="Times New Roman"/>
          <w:i/>
          <w:color w:val="000000" w:themeColor="text1"/>
          <w:sz w:val="20"/>
          <w:szCs w:val="20"/>
          <w:lang w:val="en-US"/>
        </w:rPr>
        <w:t>formas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existentes</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materia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disparationem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sive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oppositionem</w:t>
      </w:r>
      <w:proofErr w:type="spellEnd"/>
      <w:r w:rsidRPr="009D7635">
        <w:rPr>
          <w:rFonts w:ascii="Times New Roman" w:hAnsi="Times New Roman" w:cs="Times New Roman"/>
          <w:i/>
          <w:color w:val="000000" w:themeColor="text1"/>
          <w:sz w:val="20"/>
          <w:szCs w:val="20"/>
          <w:lang w:val="en-US"/>
        </w:rPr>
        <w:t xml:space="preserve"> in specie.</w:t>
      </w:r>
      <w:r w:rsidRPr="009D7635">
        <w:rPr>
          <w:rFonts w:ascii="Times New Roman" w:hAnsi="Times New Roman" w:cs="Times New Roman"/>
          <w:color w:val="000000" w:themeColor="text1"/>
          <w:sz w:val="20"/>
          <w:szCs w:val="20"/>
          <w:lang w:val="en-US"/>
        </w:rPr>
        <w:t xml:space="preserve"> </w:t>
      </w:r>
    </w:p>
  </w:footnote>
  <w:footnote w:id="978">
    <w:p w14:paraId="26FC4B49" w14:textId="496D48F3"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C2, Ar1, 450-1. </w:t>
      </w:r>
    </w:p>
  </w:footnote>
  <w:footnote w:id="979">
    <w:p w14:paraId="37E0FBA6" w14:textId="59C24409"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C2, Ar2, I, 451, quoting </w:t>
      </w:r>
      <w:r w:rsidRPr="009D7635">
        <w:rPr>
          <w:rFonts w:ascii="Times New Roman" w:hAnsi="Times New Roman" w:cs="Times New Roman"/>
          <w:i/>
          <w:color w:val="000000" w:themeColor="text1"/>
        </w:rPr>
        <w:t xml:space="preserve">Metaphysics </w:t>
      </w:r>
      <w:r w:rsidRPr="009D7635">
        <w:rPr>
          <w:rFonts w:ascii="Times New Roman" w:hAnsi="Times New Roman" w:cs="Times New Roman"/>
          <w:color w:val="000000" w:themeColor="text1"/>
        </w:rPr>
        <w:t xml:space="preserve">VIII.8.  </w:t>
      </w:r>
    </w:p>
  </w:footnote>
  <w:footnote w:id="980">
    <w:p w14:paraId="4D22D7C3" w14:textId="2BF18109"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S2, Q3, Ti1, M1, C2, Ar1, 450.</w:t>
      </w:r>
    </w:p>
  </w:footnote>
  <w:footnote w:id="981">
    <w:p w14:paraId="4CBC201E" w14:textId="13009DE1"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Ti1, M1, C2, Ar2, I, 451, quoting </w:t>
      </w:r>
      <w:r w:rsidRPr="009D7635">
        <w:rPr>
          <w:rFonts w:ascii="Times New Roman" w:hAnsi="Times New Roman" w:cs="Times New Roman"/>
          <w:i/>
          <w:color w:val="000000" w:themeColor="text1"/>
        </w:rPr>
        <w:t xml:space="preserve">Metaphysics </w:t>
      </w:r>
      <w:r w:rsidRPr="009D7635">
        <w:rPr>
          <w:rFonts w:ascii="Times New Roman" w:hAnsi="Times New Roman" w:cs="Times New Roman"/>
          <w:color w:val="000000" w:themeColor="text1"/>
        </w:rPr>
        <w:t xml:space="preserve">VIII.8.  </w:t>
      </w:r>
    </w:p>
  </w:footnote>
  <w:footnote w:id="982">
    <w:p w14:paraId="6828F54A" w14:textId="6D0B23A8" w:rsidR="00B93ED5" w:rsidRPr="009D7635" w:rsidRDefault="00B93ED5" w:rsidP="00E212D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Tommaso Alpina, ‘Intellectual Knowledge, Active Intellect, and Intellectual Memory in Avicenna’s </w:t>
      </w:r>
      <w:proofErr w:type="spellStart"/>
      <w:r w:rsidRPr="009D7635">
        <w:rPr>
          <w:rFonts w:ascii="Times New Roman" w:hAnsi="Times New Roman" w:cs="Times New Roman"/>
          <w:color w:val="000000" w:themeColor="text1"/>
        </w:rPr>
        <w:t>Kitab</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al-Nafs</w:t>
      </w:r>
      <w:proofErr w:type="spellEnd"/>
      <w:r w:rsidRPr="009D7635">
        <w:rPr>
          <w:rFonts w:ascii="Times New Roman" w:hAnsi="Times New Roman" w:cs="Times New Roman"/>
          <w:color w:val="000000" w:themeColor="text1"/>
        </w:rPr>
        <w:t xml:space="preserve"> and Its Aristotelian Background,’ </w:t>
      </w:r>
      <w:proofErr w:type="spellStart"/>
      <w:r w:rsidRPr="009D7635">
        <w:rPr>
          <w:rFonts w:ascii="Times New Roman" w:hAnsi="Times New Roman" w:cs="Times New Roman"/>
          <w:i/>
          <w:color w:val="000000" w:themeColor="text1"/>
          <w:lang w:val="en-US"/>
        </w:rPr>
        <w:t>Documenti</w:t>
      </w:r>
      <w:proofErr w:type="spellEnd"/>
      <w:r w:rsidRPr="009D7635">
        <w:rPr>
          <w:rFonts w:ascii="Times New Roman" w:hAnsi="Times New Roman" w:cs="Times New Roman"/>
          <w:i/>
          <w:color w:val="000000" w:themeColor="text1"/>
          <w:lang w:val="en-US"/>
        </w:rPr>
        <w:t xml:space="preserve"> e </w:t>
      </w:r>
      <w:proofErr w:type="spellStart"/>
      <w:r w:rsidRPr="009D7635">
        <w:rPr>
          <w:rFonts w:ascii="Times New Roman" w:hAnsi="Times New Roman" w:cs="Times New Roman"/>
          <w:i/>
          <w:color w:val="000000" w:themeColor="text1"/>
          <w:lang w:val="en-US"/>
        </w:rPr>
        <w:t>studi</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sulla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tradizione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filosofica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medievale</w:t>
      </w:r>
      <w:proofErr w:type="spellEnd"/>
      <w:r w:rsidRPr="009D7635">
        <w:rPr>
          <w:rFonts w:ascii="Times New Roman" w:hAnsi="Times New Roman" w:cs="Times New Roman"/>
          <w:color w:val="000000" w:themeColor="text1"/>
          <w:lang w:val="en-US"/>
        </w:rPr>
        <w:t xml:space="preserve"> 25 (2014)</w:t>
      </w:r>
      <w:r w:rsidR="00506CE2" w:rsidRPr="009D7635">
        <w:rPr>
          <w:rFonts w:ascii="Times New Roman" w:hAnsi="Times New Roman" w:cs="Times New Roman"/>
          <w:color w:val="000000" w:themeColor="text1"/>
          <w:lang w:val="en-US"/>
        </w:rPr>
        <w:t>:</w:t>
      </w:r>
      <w:r w:rsidRPr="009D7635">
        <w:rPr>
          <w:rFonts w:ascii="Times New Roman" w:hAnsi="Times New Roman" w:cs="Times New Roman"/>
          <w:color w:val="000000" w:themeColor="text1"/>
          <w:lang w:val="en-US"/>
        </w:rPr>
        <w:t xml:space="preserve"> 131-83. </w:t>
      </w:r>
    </w:p>
  </w:footnote>
  <w:footnote w:id="983">
    <w:p w14:paraId="06570249" w14:textId="2412D211" w:rsidR="00B93ED5" w:rsidRPr="009D7635" w:rsidRDefault="00B93ED5" w:rsidP="00E212D3">
      <w:pPr>
        <w:rPr>
          <w:rFonts w:ascii="Times New Roman" w:eastAsia="Times New Roman" w:hAnsi="Times New Roman" w:cs="Times New Roman"/>
          <w:color w:val="000000" w:themeColor="text1"/>
          <w:sz w:val="20"/>
          <w:szCs w:val="20"/>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color w:val="000000" w:themeColor="text1"/>
          <w:sz w:val="20"/>
          <w:szCs w:val="20"/>
          <w:lang w:eastAsia="en-GB"/>
        </w:rPr>
        <w:t xml:space="preserve">Leonard J. Bowman, ‘The Development of the Doctrine of the Agent Intellect in the Franciscan School of the Thirteenth Century,’ </w:t>
      </w:r>
      <w:r w:rsidRPr="009D7635">
        <w:rPr>
          <w:rFonts w:ascii="Times New Roman" w:eastAsia="Times New Roman" w:hAnsi="Times New Roman" w:cs="Times New Roman"/>
          <w:i/>
          <w:color w:val="000000" w:themeColor="text1"/>
          <w:sz w:val="20"/>
          <w:szCs w:val="20"/>
          <w:lang w:eastAsia="en-GB"/>
        </w:rPr>
        <w:t>The Modern Schoolman</w:t>
      </w:r>
      <w:r w:rsidRPr="009D7635">
        <w:rPr>
          <w:rFonts w:ascii="Times New Roman" w:eastAsia="Times New Roman" w:hAnsi="Times New Roman" w:cs="Times New Roman"/>
          <w:color w:val="000000" w:themeColor="text1"/>
          <w:sz w:val="20"/>
          <w:szCs w:val="20"/>
          <w:lang w:eastAsia="en-GB"/>
        </w:rPr>
        <w:t xml:space="preserve"> 50 (1973)</w:t>
      </w:r>
      <w:r w:rsidR="00506CE2" w:rsidRPr="009D7635">
        <w:rPr>
          <w:rFonts w:ascii="Times New Roman" w:eastAsia="Times New Roman" w:hAnsi="Times New Roman" w:cs="Times New Roman"/>
          <w:color w:val="000000" w:themeColor="text1"/>
          <w:sz w:val="20"/>
          <w:szCs w:val="20"/>
          <w:lang w:eastAsia="en-GB"/>
        </w:rPr>
        <w:t>:</w:t>
      </w:r>
      <w:r w:rsidRPr="009D7635">
        <w:rPr>
          <w:rFonts w:ascii="Times New Roman" w:eastAsia="Times New Roman" w:hAnsi="Times New Roman" w:cs="Times New Roman"/>
          <w:color w:val="000000" w:themeColor="text1"/>
          <w:sz w:val="20"/>
          <w:szCs w:val="20"/>
          <w:lang w:eastAsia="en-GB"/>
        </w:rPr>
        <w:t xml:space="preserve"> 251; on Alexander</w:t>
      </w:r>
      <w:r w:rsidR="00506CE2" w:rsidRPr="009D7635">
        <w:rPr>
          <w:rFonts w:ascii="Times New Roman" w:eastAsia="Times New Roman" w:hAnsi="Times New Roman" w:cs="Times New Roman"/>
          <w:color w:val="000000" w:themeColor="text1"/>
          <w:sz w:val="20"/>
          <w:szCs w:val="20"/>
          <w:lang w:eastAsia="en-GB"/>
        </w:rPr>
        <w:t xml:space="preserve">: </w:t>
      </w:r>
      <w:r w:rsidRPr="009D7635">
        <w:rPr>
          <w:rFonts w:ascii="Times New Roman" w:eastAsia="Times New Roman" w:hAnsi="Times New Roman" w:cs="Times New Roman"/>
          <w:color w:val="000000" w:themeColor="text1"/>
          <w:sz w:val="20"/>
          <w:szCs w:val="20"/>
          <w:lang w:eastAsia="en-GB"/>
        </w:rPr>
        <w:t>253-5; on John</w:t>
      </w:r>
      <w:r w:rsidR="00506CE2" w:rsidRPr="009D7635">
        <w:rPr>
          <w:rFonts w:ascii="Times New Roman" w:eastAsia="Times New Roman" w:hAnsi="Times New Roman" w:cs="Times New Roman"/>
          <w:color w:val="000000" w:themeColor="text1"/>
          <w:sz w:val="20"/>
          <w:szCs w:val="20"/>
          <w:lang w:eastAsia="en-GB"/>
        </w:rPr>
        <w:t>:</w:t>
      </w:r>
      <w:r w:rsidRPr="009D7635">
        <w:rPr>
          <w:rFonts w:ascii="Times New Roman" w:eastAsia="Times New Roman" w:hAnsi="Times New Roman" w:cs="Times New Roman"/>
          <w:color w:val="000000" w:themeColor="text1"/>
          <w:sz w:val="20"/>
          <w:szCs w:val="20"/>
          <w:lang w:eastAsia="en-GB"/>
        </w:rPr>
        <w:t xml:space="preserve"> 255-7. Bowman does make one point of interest on page 266, namely, that John Peckham, who largely reproduces the view of Roger Bacon on God as the Agent Intellect, affirms what Bacon believed to be </w:t>
      </w:r>
      <w:proofErr w:type="spellStart"/>
      <w:r w:rsidRPr="009D7635">
        <w:rPr>
          <w:rFonts w:ascii="Times New Roman" w:eastAsia="Times New Roman" w:hAnsi="Times New Roman" w:cs="Times New Roman"/>
          <w:color w:val="000000" w:themeColor="text1"/>
          <w:sz w:val="20"/>
          <w:szCs w:val="20"/>
          <w:lang w:eastAsia="en-GB"/>
        </w:rPr>
        <w:t>Averroes</w:t>
      </w:r>
      <w:proofErr w:type="spellEnd"/>
      <w:r w:rsidRPr="009D7635">
        <w:rPr>
          <w:rFonts w:ascii="Times New Roman" w:eastAsia="Times New Roman" w:hAnsi="Times New Roman" w:cs="Times New Roman"/>
          <w:color w:val="000000" w:themeColor="text1"/>
          <w:sz w:val="20"/>
          <w:szCs w:val="20"/>
          <w:lang w:eastAsia="en-GB"/>
        </w:rPr>
        <w:t xml:space="preserve">’ view that human beings possess only the possible intellect, but this somehow has both a passive and an active dimension of receiving input and then preparing it for God’s illumination. </w:t>
      </w:r>
    </w:p>
  </w:footnote>
  <w:footnote w:id="984">
    <w:p w14:paraId="52FF5B4C" w14:textId="504D54B3" w:rsidR="00B93ED5" w:rsidRPr="009D7635" w:rsidRDefault="00B93ED5" w:rsidP="00E212D3">
      <w:pPr>
        <w:rPr>
          <w:rFonts w:ascii="Times New Roman" w:eastAsia="Times New Roman" w:hAnsi="Times New Roman" w:cs="Times New Roman"/>
          <w:color w:val="000000" w:themeColor="text1"/>
          <w:sz w:val="20"/>
          <w:szCs w:val="20"/>
          <w:shd w:val="clear" w:color="auto" w:fill="FFFFFF"/>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color w:val="000000" w:themeColor="text1"/>
          <w:sz w:val="20"/>
          <w:szCs w:val="20"/>
          <w:shd w:val="clear" w:color="auto" w:fill="FFFFFF"/>
          <w:lang w:eastAsia="en-GB"/>
        </w:rPr>
        <w:t xml:space="preserve">Margaret M. Curtin, ‘The </w:t>
      </w:r>
      <w:proofErr w:type="spellStart"/>
      <w:r w:rsidRPr="009D7635">
        <w:rPr>
          <w:rFonts w:ascii="Times New Roman" w:eastAsia="Times New Roman" w:hAnsi="Times New Roman" w:cs="Times New Roman"/>
          <w:i/>
          <w:color w:val="000000" w:themeColor="text1"/>
          <w:sz w:val="20"/>
          <w:szCs w:val="20"/>
          <w:shd w:val="clear" w:color="auto" w:fill="FFFFFF"/>
          <w:lang w:eastAsia="en-GB"/>
        </w:rPr>
        <w:t>intellectus</w:t>
      </w:r>
      <w:proofErr w:type="spellEnd"/>
      <w:r w:rsidRPr="009D7635">
        <w:rPr>
          <w:rFonts w:ascii="Times New Roman" w:eastAsia="Times New Roman" w:hAnsi="Times New Roman" w:cs="Times New Roman"/>
          <w:i/>
          <w:color w:val="000000" w:themeColor="text1"/>
          <w:sz w:val="20"/>
          <w:szCs w:val="20"/>
          <w:shd w:val="clear" w:color="auto" w:fill="FFFFFF"/>
          <w:lang w:eastAsia="en-GB"/>
        </w:rPr>
        <w:t xml:space="preserve"> </w:t>
      </w:r>
      <w:proofErr w:type="spellStart"/>
      <w:r w:rsidRPr="009D7635">
        <w:rPr>
          <w:rFonts w:ascii="Times New Roman" w:eastAsia="Times New Roman" w:hAnsi="Times New Roman" w:cs="Times New Roman"/>
          <w:i/>
          <w:color w:val="000000" w:themeColor="text1"/>
          <w:sz w:val="20"/>
          <w:szCs w:val="20"/>
          <w:shd w:val="clear" w:color="auto" w:fill="FFFFFF"/>
          <w:lang w:eastAsia="en-GB"/>
        </w:rPr>
        <w:t>agens</w:t>
      </w:r>
      <w:proofErr w:type="spellEnd"/>
      <w:r w:rsidRPr="009D7635">
        <w:rPr>
          <w:rFonts w:ascii="Times New Roman" w:eastAsia="Times New Roman" w:hAnsi="Times New Roman" w:cs="Times New Roman"/>
          <w:color w:val="000000" w:themeColor="text1"/>
          <w:sz w:val="20"/>
          <w:szCs w:val="20"/>
          <w:shd w:val="clear" w:color="auto" w:fill="FFFFFF"/>
          <w:lang w:eastAsia="en-GB"/>
        </w:rPr>
        <w:t xml:space="preserve"> in the Summa of Alexander of Hales,’</w:t>
      </w:r>
      <w:r w:rsidRPr="009D7635">
        <w:rPr>
          <w:rFonts w:ascii="Times New Roman" w:eastAsia="Times New Roman" w:hAnsi="Times New Roman" w:cs="Times New Roman"/>
          <w:color w:val="000000" w:themeColor="text1"/>
          <w:sz w:val="20"/>
          <w:szCs w:val="20"/>
          <w:lang w:eastAsia="en-GB"/>
        </w:rPr>
        <w:t xml:space="preserve"> </w:t>
      </w:r>
      <w:r w:rsidRPr="009D7635">
        <w:rPr>
          <w:rFonts w:ascii="Times New Roman" w:eastAsia="Times New Roman" w:hAnsi="Times New Roman" w:cs="Times New Roman"/>
          <w:i/>
          <w:iCs/>
          <w:color w:val="000000" w:themeColor="text1"/>
          <w:sz w:val="20"/>
          <w:szCs w:val="20"/>
          <w:shd w:val="clear" w:color="auto" w:fill="FFFFFF"/>
          <w:lang w:eastAsia="en-GB"/>
        </w:rPr>
        <w:t xml:space="preserve">Franciscan Studies </w:t>
      </w:r>
      <w:r w:rsidRPr="009D7635">
        <w:rPr>
          <w:rFonts w:ascii="Times New Roman" w:eastAsia="Times New Roman" w:hAnsi="Times New Roman" w:cs="Times New Roman"/>
          <w:iCs/>
          <w:color w:val="000000" w:themeColor="text1"/>
          <w:sz w:val="20"/>
          <w:szCs w:val="20"/>
          <w:shd w:val="clear" w:color="auto" w:fill="FFFFFF"/>
          <w:lang w:eastAsia="en-GB"/>
        </w:rPr>
        <w:t>5 (1945)</w:t>
      </w:r>
      <w:r w:rsidR="006C7C3A" w:rsidRPr="009D7635">
        <w:rPr>
          <w:rFonts w:ascii="Times New Roman" w:eastAsia="Times New Roman" w:hAnsi="Times New Roman" w:cs="Times New Roman"/>
          <w:iCs/>
          <w:color w:val="000000" w:themeColor="text1"/>
          <w:sz w:val="20"/>
          <w:szCs w:val="20"/>
          <w:shd w:val="clear" w:color="auto" w:fill="FFFFFF"/>
          <w:lang w:eastAsia="en-GB"/>
        </w:rPr>
        <w:t>:</w:t>
      </w:r>
      <w:r w:rsidRPr="009D7635">
        <w:rPr>
          <w:rFonts w:ascii="Times New Roman" w:eastAsia="Times New Roman" w:hAnsi="Times New Roman" w:cs="Times New Roman"/>
          <w:color w:val="000000" w:themeColor="text1"/>
          <w:sz w:val="20"/>
          <w:szCs w:val="20"/>
          <w:lang w:eastAsia="en-GB"/>
        </w:rPr>
        <w:t xml:space="preserve"> </w:t>
      </w:r>
      <w:r w:rsidRPr="009D7635">
        <w:rPr>
          <w:rFonts w:ascii="Times New Roman" w:eastAsia="Times New Roman" w:hAnsi="Times New Roman" w:cs="Times New Roman"/>
          <w:color w:val="000000" w:themeColor="text1"/>
          <w:sz w:val="20"/>
          <w:szCs w:val="20"/>
          <w:shd w:val="clear" w:color="auto" w:fill="FFFFFF"/>
          <w:lang w:eastAsia="en-GB"/>
        </w:rPr>
        <w:t xml:space="preserve">418-33. </w:t>
      </w:r>
    </w:p>
  </w:footnote>
  <w:footnote w:id="985">
    <w:p w14:paraId="295E55F7" w14:textId="2899AD1A" w:rsidR="00B93ED5" w:rsidRPr="009D7635" w:rsidRDefault="00B93ED5" w:rsidP="00E212D3">
      <w:pPr>
        <w:rPr>
          <w:rFonts w:ascii="Times New Roman" w:eastAsia="Times New Roman" w:hAnsi="Times New Roman" w:cs="Times New Roman"/>
          <w:color w:val="000000" w:themeColor="text1"/>
          <w:sz w:val="20"/>
          <w:szCs w:val="20"/>
          <w:shd w:val="clear" w:color="auto" w:fill="FFFFFF"/>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color w:val="000000" w:themeColor="text1"/>
          <w:sz w:val="20"/>
          <w:szCs w:val="20"/>
          <w:shd w:val="clear" w:color="auto" w:fill="FFFFFF"/>
          <w:lang w:eastAsia="en-GB"/>
        </w:rPr>
        <w:t xml:space="preserve">Tomas </w:t>
      </w:r>
      <w:proofErr w:type="spellStart"/>
      <w:r w:rsidRPr="009D7635">
        <w:rPr>
          <w:rFonts w:ascii="Times New Roman" w:eastAsia="Times New Roman" w:hAnsi="Times New Roman" w:cs="Times New Roman"/>
          <w:color w:val="000000" w:themeColor="text1"/>
          <w:sz w:val="20"/>
          <w:szCs w:val="20"/>
          <w:shd w:val="clear" w:color="auto" w:fill="FFFFFF"/>
          <w:lang w:eastAsia="en-GB"/>
        </w:rPr>
        <w:t>Nejeschebi</w:t>
      </w:r>
      <w:proofErr w:type="spellEnd"/>
      <w:r w:rsidRPr="009D7635">
        <w:rPr>
          <w:rFonts w:ascii="Times New Roman" w:eastAsia="Times New Roman" w:hAnsi="Times New Roman" w:cs="Times New Roman"/>
          <w:color w:val="000000" w:themeColor="text1"/>
          <w:sz w:val="20"/>
          <w:szCs w:val="20"/>
          <w:shd w:val="clear" w:color="auto" w:fill="FFFFFF"/>
          <w:lang w:eastAsia="en-GB"/>
        </w:rPr>
        <w:t xml:space="preserve"> is more sensitive to the </w:t>
      </w:r>
      <w:proofErr w:type="spellStart"/>
      <w:r w:rsidRPr="009D7635">
        <w:rPr>
          <w:rFonts w:ascii="Times New Roman" w:eastAsia="Times New Roman" w:hAnsi="Times New Roman" w:cs="Times New Roman"/>
          <w:color w:val="000000" w:themeColor="text1"/>
          <w:sz w:val="20"/>
          <w:szCs w:val="20"/>
          <w:shd w:val="clear" w:color="auto" w:fill="FFFFFF"/>
          <w:lang w:eastAsia="en-GB"/>
        </w:rPr>
        <w:t>Avicennian</w:t>
      </w:r>
      <w:proofErr w:type="spellEnd"/>
      <w:r w:rsidRPr="009D7635">
        <w:rPr>
          <w:rFonts w:ascii="Times New Roman" w:eastAsia="Times New Roman" w:hAnsi="Times New Roman" w:cs="Times New Roman"/>
          <w:color w:val="000000" w:themeColor="text1"/>
          <w:sz w:val="20"/>
          <w:szCs w:val="20"/>
          <w:shd w:val="clear" w:color="auto" w:fill="FFFFFF"/>
          <w:lang w:eastAsia="en-GB"/>
        </w:rPr>
        <w:t xml:space="preserve"> influence in his article, ‘Thomas Aquinas and the Early Franciscan School on the Agent Intellect,’ </w:t>
      </w:r>
      <w:proofErr w:type="spellStart"/>
      <w:r w:rsidRPr="009D7635">
        <w:rPr>
          <w:rFonts w:ascii="Times New Roman" w:eastAsia="Times New Roman" w:hAnsi="Times New Roman" w:cs="Times New Roman"/>
          <w:i/>
          <w:color w:val="000000" w:themeColor="text1"/>
          <w:sz w:val="20"/>
          <w:szCs w:val="20"/>
          <w:shd w:val="clear" w:color="auto" w:fill="FFFFFF"/>
          <w:lang w:eastAsia="en-GB"/>
        </w:rPr>
        <w:t>Verbum</w:t>
      </w:r>
      <w:proofErr w:type="spellEnd"/>
      <w:r w:rsidRPr="009D7635">
        <w:rPr>
          <w:rFonts w:ascii="Times New Roman" w:eastAsia="Times New Roman" w:hAnsi="Times New Roman" w:cs="Times New Roman"/>
          <w:color w:val="000000" w:themeColor="text1"/>
          <w:sz w:val="20"/>
          <w:szCs w:val="20"/>
          <w:shd w:val="clear" w:color="auto" w:fill="FFFFFF"/>
          <w:lang w:eastAsia="en-GB"/>
        </w:rPr>
        <w:t xml:space="preserve"> 6:1 (2004)</w:t>
      </w:r>
      <w:r w:rsidR="006C7C3A" w:rsidRPr="009D7635">
        <w:rPr>
          <w:rFonts w:ascii="Times New Roman" w:eastAsia="Times New Roman" w:hAnsi="Times New Roman" w:cs="Times New Roman"/>
          <w:color w:val="000000" w:themeColor="text1"/>
          <w:sz w:val="20"/>
          <w:szCs w:val="20"/>
          <w:shd w:val="clear" w:color="auto" w:fill="FFFFFF"/>
          <w:lang w:eastAsia="en-GB"/>
        </w:rPr>
        <w:t>:</w:t>
      </w:r>
      <w:r w:rsidRPr="009D7635">
        <w:rPr>
          <w:rFonts w:ascii="Times New Roman" w:eastAsia="Times New Roman" w:hAnsi="Times New Roman" w:cs="Times New Roman"/>
          <w:color w:val="000000" w:themeColor="text1"/>
          <w:sz w:val="20"/>
          <w:szCs w:val="20"/>
          <w:shd w:val="clear" w:color="auto" w:fill="FFFFFF"/>
          <w:lang w:eastAsia="en-GB"/>
        </w:rPr>
        <w:t xml:space="preserve"> 69-70. However his main focus is Bonaventure, and he only mentions Alexander and Rochelle briefly as background on pages 75-6. His overall interest is only to discuss their ideas insofar as Franciscans supposedly had a hand in condemning Aquinas’ view on the intellect in 1277. </w:t>
      </w:r>
    </w:p>
  </w:footnote>
  <w:footnote w:id="986">
    <w:p w14:paraId="2314B907" w14:textId="4B8AD739" w:rsidR="00B93ED5" w:rsidRPr="009D7635" w:rsidRDefault="00B93ED5" w:rsidP="00E212D3">
      <w:pPr>
        <w:rPr>
          <w:rFonts w:ascii="Times New Roman" w:eastAsia="Times New Roman" w:hAnsi="Times New Roman" w:cs="Times New Roman"/>
          <w:color w:val="000000" w:themeColor="text1"/>
          <w:sz w:val="20"/>
          <w:szCs w:val="20"/>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color w:val="000000" w:themeColor="text1"/>
          <w:sz w:val="20"/>
          <w:szCs w:val="20"/>
          <w:lang w:val="de-DE" w:eastAsia="en-GB"/>
        </w:rPr>
        <w:t xml:space="preserve">Otto </w:t>
      </w:r>
      <w:proofErr w:type="spellStart"/>
      <w:r w:rsidRPr="009D7635">
        <w:rPr>
          <w:rFonts w:ascii="Times New Roman" w:eastAsia="Times New Roman" w:hAnsi="Times New Roman" w:cs="Times New Roman"/>
          <w:color w:val="000000" w:themeColor="text1"/>
          <w:sz w:val="20"/>
          <w:szCs w:val="20"/>
          <w:lang w:val="de-DE" w:eastAsia="en-GB"/>
        </w:rPr>
        <w:t>Keicher</w:t>
      </w:r>
      <w:proofErr w:type="spellEnd"/>
      <w:r w:rsidRPr="009D7635">
        <w:rPr>
          <w:rFonts w:ascii="Times New Roman" w:eastAsia="Times New Roman" w:hAnsi="Times New Roman" w:cs="Times New Roman"/>
          <w:color w:val="000000" w:themeColor="text1"/>
          <w:sz w:val="20"/>
          <w:szCs w:val="20"/>
          <w:lang w:val="de-DE" w:eastAsia="en-GB"/>
        </w:rPr>
        <w:t xml:space="preserve">, ‘Zur Lehre der ältesten </w:t>
      </w:r>
      <w:proofErr w:type="spellStart"/>
      <w:r w:rsidRPr="009D7635">
        <w:rPr>
          <w:rFonts w:ascii="Times New Roman" w:eastAsia="Times New Roman" w:hAnsi="Times New Roman" w:cs="Times New Roman"/>
          <w:color w:val="000000" w:themeColor="text1"/>
          <w:sz w:val="20"/>
          <w:szCs w:val="20"/>
          <w:lang w:val="de-DE" w:eastAsia="en-GB"/>
        </w:rPr>
        <w:t>Franziskanertheologen</w:t>
      </w:r>
      <w:proofErr w:type="spellEnd"/>
      <w:r w:rsidRPr="009D7635">
        <w:rPr>
          <w:rFonts w:ascii="Times New Roman" w:eastAsia="Times New Roman" w:hAnsi="Times New Roman" w:cs="Times New Roman"/>
          <w:color w:val="000000" w:themeColor="text1"/>
          <w:sz w:val="20"/>
          <w:szCs w:val="20"/>
          <w:lang w:val="de-DE" w:eastAsia="en-GB"/>
        </w:rPr>
        <w:t xml:space="preserve"> vom </w:t>
      </w:r>
      <w:proofErr w:type="spellStart"/>
      <w:r w:rsidRPr="009D7635">
        <w:rPr>
          <w:rFonts w:ascii="Times New Roman" w:eastAsia="Times New Roman" w:hAnsi="Times New Roman" w:cs="Times New Roman"/>
          <w:i/>
          <w:color w:val="000000" w:themeColor="text1"/>
          <w:sz w:val="20"/>
          <w:szCs w:val="20"/>
          <w:shd w:val="clear" w:color="auto" w:fill="FFFFFF"/>
          <w:lang w:val="de-DE" w:eastAsia="en-GB"/>
        </w:rPr>
        <w:t>intellectus</w:t>
      </w:r>
      <w:proofErr w:type="spellEnd"/>
      <w:r w:rsidRPr="009D7635">
        <w:rPr>
          <w:rFonts w:ascii="Times New Roman" w:eastAsia="Times New Roman" w:hAnsi="Times New Roman" w:cs="Times New Roman"/>
          <w:i/>
          <w:color w:val="000000" w:themeColor="text1"/>
          <w:sz w:val="20"/>
          <w:szCs w:val="20"/>
          <w:shd w:val="clear" w:color="auto" w:fill="FFFFFF"/>
          <w:lang w:val="de-DE" w:eastAsia="en-GB"/>
        </w:rPr>
        <w:t xml:space="preserve"> </w:t>
      </w:r>
      <w:proofErr w:type="spellStart"/>
      <w:r w:rsidRPr="009D7635">
        <w:rPr>
          <w:rFonts w:ascii="Times New Roman" w:eastAsia="Times New Roman" w:hAnsi="Times New Roman" w:cs="Times New Roman"/>
          <w:i/>
          <w:color w:val="000000" w:themeColor="text1"/>
          <w:sz w:val="20"/>
          <w:szCs w:val="20"/>
          <w:lang w:val="de-DE" w:eastAsia="en-GB"/>
        </w:rPr>
        <w:t>agens</w:t>
      </w:r>
      <w:proofErr w:type="spellEnd"/>
      <w:r w:rsidRPr="009D7635">
        <w:rPr>
          <w:rFonts w:ascii="Times New Roman" w:eastAsia="Times New Roman" w:hAnsi="Times New Roman" w:cs="Times New Roman"/>
          <w:color w:val="000000" w:themeColor="text1"/>
          <w:sz w:val="20"/>
          <w:szCs w:val="20"/>
          <w:shd w:val="clear" w:color="auto" w:fill="FFFFFF"/>
          <w:lang w:val="de-DE" w:eastAsia="en-GB"/>
        </w:rPr>
        <w:t>,’</w:t>
      </w:r>
      <w:r w:rsidRPr="009D7635">
        <w:rPr>
          <w:rFonts w:ascii="Times New Roman" w:eastAsia="Times New Roman" w:hAnsi="Times New Roman" w:cs="Times New Roman"/>
          <w:color w:val="000000" w:themeColor="text1"/>
          <w:sz w:val="20"/>
          <w:szCs w:val="20"/>
          <w:lang w:val="de-DE" w:eastAsia="en-GB"/>
        </w:rPr>
        <w:t xml:space="preserve"> in </w:t>
      </w:r>
      <w:r w:rsidRPr="009D7635">
        <w:rPr>
          <w:rFonts w:ascii="Times New Roman" w:eastAsia="Times New Roman" w:hAnsi="Times New Roman" w:cs="Times New Roman"/>
          <w:i/>
          <w:iCs/>
          <w:color w:val="000000" w:themeColor="text1"/>
          <w:sz w:val="20"/>
          <w:szCs w:val="20"/>
          <w:lang w:val="de-DE" w:eastAsia="en-GB"/>
        </w:rPr>
        <w:t>Abhandlung aus dem Gebiete der Philosophie und ihrer Geschichte:</w:t>
      </w:r>
      <w:r w:rsidRPr="009D7635">
        <w:rPr>
          <w:rFonts w:ascii="Times New Roman" w:eastAsia="Arial Unicode MS" w:hAnsi="Times New Roman" w:cs="Times New Roman"/>
          <w:color w:val="000000" w:themeColor="text1"/>
          <w:sz w:val="20"/>
          <w:szCs w:val="20"/>
          <w:shd w:val="clear" w:color="auto" w:fill="FFFFFF"/>
          <w:lang w:val="de-DE"/>
        </w:rPr>
        <w:t xml:space="preserve"> </w:t>
      </w:r>
      <w:r w:rsidRPr="009D7635">
        <w:rPr>
          <w:rFonts w:ascii="Times New Roman" w:eastAsia="Arial Unicode MS" w:hAnsi="Times New Roman" w:cs="Times New Roman"/>
          <w:i/>
          <w:color w:val="000000" w:themeColor="text1"/>
          <w:sz w:val="20"/>
          <w:szCs w:val="20"/>
          <w:shd w:val="clear" w:color="auto" w:fill="FFFFFF"/>
          <w:lang w:val="de-DE"/>
        </w:rPr>
        <w:t xml:space="preserve">Ein Festgabe zum 70. Geburtstag Georg Freiherrn von </w:t>
      </w:r>
      <w:proofErr w:type="spellStart"/>
      <w:r w:rsidRPr="009D7635">
        <w:rPr>
          <w:rFonts w:ascii="Times New Roman" w:eastAsia="Arial Unicode MS" w:hAnsi="Times New Roman" w:cs="Times New Roman"/>
          <w:i/>
          <w:color w:val="000000" w:themeColor="text1"/>
          <w:sz w:val="20"/>
          <w:szCs w:val="20"/>
          <w:shd w:val="clear" w:color="auto" w:fill="FFFFFF"/>
          <w:lang w:val="de-DE"/>
        </w:rPr>
        <w:t>Hertling</w:t>
      </w:r>
      <w:proofErr w:type="spellEnd"/>
      <w:r w:rsidRPr="009D7635">
        <w:rPr>
          <w:rFonts w:ascii="Times New Roman" w:eastAsia="Times New Roman" w:hAnsi="Times New Roman" w:cs="Times New Roman"/>
          <w:color w:val="000000" w:themeColor="text1"/>
          <w:sz w:val="20"/>
          <w:szCs w:val="20"/>
          <w:lang w:val="de-DE" w:eastAsia="en-GB"/>
        </w:rPr>
        <w:t xml:space="preserve">, </w:t>
      </w:r>
      <w:proofErr w:type="spellStart"/>
      <w:r w:rsidRPr="009D7635">
        <w:rPr>
          <w:rFonts w:ascii="Times New Roman" w:eastAsia="Times New Roman" w:hAnsi="Times New Roman" w:cs="Times New Roman"/>
          <w:color w:val="000000" w:themeColor="text1"/>
          <w:sz w:val="20"/>
          <w:szCs w:val="20"/>
          <w:lang w:val="de-DE" w:eastAsia="en-GB"/>
        </w:rPr>
        <w:t>edited</w:t>
      </w:r>
      <w:proofErr w:type="spellEnd"/>
      <w:r w:rsidRPr="009D7635">
        <w:rPr>
          <w:rFonts w:ascii="Times New Roman" w:eastAsia="Times New Roman" w:hAnsi="Times New Roman" w:cs="Times New Roman"/>
          <w:color w:val="000000" w:themeColor="text1"/>
          <w:sz w:val="20"/>
          <w:szCs w:val="20"/>
          <w:lang w:val="de-DE" w:eastAsia="en-GB"/>
        </w:rPr>
        <w:t xml:space="preserve"> by Matthias Baumgartner et al. (</w:t>
      </w:r>
      <w:r w:rsidRPr="009D7635">
        <w:rPr>
          <w:rFonts w:ascii="Times New Roman" w:eastAsia="Times New Roman" w:hAnsi="Times New Roman" w:cs="Times New Roman"/>
          <w:color w:val="000000" w:themeColor="text1"/>
          <w:sz w:val="20"/>
          <w:szCs w:val="20"/>
          <w:lang w:eastAsia="en-GB"/>
        </w:rPr>
        <w:t xml:space="preserve">Freiburg </w:t>
      </w:r>
      <w:proofErr w:type="spellStart"/>
      <w:r w:rsidRPr="009D7635">
        <w:rPr>
          <w:rFonts w:ascii="Times New Roman" w:eastAsia="Times New Roman" w:hAnsi="Times New Roman" w:cs="Times New Roman"/>
          <w:color w:val="000000" w:themeColor="text1"/>
          <w:sz w:val="20"/>
          <w:szCs w:val="20"/>
          <w:lang w:eastAsia="en-GB"/>
        </w:rPr>
        <w:t>im</w:t>
      </w:r>
      <w:proofErr w:type="spellEnd"/>
      <w:r w:rsidRPr="009D7635">
        <w:rPr>
          <w:rFonts w:ascii="Times New Roman" w:eastAsia="Times New Roman" w:hAnsi="Times New Roman" w:cs="Times New Roman"/>
          <w:color w:val="000000" w:themeColor="text1"/>
          <w:sz w:val="20"/>
          <w:szCs w:val="20"/>
          <w:lang w:eastAsia="en-GB"/>
        </w:rPr>
        <w:t xml:space="preserve"> </w:t>
      </w:r>
      <w:proofErr w:type="spellStart"/>
      <w:r w:rsidRPr="009D7635">
        <w:rPr>
          <w:rFonts w:ascii="Times New Roman" w:eastAsia="Times New Roman" w:hAnsi="Times New Roman" w:cs="Times New Roman"/>
          <w:color w:val="000000" w:themeColor="text1"/>
          <w:sz w:val="20"/>
          <w:szCs w:val="20"/>
          <w:lang w:eastAsia="en-GB"/>
        </w:rPr>
        <w:t>Breisgau</w:t>
      </w:r>
      <w:proofErr w:type="spellEnd"/>
      <w:r w:rsidRPr="009D7635">
        <w:rPr>
          <w:rFonts w:ascii="Times New Roman" w:eastAsia="Times New Roman" w:hAnsi="Times New Roman" w:cs="Times New Roman"/>
          <w:color w:val="000000" w:themeColor="text1"/>
          <w:sz w:val="20"/>
          <w:szCs w:val="20"/>
          <w:lang w:eastAsia="en-GB"/>
        </w:rPr>
        <w:t xml:space="preserve">: </w:t>
      </w:r>
      <w:proofErr w:type="spellStart"/>
      <w:r w:rsidRPr="009D7635">
        <w:rPr>
          <w:rFonts w:ascii="Times New Roman" w:eastAsia="Times New Roman" w:hAnsi="Times New Roman" w:cs="Times New Roman"/>
          <w:color w:val="000000" w:themeColor="text1"/>
          <w:sz w:val="20"/>
          <w:szCs w:val="20"/>
          <w:lang w:eastAsia="en-GB"/>
        </w:rPr>
        <w:t>Herdersche</w:t>
      </w:r>
      <w:proofErr w:type="spellEnd"/>
      <w:r w:rsidRPr="009D7635">
        <w:rPr>
          <w:rFonts w:ascii="Times New Roman" w:eastAsia="Times New Roman" w:hAnsi="Times New Roman" w:cs="Times New Roman"/>
          <w:color w:val="000000" w:themeColor="text1"/>
          <w:sz w:val="20"/>
          <w:szCs w:val="20"/>
          <w:lang w:eastAsia="en-GB"/>
        </w:rPr>
        <w:t xml:space="preserve"> </w:t>
      </w:r>
      <w:proofErr w:type="spellStart"/>
      <w:r w:rsidRPr="009D7635">
        <w:rPr>
          <w:rFonts w:ascii="Times New Roman" w:eastAsia="Times New Roman" w:hAnsi="Times New Roman" w:cs="Times New Roman"/>
          <w:color w:val="000000" w:themeColor="text1"/>
          <w:sz w:val="20"/>
          <w:szCs w:val="20"/>
          <w:lang w:eastAsia="en-GB"/>
        </w:rPr>
        <w:t>Verlagshandlung</w:t>
      </w:r>
      <w:proofErr w:type="spellEnd"/>
      <w:r w:rsidRPr="009D7635">
        <w:rPr>
          <w:rFonts w:ascii="Times New Roman" w:eastAsia="Times New Roman" w:hAnsi="Times New Roman" w:cs="Times New Roman"/>
          <w:color w:val="000000" w:themeColor="text1"/>
          <w:sz w:val="20"/>
          <w:szCs w:val="20"/>
          <w:lang w:eastAsia="en-GB"/>
        </w:rPr>
        <w:t xml:space="preserve">, 1913), </w:t>
      </w:r>
      <w:r w:rsidRPr="009D7635">
        <w:rPr>
          <w:rFonts w:ascii="Times New Roman" w:eastAsia="Times New Roman" w:hAnsi="Times New Roman" w:cs="Times New Roman"/>
          <w:color w:val="000000" w:themeColor="text1"/>
          <w:sz w:val="20"/>
          <w:szCs w:val="20"/>
          <w:lang w:val="de-DE" w:eastAsia="en-GB"/>
        </w:rPr>
        <w:t>173-82</w:t>
      </w:r>
      <w:r w:rsidRPr="009D7635">
        <w:rPr>
          <w:rFonts w:ascii="Times New Roman" w:eastAsia="Times New Roman" w:hAnsi="Times New Roman" w:cs="Times New Roman"/>
          <w:color w:val="000000" w:themeColor="text1"/>
          <w:sz w:val="20"/>
          <w:szCs w:val="20"/>
          <w:lang w:eastAsia="en-GB"/>
        </w:rPr>
        <w:t xml:space="preserve">. </w:t>
      </w:r>
      <w:proofErr w:type="spellStart"/>
      <w:r w:rsidRPr="009D7635">
        <w:rPr>
          <w:rFonts w:ascii="Times New Roman" w:hAnsi="Times New Roman" w:cs="Times New Roman"/>
          <w:color w:val="000000" w:themeColor="text1"/>
          <w:sz w:val="20"/>
          <w:szCs w:val="20"/>
        </w:rPr>
        <w:t>Keicher</w:t>
      </w:r>
      <w:proofErr w:type="spellEnd"/>
      <w:r w:rsidRPr="009D7635">
        <w:rPr>
          <w:rFonts w:ascii="Times New Roman" w:hAnsi="Times New Roman" w:cs="Times New Roman"/>
          <w:color w:val="000000" w:themeColor="text1"/>
          <w:sz w:val="20"/>
          <w:szCs w:val="20"/>
        </w:rPr>
        <w:t xml:space="preserve"> also notes the influence that Aristotelian commentaries had on the Arabic reading of Aristotle. The Arabs received two ways of thinking about the agent intellect in Aristotle (174): from Alexander of </w:t>
      </w:r>
      <w:proofErr w:type="spellStart"/>
      <w:r w:rsidRPr="009D7635">
        <w:rPr>
          <w:rFonts w:ascii="Times New Roman" w:hAnsi="Times New Roman" w:cs="Times New Roman"/>
          <w:color w:val="000000" w:themeColor="text1"/>
          <w:sz w:val="20"/>
          <w:szCs w:val="20"/>
        </w:rPr>
        <w:t>Aphrodisias</w:t>
      </w:r>
      <w:proofErr w:type="spellEnd"/>
      <w:r w:rsidRPr="009D7635">
        <w:rPr>
          <w:rFonts w:ascii="Times New Roman" w:hAnsi="Times New Roman" w:cs="Times New Roman"/>
          <w:color w:val="000000" w:themeColor="text1"/>
          <w:sz w:val="20"/>
          <w:szCs w:val="20"/>
        </w:rPr>
        <w:t xml:space="preserve">, they obtained the idea that the agent intellect is God, and from Theophrastus, that it is the human soul itself. They tended to favour Alexander, and the early Franciscans had to confront his idea as well. Though some later Franciscans called God the agent intellect, the </w:t>
      </w:r>
      <w:proofErr w:type="spellStart"/>
      <w:r w:rsidRPr="009D7635">
        <w:rPr>
          <w:rFonts w:ascii="Times New Roman" w:hAnsi="Times New Roman" w:cs="Times New Roman"/>
          <w:color w:val="000000" w:themeColor="text1"/>
          <w:sz w:val="20"/>
          <w:szCs w:val="20"/>
        </w:rPr>
        <w:t>Halensian</w:t>
      </w:r>
      <w:proofErr w:type="spellEnd"/>
      <w:r w:rsidRPr="009D7635">
        <w:rPr>
          <w:rFonts w:ascii="Times New Roman" w:hAnsi="Times New Roman" w:cs="Times New Roman"/>
          <w:color w:val="000000" w:themeColor="text1"/>
          <w:sz w:val="20"/>
          <w:szCs w:val="20"/>
        </w:rPr>
        <w:t xml:space="preserve"> authors defined it as the soul (176) at least when knowing ordinary things and distinguishes is from the passive intellect. This distinction seems to come from </w:t>
      </w:r>
      <w:r w:rsidR="00655FB6" w:rsidRPr="009D7635">
        <w:rPr>
          <w:rFonts w:ascii="Times New Roman" w:hAnsi="Times New Roman" w:cs="Times New Roman"/>
          <w:color w:val="000000" w:themeColor="text1"/>
          <w:sz w:val="20"/>
          <w:szCs w:val="20"/>
        </w:rPr>
        <w:t xml:space="preserve">Alexander of </w:t>
      </w:r>
      <w:proofErr w:type="spellStart"/>
      <w:r w:rsidRPr="009D7635">
        <w:rPr>
          <w:rFonts w:ascii="Times New Roman" w:hAnsi="Times New Roman" w:cs="Times New Roman"/>
          <w:color w:val="000000" w:themeColor="text1"/>
          <w:sz w:val="20"/>
          <w:szCs w:val="20"/>
        </w:rPr>
        <w:t>Aphrodisias</w:t>
      </w:r>
      <w:proofErr w:type="spellEnd"/>
      <w:r w:rsidRPr="009D7635">
        <w:rPr>
          <w:rFonts w:ascii="Times New Roman" w:hAnsi="Times New Roman" w:cs="Times New Roman"/>
          <w:color w:val="000000" w:themeColor="text1"/>
          <w:sz w:val="20"/>
          <w:szCs w:val="20"/>
        </w:rPr>
        <w:t xml:space="preserve">, and contrasts with </w:t>
      </w:r>
      <w:proofErr w:type="spellStart"/>
      <w:r w:rsidR="00BD63AD" w:rsidRPr="009D7635">
        <w:rPr>
          <w:rFonts w:ascii="Times New Roman" w:hAnsi="Times New Roman" w:cs="Times New Roman"/>
          <w:color w:val="000000" w:themeColor="text1"/>
          <w:sz w:val="20"/>
          <w:szCs w:val="20"/>
        </w:rPr>
        <w:t>Themistius</w:t>
      </w:r>
      <w:proofErr w:type="spellEnd"/>
      <w:r w:rsidRPr="009D7635">
        <w:rPr>
          <w:rFonts w:ascii="Times New Roman" w:hAnsi="Times New Roman" w:cs="Times New Roman"/>
          <w:color w:val="000000" w:themeColor="text1"/>
          <w:sz w:val="20"/>
          <w:szCs w:val="20"/>
        </w:rPr>
        <w:t xml:space="preserve">’ tendency to conflate them in one faculty, which is what William of Auvergne would later do. The Summa draws in this regard on Rochelle (178) who said the agent intellect is God for knowledge of God, angels for knowledge of angels, and the human soul for knowledge of the soul and things below it. Very similar ground is covered with some additional nuances, such as a treatment of Albert and Aquinas, in </w:t>
      </w:r>
      <w:r w:rsidRPr="009D7635">
        <w:rPr>
          <w:rFonts w:ascii="Times New Roman" w:eastAsia="Times New Roman" w:hAnsi="Times New Roman" w:cs="Times New Roman"/>
          <w:color w:val="000000" w:themeColor="text1"/>
          <w:sz w:val="20"/>
          <w:szCs w:val="20"/>
          <w:lang w:val="de-DE" w:eastAsia="en-GB"/>
        </w:rPr>
        <w:t xml:space="preserve">Paul </w:t>
      </w:r>
      <w:proofErr w:type="spellStart"/>
      <w:r w:rsidRPr="009D7635">
        <w:rPr>
          <w:rFonts w:ascii="Times New Roman" w:eastAsia="Times New Roman" w:hAnsi="Times New Roman" w:cs="Times New Roman"/>
          <w:color w:val="000000" w:themeColor="text1"/>
          <w:sz w:val="20"/>
          <w:szCs w:val="20"/>
          <w:lang w:val="de-DE" w:eastAsia="en-GB"/>
        </w:rPr>
        <w:t>Wilpert</w:t>
      </w:r>
      <w:proofErr w:type="spellEnd"/>
      <w:r w:rsidRPr="009D7635">
        <w:rPr>
          <w:rFonts w:ascii="Times New Roman" w:eastAsia="Times New Roman" w:hAnsi="Times New Roman" w:cs="Times New Roman"/>
          <w:color w:val="000000" w:themeColor="text1"/>
          <w:sz w:val="20"/>
          <w:szCs w:val="20"/>
          <w:lang w:val="de-DE" w:eastAsia="en-GB"/>
        </w:rPr>
        <w:t xml:space="preserve">, ‘Die Ausgestaltung der </w:t>
      </w:r>
      <w:proofErr w:type="spellStart"/>
      <w:r w:rsidRPr="009D7635">
        <w:rPr>
          <w:rFonts w:ascii="Times New Roman" w:eastAsia="Times New Roman" w:hAnsi="Times New Roman" w:cs="Times New Roman"/>
          <w:color w:val="000000" w:themeColor="text1"/>
          <w:sz w:val="20"/>
          <w:szCs w:val="20"/>
          <w:lang w:val="de-DE" w:eastAsia="en-GB"/>
        </w:rPr>
        <w:t>aristotelischen</w:t>
      </w:r>
      <w:proofErr w:type="spellEnd"/>
      <w:r w:rsidRPr="009D7635">
        <w:rPr>
          <w:rFonts w:ascii="Times New Roman" w:eastAsia="Times New Roman" w:hAnsi="Times New Roman" w:cs="Times New Roman"/>
          <w:color w:val="000000" w:themeColor="text1"/>
          <w:sz w:val="20"/>
          <w:szCs w:val="20"/>
          <w:lang w:val="de-DE" w:eastAsia="en-GB"/>
        </w:rPr>
        <w:t xml:space="preserve"> Lehre vom </w:t>
      </w:r>
      <w:proofErr w:type="spellStart"/>
      <w:r w:rsidRPr="009D7635">
        <w:rPr>
          <w:rFonts w:ascii="Times New Roman" w:eastAsia="Times New Roman" w:hAnsi="Times New Roman" w:cs="Times New Roman"/>
          <w:i/>
          <w:color w:val="000000" w:themeColor="text1"/>
          <w:sz w:val="20"/>
          <w:szCs w:val="20"/>
          <w:lang w:val="de-DE" w:eastAsia="en-GB"/>
        </w:rPr>
        <w:t>Intellectus</w:t>
      </w:r>
      <w:proofErr w:type="spellEnd"/>
      <w:r w:rsidRPr="009D7635">
        <w:rPr>
          <w:rFonts w:ascii="Times New Roman" w:eastAsia="Times New Roman" w:hAnsi="Times New Roman" w:cs="Times New Roman"/>
          <w:i/>
          <w:color w:val="000000" w:themeColor="text1"/>
          <w:sz w:val="20"/>
          <w:szCs w:val="20"/>
          <w:lang w:val="de-DE" w:eastAsia="en-GB"/>
        </w:rPr>
        <w:t xml:space="preserve"> </w:t>
      </w:r>
      <w:proofErr w:type="spellStart"/>
      <w:r w:rsidRPr="009D7635">
        <w:rPr>
          <w:rFonts w:ascii="Times New Roman" w:eastAsia="Times New Roman" w:hAnsi="Times New Roman" w:cs="Times New Roman"/>
          <w:i/>
          <w:color w:val="000000" w:themeColor="text1"/>
          <w:sz w:val="20"/>
          <w:szCs w:val="20"/>
          <w:lang w:val="de-DE" w:eastAsia="en-GB"/>
        </w:rPr>
        <w:t>agens</w:t>
      </w:r>
      <w:proofErr w:type="spellEnd"/>
      <w:r w:rsidRPr="009D7635">
        <w:rPr>
          <w:rFonts w:ascii="Times New Roman" w:eastAsia="Times New Roman" w:hAnsi="Times New Roman" w:cs="Times New Roman"/>
          <w:color w:val="000000" w:themeColor="text1"/>
          <w:sz w:val="20"/>
          <w:szCs w:val="20"/>
          <w:lang w:val="de-DE" w:eastAsia="en-GB"/>
        </w:rPr>
        <w:t xml:space="preserve"> bei den griechischen Kommentatoren und in der Scholastik des 13. Jahrhunderts,’ in </w:t>
      </w:r>
      <w:r w:rsidRPr="009D7635">
        <w:rPr>
          <w:rFonts w:ascii="Times New Roman" w:eastAsia="Times New Roman" w:hAnsi="Times New Roman" w:cs="Times New Roman"/>
          <w:i/>
          <w:color w:val="000000" w:themeColor="text1"/>
          <w:sz w:val="20"/>
          <w:szCs w:val="20"/>
          <w:lang w:val="de-DE" w:eastAsia="en-GB"/>
        </w:rPr>
        <w:t>Aus der Geisteswelt des Mittelalters: Studien und Texte: Martin Grabmann zur Vollendung des 60</w:t>
      </w:r>
      <w:r w:rsidR="006C7C3A" w:rsidRPr="009D7635">
        <w:rPr>
          <w:rFonts w:ascii="Times New Roman" w:eastAsia="Times New Roman" w:hAnsi="Times New Roman" w:cs="Times New Roman"/>
          <w:i/>
          <w:color w:val="000000" w:themeColor="text1"/>
          <w:sz w:val="20"/>
          <w:szCs w:val="20"/>
          <w:lang w:val="de-DE" w:eastAsia="en-GB"/>
        </w:rPr>
        <w:t xml:space="preserve">: </w:t>
      </w:r>
      <w:r w:rsidRPr="009D7635">
        <w:rPr>
          <w:rFonts w:ascii="Times New Roman" w:eastAsia="Times New Roman" w:hAnsi="Times New Roman" w:cs="Times New Roman"/>
          <w:i/>
          <w:color w:val="000000" w:themeColor="text1"/>
          <w:sz w:val="20"/>
          <w:szCs w:val="20"/>
          <w:lang w:val="de-DE" w:eastAsia="en-GB"/>
        </w:rPr>
        <w:t>Lebensjahres von Freunden und Schülern gewidmet</w:t>
      </w:r>
      <w:r w:rsidRPr="009D7635">
        <w:rPr>
          <w:rFonts w:ascii="Times New Roman" w:eastAsia="Times New Roman" w:hAnsi="Times New Roman" w:cs="Times New Roman"/>
          <w:color w:val="000000" w:themeColor="text1"/>
          <w:sz w:val="20"/>
          <w:szCs w:val="20"/>
          <w:lang w:val="de-DE" w:eastAsia="en-GB"/>
        </w:rPr>
        <w:t>, vol. 1, ed. Albert Lang, Josef Lechner and Michael Schmaus (</w:t>
      </w:r>
      <w:r w:rsidRPr="009D7635">
        <w:rPr>
          <w:rFonts w:ascii="Times New Roman" w:eastAsia="Times New Roman" w:hAnsi="Times New Roman" w:cs="Times New Roman"/>
          <w:color w:val="000000" w:themeColor="text1"/>
          <w:sz w:val="20"/>
          <w:szCs w:val="20"/>
          <w:lang w:eastAsia="en-GB"/>
        </w:rPr>
        <w:t xml:space="preserve">Münster: </w:t>
      </w:r>
      <w:proofErr w:type="spellStart"/>
      <w:r w:rsidRPr="009D7635">
        <w:rPr>
          <w:rFonts w:ascii="Times New Roman" w:eastAsia="Times New Roman" w:hAnsi="Times New Roman" w:cs="Times New Roman"/>
          <w:color w:val="000000" w:themeColor="text1"/>
          <w:sz w:val="20"/>
          <w:szCs w:val="20"/>
          <w:lang w:eastAsia="en-GB"/>
        </w:rPr>
        <w:t>Aschendorff</w:t>
      </w:r>
      <w:proofErr w:type="spellEnd"/>
      <w:r w:rsidRPr="009D7635">
        <w:rPr>
          <w:rFonts w:ascii="Times New Roman" w:eastAsia="Times New Roman" w:hAnsi="Times New Roman" w:cs="Times New Roman"/>
          <w:color w:val="000000" w:themeColor="text1"/>
          <w:sz w:val="20"/>
          <w:szCs w:val="20"/>
          <w:lang w:eastAsia="en-GB"/>
        </w:rPr>
        <w:t>, 1935)</w:t>
      </w:r>
      <w:r w:rsidRPr="009D7635">
        <w:rPr>
          <w:rFonts w:ascii="Times New Roman" w:eastAsia="Times New Roman" w:hAnsi="Times New Roman" w:cs="Times New Roman"/>
          <w:color w:val="000000" w:themeColor="text1"/>
          <w:sz w:val="20"/>
          <w:szCs w:val="20"/>
          <w:lang w:val="de-DE" w:eastAsia="en-GB"/>
        </w:rPr>
        <w:t>, 447-62</w:t>
      </w:r>
      <w:r w:rsidRPr="009D7635">
        <w:rPr>
          <w:rFonts w:ascii="Times New Roman" w:eastAsia="Times New Roman" w:hAnsi="Times New Roman" w:cs="Times New Roman"/>
          <w:color w:val="000000" w:themeColor="text1"/>
          <w:sz w:val="20"/>
          <w:szCs w:val="20"/>
          <w:lang w:eastAsia="en-GB"/>
        </w:rPr>
        <w:t xml:space="preserve">. </w:t>
      </w:r>
    </w:p>
    <w:p w14:paraId="6D0B0247" w14:textId="77777777" w:rsidR="00B93ED5" w:rsidRPr="009D7635" w:rsidRDefault="00B93ED5" w:rsidP="00E212D3">
      <w:pPr>
        <w:ind w:firstLine="720"/>
        <w:rPr>
          <w:rFonts w:ascii="Times New Roman" w:eastAsia="Times New Roman" w:hAnsi="Times New Roman" w:cs="Times New Roman"/>
          <w:color w:val="000000" w:themeColor="text1"/>
          <w:sz w:val="20"/>
          <w:szCs w:val="20"/>
          <w:lang w:eastAsia="en-GB"/>
        </w:rPr>
      </w:pPr>
    </w:p>
    <w:p w14:paraId="5A635B99" w14:textId="77777777" w:rsidR="00B93ED5" w:rsidRPr="009D7635" w:rsidRDefault="00B93ED5" w:rsidP="00E212D3">
      <w:pPr>
        <w:ind w:firstLine="720"/>
        <w:rPr>
          <w:rFonts w:ascii="Times New Roman" w:eastAsia="Times New Roman" w:hAnsi="Times New Roman" w:cs="Times New Roman"/>
          <w:color w:val="000000" w:themeColor="text1"/>
          <w:sz w:val="20"/>
          <w:szCs w:val="20"/>
          <w:lang w:eastAsia="en-GB"/>
        </w:rPr>
      </w:pPr>
    </w:p>
    <w:p w14:paraId="30BDD586" w14:textId="77777777" w:rsidR="00B93ED5" w:rsidRPr="009D7635" w:rsidRDefault="00B93ED5" w:rsidP="00E212D3">
      <w:pPr>
        <w:pStyle w:val="FootnoteText"/>
        <w:rPr>
          <w:rFonts w:ascii="Times New Roman" w:hAnsi="Times New Roman" w:cs="Times New Roman"/>
          <w:color w:val="000000" w:themeColor="text1"/>
        </w:rPr>
      </w:pPr>
    </w:p>
  </w:footnote>
  <w:footnote w:id="987">
    <w:p w14:paraId="13BDCC43" w14:textId="608566E3" w:rsidR="00B9325F" w:rsidRPr="009D7635" w:rsidRDefault="00B9325F">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On the early reception of Aristotle’s </w:t>
      </w:r>
      <w:r w:rsidRPr="009D7635">
        <w:rPr>
          <w:rFonts w:ascii="Times New Roman" w:hAnsi="Times New Roman" w:cs="Times New Roman"/>
          <w:i/>
          <w:iCs/>
        </w:rPr>
        <w:t xml:space="preserve">Ethics, </w:t>
      </w:r>
      <w:r w:rsidRPr="009D7635">
        <w:rPr>
          <w:rFonts w:ascii="Times New Roman" w:hAnsi="Times New Roman" w:cs="Times New Roman"/>
        </w:rPr>
        <w:t xml:space="preserve">see Valeria Buffon, </w:t>
      </w:r>
      <w:r w:rsidRPr="009D7635">
        <w:rPr>
          <w:rFonts w:ascii="Times New Roman" w:hAnsi="Times New Roman" w:cs="Times New Roman"/>
          <w:kern w:val="1"/>
        </w:rPr>
        <w:t xml:space="preserve">‘The Structure of the Soul, Intellectual Virtues, and the Ethical Ideal of Masters of Arts in Early Commentaries on the </w:t>
      </w:r>
      <w:proofErr w:type="spellStart"/>
      <w:r w:rsidRPr="009D7635">
        <w:rPr>
          <w:rFonts w:ascii="Times New Roman" w:hAnsi="Times New Roman" w:cs="Times New Roman"/>
          <w:i/>
          <w:iCs/>
          <w:kern w:val="1"/>
        </w:rPr>
        <w:t>Nicomachean</w:t>
      </w:r>
      <w:proofErr w:type="spellEnd"/>
      <w:r w:rsidRPr="009D7635">
        <w:rPr>
          <w:rFonts w:ascii="Times New Roman" w:hAnsi="Times New Roman" w:cs="Times New Roman"/>
          <w:i/>
          <w:iCs/>
          <w:kern w:val="1"/>
        </w:rPr>
        <w:t xml:space="preserve"> Ethics,</w:t>
      </w:r>
      <w:r w:rsidRPr="009D7635">
        <w:rPr>
          <w:rFonts w:ascii="Times New Roman" w:hAnsi="Times New Roman" w:cs="Times New Roman"/>
          <w:kern w:val="1"/>
        </w:rPr>
        <w:t xml:space="preserve">’ in </w:t>
      </w:r>
      <w:r w:rsidRPr="009D7635">
        <w:rPr>
          <w:rFonts w:ascii="Times New Roman" w:hAnsi="Times New Roman" w:cs="Times New Roman"/>
          <w:i/>
          <w:iCs/>
          <w:kern w:val="1"/>
        </w:rPr>
        <w:t xml:space="preserve">Virtue Ethics in the Middle Ages, </w:t>
      </w:r>
      <w:r w:rsidRPr="009D7635">
        <w:rPr>
          <w:rFonts w:ascii="Times New Roman" w:hAnsi="Times New Roman" w:cs="Times New Roman"/>
          <w:kern w:val="1"/>
        </w:rPr>
        <w:t xml:space="preserve">ed. István P. </w:t>
      </w:r>
      <w:proofErr w:type="spellStart"/>
      <w:r w:rsidRPr="009D7635">
        <w:rPr>
          <w:rFonts w:ascii="Times New Roman" w:hAnsi="Times New Roman" w:cs="Times New Roman"/>
          <w:kern w:val="1"/>
        </w:rPr>
        <w:t>Bejczy</w:t>
      </w:r>
      <w:proofErr w:type="spellEnd"/>
      <w:r w:rsidRPr="009D7635">
        <w:rPr>
          <w:rFonts w:ascii="Times New Roman" w:hAnsi="Times New Roman" w:cs="Times New Roman"/>
          <w:kern w:val="1"/>
        </w:rPr>
        <w:t xml:space="preserve"> (Leiden: Brill, 2008), 13-30.</w:t>
      </w:r>
    </w:p>
  </w:footnote>
  <w:footnote w:id="988">
    <w:p w14:paraId="2C40CA78" w14:textId="072A28DE"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eastAsia="Times New Roman" w:hAnsi="Times New Roman" w:cs="Times New Roman"/>
          <w:bCs/>
          <w:i/>
          <w:iCs/>
          <w:color w:val="000000" w:themeColor="text1"/>
        </w:rPr>
        <w:t>Jean de La Rochelle</w:t>
      </w:r>
      <w:r w:rsidR="00F56DFE" w:rsidRPr="009D7635">
        <w:rPr>
          <w:rFonts w:ascii="Times New Roman" w:eastAsia="Times New Roman" w:hAnsi="Times New Roman" w:cs="Times New Roman"/>
          <w:bCs/>
          <w:i/>
          <w:iCs/>
          <w:color w:val="000000" w:themeColor="text1"/>
        </w:rPr>
        <w:t xml:space="preserve">: </w:t>
      </w:r>
      <w:proofErr w:type="spellStart"/>
      <w:r w:rsidRPr="009D7635">
        <w:rPr>
          <w:rFonts w:ascii="Times New Roman" w:eastAsia="Times New Roman" w:hAnsi="Times New Roman" w:cs="Times New Roman"/>
          <w:bCs/>
          <w:i/>
          <w:iCs/>
          <w:color w:val="000000" w:themeColor="text1"/>
        </w:rPr>
        <w:t>Tractatus</w:t>
      </w:r>
      <w:proofErr w:type="spellEnd"/>
      <w:r w:rsidRPr="009D7635">
        <w:rPr>
          <w:rFonts w:ascii="Times New Roman" w:eastAsia="Times New Roman" w:hAnsi="Times New Roman" w:cs="Times New Roman"/>
          <w:bCs/>
          <w:i/>
          <w:iCs/>
          <w:color w:val="000000" w:themeColor="text1"/>
        </w:rPr>
        <w:t xml:space="preserve"> de </w:t>
      </w:r>
      <w:proofErr w:type="spellStart"/>
      <w:r w:rsidRPr="009D7635">
        <w:rPr>
          <w:rFonts w:ascii="Times New Roman" w:eastAsia="Times New Roman" w:hAnsi="Times New Roman" w:cs="Times New Roman"/>
          <w:bCs/>
          <w:i/>
          <w:iCs/>
          <w:color w:val="000000" w:themeColor="text1"/>
        </w:rPr>
        <w:t>divisione</w:t>
      </w:r>
      <w:proofErr w:type="spellEnd"/>
      <w:r w:rsidRPr="009D7635">
        <w:rPr>
          <w:rFonts w:ascii="Times New Roman" w:eastAsia="Times New Roman" w:hAnsi="Times New Roman" w:cs="Times New Roman"/>
          <w:bCs/>
          <w:i/>
          <w:iCs/>
          <w:color w:val="000000" w:themeColor="text1"/>
        </w:rPr>
        <w:t xml:space="preserve"> </w:t>
      </w:r>
      <w:proofErr w:type="spellStart"/>
      <w:r w:rsidRPr="009D7635">
        <w:rPr>
          <w:rFonts w:ascii="Times New Roman" w:eastAsia="Times New Roman" w:hAnsi="Times New Roman" w:cs="Times New Roman"/>
          <w:bCs/>
          <w:i/>
          <w:iCs/>
          <w:color w:val="000000" w:themeColor="text1"/>
        </w:rPr>
        <w:t>multiplici</w:t>
      </w:r>
      <w:proofErr w:type="spellEnd"/>
      <w:r w:rsidRPr="009D7635">
        <w:rPr>
          <w:rFonts w:ascii="Times New Roman" w:eastAsia="Times New Roman" w:hAnsi="Times New Roman" w:cs="Times New Roman"/>
          <w:bCs/>
          <w:i/>
          <w:iCs/>
          <w:color w:val="000000" w:themeColor="text1"/>
        </w:rPr>
        <w:t xml:space="preserve"> </w:t>
      </w:r>
      <w:proofErr w:type="spellStart"/>
      <w:r w:rsidRPr="009D7635">
        <w:rPr>
          <w:rFonts w:ascii="Times New Roman" w:eastAsia="Times New Roman" w:hAnsi="Times New Roman" w:cs="Times New Roman"/>
          <w:bCs/>
          <w:i/>
          <w:iCs/>
          <w:color w:val="000000" w:themeColor="text1"/>
        </w:rPr>
        <w:t>potentiarum</w:t>
      </w:r>
      <w:proofErr w:type="spellEnd"/>
      <w:r w:rsidRPr="009D7635">
        <w:rPr>
          <w:rFonts w:ascii="Times New Roman" w:eastAsia="Times New Roman" w:hAnsi="Times New Roman" w:cs="Times New Roman"/>
          <w:bCs/>
          <w:i/>
          <w:iCs/>
          <w:color w:val="000000" w:themeColor="text1"/>
        </w:rPr>
        <w:t xml:space="preserve"> </w:t>
      </w:r>
      <w:proofErr w:type="spellStart"/>
      <w:r w:rsidRPr="009D7635">
        <w:rPr>
          <w:rFonts w:ascii="Times New Roman" w:eastAsia="Times New Roman" w:hAnsi="Times New Roman" w:cs="Times New Roman"/>
          <w:bCs/>
          <w:i/>
          <w:iCs/>
          <w:color w:val="000000" w:themeColor="text1"/>
        </w:rPr>
        <w:t>animae</w:t>
      </w:r>
      <w:proofErr w:type="spellEnd"/>
      <w:r w:rsidR="00F56DFE" w:rsidRPr="009D7635">
        <w:rPr>
          <w:rFonts w:ascii="Times New Roman" w:eastAsia="Times New Roman" w:hAnsi="Times New Roman" w:cs="Times New Roman"/>
          <w:bCs/>
          <w:i/>
          <w:iCs/>
          <w:color w:val="000000" w:themeColor="text1"/>
        </w:rPr>
        <w:t>:</w:t>
      </w:r>
      <w:r w:rsidRPr="009D7635">
        <w:rPr>
          <w:rFonts w:ascii="Times New Roman" w:eastAsia="Times New Roman" w:hAnsi="Times New Roman" w:cs="Times New Roman"/>
          <w:bCs/>
          <w:i/>
          <w:iCs/>
          <w:color w:val="000000" w:themeColor="text1"/>
        </w:rPr>
        <w:t xml:space="preserve"> </w:t>
      </w:r>
      <w:proofErr w:type="spellStart"/>
      <w:r w:rsidRPr="009D7635">
        <w:rPr>
          <w:rFonts w:ascii="Times New Roman" w:eastAsia="Times New Roman" w:hAnsi="Times New Roman" w:cs="Times New Roman"/>
          <w:bCs/>
          <w:i/>
          <w:iCs/>
          <w:color w:val="000000" w:themeColor="text1"/>
        </w:rPr>
        <w:t>Texte</w:t>
      </w:r>
      <w:proofErr w:type="spellEnd"/>
      <w:r w:rsidRPr="009D7635">
        <w:rPr>
          <w:rFonts w:ascii="Times New Roman" w:eastAsia="Times New Roman" w:hAnsi="Times New Roman" w:cs="Times New Roman"/>
          <w:bCs/>
          <w:i/>
          <w:iCs/>
          <w:color w:val="000000" w:themeColor="text1"/>
        </w:rPr>
        <w:t xml:space="preserve"> critique </w:t>
      </w:r>
      <w:proofErr w:type="spellStart"/>
      <w:r w:rsidRPr="009D7635">
        <w:rPr>
          <w:rFonts w:ascii="Times New Roman" w:eastAsia="Times New Roman" w:hAnsi="Times New Roman" w:cs="Times New Roman"/>
          <w:bCs/>
          <w:i/>
          <w:iCs/>
          <w:color w:val="000000" w:themeColor="text1"/>
        </w:rPr>
        <w:t>avec</w:t>
      </w:r>
      <w:proofErr w:type="spellEnd"/>
      <w:r w:rsidRPr="009D7635">
        <w:rPr>
          <w:rFonts w:ascii="Times New Roman" w:eastAsia="Times New Roman" w:hAnsi="Times New Roman" w:cs="Times New Roman"/>
          <w:bCs/>
          <w:i/>
          <w:iCs/>
          <w:color w:val="000000" w:themeColor="text1"/>
        </w:rPr>
        <w:t xml:space="preserve"> introduction, notes et tables</w:t>
      </w:r>
      <w:r w:rsidRPr="009D7635">
        <w:rPr>
          <w:rFonts w:ascii="Times New Roman" w:eastAsia="Times New Roman" w:hAnsi="Times New Roman" w:cs="Times New Roman"/>
          <w:bCs/>
          <w:color w:val="000000" w:themeColor="text1"/>
        </w:rPr>
        <w:t>,</w:t>
      </w:r>
      <w:r w:rsidRPr="009D7635">
        <w:rPr>
          <w:rFonts w:ascii="Times New Roman" w:eastAsia="Times New Roman" w:hAnsi="Times New Roman" w:cs="Times New Roman"/>
          <w:bCs/>
          <w:i/>
          <w:iCs/>
          <w:color w:val="000000" w:themeColor="text1"/>
        </w:rPr>
        <w:t xml:space="preserve"> </w:t>
      </w:r>
      <w:r w:rsidRPr="009D7635">
        <w:rPr>
          <w:rFonts w:ascii="Times New Roman" w:eastAsia="Times New Roman" w:hAnsi="Times New Roman" w:cs="Times New Roman"/>
          <w:bCs/>
          <w:iCs/>
          <w:color w:val="000000" w:themeColor="text1"/>
        </w:rPr>
        <w:t xml:space="preserve">ed. </w:t>
      </w:r>
      <w:r w:rsidRPr="009D7635">
        <w:rPr>
          <w:rFonts w:ascii="Times New Roman" w:eastAsia="Times New Roman" w:hAnsi="Times New Roman" w:cs="Times New Roman"/>
          <w:bCs/>
          <w:color w:val="000000" w:themeColor="text1"/>
          <w:shd w:val="clear" w:color="auto" w:fill="FFFFFF"/>
        </w:rPr>
        <w:t xml:space="preserve">Pierre </w:t>
      </w:r>
      <w:proofErr w:type="spellStart"/>
      <w:r w:rsidRPr="009D7635">
        <w:rPr>
          <w:rFonts w:ascii="Times New Roman" w:eastAsia="Times New Roman" w:hAnsi="Times New Roman" w:cs="Times New Roman"/>
          <w:bCs/>
          <w:color w:val="000000" w:themeColor="text1"/>
          <w:shd w:val="clear" w:color="auto" w:fill="FFFFFF"/>
        </w:rPr>
        <w:t>Michaud-Quantin</w:t>
      </w:r>
      <w:proofErr w:type="spellEnd"/>
      <w:r w:rsidRPr="009D7635">
        <w:rPr>
          <w:rFonts w:ascii="Times New Roman" w:eastAsia="Times New Roman" w:hAnsi="Times New Roman" w:cs="Times New Roman"/>
          <w:bCs/>
          <w:i/>
          <w:iCs/>
          <w:color w:val="000000" w:themeColor="text1"/>
        </w:rPr>
        <w:t xml:space="preserve"> </w:t>
      </w:r>
      <w:r w:rsidRPr="009D7635">
        <w:rPr>
          <w:rFonts w:ascii="Times New Roman" w:eastAsia="Times New Roman" w:hAnsi="Times New Roman" w:cs="Times New Roman"/>
          <w:bCs/>
          <w:iCs/>
          <w:color w:val="000000" w:themeColor="text1"/>
        </w:rPr>
        <w:t xml:space="preserve">(Paris: Vrin, 1964), </w:t>
      </w:r>
      <w:r w:rsidRPr="009D7635">
        <w:rPr>
          <w:rFonts w:ascii="Times New Roman" w:hAnsi="Times New Roman" w:cs="Times New Roman"/>
          <w:color w:val="000000" w:themeColor="text1"/>
        </w:rPr>
        <w:t xml:space="preserve">78. John of La Rochelle,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Jacques Guy </w:t>
      </w:r>
      <w:proofErr w:type="spellStart"/>
      <w:r w:rsidRPr="009D7635">
        <w:rPr>
          <w:rFonts w:ascii="Times New Roman" w:hAnsi="Times New Roman" w:cs="Times New Roman"/>
          <w:color w:val="000000" w:themeColor="text1"/>
        </w:rPr>
        <w:t>Bougerol</w:t>
      </w:r>
      <w:proofErr w:type="spellEnd"/>
      <w:r w:rsidRPr="009D7635">
        <w:rPr>
          <w:rFonts w:ascii="Times New Roman" w:hAnsi="Times New Roman" w:cs="Times New Roman"/>
          <w:color w:val="000000" w:themeColor="text1"/>
        </w:rPr>
        <w:t xml:space="preserve"> (Paris: Vrin, 1995), 252.</w:t>
      </w:r>
    </w:p>
  </w:footnote>
  <w:footnote w:id="989">
    <w:p w14:paraId="4CA41DA8" w14:textId="3F81EC52"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78.</w:t>
      </w:r>
    </w:p>
  </w:footnote>
  <w:footnote w:id="990">
    <w:p w14:paraId="4F129B7C" w14:textId="77777777" w:rsidR="00B93ED5" w:rsidRPr="009D7635" w:rsidRDefault="00B93ED5" w:rsidP="000D3D92">
      <w:pPr>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253-4. </w:t>
      </w:r>
    </w:p>
  </w:footnote>
  <w:footnote w:id="991">
    <w:p w14:paraId="17E3BBA4" w14:textId="7653E3BF" w:rsidR="00B93ED5" w:rsidRPr="009D7635" w:rsidRDefault="00B93ED5" w:rsidP="000D3D92">
      <w:pPr>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79: </w:t>
      </w:r>
      <w:proofErr w:type="spellStart"/>
      <w:r w:rsidRPr="009D7635">
        <w:rPr>
          <w:rFonts w:ascii="Times New Roman" w:hAnsi="Times New Roman" w:cs="Times New Roman"/>
          <w:i/>
          <w:color w:val="000000" w:themeColor="text1"/>
          <w:sz w:val="20"/>
          <w:szCs w:val="20"/>
          <w:lang w:val="en-US"/>
        </w:rPr>
        <w:t>Affectio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motus</w:t>
      </w:r>
      <w:proofErr w:type="spellEnd"/>
      <w:r w:rsidRPr="009D7635">
        <w:rPr>
          <w:rFonts w:ascii="Times New Roman" w:hAnsi="Times New Roman" w:cs="Times New Roman"/>
          <w:i/>
          <w:color w:val="000000" w:themeColor="text1"/>
          <w:sz w:val="20"/>
          <w:szCs w:val="20"/>
          <w:lang w:val="en-US"/>
        </w:rPr>
        <w:t xml:space="preserve"> interior </w:t>
      </w:r>
      <w:proofErr w:type="spellStart"/>
      <w:r w:rsidRPr="009D7635">
        <w:rPr>
          <w:rFonts w:ascii="Times New Roman" w:hAnsi="Times New Roman" w:cs="Times New Roman"/>
          <w:i/>
          <w:color w:val="000000" w:themeColor="text1"/>
          <w:sz w:val="20"/>
          <w:szCs w:val="20"/>
          <w:lang w:val="en-US"/>
        </w:rPr>
        <w:t>consequens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apprehensionem</w:t>
      </w:r>
      <w:proofErr w:type="spellEnd"/>
      <w:r w:rsidRPr="009D7635">
        <w:rPr>
          <w:rFonts w:ascii="Times New Roman" w:hAnsi="Times New Roman" w:cs="Times New Roman"/>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citing Avicenna, </w:t>
      </w:r>
      <w:r w:rsidRPr="009D7635">
        <w:rPr>
          <w:rFonts w:ascii="Times New Roman" w:hAnsi="Times New Roman" w:cs="Times New Roman"/>
          <w:i/>
          <w:color w:val="000000" w:themeColor="text1"/>
          <w:sz w:val="20"/>
          <w:szCs w:val="20"/>
          <w:lang w:val="en-US"/>
        </w:rPr>
        <w:t>De anima</w:t>
      </w:r>
      <w:r w:rsidRPr="009D7635">
        <w:rPr>
          <w:rFonts w:ascii="Times New Roman" w:hAnsi="Times New Roman" w:cs="Times New Roman"/>
          <w:color w:val="000000" w:themeColor="text1"/>
          <w:sz w:val="20"/>
          <w:szCs w:val="20"/>
          <w:lang w:val="en-US"/>
        </w:rPr>
        <w:t xml:space="preserve"> IV.4.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254-5, citing Avicenna, </w:t>
      </w:r>
      <w:r w:rsidRPr="009D7635">
        <w:rPr>
          <w:rFonts w:ascii="Times New Roman" w:hAnsi="Times New Roman" w:cs="Times New Roman"/>
          <w:i/>
          <w:color w:val="000000" w:themeColor="text1"/>
          <w:sz w:val="20"/>
          <w:szCs w:val="20"/>
        </w:rPr>
        <w:t>Metaphysics</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VIII.7 and </w:t>
      </w:r>
      <w:r w:rsidRPr="009D7635">
        <w:rPr>
          <w:rFonts w:ascii="Times New Roman" w:hAnsi="Times New Roman" w:cs="Times New Roman"/>
          <w:i/>
          <w:color w:val="000000" w:themeColor="text1"/>
          <w:sz w:val="20"/>
          <w:szCs w:val="20"/>
        </w:rPr>
        <w:t xml:space="preserve">De fide </w:t>
      </w:r>
      <w:proofErr w:type="spellStart"/>
      <w:r w:rsidRPr="009D7635">
        <w:rPr>
          <w:rFonts w:ascii="Times New Roman" w:hAnsi="Times New Roman" w:cs="Times New Roman"/>
          <w:i/>
          <w:color w:val="000000" w:themeColor="text1"/>
          <w:sz w:val="20"/>
          <w:szCs w:val="20"/>
        </w:rPr>
        <w:t>orthodoxa</w:t>
      </w:r>
      <w:proofErr w:type="spellEnd"/>
      <w:r w:rsidRPr="009D7635">
        <w:rPr>
          <w:rFonts w:ascii="Times New Roman" w:hAnsi="Times New Roman" w:cs="Times New Roman"/>
          <w:color w:val="000000" w:themeColor="text1"/>
          <w:sz w:val="20"/>
          <w:szCs w:val="20"/>
        </w:rPr>
        <w:t xml:space="preserve"> 30.1.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263, 266.</w:t>
      </w:r>
    </w:p>
  </w:footnote>
  <w:footnote w:id="992">
    <w:p w14:paraId="16A24305" w14:textId="48482F4B"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256; cf.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111-13. </w:t>
      </w:r>
    </w:p>
  </w:footnote>
  <w:footnote w:id="993">
    <w:p w14:paraId="69F1D262" w14:textId="77777777"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30.3, ed. </w:t>
      </w:r>
      <w:proofErr w:type="spellStart"/>
      <w:r w:rsidRPr="009D7635">
        <w:rPr>
          <w:rFonts w:ascii="Times New Roman" w:hAnsi="Times New Roman" w:cs="Times New Roman"/>
          <w:color w:val="000000" w:themeColor="text1"/>
        </w:rPr>
        <w:t>Buytaert</w:t>
      </w:r>
      <w:proofErr w:type="spellEnd"/>
      <w:r w:rsidRPr="009D7635">
        <w:rPr>
          <w:rFonts w:ascii="Times New Roman" w:hAnsi="Times New Roman" w:cs="Times New Roman"/>
          <w:color w:val="000000" w:themeColor="text1"/>
        </w:rPr>
        <w:t xml:space="preserve">, 256. </w:t>
      </w:r>
    </w:p>
  </w:footnote>
  <w:footnote w:id="994">
    <w:p w14:paraId="7D20E2F3" w14:textId="5908BF58"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79, citing Avicenna,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I.5.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254-5.</w:t>
      </w:r>
    </w:p>
  </w:footnote>
  <w:footnote w:id="995">
    <w:p w14:paraId="71AF6CF3" w14:textId="313C5753"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126, quoting DSEA 2 and 11.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196, citing DSEA 4.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118, citing DFO 26.45.</w:t>
      </w:r>
    </w:p>
  </w:footnote>
  <w:footnote w:id="996">
    <w:p w14:paraId="71F39D09" w14:textId="4A4AF4FB" w:rsidR="00B93ED5" w:rsidRPr="009D7635" w:rsidRDefault="00B93ED5" w:rsidP="000D3D92">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263: </w:t>
      </w:r>
      <w:proofErr w:type="spellStart"/>
      <w:r w:rsidRPr="009D7635">
        <w:rPr>
          <w:rFonts w:ascii="Times New Roman" w:hAnsi="Times New Roman" w:cs="Times New Roman"/>
          <w:i/>
          <w:color w:val="000000" w:themeColor="text1"/>
          <w:sz w:val="20"/>
          <w:szCs w:val="20"/>
          <w:lang w:val="en-US"/>
        </w:rPr>
        <w:t>Notandum</w:t>
      </w:r>
      <w:proofErr w:type="spellEnd"/>
      <w:r w:rsidRPr="009D7635">
        <w:rPr>
          <w:rFonts w:ascii="Times New Roman" w:hAnsi="Times New Roman" w:cs="Times New Roman"/>
          <w:i/>
          <w:color w:val="000000" w:themeColor="text1"/>
          <w:sz w:val="20"/>
          <w:szCs w:val="20"/>
          <w:lang w:val="en-US"/>
        </w:rPr>
        <w:t xml:space="preserve"> ergo quod </w:t>
      </w:r>
      <w:proofErr w:type="spellStart"/>
      <w:r w:rsidRPr="009D7635">
        <w:rPr>
          <w:rFonts w:ascii="Times New Roman" w:hAnsi="Times New Roman" w:cs="Times New Roman"/>
          <w:i/>
          <w:color w:val="000000" w:themeColor="text1"/>
          <w:sz w:val="20"/>
          <w:szCs w:val="20"/>
          <w:lang w:val="en-US"/>
        </w:rPr>
        <w:t>appetitus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imperii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irascibilis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concupiscibilis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Affectio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motus</w:t>
      </w:r>
      <w:proofErr w:type="spellEnd"/>
      <w:r w:rsidRPr="009D7635">
        <w:rPr>
          <w:rFonts w:ascii="Times New Roman" w:hAnsi="Times New Roman" w:cs="Times New Roman"/>
          <w:i/>
          <w:color w:val="000000" w:themeColor="text1"/>
          <w:sz w:val="20"/>
          <w:szCs w:val="20"/>
          <w:lang w:val="en-US"/>
        </w:rPr>
        <w:t xml:space="preserve"> interior </w:t>
      </w:r>
      <w:proofErr w:type="spellStart"/>
      <w:r w:rsidRPr="009D7635">
        <w:rPr>
          <w:rFonts w:ascii="Times New Roman" w:hAnsi="Times New Roman" w:cs="Times New Roman"/>
          <w:i/>
          <w:color w:val="000000" w:themeColor="text1"/>
          <w:sz w:val="20"/>
          <w:szCs w:val="20"/>
          <w:lang w:val="en-US"/>
        </w:rPr>
        <w:t>consequens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apprehensionem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Unde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affectiones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multiplicantur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quattuor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differencias</w:t>
      </w:r>
      <w:proofErr w:type="spellEnd"/>
      <w:r w:rsidRPr="009D7635">
        <w:rPr>
          <w:rFonts w:ascii="Times New Roman" w:hAnsi="Times New Roman" w:cs="Times New Roman"/>
          <w:i/>
          <w:color w:val="000000" w:themeColor="text1"/>
          <w:sz w:val="20"/>
          <w:szCs w:val="20"/>
          <w:lang w:val="en-US"/>
        </w:rPr>
        <w:t xml:space="preserve">, et hoc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sanctos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philosophos</w:t>
      </w:r>
      <w:proofErr w:type="spellEnd"/>
      <w:r w:rsidRPr="009D7635">
        <w:rPr>
          <w:rFonts w:ascii="Times New Roman" w:hAnsi="Times New Roman" w:cs="Times New Roman"/>
          <w:i/>
          <w:color w:val="000000" w:themeColor="text1"/>
          <w:sz w:val="20"/>
          <w:szCs w:val="20"/>
          <w:lang w:val="en-US"/>
        </w:rPr>
        <w:t xml:space="preserve">, scilicet </w:t>
      </w:r>
      <w:proofErr w:type="spellStart"/>
      <w:r w:rsidRPr="009D7635">
        <w:rPr>
          <w:rFonts w:ascii="Times New Roman" w:hAnsi="Times New Roman" w:cs="Times New Roman"/>
          <w:i/>
          <w:color w:val="000000" w:themeColor="text1"/>
          <w:sz w:val="20"/>
          <w:szCs w:val="20"/>
          <w:lang w:val="en-US"/>
        </w:rPr>
        <w:t>gaudium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leticia</w:t>
      </w:r>
      <w:proofErr w:type="spellEnd"/>
      <w:r w:rsidRPr="009D7635">
        <w:rPr>
          <w:rFonts w:ascii="Times New Roman" w:hAnsi="Times New Roman" w:cs="Times New Roman"/>
          <w:i/>
          <w:color w:val="000000" w:themeColor="text1"/>
          <w:sz w:val="20"/>
          <w:szCs w:val="20"/>
          <w:lang w:val="en-US"/>
        </w:rPr>
        <w:t xml:space="preserve">, dolor </w:t>
      </w:r>
      <w:proofErr w:type="spellStart"/>
      <w:r w:rsidRPr="009D7635">
        <w:rPr>
          <w:rFonts w:ascii="Times New Roman" w:hAnsi="Times New Roman" w:cs="Times New Roman"/>
          <w:i/>
          <w:color w:val="000000" w:themeColor="text1"/>
          <w:sz w:val="20"/>
          <w:szCs w:val="20"/>
          <w:lang w:val="en-US"/>
        </w:rPr>
        <w:t>seu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tristicia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cupiditas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spes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seu</w:t>
      </w:r>
      <w:proofErr w:type="spellEnd"/>
      <w:r w:rsidRPr="009D7635">
        <w:rPr>
          <w:rFonts w:ascii="Times New Roman" w:hAnsi="Times New Roman" w:cs="Times New Roman"/>
          <w:i/>
          <w:color w:val="000000" w:themeColor="text1"/>
          <w:sz w:val="20"/>
          <w:szCs w:val="20"/>
          <w:lang w:val="en-US"/>
        </w:rPr>
        <w:t xml:space="preserve"> timor; </w:t>
      </w:r>
      <w:proofErr w:type="spellStart"/>
      <w:r w:rsidRPr="009D7635">
        <w:rPr>
          <w:rFonts w:ascii="Times New Roman" w:hAnsi="Times New Roman" w:cs="Times New Roman"/>
          <w:i/>
          <w:color w:val="000000" w:themeColor="text1"/>
          <w:sz w:val="20"/>
          <w:szCs w:val="20"/>
          <w:lang w:val="en-US"/>
        </w:rPr>
        <w:t>quarum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patet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numerus</w:t>
      </w:r>
      <w:proofErr w:type="spellEnd"/>
      <w:r w:rsidRPr="009D7635">
        <w:rPr>
          <w:rFonts w:ascii="Times New Roman" w:hAnsi="Times New Roman" w:cs="Times New Roman"/>
          <w:i/>
          <w:color w:val="000000" w:themeColor="text1"/>
          <w:sz w:val="20"/>
          <w:szCs w:val="20"/>
          <w:lang w:val="en-US"/>
        </w:rPr>
        <w:t>.</w:t>
      </w:r>
    </w:p>
  </w:footnote>
  <w:footnote w:id="997">
    <w:p w14:paraId="29DC5EBA" w14:textId="58598AC7"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196, citing DSEA 4.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127, citing DSEA 20, 46.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127: </w:t>
      </w:r>
      <w:proofErr w:type="spellStart"/>
      <w:r w:rsidRPr="009D7635">
        <w:rPr>
          <w:rFonts w:ascii="Times New Roman" w:hAnsi="Times New Roman" w:cs="Times New Roman"/>
          <w:i/>
          <w:color w:val="000000" w:themeColor="text1"/>
          <w:lang w:val="en-US"/>
        </w:rPr>
        <w:t>Vult</w:t>
      </w:r>
      <w:proofErr w:type="spellEnd"/>
      <w:r w:rsidRPr="009D7635">
        <w:rPr>
          <w:rFonts w:ascii="Times New Roman" w:hAnsi="Times New Roman" w:cs="Times New Roman"/>
          <w:i/>
          <w:color w:val="000000" w:themeColor="text1"/>
          <w:lang w:val="en-US"/>
        </w:rPr>
        <w:t xml:space="preserve"> ergo </w:t>
      </w:r>
      <w:proofErr w:type="spellStart"/>
      <w:r w:rsidRPr="009D7635">
        <w:rPr>
          <w:rFonts w:ascii="Times New Roman" w:hAnsi="Times New Roman" w:cs="Times New Roman"/>
          <w:i/>
          <w:color w:val="000000" w:themeColor="text1"/>
          <w:lang w:val="en-US"/>
        </w:rPr>
        <w:t>dicere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Augustinus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quatuor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esse</w:t>
      </w:r>
      <w:proofErr w:type="spellEnd"/>
      <w:r w:rsidRPr="009D7635">
        <w:rPr>
          <w:rFonts w:ascii="Times New Roman" w:hAnsi="Times New Roman" w:cs="Times New Roman"/>
          <w:i/>
          <w:color w:val="000000" w:themeColor="text1"/>
          <w:lang w:val="en-US"/>
        </w:rPr>
        <w:t xml:space="preserve"> anime </w:t>
      </w:r>
      <w:proofErr w:type="spellStart"/>
      <w:r w:rsidRPr="009D7635">
        <w:rPr>
          <w:rFonts w:ascii="Times New Roman" w:hAnsi="Times New Roman" w:cs="Times New Roman"/>
          <w:i/>
          <w:color w:val="000000" w:themeColor="text1"/>
          <w:lang w:val="en-US"/>
        </w:rPr>
        <w:t>affectus</w:t>
      </w:r>
      <w:proofErr w:type="spellEnd"/>
      <w:r w:rsidRPr="009D7635">
        <w:rPr>
          <w:rFonts w:ascii="Times New Roman" w:hAnsi="Times New Roman" w:cs="Times New Roman"/>
          <w:i/>
          <w:color w:val="000000" w:themeColor="text1"/>
          <w:lang w:val="en-US"/>
        </w:rPr>
        <w:t xml:space="preserve">, duos </w:t>
      </w:r>
      <w:proofErr w:type="spellStart"/>
      <w:r w:rsidRPr="009D7635">
        <w:rPr>
          <w:rFonts w:ascii="Times New Roman" w:hAnsi="Times New Roman" w:cs="Times New Roman"/>
          <w:i/>
          <w:color w:val="000000" w:themeColor="text1"/>
          <w:lang w:val="en-US"/>
        </w:rPr>
        <w:t>respectu</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boni</w:t>
      </w:r>
      <w:proofErr w:type="spellEnd"/>
      <w:r w:rsidRPr="009D7635">
        <w:rPr>
          <w:rFonts w:ascii="Times New Roman" w:hAnsi="Times New Roman" w:cs="Times New Roman"/>
          <w:i/>
          <w:color w:val="000000" w:themeColor="text1"/>
          <w:lang w:val="en-US"/>
        </w:rPr>
        <w:t xml:space="preserve">, scilicet </w:t>
      </w:r>
      <w:proofErr w:type="spellStart"/>
      <w:r w:rsidRPr="009D7635">
        <w:rPr>
          <w:rFonts w:ascii="Times New Roman" w:hAnsi="Times New Roman" w:cs="Times New Roman"/>
          <w:i/>
          <w:color w:val="000000" w:themeColor="text1"/>
          <w:lang w:val="en-US"/>
        </w:rPr>
        <w:t>gaudium</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spem</w:t>
      </w:r>
      <w:proofErr w:type="spellEnd"/>
      <w:r w:rsidRPr="009D7635">
        <w:rPr>
          <w:rFonts w:ascii="Times New Roman" w:hAnsi="Times New Roman" w:cs="Times New Roman"/>
          <w:i/>
          <w:color w:val="000000" w:themeColor="text1"/>
          <w:lang w:val="en-US"/>
        </w:rPr>
        <w:t xml:space="preserve"> — sed </w:t>
      </w:r>
      <w:proofErr w:type="spellStart"/>
      <w:r w:rsidRPr="009D7635">
        <w:rPr>
          <w:rFonts w:ascii="Times New Roman" w:hAnsi="Times New Roman" w:cs="Times New Roman"/>
          <w:i/>
          <w:color w:val="000000" w:themeColor="text1"/>
          <w:lang w:val="en-US"/>
        </w:rPr>
        <w:t>gaudium</w:t>
      </w:r>
      <w:proofErr w:type="spellEnd"/>
      <w:r w:rsidRPr="009D7635">
        <w:rPr>
          <w:rFonts w:ascii="Times New Roman" w:hAnsi="Times New Roman" w:cs="Times New Roman"/>
          <w:i/>
          <w:color w:val="000000" w:themeColor="text1"/>
          <w:lang w:val="en-US"/>
        </w:rPr>
        <w:t xml:space="preserve"> de </w:t>
      </w:r>
      <w:proofErr w:type="spellStart"/>
      <w:r w:rsidRPr="009D7635">
        <w:rPr>
          <w:rFonts w:ascii="Times New Roman" w:hAnsi="Times New Roman" w:cs="Times New Roman"/>
          <w:i/>
          <w:color w:val="000000" w:themeColor="text1"/>
          <w:lang w:val="en-US"/>
        </w:rPr>
        <w:t>presenti</w:t>
      </w:r>
      <w:proofErr w:type="spellEnd"/>
      <w:r w:rsidRPr="009D7635">
        <w:rPr>
          <w:rFonts w:ascii="Times New Roman" w:hAnsi="Times New Roman" w:cs="Times New Roman"/>
          <w:i/>
          <w:color w:val="000000" w:themeColor="text1"/>
          <w:lang w:val="en-US"/>
        </w:rPr>
        <w:t xml:space="preserve"> bono, </w:t>
      </w:r>
      <w:proofErr w:type="spellStart"/>
      <w:r w:rsidRPr="009D7635">
        <w:rPr>
          <w:rFonts w:ascii="Times New Roman" w:hAnsi="Times New Roman" w:cs="Times New Roman"/>
          <w:i/>
          <w:color w:val="000000" w:themeColor="text1"/>
          <w:lang w:val="en-US"/>
        </w:rPr>
        <w:t>spes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vero</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de </w:t>
      </w:r>
      <w:proofErr w:type="spellStart"/>
      <w:r w:rsidRPr="009D7635">
        <w:rPr>
          <w:rFonts w:ascii="Times New Roman" w:hAnsi="Times New Roman" w:cs="Times New Roman"/>
          <w:i/>
          <w:color w:val="000000" w:themeColor="text1"/>
          <w:lang w:val="en-US"/>
        </w:rPr>
        <w:t>futuro</w:t>
      </w:r>
      <w:proofErr w:type="spellEnd"/>
      <w:r w:rsidRPr="009D7635">
        <w:rPr>
          <w:rFonts w:ascii="Times New Roman" w:hAnsi="Times New Roman" w:cs="Times New Roman"/>
          <w:i/>
          <w:color w:val="000000" w:themeColor="text1"/>
          <w:lang w:val="en-US"/>
        </w:rPr>
        <w:t xml:space="preserve"> — duos </w:t>
      </w:r>
      <w:proofErr w:type="spellStart"/>
      <w:r w:rsidRPr="009D7635">
        <w:rPr>
          <w:rFonts w:ascii="Times New Roman" w:hAnsi="Times New Roman" w:cs="Times New Roman"/>
          <w:i/>
          <w:color w:val="000000" w:themeColor="text1"/>
          <w:lang w:val="en-US"/>
        </w:rPr>
        <w:t>respectu</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mali</w:t>
      </w:r>
      <w:proofErr w:type="spellEnd"/>
      <w:r w:rsidRPr="009D7635">
        <w:rPr>
          <w:rFonts w:ascii="Times New Roman" w:hAnsi="Times New Roman" w:cs="Times New Roman"/>
          <w:i/>
          <w:color w:val="000000" w:themeColor="text1"/>
          <w:lang w:val="en-US"/>
        </w:rPr>
        <w:t xml:space="preserve">, scilicet </w:t>
      </w:r>
      <w:proofErr w:type="spellStart"/>
      <w:r w:rsidRPr="009D7635">
        <w:rPr>
          <w:rFonts w:ascii="Times New Roman" w:hAnsi="Times New Roman" w:cs="Times New Roman"/>
          <w:i/>
          <w:color w:val="000000" w:themeColor="text1"/>
          <w:lang w:val="en-US"/>
        </w:rPr>
        <w:t>dolorem</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metum</w:t>
      </w:r>
      <w:proofErr w:type="spellEnd"/>
      <w:r w:rsidRPr="009D7635">
        <w:rPr>
          <w:rFonts w:ascii="Times New Roman" w:hAnsi="Times New Roman" w:cs="Times New Roman"/>
          <w:i/>
          <w:color w:val="000000" w:themeColor="text1"/>
          <w:lang w:val="en-US"/>
        </w:rPr>
        <w:t xml:space="preserve"> — sed </w:t>
      </w:r>
      <w:proofErr w:type="spellStart"/>
      <w:r w:rsidRPr="009D7635">
        <w:rPr>
          <w:rFonts w:ascii="Times New Roman" w:hAnsi="Times New Roman" w:cs="Times New Roman"/>
          <w:i/>
          <w:color w:val="000000" w:themeColor="text1"/>
          <w:lang w:val="en-US"/>
        </w:rPr>
        <w:t>dolorem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respectu</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presentis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metum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vero</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respectu</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futuri</w:t>
      </w:r>
      <w:proofErr w:type="spellEnd"/>
      <w:r w:rsidRPr="009D7635">
        <w:rPr>
          <w:rFonts w:ascii="Times New Roman" w:hAnsi="Times New Roman" w:cs="Times New Roman"/>
          <w:i/>
          <w:color w:val="000000" w:themeColor="text1"/>
          <w:lang w:val="en-US"/>
        </w:rPr>
        <w:t xml:space="preserve"> — </w:t>
      </w:r>
      <w:proofErr w:type="spellStart"/>
      <w:r w:rsidRPr="009D7635">
        <w:rPr>
          <w:rFonts w:ascii="Times New Roman" w:hAnsi="Times New Roman" w:cs="Times New Roman"/>
          <w:i/>
          <w:color w:val="000000" w:themeColor="text1"/>
          <w:lang w:val="en-US"/>
        </w:rPr>
        <w:t>Hec</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diuisio</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sumpta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ex </w:t>
      </w:r>
      <w:proofErr w:type="spellStart"/>
      <w:r w:rsidRPr="009D7635">
        <w:rPr>
          <w:rFonts w:ascii="Times New Roman" w:hAnsi="Times New Roman" w:cs="Times New Roman"/>
          <w:i/>
          <w:color w:val="000000" w:themeColor="text1"/>
          <w:lang w:val="en-US"/>
        </w:rPr>
        <w:t>verbis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Augustini</w:t>
      </w:r>
      <w:proofErr w:type="spellEnd"/>
      <w:r w:rsidRPr="009D7635">
        <w:rPr>
          <w:rFonts w:ascii="Times New Roman" w:hAnsi="Times New Roman" w:cs="Times New Roman"/>
          <w:i/>
          <w:color w:val="000000" w:themeColor="text1"/>
          <w:lang w:val="en-US"/>
        </w:rPr>
        <w:t xml:space="preserve">, ex </w:t>
      </w:r>
      <w:proofErr w:type="spellStart"/>
      <w:r w:rsidRPr="009D7635">
        <w:rPr>
          <w:rFonts w:ascii="Times New Roman" w:hAnsi="Times New Roman" w:cs="Times New Roman"/>
          <w:i/>
          <w:color w:val="000000" w:themeColor="text1"/>
          <w:lang w:val="en-US"/>
        </w:rPr>
        <w:t>diversis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locis</w:t>
      </w:r>
      <w:proofErr w:type="spellEnd"/>
      <w:r w:rsidRPr="009D7635">
        <w:rPr>
          <w:rFonts w:ascii="Times New Roman" w:hAnsi="Times New Roman" w:cs="Times New Roman"/>
          <w:i/>
          <w:color w:val="000000" w:themeColor="text1"/>
          <w:lang w:val="en-US"/>
        </w:rPr>
        <w:t xml:space="preserve"> ex </w:t>
      </w:r>
      <w:proofErr w:type="spellStart"/>
      <w:r w:rsidRPr="009D7635">
        <w:rPr>
          <w:rFonts w:ascii="Times New Roman" w:hAnsi="Times New Roman" w:cs="Times New Roman"/>
          <w:i/>
          <w:color w:val="000000" w:themeColor="text1"/>
          <w:lang w:val="en-US"/>
        </w:rPr>
        <w:t>libro</w:t>
      </w:r>
      <w:proofErr w:type="spellEnd"/>
      <w:r w:rsidRPr="009D7635">
        <w:rPr>
          <w:rFonts w:ascii="Times New Roman" w:hAnsi="Times New Roman" w:cs="Times New Roman"/>
          <w:i/>
          <w:color w:val="000000" w:themeColor="text1"/>
          <w:lang w:val="en-US"/>
        </w:rPr>
        <w:t xml:space="preserve"> ‘De </w:t>
      </w:r>
      <w:proofErr w:type="spellStart"/>
      <w:r w:rsidRPr="009D7635">
        <w:rPr>
          <w:rFonts w:ascii="Times New Roman" w:hAnsi="Times New Roman" w:cs="Times New Roman"/>
          <w:i/>
          <w:color w:val="000000" w:themeColor="text1"/>
          <w:lang w:val="en-US"/>
        </w:rPr>
        <w:t>spiritu</w:t>
      </w:r>
      <w:proofErr w:type="spellEnd"/>
      <w:r w:rsidRPr="009D7635">
        <w:rPr>
          <w:rFonts w:ascii="Times New Roman" w:hAnsi="Times New Roman" w:cs="Times New Roman"/>
          <w:i/>
          <w:color w:val="000000" w:themeColor="text1"/>
          <w:lang w:val="en-US"/>
        </w:rPr>
        <w:t xml:space="preserve"> et anima’. </w:t>
      </w:r>
    </w:p>
  </w:footnote>
  <w:footnote w:id="998">
    <w:p w14:paraId="062AD42D" w14:textId="7911EFA2"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Saint John Damascene</w:t>
      </w:r>
      <w:r w:rsidR="00116C88" w:rsidRPr="009D7635">
        <w:rPr>
          <w:rFonts w:ascii="Times New Roman" w:hAnsi="Times New Roman" w:cs="Times New Roman"/>
          <w:i/>
          <w:color w:val="000000" w:themeColor="text1"/>
        </w:rPr>
        <w:t xml:space="preserve">: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
          <w:color w:val="000000" w:themeColor="text1"/>
        </w:rPr>
        <w:t xml:space="preserve">: Versions of </w:t>
      </w:r>
      <w:proofErr w:type="spellStart"/>
      <w:r w:rsidRPr="009D7635">
        <w:rPr>
          <w:rFonts w:ascii="Times New Roman" w:hAnsi="Times New Roman" w:cs="Times New Roman"/>
          <w:i/>
          <w:color w:val="000000" w:themeColor="text1"/>
        </w:rPr>
        <w:t>Burgundio</w:t>
      </w:r>
      <w:proofErr w:type="spellEnd"/>
      <w:r w:rsidRPr="009D7635">
        <w:rPr>
          <w:rFonts w:ascii="Times New Roman" w:hAnsi="Times New Roman" w:cs="Times New Roman"/>
          <w:i/>
          <w:color w:val="000000" w:themeColor="text1"/>
        </w:rPr>
        <w:t xml:space="preserve"> and </w:t>
      </w:r>
      <w:proofErr w:type="spellStart"/>
      <w:r w:rsidRPr="009D7635">
        <w:rPr>
          <w:rFonts w:ascii="Times New Roman" w:hAnsi="Times New Roman" w:cs="Times New Roman"/>
          <w:i/>
          <w:color w:val="000000" w:themeColor="text1"/>
        </w:rPr>
        <w:t>Cerbanus</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Eligius</w:t>
      </w:r>
      <w:proofErr w:type="spellEnd"/>
      <w:r w:rsidRPr="009D7635">
        <w:rPr>
          <w:rFonts w:ascii="Times New Roman" w:hAnsi="Times New Roman" w:cs="Times New Roman"/>
          <w:color w:val="000000" w:themeColor="text1"/>
        </w:rPr>
        <w:t xml:space="preserve"> M. </w:t>
      </w:r>
      <w:proofErr w:type="spellStart"/>
      <w:r w:rsidRPr="009D7635">
        <w:rPr>
          <w:rFonts w:ascii="Times New Roman" w:hAnsi="Times New Roman" w:cs="Times New Roman"/>
          <w:color w:val="000000" w:themeColor="text1"/>
        </w:rPr>
        <w:t>Buytaert</w:t>
      </w:r>
      <w:proofErr w:type="spellEnd"/>
      <w:r w:rsidRPr="009D7635">
        <w:rPr>
          <w:rFonts w:ascii="Times New Roman" w:hAnsi="Times New Roman" w:cs="Times New Roman"/>
          <w:color w:val="000000" w:themeColor="text1"/>
        </w:rPr>
        <w:t xml:space="preserve"> (St Bonaventure: Franciscan Institute, 1955), </w:t>
      </w:r>
      <w:proofErr w:type="spellStart"/>
      <w:r w:rsidRPr="009D7635">
        <w:rPr>
          <w:rFonts w:ascii="Times New Roman" w:hAnsi="Times New Roman" w:cs="Times New Roman"/>
          <w:color w:val="000000" w:themeColor="text1"/>
        </w:rPr>
        <w:t>chs</w:t>
      </w:r>
      <w:proofErr w:type="spellEnd"/>
      <w:r w:rsidRPr="009D7635">
        <w:rPr>
          <w:rFonts w:ascii="Times New Roman" w:hAnsi="Times New Roman" w:cs="Times New Roman"/>
          <w:color w:val="000000" w:themeColor="text1"/>
        </w:rPr>
        <w:t xml:space="preserve"> 27-30. </w:t>
      </w:r>
      <w:proofErr w:type="spellStart"/>
      <w:r w:rsidRPr="009D7635">
        <w:rPr>
          <w:rFonts w:ascii="Times New Roman" w:hAnsi="Times New Roman" w:cs="Times New Roman"/>
          <w:color w:val="000000" w:themeColor="text1"/>
        </w:rPr>
        <w:t>Nemesius</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On the Nature of Man</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trans. and introduction and notes by R.W. </w:t>
      </w:r>
      <w:proofErr w:type="spellStart"/>
      <w:r w:rsidRPr="009D7635">
        <w:rPr>
          <w:rFonts w:ascii="Times New Roman" w:hAnsi="Times New Roman" w:cs="Times New Roman"/>
          <w:color w:val="000000" w:themeColor="text1"/>
        </w:rPr>
        <w:t>Sharples</w:t>
      </w:r>
      <w:proofErr w:type="spellEnd"/>
      <w:r w:rsidRPr="009D7635">
        <w:rPr>
          <w:rFonts w:ascii="Times New Roman" w:hAnsi="Times New Roman" w:cs="Times New Roman"/>
          <w:color w:val="000000" w:themeColor="text1"/>
        </w:rPr>
        <w:t xml:space="preserve"> and P.J. Van der </w:t>
      </w:r>
      <w:proofErr w:type="spellStart"/>
      <w:r w:rsidRPr="009D7635">
        <w:rPr>
          <w:rFonts w:ascii="Times New Roman" w:hAnsi="Times New Roman" w:cs="Times New Roman"/>
          <w:color w:val="000000" w:themeColor="text1"/>
        </w:rPr>
        <w:t>Eijk</w:t>
      </w:r>
      <w:proofErr w:type="spellEnd"/>
      <w:r w:rsidRPr="009D7635">
        <w:rPr>
          <w:rFonts w:ascii="Times New Roman" w:hAnsi="Times New Roman" w:cs="Times New Roman"/>
          <w:color w:val="000000" w:themeColor="text1"/>
        </w:rPr>
        <w:t xml:space="preserve"> (Liverpool: Liverpool University Press, 2008), </w:t>
      </w:r>
      <w:proofErr w:type="spellStart"/>
      <w:r w:rsidRPr="009D7635">
        <w:rPr>
          <w:rFonts w:ascii="Times New Roman" w:hAnsi="Times New Roman" w:cs="Times New Roman"/>
          <w:color w:val="000000" w:themeColor="text1"/>
        </w:rPr>
        <w:t>chs</w:t>
      </w:r>
      <w:proofErr w:type="spellEnd"/>
      <w:r w:rsidRPr="009D7635">
        <w:rPr>
          <w:rFonts w:ascii="Times New Roman" w:hAnsi="Times New Roman" w:cs="Times New Roman"/>
          <w:color w:val="000000" w:themeColor="text1"/>
        </w:rPr>
        <w:t xml:space="preserve"> 18-21. </w:t>
      </w:r>
    </w:p>
  </w:footnote>
  <w:footnote w:id="999">
    <w:p w14:paraId="341A6437" w14:textId="2C836ADF"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Simo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Knuuttila</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Emotions in Ancient and Medieval Philosophy</w:t>
      </w:r>
      <w:r w:rsidR="00116C88" w:rsidRPr="009D7635">
        <w:rPr>
          <w:rFonts w:ascii="Times New Roman" w:hAnsi="Times New Roman" w:cs="Times New Roman"/>
          <w:iCs/>
          <w:color w:val="000000" w:themeColor="text1"/>
        </w:rPr>
        <w:t xml:space="preserve"> (Oxford: Oxford University Press, 2004), </w:t>
      </w:r>
      <w:r w:rsidRPr="009D7635">
        <w:rPr>
          <w:rFonts w:ascii="Times New Roman" w:hAnsi="Times New Roman" w:cs="Times New Roman"/>
          <w:color w:val="000000" w:themeColor="text1"/>
          <w:lang w:val="en-US"/>
        </w:rPr>
        <w:t xml:space="preserve">163. </w:t>
      </w:r>
    </w:p>
  </w:footnote>
  <w:footnote w:id="1000">
    <w:p w14:paraId="73836FB7" w14:textId="7D5FCFAC"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060B51" w:rsidRPr="009D7635">
        <w:rPr>
          <w:rFonts w:ascii="Times New Roman" w:hAnsi="Times New Roman" w:cs="Times New Roman"/>
          <w:color w:val="000000" w:themeColor="text1"/>
        </w:rPr>
        <w:t>Ibid.,</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219-26. </w:t>
      </w:r>
    </w:p>
  </w:footnote>
  <w:footnote w:id="1001">
    <w:p w14:paraId="1461A23D" w14:textId="3FD898A7" w:rsidR="00B93ED5" w:rsidRPr="009D7635" w:rsidRDefault="00B93ED5" w:rsidP="000D3D92">
      <w:pPr>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CF69B6" w:rsidRPr="009D7635">
        <w:rPr>
          <w:rFonts w:ascii="Times New Roman" w:hAnsi="Times New Roman" w:cs="Times New Roman"/>
          <w:color w:val="000000" w:themeColor="text1"/>
          <w:sz w:val="20"/>
          <w:szCs w:val="20"/>
        </w:rPr>
        <w:t>Ibid.,</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228, citing Isaac’s </w:t>
      </w:r>
      <w:r w:rsidRPr="009D7635">
        <w:rPr>
          <w:rFonts w:ascii="Times New Roman" w:hAnsi="Times New Roman" w:cs="Times New Roman"/>
          <w:i/>
          <w:color w:val="000000" w:themeColor="text1"/>
          <w:sz w:val="20"/>
          <w:szCs w:val="20"/>
        </w:rPr>
        <w:t xml:space="preserve">Letter on the Soul </w:t>
      </w:r>
      <w:r w:rsidRPr="009D7635">
        <w:rPr>
          <w:rFonts w:ascii="Times New Roman" w:hAnsi="Times New Roman" w:cs="Times New Roman"/>
          <w:color w:val="000000" w:themeColor="text1"/>
          <w:sz w:val="20"/>
          <w:szCs w:val="20"/>
          <w:lang w:val="en-US"/>
        </w:rPr>
        <w:t>1878d</w:t>
      </w:r>
      <w:r w:rsidRPr="009D7635">
        <w:rPr>
          <w:rFonts w:ascii="Times New Roman" w:hAnsi="Times New Roman" w:cs="Times New Roman"/>
          <w:color w:val="000000" w:themeColor="text1"/>
          <w:sz w:val="20"/>
          <w:szCs w:val="20"/>
        </w:rPr>
        <w:t xml:space="preserve">. </w:t>
      </w:r>
    </w:p>
  </w:footnote>
  <w:footnote w:id="1002">
    <w:p w14:paraId="0099C13A" w14:textId="77777777" w:rsidR="00B93ED5" w:rsidRPr="009D7635" w:rsidRDefault="00B93ED5" w:rsidP="000D3D92">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spiritu</w:t>
      </w:r>
      <w:proofErr w:type="spellEnd"/>
      <w:r w:rsidRPr="009D7635">
        <w:rPr>
          <w:rFonts w:ascii="Times New Roman" w:hAnsi="Times New Roman" w:cs="Times New Roman"/>
          <w:i/>
          <w:color w:val="000000" w:themeColor="text1"/>
          <w:sz w:val="20"/>
          <w:szCs w:val="20"/>
          <w:lang w:val="en-US"/>
        </w:rPr>
        <w:t xml:space="preserve"> et anima </w:t>
      </w:r>
      <w:r w:rsidRPr="009D7635">
        <w:rPr>
          <w:rFonts w:ascii="Times New Roman" w:hAnsi="Times New Roman" w:cs="Times New Roman"/>
          <w:color w:val="000000" w:themeColor="text1"/>
          <w:sz w:val="20"/>
          <w:szCs w:val="20"/>
          <w:lang w:val="en-US"/>
        </w:rPr>
        <w:t>(PL 40, 782; cf. 814).</w:t>
      </w:r>
    </w:p>
  </w:footnote>
  <w:footnote w:id="1003">
    <w:p w14:paraId="259670FD" w14:textId="152AB497" w:rsidR="00B93ED5" w:rsidRPr="009D7635" w:rsidRDefault="00B93ED5" w:rsidP="000D3D92">
      <w:pPr>
        <w:pStyle w:val="Default"/>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Simo</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Knuuttila</w:t>
      </w:r>
      <w:proofErr w:type="spellEnd"/>
      <w:r w:rsidRPr="009D7635">
        <w:rPr>
          <w:rFonts w:ascii="Times New Roman" w:hAnsi="Times New Roman" w:cs="Times New Roman"/>
          <w:color w:val="000000" w:themeColor="text1"/>
          <w:sz w:val="20"/>
          <w:szCs w:val="20"/>
        </w:rPr>
        <w:t xml:space="preserve">, ‘Medieval Theories of the Passions of the Soul,’ </w:t>
      </w:r>
      <w:r w:rsidR="004C6543" w:rsidRPr="009D7635">
        <w:rPr>
          <w:rFonts w:ascii="Times New Roman" w:hAnsi="Times New Roman" w:cs="Times New Roman"/>
          <w:sz w:val="20"/>
          <w:szCs w:val="20"/>
        </w:rPr>
        <w:t xml:space="preserve">in </w:t>
      </w:r>
      <w:r w:rsidR="004C6543" w:rsidRPr="009D7635">
        <w:rPr>
          <w:rFonts w:ascii="Times New Roman" w:hAnsi="Times New Roman" w:cs="Times New Roman"/>
          <w:i/>
          <w:iCs/>
          <w:sz w:val="20"/>
          <w:szCs w:val="20"/>
        </w:rPr>
        <w:t xml:space="preserve">Emotions and Choice from </w:t>
      </w:r>
      <w:proofErr w:type="spellStart"/>
      <w:r w:rsidR="004C6543" w:rsidRPr="009D7635">
        <w:rPr>
          <w:rFonts w:ascii="Times New Roman" w:hAnsi="Times New Roman" w:cs="Times New Roman"/>
          <w:i/>
          <w:iCs/>
          <w:sz w:val="20"/>
          <w:szCs w:val="20"/>
        </w:rPr>
        <w:t>Boethius</w:t>
      </w:r>
      <w:proofErr w:type="spellEnd"/>
      <w:r w:rsidR="004C6543" w:rsidRPr="009D7635">
        <w:rPr>
          <w:rFonts w:ascii="Times New Roman" w:hAnsi="Times New Roman" w:cs="Times New Roman"/>
          <w:i/>
          <w:iCs/>
          <w:sz w:val="20"/>
          <w:szCs w:val="20"/>
        </w:rPr>
        <w:t xml:space="preserve"> to Descartes</w:t>
      </w:r>
      <w:r w:rsidR="004C6543" w:rsidRPr="009D7635">
        <w:rPr>
          <w:rFonts w:ascii="Times New Roman" w:hAnsi="Times New Roman" w:cs="Times New Roman"/>
          <w:sz w:val="20"/>
          <w:szCs w:val="20"/>
        </w:rPr>
        <w:t xml:space="preserve"> (Dordrecht: </w:t>
      </w:r>
      <w:proofErr w:type="spellStart"/>
      <w:r w:rsidR="004C6543" w:rsidRPr="009D7635">
        <w:rPr>
          <w:rFonts w:ascii="Times New Roman" w:hAnsi="Times New Roman" w:cs="Times New Roman"/>
          <w:sz w:val="20"/>
          <w:szCs w:val="20"/>
        </w:rPr>
        <w:t>Kluwer</w:t>
      </w:r>
      <w:proofErr w:type="spellEnd"/>
      <w:r w:rsidR="004C6543" w:rsidRPr="009D7635">
        <w:rPr>
          <w:rFonts w:ascii="Times New Roman" w:hAnsi="Times New Roman" w:cs="Times New Roman"/>
          <w:sz w:val="20"/>
          <w:szCs w:val="20"/>
        </w:rPr>
        <w:t xml:space="preserve">, 2002), </w:t>
      </w:r>
      <w:r w:rsidRPr="009D7635">
        <w:rPr>
          <w:rFonts w:ascii="Times New Roman" w:hAnsi="Times New Roman" w:cs="Times New Roman"/>
          <w:color w:val="000000" w:themeColor="text1"/>
          <w:sz w:val="20"/>
          <w:szCs w:val="20"/>
        </w:rPr>
        <w:t xml:space="preserve">65. </w:t>
      </w:r>
      <w:r w:rsidRPr="009D7635">
        <w:rPr>
          <w:rFonts w:ascii="Times New Roman" w:hAnsi="Times New Roman" w:cs="Times New Roman"/>
          <w:bCs/>
          <w:color w:val="000000" w:themeColor="text1"/>
          <w:sz w:val="20"/>
          <w:szCs w:val="20"/>
        </w:rPr>
        <w:t xml:space="preserve">D.A. Callus O.P. and R.W. Hunt, ed., </w:t>
      </w:r>
      <w:proofErr w:type="spellStart"/>
      <w:r w:rsidRPr="009D7635">
        <w:rPr>
          <w:rFonts w:ascii="Times New Roman" w:hAnsi="Times New Roman" w:cs="Times New Roman"/>
          <w:bCs/>
          <w:i/>
          <w:iCs/>
          <w:color w:val="000000" w:themeColor="text1"/>
          <w:sz w:val="20"/>
          <w:szCs w:val="20"/>
        </w:rPr>
        <w:t>Iohannes</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Blund</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Tractatus</w:t>
      </w:r>
      <w:proofErr w:type="spellEnd"/>
      <w:r w:rsidRPr="009D7635">
        <w:rPr>
          <w:rFonts w:ascii="Times New Roman" w:hAnsi="Times New Roman" w:cs="Times New Roman"/>
          <w:bCs/>
          <w:i/>
          <w:iCs/>
          <w:color w:val="000000" w:themeColor="text1"/>
          <w:sz w:val="20"/>
          <w:szCs w:val="20"/>
        </w:rPr>
        <w:t xml:space="preserve"> De Anima</w:t>
      </w:r>
      <w:r w:rsidR="009C7D3E" w:rsidRPr="009D7635">
        <w:rPr>
          <w:rFonts w:ascii="Times New Roman" w:hAnsi="Times New Roman" w:cs="Times New Roman"/>
          <w:bCs/>
          <w:i/>
          <w:iCs/>
          <w:color w:val="000000" w:themeColor="text1"/>
          <w:sz w:val="20"/>
          <w:szCs w:val="20"/>
        </w:rPr>
        <w:t xml:space="preserve"> </w:t>
      </w:r>
      <w:r w:rsidRPr="009D7635">
        <w:rPr>
          <w:rFonts w:ascii="Times New Roman" w:hAnsi="Times New Roman" w:cs="Times New Roman"/>
          <w:bCs/>
          <w:color w:val="000000" w:themeColor="text1"/>
          <w:sz w:val="20"/>
          <w:szCs w:val="20"/>
        </w:rPr>
        <w:t xml:space="preserve">(London: British Academy, 2012), </w:t>
      </w:r>
      <w:r w:rsidRPr="009D7635">
        <w:rPr>
          <w:rFonts w:ascii="Times New Roman" w:hAnsi="Times New Roman" w:cs="Times New Roman"/>
          <w:color w:val="000000" w:themeColor="text1"/>
          <w:sz w:val="20"/>
          <w:szCs w:val="20"/>
        </w:rPr>
        <w:t>18.25-19.2, 20.19-24, 22.11-6.</w:t>
      </w:r>
    </w:p>
  </w:footnote>
  <w:footnote w:id="1004">
    <w:p w14:paraId="1779661E" w14:textId="31E952EE"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René A. Gauthier, ‘La </w:t>
      </w:r>
      <w:proofErr w:type="spellStart"/>
      <w:r w:rsidRPr="009D7635">
        <w:rPr>
          <w:rFonts w:ascii="Times New Roman" w:hAnsi="Times New Roman" w:cs="Times New Roman"/>
          <w:color w:val="000000" w:themeColor="text1"/>
        </w:rPr>
        <w:t>traité</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anima et de </w:t>
      </w:r>
      <w:proofErr w:type="spellStart"/>
      <w:r w:rsidRPr="009D7635">
        <w:rPr>
          <w:rFonts w:ascii="Times New Roman" w:hAnsi="Times New Roman" w:cs="Times New Roman"/>
          <w:i/>
          <w:color w:val="000000" w:themeColor="text1"/>
        </w:rPr>
        <w:t>potenciis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eius</w:t>
      </w:r>
      <w:proofErr w:type="spellEnd"/>
      <w:r w:rsidRPr="009D7635">
        <w:rPr>
          <w:rFonts w:ascii="Times New Roman" w:hAnsi="Times New Roman" w:cs="Times New Roman"/>
          <w:color w:val="000000" w:themeColor="text1"/>
        </w:rPr>
        <w:t xml:space="preserve"> d’un maitre des arts (</w:t>
      </w:r>
      <w:proofErr w:type="spellStart"/>
      <w:r w:rsidRPr="009D7635">
        <w:rPr>
          <w:rFonts w:ascii="Times New Roman" w:hAnsi="Times New Roman" w:cs="Times New Roman"/>
          <w:color w:val="000000" w:themeColor="text1"/>
        </w:rPr>
        <w:t>vers</w:t>
      </w:r>
      <w:proofErr w:type="spellEnd"/>
      <w:r w:rsidRPr="009D7635">
        <w:rPr>
          <w:rFonts w:ascii="Times New Roman" w:hAnsi="Times New Roman" w:cs="Times New Roman"/>
          <w:color w:val="000000" w:themeColor="text1"/>
        </w:rPr>
        <w:t xml:space="preserve"> 1225): Introduction et </w:t>
      </w:r>
      <w:proofErr w:type="spellStart"/>
      <w:r w:rsidRPr="009D7635">
        <w:rPr>
          <w:rFonts w:ascii="Times New Roman" w:hAnsi="Times New Roman" w:cs="Times New Roman"/>
          <w:color w:val="000000" w:themeColor="text1"/>
        </w:rPr>
        <w:t>texte</w:t>
      </w:r>
      <w:proofErr w:type="spellEnd"/>
      <w:r w:rsidRPr="009D7635">
        <w:rPr>
          <w:rFonts w:ascii="Times New Roman" w:hAnsi="Times New Roman" w:cs="Times New Roman"/>
          <w:color w:val="000000" w:themeColor="text1"/>
        </w:rPr>
        <w:t xml:space="preserve"> critique,’ in </w:t>
      </w:r>
      <w:r w:rsidRPr="009D7635">
        <w:rPr>
          <w:rFonts w:ascii="Times New Roman" w:hAnsi="Times New Roman" w:cs="Times New Roman"/>
          <w:i/>
          <w:color w:val="000000" w:themeColor="text1"/>
        </w:rPr>
        <w:t xml:space="preserve">Revue des sciences </w:t>
      </w:r>
      <w:proofErr w:type="spellStart"/>
      <w:r w:rsidRPr="009D7635">
        <w:rPr>
          <w:rFonts w:ascii="Times New Roman" w:hAnsi="Times New Roman" w:cs="Times New Roman"/>
          <w:i/>
          <w:color w:val="000000" w:themeColor="text1"/>
        </w:rPr>
        <w:t>philosophiques</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théologiques</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66 (Paris: Vrin, 1982)</w:t>
      </w:r>
      <w:r w:rsidR="00A36F82"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3-55. </w:t>
      </w:r>
    </w:p>
  </w:footnote>
  <w:footnote w:id="1005">
    <w:p w14:paraId="274F4176" w14:textId="77777777" w:rsidR="00B93ED5" w:rsidRPr="009D7635" w:rsidRDefault="00B93ED5" w:rsidP="000D3D92">
      <w:pPr>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bCs/>
          <w:i/>
          <w:iCs/>
          <w:color w:val="000000" w:themeColor="text1"/>
          <w:sz w:val="20"/>
          <w:szCs w:val="20"/>
        </w:rPr>
        <w:t xml:space="preserve">Philippi </w:t>
      </w:r>
      <w:proofErr w:type="spellStart"/>
      <w:r w:rsidRPr="009D7635">
        <w:rPr>
          <w:rFonts w:ascii="Times New Roman" w:hAnsi="Times New Roman" w:cs="Times New Roman"/>
          <w:bCs/>
          <w:i/>
          <w:iCs/>
          <w:color w:val="000000" w:themeColor="text1"/>
          <w:sz w:val="20"/>
          <w:szCs w:val="20"/>
        </w:rPr>
        <w:t>Cancellarii</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Parisiensis</w:t>
      </w:r>
      <w:proofErr w:type="spellEnd"/>
      <w:r w:rsidRPr="009D7635">
        <w:rPr>
          <w:rFonts w:ascii="Times New Roman" w:hAnsi="Times New Roman" w:cs="Times New Roman"/>
          <w:bCs/>
          <w:i/>
          <w:iCs/>
          <w:color w:val="000000" w:themeColor="text1"/>
          <w:sz w:val="20"/>
          <w:szCs w:val="20"/>
        </w:rPr>
        <w:t xml:space="preserve"> Summa de bono</w:t>
      </w:r>
      <w:r w:rsidRPr="009D7635">
        <w:rPr>
          <w:rFonts w:ascii="Times New Roman" w:hAnsi="Times New Roman" w:cs="Times New Roman"/>
          <w:bCs/>
          <w:color w:val="000000" w:themeColor="text1"/>
          <w:sz w:val="20"/>
          <w:szCs w:val="20"/>
        </w:rPr>
        <w:t>,</w:t>
      </w:r>
      <w:r w:rsidRPr="009D7635">
        <w:rPr>
          <w:rFonts w:ascii="Times New Roman" w:hAnsi="Times New Roman" w:cs="Times New Roman"/>
          <w:bCs/>
          <w:i/>
          <w:iCs/>
          <w:color w:val="000000" w:themeColor="text1"/>
          <w:sz w:val="20"/>
          <w:szCs w:val="20"/>
        </w:rPr>
        <w:t xml:space="preserve"> </w:t>
      </w:r>
      <w:r w:rsidRPr="009D7635">
        <w:rPr>
          <w:rFonts w:ascii="Times New Roman" w:hAnsi="Times New Roman" w:cs="Times New Roman"/>
          <w:bCs/>
          <w:iCs/>
          <w:color w:val="000000" w:themeColor="text1"/>
          <w:sz w:val="20"/>
          <w:szCs w:val="20"/>
        </w:rPr>
        <w:t xml:space="preserve">2 </w:t>
      </w:r>
      <w:proofErr w:type="spellStart"/>
      <w:r w:rsidRPr="009D7635">
        <w:rPr>
          <w:rFonts w:ascii="Times New Roman" w:hAnsi="Times New Roman" w:cs="Times New Roman"/>
          <w:bCs/>
          <w:iCs/>
          <w:color w:val="000000" w:themeColor="text1"/>
          <w:sz w:val="20"/>
          <w:szCs w:val="20"/>
        </w:rPr>
        <w:t>vols</w:t>
      </w:r>
      <w:proofErr w:type="spellEnd"/>
      <w:r w:rsidRPr="009D7635">
        <w:rPr>
          <w:rFonts w:ascii="Times New Roman" w:hAnsi="Times New Roman" w:cs="Times New Roman"/>
          <w:bCs/>
          <w:iCs/>
          <w:color w:val="000000" w:themeColor="text1"/>
          <w:sz w:val="20"/>
          <w:szCs w:val="20"/>
        </w:rPr>
        <w:t>,</w:t>
      </w:r>
      <w:r w:rsidRPr="009D7635">
        <w:rPr>
          <w:rFonts w:ascii="Times New Roman" w:hAnsi="Times New Roman" w:cs="Times New Roman"/>
          <w:bCs/>
          <w:i/>
          <w:iCs/>
          <w:color w:val="000000" w:themeColor="text1"/>
          <w:sz w:val="20"/>
          <w:szCs w:val="20"/>
        </w:rPr>
        <w:t xml:space="preserve"> </w:t>
      </w:r>
      <w:r w:rsidRPr="009D7635">
        <w:rPr>
          <w:rFonts w:ascii="Times New Roman" w:hAnsi="Times New Roman" w:cs="Times New Roman"/>
          <w:bCs/>
          <w:iCs/>
          <w:color w:val="000000" w:themeColor="text1"/>
          <w:sz w:val="20"/>
          <w:szCs w:val="20"/>
        </w:rPr>
        <w:t>ed.</w:t>
      </w:r>
      <w:r w:rsidRPr="009D7635">
        <w:rPr>
          <w:rFonts w:ascii="Times New Roman" w:hAnsi="Times New Roman" w:cs="Times New Roman"/>
          <w:bCs/>
          <w:i/>
          <w:iCs/>
          <w:color w:val="000000" w:themeColor="text1"/>
          <w:sz w:val="20"/>
          <w:szCs w:val="20"/>
        </w:rPr>
        <w:t xml:space="preserve"> </w:t>
      </w:r>
      <w:r w:rsidRPr="009D7635">
        <w:rPr>
          <w:rFonts w:ascii="Times New Roman" w:hAnsi="Times New Roman" w:cs="Times New Roman"/>
          <w:bCs/>
          <w:color w:val="000000" w:themeColor="text1"/>
          <w:sz w:val="20"/>
          <w:szCs w:val="20"/>
        </w:rPr>
        <w:t xml:space="preserve">Nicolas </w:t>
      </w:r>
      <w:proofErr w:type="spellStart"/>
      <w:r w:rsidRPr="009D7635">
        <w:rPr>
          <w:rFonts w:ascii="Times New Roman" w:hAnsi="Times New Roman" w:cs="Times New Roman"/>
          <w:bCs/>
          <w:color w:val="000000" w:themeColor="text1"/>
          <w:sz w:val="20"/>
          <w:szCs w:val="20"/>
        </w:rPr>
        <w:t>Wicki</w:t>
      </w:r>
      <w:proofErr w:type="spellEnd"/>
      <w:r w:rsidRPr="009D7635">
        <w:rPr>
          <w:rFonts w:ascii="Times New Roman" w:hAnsi="Times New Roman" w:cs="Times New Roman"/>
          <w:bCs/>
          <w:color w:val="000000" w:themeColor="text1"/>
          <w:sz w:val="20"/>
          <w:szCs w:val="20"/>
        </w:rPr>
        <w:t xml:space="preserve"> (</w:t>
      </w:r>
      <w:r w:rsidRPr="009D7635">
        <w:rPr>
          <w:rFonts w:ascii="Times New Roman" w:hAnsi="Times New Roman" w:cs="Times New Roman"/>
          <w:color w:val="000000" w:themeColor="text1"/>
          <w:sz w:val="20"/>
          <w:szCs w:val="20"/>
        </w:rPr>
        <w:t xml:space="preserve">Bern: </w:t>
      </w:r>
      <w:proofErr w:type="spellStart"/>
      <w:r w:rsidRPr="009D7635">
        <w:rPr>
          <w:rFonts w:ascii="Times New Roman" w:hAnsi="Times New Roman" w:cs="Times New Roman"/>
          <w:color w:val="000000" w:themeColor="text1"/>
          <w:sz w:val="20"/>
          <w:szCs w:val="20"/>
        </w:rPr>
        <w:t>Francke</w:t>
      </w:r>
      <w:proofErr w:type="spellEnd"/>
      <w:r w:rsidRPr="009D7635">
        <w:rPr>
          <w:rFonts w:ascii="Times New Roman" w:hAnsi="Times New Roman" w:cs="Times New Roman"/>
          <w:bCs/>
          <w:color w:val="000000" w:themeColor="text1"/>
          <w:sz w:val="20"/>
          <w:szCs w:val="20"/>
        </w:rPr>
        <w:t xml:space="preserve">, 1985), 133-46. </w:t>
      </w:r>
    </w:p>
  </w:footnote>
  <w:footnote w:id="1006">
    <w:p w14:paraId="268F22AC" w14:textId="5DB3CCC0" w:rsidR="00B93ED5" w:rsidRPr="009D7635" w:rsidRDefault="00B93ED5" w:rsidP="000D3D92">
      <w:pPr>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See Michael Bertram Crow, </w:t>
      </w:r>
      <w:r w:rsidRPr="009D7635">
        <w:rPr>
          <w:rFonts w:ascii="Times New Roman" w:hAnsi="Times New Roman" w:cs="Times New Roman"/>
          <w:i/>
          <w:color w:val="000000" w:themeColor="text1"/>
          <w:sz w:val="20"/>
          <w:szCs w:val="20"/>
        </w:rPr>
        <w:t xml:space="preserve">The Changing Profile of the Natural Law </w:t>
      </w:r>
      <w:r w:rsidRPr="009D7635">
        <w:rPr>
          <w:rFonts w:ascii="Times New Roman" w:hAnsi="Times New Roman" w:cs="Times New Roman"/>
          <w:color w:val="000000" w:themeColor="text1"/>
          <w:sz w:val="20"/>
          <w:szCs w:val="20"/>
        </w:rPr>
        <w:t xml:space="preserve">(Leiden: Brill, 1978), 65. </w:t>
      </w:r>
    </w:p>
  </w:footnote>
  <w:footnote w:id="1007">
    <w:p w14:paraId="5C31F7A9" w14:textId="7DE353F6" w:rsidR="00B93ED5" w:rsidRPr="009D7635" w:rsidRDefault="00B93ED5" w:rsidP="000D3D92">
      <w:pPr>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Summa de anima</w:t>
      </w:r>
      <w:r w:rsidRPr="009D7635">
        <w:rPr>
          <w:rFonts w:ascii="Times New Roman" w:hAnsi="Times New Roman" w:cs="Times New Roman"/>
          <w:color w:val="000000" w:themeColor="text1"/>
          <w:sz w:val="20"/>
          <w:szCs w:val="20"/>
        </w:rPr>
        <w:t xml:space="preserve">, 256-62. </w:t>
      </w:r>
    </w:p>
  </w:footnote>
  <w:footnote w:id="1008">
    <w:p w14:paraId="54971C5B" w14:textId="537853F4" w:rsidR="00B93ED5" w:rsidRPr="009D7635" w:rsidRDefault="00B93ED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Following Philip the Chancellor, </w:t>
      </w:r>
      <w:r w:rsidR="00EF758A" w:rsidRPr="009D7635">
        <w:rPr>
          <w:rFonts w:ascii="Times New Roman" w:hAnsi="Times New Roman" w:cs="Times New Roman"/>
          <w:color w:val="000000" w:themeColor="text1"/>
        </w:rPr>
        <w:t>Rochelle</w:t>
      </w:r>
      <w:r w:rsidRPr="009D7635">
        <w:rPr>
          <w:rFonts w:ascii="Times New Roman" w:hAnsi="Times New Roman" w:cs="Times New Roman"/>
          <w:color w:val="000000" w:themeColor="text1"/>
        </w:rPr>
        <w:t xml:space="preserve"> also links the irascible power to the notion of something </w:t>
      </w:r>
      <w:proofErr w:type="spellStart"/>
      <w:r w:rsidRPr="009D7635">
        <w:rPr>
          <w:rFonts w:ascii="Times New Roman" w:hAnsi="Times New Roman" w:cs="Times New Roman"/>
          <w:color w:val="000000" w:themeColor="text1"/>
        </w:rPr>
        <w:t>arduous,which</w:t>
      </w:r>
      <w:proofErr w:type="spellEnd"/>
      <w:r w:rsidRPr="009D7635">
        <w:rPr>
          <w:rFonts w:ascii="Times New Roman" w:hAnsi="Times New Roman" w:cs="Times New Roman"/>
          <w:color w:val="000000" w:themeColor="text1"/>
        </w:rPr>
        <w:t xml:space="preserve"> is one of the concepts that would become fundamental for Thomas Aquinas in his system of the passions. I am grateful to Silvana Vecchio for pointing this out to me.</w:t>
      </w:r>
    </w:p>
  </w:footnote>
  <w:footnote w:id="1009">
    <w:p w14:paraId="03F7086B" w14:textId="7A9F1C63" w:rsidR="00B93ED5" w:rsidRPr="009D7635" w:rsidRDefault="00B93ED5" w:rsidP="000D3D92">
      <w:pPr>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Summa de anima</w:t>
      </w:r>
      <w:r w:rsidRPr="009D7635">
        <w:rPr>
          <w:rFonts w:ascii="Times New Roman" w:hAnsi="Times New Roman" w:cs="Times New Roman"/>
          <w:color w:val="000000" w:themeColor="text1"/>
          <w:sz w:val="20"/>
          <w:szCs w:val="20"/>
        </w:rPr>
        <w:t xml:space="preserve">, 256-61; Silvana </w:t>
      </w:r>
      <w:r w:rsidR="00AD6B21" w:rsidRPr="009D7635">
        <w:rPr>
          <w:rFonts w:ascii="Times New Roman" w:hAnsi="Times New Roman" w:cs="Times New Roman"/>
          <w:color w:val="000000" w:themeColor="text1"/>
          <w:sz w:val="20"/>
          <w:szCs w:val="20"/>
        </w:rPr>
        <w:t>Vecchio</w:t>
      </w:r>
      <w:r w:rsidRPr="009D7635">
        <w:rPr>
          <w:rFonts w:ascii="Times New Roman" w:hAnsi="Times New Roman" w:cs="Times New Roman"/>
          <w:color w:val="000000" w:themeColor="text1"/>
          <w:sz w:val="20"/>
          <w:szCs w:val="20"/>
        </w:rPr>
        <w:t xml:space="preserve">, ‘Passions and Sins: The </w:t>
      </w:r>
      <w:r w:rsidRPr="009D7635">
        <w:rPr>
          <w:rFonts w:ascii="Times New Roman" w:hAnsi="Times New Roman" w:cs="Times New Roman"/>
          <w:i/>
          <w:color w:val="000000" w:themeColor="text1"/>
          <w:sz w:val="20"/>
          <w:szCs w:val="20"/>
        </w:rPr>
        <w:t xml:space="preserve">Summa </w:t>
      </w:r>
      <w:proofErr w:type="spellStart"/>
      <w:r w:rsidRPr="009D7635">
        <w:rPr>
          <w:rFonts w:ascii="Times New Roman" w:hAnsi="Times New Roman" w:cs="Times New Roman"/>
          <w:i/>
          <w:color w:val="000000" w:themeColor="text1"/>
          <w:sz w:val="20"/>
          <w:szCs w:val="20"/>
        </w:rPr>
        <w:t>Halensis</w:t>
      </w:r>
      <w:proofErr w:type="spellEnd"/>
      <w:r w:rsidRPr="009D7635">
        <w:rPr>
          <w:rFonts w:ascii="Times New Roman" w:hAnsi="Times New Roman" w:cs="Times New Roman"/>
          <w:color w:val="000000" w:themeColor="text1"/>
          <w:sz w:val="20"/>
          <w:szCs w:val="20"/>
        </w:rPr>
        <w:t xml:space="preserve"> and John of La Rochelle,’ in </w:t>
      </w:r>
      <w:r w:rsidRPr="009D7635">
        <w:rPr>
          <w:rFonts w:ascii="Times New Roman" w:hAnsi="Times New Roman" w:cs="Times New Roman"/>
          <w:i/>
          <w:color w:val="000000" w:themeColor="text1"/>
          <w:sz w:val="20"/>
          <w:szCs w:val="20"/>
        </w:rPr>
        <w:t xml:space="preserve">The Summa </w:t>
      </w:r>
      <w:proofErr w:type="spellStart"/>
      <w:r w:rsidRPr="009D7635">
        <w:rPr>
          <w:rFonts w:ascii="Times New Roman" w:hAnsi="Times New Roman" w:cs="Times New Roman"/>
          <w:i/>
          <w:color w:val="000000" w:themeColor="text1"/>
          <w:sz w:val="20"/>
          <w:szCs w:val="20"/>
        </w:rPr>
        <w:t>Halensis</w:t>
      </w:r>
      <w:proofErr w:type="spellEnd"/>
      <w:r w:rsidRPr="009D7635">
        <w:rPr>
          <w:rFonts w:ascii="Times New Roman" w:hAnsi="Times New Roman" w:cs="Times New Roman"/>
          <w:i/>
          <w:color w:val="000000" w:themeColor="text1"/>
          <w:sz w:val="20"/>
          <w:szCs w:val="20"/>
        </w:rPr>
        <w:t>: Doctrines and Debates</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ed. Lydia Schumacher (Leiden: Brill, 2020), 218.</w:t>
      </w:r>
    </w:p>
  </w:footnote>
  <w:footnote w:id="1010">
    <w:p w14:paraId="370AAFF6" w14:textId="37426C2B" w:rsidR="00B93ED5" w:rsidRPr="009D7635" w:rsidRDefault="00B93ED5" w:rsidP="000D3D9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Simo</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Knuuttila</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Emotions in Ancient and Medieval Philosophy</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234-54. See also his ‘Medieval Theories of the Passions of the Soul,’ 66-9. </w:t>
      </w:r>
      <w:r w:rsidRPr="009D7635">
        <w:rPr>
          <w:rFonts w:ascii="Times New Roman" w:hAnsi="Times New Roman" w:cs="Times New Roman"/>
          <w:color w:val="000000" w:themeColor="text1"/>
          <w:sz w:val="20"/>
          <w:szCs w:val="20"/>
          <w:lang w:val="en-US"/>
        </w:rPr>
        <w:t xml:space="preserve">Carla Casagrande and Silvana </w:t>
      </w:r>
      <w:r w:rsidR="00AD6B21" w:rsidRPr="009D7635">
        <w:rPr>
          <w:rFonts w:ascii="Times New Roman" w:hAnsi="Times New Roman" w:cs="Times New Roman"/>
          <w:color w:val="000000" w:themeColor="text1"/>
          <w:sz w:val="20"/>
          <w:szCs w:val="20"/>
          <w:lang w:val="en-US"/>
        </w:rPr>
        <w:t>Vecchio</w:t>
      </w:r>
      <w:r w:rsidRPr="009D7635">
        <w:rPr>
          <w:rFonts w:ascii="Times New Roman" w:hAnsi="Times New Roman" w:cs="Times New Roman"/>
          <w:color w:val="000000" w:themeColor="text1"/>
          <w:sz w:val="20"/>
          <w:szCs w:val="20"/>
          <w:lang w:val="en-US"/>
        </w:rPr>
        <w:t xml:space="preserve">, ‘Les theories des passions dans la culture </w:t>
      </w:r>
      <w:proofErr w:type="spellStart"/>
      <w:r w:rsidRPr="009D7635">
        <w:rPr>
          <w:rFonts w:ascii="Times New Roman" w:hAnsi="Times New Roman" w:cs="Times New Roman"/>
          <w:color w:val="000000" w:themeColor="text1"/>
          <w:sz w:val="20"/>
          <w:szCs w:val="20"/>
          <w:lang w:val="en-US"/>
        </w:rPr>
        <w:t>médiévale</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in </w:t>
      </w:r>
      <w:r w:rsidRPr="009D7635">
        <w:rPr>
          <w:rFonts w:ascii="Times New Roman" w:hAnsi="Times New Roman" w:cs="Times New Roman"/>
          <w:i/>
          <w:iCs/>
          <w:color w:val="000000" w:themeColor="text1"/>
          <w:sz w:val="20"/>
          <w:szCs w:val="20"/>
        </w:rPr>
        <w:t xml:space="preserve">Le </w:t>
      </w:r>
      <w:proofErr w:type="spellStart"/>
      <w:r w:rsidRPr="009D7635">
        <w:rPr>
          <w:rFonts w:ascii="Times New Roman" w:hAnsi="Times New Roman" w:cs="Times New Roman"/>
          <w:i/>
          <w:iCs/>
          <w:color w:val="000000" w:themeColor="text1"/>
          <w:sz w:val="20"/>
          <w:szCs w:val="20"/>
        </w:rPr>
        <w:t>sujet</w:t>
      </w:r>
      <w:proofErr w:type="spellEnd"/>
      <w:r w:rsidRPr="009D7635">
        <w:rPr>
          <w:rFonts w:ascii="Times New Roman" w:hAnsi="Times New Roman" w:cs="Times New Roman"/>
          <w:i/>
          <w:iCs/>
          <w:color w:val="000000" w:themeColor="text1"/>
          <w:sz w:val="20"/>
          <w:szCs w:val="20"/>
        </w:rPr>
        <w:t xml:space="preserve"> des </w:t>
      </w:r>
      <w:proofErr w:type="spellStart"/>
      <w:r w:rsidRPr="009D7635">
        <w:rPr>
          <w:rFonts w:ascii="Times New Roman" w:hAnsi="Times New Roman" w:cs="Times New Roman"/>
          <w:i/>
          <w:iCs/>
          <w:color w:val="000000" w:themeColor="text1"/>
          <w:sz w:val="20"/>
          <w:szCs w:val="20"/>
        </w:rPr>
        <w:t>émotions</w:t>
      </w:r>
      <w:proofErr w:type="spellEnd"/>
      <w:r w:rsidRPr="009D7635">
        <w:rPr>
          <w:rFonts w:ascii="Times New Roman" w:hAnsi="Times New Roman" w:cs="Times New Roman"/>
          <w:i/>
          <w:iCs/>
          <w:color w:val="000000" w:themeColor="text1"/>
          <w:sz w:val="20"/>
          <w:szCs w:val="20"/>
        </w:rPr>
        <w:t xml:space="preserve"> au </w:t>
      </w:r>
      <w:proofErr w:type="spellStart"/>
      <w:r w:rsidRPr="009D7635">
        <w:rPr>
          <w:rFonts w:ascii="Times New Roman" w:hAnsi="Times New Roman" w:cs="Times New Roman"/>
          <w:i/>
          <w:iCs/>
          <w:color w:val="000000" w:themeColor="text1"/>
          <w:sz w:val="20"/>
          <w:szCs w:val="20"/>
        </w:rPr>
        <w:t>Moyen</w:t>
      </w:r>
      <w:proofErr w:type="spellEnd"/>
      <w:r w:rsidRPr="009D7635">
        <w:rPr>
          <w:rFonts w:ascii="Times New Roman" w:hAnsi="Times New Roman" w:cs="Times New Roman"/>
          <w:i/>
          <w:iCs/>
          <w:color w:val="000000" w:themeColor="text1"/>
          <w:sz w:val="20"/>
          <w:szCs w:val="20"/>
        </w:rPr>
        <w:t xml:space="preserve"> Age</w:t>
      </w:r>
      <w:r w:rsidRPr="009D7635">
        <w:rPr>
          <w:rFonts w:ascii="Times New Roman" w:hAnsi="Times New Roman" w:cs="Times New Roman"/>
          <w:color w:val="000000" w:themeColor="text1"/>
          <w:sz w:val="20"/>
          <w:szCs w:val="20"/>
        </w:rPr>
        <w:t xml:space="preserve">, ed. </w:t>
      </w:r>
      <w:proofErr w:type="spellStart"/>
      <w:r w:rsidRPr="009D7635">
        <w:rPr>
          <w:rFonts w:ascii="Times New Roman" w:hAnsi="Times New Roman" w:cs="Times New Roman"/>
          <w:color w:val="000000" w:themeColor="text1"/>
          <w:sz w:val="20"/>
          <w:szCs w:val="20"/>
        </w:rPr>
        <w:t>Piroska</w:t>
      </w:r>
      <w:proofErr w:type="spellEnd"/>
      <w:r w:rsidRPr="009D7635">
        <w:rPr>
          <w:rFonts w:ascii="Times New Roman" w:hAnsi="Times New Roman" w:cs="Times New Roman"/>
          <w:color w:val="000000" w:themeColor="text1"/>
          <w:sz w:val="20"/>
          <w:szCs w:val="20"/>
        </w:rPr>
        <w:t xml:space="preserve"> Nagy and Damien </w:t>
      </w:r>
      <w:proofErr w:type="spellStart"/>
      <w:r w:rsidRPr="009D7635">
        <w:rPr>
          <w:rFonts w:ascii="Times New Roman" w:hAnsi="Times New Roman" w:cs="Times New Roman"/>
          <w:color w:val="000000" w:themeColor="text1"/>
          <w:sz w:val="20"/>
          <w:szCs w:val="20"/>
        </w:rPr>
        <w:t>Boquet</w:t>
      </w:r>
      <w:proofErr w:type="spellEnd"/>
      <w:r w:rsidRPr="009D7635">
        <w:rPr>
          <w:rFonts w:ascii="Times New Roman" w:hAnsi="Times New Roman" w:cs="Times New Roman"/>
          <w:color w:val="000000" w:themeColor="text1"/>
          <w:sz w:val="20"/>
          <w:szCs w:val="20"/>
        </w:rPr>
        <w:t xml:space="preserve"> (Paris: </w:t>
      </w:r>
      <w:proofErr w:type="spellStart"/>
      <w:r w:rsidRPr="009D7635">
        <w:rPr>
          <w:rFonts w:ascii="Times New Roman" w:hAnsi="Times New Roman" w:cs="Times New Roman"/>
          <w:color w:val="000000" w:themeColor="text1"/>
          <w:sz w:val="20"/>
          <w:szCs w:val="20"/>
        </w:rPr>
        <w:t>Beauchesne</w:t>
      </w:r>
      <w:proofErr w:type="spellEnd"/>
      <w:r w:rsidRPr="009D7635">
        <w:rPr>
          <w:rFonts w:ascii="Times New Roman" w:hAnsi="Times New Roman" w:cs="Times New Roman"/>
          <w:color w:val="000000" w:themeColor="text1"/>
          <w:sz w:val="20"/>
          <w:szCs w:val="20"/>
        </w:rPr>
        <w:t xml:space="preserve">, 2008), 120. </w:t>
      </w:r>
      <w:proofErr w:type="spellStart"/>
      <w:r w:rsidRPr="009D7635">
        <w:rPr>
          <w:rFonts w:ascii="Times New Roman" w:hAnsi="Times New Roman" w:cs="Times New Roman"/>
          <w:color w:val="000000" w:themeColor="text1"/>
          <w:sz w:val="20"/>
          <w:szCs w:val="20"/>
        </w:rPr>
        <w:t>Simo</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Knuuttila</w:t>
      </w:r>
      <w:proofErr w:type="spellEnd"/>
      <w:r w:rsidRPr="009D7635">
        <w:rPr>
          <w:rFonts w:ascii="Times New Roman" w:hAnsi="Times New Roman" w:cs="Times New Roman"/>
          <w:color w:val="000000" w:themeColor="text1"/>
          <w:sz w:val="20"/>
          <w:szCs w:val="20"/>
        </w:rPr>
        <w:t>, ‘Medieval Theories of the Passions of the Soul,’ 66.</w:t>
      </w:r>
    </w:p>
  </w:footnote>
  <w:footnote w:id="1011">
    <w:p w14:paraId="300D47F6" w14:textId="7E6D43E4"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Alain </w:t>
      </w:r>
      <w:proofErr w:type="spellStart"/>
      <w:r w:rsidRPr="009D7635">
        <w:rPr>
          <w:rFonts w:ascii="Times New Roman" w:hAnsi="Times New Roman" w:cs="Times New Roman"/>
          <w:color w:val="000000" w:themeColor="text1"/>
        </w:rPr>
        <w:t>Boureau</w:t>
      </w:r>
      <w:proofErr w:type="spellEnd"/>
      <w:r w:rsidRPr="009D7635">
        <w:rPr>
          <w:rFonts w:ascii="Times New Roman" w:hAnsi="Times New Roman" w:cs="Times New Roman"/>
          <w:color w:val="000000" w:themeColor="text1"/>
        </w:rPr>
        <w:t xml:space="preserve">, </w:t>
      </w:r>
      <w:r w:rsidR="00BD0202" w:rsidRPr="009D7635">
        <w:rPr>
          <w:rFonts w:ascii="Times New Roman" w:hAnsi="Times New Roman" w:cs="Times New Roman"/>
          <w:color w:val="000000" w:themeColor="text1"/>
        </w:rPr>
        <w:t>‘</w:t>
      </w:r>
      <w:r w:rsidRPr="009D7635">
        <w:rPr>
          <w:rFonts w:ascii="Times New Roman" w:hAnsi="Times New Roman" w:cs="Times New Roman"/>
          <w:iCs/>
          <w:color w:val="000000" w:themeColor="text1"/>
        </w:rPr>
        <w:t xml:space="preserve">Un </w:t>
      </w:r>
      <w:proofErr w:type="spellStart"/>
      <w:r w:rsidRPr="009D7635">
        <w:rPr>
          <w:rFonts w:ascii="Times New Roman" w:hAnsi="Times New Roman" w:cs="Times New Roman"/>
          <w:iCs/>
          <w:color w:val="000000" w:themeColor="text1"/>
        </w:rPr>
        <w:t>sujet</w:t>
      </w:r>
      <w:proofErr w:type="spellEnd"/>
      <w:r w:rsidRPr="009D7635">
        <w:rPr>
          <w:rFonts w:ascii="Times New Roman" w:hAnsi="Times New Roman" w:cs="Times New Roman"/>
          <w:iCs/>
          <w:color w:val="000000" w:themeColor="text1"/>
        </w:rPr>
        <w:t xml:space="preserve"> </w:t>
      </w:r>
      <w:proofErr w:type="spellStart"/>
      <w:r w:rsidRPr="009D7635">
        <w:rPr>
          <w:rFonts w:ascii="Times New Roman" w:hAnsi="Times New Roman" w:cs="Times New Roman"/>
          <w:iCs/>
          <w:color w:val="000000" w:themeColor="text1"/>
        </w:rPr>
        <w:t>agité</w:t>
      </w:r>
      <w:proofErr w:type="spellEnd"/>
      <w:r w:rsidRPr="009D7635">
        <w:rPr>
          <w:rFonts w:ascii="Times New Roman" w:hAnsi="Times New Roman" w:cs="Times New Roman"/>
          <w:iCs/>
          <w:color w:val="000000" w:themeColor="text1"/>
        </w:rPr>
        <w:t xml:space="preserve">: Le </w:t>
      </w:r>
      <w:proofErr w:type="spellStart"/>
      <w:r w:rsidRPr="009D7635">
        <w:rPr>
          <w:rFonts w:ascii="Times New Roman" w:hAnsi="Times New Roman" w:cs="Times New Roman"/>
          <w:iCs/>
          <w:color w:val="000000" w:themeColor="text1"/>
        </w:rPr>
        <w:t>statu</w:t>
      </w:r>
      <w:proofErr w:type="spellEnd"/>
      <w:r w:rsidRPr="009D7635">
        <w:rPr>
          <w:rFonts w:ascii="Times New Roman" w:hAnsi="Times New Roman" w:cs="Times New Roman"/>
          <w:iCs/>
          <w:color w:val="000000" w:themeColor="text1"/>
        </w:rPr>
        <w:t xml:space="preserve"> nouveau des passions de </w:t>
      </w:r>
      <w:proofErr w:type="spellStart"/>
      <w:r w:rsidR="00D71B3E" w:rsidRPr="009D7635">
        <w:rPr>
          <w:rFonts w:ascii="Times New Roman" w:hAnsi="Times New Roman" w:cs="Times New Roman"/>
          <w:iCs/>
          <w:color w:val="000000" w:themeColor="text1"/>
        </w:rPr>
        <w:t>l’âme</w:t>
      </w:r>
      <w:proofErr w:type="spellEnd"/>
      <w:r w:rsidRPr="009D7635">
        <w:rPr>
          <w:rFonts w:ascii="Times New Roman" w:hAnsi="Times New Roman" w:cs="Times New Roman"/>
          <w:iCs/>
          <w:color w:val="000000" w:themeColor="text1"/>
        </w:rPr>
        <w:t xml:space="preserve"> au XIIIe siècle,</w:t>
      </w:r>
      <w:r w:rsidR="00BD0202"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in </w:t>
      </w:r>
      <w:r w:rsidRPr="009D7635">
        <w:rPr>
          <w:rFonts w:ascii="Times New Roman" w:hAnsi="Times New Roman" w:cs="Times New Roman"/>
          <w:i/>
          <w:color w:val="000000" w:themeColor="text1"/>
        </w:rPr>
        <w:t xml:space="preserve">Le </w:t>
      </w:r>
      <w:proofErr w:type="spellStart"/>
      <w:r w:rsidRPr="009D7635">
        <w:rPr>
          <w:rFonts w:ascii="Times New Roman" w:hAnsi="Times New Roman" w:cs="Times New Roman"/>
          <w:i/>
          <w:color w:val="000000" w:themeColor="text1"/>
        </w:rPr>
        <w:t>sujet</w:t>
      </w:r>
      <w:proofErr w:type="spellEnd"/>
      <w:r w:rsidRPr="009D7635">
        <w:rPr>
          <w:rFonts w:ascii="Times New Roman" w:hAnsi="Times New Roman" w:cs="Times New Roman"/>
          <w:i/>
          <w:color w:val="000000" w:themeColor="text1"/>
        </w:rPr>
        <w:t xml:space="preserve"> des </w:t>
      </w:r>
      <w:proofErr w:type="spellStart"/>
      <w:r w:rsidRPr="009D7635">
        <w:rPr>
          <w:rFonts w:ascii="Times New Roman" w:hAnsi="Times New Roman" w:cs="Times New Roman"/>
          <w:i/>
          <w:color w:val="000000" w:themeColor="text1"/>
        </w:rPr>
        <w:t>émotions</w:t>
      </w:r>
      <w:proofErr w:type="spellEnd"/>
      <w:r w:rsidRPr="009D7635">
        <w:rPr>
          <w:rFonts w:ascii="Times New Roman" w:hAnsi="Times New Roman" w:cs="Times New Roman"/>
          <w:i/>
          <w:color w:val="000000" w:themeColor="text1"/>
        </w:rPr>
        <w:t xml:space="preserve"> au </w:t>
      </w:r>
      <w:proofErr w:type="spellStart"/>
      <w:r w:rsidRPr="009D7635">
        <w:rPr>
          <w:rFonts w:ascii="Times New Roman" w:hAnsi="Times New Roman" w:cs="Times New Roman"/>
          <w:i/>
          <w:color w:val="000000" w:themeColor="text1"/>
        </w:rPr>
        <w:t>moyen</w:t>
      </w:r>
      <w:proofErr w:type="spellEnd"/>
      <w:r w:rsidRPr="009D7635">
        <w:rPr>
          <w:rFonts w:ascii="Times New Roman" w:hAnsi="Times New Roman" w:cs="Times New Roman"/>
          <w:i/>
          <w:color w:val="000000" w:themeColor="text1"/>
        </w:rPr>
        <w:t xml:space="preserve"> age</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Piroska</w:t>
      </w:r>
      <w:proofErr w:type="spellEnd"/>
      <w:r w:rsidRPr="009D7635">
        <w:rPr>
          <w:rFonts w:ascii="Times New Roman" w:hAnsi="Times New Roman" w:cs="Times New Roman"/>
          <w:color w:val="000000" w:themeColor="text1"/>
        </w:rPr>
        <w:t xml:space="preserve"> Nagy and Damien </w:t>
      </w:r>
      <w:proofErr w:type="spellStart"/>
      <w:r w:rsidRPr="009D7635">
        <w:rPr>
          <w:rFonts w:ascii="Times New Roman" w:hAnsi="Times New Roman" w:cs="Times New Roman"/>
          <w:color w:val="000000" w:themeColor="text1"/>
        </w:rPr>
        <w:t>Boquet</w:t>
      </w:r>
      <w:proofErr w:type="spellEnd"/>
      <w:r w:rsidRPr="009D7635">
        <w:rPr>
          <w:rFonts w:ascii="Times New Roman" w:hAnsi="Times New Roman" w:cs="Times New Roman"/>
          <w:color w:val="000000" w:themeColor="text1"/>
        </w:rPr>
        <w:t xml:space="preserve"> (Paris: </w:t>
      </w:r>
      <w:proofErr w:type="spellStart"/>
      <w:r w:rsidRPr="009D7635">
        <w:rPr>
          <w:rFonts w:ascii="Times New Roman" w:hAnsi="Times New Roman" w:cs="Times New Roman"/>
          <w:color w:val="000000" w:themeColor="text1"/>
        </w:rPr>
        <w:t>Beauchesne</w:t>
      </w:r>
      <w:proofErr w:type="spellEnd"/>
      <w:r w:rsidRPr="009D7635">
        <w:rPr>
          <w:rFonts w:ascii="Times New Roman" w:hAnsi="Times New Roman" w:cs="Times New Roman"/>
          <w:color w:val="000000" w:themeColor="text1"/>
        </w:rPr>
        <w:t xml:space="preserve">, 2008), 189. </w:t>
      </w:r>
    </w:p>
  </w:footnote>
  <w:footnote w:id="1012">
    <w:p w14:paraId="088E68CF" w14:textId="571B6DBF" w:rsidR="00B93ED5" w:rsidRPr="009D7635" w:rsidRDefault="00B93ED5" w:rsidP="000D3D9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Psychologie</w:t>
      </w:r>
      <w:proofErr w:type="spellEnd"/>
      <w:r w:rsidRPr="009D7635">
        <w:rPr>
          <w:rFonts w:ascii="Times New Roman" w:hAnsi="Times New Roman" w:cs="Times New Roman"/>
          <w:i/>
          <w:color w:val="000000" w:themeColor="text1"/>
          <w:sz w:val="20"/>
          <w:szCs w:val="20"/>
        </w:rPr>
        <w:t xml:space="preserve"> et morale</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vol. 2 (</w:t>
      </w:r>
      <w:proofErr w:type="spellStart"/>
      <w:r w:rsidRPr="009D7635">
        <w:rPr>
          <w:rFonts w:ascii="Times New Roman" w:hAnsi="Times New Roman" w:cs="Times New Roman"/>
          <w:color w:val="000000" w:themeColor="text1"/>
          <w:sz w:val="20"/>
          <w:szCs w:val="20"/>
        </w:rPr>
        <w:t>Gembloux</w:t>
      </w:r>
      <w:proofErr w:type="spellEnd"/>
      <w:r w:rsidRPr="009D7635">
        <w:rPr>
          <w:rFonts w:ascii="Times New Roman" w:hAnsi="Times New Roman" w:cs="Times New Roman"/>
          <w:color w:val="000000" w:themeColor="text1"/>
          <w:sz w:val="20"/>
          <w:szCs w:val="20"/>
        </w:rPr>
        <w:t xml:space="preserve">: J. </w:t>
      </w:r>
      <w:proofErr w:type="spellStart"/>
      <w:r w:rsidRPr="009D7635">
        <w:rPr>
          <w:rFonts w:ascii="Times New Roman" w:hAnsi="Times New Roman" w:cs="Times New Roman"/>
          <w:color w:val="000000" w:themeColor="text1"/>
          <w:sz w:val="20"/>
          <w:szCs w:val="20"/>
        </w:rPr>
        <w:t>Duculot</w:t>
      </w:r>
      <w:proofErr w:type="spellEnd"/>
      <w:r w:rsidRPr="009D7635">
        <w:rPr>
          <w:rFonts w:ascii="Times New Roman" w:hAnsi="Times New Roman" w:cs="Times New Roman"/>
          <w:color w:val="000000" w:themeColor="text1"/>
          <w:sz w:val="20"/>
          <w:szCs w:val="20"/>
        </w:rPr>
        <w:t xml:space="preserve">, 1948), </w:t>
      </w:r>
      <w:r w:rsidRPr="009D7635">
        <w:rPr>
          <w:rFonts w:ascii="Times New Roman" w:hAnsi="Times New Roman" w:cs="Times New Roman"/>
          <w:color w:val="000000" w:themeColor="text1"/>
          <w:sz w:val="20"/>
          <w:szCs w:val="20"/>
          <w:lang w:val="en-US"/>
        </w:rPr>
        <w:t xml:space="preserve">493-57. Carla Casagrande and Silvana </w:t>
      </w:r>
      <w:r w:rsidR="00AD6B21" w:rsidRPr="009D7635">
        <w:rPr>
          <w:rFonts w:ascii="Times New Roman" w:hAnsi="Times New Roman" w:cs="Times New Roman"/>
          <w:color w:val="000000" w:themeColor="text1"/>
          <w:sz w:val="20"/>
          <w:szCs w:val="20"/>
          <w:lang w:val="en-US"/>
        </w:rPr>
        <w:t>Vecchio</w:t>
      </w:r>
      <w:r w:rsidRPr="009D7635">
        <w:rPr>
          <w:rFonts w:ascii="Times New Roman" w:hAnsi="Times New Roman" w:cs="Times New Roman"/>
          <w:color w:val="000000" w:themeColor="text1"/>
          <w:sz w:val="20"/>
          <w:szCs w:val="20"/>
          <w:lang w:val="en-US"/>
        </w:rPr>
        <w:t xml:space="preserve">, ‘Les theories des passions dans la culture </w:t>
      </w:r>
      <w:proofErr w:type="spellStart"/>
      <w:r w:rsidRPr="009D7635">
        <w:rPr>
          <w:rFonts w:ascii="Times New Roman" w:hAnsi="Times New Roman" w:cs="Times New Roman"/>
          <w:color w:val="000000" w:themeColor="text1"/>
          <w:sz w:val="20"/>
          <w:szCs w:val="20"/>
          <w:lang w:val="en-US"/>
        </w:rPr>
        <w:t>médiévale</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107-22. Alain </w:t>
      </w:r>
      <w:proofErr w:type="spellStart"/>
      <w:r w:rsidRPr="009D7635">
        <w:rPr>
          <w:rFonts w:ascii="Times New Roman" w:hAnsi="Times New Roman" w:cs="Times New Roman"/>
          <w:color w:val="000000" w:themeColor="text1"/>
          <w:sz w:val="20"/>
          <w:szCs w:val="20"/>
        </w:rPr>
        <w:t>Boureau</w:t>
      </w:r>
      <w:proofErr w:type="spellEnd"/>
      <w:r w:rsidRPr="009D7635">
        <w:rPr>
          <w:rFonts w:ascii="Times New Roman" w:hAnsi="Times New Roman" w:cs="Times New Roman"/>
          <w:color w:val="000000" w:themeColor="text1"/>
          <w:sz w:val="20"/>
          <w:szCs w:val="20"/>
        </w:rPr>
        <w:t xml:space="preserve">, ‘Un </w:t>
      </w:r>
      <w:proofErr w:type="spellStart"/>
      <w:r w:rsidRPr="009D7635">
        <w:rPr>
          <w:rFonts w:ascii="Times New Roman" w:hAnsi="Times New Roman" w:cs="Times New Roman"/>
          <w:color w:val="000000" w:themeColor="text1"/>
          <w:sz w:val="20"/>
          <w:szCs w:val="20"/>
        </w:rPr>
        <w:t>sujet</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agité</w:t>
      </w:r>
      <w:proofErr w:type="spellEnd"/>
      <w:r w:rsidR="00BD0202"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Le </w:t>
      </w:r>
      <w:proofErr w:type="spellStart"/>
      <w:r w:rsidRPr="009D7635">
        <w:rPr>
          <w:rFonts w:ascii="Times New Roman" w:hAnsi="Times New Roman" w:cs="Times New Roman"/>
          <w:color w:val="000000" w:themeColor="text1"/>
          <w:sz w:val="20"/>
          <w:szCs w:val="20"/>
        </w:rPr>
        <w:t>statut</w:t>
      </w:r>
      <w:proofErr w:type="spellEnd"/>
      <w:r w:rsidRPr="009D7635">
        <w:rPr>
          <w:rFonts w:ascii="Times New Roman" w:hAnsi="Times New Roman" w:cs="Times New Roman"/>
          <w:color w:val="000000" w:themeColor="text1"/>
          <w:sz w:val="20"/>
          <w:szCs w:val="20"/>
        </w:rPr>
        <w:t xml:space="preserve"> nouveau des passions de </w:t>
      </w:r>
      <w:proofErr w:type="spellStart"/>
      <w:r w:rsidRPr="009D7635">
        <w:rPr>
          <w:rFonts w:ascii="Times New Roman" w:hAnsi="Times New Roman" w:cs="Times New Roman"/>
          <w:color w:val="000000" w:themeColor="text1"/>
          <w:sz w:val="20"/>
          <w:szCs w:val="20"/>
        </w:rPr>
        <w:t>l’âme</w:t>
      </w:r>
      <w:proofErr w:type="spellEnd"/>
      <w:r w:rsidRPr="009D7635">
        <w:rPr>
          <w:rFonts w:ascii="Times New Roman" w:hAnsi="Times New Roman" w:cs="Times New Roman"/>
          <w:color w:val="000000" w:themeColor="text1"/>
          <w:sz w:val="20"/>
          <w:szCs w:val="20"/>
        </w:rPr>
        <w:t xml:space="preserve"> au XIIIe siècle,’ 187-94.</w:t>
      </w:r>
    </w:p>
  </w:footnote>
  <w:footnote w:id="1013">
    <w:p w14:paraId="6B26B08D" w14:textId="23B17F02" w:rsidR="00B93ED5" w:rsidRPr="009D7635" w:rsidRDefault="00B93ED5" w:rsidP="000F0F2F">
      <w:pPr>
        <w:pStyle w:val="FootnoteText"/>
        <w:rPr>
          <w:rFonts w:ascii="Times New Roman" w:hAnsi="Times New Roman" w:cs="Times New Roman"/>
          <w:color w:val="000000" w:themeColor="text1"/>
          <w:lang w:val="en-US"/>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Simo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Knuuttila</w:t>
      </w:r>
      <w:proofErr w:type="spellEnd"/>
      <w:r w:rsidRPr="009D7635">
        <w:rPr>
          <w:rFonts w:ascii="Times New Roman" w:hAnsi="Times New Roman" w:cs="Times New Roman"/>
          <w:color w:val="000000" w:themeColor="text1"/>
        </w:rPr>
        <w:t xml:space="preserve"> discusses Augustine on the passions in </w:t>
      </w:r>
      <w:r w:rsidRPr="009D7635">
        <w:rPr>
          <w:rFonts w:ascii="Times New Roman" w:hAnsi="Times New Roman" w:cs="Times New Roman"/>
          <w:i/>
          <w:color w:val="000000" w:themeColor="text1"/>
        </w:rPr>
        <w:t>Emotions in Ancient and Medieval Philosophy</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152-72; he also discusses Gregory the Great at 172-6. See also </w:t>
      </w:r>
      <w:r w:rsidRPr="009D7635">
        <w:rPr>
          <w:rFonts w:ascii="Times New Roman" w:hAnsi="Times New Roman" w:cs="Times New Roman"/>
          <w:color w:val="000000" w:themeColor="text1"/>
          <w:lang w:val="en-US"/>
        </w:rPr>
        <w:t xml:space="preserve">G. J. P. O'Daly and A. </w:t>
      </w:r>
      <w:proofErr w:type="spellStart"/>
      <w:r w:rsidRPr="009D7635">
        <w:rPr>
          <w:rFonts w:ascii="Times New Roman" w:hAnsi="Times New Roman" w:cs="Times New Roman"/>
          <w:color w:val="000000" w:themeColor="text1"/>
          <w:lang w:val="en-US"/>
        </w:rPr>
        <w:t>Zumkeller</w:t>
      </w:r>
      <w:proofErr w:type="spellEnd"/>
      <w:r w:rsidRPr="009D7635">
        <w:rPr>
          <w:rFonts w:ascii="Times New Roman" w:hAnsi="Times New Roman" w:cs="Times New Roman"/>
          <w:color w:val="000000" w:themeColor="text1"/>
          <w:lang w:val="en-US"/>
        </w:rPr>
        <w:t>, ‘</w:t>
      </w:r>
      <w:proofErr w:type="spellStart"/>
      <w:r w:rsidRPr="009D7635">
        <w:rPr>
          <w:rFonts w:ascii="Times New Roman" w:hAnsi="Times New Roman" w:cs="Times New Roman"/>
          <w:color w:val="000000" w:themeColor="text1"/>
          <w:lang w:val="en-US"/>
        </w:rPr>
        <w:t>Affectus</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passio</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perturbatio</w:t>
      </w:r>
      <w:proofErr w:type="spellEnd"/>
      <w:r w:rsidRPr="009D7635">
        <w:rPr>
          <w:rFonts w:ascii="Times New Roman" w:hAnsi="Times New Roman" w:cs="Times New Roman"/>
          <w:color w:val="000000" w:themeColor="text1"/>
          <w:lang w:val="en-US"/>
        </w:rPr>
        <w:t xml:space="preserve">),’ </w:t>
      </w:r>
      <w:r w:rsidR="00140DB1" w:rsidRPr="009D7635">
        <w:rPr>
          <w:rFonts w:ascii="Times New Roman" w:hAnsi="Times New Roman" w:cs="Times New Roman"/>
          <w:color w:val="000000" w:themeColor="text1"/>
          <w:lang w:val="en-US"/>
        </w:rPr>
        <w:t xml:space="preserve">in </w:t>
      </w:r>
      <w:proofErr w:type="spellStart"/>
      <w:r w:rsidRPr="009D7635">
        <w:rPr>
          <w:rFonts w:ascii="Times New Roman" w:hAnsi="Times New Roman" w:cs="Times New Roman"/>
          <w:i/>
          <w:color w:val="000000" w:themeColor="text1"/>
          <w:lang w:val="en-US"/>
        </w:rPr>
        <w:t>Augustinus‐Lexikon</w:t>
      </w:r>
      <w:proofErr w:type="spellEnd"/>
      <w:r w:rsidRPr="009D7635">
        <w:rPr>
          <w:rFonts w:ascii="Times New Roman" w:hAnsi="Times New Roman" w:cs="Times New Roman"/>
          <w:color w:val="000000" w:themeColor="text1"/>
          <w:lang w:val="en-US"/>
        </w:rPr>
        <w:t xml:space="preserve">, </w:t>
      </w:r>
      <w:r w:rsidR="00140DB1" w:rsidRPr="009D7635">
        <w:rPr>
          <w:rFonts w:ascii="Times New Roman" w:hAnsi="Times New Roman" w:cs="Times New Roman"/>
          <w:color w:val="000000" w:themeColor="text1"/>
          <w:lang w:val="en-US"/>
        </w:rPr>
        <w:t xml:space="preserve">ed. C. Mayer </w:t>
      </w:r>
      <w:r w:rsidRPr="009D7635">
        <w:rPr>
          <w:rFonts w:ascii="Times New Roman" w:hAnsi="Times New Roman" w:cs="Times New Roman"/>
          <w:color w:val="000000" w:themeColor="text1"/>
          <w:lang w:val="en-US"/>
        </w:rPr>
        <w:t xml:space="preserve">(Basel: </w:t>
      </w:r>
      <w:proofErr w:type="spellStart"/>
      <w:r w:rsidRPr="009D7635">
        <w:rPr>
          <w:rFonts w:ascii="Times New Roman" w:hAnsi="Times New Roman" w:cs="Times New Roman"/>
          <w:color w:val="000000" w:themeColor="text1"/>
          <w:lang w:val="en-US"/>
        </w:rPr>
        <w:t>Schwabe</w:t>
      </w:r>
      <w:proofErr w:type="spellEnd"/>
      <w:r w:rsidRPr="009D7635">
        <w:rPr>
          <w:rFonts w:ascii="Times New Roman" w:hAnsi="Times New Roman" w:cs="Times New Roman"/>
          <w:color w:val="000000" w:themeColor="text1"/>
          <w:lang w:val="en-US"/>
        </w:rPr>
        <w:t>, 1986–), i. 166–180. Gerald Bonner, ‘</w:t>
      </w:r>
      <w:proofErr w:type="spellStart"/>
      <w:r w:rsidRPr="009D7635">
        <w:rPr>
          <w:rFonts w:ascii="Times New Roman" w:hAnsi="Times New Roman" w:cs="Times New Roman"/>
          <w:color w:val="000000" w:themeColor="text1"/>
          <w:lang w:val="en-US"/>
        </w:rPr>
        <w:t>Concupiscentia</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i/>
          <w:color w:val="000000" w:themeColor="text1"/>
          <w:lang w:val="en-US"/>
        </w:rPr>
        <w:t>Augustinus‐Lexikon</w:t>
      </w:r>
      <w:proofErr w:type="spellEnd"/>
      <w:r w:rsidRPr="009D7635">
        <w:rPr>
          <w:rFonts w:ascii="Times New Roman" w:hAnsi="Times New Roman" w:cs="Times New Roman"/>
          <w:color w:val="000000" w:themeColor="text1"/>
          <w:lang w:val="en-US"/>
        </w:rPr>
        <w:t>, vol. I (Munich: C.H. Beck, 1994), 1113–22; idem., ‘</w:t>
      </w:r>
      <w:proofErr w:type="spellStart"/>
      <w:r w:rsidRPr="009D7635">
        <w:rPr>
          <w:rFonts w:ascii="Times New Roman" w:hAnsi="Times New Roman" w:cs="Times New Roman"/>
          <w:color w:val="000000" w:themeColor="text1"/>
          <w:lang w:val="en-US"/>
        </w:rPr>
        <w:t>Cupiditas</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i/>
          <w:color w:val="000000" w:themeColor="text1"/>
          <w:lang w:val="en-US"/>
        </w:rPr>
        <w:t>Augustinus‐Lexikon</w:t>
      </w:r>
      <w:proofErr w:type="spellEnd"/>
      <w:r w:rsidRPr="009D7635">
        <w:rPr>
          <w:rFonts w:ascii="Times New Roman" w:hAnsi="Times New Roman" w:cs="Times New Roman"/>
          <w:color w:val="000000" w:themeColor="text1"/>
          <w:lang w:val="en-US"/>
        </w:rPr>
        <w:t>, vol. II (Munich: C.H. Beck, 1998), 166–72. Augustine likened the first movements or passions of concupiscence to the woman, Eve, who presented her husband Adam with a temptation in the garden, and the second movements or consent to Adam who chose to follow her rather than reject her suggestion. This theme was picked up by Lombard and many other commentators.</w:t>
      </w:r>
    </w:p>
  </w:footnote>
  <w:footnote w:id="1014">
    <w:p w14:paraId="464FF9E6" w14:textId="13859866"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Simo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Knuuttila</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Emotions in Ancient and Medieval Philosophy</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183. See Augustine’s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civitate</w:t>
      </w:r>
      <w:proofErr w:type="spellEnd"/>
      <w:r w:rsidRPr="009D7635">
        <w:rPr>
          <w:rFonts w:ascii="Times New Roman" w:hAnsi="Times New Roman" w:cs="Times New Roman"/>
          <w:i/>
          <w:color w:val="000000" w:themeColor="text1"/>
        </w:rPr>
        <w:t xml:space="preserve"> Dei </w:t>
      </w:r>
      <w:r w:rsidRPr="009D7635">
        <w:rPr>
          <w:rFonts w:ascii="Times New Roman" w:hAnsi="Times New Roman" w:cs="Times New Roman"/>
          <w:color w:val="000000" w:themeColor="text1"/>
        </w:rPr>
        <w:t xml:space="preserve">9.4-5 and 14.7-8. Carla </w:t>
      </w:r>
      <w:proofErr w:type="spellStart"/>
      <w:r w:rsidRPr="009D7635">
        <w:rPr>
          <w:rFonts w:ascii="Times New Roman" w:hAnsi="Times New Roman" w:cs="Times New Roman"/>
          <w:color w:val="000000" w:themeColor="text1"/>
        </w:rPr>
        <w:t>Casgrande</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Agostino</w:t>
      </w:r>
      <w:proofErr w:type="spellEnd"/>
      <w:r w:rsidRPr="009D7635">
        <w:rPr>
          <w:rFonts w:ascii="Times New Roman" w:hAnsi="Times New Roman" w:cs="Times New Roman"/>
          <w:color w:val="000000" w:themeColor="text1"/>
        </w:rPr>
        <w:t xml:space="preserve">, I </w:t>
      </w:r>
      <w:proofErr w:type="spellStart"/>
      <w:r w:rsidRPr="009D7635">
        <w:rPr>
          <w:rFonts w:ascii="Times New Roman" w:hAnsi="Times New Roman" w:cs="Times New Roman"/>
          <w:color w:val="000000" w:themeColor="text1"/>
        </w:rPr>
        <w:t>medievali</w:t>
      </w:r>
      <w:proofErr w:type="spellEnd"/>
      <w:r w:rsidRPr="009D7635">
        <w:rPr>
          <w:rFonts w:ascii="Times New Roman" w:hAnsi="Times New Roman" w:cs="Times New Roman"/>
          <w:color w:val="000000" w:themeColor="text1"/>
        </w:rPr>
        <w:t xml:space="preserve"> e il </w:t>
      </w:r>
      <w:proofErr w:type="spellStart"/>
      <w:r w:rsidRPr="009D7635">
        <w:rPr>
          <w:rFonts w:ascii="Times New Roman" w:hAnsi="Times New Roman" w:cs="Times New Roman"/>
          <w:color w:val="000000" w:themeColor="text1"/>
        </w:rPr>
        <w:t>buon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uso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delle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passioni</w:t>
      </w:r>
      <w:proofErr w:type="spellEnd"/>
      <w:r w:rsidRPr="009D7635">
        <w:rPr>
          <w:rFonts w:ascii="Times New Roman" w:hAnsi="Times New Roman" w:cs="Times New Roman"/>
          <w:color w:val="000000" w:themeColor="text1"/>
        </w:rPr>
        <w:t xml:space="preserve">,’ in </w:t>
      </w:r>
      <w:proofErr w:type="spellStart"/>
      <w:r w:rsidRPr="009D7635">
        <w:rPr>
          <w:rFonts w:ascii="Times New Roman" w:hAnsi="Times New Roman" w:cs="Times New Roman"/>
          <w:i/>
          <w:color w:val="000000" w:themeColor="text1"/>
        </w:rPr>
        <w:t>Agostino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d’Ippona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Presenza</w:t>
      </w:r>
      <w:proofErr w:type="spellEnd"/>
      <w:r w:rsidRPr="009D7635">
        <w:rPr>
          <w:rFonts w:ascii="Times New Roman" w:hAnsi="Times New Roman" w:cs="Times New Roman"/>
          <w:i/>
          <w:color w:val="000000" w:themeColor="text1"/>
        </w:rPr>
        <w:t xml:space="preserve"> e </w:t>
      </w:r>
      <w:proofErr w:type="spellStart"/>
      <w:r w:rsidRPr="009D7635">
        <w:rPr>
          <w:rFonts w:ascii="Times New Roman" w:hAnsi="Times New Roman" w:cs="Times New Roman"/>
          <w:i/>
          <w:color w:val="000000" w:themeColor="text1"/>
        </w:rPr>
        <w:t>pensiero</w:t>
      </w:r>
      <w:proofErr w:type="spellEnd"/>
      <w:r w:rsidR="00BD0202" w:rsidRPr="009D7635">
        <w:rPr>
          <w:rFonts w:ascii="Times New Roman" w:hAnsi="Times New Roman" w:cs="Times New Roman"/>
          <w:i/>
          <w:color w:val="000000" w:themeColor="text1"/>
        </w:rPr>
        <w:t xml:space="preserve">: </w:t>
      </w:r>
      <w:r w:rsidRPr="009D7635">
        <w:rPr>
          <w:rFonts w:ascii="Times New Roman" w:hAnsi="Times New Roman" w:cs="Times New Roman"/>
          <w:i/>
          <w:color w:val="000000" w:themeColor="text1"/>
        </w:rPr>
        <w:t xml:space="preserve">La </w:t>
      </w:r>
      <w:proofErr w:type="spellStart"/>
      <w:r w:rsidRPr="009D7635">
        <w:rPr>
          <w:rFonts w:ascii="Times New Roman" w:hAnsi="Times New Roman" w:cs="Times New Roman"/>
          <w:i/>
          <w:color w:val="000000" w:themeColor="text1"/>
        </w:rPr>
        <w:t>scoperta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dell’interiorità</w:t>
      </w:r>
      <w:proofErr w:type="spellEnd"/>
      <w:r w:rsidRPr="009D7635">
        <w:rPr>
          <w:rFonts w:ascii="Times New Roman" w:hAnsi="Times New Roman" w:cs="Times New Roman"/>
          <w:i/>
          <w:color w:val="000000" w:themeColor="text1"/>
        </w:rPr>
        <w:t>,</w:t>
      </w:r>
      <w:r w:rsidRPr="009D7635">
        <w:rPr>
          <w:rFonts w:ascii="Times New Roman" w:hAnsi="Times New Roman" w:cs="Times New Roman"/>
          <w:color w:val="000000" w:themeColor="text1"/>
        </w:rPr>
        <w:t xml:space="preserve"> ed. A </w:t>
      </w:r>
      <w:proofErr w:type="spellStart"/>
      <w:r w:rsidRPr="009D7635">
        <w:rPr>
          <w:rFonts w:ascii="Times New Roman" w:hAnsi="Times New Roman" w:cs="Times New Roman"/>
          <w:color w:val="000000" w:themeColor="text1"/>
        </w:rPr>
        <w:t>Marini</w:t>
      </w:r>
      <w:proofErr w:type="spellEnd"/>
      <w:r w:rsidRPr="009D7635">
        <w:rPr>
          <w:rFonts w:ascii="Times New Roman" w:hAnsi="Times New Roman" w:cs="Times New Roman"/>
          <w:color w:val="000000" w:themeColor="text1"/>
        </w:rPr>
        <w:t xml:space="preserve"> (Milan: Franco </w:t>
      </w:r>
      <w:proofErr w:type="spellStart"/>
      <w:r w:rsidRPr="009D7635">
        <w:rPr>
          <w:rFonts w:ascii="Times New Roman" w:hAnsi="Times New Roman" w:cs="Times New Roman"/>
          <w:color w:val="000000" w:themeColor="text1"/>
        </w:rPr>
        <w:t>Angeli</w:t>
      </w:r>
      <w:proofErr w:type="spellEnd"/>
      <w:r w:rsidRPr="009D7635">
        <w:rPr>
          <w:rFonts w:ascii="Times New Roman" w:hAnsi="Times New Roman" w:cs="Times New Roman"/>
          <w:color w:val="000000" w:themeColor="text1"/>
        </w:rPr>
        <w:t xml:space="preserve">, 2004), 65-75. Richard </w:t>
      </w:r>
      <w:proofErr w:type="spellStart"/>
      <w:r w:rsidRPr="009D7635">
        <w:rPr>
          <w:rFonts w:ascii="Times New Roman" w:hAnsi="Times New Roman" w:cs="Times New Roman"/>
          <w:color w:val="000000" w:themeColor="text1"/>
        </w:rPr>
        <w:t>Sorabji</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Emotions and Peace of Mind</w:t>
      </w:r>
      <w:r w:rsidRPr="009D7635">
        <w:rPr>
          <w:rFonts w:ascii="Times New Roman" w:hAnsi="Times New Roman" w:cs="Times New Roman"/>
          <w:color w:val="000000" w:themeColor="text1"/>
        </w:rPr>
        <w:t xml:space="preserve"> (Oxford: Oxford University Press, 2002), ch 26 on Augustine</w:t>
      </w:r>
      <w:r w:rsidR="00BD0202" w:rsidRPr="009D7635">
        <w:rPr>
          <w:rFonts w:ascii="Times New Roman" w:hAnsi="Times New Roman" w:cs="Times New Roman"/>
          <w:color w:val="000000" w:themeColor="text1"/>
        </w:rPr>
        <w:t>, 400-18</w:t>
      </w:r>
      <w:r w:rsidRPr="009D7635">
        <w:rPr>
          <w:rFonts w:ascii="Times New Roman" w:hAnsi="Times New Roman" w:cs="Times New Roman"/>
          <w:color w:val="000000" w:themeColor="text1"/>
        </w:rPr>
        <w:t>.</w:t>
      </w:r>
    </w:p>
  </w:footnote>
  <w:footnote w:id="1015">
    <w:p w14:paraId="0532BCF5" w14:textId="77777777"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Peter Lombard, </w:t>
      </w:r>
      <w:proofErr w:type="spellStart"/>
      <w:r w:rsidRPr="009D7635">
        <w:rPr>
          <w:rFonts w:ascii="Times New Roman" w:hAnsi="Times New Roman" w:cs="Times New Roman"/>
          <w:i/>
          <w:color w:val="000000" w:themeColor="text1"/>
        </w:rPr>
        <w:t>Magistri</w:t>
      </w:r>
      <w:proofErr w:type="spellEnd"/>
      <w:r w:rsidRPr="009D7635">
        <w:rPr>
          <w:rFonts w:ascii="Times New Roman" w:hAnsi="Times New Roman" w:cs="Times New Roman"/>
          <w:i/>
          <w:color w:val="000000" w:themeColor="text1"/>
        </w:rPr>
        <w:t xml:space="preserve"> Petri Lombardi, </w:t>
      </w:r>
      <w:proofErr w:type="spellStart"/>
      <w:r w:rsidRPr="009D7635">
        <w:rPr>
          <w:rFonts w:ascii="Times New Roman" w:hAnsi="Times New Roman" w:cs="Times New Roman"/>
          <w:i/>
          <w:color w:val="000000" w:themeColor="text1"/>
        </w:rPr>
        <w:t>Sententiae</w:t>
      </w:r>
      <w:proofErr w:type="spellEnd"/>
      <w:r w:rsidRPr="009D7635">
        <w:rPr>
          <w:rFonts w:ascii="Times New Roman" w:hAnsi="Times New Roman" w:cs="Times New Roman"/>
          <w:i/>
          <w:color w:val="000000" w:themeColor="text1"/>
        </w:rPr>
        <w:t xml:space="preserve"> in IV </w:t>
      </w:r>
      <w:proofErr w:type="spellStart"/>
      <w:r w:rsidRPr="009D7635">
        <w:rPr>
          <w:rFonts w:ascii="Times New Roman" w:hAnsi="Times New Roman" w:cs="Times New Roman"/>
          <w:i/>
          <w:color w:val="000000" w:themeColor="text1"/>
        </w:rPr>
        <w:t>Libris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Distinctae</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(Rome: </w:t>
      </w:r>
      <w:proofErr w:type="spellStart"/>
      <w:r w:rsidRPr="009D7635">
        <w:rPr>
          <w:rFonts w:ascii="Times New Roman" w:hAnsi="Times New Roman" w:cs="Times New Roman"/>
          <w:color w:val="000000" w:themeColor="text1"/>
        </w:rPr>
        <w:t>Collegii</w:t>
      </w:r>
      <w:proofErr w:type="spellEnd"/>
      <w:r w:rsidRPr="009D7635">
        <w:rPr>
          <w:rFonts w:ascii="Times New Roman" w:hAnsi="Times New Roman" w:cs="Times New Roman"/>
          <w:color w:val="000000" w:themeColor="text1"/>
        </w:rPr>
        <w:t xml:space="preserve"> S. </w:t>
      </w:r>
      <w:proofErr w:type="spellStart"/>
      <w:r w:rsidRPr="009D7635">
        <w:rPr>
          <w:rFonts w:ascii="Times New Roman" w:hAnsi="Times New Roman" w:cs="Times New Roman"/>
          <w:color w:val="000000" w:themeColor="text1"/>
        </w:rPr>
        <w:t>Bonaventurae</w:t>
      </w:r>
      <w:proofErr w:type="spellEnd"/>
      <w:r w:rsidRPr="009D7635">
        <w:rPr>
          <w:rFonts w:ascii="Times New Roman" w:hAnsi="Times New Roman" w:cs="Times New Roman"/>
          <w:color w:val="000000" w:themeColor="text1"/>
        </w:rPr>
        <w:t>, 1971), II.24.3-5.</w:t>
      </w:r>
    </w:p>
  </w:footnote>
  <w:footnote w:id="1016">
    <w:p w14:paraId="0687B2AA" w14:textId="46DCE136"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color w:val="000000" w:themeColor="text1"/>
        </w:rPr>
        <w:t xml:space="preserve"> 36, ed. </w:t>
      </w:r>
      <w:proofErr w:type="spellStart"/>
      <w:r w:rsidRPr="009D7635">
        <w:rPr>
          <w:rFonts w:ascii="Times New Roman" w:hAnsi="Times New Roman" w:cs="Times New Roman"/>
          <w:color w:val="000000" w:themeColor="text1"/>
        </w:rPr>
        <w:t>Buytaert</w:t>
      </w:r>
      <w:proofErr w:type="spellEnd"/>
      <w:r w:rsidRPr="009D7635">
        <w:rPr>
          <w:rFonts w:ascii="Times New Roman" w:hAnsi="Times New Roman" w:cs="Times New Roman"/>
          <w:color w:val="000000" w:themeColor="text1"/>
        </w:rPr>
        <w:t xml:space="preserve">, 132: </w:t>
      </w:r>
      <w:proofErr w:type="spellStart"/>
      <w:r w:rsidRPr="009D7635">
        <w:rPr>
          <w:rFonts w:ascii="Times New Roman" w:hAnsi="Times New Roman" w:cs="Times New Roman"/>
          <w:i/>
          <w:color w:val="000000" w:themeColor="text1"/>
        </w:rPr>
        <w:t>Passio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motus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appetitivae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virtutis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sensibilis</w:t>
      </w:r>
      <w:proofErr w:type="spellEnd"/>
      <w:r w:rsidRPr="009D7635">
        <w:rPr>
          <w:rFonts w:ascii="Times New Roman" w:hAnsi="Times New Roman" w:cs="Times New Roman"/>
          <w:i/>
          <w:color w:val="000000" w:themeColor="text1"/>
        </w:rPr>
        <w:t xml:space="preserve"> in </w:t>
      </w:r>
      <w:proofErr w:type="spellStart"/>
      <w:r w:rsidRPr="009D7635">
        <w:rPr>
          <w:rFonts w:ascii="Times New Roman" w:hAnsi="Times New Roman" w:cs="Times New Roman"/>
          <w:i/>
          <w:color w:val="000000" w:themeColor="text1"/>
        </w:rPr>
        <w:t>imaginatione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boni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vel</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mali</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aliter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passio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motus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irrationalis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animae</w:t>
      </w:r>
      <w:proofErr w:type="spellEnd"/>
      <w:r w:rsidRPr="009D7635">
        <w:rPr>
          <w:rFonts w:ascii="Times New Roman" w:hAnsi="Times New Roman" w:cs="Times New Roman"/>
          <w:i/>
          <w:color w:val="000000" w:themeColor="text1"/>
        </w:rPr>
        <w:t xml:space="preserve"> per </w:t>
      </w:r>
      <w:proofErr w:type="spellStart"/>
      <w:r w:rsidRPr="009D7635">
        <w:rPr>
          <w:rFonts w:ascii="Times New Roman" w:hAnsi="Times New Roman" w:cs="Times New Roman"/>
          <w:i/>
          <w:color w:val="000000" w:themeColor="text1"/>
        </w:rPr>
        <w:t>suspicionem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boni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vel</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mali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Suspicio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enim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boni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concupiscentiam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movet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suspicio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vero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mali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iram</w:t>
      </w:r>
      <w:proofErr w:type="spellEnd"/>
      <w:r w:rsidRPr="009D7635">
        <w:rPr>
          <w:rFonts w:ascii="Times New Roman" w:hAnsi="Times New Roman" w:cs="Times New Roman"/>
          <w:i/>
          <w:color w:val="000000" w:themeColor="text1"/>
        </w:rPr>
        <w:t>.</w:t>
      </w:r>
      <w:r w:rsidRPr="009D7635">
        <w:rPr>
          <w:rFonts w:ascii="Times New Roman" w:hAnsi="Times New Roman" w:cs="Times New Roman"/>
          <w:color w:val="000000" w:themeColor="text1"/>
        </w:rPr>
        <w:t xml:space="preserve"> </w:t>
      </w:r>
    </w:p>
  </w:footnote>
  <w:footnote w:id="1017">
    <w:p w14:paraId="1EDDC4F4" w14:textId="189C0163" w:rsidR="00B93ED5" w:rsidRPr="009D7635" w:rsidRDefault="00B93ED5" w:rsidP="000D3D92">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Simo</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Knuuttila</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Emotions in Ancient and Medieval Philosophy</w:t>
      </w:r>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 180. </w:t>
      </w:r>
      <w:r w:rsidRPr="009D7635">
        <w:rPr>
          <w:rFonts w:ascii="Times New Roman" w:hAnsi="Times New Roman" w:cs="Times New Roman"/>
          <w:color w:val="000000" w:themeColor="text1"/>
          <w:sz w:val="20"/>
          <w:szCs w:val="20"/>
          <w:lang w:val="en-US"/>
        </w:rPr>
        <w:t xml:space="preserve">Anselm of Canterbury,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conceptu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virginali</w:t>
      </w:r>
      <w:proofErr w:type="spellEnd"/>
      <w:r w:rsidRPr="009D7635">
        <w:rPr>
          <w:rFonts w:ascii="Times New Roman" w:hAnsi="Times New Roman" w:cs="Times New Roman"/>
          <w:i/>
          <w:color w:val="000000" w:themeColor="text1"/>
          <w:sz w:val="20"/>
          <w:szCs w:val="20"/>
          <w:lang w:val="en-US"/>
        </w:rPr>
        <w:t xml:space="preserve"> et de </w:t>
      </w:r>
      <w:proofErr w:type="spellStart"/>
      <w:r w:rsidRPr="009D7635">
        <w:rPr>
          <w:rFonts w:ascii="Times New Roman" w:hAnsi="Times New Roman" w:cs="Times New Roman"/>
          <w:i/>
          <w:color w:val="000000" w:themeColor="text1"/>
          <w:sz w:val="20"/>
          <w:szCs w:val="20"/>
          <w:lang w:val="en-US"/>
        </w:rPr>
        <w:t>originali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peccato</w:t>
      </w:r>
      <w:proofErr w:type="spellEnd"/>
      <w:r w:rsidRPr="009D7635">
        <w:rPr>
          <w:rFonts w:ascii="Times New Roman" w:hAnsi="Times New Roman" w:cs="Times New Roman"/>
          <w:color w:val="000000" w:themeColor="text1"/>
          <w:sz w:val="20"/>
          <w:szCs w:val="20"/>
          <w:lang w:val="en-US"/>
        </w:rPr>
        <w:t xml:space="preserve">, ed. </w:t>
      </w:r>
      <w:proofErr w:type="spellStart"/>
      <w:r w:rsidRPr="009D7635">
        <w:rPr>
          <w:rFonts w:ascii="Times New Roman" w:hAnsi="Times New Roman" w:cs="Times New Roman"/>
          <w:color w:val="000000" w:themeColor="text1"/>
          <w:sz w:val="20"/>
          <w:szCs w:val="20"/>
          <w:lang w:val="en-US"/>
        </w:rPr>
        <w:t>Franciscus</w:t>
      </w:r>
      <w:proofErr w:type="spellEnd"/>
      <w:r w:rsidRPr="009D7635">
        <w:rPr>
          <w:rFonts w:ascii="Times New Roman" w:hAnsi="Times New Roman" w:cs="Times New Roman"/>
          <w:color w:val="000000" w:themeColor="text1"/>
          <w:sz w:val="20"/>
          <w:szCs w:val="20"/>
          <w:lang w:val="en-US"/>
        </w:rPr>
        <w:t xml:space="preserve"> S. Schmitt, in </w:t>
      </w:r>
      <w:r w:rsidRPr="009D7635">
        <w:rPr>
          <w:rFonts w:ascii="Times New Roman" w:hAnsi="Times New Roman" w:cs="Times New Roman"/>
          <w:i/>
          <w:color w:val="000000" w:themeColor="text1"/>
          <w:sz w:val="20"/>
          <w:szCs w:val="20"/>
          <w:lang w:val="en-US"/>
        </w:rPr>
        <w:t xml:space="preserve">S. </w:t>
      </w:r>
      <w:proofErr w:type="spellStart"/>
      <w:r w:rsidRPr="009D7635">
        <w:rPr>
          <w:rFonts w:ascii="Times New Roman" w:hAnsi="Times New Roman" w:cs="Times New Roman"/>
          <w:i/>
          <w:color w:val="000000" w:themeColor="text1"/>
          <w:sz w:val="20"/>
          <w:szCs w:val="20"/>
          <w:lang w:val="en-US"/>
        </w:rPr>
        <w:t>Anselmi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Cantuariensis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Archiepiscopi</w:t>
      </w:r>
      <w:proofErr w:type="spellEnd"/>
      <w:r w:rsidRPr="009D7635">
        <w:rPr>
          <w:rFonts w:ascii="Times New Roman" w:hAnsi="Times New Roman" w:cs="Times New Roman"/>
          <w:i/>
          <w:color w:val="000000" w:themeColor="text1"/>
          <w:sz w:val="20"/>
          <w:szCs w:val="20"/>
          <w:lang w:val="en-US"/>
        </w:rPr>
        <w:t xml:space="preserve"> Opera </w:t>
      </w:r>
      <w:proofErr w:type="spellStart"/>
      <w:r w:rsidRPr="009D7635">
        <w:rPr>
          <w:rFonts w:ascii="Times New Roman" w:hAnsi="Times New Roman" w:cs="Times New Roman"/>
          <w:i/>
          <w:color w:val="000000" w:themeColor="text1"/>
          <w:sz w:val="20"/>
          <w:szCs w:val="20"/>
          <w:lang w:val="en-US"/>
        </w:rPr>
        <w:t>Omnia</w:t>
      </w:r>
      <w:proofErr w:type="spellEnd"/>
      <w:r w:rsidRPr="009D7635">
        <w:rPr>
          <w:rFonts w:ascii="Times New Roman" w:hAnsi="Times New Roman" w:cs="Times New Roman"/>
          <w:color w:val="000000" w:themeColor="text1"/>
          <w:sz w:val="20"/>
          <w:szCs w:val="20"/>
          <w:lang w:val="en-US"/>
        </w:rPr>
        <w:t xml:space="preserve">, vol. 2 (Stuttgart: F. </w:t>
      </w:r>
      <w:proofErr w:type="spellStart"/>
      <w:r w:rsidRPr="009D7635">
        <w:rPr>
          <w:rFonts w:ascii="Times New Roman" w:hAnsi="Times New Roman" w:cs="Times New Roman"/>
          <w:color w:val="000000" w:themeColor="text1"/>
          <w:sz w:val="20"/>
          <w:szCs w:val="20"/>
          <w:lang w:val="en-US"/>
        </w:rPr>
        <w:t>Frommann</w:t>
      </w:r>
      <w:proofErr w:type="spellEnd"/>
      <w:r w:rsidRPr="009D7635">
        <w:rPr>
          <w:rFonts w:ascii="Times New Roman" w:hAnsi="Times New Roman" w:cs="Times New Roman"/>
          <w:color w:val="000000" w:themeColor="text1"/>
          <w:sz w:val="20"/>
          <w:szCs w:val="20"/>
          <w:lang w:val="en-US"/>
        </w:rPr>
        <w:t xml:space="preserve">, 1968), 4, 144.4–12; cf. Augustine, </w:t>
      </w:r>
      <w:proofErr w:type="spellStart"/>
      <w:r w:rsidRPr="009D7635">
        <w:rPr>
          <w:rFonts w:ascii="Times New Roman" w:hAnsi="Times New Roman" w:cs="Times New Roman"/>
          <w:i/>
          <w:color w:val="000000" w:themeColor="text1"/>
          <w:sz w:val="20"/>
          <w:szCs w:val="20"/>
          <w:lang w:val="en-US"/>
        </w:rPr>
        <w:t>Expositio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quarumdam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propositionum</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epistola</w:t>
      </w:r>
      <w:proofErr w:type="spellEnd"/>
      <w:r w:rsidRPr="009D7635">
        <w:rPr>
          <w:rFonts w:ascii="Times New Roman" w:hAnsi="Times New Roman" w:cs="Times New Roman"/>
          <w:i/>
          <w:color w:val="000000" w:themeColor="text1"/>
          <w:sz w:val="20"/>
          <w:szCs w:val="20"/>
          <w:lang w:val="en-US"/>
        </w:rPr>
        <w:t xml:space="preserve"> ad Romanos</w:t>
      </w:r>
      <w:r w:rsidRPr="009D7635">
        <w:rPr>
          <w:rFonts w:ascii="Times New Roman" w:hAnsi="Times New Roman" w:cs="Times New Roman"/>
          <w:color w:val="000000" w:themeColor="text1"/>
          <w:sz w:val="20"/>
          <w:szCs w:val="20"/>
          <w:lang w:val="en-US"/>
        </w:rPr>
        <w:t xml:space="preserve"> (PL 35, 2066). See also Peter Abelard, </w:t>
      </w:r>
      <w:proofErr w:type="spellStart"/>
      <w:r w:rsidRPr="009D7635">
        <w:rPr>
          <w:rFonts w:ascii="Times New Roman" w:hAnsi="Times New Roman" w:cs="Times New Roman"/>
          <w:i/>
          <w:color w:val="000000" w:themeColor="text1"/>
          <w:sz w:val="20"/>
          <w:szCs w:val="20"/>
          <w:lang w:val="en-US"/>
        </w:rPr>
        <w:t>Scit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ipsum</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ed. R.M. </w:t>
      </w:r>
      <w:proofErr w:type="spellStart"/>
      <w:r w:rsidRPr="009D7635">
        <w:rPr>
          <w:rFonts w:ascii="Times New Roman" w:hAnsi="Times New Roman" w:cs="Times New Roman"/>
          <w:color w:val="000000" w:themeColor="text1"/>
          <w:sz w:val="20"/>
          <w:szCs w:val="20"/>
          <w:lang w:val="en-US"/>
        </w:rPr>
        <w:t>Ilgner</w:t>
      </w:r>
      <w:proofErr w:type="spellEnd"/>
      <w:r w:rsidRPr="009D7635">
        <w:rPr>
          <w:rFonts w:ascii="Times New Roman" w:hAnsi="Times New Roman" w:cs="Times New Roman"/>
          <w:color w:val="000000" w:themeColor="text1"/>
          <w:sz w:val="20"/>
          <w:szCs w:val="20"/>
          <w:lang w:val="en-US"/>
        </w:rPr>
        <w:t>, CCCM 190 (</w:t>
      </w:r>
      <w:proofErr w:type="spellStart"/>
      <w:r w:rsidRPr="009D7635">
        <w:rPr>
          <w:rFonts w:ascii="Times New Roman" w:hAnsi="Times New Roman" w:cs="Times New Roman"/>
          <w:color w:val="000000" w:themeColor="text1"/>
          <w:sz w:val="20"/>
          <w:szCs w:val="20"/>
          <w:lang w:val="en-US"/>
        </w:rPr>
        <w:t>Turnhout</w:t>
      </w:r>
      <w:proofErr w:type="spellEnd"/>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Brepols</w:t>
      </w:r>
      <w:proofErr w:type="spellEnd"/>
      <w:r w:rsidRPr="009D7635">
        <w:rPr>
          <w:rFonts w:ascii="Times New Roman" w:hAnsi="Times New Roman" w:cs="Times New Roman"/>
          <w:color w:val="000000" w:themeColor="text1"/>
          <w:sz w:val="20"/>
          <w:szCs w:val="20"/>
          <w:lang w:val="en-US"/>
        </w:rPr>
        <w:t xml:space="preserve">, 2001). </w:t>
      </w:r>
      <w:proofErr w:type="spellStart"/>
      <w:r w:rsidRPr="009D7635">
        <w:rPr>
          <w:rFonts w:ascii="Times New Roman" w:hAnsi="Times New Roman" w:cs="Times New Roman"/>
          <w:i/>
          <w:color w:val="000000" w:themeColor="text1"/>
          <w:sz w:val="20"/>
          <w:szCs w:val="20"/>
          <w:lang w:val="en-US"/>
        </w:rPr>
        <w:t>Sententie</w:t>
      </w:r>
      <w:proofErr w:type="spellEnd"/>
      <w:r w:rsidRPr="009D7635">
        <w:rPr>
          <w:rFonts w:ascii="Times New Roman" w:hAnsi="Times New Roman" w:cs="Times New Roman"/>
          <w:i/>
          <w:color w:val="000000" w:themeColor="text1"/>
          <w:sz w:val="20"/>
          <w:szCs w:val="20"/>
          <w:lang w:val="en-US"/>
        </w:rPr>
        <w:t xml:space="preserve"> Petri </w:t>
      </w:r>
      <w:proofErr w:type="spellStart"/>
      <w:r w:rsidRPr="009D7635">
        <w:rPr>
          <w:rFonts w:ascii="Times New Roman" w:hAnsi="Times New Roman" w:cs="Times New Roman"/>
          <w:i/>
          <w:color w:val="000000" w:themeColor="text1"/>
          <w:sz w:val="20"/>
          <w:szCs w:val="20"/>
          <w:lang w:val="en-US"/>
        </w:rPr>
        <w:t>Abelardi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Sententie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Hermanni</w:t>
      </w:r>
      <w:proofErr w:type="spellEnd"/>
      <w:r w:rsidRPr="009D7635">
        <w:rPr>
          <w:rFonts w:ascii="Times New Roman" w:hAnsi="Times New Roman" w:cs="Times New Roman"/>
          <w:i/>
          <w:iCs/>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ed. S. </w:t>
      </w:r>
      <w:proofErr w:type="spellStart"/>
      <w:r w:rsidRPr="009D7635">
        <w:rPr>
          <w:rFonts w:ascii="Times New Roman" w:hAnsi="Times New Roman" w:cs="Times New Roman"/>
          <w:color w:val="000000" w:themeColor="text1"/>
          <w:sz w:val="20"/>
          <w:szCs w:val="20"/>
          <w:lang w:val="en-US"/>
        </w:rPr>
        <w:t>Buzzetti</w:t>
      </w:r>
      <w:proofErr w:type="spellEnd"/>
      <w:r w:rsidRPr="009D7635">
        <w:rPr>
          <w:rFonts w:ascii="Times New Roman" w:hAnsi="Times New Roman" w:cs="Times New Roman"/>
          <w:color w:val="000000" w:themeColor="text1"/>
          <w:sz w:val="20"/>
          <w:szCs w:val="20"/>
          <w:lang w:val="en-US"/>
        </w:rPr>
        <w:t xml:space="preserve"> (Florence: La Nuova Italia, 1983), 151.50-69. On consent in Abelard, see John </w:t>
      </w:r>
      <w:proofErr w:type="spellStart"/>
      <w:r w:rsidRPr="009D7635">
        <w:rPr>
          <w:rFonts w:ascii="Times New Roman" w:hAnsi="Times New Roman" w:cs="Times New Roman"/>
          <w:color w:val="000000" w:themeColor="text1"/>
          <w:sz w:val="20"/>
          <w:szCs w:val="20"/>
          <w:lang w:val="en-US"/>
        </w:rPr>
        <w:t>Marenbon</w:t>
      </w:r>
      <w:proofErr w:type="spellEnd"/>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i/>
          <w:color w:val="000000" w:themeColor="text1"/>
          <w:sz w:val="20"/>
          <w:szCs w:val="20"/>
          <w:lang w:val="en-US"/>
        </w:rPr>
        <w:t>The Philosophy of Peter Abelard</w:t>
      </w:r>
      <w:r w:rsidRPr="009D7635">
        <w:rPr>
          <w:rFonts w:ascii="Times New Roman" w:hAnsi="Times New Roman" w:cs="Times New Roman"/>
          <w:color w:val="000000" w:themeColor="text1"/>
          <w:sz w:val="20"/>
          <w:szCs w:val="20"/>
          <w:lang w:val="en-US"/>
        </w:rPr>
        <w:t xml:space="preserve"> (Cambridge: Cambridge University Press, 1997), 251-64.</w:t>
      </w:r>
    </w:p>
  </w:footnote>
  <w:footnote w:id="1018">
    <w:p w14:paraId="3CD98A06" w14:textId="33EDDEB9" w:rsidR="00B93ED5" w:rsidRPr="009D7635" w:rsidRDefault="00B93ED5" w:rsidP="000D3D92">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Simo</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Knuuttila</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Emotions in Ancient and Medieval Philosophy,</w:t>
      </w:r>
      <w:r w:rsidRPr="009D7635">
        <w:rPr>
          <w:rFonts w:ascii="Times New Roman" w:hAnsi="Times New Roman" w:cs="Times New Roman"/>
          <w:color w:val="000000" w:themeColor="text1"/>
          <w:sz w:val="20"/>
          <w:szCs w:val="20"/>
        </w:rPr>
        <w:t xml:space="preserve"> 173: ‘</w:t>
      </w:r>
      <w:r w:rsidRPr="009D7635">
        <w:rPr>
          <w:rFonts w:ascii="Times New Roman" w:hAnsi="Times New Roman" w:cs="Times New Roman"/>
          <w:color w:val="000000" w:themeColor="text1"/>
          <w:sz w:val="20"/>
          <w:szCs w:val="20"/>
          <w:lang w:val="en-US"/>
        </w:rPr>
        <w:t>According to Hugh of St Victor (d. 1141), involuntary sexual desire is a</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penal movement of the soul and a venial sin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Sacramentis</w:t>
      </w:r>
      <w:proofErr w:type="spellEnd"/>
      <w:r w:rsidRPr="009D7635">
        <w:rPr>
          <w:rFonts w:ascii="Times New Roman" w:hAnsi="Times New Roman" w:cs="Times New Roman"/>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PL 176, 315C–316A, 391B). In the anonymous </w:t>
      </w:r>
      <w:r w:rsidRPr="009D7635">
        <w:rPr>
          <w:rFonts w:ascii="Times New Roman" w:hAnsi="Times New Roman" w:cs="Times New Roman"/>
          <w:i/>
          <w:color w:val="000000" w:themeColor="text1"/>
          <w:sz w:val="20"/>
          <w:szCs w:val="20"/>
          <w:lang w:val="en-US"/>
        </w:rPr>
        <w:t xml:space="preserve">Summa </w:t>
      </w:r>
      <w:proofErr w:type="spellStart"/>
      <w:r w:rsidRPr="009D7635">
        <w:rPr>
          <w:rFonts w:ascii="Times New Roman" w:hAnsi="Times New Roman" w:cs="Times New Roman"/>
          <w:i/>
          <w:color w:val="000000" w:themeColor="text1"/>
          <w:sz w:val="20"/>
          <w:szCs w:val="20"/>
          <w:lang w:val="en-US"/>
        </w:rPr>
        <w:t>sententiarum</w:t>
      </w:r>
      <w:proofErr w:type="spellEnd"/>
      <w:r w:rsidRPr="009D7635">
        <w:rPr>
          <w:rFonts w:ascii="Times New Roman" w:hAnsi="Times New Roman" w:cs="Times New Roman"/>
          <w:color w:val="000000" w:themeColor="text1"/>
          <w:sz w:val="20"/>
          <w:szCs w:val="20"/>
          <w:lang w:val="en-US"/>
        </w:rPr>
        <w:t xml:space="preserve"> (from the same period) it is</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said that moderate sexual feelings are not sins as such, and that Gregory the</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Great's view of the sinfulness of any sexual intercourse should be understood as</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referring to immoderate sexual desires (PL 176, 156C–157A). Hugh's attitude</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towards first movements is not quite clear. He elsewhere says that to sin is to</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consent to what is forbidden (525B–D); for a similar formulation in the </w:t>
      </w:r>
      <w:r w:rsidRPr="009D7635">
        <w:rPr>
          <w:rFonts w:ascii="Times New Roman" w:hAnsi="Times New Roman" w:cs="Times New Roman"/>
          <w:i/>
          <w:color w:val="000000" w:themeColor="text1"/>
          <w:sz w:val="20"/>
          <w:szCs w:val="20"/>
          <w:lang w:val="en-US"/>
        </w:rPr>
        <w:t xml:space="preserve">Summa </w:t>
      </w:r>
      <w:proofErr w:type="spellStart"/>
      <w:r w:rsidRPr="009D7635">
        <w:rPr>
          <w:rFonts w:ascii="Times New Roman" w:hAnsi="Times New Roman" w:cs="Times New Roman"/>
          <w:i/>
          <w:color w:val="000000" w:themeColor="text1"/>
          <w:sz w:val="20"/>
          <w:szCs w:val="20"/>
          <w:lang w:val="en-US"/>
        </w:rPr>
        <w:t>sententiarum</w:t>
      </w:r>
      <w:proofErr w:type="spellEnd"/>
      <w:r w:rsidRPr="009D7635">
        <w:rPr>
          <w:rFonts w:ascii="Times New Roman" w:hAnsi="Times New Roman" w:cs="Times New Roman"/>
          <w:color w:val="000000" w:themeColor="text1"/>
          <w:sz w:val="20"/>
          <w:szCs w:val="20"/>
          <w:lang w:val="en-US"/>
        </w:rPr>
        <w:t>, see PL 176, 74B. Both these works were used by Peter Lombard.’</w:t>
      </w:r>
    </w:p>
  </w:footnote>
  <w:footnote w:id="1019">
    <w:p w14:paraId="0090E9AA" w14:textId="77777777" w:rsidR="00B93ED5" w:rsidRPr="009D7635" w:rsidRDefault="00B93ED5" w:rsidP="000D3D92">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Magistri</w:t>
      </w:r>
      <w:proofErr w:type="spellEnd"/>
      <w:r w:rsidRPr="009D7635">
        <w:rPr>
          <w:rFonts w:ascii="Times New Roman" w:hAnsi="Times New Roman" w:cs="Times New Roman"/>
          <w:i/>
          <w:color w:val="000000" w:themeColor="text1"/>
          <w:sz w:val="20"/>
          <w:szCs w:val="20"/>
        </w:rPr>
        <w:t xml:space="preserve"> Petri Lombardi, </w:t>
      </w:r>
      <w:proofErr w:type="spellStart"/>
      <w:r w:rsidRPr="009D7635">
        <w:rPr>
          <w:rFonts w:ascii="Times New Roman" w:hAnsi="Times New Roman" w:cs="Times New Roman"/>
          <w:i/>
          <w:color w:val="000000" w:themeColor="text1"/>
          <w:sz w:val="20"/>
          <w:szCs w:val="20"/>
        </w:rPr>
        <w:t>Sententiae</w:t>
      </w:r>
      <w:proofErr w:type="spellEnd"/>
      <w:r w:rsidRPr="009D7635">
        <w:rPr>
          <w:rFonts w:ascii="Times New Roman" w:hAnsi="Times New Roman" w:cs="Times New Roman"/>
          <w:i/>
          <w:color w:val="000000" w:themeColor="text1"/>
          <w:sz w:val="20"/>
          <w:szCs w:val="20"/>
        </w:rPr>
        <w:t xml:space="preserve"> in IV </w:t>
      </w:r>
      <w:proofErr w:type="spellStart"/>
      <w:r w:rsidRPr="009D7635">
        <w:rPr>
          <w:rFonts w:ascii="Times New Roman" w:hAnsi="Times New Roman" w:cs="Times New Roman"/>
          <w:i/>
          <w:color w:val="000000" w:themeColor="text1"/>
          <w:sz w:val="20"/>
          <w:szCs w:val="20"/>
        </w:rPr>
        <w:t>Libris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Distinctae</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II.33.5.5.</w:t>
      </w:r>
    </w:p>
  </w:footnote>
  <w:footnote w:id="1020">
    <w:p w14:paraId="5260DE4C" w14:textId="47863C0B" w:rsidR="00B93ED5" w:rsidRPr="009D7635" w:rsidRDefault="00B93ED5" w:rsidP="000D3D92">
      <w:pPr>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Simo</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Knuuttila</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Emotions in Ancient and Medieval Philosophy,</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en-US"/>
        </w:rPr>
        <w:t>179: Jerome’s term pro-passion was often used in Middle Ages to describe an unpremeditated emotional response to external stimuli. It represents a first movement contrasted with a second movement of the will.</w:t>
      </w:r>
    </w:p>
  </w:footnote>
  <w:footnote w:id="1021">
    <w:p w14:paraId="693CE4A5" w14:textId="00E70353"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Simo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Knuuttila</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Emotions in Ancient and Medieval Philosophy</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182, citing </w:t>
      </w:r>
      <w:proofErr w:type="spellStart"/>
      <w:r w:rsidRPr="009D7635">
        <w:rPr>
          <w:rFonts w:ascii="Times New Roman" w:hAnsi="Times New Roman" w:cs="Times New Roman"/>
          <w:i/>
          <w:color w:val="000000" w:themeColor="text1"/>
        </w:rPr>
        <w:t>Magistri</w:t>
      </w:r>
      <w:proofErr w:type="spellEnd"/>
      <w:r w:rsidRPr="009D7635">
        <w:rPr>
          <w:rFonts w:ascii="Times New Roman" w:hAnsi="Times New Roman" w:cs="Times New Roman"/>
          <w:i/>
          <w:color w:val="000000" w:themeColor="text1"/>
        </w:rPr>
        <w:t xml:space="preserve"> Petri Lombardi, </w:t>
      </w:r>
      <w:proofErr w:type="spellStart"/>
      <w:r w:rsidRPr="009D7635">
        <w:rPr>
          <w:rFonts w:ascii="Times New Roman" w:hAnsi="Times New Roman" w:cs="Times New Roman"/>
          <w:i/>
          <w:color w:val="000000" w:themeColor="text1"/>
        </w:rPr>
        <w:t>Sententiae</w:t>
      </w:r>
      <w:proofErr w:type="spellEnd"/>
      <w:r w:rsidRPr="009D7635">
        <w:rPr>
          <w:rFonts w:ascii="Times New Roman" w:hAnsi="Times New Roman" w:cs="Times New Roman"/>
          <w:i/>
          <w:color w:val="000000" w:themeColor="text1"/>
        </w:rPr>
        <w:t xml:space="preserve"> in IV </w:t>
      </w:r>
      <w:proofErr w:type="spellStart"/>
      <w:r w:rsidRPr="009D7635">
        <w:rPr>
          <w:rFonts w:ascii="Times New Roman" w:hAnsi="Times New Roman" w:cs="Times New Roman"/>
          <w:i/>
          <w:color w:val="000000" w:themeColor="text1"/>
        </w:rPr>
        <w:t>Libris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Distinctae</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lang w:val="en-US"/>
        </w:rPr>
        <w:t xml:space="preserve">II.24.9.3-12.1; </w:t>
      </w:r>
      <w:r w:rsidR="003171F7" w:rsidRPr="009D7635">
        <w:rPr>
          <w:rFonts w:ascii="Times New Roman" w:hAnsi="Times New Roman" w:cs="Times New Roman"/>
          <w:color w:val="000000" w:themeColor="text1"/>
          <w:lang w:val="en-US"/>
        </w:rPr>
        <w:t xml:space="preserve">cf.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vol. 2, 495.</w:t>
      </w:r>
    </w:p>
  </w:footnote>
  <w:footnote w:id="1022">
    <w:p w14:paraId="601C8DD8" w14:textId="77777777"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Simo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Knuuttila</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Emotions in Ancient and Medieval Philosophy</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184-6.</w:t>
      </w:r>
    </w:p>
  </w:footnote>
  <w:footnote w:id="1023">
    <w:p w14:paraId="427A73A1" w14:textId="77777777"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vol. 2, 520.</w:t>
      </w:r>
    </w:p>
  </w:footnote>
  <w:footnote w:id="1024">
    <w:p w14:paraId="6EB2D15C" w14:textId="66663718"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William of </w:t>
      </w:r>
      <w:proofErr w:type="spellStart"/>
      <w:r w:rsidRPr="009D7635">
        <w:rPr>
          <w:rFonts w:ascii="Times New Roman" w:hAnsi="Times New Roman" w:cs="Times New Roman"/>
          <w:color w:val="000000" w:themeColor="text1"/>
        </w:rPr>
        <w:t>Auxerre</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Summa </w:t>
      </w:r>
      <w:proofErr w:type="spellStart"/>
      <w:r w:rsidRPr="009D7635">
        <w:rPr>
          <w:rFonts w:ascii="Times New Roman" w:hAnsi="Times New Roman" w:cs="Times New Roman"/>
          <w:i/>
          <w:color w:val="000000" w:themeColor="text1"/>
        </w:rPr>
        <w:t>aurea</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vol. 3, ed. Jean </w:t>
      </w:r>
      <w:proofErr w:type="spellStart"/>
      <w:r w:rsidRPr="009D7635">
        <w:rPr>
          <w:rFonts w:ascii="Times New Roman" w:hAnsi="Times New Roman" w:cs="Times New Roman"/>
          <w:color w:val="000000" w:themeColor="text1"/>
        </w:rPr>
        <w:t>Ribaillier</w:t>
      </w:r>
      <w:proofErr w:type="spellEnd"/>
      <w:r w:rsidRPr="009D7635">
        <w:rPr>
          <w:rFonts w:ascii="Times New Roman" w:hAnsi="Times New Roman" w:cs="Times New Roman"/>
          <w:color w:val="000000" w:themeColor="text1"/>
        </w:rPr>
        <w:t xml:space="preserve"> (Rome: </w:t>
      </w:r>
      <w:proofErr w:type="spellStart"/>
      <w:r w:rsidRPr="009D7635">
        <w:rPr>
          <w:rFonts w:ascii="Times New Roman" w:hAnsi="Times New Roman" w:cs="Times New Roman"/>
          <w:color w:val="000000" w:themeColor="text1"/>
        </w:rPr>
        <w:t>Collegii</w:t>
      </w:r>
      <w:proofErr w:type="spellEnd"/>
      <w:r w:rsidRPr="009D7635">
        <w:rPr>
          <w:rFonts w:ascii="Times New Roman" w:hAnsi="Times New Roman" w:cs="Times New Roman"/>
          <w:color w:val="000000" w:themeColor="text1"/>
        </w:rPr>
        <w:t xml:space="preserve"> S. </w:t>
      </w:r>
      <w:proofErr w:type="spellStart"/>
      <w:r w:rsidRPr="009D7635">
        <w:rPr>
          <w:rFonts w:ascii="Times New Roman" w:hAnsi="Times New Roman" w:cs="Times New Roman"/>
          <w:color w:val="000000" w:themeColor="text1"/>
        </w:rPr>
        <w:t>Bonaventurae</w:t>
      </w:r>
      <w:proofErr w:type="spellEnd"/>
      <w:r w:rsidRPr="009D7635">
        <w:rPr>
          <w:rFonts w:ascii="Times New Roman" w:hAnsi="Times New Roman" w:cs="Times New Roman"/>
          <w:color w:val="000000" w:themeColor="text1"/>
        </w:rPr>
        <w:t>, 1982), 42-5.</w:t>
      </w:r>
    </w:p>
  </w:footnote>
  <w:footnote w:id="1025">
    <w:p w14:paraId="5D16A983" w14:textId="395D011A" w:rsidR="00B93ED5" w:rsidRPr="009D7635" w:rsidRDefault="00B93ED5" w:rsidP="000D3D92">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Simo</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Knuuttila</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Emotions in Ancient and Medieval Philosophy,</w:t>
      </w:r>
      <w:r w:rsidRPr="009D7635">
        <w:rPr>
          <w:rFonts w:ascii="Times New Roman" w:hAnsi="Times New Roman" w:cs="Times New Roman"/>
          <w:color w:val="000000" w:themeColor="text1"/>
          <w:sz w:val="20"/>
          <w:szCs w:val="20"/>
        </w:rPr>
        <w:t xml:space="preserve"> 188. William of </w:t>
      </w:r>
      <w:proofErr w:type="spellStart"/>
      <w:r w:rsidRPr="009D7635">
        <w:rPr>
          <w:rFonts w:ascii="Times New Roman" w:hAnsi="Times New Roman" w:cs="Times New Roman"/>
          <w:color w:val="000000" w:themeColor="text1"/>
          <w:sz w:val="20"/>
          <w:szCs w:val="20"/>
        </w:rPr>
        <w:t>Auxerre</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Summa </w:t>
      </w:r>
      <w:proofErr w:type="spellStart"/>
      <w:r w:rsidRPr="009D7635">
        <w:rPr>
          <w:rFonts w:ascii="Times New Roman" w:hAnsi="Times New Roman" w:cs="Times New Roman"/>
          <w:i/>
          <w:color w:val="000000" w:themeColor="text1"/>
          <w:sz w:val="20"/>
          <w:szCs w:val="20"/>
          <w:lang w:val="en-US"/>
        </w:rPr>
        <w:t>aurea</w:t>
      </w:r>
      <w:proofErr w:type="spellEnd"/>
      <w:r w:rsidRPr="009D7635">
        <w:rPr>
          <w:rFonts w:ascii="Times New Roman" w:hAnsi="Times New Roman" w:cs="Times New Roman"/>
          <w:color w:val="000000" w:themeColor="text1"/>
          <w:sz w:val="20"/>
          <w:szCs w:val="20"/>
          <w:lang w:val="en-US"/>
        </w:rPr>
        <w:t xml:space="preserve">, II.2, 526–7.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Psychologie</w:t>
      </w:r>
      <w:proofErr w:type="spellEnd"/>
      <w:r w:rsidRPr="009D7635">
        <w:rPr>
          <w:rFonts w:ascii="Times New Roman" w:hAnsi="Times New Roman" w:cs="Times New Roman"/>
          <w:i/>
          <w:color w:val="000000" w:themeColor="text1"/>
          <w:sz w:val="20"/>
          <w:szCs w:val="20"/>
        </w:rPr>
        <w:t xml:space="preserve"> et morale</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vol. 2, </w:t>
      </w:r>
      <w:r w:rsidRPr="009D7635">
        <w:rPr>
          <w:rFonts w:ascii="Times New Roman" w:hAnsi="Times New Roman" w:cs="Times New Roman"/>
          <w:color w:val="000000" w:themeColor="text1"/>
          <w:sz w:val="20"/>
          <w:szCs w:val="20"/>
          <w:lang w:val="en-US"/>
        </w:rPr>
        <w:t>514-15.</w:t>
      </w:r>
    </w:p>
  </w:footnote>
  <w:footnote w:id="1026">
    <w:p w14:paraId="4971E06E" w14:textId="56CD0B88"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vol. 2, 527; on Hugh, see the edition by Riccardo Saccenti in </w:t>
      </w:r>
      <w:proofErr w:type="spellStart"/>
      <w:r w:rsidRPr="009D7635">
        <w:rPr>
          <w:rFonts w:ascii="Times New Roman" w:hAnsi="Times New Roman" w:cs="Times New Roman"/>
          <w:i/>
          <w:color w:val="000000" w:themeColor="text1"/>
        </w:rPr>
        <w:t>Conservare</w:t>
      </w:r>
      <w:proofErr w:type="spellEnd"/>
      <w:r w:rsidRPr="009D7635">
        <w:rPr>
          <w:rFonts w:ascii="Times New Roman" w:hAnsi="Times New Roman" w:cs="Times New Roman"/>
          <w:i/>
          <w:color w:val="000000" w:themeColor="text1"/>
        </w:rPr>
        <w:t xml:space="preserve"> la </w:t>
      </w:r>
      <w:proofErr w:type="spellStart"/>
      <w:r w:rsidRPr="009D7635">
        <w:rPr>
          <w:rFonts w:ascii="Times New Roman" w:hAnsi="Times New Roman" w:cs="Times New Roman"/>
          <w:i/>
          <w:color w:val="000000" w:themeColor="text1"/>
        </w:rPr>
        <w:t>retta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volontà</w:t>
      </w:r>
      <w:proofErr w:type="spellEnd"/>
      <w:r w:rsidRPr="009D7635">
        <w:rPr>
          <w:rFonts w:ascii="Times New Roman" w:hAnsi="Times New Roman" w:cs="Times New Roman"/>
          <w:i/>
          <w:color w:val="000000" w:themeColor="text1"/>
        </w:rPr>
        <w:t xml:space="preserve">: L’atto morale </w:t>
      </w:r>
      <w:proofErr w:type="spellStart"/>
      <w:r w:rsidRPr="009D7635">
        <w:rPr>
          <w:rFonts w:ascii="Times New Roman" w:hAnsi="Times New Roman" w:cs="Times New Roman"/>
          <w:i/>
          <w:color w:val="000000" w:themeColor="text1"/>
        </w:rPr>
        <w:t>nelle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dottrine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w:t>
      </w:r>
      <w:proofErr w:type="spellEnd"/>
      <w:r w:rsidRPr="009D7635">
        <w:rPr>
          <w:rFonts w:ascii="Times New Roman" w:hAnsi="Times New Roman" w:cs="Times New Roman"/>
          <w:i/>
          <w:color w:val="000000" w:themeColor="text1"/>
        </w:rPr>
        <w:t xml:space="preserve"> Filippo il </w:t>
      </w:r>
      <w:proofErr w:type="spellStart"/>
      <w:r w:rsidRPr="009D7635">
        <w:rPr>
          <w:rFonts w:ascii="Times New Roman" w:hAnsi="Times New Roman" w:cs="Times New Roman"/>
          <w:i/>
          <w:color w:val="000000" w:themeColor="text1"/>
        </w:rPr>
        <w:t>Cancelliere</w:t>
      </w:r>
      <w:proofErr w:type="spellEnd"/>
      <w:r w:rsidRPr="009D7635">
        <w:rPr>
          <w:rFonts w:ascii="Times New Roman" w:hAnsi="Times New Roman" w:cs="Times New Roman"/>
          <w:i/>
          <w:color w:val="000000" w:themeColor="text1"/>
        </w:rPr>
        <w:t xml:space="preserve"> e </w:t>
      </w:r>
      <w:proofErr w:type="spellStart"/>
      <w:r w:rsidRPr="009D7635">
        <w:rPr>
          <w:rFonts w:ascii="Times New Roman" w:hAnsi="Times New Roman" w:cs="Times New Roman"/>
          <w:i/>
          <w:color w:val="000000" w:themeColor="text1"/>
        </w:rPr>
        <w:t>Ugo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w:t>
      </w:r>
      <w:proofErr w:type="spellEnd"/>
      <w:r w:rsidRPr="009D7635">
        <w:rPr>
          <w:rFonts w:ascii="Times New Roman" w:hAnsi="Times New Roman" w:cs="Times New Roman"/>
          <w:i/>
          <w:color w:val="000000" w:themeColor="text1"/>
        </w:rPr>
        <w:t xml:space="preserve"> Saint-Cher (1225-1235)</w:t>
      </w:r>
      <w:r w:rsidRPr="009D7635">
        <w:rPr>
          <w:rFonts w:ascii="Times New Roman" w:hAnsi="Times New Roman" w:cs="Times New Roman"/>
          <w:color w:val="000000" w:themeColor="text1"/>
        </w:rPr>
        <w:t xml:space="preserve"> (Bologna: </w:t>
      </w:r>
      <w:proofErr w:type="spellStart"/>
      <w:r w:rsidRPr="009D7635">
        <w:rPr>
          <w:rFonts w:ascii="Times New Roman" w:hAnsi="Times New Roman" w:cs="Times New Roman"/>
          <w:color w:val="000000" w:themeColor="text1"/>
        </w:rPr>
        <w:t>Società</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editrice</w:t>
      </w:r>
      <w:proofErr w:type="spellEnd"/>
      <w:r w:rsidRPr="009D7635">
        <w:rPr>
          <w:rFonts w:ascii="Times New Roman" w:hAnsi="Times New Roman" w:cs="Times New Roman"/>
          <w:color w:val="000000" w:themeColor="text1"/>
        </w:rPr>
        <w:t xml:space="preserve"> il Mulino, 2013), 227-8.</w:t>
      </w:r>
    </w:p>
  </w:footnote>
  <w:footnote w:id="1027">
    <w:p w14:paraId="30BBADA2" w14:textId="6E8DD5C8"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vol. 2, 2 528; on Roland, see </w:t>
      </w:r>
      <w:proofErr w:type="spellStart"/>
      <w:r w:rsidRPr="009D7635">
        <w:rPr>
          <w:rFonts w:ascii="Times New Roman" w:hAnsi="Times New Roman" w:cs="Times New Roman"/>
          <w:i/>
          <w:color w:val="000000" w:themeColor="text1"/>
        </w:rPr>
        <w:t>Summae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Magistri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Rolandi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Cremonensis</w:t>
      </w:r>
      <w:proofErr w:type="spellEnd"/>
      <w:r w:rsidRPr="009D7635">
        <w:rPr>
          <w:rFonts w:ascii="Times New Roman" w:hAnsi="Times New Roman" w:cs="Times New Roman"/>
          <w:i/>
          <w:color w:val="000000" w:themeColor="text1"/>
        </w:rPr>
        <w:t xml:space="preserve">, O.P., Liber </w:t>
      </w:r>
      <w:proofErr w:type="spellStart"/>
      <w:r w:rsidRPr="009D7635">
        <w:rPr>
          <w:rFonts w:ascii="Times New Roman" w:hAnsi="Times New Roman" w:cs="Times New Roman"/>
          <w:i/>
          <w:color w:val="000000" w:themeColor="text1"/>
        </w:rPr>
        <w:t>Secundus</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Aloysio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Cortesi</w:t>
      </w:r>
      <w:proofErr w:type="spellEnd"/>
      <w:r w:rsidRPr="009D7635">
        <w:rPr>
          <w:rFonts w:ascii="Times New Roman" w:hAnsi="Times New Roman" w:cs="Times New Roman"/>
          <w:color w:val="000000" w:themeColor="text1"/>
        </w:rPr>
        <w:t xml:space="preserve"> and Humberto </w:t>
      </w:r>
      <w:proofErr w:type="spellStart"/>
      <w:r w:rsidRPr="009D7635">
        <w:rPr>
          <w:rFonts w:ascii="Times New Roman" w:hAnsi="Times New Roman" w:cs="Times New Roman"/>
          <w:color w:val="000000" w:themeColor="text1"/>
        </w:rPr>
        <w:t>Midali</w:t>
      </w:r>
      <w:proofErr w:type="spellEnd"/>
      <w:r w:rsidRPr="009D7635">
        <w:rPr>
          <w:rFonts w:ascii="Times New Roman" w:hAnsi="Times New Roman" w:cs="Times New Roman"/>
          <w:color w:val="000000" w:themeColor="text1"/>
        </w:rPr>
        <w:t xml:space="preserve"> (Bergamo: Umberto </w:t>
      </w:r>
      <w:proofErr w:type="spellStart"/>
      <w:r w:rsidRPr="009D7635">
        <w:rPr>
          <w:rFonts w:ascii="Times New Roman" w:hAnsi="Times New Roman" w:cs="Times New Roman"/>
          <w:color w:val="000000" w:themeColor="text1"/>
        </w:rPr>
        <w:t>Midali</w:t>
      </w:r>
      <w:proofErr w:type="spellEnd"/>
      <w:r w:rsidRPr="009D7635">
        <w:rPr>
          <w:rFonts w:ascii="Times New Roman" w:hAnsi="Times New Roman" w:cs="Times New Roman"/>
          <w:color w:val="000000" w:themeColor="text1"/>
        </w:rPr>
        <w:t>, 2016), 186-91</w:t>
      </w:r>
      <w:r w:rsidR="00415AD3" w:rsidRPr="009D7635">
        <w:rPr>
          <w:rFonts w:ascii="Times New Roman" w:hAnsi="Times New Roman" w:cs="Times New Roman"/>
          <w:color w:val="000000" w:themeColor="text1"/>
        </w:rPr>
        <w:t>, 248.</w:t>
      </w:r>
    </w:p>
  </w:footnote>
  <w:footnote w:id="1028">
    <w:p w14:paraId="2B00F93E" w14:textId="2986DF66"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Silvana Vecchio, ‘Passions et </w:t>
      </w:r>
      <w:proofErr w:type="spellStart"/>
      <w:r w:rsidRPr="009D7635">
        <w:rPr>
          <w:rFonts w:ascii="Times New Roman" w:hAnsi="Times New Roman" w:cs="Times New Roman"/>
          <w:color w:val="000000" w:themeColor="text1"/>
        </w:rPr>
        <w:t>vertus</w:t>
      </w:r>
      <w:proofErr w:type="spellEnd"/>
      <w:r w:rsidRPr="009D7635">
        <w:rPr>
          <w:rFonts w:ascii="Times New Roman" w:hAnsi="Times New Roman" w:cs="Times New Roman"/>
          <w:color w:val="000000" w:themeColor="text1"/>
        </w:rPr>
        <w:t xml:space="preserve"> dans la Summa de bono,’ in </w:t>
      </w:r>
      <w:r w:rsidRPr="009D7635">
        <w:rPr>
          <w:rFonts w:ascii="Times New Roman" w:hAnsi="Times New Roman" w:cs="Times New Roman"/>
          <w:i/>
          <w:color w:val="000000" w:themeColor="text1"/>
        </w:rPr>
        <w:t xml:space="preserve">Philippe le </w:t>
      </w:r>
      <w:proofErr w:type="spellStart"/>
      <w:r w:rsidRPr="009D7635">
        <w:rPr>
          <w:rFonts w:ascii="Times New Roman" w:hAnsi="Times New Roman" w:cs="Times New Roman"/>
          <w:i/>
          <w:color w:val="000000" w:themeColor="text1"/>
        </w:rPr>
        <w:t>Chancelier</w:t>
      </w:r>
      <w:proofErr w:type="spellEnd"/>
      <w:r w:rsidR="001522CC" w:rsidRPr="009D7635">
        <w:rPr>
          <w:rFonts w:ascii="Times New Roman" w:hAnsi="Times New Roman" w:cs="Times New Roman"/>
          <w:i/>
          <w:color w:val="000000" w:themeColor="text1"/>
        </w:rPr>
        <w:t>:</w:t>
      </w:r>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prédicateur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théologien</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poète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parisien</w:t>
      </w:r>
      <w:proofErr w:type="spellEnd"/>
      <w:r w:rsidRPr="009D7635">
        <w:rPr>
          <w:rFonts w:ascii="Times New Roman" w:hAnsi="Times New Roman" w:cs="Times New Roman"/>
          <w:i/>
          <w:color w:val="000000" w:themeColor="text1"/>
        </w:rPr>
        <w:t xml:space="preserve"> du début du XIIIe siècle</w:t>
      </w:r>
      <w:r w:rsidRPr="009D7635">
        <w:rPr>
          <w:rFonts w:ascii="Times New Roman" w:hAnsi="Times New Roman" w:cs="Times New Roman"/>
          <w:color w:val="000000" w:themeColor="text1"/>
        </w:rPr>
        <w:t xml:space="preserve">, ed. by Gilbert </w:t>
      </w:r>
      <w:proofErr w:type="spellStart"/>
      <w:r w:rsidRPr="009D7635">
        <w:rPr>
          <w:rFonts w:ascii="Times New Roman" w:hAnsi="Times New Roman" w:cs="Times New Roman"/>
          <w:color w:val="000000" w:themeColor="text1"/>
        </w:rPr>
        <w:t>Dahan</w:t>
      </w:r>
      <w:proofErr w:type="spellEnd"/>
      <w:r w:rsidRPr="009D7635">
        <w:rPr>
          <w:rFonts w:ascii="Times New Roman" w:hAnsi="Times New Roman" w:cs="Times New Roman"/>
          <w:color w:val="000000" w:themeColor="text1"/>
        </w:rPr>
        <w:t xml:space="preserve">, Anne Zoe </w:t>
      </w:r>
      <w:proofErr w:type="spellStart"/>
      <w:r w:rsidRPr="009D7635">
        <w:rPr>
          <w:rFonts w:ascii="Times New Roman" w:hAnsi="Times New Roman" w:cs="Times New Roman"/>
          <w:color w:val="000000" w:themeColor="text1"/>
        </w:rPr>
        <w:t>Rillon-Marne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Turnhout</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Brepols</w:t>
      </w:r>
      <w:proofErr w:type="spellEnd"/>
      <w:r w:rsidRPr="009D7635">
        <w:rPr>
          <w:rFonts w:ascii="Times New Roman" w:hAnsi="Times New Roman" w:cs="Times New Roman"/>
          <w:color w:val="000000" w:themeColor="text1"/>
        </w:rPr>
        <w:t xml:space="preserve">, 2017), 169-83.  </w:t>
      </w:r>
    </w:p>
  </w:footnote>
  <w:footnote w:id="1029">
    <w:p w14:paraId="5F668DBF" w14:textId="508675D1" w:rsidR="00B93ED5" w:rsidRPr="009D7635" w:rsidRDefault="00B93ED5" w:rsidP="000D3D92">
      <w:pPr>
        <w:rPr>
          <w:rFonts w:ascii="Times New Roman" w:hAnsi="Times New Roman" w:cs="Times New Roman"/>
          <w:bCs/>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Psychologie</w:t>
      </w:r>
      <w:proofErr w:type="spellEnd"/>
      <w:r w:rsidRPr="009D7635">
        <w:rPr>
          <w:rFonts w:ascii="Times New Roman" w:hAnsi="Times New Roman" w:cs="Times New Roman"/>
          <w:i/>
          <w:color w:val="000000" w:themeColor="text1"/>
          <w:sz w:val="20"/>
          <w:szCs w:val="20"/>
        </w:rPr>
        <w:t xml:space="preserve"> et morale</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vol. 2, 536-7; </w:t>
      </w:r>
      <w:r w:rsidRPr="009D7635">
        <w:rPr>
          <w:rFonts w:ascii="Times New Roman" w:hAnsi="Times New Roman" w:cs="Times New Roman"/>
          <w:bCs/>
          <w:i/>
          <w:iCs/>
          <w:color w:val="000000" w:themeColor="text1"/>
          <w:sz w:val="20"/>
          <w:szCs w:val="20"/>
        </w:rPr>
        <w:t xml:space="preserve">Philippi </w:t>
      </w:r>
      <w:proofErr w:type="spellStart"/>
      <w:r w:rsidRPr="009D7635">
        <w:rPr>
          <w:rFonts w:ascii="Times New Roman" w:hAnsi="Times New Roman" w:cs="Times New Roman"/>
          <w:bCs/>
          <w:i/>
          <w:iCs/>
          <w:color w:val="000000" w:themeColor="text1"/>
          <w:sz w:val="20"/>
          <w:szCs w:val="20"/>
        </w:rPr>
        <w:t>Cancellarii</w:t>
      </w:r>
      <w:proofErr w:type="spellEnd"/>
      <w:r w:rsidRPr="009D7635">
        <w:rPr>
          <w:rFonts w:ascii="Times New Roman" w:hAnsi="Times New Roman" w:cs="Times New Roman"/>
          <w:bCs/>
          <w:i/>
          <w:iCs/>
          <w:color w:val="000000" w:themeColor="text1"/>
          <w:sz w:val="20"/>
          <w:szCs w:val="20"/>
        </w:rPr>
        <w:t xml:space="preserve"> </w:t>
      </w:r>
      <w:proofErr w:type="spellStart"/>
      <w:r w:rsidRPr="009D7635">
        <w:rPr>
          <w:rFonts w:ascii="Times New Roman" w:hAnsi="Times New Roman" w:cs="Times New Roman"/>
          <w:bCs/>
          <w:i/>
          <w:iCs/>
          <w:color w:val="000000" w:themeColor="text1"/>
          <w:sz w:val="20"/>
          <w:szCs w:val="20"/>
        </w:rPr>
        <w:t>Parisiensis</w:t>
      </w:r>
      <w:proofErr w:type="spellEnd"/>
      <w:r w:rsidRPr="009D7635">
        <w:rPr>
          <w:rFonts w:ascii="Times New Roman" w:hAnsi="Times New Roman" w:cs="Times New Roman"/>
          <w:bCs/>
          <w:i/>
          <w:iCs/>
          <w:color w:val="000000" w:themeColor="text1"/>
          <w:sz w:val="20"/>
          <w:szCs w:val="20"/>
        </w:rPr>
        <w:t xml:space="preserve"> Summa de bono, </w:t>
      </w:r>
      <w:r w:rsidR="00F13FD2" w:rsidRPr="009D7635">
        <w:rPr>
          <w:rFonts w:ascii="Times New Roman" w:hAnsi="Times New Roman" w:cs="Times New Roman"/>
          <w:bCs/>
          <w:iCs/>
          <w:color w:val="000000" w:themeColor="text1"/>
          <w:sz w:val="20"/>
          <w:szCs w:val="20"/>
        </w:rPr>
        <w:t xml:space="preserve">vol. 1, </w:t>
      </w:r>
      <w:r w:rsidRPr="009D7635">
        <w:rPr>
          <w:rFonts w:ascii="Times New Roman" w:hAnsi="Times New Roman" w:cs="Times New Roman"/>
          <w:bCs/>
          <w:color w:val="000000" w:themeColor="text1"/>
          <w:sz w:val="20"/>
          <w:szCs w:val="20"/>
        </w:rPr>
        <w:t>161-2</w:t>
      </w:r>
      <w:r w:rsidR="0056062C" w:rsidRPr="009D7635">
        <w:rPr>
          <w:rFonts w:ascii="Times New Roman" w:hAnsi="Times New Roman" w:cs="Times New Roman"/>
          <w:bCs/>
          <w:color w:val="000000" w:themeColor="text1"/>
          <w:sz w:val="20"/>
          <w:szCs w:val="20"/>
        </w:rPr>
        <w:t>; cf.</w:t>
      </w:r>
      <w:r w:rsidRPr="009D7635">
        <w:rPr>
          <w:rFonts w:ascii="Times New Roman" w:hAnsi="Times New Roman" w:cs="Times New Roman"/>
          <w:bCs/>
          <w:color w:val="000000" w:themeColor="text1"/>
          <w:sz w:val="20"/>
          <w:szCs w:val="20"/>
        </w:rPr>
        <w:t xml:space="preserve"> 213-5</w:t>
      </w:r>
      <w:r w:rsidR="004050A8" w:rsidRPr="009D7635">
        <w:rPr>
          <w:rFonts w:ascii="Times New Roman" w:hAnsi="Times New Roman" w:cs="Times New Roman"/>
          <w:bCs/>
          <w:color w:val="000000" w:themeColor="text1"/>
          <w:sz w:val="20"/>
          <w:szCs w:val="20"/>
        </w:rPr>
        <w:t>.</w:t>
      </w:r>
    </w:p>
  </w:footnote>
  <w:footnote w:id="1030">
    <w:p w14:paraId="755D82D6" w14:textId="4806AB39"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563E1D" w:rsidRPr="009D7635">
        <w:rPr>
          <w:rFonts w:ascii="Times New Roman" w:hAnsi="Times New Roman" w:cs="Times New Roman"/>
          <w:i/>
          <w:color w:val="000000" w:themeColor="text1"/>
        </w:rPr>
        <w:t>Summa de anima</w:t>
      </w:r>
      <w:r w:rsidR="00563E1D" w:rsidRPr="009D7635">
        <w:rPr>
          <w:rFonts w:ascii="Times New Roman" w:hAnsi="Times New Roman" w:cs="Times New Roman"/>
          <w:iCs/>
          <w:color w:val="000000" w:themeColor="text1"/>
        </w:rPr>
        <w:t xml:space="preserve">, </w:t>
      </w:r>
      <w:r w:rsidR="00563E1D" w:rsidRPr="009D7635">
        <w:rPr>
          <w:rFonts w:ascii="Times New Roman" w:hAnsi="Times New Roman" w:cs="Times New Roman"/>
          <w:color w:val="000000" w:themeColor="text1"/>
        </w:rPr>
        <w:t>253.</w:t>
      </w:r>
      <w:r w:rsidR="00173057"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vol. 2, 541</w:t>
      </w:r>
      <w:r w:rsidR="0087364E" w:rsidRPr="009D7635">
        <w:rPr>
          <w:rFonts w:ascii="Times New Roman" w:hAnsi="Times New Roman" w:cs="Times New Roman"/>
          <w:color w:val="000000" w:themeColor="text1"/>
        </w:rPr>
        <w:t>, 544</w:t>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Carla Casagrande and Silvana </w:t>
      </w:r>
      <w:r w:rsidR="00AD6B21" w:rsidRPr="009D7635">
        <w:rPr>
          <w:rFonts w:ascii="Times New Roman" w:hAnsi="Times New Roman" w:cs="Times New Roman"/>
          <w:color w:val="000000" w:themeColor="text1"/>
          <w:lang w:val="en-US"/>
        </w:rPr>
        <w:t>Vecchio</w:t>
      </w:r>
      <w:r w:rsidRPr="009D7635">
        <w:rPr>
          <w:rFonts w:ascii="Times New Roman" w:hAnsi="Times New Roman" w:cs="Times New Roman"/>
          <w:color w:val="000000" w:themeColor="text1"/>
          <w:lang w:val="en-US"/>
        </w:rPr>
        <w:t xml:space="preserve">, ‘Les theories des passions dans la culture </w:t>
      </w:r>
      <w:proofErr w:type="spellStart"/>
      <w:r w:rsidRPr="009D7635">
        <w:rPr>
          <w:rFonts w:ascii="Times New Roman" w:hAnsi="Times New Roman" w:cs="Times New Roman"/>
          <w:color w:val="000000" w:themeColor="text1"/>
          <w:lang w:val="en-US"/>
        </w:rPr>
        <w:t>médiévale</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rPr>
        <w:t xml:space="preserve">120: </w:t>
      </w:r>
      <w:r w:rsidRPr="009D7635">
        <w:rPr>
          <w:rFonts w:ascii="Times New Roman" w:hAnsi="Times New Roman" w:cs="Times New Roman"/>
          <w:color w:val="000000" w:themeColor="text1"/>
          <w:lang w:val="en-US"/>
        </w:rPr>
        <w:t xml:space="preserve">‘Les theories des passions dans la culture </w:t>
      </w:r>
      <w:proofErr w:type="spellStart"/>
      <w:r w:rsidRPr="009D7635">
        <w:rPr>
          <w:rFonts w:ascii="Times New Roman" w:hAnsi="Times New Roman" w:cs="Times New Roman"/>
          <w:color w:val="000000" w:themeColor="text1"/>
          <w:lang w:val="en-US"/>
        </w:rPr>
        <w:t>médiévale</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rPr>
        <w:t>signe</w:t>
      </w:r>
      <w:proofErr w:type="spellEnd"/>
      <w:r w:rsidRPr="009D7635">
        <w:rPr>
          <w:rFonts w:ascii="Times New Roman" w:hAnsi="Times New Roman" w:cs="Times New Roman"/>
          <w:color w:val="000000" w:themeColor="text1"/>
        </w:rPr>
        <w:t xml:space="preserve"> de la </w:t>
      </w:r>
      <w:proofErr w:type="spellStart"/>
      <w:r w:rsidRPr="009D7635">
        <w:rPr>
          <w:rFonts w:ascii="Times New Roman" w:hAnsi="Times New Roman" w:cs="Times New Roman"/>
          <w:color w:val="000000" w:themeColor="text1"/>
        </w:rPr>
        <w:t>necessite</w:t>
      </w:r>
      <w:proofErr w:type="spellEnd"/>
      <w:r w:rsidRPr="009D7635">
        <w:rPr>
          <w:rFonts w:ascii="Times New Roman" w:hAnsi="Times New Roman" w:cs="Times New Roman"/>
          <w:color w:val="000000" w:themeColor="text1"/>
        </w:rPr>
        <w:t xml:space="preserve"> qui </w:t>
      </w:r>
      <w:proofErr w:type="spellStart"/>
      <w:r w:rsidRPr="009D7635">
        <w:rPr>
          <w:rFonts w:ascii="Times New Roman" w:hAnsi="Times New Roman" w:cs="Times New Roman"/>
          <w:color w:val="000000" w:themeColor="text1"/>
        </w:rPr>
        <w:t>desormais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accable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l'homme</w:t>
      </w:r>
      <w:proofErr w:type="spellEnd"/>
      <w:r w:rsidRPr="009D7635">
        <w:rPr>
          <w:rFonts w:ascii="Times New Roman" w:hAnsi="Times New Roman" w:cs="Times New Roman"/>
          <w:color w:val="000000" w:themeColor="text1"/>
        </w:rPr>
        <w:t xml:space="preserve">, a la </w:t>
      </w:r>
      <w:proofErr w:type="spellStart"/>
      <w:r w:rsidRPr="009D7635">
        <w:rPr>
          <w:rFonts w:ascii="Times New Roman" w:hAnsi="Times New Roman" w:cs="Times New Roman"/>
          <w:color w:val="000000" w:themeColor="text1"/>
        </w:rPr>
        <w:t>fois</w:t>
      </w:r>
      <w:proofErr w:type="spellEnd"/>
      <w:r w:rsidRPr="009D7635">
        <w:rPr>
          <w:rFonts w:ascii="Times New Roman" w:hAnsi="Times New Roman" w:cs="Times New Roman"/>
          <w:color w:val="000000" w:themeColor="text1"/>
        </w:rPr>
        <w:t xml:space="preserve"> dans son </w:t>
      </w:r>
      <w:proofErr w:type="spellStart"/>
      <w:r w:rsidRPr="009D7635">
        <w:rPr>
          <w:rFonts w:ascii="Times New Roman" w:hAnsi="Times New Roman" w:cs="Times New Roman"/>
          <w:color w:val="000000" w:themeColor="text1"/>
        </w:rPr>
        <w:t>ame</w:t>
      </w:r>
      <w:proofErr w:type="spellEnd"/>
      <w:r w:rsidRPr="009D7635">
        <w:rPr>
          <w:rFonts w:ascii="Times New Roman" w:hAnsi="Times New Roman" w:cs="Times New Roman"/>
          <w:color w:val="000000" w:themeColor="text1"/>
        </w:rPr>
        <w:t xml:space="preserve"> dans son corps, et </w:t>
      </w:r>
      <w:proofErr w:type="spellStart"/>
      <w:r w:rsidRPr="009D7635">
        <w:rPr>
          <w:rFonts w:ascii="Times New Roman" w:hAnsi="Times New Roman" w:cs="Times New Roman"/>
          <w:color w:val="000000" w:themeColor="text1"/>
        </w:rPr>
        <w:t>representent</w:t>
      </w:r>
      <w:proofErr w:type="spellEnd"/>
      <w:r w:rsidRPr="009D7635">
        <w:rPr>
          <w:rFonts w:ascii="Times New Roman" w:hAnsi="Times New Roman" w:cs="Times New Roman"/>
          <w:color w:val="000000" w:themeColor="text1"/>
        </w:rPr>
        <w:t xml:space="preserve"> la </w:t>
      </w:r>
      <w:proofErr w:type="spellStart"/>
      <w:r w:rsidRPr="009D7635">
        <w:rPr>
          <w:rFonts w:ascii="Times New Roman" w:hAnsi="Times New Roman" w:cs="Times New Roman"/>
          <w:color w:val="000000" w:themeColor="text1"/>
        </w:rPr>
        <w:t>peine</w:t>
      </w:r>
      <w:proofErr w:type="spellEnd"/>
      <w:r w:rsidRPr="009D7635">
        <w:rPr>
          <w:rFonts w:ascii="Times New Roman" w:hAnsi="Times New Roman" w:cs="Times New Roman"/>
          <w:color w:val="000000" w:themeColor="text1"/>
        </w:rPr>
        <w:t xml:space="preserve"> qui </w:t>
      </w:r>
      <w:proofErr w:type="spellStart"/>
      <w:r w:rsidRPr="009D7635">
        <w:rPr>
          <w:rFonts w:ascii="Times New Roman" w:hAnsi="Times New Roman" w:cs="Times New Roman"/>
          <w:color w:val="000000" w:themeColor="text1"/>
        </w:rPr>
        <w:t>atteint</w:t>
      </w:r>
      <w:proofErr w:type="spellEnd"/>
      <w:r w:rsidRPr="009D7635">
        <w:rPr>
          <w:rFonts w:ascii="Times New Roman" w:hAnsi="Times New Roman" w:cs="Times New Roman"/>
          <w:color w:val="000000" w:themeColor="text1"/>
        </w:rPr>
        <w:t xml:space="preserve"> </w:t>
      </w:r>
      <w:proofErr w:type="spellStart"/>
      <w:r w:rsidR="00D71B3E" w:rsidRPr="009D7635">
        <w:rPr>
          <w:rFonts w:ascii="Times New Roman" w:hAnsi="Times New Roman" w:cs="Times New Roman"/>
          <w:color w:val="000000" w:themeColor="text1"/>
        </w:rPr>
        <w:t>l’âme</w:t>
      </w:r>
      <w:proofErr w:type="spellEnd"/>
      <w:r w:rsidRPr="009D7635">
        <w:rPr>
          <w:rFonts w:ascii="Times New Roman" w:hAnsi="Times New Roman" w:cs="Times New Roman"/>
          <w:color w:val="000000" w:themeColor="text1"/>
        </w:rPr>
        <w:t xml:space="preserve"> a cause de </w:t>
      </w:r>
      <w:proofErr w:type="spellStart"/>
      <w:r w:rsidRPr="009D7635">
        <w:rPr>
          <w:rFonts w:ascii="Times New Roman" w:hAnsi="Times New Roman" w:cs="Times New Roman"/>
          <w:color w:val="000000" w:themeColor="text1"/>
        </w:rPr>
        <w:t>sa</w:t>
      </w:r>
      <w:proofErr w:type="spellEnd"/>
      <w:r w:rsidRPr="009D7635">
        <w:rPr>
          <w:rFonts w:ascii="Times New Roman" w:hAnsi="Times New Roman" w:cs="Times New Roman"/>
          <w:color w:val="000000" w:themeColor="text1"/>
        </w:rPr>
        <w:t xml:space="preserve"> junction a un corps </w:t>
      </w:r>
      <w:proofErr w:type="spellStart"/>
      <w:r w:rsidRPr="009D7635">
        <w:rPr>
          <w:rFonts w:ascii="Times New Roman" w:hAnsi="Times New Roman" w:cs="Times New Roman"/>
          <w:color w:val="000000" w:themeColor="text1"/>
        </w:rPr>
        <w:t>infirme</w:t>
      </w:r>
      <w:proofErr w:type="spellEnd"/>
      <w:r w:rsidRPr="009D7635">
        <w:rPr>
          <w:rFonts w:ascii="Times New Roman" w:hAnsi="Times New Roman" w:cs="Times New Roman"/>
          <w:color w:val="000000" w:themeColor="text1"/>
        </w:rPr>
        <w:t xml:space="preserve">.’ </w:t>
      </w:r>
    </w:p>
  </w:footnote>
  <w:footnote w:id="1031">
    <w:p w14:paraId="1F715324" w14:textId="68091361"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Simo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Knuuttila</w:t>
      </w:r>
      <w:proofErr w:type="spellEnd"/>
      <w:r w:rsidRPr="009D7635">
        <w:rPr>
          <w:rFonts w:ascii="Times New Roman" w:hAnsi="Times New Roman" w:cs="Times New Roman"/>
          <w:color w:val="000000" w:themeColor="text1"/>
        </w:rPr>
        <w:t xml:space="preserve">, ‘Medieval Theories of the Passions of the Soul,’ 53l, and </w:t>
      </w:r>
      <w:r w:rsidRPr="009D7635">
        <w:rPr>
          <w:rFonts w:ascii="Times New Roman" w:hAnsi="Times New Roman" w:cs="Times New Roman"/>
          <w:i/>
          <w:color w:val="000000" w:themeColor="text1"/>
        </w:rPr>
        <w:t>Emotions in Ancient and Medieval Philosophy</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169. Augustine discusses the passions in,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Triniate</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12.12 and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civitate</w:t>
      </w:r>
      <w:proofErr w:type="spellEnd"/>
      <w:r w:rsidRPr="009D7635">
        <w:rPr>
          <w:rFonts w:ascii="Times New Roman" w:hAnsi="Times New Roman" w:cs="Times New Roman"/>
          <w:i/>
          <w:color w:val="000000" w:themeColor="text1"/>
        </w:rPr>
        <w:t xml:space="preserve"> Dei </w:t>
      </w:r>
      <w:r w:rsidRPr="009D7635">
        <w:rPr>
          <w:rFonts w:ascii="Times New Roman" w:hAnsi="Times New Roman" w:cs="Times New Roman"/>
          <w:color w:val="000000" w:themeColor="text1"/>
        </w:rPr>
        <w:t xml:space="preserve">14.19. </w:t>
      </w:r>
    </w:p>
  </w:footnote>
  <w:footnote w:id="1032">
    <w:p w14:paraId="598F483F" w14:textId="77777777"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Simo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Knuuttila</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Emotions in Ancient and Medieval Philosophy</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190-1. </w:t>
      </w:r>
    </w:p>
  </w:footnote>
  <w:footnote w:id="1033">
    <w:p w14:paraId="68D36D41" w14:textId="24DABBFB"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36, ed. </w:t>
      </w:r>
      <w:proofErr w:type="spellStart"/>
      <w:r w:rsidRPr="009D7635">
        <w:rPr>
          <w:rFonts w:ascii="Times New Roman" w:hAnsi="Times New Roman" w:cs="Times New Roman"/>
          <w:color w:val="000000" w:themeColor="text1"/>
        </w:rPr>
        <w:t>Butyaert</w:t>
      </w:r>
      <w:proofErr w:type="spellEnd"/>
      <w:r w:rsidRPr="009D7635">
        <w:rPr>
          <w:rFonts w:ascii="Times New Roman" w:hAnsi="Times New Roman" w:cs="Times New Roman"/>
          <w:color w:val="000000" w:themeColor="text1"/>
        </w:rPr>
        <w:t>, 135-6</w:t>
      </w:r>
      <w:r w:rsidR="004050A8" w:rsidRPr="009D7635">
        <w:rPr>
          <w:rFonts w:ascii="Times New Roman" w:hAnsi="Times New Roman" w:cs="Times New Roman"/>
          <w:color w:val="000000" w:themeColor="text1"/>
        </w:rPr>
        <w:t>. See also Richard Cross</w:t>
      </w:r>
      <w:r w:rsidR="00014AEC" w:rsidRPr="009D7635">
        <w:rPr>
          <w:rFonts w:ascii="Times New Roman" w:hAnsi="Times New Roman" w:cs="Times New Roman"/>
          <w:color w:val="000000" w:themeColor="text1"/>
        </w:rPr>
        <w:t>,</w:t>
      </w:r>
      <w:r w:rsidR="00014AEC" w:rsidRPr="009D7635">
        <w:rPr>
          <w:rFonts w:ascii="Times New Roman" w:hAnsi="Times New Roman" w:cs="Times New Roman"/>
          <w:color w:val="000000"/>
        </w:rPr>
        <w:t xml:space="preserve"> ‘The Reception of John of Damascus in the </w:t>
      </w:r>
      <w:r w:rsidR="00014AEC" w:rsidRPr="009D7635">
        <w:rPr>
          <w:rFonts w:ascii="Times New Roman" w:hAnsi="Times New Roman" w:cs="Times New Roman"/>
          <w:i/>
          <w:iCs/>
          <w:color w:val="000000"/>
        </w:rPr>
        <w:t xml:space="preserve">Summa </w:t>
      </w:r>
      <w:proofErr w:type="spellStart"/>
      <w:r w:rsidR="00014AEC" w:rsidRPr="009D7635">
        <w:rPr>
          <w:rFonts w:ascii="Times New Roman" w:hAnsi="Times New Roman" w:cs="Times New Roman"/>
          <w:i/>
          <w:iCs/>
          <w:color w:val="000000"/>
        </w:rPr>
        <w:t>Halensis</w:t>
      </w:r>
      <w:proofErr w:type="spellEnd"/>
      <w:r w:rsidR="00014AEC" w:rsidRPr="009D7635">
        <w:rPr>
          <w:rFonts w:ascii="Times New Roman" w:hAnsi="Times New Roman" w:cs="Times New Roman"/>
          <w:i/>
          <w:iCs/>
          <w:color w:val="000000"/>
        </w:rPr>
        <w:t>,</w:t>
      </w:r>
      <w:r w:rsidR="00014AEC" w:rsidRPr="009D7635">
        <w:rPr>
          <w:rFonts w:ascii="Times New Roman" w:hAnsi="Times New Roman" w:cs="Times New Roman"/>
          <w:color w:val="000000"/>
        </w:rPr>
        <w:t xml:space="preserve">’ in </w:t>
      </w:r>
      <w:r w:rsidR="00014AEC" w:rsidRPr="009D7635">
        <w:rPr>
          <w:rFonts w:ascii="Times New Roman" w:hAnsi="Times New Roman" w:cs="Times New Roman"/>
          <w:i/>
          <w:iCs/>
          <w:color w:val="000000"/>
        </w:rPr>
        <w:t xml:space="preserve">The Summa </w:t>
      </w:r>
      <w:proofErr w:type="spellStart"/>
      <w:r w:rsidR="00014AEC" w:rsidRPr="009D7635">
        <w:rPr>
          <w:rFonts w:ascii="Times New Roman" w:hAnsi="Times New Roman" w:cs="Times New Roman"/>
          <w:i/>
          <w:iCs/>
          <w:color w:val="000000"/>
        </w:rPr>
        <w:t>Halensis</w:t>
      </w:r>
      <w:proofErr w:type="spellEnd"/>
      <w:r w:rsidR="00014AEC" w:rsidRPr="009D7635">
        <w:rPr>
          <w:rFonts w:ascii="Times New Roman" w:hAnsi="Times New Roman" w:cs="Times New Roman"/>
          <w:i/>
          <w:iCs/>
          <w:color w:val="000000"/>
        </w:rPr>
        <w:t xml:space="preserve">: Sources and Context, </w:t>
      </w:r>
      <w:r w:rsidR="00014AEC" w:rsidRPr="009D7635">
        <w:rPr>
          <w:rFonts w:ascii="Times New Roman" w:hAnsi="Times New Roman" w:cs="Times New Roman"/>
          <w:color w:val="000000"/>
        </w:rPr>
        <w:t>ed. Lydia Schumacher (Berlin: De Gruyter, 2020), 71-90.</w:t>
      </w:r>
    </w:p>
  </w:footnote>
  <w:footnote w:id="1034">
    <w:p w14:paraId="121344B0" w14:textId="45AAC84D" w:rsidR="00B93ED5" w:rsidRPr="009D7635" w:rsidRDefault="00B93ED5" w:rsidP="007836AA">
      <w:pPr>
        <w:rPr>
          <w:rFonts w:ascii="Times New Roman" w:eastAsia="Times New Roman" w:hAnsi="Times New Roman" w:cs="Times New Roman"/>
          <w:color w:val="000000" w:themeColor="text1"/>
          <w:sz w:val="20"/>
          <w:szCs w:val="20"/>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Frederick J. </w:t>
      </w:r>
      <w:proofErr w:type="spellStart"/>
      <w:r w:rsidRPr="009D7635">
        <w:rPr>
          <w:rFonts w:ascii="Times New Roman" w:hAnsi="Times New Roman" w:cs="Times New Roman"/>
          <w:color w:val="000000" w:themeColor="text1"/>
          <w:sz w:val="20"/>
          <w:szCs w:val="20"/>
        </w:rPr>
        <w:t>Adelman</w:t>
      </w:r>
      <w:proofErr w:type="spellEnd"/>
      <w:r w:rsidRPr="009D7635">
        <w:rPr>
          <w:rFonts w:ascii="Times New Roman" w:hAnsi="Times New Roman" w:cs="Times New Roman"/>
          <w:color w:val="000000" w:themeColor="text1"/>
          <w:sz w:val="20"/>
          <w:szCs w:val="20"/>
        </w:rPr>
        <w:t xml:space="preserve">, ‘The Theory of Will in St John Damascene,’ in </w:t>
      </w:r>
      <w:r w:rsidRPr="009D7635">
        <w:rPr>
          <w:rFonts w:ascii="Times New Roman" w:hAnsi="Times New Roman" w:cs="Times New Roman"/>
          <w:i/>
          <w:color w:val="000000" w:themeColor="text1"/>
          <w:sz w:val="20"/>
          <w:szCs w:val="20"/>
        </w:rPr>
        <w:t>The Quest for the Absolute</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ed. Frederick J. </w:t>
      </w:r>
      <w:proofErr w:type="spellStart"/>
      <w:r w:rsidRPr="009D7635">
        <w:rPr>
          <w:rFonts w:ascii="Times New Roman" w:hAnsi="Times New Roman" w:cs="Times New Roman"/>
          <w:color w:val="000000" w:themeColor="text1"/>
          <w:sz w:val="20"/>
          <w:szCs w:val="20"/>
        </w:rPr>
        <w:t>Adelman</w:t>
      </w:r>
      <w:proofErr w:type="spellEnd"/>
      <w:r w:rsidRPr="009D7635">
        <w:rPr>
          <w:rFonts w:ascii="Times New Roman" w:hAnsi="Times New Roman" w:cs="Times New Roman"/>
          <w:color w:val="000000" w:themeColor="text1"/>
          <w:sz w:val="20"/>
          <w:szCs w:val="20"/>
        </w:rPr>
        <w:t xml:space="preserve"> (Chestnut Hill: Boston College, 1966), 22-37. </w:t>
      </w:r>
    </w:p>
  </w:footnote>
  <w:footnote w:id="1035">
    <w:p w14:paraId="083EC0E6" w14:textId="210F6F77"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85E0E"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37. </w:t>
      </w:r>
      <w:r w:rsidR="00D80285" w:rsidRPr="009D7635">
        <w:rPr>
          <w:rFonts w:ascii="Times New Roman" w:hAnsi="Times New Roman" w:cs="Times New Roman"/>
        </w:rPr>
        <w:t xml:space="preserve">R.A. Gauthier, ‘Saint </w:t>
      </w:r>
      <w:proofErr w:type="spellStart"/>
      <w:r w:rsidR="00D80285" w:rsidRPr="009D7635">
        <w:rPr>
          <w:rFonts w:ascii="Times New Roman" w:hAnsi="Times New Roman" w:cs="Times New Roman"/>
        </w:rPr>
        <w:t>Maxime</w:t>
      </w:r>
      <w:proofErr w:type="spellEnd"/>
      <w:r w:rsidR="00D80285" w:rsidRPr="009D7635">
        <w:rPr>
          <w:rFonts w:ascii="Times New Roman" w:hAnsi="Times New Roman" w:cs="Times New Roman"/>
        </w:rPr>
        <w:t xml:space="preserve"> le </w:t>
      </w:r>
      <w:proofErr w:type="spellStart"/>
      <w:r w:rsidR="00D80285" w:rsidRPr="009D7635">
        <w:rPr>
          <w:rFonts w:ascii="Times New Roman" w:hAnsi="Times New Roman" w:cs="Times New Roman"/>
        </w:rPr>
        <w:t>Confesseur</w:t>
      </w:r>
      <w:proofErr w:type="spellEnd"/>
      <w:r w:rsidR="00D80285" w:rsidRPr="009D7635">
        <w:rPr>
          <w:rFonts w:ascii="Times New Roman" w:hAnsi="Times New Roman" w:cs="Times New Roman"/>
        </w:rPr>
        <w:t xml:space="preserve"> et la </w:t>
      </w:r>
      <w:proofErr w:type="spellStart"/>
      <w:r w:rsidR="00D80285" w:rsidRPr="009D7635">
        <w:rPr>
          <w:rFonts w:ascii="Times New Roman" w:hAnsi="Times New Roman" w:cs="Times New Roman"/>
        </w:rPr>
        <w:t>psychologie</w:t>
      </w:r>
      <w:proofErr w:type="spellEnd"/>
      <w:r w:rsidR="00D80285" w:rsidRPr="009D7635">
        <w:rPr>
          <w:rFonts w:ascii="Times New Roman" w:hAnsi="Times New Roman" w:cs="Times New Roman"/>
        </w:rPr>
        <w:t xml:space="preserve"> de </w:t>
      </w:r>
      <w:proofErr w:type="spellStart"/>
      <w:r w:rsidR="00D80285" w:rsidRPr="009D7635">
        <w:rPr>
          <w:rFonts w:ascii="Times New Roman" w:hAnsi="Times New Roman" w:cs="Times New Roman"/>
        </w:rPr>
        <w:t>l’acte</w:t>
      </w:r>
      <w:proofErr w:type="spellEnd"/>
      <w:r w:rsidR="00D80285" w:rsidRPr="009D7635">
        <w:rPr>
          <w:rFonts w:ascii="Times New Roman" w:hAnsi="Times New Roman" w:cs="Times New Roman"/>
        </w:rPr>
        <w:t xml:space="preserve"> </w:t>
      </w:r>
      <w:proofErr w:type="spellStart"/>
      <w:r w:rsidR="00D80285" w:rsidRPr="009D7635">
        <w:rPr>
          <w:rFonts w:ascii="Times New Roman" w:hAnsi="Times New Roman" w:cs="Times New Roman"/>
        </w:rPr>
        <w:t>humain</w:t>
      </w:r>
      <w:proofErr w:type="spellEnd"/>
      <w:r w:rsidR="00D80285" w:rsidRPr="009D7635">
        <w:rPr>
          <w:rFonts w:ascii="Times New Roman" w:hAnsi="Times New Roman" w:cs="Times New Roman"/>
        </w:rPr>
        <w:t xml:space="preserve">,’ </w:t>
      </w:r>
      <w:proofErr w:type="spellStart"/>
      <w:r w:rsidR="00D80285" w:rsidRPr="009D7635">
        <w:rPr>
          <w:rFonts w:ascii="Times New Roman" w:hAnsi="Times New Roman" w:cs="Times New Roman"/>
          <w:i/>
          <w:iCs/>
        </w:rPr>
        <w:t>Recherches</w:t>
      </w:r>
      <w:proofErr w:type="spellEnd"/>
      <w:r w:rsidR="00D80285" w:rsidRPr="009D7635">
        <w:rPr>
          <w:rFonts w:ascii="Times New Roman" w:hAnsi="Times New Roman" w:cs="Times New Roman"/>
          <w:i/>
          <w:iCs/>
        </w:rPr>
        <w:t xml:space="preserve"> de </w:t>
      </w:r>
      <w:proofErr w:type="spellStart"/>
      <w:r w:rsidR="00D80285" w:rsidRPr="009D7635">
        <w:rPr>
          <w:rFonts w:ascii="Times New Roman" w:hAnsi="Times New Roman" w:cs="Times New Roman"/>
          <w:i/>
          <w:iCs/>
        </w:rPr>
        <w:t>théologie</w:t>
      </w:r>
      <w:proofErr w:type="spellEnd"/>
      <w:r w:rsidR="00D80285" w:rsidRPr="009D7635">
        <w:rPr>
          <w:rFonts w:ascii="Times New Roman" w:hAnsi="Times New Roman" w:cs="Times New Roman"/>
          <w:i/>
          <w:iCs/>
        </w:rPr>
        <w:t xml:space="preserve"> </w:t>
      </w:r>
      <w:proofErr w:type="spellStart"/>
      <w:r w:rsidR="00D80285" w:rsidRPr="009D7635">
        <w:rPr>
          <w:rFonts w:ascii="Times New Roman" w:hAnsi="Times New Roman" w:cs="Times New Roman"/>
          <w:i/>
          <w:iCs/>
        </w:rPr>
        <w:t>ancienne</w:t>
      </w:r>
      <w:proofErr w:type="spellEnd"/>
      <w:r w:rsidR="00D80285" w:rsidRPr="009D7635">
        <w:rPr>
          <w:rFonts w:ascii="Times New Roman" w:hAnsi="Times New Roman" w:cs="Times New Roman"/>
          <w:i/>
          <w:iCs/>
        </w:rPr>
        <w:t xml:space="preserve"> et </w:t>
      </w:r>
      <w:proofErr w:type="spellStart"/>
      <w:r w:rsidR="00D80285" w:rsidRPr="009D7635">
        <w:rPr>
          <w:rFonts w:ascii="Times New Roman" w:hAnsi="Times New Roman" w:cs="Times New Roman"/>
          <w:i/>
          <w:iCs/>
        </w:rPr>
        <w:t>médiévale</w:t>
      </w:r>
      <w:proofErr w:type="spellEnd"/>
      <w:r w:rsidR="00D80285" w:rsidRPr="009D7635">
        <w:rPr>
          <w:rFonts w:ascii="Times New Roman" w:hAnsi="Times New Roman" w:cs="Times New Roman"/>
        </w:rPr>
        <w:t xml:space="preserve"> 21 (1954), </w:t>
      </w:r>
      <w:r w:rsidR="000B3970" w:rsidRPr="009D7635">
        <w:rPr>
          <w:rFonts w:ascii="Times New Roman" w:hAnsi="Times New Roman" w:cs="Times New Roman"/>
        </w:rPr>
        <w:t xml:space="preserve">53. </w:t>
      </w:r>
    </w:p>
  </w:footnote>
  <w:footnote w:id="1036">
    <w:p w14:paraId="6A7AEA6E" w14:textId="77777777"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Frederick J. </w:t>
      </w:r>
      <w:proofErr w:type="spellStart"/>
      <w:r w:rsidRPr="009D7635">
        <w:rPr>
          <w:rFonts w:ascii="Times New Roman" w:hAnsi="Times New Roman" w:cs="Times New Roman"/>
          <w:color w:val="000000" w:themeColor="text1"/>
        </w:rPr>
        <w:t>Adelman</w:t>
      </w:r>
      <w:proofErr w:type="spellEnd"/>
      <w:r w:rsidRPr="009D7635">
        <w:rPr>
          <w:rFonts w:ascii="Times New Roman" w:hAnsi="Times New Roman" w:cs="Times New Roman"/>
          <w:color w:val="000000" w:themeColor="text1"/>
        </w:rPr>
        <w:t xml:space="preserve">, ‘The Theory of Will in St John Damascene,’ 33. </w:t>
      </w:r>
    </w:p>
  </w:footnote>
  <w:footnote w:id="1037">
    <w:p w14:paraId="0880649E" w14:textId="4EDC798F"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F85E0E"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29.</w:t>
      </w:r>
    </w:p>
  </w:footnote>
  <w:footnote w:id="1038">
    <w:p w14:paraId="40A0AF08" w14:textId="0FA87BBD" w:rsidR="00B93ED5" w:rsidRPr="009D7635" w:rsidRDefault="00B93ED5" w:rsidP="000D3D9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F85E0E" w:rsidRPr="009D7635">
        <w:rPr>
          <w:rFonts w:ascii="Times New Roman" w:hAnsi="Times New Roman" w:cs="Times New Roman"/>
          <w:color w:val="000000" w:themeColor="text1"/>
          <w:sz w:val="20"/>
          <w:szCs w:val="20"/>
        </w:rPr>
        <w:t>Ibid.,</w:t>
      </w:r>
      <w:r w:rsidRPr="009D7635">
        <w:rPr>
          <w:rFonts w:ascii="Times New Roman" w:hAnsi="Times New Roman" w:cs="Times New Roman"/>
          <w:color w:val="000000" w:themeColor="text1"/>
          <w:sz w:val="20"/>
          <w:szCs w:val="20"/>
        </w:rPr>
        <w:t xml:space="preserve"> 30</w:t>
      </w:r>
      <w:r w:rsidR="00070266"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See also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Psychologie</w:t>
      </w:r>
      <w:proofErr w:type="spellEnd"/>
      <w:r w:rsidRPr="009D7635">
        <w:rPr>
          <w:rFonts w:ascii="Times New Roman" w:hAnsi="Times New Roman" w:cs="Times New Roman"/>
          <w:i/>
          <w:color w:val="000000" w:themeColor="text1"/>
          <w:sz w:val="20"/>
          <w:szCs w:val="20"/>
        </w:rPr>
        <w:t xml:space="preserve"> et morale</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vol. 1 (</w:t>
      </w:r>
      <w:proofErr w:type="spellStart"/>
      <w:r w:rsidRPr="009D7635">
        <w:rPr>
          <w:rFonts w:ascii="Times New Roman" w:hAnsi="Times New Roman" w:cs="Times New Roman"/>
          <w:color w:val="000000" w:themeColor="text1"/>
          <w:sz w:val="20"/>
          <w:szCs w:val="20"/>
        </w:rPr>
        <w:t>Gembloux</w:t>
      </w:r>
      <w:proofErr w:type="spellEnd"/>
      <w:r w:rsidRPr="009D7635">
        <w:rPr>
          <w:rFonts w:ascii="Times New Roman" w:hAnsi="Times New Roman" w:cs="Times New Roman"/>
          <w:color w:val="000000" w:themeColor="text1"/>
          <w:sz w:val="20"/>
          <w:szCs w:val="20"/>
        </w:rPr>
        <w:t xml:space="preserve">: J. </w:t>
      </w:r>
      <w:proofErr w:type="spellStart"/>
      <w:r w:rsidRPr="009D7635">
        <w:rPr>
          <w:rFonts w:ascii="Times New Roman" w:hAnsi="Times New Roman" w:cs="Times New Roman"/>
          <w:color w:val="000000" w:themeColor="text1"/>
          <w:sz w:val="20"/>
          <w:szCs w:val="20"/>
        </w:rPr>
        <w:t>Duculot</w:t>
      </w:r>
      <w:proofErr w:type="spellEnd"/>
      <w:r w:rsidRPr="009D7635">
        <w:rPr>
          <w:rFonts w:ascii="Times New Roman" w:hAnsi="Times New Roman" w:cs="Times New Roman"/>
          <w:color w:val="000000" w:themeColor="text1"/>
          <w:sz w:val="20"/>
          <w:szCs w:val="20"/>
        </w:rPr>
        <w:t xml:space="preserve">, 1960), </w:t>
      </w:r>
      <w:r w:rsidRPr="009D7635">
        <w:rPr>
          <w:rFonts w:ascii="Times New Roman" w:hAnsi="Times New Roman" w:cs="Times New Roman"/>
          <w:color w:val="000000" w:themeColor="text1"/>
          <w:sz w:val="20"/>
          <w:szCs w:val="20"/>
          <w:lang w:val="en-US"/>
        </w:rPr>
        <w:t xml:space="preserve">401: Philip the Chancellor misunderstands </w:t>
      </w:r>
      <w:proofErr w:type="spellStart"/>
      <w:r w:rsidRPr="009D7635">
        <w:rPr>
          <w:rFonts w:ascii="Times New Roman" w:hAnsi="Times New Roman" w:cs="Times New Roman"/>
          <w:i/>
          <w:color w:val="000000" w:themeColor="text1"/>
          <w:sz w:val="20"/>
          <w:szCs w:val="20"/>
          <w:lang w:val="en-US"/>
        </w:rPr>
        <w:t>boulesis</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and makes it about means rather than ends, when for Damascus, it only concerns ends. This is an error he passes on to Rochelle and later Aquinas. </w:t>
      </w:r>
      <w:r w:rsidR="006326A5" w:rsidRPr="009D7635">
        <w:rPr>
          <w:rFonts w:ascii="Times New Roman" w:hAnsi="Times New Roman" w:cs="Times New Roman"/>
          <w:color w:val="000000" w:themeColor="text1"/>
          <w:sz w:val="20"/>
          <w:szCs w:val="20"/>
          <w:lang w:val="en-US"/>
        </w:rPr>
        <w:t xml:space="preserve">See also Irene Zavattero, ‘La </w:t>
      </w:r>
      <w:proofErr w:type="spellStart"/>
      <w:r w:rsidR="006326A5" w:rsidRPr="009D7635">
        <w:rPr>
          <w:rFonts w:ascii="Times New Roman" w:hAnsi="Times New Roman" w:cs="Times New Roman"/>
          <w:color w:val="000000" w:themeColor="text1"/>
          <w:sz w:val="20"/>
          <w:szCs w:val="20"/>
          <w:lang w:val="en-US"/>
        </w:rPr>
        <w:t>boulesis</w:t>
      </w:r>
      <w:proofErr w:type="spellEnd"/>
      <w:r w:rsidR="006326A5" w:rsidRPr="009D7635">
        <w:rPr>
          <w:rFonts w:ascii="Times New Roman" w:hAnsi="Times New Roman" w:cs="Times New Roman"/>
          <w:color w:val="000000" w:themeColor="text1"/>
          <w:sz w:val="20"/>
          <w:szCs w:val="20"/>
          <w:lang w:val="en-US"/>
        </w:rPr>
        <w:t xml:space="preserve"> </w:t>
      </w:r>
      <w:proofErr w:type="spellStart"/>
      <w:r w:rsidR="006326A5" w:rsidRPr="009D7635">
        <w:rPr>
          <w:rFonts w:ascii="Times New Roman" w:hAnsi="Times New Roman" w:cs="Times New Roman"/>
          <w:color w:val="000000" w:themeColor="text1"/>
          <w:sz w:val="20"/>
          <w:szCs w:val="20"/>
          <w:lang w:val="en-US"/>
        </w:rPr>
        <w:t>nella</w:t>
      </w:r>
      <w:proofErr w:type="spellEnd"/>
      <w:r w:rsidR="006326A5" w:rsidRPr="009D7635">
        <w:rPr>
          <w:rFonts w:ascii="Times New Roman" w:hAnsi="Times New Roman" w:cs="Times New Roman"/>
          <w:color w:val="000000" w:themeColor="text1"/>
          <w:sz w:val="20"/>
          <w:szCs w:val="20"/>
          <w:lang w:val="en-US"/>
        </w:rPr>
        <w:t xml:space="preserve"> </w:t>
      </w:r>
      <w:proofErr w:type="spellStart"/>
      <w:r w:rsidR="006326A5" w:rsidRPr="009D7635">
        <w:rPr>
          <w:rFonts w:ascii="Times New Roman" w:hAnsi="Times New Roman" w:cs="Times New Roman"/>
          <w:color w:val="000000" w:themeColor="text1"/>
          <w:sz w:val="20"/>
          <w:szCs w:val="20"/>
          <w:lang w:val="en-US"/>
        </w:rPr>
        <w:t>psicologia</w:t>
      </w:r>
      <w:proofErr w:type="spellEnd"/>
      <w:r w:rsidR="006326A5" w:rsidRPr="009D7635">
        <w:rPr>
          <w:rFonts w:ascii="Times New Roman" w:hAnsi="Times New Roman" w:cs="Times New Roman"/>
          <w:color w:val="000000" w:themeColor="text1"/>
          <w:sz w:val="20"/>
          <w:szCs w:val="20"/>
          <w:lang w:val="en-US"/>
        </w:rPr>
        <w:t xml:space="preserve"> </w:t>
      </w:r>
      <w:proofErr w:type="spellStart"/>
      <w:r w:rsidR="006326A5" w:rsidRPr="009D7635">
        <w:rPr>
          <w:rFonts w:ascii="Times New Roman" w:hAnsi="Times New Roman" w:cs="Times New Roman"/>
          <w:color w:val="000000" w:themeColor="text1"/>
          <w:sz w:val="20"/>
          <w:szCs w:val="20"/>
          <w:lang w:val="en-US"/>
        </w:rPr>
        <w:t>dell’agire</w:t>
      </w:r>
      <w:proofErr w:type="spellEnd"/>
      <w:r w:rsidR="006326A5" w:rsidRPr="009D7635">
        <w:rPr>
          <w:rFonts w:ascii="Times New Roman" w:hAnsi="Times New Roman" w:cs="Times New Roman"/>
          <w:color w:val="000000" w:themeColor="text1"/>
          <w:sz w:val="20"/>
          <w:szCs w:val="20"/>
          <w:lang w:val="en-US"/>
        </w:rPr>
        <w:t xml:space="preserve"> morale della prima </w:t>
      </w:r>
      <w:proofErr w:type="spellStart"/>
      <w:r w:rsidR="006326A5" w:rsidRPr="009D7635">
        <w:rPr>
          <w:rFonts w:ascii="Times New Roman" w:hAnsi="Times New Roman" w:cs="Times New Roman"/>
          <w:color w:val="000000" w:themeColor="text1"/>
          <w:sz w:val="20"/>
          <w:szCs w:val="20"/>
          <w:lang w:val="en-US"/>
        </w:rPr>
        <w:t>metà</w:t>
      </w:r>
      <w:proofErr w:type="spellEnd"/>
      <w:r w:rsidR="006326A5" w:rsidRPr="009D7635">
        <w:rPr>
          <w:rFonts w:ascii="Times New Roman" w:hAnsi="Times New Roman" w:cs="Times New Roman"/>
          <w:color w:val="000000" w:themeColor="text1"/>
          <w:sz w:val="20"/>
          <w:szCs w:val="20"/>
          <w:lang w:val="en-US"/>
        </w:rPr>
        <w:t xml:space="preserve"> del XIII </w:t>
      </w:r>
      <w:proofErr w:type="spellStart"/>
      <w:r w:rsidR="006326A5" w:rsidRPr="009D7635">
        <w:rPr>
          <w:rFonts w:ascii="Times New Roman" w:hAnsi="Times New Roman" w:cs="Times New Roman"/>
          <w:color w:val="000000" w:themeColor="text1"/>
          <w:sz w:val="20"/>
          <w:szCs w:val="20"/>
          <w:lang w:val="en-US"/>
        </w:rPr>
        <w:t>secolo</w:t>
      </w:r>
      <w:proofErr w:type="spellEnd"/>
      <w:r w:rsidR="006326A5" w:rsidRPr="009D7635">
        <w:rPr>
          <w:rFonts w:ascii="Times New Roman" w:hAnsi="Times New Roman" w:cs="Times New Roman"/>
          <w:color w:val="000000" w:themeColor="text1"/>
          <w:sz w:val="20"/>
          <w:szCs w:val="20"/>
          <w:lang w:val="en-US"/>
        </w:rPr>
        <w:t xml:space="preserve">,’ in </w:t>
      </w:r>
      <w:r w:rsidR="006326A5" w:rsidRPr="009D7635">
        <w:rPr>
          <w:rFonts w:ascii="Times New Roman" w:hAnsi="Times New Roman" w:cs="Times New Roman"/>
          <w:i/>
          <w:iCs/>
          <w:color w:val="000000" w:themeColor="text1"/>
          <w:sz w:val="20"/>
          <w:szCs w:val="20"/>
          <w:lang w:val="en-US"/>
        </w:rPr>
        <w:t xml:space="preserve">Il </w:t>
      </w:r>
      <w:proofErr w:type="spellStart"/>
      <w:r w:rsidR="006326A5" w:rsidRPr="009D7635">
        <w:rPr>
          <w:rFonts w:ascii="Times New Roman" w:hAnsi="Times New Roman" w:cs="Times New Roman"/>
          <w:i/>
          <w:iCs/>
          <w:color w:val="000000" w:themeColor="text1"/>
          <w:sz w:val="20"/>
          <w:szCs w:val="20"/>
          <w:lang w:val="en-US"/>
        </w:rPr>
        <w:t>desiderio</w:t>
      </w:r>
      <w:proofErr w:type="spellEnd"/>
      <w:r w:rsidR="006326A5" w:rsidRPr="009D7635">
        <w:rPr>
          <w:rFonts w:ascii="Times New Roman" w:hAnsi="Times New Roman" w:cs="Times New Roman"/>
          <w:i/>
          <w:iCs/>
          <w:color w:val="000000" w:themeColor="text1"/>
          <w:sz w:val="20"/>
          <w:szCs w:val="20"/>
          <w:lang w:val="en-US"/>
        </w:rPr>
        <w:t xml:space="preserve"> </w:t>
      </w:r>
      <w:proofErr w:type="spellStart"/>
      <w:r w:rsidR="006326A5" w:rsidRPr="009D7635">
        <w:rPr>
          <w:rFonts w:ascii="Times New Roman" w:hAnsi="Times New Roman" w:cs="Times New Roman"/>
          <w:i/>
          <w:iCs/>
          <w:color w:val="000000" w:themeColor="text1"/>
          <w:sz w:val="20"/>
          <w:szCs w:val="20"/>
          <w:lang w:val="en-US"/>
        </w:rPr>
        <w:t>nel</w:t>
      </w:r>
      <w:proofErr w:type="spellEnd"/>
      <w:r w:rsidR="006326A5" w:rsidRPr="009D7635">
        <w:rPr>
          <w:rFonts w:ascii="Times New Roman" w:hAnsi="Times New Roman" w:cs="Times New Roman"/>
          <w:i/>
          <w:iCs/>
          <w:color w:val="000000" w:themeColor="text1"/>
          <w:sz w:val="20"/>
          <w:szCs w:val="20"/>
          <w:lang w:val="en-US"/>
        </w:rPr>
        <w:t xml:space="preserve"> </w:t>
      </w:r>
      <w:proofErr w:type="spellStart"/>
      <w:r w:rsidR="006326A5" w:rsidRPr="009D7635">
        <w:rPr>
          <w:rFonts w:ascii="Times New Roman" w:hAnsi="Times New Roman" w:cs="Times New Roman"/>
          <w:i/>
          <w:iCs/>
          <w:color w:val="000000" w:themeColor="text1"/>
          <w:sz w:val="20"/>
          <w:szCs w:val="20"/>
          <w:lang w:val="en-US"/>
        </w:rPr>
        <w:t>Medioevo</w:t>
      </w:r>
      <w:proofErr w:type="spellEnd"/>
      <w:r w:rsidR="006326A5" w:rsidRPr="009D7635">
        <w:rPr>
          <w:rFonts w:ascii="Times New Roman" w:hAnsi="Times New Roman" w:cs="Times New Roman"/>
          <w:i/>
          <w:iCs/>
          <w:color w:val="000000" w:themeColor="text1"/>
          <w:sz w:val="20"/>
          <w:szCs w:val="20"/>
          <w:lang w:val="en-US"/>
        </w:rPr>
        <w:t xml:space="preserve">, </w:t>
      </w:r>
      <w:r w:rsidR="006326A5" w:rsidRPr="009D7635">
        <w:rPr>
          <w:rFonts w:ascii="Times New Roman" w:hAnsi="Times New Roman" w:cs="Times New Roman"/>
          <w:color w:val="000000" w:themeColor="text1"/>
          <w:sz w:val="20"/>
          <w:szCs w:val="20"/>
          <w:lang w:val="en-US"/>
        </w:rPr>
        <w:t xml:space="preserve">ed. A. Palazzo (Rome: </w:t>
      </w:r>
      <w:proofErr w:type="spellStart"/>
      <w:r w:rsidR="006326A5" w:rsidRPr="009D7635">
        <w:rPr>
          <w:rFonts w:ascii="Times New Roman" w:hAnsi="Times New Roman" w:cs="Times New Roman"/>
          <w:color w:val="000000" w:themeColor="text1"/>
          <w:sz w:val="20"/>
          <w:szCs w:val="20"/>
          <w:lang w:val="en-US"/>
        </w:rPr>
        <w:t>Edizione</w:t>
      </w:r>
      <w:proofErr w:type="spellEnd"/>
      <w:r w:rsidR="006326A5" w:rsidRPr="009D7635">
        <w:rPr>
          <w:rFonts w:ascii="Times New Roman" w:hAnsi="Times New Roman" w:cs="Times New Roman"/>
          <w:color w:val="000000" w:themeColor="text1"/>
          <w:sz w:val="20"/>
          <w:szCs w:val="20"/>
          <w:lang w:val="en-US"/>
        </w:rPr>
        <w:t xml:space="preserve"> </w:t>
      </w:r>
      <w:proofErr w:type="spellStart"/>
      <w:r w:rsidR="006326A5" w:rsidRPr="009D7635">
        <w:rPr>
          <w:rFonts w:ascii="Times New Roman" w:hAnsi="Times New Roman" w:cs="Times New Roman"/>
          <w:color w:val="000000" w:themeColor="text1"/>
          <w:sz w:val="20"/>
          <w:szCs w:val="20"/>
          <w:lang w:val="en-US"/>
        </w:rPr>
        <w:t>di</w:t>
      </w:r>
      <w:proofErr w:type="spellEnd"/>
      <w:r w:rsidR="006326A5" w:rsidRPr="009D7635">
        <w:rPr>
          <w:rFonts w:ascii="Times New Roman" w:hAnsi="Times New Roman" w:cs="Times New Roman"/>
          <w:color w:val="000000" w:themeColor="text1"/>
          <w:sz w:val="20"/>
          <w:szCs w:val="20"/>
          <w:lang w:val="en-US"/>
        </w:rPr>
        <w:t xml:space="preserve"> </w:t>
      </w:r>
      <w:proofErr w:type="spellStart"/>
      <w:r w:rsidR="006326A5" w:rsidRPr="009D7635">
        <w:rPr>
          <w:rFonts w:ascii="Times New Roman" w:hAnsi="Times New Roman" w:cs="Times New Roman"/>
          <w:color w:val="000000" w:themeColor="text1"/>
          <w:sz w:val="20"/>
          <w:szCs w:val="20"/>
          <w:lang w:val="en-US"/>
        </w:rPr>
        <w:t>Storia</w:t>
      </w:r>
      <w:proofErr w:type="spellEnd"/>
      <w:r w:rsidR="006326A5" w:rsidRPr="009D7635">
        <w:rPr>
          <w:rFonts w:ascii="Times New Roman" w:hAnsi="Times New Roman" w:cs="Times New Roman"/>
          <w:color w:val="000000" w:themeColor="text1"/>
          <w:sz w:val="20"/>
          <w:szCs w:val="20"/>
          <w:lang w:val="en-US"/>
        </w:rPr>
        <w:t xml:space="preserve"> e </w:t>
      </w:r>
      <w:proofErr w:type="spellStart"/>
      <w:r w:rsidR="006326A5" w:rsidRPr="009D7635">
        <w:rPr>
          <w:rFonts w:ascii="Times New Roman" w:hAnsi="Times New Roman" w:cs="Times New Roman"/>
          <w:color w:val="000000" w:themeColor="text1"/>
          <w:sz w:val="20"/>
          <w:szCs w:val="20"/>
          <w:lang w:val="en-US"/>
        </w:rPr>
        <w:t>Letteratura</w:t>
      </w:r>
      <w:proofErr w:type="spellEnd"/>
      <w:r w:rsidR="006326A5" w:rsidRPr="009D7635">
        <w:rPr>
          <w:rFonts w:ascii="Times New Roman" w:hAnsi="Times New Roman" w:cs="Times New Roman"/>
          <w:color w:val="000000" w:themeColor="text1"/>
          <w:sz w:val="20"/>
          <w:szCs w:val="20"/>
          <w:lang w:val="en-US"/>
        </w:rPr>
        <w:t xml:space="preserve">, 2014), 142. </w:t>
      </w:r>
    </w:p>
  </w:footnote>
  <w:footnote w:id="1039">
    <w:p w14:paraId="6F679122" w14:textId="567E5C41" w:rsidR="00B93ED5" w:rsidRPr="009D7635" w:rsidRDefault="00B93ED5" w:rsidP="000D3D92">
      <w:pPr>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101-2, referring to </w:t>
      </w:r>
      <w:r w:rsidRPr="009D7635">
        <w:rPr>
          <w:rFonts w:ascii="Times New Roman" w:hAnsi="Times New Roman" w:cs="Times New Roman"/>
          <w:i/>
          <w:color w:val="000000" w:themeColor="text1"/>
          <w:sz w:val="20"/>
          <w:szCs w:val="20"/>
        </w:rPr>
        <w:t xml:space="preserve">De anima </w:t>
      </w:r>
      <w:r w:rsidRPr="009D7635">
        <w:rPr>
          <w:rFonts w:ascii="Times New Roman" w:hAnsi="Times New Roman" w:cs="Times New Roman"/>
          <w:color w:val="000000" w:themeColor="text1"/>
          <w:sz w:val="20"/>
          <w:szCs w:val="20"/>
        </w:rPr>
        <w:t>II, 3.</w:t>
      </w:r>
    </w:p>
  </w:footnote>
  <w:footnote w:id="1040">
    <w:p w14:paraId="7337AD46" w14:textId="48A6095F"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 118</w:t>
      </w:r>
      <w:r w:rsidRPr="009D7635">
        <w:rPr>
          <w:rFonts w:ascii="Times New Roman" w:hAnsi="Times New Roman" w:cs="Times New Roman"/>
          <w:color w:val="000000" w:themeColor="text1"/>
        </w:rPr>
        <w:t xml:space="preserve">, citing DFO 26.15, Avicenna,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 xml:space="preserve">II.3;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207.</w:t>
      </w:r>
    </w:p>
  </w:footnote>
  <w:footnote w:id="1041">
    <w:p w14:paraId="39FF543C" w14:textId="016EB61C"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John of Damascus, DFO 36, 8-9. Alexander of Hales also treats the </w:t>
      </w:r>
      <w:proofErr w:type="spellStart"/>
      <w:r w:rsidRPr="009D7635">
        <w:rPr>
          <w:rFonts w:ascii="Times New Roman" w:hAnsi="Times New Roman" w:cs="Times New Roman"/>
          <w:i/>
          <w:iCs/>
          <w:color w:val="000000" w:themeColor="text1"/>
        </w:rPr>
        <w:t>thelesis</w:t>
      </w:r>
      <w:proofErr w:type="spellEnd"/>
      <w:r w:rsidRPr="009D7635">
        <w:rPr>
          <w:rFonts w:ascii="Times New Roman" w:hAnsi="Times New Roman" w:cs="Times New Roman"/>
          <w:i/>
          <w:iCs/>
          <w:color w:val="000000" w:themeColor="text1"/>
        </w:rPr>
        <w:t>/</w:t>
      </w:r>
      <w:proofErr w:type="spellStart"/>
      <w:r w:rsidRPr="009D7635">
        <w:rPr>
          <w:rFonts w:ascii="Times New Roman" w:hAnsi="Times New Roman" w:cs="Times New Roman"/>
          <w:i/>
          <w:iCs/>
          <w:color w:val="000000" w:themeColor="text1"/>
        </w:rPr>
        <w:t>boulesis</w:t>
      </w:r>
      <w:proofErr w:type="spellEnd"/>
      <w:r w:rsidRPr="009D7635">
        <w:rPr>
          <w:rFonts w:ascii="Times New Roman" w:hAnsi="Times New Roman" w:cs="Times New Roman"/>
          <w:color w:val="000000" w:themeColor="text1"/>
        </w:rPr>
        <w:t xml:space="preserve"> distinction in, ‘De </w:t>
      </w:r>
      <w:proofErr w:type="spellStart"/>
      <w:r w:rsidRPr="009D7635">
        <w:rPr>
          <w:rFonts w:ascii="Times New Roman" w:hAnsi="Times New Roman" w:cs="Times New Roman"/>
          <w:color w:val="000000" w:themeColor="text1"/>
        </w:rPr>
        <w:t>libero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arbitrio</w:t>
      </w:r>
      <w:proofErr w:type="spellEnd"/>
      <w:r w:rsidRPr="009D7635">
        <w:rPr>
          <w:rFonts w:ascii="Times New Roman" w:hAnsi="Times New Roman" w:cs="Times New Roman"/>
          <w:color w:val="000000" w:themeColor="text1"/>
        </w:rPr>
        <w:t xml:space="preserve">,’ in </w:t>
      </w:r>
      <w:proofErr w:type="spellStart"/>
      <w:r w:rsidRPr="009D7635">
        <w:rPr>
          <w:rFonts w:ascii="Times New Roman" w:hAnsi="Times New Roman" w:cs="Times New Roman"/>
          <w:i/>
          <w:color w:val="000000" w:themeColor="text1"/>
        </w:rPr>
        <w:t>Magestri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Alexandri</w:t>
      </w:r>
      <w:proofErr w:type="spellEnd"/>
      <w:r w:rsidRPr="009D7635">
        <w:rPr>
          <w:rFonts w:ascii="Times New Roman" w:hAnsi="Times New Roman" w:cs="Times New Roman"/>
          <w:i/>
          <w:color w:val="000000" w:themeColor="text1"/>
        </w:rPr>
        <w:t xml:space="preserve"> de Hales </w:t>
      </w:r>
      <w:proofErr w:type="spellStart"/>
      <w:r w:rsidRPr="009D7635">
        <w:rPr>
          <w:rFonts w:ascii="Times New Roman" w:hAnsi="Times New Roman" w:cs="Times New Roman"/>
          <w:i/>
          <w:color w:val="000000" w:themeColor="text1"/>
        </w:rPr>
        <w:t>Quaestiones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disputatae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Antequam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esset</w:t>
      </w:r>
      <w:proofErr w:type="spellEnd"/>
      <w:r w:rsidRPr="009D7635">
        <w:rPr>
          <w:rFonts w:ascii="Times New Roman" w:hAnsi="Times New Roman" w:cs="Times New Roman"/>
          <w:i/>
          <w:color w:val="000000" w:themeColor="text1"/>
        </w:rPr>
        <w:t xml:space="preserve"> frater’</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vol. 1 (</w:t>
      </w:r>
      <w:proofErr w:type="spellStart"/>
      <w:r w:rsidRPr="009D7635">
        <w:rPr>
          <w:rFonts w:ascii="Times New Roman" w:hAnsi="Times New Roman" w:cs="Times New Roman"/>
          <w:color w:val="000000" w:themeColor="text1"/>
        </w:rPr>
        <w:t>Quaracchi</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Florentiae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Collegii</w:t>
      </w:r>
      <w:proofErr w:type="spellEnd"/>
      <w:r w:rsidRPr="009D7635">
        <w:rPr>
          <w:rFonts w:ascii="Times New Roman" w:hAnsi="Times New Roman" w:cs="Times New Roman"/>
          <w:color w:val="000000" w:themeColor="text1"/>
        </w:rPr>
        <w:t xml:space="preserve"> S. </w:t>
      </w:r>
      <w:proofErr w:type="spellStart"/>
      <w:r w:rsidRPr="009D7635">
        <w:rPr>
          <w:rFonts w:ascii="Times New Roman" w:hAnsi="Times New Roman" w:cs="Times New Roman"/>
          <w:color w:val="000000" w:themeColor="text1"/>
        </w:rPr>
        <w:t>Bonaventurae</w:t>
      </w:r>
      <w:proofErr w:type="spellEnd"/>
      <w:r w:rsidRPr="009D7635">
        <w:rPr>
          <w:rFonts w:ascii="Times New Roman" w:hAnsi="Times New Roman" w:cs="Times New Roman"/>
          <w:color w:val="000000" w:themeColor="text1"/>
        </w:rPr>
        <w:t xml:space="preserve">, 1960), </w:t>
      </w:r>
      <w:proofErr w:type="spellStart"/>
      <w:r w:rsidRPr="009D7635">
        <w:rPr>
          <w:rFonts w:ascii="Times New Roman" w:hAnsi="Times New Roman" w:cs="Times New Roman"/>
          <w:color w:val="000000" w:themeColor="text1"/>
        </w:rPr>
        <w:t>qu</w:t>
      </w:r>
      <w:proofErr w:type="spellEnd"/>
      <w:r w:rsidRPr="009D7635">
        <w:rPr>
          <w:rFonts w:ascii="Times New Roman" w:hAnsi="Times New Roman" w:cs="Times New Roman"/>
          <w:color w:val="000000" w:themeColor="text1"/>
        </w:rPr>
        <w:t xml:space="preserve"> </w:t>
      </w:r>
      <w:r w:rsidR="005C3186" w:rsidRPr="009D7635">
        <w:rPr>
          <w:rFonts w:ascii="Times New Roman" w:hAnsi="Times New Roman" w:cs="Times New Roman"/>
          <w:color w:val="000000" w:themeColor="text1"/>
        </w:rPr>
        <w:t>33</w:t>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Respondeo</w:t>
      </w:r>
      <w:proofErr w:type="spellEnd"/>
      <w:r w:rsidRPr="009D7635">
        <w:rPr>
          <w:rFonts w:ascii="Times New Roman" w:hAnsi="Times New Roman" w:cs="Times New Roman"/>
          <w:color w:val="000000" w:themeColor="text1"/>
        </w:rPr>
        <w:t xml:space="preserve">, 590. </w:t>
      </w:r>
    </w:p>
  </w:footnote>
  <w:footnote w:id="1042">
    <w:p w14:paraId="134F5ABD" w14:textId="1FE768C0" w:rsidR="00B93ED5" w:rsidRPr="009D7635" w:rsidRDefault="00B93ED5" w:rsidP="000D3D92">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98: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superius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rationale, quod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honestum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simpliciter</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sua</w:t>
      </w:r>
      <w:proofErr w:type="spellEnd"/>
      <w:r w:rsidRPr="009D7635">
        <w:rPr>
          <w:rFonts w:ascii="Times New Roman" w:hAnsi="Times New Roman" w:cs="Times New Roman"/>
          <w:i/>
          <w:color w:val="000000" w:themeColor="text1"/>
          <w:sz w:val="20"/>
          <w:szCs w:val="20"/>
          <w:lang w:val="en-US"/>
        </w:rPr>
        <w:t xml:space="preserve"> vi </w:t>
      </w:r>
      <w:proofErr w:type="spellStart"/>
      <w:r w:rsidRPr="009D7635">
        <w:rPr>
          <w:rFonts w:ascii="Times New Roman" w:hAnsi="Times New Roman" w:cs="Times New Roman"/>
          <w:i/>
          <w:color w:val="000000" w:themeColor="text1"/>
          <w:sz w:val="20"/>
          <w:szCs w:val="20"/>
          <w:lang w:val="en-US"/>
        </w:rPr>
        <w:t>nos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trahit</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dignitate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nos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allicit</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inferius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corporale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delectabile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carni</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apparens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quid; </w:t>
      </w:r>
      <w:proofErr w:type="spellStart"/>
      <w:r w:rsidRPr="009D7635">
        <w:rPr>
          <w:rFonts w:ascii="Times New Roman" w:hAnsi="Times New Roman" w:cs="Times New Roman"/>
          <w:i/>
          <w:color w:val="000000" w:themeColor="text1"/>
          <w:sz w:val="20"/>
          <w:szCs w:val="20"/>
          <w:lang w:val="en-US"/>
        </w:rPr>
        <w:t>iterum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medium,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viuere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intelligere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sentire</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The idea of the </w:t>
      </w:r>
      <w:proofErr w:type="spellStart"/>
      <w:r w:rsidRPr="009D7635">
        <w:rPr>
          <w:rFonts w:ascii="Times New Roman" w:hAnsi="Times New Roman" w:cs="Times New Roman"/>
          <w:i/>
          <w:iCs/>
          <w:color w:val="000000" w:themeColor="text1"/>
          <w:sz w:val="20"/>
          <w:szCs w:val="20"/>
          <w:lang w:val="en-US"/>
        </w:rPr>
        <w:t>bonum</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honestum</w:t>
      </w:r>
      <w:proofErr w:type="spellEnd"/>
      <w:r w:rsidRPr="009D7635">
        <w:rPr>
          <w:rFonts w:ascii="Times New Roman" w:hAnsi="Times New Roman" w:cs="Times New Roman"/>
          <w:i/>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comes from Cicero and a natural good from </w:t>
      </w:r>
      <w:r w:rsidRPr="009D7635">
        <w:rPr>
          <w:rFonts w:ascii="Times New Roman" w:hAnsi="Times New Roman" w:cs="Times New Roman"/>
          <w:i/>
          <w:color w:val="000000" w:themeColor="text1"/>
          <w:sz w:val="20"/>
          <w:szCs w:val="20"/>
          <w:lang w:val="en-US"/>
        </w:rPr>
        <w:t xml:space="preserve">De fide </w:t>
      </w:r>
      <w:proofErr w:type="spellStart"/>
      <w:r w:rsidRPr="009D7635">
        <w:rPr>
          <w:rFonts w:ascii="Times New Roman" w:hAnsi="Times New Roman" w:cs="Times New Roman"/>
          <w:i/>
          <w:color w:val="000000" w:themeColor="text1"/>
          <w:sz w:val="20"/>
          <w:szCs w:val="20"/>
          <w:lang w:val="en-US"/>
        </w:rPr>
        <w:t>orthodoxa</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36, ed. </w:t>
      </w:r>
      <w:proofErr w:type="spellStart"/>
      <w:r w:rsidRPr="009D7635">
        <w:rPr>
          <w:rFonts w:ascii="Times New Roman" w:hAnsi="Times New Roman" w:cs="Times New Roman"/>
          <w:color w:val="000000" w:themeColor="text1"/>
          <w:sz w:val="20"/>
          <w:szCs w:val="20"/>
          <w:lang w:val="en-US"/>
        </w:rPr>
        <w:t>Buytaert</w:t>
      </w:r>
      <w:proofErr w:type="spellEnd"/>
      <w:r w:rsidRPr="009D7635">
        <w:rPr>
          <w:rFonts w:ascii="Times New Roman" w:hAnsi="Times New Roman" w:cs="Times New Roman"/>
          <w:color w:val="000000" w:themeColor="text1"/>
          <w:sz w:val="20"/>
          <w:szCs w:val="20"/>
          <w:lang w:val="en-US"/>
        </w:rPr>
        <w:t xml:space="preserve">, 8-9.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 287: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superius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racionale</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honestum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simplex, quod </w:t>
      </w:r>
      <w:proofErr w:type="spellStart"/>
      <w:r w:rsidRPr="009D7635">
        <w:rPr>
          <w:rFonts w:ascii="Times New Roman" w:hAnsi="Times New Roman" w:cs="Times New Roman"/>
          <w:i/>
          <w:color w:val="000000" w:themeColor="text1"/>
          <w:sz w:val="20"/>
          <w:szCs w:val="20"/>
          <w:lang w:val="en-US"/>
        </w:rPr>
        <w:t>sua</w:t>
      </w:r>
      <w:proofErr w:type="spellEnd"/>
      <w:r w:rsidRPr="009D7635">
        <w:rPr>
          <w:rFonts w:ascii="Times New Roman" w:hAnsi="Times New Roman" w:cs="Times New Roman"/>
          <w:i/>
          <w:color w:val="000000" w:themeColor="text1"/>
          <w:sz w:val="20"/>
          <w:szCs w:val="20"/>
          <w:lang w:val="en-US"/>
        </w:rPr>
        <w:t xml:space="preserve"> ui </w:t>
      </w:r>
      <w:proofErr w:type="spellStart"/>
      <w:r w:rsidRPr="009D7635">
        <w:rPr>
          <w:rFonts w:ascii="Times New Roman" w:hAnsi="Times New Roman" w:cs="Times New Roman"/>
          <w:i/>
          <w:color w:val="000000" w:themeColor="text1"/>
          <w:sz w:val="20"/>
          <w:szCs w:val="20"/>
          <w:lang w:val="en-US"/>
        </w:rPr>
        <w:t>nos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trahit</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dignitate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nos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allicit</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inferius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corporale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delectabile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carni</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apparens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quid; et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medium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naturale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quemadmodum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uiuere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intelligere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sentire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quecumque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substancialia</w:t>
      </w:r>
      <w:proofErr w:type="spellEnd"/>
      <w:r w:rsidRPr="009D7635">
        <w:rPr>
          <w:rFonts w:ascii="Times New Roman" w:hAnsi="Times New Roman" w:cs="Times New Roman"/>
          <w:i/>
          <w:color w:val="000000" w:themeColor="text1"/>
          <w:sz w:val="20"/>
          <w:szCs w:val="20"/>
          <w:lang w:val="en-US"/>
        </w:rPr>
        <w:t xml:space="preserve"> nature.</w:t>
      </w:r>
    </w:p>
  </w:footnote>
  <w:footnote w:id="1043">
    <w:p w14:paraId="6658CF70" w14:textId="77777777"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John of Damascus, DFO 36, 8-9.</w:t>
      </w:r>
    </w:p>
  </w:footnote>
  <w:footnote w:id="1044">
    <w:p w14:paraId="781AE02A" w14:textId="180BB924" w:rsidR="00B93ED5" w:rsidRPr="009D7635" w:rsidRDefault="00B93ED5" w:rsidP="000D3D92">
      <w:pPr>
        <w:rPr>
          <w:rFonts w:ascii="Times New Roman" w:hAnsi="Times New Roman" w:cs="Times New Roman"/>
          <w:color w:val="000000" w:themeColor="text1"/>
          <w:kern w:val="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kern w:val="1"/>
          <w:sz w:val="20"/>
          <w:szCs w:val="20"/>
          <w:lang w:val="en-US"/>
        </w:rPr>
        <w:t>212.</w:t>
      </w:r>
      <w:r w:rsidR="004D46B9" w:rsidRPr="009D7635">
        <w:rPr>
          <w:rFonts w:ascii="Times New Roman" w:hAnsi="Times New Roman" w:cs="Times New Roman"/>
          <w:color w:val="000000" w:themeColor="text1"/>
          <w:kern w:val="1"/>
          <w:sz w:val="20"/>
          <w:szCs w:val="20"/>
          <w:lang w:val="en-US"/>
        </w:rPr>
        <w:t xml:space="preserve"> Irene Zavattero also points this out in ‘</w:t>
      </w:r>
      <w:proofErr w:type="spellStart"/>
      <w:r w:rsidR="004D46B9" w:rsidRPr="009D7635">
        <w:rPr>
          <w:rFonts w:ascii="Times New Roman" w:hAnsi="Times New Roman" w:cs="Times New Roman"/>
          <w:i/>
          <w:iCs/>
          <w:color w:val="000000" w:themeColor="text1"/>
          <w:kern w:val="1"/>
          <w:sz w:val="20"/>
          <w:szCs w:val="20"/>
          <w:lang w:val="en-US"/>
        </w:rPr>
        <w:t>Voluntas</w:t>
      </w:r>
      <w:proofErr w:type="spellEnd"/>
      <w:r w:rsidR="004D46B9" w:rsidRPr="009D7635">
        <w:rPr>
          <w:rFonts w:ascii="Times New Roman" w:hAnsi="Times New Roman" w:cs="Times New Roman"/>
          <w:i/>
          <w:iCs/>
          <w:color w:val="000000" w:themeColor="text1"/>
          <w:kern w:val="1"/>
          <w:sz w:val="20"/>
          <w:szCs w:val="20"/>
          <w:lang w:val="en-US"/>
        </w:rPr>
        <w:t xml:space="preserve"> </w:t>
      </w:r>
      <w:proofErr w:type="spellStart"/>
      <w:r w:rsidR="004D46B9" w:rsidRPr="009D7635">
        <w:rPr>
          <w:rFonts w:ascii="Times New Roman" w:hAnsi="Times New Roman" w:cs="Times New Roman"/>
          <w:i/>
          <w:iCs/>
          <w:color w:val="000000" w:themeColor="text1"/>
          <w:kern w:val="1"/>
          <w:sz w:val="20"/>
          <w:szCs w:val="20"/>
          <w:lang w:val="en-US"/>
        </w:rPr>
        <w:t>est</w:t>
      </w:r>
      <w:proofErr w:type="spellEnd"/>
      <w:r w:rsidR="004D46B9" w:rsidRPr="009D7635">
        <w:rPr>
          <w:rFonts w:ascii="Times New Roman" w:hAnsi="Times New Roman" w:cs="Times New Roman"/>
          <w:i/>
          <w:iCs/>
          <w:color w:val="000000" w:themeColor="text1"/>
          <w:kern w:val="1"/>
          <w:sz w:val="20"/>
          <w:szCs w:val="20"/>
          <w:lang w:val="en-US"/>
        </w:rPr>
        <w:t xml:space="preserve"> duplex</w:t>
      </w:r>
      <w:r w:rsidR="004D46B9" w:rsidRPr="009D7635">
        <w:rPr>
          <w:rFonts w:ascii="Times New Roman" w:hAnsi="Times New Roman" w:cs="Times New Roman"/>
          <w:color w:val="000000" w:themeColor="text1"/>
          <w:kern w:val="1"/>
          <w:sz w:val="20"/>
          <w:szCs w:val="20"/>
          <w:lang w:val="en-US"/>
        </w:rPr>
        <w:t xml:space="preserve">: La </w:t>
      </w:r>
      <w:proofErr w:type="spellStart"/>
      <w:r w:rsidR="004D46B9" w:rsidRPr="009D7635">
        <w:rPr>
          <w:rFonts w:ascii="Times New Roman" w:hAnsi="Times New Roman" w:cs="Times New Roman"/>
          <w:color w:val="000000" w:themeColor="text1"/>
          <w:kern w:val="1"/>
          <w:sz w:val="20"/>
          <w:szCs w:val="20"/>
          <w:lang w:val="en-US"/>
        </w:rPr>
        <w:t>dottrina</w:t>
      </w:r>
      <w:proofErr w:type="spellEnd"/>
      <w:r w:rsidR="004D46B9" w:rsidRPr="009D7635">
        <w:rPr>
          <w:rFonts w:ascii="Times New Roman" w:hAnsi="Times New Roman" w:cs="Times New Roman"/>
          <w:color w:val="000000" w:themeColor="text1"/>
          <w:kern w:val="1"/>
          <w:sz w:val="20"/>
          <w:szCs w:val="20"/>
          <w:lang w:val="en-US"/>
        </w:rPr>
        <w:t xml:space="preserve"> della </w:t>
      </w:r>
      <w:proofErr w:type="spellStart"/>
      <w:r w:rsidR="004D46B9" w:rsidRPr="009D7635">
        <w:rPr>
          <w:rFonts w:ascii="Times New Roman" w:hAnsi="Times New Roman" w:cs="Times New Roman"/>
          <w:color w:val="000000" w:themeColor="text1"/>
          <w:kern w:val="1"/>
          <w:sz w:val="20"/>
          <w:szCs w:val="20"/>
          <w:lang w:val="en-US"/>
        </w:rPr>
        <w:t>voluntà</w:t>
      </w:r>
      <w:proofErr w:type="spellEnd"/>
      <w:r w:rsidR="004D46B9" w:rsidRPr="009D7635">
        <w:rPr>
          <w:rFonts w:ascii="Times New Roman" w:hAnsi="Times New Roman" w:cs="Times New Roman"/>
          <w:color w:val="000000" w:themeColor="text1"/>
          <w:kern w:val="1"/>
          <w:sz w:val="20"/>
          <w:szCs w:val="20"/>
          <w:lang w:val="en-US"/>
        </w:rPr>
        <w:t xml:space="preserve"> </w:t>
      </w:r>
      <w:proofErr w:type="spellStart"/>
      <w:r w:rsidR="004D46B9" w:rsidRPr="009D7635">
        <w:rPr>
          <w:rFonts w:ascii="Times New Roman" w:hAnsi="Times New Roman" w:cs="Times New Roman"/>
          <w:color w:val="000000" w:themeColor="text1"/>
          <w:kern w:val="1"/>
          <w:sz w:val="20"/>
          <w:szCs w:val="20"/>
          <w:lang w:val="en-US"/>
        </w:rPr>
        <w:t>dell’anonimo</w:t>
      </w:r>
      <w:proofErr w:type="spellEnd"/>
      <w:r w:rsidR="004D46B9" w:rsidRPr="009D7635">
        <w:rPr>
          <w:rFonts w:ascii="Times New Roman" w:hAnsi="Times New Roman" w:cs="Times New Roman"/>
          <w:color w:val="000000" w:themeColor="text1"/>
          <w:kern w:val="1"/>
          <w:sz w:val="20"/>
          <w:szCs w:val="20"/>
          <w:lang w:val="en-US"/>
        </w:rPr>
        <w:t xml:space="preserve"> </w:t>
      </w:r>
      <w:proofErr w:type="spellStart"/>
      <w:r w:rsidR="004D46B9" w:rsidRPr="009D7635">
        <w:rPr>
          <w:rFonts w:ascii="Times New Roman" w:hAnsi="Times New Roman" w:cs="Times New Roman"/>
          <w:color w:val="000000" w:themeColor="text1"/>
          <w:kern w:val="1"/>
          <w:sz w:val="20"/>
          <w:szCs w:val="20"/>
          <w:lang w:val="en-US"/>
        </w:rPr>
        <w:t>commentario</w:t>
      </w:r>
      <w:proofErr w:type="spellEnd"/>
      <w:r w:rsidR="004D46B9" w:rsidRPr="009D7635">
        <w:rPr>
          <w:rFonts w:ascii="Times New Roman" w:hAnsi="Times New Roman" w:cs="Times New Roman"/>
          <w:color w:val="000000" w:themeColor="text1"/>
          <w:kern w:val="1"/>
          <w:sz w:val="20"/>
          <w:szCs w:val="20"/>
          <w:lang w:val="en-US"/>
        </w:rPr>
        <w:t xml:space="preserve"> </w:t>
      </w:r>
      <w:proofErr w:type="spellStart"/>
      <w:r w:rsidR="004D46B9" w:rsidRPr="009D7635">
        <w:rPr>
          <w:rFonts w:ascii="Times New Roman" w:hAnsi="Times New Roman" w:cs="Times New Roman"/>
          <w:color w:val="000000" w:themeColor="text1"/>
          <w:kern w:val="1"/>
          <w:sz w:val="20"/>
          <w:szCs w:val="20"/>
          <w:lang w:val="en-US"/>
        </w:rPr>
        <w:t>di</w:t>
      </w:r>
      <w:proofErr w:type="spellEnd"/>
      <w:r w:rsidR="004D46B9" w:rsidRPr="009D7635">
        <w:rPr>
          <w:rFonts w:ascii="Times New Roman" w:hAnsi="Times New Roman" w:cs="Times New Roman"/>
          <w:color w:val="000000" w:themeColor="text1"/>
          <w:kern w:val="1"/>
          <w:sz w:val="20"/>
          <w:szCs w:val="20"/>
          <w:lang w:val="en-US"/>
        </w:rPr>
        <w:t xml:space="preserve"> </w:t>
      </w:r>
      <w:proofErr w:type="spellStart"/>
      <w:r w:rsidR="004D46B9" w:rsidRPr="009D7635">
        <w:rPr>
          <w:rFonts w:ascii="Times New Roman" w:hAnsi="Times New Roman" w:cs="Times New Roman"/>
          <w:color w:val="000000" w:themeColor="text1"/>
          <w:kern w:val="1"/>
          <w:sz w:val="20"/>
          <w:szCs w:val="20"/>
          <w:lang w:val="en-US"/>
        </w:rPr>
        <w:t>Parigi</w:t>
      </w:r>
      <w:proofErr w:type="spellEnd"/>
      <w:r w:rsidR="004D46B9" w:rsidRPr="009D7635">
        <w:rPr>
          <w:rFonts w:ascii="Times New Roman" w:hAnsi="Times New Roman" w:cs="Times New Roman"/>
          <w:color w:val="000000" w:themeColor="text1"/>
          <w:kern w:val="1"/>
          <w:sz w:val="20"/>
          <w:szCs w:val="20"/>
          <w:lang w:val="en-US"/>
        </w:rPr>
        <w:t xml:space="preserve"> </w:t>
      </w:r>
      <w:proofErr w:type="spellStart"/>
      <w:r w:rsidR="004D46B9" w:rsidRPr="009D7635">
        <w:rPr>
          <w:rFonts w:ascii="Times New Roman" w:hAnsi="Times New Roman" w:cs="Times New Roman"/>
          <w:color w:val="000000" w:themeColor="text1"/>
          <w:kern w:val="1"/>
          <w:sz w:val="20"/>
          <w:szCs w:val="20"/>
          <w:lang w:val="en-US"/>
        </w:rPr>
        <w:t>sull’ethica</w:t>
      </w:r>
      <w:proofErr w:type="spellEnd"/>
      <w:r w:rsidR="004D46B9" w:rsidRPr="009D7635">
        <w:rPr>
          <w:rFonts w:ascii="Times New Roman" w:hAnsi="Times New Roman" w:cs="Times New Roman"/>
          <w:color w:val="000000" w:themeColor="text1"/>
          <w:kern w:val="1"/>
          <w:sz w:val="20"/>
          <w:szCs w:val="20"/>
          <w:lang w:val="en-US"/>
        </w:rPr>
        <w:t xml:space="preserve"> </w:t>
      </w:r>
      <w:r w:rsidR="004D46B9" w:rsidRPr="009D7635">
        <w:rPr>
          <w:rFonts w:ascii="Times New Roman" w:hAnsi="Times New Roman" w:cs="Times New Roman"/>
          <w:i/>
          <w:iCs/>
          <w:color w:val="000000" w:themeColor="text1"/>
          <w:kern w:val="1"/>
          <w:sz w:val="20"/>
          <w:szCs w:val="20"/>
          <w:lang w:val="en-US"/>
        </w:rPr>
        <w:t xml:space="preserve">Nova </w:t>
      </w:r>
      <w:r w:rsidR="004D46B9" w:rsidRPr="009D7635">
        <w:rPr>
          <w:rFonts w:ascii="Times New Roman" w:hAnsi="Times New Roman" w:cs="Times New Roman"/>
          <w:color w:val="000000" w:themeColor="text1"/>
          <w:kern w:val="1"/>
          <w:sz w:val="20"/>
          <w:szCs w:val="20"/>
          <w:lang w:val="en-US"/>
        </w:rPr>
        <w:t>e</w:t>
      </w:r>
      <w:r w:rsidR="004D46B9" w:rsidRPr="009D7635">
        <w:rPr>
          <w:rFonts w:ascii="Times New Roman" w:hAnsi="Times New Roman" w:cs="Times New Roman"/>
          <w:i/>
          <w:iCs/>
          <w:color w:val="000000" w:themeColor="text1"/>
          <w:kern w:val="1"/>
          <w:sz w:val="20"/>
          <w:szCs w:val="20"/>
          <w:lang w:val="en-US"/>
        </w:rPr>
        <w:t xml:space="preserve"> </w:t>
      </w:r>
      <w:proofErr w:type="spellStart"/>
      <w:r w:rsidR="004D46B9" w:rsidRPr="009D7635">
        <w:rPr>
          <w:rFonts w:ascii="Times New Roman" w:hAnsi="Times New Roman" w:cs="Times New Roman"/>
          <w:i/>
          <w:iCs/>
          <w:color w:val="000000" w:themeColor="text1"/>
          <w:kern w:val="1"/>
          <w:sz w:val="20"/>
          <w:szCs w:val="20"/>
          <w:lang w:val="en-US"/>
        </w:rPr>
        <w:t>Vetus</w:t>
      </w:r>
      <w:proofErr w:type="spellEnd"/>
      <w:r w:rsidR="004D46B9" w:rsidRPr="009D7635">
        <w:rPr>
          <w:rFonts w:ascii="Times New Roman" w:hAnsi="Times New Roman" w:cs="Times New Roman"/>
          <w:color w:val="000000" w:themeColor="text1"/>
          <w:kern w:val="1"/>
          <w:sz w:val="20"/>
          <w:szCs w:val="20"/>
          <w:lang w:val="en-US"/>
        </w:rPr>
        <w:t xml:space="preserve"> (1235-40), </w:t>
      </w:r>
      <w:proofErr w:type="spellStart"/>
      <w:r w:rsidR="004D46B9" w:rsidRPr="009D7635">
        <w:rPr>
          <w:rFonts w:ascii="Times New Roman" w:hAnsi="Times New Roman" w:cs="Times New Roman"/>
          <w:i/>
          <w:iCs/>
          <w:color w:val="000000" w:themeColor="text1"/>
          <w:kern w:val="1"/>
          <w:sz w:val="20"/>
          <w:szCs w:val="20"/>
          <w:lang w:val="en-US"/>
        </w:rPr>
        <w:t>Medioevo</w:t>
      </w:r>
      <w:proofErr w:type="spellEnd"/>
      <w:r w:rsidR="004D46B9" w:rsidRPr="009D7635">
        <w:rPr>
          <w:rFonts w:ascii="Times New Roman" w:hAnsi="Times New Roman" w:cs="Times New Roman"/>
          <w:i/>
          <w:iCs/>
          <w:color w:val="000000" w:themeColor="text1"/>
          <w:kern w:val="1"/>
          <w:sz w:val="20"/>
          <w:szCs w:val="20"/>
          <w:lang w:val="en-US"/>
        </w:rPr>
        <w:t xml:space="preserve"> </w:t>
      </w:r>
      <w:r w:rsidR="004D46B9" w:rsidRPr="009D7635">
        <w:rPr>
          <w:rFonts w:ascii="Times New Roman" w:hAnsi="Times New Roman" w:cs="Times New Roman"/>
          <w:color w:val="000000" w:themeColor="text1"/>
          <w:kern w:val="1"/>
          <w:sz w:val="20"/>
          <w:szCs w:val="20"/>
          <w:lang w:val="en-US"/>
        </w:rPr>
        <w:t>40 (2015)</w:t>
      </w:r>
      <w:r w:rsidR="007E2DDD" w:rsidRPr="009D7635">
        <w:rPr>
          <w:rFonts w:ascii="Times New Roman" w:hAnsi="Times New Roman" w:cs="Times New Roman"/>
          <w:color w:val="000000" w:themeColor="text1"/>
          <w:kern w:val="1"/>
          <w:sz w:val="20"/>
          <w:szCs w:val="20"/>
          <w:lang w:val="en-US"/>
        </w:rPr>
        <w:t xml:space="preserve">: </w:t>
      </w:r>
      <w:r w:rsidR="004D46B9" w:rsidRPr="009D7635">
        <w:rPr>
          <w:rFonts w:ascii="Times New Roman" w:hAnsi="Times New Roman" w:cs="Times New Roman"/>
          <w:color w:val="000000" w:themeColor="text1"/>
          <w:kern w:val="1"/>
          <w:sz w:val="20"/>
          <w:szCs w:val="20"/>
          <w:lang w:val="en-US"/>
        </w:rPr>
        <w:t>74.</w:t>
      </w:r>
    </w:p>
  </w:footnote>
  <w:footnote w:id="1045">
    <w:p w14:paraId="3A169B5A" w14:textId="4146ACE2" w:rsidR="00B93ED5" w:rsidRPr="009D7635" w:rsidRDefault="00B93ED5" w:rsidP="000D3D92">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120: </w:t>
      </w:r>
      <w:proofErr w:type="spellStart"/>
      <w:r w:rsidRPr="009D7635">
        <w:rPr>
          <w:rFonts w:ascii="Times New Roman" w:hAnsi="Times New Roman" w:cs="Times New Roman"/>
          <w:i/>
          <w:color w:val="000000" w:themeColor="text1"/>
          <w:sz w:val="20"/>
          <w:szCs w:val="20"/>
          <w:lang w:val="en-US"/>
        </w:rPr>
        <w:t>Sufficientia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predicte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diuisionis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patet</w:t>
      </w:r>
      <w:proofErr w:type="spellEnd"/>
      <w:r w:rsidRPr="009D7635">
        <w:rPr>
          <w:rFonts w:ascii="Times New Roman" w:hAnsi="Times New Roman" w:cs="Times New Roman"/>
          <w:i/>
          <w:color w:val="000000" w:themeColor="text1"/>
          <w:sz w:val="20"/>
          <w:szCs w:val="20"/>
          <w:lang w:val="en-US"/>
        </w:rPr>
        <w:t xml:space="preserve"> sic: vis </w:t>
      </w:r>
      <w:proofErr w:type="spellStart"/>
      <w:r w:rsidRPr="009D7635">
        <w:rPr>
          <w:rFonts w:ascii="Times New Roman" w:hAnsi="Times New Roman" w:cs="Times New Roman"/>
          <w:i/>
          <w:color w:val="000000" w:themeColor="text1"/>
          <w:sz w:val="20"/>
          <w:szCs w:val="20"/>
          <w:lang w:val="en-US"/>
        </w:rPr>
        <w:t>motiua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determinata</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thelesis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voluntas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indeterminata</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hec</w:t>
      </w:r>
      <w:proofErr w:type="spellEnd"/>
      <w:r w:rsidRPr="009D7635">
        <w:rPr>
          <w:rFonts w:ascii="Times New Roman" w:hAnsi="Times New Roman" w:cs="Times New Roman"/>
          <w:i/>
          <w:color w:val="000000" w:themeColor="text1"/>
          <w:sz w:val="20"/>
          <w:szCs w:val="20"/>
          <w:lang w:val="en-US"/>
        </w:rPr>
        <w:t xml:space="preserve"> triplex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 </w:t>
      </w:r>
      <w:proofErr w:type="spellStart"/>
      <w:r w:rsidRPr="009D7635">
        <w:rPr>
          <w:rFonts w:ascii="Times New Roman" w:hAnsi="Times New Roman" w:cs="Times New Roman"/>
          <w:i/>
          <w:color w:val="000000" w:themeColor="text1"/>
          <w:sz w:val="20"/>
          <w:szCs w:val="20"/>
          <w:lang w:val="en-US"/>
        </w:rPr>
        <w:t>aut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discernit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ratio ; </w:t>
      </w:r>
      <w:proofErr w:type="spellStart"/>
      <w:r w:rsidRPr="009D7635">
        <w:rPr>
          <w:rFonts w:ascii="Times New Roman" w:hAnsi="Times New Roman" w:cs="Times New Roman"/>
          <w:i/>
          <w:color w:val="000000" w:themeColor="text1"/>
          <w:sz w:val="20"/>
          <w:szCs w:val="20"/>
          <w:lang w:val="en-US"/>
        </w:rPr>
        <w:t>aut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cognitum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appetit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voluntas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deliberatiua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bulisis</w:t>
      </w:r>
      <w:proofErr w:type="spellEnd"/>
      <w:r w:rsidRPr="009D7635">
        <w:rPr>
          <w:rFonts w:ascii="Times New Roman" w:hAnsi="Times New Roman" w:cs="Times New Roman"/>
          <w:i/>
          <w:color w:val="000000" w:themeColor="text1"/>
          <w:sz w:val="20"/>
          <w:szCs w:val="20"/>
          <w:lang w:val="en-US"/>
        </w:rPr>
        <w:t xml:space="preserve"> ; </w:t>
      </w:r>
      <w:proofErr w:type="spellStart"/>
      <w:r w:rsidRPr="009D7635">
        <w:rPr>
          <w:rFonts w:ascii="Times New Roman" w:hAnsi="Times New Roman" w:cs="Times New Roman"/>
          <w:i/>
          <w:color w:val="000000" w:themeColor="text1"/>
          <w:sz w:val="20"/>
          <w:szCs w:val="20"/>
          <w:lang w:val="en-US"/>
        </w:rPr>
        <w:t>aut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cognitum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appetitum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eligit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liberum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arbitrium</w:t>
      </w:r>
      <w:proofErr w:type="spellEnd"/>
      <w:r w:rsidRPr="009D7635">
        <w:rPr>
          <w:rFonts w:ascii="Times New Roman" w:hAnsi="Times New Roman" w:cs="Times New Roman"/>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citing</w:t>
      </w:r>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rPr>
        <w:t>DFO 24.</w:t>
      </w:r>
    </w:p>
  </w:footnote>
  <w:footnote w:id="1046">
    <w:p w14:paraId="10529B59" w14:textId="0BAA5084"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w:t>
      </w:r>
      <w:r w:rsidRPr="009D7635">
        <w:rPr>
          <w:rFonts w:ascii="Times New Roman" w:hAnsi="Times New Roman" w:cs="Times New Roman"/>
          <w:iCs/>
          <w:color w:val="000000" w:themeColor="text1"/>
          <w:lang w:val="en-US"/>
        </w:rPr>
        <w:t xml:space="preserve"> </w:t>
      </w:r>
      <w:r w:rsidRPr="009D7635">
        <w:rPr>
          <w:rFonts w:ascii="Times New Roman" w:hAnsi="Times New Roman" w:cs="Times New Roman"/>
          <w:color w:val="000000" w:themeColor="text1"/>
          <w:lang w:val="en-US"/>
        </w:rPr>
        <w:t xml:space="preserve">121: </w:t>
      </w:r>
      <w:proofErr w:type="spellStart"/>
      <w:r w:rsidRPr="009D7635">
        <w:rPr>
          <w:rFonts w:ascii="Times New Roman" w:hAnsi="Times New Roman" w:cs="Times New Roman"/>
          <w:i/>
          <w:color w:val="000000" w:themeColor="text1"/>
          <w:lang w:val="en-US"/>
        </w:rPr>
        <w:t>libero</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arbitrio</w:t>
      </w:r>
      <w:proofErr w:type="spellEnd"/>
      <w:r w:rsidRPr="009D7635">
        <w:rPr>
          <w:rFonts w:ascii="Times New Roman" w:hAnsi="Times New Roman" w:cs="Times New Roman"/>
          <w:i/>
          <w:color w:val="000000" w:themeColor="text1"/>
          <w:lang w:val="en-US"/>
        </w:rPr>
        <w:t>.</w:t>
      </w:r>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119: </w:t>
      </w:r>
      <w:proofErr w:type="spellStart"/>
      <w:r w:rsidRPr="009D7635">
        <w:rPr>
          <w:rFonts w:ascii="Times New Roman" w:hAnsi="Times New Roman" w:cs="Times New Roman"/>
          <w:i/>
          <w:color w:val="000000" w:themeColor="text1"/>
          <w:lang w:val="en-US"/>
        </w:rPr>
        <w:t>Voluntatem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autem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diuidit</w:t>
      </w:r>
      <w:proofErr w:type="spellEnd"/>
      <w:r w:rsidRPr="009D7635">
        <w:rPr>
          <w:rFonts w:ascii="Times New Roman" w:hAnsi="Times New Roman" w:cs="Times New Roman"/>
          <w:i/>
          <w:color w:val="000000" w:themeColor="text1"/>
          <w:lang w:val="en-US"/>
        </w:rPr>
        <w:t xml:space="preserve"> in </w:t>
      </w:r>
      <w:proofErr w:type="spellStart"/>
      <w:r w:rsidRPr="009D7635">
        <w:rPr>
          <w:rFonts w:ascii="Times New Roman" w:hAnsi="Times New Roman" w:cs="Times New Roman"/>
          <w:i/>
          <w:color w:val="000000" w:themeColor="text1"/>
          <w:lang w:val="en-US"/>
        </w:rPr>
        <w:t>thelisim</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bulisim</w:t>
      </w:r>
      <w:proofErr w:type="spellEnd"/>
      <w:r w:rsidRPr="009D7635">
        <w:rPr>
          <w:rFonts w:ascii="Times New Roman" w:hAnsi="Times New Roman" w:cs="Times New Roman"/>
          <w:i/>
          <w:color w:val="000000" w:themeColor="text1"/>
          <w:lang w:val="en-US"/>
        </w:rPr>
        <w:t xml:space="preserve">, id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in </w:t>
      </w:r>
      <w:proofErr w:type="spellStart"/>
      <w:r w:rsidRPr="009D7635">
        <w:rPr>
          <w:rFonts w:ascii="Times New Roman" w:hAnsi="Times New Roman" w:cs="Times New Roman"/>
          <w:i/>
          <w:color w:val="000000" w:themeColor="text1"/>
          <w:lang w:val="en-US"/>
        </w:rPr>
        <w:t>voluntatem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naturalem</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rationalem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thelisis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siue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voluntas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naturalis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respectu</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bonorum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naturalium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que</w:t>
      </w:r>
      <w:proofErr w:type="spellEnd"/>
      <w:r w:rsidRPr="009D7635">
        <w:rPr>
          <w:rFonts w:ascii="Times New Roman" w:hAnsi="Times New Roman" w:cs="Times New Roman"/>
          <w:i/>
          <w:color w:val="000000" w:themeColor="text1"/>
          <w:lang w:val="en-US"/>
        </w:rPr>
        <w:t xml:space="preserve"> non </w:t>
      </w:r>
      <w:proofErr w:type="spellStart"/>
      <w:r w:rsidRPr="009D7635">
        <w:rPr>
          <w:rFonts w:ascii="Times New Roman" w:hAnsi="Times New Roman" w:cs="Times New Roman"/>
          <w:i/>
          <w:color w:val="000000" w:themeColor="text1"/>
          <w:lang w:val="en-US"/>
        </w:rPr>
        <w:t>possumus</w:t>
      </w:r>
      <w:proofErr w:type="spellEnd"/>
      <w:r w:rsidRPr="009D7635">
        <w:rPr>
          <w:rFonts w:ascii="Times New Roman" w:hAnsi="Times New Roman" w:cs="Times New Roman"/>
          <w:i/>
          <w:color w:val="000000" w:themeColor="text1"/>
          <w:lang w:val="en-US"/>
        </w:rPr>
        <w:t xml:space="preserve"> non </w:t>
      </w:r>
      <w:proofErr w:type="spellStart"/>
      <w:r w:rsidRPr="009D7635">
        <w:rPr>
          <w:rFonts w:ascii="Times New Roman" w:hAnsi="Times New Roman" w:cs="Times New Roman"/>
          <w:i/>
          <w:color w:val="000000" w:themeColor="text1"/>
          <w:lang w:val="en-US"/>
        </w:rPr>
        <w:t>appetere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sicut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sunt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esse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viuere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intelligere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voluntas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rationalis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respectu</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bonorum</w:t>
      </w:r>
      <w:proofErr w:type="spellEnd"/>
      <w:r w:rsidRPr="009D7635">
        <w:rPr>
          <w:rFonts w:ascii="Times New Roman" w:hAnsi="Times New Roman" w:cs="Times New Roman"/>
          <w:i/>
          <w:color w:val="000000" w:themeColor="text1"/>
          <w:lang w:val="en-US"/>
        </w:rPr>
        <w:t xml:space="preserve"> non </w:t>
      </w:r>
      <w:proofErr w:type="spellStart"/>
      <w:r w:rsidRPr="009D7635">
        <w:rPr>
          <w:rFonts w:ascii="Times New Roman" w:hAnsi="Times New Roman" w:cs="Times New Roman"/>
          <w:i/>
          <w:color w:val="000000" w:themeColor="text1"/>
          <w:lang w:val="en-US"/>
        </w:rPr>
        <w:t>naturalium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que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possumus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velle</w:t>
      </w:r>
      <w:proofErr w:type="spellEnd"/>
      <w:r w:rsidRPr="009D7635">
        <w:rPr>
          <w:rFonts w:ascii="Times New Roman" w:hAnsi="Times New Roman" w:cs="Times New Roman"/>
          <w:i/>
          <w:color w:val="000000" w:themeColor="text1"/>
          <w:lang w:val="en-US"/>
        </w:rPr>
        <w:t xml:space="preserve"> et non </w:t>
      </w:r>
      <w:proofErr w:type="spellStart"/>
      <w:r w:rsidRPr="009D7635">
        <w:rPr>
          <w:rFonts w:ascii="Times New Roman" w:hAnsi="Times New Roman" w:cs="Times New Roman"/>
          <w:i/>
          <w:color w:val="000000" w:themeColor="text1"/>
          <w:lang w:val="en-US"/>
        </w:rPr>
        <w:t>velle</w:t>
      </w:r>
      <w:proofErr w:type="spellEnd"/>
      <w:r w:rsidRPr="009D7635">
        <w:rPr>
          <w:rFonts w:ascii="Times New Roman" w:hAnsi="Times New Roman" w:cs="Times New Roman"/>
          <w:i/>
          <w:color w:val="000000" w:themeColor="text1"/>
          <w:lang w:val="en-US"/>
        </w:rPr>
        <w:t xml:space="preserve">. </w:t>
      </w:r>
      <w:r w:rsidRPr="009D7635">
        <w:rPr>
          <w:rFonts w:ascii="Times New Roman" w:hAnsi="Times New Roman" w:cs="Times New Roman"/>
          <w:color w:val="000000" w:themeColor="text1"/>
        </w:rPr>
        <w:t>The rational will concerns things that are possible or not possible (DFO 36, 10) as well as ends and those things that pertain to ends (DFO 36, 11).</w:t>
      </w:r>
    </w:p>
  </w:footnote>
  <w:footnote w:id="1047">
    <w:p w14:paraId="4C1E5C07" w14:textId="4A9F3133"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118, citing DFO 26.45. </w:t>
      </w:r>
    </w:p>
  </w:footnote>
  <w:footnote w:id="1048">
    <w:p w14:paraId="43BD694F" w14:textId="02759EDA" w:rsidR="00B93ED5" w:rsidRPr="009D7635" w:rsidRDefault="00B93ED5" w:rsidP="000D3D92">
      <w:pPr>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 111-13. </w:t>
      </w:r>
    </w:p>
  </w:footnote>
  <w:footnote w:id="1049">
    <w:p w14:paraId="547DE3B3" w14:textId="755BBA67"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112.</w:t>
      </w:r>
    </w:p>
  </w:footnote>
  <w:footnote w:id="1050">
    <w:p w14:paraId="7C95285C" w14:textId="3DA31486"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7E2DDD" w:rsidRPr="009D7635">
        <w:rPr>
          <w:rFonts w:ascii="Times New Roman" w:hAnsi="Times New Roman" w:cs="Times New Roman"/>
          <w:iCs/>
          <w:color w:val="000000" w:themeColor="text1"/>
        </w:rPr>
        <w:t>Ibid.</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citing Aristotle, </w:t>
      </w:r>
      <w:proofErr w:type="spellStart"/>
      <w:r w:rsidRPr="009D7635">
        <w:rPr>
          <w:rFonts w:ascii="Times New Roman" w:hAnsi="Times New Roman" w:cs="Times New Roman"/>
          <w:i/>
          <w:iCs/>
          <w:color w:val="000000" w:themeColor="text1"/>
        </w:rPr>
        <w:t>Nicomachean</w:t>
      </w:r>
      <w:proofErr w:type="spellEnd"/>
      <w:r w:rsidRPr="009D7635">
        <w:rPr>
          <w:rFonts w:ascii="Times New Roman" w:hAnsi="Times New Roman" w:cs="Times New Roman"/>
          <w:i/>
          <w:iCs/>
          <w:color w:val="000000" w:themeColor="text1"/>
        </w:rPr>
        <w:t xml:space="preserve"> Ethics</w:t>
      </w:r>
      <w:r w:rsidRPr="009D7635">
        <w:rPr>
          <w:rFonts w:ascii="Times New Roman" w:hAnsi="Times New Roman" w:cs="Times New Roman"/>
          <w:color w:val="000000" w:themeColor="text1"/>
        </w:rPr>
        <w:t xml:space="preserve"> I.3.</w:t>
      </w:r>
    </w:p>
  </w:footnote>
  <w:footnote w:id="1051">
    <w:p w14:paraId="013A4591" w14:textId="5D0BF71B"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112, quoting Avicenna’s,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I.5: </w:t>
      </w:r>
      <w:proofErr w:type="spellStart"/>
      <w:r w:rsidRPr="009D7635">
        <w:rPr>
          <w:rFonts w:ascii="Times New Roman" w:hAnsi="Times New Roman" w:cs="Times New Roman"/>
          <w:i/>
          <w:color w:val="000000" w:themeColor="text1"/>
          <w:lang w:val="en-US"/>
        </w:rPr>
        <w:t>Motiua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etiam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secundum</w:t>
      </w:r>
      <w:proofErr w:type="spellEnd"/>
      <w:r w:rsidRPr="009D7635">
        <w:rPr>
          <w:rFonts w:ascii="Times New Roman" w:hAnsi="Times New Roman" w:cs="Times New Roman"/>
          <w:i/>
          <w:color w:val="000000" w:themeColor="text1"/>
          <w:lang w:val="en-US"/>
        </w:rPr>
        <w:t xml:space="preserve"> quod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efficiens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motum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vis </w:t>
      </w:r>
      <w:proofErr w:type="spellStart"/>
      <w:r w:rsidRPr="009D7635">
        <w:rPr>
          <w:rFonts w:ascii="Times New Roman" w:hAnsi="Times New Roman" w:cs="Times New Roman"/>
          <w:i/>
          <w:color w:val="000000" w:themeColor="text1"/>
          <w:lang w:val="en-US"/>
        </w:rPr>
        <w:t>infusa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neruis</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musculis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contrahens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cordas</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ligamenta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coniuncta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membris</w:t>
      </w:r>
      <w:proofErr w:type="spellEnd"/>
      <w:r w:rsidRPr="009D7635">
        <w:rPr>
          <w:rFonts w:ascii="Times New Roman" w:hAnsi="Times New Roman" w:cs="Times New Roman"/>
          <w:i/>
          <w:color w:val="000000" w:themeColor="text1"/>
          <w:lang w:val="en-US"/>
        </w:rPr>
        <w:t xml:space="preserve"> versus </w:t>
      </w:r>
      <w:proofErr w:type="spellStart"/>
      <w:r w:rsidRPr="009D7635">
        <w:rPr>
          <w:rFonts w:ascii="Times New Roman" w:hAnsi="Times New Roman" w:cs="Times New Roman"/>
          <w:i/>
          <w:color w:val="000000" w:themeColor="text1"/>
          <w:lang w:val="en-US"/>
        </w:rPr>
        <w:t>principium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aut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relaxans</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extendens</w:t>
      </w:r>
      <w:proofErr w:type="spellEnd"/>
      <w:r w:rsidRPr="009D7635">
        <w:rPr>
          <w:rFonts w:ascii="Times New Roman" w:hAnsi="Times New Roman" w:cs="Times New Roman"/>
          <w:i/>
          <w:color w:val="000000" w:themeColor="text1"/>
          <w:lang w:val="en-US"/>
        </w:rPr>
        <w:t xml:space="preserve"> in </w:t>
      </w:r>
      <w:proofErr w:type="spellStart"/>
      <w:r w:rsidRPr="009D7635">
        <w:rPr>
          <w:rFonts w:ascii="Times New Roman" w:hAnsi="Times New Roman" w:cs="Times New Roman"/>
          <w:i/>
          <w:color w:val="000000" w:themeColor="text1"/>
          <w:lang w:val="en-US"/>
        </w:rPr>
        <w:t>longum</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conuertens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cordas</w:t>
      </w:r>
      <w:proofErr w:type="spellEnd"/>
      <w:r w:rsidRPr="009D7635">
        <w:rPr>
          <w:rFonts w:ascii="Times New Roman" w:hAnsi="Times New Roman" w:cs="Times New Roman"/>
          <w:i/>
          <w:color w:val="000000" w:themeColor="text1"/>
          <w:lang w:val="en-US"/>
        </w:rPr>
        <w:t xml:space="preserve"> et </w:t>
      </w:r>
      <w:proofErr w:type="spellStart"/>
      <w:r w:rsidRPr="009D7635">
        <w:rPr>
          <w:rFonts w:ascii="Times New Roman" w:hAnsi="Times New Roman" w:cs="Times New Roman"/>
          <w:i/>
          <w:color w:val="000000" w:themeColor="text1"/>
          <w:lang w:val="en-US"/>
        </w:rPr>
        <w:t>ligamenta</w:t>
      </w:r>
      <w:proofErr w:type="spellEnd"/>
      <w:r w:rsidRPr="009D7635">
        <w:rPr>
          <w:rFonts w:ascii="Times New Roman" w:hAnsi="Times New Roman" w:cs="Times New Roman"/>
          <w:i/>
          <w:color w:val="000000" w:themeColor="text1"/>
          <w:lang w:val="en-US"/>
        </w:rPr>
        <w:t xml:space="preserve"> e </w:t>
      </w:r>
      <w:proofErr w:type="spellStart"/>
      <w:r w:rsidRPr="009D7635">
        <w:rPr>
          <w:rFonts w:ascii="Times New Roman" w:hAnsi="Times New Roman" w:cs="Times New Roman"/>
          <w:i/>
          <w:color w:val="000000" w:themeColor="text1"/>
          <w:lang w:val="en-US"/>
        </w:rPr>
        <w:t>contrario</w:t>
      </w:r>
      <w:proofErr w:type="spellEnd"/>
      <w:r w:rsidRPr="009D7635">
        <w:rPr>
          <w:rFonts w:ascii="Times New Roman" w:hAnsi="Times New Roman" w:cs="Times New Roman"/>
          <w:i/>
          <w:color w:val="000000" w:themeColor="text1"/>
          <w:lang w:val="en-US"/>
        </w:rPr>
        <w:t xml:space="preserve"> contra </w:t>
      </w:r>
      <w:proofErr w:type="spellStart"/>
      <w:r w:rsidRPr="009D7635">
        <w:rPr>
          <w:rFonts w:ascii="Times New Roman" w:hAnsi="Times New Roman" w:cs="Times New Roman"/>
          <w:i/>
          <w:color w:val="000000" w:themeColor="text1"/>
          <w:lang w:val="en-US"/>
        </w:rPr>
        <w:t>principium</w:t>
      </w:r>
      <w:proofErr w:type="spellEnd"/>
      <w:r w:rsidRPr="009D7635">
        <w:rPr>
          <w:rFonts w:ascii="Times New Roman" w:hAnsi="Times New Roman" w:cs="Times New Roman"/>
          <w:i/>
          <w:color w:val="000000" w:themeColor="text1"/>
          <w:lang w:val="en-US"/>
        </w:rPr>
        <w:t>.</w:t>
      </w:r>
    </w:p>
  </w:footnote>
  <w:footnote w:id="1052">
    <w:p w14:paraId="338B6DC5" w14:textId="3BFDFF7A"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Tractatus</w:t>
      </w:r>
      <w:proofErr w:type="spellEnd"/>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118-19, citing DFO 26.15.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207. </w:t>
      </w:r>
    </w:p>
  </w:footnote>
  <w:footnote w:id="1053">
    <w:p w14:paraId="06FEEAD9" w14:textId="69C1F07B"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Aristotle, </w:t>
      </w:r>
      <w:proofErr w:type="spellStart"/>
      <w:r w:rsidRPr="009D7635">
        <w:rPr>
          <w:rFonts w:ascii="Times New Roman" w:hAnsi="Times New Roman" w:cs="Times New Roman"/>
          <w:i/>
          <w:iCs/>
          <w:color w:val="000000" w:themeColor="text1"/>
        </w:rPr>
        <w:t>Nicomachean</w:t>
      </w:r>
      <w:proofErr w:type="spellEnd"/>
      <w:r w:rsidRPr="009D7635">
        <w:rPr>
          <w:rFonts w:ascii="Times New Roman" w:hAnsi="Times New Roman" w:cs="Times New Roman"/>
          <w:i/>
          <w:iCs/>
          <w:color w:val="000000" w:themeColor="text1"/>
        </w:rPr>
        <w:t xml:space="preserve"> Ethics,</w:t>
      </w:r>
      <w:r w:rsidRPr="009D7635">
        <w:rPr>
          <w:rFonts w:ascii="Times New Roman" w:hAnsi="Times New Roman" w:cs="Times New Roman"/>
          <w:color w:val="000000" w:themeColor="text1"/>
        </w:rPr>
        <w:t xml:space="preserve"> I.13.1102a27-b14, in </w:t>
      </w:r>
      <w:r w:rsidRPr="009D7635">
        <w:rPr>
          <w:rFonts w:ascii="Times New Roman" w:hAnsi="Times New Roman" w:cs="Times New Roman"/>
          <w:i/>
          <w:color w:val="000000" w:themeColor="text1"/>
        </w:rPr>
        <w:t xml:space="preserve">Aristoteles </w:t>
      </w:r>
      <w:proofErr w:type="spellStart"/>
      <w:r w:rsidRPr="009D7635">
        <w:rPr>
          <w:rFonts w:ascii="Times New Roman" w:hAnsi="Times New Roman" w:cs="Times New Roman"/>
          <w:i/>
          <w:color w:val="000000" w:themeColor="text1"/>
        </w:rPr>
        <w:t>Latinus</w:t>
      </w:r>
      <w:proofErr w:type="spellEnd"/>
      <w:r w:rsidRPr="009D7635">
        <w:rPr>
          <w:rFonts w:ascii="Times New Roman" w:hAnsi="Times New Roman" w:cs="Times New Roman"/>
          <w:color w:val="000000" w:themeColor="text1"/>
        </w:rPr>
        <w:t xml:space="preserve"> 26, 1-3, </w:t>
      </w:r>
      <w:proofErr w:type="spellStart"/>
      <w:r w:rsidRPr="009D7635">
        <w:rPr>
          <w:rFonts w:ascii="Times New Roman" w:hAnsi="Times New Roman" w:cs="Times New Roman"/>
          <w:color w:val="000000" w:themeColor="text1"/>
        </w:rPr>
        <w:t>fasc</w:t>
      </w:r>
      <w:proofErr w:type="spellEnd"/>
      <w:r w:rsidRPr="009D7635">
        <w:rPr>
          <w:rFonts w:ascii="Times New Roman" w:hAnsi="Times New Roman" w:cs="Times New Roman"/>
          <w:color w:val="000000" w:themeColor="text1"/>
        </w:rPr>
        <w:t>. 2, 92-3, ll. 8-14; I.13.1102a26-b4, 1102b13-15</w:t>
      </w:r>
      <w:r w:rsidR="00B75A14" w:rsidRPr="009D7635">
        <w:rPr>
          <w:rFonts w:ascii="Times New Roman" w:hAnsi="Times New Roman" w:cs="Times New Roman"/>
          <w:color w:val="000000" w:themeColor="text1"/>
        </w:rPr>
        <w:t>; r</w:t>
      </w:r>
      <w:r w:rsidRPr="009D7635">
        <w:rPr>
          <w:rFonts w:ascii="Times New Roman" w:hAnsi="Times New Roman" w:cs="Times New Roman"/>
          <w:color w:val="000000" w:themeColor="text1"/>
        </w:rPr>
        <w:t xml:space="preserve">eferences </w:t>
      </w:r>
      <w:r w:rsidR="005358C4" w:rsidRPr="009D7635">
        <w:rPr>
          <w:rFonts w:ascii="Times New Roman" w:hAnsi="Times New Roman" w:cs="Times New Roman"/>
          <w:color w:val="000000" w:themeColor="text1"/>
        </w:rPr>
        <w:t xml:space="preserve">are drawn </w:t>
      </w:r>
      <w:r w:rsidR="00C34BB3" w:rsidRPr="009D7635">
        <w:rPr>
          <w:rFonts w:ascii="Times New Roman" w:hAnsi="Times New Roman" w:cs="Times New Roman"/>
          <w:color w:val="000000" w:themeColor="text1"/>
        </w:rPr>
        <w:t>f</w:t>
      </w:r>
      <w:r w:rsidRPr="009D7635">
        <w:rPr>
          <w:rFonts w:ascii="Times New Roman" w:hAnsi="Times New Roman" w:cs="Times New Roman"/>
          <w:color w:val="000000" w:themeColor="text1"/>
        </w:rPr>
        <w:t xml:space="preserve">rom Riccardo Saccenti, </w:t>
      </w:r>
      <w:proofErr w:type="spellStart"/>
      <w:r w:rsidRPr="009D7635">
        <w:rPr>
          <w:rFonts w:ascii="Times New Roman" w:hAnsi="Times New Roman" w:cs="Times New Roman"/>
          <w:i/>
          <w:color w:val="000000" w:themeColor="text1"/>
        </w:rPr>
        <w:t>Conservare</w:t>
      </w:r>
      <w:proofErr w:type="spellEnd"/>
      <w:r w:rsidRPr="009D7635">
        <w:rPr>
          <w:rFonts w:ascii="Times New Roman" w:hAnsi="Times New Roman" w:cs="Times New Roman"/>
          <w:i/>
          <w:color w:val="000000" w:themeColor="text1"/>
        </w:rPr>
        <w:t xml:space="preserve"> la </w:t>
      </w:r>
      <w:proofErr w:type="spellStart"/>
      <w:r w:rsidRPr="009D7635">
        <w:rPr>
          <w:rFonts w:ascii="Times New Roman" w:hAnsi="Times New Roman" w:cs="Times New Roman"/>
          <w:i/>
          <w:color w:val="000000" w:themeColor="text1"/>
        </w:rPr>
        <w:t>retta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volontà</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103. </w:t>
      </w:r>
    </w:p>
  </w:footnote>
  <w:footnote w:id="1054">
    <w:p w14:paraId="7C84425C" w14:textId="77777777"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Simo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Knuuttila</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Emotions in Ancient and Medieval Philosophy,</w:t>
      </w:r>
      <w:r w:rsidRPr="009D7635">
        <w:rPr>
          <w:rFonts w:ascii="Times New Roman" w:hAnsi="Times New Roman" w:cs="Times New Roman"/>
          <w:color w:val="000000" w:themeColor="text1"/>
        </w:rPr>
        <w:t xml:space="preserve"> 220, quoting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 xml:space="preserve">I.5 and IV.4. </w:t>
      </w:r>
      <w:r w:rsidRPr="009D7635">
        <w:rPr>
          <w:rFonts w:ascii="Times New Roman" w:hAnsi="Times New Roman" w:cs="Times New Roman"/>
          <w:color w:val="000000" w:themeColor="text1"/>
          <w:lang w:val="en-US"/>
        </w:rPr>
        <w:t xml:space="preserve">As </w:t>
      </w:r>
      <w:proofErr w:type="spellStart"/>
      <w:r w:rsidRPr="009D7635">
        <w:rPr>
          <w:rFonts w:ascii="Times New Roman" w:hAnsi="Times New Roman" w:cs="Times New Roman"/>
          <w:color w:val="000000" w:themeColor="text1"/>
          <w:lang w:val="en-US"/>
        </w:rPr>
        <w:t>Knuuttila</w:t>
      </w:r>
      <w:proofErr w:type="spellEnd"/>
      <w:r w:rsidRPr="009D7635">
        <w:rPr>
          <w:rFonts w:ascii="Times New Roman" w:hAnsi="Times New Roman" w:cs="Times New Roman"/>
          <w:color w:val="000000" w:themeColor="text1"/>
          <w:lang w:val="en-US"/>
        </w:rPr>
        <w:t xml:space="preserve"> notes, the distinction between commanding (i.e. the irascible and </w:t>
      </w:r>
      <w:proofErr w:type="spellStart"/>
      <w:r w:rsidRPr="009D7635">
        <w:rPr>
          <w:rFonts w:ascii="Times New Roman" w:hAnsi="Times New Roman" w:cs="Times New Roman"/>
          <w:color w:val="000000" w:themeColor="text1"/>
          <w:lang w:val="en-US"/>
        </w:rPr>
        <w:t>concupiscible</w:t>
      </w:r>
      <w:proofErr w:type="spellEnd"/>
      <w:r w:rsidRPr="009D7635">
        <w:rPr>
          <w:rFonts w:ascii="Times New Roman" w:hAnsi="Times New Roman" w:cs="Times New Roman"/>
          <w:color w:val="000000" w:themeColor="text1"/>
          <w:lang w:val="en-US"/>
        </w:rPr>
        <w:t xml:space="preserve">) powers and powers that execute those commands (i.e. the nervous system and muscles of the body) is common to both Avicenna and John of Damascus. See also </w:t>
      </w:r>
      <w:r w:rsidRPr="009D7635">
        <w:rPr>
          <w:rFonts w:ascii="Times New Roman" w:hAnsi="Times New Roman" w:cs="Times New Roman"/>
          <w:color w:val="000000" w:themeColor="text1"/>
        </w:rPr>
        <w:t xml:space="preserve">Riccardo Saccenti, </w:t>
      </w:r>
      <w:proofErr w:type="spellStart"/>
      <w:r w:rsidRPr="009D7635">
        <w:rPr>
          <w:rFonts w:ascii="Times New Roman" w:hAnsi="Times New Roman" w:cs="Times New Roman"/>
          <w:i/>
          <w:color w:val="000000" w:themeColor="text1"/>
        </w:rPr>
        <w:t>Conservare</w:t>
      </w:r>
      <w:proofErr w:type="spellEnd"/>
      <w:r w:rsidRPr="009D7635">
        <w:rPr>
          <w:rFonts w:ascii="Times New Roman" w:hAnsi="Times New Roman" w:cs="Times New Roman"/>
          <w:i/>
          <w:color w:val="000000" w:themeColor="text1"/>
        </w:rPr>
        <w:t xml:space="preserve"> la </w:t>
      </w:r>
      <w:proofErr w:type="spellStart"/>
      <w:r w:rsidRPr="009D7635">
        <w:rPr>
          <w:rFonts w:ascii="Times New Roman" w:hAnsi="Times New Roman" w:cs="Times New Roman"/>
          <w:i/>
          <w:color w:val="000000" w:themeColor="text1"/>
        </w:rPr>
        <w:t>retta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volontà</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108.</w:t>
      </w:r>
    </w:p>
  </w:footnote>
  <w:footnote w:id="1055">
    <w:p w14:paraId="78F2BC77" w14:textId="34B08844" w:rsidR="00B93ED5" w:rsidRPr="009D7635" w:rsidRDefault="00B93ED5" w:rsidP="000D3D92">
      <w:pPr>
        <w:pStyle w:val="FootnoteText"/>
        <w:rPr>
          <w:rFonts w:ascii="Times New Roman" w:hAnsi="Times New Roman" w:cs="Times New Roman"/>
          <w:color w:val="000000" w:themeColor="text1"/>
          <w:lang w:val="en-US"/>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w:t>
      </w:r>
      <w:r w:rsidRPr="009D7635">
        <w:rPr>
          <w:rFonts w:ascii="Times New Roman" w:hAnsi="Times New Roman" w:cs="Times New Roman"/>
          <w:iCs/>
          <w:color w:val="000000" w:themeColor="text1"/>
          <w:kern w:val="1"/>
          <w:lang w:val="en-US"/>
        </w:rPr>
        <w:t xml:space="preserve"> </w:t>
      </w:r>
      <w:r w:rsidRPr="009D7635">
        <w:rPr>
          <w:rFonts w:ascii="Times New Roman" w:hAnsi="Times New Roman" w:cs="Times New Roman"/>
          <w:color w:val="000000" w:themeColor="text1"/>
          <w:kern w:val="1"/>
          <w:lang w:val="en-US"/>
        </w:rPr>
        <w:t xml:space="preserve">215: </w:t>
      </w:r>
      <w:proofErr w:type="spellStart"/>
      <w:r w:rsidRPr="009D7635">
        <w:rPr>
          <w:rFonts w:ascii="Times New Roman" w:hAnsi="Times New Roman" w:cs="Times New Roman"/>
          <w:i/>
          <w:color w:val="000000" w:themeColor="text1"/>
          <w:kern w:val="1"/>
          <w:lang w:val="en-US"/>
        </w:rPr>
        <w:t>libero</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kern w:val="1"/>
          <w:lang w:val="en-US"/>
        </w:rPr>
        <w:t>arbitrio</w:t>
      </w:r>
      <w:proofErr w:type="spellEnd"/>
      <w:r w:rsidRPr="009D7635">
        <w:rPr>
          <w:rFonts w:ascii="Times New Roman" w:hAnsi="Times New Roman" w:cs="Times New Roman"/>
          <w:i/>
          <w:color w:val="000000" w:themeColor="text1"/>
          <w:kern w:val="1"/>
          <w:lang w:val="en-US"/>
        </w:rPr>
        <w:t xml:space="preserve">. </w:t>
      </w:r>
      <w:r w:rsidRPr="009D7635">
        <w:rPr>
          <w:rFonts w:ascii="Times New Roman" w:hAnsi="Times New Roman" w:cs="Times New Roman"/>
          <w:color w:val="000000" w:themeColor="text1"/>
          <w:kern w:val="1"/>
          <w:lang w:val="en-US"/>
        </w:rPr>
        <w:t xml:space="preserve">See also 217: </w:t>
      </w:r>
      <w:r w:rsidRPr="009D7635">
        <w:rPr>
          <w:rFonts w:ascii="Times New Roman" w:hAnsi="Times New Roman" w:cs="Times New Roman"/>
          <w:i/>
          <w:color w:val="000000" w:themeColor="text1"/>
          <w:lang w:val="en-US"/>
        </w:rPr>
        <w:t xml:space="preserve">in </w:t>
      </w:r>
      <w:proofErr w:type="spellStart"/>
      <w:r w:rsidRPr="009D7635">
        <w:rPr>
          <w:rFonts w:ascii="Times New Roman" w:hAnsi="Times New Roman" w:cs="Times New Roman"/>
          <w:i/>
          <w:color w:val="000000" w:themeColor="text1"/>
          <w:lang w:val="en-US"/>
        </w:rPr>
        <w:t>nobis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sunt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que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nos</w:t>
      </w:r>
      <w:proofErr w:type="spellEnd"/>
      <w:r w:rsidRPr="009D7635">
        <w:rPr>
          <w:rFonts w:ascii="Times New Roman" w:hAnsi="Times New Roman" w:cs="Times New Roman"/>
          <w:i/>
          <w:color w:val="000000" w:themeColor="text1"/>
          <w:kern w:val="1"/>
          <w:lang w:val="en-US"/>
        </w:rPr>
        <w:t xml:space="preserve"> </w:t>
      </w:r>
      <w:proofErr w:type="spellStart"/>
      <w:r w:rsidRPr="009D7635">
        <w:rPr>
          <w:rFonts w:ascii="Times New Roman" w:hAnsi="Times New Roman" w:cs="Times New Roman"/>
          <w:i/>
          <w:color w:val="000000" w:themeColor="text1"/>
          <w:lang w:val="en-US"/>
        </w:rPr>
        <w:t>sumus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libero</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arbitrio</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facere</w:t>
      </w:r>
      <w:proofErr w:type="spellEnd"/>
      <w:r w:rsidRPr="009D7635">
        <w:rPr>
          <w:rFonts w:ascii="Times New Roman" w:hAnsi="Times New Roman" w:cs="Times New Roman"/>
          <w:i/>
          <w:color w:val="000000" w:themeColor="text1"/>
          <w:lang w:val="en-US"/>
        </w:rPr>
        <w:t xml:space="preserve"> et non </w:t>
      </w:r>
      <w:proofErr w:type="spellStart"/>
      <w:r w:rsidRPr="009D7635">
        <w:rPr>
          <w:rFonts w:ascii="Times New Roman" w:hAnsi="Times New Roman" w:cs="Times New Roman"/>
          <w:i/>
          <w:color w:val="000000" w:themeColor="text1"/>
          <w:lang w:val="en-US"/>
        </w:rPr>
        <w:t>facere</w:t>
      </w:r>
      <w:proofErr w:type="spellEnd"/>
      <w:r w:rsidRPr="009D7635">
        <w:rPr>
          <w:rFonts w:ascii="Times New Roman" w:hAnsi="Times New Roman" w:cs="Times New Roman"/>
          <w:i/>
          <w:color w:val="000000" w:themeColor="text1"/>
          <w:lang w:val="en-US"/>
        </w:rPr>
        <w:t xml:space="preserve">; hoc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omnia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que</w:t>
      </w:r>
      <w:proofErr w:type="spellEnd"/>
      <w:r w:rsidRPr="009D7635">
        <w:rPr>
          <w:rFonts w:ascii="Times New Roman" w:hAnsi="Times New Roman" w:cs="Times New Roman"/>
          <w:i/>
          <w:color w:val="000000" w:themeColor="text1"/>
          <w:lang w:val="en-US"/>
        </w:rPr>
        <w:t xml:space="preserve"> per </w:t>
      </w:r>
      <w:proofErr w:type="spellStart"/>
      <w:r w:rsidRPr="009D7635">
        <w:rPr>
          <w:rFonts w:ascii="Times New Roman" w:hAnsi="Times New Roman" w:cs="Times New Roman"/>
          <w:i/>
          <w:color w:val="000000" w:themeColor="text1"/>
          <w:lang w:val="en-US"/>
        </w:rPr>
        <w:t>nos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uoluntarie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aguntur</w:t>
      </w:r>
      <w:proofErr w:type="spellEnd"/>
      <w:r w:rsidRPr="009D7635">
        <w:rPr>
          <w:rFonts w:ascii="Times New Roman" w:hAnsi="Times New Roman" w:cs="Times New Roman"/>
          <w:i/>
          <w:color w:val="000000" w:themeColor="text1"/>
          <w:lang w:val="en-US"/>
        </w:rPr>
        <w:t>.</w:t>
      </w:r>
      <w:r w:rsidRPr="009D7635">
        <w:rPr>
          <w:rFonts w:ascii="Times New Roman" w:hAnsi="Times New Roman" w:cs="Times New Roman"/>
          <w:color w:val="000000" w:themeColor="text1"/>
        </w:rPr>
        <w:t xml:space="preserve"> On this see also </w:t>
      </w:r>
      <w:r w:rsidRPr="009D7635">
        <w:rPr>
          <w:rFonts w:ascii="Times New Roman" w:hAnsi="Times New Roman" w:cs="Times New Roman"/>
          <w:color w:val="000000" w:themeColor="text1"/>
          <w:lang w:val="en-US"/>
        </w:rPr>
        <w:t>Alexander of Hales,</w:t>
      </w:r>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Magistri</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Alexandri</w:t>
      </w:r>
      <w:proofErr w:type="spellEnd"/>
      <w:r w:rsidRPr="009D7635">
        <w:rPr>
          <w:rFonts w:ascii="Times New Roman" w:hAnsi="Times New Roman" w:cs="Times New Roman"/>
          <w:i/>
          <w:color w:val="000000" w:themeColor="text1"/>
          <w:lang w:val="en-US"/>
        </w:rPr>
        <w:t xml:space="preserve"> de Hales Glossa in </w:t>
      </w:r>
      <w:proofErr w:type="spellStart"/>
      <w:r w:rsidRPr="009D7635">
        <w:rPr>
          <w:rFonts w:ascii="Times New Roman" w:hAnsi="Times New Roman" w:cs="Times New Roman"/>
          <w:i/>
          <w:color w:val="000000" w:themeColor="text1"/>
          <w:lang w:val="en-US"/>
        </w:rPr>
        <w:t>quatuor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libros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Sententiarum</w:t>
      </w:r>
      <w:proofErr w:type="spellEnd"/>
      <w:r w:rsidRPr="009D7635">
        <w:rPr>
          <w:rFonts w:ascii="Times New Roman" w:hAnsi="Times New Roman" w:cs="Times New Roman"/>
          <w:i/>
          <w:color w:val="000000" w:themeColor="text1"/>
          <w:lang w:val="en-US"/>
        </w:rPr>
        <w:t xml:space="preserve"> Petri Lombardi</w:t>
      </w:r>
      <w:r w:rsidRPr="009D7635">
        <w:rPr>
          <w:rFonts w:ascii="Times New Roman" w:hAnsi="Times New Roman" w:cs="Times New Roman"/>
          <w:color w:val="000000" w:themeColor="text1"/>
          <w:lang w:val="en-US"/>
        </w:rPr>
        <w:t>, vol. 2 (</w:t>
      </w:r>
      <w:proofErr w:type="spellStart"/>
      <w:r w:rsidRPr="009D7635">
        <w:rPr>
          <w:rFonts w:ascii="Times New Roman" w:hAnsi="Times New Roman" w:cs="Times New Roman"/>
          <w:bCs/>
          <w:color w:val="000000" w:themeColor="text1"/>
        </w:rPr>
        <w:t>Quaracchi</w:t>
      </w:r>
      <w:proofErr w:type="spellEnd"/>
      <w:r w:rsidRPr="009D7635">
        <w:rPr>
          <w:rFonts w:ascii="Times New Roman" w:hAnsi="Times New Roman" w:cs="Times New Roman"/>
          <w:bCs/>
          <w:color w:val="000000" w:themeColor="text1"/>
        </w:rPr>
        <w:t xml:space="preserve">, </w:t>
      </w:r>
      <w:proofErr w:type="spellStart"/>
      <w:r w:rsidRPr="009D7635">
        <w:rPr>
          <w:rFonts w:ascii="Times New Roman" w:hAnsi="Times New Roman" w:cs="Times New Roman"/>
          <w:bCs/>
          <w:color w:val="000000" w:themeColor="text1"/>
        </w:rPr>
        <w:t>Florentiae</w:t>
      </w:r>
      <w:proofErr w:type="spellEnd"/>
      <w:r w:rsidRPr="009D7635">
        <w:rPr>
          <w:rFonts w:ascii="Times New Roman" w:hAnsi="Times New Roman" w:cs="Times New Roman"/>
          <w:bCs/>
          <w:color w:val="000000" w:themeColor="text1"/>
        </w:rPr>
        <w:t xml:space="preserve">: </w:t>
      </w:r>
      <w:proofErr w:type="spellStart"/>
      <w:r w:rsidRPr="009D7635">
        <w:rPr>
          <w:rFonts w:ascii="Times New Roman" w:hAnsi="Times New Roman" w:cs="Times New Roman"/>
          <w:bCs/>
          <w:color w:val="000000" w:themeColor="text1"/>
        </w:rPr>
        <w:t>Collegii</w:t>
      </w:r>
      <w:proofErr w:type="spellEnd"/>
      <w:r w:rsidRPr="009D7635">
        <w:rPr>
          <w:rFonts w:ascii="Times New Roman" w:hAnsi="Times New Roman" w:cs="Times New Roman"/>
          <w:bCs/>
          <w:color w:val="000000" w:themeColor="text1"/>
        </w:rPr>
        <w:t xml:space="preserve"> S. </w:t>
      </w:r>
      <w:proofErr w:type="spellStart"/>
      <w:r w:rsidRPr="009D7635">
        <w:rPr>
          <w:rFonts w:ascii="Times New Roman" w:hAnsi="Times New Roman" w:cs="Times New Roman"/>
          <w:bCs/>
          <w:color w:val="000000" w:themeColor="text1"/>
        </w:rPr>
        <w:t>Bonaventurae</w:t>
      </w:r>
      <w:proofErr w:type="spellEnd"/>
      <w:r w:rsidRPr="009D7635">
        <w:rPr>
          <w:rFonts w:ascii="Times New Roman" w:hAnsi="Times New Roman" w:cs="Times New Roman"/>
          <w:color w:val="000000" w:themeColor="text1"/>
          <w:lang w:val="en-US"/>
        </w:rPr>
        <w:t xml:space="preserve">, 1952), </w:t>
      </w:r>
      <w:r w:rsidRPr="009D7635">
        <w:rPr>
          <w:rFonts w:ascii="Times New Roman" w:hAnsi="Times New Roman" w:cs="Times New Roman"/>
          <w:color w:val="000000" w:themeColor="text1"/>
        </w:rPr>
        <w:t>394-7</w:t>
      </w:r>
      <w:r w:rsidR="0035195F"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 xml:space="preserve">See also </w:t>
      </w:r>
      <w:r w:rsidRPr="009D7635">
        <w:rPr>
          <w:rFonts w:ascii="Times New Roman" w:hAnsi="Times New Roman" w:cs="Times New Roman"/>
          <w:i/>
          <w:color w:val="000000" w:themeColor="text1"/>
        </w:rPr>
        <w:t xml:space="preserve">Saint John Damascene, 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w:t>
      </w:r>
      <w:proofErr w:type="spellStart"/>
      <w:r w:rsidRPr="009D7635">
        <w:rPr>
          <w:rFonts w:ascii="Times New Roman" w:hAnsi="Times New Roman" w:cs="Times New Roman"/>
          <w:color w:val="000000" w:themeColor="text1"/>
        </w:rPr>
        <w:t>Buytaert</w:t>
      </w:r>
      <w:proofErr w:type="spellEnd"/>
      <w:r w:rsidRPr="009D7635">
        <w:rPr>
          <w:rFonts w:ascii="Times New Roman" w:hAnsi="Times New Roman" w:cs="Times New Roman"/>
          <w:color w:val="000000" w:themeColor="text1"/>
        </w:rPr>
        <w:t>, chapter 38, 144-7</w:t>
      </w:r>
      <w:r w:rsidR="00A33AD6" w:rsidRPr="009D7635">
        <w:rPr>
          <w:rFonts w:ascii="Times New Roman" w:hAnsi="Times New Roman" w:cs="Times New Roman"/>
          <w:color w:val="000000" w:themeColor="text1"/>
        </w:rPr>
        <w:t>.</w:t>
      </w:r>
    </w:p>
  </w:footnote>
  <w:footnote w:id="1056">
    <w:p w14:paraId="13351F30" w14:textId="77777777"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Summa de anima</w:t>
      </w:r>
      <w:r w:rsidRPr="009D7635">
        <w:rPr>
          <w:rFonts w:ascii="Times New Roman" w:hAnsi="Times New Roman" w:cs="Times New Roman"/>
          <w:iCs/>
          <w:color w:val="000000" w:themeColor="text1"/>
        </w:rPr>
        <w:t>,</w:t>
      </w:r>
      <w:r w:rsidRPr="009D7635">
        <w:rPr>
          <w:rFonts w:ascii="Times New Roman" w:hAnsi="Times New Roman" w:cs="Times New Roman"/>
          <w:iCs/>
          <w:color w:val="000000" w:themeColor="text1"/>
          <w:kern w:val="1"/>
          <w:lang w:val="en-US"/>
        </w:rPr>
        <w:t xml:space="preserve"> </w:t>
      </w:r>
      <w:r w:rsidRPr="009D7635">
        <w:rPr>
          <w:rFonts w:ascii="Times New Roman" w:hAnsi="Times New Roman" w:cs="Times New Roman"/>
          <w:color w:val="000000" w:themeColor="text1"/>
        </w:rPr>
        <w:t>218-19.</w:t>
      </w:r>
    </w:p>
  </w:footnote>
  <w:footnote w:id="1057">
    <w:p w14:paraId="77FA34F3" w14:textId="15FCD929" w:rsidR="00B93ED5" w:rsidRPr="009D7635" w:rsidRDefault="00B93ED5" w:rsidP="000D3D9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2.1, In4, Tr1, S2, Q2, T2, M1, 439. See also Silvana Vecc</w:t>
      </w:r>
      <w:r w:rsidR="00D80285" w:rsidRPr="009D7635">
        <w:rPr>
          <w:rFonts w:ascii="Times New Roman" w:hAnsi="Times New Roman" w:cs="Times New Roman"/>
          <w:color w:val="000000" w:themeColor="text1"/>
          <w:sz w:val="20"/>
          <w:szCs w:val="20"/>
        </w:rPr>
        <w:t>h</w:t>
      </w:r>
      <w:r w:rsidRPr="009D7635">
        <w:rPr>
          <w:rFonts w:ascii="Times New Roman" w:hAnsi="Times New Roman" w:cs="Times New Roman"/>
          <w:color w:val="000000" w:themeColor="text1"/>
          <w:sz w:val="20"/>
          <w:szCs w:val="20"/>
        </w:rPr>
        <w:t xml:space="preserve">io, ‘Passions and Sins: The </w:t>
      </w:r>
      <w:r w:rsidRPr="009D7635">
        <w:rPr>
          <w:rFonts w:ascii="Times New Roman" w:hAnsi="Times New Roman" w:cs="Times New Roman"/>
          <w:i/>
          <w:color w:val="000000" w:themeColor="text1"/>
          <w:sz w:val="20"/>
          <w:szCs w:val="20"/>
        </w:rPr>
        <w:t xml:space="preserve">Summa </w:t>
      </w:r>
      <w:proofErr w:type="spellStart"/>
      <w:r w:rsidRPr="009D7635">
        <w:rPr>
          <w:rFonts w:ascii="Times New Roman" w:hAnsi="Times New Roman" w:cs="Times New Roman"/>
          <w:i/>
          <w:color w:val="000000" w:themeColor="text1"/>
          <w:sz w:val="20"/>
          <w:szCs w:val="20"/>
        </w:rPr>
        <w:t>Halensis</w:t>
      </w:r>
      <w:proofErr w:type="spellEnd"/>
      <w:r w:rsidRPr="009D7635">
        <w:rPr>
          <w:rFonts w:ascii="Times New Roman" w:hAnsi="Times New Roman" w:cs="Times New Roman"/>
          <w:color w:val="000000" w:themeColor="text1"/>
          <w:sz w:val="20"/>
          <w:szCs w:val="20"/>
        </w:rPr>
        <w:t xml:space="preserve"> and John of La Rochelle,’ 211-25. Silvana Vecchio, ‘Passions de </w:t>
      </w:r>
      <w:proofErr w:type="spellStart"/>
      <w:r w:rsidRPr="009D7635">
        <w:rPr>
          <w:rFonts w:ascii="Times New Roman" w:hAnsi="Times New Roman" w:cs="Times New Roman"/>
          <w:color w:val="000000" w:themeColor="text1"/>
          <w:sz w:val="20"/>
          <w:szCs w:val="20"/>
        </w:rPr>
        <w:t>l’âme</w:t>
      </w:r>
      <w:proofErr w:type="spellEnd"/>
      <w:r w:rsidRPr="009D7635">
        <w:rPr>
          <w:rFonts w:ascii="Times New Roman" w:hAnsi="Times New Roman" w:cs="Times New Roman"/>
          <w:color w:val="000000" w:themeColor="text1"/>
          <w:sz w:val="20"/>
          <w:szCs w:val="20"/>
        </w:rPr>
        <w:t xml:space="preserve"> et </w:t>
      </w:r>
      <w:proofErr w:type="spellStart"/>
      <w:r w:rsidRPr="009D7635">
        <w:rPr>
          <w:rFonts w:ascii="Times New Roman" w:hAnsi="Times New Roman" w:cs="Times New Roman"/>
          <w:color w:val="000000" w:themeColor="text1"/>
          <w:sz w:val="20"/>
          <w:szCs w:val="20"/>
        </w:rPr>
        <w:t>péchés</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capitaux</w:t>
      </w:r>
      <w:proofErr w:type="spellEnd"/>
      <w:r w:rsidRPr="009D7635">
        <w:rPr>
          <w:rFonts w:ascii="Times New Roman" w:hAnsi="Times New Roman" w:cs="Times New Roman"/>
          <w:color w:val="000000" w:themeColor="text1"/>
          <w:sz w:val="20"/>
          <w:szCs w:val="20"/>
        </w:rPr>
        <w:t xml:space="preserve">: les </w:t>
      </w:r>
      <w:proofErr w:type="spellStart"/>
      <w:r w:rsidRPr="009D7635">
        <w:rPr>
          <w:rFonts w:ascii="Times New Roman" w:hAnsi="Times New Roman" w:cs="Times New Roman"/>
          <w:color w:val="000000" w:themeColor="text1"/>
          <w:sz w:val="20"/>
          <w:szCs w:val="20"/>
        </w:rPr>
        <w:t>ambigüités</w:t>
      </w:r>
      <w:proofErr w:type="spellEnd"/>
      <w:r w:rsidRPr="009D7635">
        <w:rPr>
          <w:rFonts w:ascii="Times New Roman" w:hAnsi="Times New Roman" w:cs="Times New Roman"/>
          <w:color w:val="000000" w:themeColor="text1"/>
          <w:sz w:val="20"/>
          <w:szCs w:val="20"/>
        </w:rPr>
        <w:t xml:space="preserve"> de la culture </w:t>
      </w:r>
      <w:proofErr w:type="spellStart"/>
      <w:r w:rsidRPr="009D7635">
        <w:rPr>
          <w:rFonts w:ascii="Times New Roman" w:hAnsi="Times New Roman" w:cs="Times New Roman"/>
          <w:color w:val="000000" w:themeColor="text1"/>
          <w:sz w:val="20"/>
          <w:szCs w:val="20"/>
        </w:rPr>
        <w:t>médiévale</w:t>
      </w:r>
      <w:proofErr w:type="spellEnd"/>
      <w:r w:rsidRPr="009D7635">
        <w:rPr>
          <w:rFonts w:ascii="Times New Roman" w:hAnsi="Times New Roman" w:cs="Times New Roman"/>
          <w:color w:val="000000" w:themeColor="text1"/>
          <w:sz w:val="20"/>
          <w:szCs w:val="20"/>
        </w:rPr>
        <w:t xml:space="preserve">,’ in </w:t>
      </w:r>
      <w:r w:rsidRPr="009D7635">
        <w:rPr>
          <w:rFonts w:ascii="Times New Roman" w:hAnsi="Times New Roman" w:cs="Times New Roman"/>
          <w:i/>
          <w:color w:val="000000" w:themeColor="text1"/>
          <w:sz w:val="20"/>
          <w:szCs w:val="20"/>
        </w:rPr>
        <w:t xml:space="preserve">Laster </w:t>
      </w:r>
      <w:proofErr w:type="spellStart"/>
      <w:r w:rsidRPr="009D7635">
        <w:rPr>
          <w:rFonts w:ascii="Times New Roman" w:hAnsi="Times New Roman" w:cs="Times New Roman"/>
          <w:i/>
          <w:color w:val="000000" w:themeColor="text1"/>
          <w:sz w:val="20"/>
          <w:szCs w:val="20"/>
        </w:rPr>
        <w:t>im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Mittelalter</w:t>
      </w:r>
      <w:proofErr w:type="spellEnd"/>
      <w:r w:rsidR="00FD7499" w:rsidRPr="009D7635">
        <w:rPr>
          <w:rFonts w:ascii="Times New Roman" w:hAnsi="Times New Roman" w:cs="Times New Roman"/>
          <w:i/>
          <w:color w:val="000000" w:themeColor="text1"/>
          <w:sz w:val="20"/>
          <w:szCs w:val="20"/>
        </w:rPr>
        <w:t>/</w:t>
      </w:r>
      <w:r w:rsidRPr="009D7635">
        <w:rPr>
          <w:rFonts w:ascii="Times New Roman" w:hAnsi="Times New Roman" w:cs="Times New Roman"/>
          <w:i/>
          <w:color w:val="000000" w:themeColor="text1"/>
          <w:sz w:val="20"/>
          <w:szCs w:val="20"/>
        </w:rPr>
        <w:t>Vices in the Middle Ages</w:t>
      </w:r>
      <w:r w:rsidRPr="009D7635">
        <w:rPr>
          <w:rFonts w:ascii="Times New Roman" w:hAnsi="Times New Roman" w:cs="Times New Roman"/>
          <w:color w:val="000000" w:themeColor="text1"/>
          <w:sz w:val="20"/>
          <w:szCs w:val="20"/>
        </w:rPr>
        <w:t xml:space="preserve">, ed. by Christof </w:t>
      </w:r>
      <w:proofErr w:type="spellStart"/>
      <w:r w:rsidRPr="009D7635">
        <w:rPr>
          <w:rFonts w:ascii="Times New Roman" w:hAnsi="Times New Roman" w:cs="Times New Roman"/>
          <w:color w:val="000000" w:themeColor="text1"/>
          <w:sz w:val="20"/>
          <w:szCs w:val="20"/>
        </w:rPr>
        <w:t>Flueler</w:t>
      </w:r>
      <w:proofErr w:type="spellEnd"/>
      <w:r w:rsidRPr="009D7635">
        <w:rPr>
          <w:rFonts w:ascii="Times New Roman" w:hAnsi="Times New Roman" w:cs="Times New Roman"/>
          <w:color w:val="000000" w:themeColor="text1"/>
          <w:sz w:val="20"/>
          <w:szCs w:val="20"/>
        </w:rPr>
        <w:t xml:space="preserve"> and Martin </w:t>
      </w:r>
      <w:proofErr w:type="spellStart"/>
      <w:r w:rsidRPr="009D7635">
        <w:rPr>
          <w:rFonts w:ascii="Times New Roman" w:hAnsi="Times New Roman" w:cs="Times New Roman"/>
          <w:color w:val="000000" w:themeColor="text1"/>
          <w:sz w:val="20"/>
          <w:szCs w:val="20"/>
        </w:rPr>
        <w:t>Rohde</w:t>
      </w:r>
      <w:proofErr w:type="spellEnd"/>
      <w:r w:rsidRPr="009D7635">
        <w:rPr>
          <w:rFonts w:ascii="Times New Roman" w:hAnsi="Times New Roman" w:cs="Times New Roman"/>
          <w:color w:val="000000" w:themeColor="text1"/>
          <w:sz w:val="20"/>
          <w:szCs w:val="20"/>
        </w:rPr>
        <w:t xml:space="preserve"> (Berlin/New York: De Gruyter, 2009), 45-64; Carla Casagrande and Silvana Vecchio, </w:t>
      </w:r>
      <w:proofErr w:type="spellStart"/>
      <w:r w:rsidRPr="009D7635">
        <w:rPr>
          <w:rFonts w:ascii="Times New Roman" w:hAnsi="Times New Roman" w:cs="Times New Roman"/>
          <w:i/>
          <w:color w:val="000000" w:themeColor="text1"/>
          <w:sz w:val="20"/>
          <w:szCs w:val="20"/>
        </w:rPr>
        <w:t>Passioni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dell’anima</w:t>
      </w:r>
      <w:proofErr w:type="spellEnd"/>
      <w:r w:rsidR="00B9531E" w:rsidRPr="009D7635">
        <w:rPr>
          <w:rFonts w:ascii="Times New Roman" w:hAnsi="Times New Roman" w:cs="Times New Roman"/>
          <w:i/>
          <w:color w:val="000000" w:themeColor="text1"/>
          <w:sz w:val="20"/>
          <w:szCs w:val="20"/>
        </w:rPr>
        <w:t>:</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Teorie</w:t>
      </w:r>
      <w:proofErr w:type="spellEnd"/>
      <w:r w:rsidRPr="009D7635">
        <w:rPr>
          <w:rFonts w:ascii="Times New Roman" w:hAnsi="Times New Roman" w:cs="Times New Roman"/>
          <w:i/>
          <w:color w:val="000000" w:themeColor="text1"/>
          <w:sz w:val="20"/>
          <w:szCs w:val="20"/>
        </w:rPr>
        <w:t xml:space="preserve"> e </w:t>
      </w:r>
      <w:proofErr w:type="spellStart"/>
      <w:r w:rsidRPr="009D7635">
        <w:rPr>
          <w:rFonts w:ascii="Times New Roman" w:hAnsi="Times New Roman" w:cs="Times New Roman"/>
          <w:i/>
          <w:color w:val="000000" w:themeColor="text1"/>
          <w:sz w:val="20"/>
          <w:szCs w:val="20"/>
        </w:rPr>
        <w:t>usi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degli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affetti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nella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cultura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medievale</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(Firenze: </w:t>
      </w:r>
      <w:proofErr w:type="spellStart"/>
      <w:r w:rsidRPr="009D7635">
        <w:rPr>
          <w:rFonts w:ascii="Times New Roman" w:hAnsi="Times New Roman" w:cs="Times New Roman"/>
          <w:color w:val="000000" w:themeColor="text1"/>
          <w:sz w:val="20"/>
          <w:szCs w:val="20"/>
        </w:rPr>
        <w:t>Sismel-Ed</w:t>
      </w:r>
      <w:proofErr w:type="spellEnd"/>
      <w:r w:rsidRPr="009D7635">
        <w:rPr>
          <w:rFonts w:ascii="Times New Roman" w:hAnsi="Times New Roman" w:cs="Times New Roman"/>
          <w:color w:val="000000" w:themeColor="text1"/>
          <w:sz w:val="20"/>
          <w:szCs w:val="20"/>
        </w:rPr>
        <w:t xml:space="preserve">. del </w:t>
      </w:r>
      <w:proofErr w:type="spellStart"/>
      <w:r w:rsidRPr="009D7635">
        <w:rPr>
          <w:rFonts w:ascii="Times New Roman" w:hAnsi="Times New Roman" w:cs="Times New Roman"/>
          <w:color w:val="000000" w:themeColor="text1"/>
          <w:sz w:val="20"/>
          <w:szCs w:val="20"/>
        </w:rPr>
        <w:t>Galluzzo</w:t>
      </w:r>
      <w:proofErr w:type="spellEnd"/>
      <w:r w:rsidRPr="009D7635">
        <w:rPr>
          <w:rFonts w:ascii="Times New Roman" w:hAnsi="Times New Roman" w:cs="Times New Roman"/>
          <w:color w:val="000000" w:themeColor="text1"/>
          <w:sz w:val="20"/>
          <w:szCs w:val="20"/>
        </w:rPr>
        <w:t xml:space="preserve">, 2015). </w:t>
      </w:r>
    </w:p>
  </w:footnote>
  <w:footnote w:id="1058">
    <w:p w14:paraId="54CE372D" w14:textId="51F0CE89"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S2, Q3, T3, M4, C2, 485.</w:t>
      </w:r>
    </w:p>
  </w:footnote>
  <w:footnote w:id="1059">
    <w:p w14:paraId="06279E94" w14:textId="3C19DE9A"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Q2, T2, M1, 439, citing DSEA 4 and Avicenna, </w:t>
      </w:r>
      <w:r w:rsidRPr="009D7635">
        <w:rPr>
          <w:rFonts w:ascii="Times New Roman" w:hAnsi="Times New Roman" w:cs="Times New Roman"/>
          <w:i/>
          <w:color w:val="000000" w:themeColor="text1"/>
        </w:rPr>
        <w:t xml:space="preserve">De anima </w:t>
      </w:r>
      <w:r w:rsidRPr="009D7635">
        <w:rPr>
          <w:rFonts w:ascii="Times New Roman" w:hAnsi="Times New Roman" w:cs="Times New Roman"/>
          <w:color w:val="000000" w:themeColor="text1"/>
        </w:rPr>
        <w:t>I.2.</w:t>
      </w:r>
    </w:p>
  </w:footnote>
  <w:footnote w:id="1060">
    <w:p w14:paraId="38FB5674" w14:textId="361FE8C3" w:rsidR="00B93ED5" w:rsidRPr="009D7635" w:rsidRDefault="00B93ED5" w:rsidP="000D3D92">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Q2, T2, M1, C1,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439: </w:t>
      </w:r>
      <w:r w:rsidRPr="009D7635">
        <w:rPr>
          <w:rFonts w:ascii="Times New Roman" w:hAnsi="Times New Roman" w:cs="Times New Roman"/>
          <w:i/>
          <w:color w:val="000000" w:themeColor="text1"/>
          <w:sz w:val="20"/>
          <w:szCs w:val="20"/>
          <w:lang w:val="en-US"/>
        </w:rPr>
        <w:t xml:space="preserve">Ad quod </w:t>
      </w:r>
      <w:proofErr w:type="spellStart"/>
      <w:r w:rsidRPr="009D7635">
        <w:rPr>
          <w:rFonts w:ascii="Times New Roman" w:hAnsi="Times New Roman" w:cs="Times New Roman"/>
          <w:i/>
          <w:color w:val="000000" w:themeColor="text1"/>
          <w:sz w:val="20"/>
          <w:szCs w:val="20"/>
          <w:lang w:val="en-US"/>
        </w:rPr>
        <w:t>dicendum</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motivae</w:t>
      </w:r>
      <w:proofErr w:type="spellEnd"/>
    </w:p>
    <w:p w14:paraId="1D306CF2" w14:textId="22FD8454" w:rsidR="00B93ED5" w:rsidRPr="009D7635" w:rsidRDefault="00B93ED5" w:rsidP="000D3D92">
      <w:pPr>
        <w:autoSpaceDE w:val="0"/>
        <w:autoSpaceDN w:val="0"/>
        <w:adjustRightInd w:val="0"/>
        <w:rPr>
          <w:rFonts w:ascii="Times New Roman" w:hAnsi="Times New Roman" w:cs="Times New Roman"/>
          <w:i/>
          <w:color w:val="000000" w:themeColor="text1"/>
          <w:sz w:val="20"/>
          <w:szCs w:val="20"/>
          <w:lang w:val="en-US"/>
        </w:rPr>
      </w:pPr>
      <w:proofErr w:type="spellStart"/>
      <w:r w:rsidRPr="009D7635">
        <w:rPr>
          <w:rFonts w:ascii="Times New Roman" w:hAnsi="Times New Roman" w:cs="Times New Roman"/>
          <w:i/>
          <w:color w:val="000000" w:themeColor="text1"/>
          <w:sz w:val="20"/>
          <w:szCs w:val="20"/>
          <w:lang w:val="en-US"/>
        </w:rPr>
        <w:t>dicuntur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disponunt</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motum</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modum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cognitionis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boni</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mali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inclinantis</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appetitum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fugam</w:t>
      </w:r>
      <w:proofErr w:type="spellEnd"/>
      <w:r w:rsidRPr="009D7635">
        <w:rPr>
          <w:rFonts w:ascii="Times New Roman" w:hAnsi="Times New Roman" w:cs="Times New Roman"/>
          <w:i/>
          <w:color w:val="000000" w:themeColor="text1"/>
          <w:sz w:val="20"/>
          <w:szCs w:val="20"/>
          <w:lang w:val="en-US"/>
        </w:rPr>
        <w:t>.</w:t>
      </w:r>
    </w:p>
  </w:footnote>
  <w:footnote w:id="1061">
    <w:p w14:paraId="65D03A5B" w14:textId="5E67CBC2"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S2, Q2, T2, M1, C2, Ar1, 441.</w:t>
      </w:r>
    </w:p>
  </w:footnote>
  <w:footnote w:id="1062">
    <w:p w14:paraId="005BA8FA" w14:textId="6C08EDE6" w:rsidR="00B93ED5" w:rsidRPr="009D7635" w:rsidRDefault="00B93ED5" w:rsidP="000D3D92">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Q2, T2, M1, C1,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439:</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Differunt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inter se,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phantasia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disponens</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motum</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apprehensione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formae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convenientis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inconvenientis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aestimativa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disponens</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motum</w:t>
      </w:r>
      <w:proofErr w:type="spellEnd"/>
      <w:r w:rsidRPr="009D7635">
        <w:rPr>
          <w:rFonts w:ascii="Times New Roman" w:hAnsi="Times New Roman" w:cs="Times New Roman"/>
          <w:i/>
          <w:color w:val="000000" w:themeColor="text1"/>
          <w:sz w:val="20"/>
          <w:szCs w:val="20"/>
          <w:lang w:val="en-US"/>
        </w:rPr>
        <w:t xml:space="preserve"> ex </w:t>
      </w:r>
      <w:proofErr w:type="spellStart"/>
      <w:r w:rsidRPr="009D7635">
        <w:rPr>
          <w:rFonts w:ascii="Times New Roman" w:hAnsi="Times New Roman" w:cs="Times New Roman"/>
          <w:i/>
          <w:color w:val="000000" w:themeColor="text1"/>
          <w:sz w:val="20"/>
          <w:szCs w:val="20"/>
          <w:lang w:val="en-US"/>
        </w:rPr>
        <w:t>apprehensione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intentionis</w:t>
      </w:r>
      <w:proofErr w:type="spellEnd"/>
      <w:r w:rsidRPr="009D7635">
        <w:rPr>
          <w:rFonts w:ascii="Times New Roman" w:hAnsi="Times New Roman" w:cs="Times New Roman"/>
          <w:i/>
          <w:color w:val="000000" w:themeColor="text1"/>
          <w:sz w:val="20"/>
          <w:szCs w:val="20"/>
          <w:lang w:val="en-US"/>
        </w:rPr>
        <w:t xml:space="preserve"> in re </w:t>
      </w:r>
      <w:proofErr w:type="spellStart"/>
      <w:r w:rsidRPr="009D7635">
        <w:rPr>
          <w:rFonts w:ascii="Times New Roman" w:hAnsi="Times New Roman" w:cs="Times New Roman"/>
          <w:i/>
          <w:color w:val="000000" w:themeColor="text1"/>
          <w:sz w:val="20"/>
          <w:szCs w:val="20"/>
          <w:lang w:val="en-US"/>
        </w:rPr>
        <w:t>sensibili</w:t>
      </w:r>
      <w:proofErr w:type="spellEnd"/>
      <w:r w:rsidRPr="009D7635">
        <w:rPr>
          <w:rFonts w:ascii="Times New Roman" w:hAnsi="Times New Roman" w:cs="Times New Roman"/>
          <w:i/>
          <w:color w:val="000000" w:themeColor="text1"/>
          <w:sz w:val="20"/>
          <w:szCs w:val="20"/>
          <w:lang w:val="en-US"/>
        </w:rPr>
        <w:t>.</w:t>
      </w:r>
    </w:p>
  </w:footnote>
  <w:footnote w:id="1063">
    <w:p w14:paraId="576E3238" w14:textId="41587377"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Q2, T2, M1, C2, Ar1, Ad b and Contra 1, 440: quoting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Trinitate</w:t>
      </w:r>
      <w:proofErr w:type="spellEnd"/>
      <w:r w:rsidRPr="009D7635">
        <w:rPr>
          <w:rFonts w:ascii="Times New Roman" w:hAnsi="Times New Roman" w:cs="Times New Roman"/>
          <w:color w:val="000000" w:themeColor="text1"/>
        </w:rPr>
        <w:t>.</w:t>
      </w:r>
    </w:p>
  </w:footnote>
  <w:footnote w:id="1064">
    <w:p w14:paraId="39897F6A" w14:textId="6CE9F24D"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Q2, T2, M1, C2, Ar3, 442. </w:t>
      </w:r>
    </w:p>
  </w:footnote>
  <w:footnote w:id="1065">
    <w:p w14:paraId="6AE9CB0A" w14:textId="5F8B02D6"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Q2, T2, M1, C2, Ar1,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xml:space="preserve">, 440. </w:t>
      </w:r>
    </w:p>
  </w:footnote>
  <w:footnote w:id="1066">
    <w:p w14:paraId="261F2E0E" w14:textId="0AB57A93"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Q2, T2, M1, C2, Ar1,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440.</w:t>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Q2, T2, M1, C2, Ar3,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xml:space="preserve"> II, 442: </w:t>
      </w:r>
      <w:r w:rsidRPr="009D7635">
        <w:rPr>
          <w:rFonts w:ascii="Times New Roman" w:hAnsi="Times New Roman" w:cs="Times New Roman"/>
          <w:i/>
          <w:color w:val="000000" w:themeColor="text1"/>
          <w:lang w:val="en-US"/>
        </w:rPr>
        <w:t xml:space="preserve">Exterior homo </w:t>
      </w:r>
      <w:proofErr w:type="spellStart"/>
      <w:r w:rsidRPr="009D7635">
        <w:rPr>
          <w:rFonts w:ascii="Times New Roman" w:hAnsi="Times New Roman" w:cs="Times New Roman"/>
          <w:i/>
          <w:color w:val="000000" w:themeColor="text1"/>
          <w:lang w:val="en-US"/>
        </w:rPr>
        <w:t>dicitur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proprie</w:t>
      </w:r>
      <w:proofErr w:type="spellEnd"/>
      <w:r w:rsidRPr="009D7635">
        <w:rPr>
          <w:rFonts w:ascii="Times New Roman" w:hAnsi="Times New Roman" w:cs="Times New Roman"/>
          <w:i/>
          <w:color w:val="000000" w:themeColor="text1"/>
          <w:lang w:val="en-US"/>
        </w:rPr>
        <w:t xml:space="preserve">, cum </w:t>
      </w:r>
      <w:proofErr w:type="spellStart"/>
      <w:r w:rsidRPr="009D7635">
        <w:rPr>
          <w:rFonts w:ascii="Times New Roman" w:hAnsi="Times New Roman" w:cs="Times New Roman"/>
          <w:i/>
          <w:color w:val="000000" w:themeColor="text1"/>
          <w:lang w:val="en-US"/>
        </w:rPr>
        <w:t>convertitur</w:t>
      </w:r>
      <w:proofErr w:type="spellEnd"/>
      <w:r w:rsidRPr="009D7635">
        <w:rPr>
          <w:rFonts w:ascii="Times New Roman" w:hAnsi="Times New Roman" w:cs="Times New Roman"/>
          <w:i/>
          <w:color w:val="000000" w:themeColor="text1"/>
          <w:lang w:val="en-US"/>
        </w:rPr>
        <w:t xml:space="preserve"> homo ad </w:t>
      </w:r>
      <w:proofErr w:type="spellStart"/>
      <w:r w:rsidRPr="009D7635">
        <w:rPr>
          <w:rFonts w:ascii="Times New Roman" w:hAnsi="Times New Roman" w:cs="Times New Roman"/>
          <w:i/>
          <w:color w:val="000000" w:themeColor="text1"/>
          <w:lang w:val="en-US"/>
        </w:rPr>
        <w:t>exteriora</w:t>
      </w:r>
      <w:proofErr w:type="spellEnd"/>
      <w:r w:rsidRPr="009D7635">
        <w:rPr>
          <w:rFonts w:ascii="Times New Roman" w:hAnsi="Times New Roman" w:cs="Times New Roman"/>
          <w:i/>
          <w:color w:val="000000" w:themeColor="text1"/>
          <w:lang w:val="en-US"/>
        </w:rPr>
        <w:t xml:space="preserve"> bona </w:t>
      </w:r>
      <w:proofErr w:type="spellStart"/>
      <w:r w:rsidRPr="009D7635">
        <w:rPr>
          <w:rFonts w:ascii="Times New Roman" w:hAnsi="Times New Roman" w:cs="Times New Roman"/>
          <w:i/>
          <w:color w:val="000000" w:themeColor="text1"/>
          <w:lang w:val="en-US"/>
        </w:rPr>
        <w:t>concupiscenda</w:t>
      </w:r>
      <w:proofErr w:type="spellEnd"/>
      <w:r w:rsidRPr="009D7635">
        <w:rPr>
          <w:rFonts w:ascii="Times New Roman" w:hAnsi="Times New Roman" w:cs="Times New Roman"/>
          <w:i/>
          <w:color w:val="000000" w:themeColor="text1"/>
          <w:lang w:val="en-US"/>
        </w:rPr>
        <w:t xml:space="preserve"> propter se; interior </w:t>
      </w:r>
      <w:proofErr w:type="spellStart"/>
      <w:r w:rsidRPr="009D7635">
        <w:rPr>
          <w:rFonts w:ascii="Times New Roman" w:hAnsi="Times New Roman" w:cs="Times New Roman"/>
          <w:i/>
          <w:color w:val="000000" w:themeColor="text1"/>
          <w:lang w:val="en-US"/>
        </w:rPr>
        <w:t>vero</w:t>
      </w:r>
      <w:proofErr w:type="spellEnd"/>
      <w:r w:rsidRPr="009D7635">
        <w:rPr>
          <w:rFonts w:ascii="Times New Roman" w:hAnsi="Times New Roman" w:cs="Times New Roman"/>
          <w:i/>
          <w:color w:val="000000" w:themeColor="text1"/>
          <w:lang w:val="en-US"/>
        </w:rPr>
        <w:t xml:space="preserve"> homo </w:t>
      </w:r>
      <w:proofErr w:type="spellStart"/>
      <w:r w:rsidRPr="009D7635">
        <w:rPr>
          <w:rFonts w:ascii="Times New Roman" w:hAnsi="Times New Roman" w:cs="Times New Roman"/>
          <w:i/>
          <w:color w:val="000000" w:themeColor="text1"/>
          <w:lang w:val="en-US"/>
        </w:rPr>
        <w:t>dicitur</w:t>
      </w:r>
      <w:proofErr w:type="spellEnd"/>
      <w:r w:rsidRPr="009D7635">
        <w:rPr>
          <w:rFonts w:ascii="Times New Roman" w:hAnsi="Times New Roman" w:cs="Times New Roman"/>
          <w:i/>
          <w:color w:val="000000" w:themeColor="text1"/>
          <w:lang w:val="en-US"/>
        </w:rPr>
        <w:t xml:space="preserve">, cum </w:t>
      </w:r>
      <w:proofErr w:type="spellStart"/>
      <w:r w:rsidRPr="009D7635">
        <w:rPr>
          <w:rFonts w:ascii="Times New Roman" w:hAnsi="Times New Roman" w:cs="Times New Roman"/>
          <w:i/>
          <w:color w:val="000000" w:themeColor="text1"/>
          <w:lang w:val="en-US"/>
        </w:rPr>
        <w:t>convertitur</w:t>
      </w:r>
      <w:proofErr w:type="spellEnd"/>
      <w:r w:rsidRPr="009D7635">
        <w:rPr>
          <w:rFonts w:ascii="Times New Roman" w:hAnsi="Times New Roman" w:cs="Times New Roman"/>
          <w:i/>
          <w:color w:val="000000" w:themeColor="text1"/>
          <w:lang w:val="en-US"/>
        </w:rPr>
        <w:t xml:space="preserve"> ad </w:t>
      </w:r>
      <w:proofErr w:type="spellStart"/>
      <w:r w:rsidRPr="009D7635">
        <w:rPr>
          <w:rFonts w:ascii="Times New Roman" w:hAnsi="Times New Roman" w:cs="Times New Roman"/>
          <w:i/>
          <w:color w:val="000000" w:themeColor="text1"/>
          <w:lang w:val="en-US"/>
        </w:rPr>
        <w:t>interiora</w:t>
      </w:r>
      <w:proofErr w:type="spellEnd"/>
      <w:r w:rsidRPr="009D7635">
        <w:rPr>
          <w:rFonts w:ascii="Times New Roman" w:hAnsi="Times New Roman" w:cs="Times New Roman"/>
          <w:i/>
          <w:color w:val="000000" w:themeColor="text1"/>
          <w:lang w:val="en-US"/>
        </w:rPr>
        <w:t xml:space="preserve"> bona </w:t>
      </w:r>
      <w:proofErr w:type="spellStart"/>
      <w:r w:rsidRPr="009D7635">
        <w:rPr>
          <w:rFonts w:ascii="Times New Roman" w:hAnsi="Times New Roman" w:cs="Times New Roman"/>
          <w:i/>
          <w:color w:val="000000" w:themeColor="text1"/>
          <w:lang w:val="en-US"/>
        </w:rPr>
        <w:t>sive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superna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appetenda</w:t>
      </w:r>
      <w:proofErr w:type="spellEnd"/>
      <w:r w:rsidRPr="009D7635">
        <w:rPr>
          <w:rFonts w:ascii="Times New Roman" w:hAnsi="Times New Roman" w:cs="Times New Roman"/>
          <w:i/>
          <w:color w:val="000000" w:themeColor="text1"/>
          <w:lang w:val="en-US"/>
        </w:rPr>
        <w:t xml:space="preserve"> propter se, et </w:t>
      </w:r>
      <w:proofErr w:type="spellStart"/>
      <w:r w:rsidRPr="009D7635">
        <w:rPr>
          <w:rFonts w:ascii="Times New Roman" w:hAnsi="Times New Roman" w:cs="Times New Roman"/>
          <w:i/>
          <w:color w:val="000000" w:themeColor="text1"/>
          <w:lang w:val="en-US"/>
        </w:rPr>
        <w:t>secundum</w:t>
      </w:r>
      <w:proofErr w:type="spellEnd"/>
      <w:r w:rsidRPr="009D7635">
        <w:rPr>
          <w:rFonts w:ascii="Times New Roman" w:hAnsi="Times New Roman" w:cs="Times New Roman"/>
          <w:i/>
          <w:color w:val="000000" w:themeColor="text1"/>
          <w:lang w:val="en-US"/>
        </w:rPr>
        <w:t xml:space="preserve"> hoc, cum exterior </w:t>
      </w:r>
      <w:proofErr w:type="spellStart"/>
      <w:r w:rsidRPr="009D7635">
        <w:rPr>
          <w:rFonts w:ascii="Times New Roman" w:hAnsi="Times New Roman" w:cs="Times New Roman"/>
          <w:i/>
          <w:color w:val="000000" w:themeColor="text1"/>
          <w:lang w:val="en-US"/>
        </w:rPr>
        <w:t>corrumpitur</w:t>
      </w:r>
      <w:proofErr w:type="spellEnd"/>
      <w:r w:rsidRPr="009D7635">
        <w:rPr>
          <w:rFonts w:ascii="Times New Roman" w:hAnsi="Times New Roman" w:cs="Times New Roman"/>
          <w:i/>
          <w:color w:val="000000" w:themeColor="text1"/>
          <w:lang w:val="en-US"/>
        </w:rPr>
        <w:t xml:space="preserve">, interior </w:t>
      </w:r>
      <w:proofErr w:type="spellStart"/>
      <w:r w:rsidRPr="009D7635">
        <w:rPr>
          <w:rFonts w:ascii="Times New Roman" w:hAnsi="Times New Roman" w:cs="Times New Roman"/>
          <w:i/>
          <w:color w:val="000000" w:themeColor="text1"/>
          <w:lang w:val="en-US"/>
        </w:rPr>
        <w:t>renovatur</w:t>
      </w:r>
      <w:proofErr w:type="spellEnd"/>
      <w:r w:rsidRPr="009D7635">
        <w:rPr>
          <w:rFonts w:ascii="Times New Roman" w:hAnsi="Times New Roman" w:cs="Times New Roman"/>
          <w:i/>
          <w:color w:val="000000" w:themeColor="text1"/>
          <w:lang w:val="en-US"/>
        </w:rPr>
        <w:t>.</w:t>
      </w:r>
    </w:p>
  </w:footnote>
  <w:footnote w:id="1067">
    <w:p w14:paraId="15368676" w14:textId="07CEA739" w:rsidR="00B93ED5" w:rsidRPr="009D7635" w:rsidRDefault="00B93ED5" w:rsidP="000D3D92">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Q2, T2, M1, C2, Ar2, Ad 3, 441: </w:t>
      </w:r>
      <w:r w:rsidRPr="009D7635">
        <w:rPr>
          <w:rFonts w:ascii="Times New Roman" w:hAnsi="Times New Roman" w:cs="Times New Roman"/>
          <w:i/>
          <w:color w:val="000000" w:themeColor="text1"/>
          <w:sz w:val="20"/>
          <w:szCs w:val="20"/>
          <w:lang w:val="en-US"/>
        </w:rPr>
        <w:t xml:space="preserve">Cum exterior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carnalis</w:t>
      </w:r>
      <w:proofErr w:type="spellEnd"/>
      <w:r w:rsidRPr="009D7635">
        <w:rPr>
          <w:rFonts w:ascii="Times New Roman" w:hAnsi="Times New Roman" w:cs="Times New Roman"/>
          <w:i/>
          <w:color w:val="000000" w:themeColor="text1"/>
          <w:sz w:val="20"/>
          <w:szCs w:val="20"/>
          <w:lang w:val="en-US"/>
        </w:rPr>
        <w:t xml:space="preserve"> bono </w:t>
      </w:r>
      <w:proofErr w:type="spellStart"/>
      <w:r w:rsidRPr="009D7635">
        <w:rPr>
          <w:rFonts w:ascii="Times New Roman" w:hAnsi="Times New Roman" w:cs="Times New Roman"/>
          <w:i/>
          <w:color w:val="000000" w:themeColor="text1"/>
          <w:sz w:val="20"/>
          <w:szCs w:val="20"/>
          <w:lang w:val="en-US"/>
        </w:rPr>
        <w:t>suo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utitur</w:t>
      </w:r>
      <w:proofErr w:type="spellEnd"/>
      <w:r w:rsidRPr="009D7635">
        <w:rPr>
          <w:rFonts w:ascii="Times New Roman" w:hAnsi="Times New Roman" w:cs="Times New Roman"/>
          <w:i/>
          <w:color w:val="000000" w:themeColor="text1"/>
          <w:sz w:val="20"/>
          <w:szCs w:val="20"/>
          <w:lang w:val="en-US"/>
        </w:rPr>
        <w:t xml:space="preserve">, interior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mentis</w:t>
      </w:r>
      <w:proofErr w:type="spellEnd"/>
      <w:r w:rsidRPr="009D7635">
        <w:rPr>
          <w:rFonts w:ascii="Times New Roman" w:hAnsi="Times New Roman" w:cs="Times New Roman"/>
          <w:i/>
          <w:color w:val="000000" w:themeColor="text1"/>
          <w:sz w:val="20"/>
          <w:szCs w:val="20"/>
          <w:lang w:val="en-US"/>
        </w:rPr>
        <w:t xml:space="preserve"> quasi </w:t>
      </w:r>
      <w:proofErr w:type="spellStart"/>
      <w:r w:rsidRPr="009D7635">
        <w:rPr>
          <w:rFonts w:ascii="Times New Roman" w:hAnsi="Times New Roman" w:cs="Times New Roman"/>
          <w:i/>
          <w:color w:val="000000" w:themeColor="text1"/>
          <w:sz w:val="20"/>
          <w:szCs w:val="20"/>
          <w:lang w:val="en-US"/>
        </w:rPr>
        <w:t>obdormit</w:t>
      </w:r>
      <w:proofErr w:type="spellEnd"/>
      <w:r w:rsidRPr="009D7635">
        <w:rPr>
          <w:rFonts w:ascii="Times New Roman" w:hAnsi="Times New Roman" w:cs="Times New Roman"/>
          <w:i/>
          <w:color w:val="000000" w:themeColor="text1"/>
          <w:sz w:val="20"/>
          <w:szCs w:val="20"/>
          <w:lang w:val="en-US"/>
        </w:rPr>
        <w:t>; non</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cogitat</w:t>
      </w:r>
      <w:proofErr w:type="spellEnd"/>
      <w:r w:rsidRPr="009D7635">
        <w:rPr>
          <w:rFonts w:ascii="Times New Roman" w:hAnsi="Times New Roman" w:cs="Times New Roman"/>
          <w:i/>
          <w:color w:val="000000" w:themeColor="text1"/>
          <w:sz w:val="20"/>
          <w:szCs w:val="20"/>
          <w:lang w:val="en-US"/>
        </w:rPr>
        <w:t xml:space="preserve"> bona </w:t>
      </w:r>
      <w:proofErr w:type="spellStart"/>
      <w:r w:rsidRPr="009D7635">
        <w:rPr>
          <w:rFonts w:ascii="Times New Roman" w:hAnsi="Times New Roman" w:cs="Times New Roman"/>
          <w:i/>
          <w:color w:val="000000" w:themeColor="text1"/>
          <w:sz w:val="20"/>
          <w:szCs w:val="20"/>
          <w:lang w:val="en-US"/>
        </w:rPr>
        <w:t>interioris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sensus</w:t>
      </w:r>
      <w:proofErr w:type="spellEnd"/>
      <w:r w:rsidRPr="009D7635">
        <w:rPr>
          <w:rFonts w:ascii="Times New Roman" w:hAnsi="Times New Roman" w:cs="Times New Roman"/>
          <w:i/>
          <w:color w:val="000000" w:themeColor="text1"/>
          <w:sz w:val="20"/>
          <w:szCs w:val="20"/>
          <w:lang w:val="en-US"/>
        </w:rPr>
        <w:t xml:space="preserve">, qui </w:t>
      </w:r>
      <w:proofErr w:type="spellStart"/>
      <w:r w:rsidRPr="009D7635">
        <w:rPr>
          <w:rFonts w:ascii="Times New Roman" w:hAnsi="Times New Roman" w:cs="Times New Roman"/>
          <w:i/>
          <w:color w:val="000000" w:themeColor="text1"/>
          <w:sz w:val="20"/>
          <w:szCs w:val="20"/>
          <w:lang w:val="en-US"/>
        </w:rPr>
        <w:t>iucunditate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exteriorum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bonorum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capitur</w:t>
      </w:r>
      <w:proofErr w:type="spellEnd"/>
      <w:r w:rsidRPr="009D7635">
        <w:rPr>
          <w:rFonts w:ascii="Times New Roman" w:hAnsi="Times New Roman" w:cs="Times New Roman"/>
          <w:i/>
          <w:color w:val="000000" w:themeColor="text1"/>
          <w:sz w:val="20"/>
          <w:szCs w:val="20"/>
          <w:lang w:val="en-US"/>
        </w:rPr>
        <w:t>.</w:t>
      </w:r>
    </w:p>
  </w:footnote>
  <w:footnote w:id="1068">
    <w:p w14:paraId="67D11942" w14:textId="675FE127"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Q2, T2, M1, C2, Ar4, II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xml:space="preserve">, 444.  </w:t>
      </w:r>
    </w:p>
  </w:footnote>
  <w:footnote w:id="1069">
    <w:p w14:paraId="5BC2E240" w14:textId="0EEF749E" w:rsidR="00B93ED5" w:rsidRPr="009D7635" w:rsidRDefault="00B93ED5" w:rsidP="000D3D92">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Q2, T2, M2, Ad </w:t>
      </w:r>
      <w:proofErr w:type="spellStart"/>
      <w:r w:rsidRPr="009D7635">
        <w:rPr>
          <w:rFonts w:ascii="Times New Roman" w:hAnsi="Times New Roman" w:cs="Times New Roman"/>
          <w:color w:val="000000" w:themeColor="text1"/>
          <w:sz w:val="20"/>
          <w:szCs w:val="20"/>
        </w:rPr>
        <w:t>objecta</w:t>
      </w:r>
      <w:proofErr w:type="spellEnd"/>
      <w:r w:rsidRPr="009D7635">
        <w:rPr>
          <w:rFonts w:ascii="Times New Roman" w:hAnsi="Times New Roman" w:cs="Times New Roman"/>
          <w:color w:val="000000" w:themeColor="text1"/>
          <w:sz w:val="20"/>
          <w:szCs w:val="20"/>
        </w:rPr>
        <w:t xml:space="preserve"> II, 445: </w:t>
      </w:r>
      <w:proofErr w:type="spellStart"/>
      <w:r w:rsidRPr="009D7635">
        <w:rPr>
          <w:rFonts w:ascii="Times New Roman" w:hAnsi="Times New Roman" w:cs="Times New Roman"/>
          <w:i/>
          <w:color w:val="000000" w:themeColor="text1"/>
          <w:sz w:val="20"/>
          <w:szCs w:val="20"/>
          <w:lang w:val="en-US"/>
        </w:rPr>
        <w:t>Ioannes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Damascenus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licet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loquatur</w:t>
      </w:r>
      <w:proofErr w:type="spellEnd"/>
      <w:r w:rsidRPr="009D7635">
        <w:rPr>
          <w:rFonts w:ascii="Times New Roman" w:hAnsi="Times New Roman" w:cs="Times New Roman"/>
          <w:i/>
          <w:color w:val="000000" w:themeColor="text1"/>
          <w:sz w:val="20"/>
          <w:szCs w:val="20"/>
          <w:lang w:val="en-US"/>
        </w:rPr>
        <w:t xml:space="preserve"> de</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irrationali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parte</w:t>
      </w:r>
      <w:proofErr w:type="spellEnd"/>
      <w:r w:rsidRPr="009D7635">
        <w:rPr>
          <w:rFonts w:ascii="Times New Roman" w:hAnsi="Times New Roman" w:cs="Times New Roman"/>
          <w:i/>
          <w:color w:val="000000" w:themeColor="text1"/>
          <w:sz w:val="20"/>
          <w:szCs w:val="20"/>
          <w:lang w:val="en-US"/>
        </w:rPr>
        <w:t xml:space="preserve">, loquitur </w:t>
      </w:r>
      <w:proofErr w:type="spellStart"/>
      <w:r w:rsidRPr="009D7635">
        <w:rPr>
          <w:rFonts w:ascii="Times New Roman" w:hAnsi="Times New Roman" w:cs="Times New Roman"/>
          <w:i/>
          <w:color w:val="000000" w:themeColor="text1"/>
          <w:sz w:val="20"/>
          <w:szCs w:val="20"/>
          <w:lang w:val="en-US"/>
        </w:rPr>
        <w:t>tamen</w:t>
      </w:r>
      <w:proofErr w:type="spellEnd"/>
      <w:r w:rsidRPr="009D7635">
        <w:rPr>
          <w:rFonts w:ascii="Times New Roman" w:hAnsi="Times New Roman" w:cs="Times New Roman"/>
          <w:i/>
          <w:color w:val="000000" w:themeColor="text1"/>
          <w:sz w:val="20"/>
          <w:szCs w:val="20"/>
          <w:lang w:val="en-US"/>
        </w:rPr>
        <w:t xml:space="preserve"> de </w:t>
      </w:r>
      <w:proofErr w:type="spellStart"/>
      <w:r w:rsidRPr="009D7635">
        <w:rPr>
          <w:rFonts w:ascii="Times New Roman" w:hAnsi="Times New Roman" w:cs="Times New Roman"/>
          <w:i/>
          <w:color w:val="000000" w:themeColor="text1"/>
          <w:sz w:val="20"/>
          <w:szCs w:val="20"/>
          <w:lang w:val="en-US"/>
        </w:rPr>
        <w:t>ea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obediens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rationi</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movetur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aliquando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rationem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rectam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aliquando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rectam</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aliquando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se </w:t>
      </w:r>
      <w:proofErr w:type="spellStart"/>
      <w:r w:rsidRPr="009D7635">
        <w:rPr>
          <w:rFonts w:ascii="Times New Roman" w:hAnsi="Times New Roman" w:cs="Times New Roman"/>
          <w:i/>
          <w:color w:val="000000" w:themeColor="text1"/>
          <w:sz w:val="20"/>
          <w:szCs w:val="20"/>
          <w:lang w:val="en-US"/>
        </w:rPr>
        <w:t>ipsam</w:t>
      </w:r>
      <w:proofErr w:type="spellEnd"/>
      <w:r w:rsidRPr="009D7635">
        <w:rPr>
          <w:rFonts w:ascii="Times New Roman" w:hAnsi="Times New Roman" w:cs="Times New Roman"/>
          <w:i/>
          <w:color w:val="000000" w:themeColor="text1"/>
          <w:sz w:val="20"/>
          <w:szCs w:val="20"/>
          <w:lang w:val="en-US"/>
        </w:rPr>
        <w:t>.</w:t>
      </w:r>
    </w:p>
  </w:footnote>
  <w:footnote w:id="1070">
    <w:p w14:paraId="5E6E92F4" w14:textId="77AC07F5" w:rsidR="00B93ED5" w:rsidRPr="009D7635" w:rsidRDefault="00B93ED5" w:rsidP="000D3D9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Q2, T2, M1, 439: Avicenna posits </w:t>
      </w:r>
      <w:proofErr w:type="spellStart"/>
      <w:r w:rsidRPr="009D7635">
        <w:rPr>
          <w:rFonts w:ascii="Times New Roman" w:hAnsi="Times New Roman" w:cs="Times New Roman"/>
          <w:color w:val="000000" w:themeColor="text1"/>
          <w:sz w:val="20"/>
          <w:szCs w:val="20"/>
        </w:rPr>
        <w:t>aestimative</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concupisible</w:t>
      </w:r>
      <w:proofErr w:type="spellEnd"/>
      <w:r w:rsidRPr="009D7635">
        <w:rPr>
          <w:rFonts w:ascii="Times New Roman" w:hAnsi="Times New Roman" w:cs="Times New Roman"/>
          <w:color w:val="000000" w:themeColor="text1"/>
          <w:sz w:val="20"/>
          <w:szCs w:val="20"/>
        </w:rPr>
        <w:t xml:space="preserve"> and irascible powers (</w:t>
      </w:r>
      <w:r w:rsidRPr="009D7635">
        <w:rPr>
          <w:rFonts w:ascii="Times New Roman" w:hAnsi="Times New Roman" w:cs="Times New Roman"/>
          <w:i/>
          <w:color w:val="000000" w:themeColor="text1"/>
          <w:sz w:val="20"/>
          <w:szCs w:val="20"/>
        </w:rPr>
        <w:t>De anima</w:t>
      </w:r>
      <w:r w:rsidRPr="009D7635">
        <w:rPr>
          <w:rFonts w:ascii="Times New Roman" w:hAnsi="Times New Roman" w:cs="Times New Roman"/>
          <w:color w:val="000000" w:themeColor="text1"/>
          <w:sz w:val="20"/>
          <w:szCs w:val="20"/>
        </w:rPr>
        <w:t xml:space="preserve"> I, 2), and Augustine posits sensuality in DSEA 14; there are the four passions of </w:t>
      </w:r>
      <w:proofErr w:type="spellStart"/>
      <w:r w:rsidRPr="009D7635">
        <w:rPr>
          <w:rFonts w:ascii="Times New Roman" w:hAnsi="Times New Roman" w:cs="Times New Roman"/>
          <w:i/>
          <w:iCs/>
          <w:color w:val="000000" w:themeColor="text1"/>
          <w:sz w:val="20"/>
          <w:szCs w:val="20"/>
        </w:rPr>
        <w:t>gaudium</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dolor</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iCs/>
          <w:color w:val="000000" w:themeColor="text1"/>
          <w:sz w:val="20"/>
          <w:szCs w:val="20"/>
        </w:rPr>
        <w:t>ira</w:t>
      </w:r>
      <w:r w:rsidRPr="009D7635">
        <w:rPr>
          <w:rFonts w:ascii="Times New Roman" w:hAnsi="Times New Roman" w:cs="Times New Roman"/>
          <w:color w:val="000000" w:themeColor="text1"/>
          <w:sz w:val="20"/>
          <w:szCs w:val="20"/>
        </w:rPr>
        <w:t xml:space="preserve">, and </w:t>
      </w:r>
      <w:r w:rsidRPr="009D7635">
        <w:rPr>
          <w:rFonts w:ascii="Times New Roman" w:hAnsi="Times New Roman" w:cs="Times New Roman"/>
          <w:i/>
          <w:iCs/>
          <w:color w:val="000000" w:themeColor="text1"/>
          <w:sz w:val="20"/>
          <w:szCs w:val="20"/>
        </w:rPr>
        <w:t>timor</w:t>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gaudium</w:t>
      </w:r>
      <w:proofErr w:type="spellEnd"/>
      <w:r w:rsidRPr="009D7635">
        <w:rPr>
          <w:rFonts w:ascii="Times New Roman" w:hAnsi="Times New Roman" w:cs="Times New Roman"/>
          <w:color w:val="000000" w:themeColor="text1"/>
          <w:sz w:val="20"/>
          <w:szCs w:val="20"/>
        </w:rPr>
        <w:t xml:space="preserve"> and </w:t>
      </w:r>
      <w:proofErr w:type="spellStart"/>
      <w:r w:rsidRPr="009D7635">
        <w:rPr>
          <w:rFonts w:ascii="Times New Roman" w:hAnsi="Times New Roman" w:cs="Times New Roman"/>
          <w:i/>
          <w:iCs/>
          <w:color w:val="000000" w:themeColor="text1"/>
          <w:sz w:val="20"/>
          <w:szCs w:val="20"/>
        </w:rPr>
        <w:t>dolor</w:t>
      </w:r>
      <w:proofErr w:type="spellEnd"/>
      <w:r w:rsidRPr="009D7635">
        <w:rPr>
          <w:rFonts w:ascii="Times New Roman" w:hAnsi="Times New Roman" w:cs="Times New Roman"/>
          <w:color w:val="000000" w:themeColor="text1"/>
          <w:sz w:val="20"/>
          <w:szCs w:val="20"/>
        </w:rPr>
        <w:t xml:space="preserve"> pertain to the </w:t>
      </w:r>
      <w:proofErr w:type="spellStart"/>
      <w:r w:rsidRPr="009D7635">
        <w:rPr>
          <w:rFonts w:ascii="Times New Roman" w:hAnsi="Times New Roman" w:cs="Times New Roman"/>
          <w:color w:val="000000" w:themeColor="text1"/>
          <w:sz w:val="20"/>
          <w:szCs w:val="20"/>
        </w:rPr>
        <w:t>concupiscible</w:t>
      </w:r>
      <w:proofErr w:type="spellEnd"/>
      <w:r w:rsidRPr="009D7635">
        <w:rPr>
          <w:rFonts w:ascii="Times New Roman" w:hAnsi="Times New Roman" w:cs="Times New Roman"/>
          <w:color w:val="000000" w:themeColor="text1"/>
          <w:sz w:val="20"/>
          <w:szCs w:val="20"/>
        </w:rPr>
        <w:t xml:space="preserve"> and </w:t>
      </w:r>
      <w:r w:rsidRPr="009D7635">
        <w:rPr>
          <w:rFonts w:ascii="Times New Roman" w:hAnsi="Times New Roman" w:cs="Times New Roman"/>
          <w:i/>
          <w:iCs/>
          <w:color w:val="000000" w:themeColor="text1"/>
          <w:sz w:val="20"/>
          <w:szCs w:val="20"/>
        </w:rPr>
        <w:t>ira</w:t>
      </w:r>
      <w:r w:rsidRPr="009D7635">
        <w:rPr>
          <w:rFonts w:ascii="Times New Roman" w:hAnsi="Times New Roman" w:cs="Times New Roman"/>
          <w:color w:val="000000" w:themeColor="text1"/>
          <w:sz w:val="20"/>
          <w:szCs w:val="20"/>
        </w:rPr>
        <w:t xml:space="preserve"> and </w:t>
      </w:r>
      <w:r w:rsidRPr="009D7635">
        <w:rPr>
          <w:rFonts w:ascii="Times New Roman" w:hAnsi="Times New Roman" w:cs="Times New Roman"/>
          <w:i/>
          <w:iCs/>
          <w:color w:val="000000" w:themeColor="text1"/>
          <w:sz w:val="20"/>
          <w:szCs w:val="20"/>
        </w:rPr>
        <w:t>timor</w:t>
      </w:r>
      <w:r w:rsidRPr="009D7635">
        <w:rPr>
          <w:rFonts w:ascii="Times New Roman" w:hAnsi="Times New Roman" w:cs="Times New Roman"/>
          <w:color w:val="000000" w:themeColor="text1"/>
          <w:sz w:val="20"/>
          <w:szCs w:val="20"/>
        </w:rPr>
        <w:t xml:space="preserve"> to the irascible.</w:t>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Q2, T2, M2, I.1, 444: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Damascenum</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quod </w:t>
      </w:r>
      <w:proofErr w:type="spellStart"/>
      <w:r w:rsidRPr="009D7635">
        <w:rPr>
          <w:rFonts w:ascii="Times New Roman" w:hAnsi="Times New Roman" w:cs="Times New Roman"/>
          <w:i/>
          <w:color w:val="000000" w:themeColor="text1"/>
          <w:sz w:val="20"/>
          <w:szCs w:val="20"/>
          <w:lang w:val="en-US"/>
        </w:rPr>
        <w:t>distinguantur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et malum,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concupiscibilis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determinetur</w:t>
      </w:r>
      <w:proofErr w:type="spellEnd"/>
      <w:r w:rsidRPr="009D7635">
        <w:rPr>
          <w:rFonts w:ascii="Times New Roman" w:hAnsi="Times New Roman" w:cs="Times New Roman"/>
          <w:i/>
          <w:color w:val="000000" w:themeColor="text1"/>
          <w:sz w:val="20"/>
          <w:szCs w:val="20"/>
          <w:lang w:val="en-US"/>
        </w:rPr>
        <w:t xml:space="preserve"> penes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irascibilis</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penes malum: </w:t>
      </w:r>
      <w:proofErr w:type="spellStart"/>
      <w:r w:rsidRPr="009D7635">
        <w:rPr>
          <w:rFonts w:ascii="Times New Roman" w:hAnsi="Times New Roman" w:cs="Times New Roman"/>
          <w:i/>
          <w:color w:val="000000" w:themeColor="text1"/>
          <w:sz w:val="20"/>
          <w:szCs w:val="20"/>
          <w:lang w:val="en-US"/>
        </w:rPr>
        <w:t>duae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affectiones</w:t>
      </w:r>
      <w:proofErr w:type="spellEnd"/>
      <w:r w:rsidRPr="009D7635">
        <w:rPr>
          <w:rFonts w:ascii="Times New Roman" w:hAnsi="Times New Roman" w:cs="Times New Roman"/>
          <w:i/>
          <w:color w:val="000000" w:themeColor="text1"/>
          <w:sz w:val="20"/>
          <w:szCs w:val="20"/>
          <w:lang w:val="en-US"/>
        </w:rPr>
        <w:t>, scilicet</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concupiscentia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laetitia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ipsius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concupiscibilis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praesentiam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absentiam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expectationem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duae</w:t>
      </w:r>
      <w:proofErr w:type="spellEnd"/>
      <w:r w:rsidRPr="009D7635">
        <w:rPr>
          <w:rFonts w:ascii="Times New Roman" w:hAnsi="Times New Roman" w:cs="Times New Roman"/>
          <w:i/>
          <w:color w:val="000000" w:themeColor="text1"/>
          <w:sz w:val="20"/>
          <w:szCs w:val="20"/>
          <w:lang w:val="en-US"/>
        </w:rPr>
        <w:t>, scilicet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timor et </w:t>
      </w:r>
      <w:proofErr w:type="spellStart"/>
      <w:r w:rsidRPr="009D7635">
        <w:rPr>
          <w:rFonts w:ascii="Times New Roman" w:hAnsi="Times New Roman" w:cs="Times New Roman"/>
          <w:i/>
          <w:color w:val="000000" w:themeColor="text1"/>
          <w:sz w:val="20"/>
          <w:szCs w:val="20"/>
          <w:lang w:val="en-US"/>
        </w:rPr>
        <w:t>tristitia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ipsius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irascibilis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praesens</w:t>
      </w:r>
      <w:proofErr w:type="spellEnd"/>
      <w:r w:rsidRPr="009D7635">
        <w:rPr>
          <w:rFonts w:ascii="Times New Roman" w:hAnsi="Times New Roman" w:cs="Times New Roman"/>
          <w:i/>
          <w:color w:val="000000" w:themeColor="text1"/>
          <w:sz w:val="20"/>
          <w:szCs w:val="20"/>
          <w:lang w:val="en-US"/>
        </w:rPr>
        <w:t xml:space="preserve"> malum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futurum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sive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expectatum</w:t>
      </w:r>
      <w:proofErr w:type="spellEnd"/>
      <w:r w:rsidRPr="009D7635">
        <w:rPr>
          <w:rFonts w:ascii="Times New Roman" w:hAnsi="Times New Roman" w:cs="Times New Roman"/>
          <w:i/>
          <w:color w:val="000000" w:themeColor="text1"/>
          <w:sz w:val="20"/>
          <w:szCs w:val="20"/>
          <w:lang w:val="en-US"/>
        </w:rPr>
        <w:t>.</w:t>
      </w:r>
    </w:p>
  </w:footnote>
  <w:footnote w:id="1071">
    <w:p w14:paraId="53089572" w14:textId="0999CA53" w:rsidR="00B93ED5" w:rsidRPr="009D7635" w:rsidRDefault="00B93ED5" w:rsidP="000D3D92">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Q2, T2, M2, I.2, 444: </w:t>
      </w:r>
      <w:r w:rsidRPr="009D7635">
        <w:rPr>
          <w:rFonts w:ascii="Times New Roman" w:hAnsi="Times New Roman" w:cs="Times New Roman"/>
          <w:i/>
          <w:color w:val="000000" w:themeColor="text1"/>
          <w:sz w:val="20"/>
          <w:szCs w:val="20"/>
          <w:lang w:val="en-US"/>
        </w:rPr>
        <w:t xml:space="preserve">Vi </w:t>
      </w:r>
      <w:proofErr w:type="spellStart"/>
      <w:r w:rsidRPr="009D7635">
        <w:rPr>
          <w:rFonts w:ascii="Times New Roman" w:hAnsi="Times New Roman" w:cs="Times New Roman"/>
          <w:i/>
          <w:color w:val="000000" w:themeColor="text1"/>
          <w:sz w:val="20"/>
          <w:szCs w:val="20"/>
          <w:lang w:val="en-US"/>
        </w:rPr>
        <w:t>concupiscibilitatis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eligit</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natura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irascibilitatis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reprobat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eligere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reprobare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sunt</w:t>
      </w:r>
      <w:proofErr w:type="spellEnd"/>
      <w:r w:rsidRPr="009D7635">
        <w:rPr>
          <w:rFonts w:ascii="Times New Roman" w:hAnsi="Times New Roman" w:cs="Times New Roman"/>
          <w:i/>
          <w:color w:val="000000" w:themeColor="text1"/>
          <w:sz w:val="20"/>
          <w:szCs w:val="20"/>
          <w:lang w:val="en-US"/>
        </w:rPr>
        <w:t xml:space="preserve"> respect</w:t>
      </w:r>
      <w:r w:rsidRPr="009D7635">
        <w:rPr>
          <w:rFonts w:ascii="Times New Roman" w:hAnsi="Times New Roman" w:cs="Times New Roman"/>
          <w:i/>
          <w:color w:val="000000" w:themeColor="text1"/>
          <w:sz w:val="20"/>
          <w:szCs w:val="20"/>
        </w:rPr>
        <w:t xml:space="preserve">u </w:t>
      </w:r>
      <w:proofErr w:type="spellStart"/>
      <w:r w:rsidRPr="009D7635">
        <w:rPr>
          <w:rFonts w:ascii="Times New Roman" w:hAnsi="Times New Roman" w:cs="Times New Roman"/>
          <w:i/>
          <w:color w:val="000000" w:themeColor="text1"/>
          <w:sz w:val="20"/>
          <w:szCs w:val="20"/>
          <w:lang w:val="en-US"/>
        </w:rPr>
        <w:t>boni</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mali</w:t>
      </w:r>
      <w:proofErr w:type="spellEnd"/>
      <w:r w:rsidRPr="009D7635">
        <w:rPr>
          <w:rFonts w:ascii="Times New Roman" w:hAnsi="Times New Roman" w:cs="Times New Roman"/>
          <w:i/>
          <w:color w:val="000000" w:themeColor="text1"/>
          <w:sz w:val="20"/>
          <w:szCs w:val="20"/>
          <w:lang w:val="en-US"/>
        </w:rPr>
        <w:t>.</w:t>
      </w:r>
    </w:p>
  </w:footnote>
  <w:footnote w:id="1072">
    <w:p w14:paraId="0B5A2B75" w14:textId="2176EC6A" w:rsidR="00B93ED5" w:rsidRPr="009D7635" w:rsidRDefault="00B93ED5" w:rsidP="000D3D92">
      <w:pPr>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pacing w:val="2"/>
          <w:sz w:val="20"/>
          <w:szCs w:val="20"/>
          <w:shd w:val="clear" w:color="auto" w:fill="FCFCFC"/>
        </w:rPr>
        <w:t xml:space="preserve">I.P. </w:t>
      </w:r>
      <w:proofErr w:type="spellStart"/>
      <w:r w:rsidRPr="009D7635">
        <w:rPr>
          <w:rFonts w:ascii="Times New Roman" w:hAnsi="Times New Roman" w:cs="Times New Roman"/>
          <w:color w:val="000000" w:themeColor="text1"/>
          <w:spacing w:val="2"/>
          <w:sz w:val="20"/>
          <w:szCs w:val="20"/>
          <w:shd w:val="clear" w:color="auto" w:fill="FCFCFC"/>
        </w:rPr>
        <w:t>Bejczy</w:t>
      </w:r>
      <w:proofErr w:type="spellEnd"/>
      <w:r w:rsidRPr="009D7635">
        <w:rPr>
          <w:rFonts w:ascii="Times New Roman" w:hAnsi="Times New Roman" w:cs="Times New Roman"/>
          <w:color w:val="000000" w:themeColor="text1"/>
          <w:spacing w:val="2"/>
          <w:sz w:val="20"/>
          <w:szCs w:val="20"/>
          <w:shd w:val="clear" w:color="auto" w:fill="FCFCFC"/>
        </w:rPr>
        <w:t xml:space="preserve">, ‘John of La Rochelle and William </w:t>
      </w:r>
      <w:proofErr w:type="spellStart"/>
      <w:r w:rsidRPr="009D7635">
        <w:rPr>
          <w:rFonts w:ascii="Times New Roman" w:hAnsi="Times New Roman" w:cs="Times New Roman"/>
          <w:color w:val="000000" w:themeColor="text1"/>
          <w:spacing w:val="2"/>
          <w:sz w:val="20"/>
          <w:szCs w:val="20"/>
          <w:shd w:val="clear" w:color="auto" w:fill="FCFCFC"/>
        </w:rPr>
        <w:t>Peraldus</w:t>
      </w:r>
      <w:proofErr w:type="spellEnd"/>
      <w:r w:rsidRPr="009D7635">
        <w:rPr>
          <w:rFonts w:ascii="Times New Roman" w:hAnsi="Times New Roman" w:cs="Times New Roman"/>
          <w:color w:val="000000" w:themeColor="text1"/>
          <w:spacing w:val="2"/>
          <w:sz w:val="20"/>
          <w:szCs w:val="20"/>
          <w:shd w:val="clear" w:color="auto" w:fill="FCFCFC"/>
        </w:rPr>
        <w:t xml:space="preserve"> on the Virtues and Vices,’ </w:t>
      </w:r>
      <w:proofErr w:type="spellStart"/>
      <w:r w:rsidRPr="009D7635">
        <w:rPr>
          <w:rFonts w:ascii="Times New Roman" w:hAnsi="Times New Roman" w:cs="Times New Roman"/>
          <w:i/>
          <w:color w:val="000000" w:themeColor="text1"/>
          <w:spacing w:val="2"/>
          <w:sz w:val="20"/>
          <w:szCs w:val="20"/>
          <w:shd w:val="clear" w:color="auto" w:fill="FCFCFC"/>
        </w:rPr>
        <w:t>Archivum</w:t>
      </w:r>
      <w:proofErr w:type="spellEnd"/>
      <w:r w:rsidRPr="009D7635">
        <w:rPr>
          <w:rFonts w:ascii="Times New Roman" w:hAnsi="Times New Roman" w:cs="Times New Roman"/>
          <w:i/>
          <w:color w:val="000000" w:themeColor="text1"/>
          <w:spacing w:val="2"/>
          <w:sz w:val="20"/>
          <w:szCs w:val="20"/>
          <w:shd w:val="clear" w:color="auto" w:fill="FCFCFC"/>
        </w:rPr>
        <w:t xml:space="preserve"> </w:t>
      </w:r>
      <w:proofErr w:type="spellStart"/>
      <w:r w:rsidRPr="009D7635">
        <w:rPr>
          <w:rFonts w:ascii="Times New Roman" w:hAnsi="Times New Roman" w:cs="Times New Roman"/>
          <w:i/>
          <w:color w:val="000000" w:themeColor="text1"/>
          <w:spacing w:val="2"/>
          <w:sz w:val="20"/>
          <w:szCs w:val="20"/>
          <w:shd w:val="clear" w:color="auto" w:fill="FCFCFC"/>
        </w:rPr>
        <w:t>Franciscanum</w:t>
      </w:r>
      <w:proofErr w:type="spellEnd"/>
      <w:r w:rsidRPr="009D7635">
        <w:rPr>
          <w:rFonts w:ascii="Times New Roman" w:hAnsi="Times New Roman" w:cs="Times New Roman"/>
          <w:i/>
          <w:color w:val="000000" w:themeColor="text1"/>
          <w:spacing w:val="2"/>
          <w:sz w:val="20"/>
          <w:szCs w:val="20"/>
          <w:shd w:val="clear" w:color="auto" w:fill="FCFCFC"/>
        </w:rPr>
        <w:t xml:space="preserve"> </w:t>
      </w:r>
      <w:proofErr w:type="spellStart"/>
      <w:r w:rsidRPr="009D7635">
        <w:rPr>
          <w:rFonts w:ascii="Times New Roman" w:hAnsi="Times New Roman" w:cs="Times New Roman"/>
          <w:i/>
          <w:color w:val="000000" w:themeColor="text1"/>
          <w:spacing w:val="2"/>
          <w:sz w:val="20"/>
          <w:szCs w:val="20"/>
          <w:shd w:val="clear" w:color="auto" w:fill="FCFCFC"/>
        </w:rPr>
        <w:t>Historicum</w:t>
      </w:r>
      <w:proofErr w:type="spellEnd"/>
      <w:r w:rsidRPr="009D7635">
        <w:rPr>
          <w:rFonts w:ascii="Times New Roman" w:hAnsi="Times New Roman" w:cs="Times New Roman"/>
          <w:color w:val="000000" w:themeColor="text1"/>
          <w:spacing w:val="2"/>
          <w:sz w:val="20"/>
          <w:szCs w:val="20"/>
          <w:shd w:val="clear" w:color="auto" w:fill="FCFCFC"/>
        </w:rPr>
        <w:t xml:space="preserve"> 97 (2004)</w:t>
      </w:r>
      <w:r w:rsidR="00B9531E" w:rsidRPr="009D7635">
        <w:rPr>
          <w:rFonts w:ascii="Times New Roman" w:hAnsi="Times New Roman" w:cs="Times New Roman"/>
          <w:color w:val="000000" w:themeColor="text1"/>
          <w:spacing w:val="2"/>
          <w:sz w:val="20"/>
          <w:szCs w:val="20"/>
          <w:shd w:val="clear" w:color="auto" w:fill="FCFCFC"/>
        </w:rPr>
        <w:t xml:space="preserve">: </w:t>
      </w:r>
      <w:r w:rsidRPr="009D7635">
        <w:rPr>
          <w:rFonts w:ascii="Times New Roman" w:hAnsi="Times New Roman" w:cs="Times New Roman"/>
          <w:color w:val="000000" w:themeColor="text1"/>
          <w:spacing w:val="2"/>
          <w:sz w:val="20"/>
          <w:szCs w:val="20"/>
          <w:shd w:val="clear" w:color="auto" w:fill="FCFCFC"/>
        </w:rPr>
        <w:t>99-110.</w:t>
      </w:r>
      <w:r w:rsidR="009665BD" w:rsidRPr="009D7635">
        <w:rPr>
          <w:rFonts w:ascii="Times New Roman" w:hAnsi="Times New Roman" w:cs="Times New Roman"/>
          <w:color w:val="000000" w:themeColor="text1"/>
          <w:spacing w:val="2"/>
          <w:sz w:val="20"/>
          <w:szCs w:val="20"/>
          <w:shd w:val="clear" w:color="auto" w:fill="FCFCFC"/>
        </w:rPr>
        <w:t xml:space="preserve"> SH </w:t>
      </w:r>
      <w:r w:rsidRPr="009D7635">
        <w:rPr>
          <w:rFonts w:ascii="Times New Roman" w:hAnsi="Times New Roman" w:cs="Times New Roman"/>
          <w:color w:val="000000" w:themeColor="text1"/>
          <w:sz w:val="20"/>
          <w:szCs w:val="20"/>
        </w:rPr>
        <w:t xml:space="preserve">2.1, In4, Tr1, S2, Q2, T2, M2,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1, 445: </w:t>
      </w:r>
      <w:r w:rsidRPr="009D7635">
        <w:rPr>
          <w:rFonts w:ascii="Times New Roman" w:hAnsi="Times New Roman" w:cs="Times New Roman"/>
          <w:i/>
          <w:color w:val="000000" w:themeColor="text1"/>
          <w:sz w:val="20"/>
          <w:szCs w:val="20"/>
          <w:lang w:val="en-US"/>
        </w:rPr>
        <w:t xml:space="preserve">Ad quod </w:t>
      </w:r>
      <w:proofErr w:type="spellStart"/>
      <w:r w:rsidRPr="009D7635">
        <w:rPr>
          <w:rFonts w:ascii="Times New Roman" w:hAnsi="Times New Roman" w:cs="Times New Roman"/>
          <w:i/>
          <w:color w:val="000000" w:themeColor="text1"/>
          <w:sz w:val="20"/>
          <w:szCs w:val="20"/>
          <w:lang w:val="en-US"/>
        </w:rPr>
        <w:t>dicendum</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irascibilis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concupiscibilis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tripliciter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accipiuntur</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hoc </w:t>
      </w:r>
      <w:proofErr w:type="spellStart"/>
      <w:r w:rsidRPr="009D7635">
        <w:rPr>
          <w:rFonts w:ascii="Times New Roman" w:hAnsi="Times New Roman" w:cs="Times New Roman"/>
          <w:i/>
          <w:color w:val="000000" w:themeColor="text1"/>
          <w:sz w:val="20"/>
          <w:szCs w:val="20"/>
          <w:lang w:val="en-US"/>
        </w:rPr>
        <w:t>tripliciter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distinguuntur</w:t>
      </w:r>
      <w:proofErr w:type="spellEnd"/>
      <w:r w:rsidRPr="009D7635">
        <w:rPr>
          <w:rFonts w:ascii="Times New Roman" w:hAnsi="Times New Roman" w:cs="Times New Roman"/>
          <w:i/>
          <w:color w:val="000000" w:themeColor="text1"/>
          <w:sz w:val="20"/>
          <w:szCs w:val="20"/>
          <w:lang w:val="en-US"/>
        </w:rPr>
        <w:t xml:space="preserve">: uno modo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appetitum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boni</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fugam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mali</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hoc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et malum </w:t>
      </w:r>
      <w:proofErr w:type="spellStart"/>
      <w:r w:rsidRPr="009D7635">
        <w:rPr>
          <w:rFonts w:ascii="Times New Roman" w:hAnsi="Times New Roman" w:cs="Times New Roman"/>
          <w:i/>
          <w:color w:val="000000" w:themeColor="text1"/>
          <w:sz w:val="20"/>
          <w:szCs w:val="20"/>
          <w:lang w:val="en-US"/>
        </w:rPr>
        <w:t>distinguunt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concupiscibilem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irascibilem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alio</w:t>
      </w:r>
      <w:proofErr w:type="spellEnd"/>
      <w:r w:rsidRPr="009D7635">
        <w:rPr>
          <w:rFonts w:ascii="Times New Roman" w:hAnsi="Times New Roman" w:cs="Times New Roman"/>
          <w:i/>
          <w:color w:val="000000" w:themeColor="text1"/>
          <w:sz w:val="20"/>
          <w:szCs w:val="20"/>
          <w:lang w:val="en-US"/>
        </w:rPr>
        <w:t xml:space="preserve"> modo </w:t>
      </w:r>
      <w:proofErr w:type="spellStart"/>
      <w:r w:rsidRPr="009D7635">
        <w:rPr>
          <w:rFonts w:ascii="Times New Roman" w:hAnsi="Times New Roman" w:cs="Times New Roman"/>
          <w:i/>
          <w:color w:val="000000" w:themeColor="text1"/>
          <w:sz w:val="20"/>
          <w:szCs w:val="20"/>
          <w:lang w:val="en-US"/>
        </w:rPr>
        <w:t>distinguuntur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differentem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appetitum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concupiscibilis</w:t>
      </w:r>
      <w:proofErr w:type="spellEnd"/>
      <w:r w:rsidRPr="009D7635">
        <w:rPr>
          <w:rFonts w:ascii="Times New Roman" w:hAnsi="Times New Roman" w:cs="Times New Roman"/>
          <w:i/>
          <w:color w:val="000000" w:themeColor="text1"/>
          <w:sz w:val="20"/>
          <w:szCs w:val="20"/>
          <w:lang w:val="en-US"/>
        </w:rPr>
        <w:t xml:space="preserve"> sit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appetitum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delectabilis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irascibilis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appetitum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ardui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sive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honorabilis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tertio</w:t>
      </w:r>
      <w:proofErr w:type="spellEnd"/>
      <w:r w:rsidRPr="009D7635">
        <w:rPr>
          <w:rFonts w:ascii="Times New Roman" w:hAnsi="Times New Roman" w:cs="Times New Roman"/>
          <w:i/>
          <w:color w:val="000000" w:themeColor="text1"/>
          <w:sz w:val="20"/>
          <w:szCs w:val="20"/>
          <w:lang w:val="en-US"/>
        </w:rPr>
        <w:t xml:space="preserve"> modo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praesenti</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suo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opposito</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futuro</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suo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opposito</w:t>
      </w:r>
      <w:proofErr w:type="spellEnd"/>
      <w:r w:rsidRPr="009D7635">
        <w:rPr>
          <w:rFonts w:ascii="Times New Roman" w:hAnsi="Times New Roman" w:cs="Times New Roman"/>
          <w:i/>
          <w:color w:val="000000" w:themeColor="text1"/>
          <w:sz w:val="20"/>
          <w:szCs w:val="20"/>
          <w:lang w:val="en-US"/>
        </w:rPr>
        <w:t xml:space="preserve">. Primo modo </w:t>
      </w:r>
      <w:proofErr w:type="spellStart"/>
      <w:r w:rsidRPr="009D7635">
        <w:rPr>
          <w:rFonts w:ascii="Times New Roman" w:hAnsi="Times New Roman" w:cs="Times New Roman"/>
          <w:i/>
          <w:color w:val="000000" w:themeColor="text1"/>
          <w:sz w:val="20"/>
          <w:szCs w:val="20"/>
          <w:lang w:val="en-US"/>
        </w:rPr>
        <w:t>gaudium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concupiscentia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dicunt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appetitum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respectu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boni</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praesenti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futuro</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concupiscibilem</w:t>
      </w:r>
      <w:proofErr w:type="spellEnd"/>
      <w:r w:rsidRPr="009D7635">
        <w:rPr>
          <w:rFonts w:ascii="Times New Roman" w:hAnsi="Times New Roman" w:cs="Times New Roman"/>
          <w:i/>
          <w:color w:val="000000" w:themeColor="text1"/>
          <w:sz w:val="20"/>
          <w:szCs w:val="20"/>
          <w:lang w:val="en-US"/>
        </w:rPr>
        <w:t xml:space="preserve"> pertinent dolor</w:t>
      </w:r>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et timor, qui </w:t>
      </w:r>
      <w:proofErr w:type="spellStart"/>
      <w:r w:rsidRPr="009D7635">
        <w:rPr>
          <w:rFonts w:ascii="Times New Roman" w:hAnsi="Times New Roman" w:cs="Times New Roman"/>
          <w:i/>
          <w:color w:val="000000" w:themeColor="text1"/>
          <w:sz w:val="20"/>
          <w:szCs w:val="20"/>
          <w:lang w:val="en-US"/>
        </w:rPr>
        <w:t>consistunt</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fuga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mali</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praesenti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in </w:t>
      </w:r>
      <w:proofErr w:type="spellStart"/>
      <w:r w:rsidRPr="009D7635">
        <w:rPr>
          <w:rFonts w:ascii="Times New Roman" w:hAnsi="Times New Roman" w:cs="Times New Roman"/>
          <w:i/>
          <w:color w:val="000000" w:themeColor="text1"/>
          <w:sz w:val="20"/>
          <w:szCs w:val="20"/>
          <w:lang w:val="en-US"/>
        </w:rPr>
        <w:t>futuro</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irascibilem</w:t>
      </w:r>
      <w:proofErr w:type="spellEnd"/>
      <w:r w:rsidRPr="009D7635">
        <w:rPr>
          <w:rFonts w:ascii="Times New Roman" w:hAnsi="Times New Roman" w:cs="Times New Roman"/>
          <w:i/>
          <w:color w:val="000000" w:themeColor="text1"/>
          <w:sz w:val="20"/>
          <w:szCs w:val="20"/>
          <w:lang w:val="en-US"/>
        </w:rPr>
        <w:t xml:space="preserve">. Et hoc </w:t>
      </w:r>
      <w:r w:rsidRPr="009D7635">
        <w:rPr>
          <w:rFonts w:ascii="Times New Roman" w:hAnsi="Times New Roman" w:cs="Times New Roman"/>
          <w:i/>
          <w:iCs/>
          <w:color w:val="000000" w:themeColor="text1"/>
          <w:sz w:val="20"/>
          <w:szCs w:val="20"/>
        </w:rPr>
        <w:t xml:space="preserve">modo </w:t>
      </w:r>
      <w:proofErr w:type="spellStart"/>
      <w:r w:rsidRPr="009D7635">
        <w:rPr>
          <w:rFonts w:ascii="Times New Roman" w:hAnsi="Times New Roman" w:cs="Times New Roman"/>
          <w:i/>
          <w:iCs/>
          <w:color w:val="000000" w:themeColor="text1"/>
          <w:sz w:val="20"/>
          <w:szCs w:val="20"/>
        </w:rPr>
        <w:t>possunt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accipi</w:t>
      </w:r>
      <w:proofErr w:type="spellEnd"/>
      <w:r w:rsidRPr="009D7635">
        <w:rPr>
          <w:rFonts w:ascii="Times New Roman" w:hAnsi="Times New Roman" w:cs="Times New Roman"/>
          <w:i/>
          <w:iCs/>
          <w:color w:val="000000" w:themeColor="text1"/>
          <w:sz w:val="20"/>
          <w:szCs w:val="20"/>
        </w:rPr>
        <w:t xml:space="preserve">, cum </w:t>
      </w:r>
      <w:proofErr w:type="spellStart"/>
      <w:r w:rsidRPr="009D7635">
        <w:rPr>
          <w:rFonts w:ascii="Times New Roman" w:hAnsi="Times New Roman" w:cs="Times New Roman"/>
          <w:i/>
          <w:iCs/>
          <w:color w:val="000000" w:themeColor="text1"/>
          <w:sz w:val="20"/>
          <w:szCs w:val="20"/>
        </w:rPr>
        <w:t>quatuor</w:t>
      </w:r>
      <w:proofErr w:type="spellEnd"/>
      <w:r w:rsidRPr="009D7635">
        <w:rPr>
          <w:rFonts w:ascii="Times New Roman" w:hAnsi="Times New Roman" w:cs="Times New Roman"/>
          <w:i/>
          <w:iCs/>
          <w:color w:val="000000" w:themeColor="text1"/>
          <w:sz w:val="20"/>
          <w:szCs w:val="20"/>
        </w:rPr>
        <w:t xml:space="preserve"> affections </w:t>
      </w:r>
      <w:proofErr w:type="spellStart"/>
      <w:r w:rsidRPr="009D7635">
        <w:rPr>
          <w:rFonts w:ascii="Times New Roman" w:hAnsi="Times New Roman" w:cs="Times New Roman"/>
          <w:i/>
          <w:iCs/>
          <w:color w:val="000000" w:themeColor="text1"/>
          <w:sz w:val="20"/>
          <w:szCs w:val="20"/>
        </w:rPr>
        <w:t>distinguuntur</w:t>
      </w:r>
      <w:proofErr w:type="spellEnd"/>
      <w:r w:rsidRPr="009D7635">
        <w:rPr>
          <w:rFonts w:ascii="Times New Roman" w:hAnsi="Times New Roman" w:cs="Times New Roman"/>
          <w:i/>
          <w:iCs/>
          <w:color w:val="000000" w:themeColor="text1"/>
          <w:sz w:val="20"/>
          <w:szCs w:val="20"/>
        </w:rPr>
        <w:t xml:space="preserve"> a </w:t>
      </w:r>
      <w:proofErr w:type="spellStart"/>
      <w:r w:rsidRPr="009D7635">
        <w:rPr>
          <w:rFonts w:ascii="Times New Roman" w:hAnsi="Times New Roman" w:cs="Times New Roman"/>
          <w:i/>
          <w:iCs/>
          <w:color w:val="000000" w:themeColor="text1"/>
          <w:sz w:val="20"/>
          <w:szCs w:val="20"/>
        </w:rPr>
        <w:t>philosophis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secundum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voluntatem</w:t>
      </w:r>
      <w:proofErr w:type="spellEnd"/>
      <w:r w:rsidRPr="009D7635">
        <w:rPr>
          <w:rFonts w:ascii="Times New Roman" w:hAnsi="Times New Roman" w:cs="Times New Roman"/>
          <w:i/>
          <w:iCs/>
          <w:color w:val="000000" w:themeColor="text1"/>
          <w:sz w:val="20"/>
          <w:szCs w:val="20"/>
        </w:rPr>
        <w:t xml:space="preserve"> et </w:t>
      </w:r>
      <w:proofErr w:type="spellStart"/>
      <w:r w:rsidRPr="009D7635">
        <w:rPr>
          <w:rFonts w:ascii="Times New Roman" w:hAnsi="Times New Roman" w:cs="Times New Roman"/>
          <w:i/>
          <w:iCs/>
          <w:color w:val="000000" w:themeColor="text1"/>
          <w:sz w:val="20"/>
          <w:szCs w:val="20"/>
        </w:rPr>
        <w:t>noluntatem</w:t>
      </w:r>
      <w:proofErr w:type="spellEnd"/>
      <w:r w:rsidRPr="009D7635">
        <w:rPr>
          <w:rFonts w:ascii="Times New Roman" w:hAnsi="Times New Roman" w:cs="Times New Roman"/>
          <w:i/>
          <w:iCs/>
          <w:color w:val="000000" w:themeColor="text1"/>
          <w:sz w:val="20"/>
          <w:szCs w:val="20"/>
        </w:rPr>
        <w:t xml:space="preserve">: hoc </w:t>
      </w:r>
      <w:proofErr w:type="spellStart"/>
      <w:r w:rsidRPr="009D7635">
        <w:rPr>
          <w:rFonts w:ascii="Times New Roman" w:hAnsi="Times New Roman" w:cs="Times New Roman"/>
          <w:i/>
          <w:iCs/>
          <w:color w:val="000000" w:themeColor="text1"/>
          <w:sz w:val="20"/>
          <w:szCs w:val="20"/>
        </w:rPr>
        <w:t>enim</w:t>
      </w:r>
      <w:proofErr w:type="spellEnd"/>
      <w:r w:rsidRPr="009D7635">
        <w:rPr>
          <w:rFonts w:ascii="Times New Roman" w:hAnsi="Times New Roman" w:cs="Times New Roman"/>
          <w:i/>
          <w:iCs/>
          <w:color w:val="000000" w:themeColor="text1"/>
          <w:sz w:val="20"/>
          <w:szCs w:val="20"/>
        </w:rPr>
        <w:t xml:space="preserve"> idem quod </w:t>
      </w:r>
      <w:proofErr w:type="spellStart"/>
      <w:r w:rsidRPr="009D7635">
        <w:rPr>
          <w:rFonts w:ascii="Times New Roman" w:hAnsi="Times New Roman" w:cs="Times New Roman"/>
          <w:i/>
          <w:iCs/>
          <w:color w:val="000000" w:themeColor="text1"/>
          <w:sz w:val="20"/>
          <w:szCs w:val="20"/>
        </w:rPr>
        <w:t>secundum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appetitum</w:t>
      </w:r>
      <w:proofErr w:type="spellEnd"/>
      <w:r w:rsidRPr="009D7635">
        <w:rPr>
          <w:rFonts w:ascii="Times New Roman" w:hAnsi="Times New Roman" w:cs="Times New Roman"/>
          <w:i/>
          <w:iCs/>
          <w:color w:val="000000" w:themeColor="text1"/>
          <w:sz w:val="20"/>
          <w:szCs w:val="20"/>
        </w:rPr>
        <w:t xml:space="preserve"> et </w:t>
      </w:r>
      <w:proofErr w:type="spellStart"/>
      <w:r w:rsidRPr="009D7635">
        <w:rPr>
          <w:rFonts w:ascii="Times New Roman" w:hAnsi="Times New Roman" w:cs="Times New Roman"/>
          <w:i/>
          <w:iCs/>
          <w:color w:val="000000" w:themeColor="text1"/>
          <w:sz w:val="20"/>
          <w:szCs w:val="20"/>
        </w:rPr>
        <w:t>fugam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Secundo</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vero</w:t>
      </w:r>
      <w:proofErr w:type="spellEnd"/>
      <w:r w:rsidRPr="009D7635">
        <w:rPr>
          <w:rFonts w:ascii="Times New Roman" w:hAnsi="Times New Roman" w:cs="Times New Roman"/>
          <w:i/>
          <w:iCs/>
          <w:color w:val="000000" w:themeColor="text1"/>
          <w:sz w:val="20"/>
          <w:szCs w:val="20"/>
        </w:rPr>
        <w:t xml:space="preserve"> modo </w:t>
      </w:r>
      <w:proofErr w:type="spellStart"/>
      <w:r w:rsidRPr="009D7635">
        <w:rPr>
          <w:rFonts w:ascii="Times New Roman" w:hAnsi="Times New Roman" w:cs="Times New Roman"/>
          <w:i/>
          <w:iCs/>
          <w:color w:val="000000" w:themeColor="text1"/>
          <w:sz w:val="20"/>
          <w:szCs w:val="20"/>
        </w:rPr>
        <w:t>accipiuntur</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hae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duae</w:t>
      </w:r>
      <w:proofErr w:type="spellEnd"/>
      <w:r w:rsidRPr="009D7635">
        <w:rPr>
          <w:rFonts w:ascii="Times New Roman" w:hAnsi="Times New Roman" w:cs="Times New Roman"/>
          <w:i/>
          <w:iCs/>
          <w:color w:val="000000" w:themeColor="text1"/>
          <w:sz w:val="20"/>
          <w:szCs w:val="20"/>
        </w:rPr>
        <w:t xml:space="preserve"> vires </w:t>
      </w:r>
      <w:proofErr w:type="spellStart"/>
      <w:r w:rsidRPr="009D7635">
        <w:rPr>
          <w:rFonts w:ascii="Times New Roman" w:hAnsi="Times New Roman" w:cs="Times New Roman"/>
          <w:i/>
          <w:iCs/>
          <w:color w:val="000000" w:themeColor="text1"/>
          <w:sz w:val="20"/>
          <w:szCs w:val="20"/>
        </w:rPr>
        <w:t>prout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eis</w:t>
      </w:r>
      <w:proofErr w:type="spellEnd"/>
      <w:r w:rsidRPr="009D7635">
        <w:rPr>
          <w:rFonts w:ascii="Times New Roman" w:hAnsi="Times New Roman" w:cs="Times New Roman"/>
          <w:i/>
          <w:iCs/>
          <w:color w:val="000000" w:themeColor="text1"/>
          <w:sz w:val="20"/>
          <w:szCs w:val="20"/>
        </w:rPr>
        <w:t xml:space="preserve"> respondent </w:t>
      </w:r>
      <w:proofErr w:type="spellStart"/>
      <w:r w:rsidRPr="009D7635">
        <w:rPr>
          <w:rFonts w:ascii="Times New Roman" w:hAnsi="Times New Roman" w:cs="Times New Roman"/>
          <w:i/>
          <w:iCs/>
          <w:color w:val="000000" w:themeColor="text1"/>
          <w:sz w:val="20"/>
          <w:szCs w:val="20"/>
        </w:rPr>
        <w:t>cardinales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virtutes</w:t>
      </w:r>
      <w:proofErr w:type="spellEnd"/>
      <w:r w:rsidRPr="009D7635">
        <w:rPr>
          <w:rFonts w:ascii="Times New Roman" w:hAnsi="Times New Roman" w:cs="Times New Roman"/>
          <w:i/>
          <w:iCs/>
          <w:color w:val="000000" w:themeColor="text1"/>
          <w:sz w:val="20"/>
          <w:szCs w:val="20"/>
        </w:rPr>
        <w:t xml:space="preserve">, scilicet </w:t>
      </w:r>
      <w:proofErr w:type="spellStart"/>
      <w:r w:rsidRPr="009D7635">
        <w:rPr>
          <w:rFonts w:ascii="Times New Roman" w:hAnsi="Times New Roman" w:cs="Times New Roman"/>
          <w:i/>
          <w:iCs/>
          <w:color w:val="000000" w:themeColor="text1"/>
          <w:sz w:val="20"/>
          <w:szCs w:val="20"/>
        </w:rPr>
        <w:t>temperantia</w:t>
      </w:r>
      <w:proofErr w:type="spellEnd"/>
      <w:r w:rsidRPr="009D7635">
        <w:rPr>
          <w:rFonts w:ascii="Times New Roman" w:hAnsi="Times New Roman" w:cs="Times New Roman"/>
          <w:i/>
          <w:iCs/>
          <w:color w:val="000000" w:themeColor="text1"/>
          <w:sz w:val="20"/>
          <w:szCs w:val="20"/>
        </w:rPr>
        <w:t xml:space="preserve"> et </w:t>
      </w:r>
      <w:proofErr w:type="spellStart"/>
      <w:r w:rsidRPr="009D7635">
        <w:rPr>
          <w:rFonts w:ascii="Times New Roman" w:hAnsi="Times New Roman" w:cs="Times New Roman"/>
          <w:i/>
          <w:iCs/>
          <w:color w:val="000000" w:themeColor="text1"/>
          <w:sz w:val="20"/>
          <w:szCs w:val="20"/>
        </w:rPr>
        <w:t>fortitudo</w:t>
      </w:r>
      <w:proofErr w:type="spellEnd"/>
      <w:r w:rsidRPr="009D7635">
        <w:rPr>
          <w:rFonts w:ascii="Times New Roman" w:hAnsi="Times New Roman" w:cs="Times New Roman"/>
          <w:i/>
          <w:iCs/>
          <w:color w:val="000000" w:themeColor="text1"/>
          <w:sz w:val="20"/>
          <w:szCs w:val="20"/>
        </w:rPr>
        <w:t xml:space="preserve">: nam </w:t>
      </w:r>
      <w:proofErr w:type="spellStart"/>
      <w:r w:rsidRPr="009D7635">
        <w:rPr>
          <w:rFonts w:ascii="Times New Roman" w:hAnsi="Times New Roman" w:cs="Times New Roman"/>
          <w:i/>
          <w:iCs/>
          <w:color w:val="000000" w:themeColor="text1"/>
          <w:sz w:val="20"/>
          <w:szCs w:val="20"/>
        </w:rPr>
        <w:t>temperantia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est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respectu</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delectabilium</w:t>
      </w:r>
      <w:proofErr w:type="spellEnd"/>
      <w:r w:rsidRPr="009D7635">
        <w:rPr>
          <w:rFonts w:ascii="Times New Roman" w:hAnsi="Times New Roman" w:cs="Times New Roman"/>
          <w:i/>
          <w:iCs/>
          <w:color w:val="000000" w:themeColor="text1"/>
          <w:sz w:val="20"/>
          <w:szCs w:val="20"/>
        </w:rPr>
        <w:t xml:space="preserve">, fortitude </w:t>
      </w:r>
      <w:proofErr w:type="spellStart"/>
      <w:r w:rsidRPr="009D7635">
        <w:rPr>
          <w:rFonts w:ascii="Times New Roman" w:hAnsi="Times New Roman" w:cs="Times New Roman"/>
          <w:i/>
          <w:iCs/>
          <w:color w:val="000000" w:themeColor="text1"/>
          <w:sz w:val="20"/>
          <w:szCs w:val="20"/>
        </w:rPr>
        <w:t>vero</w:t>
      </w:r>
      <w:proofErr w:type="spellEnd"/>
      <w:r w:rsidRPr="009D7635">
        <w:rPr>
          <w:rFonts w:ascii="Times New Roman" w:hAnsi="Times New Roman" w:cs="Times New Roman"/>
          <w:i/>
          <w:iCs/>
          <w:color w:val="000000" w:themeColor="text1"/>
          <w:sz w:val="20"/>
          <w:szCs w:val="20"/>
        </w:rPr>
        <w:t xml:space="preserve"> in </w:t>
      </w:r>
      <w:proofErr w:type="spellStart"/>
      <w:r w:rsidRPr="009D7635">
        <w:rPr>
          <w:rFonts w:ascii="Times New Roman" w:hAnsi="Times New Roman" w:cs="Times New Roman"/>
          <w:i/>
          <w:iCs/>
          <w:color w:val="000000" w:themeColor="text1"/>
          <w:sz w:val="20"/>
          <w:szCs w:val="20"/>
        </w:rPr>
        <w:t>appetitu</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arduorum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sive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honorabilium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licet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tristia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vel</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indelectabilia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reputentur</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Tertio</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vero</w:t>
      </w:r>
      <w:proofErr w:type="spellEnd"/>
      <w:r w:rsidRPr="009D7635">
        <w:rPr>
          <w:rFonts w:ascii="Times New Roman" w:hAnsi="Times New Roman" w:cs="Times New Roman"/>
          <w:i/>
          <w:iCs/>
          <w:color w:val="000000" w:themeColor="text1"/>
          <w:sz w:val="20"/>
          <w:szCs w:val="20"/>
        </w:rPr>
        <w:t xml:space="preserve"> modo </w:t>
      </w:r>
      <w:proofErr w:type="spellStart"/>
      <w:r w:rsidRPr="009D7635">
        <w:rPr>
          <w:rFonts w:ascii="Times New Roman" w:hAnsi="Times New Roman" w:cs="Times New Roman"/>
          <w:i/>
          <w:iCs/>
          <w:color w:val="000000" w:themeColor="text1"/>
          <w:sz w:val="20"/>
          <w:szCs w:val="20"/>
        </w:rPr>
        <w:t>accipiuntur</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prout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dolor</w:t>
      </w:r>
      <w:proofErr w:type="spellEnd"/>
      <w:r w:rsidRPr="009D7635">
        <w:rPr>
          <w:rFonts w:ascii="Times New Roman" w:hAnsi="Times New Roman" w:cs="Times New Roman"/>
          <w:i/>
          <w:iCs/>
          <w:color w:val="000000" w:themeColor="text1"/>
          <w:sz w:val="20"/>
          <w:szCs w:val="20"/>
        </w:rPr>
        <w:t xml:space="preserve"> et </w:t>
      </w:r>
      <w:proofErr w:type="spellStart"/>
      <w:r w:rsidRPr="009D7635">
        <w:rPr>
          <w:rFonts w:ascii="Times New Roman" w:hAnsi="Times New Roman" w:cs="Times New Roman"/>
          <w:i/>
          <w:iCs/>
          <w:color w:val="000000" w:themeColor="text1"/>
          <w:sz w:val="20"/>
          <w:szCs w:val="20"/>
        </w:rPr>
        <w:t>gaudium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dicuntur</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esse</w:t>
      </w:r>
      <w:proofErr w:type="spellEnd"/>
      <w:r w:rsidRPr="009D7635">
        <w:rPr>
          <w:rFonts w:ascii="Times New Roman" w:hAnsi="Times New Roman" w:cs="Times New Roman"/>
          <w:i/>
          <w:iCs/>
          <w:color w:val="000000" w:themeColor="text1"/>
          <w:sz w:val="20"/>
          <w:szCs w:val="20"/>
        </w:rPr>
        <w:t xml:space="preserve"> in </w:t>
      </w:r>
      <w:proofErr w:type="spellStart"/>
      <w:r w:rsidRPr="009D7635">
        <w:rPr>
          <w:rFonts w:ascii="Times New Roman" w:hAnsi="Times New Roman" w:cs="Times New Roman"/>
          <w:i/>
          <w:iCs/>
          <w:color w:val="000000" w:themeColor="text1"/>
          <w:sz w:val="20"/>
          <w:szCs w:val="20"/>
        </w:rPr>
        <w:t>concupiscibili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spes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vero</w:t>
      </w:r>
      <w:proofErr w:type="spellEnd"/>
      <w:r w:rsidRPr="009D7635">
        <w:rPr>
          <w:rFonts w:ascii="Times New Roman" w:hAnsi="Times New Roman" w:cs="Times New Roman"/>
          <w:i/>
          <w:iCs/>
          <w:color w:val="000000" w:themeColor="text1"/>
          <w:sz w:val="20"/>
          <w:szCs w:val="20"/>
        </w:rPr>
        <w:t xml:space="preserve"> et </w:t>
      </w:r>
      <w:proofErr w:type="spellStart"/>
      <w:r w:rsidRPr="009D7635">
        <w:rPr>
          <w:rFonts w:ascii="Times New Roman" w:hAnsi="Times New Roman" w:cs="Times New Roman"/>
          <w:i/>
          <w:iCs/>
          <w:color w:val="000000" w:themeColor="text1"/>
          <w:sz w:val="20"/>
          <w:szCs w:val="20"/>
        </w:rPr>
        <w:t>metus</w:t>
      </w:r>
      <w:proofErr w:type="spellEnd"/>
      <w:r w:rsidRPr="009D7635">
        <w:rPr>
          <w:rFonts w:ascii="Times New Roman" w:hAnsi="Times New Roman" w:cs="Times New Roman"/>
          <w:i/>
          <w:iCs/>
          <w:color w:val="000000" w:themeColor="text1"/>
          <w:sz w:val="20"/>
          <w:szCs w:val="20"/>
        </w:rPr>
        <w:t xml:space="preserve"> in </w:t>
      </w:r>
      <w:proofErr w:type="spellStart"/>
      <w:r w:rsidRPr="009D7635">
        <w:rPr>
          <w:rFonts w:ascii="Times New Roman" w:hAnsi="Times New Roman" w:cs="Times New Roman"/>
          <w:i/>
          <w:iCs/>
          <w:color w:val="000000" w:themeColor="text1"/>
          <w:sz w:val="20"/>
          <w:szCs w:val="20"/>
        </w:rPr>
        <w:t>irascibili</w:t>
      </w:r>
      <w:proofErr w:type="spellEnd"/>
      <w:r w:rsidRPr="009D7635">
        <w:rPr>
          <w:rFonts w:ascii="Times New Roman" w:hAnsi="Times New Roman" w:cs="Times New Roman"/>
          <w:i/>
          <w:iCs/>
          <w:color w:val="000000" w:themeColor="text1"/>
          <w:sz w:val="20"/>
          <w:szCs w:val="20"/>
        </w:rPr>
        <w:t xml:space="preserve">. Hoc modo </w:t>
      </w:r>
      <w:proofErr w:type="spellStart"/>
      <w:r w:rsidRPr="009D7635">
        <w:rPr>
          <w:rFonts w:ascii="Times New Roman" w:hAnsi="Times New Roman" w:cs="Times New Roman"/>
          <w:i/>
          <w:iCs/>
          <w:color w:val="000000" w:themeColor="text1"/>
          <w:sz w:val="20"/>
          <w:szCs w:val="20"/>
        </w:rPr>
        <w:t>etiam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distinguit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Damascenus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delectationem</w:t>
      </w:r>
      <w:proofErr w:type="spellEnd"/>
      <w:r w:rsidRPr="009D7635">
        <w:rPr>
          <w:rFonts w:ascii="Times New Roman" w:hAnsi="Times New Roman" w:cs="Times New Roman"/>
          <w:i/>
          <w:iCs/>
          <w:color w:val="000000" w:themeColor="text1"/>
          <w:sz w:val="20"/>
          <w:szCs w:val="20"/>
        </w:rPr>
        <w:t xml:space="preserve"> et </w:t>
      </w:r>
      <w:proofErr w:type="spellStart"/>
      <w:r w:rsidRPr="009D7635">
        <w:rPr>
          <w:rFonts w:ascii="Times New Roman" w:hAnsi="Times New Roman" w:cs="Times New Roman"/>
          <w:i/>
          <w:iCs/>
          <w:color w:val="000000" w:themeColor="text1"/>
          <w:sz w:val="20"/>
          <w:szCs w:val="20"/>
        </w:rPr>
        <w:t>tristitiam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dicens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pertinere</w:t>
      </w:r>
      <w:proofErr w:type="spellEnd"/>
      <w:r w:rsidRPr="009D7635">
        <w:rPr>
          <w:rFonts w:ascii="Times New Roman" w:hAnsi="Times New Roman" w:cs="Times New Roman"/>
          <w:i/>
          <w:iCs/>
          <w:color w:val="000000" w:themeColor="text1"/>
          <w:sz w:val="20"/>
          <w:szCs w:val="20"/>
        </w:rPr>
        <w:t xml:space="preserve"> ad </w:t>
      </w:r>
      <w:proofErr w:type="spellStart"/>
      <w:r w:rsidRPr="009D7635">
        <w:rPr>
          <w:rFonts w:ascii="Times New Roman" w:hAnsi="Times New Roman" w:cs="Times New Roman"/>
          <w:i/>
          <w:iCs/>
          <w:color w:val="000000" w:themeColor="text1"/>
          <w:sz w:val="20"/>
          <w:szCs w:val="20"/>
        </w:rPr>
        <w:t>concupiscibilem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timorem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vero</w:t>
      </w:r>
      <w:proofErr w:type="spellEnd"/>
      <w:r w:rsidRPr="009D7635">
        <w:rPr>
          <w:rFonts w:ascii="Times New Roman" w:hAnsi="Times New Roman" w:cs="Times New Roman"/>
          <w:i/>
          <w:iCs/>
          <w:color w:val="000000" w:themeColor="text1"/>
          <w:sz w:val="20"/>
          <w:szCs w:val="20"/>
        </w:rPr>
        <w:t xml:space="preserve"> et </w:t>
      </w:r>
      <w:proofErr w:type="spellStart"/>
      <w:r w:rsidRPr="009D7635">
        <w:rPr>
          <w:rFonts w:ascii="Times New Roman" w:hAnsi="Times New Roman" w:cs="Times New Roman"/>
          <w:i/>
          <w:iCs/>
          <w:color w:val="000000" w:themeColor="text1"/>
          <w:sz w:val="20"/>
          <w:szCs w:val="20"/>
        </w:rPr>
        <w:t>iram</w:t>
      </w:r>
      <w:proofErr w:type="spellEnd"/>
      <w:r w:rsidRPr="009D7635">
        <w:rPr>
          <w:rFonts w:ascii="Times New Roman" w:hAnsi="Times New Roman" w:cs="Times New Roman"/>
          <w:i/>
          <w:iCs/>
          <w:color w:val="000000" w:themeColor="text1"/>
          <w:sz w:val="20"/>
          <w:szCs w:val="20"/>
        </w:rPr>
        <w:t xml:space="preserve"> ad </w:t>
      </w:r>
      <w:proofErr w:type="spellStart"/>
      <w:r w:rsidRPr="009D7635">
        <w:rPr>
          <w:rFonts w:ascii="Times New Roman" w:hAnsi="Times New Roman" w:cs="Times New Roman"/>
          <w:i/>
          <w:iCs/>
          <w:color w:val="000000" w:themeColor="text1"/>
          <w:sz w:val="20"/>
          <w:szCs w:val="20"/>
        </w:rPr>
        <w:t>irascibilem</w:t>
      </w:r>
      <w:proofErr w:type="spellEnd"/>
      <w:r w:rsidRPr="009D7635">
        <w:rPr>
          <w:rFonts w:ascii="Times New Roman" w:hAnsi="Times New Roman" w:cs="Times New Roman"/>
          <w:i/>
          <w:iCs/>
          <w:color w:val="000000" w:themeColor="text1"/>
          <w:sz w:val="20"/>
          <w:szCs w:val="20"/>
        </w:rPr>
        <w:t>.</w:t>
      </w:r>
    </w:p>
  </w:footnote>
  <w:footnote w:id="1073">
    <w:p w14:paraId="1D41D058" w14:textId="5C3D4FDB" w:rsidR="00B93ED5" w:rsidRPr="009D7635" w:rsidRDefault="00B93ED5" w:rsidP="000D3D92">
      <w:pPr>
        <w:autoSpaceDE w:val="0"/>
        <w:autoSpaceDN w:val="0"/>
        <w:adjustRightInd w:val="0"/>
        <w:rPr>
          <w:rFonts w:ascii="Times New Roman" w:hAnsi="Times New Roman" w:cs="Times New Roman"/>
          <w:i/>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009665BD" w:rsidRPr="009D7635">
        <w:rPr>
          <w:rFonts w:ascii="Times New Roman" w:hAnsi="Times New Roman" w:cs="Times New Roman"/>
          <w:color w:val="000000" w:themeColor="text1"/>
          <w:sz w:val="20"/>
          <w:szCs w:val="20"/>
        </w:rPr>
        <w:t xml:space="preserve"> SH </w:t>
      </w:r>
      <w:r w:rsidRPr="009D7635">
        <w:rPr>
          <w:rFonts w:ascii="Times New Roman" w:hAnsi="Times New Roman" w:cs="Times New Roman"/>
          <w:color w:val="000000" w:themeColor="text1"/>
          <w:sz w:val="20"/>
          <w:szCs w:val="20"/>
        </w:rPr>
        <w:t xml:space="preserve">2.1, In4, Tr1, S2, Q3, T2, 464, citing DFO II.22: </w:t>
      </w:r>
      <w:r w:rsidRPr="009D7635">
        <w:rPr>
          <w:rFonts w:ascii="Times New Roman" w:hAnsi="Times New Roman" w:cs="Times New Roman"/>
          <w:i/>
          <w:color w:val="000000" w:themeColor="text1"/>
          <w:sz w:val="20"/>
          <w:szCs w:val="20"/>
        </w:rPr>
        <w:t xml:space="preserve">Johannes </w:t>
      </w:r>
      <w:proofErr w:type="spellStart"/>
      <w:r w:rsidRPr="009D7635">
        <w:rPr>
          <w:rFonts w:ascii="Times New Roman" w:hAnsi="Times New Roman" w:cs="Times New Roman"/>
          <w:i/>
          <w:color w:val="000000" w:themeColor="text1"/>
          <w:sz w:val="20"/>
          <w:szCs w:val="20"/>
        </w:rPr>
        <w:t>Damascenus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lang w:val="en-US"/>
        </w:rPr>
        <w:t>ponit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divisionem</w:t>
      </w:r>
      <w:proofErr w:type="spellEnd"/>
      <w:r w:rsidRPr="009D7635">
        <w:rPr>
          <w:rFonts w:ascii="Times New Roman" w:hAnsi="Times New Roman" w:cs="Times New Roman"/>
          <w:i/>
          <w:color w:val="000000" w:themeColor="text1"/>
          <w:sz w:val="20"/>
          <w:szCs w:val="20"/>
          <w:lang w:val="en-US"/>
        </w:rPr>
        <w:t xml:space="preserve"> per </w:t>
      </w:r>
      <w:proofErr w:type="spellStart"/>
      <w:r w:rsidRPr="009D7635">
        <w:rPr>
          <w:rFonts w:ascii="Times New Roman" w:hAnsi="Times New Roman" w:cs="Times New Roman"/>
          <w:i/>
          <w:color w:val="000000" w:themeColor="text1"/>
          <w:sz w:val="20"/>
          <w:szCs w:val="20"/>
          <w:lang w:val="en-US"/>
        </w:rPr>
        <w:t>thelesis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boulesis</w:t>
      </w:r>
      <w:proofErr w:type="spellEnd"/>
      <w:r w:rsidRPr="009D7635">
        <w:rPr>
          <w:rFonts w:ascii="Times New Roman" w:hAnsi="Times New Roman" w:cs="Times New Roman"/>
          <w:i/>
          <w:color w:val="000000" w:themeColor="text1"/>
          <w:sz w:val="20"/>
          <w:szCs w:val="20"/>
          <w:lang w:val="en-US"/>
        </w:rPr>
        <w:t xml:space="preserve">, hoc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per </w:t>
      </w:r>
      <w:proofErr w:type="spellStart"/>
      <w:r w:rsidRPr="009D7635">
        <w:rPr>
          <w:rFonts w:ascii="Times New Roman" w:hAnsi="Times New Roman" w:cs="Times New Roman"/>
          <w:i/>
          <w:color w:val="000000" w:themeColor="text1"/>
          <w:sz w:val="20"/>
          <w:szCs w:val="20"/>
          <w:lang w:val="en-US"/>
        </w:rPr>
        <w:t>voluntatem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naturalem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electivam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nomine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autem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electivae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voluntatis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intelligit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liberum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infra in </w:t>
      </w:r>
      <w:proofErr w:type="spellStart"/>
      <w:r w:rsidRPr="009D7635">
        <w:rPr>
          <w:rFonts w:ascii="Times New Roman" w:hAnsi="Times New Roman" w:cs="Times New Roman"/>
          <w:i/>
          <w:color w:val="000000" w:themeColor="text1"/>
          <w:sz w:val="20"/>
          <w:szCs w:val="20"/>
          <w:lang w:val="en-US"/>
        </w:rPr>
        <w:t>suo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tractatu</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determinat</w:t>
      </w:r>
      <w:proofErr w:type="spellEnd"/>
      <w:r w:rsidRPr="009D7635">
        <w:rPr>
          <w:rFonts w:ascii="Times New Roman" w:hAnsi="Times New Roman" w:cs="Times New Roman"/>
          <w:i/>
          <w:color w:val="000000" w:themeColor="text1"/>
          <w:sz w:val="20"/>
          <w:szCs w:val="20"/>
          <w:lang w:val="en-US"/>
        </w:rPr>
        <w:t>.</w:t>
      </w:r>
    </w:p>
  </w:footnote>
  <w:footnote w:id="1074">
    <w:p w14:paraId="00E27339" w14:textId="633A98D6"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2.1, In4, Tr1, S2, Q3, T2, 464, citing DSEA 13.</w:t>
      </w:r>
    </w:p>
  </w:footnote>
  <w:footnote w:id="1075">
    <w:p w14:paraId="0A6B0E7A" w14:textId="3B10DFF6"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T2, 464, citing Gregory the Great, </w:t>
      </w:r>
      <w:r w:rsidRPr="009D7635">
        <w:rPr>
          <w:rFonts w:ascii="Times New Roman" w:hAnsi="Times New Roman" w:cs="Times New Roman"/>
          <w:i/>
          <w:color w:val="000000" w:themeColor="text1"/>
          <w:lang w:val="en-US"/>
        </w:rPr>
        <w:t xml:space="preserve">Super </w:t>
      </w:r>
      <w:proofErr w:type="spellStart"/>
      <w:r w:rsidRPr="009D7635">
        <w:rPr>
          <w:rFonts w:ascii="Times New Roman" w:hAnsi="Times New Roman" w:cs="Times New Roman"/>
          <w:i/>
          <w:color w:val="000000" w:themeColor="text1"/>
          <w:lang w:val="en-US"/>
        </w:rPr>
        <w:t>Ezechielem</w:t>
      </w:r>
      <w:proofErr w:type="spellEnd"/>
      <w:r w:rsidRPr="009D7635">
        <w:rPr>
          <w:rFonts w:ascii="Times New Roman" w:hAnsi="Times New Roman" w:cs="Times New Roman"/>
          <w:color w:val="000000" w:themeColor="text1"/>
          <w:lang w:val="en-US"/>
        </w:rPr>
        <w:t xml:space="preserve"> l.7 (PL 25, 22).</w:t>
      </w:r>
    </w:p>
  </w:footnote>
  <w:footnote w:id="1076">
    <w:p w14:paraId="48171DB6" w14:textId="136132BB" w:rsidR="00B93ED5" w:rsidRPr="009D7635" w:rsidRDefault="00B93ED5" w:rsidP="000D3D9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009665BD" w:rsidRPr="009D7635">
        <w:rPr>
          <w:rFonts w:ascii="Times New Roman" w:hAnsi="Times New Roman" w:cs="Times New Roman"/>
          <w:color w:val="000000" w:themeColor="text1"/>
        </w:rPr>
        <w:t xml:space="preserve"> SH </w:t>
      </w:r>
      <w:r w:rsidRPr="009D7635">
        <w:rPr>
          <w:rFonts w:ascii="Times New Roman" w:hAnsi="Times New Roman" w:cs="Times New Roman"/>
          <w:color w:val="000000" w:themeColor="text1"/>
        </w:rPr>
        <w:t xml:space="preserve">2.1, In4, Tr1, S2, Q3, T2, 464, citing </w:t>
      </w:r>
      <w:r w:rsidRPr="009D7635">
        <w:rPr>
          <w:rFonts w:ascii="Times New Roman" w:hAnsi="Times New Roman" w:cs="Times New Roman"/>
          <w:i/>
          <w:color w:val="000000" w:themeColor="text1"/>
        </w:rPr>
        <w:t>De anima</w:t>
      </w:r>
      <w:r w:rsidRPr="009D7635">
        <w:rPr>
          <w:rFonts w:ascii="Times New Roman" w:hAnsi="Times New Roman" w:cs="Times New Roman"/>
          <w:color w:val="000000" w:themeColor="text1"/>
        </w:rPr>
        <w:t xml:space="preserve"> III.10. </w:t>
      </w:r>
    </w:p>
  </w:footnote>
  <w:footnote w:id="1077">
    <w:p w14:paraId="5E8D72DF" w14:textId="4C2C20A8" w:rsidR="00B93ED5" w:rsidRPr="009D7635" w:rsidRDefault="00B93ED5" w:rsidP="000D0BF9">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I am grateful to Riccardo Saccenti and Marcia Colish for comments on an earlier version of this chapter. </w:t>
      </w:r>
    </w:p>
  </w:footnote>
  <w:footnote w:id="1078">
    <w:p w14:paraId="09224A59" w14:textId="0FBA52BE" w:rsidR="00B93ED5" w:rsidRPr="009D7635" w:rsidRDefault="00B93ED5" w:rsidP="00665333">
      <w:pPr>
        <w:rPr>
          <w:rFonts w:ascii="Times New Roman" w:eastAsia="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For example, </w:t>
      </w:r>
      <w:r w:rsidRPr="009D7635">
        <w:rPr>
          <w:rFonts w:ascii="Times New Roman" w:eastAsia="Times New Roman" w:hAnsi="Times New Roman" w:cs="Times New Roman"/>
          <w:color w:val="000000" w:themeColor="text1"/>
          <w:sz w:val="20"/>
          <w:szCs w:val="20"/>
        </w:rPr>
        <w:t xml:space="preserve">Eugene </w:t>
      </w:r>
      <w:proofErr w:type="spellStart"/>
      <w:r w:rsidRPr="009D7635">
        <w:rPr>
          <w:rFonts w:ascii="Times New Roman" w:eastAsia="Times New Roman" w:hAnsi="Times New Roman" w:cs="Times New Roman"/>
          <w:color w:val="000000" w:themeColor="text1"/>
          <w:sz w:val="20"/>
          <w:szCs w:val="20"/>
        </w:rPr>
        <w:t>TeSelle</w:t>
      </w:r>
      <w:proofErr w:type="spellEnd"/>
      <w:r w:rsidRPr="009D7635">
        <w:rPr>
          <w:rFonts w:ascii="Times New Roman" w:eastAsia="Times New Roman" w:hAnsi="Times New Roman" w:cs="Times New Roman"/>
          <w:color w:val="000000" w:themeColor="text1"/>
          <w:sz w:val="20"/>
          <w:szCs w:val="20"/>
        </w:rPr>
        <w:t xml:space="preserve">, ‘Background: Augustine and the </w:t>
      </w:r>
      <w:proofErr w:type="spellStart"/>
      <w:r w:rsidRPr="009D7635">
        <w:rPr>
          <w:rFonts w:ascii="Times New Roman" w:eastAsia="Times New Roman" w:hAnsi="Times New Roman" w:cs="Times New Roman"/>
          <w:color w:val="000000" w:themeColor="text1"/>
          <w:sz w:val="20"/>
          <w:szCs w:val="20"/>
        </w:rPr>
        <w:t>Pelagian</w:t>
      </w:r>
      <w:proofErr w:type="spellEnd"/>
      <w:r w:rsidRPr="009D7635">
        <w:rPr>
          <w:rFonts w:ascii="Times New Roman" w:eastAsia="Times New Roman" w:hAnsi="Times New Roman" w:cs="Times New Roman"/>
          <w:color w:val="000000" w:themeColor="text1"/>
          <w:sz w:val="20"/>
          <w:szCs w:val="20"/>
        </w:rPr>
        <w:t xml:space="preserve"> Controversy,’ in </w:t>
      </w:r>
      <w:r w:rsidRPr="009D7635">
        <w:rPr>
          <w:rFonts w:ascii="Times New Roman" w:eastAsia="Times New Roman" w:hAnsi="Times New Roman" w:cs="Times New Roman"/>
          <w:i/>
          <w:iCs/>
          <w:color w:val="000000" w:themeColor="text1"/>
          <w:sz w:val="20"/>
          <w:szCs w:val="20"/>
        </w:rPr>
        <w:t>Grace after Grace</w:t>
      </w:r>
      <w:r w:rsidRPr="009D7635">
        <w:rPr>
          <w:rFonts w:ascii="Times New Roman" w:eastAsia="Times New Roman" w:hAnsi="Times New Roman" w:cs="Times New Roman"/>
          <w:color w:val="000000" w:themeColor="text1"/>
          <w:sz w:val="20"/>
          <w:szCs w:val="20"/>
        </w:rPr>
        <w:t xml:space="preserve">, ed. Alexander Y. </w:t>
      </w:r>
      <w:proofErr w:type="spellStart"/>
      <w:r w:rsidRPr="009D7635">
        <w:rPr>
          <w:rFonts w:ascii="Times New Roman" w:eastAsia="Times New Roman" w:hAnsi="Times New Roman" w:cs="Times New Roman"/>
          <w:color w:val="000000" w:themeColor="text1"/>
          <w:sz w:val="20"/>
          <w:szCs w:val="20"/>
        </w:rPr>
        <w:t>Hwang</w:t>
      </w:r>
      <w:proofErr w:type="spellEnd"/>
      <w:r w:rsidRPr="009D7635">
        <w:rPr>
          <w:rFonts w:ascii="Times New Roman" w:eastAsia="Times New Roman" w:hAnsi="Times New Roman" w:cs="Times New Roman"/>
          <w:color w:val="000000" w:themeColor="text1"/>
          <w:sz w:val="20"/>
          <w:szCs w:val="20"/>
        </w:rPr>
        <w:t xml:space="preserve"> et al. (Washington, DC: Catholic University of America Press, 2014), 1-13. </w:t>
      </w:r>
      <w:r w:rsidRPr="009D7635">
        <w:rPr>
          <w:rFonts w:ascii="Times New Roman" w:hAnsi="Times New Roman" w:cs="Times New Roman"/>
          <w:color w:val="000000" w:themeColor="text1"/>
          <w:sz w:val="20"/>
          <w:szCs w:val="20"/>
        </w:rPr>
        <w:t xml:space="preserve">John M. </w:t>
      </w:r>
      <w:proofErr w:type="spellStart"/>
      <w:r w:rsidRPr="009D7635">
        <w:rPr>
          <w:rFonts w:ascii="Times New Roman" w:hAnsi="Times New Roman" w:cs="Times New Roman"/>
          <w:color w:val="000000" w:themeColor="text1"/>
          <w:sz w:val="20"/>
          <w:szCs w:val="20"/>
        </w:rPr>
        <w:t>Rist</w:t>
      </w:r>
      <w:proofErr w:type="spellEnd"/>
      <w:r w:rsidRPr="009D7635">
        <w:rPr>
          <w:rFonts w:ascii="Times New Roman" w:hAnsi="Times New Roman" w:cs="Times New Roman"/>
          <w:color w:val="000000" w:themeColor="text1"/>
          <w:sz w:val="20"/>
          <w:szCs w:val="20"/>
        </w:rPr>
        <w:t xml:space="preserve">, ‘Augustine on Free Will and Predestination,’ </w:t>
      </w:r>
      <w:r w:rsidRPr="009D7635">
        <w:rPr>
          <w:rFonts w:ascii="Times New Roman" w:hAnsi="Times New Roman" w:cs="Times New Roman"/>
          <w:i/>
          <w:iCs/>
          <w:color w:val="000000" w:themeColor="text1"/>
          <w:sz w:val="20"/>
          <w:szCs w:val="20"/>
        </w:rPr>
        <w:t>Journal of Theological Studies</w:t>
      </w:r>
      <w:r w:rsidRPr="009D7635">
        <w:rPr>
          <w:rFonts w:ascii="Times New Roman" w:hAnsi="Times New Roman" w:cs="Times New Roman"/>
          <w:color w:val="000000" w:themeColor="text1"/>
          <w:sz w:val="20"/>
          <w:szCs w:val="20"/>
        </w:rPr>
        <w:t xml:space="preserve"> 20:2 (1969), 420.</w:t>
      </w:r>
    </w:p>
  </w:footnote>
  <w:footnote w:id="1079">
    <w:p w14:paraId="038AF866" w14:textId="7A050901"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Augustine, </w:t>
      </w:r>
      <w:r w:rsidRPr="009D7635">
        <w:rPr>
          <w:rFonts w:ascii="Times New Roman" w:hAnsi="Times New Roman" w:cs="Times New Roman"/>
          <w:i/>
          <w:color w:val="000000" w:themeColor="text1"/>
        </w:rPr>
        <w:t>Retractions</w:t>
      </w:r>
      <w:r w:rsidRPr="009D7635">
        <w:rPr>
          <w:rFonts w:ascii="Times New Roman" w:hAnsi="Times New Roman" w:cs="Times New Roman"/>
          <w:color w:val="000000" w:themeColor="text1"/>
        </w:rPr>
        <w:t xml:space="preserve"> I.9; </w:t>
      </w:r>
      <w:proofErr w:type="spellStart"/>
      <w:r w:rsidRPr="009D7635">
        <w:rPr>
          <w:rFonts w:ascii="Times New Roman" w:hAnsi="Times New Roman" w:cs="Times New Roman"/>
          <w:color w:val="000000" w:themeColor="text1"/>
        </w:rPr>
        <w:t>Eleonore</w:t>
      </w:r>
      <w:proofErr w:type="spellEnd"/>
      <w:r w:rsidRPr="009D7635">
        <w:rPr>
          <w:rFonts w:ascii="Times New Roman" w:hAnsi="Times New Roman" w:cs="Times New Roman"/>
          <w:color w:val="000000" w:themeColor="text1"/>
        </w:rPr>
        <w:t xml:space="preserve"> Stump, ‘Augustine on Free Will,’ in </w:t>
      </w:r>
      <w:r w:rsidRPr="009D7635">
        <w:rPr>
          <w:rFonts w:ascii="Times New Roman" w:hAnsi="Times New Roman" w:cs="Times New Roman"/>
          <w:i/>
          <w:color w:val="000000" w:themeColor="text1"/>
        </w:rPr>
        <w:t>The Cambridge Companion to Augustine</w:t>
      </w:r>
      <w:r w:rsidRPr="009D7635">
        <w:rPr>
          <w:rFonts w:ascii="Times New Roman" w:hAnsi="Times New Roman" w:cs="Times New Roman"/>
          <w:color w:val="000000" w:themeColor="text1"/>
        </w:rPr>
        <w:t xml:space="preserve"> (Cambridge: Cambridge University Press, 2014), 167. </w:t>
      </w:r>
    </w:p>
  </w:footnote>
  <w:footnote w:id="1080">
    <w:p w14:paraId="05682026"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This work was finished before 395 according to Peter King (ed.), </w:t>
      </w:r>
      <w:r w:rsidRPr="009D7635">
        <w:rPr>
          <w:rFonts w:ascii="Times New Roman" w:hAnsi="Times New Roman" w:cs="Times New Roman"/>
          <w:i/>
          <w:color w:val="000000" w:themeColor="text1"/>
        </w:rPr>
        <w:t>Augustine: On the Free Choice of the Will, On Grace and Free Choice, and Other Writings</w:t>
      </w:r>
      <w:r w:rsidRPr="009D7635">
        <w:rPr>
          <w:rFonts w:ascii="Times New Roman" w:hAnsi="Times New Roman" w:cs="Times New Roman"/>
          <w:color w:val="000000" w:themeColor="text1"/>
        </w:rPr>
        <w:t xml:space="preserve"> (Cambridge: Cambridge University Press, 2010), xvii. It was followed by </w:t>
      </w:r>
      <w:r w:rsidRPr="009D7635">
        <w:rPr>
          <w:rFonts w:ascii="Times New Roman" w:hAnsi="Times New Roman" w:cs="Times New Roman"/>
          <w:i/>
          <w:color w:val="000000" w:themeColor="text1"/>
          <w:lang w:val="en-US"/>
        </w:rPr>
        <w:t>On Grace and Free Choice</w:t>
      </w:r>
      <w:r w:rsidRPr="009D7635">
        <w:rPr>
          <w:rFonts w:ascii="Times New Roman" w:hAnsi="Times New Roman" w:cs="Times New Roman"/>
          <w:color w:val="000000" w:themeColor="text1"/>
          <w:lang w:val="en-US"/>
        </w:rPr>
        <w:t xml:space="preserve"> (426-7), </w:t>
      </w:r>
      <w:r w:rsidRPr="009D7635">
        <w:rPr>
          <w:rFonts w:ascii="Times New Roman" w:hAnsi="Times New Roman" w:cs="Times New Roman"/>
          <w:i/>
          <w:color w:val="000000" w:themeColor="text1"/>
          <w:lang w:val="en-US"/>
        </w:rPr>
        <w:t>On Reprimand and Grace</w:t>
      </w:r>
      <w:r w:rsidRPr="009D7635">
        <w:rPr>
          <w:rFonts w:ascii="Times New Roman" w:hAnsi="Times New Roman" w:cs="Times New Roman"/>
          <w:color w:val="000000" w:themeColor="text1"/>
          <w:lang w:val="en-US"/>
        </w:rPr>
        <w:t xml:space="preserve"> (426-7), and </w:t>
      </w:r>
      <w:r w:rsidRPr="009D7635">
        <w:rPr>
          <w:rFonts w:ascii="Times New Roman" w:hAnsi="Times New Roman" w:cs="Times New Roman"/>
          <w:i/>
          <w:color w:val="000000" w:themeColor="text1"/>
          <w:lang w:val="en-US"/>
        </w:rPr>
        <w:t>On the Gift of Perseverance</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lang w:val="en-US"/>
        </w:rPr>
        <w:t xml:space="preserve">(428-9), works which were written primarily in relation to </w:t>
      </w:r>
      <w:proofErr w:type="spellStart"/>
      <w:r w:rsidRPr="009D7635">
        <w:rPr>
          <w:rFonts w:ascii="Times New Roman" w:hAnsi="Times New Roman" w:cs="Times New Roman"/>
          <w:color w:val="000000" w:themeColor="text1"/>
          <w:lang w:val="en-US"/>
        </w:rPr>
        <w:t>Pelagian</w:t>
      </w:r>
      <w:proofErr w:type="spellEnd"/>
      <w:r w:rsidRPr="009D7635">
        <w:rPr>
          <w:rFonts w:ascii="Times New Roman" w:hAnsi="Times New Roman" w:cs="Times New Roman"/>
          <w:color w:val="000000" w:themeColor="text1"/>
          <w:lang w:val="en-US"/>
        </w:rPr>
        <w:t xml:space="preserve"> controversy.</w:t>
      </w:r>
    </w:p>
  </w:footnote>
  <w:footnote w:id="1081">
    <w:p w14:paraId="06A60309" w14:textId="4A8EC4E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Augustine,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libero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arbitrio</w:t>
      </w:r>
      <w:proofErr w:type="spellEnd"/>
      <w:r w:rsidRPr="009D7635">
        <w:rPr>
          <w:rFonts w:ascii="Times New Roman" w:hAnsi="Times New Roman" w:cs="Times New Roman"/>
          <w:color w:val="000000" w:themeColor="text1"/>
        </w:rPr>
        <w:t xml:space="preserve"> 2.1</w:t>
      </w:r>
      <w:r w:rsidR="00B51F4E" w:rsidRPr="009D7635">
        <w:rPr>
          <w:rFonts w:ascii="Times New Roman" w:hAnsi="Times New Roman" w:cs="Times New Roman"/>
          <w:color w:val="000000" w:themeColor="text1"/>
        </w:rPr>
        <w:t xml:space="preserve"> in </w:t>
      </w:r>
      <w:proofErr w:type="spellStart"/>
      <w:r w:rsidR="00B51F4E" w:rsidRPr="009D7635">
        <w:rPr>
          <w:rFonts w:ascii="Times New Roman" w:hAnsi="Times New Roman" w:cs="Times New Roman"/>
          <w:i/>
          <w:iCs/>
        </w:rPr>
        <w:t>Sancti</w:t>
      </w:r>
      <w:proofErr w:type="spellEnd"/>
      <w:r w:rsidR="00B51F4E" w:rsidRPr="009D7635">
        <w:rPr>
          <w:rFonts w:ascii="Times New Roman" w:hAnsi="Times New Roman" w:cs="Times New Roman"/>
          <w:i/>
          <w:iCs/>
        </w:rPr>
        <w:t xml:space="preserve"> </w:t>
      </w:r>
      <w:proofErr w:type="spellStart"/>
      <w:r w:rsidR="00B51F4E" w:rsidRPr="009D7635">
        <w:rPr>
          <w:rFonts w:ascii="Times New Roman" w:hAnsi="Times New Roman" w:cs="Times New Roman"/>
          <w:i/>
          <w:iCs/>
        </w:rPr>
        <w:t>Aurelii</w:t>
      </w:r>
      <w:proofErr w:type="spellEnd"/>
      <w:r w:rsidR="00B51F4E" w:rsidRPr="009D7635">
        <w:rPr>
          <w:rFonts w:ascii="Times New Roman" w:hAnsi="Times New Roman" w:cs="Times New Roman"/>
          <w:i/>
          <w:iCs/>
        </w:rPr>
        <w:t xml:space="preserve"> </w:t>
      </w:r>
      <w:proofErr w:type="spellStart"/>
      <w:r w:rsidR="00B51F4E" w:rsidRPr="009D7635">
        <w:rPr>
          <w:rFonts w:ascii="Times New Roman" w:hAnsi="Times New Roman" w:cs="Times New Roman"/>
          <w:i/>
          <w:iCs/>
        </w:rPr>
        <w:t>Augustini</w:t>
      </w:r>
      <w:proofErr w:type="spellEnd"/>
      <w:r w:rsidR="00B51F4E" w:rsidRPr="009D7635">
        <w:rPr>
          <w:rFonts w:ascii="Times New Roman" w:hAnsi="Times New Roman" w:cs="Times New Roman"/>
          <w:i/>
          <w:iCs/>
        </w:rPr>
        <w:t xml:space="preserve"> Contra </w:t>
      </w:r>
      <w:proofErr w:type="spellStart"/>
      <w:r w:rsidR="00B51F4E" w:rsidRPr="009D7635">
        <w:rPr>
          <w:rFonts w:ascii="Times New Roman" w:hAnsi="Times New Roman" w:cs="Times New Roman"/>
          <w:i/>
          <w:iCs/>
        </w:rPr>
        <w:t>academicos</w:t>
      </w:r>
      <w:proofErr w:type="spellEnd"/>
      <w:r w:rsidR="00B51F4E" w:rsidRPr="009D7635">
        <w:rPr>
          <w:rFonts w:ascii="Times New Roman" w:hAnsi="Times New Roman" w:cs="Times New Roman"/>
          <w:i/>
          <w:iCs/>
        </w:rPr>
        <w:t xml:space="preserve">; De </w:t>
      </w:r>
      <w:proofErr w:type="spellStart"/>
      <w:r w:rsidR="00B51F4E" w:rsidRPr="009D7635">
        <w:rPr>
          <w:rFonts w:ascii="Times New Roman" w:hAnsi="Times New Roman" w:cs="Times New Roman"/>
          <w:i/>
          <w:iCs/>
        </w:rPr>
        <w:t>beata</w:t>
      </w:r>
      <w:proofErr w:type="spellEnd"/>
      <w:r w:rsidR="00B51F4E" w:rsidRPr="009D7635">
        <w:rPr>
          <w:rFonts w:ascii="Times New Roman" w:hAnsi="Times New Roman" w:cs="Times New Roman"/>
          <w:i/>
          <w:iCs/>
        </w:rPr>
        <w:t xml:space="preserve"> vita; De </w:t>
      </w:r>
      <w:proofErr w:type="spellStart"/>
      <w:r w:rsidR="00B51F4E" w:rsidRPr="009D7635">
        <w:rPr>
          <w:rFonts w:ascii="Times New Roman" w:hAnsi="Times New Roman" w:cs="Times New Roman"/>
          <w:i/>
          <w:iCs/>
        </w:rPr>
        <w:t>ordine</w:t>
      </w:r>
      <w:proofErr w:type="spellEnd"/>
      <w:r w:rsidR="00B51F4E" w:rsidRPr="009D7635">
        <w:rPr>
          <w:rFonts w:ascii="Times New Roman" w:hAnsi="Times New Roman" w:cs="Times New Roman"/>
          <w:i/>
          <w:iCs/>
        </w:rPr>
        <w:t xml:space="preserve">; De </w:t>
      </w:r>
      <w:proofErr w:type="spellStart"/>
      <w:r w:rsidR="00B51F4E" w:rsidRPr="009D7635">
        <w:rPr>
          <w:rFonts w:ascii="Times New Roman" w:hAnsi="Times New Roman" w:cs="Times New Roman"/>
          <w:i/>
          <w:iCs/>
        </w:rPr>
        <w:t>magistro</w:t>
      </w:r>
      <w:proofErr w:type="spellEnd"/>
      <w:r w:rsidR="00B51F4E" w:rsidRPr="009D7635">
        <w:rPr>
          <w:rFonts w:ascii="Times New Roman" w:hAnsi="Times New Roman" w:cs="Times New Roman"/>
          <w:i/>
          <w:iCs/>
        </w:rPr>
        <w:t xml:space="preserve">; De </w:t>
      </w:r>
      <w:proofErr w:type="spellStart"/>
      <w:r w:rsidR="00B51F4E" w:rsidRPr="009D7635">
        <w:rPr>
          <w:rFonts w:ascii="Times New Roman" w:hAnsi="Times New Roman" w:cs="Times New Roman"/>
          <w:i/>
          <w:iCs/>
        </w:rPr>
        <w:t>libero</w:t>
      </w:r>
      <w:proofErr w:type="spellEnd"/>
      <w:r w:rsidR="00B51F4E" w:rsidRPr="009D7635">
        <w:rPr>
          <w:rFonts w:ascii="Times New Roman" w:hAnsi="Times New Roman" w:cs="Times New Roman"/>
          <w:i/>
          <w:iCs/>
        </w:rPr>
        <w:t xml:space="preserve"> </w:t>
      </w:r>
      <w:proofErr w:type="spellStart"/>
      <w:r w:rsidR="00B51F4E" w:rsidRPr="009D7635">
        <w:rPr>
          <w:rFonts w:ascii="Times New Roman" w:hAnsi="Times New Roman" w:cs="Times New Roman"/>
          <w:i/>
          <w:iCs/>
        </w:rPr>
        <w:t>arbitrio</w:t>
      </w:r>
      <w:proofErr w:type="spellEnd"/>
      <w:r w:rsidR="00B51F4E" w:rsidRPr="009D7635">
        <w:rPr>
          <w:rFonts w:ascii="Times New Roman" w:hAnsi="Times New Roman" w:cs="Times New Roman"/>
          <w:i/>
          <w:iCs/>
        </w:rPr>
        <w:t>,</w:t>
      </w:r>
      <w:r w:rsidR="00B51F4E" w:rsidRPr="009D7635">
        <w:rPr>
          <w:rFonts w:ascii="Times New Roman" w:hAnsi="Times New Roman" w:cs="Times New Roman"/>
        </w:rPr>
        <w:t xml:space="preserve"> ed. Klaus </w:t>
      </w:r>
      <w:proofErr w:type="spellStart"/>
      <w:r w:rsidR="00B51F4E" w:rsidRPr="009D7635">
        <w:rPr>
          <w:rFonts w:ascii="Times New Roman" w:hAnsi="Times New Roman" w:cs="Times New Roman"/>
        </w:rPr>
        <w:t>Daur</w:t>
      </w:r>
      <w:proofErr w:type="spellEnd"/>
      <w:r w:rsidR="00B51F4E" w:rsidRPr="009D7635">
        <w:rPr>
          <w:rFonts w:ascii="Times New Roman" w:hAnsi="Times New Roman" w:cs="Times New Roman"/>
        </w:rPr>
        <w:t>, William M. Green, CCSL 2 (</w:t>
      </w:r>
      <w:proofErr w:type="spellStart"/>
      <w:r w:rsidR="00B51F4E" w:rsidRPr="009D7635">
        <w:rPr>
          <w:rFonts w:ascii="Times New Roman" w:hAnsi="Times New Roman" w:cs="Times New Roman"/>
        </w:rPr>
        <w:t>Turnhout</w:t>
      </w:r>
      <w:proofErr w:type="spellEnd"/>
      <w:r w:rsidR="00B51F4E" w:rsidRPr="009D7635">
        <w:rPr>
          <w:rFonts w:ascii="Times New Roman" w:hAnsi="Times New Roman" w:cs="Times New Roman"/>
        </w:rPr>
        <w:t xml:space="preserve">: </w:t>
      </w:r>
      <w:proofErr w:type="spellStart"/>
      <w:r w:rsidR="00B51F4E" w:rsidRPr="009D7635">
        <w:rPr>
          <w:rFonts w:ascii="Times New Roman" w:hAnsi="Times New Roman" w:cs="Times New Roman"/>
        </w:rPr>
        <w:t>Brepols</w:t>
      </w:r>
      <w:proofErr w:type="spellEnd"/>
      <w:r w:rsidR="00B51F4E" w:rsidRPr="009D7635">
        <w:rPr>
          <w:rFonts w:ascii="Times New Roman" w:hAnsi="Times New Roman" w:cs="Times New Roman"/>
        </w:rPr>
        <w:t>, 1970).</w:t>
      </w:r>
    </w:p>
  </w:footnote>
  <w:footnote w:id="1082">
    <w:p w14:paraId="17739D68" w14:textId="64C073B7" w:rsidR="00DC1E9A" w:rsidRPr="009D7635" w:rsidRDefault="00DC1E9A">
      <w:pPr>
        <w:pStyle w:val="FootnoteText"/>
        <w:rPr>
          <w:rFonts w:ascii="Times New Roman" w:hAnsi="Times New Roman" w:cs="Times New Roman"/>
          <w:iCs/>
        </w:rPr>
      </w:pPr>
      <w:r w:rsidRPr="009D7635">
        <w:rPr>
          <w:rStyle w:val="FootnoteReference"/>
          <w:rFonts w:ascii="Times New Roman" w:hAnsi="Times New Roman" w:cs="Times New Roman"/>
        </w:rPr>
        <w:footnoteRef/>
      </w:r>
      <w:r w:rsidRPr="009D7635">
        <w:rPr>
          <w:rFonts w:ascii="Times New Roman" w:hAnsi="Times New Roman" w:cs="Times New Roman"/>
        </w:rPr>
        <w:t xml:space="preserve"> See the related discussion of evil as a ‘deficient cause’ of action in </w:t>
      </w:r>
      <w:r w:rsidR="00496C69" w:rsidRPr="009D7635">
        <w:rPr>
          <w:rFonts w:ascii="Times New Roman" w:hAnsi="Times New Roman" w:cs="Times New Roman"/>
        </w:rPr>
        <w:t xml:space="preserve">Tobias </w:t>
      </w:r>
      <w:r w:rsidRPr="009D7635">
        <w:rPr>
          <w:rFonts w:ascii="Times New Roman" w:hAnsi="Times New Roman" w:cs="Times New Roman"/>
        </w:rPr>
        <w:t xml:space="preserve">Hoffman, </w:t>
      </w:r>
      <w:r w:rsidRPr="009D7635">
        <w:rPr>
          <w:rFonts w:ascii="Times New Roman" w:hAnsi="Times New Roman" w:cs="Times New Roman"/>
          <w:i/>
        </w:rPr>
        <w:t xml:space="preserve">Free Will and the Rebel </w:t>
      </w:r>
      <w:r w:rsidR="00E87438" w:rsidRPr="009D7635">
        <w:rPr>
          <w:rFonts w:ascii="Times New Roman" w:hAnsi="Times New Roman" w:cs="Times New Roman"/>
          <w:i/>
        </w:rPr>
        <w:t>A</w:t>
      </w:r>
      <w:r w:rsidRPr="009D7635">
        <w:rPr>
          <w:rFonts w:ascii="Times New Roman" w:hAnsi="Times New Roman" w:cs="Times New Roman"/>
          <w:i/>
        </w:rPr>
        <w:t>ngels</w:t>
      </w:r>
      <w:r w:rsidR="00940869" w:rsidRPr="009D7635">
        <w:rPr>
          <w:rFonts w:ascii="Times New Roman" w:hAnsi="Times New Roman" w:cs="Times New Roman"/>
          <w:i/>
        </w:rPr>
        <w:t xml:space="preserve"> </w:t>
      </w:r>
      <w:r w:rsidR="00940869" w:rsidRPr="009D7635">
        <w:rPr>
          <w:rFonts w:ascii="Times New Roman" w:hAnsi="Times New Roman" w:cs="Times New Roman"/>
          <w:iCs/>
        </w:rPr>
        <w:t xml:space="preserve">(Cambridge: Cambridge University Press, 2021), </w:t>
      </w:r>
      <w:r w:rsidRPr="009D7635">
        <w:rPr>
          <w:rFonts w:ascii="Times New Roman" w:hAnsi="Times New Roman" w:cs="Times New Roman"/>
          <w:iCs/>
        </w:rPr>
        <w:t>167.</w:t>
      </w:r>
    </w:p>
  </w:footnote>
  <w:footnote w:id="1083">
    <w:p w14:paraId="29CF30B6" w14:textId="00E5B687" w:rsidR="00B93ED5" w:rsidRPr="009D7635" w:rsidRDefault="00B93ED5" w:rsidP="0066533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Augustine,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correptione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gratia</w:t>
      </w:r>
      <w:proofErr w:type="spellEnd"/>
      <w:r w:rsidRPr="009D7635">
        <w:rPr>
          <w:rFonts w:ascii="Times New Roman" w:hAnsi="Times New Roman" w:cs="Times New Roman"/>
          <w:i/>
          <w:color w:val="000000" w:themeColor="text1"/>
          <w:sz w:val="20"/>
          <w:szCs w:val="20"/>
          <w:lang w:val="en-US"/>
        </w:rPr>
        <w:t xml:space="preserve"> </w:t>
      </w:r>
      <w:r w:rsidR="00046B05" w:rsidRPr="009D7635">
        <w:rPr>
          <w:rFonts w:ascii="Times New Roman" w:hAnsi="Times New Roman" w:cs="Times New Roman"/>
          <w:color w:val="000000" w:themeColor="text1"/>
          <w:sz w:val="20"/>
          <w:szCs w:val="20"/>
        </w:rPr>
        <w:t>14.42</w:t>
      </w:r>
      <w:r w:rsidR="00046B05" w:rsidRPr="009D7635">
        <w:rPr>
          <w:rFonts w:ascii="Times New Roman" w:hAnsi="Times New Roman" w:cs="Times New Roman"/>
          <w:color w:val="000000" w:themeColor="text1"/>
          <w:sz w:val="20"/>
          <w:szCs w:val="20"/>
          <w:lang w:val="en-US"/>
        </w:rPr>
        <w:t xml:space="preserve">, trans. King, </w:t>
      </w:r>
      <w:r w:rsidR="00046B05" w:rsidRPr="009D7635">
        <w:rPr>
          <w:rFonts w:ascii="Times New Roman" w:hAnsi="Times New Roman" w:cs="Times New Roman"/>
          <w:color w:val="000000" w:themeColor="text1"/>
          <w:sz w:val="20"/>
          <w:szCs w:val="20"/>
        </w:rPr>
        <w:t xml:space="preserve">222; </w:t>
      </w:r>
      <w:r w:rsidRPr="009D7635">
        <w:rPr>
          <w:rFonts w:ascii="Times New Roman" w:hAnsi="Times New Roman" w:cs="Times New Roman"/>
          <w:color w:val="000000" w:themeColor="text1"/>
          <w:sz w:val="20"/>
          <w:szCs w:val="20"/>
        </w:rPr>
        <w:t>12.32</w:t>
      </w:r>
      <w:r w:rsidRPr="009D7635">
        <w:rPr>
          <w:rFonts w:ascii="Times New Roman" w:hAnsi="Times New Roman" w:cs="Times New Roman"/>
          <w:color w:val="000000" w:themeColor="text1"/>
          <w:sz w:val="20"/>
          <w:szCs w:val="20"/>
          <w:lang w:val="en-US"/>
        </w:rPr>
        <w:t xml:space="preserve">, trans. King, </w:t>
      </w:r>
      <w:r w:rsidRPr="009D7635">
        <w:rPr>
          <w:rFonts w:ascii="Times New Roman" w:hAnsi="Times New Roman" w:cs="Times New Roman"/>
          <w:color w:val="000000" w:themeColor="text1"/>
          <w:sz w:val="20"/>
          <w:szCs w:val="20"/>
        </w:rPr>
        <w:t>213; cf. 2.3, trans. King, 186.</w:t>
      </w:r>
    </w:p>
  </w:footnote>
  <w:footnote w:id="1084">
    <w:p w14:paraId="02F22FED" w14:textId="5BEFCC30" w:rsidR="00B93ED5" w:rsidRPr="009D7635" w:rsidRDefault="00B93ED5" w:rsidP="0066533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Augustine, </w:t>
      </w:r>
      <w:r w:rsidRPr="009D7635">
        <w:rPr>
          <w:rFonts w:ascii="Times New Roman" w:hAnsi="Times New Roman" w:cs="Times New Roman"/>
          <w:i/>
          <w:color w:val="000000" w:themeColor="text1"/>
          <w:sz w:val="20"/>
          <w:szCs w:val="20"/>
        </w:rPr>
        <w:t xml:space="preserve">De </w:t>
      </w:r>
      <w:proofErr w:type="spellStart"/>
      <w:r w:rsidRPr="009D7635">
        <w:rPr>
          <w:rFonts w:ascii="Times New Roman" w:hAnsi="Times New Roman" w:cs="Times New Roman"/>
          <w:i/>
          <w:color w:val="000000" w:themeColor="text1"/>
          <w:sz w:val="20"/>
          <w:szCs w:val="20"/>
        </w:rPr>
        <w:t>libero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arbitrio</w:t>
      </w:r>
      <w:proofErr w:type="spellEnd"/>
      <w:r w:rsidRPr="009D7635">
        <w:rPr>
          <w:rFonts w:ascii="Times New Roman" w:hAnsi="Times New Roman" w:cs="Times New Roman"/>
          <w:color w:val="000000" w:themeColor="text1"/>
          <w:sz w:val="20"/>
          <w:szCs w:val="20"/>
        </w:rPr>
        <w:t xml:space="preserve"> 2.19</w:t>
      </w:r>
      <w:r w:rsidR="00683641" w:rsidRPr="009D7635">
        <w:rPr>
          <w:rFonts w:ascii="Times New Roman" w:hAnsi="Times New Roman" w:cs="Times New Roman"/>
          <w:color w:val="000000" w:themeColor="text1"/>
          <w:sz w:val="20"/>
          <w:szCs w:val="20"/>
        </w:rPr>
        <w:t>.</w:t>
      </w:r>
    </w:p>
  </w:footnote>
  <w:footnote w:id="1085">
    <w:p w14:paraId="20255969" w14:textId="3DE247DD" w:rsidR="00B93ED5" w:rsidRPr="009D7635" w:rsidRDefault="00B93ED5" w:rsidP="0066533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1E472B" w:rsidRPr="009D7635">
        <w:rPr>
          <w:rFonts w:ascii="Times New Roman" w:hAnsi="Times New Roman" w:cs="Times New Roman"/>
          <w:color w:val="000000" w:themeColor="text1"/>
          <w:sz w:val="20"/>
          <w:szCs w:val="20"/>
        </w:rPr>
        <w:t>Ibid.,</w:t>
      </w:r>
      <w:r w:rsidRPr="009D7635">
        <w:rPr>
          <w:rFonts w:ascii="Times New Roman" w:hAnsi="Times New Roman" w:cs="Times New Roman"/>
          <w:color w:val="000000" w:themeColor="text1"/>
          <w:sz w:val="20"/>
          <w:szCs w:val="20"/>
        </w:rPr>
        <w:t xml:space="preserve"> 1.11, 3.1</w:t>
      </w:r>
      <w:r w:rsidR="00683641" w:rsidRPr="009D7635">
        <w:rPr>
          <w:rFonts w:ascii="Times New Roman" w:hAnsi="Times New Roman" w:cs="Times New Roman"/>
          <w:color w:val="000000" w:themeColor="text1"/>
          <w:sz w:val="20"/>
          <w:szCs w:val="20"/>
        </w:rPr>
        <w:t>.</w:t>
      </w:r>
    </w:p>
  </w:footnote>
  <w:footnote w:id="1086">
    <w:p w14:paraId="53E3E178" w14:textId="00A42608" w:rsidR="00B93ED5" w:rsidRPr="009D7635" w:rsidRDefault="00B93ED5" w:rsidP="0066533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1E472B" w:rsidRPr="009D7635">
        <w:rPr>
          <w:rFonts w:ascii="Times New Roman" w:hAnsi="Times New Roman" w:cs="Times New Roman"/>
          <w:color w:val="000000" w:themeColor="text1"/>
          <w:sz w:val="20"/>
          <w:szCs w:val="20"/>
        </w:rPr>
        <w:t>Ibid.,</w:t>
      </w:r>
      <w:r w:rsidRPr="009D7635">
        <w:rPr>
          <w:rFonts w:ascii="Times New Roman" w:hAnsi="Times New Roman" w:cs="Times New Roman"/>
          <w:color w:val="000000" w:themeColor="text1"/>
          <w:sz w:val="20"/>
          <w:szCs w:val="20"/>
        </w:rPr>
        <w:t xml:space="preserve"> 1.16.</w:t>
      </w:r>
    </w:p>
  </w:footnote>
  <w:footnote w:id="1087">
    <w:p w14:paraId="684D9EA5" w14:textId="21E62296" w:rsidR="00B93ED5" w:rsidRPr="009D7635" w:rsidRDefault="00B93ED5" w:rsidP="0066533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0C5A14" w:rsidRPr="009D7635">
        <w:rPr>
          <w:rFonts w:ascii="Times New Roman" w:hAnsi="Times New Roman" w:cs="Times New Roman"/>
          <w:color w:val="000000" w:themeColor="text1"/>
          <w:sz w:val="20"/>
          <w:szCs w:val="20"/>
        </w:rPr>
        <w:t>Ibid.,</w:t>
      </w:r>
      <w:r w:rsidRPr="009D7635">
        <w:rPr>
          <w:rFonts w:ascii="Times New Roman" w:hAnsi="Times New Roman" w:cs="Times New Roman"/>
          <w:color w:val="000000" w:themeColor="text1"/>
          <w:sz w:val="20"/>
          <w:szCs w:val="20"/>
        </w:rPr>
        <w:t xml:space="preserve"> 1.13.</w:t>
      </w:r>
    </w:p>
  </w:footnote>
  <w:footnote w:id="1088">
    <w:p w14:paraId="04CC08EB" w14:textId="77777777" w:rsidR="00B93ED5" w:rsidRPr="009D7635" w:rsidRDefault="00B93ED5" w:rsidP="00665333">
      <w:pPr>
        <w:pStyle w:val="NormalWeb"/>
        <w:spacing w:before="0" w:beforeAutospacing="0" w:after="0" w:afterAutospacing="0"/>
        <w:rPr>
          <w:color w:val="000000" w:themeColor="text1"/>
          <w:sz w:val="20"/>
          <w:szCs w:val="20"/>
        </w:rPr>
      </w:pPr>
      <w:r w:rsidRPr="009D7635">
        <w:rPr>
          <w:rStyle w:val="FootnoteReference"/>
          <w:color w:val="000000" w:themeColor="text1"/>
          <w:sz w:val="20"/>
          <w:szCs w:val="20"/>
        </w:rPr>
        <w:footnoteRef/>
      </w:r>
      <w:r w:rsidRPr="009D7635">
        <w:rPr>
          <w:color w:val="000000" w:themeColor="text1"/>
          <w:sz w:val="20"/>
          <w:szCs w:val="20"/>
        </w:rPr>
        <w:t xml:space="preserve"> Augustine, </w:t>
      </w:r>
      <w:r w:rsidRPr="009D7635">
        <w:rPr>
          <w:i/>
          <w:color w:val="000000" w:themeColor="text1"/>
          <w:sz w:val="20"/>
          <w:szCs w:val="20"/>
          <w:lang w:val="en-US"/>
        </w:rPr>
        <w:t xml:space="preserve">De </w:t>
      </w:r>
      <w:proofErr w:type="spellStart"/>
      <w:r w:rsidRPr="009D7635">
        <w:rPr>
          <w:i/>
          <w:color w:val="000000" w:themeColor="text1"/>
          <w:sz w:val="20"/>
          <w:szCs w:val="20"/>
          <w:lang w:val="en-US"/>
        </w:rPr>
        <w:t>gratia</w:t>
      </w:r>
      <w:proofErr w:type="spellEnd"/>
      <w:r w:rsidRPr="009D7635">
        <w:rPr>
          <w:i/>
          <w:color w:val="000000" w:themeColor="text1"/>
          <w:sz w:val="20"/>
          <w:szCs w:val="20"/>
          <w:lang w:val="en-US"/>
        </w:rPr>
        <w:t xml:space="preserve"> et </w:t>
      </w:r>
      <w:proofErr w:type="spellStart"/>
      <w:r w:rsidRPr="009D7635">
        <w:rPr>
          <w:i/>
          <w:color w:val="000000" w:themeColor="text1"/>
          <w:sz w:val="20"/>
          <w:szCs w:val="20"/>
          <w:lang w:val="en-US"/>
        </w:rPr>
        <w:t>libero</w:t>
      </w:r>
      <w:proofErr w:type="spellEnd"/>
      <w:r w:rsidRPr="009D7635">
        <w:rPr>
          <w:i/>
          <w:color w:val="000000" w:themeColor="text1"/>
          <w:sz w:val="20"/>
          <w:szCs w:val="20"/>
          <w:lang w:val="en-US"/>
        </w:rPr>
        <w:t xml:space="preserve"> </w:t>
      </w:r>
      <w:proofErr w:type="spellStart"/>
      <w:r w:rsidRPr="009D7635">
        <w:rPr>
          <w:i/>
          <w:color w:val="000000" w:themeColor="text1"/>
          <w:sz w:val="20"/>
          <w:szCs w:val="20"/>
          <w:lang w:val="en-US"/>
        </w:rPr>
        <w:t>arbitrio</w:t>
      </w:r>
      <w:proofErr w:type="spellEnd"/>
      <w:r w:rsidRPr="009D7635">
        <w:rPr>
          <w:color w:val="000000" w:themeColor="text1"/>
          <w:sz w:val="20"/>
          <w:szCs w:val="20"/>
          <w:lang w:val="en-US"/>
        </w:rPr>
        <w:t xml:space="preserve"> </w:t>
      </w:r>
      <w:r w:rsidRPr="009D7635">
        <w:rPr>
          <w:iCs/>
          <w:color w:val="000000" w:themeColor="text1"/>
          <w:sz w:val="20"/>
          <w:szCs w:val="20"/>
        </w:rPr>
        <w:t xml:space="preserve">5.12, trans. King, 151. </w:t>
      </w:r>
    </w:p>
  </w:footnote>
  <w:footnote w:id="1089">
    <w:p w14:paraId="7FF68A7B" w14:textId="26769691" w:rsidR="00B93ED5" w:rsidRPr="009D7635" w:rsidRDefault="00B93ED5" w:rsidP="00C36A67">
      <w:pPr>
        <w:rPr>
          <w:rFonts w:ascii="Times New Roman" w:eastAsia="Times New Roman" w:hAnsi="Times New Roman" w:cs="Times New Roman"/>
          <w:color w:val="000000" w:themeColor="text1"/>
          <w:sz w:val="20"/>
          <w:szCs w:val="20"/>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Later Franciscans preferred some of Anselm’s later works on free will, which Marcia Colish takes as an attack on the later, </w:t>
      </w:r>
      <w:proofErr w:type="spellStart"/>
      <w:r w:rsidRPr="009D7635">
        <w:rPr>
          <w:rFonts w:ascii="Times New Roman" w:hAnsi="Times New Roman" w:cs="Times New Roman"/>
          <w:color w:val="000000" w:themeColor="text1"/>
          <w:sz w:val="20"/>
          <w:szCs w:val="20"/>
        </w:rPr>
        <w:t>anti-Pelagian</w:t>
      </w:r>
      <w:proofErr w:type="spellEnd"/>
      <w:r w:rsidRPr="009D7635">
        <w:rPr>
          <w:rFonts w:ascii="Times New Roman" w:hAnsi="Times New Roman" w:cs="Times New Roman"/>
          <w:color w:val="000000" w:themeColor="text1"/>
          <w:sz w:val="20"/>
          <w:szCs w:val="20"/>
        </w:rPr>
        <w:t xml:space="preserve"> views of Augustine. See </w:t>
      </w:r>
      <w:r w:rsidRPr="009D7635">
        <w:rPr>
          <w:rFonts w:ascii="Times New Roman" w:eastAsia="Times New Roman" w:hAnsi="Times New Roman" w:cs="Times New Roman"/>
          <w:color w:val="000000" w:themeColor="text1"/>
          <w:sz w:val="20"/>
          <w:szCs w:val="20"/>
        </w:rPr>
        <w:t>‘Free Will and Grace: Method and Model in Anselm's </w:t>
      </w:r>
      <w:r w:rsidRPr="009D7635">
        <w:rPr>
          <w:rFonts w:ascii="Times New Roman" w:eastAsia="Times New Roman" w:hAnsi="Times New Roman" w:cs="Times New Roman"/>
          <w:i/>
          <w:iCs/>
          <w:color w:val="000000" w:themeColor="text1"/>
          <w:sz w:val="20"/>
          <w:szCs w:val="20"/>
        </w:rPr>
        <w:t xml:space="preserve">De </w:t>
      </w:r>
      <w:proofErr w:type="spellStart"/>
      <w:r w:rsidRPr="009D7635">
        <w:rPr>
          <w:rFonts w:ascii="Times New Roman" w:eastAsia="Times New Roman" w:hAnsi="Times New Roman" w:cs="Times New Roman"/>
          <w:i/>
          <w:iCs/>
          <w:color w:val="000000" w:themeColor="text1"/>
          <w:sz w:val="20"/>
          <w:szCs w:val="20"/>
        </w:rPr>
        <w:t>concordia</w:t>
      </w:r>
      <w:proofErr w:type="spellEnd"/>
      <w:r w:rsidRPr="009D7635">
        <w:rPr>
          <w:rFonts w:ascii="Times New Roman" w:eastAsia="Times New Roman" w:hAnsi="Times New Roman" w:cs="Times New Roman"/>
          <w:color w:val="000000" w:themeColor="text1"/>
          <w:sz w:val="20"/>
          <w:szCs w:val="20"/>
        </w:rPr>
        <w:t>,’ in </w:t>
      </w:r>
      <w:r w:rsidRPr="009D7635">
        <w:rPr>
          <w:rFonts w:ascii="Times New Roman" w:eastAsia="Times New Roman" w:hAnsi="Times New Roman" w:cs="Times New Roman"/>
          <w:i/>
          <w:iCs/>
          <w:color w:val="000000" w:themeColor="text1"/>
          <w:sz w:val="20"/>
          <w:szCs w:val="20"/>
        </w:rPr>
        <w:t>Anselm of Canterbury: Nature, Order and the Divine,</w:t>
      </w:r>
      <w:r w:rsidRPr="009D7635">
        <w:rPr>
          <w:rFonts w:ascii="Times New Roman" w:eastAsia="Times New Roman" w:hAnsi="Times New Roman" w:cs="Times New Roman"/>
          <w:color w:val="000000" w:themeColor="text1"/>
          <w:sz w:val="20"/>
          <w:szCs w:val="20"/>
        </w:rPr>
        <w:t> ed. Ian Logan and Giles G. E. Gasper, Anselm Studies and Texts (Leiden: Brill, 2021).</w:t>
      </w:r>
    </w:p>
    <w:p w14:paraId="227EE535" w14:textId="6D0B216C" w:rsidR="00B93ED5" w:rsidRPr="009D7635" w:rsidRDefault="00B93ED5" w:rsidP="00665333">
      <w:pPr>
        <w:rPr>
          <w:rFonts w:ascii="Times New Roman" w:hAnsi="Times New Roman" w:cs="Times New Roman"/>
          <w:color w:val="000000" w:themeColor="text1"/>
          <w:sz w:val="20"/>
          <w:szCs w:val="20"/>
          <w:u w:val="single"/>
        </w:rPr>
      </w:pPr>
      <w:r w:rsidRPr="009D7635">
        <w:rPr>
          <w:rFonts w:ascii="Times New Roman" w:hAnsi="Times New Roman" w:cs="Times New Roman"/>
          <w:color w:val="000000" w:themeColor="text1"/>
          <w:sz w:val="20"/>
          <w:szCs w:val="20"/>
        </w:rPr>
        <w:t xml:space="preserve">Anselm, </w:t>
      </w:r>
      <w:r w:rsidRPr="009D7635">
        <w:rPr>
          <w:rFonts w:ascii="Times New Roman" w:hAnsi="Times New Roman" w:cs="Times New Roman"/>
          <w:i/>
          <w:color w:val="000000" w:themeColor="text1"/>
          <w:sz w:val="20"/>
          <w:szCs w:val="20"/>
        </w:rPr>
        <w:t xml:space="preserve">De </w:t>
      </w:r>
      <w:proofErr w:type="spellStart"/>
      <w:r w:rsidRPr="009D7635">
        <w:rPr>
          <w:rFonts w:ascii="Times New Roman" w:hAnsi="Times New Roman" w:cs="Times New Roman"/>
          <w:i/>
          <w:color w:val="000000" w:themeColor="text1"/>
          <w:sz w:val="20"/>
          <w:szCs w:val="20"/>
        </w:rPr>
        <w:t>libero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arbitrio</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1. See the excellent account of Augustine and Anselm on free will in Riccardo Saccenti, </w:t>
      </w:r>
      <w:proofErr w:type="spellStart"/>
      <w:r w:rsidRPr="009D7635">
        <w:rPr>
          <w:rFonts w:ascii="Times New Roman" w:hAnsi="Times New Roman" w:cs="Times New Roman"/>
          <w:i/>
          <w:color w:val="000000" w:themeColor="text1"/>
          <w:sz w:val="20"/>
          <w:szCs w:val="20"/>
        </w:rPr>
        <w:t>Conservare</w:t>
      </w:r>
      <w:proofErr w:type="spellEnd"/>
      <w:r w:rsidRPr="009D7635">
        <w:rPr>
          <w:rFonts w:ascii="Times New Roman" w:hAnsi="Times New Roman" w:cs="Times New Roman"/>
          <w:i/>
          <w:color w:val="000000" w:themeColor="text1"/>
          <w:sz w:val="20"/>
          <w:szCs w:val="20"/>
        </w:rPr>
        <w:t xml:space="preserve"> la </w:t>
      </w:r>
      <w:proofErr w:type="spellStart"/>
      <w:r w:rsidRPr="009D7635">
        <w:rPr>
          <w:rFonts w:ascii="Times New Roman" w:hAnsi="Times New Roman" w:cs="Times New Roman"/>
          <w:i/>
          <w:color w:val="000000" w:themeColor="text1"/>
          <w:sz w:val="20"/>
          <w:szCs w:val="20"/>
        </w:rPr>
        <w:t>retta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volontà</w:t>
      </w:r>
      <w:proofErr w:type="spellEnd"/>
      <w:r w:rsidRPr="009D7635">
        <w:rPr>
          <w:rFonts w:ascii="Times New Roman" w:hAnsi="Times New Roman" w:cs="Times New Roman"/>
          <w:i/>
          <w:color w:val="000000" w:themeColor="text1"/>
          <w:sz w:val="20"/>
          <w:szCs w:val="20"/>
        </w:rPr>
        <w:t xml:space="preserve">: L’atto morale </w:t>
      </w:r>
      <w:proofErr w:type="spellStart"/>
      <w:r w:rsidRPr="009D7635">
        <w:rPr>
          <w:rFonts w:ascii="Times New Roman" w:hAnsi="Times New Roman" w:cs="Times New Roman"/>
          <w:i/>
          <w:color w:val="000000" w:themeColor="text1"/>
          <w:sz w:val="20"/>
          <w:szCs w:val="20"/>
        </w:rPr>
        <w:t>nelle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dottrine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w:t>
      </w:r>
      <w:proofErr w:type="spellEnd"/>
      <w:r w:rsidRPr="009D7635">
        <w:rPr>
          <w:rFonts w:ascii="Times New Roman" w:hAnsi="Times New Roman" w:cs="Times New Roman"/>
          <w:i/>
          <w:color w:val="000000" w:themeColor="text1"/>
          <w:sz w:val="20"/>
          <w:szCs w:val="20"/>
        </w:rPr>
        <w:t xml:space="preserve"> Filippo il </w:t>
      </w:r>
      <w:proofErr w:type="spellStart"/>
      <w:r w:rsidRPr="009D7635">
        <w:rPr>
          <w:rFonts w:ascii="Times New Roman" w:hAnsi="Times New Roman" w:cs="Times New Roman"/>
          <w:i/>
          <w:color w:val="000000" w:themeColor="text1"/>
          <w:sz w:val="20"/>
          <w:szCs w:val="20"/>
        </w:rPr>
        <w:t>Cancelliere</w:t>
      </w:r>
      <w:proofErr w:type="spellEnd"/>
      <w:r w:rsidRPr="009D7635">
        <w:rPr>
          <w:rFonts w:ascii="Times New Roman" w:hAnsi="Times New Roman" w:cs="Times New Roman"/>
          <w:i/>
          <w:color w:val="000000" w:themeColor="text1"/>
          <w:sz w:val="20"/>
          <w:szCs w:val="20"/>
        </w:rPr>
        <w:t xml:space="preserve"> e </w:t>
      </w:r>
      <w:proofErr w:type="spellStart"/>
      <w:r w:rsidRPr="009D7635">
        <w:rPr>
          <w:rFonts w:ascii="Times New Roman" w:hAnsi="Times New Roman" w:cs="Times New Roman"/>
          <w:i/>
          <w:color w:val="000000" w:themeColor="text1"/>
          <w:sz w:val="20"/>
          <w:szCs w:val="20"/>
        </w:rPr>
        <w:t>Ugo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w:t>
      </w:r>
      <w:proofErr w:type="spellEnd"/>
      <w:r w:rsidRPr="009D7635">
        <w:rPr>
          <w:rFonts w:ascii="Times New Roman" w:hAnsi="Times New Roman" w:cs="Times New Roman"/>
          <w:i/>
          <w:color w:val="000000" w:themeColor="text1"/>
          <w:sz w:val="20"/>
          <w:szCs w:val="20"/>
        </w:rPr>
        <w:t xml:space="preserve"> Saint-Cher (1225-1235)</w:t>
      </w:r>
      <w:r w:rsidRPr="009D7635">
        <w:rPr>
          <w:rFonts w:ascii="Times New Roman" w:hAnsi="Times New Roman" w:cs="Times New Roman"/>
          <w:color w:val="000000" w:themeColor="text1"/>
          <w:sz w:val="20"/>
          <w:szCs w:val="20"/>
        </w:rPr>
        <w:t xml:space="preserve"> (Bologna: </w:t>
      </w:r>
      <w:proofErr w:type="spellStart"/>
      <w:r w:rsidRPr="009D7635">
        <w:rPr>
          <w:rFonts w:ascii="Times New Roman" w:hAnsi="Times New Roman" w:cs="Times New Roman"/>
          <w:color w:val="000000" w:themeColor="text1"/>
          <w:sz w:val="20"/>
          <w:szCs w:val="20"/>
        </w:rPr>
        <w:t>Società</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editrice</w:t>
      </w:r>
      <w:proofErr w:type="spellEnd"/>
      <w:r w:rsidRPr="009D7635">
        <w:rPr>
          <w:rFonts w:ascii="Times New Roman" w:hAnsi="Times New Roman" w:cs="Times New Roman"/>
          <w:color w:val="000000" w:themeColor="text1"/>
          <w:sz w:val="20"/>
          <w:szCs w:val="20"/>
        </w:rPr>
        <w:t xml:space="preserve"> il Mulino, 2013), 37-45. See also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Psychologie</w:t>
      </w:r>
      <w:proofErr w:type="spellEnd"/>
      <w:r w:rsidRPr="009D7635">
        <w:rPr>
          <w:rFonts w:ascii="Times New Roman" w:hAnsi="Times New Roman" w:cs="Times New Roman"/>
          <w:i/>
          <w:color w:val="000000" w:themeColor="text1"/>
          <w:sz w:val="20"/>
          <w:szCs w:val="20"/>
        </w:rPr>
        <w:t xml:space="preserve"> et morale aux XIIe et XIIIe </w:t>
      </w:r>
      <w:proofErr w:type="spellStart"/>
      <w:r w:rsidRPr="009D7635">
        <w:rPr>
          <w:rFonts w:ascii="Times New Roman" w:hAnsi="Times New Roman" w:cs="Times New Roman"/>
          <w:i/>
          <w:color w:val="000000" w:themeColor="text1"/>
          <w:sz w:val="20"/>
          <w:szCs w:val="20"/>
        </w:rPr>
        <w:t>siècles</w:t>
      </w:r>
      <w:proofErr w:type="spellEnd"/>
      <w:r w:rsidR="004076AA" w:rsidRPr="009D7635">
        <w:rPr>
          <w:rFonts w:ascii="Times New Roman" w:hAnsi="Times New Roman" w:cs="Times New Roman"/>
          <w:i/>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vol. 1 (</w:t>
      </w:r>
      <w:proofErr w:type="spellStart"/>
      <w:r w:rsidRPr="009D7635">
        <w:rPr>
          <w:rFonts w:ascii="Times New Roman" w:hAnsi="Times New Roman" w:cs="Times New Roman"/>
          <w:color w:val="000000" w:themeColor="text1"/>
          <w:sz w:val="20"/>
          <w:szCs w:val="20"/>
        </w:rPr>
        <w:t>Gembloux</w:t>
      </w:r>
      <w:proofErr w:type="spellEnd"/>
      <w:r w:rsidRPr="009D7635">
        <w:rPr>
          <w:rFonts w:ascii="Times New Roman" w:hAnsi="Times New Roman" w:cs="Times New Roman"/>
          <w:color w:val="000000" w:themeColor="text1"/>
          <w:sz w:val="20"/>
          <w:szCs w:val="20"/>
        </w:rPr>
        <w:t xml:space="preserve">: J. </w:t>
      </w:r>
      <w:proofErr w:type="spellStart"/>
      <w:r w:rsidRPr="009D7635">
        <w:rPr>
          <w:rFonts w:ascii="Times New Roman" w:hAnsi="Times New Roman" w:cs="Times New Roman"/>
          <w:color w:val="000000" w:themeColor="text1"/>
          <w:sz w:val="20"/>
          <w:szCs w:val="20"/>
        </w:rPr>
        <w:t>Duculot</w:t>
      </w:r>
      <w:proofErr w:type="spellEnd"/>
      <w:r w:rsidRPr="009D7635">
        <w:rPr>
          <w:rFonts w:ascii="Times New Roman" w:hAnsi="Times New Roman" w:cs="Times New Roman"/>
          <w:color w:val="000000" w:themeColor="text1"/>
          <w:sz w:val="20"/>
          <w:szCs w:val="20"/>
        </w:rPr>
        <w:t>, 1957), 12-14</w:t>
      </w:r>
      <w:r w:rsidR="00BC2516"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w:t>
      </w:r>
    </w:p>
  </w:footnote>
  <w:footnote w:id="1090">
    <w:p w14:paraId="792BE0D1"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Anselm,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libero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arbitrio</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3 and 10.</w:t>
      </w:r>
    </w:p>
  </w:footnote>
  <w:footnote w:id="1091">
    <w:p w14:paraId="235CA578" w14:textId="0506E370" w:rsidR="00B93ED5" w:rsidRPr="009D7635" w:rsidRDefault="00B93ED5" w:rsidP="00665333">
      <w:pPr>
        <w:pStyle w:val="FootnoteText"/>
        <w:rPr>
          <w:rFonts w:ascii="Times New Roman" w:hAnsi="Times New Roman" w:cs="Times New Roman"/>
          <w:color w:val="000000" w:themeColor="text1"/>
          <w:lang w:val="en-US"/>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Anselm,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libero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arbitrio</w:t>
      </w:r>
      <w:proofErr w:type="spellEnd"/>
      <w:r w:rsidRPr="009D7635">
        <w:rPr>
          <w:rFonts w:ascii="Times New Roman" w:hAnsi="Times New Roman" w:cs="Times New Roman"/>
          <w:color w:val="000000" w:themeColor="text1"/>
        </w:rPr>
        <w:t xml:space="preserve"> 13; cf. Augustine </w:t>
      </w:r>
      <w:r w:rsidRPr="009D7635">
        <w:rPr>
          <w:rFonts w:ascii="Times New Roman" w:hAnsi="Times New Roman" w:cs="Times New Roman"/>
          <w:i/>
          <w:color w:val="000000" w:themeColor="text1"/>
          <w:lang w:val="en-US"/>
        </w:rPr>
        <w:t xml:space="preserve">De </w:t>
      </w:r>
      <w:proofErr w:type="spellStart"/>
      <w:r w:rsidRPr="009D7635">
        <w:rPr>
          <w:rFonts w:ascii="Times New Roman" w:hAnsi="Times New Roman" w:cs="Times New Roman"/>
          <w:i/>
          <w:color w:val="000000" w:themeColor="text1"/>
          <w:lang w:val="en-US"/>
        </w:rPr>
        <w:t>Trinitate</w:t>
      </w:r>
      <w:proofErr w:type="spellEnd"/>
      <w:r w:rsidRPr="009D7635">
        <w:rPr>
          <w:rFonts w:ascii="Times New Roman" w:hAnsi="Times New Roman" w:cs="Times New Roman"/>
          <w:color w:val="000000" w:themeColor="text1"/>
          <w:lang w:val="en-US"/>
        </w:rPr>
        <w:t xml:space="preserve"> 14.15. Robert </w:t>
      </w:r>
      <w:proofErr w:type="spellStart"/>
      <w:r w:rsidRPr="009D7635">
        <w:rPr>
          <w:rFonts w:ascii="Times New Roman" w:hAnsi="Times New Roman" w:cs="Times New Roman"/>
          <w:color w:val="000000" w:themeColor="text1"/>
          <w:lang w:val="en-US"/>
        </w:rPr>
        <w:t>Pouchet</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i/>
          <w:iCs/>
          <w:color w:val="000000" w:themeColor="text1"/>
          <w:lang w:val="en-US"/>
        </w:rPr>
        <w:t>La ‘</w:t>
      </w:r>
      <w:proofErr w:type="spellStart"/>
      <w:r w:rsidRPr="009D7635">
        <w:rPr>
          <w:rFonts w:ascii="Times New Roman" w:hAnsi="Times New Roman" w:cs="Times New Roman"/>
          <w:i/>
          <w:iCs/>
          <w:color w:val="000000" w:themeColor="text1"/>
          <w:lang w:val="en-US"/>
        </w:rPr>
        <w:t>rectitudo</w:t>
      </w:r>
      <w:proofErr w:type="spellEnd"/>
      <w:r w:rsidRPr="009D7635">
        <w:rPr>
          <w:rFonts w:ascii="Times New Roman" w:hAnsi="Times New Roman" w:cs="Times New Roman"/>
          <w:i/>
          <w:iCs/>
          <w:color w:val="000000" w:themeColor="text1"/>
          <w:lang w:val="en-US"/>
        </w:rPr>
        <w:t>’ chez Saint Anselme</w:t>
      </w:r>
      <w:r w:rsidR="00C357F6" w:rsidRPr="009D7635">
        <w:rPr>
          <w:rFonts w:ascii="Times New Roman" w:hAnsi="Times New Roman" w:cs="Times New Roman"/>
          <w:i/>
          <w:iCs/>
          <w:color w:val="000000" w:themeColor="text1"/>
          <w:lang w:val="en-US"/>
        </w:rPr>
        <w:t>:</w:t>
      </w:r>
      <w:r w:rsidRPr="009D7635">
        <w:rPr>
          <w:rFonts w:ascii="Times New Roman" w:hAnsi="Times New Roman" w:cs="Times New Roman"/>
          <w:i/>
          <w:iCs/>
          <w:color w:val="000000" w:themeColor="text1"/>
          <w:lang w:val="en-US"/>
        </w:rPr>
        <w:t xml:space="preserve"> Un </w:t>
      </w:r>
      <w:proofErr w:type="spellStart"/>
      <w:r w:rsidRPr="009D7635">
        <w:rPr>
          <w:rFonts w:ascii="Times New Roman" w:hAnsi="Times New Roman" w:cs="Times New Roman"/>
          <w:i/>
          <w:iCs/>
          <w:color w:val="000000" w:themeColor="text1"/>
          <w:lang w:val="en-US"/>
        </w:rPr>
        <w:t>itinéraire</w:t>
      </w:r>
      <w:proofErr w:type="spellEnd"/>
      <w:r w:rsidRPr="009D7635">
        <w:rPr>
          <w:rFonts w:ascii="Times New Roman" w:hAnsi="Times New Roman" w:cs="Times New Roman"/>
          <w:i/>
          <w:iCs/>
          <w:color w:val="000000" w:themeColor="text1"/>
          <w:lang w:val="en-US"/>
        </w:rPr>
        <w:t xml:space="preserve"> </w:t>
      </w:r>
      <w:proofErr w:type="spellStart"/>
      <w:r w:rsidRPr="009D7635">
        <w:rPr>
          <w:rFonts w:ascii="Times New Roman" w:hAnsi="Times New Roman" w:cs="Times New Roman"/>
          <w:i/>
          <w:iCs/>
          <w:color w:val="000000" w:themeColor="text1"/>
          <w:lang w:val="en-US"/>
        </w:rPr>
        <w:t>augustinien</w:t>
      </w:r>
      <w:proofErr w:type="spellEnd"/>
      <w:r w:rsidRPr="009D7635">
        <w:rPr>
          <w:rFonts w:ascii="Times New Roman" w:hAnsi="Times New Roman" w:cs="Times New Roman"/>
          <w:i/>
          <w:iCs/>
          <w:color w:val="000000" w:themeColor="text1"/>
          <w:lang w:val="en-US"/>
        </w:rPr>
        <w:t xml:space="preserve"> de </w:t>
      </w:r>
      <w:proofErr w:type="spellStart"/>
      <w:r w:rsidRPr="009D7635">
        <w:rPr>
          <w:rFonts w:ascii="Times New Roman" w:hAnsi="Times New Roman" w:cs="Times New Roman"/>
          <w:i/>
          <w:iCs/>
          <w:color w:val="000000" w:themeColor="text1"/>
          <w:lang w:val="en-US"/>
        </w:rPr>
        <w:t>l’</w:t>
      </w:r>
      <w:r w:rsidR="00C357F6" w:rsidRPr="009D7635">
        <w:rPr>
          <w:rFonts w:ascii="Times New Roman" w:hAnsi="Times New Roman" w:cs="Times New Roman"/>
          <w:i/>
          <w:iCs/>
          <w:color w:val="000000" w:themeColor="text1"/>
          <w:lang w:val="en-US"/>
        </w:rPr>
        <w:t>â</w:t>
      </w:r>
      <w:r w:rsidRPr="009D7635">
        <w:rPr>
          <w:rFonts w:ascii="Times New Roman" w:hAnsi="Times New Roman" w:cs="Times New Roman"/>
          <w:i/>
          <w:iCs/>
          <w:color w:val="000000" w:themeColor="text1"/>
          <w:lang w:val="en-US"/>
        </w:rPr>
        <w:t>me</w:t>
      </w:r>
      <w:proofErr w:type="spellEnd"/>
      <w:r w:rsidRPr="009D7635">
        <w:rPr>
          <w:rFonts w:ascii="Times New Roman" w:hAnsi="Times New Roman" w:cs="Times New Roman"/>
          <w:i/>
          <w:iCs/>
          <w:color w:val="000000" w:themeColor="text1"/>
          <w:lang w:val="en-US"/>
        </w:rPr>
        <w:t xml:space="preserve"> à </w:t>
      </w:r>
      <w:proofErr w:type="spellStart"/>
      <w:r w:rsidRPr="009D7635">
        <w:rPr>
          <w:rFonts w:ascii="Times New Roman" w:hAnsi="Times New Roman" w:cs="Times New Roman"/>
          <w:i/>
          <w:iCs/>
          <w:color w:val="000000" w:themeColor="text1"/>
          <w:lang w:val="en-US"/>
        </w:rPr>
        <w:t>Dieu</w:t>
      </w:r>
      <w:proofErr w:type="spellEnd"/>
      <w:r w:rsidRPr="009D7635">
        <w:rPr>
          <w:rFonts w:ascii="Times New Roman" w:hAnsi="Times New Roman" w:cs="Times New Roman"/>
          <w:color w:val="000000" w:themeColor="text1"/>
          <w:lang w:val="en-US"/>
        </w:rPr>
        <w:t xml:space="preserve"> (Paris, Études </w:t>
      </w:r>
      <w:proofErr w:type="spellStart"/>
      <w:r w:rsidRPr="009D7635">
        <w:rPr>
          <w:rFonts w:ascii="Times New Roman" w:hAnsi="Times New Roman" w:cs="Times New Roman"/>
          <w:color w:val="000000" w:themeColor="text1"/>
          <w:lang w:val="en-US"/>
        </w:rPr>
        <w:t>Augustiniennes</w:t>
      </w:r>
      <w:proofErr w:type="spellEnd"/>
      <w:r w:rsidRPr="009D7635">
        <w:rPr>
          <w:rFonts w:ascii="Times New Roman" w:hAnsi="Times New Roman" w:cs="Times New Roman"/>
          <w:color w:val="000000" w:themeColor="text1"/>
          <w:lang w:val="en-US"/>
        </w:rPr>
        <w:t xml:space="preserve">, 1964). </w:t>
      </w:r>
      <w:r w:rsidRPr="009D7635">
        <w:rPr>
          <w:rFonts w:ascii="Times New Roman" w:hAnsi="Times New Roman" w:cs="Times New Roman"/>
          <w:color w:val="000000" w:themeColor="text1"/>
        </w:rPr>
        <w:t xml:space="preserve">K. </w:t>
      </w:r>
      <w:proofErr w:type="spellStart"/>
      <w:r w:rsidRPr="009D7635">
        <w:rPr>
          <w:rFonts w:ascii="Times New Roman" w:hAnsi="Times New Roman" w:cs="Times New Roman"/>
          <w:color w:val="000000" w:themeColor="text1"/>
        </w:rPr>
        <w:t>Trego</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shd w:val="clear" w:color="auto" w:fill="FFFFFF"/>
          <w:lang w:val="en-US" w:eastAsia="it-IT"/>
        </w:rPr>
        <w:t xml:space="preserve">L’essence de la </w:t>
      </w:r>
      <w:proofErr w:type="spellStart"/>
      <w:r w:rsidRPr="009D7635">
        <w:rPr>
          <w:rFonts w:ascii="Times New Roman" w:hAnsi="Times New Roman" w:cs="Times New Roman"/>
          <w:i/>
          <w:iCs/>
          <w:color w:val="000000" w:themeColor="text1"/>
          <w:shd w:val="clear" w:color="auto" w:fill="FFFFFF"/>
          <w:lang w:val="en-US" w:eastAsia="it-IT"/>
        </w:rPr>
        <w:t>liberté</w:t>
      </w:r>
      <w:proofErr w:type="spellEnd"/>
      <w:r w:rsidRPr="009D7635">
        <w:rPr>
          <w:rFonts w:ascii="Times New Roman" w:hAnsi="Times New Roman" w:cs="Times New Roman"/>
          <w:i/>
          <w:iCs/>
          <w:color w:val="000000" w:themeColor="text1"/>
          <w:shd w:val="clear" w:color="auto" w:fill="FFFFFF"/>
          <w:lang w:val="en-US" w:eastAsia="it-IT"/>
        </w:rPr>
        <w:t xml:space="preserve">. </w:t>
      </w:r>
      <w:r w:rsidRPr="009D7635">
        <w:rPr>
          <w:rFonts w:ascii="Times New Roman" w:hAnsi="Times New Roman" w:cs="Times New Roman"/>
          <w:i/>
          <w:iCs/>
          <w:color w:val="000000" w:themeColor="text1"/>
          <w:shd w:val="clear" w:color="auto" w:fill="FFFFFF"/>
          <w:lang w:val="it-IT" w:eastAsia="it-IT"/>
        </w:rPr>
        <w:t xml:space="preserve">La </w:t>
      </w:r>
      <w:proofErr w:type="spellStart"/>
      <w:r w:rsidRPr="009D7635">
        <w:rPr>
          <w:rFonts w:ascii="Times New Roman" w:hAnsi="Times New Roman" w:cs="Times New Roman"/>
          <w:i/>
          <w:iCs/>
          <w:color w:val="000000" w:themeColor="text1"/>
          <w:shd w:val="clear" w:color="auto" w:fill="FFFFFF"/>
          <w:lang w:val="it-IT" w:eastAsia="it-IT"/>
        </w:rPr>
        <w:t>refondation</w:t>
      </w:r>
      <w:proofErr w:type="spellEnd"/>
      <w:r w:rsidRPr="009D7635">
        <w:rPr>
          <w:rFonts w:ascii="Times New Roman" w:hAnsi="Times New Roman" w:cs="Times New Roman"/>
          <w:i/>
          <w:iCs/>
          <w:color w:val="000000" w:themeColor="text1"/>
          <w:shd w:val="clear" w:color="auto" w:fill="FFFFFF"/>
          <w:lang w:val="it-IT" w:eastAsia="it-IT"/>
        </w:rPr>
        <w:t xml:space="preserve"> de </w:t>
      </w:r>
      <w:proofErr w:type="spellStart"/>
      <w:r w:rsidRPr="009D7635">
        <w:rPr>
          <w:rFonts w:ascii="Times New Roman" w:hAnsi="Times New Roman" w:cs="Times New Roman"/>
          <w:i/>
          <w:iCs/>
          <w:color w:val="000000" w:themeColor="text1"/>
          <w:shd w:val="clear" w:color="auto" w:fill="FFFFFF"/>
          <w:lang w:val="it-IT" w:eastAsia="it-IT"/>
        </w:rPr>
        <w:t>l’éthique</w:t>
      </w:r>
      <w:proofErr w:type="spellEnd"/>
      <w:r w:rsidRPr="009D7635">
        <w:rPr>
          <w:rFonts w:ascii="Times New Roman" w:hAnsi="Times New Roman" w:cs="Times New Roman"/>
          <w:i/>
          <w:iCs/>
          <w:color w:val="000000" w:themeColor="text1"/>
          <w:shd w:val="clear" w:color="auto" w:fill="FFFFFF"/>
          <w:lang w:val="it-IT" w:eastAsia="it-IT"/>
        </w:rPr>
        <w:t xml:space="preserve"> </w:t>
      </w:r>
      <w:proofErr w:type="spellStart"/>
      <w:r w:rsidRPr="009D7635">
        <w:rPr>
          <w:rFonts w:ascii="Times New Roman" w:hAnsi="Times New Roman" w:cs="Times New Roman"/>
          <w:i/>
          <w:iCs/>
          <w:color w:val="000000" w:themeColor="text1"/>
          <w:shd w:val="clear" w:color="auto" w:fill="FFFFFF"/>
          <w:lang w:val="it-IT" w:eastAsia="it-IT"/>
        </w:rPr>
        <w:t>dans</w:t>
      </w:r>
      <w:proofErr w:type="spellEnd"/>
      <w:r w:rsidRPr="009D7635">
        <w:rPr>
          <w:rFonts w:ascii="Times New Roman" w:hAnsi="Times New Roman" w:cs="Times New Roman"/>
          <w:i/>
          <w:iCs/>
          <w:color w:val="000000" w:themeColor="text1"/>
          <w:shd w:val="clear" w:color="auto" w:fill="FFFFFF"/>
          <w:lang w:val="it-IT" w:eastAsia="it-IT"/>
        </w:rPr>
        <w:t xml:space="preserve"> </w:t>
      </w:r>
      <w:proofErr w:type="spellStart"/>
      <w:r w:rsidRPr="009D7635">
        <w:rPr>
          <w:rFonts w:ascii="Times New Roman" w:hAnsi="Times New Roman" w:cs="Times New Roman"/>
          <w:i/>
          <w:iCs/>
          <w:color w:val="000000" w:themeColor="text1"/>
          <w:shd w:val="clear" w:color="auto" w:fill="FFFFFF"/>
          <w:lang w:val="it-IT" w:eastAsia="it-IT"/>
        </w:rPr>
        <w:t>l’œuvre</w:t>
      </w:r>
      <w:proofErr w:type="spellEnd"/>
      <w:r w:rsidRPr="009D7635">
        <w:rPr>
          <w:rFonts w:ascii="Times New Roman" w:hAnsi="Times New Roman" w:cs="Times New Roman"/>
          <w:i/>
          <w:iCs/>
          <w:color w:val="000000" w:themeColor="text1"/>
          <w:shd w:val="clear" w:color="auto" w:fill="FFFFFF"/>
          <w:lang w:val="it-IT" w:eastAsia="it-IT"/>
        </w:rPr>
        <w:t xml:space="preserve"> de</w:t>
      </w:r>
      <w:r w:rsidR="00800D91" w:rsidRPr="009D7635">
        <w:rPr>
          <w:rFonts w:ascii="Times New Roman" w:hAnsi="Times New Roman" w:cs="Times New Roman"/>
          <w:i/>
          <w:iCs/>
          <w:color w:val="000000" w:themeColor="text1"/>
          <w:shd w:val="clear" w:color="auto" w:fill="FFFFFF"/>
          <w:lang w:val="it-IT" w:eastAsia="it-IT"/>
        </w:rPr>
        <w:t>s</w:t>
      </w:r>
      <w:r w:rsidRPr="009D7635">
        <w:rPr>
          <w:rFonts w:ascii="Times New Roman" w:hAnsi="Times New Roman" w:cs="Times New Roman"/>
          <w:i/>
          <w:iCs/>
          <w:color w:val="000000" w:themeColor="text1"/>
          <w:shd w:val="clear" w:color="auto" w:fill="FFFFFF"/>
          <w:lang w:val="it-IT" w:eastAsia="it-IT"/>
        </w:rPr>
        <w:t xml:space="preserve">. Anselme de </w:t>
      </w:r>
      <w:proofErr w:type="spellStart"/>
      <w:r w:rsidRPr="009D7635">
        <w:rPr>
          <w:rFonts w:ascii="Times New Roman" w:hAnsi="Times New Roman" w:cs="Times New Roman"/>
          <w:i/>
          <w:iCs/>
          <w:color w:val="000000" w:themeColor="text1"/>
          <w:shd w:val="clear" w:color="auto" w:fill="FFFFFF"/>
          <w:lang w:val="it-IT" w:eastAsia="it-IT"/>
        </w:rPr>
        <w:t>Cantorbéry</w:t>
      </w:r>
      <w:proofErr w:type="spellEnd"/>
      <w:r w:rsidRPr="009D7635">
        <w:rPr>
          <w:rFonts w:ascii="Times New Roman" w:hAnsi="Times New Roman" w:cs="Times New Roman"/>
          <w:color w:val="000000" w:themeColor="text1"/>
          <w:shd w:val="clear" w:color="auto" w:fill="FFFFFF"/>
          <w:lang w:val="it-IT" w:eastAsia="it-IT"/>
        </w:rPr>
        <w:t>, (Paris: Vrin, 2010).</w:t>
      </w:r>
    </w:p>
  </w:footnote>
  <w:footnote w:id="1092">
    <w:p w14:paraId="3444A3AB" w14:textId="0ABAD3DF" w:rsidR="00B93ED5" w:rsidRPr="009D7635" w:rsidRDefault="00B93ED5" w:rsidP="0066533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Anselm, </w:t>
      </w:r>
      <w:r w:rsidRPr="009D7635">
        <w:rPr>
          <w:rFonts w:ascii="Times New Roman" w:hAnsi="Times New Roman" w:cs="Times New Roman"/>
          <w:i/>
          <w:color w:val="000000" w:themeColor="text1"/>
          <w:sz w:val="20"/>
          <w:szCs w:val="20"/>
        </w:rPr>
        <w:t xml:space="preserve">De </w:t>
      </w:r>
      <w:proofErr w:type="spellStart"/>
      <w:r w:rsidRPr="009D7635">
        <w:rPr>
          <w:rFonts w:ascii="Times New Roman" w:hAnsi="Times New Roman" w:cs="Times New Roman"/>
          <w:i/>
          <w:color w:val="000000" w:themeColor="text1"/>
          <w:sz w:val="20"/>
          <w:szCs w:val="20"/>
        </w:rPr>
        <w:t>libero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arbitrio</w:t>
      </w:r>
      <w:proofErr w:type="spellEnd"/>
      <w:r w:rsidRPr="009D7635">
        <w:rPr>
          <w:rFonts w:ascii="Times New Roman" w:hAnsi="Times New Roman" w:cs="Times New Roman"/>
          <w:color w:val="000000" w:themeColor="text1"/>
          <w:sz w:val="20"/>
          <w:szCs w:val="20"/>
        </w:rPr>
        <w:t xml:space="preserve"> 3.15</w:t>
      </w:r>
      <w:r w:rsidR="007B2EF8" w:rsidRPr="009D7635">
        <w:rPr>
          <w:rFonts w:ascii="Times New Roman" w:hAnsi="Times New Roman" w:cs="Times New Roman"/>
          <w:color w:val="000000" w:themeColor="text1"/>
          <w:sz w:val="20"/>
          <w:szCs w:val="20"/>
        </w:rPr>
        <w:t>.</w:t>
      </w:r>
    </w:p>
  </w:footnote>
  <w:footnote w:id="1093">
    <w:p w14:paraId="48479E01" w14:textId="5DE933BB" w:rsidR="00B93ED5" w:rsidRPr="009D7635" w:rsidRDefault="00B93ED5" w:rsidP="00665333">
      <w:pPr>
        <w:pStyle w:val="FootnoteText"/>
        <w:rPr>
          <w:rFonts w:ascii="Times New Roman" w:hAnsi="Times New Roman" w:cs="Times New Roman"/>
          <w:iCs/>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John of Damascus,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ch 41, 152: </w:t>
      </w:r>
      <w:proofErr w:type="spellStart"/>
      <w:r w:rsidR="00BD1943" w:rsidRPr="009D7635">
        <w:rPr>
          <w:rFonts w:ascii="Times New Roman" w:hAnsi="Times New Roman" w:cs="Times New Roman"/>
          <w:i/>
          <w:color w:val="000000" w:themeColor="text1"/>
        </w:rPr>
        <w:t>O</w:t>
      </w:r>
      <w:r w:rsidRPr="009D7635">
        <w:rPr>
          <w:rFonts w:ascii="Times New Roman" w:hAnsi="Times New Roman" w:cs="Times New Roman"/>
          <w:i/>
          <w:color w:val="000000" w:themeColor="text1"/>
        </w:rPr>
        <w:t>mne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enim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generabile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vertibile</w:t>
      </w:r>
      <w:proofErr w:type="spellEnd"/>
      <w:r w:rsidRPr="009D7635">
        <w:rPr>
          <w:rFonts w:ascii="Times New Roman" w:hAnsi="Times New Roman" w:cs="Times New Roman"/>
          <w:i/>
          <w:color w:val="000000" w:themeColor="text1"/>
        </w:rPr>
        <w:t xml:space="preserve"> est</w:t>
      </w:r>
      <w:r w:rsidRPr="009D7635">
        <w:rPr>
          <w:rFonts w:ascii="Times New Roman" w:hAnsi="Times New Roman" w:cs="Times New Roman"/>
          <w:iCs/>
          <w:color w:val="000000" w:themeColor="text1"/>
        </w:rPr>
        <w:t xml:space="preserve">. See 152-4 more generally on free will. </w:t>
      </w:r>
    </w:p>
  </w:footnote>
  <w:footnote w:id="1094">
    <w:p w14:paraId="7E855FC1"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John of Damascus, </w:t>
      </w:r>
      <w:r w:rsidRPr="009D7635">
        <w:rPr>
          <w:rFonts w:ascii="Times New Roman" w:hAnsi="Times New Roman" w:cs="Times New Roman"/>
          <w:i/>
          <w:color w:val="000000" w:themeColor="text1"/>
        </w:rPr>
        <w:t xml:space="preserve">De fide </w:t>
      </w:r>
      <w:proofErr w:type="spellStart"/>
      <w:r w:rsidRPr="009D7635">
        <w:rPr>
          <w:rFonts w:ascii="Times New Roman" w:hAnsi="Times New Roman" w:cs="Times New Roman"/>
          <w:i/>
          <w:color w:val="000000" w:themeColor="text1"/>
        </w:rPr>
        <w:t>orthodoxa</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ch 40, 150.</w:t>
      </w:r>
    </w:p>
  </w:footnote>
  <w:footnote w:id="1095">
    <w:p w14:paraId="5DB775AF" w14:textId="105F8067" w:rsidR="00B93ED5" w:rsidRPr="009D7635" w:rsidRDefault="00B93ED5" w:rsidP="00665333">
      <w:pPr>
        <w:pStyle w:val="1406RefEntry"/>
        <w:spacing w:after="0" w:line="240" w:lineRule="auto"/>
        <w:ind w:left="0" w:firstLine="0"/>
        <w:rPr>
          <w:rFonts w:ascii="Times New Roman" w:hAnsi="Times New Roman"/>
          <w:color w:val="000000" w:themeColor="text1"/>
          <w:sz w:val="20"/>
        </w:rPr>
      </w:pPr>
      <w:r w:rsidRPr="009D7635">
        <w:rPr>
          <w:rStyle w:val="FootnoteReference"/>
          <w:rFonts w:ascii="Times New Roman" w:hAnsi="Times New Roman"/>
          <w:color w:val="000000" w:themeColor="text1"/>
          <w:sz w:val="20"/>
        </w:rPr>
        <w:footnoteRef/>
      </w:r>
      <w:r w:rsidRPr="009D7635">
        <w:rPr>
          <w:rFonts w:ascii="Times New Roman" w:hAnsi="Times New Roman"/>
          <w:color w:val="000000" w:themeColor="text1"/>
          <w:sz w:val="20"/>
        </w:rPr>
        <w:t xml:space="preserve"> Alexander of Hales, ‘De </w:t>
      </w:r>
      <w:proofErr w:type="spellStart"/>
      <w:r w:rsidRPr="009D7635">
        <w:rPr>
          <w:rFonts w:ascii="Times New Roman" w:hAnsi="Times New Roman"/>
          <w:color w:val="000000" w:themeColor="text1"/>
          <w:sz w:val="20"/>
        </w:rPr>
        <w:t>libero</w:t>
      </w:r>
      <w:proofErr w:type="spellEnd"/>
      <w:r w:rsidRPr="009D7635">
        <w:rPr>
          <w:rFonts w:ascii="Times New Roman" w:hAnsi="Times New Roman"/>
          <w:color w:val="000000" w:themeColor="text1"/>
          <w:sz w:val="20"/>
        </w:rPr>
        <w:t xml:space="preserve"> </w:t>
      </w:r>
      <w:proofErr w:type="spellStart"/>
      <w:r w:rsidRPr="009D7635">
        <w:rPr>
          <w:rFonts w:ascii="Times New Roman" w:hAnsi="Times New Roman"/>
          <w:color w:val="000000" w:themeColor="text1"/>
          <w:sz w:val="20"/>
        </w:rPr>
        <w:t>arbitrio</w:t>
      </w:r>
      <w:proofErr w:type="spellEnd"/>
      <w:r w:rsidRPr="009D7635">
        <w:rPr>
          <w:rFonts w:ascii="Times New Roman" w:hAnsi="Times New Roman"/>
          <w:color w:val="000000" w:themeColor="text1"/>
          <w:sz w:val="20"/>
        </w:rPr>
        <w:t xml:space="preserve">,’ in </w:t>
      </w:r>
      <w:proofErr w:type="spellStart"/>
      <w:r w:rsidRPr="009D7635">
        <w:rPr>
          <w:rFonts w:ascii="Times New Roman" w:hAnsi="Times New Roman"/>
          <w:i/>
          <w:color w:val="000000" w:themeColor="text1"/>
          <w:sz w:val="20"/>
        </w:rPr>
        <w:t>Magestri</w:t>
      </w:r>
      <w:proofErr w:type="spellEnd"/>
      <w:r w:rsidRPr="009D7635">
        <w:rPr>
          <w:rFonts w:ascii="Times New Roman" w:hAnsi="Times New Roman"/>
          <w:i/>
          <w:color w:val="000000" w:themeColor="text1"/>
          <w:sz w:val="20"/>
        </w:rPr>
        <w:t xml:space="preserve"> </w:t>
      </w:r>
      <w:proofErr w:type="spellStart"/>
      <w:r w:rsidRPr="009D7635">
        <w:rPr>
          <w:rFonts w:ascii="Times New Roman" w:hAnsi="Times New Roman"/>
          <w:i/>
          <w:color w:val="000000" w:themeColor="text1"/>
          <w:sz w:val="20"/>
        </w:rPr>
        <w:t>Alexandri</w:t>
      </w:r>
      <w:proofErr w:type="spellEnd"/>
      <w:r w:rsidRPr="009D7635">
        <w:rPr>
          <w:rFonts w:ascii="Times New Roman" w:hAnsi="Times New Roman"/>
          <w:i/>
          <w:color w:val="000000" w:themeColor="text1"/>
          <w:sz w:val="20"/>
        </w:rPr>
        <w:t xml:space="preserve"> de Hales </w:t>
      </w:r>
      <w:proofErr w:type="spellStart"/>
      <w:r w:rsidRPr="009D7635">
        <w:rPr>
          <w:rFonts w:ascii="Times New Roman" w:hAnsi="Times New Roman"/>
          <w:i/>
          <w:color w:val="000000" w:themeColor="text1"/>
          <w:sz w:val="20"/>
        </w:rPr>
        <w:t>Quaestiones</w:t>
      </w:r>
      <w:proofErr w:type="spellEnd"/>
      <w:r w:rsidRPr="009D7635">
        <w:rPr>
          <w:rFonts w:ascii="Times New Roman" w:hAnsi="Times New Roman"/>
          <w:i/>
          <w:color w:val="000000" w:themeColor="text1"/>
          <w:sz w:val="20"/>
        </w:rPr>
        <w:t xml:space="preserve"> </w:t>
      </w:r>
      <w:proofErr w:type="spellStart"/>
      <w:r w:rsidRPr="009D7635">
        <w:rPr>
          <w:rFonts w:ascii="Times New Roman" w:hAnsi="Times New Roman"/>
          <w:i/>
          <w:color w:val="000000" w:themeColor="text1"/>
          <w:sz w:val="20"/>
        </w:rPr>
        <w:t>disputatae</w:t>
      </w:r>
      <w:proofErr w:type="spellEnd"/>
      <w:r w:rsidRPr="009D7635">
        <w:rPr>
          <w:rFonts w:ascii="Times New Roman" w:hAnsi="Times New Roman"/>
          <w:i/>
          <w:color w:val="000000" w:themeColor="text1"/>
          <w:sz w:val="20"/>
        </w:rPr>
        <w:t xml:space="preserve"> ‘</w:t>
      </w:r>
      <w:proofErr w:type="spellStart"/>
      <w:r w:rsidRPr="009D7635">
        <w:rPr>
          <w:rFonts w:ascii="Times New Roman" w:hAnsi="Times New Roman"/>
          <w:i/>
          <w:color w:val="000000" w:themeColor="text1"/>
          <w:sz w:val="20"/>
        </w:rPr>
        <w:t>Antequam</w:t>
      </w:r>
      <w:proofErr w:type="spellEnd"/>
      <w:r w:rsidRPr="009D7635">
        <w:rPr>
          <w:rFonts w:ascii="Times New Roman" w:hAnsi="Times New Roman"/>
          <w:i/>
          <w:color w:val="000000" w:themeColor="text1"/>
          <w:sz w:val="20"/>
        </w:rPr>
        <w:t xml:space="preserve"> </w:t>
      </w:r>
      <w:proofErr w:type="spellStart"/>
      <w:r w:rsidRPr="009D7635">
        <w:rPr>
          <w:rFonts w:ascii="Times New Roman" w:hAnsi="Times New Roman"/>
          <w:i/>
          <w:color w:val="000000" w:themeColor="text1"/>
          <w:sz w:val="20"/>
        </w:rPr>
        <w:t>esset</w:t>
      </w:r>
      <w:proofErr w:type="spellEnd"/>
      <w:r w:rsidRPr="009D7635">
        <w:rPr>
          <w:rFonts w:ascii="Times New Roman" w:hAnsi="Times New Roman"/>
          <w:i/>
          <w:color w:val="000000" w:themeColor="text1"/>
          <w:sz w:val="20"/>
        </w:rPr>
        <w:t xml:space="preserve"> frater’, </w:t>
      </w:r>
      <w:r w:rsidRPr="009D7635">
        <w:rPr>
          <w:rFonts w:ascii="Times New Roman" w:hAnsi="Times New Roman"/>
          <w:color w:val="000000" w:themeColor="text1"/>
          <w:sz w:val="20"/>
        </w:rPr>
        <w:t>vol. 1 (</w:t>
      </w:r>
      <w:proofErr w:type="spellStart"/>
      <w:r w:rsidRPr="009D7635">
        <w:rPr>
          <w:rFonts w:ascii="Times New Roman" w:hAnsi="Times New Roman"/>
          <w:color w:val="000000" w:themeColor="text1"/>
          <w:sz w:val="20"/>
        </w:rPr>
        <w:t>Quaracchi</w:t>
      </w:r>
      <w:proofErr w:type="spellEnd"/>
      <w:r w:rsidRPr="009D7635">
        <w:rPr>
          <w:rFonts w:ascii="Times New Roman" w:hAnsi="Times New Roman"/>
          <w:color w:val="000000" w:themeColor="text1"/>
          <w:sz w:val="20"/>
        </w:rPr>
        <w:t xml:space="preserve">, </w:t>
      </w:r>
      <w:proofErr w:type="spellStart"/>
      <w:r w:rsidRPr="009D7635">
        <w:rPr>
          <w:rFonts w:ascii="Times New Roman" w:hAnsi="Times New Roman"/>
          <w:color w:val="000000" w:themeColor="text1"/>
          <w:sz w:val="20"/>
        </w:rPr>
        <w:t>Florentiae</w:t>
      </w:r>
      <w:proofErr w:type="spellEnd"/>
      <w:r w:rsidRPr="009D7635">
        <w:rPr>
          <w:rFonts w:ascii="Times New Roman" w:hAnsi="Times New Roman"/>
          <w:color w:val="000000" w:themeColor="text1"/>
          <w:sz w:val="20"/>
        </w:rPr>
        <w:t xml:space="preserve">: </w:t>
      </w:r>
      <w:proofErr w:type="spellStart"/>
      <w:r w:rsidRPr="009D7635">
        <w:rPr>
          <w:rFonts w:ascii="Times New Roman" w:hAnsi="Times New Roman"/>
          <w:color w:val="000000" w:themeColor="text1"/>
          <w:sz w:val="20"/>
        </w:rPr>
        <w:t>Collegii</w:t>
      </w:r>
      <w:proofErr w:type="spellEnd"/>
      <w:r w:rsidRPr="009D7635">
        <w:rPr>
          <w:rFonts w:ascii="Times New Roman" w:hAnsi="Times New Roman"/>
          <w:color w:val="000000" w:themeColor="text1"/>
          <w:sz w:val="20"/>
        </w:rPr>
        <w:t xml:space="preserve"> S. </w:t>
      </w:r>
      <w:proofErr w:type="spellStart"/>
      <w:r w:rsidRPr="009D7635">
        <w:rPr>
          <w:rFonts w:ascii="Times New Roman" w:hAnsi="Times New Roman"/>
          <w:color w:val="000000" w:themeColor="text1"/>
          <w:sz w:val="20"/>
        </w:rPr>
        <w:t>Bonaventurae</w:t>
      </w:r>
      <w:proofErr w:type="spellEnd"/>
      <w:r w:rsidRPr="009D7635">
        <w:rPr>
          <w:rFonts w:ascii="Times New Roman" w:hAnsi="Times New Roman"/>
          <w:color w:val="000000" w:themeColor="text1"/>
          <w:sz w:val="20"/>
        </w:rPr>
        <w:t xml:space="preserve">, 1960), </w:t>
      </w:r>
      <w:proofErr w:type="spellStart"/>
      <w:r w:rsidRPr="009D7635">
        <w:rPr>
          <w:rFonts w:ascii="Times New Roman" w:hAnsi="Times New Roman"/>
          <w:color w:val="000000" w:themeColor="text1"/>
          <w:sz w:val="20"/>
        </w:rPr>
        <w:t>qu</w:t>
      </w:r>
      <w:proofErr w:type="spellEnd"/>
      <w:r w:rsidRPr="009D7635">
        <w:rPr>
          <w:rFonts w:ascii="Times New Roman" w:hAnsi="Times New Roman"/>
          <w:color w:val="000000" w:themeColor="text1"/>
          <w:sz w:val="20"/>
        </w:rPr>
        <w:t xml:space="preserve"> </w:t>
      </w:r>
      <w:r w:rsidR="004076AA" w:rsidRPr="009D7635">
        <w:rPr>
          <w:rFonts w:ascii="Times New Roman" w:hAnsi="Times New Roman"/>
          <w:color w:val="000000" w:themeColor="text1"/>
          <w:sz w:val="20"/>
        </w:rPr>
        <w:t>33</w:t>
      </w:r>
      <w:r w:rsidRPr="009D7635">
        <w:rPr>
          <w:rFonts w:ascii="Times New Roman" w:hAnsi="Times New Roman"/>
          <w:color w:val="000000" w:themeColor="text1"/>
          <w:sz w:val="20"/>
        </w:rPr>
        <w:t>, 566.</w:t>
      </w:r>
    </w:p>
  </w:footnote>
  <w:footnote w:id="1096">
    <w:p w14:paraId="622A9D1A"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Denise Ryan, ‘An Examination of a Thirteenth-Century Treatise on the Mind-Body Dichotomy: Jean de la Rochelle on the Soul and its Powers’ (PhD Thesis, National University of Ireland, </w:t>
      </w:r>
      <w:proofErr w:type="spellStart"/>
      <w:r w:rsidRPr="009D7635">
        <w:rPr>
          <w:rFonts w:ascii="Times New Roman" w:hAnsi="Times New Roman" w:cs="Times New Roman"/>
          <w:color w:val="000000" w:themeColor="text1"/>
        </w:rPr>
        <w:t>Maynooth</w:t>
      </w:r>
      <w:proofErr w:type="spellEnd"/>
      <w:r w:rsidRPr="009D7635">
        <w:rPr>
          <w:rFonts w:ascii="Times New Roman" w:hAnsi="Times New Roman" w:cs="Times New Roman"/>
          <w:color w:val="000000" w:themeColor="text1"/>
        </w:rPr>
        <w:t xml:space="preserve">, 2010), 173. </w:t>
      </w:r>
    </w:p>
  </w:footnote>
  <w:footnote w:id="1097">
    <w:p w14:paraId="17D9E92E"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Michael </w:t>
      </w:r>
      <w:proofErr w:type="spellStart"/>
      <w:r w:rsidRPr="009D7635">
        <w:rPr>
          <w:rFonts w:ascii="Times New Roman" w:hAnsi="Times New Roman" w:cs="Times New Roman"/>
          <w:color w:val="000000" w:themeColor="text1"/>
        </w:rPr>
        <w:t>Frede</w:t>
      </w:r>
      <w:proofErr w:type="spellEnd"/>
      <w:r w:rsidRPr="009D7635">
        <w:rPr>
          <w:rFonts w:ascii="Times New Roman" w:hAnsi="Times New Roman" w:cs="Times New Roman"/>
          <w:color w:val="000000" w:themeColor="text1"/>
        </w:rPr>
        <w:t xml:space="preserve">, ‘John of Damascus on Human Action, the Will, and Human Freedom,’ in </w:t>
      </w:r>
      <w:r w:rsidRPr="009D7635">
        <w:rPr>
          <w:rFonts w:ascii="Times New Roman" w:eastAsia="Times New Roman" w:hAnsi="Times New Roman" w:cs="Times New Roman"/>
          <w:i/>
          <w:iCs/>
          <w:color w:val="000000" w:themeColor="text1"/>
        </w:rPr>
        <w:t>Byzantine Philosophy and its Ancient Sources</w:t>
      </w:r>
      <w:r w:rsidRPr="009D7635">
        <w:rPr>
          <w:rFonts w:ascii="Times New Roman" w:eastAsia="Times New Roman" w:hAnsi="Times New Roman" w:cs="Times New Roman"/>
          <w:color w:val="000000" w:themeColor="text1"/>
          <w:shd w:val="clear" w:color="auto" w:fill="FFFFFF"/>
        </w:rPr>
        <w:t xml:space="preserve">, ed. Katerina </w:t>
      </w:r>
      <w:proofErr w:type="spellStart"/>
      <w:r w:rsidRPr="009D7635">
        <w:rPr>
          <w:rFonts w:ascii="Times New Roman" w:eastAsia="Times New Roman" w:hAnsi="Times New Roman" w:cs="Times New Roman"/>
          <w:color w:val="000000" w:themeColor="text1"/>
          <w:shd w:val="clear" w:color="auto" w:fill="FFFFFF"/>
        </w:rPr>
        <w:t>Ierodiakonou</w:t>
      </w:r>
      <w:proofErr w:type="spellEnd"/>
      <w:r w:rsidRPr="009D7635">
        <w:rPr>
          <w:rFonts w:ascii="Times New Roman" w:eastAsia="Times New Roman" w:hAnsi="Times New Roman" w:cs="Times New Roman"/>
          <w:color w:val="000000" w:themeColor="text1"/>
          <w:shd w:val="clear" w:color="auto" w:fill="FFFFFF"/>
        </w:rPr>
        <w:t xml:space="preserve"> (Oxford: Clarendon Press, </w:t>
      </w:r>
      <w:r w:rsidRPr="009D7635">
        <w:rPr>
          <w:rFonts w:ascii="Times New Roman" w:eastAsia="Times New Roman" w:hAnsi="Times New Roman" w:cs="Times New Roman"/>
          <w:color w:val="000000" w:themeColor="text1"/>
        </w:rPr>
        <w:t>2002</w:t>
      </w:r>
      <w:r w:rsidRPr="009D7635">
        <w:rPr>
          <w:rFonts w:ascii="Times New Roman" w:eastAsia="Times New Roman" w:hAnsi="Times New Roman" w:cs="Times New Roman"/>
          <w:color w:val="000000" w:themeColor="text1"/>
          <w:shd w:val="clear" w:color="auto" w:fill="FFFFFF"/>
        </w:rPr>
        <w:t xml:space="preserve">), </w:t>
      </w:r>
      <w:r w:rsidRPr="009D7635">
        <w:rPr>
          <w:rFonts w:ascii="Times New Roman" w:hAnsi="Times New Roman" w:cs="Times New Roman"/>
          <w:color w:val="000000" w:themeColor="text1"/>
        </w:rPr>
        <w:t xml:space="preserve">63-95. </w:t>
      </w:r>
    </w:p>
  </w:footnote>
  <w:footnote w:id="1098">
    <w:p w14:paraId="1DD3516B" w14:textId="72C0E481"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René A. Gauthier, ‘</w:t>
      </w:r>
      <w:proofErr w:type="spellStart"/>
      <w:r w:rsidRPr="009D7635">
        <w:rPr>
          <w:rFonts w:ascii="Times New Roman" w:hAnsi="Times New Roman" w:cs="Times New Roman"/>
          <w:color w:val="000000" w:themeColor="text1"/>
        </w:rPr>
        <w:t>Maxime</w:t>
      </w:r>
      <w:proofErr w:type="spellEnd"/>
      <w:r w:rsidRPr="009D7635">
        <w:rPr>
          <w:rFonts w:ascii="Times New Roman" w:hAnsi="Times New Roman" w:cs="Times New Roman"/>
          <w:color w:val="000000" w:themeColor="text1"/>
        </w:rPr>
        <w:t xml:space="preserve"> le </w:t>
      </w:r>
      <w:proofErr w:type="spellStart"/>
      <w:r w:rsidRPr="009D7635">
        <w:rPr>
          <w:rFonts w:ascii="Times New Roman" w:hAnsi="Times New Roman" w:cs="Times New Roman"/>
          <w:color w:val="000000" w:themeColor="text1"/>
        </w:rPr>
        <w:t>Confesseur</w:t>
      </w:r>
      <w:proofErr w:type="spellEnd"/>
      <w:r w:rsidRPr="009D7635">
        <w:rPr>
          <w:rFonts w:ascii="Times New Roman" w:hAnsi="Times New Roman" w:cs="Times New Roman"/>
          <w:color w:val="000000" w:themeColor="text1"/>
        </w:rPr>
        <w:t xml:space="preserve"> et la </w:t>
      </w:r>
      <w:proofErr w:type="spellStart"/>
      <w:r w:rsidRPr="009D7635">
        <w:rPr>
          <w:rFonts w:ascii="Times New Roman" w:hAnsi="Times New Roman" w:cs="Times New Roman"/>
          <w:color w:val="000000" w:themeColor="text1"/>
        </w:rPr>
        <w:t>psychologie</w:t>
      </w:r>
      <w:proofErr w:type="spellEnd"/>
      <w:r w:rsidRPr="009D7635">
        <w:rPr>
          <w:rFonts w:ascii="Times New Roman" w:hAnsi="Times New Roman" w:cs="Times New Roman"/>
          <w:color w:val="000000" w:themeColor="text1"/>
        </w:rPr>
        <w:t xml:space="preserve"> de l’act </w:t>
      </w:r>
      <w:proofErr w:type="spellStart"/>
      <w:r w:rsidRPr="009D7635">
        <w:rPr>
          <w:rFonts w:ascii="Times New Roman" w:hAnsi="Times New Roman" w:cs="Times New Roman"/>
          <w:color w:val="000000" w:themeColor="text1"/>
        </w:rPr>
        <w:t>humain</w:t>
      </w:r>
      <w:proofErr w:type="spellEnd"/>
      <w:r w:rsidRPr="009D7635">
        <w:rPr>
          <w:rFonts w:ascii="Times New Roman" w:hAnsi="Times New Roman" w:cs="Times New Roman"/>
          <w:color w:val="000000" w:themeColor="text1"/>
        </w:rPr>
        <w:t xml:space="preserve">,’ in </w:t>
      </w:r>
      <w:proofErr w:type="spellStart"/>
      <w:r w:rsidRPr="009D7635">
        <w:rPr>
          <w:rFonts w:ascii="Times New Roman" w:hAnsi="Times New Roman" w:cs="Times New Roman"/>
          <w:i/>
          <w:iCs/>
          <w:color w:val="000000" w:themeColor="text1"/>
        </w:rPr>
        <w:t>Recherches</w:t>
      </w:r>
      <w:proofErr w:type="spellEnd"/>
      <w:r w:rsidRPr="009D7635">
        <w:rPr>
          <w:rFonts w:ascii="Times New Roman" w:hAnsi="Times New Roman" w:cs="Times New Roman"/>
          <w:i/>
          <w:iCs/>
          <w:color w:val="000000" w:themeColor="text1"/>
        </w:rPr>
        <w:t xml:space="preserve"> de </w:t>
      </w:r>
      <w:proofErr w:type="spellStart"/>
      <w:r w:rsidRPr="009D7635">
        <w:rPr>
          <w:rFonts w:ascii="Times New Roman" w:hAnsi="Times New Roman" w:cs="Times New Roman"/>
          <w:i/>
          <w:iCs/>
          <w:color w:val="000000" w:themeColor="text1"/>
        </w:rPr>
        <w:t>théologie</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ancienne</w:t>
      </w:r>
      <w:proofErr w:type="spellEnd"/>
      <w:r w:rsidRPr="009D7635">
        <w:rPr>
          <w:rFonts w:ascii="Times New Roman" w:hAnsi="Times New Roman" w:cs="Times New Roman"/>
          <w:i/>
          <w:iCs/>
          <w:color w:val="000000" w:themeColor="text1"/>
        </w:rPr>
        <w:t xml:space="preserve"> et </w:t>
      </w:r>
      <w:proofErr w:type="spellStart"/>
      <w:r w:rsidRPr="009D7635">
        <w:rPr>
          <w:rFonts w:ascii="Times New Roman" w:hAnsi="Times New Roman" w:cs="Times New Roman"/>
          <w:i/>
          <w:iCs/>
          <w:color w:val="000000" w:themeColor="text1"/>
        </w:rPr>
        <w:t>médiévale</w:t>
      </w:r>
      <w:proofErr w:type="spellEnd"/>
      <w:r w:rsidRPr="009D7635">
        <w:rPr>
          <w:rFonts w:ascii="Times New Roman" w:hAnsi="Times New Roman" w:cs="Times New Roman"/>
          <w:color w:val="000000" w:themeColor="text1"/>
        </w:rPr>
        <w:t xml:space="preserve"> 21 (1954)</w:t>
      </w:r>
      <w:r w:rsidR="004076AA"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51-100.</w:t>
      </w:r>
    </w:p>
  </w:footnote>
  <w:footnote w:id="1099">
    <w:p w14:paraId="21D498D8" w14:textId="75C46C44" w:rsidR="00B93ED5" w:rsidRPr="009D7635" w:rsidRDefault="00B93ED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 of </w:t>
      </w:r>
      <w:proofErr w:type="spellStart"/>
      <w:r w:rsidRPr="009D7635">
        <w:rPr>
          <w:rFonts w:ascii="Times New Roman" w:hAnsi="Times New Roman" w:cs="Times New Roman"/>
          <w:color w:val="000000" w:themeColor="text1"/>
        </w:rPr>
        <w:t>Clairvaux</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iCs/>
          <w:color w:val="000000" w:themeColor="text1"/>
        </w:rPr>
        <w:t xml:space="preserve">On Grace and Free Choice, </w:t>
      </w:r>
      <w:r w:rsidRPr="009D7635">
        <w:rPr>
          <w:rFonts w:ascii="Times New Roman" w:hAnsi="Times New Roman" w:cs="Times New Roman"/>
          <w:color w:val="000000" w:themeColor="text1"/>
        </w:rPr>
        <w:t xml:space="preserve">ed. </w:t>
      </w:r>
      <w:r w:rsidRPr="009D7635">
        <w:rPr>
          <w:rFonts w:ascii="Times New Roman" w:eastAsia="Times New Roman" w:hAnsi="Times New Roman" w:cs="Times New Roman"/>
          <w:color w:val="000000" w:themeColor="text1"/>
        </w:rPr>
        <w:t xml:space="preserve">Daniel O'Donovan, intro. by Bernard </w:t>
      </w:r>
      <w:proofErr w:type="spellStart"/>
      <w:r w:rsidRPr="009D7635">
        <w:rPr>
          <w:rFonts w:ascii="Times New Roman" w:eastAsia="Times New Roman" w:hAnsi="Times New Roman" w:cs="Times New Roman"/>
          <w:color w:val="000000" w:themeColor="text1"/>
        </w:rPr>
        <w:t>McGinn</w:t>
      </w:r>
      <w:proofErr w:type="spellEnd"/>
      <w:r w:rsidRPr="009D7635">
        <w:rPr>
          <w:rFonts w:ascii="Times New Roman" w:eastAsia="Times New Roman" w:hAnsi="Times New Roman" w:cs="Times New Roman"/>
          <w:color w:val="000000" w:themeColor="text1"/>
        </w:rPr>
        <w:t xml:space="preserve"> (Kalamazoo: Cistercian Publications, 1997).</w:t>
      </w:r>
    </w:p>
  </w:footnote>
  <w:footnote w:id="1100">
    <w:p w14:paraId="4EE74931" w14:textId="2543DAD9"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vol. 1, 19-20. </w:t>
      </w:r>
    </w:p>
  </w:footnote>
  <w:footnote w:id="1101">
    <w:p w14:paraId="19EFB60B" w14:textId="372F7759"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 of </w:t>
      </w:r>
      <w:proofErr w:type="spellStart"/>
      <w:r w:rsidRPr="009D7635">
        <w:rPr>
          <w:rFonts w:ascii="Times New Roman" w:hAnsi="Times New Roman" w:cs="Times New Roman"/>
          <w:color w:val="000000" w:themeColor="text1"/>
        </w:rPr>
        <w:t>Clairvaux</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The Treatise of St Bernard, </w:t>
      </w:r>
      <w:proofErr w:type="spellStart"/>
      <w:r w:rsidRPr="009D7635">
        <w:rPr>
          <w:rFonts w:ascii="Times New Roman" w:hAnsi="Times New Roman" w:cs="Times New Roman"/>
          <w:i/>
          <w:color w:val="000000" w:themeColor="text1"/>
        </w:rPr>
        <w:t>Abbat</w:t>
      </w:r>
      <w:proofErr w:type="spellEnd"/>
      <w:r w:rsidRPr="009D7635">
        <w:rPr>
          <w:rFonts w:ascii="Times New Roman" w:hAnsi="Times New Roman" w:cs="Times New Roman"/>
          <w:i/>
          <w:color w:val="000000" w:themeColor="text1"/>
        </w:rPr>
        <w:t xml:space="preserve"> of </w:t>
      </w:r>
      <w:proofErr w:type="spellStart"/>
      <w:r w:rsidRPr="009D7635">
        <w:rPr>
          <w:rFonts w:ascii="Times New Roman" w:hAnsi="Times New Roman" w:cs="Times New Roman"/>
          <w:i/>
          <w:color w:val="000000" w:themeColor="text1"/>
        </w:rPr>
        <w:t>Clairvaux</w:t>
      </w:r>
      <w:proofErr w:type="spellEnd"/>
      <w:r w:rsidRPr="009D7635">
        <w:rPr>
          <w:rFonts w:ascii="Times New Roman" w:hAnsi="Times New Roman" w:cs="Times New Roman"/>
          <w:i/>
          <w:color w:val="000000" w:themeColor="text1"/>
        </w:rPr>
        <w:t>, Concerning Grace and Free Will</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trans. </w:t>
      </w:r>
      <w:proofErr w:type="spellStart"/>
      <w:r w:rsidRPr="009D7635">
        <w:rPr>
          <w:rFonts w:ascii="Times New Roman" w:hAnsi="Times New Roman" w:cs="Times New Roman"/>
          <w:color w:val="000000" w:themeColor="text1"/>
        </w:rPr>
        <w:t>Watkin</w:t>
      </w:r>
      <w:proofErr w:type="spellEnd"/>
      <w:r w:rsidRPr="009D7635">
        <w:rPr>
          <w:rFonts w:ascii="Times New Roman" w:hAnsi="Times New Roman" w:cs="Times New Roman"/>
          <w:color w:val="000000" w:themeColor="text1"/>
        </w:rPr>
        <w:t xml:space="preserve"> Wynn Williams (New York: MacMillan, 1920),</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ch 4, 18.</w:t>
      </w:r>
    </w:p>
  </w:footnote>
  <w:footnote w:id="1102">
    <w:p w14:paraId="1C278449" w14:textId="330253DF"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Bernard of </w:t>
      </w:r>
      <w:proofErr w:type="spellStart"/>
      <w:r w:rsidRPr="009D7635">
        <w:rPr>
          <w:rFonts w:ascii="Times New Roman" w:hAnsi="Times New Roman" w:cs="Times New Roman"/>
          <w:color w:val="000000" w:themeColor="text1"/>
        </w:rPr>
        <w:t>Clairvaux</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Concerning Grace and Free Will</w:t>
      </w:r>
      <w:r w:rsidRPr="009D7635">
        <w:rPr>
          <w:rFonts w:ascii="Times New Roman" w:hAnsi="Times New Roman" w:cs="Times New Roman"/>
          <w:color w:val="000000" w:themeColor="text1"/>
        </w:rPr>
        <w:t xml:space="preserve">, ch 3, 14-17: three kinds of grace; 18-24: freedom from necessity, sin, and misery. The distinction that would become famous later on between </w:t>
      </w:r>
      <w:r w:rsidRPr="009D7635">
        <w:rPr>
          <w:rFonts w:ascii="Times New Roman" w:hAnsi="Times New Roman" w:cs="Times New Roman"/>
          <w:i/>
          <w:color w:val="000000" w:themeColor="text1"/>
        </w:rPr>
        <w:t xml:space="preserve">posse non </w:t>
      </w:r>
      <w:proofErr w:type="spellStart"/>
      <w:r w:rsidRPr="009D7635">
        <w:rPr>
          <w:rFonts w:ascii="Times New Roman" w:hAnsi="Times New Roman" w:cs="Times New Roman"/>
          <w:i/>
          <w:color w:val="000000" w:themeColor="text1"/>
        </w:rPr>
        <w:t>pecarre</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and </w:t>
      </w:r>
      <w:r w:rsidRPr="009D7635">
        <w:rPr>
          <w:rFonts w:ascii="Times New Roman" w:hAnsi="Times New Roman" w:cs="Times New Roman"/>
          <w:i/>
          <w:color w:val="000000" w:themeColor="text1"/>
        </w:rPr>
        <w:t xml:space="preserve">non posse </w:t>
      </w:r>
      <w:proofErr w:type="spellStart"/>
      <w:r w:rsidRPr="009D7635">
        <w:rPr>
          <w:rFonts w:ascii="Times New Roman" w:hAnsi="Times New Roman" w:cs="Times New Roman"/>
          <w:i/>
          <w:color w:val="000000" w:themeColor="text1"/>
        </w:rPr>
        <w:t>peccare</w:t>
      </w:r>
      <w:proofErr w:type="spellEnd"/>
      <w:r w:rsidRPr="009D7635">
        <w:rPr>
          <w:rFonts w:ascii="Times New Roman" w:hAnsi="Times New Roman" w:cs="Times New Roman"/>
          <w:color w:val="000000" w:themeColor="text1"/>
        </w:rPr>
        <w:t xml:space="preserve"> is also found in chapter 7. See also Peter Lombard’s </w:t>
      </w:r>
      <w:r w:rsidRPr="009D7635">
        <w:rPr>
          <w:rFonts w:ascii="Times New Roman" w:hAnsi="Times New Roman" w:cs="Times New Roman"/>
          <w:i/>
          <w:color w:val="000000" w:themeColor="text1"/>
        </w:rPr>
        <w:t xml:space="preserve">Sentences </w:t>
      </w:r>
      <w:proofErr w:type="spellStart"/>
      <w:r w:rsidRPr="009D7635">
        <w:rPr>
          <w:rFonts w:ascii="Times New Roman" w:hAnsi="Times New Roman" w:cs="Times New Roman"/>
          <w:color w:val="000000" w:themeColor="text1"/>
        </w:rPr>
        <w:t>bk</w:t>
      </w:r>
      <w:proofErr w:type="spellEnd"/>
      <w:r w:rsidRPr="009D7635">
        <w:rPr>
          <w:rFonts w:ascii="Times New Roman" w:hAnsi="Times New Roman" w:cs="Times New Roman"/>
          <w:color w:val="000000" w:themeColor="text1"/>
        </w:rPr>
        <w:t xml:space="preserve"> 2, d 25, ch 8 (160).</w:t>
      </w:r>
    </w:p>
  </w:footnote>
  <w:footnote w:id="1103">
    <w:p w14:paraId="330AB884" w14:textId="5B427572"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vol. 1, 22</w:t>
      </w:r>
      <w:r w:rsidR="00E14A26" w:rsidRPr="009D7635">
        <w:rPr>
          <w:rFonts w:ascii="Times New Roman" w:hAnsi="Times New Roman" w:cs="Times New Roman"/>
          <w:color w:val="000000" w:themeColor="text1"/>
        </w:rPr>
        <w:t>.</w:t>
      </w:r>
    </w:p>
  </w:footnote>
  <w:footnote w:id="1104">
    <w:p w14:paraId="4A889E22" w14:textId="521A0982" w:rsidR="001D7814" w:rsidRPr="009D7635" w:rsidRDefault="001D7814">
      <w:pPr>
        <w:pStyle w:val="FootnoteText"/>
        <w:rPr>
          <w:rFonts w:ascii="Times New Roman" w:hAnsi="Times New Roman" w:cs="Times New Roman"/>
          <w:iCs/>
        </w:rPr>
      </w:pPr>
      <w:r w:rsidRPr="009D7635">
        <w:rPr>
          <w:rStyle w:val="FootnoteReference"/>
          <w:rFonts w:ascii="Times New Roman" w:hAnsi="Times New Roman" w:cs="Times New Roman"/>
        </w:rPr>
        <w:footnoteRef/>
      </w:r>
      <w:r w:rsidRPr="009D7635">
        <w:rPr>
          <w:rFonts w:ascii="Times New Roman" w:hAnsi="Times New Roman" w:cs="Times New Roman"/>
        </w:rPr>
        <w:t xml:space="preserve"> Tobias Hoffman, </w:t>
      </w:r>
      <w:r w:rsidRPr="009D7635">
        <w:rPr>
          <w:rFonts w:ascii="Times New Roman" w:hAnsi="Times New Roman" w:cs="Times New Roman"/>
          <w:i/>
        </w:rPr>
        <w:t xml:space="preserve">Free Will and the Rebel Angels in Medieval Philosophy </w:t>
      </w:r>
      <w:r w:rsidRPr="009D7635">
        <w:rPr>
          <w:rFonts w:ascii="Times New Roman" w:hAnsi="Times New Roman" w:cs="Times New Roman"/>
          <w:iCs/>
        </w:rPr>
        <w:t xml:space="preserve">(Cambridge: Cambridge University Press, 2020). </w:t>
      </w:r>
    </w:p>
  </w:footnote>
  <w:footnote w:id="1105">
    <w:p w14:paraId="3D556B2E" w14:textId="556434B7" w:rsidR="00B93ED5" w:rsidRPr="009D7635" w:rsidRDefault="00B93ED5" w:rsidP="0066533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Psychologie</w:t>
      </w:r>
      <w:proofErr w:type="spellEnd"/>
      <w:r w:rsidRPr="009D7635">
        <w:rPr>
          <w:rFonts w:ascii="Times New Roman" w:hAnsi="Times New Roman" w:cs="Times New Roman"/>
          <w:i/>
          <w:color w:val="000000" w:themeColor="text1"/>
          <w:sz w:val="20"/>
          <w:szCs w:val="20"/>
        </w:rPr>
        <w:t xml:space="preserve"> et morale</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vol. 1, 22: </w:t>
      </w:r>
      <w:r w:rsidRPr="009D7635">
        <w:rPr>
          <w:rFonts w:ascii="Times New Roman" w:hAnsi="Times New Roman" w:cs="Times New Roman"/>
          <w:i/>
          <w:color w:val="000000" w:themeColor="text1"/>
          <w:sz w:val="20"/>
          <w:szCs w:val="20"/>
          <w:lang w:val="en-US"/>
        </w:rPr>
        <w:t xml:space="preserve">Petri </w:t>
      </w:r>
      <w:proofErr w:type="spellStart"/>
      <w:r w:rsidRPr="009D7635">
        <w:rPr>
          <w:rFonts w:ascii="Times New Roman" w:hAnsi="Times New Roman" w:cs="Times New Roman"/>
          <w:i/>
          <w:color w:val="000000" w:themeColor="text1"/>
          <w:sz w:val="20"/>
          <w:szCs w:val="20"/>
          <w:lang w:val="en-US"/>
        </w:rPr>
        <w:t>Abaelardi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Introductio</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theologiam</w:t>
      </w:r>
      <w:proofErr w:type="spellEnd"/>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in </w:t>
      </w:r>
      <w:r w:rsidRPr="009D7635">
        <w:rPr>
          <w:rFonts w:ascii="Times New Roman" w:hAnsi="Times New Roman" w:cs="Times New Roman"/>
          <w:i/>
          <w:color w:val="000000" w:themeColor="text1"/>
          <w:sz w:val="20"/>
          <w:szCs w:val="20"/>
          <w:lang w:val="en-US"/>
        </w:rPr>
        <w:t xml:space="preserve">Petri </w:t>
      </w:r>
      <w:proofErr w:type="spellStart"/>
      <w:r w:rsidRPr="009D7635">
        <w:rPr>
          <w:rFonts w:ascii="Times New Roman" w:hAnsi="Times New Roman" w:cs="Times New Roman"/>
          <w:i/>
          <w:color w:val="000000" w:themeColor="text1"/>
          <w:sz w:val="20"/>
          <w:szCs w:val="20"/>
          <w:lang w:val="en-US"/>
        </w:rPr>
        <w:t>Abaelardi</w:t>
      </w:r>
      <w:proofErr w:type="spellEnd"/>
      <w:r w:rsidRPr="009D7635">
        <w:rPr>
          <w:rFonts w:ascii="Times New Roman" w:hAnsi="Times New Roman" w:cs="Times New Roman"/>
          <w:i/>
          <w:color w:val="000000" w:themeColor="text1"/>
          <w:sz w:val="20"/>
          <w:szCs w:val="20"/>
          <w:lang w:val="en-US"/>
        </w:rPr>
        <w:t xml:space="preserve"> Opera II</w:t>
      </w:r>
      <w:r w:rsidRPr="009D7635">
        <w:rPr>
          <w:rFonts w:ascii="Times New Roman" w:hAnsi="Times New Roman" w:cs="Times New Roman"/>
          <w:color w:val="000000" w:themeColor="text1"/>
          <w:sz w:val="20"/>
          <w:szCs w:val="20"/>
          <w:lang w:val="en-US"/>
        </w:rPr>
        <w:t xml:space="preserve">, ed. V. Cousin (Paris: A. Durand, 1859), 139; cf. PL 178, 1110a. This was also quoted in the </w:t>
      </w:r>
      <w:r w:rsidRPr="009D7635">
        <w:rPr>
          <w:rFonts w:ascii="Times New Roman" w:hAnsi="Times New Roman" w:cs="Times New Roman"/>
          <w:i/>
          <w:color w:val="000000" w:themeColor="text1"/>
          <w:sz w:val="20"/>
          <w:szCs w:val="20"/>
          <w:lang w:val="en-US"/>
        </w:rPr>
        <w:t>Sentences</w:t>
      </w:r>
      <w:r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bk</w:t>
      </w:r>
      <w:proofErr w:type="spellEnd"/>
      <w:r w:rsidRPr="009D7635">
        <w:rPr>
          <w:rFonts w:ascii="Times New Roman" w:hAnsi="Times New Roman" w:cs="Times New Roman"/>
          <w:color w:val="000000" w:themeColor="text1"/>
          <w:sz w:val="20"/>
          <w:szCs w:val="20"/>
          <w:lang w:val="en-US"/>
        </w:rPr>
        <w:t xml:space="preserve"> 2, d 25 ch 1, n 2 (153).</w:t>
      </w:r>
    </w:p>
  </w:footnote>
  <w:footnote w:id="1106">
    <w:p w14:paraId="10FDABA4" w14:textId="2D425710" w:rsidR="00B93ED5" w:rsidRPr="009D7635" w:rsidRDefault="00B93ED5" w:rsidP="0066533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lang w:val="it-IT"/>
        </w:rPr>
        <w:t xml:space="preserve">L. Catalani, </w:t>
      </w:r>
      <w:r w:rsidRPr="009D7635">
        <w:rPr>
          <w:rFonts w:ascii="Times New Roman" w:hAnsi="Times New Roman" w:cs="Times New Roman"/>
          <w:i/>
          <w:iCs/>
          <w:color w:val="000000" w:themeColor="text1"/>
          <w:sz w:val="20"/>
          <w:szCs w:val="20"/>
          <w:lang w:val="it-IT"/>
        </w:rPr>
        <w:t xml:space="preserve">I </w:t>
      </w:r>
      <w:proofErr w:type="spellStart"/>
      <w:r w:rsidRPr="009D7635">
        <w:rPr>
          <w:rFonts w:ascii="Times New Roman" w:hAnsi="Times New Roman" w:cs="Times New Roman"/>
          <w:i/>
          <w:iCs/>
          <w:color w:val="000000" w:themeColor="text1"/>
          <w:sz w:val="20"/>
          <w:szCs w:val="20"/>
          <w:lang w:val="it-IT"/>
        </w:rPr>
        <w:t>Porretani</w:t>
      </w:r>
      <w:proofErr w:type="spellEnd"/>
      <w:r w:rsidR="00AF635D" w:rsidRPr="009D7635">
        <w:rPr>
          <w:rFonts w:ascii="Times New Roman" w:hAnsi="Times New Roman" w:cs="Times New Roman"/>
          <w:i/>
          <w:iCs/>
          <w:color w:val="000000" w:themeColor="text1"/>
          <w:sz w:val="20"/>
          <w:szCs w:val="20"/>
          <w:lang w:val="it-IT"/>
        </w:rPr>
        <w:t>:</w:t>
      </w:r>
      <w:r w:rsidRPr="009D7635">
        <w:rPr>
          <w:rFonts w:ascii="Times New Roman" w:hAnsi="Times New Roman" w:cs="Times New Roman"/>
          <w:i/>
          <w:iCs/>
          <w:color w:val="000000" w:themeColor="text1"/>
          <w:sz w:val="20"/>
          <w:szCs w:val="20"/>
          <w:lang w:val="it-IT"/>
        </w:rPr>
        <w:t xml:space="preserve"> Una scuola di pensiero tra alto e basso Medioevo</w:t>
      </w:r>
      <w:r w:rsidRPr="009D7635">
        <w:rPr>
          <w:rFonts w:ascii="Times New Roman" w:hAnsi="Times New Roman" w:cs="Times New Roman"/>
          <w:color w:val="000000" w:themeColor="text1"/>
          <w:sz w:val="20"/>
          <w:szCs w:val="20"/>
          <w:lang w:val="it-IT"/>
        </w:rPr>
        <w:t xml:space="preserve"> (</w:t>
      </w:r>
      <w:proofErr w:type="spellStart"/>
      <w:r w:rsidRPr="009D7635">
        <w:rPr>
          <w:rFonts w:ascii="Times New Roman" w:hAnsi="Times New Roman" w:cs="Times New Roman"/>
          <w:color w:val="000000" w:themeColor="text1"/>
          <w:sz w:val="20"/>
          <w:szCs w:val="20"/>
          <w:lang w:val="it-IT"/>
        </w:rPr>
        <w:t>Turnhout</w:t>
      </w:r>
      <w:proofErr w:type="spellEnd"/>
      <w:r w:rsidRPr="009D7635">
        <w:rPr>
          <w:rFonts w:ascii="Times New Roman" w:hAnsi="Times New Roman" w:cs="Times New Roman"/>
          <w:color w:val="000000" w:themeColor="text1"/>
          <w:sz w:val="20"/>
          <w:szCs w:val="20"/>
          <w:lang w:val="it-IT"/>
        </w:rPr>
        <w:t xml:space="preserve">: </w:t>
      </w:r>
      <w:proofErr w:type="spellStart"/>
      <w:r w:rsidRPr="009D7635">
        <w:rPr>
          <w:rFonts w:ascii="Times New Roman" w:hAnsi="Times New Roman" w:cs="Times New Roman"/>
          <w:color w:val="000000" w:themeColor="text1"/>
          <w:sz w:val="20"/>
          <w:szCs w:val="20"/>
          <w:lang w:val="it-IT"/>
        </w:rPr>
        <w:t>Brepols</w:t>
      </w:r>
      <w:proofErr w:type="spellEnd"/>
      <w:r w:rsidRPr="009D7635">
        <w:rPr>
          <w:rFonts w:ascii="Times New Roman" w:hAnsi="Times New Roman" w:cs="Times New Roman"/>
          <w:color w:val="000000" w:themeColor="text1"/>
          <w:sz w:val="20"/>
          <w:szCs w:val="20"/>
          <w:lang w:val="it-IT"/>
        </w:rPr>
        <w:t xml:space="preserve">, 2008). </w:t>
      </w:r>
      <w:proofErr w:type="spellStart"/>
      <w:r w:rsidRPr="009D7635">
        <w:rPr>
          <w:rFonts w:ascii="Times New Roman" w:hAnsi="Times New Roman" w:cs="Times New Roman"/>
          <w:color w:val="000000" w:themeColor="text1"/>
          <w:sz w:val="20"/>
          <w:szCs w:val="20"/>
          <w:lang w:val="it-IT"/>
        </w:rPr>
        <w:t>See</w:t>
      </w:r>
      <w:proofErr w:type="spellEnd"/>
      <w:r w:rsidRPr="009D7635">
        <w:rPr>
          <w:rFonts w:ascii="Times New Roman" w:hAnsi="Times New Roman" w:cs="Times New Roman"/>
          <w:color w:val="000000" w:themeColor="text1"/>
          <w:sz w:val="20"/>
          <w:szCs w:val="20"/>
          <w:lang w:val="it-IT"/>
        </w:rPr>
        <w:t xml:space="preserve"> </w:t>
      </w:r>
      <w:proofErr w:type="spellStart"/>
      <w:r w:rsidRPr="009D7635">
        <w:rPr>
          <w:rFonts w:ascii="Times New Roman" w:hAnsi="Times New Roman" w:cs="Times New Roman"/>
          <w:color w:val="000000" w:themeColor="text1"/>
          <w:sz w:val="20"/>
          <w:szCs w:val="20"/>
          <w:lang w:val="it-IT"/>
        </w:rPr>
        <w:t>also</w:t>
      </w:r>
      <w:proofErr w:type="spellEnd"/>
      <w:r w:rsidRPr="009D7635">
        <w:rPr>
          <w:rFonts w:ascii="Times New Roman" w:hAnsi="Times New Roman" w:cs="Times New Roman"/>
          <w:color w:val="000000" w:themeColor="text1"/>
          <w:sz w:val="20"/>
          <w:szCs w:val="20"/>
          <w:lang w:val="it-IT"/>
        </w:rPr>
        <w:t xml:space="preserve"> </w:t>
      </w:r>
      <w:r w:rsidRPr="009D7635">
        <w:rPr>
          <w:rFonts w:ascii="Times New Roman" w:eastAsia="Times New Roman" w:hAnsi="Times New Roman" w:cs="Times New Roman"/>
          <w:color w:val="000000" w:themeColor="text1"/>
          <w:sz w:val="20"/>
          <w:szCs w:val="20"/>
        </w:rPr>
        <w:t xml:space="preserve">Marcia Colish, ‘Otto of </w:t>
      </w:r>
      <w:proofErr w:type="spellStart"/>
      <w:r w:rsidRPr="009D7635">
        <w:rPr>
          <w:rFonts w:ascii="Times New Roman" w:eastAsia="Times New Roman" w:hAnsi="Times New Roman" w:cs="Times New Roman"/>
          <w:color w:val="000000" w:themeColor="text1"/>
          <w:sz w:val="20"/>
          <w:szCs w:val="20"/>
        </w:rPr>
        <w:t>Lucca</w:t>
      </w:r>
      <w:proofErr w:type="spellEnd"/>
      <w:r w:rsidRPr="009D7635">
        <w:rPr>
          <w:rFonts w:ascii="Times New Roman" w:eastAsia="Times New Roman" w:hAnsi="Times New Roman" w:cs="Times New Roman"/>
          <w:color w:val="000000" w:themeColor="text1"/>
          <w:sz w:val="20"/>
          <w:szCs w:val="20"/>
        </w:rPr>
        <w:t>: Author of the </w:t>
      </w:r>
      <w:r w:rsidRPr="009D7635">
        <w:rPr>
          <w:rFonts w:ascii="Times New Roman" w:eastAsia="Times New Roman" w:hAnsi="Times New Roman" w:cs="Times New Roman"/>
          <w:i/>
          <w:iCs/>
          <w:color w:val="000000" w:themeColor="text1"/>
          <w:sz w:val="20"/>
          <w:szCs w:val="20"/>
        </w:rPr>
        <w:t xml:space="preserve">Summa </w:t>
      </w:r>
      <w:proofErr w:type="spellStart"/>
      <w:r w:rsidRPr="009D7635">
        <w:rPr>
          <w:rFonts w:ascii="Times New Roman" w:eastAsia="Times New Roman" w:hAnsi="Times New Roman" w:cs="Times New Roman"/>
          <w:i/>
          <w:iCs/>
          <w:color w:val="000000" w:themeColor="text1"/>
          <w:sz w:val="20"/>
          <w:szCs w:val="20"/>
        </w:rPr>
        <w:t>sententiarum</w:t>
      </w:r>
      <w:proofErr w:type="spellEnd"/>
      <w:r w:rsidRPr="009D7635">
        <w:rPr>
          <w:rFonts w:ascii="Times New Roman" w:eastAsia="Times New Roman" w:hAnsi="Times New Roman" w:cs="Times New Roman"/>
          <w:i/>
          <w:iCs/>
          <w:color w:val="000000" w:themeColor="text1"/>
          <w:sz w:val="20"/>
          <w:szCs w:val="20"/>
        </w:rPr>
        <w:t>?</w:t>
      </w:r>
      <w:r w:rsidRPr="009D7635">
        <w:rPr>
          <w:rFonts w:ascii="Times New Roman" w:eastAsia="Times New Roman" w:hAnsi="Times New Roman" w:cs="Times New Roman"/>
          <w:color w:val="000000" w:themeColor="text1"/>
          <w:sz w:val="20"/>
          <w:szCs w:val="20"/>
        </w:rPr>
        <w:t>’ in </w:t>
      </w:r>
      <w:r w:rsidRPr="009D7635">
        <w:rPr>
          <w:rFonts w:ascii="Times New Roman" w:eastAsia="Times New Roman" w:hAnsi="Times New Roman" w:cs="Times New Roman"/>
          <w:i/>
          <w:iCs/>
          <w:color w:val="000000" w:themeColor="text1"/>
          <w:sz w:val="20"/>
          <w:szCs w:val="20"/>
        </w:rPr>
        <w:t xml:space="preserve">Discovery and Distinction in the Early Middle Ages: Studies in </w:t>
      </w:r>
      <w:proofErr w:type="spellStart"/>
      <w:r w:rsidRPr="009D7635">
        <w:rPr>
          <w:rFonts w:ascii="Times New Roman" w:eastAsia="Times New Roman" w:hAnsi="Times New Roman" w:cs="Times New Roman"/>
          <w:i/>
          <w:iCs/>
          <w:color w:val="000000" w:themeColor="text1"/>
          <w:sz w:val="20"/>
          <w:szCs w:val="20"/>
        </w:rPr>
        <w:t>Honor</w:t>
      </w:r>
      <w:proofErr w:type="spellEnd"/>
      <w:r w:rsidRPr="009D7635">
        <w:rPr>
          <w:rFonts w:ascii="Times New Roman" w:eastAsia="Times New Roman" w:hAnsi="Times New Roman" w:cs="Times New Roman"/>
          <w:i/>
          <w:iCs/>
          <w:color w:val="000000" w:themeColor="text1"/>
          <w:sz w:val="20"/>
          <w:szCs w:val="20"/>
        </w:rPr>
        <w:t xml:space="preserve"> of John J. </w:t>
      </w:r>
      <w:proofErr w:type="spellStart"/>
      <w:r w:rsidRPr="009D7635">
        <w:rPr>
          <w:rFonts w:ascii="Times New Roman" w:eastAsia="Times New Roman" w:hAnsi="Times New Roman" w:cs="Times New Roman"/>
          <w:i/>
          <w:iCs/>
          <w:color w:val="000000" w:themeColor="text1"/>
          <w:sz w:val="20"/>
          <w:szCs w:val="20"/>
        </w:rPr>
        <w:t>Contreni</w:t>
      </w:r>
      <w:proofErr w:type="spellEnd"/>
      <w:r w:rsidRPr="009D7635">
        <w:rPr>
          <w:rFonts w:ascii="Times New Roman" w:eastAsia="Times New Roman" w:hAnsi="Times New Roman" w:cs="Times New Roman"/>
          <w:color w:val="000000" w:themeColor="text1"/>
          <w:sz w:val="20"/>
          <w:szCs w:val="20"/>
        </w:rPr>
        <w:t xml:space="preserve">, ed. Cullen J. Chandler and Steven A. </w:t>
      </w:r>
      <w:proofErr w:type="spellStart"/>
      <w:r w:rsidRPr="009D7635">
        <w:rPr>
          <w:rFonts w:ascii="Times New Roman" w:eastAsia="Times New Roman" w:hAnsi="Times New Roman" w:cs="Times New Roman"/>
          <w:color w:val="000000" w:themeColor="text1"/>
          <w:sz w:val="20"/>
          <w:szCs w:val="20"/>
        </w:rPr>
        <w:t>Sofferahn</w:t>
      </w:r>
      <w:proofErr w:type="spellEnd"/>
      <w:r w:rsidRPr="009D7635">
        <w:rPr>
          <w:rFonts w:ascii="Times New Roman" w:eastAsia="Times New Roman" w:hAnsi="Times New Roman" w:cs="Times New Roman"/>
          <w:color w:val="000000" w:themeColor="text1"/>
          <w:sz w:val="20"/>
          <w:szCs w:val="20"/>
        </w:rPr>
        <w:t xml:space="preserve"> (Kalamazoo: Medieval Institute Publications, 2013), 57-70.</w:t>
      </w:r>
    </w:p>
  </w:footnote>
  <w:footnote w:id="1107">
    <w:p w14:paraId="6EAE6394" w14:textId="6B36C868"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vol. 1, 25.</w:t>
      </w:r>
    </w:p>
  </w:footnote>
  <w:footnote w:id="1108">
    <w:p w14:paraId="332F1D07" w14:textId="09E2454D"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4076AA"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28. See also Lombard, </w:t>
      </w:r>
      <w:r w:rsidRPr="009D7635">
        <w:rPr>
          <w:rFonts w:ascii="Times New Roman" w:hAnsi="Times New Roman" w:cs="Times New Roman"/>
          <w:i/>
          <w:color w:val="000000" w:themeColor="text1"/>
        </w:rPr>
        <w:t xml:space="preserve">Sentences </w:t>
      </w:r>
      <w:proofErr w:type="spellStart"/>
      <w:r w:rsidRPr="009D7635">
        <w:rPr>
          <w:rFonts w:ascii="Times New Roman" w:hAnsi="Times New Roman" w:cs="Times New Roman"/>
          <w:color w:val="000000" w:themeColor="text1"/>
        </w:rPr>
        <w:t>bk</w:t>
      </w:r>
      <w:proofErr w:type="spellEnd"/>
      <w:r w:rsidRPr="009D7635">
        <w:rPr>
          <w:rFonts w:ascii="Times New Roman" w:hAnsi="Times New Roman" w:cs="Times New Roman"/>
          <w:color w:val="000000" w:themeColor="text1"/>
        </w:rPr>
        <w:t xml:space="preserve"> 2, d 24, ch 3 (142), trans. Giulio </w:t>
      </w:r>
      <w:proofErr w:type="spellStart"/>
      <w:r w:rsidRPr="009D7635">
        <w:rPr>
          <w:rFonts w:ascii="Times New Roman" w:hAnsi="Times New Roman" w:cs="Times New Roman"/>
          <w:color w:val="000000" w:themeColor="text1"/>
        </w:rPr>
        <w:t>Silano</w:t>
      </w:r>
      <w:proofErr w:type="spellEnd"/>
      <w:r w:rsidRPr="009D7635">
        <w:rPr>
          <w:rFonts w:ascii="Times New Roman" w:hAnsi="Times New Roman" w:cs="Times New Roman"/>
          <w:color w:val="000000" w:themeColor="text1"/>
        </w:rPr>
        <w:t xml:space="preserve">, in </w:t>
      </w:r>
      <w:r w:rsidRPr="009D7635">
        <w:rPr>
          <w:rFonts w:ascii="Times New Roman" w:hAnsi="Times New Roman" w:cs="Times New Roman"/>
          <w:i/>
          <w:color w:val="000000" w:themeColor="text1"/>
        </w:rPr>
        <w:t>The Sentences, Book 2: On Creation</w:t>
      </w:r>
      <w:r w:rsidRPr="009D7635">
        <w:rPr>
          <w:rFonts w:ascii="Times New Roman" w:hAnsi="Times New Roman" w:cs="Times New Roman"/>
          <w:color w:val="000000" w:themeColor="text1"/>
        </w:rPr>
        <w:t xml:space="preserve"> (Toronto: </w:t>
      </w:r>
      <w:proofErr w:type="spellStart"/>
      <w:r w:rsidRPr="009D7635">
        <w:rPr>
          <w:rFonts w:ascii="Times New Roman" w:hAnsi="Times New Roman" w:cs="Times New Roman"/>
          <w:color w:val="000000" w:themeColor="text1"/>
        </w:rPr>
        <w:t>Pontificial</w:t>
      </w:r>
      <w:proofErr w:type="spellEnd"/>
      <w:r w:rsidRPr="009D7635">
        <w:rPr>
          <w:rFonts w:ascii="Times New Roman" w:hAnsi="Times New Roman" w:cs="Times New Roman"/>
          <w:color w:val="000000" w:themeColor="text1"/>
        </w:rPr>
        <w:t xml:space="preserve"> Institute of Medieval Studies, 2008), 109</w:t>
      </w:r>
      <w:r w:rsidR="00703BFD"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See also </w:t>
      </w:r>
      <w:r w:rsidRPr="009D7635">
        <w:rPr>
          <w:rFonts w:ascii="Times New Roman" w:hAnsi="Times New Roman" w:cs="Times New Roman"/>
          <w:i/>
          <w:color w:val="000000" w:themeColor="text1"/>
        </w:rPr>
        <w:t xml:space="preserve">Sentences </w:t>
      </w:r>
      <w:proofErr w:type="spellStart"/>
      <w:r w:rsidRPr="009D7635">
        <w:rPr>
          <w:rFonts w:ascii="Times New Roman" w:hAnsi="Times New Roman" w:cs="Times New Roman"/>
          <w:color w:val="000000" w:themeColor="text1"/>
        </w:rPr>
        <w:t>bk</w:t>
      </w:r>
      <w:proofErr w:type="spellEnd"/>
      <w:r w:rsidRPr="009D7635">
        <w:rPr>
          <w:rFonts w:ascii="Times New Roman" w:hAnsi="Times New Roman" w:cs="Times New Roman"/>
          <w:color w:val="000000" w:themeColor="text1"/>
        </w:rPr>
        <w:t xml:space="preserve"> 2, d 24, ch 1 (140), trans. Giulio </w:t>
      </w:r>
      <w:proofErr w:type="spellStart"/>
      <w:r w:rsidRPr="009D7635">
        <w:rPr>
          <w:rFonts w:ascii="Times New Roman" w:hAnsi="Times New Roman" w:cs="Times New Roman"/>
          <w:color w:val="000000" w:themeColor="text1"/>
        </w:rPr>
        <w:t>Silano</w:t>
      </w:r>
      <w:proofErr w:type="spellEnd"/>
      <w:r w:rsidRPr="009D7635">
        <w:rPr>
          <w:rFonts w:ascii="Times New Roman" w:hAnsi="Times New Roman" w:cs="Times New Roman"/>
          <w:color w:val="000000" w:themeColor="text1"/>
        </w:rPr>
        <w:t xml:space="preserve">, quoting Augustine’s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corruptione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gratia</w:t>
      </w:r>
      <w:proofErr w:type="spellEnd"/>
      <w:r w:rsidRPr="009D7635">
        <w:rPr>
          <w:rFonts w:ascii="Times New Roman" w:hAnsi="Times New Roman" w:cs="Times New Roman"/>
          <w:color w:val="000000" w:themeColor="text1"/>
        </w:rPr>
        <w:t xml:space="preserve"> 11.32: ‘God gave a good will to man, indeed he made him upright in it; he gave him the help without which he could not remain steadfast in that will, if he so willed, and through which he could, but he left it to man’s choice to do this.’</w:t>
      </w:r>
    </w:p>
  </w:footnote>
  <w:footnote w:id="1109">
    <w:p w14:paraId="31795D8D" w14:textId="601BE71F"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vol. 1, 29.</w:t>
      </w:r>
    </w:p>
  </w:footnote>
  <w:footnote w:id="1110">
    <w:p w14:paraId="1806B30E" w14:textId="297E7664"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Sentences </w:t>
      </w:r>
      <w:proofErr w:type="spellStart"/>
      <w:r w:rsidRPr="009D7635">
        <w:rPr>
          <w:rFonts w:ascii="Times New Roman" w:hAnsi="Times New Roman" w:cs="Times New Roman"/>
          <w:color w:val="000000" w:themeColor="text1"/>
        </w:rPr>
        <w:t>bk</w:t>
      </w:r>
      <w:proofErr w:type="spellEnd"/>
      <w:r w:rsidRPr="009D7635">
        <w:rPr>
          <w:rFonts w:ascii="Times New Roman" w:hAnsi="Times New Roman" w:cs="Times New Roman"/>
          <w:color w:val="000000" w:themeColor="text1"/>
        </w:rPr>
        <w:t xml:space="preserve"> 2, d 25, ch 1 (153).</w:t>
      </w:r>
    </w:p>
  </w:footnote>
  <w:footnote w:id="1111">
    <w:p w14:paraId="540FE8D7" w14:textId="5CE777DC"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7604E5" w:rsidRPr="009D7635">
        <w:rPr>
          <w:rFonts w:ascii="Times New Roman" w:hAnsi="Times New Roman" w:cs="Times New Roman"/>
          <w:iCs/>
          <w:color w:val="000000" w:themeColor="text1"/>
        </w:rPr>
        <w:t>Ibid.</w:t>
      </w:r>
      <w:r w:rsidRPr="009D7635">
        <w:rPr>
          <w:rFonts w:ascii="Times New Roman" w:hAnsi="Times New Roman" w:cs="Times New Roman"/>
          <w:iCs/>
          <w:color w:val="000000" w:themeColor="text1"/>
        </w:rPr>
        <w:t>,</w:t>
      </w:r>
      <w:r w:rsidRPr="009D7635">
        <w:rPr>
          <w:rFonts w:ascii="Times New Roman" w:hAnsi="Times New Roman" w:cs="Times New Roman"/>
          <w:color w:val="000000" w:themeColor="text1"/>
        </w:rPr>
        <w:t xml:space="preserve"> d 24, ch 4 (156).</w:t>
      </w:r>
    </w:p>
  </w:footnote>
  <w:footnote w:id="1112">
    <w:p w14:paraId="01646843" w14:textId="5C863C4F"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vol. 1, 38.</w:t>
      </w:r>
    </w:p>
  </w:footnote>
  <w:footnote w:id="1113">
    <w:p w14:paraId="040071E3" w14:textId="03172D40"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D4645"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41.</w:t>
      </w:r>
    </w:p>
  </w:footnote>
  <w:footnote w:id="1114">
    <w:p w14:paraId="33CDEF8E" w14:textId="6A8A82C2"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D4645"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50.</w:t>
      </w:r>
    </w:p>
  </w:footnote>
  <w:footnote w:id="1115">
    <w:p w14:paraId="7E6BD8E3"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John </w:t>
      </w:r>
      <w:proofErr w:type="spellStart"/>
      <w:r w:rsidRPr="009D7635">
        <w:rPr>
          <w:rFonts w:ascii="Times New Roman" w:hAnsi="Times New Roman" w:cs="Times New Roman"/>
          <w:color w:val="000000" w:themeColor="text1"/>
        </w:rPr>
        <w:t>Blund</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Treatise on the Soul</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D.A. Callus and R.W. Hunt, trans. Michael W. </w:t>
      </w:r>
      <w:proofErr w:type="spellStart"/>
      <w:r w:rsidRPr="009D7635">
        <w:rPr>
          <w:rFonts w:ascii="Times New Roman" w:hAnsi="Times New Roman" w:cs="Times New Roman"/>
          <w:color w:val="000000" w:themeColor="text1"/>
        </w:rPr>
        <w:t>Dunne</w:t>
      </w:r>
      <w:proofErr w:type="spellEnd"/>
      <w:r w:rsidRPr="009D7635">
        <w:rPr>
          <w:rFonts w:ascii="Times New Roman" w:hAnsi="Times New Roman" w:cs="Times New Roman"/>
          <w:color w:val="000000" w:themeColor="text1"/>
        </w:rPr>
        <w:t xml:space="preserve"> (London: British Academy, 2012), 213-21.</w:t>
      </w:r>
    </w:p>
  </w:footnote>
  <w:footnote w:id="1116">
    <w:p w14:paraId="0A6C6ACD"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John </w:t>
      </w:r>
      <w:proofErr w:type="spellStart"/>
      <w:r w:rsidRPr="009D7635">
        <w:rPr>
          <w:rFonts w:ascii="Times New Roman" w:hAnsi="Times New Roman" w:cs="Times New Roman"/>
          <w:color w:val="000000" w:themeColor="text1"/>
        </w:rPr>
        <w:t>Blund</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Treatise on the Soul</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223.</w:t>
      </w:r>
    </w:p>
  </w:footnote>
  <w:footnote w:id="1117">
    <w:p w14:paraId="7C49ECBF" w14:textId="77777777" w:rsidR="00B93ED5" w:rsidRPr="009D7635" w:rsidRDefault="00B93ED5" w:rsidP="00665333">
      <w:pPr>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Augustine,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correptione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gratia</w:t>
      </w:r>
      <w:proofErr w:type="spellEnd"/>
      <w:r w:rsidRPr="009D7635">
        <w:rPr>
          <w:rFonts w:ascii="Times New Roman" w:hAnsi="Times New Roman" w:cs="Times New Roman"/>
          <w:color w:val="000000" w:themeColor="text1"/>
          <w:sz w:val="20"/>
          <w:szCs w:val="20"/>
          <w:lang w:val="en-US"/>
        </w:rPr>
        <w:t xml:space="preserve"> 1: </w:t>
      </w:r>
      <w:proofErr w:type="spellStart"/>
      <w:r w:rsidRPr="009D7635">
        <w:rPr>
          <w:rFonts w:ascii="Times New Roman" w:hAnsi="Times New Roman" w:cs="Times New Roman"/>
          <w:i/>
          <w:color w:val="000000" w:themeColor="text1"/>
          <w:sz w:val="20"/>
          <w:szCs w:val="20"/>
          <w:lang w:val="en-US"/>
        </w:rPr>
        <w:t>Liberum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itaque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arbitrium</w:t>
      </w:r>
      <w:proofErr w:type="spellEnd"/>
      <w:r w:rsidRPr="009D7635">
        <w:rPr>
          <w:rFonts w:ascii="Times New Roman" w:hAnsi="Times New Roman" w:cs="Times New Roman"/>
          <w:i/>
          <w:color w:val="000000" w:themeColor="text1"/>
          <w:sz w:val="20"/>
          <w:szCs w:val="20"/>
          <w:lang w:val="en-US"/>
        </w:rPr>
        <w:t xml:space="preserve"> et ad malum et ad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faciendum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confitendum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nos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habere</w:t>
      </w:r>
      <w:proofErr w:type="spellEnd"/>
      <w:r w:rsidRPr="009D7635">
        <w:rPr>
          <w:rFonts w:ascii="Times New Roman" w:hAnsi="Times New Roman" w:cs="Times New Roman"/>
          <w:i/>
          <w:color w:val="000000" w:themeColor="text1"/>
          <w:sz w:val="20"/>
          <w:szCs w:val="20"/>
          <w:lang w:val="en-US"/>
        </w:rPr>
        <w:t>.</w:t>
      </w:r>
    </w:p>
  </w:footnote>
  <w:footnote w:id="1118">
    <w:p w14:paraId="3B0C5705"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John </w:t>
      </w:r>
      <w:proofErr w:type="spellStart"/>
      <w:r w:rsidRPr="009D7635">
        <w:rPr>
          <w:rFonts w:ascii="Times New Roman" w:hAnsi="Times New Roman" w:cs="Times New Roman"/>
          <w:color w:val="000000" w:themeColor="text1"/>
        </w:rPr>
        <w:t>Blund</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Treatise on the Soul</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217.</w:t>
      </w:r>
    </w:p>
  </w:footnote>
  <w:footnote w:id="1119">
    <w:p w14:paraId="77310344" w14:textId="327A20CA" w:rsidR="00F30E05" w:rsidRPr="009D7635" w:rsidRDefault="00F30E05">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On William and other early thirteenth-century theologians’ views on whether free will consists in reason or will, see Irene Zavattero, ‘</w:t>
      </w:r>
      <w:proofErr w:type="spellStart"/>
      <w:r w:rsidRPr="009D7635">
        <w:rPr>
          <w:rFonts w:ascii="Times New Roman" w:hAnsi="Times New Roman" w:cs="Times New Roman"/>
          <w:i/>
          <w:iCs/>
        </w:rPr>
        <w:t>Liberum</w:t>
      </w:r>
      <w:proofErr w:type="spellEnd"/>
      <w:r w:rsidRPr="009D7635">
        <w:rPr>
          <w:rFonts w:ascii="Times New Roman" w:hAnsi="Times New Roman" w:cs="Times New Roman"/>
          <w:i/>
          <w:iCs/>
        </w:rPr>
        <w:t xml:space="preserve"> </w:t>
      </w:r>
      <w:proofErr w:type="spellStart"/>
      <w:r w:rsidRPr="009D7635">
        <w:rPr>
          <w:rFonts w:ascii="Times New Roman" w:hAnsi="Times New Roman" w:cs="Times New Roman"/>
          <w:i/>
          <w:iCs/>
        </w:rPr>
        <w:t>arbitrium</w:t>
      </w:r>
      <w:proofErr w:type="spellEnd"/>
      <w:r w:rsidRPr="009D7635">
        <w:rPr>
          <w:rFonts w:ascii="Times New Roman" w:hAnsi="Times New Roman" w:cs="Times New Roman"/>
          <w:i/>
          <w:iCs/>
        </w:rPr>
        <w:t xml:space="preserve"> </w:t>
      </w:r>
      <w:proofErr w:type="spellStart"/>
      <w:r w:rsidRPr="009D7635">
        <w:rPr>
          <w:rFonts w:ascii="Times New Roman" w:hAnsi="Times New Roman" w:cs="Times New Roman"/>
          <w:i/>
          <w:iCs/>
        </w:rPr>
        <w:t>est</w:t>
      </w:r>
      <w:proofErr w:type="spellEnd"/>
      <w:r w:rsidRPr="009D7635">
        <w:rPr>
          <w:rFonts w:ascii="Times New Roman" w:hAnsi="Times New Roman" w:cs="Times New Roman"/>
          <w:i/>
          <w:iCs/>
        </w:rPr>
        <w:t xml:space="preserve"> </w:t>
      </w:r>
      <w:proofErr w:type="spellStart"/>
      <w:r w:rsidRPr="009D7635">
        <w:rPr>
          <w:rFonts w:ascii="Times New Roman" w:hAnsi="Times New Roman" w:cs="Times New Roman"/>
          <w:i/>
          <w:iCs/>
        </w:rPr>
        <w:t>facultas</w:t>
      </w:r>
      <w:proofErr w:type="spellEnd"/>
      <w:r w:rsidRPr="009D7635">
        <w:rPr>
          <w:rFonts w:ascii="Times New Roman" w:hAnsi="Times New Roman" w:cs="Times New Roman"/>
          <w:i/>
          <w:iCs/>
        </w:rPr>
        <w:t xml:space="preserve"> </w:t>
      </w:r>
      <w:proofErr w:type="spellStart"/>
      <w:r w:rsidRPr="009D7635">
        <w:rPr>
          <w:rFonts w:ascii="Times New Roman" w:hAnsi="Times New Roman" w:cs="Times New Roman"/>
          <w:i/>
          <w:iCs/>
        </w:rPr>
        <w:t>voluntarios</w:t>
      </w:r>
      <w:proofErr w:type="spellEnd"/>
      <w:r w:rsidRPr="009D7635">
        <w:rPr>
          <w:rFonts w:ascii="Times New Roman" w:hAnsi="Times New Roman" w:cs="Times New Roman"/>
          <w:i/>
          <w:iCs/>
        </w:rPr>
        <w:t xml:space="preserve"> et </w:t>
      </w:r>
      <w:proofErr w:type="spellStart"/>
      <w:r w:rsidRPr="009D7635">
        <w:rPr>
          <w:rFonts w:ascii="Times New Roman" w:hAnsi="Times New Roman" w:cs="Times New Roman"/>
          <w:i/>
          <w:iCs/>
        </w:rPr>
        <w:t>raionis</w:t>
      </w:r>
      <w:proofErr w:type="spellEnd"/>
      <w:r w:rsidRPr="009D7635">
        <w:rPr>
          <w:rFonts w:ascii="Times New Roman" w:hAnsi="Times New Roman" w:cs="Times New Roman"/>
        </w:rPr>
        <w:t xml:space="preserve">: Sulla </w:t>
      </w:r>
      <w:proofErr w:type="spellStart"/>
      <w:r w:rsidRPr="009D7635">
        <w:rPr>
          <w:rFonts w:ascii="Times New Roman" w:hAnsi="Times New Roman" w:cs="Times New Roman"/>
        </w:rPr>
        <w:t>definizione</w:t>
      </w:r>
      <w:proofErr w:type="spellEnd"/>
      <w:r w:rsidRPr="009D7635">
        <w:rPr>
          <w:rFonts w:ascii="Times New Roman" w:hAnsi="Times New Roman" w:cs="Times New Roman"/>
        </w:rPr>
        <w:t xml:space="preserve"> de </w:t>
      </w:r>
      <w:proofErr w:type="spellStart"/>
      <w:r w:rsidRPr="009D7635">
        <w:rPr>
          <w:rFonts w:ascii="Times New Roman" w:hAnsi="Times New Roman" w:cs="Times New Roman"/>
        </w:rPr>
        <w:t>libero</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arbitrio</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all’inizio</w:t>
      </w:r>
      <w:proofErr w:type="spellEnd"/>
      <w:r w:rsidRPr="009D7635">
        <w:rPr>
          <w:rFonts w:ascii="Times New Roman" w:hAnsi="Times New Roman" w:cs="Times New Roman"/>
        </w:rPr>
        <w:t xml:space="preserve"> del </w:t>
      </w:r>
      <w:proofErr w:type="spellStart"/>
      <w:r w:rsidRPr="009D7635">
        <w:rPr>
          <w:rFonts w:ascii="Times New Roman" w:hAnsi="Times New Roman" w:cs="Times New Roman"/>
        </w:rPr>
        <w:t>Duecento</w:t>
      </w:r>
      <w:proofErr w:type="spellEnd"/>
      <w:r w:rsidRPr="009D7635">
        <w:rPr>
          <w:rFonts w:ascii="Times New Roman" w:hAnsi="Times New Roman" w:cs="Times New Roman"/>
        </w:rPr>
        <w:t xml:space="preserve">,’ in </w:t>
      </w:r>
      <w:proofErr w:type="spellStart"/>
      <w:r w:rsidRPr="009D7635">
        <w:rPr>
          <w:rFonts w:ascii="Times New Roman" w:hAnsi="Times New Roman" w:cs="Times New Roman"/>
          <w:i/>
          <w:iCs/>
        </w:rPr>
        <w:t>Libertà</w:t>
      </w:r>
      <w:proofErr w:type="spellEnd"/>
      <w:r w:rsidRPr="009D7635">
        <w:rPr>
          <w:rFonts w:ascii="Times New Roman" w:hAnsi="Times New Roman" w:cs="Times New Roman"/>
          <w:i/>
          <w:iCs/>
        </w:rPr>
        <w:t xml:space="preserve"> e </w:t>
      </w:r>
      <w:proofErr w:type="spellStart"/>
      <w:r w:rsidRPr="009D7635">
        <w:rPr>
          <w:rFonts w:ascii="Times New Roman" w:hAnsi="Times New Roman" w:cs="Times New Roman"/>
          <w:i/>
          <w:iCs/>
        </w:rPr>
        <w:t>determinismo</w:t>
      </w:r>
      <w:proofErr w:type="spellEnd"/>
      <w:r w:rsidRPr="009D7635">
        <w:rPr>
          <w:rFonts w:ascii="Times New Roman" w:hAnsi="Times New Roman" w:cs="Times New Roman"/>
          <w:i/>
          <w:iCs/>
        </w:rPr>
        <w:t xml:space="preserve">: </w:t>
      </w:r>
      <w:proofErr w:type="spellStart"/>
      <w:r w:rsidRPr="009D7635">
        <w:rPr>
          <w:rFonts w:ascii="Times New Roman" w:hAnsi="Times New Roman" w:cs="Times New Roman"/>
          <w:i/>
          <w:iCs/>
        </w:rPr>
        <w:t>Riflessioni</w:t>
      </w:r>
      <w:proofErr w:type="spellEnd"/>
      <w:r w:rsidRPr="009D7635">
        <w:rPr>
          <w:rFonts w:ascii="Times New Roman" w:hAnsi="Times New Roman" w:cs="Times New Roman"/>
          <w:i/>
          <w:iCs/>
        </w:rPr>
        <w:t xml:space="preserve"> </w:t>
      </w:r>
      <w:proofErr w:type="spellStart"/>
      <w:r w:rsidRPr="009D7635">
        <w:rPr>
          <w:rFonts w:ascii="Times New Roman" w:hAnsi="Times New Roman" w:cs="Times New Roman"/>
          <w:i/>
          <w:iCs/>
        </w:rPr>
        <w:t>medievali</w:t>
      </w:r>
      <w:proofErr w:type="spellEnd"/>
      <w:r w:rsidRPr="009D7635">
        <w:rPr>
          <w:rFonts w:ascii="Times New Roman" w:hAnsi="Times New Roman" w:cs="Times New Roman"/>
          <w:i/>
          <w:iCs/>
        </w:rPr>
        <w:t xml:space="preserve">, </w:t>
      </w:r>
      <w:r w:rsidRPr="009D7635">
        <w:rPr>
          <w:rFonts w:ascii="Times New Roman" w:hAnsi="Times New Roman" w:cs="Times New Roman"/>
        </w:rPr>
        <w:t xml:space="preserve">ed. </w:t>
      </w:r>
      <w:proofErr w:type="spellStart"/>
      <w:r w:rsidRPr="009D7635">
        <w:rPr>
          <w:rFonts w:ascii="Times New Roman" w:hAnsi="Times New Roman" w:cs="Times New Roman"/>
        </w:rPr>
        <w:t>Marialucrezia</w:t>
      </w:r>
      <w:proofErr w:type="spellEnd"/>
      <w:r w:rsidRPr="009D7635">
        <w:rPr>
          <w:rFonts w:ascii="Times New Roman" w:hAnsi="Times New Roman" w:cs="Times New Roman"/>
        </w:rPr>
        <w:t xml:space="preserve"> Leone, Luisa </w:t>
      </w:r>
      <w:proofErr w:type="spellStart"/>
      <w:r w:rsidRPr="009D7635">
        <w:rPr>
          <w:rFonts w:ascii="Times New Roman" w:hAnsi="Times New Roman" w:cs="Times New Roman"/>
        </w:rPr>
        <w:t>Valente</w:t>
      </w:r>
      <w:proofErr w:type="spellEnd"/>
      <w:r w:rsidRPr="009D7635">
        <w:rPr>
          <w:rFonts w:ascii="Times New Roman" w:hAnsi="Times New Roman" w:cs="Times New Roman"/>
        </w:rPr>
        <w:t xml:space="preserve"> (Venice: </w:t>
      </w:r>
      <w:proofErr w:type="spellStart"/>
      <w:r w:rsidRPr="009D7635">
        <w:rPr>
          <w:rFonts w:ascii="Times New Roman" w:hAnsi="Times New Roman" w:cs="Times New Roman"/>
        </w:rPr>
        <w:t>Gioacchino</w:t>
      </w:r>
      <w:proofErr w:type="spellEnd"/>
      <w:r w:rsidRPr="009D7635">
        <w:rPr>
          <w:rFonts w:ascii="Times New Roman" w:hAnsi="Times New Roman" w:cs="Times New Roman"/>
        </w:rPr>
        <w:t xml:space="preserve"> </w:t>
      </w:r>
      <w:proofErr w:type="spellStart"/>
      <w:r w:rsidRPr="009D7635">
        <w:rPr>
          <w:rFonts w:ascii="Times New Roman" w:hAnsi="Times New Roman" w:cs="Times New Roman"/>
        </w:rPr>
        <w:t>Onorati</w:t>
      </w:r>
      <w:proofErr w:type="spellEnd"/>
      <w:r w:rsidRPr="009D7635">
        <w:rPr>
          <w:rFonts w:ascii="Times New Roman" w:hAnsi="Times New Roman" w:cs="Times New Roman"/>
        </w:rPr>
        <w:t>), 143-69.</w:t>
      </w:r>
    </w:p>
  </w:footnote>
  <w:footnote w:id="1120">
    <w:p w14:paraId="63732990" w14:textId="77777777" w:rsidR="00B93ED5" w:rsidRPr="009D7635" w:rsidRDefault="00B93ED5" w:rsidP="00665333">
      <w:pPr>
        <w:pStyle w:val="1406RefEntry"/>
        <w:spacing w:after="0" w:line="240" w:lineRule="auto"/>
        <w:ind w:left="0" w:firstLine="0"/>
        <w:rPr>
          <w:rFonts w:ascii="Times New Roman" w:hAnsi="Times New Roman"/>
          <w:color w:val="000000" w:themeColor="text1"/>
          <w:sz w:val="20"/>
        </w:rPr>
      </w:pPr>
      <w:r w:rsidRPr="009D7635">
        <w:rPr>
          <w:rStyle w:val="FootnoteReference"/>
          <w:rFonts w:ascii="Times New Roman" w:hAnsi="Times New Roman"/>
          <w:color w:val="000000" w:themeColor="text1"/>
          <w:sz w:val="20"/>
        </w:rPr>
        <w:footnoteRef/>
      </w:r>
      <w:r w:rsidRPr="009D7635">
        <w:rPr>
          <w:rFonts w:ascii="Times New Roman" w:hAnsi="Times New Roman"/>
          <w:color w:val="000000" w:themeColor="text1"/>
          <w:sz w:val="20"/>
        </w:rPr>
        <w:t xml:space="preserve"> William of </w:t>
      </w:r>
      <w:proofErr w:type="spellStart"/>
      <w:r w:rsidRPr="009D7635">
        <w:rPr>
          <w:rFonts w:ascii="Times New Roman" w:hAnsi="Times New Roman"/>
          <w:color w:val="000000" w:themeColor="text1"/>
          <w:sz w:val="20"/>
        </w:rPr>
        <w:t>Auxerre</w:t>
      </w:r>
      <w:proofErr w:type="spellEnd"/>
      <w:r w:rsidRPr="009D7635">
        <w:rPr>
          <w:rFonts w:ascii="Times New Roman" w:hAnsi="Times New Roman"/>
          <w:color w:val="000000" w:themeColor="text1"/>
          <w:sz w:val="20"/>
        </w:rPr>
        <w:t xml:space="preserve">, </w:t>
      </w:r>
      <w:r w:rsidRPr="009D7635">
        <w:rPr>
          <w:rFonts w:ascii="Times New Roman" w:hAnsi="Times New Roman"/>
          <w:i/>
          <w:color w:val="000000" w:themeColor="text1"/>
          <w:sz w:val="20"/>
        </w:rPr>
        <w:t xml:space="preserve">Summa </w:t>
      </w:r>
      <w:proofErr w:type="spellStart"/>
      <w:r w:rsidRPr="009D7635">
        <w:rPr>
          <w:rFonts w:ascii="Times New Roman" w:hAnsi="Times New Roman"/>
          <w:i/>
          <w:color w:val="000000" w:themeColor="text1"/>
          <w:sz w:val="20"/>
        </w:rPr>
        <w:t>aurea</w:t>
      </w:r>
      <w:proofErr w:type="spellEnd"/>
      <w:r w:rsidRPr="009D7635">
        <w:rPr>
          <w:rFonts w:ascii="Times New Roman" w:hAnsi="Times New Roman"/>
          <w:iCs/>
          <w:color w:val="000000" w:themeColor="text1"/>
          <w:sz w:val="20"/>
        </w:rPr>
        <w:t>,</w:t>
      </w:r>
      <w:r w:rsidRPr="009D7635">
        <w:rPr>
          <w:rFonts w:ascii="Times New Roman" w:hAnsi="Times New Roman"/>
          <w:i/>
          <w:color w:val="000000" w:themeColor="text1"/>
          <w:sz w:val="20"/>
        </w:rPr>
        <w:t xml:space="preserve"> </w:t>
      </w:r>
      <w:r w:rsidRPr="009D7635">
        <w:rPr>
          <w:rFonts w:ascii="Times New Roman" w:hAnsi="Times New Roman"/>
          <w:color w:val="000000" w:themeColor="text1"/>
          <w:sz w:val="20"/>
        </w:rPr>
        <w:t xml:space="preserve">Bk 2, Tome 1, </w:t>
      </w:r>
      <w:proofErr w:type="spellStart"/>
      <w:r w:rsidRPr="009D7635">
        <w:rPr>
          <w:rFonts w:ascii="Times New Roman" w:hAnsi="Times New Roman"/>
          <w:color w:val="000000" w:themeColor="text1"/>
          <w:sz w:val="20"/>
        </w:rPr>
        <w:t>Spicilegium</w:t>
      </w:r>
      <w:proofErr w:type="spellEnd"/>
      <w:r w:rsidRPr="009D7635">
        <w:rPr>
          <w:rFonts w:ascii="Times New Roman" w:hAnsi="Times New Roman"/>
          <w:color w:val="000000" w:themeColor="text1"/>
          <w:sz w:val="20"/>
        </w:rPr>
        <w:t xml:space="preserve"> </w:t>
      </w:r>
      <w:proofErr w:type="spellStart"/>
      <w:r w:rsidRPr="009D7635">
        <w:rPr>
          <w:rFonts w:ascii="Times New Roman" w:hAnsi="Times New Roman"/>
          <w:color w:val="000000" w:themeColor="text1"/>
          <w:sz w:val="20"/>
        </w:rPr>
        <w:t>Bonaventurianum</w:t>
      </w:r>
      <w:proofErr w:type="spellEnd"/>
      <w:r w:rsidRPr="009D7635">
        <w:rPr>
          <w:rFonts w:ascii="Times New Roman" w:hAnsi="Times New Roman"/>
          <w:color w:val="000000" w:themeColor="text1"/>
          <w:sz w:val="20"/>
        </w:rPr>
        <w:t xml:space="preserve"> 17, ed. Jean </w:t>
      </w:r>
      <w:proofErr w:type="spellStart"/>
      <w:r w:rsidRPr="009D7635">
        <w:rPr>
          <w:rFonts w:ascii="Times New Roman" w:hAnsi="Times New Roman"/>
          <w:color w:val="000000" w:themeColor="text1"/>
          <w:sz w:val="20"/>
        </w:rPr>
        <w:t>Ribaillier</w:t>
      </w:r>
      <w:proofErr w:type="spellEnd"/>
      <w:r w:rsidRPr="009D7635">
        <w:rPr>
          <w:rFonts w:ascii="Times New Roman" w:hAnsi="Times New Roman"/>
          <w:color w:val="000000" w:themeColor="text1"/>
          <w:sz w:val="20"/>
        </w:rPr>
        <w:t xml:space="preserve"> (Paris: </w:t>
      </w:r>
      <w:proofErr w:type="spellStart"/>
      <w:r w:rsidRPr="009D7635">
        <w:rPr>
          <w:rFonts w:ascii="Times New Roman" w:hAnsi="Times New Roman"/>
          <w:color w:val="000000" w:themeColor="text1"/>
          <w:sz w:val="20"/>
        </w:rPr>
        <w:t>Grottaferrata</w:t>
      </w:r>
      <w:proofErr w:type="spellEnd"/>
      <w:r w:rsidRPr="009D7635">
        <w:rPr>
          <w:rFonts w:ascii="Times New Roman" w:hAnsi="Times New Roman"/>
          <w:color w:val="000000" w:themeColor="text1"/>
          <w:sz w:val="20"/>
        </w:rPr>
        <w:t xml:space="preserve">, 1982), 274-309; see also Bk 2, Tome 2, </w:t>
      </w:r>
      <w:proofErr w:type="spellStart"/>
      <w:r w:rsidRPr="009D7635">
        <w:rPr>
          <w:rFonts w:ascii="Times New Roman" w:hAnsi="Times New Roman"/>
          <w:color w:val="000000" w:themeColor="text1"/>
          <w:sz w:val="20"/>
        </w:rPr>
        <w:t>Spicilegium</w:t>
      </w:r>
      <w:proofErr w:type="spellEnd"/>
      <w:r w:rsidRPr="009D7635">
        <w:rPr>
          <w:rFonts w:ascii="Times New Roman" w:hAnsi="Times New Roman"/>
          <w:color w:val="000000" w:themeColor="text1"/>
          <w:sz w:val="20"/>
        </w:rPr>
        <w:t xml:space="preserve"> </w:t>
      </w:r>
      <w:proofErr w:type="spellStart"/>
      <w:r w:rsidRPr="009D7635">
        <w:rPr>
          <w:rFonts w:ascii="Times New Roman" w:hAnsi="Times New Roman"/>
          <w:color w:val="000000" w:themeColor="text1"/>
          <w:sz w:val="20"/>
        </w:rPr>
        <w:t>Bonaventurianum</w:t>
      </w:r>
      <w:proofErr w:type="spellEnd"/>
      <w:r w:rsidRPr="009D7635">
        <w:rPr>
          <w:rFonts w:ascii="Times New Roman" w:hAnsi="Times New Roman"/>
          <w:color w:val="000000" w:themeColor="text1"/>
          <w:sz w:val="20"/>
        </w:rPr>
        <w:t xml:space="preserve"> 18 (1982), 470-510. See a fuller account of William’s doctrine of free will in Riccardo Saccenti, </w:t>
      </w:r>
      <w:proofErr w:type="spellStart"/>
      <w:r w:rsidRPr="009D7635">
        <w:rPr>
          <w:rFonts w:ascii="Times New Roman" w:hAnsi="Times New Roman"/>
          <w:i/>
          <w:color w:val="000000" w:themeColor="text1"/>
          <w:sz w:val="20"/>
        </w:rPr>
        <w:t>Conservare</w:t>
      </w:r>
      <w:proofErr w:type="spellEnd"/>
      <w:r w:rsidRPr="009D7635">
        <w:rPr>
          <w:rFonts w:ascii="Times New Roman" w:hAnsi="Times New Roman"/>
          <w:i/>
          <w:color w:val="000000" w:themeColor="text1"/>
          <w:sz w:val="20"/>
        </w:rPr>
        <w:t xml:space="preserve"> la </w:t>
      </w:r>
      <w:proofErr w:type="spellStart"/>
      <w:r w:rsidRPr="009D7635">
        <w:rPr>
          <w:rFonts w:ascii="Times New Roman" w:hAnsi="Times New Roman"/>
          <w:i/>
          <w:color w:val="000000" w:themeColor="text1"/>
          <w:sz w:val="20"/>
        </w:rPr>
        <w:t>retta</w:t>
      </w:r>
      <w:proofErr w:type="spellEnd"/>
      <w:r w:rsidRPr="009D7635">
        <w:rPr>
          <w:rFonts w:ascii="Times New Roman" w:hAnsi="Times New Roman"/>
          <w:i/>
          <w:color w:val="000000" w:themeColor="text1"/>
          <w:sz w:val="20"/>
        </w:rPr>
        <w:t xml:space="preserve"> </w:t>
      </w:r>
      <w:proofErr w:type="spellStart"/>
      <w:r w:rsidRPr="009D7635">
        <w:rPr>
          <w:rFonts w:ascii="Times New Roman" w:hAnsi="Times New Roman"/>
          <w:i/>
          <w:color w:val="000000" w:themeColor="text1"/>
          <w:sz w:val="20"/>
        </w:rPr>
        <w:t>volontà</w:t>
      </w:r>
      <w:proofErr w:type="spellEnd"/>
      <w:r w:rsidRPr="009D7635">
        <w:rPr>
          <w:rFonts w:ascii="Times New Roman" w:hAnsi="Times New Roman"/>
          <w:color w:val="000000" w:themeColor="text1"/>
          <w:sz w:val="20"/>
        </w:rPr>
        <w:t>, 116-21.</w:t>
      </w:r>
    </w:p>
  </w:footnote>
  <w:footnote w:id="1121">
    <w:p w14:paraId="540E75D8" w14:textId="2757DA1C"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William of </w:t>
      </w:r>
      <w:proofErr w:type="spellStart"/>
      <w:r w:rsidRPr="009D7635">
        <w:rPr>
          <w:rFonts w:ascii="Times New Roman" w:hAnsi="Times New Roman" w:cs="Times New Roman"/>
          <w:color w:val="000000" w:themeColor="text1"/>
        </w:rPr>
        <w:t>Auxerre</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Summa </w:t>
      </w:r>
      <w:proofErr w:type="spellStart"/>
      <w:r w:rsidRPr="009D7635">
        <w:rPr>
          <w:rFonts w:ascii="Times New Roman" w:hAnsi="Times New Roman" w:cs="Times New Roman"/>
          <w:i/>
          <w:color w:val="000000" w:themeColor="text1"/>
        </w:rPr>
        <w:t>aurea</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Bk 2, Tome 1, 276. Peter Lombard, </w:t>
      </w:r>
      <w:proofErr w:type="spellStart"/>
      <w:r w:rsidRPr="009D7635">
        <w:rPr>
          <w:rFonts w:ascii="Times New Roman" w:hAnsi="Times New Roman" w:cs="Times New Roman"/>
          <w:i/>
          <w:iCs/>
          <w:color w:val="000000" w:themeColor="text1"/>
        </w:rPr>
        <w:t>Libri</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sententiarum</w:t>
      </w:r>
      <w:proofErr w:type="spellEnd"/>
      <w:r w:rsidR="002A2DA3"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Magistri</w:t>
      </w:r>
      <w:proofErr w:type="spellEnd"/>
      <w:r w:rsidRPr="009D7635">
        <w:rPr>
          <w:rFonts w:ascii="Times New Roman" w:hAnsi="Times New Roman" w:cs="Times New Roman"/>
          <w:i/>
          <w:color w:val="000000" w:themeColor="text1"/>
        </w:rPr>
        <w:t xml:space="preserve"> Petri Lombardi </w:t>
      </w:r>
      <w:proofErr w:type="spellStart"/>
      <w:r w:rsidRPr="009D7635">
        <w:rPr>
          <w:rFonts w:ascii="Times New Roman" w:hAnsi="Times New Roman" w:cs="Times New Roman"/>
          <w:i/>
          <w:color w:val="000000" w:themeColor="text1"/>
        </w:rPr>
        <w:t>Parisiensis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episcopi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Sententiae</w:t>
      </w:r>
      <w:proofErr w:type="spellEnd"/>
      <w:r w:rsidRPr="009D7635">
        <w:rPr>
          <w:rFonts w:ascii="Times New Roman" w:hAnsi="Times New Roman" w:cs="Times New Roman"/>
          <w:i/>
          <w:color w:val="000000" w:themeColor="text1"/>
        </w:rPr>
        <w:t xml:space="preserve"> in IV </w:t>
      </w:r>
      <w:proofErr w:type="spellStart"/>
      <w:r w:rsidRPr="009D7635">
        <w:rPr>
          <w:rFonts w:ascii="Times New Roman" w:hAnsi="Times New Roman" w:cs="Times New Roman"/>
          <w:i/>
          <w:color w:val="000000" w:themeColor="text1"/>
        </w:rPr>
        <w:t>libris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distinctae</w:t>
      </w:r>
      <w:proofErr w:type="spellEnd"/>
      <w:r w:rsidRPr="009D7635">
        <w:rPr>
          <w:rFonts w:ascii="Times New Roman" w:hAnsi="Times New Roman" w:cs="Times New Roman"/>
          <w:color w:val="000000" w:themeColor="text1"/>
        </w:rPr>
        <w:t xml:space="preserve">, 2 </w:t>
      </w:r>
      <w:proofErr w:type="spellStart"/>
      <w:r w:rsidRPr="009D7635">
        <w:rPr>
          <w:rFonts w:ascii="Times New Roman" w:hAnsi="Times New Roman" w:cs="Times New Roman"/>
          <w:color w:val="000000" w:themeColor="text1"/>
        </w:rPr>
        <w:t>vols</w:t>
      </w:r>
      <w:proofErr w:type="spellEnd"/>
      <w:r w:rsidRPr="009D7635">
        <w:rPr>
          <w:rFonts w:ascii="Times New Roman" w:hAnsi="Times New Roman" w:cs="Times New Roman"/>
          <w:color w:val="000000" w:themeColor="text1"/>
        </w:rPr>
        <w:t>, 3</w:t>
      </w:r>
      <w:r w:rsidRPr="009D7635">
        <w:rPr>
          <w:rFonts w:ascii="Times New Roman" w:hAnsi="Times New Roman" w:cs="Times New Roman"/>
          <w:color w:val="000000" w:themeColor="text1"/>
          <w:vertAlign w:val="superscript"/>
        </w:rPr>
        <w:t>rd</w:t>
      </w:r>
      <w:r w:rsidRPr="009D7635">
        <w:rPr>
          <w:rFonts w:ascii="Times New Roman" w:hAnsi="Times New Roman" w:cs="Times New Roman"/>
          <w:color w:val="000000" w:themeColor="text1"/>
        </w:rPr>
        <w:t xml:space="preserve"> ed (</w:t>
      </w:r>
      <w:proofErr w:type="spellStart"/>
      <w:r w:rsidRPr="009D7635">
        <w:rPr>
          <w:rFonts w:ascii="Times New Roman" w:hAnsi="Times New Roman" w:cs="Times New Roman"/>
          <w:color w:val="000000" w:themeColor="text1"/>
          <w:shd w:val="clear" w:color="auto" w:fill="FFFFFF"/>
        </w:rPr>
        <w:t>Grottaferrata</w:t>
      </w:r>
      <w:proofErr w:type="spellEnd"/>
      <w:r w:rsidRPr="009D7635">
        <w:rPr>
          <w:rFonts w:ascii="Times New Roman" w:hAnsi="Times New Roman" w:cs="Times New Roman"/>
          <w:color w:val="000000" w:themeColor="text1"/>
          <w:shd w:val="clear" w:color="auto" w:fill="FFFFFF"/>
        </w:rPr>
        <w:t>, Rom</w:t>
      </w:r>
      <w:r w:rsidR="002A2DA3" w:rsidRPr="009D7635">
        <w:rPr>
          <w:rFonts w:ascii="Times New Roman" w:hAnsi="Times New Roman" w:cs="Times New Roman"/>
          <w:color w:val="000000" w:themeColor="text1"/>
          <w:shd w:val="clear" w:color="auto" w:fill="FFFFFF"/>
        </w:rPr>
        <w:t>e</w:t>
      </w:r>
      <w:r w:rsidRPr="009D7635">
        <w:rPr>
          <w:rFonts w:ascii="Times New Roman" w:hAnsi="Times New Roman" w:cs="Times New Roman"/>
          <w:color w:val="000000" w:themeColor="text1"/>
          <w:shd w:val="clear" w:color="auto" w:fill="FFFFFF"/>
        </w:rPr>
        <w:t xml:space="preserve">: </w:t>
      </w:r>
      <w:proofErr w:type="spellStart"/>
      <w:r w:rsidRPr="009D7635">
        <w:rPr>
          <w:rFonts w:ascii="Times New Roman" w:hAnsi="Times New Roman" w:cs="Times New Roman"/>
          <w:color w:val="000000" w:themeColor="text1"/>
          <w:shd w:val="clear" w:color="auto" w:fill="FFFFFF"/>
        </w:rPr>
        <w:t>Collegii</w:t>
      </w:r>
      <w:proofErr w:type="spellEnd"/>
      <w:r w:rsidRPr="009D7635">
        <w:rPr>
          <w:rFonts w:ascii="Times New Roman" w:hAnsi="Times New Roman" w:cs="Times New Roman"/>
          <w:color w:val="000000" w:themeColor="text1"/>
          <w:shd w:val="clear" w:color="auto" w:fill="FFFFFF"/>
        </w:rPr>
        <w:t xml:space="preserve"> S. </w:t>
      </w:r>
      <w:proofErr w:type="spellStart"/>
      <w:r w:rsidRPr="009D7635">
        <w:rPr>
          <w:rFonts w:ascii="Times New Roman" w:hAnsi="Times New Roman" w:cs="Times New Roman"/>
          <w:color w:val="000000" w:themeColor="text1"/>
          <w:shd w:val="clear" w:color="auto" w:fill="FFFFFF"/>
        </w:rPr>
        <w:t>Bonaventurae</w:t>
      </w:r>
      <w:proofErr w:type="spellEnd"/>
      <w:r w:rsidRPr="009D7635">
        <w:rPr>
          <w:rFonts w:ascii="Times New Roman" w:hAnsi="Times New Roman" w:cs="Times New Roman"/>
          <w:color w:val="000000" w:themeColor="text1"/>
          <w:shd w:val="clear" w:color="auto" w:fill="FFFFFF"/>
        </w:rPr>
        <w:t xml:space="preserve"> Ad Claras Aquas, 1971</w:t>
      </w:r>
      <w:r w:rsidRPr="009D7635">
        <w:rPr>
          <w:rFonts w:ascii="Times New Roman" w:hAnsi="Times New Roman" w:cs="Times New Roman"/>
          <w:color w:val="000000" w:themeColor="text1"/>
          <w:lang w:val="fr-FR"/>
        </w:rPr>
        <w:t>-81)</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Bk. 1, d. 24, c. 3, 453. </w:t>
      </w:r>
    </w:p>
  </w:footnote>
  <w:footnote w:id="1122">
    <w:p w14:paraId="49CBB4F6" w14:textId="20305209" w:rsidR="00B93ED5" w:rsidRPr="009D7635" w:rsidRDefault="00B93ED5" w:rsidP="0066533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William of </w:t>
      </w:r>
      <w:proofErr w:type="spellStart"/>
      <w:r w:rsidRPr="009D7635">
        <w:rPr>
          <w:rFonts w:ascii="Times New Roman" w:hAnsi="Times New Roman" w:cs="Times New Roman"/>
          <w:color w:val="000000" w:themeColor="text1"/>
          <w:sz w:val="20"/>
          <w:szCs w:val="20"/>
        </w:rPr>
        <w:t>Auxerre</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Summa </w:t>
      </w:r>
      <w:proofErr w:type="spellStart"/>
      <w:r w:rsidRPr="009D7635">
        <w:rPr>
          <w:rFonts w:ascii="Times New Roman" w:hAnsi="Times New Roman" w:cs="Times New Roman"/>
          <w:i/>
          <w:color w:val="000000" w:themeColor="text1"/>
          <w:sz w:val="20"/>
          <w:szCs w:val="20"/>
        </w:rPr>
        <w:t>aurea</w:t>
      </w:r>
      <w:proofErr w:type="spellEnd"/>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Bk 2, Tome 1, 276: </w:t>
      </w:r>
      <w:proofErr w:type="spellStart"/>
      <w:r w:rsidRPr="009D7635">
        <w:rPr>
          <w:rFonts w:ascii="Times New Roman" w:hAnsi="Times New Roman" w:cs="Times New Roman"/>
          <w:i/>
          <w:color w:val="000000" w:themeColor="text1"/>
          <w:sz w:val="20"/>
          <w:szCs w:val="20"/>
          <w:lang w:val="en-US"/>
        </w:rPr>
        <w:t>Liberum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facultas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voluntatis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rationis</w:t>
      </w:r>
      <w:proofErr w:type="spellEnd"/>
      <w:r w:rsidRPr="009D7635">
        <w:rPr>
          <w:rFonts w:ascii="Times New Roman" w:hAnsi="Times New Roman" w:cs="Times New Roman"/>
          <w:i/>
          <w:color w:val="000000" w:themeColor="text1"/>
          <w:sz w:val="20"/>
          <w:szCs w:val="20"/>
          <w:lang w:val="en-US"/>
        </w:rPr>
        <w:t xml:space="preserve"> qua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eligitur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gratia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assistente</w:t>
      </w:r>
      <w:proofErr w:type="spellEnd"/>
      <w:r w:rsidRPr="009D7635">
        <w:rPr>
          <w:rFonts w:ascii="Times New Roman" w:hAnsi="Times New Roman" w:cs="Times New Roman"/>
          <w:i/>
          <w:color w:val="000000" w:themeColor="text1"/>
          <w:sz w:val="20"/>
          <w:szCs w:val="20"/>
          <w:lang w:val="en-US"/>
        </w:rPr>
        <w:t xml:space="preserve">; malum </w:t>
      </w:r>
      <w:proofErr w:type="spellStart"/>
      <w:r w:rsidRPr="009D7635">
        <w:rPr>
          <w:rFonts w:ascii="Times New Roman" w:hAnsi="Times New Roman" w:cs="Times New Roman"/>
          <w:i/>
          <w:color w:val="000000" w:themeColor="text1"/>
          <w:sz w:val="20"/>
          <w:szCs w:val="20"/>
          <w:lang w:val="en-US"/>
        </w:rPr>
        <w:t>vero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gratia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desistente</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Augustine,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correptione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gratia</w:t>
      </w:r>
      <w:proofErr w:type="spellEnd"/>
      <w:r w:rsidRPr="009D7635">
        <w:rPr>
          <w:rFonts w:ascii="Times New Roman" w:hAnsi="Times New Roman" w:cs="Times New Roman"/>
          <w:color w:val="000000" w:themeColor="text1"/>
          <w:sz w:val="20"/>
          <w:szCs w:val="20"/>
          <w:lang w:val="en-US"/>
        </w:rPr>
        <w:t xml:space="preserve"> 11.31, trans. Peter King, </w:t>
      </w:r>
      <w:r w:rsidRPr="009D7635">
        <w:rPr>
          <w:rFonts w:ascii="Times New Roman" w:hAnsi="Times New Roman" w:cs="Times New Roman"/>
          <w:i/>
          <w:color w:val="000000" w:themeColor="text1"/>
          <w:sz w:val="20"/>
          <w:szCs w:val="20"/>
        </w:rPr>
        <w:t>Augustine: On the Free Choice of the Will</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212:</w:t>
      </w:r>
      <w:r w:rsidRPr="009D7635">
        <w:rPr>
          <w:rFonts w:ascii="Times New Roman" w:hAnsi="Times New Roman" w:cs="Times New Roman"/>
          <w:color w:val="000000" w:themeColor="text1"/>
          <w:sz w:val="20"/>
          <w:szCs w:val="20"/>
          <w:lang w:val="en-US"/>
        </w:rPr>
        <w:t xml:space="preserve"> ‘</w:t>
      </w:r>
      <w:r w:rsidR="002A2DA3" w:rsidRPr="009D7635">
        <w:rPr>
          <w:rFonts w:ascii="Times New Roman" w:hAnsi="Times New Roman" w:cs="Times New Roman"/>
          <w:color w:val="000000" w:themeColor="text1"/>
          <w:sz w:val="20"/>
          <w:szCs w:val="20"/>
          <w:lang w:val="en-US"/>
        </w:rPr>
        <w:t>F</w:t>
      </w:r>
      <w:r w:rsidRPr="009D7635">
        <w:rPr>
          <w:rFonts w:ascii="Times New Roman" w:hAnsi="Times New Roman" w:cs="Times New Roman"/>
          <w:color w:val="000000" w:themeColor="text1"/>
          <w:sz w:val="20"/>
          <w:szCs w:val="20"/>
          <w:lang w:val="en-US"/>
        </w:rPr>
        <w:t>ree choice is sufficient for evil, but hardly for good, unless it is assisted by the omnipotent Good One.’</w:t>
      </w:r>
    </w:p>
  </w:footnote>
  <w:footnote w:id="1123">
    <w:p w14:paraId="26EA24E0" w14:textId="0B68311F"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vol. 1, 67; William of </w:t>
      </w:r>
      <w:proofErr w:type="spellStart"/>
      <w:r w:rsidRPr="009D7635">
        <w:rPr>
          <w:rFonts w:ascii="Times New Roman" w:hAnsi="Times New Roman" w:cs="Times New Roman"/>
          <w:color w:val="000000" w:themeColor="text1"/>
        </w:rPr>
        <w:t>Auxerre</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Summa </w:t>
      </w:r>
      <w:proofErr w:type="spellStart"/>
      <w:r w:rsidRPr="009D7635">
        <w:rPr>
          <w:rFonts w:ascii="Times New Roman" w:hAnsi="Times New Roman" w:cs="Times New Roman"/>
          <w:i/>
          <w:color w:val="000000" w:themeColor="text1"/>
        </w:rPr>
        <w:t>aurea</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Bk 2, Tome 1, 276.</w:t>
      </w:r>
    </w:p>
  </w:footnote>
  <w:footnote w:id="1124">
    <w:p w14:paraId="7F95613D" w14:textId="47DCA6F9"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See an excellent discussion by Tobias Hoffman which focusses on questions of the relationship between necessity and freedom in </w:t>
      </w:r>
      <w:proofErr w:type="spellStart"/>
      <w:r w:rsidRPr="009D7635">
        <w:rPr>
          <w:rFonts w:ascii="Times New Roman" w:hAnsi="Times New Roman" w:cs="Times New Roman"/>
          <w:color w:val="000000" w:themeColor="text1"/>
        </w:rPr>
        <w:t>Auxerre</w:t>
      </w:r>
      <w:proofErr w:type="spellEnd"/>
      <w:r w:rsidRPr="009D7635">
        <w:rPr>
          <w:rFonts w:ascii="Times New Roman" w:hAnsi="Times New Roman" w:cs="Times New Roman"/>
          <w:color w:val="000000" w:themeColor="text1"/>
        </w:rPr>
        <w:t xml:space="preserve">, the Chancellor, Hugh of St Cher and others, ‘Freedom without Choice: Medieval Theories of the Essence of Freedom,’ in </w:t>
      </w:r>
      <w:r w:rsidRPr="009D7635">
        <w:rPr>
          <w:rFonts w:ascii="Times New Roman" w:hAnsi="Times New Roman" w:cs="Times New Roman"/>
          <w:i/>
          <w:color w:val="000000" w:themeColor="text1"/>
        </w:rPr>
        <w:t>The Cambridge Companion to Medieval Ethics</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ed. Thomas Williams (Cambridge: Cambridge University Press, 2019), 196-7.</w:t>
      </w:r>
    </w:p>
  </w:footnote>
  <w:footnote w:id="1125">
    <w:p w14:paraId="20C06663" w14:textId="1BA50E36" w:rsidR="00B93ED5" w:rsidRPr="009D7635" w:rsidRDefault="00B93ED5" w:rsidP="0066533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William of </w:t>
      </w:r>
      <w:proofErr w:type="spellStart"/>
      <w:r w:rsidRPr="009D7635">
        <w:rPr>
          <w:rFonts w:ascii="Times New Roman" w:hAnsi="Times New Roman" w:cs="Times New Roman"/>
          <w:color w:val="000000" w:themeColor="text1"/>
          <w:sz w:val="20"/>
          <w:szCs w:val="20"/>
        </w:rPr>
        <w:t>Auxerre</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 xml:space="preserve">Summa </w:t>
      </w:r>
      <w:proofErr w:type="spellStart"/>
      <w:r w:rsidRPr="009D7635">
        <w:rPr>
          <w:rFonts w:ascii="Times New Roman" w:hAnsi="Times New Roman" w:cs="Times New Roman"/>
          <w:i/>
          <w:color w:val="000000" w:themeColor="text1"/>
          <w:sz w:val="20"/>
          <w:szCs w:val="20"/>
        </w:rPr>
        <w:t>aurea</w:t>
      </w:r>
      <w:proofErr w:type="spellEnd"/>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Bk 2, Tome 1, 275: </w:t>
      </w:r>
      <w:r w:rsidRPr="009D7635">
        <w:rPr>
          <w:rFonts w:ascii="Times New Roman" w:hAnsi="Times New Roman" w:cs="Times New Roman"/>
          <w:i/>
          <w:color w:val="000000" w:themeColor="text1"/>
          <w:sz w:val="20"/>
          <w:szCs w:val="20"/>
          <w:lang w:val="en-US"/>
        </w:rPr>
        <w:t xml:space="preserve">Mali non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causa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efficiens</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deficiens</w:t>
      </w:r>
      <w:proofErr w:type="spellEnd"/>
      <w:r w:rsidRPr="009D7635">
        <w:rPr>
          <w:rFonts w:ascii="Times New Roman" w:hAnsi="Times New Roman" w:cs="Times New Roman"/>
          <w:i/>
          <w:color w:val="000000" w:themeColor="text1"/>
          <w:sz w:val="20"/>
          <w:szCs w:val="20"/>
          <w:lang w:val="en-US"/>
        </w:rPr>
        <w:t>.</w:t>
      </w:r>
    </w:p>
  </w:footnote>
  <w:footnote w:id="1126">
    <w:p w14:paraId="102495F2" w14:textId="45D9F5A1"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421D5A"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1, 489. </w:t>
      </w:r>
    </w:p>
  </w:footnote>
  <w:footnote w:id="1127">
    <w:p w14:paraId="66991E4F"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t>2</w:t>
      </w:r>
      <w:r w:rsidRPr="009D7635">
        <w:rPr>
          <w:rFonts w:ascii="Times New Roman" w:hAnsi="Times New Roman" w:cs="Times New Roman"/>
          <w:color w:val="000000" w:themeColor="text1"/>
        </w:rPr>
        <w:t xml:space="preserve"> William of </w:t>
      </w:r>
      <w:proofErr w:type="spellStart"/>
      <w:r w:rsidRPr="009D7635">
        <w:rPr>
          <w:rFonts w:ascii="Times New Roman" w:hAnsi="Times New Roman" w:cs="Times New Roman"/>
          <w:color w:val="000000" w:themeColor="text1"/>
        </w:rPr>
        <w:t>Auxerre</w:t>
      </w:r>
      <w:proofErr w:type="spellEnd"/>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 xml:space="preserve">Summa </w:t>
      </w:r>
      <w:proofErr w:type="spellStart"/>
      <w:r w:rsidRPr="009D7635">
        <w:rPr>
          <w:rFonts w:ascii="Times New Roman" w:hAnsi="Times New Roman" w:cs="Times New Roman"/>
          <w:i/>
          <w:color w:val="000000" w:themeColor="text1"/>
        </w:rPr>
        <w:t>aurea</w:t>
      </w:r>
      <w:proofErr w:type="spellEnd"/>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Bk 2, Tome 2, 283. </w:t>
      </w:r>
    </w:p>
  </w:footnote>
  <w:footnote w:id="1128">
    <w:p w14:paraId="196134C1" w14:textId="53962AC9"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421D5A"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278. </w:t>
      </w:r>
    </w:p>
  </w:footnote>
  <w:footnote w:id="1129">
    <w:p w14:paraId="4D077035" w14:textId="620F86B5" w:rsidR="00AE4915" w:rsidRPr="009D7635" w:rsidRDefault="00AE4915" w:rsidP="00AE491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bCs/>
          <w:i/>
          <w:iCs/>
          <w:color w:val="000000" w:themeColor="text1"/>
        </w:rPr>
        <w:t xml:space="preserve">Philippi </w:t>
      </w:r>
      <w:proofErr w:type="spellStart"/>
      <w:r w:rsidRPr="009D7635">
        <w:rPr>
          <w:rFonts w:ascii="Times New Roman" w:hAnsi="Times New Roman" w:cs="Times New Roman"/>
          <w:bCs/>
          <w:i/>
          <w:iCs/>
          <w:color w:val="000000" w:themeColor="text1"/>
        </w:rPr>
        <w:t>Cancellarii</w:t>
      </w:r>
      <w:proofErr w:type="spellEnd"/>
      <w:r w:rsidRPr="009D7635">
        <w:rPr>
          <w:rFonts w:ascii="Times New Roman" w:hAnsi="Times New Roman" w:cs="Times New Roman"/>
          <w:bCs/>
          <w:i/>
          <w:iCs/>
          <w:color w:val="000000" w:themeColor="text1"/>
        </w:rPr>
        <w:t xml:space="preserve"> </w:t>
      </w:r>
      <w:proofErr w:type="spellStart"/>
      <w:r w:rsidRPr="009D7635">
        <w:rPr>
          <w:rFonts w:ascii="Times New Roman" w:hAnsi="Times New Roman" w:cs="Times New Roman"/>
          <w:bCs/>
          <w:i/>
          <w:iCs/>
          <w:color w:val="000000" w:themeColor="text1"/>
        </w:rPr>
        <w:t>Parisiensis</w:t>
      </w:r>
      <w:proofErr w:type="spellEnd"/>
      <w:r w:rsidRPr="009D7635">
        <w:rPr>
          <w:rFonts w:ascii="Times New Roman" w:hAnsi="Times New Roman" w:cs="Times New Roman"/>
          <w:bCs/>
          <w:i/>
          <w:iCs/>
          <w:color w:val="000000" w:themeColor="text1"/>
        </w:rPr>
        <w:t xml:space="preserve"> Summa de bono</w:t>
      </w:r>
      <w:r w:rsidRPr="009D7635">
        <w:rPr>
          <w:rFonts w:ascii="Times New Roman" w:hAnsi="Times New Roman" w:cs="Times New Roman"/>
          <w:bCs/>
          <w:color w:val="000000" w:themeColor="text1"/>
        </w:rPr>
        <w:t>,</w:t>
      </w:r>
      <w:r w:rsidRPr="009D7635">
        <w:rPr>
          <w:rFonts w:ascii="Times New Roman" w:hAnsi="Times New Roman" w:cs="Times New Roman"/>
          <w:bCs/>
          <w:i/>
          <w:iCs/>
          <w:color w:val="000000" w:themeColor="text1"/>
        </w:rPr>
        <w:t xml:space="preserve"> </w:t>
      </w:r>
      <w:r w:rsidR="00065504" w:rsidRPr="009D7635">
        <w:rPr>
          <w:rFonts w:ascii="Times New Roman" w:hAnsi="Times New Roman" w:cs="Times New Roman"/>
          <w:bCs/>
          <w:iCs/>
          <w:color w:val="000000" w:themeColor="text1"/>
        </w:rPr>
        <w:t>vol. 1,</w:t>
      </w:r>
      <w:r w:rsidRPr="009D7635">
        <w:rPr>
          <w:rFonts w:ascii="Times New Roman" w:eastAsia="Times New Roman" w:hAnsi="Times New Roman" w:cs="Times New Roman"/>
          <w:color w:val="000000" w:themeColor="text1"/>
        </w:rPr>
        <w:t xml:space="preserve"> </w:t>
      </w:r>
      <w:r w:rsidRPr="009D7635">
        <w:rPr>
          <w:rFonts w:ascii="Times New Roman" w:hAnsi="Times New Roman" w:cs="Times New Roman"/>
          <w:color w:val="000000" w:themeColor="text1"/>
        </w:rPr>
        <w:t xml:space="preserve">129-30: Philip the Chancellor created the formal tract on the topic and most subsequent thinkers simply answered questions in the order he listed them, including Hales, </w:t>
      </w:r>
      <w:proofErr w:type="spellStart"/>
      <w:r w:rsidRPr="009D7635">
        <w:rPr>
          <w:rFonts w:ascii="Times New Roman" w:hAnsi="Times New Roman" w:cs="Times New Roman"/>
          <w:color w:val="000000" w:themeColor="text1"/>
        </w:rPr>
        <w:t>Odo</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Rigaldus</w:t>
      </w:r>
      <w:proofErr w:type="spellEnd"/>
      <w:r w:rsidRPr="009D7635">
        <w:rPr>
          <w:rFonts w:ascii="Times New Roman" w:hAnsi="Times New Roman" w:cs="Times New Roman"/>
          <w:color w:val="000000" w:themeColor="text1"/>
        </w:rPr>
        <w:t xml:space="preserve">, Albert the Great, and Thomas Aquinas, according to Michael Bertram Crow, ‘Fresh Lineaments of the Natural Law,’ in </w:t>
      </w:r>
      <w:r w:rsidRPr="009D7635">
        <w:rPr>
          <w:rFonts w:ascii="Times New Roman" w:hAnsi="Times New Roman" w:cs="Times New Roman"/>
          <w:i/>
          <w:color w:val="000000" w:themeColor="text1"/>
        </w:rPr>
        <w:t xml:space="preserve">The Changing Profile of the Natural Law </w:t>
      </w:r>
      <w:r w:rsidRPr="009D7635">
        <w:rPr>
          <w:rFonts w:ascii="Times New Roman" w:hAnsi="Times New Roman" w:cs="Times New Roman"/>
          <w:color w:val="000000" w:themeColor="text1"/>
        </w:rPr>
        <w:t xml:space="preserve">(The Hague: Martinus </w:t>
      </w:r>
      <w:proofErr w:type="spellStart"/>
      <w:r w:rsidRPr="009D7635">
        <w:rPr>
          <w:rFonts w:ascii="Times New Roman" w:hAnsi="Times New Roman" w:cs="Times New Roman"/>
          <w:color w:val="000000" w:themeColor="text1"/>
        </w:rPr>
        <w:t>Nijhoff</w:t>
      </w:r>
      <w:proofErr w:type="spellEnd"/>
      <w:r w:rsidRPr="009D7635">
        <w:rPr>
          <w:rFonts w:ascii="Times New Roman" w:hAnsi="Times New Roman" w:cs="Times New Roman"/>
          <w:color w:val="000000" w:themeColor="text1"/>
        </w:rPr>
        <w:t xml:space="preserve">, 1977), 111-35. </w:t>
      </w:r>
    </w:p>
  </w:footnote>
  <w:footnote w:id="1130">
    <w:p w14:paraId="41319592" w14:textId="6C0F43E4" w:rsidR="00B93ED5" w:rsidRPr="009D7635" w:rsidRDefault="00B93ED5" w:rsidP="00665333">
      <w:pPr>
        <w:rPr>
          <w:rFonts w:ascii="Times New Roman" w:eastAsia="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bCs/>
          <w:i/>
          <w:iCs/>
          <w:color w:val="000000" w:themeColor="text1"/>
          <w:sz w:val="20"/>
          <w:szCs w:val="20"/>
        </w:rPr>
        <w:t>Summa de bono</w:t>
      </w:r>
      <w:r w:rsidRPr="009D7635">
        <w:rPr>
          <w:rFonts w:ascii="Times New Roman" w:hAnsi="Times New Roman" w:cs="Times New Roman"/>
          <w:bCs/>
          <w:color w:val="000000" w:themeColor="text1"/>
          <w:sz w:val="20"/>
          <w:szCs w:val="20"/>
        </w:rPr>
        <w:t xml:space="preserve">, </w:t>
      </w:r>
      <w:r w:rsidRPr="009D7635">
        <w:rPr>
          <w:rFonts w:ascii="Times New Roman" w:eastAsia="Times New Roman" w:hAnsi="Times New Roman" w:cs="Times New Roman"/>
          <w:color w:val="000000" w:themeColor="text1"/>
          <w:sz w:val="20"/>
          <w:szCs w:val="20"/>
        </w:rPr>
        <w:t>155-231</w:t>
      </w:r>
      <w:r w:rsidR="003632DE" w:rsidRPr="009D7635">
        <w:rPr>
          <w:rFonts w:ascii="Times New Roman" w:eastAsia="Times New Roman" w:hAnsi="Times New Roman" w:cs="Times New Roman"/>
          <w:color w:val="000000" w:themeColor="text1"/>
          <w:sz w:val="20"/>
          <w:szCs w:val="20"/>
        </w:rPr>
        <w:t>.</w:t>
      </w:r>
    </w:p>
  </w:footnote>
  <w:footnote w:id="1131">
    <w:p w14:paraId="2643EA7E" w14:textId="3C503313" w:rsidR="00B93ED5" w:rsidRPr="009D7635" w:rsidRDefault="00B93ED5" w:rsidP="00665333">
      <w:pPr>
        <w:rPr>
          <w:rFonts w:ascii="Times New Roman" w:eastAsia="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97177E" w:rsidRPr="009D7635">
        <w:rPr>
          <w:rFonts w:ascii="Times New Roman" w:eastAsia="Times New Roman" w:hAnsi="Times New Roman" w:cs="Times New Roman"/>
          <w:iCs/>
          <w:color w:val="000000" w:themeColor="text1"/>
          <w:sz w:val="20"/>
          <w:szCs w:val="20"/>
        </w:rPr>
        <w:t>Ibid.</w:t>
      </w:r>
      <w:r w:rsidR="007B6FF1" w:rsidRPr="009D7635">
        <w:rPr>
          <w:rFonts w:ascii="Times New Roman" w:eastAsia="Times New Roman" w:hAnsi="Times New Roman" w:cs="Times New Roman"/>
          <w:iCs/>
          <w:color w:val="000000" w:themeColor="text1"/>
          <w:sz w:val="20"/>
          <w:szCs w:val="20"/>
        </w:rPr>
        <w:t>,</w:t>
      </w:r>
      <w:r w:rsidR="003632DE" w:rsidRPr="009D7635">
        <w:rPr>
          <w:rFonts w:ascii="Times New Roman" w:eastAsia="Times New Roman" w:hAnsi="Times New Roman" w:cs="Times New Roman"/>
          <w:iCs/>
          <w:color w:val="000000" w:themeColor="text1"/>
          <w:sz w:val="20"/>
          <w:szCs w:val="20"/>
        </w:rPr>
        <w:t xml:space="preserve"> cf</w:t>
      </w:r>
      <w:r w:rsidR="003632DE" w:rsidRPr="009D7635">
        <w:rPr>
          <w:rFonts w:ascii="Times New Roman" w:eastAsia="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Riccardo Saccenti, </w:t>
      </w:r>
      <w:proofErr w:type="spellStart"/>
      <w:r w:rsidRPr="009D7635">
        <w:rPr>
          <w:rFonts w:ascii="Times New Roman" w:hAnsi="Times New Roman" w:cs="Times New Roman"/>
          <w:i/>
          <w:color w:val="000000" w:themeColor="text1"/>
          <w:sz w:val="20"/>
          <w:szCs w:val="20"/>
        </w:rPr>
        <w:t>Conservare</w:t>
      </w:r>
      <w:proofErr w:type="spellEnd"/>
      <w:r w:rsidRPr="009D7635">
        <w:rPr>
          <w:rFonts w:ascii="Times New Roman" w:hAnsi="Times New Roman" w:cs="Times New Roman"/>
          <w:i/>
          <w:color w:val="000000" w:themeColor="text1"/>
          <w:sz w:val="20"/>
          <w:szCs w:val="20"/>
        </w:rPr>
        <w:t xml:space="preserve"> la </w:t>
      </w:r>
      <w:proofErr w:type="spellStart"/>
      <w:r w:rsidRPr="009D7635">
        <w:rPr>
          <w:rFonts w:ascii="Times New Roman" w:hAnsi="Times New Roman" w:cs="Times New Roman"/>
          <w:i/>
          <w:color w:val="000000" w:themeColor="text1"/>
          <w:sz w:val="20"/>
          <w:szCs w:val="20"/>
        </w:rPr>
        <w:t>retta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volontà</w:t>
      </w:r>
      <w:proofErr w:type="spellEnd"/>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91-101. </w:t>
      </w:r>
    </w:p>
  </w:footnote>
  <w:footnote w:id="1132">
    <w:p w14:paraId="16879F32" w14:textId="5C1EC0EC" w:rsidR="00B93ED5" w:rsidRPr="009D7635" w:rsidRDefault="00B93ED5" w:rsidP="00665333">
      <w:pPr>
        <w:rPr>
          <w:rFonts w:ascii="Times New Roman" w:eastAsia="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Summa de bono</w:t>
      </w:r>
      <w:r w:rsidRPr="009D7635">
        <w:rPr>
          <w:rFonts w:ascii="Times New Roman" w:hAnsi="Times New Roman" w:cs="Times New Roman"/>
          <w:iCs/>
          <w:color w:val="000000" w:themeColor="text1"/>
          <w:sz w:val="20"/>
          <w:szCs w:val="20"/>
        </w:rPr>
        <w:t>,</w:t>
      </w:r>
      <w:r w:rsidRPr="009D7635">
        <w:rPr>
          <w:rFonts w:ascii="Times New Roman" w:eastAsia="Times New Roman" w:hAnsi="Times New Roman" w:cs="Times New Roman"/>
          <w:color w:val="000000" w:themeColor="text1"/>
          <w:sz w:val="20"/>
          <w:szCs w:val="20"/>
        </w:rPr>
        <w:t xml:space="preserve"> 165-6</w:t>
      </w:r>
      <w:r w:rsidR="00070103" w:rsidRPr="009D7635">
        <w:rPr>
          <w:rFonts w:ascii="Times New Roman" w:eastAsia="Times New Roman" w:hAnsi="Times New Roman" w:cs="Times New Roman"/>
          <w:color w:val="000000" w:themeColor="text1"/>
          <w:sz w:val="20"/>
          <w:szCs w:val="20"/>
        </w:rPr>
        <w:t>.</w:t>
      </w:r>
      <w:r w:rsidRPr="009D7635">
        <w:rPr>
          <w:rFonts w:ascii="Times New Roman" w:eastAsia="Times New Roman" w:hAnsi="Times New Roman" w:cs="Times New Roman"/>
          <w:color w:val="000000" w:themeColor="text1"/>
          <w:sz w:val="20"/>
          <w:szCs w:val="20"/>
        </w:rPr>
        <w:t xml:space="preserve"> </w:t>
      </w:r>
    </w:p>
  </w:footnote>
  <w:footnote w:id="1133">
    <w:p w14:paraId="6BF2F636" w14:textId="5108EB0F" w:rsidR="00B93ED5" w:rsidRPr="009D7635" w:rsidRDefault="00B93ED5" w:rsidP="00665333">
      <w:pPr>
        <w:pStyle w:val="FootnoteText"/>
        <w:rPr>
          <w:rFonts w:ascii="Times New Roman" w:eastAsia="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vol. 1, 73-4. </w:t>
      </w:r>
      <w:r w:rsidRPr="009D7635">
        <w:rPr>
          <w:rFonts w:ascii="Times New Roman" w:eastAsia="Times New Roman" w:hAnsi="Times New Roman" w:cs="Times New Roman"/>
          <w:i/>
          <w:color w:val="000000" w:themeColor="text1"/>
        </w:rPr>
        <w:t>Summa de bono</w:t>
      </w:r>
      <w:r w:rsidRPr="009D7635">
        <w:rPr>
          <w:rFonts w:ascii="Times New Roman" w:eastAsia="Times New Roman" w:hAnsi="Times New Roman" w:cs="Times New Roman"/>
          <w:iCs/>
          <w:color w:val="000000" w:themeColor="text1"/>
        </w:rPr>
        <w:t xml:space="preserve">, </w:t>
      </w:r>
      <w:r w:rsidRPr="009D7635">
        <w:rPr>
          <w:rFonts w:ascii="Times New Roman" w:eastAsia="Times New Roman" w:hAnsi="Times New Roman" w:cs="Times New Roman"/>
          <w:color w:val="000000" w:themeColor="text1"/>
        </w:rPr>
        <w:t xml:space="preserve">173: </w:t>
      </w:r>
      <w:r w:rsidRPr="009D7635">
        <w:rPr>
          <w:rFonts w:ascii="Times New Roman" w:hAnsi="Times New Roman" w:cs="Times New Roman"/>
          <w:i/>
          <w:color w:val="000000" w:themeColor="text1"/>
        </w:rPr>
        <w:t xml:space="preserve">Libertas </w:t>
      </w:r>
      <w:proofErr w:type="spellStart"/>
      <w:r w:rsidRPr="009D7635">
        <w:rPr>
          <w:rFonts w:ascii="Times New Roman" w:hAnsi="Times New Roman" w:cs="Times New Roman"/>
          <w:i/>
          <w:color w:val="000000" w:themeColor="text1"/>
        </w:rPr>
        <w:t>autem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principaliter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residet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apud</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illam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potentiam</w:t>
      </w:r>
      <w:proofErr w:type="spellEnd"/>
      <w:r w:rsidRPr="009D7635">
        <w:rPr>
          <w:rFonts w:ascii="Times New Roman" w:hAnsi="Times New Roman" w:cs="Times New Roman"/>
          <w:i/>
          <w:color w:val="000000" w:themeColor="text1"/>
        </w:rPr>
        <w:t xml:space="preserve"> in quantum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voluntas</w:t>
      </w:r>
      <w:proofErr w:type="spellEnd"/>
      <w:r w:rsidRPr="009D7635">
        <w:rPr>
          <w:rFonts w:ascii="Times New Roman" w:hAnsi="Times New Roman" w:cs="Times New Roman"/>
          <w:color w:val="000000" w:themeColor="text1"/>
        </w:rPr>
        <w:t xml:space="preserve"> (liberty principally resides in the power of the will)</w:t>
      </w:r>
      <w:r w:rsidRPr="009D7635">
        <w:rPr>
          <w:rFonts w:ascii="Times New Roman" w:eastAsia="Times New Roman" w:hAnsi="Times New Roman" w:cs="Times New Roman"/>
          <w:color w:val="000000" w:themeColor="text1"/>
        </w:rPr>
        <w:t xml:space="preserve">; cf. </w:t>
      </w:r>
      <w:r w:rsidRPr="009D7635">
        <w:rPr>
          <w:rFonts w:ascii="Times New Roman" w:hAnsi="Times New Roman" w:cs="Times New Roman"/>
          <w:color w:val="000000" w:themeColor="text1"/>
        </w:rPr>
        <w:t xml:space="preserve">Riccardo Saccenti, </w:t>
      </w:r>
      <w:proofErr w:type="spellStart"/>
      <w:r w:rsidRPr="009D7635">
        <w:rPr>
          <w:rFonts w:ascii="Times New Roman" w:hAnsi="Times New Roman" w:cs="Times New Roman"/>
          <w:i/>
          <w:color w:val="000000" w:themeColor="text1"/>
        </w:rPr>
        <w:t>Conservare</w:t>
      </w:r>
      <w:proofErr w:type="spellEnd"/>
      <w:r w:rsidRPr="009D7635">
        <w:rPr>
          <w:rFonts w:ascii="Times New Roman" w:hAnsi="Times New Roman" w:cs="Times New Roman"/>
          <w:i/>
          <w:color w:val="000000" w:themeColor="text1"/>
        </w:rPr>
        <w:t xml:space="preserve"> la </w:t>
      </w:r>
      <w:proofErr w:type="spellStart"/>
      <w:r w:rsidRPr="009D7635">
        <w:rPr>
          <w:rFonts w:ascii="Times New Roman" w:hAnsi="Times New Roman" w:cs="Times New Roman"/>
          <w:i/>
          <w:color w:val="000000" w:themeColor="text1"/>
        </w:rPr>
        <w:t>retta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volontà</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124.</w:t>
      </w:r>
    </w:p>
  </w:footnote>
  <w:footnote w:id="1134">
    <w:p w14:paraId="62DC6688" w14:textId="123C7DDF" w:rsidR="00B93ED5" w:rsidRPr="009D7635" w:rsidRDefault="00B93ED5" w:rsidP="0066533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Psychologie</w:t>
      </w:r>
      <w:proofErr w:type="spellEnd"/>
      <w:r w:rsidRPr="009D7635">
        <w:rPr>
          <w:rFonts w:ascii="Times New Roman" w:hAnsi="Times New Roman" w:cs="Times New Roman"/>
          <w:i/>
          <w:color w:val="000000" w:themeColor="text1"/>
          <w:sz w:val="20"/>
          <w:szCs w:val="20"/>
        </w:rPr>
        <w:t xml:space="preserve"> et morale</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vol. 1, 79-80. Riccardo Saccenti, </w:t>
      </w:r>
      <w:proofErr w:type="spellStart"/>
      <w:r w:rsidRPr="009D7635">
        <w:rPr>
          <w:rFonts w:ascii="Times New Roman" w:hAnsi="Times New Roman" w:cs="Times New Roman"/>
          <w:i/>
          <w:color w:val="000000" w:themeColor="text1"/>
          <w:sz w:val="20"/>
          <w:szCs w:val="20"/>
        </w:rPr>
        <w:t>Conservare</w:t>
      </w:r>
      <w:proofErr w:type="spellEnd"/>
      <w:r w:rsidRPr="009D7635">
        <w:rPr>
          <w:rFonts w:ascii="Times New Roman" w:hAnsi="Times New Roman" w:cs="Times New Roman"/>
          <w:i/>
          <w:color w:val="000000" w:themeColor="text1"/>
          <w:sz w:val="20"/>
          <w:szCs w:val="20"/>
        </w:rPr>
        <w:t xml:space="preserve"> la </w:t>
      </w:r>
      <w:proofErr w:type="spellStart"/>
      <w:r w:rsidRPr="009D7635">
        <w:rPr>
          <w:rFonts w:ascii="Times New Roman" w:hAnsi="Times New Roman" w:cs="Times New Roman"/>
          <w:i/>
          <w:color w:val="000000" w:themeColor="text1"/>
          <w:sz w:val="20"/>
          <w:szCs w:val="20"/>
        </w:rPr>
        <w:t>retta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volontà</w:t>
      </w:r>
      <w:proofErr w:type="spellEnd"/>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135. </w:t>
      </w:r>
      <w:r w:rsidRPr="009D7635">
        <w:rPr>
          <w:rFonts w:ascii="Times New Roman" w:hAnsi="Times New Roman" w:cs="Times New Roman"/>
          <w:i/>
          <w:color w:val="000000" w:themeColor="text1"/>
          <w:sz w:val="20"/>
          <w:szCs w:val="20"/>
        </w:rPr>
        <w:t>Summa de bono</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162</w:t>
      </w:r>
      <w:r w:rsidR="004553A3"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w:t>
      </w:r>
      <w:r w:rsidR="001F6C78" w:rsidRPr="009D7635">
        <w:rPr>
          <w:rFonts w:ascii="Times New Roman" w:hAnsi="Times New Roman" w:cs="Times New Roman"/>
          <w:color w:val="000000" w:themeColor="text1"/>
          <w:sz w:val="20"/>
          <w:szCs w:val="20"/>
        </w:rPr>
        <w:t xml:space="preserve">However, Hoffman points out in </w:t>
      </w:r>
      <w:r w:rsidR="001F6C78" w:rsidRPr="009D7635">
        <w:rPr>
          <w:rFonts w:ascii="Times New Roman" w:hAnsi="Times New Roman" w:cs="Times New Roman"/>
          <w:i/>
          <w:iCs/>
          <w:color w:val="000000" w:themeColor="text1"/>
          <w:sz w:val="20"/>
          <w:szCs w:val="20"/>
        </w:rPr>
        <w:t xml:space="preserve">Free Will and Rebel Angels, </w:t>
      </w:r>
      <w:r w:rsidR="001F6C78" w:rsidRPr="009D7635">
        <w:rPr>
          <w:rFonts w:ascii="Times New Roman" w:hAnsi="Times New Roman" w:cs="Times New Roman"/>
          <w:color w:val="000000" w:themeColor="text1"/>
          <w:sz w:val="20"/>
          <w:szCs w:val="20"/>
        </w:rPr>
        <w:t>201</w:t>
      </w:r>
      <w:r w:rsidR="001F6C78" w:rsidRPr="009D7635">
        <w:rPr>
          <w:rFonts w:ascii="Times New Roman" w:hAnsi="Times New Roman" w:cs="Times New Roman"/>
          <w:i/>
          <w:iCs/>
          <w:color w:val="000000" w:themeColor="text1"/>
          <w:sz w:val="20"/>
          <w:szCs w:val="20"/>
        </w:rPr>
        <w:t xml:space="preserve">, </w:t>
      </w:r>
      <w:r w:rsidR="001F6C78" w:rsidRPr="009D7635">
        <w:rPr>
          <w:rFonts w:ascii="Times New Roman" w:hAnsi="Times New Roman" w:cs="Times New Roman"/>
          <w:color w:val="000000" w:themeColor="text1"/>
          <w:sz w:val="20"/>
          <w:szCs w:val="20"/>
        </w:rPr>
        <w:t>that angels according to Philip can choose between good and evil</w:t>
      </w:r>
      <w:r w:rsidR="00AA3C71" w:rsidRPr="009D7635">
        <w:rPr>
          <w:rFonts w:ascii="Times New Roman" w:hAnsi="Times New Roman" w:cs="Times New Roman"/>
          <w:color w:val="000000" w:themeColor="text1"/>
          <w:sz w:val="20"/>
          <w:szCs w:val="20"/>
        </w:rPr>
        <w:t>.</w:t>
      </w:r>
    </w:p>
  </w:footnote>
  <w:footnote w:id="1135">
    <w:p w14:paraId="597D96EE" w14:textId="3579E3B4"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Riccardo Saccenti, </w:t>
      </w:r>
      <w:proofErr w:type="spellStart"/>
      <w:r w:rsidRPr="009D7635">
        <w:rPr>
          <w:rFonts w:ascii="Times New Roman" w:hAnsi="Times New Roman" w:cs="Times New Roman"/>
          <w:i/>
          <w:color w:val="000000" w:themeColor="text1"/>
        </w:rPr>
        <w:t>Conservare</w:t>
      </w:r>
      <w:proofErr w:type="spellEnd"/>
      <w:r w:rsidRPr="009D7635">
        <w:rPr>
          <w:rFonts w:ascii="Times New Roman" w:hAnsi="Times New Roman" w:cs="Times New Roman"/>
          <w:i/>
          <w:color w:val="000000" w:themeColor="text1"/>
        </w:rPr>
        <w:t xml:space="preserve"> la </w:t>
      </w:r>
      <w:proofErr w:type="spellStart"/>
      <w:r w:rsidRPr="009D7635">
        <w:rPr>
          <w:rFonts w:ascii="Times New Roman" w:hAnsi="Times New Roman" w:cs="Times New Roman"/>
          <w:i/>
          <w:color w:val="000000" w:themeColor="text1"/>
        </w:rPr>
        <w:t>retta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volontà</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137-8. </w:t>
      </w:r>
      <w:r w:rsidRPr="009D7635">
        <w:rPr>
          <w:rFonts w:ascii="Times New Roman" w:hAnsi="Times New Roman" w:cs="Times New Roman"/>
          <w:i/>
          <w:color w:val="000000" w:themeColor="text1"/>
        </w:rPr>
        <w:t>Summa de bono</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184-5: </w:t>
      </w:r>
      <w:proofErr w:type="spellStart"/>
      <w:r w:rsidRPr="009D7635">
        <w:rPr>
          <w:rFonts w:ascii="Times New Roman" w:hAnsi="Times New Roman" w:cs="Times New Roman"/>
          <w:i/>
          <w:color w:val="000000" w:themeColor="text1"/>
        </w:rPr>
        <w:t>Similiter</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dicit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esse</w:t>
      </w:r>
      <w:proofErr w:type="spellEnd"/>
      <w:r w:rsidRPr="009D7635">
        <w:rPr>
          <w:rFonts w:ascii="Times New Roman" w:hAnsi="Times New Roman" w:cs="Times New Roman"/>
          <w:i/>
          <w:color w:val="000000" w:themeColor="text1"/>
        </w:rPr>
        <w:t xml:space="preserve"> in </w:t>
      </w:r>
      <w:proofErr w:type="spellStart"/>
      <w:r w:rsidRPr="009D7635">
        <w:rPr>
          <w:rFonts w:ascii="Times New Roman" w:hAnsi="Times New Roman" w:cs="Times New Roman"/>
          <w:i/>
          <w:color w:val="000000" w:themeColor="text1"/>
        </w:rPr>
        <w:t>libertate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arbitrii</w:t>
      </w:r>
      <w:proofErr w:type="spellEnd"/>
      <w:r w:rsidRPr="009D7635">
        <w:rPr>
          <w:rFonts w:ascii="Times New Roman" w:hAnsi="Times New Roman" w:cs="Times New Roman"/>
          <w:i/>
          <w:color w:val="000000" w:themeColor="text1"/>
        </w:rPr>
        <w:t xml:space="preserve"> quod </w:t>
      </w:r>
      <w:proofErr w:type="spellStart"/>
      <w:r w:rsidRPr="009D7635">
        <w:rPr>
          <w:rFonts w:ascii="Times New Roman" w:hAnsi="Times New Roman" w:cs="Times New Roman"/>
          <w:i/>
          <w:color w:val="000000" w:themeColor="text1"/>
        </w:rPr>
        <w:t>nichil</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prohibet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libertatem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w:t>
      </w:r>
      <w:r w:rsidRPr="009D7635">
        <w:rPr>
          <w:rFonts w:ascii="Times New Roman" w:hAnsi="Times New Roman" w:cs="Times New Roman"/>
          <w:i/>
          <w:color w:val="000000" w:themeColor="text1"/>
        </w:rPr>
        <w:softHyphen/>
        <w:t>trii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esse</w:t>
      </w:r>
      <w:proofErr w:type="spellEnd"/>
      <w:r w:rsidRPr="009D7635">
        <w:rPr>
          <w:rFonts w:ascii="Times New Roman" w:hAnsi="Times New Roman" w:cs="Times New Roman"/>
          <w:i/>
          <w:color w:val="000000" w:themeColor="text1"/>
        </w:rPr>
        <w:t xml:space="preserve"> quantum ad hoc quod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potestas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conservandi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rectitudinem</w:t>
      </w:r>
      <w:proofErr w:type="spellEnd"/>
      <w:r w:rsidRPr="009D7635">
        <w:rPr>
          <w:rFonts w:ascii="Times New Roman" w:hAnsi="Times New Roman" w:cs="Times New Roman"/>
          <w:i/>
          <w:color w:val="000000" w:themeColor="text1"/>
        </w:rPr>
        <w:t xml:space="preserve"> non </w:t>
      </w:r>
      <w:proofErr w:type="spellStart"/>
      <w:r w:rsidRPr="009D7635">
        <w:rPr>
          <w:rFonts w:ascii="Times New Roman" w:hAnsi="Times New Roman" w:cs="Times New Roman"/>
          <w:i/>
          <w:color w:val="000000" w:themeColor="text1"/>
        </w:rPr>
        <w:t>existente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rectitudine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quamdiu</w:t>
      </w:r>
      <w:proofErr w:type="spellEnd"/>
      <w:r w:rsidRPr="009D7635">
        <w:rPr>
          <w:rFonts w:ascii="Times New Roman" w:hAnsi="Times New Roman" w:cs="Times New Roman"/>
          <w:i/>
          <w:color w:val="000000" w:themeColor="text1"/>
        </w:rPr>
        <w:t xml:space="preserve"> ratio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in </w:t>
      </w:r>
      <w:proofErr w:type="spellStart"/>
      <w:r w:rsidRPr="009D7635">
        <w:rPr>
          <w:rFonts w:ascii="Times New Roman" w:hAnsi="Times New Roman" w:cs="Times New Roman"/>
          <w:i/>
          <w:color w:val="000000" w:themeColor="text1"/>
        </w:rPr>
        <w:t>nobis</w:t>
      </w:r>
      <w:proofErr w:type="spellEnd"/>
      <w:r w:rsidRPr="009D7635">
        <w:rPr>
          <w:rFonts w:ascii="Times New Roman" w:hAnsi="Times New Roman" w:cs="Times New Roman"/>
          <w:i/>
          <w:color w:val="000000" w:themeColor="text1"/>
        </w:rPr>
        <w:t xml:space="preserve">, qua </w:t>
      </w:r>
      <w:proofErr w:type="spellStart"/>
      <w:r w:rsidRPr="009D7635">
        <w:rPr>
          <w:rFonts w:ascii="Times New Roman" w:hAnsi="Times New Roman" w:cs="Times New Roman"/>
          <w:i/>
          <w:color w:val="000000" w:themeColor="text1"/>
        </w:rPr>
        <w:t>eam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valeamus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cognoscere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voluntas</w:t>
      </w:r>
      <w:proofErr w:type="spellEnd"/>
      <w:r w:rsidRPr="009D7635">
        <w:rPr>
          <w:rFonts w:ascii="Times New Roman" w:hAnsi="Times New Roman" w:cs="Times New Roman"/>
          <w:i/>
          <w:color w:val="000000" w:themeColor="text1"/>
        </w:rPr>
        <w:t xml:space="preserve"> qua </w:t>
      </w:r>
      <w:proofErr w:type="spellStart"/>
      <w:r w:rsidRPr="009D7635">
        <w:rPr>
          <w:rFonts w:ascii="Times New Roman" w:hAnsi="Times New Roman" w:cs="Times New Roman"/>
          <w:i/>
          <w:color w:val="000000" w:themeColor="text1"/>
        </w:rPr>
        <w:t>illam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tenere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possumus</w:t>
      </w:r>
      <w:proofErr w:type="spellEnd"/>
      <w:r w:rsidRPr="009D7635">
        <w:rPr>
          <w:rFonts w:ascii="Times New Roman" w:hAnsi="Times New Roman" w:cs="Times New Roman"/>
          <w:i/>
          <w:color w:val="000000" w:themeColor="text1"/>
        </w:rPr>
        <w:t>.</w:t>
      </w:r>
    </w:p>
  </w:footnote>
  <w:footnote w:id="1136">
    <w:p w14:paraId="4214193A" w14:textId="77777777" w:rsidR="00B93ED5" w:rsidRPr="009D7635" w:rsidRDefault="00B93ED5" w:rsidP="0066533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The </w:t>
      </w:r>
      <w:proofErr w:type="spellStart"/>
      <w:r w:rsidRPr="009D7635">
        <w:rPr>
          <w:rFonts w:ascii="Times New Roman" w:hAnsi="Times New Roman" w:cs="Times New Roman"/>
          <w:i/>
          <w:color w:val="000000" w:themeColor="text1"/>
          <w:sz w:val="20"/>
          <w:szCs w:val="20"/>
        </w:rPr>
        <w:t>Quaestiones</w:t>
      </w:r>
      <w:proofErr w:type="spellEnd"/>
      <w:r w:rsidRPr="009D7635">
        <w:rPr>
          <w:rFonts w:ascii="Times New Roman" w:hAnsi="Times New Roman" w:cs="Times New Roman"/>
          <w:color w:val="000000" w:themeColor="text1"/>
          <w:sz w:val="20"/>
          <w:szCs w:val="20"/>
        </w:rPr>
        <w:t xml:space="preserve"> of Stephen Langton identify free will with the rational faculty, holding that this embraces reason and will. </w:t>
      </w:r>
    </w:p>
  </w:footnote>
  <w:footnote w:id="1137">
    <w:p w14:paraId="1818AE13" w14:textId="306004A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Odon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Lottin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Psychologie</w:t>
      </w:r>
      <w:proofErr w:type="spellEnd"/>
      <w:r w:rsidRPr="009D7635">
        <w:rPr>
          <w:rFonts w:ascii="Times New Roman" w:hAnsi="Times New Roman" w:cs="Times New Roman"/>
          <w:i/>
          <w:color w:val="000000" w:themeColor="text1"/>
        </w:rPr>
        <w:t xml:space="preserve"> et morale</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vol. 1, 96-103.</w:t>
      </w:r>
    </w:p>
  </w:footnote>
  <w:footnote w:id="1138">
    <w:p w14:paraId="05DAC6E1"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See the edition at Riccardo Saccenti, </w:t>
      </w:r>
      <w:proofErr w:type="spellStart"/>
      <w:r w:rsidRPr="009D7635">
        <w:rPr>
          <w:rFonts w:ascii="Times New Roman" w:hAnsi="Times New Roman" w:cs="Times New Roman"/>
          <w:i/>
          <w:color w:val="000000" w:themeColor="text1"/>
        </w:rPr>
        <w:t>Conservare</w:t>
      </w:r>
      <w:proofErr w:type="spellEnd"/>
      <w:r w:rsidRPr="009D7635">
        <w:rPr>
          <w:rFonts w:ascii="Times New Roman" w:hAnsi="Times New Roman" w:cs="Times New Roman"/>
          <w:i/>
          <w:color w:val="000000" w:themeColor="text1"/>
        </w:rPr>
        <w:t xml:space="preserve"> la </w:t>
      </w:r>
      <w:proofErr w:type="spellStart"/>
      <w:r w:rsidRPr="009D7635">
        <w:rPr>
          <w:rFonts w:ascii="Times New Roman" w:hAnsi="Times New Roman" w:cs="Times New Roman"/>
          <w:i/>
          <w:color w:val="000000" w:themeColor="text1"/>
        </w:rPr>
        <w:t>retta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volontà</w:t>
      </w:r>
      <w:proofErr w:type="spellEnd"/>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230-1.</w:t>
      </w:r>
    </w:p>
  </w:footnote>
  <w:footnote w:id="1139">
    <w:p w14:paraId="350C4D27" w14:textId="068B11FF" w:rsidR="00B93ED5" w:rsidRPr="009D7635" w:rsidRDefault="00B93ED5" w:rsidP="00665333">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Riccardo Saccenti, </w:t>
      </w:r>
      <w:proofErr w:type="spellStart"/>
      <w:r w:rsidRPr="009D7635">
        <w:rPr>
          <w:rFonts w:ascii="Times New Roman" w:hAnsi="Times New Roman" w:cs="Times New Roman"/>
          <w:i/>
          <w:color w:val="000000" w:themeColor="text1"/>
          <w:sz w:val="20"/>
          <w:szCs w:val="20"/>
        </w:rPr>
        <w:t>Conservare</w:t>
      </w:r>
      <w:proofErr w:type="spellEnd"/>
      <w:r w:rsidRPr="009D7635">
        <w:rPr>
          <w:rFonts w:ascii="Times New Roman" w:hAnsi="Times New Roman" w:cs="Times New Roman"/>
          <w:i/>
          <w:color w:val="000000" w:themeColor="text1"/>
          <w:sz w:val="20"/>
          <w:szCs w:val="20"/>
        </w:rPr>
        <w:t xml:space="preserve"> la </w:t>
      </w:r>
      <w:proofErr w:type="spellStart"/>
      <w:r w:rsidRPr="009D7635">
        <w:rPr>
          <w:rFonts w:ascii="Times New Roman" w:hAnsi="Times New Roman" w:cs="Times New Roman"/>
          <w:i/>
          <w:color w:val="000000" w:themeColor="text1"/>
          <w:sz w:val="20"/>
          <w:szCs w:val="20"/>
        </w:rPr>
        <w:t>retta</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volontà</w:t>
      </w:r>
      <w:proofErr w:type="spellEnd"/>
      <w:r w:rsidRPr="009D7635">
        <w:rPr>
          <w:rFonts w:ascii="Times New Roman" w:hAnsi="Times New Roman" w:cs="Times New Roman"/>
          <w:iCs/>
          <w:color w:val="000000" w:themeColor="text1"/>
          <w:sz w:val="20"/>
          <w:szCs w:val="20"/>
        </w:rPr>
        <w:t>,</w:t>
      </w:r>
      <w:r w:rsidRPr="009D7635">
        <w:rPr>
          <w:rFonts w:ascii="Times New Roman" w:hAnsi="Times New Roman" w:cs="Times New Roman"/>
          <w:color w:val="000000" w:themeColor="text1"/>
          <w:sz w:val="20"/>
          <w:szCs w:val="20"/>
        </w:rPr>
        <w:t xml:space="preserve"> 142-51. See also also Magdalena </w:t>
      </w:r>
      <w:proofErr w:type="spellStart"/>
      <w:r w:rsidRPr="009D7635">
        <w:rPr>
          <w:rFonts w:ascii="Times New Roman" w:hAnsi="Times New Roman" w:cs="Times New Roman"/>
          <w:color w:val="000000" w:themeColor="text1"/>
          <w:sz w:val="20"/>
          <w:szCs w:val="20"/>
        </w:rPr>
        <w:t>Bieniak</w:t>
      </w:r>
      <w:proofErr w:type="spellEnd"/>
      <w:r w:rsidRPr="009D7635">
        <w:rPr>
          <w:rFonts w:ascii="Times New Roman" w:hAnsi="Times New Roman" w:cs="Times New Roman"/>
          <w:color w:val="000000" w:themeColor="text1"/>
          <w:sz w:val="20"/>
          <w:szCs w:val="20"/>
        </w:rPr>
        <w:t xml:space="preserve">, ‘Contents of Hugh of St Cher’s Commentary on the </w:t>
      </w:r>
      <w:r w:rsidRPr="009D7635">
        <w:rPr>
          <w:rFonts w:ascii="Times New Roman" w:hAnsi="Times New Roman" w:cs="Times New Roman"/>
          <w:i/>
          <w:color w:val="000000" w:themeColor="text1"/>
          <w:sz w:val="20"/>
          <w:szCs w:val="20"/>
        </w:rPr>
        <w:t>Sentences</w:t>
      </w:r>
      <w:r w:rsidRPr="009D7635">
        <w:rPr>
          <w:rFonts w:ascii="Times New Roman" w:hAnsi="Times New Roman" w:cs="Times New Roman"/>
          <w:color w:val="000000" w:themeColor="text1"/>
          <w:sz w:val="20"/>
          <w:szCs w:val="20"/>
        </w:rPr>
        <w:t xml:space="preserve">, Books I-II,’ </w:t>
      </w:r>
      <w:proofErr w:type="spellStart"/>
      <w:r w:rsidRPr="009D7635">
        <w:rPr>
          <w:rFonts w:ascii="Times New Roman" w:hAnsi="Times New Roman" w:cs="Times New Roman"/>
          <w:i/>
          <w:color w:val="000000" w:themeColor="text1"/>
          <w:sz w:val="20"/>
          <w:szCs w:val="20"/>
        </w:rPr>
        <w:t>Przeglad</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Tomistyczny</w:t>
      </w:r>
      <w:proofErr w:type="spellEnd"/>
      <w:r w:rsidRPr="009D7635">
        <w:rPr>
          <w:rFonts w:ascii="Times New Roman" w:hAnsi="Times New Roman" w:cs="Times New Roman"/>
          <w:color w:val="000000" w:themeColor="text1"/>
          <w:sz w:val="20"/>
          <w:szCs w:val="20"/>
        </w:rPr>
        <w:t xml:space="preserve"> 19 (2013)</w:t>
      </w:r>
      <w:r w:rsidR="00431656"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76. See also her ‘The </w:t>
      </w:r>
      <w:r w:rsidRPr="009D7635">
        <w:rPr>
          <w:rFonts w:ascii="Times New Roman" w:hAnsi="Times New Roman" w:cs="Times New Roman"/>
          <w:i/>
          <w:color w:val="000000" w:themeColor="text1"/>
          <w:sz w:val="20"/>
          <w:szCs w:val="20"/>
        </w:rPr>
        <w:t>Sentences</w:t>
      </w:r>
      <w:r w:rsidRPr="009D7635">
        <w:rPr>
          <w:rFonts w:ascii="Times New Roman" w:hAnsi="Times New Roman" w:cs="Times New Roman"/>
          <w:color w:val="000000" w:themeColor="text1"/>
          <w:sz w:val="20"/>
          <w:szCs w:val="20"/>
        </w:rPr>
        <w:t xml:space="preserve"> Commentary of Hugh of St Cher,’ in </w:t>
      </w:r>
      <w:r w:rsidRPr="009D7635">
        <w:rPr>
          <w:rFonts w:ascii="Times New Roman" w:hAnsi="Times New Roman" w:cs="Times New Roman"/>
          <w:i/>
          <w:color w:val="000000" w:themeColor="text1"/>
          <w:sz w:val="20"/>
          <w:szCs w:val="20"/>
        </w:rPr>
        <w:t xml:space="preserve">Medieval Commentaries on the Sentences of Peter Lombard, </w:t>
      </w:r>
      <w:r w:rsidRPr="009D7635">
        <w:rPr>
          <w:rFonts w:ascii="Times New Roman" w:hAnsi="Times New Roman" w:cs="Times New Roman"/>
          <w:color w:val="000000" w:themeColor="text1"/>
          <w:sz w:val="20"/>
          <w:szCs w:val="20"/>
        </w:rPr>
        <w:t xml:space="preserve">vol. 2, ed, Philipp </w:t>
      </w:r>
      <w:proofErr w:type="spellStart"/>
      <w:r w:rsidRPr="009D7635">
        <w:rPr>
          <w:rFonts w:ascii="Times New Roman" w:hAnsi="Times New Roman" w:cs="Times New Roman"/>
          <w:color w:val="000000" w:themeColor="text1"/>
          <w:sz w:val="20"/>
          <w:szCs w:val="20"/>
        </w:rPr>
        <w:t>Rosemann</w:t>
      </w:r>
      <w:proofErr w:type="spellEnd"/>
      <w:r w:rsidRPr="009D7635">
        <w:rPr>
          <w:rFonts w:ascii="Times New Roman" w:hAnsi="Times New Roman" w:cs="Times New Roman"/>
          <w:color w:val="000000" w:themeColor="text1"/>
          <w:sz w:val="20"/>
          <w:szCs w:val="20"/>
        </w:rPr>
        <w:t xml:space="preserve">, 139-40. </w:t>
      </w:r>
    </w:p>
  </w:footnote>
  <w:footnote w:id="1140">
    <w:p w14:paraId="33F8997A" w14:textId="64E5C810" w:rsidR="00B93ED5" w:rsidRPr="009D7635" w:rsidRDefault="00B93ED5" w:rsidP="00665333">
      <w:pPr>
        <w:autoSpaceDE w:val="0"/>
        <w:autoSpaceDN w:val="0"/>
        <w:adjustRightInd w:val="0"/>
        <w:ind w:right="-72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Psychologie</w:t>
      </w:r>
      <w:proofErr w:type="spellEnd"/>
      <w:r w:rsidRPr="009D7635">
        <w:rPr>
          <w:rFonts w:ascii="Times New Roman" w:hAnsi="Times New Roman" w:cs="Times New Roman"/>
          <w:i/>
          <w:color w:val="000000" w:themeColor="text1"/>
          <w:sz w:val="20"/>
          <w:szCs w:val="20"/>
        </w:rPr>
        <w:t xml:space="preserve"> et morale</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vol. 1, 103-8. </w:t>
      </w:r>
      <w:proofErr w:type="spellStart"/>
      <w:r w:rsidRPr="009D7635">
        <w:rPr>
          <w:rFonts w:ascii="Times New Roman" w:hAnsi="Times New Roman" w:cs="Times New Roman"/>
          <w:i/>
          <w:color w:val="000000" w:themeColor="text1"/>
          <w:sz w:val="20"/>
          <w:szCs w:val="20"/>
        </w:rPr>
        <w:t>Summae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Magistri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Rolandi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Cremonensis</w:t>
      </w:r>
      <w:proofErr w:type="spellEnd"/>
      <w:r w:rsidRPr="009D7635">
        <w:rPr>
          <w:rFonts w:ascii="Times New Roman" w:hAnsi="Times New Roman" w:cs="Times New Roman"/>
          <w:i/>
          <w:color w:val="000000" w:themeColor="text1"/>
          <w:sz w:val="20"/>
          <w:szCs w:val="20"/>
        </w:rPr>
        <w:t xml:space="preserve">, O.P., Liber </w:t>
      </w:r>
      <w:proofErr w:type="spellStart"/>
      <w:r w:rsidRPr="009D7635">
        <w:rPr>
          <w:rFonts w:ascii="Times New Roman" w:hAnsi="Times New Roman" w:cs="Times New Roman"/>
          <w:i/>
          <w:color w:val="000000" w:themeColor="text1"/>
          <w:sz w:val="20"/>
          <w:szCs w:val="20"/>
        </w:rPr>
        <w:t>Secundus</w:t>
      </w:r>
      <w:proofErr w:type="spellEnd"/>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ed. </w:t>
      </w:r>
      <w:proofErr w:type="spellStart"/>
      <w:r w:rsidRPr="009D7635">
        <w:rPr>
          <w:rFonts w:ascii="Times New Roman" w:hAnsi="Times New Roman" w:cs="Times New Roman"/>
          <w:color w:val="000000" w:themeColor="text1"/>
          <w:sz w:val="20"/>
          <w:szCs w:val="20"/>
        </w:rPr>
        <w:t>Aloysio</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Cortesi</w:t>
      </w:r>
      <w:proofErr w:type="spellEnd"/>
      <w:r w:rsidRPr="009D7635">
        <w:rPr>
          <w:rFonts w:ascii="Times New Roman" w:hAnsi="Times New Roman" w:cs="Times New Roman"/>
          <w:color w:val="000000" w:themeColor="text1"/>
          <w:sz w:val="20"/>
          <w:szCs w:val="20"/>
        </w:rPr>
        <w:t xml:space="preserve"> and Humberto </w:t>
      </w:r>
      <w:proofErr w:type="spellStart"/>
      <w:r w:rsidRPr="009D7635">
        <w:rPr>
          <w:rFonts w:ascii="Times New Roman" w:hAnsi="Times New Roman" w:cs="Times New Roman"/>
          <w:color w:val="000000" w:themeColor="text1"/>
          <w:sz w:val="20"/>
          <w:szCs w:val="20"/>
        </w:rPr>
        <w:t>Midali</w:t>
      </w:r>
      <w:proofErr w:type="spellEnd"/>
      <w:r w:rsidRPr="009D7635">
        <w:rPr>
          <w:rFonts w:ascii="Times New Roman" w:hAnsi="Times New Roman" w:cs="Times New Roman"/>
          <w:color w:val="000000" w:themeColor="text1"/>
          <w:sz w:val="20"/>
          <w:szCs w:val="20"/>
        </w:rPr>
        <w:t xml:space="preserve"> (Bergamo: Umberto </w:t>
      </w:r>
      <w:proofErr w:type="spellStart"/>
      <w:r w:rsidRPr="009D7635">
        <w:rPr>
          <w:rFonts w:ascii="Times New Roman" w:hAnsi="Times New Roman" w:cs="Times New Roman"/>
          <w:color w:val="000000" w:themeColor="text1"/>
          <w:sz w:val="20"/>
          <w:szCs w:val="20"/>
        </w:rPr>
        <w:t>Midali</w:t>
      </w:r>
      <w:proofErr w:type="spellEnd"/>
      <w:r w:rsidRPr="009D7635">
        <w:rPr>
          <w:rFonts w:ascii="Times New Roman" w:hAnsi="Times New Roman" w:cs="Times New Roman"/>
          <w:color w:val="000000" w:themeColor="text1"/>
          <w:sz w:val="20"/>
          <w:szCs w:val="20"/>
        </w:rPr>
        <w:t xml:space="preserve">, 2016), 144: citing Augustine’s </w:t>
      </w:r>
      <w:r w:rsidRPr="009D7635">
        <w:rPr>
          <w:rFonts w:ascii="Times New Roman" w:hAnsi="Times New Roman" w:cs="Times New Roman"/>
          <w:i/>
          <w:color w:val="000000" w:themeColor="text1"/>
          <w:sz w:val="20"/>
          <w:szCs w:val="20"/>
        </w:rPr>
        <w:t xml:space="preserve">De </w:t>
      </w:r>
      <w:proofErr w:type="spellStart"/>
      <w:r w:rsidRPr="009D7635">
        <w:rPr>
          <w:rFonts w:ascii="Times New Roman" w:hAnsi="Times New Roman" w:cs="Times New Roman"/>
          <w:i/>
          <w:color w:val="000000" w:themeColor="text1"/>
          <w:sz w:val="20"/>
          <w:szCs w:val="20"/>
        </w:rPr>
        <w:t>Trinitate</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12.7.12</w:t>
      </w:r>
      <w:r w:rsidR="009F2DC9" w:rsidRPr="009D7635">
        <w:rPr>
          <w:rFonts w:ascii="Times New Roman" w:hAnsi="Times New Roman" w:cs="Times New Roman"/>
          <w:color w:val="000000" w:themeColor="text1"/>
          <w:sz w:val="20"/>
          <w:szCs w:val="20"/>
        </w:rPr>
        <w:t xml:space="preserve">; cf. 233. </w:t>
      </w:r>
    </w:p>
  </w:footnote>
  <w:footnote w:id="1141">
    <w:p w14:paraId="63249BA9" w14:textId="0762F839" w:rsidR="00B93ED5" w:rsidRPr="009D7635" w:rsidRDefault="00B93ED5" w:rsidP="00665333">
      <w:pPr>
        <w:autoSpaceDE w:val="0"/>
        <w:autoSpaceDN w:val="0"/>
        <w:adjustRightInd w:val="0"/>
        <w:ind w:right="-72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Summae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Magistri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Rolandi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Cremonensis</w:t>
      </w:r>
      <w:proofErr w:type="spellEnd"/>
      <w:r w:rsidRPr="009D7635">
        <w:rPr>
          <w:rFonts w:ascii="Times New Roman" w:hAnsi="Times New Roman" w:cs="Times New Roman"/>
          <w:i/>
          <w:color w:val="000000" w:themeColor="text1"/>
          <w:sz w:val="20"/>
          <w:szCs w:val="20"/>
        </w:rPr>
        <w:t xml:space="preserve">, O.P., Liber </w:t>
      </w:r>
      <w:proofErr w:type="spellStart"/>
      <w:r w:rsidRPr="009D7635">
        <w:rPr>
          <w:rFonts w:ascii="Times New Roman" w:hAnsi="Times New Roman" w:cs="Times New Roman"/>
          <w:i/>
          <w:color w:val="000000" w:themeColor="text1"/>
          <w:sz w:val="20"/>
          <w:szCs w:val="20"/>
        </w:rPr>
        <w:t>Secundus</w:t>
      </w:r>
      <w:proofErr w:type="spellEnd"/>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lang w:val="en-US"/>
        </w:rPr>
        <w:t xml:space="preserve">237-8: </w:t>
      </w:r>
      <w:r w:rsidR="009F2DC9" w:rsidRPr="009D7635">
        <w:rPr>
          <w:rFonts w:ascii="Times New Roman" w:hAnsi="Times New Roman" w:cs="Times New Roman"/>
          <w:color w:val="000000" w:themeColor="text1"/>
          <w:sz w:val="20"/>
          <w:szCs w:val="20"/>
          <w:lang w:val="en-US"/>
        </w:rPr>
        <w:t>T</w:t>
      </w:r>
      <w:r w:rsidRPr="009D7635">
        <w:rPr>
          <w:rFonts w:ascii="Times New Roman" w:hAnsi="Times New Roman" w:cs="Times New Roman"/>
          <w:color w:val="000000" w:themeColor="text1"/>
          <w:sz w:val="20"/>
          <w:szCs w:val="20"/>
          <w:lang w:val="en-US"/>
        </w:rPr>
        <w:t>here is flexibility to choose between different objects of desire but not between good and evil (</w:t>
      </w:r>
      <w:proofErr w:type="spellStart"/>
      <w:r w:rsidR="00431656" w:rsidRPr="009D7635">
        <w:rPr>
          <w:rFonts w:ascii="Times New Roman" w:hAnsi="Times New Roman" w:cs="Times New Roman"/>
          <w:i/>
          <w:color w:val="000000" w:themeColor="text1"/>
          <w:sz w:val="20"/>
          <w:szCs w:val="20"/>
          <w:lang w:val="en-US"/>
        </w:rPr>
        <w:t>L</w:t>
      </w:r>
      <w:r w:rsidRPr="009D7635">
        <w:rPr>
          <w:rFonts w:ascii="Times New Roman" w:hAnsi="Times New Roman" w:cs="Times New Roman"/>
          <w:i/>
          <w:color w:val="000000" w:themeColor="text1"/>
          <w:sz w:val="20"/>
          <w:szCs w:val="20"/>
          <w:lang w:val="en-US"/>
        </w:rPr>
        <w:t>iberi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potestas</w:t>
      </w:r>
      <w:proofErr w:type="spellEnd"/>
      <w:r w:rsidRPr="009D7635">
        <w:rPr>
          <w:rFonts w:ascii="Times New Roman" w:hAnsi="Times New Roman" w:cs="Times New Roman"/>
          <w:i/>
          <w:color w:val="000000" w:themeColor="text1"/>
          <w:sz w:val="20"/>
          <w:szCs w:val="20"/>
          <w:lang w:val="en-US"/>
        </w:rPr>
        <w:t xml:space="preserve"> sed </w:t>
      </w:r>
      <w:proofErr w:type="spellStart"/>
      <w:r w:rsidRPr="009D7635">
        <w:rPr>
          <w:rFonts w:ascii="Times New Roman" w:hAnsi="Times New Roman" w:cs="Times New Roman"/>
          <w:i/>
          <w:color w:val="000000" w:themeColor="text1"/>
          <w:sz w:val="20"/>
          <w:szCs w:val="20"/>
          <w:lang w:val="en-US"/>
        </w:rPr>
        <w:t>flexibilitas</w:t>
      </w:r>
      <w:proofErr w:type="spellEnd"/>
      <w:r w:rsidRPr="009D7635">
        <w:rPr>
          <w:rFonts w:ascii="Times New Roman" w:hAnsi="Times New Roman" w:cs="Times New Roman"/>
          <w:i/>
          <w:color w:val="000000" w:themeColor="text1"/>
          <w:sz w:val="20"/>
          <w:szCs w:val="20"/>
          <w:lang w:val="en-US"/>
        </w:rPr>
        <w:t xml:space="preserve"> ad id quod </w:t>
      </w:r>
      <w:proofErr w:type="spellStart"/>
      <w:r w:rsidRPr="009D7635">
        <w:rPr>
          <w:rFonts w:ascii="Times New Roman" w:hAnsi="Times New Roman" w:cs="Times New Roman"/>
          <w:i/>
          <w:color w:val="000000" w:themeColor="text1"/>
          <w:sz w:val="20"/>
          <w:szCs w:val="20"/>
          <w:lang w:val="en-US"/>
        </w:rPr>
        <w:t>vult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liberum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arbitrium</w:t>
      </w:r>
      <w:proofErr w:type="spellEnd"/>
      <w:r w:rsidRPr="009D7635">
        <w:rPr>
          <w:rFonts w:ascii="Times New Roman" w:hAnsi="Times New Roman" w:cs="Times New Roman"/>
          <w:color w:val="000000" w:themeColor="text1"/>
          <w:sz w:val="20"/>
          <w:szCs w:val="20"/>
          <w:lang w:val="en-US"/>
        </w:rPr>
        <w:t>).</w:t>
      </w:r>
    </w:p>
  </w:footnote>
  <w:footnote w:id="1142">
    <w:p w14:paraId="0E748108" w14:textId="0BF9E13B" w:rsidR="00B93ED5" w:rsidRPr="009D7635" w:rsidRDefault="00B93ED5" w:rsidP="00665333">
      <w:pPr>
        <w:autoSpaceDE w:val="0"/>
        <w:autoSpaceDN w:val="0"/>
        <w:adjustRightInd w:val="0"/>
        <w:ind w:right="-72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Summae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Magistri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Rolandi</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Cremonensis</w:t>
      </w:r>
      <w:proofErr w:type="spellEnd"/>
      <w:r w:rsidRPr="009D7635">
        <w:rPr>
          <w:rFonts w:ascii="Times New Roman" w:hAnsi="Times New Roman" w:cs="Times New Roman"/>
          <w:i/>
          <w:color w:val="000000" w:themeColor="text1"/>
          <w:sz w:val="20"/>
          <w:szCs w:val="20"/>
        </w:rPr>
        <w:t xml:space="preserve">, O.P., Liber </w:t>
      </w:r>
      <w:proofErr w:type="spellStart"/>
      <w:r w:rsidRPr="009D7635">
        <w:rPr>
          <w:rFonts w:ascii="Times New Roman" w:hAnsi="Times New Roman" w:cs="Times New Roman"/>
          <w:i/>
          <w:color w:val="000000" w:themeColor="text1"/>
          <w:sz w:val="20"/>
          <w:szCs w:val="20"/>
        </w:rPr>
        <w:t>Secundus</w:t>
      </w:r>
      <w:proofErr w:type="spellEnd"/>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lang w:val="en-US"/>
        </w:rPr>
        <w:t>234</w:t>
      </w:r>
      <w:r w:rsidR="007A0AE0" w:rsidRPr="009D7635">
        <w:rPr>
          <w:rFonts w:ascii="Times New Roman" w:hAnsi="Times New Roman" w:cs="Times New Roman"/>
          <w:color w:val="000000" w:themeColor="text1"/>
          <w:sz w:val="20"/>
          <w:szCs w:val="20"/>
          <w:lang w:val="en-US"/>
        </w:rPr>
        <w:t>.</w:t>
      </w:r>
    </w:p>
  </w:footnote>
  <w:footnote w:id="1143">
    <w:p w14:paraId="2686D332" w14:textId="675D1557" w:rsidR="00B93ED5" w:rsidRPr="009D7635" w:rsidRDefault="00B93ED5" w:rsidP="0066533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Psychologie</w:t>
      </w:r>
      <w:proofErr w:type="spellEnd"/>
      <w:r w:rsidRPr="009D7635">
        <w:rPr>
          <w:rFonts w:ascii="Times New Roman" w:hAnsi="Times New Roman" w:cs="Times New Roman"/>
          <w:i/>
          <w:color w:val="000000" w:themeColor="text1"/>
          <w:sz w:val="20"/>
          <w:szCs w:val="20"/>
        </w:rPr>
        <w:t xml:space="preserve"> et morale</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vol. 1, 128</w:t>
      </w:r>
      <w:r w:rsidR="007A0AE0" w:rsidRPr="009D7635">
        <w:rPr>
          <w:rFonts w:ascii="Times New Roman" w:hAnsi="Times New Roman" w:cs="Times New Roman"/>
          <w:color w:val="000000" w:themeColor="text1"/>
          <w:sz w:val="20"/>
          <w:szCs w:val="20"/>
        </w:rPr>
        <w:t>.</w:t>
      </w:r>
    </w:p>
  </w:footnote>
  <w:footnote w:id="1144">
    <w:p w14:paraId="1D60DCFD" w14:textId="79116024" w:rsidR="00B93ED5" w:rsidRPr="009D7635" w:rsidRDefault="00B93ED5" w:rsidP="0066533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98: </w:t>
      </w:r>
      <w:proofErr w:type="spellStart"/>
      <w:r w:rsidRPr="009D7635">
        <w:rPr>
          <w:rFonts w:ascii="Times New Roman" w:hAnsi="Times New Roman" w:cs="Times New Roman"/>
          <w:i/>
          <w:color w:val="000000" w:themeColor="text1"/>
          <w:sz w:val="20"/>
          <w:szCs w:val="20"/>
          <w:lang w:val="en-US"/>
        </w:rPr>
        <w:t>Sicut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habemus</w:t>
      </w:r>
      <w:proofErr w:type="spellEnd"/>
      <w:r w:rsidRPr="009D7635">
        <w:rPr>
          <w:rFonts w:ascii="Times New Roman" w:hAnsi="Times New Roman" w:cs="Times New Roman"/>
          <w:i/>
          <w:color w:val="000000" w:themeColor="text1"/>
          <w:sz w:val="20"/>
          <w:szCs w:val="20"/>
          <w:lang w:val="en-US"/>
        </w:rPr>
        <w:t xml:space="preserve"> vim </w:t>
      </w:r>
      <w:proofErr w:type="spellStart"/>
      <w:r w:rsidRPr="009D7635">
        <w:rPr>
          <w:rFonts w:ascii="Times New Roman" w:hAnsi="Times New Roman" w:cs="Times New Roman"/>
          <w:i/>
          <w:color w:val="000000" w:themeColor="text1"/>
          <w:sz w:val="20"/>
          <w:szCs w:val="20"/>
          <w:lang w:val="en-US"/>
        </w:rPr>
        <w:t>intellectiuam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ordinatam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verum</w:t>
      </w:r>
      <w:proofErr w:type="spellEnd"/>
      <w:r w:rsidRPr="009D7635">
        <w:rPr>
          <w:rFonts w:ascii="Times New Roman" w:hAnsi="Times New Roman" w:cs="Times New Roman"/>
          <w:i/>
          <w:color w:val="000000" w:themeColor="text1"/>
          <w:sz w:val="20"/>
          <w:szCs w:val="20"/>
          <w:lang w:val="en-US"/>
        </w:rPr>
        <w:t xml:space="preserve">, sic </w:t>
      </w:r>
      <w:proofErr w:type="spellStart"/>
      <w:r w:rsidRPr="009D7635">
        <w:rPr>
          <w:rFonts w:ascii="Times New Roman" w:hAnsi="Times New Roman" w:cs="Times New Roman"/>
          <w:i/>
          <w:color w:val="000000" w:themeColor="text1"/>
          <w:sz w:val="20"/>
          <w:szCs w:val="20"/>
          <w:lang w:val="en-US"/>
        </w:rPr>
        <w:t>habemus</w:t>
      </w:r>
      <w:proofErr w:type="spellEnd"/>
      <w:r w:rsidRPr="009D7635">
        <w:rPr>
          <w:rFonts w:ascii="Times New Roman" w:hAnsi="Times New Roman" w:cs="Times New Roman"/>
          <w:i/>
          <w:color w:val="000000" w:themeColor="text1"/>
          <w:sz w:val="20"/>
          <w:szCs w:val="20"/>
          <w:lang w:val="en-US"/>
        </w:rPr>
        <w:t xml:space="preserve"> vim </w:t>
      </w:r>
      <w:proofErr w:type="spellStart"/>
      <w:r w:rsidRPr="009D7635">
        <w:rPr>
          <w:rFonts w:ascii="Times New Roman" w:hAnsi="Times New Roman" w:cs="Times New Roman"/>
          <w:i/>
          <w:color w:val="000000" w:themeColor="text1"/>
          <w:sz w:val="20"/>
          <w:szCs w:val="20"/>
          <w:lang w:val="en-US"/>
        </w:rPr>
        <w:t>intellectiuam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motiuam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ordinatam</w:t>
      </w:r>
      <w:proofErr w:type="spellEnd"/>
      <w:r w:rsidRPr="009D7635">
        <w:rPr>
          <w:rFonts w:ascii="Times New Roman" w:hAnsi="Times New Roman" w:cs="Times New Roman"/>
          <w:i/>
          <w:color w:val="000000" w:themeColor="text1"/>
          <w:sz w:val="20"/>
          <w:szCs w:val="20"/>
          <w:lang w:val="en-US"/>
        </w:rPr>
        <w:t xml:space="preserve"> ad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Notandum</w:t>
      </w:r>
      <w:proofErr w:type="spellEnd"/>
      <w:r w:rsidRPr="009D7635">
        <w:rPr>
          <w:rFonts w:ascii="Times New Roman" w:hAnsi="Times New Roman" w:cs="Times New Roman"/>
          <w:i/>
          <w:color w:val="000000" w:themeColor="text1"/>
          <w:sz w:val="20"/>
          <w:szCs w:val="20"/>
          <w:lang w:val="en-US"/>
        </w:rPr>
        <w:t xml:space="preserve"> ergo quod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motiua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vis </w:t>
      </w:r>
      <w:proofErr w:type="spellStart"/>
      <w:r w:rsidRPr="009D7635">
        <w:rPr>
          <w:rFonts w:ascii="Times New Roman" w:hAnsi="Times New Roman" w:cs="Times New Roman"/>
          <w:i/>
          <w:color w:val="000000" w:themeColor="text1"/>
          <w:sz w:val="20"/>
          <w:szCs w:val="20"/>
          <w:lang w:val="en-US"/>
        </w:rPr>
        <w:t>motiua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ratio.</w:t>
      </w:r>
    </w:p>
  </w:footnote>
  <w:footnote w:id="1145">
    <w:p w14:paraId="4D7EC1AD" w14:textId="37F2F8F6" w:rsidR="009C6E62" w:rsidRPr="009D7635" w:rsidRDefault="009C6E62" w:rsidP="009C6E62">
      <w:pPr>
        <w:pStyle w:val="FootnoteText"/>
        <w:rPr>
          <w:rFonts w:ascii="Times New Roman" w:hAnsi="Times New Roman" w:cs="Times New Roman"/>
          <w:color w:val="000000" w:themeColor="text1"/>
          <w:lang w:val="fr-FR"/>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
          <w:color w:val="000000" w:themeColor="text1"/>
        </w:rPr>
        <w:t>Augustine: On the Free Choice of the Will, On Grace and Free Choice, and Other Writings</w:t>
      </w:r>
      <w:r w:rsidRPr="009D7635">
        <w:rPr>
          <w:rFonts w:ascii="Times New Roman" w:hAnsi="Times New Roman" w:cs="Times New Roman"/>
          <w:color w:val="000000" w:themeColor="text1"/>
        </w:rPr>
        <w:t>, ed. Peter King</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(Cambridge: Cambridge University Press, 2010)</w:t>
      </w:r>
      <w:r w:rsidR="008B4DFA" w:rsidRPr="009D7635">
        <w:rPr>
          <w:rFonts w:ascii="Times New Roman" w:hAnsi="Times New Roman" w:cs="Times New Roman"/>
          <w:color w:val="000000" w:themeColor="text1"/>
        </w:rPr>
        <w:t>.</w:t>
      </w:r>
    </w:p>
  </w:footnote>
  <w:footnote w:id="1146">
    <w:p w14:paraId="1872FBEF" w14:textId="77777777" w:rsidR="00B93ED5" w:rsidRPr="009D7635" w:rsidRDefault="00B93ED5" w:rsidP="00ED2B15">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I am grateful to Marcia Colish for making this point to me.</w:t>
      </w:r>
    </w:p>
  </w:footnote>
  <w:footnote w:id="1147">
    <w:p w14:paraId="7A3CCA1A" w14:textId="77777777" w:rsidR="00B93ED5" w:rsidRPr="009D7635" w:rsidRDefault="00B93ED5" w:rsidP="00665333">
      <w:pPr>
        <w:pStyle w:val="FootnoteText"/>
        <w:rPr>
          <w:rFonts w:ascii="Times New Roman" w:hAnsi="Times New Roman" w:cs="Times New Roman"/>
          <w:color w:val="000000" w:themeColor="text1"/>
          <w:lang w:val="fr-FR"/>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DFO 36.12.</w:t>
      </w:r>
    </w:p>
  </w:footnote>
  <w:footnote w:id="1148">
    <w:p w14:paraId="391FB74C" w14:textId="608185C8" w:rsidR="00B93ED5" w:rsidRPr="009D7635" w:rsidRDefault="00B93ED5" w:rsidP="00DE2FF5">
      <w:pPr>
        <w:autoSpaceDE w:val="0"/>
        <w:autoSpaceDN w:val="0"/>
        <w:adjustRightInd w:val="0"/>
        <w:rPr>
          <w:rFonts w:ascii="Times New Roman" w:hAnsi="Times New Roman" w:cs="Times New Roman"/>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Tractatus</w:t>
      </w:r>
      <w:proofErr w:type="spellEnd"/>
      <w:r w:rsidRPr="009D7635">
        <w:rPr>
          <w:rFonts w:ascii="Times New Roman" w:hAnsi="Times New Roman" w:cs="Times New Roman"/>
          <w:iCs/>
          <w:color w:val="000000" w:themeColor="text1"/>
          <w:sz w:val="20"/>
          <w:szCs w:val="20"/>
        </w:rPr>
        <w:t>,</w:t>
      </w:r>
      <w:r w:rsidRPr="009D7635">
        <w:rPr>
          <w:rFonts w:ascii="Times New Roman" w:hAnsi="Times New Roman" w:cs="Times New Roman"/>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121</w:t>
      </w:r>
      <w:r w:rsidR="00DE2FF5" w:rsidRPr="009D7635">
        <w:rPr>
          <w:rFonts w:ascii="Times New Roman" w:hAnsi="Times New Roman" w:cs="Times New Roman"/>
          <w:color w:val="000000" w:themeColor="text1"/>
          <w:sz w:val="20"/>
          <w:szCs w:val="20"/>
          <w:lang w:val="en-US"/>
        </w:rPr>
        <w:t>:</w:t>
      </w:r>
      <w:r w:rsidR="00DE2FF5" w:rsidRPr="009D7635">
        <w:rPr>
          <w:rFonts w:ascii="Times New Roman" w:hAnsi="Times New Roman" w:cs="Times New Roman"/>
          <w:i/>
          <w:iCs/>
          <w:color w:val="000000" w:themeColor="text1"/>
          <w:sz w:val="20"/>
          <w:szCs w:val="20"/>
          <w:lang w:val="en-US"/>
        </w:rPr>
        <w:t xml:space="preserve"> </w:t>
      </w:r>
      <w:r w:rsidR="00DE2FF5" w:rsidRPr="009D7635">
        <w:rPr>
          <w:rFonts w:ascii="Times New Roman" w:hAnsi="Times New Roman" w:cs="Times New Roman"/>
          <w:i/>
          <w:iCs/>
          <w:sz w:val="20"/>
          <w:szCs w:val="20"/>
        </w:rPr>
        <w:t xml:space="preserve">Nota quod </w:t>
      </w:r>
      <w:proofErr w:type="spellStart"/>
      <w:r w:rsidR="00DE2FF5" w:rsidRPr="009D7635">
        <w:rPr>
          <w:rFonts w:ascii="Times New Roman" w:hAnsi="Times New Roman" w:cs="Times New Roman"/>
          <w:i/>
          <w:iCs/>
          <w:sz w:val="20"/>
          <w:szCs w:val="20"/>
        </w:rPr>
        <w:t>liberum</w:t>
      </w:r>
      <w:proofErr w:type="spellEnd"/>
      <w:r w:rsidR="00DE2FF5" w:rsidRPr="009D7635">
        <w:rPr>
          <w:rFonts w:ascii="Times New Roman" w:hAnsi="Times New Roman" w:cs="Times New Roman"/>
          <w:i/>
          <w:iCs/>
          <w:sz w:val="20"/>
          <w:szCs w:val="20"/>
        </w:rPr>
        <w:t xml:space="preserve"> </w:t>
      </w:r>
      <w:proofErr w:type="spellStart"/>
      <w:r w:rsidR="00DE2FF5" w:rsidRPr="009D7635">
        <w:rPr>
          <w:rFonts w:ascii="Times New Roman" w:hAnsi="Times New Roman" w:cs="Times New Roman"/>
          <w:i/>
          <w:iCs/>
          <w:sz w:val="20"/>
          <w:szCs w:val="20"/>
        </w:rPr>
        <w:t>arbitrium</w:t>
      </w:r>
      <w:proofErr w:type="spellEnd"/>
      <w:r w:rsidR="00DE2FF5" w:rsidRPr="009D7635">
        <w:rPr>
          <w:rFonts w:ascii="Times New Roman" w:hAnsi="Times New Roman" w:cs="Times New Roman"/>
          <w:i/>
          <w:iCs/>
          <w:sz w:val="20"/>
          <w:szCs w:val="20"/>
        </w:rPr>
        <w:t xml:space="preserve"> non </w:t>
      </w:r>
      <w:proofErr w:type="spellStart"/>
      <w:r w:rsidR="00DE2FF5" w:rsidRPr="009D7635">
        <w:rPr>
          <w:rFonts w:ascii="Times New Roman" w:hAnsi="Times New Roman" w:cs="Times New Roman"/>
          <w:i/>
          <w:iCs/>
          <w:sz w:val="20"/>
          <w:szCs w:val="20"/>
        </w:rPr>
        <w:t>dicitur</w:t>
      </w:r>
      <w:proofErr w:type="spellEnd"/>
      <w:r w:rsidR="00DE2FF5" w:rsidRPr="009D7635">
        <w:rPr>
          <w:rFonts w:ascii="Times New Roman" w:hAnsi="Times New Roman" w:cs="Times New Roman"/>
          <w:i/>
          <w:iCs/>
          <w:sz w:val="20"/>
          <w:szCs w:val="20"/>
        </w:rPr>
        <w:t xml:space="preserve"> </w:t>
      </w:r>
      <w:proofErr w:type="spellStart"/>
      <w:r w:rsidR="00DE2FF5" w:rsidRPr="009D7635">
        <w:rPr>
          <w:rFonts w:ascii="Times New Roman" w:hAnsi="Times New Roman" w:cs="Times New Roman"/>
          <w:i/>
          <w:iCs/>
          <w:sz w:val="20"/>
          <w:szCs w:val="20"/>
        </w:rPr>
        <w:t>liberum</w:t>
      </w:r>
      <w:proofErr w:type="spellEnd"/>
      <w:r w:rsidR="00DE2FF5" w:rsidRPr="009D7635">
        <w:rPr>
          <w:rFonts w:ascii="Times New Roman" w:hAnsi="Times New Roman" w:cs="Times New Roman"/>
          <w:i/>
          <w:iCs/>
          <w:sz w:val="20"/>
          <w:szCs w:val="20"/>
        </w:rPr>
        <w:t xml:space="preserve">, </w:t>
      </w:r>
      <w:proofErr w:type="spellStart"/>
      <w:r w:rsidR="00DE2FF5" w:rsidRPr="009D7635">
        <w:rPr>
          <w:rFonts w:ascii="Times New Roman" w:hAnsi="Times New Roman" w:cs="Times New Roman"/>
          <w:i/>
          <w:iCs/>
          <w:sz w:val="20"/>
          <w:szCs w:val="20"/>
        </w:rPr>
        <w:t>quia</w:t>
      </w:r>
      <w:proofErr w:type="spellEnd"/>
      <w:r w:rsidR="00DE2FF5" w:rsidRPr="009D7635">
        <w:rPr>
          <w:rFonts w:ascii="Times New Roman" w:hAnsi="Times New Roman" w:cs="Times New Roman"/>
          <w:i/>
          <w:iCs/>
          <w:sz w:val="20"/>
          <w:szCs w:val="20"/>
        </w:rPr>
        <w:t xml:space="preserve"> </w:t>
      </w:r>
      <w:proofErr w:type="spellStart"/>
      <w:r w:rsidR="00DE2FF5" w:rsidRPr="009D7635">
        <w:rPr>
          <w:rFonts w:ascii="Times New Roman" w:hAnsi="Times New Roman" w:cs="Times New Roman"/>
          <w:i/>
          <w:iCs/>
          <w:sz w:val="20"/>
          <w:szCs w:val="20"/>
        </w:rPr>
        <w:t>flexibile</w:t>
      </w:r>
      <w:proofErr w:type="spellEnd"/>
      <w:r w:rsidR="00DE2FF5" w:rsidRPr="009D7635">
        <w:rPr>
          <w:rFonts w:ascii="Times New Roman" w:hAnsi="Times New Roman" w:cs="Times New Roman"/>
          <w:i/>
          <w:iCs/>
          <w:sz w:val="20"/>
          <w:szCs w:val="20"/>
        </w:rPr>
        <w:t xml:space="preserve"> sit ad </w:t>
      </w:r>
      <w:proofErr w:type="spellStart"/>
      <w:r w:rsidR="00DE2FF5" w:rsidRPr="009D7635">
        <w:rPr>
          <w:rFonts w:ascii="Times New Roman" w:hAnsi="Times New Roman" w:cs="Times New Roman"/>
          <w:i/>
          <w:iCs/>
          <w:sz w:val="20"/>
          <w:szCs w:val="20"/>
        </w:rPr>
        <w:t>bonum</w:t>
      </w:r>
      <w:proofErr w:type="spellEnd"/>
      <w:r w:rsidR="00DE2FF5" w:rsidRPr="009D7635">
        <w:rPr>
          <w:rFonts w:ascii="Times New Roman" w:hAnsi="Times New Roman" w:cs="Times New Roman"/>
          <w:i/>
          <w:iCs/>
          <w:sz w:val="20"/>
          <w:szCs w:val="20"/>
        </w:rPr>
        <w:t xml:space="preserve"> et ad malum, sed </w:t>
      </w:r>
      <w:proofErr w:type="spellStart"/>
      <w:r w:rsidR="00DE2FF5" w:rsidRPr="009D7635">
        <w:rPr>
          <w:rFonts w:ascii="Times New Roman" w:hAnsi="Times New Roman" w:cs="Times New Roman"/>
          <w:i/>
          <w:iCs/>
          <w:sz w:val="20"/>
          <w:szCs w:val="20"/>
        </w:rPr>
        <w:t>quia</w:t>
      </w:r>
      <w:proofErr w:type="spellEnd"/>
      <w:r w:rsidR="00DE2FF5" w:rsidRPr="009D7635">
        <w:rPr>
          <w:rFonts w:ascii="Times New Roman" w:hAnsi="Times New Roman" w:cs="Times New Roman"/>
          <w:i/>
          <w:iCs/>
          <w:sz w:val="20"/>
          <w:szCs w:val="20"/>
        </w:rPr>
        <w:t xml:space="preserve"> </w:t>
      </w:r>
      <w:proofErr w:type="spellStart"/>
      <w:r w:rsidR="00DE2FF5" w:rsidRPr="009D7635">
        <w:rPr>
          <w:rFonts w:ascii="Times New Roman" w:hAnsi="Times New Roman" w:cs="Times New Roman"/>
          <w:i/>
          <w:iCs/>
          <w:sz w:val="20"/>
          <w:szCs w:val="20"/>
        </w:rPr>
        <w:t>potest</w:t>
      </w:r>
      <w:proofErr w:type="spellEnd"/>
      <w:r w:rsidR="00DE2FF5" w:rsidRPr="009D7635">
        <w:rPr>
          <w:rFonts w:ascii="Times New Roman" w:hAnsi="Times New Roman" w:cs="Times New Roman"/>
          <w:i/>
          <w:iCs/>
          <w:sz w:val="20"/>
          <w:szCs w:val="20"/>
        </w:rPr>
        <w:t xml:space="preserve"> </w:t>
      </w:r>
      <w:proofErr w:type="spellStart"/>
      <w:r w:rsidR="00DE2FF5" w:rsidRPr="009D7635">
        <w:rPr>
          <w:rFonts w:ascii="Times New Roman" w:hAnsi="Times New Roman" w:cs="Times New Roman"/>
          <w:i/>
          <w:iCs/>
          <w:sz w:val="20"/>
          <w:szCs w:val="20"/>
        </w:rPr>
        <w:t>facere</w:t>
      </w:r>
      <w:proofErr w:type="spellEnd"/>
      <w:r w:rsidR="00DE2FF5" w:rsidRPr="009D7635">
        <w:rPr>
          <w:rFonts w:ascii="Times New Roman" w:hAnsi="Times New Roman" w:cs="Times New Roman"/>
          <w:i/>
          <w:iCs/>
          <w:sz w:val="20"/>
          <w:szCs w:val="20"/>
        </w:rPr>
        <w:t xml:space="preserve"> et non </w:t>
      </w:r>
      <w:proofErr w:type="spellStart"/>
      <w:r w:rsidR="00DE2FF5" w:rsidRPr="009D7635">
        <w:rPr>
          <w:rFonts w:ascii="Times New Roman" w:hAnsi="Times New Roman" w:cs="Times New Roman"/>
          <w:i/>
          <w:iCs/>
          <w:sz w:val="20"/>
          <w:szCs w:val="20"/>
        </w:rPr>
        <w:t>facere</w:t>
      </w:r>
      <w:proofErr w:type="spellEnd"/>
      <w:r w:rsidR="00DE2FF5" w:rsidRPr="009D7635">
        <w:rPr>
          <w:rFonts w:ascii="Times New Roman" w:hAnsi="Times New Roman" w:cs="Times New Roman"/>
          <w:i/>
          <w:iCs/>
          <w:sz w:val="20"/>
          <w:szCs w:val="20"/>
        </w:rPr>
        <w:t xml:space="preserve">, quod </w:t>
      </w:r>
      <w:proofErr w:type="spellStart"/>
      <w:r w:rsidR="00DE2FF5" w:rsidRPr="009D7635">
        <w:rPr>
          <w:rFonts w:ascii="Times New Roman" w:hAnsi="Times New Roman" w:cs="Times New Roman"/>
          <w:i/>
          <w:iCs/>
          <w:sz w:val="20"/>
          <w:szCs w:val="20"/>
        </w:rPr>
        <w:t>consulit</w:t>
      </w:r>
      <w:proofErr w:type="spellEnd"/>
      <w:r w:rsidR="00DE2FF5" w:rsidRPr="009D7635">
        <w:rPr>
          <w:rFonts w:ascii="Times New Roman" w:hAnsi="Times New Roman" w:cs="Times New Roman"/>
          <w:i/>
          <w:iCs/>
          <w:sz w:val="20"/>
          <w:szCs w:val="20"/>
        </w:rPr>
        <w:t xml:space="preserve"> et </w:t>
      </w:r>
      <w:proofErr w:type="spellStart"/>
      <w:r w:rsidR="00DE2FF5" w:rsidRPr="009D7635">
        <w:rPr>
          <w:rFonts w:ascii="Times New Roman" w:hAnsi="Times New Roman" w:cs="Times New Roman"/>
          <w:i/>
          <w:iCs/>
          <w:sz w:val="20"/>
          <w:szCs w:val="20"/>
        </w:rPr>
        <w:t>instigat</w:t>
      </w:r>
      <w:proofErr w:type="spellEnd"/>
      <w:r w:rsidR="00DE2FF5" w:rsidRPr="009D7635">
        <w:rPr>
          <w:rFonts w:ascii="Times New Roman" w:hAnsi="Times New Roman" w:cs="Times New Roman"/>
          <w:i/>
          <w:iCs/>
          <w:sz w:val="20"/>
          <w:szCs w:val="20"/>
        </w:rPr>
        <w:t xml:space="preserve"> </w:t>
      </w:r>
      <w:proofErr w:type="spellStart"/>
      <w:r w:rsidR="00DE2FF5" w:rsidRPr="009D7635">
        <w:rPr>
          <w:rFonts w:ascii="Times New Roman" w:hAnsi="Times New Roman" w:cs="Times New Roman"/>
          <w:i/>
          <w:iCs/>
          <w:sz w:val="20"/>
          <w:szCs w:val="20"/>
        </w:rPr>
        <w:t>synderesis</w:t>
      </w:r>
      <w:proofErr w:type="spellEnd"/>
      <w:r w:rsidR="00DE2FF5" w:rsidRPr="009D7635">
        <w:rPr>
          <w:rFonts w:ascii="Times New Roman" w:hAnsi="Times New Roman" w:cs="Times New Roman"/>
          <w:i/>
          <w:iCs/>
          <w:sz w:val="20"/>
          <w:szCs w:val="20"/>
        </w:rPr>
        <w:t xml:space="preserve">, </w:t>
      </w:r>
      <w:proofErr w:type="spellStart"/>
      <w:r w:rsidR="00DE2FF5" w:rsidRPr="009D7635">
        <w:rPr>
          <w:rFonts w:ascii="Times New Roman" w:hAnsi="Times New Roman" w:cs="Times New Roman"/>
          <w:i/>
          <w:iCs/>
          <w:sz w:val="20"/>
          <w:szCs w:val="20"/>
        </w:rPr>
        <w:t>vel</w:t>
      </w:r>
      <w:proofErr w:type="spellEnd"/>
      <w:r w:rsidR="00DE2FF5" w:rsidRPr="009D7635">
        <w:rPr>
          <w:rFonts w:ascii="Times New Roman" w:hAnsi="Times New Roman" w:cs="Times New Roman"/>
          <w:i/>
          <w:iCs/>
          <w:sz w:val="20"/>
          <w:szCs w:val="20"/>
        </w:rPr>
        <w:t xml:space="preserve"> </w:t>
      </w:r>
      <w:proofErr w:type="spellStart"/>
      <w:r w:rsidR="00DE2FF5" w:rsidRPr="009D7635">
        <w:rPr>
          <w:rFonts w:ascii="Times New Roman" w:hAnsi="Times New Roman" w:cs="Times New Roman"/>
          <w:i/>
          <w:iCs/>
          <w:sz w:val="20"/>
          <w:szCs w:val="20"/>
        </w:rPr>
        <w:t>suggerit</w:t>
      </w:r>
      <w:proofErr w:type="spellEnd"/>
      <w:r w:rsidR="00DE2FF5" w:rsidRPr="009D7635">
        <w:rPr>
          <w:rFonts w:ascii="Times New Roman" w:hAnsi="Times New Roman" w:cs="Times New Roman"/>
          <w:i/>
          <w:iCs/>
          <w:sz w:val="20"/>
          <w:szCs w:val="20"/>
        </w:rPr>
        <w:t xml:space="preserve"> </w:t>
      </w:r>
      <w:proofErr w:type="spellStart"/>
      <w:r w:rsidR="00DE2FF5" w:rsidRPr="009D7635">
        <w:rPr>
          <w:rFonts w:ascii="Times New Roman" w:hAnsi="Times New Roman" w:cs="Times New Roman"/>
          <w:i/>
          <w:iCs/>
          <w:sz w:val="20"/>
          <w:szCs w:val="20"/>
        </w:rPr>
        <w:t>sensualitas</w:t>
      </w:r>
      <w:proofErr w:type="spellEnd"/>
      <w:r w:rsidR="00DE2FF5" w:rsidRPr="009D7635">
        <w:rPr>
          <w:rFonts w:ascii="Times New Roman" w:hAnsi="Times New Roman" w:cs="Times New Roman"/>
          <w:i/>
          <w:iCs/>
          <w:sz w:val="20"/>
          <w:szCs w:val="20"/>
        </w:rPr>
        <w:t xml:space="preserve">, et </w:t>
      </w:r>
      <w:proofErr w:type="spellStart"/>
      <w:r w:rsidR="00DE2FF5" w:rsidRPr="009D7635">
        <w:rPr>
          <w:rFonts w:ascii="Times New Roman" w:hAnsi="Times New Roman" w:cs="Times New Roman"/>
          <w:i/>
          <w:iCs/>
          <w:sz w:val="20"/>
          <w:szCs w:val="20"/>
        </w:rPr>
        <w:t>decernit</w:t>
      </w:r>
      <w:proofErr w:type="spellEnd"/>
      <w:r w:rsidR="00DE2FF5" w:rsidRPr="009D7635">
        <w:rPr>
          <w:rFonts w:ascii="Times New Roman" w:hAnsi="Times New Roman" w:cs="Times New Roman"/>
          <w:i/>
          <w:iCs/>
          <w:sz w:val="20"/>
          <w:szCs w:val="20"/>
        </w:rPr>
        <w:t xml:space="preserve"> ratio, et </w:t>
      </w:r>
      <w:proofErr w:type="spellStart"/>
      <w:r w:rsidR="00DE2FF5" w:rsidRPr="009D7635">
        <w:rPr>
          <w:rFonts w:ascii="Times New Roman" w:hAnsi="Times New Roman" w:cs="Times New Roman"/>
          <w:i/>
          <w:iCs/>
          <w:sz w:val="20"/>
          <w:szCs w:val="20"/>
        </w:rPr>
        <w:t>voluntas</w:t>
      </w:r>
      <w:proofErr w:type="spellEnd"/>
      <w:r w:rsidR="00DE2FF5" w:rsidRPr="009D7635">
        <w:rPr>
          <w:rFonts w:ascii="Times New Roman" w:hAnsi="Times New Roman" w:cs="Times New Roman"/>
          <w:i/>
          <w:iCs/>
          <w:sz w:val="20"/>
          <w:szCs w:val="20"/>
        </w:rPr>
        <w:t xml:space="preserve"> </w:t>
      </w:r>
      <w:proofErr w:type="spellStart"/>
      <w:r w:rsidR="00DE2FF5" w:rsidRPr="009D7635">
        <w:rPr>
          <w:rFonts w:ascii="Times New Roman" w:hAnsi="Times New Roman" w:cs="Times New Roman"/>
          <w:i/>
          <w:iCs/>
          <w:sz w:val="20"/>
          <w:szCs w:val="20"/>
        </w:rPr>
        <w:t>appetit</w:t>
      </w:r>
      <w:proofErr w:type="spellEnd"/>
      <w:r w:rsidR="00DE2FF5" w:rsidRPr="009D7635">
        <w:rPr>
          <w:rFonts w:ascii="Times New Roman" w:hAnsi="Times New Roman" w:cs="Times New Roman"/>
          <w:i/>
          <w:iCs/>
          <w:sz w:val="20"/>
          <w:szCs w:val="20"/>
        </w:rPr>
        <w:t xml:space="preserve"> </w:t>
      </w:r>
      <w:proofErr w:type="spellStart"/>
      <w:r w:rsidR="00DE2FF5" w:rsidRPr="009D7635">
        <w:rPr>
          <w:rFonts w:ascii="Times New Roman" w:hAnsi="Times New Roman" w:cs="Times New Roman"/>
          <w:i/>
          <w:iCs/>
          <w:sz w:val="20"/>
          <w:szCs w:val="20"/>
        </w:rPr>
        <w:t>naturalis</w:t>
      </w:r>
      <w:proofErr w:type="spellEnd"/>
      <w:r w:rsidR="00DE2FF5" w:rsidRPr="009D7635">
        <w:rPr>
          <w:rFonts w:ascii="Times New Roman" w:hAnsi="Times New Roman" w:cs="Times New Roman"/>
          <w:i/>
          <w:iCs/>
          <w:sz w:val="20"/>
          <w:szCs w:val="20"/>
        </w:rPr>
        <w:t>.</w:t>
      </w:r>
    </w:p>
  </w:footnote>
  <w:footnote w:id="1149">
    <w:p w14:paraId="10C7C291" w14:textId="1AEA9EF4" w:rsidR="00B93ED5" w:rsidRPr="009D7635" w:rsidRDefault="00B93ED5" w:rsidP="00665333">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Psychologie</w:t>
      </w:r>
      <w:proofErr w:type="spellEnd"/>
      <w:r w:rsidRPr="009D7635">
        <w:rPr>
          <w:rFonts w:ascii="Times New Roman" w:hAnsi="Times New Roman" w:cs="Times New Roman"/>
          <w:i/>
          <w:color w:val="000000" w:themeColor="text1"/>
          <w:sz w:val="20"/>
          <w:szCs w:val="20"/>
        </w:rPr>
        <w:t xml:space="preserve"> et morale</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vol. 1, 134</w:t>
      </w:r>
      <w:r w:rsidR="00205EF6" w:rsidRPr="009D7635">
        <w:rPr>
          <w:rFonts w:ascii="Times New Roman" w:hAnsi="Times New Roman" w:cs="Times New Roman"/>
          <w:color w:val="000000" w:themeColor="text1"/>
          <w:sz w:val="20"/>
          <w:szCs w:val="20"/>
        </w:rPr>
        <w:t>.</w:t>
      </w:r>
    </w:p>
  </w:footnote>
  <w:footnote w:id="1150">
    <w:p w14:paraId="5A7FF3FD" w14:textId="6F6E443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hyperlink r:id="rId5" w:history="1">
        <w:proofErr w:type="spellStart"/>
        <w:r w:rsidRPr="009D7635">
          <w:rPr>
            <w:rFonts w:ascii="Times New Roman" w:hAnsi="Times New Roman" w:cs="Times New Roman"/>
            <w:i/>
            <w:color w:val="000000" w:themeColor="text1"/>
            <w:lang w:val="en-US"/>
          </w:rPr>
          <w:t>Magistri</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Alexandri</w:t>
        </w:r>
        <w:proofErr w:type="spellEnd"/>
        <w:r w:rsidRPr="009D7635">
          <w:rPr>
            <w:rFonts w:ascii="Times New Roman" w:hAnsi="Times New Roman" w:cs="Times New Roman"/>
            <w:i/>
            <w:color w:val="000000" w:themeColor="text1"/>
            <w:lang w:val="en-US"/>
          </w:rPr>
          <w:t xml:space="preserve"> de Hales </w:t>
        </w:r>
        <w:proofErr w:type="spellStart"/>
        <w:r w:rsidRPr="009D7635">
          <w:rPr>
            <w:rFonts w:ascii="Times New Roman" w:hAnsi="Times New Roman" w:cs="Times New Roman"/>
            <w:i/>
            <w:color w:val="000000" w:themeColor="text1"/>
            <w:lang w:val="en-US"/>
          </w:rPr>
          <w:t>Quaestiones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disputatae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Antequam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esset</w:t>
        </w:r>
        <w:proofErr w:type="spellEnd"/>
        <w:r w:rsidRPr="009D7635">
          <w:rPr>
            <w:rFonts w:ascii="Times New Roman" w:hAnsi="Times New Roman" w:cs="Times New Roman"/>
            <w:i/>
            <w:color w:val="000000" w:themeColor="text1"/>
            <w:lang w:val="en-US"/>
          </w:rPr>
          <w:t xml:space="preserve"> frater’</w:t>
        </w:r>
      </w:hyperlink>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Quaracchi</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Collegii</w:t>
      </w:r>
      <w:proofErr w:type="spellEnd"/>
      <w:r w:rsidRPr="009D7635">
        <w:rPr>
          <w:rFonts w:ascii="Times New Roman" w:hAnsi="Times New Roman" w:cs="Times New Roman"/>
          <w:color w:val="000000" w:themeColor="text1"/>
          <w:lang w:val="en-US"/>
        </w:rPr>
        <w:t xml:space="preserve"> S </w:t>
      </w:r>
      <w:proofErr w:type="spellStart"/>
      <w:r w:rsidRPr="009D7635">
        <w:rPr>
          <w:rFonts w:ascii="Times New Roman" w:hAnsi="Times New Roman" w:cs="Times New Roman"/>
          <w:color w:val="000000" w:themeColor="text1"/>
          <w:lang w:val="en-US"/>
        </w:rPr>
        <w:t>Bonaventurae</w:t>
      </w:r>
      <w:proofErr w:type="spellEnd"/>
      <w:r w:rsidRPr="009D7635">
        <w:rPr>
          <w:rFonts w:ascii="Times New Roman" w:hAnsi="Times New Roman" w:cs="Times New Roman"/>
          <w:color w:val="000000" w:themeColor="text1"/>
          <w:lang w:val="en-US"/>
        </w:rPr>
        <w:t xml:space="preserve">, 1960), Tome 1, q. 33,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3, </w:t>
      </w:r>
      <w:proofErr w:type="spellStart"/>
      <w:r w:rsidRPr="009D7635">
        <w:rPr>
          <w:rFonts w:ascii="Times New Roman" w:hAnsi="Times New Roman" w:cs="Times New Roman"/>
          <w:color w:val="000000" w:themeColor="text1"/>
          <w:lang w:val="en-US"/>
        </w:rPr>
        <w:t>dist</w:t>
      </w:r>
      <w:proofErr w:type="spellEnd"/>
      <w:r w:rsidRPr="009D7635">
        <w:rPr>
          <w:rFonts w:ascii="Times New Roman" w:hAnsi="Times New Roman" w:cs="Times New Roman"/>
          <w:color w:val="000000" w:themeColor="text1"/>
          <w:lang w:val="en-US"/>
        </w:rPr>
        <w:t xml:space="preserve">. 3, 592: Alexander says free will is the same as </w:t>
      </w:r>
      <w:proofErr w:type="spellStart"/>
      <w:r w:rsidRPr="009D7635">
        <w:rPr>
          <w:rFonts w:ascii="Times New Roman" w:hAnsi="Times New Roman" w:cs="Times New Roman"/>
          <w:i/>
          <w:iCs/>
          <w:color w:val="000000" w:themeColor="text1"/>
          <w:lang w:val="en-US"/>
        </w:rPr>
        <w:t>prohaeresis</w:t>
      </w:r>
      <w:proofErr w:type="spellEnd"/>
      <w:r w:rsidRPr="009D7635">
        <w:rPr>
          <w:rFonts w:ascii="Times New Roman" w:hAnsi="Times New Roman" w:cs="Times New Roman"/>
          <w:color w:val="000000" w:themeColor="text1"/>
          <w:lang w:val="en-US"/>
        </w:rPr>
        <w:t xml:space="preserve"> and contrasts it with </w:t>
      </w:r>
      <w:proofErr w:type="spellStart"/>
      <w:r w:rsidRPr="009D7635">
        <w:rPr>
          <w:rFonts w:ascii="Times New Roman" w:hAnsi="Times New Roman" w:cs="Times New Roman"/>
          <w:i/>
          <w:iCs/>
          <w:color w:val="000000" w:themeColor="text1"/>
        </w:rPr>
        <w:t>synderesis</w:t>
      </w:r>
      <w:proofErr w:type="spellEnd"/>
      <w:r w:rsidRPr="009D7635">
        <w:rPr>
          <w:rFonts w:ascii="Times New Roman" w:hAnsi="Times New Roman" w:cs="Times New Roman"/>
          <w:color w:val="000000" w:themeColor="text1"/>
        </w:rPr>
        <w:t xml:space="preserve"> which innately moves the will to the good.</w:t>
      </w:r>
    </w:p>
  </w:footnote>
  <w:footnote w:id="1151">
    <w:p w14:paraId="79C01D67" w14:textId="77777777" w:rsidR="00B93ED5" w:rsidRPr="009D7635" w:rsidRDefault="00B93ED5" w:rsidP="00665333">
      <w:pPr>
        <w:pStyle w:val="FootnoteText"/>
        <w:rPr>
          <w:rFonts w:ascii="Times New Roman" w:hAnsi="Times New Roman" w:cs="Times New Roman"/>
          <w:color w:val="000000" w:themeColor="text1"/>
          <w:lang w:val="en-US"/>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lang w:val="en-US"/>
        </w:rPr>
        <w:t>Magistri</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Alexandri</w:t>
      </w:r>
      <w:proofErr w:type="spellEnd"/>
      <w:r w:rsidRPr="009D7635">
        <w:rPr>
          <w:rFonts w:ascii="Times New Roman" w:hAnsi="Times New Roman" w:cs="Times New Roman"/>
          <w:i/>
          <w:color w:val="000000" w:themeColor="text1"/>
          <w:lang w:val="en-US"/>
        </w:rPr>
        <w:t xml:space="preserve"> de Hales Glossa in </w:t>
      </w:r>
      <w:proofErr w:type="spellStart"/>
      <w:r w:rsidRPr="009D7635">
        <w:rPr>
          <w:rFonts w:ascii="Times New Roman" w:hAnsi="Times New Roman" w:cs="Times New Roman"/>
          <w:i/>
          <w:color w:val="000000" w:themeColor="text1"/>
          <w:lang w:val="en-US"/>
        </w:rPr>
        <w:t>quatuor</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libros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Sententiarum</w:t>
      </w:r>
      <w:proofErr w:type="spellEnd"/>
      <w:r w:rsidRPr="009D7635">
        <w:rPr>
          <w:rFonts w:ascii="Times New Roman" w:hAnsi="Times New Roman" w:cs="Times New Roman"/>
          <w:i/>
          <w:color w:val="000000" w:themeColor="text1"/>
          <w:lang w:val="en-US"/>
        </w:rPr>
        <w:t xml:space="preserve"> Petri Lombardi</w:t>
      </w:r>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Quaracchi</w:t>
      </w:r>
      <w:proofErr w:type="spellEnd"/>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Collegii</w:t>
      </w:r>
      <w:proofErr w:type="spellEnd"/>
      <w:r w:rsidRPr="009D7635">
        <w:rPr>
          <w:rFonts w:ascii="Times New Roman" w:hAnsi="Times New Roman" w:cs="Times New Roman"/>
          <w:color w:val="000000" w:themeColor="text1"/>
          <w:lang w:val="en-US"/>
        </w:rPr>
        <w:t xml:space="preserve"> S </w:t>
      </w:r>
      <w:proofErr w:type="spellStart"/>
      <w:r w:rsidRPr="009D7635">
        <w:rPr>
          <w:rFonts w:ascii="Times New Roman" w:hAnsi="Times New Roman" w:cs="Times New Roman"/>
          <w:color w:val="000000" w:themeColor="text1"/>
          <w:lang w:val="en-US"/>
        </w:rPr>
        <w:t>Bonaventurae</w:t>
      </w:r>
      <w:proofErr w:type="spellEnd"/>
      <w:r w:rsidRPr="009D7635">
        <w:rPr>
          <w:rFonts w:ascii="Times New Roman" w:hAnsi="Times New Roman" w:cs="Times New Roman"/>
          <w:color w:val="000000" w:themeColor="text1"/>
          <w:lang w:val="en-US"/>
        </w:rPr>
        <w:t xml:space="preserve">, 1952), vol. 2, </w:t>
      </w:r>
      <w:r w:rsidRPr="009D7635">
        <w:rPr>
          <w:rFonts w:ascii="Times New Roman" w:hAnsi="Times New Roman" w:cs="Times New Roman"/>
          <w:color w:val="000000" w:themeColor="text1"/>
        </w:rPr>
        <w:t>181-421; 1-15, reason of creation; 15-116, angels; 116-145, the seven days of creation; 145-181, the creation of Adam and Eve; 181-421, sin, grace, and free will.</w:t>
      </w:r>
    </w:p>
  </w:footnote>
  <w:footnote w:id="1152">
    <w:p w14:paraId="5A34F938"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Alexander of Hales, </w:t>
      </w:r>
      <w:proofErr w:type="spellStart"/>
      <w:r w:rsidRPr="009D7635">
        <w:rPr>
          <w:rFonts w:ascii="Times New Roman" w:hAnsi="Times New Roman" w:cs="Times New Roman"/>
          <w:i/>
          <w:color w:val="000000" w:themeColor="text1"/>
        </w:rPr>
        <w:t>Questiones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disputatae</w:t>
      </w:r>
      <w:proofErr w:type="spellEnd"/>
      <w:r w:rsidRPr="009D7635">
        <w:rPr>
          <w:rFonts w:ascii="Times New Roman" w:hAnsi="Times New Roman" w:cs="Times New Roman"/>
          <w:color w:val="000000" w:themeColor="text1"/>
          <w:lang w:val="en-US"/>
        </w:rPr>
        <w:t xml:space="preserve"> 33,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1,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1,</w:t>
      </w:r>
      <w:r w:rsidRPr="009D7635">
        <w:rPr>
          <w:rFonts w:ascii="Times New Roman" w:hAnsi="Times New Roman" w:cs="Times New Roman"/>
          <w:color w:val="000000" w:themeColor="text1"/>
        </w:rPr>
        <w:t xml:space="preserve"> 566-608, quoting DFO II.27.</w:t>
      </w:r>
    </w:p>
  </w:footnote>
  <w:footnote w:id="1153">
    <w:p w14:paraId="30C9A8D5" w14:textId="77777777" w:rsidR="00DA487B" w:rsidRPr="009D7635" w:rsidRDefault="00DA487B" w:rsidP="00DA487B">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Alexander of Hales, </w:t>
      </w:r>
      <w:r w:rsidRPr="009D7635">
        <w:rPr>
          <w:rFonts w:ascii="Times New Roman" w:hAnsi="Times New Roman" w:cs="Times New Roman"/>
          <w:i/>
          <w:color w:val="000000" w:themeColor="text1"/>
        </w:rPr>
        <w:t xml:space="preserve">Glossa, </w:t>
      </w:r>
      <w:r w:rsidRPr="009D7635">
        <w:rPr>
          <w:rFonts w:ascii="Times New Roman" w:hAnsi="Times New Roman" w:cs="Times New Roman"/>
          <w:color w:val="000000" w:themeColor="text1"/>
        </w:rPr>
        <w:t>vol. 2, 209b.</w:t>
      </w:r>
    </w:p>
  </w:footnote>
  <w:footnote w:id="1154">
    <w:p w14:paraId="3D49BC79" w14:textId="77777777" w:rsidR="00B93ED5" w:rsidRPr="009D7635" w:rsidRDefault="00B93ED5" w:rsidP="00665333">
      <w:pPr>
        <w:autoSpaceDE w:val="0"/>
        <w:autoSpaceDN w:val="0"/>
        <w:adjustRightInd w:val="0"/>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Alexander of Hales, </w:t>
      </w:r>
      <w:proofErr w:type="spellStart"/>
      <w:r w:rsidRPr="009D7635">
        <w:rPr>
          <w:rFonts w:ascii="Times New Roman" w:hAnsi="Times New Roman" w:cs="Times New Roman"/>
          <w:i/>
          <w:color w:val="000000" w:themeColor="text1"/>
          <w:sz w:val="20"/>
          <w:szCs w:val="20"/>
        </w:rPr>
        <w:t>Questiones</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disputatae</w:t>
      </w:r>
      <w:proofErr w:type="spellEnd"/>
      <w:r w:rsidRPr="009D7635">
        <w:rPr>
          <w:rFonts w:ascii="Times New Roman" w:hAnsi="Times New Roman" w:cs="Times New Roman"/>
          <w:color w:val="000000" w:themeColor="text1"/>
          <w:sz w:val="20"/>
          <w:szCs w:val="20"/>
          <w:lang w:val="en-US"/>
        </w:rPr>
        <w:t xml:space="preserve"> 33, </w:t>
      </w:r>
      <w:proofErr w:type="spellStart"/>
      <w:r w:rsidRPr="009D7635">
        <w:rPr>
          <w:rFonts w:ascii="Times New Roman" w:hAnsi="Times New Roman" w:cs="Times New Roman"/>
          <w:color w:val="000000" w:themeColor="text1"/>
          <w:sz w:val="20"/>
          <w:szCs w:val="20"/>
          <w:lang w:val="en-US"/>
        </w:rPr>
        <w:t>disp</w:t>
      </w:r>
      <w:proofErr w:type="spellEnd"/>
      <w:r w:rsidRPr="009D7635">
        <w:rPr>
          <w:rFonts w:ascii="Times New Roman" w:hAnsi="Times New Roman" w:cs="Times New Roman"/>
          <w:color w:val="000000" w:themeColor="text1"/>
          <w:sz w:val="20"/>
          <w:szCs w:val="20"/>
          <w:lang w:val="en-US"/>
        </w:rPr>
        <w:t xml:space="preserve">. 1, </w:t>
      </w:r>
      <w:proofErr w:type="spellStart"/>
      <w:r w:rsidRPr="009D7635">
        <w:rPr>
          <w:rFonts w:ascii="Times New Roman" w:hAnsi="Times New Roman" w:cs="Times New Roman"/>
          <w:color w:val="000000" w:themeColor="text1"/>
          <w:sz w:val="20"/>
          <w:szCs w:val="20"/>
          <w:lang w:val="en-US"/>
        </w:rPr>
        <w:t>memb</w:t>
      </w:r>
      <w:proofErr w:type="spellEnd"/>
      <w:r w:rsidRPr="009D7635">
        <w:rPr>
          <w:rFonts w:ascii="Times New Roman" w:hAnsi="Times New Roman" w:cs="Times New Roman"/>
          <w:color w:val="000000" w:themeColor="text1"/>
          <w:sz w:val="20"/>
          <w:szCs w:val="20"/>
          <w:lang w:val="en-US"/>
        </w:rPr>
        <w:t>. 1, contra 9, 569.</w:t>
      </w:r>
    </w:p>
  </w:footnote>
  <w:footnote w:id="1155">
    <w:p w14:paraId="50D053B5" w14:textId="329D5C1E"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86FAA" w:rsidRPr="009D7635">
        <w:rPr>
          <w:rFonts w:ascii="Times New Roman" w:hAnsi="Times New Roman" w:cs="Times New Roman"/>
          <w:color w:val="000000" w:themeColor="text1"/>
        </w:rPr>
        <w:t>Ibid.</w:t>
      </w:r>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1,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1, contra 10, 569.</w:t>
      </w:r>
    </w:p>
  </w:footnote>
  <w:footnote w:id="1156">
    <w:p w14:paraId="194E4CAA" w14:textId="16FFABE7" w:rsidR="00B93ED5" w:rsidRPr="009D7635" w:rsidRDefault="00B93ED5" w:rsidP="00665333">
      <w:pPr>
        <w:autoSpaceDE w:val="0"/>
        <w:autoSpaceDN w:val="0"/>
        <w:adjustRightInd w:val="0"/>
        <w:ind w:right="-52"/>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B86FAA" w:rsidRPr="009D7635">
        <w:rPr>
          <w:rFonts w:ascii="Times New Roman" w:hAnsi="Times New Roman" w:cs="Times New Roman"/>
          <w:color w:val="000000" w:themeColor="text1"/>
          <w:sz w:val="20"/>
          <w:szCs w:val="20"/>
        </w:rPr>
        <w:t>Ibid.</w:t>
      </w:r>
      <w:r w:rsidR="00B86FAA" w:rsidRPr="009D7635">
        <w:rPr>
          <w:rFonts w:ascii="Times New Roman" w:hAnsi="Times New Roman" w:cs="Times New Roman"/>
          <w:color w:val="000000" w:themeColor="text1"/>
          <w:sz w:val="20"/>
          <w:szCs w:val="20"/>
          <w:lang w:val="en-US"/>
        </w:rPr>
        <w:t xml:space="preserve">, </w:t>
      </w:r>
      <w:proofErr w:type="spellStart"/>
      <w:r w:rsidRPr="009D7635">
        <w:rPr>
          <w:rFonts w:ascii="Times New Roman" w:hAnsi="Times New Roman" w:cs="Times New Roman"/>
          <w:color w:val="000000" w:themeColor="text1"/>
          <w:sz w:val="20"/>
          <w:szCs w:val="20"/>
          <w:lang w:val="en-US"/>
        </w:rPr>
        <w:t>disp</w:t>
      </w:r>
      <w:proofErr w:type="spellEnd"/>
      <w:r w:rsidRPr="009D7635">
        <w:rPr>
          <w:rFonts w:ascii="Times New Roman" w:hAnsi="Times New Roman" w:cs="Times New Roman"/>
          <w:color w:val="000000" w:themeColor="text1"/>
          <w:sz w:val="20"/>
          <w:szCs w:val="20"/>
          <w:lang w:val="en-US"/>
        </w:rPr>
        <w:t xml:space="preserve">. 1, </w:t>
      </w:r>
      <w:proofErr w:type="spellStart"/>
      <w:r w:rsidRPr="009D7635">
        <w:rPr>
          <w:rFonts w:ascii="Times New Roman" w:hAnsi="Times New Roman" w:cs="Times New Roman"/>
          <w:color w:val="000000" w:themeColor="text1"/>
          <w:sz w:val="20"/>
          <w:szCs w:val="20"/>
          <w:lang w:val="en-US"/>
        </w:rPr>
        <w:t>memb</w:t>
      </w:r>
      <w:proofErr w:type="spellEnd"/>
      <w:r w:rsidRPr="009D7635">
        <w:rPr>
          <w:rFonts w:ascii="Times New Roman" w:hAnsi="Times New Roman" w:cs="Times New Roman"/>
          <w:color w:val="000000" w:themeColor="text1"/>
          <w:sz w:val="20"/>
          <w:szCs w:val="20"/>
          <w:lang w:val="en-US"/>
        </w:rPr>
        <w:t xml:space="preserve">. 1, no. 16, </w:t>
      </w:r>
      <w:r w:rsidRPr="009D7635">
        <w:rPr>
          <w:rFonts w:ascii="Times New Roman" w:hAnsi="Times New Roman" w:cs="Times New Roman"/>
          <w:color w:val="000000" w:themeColor="text1"/>
          <w:sz w:val="20"/>
          <w:szCs w:val="20"/>
        </w:rPr>
        <w:t>572; see also the Glossa, vol. 2, 209b, on the idea that humans are changeable between good and evil because they are not like God.</w:t>
      </w:r>
    </w:p>
  </w:footnote>
  <w:footnote w:id="1157">
    <w:p w14:paraId="6BDFD2D2" w14:textId="685CACB2"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86FAA" w:rsidRPr="009D7635">
        <w:rPr>
          <w:rFonts w:ascii="Times New Roman" w:hAnsi="Times New Roman" w:cs="Times New Roman"/>
          <w:color w:val="000000" w:themeColor="text1"/>
        </w:rPr>
        <w:t>Ibid.</w:t>
      </w:r>
      <w:r w:rsidR="00B86FAA"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1,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1, no. 20, </w:t>
      </w:r>
      <w:r w:rsidRPr="009D7635">
        <w:rPr>
          <w:rFonts w:ascii="Times New Roman" w:hAnsi="Times New Roman" w:cs="Times New Roman"/>
          <w:color w:val="000000" w:themeColor="text1"/>
        </w:rPr>
        <w:t>573.</w:t>
      </w:r>
    </w:p>
  </w:footnote>
  <w:footnote w:id="1158">
    <w:p w14:paraId="04A7C3EB" w14:textId="0804AAAF"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86FAA" w:rsidRPr="009D7635">
        <w:rPr>
          <w:rFonts w:ascii="Times New Roman" w:hAnsi="Times New Roman" w:cs="Times New Roman"/>
          <w:color w:val="000000" w:themeColor="text1"/>
        </w:rPr>
        <w:t>Ibid.</w:t>
      </w:r>
      <w:r w:rsidR="00B86FAA"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2,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1, </w:t>
      </w:r>
      <w:proofErr w:type="spellStart"/>
      <w:r w:rsidRPr="009D7635">
        <w:rPr>
          <w:rFonts w:ascii="Times New Roman" w:hAnsi="Times New Roman" w:cs="Times New Roman"/>
          <w:color w:val="000000" w:themeColor="text1"/>
          <w:lang w:val="en-US"/>
        </w:rPr>
        <w:t>Respondeo</w:t>
      </w:r>
      <w:proofErr w:type="spellEnd"/>
      <w:r w:rsidRPr="009D7635">
        <w:rPr>
          <w:rFonts w:ascii="Times New Roman" w:hAnsi="Times New Roman" w:cs="Times New Roman"/>
          <w:color w:val="000000" w:themeColor="text1"/>
          <w:lang w:val="en-US"/>
        </w:rPr>
        <w:t xml:space="preserve"> 33, </w:t>
      </w:r>
      <w:r w:rsidRPr="009D7635">
        <w:rPr>
          <w:rFonts w:ascii="Times New Roman" w:hAnsi="Times New Roman" w:cs="Times New Roman"/>
          <w:color w:val="000000" w:themeColor="text1"/>
        </w:rPr>
        <w:t xml:space="preserve">576. </w:t>
      </w:r>
    </w:p>
  </w:footnote>
  <w:footnote w:id="1159">
    <w:p w14:paraId="3313CB24" w14:textId="51980263"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86FAA" w:rsidRPr="009D7635">
        <w:rPr>
          <w:rFonts w:ascii="Times New Roman" w:hAnsi="Times New Roman" w:cs="Times New Roman"/>
          <w:color w:val="000000" w:themeColor="text1"/>
        </w:rPr>
        <w:t>Ibid.</w:t>
      </w:r>
      <w:r w:rsidR="00B86FAA"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3, </w:t>
      </w:r>
      <w:proofErr w:type="spellStart"/>
      <w:r w:rsidRPr="009D7635">
        <w:rPr>
          <w:rFonts w:ascii="Times New Roman" w:hAnsi="Times New Roman" w:cs="Times New Roman"/>
          <w:color w:val="000000" w:themeColor="text1"/>
          <w:lang w:val="en-US"/>
        </w:rPr>
        <w:t>Respondeo</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rPr>
        <w:t xml:space="preserve">587, citing Lombard’s </w:t>
      </w:r>
      <w:r w:rsidRPr="009D7635">
        <w:rPr>
          <w:rFonts w:ascii="Times New Roman" w:hAnsi="Times New Roman" w:cs="Times New Roman"/>
          <w:i/>
          <w:color w:val="000000" w:themeColor="text1"/>
        </w:rPr>
        <w:t>Sentences</w:t>
      </w:r>
      <w:r w:rsidRPr="009D7635">
        <w:rPr>
          <w:rFonts w:ascii="Times New Roman" w:hAnsi="Times New Roman" w:cs="Times New Roman"/>
          <w:color w:val="000000" w:themeColor="text1"/>
        </w:rPr>
        <w:t xml:space="preserve">, Bk. 2, </w:t>
      </w:r>
      <w:proofErr w:type="spellStart"/>
      <w:r w:rsidRPr="009D7635">
        <w:rPr>
          <w:rFonts w:ascii="Times New Roman" w:hAnsi="Times New Roman" w:cs="Times New Roman"/>
          <w:color w:val="000000" w:themeColor="text1"/>
        </w:rPr>
        <w:t>dist</w:t>
      </w:r>
      <w:proofErr w:type="spellEnd"/>
      <w:r w:rsidRPr="009D7635">
        <w:rPr>
          <w:rFonts w:ascii="Times New Roman" w:hAnsi="Times New Roman" w:cs="Times New Roman"/>
          <w:color w:val="000000" w:themeColor="text1"/>
        </w:rPr>
        <w:t>. 25.</w:t>
      </w:r>
    </w:p>
  </w:footnote>
  <w:footnote w:id="1160">
    <w:p w14:paraId="1964E378" w14:textId="490588C8" w:rsidR="00B93ED5" w:rsidRPr="009D7635" w:rsidRDefault="00B93ED5" w:rsidP="00665333">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E44144" w:rsidRPr="009D7635">
        <w:rPr>
          <w:rFonts w:ascii="Times New Roman" w:hAnsi="Times New Roman" w:cs="Times New Roman"/>
          <w:color w:val="000000" w:themeColor="text1"/>
        </w:rPr>
        <w:t>Ibid.</w:t>
      </w:r>
      <w:r w:rsidR="00E44144"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3, </w:t>
      </w:r>
      <w:proofErr w:type="spellStart"/>
      <w:r w:rsidRPr="009D7635">
        <w:rPr>
          <w:rFonts w:ascii="Times New Roman" w:hAnsi="Times New Roman" w:cs="Times New Roman"/>
          <w:color w:val="000000" w:themeColor="text1"/>
          <w:lang w:val="en-US"/>
        </w:rPr>
        <w:t>Respondeo</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rPr>
        <w:t xml:space="preserve">587: </w:t>
      </w:r>
      <w:proofErr w:type="spellStart"/>
      <w:r w:rsidRPr="009D7635">
        <w:rPr>
          <w:rFonts w:ascii="Times New Roman" w:hAnsi="Times New Roman" w:cs="Times New Roman"/>
          <w:i/>
          <w:color w:val="000000" w:themeColor="text1"/>
        </w:rPr>
        <w:t>Secundo</w:t>
      </w:r>
      <w:proofErr w:type="spellEnd"/>
      <w:r w:rsidRPr="009D7635">
        <w:rPr>
          <w:rFonts w:ascii="Times New Roman" w:hAnsi="Times New Roman" w:cs="Times New Roman"/>
          <w:i/>
          <w:color w:val="000000" w:themeColor="text1"/>
        </w:rPr>
        <w:t xml:space="preserve"> modo </w:t>
      </w:r>
      <w:proofErr w:type="spellStart"/>
      <w:r w:rsidRPr="009D7635">
        <w:rPr>
          <w:rFonts w:ascii="Times New Roman" w:hAnsi="Times New Roman" w:cs="Times New Roman"/>
          <w:i/>
          <w:color w:val="000000" w:themeColor="text1"/>
        </w:rPr>
        <w:t>libera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voluntas</w:t>
      </w:r>
      <w:proofErr w:type="spellEnd"/>
      <w:r w:rsidRPr="009D7635">
        <w:rPr>
          <w:rFonts w:ascii="Times New Roman" w:hAnsi="Times New Roman" w:cs="Times New Roman"/>
          <w:i/>
          <w:color w:val="000000" w:themeColor="text1"/>
        </w:rPr>
        <w:t xml:space="preserve"> in bono et in </w:t>
      </w:r>
      <w:proofErr w:type="spellStart"/>
      <w:r w:rsidRPr="009D7635">
        <w:rPr>
          <w:rFonts w:ascii="Times New Roman" w:hAnsi="Times New Roman" w:cs="Times New Roman"/>
          <w:i/>
          <w:color w:val="000000" w:themeColor="text1"/>
        </w:rPr>
        <w:t>malo</w:t>
      </w:r>
      <w:proofErr w:type="spellEnd"/>
    </w:p>
  </w:footnote>
  <w:footnote w:id="1161">
    <w:p w14:paraId="4E773FB2" w14:textId="6FF15E00"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E44144" w:rsidRPr="009D7635">
        <w:rPr>
          <w:rFonts w:ascii="Times New Roman" w:hAnsi="Times New Roman" w:cs="Times New Roman"/>
          <w:color w:val="000000" w:themeColor="text1"/>
        </w:rPr>
        <w:t>Ibid.</w:t>
      </w:r>
      <w:r w:rsidR="00E44144"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3, </w:t>
      </w:r>
      <w:proofErr w:type="spellStart"/>
      <w:r w:rsidRPr="009D7635">
        <w:rPr>
          <w:rFonts w:ascii="Times New Roman" w:hAnsi="Times New Roman" w:cs="Times New Roman"/>
          <w:color w:val="000000" w:themeColor="text1"/>
          <w:lang w:val="en-US"/>
        </w:rPr>
        <w:t>Respondeo</w:t>
      </w:r>
      <w:proofErr w:type="spellEnd"/>
      <w:r w:rsidRPr="009D7635">
        <w:rPr>
          <w:rFonts w:ascii="Times New Roman" w:hAnsi="Times New Roman" w:cs="Times New Roman"/>
          <w:color w:val="000000" w:themeColor="text1"/>
          <w:lang w:val="en-US"/>
        </w:rPr>
        <w:t xml:space="preserve"> 60, </w:t>
      </w:r>
      <w:r w:rsidRPr="009D7635">
        <w:rPr>
          <w:rFonts w:ascii="Times New Roman" w:hAnsi="Times New Roman" w:cs="Times New Roman"/>
          <w:color w:val="000000" w:themeColor="text1"/>
        </w:rPr>
        <w:t xml:space="preserve">587: </w:t>
      </w:r>
      <w:r w:rsidR="00766145" w:rsidRPr="009D7635">
        <w:rPr>
          <w:rFonts w:ascii="Times New Roman" w:hAnsi="Times New Roman" w:cs="Times New Roman"/>
          <w:i/>
          <w:color w:val="000000" w:themeColor="text1"/>
        </w:rPr>
        <w:t>Et</w:t>
      </w:r>
      <w:r w:rsidRPr="009D7635">
        <w:rPr>
          <w:rFonts w:ascii="Times New Roman" w:hAnsi="Times New Roman" w:cs="Times New Roman"/>
          <w:i/>
          <w:color w:val="000000" w:themeColor="text1"/>
        </w:rPr>
        <w:t xml:space="preserve"> sic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libertas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quia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potest</w:t>
      </w:r>
      <w:proofErr w:type="spellEnd"/>
      <w:r w:rsidRPr="009D7635">
        <w:rPr>
          <w:rFonts w:ascii="Times New Roman" w:hAnsi="Times New Roman" w:cs="Times New Roman"/>
          <w:i/>
          <w:color w:val="000000" w:themeColor="text1"/>
        </w:rPr>
        <w:t xml:space="preserve"> in hoc </w:t>
      </w:r>
      <w:proofErr w:type="spellStart"/>
      <w:r w:rsidRPr="009D7635">
        <w:rPr>
          <w:rFonts w:ascii="Times New Roman" w:hAnsi="Times New Roman" w:cs="Times New Roman"/>
          <w:i/>
          <w:color w:val="000000" w:themeColor="text1"/>
        </w:rPr>
        <w:t>vel</w:t>
      </w:r>
      <w:proofErr w:type="spellEnd"/>
      <w:r w:rsidRPr="009D7635">
        <w:rPr>
          <w:rFonts w:ascii="Times New Roman" w:hAnsi="Times New Roman" w:cs="Times New Roman"/>
          <w:i/>
          <w:color w:val="000000" w:themeColor="text1"/>
        </w:rPr>
        <w:t xml:space="preserve"> in </w:t>
      </w:r>
      <w:proofErr w:type="spellStart"/>
      <w:r w:rsidRPr="009D7635">
        <w:rPr>
          <w:rFonts w:ascii="Times New Roman" w:hAnsi="Times New Roman" w:cs="Times New Roman"/>
          <w:i/>
          <w:color w:val="000000" w:themeColor="text1"/>
        </w:rPr>
        <w:t>illud</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consentire</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See also 588, Ad 63: </w:t>
      </w:r>
      <w:proofErr w:type="spellStart"/>
      <w:r w:rsidRPr="009D7635">
        <w:rPr>
          <w:rFonts w:ascii="Times New Roman" w:hAnsi="Times New Roman" w:cs="Times New Roman"/>
          <w:i/>
          <w:color w:val="000000" w:themeColor="text1"/>
        </w:rPr>
        <w:t>liberum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potest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facere</w:t>
      </w:r>
      <w:proofErr w:type="spellEnd"/>
      <w:r w:rsidRPr="009D7635">
        <w:rPr>
          <w:rFonts w:ascii="Times New Roman" w:hAnsi="Times New Roman" w:cs="Times New Roman"/>
          <w:i/>
          <w:color w:val="000000" w:themeColor="text1"/>
        </w:rPr>
        <w:t xml:space="preserve"> quodlibet</w:t>
      </w:r>
      <w:r w:rsidRPr="009D7635">
        <w:rPr>
          <w:rFonts w:ascii="Times New Roman" w:hAnsi="Times New Roman" w:cs="Times New Roman"/>
          <w:color w:val="000000" w:themeColor="text1"/>
        </w:rPr>
        <w:t xml:space="preserve">; cf. </w:t>
      </w:r>
      <w:r w:rsidR="00F96426" w:rsidRPr="009D7635">
        <w:rPr>
          <w:rFonts w:ascii="Times New Roman" w:hAnsi="Times New Roman" w:cs="Times New Roman"/>
          <w:color w:val="000000" w:themeColor="text1"/>
        </w:rPr>
        <w:t>Ibid.</w:t>
      </w:r>
      <w:r w:rsidR="00F96426"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1,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2, no. 24, </w:t>
      </w:r>
      <w:r w:rsidRPr="009D7635">
        <w:rPr>
          <w:rFonts w:ascii="Times New Roman" w:hAnsi="Times New Roman" w:cs="Times New Roman"/>
          <w:color w:val="000000" w:themeColor="text1"/>
        </w:rPr>
        <w:t>574.</w:t>
      </w:r>
    </w:p>
  </w:footnote>
  <w:footnote w:id="1162">
    <w:p w14:paraId="75CB39F3" w14:textId="5CD425B3" w:rsidR="00ED70BA" w:rsidRPr="009D7635" w:rsidRDefault="00ED70BA">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On this, see Irene Zavattero</w:t>
      </w:r>
      <w:r w:rsidR="006F2487" w:rsidRPr="009D7635">
        <w:rPr>
          <w:rFonts w:ascii="Times New Roman" w:hAnsi="Times New Roman" w:cs="Times New Roman"/>
        </w:rPr>
        <w:t>, ‘</w:t>
      </w:r>
      <w:proofErr w:type="spellStart"/>
      <w:r w:rsidR="006F2487" w:rsidRPr="009D7635">
        <w:rPr>
          <w:rFonts w:ascii="Times New Roman" w:hAnsi="Times New Roman" w:cs="Times New Roman"/>
        </w:rPr>
        <w:t>Scienza</w:t>
      </w:r>
      <w:proofErr w:type="spellEnd"/>
      <w:r w:rsidR="006F2487" w:rsidRPr="009D7635">
        <w:rPr>
          <w:rFonts w:ascii="Times New Roman" w:hAnsi="Times New Roman" w:cs="Times New Roman"/>
        </w:rPr>
        <w:t xml:space="preserve"> </w:t>
      </w:r>
      <w:proofErr w:type="spellStart"/>
      <w:r w:rsidR="006F2487" w:rsidRPr="009D7635">
        <w:rPr>
          <w:rFonts w:ascii="Times New Roman" w:hAnsi="Times New Roman" w:cs="Times New Roman"/>
        </w:rPr>
        <w:t>teologica</w:t>
      </w:r>
      <w:proofErr w:type="spellEnd"/>
      <w:r w:rsidR="006F2487" w:rsidRPr="009D7635">
        <w:rPr>
          <w:rFonts w:ascii="Times New Roman" w:hAnsi="Times New Roman" w:cs="Times New Roman"/>
        </w:rPr>
        <w:t xml:space="preserve">, </w:t>
      </w:r>
      <w:proofErr w:type="spellStart"/>
      <w:r w:rsidR="006F2487" w:rsidRPr="009D7635">
        <w:rPr>
          <w:rFonts w:ascii="Times New Roman" w:hAnsi="Times New Roman" w:cs="Times New Roman"/>
        </w:rPr>
        <w:t>dottrina</w:t>
      </w:r>
      <w:proofErr w:type="spellEnd"/>
      <w:r w:rsidR="006F2487" w:rsidRPr="009D7635">
        <w:rPr>
          <w:rFonts w:ascii="Times New Roman" w:hAnsi="Times New Roman" w:cs="Times New Roman"/>
        </w:rPr>
        <w:t xml:space="preserve"> </w:t>
      </w:r>
      <w:proofErr w:type="spellStart"/>
      <w:r w:rsidR="006F2487" w:rsidRPr="009D7635">
        <w:rPr>
          <w:rFonts w:ascii="Times New Roman" w:hAnsi="Times New Roman" w:cs="Times New Roman"/>
        </w:rPr>
        <w:t>dell’anama</w:t>
      </w:r>
      <w:proofErr w:type="spellEnd"/>
      <w:r w:rsidR="006F2487" w:rsidRPr="009D7635">
        <w:rPr>
          <w:rFonts w:ascii="Times New Roman" w:hAnsi="Times New Roman" w:cs="Times New Roman"/>
        </w:rPr>
        <w:t xml:space="preserve">, </w:t>
      </w:r>
      <w:proofErr w:type="spellStart"/>
      <w:r w:rsidR="006F2487" w:rsidRPr="009D7635">
        <w:rPr>
          <w:rFonts w:ascii="Times New Roman" w:hAnsi="Times New Roman" w:cs="Times New Roman"/>
        </w:rPr>
        <w:t>libero</w:t>
      </w:r>
      <w:proofErr w:type="spellEnd"/>
      <w:r w:rsidR="006F2487" w:rsidRPr="009D7635">
        <w:rPr>
          <w:rFonts w:ascii="Times New Roman" w:hAnsi="Times New Roman" w:cs="Times New Roman"/>
        </w:rPr>
        <w:t xml:space="preserve"> </w:t>
      </w:r>
      <w:proofErr w:type="spellStart"/>
      <w:r w:rsidR="006F2487" w:rsidRPr="009D7635">
        <w:rPr>
          <w:rFonts w:ascii="Times New Roman" w:hAnsi="Times New Roman" w:cs="Times New Roman"/>
        </w:rPr>
        <w:t>arbitrio</w:t>
      </w:r>
      <w:proofErr w:type="spellEnd"/>
      <w:r w:rsidR="006F2487" w:rsidRPr="009D7635">
        <w:rPr>
          <w:rFonts w:ascii="Times New Roman" w:hAnsi="Times New Roman" w:cs="Times New Roman"/>
        </w:rPr>
        <w:t xml:space="preserve">: Il </w:t>
      </w:r>
      <w:proofErr w:type="spellStart"/>
      <w:r w:rsidR="006F2487" w:rsidRPr="009D7635">
        <w:rPr>
          <w:rFonts w:ascii="Times New Roman" w:hAnsi="Times New Roman" w:cs="Times New Roman"/>
        </w:rPr>
        <w:t>pensiero</w:t>
      </w:r>
      <w:proofErr w:type="spellEnd"/>
      <w:r w:rsidR="006F2487" w:rsidRPr="009D7635">
        <w:rPr>
          <w:rFonts w:ascii="Times New Roman" w:hAnsi="Times New Roman" w:cs="Times New Roman"/>
        </w:rPr>
        <w:t xml:space="preserve"> </w:t>
      </w:r>
      <w:proofErr w:type="spellStart"/>
      <w:r w:rsidR="006F2487" w:rsidRPr="009D7635">
        <w:rPr>
          <w:rFonts w:ascii="Times New Roman" w:hAnsi="Times New Roman" w:cs="Times New Roman"/>
        </w:rPr>
        <w:t>francescano</w:t>
      </w:r>
      <w:proofErr w:type="spellEnd"/>
      <w:r w:rsidR="006F2487" w:rsidRPr="009D7635">
        <w:rPr>
          <w:rFonts w:ascii="Times New Roman" w:hAnsi="Times New Roman" w:cs="Times New Roman"/>
        </w:rPr>
        <w:t xml:space="preserve"> </w:t>
      </w:r>
      <w:proofErr w:type="spellStart"/>
      <w:r w:rsidR="006F2487" w:rsidRPr="009D7635">
        <w:rPr>
          <w:rFonts w:ascii="Times New Roman" w:hAnsi="Times New Roman" w:cs="Times New Roman"/>
        </w:rPr>
        <w:t>all’università</w:t>
      </w:r>
      <w:proofErr w:type="spellEnd"/>
      <w:r w:rsidR="006F2487" w:rsidRPr="009D7635">
        <w:rPr>
          <w:rFonts w:ascii="Times New Roman" w:hAnsi="Times New Roman" w:cs="Times New Roman"/>
        </w:rPr>
        <w:t xml:space="preserve"> </w:t>
      </w:r>
      <w:proofErr w:type="spellStart"/>
      <w:r w:rsidR="006F2487" w:rsidRPr="009D7635">
        <w:rPr>
          <w:rFonts w:ascii="Times New Roman" w:hAnsi="Times New Roman" w:cs="Times New Roman"/>
        </w:rPr>
        <w:t>di</w:t>
      </w:r>
      <w:proofErr w:type="spellEnd"/>
      <w:r w:rsidR="006F2487" w:rsidRPr="009D7635">
        <w:rPr>
          <w:rFonts w:ascii="Times New Roman" w:hAnsi="Times New Roman" w:cs="Times New Roman"/>
        </w:rPr>
        <w:t xml:space="preserve"> </w:t>
      </w:r>
      <w:proofErr w:type="spellStart"/>
      <w:r w:rsidR="006F2487" w:rsidRPr="009D7635">
        <w:rPr>
          <w:rFonts w:ascii="Times New Roman" w:hAnsi="Times New Roman" w:cs="Times New Roman"/>
        </w:rPr>
        <w:t>Parigi</w:t>
      </w:r>
      <w:proofErr w:type="spellEnd"/>
      <w:r w:rsidR="006F2487" w:rsidRPr="009D7635">
        <w:rPr>
          <w:rFonts w:ascii="Times New Roman" w:hAnsi="Times New Roman" w:cs="Times New Roman"/>
        </w:rPr>
        <w:t xml:space="preserve"> </w:t>
      </w:r>
      <w:proofErr w:type="spellStart"/>
      <w:r w:rsidR="006F2487" w:rsidRPr="009D7635">
        <w:rPr>
          <w:rFonts w:ascii="Times New Roman" w:hAnsi="Times New Roman" w:cs="Times New Roman"/>
        </w:rPr>
        <w:t>nella</w:t>
      </w:r>
      <w:proofErr w:type="spellEnd"/>
      <w:r w:rsidR="006F2487" w:rsidRPr="009D7635">
        <w:rPr>
          <w:rFonts w:ascii="Times New Roman" w:hAnsi="Times New Roman" w:cs="Times New Roman"/>
        </w:rPr>
        <w:t xml:space="preserve"> prima </w:t>
      </w:r>
      <w:proofErr w:type="spellStart"/>
      <w:r w:rsidR="006F2487" w:rsidRPr="009D7635">
        <w:rPr>
          <w:rFonts w:ascii="Times New Roman" w:hAnsi="Times New Roman" w:cs="Times New Roman"/>
        </w:rPr>
        <w:t>metà</w:t>
      </w:r>
      <w:proofErr w:type="spellEnd"/>
      <w:r w:rsidR="006F2487" w:rsidRPr="009D7635">
        <w:rPr>
          <w:rFonts w:ascii="Times New Roman" w:hAnsi="Times New Roman" w:cs="Times New Roman"/>
        </w:rPr>
        <w:t xml:space="preserve"> del XIII </w:t>
      </w:r>
      <w:proofErr w:type="spellStart"/>
      <w:r w:rsidR="006F2487" w:rsidRPr="009D7635">
        <w:rPr>
          <w:rFonts w:ascii="Times New Roman" w:hAnsi="Times New Roman" w:cs="Times New Roman"/>
        </w:rPr>
        <w:t>secolo</w:t>
      </w:r>
      <w:proofErr w:type="spellEnd"/>
      <w:r w:rsidR="006F2487" w:rsidRPr="009D7635">
        <w:rPr>
          <w:rFonts w:ascii="Times New Roman" w:hAnsi="Times New Roman" w:cs="Times New Roman"/>
        </w:rPr>
        <w:t>,</w:t>
      </w:r>
      <w:r w:rsidR="00CC443F" w:rsidRPr="009D7635">
        <w:rPr>
          <w:rFonts w:ascii="Times New Roman" w:hAnsi="Times New Roman" w:cs="Times New Roman"/>
        </w:rPr>
        <w:t xml:space="preserve">’ </w:t>
      </w:r>
      <w:r w:rsidR="00B803B5" w:rsidRPr="009D7635">
        <w:rPr>
          <w:rFonts w:ascii="Times New Roman" w:hAnsi="Times New Roman" w:cs="Times New Roman"/>
        </w:rPr>
        <w:t xml:space="preserve">in </w:t>
      </w:r>
      <w:proofErr w:type="spellStart"/>
      <w:r w:rsidR="00B803B5" w:rsidRPr="009D7635">
        <w:rPr>
          <w:rFonts w:ascii="Times New Roman" w:hAnsi="Times New Roman" w:cs="Times New Roman"/>
          <w:i/>
          <w:iCs/>
        </w:rPr>
        <w:t>Trilogia</w:t>
      </w:r>
      <w:proofErr w:type="spellEnd"/>
      <w:r w:rsidR="00B803B5" w:rsidRPr="009D7635">
        <w:rPr>
          <w:rFonts w:ascii="Times New Roman" w:hAnsi="Times New Roman" w:cs="Times New Roman"/>
          <w:i/>
          <w:iCs/>
        </w:rPr>
        <w:t xml:space="preserve"> </w:t>
      </w:r>
      <w:proofErr w:type="spellStart"/>
      <w:r w:rsidR="00B803B5" w:rsidRPr="009D7635">
        <w:rPr>
          <w:rFonts w:ascii="Times New Roman" w:hAnsi="Times New Roman" w:cs="Times New Roman"/>
          <w:i/>
          <w:iCs/>
        </w:rPr>
        <w:t>Bonaventuriana</w:t>
      </w:r>
      <w:proofErr w:type="spellEnd"/>
      <w:r w:rsidR="00B803B5" w:rsidRPr="009D7635">
        <w:rPr>
          <w:rFonts w:ascii="Times New Roman" w:hAnsi="Times New Roman" w:cs="Times New Roman"/>
          <w:i/>
          <w:iCs/>
        </w:rPr>
        <w:t xml:space="preserve">, </w:t>
      </w:r>
      <w:r w:rsidR="00B803B5" w:rsidRPr="009D7635">
        <w:rPr>
          <w:rFonts w:ascii="Times New Roman" w:hAnsi="Times New Roman" w:cs="Times New Roman"/>
        </w:rPr>
        <w:t xml:space="preserve">ed. Carmelo </w:t>
      </w:r>
      <w:proofErr w:type="spellStart"/>
      <w:r w:rsidR="00B803B5" w:rsidRPr="009D7635">
        <w:rPr>
          <w:rFonts w:ascii="Times New Roman" w:hAnsi="Times New Roman" w:cs="Times New Roman"/>
        </w:rPr>
        <w:t>Pandolfi</w:t>
      </w:r>
      <w:proofErr w:type="spellEnd"/>
      <w:r w:rsidR="00B803B5" w:rsidRPr="009D7635">
        <w:rPr>
          <w:rFonts w:ascii="Times New Roman" w:hAnsi="Times New Roman" w:cs="Times New Roman"/>
        </w:rPr>
        <w:t xml:space="preserve"> and Rafael Pascual </w:t>
      </w:r>
      <w:r w:rsidR="001579D2" w:rsidRPr="009D7635">
        <w:rPr>
          <w:rFonts w:ascii="Times New Roman" w:hAnsi="Times New Roman" w:cs="Times New Roman"/>
        </w:rPr>
        <w:t xml:space="preserve">(Rome: </w:t>
      </w:r>
      <w:proofErr w:type="spellStart"/>
      <w:r w:rsidR="001579D2" w:rsidRPr="009D7635">
        <w:rPr>
          <w:rFonts w:ascii="Times New Roman" w:hAnsi="Times New Roman" w:cs="Times New Roman"/>
        </w:rPr>
        <w:t>Ateneo</w:t>
      </w:r>
      <w:proofErr w:type="spellEnd"/>
      <w:r w:rsidR="001579D2" w:rsidRPr="009D7635">
        <w:rPr>
          <w:rFonts w:ascii="Times New Roman" w:hAnsi="Times New Roman" w:cs="Times New Roman"/>
        </w:rPr>
        <w:t xml:space="preserve"> </w:t>
      </w:r>
      <w:proofErr w:type="spellStart"/>
      <w:r w:rsidR="001579D2" w:rsidRPr="009D7635">
        <w:rPr>
          <w:rFonts w:ascii="Times New Roman" w:hAnsi="Times New Roman" w:cs="Times New Roman"/>
        </w:rPr>
        <w:t>Pontificio</w:t>
      </w:r>
      <w:proofErr w:type="spellEnd"/>
      <w:r w:rsidR="001579D2" w:rsidRPr="009D7635">
        <w:rPr>
          <w:rFonts w:ascii="Times New Roman" w:hAnsi="Times New Roman" w:cs="Times New Roman"/>
        </w:rPr>
        <w:t>, 202</w:t>
      </w:r>
      <w:r w:rsidR="000E2D8A" w:rsidRPr="009D7635">
        <w:rPr>
          <w:rFonts w:ascii="Times New Roman" w:hAnsi="Times New Roman" w:cs="Times New Roman"/>
        </w:rPr>
        <w:t>0</w:t>
      </w:r>
      <w:r w:rsidR="001579D2" w:rsidRPr="009D7635">
        <w:rPr>
          <w:rFonts w:ascii="Times New Roman" w:hAnsi="Times New Roman" w:cs="Times New Roman"/>
        </w:rPr>
        <w:t xml:space="preserve">), 335. </w:t>
      </w:r>
      <w:r w:rsidR="006F2487" w:rsidRPr="009D7635">
        <w:rPr>
          <w:rFonts w:ascii="Times New Roman" w:hAnsi="Times New Roman" w:cs="Times New Roman"/>
        </w:rPr>
        <w:t xml:space="preserve"> </w:t>
      </w:r>
    </w:p>
  </w:footnote>
  <w:footnote w:id="1163">
    <w:p w14:paraId="4FD365FB"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Alexander of Hales, </w:t>
      </w:r>
      <w:proofErr w:type="spellStart"/>
      <w:r w:rsidRPr="009D7635">
        <w:rPr>
          <w:rFonts w:ascii="Times New Roman" w:hAnsi="Times New Roman" w:cs="Times New Roman"/>
          <w:i/>
          <w:color w:val="000000" w:themeColor="text1"/>
        </w:rPr>
        <w:t>Questiones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disputatae</w:t>
      </w:r>
      <w:proofErr w:type="spellEnd"/>
      <w:r w:rsidRPr="009D7635">
        <w:rPr>
          <w:rFonts w:ascii="Times New Roman" w:hAnsi="Times New Roman" w:cs="Times New Roman"/>
          <w:color w:val="000000" w:themeColor="text1"/>
          <w:lang w:val="en-US"/>
        </w:rPr>
        <w:t xml:space="preserve"> 33,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2,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rPr>
        <w:t>2, 581.</w:t>
      </w:r>
    </w:p>
  </w:footnote>
  <w:footnote w:id="1164">
    <w:p w14:paraId="7BFC319C" w14:textId="3FBFBC66"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D42E22" w:rsidRPr="009D7635">
        <w:rPr>
          <w:rFonts w:ascii="Times New Roman" w:hAnsi="Times New Roman" w:cs="Times New Roman"/>
          <w:color w:val="000000" w:themeColor="text1"/>
        </w:rPr>
        <w:t>Ibid.</w:t>
      </w:r>
      <w:r w:rsidR="00D42E22"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2,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1, no. </w:t>
      </w:r>
      <w:r w:rsidRPr="009D7635">
        <w:rPr>
          <w:rFonts w:ascii="Times New Roman" w:hAnsi="Times New Roman" w:cs="Times New Roman"/>
          <w:color w:val="000000" w:themeColor="text1"/>
        </w:rPr>
        <w:t>50, 583.</w:t>
      </w:r>
    </w:p>
  </w:footnote>
  <w:footnote w:id="1165">
    <w:p w14:paraId="15082F4D" w14:textId="00E9B772"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D42E22" w:rsidRPr="009D7635">
        <w:rPr>
          <w:rFonts w:ascii="Times New Roman" w:hAnsi="Times New Roman" w:cs="Times New Roman"/>
          <w:color w:val="000000" w:themeColor="text1"/>
        </w:rPr>
        <w:t>Ibid.</w:t>
      </w:r>
      <w:r w:rsidR="00D42E22"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2,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1, no. </w:t>
      </w:r>
      <w:r w:rsidRPr="009D7635">
        <w:rPr>
          <w:rFonts w:ascii="Times New Roman" w:hAnsi="Times New Roman" w:cs="Times New Roman"/>
          <w:color w:val="000000" w:themeColor="text1"/>
        </w:rPr>
        <w:t>51, 584.</w:t>
      </w:r>
    </w:p>
  </w:footnote>
  <w:footnote w:id="1166">
    <w:p w14:paraId="760B59BD" w14:textId="2C2FC04E" w:rsidR="00B93ED5" w:rsidRPr="009D7635" w:rsidRDefault="00B93ED5" w:rsidP="00665333">
      <w:pPr>
        <w:pStyle w:val="FootnoteText"/>
        <w:rPr>
          <w:rFonts w:ascii="Times New Roman" w:hAnsi="Times New Roman" w:cs="Times New Roman"/>
          <w:color w:val="000000" w:themeColor="text1"/>
          <w:lang w:val="en-US"/>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D42E22" w:rsidRPr="009D7635">
        <w:rPr>
          <w:rFonts w:ascii="Times New Roman" w:hAnsi="Times New Roman" w:cs="Times New Roman"/>
          <w:color w:val="000000" w:themeColor="text1"/>
        </w:rPr>
        <w:t>Ibid.</w:t>
      </w:r>
      <w:r w:rsidR="00D42E22"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2,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1, no. 54, 584. </w:t>
      </w:r>
    </w:p>
  </w:footnote>
  <w:footnote w:id="1167">
    <w:p w14:paraId="2C7E8D6A" w14:textId="42AB81F6"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Alexander of Hales, </w:t>
      </w:r>
      <w:r w:rsidRPr="009D7635">
        <w:rPr>
          <w:rFonts w:ascii="Times New Roman" w:hAnsi="Times New Roman" w:cs="Times New Roman"/>
          <w:i/>
          <w:color w:val="000000" w:themeColor="text1"/>
        </w:rPr>
        <w:t>Glossa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vol. 2, 212, 8a, 8c: </w:t>
      </w:r>
      <w:proofErr w:type="spellStart"/>
      <w:r w:rsidR="00D42E22" w:rsidRPr="009D7635">
        <w:rPr>
          <w:rFonts w:ascii="Times New Roman" w:hAnsi="Times New Roman" w:cs="Times New Roman"/>
          <w:i/>
          <w:color w:val="000000" w:themeColor="text1"/>
        </w:rPr>
        <w:t>D</w:t>
      </w:r>
      <w:r w:rsidRPr="009D7635">
        <w:rPr>
          <w:rFonts w:ascii="Times New Roman" w:hAnsi="Times New Roman" w:cs="Times New Roman"/>
          <w:i/>
          <w:color w:val="000000" w:themeColor="text1"/>
        </w:rPr>
        <w:t>icendum</w:t>
      </w:r>
      <w:proofErr w:type="spellEnd"/>
      <w:r w:rsidRPr="009D7635">
        <w:rPr>
          <w:rFonts w:ascii="Times New Roman" w:hAnsi="Times New Roman" w:cs="Times New Roman"/>
          <w:i/>
          <w:color w:val="000000" w:themeColor="text1"/>
        </w:rPr>
        <w:t xml:space="preserve"> quod </w:t>
      </w:r>
      <w:proofErr w:type="spellStart"/>
      <w:r w:rsidRPr="009D7635">
        <w:rPr>
          <w:rFonts w:ascii="Times New Roman" w:hAnsi="Times New Roman" w:cs="Times New Roman"/>
          <w:i/>
          <w:color w:val="000000" w:themeColor="text1"/>
        </w:rPr>
        <w:t>liberum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primo </w:t>
      </w:r>
      <w:proofErr w:type="spellStart"/>
      <w:r w:rsidRPr="009D7635">
        <w:rPr>
          <w:rFonts w:ascii="Times New Roman" w:hAnsi="Times New Roman" w:cs="Times New Roman"/>
          <w:i/>
          <w:color w:val="000000" w:themeColor="text1"/>
        </w:rPr>
        <w:t>ipsius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voluntatis</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secundum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voluntatem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omnium </w:t>
      </w:r>
      <w:proofErr w:type="spellStart"/>
      <w:r w:rsidRPr="009D7635">
        <w:rPr>
          <w:rFonts w:ascii="Times New Roman" w:hAnsi="Times New Roman" w:cs="Times New Roman"/>
          <w:i/>
          <w:color w:val="000000" w:themeColor="text1"/>
        </w:rPr>
        <w:t>actuum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aliorum</w:t>
      </w:r>
      <w:proofErr w:type="spellEnd"/>
      <w:r w:rsidRPr="009D7635">
        <w:rPr>
          <w:rFonts w:ascii="Times New Roman" w:hAnsi="Times New Roman" w:cs="Times New Roman"/>
          <w:color w:val="000000" w:themeColor="text1"/>
        </w:rPr>
        <w:t xml:space="preserve"> (</w:t>
      </w:r>
      <w:r w:rsidR="00D42E22" w:rsidRPr="009D7635">
        <w:rPr>
          <w:rFonts w:ascii="Times New Roman" w:hAnsi="Times New Roman" w:cs="Times New Roman"/>
          <w:color w:val="000000" w:themeColor="text1"/>
        </w:rPr>
        <w:t>It</w:t>
      </w:r>
      <w:r w:rsidRPr="009D7635">
        <w:rPr>
          <w:rFonts w:ascii="Times New Roman" w:hAnsi="Times New Roman" w:cs="Times New Roman"/>
          <w:color w:val="000000" w:themeColor="text1"/>
        </w:rPr>
        <w:t xml:space="preserve"> is said that free will is first of the will and all other acts are according to the will). See also page 226.</w:t>
      </w:r>
    </w:p>
  </w:footnote>
  <w:footnote w:id="1168">
    <w:p w14:paraId="0E03E8C3" w14:textId="5843DBC4"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B86DC4" w:rsidRPr="009D7635">
        <w:rPr>
          <w:rFonts w:ascii="Times New Roman" w:hAnsi="Times New Roman" w:cs="Times New Roman"/>
          <w:color w:val="000000" w:themeColor="text1"/>
        </w:rPr>
        <w:t>Ibid.</w:t>
      </w:r>
      <w:r w:rsidR="00B86DC4"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rPr>
        <w:t>dist</w:t>
      </w:r>
      <w:proofErr w:type="spellEnd"/>
      <w:r w:rsidRPr="009D7635">
        <w:rPr>
          <w:rFonts w:ascii="Times New Roman" w:hAnsi="Times New Roman" w:cs="Times New Roman"/>
          <w:color w:val="000000" w:themeColor="text1"/>
        </w:rPr>
        <w:t>. 39, no. 4, 378.</w:t>
      </w:r>
      <w:r w:rsidR="00A47863" w:rsidRPr="009D7635">
        <w:rPr>
          <w:rFonts w:ascii="Times New Roman" w:hAnsi="Times New Roman" w:cs="Times New Roman"/>
          <w:color w:val="000000" w:themeColor="text1"/>
        </w:rPr>
        <w:t xml:space="preserve"> Augustine also said this in </w:t>
      </w:r>
      <w:r w:rsidR="00A47863" w:rsidRPr="009D7635">
        <w:rPr>
          <w:rFonts w:ascii="Times New Roman" w:hAnsi="Times New Roman" w:cs="Times New Roman"/>
          <w:i/>
          <w:iCs/>
          <w:color w:val="000000" w:themeColor="text1"/>
        </w:rPr>
        <w:t xml:space="preserve">De </w:t>
      </w:r>
      <w:proofErr w:type="spellStart"/>
      <w:r w:rsidR="00A47863" w:rsidRPr="009D7635">
        <w:rPr>
          <w:rFonts w:ascii="Times New Roman" w:hAnsi="Times New Roman" w:cs="Times New Roman"/>
          <w:i/>
          <w:iCs/>
          <w:color w:val="000000" w:themeColor="text1"/>
        </w:rPr>
        <w:t>duabus</w:t>
      </w:r>
      <w:proofErr w:type="spellEnd"/>
      <w:r w:rsidR="00A47863" w:rsidRPr="009D7635">
        <w:rPr>
          <w:rFonts w:ascii="Times New Roman" w:hAnsi="Times New Roman" w:cs="Times New Roman"/>
          <w:i/>
          <w:iCs/>
          <w:color w:val="000000" w:themeColor="text1"/>
        </w:rPr>
        <w:t xml:space="preserve"> </w:t>
      </w:r>
      <w:proofErr w:type="spellStart"/>
      <w:r w:rsidR="00A47863" w:rsidRPr="009D7635">
        <w:rPr>
          <w:rFonts w:ascii="Times New Roman" w:hAnsi="Times New Roman" w:cs="Times New Roman"/>
          <w:i/>
          <w:iCs/>
          <w:color w:val="000000" w:themeColor="text1"/>
        </w:rPr>
        <w:t>animabus</w:t>
      </w:r>
      <w:proofErr w:type="spellEnd"/>
      <w:r w:rsidR="00A47863" w:rsidRPr="009D7635">
        <w:rPr>
          <w:rFonts w:ascii="Times New Roman" w:hAnsi="Times New Roman" w:cs="Times New Roman"/>
          <w:i/>
          <w:iCs/>
          <w:color w:val="000000" w:themeColor="text1"/>
        </w:rPr>
        <w:t xml:space="preserve"> </w:t>
      </w:r>
      <w:r w:rsidR="00A47863" w:rsidRPr="009D7635">
        <w:rPr>
          <w:rFonts w:ascii="Times New Roman" w:hAnsi="Times New Roman" w:cs="Times New Roman"/>
          <w:color w:val="000000" w:themeColor="text1"/>
        </w:rPr>
        <w:t xml:space="preserve">10.12: </w:t>
      </w:r>
      <w:proofErr w:type="spellStart"/>
      <w:r w:rsidR="00A47863" w:rsidRPr="009D7635">
        <w:rPr>
          <w:rFonts w:ascii="Times New Roman" w:hAnsi="Times New Roman" w:cs="Times New Roman"/>
          <w:i/>
          <w:iCs/>
          <w:color w:val="000000" w:themeColor="text1"/>
        </w:rPr>
        <w:t>Nusquam</w:t>
      </w:r>
      <w:proofErr w:type="spellEnd"/>
      <w:r w:rsidR="00A47863" w:rsidRPr="009D7635">
        <w:rPr>
          <w:rFonts w:ascii="Times New Roman" w:hAnsi="Times New Roman" w:cs="Times New Roman"/>
          <w:i/>
          <w:iCs/>
          <w:color w:val="000000" w:themeColor="text1"/>
        </w:rPr>
        <w:t xml:space="preserve"> scilicet </w:t>
      </w:r>
      <w:proofErr w:type="spellStart"/>
      <w:r w:rsidR="00A47863" w:rsidRPr="009D7635">
        <w:rPr>
          <w:rFonts w:ascii="Times New Roman" w:hAnsi="Times New Roman" w:cs="Times New Roman"/>
          <w:i/>
          <w:iCs/>
          <w:color w:val="000000" w:themeColor="text1"/>
        </w:rPr>
        <w:t>nisi</w:t>
      </w:r>
      <w:proofErr w:type="spellEnd"/>
      <w:r w:rsidR="00A47863" w:rsidRPr="009D7635">
        <w:rPr>
          <w:rFonts w:ascii="Times New Roman" w:hAnsi="Times New Roman" w:cs="Times New Roman"/>
          <w:i/>
          <w:iCs/>
          <w:color w:val="000000" w:themeColor="text1"/>
        </w:rPr>
        <w:t xml:space="preserve"> in </w:t>
      </w:r>
      <w:proofErr w:type="spellStart"/>
      <w:r w:rsidR="00A47863" w:rsidRPr="009D7635">
        <w:rPr>
          <w:rFonts w:ascii="Times New Roman" w:hAnsi="Times New Roman" w:cs="Times New Roman"/>
          <w:i/>
          <w:iCs/>
          <w:color w:val="000000" w:themeColor="text1"/>
        </w:rPr>
        <w:t>voluntate</w:t>
      </w:r>
      <w:proofErr w:type="spellEnd"/>
      <w:r w:rsidR="00A47863" w:rsidRPr="009D7635">
        <w:rPr>
          <w:rFonts w:ascii="Times New Roman" w:hAnsi="Times New Roman" w:cs="Times New Roman"/>
          <w:i/>
          <w:iCs/>
          <w:color w:val="000000" w:themeColor="text1"/>
        </w:rPr>
        <w:t xml:space="preserve"> </w:t>
      </w:r>
      <w:proofErr w:type="spellStart"/>
      <w:r w:rsidR="00A47863" w:rsidRPr="009D7635">
        <w:rPr>
          <w:rFonts w:ascii="Times New Roman" w:hAnsi="Times New Roman" w:cs="Times New Roman"/>
          <w:i/>
          <w:iCs/>
          <w:color w:val="000000" w:themeColor="text1"/>
        </w:rPr>
        <w:t>esse</w:t>
      </w:r>
      <w:proofErr w:type="spellEnd"/>
      <w:r w:rsidR="00A47863" w:rsidRPr="009D7635">
        <w:rPr>
          <w:rFonts w:ascii="Times New Roman" w:hAnsi="Times New Roman" w:cs="Times New Roman"/>
          <w:i/>
          <w:iCs/>
          <w:color w:val="000000" w:themeColor="text1"/>
        </w:rPr>
        <w:t xml:space="preserve"> </w:t>
      </w:r>
      <w:proofErr w:type="spellStart"/>
      <w:r w:rsidR="00A47863" w:rsidRPr="009D7635">
        <w:rPr>
          <w:rFonts w:ascii="Times New Roman" w:hAnsi="Times New Roman" w:cs="Times New Roman"/>
          <w:i/>
          <w:iCs/>
          <w:color w:val="000000" w:themeColor="text1"/>
        </w:rPr>
        <w:t>peccatum</w:t>
      </w:r>
      <w:proofErr w:type="spellEnd"/>
      <w:r w:rsidR="00A47863" w:rsidRPr="009D7635">
        <w:rPr>
          <w:rFonts w:ascii="Times New Roman" w:hAnsi="Times New Roman" w:cs="Times New Roman"/>
          <w:i/>
          <w:iCs/>
          <w:color w:val="000000" w:themeColor="text1"/>
        </w:rPr>
        <w:t>.</w:t>
      </w:r>
      <w:r w:rsidR="00A47863" w:rsidRPr="009D7635">
        <w:rPr>
          <w:rFonts w:ascii="Times New Roman" w:hAnsi="Times New Roman" w:cs="Times New Roman"/>
          <w:color w:val="000000" w:themeColor="text1"/>
        </w:rPr>
        <w:t xml:space="preserve"> </w:t>
      </w:r>
    </w:p>
  </w:footnote>
  <w:footnote w:id="1169">
    <w:p w14:paraId="0E08675C" w14:textId="77777777" w:rsidR="00285F39" w:rsidRPr="009D7635" w:rsidRDefault="00285F39" w:rsidP="00285F39">
      <w:pPr>
        <w:rPr>
          <w:rFonts w:ascii="Times New Roman" w:eastAsia="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color w:val="000000" w:themeColor="text1"/>
          <w:sz w:val="20"/>
          <w:szCs w:val="20"/>
        </w:rPr>
        <w:t xml:space="preserve">As Anselm notes, this becomes a matter of slavery precisely because things other than God are finite and fleeting. To pursue them above all is else to put our happiness at the mercy of circumstances that are out of our control. </w:t>
      </w:r>
    </w:p>
  </w:footnote>
  <w:footnote w:id="1170">
    <w:p w14:paraId="7371DE4E" w14:textId="3317CFEA" w:rsidR="00285F39" w:rsidRPr="009D7635" w:rsidRDefault="00285F39" w:rsidP="00285F39">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This is demonstrated by A. San </w:t>
      </w:r>
      <w:proofErr w:type="spellStart"/>
      <w:r w:rsidRPr="009D7635">
        <w:rPr>
          <w:rFonts w:ascii="Times New Roman" w:hAnsi="Times New Roman" w:cs="Times New Roman"/>
          <w:color w:val="000000" w:themeColor="text1"/>
        </w:rPr>
        <w:t>Cristóbal</w:t>
      </w:r>
      <w:proofErr w:type="spellEnd"/>
      <w:r w:rsidRPr="009D7635">
        <w:rPr>
          <w:rFonts w:ascii="Times New Roman" w:hAnsi="Times New Roman" w:cs="Times New Roman"/>
          <w:color w:val="000000" w:themeColor="text1"/>
        </w:rPr>
        <w:t xml:space="preserve"> Sebastián, </w:t>
      </w:r>
      <w:proofErr w:type="spellStart"/>
      <w:r w:rsidRPr="009D7635">
        <w:rPr>
          <w:rFonts w:ascii="Times New Roman" w:hAnsi="Times New Roman" w:cs="Times New Roman"/>
          <w:i/>
          <w:color w:val="000000" w:themeColor="text1"/>
        </w:rPr>
        <w:t>Controversias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acerca</w:t>
      </w:r>
      <w:proofErr w:type="spellEnd"/>
      <w:r w:rsidRPr="009D7635">
        <w:rPr>
          <w:rFonts w:ascii="Times New Roman" w:hAnsi="Times New Roman" w:cs="Times New Roman"/>
          <w:i/>
          <w:color w:val="000000" w:themeColor="text1"/>
        </w:rPr>
        <w:t xml:space="preserve"> de la </w:t>
      </w:r>
      <w:proofErr w:type="spellStart"/>
      <w:r w:rsidRPr="009D7635">
        <w:rPr>
          <w:rFonts w:ascii="Times New Roman" w:hAnsi="Times New Roman" w:cs="Times New Roman"/>
          <w:i/>
          <w:color w:val="000000" w:themeColor="text1"/>
        </w:rPr>
        <w:t>voluntad</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desde</w:t>
      </w:r>
      <w:proofErr w:type="spellEnd"/>
      <w:r w:rsidRPr="009D7635">
        <w:rPr>
          <w:rFonts w:ascii="Times New Roman" w:hAnsi="Times New Roman" w:cs="Times New Roman"/>
          <w:i/>
          <w:color w:val="000000" w:themeColor="text1"/>
        </w:rPr>
        <w:t xml:space="preserve"> 1270-1300 </w:t>
      </w:r>
      <w:r w:rsidRPr="009D7635">
        <w:rPr>
          <w:rFonts w:ascii="Times New Roman" w:hAnsi="Times New Roman" w:cs="Times New Roman"/>
          <w:color w:val="000000" w:themeColor="text1"/>
        </w:rPr>
        <w:t xml:space="preserve">(Madrid: 1958), 111. On </w:t>
      </w:r>
      <w:r w:rsidRPr="009D7635">
        <w:rPr>
          <w:rFonts w:ascii="Times New Roman" w:hAnsi="Times New Roman" w:cs="Times New Roman"/>
          <w:color w:val="000000" w:themeColor="text1"/>
          <w:lang w:val="en-US"/>
        </w:rPr>
        <w:t xml:space="preserve">98, </w:t>
      </w:r>
      <w:r w:rsidRPr="009D7635">
        <w:rPr>
          <w:rFonts w:ascii="Times New Roman" w:hAnsi="Times New Roman" w:cs="Times New Roman"/>
          <w:color w:val="000000" w:themeColor="text1"/>
        </w:rPr>
        <w:t>Sebastián also shows that</w:t>
      </w:r>
      <w:r w:rsidRPr="009D7635">
        <w:rPr>
          <w:rFonts w:ascii="Times New Roman" w:hAnsi="Times New Roman" w:cs="Times New Roman"/>
          <w:color w:val="000000" w:themeColor="text1"/>
          <w:lang w:val="en-US"/>
        </w:rPr>
        <w:t xml:space="preserve"> medieval writers discussed </w:t>
      </w:r>
      <w:proofErr w:type="spellStart"/>
      <w:r w:rsidRPr="009D7635">
        <w:rPr>
          <w:rFonts w:ascii="Times New Roman" w:hAnsi="Times New Roman" w:cs="Times New Roman"/>
          <w:i/>
          <w:color w:val="000000" w:themeColor="text1"/>
          <w:lang w:val="en-US"/>
        </w:rPr>
        <w:t>liberum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arbitrium</w:t>
      </w:r>
      <w:proofErr w:type="spellEnd"/>
      <w:r w:rsidRPr="009D7635">
        <w:rPr>
          <w:rFonts w:ascii="Times New Roman" w:hAnsi="Times New Roman" w:cs="Times New Roman"/>
          <w:color w:val="000000" w:themeColor="text1"/>
          <w:lang w:val="en-US"/>
        </w:rPr>
        <w:t xml:space="preserve"> until 1270; after this time, they frequently spoke in terms </w:t>
      </w:r>
      <w:proofErr w:type="spellStart"/>
      <w:r w:rsidRPr="009D7635">
        <w:rPr>
          <w:rFonts w:ascii="Times New Roman" w:hAnsi="Times New Roman" w:cs="Times New Roman"/>
          <w:i/>
          <w:color w:val="000000" w:themeColor="text1"/>
          <w:lang w:val="en-US"/>
        </w:rPr>
        <w:t>voluntas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libera</w:t>
      </w:r>
      <w:proofErr w:type="spellEnd"/>
      <w:r w:rsidRPr="009D7635">
        <w:rPr>
          <w:rFonts w:ascii="Times New Roman" w:hAnsi="Times New Roman" w:cs="Times New Roman"/>
          <w:i/>
          <w:color w:val="000000" w:themeColor="text1"/>
          <w:lang w:val="en-US"/>
        </w:rPr>
        <w:t>—</w:t>
      </w:r>
      <w:r w:rsidRPr="009D7635">
        <w:rPr>
          <w:rFonts w:ascii="Times New Roman" w:hAnsi="Times New Roman" w:cs="Times New Roman"/>
          <w:color w:val="000000" w:themeColor="text1"/>
          <w:lang w:val="en-US"/>
        </w:rPr>
        <w:t xml:space="preserve">freedom of the will and more occasionally, </w:t>
      </w:r>
      <w:proofErr w:type="spellStart"/>
      <w:r w:rsidRPr="009D7635">
        <w:rPr>
          <w:rFonts w:ascii="Times New Roman" w:hAnsi="Times New Roman" w:cs="Times New Roman"/>
          <w:i/>
          <w:color w:val="000000" w:themeColor="text1"/>
          <w:lang w:val="en-US"/>
        </w:rPr>
        <w:t>liberum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arbitrium</w:t>
      </w:r>
      <w:proofErr w:type="spellEnd"/>
      <w:r w:rsidRPr="009D7635">
        <w:rPr>
          <w:rFonts w:ascii="Times New Roman" w:hAnsi="Times New Roman" w:cs="Times New Roman"/>
          <w:color w:val="000000" w:themeColor="text1"/>
          <w:lang w:val="en-US"/>
        </w:rPr>
        <w:t>.</w:t>
      </w:r>
    </w:p>
  </w:footnote>
  <w:footnote w:id="1171">
    <w:p w14:paraId="582A4F64" w14:textId="77777777" w:rsidR="00D561C2" w:rsidRPr="009D7635" w:rsidRDefault="00D561C2" w:rsidP="00D561C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Alexander of Hales, </w:t>
      </w:r>
      <w:proofErr w:type="spellStart"/>
      <w:r w:rsidRPr="009D7635">
        <w:rPr>
          <w:rFonts w:ascii="Times New Roman" w:hAnsi="Times New Roman" w:cs="Times New Roman"/>
          <w:i/>
          <w:color w:val="000000" w:themeColor="text1"/>
        </w:rPr>
        <w:t>Questiones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disputatae</w:t>
      </w:r>
      <w:proofErr w:type="spellEnd"/>
      <w:r w:rsidRPr="009D7635">
        <w:rPr>
          <w:rFonts w:ascii="Times New Roman" w:hAnsi="Times New Roman" w:cs="Times New Roman"/>
          <w:color w:val="000000" w:themeColor="text1"/>
          <w:lang w:val="en-US"/>
        </w:rPr>
        <w:t xml:space="preserve"> 33, </w:t>
      </w:r>
      <w:proofErr w:type="spellStart"/>
      <w:r w:rsidRPr="009D7635">
        <w:rPr>
          <w:rFonts w:ascii="Times New Roman" w:hAnsi="Times New Roman" w:cs="Times New Roman"/>
          <w:color w:val="000000" w:themeColor="text1"/>
          <w:lang w:val="en-US"/>
        </w:rPr>
        <w:t>dist</w:t>
      </w:r>
      <w:proofErr w:type="spellEnd"/>
      <w:r w:rsidRPr="009D7635">
        <w:rPr>
          <w:rFonts w:ascii="Times New Roman" w:hAnsi="Times New Roman" w:cs="Times New Roman"/>
          <w:color w:val="000000" w:themeColor="text1"/>
          <w:lang w:val="en-US"/>
        </w:rPr>
        <w:t xml:space="preserve">. 3,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4, 593: </w:t>
      </w:r>
      <w:proofErr w:type="spellStart"/>
      <w:r w:rsidRPr="009D7635">
        <w:rPr>
          <w:rFonts w:ascii="Times New Roman" w:hAnsi="Times New Roman" w:cs="Times New Roman"/>
          <w:i/>
          <w:color w:val="000000" w:themeColor="text1"/>
        </w:rPr>
        <w:t>Dico</w:t>
      </w:r>
      <w:proofErr w:type="spellEnd"/>
      <w:r w:rsidRPr="009D7635">
        <w:rPr>
          <w:rFonts w:ascii="Times New Roman" w:hAnsi="Times New Roman" w:cs="Times New Roman"/>
          <w:i/>
          <w:color w:val="000000" w:themeColor="text1"/>
        </w:rPr>
        <w:t xml:space="preserve"> ergo quod </w:t>
      </w:r>
      <w:proofErr w:type="spellStart"/>
      <w:r w:rsidRPr="009D7635">
        <w:rPr>
          <w:rFonts w:ascii="Times New Roman" w:hAnsi="Times New Roman" w:cs="Times New Roman"/>
          <w:i/>
          <w:color w:val="000000" w:themeColor="text1"/>
        </w:rPr>
        <w:t>meritum</w:t>
      </w:r>
      <w:proofErr w:type="spellEnd"/>
      <w:r w:rsidRPr="009D7635">
        <w:rPr>
          <w:rFonts w:ascii="Times New Roman" w:hAnsi="Times New Roman" w:cs="Times New Roman"/>
          <w:i/>
          <w:color w:val="000000" w:themeColor="text1"/>
        </w:rPr>
        <w:t xml:space="preserve"> penes </w:t>
      </w:r>
      <w:proofErr w:type="spellStart"/>
      <w:r w:rsidRPr="009D7635">
        <w:rPr>
          <w:rFonts w:ascii="Times New Roman" w:hAnsi="Times New Roman" w:cs="Times New Roman"/>
          <w:i/>
          <w:color w:val="000000" w:themeColor="text1"/>
        </w:rPr>
        <w:t>voluntatem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attenditur</w:t>
      </w:r>
      <w:proofErr w:type="spellEnd"/>
      <w:r w:rsidRPr="009D7635">
        <w:rPr>
          <w:rFonts w:ascii="Times New Roman" w:hAnsi="Times New Roman" w:cs="Times New Roman"/>
          <w:i/>
          <w:color w:val="000000" w:themeColor="text1"/>
        </w:rPr>
        <w:t xml:space="preserve"> et penes </w:t>
      </w:r>
      <w:proofErr w:type="spellStart"/>
      <w:r w:rsidRPr="009D7635">
        <w:rPr>
          <w:rFonts w:ascii="Times New Roman" w:hAnsi="Times New Roman" w:cs="Times New Roman"/>
          <w:i/>
          <w:color w:val="000000" w:themeColor="text1"/>
        </w:rPr>
        <w:t>liberum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quoniam</w:t>
      </w:r>
      <w:proofErr w:type="spellEnd"/>
      <w:r w:rsidRPr="009D7635">
        <w:rPr>
          <w:rFonts w:ascii="Times New Roman" w:hAnsi="Times New Roman" w:cs="Times New Roman"/>
          <w:i/>
          <w:color w:val="000000" w:themeColor="text1"/>
        </w:rPr>
        <w:t xml:space="preserve"> duo ad hoc </w:t>
      </w:r>
      <w:proofErr w:type="spellStart"/>
      <w:r w:rsidRPr="009D7635">
        <w:rPr>
          <w:rFonts w:ascii="Times New Roman" w:hAnsi="Times New Roman" w:cs="Times New Roman"/>
          <w:i/>
          <w:color w:val="000000" w:themeColor="text1"/>
        </w:rPr>
        <w:t>exiguntur</w:t>
      </w:r>
      <w:proofErr w:type="spellEnd"/>
      <w:r w:rsidRPr="009D7635">
        <w:rPr>
          <w:rFonts w:ascii="Times New Roman" w:hAnsi="Times New Roman" w:cs="Times New Roman"/>
          <w:i/>
          <w:color w:val="000000" w:themeColor="text1"/>
        </w:rPr>
        <w:t xml:space="preserve">, scilicet </w:t>
      </w:r>
      <w:proofErr w:type="spellStart"/>
      <w:r w:rsidRPr="009D7635">
        <w:rPr>
          <w:rFonts w:ascii="Times New Roman" w:hAnsi="Times New Roman" w:cs="Times New Roman"/>
          <w:i/>
          <w:color w:val="000000" w:themeColor="text1"/>
        </w:rPr>
        <w:t>separare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appetendum</w:t>
      </w:r>
      <w:proofErr w:type="spellEnd"/>
      <w:r w:rsidRPr="009D7635">
        <w:rPr>
          <w:rFonts w:ascii="Times New Roman" w:hAnsi="Times New Roman" w:cs="Times New Roman"/>
          <w:i/>
          <w:color w:val="000000" w:themeColor="text1"/>
        </w:rPr>
        <w:t xml:space="preserve"> a non </w:t>
      </w:r>
      <w:proofErr w:type="spellStart"/>
      <w:r w:rsidRPr="009D7635">
        <w:rPr>
          <w:rFonts w:ascii="Times New Roman" w:hAnsi="Times New Roman" w:cs="Times New Roman"/>
          <w:i/>
          <w:color w:val="000000" w:themeColor="text1"/>
        </w:rPr>
        <w:t>appetendo</w:t>
      </w:r>
      <w:proofErr w:type="spellEnd"/>
      <w:r w:rsidRPr="009D7635">
        <w:rPr>
          <w:rFonts w:ascii="Times New Roman" w:hAnsi="Times New Roman" w:cs="Times New Roman"/>
          <w:i/>
          <w:color w:val="000000" w:themeColor="text1"/>
        </w:rPr>
        <w:t xml:space="preserve">, et hoc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liberi</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arbitrii</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adhaerere</w:t>
      </w:r>
      <w:proofErr w:type="spellEnd"/>
      <w:r w:rsidRPr="009D7635">
        <w:rPr>
          <w:rFonts w:ascii="Times New Roman" w:hAnsi="Times New Roman" w:cs="Times New Roman"/>
          <w:i/>
          <w:color w:val="000000" w:themeColor="text1"/>
        </w:rPr>
        <w:t xml:space="preserve"> illi, et hoc </w:t>
      </w:r>
      <w:proofErr w:type="spellStart"/>
      <w:r w:rsidRPr="009D7635">
        <w:rPr>
          <w:rFonts w:ascii="Times New Roman" w:hAnsi="Times New Roman" w:cs="Times New Roman"/>
          <w:i/>
          <w:color w:val="000000" w:themeColor="text1"/>
        </w:rPr>
        <w:t>voluntatis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unde</w:t>
      </w:r>
      <w:proofErr w:type="spellEnd"/>
      <w:r w:rsidRPr="009D7635">
        <w:rPr>
          <w:rFonts w:ascii="Times New Roman" w:hAnsi="Times New Roman" w:cs="Times New Roman"/>
          <w:i/>
          <w:color w:val="000000" w:themeColor="text1"/>
        </w:rPr>
        <w:t xml:space="preserve"> penes </w:t>
      </w:r>
      <w:proofErr w:type="spellStart"/>
      <w:r w:rsidRPr="009D7635">
        <w:rPr>
          <w:rFonts w:ascii="Times New Roman" w:hAnsi="Times New Roman" w:cs="Times New Roman"/>
          <w:i/>
          <w:color w:val="000000" w:themeColor="text1"/>
        </w:rPr>
        <w:t>liberum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initiabitur</w:t>
      </w:r>
      <w:proofErr w:type="spellEnd"/>
      <w:r w:rsidRPr="009D7635">
        <w:rPr>
          <w:rFonts w:ascii="Times New Roman" w:hAnsi="Times New Roman" w:cs="Times New Roman"/>
          <w:i/>
          <w:color w:val="000000" w:themeColor="text1"/>
        </w:rPr>
        <w:t xml:space="preserve">, penes </w:t>
      </w:r>
      <w:proofErr w:type="spellStart"/>
      <w:r w:rsidRPr="009D7635">
        <w:rPr>
          <w:rFonts w:ascii="Times New Roman" w:hAnsi="Times New Roman" w:cs="Times New Roman"/>
          <w:i/>
          <w:color w:val="000000" w:themeColor="text1"/>
        </w:rPr>
        <w:t>voluntatem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consummabitur</w:t>
      </w:r>
      <w:proofErr w:type="spellEnd"/>
      <w:r w:rsidRPr="009D7635">
        <w:rPr>
          <w:rFonts w:ascii="Times New Roman" w:hAnsi="Times New Roman" w:cs="Times New Roman"/>
          <w:i/>
          <w:color w:val="000000" w:themeColor="text1"/>
        </w:rPr>
        <w:t>.</w:t>
      </w:r>
      <w:r w:rsidRPr="009D7635">
        <w:rPr>
          <w:rFonts w:ascii="Times New Roman" w:hAnsi="Times New Roman" w:cs="Times New Roman"/>
          <w:color w:val="000000" w:themeColor="text1"/>
        </w:rPr>
        <w:t xml:space="preserve"> See also Alexander of Hales, </w:t>
      </w:r>
      <w:r w:rsidRPr="009D7635">
        <w:rPr>
          <w:rFonts w:ascii="Times New Roman" w:hAnsi="Times New Roman" w:cs="Times New Roman"/>
          <w:i/>
          <w:color w:val="000000" w:themeColor="text1"/>
        </w:rPr>
        <w:t>Glossa</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vol. 2, </w:t>
      </w:r>
      <w:proofErr w:type="spellStart"/>
      <w:r w:rsidRPr="009D7635">
        <w:rPr>
          <w:rFonts w:ascii="Times New Roman" w:hAnsi="Times New Roman" w:cs="Times New Roman"/>
          <w:color w:val="000000" w:themeColor="text1"/>
        </w:rPr>
        <w:t>dist</w:t>
      </w:r>
      <w:proofErr w:type="spellEnd"/>
      <w:r w:rsidRPr="009D7635">
        <w:rPr>
          <w:rFonts w:ascii="Times New Roman" w:hAnsi="Times New Roman" w:cs="Times New Roman"/>
          <w:color w:val="000000" w:themeColor="text1"/>
        </w:rPr>
        <w:t>. 25, 224.</w:t>
      </w:r>
    </w:p>
  </w:footnote>
  <w:footnote w:id="1172">
    <w:p w14:paraId="4FC3012F" w14:textId="77777777" w:rsidR="00994D9F" w:rsidRPr="009D7635" w:rsidRDefault="00994D9F" w:rsidP="00994D9F">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Alexander of Hales, </w:t>
      </w:r>
      <w:proofErr w:type="spellStart"/>
      <w:r w:rsidRPr="009D7635">
        <w:rPr>
          <w:rFonts w:ascii="Times New Roman" w:hAnsi="Times New Roman" w:cs="Times New Roman"/>
          <w:i/>
          <w:color w:val="000000" w:themeColor="text1"/>
        </w:rPr>
        <w:t>Questiones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disputatae</w:t>
      </w:r>
      <w:proofErr w:type="spellEnd"/>
      <w:r w:rsidRPr="009D7635">
        <w:rPr>
          <w:rFonts w:ascii="Times New Roman" w:hAnsi="Times New Roman" w:cs="Times New Roman"/>
          <w:color w:val="000000" w:themeColor="text1"/>
          <w:lang w:val="en-US"/>
        </w:rPr>
        <w:t xml:space="preserve"> 33, </w:t>
      </w:r>
      <w:proofErr w:type="spellStart"/>
      <w:r w:rsidRPr="009D7635">
        <w:rPr>
          <w:rFonts w:ascii="Times New Roman" w:hAnsi="Times New Roman" w:cs="Times New Roman"/>
          <w:color w:val="000000" w:themeColor="text1"/>
          <w:lang w:val="en-US"/>
        </w:rPr>
        <w:t>dist</w:t>
      </w:r>
      <w:proofErr w:type="spellEnd"/>
      <w:r w:rsidRPr="009D7635">
        <w:rPr>
          <w:rFonts w:ascii="Times New Roman" w:hAnsi="Times New Roman" w:cs="Times New Roman"/>
          <w:color w:val="000000" w:themeColor="text1"/>
          <w:lang w:val="en-US"/>
        </w:rPr>
        <w:t xml:space="preserve">. 3,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4, </w:t>
      </w:r>
      <w:r w:rsidRPr="009D7635">
        <w:rPr>
          <w:rFonts w:ascii="Times New Roman" w:hAnsi="Times New Roman" w:cs="Times New Roman"/>
          <w:color w:val="000000" w:themeColor="text1"/>
        </w:rPr>
        <w:t xml:space="preserve">592-3; see also Alexander of Hales, </w:t>
      </w:r>
      <w:r w:rsidRPr="009D7635">
        <w:rPr>
          <w:rFonts w:ascii="Times New Roman" w:hAnsi="Times New Roman" w:cs="Times New Roman"/>
          <w:i/>
          <w:color w:val="000000" w:themeColor="text1"/>
        </w:rPr>
        <w:t>Glossa</w:t>
      </w:r>
      <w:r w:rsidRPr="009D7635">
        <w:rPr>
          <w:rFonts w:ascii="Times New Roman" w:hAnsi="Times New Roman" w:cs="Times New Roman"/>
          <w:iCs/>
          <w:color w:val="000000" w:themeColor="text1"/>
        </w:rPr>
        <w:t xml:space="preserve">, </w:t>
      </w:r>
      <w:r w:rsidRPr="009D7635">
        <w:rPr>
          <w:rFonts w:ascii="Times New Roman" w:hAnsi="Times New Roman" w:cs="Times New Roman"/>
          <w:color w:val="000000" w:themeColor="text1"/>
        </w:rPr>
        <w:t xml:space="preserve">vol. 2, </w:t>
      </w:r>
      <w:proofErr w:type="spellStart"/>
      <w:r w:rsidRPr="009D7635">
        <w:rPr>
          <w:rFonts w:ascii="Times New Roman" w:hAnsi="Times New Roman" w:cs="Times New Roman"/>
          <w:color w:val="000000" w:themeColor="text1"/>
        </w:rPr>
        <w:t>Respondeo</w:t>
      </w:r>
      <w:proofErr w:type="spellEnd"/>
      <w:r w:rsidRPr="009D7635">
        <w:rPr>
          <w:rFonts w:ascii="Times New Roman" w:hAnsi="Times New Roman" w:cs="Times New Roman"/>
          <w:color w:val="000000" w:themeColor="text1"/>
        </w:rPr>
        <w:t xml:space="preserve"> 7, 211. </w:t>
      </w:r>
    </w:p>
  </w:footnote>
  <w:footnote w:id="1173">
    <w:p w14:paraId="37CE805D" w14:textId="77777777" w:rsidR="007D35EA" w:rsidRPr="009D7635" w:rsidRDefault="007D35EA" w:rsidP="007D35E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Alexander of Hales, </w:t>
      </w:r>
      <w:proofErr w:type="spellStart"/>
      <w:r w:rsidRPr="009D7635">
        <w:rPr>
          <w:rFonts w:ascii="Times New Roman" w:hAnsi="Times New Roman" w:cs="Times New Roman"/>
          <w:i/>
          <w:color w:val="000000" w:themeColor="text1"/>
        </w:rPr>
        <w:t>Questiones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disputatae</w:t>
      </w:r>
      <w:proofErr w:type="spellEnd"/>
      <w:r w:rsidRPr="009D7635">
        <w:rPr>
          <w:rFonts w:ascii="Times New Roman" w:hAnsi="Times New Roman" w:cs="Times New Roman"/>
          <w:color w:val="000000" w:themeColor="text1"/>
          <w:lang w:val="en-US"/>
        </w:rPr>
        <w:t xml:space="preserve"> 33, </w:t>
      </w:r>
      <w:proofErr w:type="spellStart"/>
      <w:r w:rsidRPr="009D7635">
        <w:rPr>
          <w:rFonts w:ascii="Times New Roman" w:hAnsi="Times New Roman" w:cs="Times New Roman"/>
          <w:color w:val="000000" w:themeColor="text1"/>
          <w:lang w:val="en-US"/>
        </w:rPr>
        <w:t>dist</w:t>
      </w:r>
      <w:proofErr w:type="spellEnd"/>
      <w:r w:rsidRPr="009D7635">
        <w:rPr>
          <w:rFonts w:ascii="Times New Roman" w:hAnsi="Times New Roman" w:cs="Times New Roman"/>
          <w:color w:val="000000" w:themeColor="text1"/>
          <w:lang w:val="en-US"/>
        </w:rPr>
        <w:t xml:space="preserve">. 3,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5, no. 77, </w:t>
      </w:r>
      <w:r w:rsidRPr="009D7635">
        <w:rPr>
          <w:rFonts w:ascii="Times New Roman" w:hAnsi="Times New Roman" w:cs="Times New Roman"/>
          <w:color w:val="000000" w:themeColor="text1"/>
        </w:rPr>
        <w:t>594.</w:t>
      </w:r>
    </w:p>
  </w:footnote>
  <w:footnote w:id="1174">
    <w:p w14:paraId="081F377F" w14:textId="26DB935E" w:rsidR="007D35EA" w:rsidRPr="009D7635" w:rsidRDefault="007D35EA" w:rsidP="007D35EA">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5625AE" w:rsidRPr="009D7635">
        <w:rPr>
          <w:rFonts w:ascii="Times New Roman" w:hAnsi="Times New Roman" w:cs="Times New Roman"/>
          <w:color w:val="000000" w:themeColor="text1"/>
        </w:rPr>
        <w:t>Ibid.,</w:t>
      </w:r>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5,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1, </w:t>
      </w:r>
      <w:proofErr w:type="spellStart"/>
      <w:r w:rsidRPr="009D7635">
        <w:rPr>
          <w:rFonts w:ascii="Times New Roman" w:hAnsi="Times New Roman" w:cs="Times New Roman"/>
          <w:color w:val="000000" w:themeColor="text1"/>
        </w:rPr>
        <w:t>Respondeo</w:t>
      </w:r>
      <w:proofErr w:type="spellEnd"/>
      <w:r w:rsidRPr="009D7635">
        <w:rPr>
          <w:rFonts w:ascii="Times New Roman" w:hAnsi="Times New Roman" w:cs="Times New Roman"/>
          <w:color w:val="000000" w:themeColor="text1"/>
        </w:rPr>
        <w:t xml:space="preserve"> 104, 601. </w:t>
      </w:r>
    </w:p>
  </w:footnote>
  <w:footnote w:id="1175">
    <w:p w14:paraId="52799363" w14:textId="5491C8CC"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T3, M1, 466-7. </w:t>
      </w:r>
      <w:r w:rsidR="002F4054" w:rsidRPr="009D7635">
        <w:rPr>
          <w:rFonts w:ascii="Times New Roman" w:hAnsi="Times New Roman" w:cs="Times New Roman"/>
          <w:color w:val="000000" w:themeColor="text1"/>
        </w:rPr>
        <w:t>See translation of this section by</w:t>
      </w:r>
      <w:r w:rsidRPr="009D7635">
        <w:rPr>
          <w:rFonts w:ascii="Times New Roman" w:hAnsi="Times New Roman" w:cs="Times New Roman"/>
          <w:color w:val="000000" w:themeColor="text1"/>
        </w:rPr>
        <w:t xml:space="preserve"> Oleg Bychkov in </w:t>
      </w:r>
      <w:r w:rsidR="006742B3" w:rsidRPr="009D7635">
        <w:rPr>
          <w:rFonts w:ascii="Times New Roman" w:hAnsi="Times New Roman" w:cs="Times New Roman"/>
          <w:i/>
          <w:color w:val="000000" w:themeColor="text1"/>
        </w:rPr>
        <w:t>A Reader in Early Franciscan Theology: T</w:t>
      </w:r>
      <w:r w:rsidRPr="009D7635">
        <w:rPr>
          <w:rFonts w:ascii="Times New Roman" w:hAnsi="Times New Roman" w:cs="Times New Roman"/>
          <w:i/>
          <w:color w:val="000000" w:themeColor="text1"/>
        </w:rPr>
        <w:t xml:space="preserve">he Summa </w:t>
      </w:r>
      <w:proofErr w:type="spellStart"/>
      <w:r w:rsidRPr="009D7635">
        <w:rPr>
          <w:rFonts w:ascii="Times New Roman" w:hAnsi="Times New Roman" w:cs="Times New Roman"/>
          <w:i/>
          <w:color w:val="000000" w:themeColor="text1"/>
        </w:rPr>
        <w:t>Halensis</w:t>
      </w:r>
      <w:proofErr w:type="spellEnd"/>
      <w:r w:rsidRPr="009D7635">
        <w:rPr>
          <w:rFonts w:ascii="Times New Roman" w:hAnsi="Times New Roman" w:cs="Times New Roman"/>
          <w:i/>
          <w:color w:val="000000" w:themeColor="text1"/>
        </w:rPr>
        <w:t>: A Reader</w:t>
      </w:r>
      <w:r w:rsidRPr="009D7635">
        <w:rPr>
          <w:rFonts w:ascii="Times New Roman" w:hAnsi="Times New Roman" w:cs="Times New Roman"/>
          <w:color w:val="000000" w:themeColor="text1"/>
        </w:rPr>
        <w:t xml:space="preserve">, trans. Lydia Schumacher and Oleg Bychkov (New York: Fordham University Press, </w:t>
      </w:r>
      <w:r w:rsidR="002F4054" w:rsidRPr="009D7635">
        <w:rPr>
          <w:rFonts w:ascii="Times New Roman" w:hAnsi="Times New Roman" w:cs="Times New Roman"/>
          <w:color w:val="000000" w:themeColor="text1"/>
        </w:rPr>
        <w:t>2021</w:t>
      </w:r>
      <w:r w:rsidRPr="009D7635">
        <w:rPr>
          <w:rFonts w:ascii="Times New Roman" w:hAnsi="Times New Roman" w:cs="Times New Roman"/>
          <w:color w:val="000000" w:themeColor="text1"/>
        </w:rPr>
        <w:t>)</w:t>
      </w:r>
      <w:r w:rsidR="000A4518" w:rsidRPr="009D7635">
        <w:rPr>
          <w:rFonts w:ascii="Times New Roman" w:hAnsi="Times New Roman" w:cs="Times New Roman"/>
          <w:color w:val="000000" w:themeColor="text1"/>
        </w:rPr>
        <w:t xml:space="preserve">, 228-47. </w:t>
      </w:r>
    </w:p>
  </w:footnote>
  <w:footnote w:id="1176">
    <w:p w14:paraId="1CAF8534" w14:textId="77777777" w:rsidR="00051594" w:rsidRPr="009D7635" w:rsidRDefault="00051594" w:rsidP="00051594">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Q3, Ti3, M3, C2, Ad 1, 480, citing DFO II.26: </w:t>
      </w:r>
      <w:proofErr w:type="spellStart"/>
      <w:r w:rsidRPr="009D7635">
        <w:rPr>
          <w:rFonts w:ascii="Times New Roman" w:hAnsi="Times New Roman" w:cs="Times New Roman"/>
          <w:i/>
          <w:color w:val="000000" w:themeColor="text1"/>
          <w:sz w:val="20"/>
          <w:szCs w:val="20"/>
          <w:lang w:val="en-US"/>
        </w:rPr>
        <w:t>Liberi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moveri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non </w:t>
      </w:r>
      <w:proofErr w:type="spellStart"/>
      <w:r w:rsidRPr="009D7635">
        <w:rPr>
          <w:rFonts w:ascii="Times New Roman" w:hAnsi="Times New Roman" w:cs="Times New Roman"/>
          <w:i/>
          <w:color w:val="000000" w:themeColor="text1"/>
          <w:sz w:val="20"/>
          <w:szCs w:val="20"/>
          <w:lang w:val="en-US"/>
        </w:rPr>
        <w:t>moveri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impetum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facere</w:t>
      </w:r>
      <w:proofErr w:type="spellEnd"/>
      <w:r w:rsidRPr="009D7635">
        <w:rPr>
          <w:rFonts w:ascii="Times New Roman" w:hAnsi="Times New Roman" w:cs="Times New Roman"/>
          <w:i/>
          <w:color w:val="000000" w:themeColor="text1"/>
          <w:sz w:val="20"/>
          <w:szCs w:val="20"/>
          <w:lang w:val="en-US"/>
        </w:rPr>
        <w:t xml:space="preserve"> et non </w:t>
      </w:r>
      <w:proofErr w:type="spellStart"/>
      <w:r w:rsidRPr="009D7635">
        <w:rPr>
          <w:rFonts w:ascii="Times New Roman" w:hAnsi="Times New Roman" w:cs="Times New Roman"/>
          <w:i/>
          <w:color w:val="000000" w:themeColor="text1"/>
          <w:sz w:val="20"/>
          <w:szCs w:val="20"/>
          <w:lang w:val="en-US"/>
        </w:rPr>
        <w:t>facere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appetere</w:t>
      </w:r>
      <w:proofErr w:type="spellEnd"/>
      <w:r w:rsidRPr="009D7635">
        <w:rPr>
          <w:rFonts w:ascii="Times New Roman" w:hAnsi="Times New Roman" w:cs="Times New Roman"/>
          <w:i/>
          <w:color w:val="000000" w:themeColor="text1"/>
          <w:sz w:val="20"/>
          <w:szCs w:val="20"/>
          <w:lang w:val="en-US"/>
        </w:rPr>
        <w:t xml:space="preserve"> et non </w:t>
      </w:r>
      <w:proofErr w:type="spellStart"/>
      <w:r w:rsidRPr="009D7635">
        <w:rPr>
          <w:rFonts w:ascii="Times New Roman" w:hAnsi="Times New Roman" w:cs="Times New Roman"/>
          <w:i/>
          <w:color w:val="000000" w:themeColor="text1"/>
          <w:sz w:val="20"/>
          <w:szCs w:val="20"/>
          <w:lang w:val="en-US"/>
        </w:rPr>
        <w:t>appetere</w:t>
      </w:r>
      <w:proofErr w:type="spellEnd"/>
      <w:r w:rsidRPr="009D7635">
        <w:rPr>
          <w:rFonts w:ascii="Times New Roman" w:hAnsi="Times New Roman" w:cs="Times New Roman"/>
          <w:i/>
          <w:color w:val="000000" w:themeColor="text1"/>
          <w:sz w:val="20"/>
          <w:szCs w:val="20"/>
          <w:lang w:val="en-US"/>
        </w:rPr>
        <w:t>.</w:t>
      </w:r>
    </w:p>
  </w:footnote>
  <w:footnote w:id="1177">
    <w:p w14:paraId="63AF386D" w14:textId="77777777" w:rsidR="00051594" w:rsidRPr="009D7635" w:rsidRDefault="00051594" w:rsidP="00051594">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Ti3, M5, C2, Ad a, 487: </w:t>
      </w:r>
      <w:proofErr w:type="spellStart"/>
      <w:r w:rsidRPr="009D7635">
        <w:rPr>
          <w:rFonts w:ascii="Times New Roman" w:hAnsi="Times New Roman" w:cs="Times New Roman"/>
          <w:i/>
          <w:color w:val="000000" w:themeColor="text1"/>
        </w:rPr>
        <w:t>Liberum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enim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potestas</w:t>
      </w:r>
      <w:proofErr w:type="spellEnd"/>
      <w:r w:rsidRPr="009D7635">
        <w:rPr>
          <w:rFonts w:ascii="Times New Roman" w:hAnsi="Times New Roman" w:cs="Times New Roman"/>
          <w:i/>
          <w:color w:val="000000" w:themeColor="text1"/>
        </w:rPr>
        <w:t xml:space="preserve"> ad </w:t>
      </w:r>
      <w:proofErr w:type="spellStart"/>
      <w:r w:rsidRPr="009D7635">
        <w:rPr>
          <w:rFonts w:ascii="Times New Roman" w:hAnsi="Times New Roman" w:cs="Times New Roman"/>
          <w:i/>
          <w:color w:val="000000" w:themeColor="text1"/>
        </w:rPr>
        <w:t>opposita</w:t>
      </w:r>
      <w:proofErr w:type="spellEnd"/>
      <w:r w:rsidRPr="009D7635">
        <w:rPr>
          <w:rFonts w:ascii="Times New Roman" w:hAnsi="Times New Roman" w:cs="Times New Roman"/>
          <w:i/>
          <w:color w:val="000000" w:themeColor="text1"/>
        </w:rPr>
        <w:t>.</w:t>
      </w:r>
    </w:p>
  </w:footnote>
  <w:footnote w:id="1178">
    <w:p w14:paraId="51963476" w14:textId="77777777" w:rsidR="00051594" w:rsidRPr="009D7635" w:rsidRDefault="00051594" w:rsidP="00051594">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Ti3, M3, C5, Ad 2, 483: </w:t>
      </w:r>
      <w:proofErr w:type="spellStart"/>
      <w:r w:rsidRPr="009D7635">
        <w:rPr>
          <w:rFonts w:ascii="Times New Roman" w:hAnsi="Times New Roman" w:cs="Times New Roman"/>
          <w:i/>
          <w:color w:val="000000" w:themeColor="text1"/>
        </w:rPr>
        <w:t>Liberum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quo homo </w:t>
      </w:r>
      <w:proofErr w:type="spellStart"/>
      <w:r w:rsidRPr="009D7635">
        <w:rPr>
          <w:rFonts w:ascii="Times New Roman" w:hAnsi="Times New Roman" w:cs="Times New Roman"/>
          <w:i/>
          <w:color w:val="000000" w:themeColor="text1"/>
        </w:rPr>
        <w:t>potest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peccare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recte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agere</w:t>
      </w:r>
      <w:proofErr w:type="spellEnd"/>
      <w:r w:rsidRPr="009D7635">
        <w:rPr>
          <w:rFonts w:ascii="Times New Roman" w:hAnsi="Times New Roman" w:cs="Times New Roman"/>
          <w:i/>
          <w:color w:val="000000" w:themeColor="text1"/>
        </w:rPr>
        <w:t xml:space="preserve">. </w:t>
      </w:r>
    </w:p>
  </w:footnote>
  <w:footnote w:id="1179">
    <w:p w14:paraId="6E6B87BF" w14:textId="77777777" w:rsidR="004600F4" w:rsidRPr="009D7635" w:rsidRDefault="004600F4" w:rsidP="004600F4">
      <w:pPr>
        <w:ind w:right="-52"/>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Q3, T3, </w:t>
      </w:r>
      <w:r w:rsidRPr="009D7635">
        <w:rPr>
          <w:rFonts w:ascii="Times New Roman" w:hAnsi="Times New Roman" w:cs="Times New Roman"/>
          <w:color w:val="000000" w:themeColor="text1"/>
          <w:sz w:val="20"/>
          <w:szCs w:val="20"/>
          <w:lang w:val="en-US"/>
        </w:rPr>
        <w:t xml:space="preserve">C3, Ar1, a, 475. </w:t>
      </w:r>
    </w:p>
  </w:footnote>
  <w:footnote w:id="1180">
    <w:p w14:paraId="2B9CAA3D" w14:textId="77777777" w:rsidR="00B93ED5" w:rsidRPr="009D7635" w:rsidRDefault="00B93ED5" w:rsidP="00665333">
      <w:pPr>
        <w:pStyle w:val="FootnoteText"/>
        <w:rPr>
          <w:rFonts w:ascii="Times New Roman" w:hAnsi="Times New Roman" w:cs="Times New Roman"/>
          <w:iCs/>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T3, </w:t>
      </w:r>
      <w:r w:rsidRPr="009D7635">
        <w:rPr>
          <w:rFonts w:ascii="Times New Roman" w:hAnsi="Times New Roman" w:cs="Times New Roman"/>
          <w:color w:val="000000" w:themeColor="text1"/>
          <w:lang w:val="en-US"/>
        </w:rPr>
        <w:t xml:space="preserve">C3, Ar1, a, 475: </w:t>
      </w:r>
      <w:proofErr w:type="spellStart"/>
      <w:r w:rsidRPr="009D7635">
        <w:rPr>
          <w:rFonts w:ascii="Times New Roman" w:hAnsi="Times New Roman" w:cs="Times New Roman"/>
          <w:i/>
          <w:color w:val="000000" w:themeColor="text1"/>
          <w:lang w:val="en-US"/>
        </w:rPr>
        <w:t>Creatura</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rationalis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vertibilis</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est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secundum</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electionem</w:t>
      </w:r>
      <w:proofErr w:type="spellEnd"/>
      <w:r w:rsidRPr="009D7635">
        <w:rPr>
          <w:rFonts w:ascii="Times New Roman" w:hAnsi="Times New Roman" w:cs="Times New Roman"/>
          <w:iCs/>
          <w:color w:val="000000" w:themeColor="text1"/>
          <w:lang w:val="en-US"/>
        </w:rPr>
        <w:t>,</w:t>
      </w:r>
      <w:r w:rsidRPr="009D7635">
        <w:rPr>
          <w:rFonts w:ascii="Times New Roman" w:hAnsi="Times New Roman" w:cs="Times New Roman"/>
          <w:i/>
          <w:color w:val="000000" w:themeColor="text1"/>
          <w:lang w:val="en-US"/>
        </w:rPr>
        <w:t xml:space="preserve"> </w:t>
      </w:r>
      <w:r w:rsidRPr="009D7635">
        <w:rPr>
          <w:rFonts w:ascii="Times New Roman" w:hAnsi="Times New Roman" w:cs="Times New Roman"/>
          <w:iCs/>
          <w:color w:val="000000" w:themeColor="text1"/>
          <w:lang w:val="en-US"/>
        </w:rPr>
        <w:t xml:space="preserve">quoting </w:t>
      </w:r>
      <w:r w:rsidRPr="009D7635">
        <w:rPr>
          <w:rFonts w:ascii="Times New Roman" w:hAnsi="Times New Roman" w:cs="Times New Roman"/>
          <w:color w:val="000000" w:themeColor="text1"/>
          <w:lang w:val="en-US"/>
        </w:rPr>
        <w:t>DFO II.27.</w:t>
      </w:r>
    </w:p>
  </w:footnote>
  <w:footnote w:id="1181">
    <w:p w14:paraId="343BA57A" w14:textId="77777777" w:rsidR="00B93ED5" w:rsidRPr="009D7635" w:rsidRDefault="00B93ED5" w:rsidP="0066533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Q3, T3, </w:t>
      </w:r>
      <w:r w:rsidRPr="009D7635">
        <w:rPr>
          <w:rFonts w:ascii="Times New Roman" w:hAnsi="Times New Roman" w:cs="Times New Roman"/>
          <w:color w:val="000000" w:themeColor="text1"/>
          <w:sz w:val="20"/>
          <w:szCs w:val="20"/>
          <w:lang w:val="en-US"/>
        </w:rPr>
        <w:t xml:space="preserve">C3, Ar1, a, 475: </w:t>
      </w:r>
      <w:proofErr w:type="spellStart"/>
      <w:r w:rsidRPr="009D7635">
        <w:rPr>
          <w:rFonts w:ascii="Times New Roman" w:hAnsi="Times New Roman" w:cs="Times New Roman"/>
          <w:i/>
          <w:color w:val="000000" w:themeColor="text1"/>
          <w:sz w:val="20"/>
          <w:szCs w:val="20"/>
          <w:lang w:val="en-US"/>
        </w:rPr>
        <w:t>Creatura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rationalis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vertibilis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electionem</w:t>
      </w:r>
      <w:proofErr w:type="spellEnd"/>
      <w:r w:rsidRPr="009D7635">
        <w:rPr>
          <w:rFonts w:ascii="Times New Roman" w:hAnsi="Times New Roman" w:cs="Times New Roman"/>
          <w:i/>
          <w:color w:val="000000" w:themeColor="text1"/>
          <w:sz w:val="20"/>
          <w:szCs w:val="20"/>
          <w:lang w:val="en-US"/>
        </w:rPr>
        <w:t xml:space="preserve">, ex hoc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liberum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eligere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recusare</w:t>
      </w:r>
      <w:proofErr w:type="spellEnd"/>
      <w:r w:rsidRPr="009D7635">
        <w:rPr>
          <w:rFonts w:ascii="Times New Roman" w:hAnsi="Times New Roman" w:cs="Times New Roman"/>
          <w:i/>
          <w:color w:val="000000" w:themeColor="text1"/>
          <w:sz w:val="20"/>
          <w:szCs w:val="20"/>
          <w:lang w:val="en-US"/>
        </w:rPr>
        <w:t xml:space="preserve">. Cum ergo </w:t>
      </w:r>
      <w:proofErr w:type="spellStart"/>
      <w:r w:rsidRPr="009D7635">
        <w:rPr>
          <w:rFonts w:ascii="Times New Roman" w:hAnsi="Times New Roman" w:cs="Times New Roman"/>
          <w:i/>
          <w:color w:val="000000" w:themeColor="text1"/>
          <w:sz w:val="20"/>
          <w:szCs w:val="20"/>
          <w:lang w:val="en-US"/>
        </w:rPr>
        <w:t>eligere</w:t>
      </w:r>
      <w:proofErr w:type="spellEnd"/>
      <w:r w:rsidRPr="009D7635">
        <w:rPr>
          <w:rFonts w:ascii="Times New Roman" w:hAnsi="Times New Roman" w:cs="Times New Roman"/>
          <w:i/>
          <w:color w:val="000000" w:themeColor="text1"/>
          <w:sz w:val="20"/>
          <w:szCs w:val="20"/>
          <w:lang w:val="en-US"/>
        </w:rPr>
        <w:t xml:space="preserve"> sit </w:t>
      </w:r>
      <w:proofErr w:type="spellStart"/>
      <w:r w:rsidRPr="009D7635">
        <w:rPr>
          <w:rFonts w:ascii="Times New Roman" w:hAnsi="Times New Roman" w:cs="Times New Roman"/>
          <w:i/>
          <w:color w:val="000000" w:themeColor="text1"/>
          <w:sz w:val="20"/>
          <w:szCs w:val="20"/>
          <w:lang w:val="en-US"/>
        </w:rPr>
        <w:t>indifferenter</w:t>
      </w:r>
      <w:proofErr w:type="spellEnd"/>
      <w:r w:rsidRPr="009D7635">
        <w:rPr>
          <w:rFonts w:ascii="Times New Roman" w:hAnsi="Times New Roman" w:cs="Times New Roman"/>
          <w:i/>
          <w:color w:val="000000" w:themeColor="text1"/>
          <w:sz w:val="20"/>
          <w:szCs w:val="20"/>
          <w:lang w:val="en-US"/>
        </w:rPr>
        <w:t xml:space="preserve"> inter </w:t>
      </w:r>
      <w:proofErr w:type="spellStart"/>
      <w:r w:rsidRPr="009D7635">
        <w:rPr>
          <w:rFonts w:ascii="Times New Roman" w:hAnsi="Times New Roman" w:cs="Times New Roman"/>
          <w:i/>
          <w:color w:val="000000" w:themeColor="text1"/>
          <w:sz w:val="20"/>
          <w:szCs w:val="20"/>
          <w:lang w:val="en-US"/>
        </w:rPr>
        <w:t>utrumque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recusare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similiter</w:t>
      </w:r>
      <w:proofErr w:type="spellEnd"/>
      <w:r w:rsidRPr="009D7635">
        <w:rPr>
          <w:rFonts w:ascii="Times New Roman" w:hAnsi="Times New Roman" w:cs="Times New Roman"/>
          <w:i/>
          <w:color w:val="000000" w:themeColor="text1"/>
          <w:sz w:val="20"/>
          <w:szCs w:val="20"/>
          <w:lang w:val="en-US"/>
        </w:rPr>
        <w:t xml:space="preserve">, ergo </w:t>
      </w:r>
      <w:proofErr w:type="spellStart"/>
      <w:r w:rsidRPr="009D7635">
        <w:rPr>
          <w:rFonts w:ascii="Times New Roman" w:hAnsi="Times New Roman" w:cs="Times New Roman"/>
          <w:i/>
          <w:color w:val="000000" w:themeColor="text1"/>
          <w:sz w:val="20"/>
          <w:szCs w:val="20"/>
          <w:lang w:val="en-US"/>
        </w:rPr>
        <w:t>liberum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indifferenter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boni</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mali</w:t>
      </w:r>
      <w:proofErr w:type="spellEnd"/>
      <w:r w:rsidRPr="009D7635">
        <w:rPr>
          <w:rFonts w:ascii="Times New Roman" w:hAnsi="Times New Roman" w:cs="Times New Roman"/>
          <w:i/>
          <w:color w:val="000000" w:themeColor="text1"/>
          <w:sz w:val="20"/>
          <w:szCs w:val="20"/>
          <w:lang w:val="en-US"/>
        </w:rPr>
        <w:t>.</w:t>
      </w:r>
    </w:p>
  </w:footnote>
  <w:footnote w:id="1182">
    <w:p w14:paraId="6F47FF73"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T3, </w:t>
      </w:r>
      <w:r w:rsidRPr="009D7635">
        <w:rPr>
          <w:rFonts w:ascii="Times New Roman" w:hAnsi="Times New Roman" w:cs="Times New Roman"/>
          <w:color w:val="000000" w:themeColor="text1"/>
          <w:lang w:val="en-US"/>
        </w:rPr>
        <w:t xml:space="preserve">C3, Ar1, </w:t>
      </w:r>
      <w:r w:rsidRPr="009D7635">
        <w:rPr>
          <w:rFonts w:ascii="Times New Roman" w:hAnsi="Times New Roman" w:cs="Times New Roman"/>
          <w:color w:val="000000" w:themeColor="text1"/>
        </w:rPr>
        <w:t xml:space="preserve">Contra 1, 475, citing Anselm’s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libero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arbitrio</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1, Contra 2, citing Bernard’s </w:t>
      </w:r>
      <w:r w:rsidRPr="009D7635">
        <w:rPr>
          <w:rFonts w:ascii="Times New Roman" w:hAnsi="Times New Roman" w:cs="Times New Roman"/>
          <w:i/>
          <w:color w:val="000000" w:themeColor="text1"/>
          <w:lang w:val="en-US"/>
        </w:rPr>
        <w:t xml:space="preserve">De </w:t>
      </w:r>
      <w:proofErr w:type="spellStart"/>
      <w:r w:rsidRPr="009D7635">
        <w:rPr>
          <w:rFonts w:ascii="Times New Roman" w:hAnsi="Times New Roman" w:cs="Times New Roman"/>
          <w:i/>
          <w:color w:val="000000" w:themeColor="text1"/>
          <w:lang w:val="en-US"/>
        </w:rPr>
        <w:t>grat</w:t>
      </w:r>
      <w:proofErr w:type="spellEnd"/>
      <w:r w:rsidRPr="009D7635">
        <w:rPr>
          <w:rFonts w:ascii="Times New Roman" w:hAnsi="Times New Roman" w:cs="Times New Roman"/>
          <w:i/>
          <w:color w:val="000000" w:themeColor="text1"/>
          <w:lang w:val="en-US"/>
        </w:rPr>
        <w:t xml:space="preserve">. et lib. </w:t>
      </w:r>
      <w:proofErr w:type="spellStart"/>
      <w:r w:rsidRPr="009D7635">
        <w:rPr>
          <w:rFonts w:ascii="Times New Roman" w:hAnsi="Times New Roman" w:cs="Times New Roman"/>
          <w:i/>
          <w:color w:val="000000" w:themeColor="text1"/>
          <w:lang w:val="en-US"/>
        </w:rPr>
        <w:t>arbit</w:t>
      </w:r>
      <w:proofErr w:type="spellEnd"/>
      <w:r w:rsidRPr="009D7635">
        <w:rPr>
          <w:rFonts w:ascii="Times New Roman" w:hAnsi="Times New Roman" w:cs="Times New Roman"/>
          <w:i/>
          <w:color w:val="000000" w:themeColor="text1"/>
          <w:lang w:val="en-US"/>
        </w:rPr>
        <w:t>.</w:t>
      </w:r>
      <w:r w:rsidRPr="009D7635">
        <w:rPr>
          <w:rFonts w:ascii="Times New Roman" w:hAnsi="Times New Roman" w:cs="Times New Roman"/>
          <w:color w:val="000000" w:themeColor="text1"/>
          <w:lang w:val="en-US"/>
        </w:rPr>
        <w:t xml:space="preserve"> </w:t>
      </w:r>
      <w:r w:rsidRPr="009D7635">
        <w:rPr>
          <w:rFonts w:ascii="Times New Roman" w:hAnsi="Times New Roman" w:cs="Times New Roman"/>
          <w:color w:val="000000" w:themeColor="text1"/>
        </w:rPr>
        <w:t xml:space="preserve">9. </w:t>
      </w:r>
    </w:p>
  </w:footnote>
  <w:footnote w:id="1183">
    <w:p w14:paraId="381FDF94"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T3, </w:t>
      </w:r>
      <w:r w:rsidRPr="009D7635">
        <w:rPr>
          <w:rFonts w:ascii="Times New Roman" w:hAnsi="Times New Roman" w:cs="Times New Roman"/>
          <w:color w:val="000000" w:themeColor="text1"/>
          <w:lang w:val="en-US"/>
        </w:rPr>
        <w:t xml:space="preserve">C3, Ar1, </w:t>
      </w:r>
      <w:r w:rsidRPr="009D7635">
        <w:rPr>
          <w:rFonts w:ascii="Times New Roman" w:hAnsi="Times New Roman" w:cs="Times New Roman"/>
          <w:color w:val="000000" w:themeColor="text1"/>
        </w:rPr>
        <w:t xml:space="preserve">Contra 4, 475, citing Augustine’s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civitiate</w:t>
      </w:r>
      <w:proofErr w:type="spellEnd"/>
      <w:r w:rsidRPr="009D7635">
        <w:rPr>
          <w:rFonts w:ascii="Times New Roman" w:hAnsi="Times New Roman" w:cs="Times New Roman"/>
          <w:i/>
          <w:color w:val="000000" w:themeColor="text1"/>
        </w:rPr>
        <w:t xml:space="preserve"> Dei </w:t>
      </w:r>
      <w:r w:rsidRPr="009D7635">
        <w:rPr>
          <w:rFonts w:ascii="Times New Roman" w:hAnsi="Times New Roman" w:cs="Times New Roman"/>
          <w:color w:val="000000" w:themeColor="text1"/>
        </w:rPr>
        <w:t xml:space="preserve">14.11.1. </w:t>
      </w:r>
    </w:p>
  </w:footnote>
  <w:footnote w:id="1184">
    <w:p w14:paraId="39D113E5"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T3, </w:t>
      </w:r>
      <w:r w:rsidRPr="009D7635">
        <w:rPr>
          <w:rFonts w:ascii="Times New Roman" w:hAnsi="Times New Roman" w:cs="Times New Roman"/>
          <w:color w:val="000000" w:themeColor="text1"/>
          <w:lang w:val="en-US"/>
        </w:rPr>
        <w:t xml:space="preserve">C3, Ar1, </w:t>
      </w:r>
      <w:proofErr w:type="spellStart"/>
      <w:r w:rsidRPr="009D7635">
        <w:rPr>
          <w:rFonts w:ascii="Times New Roman" w:hAnsi="Times New Roman" w:cs="Times New Roman"/>
          <w:color w:val="000000" w:themeColor="text1"/>
        </w:rPr>
        <w:t>Respondeo</w:t>
      </w:r>
      <w:proofErr w:type="spellEnd"/>
      <w:r w:rsidRPr="009D7635">
        <w:rPr>
          <w:rFonts w:ascii="Times New Roman" w:hAnsi="Times New Roman" w:cs="Times New Roman"/>
          <w:color w:val="000000" w:themeColor="text1"/>
        </w:rPr>
        <w:t>, 476.</w:t>
      </w:r>
    </w:p>
  </w:footnote>
  <w:footnote w:id="1185">
    <w:p w14:paraId="24F51DF2" w14:textId="46B83BEA" w:rsidR="00B93ED5" w:rsidRPr="009D7635" w:rsidRDefault="00B93ED5" w:rsidP="0066533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Q3, T3, </w:t>
      </w:r>
      <w:r w:rsidRPr="009D7635">
        <w:rPr>
          <w:rFonts w:ascii="Times New Roman" w:hAnsi="Times New Roman" w:cs="Times New Roman"/>
          <w:color w:val="000000" w:themeColor="text1"/>
          <w:sz w:val="20"/>
          <w:szCs w:val="20"/>
          <w:lang w:val="en-US"/>
        </w:rPr>
        <w:t xml:space="preserve">C3, Ar1,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476, citing </w:t>
      </w:r>
      <w:r w:rsidRPr="009D7635">
        <w:rPr>
          <w:rFonts w:ascii="Times New Roman" w:hAnsi="Times New Roman" w:cs="Times New Roman"/>
          <w:i/>
          <w:color w:val="000000" w:themeColor="text1"/>
          <w:sz w:val="20"/>
          <w:szCs w:val="20"/>
        </w:rPr>
        <w:t xml:space="preserve">De </w:t>
      </w:r>
      <w:proofErr w:type="spellStart"/>
      <w:r w:rsidRPr="009D7635">
        <w:rPr>
          <w:rFonts w:ascii="Times New Roman" w:hAnsi="Times New Roman" w:cs="Times New Roman"/>
          <w:i/>
          <w:color w:val="000000" w:themeColor="text1"/>
          <w:sz w:val="20"/>
          <w:szCs w:val="20"/>
        </w:rPr>
        <w:t>libero</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arbitrio</w:t>
      </w:r>
      <w:proofErr w:type="spellEnd"/>
      <w:r w:rsidRPr="009D7635">
        <w:rPr>
          <w:rFonts w:ascii="Times New Roman" w:hAnsi="Times New Roman" w:cs="Times New Roman"/>
          <w:color w:val="000000" w:themeColor="text1"/>
          <w:sz w:val="20"/>
          <w:szCs w:val="20"/>
        </w:rPr>
        <w:t xml:space="preserve"> 1 and 3: </w:t>
      </w:r>
      <w:r w:rsidR="00F93BA9" w:rsidRPr="009D7635">
        <w:rPr>
          <w:rFonts w:ascii="Times New Roman" w:hAnsi="Times New Roman" w:cs="Times New Roman"/>
          <w:i/>
          <w:color w:val="000000" w:themeColor="text1"/>
          <w:sz w:val="20"/>
          <w:szCs w:val="20"/>
          <w:lang w:val="en-US"/>
        </w:rPr>
        <w:t>P</w:t>
      </w:r>
      <w:r w:rsidRPr="009D7635">
        <w:rPr>
          <w:rFonts w:ascii="Times New Roman" w:hAnsi="Times New Roman" w:cs="Times New Roman"/>
          <w:i/>
          <w:color w:val="000000" w:themeColor="text1"/>
          <w:sz w:val="20"/>
          <w:szCs w:val="20"/>
          <w:lang w:val="en-US"/>
        </w:rPr>
        <w:t xml:space="preserve">osse </w:t>
      </w:r>
      <w:proofErr w:type="spellStart"/>
      <w:r w:rsidRPr="009D7635">
        <w:rPr>
          <w:rFonts w:ascii="Times New Roman" w:hAnsi="Times New Roman" w:cs="Times New Roman"/>
          <w:i/>
          <w:color w:val="000000" w:themeColor="text1"/>
          <w:sz w:val="20"/>
          <w:szCs w:val="20"/>
          <w:lang w:val="en-US"/>
        </w:rPr>
        <w:t>facere</w:t>
      </w:r>
      <w:proofErr w:type="spellEnd"/>
      <w:r w:rsidRPr="009D7635">
        <w:rPr>
          <w:rFonts w:ascii="Times New Roman" w:hAnsi="Times New Roman" w:cs="Times New Roman"/>
          <w:i/>
          <w:color w:val="000000" w:themeColor="text1"/>
          <w:sz w:val="20"/>
          <w:szCs w:val="20"/>
          <w:lang w:val="en-US"/>
        </w:rPr>
        <w:t xml:space="preserve"> malum non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pars </w:t>
      </w:r>
      <w:proofErr w:type="spellStart"/>
      <w:r w:rsidRPr="009D7635">
        <w:rPr>
          <w:rFonts w:ascii="Times New Roman" w:hAnsi="Times New Roman" w:cs="Times New Roman"/>
          <w:i/>
          <w:color w:val="000000" w:themeColor="text1"/>
          <w:sz w:val="20"/>
          <w:szCs w:val="20"/>
          <w:lang w:val="en-US"/>
        </w:rPr>
        <w:t>libertatis</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rPr>
        <w:t xml:space="preserve"> </w:t>
      </w:r>
    </w:p>
  </w:footnote>
  <w:footnote w:id="1186">
    <w:p w14:paraId="6A8A9A03" w14:textId="47B9837F"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T3, M3, C4, </w:t>
      </w:r>
      <w:proofErr w:type="spellStart"/>
      <w:r w:rsidRPr="009D7635">
        <w:rPr>
          <w:rFonts w:ascii="Times New Roman" w:hAnsi="Times New Roman" w:cs="Times New Roman"/>
          <w:color w:val="000000" w:themeColor="text1"/>
        </w:rPr>
        <w:t>Respondeo</w:t>
      </w:r>
      <w:proofErr w:type="spellEnd"/>
      <w:r w:rsidRPr="009D7635">
        <w:rPr>
          <w:rFonts w:ascii="Times New Roman" w:hAnsi="Times New Roman" w:cs="Times New Roman"/>
          <w:color w:val="000000" w:themeColor="text1"/>
        </w:rPr>
        <w:t>, 482.</w:t>
      </w:r>
    </w:p>
  </w:footnote>
  <w:footnote w:id="1187">
    <w:p w14:paraId="624361C5"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T3, M3, C4, Ad </w:t>
      </w:r>
      <w:proofErr w:type="spellStart"/>
      <w:r w:rsidRPr="009D7635">
        <w:rPr>
          <w:rFonts w:ascii="Times New Roman" w:hAnsi="Times New Roman" w:cs="Times New Roman"/>
          <w:color w:val="000000" w:themeColor="text1"/>
        </w:rPr>
        <w:t>objecta</w:t>
      </w:r>
      <w:proofErr w:type="spellEnd"/>
      <w:r w:rsidRPr="009D7635">
        <w:rPr>
          <w:rFonts w:ascii="Times New Roman" w:hAnsi="Times New Roman" w:cs="Times New Roman"/>
          <w:color w:val="000000" w:themeColor="text1"/>
        </w:rPr>
        <w:t xml:space="preserve"> 2, 482.</w:t>
      </w:r>
    </w:p>
  </w:footnote>
  <w:footnote w:id="1188">
    <w:p w14:paraId="4E0AA5FF"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T3, C2, 471. </w:t>
      </w:r>
    </w:p>
  </w:footnote>
  <w:footnote w:id="1189">
    <w:p w14:paraId="098F02E7" w14:textId="77777777" w:rsidR="00B93ED5" w:rsidRPr="009D7635" w:rsidRDefault="00B93ED5" w:rsidP="00665333">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Q3, T3, C3, Ar1, Pr1, ad 1, 472: </w:t>
      </w:r>
      <w:proofErr w:type="spellStart"/>
      <w:r w:rsidRPr="009D7635">
        <w:rPr>
          <w:rFonts w:ascii="Times New Roman" w:hAnsi="Times New Roman" w:cs="Times New Roman"/>
          <w:i/>
          <w:color w:val="000000" w:themeColor="text1"/>
          <w:sz w:val="20"/>
          <w:szCs w:val="20"/>
          <w:lang w:val="en-US"/>
        </w:rPr>
        <w:t>Liberum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potestas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servandi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rectitudinem</w:t>
      </w:r>
      <w:proofErr w:type="spellEnd"/>
      <w:r w:rsidRPr="009D7635">
        <w:rPr>
          <w:rFonts w:ascii="Times New Roman" w:hAnsi="Times New Roman" w:cs="Times New Roman"/>
          <w:i/>
          <w:color w:val="000000" w:themeColor="text1"/>
          <w:sz w:val="20"/>
          <w:szCs w:val="20"/>
          <w:lang w:val="en-US"/>
        </w:rPr>
        <w:t xml:space="preserve"> propter se.</w:t>
      </w:r>
    </w:p>
  </w:footnote>
  <w:footnote w:id="1190">
    <w:p w14:paraId="4E6F1489"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T3, C3, Ar1, Pr1, Ad 2, 472.</w:t>
      </w:r>
    </w:p>
  </w:footnote>
  <w:footnote w:id="1191">
    <w:p w14:paraId="1673A397"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Alexander of Hales, </w:t>
      </w:r>
      <w:proofErr w:type="spellStart"/>
      <w:r w:rsidRPr="009D7635">
        <w:rPr>
          <w:rFonts w:ascii="Times New Roman" w:hAnsi="Times New Roman" w:cs="Times New Roman"/>
          <w:i/>
          <w:color w:val="000000" w:themeColor="text1"/>
        </w:rPr>
        <w:t>Questiones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disputatae</w:t>
      </w:r>
      <w:proofErr w:type="spellEnd"/>
      <w:r w:rsidRPr="009D7635">
        <w:rPr>
          <w:rFonts w:ascii="Times New Roman" w:hAnsi="Times New Roman" w:cs="Times New Roman"/>
          <w:color w:val="000000" w:themeColor="text1"/>
          <w:lang w:val="en-US"/>
        </w:rPr>
        <w:t xml:space="preserve"> 33, </w:t>
      </w:r>
      <w:proofErr w:type="spellStart"/>
      <w:r w:rsidRPr="009D7635">
        <w:rPr>
          <w:rFonts w:ascii="Times New Roman" w:hAnsi="Times New Roman" w:cs="Times New Roman"/>
          <w:color w:val="000000" w:themeColor="text1"/>
          <w:lang w:val="en-US"/>
        </w:rPr>
        <w:t>dist</w:t>
      </w:r>
      <w:proofErr w:type="spellEnd"/>
      <w:r w:rsidRPr="009D7635">
        <w:rPr>
          <w:rFonts w:ascii="Times New Roman" w:hAnsi="Times New Roman" w:cs="Times New Roman"/>
          <w:color w:val="000000" w:themeColor="text1"/>
          <w:lang w:val="en-US"/>
        </w:rPr>
        <w:t xml:space="preserve">. 2,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1, </w:t>
      </w:r>
      <w:proofErr w:type="spellStart"/>
      <w:r w:rsidRPr="009D7635">
        <w:rPr>
          <w:rFonts w:ascii="Times New Roman" w:hAnsi="Times New Roman" w:cs="Times New Roman"/>
          <w:color w:val="000000" w:themeColor="text1"/>
          <w:lang w:val="en-US"/>
        </w:rPr>
        <w:t>Respondeo</w:t>
      </w:r>
      <w:proofErr w:type="spellEnd"/>
      <w:r w:rsidRPr="009D7635">
        <w:rPr>
          <w:rFonts w:ascii="Times New Roman" w:hAnsi="Times New Roman" w:cs="Times New Roman"/>
          <w:color w:val="000000" w:themeColor="text1"/>
          <w:lang w:val="en-US"/>
        </w:rPr>
        <w:t xml:space="preserve"> 34, </w:t>
      </w:r>
      <w:r w:rsidRPr="009D7635">
        <w:rPr>
          <w:rFonts w:ascii="Times New Roman" w:hAnsi="Times New Roman" w:cs="Times New Roman"/>
          <w:color w:val="000000" w:themeColor="text1"/>
        </w:rPr>
        <w:t>577.</w:t>
      </w:r>
    </w:p>
  </w:footnote>
  <w:footnote w:id="1192">
    <w:p w14:paraId="6D5786D5" w14:textId="77777777" w:rsidR="00B93ED5" w:rsidRPr="009D7635" w:rsidRDefault="00B93ED5" w:rsidP="003E7312">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Q3, T3, C3, Ar1, Pr2, ad 1, 472: </w:t>
      </w:r>
      <w:proofErr w:type="spellStart"/>
      <w:r w:rsidRPr="009D7635">
        <w:rPr>
          <w:rFonts w:ascii="Times New Roman" w:hAnsi="Times New Roman" w:cs="Times New Roman"/>
          <w:i/>
          <w:color w:val="000000" w:themeColor="text1"/>
          <w:sz w:val="20"/>
          <w:szCs w:val="20"/>
          <w:lang w:val="en-US"/>
        </w:rPr>
        <w:t>Liberum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facultas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rationis</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voluntatis</w:t>
      </w:r>
      <w:proofErr w:type="spellEnd"/>
      <w:r w:rsidRPr="009D7635">
        <w:rPr>
          <w:rFonts w:ascii="Times New Roman" w:hAnsi="Times New Roman" w:cs="Times New Roman"/>
          <w:i/>
          <w:color w:val="000000" w:themeColor="text1"/>
          <w:sz w:val="20"/>
          <w:szCs w:val="20"/>
          <w:lang w:val="en-US"/>
        </w:rPr>
        <w:t xml:space="preserve">, qua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eligitur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gratia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assistente</w:t>
      </w:r>
      <w:proofErr w:type="spellEnd"/>
      <w:r w:rsidRPr="009D7635">
        <w:rPr>
          <w:rFonts w:ascii="Times New Roman" w:hAnsi="Times New Roman" w:cs="Times New Roman"/>
          <w:i/>
          <w:color w:val="000000" w:themeColor="text1"/>
          <w:sz w:val="20"/>
          <w:szCs w:val="20"/>
          <w:lang w:val="en-US"/>
        </w:rPr>
        <w:t xml:space="preserve"> et malum </w:t>
      </w:r>
      <w:proofErr w:type="spellStart"/>
      <w:r w:rsidRPr="009D7635">
        <w:rPr>
          <w:rFonts w:ascii="Times New Roman" w:hAnsi="Times New Roman" w:cs="Times New Roman"/>
          <w:i/>
          <w:color w:val="000000" w:themeColor="text1"/>
          <w:sz w:val="20"/>
          <w:szCs w:val="20"/>
          <w:lang w:val="en-US"/>
        </w:rPr>
        <w:t>eadem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desistente</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See also Augustine,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corrept</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grat</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11.32 (PL 44, 935); Peter Lombard, </w:t>
      </w:r>
      <w:r w:rsidRPr="009D7635">
        <w:rPr>
          <w:rFonts w:ascii="Times New Roman" w:hAnsi="Times New Roman" w:cs="Times New Roman"/>
          <w:i/>
          <w:color w:val="000000" w:themeColor="text1"/>
          <w:sz w:val="20"/>
          <w:szCs w:val="20"/>
          <w:lang w:val="en-US"/>
        </w:rPr>
        <w:t>II Sent.</w:t>
      </w:r>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d. 24, c. 3, 421.  </w:t>
      </w:r>
    </w:p>
  </w:footnote>
  <w:footnote w:id="1193">
    <w:p w14:paraId="51DC954F" w14:textId="77777777" w:rsidR="00B93ED5" w:rsidRPr="009D7635" w:rsidRDefault="00B93ED5" w:rsidP="003E731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Citing Anselm,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libero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arbitrio</w:t>
      </w:r>
      <w:proofErr w:type="spellEnd"/>
      <w:r w:rsidRPr="009D7635">
        <w:rPr>
          <w:rFonts w:ascii="Times New Roman" w:hAnsi="Times New Roman" w:cs="Times New Roman"/>
          <w:color w:val="000000" w:themeColor="text1"/>
        </w:rPr>
        <w:t xml:space="preserve"> 2, 3.</w:t>
      </w:r>
    </w:p>
  </w:footnote>
  <w:footnote w:id="1194">
    <w:p w14:paraId="1658E253" w14:textId="2C50109D" w:rsidR="00B93ED5" w:rsidRPr="009D7635" w:rsidRDefault="00B93ED5" w:rsidP="001C5683">
      <w:pPr>
        <w:rPr>
          <w:rFonts w:ascii="Times New Roman" w:eastAsia="Times New Roman" w:hAnsi="Times New Roman" w:cs="Times New Roman"/>
          <w:color w:val="000000" w:themeColor="text1"/>
          <w:sz w:val="20"/>
          <w:szCs w:val="20"/>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Bernard of </w:t>
      </w:r>
      <w:proofErr w:type="spellStart"/>
      <w:r w:rsidRPr="009D7635">
        <w:rPr>
          <w:rFonts w:ascii="Times New Roman" w:hAnsi="Times New Roman" w:cs="Times New Roman"/>
          <w:color w:val="000000" w:themeColor="text1"/>
          <w:sz w:val="20"/>
          <w:szCs w:val="20"/>
        </w:rPr>
        <w:t>Clairvaux</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grat</w:t>
      </w:r>
      <w:proofErr w:type="spellEnd"/>
      <w:r w:rsidRPr="009D7635">
        <w:rPr>
          <w:rFonts w:ascii="Times New Roman" w:hAnsi="Times New Roman" w:cs="Times New Roman"/>
          <w:i/>
          <w:color w:val="000000" w:themeColor="text1"/>
          <w:sz w:val="20"/>
          <w:szCs w:val="20"/>
          <w:lang w:val="en-US"/>
        </w:rPr>
        <w:t xml:space="preserve">. et lib. </w:t>
      </w:r>
      <w:proofErr w:type="spellStart"/>
      <w:r w:rsidRPr="009D7635">
        <w:rPr>
          <w:rFonts w:ascii="Times New Roman" w:hAnsi="Times New Roman" w:cs="Times New Roman"/>
          <w:i/>
          <w:color w:val="000000" w:themeColor="text1"/>
          <w:sz w:val="20"/>
          <w:szCs w:val="20"/>
          <w:lang w:val="en-US"/>
        </w:rPr>
        <w:t>arbit</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8.24: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Voluntas</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vero</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sicut</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in bono,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ita</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etiam</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in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malo</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aeque</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perdurat</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aeque</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profecto</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et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liberum</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arbitrium</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tam in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malo</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quam</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in bono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integrum</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 xml:space="preserve"> </w:t>
      </w:r>
      <w:proofErr w:type="spellStart"/>
      <w:r w:rsidRPr="009D7635">
        <w:rPr>
          <w:rFonts w:ascii="Times New Roman" w:eastAsia="Arial Unicode MS" w:hAnsi="Times New Roman" w:cs="Times New Roman"/>
          <w:i/>
          <w:iCs/>
          <w:color w:val="000000" w:themeColor="text1"/>
          <w:sz w:val="20"/>
          <w:szCs w:val="20"/>
          <w:shd w:val="clear" w:color="auto" w:fill="FFFFFF"/>
          <w:lang w:eastAsia="en-GB"/>
        </w:rPr>
        <w:t>perseverat</w:t>
      </w:r>
      <w:proofErr w:type="spellEnd"/>
      <w:r w:rsidRPr="009D7635">
        <w:rPr>
          <w:rFonts w:ascii="Times New Roman" w:eastAsia="Arial Unicode MS" w:hAnsi="Times New Roman" w:cs="Times New Roman"/>
          <w:i/>
          <w:iCs/>
          <w:color w:val="000000" w:themeColor="text1"/>
          <w:sz w:val="20"/>
          <w:szCs w:val="20"/>
          <w:shd w:val="clear" w:color="auto" w:fill="FFFFFF"/>
          <w:lang w:eastAsia="en-GB"/>
        </w:rPr>
        <w:t>.</w:t>
      </w:r>
    </w:p>
  </w:footnote>
  <w:footnote w:id="1195">
    <w:p w14:paraId="6AEF4FD5"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Alexander of Hales, </w:t>
      </w:r>
      <w:proofErr w:type="spellStart"/>
      <w:r w:rsidRPr="009D7635">
        <w:rPr>
          <w:rFonts w:ascii="Times New Roman" w:hAnsi="Times New Roman" w:cs="Times New Roman"/>
          <w:i/>
          <w:color w:val="000000" w:themeColor="text1"/>
        </w:rPr>
        <w:t>Questiones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disputatae</w:t>
      </w:r>
      <w:proofErr w:type="spellEnd"/>
      <w:r w:rsidRPr="009D7635">
        <w:rPr>
          <w:rFonts w:ascii="Times New Roman" w:hAnsi="Times New Roman" w:cs="Times New Roman"/>
          <w:color w:val="000000" w:themeColor="text1"/>
          <w:lang w:val="en-US"/>
        </w:rPr>
        <w:t xml:space="preserve"> 33,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2,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1, </w:t>
      </w:r>
      <w:proofErr w:type="spellStart"/>
      <w:r w:rsidRPr="009D7635">
        <w:rPr>
          <w:rFonts w:ascii="Times New Roman" w:hAnsi="Times New Roman" w:cs="Times New Roman"/>
          <w:color w:val="000000" w:themeColor="text1"/>
          <w:lang w:val="en-US"/>
        </w:rPr>
        <w:t>Respondeo</w:t>
      </w:r>
      <w:proofErr w:type="spellEnd"/>
      <w:r w:rsidRPr="009D7635">
        <w:rPr>
          <w:rFonts w:ascii="Times New Roman" w:hAnsi="Times New Roman" w:cs="Times New Roman"/>
          <w:color w:val="000000" w:themeColor="text1"/>
          <w:lang w:val="en-US"/>
        </w:rPr>
        <w:t xml:space="preserve"> 38, </w:t>
      </w:r>
      <w:r w:rsidRPr="009D7635">
        <w:rPr>
          <w:rFonts w:ascii="Times New Roman" w:hAnsi="Times New Roman" w:cs="Times New Roman"/>
          <w:color w:val="000000" w:themeColor="text1"/>
        </w:rPr>
        <w:t>578-9.</w:t>
      </w:r>
    </w:p>
  </w:footnote>
  <w:footnote w:id="1196">
    <w:p w14:paraId="79D69BBB" w14:textId="77777777" w:rsidR="00B93ED5" w:rsidRPr="009D7635" w:rsidRDefault="00B93ED5" w:rsidP="00665333">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Q3, T3, C3, Ar1, Pr3, 473, citing Bernard of </w:t>
      </w:r>
      <w:proofErr w:type="spellStart"/>
      <w:r w:rsidRPr="009D7635">
        <w:rPr>
          <w:rFonts w:ascii="Times New Roman" w:hAnsi="Times New Roman" w:cs="Times New Roman"/>
          <w:color w:val="000000" w:themeColor="text1"/>
          <w:sz w:val="20"/>
          <w:szCs w:val="20"/>
        </w:rPr>
        <w:t>Clairvaux</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grat</w:t>
      </w:r>
      <w:proofErr w:type="spellEnd"/>
      <w:r w:rsidRPr="009D7635">
        <w:rPr>
          <w:rFonts w:ascii="Times New Roman" w:hAnsi="Times New Roman" w:cs="Times New Roman"/>
          <w:i/>
          <w:color w:val="000000" w:themeColor="text1"/>
          <w:sz w:val="20"/>
          <w:szCs w:val="20"/>
          <w:lang w:val="en-US"/>
        </w:rPr>
        <w:t xml:space="preserve">. et lib. </w:t>
      </w:r>
      <w:proofErr w:type="spellStart"/>
      <w:r w:rsidRPr="009D7635">
        <w:rPr>
          <w:rFonts w:ascii="Times New Roman" w:hAnsi="Times New Roman" w:cs="Times New Roman"/>
          <w:i/>
          <w:color w:val="000000" w:themeColor="text1"/>
          <w:sz w:val="20"/>
          <w:szCs w:val="20"/>
          <w:lang w:val="en-US"/>
        </w:rPr>
        <w:t>arbit</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3.7 (PL 182, 1005): </w:t>
      </w:r>
      <w:proofErr w:type="spellStart"/>
      <w:r w:rsidRPr="009D7635">
        <w:rPr>
          <w:rFonts w:ascii="Times New Roman" w:hAnsi="Times New Roman" w:cs="Times New Roman"/>
          <w:i/>
          <w:color w:val="000000" w:themeColor="text1"/>
          <w:sz w:val="20"/>
          <w:szCs w:val="20"/>
          <w:lang w:val="en-US"/>
        </w:rPr>
        <w:t>Liberum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consensus ob </w:t>
      </w:r>
      <w:proofErr w:type="spellStart"/>
      <w:r w:rsidRPr="009D7635">
        <w:rPr>
          <w:rFonts w:ascii="Times New Roman" w:hAnsi="Times New Roman" w:cs="Times New Roman"/>
          <w:i/>
          <w:color w:val="000000" w:themeColor="text1"/>
          <w:sz w:val="20"/>
          <w:szCs w:val="20"/>
          <w:lang w:val="en-US"/>
        </w:rPr>
        <w:t>voluntatis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inamissibilem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libertatem</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rationis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indeclinabile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iudicium</w:t>
      </w:r>
      <w:proofErr w:type="spellEnd"/>
      <w:r w:rsidRPr="009D7635">
        <w:rPr>
          <w:rFonts w:ascii="Times New Roman" w:hAnsi="Times New Roman" w:cs="Times New Roman"/>
          <w:i/>
          <w:color w:val="000000" w:themeColor="text1"/>
          <w:sz w:val="20"/>
          <w:szCs w:val="20"/>
          <w:lang w:val="en-US"/>
        </w:rPr>
        <w:t>.</w:t>
      </w:r>
    </w:p>
  </w:footnote>
  <w:footnote w:id="1197">
    <w:p w14:paraId="392150CA" w14:textId="77777777" w:rsidR="00B93ED5" w:rsidRPr="009D7635" w:rsidRDefault="00B93ED5" w:rsidP="0066533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Q3, T3, C3, Ar1, Pr3, ad 1, 473, citing Bernard of </w:t>
      </w:r>
      <w:proofErr w:type="spellStart"/>
      <w:r w:rsidRPr="009D7635">
        <w:rPr>
          <w:rFonts w:ascii="Times New Roman" w:hAnsi="Times New Roman" w:cs="Times New Roman"/>
          <w:color w:val="000000" w:themeColor="text1"/>
          <w:sz w:val="20"/>
          <w:szCs w:val="20"/>
        </w:rPr>
        <w:t>Clairvaux</w:t>
      </w:r>
      <w:proofErr w:type="spellEnd"/>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De </w:t>
      </w:r>
      <w:proofErr w:type="spellStart"/>
      <w:r w:rsidRPr="009D7635">
        <w:rPr>
          <w:rFonts w:ascii="Times New Roman" w:hAnsi="Times New Roman" w:cs="Times New Roman"/>
          <w:i/>
          <w:color w:val="000000" w:themeColor="text1"/>
          <w:sz w:val="20"/>
          <w:szCs w:val="20"/>
          <w:lang w:val="en-US"/>
        </w:rPr>
        <w:t>grat</w:t>
      </w:r>
      <w:proofErr w:type="spellEnd"/>
      <w:r w:rsidRPr="009D7635">
        <w:rPr>
          <w:rFonts w:ascii="Times New Roman" w:hAnsi="Times New Roman" w:cs="Times New Roman"/>
          <w:i/>
          <w:color w:val="000000" w:themeColor="text1"/>
          <w:sz w:val="20"/>
          <w:szCs w:val="20"/>
          <w:lang w:val="en-US"/>
        </w:rPr>
        <w:t xml:space="preserve">. et lib. </w:t>
      </w:r>
      <w:proofErr w:type="spellStart"/>
      <w:r w:rsidRPr="009D7635">
        <w:rPr>
          <w:rFonts w:ascii="Times New Roman" w:hAnsi="Times New Roman" w:cs="Times New Roman"/>
          <w:i/>
          <w:color w:val="000000" w:themeColor="text1"/>
          <w:sz w:val="20"/>
          <w:szCs w:val="20"/>
          <w:lang w:val="en-US"/>
        </w:rPr>
        <w:t>arbit</w:t>
      </w:r>
      <w:proofErr w:type="spellEnd"/>
      <w:r w:rsidRPr="009D7635">
        <w:rPr>
          <w:rFonts w:ascii="Times New Roman" w:hAnsi="Times New Roman" w:cs="Times New Roman"/>
          <w:i/>
          <w:color w:val="000000" w:themeColor="text1"/>
          <w:sz w:val="20"/>
          <w:szCs w:val="20"/>
          <w:lang w:val="en-US"/>
        </w:rPr>
        <w:t>.</w:t>
      </w:r>
      <w:r w:rsidRPr="009D7635">
        <w:rPr>
          <w:rFonts w:ascii="Times New Roman" w:hAnsi="Times New Roman" w:cs="Times New Roman"/>
          <w:color w:val="000000" w:themeColor="text1"/>
          <w:sz w:val="20"/>
          <w:szCs w:val="20"/>
          <w:lang w:val="en-US"/>
        </w:rPr>
        <w:t xml:space="preserve"> 10.35</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lang w:val="en-US"/>
        </w:rPr>
        <w:t xml:space="preserve">Nemo </w:t>
      </w:r>
      <w:proofErr w:type="spellStart"/>
      <w:r w:rsidRPr="009D7635">
        <w:rPr>
          <w:rFonts w:ascii="Times New Roman" w:hAnsi="Times New Roman" w:cs="Times New Roman"/>
          <w:i/>
          <w:color w:val="000000" w:themeColor="text1"/>
          <w:sz w:val="20"/>
          <w:szCs w:val="20"/>
          <w:lang w:val="en-US"/>
        </w:rPr>
        <w:t>putet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ideo</w:t>
      </w:r>
      <w:proofErr w:type="spellEnd"/>
      <w:r w:rsidRPr="009D7635">
        <w:rPr>
          <w:rFonts w:ascii="Times New Roman" w:hAnsi="Times New Roman" w:cs="Times New Roman"/>
          <w:i/>
          <w:color w:val="000000" w:themeColor="text1"/>
          <w:sz w:val="20"/>
          <w:szCs w:val="20"/>
          <w:lang w:val="en-US"/>
        </w:rPr>
        <w:t xml:space="preserve"> dictum </w:t>
      </w:r>
      <w:proofErr w:type="spellStart"/>
      <w:r w:rsidRPr="009D7635">
        <w:rPr>
          <w:rFonts w:ascii="Times New Roman" w:hAnsi="Times New Roman" w:cs="Times New Roman"/>
          <w:i/>
          <w:color w:val="000000" w:themeColor="text1"/>
          <w:sz w:val="20"/>
          <w:szCs w:val="20"/>
          <w:lang w:val="en-US"/>
        </w:rPr>
        <w:t>liberum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quia</w:t>
      </w:r>
      <w:proofErr w:type="spellEnd"/>
      <w:r w:rsidRPr="009D7635">
        <w:rPr>
          <w:rFonts w:ascii="Times New Roman" w:hAnsi="Times New Roman" w:cs="Times New Roman"/>
          <w:i/>
          <w:color w:val="000000" w:themeColor="text1"/>
          <w:sz w:val="20"/>
          <w:szCs w:val="20"/>
          <w:lang w:val="en-US"/>
        </w:rPr>
        <w:t xml:space="preserve"> inter </w:t>
      </w:r>
      <w:proofErr w:type="spellStart"/>
      <w:r w:rsidRPr="009D7635">
        <w:rPr>
          <w:rFonts w:ascii="Times New Roman" w:hAnsi="Times New Roman" w:cs="Times New Roman"/>
          <w:i/>
          <w:color w:val="000000" w:themeColor="text1"/>
          <w:sz w:val="20"/>
          <w:szCs w:val="20"/>
          <w:lang w:val="en-US"/>
        </w:rPr>
        <w:t>bonum</w:t>
      </w:r>
      <w:proofErr w:type="spellEnd"/>
      <w:r w:rsidRPr="009D7635">
        <w:rPr>
          <w:rFonts w:ascii="Times New Roman" w:hAnsi="Times New Roman" w:cs="Times New Roman"/>
          <w:i/>
          <w:color w:val="000000" w:themeColor="text1"/>
          <w:sz w:val="20"/>
          <w:szCs w:val="20"/>
          <w:lang w:val="en-US"/>
        </w:rPr>
        <w:t xml:space="preserve"> et malum </w:t>
      </w:r>
      <w:proofErr w:type="spellStart"/>
      <w:r w:rsidRPr="009D7635">
        <w:rPr>
          <w:rFonts w:ascii="Times New Roman" w:hAnsi="Times New Roman" w:cs="Times New Roman"/>
          <w:i/>
          <w:color w:val="000000" w:themeColor="text1"/>
          <w:sz w:val="20"/>
          <w:szCs w:val="20"/>
          <w:lang w:val="en-US"/>
        </w:rPr>
        <w:t>potestate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vel</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facultate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versetur</w:t>
      </w:r>
      <w:proofErr w:type="spellEnd"/>
      <w:r w:rsidRPr="009D7635">
        <w:rPr>
          <w:rFonts w:ascii="Times New Roman" w:hAnsi="Times New Roman" w:cs="Times New Roman"/>
          <w:i/>
          <w:color w:val="000000" w:themeColor="text1"/>
          <w:sz w:val="20"/>
          <w:szCs w:val="20"/>
          <w:lang w:val="en-US"/>
        </w:rPr>
        <w:t>.</w:t>
      </w:r>
    </w:p>
  </w:footnote>
  <w:footnote w:id="1198">
    <w:p w14:paraId="4E2538F6"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T3, C3, Ar2,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474.</w:t>
      </w:r>
    </w:p>
  </w:footnote>
  <w:footnote w:id="1199">
    <w:p w14:paraId="05071E92"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Alexander of Hales, </w:t>
      </w:r>
      <w:proofErr w:type="spellStart"/>
      <w:r w:rsidRPr="009D7635">
        <w:rPr>
          <w:rFonts w:ascii="Times New Roman" w:hAnsi="Times New Roman" w:cs="Times New Roman"/>
          <w:i/>
          <w:color w:val="000000" w:themeColor="text1"/>
        </w:rPr>
        <w:t>Questiones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disputatae</w:t>
      </w:r>
      <w:proofErr w:type="spellEnd"/>
      <w:r w:rsidRPr="009D7635">
        <w:rPr>
          <w:rFonts w:ascii="Times New Roman" w:hAnsi="Times New Roman" w:cs="Times New Roman"/>
          <w:color w:val="000000" w:themeColor="text1"/>
          <w:lang w:val="en-US"/>
        </w:rPr>
        <w:t xml:space="preserve"> 33,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2,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1, </w:t>
      </w:r>
      <w:proofErr w:type="spellStart"/>
      <w:r w:rsidRPr="009D7635">
        <w:rPr>
          <w:rFonts w:ascii="Times New Roman" w:hAnsi="Times New Roman" w:cs="Times New Roman"/>
          <w:color w:val="000000" w:themeColor="text1"/>
          <w:lang w:val="en-US"/>
        </w:rPr>
        <w:t>Respondeo</w:t>
      </w:r>
      <w:proofErr w:type="spellEnd"/>
      <w:r w:rsidRPr="009D7635">
        <w:rPr>
          <w:rFonts w:ascii="Times New Roman" w:hAnsi="Times New Roman" w:cs="Times New Roman"/>
          <w:color w:val="000000" w:themeColor="text1"/>
          <w:lang w:val="en-US"/>
        </w:rPr>
        <w:t xml:space="preserve"> 39, 579; see also </w:t>
      </w:r>
      <w:proofErr w:type="spellStart"/>
      <w:r w:rsidRPr="009D7635">
        <w:rPr>
          <w:rFonts w:ascii="Times New Roman" w:hAnsi="Times New Roman" w:cs="Times New Roman"/>
          <w:color w:val="000000" w:themeColor="text1"/>
          <w:lang w:val="en-US"/>
        </w:rPr>
        <w:t>disp</w:t>
      </w:r>
      <w:proofErr w:type="spellEnd"/>
      <w:r w:rsidRPr="009D7635">
        <w:rPr>
          <w:rFonts w:ascii="Times New Roman" w:hAnsi="Times New Roman" w:cs="Times New Roman"/>
          <w:color w:val="000000" w:themeColor="text1"/>
          <w:lang w:val="en-US"/>
        </w:rPr>
        <w:t xml:space="preserve">. 3, </w:t>
      </w:r>
      <w:proofErr w:type="spellStart"/>
      <w:r w:rsidRPr="009D7635">
        <w:rPr>
          <w:rFonts w:ascii="Times New Roman" w:hAnsi="Times New Roman" w:cs="Times New Roman"/>
          <w:color w:val="000000" w:themeColor="text1"/>
          <w:lang w:val="en-US"/>
        </w:rPr>
        <w:t>memb</w:t>
      </w:r>
      <w:proofErr w:type="spellEnd"/>
      <w:r w:rsidRPr="009D7635">
        <w:rPr>
          <w:rFonts w:ascii="Times New Roman" w:hAnsi="Times New Roman" w:cs="Times New Roman"/>
          <w:color w:val="000000" w:themeColor="text1"/>
          <w:lang w:val="en-US"/>
        </w:rPr>
        <w:t xml:space="preserve">. 1, no. 63. 588. no. 77, </w:t>
      </w:r>
      <w:r w:rsidRPr="009D7635">
        <w:rPr>
          <w:rFonts w:ascii="Times New Roman" w:hAnsi="Times New Roman" w:cs="Times New Roman"/>
          <w:color w:val="000000" w:themeColor="text1"/>
        </w:rPr>
        <w:t>594.</w:t>
      </w:r>
    </w:p>
  </w:footnote>
  <w:footnote w:id="1200">
    <w:p w14:paraId="7D2C7B69"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T3, C3, Ar4, </w:t>
      </w:r>
      <w:proofErr w:type="spellStart"/>
      <w:r w:rsidRPr="009D7635">
        <w:rPr>
          <w:rFonts w:ascii="Times New Roman" w:hAnsi="Times New Roman" w:cs="Times New Roman"/>
          <w:color w:val="000000" w:themeColor="text1"/>
        </w:rPr>
        <w:t>Respondeo</w:t>
      </w:r>
      <w:proofErr w:type="spellEnd"/>
      <w:r w:rsidRPr="009D7635">
        <w:rPr>
          <w:rFonts w:ascii="Times New Roman" w:hAnsi="Times New Roman" w:cs="Times New Roman"/>
          <w:color w:val="000000" w:themeColor="text1"/>
        </w:rPr>
        <w:t xml:space="preserve"> I, 478.</w:t>
      </w:r>
    </w:p>
  </w:footnote>
  <w:footnote w:id="1201">
    <w:p w14:paraId="2E876A13" w14:textId="0019D081" w:rsidR="00B93ED5" w:rsidRPr="009D7635" w:rsidRDefault="00B93ED5" w:rsidP="00665333">
      <w:pPr>
        <w:autoSpaceDE w:val="0"/>
        <w:autoSpaceDN w:val="0"/>
        <w:adjustRightInd w:val="0"/>
        <w:ind w:right="-720"/>
        <w:rPr>
          <w:rFonts w:ascii="Times New Roman" w:hAnsi="Times New Roman" w:cs="Times New Roman"/>
          <w:color w:val="000000" w:themeColor="text1"/>
          <w:kern w:val="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Odon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Lottin</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Psychologie</w:t>
      </w:r>
      <w:proofErr w:type="spellEnd"/>
      <w:r w:rsidRPr="009D7635">
        <w:rPr>
          <w:rFonts w:ascii="Times New Roman" w:hAnsi="Times New Roman" w:cs="Times New Roman"/>
          <w:i/>
          <w:color w:val="000000" w:themeColor="text1"/>
          <w:sz w:val="20"/>
          <w:szCs w:val="20"/>
        </w:rPr>
        <w:t xml:space="preserve"> et morale</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vol. 1, 1</w:t>
      </w:r>
      <w:r w:rsidRPr="009D7635">
        <w:rPr>
          <w:rFonts w:ascii="Times New Roman" w:hAnsi="Times New Roman" w:cs="Times New Roman"/>
          <w:color w:val="000000" w:themeColor="text1"/>
          <w:kern w:val="1"/>
          <w:sz w:val="20"/>
          <w:szCs w:val="20"/>
          <w:lang w:val="en-US"/>
        </w:rPr>
        <w:t xml:space="preserve">40-9: the </w:t>
      </w:r>
      <w:r w:rsidRPr="009D7635">
        <w:rPr>
          <w:rFonts w:ascii="Times New Roman" w:hAnsi="Times New Roman" w:cs="Times New Roman"/>
          <w:i/>
          <w:color w:val="000000" w:themeColor="text1"/>
          <w:kern w:val="1"/>
          <w:sz w:val="20"/>
          <w:szCs w:val="20"/>
          <w:lang w:val="en-US"/>
        </w:rPr>
        <w:t xml:space="preserve">Summa </w:t>
      </w:r>
      <w:proofErr w:type="spellStart"/>
      <w:r w:rsidRPr="009D7635">
        <w:rPr>
          <w:rFonts w:ascii="Times New Roman" w:hAnsi="Times New Roman" w:cs="Times New Roman"/>
          <w:i/>
          <w:color w:val="000000" w:themeColor="text1"/>
          <w:kern w:val="1"/>
          <w:sz w:val="20"/>
          <w:szCs w:val="20"/>
          <w:lang w:val="en-US"/>
        </w:rPr>
        <w:t>Halensis</w:t>
      </w:r>
      <w:proofErr w:type="spellEnd"/>
      <w:r w:rsidRPr="009D7635">
        <w:rPr>
          <w:rFonts w:ascii="Times New Roman" w:hAnsi="Times New Roman" w:cs="Times New Roman"/>
          <w:i/>
          <w:color w:val="000000" w:themeColor="text1"/>
          <w:kern w:val="1"/>
          <w:sz w:val="20"/>
          <w:szCs w:val="20"/>
          <w:lang w:val="en-US"/>
        </w:rPr>
        <w:t xml:space="preserve"> </w:t>
      </w:r>
      <w:r w:rsidRPr="009D7635">
        <w:rPr>
          <w:rFonts w:ascii="Times New Roman" w:hAnsi="Times New Roman" w:cs="Times New Roman"/>
          <w:color w:val="000000" w:themeColor="text1"/>
          <w:kern w:val="1"/>
          <w:sz w:val="20"/>
          <w:szCs w:val="20"/>
          <w:lang w:val="en-US"/>
        </w:rPr>
        <w:t>on free will.</w:t>
      </w:r>
    </w:p>
  </w:footnote>
  <w:footnote w:id="1202">
    <w:p w14:paraId="1BFD295B"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T3, C3, Ar2, 476.</w:t>
      </w:r>
    </w:p>
  </w:footnote>
  <w:footnote w:id="1203">
    <w:p w14:paraId="5A28425A" w14:textId="77777777" w:rsidR="00B93ED5" w:rsidRPr="009D7635" w:rsidRDefault="00B93ED5" w:rsidP="00665333">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T3, C3, Ar2, Ad a, 476, citing </w:t>
      </w:r>
      <w:r w:rsidRPr="009D7635">
        <w:rPr>
          <w:rFonts w:ascii="Times New Roman" w:hAnsi="Times New Roman" w:cs="Times New Roman"/>
          <w:i/>
          <w:color w:val="000000" w:themeColor="text1"/>
        </w:rPr>
        <w:t xml:space="preserve">De </w:t>
      </w:r>
      <w:proofErr w:type="spellStart"/>
      <w:r w:rsidRPr="009D7635">
        <w:rPr>
          <w:rFonts w:ascii="Times New Roman" w:hAnsi="Times New Roman" w:cs="Times New Roman"/>
          <w:i/>
          <w:color w:val="000000" w:themeColor="text1"/>
        </w:rPr>
        <w:t>libero</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arbitrio</w:t>
      </w:r>
      <w:proofErr w:type="spellEnd"/>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3.3.7, 476. </w:t>
      </w:r>
    </w:p>
  </w:footnote>
  <w:footnote w:id="1204">
    <w:p w14:paraId="55865CAC" w14:textId="171EA869" w:rsidR="00B93ED5" w:rsidRPr="009D7635" w:rsidRDefault="00B93ED5" w:rsidP="00431AF7">
      <w:pPr>
        <w:autoSpaceDE w:val="0"/>
        <w:autoSpaceDN w:val="0"/>
        <w:adjustRightInd w:val="0"/>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Q3, T3, C3, Ar3, Ad </w:t>
      </w:r>
      <w:proofErr w:type="spellStart"/>
      <w:r w:rsidRPr="009D7635">
        <w:rPr>
          <w:rFonts w:ascii="Times New Roman" w:hAnsi="Times New Roman" w:cs="Times New Roman"/>
          <w:color w:val="000000" w:themeColor="text1"/>
          <w:sz w:val="20"/>
          <w:szCs w:val="20"/>
        </w:rPr>
        <w:t>objecta</w:t>
      </w:r>
      <w:proofErr w:type="spellEnd"/>
      <w:r w:rsidRPr="009D7635">
        <w:rPr>
          <w:rFonts w:ascii="Times New Roman" w:hAnsi="Times New Roman" w:cs="Times New Roman"/>
          <w:color w:val="000000" w:themeColor="text1"/>
          <w:sz w:val="20"/>
          <w:szCs w:val="20"/>
        </w:rPr>
        <w:t xml:space="preserve"> 1-5, 471: </w:t>
      </w:r>
      <w:r w:rsidRPr="009D7635">
        <w:rPr>
          <w:rFonts w:ascii="Times New Roman" w:hAnsi="Times New Roman" w:cs="Times New Roman"/>
          <w:i/>
          <w:iCs/>
          <w:color w:val="000000" w:themeColor="text1"/>
          <w:sz w:val="20"/>
          <w:szCs w:val="20"/>
        </w:rPr>
        <w:t xml:space="preserve">Ad </w:t>
      </w:r>
      <w:proofErr w:type="spellStart"/>
      <w:r w:rsidRPr="009D7635">
        <w:rPr>
          <w:rFonts w:ascii="Times New Roman" w:hAnsi="Times New Roman" w:cs="Times New Roman"/>
          <w:i/>
          <w:iCs/>
          <w:color w:val="000000" w:themeColor="text1"/>
          <w:sz w:val="20"/>
          <w:szCs w:val="20"/>
        </w:rPr>
        <w:t>illlas</w:t>
      </w:r>
      <w:proofErr w:type="spellEnd"/>
      <w:r w:rsidRPr="009D7635">
        <w:rPr>
          <w:rFonts w:ascii="Times New Roman" w:hAnsi="Times New Roman" w:cs="Times New Roman"/>
          <w:i/>
          <w:iCs/>
          <w:color w:val="000000" w:themeColor="text1"/>
          <w:sz w:val="20"/>
          <w:szCs w:val="20"/>
        </w:rPr>
        <w:t xml:space="preserve"> ergo </w:t>
      </w:r>
      <w:proofErr w:type="spellStart"/>
      <w:r w:rsidRPr="009D7635">
        <w:rPr>
          <w:rFonts w:ascii="Times New Roman" w:hAnsi="Times New Roman" w:cs="Times New Roman"/>
          <w:i/>
          <w:iCs/>
          <w:color w:val="000000" w:themeColor="text1"/>
          <w:sz w:val="20"/>
          <w:szCs w:val="20"/>
        </w:rPr>
        <w:t>auctoritates</w:t>
      </w:r>
      <w:proofErr w:type="spellEnd"/>
      <w:r w:rsidRPr="009D7635">
        <w:rPr>
          <w:rFonts w:ascii="Times New Roman" w:hAnsi="Times New Roman" w:cs="Times New Roman"/>
          <w:i/>
          <w:iCs/>
          <w:color w:val="000000" w:themeColor="text1"/>
          <w:sz w:val="20"/>
          <w:szCs w:val="20"/>
        </w:rPr>
        <w:t xml:space="preserve"> Sanctorum, </w:t>
      </w:r>
      <w:proofErr w:type="spellStart"/>
      <w:r w:rsidRPr="009D7635">
        <w:rPr>
          <w:rFonts w:ascii="Times New Roman" w:hAnsi="Times New Roman" w:cs="Times New Roman"/>
          <w:i/>
          <w:iCs/>
          <w:color w:val="000000" w:themeColor="text1"/>
          <w:sz w:val="20"/>
          <w:szCs w:val="20"/>
        </w:rPr>
        <w:t>quae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videntur</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concludere</w:t>
      </w:r>
      <w:proofErr w:type="spellEnd"/>
      <w:r w:rsidRPr="009D7635">
        <w:rPr>
          <w:rFonts w:ascii="Times New Roman" w:hAnsi="Times New Roman" w:cs="Times New Roman"/>
          <w:i/>
          <w:iCs/>
          <w:color w:val="000000" w:themeColor="text1"/>
          <w:sz w:val="20"/>
          <w:szCs w:val="20"/>
        </w:rPr>
        <w:t xml:space="preserve"> quod </w:t>
      </w:r>
      <w:proofErr w:type="spellStart"/>
      <w:r w:rsidRPr="009D7635">
        <w:rPr>
          <w:rFonts w:ascii="Times New Roman" w:hAnsi="Times New Roman" w:cs="Times New Roman"/>
          <w:i/>
          <w:iCs/>
          <w:color w:val="000000" w:themeColor="text1"/>
          <w:sz w:val="20"/>
          <w:szCs w:val="20"/>
        </w:rPr>
        <w:t>liberum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arbitrium</w:t>
      </w:r>
      <w:proofErr w:type="spellEnd"/>
      <w:r w:rsidRPr="009D7635">
        <w:rPr>
          <w:rFonts w:ascii="Times New Roman" w:hAnsi="Times New Roman" w:cs="Times New Roman"/>
          <w:i/>
          <w:iCs/>
          <w:color w:val="000000" w:themeColor="text1"/>
          <w:sz w:val="20"/>
          <w:szCs w:val="20"/>
        </w:rPr>
        <w:t xml:space="preserve"> sit </w:t>
      </w:r>
      <w:proofErr w:type="spellStart"/>
      <w:r w:rsidRPr="009D7635">
        <w:rPr>
          <w:rFonts w:ascii="Times New Roman" w:hAnsi="Times New Roman" w:cs="Times New Roman"/>
          <w:i/>
          <w:iCs/>
          <w:color w:val="000000" w:themeColor="text1"/>
          <w:sz w:val="20"/>
          <w:szCs w:val="20"/>
        </w:rPr>
        <w:t>voluntas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dicendum</w:t>
      </w:r>
      <w:proofErr w:type="spellEnd"/>
      <w:r w:rsidRPr="009D7635">
        <w:rPr>
          <w:rFonts w:ascii="Times New Roman" w:hAnsi="Times New Roman" w:cs="Times New Roman"/>
          <w:i/>
          <w:iCs/>
          <w:color w:val="000000" w:themeColor="text1"/>
          <w:sz w:val="20"/>
          <w:szCs w:val="20"/>
        </w:rPr>
        <w:t xml:space="preserve"> quod </w:t>
      </w:r>
      <w:proofErr w:type="spellStart"/>
      <w:r w:rsidRPr="009D7635">
        <w:rPr>
          <w:rFonts w:ascii="Times New Roman" w:hAnsi="Times New Roman" w:cs="Times New Roman"/>
          <w:i/>
          <w:iCs/>
          <w:color w:val="000000" w:themeColor="text1"/>
          <w:sz w:val="20"/>
          <w:szCs w:val="20"/>
        </w:rPr>
        <w:t>Sancti</w:t>
      </w:r>
      <w:proofErr w:type="spellEnd"/>
      <w:r w:rsidRPr="009D7635">
        <w:rPr>
          <w:rFonts w:ascii="Times New Roman" w:hAnsi="Times New Roman" w:cs="Times New Roman"/>
          <w:i/>
          <w:iCs/>
          <w:color w:val="000000" w:themeColor="text1"/>
          <w:sz w:val="20"/>
          <w:szCs w:val="20"/>
        </w:rPr>
        <w:t xml:space="preserve"> non </w:t>
      </w:r>
      <w:proofErr w:type="spellStart"/>
      <w:r w:rsidRPr="009D7635">
        <w:rPr>
          <w:rFonts w:ascii="Times New Roman" w:hAnsi="Times New Roman" w:cs="Times New Roman"/>
          <w:i/>
          <w:iCs/>
          <w:color w:val="000000" w:themeColor="text1"/>
          <w:sz w:val="20"/>
          <w:szCs w:val="20"/>
        </w:rPr>
        <w:t>intendunt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dicere</w:t>
      </w:r>
      <w:proofErr w:type="spellEnd"/>
      <w:r w:rsidRPr="009D7635">
        <w:rPr>
          <w:rFonts w:ascii="Times New Roman" w:hAnsi="Times New Roman" w:cs="Times New Roman"/>
          <w:i/>
          <w:iCs/>
          <w:color w:val="000000" w:themeColor="text1"/>
          <w:sz w:val="20"/>
          <w:szCs w:val="20"/>
        </w:rPr>
        <w:t xml:space="preserve"> quod </w:t>
      </w:r>
      <w:proofErr w:type="spellStart"/>
      <w:r w:rsidRPr="009D7635">
        <w:rPr>
          <w:rFonts w:ascii="Times New Roman" w:hAnsi="Times New Roman" w:cs="Times New Roman"/>
          <w:i/>
          <w:iCs/>
          <w:color w:val="000000" w:themeColor="text1"/>
          <w:sz w:val="20"/>
          <w:szCs w:val="20"/>
        </w:rPr>
        <w:t>liberum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arbitrium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essentialiter</w:t>
      </w:r>
      <w:proofErr w:type="spellEnd"/>
      <w:r w:rsidRPr="009D7635">
        <w:rPr>
          <w:rFonts w:ascii="Times New Roman" w:hAnsi="Times New Roman" w:cs="Times New Roman"/>
          <w:i/>
          <w:iCs/>
          <w:color w:val="000000" w:themeColor="text1"/>
          <w:sz w:val="20"/>
          <w:szCs w:val="20"/>
        </w:rPr>
        <w:t xml:space="preserve"> sit </w:t>
      </w:r>
      <w:proofErr w:type="spellStart"/>
      <w:r w:rsidRPr="009D7635">
        <w:rPr>
          <w:rFonts w:ascii="Times New Roman" w:hAnsi="Times New Roman" w:cs="Times New Roman"/>
          <w:i/>
          <w:iCs/>
          <w:color w:val="000000" w:themeColor="text1"/>
          <w:sz w:val="20"/>
          <w:szCs w:val="20"/>
        </w:rPr>
        <w:t>voluntas</w:t>
      </w:r>
      <w:proofErr w:type="spellEnd"/>
      <w:r w:rsidRPr="009D7635">
        <w:rPr>
          <w:rFonts w:ascii="Times New Roman" w:hAnsi="Times New Roman" w:cs="Times New Roman"/>
          <w:i/>
          <w:iCs/>
          <w:color w:val="000000" w:themeColor="text1"/>
          <w:sz w:val="20"/>
          <w:szCs w:val="20"/>
        </w:rPr>
        <w:t xml:space="preserve">, sed quod penes </w:t>
      </w:r>
      <w:proofErr w:type="spellStart"/>
      <w:r w:rsidRPr="009D7635">
        <w:rPr>
          <w:rFonts w:ascii="Times New Roman" w:hAnsi="Times New Roman" w:cs="Times New Roman"/>
          <w:i/>
          <w:iCs/>
          <w:color w:val="000000" w:themeColor="text1"/>
          <w:sz w:val="20"/>
          <w:szCs w:val="20"/>
        </w:rPr>
        <w:t>illam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principaliter</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attenditur</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libertas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unde</w:t>
      </w:r>
      <w:proofErr w:type="spellEnd"/>
      <w:r w:rsidRPr="009D7635">
        <w:rPr>
          <w:rFonts w:ascii="Times New Roman" w:hAnsi="Times New Roman" w:cs="Times New Roman"/>
          <w:i/>
          <w:iCs/>
          <w:color w:val="000000" w:themeColor="text1"/>
          <w:sz w:val="20"/>
          <w:szCs w:val="20"/>
        </w:rPr>
        <w:t xml:space="preserve"> ob </w:t>
      </w:r>
      <w:proofErr w:type="spellStart"/>
      <w:r w:rsidRPr="009D7635">
        <w:rPr>
          <w:rFonts w:ascii="Times New Roman" w:hAnsi="Times New Roman" w:cs="Times New Roman"/>
          <w:i/>
          <w:iCs/>
          <w:color w:val="000000" w:themeColor="text1"/>
          <w:sz w:val="20"/>
          <w:szCs w:val="20"/>
        </w:rPr>
        <w:t>hanc</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solam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rationem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dicitur</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liberum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arbitrium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voluntas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quia</w:t>
      </w:r>
      <w:proofErr w:type="spellEnd"/>
      <w:r w:rsidRPr="009D7635">
        <w:rPr>
          <w:rFonts w:ascii="Times New Roman" w:hAnsi="Times New Roman" w:cs="Times New Roman"/>
          <w:i/>
          <w:iCs/>
          <w:color w:val="000000" w:themeColor="text1"/>
          <w:sz w:val="20"/>
          <w:szCs w:val="20"/>
        </w:rPr>
        <w:t xml:space="preserve"> penes </w:t>
      </w:r>
      <w:proofErr w:type="spellStart"/>
      <w:r w:rsidRPr="009D7635">
        <w:rPr>
          <w:rFonts w:ascii="Times New Roman" w:hAnsi="Times New Roman" w:cs="Times New Roman"/>
          <w:i/>
          <w:iCs/>
          <w:color w:val="000000" w:themeColor="text1"/>
          <w:sz w:val="20"/>
          <w:szCs w:val="20"/>
        </w:rPr>
        <w:t>illam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principaliter</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attenditur</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libertas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eius</w:t>
      </w:r>
      <w:proofErr w:type="spellEnd"/>
      <w:r w:rsidRPr="009D7635">
        <w:rPr>
          <w:rFonts w:ascii="Times New Roman" w:hAnsi="Times New Roman" w:cs="Times New Roman"/>
          <w:i/>
          <w:iCs/>
          <w:color w:val="000000" w:themeColor="text1"/>
          <w:sz w:val="20"/>
          <w:szCs w:val="20"/>
        </w:rPr>
        <w:t>.</w:t>
      </w:r>
    </w:p>
  </w:footnote>
  <w:footnote w:id="1205">
    <w:p w14:paraId="1E9E147E" w14:textId="77777777" w:rsidR="00B93ED5" w:rsidRPr="009D7635" w:rsidRDefault="00B93ED5" w:rsidP="00665333">
      <w:pPr>
        <w:pStyle w:val="FootnoteText"/>
        <w:rPr>
          <w:rFonts w:ascii="Times New Roman" w:hAnsi="Times New Roman" w:cs="Times New Roman"/>
          <w:i/>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S2, Q3, T3, C3, Ar4, ad c, 478: </w:t>
      </w:r>
      <w:proofErr w:type="spellStart"/>
      <w:r w:rsidRPr="009D7635">
        <w:rPr>
          <w:rFonts w:ascii="Times New Roman" w:hAnsi="Times New Roman" w:cs="Times New Roman"/>
          <w:i/>
          <w:color w:val="000000" w:themeColor="text1"/>
        </w:rPr>
        <w:t>Liberum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arbitrium</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est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potestas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faciendi</w:t>
      </w:r>
      <w:proofErr w:type="spellEnd"/>
      <w:r w:rsidRPr="009D7635">
        <w:rPr>
          <w:rFonts w:ascii="Times New Roman" w:hAnsi="Times New Roman" w:cs="Times New Roman"/>
          <w:i/>
          <w:color w:val="000000" w:themeColor="text1"/>
        </w:rPr>
        <w:t xml:space="preserve"> quodlibet </w:t>
      </w:r>
      <w:proofErr w:type="spellStart"/>
      <w:r w:rsidRPr="009D7635">
        <w:rPr>
          <w:rFonts w:ascii="Times New Roman" w:hAnsi="Times New Roman" w:cs="Times New Roman"/>
          <w:i/>
          <w:color w:val="000000" w:themeColor="text1"/>
        </w:rPr>
        <w:t>aut</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potestas</w:t>
      </w:r>
      <w:proofErr w:type="spellEnd"/>
      <w:r w:rsidRPr="009D7635">
        <w:rPr>
          <w:rFonts w:ascii="Times New Roman" w:hAnsi="Times New Roman" w:cs="Times New Roman"/>
          <w:i/>
          <w:color w:val="000000" w:themeColor="text1"/>
        </w:rPr>
        <w:t xml:space="preserve"> ad </w:t>
      </w:r>
      <w:proofErr w:type="spellStart"/>
      <w:r w:rsidRPr="009D7635">
        <w:rPr>
          <w:rFonts w:ascii="Times New Roman" w:hAnsi="Times New Roman" w:cs="Times New Roman"/>
          <w:i/>
          <w:color w:val="000000" w:themeColor="text1"/>
        </w:rPr>
        <w:t>opposita</w:t>
      </w:r>
      <w:proofErr w:type="spellEnd"/>
      <w:r w:rsidRPr="009D7635">
        <w:rPr>
          <w:rFonts w:ascii="Times New Roman" w:hAnsi="Times New Roman" w:cs="Times New Roman"/>
          <w:i/>
          <w:color w:val="000000" w:themeColor="text1"/>
        </w:rPr>
        <w:t>.</w:t>
      </w:r>
    </w:p>
  </w:footnote>
  <w:footnote w:id="1206">
    <w:p w14:paraId="3184EFBB" w14:textId="07A4CA04"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Oleg Bychkov, ‘</w:t>
      </w:r>
      <w:r w:rsidRPr="009D7635">
        <w:rPr>
          <w:rFonts w:ascii="Times New Roman" w:hAnsi="Times New Roman" w:cs="Times New Roman"/>
          <w:i/>
          <w:color w:val="000000" w:themeColor="text1"/>
        </w:rPr>
        <w:t xml:space="preserve">Decor ex </w:t>
      </w:r>
      <w:proofErr w:type="spellStart"/>
      <w:r w:rsidRPr="009D7635">
        <w:rPr>
          <w:rFonts w:ascii="Times New Roman" w:hAnsi="Times New Roman" w:cs="Times New Roman"/>
          <w:i/>
          <w:color w:val="000000" w:themeColor="text1"/>
        </w:rPr>
        <w:t>praesentia</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mali</w:t>
      </w:r>
      <w:proofErr w:type="spellEnd"/>
      <w:r w:rsidRPr="009D7635">
        <w:rPr>
          <w:rFonts w:ascii="Times New Roman" w:hAnsi="Times New Roman" w:cs="Times New Roman"/>
          <w:color w:val="000000" w:themeColor="text1"/>
        </w:rPr>
        <w:t xml:space="preserve">: Aesthetic Explanations of Evil in Thirteenth-Century Franciscan Thought,’ </w:t>
      </w:r>
      <w:proofErr w:type="spellStart"/>
      <w:r w:rsidR="00EA2994" w:rsidRPr="00A04EE7">
        <w:rPr>
          <w:rFonts w:ascii="Times New Roman" w:hAnsi="Times New Roman" w:cs="Times New Roman"/>
          <w:i/>
          <w:iCs/>
        </w:rPr>
        <w:t>Recherches</w:t>
      </w:r>
      <w:proofErr w:type="spellEnd"/>
      <w:r w:rsidR="00EA2994" w:rsidRPr="00A04EE7">
        <w:rPr>
          <w:rFonts w:ascii="Times New Roman" w:hAnsi="Times New Roman" w:cs="Times New Roman"/>
          <w:i/>
          <w:iCs/>
        </w:rPr>
        <w:t xml:space="preserve"> de </w:t>
      </w:r>
      <w:proofErr w:type="spellStart"/>
      <w:r w:rsidR="00EA2994">
        <w:rPr>
          <w:rFonts w:ascii="Times New Roman" w:hAnsi="Times New Roman" w:cs="Times New Roman"/>
          <w:i/>
          <w:iCs/>
        </w:rPr>
        <w:t>t</w:t>
      </w:r>
      <w:r w:rsidR="00EA2994" w:rsidRPr="00A04EE7">
        <w:rPr>
          <w:rFonts w:ascii="Times New Roman" w:hAnsi="Times New Roman" w:cs="Times New Roman"/>
          <w:i/>
          <w:iCs/>
        </w:rPr>
        <w:t>héologie</w:t>
      </w:r>
      <w:proofErr w:type="spellEnd"/>
      <w:r w:rsidR="00EA2994" w:rsidRPr="00A04EE7">
        <w:rPr>
          <w:rFonts w:ascii="Times New Roman" w:hAnsi="Times New Roman" w:cs="Times New Roman"/>
          <w:i/>
          <w:iCs/>
        </w:rPr>
        <w:t xml:space="preserve"> et </w:t>
      </w:r>
      <w:proofErr w:type="spellStart"/>
      <w:r w:rsidR="00EA2994">
        <w:rPr>
          <w:rFonts w:ascii="Times New Roman" w:hAnsi="Times New Roman" w:cs="Times New Roman"/>
          <w:i/>
          <w:iCs/>
        </w:rPr>
        <w:t>p</w:t>
      </w:r>
      <w:r w:rsidR="00EA2994" w:rsidRPr="00A04EE7">
        <w:rPr>
          <w:rFonts w:ascii="Times New Roman" w:hAnsi="Times New Roman" w:cs="Times New Roman"/>
          <w:i/>
          <w:iCs/>
        </w:rPr>
        <w:t>hilosophie</w:t>
      </w:r>
      <w:proofErr w:type="spellEnd"/>
      <w:r w:rsidR="00EA2994" w:rsidRPr="00A04EE7">
        <w:rPr>
          <w:rFonts w:ascii="Times New Roman" w:hAnsi="Times New Roman" w:cs="Times New Roman"/>
          <w:i/>
          <w:iCs/>
        </w:rPr>
        <w:t xml:space="preserve"> </w:t>
      </w:r>
      <w:proofErr w:type="spellStart"/>
      <w:r w:rsidR="00EA2994" w:rsidRPr="00A04EE7">
        <w:rPr>
          <w:rFonts w:ascii="Times New Roman" w:hAnsi="Times New Roman" w:cs="Times New Roman"/>
          <w:i/>
          <w:iCs/>
        </w:rPr>
        <w:t>médiévales</w:t>
      </w:r>
      <w:proofErr w:type="spellEnd"/>
      <w:r w:rsidR="00EA2994" w:rsidRPr="00A04EE7">
        <w:rPr>
          <w:rFonts w:ascii="Times New Roman" w:hAnsi="Times New Roman" w:cs="Times New Roman"/>
          <w:i/>
          <w:iCs/>
        </w:rPr>
        <w:t xml:space="preserve"> </w:t>
      </w:r>
      <w:r w:rsidRPr="009D7635">
        <w:rPr>
          <w:rFonts w:ascii="Times New Roman" w:hAnsi="Times New Roman" w:cs="Times New Roman"/>
          <w:color w:val="000000" w:themeColor="text1"/>
        </w:rPr>
        <w:t>68:1 (2001)</w:t>
      </w:r>
      <w:r w:rsidR="00CE63EB"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rPr>
        <w:t>250-1.</w:t>
      </w:r>
    </w:p>
  </w:footnote>
  <w:footnote w:id="1207">
    <w:p w14:paraId="53ED9720"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Oleg Bychkov, ‘Aesthetic Explanations of Evil,’ 265.</w:t>
      </w:r>
    </w:p>
  </w:footnote>
  <w:footnote w:id="1208">
    <w:p w14:paraId="5CCB7752" w14:textId="7D78903E" w:rsidR="00B93ED5" w:rsidRPr="009D7635" w:rsidRDefault="00B93ED5" w:rsidP="0066533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2.2, In1, Tr1, Q3, M1, C3,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11; cf. C5,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13: </w:t>
      </w:r>
      <w:proofErr w:type="spellStart"/>
      <w:r w:rsidRPr="009D7635">
        <w:rPr>
          <w:rFonts w:ascii="Times New Roman" w:hAnsi="Times New Roman" w:cs="Times New Roman"/>
          <w:i/>
          <w:color w:val="000000" w:themeColor="text1"/>
          <w:sz w:val="20"/>
          <w:szCs w:val="20"/>
          <w:lang w:val="en-US"/>
        </w:rPr>
        <w:t>Liberum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arbitrium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principium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omnis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mali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culpabilis</w:t>
      </w:r>
      <w:proofErr w:type="spellEnd"/>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w:t>
      </w:r>
      <w:r w:rsidR="00CE63EB" w:rsidRPr="009D7635">
        <w:rPr>
          <w:rFonts w:ascii="Times New Roman" w:hAnsi="Times New Roman" w:cs="Times New Roman"/>
          <w:color w:val="000000" w:themeColor="text1"/>
          <w:sz w:val="20"/>
          <w:szCs w:val="20"/>
          <w:lang w:val="en-US"/>
        </w:rPr>
        <w:t>F</w:t>
      </w:r>
      <w:r w:rsidRPr="009D7635">
        <w:rPr>
          <w:rFonts w:ascii="Times New Roman" w:hAnsi="Times New Roman" w:cs="Times New Roman"/>
          <w:color w:val="000000" w:themeColor="text1"/>
          <w:sz w:val="20"/>
          <w:szCs w:val="20"/>
          <w:lang w:val="en-US"/>
        </w:rPr>
        <w:t xml:space="preserve">ree will is the beginning of all culpable evil). </w:t>
      </w:r>
    </w:p>
  </w:footnote>
  <w:footnote w:id="1209">
    <w:p w14:paraId="04AD76AF" w14:textId="77777777" w:rsidR="00B93ED5" w:rsidRPr="009D7635" w:rsidRDefault="00B93ED5" w:rsidP="00665333">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2.2, In1, Tr1, Q3, M2,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1-2, 14. </w:t>
      </w:r>
    </w:p>
  </w:footnote>
  <w:footnote w:id="1210">
    <w:p w14:paraId="0DAECEA6"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2.2, In1, Tr1, Q1, 1-10, 2.</w:t>
      </w:r>
    </w:p>
  </w:footnote>
  <w:footnote w:id="1211">
    <w:p w14:paraId="063A7D31" w14:textId="0E2F88A2" w:rsidR="00B93ED5" w:rsidRPr="009D7635" w:rsidRDefault="00B93ED5" w:rsidP="0066533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2.2, In1, Tr1, Q1,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3: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enim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quaecumque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veritatem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habent</w:t>
      </w:r>
      <w:proofErr w:type="spellEnd"/>
      <w:r w:rsidRPr="009D7635">
        <w:rPr>
          <w:rFonts w:ascii="Times New Roman" w:hAnsi="Times New Roman" w:cs="Times New Roman"/>
          <w:i/>
          <w:color w:val="000000" w:themeColor="text1"/>
          <w:sz w:val="20"/>
          <w:szCs w:val="20"/>
          <w:lang w:val="en-US"/>
        </w:rPr>
        <w:t xml:space="preserve">, id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adaequationem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rei</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intellectus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dicuntur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entia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secunduni</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hunc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malitia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cum </w:t>
      </w:r>
      <w:proofErr w:type="spellStart"/>
      <w:r w:rsidRPr="009D7635">
        <w:rPr>
          <w:rFonts w:ascii="Times New Roman" w:hAnsi="Times New Roman" w:cs="Times New Roman"/>
          <w:i/>
          <w:color w:val="000000" w:themeColor="text1"/>
          <w:sz w:val="20"/>
          <w:szCs w:val="20"/>
          <w:lang w:val="en-US"/>
        </w:rPr>
        <w:t>deformat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illud</w:t>
      </w:r>
      <w:proofErr w:type="spellEnd"/>
      <w:r w:rsidRPr="009D7635">
        <w:rPr>
          <w:rFonts w:ascii="Times New Roman" w:hAnsi="Times New Roman" w:cs="Times New Roman"/>
          <w:i/>
          <w:color w:val="000000" w:themeColor="text1"/>
          <w:sz w:val="20"/>
          <w:szCs w:val="20"/>
          <w:lang w:val="en-US"/>
        </w:rPr>
        <w:t xml:space="preserve"> in quo est.</w:t>
      </w:r>
    </w:p>
  </w:footnote>
  <w:footnote w:id="1212">
    <w:p w14:paraId="0CE16DD6" w14:textId="50996313" w:rsidR="00B93ED5" w:rsidRPr="009D7635" w:rsidRDefault="00B93ED5" w:rsidP="0066533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2.2, In1, Tr1, Q1,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3: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etiam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naturae</w:t>
      </w:r>
      <w:proofErr w:type="spellEnd"/>
      <w:r w:rsidRPr="009D7635">
        <w:rPr>
          <w:rFonts w:ascii="Times New Roman" w:hAnsi="Times New Roman" w:cs="Times New Roman"/>
          <w:i/>
          <w:color w:val="000000" w:themeColor="text1"/>
          <w:sz w:val="20"/>
          <w:szCs w:val="20"/>
          <w:lang w:val="en-US"/>
        </w:rPr>
        <w:t xml:space="preserve">: et </w:t>
      </w:r>
      <w:proofErr w:type="spellStart"/>
      <w:r w:rsidRPr="009D7635">
        <w:rPr>
          <w:rFonts w:ascii="Times New Roman" w:hAnsi="Times New Roman" w:cs="Times New Roman"/>
          <w:i/>
          <w:color w:val="000000" w:themeColor="text1"/>
          <w:sz w:val="20"/>
          <w:szCs w:val="20"/>
          <w:lang w:val="en-US"/>
        </w:rPr>
        <w:t>secundum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hunc</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modum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eius</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substernitur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malitiae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malum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aliquid</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mala</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actio</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ratione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actionis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dicitur</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aliquid</w:t>
      </w:r>
      <w:proofErr w:type="spellEnd"/>
      <w:r w:rsidRPr="009D7635">
        <w:rPr>
          <w:rFonts w:ascii="Times New Roman" w:hAnsi="Times New Roman" w:cs="Times New Roman"/>
          <w:i/>
          <w:color w:val="000000" w:themeColor="text1"/>
          <w:sz w:val="20"/>
          <w:szCs w:val="20"/>
          <w:lang w:val="en-US"/>
        </w:rPr>
        <w:t>.</w:t>
      </w:r>
    </w:p>
  </w:footnote>
  <w:footnote w:id="1213">
    <w:p w14:paraId="3F3F6496" w14:textId="277AC0E5" w:rsidR="00B93ED5" w:rsidRPr="009D7635" w:rsidRDefault="00B93ED5" w:rsidP="00665333">
      <w:pPr>
        <w:autoSpaceDE w:val="0"/>
        <w:autoSpaceDN w:val="0"/>
        <w:adjustRightInd w:val="0"/>
        <w:rPr>
          <w:rFonts w:ascii="Times New Roman" w:hAnsi="Times New Roman" w:cs="Times New Roman"/>
          <w:i/>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2.2, In1, Tr1, Q1,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3: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iterum</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moris</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prout</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esse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est</w:t>
      </w:r>
      <w:proofErr w:type="spellEnd"/>
      <w:r w:rsidRPr="009D7635">
        <w:rPr>
          <w:rFonts w:ascii="Times New Roman" w:hAnsi="Times New Roman" w:cs="Times New Roman"/>
          <w:i/>
          <w:color w:val="000000" w:themeColor="text1"/>
          <w:sz w:val="20"/>
          <w:szCs w:val="20"/>
          <w:lang w:val="en-US"/>
        </w:rPr>
        <w:t xml:space="preserve"> quod </w:t>
      </w:r>
      <w:proofErr w:type="spellStart"/>
      <w:r w:rsidRPr="009D7635">
        <w:rPr>
          <w:rFonts w:ascii="Times New Roman" w:hAnsi="Times New Roman" w:cs="Times New Roman"/>
          <w:i/>
          <w:color w:val="000000" w:themeColor="text1"/>
          <w:sz w:val="20"/>
          <w:szCs w:val="20"/>
          <w:lang w:val="en-US"/>
        </w:rPr>
        <w:t>ordinem</w:t>
      </w:r>
      <w:proofErr w:type="spellEnd"/>
    </w:p>
    <w:p w14:paraId="7E02B105" w14:textId="77777777" w:rsidR="00B93ED5" w:rsidRPr="009D7635" w:rsidRDefault="00B93ED5" w:rsidP="00665333">
      <w:pPr>
        <w:pStyle w:val="FootnoteText"/>
        <w:rPr>
          <w:rFonts w:ascii="Times New Roman" w:hAnsi="Times New Roman" w:cs="Times New Roman"/>
          <w:i/>
          <w:color w:val="000000" w:themeColor="text1"/>
        </w:rPr>
      </w:pPr>
      <w:proofErr w:type="spellStart"/>
      <w:r w:rsidRPr="009D7635">
        <w:rPr>
          <w:rFonts w:ascii="Times New Roman" w:hAnsi="Times New Roman" w:cs="Times New Roman"/>
          <w:i/>
          <w:color w:val="000000" w:themeColor="text1"/>
          <w:lang w:val="en-US"/>
        </w:rPr>
        <w:t>retinet</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servatque</w:t>
      </w:r>
      <w:proofErr w:type="spellEnd"/>
      <w:r w:rsidRPr="009D7635">
        <w:rPr>
          <w:rFonts w:ascii="Times New Roman" w:hAnsi="Times New Roman" w:cs="Times New Roman"/>
          <w:i/>
          <w:color w:val="000000" w:themeColor="text1"/>
          <w:lang w:val="en-US"/>
        </w:rPr>
        <w:t xml:space="preserve"> </w:t>
      </w:r>
      <w:proofErr w:type="spellStart"/>
      <w:r w:rsidRPr="009D7635">
        <w:rPr>
          <w:rFonts w:ascii="Times New Roman" w:hAnsi="Times New Roman" w:cs="Times New Roman"/>
          <w:i/>
          <w:color w:val="000000" w:themeColor="text1"/>
          <w:lang w:val="en-US"/>
        </w:rPr>
        <w:t>naturam</w:t>
      </w:r>
      <w:proofErr w:type="spellEnd"/>
      <w:r w:rsidRPr="009D7635">
        <w:rPr>
          <w:rFonts w:ascii="Times New Roman" w:hAnsi="Times New Roman" w:cs="Times New Roman"/>
          <w:i/>
          <w:color w:val="000000" w:themeColor="text1"/>
          <w:lang w:val="en-US"/>
        </w:rPr>
        <w:t>.</w:t>
      </w:r>
    </w:p>
  </w:footnote>
  <w:footnote w:id="1214">
    <w:p w14:paraId="34340572" w14:textId="77777777" w:rsidR="00367B84" w:rsidRPr="009D7635" w:rsidRDefault="00367B84" w:rsidP="009B6602">
      <w:pPr>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Theo </w:t>
      </w:r>
      <w:proofErr w:type="spellStart"/>
      <w:r w:rsidRPr="009D7635">
        <w:rPr>
          <w:rFonts w:ascii="Times New Roman" w:hAnsi="Times New Roman" w:cs="Times New Roman"/>
          <w:color w:val="000000" w:themeColor="text1"/>
          <w:sz w:val="20"/>
          <w:szCs w:val="20"/>
        </w:rPr>
        <w:t>Kobusch</w:t>
      </w:r>
      <w:proofErr w:type="spellEnd"/>
      <w:r w:rsidRPr="009D7635">
        <w:rPr>
          <w:rFonts w:ascii="Times New Roman" w:hAnsi="Times New Roman" w:cs="Times New Roman"/>
          <w:color w:val="000000" w:themeColor="text1"/>
          <w:sz w:val="20"/>
          <w:szCs w:val="20"/>
        </w:rPr>
        <w:t>, ‘</w:t>
      </w:r>
      <w:r w:rsidRPr="009D7635">
        <w:rPr>
          <w:rFonts w:ascii="Times New Roman" w:hAnsi="Times New Roman" w:cs="Times New Roman"/>
          <w:color w:val="000000" w:themeColor="text1"/>
          <w:sz w:val="20"/>
          <w:szCs w:val="20"/>
          <w:lang w:val="en-US"/>
        </w:rPr>
        <w:t xml:space="preserve">The </w:t>
      </w:r>
      <w:r w:rsidRPr="009D7635">
        <w:rPr>
          <w:rFonts w:ascii="Times New Roman" w:hAnsi="Times New Roman" w:cs="Times New Roman"/>
          <w:i/>
          <w:color w:val="000000" w:themeColor="text1"/>
          <w:sz w:val="20"/>
          <w:szCs w:val="20"/>
          <w:lang w:val="en-US"/>
        </w:rPr>
        <w:t xml:space="preserve">Summa </w:t>
      </w:r>
      <w:proofErr w:type="spellStart"/>
      <w:r w:rsidRPr="009D7635">
        <w:rPr>
          <w:rFonts w:ascii="Times New Roman" w:hAnsi="Times New Roman" w:cs="Times New Roman"/>
          <w:i/>
          <w:color w:val="000000" w:themeColor="text1"/>
          <w:sz w:val="20"/>
          <w:szCs w:val="20"/>
          <w:lang w:val="en-US"/>
        </w:rPr>
        <w:t>Halensis</w:t>
      </w:r>
      <w:proofErr w:type="spellEnd"/>
      <w:r w:rsidRPr="009D7635">
        <w:rPr>
          <w:rFonts w:ascii="Times New Roman" w:hAnsi="Times New Roman" w:cs="Times New Roman"/>
          <w:color w:val="000000" w:themeColor="text1"/>
          <w:sz w:val="20"/>
          <w:szCs w:val="20"/>
          <w:lang w:val="en-US"/>
        </w:rPr>
        <w:t xml:space="preserve">: Towards a New Concept of Person,’ in </w:t>
      </w:r>
      <w:r w:rsidRPr="009D7635">
        <w:rPr>
          <w:rFonts w:ascii="Times New Roman" w:hAnsi="Times New Roman" w:cs="Times New Roman"/>
          <w:i/>
          <w:color w:val="000000" w:themeColor="text1"/>
          <w:sz w:val="20"/>
          <w:szCs w:val="20"/>
          <w:lang w:val="en-US"/>
        </w:rPr>
        <w:t xml:space="preserve">The Summa </w:t>
      </w:r>
      <w:proofErr w:type="spellStart"/>
      <w:r w:rsidRPr="009D7635">
        <w:rPr>
          <w:rFonts w:ascii="Times New Roman" w:hAnsi="Times New Roman" w:cs="Times New Roman"/>
          <w:i/>
          <w:color w:val="000000" w:themeColor="text1"/>
          <w:sz w:val="20"/>
          <w:szCs w:val="20"/>
          <w:lang w:val="en-US"/>
        </w:rPr>
        <w:t>Halensis</w:t>
      </w:r>
      <w:proofErr w:type="spellEnd"/>
      <w:r w:rsidRPr="009D7635">
        <w:rPr>
          <w:rFonts w:ascii="Times New Roman" w:hAnsi="Times New Roman" w:cs="Times New Roman"/>
          <w:i/>
          <w:color w:val="000000" w:themeColor="text1"/>
          <w:sz w:val="20"/>
          <w:szCs w:val="20"/>
          <w:lang w:val="en-US"/>
        </w:rPr>
        <w:t>: Doctrines and Debates</w:t>
      </w:r>
      <w:r w:rsidRPr="009D7635">
        <w:rPr>
          <w:rFonts w:ascii="Times New Roman" w:hAnsi="Times New Roman" w:cs="Times New Roman"/>
          <w:iCs/>
          <w:color w:val="000000" w:themeColor="text1"/>
          <w:sz w:val="20"/>
          <w:szCs w:val="20"/>
          <w:lang w:val="en-US"/>
        </w:rPr>
        <w:t>,</w:t>
      </w:r>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ed. Lydia Schumacher</w:t>
      </w:r>
      <w:r w:rsidRPr="009D7635">
        <w:rPr>
          <w:rFonts w:ascii="Times New Roman" w:hAnsi="Times New Roman" w:cs="Times New Roman"/>
          <w:i/>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(Berlin: De Gruyter, 2020), 153-70.</w:t>
      </w:r>
    </w:p>
  </w:footnote>
  <w:footnote w:id="1215">
    <w:p w14:paraId="104464D8" w14:textId="6CC62BFD" w:rsidR="009B6602" w:rsidRPr="009D7635" w:rsidRDefault="009B6602" w:rsidP="009B6602">
      <w:pPr>
        <w:pStyle w:val="Heading1"/>
        <w:rPr>
          <w:rFonts w:ascii="Times New Roman" w:eastAsia="Times New Roman" w:hAnsi="Times New Roman" w:cs="Times New Roman"/>
          <w:bCs/>
          <w:color w:val="000000" w:themeColor="text1"/>
          <w:kern w:val="36"/>
          <w:sz w:val="20"/>
          <w:szCs w:val="20"/>
          <w:lang w:eastAsia="en-GB"/>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That said, medieval thinkers also had plenty to say about animals and their commonalities with humans, as Ian P. Wei shows in</w:t>
      </w:r>
      <w:r w:rsidR="003377FA"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Thinking about Animals in Thirteenth-Century Paris: Theologians on the Boundary Between Humans and Animals</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(Cambridge: Cambridge University Press, 2020), 95-115 </w:t>
      </w:r>
      <w:r w:rsidR="003377FA" w:rsidRPr="009D7635">
        <w:rPr>
          <w:rFonts w:ascii="Times New Roman" w:hAnsi="Times New Roman" w:cs="Times New Roman"/>
          <w:color w:val="000000" w:themeColor="text1"/>
          <w:sz w:val="20"/>
          <w:szCs w:val="20"/>
        </w:rPr>
        <w:t>treat the account</w:t>
      </w:r>
      <w:r w:rsidRPr="009D7635">
        <w:rPr>
          <w:rFonts w:ascii="Times New Roman" w:hAnsi="Times New Roman" w:cs="Times New Roman"/>
          <w:color w:val="000000" w:themeColor="text1"/>
          <w:sz w:val="20"/>
          <w:szCs w:val="20"/>
        </w:rPr>
        <w:t xml:space="preserve"> of animals in the </w:t>
      </w:r>
      <w:r w:rsidRPr="009D7635">
        <w:rPr>
          <w:rFonts w:ascii="Times New Roman" w:hAnsi="Times New Roman" w:cs="Times New Roman"/>
          <w:i/>
          <w:iCs/>
          <w:color w:val="000000" w:themeColor="text1"/>
          <w:sz w:val="20"/>
          <w:szCs w:val="20"/>
        </w:rPr>
        <w:t xml:space="preserve">Summa </w:t>
      </w:r>
      <w:proofErr w:type="spellStart"/>
      <w:r w:rsidRPr="009D7635">
        <w:rPr>
          <w:rFonts w:ascii="Times New Roman" w:hAnsi="Times New Roman" w:cs="Times New Roman"/>
          <w:i/>
          <w:iCs/>
          <w:color w:val="000000" w:themeColor="text1"/>
          <w:sz w:val="20"/>
          <w:szCs w:val="20"/>
        </w:rPr>
        <w:t>Halensis</w:t>
      </w:r>
      <w:proofErr w:type="spellEnd"/>
      <w:r w:rsidRPr="009D7635">
        <w:rPr>
          <w:rFonts w:ascii="Times New Roman" w:hAnsi="Times New Roman" w:cs="Times New Roman"/>
          <w:color w:val="000000" w:themeColor="text1"/>
          <w:sz w:val="20"/>
          <w:szCs w:val="20"/>
        </w:rPr>
        <w:t>. See also Dominik Perler, ‘</w:t>
      </w:r>
      <w:r w:rsidRPr="009D7635">
        <w:rPr>
          <w:rFonts w:ascii="Times New Roman" w:eastAsia="Times New Roman" w:hAnsi="Times New Roman" w:cs="Times New Roman"/>
          <w:bCs/>
          <w:color w:val="000000" w:themeColor="text1"/>
          <w:kern w:val="36"/>
          <w:sz w:val="20"/>
          <w:szCs w:val="20"/>
          <w:lang w:eastAsia="en-GB"/>
        </w:rPr>
        <w:t xml:space="preserve">Intentionality and Action: Medieval Discussions on the Cognitive Capacities of Animals,’ in </w:t>
      </w:r>
      <w:r w:rsidRPr="009D7635">
        <w:rPr>
          <w:rFonts w:ascii="Times New Roman" w:eastAsia="Times New Roman" w:hAnsi="Times New Roman" w:cs="Times New Roman"/>
          <w:bCs/>
          <w:i/>
          <w:color w:val="000000" w:themeColor="text1"/>
          <w:kern w:val="36"/>
          <w:sz w:val="20"/>
          <w:szCs w:val="20"/>
          <w:lang w:eastAsia="en-GB"/>
        </w:rPr>
        <w:t>Intellect and Imagination in Medieval Philosophy</w:t>
      </w:r>
      <w:r w:rsidRPr="009D7635">
        <w:rPr>
          <w:rFonts w:ascii="Times New Roman" w:eastAsia="Times New Roman" w:hAnsi="Times New Roman" w:cs="Times New Roman"/>
          <w:bCs/>
          <w:iCs/>
          <w:color w:val="000000" w:themeColor="text1"/>
          <w:kern w:val="36"/>
          <w:sz w:val="20"/>
          <w:szCs w:val="20"/>
          <w:lang w:eastAsia="en-GB"/>
        </w:rPr>
        <w:t xml:space="preserve">, </w:t>
      </w:r>
      <w:r w:rsidRPr="009D7635">
        <w:rPr>
          <w:rFonts w:ascii="Times New Roman" w:eastAsia="Times New Roman" w:hAnsi="Times New Roman" w:cs="Times New Roman"/>
          <w:bCs/>
          <w:color w:val="000000" w:themeColor="text1"/>
          <w:kern w:val="36"/>
          <w:sz w:val="20"/>
          <w:szCs w:val="20"/>
          <w:lang w:eastAsia="en-GB"/>
        </w:rPr>
        <w:t xml:space="preserve">ed. M.C. Pacheco and José </w:t>
      </w:r>
      <w:proofErr w:type="spellStart"/>
      <w:r w:rsidRPr="009D7635">
        <w:rPr>
          <w:rFonts w:ascii="Times New Roman" w:eastAsia="Times New Roman" w:hAnsi="Times New Roman" w:cs="Times New Roman"/>
          <w:bCs/>
          <w:color w:val="000000" w:themeColor="text1"/>
          <w:kern w:val="36"/>
          <w:sz w:val="20"/>
          <w:szCs w:val="20"/>
          <w:lang w:eastAsia="en-GB"/>
        </w:rPr>
        <w:t>Meirinhos</w:t>
      </w:r>
      <w:proofErr w:type="spellEnd"/>
      <w:r w:rsidRPr="009D7635">
        <w:rPr>
          <w:rFonts w:ascii="Times New Roman" w:eastAsia="Times New Roman" w:hAnsi="Times New Roman" w:cs="Times New Roman"/>
          <w:bCs/>
          <w:color w:val="000000" w:themeColor="text1"/>
          <w:kern w:val="36"/>
          <w:sz w:val="20"/>
          <w:szCs w:val="20"/>
          <w:lang w:eastAsia="en-GB"/>
        </w:rPr>
        <w:t xml:space="preserve"> (</w:t>
      </w:r>
      <w:proofErr w:type="spellStart"/>
      <w:r w:rsidRPr="009D7635">
        <w:rPr>
          <w:rFonts w:ascii="Times New Roman" w:eastAsia="Times New Roman" w:hAnsi="Times New Roman" w:cs="Times New Roman"/>
          <w:bCs/>
          <w:color w:val="000000" w:themeColor="text1"/>
          <w:kern w:val="36"/>
          <w:sz w:val="20"/>
          <w:szCs w:val="20"/>
          <w:lang w:eastAsia="en-GB"/>
        </w:rPr>
        <w:t>Turnhout</w:t>
      </w:r>
      <w:proofErr w:type="spellEnd"/>
      <w:r w:rsidRPr="009D7635">
        <w:rPr>
          <w:rFonts w:ascii="Times New Roman" w:eastAsia="Times New Roman" w:hAnsi="Times New Roman" w:cs="Times New Roman"/>
          <w:bCs/>
          <w:color w:val="000000" w:themeColor="text1"/>
          <w:kern w:val="36"/>
          <w:sz w:val="20"/>
          <w:szCs w:val="20"/>
          <w:lang w:eastAsia="en-GB"/>
        </w:rPr>
        <w:t xml:space="preserve">: </w:t>
      </w:r>
      <w:proofErr w:type="spellStart"/>
      <w:r w:rsidRPr="009D7635">
        <w:rPr>
          <w:rFonts w:ascii="Times New Roman" w:eastAsia="Times New Roman" w:hAnsi="Times New Roman" w:cs="Times New Roman"/>
          <w:bCs/>
          <w:color w:val="000000" w:themeColor="text1"/>
          <w:kern w:val="36"/>
          <w:sz w:val="20"/>
          <w:szCs w:val="20"/>
          <w:lang w:eastAsia="en-GB"/>
        </w:rPr>
        <w:t>Brepols</w:t>
      </w:r>
      <w:proofErr w:type="spellEnd"/>
      <w:r w:rsidRPr="009D7635">
        <w:rPr>
          <w:rFonts w:ascii="Times New Roman" w:eastAsia="Times New Roman" w:hAnsi="Times New Roman" w:cs="Times New Roman"/>
          <w:bCs/>
          <w:color w:val="000000" w:themeColor="text1"/>
          <w:kern w:val="36"/>
          <w:sz w:val="20"/>
          <w:szCs w:val="20"/>
          <w:lang w:eastAsia="en-GB"/>
        </w:rPr>
        <w:t>, 2006), 73-98.</w:t>
      </w:r>
    </w:p>
  </w:footnote>
  <w:footnote w:id="1216">
    <w:p w14:paraId="2ADD6F2A" w14:textId="77777777"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David Keck, </w:t>
      </w:r>
      <w:r w:rsidRPr="009D7635">
        <w:rPr>
          <w:rFonts w:ascii="Times New Roman" w:hAnsi="Times New Roman" w:cs="Times New Roman"/>
          <w:i/>
          <w:color w:val="000000" w:themeColor="text1"/>
        </w:rPr>
        <w:t>Angels and Angelology in the Middle Ages</w:t>
      </w:r>
      <w:r w:rsidRPr="009D7635">
        <w:rPr>
          <w:rFonts w:ascii="Times New Roman" w:hAnsi="Times New Roman" w:cs="Times New Roman"/>
          <w:color w:val="000000" w:themeColor="text1"/>
        </w:rPr>
        <w:t xml:space="preserve"> (Oxford: Oxford University Press, 1998), 16. Keck’s analysis focuses on Aquinas and Bonaventure, whom he sees as a follower of the Summa on this topic (94).</w:t>
      </w:r>
    </w:p>
  </w:footnote>
  <w:footnote w:id="1217">
    <w:p w14:paraId="0BFE56AF" w14:textId="060A1FCB" w:rsidR="009B6602" w:rsidRPr="009D7635" w:rsidRDefault="009B6602" w:rsidP="009B6602">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David Keck, </w:t>
      </w:r>
      <w:r w:rsidRPr="009D7635">
        <w:rPr>
          <w:rFonts w:ascii="Times New Roman" w:hAnsi="Times New Roman" w:cs="Times New Roman"/>
          <w:i/>
          <w:color w:val="000000" w:themeColor="text1"/>
          <w:sz w:val="20"/>
          <w:szCs w:val="20"/>
        </w:rPr>
        <w:t>Angels and Angelology in the Middle Ages</w:t>
      </w:r>
      <w:r w:rsidRPr="009D7635">
        <w:rPr>
          <w:rFonts w:ascii="Times New Roman" w:hAnsi="Times New Roman" w:cs="Times New Roman"/>
          <w:color w:val="000000" w:themeColor="text1"/>
          <w:sz w:val="20"/>
          <w:szCs w:val="20"/>
        </w:rPr>
        <w:t>, 75</w:t>
      </w:r>
      <w:r w:rsidR="003377FA"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see also Marcia L. Colish, ‘Early Scholastic Angelology,’ </w:t>
      </w:r>
      <w:proofErr w:type="spellStart"/>
      <w:r w:rsidRPr="009D7635">
        <w:rPr>
          <w:rFonts w:ascii="Times New Roman" w:hAnsi="Times New Roman" w:cs="Times New Roman"/>
          <w:i/>
          <w:color w:val="000000" w:themeColor="text1"/>
          <w:sz w:val="20"/>
          <w:szCs w:val="20"/>
          <w:lang w:val="en-US"/>
        </w:rPr>
        <w:t>Recherches</w:t>
      </w:r>
      <w:proofErr w:type="spellEnd"/>
      <w:r w:rsidRPr="009D7635">
        <w:rPr>
          <w:rFonts w:ascii="Times New Roman" w:hAnsi="Times New Roman" w:cs="Times New Roman"/>
          <w:i/>
          <w:color w:val="000000" w:themeColor="text1"/>
          <w:sz w:val="20"/>
          <w:szCs w:val="20"/>
          <w:lang w:val="en-US"/>
        </w:rPr>
        <w:t xml:space="preserve"> de </w:t>
      </w:r>
      <w:proofErr w:type="spellStart"/>
      <w:r w:rsidRPr="009D7635">
        <w:rPr>
          <w:rFonts w:ascii="Times New Roman" w:hAnsi="Times New Roman" w:cs="Times New Roman"/>
          <w:i/>
          <w:color w:val="000000" w:themeColor="text1"/>
          <w:sz w:val="20"/>
          <w:szCs w:val="20"/>
          <w:lang w:val="en-US"/>
        </w:rPr>
        <w:t>Theologie</w:t>
      </w:r>
      <w:proofErr w:type="spellEnd"/>
      <w:r w:rsidRPr="009D7635">
        <w:rPr>
          <w:rFonts w:ascii="Times New Roman" w:hAnsi="Times New Roman" w:cs="Times New Roman"/>
          <w:i/>
          <w:color w:val="000000" w:themeColor="text1"/>
          <w:sz w:val="20"/>
          <w:szCs w:val="20"/>
          <w:lang w:val="en-US"/>
        </w:rPr>
        <w:t xml:space="preserve"> </w:t>
      </w:r>
      <w:proofErr w:type="spellStart"/>
      <w:r w:rsidRPr="009D7635">
        <w:rPr>
          <w:rFonts w:ascii="Times New Roman" w:hAnsi="Times New Roman" w:cs="Times New Roman"/>
          <w:i/>
          <w:color w:val="000000" w:themeColor="text1"/>
          <w:sz w:val="20"/>
          <w:szCs w:val="20"/>
          <w:lang w:val="en-US"/>
        </w:rPr>
        <w:t>ancienne</w:t>
      </w:r>
      <w:proofErr w:type="spellEnd"/>
      <w:r w:rsidRPr="009D7635">
        <w:rPr>
          <w:rFonts w:ascii="Times New Roman" w:hAnsi="Times New Roman" w:cs="Times New Roman"/>
          <w:i/>
          <w:color w:val="000000" w:themeColor="text1"/>
          <w:sz w:val="20"/>
          <w:szCs w:val="20"/>
          <w:lang w:val="en-US"/>
        </w:rPr>
        <w:t xml:space="preserve"> et medieval</w:t>
      </w:r>
      <w:r w:rsidRPr="009D7635">
        <w:rPr>
          <w:rFonts w:ascii="Times New Roman" w:hAnsi="Times New Roman" w:cs="Times New Roman"/>
          <w:color w:val="000000" w:themeColor="text1"/>
          <w:sz w:val="20"/>
          <w:szCs w:val="20"/>
          <w:lang w:val="en-US"/>
        </w:rPr>
        <w:t xml:space="preserve"> 62 (1995)</w:t>
      </w:r>
      <w:r w:rsidR="003377FA" w:rsidRPr="009D7635">
        <w:rPr>
          <w:rFonts w:ascii="Times New Roman" w:hAnsi="Times New Roman" w:cs="Times New Roman"/>
          <w:color w:val="000000" w:themeColor="text1"/>
          <w:sz w:val="20"/>
          <w:szCs w:val="20"/>
          <w:lang w:val="en-US"/>
        </w:rPr>
        <w:t xml:space="preserve">: </w:t>
      </w:r>
      <w:r w:rsidRPr="009D7635">
        <w:rPr>
          <w:rFonts w:ascii="Times New Roman" w:hAnsi="Times New Roman" w:cs="Times New Roman"/>
          <w:color w:val="000000" w:themeColor="text1"/>
          <w:sz w:val="20"/>
          <w:szCs w:val="20"/>
        </w:rPr>
        <w:t xml:space="preserve">80-109. </w:t>
      </w:r>
    </w:p>
  </w:footnote>
  <w:footnote w:id="1218">
    <w:p w14:paraId="3750226F" w14:textId="7E3C6EF3"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Cs/>
          <w:color w:val="000000" w:themeColor="text1"/>
        </w:rPr>
        <w:t>Alexander of Hales,</w:t>
      </w:r>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Doctoris</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irrefragabilis</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Alexandri</w:t>
      </w:r>
      <w:proofErr w:type="spellEnd"/>
      <w:r w:rsidRPr="009D7635">
        <w:rPr>
          <w:rFonts w:ascii="Times New Roman" w:hAnsi="Times New Roman" w:cs="Times New Roman"/>
          <w:i/>
          <w:iCs/>
          <w:color w:val="000000" w:themeColor="text1"/>
        </w:rPr>
        <w:t xml:space="preserve"> de Hales </w:t>
      </w:r>
      <w:proofErr w:type="spellStart"/>
      <w:r w:rsidRPr="009D7635">
        <w:rPr>
          <w:rFonts w:ascii="Times New Roman" w:hAnsi="Times New Roman" w:cs="Times New Roman"/>
          <w:i/>
          <w:iCs/>
          <w:color w:val="000000" w:themeColor="text1"/>
        </w:rPr>
        <w:t>Ordinis</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minorum</w:t>
      </w:r>
      <w:proofErr w:type="spellEnd"/>
      <w:r w:rsidRPr="009D7635">
        <w:rPr>
          <w:rFonts w:ascii="Times New Roman" w:hAnsi="Times New Roman" w:cs="Times New Roman"/>
          <w:i/>
          <w:iCs/>
          <w:color w:val="000000" w:themeColor="text1"/>
        </w:rPr>
        <w:t xml:space="preserve"> Summa </w:t>
      </w:r>
      <w:proofErr w:type="spellStart"/>
      <w:r w:rsidRPr="009D7635">
        <w:rPr>
          <w:rFonts w:ascii="Times New Roman" w:hAnsi="Times New Roman" w:cs="Times New Roman"/>
          <w:i/>
          <w:iCs/>
          <w:color w:val="000000" w:themeColor="text1"/>
        </w:rPr>
        <w:t>theologica</w:t>
      </w:r>
      <w:proofErr w:type="spellEnd"/>
      <w:r w:rsidRPr="009D7635">
        <w:rPr>
          <w:rFonts w:ascii="Times New Roman" w:hAnsi="Times New Roman" w:cs="Times New Roman"/>
          <w:i/>
          <w:iCs/>
          <w:color w:val="000000" w:themeColor="text1"/>
        </w:rPr>
        <w:t xml:space="preserve"> </w:t>
      </w:r>
      <w:r w:rsidRPr="009D7635">
        <w:rPr>
          <w:rFonts w:ascii="Times New Roman" w:hAnsi="Times New Roman" w:cs="Times New Roman"/>
          <w:color w:val="000000" w:themeColor="text1"/>
        </w:rPr>
        <w:t>(</w:t>
      </w:r>
      <w:r w:rsidRPr="009D7635">
        <w:rPr>
          <w:rFonts w:ascii="Times New Roman" w:hAnsi="Times New Roman" w:cs="Times New Roman"/>
          <w:i/>
          <w:iCs/>
          <w:color w:val="000000" w:themeColor="text1"/>
        </w:rPr>
        <w:t>SH</w:t>
      </w:r>
      <w:r w:rsidRPr="009D7635">
        <w:rPr>
          <w:rFonts w:ascii="Times New Roman" w:hAnsi="Times New Roman" w:cs="Times New Roman"/>
          <w:color w:val="000000" w:themeColor="text1"/>
        </w:rPr>
        <w:t xml:space="preserve">), 4 </w:t>
      </w:r>
      <w:proofErr w:type="spellStart"/>
      <w:r w:rsidRPr="009D7635">
        <w:rPr>
          <w:rFonts w:ascii="Times New Roman" w:hAnsi="Times New Roman" w:cs="Times New Roman"/>
          <w:color w:val="000000" w:themeColor="text1"/>
        </w:rPr>
        <w:t>vols</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Quaracchi</w:t>
      </w:r>
      <w:proofErr w:type="spellEnd"/>
      <w:r w:rsidRPr="009D7635">
        <w:rPr>
          <w:rFonts w:ascii="Times New Roman" w:hAnsi="Times New Roman" w:cs="Times New Roman"/>
          <w:color w:val="000000" w:themeColor="text1"/>
        </w:rPr>
        <w:t xml:space="preserve">: Collegium S. </w:t>
      </w:r>
      <w:proofErr w:type="spellStart"/>
      <w:r w:rsidRPr="009D7635">
        <w:rPr>
          <w:rFonts w:ascii="Times New Roman" w:hAnsi="Times New Roman" w:cs="Times New Roman"/>
          <w:color w:val="000000" w:themeColor="text1"/>
        </w:rPr>
        <w:t>Bonaventurae</w:t>
      </w:r>
      <w:proofErr w:type="spellEnd"/>
      <w:r w:rsidRPr="009D7635">
        <w:rPr>
          <w:rFonts w:ascii="Times New Roman" w:hAnsi="Times New Roman" w:cs="Times New Roman"/>
          <w:color w:val="000000" w:themeColor="text1"/>
        </w:rPr>
        <w:t xml:space="preserve">, 1924-48), </w:t>
      </w:r>
      <w:r w:rsidR="001939A0" w:rsidRPr="009D7635">
        <w:rPr>
          <w:rFonts w:ascii="Times New Roman" w:hAnsi="Times New Roman" w:cs="Times New Roman"/>
          <w:color w:val="000000" w:themeColor="text1"/>
        </w:rPr>
        <w:t>L</w:t>
      </w:r>
      <w:r w:rsidRPr="009D7635">
        <w:rPr>
          <w:rFonts w:ascii="Times New Roman" w:hAnsi="Times New Roman" w:cs="Times New Roman"/>
          <w:color w:val="000000" w:themeColor="text1"/>
        </w:rPr>
        <w:t xml:space="preserve">2.1, In2, Tr2, Q1, C5, 149-52. </w:t>
      </w:r>
    </w:p>
  </w:footnote>
  <w:footnote w:id="1219">
    <w:p w14:paraId="49A061A8" w14:textId="77777777"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iCs/>
          <w:color w:val="000000" w:themeColor="text1"/>
        </w:rPr>
        <w:t>SH 2.1</w:t>
      </w:r>
      <w:r w:rsidRPr="009D7635">
        <w:rPr>
          <w:rFonts w:ascii="Times New Roman" w:hAnsi="Times New Roman" w:cs="Times New Roman"/>
          <w:color w:val="000000" w:themeColor="text1"/>
        </w:rPr>
        <w:t xml:space="preserve">, In2, Tr2, Q1, C5,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150.</w:t>
      </w:r>
    </w:p>
  </w:footnote>
  <w:footnote w:id="1220">
    <w:p w14:paraId="28CF338A" w14:textId="35D3518A" w:rsidR="009B6602" w:rsidRPr="009D7635" w:rsidRDefault="009B6602" w:rsidP="009B660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Cs/>
          <w:color w:val="000000" w:themeColor="text1"/>
          <w:sz w:val="20"/>
          <w:szCs w:val="20"/>
        </w:rPr>
        <w:t>SH 2.1</w:t>
      </w:r>
      <w:r w:rsidRPr="009D7635">
        <w:rPr>
          <w:rFonts w:ascii="Times New Roman" w:hAnsi="Times New Roman" w:cs="Times New Roman"/>
          <w:color w:val="000000" w:themeColor="text1"/>
          <w:sz w:val="20"/>
          <w:szCs w:val="20"/>
        </w:rPr>
        <w:t xml:space="preserve">, In2, Tr2, Q1, C5,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151: </w:t>
      </w:r>
      <w:proofErr w:type="spellStart"/>
      <w:r w:rsidRPr="009D7635">
        <w:rPr>
          <w:rFonts w:ascii="Times New Roman" w:hAnsi="Times New Roman" w:cs="Times New Roman"/>
          <w:i/>
          <w:iCs/>
          <w:color w:val="000000" w:themeColor="text1"/>
          <w:sz w:val="20"/>
          <w:szCs w:val="20"/>
        </w:rPr>
        <w:t>Dico</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autem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intellectum</w:t>
      </w:r>
      <w:proofErr w:type="spellEnd"/>
      <w:r w:rsidRPr="009D7635">
        <w:rPr>
          <w:rFonts w:ascii="Times New Roman" w:hAnsi="Times New Roman" w:cs="Times New Roman"/>
          <w:i/>
          <w:iCs/>
          <w:color w:val="000000" w:themeColor="text1"/>
          <w:sz w:val="20"/>
          <w:szCs w:val="20"/>
        </w:rPr>
        <w:t xml:space="preserve"> cum </w:t>
      </w:r>
      <w:proofErr w:type="spellStart"/>
      <w:r w:rsidRPr="009D7635">
        <w:rPr>
          <w:rFonts w:ascii="Times New Roman" w:hAnsi="Times New Roman" w:cs="Times New Roman"/>
          <w:i/>
          <w:iCs/>
          <w:color w:val="000000" w:themeColor="text1"/>
          <w:sz w:val="20"/>
          <w:szCs w:val="20"/>
        </w:rPr>
        <w:t>ratione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intellectum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componentem</w:t>
      </w:r>
      <w:proofErr w:type="spellEnd"/>
      <w:r w:rsidRPr="009D7635">
        <w:rPr>
          <w:rFonts w:ascii="Times New Roman" w:hAnsi="Times New Roman" w:cs="Times New Roman"/>
          <w:i/>
          <w:iCs/>
          <w:color w:val="000000" w:themeColor="text1"/>
          <w:sz w:val="20"/>
          <w:szCs w:val="20"/>
        </w:rPr>
        <w:t xml:space="preserve"> et </w:t>
      </w:r>
      <w:proofErr w:type="spellStart"/>
      <w:r w:rsidRPr="009D7635">
        <w:rPr>
          <w:rFonts w:ascii="Times New Roman" w:hAnsi="Times New Roman" w:cs="Times New Roman"/>
          <w:i/>
          <w:iCs/>
          <w:color w:val="000000" w:themeColor="text1"/>
          <w:sz w:val="20"/>
          <w:szCs w:val="20"/>
        </w:rPr>
        <w:t>dividentem</w:t>
      </w:r>
      <w:proofErr w:type="spellEnd"/>
      <w:r w:rsidRPr="009D7635">
        <w:rPr>
          <w:rFonts w:ascii="Times New Roman" w:hAnsi="Times New Roman" w:cs="Times New Roman"/>
          <w:i/>
          <w:iCs/>
          <w:color w:val="000000" w:themeColor="text1"/>
          <w:sz w:val="20"/>
          <w:szCs w:val="20"/>
        </w:rPr>
        <w:t xml:space="preserve"> et ab </w:t>
      </w:r>
      <w:proofErr w:type="spellStart"/>
      <w:r w:rsidRPr="009D7635">
        <w:rPr>
          <w:rFonts w:ascii="Times New Roman" w:hAnsi="Times New Roman" w:cs="Times New Roman"/>
          <w:i/>
          <w:iCs/>
          <w:color w:val="000000" w:themeColor="text1"/>
          <w:sz w:val="20"/>
          <w:szCs w:val="20"/>
        </w:rPr>
        <w:t>extremo</w:t>
      </w:r>
      <w:proofErr w:type="spellEnd"/>
      <w:r w:rsidRPr="009D7635">
        <w:rPr>
          <w:rFonts w:ascii="Times New Roman" w:hAnsi="Times New Roman" w:cs="Times New Roman"/>
          <w:i/>
          <w:iCs/>
          <w:color w:val="000000" w:themeColor="text1"/>
          <w:sz w:val="20"/>
          <w:szCs w:val="20"/>
        </w:rPr>
        <w:t xml:space="preserve"> ad extremum per medium </w:t>
      </w:r>
      <w:proofErr w:type="spellStart"/>
      <w:r w:rsidRPr="009D7635">
        <w:rPr>
          <w:rFonts w:ascii="Times New Roman" w:hAnsi="Times New Roman" w:cs="Times New Roman"/>
          <w:i/>
          <w:iCs/>
          <w:color w:val="000000" w:themeColor="text1"/>
          <w:sz w:val="20"/>
          <w:szCs w:val="20"/>
        </w:rPr>
        <w:t>decurrentem</w:t>
      </w:r>
      <w:proofErr w:type="spellEnd"/>
      <w:r w:rsidRPr="009D7635">
        <w:rPr>
          <w:rFonts w:ascii="Times New Roman" w:hAnsi="Times New Roman" w:cs="Times New Roman"/>
          <w:i/>
          <w:iCs/>
          <w:color w:val="000000" w:themeColor="text1"/>
          <w:sz w:val="20"/>
          <w:szCs w:val="20"/>
        </w:rPr>
        <w:t xml:space="preserve">, quo modo non </w:t>
      </w:r>
      <w:proofErr w:type="spellStart"/>
      <w:r w:rsidRPr="009D7635">
        <w:rPr>
          <w:rFonts w:ascii="Times New Roman" w:hAnsi="Times New Roman" w:cs="Times New Roman"/>
          <w:i/>
          <w:iCs/>
          <w:color w:val="000000" w:themeColor="text1"/>
          <w:sz w:val="20"/>
          <w:szCs w:val="20"/>
        </w:rPr>
        <w:t>est</w:t>
      </w:r>
      <w:proofErr w:type="spellEnd"/>
      <w:r w:rsidRPr="009D7635">
        <w:rPr>
          <w:rFonts w:ascii="Times New Roman" w:hAnsi="Times New Roman" w:cs="Times New Roman"/>
          <w:i/>
          <w:iCs/>
          <w:color w:val="000000" w:themeColor="text1"/>
          <w:sz w:val="20"/>
          <w:szCs w:val="20"/>
        </w:rPr>
        <w:t xml:space="preserve"> in </w:t>
      </w:r>
      <w:proofErr w:type="spellStart"/>
      <w:r w:rsidRPr="009D7635">
        <w:rPr>
          <w:rFonts w:ascii="Times New Roman" w:hAnsi="Times New Roman" w:cs="Times New Roman"/>
          <w:i/>
          <w:iCs/>
          <w:color w:val="000000" w:themeColor="text1"/>
          <w:sz w:val="20"/>
          <w:szCs w:val="20"/>
        </w:rPr>
        <w:t>intelligentia</w:t>
      </w:r>
      <w:proofErr w:type="spellEnd"/>
      <w:r w:rsidRPr="009D7635">
        <w:rPr>
          <w:rFonts w:ascii="Times New Roman" w:hAnsi="Times New Roman" w:cs="Times New Roman"/>
          <w:i/>
          <w:iCs/>
          <w:color w:val="000000" w:themeColor="text1"/>
          <w:sz w:val="20"/>
          <w:szCs w:val="20"/>
        </w:rPr>
        <w:t xml:space="preserve"> angelica: </w:t>
      </w:r>
      <w:proofErr w:type="spellStart"/>
      <w:r w:rsidRPr="009D7635">
        <w:rPr>
          <w:rFonts w:ascii="Times New Roman" w:hAnsi="Times New Roman" w:cs="Times New Roman"/>
          <w:i/>
          <w:iCs/>
          <w:color w:val="000000" w:themeColor="text1"/>
          <w:sz w:val="20"/>
          <w:szCs w:val="20"/>
        </w:rPr>
        <w:t>intelligit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enim</w:t>
      </w:r>
      <w:proofErr w:type="spellEnd"/>
      <w:r w:rsidRPr="009D7635">
        <w:rPr>
          <w:rFonts w:ascii="Times New Roman" w:hAnsi="Times New Roman" w:cs="Times New Roman"/>
          <w:i/>
          <w:iCs/>
          <w:color w:val="000000" w:themeColor="text1"/>
          <w:sz w:val="20"/>
          <w:szCs w:val="20"/>
        </w:rPr>
        <w:t xml:space="preserve"> modo </w:t>
      </w:r>
      <w:proofErr w:type="spellStart"/>
      <w:r w:rsidRPr="009D7635">
        <w:rPr>
          <w:rFonts w:ascii="Times New Roman" w:hAnsi="Times New Roman" w:cs="Times New Roman"/>
          <w:i/>
          <w:iCs/>
          <w:color w:val="000000" w:themeColor="text1"/>
          <w:sz w:val="20"/>
          <w:szCs w:val="20"/>
        </w:rPr>
        <w:t>simplici</w:t>
      </w:r>
      <w:proofErr w:type="spellEnd"/>
      <w:r w:rsidRPr="009D7635">
        <w:rPr>
          <w:rFonts w:ascii="Times New Roman" w:hAnsi="Times New Roman" w:cs="Times New Roman"/>
          <w:i/>
          <w:iCs/>
          <w:color w:val="000000" w:themeColor="text1"/>
          <w:sz w:val="20"/>
          <w:szCs w:val="20"/>
        </w:rPr>
        <w:t xml:space="preserve"> sine </w:t>
      </w:r>
      <w:proofErr w:type="spellStart"/>
      <w:r w:rsidRPr="009D7635">
        <w:rPr>
          <w:rFonts w:ascii="Times New Roman" w:hAnsi="Times New Roman" w:cs="Times New Roman"/>
          <w:i/>
          <w:iCs/>
          <w:color w:val="000000" w:themeColor="text1"/>
          <w:sz w:val="20"/>
          <w:szCs w:val="20"/>
        </w:rPr>
        <w:t>decursu</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rationis</w:t>
      </w:r>
      <w:proofErr w:type="spellEnd"/>
      <w:r w:rsidRPr="009D7635">
        <w:rPr>
          <w:rFonts w:ascii="Times New Roman" w:hAnsi="Times New Roman" w:cs="Times New Roman"/>
          <w:i/>
          <w:iCs/>
          <w:color w:val="000000" w:themeColor="text1"/>
          <w:sz w:val="20"/>
          <w:szCs w:val="20"/>
        </w:rPr>
        <w:t>.</w:t>
      </w:r>
    </w:p>
  </w:footnote>
  <w:footnote w:id="1221">
    <w:p w14:paraId="2FF8EFE1" w14:textId="77777777" w:rsidR="009B6602" w:rsidRPr="009D7635" w:rsidRDefault="009B6602" w:rsidP="009B660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Cs/>
          <w:color w:val="000000" w:themeColor="text1"/>
          <w:sz w:val="20"/>
          <w:szCs w:val="20"/>
        </w:rPr>
        <w:t>SH 2.1</w:t>
      </w:r>
      <w:r w:rsidRPr="009D7635">
        <w:rPr>
          <w:rFonts w:ascii="Times New Roman" w:hAnsi="Times New Roman" w:cs="Times New Roman"/>
          <w:color w:val="000000" w:themeColor="text1"/>
          <w:sz w:val="20"/>
          <w:szCs w:val="20"/>
        </w:rPr>
        <w:t xml:space="preserve">, In2, Tr2, Q1, C5, Ad </w:t>
      </w:r>
      <w:proofErr w:type="spellStart"/>
      <w:r w:rsidRPr="009D7635">
        <w:rPr>
          <w:rFonts w:ascii="Times New Roman" w:hAnsi="Times New Roman" w:cs="Times New Roman"/>
          <w:color w:val="000000" w:themeColor="text1"/>
          <w:sz w:val="20"/>
          <w:szCs w:val="20"/>
        </w:rPr>
        <w:t>obiecta</w:t>
      </w:r>
      <w:proofErr w:type="spellEnd"/>
      <w:r w:rsidRPr="009D7635">
        <w:rPr>
          <w:rFonts w:ascii="Times New Roman" w:hAnsi="Times New Roman" w:cs="Times New Roman"/>
          <w:color w:val="000000" w:themeColor="text1"/>
          <w:sz w:val="20"/>
          <w:szCs w:val="20"/>
        </w:rPr>
        <w:t xml:space="preserve"> 6.b, 152.</w:t>
      </w:r>
    </w:p>
  </w:footnote>
  <w:footnote w:id="1222">
    <w:p w14:paraId="7C174DCC" w14:textId="5BA1DAE9" w:rsidR="009B6602" w:rsidRPr="009D7635" w:rsidRDefault="009B6602" w:rsidP="009B660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Cs/>
          <w:color w:val="000000" w:themeColor="text1"/>
          <w:sz w:val="20"/>
          <w:szCs w:val="20"/>
        </w:rPr>
        <w:t>SH 2.1</w:t>
      </w:r>
      <w:r w:rsidRPr="009D7635">
        <w:rPr>
          <w:rFonts w:ascii="Times New Roman" w:hAnsi="Times New Roman" w:cs="Times New Roman"/>
          <w:color w:val="000000" w:themeColor="text1"/>
          <w:sz w:val="20"/>
          <w:szCs w:val="20"/>
        </w:rPr>
        <w:t xml:space="preserve">, In2, Tr2, Q1, C5, 149: </w:t>
      </w:r>
      <w:r w:rsidRPr="009D7635">
        <w:rPr>
          <w:rFonts w:ascii="Times New Roman" w:hAnsi="Times New Roman" w:cs="Times New Roman"/>
          <w:i/>
          <w:iCs/>
          <w:color w:val="000000" w:themeColor="text1"/>
          <w:sz w:val="20"/>
          <w:szCs w:val="20"/>
        </w:rPr>
        <w:t xml:space="preserve">Angelus </w:t>
      </w:r>
      <w:proofErr w:type="spellStart"/>
      <w:r w:rsidRPr="009D7635">
        <w:rPr>
          <w:rFonts w:ascii="Times New Roman" w:hAnsi="Times New Roman" w:cs="Times New Roman"/>
          <w:i/>
          <w:iCs/>
          <w:color w:val="000000" w:themeColor="text1"/>
          <w:sz w:val="20"/>
          <w:szCs w:val="20"/>
        </w:rPr>
        <w:t>est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substantia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separata</w:t>
      </w:r>
      <w:proofErr w:type="spellEnd"/>
      <w:r w:rsidRPr="009D7635">
        <w:rPr>
          <w:rFonts w:ascii="Times New Roman" w:hAnsi="Times New Roman" w:cs="Times New Roman"/>
          <w:i/>
          <w:iCs/>
          <w:color w:val="000000" w:themeColor="text1"/>
          <w:sz w:val="20"/>
          <w:szCs w:val="20"/>
        </w:rPr>
        <w:t xml:space="preserve"> a </w:t>
      </w:r>
      <w:proofErr w:type="spellStart"/>
      <w:r w:rsidRPr="009D7635">
        <w:rPr>
          <w:rFonts w:ascii="Times New Roman" w:hAnsi="Times New Roman" w:cs="Times New Roman"/>
          <w:i/>
          <w:iCs/>
          <w:color w:val="000000" w:themeColor="text1"/>
          <w:sz w:val="20"/>
          <w:szCs w:val="20"/>
        </w:rPr>
        <w:t>corpore</w:t>
      </w:r>
      <w:proofErr w:type="spellEnd"/>
      <w:r w:rsidRPr="009D7635">
        <w:rPr>
          <w:rFonts w:ascii="Times New Roman" w:hAnsi="Times New Roman" w:cs="Times New Roman"/>
          <w:i/>
          <w:iCs/>
          <w:color w:val="000000" w:themeColor="text1"/>
          <w:sz w:val="20"/>
          <w:szCs w:val="20"/>
        </w:rPr>
        <w:t xml:space="preserve">, anima </w:t>
      </w:r>
      <w:proofErr w:type="spellStart"/>
      <w:r w:rsidRPr="009D7635">
        <w:rPr>
          <w:rFonts w:ascii="Times New Roman" w:hAnsi="Times New Roman" w:cs="Times New Roman"/>
          <w:i/>
          <w:iCs/>
          <w:color w:val="000000" w:themeColor="text1"/>
          <w:sz w:val="20"/>
          <w:szCs w:val="20"/>
        </w:rPr>
        <w:t>vero</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est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unibilis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corpori</w:t>
      </w:r>
      <w:proofErr w:type="spellEnd"/>
      <w:r w:rsidRPr="009D7635">
        <w:rPr>
          <w:rFonts w:ascii="Times New Roman" w:hAnsi="Times New Roman" w:cs="Times New Roman"/>
          <w:color w:val="000000" w:themeColor="text1"/>
          <w:sz w:val="20"/>
          <w:szCs w:val="20"/>
        </w:rPr>
        <w:t>. Cf. 2.1, In2, Tr3, S2, Q2, T2, M2, C1, Ar1, 238-9.</w:t>
      </w:r>
    </w:p>
  </w:footnote>
  <w:footnote w:id="1223">
    <w:p w14:paraId="25107AC1" w14:textId="7B133247" w:rsidR="009B6602" w:rsidRPr="009D7635" w:rsidRDefault="009B6602" w:rsidP="009B6602">
      <w:pPr>
        <w:rPr>
          <w:rFonts w:ascii="Times New Roman" w:hAnsi="Times New Roman" w:cs="Times New Roman"/>
          <w:i/>
          <w:iCs/>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Cs/>
          <w:color w:val="000000" w:themeColor="text1"/>
          <w:sz w:val="20"/>
          <w:szCs w:val="20"/>
        </w:rPr>
        <w:t>SH 2.1</w:t>
      </w:r>
      <w:r w:rsidRPr="009D7635">
        <w:rPr>
          <w:rFonts w:ascii="Times New Roman" w:hAnsi="Times New Roman" w:cs="Times New Roman"/>
          <w:color w:val="000000" w:themeColor="text1"/>
          <w:sz w:val="20"/>
          <w:szCs w:val="20"/>
        </w:rPr>
        <w:t xml:space="preserve">, In2, Tr2, Q1, C5, Ad </w:t>
      </w:r>
      <w:proofErr w:type="spellStart"/>
      <w:r w:rsidRPr="009D7635">
        <w:rPr>
          <w:rFonts w:ascii="Times New Roman" w:hAnsi="Times New Roman" w:cs="Times New Roman"/>
          <w:color w:val="000000" w:themeColor="text1"/>
          <w:sz w:val="20"/>
          <w:szCs w:val="20"/>
        </w:rPr>
        <w:t>obiecta</w:t>
      </w:r>
      <w:proofErr w:type="spellEnd"/>
      <w:r w:rsidRPr="009D7635">
        <w:rPr>
          <w:rFonts w:ascii="Times New Roman" w:hAnsi="Times New Roman" w:cs="Times New Roman"/>
          <w:color w:val="000000" w:themeColor="text1"/>
          <w:sz w:val="20"/>
          <w:szCs w:val="20"/>
        </w:rPr>
        <w:t xml:space="preserve"> 7, 152: </w:t>
      </w:r>
      <w:r w:rsidRPr="009D7635">
        <w:rPr>
          <w:rFonts w:ascii="Times New Roman" w:hAnsi="Times New Roman" w:cs="Times New Roman"/>
          <w:i/>
          <w:iCs/>
          <w:color w:val="000000" w:themeColor="text1"/>
          <w:sz w:val="20"/>
          <w:szCs w:val="20"/>
        </w:rPr>
        <w:t xml:space="preserve">Angelus (…) non sit </w:t>
      </w:r>
      <w:proofErr w:type="spellStart"/>
      <w:r w:rsidRPr="009D7635">
        <w:rPr>
          <w:rFonts w:ascii="Times New Roman" w:hAnsi="Times New Roman" w:cs="Times New Roman"/>
          <w:i/>
          <w:iCs/>
          <w:color w:val="000000" w:themeColor="text1"/>
          <w:sz w:val="20"/>
          <w:szCs w:val="20"/>
        </w:rPr>
        <w:t>unitus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corpori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sicut</w:t>
      </w:r>
      <w:proofErr w:type="spellEnd"/>
      <w:r w:rsidRPr="009D7635">
        <w:rPr>
          <w:rFonts w:ascii="Times New Roman" w:hAnsi="Times New Roman" w:cs="Times New Roman"/>
          <w:i/>
          <w:iCs/>
          <w:color w:val="000000" w:themeColor="text1"/>
          <w:sz w:val="20"/>
          <w:szCs w:val="20"/>
        </w:rPr>
        <w:t xml:space="preserve"> forma </w:t>
      </w:r>
      <w:proofErr w:type="spellStart"/>
      <w:r w:rsidRPr="009D7635">
        <w:rPr>
          <w:rFonts w:ascii="Times New Roman" w:hAnsi="Times New Roman" w:cs="Times New Roman"/>
          <w:i/>
          <w:iCs/>
          <w:color w:val="000000" w:themeColor="text1"/>
          <w:sz w:val="20"/>
          <w:szCs w:val="20"/>
        </w:rPr>
        <w:t>vel</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perfectio</w:t>
      </w:r>
      <w:proofErr w:type="spellEnd"/>
      <w:r w:rsidRPr="009D7635">
        <w:rPr>
          <w:rFonts w:ascii="Times New Roman" w:hAnsi="Times New Roman" w:cs="Times New Roman"/>
          <w:i/>
          <w:iCs/>
          <w:color w:val="000000" w:themeColor="text1"/>
          <w:sz w:val="20"/>
          <w:szCs w:val="20"/>
        </w:rPr>
        <w:t xml:space="preserve"> cum </w:t>
      </w:r>
      <w:proofErr w:type="spellStart"/>
      <w:r w:rsidRPr="009D7635">
        <w:rPr>
          <w:rFonts w:ascii="Times New Roman" w:hAnsi="Times New Roman" w:cs="Times New Roman"/>
          <w:i/>
          <w:iCs/>
          <w:color w:val="000000" w:themeColor="text1"/>
          <w:sz w:val="20"/>
          <w:szCs w:val="20"/>
        </w:rPr>
        <w:t>perfectibili</w:t>
      </w:r>
      <w:proofErr w:type="spellEnd"/>
      <w:r w:rsidR="007B477E" w:rsidRPr="009D7635">
        <w:rPr>
          <w:rFonts w:ascii="Times New Roman" w:hAnsi="Times New Roman" w:cs="Times New Roman"/>
          <w:i/>
          <w:iCs/>
          <w:color w:val="000000" w:themeColor="text1"/>
          <w:sz w:val="20"/>
          <w:szCs w:val="20"/>
        </w:rPr>
        <w:t>;</w:t>
      </w:r>
      <w:r w:rsidRPr="009D7635">
        <w:rPr>
          <w:rFonts w:ascii="Times New Roman" w:hAnsi="Times New Roman" w:cs="Times New Roman"/>
          <w:color w:val="000000" w:themeColor="text1"/>
          <w:sz w:val="20"/>
          <w:szCs w:val="20"/>
        </w:rPr>
        <w:t xml:space="preserve"> cf. </w:t>
      </w:r>
      <w:r w:rsidRPr="009D7635">
        <w:rPr>
          <w:rFonts w:ascii="Times New Roman" w:hAnsi="Times New Roman" w:cs="Times New Roman"/>
          <w:iCs/>
          <w:color w:val="000000" w:themeColor="text1"/>
          <w:sz w:val="20"/>
          <w:szCs w:val="20"/>
        </w:rPr>
        <w:t>2.1</w:t>
      </w:r>
      <w:r w:rsidRPr="009D7635">
        <w:rPr>
          <w:rFonts w:ascii="Times New Roman" w:hAnsi="Times New Roman" w:cs="Times New Roman"/>
          <w:color w:val="000000" w:themeColor="text1"/>
          <w:sz w:val="20"/>
          <w:szCs w:val="20"/>
        </w:rPr>
        <w:t xml:space="preserve">, In2, Tr3, S2, Q2, Ti2, M2, C1, Ar1, 1, 238: </w:t>
      </w:r>
      <w:proofErr w:type="spellStart"/>
      <w:r w:rsidRPr="009D7635">
        <w:rPr>
          <w:rFonts w:ascii="Times New Roman" w:hAnsi="Times New Roman" w:cs="Times New Roman"/>
          <w:i/>
          <w:iCs/>
          <w:color w:val="000000" w:themeColor="text1"/>
          <w:sz w:val="20"/>
          <w:szCs w:val="20"/>
        </w:rPr>
        <w:t>Videtur</w:t>
      </w:r>
      <w:proofErr w:type="spellEnd"/>
      <w:r w:rsidRPr="009D7635">
        <w:rPr>
          <w:rFonts w:ascii="Times New Roman" w:hAnsi="Times New Roman" w:cs="Times New Roman"/>
          <w:i/>
          <w:iCs/>
          <w:color w:val="000000" w:themeColor="text1"/>
          <w:sz w:val="20"/>
          <w:szCs w:val="20"/>
        </w:rPr>
        <w:t xml:space="preserve"> quod angelus de </w:t>
      </w:r>
      <w:proofErr w:type="spellStart"/>
      <w:r w:rsidRPr="009D7635">
        <w:rPr>
          <w:rFonts w:ascii="Times New Roman" w:hAnsi="Times New Roman" w:cs="Times New Roman"/>
          <w:i/>
          <w:iCs/>
          <w:color w:val="000000" w:themeColor="text1"/>
          <w:sz w:val="20"/>
          <w:szCs w:val="20"/>
        </w:rPr>
        <w:t>natura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sua</w:t>
      </w:r>
      <w:proofErr w:type="spellEnd"/>
      <w:r w:rsidRPr="009D7635">
        <w:rPr>
          <w:rFonts w:ascii="Times New Roman" w:hAnsi="Times New Roman" w:cs="Times New Roman"/>
          <w:i/>
          <w:iCs/>
          <w:color w:val="000000" w:themeColor="text1"/>
          <w:sz w:val="20"/>
          <w:szCs w:val="20"/>
        </w:rPr>
        <w:t xml:space="preserve"> sit </w:t>
      </w:r>
      <w:proofErr w:type="spellStart"/>
      <w:r w:rsidRPr="009D7635">
        <w:rPr>
          <w:rFonts w:ascii="Times New Roman" w:hAnsi="Times New Roman" w:cs="Times New Roman"/>
          <w:i/>
          <w:iCs/>
          <w:color w:val="000000" w:themeColor="text1"/>
          <w:sz w:val="20"/>
          <w:szCs w:val="20"/>
        </w:rPr>
        <w:t>substantia</w:t>
      </w:r>
      <w:proofErr w:type="spellEnd"/>
      <w:r w:rsidRPr="009D7635">
        <w:rPr>
          <w:rFonts w:ascii="Times New Roman" w:hAnsi="Times New Roman" w:cs="Times New Roman"/>
          <w:i/>
          <w:iCs/>
          <w:color w:val="000000" w:themeColor="text1"/>
          <w:sz w:val="20"/>
          <w:szCs w:val="20"/>
        </w:rPr>
        <w:t xml:space="preserve"> a </w:t>
      </w:r>
      <w:proofErr w:type="spellStart"/>
      <w:r w:rsidRPr="009D7635">
        <w:rPr>
          <w:rFonts w:ascii="Times New Roman" w:hAnsi="Times New Roman" w:cs="Times New Roman"/>
          <w:i/>
          <w:iCs/>
          <w:color w:val="000000" w:themeColor="text1"/>
          <w:sz w:val="20"/>
          <w:szCs w:val="20"/>
        </w:rPr>
        <w:t>corpore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separata</w:t>
      </w:r>
      <w:proofErr w:type="spellEnd"/>
      <w:r w:rsidRPr="009D7635">
        <w:rPr>
          <w:rFonts w:ascii="Times New Roman" w:hAnsi="Times New Roman" w:cs="Times New Roman"/>
          <w:i/>
          <w:iCs/>
          <w:color w:val="000000" w:themeColor="text1"/>
          <w:sz w:val="20"/>
          <w:szCs w:val="20"/>
        </w:rPr>
        <w:t>.</w:t>
      </w:r>
    </w:p>
  </w:footnote>
  <w:footnote w:id="1224">
    <w:p w14:paraId="04420A78" w14:textId="0F8791F1"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In4, Tr1, S1, Q1, C2, II </w:t>
      </w:r>
      <w:proofErr w:type="spellStart"/>
      <w:r w:rsidRPr="009D7635">
        <w:rPr>
          <w:rFonts w:ascii="Times New Roman" w:hAnsi="Times New Roman" w:cs="Times New Roman"/>
          <w:color w:val="000000" w:themeColor="text1"/>
        </w:rPr>
        <w:t>Respondeo</w:t>
      </w:r>
      <w:proofErr w:type="spellEnd"/>
      <w:r w:rsidRPr="009D7635">
        <w:rPr>
          <w:rFonts w:ascii="Times New Roman" w:hAnsi="Times New Roman" w:cs="Times New Roman"/>
          <w:color w:val="000000" w:themeColor="text1"/>
        </w:rPr>
        <w:t xml:space="preserve">, 385: </w:t>
      </w:r>
      <w:proofErr w:type="spellStart"/>
      <w:r w:rsidRPr="009D7635">
        <w:rPr>
          <w:rFonts w:ascii="Times New Roman" w:hAnsi="Times New Roman" w:cs="Times New Roman"/>
          <w:i/>
          <w:iCs/>
          <w:color w:val="000000" w:themeColor="text1"/>
        </w:rPr>
        <w:t>Respondeo</w:t>
      </w:r>
      <w:proofErr w:type="spellEnd"/>
      <w:r w:rsidRPr="009D7635">
        <w:rPr>
          <w:rFonts w:ascii="Times New Roman" w:hAnsi="Times New Roman" w:cs="Times New Roman"/>
          <w:i/>
          <w:iCs/>
          <w:color w:val="000000" w:themeColor="text1"/>
        </w:rPr>
        <w:t xml:space="preserve"> quod </w:t>
      </w:r>
      <w:proofErr w:type="spellStart"/>
      <w:r w:rsidRPr="009D7635">
        <w:rPr>
          <w:rFonts w:ascii="Times New Roman" w:hAnsi="Times New Roman" w:cs="Times New Roman"/>
          <w:i/>
          <w:iCs/>
          <w:color w:val="000000" w:themeColor="text1"/>
        </w:rPr>
        <w:t>est</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regere</w:t>
      </w:r>
      <w:proofErr w:type="spellEnd"/>
      <w:r w:rsidRPr="009D7635">
        <w:rPr>
          <w:rFonts w:ascii="Times New Roman" w:hAnsi="Times New Roman" w:cs="Times New Roman"/>
          <w:i/>
          <w:iCs/>
          <w:color w:val="000000" w:themeColor="text1"/>
        </w:rPr>
        <w:t xml:space="preserve"> corpus </w:t>
      </w:r>
      <w:proofErr w:type="spellStart"/>
      <w:r w:rsidRPr="009D7635">
        <w:rPr>
          <w:rFonts w:ascii="Times New Roman" w:hAnsi="Times New Roman" w:cs="Times New Roman"/>
          <w:i/>
          <w:iCs/>
          <w:color w:val="000000" w:themeColor="text1"/>
        </w:rPr>
        <w:t>dupliciter</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vel</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ut</w:t>
      </w:r>
      <w:proofErr w:type="spellEnd"/>
      <w:r w:rsidRPr="009D7635">
        <w:rPr>
          <w:rFonts w:ascii="Times New Roman" w:hAnsi="Times New Roman" w:cs="Times New Roman"/>
          <w:i/>
          <w:iCs/>
          <w:color w:val="000000" w:themeColor="text1"/>
        </w:rPr>
        <w:t xml:space="preserve"> per </w:t>
      </w:r>
      <w:proofErr w:type="spellStart"/>
      <w:r w:rsidRPr="009D7635">
        <w:rPr>
          <w:rFonts w:ascii="Times New Roman" w:hAnsi="Times New Roman" w:cs="Times New Roman"/>
          <w:i/>
          <w:iCs/>
          <w:color w:val="000000" w:themeColor="text1"/>
        </w:rPr>
        <w:t>illud</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moveatur</w:t>
      </w:r>
      <w:proofErr w:type="spellEnd"/>
      <w:r w:rsidRPr="009D7635">
        <w:rPr>
          <w:rFonts w:ascii="Times New Roman" w:hAnsi="Times New Roman" w:cs="Times New Roman"/>
          <w:i/>
          <w:iCs/>
          <w:color w:val="000000" w:themeColor="text1"/>
        </w:rPr>
        <w:t xml:space="preserve">, et sic </w:t>
      </w:r>
      <w:proofErr w:type="spellStart"/>
      <w:r w:rsidRPr="009D7635">
        <w:rPr>
          <w:rFonts w:ascii="Times New Roman" w:hAnsi="Times New Roman" w:cs="Times New Roman"/>
          <w:i/>
          <w:iCs/>
          <w:color w:val="000000" w:themeColor="text1"/>
        </w:rPr>
        <w:t>etiam</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convenit</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angelo</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ut</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regat</w:t>
      </w:r>
      <w:proofErr w:type="spellEnd"/>
      <w:r w:rsidRPr="009D7635">
        <w:rPr>
          <w:rFonts w:ascii="Times New Roman" w:hAnsi="Times New Roman" w:cs="Times New Roman"/>
          <w:i/>
          <w:iCs/>
          <w:color w:val="000000" w:themeColor="text1"/>
        </w:rPr>
        <w:t xml:space="preserve"> corpus: </w:t>
      </w:r>
      <w:proofErr w:type="spellStart"/>
      <w:r w:rsidRPr="009D7635">
        <w:rPr>
          <w:rFonts w:ascii="Times New Roman" w:hAnsi="Times New Roman" w:cs="Times New Roman"/>
          <w:i/>
          <w:iCs/>
          <w:color w:val="000000" w:themeColor="text1"/>
        </w:rPr>
        <w:t>vel</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ut</w:t>
      </w:r>
      <w:proofErr w:type="spellEnd"/>
      <w:r w:rsidRPr="009D7635">
        <w:rPr>
          <w:rFonts w:ascii="Times New Roman" w:hAnsi="Times New Roman" w:cs="Times New Roman"/>
          <w:i/>
          <w:iCs/>
          <w:color w:val="000000" w:themeColor="text1"/>
        </w:rPr>
        <w:t xml:space="preserve"> per </w:t>
      </w:r>
      <w:proofErr w:type="spellStart"/>
      <w:r w:rsidRPr="009D7635">
        <w:rPr>
          <w:rFonts w:ascii="Times New Roman" w:hAnsi="Times New Roman" w:cs="Times New Roman"/>
          <w:i/>
          <w:iCs/>
          <w:color w:val="000000" w:themeColor="text1"/>
        </w:rPr>
        <w:t>illud</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vivificetur</w:t>
      </w:r>
      <w:proofErr w:type="spellEnd"/>
      <w:r w:rsidRPr="009D7635">
        <w:rPr>
          <w:rFonts w:ascii="Times New Roman" w:hAnsi="Times New Roman" w:cs="Times New Roman"/>
          <w:i/>
          <w:iCs/>
          <w:color w:val="000000" w:themeColor="text1"/>
        </w:rPr>
        <w:t xml:space="preserve">, et sic </w:t>
      </w:r>
      <w:proofErr w:type="spellStart"/>
      <w:r w:rsidRPr="009D7635">
        <w:rPr>
          <w:rFonts w:ascii="Times New Roman" w:hAnsi="Times New Roman" w:cs="Times New Roman"/>
          <w:i/>
          <w:iCs/>
          <w:color w:val="000000" w:themeColor="text1"/>
        </w:rPr>
        <w:t>convenit</w:t>
      </w:r>
      <w:proofErr w:type="spellEnd"/>
      <w:r w:rsidRPr="009D7635">
        <w:rPr>
          <w:rFonts w:ascii="Times New Roman" w:hAnsi="Times New Roman" w:cs="Times New Roman"/>
          <w:i/>
          <w:iCs/>
          <w:color w:val="000000" w:themeColor="text1"/>
        </w:rPr>
        <w:t xml:space="preserve"> </w:t>
      </w:r>
      <w:proofErr w:type="spellStart"/>
      <w:r w:rsidRPr="009D7635">
        <w:rPr>
          <w:rFonts w:ascii="Times New Roman" w:hAnsi="Times New Roman" w:cs="Times New Roman"/>
          <w:i/>
          <w:iCs/>
          <w:color w:val="000000" w:themeColor="text1"/>
        </w:rPr>
        <w:t>animae</w:t>
      </w:r>
      <w:proofErr w:type="spellEnd"/>
      <w:r w:rsidRPr="009D7635">
        <w:rPr>
          <w:rFonts w:ascii="Times New Roman" w:hAnsi="Times New Roman" w:cs="Times New Roman"/>
          <w:i/>
          <w:iCs/>
          <w:color w:val="000000" w:themeColor="text1"/>
        </w:rPr>
        <w:t>.</w:t>
      </w:r>
    </w:p>
  </w:footnote>
  <w:footnote w:id="1225">
    <w:p w14:paraId="74985497" w14:textId="77777777" w:rsidR="009B6602" w:rsidRPr="009D7635" w:rsidRDefault="009B6602" w:rsidP="009B6602">
      <w:pPr>
        <w:autoSpaceDE w:val="0"/>
        <w:autoSpaceDN w:val="0"/>
        <w:adjustRightInd w:val="0"/>
        <w:ind w:right="-72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In2, Tr3, S2, Q2, T2, M2, C1, Ar3, 240; see also </w:t>
      </w:r>
      <w:r w:rsidRPr="009D7635">
        <w:rPr>
          <w:rFonts w:ascii="Times New Roman" w:hAnsi="Times New Roman" w:cs="Times New Roman"/>
          <w:i/>
          <w:color w:val="000000" w:themeColor="text1"/>
          <w:sz w:val="20"/>
          <w:szCs w:val="20"/>
        </w:rPr>
        <w:t xml:space="preserve">Summa de anima </w:t>
      </w:r>
      <w:r w:rsidRPr="009D7635">
        <w:rPr>
          <w:rFonts w:ascii="Times New Roman" w:hAnsi="Times New Roman" w:cs="Times New Roman"/>
          <w:color w:val="000000" w:themeColor="text1"/>
          <w:sz w:val="20"/>
          <w:szCs w:val="20"/>
        </w:rPr>
        <w:t>57.</w:t>
      </w:r>
      <w:r w:rsidRPr="009D7635">
        <w:rPr>
          <w:rFonts w:ascii="Times New Roman" w:hAnsi="Times New Roman" w:cs="Times New Roman"/>
          <w:color w:val="000000" w:themeColor="text1"/>
          <w:sz w:val="20"/>
          <w:szCs w:val="20"/>
          <w:u w:val="single"/>
        </w:rPr>
        <w:t xml:space="preserve"> </w:t>
      </w:r>
    </w:p>
  </w:footnote>
  <w:footnote w:id="1226">
    <w:p w14:paraId="12F20B23" w14:textId="30D7C985" w:rsidR="009B6602" w:rsidRPr="009D7635" w:rsidRDefault="009B6602" w:rsidP="009B6602">
      <w:pPr>
        <w:rPr>
          <w:rFonts w:ascii="Times New Roman" w:hAnsi="Times New Roman" w:cs="Times New Roman"/>
          <w:i/>
          <w:iCs/>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
          <w:color w:val="000000" w:themeColor="text1"/>
          <w:sz w:val="20"/>
          <w:szCs w:val="20"/>
        </w:rPr>
        <w:t>SH</w:t>
      </w:r>
      <w:r w:rsidRPr="009D7635" w:rsidDel="00684D5D">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II, In2, Tr3, S2, Q2, Ti2, M2, C1, Ar3, a, 240: </w:t>
      </w:r>
      <w:proofErr w:type="spellStart"/>
      <w:r w:rsidRPr="009D7635">
        <w:rPr>
          <w:rFonts w:ascii="Times New Roman" w:hAnsi="Times New Roman" w:cs="Times New Roman"/>
          <w:i/>
          <w:iCs/>
          <w:color w:val="000000" w:themeColor="text1"/>
          <w:sz w:val="20"/>
          <w:szCs w:val="20"/>
        </w:rPr>
        <w:t>Constat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enim</w:t>
      </w:r>
      <w:proofErr w:type="spellEnd"/>
      <w:r w:rsidRPr="009D7635">
        <w:rPr>
          <w:rFonts w:ascii="Times New Roman" w:hAnsi="Times New Roman" w:cs="Times New Roman"/>
          <w:i/>
          <w:iCs/>
          <w:color w:val="000000" w:themeColor="text1"/>
          <w:sz w:val="20"/>
          <w:szCs w:val="20"/>
        </w:rPr>
        <w:t xml:space="preserve"> quod, </w:t>
      </w:r>
      <w:proofErr w:type="spellStart"/>
      <w:r w:rsidRPr="009D7635">
        <w:rPr>
          <w:rFonts w:ascii="Times New Roman" w:hAnsi="Times New Roman" w:cs="Times New Roman"/>
          <w:i/>
          <w:iCs/>
          <w:color w:val="000000" w:themeColor="text1"/>
          <w:sz w:val="20"/>
          <w:szCs w:val="20"/>
        </w:rPr>
        <w:t>quando</w:t>
      </w:r>
      <w:proofErr w:type="spellEnd"/>
      <w:r w:rsidRPr="009D7635">
        <w:rPr>
          <w:rFonts w:ascii="Times New Roman" w:hAnsi="Times New Roman" w:cs="Times New Roman"/>
          <w:i/>
          <w:iCs/>
          <w:color w:val="000000" w:themeColor="text1"/>
          <w:sz w:val="20"/>
          <w:szCs w:val="20"/>
        </w:rPr>
        <w:t xml:space="preserve"> spiritus </w:t>
      </w:r>
      <w:proofErr w:type="spellStart"/>
      <w:r w:rsidRPr="009D7635">
        <w:rPr>
          <w:rFonts w:ascii="Times New Roman" w:hAnsi="Times New Roman" w:cs="Times New Roman"/>
          <w:i/>
          <w:iCs/>
          <w:color w:val="000000" w:themeColor="text1"/>
          <w:sz w:val="20"/>
          <w:szCs w:val="20"/>
        </w:rPr>
        <w:t>angelicus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assumit</w:t>
      </w:r>
      <w:proofErr w:type="spellEnd"/>
      <w:r w:rsidRPr="009D7635">
        <w:rPr>
          <w:rFonts w:ascii="Times New Roman" w:hAnsi="Times New Roman" w:cs="Times New Roman"/>
          <w:i/>
          <w:iCs/>
          <w:color w:val="000000" w:themeColor="text1"/>
          <w:sz w:val="20"/>
          <w:szCs w:val="20"/>
        </w:rPr>
        <w:t xml:space="preserve"> corpus, quod </w:t>
      </w:r>
      <w:proofErr w:type="spellStart"/>
      <w:r w:rsidRPr="009D7635">
        <w:rPr>
          <w:rFonts w:ascii="Times New Roman" w:hAnsi="Times New Roman" w:cs="Times New Roman"/>
          <w:i/>
          <w:iCs/>
          <w:color w:val="000000" w:themeColor="text1"/>
          <w:sz w:val="20"/>
          <w:szCs w:val="20"/>
        </w:rPr>
        <w:t>ei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unitur</w:t>
      </w:r>
      <w:proofErr w:type="spellEnd"/>
      <w:r w:rsidRPr="009D7635">
        <w:rPr>
          <w:rFonts w:ascii="Times New Roman" w:hAnsi="Times New Roman" w:cs="Times New Roman"/>
          <w:i/>
          <w:iCs/>
          <w:color w:val="000000" w:themeColor="text1"/>
          <w:sz w:val="20"/>
          <w:szCs w:val="20"/>
        </w:rPr>
        <w:t xml:space="preserve">; sed spiritus non </w:t>
      </w:r>
      <w:proofErr w:type="spellStart"/>
      <w:r w:rsidRPr="009D7635">
        <w:rPr>
          <w:rFonts w:ascii="Times New Roman" w:hAnsi="Times New Roman" w:cs="Times New Roman"/>
          <w:i/>
          <w:iCs/>
          <w:color w:val="000000" w:themeColor="text1"/>
          <w:sz w:val="20"/>
          <w:szCs w:val="20"/>
        </w:rPr>
        <w:t>videtur</w:t>
      </w:r>
      <w:proofErr w:type="spellEnd"/>
      <w:r w:rsidRPr="009D7635">
        <w:rPr>
          <w:rFonts w:ascii="Times New Roman" w:hAnsi="Times New Roman" w:cs="Times New Roman"/>
          <w:i/>
          <w:iCs/>
          <w:color w:val="000000" w:themeColor="text1"/>
          <w:sz w:val="20"/>
          <w:szCs w:val="20"/>
        </w:rPr>
        <w:t xml:space="preserve"> posse </w:t>
      </w:r>
      <w:proofErr w:type="spellStart"/>
      <w:r w:rsidRPr="009D7635">
        <w:rPr>
          <w:rFonts w:ascii="Times New Roman" w:hAnsi="Times New Roman" w:cs="Times New Roman"/>
          <w:i/>
          <w:iCs/>
          <w:color w:val="000000" w:themeColor="text1"/>
          <w:sz w:val="20"/>
          <w:szCs w:val="20"/>
        </w:rPr>
        <w:t>uniri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corpori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nisi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aut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sicut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perfectio</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perfectibili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aut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sicut</w:t>
      </w:r>
      <w:proofErr w:type="spellEnd"/>
      <w:r w:rsidRPr="009D7635">
        <w:rPr>
          <w:rFonts w:ascii="Times New Roman" w:hAnsi="Times New Roman" w:cs="Times New Roman"/>
          <w:i/>
          <w:iCs/>
          <w:color w:val="000000" w:themeColor="text1"/>
          <w:sz w:val="20"/>
          <w:szCs w:val="20"/>
        </w:rPr>
        <w:t xml:space="preserve"> motor </w:t>
      </w:r>
      <w:proofErr w:type="spellStart"/>
      <w:r w:rsidRPr="009D7635">
        <w:rPr>
          <w:rFonts w:ascii="Times New Roman" w:hAnsi="Times New Roman" w:cs="Times New Roman"/>
          <w:i/>
          <w:iCs/>
          <w:color w:val="000000" w:themeColor="text1"/>
          <w:sz w:val="20"/>
          <w:szCs w:val="20"/>
        </w:rPr>
        <w:t>mobili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iis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enim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duobus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modis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unitur</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corpori</w:t>
      </w:r>
      <w:proofErr w:type="spellEnd"/>
      <w:r w:rsidRPr="009D7635">
        <w:rPr>
          <w:rFonts w:ascii="Times New Roman" w:hAnsi="Times New Roman" w:cs="Times New Roman"/>
          <w:i/>
          <w:iCs/>
          <w:color w:val="000000" w:themeColor="text1"/>
          <w:sz w:val="20"/>
          <w:szCs w:val="20"/>
        </w:rPr>
        <w:t xml:space="preserve">; sed </w:t>
      </w:r>
      <w:proofErr w:type="spellStart"/>
      <w:r w:rsidRPr="009D7635">
        <w:rPr>
          <w:rFonts w:ascii="Times New Roman" w:hAnsi="Times New Roman" w:cs="Times New Roman"/>
          <w:i/>
          <w:iCs/>
          <w:color w:val="000000" w:themeColor="text1"/>
          <w:sz w:val="20"/>
          <w:szCs w:val="20"/>
        </w:rPr>
        <w:t>constat</w:t>
      </w:r>
      <w:proofErr w:type="spellEnd"/>
      <w:r w:rsidRPr="009D7635">
        <w:rPr>
          <w:rFonts w:ascii="Times New Roman" w:hAnsi="Times New Roman" w:cs="Times New Roman"/>
          <w:i/>
          <w:iCs/>
          <w:color w:val="000000" w:themeColor="text1"/>
          <w:sz w:val="20"/>
          <w:szCs w:val="20"/>
        </w:rPr>
        <w:t xml:space="preserve"> quod primo modo non </w:t>
      </w:r>
      <w:proofErr w:type="spellStart"/>
      <w:r w:rsidRPr="009D7635">
        <w:rPr>
          <w:rFonts w:ascii="Times New Roman" w:hAnsi="Times New Roman" w:cs="Times New Roman"/>
          <w:i/>
          <w:iCs/>
          <w:color w:val="000000" w:themeColor="text1"/>
          <w:sz w:val="20"/>
          <w:szCs w:val="20"/>
        </w:rPr>
        <w:t>unitur</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corpori</w:t>
      </w:r>
      <w:proofErr w:type="spellEnd"/>
      <w:r w:rsidRPr="009D7635">
        <w:rPr>
          <w:rFonts w:ascii="Times New Roman" w:hAnsi="Times New Roman" w:cs="Times New Roman"/>
          <w:i/>
          <w:iCs/>
          <w:color w:val="000000" w:themeColor="text1"/>
          <w:sz w:val="20"/>
          <w:szCs w:val="20"/>
        </w:rPr>
        <w:t xml:space="preserve">; ergo </w:t>
      </w:r>
      <w:proofErr w:type="spellStart"/>
      <w:r w:rsidRPr="009D7635">
        <w:rPr>
          <w:rFonts w:ascii="Times New Roman" w:hAnsi="Times New Roman" w:cs="Times New Roman"/>
          <w:i/>
          <w:iCs/>
          <w:color w:val="000000" w:themeColor="text1"/>
          <w:sz w:val="20"/>
          <w:szCs w:val="20"/>
        </w:rPr>
        <w:t>secondo</w:t>
      </w:r>
      <w:proofErr w:type="spellEnd"/>
      <w:r w:rsidRPr="009D7635">
        <w:rPr>
          <w:rFonts w:ascii="Times New Roman" w:hAnsi="Times New Roman" w:cs="Times New Roman"/>
          <w:i/>
          <w:iCs/>
          <w:color w:val="000000" w:themeColor="text1"/>
          <w:sz w:val="20"/>
          <w:szCs w:val="20"/>
        </w:rPr>
        <w:t xml:space="preserve">; et </w:t>
      </w:r>
      <w:proofErr w:type="spellStart"/>
      <w:r w:rsidRPr="009D7635">
        <w:rPr>
          <w:rFonts w:ascii="Times New Roman" w:hAnsi="Times New Roman" w:cs="Times New Roman"/>
          <w:i/>
          <w:iCs/>
          <w:color w:val="000000" w:themeColor="text1"/>
          <w:sz w:val="20"/>
          <w:szCs w:val="20"/>
        </w:rPr>
        <w:t>ita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videtur</w:t>
      </w:r>
      <w:proofErr w:type="spellEnd"/>
      <w:r w:rsidRPr="009D7635">
        <w:rPr>
          <w:rFonts w:ascii="Times New Roman" w:hAnsi="Times New Roman" w:cs="Times New Roman"/>
          <w:i/>
          <w:iCs/>
          <w:color w:val="000000" w:themeColor="text1"/>
          <w:sz w:val="20"/>
          <w:szCs w:val="20"/>
        </w:rPr>
        <w:t xml:space="preserve"> quod pro </w:t>
      </w:r>
      <w:proofErr w:type="spellStart"/>
      <w:r w:rsidRPr="009D7635">
        <w:rPr>
          <w:rFonts w:ascii="Times New Roman" w:hAnsi="Times New Roman" w:cs="Times New Roman"/>
          <w:i/>
          <w:iCs/>
          <w:color w:val="000000" w:themeColor="text1"/>
          <w:sz w:val="20"/>
          <w:szCs w:val="20"/>
        </w:rPr>
        <w:t>tanto</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debeat</w:t>
      </w:r>
      <w:proofErr w:type="spellEnd"/>
      <w:r w:rsidRPr="009D7635">
        <w:rPr>
          <w:rFonts w:ascii="Times New Roman" w:hAnsi="Times New Roman" w:cs="Times New Roman"/>
          <w:i/>
          <w:iCs/>
          <w:color w:val="000000" w:themeColor="text1"/>
          <w:sz w:val="20"/>
          <w:szCs w:val="20"/>
        </w:rPr>
        <w:t xml:space="preserve"> dici quod angelus </w:t>
      </w:r>
      <w:proofErr w:type="spellStart"/>
      <w:r w:rsidRPr="009D7635">
        <w:rPr>
          <w:rFonts w:ascii="Times New Roman" w:hAnsi="Times New Roman" w:cs="Times New Roman"/>
          <w:i/>
          <w:iCs/>
          <w:color w:val="000000" w:themeColor="text1"/>
          <w:sz w:val="20"/>
          <w:szCs w:val="20"/>
        </w:rPr>
        <w:t>assumit</w:t>
      </w:r>
      <w:proofErr w:type="spellEnd"/>
      <w:r w:rsidRPr="009D7635">
        <w:rPr>
          <w:rFonts w:ascii="Times New Roman" w:hAnsi="Times New Roman" w:cs="Times New Roman"/>
          <w:i/>
          <w:iCs/>
          <w:color w:val="000000" w:themeColor="text1"/>
          <w:sz w:val="20"/>
          <w:szCs w:val="20"/>
        </w:rPr>
        <w:t xml:space="preserve"> corpus, </w:t>
      </w:r>
      <w:proofErr w:type="spellStart"/>
      <w:r w:rsidRPr="009D7635">
        <w:rPr>
          <w:rFonts w:ascii="Times New Roman" w:hAnsi="Times New Roman" w:cs="Times New Roman"/>
          <w:i/>
          <w:iCs/>
          <w:color w:val="000000" w:themeColor="text1"/>
          <w:sz w:val="20"/>
          <w:szCs w:val="20"/>
        </w:rPr>
        <w:t>quoniam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unitur</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sicut</w:t>
      </w:r>
      <w:proofErr w:type="spellEnd"/>
      <w:r w:rsidRPr="009D7635">
        <w:rPr>
          <w:rFonts w:ascii="Times New Roman" w:hAnsi="Times New Roman" w:cs="Times New Roman"/>
          <w:i/>
          <w:iCs/>
          <w:color w:val="000000" w:themeColor="text1"/>
          <w:sz w:val="20"/>
          <w:szCs w:val="20"/>
        </w:rPr>
        <w:t xml:space="preserve"> motor </w:t>
      </w:r>
      <w:proofErr w:type="spellStart"/>
      <w:r w:rsidRPr="009D7635">
        <w:rPr>
          <w:rFonts w:ascii="Times New Roman" w:hAnsi="Times New Roman" w:cs="Times New Roman"/>
          <w:i/>
          <w:iCs/>
          <w:color w:val="000000" w:themeColor="text1"/>
          <w:sz w:val="20"/>
          <w:szCs w:val="20"/>
        </w:rPr>
        <w:t>mobili</w:t>
      </w:r>
      <w:proofErr w:type="spellEnd"/>
      <w:r w:rsidRPr="009D7635">
        <w:rPr>
          <w:rFonts w:ascii="Times New Roman" w:hAnsi="Times New Roman" w:cs="Times New Roman"/>
          <w:i/>
          <w:iCs/>
          <w:color w:val="000000" w:themeColor="text1"/>
          <w:sz w:val="20"/>
          <w:szCs w:val="20"/>
        </w:rPr>
        <w:t>.</w:t>
      </w:r>
    </w:p>
  </w:footnote>
  <w:footnote w:id="1227">
    <w:p w14:paraId="6AA1EEF1" w14:textId="11D4B592" w:rsidR="009B6602" w:rsidRPr="009D7635" w:rsidRDefault="009B6602" w:rsidP="009B660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Cs/>
          <w:color w:val="000000" w:themeColor="text1"/>
          <w:sz w:val="20"/>
          <w:szCs w:val="20"/>
        </w:rPr>
        <w:t>SH 2.1</w:t>
      </w:r>
      <w:r w:rsidRPr="009D7635">
        <w:rPr>
          <w:rFonts w:ascii="Times New Roman" w:hAnsi="Times New Roman" w:cs="Times New Roman"/>
          <w:color w:val="000000" w:themeColor="text1"/>
          <w:sz w:val="20"/>
          <w:szCs w:val="20"/>
        </w:rPr>
        <w:t>, In2, Tr3, S2, Q2, Ti2, M2, C2, Ar1-2, 245-6; 2.1, In2, Tr3, S2, Q2, T2, M2, C1, Ar6, b, 243.</w:t>
      </w:r>
      <w:r w:rsidR="00E07B85" w:rsidRPr="009D7635">
        <w:rPr>
          <w:rFonts w:ascii="Times New Roman" w:hAnsi="Times New Roman" w:cs="Times New Roman"/>
          <w:color w:val="000000" w:themeColor="text1"/>
          <w:sz w:val="20"/>
          <w:szCs w:val="20"/>
        </w:rPr>
        <w:t xml:space="preserve"> See also </w:t>
      </w:r>
      <w:r w:rsidR="00E07B85" w:rsidRPr="009D7635">
        <w:rPr>
          <w:rFonts w:ascii="Times New Roman" w:hAnsi="Times New Roman" w:cs="Times New Roman"/>
          <w:iCs/>
          <w:color w:val="000000" w:themeColor="text1"/>
          <w:sz w:val="20"/>
          <w:szCs w:val="20"/>
        </w:rPr>
        <w:t>SH 2.1</w:t>
      </w:r>
      <w:r w:rsidR="00E07B85" w:rsidRPr="009D7635">
        <w:rPr>
          <w:rFonts w:ascii="Times New Roman" w:hAnsi="Times New Roman" w:cs="Times New Roman"/>
          <w:color w:val="000000" w:themeColor="text1"/>
          <w:sz w:val="20"/>
          <w:szCs w:val="20"/>
        </w:rPr>
        <w:t>, In2, Tr3, S2, Q2, Ti2, M2, C2, Ar1-2, 245-6; 2.1, In2, Tr3, S2, Q2, T2, M2, C2, Ar2,</w:t>
      </w:r>
      <w:r w:rsidR="002F474C" w:rsidRPr="009D7635">
        <w:rPr>
          <w:rFonts w:ascii="Times New Roman" w:hAnsi="Times New Roman" w:cs="Times New Roman"/>
          <w:color w:val="000000" w:themeColor="text1"/>
          <w:sz w:val="20"/>
          <w:szCs w:val="20"/>
        </w:rPr>
        <w:t xml:space="preserve"> 2</w:t>
      </w:r>
      <w:r w:rsidR="00E07B85" w:rsidRPr="009D7635">
        <w:rPr>
          <w:rFonts w:ascii="Times New Roman" w:hAnsi="Times New Roman" w:cs="Times New Roman"/>
          <w:color w:val="000000" w:themeColor="text1"/>
          <w:sz w:val="20"/>
          <w:szCs w:val="20"/>
        </w:rPr>
        <w:t>45.</w:t>
      </w:r>
    </w:p>
  </w:footnote>
  <w:footnote w:id="1228">
    <w:p w14:paraId="56C2F06C" w14:textId="30F49077" w:rsidR="003F0D8B" w:rsidRPr="009D7635" w:rsidRDefault="003F0D8B">
      <w:pPr>
        <w:pStyle w:val="FootnoteText"/>
        <w:rPr>
          <w:rFonts w:ascii="Times New Roman" w:hAnsi="Times New Roman" w:cs="Times New Roman"/>
        </w:rPr>
      </w:pPr>
      <w:r w:rsidRPr="009D7635">
        <w:rPr>
          <w:rStyle w:val="FootnoteReference"/>
          <w:rFonts w:ascii="Times New Roman" w:hAnsi="Times New Roman" w:cs="Times New Roman"/>
        </w:rPr>
        <w:footnoteRef/>
      </w:r>
      <w:r w:rsidRPr="009D7635">
        <w:rPr>
          <w:rFonts w:ascii="Times New Roman" w:hAnsi="Times New Roman" w:cs="Times New Roman"/>
        </w:rPr>
        <w:t xml:space="preserve"> </w:t>
      </w:r>
      <w:r w:rsidRPr="009D7635">
        <w:rPr>
          <w:rFonts w:ascii="Times New Roman" w:hAnsi="Times New Roman" w:cs="Times New Roman"/>
          <w:iCs/>
          <w:color w:val="000000" w:themeColor="text1"/>
        </w:rPr>
        <w:t>SH 2.1</w:t>
      </w:r>
      <w:r w:rsidRPr="009D7635">
        <w:rPr>
          <w:rFonts w:ascii="Times New Roman" w:hAnsi="Times New Roman" w:cs="Times New Roman"/>
          <w:color w:val="000000" w:themeColor="text1"/>
        </w:rPr>
        <w:t xml:space="preserve">, In2, Tr3, S2, Q2, Ti2, M2, C2, Ar1-2, 245-6; 2.1, In2, Tr3, S2, Q2, T2, M2, C2, Ar1, </w:t>
      </w:r>
      <w:r w:rsidR="002F474C" w:rsidRPr="009D7635">
        <w:rPr>
          <w:rFonts w:ascii="Times New Roman" w:hAnsi="Times New Roman" w:cs="Times New Roman"/>
          <w:color w:val="000000" w:themeColor="text1"/>
        </w:rPr>
        <w:t>2</w:t>
      </w:r>
      <w:r w:rsidRPr="009D7635">
        <w:rPr>
          <w:rFonts w:ascii="Times New Roman" w:hAnsi="Times New Roman" w:cs="Times New Roman"/>
          <w:color w:val="000000" w:themeColor="text1"/>
        </w:rPr>
        <w:t>45.</w:t>
      </w:r>
    </w:p>
  </w:footnote>
  <w:footnote w:id="1229">
    <w:p w14:paraId="61587A5A" w14:textId="202998EA" w:rsidR="009B6602" w:rsidRPr="009D7635" w:rsidRDefault="009B6602" w:rsidP="009B660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iCs/>
          <w:color w:val="000000" w:themeColor="text1"/>
          <w:sz w:val="20"/>
          <w:szCs w:val="20"/>
        </w:rPr>
        <w:t>SH 2.1</w:t>
      </w:r>
      <w:r w:rsidRPr="009D7635">
        <w:rPr>
          <w:rFonts w:ascii="Times New Roman" w:hAnsi="Times New Roman" w:cs="Times New Roman"/>
          <w:color w:val="000000" w:themeColor="text1"/>
          <w:sz w:val="20"/>
          <w:szCs w:val="20"/>
        </w:rPr>
        <w:t xml:space="preserve">, In2, Tr3, S2, Q2, T2, M2, C1, Ar1, 239-40. Franklin T. Harkins, ‘The Embodiment of Angels: A Debate in Mid-Thirteenth-Century Theology,’ </w:t>
      </w:r>
      <w:proofErr w:type="spellStart"/>
      <w:r w:rsidR="00626808" w:rsidRPr="00A04EE7">
        <w:rPr>
          <w:rFonts w:ascii="Times New Roman" w:hAnsi="Times New Roman" w:cs="Times New Roman"/>
          <w:i/>
          <w:iCs/>
        </w:rPr>
        <w:t>Recherches</w:t>
      </w:r>
      <w:proofErr w:type="spellEnd"/>
      <w:r w:rsidR="00626808" w:rsidRPr="00A04EE7">
        <w:rPr>
          <w:rFonts w:ascii="Times New Roman" w:hAnsi="Times New Roman" w:cs="Times New Roman"/>
          <w:i/>
          <w:iCs/>
        </w:rPr>
        <w:t xml:space="preserve"> de </w:t>
      </w:r>
      <w:proofErr w:type="spellStart"/>
      <w:r w:rsidR="00626808">
        <w:rPr>
          <w:rFonts w:ascii="Times New Roman" w:hAnsi="Times New Roman" w:cs="Times New Roman"/>
          <w:i/>
          <w:iCs/>
        </w:rPr>
        <w:t>t</w:t>
      </w:r>
      <w:r w:rsidR="00626808" w:rsidRPr="00A04EE7">
        <w:rPr>
          <w:rFonts w:ascii="Times New Roman" w:hAnsi="Times New Roman" w:cs="Times New Roman"/>
          <w:i/>
          <w:iCs/>
        </w:rPr>
        <w:t>héologie</w:t>
      </w:r>
      <w:proofErr w:type="spellEnd"/>
      <w:r w:rsidR="00626808" w:rsidRPr="00A04EE7">
        <w:rPr>
          <w:rFonts w:ascii="Times New Roman" w:hAnsi="Times New Roman" w:cs="Times New Roman"/>
          <w:i/>
          <w:iCs/>
        </w:rPr>
        <w:t xml:space="preserve"> et </w:t>
      </w:r>
      <w:proofErr w:type="spellStart"/>
      <w:r w:rsidR="00626808">
        <w:rPr>
          <w:rFonts w:ascii="Times New Roman" w:hAnsi="Times New Roman" w:cs="Times New Roman"/>
          <w:i/>
          <w:iCs/>
        </w:rPr>
        <w:t>p</w:t>
      </w:r>
      <w:r w:rsidR="00626808" w:rsidRPr="00A04EE7">
        <w:rPr>
          <w:rFonts w:ascii="Times New Roman" w:hAnsi="Times New Roman" w:cs="Times New Roman"/>
          <w:i/>
          <w:iCs/>
        </w:rPr>
        <w:t>hilosophie</w:t>
      </w:r>
      <w:proofErr w:type="spellEnd"/>
      <w:r w:rsidR="00626808" w:rsidRPr="00A04EE7">
        <w:rPr>
          <w:rFonts w:ascii="Times New Roman" w:hAnsi="Times New Roman" w:cs="Times New Roman"/>
          <w:i/>
          <w:iCs/>
        </w:rPr>
        <w:t xml:space="preserve"> </w:t>
      </w:r>
      <w:proofErr w:type="spellStart"/>
      <w:r w:rsidR="00626808" w:rsidRPr="00A04EE7">
        <w:rPr>
          <w:rFonts w:ascii="Times New Roman" w:hAnsi="Times New Roman" w:cs="Times New Roman"/>
          <w:i/>
          <w:iCs/>
        </w:rPr>
        <w:t>médiévales</w:t>
      </w:r>
      <w:proofErr w:type="spellEnd"/>
      <w:r w:rsidR="00626808" w:rsidRPr="00A04EE7">
        <w:rPr>
          <w:rFonts w:ascii="Times New Roman" w:hAnsi="Times New Roman" w:cs="Times New Roman"/>
          <w:i/>
          <w:iCs/>
        </w:rPr>
        <w:t xml:space="preserve"> </w:t>
      </w:r>
      <w:r w:rsidRPr="009D7635">
        <w:rPr>
          <w:rFonts w:ascii="Times New Roman" w:hAnsi="Times New Roman" w:cs="Times New Roman"/>
          <w:color w:val="000000" w:themeColor="text1"/>
          <w:sz w:val="20"/>
          <w:szCs w:val="20"/>
        </w:rPr>
        <w:t>78:1 (2011)</w:t>
      </w:r>
      <w:r w:rsidR="00951C63"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25. See also Franklin T. Harkins, ‘The Magical Arts, Angelic Intercourse, and Giant Offspring: Echoes of Watchers Traditions in Medieval Scholastic Angelology,’ in </w:t>
      </w:r>
      <w:r w:rsidRPr="009D7635">
        <w:rPr>
          <w:rFonts w:ascii="Times New Roman" w:hAnsi="Times New Roman" w:cs="Times New Roman"/>
          <w:i/>
          <w:color w:val="000000" w:themeColor="text1"/>
          <w:sz w:val="20"/>
          <w:szCs w:val="20"/>
        </w:rPr>
        <w:t>The Fallen Angels Traditions</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 xml:space="preserve">ed. Angela Kim Harkins, Kelley Coblentz </w:t>
      </w:r>
      <w:proofErr w:type="spellStart"/>
      <w:r w:rsidRPr="009D7635">
        <w:rPr>
          <w:rFonts w:ascii="Times New Roman" w:hAnsi="Times New Roman" w:cs="Times New Roman"/>
          <w:color w:val="000000" w:themeColor="text1"/>
          <w:sz w:val="20"/>
          <w:szCs w:val="20"/>
        </w:rPr>
        <w:t>Bautch</w:t>
      </w:r>
      <w:proofErr w:type="spellEnd"/>
      <w:r w:rsidRPr="009D7635">
        <w:rPr>
          <w:rFonts w:ascii="Times New Roman" w:hAnsi="Times New Roman" w:cs="Times New Roman"/>
          <w:color w:val="000000" w:themeColor="text1"/>
          <w:sz w:val="20"/>
          <w:szCs w:val="20"/>
        </w:rPr>
        <w:t xml:space="preserve">, John C. </w:t>
      </w:r>
      <w:proofErr w:type="spellStart"/>
      <w:r w:rsidRPr="009D7635">
        <w:rPr>
          <w:rFonts w:ascii="Times New Roman" w:hAnsi="Times New Roman" w:cs="Times New Roman"/>
          <w:color w:val="000000" w:themeColor="text1"/>
          <w:sz w:val="20"/>
          <w:szCs w:val="20"/>
        </w:rPr>
        <w:t>Endres</w:t>
      </w:r>
      <w:proofErr w:type="spellEnd"/>
      <w:r w:rsidRPr="009D7635">
        <w:rPr>
          <w:rFonts w:ascii="Times New Roman" w:hAnsi="Times New Roman" w:cs="Times New Roman"/>
          <w:color w:val="000000" w:themeColor="text1"/>
          <w:sz w:val="20"/>
          <w:szCs w:val="20"/>
        </w:rPr>
        <w:t xml:space="preserve"> (Washington, D.C.: The Catholic Biblical Association of America, 2014), 157-79.</w:t>
      </w:r>
    </w:p>
  </w:footnote>
  <w:footnote w:id="1230">
    <w:p w14:paraId="1A5AB0A1" w14:textId="77777777"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In2, Tr2, Q1, C2, Ar2, 134-6. This was not a view held or mentioned by Alexander of Hales in his </w:t>
      </w:r>
      <w:r w:rsidRPr="009D7635">
        <w:rPr>
          <w:rFonts w:ascii="Times New Roman" w:hAnsi="Times New Roman" w:cs="Times New Roman"/>
          <w:i/>
          <w:iCs/>
          <w:color w:val="000000" w:themeColor="text1"/>
        </w:rPr>
        <w:t>Glossa,</w:t>
      </w:r>
      <w:r w:rsidRPr="009D7635">
        <w:rPr>
          <w:rFonts w:ascii="Times New Roman" w:hAnsi="Times New Roman" w:cs="Times New Roman"/>
          <w:color w:val="000000" w:themeColor="text1"/>
        </w:rPr>
        <w:t xml:space="preserve"> according to Keck, </w:t>
      </w:r>
      <w:r w:rsidRPr="009D7635">
        <w:rPr>
          <w:rFonts w:ascii="Times New Roman" w:hAnsi="Times New Roman" w:cs="Times New Roman"/>
          <w:i/>
          <w:color w:val="000000" w:themeColor="text1"/>
        </w:rPr>
        <w:t>Angels and Angelology in the Middle Ages,</w:t>
      </w:r>
      <w:r w:rsidRPr="009D7635">
        <w:rPr>
          <w:rFonts w:ascii="Times New Roman" w:hAnsi="Times New Roman" w:cs="Times New Roman"/>
          <w:color w:val="000000" w:themeColor="text1"/>
          <w:lang w:val="fr-FR"/>
        </w:rPr>
        <w:t xml:space="preserve"> </w:t>
      </w:r>
      <w:r w:rsidRPr="009D7635">
        <w:rPr>
          <w:rFonts w:ascii="Times New Roman" w:hAnsi="Times New Roman" w:cs="Times New Roman"/>
          <w:color w:val="000000" w:themeColor="text1"/>
        </w:rPr>
        <w:t xml:space="preserve">95. </w:t>
      </w:r>
    </w:p>
  </w:footnote>
  <w:footnote w:id="1231">
    <w:p w14:paraId="2436D37A" w14:textId="30C516F4" w:rsidR="009B6602" w:rsidRPr="009D7635" w:rsidRDefault="009B6602" w:rsidP="009B6602">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In2, Tr2, Q1, C2, Ar2, Contra a, 135. </w:t>
      </w:r>
      <w:r w:rsidRPr="009D7635">
        <w:rPr>
          <w:rFonts w:ascii="Times New Roman" w:hAnsi="Times New Roman" w:cs="Times New Roman"/>
          <w:i/>
          <w:iCs/>
          <w:color w:val="000000" w:themeColor="text1"/>
          <w:sz w:val="20"/>
          <w:szCs w:val="20"/>
          <w:lang w:val="en-US"/>
        </w:rPr>
        <w:t xml:space="preserve">In omni quod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citra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Primum</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differt</w:t>
      </w:r>
      <w:proofErr w:type="spellEnd"/>
      <w:r w:rsidRPr="009D7635">
        <w:rPr>
          <w:rFonts w:ascii="Times New Roman" w:hAnsi="Times New Roman" w:cs="Times New Roman"/>
          <w:i/>
          <w:iCs/>
          <w:color w:val="000000" w:themeColor="text1"/>
          <w:sz w:val="20"/>
          <w:szCs w:val="20"/>
          <w:lang w:val="en-US"/>
        </w:rPr>
        <w:t xml:space="preserve"> quod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et quo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sed angelus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citra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Primum</w:t>
      </w:r>
      <w:proofErr w:type="spellEnd"/>
      <w:r w:rsidRPr="009D7635">
        <w:rPr>
          <w:rFonts w:ascii="Times New Roman" w:hAnsi="Times New Roman" w:cs="Times New Roman"/>
          <w:i/>
          <w:iCs/>
          <w:color w:val="000000" w:themeColor="text1"/>
          <w:sz w:val="20"/>
          <w:szCs w:val="20"/>
          <w:lang w:val="en-US"/>
        </w:rPr>
        <w:t xml:space="preserve">; ergo in </w:t>
      </w:r>
      <w:proofErr w:type="spellStart"/>
      <w:r w:rsidRPr="009D7635">
        <w:rPr>
          <w:rFonts w:ascii="Times New Roman" w:hAnsi="Times New Roman" w:cs="Times New Roman"/>
          <w:i/>
          <w:iCs/>
          <w:color w:val="000000" w:themeColor="text1"/>
          <w:sz w:val="20"/>
          <w:szCs w:val="20"/>
          <w:lang w:val="en-US"/>
        </w:rPr>
        <w:t>eo</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differt</w:t>
      </w:r>
      <w:proofErr w:type="spellEnd"/>
      <w:r w:rsidRPr="009D7635">
        <w:rPr>
          <w:rFonts w:ascii="Times New Roman" w:hAnsi="Times New Roman" w:cs="Times New Roman"/>
          <w:i/>
          <w:iCs/>
          <w:color w:val="000000" w:themeColor="text1"/>
          <w:sz w:val="20"/>
          <w:szCs w:val="20"/>
          <w:lang w:val="en-US"/>
        </w:rPr>
        <w:t xml:space="preserve"> quod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et quo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sed </w:t>
      </w:r>
      <w:proofErr w:type="spellStart"/>
      <w:r w:rsidRPr="009D7635">
        <w:rPr>
          <w:rFonts w:ascii="Times New Roman" w:hAnsi="Times New Roman" w:cs="Times New Roman"/>
          <w:i/>
          <w:iCs/>
          <w:color w:val="000000" w:themeColor="text1"/>
          <w:sz w:val="20"/>
          <w:szCs w:val="20"/>
          <w:lang w:val="en-US"/>
        </w:rPr>
        <w:t>omne</w:t>
      </w:r>
      <w:proofErr w:type="spellEnd"/>
      <w:r w:rsidRPr="009D7635">
        <w:rPr>
          <w:rFonts w:ascii="Times New Roman" w:hAnsi="Times New Roman" w:cs="Times New Roman"/>
          <w:i/>
          <w:iCs/>
          <w:color w:val="000000" w:themeColor="text1"/>
          <w:sz w:val="20"/>
          <w:szCs w:val="20"/>
          <w:lang w:val="en-US"/>
        </w:rPr>
        <w:t xml:space="preserve"> in quo </w:t>
      </w:r>
      <w:proofErr w:type="spellStart"/>
      <w:r w:rsidRPr="009D7635">
        <w:rPr>
          <w:rFonts w:ascii="Times New Roman" w:hAnsi="Times New Roman" w:cs="Times New Roman"/>
          <w:i/>
          <w:iCs/>
          <w:color w:val="000000" w:themeColor="text1"/>
          <w:sz w:val="20"/>
          <w:szCs w:val="20"/>
          <w:lang w:val="en-US"/>
        </w:rPr>
        <w:t>differt</w:t>
      </w:r>
      <w:proofErr w:type="spellEnd"/>
      <w:r w:rsidRPr="009D7635">
        <w:rPr>
          <w:rFonts w:ascii="Times New Roman" w:hAnsi="Times New Roman" w:cs="Times New Roman"/>
          <w:i/>
          <w:iCs/>
          <w:color w:val="000000" w:themeColor="text1"/>
          <w:sz w:val="20"/>
          <w:szCs w:val="20"/>
          <w:lang w:val="en-US"/>
        </w:rPr>
        <w:t xml:space="preserve"> quod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et quo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compositum</w:t>
      </w:r>
      <w:proofErr w:type="spellEnd"/>
      <w:r w:rsidRPr="009D7635">
        <w:rPr>
          <w:rFonts w:ascii="Times New Roman" w:hAnsi="Times New Roman" w:cs="Times New Roman"/>
          <w:i/>
          <w:iCs/>
          <w:color w:val="000000" w:themeColor="text1"/>
          <w:sz w:val="20"/>
          <w:szCs w:val="20"/>
          <w:lang w:val="en-US"/>
        </w:rPr>
        <w:t xml:space="preserve">; ergo angelus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substantia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composita</w:t>
      </w:r>
      <w:proofErr w:type="spellEnd"/>
      <w:r w:rsidRPr="009D7635">
        <w:rPr>
          <w:rFonts w:ascii="Times New Roman" w:hAnsi="Times New Roman" w:cs="Times New Roman"/>
          <w:i/>
          <w:iCs/>
          <w:color w:val="000000" w:themeColor="text1"/>
          <w:sz w:val="20"/>
          <w:szCs w:val="20"/>
          <w:lang w:val="en-US"/>
        </w:rPr>
        <w:t>.</w:t>
      </w:r>
    </w:p>
  </w:footnote>
  <w:footnote w:id="1232">
    <w:p w14:paraId="665BB1A1" w14:textId="05A04152" w:rsidR="009B6602" w:rsidRPr="009D7635" w:rsidRDefault="009B6602" w:rsidP="009B6602">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In2, Tr2, Q1, C2, Ar2, Contra b, 135. </w:t>
      </w:r>
      <w:r w:rsidRPr="009D7635">
        <w:rPr>
          <w:rFonts w:ascii="Times New Roman" w:hAnsi="Times New Roman" w:cs="Times New Roman"/>
          <w:i/>
          <w:iCs/>
          <w:color w:val="000000" w:themeColor="text1"/>
          <w:sz w:val="20"/>
          <w:szCs w:val="20"/>
          <w:lang w:val="en-US"/>
        </w:rPr>
        <w:t xml:space="preserve">Angelus </w:t>
      </w:r>
      <w:proofErr w:type="spellStart"/>
      <w:r w:rsidRPr="009D7635">
        <w:rPr>
          <w:rFonts w:ascii="Times New Roman" w:hAnsi="Times New Roman" w:cs="Times New Roman"/>
          <w:i/>
          <w:iCs/>
          <w:color w:val="000000" w:themeColor="text1"/>
          <w:sz w:val="20"/>
          <w:szCs w:val="20"/>
          <w:lang w:val="en-US"/>
        </w:rPr>
        <w:t>habet</w:t>
      </w:r>
      <w:proofErr w:type="spellEnd"/>
      <w:r w:rsidRPr="009D7635">
        <w:rPr>
          <w:rFonts w:ascii="Times New Roman" w:hAnsi="Times New Roman" w:cs="Times New Roman"/>
          <w:i/>
          <w:iCs/>
          <w:color w:val="000000" w:themeColor="text1"/>
          <w:sz w:val="20"/>
          <w:szCs w:val="20"/>
          <w:lang w:val="en-US"/>
        </w:rPr>
        <w:t xml:space="preserve"> vires </w:t>
      </w:r>
      <w:proofErr w:type="spellStart"/>
      <w:r w:rsidRPr="009D7635">
        <w:rPr>
          <w:rFonts w:ascii="Times New Roman" w:hAnsi="Times New Roman" w:cs="Times New Roman"/>
          <w:i/>
          <w:iCs/>
          <w:color w:val="000000" w:themeColor="text1"/>
          <w:sz w:val="20"/>
          <w:szCs w:val="20"/>
          <w:lang w:val="en-US"/>
        </w:rPr>
        <w:t>secundum</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quas</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attenditur</w:t>
      </w:r>
      <w:proofErr w:type="spellEnd"/>
      <w:r w:rsidRPr="009D7635">
        <w:rPr>
          <w:rFonts w:ascii="Times New Roman" w:hAnsi="Times New Roman" w:cs="Times New Roman"/>
          <w:i/>
          <w:iCs/>
          <w:color w:val="000000" w:themeColor="text1"/>
          <w:sz w:val="20"/>
          <w:szCs w:val="20"/>
          <w:lang w:val="en-US"/>
        </w:rPr>
        <w:t xml:space="preserve"> quod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imago, scilicet memoriam, </w:t>
      </w:r>
      <w:proofErr w:type="spellStart"/>
      <w:r w:rsidRPr="009D7635">
        <w:rPr>
          <w:rFonts w:ascii="Times New Roman" w:hAnsi="Times New Roman" w:cs="Times New Roman"/>
          <w:i/>
          <w:iCs/>
          <w:color w:val="000000" w:themeColor="text1"/>
          <w:sz w:val="20"/>
          <w:szCs w:val="20"/>
          <w:lang w:val="en-US"/>
        </w:rPr>
        <w:t>intelligentiam</w:t>
      </w:r>
      <w:proofErr w:type="spellEnd"/>
      <w:r w:rsidRPr="009D7635">
        <w:rPr>
          <w:rFonts w:ascii="Times New Roman" w:hAnsi="Times New Roman" w:cs="Times New Roman"/>
          <w:i/>
          <w:iCs/>
          <w:color w:val="000000" w:themeColor="text1"/>
          <w:sz w:val="20"/>
          <w:szCs w:val="20"/>
          <w:lang w:val="en-US"/>
        </w:rPr>
        <w:t xml:space="preserve"> et </w:t>
      </w:r>
      <w:proofErr w:type="spellStart"/>
      <w:r w:rsidRPr="009D7635">
        <w:rPr>
          <w:rFonts w:ascii="Times New Roman" w:hAnsi="Times New Roman" w:cs="Times New Roman"/>
          <w:i/>
          <w:iCs/>
          <w:color w:val="000000" w:themeColor="text1"/>
          <w:sz w:val="20"/>
          <w:szCs w:val="20"/>
          <w:lang w:val="en-US"/>
        </w:rPr>
        <w:t>voluntatem</w:t>
      </w:r>
      <w:proofErr w:type="spellEnd"/>
      <w:r w:rsidRPr="009D7635">
        <w:rPr>
          <w:rFonts w:ascii="Times New Roman" w:hAnsi="Times New Roman" w:cs="Times New Roman"/>
          <w:i/>
          <w:iCs/>
          <w:color w:val="000000" w:themeColor="text1"/>
          <w:sz w:val="20"/>
          <w:szCs w:val="20"/>
          <w:lang w:val="en-US"/>
        </w:rPr>
        <w:t xml:space="preserve">: sed vires </w:t>
      </w:r>
      <w:proofErr w:type="spellStart"/>
      <w:r w:rsidRPr="009D7635">
        <w:rPr>
          <w:rFonts w:ascii="Times New Roman" w:hAnsi="Times New Roman" w:cs="Times New Roman"/>
          <w:i/>
          <w:iCs/>
          <w:color w:val="000000" w:themeColor="text1"/>
          <w:sz w:val="20"/>
          <w:szCs w:val="20"/>
          <w:lang w:val="en-US"/>
        </w:rPr>
        <w:t>sive</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potentiae</w:t>
      </w:r>
      <w:proofErr w:type="spellEnd"/>
      <w:r w:rsidRPr="009D7635">
        <w:rPr>
          <w:rFonts w:ascii="Times New Roman" w:hAnsi="Times New Roman" w:cs="Times New Roman"/>
          <w:i/>
          <w:iCs/>
          <w:color w:val="000000" w:themeColor="text1"/>
          <w:sz w:val="20"/>
          <w:szCs w:val="20"/>
          <w:lang w:val="en-US"/>
        </w:rPr>
        <w:t xml:space="preserve"> non </w:t>
      </w:r>
      <w:proofErr w:type="spellStart"/>
      <w:r w:rsidRPr="009D7635">
        <w:rPr>
          <w:rFonts w:ascii="Times New Roman" w:hAnsi="Times New Roman" w:cs="Times New Roman"/>
          <w:i/>
          <w:iCs/>
          <w:color w:val="000000" w:themeColor="text1"/>
          <w:sz w:val="20"/>
          <w:szCs w:val="20"/>
          <w:lang w:val="en-US"/>
        </w:rPr>
        <w:t>sunt</w:t>
      </w:r>
      <w:proofErr w:type="spellEnd"/>
      <w:r w:rsidRPr="009D7635">
        <w:rPr>
          <w:rFonts w:ascii="Times New Roman" w:hAnsi="Times New Roman" w:cs="Times New Roman"/>
          <w:i/>
          <w:iCs/>
          <w:color w:val="000000" w:themeColor="text1"/>
          <w:sz w:val="20"/>
          <w:szCs w:val="20"/>
          <w:lang w:val="en-US"/>
        </w:rPr>
        <w:t xml:space="preserve"> ipsa </w:t>
      </w:r>
      <w:proofErr w:type="spellStart"/>
      <w:r w:rsidRPr="009D7635">
        <w:rPr>
          <w:rFonts w:ascii="Times New Roman" w:hAnsi="Times New Roman" w:cs="Times New Roman"/>
          <w:i/>
          <w:iCs/>
          <w:color w:val="000000" w:themeColor="text1"/>
          <w:sz w:val="20"/>
          <w:szCs w:val="20"/>
          <w:lang w:val="en-US"/>
        </w:rPr>
        <w:t>essentia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nulla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enim</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essentia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sua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potentia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nisi</w:t>
      </w:r>
      <w:proofErr w:type="spellEnd"/>
      <w:r w:rsidRPr="009D7635">
        <w:rPr>
          <w:rFonts w:ascii="Times New Roman" w:hAnsi="Times New Roman" w:cs="Times New Roman"/>
          <w:i/>
          <w:iCs/>
          <w:color w:val="000000" w:themeColor="text1"/>
          <w:sz w:val="20"/>
          <w:szCs w:val="20"/>
          <w:lang w:val="en-US"/>
        </w:rPr>
        <w:t xml:space="preserve"> in </w:t>
      </w:r>
      <w:proofErr w:type="spellStart"/>
      <w:r w:rsidRPr="009D7635">
        <w:rPr>
          <w:rFonts w:ascii="Times New Roman" w:hAnsi="Times New Roman" w:cs="Times New Roman"/>
          <w:i/>
          <w:iCs/>
          <w:color w:val="000000" w:themeColor="text1"/>
          <w:sz w:val="20"/>
          <w:szCs w:val="20"/>
          <w:lang w:val="en-US"/>
        </w:rPr>
        <w:t>Deo</w:t>
      </w:r>
      <w:proofErr w:type="spellEnd"/>
      <w:r w:rsidRPr="009D7635">
        <w:rPr>
          <w:rFonts w:ascii="Times New Roman" w:hAnsi="Times New Roman" w:cs="Times New Roman"/>
          <w:i/>
          <w:iCs/>
          <w:color w:val="000000" w:themeColor="text1"/>
          <w:sz w:val="20"/>
          <w:szCs w:val="20"/>
          <w:lang w:val="en-US"/>
        </w:rPr>
        <w:t xml:space="preserve">; ergo </w:t>
      </w:r>
      <w:proofErr w:type="spellStart"/>
      <w:r w:rsidRPr="009D7635">
        <w:rPr>
          <w:rFonts w:ascii="Times New Roman" w:hAnsi="Times New Roman" w:cs="Times New Roman"/>
          <w:i/>
          <w:iCs/>
          <w:color w:val="000000" w:themeColor="text1"/>
          <w:sz w:val="20"/>
          <w:szCs w:val="20"/>
          <w:lang w:val="en-US"/>
        </w:rPr>
        <w:t>essentia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angeli</w:t>
      </w:r>
      <w:proofErr w:type="spellEnd"/>
      <w:r w:rsidRPr="009D7635">
        <w:rPr>
          <w:rFonts w:ascii="Times New Roman" w:hAnsi="Times New Roman" w:cs="Times New Roman"/>
          <w:i/>
          <w:iCs/>
          <w:color w:val="000000" w:themeColor="text1"/>
          <w:sz w:val="20"/>
          <w:szCs w:val="20"/>
          <w:lang w:val="en-US"/>
        </w:rPr>
        <w:t xml:space="preserve"> non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suae</w:t>
      </w:r>
      <w:proofErr w:type="spellEnd"/>
      <w:r w:rsidRPr="009D7635">
        <w:rPr>
          <w:rFonts w:ascii="Times New Roman" w:hAnsi="Times New Roman" w:cs="Times New Roman"/>
          <w:i/>
          <w:iCs/>
          <w:color w:val="000000" w:themeColor="text1"/>
          <w:sz w:val="20"/>
          <w:szCs w:val="20"/>
          <w:lang w:val="en-US"/>
        </w:rPr>
        <w:t xml:space="preserve"> vires; ergo angelus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substantia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composita</w:t>
      </w:r>
      <w:proofErr w:type="spellEnd"/>
      <w:r w:rsidRPr="009D7635">
        <w:rPr>
          <w:rFonts w:ascii="Times New Roman" w:hAnsi="Times New Roman" w:cs="Times New Roman"/>
          <w:i/>
          <w:iCs/>
          <w:color w:val="000000" w:themeColor="text1"/>
          <w:sz w:val="20"/>
          <w:szCs w:val="20"/>
          <w:lang w:val="en-US"/>
        </w:rPr>
        <w:t xml:space="preserve">. </w:t>
      </w:r>
      <w:r w:rsidRPr="009D7635">
        <w:rPr>
          <w:rFonts w:ascii="Times New Roman" w:hAnsi="Times New Roman" w:cs="Times New Roman"/>
          <w:color w:val="000000" w:themeColor="text1"/>
          <w:sz w:val="20"/>
          <w:szCs w:val="20"/>
          <w:lang w:val="en-US"/>
        </w:rPr>
        <w:t xml:space="preserve">Cf. </w:t>
      </w:r>
      <w:r w:rsidRPr="009D7635">
        <w:rPr>
          <w:rFonts w:ascii="Times New Roman" w:hAnsi="Times New Roman" w:cs="Times New Roman"/>
          <w:color w:val="000000" w:themeColor="text1"/>
          <w:sz w:val="20"/>
          <w:szCs w:val="20"/>
        </w:rPr>
        <w:t>SH 2.1, In2, Tr3, S1, Q1, C1, 158-9; SH 2.1, In2, Tr3, S1, Q1, C3, 160.</w:t>
      </w:r>
    </w:p>
  </w:footnote>
  <w:footnote w:id="1233">
    <w:p w14:paraId="66BA642C" w14:textId="60EDE6DE" w:rsidR="009B6602" w:rsidRPr="009D7635" w:rsidRDefault="009B6602" w:rsidP="009B6602">
      <w:pPr>
        <w:rPr>
          <w:rFonts w:ascii="Times New Roman" w:hAnsi="Times New Roman" w:cs="Times New Roman"/>
          <w:i/>
          <w:iCs/>
          <w:color w:val="000000" w:themeColor="text1"/>
          <w:sz w:val="20"/>
          <w:szCs w:val="20"/>
          <w:highlight w:val="yellow"/>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In4, Tr1, S2, Q1, Ar1, Contra a, 426: </w:t>
      </w:r>
      <w:proofErr w:type="spellStart"/>
      <w:r w:rsidRPr="009D7635">
        <w:rPr>
          <w:rFonts w:ascii="Times New Roman" w:hAnsi="Times New Roman" w:cs="Times New Roman"/>
          <w:i/>
          <w:iCs/>
          <w:color w:val="000000" w:themeColor="text1"/>
          <w:sz w:val="20"/>
          <w:szCs w:val="20"/>
          <w:lang w:val="en-US"/>
        </w:rPr>
        <w:t>Sicut</w:t>
      </w:r>
      <w:proofErr w:type="spellEnd"/>
      <w:r w:rsidRPr="009D7635">
        <w:rPr>
          <w:rFonts w:ascii="Times New Roman" w:hAnsi="Times New Roman" w:cs="Times New Roman"/>
          <w:i/>
          <w:iCs/>
          <w:color w:val="000000" w:themeColor="text1"/>
          <w:sz w:val="20"/>
          <w:szCs w:val="20"/>
          <w:lang w:val="en-US"/>
        </w:rPr>
        <w:t xml:space="preserve"> ergo </w:t>
      </w:r>
      <w:proofErr w:type="spellStart"/>
      <w:r w:rsidRPr="009D7635">
        <w:rPr>
          <w:rFonts w:ascii="Times New Roman" w:hAnsi="Times New Roman" w:cs="Times New Roman"/>
          <w:i/>
          <w:iCs/>
          <w:color w:val="000000" w:themeColor="text1"/>
          <w:sz w:val="20"/>
          <w:szCs w:val="20"/>
          <w:lang w:val="en-US"/>
        </w:rPr>
        <w:t>creatura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differt</w:t>
      </w:r>
      <w:proofErr w:type="spellEnd"/>
      <w:r w:rsidRPr="009D7635">
        <w:rPr>
          <w:rFonts w:ascii="Times New Roman" w:hAnsi="Times New Roman" w:cs="Times New Roman"/>
          <w:i/>
          <w:iCs/>
          <w:color w:val="000000" w:themeColor="text1"/>
          <w:sz w:val="20"/>
          <w:szCs w:val="20"/>
          <w:lang w:val="en-US"/>
        </w:rPr>
        <w:t xml:space="preserve"> a </w:t>
      </w:r>
      <w:proofErr w:type="spellStart"/>
      <w:r w:rsidRPr="009D7635">
        <w:rPr>
          <w:rFonts w:ascii="Times New Roman" w:hAnsi="Times New Roman" w:cs="Times New Roman"/>
          <w:i/>
          <w:iCs/>
          <w:color w:val="000000" w:themeColor="text1"/>
          <w:sz w:val="20"/>
          <w:szCs w:val="20"/>
          <w:lang w:val="en-US"/>
        </w:rPr>
        <w:t>Creatore</w:t>
      </w:r>
      <w:proofErr w:type="spellEnd"/>
      <w:r w:rsidRPr="009D7635">
        <w:rPr>
          <w:rFonts w:ascii="Times New Roman" w:hAnsi="Times New Roman" w:cs="Times New Roman"/>
          <w:i/>
          <w:iCs/>
          <w:color w:val="000000" w:themeColor="text1"/>
          <w:sz w:val="20"/>
          <w:szCs w:val="20"/>
          <w:lang w:val="en-US"/>
        </w:rPr>
        <w:t xml:space="preserve"> in hoc quod </w:t>
      </w:r>
      <w:proofErr w:type="spellStart"/>
      <w:r w:rsidRPr="009D7635">
        <w:rPr>
          <w:rFonts w:ascii="Times New Roman" w:hAnsi="Times New Roman" w:cs="Times New Roman"/>
          <w:i/>
          <w:iCs/>
          <w:color w:val="000000" w:themeColor="text1"/>
          <w:sz w:val="20"/>
          <w:szCs w:val="20"/>
          <w:lang w:val="en-US"/>
        </w:rPr>
        <w:t>virtus</w:t>
      </w:r>
      <w:proofErr w:type="spellEnd"/>
      <w:r w:rsidRPr="009D7635">
        <w:rPr>
          <w:rFonts w:ascii="Times New Roman" w:hAnsi="Times New Roman" w:cs="Times New Roman"/>
          <w:i/>
          <w:iCs/>
          <w:color w:val="000000" w:themeColor="text1"/>
          <w:sz w:val="20"/>
          <w:szCs w:val="20"/>
          <w:lang w:val="en-US"/>
        </w:rPr>
        <w:t xml:space="preserve"> in </w:t>
      </w:r>
      <w:proofErr w:type="spellStart"/>
      <w:r w:rsidRPr="009D7635">
        <w:rPr>
          <w:rFonts w:ascii="Times New Roman" w:hAnsi="Times New Roman" w:cs="Times New Roman"/>
          <w:i/>
          <w:iCs/>
          <w:color w:val="000000" w:themeColor="text1"/>
          <w:sz w:val="20"/>
          <w:szCs w:val="20"/>
          <w:lang w:val="en-US"/>
        </w:rPr>
        <w:t>creatura</w:t>
      </w:r>
      <w:proofErr w:type="spellEnd"/>
      <w:r w:rsidRPr="009D7635">
        <w:rPr>
          <w:rFonts w:ascii="Times New Roman" w:hAnsi="Times New Roman" w:cs="Times New Roman"/>
          <w:i/>
          <w:iCs/>
          <w:color w:val="000000" w:themeColor="text1"/>
          <w:sz w:val="20"/>
          <w:szCs w:val="20"/>
          <w:lang w:val="en-US"/>
        </w:rPr>
        <w:t xml:space="preserve"> non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omnino</w:t>
      </w:r>
      <w:proofErr w:type="spellEnd"/>
      <w:r w:rsidRPr="009D7635">
        <w:rPr>
          <w:rFonts w:ascii="Times New Roman" w:hAnsi="Times New Roman" w:cs="Times New Roman"/>
          <w:i/>
          <w:iCs/>
          <w:color w:val="000000" w:themeColor="text1"/>
          <w:sz w:val="20"/>
          <w:szCs w:val="20"/>
          <w:lang w:val="en-US"/>
        </w:rPr>
        <w:t xml:space="preserve"> idem quod </w:t>
      </w:r>
      <w:proofErr w:type="spellStart"/>
      <w:r w:rsidRPr="009D7635">
        <w:rPr>
          <w:rFonts w:ascii="Times New Roman" w:hAnsi="Times New Roman" w:cs="Times New Roman"/>
          <w:i/>
          <w:iCs/>
          <w:color w:val="000000" w:themeColor="text1"/>
          <w:sz w:val="20"/>
          <w:szCs w:val="20"/>
          <w:lang w:val="en-US"/>
        </w:rPr>
        <w:t>sua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essentia</w:t>
      </w:r>
      <w:proofErr w:type="spellEnd"/>
      <w:r w:rsidRPr="009D7635">
        <w:rPr>
          <w:rFonts w:ascii="Times New Roman" w:hAnsi="Times New Roman" w:cs="Times New Roman"/>
          <w:i/>
          <w:iCs/>
          <w:color w:val="000000" w:themeColor="text1"/>
          <w:sz w:val="20"/>
          <w:szCs w:val="20"/>
          <w:lang w:val="en-US"/>
        </w:rPr>
        <w:t xml:space="preserve">, sic </w:t>
      </w:r>
      <w:proofErr w:type="spellStart"/>
      <w:r w:rsidRPr="009D7635">
        <w:rPr>
          <w:rFonts w:ascii="Times New Roman" w:hAnsi="Times New Roman" w:cs="Times New Roman"/>
          <w:i/>
          <w:iCs/>
          <w:color w:val="000000" w:themeColor="text1"/>
          <w:sz w:val="20"/>
          <w:szCs w:val="20"/>
          <w:lang w:val="en-US"/>
        </w:rPr>
        <w:t>differet</w:t>
      </w:r>
      <w:proofErr w:type="spellEnd"/>
      <w:r w:rsidRPr="009D7635">
        <w:rPr>
          <w:rFonts w:ascii="Times New Roman" w:hAnsi="Times New Roman" w:cs="Times New Roman"/>
          <w:i/>
          <w:iCs/>
          <w:color w:val="000000" w:themeColor="text1"/>
          <w:sz w:val="20"/>
          <w:szCs w:val="20"/>
          <w:lang w:val="en-US"/>
        </w:rPr>
        <w:t xml:space="preserve"> in hoc quod </w:t>
      </w:r>
      <w:proofErr w:type="spellStart"/>
      <w:r w:rsidRPr="009D7635">
        <w:rPr>
          <w:rFonts w:ascii="Times New Roman" w:hAnsi="Times New Roman" w:cs="Times New Roman"/>
          <w:i/>
          <w:iCs/>
          <w:color w:val="000000" w:themeColor="text1"/>
          <w:sz w:val="20"/>
          <w:szCs w:val="20"/>
          <w:lang w:val="en-US"/>
        </w:rPr>
        <w:t>habet</w:t>
      </w:r>
      <w:proofErr w:type="spellEnd"/>
      <w:r w:rsidRPr="009D7635">
        <w:rPr>
          <w:rFonts w:ascii="Times New Roman" w:hAnsi="Times New Roman" w:cs="Times New Roman"/>
          <w:i/>
          <w:iCs/>
          <w:color w:val="000000" w:themeColor="text1"/>
          <w:sz w:val="20"/>
          <w:szCs w:val="20"/>
          <w:lang w:val="en-US"/>
        </w:rPr>
        <w:t xml:space="preserve"> per </w:t>
      </w:r>
      <w:proofErr w:type="spellStart"/>
      <w:r w:rsidRPr="009D7635">
        <w:rPr>
          <w:rFonts w:ascii="Times New Roman" w:hAnsi="Times New Roman" w:cs="Times New Roman"/>
          <w:i/>
          <w:iCs/>
          <w:color w:val="000000" w:themeColor="text1"/>
          <w:sz w:val="20"/>
          <w:szCs w:val="20"/>
          <w:lang w:val="en-US"/>
        </w:rPr>
        <w:t>pluralitatem</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virtutis</w:t>
      </w:r>
      <w:proofErr w:type="spellEnd"/>
      <w:r w:rsidRPr="009D7635">
        <w:rPr>
          <w:rFonts w:ascii="Times New Roman" w:hAnsi="Times New Roman" w:cs="Times New Roman"/>
          <w:i/>
          <w:iCs/>
          <w:color w:val="000000" w:themeColor="text1"/>
          <w:sz w:val="20"/>
          <w:szCs w:val="20"/>
          <w:lang w:val="en-US"/>
        </w:rPr>
        <w:t xml:space="preserve"> quod </w:t>
      </w:r>
      <w:proofErr w:type="spellStart"/>
      <w:r w:rsidRPr="009D7635">
        <w:rPr>
          <w:rFonts w:ascii="Times New Roman" w:hAnsi="Times New Roman" w:cs="Times New Roman"/>
          <w:i/>
          <w:iCs/>
          <w:color w:val="000000" w:themeColor="text1"/>
          <w:sz w:val="20"/>
          <w:szCs w:val="20"/>
          <w:lang w:val="en-US"/>
        </w:rPr>
        <w:t>habet</w:t>
      </w:r>
      <w:proofErr w:type="spellEnd"/>
      <w:r w:rsidRPr="009D7635">
        <w:rPr>
          <w:rFonts w:ascii="Times New Roman" w:hAnsi="Times New Roman" w:cs="Times New Roman"/>
          <w:i/>
          <w:iCs/>
          <w:color w:val="000000" w:themeColor="text1"/>
          <w:sz w:val="20"/>
          <w:szCs w:val="20"/>
          <w:lang w:val="en-US"/>
        </w:rPr>
        <w:t xml:space="preserve"> Creator per </w:t>
      </w:r>
      <w:proofErr w:type="spellStart"/>
      <w:r w:rsidRPr="009D7635">
        <w:rPr>
          <w:rFonts w:ascii="Times New Roman" w:hAnsi="Times New Roman" w:cs="Times New Roman"/>
          <w:i/>
          <w:iCs/>
          <w:color w:val="000000" w:themeColor="text1"/>
          <w:sz w:val="20"/>
          <w:szCs w:val="20"/>
          <w:lang w:val="en-US"/>
        </w:rPr>
        <w:t>virtutis</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indivisionem</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ut</w:t>
      </w:r>
      <w:proofErr w:type="spellEnd"/>
      <w:r w:rsidRPr="009D7635">
        <w:rPr>
          <w:rFonts w:ascii="Times New Roman" w:hAnsi="Times New Roman" w:cs="Times New Roman"/>
          <w:i/>
          <w:iCs/>
          <w:color w:val="000000" w:themeColor="text1"/>
          <w:sz w:val="20"/>
          <w:szCs w:val="20"/>
          <w:lang w:val="en-US"/>
        </w:rPr>
        <w:t xml:space="preserve"> Creator </w:t>
      </w:r>
      <w:proofErr w:type="spellStart"/>
      <w:r w:rsidRPr="009D7635">
        <w:rPr>
          <w:rFonts w:ascii="Times New Roman" w:hAnsi="Times New Roman" w:cs="Times New Roman"/>
          <w:i/>
          <w:iCs/>
          <w:color w:val="000000" w:themeColor="text1"/>
          <w:sz w:val="20"/>
          <w:szCs w:val="20"/>
          <w:lang w:val="en-US"/>
        </w:rPr>
        <w:t>una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virtute</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agat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omne</w:t>
      </w:r>
      <w:proofErr w:type="spellEnd"/>
      <w:r w:rsidRPr="009D7635">
        <w:rPr>
          <w:rFonts w:ascii="Times New Roman" w:hAnsi="Times New Roman" w:cs="Times New Roman"/>
          <w:i/>
          <w:iCs/>
          <w:color w:val="000000" w:themeColor="text1"/>
          <w:sz w:val="20"/>
          <w:szCs w:val="20"/>
          <w:lang w:val="en-US"/>
        </w:rPr>
        <w:t xml:space="preserve"> quod </w:t>
      </w:r>
      <w:proofErr w:type="spellStart"/>
      <w:r w:rsidRPr="009D7635">
        <w:rPr>
          <w:rFonts w:ascii="Times New Roman" w:hAnsi="Times New Roman" w:cs="Times New Roman"/>
          <w:i/>
          <w:iCs/>
          <w:color w:val="000000" w:themeColor="text1"/>
          <w:sz w:val="20"/>
          <w:szCs w:val="20"/>
          <w:lang w:val="en-US"/>
        </w:rPr>
        <w:t>agit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creatura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vero</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agat</w:t>
      </w:r>
      <w:proofErr w:type="spellEnd"/>
      <w:r w:rsidRPr="009D7635">
        <w:rPr>
          <w:rFonts w:ascii="Times New Roman" w:hAnsi="Times New Roman" w:cs="Times New Roman"/>
          <w:i/>
          <w:iCs/>
          <w:color w:val="000000" w:themeColor="text1"/>
          <w:sz w:val="20"/>
          <w:szCs w:val="20"/>
          <w:lang w:val="en-US"/>
        </w:rPr>
        <w:t xml:space="preserve"> pluribus </w:t>
      </w:r>
      <w:proofErr w:type="spellStart"/>
      <w:r w:rsidRPr="009D7635">
        <w:rPr>
          <w:rFonts w:ascii="Times New Roman" w:hAnsi="Times New Roman" w:cs="Times New Roman"/>
          <w:i/>
          <w:iCs/>
          <w:color w:val="000000" w:themeColor="text1"/>
          <w:sz w:val="20"/>
          <w:szCs w:val="20"/>
          <w:lang w:val="en-US"/>
        </w:rPr>
        <w:t>virtutibus</w:t>
      </w:r>
      <w:proofErr w:type="spellEnd"/>
      <w:r w:rsidRPr="009D7635">
        <w:rPr>
          <w:rFonts w:ascii="Times New Roman" w:hAnsi="Times New Roman" w:cs="Times New Roman"/>
          <w:i/>
          <w:iCs/>
          <w:color w:val="000000" w:themeColor="text1"/>
          <w:sz w:val="20"/>
          <w:szCs w:val="20"/>
          <w:lang w:val="en-US"/>
        </w:rPr>
        <w:t xml:space="preserve"> differentia.</w:t>
      </w:r>
    </w:p>
  </w:footnote>
  <w:footnote w:id="1234">
    <w:p w14:paraId="17A1E166" w14:textId="77777777"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In2, Tr2, Q1, C5, Ar2, 155-6.</w:t>
      </w:r>
    </w:p>
  </w:footnote>
  <w:footnote w:id="1235">
    <w:p w14:paraId="3850D1BC" w14:textId="77777777" w:rsidR="009B6602" w:rsidRPr="009D7635" w:rsidRDefault="009B6602" w:rsidP="009B6602">
      <w:pPr>
        <w:pStyle w:val="FootnoteText"/>
        <w:rPr>
          <w:rFonts w:ascii="Times New Roman" w:hAnsi="Times New Roman" w:cs="Times New Roman"/>
          <w:color w:val="000000" w:themeColor="text1"/>
          <w:lang w:val="fr-FR"/>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David Keck, </w:t>
      </w:r>
      <w:r w:rsidRPr="009D7635">
        <w:rPr>
          <w:rFonts w:ascii="Times New Roman" w:hAnsi="Times New Roman" w:cs="Times New Roman"/>
          <w:i/>
          <w:color w:val="000000" w:themeColor="text1"/>
        </w:rPr>
        <w:t>Angels and Angelology in the Middle Ages</w:t>
      </w:r>
      <w:r w:rsidRPr="009D7635">
        <w:rPr>
          <w:rFonts w:ascii="Times New Roman" w:hAnsi="Times New Roman" w:cs="Times New Roman"/>
          <w:iCs/>
          <w:color w:val="000000" w:themeColor="text1"/>
        </w:rPr>
        <w:t>,</w:t>
      </w:r>
      <w:r w:rsidRPr="009D7635">
        <w:rPr>
          <w:rFonts w:ascii="Times New Roman" w:hAnsi="Times New Roman" w:cs="Times New Roman"/>
          <w:iCs/>
          <w:color w:val="000000" w:themeColor="text1"/>
          <w:lang w:val="fr-FR"/>
        </w:rPr>
        <w:t xml:space="preserve"> </w:t>
      </w:r>
      <w:r w:rsidRPr="009D7635">
        <w:rPr>
          <w:rFonts w:ascii="Times New Roman" w:hAnsi="Times New Roman" w:cs="Times New Roman"/>
          <w:color w:val="000000" w:themeColor="text1"/>
          <w:lang w:val="fr-FR"/>
        </w:rPr>
        <w:t>100.</w:t>
      </w:r>
    </w:p>
  </w:footnote>
  <w:footnote w:id="1236">
    <w:p w14:paraId="0F8ADE4F" w14:textId="6FBE68AC"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6E440B" w:rsidRPr="009D7635">
        <w:rPr>
          <w:rFonts w:ascii="Times New Roman" w:hAnsi="Times New Roman" w:cs="Times New Roman"/>
          <w:iCs/>
          <w:color w:val="000000" w:themeColor="text1"/>
        </w:rPr>
        <w:t>SH 2.1</w:t>
      </w:r>
      <w:r w:rsidR="006E440B" w:rsidRPr="009D7635">
        <w:rPr>
          <w:rFonts w:ascii="Times New Roman" w:hAnsi="Times New Roman" w:cs="Times New Roman"/>
          <w:color w:val="000000" w:themeColor="text1"/>
        </w:rPr>
        <w:t xml:space="preserve">, In2, Tr3, S2, Q2, Ti2, M2, C2, Ar1-2, 245-6; 2.1, In2, Tr3, S2, Q2, T2, M1, C1, Ar1, 229-31. </w:t>
      </w:r>
      <w:proofErr w:type="spellStart"/>
      <w:r w:rsidRPr="009D7635">
        <w:rPr>
          <w:rFonts w:ascii="Times New Roman" w:hAnsi="Times New Roman" w:cs="Times New Roman"/>
          <w:color w:val="000000" w:themeColor="text1"/>
        </w:rPr>
        <w:t>Tiziana</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Suarez-Nani</w:t>
      </w:r>
      <w:proofErr w:type="spellEnd"/>
      <w:r w:rsidRPr="009D7635">
        <w:rPr>
          <w:rFonts w:ascii="Times New Roman" w:hAnsi="Times New Roman" w:cs="Times New Roman"/>
          <w:color w:val="000000" w:themeColor="text1"/>
        </w:rPr>
        <w:t xml:space="preserve"> has undertaken a fascinating study of the individuation of angels in Thomas Aquinas and Thierry of </w:t>
      </w:r>
      <w:proofErr w:type="spellStart"/>
      <w:r w:rsidRPr="009D7635">
        <w:rPr>
          <w:rFonts w:ascii="Times New Roman" w:hAnsi="Times New Roman" w:cs="Times New Roman"/>
          <w:color w:val="000000" w:themeColor="text1"/>
        </w:rPr>
        <w:t>Freiberg</w:t>
      </w:r>
      <w:proofErr w:type="spellEnd"/>
      <w:r w:rsidRPr="009D7635">
        <w:rPr>
          <w:rFonts w:ascii="Times New Roman" w:hAnsi="Times New Roman" w:cs="Times New Roman"/>
          <w:color w:val="000000" w:themeColor="text1"/>
        </w:rPr>
        <w:t xml:space="preserve">, in </w:t>
      </w:r>
      <w:r w:rsidRPr="009D7635">
        <w:rPr>
          <w:rFonts w:ascii="Times New Roman" w:hAnsi="Times New Roman" w:cs="Times New Roman"/>
          <w:i/>
          <w:color w:val="000000" w:themeColor="text1"/>
        </w:rPr>
        <w:t xml:space="preserve">Les </w:t>
      </w:r>
      <w:proofErr w:type="spellStart"/>
      <w:r w:rsidRPr="009D7635">
        <w:rPr>
          <w:rFonts w:ascii="Times New Roman" w:hAnsi="Times New Roman" w:cs="Times New Roman"/>
          <w:i/>
          <w:color w:val="000000" w:themeColor="text1"/>
        </w:rPr>
        <w:t>anges</w:t>
      </w:r>
      <w:proofErr w:type="spellEnd"/>
      <w:r w:rsidRPr="009D7635">
        <w:rPr>
          <w:rFonts w:ascii="Times New Roman" w:hAnsi="Times New Roman" w:cs="Times New Roman"/>
          <w:i/>
          <w:color w:val="000000" w:themeColor="text1"/>
        </w:rPr>
        <w:t xml:space="preserve"> et la </w:t>
      </w:r>
      <w:proofErr w:type="spellStart"/>
      <w:r w:rsidRPr="009D7635">
        <w:rPr>
          <w:rFonts w:ascii="Times New Roman" w:hAnsi="Times New Roman" w:cs="Times New Roman"/>
          <w:i/>
          <w:color w:val="000000" w:themeColor="text1"/>
        </w:rPr>
        <w:t>philosophie</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Subjectivité</w:t>
      </w:r>
      <w:proofErr w:type="spellEnd"/>
      <w:r w:rsidRPr="009D7635">
        <w:rPr>
          <w:rFonts w:ascii="Times New Roman" w:hAnsi="Times New Roman" w:cs="Times New Roman"/>
          <w:i/>
          <w:color w:val="000000" w:themeColor="text1"/>
        </w:rPr>
        <w:t xml:space="preserve"> et function </w:t>
      </w:r>
      <w:proofErr w:type="spellStart"/>
      <w:r w:rsidRPr="009D7635">
        <w:rPr>
          <w:rFonts w:ascii="Times New Roman" w:hAnsi="Times New Roman" w:cs="Times New Roman"/>
          <w:i/>
          <w:color w:val="000000" w:themeColor="text1"/>
        </w:rPr>
        <w:t>cosmologique</w:t>
      </w:r>
      <w:proofErr w:type="spellEnd"/>
      <w:r w:rsidRPr="009D7635">
        <w:rPr>
          <w:rFonts w:ascii="Times New Roman" w:hAnsi="Times New Roman" w:cs="Times New Roman"/>
          <w:i/>
          <w:color w:val="000000" w:themeColor="text1"/>
        </w:rPr>
        <w:t xml:space="preserve"> des substances </w:t>
      </w:r>
      <w:proofErr w:type="spellStart"/>
      <w:r w:rsidRPr="009D7635">
        <w:rPr>
          <w:rFonts w:ascii="Times New Roman" w:hAnsi="Times New Roman" w:cs="Times New Roman"/>
          <w:i/>
          <w:color w:val="000000" w:themeColor="text1"/>
        </w:rPr>
        <w:t>séparées</w:t>
      </w:r>
      <w:proofErr w:type="spellEnd"/>
      <w:r w:rsidRPr="009D7635">
        <w:rPr>
          <w:rFonts w:ascii="Times New Roman" w:hAnsi="Times New Roman" w:cs="Times New Roman"/>
          <w:i/>
          <w:color w:val="000000" w:themeColor="text1"/>
        </w:rPr>
        <w:t xml:space="preserve"> à la fin du XIIIe siècle </w:t>
      </w:r>
      <w:r w:rsidRPr="009D7635">
        <w:rPr>
          <w:rFonts w:ascii="Times New Roman" w:hAnsi="Times New Roman" w:cs="Times New Roman"/>
          <w:color w:val="000000" w:themeColor="text1"/>
        </w:rPr>
        <w:t>(Paris: Vrin, 2002).</w:t>
      </w:r>
    </w:p>
  </w:footnote>
  <w:footnote w:id="1237">
    <w:p w14:paraId="5D7F3B56" w14:textId="536D6C11" w:rsidR="009B6602" w:rsidRPr="009D7635" w:rsidRDefault="009B6602" w:rsidP="009B660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00BA5070" w:rsidRPr="009D7635">
        <w:rPr>
          <w:rFonts w:ascii="Times New Roman" w:hAnsi="Times New Roman" w:cs="Times New Roman"/>
          <w:iCs/>
          <w:color w:val="000000" w:themeColor="text1"/>
          <w:sz w:val="20"/>
          <w:szCs w:val="20"/>
        </w:rPr>
        <w:t>SH 2.1</w:t>
      </w:r>
      <w:r w:rsidR="00BA5070" w:rsidRPr="009D7635">
        <w:rPr>
          <w:rFonts w:ascii="Times New Roman" w:hAnsi="Times New Roman" w:cs="Times New Roman"/>
          <w:color w:val="000000" w:themeColor="text1"/>
          <w:sz w:val="20"/>
          <w:szCs w:val="20"/>
        </w:rPr>
        <w:t xml:space="preserve">, In2, Tr3, S2, Q2, Ti2, M2, C2, Ar1-2, 245-6; 2.1, In2, Tr3, S2, Q2, T2, M1, C2, Ar1, 233-34. </w:t>
      </w:r>
      <w:r w:rsidRPr="009D7635">
        <w:rPr>
          <w:rFonts w:ascii="Times New Roman" w:hAnsi="Times New Roman" w:cs="Times New Roman"/>
          <w:color w:val="000000" w:themeColor="text1"/>
          <w:sz w:val="20"/>
          <w:szCs w:val="20"/>
        </w:rPr>
        <w:t xml:space="preserve">David Keck, </w:t>
      </w:r>
      <w:r w:rsidRPr="009D7635">
        <w:rPr>
          <w:rFonts w:ascii="Times New Roman" w:hAnsi="Times New Roman" w:cs="Times New Roman"/>
          <w:i/>
          <w:color w:val="000000" w:themeColor="text1"/>
          <w:sz w:val="20"/>
          <w:szCs w:val="20"/>
        </w:rPr>
        <w:t>Angels and Angelology in the Middle Ages</w:t>
      </w:r>
      <w:r w:rsidRPr="009D7635">
        <w:rPr>
          <w:rFonts w:ascii="Times New Roman" w:hAnsi="Times New Roman" w:cs="Times New Roman"/>
          <w:color w:val="000000" w:themeColor="text1"/>
          <w:sz w:val="20"/>
          <w:szCs w:val="20"/>
        </w:rPr>
        <w:t xml:space="preserve">, 111. </w:t>
      </w:r>
    </w:p>
  </w:footnote>
  <w:footnote w:id="1238">
    <w:p w14:paraId="75144CBF" w14:textId="77777777" w:rsidR="009B6602" w:rsidRPr="009D7635" w:rsidRDefault="009B6602" w:rsidP="009B660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David Keck, </w:t>
      </w:r>
      <w:r w:rsidRPr="009D7635">
        <w:rPr>
          <w:rFonts w:ascii="Times New Roman" w:hAnsi="Times New Roman" w:cs="Times New Roman"/>
          <w:i/>
          <w:color w:val="000000" w:themeColor="text1"/>
          <w:sz w:val="20"/>
          <w:szCs w:val="20"/>
        </w:rPr>
        <w:t>Angels and Angelology in the Middle Ages</w:t>
      </w:r>
      <w:r w:rsidRPr="009D7635">
        <w:rPr>
          <w:rFonts w:ascii="Times New Roman" w:hAnsi="Times New Roman" w:cs="Times New Roman"/>
          <w:color w:val="000000" w:themeColor="text1"/>
          <w:sz w:val="20"/>
          <w:szCs w:val="20"/>
        </w:rPr>
        <w:t>, 99: Whereas early Franciscans understood matter in a metaphysical sense, Aquinas thought of it exclusively in physical terms as the property corporeal bodies.</w:t>
      </w:r>
    </w:p>
  </w:footnote>
  <w:footnote w:id="1239">
    <w:p w14:paraId="26D13AEB" w14:textId="489450A8" w:rsidR="009B6602" w:rsidRPr="009D7635" w:rsidRDefault="009B6602" w:rsidP="009B660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Daniel A. Callus, ‘The Powers of the Soul: An Early Unpublished Text,’ </w:t>
      </w:r>
      <w:proofErr w:type="spellStart"/>
      <w:r w:rsidRPr="009D7635">
        <w:rPr>
          <w:rFonts w:ascii="Times New Roman" w:hAnsi="Times New Roman" w:cs="Times New Roman"/>
          <w:i/>
          <w:color w:val="000000" w:themeColor="text1"/>
          <w:sz w:val="20"/>
          <w:szCs w:val="20"/>
        </w:rPr>
        <w:t>Recherches</w:t>
      </w:r>
      <w:proofErr w:type="spellEnd"/>
      <w:r w:rsidRPr="009D7635">
        <w:rPr>
          <w:rFonts w:ascii="Times New Roman" w:hAnsi="Times New Roman" w:cs="Times New Roman"/>
          <w:i/>
          <w:color w:val="000000" w:themeColor="text1"/>
          <w:sz w:val="20"/>
          <w:szCs w:val="20"/>
        </w:rPr>
        <w:t xml:space="preserve"> de </w:t>
      </w:r>
      <w:proofErr w:type="spellStart"/>
      <w:r w:rsidR="00A45C35">
        <w:rPr>
          <w:rFonts w:ascii="Times New Roman" w:hAnsi="Times New Roman" w:cs="Times New Roman"/>
          <w:i/>
          <w:color w:val="000000" w:themeColor="text1"/>
          <w:sz w:val="20"/>
          <w:szCs w:val="20"/>
        </w:rPr>
        <w:t>t</w:t>
      </w:r>
      <w:r w:rsidRPr="009D7635">
        <w:rPr>
          <w:rFonts w:ascii="Times New Roman" w:hAnsi="Times New Roman" w:cs="Times New Roman"/>
          <w:i/>
          <w:color w:val="000000" w:themeColor="text1"/>
          <w:sz w:val="20"/>
          <w:szCs w:val="20"/>
        </w:rPr>
        <w:t>héologie</w:t>
      </w:r>
      <w:proofErr w:type="spellEnd"/>
      <w:r w:rsidRPr="009D7635">
        <w:rPr>
          <w:rFonts w:ascii="Times New Roman" w:hAnsi="Times New Roman" w:cs="Times New Roman"/>
          <w:i/>
          <w:color w:val="000000" w:themeColor="text1"/>
          <w:sz w:val="20"/>
          <w:szCs w:val="20"/>
        </w:rPr>
        <w:t xml:space="preserve"> </w:t>
      </w:r>
      <w:proofErr w:type="spellStart"/>
      <w:r w:rsidRPr="009D7635">
        <w:rPr>
          <w:rFonts w:ascii="Times New Roman" w:hAnsi="Times New Roman" w:cs="Times New Roman"/>
          <w:i/>
          <w:color w:val="000000" w:themeColor="text1"/>
          <w:sz w:val="20"/>
          <w:szCs w:val="20"/>
        </w:rPr>
        <w:t>ancienne</w:t>
      </w:r>
      <w:proofErr w:type="spellEnd"/>
      <w:r w:rsidRPr="009D7635">
        <w:rPr>
          <w:rFonts w:ascii="Times New Roman" w:hAnsi="Times New Roman" w:cs="Times New Roman"/>
          <w:i/>
          <w:color w:val="000000" w:themeColor="text1"/>
          <w:sz w:val="20"/>
          <w:szCs w:val="20"/>
        </w:rPr>
        <w:t xml:space="preserve"> et </w:t>
      </w:r>
      <w:proofErr w:type="spellStart"/>
      <w:r w:rsidRPr="009D7635">
        <w:rPr>
          <w:rFonts w:ascii="Times New Roman" w:hAnsi="Times New Roman" w:cs="Times New Roman"/>
          <w:i/>
          <w:color w:val="000000" w:themeColor="text1"/>
          <w:sz w:val="20"/>
          <w:szCs w:val="20"/>
        </w:rPr>
        <w:t>médiévale</w:t>
      </w:r>
      <w:proofErr w:type="spellEnd"/>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19</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(1952)</w:t>
      </w:r>
      <w:r w:rsidR="00B13CB0" w:rsidRPr="009D7635">
        <w:rPr>
          <w:rFonts w:ascii="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156-7. </w:t>
      </w:r>
    </w:p>
  </w:footnote>
  <w:footnote w:id="1240">
    <w:p w14:paraId="43CE02D7" w14:textId="730C9ECD" w:rsidR="009B6602" w:rsidRPr="009D7635" w:rsidRDefault="009B6602" w:rsidP="009B660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In2, Tr2, Q1, C5,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151: </w:t>
      </w:r>
      <w:proofErr w:type="spellStart"/>
      <w:r w:rsidRPr="009D7635">
        <w:rPr>
          <w:rFonts w:ascii="Times New Roman" w:hAnsi="Times New Roman" w:cs="Times New Roman"/>
          <w:i/>
          <w:iCs/>
          <w:color w:val="000000" w:themeColor="text1"/>
          <w:sz w:val="20"/>
          <w:szCs w:val="20"/>
        </w:rPr>
        <w:t>Secundum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esse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vero</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metaphysicum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differunt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essentialiter</w:t>
      </w:r>
      <w:proofErr w:type="spellEnd"/>
      <w:r w:rsidRPr="009D7635">
        <w:rPr>
          <w:rFonts w:ascii="Times New Roman" w:hAnsi="Times New Roman" w:cs="Times New Roman"/>
          <w:i/>
          <w:iCs/>
          <w:color w:val="000000" w:themeColor="text1"/>
          <w:sz w:val="20"/>
          <w:szCs w:val="20"/>
        </w:rPr>
        <w:t xml:space="preserve"> per </w:t>
      </w:r>
      <w:proofErr w:type="spellStart"/>
      <w:r w:rsidRPr="009D7635">
        <w:rPr>
          <w:rFonts w:ascii="Times New Roman" w:hAnsi="Times New Roman" w:cs="Times New Roman"/>
          <w:i/>
          <w:iCs/>
          <w:color w:val="000000" w:themeColor="text1"/>
          <w:sz w:val="20"/>
          <w:szCs w:val="20"/>
        </w:rPr>
        <w:t>intellectum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possibilem</w:t>
      </w:r>
      <w:proofErr w:type="spellEnd"/>
      <w:r w:rsidRPr="009D7635">
        <w:rPr>
          <w:rFonts w:ascii="Times New Roman" w:hAnsi="Times New Roman" w:cs="Times New Roman"/>
          <w:i/>
          <w:iCs/>
          <w:color w:val="000000" w:themeColor="text1"/>
          <w:sz w:val="20"/>
          <w:szCs w:val="20"/>
        </w:rPr>
        <w:t xml:space="preserve"> ad species in </w:t>
      </w:r>
      <w:proofErr w:type="spellStart"/>
      <w:r w:rsidRPr="009D7635">
        <w:rPr>
          <w:rFonts w:ascii="Times New Roman" w:hAnsi="Times New Roman" w:cs="Times New Roman"/>
          <w:i/>
          <w:iCs/>
          <w:color w:val="000000" w:themeColor="text1"/>
          <w:sz w:val="20"/>
          <w:szCs w:val="20"/>
        </w:rPr>
        <w:t>phantasmatibus</w:t>
      </w:r>
      <w:proofErr w:type="spellEnd"/>
      <w:r w:rsidRPr="009D7635">
        <w:rPr>
          <w:rFonts w:ascii="Times New Roman" w:hAnsi="Times New Roman" w:cs="Times New Roman"/>
          <w:i/>
          <w:iCs/>
          <w:color w:val="000000" w:themeColor="text1"/>
          <w:sz w:val="20"/>
          <w:szCs w:val="20"/>
        </w:rPr>
        <w:t xml:space="preserve"> et </w:t>
      </w:r>
      <w:proofErr w:type="spellStart"/>
      <w:r w:rsidRPr="009D7635">
        <w:rPr>
          <w:rFonts w:ascii="Times New Roman" w:hAnsi="Times New Roman" w:cs="Times New Roman"/>
          <w:i/>
          <w:iCs/>
          <w:color w:val="000000" w:themeColor="text1"/>
          <w:sz w:val="20"/>
          <w:szCs w:val="20"/>
        </w:rPr>
        <w:t>intellectum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abstractum</w:t>
      </w:r>
      <w:proofErr w:type="spellEnd"/>
      <w:r w:rsidRPr="009D7635">
        <w:rPr>
          <w:rFonts w:ascii="Times New Roman" w:hAnsi="Times New Roman" w:cs="Times New Roman"/>
          <w:i/>
          <w:iCs/>
          <w:color w:val="000000" w:themeColor="text1"/>
          <w:sz w:val="20"/>
          <w:szCs w:val="20"/>
        </w:rPr>
        <w:t xml:space="preserve"> ab </w:t>
      </w:r>
      <w:proofErr w:type="spellStart"/>
      <w:r w:rsidRPr="009D7635">
        <w:rPr>
          <w:rFonts w:ascii="Times New Roman" w:hAnsi="Times New Roman" w:cs="Times New Roman"/>
          <w:i/>
          <w:iCs/>
          <w:color w:val="000000" w:themeColor="text1"/>
          <w:sz w:val="20"/>
          <w:szCs w:val="20"/>
        </w:rPr>
        <w:t>hac</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possibilitate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intelligentia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enim</w:t>
      </w:r>
      <w:proofErr w:type="spellEnd"/>
      <w:r w:rsidRPr="009D7635">
        <w:rPr>
          <w:rFonts w:ascii="Times New Roman" w:hAnsi="Times New Roman" w:cs="Times New Roman"/>
          <w:i/>
          <w:iCs/>
          <w:color w:val="000000" w:themeColor="text1"/>
          <w:sz w:val="20"/>
          <w:szCs w:val="20"/>
        </w:rPr>
        <w:t xml:space="preserve"> angelica </w:t>
      </w:r>
      <w:proofErr w:type="spellStart"/>
      <w:r w:rsidRPr="009D7635">
        <w:rPr>
          <w:rFonts w:ascii="Times New Roman" w:hAnsi="Times New Roman" w:cs="Times New Roman"/>
          <w:i/>
          <w:iCs/>
          <w:color w:val="000000" w:themeColor="text1"/>
          <w:sz w:val="20"/>
          <w:szCs w:val="20"/>
        </w:rPr>
        <w:t>habet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intellectum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abstractum</w:t>
      </w:r>
      <w:proofErr w:type="spellEnd"/>
      <w:r w:rsidRPr="009D7635">
        <w:rPr>
          <w:rFonts w:ascii="Times New Roman" w:hAnsi="Times New Roman" w:cs="Times New Roman"/>
          <w:i/>
          <w:iCs/>
          <w:color w:val="000000" w:themeColor="text1"/>
          <w:sz w:val="20"/>
          <w:szCs w:val="20"/>
        </w:rPr>
        <w:t xml:space="preserve"> ab </w:t>
      </w:r>
      <w:proofErr w:type="spellStart"/>
      <w:r w:rsidRPr="009D7635">
        <w:rPr>
          <w:rFonts w:ascii="Times New Roman" w:hAnsi="Times New Roman" w:cs="Times New Roman"/>
          <w:i/>
          <w:iCs/>
          <w:color w:val="000000" w:themeColor="text1"/>
          <w:sz w:val="20"/>
          <w:szCs w:val="20"/>
        </w:rPr>
        <w:t>hac</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possibilitate</w:t>
      </w:r>
      <w:proofErr w:type="spellEnd"/>
      <w:r w:rsidRPr="009D7635">
        <w:rPr>
          <w:rFonts w:ascii="Times New Roman" w:hAnsi="Times New Roman" w:cs="Times New Roman"/>
          <w:i/>
          <w:iCs/>
          <w:color w:val="000000" w:themeColor="text1"/>
          <w:sz w:val="20"/>
          <w:szCs w:val="20"/>
        </w:rPr>
        <w:t>.</w:t>
      </w:r>
    </w:p>
  </w:footnote>
  <w:footnote w:id="1241">
    <w:p w14:paraId="514FD828" w14:textId="77777777" w:rsidR="009B6602" w:rsidRPr="009D7635" w:rsidRDefault="009B6602" w:rsidP="009B660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In2, Tr3, S2, Q2, Ti1, C2, Ar1,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211.</w:t>
      </w:r>
    </w:p>
  </w:footnote>
  <w:footnote w:id="1242">
    <w:p w14:paraId="7F245F81" w14:textId="7C62C18F" w:rsidR="009B6602" w:rsidRPr="009D7635" w:rsidRDefault="009B6602" w:rsidP="009B6602">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In2, Tr3, S2, Q1, T1, C1,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162: </w:t>
      </w:r>
      <w:r w:rsidRPr="009D7635">
        <w:rPr>
          <w:rFonts w:ascii="Times New Roman" w:hAnsi="Times New Roman" w:cs="Times New Roman"/>
          <w:i/>
          <w:iCs/>
          <w:color w:val="000000" w:themeColor="text1"/>
          <w:sz w:val="20"/>
          <w:szCs w:val="20"/>
          <w:lang w:val="en-US"/>
        </w:rPr>
        <w:t xml:space="preserve">Ad quod </w:t>
      </w:r>
      <w:proofErr w:type="spellStart"/>
      <w:r w:rsidRPr="009D7635">
        <w:rPr>
          <w:rFonts w:ascii="Times New Roman" w:hAnsi="Times New Roman" w:cs="Times New Roman"/>
          <w:i/>
          <w:iCs/>
          <w:color w:val="000000" w:themeColor="text1"/>
          <w:sz w:val="20"/>
          <w:szCs w:val="20"/>
          <w:lang w:val="en-US"/>
        </w:rPr>
        <w:t>dicendum</w:t>
      </w:r>
      <w:proofErr w:type="spellEnd"/>
      <w:r w:rsidRPr="009D7635">
        <w:rPr>
          <w:rFonts w:ascii="Times New Roman" w:hAnsi="Times New Roman" w:cs="Times New Roman"/>
          <w:i/>
          <w:iCs/>
          <w:color w:val="000000" w:themeColor="text1"/>
          <w:sz w:val="20"/>
          <w:szCs w:val="20"/>
          <w:lang w:val="en-US"/>
        </w:rPr>
        <w:t xml:space="preserve"> quod in </w:t>
      </w:r>
      <w:proofErr w:type="spellStart"/>
      <w:r w:rsidRPr="009D7635">
        <w:rPr>
          <w:rFonts w:ascii="Times New Roman" w:hAnsi="Times New Roman" w:cs="Times New Roman"/>
          <w:i/>
          <w:iCs/>
          <w:color w:val="000000" w:themeColor="text1"/>
          <w:sz w:val="20"/>
          <w:szCs w:val="20"/>
          <w:lang w:val="en-US"/>
        </w:rPr>
        <w:t>angelo</w:t>
      </w:r>
      <w:proofErr w:type="spellEnd"/>
      <w:r w:rsidRPr="009D7635">
        <w:rPr>
          <w:rFonts w:ascii="Times New Roman" w:hAnsi="Times New Roman" w:cs="Times New Roman"/>
          <w:i/>
          <w:iCs/>
          <w:color w:val="000000" w:themeColor="text1"/>
          <w:sz w:val="20"/>
          <w:szCs w:val="20"/>
          <w:lang w:val="en-US"/>
        </w:rPr>
        <w:t xml:space="preserve"> non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potentia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sensitiva</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distincta</w:t>
      </w:r>
      <w:proofErr w:type="spellEnd"/>
      <w:r w:rsidRPr="009D7635">
        <w:rPr>
          <w:rFonts w:ascii="Times New Roman" w:hAnsi="Times New Roman" w:cs="Times New Roman"/>
          <w:i/>
          <w:iCs/>
          <w:color w:val="000000" w:themeColor="text1"/>
          <w:sz w:val="20"/>
          <w:szCs w:val="20"/>
          <w:lang w:val="en-US"/>
        </w:rPr>
        <w:t xml:space="preserve"> ab </w:t>
      </w:r>
      <w:proofErr w:type="spellStart"/>
      <w:r w:rsidRPr="009D7635">
        <w:rPr>
          <w:rFonts w:ascii="Times New Roman" w:hAnsi="Times New Roman" w:cs="Times New Roman"/>
          <w:i/>
          <w:iCs/>
          <w:color w:val="000000" w:themeColor="text1"/>
          <w:sz w:val="20"/>
          <w:szCs w:val="20"/>
          <w:lang w:val="en-US"/>
        </w:rPr>
        <w:t>intellectiva</w:t>
      </w:r>
      <w:proofErr w:type="spellEnd"/>
      <w:r w:rsidRPr="009D7635">
        <w:rPr>
          <w:rFonts w:ascii="Times New Roman" w:hAnsi="Times New Roman" w:cs="Times New Roman"/>
          <w:i/>
          <w:iCs/>
          <w:color w:val="000000" w:themeColor="text1"/>
          <w:sz w:val="20"/>
          <w:szCs w:val="20"/>
          <w:lang w:val="en-US"/>
        </w:rPr>
        <w:t xml:space="preserve"> per </w:t>
      </w:r>
      <w:proofErr w:type="spellStart"/>
      <w:r w:rsidRPr="009D7635">
        <w:rPr>
          <w:rFonts w:ascii="Times New Roman" w:hAnsi="Times New Roman" w:cs="Times New Roman"/>
          <w:i/>
          <w:iCs/>
          <w:color w:val="000000" w:themeColor="text1"/>
          <w:sz w:val="20"/>
          <w:szCs w:val="20"/>
          <w:lang w:val="en-US"/>
        </w:rPr>
        <w:t>illum</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modum</w:t>
      </w:r>
      <w:proofErr w:type="spellEnd"/>
      <w:r w:rsidRPr="009D7635">
        <w:rPr>
          <w:rFonts w:ascii="Times New Roman" w:hAnsi="Times New Roman" w:cs="Times New Roman"/>
          <w:i/>
          <w:iCs/>
          <w:color w:val="000000" w:themeColor="text1"/>
          <w:sz w:val="20"/>
          <w:szCs w:val="20"/>
          <w:lang w:val="en-US"/>
        </w:rPr>
        <w:t xml:space="preserve"> per </w:t>
      </w:r>
      <w:proofErr w:type="spellStart"/>
      <w:r w:rsidRPr="009D7635">
        <w:rPr>
          <w:rFonts w:ascii="Times New Roman" w:hAnsi="Times New Roman" w:cs="Times New Roman"/>
          <w:i/>
          <w:iCs/>
          <w:color w:val="000000" w:themeColor="text1"/>
          <w:sz w:val="20"/>
          <w:szCs w:val="20"/>
          <w:lang w:val="en-US"/>
        </w:rPr>
        <w:t>quem</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sensitiva</w:t>
      </w:r>
      <w:proofErr w:type="spellEnd"/>
      <w:r w:rsidRPr="009D7635">
        <w:rPr>
          <w:rFonts w:ascii="Times New Roman" w:hAnsi="Times New Roman" w:cs="Times New Roman"/>
          <w:i/>
          <w:iCs/>
          <w:color w:val="000000" w:themeColor="text1"/>
          <w:sz w:val="20"/>
          <w:szCs w:val="20"/>
          <w:lang w:val="en-US"/>
        </w:rPr>
        <w:t xml:space="preserve"> in </w:t>
      </w:r>
      <w:proofErr w:type="spellStart"/>
      <w:r w:rsidRPr="009D7635">
        <w:rPr>
          <w:rFonts w:ascii="Times New Roman" w:hAnsi="Times New Roman" w:cs="Times New Roman"/>
          <w:i/>
          <w:iCs/>
          <w:color w:val="000000" w:themeColor="text1"/>
          <w:sz w:val="20"/>
          <w:szCs w:val="20"/>
          <w:lang w:val="en-US"/>
        </w:rPr>
        <w:t>homine</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distinguitur</w:t>
      </w:r>
      <w:proofErr w:type="spellEnd"/>
      <w:r w:rsidRPr="009D7635">
        <w:rPr>
          <w:rFonts w:ascii="Times New Roman" w:hAnsi="Times New Roman" w:cs="Times New Roman"/>
          <w:i/>
          <w:iCs/>
          <w:color w:val="000000" w:themeColor="text1"/>
          <w:sz w:val="20"/>
          <w:szCs w:val="20"/>
          <w:lang w:val="en-US"/>
        </w:rPr>
        <w:t xml:space="preserve"> ab </w:t>
      </w:r>
      <w:proofErr w:type="spellStart"/>
      <w:r w:rsidRPr="009D7635">
        <w:rPr>
          <w:rFonts w:ascii="Times New Roman" w:hAnsi="Times New Roman" w:cs="Times New Roman"/>
          <w:i/>
          <w:iCs/>
          <w:color w:val="000000" w:themeColor="text1"/>
          <w:sz w:val="20"/>
          <w:szCs w:val="20"/>
          <w:lang w:val="en-US"/>
        </w:rPr>
        <w:t>intellectiva</w:t>
      </w:r>
      <w:proofErr w:type="spellEnd"/>
      <w:r w:rsidRPr="009D7635">
        <w:rPr>
          <w:rFonts w:ascii="Times New Roman" w:hAnsi="Times New Roman" w:cs="Times New Roman"/>
          <w:i/>
          <w:iCs/>
          <w:color w:val="000000" w:themeColor="text1"/>
          <w:sz w:val="20"/>
          <w:szCs w:val="20"/>
          <w:lang w:val="en-US"/>
        </w:rPr>
        <w:t>.</w:t>
      </w:r>
    </w:p>
  </w:footnote>
  <w:footnote w:id="1243">
    <w:p w14:paraId="3170C410" w14:textId="77777777" w:rsidR="009B6602" w:rsidRPr="009D7635" w:rsidRDefault="009B6602" w:rsidP="009B660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In2, Tr3, S2, Q2, Ti2, M2, C1, Ar3,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1, 240.</w:t>
      </w:r>
    </w:p>
  </w:footnote>
  <w:footnote w:id="1244">
    <w:p w14:paraId="4E1E5861" w14:textId="723AD265" w:rsidR="009B6602" w:rsidRPr="009D7635" w:rsidRDefault="009B6602" w:rsidP="009B6602">
      <w:pPr>
        <w:rPr>
          <w:rFonts w:ascii="Times New Roman" w:hAnsi="Times New Roman" w:cs="Times New Roman"/>
          <w:i/>
          <w:iCs/>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In2, Tr3, S2, Q2, Ti2, M2, C1, Ar3, </w:t>
      </w:r>
      <w:proofErr w:type="spellStart"/>
      <w:r w:rsidRPr="009D7635">
        <w:rPr>
          <w:rFonts w:ascii="Times New Roman" w:hAnsi="Times New Roman" w:cs="Times New Roman"/>
          <w:color w:val="000000" w:themeColor="text1"/>
          <w:sz w:val="20"/>
          <w:szCs w:val="20"/>
        </w:rPr>
        <w:t>Respondeo</w:t>
      </w:r>
      <w:proofErr w:type="spellEnd"/>
      <w:r w:rsidRPr="009D7635">
        <w:rPr>
          <w:rFonts w:ascii="Times New Roman" w:hAnsi="Times New Roman" w:cs="Times New Roman"/>
          <w:color w:val="000000" w:themeColor="text1"/>
          <w:sz w:val="20"/>
          <w:szCs w:val="20"/>
        </w:rPr>
        <w:t xml:space="preserve"> 1, 240: Angels take on a body</w:t>
      </w:r>
      <w:r w:rsidR="00F57035" w:rsidRPr="009D7635">
        <w:rPr>
          <w:rFonts w:ascii="Times New Roman" w:hAnsi="Times New Roman" w:cs="Times New Roman"/>
          <w:color w:val="000000" w:themeColor="text1"/>
          <w:sz w:val="20"/>
          <w:szCs w:val="20"/>
        </w:rPr>
        <w:t>,</w:t>
      </w:r>
      <w:r w:rsidRPr="009D7635">
        <w:rPr>
          <w:rFonts w:ascii="Times New Roman" w:hAnsi="Times New Roman" w:cs="Times New Roman"/>
          <w:color w:val="000000" w:themeColor="text1"/>
          <w:sz w:val="20"/>
          <w:szCs w:val="20"/>
        </w:rPr>
        <w:t xml:space="preserve"> </w:t>
      </w:r>
      <w:r w:rsidR="00F57035" w:rsidRPr="009D7635">
        <w:rPr>
          <w:rFonts w:ascii="Times New Roman" w:hAnsi="Times New Roman" w:cs="Times New Roman"/>
          <w:i/>
          <w:iCs/>
          <w:color w:val="000000" w:themeColor="text1"/>
          <w:sz w:val="20"/>
          <w:szCs w:val="20"/>
        </w:rPr>
        <w:t>Ad</w:t>
      </w:r>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manifestationem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ipsius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creaturae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spiritualis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vel</w:t>
      </w:r>
      <w:proofErr w:type="spellEnd"/>
      <w:r w:rsidRPr="009D7635">
        <w:rPr>
          <w:rFonts w:ascii="Times New Roman" w:hAnsi="Times New Roman" w:cs="Times New Roman"/>
          <w:i/>
          <w:iCs/>
          <w:color w:val="000000" w:themeColor="text1"/>
          <w:sz w:val="20"/>
          <w:szCs w:val="20"/>
        </w:rPr>
        <w:t xml:space="preserve"> ad </w:t>
      </w:r>
      <w:proofErr w:type="spellStart"/>
      <w:r w:rsidRPr="009D7635">
        <w:rPr>
          <w:rFonts w:ascii="Times New Roman" w:hAnsi="Times New Roman" w:cs="Times New Roman"/>
          <w:i/>
          <w:iCs/>
          <w:color w:val="000000" w:themeColor="text1"/>
          <w:sz w:val="20"/>
          <w:szCs w:val="20"/>
        </w:rPr>
        <w:t>demonstrationem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divinam</w:t>
      </w:r>
      <w:proofErr w:type="spellEnd"/>
      <w:r w:rsidRPr="009D7635">
        <w:rPr>
          <w:rFonts w:ascii="Times New Roman" w:hAnsi="Times New Roman" w:cs="Times New Roman"/>
          <w:i/>
          <w:iCs/>
          <w:color w:val="000000" w:themeColor="text1"/>
          <w:sz w:val="20"/>
          <w:szCs w:val="20"/>
        </w:rPr>
        <w:t xml:space="preserve"> (…) </w:t>
      </w:r>
      <w:proofErr w:type="spellStart"/>
      <w:r w:rsidRPr="009D7635">
        <w:rPr>
          <w:rFonts w:ascii="Times New Roman" w:hAnsi="Times New Roman" w:cs="Times New Roman"/>
          <w:i/>
          <w:iCs/>
          <w:color w:val="000000" w:themeColor="text1"/>
          <w:sz w:val="20"/>
          <w:szCs w:val="20"/>
        </w:rPr>
        <w:t>quoniam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angeli</w:t>
      </w:r>
      <w:proofErr w:type="spellEnd"/>
      <w:r w:rsidRPr="009D7635">
        <w:rPr>
          <w:rFonts w:ascii="Times New Roman" w:hAnsi="Times New Roman" w:cs="Times New Roman"/>
          <w:i/>
          <w:iCs/>
          <w:color w:val="000000" w:themeColor="text1"/>
          <w:sz w:val="20"/>
          <w:szCs w:val="20"/>
        </w:rPr>
        <w:t xml:space="preserve"> ad </w:t>
      </w:r>
      <w:proofErr w:type="spellStart"/>
      <w:r w:rsidRPr="009D7635">
        <w:rPr>
          <w:rFonts w:ascii="Times New Roman" w:hAnsi="Times New Roman" w:cs="Times New Roman"/>
          <w:i/>
          <w:iCs/>
          <w:color w:val="000000" w:themeColor="text1"/>
          <w:sz w:val="20"/>
          <w:szCs w:val="20"/>
        </w:rPr>
        <w:t>suum</w:t>
      </w:r>
      <w:proofErr w:type="spellEnd"/>
      <w:r w:rsidRPr="009D7635">
        <w:rPr>
          <w:rFonts w:ascii="Times New Roman" w:hAnsi="Times New Roman" w:cs="Times New Roman"/>
          <w:i/>
          <w:iCs/>
          <w:color w:val="000000" w:themeColor="text1"/>
          <w:sz w:val="20"/>
          <w:szCs w:val="20"/>
        </w:rPr>
        <w:t xml:space="preserve"> corpus non </w:t>
      </w:r>
      <w:proofErr w:type="spellStart"/>
      <w:r w:rsidRPr="009D7635">
        <w:rPr>
          <w:rFonts w:ascii="Times New Roman" w:hAnsi="Times New Roman" w:cs="Times New Roman"/>
          <w:i/>
          <w:iCs/>
          <w:color w:val="000000" w:themeColor="text1"/>
          <w:sz w:val="20"/>
          <w:szCs w:val="20"/>
        </w:rPr>
        <w:t>est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unio</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sicut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perfectionis</w:t>
      </w:r>
      <w:proofErr w:type="spellEnd"/>
      <w:r w:rsidRPr="009D7635">
        <w:rPr>
          <w:rFonts w:ascii="Times New Roman" w:hAnsi="Times New Roman" w:cs="Times New Roman"/>
          <w:i/>
          <w:iCs/>
          <w:color w:val="000000" w:themeColor="text1"/>
          <w:sz w:val="20"/>
          <w:szCs w:val="20"/>
        </w:rPr>
        <w:t xml:space="preserve"> ad </w:t>
      </w:r>
      <w:proofErr w:type="spellStart"/>
      <w:r w:rsidRPr="009D7635">
        <w:rPr>
          <w:rFonts w:ascii="Times New Roman" w:hAnsi="Times New Roman" w:cs="Times New Roman"/>
          <w:i/>
          <w:iCs/>
          <w:color w:val="000000" w:themeColor="text1"/>
          <w:sz w:val="20"/>
          <w:szCs w:val="20"/>
        </w:rPr>
        <w:t>suum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perfectibile</w:t>
      </w:r>
      <w:proofErr w:type="spellEnd"/>
      <w:r w:rsidRPr="009D7635">
        <w:rPr>
          <w:rFonts w:ascii="Times New Roman" w:hAnsi="Times New Roman" w:cs="Times New Roman"/>
          <w:i/>
          <w:iCs/>
          <w:color w:val="000000" w:themeColor="text1"/>
          <w:sz w:val="20"/>
          <w:szCs w:val="20"/>
        </w:rPr>
        <w:t xml:space="preserve">, sed </w:t>
      </w:r>
      <w:proofErr w:type="spellStart"/>
      <w:r w:rsidRPr="009D7635">
        <w:rPr>
          <w:rFonts w:ascii="Times New Roman" w:hAnsi="Times New Roman" w:cs="Times New Roman"/>
          <w:i/>
          <w:iCs/>
          <w:color w:val="000000" w:themeColor="text1"/>
          <w:sz w:val="20"/>
          <w:szCs w:val="20"/>
        </w:rPr>
        <w:t>sicut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motoris</w:t>
      </w:r>
      <w:proofErr w:type="spellEnd"/>
      <w:r w:rsidRPr="009D7635">
        <w:rPr>
          <w:rFonts w:ascii="Times New Roman" w:hAnsi="Times New Roman" w:cs="Times New Roman"/>
          <w:i/>
          <w:iCs/>
          <w:color w:val="000000" w:themeColor="text1"/>
          <w:sz w:val="20"/>
          <w:szCs w:val="20"/>
        </w:rPr>
        <w:t xml:space="preserve"> ad mobile.</w:t>
      </w:r>
    </w:p>
  </w:footnote>
  <w:footnote w:id="1245">
    <w:p w14:paraId="7D314E69" w14:textId="77777777"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In2, Tr3, S2, Q1, T1, C3,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165.</w:t>
      </w:r>
    </w:p>
  </w:footnote>
  <w:footnote w:id="1246">
    <w:p w14:paraId="679A15CB" w14:textId="2942DC2D" w:rsidR="009B6602" w:rsidRPr="009D7635" w:rsidRDefault="009B6602" w:rsidP="009B6602">
      <w:pPr>
        <w:rPr>
          <w:rFonts w:ascii="Times New Roman" w:hAnsi="Times New Roman" w:cs="Times New Roman"/>
          <w:i/>
          <w:iCs/>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In2, Tr3, S2, Q1, T2, M2, C7, Ar1, </w:t>
      </w:r>
      <w:proofErr w:type="spellStart"/>
      <w:r w:rsidRPr="009D7635">
        <w:rPr>
          <w:rFonts w:ascii="Times New Roman" w:hAnsi="Times New Roman" w:cs="Times New Roman"/>
          <w:color w:val="000000" w:themeColor="text1"/>
          <w:sz w:val="20"/>
          <w:szCs w:val="20"/>
        </w:rPr>
        <w:t>Solutio</w:t>
      </w:r>
      <w:proofErr w:type="spellEnd"/>
      <w:r w:rsidRPr="009D7635">
        <w:rPr>
          <w:rFonts w:ascii="Times New Roman" w:hAnsi="Times New Roman" w:cs="Times New Roman"/>
          <w:color w:val="000000" w:themeColor="text1"/>
          <w:sz w:val="20"/>
          <w:szCs w:val="20"/>
        </w:rPr>
        <w:t xml:space="preserve">, 184-5; 2.1, In4, Tr1, S2, Q3, Ti1, C2, Ar2, Ad </w:t>
      </w:r>
      <w:proofErr w:type="spellStart"/>
      <w:r w:rsidRPr="009D7635">
        <w:rPr>
          <w:rFonts w:ascii="Times New Roman" w:hAnsi="Times New Roman" w:cs="Times New Roman"/>
          <w:color w:val="000000" w:themeColor="text1"/>
          <w:sz w:val="20"/>
          <w:szCs w:val="20"/>
        </w:rPr>
        <w:t>obiecta</w:t>
      </w:r>
      <w:proofErr w:type="spellEnd"/>
      <w:r w:rsidRPr="009D7635">
        <w:rPr>
          <w:rFonts w:ascii="Times New Roman" w:hAnsi="Times New Roman" w:cs="Times New Roman"/>
          <w:color w:val="000000" w:themeColor="text1"/>
          <w:sz w:val="20"/>
          <w:szCs w:val="20"/>
        </w:rPr>
        <w:t xml:space="preserve"> 2, 452: </w:t>
      </w:r>
      <w:proofErr w:type="spellStart"/>
      <w:r w:rsidRPr="009D7635">
        <w:rPr>
          <w:rFonts w:ascii="Times New Roman" w:hAnsi="Times New Roman" w:cs="Times New Roman"/>
          <w:i/>
          <w:iCs/>
          <w:color w:val="000000" w:themeColor="text1"/>
          <w:sz w:val="20"/>
          <w:szCs w:val="20"/>
        </w:rPr>
        <w:t>Haec</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enim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quae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est</w:t>
      </w:r>
      <w:proofErr w:type="spellEnd"/>
      <w:r w:rsidRPr="009D7635">
        <w:rPr>
          <w:rFonts w:ascii="Times New Roman" w:hAnsi="Times New Roman" w:cs="Times New Roman"/>
          <w:i/>
          <w:iCs/>
          <w:color w:val="000000" w:themeColor="text1"/>
          <w:sz w:val="20"/>
          <w:szCs w:val="20"/>
        </w:rPr>
        <w:t xml:space="preserve"> in </w:t>
      </w:r>
      <w:proofErr w:type="spellStart"/>
      <w:r w:rsidRPr="009D7635">
        <w:rPr>
          <w:rFonts w:ascii="Times New Roman" w:hAnsi="Times New Roman" w:cs="Times New Roman"/>
          <w:i/>
          <w:iCs/>
          <w:color w:val="000000" w:themeColor="text1"/>
          <w:sz w:val="20"/>
          <w:szCs w:val="20"/>
        </w:rPr>
        <w:t>angelo</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separata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est</w:t>
      </w:r>
      <w:proofErr w:type="spellEnd"/>
      <w:r w:rsidRPr="009D7635">
        <w:rPr>
          <w:rFonts w:ascii="Times New Roman" w:hAnsi="Times New Roman" w:cs="Times New Roman"/>
          <w:i/>
          <w:iCs/>
          <w:color w:val="000000" w:themeColor="text1"/>
          <w:sz w:val="20"/>
          <w:szCs w:val="20"/>
        </w:rPr>
        <w:t xml:space="preserve"> a </w:t>
      </w:r>
      <w:proofErr w:type="spellStart"/>
      <w:r w:rsidRPr="009D7635">
        <w:rPr>
          <w:rFonts w:ascii="Times New Roman" w:hAnsi="Times New Roman" w:cs="Times New Roman"/>
          <w:i/>
          <w:iCs/>
          <w:color w:val="000000" w:themeColor="text1"/>
          <w:sz w:val="20"/>
          <w:szCs w:val="20"/>
        </w:rPr>
        <w:t>parte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sensibili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unde</w:t>
      </w:r>
      <w:proofErr w:type="spellEnd"/>
      <w:r w:rsidRPr="009D7635">
        <w:rPr>
          <w:rFonts w:ascii="Times New Roman" w:hAnsi="Times New Roman" w:cs="Times New Roman"/>
          <w:i/>
          <w:iCs/>
          <w:color w:val="000000" w:themeColor="text1"/>
          <w:sz w:val="20"/>
          <w:szCs w:val="20"/>
        </w:rPr>
        <w:t xml:space="preserve"> non </w:t>
      </w:r>
      <w:proofErr w:type="spellStart"/>
      <w:r w:rsidRPr="009D7635">
        <w:rPr>
          <w:rFonts w:ascii="Times New Roman" w:hAnsi="Times New Roman" w:cs="Times New Roman"/>
          <w:i/>
          <w:iCs/>
          <w:color w:val="000000" w:themeColor="text1"/>
          <w:sz w:val="20"/>
          <w:szCs w:val="20"/>
        </w:rPr>
        <w:t>habet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possibilem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nisi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dicatur</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possibilis</w:t>
      </w:r>
      <w:proofErr w:type="spellEnd"/>
      <w:r w:rsidRPr="009D7635">
        <w:rPr>
          <w:rFonts w:ascii="Times New Roman" w:hAnsi="Times New Roman" w:cs="Times New Roman"/>
          <w:i/>
          <w:iCs/>
          <w:color w:val="000000" w:themeColor="text1"/>
          <w:sz w:val="20"/>
          <w:szCs w:val="20"/>
        </w:rPr>
        <w:t xml:space="preserve">, id </w:t>
      </w:r>
      <w:proofErr w:type="spellStart"/>
      <w:r w:rsidRPr="009D7635">
        <w:rPr>
          <w:rFonts w:ascii="Times New Roman" w:hAnsi="Times New Roman" w:cs="Times New Roman"/>
          <w:i/>
          <w:iCs/>
          <w:color w:val="000000" w:themeColor="text1"/>
          <w:sz w:val="20"/>
          <w:szCs w:val="20"/>
        </w:rPr>
        <w:t>est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receptibilis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illuminationum</w:t>
      </w:r>
      <w:proofErr w:type="spellEnd"/>
      <w:r w:rsidRPr="009D7635">
        <w:rPr>
          <w:rFonts w:ascii="Times New Roman" w:hAnsi="Times New Roman" w:cs="Times New Roman"/>
          <w:i/>
          <w:iCs/>
          <w:color w:val="000000" w:themeColor="text1"/>
          <w:sz w:val="20"/>
          <w:szCs w:val="20"/>
        </w:rPr>
        <w:t xml:space="preserve"> a </w:t>
      </w:r>
      <w:proofErr w:type="spellStart"/>
      <w:r w:rsidRPr="009D7635">
        <w:rPr>
          <w:rFonts w:ascii="Times New Roman" w:hAnsi="Times New Roman" w:cs="Times New Roman"/>
          <w:i/>
          <w:iCs/>
          <w:color w:val="000000" w:themeColor="text1"/>
          <w:sz w:val="20"/>
          <w:szCs w:val="20"/>
        </w:rPr>
        <w:t>Summo</w:t>
      </w:r>
      <w:proofErr w:type="spellEnd"/>
      <w:r w:rsidRPr="009D7635">
        <w:rPr>
          <w:rFonts w:ascii="Times New Roman" w:hAnsi="Times New Roman" w:cs="Times New Roman"/>
          <w:i/>
          <w:iCs/>
          <w:color w:val="000000" w:themeColor="text1"/>
          <w:sz w:val="20"/>
          <w:szCs w:val="20"/>
        </w:rPr>
        <w:t xml:space="preserve">, sed </w:t>
      </w:r>
      <w:proofErr w:type="spellStart"/>
      <w:r w:rsidRPr="009D7635">
        <w:rPr>
          <w:rFonts w:ascii="Times New Roman" w:hAnsi="Times New Roman" w:cs="Times New Roman"/>
          <w:i/>
          <w:iCs/>
          <w:color w:val="000000" w:themeColor="text1"/>
          <w:sz w:val="20"/>
          <w:szCs w:val="20"/>
        </w:rPr>
        <w:t>habet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partem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sibi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sufficientem</w:t>
      </w:r>
      <w:proofErr w:type="spellEnd"/>
      <w:r w:rsidRPr="009D7635">
        <w:rPr>
          <w:rFonts w:ascii="Times New Roman" w:hAnsi="Times New Roman" w:cs="Times New Roman"/>
          <w:i/>
          <w:iCs/>
          <w:color w:val="000000" w:themeColor="text1"/>
          <w:sz w:val="20"/>
          <w:szCs w:val="20"/>
        </w:rPr>
        <w:t xml:space="preserve"> ad </w:t>
      </w:r>
      <w:proofErr w:type="spellStart"/>
      <w:r w:rsidRPr="009D7635">
        <w:rPr>
          <w:rFonts w:ascii="Times New Roman" w:hAnsi="Times New Roman" w:cs="Times New Roman"/>
          <w:i/>
          <w:iCs/>
          <w:color w:val="000000" w:themeColor="text1"/>
          <w:sz w:val="20"/>
          <w:szCs w:val="20"/>
        </w:rPr>
        <w:t>cognoscendum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quae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nondum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sunt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cognita</w:t>
      </w:r>
      <w:proofErr w:type="spellEnd"/>
      <w:r w:rsidRPr="009D7635">
        <w:rPr>
          <w:rFonts w:ascii="Times New Roman" w:hAnsi="Times New Roman" w:cs="Times New Roman"/>
          <w:i/>
          <w:iCs/>
          <w:color w:val="000000" w:themeColor="text1"/>
          <w:sz w:val="20"/>
          <w:szCs w:val="20"/>
        </w:rPr>
        <w:t xml:space="preserve"> ab ea.</w:t>
      </w:r>
      <w:r w:rsidRPr="009D7635">
        <w:rPr>
          <w:rFonts w:ascii="Times New Roman" w:hAnsi="Times New Roman" w:cs="Times New Roman"/>
          <w:color w:val="000000" w:themeColor="text1"/>
          <w:sz w:val="20"/>
          <w:szCs w:val="20"/>
        </w:rPr>
        <w:t xml:space="preserve"> John of La Rochelle, </w:t>
      </w:r>
      <w:r w:rsidRPr="009D7635">
        <w:rPr>
          <w:rFonts w:ascii="Times New Roman" w:hAnsi="Times New Roman" w:cs="Times New Roman"/>
          <w:i/>
          <w:color w:val="000000" w:themeColor="text1"/>
          <w:sz w:val="20"/>
          <w:szCs w:val="20"/>
        </w:rPr>
        <w:t>Summa de anima</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71: </w:t>
      </w:r>
      <w:r w:rsidRPr="009D7635">
        <w:rPr>
          <w:rFonts w:ascii="Times New Roman" w:hAnsi="Times New Roman" w:cs="Times New Roman"/>
          <w:i/>
          <w:iCs/>
          <w:color w:val="000000" w:themeColor="text1"/>
          <w:sz w:val="20"/>
          <w:szCs w:val="20"/>
        </w:rPr>
        <w:t xml:space="preserve">Angelus </w:t>
      </w:r>
      <w:r w:rsidR="00F57035" w:rsidRPr="009D7635">
        <w:rPr>
          <w:rFonts w:ascii="Times New Roman" w:hAnsi="Times New Roman" w:cs="Times New Roman"/>
          <w:i/>
          <w:iCs/>
          <w:color w:val="000000" w:themeColor="text1"/>
          <w:sz w:val="20"/>
          <w:szCs w:val="20"/>
        </w:rPr>
        <w:t>a</w:t>
      </w:r>
      <w:r w:rsidRPr="009D7635">
        <w:rPr>
          <w:rFonts w:ascii="Times New Roman" w:hAnsi="Times New Roman" w:cs="Times New Roman"/>
          <w:i/>
          <w:iCs/>
          <w:color w:val="000000" w:themeColor="text1"/>
          <w:sz w:val="20"/>
          <w:szCs w:val="20"/>
        </w:rPr>
        <w:t xml:space="preserve">b </w:t>
      </w:r>
      <w:proofErr w:type="spellStart"/>
      <w:r w:rsidRPr="009D7635">
        <w:rPr>
          <w:rFonts w:ascii="Times New Roman" w:hAnsi="Times New Roman" w:cs="Times New Roman"/>
          <w:i/>
          <w:iCs/>
          <w:color w:val="000000" w:themeColor="text1"/>
          <w:sz w:val="20"/>
          <w:szCs w:val="20"/>
        </w:rPr>
        <w:t>inicio</w:t>
      </w:r>
      <w:proofErr w:type="spellEnd"/>
      <w:r w:rsidRPr="009D7635">
        <w:rPr>
          <w:rFonts w:ascii="Times New Roman" w:hAnsi="Times New Roman" w:cs="Times New Roman"/>
          <w:i/>
          <w:iCs/>
          <w:color w:val="000000" w:themeColor="text1"/>
          <w:sz w:val="20"/>
          <w:szCs w:val="20"/>
        </w:rPr>
        <w:t xml:space="preserve"> sue </w:t>
      </w:r>
      <w:proofErr w:type="spellStart"/>
      <w:r w:rsidRPr="009D7635">
        <w:rPr>
          <w:rFonts w:ascii="Times New Roman" w:hAnsi="Times New Roman" w:cs="Times New Roman"/>
          <w:i/>
          <w:iCs/>
          <w:color w:val="000000" w:themeColor="text1"/>
          <w:sz w:val="20"/>
          <w:szCs w:val="20"/>
        </w:rPr>
        <w:t>condicionis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habet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formas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impressas</w:t>
      </w:r>
      <w:proofErr w:type="spellEnd"/>
      <w:r w:rsidRPr="009D7635">
        <w:rPr>
          <w:rFonts w:ascii="Times New Roman" w:hAnsi="Times New Roman" w:cs="Times New Roman"/>
          <w:i/>
          <w:iCs/>
          <w:color w:val="000000" w:themeColor="text1"/>
          <w:sz w:val="20"/>
          <w:szCs w:val="20"/>
        </w:rPr>
        <w:t xml:space="preserve"> ad </w:t>
      </w:r>
      <w:proofErr w:type="spellStart"/>
      <w:r w:rsidRPr="009D7635">
        <w:rPr>
          <w:rFonts w:ascii="Times New Roman" w:hAnsi="Times New Roman" w:cs="Times New Roman"/>
          <w:i/>
          <w:iCs/>
          <w:color w:val="000000" w:themeColor="text1"/>
          <w:sz w:val="20"/>
          <w:szCs w:val="20"/>
        </w:rPr>
        <w:t>intelligendas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rerum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naturas</w:t>
      </w:r>
      <w:proofErr w:type="spellEnd"/>
      <w:r w:rsidRPr="009D7635">
        <w:rPr>
          <w:rFonts w:ascii="Times New Roman" w:hAnsi="Times New Roman" w:cs="Times New Roman"/>
          <w:i/>
          <w:iCs/>
          <w:color w:val="000000" w:themeColor="text1"/>
          <w:sz w:val="20"/>
          <w:szCs w:val="20"/>
        </w:rPr>
        <w:t xml:space="preserve">; quo </w:t>
      </w:r>
      <w:proofErr w:type="spellStart"/>
      <w:r w:rsidRPr="009D7635">
        <w:rPr>
          <w:rFonts w:ascii="Times New Roman" w:hAnsi="Times New Roman" w:cs="Times New Roman"/>
          <w:i/>
          <w:iCs/>
          <w:color w:val="000000" w:themeColor="text1"/>
          <w:sz w:val="20"/>
          <w:szCs w:val="20"/>
        </w:rPr>
        <w:t>vero</w:t>
      </w:r>
      <w:proofErr w:type="spellEnd"/>
      <w:r w:rsidRPr="009D7635">
        <w:rPr>
          <w:rFonts w:ascii="Times New Roman" w:hAnsi="Times New Roman" w:cs="Times New Roman"/>
          <w:i/>
          <w:iCs/>
          <w:color w:val="000000" w:themeColor="text1"/>
          <w:sz w:val="20"/>
          <w:szCs w:val="20"/>
        </w:rPr>
        <w:t xml:space="preserve"> anima </w:t>
      </w:r>
      <w:proofErr w:type="spellStart"/>
      <w:r w:rsidRPr="009D7635">
        <w:rPr>
          <w:rFonts w:ascii="Times New Roman" w:hAnsi="Times New Roman" w:cs="Times New Roman"/>
          <w:i/>
          <w:iCs/>
          <w:color w:val="000000" w:themeColor="text1"/>
          <w:sz w:val="20"/>
          <w:szCs w:val="20"/>
        </w:rPr>
        <w:t>humana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est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racionalis</w:t>
      </w:r>
      <w:proofErr w:type="spellEnd"/>
      <w:r w:rsidRPr="009D7635">
        <w:rPr>
          <w:rFonts w:ascii="Times New Roman" w:hAnsi="Times New Roman" w:cs="Times New Roman"/>
          <w:i/>
          <w:iCs/>
          <w:color w:val="000000" w:themeColor="text1"/>
          <w:sz w:val="20"/>
          <w:szCs w:val="20"/>
        </w:rPr>
        <w:t xml:space="preserve"> non </w:t>
      </w:r>
      <w:proofErr w:type="spellStart"/>
      <w:r w:rsidRPr="009D7635">
        <w:rPr>
          <w:rFonts w:ascii="Times New Roman" w:hAnsi="Times New Roman" w:cs="Times New Roman"/>
          <w:i/>
          <w:iCs/>
          <w:color w:val="000000" w:themeColor="text1"/>
          <w:sz w:val="20"/>
          <w:szCs w:val="20"/>
        </w:rPr>
        <w:t>facit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ipsam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deiformem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nisi</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potencia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ut</w:t>
      </w:r>
      <w:proofErr w:type="spellEnd"/>
      <w:r w:rsidRPr="009D7635">
        <w:rPr>
          <w:rFonts w:ascii="Times New Roman" w:hAnsi="Times New Roman" w:cs="Times New Roman"/>
          <w:i/>
          <w:iCs/>
          <w:color w:val="000000" w:themeColor="text1"/>
          <w:sz w:val="20"/>
          <w:szCs w:val="20"/>
        </w:rPr>
        <w:t xml:space="preserve"> in ipsa prima </w:t>
      </w:r>
      <w:proofErr w:type="spellStart"/>
      <w:r w:rsidRPr="009D7635">
        <w:rPr>
          <w:rFonts w:ascii="Times New Roman" w:hAnsi="Times New Roman" w:cs="Times New Roman"/>
          <w:i/>
          <w:iCs/>
          <w:color w:val="000000" w:themeColor="text1"/>
          <w:sz w:val="20"/>
          <w:szCs w:val="20"/>
        </w:rPr>
        <w:t>condicione</w:t>
      </w:r>
      <w:proofErr w:type="spellEnd"/>
      <w:r w:rsidRPr="009D7635">
        <w:rPr>
          <w:rFonts w:ascii="Times New Roman" w:hAnsi="Times New Roman" w:cs="Times New Roman"/>
          <w:i/>
          <w:iCs/>
          <w:color w:val="000000" w:themeColor="text1"/>
          <w:sz w:val="20"/>
          <w:szCs w:val="20"/>
        </w:rPr>
        <w:t xml:space="preserve"> sit quasi tabula </w:t>
      </w:r>
      <w:proofErr w:type="spellStart"/>
      <w:r w:rsidRPr="009D7635">
        <w:rPr>
          <w:rFonts w:ascii="Times New Roman" w:hAnsi="Times New Roman" w:cs="Times New Roman"/>
          <w:i/>
          <w:iCs/>
          <w:color w:val="000000" w:themeColor="text1"/>
          <w:sz w:val="20"/>
          <w:szCs w:val="20"/>
        </w:rPr>
        <w:t>nuda</w:t>
      </w:r>
      <w:proofErr w:type="spellEnd"/>
      <w:r w:rsidRPr="009D7635">
        <w:rPr>
          <w:rFonts w:ascii="Times New Roman" w:hAnsi="Times New Roman" w:cs="Times New Roman"/>
          <w:i/>
          <w:iCs/>
          <w:color w:val="000000" w:themeColor="text1"/>
          <w:sz w:val="20"/>
          <w:szCs w:val="20"/>
        </w:rPr>
        <w:t xml:space="preserve"> in qua </w:t>
      </w:r>
      <w:proofErr w:type="spellStart"/>
      <w:r w:rsidRPr="009D7635">
        <w:rPr>
          <w:rFonts w:ascii="Times New Roman" w:hAnsi="Times New Roman" w:cs="Times New Roman"/>
          <w:i/>
          <w:iCs/>
          <w:color w:val="000000" w:themeColor="text1"/>
          <w:sz w:val="20"/>
          <w:szCs w:val="20"/>
        </w:rPr>
        <w:t>est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possibilitas</w:t>
      </w:r>
      <w:proofErr w:type="spellEnd"/>
      <w:r w:rsidRPr="009D7635">
        <w:rPr>
          <w:rFonts w:ascii="Times New Roman" w:hAnsi="Times New Roman" w:cs="Times New Roman"/>
          <w:i/>
          <w:iCs/>
          <w:color w:val="000000" w:themeColor="text1"/>
          <w:sz w:val="20"/>
          <w:szCs w:val="20"/>
        </w:rPr>
        <w:t xml:space="preserve"> ad </w:t>
      </w:r>
      <w:proofErr w:type="spellStart"/>
      <w:r w:rsidRPr="009D7635">
        <w:rPr>
          <w:rFonts w:ascii="Times New Roman" w:hAnsi="Times New Roman" w:cs="Times New Roman"/>
          <w:i/>
          <w:iCs/>
          <w:color w:val="000000" w:themeColor="text1"/>
          <w:sz w:val="20"/>
          <w:szCs w:val="20"/>
        </w:rPr>
        <w:t>formas</w:t>
      </w:r>
      <w:proofErr w:type="spellEnd"/>
      <w:r w:rsidRPr="009D7635">
        <w:rPr>
          <w:rFonts w:ascii="Times New Roman" w:hAnsi="Times New Roman" w:cs="Times New Roman"/>
          <w:i/>
          <w:iCs/>
          <w:color w:val="000000" w:themeColor="text1"/>
          <w:sz w:val="20"/>
          <w:szCs w:val="20"/>
        </w:rPr>
        <w:t xml:space="preserve"> et non </w:t>
      </w:r>
      <w:proofErr w:type="spellStart"/>
      <w:r w:rsidRPr="009D7635">
        <w:rPr>
          <w:rFonts w:ascii="Times New Roman" w:hAnsi="Times New Roman" w:cs="Times New Roman"/>
          <w:i/>
          <w:iCs/>
          <w:color w:val="000000" w:themeColor="text1"/>
          <w:sz w:val="20"/>
          <w:szCs w:val="20"/>
        </w:rPr>
        <w:t>actus</w:t>
      </w:r>
      <w:proofErr w:type="spellEnd"/>
      <w:r w:rsidRPr="009D7635">
        <w:rPr>
          <w:rFonts w:ascii="Times New Roman" w:hAnsi="Times New Roman" w:cs="Times New Roman"/>
          <w:i/>
          <w:iCs/>
          <w:color w:val="000000" w:themeColor="text1"/>
          <w:sz w:val="20"/>
          <w:szCs w:val="20"/>
        </w:rPr>
        <w:t xml:space="preserve"> (…) </w:t>
      </w:r>
      <w:proofErr w:type="spellStart"/>
      <w:r w:rsidRPr="009D7635">
        <w:rPr>
          <w:rFonts w:ascii="Times New Roman" w:hAnsi="Times New Roman" w:cs="Times New Roman"/>
          <w:i/>
          <w:iCs/>
          <w:color w:val="000000" w:themeColor="text1"/>
          <w:sz w:val="20"/>
          <w:szCs w:val="20"/>
        </w:rPr>
        <w:t>intellectus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angelicus</w:t>
      </w:r>
      <w:proofErr w:type="spellEnd"/>
      <w:r w:rsidRPr="009D7635">
        <w:rPr>
          <w:rFonts w:ascii="Times New Roman" w:hAnsi="Times New Roman" w:cs="Times New Roman"/>
          <w:i/>
          <w:iCs/>
          <w:color w:val="000000" w:themeColor="text1"/>
          <w:sz w:val="20"/>
          <w:szCs w:val="20"/>
        </w:rPr>
        <w:t xml:space="preserve"> prima </w:t>
      </w:r>
      <w:proofErr w:type="spellStart"/>
      <w:r w:rsidRPr="009D7635">
        <w:rPr>
          <w:rFonts w:ascii="Times New Roman" w:hAnsi="Times New Roman" w:cs="Times New Roman"/>
          <w:i/>
          <w:iCs/>
          <w:color w:val="000000" w:themeColor="text1"/>
          <w:sz w:val="20"/>
          <w:szCs w:val="20"/>
        </w:rPr>
        <w:t>relacione</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suscipit</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illuminacionem</w:t>
      </w:r>
      <w:proofErr w:type="spellEnd"/>
      <w:r w:rsidRPr="009D7635">
        <w:rPr>
          <w:rFonts w:ascii="Times New Roman" w:hAnsi="Times New Roman" w:cs="Times New Roman"/>
          <w:i/>
          <w:iCs/>
          <w:color w:val="000000" w:themeColor="text1"/>
          <w:sz w:val="20"/>
          <w:szCs w:val="20"/>
        </w:rPr>
        <w:t xml:space="preserve"> a Primo </w:t>
      </w:r>
      <w:proofErr w:type="spellStart"/>
      <w:r w:rsidRPr="009D7635">
        <w:rPr>
          <w:rFonts w:ascii="Times New Roman" w:hAnsi="Times New Roman" w:cs="Times New Roman"/>
          <w:i/>
          <w:iCs/>
          <w:color w:val="000000" w:themeColor="text1"/>
          <w:sz w:val="20"/>
          <w:szCs w:val="20"/>
        </w:rPr>
        <w:t>humanus</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autem</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secunda</w:t>
      </w:r>
      <w:proofErr w:type="spellEnd"/>
      <w:r w:rsidRPr="009D7635">
        <w:rPr>
          <w:rFonts w:ascii="Times New Roman" w:hAnsi="Times New Roman" w:cs="Times New Roman"/>
          <w:i/>
          <w:iCs/>
          <w:color w:val="000000" w:themeColor="text1"/>
          <w:sz w:val="20"/>
          <w:szCs w:val="20"/>
        </w:rPr>
        <w:t xml:space="preserve"> </w:t>
      </w:r>
      <w:proofErr w:type="spellStart"/>
      <w:r w:rsidRPr="009D7635">
        <w:rPr>
          <w:rFonts w:ascii="Times New Roman" w:hAnsi="Times New Roman" w:cs="Times New Roman"/>
          <w:i/>
          <w:iCs/>
          <w:color w:val="000000" w:themeColor="text1"/>
          <w:sz w:val="20"/>
          <w:szCs w:val="20"/>
        </w:rPr>
        <w:t>relacione</w:t>
      </w:r>
      <w:proofErr w:type="spellEnd"/>
      <w:r w:rsidRPr="009D7635">
        <w:rPr>
          <w:rFonts w:ascii="Times New Roman" w:hAnsi="Times New Roman" w:cs="Times New Roman"/>
          <w:i/>
          <w:iCs/>
          <w:color w:val="000000" w:themeColor="text1"/>
          <w:sz w:val="20"/>
          <w:szCs w:val="20"/>
        </w:rPr>
        <w:t>.</w:t>
      </w:r>
    </w:p>
  </w:footnote>
  <w:footnote w:id="1247">
    <w:p w14:paraId="1D42EC22" w14:textId="77777777"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In2, Tr3, S2, Q1, T2, M1, C1, 167-8.</w:t>
      </w:r>
    </w:p>
  </w:footnote>
  <w:footnote w:id="1248">
    <w:p w14:paraId="2B699098" w14:textId="77777777"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In2, Tr3, S2, Q1, T2, M1, C3, 169.</w:t>
      </w:r>
    </w:p>
  </w:footnote>
  <w:footnote w:id="1249">
    <w:p w14:paraId="0BDCF28F" w14:textId="77777777"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In2, Tr3, S2, Q1, T2, C4, 171.</w:t>
      </w:r>
    </w:p>
  </w:footnote>
  <w:footnote w:id="1250">
    <w:p w14:paraId="36521B89" w14:textId="77777777" w:rsidR="009B6602" w:rsidRPr="009D7635" w:rsidRDefault="009B6602" w:rsidP="009B660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In2, Tr2, Q1, C5, Ad </w:t>
      </w:r>
      <w:proofErr w:type="spellStart"/>
      <w:r w:rsidRPr="009D7635">
        <w:rPr>
          <w:rFonts w:ascii="Times New Roman" w:hAnsi="Times New Roman" w:cs="Times New Roman"/>
          <w:color w:val="000000" w:themeColor="text1"/>
          <w:sz w:val="20"/>
          <w:szCs w:val="20"/>
        </w:rPr>
        <w:t>obiecta</w:t>
      </w:r>
      <w:proofErr w:type="spellEnd"/>
      <w:r w:rsidRPr="009D7635">
        <w:rPr>
          <w:rFonts w:ascii="Times New Roman" w:hAnsi="Times New Roman" w:cs="Times New Roman"/>
          <w:color w:val="000000" w:themeColor="text1"/>
          <w:sz w:val="20"/>
          <w:szCs w:val="20"/>
        </w:rPr>
        <w:t xml:space="preserve"> 6.a, 152: ‘Angelus </w:t>
      </w:r>
      <w:proofErr w:type="spellStart"/>
      <w:r w:rsidRPr="009D7635">
        <w:rPr>
          <w:rFonts w:ascii="Times New Roman" w:hAnsi="Times New Roman" w:cs="Times New Roman"/>
          <w:color w:val="000000" w:themeColor="text1"/>
          <w:sz w:val="20"/>
          <w:szCs w:val="20"/>
        </w:rPr>
        <w:t>substantia</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intellectualis</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illuminationum</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quae</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sunt</w:t>
      </w:r>
      <w:proofErr w:type="spellEnd"/>
      <w:r w:rsidRPr="009D7635">
        <w:rPr>
          <w:rFonts w:ascii="Times New Roman" w:hAnsi="Times New Roman" w:cs="Times New Roman"/>
          <w:color w:val="000000" w:themeColor="text1"/>
          <w:sz w:val="20"/>
          <w:szCs w:val="20"/>
        </w:rPr>
        <w:t xml:space="preserve"> a Primo, prima </w:t>
      </w:r>
      <w:proofErr w:type="spellStart"/>
      <w:r w:rsidRPr="009D7635">
        <w:rPr>
          <w:rFonts w:ascii="Times New Roman" w:hAnsi="Times New Roman" w:cs="Times New Roman"/>
          <w:color w:val="000000" w:themeColor="text1"/>
          <w:sz w:val="20"/>
          <w:szCs w:val="20"/>
        </w:rPr>
        <w:t>relatione</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perceptiva</w:t>
      </w:r>
      <w:proofErr w:type="spellEnd"/>
      <w:r w:rsidRPr="009D7635">
        <w:rPr>
          <w:rFonts w:ascii="Times New Roman" w:hAnsi="Times New Roman" w:cs="Times New Roman"/>
          <w:color w:val="000000" w:themeColor="text1"/>
          <w:sz w:val="20"/>
          <w:szCs w:val="20"/>
        </w:rPr>
        <w:t xml:space="preserve">, anima </w:t>
      </w:r>
      <w:proofErr w:type="spellStart"/>
      <w:r w:rsidRPr="009D7635">
        <w:rPr>
          <w:rFonts w:ascii="Times New Roman" w:hAnsi="Times New Roman" w:cs="Times New Roman"/>
          <w:color w:val="000000" w:themeColor="text1"/>
          <w:sz w:val="20"/>
          <w:szCs w:val="20"/>
        </w:rPr>
        <w:t>vero</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ultima</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relatione</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perceptiva</w:t>
      </w:r>
      <w:proofErr w:type="spellEnd"/>
      <w:r w:rsidRPr="009D7635">
        <w:rPr>
          <w:rFonts w:ascii="Times New Roman" w:hAnsi="Times New Roman" w:cs="Times New Roman"/>
          <w:color w:val="000000" w:themeColor="text1"/>
          <w:sz w:val="20"/>
          <w:szCs w:val="20"/>
        </w:rPr>
        <w:t>.’</w:t>
      </w:r>
    </w:p>
  </w:footnote>
  <w:footnote w:id="1251">
    <w:p w14:paraId="06F72A78" w14:textId="77777777"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See </w:t>
      </w:r>
      <w:proofErr w:type="spellStart"/>
      <w:r w:rsidRPr="009D7635">
        <w:rPr>
          <w:rFonts w:ascii="Times New Roman" w:hAnsi="Times New Roman" w:cs="Times New Roman"/>
          <w:color w:val="000000" w:themeColor="text1"/>
        </w:rPr>
        <w:t>Tiziana</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Suarez-Nani</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Connaissance</w:t>
      </w:r>
      <w:proofErr w:type="spellEnd"/>
      <w:r w:rsidRPr="009D7635">
        <w:rPr>
          <w:rFonts w:ascii="Times New Roman" w:hAnsi="Times New Roman" w:cs="Times New Roman"/>
          <w:i/>
          <w:color w:val="000000" w:themeColor="text1"/>
        </w:rPr>
        <w:t xml:space="preserve"> et </w:t>
      </w:r>
      <w:proofErr w:type="spellStart"/>
      <w:r w:rsidRPr="009D7635">
        <w:rPr>
          <w:rFonts w:ascii="Times New Roman" w:hAnsi="Times New Roman" w:cs="Times New Roman"/>
          <w:i/>
          <w:color w:val="000000" w:themeColor="text1"/>
        </w:rPr>
        <w:t>langage</w:t>
      </w:r>
      <w:proofErr w:type="spellEnd"/>
      <w:r w:rsidRPr="009D7635">
        <w:rPr>
          <w:rFonts w:ascii="Times New Roman" w:hAnsi="Times New Roman" w:cs="Times New Roman"/>
          <w:i/>
          <w:color w:val="000000" w:themeColor="text1"/>
        </w:rPr>
        <w:t xml:space="preserve"> des </w:t>
      </w:r>
      <w:proofErr w:type="spellStart"/>
      <w:r w:rsidRPr="009D7635">
        <w:rPr>
          <w:rFonts w:ascii="Times New Roman" w:hAnsi="Times New Roman" w:cs="Times New Roman"/>
          <w:i/>
          <w:color w:val="000000" w:themeColor="text1"/>
        </w:rPr>
        <w:t>anges</w:t>
      </w:r>
      <w:proofErr w:type="spellEnd"/>
      <w:r w:rsidRPr="009D7635">
        <w:rPr>
          <w:rFonts w:ascii="Times New Roman" w:hAnsi="Times New Roman" w:cs="Times New Roman"/>
          <w:i/>
          <w:color w:val="000000" w:themeColor="text1"/>
        </w:rPr>
        <w:t xml:space="preserve"> </w:t>
      </w:r>
      <w:proofErr w:type="spellStart"/>
      <w:r w:rsidRPr="009D7635">
        <w:rPr>
          <w:rFonts w:ascii="Times New Roman" w:hAnsi="Times New Roman" w:cs="Times New Roman"/>
          <w:i/>
          <w:color w:val="000000" w:themeColor="text1"/>
        </w:rPr>
        <w:t>selon</w:t>
      </w:r>
      <w:proofErr w:type="spellEnd"/>
      <w:r w:rsidRPr="009D7635">
        <w:rPr>
          <w:rFonts w:ascii="Times New Roman" w:hAnsi="Times New Roman" w:cs="Times New Roman"/>
          <w:i/>
          <w:color w:val="000000" w:themeColor="text1"/>
        </w:rPr>
        <w:t xml:space="preserve"> Thomas </w:t>
      </w:r>
      <w:proofErr w:type="spellStart"/>
      <w:r w:rsidRPr="009D7635">
        <w:rPr>
          <w:rFonts w:ascii="Times New Roman" w:hAnsi="Times New Roman" w:cs="Times New Roman"/>
          <w:i/>
          <w:color w:val="000000" w:themeColor="text1"/>
        </w:rPr>
        <w:t>d’Aquin</w:t>
      </w:r>
      <w:proofErr w:type="spellEnd"/>
      <w:r w:rsidRPr="009D7635">
        <w:rPr>
          <w:rFonts w:ascii="Times New Roman" w:hAnsi="Times New Roman" w:cs="Times New Roman"/>
          <w:i/>
          <w:color w:val="000000" w:themeColor="text1"/>
        </w:rPr>
        <w:t xml:space="preserve"> et Gilles de Rome </w:t>
      </w:r>
      <w:r w:rsidRPr="009D7635">
        <w:rPr>
          <w:rFonts w:ascii="Times New Roman" w:hAnsi="Times New Roman" w:cs="Times New Roman"/>
          <w:color w:val="000000" w:themeColor="text1"/>
        </w:rPr>
        <w:t xml:space="preserve">(Paris: Vrin, 2003). </w:t>
      </w:r>
    </w:p>
  </w:footnote>
  <w:footnote w:id="1252">
    <w:p w14:paraId="5324ECF3" w14:textId="77777777"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Pr="009D7635">
        <w:rPr>
          <w:rFonts w:ascii="Times New Roman" w:hAnsi="Times New Roman" w:cs="Times New Roman"/>
          <w:color w:val="000000" w:themeColor="text1"/>
          <w:lang w:val="en-US"/>
        </w:rPr>
        <w:t xml:space="preserve">James Daniel Collins, </w:t>
      </w:r>
      <w:r w:rsidRPr="009D7635">
        <w:rPr>
          <w:rFonts w:ascii="Times New Roman" w:hAnsi="Times New Roman" w:cs="Times New Roman"/>
          <w:i/>
          <w:iCs/>
          <w:color w:val="000000" w:themeColor="text1"/>
          <w:lang w:val="en-US"/>
        </w:rPr>
        <w:t xml:space="preserve">The </w:t>
      </w:r>
      <w:proofErr w:type="spellStart"/>
      <w:r w:rsidRPr="009D7635">
        <w:rPr>
          <w:rFonts w:ascii="Times New Roman" w:hAnsi="Times New Roman" w:cs="Times New Roman"/>
          <w:i/>
          <w:iCs/>
          <w:color w:val="000000" w:themeColor="text1"/>
          <w:lang w:val="en-US"/>
        </w:rPr>
        <w:t>Thomistic</w:t>
      </w:r>
      <w:proofErr w:type="spellEnd"/>
      <w:r w:rsidRPr="009D7635">
        <w:rPr>
          <w:rFonts w:ascii="Times New Roman" w:hAnsi="Times New Roman" w:cs="Times New Roman"/>
          <w:i/>
          <w:iCs/>
          <w:color w:val="000000" w:themeColor="text1"/>
          <w:lang w:val="en-US"/>
        </w:rPr>
        <w:t xml:space="preserve"> Philosophy of Angels </w:t>
      </w:r>
      <w:r w:rsidRPr="009D7635">
        <w:rPr>
          <w:rFonts w:ascii="Times New Roman" w:hAnsi="Times New Roman" w:cs="Times New Roman"/>
          <w:iCs/>
          <w:color w:val="000000" w:themeColor="text1"/>
          <w:lang w:val="en-US"/>
        </w:rPr>
        <w:t>(</w:t>
      </w:r>
      <w:r w:rsidRPr="009D7635">
        <w:rPr>
          <w:rFonts w:ascii="Times New Roman" w:hAnsi="Times New Roman" w:cs="Times New Roman"/>
          <w:color w:val="000000" w:themeColor="text1"/>
          <w:lang w:val="en-US"/>
        </w:rPr>
        <w:t>Washington D.C.: The Catholic University of America Press, 1947).</w:t>
      </w:r>
    </w:p>
  </w:footnote>
  <w:footnote w:id="1253">
    <w:p w14:paraId="4AA2F853" w14:textId="77777777" w:rsidR="009B6602" w:rsidRPr="009D7635" w:rsidRDefault="009B6602" w:rsidP="009B6602">
      <w:pPr>
        <w:rPr>
          <w:rFonts w:ascii="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Dominik Perler, ‘Thought Experiments: The Methodological Function of Angels in Late Medieval Epistemology,’ in </w:t>
      </w:r>
      <w:r w:rsidRPr="009D7635">
        <w:rPr>
          <w:rFonts w:ascii="Times New Roman" w:hAnsi="Times New Roman" w:cs="Times New Roman"/>
          <w:i/>
          <w:color w:val="000000" w:themeColor="text1"/>
          <w:sz w:val="20"/>
          <w:szCs w:val="20"/>
        </w:rPr>
        <w:t>Angels in Medieval Philosophical Inquiry: Their Function and Significance</w:t>
      </w:r>
      <w:r w:rsidRPr="009D7635">
        <w:rPr>
          <w:rFonts w:ascii="Times New Roman" w:hAnsi="Times New Roman" w:cs="Times New Roman"/>
          <w:iCs/>
          <w:color w:val="000000" w:themeColor="text1"/>
          <w:sz w:val="20"/>
          <w:szCs w:val="20"/>
        </w:rPr>
        <w:t>,</w:t>
      </w:r>
      <w:r w:rsidRPr="009D7635">
        <w:rPr>
          <w:rFonts w:ascii="Times New Roman" w:hAnsi="Times New Roman" w:cs="Times New Roman"/>
          <w:i/>
          <w:color w:val="000000" w:themeColor="text1"/>
          <w:sz w:val="20"/>
          <w:szCs w:val="20"/>
        </w:rPr>
        <w:t xml:space="preserve"> </w:t>
      </w:r>
      <w:r w:rsidRPr="009D7635">
        <w:rPr>
          <w:rFonts w:ascii="Times New Roman" w:hAnsi="Times New Roman" w:cs="Times New Roman"/>
          <w:color w:val="000000" w:themeColor="text1"/>
          <w:sz w:val="20"/>
          <w:szCs w:val="20"/>
        </w:rPr>
        <w:t xml:space="preserve">ed. Isabel </w:t>
      </w:r>
      <w:proofErr w:type="spellStart"/>
      <w:r w:rsidRPr="009D7635">
        <w:rPr>
          <w:rFonts w:ascii="Times New Roman" w:hAnsi="Times New Roman" w:cs="Times New Roman"/>
          <w:color w:val="000000" w:themeColor="text1"/>
          <w:sz w:val="20"/>
          <w:szCs w:val="20"/>
        </w:rPr>
        <w:t>Iribarren</w:t>
      </w:r>
      <w:proofErr w:type="spellEnd"/>
      <w:r w:rsidRPr="009D7635">
        <w:rPr>
          <w:rFonts w:ascii="Times New Roman" w:hAnsi="Times New Roman" w:cs="Times New Roman"/>
          <w:color w:val="000000" w:themeColor="text1"/>
          <w:sz w:val="20"/>
          <w:szCs w:val="20"/>
        </w:rPr>
        <w:t xml:space="preserve"> and Martin Lenz (Aldershot: </w:t>
      </w:r>
      <w:proofErr w:type="spellStart"/>
      <w:r w:rsidRPr="009D7635">
        <w:rPr>
          <w:rFonts w:ascii="Times New Roman" w:hAnsi="Times New Roman" w:cs="Times New Roman"/>
          <w:color w:val="000000" w:themeColor="text1"/>
          <w:sz w:val="20"/>
          <w:szCs w:val="20"/>
        </w:rPr>
        <w:t>Ashgate</w:t>
      </w:r>
      <w:proofErr w:type="spellEnd"/>
      <w:r w:rsidRPr="009D7635">
        <w:rPr>
          <w:rFonts w:ascii="Times New Roman" w:hAnsi="Times New Roman" w:cs="Times New Roman"/>
          <w:color w:val="000000" w:themeColor="text1"/>
          <w:sz w:val="20"/>
          <w:szCs w:val="20"/>
        </w:rPr>
        <w:t>, 2008), 153 in 143-53: Thought experiments abstract ‘from normal conditions and thereby create an environment in which the most basic features become visible.’</w:t>
      </w:r>
    </w:p>
  </w:footnote>
  <w:footnote w:id="1254">
    <w:p w14:paraId="691D5E05" w14:textId="0F443CB6"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Dominik Perler, ‘Thought Experiments,’ 144</w:t>
      </w:r>
      <w:r w:rsidR="00E1086F" w:rsidRPr="009D7635">
        <w:rPr>
          <w:rFonts w:ascii="Times New Roman" w:hAnsi="Times New Roman" w:cs="Times New Roman"/>
          <w:color w:val="000000" w:themeColor="text1"/>
        </w:rPr>
        <w:t>.</w:t>
      </w:r>
      <w:r w:rsidRPr="009D7635">
        <w:rPr>
          <w:rFonts w:ascii="Times New Roman" w:hAnsi="Times New Roman" w:cs="Times New Roman"/>
          <w:color w:val="000000" w:themeColor="text1"/>
        </w:rPr>
        <w:t xml:space="preserve"> </w:t>
      </w:r>
    </w:p>
  </w:footnote>
  <w:footnote w:id="1255">
    <w:p w14:paraId="26ACC5CD" w14:textId="3F1F78AE"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E1086F" w:rsidRPr="009D7635">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153.</w:t>
      </w:r>
    </w:p>
  </w:footnote>
  <w:footnote w:id="1256">
    <w:p w14:paraId="4D2D1719" w14:textId="77777777"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In2, Tr3, S2, Q1, T2, M2, C8,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189.</w:t>
      </w:r>
    </w:p>
  </w:footnote>
  <w:footnote w:id="1257">
    <w:p w14:paraId="55DBFAD0" w14:textId="77777777"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In2, Tr3, S2, Q1, T2, M2, C7, Ar3, </w:t>
      </w:r>
      <w:proofErr w:type="spellStart"/>
      <w:r w:rsidRPr="009D7635">
        <w:rPr>
          <w:rFonts w:ascii="Times New Roman" w:hAnsi="Times New Roman" w:cs="Times New Roman"/>
          <w:color w:val="000000" w:themeColor="text1"/>
        </w:rPr>
        <w:t>Solutio</w:t>
      </w:r>
      <w:proofErr w:type="spellEnd"/>
      <w:r w:rsidRPr="009D7635">
        <w:rPr>
          <w:rFonts w:ascii="Times New Roman" w:hAnsi="Times New Roman" w:cs="Times New Roman"/>
          <w:color w:val="000000" w:themeColor="text1"/>
        </w:rPr>
        <w:t>, 186.</w:t>
      </w:r>
    </w:p>
  </w:footnote>
  <w:footnote w:id="1258">
    <w:p w14:paraId="7331EA81" w14:textId="77777777" w:rsidR="009B6602" w:rsidRPr="009D7635" w:rsidRDefault="009B6602" w:rsidP="009B6602">
      <w:pPr>
        <w:autoSpaceDE w:val="0"/>
        <w:autoSpaceDN w:val="0"/>
        <w:adjustRightInd w:val="0"/>
        <w:rPr>
          <w:rFonts w:ascii="Times New Roman" w:hAnsi="Times New Roman" w:cs="Times New Roman"/>
          <w:color w:val="231F20"/>
          <w:sz w:val="20"/>
          <w:szCs w:val="20"/>
        </w:rPr>
      </w:pPr>
      <w:r w:rsidRPr="009D7635">
        <w:rPr>
          <w:rStyle w:val="FootnoteReference"/>
          <w:rFonts w:ascii="Times New Roman" w:hAnsi="Times New Roman" w:cs="Times New Roman"/>
          <w:sz w:val="20"/>
          <w:szCs w:val="20"/>
        </w:rPr>
        <w:footnoteRef/>
      </w:r>
      <w:r w:rsidRPr="009D7635">
        <w:rPr>
          <w:rFonts w:ascii="Times New Roman" w:hAnsi="Times New Roman" w:cs="Times New Roman"/>
          <w:sz w:val="20"/>
          <w:szCs w:val="20"/>
        </w:rPr>
        <w:t xml:space="preserve"> </w:t>
      </w:r>
      <w:r w:rsidRPr="009D7635">
        <w:rPr>
          <w:rFonts w:ascii="Times New Roman" w:hAnsi="Times New Roman" w:cs="Times New Roman"/>
          <w:color w:val="000000" w:themeColor="text1"/>
          <w:sz w:val="20"/>
          <w:szCs w:val="20"/>
        </w:rPr>
        <w:t xml:space="preserve">SH 3, </w:t>
      </w:r>
      <w:r w:rsidRPr="009D7635">
        <w:rPr>
          <w:rFonts w:ascii="Times New Roman" w:hAnsi="Times New Roman" w:cs="Times New Roman"/>
          <w:color w:val="231F20"/>
          <w:sz w:val="20"/>
          <w:szCs w:val="20"/>
        </w:rPr>
        <w:t>P1, In1, Tr1, Q4, Ti1, Di3, M4, C1, 70.</w:t>
      </w:r>
    </w:p>
  </w:footnote>
  <w:footnote w:id="1259">
    <w:p w14:paraId="5CFE5B1C" w14:textId="77777777"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In2, Tr3, S2, Q2, T1, M2, C1, Ar1, 202-3.</w:t>
      </w:r>
    </w:p>
  </w:footnote>
  <w:footnote w:id="1260">
    <w:p w14:paraId="24FA31F1" w14:textId="169D84B0" w:rsidR="009B6602" w:rsidRPr="009D7635" w:rsidRDefault="009B6602" w:rsidP="009B6602">
      <w:pPr>
        <w:autoSpaceDE w:val="0"/>
        <w:autoSpaceDN w:val="0"/>
        <w:adjustRightInd w:val="0"/>
        <w:rPr>
          <w:rFonts w:ascii="Times New Roman" w:hAnsi="Times New Roman" w:cs="Times New Roman"/>
          <w:color w:val="000000" w:themeColor="text1"/>
          <w:sz w:val="20"/>
          <w:szCs w:val="20"/>
          <w:lang w:val="en-US"/>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SH 2.1, In2, Tr3, S2, Q2, T1, M2, C1, Ar3</w:t>
      </w:r>
      <w:r w:rsidRPr="009D7635">
        <w:rPr>
          <w:rFonts w:ascii="Times New Roman" w:hAnsi="Times New Roman" w:cs="Times New Roman"/>
          <w:color w:val="000000" w:themeColor="text1"/>
          <w:sz w:val="20"/>
          <w:szCs w:val="20"/>
          <w:lang w:val="en-US"/>
        </w:rPr>
        <w:t xml:space="preserve">, 5, 205. </w:t>
      </w:r>
      <w:r w:rsidRPr="009D7635">
        <w:rPr>
          <w:rFonts w:ascii="Times New Roman" w:hAnsi="Times New Roman" w:cs="Times New Roman"/>
          <w:i/>
          <w:iCs/>
          <w:color w:val="000000" w:themeColor="text1"/>
          <w:sz w:val="20"/>
          <w:szCs w:val="20"/>
          <w:lang w:val="en-US"/>
        </w:rPr>
        <w:t xml:space="preserve">Sed homo plus </w:t>
      </w:r>
      <w:proofErr w:type="spellStart"/>
      <w:r w:rsidRPr="009D7635">
        <w:rPr>
          <w:rFonts w:ascii="Times New Roman" w:hAnsi="Times New Roman" w:cs="Times New Roman"/>
          <w:i/>
          <w:iCs/>
          <w:color w:val="000000" w:themeColor="text1"/>
          <w:sz w:val="20"/>
          <w:szCs w:val="20"/>
          <w:lang w:val="en-US"/>
        </w:rPr>
        <w:t>vertibilis</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quam</w:t>
      </w:r>
      <w:proofErr w:type="spellEnd"/>
      <w:r w:rsidRPr="009D7635">
        <w:rPr>
          <w:rFonts w:ascii="Times New Roman" w:hAnsi="Times New Roman" w:cs="Times New Roman"/>
          <w:i/>
          <w:iCs/>
          <w:color w:val="000000" w:themeColor="text1"/>
          <w:sz w:val="20"/>
          <w:szCs w:val="20"/>
          <w:lang w:val="en-US"/>
        </w:rPr>
        <w:t xml:space="preserve"> angelus, </w:t>
      </w:r>
      <w:proofErr w:type="spellStart"/>
      <w:r w:rsidRPr="009D7635">
        <w:rPr>
          <w:rFonts w:ascii="Times New Roman" w:hAnsi="Times New Roman" w:cs="Times New Roman"/>
          <w:i/>
          <w:iCs/>
          <w:color w:val="000000" w:themeColor="text1"/>
          <w:sz w:val="20"/>
          <w:szCs w:val="20"/>
          <w:lang w:val="en-US"/>
        </w:rPr>
        <w:t>quia</w:t>
      </w:r>
      <w:proofErr w:type="spellEnd"/>
      <w:r w:rsidRPr="009D7635">
        <w:rPr>
          <w:rFonts w:ascii="Times New Roman" w:hAnsi="Times New Roman" w:cs="Times New Roman"/>
          <w:i/>
          <w:iCs/>
          <w:color w:val="000000" w:themeColor="text1"/>
          <w:sz w:val="20"/>
          <w:szCs w:val="20"/>
          <w:lang w:val="en-US"/>
        </w:rPr>
        <w:t xml:space="preserve"> homo </w:t>
      </w:r>
      <w:proofErr w:type="spellStart"/>
      <w:r w:rsidRPr="009D7635">
        <w:rPr>
          <w:rFonts w:ascii="Times New Roman" w:hAnsi="Times New Roman" w:cs="Times New Roman"/>
          <w:i/>
          <w:iCs/>
          <w:color w:val="000000" w:themeColor="text1"/>
          <w:sz w:val="20"/>
          <w:szCs w:val="20"/>
          <w:lang w:val="en-US"/>
        </w:rPr>
        <w:t>potest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verti</w:t>
      </w:r>
      <w:proofErr w:type="spellEnd"/>
      <w:r w:rsidRPr="009D7635">
        <w:rPr>
          <w:rFonts w:ascii="Times New Roman" w:hAnsi="Times New Roman" w:cs="Times New Roman"/>
          <w:i/>
          <w:iCs/>
          <w:color w:val="000000" w:themeColor="text1"/>
          <w:sz w:val="20"/>
          <w:szCs w:val="20"/>
          <w:lang w:val="en-US"/>
        </w:rPr>
        <w:t xml:space="preserve"> a bono in malum et </w:t>
      </w:r>
      <w:proofErr w:type="spellStart"/>
      <w:r w:rsidRPr="009D7635">
        <w:rPr>
          <w:rFonts w:ascii="Times New Roman" w:hAnsi="Times New Roman" w:cs="Times New Roman"/>
          <w:i/>
          <w:iCs/>
          <w:color w:val="000000" w:themeColor="text1"/>
          <w:sz w:val="20"/>
          <w:szCs w:val="20"/>
          <w:lang w:val="en-US"/>
        </w:rPr>
        <w:t>inde</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rursus</w:t>
      </w:r>
      <w:proofErr w:type="spellEnd"/>
      <w:r w:rsidRPr="009D7635">
        <w:rPr>
          <w:rFonts w:ascii="Times New Roman" w:hAnsi="Times New Roman" w:cs="Times New Roman"/>
          <w:i/>
          <w:iCs/>
          <w:color w:val="000000" w:themeColor="text1"/>
          <w:sz w:val="20"/>
          <w:szCs w:val="20"/>
          <w:lang w:val="en-US"/>
        </w:rPr>
        <w:t xml:space="preserve"> in </w:t>
      </w:r>
      <w:proofErr w:type="spellStart"/>
      <w:r w:rsidRPr="009D7635">
        <w:rPr>
          <w:rFonts w:ascii="Times New Roman" w:hAnsi="Times New Roman" w:cs="Times New Roman"/>
          <w:i/>
          <w:iCs/>
          <w:color w:val="000000" w:themeColor="text1"/>
          <w:sz w:val="20"/>
          <w:szCs w:val="20"/>
          <w:lang w:val="en-US"/>
        </w:rPr>
        <w:t>bonum</w:t>
      </w:r>
      <w:proofErr w:type="spellEnd"/>
      <w:r w:rsidRPr="009D7635">
        <w:rPr>
          <w:rFonts w:ascii="Times New Roman" w:hAnsi="Times New Roman" w:cs="Times New Roman"/>
          <w:i/>
          <w:iCs/>
          <w:color w:val="000000" w:themeColor="text1"/>
          <w:sz w:val="20"/>
          <w:szCs w:val="20"/>
          <w:lang w:val="en-US"/>
        </w:rPr>
        <w:t xml:space="preserve">; non sic angelus, </w:t>
      </w:r>
      <w:proofErr w:type="spellStart"/>
      <w:r w:rsidRPr="009D7635">
        <w:rPr>
          <w:rFonts w:ascii="Times New Roman" w:hAnsi="Times New Roman" w:cs="Times New Roman"/>
          <w:i/>
          <w:iCs/>
          <w:color w:val="000000" w:themeColor="text1"/>
          <w:sz w:val="20"/>
          <w:szCs w:val="20"/>
          <w:lang w:val="en-US"/>
        </w:rPr>
        <w:t>immo</w:t>
      </w:r>
      <w:proofErr w:type="spellEnd"/>
      <w:r w:rsidRPr="009D7635">
        <w:rPr>
          <w:rFonts w:ascii="Times New Roman" w:hAnsi="Times New Roman" w:cs="Times New Roman"/>
          <w:i/>
          <w:iCs/>
          <w:color w:val="000000" w:themeColor="text1"/>
          <w:sz w:val="20"/>
          <w:szCs w:val="20"/>
          <w:lang w:val="en-US"/>
        </w:rPr>
        <w:t xml:space="preserve"> solum </w:t>
      </w:r>
      <w:proofErr w:type="spellStart"/>
      <w:r w:rsidRPr="009D7635">
        <w:rPr>
          <w:rFonts w:ascii="Times New Roman" w:hAnsi="Times New Roman" w:cs="Times New Roman"/>
          <w:i/>
          <w:iCs/>
          <w:color w:val="000000" w:themeColor="text1"/>
          <w:sz w:val="20"/>
          <w:szCs w:val="20"/>
          <w:lang w:val="en-US"/>
        </w:rPr>
        <w:t>semel</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vertitur</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vel</w:t>
      </w:r>
      <w:proofErr w:type="spellEnd"/>
      <w:r w:rsidRPr="009D7635">
        <w:rPr>
          <w:rFonts w:ascii="Times New Roman" w:hAnsi="Times New Roman" w:cs="Times New Roman"/>
          <w:i/>
          <w:iCs/>
          <w:color w:val="000000" w:themeColor="text1"/>
          <w:sz w:val="20"/>
          <w:szCs w:val="20"/>
          <w:lang w:val="en-US"/>
        </w:rPr>
        <w:t xml:space="preserve"> in </w:t>
      </w:r>
      <w:proofErr w:type="spellStart"/>
      <w:r w:rsidRPr="009D7635">
        <w:rPr>
          <w:rFonts w:ascii="Times New Roman" w:hAnsi="Times New Roman" w:cs="Times New Roman"/>
          <w:i/>
          <w:iCs/>
          <w:color w:val="000000" w:themeColor="text1"/>
          <w:sz w:val="20"/>
          <w:szCs w:val="20"/>
          <w:lang w:val="en-US"/>
        </w:rPr>
        <w:t>bonum</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vel</w:t>
      </w:r>
      <w:proofErr w:type="spellEnd"/>
      <w:r w:rsidRPr="009D7635">
        <w:rPr>
          <w:rFonts w:ascii="Times New Roman" w:hAnsi="Times New Roman" w:cs="Times New Roman"/>
          <w:i/>
          <w:iCs/>
          <w:color w:val="000000" w:themeColor="text1"/>
          <w:sz w:val="20"/>
          <w:szCs w:val="20"/>
          <w:lang w:val="en-US"/>
        </w:rPr>
        <w:t xml:space="preserve"> in malum sine </w:t>
      </w:r>
      <w:proofErr w:type="spellStart"/>
      <w:r w:rsidRPr="009D7635">
        <w:rPr>
          <w:rFonts w:ascii="Times New Roman" w:hAnsi="Times New Roman" w:cs="Times New Roman"/>
          <w:i/>
          <w:iCs/>
          <w:color w:val="000000" w:themeColor="text1"/>
          <w:sz w:val="20"/>
          <w:szCs w:val="20"/>
          <w:lang w:val="en-US"/>
        </w:rPr>
        <w:t>regressu</w:t>
      </w:r>
      <w:proofErr w:type="spellEnd"/>
      <w:r w:rsidRPr="009D7635">
        <w:rPr>
          <w:rFonts w:ascii="Times New Roman" w:hAnsi="Times New Roman" w:cs="Times New Roman"/>
          <w:i/>
          <w:iCs/>
          <w:color w:val="000000" w:themeColor="text1"/>
          <w:sz w:val="20"/>
          <w:szCs w:val="20"/>
          <w:lang w:val="en-US"/>
        </w:rPr>
        <w:t xml:space="preserve"> ad </w:t>
      </w:r>
      <w:proofErr w:type="spellStart"/>
      <w:r w:rsidRPr="009D7635">
        <w:rPr>
          <w:rFonts w:ascii="Times New Roman" w:hAnsi="Times New Roman" w:cs="Times New Roman"/>
          <w:i/>
          <w:iCs/>
          <w:color w:val="000000" w:themeColor="text1"/>
          <w:sz w:val="20"/>
          <w:szCs w:val="20"/>
          <w:lang w:val="en-US"/>
        </w:rPr>
        <w:t>alterum</w:t>
      </w:r>
      <w:proofErr w:type="spellEnd"/>
      <w:r w:rsidRPr="009D7635">
        <w:rPr>
          <w:rFonts w:ascii="Times New Roman" w:hAnsi="Times New Roman" w:cs="Times New Roman"/>
          <w:i/>
          <w:iCs/>
          <w:color w:val="000000" w:themeColor="text1"/>
          <w:sz w:val="20"/>
          <w:szCs w:val="20"/>
          <w:lang w:val="en-US"/>
        </w:rPr>
        <w:t xml:space="preserve">; plus ergo homo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vertibilis</w:t>
      </w:r>
      <w:proofErr w:type="spellEnd"/>
      <w:r w:rsidRPr="009D7635">
        <w:rPr>
          <w:rFonts w:ascii="Times New Roman" w:hAnsi="Times New Roman" w:cs="Times New Roman"/>
          <w:i/>
          <w:iCs/>
          <w:color w:val="000000" w:themeColor="text1"/>
          <w:sz w:val="20"/>
          <w:szCs w:val="20"/>
          <w:lang w:val="en-US"/>
        </w:rPr>
        <w:t xml:space="preserve">… propter hoc </w:t>
      </w:r>
      <w:proofErr w:type="spellStart"/>
      <w:r w:rsidRPr="009D7635">
        <w:rPr>
          <w:rFonts w:ascii="Times New Roman" w:hAnsi="Times New Roman" w:cs="Times New Roman"/>
          <w:i/>
          <w:iCs/>
          <w:color w:val="000000" w:themeColor="text1"/>
          <w:sz w:val="20"/>
          <w:szCs w:val="20"/>
          <w:lang w:val="en-US"/>
        </w:rPr>
        <w:t>enim</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conceditur</w:t>
      </w:r>
      <w:proofErr w:type="spellEnd"/>
      <w:r w:rsidRPr="009D7635">
        <w:rPr>
          <w:rFonts w:ascii="Times New Roman" w:hAnsi="Times New Roman" w:cs="Times New Roman"/>
          <w:i/>
          <w:iCs/>
          <w:color w:val="000000" w:themeColor="text1"/>
          <w:sz w:val="20"/>
          <w:szCs w:val="20"/>
          <w:lang w:val="en-US"/>
        </w:rPr>
        <w:t xml:space="preserve"> quod </w:t>
      </w:r>
      <w:proofErr w:type="spellStart"/>
      <w:r w:rsidRPr="009D7635">
        <w:rPr>
          <w:rFonts w:ascii="Times New Roman" w:hAnsi="Times New Roman" w:cs="Times New Roman"/>
          <w:i/>
          <w:iCs/>
          <w:color w:val="000000" w:themeColor="text1"/>
          <w:sz w:val="20"/>
          <w:szCs w:val="20"/>
          <w:lang w:val="en-US"/>
        </w:rPr>
        <w:t>liberior</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est</w:t>
      </w:r>
      <w:proofErr w:type="spellEnd"/>
      <w:r w:rsidRPr="009D7635">
        <w:rPr>
          <w:rFonts w:ascii="Times New Roman" w:hAnsi="Times New Roman" w:cs="Times New Roman"/>
          <w:i/>
          <w:iCs/>
          <w:color w:val="000000" w:themeColor="text1"/>
          <w:sz w:val="20"/>
          <w:szCs w:val="20"/>
          <w:lang w:val="en-US"/>
        </w:rPr>
        <w:t xml:space="preserve"> homo </w:t>
      </w:r>
      <w:proofErr w:type="spellStart"/>
      <w:r w:rsidRPr="009D7635">
        <w:rPr>
          <w:rFonts w:ascii="Times New Roman" w:hAnsi="Times New Roman" w:cs="Times New Roman"/>
          <w:i/>
          <w:iCs/>
          <w:color w:val="000000" w:themeColor="text1"/>
          <w:sz w:val="20"/>
          <w:szCs w:val="20"/>
          <w:lang w:val="en-US"/>
        </w:rPr>
        <w:t>quam</w:t>
      </w:r>
      <w:proofErr w:type="spellEnd"/>
      <w:r w:rsidRPr="009D7635">
        <w:rPr>
          <w:rFonts w:ascii="Times New Roman" w:hAnsi="Times New Roman" w:cs="Times New Roman"/>
          <w:i/>
          <w:iCs/>
          <w:color w:val="000000" w:themeColor="text1"/>
          <w:sz w:val="20"/>
          <w:szCs w:val="20"/>
          <w:lang w:val="en-US"/>
        </w:rPr>
        <w:t xml:space="preserve"> daemon, </w:t>
      </w:r>
      <w:proofErr w:type="spellStart"/>
      <w:r w:rsidRPr="009D7635">
        <w:rPr>
          <w:rFonts w:ascii="Times New Roman" w:hAnsi="Times New Roman" w:cs="Times New Roman"/>
          <w:i/>
          <w:iCs/>
          <w:color w:val="000000" w:themeColor="text1"/>
          <w:sz w:val="20"/>
          <w:szCs w:val="20"/>
          <w:lang w:val="en-US"/>
        </w:rPr>
        <w:t>quia</w:t>
      </w:r>
      <w:proofErr w:type="spellEnd"/>
      <w:r w:rsidRPr="009D7635">
        <w:rPr>
          <w:rFonts w:ascii="Times New Roman" w:hAnsi="Times New Roman" w:cs="Times New Roman"/>
          <w:i/>
          <w:iCs/>
          <w:color w:val="000000" w:themeColor="text1"/>
          <w:sz w:val="20"/>
          <w:szCs w:val="20"/>
          <w:lang w:val="en-US"/>
        </w:rPr>
        <w:t xml:space="preserve"> scilicet homo </w:t>
      </w:r>
      <w:proofErr w:type="spellStart"/>
      <w:r w:rsidRPr="009D7635">
        <w:rPr>
          <w:rFonts w:ascii="Times New Roman" w:hAnsi="Times New Roman" w:cs="Times New Roman"/>
          <w:i/>
          <w:iCs/>
          <w:color w:val="000000" w:themeColor="text1"/>
          <w:sz w:val="20"/>
          <w:szCs w:val="20"/>
          <w:lang w:val="en-US"/>
        </w:rPr>
        <w:t>potest</w:t>
      </w:r>
      <w:proofErr w:type="spellEnd"/>
      <w:r w:rsidRPr="009D7635">
        <w:rPr>
          <w:rFonts w:ascii="Times New Roman" w:hAnsi="Times New Roman" w:cs="Times New Roman"/>
          <w:i/>
          <w:iCs/>
          <w:color w:val="000000" w:themeColor="text1"/>
          <w:sz w:val="20"/>
          <w:szCs w:val="20"/>
          <w:lang w:val="en-US"/>
        </w:rPr>
        <w:t xml:space="preserve"> </w:t>
      </w:r>
      <w:proofErr w:type="spellStart"/>
      <w:r w:rsidRPr="009D7635">
        <w:rPr>
          <w:rFonts w:ascii="Times New Roman" w:hAnsi="Times New Roman" w:cs="Times New Roman"/>
          <w:i/>
          <w:iCs/>
          <w:color w:val="000000" w:themeColor="text1"/>
          <w:sz w:val="20"/>
          <w:szCs w:val="20"/>
          <w:lang w:val="en-US"/>
        </w:rPr>
        <w:t>regredi</w:t>
      </w:r>
      <w:proofErr w:type="spellEnd"/>
      <w:r w:rsidRPr="009D7635">
        <w:rPr>
          <w:rFonts w:ascii="Times New Roman" w:hAnsi="Times New Roman" w:cs="Times New Roman"/>
          <w:i/>
          <w:iCs/>
          <w:color w:val="000000" w:themeColor="text1"/>
          <w:sz w:val="20"/>
          <w:szCs w:val="20"/>
          <w:lang w:val="en-US"/>
        </w:rPr>
        <w:t xml:space="preserve"> post </w:t>
      </w:r>
      <w:proofErr w:type="spellStart"/>
      <w:r w:rsidRPr="009D7635">
        <w:rPr>
          <w:rFonts w:ascii="Times New Roman" w:hAnsi="Times New Roman" w:cs="Times New Roman"/>
          <w:i/>
          <w:iCs/>
          <w:color w:val="000000" w:themeColor="text1"/>
          <w:sz w:val="20"/>
          <w:szCs w:val="20"/>
          <w:lang w:val="en-US"/>
        </w:rPr>
        <w:t>casum</w:t>
      </w:r>
      <w:proofErr w:type="spellEnd"/>
      <w:r w:rsidRPr="009D7635">
        <w:rPr>
          <w:rFonts w:ascii="Times New Roman" w:hAnsi="Times New Roman" w:cs="Times New Roman"/>
          <w:i/>
          <w:iCs/>
          <w:color w:val="000000" w:themeColor="text1"/>
          <w:sz w:val="20"/>
          <w:szCs w:val="20"/>
          <w:lang w:val="en-US"/>
        </w:rPr>
        <w:t xml:space="preserve">, daemon </w:t>
      </w:r>
      <w:proofErr w:type="spellStart"/>
      <w:r w:rsidRPr="009D7635">
        <w:rPr>
          <w:rFonts w:ascii="Times New Roman" w:hAnsi="Times New Roman" w:cs="Times New Roman"/>
          <w:i/>
          <w:iCs/>
          <w:color w:val="000000" w:themeColor="text1"/>
          <w:sz w:val="20"/>
          <w:szCs w:val="20"/>
          <w:lang w:val="en-US"/>
        </w:rPr>
        <w:t>autem</w:t>
      </w:r>
      <w:proofErr w:type="spellEnd"/>
      <w:r w:rsidRPr="009D7635">
        <w:rPr>
          <w:rFonts w:ascii="Times New Roman" w:hAnsi="Times New Roman" w:cs="Times New Roman"/>
          <w:i/>
          <w:iCs/>
          <w:color w:val="000000" w:themeColor="text1"/>
          <w:sz w:val="20"/>
          <w:szCs w:val="20"/>
          <w:lang w:val="en-US"/>
        </w:rPr>
        <w:t xml:space="preserve"> non.</w:t>
      </w:r>
    </w:p>
  </w:footnote>
  <w:footnote w:id="1261">
    <w:p w14:paraId="2D5AAC30" w14:textId="77777777" w:rsidR="009B6602" w:rsidRPr="009D7635" w:rsidRDefault="009B6602" w:rsidP="009B6602">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SH 2.1, In2, Tr3, S2, Q2, T1, M2, C1, Ar3</w:t>
      </w:r>
      <w:r w:rsidRPr="009D7635">
        <w:rPr>
          <w:rFonts w:ascii="Times New Roman" w:hAnsi="Times New Roman" w:cs="Times New Roman"/>
          <w:color w:val="000000" w:themeColor="text1"/>
          <w:lang w:val="en-US"/>
        </w:rPr>
        <w:t xml:space="preserve">, </w:t>
      </w:r>
      <w:proofErr w:type="spellStart"/>
      <w:r w:rsidRPr="009D7635">
        <w:rPr>
          <w:rFonts w:ascii="Times New Roman" w:hAnsi="Times New Roman" w:cs="Times New Roman"/>
          <w:color w:val="000000" w:themeColor="text1"/>
          <w:lang w:val="en-US"/>
        </w:rPr>
        <w:t>Solutio</w:t>
      </w:r>
      <w:proofErr w:type="spellEnd"/>
      <w:r w:rsidRPr="009D7635">
        <w:rPr>
          <w:rFonts w:ascii="Times New Roman" w:hAnsi="Times New Roman" w:cs="Times New Roman"/>
          <w:color w:val="000000" w:themeColor="text1"/>
          <w:lang w:val="en-US"/>
        </w:rPr>
        <w:t>, 205.</w:t>
      </w:r>
    </w:p>
  </w:footnote>
  <w:footnote w:id="1262">
    <w:p w14:paraId="52FA0AA3" w14:textId="332593CD"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James A. </w:t>
      </w:r>
      <w:proofErr w:type="spellStart"/>
      <w:r w:rsidRPr="009D7635">
        <w:rPr>
          <w:rFonts w:ascii="Times New Roman" w:hAnsi="Times New Roman" w:cs="Times New Roman"/>
          <w:color w:val="000000" w:themeColor="text1"/>
        </w:rPr>
        <w:t>Weisheipl</w:t>
      </w:r>
      <w:proofErr w:type="spellEnd"/>
      <w:r w:rsidRPr="009D7635">
        <w:rPr>
          <w:rFonts w:ascii="Times New Roman" w:hAnsi="Times New Roman" w:cs="Times New Roman"/>
          <w:color w:val="000000" w:themeColor="text1"/>
        </w:rPr>
        <w:t>, ‘</w:t>
      </w:r>
      <w:proofErr w:type="spellStart"/>
      <w:r w:rsidRPr="009D7635">
        <w:rPr>
          <w:rFonts w:ascii="Times New Roman" w:hAnsi="Times New Roman" w:cs="Times New Roman"/>
          <w:color w:val="000000" w:themeColor="text1"/>
        </w:rPr>
        <w:t>Albertus</w:t>
      </w:r>
      <w:proofErr w:type="spellEnd"/>
      <w:r w:rsidRPr="009D7635">
        <w:rPr>
          <w:rFonts w:ascii="Times New Roman" w:hAnsi="Times New Roman" w:cs="Times New Roman"/>
          <w:color w:val="000000" w:themeColor="text1"/>
        </w:rPr>
        <w:t xml:space="preserve"> Magnus and Universal Hylomorphism: </w:t>
      </w:r>
      <w:proofErr w:type="spellStart"/>
      <w:r w:rsidRPr="009D7635">
        <w:rPr>
          <w:rFonts w:ascii="Times New Roman" w:hAnsi="Times New Roman" w:cs="Times New Roman"/>
          <w:color w:val="000000" w:themeColor="text1"/>
        </w:rPr>
        <w:t>Avicebron</w:t>
      </w:r>
      <w:proofErr w:type="spellEnd"/>
      <w:r w:rsidRPr="009D7635">
        <w:rPr>
          <w:rFonts w:ascii="Times New Roman" w:hAnsi="Times New Roman" w:cs="Times New Roman"/>
          <w:color w:val="000000" w:themeColor="text1"/>
        </w:rPr>
        <w:t xml:space="preserve">—A Note on Thirteenth-Century </w:t>
      </w:r>
      <w:proofErr w:type="spellStart"/>
      <w:r w:rsidRPr="009D7635">
        <w:rPr>
          <w:rFonts w:ascii="Times New Roman" w:hAnsi="Times New Roman" w:cs="Times New Roman"/>
          <w:color w:val="000000" w:themeColor="text1"/>
        </w:rPr>
        <w:t>Augustinianism</w:t>
      </w:r>
      <w:proofErr w:type="spellEnd"/>
      <w:r w:rsidRPr="009D7635">
        <w:rPr>
          <w:rFonts w:ascii="Times New Roman" w:hAnsi="Times New Roman" w:cs="Times New Roman"/>
          <w:color w:val="000000" w:themeColor="text1"/>
        </w:rPr>
        <w:t xml:space="preserve">,’ in </w:t>
      </w:r>
      <w:r w:rsidRPr="009D7635">
        <w:rPr>
          <w:rFonts w:ascii="Times New Roman" w:hAnsi="Times New Roman" w:cs="Times New Roman"/>
          <w:i/>
          <w:color w:val="000000" w:themeColor="text1"/>
        </w:rPr>
        <w:t>Albert the Great: Commemorative Essays</w:t>
      </w:r>
      <w:r w:rsidRPr="009D7635">
        <w:rPr>
          <w:rFonts w:ascii="Times New Roman" w:hAnsi="Times New Roman" w:cs="Times New Roman"/>
          <w:iCs/>
          <w:color w:val="000000" w:themeColor="text1"/>
        </w:rPr>
        <w:t>,</w:t>
      </w:r>
      <w:r w:rsidRPr="009D7635">
        <w:rPr>
          <w:rFonts w:ascii="Times New Roman" w:hAnsi="Times New Roman" w:cs="Times New Roman"/>
          <w:i/>
          <w:color w:val="000000" w:themeColor="text1"/>
        </w:rPr>
        <w:t xml:space="preserve"> </w:t>
      </w:r>
      <w:r w:rsidRPr="009D7635">
        <w:rPr>
          <w:rFonts w:ascii="Times New Roman" w:hAnsi="Times New Roman" w:cs="Times New Roman"/>
          <w:color w:val="000000" w:themeColor="text1"/>
        </w:rPr>
        <w:t xml:space="preserve">ed. Francis J. </w:t>
      </w:r>
      <w:proofErr w:type="spellStart"/>
      <w:r w:rsidRPr="009D7635">
        <w:rPr>
          <w:rFonts w:ascii="Times New Roman" w:hAnsi="Times New Roman" w:cs="Times New Roman"/>
          <w:color w:val="000000" w:themeColor="text1"/>
        </w:rPr>
        <w:t>Kovach</w:t>
      </w:r>
      <w:proofErr w:type="spellEnd"/>
      <w:r w:rsidRPr="009D7635">
        <w:rPr>
          <w:rFonts w:ascii="Times New Roman" w:hAnsi="Times New Roman" w:cs="Times New Roman"/>
          <w:color w:val="000000" w:themeColor="text1"/>
        </w:rPr>
        <w:t xml:space="preserve"> and Robert W. </w:t>
      </w:r>
      <w:proofErr w:type="spellStart"/>
      <w:r w:rsidRPr="009D7635">
        <w:rPr>
          <w:rFonts w:ascii="Times New Roman" w:hAnsi="Times New Roman" w:cs="Times New Roman"/>
          <w:color w:val="000000" w:themeColor="text1"/>
        </w:rPr>
        <w:t>Shahan</w:t>
      </w:r>
      <w:proofErr w:type="spellEnd"/>
      <w:r w:rsidRPr="009D7635">
        <w:rPr>
          <w:rFonts w:ascii="Times New Roman" w:hAnsi="Times New Roman" w:cs="Times New Roman"/>
          <w:color w:val="000000" w:themeColor="text1"/>
        </w:rPr>
        <w:t xml:space="preserve"> (Norman: University of Oklahoma Press, 1980), 239.</w:t>
      </w:r>
    </w:p>
  </w:footnote>
  <w:footnote w:id="1263">
    <w:p w14:paraId="5D76FFC1" w14:textId="47A451CF"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9561C7">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242.</w:t>
      </w:r>
    </w:p>
  </w:footnote>
  <w:footnote w:id="1264">
    <w:p w14:paraId="393E8893" w14:textId="26B481B9"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DC1CAC">
        <w:rPr>
          <w:rFonts w:ascii="Times New Roman" w:hAnsi="Times New Roman" w:cs="Times New Roman"/>
          <w:color w:val="000000" w:themeColor="text1"/>
        </w:rPr>
        <w:t>Ibid.</w:t>
      </w:r>
    </w:p>
  </w:footnote>
  <w:footnote w:id="1265">
    <w:p w14:paraId="2F0A33BD" w14:textId="6C3F08EC"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w:t>
      </w:r>
      <w:r w:rsidR="0080156E">
        <w:rPr>
          <w:rFonts w:ascii="Times New Roman" w:hAnsi="Times New Roman" w:cs="Times New Roman"/>
          <w:color w:val="000000" w:themeColor="text1"/>
        </w:rPr>
        <w:t>Ibid.,</w:t>
      </w:r>
      <w:r w:rsidRPr="009D7635">
        <w:rPr>
          <w:rFonts w:ascii="Times New Roman" w:hAnsi="Times New Roman" w:cs="Times New Roman"/>
          <w:color w:val="000000" w:themeColor="text1"/>
        </w:rPr>
        <w:t xml:space="preserve"> </w:t>
      </w:r>
      <w:r w:rsidRPr="009D7635">
        <w:rPr>
          <w:rFonts w:ascii="Times New Roman" w:eastAsia="Times New Roman" w:hAnsi="Times New Roman" w:cs="Times New Roman"/>
          <w:color w:val="000000" w:themeColor="text1"/>
        </w:rPr>
        <w:t>260.</w:t>
      </w:r>
    </w:p>
  </w:footnote>
  <w:footnote w:id="1266">
    <w:p w14:paraId="356FA650" w14:textId="69CA289E" w:rsidR="00B93ED5" w:rsidRPr="009D7635" w:rsidRDefault="00B93ED5" w:rsidP="00665333">
      <w:pPr>
        <w:rPr>
          <w:rFonts w:ascii="Times New Roman" w:eastAsia="Times New Roman" w:hAnsi="Times New Roman" w:cs="Times New Roman"/>
          <w:color w:val="000000" w:themeColor="text1"/>
          <w:sz w:val="20"/>
          <w:szCs w:val="20"/>
        </w:rPr>
      </w:pPr>
      <w:r w:rsidRPr="009D7635">
        <w:rPr>
          <w:rStyle w:val="FootnoteReference"/>
          <w:rFonts w:ascii="Times New Roman" w:hAnsi="Times New Roman" w:cs="Times New Roman"/>
          <w:color w:val="000000" w:themeColor="text1"/>
          <w:sz w:val="20"/>
          <w:szCs w:val="20"/>
        </w:rPr>
        <w:footnoteRef/>
      </w:r>
      <w:r w:rsidRPr="009D7635">
        <w:rPr>
          <w:rFonts w:ascii="Times New Roman" w:hAnsi="Times New Roman" w:cs="Times New Roman"/>
          <w:color w:val="000000" w:themeColor="text1"/>
          <w:sz w:val="20"/>
          <w:szCs w:val="20"/>
        </w:rPr>
        <w:t xml:space="preserve"> </w:t>
      </w:r>
      <w:r w:rsidRPr="009D7635">
        <w:rPr>
          <w:rFonts w:ascii="Times New Roman" w:eastAsia="Times New Roman" w:hAnsi="Times New Roman" w:cs="Times New Roman"/>
          <w:color w:val="000000" w:themeColor="text1"/>
          <w:sz w:val="20"/>
          <w:szCs w:val="20"/>
        </w:rPr>
        <w:t xml:space="preserve">Gilbert </w:t>
      </w:r>
      <w:proofErr w:type="spellStart"/>
      <w:r w:rsidRPr="009D7635">
        <w:rPr>
          <w:rFonts w:ascii="Times New Roman" w:eastAsia="Times New Roman" w:hAnsi="Times New Roman" w:cs="Times New Roman"/>
          <w:color w:val="000000" w:themeColor="text1"/>
          <w:sz w:val="20"/>
          <w:szCs w:val="20"/>
        </w:rPr>
        <w:t>Dahan</w:t>
      </w:r>
      <w:proofErr w:type="spellEnd"/>
      <w:r w:rsidRPr="009D7635">
        <w:rPr>
          <w:rFonts w:ascii="Times New Roman" w:eastAsia="Times New Roman" w:hAnsi="Times New Roman" w:cs="Times New Roman"/>
          <w:color w:val="000000" w:themeColor="text1"/>
          <w:sz w:val="20"/>
          <w:szCs w:val="20"/>
        </w:rPr>
        <w:t>, ‘</w:t>
      </w:r>
      <w:proofErr w:type="spellStart"/>
      <w:r w:rsidRPr="009D7635">
        <w:rPr>
          <w:rFonts w:ascii="Times New Roman" w:eastAsia="Times New Roman" w:hAnsi="Times New Roman" w:cs="Times New Roman"/>
          <w:color w:val="000000" w:themeColor="text1"/>
          <w:sz w:val="20"/>
          <w:szCs w:val="20"/>
        </w:rPr>
        <w:t>Une</w:t>
      </w:r>
      <w:proofErr w:type="spellEnd"/>
      <w:r w:rsidRPr="009D7635">
        <w:rPr>
          <w:rFonts w:ascii="Times New Roman" w:eastAsia="Times New Roman" w:hAnsi="Times New Roman" w:cs="Times New Roman"/>
          <w:color w:val="000000" w:themeColor="text1"/>
          <w:sz w:val="20"/>
          <w:szCs w:val="20"/>
        </w:rPr>
        <w:t xml:space="preserve"> introduction à l’étude de la </w:t>
      </w:r>
      <w:proofErr w:type="spellStart"/>
      <w:r w:rsidRPr="009D7635">
        <w:rPr>
          <w:rFonts w:ascii="Times New Roman" w:eastAsia="Times New Roman" w:hAnsi="Times New Roman" w:cs="Times New Roman"/>
          <w:color w:val="000000" w:themeColor="text1"/>
          <w:sz w:val="20"/>
          <w:szCs w:val="20"/>
        </w:rPr>
        <w:t>philosophie</w:t>
      </w:r>
      <w:proofErr w:type="spellEnd"/>
      <w:r w:rsidRPr="009D7635">
        <w:rPr>
          <w:rFonts w:ascii="Times New Roman" w:eastAsia="Times New Roman" w:hAnsi="Times New Roman" w:cs="Times New Roman"/>
          <w:color w:val="000000" w:themeColor="text1"/>
          <w:sz w:val="20"/>
          <w:szCs w:val="20"/>
        </w:rPr>
        <w:t xml:space="preserve">: Ut </w:t>
      </w:r>
      <w:proofErr w:type="spellStart"/>
      <w:r w:rsidRPr="009D7635">
        <w:rPr>
          <w:rFonts w:ascii="Times New Roman" w:eastAsia="Times New Roman" w:hAnsi="Times New Roman" w:cs="Times New Roman"/>
          <w:color w:val="000000" w:themeColor="text1"/>
          <w:sz w:val="20"/>
          <w:szCs w:val="20"/>
        </w:rPr>
        <w:t>ait</w:t>
      </w:r>
      <w:proofErr w:type="spellEnd"/>
      <w:r w:rsidRPr="009D7635">
        <w:rPr>
          <w:rFonts w:ascii="Times New Roman" w:eastAsia="Times New Roman" w:hAnsi="Times New Roman" w:cs="Times New Roman"/>
          <w:color w:val="000000" w:themeColor="text1"/>
          <w:sz w:val="20"/>
          <w:szCs w:val="20"/>
        </w:rPr>
        <w:t xml:space="preserve"> </w:t>
      </w:r>
      <w:proofErr w:type="spellStart"/>
      <w:r w:rsidRPr="009D7635">
        <w:rPr>
          <w:rFonts w:ascii="Times New Roman" w:eastAsia="Times New Roman" w:hAnsi="Times New Roman" w:cs="Times New Roman"/>
          <w:color w:val="000000" w:themeColor="text1"/>
          <w:sz w:val="20"/>
          <w:szCs w:val="20"/>
        </w:rPr>
        <w:t>Tullius</w:t>
      </w:r>
      <w:proofErr w:type="spellEnd"/>
      <w:r w:rsidRPr="009D7635">
        <w:rPr>
          <w:rFonts w:ascii="Times New Roman" w:eastAsia="Times New Roman" w:hAnsi="Times New Roman" w:cs="Times New Roman"/>
          <w:color w:val="000000" w:themeColor="text1"/>
          <w:sz w:val="20"/>
          <w:szCs w:val="20"/>
        </w:rPr>
        <w:t xml:space="preserve">,’ </w:t>
      </w:r>
      <w:r w:rsidRPr="009D7635">
        <w:rPr>
          <w:rFonts w:ascii="Times New Roman" w:hAnsi="Times New Roman" w:cs="Times New Roman"/>
          <w:color w:val="000000" w:themeColor="text1"/>
          <w:sz w:val="20"/>
          <w:szCs w:val="20"/>
        </w:rPr>
        <w:t xml:space="preserve">in </w:t>
      </w:r>
      <w:proofErr w:type="spellStart"/>
      <w:r w:rsidRPr="009D7635">
        <w:rPr>
          <w:rFonts w:ascii="Times New Roman" w:hAnsi="Times New Roman" w:cs="Times New Roman"/>
          <w:i/>
          <w:color w:val="000000" w:themeColor="text1"/>
          <w:sz w:val="20"/>
          <w:szCs w:val="20"/>
        </w:rPr>
        <w:t>L’enseignement</w:t>
      </w:r>
      <w:proofErr w:type="spellEnd"/>
      <w:r w:rsidRPr="009D7635">
        <w:rPr>
          <w:rFonts w:ascii="Times New Roman" w:hAnsi="Times New Roman" w:cs="Times New Roman"/>
          <w:i/>
          <w:color w:val="000000" w:themeColor="text1"/>
          <w:sz w:val="20"/>
          <w:szCs w:val="20"/>
        </w:rPr>
        <w:t xml:space="preserve"> de la </w:t>
      </w:r>
      <w:proofErr w:type="spellStart"/>
      <w:r w:rsidRPr="009D7635">
        <w:rPr>
          <w:rFonts w:ascii="Times New Roman" w:hAnsi="Times New Roman" w:cs="Times New Roman"/>
          <w:i/>
          <w:color w:val="000000" w:themeColor="text1"/>
          <w:sz w:val="20"/>
          <w:szCs w:val="20"/>
        </w:rPr>
        <w:t>philosophie</w:t>
      </w:r>
      <w:proofErr w:type="spellEnd"/>
      <w:r w:rsidRPr="009D7635">
        <w:rPr>
          <w:rFonts w:ascii="Times New Roman" w:hAnsi="Times New Roman" w:cs="Times New Roman"/>
          <w:i/>
          <w:color w:val="000000" w:themeColor="text1"/>
          <w:sz w:val="20"/>
          <w:szCs w:val="20"/>
        </w:rPr>
        <w:t xml:space="preserve"> au XIIIe siècle: </w:t>
      </w:r>
      <w:proofErr w:type="spellStart"/>
      <w:r w:rsidRPr="009D7635">
        <w:rPr>
          <w:rFonts w:ascii="Times New Roman" w:hAnsi="Times New Roman" w:cs="Times New Roman"/>
          <w:i/>
          <w:color w:val="000000" w:themeColor="text1"/>
          <w:sz w:val="20"/>
          <w:szCs w:val="20"/>
        </w:rPr>
        <w:t>Autour</w:t>
      </w:r>
      <w:proofErr w:type="spellEnd"/>
      <w:r w:rsidRPr="009D7635">
        <w:rPr>
          <w:rFonts w:ascii="Times New Roman" w:hAnsi="Times New Roman" w:cs="Times New Roman"/>
          <w:i/>
          <w:color w:val="000000" w:themeColor="text1"/>
          <w:sz w:val="20"/>
          <w:szCs w:val="20"/>
        </w:rPr>
        <w:t xml:space="preserve"> du Guide de </w:t>
      </w:r>
      <w:proofErr w:type="spellStart"/>
      <w:r w:rsidRPr="009D7635">
        <w:rPr>
          <w:rFonts w:ascii="Times New Roman" w:hAnsi="Times New Roman" w:cs="Times New Roman"/>
          <w:i/>
          <w:color w:val="000000" w:themeColor="text1"/>
          <w:sz w:val="20"/>
          <w:szCs w:val="20"/>
        </w:rPr>
        <w:t>l’étudiant</w:t>
      </w:r>
      <w:proofErr w:type="spellEnd"/>
      <w:r w:rsidRPr="009D7635">
        <w:rPr>
          <w:rFonts w:ascii="Times New Roman" w:hAnsi="Times New Roman" w:cs="Times New Roman"/>
          <w:i/>
          <w:color w:val="000000" w:themeColor="text1"/>
          <w:sz w:val="20"/>
          <w:szCs w:val="20"/>
        </w:rPr>
        <w:t xml:space="preserve"> du ms. </w:t>
      </w:r>
      <w:proofErr w:type="spellStart"/>
      <w:r w:rsidRPr="009D7635">
        <w:rPr>
          <w:rFonts w:ascii="Times New Roman" w:hAnsi="Times New Roman" w:cs="Times New Roman"/>
          <w:i/>
          <w:color w:val="000000" w:themeColor="text1"/>
          <w:sz w:val="20"/>
          <w:szCs w:val="20"/>
        </w:rPr>
        <w:t>Ripoll</w:t>
      </w:r>
      <w:proofErr w:type="spellEnd"/>
      <w:r w:rsidRPr="009D7635">
        <w:rPr>
          <w:rFonts w:ascii="Times New Roman" w:hAnsi="Times New Roman" w:cs="Times New Roman"/>
          <w:i/>
          <w:color w:val="000000" w:themeColor="text1"/>
          <w:sz w:val="20"/>
          <w:szCs w:val="20"/>
        </w:rPr>
        <w:t xml:space="preserve"> 109</w:t>
      </w:r>
      <w:r w:rsidRPr="009D7635">
        <w:rPr>
          <w:rFonts w:ascii="Times New Roman" w:hAnsi="Times New Roman" w:cs="Times New Roman"/>
          <w:iCs/>
          <w:color w:val="000000" w:themeColor="text1"/>
          <w:sz w:val="20"/>
          <w:szCs w:val="20"/>
        </w:rPr>
        <w:t xml:space="preserve">, </w:t>
      </w:r>
      <w:r w:rsidRPr="009D7635">
        <w:rPr>
          <w:rFonts w:ascii="Times New Roman" w:hAnsi="Times New Roman" w:cs="Times New Roman"/>
          <w:color w:val="000000" w:themeColor="text1"/>
          <w:sz w:val="20"/>
          <w:szCs w:val="20"/>
        </w:rPr>
        <w:t>ed. Claude Lafleur and Joanne Carrier (</w:t>
      </w:r>
      <w:proofErr w:type="spellStart"/>
      <w:r w:rsidRPr="009D7635">
        <w:rPr>
          <w:rFonts w:ascii="Times New Roman" w:hAnsi="Times New Roman" w:cs="Times New Roman"/>
          <w:color w:val="000000" w:themeColor="text1"/>
          <w:sz w:val="20"/>
          <w:szCs w:val="20"/>
        </w:rPr>
        <w:t>Turnhout</w:t>
      </w:r>
      <w:proofErr w:type="spellEnd"/>
      <w:r w:rsidRPr="009D7635">
        <w:rPr>
          <w:rFonts w:ascii="Times New Roman" w:hAnsi="Times New Roman" w:cs="Times New Roman"/>
          <w:color w:val="000000" w:themeColor="text1"/>
          <w:sz w:val="20"/>
          <w:szCs w:val="20"/>
        </w:rPr>
        <w:t xml:space="preserve">: </w:t>
      </w:r>
      <w:proofErr w:type="spellStart"/>
      <w:r w:rsidRPr="009D7635">
        <w:rPr>
          <w:rFonts w:ascii="Times New Roman" w:hAnsi="Times New Roman" w:cs="Times New Roman"/>
          <w:color w:val="000000" w:themeColor="text1"/>
          <w:sz w:val="20"/>
          <w:szCs w:val="20"/>
        </w:rPr>
        <w:t>Brepols</w:t>
      </w:r>
      <w:proofErr w:type="spellEnd"/>
      <w:r w:rsidRPr="009D7635">
        <w:rPr>
          <w:rFonts w:ascii="Times New Roman" w:hAnsi="Times New Roman" w:cs="Times New Roman"/>
          <w:color w:val="000000" w:themeColor="text1"/>
          <w:sz w:val="20"/>
          <w:szCs w:val="20"/>
        </w:rPr>
        <w:t>, 1997),</w:t>
      </w:r>
      <w:r w:rsidRPr="009D7635">
        <w:rPr>
          <w:rFonts w:ascii="Times New Roman" w:eastAsia="Times New Roman" w:hAnsi="Times New Roman" w:cs="Times New Roman"/>
          <w:color w:val="000000" w:themeColor="text1"/>
          <w:sz w:val="20"/>
          <w:szCs w:val="20"/>
        </w:rPr>
        <w:t xml:space="preserve"> 31 in 3-58.</w:t>
      </w:r>
    </w:p>
  </w:footnote>
  <w:footnote w:id="1267">
    <w:p w14:paraId="174C1DF0" w14:textId="77777777" w:rsidR="00B93ED5" w:rsidRPr="009D7635" w:rsidRDefault="00B93ED5" w:rsidP="00665333">
      <w:pPr>
        <w:pStyle w:val="FootnoteText"/>
        <w:rPr>
          <w:rFonts w:ascii="Times New Roman" w:hAnsi="Times New Roman" w:cs="Times New Roman"/>
          <w:color w:val="000000" w:themeColor="text1"/>
        </w:rPr>
      </w:pPr>
      <w:r w:rsidRPr="009D7635">
        <w:rPr>
          <w:rStyle w:val="FootnoteReference"/>
          <w:rFonts w:ascii="Times New Roman" w:hAnsi="Times New Roman" w:cs="Times New Roman"/>
          <w:color w:val="000000" w:themeColor="text1"/>
        </w:rPr>
        <w:footnoteRef/>
      </w:r>
      <w:r w:rsidRPr="009D7635">
        <w:rPr>
          <w:rFonts w:ascii="Times New Roman" w:hAnsi="Times New Roman" w:cs="Times New Roman"/>
          <w:color w:val="000000" w:themeColor="text1"/>
        </w:rPr>
        <w:t xml:space="preserve"> Theodore Crowley, </w:t>
      </w:r>
      <w:r w:rsidRPr="009D7635">
        <w:rPr>
          <w:rFonts w:ascii="Times New Roman" w:hAnsi="Times New Roman" w:cs="Times New Roman"/>
          <w:i/>
          <w:color w:val="000000" w:themeColor="text1"/>
        </w:rPr>
        <w:t xml:space="preserve">Roger Bacon: The Problem of the Soul in His Philosophical Commentaries </w:t>
      </w:r>
      <w:r w:rsidRPr="009D7635">
        <w:rPr>
          <w:rFonts w:ascii="Times New Roman" w:hAnsi="Times New Roman" w:cs="Times New Roman"/>
          <w:color w:val="000000" w:themeColor="text1"/>
        </w:rPr>
        <w:t xml:space="preserve">(Dublin: Maes Duffey, 1950), 207, citing </w:t>
      </w:r>
      <w:proofErr w:type="spellStart"/>
      <w:r w:rsidRPr="009D7635">
        <w:rPr>
          <w:rFonts w:ascii="Times New Roman" w:hAnsi="Times New Roman" w:cs="Times New Roman"/>
          <w:color w:val="000000" w:themeColor="text1"/>
        </w:rPr>
        <w:t>Fernand</w:t>
      </w:r>
      <w:proofErr w:type="spellEnd"/>
      <w:r w:rsidRPr="009D7635">
        <w:rPr>
          <w:rFonts w:ascii="Times New Roman" w:hAnsi="Times New Roman" w:cs="Times New Roman"/>
          <w:color w:val="000000" w:themeColor="text1"/>
        </w:rPr>
        <w:t xml:space="preserve"> Van </w:t>
      </w:r>
      <w:proofErr w:type="spellStart"/>
      <w:r w:rsidRPr="009D7635">
        <w:rPr>
          <w:rFonts w:ascii="Times New Roman" w:hAnsi="Times New Roman" w:cs="Times New Roman"/>
          <w:color w:val="000000" w:themeColor="text1"/>
        </w:rPr>
        <w:t>Steenberghen</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i/>
          <w:color w:val="000000" w:themeColor="text1"/>
        </w:rPr>
        <w:t>Siger</w:t>
      </w:r>
      <w:proofErr w:type="spellEnd"/>
      <w:r w:rsidRPr="009D7635">
        <w:rPr>
          <w:rFonts w:ascii="Times New Roman" w:hAnsi="Times New Roman" w:cs="Times New Roman"/>
          <w:i/>
          <w:color w:val="000000" w:themeColor="text1"/>
        </w:rPr>
        <w:t xml:space="preserve"> de Brabant d’après </w:t>
      </w:r>
      <w:proofErr w:type="spellStart"/>
      <w:r w:rsidRPr="009D7635">
        <w:rPr>
          <w:rFonts w:ascii="Times New Roman" w:hAnsi="Times New Roman" w:cs="Times New Roman"/>
          <w:i/>
          <w:color w:val="000000" w:themeColor="text1"/>
        </w:rPr>
        <w:t>ses</w:t>
      </w:r>
      <w:proofErr w:type="spellEnd"/>
      <w:r w:rsidRPr="009D7635">
        <w:rPr>
          <w:rFonts w:ascii="Times New Roman" w:hAnsi="Times New Roman" w:cs="Times New Roman"/>
          <w:i/>
          <w:color w:val="000000" w:themeColor="text1"/>
        </w:rPr>
        <w:t xml:space="preserve"> oeuvres </w:t>
      </w:r>
      <w:proofErr w:type="spellStart"/>
      <w:r w:rsidRPr="009D7635">
        <w:rPr>
          <w:rFonts w:ascii="Times New Roman" w:hAnsi="Times New Roman" w:cs="Times New Roman"/>
          <w:i/>
          <w:color w:val="000000" w:themeColor="text1"/>
        </w:rPr>
        <w:t>inédites</w:t>
      </w:r>
      <w:proofErr w:type="spellEnd"/>
      <w:r w:rsidRPr="009D7635">
        <w:rPr>
          <w:rFonts w:ascii="Times New Roman" w:hAnsi="Times New Roman" w:cs="Times New Roman"/>
          <w:i/>
          <w:color w:val="000000" w:themeColor="text1"/>
        </w:rPr>
        <w:t xml:space="preserve">, Tome II: </w:t>
      </w:r>
      <w:proofErr w:type="spellStart"/>
      <w:r w:rsidRPr="009D7635">
        <w:rPr>
          <w:rFonts w:ascii="Times New Roman" w:hAnsi="Times New Roman" w:cs="Times New Roman"/>
          <w:i/>
          <w:color w:val="000000" w:themeColor="text1"/>
        </w:rPr>
        <w:t>Siger</w:t>
      </w:r>
      <w:proofErr w:type="spellEnd"/>
      <w:r w:rsidRPr="009D7635">
        <w:rPr>
          <w:rFonts w:ascii="Times New Roman" w:hAnsi="Times New Roman" w:cs="Times New Roman"/>
          <w:i/>
          <w:color w:val="000000" w:themeColor="text1"/>
        </w:rPr>
        <w:t xml:space="preserve"> dans </w:t>
      </w:r>
      <w:proofErr w:type="spellStart"/>
      <w:r w:rsidRPr="009D7635">
        <w:rPr>
          <w:rFonts w:ascii="Times New Roman" w:hAnsi="Times New Roman" w:cs="Times New Roman"/>
          <w:i/>
          <w:color w:val="000000" w:themeColor="text1"/>
        </w:rPr>
        <w:t>l’histoire</w:t>
      </w:r>
      <w:proofErr w:type="spellEnd"/>
      <w:r w:rsidRPr="009D7635">
        <w:rPr>
          <w:rFonts w:ascii="Times New Roman" w:hAnsi="Times New Roman" w:cs="Times New Roman"/>
          <w:i/>
          <w:color w:val="000000" w:themeColor="text1"/>
        </w:rPr>
        <w:t xml:space="preserve"> de </w:t>
      </w:r>
      <w:proofErr w:type="spellStart"/>
      <w:r w:rsidRPr="009D7635">
        <w:rPr>
          <w:rFonts w:ascii="Times New Roman" w:hAnsi="Times New Roman" w:cs="Times New Roman"/>
          <w:i/>
          <w:color w:val="000000" w:themeColor="text1"/>
        </w:rPr>
        <w:t>l’aristotelésme</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Louvain</w:t>
      </w:r>
      <w:proofErr w:type="spellEnd"/>
      <w:r w:rsidRPr="009D7635">
        <w:rPr>
          <w:rFonts w:ascii="Times New Roman" w:hAnsi="Times New Roman" w:cs="Times New Roman"/>
          <w:color w:val="000000" w:themeColor="text1"/>
        </w:rPr>
        <w:t xml:space="preserve">, Editions de </w:t>
      </w:r>
      <w:proofErr w:type="spellStart"/>
      <w:r w:rsidRPr="009D7635">
        <w:rPr>
          <w:rFonts w:ascii="Times New Roman" w:hAnsi="Times New Roman" w:cs="Times New Roman"/>
          <w:color w:val="000000" w:themeColor="text1"/>
        </w:rPr>
        <w:t>l’Institut</w:t>
      </w:r>
      <w:proofErr w:type="spellEnd"/>
      <w:r w:rsidRPr="009D7635">
        <w:rPr>
          <w:rFonts w:ascii="Times New Roman" w:hAnsi="Times New Roman" w:cs="Times New Roman"/>
          <w:color w:val="000000" w:themeColor="text1"/>
        </w:rPr>
        <w:t xml:space="preserve"> </w:t>
      </w:r>
      <w:proofErr w:type="spellStart"/>
      <w:r w:rsidRPr="009D7635">
        <w:rPr>
          <w:rFonts w:ascii="Times New Roman" w:hAnsi="Times New Roman" w:cs="Times New Roman"/>
          <w:color w:val="000000" w:themeColor="text1"/>
        </w:rPr>
        <w:t>supérieur</w:t>
      </w:r>
      <w:proofErr w:type="spellEnd"/>
      <w:r w:rsidRPr="009D7635">
        <w:rPr>
          <w:rFonts w:ascii="Times New Roman" w:hAnsi="Times New Roman" w:cs="Times New Roman"/>
          <w:color w:val="000000" w:themeColor="text1"/>
        </w:rPr>
        <w:t xml:space="preserve"> de </w:t>
      </w:r>
      <w:proofErr w:type="spellStart"/>
      <w:r w:rsidRPr="009D7635">
        <w:rPr>
          <w:rFonts w:ascii="Times New Roman" w:hAnsi="Times New Roman" w:cs="Times New Roman"/>
          <w:color w:val="000000" w:themeColor="text1"/>
        </w:rPr>
        <w:t>Philosophie</w:t>
      </w:r>
      <w:proofErr w:type="spellEnd"/>
      <w:r w:rsidRPr="009D7635">
        <w:rPr>
          <w:rFonts w:ascii="Times New Roman" w:hAnsi="Times New Roman" w:cs="Times New Roman"/>
          <w:color w:val="000000" w:themeColor="text1"/>
        </w:rPr>
        <w:t>, 1942), 444.</w:t>
      </w:r>
    </w:p>
  </w:footnote>
  <w:footnote w:id="1268">
    <w:p w14:paraId="65BBB6B0" w14:textId="2CB7620E" w:rsidR="00A4329A" w:rsidRDefault="00A4329A">
      <w:pPr>
        <w:pStyle w:val="FootnoteText"/>
      </w:pPr>
      <w:r>
        <w:rPr>
          <w:rStyle w:val="FootnoteReference"/>
        </w:rPr>
        <w:footnoteRef/>
      </w:r>
      <w:r>
        <w:t xml:space="preserve"> For more on the Franciscan ethos referred to here, see </w:t>
      </w:r>
      <w:r w:rsidR="009D253B">
        <w:t xml:space="preserve">the chapter on ‘The Franciscan Context’ in </w:t>
      </w:r>
      <w:r>
        <w:t xml:space="preserve">Lydia Schumacher, </w:t>
      </w:r>
      <w:r w:rsidRPr="009D253B">
        <w:rPr>
          <w:i/>
          <w:iCs/>
        </w:rPr>
        <w:t xml:space="preserve">Authority and Innovation in Early </w:t>
      </w:r>
      <w:r w:rsidR="009D253B" w:rsidRPr="009D253B">
        <w:rPr>
          <w:i/>
          <w:iCs/>
        </w:rPr>
        <w:t>Franciscan Thought</w:t>
      </w:r>
      <w:r w:rsidR="009D253B">
        <w:t xml:space="preserve"> (Cambridge: Cambridge University Press,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8F0D" w14:textId="77777777" w:rsidR="00B93ED5" w:rsidRDefault="00B93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8590" w14:textId="77777777" w:rsidR="00B93ED5" w:rsidRDefault="00B93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D8ED" w14:textId="77777777" w:rsidR="00B93ED5" w:rsidRDefault="00B93E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0E01" w14:textId="77777777" w:rsidR="00B93ED5" w:rsidRDefault="00B93E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D48E" w14:textId="77777777" w:rsidR="00B93ED5" w:rsidRDefault="00B93E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8083" w14:textId="77777777" w:rsidR="00B93ED5" w:rsidRDefault="00B93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1AA"/>
    <w:multiLevelType w:val="hybridMultilevel"/>
    <w:tmpl w:val="5A90A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B3351"/>
    <w:multiLevelType w:val="hybridMultilevel"/>
    <w:tmpl w:val="83164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7428A"/>
    <w:multiLevelType w:val="hybridMultilevel"/>
    <w:tmpl w:val="C20C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B0FA8"/>
    <w:multiLevelType w:val="hybridMultilevel"/>
    <w:tmpl w:val="A8101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E7504"/>
    <w:multiLevelType w:val="hybridMultilevel"/>
    <w:tmpl w:val="01D20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45B34"/>
    <w:multiLevelType w:val="hybridMultilevel"/>
    <w:tmpl w:val="9C0AC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63DB3"/>
    <w:multiLevelType w:val="hybridMultilevel"/>
    <w:tmpl w:val="1D8E39E6"/>
    <w:lvl w:ilvl="0" w:tplc="A274E77C">
      <w:start w:val="1"/>
      <w:numFmt w:val="lowerLetter"/>
      <w:lvlText w:val="%1."/>
      <w:lvlJc w:val="left"/>
      <w:pPr>
        <w:ind w:left="1800" w:hanging="360"/>
      </w:pPr>
      <w:rPr>
        <w:rFonts w:ascii="Times New Roman" w:eastAsiaTheme="minorEastAsia"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A6142B"/>
    <w:multiLevelType w:val="multilevel"/>
    <w:tmpl w:val="0F301E0A"/>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B65048A"/>
    <w:multiLevelType w:val="hybridMultilevel"/>
    <w:tmpl w:val="E1D43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86368"/>
    <w:multiLevelType w:val="hybridMultilevel"/>
    <w:tmpl w:val="A9EEB61C"/>
    <w:lvl w:ilvl="0" w:tplc="E472AA0C">
      <w:start w:val="1"/>
      <w:numFmt w:val="decimal"/>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061D8"/>
    <w:multiLevelType w:val="hybridMultilevel"/>
    <w:tmpl w:val="AE3CD03A"/>
    <w:lvl w:ilvl="0" w:tplc="65E436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F86EE4"/>
    <w:multiLevelType w:val="hybridMultilevel"/>
    <w:tmpl w:val="C42A0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33E12"/>
    <w:multiLevelType w:val="hybridMultilevel"/>
    <w:tmpl w:val="CDE8C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E2853"/>
    <w:multiLevelType w:val="hybridMultilevel"/>
    <w:tmpl w:val="83EA0950"/>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B228AD"/>
    <w:multiLevelType w:val="hybridMultilevel"/>
    <w:tmpl w:val="3CCA9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396D8E"/>
    <w:multiLevelType w:val="hybridMultilevel"/>
    <w:tmpl w:val="2252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55870"/>
    <w:multiLevelType w:val="hybridMultilevel"/>
    <w:tmpl w:val="D39A3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008DF"/>
    <w:multiLevelType w:val="hybridMultilevel"/>
    <w:tmpl w:val="66E4C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B09AD"/>
    <w:multiLevelType w:val="hybridMultilevel"/>
    <w:tmpl w:val="B34258FE"/>
    <w:lvl w:ilvl="0" w:tplc="42AA017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9008B"/>
    <w:multiLevelType w:val="hybridMultilevel"/>
    <w:tmpl w:val="9D58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C626B"/>
    <w:multiLevelType w:val="hybridMultilevel"/>
    <w:tmpl w:val="3CCA9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14645"/>
    <w:multiLevelType w:val="hybridMultilevel"/>
    <w:tmpl w:val="96F22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95FA5"/>
    <w:multiLevelType w:val="hybridMultilevel"/>
    <w:tmpl w:val="6286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45F9B"/>
    <w:multiLevelType w:val="hybridMultilevel"/>
    <w:tmpl w:val="66765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B5914"/>
    <w:multiLevelType w:val="hybridMultilevel"/>
    <w:tmpl w:val="48B6BEE2"/>
    <w:lvl w:ilvl="0" w:tplc="ECA2A8A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1B4BF2"/>
    <w:multiLevelType w:val="hybridMultilevel"/>
    <w:tmpl w:val="96560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F2680"/>
    <w:multiLevelType w:val="hybridMultilevel"/>
    <w:tmpl w:val="C0F0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85421A"/>
    <w:multiLevelType w:val="hybridMultilevel"/>
    <w:tmpl w:val="0F301E0A"/>
    <w:lvl w:ilvl="0" w:tplc="70F4C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AC1257"/>
    <w:multiLevelType w:val="hybridMultilevel"/>
    <w:tmpl w:val="C1F2E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42509"/>
    <w:multiLevelType w:val="hybridMultilevel"/>
    <w:tmpl w:val="E5F8E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255D51"/>
    <w:multiLevelType w:val="hybridMultilevel"/>
    <w:tmpl w:val="524E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75DF4"/>
    <w:multiLevelType w:val="hybridMultilevel"/>
    <w:tmpl w:val="23082C5E"/>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8E40D1"/>
    <w:multiLevelType w:val="hybridMultilevel"/>
    <w:tmpl w:val="E26E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20"/>
  </w:num>
  <w:num w:numId="4">
    <w:abstractNumId w:val="27"/>
  </w:num>
  <w:num w:numId="5">
    <w:abstractNumId w:val="9"/>
  </w:num>
  <w:num w:numId="6">
    <w:abstractNumId w:val="6"/>
  </w:num>
  <w:num w:numId="7">
    <w:abstractNumId w:val="10"/>
  </w:num>
  <w:num w:numId="8">
    <w:abstractNumId w:val="12"/>
  </w:num>
  <w:num w:numId="9">
    <w:abstractNumId w:val="11"/>
  </w:num>
  <w:num w:numId="10">
    <w:abstractNumId w:val="23"/>
  </w:num>
  <w:num w:numId="11">
    <w:abstractNumId w:val="0"/>
  </w:num>
  <w:num w:numId="12">
    <w:abstractNumId w:val="19"/>
  </w:num>
  <w:num w:numId="13">
    <w:abstractNumId w:val="3"/>
  </w:num>
  <w:num w:numId="14">
    <w:abstractNumId w:val="21"/>
  </w:num>
  <w:num w:numId="15">
    <w:abstractNumId w:val="29"/>
  </w:num>
  <w:num w:numId="16">
    <w:abstractNumId w:val="32"/>
  </w:num>
  <w:num w:numId="17">
    <w:abstractNumId w:val="16"/>
  </w:num>
  <w:num w:numId="18">
    <w:abstractNumId w:val="25"/>
  </w:num>
  <w:num w:numId="19">
    <w:abstractNumId w:val="17"/>
  </w:num>
  <w:num w:numId="20">
    <w:abstractNumId w:val="15"/>
  </w:num>
  <w:num w:numId="21">
    <w:abstractNumId w:val="28"/>
  </w:num>
  <w:num w:numId="22">
    <w:abstractNumId w:val="8"/>
  </w:num>
  <w:num w:numId="23">
    <w:abstractNumId w:val="26"/>
  </w:num>
  <w:num w:numId="24">
    <w:abstractNumId w:val="2"/>
  </w:num>
  <w:num w:numId="25">
    <w:abstractNumId w:val="22"/>
  </w:num>
  <w:num w:numId="26">
    <w:abstractNumId w:val="1"/>
  </w:num>
  <w:num w:numId="27">
    <w:abstractNumId w:val="13"/>
  </w:num>
  <w:num w:numId="28">
    <w:abstractNumId w:val="5"/>
  </w:num>
  <w:num w:numId="29">
    <w:abstractNumId w:val="7"/>
  </w:num>
  <w:num w:numId="30">
    <w:abstractNumId w:val="31"/>
  </w:num>
  <w:num w:numId="31">
    <w:abstractNumId w:val="18"/>
  </w:num>
  <w:num w:numId="32">
    <w:abstractNumId w:val="2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51"/>
    <w:rsid w:val="000007FF"/>
    <w:rsid w:val="0000090A"/>
    <w:rsid w:val="00000FB8"/>
    <w:rsid w:val="00001701"/>
    <w:rsid w:val="00002082"/>
    <w:rsid w:val="0000212B"/>
    <w:rsid w:val="00002861"/>
    <w:rsid w:val="00002C4F"/>
    <w:rsid w:val="000031E1"/>
    <w:rsid w:val="000032E4"/>
    <w:rsid w:val="000033E7"/>
    <w:rsid w:val="000040E9"/>
    <w:rsid w:val="00004196"/>
    <w:rsid w:val="00004218"/>
    <w:rsid w:val="00004620"/>
    <w:rsid w:val="00004BD8"/>
    <w:rsid w:val="0000514D"/>
    <w:rsid w:val="0000537D"/>
    <w:rsid w:val="00005A78"/>
    <w:rsid w:val="000069AA"/>
    <w:rsid w:val="00006A8C"/>
    <w:rsid w:val="00006B1D"/>
    <w:rsid w:val="00006D4E"/>
    <w:rsid w:val="00006E12"/>
    <w:rsid w:val="000071D9"/>
    <w:rsid w:val="000071ED"/>
    <w:rsid w:val="00007507"/>
    <w:rsid w:val="00007F38"/>
    <w:rsid w:val="00010820"/>
    <w:rsid w:val="000111AF"/>
    <w:rsid w:val="00012071"/>
    <w:rsid w:val="0001211C"/>
    <w:rsid w:val="00012B95"/>
    <w:rsid w:val="00013496"/>
    <w:rsid w:val="000138D4"/>
    <w:rsid w:val="00013C30"/>
    <w:rsid w:val="00013D17"/>
    <w:rsid w:val="00014481"/>
    <w:rsid w:val="00014702"/>
    <w:rsid w:val="00014847"/>
    <w:rsid w:val="00014AEC"/>
    <w:rsid w:val="00014F31"/>
    <w:rsid w:val="000150B3"/>
    <w:rsid w:val="00015237"/>
    <w:rsid w:val="000154D1"/>
    <w:rsid w:val="000155B5"/>
    <w:rsid w:val="00015814"/>
    <w:rsid w:val="00016B89"/>
    <w:rsid w:val="0001743B"/>
    <w:rsid w:val="0001744B"/>
    <w:rsid w:val="00017489"/>
    <w:rsid w:val="00017997"/>
    <w:rsid w:val="00017A37"/>
    <w:rsid w:val="000208AF"/>
    <w:rsid w:val="00020912"/>
    <w:rsid w:val="00020B83"/>
    <w:rsid w:val="000211AA"/>
    <w:rsid w:val="00021389"/>
    <w:rsid w:val="00021ACE"/>
    <w:rsid w:val="00021B32"/>
    <w:rsid w:val="00021B3F"/>
    <w:rsid w:val="00021B97"/>
    <w:rsid w:val="00021FFE"/>
    <w:rsid w:val="0002291B"/>
    <w:rsid w:val="0002352C"/>
    <w:rsid w:val="00023A56"/>
    <w:rsid w:val="00023D72"/>
    <w:rsid w:val="00023DBC"/>
    <w:rsid w:val="00024594"/>
    <w:rsid w:val="00024F7C"/>
    <w:rsid w:val="00025325"/>
    <w:rsid w:val="000256E5"/>
    <w:rsid w:val="000258FA"/>
    <w:rsid w:val="00025CFC"/>
    <w:rsid w:val="00025E6D"/>
    <w:rsid w:val="00026190"/>
    <w:rsid w:val="000263DE"/>
    <w:rsid w:val="000264B3"/>
    <w:rsid w:val="00026527"/>
    <w:rsid w:val="000265E6"/>
    <w:rsid w:val="00026B13"/>
    <w:rsid w:val="00026B35"/>
    <w:rsid w:val="00026C20"/>
    <w:rsid w:val="00026E84"/>
    <w:rsid w:val="00027130"/>
    <w:rsid w:val="000271D3"/>
    <w:rsid w:val="00027255"/>
    <w:rsid w:val="00027651"/>
    <w:rsid w:val="00027798"/>
    <w:rsid w:val="000277D3"/>
    <w:rsid w:val="00027A4F"/>
    <w:rsid w:val="00027C34"/>
    <w:rsid w:val="00030011"/>
    <w:rsid w:val="000304E4"/>
    <w:rsid w:val="00030573"/>
    <w:rsid w:val="0003135B"/>
    <w:rsid w:val="00031510"/>
    <w:rsid w:val="00031A73"/>
    <w:rsid w:val="00032B63"/>
    <w:rsid w:val="0003323F"/>
    <w:rsid w:val="0003345D"/>
    <w:rsid w:val="000334A7"/>
    <w:rsid w:val="000338E6"/>
    <w:rsid w:val="00033ABD"/>
    <w:rsid w:val="00033FE9"/>
    <w:rsid w:val="000341CC"/>
    <w:rsid w:val="0003426C"/>
    <w:rsid w:val="00034DEF"/>
    <w:rsid w:val="000357A6"/>
    <w:rsid w:val="00035A08"/>
    <w:rsid w:val="000360BE"/>
    <w:rsid w:val="00036450"/>
    <w:rsid w:val="00036883"/>
    <w:rsid w:val="0003783C"/>
    <w:rsid w:val="00040053"/>
    <w:rsid w:val="000408B6"/>
    <w:rsid w:val="00040B3E"/>
    <w:rsid w:val="0004100B"/>
    <w:rsid w:val="00041350"/>
    <w:rsid w:val="000417A5"/>
    <w:rsid w:val="00041828"/>
    <w:rsid w:val="00042645"/>
    <w:rsid w:val="00042FAA"/>
    <w:rsid w:val="000431E4"/>
    <w:rsid w:val="00044526"/>
    <w:rsid w:val="00044A85"/>
    <w:rsid w:val="000457BA"/>
    <w:rsid w:val="00045843"/>
    <w:rsid w:val="0004669A"/>
    <w:rsid w:val="00046B05"/>
    <w:rsid w:val="00046F5C"/>
    <w:rsid w:val="000474D5"/>
    <w:rsid w:val="00047A48"/>
    <w:rsid w:val="00047C6D"/>
    <w:rsid w:val="000506B3"/>
    <w:rsid w:val="00051594"/>
    <w:rsid w:val="000515F2"/>
    <w:rsid w:val="00051805"/>
    <w:rsid w:val="00052483"/>
    <w:rsid w:val="000527D4"/>
    <w:rsid w:val="00053C11"/>
    <w:rsid w:val="00053D1C"/>
    <w:rsid w:val="00054A39"/>
    <w:rsid w:val="00054C79"/>
    <w:rsid w:val="00055319"/>
    <w:rsid w:val="0005552A"/>
    <w:rsid w:val="000556B1"/>
    <w:rsid w:val="000557D3"/>
    <w:rsid w:val="000559B8"/>
    <w:rsid w:val="0005676D"/>
    <w:rsid w:val="00056A45"/>
    <w:rsid w:val="00056C40"/>
    <w:rsid w:val="00056F18"/>
    <w:rsid w:val="000570AD"/>
    <w:rsid w:val="000576E2"/>
    <w:rsid w:val="0005770E"/>
    <w:rsid w:val="00057868"/>
    <w:rsid w:val="000578EF"/>
    <w:rsid w:val="00060B2A"/>
    <w:rsid w:val="00060B51"/>
    <w:rsid w:val="00061A9E"/>
    <w:rsid w:val="000625F2"/>
    <w:rsid w:val="00062FA4"/>
    <w:rsid w:val="000634E3"/>
    <w:rsid w:val="000635D0"/>
    <w:rsid w:val="00063905"/>
    <w:rsid w:val="00063E3E"/>
    <w:rsid w:val="00064574"/>
    <w:rsid w:val="00064667"/>
    <w:rsid w:val="000647B0"/>
    <w:rsid w:val="00064B89"/>
    <w:rsid w:val="00065504"/>
    <w:rsid w:val="000657BD"/>
    <w:rsid w:val="00065876"/>
    <w:rsid w:val="00065B94"/>
    <w:rsid w:val="00065D04"/>
    <w:rsid w:val="000660FC"/>
    <w:rsid w:val="00066477"/>
    <w:rsid w:val="00066518"/>
    <w:rsid w:val="00066B30"/>
    <w:rsid w:val="000672C5"/>
    <w:rsid w:val="00067B50"/>
    <w:rsid w:val="00067E88"/>
    <w:rsid w:val="00070103"/>
    <w:rsid w:val="00070266"/>
    <w:rsid w:val="00070270"/>
    <w:rsid w:val="00070317"/>
    <w:rsid w:val="00070814"/>
    <w:rsid w:val="0007088D"/>
    <w:rsid w:val="00070EDE"/>
    <w:rsid w:val="00070F08"/>
    <w:rsid w:val="0007195F"/>
    <w:rsid w:val="00071F74"/>
    <w:rsid w:val="00072810"/>
    <w:rsid w:val="0007293A"/>
    <w:rsid w:val="00072C46"/>
    <w:rsid w:val="00073307"/>
    <w:rsid w:val="00073A6D"/>
    <w:rsid w:val="00073B0D"/>
    <w:rsid w:val="00074713"/>
    <w:rsid w:val="00074C69"/>
    <w:rsid w:val="00075276"/>
    <w:rsid w:val="000756CD"/>
    <w:rsid w:val="0007587A"/>
    <w:rsid w:val="00075967"/>
    <w:rsid w:val="00075FE8"/>
    <w:rsid w:val="000760B0"/>
    <w:rsid w:val="0007623D"/>
    <w:rsid w:val="000769C8"/>
    <w:rsid w:val="00077636"/>
    <w:rsid w:val="00077F95"/>
    <w:rsid w:val="00077FE5"/>
    <w:rsid w:val="00080BD7"/>
    <w:rsid w:val="00080E08"/>
    <w:rsid w:val="000813A7"/>
    <w:rsid w:val="00081491"/>
    <w:rsid w:val="000820F6"/>
    <w:rsid w:val="0008266A"/>
    <w:rsid w:val="0008285B"/>
    <w:rsid w:val="00082891"/>
    <w:rsid w:val="00082C44"/>
    <w:rsid w:val="0008314F"/>
    <w:rsid w:val="000834A2"/>
    <w:rsid w:val="000839AF"/>
    <w:rsid w:val="000848D8"/>
    <w:rsid w:val="00084A62"/>
    <w:rsid w:val="00084CEB"/>
    <w:rsid w:val="00084ED6"/>
    <w:rsid w:val="0008517A"/>
    <w:rsid w:val="00085AB3"/>
    <w:rsid w:val="00085BBB"/>
    <w:rsid w:val="00085D82"/>
    <w:rsid w:val="00086404"/>
    <w:rsid w:val="000868EB"/>
    <w:rsid w:val="000871CF"/>
    <w:rsid w:val="000874F7"/>
    <w:rsid w:val="000900B0"/>
    <w:rsid w:val="00090108"/>
    <w:rsid w:val="000906BD"/>
    <w:rsid w:val="0009105B"/>
    <w:rsid w:val="00091290"/>
    <w:rsid w:val="000916E2"/>
    <w:rsid w:val="00091BAC"/>
    <w:rsid w:val="00091E5F"/>
    <w:rsid w:val="000920CF"/>
    <w:rsid w:val="00092424"/>
    <w:rsid w:val="00092A0D"/>
    <w:rsid w:val="00092C06"/>
    <w:rsid w:val="000939F5"/>
    <w:rsid w:val="00093B98"/>
    <w:rsid w:val="00094B73"/>
    <w:rsid w:val="00094FD9"/>
    <w:rsid w:val="00095168"/>
    <w:rsid w:val="00095556"/>
    <w:rsid w:val="0009565E"/>
    <w:rsid w:val="0009613F"/>
    <w:rsid w:val="00096259"/>
    <w:rsid w:val="00096AF5"/>
    <w:rsid w:val="00096B9F"/>
    <w:rsid w:val="00096CC8"/>
    <w:rsid w:val="000971C7"/>
    <w:rsid w:val="000976C6"/>
    <w:rsid w:val="0009778F"/>
    <w:rsid w:val="000A0781"/>
    <w:rsid w:val="000A1902"/>
    <w:rsid w:val="000A1C15"/>
    <w:rsid w:val="000A222A"/>
    <w:rsid w:val="000A3166"/>
    <w:rsid w:val="000A317E"/>
    <w:rsid w:val="000A343D"/>
    <w:rsid w:val="000A435B"/>
    <w:rsid w:val="000A4518"/>
    <w:rsid w:val="000A4596"/>
    <w:rsid w:val="000A4603"/>
    <w:rsid w:val="000A4849"/>
    <w:rsid w:val="000A4A0E"/>
    <w:rsid w:val="000A4AE3"/>
    <w:rsid w:val="000A527A"/>
    <w:rsid w:val="000A54AB"/>
    <w:rsid w:val="000A5850"/>
    <w:rsid w:val="000A5AB1"/>
    <w:rsid w:val="000A5B8B"/>
    <w:rsid w:val="000A619B"/>
    <w:rsid w:val="000A652B"/>
    <w:rsid w:val="000A66DB"/>
    <w:rsid w:val="000A6A7A"/>
    <w:rsid w:val="000A6B7E"/>
    <w:rsid w:val="000A6BF0"/>
    <w:rsid w:val="000A6F05"/>
    <w:rsid w:val="000A7260"/>
    <w:rsid w:val="000A73DF"/>
    <w:rsid w:val="000B00AD"/>
    <w:rsid w:val="000B0108"/>
    <w:rsid w:val="000B105F"/>
    <w:rsid w:val="000B1C13"/>
    <w:rsid w:val="000B221F"/>
    <w:rsid w:val="000B25BD"/>
    <w:rsid w:val="000B2632"/>
    <w:rsid w:val="000B2EB5"/>
    <w:rsid w:val="000B3181"/>
    <w:rsid w:val="000B3970"/>
    <w:rsid w:val="000B3DFF"/>
    <w:rsid w:val="000B4CA3"/>
    <w:rsid w:val="000B4E32"/>
    <w:rsid w:val="000B5101"/>
    <w:rsid w:val="000B5C40"/>
    <w:rsid w:val="000B5DC6"/>
    <w:rsid w:val="000B634A"/>
    <w:rsid w:val="000B6373"/>
    <w:rsid w:val="000B70FF"/>
    <w:rsid w:val="000B7386"/>
    <w:rsid w:val="000B7462"/>
    <w:rsid w:val="000B74D6"/>
    <w:rsid w:val="000B7B6C"/>
    <w:rsid w:val="000B7E8A"/>
    <w:rsid w:val="000B7F2C"/>
    <w:rsid w:val="000C0190"/>
    <w:rsid w:val="000C0B6D"/>
    <w:rsid w:val="000C0F8F"/>
    <w:rsid w:val="000C1363"/>
    <w:rsid w:val="000C14F0"/>
    <w:rsid w:val="000C1BE1"/>
    <w:rsid w:val="000C23B4"/>
    <w:rsid w:val="000C2729"/>
    <w:rsid w:val="000C285B"/>
    <w:rsid w:val="000C29AD"/>
    <w:rsid w:val="000C2A64"/>
    <w:rsid w:val="000C33EE"/>
    <w:rsid w:val="000C3574"/>
    <w:rsid w:val="000C36A9"/>
    <w:rsid w:val="000C393C"/>
    <w:rsid w:val="000C3B35"/>
    <w:rsid w:val="000C3C2A"/>
    <w:rsid w:val="000C3D78"/>
    <w:rsid w:val="000C47AD"/>
    <w:rsid w:val="000C544E"/>
    <w:rsid w:val="000C54B7"/>
    <w:rsid w:val="000C5695"/>
    <w:rsid w:val="000C59D5"/>
    <w:rsid w:val="000C5A14"/>
    <w:rsid w:val="000C5B95"/>
    <w:rsid w:val="000C6212"/>
    <w:rsid w:val="000C642A"/>
    <w:rsid w:val="000C6FF2"/>
    <w:rsid w:val="000C730B"/>
    <w:rsid w:val="000C77AD"/>
    <w:rsid w:val="000C7C17"/>
    <w:rsid w:val="000C7E82"/>
    <w:rsid w:val="000D0B23"/>
    <w:rsid w:val="000D0BF9"/>
    <w:rsid w:val="000D0F5B"/>
    <w:rsid w:val="000D1412"/>
    <w:rsid w:val="000D19C4"/>
    <w:rsid w:val="000D22C7"/>
    <w:rsid w:val="000D28E2"/>
    <w:rsid w:val="000D29B3"/>
    <w:rsid w:val="000D2DEE"/>
    <w:rsid w:val="000D2DF5"/>
    <w:rsid w:val="000D34E8"/>
    <w:rsid w:val="000D34F4"/>
    <w:rsid w:val="000D3647"/>
    <w:rsid w:val="000D37F2"/>
    <w:rsid w:val="000D3D92"/>
    <w:rsid w:val="000D438F"/>
    <w:rsid w:val="000D439F"/>
    <w:rsid w:val="000D440F"/>
    <w:rsid w:val="000D4708"/>
    <w:rsid w:val="000D485C"/>
    <w:rsid w:val="000D5639"/>
    <w:rsid w:val="000D5C84"/>
    <w:rsid w:val="000D5E83"/>
    <w:rsid w:val="000D6238"/>
    <w:rsid w:val="000D6EFE"/>
    <w:rsid w:val="000D6FFA"/>
    <w:rsid w:val="000D7542"/>
    <w:rsid w:val="000D76FB"/>
    <w:rsid w:val="000D777D"/>
    <w:rsid w:val="000D7E0E"/>
    <w:rsid w:val="000E017E"/>
    <w:rsid w:val="000E06D1"/>
    <w:rsid w:val="000E1011"/>
    <w:rsid w:val="000E10CF"/>
    <w:rsid w:val="000E1671"/>
    <w:rsid w:val="000E1820"/>
    <w:rsid w:val="000E1EB9"/>
    <w:rsid w:val="000E270A"/>
    <w:rsid w:val="000E2D8A"/>
    <w:rsid w:val="000E2DAE"/>
    <w:rsid w:val="000E40FD"/>
    <w:rsid w:val="000E412C"/>
    <w:rsid w:val="000E4161"/>
    <w:rsid w:val="000E4207"/>
    <w:rsid w:val="000E432D"/>
    <w:rsid w:val="000E4460"/>
    <w:rsid w:val="000E4EAA"/>
    <w:rsid w:val="000E4FB4"/>
    <w:rsid w:val="000E50AC"/>
    <w:rsid w:val="000E50B9"/>
    <w:rsid w:val="000E56C0"/>
    <w:rsid w:val="000E5917"/>
    <w:rsid w:val="000E5926"/>
    <w:rsid w:val="000E623D"/>
    <w:rsid w:val="000E6A39"/>
    <w:rsid w:val="000E6D03"/>
    <w:rsid w:val="000F0685"/>
    <w:rsid w:val="000F0792"/>
    <w:rsid w:val="000F0F18"/>
    <w:rsid w:val="000F0F2F"/>
    <w:rsid w:val="000F13B4"/>
    <w:rsid w:val="000F1DA7"/>
    <w:rsid w:val="000F1E33"/>
    <w:rsid w:val="000F2726"/>
    <w:rsid w:val="000F2A9D"/>
    <w:rsid w:val="000F305B"/>
    <w:rsid w:val="000F308B"/>
    <w:rsid w:val="000F349B"/>
    <w:rsid w:val="000F3805"/>
    <w:rsid w:val="000F3F00"/>
    <w:rsid w:val="000F411B"/>
    <w:rsid w:val="000F4471"/>
    <w:rsid w:val="000F45FC"/>
    <w:rsid w:val="000F4901"/>
    <w:rsid w:val="000F5581"/>
    <w:rsid w:val="000F5C5F"/>
    <w:rsid w:val="000F5DCC"/>
    <w:rsid w:val="000F655E"/>
    <w:rsid w:val="000F6905"/>
    <w:rsid w:val="000F6DD5"/>
    <w:rsid w:val="000F7517"/>
    <w:rsid w:val="000F7544"/>
    <w:rsid w:val="000F7716"/>
    <w:rsid w:val="000F7AC0"/>
    <w:rsid w:val="001003B8"/>
    <w:rsid w:val="001009AF"/>
    <w:rsid w:val="00100C47"/>
    <w:rsid w:val="00101404"/>
    <w:rsid w:val="00101A18"/>
    <w:rsid w:val="00101BEC"/>
    <w:rsid w:val="00101E91"/>
    <w:rsid w:val="00102093"/>
    <w:rsid w:val="001022CA"/>
    <w:rsid w:val="0010235D"/>
    <w:rsid w:val="00102454"/>
    <w:rsid w:val="0010259D"/>
    <w:rsid w:val="0010261E"/>
    <w:rsid w:val="00102D22"/>
    <w:rsid w:val="00103022"/>
    <w:rsid w:val="001032A9"/>
    <w:rsid w:val="001032B1"/>
    <w:rsid w:val="001034DB"/>
    <w:rsid w:val="001037DF"/>
    <w:rsid w:val="00103CBB"/>
    <w:rsid w:val="00103D4C"/>
    <w:rsid w:val="00104C11"/>
    <w:rsid w:val="00105212"/>
    <w:rsid w:val="00106551"/>
    <w:rsid w:val="001069F8"/>
    <w:rsid w:val="00106A7C"/>
    <w:rsid w:val="00107522"/>
    <w:rsid w:val="00107589"/>
    <w:rsid w:val="001075DA"/>
    <w:rsid w:val="001078CE"/>
    <w:rsid w:val="00107D20"/>
    <w:rsid w:val="00107E7F"/>
    <w:rsid w:val="001100B9"/>
    <w:rsid w:val="001100DD"/>
    <w:rsid w:val="001102AE"/>
    <w:rsid w:val="0011051C"/>
    <w:rsid w:val="00110DBE"/>
    <w:rsid w:val="00111771"/>
    <w:rsid w:val="00111893"/>
    <w:rsid w:val="00111A55"/>
    <w:rsid w:val="00112718"/>
    <w:rsid w:val="001130AC"/>
    <w:rsid w:val="0011322F"/>
    <w:rsid w:val="001139DA"/>
    <w:rsid w:val="001143ED"/>
    <w:rsid w:val="00114C24"/>
    <w:rsid w:val="00114E64"/>
    <w:rsid w:val="00114E8A"/>
    <w:rsid w:val="0011501E"/>
    <w:rsid w:val="0011506D"/>
    <w:rsid w:val="001155B7"/>
    <w:rsid w:val="001156A0"/>
    <w:rsid w:val="00115984"/>
    <w:rsid w:val="001165C8"/>
    <w:rsid w:val="001165D5"/>
    <w:rsid w:val="001168BE"/>
    <w:rsid w:val="00116978"/>
    <w:rsid w:val="00116A74"/>
    <w:rsid w:val="00116C88"/>
    <w:rsid w:val="00116D15"/>
    <w:rsid w:val="001171B3"/>
    <w:rsid w:val="00117873"/>
    <w:rsid w:val="001179C2"/>
    <w:rsid w:val="00117A2F"/>
    <w:rsid w:val="00117B38"/>
    <w:rsid w:val="00120DE7"/>
    <w:rsid w:val="0012112E"/>
    <w:rsid w:val="0012114D"/>
    <w:rsid w:val="00121CF5"/>
    <w:rsid w:val="00122046"/>
    <w:rsid w:val="00122336"/>
    <w:rsid w:val="001225C8"/>
    <w:rsid w:val="001227A7"/>
    <w:rsid w:val="00122A2A"/>
    <w:rsid w:val="00122A48"/>
    <w:rsid w:val="00122DD3"/>
    <w:rsid w:val="00122EC9"/>
    <w:rsid w:val="001238A4"/>
    <w:rsid w:val="00123F3B"/>
    <w:rsid w:val="00124111"/>
    <w:rsid w:val="001244A4"/>
    <w:rsid w:val="00124C95"/>
    <w:rsid w:val="00124D71"/>
    <w:rsid w:val="001256C4"/>
    <w:rsid w:val="00125C88"/>
    <w:rsid w:val="00125F44"/>
    <w:rsid w:val="00126125"/>
    <w:rsid w:val="00126447"/>
    <w:rsid w:val="00126598"/>
    <w:rsid w:val="001266FC"/>
    <w:rsid w:val="001272B8"/>
    <w:rsid w:val="00127AE0"/>
    <w:rsid w:val="00127B07"/>
    <w:rsid w:val="0013000E"/>
    <w:rsid w:val="00130060"/>
    <w:rsid w:val="001303A0"/>
    <w:rsid w:val="001310BC"/>
    <w:rsid w:val="00131B86"/>
    <w:rsid w:val="001324F5"/>
    <w:rsid w:val="001326B5"/>
    <w:rsid w:val="00132CA6"/>
    <w:rsid w:val="001335E5"/>
    <w:rsid w:val="0013375C"/>
    <w:rsid w:val="00133884"/>
    <w:rsid w:val="00133B64"/>
    <w:rsid w:val="00134248"/>
    <w:rsid w:val="001346B2"/>
    <w:rsid w:val="00134734"/>
    <w:rsid w:val="00134BD3"/>
    <w:rsid w:val="00134EF8"/>
    <w:rsid w:val="001351A8"/>
    <w:rsid w:val="0013533B"/>
    <w:rsid w:val="00135527"/>
    <w:rsid w:val="0013558B"/>
    <w:rsid w:val="0013582F"/>
    <w:rsid w:val="0013600C"/>
    <w:rsid w:val="00136C18"/>
    <w:rsid w:val="00137796"/>
    <w:rsid w:val="001379A2"/>
    <w:rsid w:val="0014001E"/>
    <w:rsid w:val="001403B0"/>
    <w:rsid w:val="001403DC"/>
    <w:rsid w:val="00140DB1"/>
    <w:rsid w:val="00140E2A"/>
    <w:rsid w:val="00141605"/>
    <w:rsid w:val="0014189F"/>
    <w:rsid w:val="001419AA"/>
    <w:rsid w:val="00141AC2"/>
    <w:rsid w:val="00141BB8"/>
    <w:rsid w:val="00142550"/>
    <w:rsid w:val="0014277A"/>
    <w:rsid w:val="001427C3"/>
    <w:rsid w:val="00142C7C"/>
    <w:rsid w:val="00143068"/>
    <w:rsid w:val="00143F95"/>
    <w:rsid w:val="001451CA"/>
    <w:rsid w:val="00145C58"/>
    <w:rsid w:val="00145D63"/>
    <w:rsid w:val="00145E4B"/>
    <w:rsid w:val="0014624A"/>
    <w:rsid w:val="00146503"/>
    <w:rsid w:val="001467F2"/>
    <w:rsid w:val="00146A40"/>
    <w:rsid w:val="00146AED"/>
    <w:rsid w:val="00147005"/>
    <w:rsid w:val="00147411"/>
    <w:rsid w:val="00147585"/>
    <w:rsid w:val="00147718"/>
    <w:rsid w:val="00147B7C"/>
    <w:rsid w:val="0015161B"/>
    <w:rsid w:val="0015170D"/>
    <w:rsid w:val="00151928"/>
    <w:rsid w:val="00151DA2"/>
    <w:rsid w:val="00151EED"/>
    <w:rsid w:val="001522CC"/>
    <w:rsid w:val="00152501"/>
    <w:rsid w:val="00154088"/>
    <w:rsid w:val="00154670"/>
    <w:rsid w:val="00154A10"/>
    <w:rsid w:val="00154BB8"/>
    <w:rsid w:val="00154CD2"/>
    <w:rsid w:val="00155199"/>
    <w:rsid w:val="0015560E"/>
    <w:rsid w:val="00155818"/>
    <w:rsid w:val="00155A68"/>
    <w:rsid w:val="00155D2F"/>
    <w:rsid w:val="00155DB5"/>
    <w:rsid w:val="0015687A"/>
    <w:rsid w:val="0015697C"/>
    <w:rsid w:val="00156A03"/>
    <w:rsid w:val="00156C0B"/>
    <w:rsid w:val="001579D2"/>
    <w:rsid w:val="00157E5A"/>
    <w:rsid w:val="00157F98"/>
    <w:rsid w:val="00160167"/>
    <w:rsid w:val="00160737"/>
    <w:rsid w:val="0016089B"/>
    <w:rsid w:val="00160B48"/>
    <w:rsid w:val="00160BC6"/>
    <w:rsid w:val="00160E49"/>
    <w:rsid w:val="001622F9"/>
    <w:rsid w:val="0016255D"/>
    <w:rsid w:val="001626CD"/>
    <w:rsid w:val="00162BAC"/>
    <w:rsid w:val="00162E3F"/>
    <w:rsid w:val="00163026"/>
    <w:rsid w:val="00163891"/>
    <w:rsid w:val="00163A88"/>
    <w:rsid w:val="0016443F"/>
    <w:rsid w:val="0016489A"/>
    <w:rsid w:val="00164B7A"/>
    <w:rsid w:val="001651DC"/>
    <w:rsid w:val="00165244"/>
    <w:rsid w:val="0016539A"/>
    <w:rsid w:val="001654B8"/>
    <w:rsid w:val="00165A0C"/>
    <w:rsid w:val="00165D69"/>
    <w:rsid w:val="00166154"/>
    <w:rsid w:val="00166526"/>
    <w:rsid w:val="00166823"/>
    <w:rsid w:val="00166B90"/>
    <w:rsid w:val="00166CFA"/>
    <w:rsid w:val="00166E1F"/>
    <w:rsid w:val="00167765"/>
    <w:rsid w:val="00170214"/>
    <w:rsid w:val="00170629"/>
    <w:rsid w:val="00171155"/>
    <w:rsid w:val="0017148A"/>
    <w:rsid w:val="001721D6"/>
    <w:rsid w:val="00172545"/>
    <w:rsid w:val="0017284A"/>
    <w:rsid w:val="00172CB5"/>
    <w:rsid w:val="00173055"/>
    <w:rsid w:val="00173057"/>
    <w:rsid w:val="00173401"/>
    <w:rsid w:val="0017395E"/>
    <w:rsid w:val="00173F67"/>
    <w:rsid w:val="001746F6"/>
    <w:rsid w:val="00175092"/>
    <w:rsid w:val="00175D7E"/>
    <w:rsid w:val="00175E81"/>
    <w:rsid w:val="00176246"/>
    <w:rsid w:val="001762A5"/>
    <w:rsid w:val="0017637E"/>
    <w:rsid w:val="00176D94"/>
    <w:rsid w:val="001773FB"/>
    <w:rsid w:val="00177421"/>
    <w:rsid w:val="00177484"/>
    <w:rsid w:val="00177FBD"/>
    <w:rsid w:val="0018015B"/>
    <w:rsid w:val="0018096F"/>
    <w:rsid w:val="00180C95"/>
    <w:rsid w:val="00181019"/>
    <w:rsid w:val="00181279"/>
    <w:rsid w:val="001812A1"/>
    <w:rsid w:val="001813FF"/>
    <w:rsid w:val="001817C5"/>
    <w:rsid w:val="00181E1B"/>
    <w:rsid w:val="00181E2E"/>
    <w:rsid w:val="00181F69"/>
    <w:rsid w:val="0018206F"/>
    <w:rsid w:val="00182DB5"/>
    <w:rsid w:val="0018310F"/>
    <w:rsid w:val="0018316E"/>
    <w:rsid w:val="0018468D"/>
    <w:rsid w:val="00184AB6"/>
    <w:rsid w:val="00184BC9"/>
    <w:rsid w:val="00185906"/>
    <w:rsid w:val="00185CF9"/>
    <w:rsid w:val="00185D63"/>
    <w:rsid w:val="00185DC4"/>
    <w:rsid w:val="001865B5"/>
    <w:rsid w:val="00186E3B"/>
    <w:rsid w:val="00187408"/>
    <w:rsid w:val="0018798E"/>
    <w:rsid w:val="0019082A"/>
    <w:rsid w:val="0019086F"/>
    <w:rsid w:val="00190CB1"/>
    <w:rsid w:val="00191178"/>
    <w:rsid w:val="00191A9F"/>
    <w:rsid w:val="00192543"/>
    <w:rsid w:val="00192E36"/>
    <w:rsid w:val="00192F56"/>
    <w:rsid w:val="00192F5D"/>
    <w:rsid w:val="001939A0"/>
    <w:rsid w:val="0019525D"/>
    <w:rsid w:val="00195C21"/>
    <w:rsid w:val="00196113"/>
    <w:rsid w:val="0019624D"/>
    <w:rsid w:val="00196BA6"/>
    <w:rsid w:val="00196D99"/>
    <w:rsid w:val="001972E1"/>
    <w:rsid w:val="0019744E"/>
    <w:rsid w:val="00197AAB"/>
    <w:rsid w:val="00197B73"/>
    <w:rsid w:val="00197E71"/>
    <w:rsid w:val="00197FB6"/>
    <w:rsid w:val="001A0231"/>
    <w:rsid w:val="001A0547"/>
    <w:rsid w:val="001A09E7"/>
    <w:rsid w:val="001A0A0B"/>
    <w:rsid w:val="001A0CAB"/>
    <w:rsid w:val="001A15C0"/>
    <w:rsid w:val="001A1D0B"/>
    <w:rsid w:val="001A1DFE"/>
    <w:rsid w:val="001A21B5"/>
    <w:rsid w:val="001A2487"/>
    <w:rsid w:val="001A32CB"/>
    <w:rsid w:val="001A3344"/>
    <w:rsid w:val="001A4367"/>
    <w:rsid w:val="001A4374"/>
    <w:rsid w:val="001A45F9"/>
    <w:rsid w:val="001A4A9A"/>
    <w:rsid w:val="001A50F4"/>
    <w:rsid w:val="001A5853"/>
    <w:rsid w:val="001A5AE8"/>
    <w:rsid w:val="001A61C2"/>
    <w:rsid w:val="001A698E"/>
    <w:rsid w:val="001A6BB0"/>
    <w:rsid w:val="001A72E3"/>
    <w:rsid w:val="001B01C2"/>
    <w:rsid w:val="001B0317"/>
    <w:rsid w:val="001B08C7"/>
    <w:rsid w:val="001B0E07"/>
    <w:rsid w:val="001B0EB1"/>
    <w:rsid w:val="001B1A3F"/>
    <w:rsid w:val="001B21C2"/>
    <w:rsid w:val="001B2650"/>
    <w:rsid w:val="001B2CDA"/>
    <w:rsid w:val="001B2F7F"/>
    <w:rsid w:val="001B30D6"/>
    <w:rsid w:val="001B31F7"/>
    <w:rsid w:val="001B3B9C"/>
    <w:rsid w:val="001B3E67"/>
    <w:rsid w:val="001B407A"/>
    <w:rsid w:val="001B40A0"/>
    <w:rsid w:val="001B4A22"/>
    <w:rsid w:val="001B4C89"/>
    <w:rsid w:val="001B520E"/>
    <w:rsid w:val="001B55FA"/>
    <w:rsid w:val="001B5BEF"/>
    <w:rsid w:val="001B5D65"/>
    <w:rsid w:val="001B5E07"/>
    <w:rsid w:val="001B5EE9"/>
    <w:rsid w:val="001B6E38"/>
    <w:rsid w:val="001B6F2F"/>
    <w:rsid w:val="001B714B"/>
    <w:rsid w:val="001B76F8"/>
    <w:rsid w:val="001B78EB"/>
    <w:rsid w:val="001B7C27"/>
    <w:rsid w:val="001B7F85"/>
    <w:rsid w:val="001C00FC"/>
    <w:rsid w:val="001C0975"/>
    <w:rsid w:val="001C1E1B"/>
    <w:rsid w:val="001C2B1A"/>
    <w:rsid w:val="001C3CD2"/>
    <w:rsid w:val="001C3F8B"/>
    <w:rsid w:val="001C4116"/>
    <w:rsid w:val="001C43F6"/>
    <w:rsid w:val="001C4562"/>
    <w:rsid w:val="001C4B07"/>
    <w:rsid w:val="001C4E97"/>
    <w:rsid w:val="001C534C"/>
    <w:rsid w:val="001C5683"/>
    <w:rsid w:val="001C5DB3"/>
    <w:rsid w:val="001C5FDE"/>
    <w:rsid w:val="001C60D3"/>
    <w:rsid w:val="001C62D5"/>
    <w:rsid w:val="001C687E"/>
    <w:rsid w:val="001C695D"/>
    <w:rsid w:val="001C69F6"/>
    <w:rsid w:val="001C757E"/>
    <w:rsid w:val="001C7595"/>
    <w:rsid w:val="001D0B1F"/>
    <w:rsid w:val="001D0B38"/>
    <w:rsid w:val="001D0FDD"/>
    <w:rsid w:val="001D1806"/>
    <w:rsid w:val="001D1BDF"/>
    <w:rsid w:val="001D2C05"/>
    <w:rsid w:val="001D2E45"/>
    <w:rsid w:val="001D344C"/>
    <w:rsid w:val="001D41E6"/>
    <w:rsid w:val="001D5382"/>
    <w:rsid w:val="001D5440"/>
    <w:rsid w:val="001D661E"/>
    <w:rsid w:val="001D6627"/>
    <w:rsid w:val="001D6AA3"/>
    <w:rsid w:val="001D6D1F"/>
    <w:rsid w:val="001D6ED9"/>
    <w:rsid w:val="001D7814"/>
    <w:rsid w:val="001E036C"/>
    <w:rsid w:val="001E0411"/>
    <w:rsid w:val="001E083B"/>
    <w:rsid w:val="001E087F"/>
    <w:rsid w:val="001E0EB8"/>
    <w:rsid w:val="001E1D57"/>
    <w:rsid w:val="001E25AA"/>
    <w:rsid w:val="001E25B4"/>
    <w:rsid w:val="001E2B51"/>
    <w:rsid w:val="001E2F53"/>
    <w:rsid w:val="001E3426"/>
    <w:rsid w:val="001E395D"/>
    <w:rsid w:val="001E4643"/>
    <w:rsid w:val="001E470F"/>
    <w:rsid w:val="001E472B"/>
    <w:rsid w:val="001E49B9"/>
    <w:rsid w:val="001E5A4B"/>
    <w:rsid w:val="001E5CD3"/>
    <w:rsid w:val="001E5DB4"/>
    <w:rsid w:val="001E6E79"/>
    <w:rsid w:val="001E6F20"/>
    <w:rsid w:val="001E6F54"/>
    <w:rsid w:val="001E77B5"/>
    <w:rsid w:val="001E79CB"/>
    <w:rsid w:val="001E79F9"/>
    <w:rsid w:val="001F0451"/>
    <w:rsid w:val="001F04F8"/>
    <w:rsid w:val="001F06F1"/>
    <w:rsid w:val="001F0998"/>
    <w:rsid w:val="001F0A21"/>
    <w:rsid w:val="001F18F2"/>
    <w:rsid w:val="001F2064"/>
    <w:rsid w:val="001F26CE"/>
    <w:rsid w:val="001F3286"/>
    <w:rsid w:val="001F3A42"/>
    <w:rsid w:val="001F3BAF"/>
    <w:rsid w:val="001F3E92"/>
    <w:rsid w:val="001F48DC"/>
    <w:rsid w:val="001F4D08"/>
    <w:rsid w:val="001F4E5D"/>
    <w:rsid w:val="001F4F4A"/>
    <w:rsid w:val="001F5485"/>
    <w:rsid w:val="001F6ABD"/>
    <w:rsid w:val="001F6C4A"/>
    <w:rsid w:val="001F6C78"/>
    <w:rsid w:val="001F7061"/>
    <w:rsid w:val="001F7416"/>
    <w:rsid w:val="001F794B"/>
    <w:rsid w:val="001F7F20"/>
    <w:rsid w:val="00200325"/>
    <w:rsid w:val="002004E7"/>
    <w:rsid w:val="002014C1"/>
    <w:rsid w:val="0020163A"/>
    <w:rsid w:val="00201CB6"/>
    <w:rsid w:val="002020DB"/>
    <w:rsid w:val="00202511"/>
    <w:rsid w:val="002025F5"/>
    <w:rsid w:val="00202711"/>
    <w:rsid w:val="00202C2B"/>
    <w:rsid w:val="002032C7"/>
    <w:rsid w:val="00203400"/>
    <w:rsid w:val="00203782"/>
    <w:rsid w:val="00203901"/>
    <w:rsid w:val="00203B6D"/>
    <w:rsid w:val="00203C21"/>
    <w:rsid w:val="00203CC1"/>
    <w:rsid w:val="00203D2F"/>
    <w:rsid w:val="0020448F"/>
    <w:rsid w:val="00205211"/>
    <w:rsid w:val="002052AB"/>
    <w:rsid w:val="002059DA"/>
    <w:rsid w:val="00205EF6"/>
    <w:rsid w:val="00205FC4"/>
    <w:rsid w:val="0020630F"/>
    <w:rsid w:val="0020634B"/>
    <w:rsid w:val="002065FD"/>
    <w:rsid w:val="00206B63"/>
    <w:rsid w:val="0020737B"/>
    <w:rsid w:val="0020739F"/>
    <w:rsid w:val="00207B34"/>
    <w:rsid w:val="002104D7"/>
    <w:rsid w:val="00210E7E"/>
    <w:rsid w:val="002118B0"/>
    <w:rsid w:val="00211C0C"/>
    <w:rsid w:val="00211C54"/>
    <w:rsid w:val="002120F6"/>
    <w:rsid w:val="002124B8"/>
    <w:rsid w:val="00212FAD"/>
    <w:rsid w:val="00213718"/>
    <w:rsid w:val="00213899"/>
    <w:rsid w:val="00213BC4"/>
    <w:rsid w:val="002143A5"/>
    <w:rsid w:val="00214B5C"/>
    <w:rsid w:val="00215870"/>
    <w:rsid w:val="00215C81"/>
    <w:rsid w:val="00215F15"/>
    <w:rsid w:val="00216029"/>
    <w:rsid w:val="00216D88"/>
    <w:rsid w:val="00216E18"/>
    <w:rsid w:val="002170D2"/>
    <w:rsid w:val="00217C03"/>
    <w:rsid w:val="00217D68"/>
    <w:rsid w:val="00217DA1"/>
    <w:rsid w:val="00220087"/>
    <w:rsid w:val="00220950"/>
    <w:rsid w:val="00220CCC"/>
    <w:rsid w:val="00221287"/>
    <w:rsid w:val="002217D2"/>
    <w:rsid w:val="00221921"/>
    <w:rsid w:val="00221A54"/>
    <w:rsid w:val="00221C89"/>
    <w:rsid w:val="00222004"/>
    <w:rsid w:val="002221C0"/>
    <w:rsid w:val="0022296A"/>
    <w:rsid w:val="00222D58"/>
    <w:rsid w:val="00222E6F"/>
    <w:rsid w:val="00223252"/>
    <w:rsid w:val="00223942"/>
    <w:rsid w:val="00223A9A"/>
    <w:rsid w:val="002243FB"/>
    <w:rsid w:val="00225098"/>
    <w:rsid w:val="00225169"/>
    <w:rsid w:val="00225BDB"/>
    <w:rsid w:val="00226063"/>
    <w:rsid w:val="002260BF"/>
    <w:rsid w:val="0022624A"/>
    <w:rsid w:val="0022645F"/>
    <w:rsid w:val="0022668F"/>
    <w:rsid w:val="00226D7A"/>
    <w:rsid w:val="00227547"/>
    <w:rsid w:val="0022756D"/>
    <w:rsid w:val="002279DC"/>
    <w:rsid w:val="00227DFA"/>
    <w:rsid w:val="00227FC8"/>
    <w:rsid w:val="00230267"/>
    <w:rsid w:val="002302A2"/>
    <w:rsid w:val="00230941"/>
    <w:rsid w:val="00230F47"/>
    <w:rsid w:val="00230FDB"/>
    <w:rsid w:val="002314E9"/>
    <w:rsid w:val="002324C6"/>
    <w:rsid w:val="00233048"/>
    <w:rsid w:val="0023491C"/>
    <w:rsid w:val="00234E5D"/>
    <w:rsid w:val="002354BB"/>
    <w:rsid w:val="00235C61"/>
    <w:rsid w:val="002364EA"/>
    <w:rsid w:val="002366A2"/>
    <w:rsid w:val="00236B61"/>
    <w:rsid w:val="002376B6"/>
    <w:rsid w:val="00237836"/>
    <w:rsid w:val="002378B2"/>
    <w:rsid w:val="00237D02"/>
    <w:rsid w:val="00237D05"/>
    <w:rsid w:val="002402D4"/>
    <w:rsid w:val="002404E9"/>
    <w:rsid w:val="00241828"/>
    <w:rsid w:val="00241981"/>
    <w:rsid w:val="00241F77"/>
    <w:rsid w:val="0024281C"/>
    <w:rsid w:val="00242B6A"/>
    <w:rsid w:val="002433A9"/>
    <w:rsid w:val="00243517"/>
    <w:rsid w:val="0024361D"/>
    <w:rsid w:val="002448A7"/>
    <w:rsid w:val="00244959"/>
    <w:rsid w:val="00244DCB"/>
    <w:rsid w:val="0024522F"/>
    <w:rsid w:val="00245769"/>
    <w:rsid w:val="0024602F"/>
    <w:rsid w:val="0024650B"/>
    <w:rsid w:val="00246810"/>
    <w:rsid w:val="00246D99"/>
    <w:rsid w:val="00247221"/>
    <w:rsid w:val="0024770F"/>
    <w:rsid w:val="002478EB"/>
    <w:rsid w:val="00247BEF"/>
    <w:rsid w:val="002501AF"/>
    <w:rsid w:val="0025023A"/>
    <w:rsid w:val="002506A9"/>
    <w:rsid w:val="00250C47"/>
    <w:rsid w:val="00251474"/>
    <w:rsid w:val="00251D33"/>
    <w:rsid w:val="00252A73"/>
    <w:rsid w:val="00253042"/>
    <w:rsid w:val="00253569"/>
    <w:rsid w:val="00253E02"/>
    <w:rsid w:val="0025401C"/>
    <w:rsid w:val="002542BC"/>
    <w:rsid w:val="00254494"/>
    <w:rsid w:val="0025465D"/>
    <w:rsid w:val="0025544B"/>
    <w:rsid w:val="00255546"/>
    <w:rsid w:val="00255BE2"/>
    <w:rsid w:val="00255F58"/>
    <w:rsid w:val="002566E7"/>
    <w:rsid w:val="00256868"/>
    <w:rsid w:val="0025789E"/>
    <w:rsid w:val="00257CED"/>
    <w:rsid w:val="002602BE"/>
    <w:rsid w:val="00260D2B"/>
    <w:rsid w:val="002615AA"/>
    <w:rsid w:val="00261D69"/>
    <w:rsid w:val="00262380"/>
    <w:rsid w:val="002625CB"/>
    <w:rsid w:val="002629D8"/>
    <w:rsid w:val="00262FB8"/>
    <w:rsid w:val="002633CF"/>
    <w:rsid w:val="002636E1"/>
    <w:rsid w:val="0026395C"/>
    <w:rsid w:val="00263E21"/>
    <w:rsid w:val="00263E69"/>
    <w:rsid w:val="00263EAB"/>
    <w:rsid w:val="0026426B"/>
    <w:rsid w:val="00264369"/>
    <w:rsid w:val="0026491C"/>
    <w:rsid w:val="00264CE6"/>
    <w:rsid w:val="0026533C"/>
    <w:rsid w:val="00265431"/>
    <w:rsid w:val="00266175"/>
    <w:rsid w:val="00266424"/>
    <w:rsid w:val="00266D28"/>
    <w:rsid w:val="00267086"/>
    <w:rsid w:val="002679AA"/>
    <w:rsid w:val="00270DA3"/>
    <w:rsid w:val="00271452"/>
    <w:rsid w:val="0027149C"/>
    <w:rsid w:val="00272A8E"/>
    <w:rsid w:val="002734FB"/>
    <w:rsid w:val="00273621"/>
    <w:rsid w:val="00273723"/>
    <w:rsid w:val="00273F09"/>
    <w:rsid w:val="0027436E"/>
    <w:rsid w:val="0027451A"/>
    <w:rsid w:val="00274D6D"/>
    <w:rsid w:val="00274FED"/>
    <w:rsid w:val="00275284"/>
    <w:rsid w:val="0027552F"/>
    <w:rsid w:val="002757E6"/>
    <w:rsid w:val="00275CE6"/>
    <w:rsid w:val="002762A4"/>
    <w:rsid w:val="00276872"/>
    <w:rsid w:val="00276B71"/>
    <w:rsid w:val="002772DF"/>
    <w:rsid w:val="002779AB"/>
    <w:rsid w:val="002809E9"/>
    <w:rsid w:val="00280A87"/>
    <w:rsid w:val="00280CB8"/>
    <w:rsid w:val="00280E98"/>
    <w:rsid w:val="002839DC"/>
    <w:rsid w:val="00283C25"/>
    <w:rsid w:val="00283C4A"/>
    <w:rsid w:val="00283F30"/>
    <w:rsid w:val="002844CF"/>
    <w:rsid w:val="002847B8"/>
    <w:rsid w:val="00284B1E"/>
    <w:rsid w:val="00284BA3"/>
    <w:rsid w:val="00285426"/>
    <w:rsid w:val="00285F39"/>
    <w:rsid w:val="00286570"/>
    <w:rsid w:val="00286652"/>
    <w:rsid w:val="002877AD"/>
    <w:rsid w:val="00287884"/>
    <w:rsid w:val="00290257"/>
    <w:rsid w:val="00290802"/>
    <w:rsid w:val="002908DE"/>
    <w:rsid w:val="00291502"/>
    <w:rsid w:val="0029153C"/>
    <w:rsid w:val="002917D2"/>
    <w:rsid w:val="00291CF8"/>
    <w:rsid w:val="00292EA8"/>
    <w:rsid w:val="00292FC9"/>
    <w:rsid w:val="00293556"/>
    <w:rsid w:val="00293977"/>
    <w:rsid w:val="00293C36"/>
    <w:rsid w:val="00294191"/>
    <w:rsid w:val="0029443F"/>
    <w:rsid w:val="002947AC"/>
    <w:rsid w:val="002951D2"/>
    <w:rsid w:val="002955C2"/>
    <w:rsid w:val="0029573A"/>
    <w:rsid w:val="0029645F"/>
    <w:rsid w:val="002968CD"/>
    <w:rsid w:val="00296CC7"/>
    <w:rsid w:val="0029702C"/>
    <w:rsid w:val="0029716C"/>
    <w:rsid w:val="002A0045"/>
    <w:rsid w:val="002A085E"/>
    <w:rsid w:val="002A08FC"/>
    <w:rsid w:val="002A221B"/>
    <w:rsid w:val="002A22A9"/>
    <w:rsid w:val="002A2643"/>
    <w:rsid w:val="002A27F4"/>
    <w:rsid w:val="002A2DA3"/>
    <w:rsid w:val="002A2DD5"/>
    <w:rsid w:val="002A354B"/>
    <w:rsid w:val="002A38D7"/>
    <w:rsid w:val="002A4302"/>
    <w:rsid w:val="002A4326"/>
    <w:rsid w:val="002A44AE"/>
    <w:rsid w:val="002A5298"/>
    <w:rsid w:val="002A5505"/>
    <w:rsid w:val="002A574D"/>
    <w:rsid w:val="002A57D8"/>
    <w:rsid w:val="002A5823"/>
    <w:rsid w:val="002A58BF"/>
    <w:rsid w:val="002A5D45"/>
    <w:rsid w:val="002A68C8"/>
    <w:rsid w:val="002A68F8"/>
    <w:rsid w:val="002A6FA7"/>
    <w:rsid w:val="002A7B74"/>
    <w:rsid w:val="002A7BC9"/>
    <w:rsid w:val="002A7BDA"/>
    <w:rsid w:val="002A7CBD"/>
    <w:rsid w:val="002A7E46"/>
    <w:rsid w:val="002B056B"/>
    <w:rsid w:val="002B087C"/>
    <w:rsid w:val="002B1599"/>
    <w:rsid w:val="002B223F"/>
    <w:rsid w:val="002B2328"/>
    <w:rsid w:val="002B28EF"/>
    <w:rsid w:val="002B2BE6"/>
    <w:rsid w:val="002B2C94"/>
    <w:rsid w:val="002B2E14"/>
    <w:rsid w:val="002B37CF"/>
    <w:rsid w:val="002B52B8"/>
    <w:rsid w:val="002B5D62"/>
    <w:rsid w:val="002B60D2"/>
    <w:rsid w:val="002B6ED8"/>
    <w:rsid w:val="002B7054"/>
    <w:rsid w:val="002B7096"/>
    <w:rsid w:val="002B7168"/>
    <w:rsid w:val="002B7292"/>
    <w:rsid w:val="002B72B9"/>
    <w:rsid w:val="002B72F3"/>
    <w:rsid w:val="002C06C8"/>
    <w:rsid w:val="002C0B62"/>
    <w:rsid w:val="002C0D5C"/>
    <w:rsid w:val="002C1083"/>
    <w:rsid w:val="002C10D8"/>
    <w:rsid w:val="002C14D4"/>
    <w:rsid w:val="002C17B1"/>
    <w:rsid w:val="002C1906"/>
    <w:rsid w:val="002C1A6A"/>
    <w:rsid w:val="002C21B5"/>
    <w:rsid w:val="002C2382"/>
    <w:rsid w:val="002C271F"/>
    <w:rsid w:val="002C300F"/>
    <w:rsid w:val="002C31D4"/>
    <w:rsid w:val="002C3249"/>
    <w:rsid w:val="002C3454"/>
    <w:rsid w:val="002C36A4"/>
    <w:rsid w:val="002C3714"/>
    <w:rsid w:val="002C415C"/>
    <w:rsid w:val="002C4402"/>
    <w:rsid w:val="002C4C78"/>
    <w:rsid w:val="002C4CC7"/>
    <w:rsid w:val="002C563C"/>
    <w:rsid w:val="002C5829"/>
    <w:rsid w:val="002C59C5"/>
    <w:rsid w:val="002C6252"/>
    <w:rsid w:val="002C69B5"/>
    <w:rsid w:val="002C69B6"/>
    <w:rsid w:val="002C69C3"/>
    <w:rsid w:val="002C6F60"/>
    <w:rsid w:val="002C7A29"/>
    <w:rsid w:val="002C7C06"/>
    <w:rsid w:val="002D0DEF"/>
    <w:rsid w:val="002D1507"/>
    <w:rsid w:val="002D18FF"/>
    <w:rsid w:val="002D1A96"/>
    <w:rsid w:val="002D2187"/>
    <w:rsid w:val="002D2327"/>
    <w:rsid w:val="002D2360"/>
    <w:rsid w:val="002D250E"/>
    <w:rsid w:val="002D2B02"/>
    <w:rsid w:val="002D303F"/>
    <w:rsid w:val="002D30B3"/>
    <w:rsid w:val="002D36B7"/>
    <w:rsid w:val="002D3BBE"/>
    <w:rsid w:val="002D48D7"/>
    <w:rsid w:val="002D49B8"/>
    <w:rsid w:val="002D5814"/>
    <w:rsid w:val="002D5B8F"/>
    <w:rsid w:val="002D5E71"/>
    <w:rsid w:val="002D5F1B"/>
    <w:rsid w:val="002D6B41"/>
    <w:rsid w:val="002D76AF"/>
    <w:rsid w:val="002D7706"/>
    <w:rsid w:val="002D7967"/>
    <w:rsid w:val="002D7D89"/>
    <w:rsid w:val="002D7ED2"/>
    <w:rsid w:val="002E0D00"/>
    <w:rsid w:val="002E0D83"/>
    <w:rsid w:val="002E0EB6"/>
    <w:rsid w:val="002E0F5B"/>
    <w:rsid w:val="002E10D0"/>
    <w:rsid w:val="002E1519"/>
    <w:rsid w:val="002E1D6E"/>
    <w:rsid w:val="002E2712"/>
    <w:rsid w:val="002E2DC9"/>
    <w:rsid w:val="002E31D0"/>
    <w:rsid w:val="002E3274"/>
    <w:rsid w:val="002E331E"/>
    <w:rsid w:val="002E33F1"/>
    <w:rsid w:val="002E35BA"/>
    <w:rsid w:val="002E37AB"/>
    <w:rsid w:val="002E3CFE"/>
    <w:rsid w:val="002E3DB5"/>
    <w:rsid w:val="002E40FE"/>
    <w:rsid w:val="002E41FB"/>
    <w:rsid w:val="002E46A6"/>
    <w:rsid w:val="002E4824"/>
    <w:rsid w:val="002E4B22"/>
    <w:rsid w:val="002E4F8B"/>
    <w:rsid w:val="002E5280"/>
    <w:rsid w:val="002E53C2"/>
    <w:rsid w:val="002E5B62"/>
    <w:rsid w:val="002E5D4E"/>
    <w:rsid w:val="002E6246"/>
    <w:rsid w:val="002E6DDE"/>
    <w:rsid w:val="002E7139"/>
    <w:rsid w:val="002E7F5A"/>
    <w:rsid w:val="002F0843"/>
    <w:rsid w:val="002F0B9F"/>
    <w:rsid w:val="002F0C39"/>
    <w:rsid w:val="002F0C50"/>
    <w:rsid w:val="002F16A3"/>
    <w:rsid w:val="002F1AAE"/>
    <w:rsid w:val="002F1DCB"/>
    <w:rsid w:val="002F1FED"/>
    <w:rsid w:val="002F250D"/>
    <w:rsid w:val="002F265A"/>
    <w:rsid w:val="002F26DE"/>
    <w:rsid w:val="002F281F"/>
    <w:rsid w:val="002F2BEE"/>
    <w:rsid w:val="002F2D6E"/>
    <w:rsid w:val="002F32A5"/>
    <w:rsid w:val="002F4054"/>
    <w:rsid w:val="002F42AC"/>
    <w:rsid w:val="002F4438"/>
    <w:rsid w:val="002F471D"/>
    <w:rsid w:val="002F474C"/>
    <w:rsid w:val="002F512A"/>
    <w:rsid w:val="002F5841"/>
    <w:rsid w:val="002F5C72"/>
    <w:rsid w:val="002F5CD4"/>
    <w:rsid w:val="002F6786"/>
    <w:rsid w:val="002F7461"/>
    <w:rsid w:val="002F7722"/>
    <w:rsid w:val="002F7922"/>
    <w:rsid w:val="003000FB"/>
    <w:rsid w:val="00300C77"/>
    <w:rsid w:val="00300FF0"/>
    <w:rsid w:val="003022CC"/>
    <w:rsid w:val="003023AD"/>
    <w:rsid w:val="0030245A"/>
    <w:rsid w:val="00303076"/>
    <w:rsid w:val="003035E5"/>
    <w:rsid w:val="00303938"/>
    <w:rsid w:val="00304DEA"/>
    <w:rsid w:val="00305694"/>
    <w:rsid w:val="003056CB"/>
    <w:rsid w:val="0030594B"/>
    <w:rsid w:val="00305A9E"/>
    <w:rsid w:val="00305B0C"/>
    <w:rsid w:val="00306364"/>
    <w:rsid w:val="0030648B"/>
    <w:rsid w:val="003064AB"/>
    <w:rsid w:val="00306BA1"/>
    <w:rsid w:val="00306E4A"/>
    <w:rsid w:val="00306EC5"/>
    <w:rsid w:val="003070BA"/>
    <w:rsid w:val="003075C9"/>
    <w:rsid w:val="0030797E"/>
    <w:rsid w:val="00310708"/>
    <w:rsid w:val="0031075A"/>
    <w:rsid w:val="00310C71"/>
    <w:rsid w:val="0031120D"/>
    <w:rsid w:val="00311EC2"/>
    <w:rsid w:val="00312481"/>
    <w:rsid w:val="00312A9E"/>
    <w:rsid w:val="00312AA6"/>
    <w:rsid w:val="003132A4"/>
    <w:rsid w:val="00313932"/>
    <w:rsid w:val="00314385"/>
    <w:rsid w:val="003146D8"/>
    <w:rsid w:val="003147BF"/>
    <w:rsid w:val="00314ADC"/>
    <w:rsid w:val="00314C49"/>
    <w:rsid w:val="00314E90"/>
    <w:rsid w:val="003153BA"/>
    <w:rsid w:val="00315F7C"/>
    <w:rsid w:val="00315FC4"/>
    <w:rsid w:val="00316EA1"/>
    <w:rsid w:val="003171F7"/>
    <w:rsid w:val="003179CE"/>
    <w:rsid w:val="00317C18"/>
    <w:rsid w:val="00320338"/>
    <w:rsid w:val="003206E6"/>
    <w:rsid w:val="003208CD"/>
    <w:rsid w:val="00321FDD"/>
    <w:rsid w:val="00322081"/>
    <w:rsid w:val="0032260E"/>
    <w:rsid w:val="00323C68"/>
    <w:rsid w:val="00324087"/>
    <w:rsid w:val="0032421B"/>
    <w:rsid w:val="00325407"/>
    <w:rsid w:val="00325FED"/>
    <w:rsid w:val="00326954"/>
    <w:rsid w:val="00326EBD"/>
    <w:rsid w:val="00327C9B"/>
    <w:rsid w:val="00327D02"/>
    <w:rsid w:val="00327FB8"/>
    <w:rsid w:val="00330AAC"/>
    <w:rsid w:val="00330F70"/>
    <w:rsid w:val="003314FE"/>
    <w:rsid w:val="00331961"/>
    <w:rsid w:val="00331B2B"/>
    <w:rsid w:val="00331B3C"/>
    <w:rsid w:val="00331CA0"/>
    <w:rsid w:val="00331DB3"/>
    <w:rsid w:val="00331DB8"/>
    <w:rsid w:val="003323D8"/>
    <w:rsid w:val="003323EA"/>
    <w:rsid w:val="0033267C"/>
    <w:rsid w:val="0033273C"/>
    <w:rsid w:val="00332AE2"/>
    <w:rsid w:val="003330A9"/>
    <w:rsid w:val="003335B2"/>
    <w:rsid w:val="00333617"/>
    <w:rsid w:val="00333B26"/>
    <w:rsid w:val="00333F5D"/>
    <w:rsid w:val="003346D1"/>
    <w:rsid w:val="003349EB"/>
    <w:rsid w:val="00334C08"/>
    <w:rsid w:val="00334C7D"/>
    <w:rsid w:val="00335205"/>
    <w:rsid w:val="00335B4D"/>
    <w:rsid w:val="00336469"/>
    <w:rsid w:val="003367B7"/>
    <w:rsid w:val="00336BD3"/>
    <w:rsid w:val="00336C98"/>
    <w:rsid w:val="00336FF9"/>
    <w:rsid w:val="003370F0"/>
    <w:rsid w:val="003371DC"/>
    <w:rsid w:val="00337546"/>
    <w:rsid w:val="003376B6"/>
    <w:rsid w:val="003377FA"/>
    <w:rsid w:val="00337A65"/>
    <w:rsid w:val="00337E22"/>
    <w:rsid w:val="00337E8C"/>
    <w:rsid w:val="003405D0"/>
    <w:rsid w:val="00340CB0"/>
    <w:rsid w:val="00340D28"/>
    <w:rsid w:val="003411FC"/>
    <w:rsid w:val="00342353"/>
    <w:rsid w:val="00342C8B"/>
    <w:rsid w:val="00342C9F"/>
    <w:rsid w:val="003432C9"/>
    <w:rsid w:val="00343EBD"/>
    <w:rsid w:val="00344290"/>
    <w:rsid w:val="003442CA"/>
    <w:rsid w:val="00344600"/>
    <w:rsid w:val="0034486D"/>
    <w:rsid w:val="00344A30"/>
    <w:rsid w:val="00345494"/>
    <w:rsid w:val="00345495"/>
    <w:rsid w:val="0034598E"/>
    <w:rsid w:val="00345CB0"/>
    <w:rsid w:val="00345FF4"/>
    <w:rsid w:val="0034613F"/>
    <w:rsid w:val="00346D16"/>
    <w:rsid w:val="00347798"/>
    <w:rsid w:val="00347CF7"/>
    <w:rsid w:val="003504AD"/>
    <w:rsid w:val="00350EA3"/>
    <w:rsid w:val="003510AD"/>
    <w:rsid w:val="003513AF"/>
    <w:rsid w:val="0035195F"/>
    <w:rsid w:val="00351E5A"/>
    <w:rsid w:val="00351FE4"/>
    <w:rsid w:val="0035201A"/>
    <w:rsid w:val="003521EC"/>
    <w:rsid w:val="003523A3"/>
    <w:rsid w:val="003524AA"/>
    <w:rsid w:val="00352873"/>
    <w:rsid w:val="00353510"/>
    <w:rsid w:val="00353837"/>
    <w:rsid w:val="00353B1D"/>
    <w:rsid w:val="0035419E"/>
    <w:rsid w:val="003548A2"/>
    <w:rsid w:val="0035494F"/>
    <w:rsid w:val="003549B6"/>
    <w:rsid w:val="003549B7"/>
    <w:rsid w:val="00354A61"/>
    <w:rsid w:val="00354D9E"/>
    <w:rsid w:val="00355155"/>
    <w:rsid w:val="00355343"/>
    <w:rsid w:val="003555FB"/>
    <w:rsid w:val="00355764"/>
    <w:rsid w:val="00356159"/>
    <w:rsid w:val="0035686C"/>
    <w:rsid w:val="00356F97"/>
    <w:rsid w:val="003600C0"/>
    <w:rsid w:val="0036061F"/>
    <w:rsid w:val="00360D80"/>
    <w:rsid w:val="003610EC"/>
    <w:rsid w:val="0036123C"/>
    <w:rsid w:val="00361C20"/>
    <w:rsid w:val="00361EB4"/>
    <w:rsid w:val="00362482"/>
    <w:rsid w:val="00362D3E"/>
    <w:rsid w:val="003632DE"/>
    <w:rsid w:val="00363391"/>
    <w:rsid w:val="003646D4"/>
    <w:rsid w:val="00364DE0"/>
    <w:rsid w:val="0036572E"/>
    <w:rsid w:val="003657CA"/>
    <w:rsid w:val="00365BBB"/>
    <w:rsid w:val="003661B6"/>
    <w:rsid w:val="00366201"/>
    <w:rsid w:val="00366264"/>
    <w:rsid w:val="003662A8"/>
    <w:rsid w:val="003666FC"/>
    <w:rsid w:val="003676CB"/>
    <w:rsid w:val="00367846"/>
    <w:rsid w:val="00367B84"/>
    <w:rsid w:val="00367F86"/>
    <w:rsid w:val="0037000E"/>
    <w:rsid w:val="00370157"/>
    <w:rsid w:val="00370295"/>
    <w:rsid w:val="00370B8D"/>
    <w:rsid w:val="00370D25"/>
    <w:rsid w:val="00371929"/>
    <w:rsid w:val="00372164"/>
    <w:rsid w:val="00372175"/>
    <w:rsid w:val="00372628"/>
    <w:rsid w:val="00372701"/>
    <w:rsid w:val="0037378A"/>
    <w:rsid w:val="003737EF"/>
    <w:rsid w:val="003737F5"/>
    <w:rsid w:val="003738AE"/>
    <w:rsid w:val="0037445A"/>
    <w:rsid w:val="003746E8"/>
    <w:rsid w:val="00374BDE"/>
    <w:rsid w:val="00374C07"/>
    <w:rsid w:val="003754B5"/>
    <w:rsid w:val="003756BE"/>
    <w:rsid w:val="003759E0"/>
    <w:rsid w:val="00375FB6"/>
    <w:rsid w:val="003763B8"/>
    <w:rsid w:val="003801E5"/>
    <w:rsid w:val="00380202"/>
    <w:rsid w:val="0038021C"/>
    <w:rsid w:val="003804E0"/>
    <w:rsid w:val="003806EC"/>
    <w:rsid w:val="0038072C"/>
    <w:rsid w:val="0038083B"/>
    <w:rsid w:val="003808E7"/>
    <w:rsid w:val="00380A5E"/>
    <w:rsid w:val="003817F2"/>
    <w:rsid w:val="0038203B"/>
    <w:rsid w:val="00382CA6"/>
    <w:rsid w:val="00382DC5"/>
    <w:rsid w:val="00383861"/>
    <w:rsid w:val="00383CCC"/>
    <w:rsid w:val="00384982"/>
    <w:rsid w:val="00384C82"/>
    <w:rsid w:val="003852B0"/>
    <w:rsid w:val="00385747"/>
    <w:rsid w:val="0038574E"/>
    <w:rsid w:val="00385ECA"/>
    <w:rsid w:val="00386A6F"/>
    <w:rsid w:val="00386CDB"/>
    <w:rsid w:val="00386CF0"/>
    <w:rsid w:val="003877BA"/>
    <w:rsid w:val="00387AA5"/>
    <w:rsid w:val="00387AB2"/>
    <w:rsid w:val="00390094"/>
    <w:rsid w:val="00390216"/>
    <w:rsid w:val="003902A1"/>
    <w:rsid w:val="00390325"/>
    <w:rsid w:val="00390F72"/>
    <w:rsid w:val="0039112E"/>
    <w:rsid w:val="0039163A"/>
    <w:rsid w:val="00391B39"/>
    <w:rsid w:val="00391D25"/>
    <w:rsid w:val="00392018"/>
    <w:rsid w:val="0039273C"/>
    <w:rsid w:val="003938A7"/>
    <w:rsid w:val="00393DF4"/>
    <w:rsid w:val="00394247"/>
    <w:rsid w:val="0039425C"/>
    <w:rsid w:val="00394389"/>
    <w:rsid w:val="003943A4"/>
    <w:rsid w:val="003944EB"/>
    <w:rsid w:val="00394EED"/>
    <w:rsid w:val="00395015"/>
    <w:rsid w:val="003950E2"/>
    <w:rsid w:val="0039601F"/>
    <w:rsid w:val="00396664"/>
    <w:rsid w:val="00396AC6"/>
    <w:rsid w:val="00396DEE"/>
    <w:rsid w:val="0039709F"/>
    <w:rsid w:val="00397178"/>
    <w:rsid w:val="00397D44"/>
    <w:rsid w:val="00397D4D"/>
    <w:rsid w:val="003A00BC"/>
    <w:rsid w:val="003A0273"/>
    <w:rsid w:val="003A04ED"/>
    <w:rsid w:val="003A0F07"/>
    <w:rsid w:val="003A1048"/>
    <w:rsid w:val="003A106C"/>
    <w:rsid w:val="003A11A6"/>
    <w:rsid w:val="003A1D13"/>
    <w:rsid w:val="003A2188"/>
    <w:rsid w:val="003A239E"/>
    <w:rsid w:val="003A2688"/>
    <w:rsid w:val="003A2AB2"/>
    <w:rsid w:val="003A30BB"/>
    <w:rsid w:val="003A30DA"/>
    <w:rsid w:val="003A3580"/>
    <w:rsid w:val="003A3660"/>
    <w:rsid w:val="003A3885"/>
    <w:rsid w:val="003A559B"/>
    <w:rsid w:val="003A56BA"/>
    <w:rsid w:val="003A5A46"/>
    <w:rsid w:val="003A5D20"/>
    <w:rsid w:val="003A6054"/>
    <w:rsid w:val="003A646A"/>
    <w:rsid w:val="003A6AF4"/>
    <w:rsid w:val="003A6BEB"/>
    <w:rsid w:val="003A7671"/>
    <w:rsid w:val="003A7986"/>
    <w:rsid w:val="003A79E5"/>
    <w:rsid w:val="003A7CFA"/>
    <w:rsid w:val="003B0062"/>
    <w:rsid w:val="003B03C4"/>
    <w:rsid w:val="003B050E"/>
    <w:rsid w:val="003B0738"/>
    <w:rsid w:val="003B0990"/>
    <w:rsid w:val="003B179D"/>
    <w:rsid w:val="003B18BE"/>
    <w:rsid w:val="003B1C82"/>
    <w:rsid w:val="003B26CE"/>
    <w:rsid w:val="003B3143"/>
    <w:rsid w:val="003B35D7"/>
    <w:rsid w:val="003B36B6"/>
    <w:rsid w:val="003B3B73"/>
    <w:rsid w:val="003B3E73"/>
    <w:rsid w:val="003B3F5B"/>
    <w:rsid w:val="003B4EBD"/>
    <w:rsid w:val="003B4F15"/>
    <w:rsid w:val="003B539F"/>
    <w:rsid w:val="003B58EE"/>
    <w:rsid w:val="003B5C4D"/>
    <w:rsid w:val="003B5F0C"/>
    <w:rsid w:val="003B658D"/>
    <w:rsid w:val="003B6C8C"/>
    <w:rsid w:val="003B6D90"/>
    <w:rsid w:val="003B7262"/>
    <w:rsid w:val="003B7428"/>
    <w:rsid w:val="003B75CF"/>
    <w:rsid w:val="003B7683"/>
    <w:rsid w:val="003C090E"/>
    <w:rsid w:val="003C0CEB"/>
    <w:rsid w:val="003C0DF6"/>
    <w:rsid w:val="003C0ED9"/>
    <w:rsid w:val="003C1C0A"/>
    <w:rsid w:val="003C1C8E"/>
    <w:rsid w:val="003C1E6F"/>
    <w:rsid w:val="003C2726"/>
    <w:rsid w:val="003C2CC0"/>
    <w:rsid w:val="003C2F43"/>
    <w:rsid w:val="003C3237"/>
    <w:rsid w:val="003C4076"/>
    <w:rsid w:val="003C47A5"/>
    <w:rsid w:val="003C4C05"/>
    <w:rsid w:val="003C51E2"/>
    <w:rsid w:val="003C560F"/>
    <w:rsid w:val="003C5828"/>
    <w:rsid w:val="003C5FD0"/>
    <w:rsid w:val="003C610A"/>
    <w:rsid w:val="003C6375"/>
    <w:rsid w:val="003C68E2"/>
    <w:rsid w:val="003C6B87"/>
    <w:rsid w:val="003C6CAE"/>
    <w:rsid w:val="003C6DB1"/>
    <w:rsid w:val="003C7295"/>
    <w:rsid w:val="003C7348"/>
    <w:rsid w:val="003C7E18"/>
    <w:rsid w:val="003D0604"/>
    <w:rsid w:val="003D06EF"/>
    <w:rsid w:val="003D07A9"/>
    <w:rsid w:val="003D126F"/>
    <w:rsid w:val="003D175D"/>
    <w:rsid w:val="003D196C"/>
    <w:rsid w:val="003D1A16"/>
    <w:rsid w:val="003D1C65"/>
    <w:rsid w:val="003D1E58"/>
    <w:rsid w:val="003D20EC"/>
    <w:rsid w:val="003D2A2B"/>
    <w:rsid w:val="003D2BF4"/>
    <w:rsid w:val="003D2E6B"/>
    <w:rsid w:val="003D3064"/>
    <w:rsid w:val="003D30D5"/>
    <w:rsid w:val="003D40BD"/>
    <w:rsid w:val="003D418C"/>
    <w:rsid w:val="003D4604"/>
    <w:rsid w:val="003D4A78"/>
    <w:rsid w:val="003D5178"/>
    <w:rsid w:val="003D5688"/>
    <w:rsid w:val="003D58B3"/>
    <w:rsid w:val="003D5D40"/>
    <w:rsid w:val="003D6110"/>
    <w:rsid w:val="003D6F0E"/>
    <w:rsid w:val="003D70CB"/>
    <w:rsid w:val="003D7265"/>
    <w:rsid w:val="003D7948"/>
    <w:rsid w:val="003D7BBC"/>
    <w:rsid w:val="003E00FA"/>
    <w:rsid w:val="003E0353"/>
    <w:rsid w:val="003E23FD"/>
    <w:rsid w:val="003E2B1D"/>
    <w:rsid w:val="003E38C6"/>
    <w:rsid w:val="003E3D8B"/>
    <w:rsid w:val="003E41AA"/>
    <w:rsid w:val="003E4593"/>
    <w:rsid w:val="003E4CA6"/>
    <w:rsid w:val="003E4F26"/>
    <w:rsid w:val="003E50FC"/>
    <w:rsid w:val="003E5215"/>
    <w:rsid w:val="003E55CE"/>
    <w:rsid w:val="003E5CFA"/>
    <w:rsid w:val="003E5D7F"/>
    <w:rsid w:val="003E6199"/>
    <w:rsid w:val="003E63EF"/>
    <w:rsid w:val="003E6754"/>
    <w:rsid w:val="003E6BB7"/>
    <w:rsid w:val="003E7312"/>
    <w:rsid w:val="003F017D"/>
    <w:rsid w:val="003F057C"/>
    <w:rsid w:val="003F094C"/>
    <w:rsid w:val="003F0A4B"/>
    <w:rsid w:val="003F0D5A"/>
    <w:rsid w:val="003F0D8B"/>
    <w:rsid w:val="003F0FBB"/>
    <w:rsid w:val="003F1587"/>
    <w:rsid w:val="003F2367"/>
    <w:rsid w:val="003F2404"/>
    <w:rsid w:val="003F255B"/>
    <w:rsid w:val="003F29CA"/>
    <w:rsid w:val="003F2F55"/>
    <w:rsid w:val="003F3D1B"/>
    <w:rsid w:val="003F5076"/>
    <w:rsid w:val="003F50BF"/>
    <w:rsid w:val="003F59F9"/>
    <w:rsid w:val="003F5A8E"/>
    <w:rsid w:val="003F62D2"/>
    <w:rsid w:val="003F6A29"/>
    <w:rsid w:val="003F6D34"/>
    <w:rsid w:val="003F6D76"/>
    <w:rsid w:val="003F6E64"/>
    <w:rsid w:val="003F7338"/>
    <w:rsid w:val="003F7550"/>
    <w:rsid w:val="003F7FCF"/>
    <w:rsid w:val="00400812"/>
    <w:rsid w:val="004008E6"/>
    <w:rsid w:val="00400ABF"/>
    <w:rsid w:val="00400C3A"/>
    <w:rsid w:val="00400E05"/>
    <w:rsid w:val="00400F39"/>
    <w:rsid w:val="004018D8"/>
    <w:rsid w:val="00401D4B"/>
    <w:rsid w:val="00402255"/>
    <w:rsid w:val="0040227A"/>
    <w:rsid w:val="00402616"/>
    <w:rsid w:val="00402728"/>
    <w:rsid w:val="00402A57"/>
    <w:rsid w:val="00402F25"/>
    <w:rsid w:val="00402F7F"/>
    <w:rsid w:val="00403293"/>
    <w:rsid w:val="0040353D"/>
    <w:rsid w:val="00403A9D"/>
    <w:rsid w:val="00403CB3"/>
    <w:rsid w:val="00403DCE"/>
    <w:rsid w:val="004041B6"/>
    <w:rsid w:val="0040455B"/>
    <w:rsid w:val="004049B3"/>
    <w:rsid w:val="00404ADB"/>
    <w:rsid w:val="0040509F"/>
    <w:rsid w:val="004050A8"/>
    <w:rsid w:val="00405810"/>
    <w:rsid w:val="00405945"/>
    <w:rsid w:val="00405A3A"/>
    <w:rsid w:val="00405F9E"/>
    <w:rsid w:val="0040612C"/>
    <w:rsid w:val="004069FF"/>
    <w:rsid w:val="00406FD7"/>
    <w:rsid w:val="004076AA"/>
    <w:rsid w:val="0040775C"/>
    <w:rsid w:val="00407EA0"/>
    <w:rsid w:val="00410163"/>
    <w:rsid w:val="00410519"/>
    <w:rsid w:val="00410841"/>
    <w:rsid w:val="00410AA2"/>
    <w:rsid w:val="00410B06"/>
    <w:rsid w:val="004122A3"/>
    <w:rsid w:val="004122A4"/>
    <w:rsid w:val="0041264D"/>
    <w:rsid w:val="0041267B"/>
    <w:rsid w:val="00412B85"/>
    <w:rsid w:val="00412D99"/>
    <w:rsid w:val="00412F6D"/>
    <w:rsid w:val="00412FFA"/>
    <w:rsid w:val="004130BF"/>
    <w:rsid w:val="00413383"/>
    <w:rsid w:val="004140A6"/>
    <w:rsid w:val="0041424D"/>
    <w:rsid w:val="004142A0"/>
    <w:rsid w:val="00414919"/>
    <w:rsid w:val="00414D69"/>
    <w:rsid w:val="00414E14"/>
    <w:rsid w:val="00414F7E"/>
    <w:rsid w:val="0041511D"/>
    <w:rsid w:val="004154BF"/>
    <w:rsid w:val="00415A3A"/>
    <w:rsid w:val="00415AD3"/>
    <w:rsid w:val="0041630B"/>
    <w:rsid w:val="00416C0D"/>
    <w:rsid w:val="00416E22"/>
    <w:rsid w:val="0041758F"/>
    <w:rsid w:val="0042016C"/>
    <w:rsid w:val="00420448"/>
    <w:rsid w:val="00420828"/>
    <w:rsid w:val="004209FC"/>
    <w:rsid w:val="00420B18"/>
    <w:rsid w:val="0042130A"/>
    <w:rsid w:val="0042156E"/>
    <w:rsid w:val="004215D3"/>
    <w:rsid w:val="00421D5A"/>
    <w:rsid w:val="00421DE6"/>
    <w:rsid w:val="00421EEF"/>
    <w:rsid w:val="00421F4C"/>
    <w:rsid w:val="00422838"/>
    <w:rsid w:val="004228E6"/>
    <w:rsid w:val="00423265"/>
    <w:rsid w:val="004232B5"/>
    <w:rsid w:val="004233A6"/>
    <w:rsid w:val="00423AAE"/>
    <w:rsid w:val="0042409F"/>
    <w:rsid w:val="004242F2"/>
    <w:rsid w:val="00424438"/>
    <w:rsid w:val="004246AE"/>
    <w:rsid w:val="00424B3E"/>
    <w:rsid w:val="00424C9C"/>
    <w:rsid w:val="00425388"/>
    <w:rsid w:val="0042552C"/>
    <w:rsid w:val="0042572B"/>
    <w:rsid w:val="00425B5D"/>
    <w:rsid w:val="00425BC2"/>
    <w:rsid w:val="00425FFC"/>
    <w:rsid w:val="004262B7"/>
    <w:rsid w:val="0042634B"/>
    <w:rsid w:val="00426351"/>
    <w:rsid w:val="00426AE3"/>
    <w:rsid w:val="0042734E"/>
    <w:rsid w:val="00427372"/>
    <w:rsid w:val="0042746A"/>
    <w:rsid w:val="00430B89"/>
    <w:rsid w:val="00430D3A"/>
    <w:rsid w:val="00431173"/>
    <w:rsid w:val="0043122D"/>
    <w:rsid w:val="00431656"/>
    <w:rsid w:val="004318DB"/>
    <w:rsid w:val="00431AF7"/>
    <w:rsid w:val="004321C6"/>
    <w:rsid w:val="004323CF"/>
    <w:rsid w:val="00432489"/>
    <w:rsid w:val="00432609"/>
    <w:rsid w:val="00432D7C"/>
    <w:rsid w:val="0043396F"/>
    <w:rsid w:val="00433E66"/>
    <w:rsid w:val="0043511C"/>
    <w:rsid w:val="0043530E"/>
    <w:rsid w:val="00435C0D"/>
    <w:rsid w:val="0043618E"/>
    <w:rsid w:val="004361BB"/>
    <w:rsid w:val="004364CA"/>
    <w:rsid w:val="0043667C"/>
    <w:rsid w:val="00436A9F"/>
    <w:rsid w:val="00436C1E"/>
    <w:rsid w:val="004372BC"/>
    <w:rsid w:val="004376C5"/>
    <w:rsid w:val="00437725"/>
    <w:rsid w:val="00440470"/>
    <w:rsid w:val="00440923"/>
    <w:rsid w:val="0044156B"/>
    <w:rsid w:val="00441883"/>
    <w:rsid w:val="00441891"/>
    <w:rsid w:val="00441D4A"/>
    <w:rsid w:val="00441F9C"/>
    <w:rsid w:val="00442FAB"/>
    <w:rsid w:val="00443584"/>
    <w:rsid w:val="00443CFB"/>
    <w:rsid w:val="00444643"/>
    <w:rsid w:val="00444D16"/>
    <w:rsid w:val="0044563B"/>
    <w:rsid w:val="00445C4F"/>
    <w:rsid w:val="00445C8E"/>
    <w:rsid w:val="0044673C"/>
    <w:rsid w:val="00447300"/>
    <w:rsid w:val="0045067B"/>
    <w:rsid w:val="004506C3"/>
    <w:rsid w:val="00450BC6"/>
    <w:rsid w:val="00450CC5"/>
    <w:rsid w:val="00450DD8"/>
    <w:rsid w:val="00450DFB"/>
    <w:rsid w:val="00451342"/>
    <w:rsid w:val="00451471"/>
    <w:rsid w:val="00451696"/>
    <w:rsid w:val="00451791"/>
    <w:rsid w:val="00451930"/>
    <w:rsid w:val="004519DE"/>
    <w:rsid w:val="00451C34"/>
    <w:rsid w:val="00451FB5"/>
    <w:rsid w:val="004525FB"/>
    <w:rsid w:val="004526F4"/>
    <w:rsid w:val="00452788"/>
    <w:rsid w:val="004528B8"/>
    <w:rsid w:val="00452913"/>
    <w:rsid w:val="00452964"/>
    <w:rsid w:val="00452A81"/>
    <w:rsid w:val="00452F7F"/>
    <w:rsid w:val="0045324D"/>
    <w:rsid w:val="00453566"/>
    <w:rsid w:val="00453A6E"/>
    <w:rsid w:val="00453F76"/>
    <w:rsid w:val="0045408C"/>
    <w:rsid w:val="00454285"/>
    <w:rsid w:val="00454514"/>
    <w:rsid w:val="0045451B"/>
    <w:rsid w:val="00454E52"/>
    <w:rsid w:val="00454F1B"/>
    <w:rsid w:val="0045500E"/>
    <w:rsid w:val="004550B9"/>
    <w:rsid w:val="004552C5"/>
    <w:rsid w:val="004553A3"/>
    <w:rsid w:val="00455736"/>
    <w:rsid w:val="004561DC"/>
    <w:rsid w:val="0045631D"/>
    <w:rsid w:val="004568AB"/>
    <w:rsid w:val="00456E37"/>
    <w:rsid w:val="004570EC"/>
    <w:rsid w:val="00457821"/>
    <w:rsid w:val="00457E9A"/>
    <w:rsid w:val="004600F4"/>
    <w:rsid w:val="00460102"/>
    <w:rsid w:val="004607A0"/>
    <w:rsid w:val="0046093B"/>
    <w:rsid w:val="00460B62"/>
    <w:rsid w:val="00460CB5"/>
    <w:rsid w:val="00460F02"/>
    <w:rsid w:val="00460F2C"/>
    <w:rsid w:val="0046192D"/>
    <w:rsid w:val="00461B34"/>
    <w:rsid w:val="00461C60"/>
    <w:rsid w:val="00461F9F"/>
    <w:rsid w:val="0046205C"/>
    <w:rsid w:val="00462EB4"/>
    <w:rsid w:val="00463636"/>
    <w:rsid w:val="004641D2"/>
    <w:rsid w:val="004642B4"/>
    <w:rsid w:val="004655D0"/>
    <w:rsid w:val="0046572C"/>
    <w:rsid w:val="00465EE2"/>
    <w:rsid w:val="00466287"/>
    <w:rsid w:val="00466716"/>
    <w:rsid w:val="0046674A"/>
    <w:rsid w:val="004669DB"/>
    <w:rsid w:val="00466B4F"/>
    <w:rsid w:val="00466EDC"/>
    <w:rsid w:val="00467951"/>
    <w:rsid w:val="00470474"/>
    <w:rsid w:val="00471313"/>
    <w:rsid w:val="004713F0"/>
    <w:rsid w:val="00471462"/>
    <w:rsid w:val="0047168E"/>
    <w:rsid w:val="004721EE"/>
    <w:rsid w:val="004727AE"/>
    <w:rsid w:val="00472E57"/>
    <w:rsid w:val="0047381E"/>
    <w:rsid w:val="004738FD"/>
    <w:rsid w:val="00473ED9"/>
    <w:rsid w:val="004746EC"/>
    <w:rsid w:val="0047530F"/>
    <w:rsid w:val="0047593B"/>
    <w:rsid w:val="00475C88"/>
    <w:rsid w:val="00475CF8"/>
    <w:rsid w:val="00475DB5"/>
    <w:rsid w:val="00476EE4"/>
    <w:rsid w:val="00477711"/>
    <w:rsid w:val="00477D8D"/>
    <w:rsid w:val="00477F61"/>
    <w:rsid w:val="0048009F"/>
    <w:rsid w:val="004809B3"/>
    <w:rsid w:val="00480F77"/>
    <w:rsid w:val="00480F84"/>
    <w:rsid w:val="0048148F"/>
    <w:rsid w:val="00481554"/>
    <w:rsid w:val="00481906"/>
    <w:rsid w:val="00481D3B"/>
    <w:rsid w:val="00481F20"/>
    <w:rsid w:val="0048308B"/>
    <w:rsid w:val="004833A9"/>
    <w:rsid w:val="00483689"/>
    <w:rsid w:val="00483CAD"/>
    <w:rsid w:val="00483CB0"/>
    <w:rsid w:val="00483FE4"/>
    <w:rsid w:val="00484E29"/>
    <w:rsid w:val="0048535A"/>
    <w:rsid w:val="004853AC"/>
    <w:rsid w:val="00485540"/>
    <w:rsid w:val="0048576A"/>
    <w:rsid w:val="00485808"/>
    <w:rsid w:val="00485D21"/>
    <w:rsid w:val="00486105"/>
    <w:rsid w:val="00486772"/>
    <w:rsid w:val="00486780"/>
    <w:rsid w:val="004868B3"/>
    <w:rsid w:val="004869C9"/>
    <w:rsid w:val="00486D5C"/>
    <w:rsid w:val="00486FF3"/>
    <w:rsid w:val="004871A8"/>
    <w:rsid w:val="004873AE"/>
    <w:rsid w:val="004874CE"/>
    <w:rsid w:val="00487519"/>
    <w:rsid w:val="004903AE"/>
    <w:rsid w:val="004903C3"/>
    <w:rsid w:val="00490CFA"/>
    <w:rsid w:val="00491835"/>
    <w:rsid w:val="00492281"/>
    <w:rsid w:val="00492D9B"/>
    <w:rsid w:val="00493341"/>
    <w:rsid w:val="004936CF"/>
    <w:rsid w:val="00493773"/>
    <w:rsid w:val="00493884"/>
    <w:rsid w:val="0049453C"/>
    <w:rsid w:val="00494596"/>
    <w:rsid w:val="00494A46"/>
    <w:rsid w:val="00494BEF"/>
    <w:rsid w:val="00494C81"/>
    <w:rsid w:val="00494F5F"/>
    <w:rsid w:val="00495A04"/>
    <w:rsid w:val="00496A3E"/>
    <w:rsid w:val="00496C69"/>
    <w:rsid w:val="00496EAB"/>
    <w:rsid w:val="00496F3F"/>
    <w:rsid w:val="00497526"/>
    <w:rsid w:val="00497649"/>
    <w:rsid w:val="00497B5A"/>
    <w:rsid w:val="00497BEC"/>
    <w:rsid w:val="00497CA2"/>
    <w:rsid w:val="004A034B"/>
    <w:rsid w:val="004A0BA7"/>
    <w:rsid w:val="004A129B"/>
    <w:rsid w:val="004A1985"/>
    <w:rsid w:val="004A1A0A"/>
    <w:rsid w:val="004A23AF"/>
    <w:rsid w:val="004A259D"/>
    <w:rsid w:val="004A28EA"/>
    <w:rsid w:val="004A2A6B"/>
    <w:rsid w:val="004A2A6F"/>
    <w:rsid w:val="004A34AE"/>
    <w:rsid w:val="004A39CD"/>
    <w:rsid w:val="004A4100"/>
    <w:rsid w:val="004A46DC"/>
    <w:rsid w:val="004A4A73"/>
    <w:rsid w:val="004A4C5B"/>
    <w:rsid w:val="004A5018"/>
    <w:rsid w:val="004A5188"/>
    <w:rsid w:val="004A55DE"/>
    <w:rsid w:val="004A584D"/>
    <w:rsid w:val="004A5BD6"/>
    <w:rsid w:val="004A602D"/>
    <w:rsid w:val="004A63AB"/>
    <w:rsid w:val="004A67DA"/>
    <w:rsid w:val="004A6B0F"/>
    <w:rsid w:val="004A6D20"/>
    <w:rsid w:val="004A702B"/>
    <w:rsid w:val="004A7111"/>
    <w:rsid w:val="004A7205"/>
    <w:rsid w:val="004A7524"/>
    <w:rsid w:val="004A776B"/>
    <w:rsid w:val="004A7ACF"/>
    <w:rsid w:val="004B0365"/>
    <w:rsid w:val="004B0836"/>
    <w:rsid w:val="004B1157"/>
    <w:rsid w:val="004B12E3"/>
    <w:rsid w:val="004B1603"/>
    <w:rsid w:val="004B17ED"/>
    <w:rsid w:val="004B1958"/>
    <w:rsid w:val="004B198B"/>
    <w:rsid w:val="004B1B48"/>
    <w:rsid w:val="004B1B88"/>
    <w:rsid w:val="004B1D25"/>
    <w:rsid w:val="004B2271"/>
    <w:rsid w:val="004B2668"/>
    <w:rsid w:val="004B270E"/>
    <w:rsid w:val="004B2D63"/>
    <w:rsid w:val="004B3607"/>
    <w:rsid w:val="004B3E7E"/>
    <w:rsid w:val="004B418C"/>
    <w:rsid w:val="004B4196"/>
    <w:rsid w:val="004B44E0"/>
    <w:rsid w:val="004B4776"/>
    <w:rsid w:val="004B4E00"/>
    <w:rsid w:val="004B5537"/>
    <w:rsid w:val="004B57B1"/>
    <w:rsid w:val="004B5E12"/>
    <w:rsid w:val="004B600F"/>
    <w:rsid w:val="004B635C"/>
    <w:rsid w:val="004B6441"/>
    <w:rsid w:val="004B6573"/>
    <w:rsid w:val="004B6EE5"/>
    <w:rsid w:val="004B7771"/>
    <w:rsid w:val="004B7AA1"/>
    <w:rsid w:val="004B7E10"/>
    <w:rsid w:val="004C02C8"/>
    <w:rsid w:val="004C03FC"/>
    <w:rsid w:val="004C0674"/>
    <w:rsid w:val="004C11DE"/>
    <w:rsid w:val="004C18A5"/>
    <w:rsid w:val="004C1CD7"/>
    <w:rsid w:val="004C2DCC"/>
    <w:rsid w:val="004C2E7D"/>
    <w:rsid w:val="004C3A20"/>
    <w:rsid w:val="004C3AB5"/>
    <w:rsid w:val="004C455B"/>
    <w:rsid w:val="004C4746"/>
    <w:rsid w:val="004C4B0B"/>
    <w:rsid w:val="004C4D33"/>
    <w:rsid w:val="004C4EC4"/>
    <w:rsid w:val="004C53F0"/>
    <w:rsid w:val="004C55AF"/>
    <w:rsid w:val="004C56A8"/>
    <w:rsid w:val="004C5896"/>
    <w:rsid w:val="004C5F87"/>
    <w:rsid w:val="004C5F9D"/>
    <w:rsid w:val="004C6543"/>
    <w:rsid w:val="004C67B8"/>
    <w:rsid w:val="004C7363"/>
    <w:rsid w:val="004C7687"/>
    <w:rsid w:val="004C7AED"/>
    <w:rsid w:val="004C7C13"/>
    <w:rsid w:val="004D0242"/>
    <w:rsid w:val="004D0C26"/>
    <w:rsid w:val="004D12DC"/>
    <w:rsid w:val="004D1978"/>
    <w:rsid w:val="004D1AC5"/>
    <w:rsid w:val="004D1E21"/>
    <w:rsid w:val="004D2DB1"/>
    <w:rsid w:val="004D332F"/>
    <w:rsid w:val="004D44A4"/>
    <w:rsid w:val="004D468C"/>
    <w:rsid w:val="004D46B9"/>
    <w:rsid w:val="004D4D87"/>
    <w:rsid w:val="004D50BB"/>
    <w:rsid w:val="004D538F"/>
    <w:rsid w:val="004D549A"/>
    <w:rsid w:val="004D5876"/>
    <w:rsid w:val="004D606C"/>
    <w:rsid w:val="004D6531"/>
    <w:rsid w:val="004D6FCD"/>
    <w:rsid w:val="004D7F4B"/>
    <w:rsid w:val="004E0994"/>
    <w:rsid w:val="004E0C82"/>
    <w:rsid w:val="004E0F2F"/>
    <w:rsid w:val="004E12FA"/>
    <w:rsid w:val="004E131B"/>
    <w:rsid w:val="004E161B"/>
    <w:rsid w:val="004E1A29"/>
    <w:rsid w:val="004E1DA7"/>
    <w:rsid w:val="004E1E4C"/>
    <w:rsid w:val="004E20FC"/>
    <w:rsid w:val="004E292B"/>
    <w:rsid w:val="004E37C3"/>
    <w:rsid w:val="004E3CA4"/>
    <w:rsid w:val="004E3E48"/>
    <w:rsid w:val="004E4034"/>
    <w:rsid w:val="004E463D"/>
    <w:rsid w:val="004E5338"/>
    <w:rsid w:val="004E5619"/>
    <w:rsid w:val="004E5A39"/>
    <w:rsid w:val="004E663B"/>
    <w:rsid w:val="004E66CC"/>
    <w:rsid w:val="004E68F6"/>
    <w:rsid w:val="004E71A0"/>
    <w:rsid w:val="004E747F"/>
    <w:rsid w:val="004E7563"/>
    <w:rsid w:val="004F0CE3"/>
    <w:rsid w:val="004F0F47"/>
    <w:rsid w:val="004F1019"/>
    <w:rsid w:val="004F13A6"/>
    <w:rsid w:val="004F165F"/>
    <w:rsid w:val="004F19DC"/>
    <w:rsid w:val="004F212A"/>
    <w:rsid w:val="004F2923"/>
    <w:rsid w:val="004F36BC"/>
    <w:rsid w:val="004F371F"/>
    <w:rsid w:val="004F3C34"/>
    <w:rsid w:val="004F410E"/>
    <w:rsid w:val="004F421F"/>
    <w:rsid w:val="004F438F"/>
    <w:rsid w:val="004F4933"/>
    <w:rsid w:val="004F4B64"/>
    <w:rsid w:val="004F4BA1"/>
    <w:rsid w:val="004F550F"/>
    <w:rsid w:val="004F5A89"/>
    <w:rsid w:val="004F5ED4"/>
    <w:rsid w:val="004F5F16"/>
    <w:rsid w:val="004F619A"/>
    <w:rsid w:val="004F6A17"/>
    <w:rsid w:val="004F7345"/>
    <w:rsid w:val="004F7491"/>
    <w:rsid w:val="0050003D"/>
    <w:rsid w:val="005004A9"/>
    <w:rsid w:val="005005C2"/>
    <w:rsid w:val="005014AE"/>
    <w:rsid w:val="00501513"/>
    <w:rsid w:val="00501A2D"/>
    <w:rsid w:val="00501B1B"/>
    <w:rsid w:val="0050208B"/>
    <w:rsid w:val="005023D5"/>
    <w:rsid w:val="00502641"/>
    <w:rsid w:val="00502798"/>
    <w:rsid w:val="00502942"/>
    <w:rsid w:val="00503403"/>
    <w:rsid w:val="00503683"/>
    <w:rsid w:val="005038F5"/>
    <w:rsid w:val="00503BA8"/>
    <w:rsid w:val="005041FD"/>
    <w:rsid w:val="0050482F"/>
    <w:rsid w:val="005049CB"/>
    <w:rsid w:val="00504C7D"/>
    <w:rsid w:val="00505971"/>
    <w:rsid w:val="00505A3B"/>
    <w:rsid w:val="00505BBA"/>
    <w:rsid w:val="005064E7"/>
    <w:rsid w:val="005064F4"/>
    <w:rsid w:val="005065F9"/>
    <w:rsid w:val="00506BBA"/>
    <w:rsid w:val="00506CE2"/>
    <w:rsid w:val="00507490"/>
    <w:rsid w:val="005079B9"/>
    <w:rsid w:val="00507DA6"/>
    <w:rsid w:val="00510A66"/>
    <w:rsid w:val="005111A8"/>
    <w:rsid w:val="005114BB"/>
    <w:rsid w:val="00511A9C"/>
    <w:rsid w:val="00511F06"/>
    <w:rsid w:val="00512601"/>
    <w:rsid w:val="00512C6E"/>
    <w:rsid w:val="00512CD1"/>
    <w:rsid w:val="00513018"/>
    <w:rsid w:val="00513704"/>
    <w:rsid w:val="00513743"/>
    <w:rsid w:val="005138AF"/>
    <w:rsid w:val="005138FD"/>
    <w:rsid w:val="00513980"/>
    <w:rsid w:val="00513CA1"/>
    <w:rsid w:val="00513E79"/>
    <w:rsid w:val="005149AA"/>
    <w:rsid w:val="00514D60"/>
    <w:rsid w:val="005152C1"/>
    <w:rsid w:val="0051545C"/>
    <w:rsid w:val="0051561A"/>
    <w:rsid w:val="00515850"/>
    <w:rsid w:val="00515900"/>
    <w:rsid w:val="005159AC"/>
    <w:rsid w:val="005159B6"/>
    <w:rsid w:val="0051627C"/>
    <w:rsid w:val="005168B7"/>
    <w:rsid w:val="0051692F"/>
    <w:rsid w:val="00516B8C"/>
    <w:rsid w:val="00516BEB"/>
    <w:rsid w:val="00517907"/>
    <w:rsid w:val="00520820"/>
    <w:rsid w:val="00520ACE"/>
    <w:rsid w:val="00520BB5"/>
    <w:rsid w:val="0052133E"/>
    <w:rsid w:val="00521C66"/>
    <w:rsid w:val="00521DF8"/>
    <w:rsid w:val="0052266B"/>
    <w:rsid w:val="005236A7"/>
    <w:rsid w:val="00523729"/>
    <w:rsid w:val="005238BF"/>
    <w:rsid w:val="00523AFB"/>
    <w:rsid w:val="005240BE"/>
    <w:rsid w:val="005248D3"/>
    <w:rsid w:val="00524C68"/>
    <w:rsid w:val="00524D00"/>
    <w:rsid w:val="00524F8D"/>
    <w:rsid w:val="00525215"/>
    <w:rsid w:val="0052567A"/>
    <w:rsid w:val="005256CC"/>
    <w:rsid w:val="00525930"/>
    <w:rsid w:val="00525A35"/>
    <w:rsid w:val="00526182"/>
    <w:rsid w:val="00526550"/>
    <w:rsid w:val="00526DCA"/>
    <w:rsid w:val="00526F9A"/>
    <w:rsid w:val="0052775D"/>
    <w:rsid w:val="00527A00"/>
    <w:rsid w:val="00527DCE"/>
    <w:rsid w:val="00530E56"/>
    <w:rsid w:val="005310F8"/>
    <w:rsid w:val="005311FA"/>
    <w:rsid w:val="00532122"/>
    <w:rsid w:val="00532CC2"/>
    <w:rsid w:val="0053352E"/>
    <w:rsid w:val="00533957"/>
    <w:rsid w:val="00533B91"/>
    <w:rsid w:val="005347F1"/>
    <w:rsid w:val="00534D7E"/>
    <w:rsid w:val="005353FD"/>
    <w:rsid w:val="005358C4"/>
    <w:rsid w:val="00535C93"/>
    <w:rsid w:val="00535CC2"/>
    <w:rsid w:val="00536278"/>
    <w:rsid w:val="00536676"/>
    <w:rsid w:val="00536924"/>
    <w:rsid w:val="00536FDA"/>
    <w:rsid w:val="0053726F"/>
    <w:rsid w:val="00540F78"/>
    <w:rsid w:val="00541145"/>
    <w:rsid w:val="00541440"/>
    <w:rsid w:val="00542243"/>
    <w:rsid w:val="005426D6"/>
    <w:rsid w:val="00542BEB"/>
    <w:rsid w:val="00542F32"/>
    <w:rsid w:val="0054356E"/>
    <w:rsid w:val="0054364C"/>
    <w:rsid w:val="00543B27"/>
    <w:rsid w:val="00543C93"/>
    <w:rsid w:val="0054477F"/>
    <w:rsid w:val="00544787"/>
    <w:rsid w:val="005448D7"/>
    <w:rsid w:val="00545123"/>
    <w:rsid w:val="005454EC"/>
    <w:rsid w:val="0054577B"/>
    <w:rsid w:val="00546080"/>
    <w:rsid w:val="0054693C"/>
    <w:rsid w:val="00546AA0"/>
    <w:rsid w:val="00546B47"/>
    <w:rsid w:val="00546F5F"/>
    <w:rsid w:val="00547275"/>
    <w:rsid w:val="005474B0"/>
    <w:rsid w:val="005478BA"/>
    <w:rsid w:val="00547F72"/>
    <w:rsid w:val="00547FF4"/>
    <w:rsid w:val="00551249"/>
    <w:rsid w:val="0055151C"/>
    <w:rsid w:val="00551920"/>
    <w:rsid w:val="005519F6"/>
    <w:rsid w:val="00551A2F"/>
    <w:rsid w:val="00551F9B"/>
    <w:rsid w:val="0055212E"/>
    <w:rsid w:val="0055242B"/>
    <w:rsid w:val="00552483"/>
    <w:rsid w:val="005526C5"/>
    <w:rsid w:val="00552CFD"/>
    <w:rsid w:val="00552F8F"/>
    <w:rsid w:val="00553585"/>
    <w:rsid w:val="00553A9D"/>
    <w:rsid w:val="00553E61"/>
    <w:rsid w:val="00554024"/>
    <w:rsid w:val="00554273"/>
    <w:rsid w:val="00554478"/>
    <w:rsid w:val="00554494"/>
    <w:rsid w:val="00554758"/>
    <w:rsid w:val="00554EF8"/>
    <w:rsid w:val="00555AA6"/>
    <w:rsid w:val="00555ABE"/>
    <w:rsid w:val="00555E2C"/>
    <w:rsid w:val="00555F1E"/>
    <w:rsid w:val="005566BA"/>
    <w:rsid w:val="005567EA"/>
    <w:rsid w:val="00556C0F"/>
    <w:rsid w:val="00556F1D"/>
    <w:rsid w:val="00557211"/>
    <w:rsid w:val="00557426"/>
    <w:rsid w:val="00557F02"/>
    <w:rsid w:val="00560486"/>
    <w:rsid w:val="0056062C"/>
    <w:rsid w:val="00561058"/>
    <w:rsid w:val="005617B3"/>
    <w:rsid w:val="00561BD0"/>
    <w:rsid w:val="005620A9"/>
    <w:rsid w:val="00562172"/>
    <w:rsid w:val="00562438"/>
    <w:rsid w:val="005624A1"/>
    <w:rsid w:val="005624C1"/>
    <w:rsid w:val="005625AE"/>
    <w:rsid w:val="00562742"/>
    <w:rsid w:val="00563C80"/>
    <w:rsid w:val="00563E1D"/>
    <w:rsid w:val="00564119"/>
    <w:rsid w:val="0056490E"/>
    <w:rsid w:val="00565901"/>
    <w:rsid w:val="00565DA3"/>
    <w:rsid w:val="00565E15"/>
    <w:rsid w:val="00566264"/>
    <w:rsid w:val="00566889"/>
    <w:rsid w:val="005668F3"/>
    <w:rsid w:val="00566A2C"/>
    <w:rsid w:val="00566D7D"/>
    <w:rsid w:val="005670C0"/>
    <w:rsid w:val="0056755A"/>
    <w:rsid w:val="00567884"/>
    <w:rsid w:val="005679BB"/>
    <w:rsid w:val="00567D97"/>
    <w:rsid w:val="005700D6"/>
    <w:rsid w:val="00570314"/>
    <w:rsid w:val="005704C8"/>
    <w:rsid w:val="00570A49"/>
    <w:rsid w:val="00571053"/>
    <w:rsid w:val="00571541"/>
    <w:rsid w:val="005716E5"/>
    <w:rsid w:val="0057186B"/>
    <w:rsid w:val="00571B8F"/>
    <w:rsid w:val="00573307"/>
    <w:rsid w:val="0057349D"/>
    <w:rsid w:val="00573D2C"/>
    <w:rsid w:val="00573E72"/>
    <w:rsid w:val="00574382"/>
    <w:rsid w:val="00576870"/>
    <w:rsid w:val="005769C9"/>
    <w:rsid w:val="00576BD4"/>
    <w:rsid w:val="00577065"/>
    <w:rsid w:val="005773B9"/>
    <w:rsid w:val="00577413"/>
    <w:rsid w:val="00577D33"/>
    <w:rsid w:val="00580207"/>
    <w:rsid w:val="00580224"/>
    <w:rsid w:val="0058026F"/>
    <w:rsid w:val="00580606"/>
    <w:rsid w:val="005807BA"/>
    <w:rsid w:val="00581036"/>
    <w:rsid w:val="0058130E"/>
    <w:rsid w:val="00581357"/>
    <w:rsid w:val="005816C5"/>
    <w:rsid w:val="00581DA4"/>
    <w:rsid w:val="00582692"/>
    <w:rsid w:val="0058279D"/>
    <w:rsid w:val="005828BD"/>
    <w:rsid w:val="00582E09"/>
    <w:rsid w:val="005830A7"/>
    <w:rsid w:val="005833E0"/>
    <w:rsid w:val="005837D8"/>
    <w:rsid w:val="0058388D"/>
    <w:rsid w:val="00583E41"/>
    <w:rsid w:val="00584177"/>
    <w:rsid w:val="005843DF"/>
    <w:rsid w:val="0058440D"/>
    <w:rsid w:val="005848FF"/>
    <w:rsid w:val="00584A72"/>
    <w:rsid w:val="00584B71"/>
    <w:rsid w:val="00584CFB"/>
    <w:rsid w:val="00584D1F"/>
    <w:rsid w:val="00585084"/>
    <w:rsid w:val="00585160"/>
    <w:rsid w:val="005852F9"/>
    <w:rsid w:val="005853B5"/>
    <w:rsid w:val="00585450"/>
    <w:rsid w:val="00585783"/>
    <w:rsid w:val="00585BC7"/>
    <w:rsid w:val="00585C4E"/>
    <w:rsid w:val="00585F01"/>
    <w:rsid w:val="00586443"/>
    <w:rsid w:val="0058666E"/>
    <w:rsid w:val="00586794"/>
    <w:rsid w:val="00586803"/>
    <w:rsid w:val="005869A0"/>
    <w:rsid w:val="005871DD"/>
    <w:rsid w:val="0058796C"/>
    <w:rsid w:val="005901BA"/>
    <w:rsid w:val="005905A9"/>
    <w:rsid w:val="005909EF"/>
    <w:rsid w:val="00590A09"/>
    <w:rsid w:val="0059127A"/>
    <w:rsid w:val="00591603"/>
    <w:rsid w:val="00591815"/>
    <w:rsid w:val="00592221"/>
    <w:rsid w:val="00592466"/>
    <w:rsid w:val="00592531"/>
    <w:rsid w:val="0059299C"/>
    <w:rsid w:val="00592AE8"/>
    <w:rsid w:val="005930F0"/>
    <w:rsid w:val="00593657"/>
    <w:rsid w:val="00593B68"/>
    <w:rsid w:val="00593BF0"/>
    <w:rsid w:val="00593C64"/>
    <w:rsid w:val="00593F50"/>
    <w:rsid w:val="005940F9"/>
    <w:rsid w:val="00594183"/>
    <w:rsid w:val="005959A5"/>
    <w:rsid w:val="005960BE"/>
    <w:rsid w:val="00596278"/>
    <w:rsid w:val="005962DB"/>
    <w:rsid w:val="005964D5"/>
    <w:rsid w:val="00597636"/>
    <w:rsid w:val="0059779A"/>
    <w:rsid w:val="005A07DB"/>
    <w:rsid w:val="005A0B99"/>
    <w:rsid w:val="005A0CE1"/>
    <w:rsid w:val="005A0D99"/>
    <w:rsid w:val="005A17AB"/>
    <w:rsid w:val="005A19ED"/>
    <w:rsid w:val="005A21E4"/>
    <w:rsid w:val="005A22E3"/>
    <w:rsid w:val="005A2BA1"/>
    <w:rsid w:val="005A2F2A"/>
    <w:rsid w:val="005A3517"/>
    <w:rsid w:val="005A36D8"/>
    <w:rsid w:val="005A36E6"/>
    <w:rsid w:val="005A38A3"/>
    <w:rsid w:val="005A38DC"/>
    <w:rsid w:val="005A43E9"/>
    <w:rsid w:val="005A491D"/>
    <w:rsid w:val="005A4931"/>
    <w:rsid w:val="005A4B70"/>
    <w:rsid w:val="005A4EC4"/>
    <w:rsid w:val="005A5028"/>
    <w:rsid w:val="005A548E"/>
    <w:rsid w:val="005A59CD"/>
    <w:rsid w:val="005A72A2"/>
    <w:rsid w:val="005A7561"/>
    <w:rsid w:val="005A7617"/>
    <w:rsid w:val="005B00BE"/>
    <w:rsid w:val="005B0461"/>
    <w:rsid w:val="005B09A3"/>
    <w:rsid w:val="005B0D9C"/>
    <w:rsid w:val="005B0F5A"/>
    <w:rsid w:val="005B10C5"/>
    <w:rsid w:val="005B1457"/>
    <w:rsid w:val="005B14B5"/>
    <w:rsid w:val="005B159A"/>
    <w:rsid w:val="005B18A1"/>
    <w:rsid w:val="005B1A3C"/>
    <w:rsid w:val="005B203F"/>
    <w:rsid w:val="005B2641"/>
    <w:rsid w:val="005B264B"/>
    <w:rsid w:val="005B2CF7"/>
    <w:rsid w:val="005B3B5F"/>
    <w:rsid w:val="005B3C7C"/>
    <w:rsid w:val="005B3F68"/>
    <w:rsid w:val="005B473C"/>
    <w:rsid w:val="005B529C"/>
    <w:rsid w:val="005B562E"/>
    <w:rsid w:val="005B5A67"/>
    <w:rsid w:val="005B6488"/>
    <w:rsid w:val="005B6BE6"/>
    <w:rsid w:val="005B76D2"/>
    <w:rsid w:val="005B7F52"/>
    <w:rsid w:val="005C07E2"/>
    <w:rsid w:val="005C0A7F"/>
    <w:rsid w:val="005C0C3C"/>
    <w:rsid w:val="005C0CD1"/>
    <w:rsid w:val="005C14F2"/>
    <w:rsid w:val="005C1A49"/>
    <w:rsid w:val="005C1ACC"/>
    <w:rsid w:val="005C1ED5"/>
    <w:rsid w:val="005C1EE3"/>
    <w:rsid w:val="005C2F59"/>
    <w:rsid w:val="005C2F7A"/>
    <w:rsid w:val="005C3186"/>
    <w:rsid w:val="005C35F5"/>
    <w:rsid w:val="005C3B48"/>
    <w:rsid w:val="005C3C05"/>
    <w:rsid w:val="005C3D2D"/>
    <w:rsid w:val="005C3D35"/>
    <w:rsid w:val="005C413F"/>
    <w:rsid w:val="005C4684"/>
    <w:rsid w:val="005C4891"/>
    <w:rsid w:val="005C4B15"/>
    <w:rsid w:val="005C4D59"/>
    <w:rsid w:val="005C5382"/>
    <w:rsid w:val="005C5420"/>
    <w:rsid w:val="005C5692"/>
    <w:rsid w:val="005C5BB5"/>
    <w:rsid w:val="005C5C96"/>
    <w:rsid w:val="005C63D0"/>
    <w:rsid w:val="005C776A"/>
    <w:rsid w:val="005C7AE6"/>
    <w:rsid w:val="005D0A5B"/>
    <w:rsid w:val="005D0C7D"/>
    <w:rsid w:val="005D0D41"/>
    <w:rsid w:val="005D0E44"/>
    <w:rsid w:val="005D1549"/>
    <w:rsid w:val="005D1806"/>
    <w:rsid w:val="005D193A"/>
    <w:rsid w:val="005D1B37"/>
    <w:rsid w:val="005D1F5B"/>
    <w:rsid w:val="005D2B20"/>
    <w:rsid w:val="005D2ED6"/>
    <w:rsid w:val="005D3759"/>
    <w:rsid w:val="005D3794"/>
    <w:rsid w:val="005D3BF1"/>
    <w:rsid w:val="005D520A"/>
    <w:rsid w:val="005D5625"/>
    <w:rsid w:val="005D5683"/>
    <w:rsid w:val="005D58C3"/>
    <w:rsid w:val="005D5B21"/>
    <w:rsid w:val="005D63D7"/>
    <w:rsid w:val="005D656B"/>
    <w:rsid w:val="005D6A20"/>
    <w:rsid w:val="005D6AE1"/>
    <w:rsid w:val="005D6F4B"/>
    <w:rsid w:val="005D7B34"/>
    <w:rsid w:val="005E0149"/>
    <w:rsid w:val="005E0434"/>
    <w:rsid w:val="005E05E3"/>
    <w:rsid w:val="005E0F7C"/>
    <w:rsid w:val="005E126E"/>
    <w:rsid w:val="005E143E"/>
    <w:rsid w:val="005E1482"/>
    <w:rsid w:val="005E1806"/>
    <w:rsid w:val="005E1EAE"/>
    <w:rsid w:val="005E2006"/>
    <w:rsid w:val="005E203A"/>
    <w:rsid w:val="005E2143"/>
    <w:rsid w:val="005E308E"/>
    <w:rsid w:val="005E32D6"/>
    <w:rsid w:val="005E357C"/>
    <w:rsid w:val="005E3855"/>
    <w:rsid w:val="005E3D43"/>
    <w:rsid w:val="005E40AE"/>
    <w:rsid w:val="005E40F2"/>
    <w:rsid w:val="005E46EC"/>
    <w:rsid w:val="005E47DB"/>
    <w:rsid w:val="005E4AA3"/>
    <w:rsid w:val="005E50CA"/>
    <w:rsid w:val="005E519E"/>
    <w:rsid w:val="005E5742"/>
    <w:rsid w:val="005E5925"/>
    <w:rsid w:val="005E65AD"/>
    <w:rsid w:val="005E66C2"/>
    <w:rsid w:val="005E6C3F"/>
    <w:rsid w:val="005E7C4D"/>
    <w:rsid w:val="005E7C72"/>
    <w:rsid w:val="005E7C88"/>
    <w:rsid w:val="005E7FD0"/>
    <w:rsid w:val="005F0268"/>
    <w:rsid w:val="005F07C0"/>
    <w:rsid w:val="005F0971"/>
    <w:rsid w:val="005F1228"/>
    <w:rsid w:val="005F1D0B"/>
    <w:rsid w:val="005F1DD7"/>
    <w:rsid w:val="005F208F"/>
    <w:rsid w:val="005F2580"/>
    <w:rsid w:val="005F2840"/>
    <w:rsid w:val="005F29A1"/>
    <w:rsid w:val="005F5022"/>
    <w:rsid w:val="005F5128"/>
    <w:rsid w:val="005F53E1"/>
    <w:rsid w:val="005F54C1"/>
    <w:rsid w:val="005F5A48"/>
    <w:rsid w:val="005F5AA5"/>
    <w:rsid w:val="005F5C32"/>
    <w:rsid w:val="005F62E5"/>
    <w:rsid w:val="005F6931"/>
    <w:rsid w:val="006005BD"/>
    <w:rsid w:val="00602748"/>
    <w:rsid w:val="006027BA"/>
    <w:rsid w:val="00602ABF"/>
    <w:rsid w:val="00603158"/>
    <w:rsid w:val="006036E6"/>
    <w:rsid w:val="00603D9D"/>
    <w:rsid w:val="00604708"/>
    <w:rsid w:val="0060478D"/>
    <w:rsid w:val="0060498B"/>
    <w:rsid w:val="0060525A"/>
    <w:rsid w:val="00605CDA"/>
    <w:rsid w:val="00605F92"/>
    <w:rsid w:val="00607642"/>
    <w:rsid w:val="006077E3"/>
    <w:rsid w:val="00607B81"/>
    <w:rsid w:val="00607C9D"/>
    <w:rsid w:val="0061044D"/>
    <w:rsid w:val="006108DD"/>
    <w:rsid w:val="00610B1B"/>
    <w:rsid w:val="00610E71"/>
    <w:rsid w:val="00610E83"/>
    <w:rsid w:val="006112FC"/>
    <w:rsid w:val="0061178B"/>
    <w:rsid w:val="0061183E"/>
    <w:rsid w:val="00611C98"/>
    <w:rsid w:val="0061227A"/>
    <w:rsid w:val="00612518"/>
    <w:rsid w:val="00613130"/>
    <w:rsid w:val="00613ACB"/>
    <w:rsid w:val="00613F82"/>
    <w:rsid w:val="00613FEE"/>
    <w:rsid w:val="00614218"/>
    <w:rsid w:val="00614377"/>
    <w:rsid w:val="00614ABA"/>
    <w:rsid w:val="00614BE8"/>
    <w:rsid w:val="00614CE9"/>
    <w:rsid w:val="00614FCC"/>
    <w:rsid w:val="006154C0"/>
    <w:rsid w:val="00616170"/>
    <w:rsid w:val="006163D3"/>
    <w:rsid w:val="00616C56"/>
    <w:rsid w:val="00617655"/>
    <w:rsid w:val="0061774D"/>
    <w:rsid w:val="006179E0"/>
    <w:rsid w:val="00620507"/>
    <w:rsid w:val="0062050B"/>
    <w:rsid w:val="0062085B"/>
    <w:rsid w:val="0062126C"/>
    <w:rsid w:val="006216C3"/>
    <w:rsid w:val="006216F3"/>
    <w:rsid w:val="00621A5B"/>
    <w:rsid w:val="00621AB8"/>
    <w:rsid w:val="00621C93"/>
    <w:rsid w:val="00622A10"/>
    <w:rsid w:val="00622D95"/>
    <w:rsid w:val="00623235"/>
    <w:rsid w:val="006234C7"/>
    <w:rsid w:val="00623868"/>
    <w:rsid w:val="00623A88"/>
    <w:rsid w:val="00623BE7"/>
    <w:rsid w:val="00625F40"/>
    <w:rsid w:val="006262E3"/>
    <w:rsid w:val="00626808"/>
    <w:rsid w:val="00626D76"/>
    <w:rsid w:val="0062730A"/>
    <w:rsid w:val="0062754A"/>
    <w:rsid w:val="00627BC3"/>
    <w:rsid w:val="006306C6"/>
    <w:rsid w:val="00630917"/>
    <w:rsid w:val="00630918"/>
    <w:rsid w:val="0063097F"/>
    <w:rsid w:val="00630B8A"/>
    <w:rsid w:val="00630C0B"/>
    <w:rsid w:val="00630C40"/>
    <w:rsid w:val="00631CBD"/>
    <w:rsid w:val="006326A5"/>
    <w:rsid w:val="00632970"/>
    <w:rsid w:val="00632A16"/>
    <w:rsid w:val="00632AB0"/>
    <w:rsid w:val="00632BF7"/>
    <w:rsid w:val="00632BFC"/>
    <w:rsid w:val="00632D00"/>
    <w:rsid w:val="00633346"/>
    <w:rsid w:val="006342C4"/>
    <w:rsid w:val="006346A1"/>
    <w:rsid w:val="00634D08"/>
    <w:rsid w:val="0063562B"/>
    <w:rsid w:val="006356AD"/>
    <w:rsid w:val="00635DF7"/>
    <w:rsid w:val="00635FFE"/>
    <w:rsid w:val="006366A7"/>
    <w:rsid w:val="006367CC"/>
    <w:rsid w:val="006372FF"/>
    <w:rsid w:val="006378EC"/>
    <w:rsid w:val="0064022A"/>
    <w:rsid w:val="00640723"/>
    <w:rsid w:val="00640B5D"/>
    <w:rsid w:val="00640CD5"/>
    <w:rsid w:val="00640FE1"/>
    <w:rsid w:val="00641160"/>
    <w:rsid w:val="0064181B"/>
    <w:rsid w:val="00642068"/>
    <w:rsid w:val="00642302"/>
    <w:rsid w:val="00642652"/>
    <w:rsid w:val="0064305E"/>
    <w:rsid w:val="006439E8"/>
    <w:rsid w:val="00643D11"/>
    <w:rsid w:val="00643DED"/>
    <w:rsid w:val="00643F43"/>
    <w:rsid w:val="00643FB9"/>
    <w:rsid w:val="00644654"/>
    <w:rsid w:val="00645E93"/>
    <w:rsid w:val="00646451"/>
    <w:rsid w:val="0064744E"/>
    <w:rsid w:val="00647D1E"/>
    <w:rsid w:val="00650326"/>
    <w:rsid w:val="0065056B"/>
    <w:rsid w:val="00650A91"/>
    <w:rsid w:val="00650B17"/>
    <w:rsid w:val="00651239"/>
    <w:rsid w:val="00651958"/>
    <w:rsid w:val="00651A69"/>
    <w:rsid w:val="00651E8E"/>
    <w:rsid w:val="00651F4F"/>
    <w:rsid w:val="00652204"/>
    <w:rsid w:val="00652374"/>
    <w:rsid w:val="00652918"/>
    <w:rsid w:val="00652D48"/>
    <w:rsid w:val="00652D6C"/>
    <w:rsid w:val="006532F3"/>
    <w:rsid w:val="00653378"/>
    <w:rsid w:val="006538F7"/>
    <w:rsid w:val="00653A65"/>
    <w:rsid w:val="006546B3"/>
    <w:rsid w:val="006546E1"/>
    <w:rsid w:val="00654AC7"/>
    <w:rsid w:val="00654E80"/>
    <w:rsid w:val="006551B2"/>
    <w:rsid w:val="0065521E"/>
    <w:rsid w:val="006552DC"/>
    <w:rsid w:val="00655FB6"/>
    <w:rsid w:val="00656481"/>
    <w:rsid w:val="0065696A"/>
    <w:rsid w:val="00656C1F"/>
    <w:rsid w:val="006572A1"/>
    <w:rsid w:val="006575E9"/>
    <w:rsid w:val="0065780B"/>
    <w:rsid w:val="00657CC2"/>
    <w:rsid w:val="0066015A"/>
    <w:rsid w:val="00660510"/>
    <w:rsid w:val="006608DB"/>
    <w:rsid w:val="006608E3"/>
    <w:rsid w:val="00660A49"/>
    <w:rsid w:val="00660B69"/>
    <w:rsid w:val="00660D53"/>
    <w:rsid w:val="00660E1D"/>
    <w:rsid w:val="00661060"/>
    <w:rsid w:val="0066127F"/>
    <w:rsid w:val="006613AB"/>
    <w:rsid w:val="00661474"/>
    <w:rsid w:val="006616EB"/>
    <w:rsid w:val="00661B91"/>
    <w:rsid w:val="006628BF"/>
    <w:rsid w:val="006628E7"/>
    <w:rsid w:val="00662BF8"/>
    <w:rsid w:val="00662E56"/>
    <w:rsid w:val="0066374A"/>
    <w:rsid w:val="006639F4"/>
    <w:rsid w:val="00663F8F"/>
    <w:rsid w:val="00664497"/>
    <w:rsid w:val="006646BA"/>
    <w:rsid w:val="00664BEC"/>
    <w:rsid w:val="00665333"/>
    <w:rsid w:val="00665A88"/>
    <w:rsid w:val="00665BE5"/>
    <w:rsid w:val="00666069"/>
    <w:rsid w:val="00666D33"/>
    <w:rsid w:val="00666F6E"/>
    <w:rsid w:val="00667085"/>
    <w:rsid w:val="006708DA"/>
    <w:rsid w:val="00670961"/>
    <w:rsid w:val="00670B1D"/>
    <w:rsid w:val="00670DEE"/>
    <w:rsid w:val="00670EE4"/>
    <w:rsid w:val="006719C3"/>
    <w:rsid w:val="0067323D"/>
    <w:rsid w:val="00673428"/>
    <w:rsid w:val="006735C6"/>
    <w:rsid w:val="00673AAD"/>
    <w:rsid w:val="00673C8F"/>
    <w:rsid w:val="00673DCC"/>
    <w:rsid w:val="00673DDA"/>
    <w:rsid w:val="00674259"/>
    <w:rsid w:val="006742B3"/>
    <w:rsid w:val="00674588"/>
    <w:rsid w:val="00674613"/>
    <w:rsid w:val="00674AF1"/>
    <w:rsid w:val="00674F9F"/>
    <w:rsid w:val="006757E5"/>
    <w:rsid w:val="00675A37"/>
    <w:rsid w:val="006774C4"/>
    <w:rsid w:val="00677B4D"/>
    <w:rsid w:val="00677B93"/>
    <w:rsid w:val="0068015D"/>
    <w:rsid w:val="00680361"/>
    <w:rsid w:val="00680559"/>
    <w:rsid w:val="0068064C"/>
    <w:rsid w:val="0068094C"/>
    <w:rsid w:val="00680B99"/>
    <w:rsid w:val="00681041"/>
    <w:rsid w:val="00681546"/>
    <w:rsid w:val="0068157D"/>
    <w:rsid w:val="006818FF"/>
    <w:rsid w:val="00681914"/>
    <w:rsid w:val="0068193E"/>
    <w:rsid w:val="00681ED0"/>
    <w:rsid w:val="00682F0A"/>
    <w:rsid w:val="00683287"/>
    <w:rsid w:val="00683641"/>
    <w:rsid w:val="00684061"/>
    <w:rsid w:val="006846D6"/>
    <w:rsid w:val="0068471C"/>
    <w:rsid w:val="00684858"/>
    <w:rsid w:val="006852E5"/>
    <w:rsid w:val="0068531C"/>
    <w:rsid w:val="00685704"/>
    <w:rsid w:val="0068587E"/>
    <w:rsid w:val="0068591A"/>
    <w:rsid w:val="00685DFC"/>
    <w:rsid w:val="00686702"/>
    <w:rsid w:val="00687D05"/>
    <w:rsid w:val="00687D6A"/>
    <w:rsid w:val="00687FEA"/>
    <w:rsid w:val="00690BF8"/>
    <w:rsid w:val="00691E06"/>
    <w:rsid w:val="00691F0D"/>
    <w:rsid w:val="00691F10"/>
    <w:rsid w:val="006931C5"/>
    <w:rsid w:val="00693E19"/>
    <w:rsid w:val="00694183"/>
    <w:rsid w:val="00694A81"/>
    <w:rsid w:val="00695132"/>
    <w:rsid w:val="006963B9"/>
    <w:rsid w:val="00696619"/>
    <w:rsid w:val="0069731C"/>
    <w:rsid w:val="006973DF"/>
    <w:rsid w:val="00697492"/>
    <w:rsid w:val="00697D6C"/>
    <w:rsid w:val="006A0012"/>
    <w:rsid w:val="006A00BD"/>
    <w:rsid w:val="006A0876"/>
    <w:rsid w:val="006A127D"/>
    <w:rsid w:val="006A13E1"/>
    <w:rsid w:val="006A18B7"/>
    <w:rsid w:val="006A1DFC"/>
    <w:rsid w:val="006A2247"/>
    <w:rsid w:val="006A2B77"/>
    <w:rsid w:val="006A30BD"/>
    <w:rsid w:val="006A345A"/>
    <w:rsid w:val="006A3651"/>
    <w:rsid w:val="006A38F2"/>
    <w:rsid w:val="006A493F"/>
    <w:rsid w:val="006A54F2"/>
    <w:rsid w:val="006A5A46"/>
    <w:rsid w:val="006A5B35"/>
    <w:rsid w:val="006A5C51"/>
    <w:rsid w:val="006A61B5"/>
    <w:rsid w:val="006A697C"/>
    <w:rsid w:val="006A6E61"/>
    <w:rsid w:val="006A7306"/>
    <w:rsid w:val="006A7518"/>
    <w:rsid w:val="006A7B0E"/>
    <w:rsid w:val="006A7BA9"/>
    <w:rsid w:val="006B00EF"/>
    <w:rsid w:val="006B0590"/>
    <w:rsid w:val="006B067D"/>
    <w:rsid w:val="006B0E89"/>
    <w:rsid w:val="006B1382"/>
    <w:rsid w:val="006B13AA"/>
    <w:rsid w:val="006B1465"/>
    <w:rsid w:val="006B1647"/>
    <w:rsid w:val="006B188A"/>
    <w:rsid w:val="006B1A5E"/>
    <w:rsid w:val="006B1E17"/>
    <w:rsid w:val="006B21D8"/>
    <w:rsid w:val="006B2310"/>
    <w:rsid w:val="006B2604"/>
    <w:rsid w:val="006B2607"/>
    <w:rsid w:val="006B2A5B"/>
    <w:rsid w:val="006B2FC7"/>
    <w:rsid w:val="006B31C7"/>
    <w:rsid w:val="006B38ED"/>
    <w:rsid w:val="006B3C49"/>
    <w:rsid w:val="006B3D20"/>
    <w:rsid w:val="006B422A"/>
    <w:rsid w:val="006B4C09"/>
    <w:rsid w:val="006B4F8E"/>
    <w:rsid w:val="006B57A0"/>
    <w:rsid w:val="006B5D29"/>
    <w:rsid w:val="006B5F96"/>
    <w:rsid w:val="006B609D"/>
    <w:rsid w:val="006B677F"/>
    <w:rsid w:val="006B70B8"/>
    <w:rsid w:val="006B7A49"/>
    <w:rsid w:val="006B7FE8"/>
    <w:rsid w:val="006C040D"/>
    <w:rsid w:val="006C0427"/>
    <w:rsid w:val="006C0509"/>
    <w:rsid w:val="006C07D4"/>
    <w:rsid w:val="006C0F8B"/>
    <w:rsid w:val="006C1411"/>
    <w:rsid w:val="006C180E"/>
    <w:rsid w:val="006C1A07"/>
    <w:rsid w:val="006C2C06"/>
    <w:rsid w:val="006C2E98"/>
    <w:rsid w:val="006C312C"/>
    <w:rsid w:val="006C36BE"/>
    <w:rsid w:val="006C3F68"/>
    <w:rsid w:val="006C4017"/>
    <w:rsid w:val="006C43BF"/>
    <w:rsid w:val="006C4D47"/>
    <w:rsid w:val="006C54B3"/>
    <w:rsid w:val="006C5BF8"/>
    <w:rsid w:val="006C625D"/>
    <w:rsid w:val="006C6B9D"/>
    <w:rsid w:val="006C6E8D"/>
    <w:rsid w:val="006C74B5"/>
    <w:rsid w:val="006C7B56"/>
    <w:rsid w:val="006C7C3A"/>
    <w:rsid w:val="006C7F27"/>
    <w:rsid w:val="006C7FCE"/>
    <w:rsid w:val="006D0182"/>
    <w:rsid w:val="006D030D"/>
    <w:rsid w:val="006D057A"/>
    <w:rsid w:val="006D0BC8"/>
    <w:rsid w:val="006D0F15"/>
    <w:rsid w:val="006D1099"/>
    <w:rsid w:val="006D12B9"/>
    <w:rsid w:val="006D1526"/>
    <w:rsid w:val="006D199E"/>
    <w:rsid w:val="006D1C2E"/>
    <w:rsid w:val="006D1FC2"/>
    <w:rsid w:val="006D24BC"/>
    <w:rsid w:val="006D32D5"/>
    <w:rsid w:val="006D3B08"/>
    <w:rsid w:val="006D3EBC"/>
    <w:rsid w:val="006D4149"/>
    <w:rsid w:val="006D4457"/>
    <w:rsid w:val="006D48EA"/>
    <w:rsid w:val="006D4B59"/>
    <w:rsid w:val="006D4C4F"/>
    <w:rsid w:val="006D5383"/>
    <w:rsid w:val="006D557B"/>
    <w:rsid w:val="006D55B5"/>
    <w:rsid w:val="006D585D"/>
    <w:rsid w:val="006D5C63"/>
    <w:rsid w:val="006D5D41"/>
    <w:rsid w:val="006D62BC"/>
    <w:rsid w:val="006D6337"/>
    <w:rsid w:val="006D65C8"/>
    <w:rsid w:val="006D68A4"/>
    <w:rsid w:val="006D6DCA"/>
    <w:rsid w:val="006D7035"/>
    <w:rsid w:val="006D71A9"/>
    <w:rsid w:val="006D788B"/>
    <w:rsid w:val="006E027E"/>
    <w:rsid w:val="006E0B93"/>
    <w:rsid w:val="006E0BE7"/>
    <w:rsid w:val="006E0D06"/>
    <w:rsid w:val="006E151D"/>
    <w:rsid w:val="006E16A4"/>
    <w:rsid w:val="006E18C3"/>
    <w:rsid w:val="006E1ABF"/>
    <w:rsid w:val="006E1D9A"/>
    <w:rsid w:val="006E1FAF"/>
    <w:rsid w:val="006E2F82"/>
    <w:rsid w:val="006E33ED"/>
    <w:rsid w:val="006E3415"/>
    <w:rsid w:val="006E34ED"/>
    <w:rsid w:val="006E3C3B"/>
    <w:rsid w:val="006E440B"/>
    <w:rsid w:val="006E447E"/>
    <w:rsid w:val="006E45F0"/>
    <w:rsid w:val="006E492A"/>
    <w:rsid w:val="006E494F"/>
    <w:rsid w:val="006E4A4C"/>
    <w:rsid w:val="006E4ABC"/>
    <w:rsid w:val="006E4B1F"/>
    <w:rsid w:val="006E4D3C"/>
    <w:rsid w:val="006E5362"/>
    <w:rsid w:val="006E546C"/>
    <w:rsid w:val="006E56A7"/>
    <w:rsid w:val="006E57B9"/>
    <w:rsid w:val="006E5C3A"/>
    <w:rsid w:val="006E5CF2"/>
    <w:rsid w:val="006E67E4"/>
    <w:rsid w:val="006E699B"/>
    <w:rsid w:val="006E6F6F"/>
    <w:rsid w:val="006E70A4"/>
    <w:rsid w:val="006E7719"/>
    <w:rsid w:val="006F057E"/>
    <w:rsid w:val="006F062A"/>
    <w:rsid w:val="006F0A1B"/>
    <w:rsid w:val="006F16BE"/>
    <w:rsid w:val="006F1AA0"/>
    <w:rsid w:val="006F1BAD"/>
    <w:rsid w:val="006F2487"/>
    <w:rsid w:val="006F2697"/>
    <w:rsid w:val="006F2852"/>
    <w:rsid w:val="006F295B"/>
    <w:rsid w:val="006F2FC9"/>
    <w:rsid w:val="006F373D"/>
    <w:rsid w:val="006F3B32"/>
    <w:rsid w:val="006F3DEA"/>
    <w:rsid w:val="006F3ECC"/>
    <w:rsid w:val="006F4777"/>
    <w:rsid w:val="006F4786"/>
    <w:rsid w:val="006F4C84"/>
    <w:rsid w:val="006F5329"/>
    <w:rsid w:val="006F53A5"/>
    <w:rsid w:val="006F54CE"/>
    <w:rsid w:val="006F60B9"/>
    <w:rsid w:val="006F664B"/>
    <w:rsid w:val="006F691A"/>
    <w:rsid w:val="006F69C1"/>
    <w:rsid w:val="006F6E1A"/>
    <w:rsid w:val="006F6E38"/>
    <w:rsid w:val="006F6F3E"/>
    <w:rsid w:val="006F707D"/>
    <w:rsid w:val="006F758B"/>
    <w:rsid w:val="006F7646"/>
    <w:rsid w:val="006F79AE"/>
    <w:rsid w:val="006F7C72"/>
    <w:rsid w:val="006F7EB3"/>
    <w:rsid w:val="007011EE"/>
    <w:rsid w:val="00701443"/>
    <w:rsid w:val="00701C9D"/>
    <w:rsid w:val="0070203A"/>
    <w:rsid w:val="0070230D"/>
    <w:rsid w:val="00702856"/>
    <w:rsid w:val="00702BC5"/>
    <w:rsid w:val="00702C11"/>
    <w:rsid w:val="00702D20"/>
    <w:rsid w:val="0070304B"/>
    <w:rsid w:val="00703675"/>
    <w:rsid w:val="00703A6A"/>
    <w:rsid w:val="00703BB7"/>
    <w:rsid w:val="00703BFD"/>
    <w:rsid w:val="007044D8"/>
    <w:rsid w:val="00704840"/>
    <w:rsid w:val="00704C71"/>
    <w:rsid w:val="00705625"/>
    <w:rsid w:val="007056E1"/>
    <w:rsid w:val="00705957"/>
    <w:rsid w:val="0070629F"/>
    <w:rsid w:val="007062D8"/>
    <w:rsid w:val="00706A22"/>
    <w:rsid w:val="00706BAE"/>
    <w:rsid w:val="007072AE"/>
    <w:rsid w:val="007073F5"/>
    <w:rsid w:val="00707C00"/>
    <w:rsid w:val="00710AAA"/>
    <w:rsid w:val="00711080"/>
    <w:rsid w:val="007118EA"/>
    <w:rsid w:val="00711B43"/>
    <w:rsid w:val="00711F15"/>
    <w:rsid w:val="00712330"/>
    <w:rsid w:val="007129DA"/>
    <w:rsid w:val="00712F6E"/>
    <w:rsid w:val="007144C1"/>
    <w:rsid w:val="00714B3D"/>
    <w:rsid w:val="00714BD2"/>
    <w:rsid w:val="00714FB4"/>
    <w:rsid w:val="00715096"/>
    <w:rsid w:val="007152DF"/>
    <w:rsid w:val="00715998"/>
    <w:rsid w:val="00715B53"/>
    <w:rsid w:val="00715C30"/>
    <w:rsid w:val="00715E03"/>
    <w:rsid w:val="00715FA9"/>
    <w:rsid w:val="0071606A"/>
    <w:rsid w:val="00716210"/>
    <w:rsid w:val="0071640B"/>
    <w:rsid w:val="0071749D"/>
    <w:rsid w:val="007179EB"/>
    <w:rsid w:val="00717A60"/>
    <w:rsid w:val="00717BA4"/>
    <w:rsid w:val="00717C9C"/>
    <w:rsid w:val="00717FAF"/>
    <w:rsid w:val="00720131"/>
    <w:rsid w:val="00720948"/>
    <w:rsid w:val="00720A48"/>
    <w:rsid w:val="0072104E"/>
    <w:rsid w:val="00721153"/>
    <w:rsid w:val="007212DE"/>
    <w:rsid w:val="00721536"/>
    <w:rsid w:val="007216DD"/>
    <w:rsid w:val="00722B0E"/>
    <w:rsid w:val="0072472B"/>
    <w:rsid w:val="00724C12"/>
    <w:rsid w:val="00724EF7"/>
    <w:rsid w:val="00724FDC"/>
    <w:rsid w:val="00725155"/>
    <w:rsid w:val="00725A0E"/>
    <w:rsid w:val="00725B34"/>
    <w:rsid w:val="00725E53"/>
    <w:rsid w:val="0072636F"/>
    <w:rsid w:val="007263DB"/>
    <w:rsid w:val="00726FAB"/>
    <w:rsid w:val="00727367"/>
    <w:rsid w:val="0072784A"/>
    <w:rsid w:val="007300DD"/>
    <w:rsid w:val="0073039A"/>
    <w:rsid w:val="007305CC"/>
    <w:rsid w:val="00731089"/>
    <w:rsid w:val="007312CA"/>
    <w:rsid w:val="00731B4B"/>
    <w:rsid w:val="007320EB"/>
    <w:rsid w:val="0073264F"/>
    <w:rsid w:val="00732946"/>
    <w:rsid w:val="00732B7F"/>
    <w:rsid w:val="007331C8"/>
    <w:rsid w:val="00733321"/>
    <w:rsid w:val="00734704"/>
    <w:rsid w:val="00734857"/>
    <w:rsid w:val="00734E72"/>
    <w:rsid w:val="00735354"/>
    <w:rsid w:val="007353F9"/>
    <w:rsid w:val="00735CA5"/>
    <w:rsid w:val="00736320"/>
    <w:rsid w:val="00736E77"/>
    <w:rsid w:val="007379D6"/>
    <w:rsid w:val="00737FCA"/>
    <w:rsid w:val="0074088D"/>
    <w:rsid w:val="00740BD9"/>
    <w:rsid w:val="00740C2C"/>
    <w:rsid w:val="00740D63"/>
    <w:rsid w:val="00741227"/>
    <w:rsid w:val="00741366"/>
    <w:rsid w:val="00741BB9"/>
    <w:rsid w:val="0074262E"/>
    <w:rsid w:val="00742C02"/>
    <w:rsid w:val="00742C4A"/>
    <w:rsid w:val="00743469"/>
    <w:rsid w:val="007435EA"/>
    <w:rsid w:val="00743958"/>
    <w:rsid w:val="00743D14"/>
    <w:rsid w:val="00743D87"/>
    <w:rsid w:val="00743F77"/>
    <w:rsid w:val="00744837"/>
    <w:rsid w:val="00744886"/>
    <w:rsid w:val="00744B86"/>
    <w:rsid w:val="00744BC9"/>
    <w:rsid w:val="00745031"/>
    <w:rsid w:val="00745168"/>
    <w:rsid w:val="00745209"/>
    <w:rsid w:val="007452AB"/>
    <w:rsid w:val="00745EC5"/>
    <w:rsid w:val="007468F4"/>
    <w:rsid w:val="00746BA9"/>
    <w:rsid w:val="0074702A"/>
    <w:rsid w:val="007502E1"/>
    <w:rsid w:val="00750488"/>
    <w:rsid w:val="00750739"/>
    <w:rsid w:val="00750D78"/>
    <w:rsid w:val="00750DE0"/>
    <w:rsid w:val="0075168F"/>
    <w:rsid w:val="0075176D"/>
    <w:rsid w:val="00751B95"/>
    <w:rsid w:val="00752071"/>
    <w:rsid w:val="00752AF4"/>
    <w:rsid w:val="00752C9A"/>
    <w:rsid w:val="007533BE"/>
    <w:rsid w:val="007535EA"/>
    <w:rsid w:val="00754636"/>
    <w:rsid w:val="0075463B"/>
    <w:rsid w:val="00754D98"/>
    <w:rsid w:val="00754FC3"/>
    <w:rsid w:val="00754FFC"/>
    <w:rsid w:val="007554B0"/>
    <w:rsid w:val="0075579E"/>
    <w:rsid w:val="00755E51"/>
    <w:rsid w:val="00755EF8"/>
    <w:rsid w:val="00756306"/>
    <w:rsid w:val="0075692C"/>
    <w:rsid w:val="00756D25"/>
    <w:rsid w:val="00756E11"/>
    <w:rsid w:val="0075701D"/>
    <w:rsid w:val="007577B7"/>
    <w:rsid w:val="00757896"/>
    <w:rsid w:val="0076017A"/>
    <w:rsid w:val="007602A1"/>
    <w:rsid w:val="00760341"/>
    <w:rsid w:val="007604E5"/>
    <w:rsid w:val="007607AA"/>
    <w:rsid w:val="0076090D"/>
    <w:rsid w:val="00760EA1"/>
    <w:rsid w:val="0076124A"/>
    <w:rsid w:val="0076146E"/>
    <w:rsid w:val="00761AAB"/>
    <w:rsid w:val="00761D6C"/>
    <w:rsid w:val="00762756"/>
    <w:rsid w:val="00763223"/>
    <w:rsid w:val="007638DA"/>
    <w:rsid w:val="007638FF"/>
    <w:rsid w:val="00763B5E"/>
    <w:rsid w:val="00763FCD"/>
    <w:rsid w:val="00764441"/>
    <w:rsid w:val="0076456E"/>
    <w:rsid w:val="007649C6"/>
    <w:rsid w:val="00764D7B"/>
    <w:rsid w:val="00765159"/>
    <w:rsid w:val="007651E4"/>
    <w:rsid w:val="00765209"/>
    <w:rsid w:val="0076560B"/>
    <w:rsid w:val="00765C18"/>
    <w:rsid w:val="00765CA9"/>
    <w:rsid w:val="00766145"/>
    <w:rsid w:val="00766447"/>
    <w:rsid w:val="00767538"/>
    <w:rsid w:val="007676B8"/>
    <w:rsid w:val="00767F03"/>
    <w:rsid w:val="007700F8"/>
    <w:rsid w:val="0077036A"/>
    <w:rsid w:val="0077036F"/>
    <w:rsid w:val="007706AB"/>
    <w:rsid w:val="00770D22"/>
    <w:rsid w:val="00770ECA"/>
    <w:rsid w:val="007713F1"/>
    <w:rsid w:val="00771EEE"/>
    <w:rsid w:val="007720A0"/>
    <w:rsid w:val="00772DAE"/>
    <w:rsid w:val="007736A2"/>
    <w:rsid w:val="00773B09"/>
    <w:rsid w:val="00773EB6"/>
    <w:rsid w:val="00774393"/>
    <w:rsid w:val="0077439C"/>
    <w:rsid w:val="007746FE"/>
    <w:rsid w:val="00774883"/>
    <w:rsid w:val="007750C5"/>
    <w:rsid w:val="00775430"/>
    <w:rsid w:val="007760F4"/>
    <w:rsid w:val="00776284"/>
    <w:rsid w:val="0077650B"/>
    <w:rsid w:val="00776729"/>
    <w:rsid w:val="00777402"/>
    <w:rsid w:val="0077781A"/>
    <w:rsid w:val="00777AB9"/>
    <w:rsid w:val="007800EF"/>
    <w:rsid w:val="0078054A"/>
    <w:rsid w:val="007805BC"/>
    <w:rsid w:val="007806DE"/>
    <w:rsid w:val="007808D5"/>
    <w:rsid w:val="00780AF9"/>
    <w:rsid w:val="00780D72"/>
    <w:rsid w:val="007815E6"/>
    <w:rsid w:val="00781C16"/>
    <w:rsid w:val="00782373"/>
    <w:rsid w:val="007823E1"/>
    <w:rsid w:val="00782A11"/>
    <w:rsid w:val="00782B6F"/>
    <w:rsid w:val="00782F60"/>
    <w:rsid w:val="007831A1"/>
    <w:rsid w:val="007836AA"/>
    <w:rsid w:val="007838E4"/>
    <w:rsid w:val="00783CE9"/>
    <w:rsid w:val="00783E10"/>
    <w:rsid w:val="00784671"/>
    <w:rsid w:val="0078557F"/>
    <w:rsid w:val="00785C23"/>
    <w:rsid w:val="00785DAC"/>
    <w:rsid w:val="00786A65"/>
    <w:rsid w:val="00786D15"/>
    <w:rsid w:val="00786D38"/>
    <w:rsid w:val="007871BF"/>
    <w:rsid w:val="0078727D"/>
    <w:rsid w:val="00787391"/>
    <w:rsid w:val="00787A92"/>
    <w:rsid w:val="00787AC4"/>
    <w:rsid w:val="00787CB7"/>
    <w:rsid w:val="00787D76"/>
    <w:rsid w:val="00790051"/>
    <w:rsid w:val="007902DF"/>
    <w:rsid w:val="0079044D"/>
    <w:rsid w:val="00790538"/>
    <w:rsid w:val="00790B26"/>
    <w:rsid w:val="00790C1A"/>
    <w:rsid w:val="007916EB"/>
    <w:rsid w:val="00792688"/>
    <w:rsid w:val="00792B93"/>
    <w:rsid w:val="00792F79"/>
    <w:rsid w:val="00793189"/>
    <w:rsid w:val="0079375A"/>
    <w:rsid w:val="0079399B"/>
    <w:rsid w:val="00793A4F"/>
    <w:rsid w:val="00793B15"/>
    <w:rsid w:val="007946F5"/>
    <w:rsid w:val="007949B4"/>
    <w:rsid w:val="00795000"/>
    <w:rsid w:val="0079601C"/>
    <w:rsid w:val="007962EA"/>
    <w:rsid w:val="007966E7"/>
    <w:rsid w:val="00796963"/>
    <w:rsid w:val="00796BF1"/>
    <w:rsid w:val="00797050"/>
    <w:rsid w:val="007972D8"/>
    <w:rsid w:val="0079737C"/>
    <w:rsid w:val="007975CB"/>
    <w:rsid w:val="00797700"/>
    <w:rsid w:val="00797DFA"/>
    <w:rsid w:val="00797F66"/>
    <w:rsid w:val="007A0444"/>
    <w:rsid w:val="007A06C5"/>
    <w:rsid w:val="007A071D"/>
    <w:rsid w:val="007A0AE0"/>
    <w:rsid w:val="007A1E98"/>
    <w:rsid w:val="007A1EE2"/>
    <w:rsid w:val="007A2169"/>
    <w:rsid w:val="007A28E4"/>
    <w:rsid w:val="007A308F"/>
    <w:rsid w:val="007A4275"/>
    <w:rsid w:val="007A428B"/>
    <w:rsid w:val="007A45F6"/>
    <w:rsid w:val="007A463D"/>
    <w:rsid w:val="007A4BAF"/>
    <w:rsid w:val="007A4CF1"/>
    <w:rsid w:val="007A4DDE"/>
    <w:rsid w:val="007A532C"/>
    <w:rsid w:val="007A5341"/>
    <w:rsid w:val="007A55AE"/>
    <w:rsid w:val="007A5612"/>
    <w:rsid w:val="007A57DC"/>
    <w:rsid w:val="007A5FF6"/>
    <w:rsid w:val="007A6246"/>
    <w:rsid w:val="007A652E"/>
    <w:rsid w:val="007A6C07"/>
    <w:rsid w:val="007A6F23"/>
    <w:rsid w:val="007A6F53"/>
    <w:rsid w:val="007A7001"/>
    <w:rsid w:val="007A7FEC"/>
    <w:rsid w:val="007B0500"/>
    <w:rsid w:val="007B0810"/>
    <w:rsid w:val="007B11EF"/>
    <w:rsid w:val="007B15AE"/>
    <w:rsid w:val="007B160B"/>
    <w:rsid w:val="007B16C2"/>
    <w:rsid w:val="007B252A"/>
    <w:rsid w:val="007B2C23"/>
    <w:rsid w:val="007B2EF8"/>
    <w:rsid w:val="007B3048"/>
    <w:rsid w:val="007B346D"/>
    <w:rsid w:val="007B34C5"/>
    <w:rsid w:val="007B3C08"/>
    <w:rsid w:val="007B3C3B"/>
    <w:rsid w:val="007B4207"/>
    <w:rsid w:val="007B4391"/>
    <w:rsid w:val="007B46C4"/>
    <w:rsid w:val="007B477E"/>
    <w:rsid w:val="007B4902"/>
    <w:rsid w:val="007B5658"/>
    <w:rsid w:val="007B5836"/>
    <w:rsid w:val="007B655F"/>
    <w:rsid w:val="007B6667"/>
    <w:rsid w:val="007B685B"/>
    <w:rsid w:val="007B6975"/>
    <w:rsid w:val="007B698F"/>
    <w:rsid w:val="007B6FF1"/>
    <w:rsid w:val="007B7748"/>
    <w:rsid w:val="007B78B9"/>
    <w:rsid w:val="007B7CC3"/>
    <w:rsid w:val="007B7F2D"/>
    <w:rsid w:val="007C0185"/>
    <w:rsid w:val="007C025C"/>
    <w:rsid w:val="007C038D"/>
    <w:rsid w:val="007C0571"/>
    <w:rsid w:val="007C07BB"/>
    <w:rsid w:val="007C0F1B"/>
    <w:rsid w:val="007C189E"/>
    <w:rsid w:val="007C1940"/>
    <w:rsid w:val="007C22EF"/>
    <w:rsid w:val="007C256B"/>
    <w:rsid w:val="007C2710"/>
    <w:rsid w:val="007C2A45"/>
    <w:rsid w:val="007C2AB1"/>
    <w:rsid w:val="007C3EFF"/>
    <w:rsid w:val="007C3F9A"/>
    <w:rsid w:val="007C491F"/>
    <w:rsid w:val="007C4D43"/>
    <w:rsid w:val="007C5EAD"/>
    <w:rsid w:val="007C5EEB"/>
    <w:rsid w:val="007C6115"/>
    <w:rsid w:val="007C6820"/>
    <w:rsid w:val="007C6A2D"/>
    <w:rsid w:val="007C6D6B"/>
    <w:rsid w:val="007C6F4E"/>
    <w:rsid w:val="007C75A2"/>
    <w:rsid w:val="007C780B"/>
    <w:rsid w:val="007C7AD1"/>
    <w:rsid w:val="007C7D58"/>
    <w:rsid w:val="007C7DBF"/>
    <w:rsid w:val="007C7EE2"/>
    <w:rsid w:val="007D0212"/>
    <w:rsid w:val="007D05CE"/>
    <w:rsid w:val="007D0B71"/>
    <w:rsid w:val="007D11C5"/>
    <w:rsid w:val="007D15EA"/>
    <w:rsid w:val="007D1F4C"/>
    <w:rsid w:val="007D2048"/>
    <w:rsid w:val="007D207E"/>
    <w:rsid w:val="007D24F3"/>
    <w:rsid w:val="007D2618"/>
    <w:rsid w:val="007D35EA"/>
    <w:rsid w:val="007D39B5"/>
    <w:rsid w:val="007D3AE7"/>
    <w:rsid w:val="007D4505"/>
    <w:rsid w:val="007D4E48"/>
    <w:rsid w:val="007D595B"/>
    <w:rsid w:val="007D6123"/>
    <w:rsid w:val="007D7453"/>
    <w:rsid w:val="007E0216"/>
    <w:rsid w:val="007E0E67"/>
    <w:rsid w:val="007E1224"/>
    <w:rsid w:val="007E1FFF"/>
    <w:rsid w:val="007E2092"/>
    <w:rsid w:val="007E2659"/>
    <w:rsid w:val="007E26D2"/>
    <w:rsid w:val="007E2774"/>
    <w:rsid w:val="007E2DDD"/>
    <w:rsid w:val="007E2F7A"/>
    <w:rsid w:val="007E34AA"/>
    <w:rsid w:val="007E35D7"/>
    <w:rsid w:val="007E3AAB"/>
    <w:rsid w:val="007E478D"/>
    <w:rsid w:val="007E482F"/>
    <w:rsid w:val="007E4A52"/>
    <w:rsid w:val="007E5243"/>
    <w:rsid w:val="007E593E"/>
    <w:rsid w:val="007E5D1A"/>
    <w:rsid w:val="007E6CDB"/>
    <w:rsid w:val="007E7418"/>
    <w:rsid w:val="007E761C"/>
    <w:rsid w:val="007E78AA"/>
    <w:rsid w:val="007E7B95"/>
    <w:rsid w:val="007E7BCF"/>
    <w:rsid w:val="007E7EE5"/>
    <w:rsid w:val="007F022B"/>
    <w:rsid w:val="007F0322"/>
    <w:rsid w:val="007F07C3"/>
    <w:rsid w:val="007F0D9C"/>
    <w:rsid w:val="007F1184"/>
    <w:rsid w:val="007F11F6"/>
    <w:rsid w:val="007F1504"/>
    <w:rsid w:val="007F19F7"/>
    <w:rsid w:val="007F2300"/>
    <w:rsid w:val="007F2BA0"/>
    <w:rsid w:val="007F39A0"/>
    <w:rsid w:val="007F3EBD"/>
    <w:rsid w:val="007F4106"/>
    <w:rsid w:val="007F4279"/>
    <w:rsid w:val="007F42ED"/>
    <w:rsid w:val="007F48B7"/>
    <w:rsid w:val="007F4B84"/>
    <w:rsid w:val="007F4C56"/>
    <w:rsid w:val="007F4E25"/>
    <w:rsid w:val="007F5651"/>
    <w:rsid w:val="007F5EA0"/>
    <w:rsid w:val="007F6050"/>
    <w:rsid w:val="007F6428"/>
    <w:rsid w:val="007F68B6"/>
    <w:rsid w:val="007F6939"/>
    <w:rsid w:val="007F6AA1"/>
    <w:rsid w:val="007F79E9"/>
    <w:rsid w:val="007F7F0C"/>
    <w:rsid w:val="0080086A"/>
    <w:rsid w:val="008008DD"/>
    <w:rsid w:val="00800A06"/>
    <w:rsid w:val="00800D91"/>
    <w:rsid w:val="00800DFC"/>
    <w:rsid w:val="008012D3"/>
    <w:rsid w:val="008014D7"/>
    <w:rsid w:val="0080156E"/>
    <w:rsid w:val="00801D86"/>
    <w:rsid w:val="00802392"/>
    <w:rsid w:val="008024EA"/>
    <w:rsid w:val="0080252B"/>
    <w:rsid w:val="008025C3"/>
    <w:rsid w:val="008026A7"/>
    <w:rsid w:val="00802BAF"/>
    <w:rsid w:val="00804A6B"/>
    <w:rsid w:val="0080514D"/>
    <w:rsid w:val="00805477"/>
    <w:rsid w:val="0080551B"/>
    <w:rsid w:val="008056C0"/>
    <w:rsid w:val="00805B8D"/>
    <w:rsid w:val="00805DD4"/>
    <w:rsid w:val="0080647A"/>
    <w:rsid w:val="0080687E"/>
    <w:rsid w:val="00806A27"/>
    <w:rsid w:val="00810049"/>
    <w:rsid w:val="00810B31"/>
    <w:rsid w:val="00810C41"/>
    <w:rsid w:val="00810CCA"/>
    <w:rsid w:val="00810D1E"/>
    <w:rsid w:val="00810FD6"/>
    <w:rsid w:val="008110A1"/>
    <w:rsid w:val="00811405"/>
    <w:rsid w:val="00811638"/>
    <w:rsid w:val="008119CF"/>
    <w:rsid w:val="008126F0"/>
    <w:rsid w:val="0081274E"/>
    <w:rsid w:val="00812941"/>
    <w:rsid w:val="00812A85"/>
    <w:rsid w:val="00812B0B"/>
    <w:rsid w:val="00812CF6"/>
    <w:rsid w:val="00813588"/>
    <w:rsid w:val="008136A6"/>
    <w:rsid w:val="008136BD"/>
    <w:rsid w:val="00814CEA"/>
    <w:rsid w:val="00814E76"/>
    <w:rsid w:val="00816569"/>
    <w:rsid w:val="00816607"/>
    <w:rsid w:val="00816CCB"/>
    <w:rsid w:val="0081733F"/>
    <w:rsid w:val="008200B2"/>
    <w:rsid w:val="008208F3"/>
    <w:rsid w:val="00820A5D"/>
    <w:rsid w:val="00820CB2"/>
    <w:rsid w:val="00820DC7"/>
    <w:rsid w:val="00820EC9"/>
    <w:rsid w:val="00821C24"/>
    <w:rsid w:val="008223FF"/>
    <w:rsid w:val="00822658"/>
    <w:rsid w:val="0082265F"/>
    <w:rsid w:val="00822A57"/>
    <w:rsid w:val="00822E1F"/>
    <w:rsid w:val="00822E2A"/>
    <w:rsid w:val="0082314A"/>
    <w:rsid w:val="00823150"/>
    <w:rsid w:val="0082339C"/>
    <w:rsid w:val="008235A5"/>
    <w:rsid w:val="0082373A"/>
    <w:rsid w:val="0082397E"/>
    <w:rsid w:val="00824573"/>
    <w:rsid w:val="008247B6"/>
    <w:rsid w:val="00824DAF"/>
    <w:rsid w:val="008251C6"/>
    <w:rsid w:val="0082549A"/>
    <w:rsid w:val="0082567E"/>
    <w:rsid w:val="00825845"/>
    <w:rsid w:val="00825DC5"/>
    <w:rsid w:val="00826350"/>
    <w:rsid w:val="008265C0"/>
    <w:rsid w:val="008266DD"/>
    <w:rsid w:val="0082675A"/>
    <w:rsid w:val="00826AE9"/>
    <w:rsid w:val="00827271"/>
    <w:rsid w:val="0082772F"/>
    <w:rsid w:val="00827A73"/>
    <w:rsid w:val="00830231"/>
    <w:rsid w:val="00830546"/>
    <w:rsid w:val="00830668"/>
    <w:rsid w:val="008306D7"/>
    <w:rsid w:val="00830AA6"/>
    <w:rsid w:val="00830C2C"/>
    <w:rsid w:val="00830E3C"/>
    <w:rsid w:val="00831003"/>
    <w:rsid w:val="008310FB"/>
    <w:rsid w:val="00831B12"/>
    <w:rsid w:val="00832069"/>
    <w:rsid w:val="00832143"/>
    <w:rsid w:val="00832247"/>
    <w:rsid w:val="008326CE"/>
    <w:rsid w:val="008328B3"/>
    <w:rsid w:val="00832ED2"/>
    <w:rsid w:val="00832F88"/>
    <w:rsid w:val="008331D5"/>
    <w:rsid w:val="00833920"/>
    <w:rsid w:val="00833D0F"/>
    <w:rsid w:val="0083438E"/>
    <w:rsid w:val="008346E9"/>
    <w:rsid w:val="008351F9"/>
    <w:rsid w:val="00835922"/>
    <w:rsid w:val="00835A65"/>
    <w:rsid w:val="00835E98"/>
    <w:rsid w:val="0083607B"/>
    <w:rsid w:val="00836A9C"/>
    <w:rsid w:val="00836E9C"/>
    <w:rsid w:val="00837129"/>
    <w:rsid w:val="008377BD"/>
    <w:rsid w:val="00837953"/>
    <w:rsid w:val="00837C87"/>
    <w:rsid w:val="00837CAD"/>
    <w:rsid w:val="008406E2"/>
    <w:rsid w:val="0084081A"/>
    <w:rsid w:val="00841E1C"/>
    <w:rsid w:val="00842612"/>
    <w:rsid w:val="00842D61"/>
    <w:rsid w:val="00842F5E"/>
    <w:rsid w:val="008434FD"/>
    <w:rsid w:val="00843525"/>
    <w:rsid w:val="00843662"/>
    <w:rsid w:val="0084366A"/>
    <w:rsid w:val="00843AD9"/>
    <w:rsid w:val="00843C84"/>
    <w:rsid w:val="00843D20"/>
    <w:rsid w:val="00844409"/>
    <w:rsid w:val="0084471C"/>
    <w:rsid w:val="00844857"/>
    <w:rsid w:val="0084510E"/>
    <w:rsid w:val="0084516E"/>
    <w:rsid w:val="008451F0"/>
    <w:rsid w:val="0084533F"/>
    <w:rsid w:val="00845B46"/>
    <w:rsid w:val="0084623F"/>
    <w:rsid w:val="00846629"/>
    <w:rsid w:val="00847489"/>
    <w:rsid w:val="00847588"/>
    <w:rsid w:val="00847719"/>
    <w:rsid w:val="008504D3"/>
    <w:rsid w:val="00851000"/>
    <w:rsid w:val="008511F1"/>
    <w:rsid w:val="008515C1"/>
    <w:rsid w:val="0085209E"/>
    <w:rsid w:val="0085254C"/>
    <w:rsid w:val="00852791"/>
    <w:rsid w:val="008529F3"/>
    <w:rsid w:val="00852C68"/>
    <w:rsid w:val="008535E6"/>
    <w:rsid w:val="00853864"/>
    <w:rsid w:val="00854042"/>
    <w:rsid w:val="008541E1"/>
    <w:rsid w:val="00854534"/>
    <w:rsid w:val="00854658"/>
    <w:rsid w:val="0085485E"/>
    <w:rsid w:val="00854980"/>
    <w:rsid w:val="00854C19"/>
    <w:rsid w:val="008555EB"/>
    <w:rsid w:val="008560AB"/>
    <w:rsid w:val="008562A6"/>
    <w:rsid w:val="008564E6"/>
    <w:rsid w:val="00856968"/>
    <w:rsid w:val="00856D5C"/>
    <w:rsid w:val="00856ED6"/>
    <w:rsid w:val="00857394"/>
    <w:rsid w:val="008574B9"/>
    <w:rsid w:val="00857632"/>
    <w:rsid w:val="00857B85"/>
    <w:rsid w:val="00860681"/>
    <w:rsid w:val="00860C90"/>
    <w:rsid w:val="00860E28"/>
    <w:rsid w:val="00861208"/>
    <w:rsid w:val="00862F37"/>
    <w:rsid w:val="008632D1"/>
    <w:rsid w:val="00865392"/>
    <w:rsid w:val="0086592B"/>
    <w:rsid w:val="008659BA"/>
    <w:rsid w:val="008660E4"/>
    <w:rsid w:val="008662E6"/>
    <w:rsid w:val="00866455"/>
    <w:rsid w:val="0086655E"/>
    <w:rsid w:val="0086667F"/>
    <w:rsid w:val="008667D8"/>
    <w:rsid w:val="008669E7"/>
    <w:rsid w:val="00866DF5"/>
    <w:rsid w:val="00867225"/>
    <w:rsid w:val="00867299"/>
    <w:rsid w:val="00867946"/>
    <w:rsid w:val="008701D8"/>
    <w:rsid w:val="00870726"/>
    <w:rsid w:val="0087077E"/>
    <w:rsid w:val="00870793"/>
    <w:rsid w:val="00870B7F"/>
    <w:rsid w:val="00870C01"/>
    <w:rsid w:val="008713B2"/>
    <w:rsid w:val="008718EA"/>
    <w:rsid w:val="00871AFB"/>
    <w:rsid w:val="00871B27"/>
    <w:rsid w:val="00871D06"/>
    <w:rsid w:val="00871FBD"/>
    <w:rsid w:val="008723B7"/>
    <w:rsid w:val="00872835"/>
    <w:rsid w:val="008729E3"/>
    <w:rsid w:val="00872B8E"/>
    <w:rsid w:val="00872BB7"/>
    <w:rsid w:val="008730F1"/>
    <w:rsid w:val="0087364E"/>
    <w:rsid w:val="00873E3E"/>
    <w:rsid w:val="00874284"/>
    <w:rsid w:val="0087428D"/>
    <w:rsid w:val="00874F0A"/>
    <w:rsid w:val="0087514A"/>
    <w:rsid w:val="008753EE"/>
    <w:rsid w:val="00875962"/>
    <w:rsid w:val="00876351"/>
    <w:rsid w:val="0087640F"/>
    <w:rsid w:val="00876A69"/>
    <w:rsid w:val="00876AB5"/>
    <w:rsid w:val="00876B3D"/>
    <w:rsid w:val="0087774A"/>
    <w:rsid w:val="008777C0"/>
    <w:rsid w:val="00877D81"/>
    <w:rsid w:val="0088036C"/>
    <w:rsid w:val="008809E6"/>
    <w:rsid w:val="00880AE7"/>
    <w:rsid w:val="008810A6"/>
    <w:rsid w:val="00881604"/>
    <w:rsid w:val="008826C1"/>
    <w:rsid w:val="00882764"/>
    <w:rsid w:val="00882C32"/>
    <w:rsid w:val="00884679"/>
    <w:rsid w:val="00884A9B"/>
    <w:rsid w:val="00884E4A"/>
    <w:rsid w:val="00885768"/>
    <w:rsid w:val="00885BE7"/>
    <w:rsid w:val="00885DEF"/>
    <w:rsid w:val="008861D7"/>
    <w:rsid w:val="008865D9"/>
    <w:rsid w:val="0088665A"/>
    <w:rsid w:val="008870D7"/>
    <w:rsid w:val="00887F22"/>
    <w:rsid w:val="008901EC"/>
    <w:rsid w:val="008906E7"/>
    <w:rsid w:val="00891312"/>
    <w:rsid w:val="008915E9"/>
    <w:rsid w:val="008916FC"/>
    <w:rsid w:val="00891869"/>
    <w:rsid w:val="00891D9D"/>
    <w:rsid w:val="00892204"/>
    <w:rsid w:val="00892C1D"/>
    <w:rsid w:val="00893123"/>
    <w:rsid w:val="00893CC0"/>
    <w:rsid w:val="00893E68"/>
    <w:rsid w:val="0089456E"/>
    <w:rsid w:val="00895124"/>
    <w:rsid w:val="00895315"/>
    <w:rsid w:val="00895483"/>
    <w:rsid w:val="00895D0B"/>
    <w:rsid w:val="00896366"/>
    <w:rsid w:val="008966CA"/>
    <w:rsid w:val="008966F2"/>
    <w:rsid w:val="00896C7B"/>
    <w:rsid w:val="00896D6B"/>
    <w:rsid w:val="00896E79"/>
    <w:rsid w:val="008974F9"/>
    <w:rsid w:val="00897955"/>
    <w:rsid w:val="00897B75"/>
    <w:rsid w:val="00897E08"/>
    <w:rsid w:val="00897F36"/>
    <w:rsid w:val="008A0A7B"/>
    <w:rsid w:val="008A0B6D"/>
    <w:rsid w:val="008A12F7"/>
    <w:rsid w:val="008A1722"/>
    <w:rsid w:val="008A1E9F"/>
    <w:rsid w:val="008A1F2E"/>
    <w:rsid w:val="008A21B2"/>
    <w:rsid w:val="008A22E4"/>
    <w:rsid w:val="008A25AF"/>
    <w:rsid w:val="008A2B28"/>
    <w:rsid w:val="008A2B83"/>
    <w:rsid w:val="008A385D"/>
    <w:rsid w:val="008A3C66"/>
    <w:rsid w:val="008A3D0D"/>
    <w:rsid w:val="008A3E62"/>
    <w:rsid w:val="008A4160"/>
    <w:rsid w:val="008A448D"/>
    <w:rsid w:val="008A48B1"/>
    <w:rsid w:val="008A4A37"/>
    <w:rsid w:val="008A53E9"/>
    <w:rsid w:val="008A5936"/>
    <w:rsid w:val="008A59DD"/>
    <w:rsid w:val="008A5D90"/>
    <w:rsid w:val="008A6090"/>
    <w:rsid w:val="008A63C3"/>
    <w:rsid w:val="008A6469"/>
    <w:rsid w:val="008A66DF"/>
    <w:rsid w:val="008A71B3"/>
    <w:rsid w:val="008A7963"/>
    <w:rsid w:val="008A7BB2"/>
    <w:rsid w:val="008A7F4B"/>
    <w:rsid w:val="008B023D"/>
    <w:rsid w:val="008B02B7"/>
    <w:rsid w:val="008B0868"/>
    <w:rsid w:val="008B19C0"/>
    <w:rsid w:val="008B1C25"/>
    <w:rsid w:val="008B21A7"/>
    <w:rsid w:val="008B3581"/>
    <w:rsid w:val="008B3AAA"/>
    <w:rsid w:val="008B3EB3"/>
    <w:rsid w:val="008B4424"/>
    <w:rsid w:val="008B4468"/>
    <w:rsid w:val="008B45BD"/>
    <w:rsid w:val="008B4DFA"/>
    <w:rsid w:val="008B4FF3"/>
    <w:rsid w:val="008B61E8"/>
    <w:rsid w:val="008B6A81"/>
    <w:rsid w:val="008B74A0"/>
    <w:rsid w:val="008B760F"/>
    <w:rsid w:val="008B7685"/>
    <w:rsid w:val="008B7F0E"/>
    <w:rsid w:val="008C0668"/>
    <w:rsid w:val="008C0C77"/>
    <w:rsid w:val="008C0CAA"/>
    <w:rsid w:val="008C0D05"/>
    <w:rsid w:val="008C0D6F"/>
    <w:rsid w:val="008C0F79"/>
    <w:rsid w:val="008C1229"/>
    <w:rsid w:val="008C1B6B"/>
    <w:rsid w:val="008C272E"/>
    <w:rsid w:val="008C3720"/>
    <w:rsid w:val="008C378A"/>
    <w:rsid w:val="008C3BA4"/>
    <w:rsid w:val="008C417C"/>
    <w:rsid w:val="008C42B1"/>
    <w:rsid w:val="008C4A94"/>
    <w:rsid w:val="008C4C99"/>
    <w:rsid w:val="008C4CFA"/>
    <w:rsid w:val="008C4E27"/>
    <w:rsid w:val="008C4EC8"/>
    <w:rsid w:val="008C4F33"/>
    <w:rsid w:val="008C5A6A"/>
    <w:rsid w:val="008C5F9C"/>
    <w:rsid w:val="008C6313"/>
    <w:rsid w:val="008C651B"/>
    <w:rsid w:val="008C65C8"/>
    <w:rsid w:val="008C6A05"/>
    <w:rsid w:val="008C6B4E"/>
    <w:rsid w:val="008C6D1E"/>
    <w:rsid w:val="008D0092"/>
    <w:rsid w:val="008D0C97"/>
    <w:rsid w:val="008D1E6E"/>
    <w:rsid w:val="008D1F40"/>
    <w:rsid w:val="008D20A0"/>
    <w:rsid w:val="008D2D8A"/>
    <w:rsid w:val="008D2FF3"/>
    <w:rsid w:val="008D311F"/>
    <w:rsid w:val="008D3481"/>
    <w:rsid w:val="008D55C4"/>
    <w:rsid w:val="008D5725"/>
    <w:rsid w:val="008D5A58"/>
    <w:rsid w:val="008D5BE6"/>
    <w:rsid w:val="008D63B7"/>
    <w:rsid w:val="008D642A"/>
    <w:rsid w:val="008D6A12"/>
    <w:rsid w:val="008D71DD"/>
    <w:rsid w:val="008D7253"/>
    <w:rsid w:val="008D72C7"/>
    <w:rsid w:val="008D757A"/>
    <w:rsid w:val="008E0035"/>
    <w:rsid w:val="008E0476"/>
    <w:rsid w:val="008E07F0"/>
    <w:rsid w:val="008E0CAC"/>
    <w:rsid w:val="008E0D80"/>
    <w:rsid w:val="008E10A3"/>
    <w:rsid w:val="008E1E08"/>
    <w:rsid w:val="008E2088"/>
    <w:rsid w:val="008E25B6"/>
    <w:rsid w:val="008E2F9A"/>
    <w:rsid w:val="008E3434"/>
    <w:rsid w:val="008E42DC"/>
    <w:rsid w:val="008E445C"/>
    <w:rsid w:val="008E45AB"/>
    <w:rsid w:val="008E4780"/>
    <w:rsid w:val="008E4842"/>
    <w:rsid w:val="008E5819"/>
    <w:rsid w:val="008E5A7A"/>
    <w:rsid w:val="008E5D70"/>
    <w:rsid w:val="008E5E37"/>
    <w:rsid w:val="008E6468"/>
    <w:rsid w:val="008E674A"/>
    <w:rsid w:val="008E7B59"/>
    <w:rsid w:val="008F0292"/>
    <w:rsid w:val="008F02A5"/>
    <w:rsid w:val="008F065C"/>
    <w:rsid w:val="008F0841"/>
    <w:rsid w:val="008F0847"/>
    <w:rsid w:val="008F0B12"/>
    <w:rsid w:val="008F0D02"/>
    <w:rsid w:val="008F1242"/>
    <w:rsid w:val="008F1338"/>
    <w:rsid w:val="008F1451"/>
    <w:rsid w:val="008F1577"/>
    <w:rsid w:val="008F15DF"/>
    <w:rsid w:val="008F188D"/>
    <w:rsid w:val="008F1E21"/>
    <w:rsid w:val="008F2033"/>
    <w:rsid w:val="008F22A9"/>
    <w:rsid w:val="008F2309"/>
    <w:rsid w:val="008F2B82"/>
    <w:rsid w:val="008F2DCD"/>
    <w:rsid w:val="008F317D"/>
    <w:rsid w:val="008F322B"/>
    <w:rsid w:val="008F352D"/>
    <w:rsid w:val="008F400A"/>
    <w:rsid w:val="008F4F31"/>
    <w:rsid w:val="008F4FBE"/>
    <w:rsid w:val="008F515D"/>
    <w:rsid w:val="008F55A6"/>
    <w:rsid w:val="008F6277"/>
    <w:rsid w:val="008F64E5"/>
    <w:rsid w:val="008F6E3F"/>
    <w:rsid w:val="008F724A"/>
    <w:rsid w:val="008F7EE0"/>
    <w:rsid w:val="00901214"/>
    <w:rsid w:val="009012C9"/>
    <w:rsid w:val="00901943"/>
    <w:rsid w:val="009019FD"/>
    <w:rsid w:val="00902C58"/>
    <w:rsid w:val="00903442"/>
    <w:rsid w:val="00903571"/>
    <w:rsid w:val="00903B5D"/>
    <w:rsid w:val="00903B6D"/>
    <w:rsid w:val="00903BF9"/>
    <w:rsid w:val="00903F44"/>
    <w:rsid w:val="009043F5"/>
    <w:rsid w:val="00904449"/>
    <w:rsid w:val="009045E1"/>
    <w:rsid w:val="009047C2"/>
    <w:rsid w:val="00904A7B"/>
    <w:rsid w:val="00905660"/>
    <w:rsid w:val="009057CA"/>
    <w:rsid w:val="0090588A"/>
    <w:rsid w:val="0090601C"/>
    <w:rsid w:val="00906346"/>
    <w:rsid w:val="00906424"/>
    <w:rsid w:val="00907A2B"/>
    <w:rsid w:val="00907C48"/>
    <w:rsid w:val="00910698"/>
    <w:rsid w:val="0091079F"/>
    <w:rsid w:val="00910C00"/>
    <w:rsid w:val="0091109E"/>
    <w:rsid w:val="0091140C"/>
    <w:rsid w:val="009114CD"/>
    <w:rsid w:val="009117CE"/>
    <w:rsid w:val="009118E7"/>
    <w:rsid w:val="00911C6D"/>
    <w:rsid w:val="00911D5C"/>
    <w:rsid w:val="00912026"/>
    <w:rsid w:val="009120F6"/>
    <w:rsid w:val="00912B29"/>
    <w:rsid w:val="00913337"/>
    <w:rsid w:val="00913F2D"/>
    <w:rsid w:val="0091440C"/>
    <w:rsid w:val="0091451F"/>
    <w:rsid w:val="0091481E"/>
    <w:rsid w:val="009152A3"/>
    <w:rsid w:val="009153F4"/>
    <w:rsid w:val="00915444"/>
    <w:rsid w:val="0091558A"/>
    <w:rsid w:val="0091575D"/>
    <w:rsid w:val="009158D9"/>
    <w:rsid w:val="0091692D"/>
    <w:rsid w:val="00917397"/>
    <w:rsid w:val="00917626"/>
    <w:rsid w:val="00917780"/>
    <w:rsid w:val="00920056"/>
    <w:rsid w:val="00920783"/>
    <w:rsid w:val="00921288"/>
    <w:rsid w:val="0092145A"/>
    <w:rsid w:val="00921478"/>
    <w:rsid w:val="00921617"/>
    <w:rsid w:val="00921AD3"/>
    <w:rsid w:val="00921C8A"/>
    <w:rsid w:val="00921D36"/>
    <w:rsid w:val="009222EC"/>
    <w:rsid w:val="00923942"/>
    <w:rsid w:val="00924334"/>
    <w:rsid w:val="009244F5"/>
    <w:rsid w:val="009248B5"/>
    <w:rsid w:val="009253CF"/>
    <w:rsid w:val="00926148"/>
    <w:rsid w:val="00926276"/>
    <w:rsid w:val="00926A66"/>
    <w:rsid w:val="00926D86"/>
    <w:rsid w:val="00926DAC"/>
    <w:rsid w:val="0092701F"/>
    <w:rsid w:val="009273BB"/>
    <w:rsid w:val="00927866"/>
    <w:rsid w:val="00927AB4"/>
    <w:rsid w:val="00927F06"/>
    <w:rsid w:val="009301B7"/>
    <w:rsid w:val="0093188A"/>
    <w:rsid w:val="00931B00"/>
    <w:rsid w:val="0093208E"/>
    <w:rsid w:val="00932338"/>
    <w:rsid w:val="00932AC4"/>
    <w:rsid w:val="00932EE5"/>
    <w:rsid w:val="0093403F"/>
    <w:rsid w:val="0093407F"/>
    <w:rsid w:val="009344BB"/>
    <w:rsid w:val="009345E8"/>
    <w:rsid w:val="009348AA"/>
    <w:rsid w:val="00934DE9"/>
    <w:rsid w:val="00934EB9"/>
    <w:rsid w:val="0093531F"/>
    <w:rsid w:val="00935ED6"/>
    <w:rsid w:val="009366FC"/>
    <w:rsid w:val="009367B2"/>
    <w:rsid w:val="009373D0"/>
    <w:rsid w:val="00937507"/>
    <w:rsid w:val="00940162"/>
    <w:rsid w:val="00940869"/>
    <w:rsid w:val="00940953"/>
    <w:rsid w:val="00940A1C"/>
    <w:rsid w:val="00940CEA"/>
    <w:rsid w:val="00942389"/>
    <w:rsid w:val="00942D1D"/>
    <w:rsid w:val="009432B6"/>
    <w:rsid w:val="00943730"/>
    <w:rsid w:val="00943A83"/>
    <w:rsid w:val="00944381"/>
    <w:rsid w:val="009443BA"/>
    <w:rsid w:val="00944BA6"/>
    <w:rsid w:val="00945681"/>
    <w:rsid w:val="0094569E"/>
    <w:rsid w:val="009457C6"/>
    <w:rsid w:val="009458AA"/>
    <w:rsid w:val="00946EA9"/>
    <w:rsid w:val="00947A23"/>
    <w:rsid w:val="00947A56"/>
    <w:rsid w:val="00950BAB"/>
    <w:rsid w:val="00951386"/>
    <w:rsid w:val="0095156A"/>
    <w:rsid w:val="00951934"/>
    <w:rsid w:val="00951AC2"/>
    <w:rsid w:val="00951B7E"/>
    <w:rsid w:val="00951C63"/>
    <w:rsid w:val="00951EE3"/>
    <w:rsid w:val="00953147"/>
    <w:rsid w:val="00954922"/>
    <w:rsid w:val="00954C37"/>
    <w:rsid w:val="0095540E"/>
    <w:rsid w:val="00956011"/>
    <w:rsid w:val="009561C7"/>
    <w:rsid w:val="009563CA"/>
    <w:rsid w:val="00956842"/>
    <w:rsid w:val="00956B60"/>
    <w:rsid w:val="00956D93"/>
    <w:rsid w:val="00956DAD"/>
    <w:rsid w:val="0095755F"/>
    <w:rsid w:val="0095768F"/>
    <w:rsid w:val="00957F7D"/>
    <w:rsid w:val="009605CF"/>
    <w:rsid w:val="0096076D"/>
    <w:rsid w:val="00961901"/>
    <w:rsid w:val="00961F74"/>
    <w:rsid w:val="00962153"/>
    <w:rsid w:val="00962230"/>
    <w:rsid w:val="009623BA"/>
    <w:rsid w:val="0096244F"/>
    <w:rsid w:val="00962465"/>
    <w:rsid w:val="0096376C"/>
    <w:rsid w:val="0096593C"/>
    <w:rsid w:val="00965FBD"/>
    <w:rsid w:val="00966426"/>
    <w:rsid w:val="009665BD"/>
    <w:rsid w:val="00966D51"/>
    <w:rsid w:val="0096787D"/>
    <w:rsid w:val="00967AC1"/>
    <w:rsid w:val="0097064B"/>
    <w:rsid w:val="009706EF"/>
    <w:rsid w:val="009707F2"/>
    <w:rsid w:val="0097177E"/>
    <w:rsid w:val="00972C9F"/>
    <w:rsid w:val="00972EA9"/>
    <w:rsid w:val="00973D1C"/>
    <w:rsid w:val="00974261"/>
    <w:rsid w:val="0097462B"/>
    <w:rsid w:val="00974A4C"/>
    <w:rsid w:val="00974BB0"/>
    <w:rsid w:val="009755BD"/>
    <w:rsid w:val="009759E7"/>
    <w:rsid w:val="0097622E"/>
    <w:rsid w:val="00976281"/>
    <w:rsid w:val="00976346"/>
    <w:rsid w:val="009768D2"/>
    <w:rsid w:val="00976AAB"/>
    <w:rsid w:val="00976FCC"/>
    <w:rsid w:val="0098024E"/>
    <w:rsid w:val="0098047C"/>
    <w:rsid w:val="00980492"/>
    <w:rsid w:val="00980D1B"/>
    <w:rsid w:val="00980D9C"/>
    <w:rsid w:val="00981323"/>
    <w:rsid w:val="0098147E"/>
    <w:rsid w:val="009815FF"/>
    <w:rsid w:val="009817AC"/>
    <w:rsid w:val="00981C6C"/>
    <w:rsid w:val="009824EA"/>
    <w:rsid w:val="009828B2"/>
    <w:rsid w:val="00982C47"/>
    <w:rsid w:val="00983075"/>
    <w:rsid w:val="0098363F"/>
    <w:rsid w:val="0098364A"/>
    <w:rsid w:val="0098391D"/>
    <w:rsid w:val="00983A9E"/>
    <w:rsid w:val="00983B7D"/>
    <w:rsid w:val="00983F1B"/>
    <w:rsid w:val="00983F3F"/>
    <w:rsid w:val="00984456"/>
    <w:rsid w:val="00984AB0"/>
    <w:rsid w:val="00984F74"/>
    <w:rsid w:val="009850AE"/>
    <w:rsid w:val="009854E3"/>
    <w:rsid w:val="00985CEB"/>
    <w:rsid w:val="00985D37"/>
    <w:rsid w:val="009865F4"/>
    <w:rsid w:val="0098661D"/>
    <w:rsid w:val="009866B4"/>
    <w:rsid w:val="00986825"/>
    <w:rsid w:val="0098688F"/>
    <w:rsid w:val="00986B00"/>
    <w:rsid w:val="00986E7A"/>
    <w:rsid w:val="00986F13"/>
    <w:rsid w:val="0098784E"/>
    <w:rsid w:val="00987882"/>
    <w:rsid w:val="00990B7A"/>
    <w:rsid w:val="00991091"/>
    <w:rsid w:val="00991860"/>
    <w:rsid w:val="00991F2F"/>
    <w:rsid w:val="00992123"/>
    <w:rsid w:val="00992141"/>
    <w:rsid w:val="00992359"/>
    <w:rsid w:val="00992A28"/>
    <w:rsid w:val="00992C47"/>
    <w:rsid w:val="00992F51"/>
    <w:rsid w:val="00992FD8"/>
    <w:rsid w:val="00993483"/>
    <w:rsid w:val="0099360E"/>
    <w:rsid w:val="00993B57"/>
    <w:rsid w:val="00993CFD"/>
    <w:rsid w:val="00993EC5"/>
    <w:rsid w:val="00994668"/>
    <w:rsid w:val="009946A0"/>
    <w:rsid w:val="00994AB2"/>
    <w:rsid w:val="00994D9F"/>
    <w:rsid w:val="009950E8"/>
    <w:rsid w:val="00995125"/>
    <w:rsid w:val="0099553E"/>
    <w:rsid w:val="00995E04"/>
    <w:rsid w:val="0099644E"/>
    <w:rsid w:val="009969B5"/>
    <w:rsid w:val="009969BA"/>
    <w:rsid w:val="009969E5"/>
    <w:rsid w:val="0099753C"/>
    <w:rsid w:val="00997B71"/>
    <w:rsid w:val="009A0201"/>
    <w:rsid w:val="009A072A"/>
    <w:rsid w:val="009A0816"/>
    <w:rsid w:val="009A085E"/>
    <w:rsid w:val="009A0D32"/>
    <w:rsid w:val="009A1430"/>
    <w:rsid w:val="009A14BC"/>
    <w:rsid w:val="009A1A09"/>
    <w:rsid w:val="009A2373"/>
    <w:rsid w:val="009A30BE"/>
    <w:rsid w:val="009A30E1"/>
    <w:rsid w:val="009A3265"/>
    <w:rsid w:val="009A338B"/>
    <w:rsid w:val="009A369B"/>
    <w:rsid w:val="009A3A0E"/>
    <w:rsid w:val="009A3E35"/>
    <w:rsid w:val="009A41C9"/>
    <w:rsid w:val="009A4981"/>
    <w:rsid w:val="009A4BD7"/>
    <w:rsid w:val="009A4DDA"/>
    <w:rsid w:val="009A52BC"/>
    <w:rsid w:val="009A566C"/>
    <w:rsid w:val="009A5E3F"/>
    <w:rsid w:val="009A5FDA"/>
    <w:rsid w:val="009A62AC"/>
    <w:rsid w:val="009A62CF"/>
    <w:rsid w:val="009A6526"/>
    <w:rsid w:val="009A667B"/>
    <w:rsid w:val="009A6947"/>
    <w:rsid w:val="009A6BBB"/>
    <w:rsid w:val="009A6FD5"/>
    <w:rsid w:val="009A75AE"/>
    <w:rsid w:val="009A761D"/>
    <w:rsid w:val="009A7A54"/>
    <w:rsid w:val="009B0907"/>
    <w:rsid w:val="009B0C10"/>
    <w:rsid w:val="009B0F4E"/>
    <w:rsid w:val="009B11B4"/>
    <w:rsid w:val="009B1A2B"/>
    <w:rsid w:val="009B1D1A"/>
    <w:rsid w:val="009B1DD6"/>
    <w:rsid w:val="009B1F05"/>
    <w:rsid w:val="009B1F49"/>
    <w:rsid w:val="009B2399"/>
    <w:rsid w:val="009B2A58"/>
    <w:rsid w:val="009B2FFC"/>
    <w:rsid w:val="009B3362"/>
    <w:rsid w:val="009B3F1D"/>
    <w:rsid w:val="009B454C"/>
    <w:rsid w:val="009B466C"/>
    <w:rsid w:val="009B4752"/>
    <w:rsid w:val="009B4ACB"/>
    <w:rsid w:val="009B4EB3"/>
    <w:rsid w:val="009B4F1C"/>
    <w:rsid w:val="009B52E9"/>
    <w:rsid w:val="009B55BC"/>
    <w:rsid w:val="009B600C"/>
    <w:rsid w:val="009B6101"/>
    <w:rsid w:val="009B626F"/>
    <w:rsid w:val="009B6602"/>
    <w:rsid w:val="009B68FB"/>
    <w:rsid w:val="009B690B"/>
    <w:rsid w:val="009B726A"/>
    <w:rsid w:val="009B7410"/>
    <w:rsid w:val="009B75E9"/>
    <w:rsid w:val="009B76A7"/>
    <w:rsid w:val="009B7B4B"/>
    <w:rsid w:val="009C011A"/>
    <w:rsid w:val="009C0B53"/>
    <w:rsid w:val="009C0F92"/>
    <w:rsid w:val="009C1360"/>
    <w:rsid w:val="009C1658"/>
    <w:rsid w:val="009C191B"/>
    <w:rsid w:val="009C1950"/>
    <w:rsid w:val="009C25C1"/>
    <w:rsid w:val="009C2703"/>
    <w:rsid w:val="009C2B9B"/>
    <w:rsid w:val="009C2BDC"/>
    <w:rsid w:val="009C3147"/>
    <w:rsid w:val="009C3799"/>
    <w:rsid w:val="009C3F22"/>
    <w:rsid w:val="009C3FB4"/>
    <w:rsid w:val="009C4AC9"/>
    <w:rsid w:val="009C4B4D"/>
    <w:rsid w:val="009C5007"/>
    <w:rsid w:val="009C50D5"/>
    <w:rsid w:val="009C547D"/>
    <w:rsid w:val="009C587E"/>
    <w:rsid w:val="009C5C4F"/>
    <w:rsid w:val="009C5C5F"/>
    <w:rsid w:val="009C697E"/>
    <w:rsid w:val="009C6AAB"/>
    <w:rsid w:val="009C6C95"/>
    <w:rsid w:val="009C6CAD"/>
    <w:rsid w:val="009C6E62"/>
    <w:rsid w:val="009C71F4"/>
    <w:rsid w:val="009C7644"/>
    <w:rsid w:val="009C7686"/>
    <w:rsid w:val="009C7B92"/>
    <w:rsid w:val="009C7D3E"/>
    <w:rsid w:val="009D0077"/>
    <w:rsid w:val="009D03F0"/>
    <w:rsid w:val="009D10CE"/>
    <w:rsid w:val="009D19BF"/>
    <w:rsid w:val="009D1FDB"/>
    <w:rsid w:val="009D20E5"/>
    <w:rsid w:val="009D253B"/>
    <w:rsid w:val="009D267A"/>
    <w:rsid w:val="009D3558"/>
    <w:rsid w:val="009D3FB8"/>
    <w:rsid w:val="009D46F4"/>
    <w:rsid w:val="009D4A56"/>
    <w:rsid w:val="009D4C17"/>
    <w:rsid w:val="009D5C27"/>
    <w:rsid w:val="009D5CB0"/>
    <w:rsid w:val="009D5FE9"/>
    <w:rsid w:val="009D62B6"/>
    <w:rsid w:val="009D67D7"/>
    <w:rsid w:val="009D6B00"/>
    <w:rsid w:val="009D7635"/>
    <w:rsid w:val="009D7767"/>
    <w:rsid w:val="009E0012"/>
    <w:rsid w:val="009E03B1"/>
    <w:rsid w:val="009E09A2"/>
    <w:rsid w:val="009E1463"/>
    <w:rsid w:val="009E1AFB"/>
    <w:rsid w:val="009E2287"/>
    <w:rsid w:val="009E281D"/>
    <w:rsid w:val="009E39A7"/>
    <w:rsid w:val="009E461D"/>
    <w:rsid w:val="009E50A2"/>
    <w:rsid w:val="009E5416"/>
    <w:rsid w:val="009E59AB"/>
    <w:rsid w:val="009E6159"/>
    <w:rsid w:val="009E62E0"/>
    <w:rsid w:val="009E68EB"/>
    <w:rsid w:val="009E6CC7"/>
    <w:rsid w:val="009E6FA8"/>
    <w:rsid w:val="009E7198"/>
    <w:rsid w:val="009E71C7"/>
    <w:rsid w:val="009E7883"/>
    <w:rsid w:val="009E7B28"/>
    <w:rsid w:val="009F139A"/>
    <w:rsid w:val="009F187B"/>
    <w:rsid w:val="009F2576"/>
    <w:rsid w:val="009F29E6"/>
    <w:rsid w:val="009F2DC9"/>
    <w:rsid w:val="009F3163"/>
    <w:rsid w:val="009F35CD"/>
    <w:rsid w:val="009F3D4D"/>
    <w:rsid w:val="009F40B2"/>
    <w:rsid w:val="009F41B2"/>
    <w:rsid w:val="009F44DE"/>
    <w:rsid w:val="009F4B19"/>
    <w:rsid w:val="009F56A7"/>
    <w:rsid w:val="009F5B66"/>
    <w:rsid w:val="009F6198"/>
    <w:rsid w:val="009F67C8"/>
    <w:rsid w:val="009F6C18"/>
    <w:rsid w:val="009F6E6A"/>
    <w:rsid w:val="009F7244"/>
    <w:rsid w:val="009F7283"/>
    <w:rsid w:val="009F7646"/>
    <w:rsid w:val="009F76A1"/>
    <w:rsid w:val="009F7937"/>
    <w:rsid w:val="009F7BF5"/>
    <w:rsid w:val="009F7E07"/>
    <w:rsid w:val="00A00226"/>
    <w:rsid w:val="00A006AC"/>
    <w:rsid w:val="00A009EC"/>
    <w:rsid w:val="00A00AF1"/>
    <w:rsid w:val="00A00B11"/>
    <w:rsid w:val="00A00C51"/>
    <w:rsid w:val="00A00E49"/>
    <w:rsid w:val="00A013C4"/>
    <w:rsid w:val="00A01781"/>
    <w:rsid w:val="00A0180D"/>
    <w:rsid w:val="00A020C4"/>
    <w:rsid w:val="00A027DF"/>
    <w:rsid w:val="00A02A7D"/>
    <w:rsid w:val="00A02B47"/>
    <w:rsid w:val="00A033A9"/>
    <w:rsid w:val="00A0343E"/>
    <w:rsid w:val="00A04202"/>
    <w:rsid w:val="00A0487E"/>
    <w:rsid w:val="00A04D52"/>
    <w:rsid w:val="00A04EE7"/>
    <w:rsid w:val="00A05147"/>
    <w:rsid w:val="00A059A0"/>
    <w:rsid w:val="00A05D47"/>
    <w:rsid w:val="00A060B8"/>
    <w:rsid w:val="00A061FE"/>
    <w:rsid w:val="00A0620C"/>
    <w:rsid w:val="00A0648D"/>
    <w:rsid w:val="00A07727"/>
    <w:rsid w:val="00A07731"/>
    <w:rsid w:val="00A07A48"/>
    <w:rsid w:val="00A07AA6"/>
    <w:rsid w:val="00A10EB5"/>
    <w:rsid w:val="00A1102D"/>
    <w:rsid w:val="00A1131B"/>
    <w:rsid w:val="00A11B56"/>
    <w:rsid w:val="00A11C72"/>
    <w:rsid w:val="00A11CB4"/>
    <w:rsid w:val="00A11FAD"/>
    <w:rsid w:val="00A12004"/>
    <w:rsid w:val="00A1302A"/>
    <w:rsid w:val="00A13979"/>
    <w:rsid w:val="00A13F25"/>
    <w:rsid w:val="00A141D7"/>
    <w:rsid w:val="00A14AD0"/>
    <w:rsid w:val="00A14CA9"/>
    <w:rsid w:val="00A15249"/>
    <w:rsid w:val="00A15781"/>
    <w:rsid w:val="00A15E95"/>
    <w:rsid w:val="00A16100"/>
    <w:rsid w:val="00A164B5"/>
    <w:rsid w:val="00A16EFB"/>
    <w:rsid w:val="00A177F0"/>
    <w:rsid w:val="00A178CA"/>
    <w:rsid w:val="00A20144"/>
    <w:rsid w:val="00A2067C"/>
    <w:rsid w:val="00A2080F"/>
    <w:rsid w:val="00A20DE4"/>
    <w:rsid w:val="00A20FED"/>
    <w:rsid w:val="00A210B0"/>
    <w:rsid w:val="00A21C57"/>
    <w:rsid w:val="00A21FBF"/>
    <w:rsid w:val="00A221D2"/>
    <w:rsid w:val="00A236F1"/>
    <w:rsid w:val="00A23796"/>
    <w:rsid w:val="00A23B0D"/>
    <w:rsid w:val="00A23E25"/>
    <w:rsid w:val="00A256D8"/>
    <w:rsid w:val="00A25878"/>
    <w:rsid w:val="00A25945"/>
    <w:rsid w:val="00A259E2"/>
    <w:rsid w:val="00A25AE6"/>
    <w:rsid w:val="00A25F00"/>
    <w:rsid w:val="00A25F43"/>
    <w:rsid w:val="00A2654C"/>
    <w:rsid w:val="00A265BE"/>
    <w:rsid w:val="00A266CF"/>
    <w:rsid w:val="00A27007"/>
    <w:rsid w:val="00A27C66"/>
    <w:rsid w:val="00A27D3F"/>
    <w:rsid w:val="00A27E19"/>
    <w:rsid w:val="00A30174"/>
    <w:rsid w:val="00A3028A"/>
    <w:rsid w:val="00A30898"/>
    <w:rsid w:val="00A30958"/>
    <w:rsid w:val="00A32365"/>
    <w:rsid w:val="00A32DC6"/>
    <w:rsid w:val="00A32E5B"/>
    <w:rsid w:val="00A33AD6"/>
    <w:rsid w:val="00A33D61"/>
    <w:rsid w:val="00A3408E"/>
    <w:rsid w:val="00A341F4"/>
    <w:rsid w:val="00A342E5"/>
    <w:rsid w:val="00A347EA"/>
    <w:rsid w:val="00A352F9"/>
    <w:rsid w:val="00A35A78"/>
    <w:rsid w:val="00A35DAA"/>
    <w:rsid w:val="00A36AB3"/>
    <w:rsid w:val="00A36C43"/>
    <w:rsid w:val="00A36F82"/>
    <w:rsid w:val="00A370FA"/>
    <w:rsid w:val="00A40117"/>
    <w:rsid w:val="00A401E1"/>
    <w:rsid w:val="00A40241"/>
    <w:rsid w:val="00A40478"/>
    <w:rsid w:val="00A406F2"/>
    <w:rsid w:val="00A40F35"/>
    <w:rsid w:val="00A41895"/>
    <w:rsid w:val="00A41D97"/>
    <w:rsid w:val="00A42A82"/>
    <w:rsid w:val="00A4302C"/>
    <w:rsid w:val="00A431AF"/>
    <w:rsid w:val="00A4329A"/>
    <w:rsid w:val="00A43B0A"/>
    <w:rsid w:val="00A4400A"/>
    <w:rsid w:val="00A442C9"/>
    <w:rsid w:val="00A44464"/>
    <w:rsid w:val="00A446C5"/>
    <w:rsid w:val="00A453A8"/>
    <w:rsid w:val="00A45420"/>
    <w:rsid w:val="00A454E8"/>
    <w:rsid w:val="00A45C35"/>
    <w:rsid w:val="00A45EA7"/>
    <w:rsid w:val="00A45F66"/>
    <w:rsid w:val="00A4680F"/>
    <w:rsid w:val="00A47070"/>
    <w:rsid w:val="00A472FC"/>
    <w:rsid w:val="00A474E4"/>
    <w:rsid w:val="00A47820"/>
    <w:rsid w:val="00A47863"/>
    <w:rsid w:val="00A47D3D"/>
    <w:rsid w:val="00A501A7"/>
    <w:rsid w:val="00A5050F"/>
    <w:rsid w:val="00A506B9"/>
    <w:rsid w:val="00A50F12"/>
    <w:rsid w:val="00A51142"/>
    <w:rsid w:val="00A517AD"/>
    <w:rsid w:val="00A52AA9"/>
    <w:rsid w:val="00A52E95"/>
    <w:rsid w:val="00A52E96"/>
    <w:rsid w:val="00A53120"/>
    <w:rsid w:val="00A53327"/>
    <w:rsid w:val="00A535B0"/>
    <w:rsid w:val="00A5366D"/>
    <w:rsid w:val="00A539C0"/>
    <w:rsid w:val="00A53DD2"/>
    <w:rsid w:val="00A5482C"/>
    <w:rsid w:val="00A56007"/>
    <w:rsid w:val="00A56031"/>
    <w:rsid w:val="00A568ED"/>
    <w:rsid w:val="00A56F19"/>
    <w:rsid w:val="00A6023A"/>
    <w:rsid w:val="00A60A46"/>
    <w:rsid w:val="00A60B26"/>
    <w:rsid w:val="00A62384"/>
    <w:rsid w:val="00A6266D"/>
    <w:rsid w:val="00A626A4"/>
    <w:rsid w:val="00A62A16"/>
    <w:rsid w:val="00A639D4"/>
    <w:rsid w:val="00A63FDA"/>
    <w:rsid w:val="00A64AFF"/>
    <w:rsid w:val="00A65070"/>
    <w:rsid w:val="00A65883"/>
    <w:rsid w:val="00A659D5"/>
    <w:rsid w:val="00A65A47"/>
    <w:rsid w:val="00A65F82"/>
    <w:rsid w:val="00A6659C"/>
    <w:rsid w:val="00A66867"/>
    <w:rsid w:val="00A668C7"/>
    <w:rsid w:val="00A66C2A"/>
    <w:rsid w:val="00A677D8"/>
    <w:rsid w:val="00A67965"/>
    <w:rsid w:val="00A7070B"/>
    <w:rsid w:val="00A70735"/>
    <w:rsid w:val="00A70B5D"/>
    <w:rsid w:val="00A70D2C"/>
    <w:rsid w:val="00A71959"/>
    <w:rsid w:val="00A7196C"/>
    <w:rsid w:val="00A71CF8"/>
    <w:rsid w:val="00A71E77"/>
    <w:rsid w:val="00A71F96"/>
    <w:rsid w:val="00A72419"/>
    <w:rsid w:val="00A72481"/>
    <w:rsid w:val="00A72704"/>
    <w:rsid w:val="00A72AA2"/>
    <w:rsid w:val="00A72B86"/>
    <w:rsid w:val="00A73676"/>
    <w:rsid w:val="00A746DB"/>
    <w:rsid w:val="00A7476F"/>
    <w:rsid w:val="00A74B05"/>
    <w:rsid w:val="00A75483"/>
    <w:rsid w:val="00A75F6F"/>
    <w:rsid w:val="00A769B8"/>
    <w:rsid w:val="00A76C66"/>
    <w:rsid w:val="00A76DEB"/>
    <w:rsid w:val="00A7745E"/>
    <w:rsid w:val="00A77B20"/>
    <w:rsid w:val="00A77D5B"/>
    <w:rsid w:val="00A77FD9"/>
    <w:rsid w:val="00A807BE"/>
    <w:rsid w:val="00A807E4"/>
    <w:rsid w:val="00A80B7C"/>
    <w:rsid w:val="00A80D54"/>
    <w:rsid w:val="00A80DFA"/>
    <w:rsid w:val="00A80EB4"/>
    <w:rsid w:val="00A815B5"/>
    <w:rsid w:val="00A81F31"/>
    <w:rsid w:val="00A820DC"/>
    <w:rsid w:val="00A8215B"/>
    <w:rsid w:val="00A82552"/>
    <w:rsid w:val="00A8279E"/>
    <w:rsid w:val="00A82FB0"/>
    <w:rsid w:val="00A83004"/>
    <w:rsid w:val="00A8353A"/>
    <w:rsid w:val="00A8363C"/>
    <w:rsid w:val="00A83F76"/>
    <w:rsid w:val="00A83FDD"/>
    <w:rsid w:val="00A8425C"/>
    <w:rsid w:val="00A843C6"/>
    <w:rsid w:val="00A843FE"/>
    <w:rsid w:val="00A8554F"/>
    <w:rsid w:val="00A86755"/>
    <w:rsid w:val="00A87000"/>
    <w:rsid w:val="00A878E2"/>
    <w:rsid w:val="00A879B5"/>
    <w:rsid w:val="00A901D7"/>
    <w:rsid w:val="00A90874"/>
    <w:rsid w:val="00A91874"/>
    <w:rsid w:val="00A91DAC"/>
    <w:rsid w:val="00A92122"/>
    <w:rsid w:val="00A92370"/>
    <w:rsid w:val="00A92511"/>
    <w:rsid w:val="00A928C4"/>
    <w:rsid w:val="00A92ABE"/>
    <w:rsid w:val="00A92C7A"/>
    <w:rsid w:val="00A9330F"/>
    <w:rsid w:val="00A934C8"/>
    <w:rsid w:val="00A93BA6"/>
    <w:rsid w:val="00A93D68"/>
    <w:rsid w:val="00A94B4F"/>
    <w:rsid w:val="00A95818"/>
    <w:rsid w:val="00A95A06"/>
    <w:rsid w:val="00A95CE7"/>
    <w:rsid w:val="00A96055"/>
    <w:rsid w:val="00A96136"/>
    <w:rsid w:val="00A96727"/>
    <w:rsid w:val="00A97166"/>
    <w:rsid w:val="00A976C2"/>
    <w:rsid w:val="00A9775B"/>
    <w:rsid w:val="00AA0092"/>
    <w:rsid w:val="00AA0632"/>
    <w:rsid w:val="00AA07EB"/>
    <w:rsid w:val="00AA1864"/>
    <w:rsid w:val="00AA1AC1"/>
    <w:rsid w:val="00AA2014"/>
    <w:rsid w:val="00AA214A"/>
    <w:rsid w:val="00AA2593"/>
    <w:rsid w:val="00AA2BDF"/>
    <w:rsid w:val="00AA3A86"/>
    <w:rsid w:val="00AA3C71"/>
    <w:rsid w:val="00AA4213"/>
    <w:rsid w:val="00AA455A"/>
    <w:rsid w:val="00AA4694"/>
    <w:rsid w:val="00AA47E3"/>
    <w:rsid w:val="00AA493A"/>
    <w:rsid w:val="00AA514C"/>
    <w:rsid w:val="00AA51B3"/>
    <w:rsid w:val="00AA5402"/>
    <w:rsid w:val="00AA5E66"/>
    <w:rsid w:val="00AA6A50"/>
    <w:rsid w:val="00AA6D14"/>
    <w:rsid w:val="00AA73A5"/>
    <w:rsid w:val="00AB0514"/>
    <w:rsid w:val="00AB084F"/>
    <w:rsid w:val="00AB0884"/>
    <w:rsid w:val="00AB0FB9"/>
    <w:rsid w:val="00AB12AB"/>
    <w:rsid w:val="00AB20A2"/>
    <w:rsid w:val="00AB2498"/>
    <w:rsid w:val="00AB2757"/>
    <w:rsid w:val="00AB300F"/>
    <w:rsid w:val="00AB4308"/>
    <w:rsid w:val="00AB44A2"/>
    <w:rsid w:val="00AB4856"/>
    <w:rsid w:val="00AB4860"/>
    <w:rsid w:val="00AB4BAF"/>
    <w:rsid w:val="00AB4F39"/>
    <w:rsid w:val="00AB5B7B"/>
    <w:rsid w:val="00AB5B86"/>
    <w:rsid w:val="00AB5BCA"/>
    <w:rsid w:val="00AB5E1C"/>
    <w:rsid w:val="00AB61F5"/>
    <w:rsid w:val="00AB6714"/>
    <w:rsid w:val="00AB7413"/>
    <w:rsid w:val="00AB7792"/>
    <w:rsid w:val="00AB7BC3"/>
    <w:rsid w:val="00AB7CB5"/>
    <w:rsid w:val="00AB7E5B"/>
    <w:rsid w:val="00AB7FC1"/>
    <w:rsid w:val="00AC027B"/>
    <w:rsid w:val="00AC04F1"/>
    <w:rsid w:val="00AC0AE6"/>
    <w:rsid w:val="00AC0D0E"/>
    <w:rsid w:val="00AC12DE"/>
    <w:rsid w:val="00AC226A"/>
    <w:rsid w:val="00AC2572"/>
    <w:rsid w:val="00AC3131"/>
    <w:rsid w:val="00AC3E06"/>
    <w:rsid w:val="00AC3E77"/>
    <w:rsid w:val="00AC4B65"/>
    <w:rsid w:val="00AC4D4E"/>
    <w:rsid w:val="00AC5201"/>
    <w:rsid w:val="00AC570B"/>
    <w:rsid w:val="00AC5B56"/>
    <w:rsid w:val="00AC617C"/>
    <w:rsid w:val="00AC619A"/>
    <w:rsid w:val="00AC6F3E"/>
    <w:rsid w:val="00AC7174"/>
    <w:rsid w:val="00AC722F"/>
    <w:rsid w:val="00AC755F"/>
    <w:rsid w:val="00AC7809"/>
    <w:rsid w:val="00AC79A4"/>
    <w:rsid w:val="00AC7AA3"/>
    <w:rsid w:val="00AC7BB5"/>
    <w:rsid w:val="00AD00E7"/>
    <w:rsid w:val="00AD0763"/>
    <w:rsid w:val="00AD150C"/>
    <w:rsid w:val="00AD1D26"/>
    <w:rsid w:val="00AD26C1"/>
    <w:rsid w:val="00AD28DC"/>
    <w:rsid w:val="00AD2A09"/>
    <w:rsid w:val="00AD351E"/>
    <w:rsid w:val="00AD357A"/>
    <w:rsid w:val="00AD36E1"/>
    <w:rsid w:val="00AD37C1"/>
    <w:rsid w:val="00AD384F"/>
    <w:rsid w:val="00AD395F"/>
    <w:rsid w:val="00AD3C89"/>
    <w:rsid w:val="00AD40AA"/>
    <w:rsid w:val="00AD4191"/>
    <w:rsid w:val="00AD485A"/>
    <w:rsid w:val="00AD48EC"/>
    <w:rsid w:val="00AD531B"/>
    <w:rsid w:val="00AD54A0"/>
    <w:rsid w:val="00AD5A8F"/>
    <w:rsid w:val="00AD5F81"/>
    <w:rsid w:val="00AD6706"/>
    <w:rsid w:val="00AD6B21"/>
    <w:rsid w:val="00AD6C01"/>
    <w:rsid w:val="00AE0178"/>
    <w:rsid w:val="00AE04C1"/>
    <w:rsid w:val="00AE09AC"/>
    <w:rsid w:val="00AE1156"/>
    <w:rsid w:val="00AE11FB"/>
    <w:rsid w:val="00AE15E8"/>
    <w:rsid w:val="00AE1833"/>
    <w:rsid w:val="00AE1E78"/>
    <w:rsid w:val="00AE1F48"/>
    <w:rsid w:val="00AE2032"/>
    <w:rsid w:val="00AE24F3"/>
    <w:rsid w:val="00AE27D0"/>
    <w:rsid w:val="00AE28F4"/>
    <w:rsid w:val="00AE2ACE"/>
    <w:rsid w:val="00AE3BEB"/>
    <w:rsid w:val="00AE458A"/>
    <w:rsid w:val="00AE4915"/>
    <w:rsid w:val="00AE4DCA"/>
    <w:rsid w:val="00AE5189"/>
    <w:rsid w:val="00AE5C4F"/>
    <w:rsid w:val="00AE5CFF"/>
    <w:rsid w:val="00AE601D"/>
    <w:rsid w:val="00AE6671"/>
    <w:rsid w:val="00AE6B96"/>
    <w:rsid w:val="00AE6BAD"/>
    <w:rsid w:val="00AE78D3"/>
    <w:rsid w:val="00AE797B"/>
    <w:rsid w:val="00AE7C7B"/>
    <w:rsid w:val="00AF041E"/>
    <w:rsid w:val="00AF052B"/>
    <w:rsid w:val="00AF066D"/>
    <w:rsid w:val="00AF0824"/>
    <w:rsid w:val="00AF097C"/>
    <w:rsid w:val="00AF09D2"/>
    <w:rsid w:val="00AF0FA0"/>
    <w:rsid w:val="00AF1377"/>
    <w:rsid w:val="00AF2A60"/>
    <w:rsid w:val="00AF3050"/>
    <w:rsid w:val="00AF3BA7"/>
    <w:rsid w:val="00AF481B"/>
    <w:rsid w:val="00AF4A35"/>
    <w:rsid w:val="00AF50DB"/>
    <w:rsid w:val="00AF5602"/>
    <w:rsid w:val="00AF5DC1"/>
    <w:rsid w:val="00AF5E08"/>
    <w:rsid w:val="00AF6214"/>
    <w:rsid w:val="00AF635D"/>
    <w:rsid w:val="00AF63B1"/>
    <w:rsid w:val="00AF6440"/>
    <w:rsid w:val="00AF656A"/>
    <w:rsid w:val="00AF6938"/>
    <w:rsid w:val="00AF6B76"/>
    <w:rsid w:val="00AF6BCF"/>
    <w:rsid w:val="00AF6F65"/>
    <w:rsid w:val="00AF770E"/>
    <w:rsid w:val="00AF7DB6"/>
    <w:rsid w:val="00AF7DFC"/>
    <w:rsid w:val="00B001E6"/>
    <w:rsid w:val="00B00A9F"/>
    <w:rsid w:val="00B00EA7"/>
    <w:rsid w:val="00B012F9"/>
    <w:rsid w:val="00B0138F"/>
    <w:rsid w:val="00B0209C"/>
    <w:rsid w:val="00B02725"/>
    <w:rsid w:val="00B02E2C"/>
    <w:rsid w:val="00B039CD"/>
    <w:rsid w:val="00B03B51"/>
    <w:rsid w:val="00B04E28"/>
    <w:rsid w:val="00B058C5"/>
    <w:rsid w:val="00B05D58"/>
    <w:rsid w:val="00B06376"/>
    <w:rsid w:val="00B0640D"/>
    <w:rsid w:val="00B06E38"/>
    <w:rsid w:val="00B0732B"/>
    <w:rsid w:val="00B07435"/>
    <w:rsid w:val="00B07A8B"/>
    <w:rsid w:val="00B10C3D"/>
    <w:rsid w:val="00B116C7"/>
    <w:rsid w:val="00B117F6"/>
    <w:rsid w:val="00B118A5"/>
    <w:rsid w:val="00B11BAD"/>
    <w:rsid w:val="00B123E9"/>
    <w:rsid w:val="00B12812"/>
    <w:rsid w:val="00B12BEF"/>
    <w:rsid w:val="00B1335D"/>
    <w:rsid w:val="00B13377"/>
    <w:rsid w:val="00B13575"/>
    <w:rsid w:val="00B13CB0"/>
    <w:rsid w:val="00B14092"/>
    <w:rsid w:val="00B144FB"/>
    <w:rsid w:val="00B145F5"/>
    <w:rsid w:val="00B14E9C"/>
    <w:rsid w:val="00B15849"/>
    <w:rsid w:val="00B15908"/>
    <w:rsid w:val="00B15D41"/>
    <w:rsid w:val="00B166C7"/>
    <w:rsid w:val="00B16C7B"/>
    <w:rsid w:val="00B16DD6"/>
    <w:rsid w:val="00B16E04"/>
    <w:rsid w:val="00B16E77"/>
    <w:rsid w:val="00B173E1"/>
    <w:rsid w:val="00B203D6"/>
    <w:rsid w:val="00B2079F"/>
    <w:rsid w:val="00B20DF1"/>
    <w:rsid w:val="00B22098"/>
    <w:rsid w:val="00B227B3"/>
    <w:rsid w:val="00B22DC9"/>
    <w:rsid w:val="00B2391A"/>
    <w:rsid w:val="00B23CEB"/>
    <w:rsid w:val="00B24605"/>
    <w:rsid w:val="00B254AD"/>
    <w:rsid w:val="00B2570E"/>
    <w:rsid w:val="00B25DDE"/>
    <w:rsid w:val="00B2659C"/>
    <w:rsid w:val="00B266B3"/>
    <w:rsid w:val="00B26F56"/>
    <w:rsid w:val="00B2737B"/>
    <w:rsid w:val="00B275D0"/>
    <w:rsid w:val="00B277CC"/>
    <w:rsid w:val="00B30060"/>
    <w:rsid w:val="00B30148"/>
    <w:rsid w:val="00B3076F"/>
    <w:rsid w:val="00B30BC4"/>
    <w:rsid w:val="00B30D94"/>
    <w:rsid w:val="00B31062"/>
    <w:rsid w:val="00B31085"/>
    <w:rsid w:val="00B3216A"/>
    <w:rsid w:val="00B323A8"/>
    <w:rsid w:val="00B32AB6"/>
    <w:rsid w:val="00B32D4A"/>
    <w:rsid w:val="00B33E0A"/>
    <w:rsid w:val="00B347BF"/>
    <w:rsid w:val="00B348C5"/>
    <w:rsid w:val="00B34A3B"/>
    <w:rsid w:val="00B34F9E"/>
    <w:rsid w:val="00B35EC3"/>
    <w:rsid w:val="00B360DD"/>
    <w:rsid w:val="00B36CBA"/>
    <w:rsid w:val="00B371DF"/>
    <w:rsid w:val="00B3736D"/>
    <w:rsid w:val="00B37587"/>
    <w:rsid w:val="00B37F72"/>
    <w:rsid w:val="00B404F7"/>
    <w:rsid w:val="00B40B5A"/>
    <w:rsid w:val="00B41C86"/>
    <w:rsid w:val="00B41C99"/>
    <w:rsid w:val="00B4205C"/>
    <w:rsid w:val="00B42D93"/>
    <w:rsid w:val="00B42E71"/>
    <w:rsid w:val="00B438FB"/>
    <w:rsid w:val="00B43BEF"/>
    <w:rsid w:val="00B43E88"/>
    <w:rsid w:val="00B4408A"/>
    <w:rsid w:val="00B440B5"/>
    <w:rsid w:val="00B44674"/>
    <w:rsid w:val="00B451F6"/>
    <w:rsid w:val="00B455CD"/>
    <w:rsid w:val="00B456B5"/>
    <w:rsid w:val="00B456E1"/>
    <w:rsid w:val="00B458B0"/>
    <w:rsid w:val="00B467AA"/>
    <w:rsid w:val="00B46C7D"/>
    <w:rsid w:val="00B46FE7"/>
    <w:rsid w:val="00B4713E"/>
    <w:rsid w:val="00B47391"/>
    <w:rsid w:val="00B473E0"/>
    <w:rsid w:val="00B47C13"/>
    <w:rsid w:val="00B47D3C"/>
    <w:rsid w:val="00B502AC"/>
    <w:rsid w:val="00B5061A"/>
    <w:rsid w:val="00B5061E"/>
    <w:rsid w:val="00B50F81"/>
    <w:rsid w:val="00B51F4E"/>
    <w:rsid w:val="00B51F79"/>
    <w:rsid w:val="00B520A2"/>
    <w:rsid w:val="00B52134"/>
    <w:rsid w:val="00B52588"/>
    <w:rsid w:val="00B52CEF"/>
    <w:rsid w:val="00B53140"/>
    <w:rsid w:val="00B53316"/>
    <w:rsid w:val="00B53A33"/>
    <w:rsid w:val="00B5420A"/>
    <w:rsid w:val="00B548DB"/>
    <w:rsid w:val="00B54EC9"/>
    <w:rsid w:val="00B556AC"/>
    <w:rsid w:val="00B56412"/>
    <w:rsid w:val="00B56899"/>
    <w:rsid w:val="00B5769A"/>
    <w:rsid w:val="00B606C9"/>
    <w:rsid w:val="00B60AD8"/>
    <w:rsid w:val="00B60DCB"/>
    <w:rsid w:val="00B6127C"/>
    <w:rsid w:val="00B617A4"/>
    <w:rsid w:val="00B61963"/>
    <w:rsid w:val="00B62299"/>
    <w:rsid w:val="00B622E4"/>
    <w:rsid w:val="00B6268D"/>
    <w:rsid w:val="00B62B2B"/>
    <w:rsid w:val="00B630B2"/>
    <w:rsid w:val="00B638E4"/>
    <w:rsid w:val="00B638FC"/>
    <w:rsid w:val="00B6422A"/>
    <w:rsid w:val="00B643E5"/>
    <w:rsid w:val="00B65C81"/>
    <w:rsid w:val="00B65DE6"/>
    <w:rsid w:val="00B65ED5"/>
    <w:rsid w:val="00B666B5"/>
    <w:rsid w:val="00B668EB"/>
    <w:rsid w:val="00B6693D"/>
    <w:rsid w:val="00B66A06"/>
    <w:rsid w:val="00B66A26"/>
    <w:rsid w:val="00B66A86"/>
    <w:rsid w:val="00B66FC2"/>
    <w:rsid w:val="00B66FD8"/>
    <w:rsid w:val="00B6719E"/>
    <w:rsid w:val="00B674DF"/>
    <w:rsid w:val="00B67750"/>
    <w:rsid w:val="00B7010C"/>
    <w:rsid w:val="00B70D90"/>
    <w:rsid w:val="00B70F19"/>
    <w:rsid w:val="00B71271"/>
    <w:rsid w:val="00B712B4"/>
    <w:rsid w:val="00B7151B"/>
    <w:rsid w:val="00B71538"/>
    <w:rsid w:val="00B71648"/>
    <w:rsid w:val="00B71777"/>
    <w:rsid w:val="00B72431"/>
    <w:rsid w:val="00B72526"/>
    <w:rsid w:val="00B72D8F"/>
    <w:rsid w:val="00B7389E"/>
    <w:rsid w:val="00B73AE6"/>
    <w:rsid w:val="00B73B38"/>
    <w:rsid w:val="00B73FD1"/>
    <w:rsid w:val="00B74A83"/>
    <w:rsid w:val="00B74D18"/>
    <w:rsid w:val="00B7592F"/>
    <w:rsid w:val="00B75A14"/>
    <w:rsid w:val="00B75FBB"/>
    <w:rsid w:val="00B76F63"/>
    <w:rsid w:val="00B77323"/>
    <w:rsid w:val="00B778D5"/>
    <w:rsid w:val="00B803B5"/>
    <w:rsid w:val="00B8050E"/>
    <w:rsid w:val="00B81014"/>
    <w:rsid w:val="00B8139F"/>
    <w:rsid w:val="00B81653"/>
    <w:rsid w:val="00B81693"/>
    <w:rsid w:val="00B8244E"/>
    <w:rsid w:val="00B82A31"/>
    <w:rsid w:val="00B82AC4"/>
    <w:rsid w:val="00B83660"/>
    <w:rsid w:val="00B83C08"/>
    <w:rsid w:val="00B83CAC"/>
    <w:rsid w:val="00B83E01"/>
    <w:rsid w:val="00B840D1"/>
    <w:rsid w:val="00B84C2D"/>
    <w:rsid w:val="00B8557D"/>
    <w:rsid w:val="00B856FE"/>
    <w:rsid w:val="00B85AFB"/>
    <w:rsid w:val="00B86232"/>
    <w:rsid w:val="00B862DC"/>
    <w:rsid w:val="00B868D1"/>
    <w:rsid w:val="00B86DC4"/>
    <w:rsid w:val="00B86FAA"/>
    <w:rsid w:val="00B8719A"/>
    <w:rsid w:val="00B8780E"/>
    <w:rsid w:val="00B87A98"/>
    <w:rsid w:val="00B902ED"/>
    <w:rsid w:val="00B90494"/>
    <w:rsid w:val="00B90B15"/>
    <w:rsid w:val="00B90B69"/>
    <w:rsid w:val="00B90BD4"/>
    <w:rsid w:val="00B9164D"/>
    <w:rsid w:val="00B91A7C"/>
    <w:rsid w:val="00B91F4D"/>
    <w:rsid w:val="00B920D4"/>
    <w:rsid w:val="00B92840"/>
    <w:rsid w:val="00B92CDB"/>
    <w:rsid w:val="00B92F43"/>
    <w:rsid w:val="00B9325F"/>
    <w:rsid w:val="00B935AC"/>
    <w:rsid w:val="00B937A6"/>
    <w:rsid w:val="00B93BD0"/>
    <w:rsid w:val="00B93C48"/>
    <w:rsid w:val="00B93CB6"/>
    <w:rsid w:val="00B93D78"/>
    <w:rsid w:val="00B93ED5"/>
    <w:rsid w:val="00B94043"/>
    <w:rsid w:val="00B942A8"/>
    <w:rsid w:val="00B9456E"/>
    <w:rsid w:val="00B94686"/>
    <w:rsid w:val="00B94960"/>
    <w:rsid w:val="00B950DB"/>
    <w:rsid w:val="00B95197"/>
    <w:rsid w:val="00B9531E"/>
    <w:rsid w:val="00B964BB"/>
    <w:rsid w:val="00B96878"/>
    <w:rsid w:val="00B96DBA"/>
    <w:rsid w:val="00B9760F"/>
    <w:rsid w:val="00B97D73"/>
    <w:rsid w:val="00B97FAC"/>
    <w:rsid w:val="00BA0159"/>
    <w:rsid w:val="00BA0C08"/>
    <w:rsid w:val="00BA1981"/>
    <w:rsid w:val="00BA20F6"/>
    <w:rsid w:val="00BA220C"/>
    <w:rsid w:val="00BA22D4"/>
    <w:rsid w:val="00BA2D11"/>
    <w:rsid w:val="00BA2D7D"/>
    <w:rsid w:val="00BA3025"/>
    <w:rsid w:val="00BA36B1"/>
    <w:rsid w:val="00BA378A"/>
    <w:rsid w:val="00BA40C2"/>
    <w:rsid w:val="00BA477D"/>
    <w:rsid w:val="00BA5070"/>
    <w:rsid w:val="00BA5579"/>
    <w:rsid w:val="00BA589F"/>
    <w:rsid w:val="00BA5BE6"/>
    <w:rsid w:val="00BA5D28"/>
    <w:rsid w:val="00BA6A10"/>
    <w:rsid w:val="00BA6CC4"/>
    <w:rsid w:val="00BA6DAF"/>
    <w:rsid w:val="00BA7166"/>
    <w:rsid w:val="00BA7245"/>
    <w:rsid w:val="00BA7304"/>
    <w:rsid w:val="00BA74AF"/>
    <w:rsid w:val="00BA770A"/>
    <w:rsid w:val="00BA7832"/>
    <w:rsid w:val="00BB0C62"/>
    <w:rsid w:val="00BB134A"/>
    <w:rsid w:val="00BB200E"/>
    <w:rsid w:val="00BB2A66"/>
    <w:rsid w:val="00BB2E29"/>
    <w:rsid w:val="00BB2F35"/>
    <w:rsid w:val="00BB3B98"/>
    <w:rsid w:val="00BB42DE"/>
    <w:rsid w:val="00BB4305"/>
    <w:rsid w:val="00BB43ED"/>
    <w:rsid w:val="00BB45CB"/>
    <w:rsid w:val="00BB483E"/>
    <w:rsid w:val="00BB4CCA"/>
    <w:rsid w:val="00BB50CA"/>
    <w:rsid w:val="00BB5AFE"/>
    <w:rsid w:val="00BB65DF"/>
    <w:rsid w:val="00BB666C"/>
    <w:rsid w:val="00BB6722"/>
    <w:rsid w:val="00BB6F2A"/>
    <w:rsid w:val="00BB7375"/>
    <w:rsid w:val="00BB74D9"/>
    <w:rsid w:val="00BB7A7D"/>
    <w:rsid w:val="00BB7CBA"/>
    <w:rsid w:val="00BB7CD7"/>
    <w:rsid w:val="00BB7DCE"/>
    <w:rsid w:val="00BC05DD"/>
    <w:rsid w:val="00BC090D"/>
    <w:rsid w:val="00BC0BCF"/>
    <w:rsid w:val="00BC0CA5"/>
    <w:rsid w:val="00BC19EA"/>
    <w:rsid w:val="00BC1BD6"/>
    <w:rsid w:val="00BC1EAC"/>
    <w:rsid w:val="00BC20B8"/>
    <w:rsid w:val="00BC2516"/>
    <w:rsid w:val="00BC28D9"/>
    <w:rsid w:val="00BC2D22"/>
    <w:rsid w:val="00BC2FC5"/>
    <w:rsid w:val="00BC3177"/>
    <w:rsid w:val="00BC33DF"/>
    <w:rsid w:val="00BC3623"/>
    <w:rsid w:val="00BC39C9"/>
    <w:rsid w:val="00BC3CF2"/>
    <w:rsid w:val="00BC3D8F"/>
    <w:rsid w:val="00BC3F7A"/>
    <w:rsid w:val="00BC4CC5"/>
    <w:rsid w:val="00BC4E74"/>
    <w:rsid w:val="00BC5B4E"/>
    <w:rsid w:val="00BC6048"/>
    <w:rsid w:val="00BC62A0"/>
    <w:rsid w:val="00BC6948"/>
    <w:rsid w:val="00BC6974"/>
    <w:rsid w:val="00BC6C03"/>
    <w:rsid w:val="00BC6D23"/>
    <w:rsid w:val="00BC6FE8"/>
    <w:rsid w:val="00BC7333"/>
    <w:rsid w:val="00BD0032"/>
    <w:rsid w:val="00BD0202"/>
    <w:rsid w:val="00BD064A"/>
    <w:rsid w:val="00BD1102"/>
    <w:rsid w:val="00BD123B"/>
    <w:rsid w:val="00BD1492"/>
    <w:rsid w:val="00BD16B9"/>
    <w:rsid w:val="00BD180B"/>
    <w:rsid w:val="00BD1861"/>
    <w:rsid w:val="00BD1943"/>
    <w:rsid w:val="00BD2968"/>
    <w:rsid w:val="00BD2A4D"/>
    <w:rsid w:val="00BD30CE"/>
    <w:rsid w:val="00BD3D48"/>
    <w:rsid w:val="00BD3FD5"/>
    <w:rsid w:val="00BD44C6"/>
    <w:rsid w:val="00BD4645"/>
    <w:rsid w:val="00BD49C0"/>
    <w:rsid w:val="00BD4AB2"/>
    <w:rsid w:val="00BD4BE8"/>
    <w:rsid w:val="00BD5B49"/>
    <w:rsid w:val="00BD5D43"/>
    <w:rsid w:val="00BD61C0"/>
    <w:rsid w:val="00BD63AD"/>
    <w:rsid w:val="00BD6653"/>
    <w:rsid w:val="00BD68E5"/>
    <w:rsid w:val="00BD6FA7"/>
    <w:rsid w:val="00BD7707"/>
    <w:rsid w:val="00BD7AEC"/>
    <w:rsid w:val="00BD7B85"/>
    <w:rsid w:val="00BD7C59"/>
    <w:rsid w:val="00BE024D"/>
    <w:rsid w:val="00BE027D"/>
    <w:rsid w:val="00BE0539"/>
    <w:rsid w:val="00BE092C"/>
    <w:rsid w:val="00BE0E2A"/>
    <w:rsid w:val="00BE120B"/>
    <w:rsid w:val="00BE13C3"/>
    <w:rsid w:val="00BE15F0"/>
    <w:rsid w:val="00BE19F4"/>
    <w:rsid w:val="00BE2E3C"/>
    <w:rsid w:val="00BE359B"/>
    <w:rsid w:val="00BE3755"/>
    <w:rsid w:val="00BE37E5"/>
    <w:rsid w:val="00BE3B48"/>
    <w:rsid w:val="00BE44AA"/>
    <w:rsid w:val="00BE4BA4"/>
    <w:rsid w:val="00BE557D"/>
    <w:rsid w:val="00BE5C7A"/>
    <w:rsid w:val="00BE6950"/>
    <w:rsid w:val="00BE6AB8"/>
    <w:rsid w:val="00BE6CB4"/>
    <w:rsid w:val="00BE72F8"/>
    <w:rsid w:val="00BE76F5"/>
    <w:rsid w:val="00BF043C"/>
    <w:rsid w:val="00BF07C4"/>
    <w:rsid w:val="00BF0A2B"/>
    <w:rsid w:val="00BF120A"/>
    <w:rsid w:val="00BF175D"/>
    <w:rsid w:val="00BF19E6"/>
    <w:rsid w:val="00BF2167"/>
    <w:rsid w:val="00BF2625"/>
    <w:rsid w:val="00BF2679"/>
    <w:rsid w:val="00BF2C5B"/>
    <w:rsid w:val="00BF2E01"/>
    <w:rsid w:val="00BF3016"/>
    <w:rsid w:val="00BF3037"/>
    <w:rsid w:val="00BF3618"/>
    <w:rsid w:val="00BF3E01"/>
    <w:rsid w:val="00BF3E6F"/>
    <w:rsid w:val="00BF4246"/>
    <w:rsid w:val="00BF43BF"/>
    <w:rsid w:val="00BF45F0"/>
    <w:rsid w:val="00BF469C"/>
    <w:rsid w:val="00BF475B"/>
    <w:rsid w:val="00BF4798"/>
    <w:rsid w:val="00BF4E7E"/>
    <w:rsid w:val="00BF55D6"/>
    <w:rsid w:val="00BF5615"/>
    <w:rsid w:val="00BF572B"/>
    <w:rsid w:val="00BF5D98"/>
    <w:rsid w:val="00BF6365"/>
    <w:rsid w:val="00BF645A"/>
    <w:rsid w:val="00BF6E29"/>
    <w:rsid w:val="00BF728D"/>
    <w:rsid w:val="00BF7929"/>
    <w:rsid w:val="00BF7AAB"/>
    <w:rsid w:val="00C002AD"/>
    <w:rsid w:val="00C009AB"/>
    <w:rsid w:val="00C00CFF"/>
    <w:rsid w:val="00C00F22"/>
    <w:rsid w:val="00C0176A"/>
    <w:rsid w:val="00C018A5"/>
    <w:rsid w:val="00C01916"/>
    <w:rsid w:val="00C023B7"/>
    <w:rsid w:val="00C02B25"/>
    <w:rsid w:val="00C03AF3"/>
    <w:rsid w:val="00C040F4"/>
    <w:rsid w:val="00C0418A"/>
    <w:rsid w:val="00C043C1"/>
    <w:rsid w:val="00C04481"/>
    <w:rsid w:val="00C04ADC"/>
    <w:rsid w:val="00C0524D"/>
    <w:rsid w:val="00C0568B"/>
    <w:rsid w:val="00C059E7"/>
    <w:rsid w:val="00C05D54"/>
    <w:rsid w:val="00C061B2"/>
    <w:rsid w:val="00C0627B"/>
    <w:rsid w:val="00C0649A"/>
    <w:rsid w:val="00C06699"/>
    <w:rsid w:val="00C06EB8"/>
    <w:rsid w:val="00C10153"/>
    <w:rsid w:val="00C104D9"/>
    <w:rsid w:val="00C1077A"/>
    <w:rsid w:val="00C10CD9"/>
    <w:rsid w:val="00C10CF6"/>
    <w:rsid w:val="00C10F47"/>
    <w:rsid w:val="00C11123"/>
    <w:rsid w:val="00C113D6"/>
    <w:rsid w:val="00C11492"/>
    <w:rsid w:val="00C11735"/>
    <w:rsid w:val="00C117CF"/>
    <w:rsid w:val="00C1185E"/>
    <w:rsid w:val="00C1188D"/>
    <w:rsid w:val="00C13299"/>
    <w:rsid w:val="00C13330"/>
    <w:rsid w:val="00C1341D"/>
    <w:rsid w:val="00C14137"/>
    <w:rsid w:val="00C148E4"/>
    <w:rsid w:val="00C15212"/>
    <w:rsid w:val="00C15600"/>
    <w:rsid w:val="00C15B3F"/>
    <w:rsid w:val="00C15C17"/>
    <w:rsid w:val="00C15CBA"/>
    <w:rsid w:val="00C15FE9"/>
    <w:rsid w:val="00C163B4"/>
    <w:rsid w:val="00C17818"/>
    <w:rsid w:val="00C20414"/>
    <w:rsid w:val="00C20909"/>
    <w:rsid w:val="00C21050"/>
    <w:rsid w:val="00C21AC1"/>
    <w:rsid w:val="00C21B6C"/>
    <w:rsid w:val="00C21EFC"/>
    <w:rsid w:val="00C222E6"/>
    <w:rsid w:val="00C22378"/>
    <w:rsid w:val="00C227D4"/>
    <w:rsid w:val="00C23616"/>
    <w:rsid w:val="00C23DFD"/>
    <w:rsid w:val="00C240AE"/>
    <w:rsid w:val="00C240F0"/>
    <w:rsid w:val="00C24244"/>
    <w:rsid w:val="00C2559B"/>
    <w:rsid w:val="00C25698"/>
    <w:rsid w:val="00C25C96"/>
    <w:rsid w:val="00C260A5"/>
    <w:rsid w:val="00C2658F"/>
    <w:rsid w:val="00C26640"/>
    <w:rsid w:val="00C267D5"/>
    <w:rsid w:val="00C2693C"/>
    <w:rsid w:val="00C26C92"/>
    <w:rsid w:val="00C270C6"/>
    <w:rsid w:val="00C27716"/>
    <w:rsid w:val="00C279AC"/>
    <w:rsid w:val="00C27BBB"/>
    <w:rsid w:val="00C27FB3"/>
    <w:rsid w:val="00C3037B"/>
    <w:rsid w:val="00C30C8D"/>
    <w:rsid w:val="00C31930"/>
    <w:rsid w:val="00C31BE0"/>
    <w:rsid w:val="00C31DF6"/>
    <w:rsid w:val="00C320A0"/>
    <w:rsid w:val="00C325D8"/>
    <w:rsid w:val="00C32AC1"/>
    <w:rsid w:val="00C32D4F"/>
    <w:rsid w:val="00C3344C"/>
    <w:rsid w:val="00C334F3"/>
    <w:rsid w:val="00C33F9D"/>
    <w:rsid w:val="00C344DF"/>
    <w:rsid w:val="00C34BB3"/>
    <w:rsid w:val="00C35085"/>
    <w:rsid w:val="00C357F6"/>
    <w:rsid w:val="00C35A03"/>
    <w:rsid w:val="00C35B1A"/>
    <w:rsid w:val="00C35C60"/>
    <w:rsid w:val="00C362E1"/>
    <w:rsid w:val="00C36A67"/>
    <w:rsid w:val="00C36BD7"/>
    <w:rsid w:val="00C374C4"/>
    <w:rsid w:val="00C4053D"/>
    <w:rsid w:val="00C40634"/>
    <w:rsid w:val="00C406B7"/>
    <w:rsid w:val="00C4090F"/>
    <w:rsid w:val="00C40D40"/>
    <w:rsid w:val="00C40F9B"/>
    <w:rsid w:val="00C4100F"/>
    <w:rsid w:val="00C414F9"/>
    <w:rsid w:val="00C42277"/>
    <w:rsid w:val="00C423E0"/>
    <w:rsid w:val="00C42FA4"/>
    <w:rsid w:val="00C43044"/>
    <w:rsid w:val="00C4375E"/>
    <w:rsid w:val="00C44477"/>
    <w:rsid w:val="00C444EB"/>
    <w:rsid w:val="00C44BC4"/>
    <w:rsid w:val="00C44D17"/>
    <w:rsid w:val="00C45AAF"/>
    <w:rsid w:val="00C467D8"/>
    <w:rsid w:val="00C468EE"/>
    <w:rsid w:val="00C46A81"/>
    <w:rsid w:val="00C47023"/>
    <w:rsid w:val="00C47624"/>
    <w:rsid w:val="00C47758"/>
    <w:rsid w:val="00C47DF5"/>
    <w:rsid w:val="00C47DFF"/>
    <w:rsid w:val="00C50207"/>
    <w:rsid w:val="00C5026E"/>
    <w:rsid w:val="00C5071C"/>
    <w:rsid w:val="00C50E07"/>
    <w:rsid w:val="00C50F08"/>
    <w:rsid w:val="00C511B2"/>
    <w:rsid w:val="00C5132E"/>
    <w:rsid w:val="00C5194D"/>
    <w:rsid w:val="00C52082"/>
    <w:rsid w:val="00C52125"/>
    <w:rsid w:val="00C5215B"/>
    <w:rsid w:val="00C52215"/>
    <w:rsid w:val="00C5270F"/>
    <w:rsid w:val="00C52B1B"/>
    <w:rsid w:val="00C52CC2"/>
    <w:rsid w:val="00C536BE"/>
    <w:rsid w:val="00C53BFF"/>
    <w:rsid w:val="00C54FBE"/>
    <w:rsid w:val="00C550CE"/>
    <w:rsid w:val="00C55892"/>
    <w:rsid w:val="00C559BA"/>
    <w:rsid w:val="00C56970"/>
    <w:rsid w:val="00C6074A"/>
    <w:rsid w:val="00C60FA4"/>
    <w:rsid w:val="00C61005"/>
    <w:rsid w:val="00C61045"/>
    <w:rsid w:val="00C61503"/>
    <w:rsid w:val="00C617E1"/>
    <w:rsid w:val="00C61965"/>
    <w:rsid w:val="00C61F27"/>
    <w:rsid w:val="00C62551"/>
    <w:rsid w:val="00C62624"/>
    <w:rsid w:val="00C63393"/>
    <w:rsid w:val="00C6481F"/>
    <w:rsid w:val="00C64E77"/>
    <w:rsid w:val="00C651F9"/>
    <w:rsid w:val="00C654FC"/>
    <w:rsid w:val="00C65650"/>
    <w:rsid w:val="00C656BE"/>
    <w:rsid w:val="00C6599E"/>
    <w:rsid w:val="00C65BB6"/>
    <w:rsid w:val="00C65E33"/>
    <w:rsid w:val="00C664CE"/>
    <w:rsid w:val="00C667C3"/>
    <w:rsid w:val="00C6692C"/>
    <w:rsid w:val="00C6699E"/>
    <w:rsid w:val="00C66A79"/>
    <w:rsid w:val="00C66AA2"/>
    <w:rsid w:val="00C66DC2"/>
    <w:rsid w:val="00C66E15"/>
    <w:rsid w:val="00C6703F"/>
    <w:rsid w:val="00C67635"/>
    <w:rsid w:val="00C67908"/>
    <w:rsid w:val="00C6796D"/>
    <w:rsid w:val="00C7051E"/>
    <w:rsid w:val="00C70C02"/>
    <w:rsid w:val="00C7192F"/>
    <w:rsid w:val="00C71DB7"/>
    <w:rsid w:val="00C721E6"/>
    <w:rsid w:val="00C7220C"/>
    <w:rsid w:val="00C73237"/>
    <w:rsid w:val="00C73E42"/>
    <w:rsid w:val="00C745BC"/>
    <w:rsid w:val="00C746BC"/>
    <w:rsid w:val="00C758D7"/>
    <w:rsid w:val="00C75BD9"/>
    <w:rsid w:val="00C76640"/>
    <w:rsid w:val="00C76BE7"/>
    <w:rsid w:val="00C76BED"/>
    <w:rsid w:val="00C777A9"/>
    <w:rsid w:val="00C7794A"/>
    <w:rsid w:val="00C77C80"/>
    <w:rsid w:val="00C77CE1"/>
    <w:rsid w:val="00C77E74"/>
    <w:rsid w:val="00C80993"/>
    <w:rsid w:val="00C80D85"/>
    <w:rsid w:val="00C80F51"/>
    <w:rsid w:val="00C81510"/>
    <w:rsid w:val="00C815CD"/>
    <w:rsid w:val="00C81F5E"/>
    <w:rsid w:val="00C81F75"/>
    <w:rsid w:val="00C82102"/>
    <w:rsid w:val="00C82F41"/>
    <w:rsid w:val="00C839ED"/>
    <w:rsid w:val="00C840FA"/>
    <w:rsid w:val="00C84429"/>
    <w:rsid w:val="00C8448A"/>
    <w:rsid w:val="00C845C6"/>
    <w:rsid w:val="00C84A65"/>
    <w:rsid w:val="00C84FF0"/>
    <w:rsid w:val="00C85AD8"/>
    <w:rsid w:val="00C85B7F"/>
    <w:rsid w:val="00C8631F"/>
    <w:rsid w:val="00C8675F"/>
    <w:rsid w:val="00C867F5"/>
    <w:rsid w:val="00C86A0E"/>
    <w:rsid w:val="00C8716A"/>
    <w:rsid w:val="00C871A4"/>
    <w:rsid w:val="00C87478"/>
    <w:rsid w:val="00C903F8"/>
    <w:rsid w:val="00C9070C"/>
    <w:rsid w:val="00C90B42"/>
    <w:rsid w:val="00C911C0"/>
    <w:rsid w:val="00C91278"/>
    <w:rsid w:val="00C91939"/>
    <w:rsid w:val="00C920B9"/>
    <w:rsid w:val="00C928C0"/>
    <w:rsid w:val="00C92DB9"/>
    <w:rsid w:val="00C93C99"/>
    <w:rsid w:val="00C94050"/>
    <w:rsid w:val="00C941CE"/>
    <w:rsid w:val="00C950C2"/>
    <w:rsid w:val="00C956F1"/>
    <w:rsid w:val="00C9576F"/>
    <w:rsid w:val="00C95F81"/>
    <w:rsid w:val="00C9663E"/>
    <w:rsid w:val="00C96D3F"/>
    <w:rsid w:val="00C97116"/>
    <w:rsid w:val="00C9752D"/>
    <w:rsid w:val="00C97574"/>
    <w:rsid w:val="00CA00C0"/>
    <w:rsid w:val="00CA0A72"/>
    <w:rsid w:val="00CA0AA4"/>
    <w:rsid w:val="00CA1F3B"/>
    <w:rsid w:val="00CA260E"/>
    <w:rsid w:val="00CA2C91"/>
    <w:rsid w:val="00CA3201"/>
    <w:rsid w:val="00CA3826"/>
    <w:rsid w:val="00CA4300"/>
    <w:rsid w:val="00CA430E"/>
    <w:rsid w:val="00CA445F"/>
    <w:rsid w:val="00CA448A"/>
    <w:rsid w:val="00CA471A"/>
    <w:rsid w:val="00CA4A63"/>
    <w:rsid w:val="00CA4FEE"/>
    <w:rsid w:val="00CA5035"/>
    <w:rsid w:val="00CA506B"/>
    <w:rsid w:val="00CA5851"/>
    <w:rsid w:val="00CA5A2F"/>
    <w:rsid w:val="00CA6113"/>
    <w:rsid w:val="00CA61BE"/>
    <w:rsid w:val="00CA6608"/>
    <w:rsid w:val="00CA6AA3"/>
    <w:rsid w:val="00CA6E23"/>
    <w:rsid w:val="00CA6E91"/>
    <w:rsid w:val="00CA6F1C"/>
    <w:rsid w:val="00CA702D"/>
    <w:rsid w:val="00CA7451"/>
    <w:rsid w:val="00CA7840"/>
    <w:rsid w:val="00CB00A8"/>
    <w:rsid w:val="00CB0111"/>
    <w:rsid w:val="00CB04AF"/>
    <w:rsid w:val="00CB0629"/>
    <w:rsid w:val="00CB0882"/>
    <w:rsid w:val="00CB0E6C"/>
    <w:rsid w:val="00CB1A08"/>
    <w:rsid w:val="00CB1D51"/>
    <w:rsid w:val="00CB2338"/>
    <w:rsid w:val="00CB24B2"/>
    <w:rsid w:val="00CB2B1F"/>
    <w:rsid w:val="00CB2BA9"/>
    <w:rsid w:val="00CB32BA"/>
    <w:rsid w:val="00CB343A"/>
    <w:rsid w:val="00CB363A"/>
    <w:rsid w:val="00CB3FC6"/>
    <w:rsid w:val="00CB4252"/>
    <w:rsid w:val="00CB4320"/>
    <w:rsid w:val="00CB4AB5"/>
    <w:rsid w:val="00CB4BDC"/>
    <w:rsid w:val="00CB4BF6"/>
    <w:rsid w:val="00CB5B07"/>
    <w:rsid w:val="00CB5D55"/>
    <w:rsid w:val="00CB60AB"/>
    <w:rsid w:val="00CB6150"/>
    <w:rsid w:val="00CB63DB"/>
    <w:rsid w:val="00CB6916"/>
    <w:rsid w:val="00CB699F"/>
    <w:rsid w:val="00CB6B0C"/>
    <w:rsid w:val="00CB6B2E"/>
    <w:rsid w:val="00CB6FDB"/>
    <w:rsid w:val="00CB700A"/>
    <w:rsid w:val="00CB761C"/>
    <w:rsid w:val="00CB7A2D"/>
    <w:rsid w:val="00CC0078"/>
    <w:rsid w:val="00CC007E"/>
    <w:rsid w:val="00CC07C6"/>
    <w:rsid w:val="00CC0DFA"/>
    <w:rsid w:val="00CC0E23"/>
    <w:rsid w:val="00CC0EF6"/>
    <w:rsid w:val="00CC1198"/>
    <w:rsid w:val="00CC2182"/>
    <w:rsid w:val="00CC233F"/>
    <w:rsid w:val="00CC2386"/>
    <w:rsid w:val="00CC32D0"/>
    <w:rsid w:val="00CC403D"/>
    <w:rsid w:val="00CC4201"/>
    <w:rsid w:val="00CC443F"/>
    <w:rsid w:val="00CC447B"/>
    <w:rsid w:val="00CC4607"/>
    <w:rsid w:val="00CC4826"/>
    <w:rsid w:val="00CC4E93"/>
    <w:rsid w:val="00CC5577"/>
    <w:rsid w:val="00CC592C"/>
    <w:rsid w:val="00CC5E69"/>
    <w:rsid w:val="00CC617D"/>
    <w:rsid w:val="00CC62E5"/>
    <w:rsid w:val="00CC6635"/>
    <w:rsid w:val="00CC71D8"/>
    <w:rsid w:val="00CC72BE"/>
    <w:rsid w:val="00CC7478"/>
    <w:rsid w:val="00CC7E8E"/>
    <w:rsid w:val="00CC7FB7"/>
    <w:rsid w:val="00CD04D8"/>
    <w:rsid w:val="00CD0512"/>
    <w:rsid w:val="00CD055F"/>
    <w:rsid w:val="00CD0660"/>
    <w:rsid w:val="00CD179E"/>
    <w:rsid w:val="00CD1854"/>
    <w:rsid w:val="00CD1BB4"/>
    <w:rsid w:val="00CD1FCD"/>
    <w:rsid w:val="00CD24E7"/>
    <w:rsid w:val="00CD2CB1"/>
    <w:rsid w:val="00CD2EB7"/>
    <w:rsid w:val="00CD3724"/>
    <w:rsid w:val="00CD494C"/>
    <w:rsid w:val="00CD604C"/>
    <w:rsid w:val="00CD6360"/>
    <w:rsid w:val="00CD691E"/>
    <w:rsid w:val="00CD7534"/>
    <w:rsid w:val="00CD79AB"/>
    <w:rsid w:val="00CE00BA"/>
    <w:rsid w:val="00CE0205"/>
    <w:rsid w:val="00CE07FD"/>
    <w:rsid w:val="00CE0911"/>
    <w:rsid w:val="00CE0A96"/>
    <w:rsid w:val="00CE0DEB"/>
    <w:rsid w:val="00CE0F74"/>
    <w:rsid w:val="00CE15E3"/>
    <w:rsid w:val="00CE1A85"/>
    <w:rsid w:val="00CE1F0C"/>
    <w:rsid w:val="00CE21B3"/>
    <w:rsid w:val="00CE2FE7"/>
    <w:rsid w:val="00CE31A9"/>
    <w:rsid w:val="00CE3E37"/>
    <w:rsid w:val="00CE4A43"/>
    <w:rsid w:val="00CE5359"/>
    <w:rsid w:val="00CE561A"/>
    <w:rsid w:val="00CE5FF3"/>
    <w:rsid w:val="00CE63EB"/>
    <w:rsid w:val="00CE6BD7"/>
    <w:rsid w:val="00CE6F30"/>
    <w:rsid w:val="00CE7F4F"/>
    <w:rsid w:val="00CE7F81"/>
    <w:rsid w:val="00CF0218"/>
    <w:rsid w:val="00CF19D0"/>
    <w:rsid w:val="00CF1AE9"/>
    <w:rsid w:val="00CF20C4"/>
    <w:rsid w:val="00CF2211"/>
    <w:rsid w:val="00CF225E"/>
    <w:rsid w:val="00CF2365"/>
    <w:rsid w:val="00CF255A"/>
    <w:rsid w:val="00CF2D05"/>
    <w:rsid w:val="00CF2EE6"/>
    <w:rsid w:val="00CF37D0"/>
    <w:rsid w:val="00CF38E8"/>
    <w:rsid w:val="00CF3A33"/>
    <w:rsid w:val="00CF3ACD"/>
    <w:rsid w:val="00CF43FE"/>
    <w:rsid w:val="00CF4BED"/>
    <w:rsid w:val="00CF5149"/>
    <w:rsid w:val="00CF5CE1"/>
    <w:rsid w:val="00CF6120"/>
    <w:rsid w:val="00CF6501"/>
    <w:rsid w:val="00CF69A2"/>
    <w:rsid w:val="00CF69B6"/>
    <w:rsid w:val="00CF6E04"/>
    <w:rsid w:val="00D007BE"/>
    <w:rsid w:val="00D00CAD"/>
    <w:rsid w:val="00D00D0F"/>
    <w:rsid w:val="00D00DF2"/>
    <w:rsid w:val="00D010B7"/>
    <w:rsid w:val="00D02DB3"/>
    <w:rsid w:val="00D0302A"/>
    <w:rsid w:val="00D030B8"/>
    <w:rsid w:val="00D03686"/>
    <w:rsid w:val="00D04273"/>
    <w:rsid w:val="00D0451F"/>
    <w:rsid w:val="00D048C9"/>
    <w:rsid w:val="00D04BF8"/>
    <w:rsid w:val="00D0534E"/>
    <w:rsid w:val="00D05506"/>
    <w:rsid w:val="00D05DDE"/>
    <w:rsid w:val="00D05F9D"/>
    <w:rsid w:val="00D06007"/>
    <w:rsid w:val="00D064B2"/>
    <w:rsid w:val="00D064FD"/>
    <w:rsid w:val="00D0744C"/>
    <w:rsid w:val="00D07F17"/>
    <w:rsid w:val="00D100C1"/>
    <w:rsid w:val="00D102EC"/>
    <w:rsid w:val="00D1032A"/>
    <w:rsid w:val="00D10369"/>
    <w:rsid w:val="00D104C1"/>
    <w:rsid w:val="00D10A01"/>
    <w:rsid w:val="00D10AF9"/>
    <w:rsid w:val="00D10FF0"/>
    <w:rsid w:val="00D1163D"/>
    <w:rsid w:val="00D117B2"/>
    <w:rsid w:val="00D11A89"/>
    <w:rsid w:val="00D11B53"/>
    <w:rsid w:val="00D11E55"/>
    <w:rsid w:val="00D11F57"/>
    <w:rsid w:val="00D129FB"/>
    <w:rsid w:val="00D1448D"/>
    <w:rsid w:val="00D1467B"/>
    <w:rsid w:val="00D15326"/>
    <w:rsid w:val="00D15380"/>
    <w:rsid w:val="00D15AA5"/>
    <w:rsid w:val="00D16226"/>
    <w:rsid w:val="00D16C82"/>
    <w:rsid w:val="00D16EC6"/>
    <w:rsid w:val="00D17043"/>
    <w:rsid w:val="00D170A1"/>
    <w:rsid w:val="00D17257"/>
    <w:rsid w:val="00D17E65"/>
    <w:rsid w:val="00D207CB"/>
    <w:rsid w:val="00D20A0F"/>
    <w:rsid w:val="00D20B28"/>
    <w:rsid w:val="00D21BCB"/>
    <w:rsid w:val="00D22126"/>
    <w:rsid w:val="00D22224"/>
    <w:rsid w:val="00D22289"/>
    <w:rsid w:val="00D232D3"/>
    <w:rsid w:val="00D23584"/>
    <w:rsid w:val="00D2412A"/>
    <w:rsid w:val="00D24457"/>
    <w:rsid w:val="00D24482"/>
    <w:rsid w:val="00D24C58"/>
    <w:rsid w:val="00D24D39"/>
    <w:rsid w:val="00D2506E"/>
    <w:rsid w:val="00D2529E"/>
    <w:rsid w:val="00D25488"/>
    <w:rsid w:val="00D25871"/>
    <w:rsid w:val="00D25AF5"/>
    <w:rsid w:val="00D25F52"/>
    <w:rsid w:val="00D26B8F"/>
    <w:rsid w:val="00D26CF9"/>
    <w:rsid w:val="00D270B9"/>
    <w:rsid w:val="00D27476"/>
    <w:rsid w:val="00D27A24"/>
    <w:rsid w:val="00D27BAF"/>
    <w:rsid w:val="00D27EBC"/>
    <w:rsid w:val="00D300CA"/>
    <w:rsid w:val="00D30D60"/>
    <w:rsid w:val="00D316E0"/>
    <w:rsid w:val="00D3251D"/>
    <w:rsid w:val="00D32D82"/>
    <w:rsid w:val="00D33181"/>
    <w:rsid w:val="00D33378"/>
    <w:rsid w:val="00D334F3"/>
    <w:rsid w:val="00D339E2"/>
    <w:rsid w:val="00D33AE2"/>
    <w:rsid w:val="00D33D30"/>
    <w:rsid w:val="00D34482"/>
    <w:rsid w:val="00D34520"/>
    <w:rsid w:val="00D34609"/>
    <w:rsid w:val="00D35DEF"/>
    <w:rsid w:val="00D36067"/>
    <w:rsid w:val="00D36A05"/>
    <w:rsid w:val="00D36B20"/>
    <w:rsid w:val="00D36BC8"/>
    <w:rsid w:val="00D37176"/>
    <w:rsid w:val="00D37461"/>
    <w:rsid w:val="00D3790B"/>
    <w:rsid w:val="00D4047C"/>
    <w:rsid w:val="00D409B3"/>
    <w:rsid w:val="00D409F8"/>
    <w:rsid w:val="00D40DAC"/>
    <w:rsid w:val="00D40DD5"/>
    <w:rsid w:val="00D40F23"/>
    <w:rsid w:val="00D41026"/>
    <w:rsid w:val="00D41567"/>
    <w:rsid w:val="00D417DE"/>
    <w:rsid w:val="00D41A69"/>
    <w:rsid w:val="00D41F39"/>
    <w:rsid w:val="00D42E22"/>
    <w:rsid w:val="00D42F13"/>
    <w:rsid w:val="00D431E7"/>
    <w:rsid w:val="00D4325A"/>
    <w:rsid w:val="00D43440"/>
    <w:rsid w:val="00D43AE9"/>
    <w:rsid w:val="00D43C25"/>
    <w:rsid w:val="00D440FC"/>
    <w:rsid w:val="00D4412C"/>
    <w:rsid w:val="00D44945"/>
    <w:rsid w:val="00D44A33"/>
    <w:rsid w:val="00D44C75"/>
    <w:rsid w:val="00D44EF3"/>
    <w:rsid w:val="00D44F28"/>
    <w:rsid w:val="00D45300"/>
    <w:rsid w:val="00D45586"/>
    <w:rsid w:val="00D4600E"/>
    <w:rsid w:val="00D464FB"/>
    <w:rsid w:val="00D46657"/>
    <w:rsid w:val="00D466BC"/>
    <w:rsid w:val="00D46AB3"/>
    <w:rsid w:val="00D46B4C"/>
    <w:rsid w:val="00D47644"/>
    <w:rsid w:val="00D47D95"/>
    <w:rsid w:val="00D501EF"/>
    <w:rsid w:val="00D50599"/>
    <w:rsid w:val="00D5071E"/>
    <w:rsid w:val="00D50E13"/>
    <w:rsid w:val="00D50E61"/>
    <w:rsid w:val="00D51231"/>
    <w:rsid w:val="00D514F9"/>
    <w:rsid w:val="00D51764"/>
    <w:rsid w:val="00D5192B"/>
    <w:rsid w:val="00D51A7A"/>
    <w:rsid w:val="00D51D24"/>
    <w:rsid w:val="00D51E3E"/>
    <w:rsid w:val="00D526E4"/>
    <w:rsid w:val="00D52ECE"/>
    <w:rsid w:val="00D53B19"/>
    <w:rsid w:val="00D54034"/>
    <w:rsid w:val="00D5406E"/>
    <w:rsid w:val="00D54126"/>
    <w:rsid w:val="00D54268"/>
    <w:rsid w:val="00D546D8"/>
    <w:rsid w:val="00D54A59"/>
    <w:rsid w:val="00D54C68"/>
    <w:rsid w:val="00D55415"/>
    <w:rsid w:val="00D55B0E"/>
    <w:rsid w:val="00D561C2"/>
    <w:rsid w:val="00D56A9D"/>
    <w:rsid w:val="00D56DBB"/>
    <w:rsid w:val="00D5700C"/>
    <w:rsid w:val="00D57124"/>
    <w:rsid w:val="00D571F2"/>
    <w:rsid w:val="00D5781D"/>
    <w:rsid w:val="00D6024B"/>
    <w:rsid w:val="00D604AD"/>
    <w:rsid w:val="00D611BE"/>
    <w:rsid w:val="00D611E9"/>
    <w:rsid w:val="00D614D9"/>
    <w:rsid w:val="00D61798"/>
    <w:rsid w:val="00D61B69"/>
    <w:rsid w:val="00D62657"/>
    <w:rsid w:val="00D62BD1"/>
    <w:rsid w:val="00D62D21"/>
    <w:rsid w:val="00D62FDA"/>
    <w:rsid w:val="00D63015"/>
    <w:rsid w:val="00D63143"/>
    <w:rsid w:val="00D636B0"/>
    <w:rsid w:val="00D64C11"/>
    <w:rsid w:val="00D667AF"/>
    <w:rsid w:val="00D66DC2"/>
    <w:rsid w:val="00D66FAA"/>
    <w:rsid w:val="00D67899"/>
    <w:rsid w:val="00D67A0D"/>
    <w:rsid w:val="00D70D00"/>
    <w:rsid w:val="00D70E13"/>
    <w:rsid w:val="00D70FFF"/>
    <w:rsid w:val="00D71680"/>
    <w:rsid w:val="00D71B3E"/>
    <w:rsid w:val="00D71C73"/>
    <w:rsid w:val="00D71FE3"/>
    <w:rsid w:val="00D72201"/>
    <w:rsid w:val="00D7236F"/>
    <w:rsid w:val="00D72486"/>
    <w:rsid w:val="00D72A89"/>
    <w:rsid w:val="00D72BA6"/>
    <w:rsid w:val="00D734DE"/>
    <w:rsid w:val="00D73EC3"/>
    <w:rsid w:val="00D74BCE"/>
    <w:rsid w:val="00D74F37"/>
    <w:rsid w:val="00D74F54"/>
    <w:rsid w:val="00D74FC7"/>
    <w:rsid w:val="00D7513D"/>
    <w:rsid w:val="00D75347"/>
    <w:rsid w:val="00D753BF"/>
    <w:rsid w:val="00D753C3"/>
    <w:rsid w:val="00D757D1"/>
    <w:rsid w:val="00D75E07"/>
    <w:rsid w:val="00D75E57"/>
    <w:rsid w:val="00D76324"/>
    <w:rsid w:val="00D763AD"/>
    <w:rsid w:val="00D76D7E"/>
    <w:rsid w:val="00D76D8F"/>
    <w:rsid w:val="00D771D7"/>
    <w:rsid w:val="00D772DA"/>
    <w:rsid w:val="00D80147"/>
    <w:rsid w:val="00D80285"/>
    <w:rsid w:val="00D80330"/>
    <w:rsid w:val="00D80789"/>
    <w:rsid w:val="00D820D2"/>
    <w:rsid w:val="00D82712"/>
    <w:rsid w:val="00D8281D"/>
    <w:rsid w:val="00D83445"/>
    <w:rsid w:val="00D83A2B"/>
    <w:rsid w:val="00D83A63"/>
    <w:rsid w:val="00D83EC9"/>
    <w:rsid w:val="00D840E9"/>
    <w:rsid w:val="00D8421C"/>
    <w:rsid w:val="00D84C83"/>
    <w:rsid w:val="00D85101"/>
    <w:rsid w:val="00D85AD7"/>
    <w:rsid w:val="00D85C00"/>
    <w:rsid w:val="00D85C47"/>
    <w:rsid w:val="00D86660"/>
    <w:rsid w:val="00D868BF"/>
    <w:rsid w:val="00D86916"/>
    <w:rsid w:val="00D86975"/>
    <w:rsid w:val="00D86EA7"/>
    <w:rsid w:val="00D8733A"/>
    <w:rsid w:val="00D9017E"/>
    <w:rsid w:val="00D90DCF"/>
    <w:rsid w:val="00D90F16"/>
    <w:rsid w:val="00D90F2A"/>
    <w:rsid w:val="00D91229"/>
    <w:rsid w:val="00D914B5"/>
    <w:rsid w:val="00D91C4E"/>
    <w:rsid w:val="00D92087"/>
    <w:rsid w:val="00D9223D"/>
    <w:rsid w:val="00D92410"/>
    <w:rsid w:val="00D927DD"/>
    <w:rsid w:val="00D93293"/>
    <w:rsid w:val="00D93C16"/>
    <w:rsid w:val="00D94893"/>
    <w:rsid w:val="00D94A70"/>
    <w:rsid w:val="00D94DAE"/>
    <w:rsid w:val="00D950EC"/>
    <w:rsid w:val="00D95817"/>
    <w:rsid w:val="00D96143"/>
    <w:rsid w:val="00D972CC"/>
    <w:rsid w:val="00DA0095"/>
    <w:rsid w:val="00DA02FE"/>
    <w:rsid w:val="00DA072E"/>
    <w:rsid w:val="00DA0D0F"/>
    <w:rsid w:val="00DA0DDB"/>
    <w:rsid w:val="00DA1B33"/>
    <w:rsid w:val="00DA1CF6"/>
    <w:rsid w:val="00DA1E27"/>
    <w:rsid w:val="00DA1FEE"/>
    <w:rsid w:val="00DA2505"/>
    <w:rsid w:val="00DA2896"/>
    <w:rsid w:val="00DA2DB9"/>
    <w:rsid w:val="00DA2DD7"/>
    <w:rsid w:val="00DA2DEA"/>
    <w:rsid w:val="00DA2F01"/>
    <w:rsid w:val="00DA32B3"/>
    <w:rsid w:val="00DA3687"/>
    <w:rsid w:val="00DA39CE"/>
    <w:rsid w:val="00DA3C12"/>
    <w:rsid w:val="00DA3E12"/>
    <w:rsid w:val="00DA426A"/>
    <w:rsid w:val="00DA4372"/>
    <w:rsid w:val="00DA4399"/>
    <w:rsid w:val="00DA484E"/>
    <w:rsid w:val="00DA487B"/>
    <w:rsid w:val="00DA4F4E"/>
    <w:rsid w:val="00DA5388"/>
    <w:rsid w:val="00DA584A"/>
    <w:rsid w:val="00DA5B08"/>
    <w:rsid w:val="00DA6EF4"/>
    <w:rsid w:val="00DA7268"/>
    <w:rsid w:val="00DA757F"/>
    <w:rsid w:val="00DA77F5"/>
    <w:rsid w:val="00DA7991"/>
    <w:rsid w:val="00DA7C03"/>
    <w:rsid w:val="00DA7C46"/>
    <w:rsid w:val="00DB0CE8"/>
    <w:rsid w:val="00DB0D48"/>
    <w:rsid w:val="00DB1934"/>
    <w:rsid w:val="00DB2061"/>
    <w:rsid w:val="00DB21F3"/>
    <w:rsid w:val="00DB229F"/>
    <w:rsid w:val="00DB2EF0"/>
    <w:rsid w:val="00DB317C"/>
    <w:rsid w:val="00DB3AC5"/>
    <w:rsid w:val="00DB3AE4"/>
    <w:rsid w:val="00DB3CE0"/>
    <w:rsid w:val="00DB3FA4"/>
    <w:rsid w:val="00DB4084"/>
    <w:rsid w:val="00DB44F7"/>
    <w:rsid w:val="00DB4653"/>
    <w:rsid w:val="00DB51D0"/>
    <w:rsid w:val="00DB52B6"/>
    <w:rsid w:val="00DB54D9"/>
    <w:rsid w:val="00DB57A9"/>
    <w:rsid w:val="00DB5B34"/>
    <w:rsid w:val="00DB5B9E"/>
    <w:rsid w:val="00DB6220"/>
    <w:rsid w:val="00DB668B"/>
    <w:rsid w:val="00DB68D9"/>
    <w:rsid w:val="00DB6A77"/>
    <w:rsid w:val="00DB6E1B"/>
    <w:rsid w:val="00DB7158"/>
    <w:rsid w:val="00DB724B"/>
    <w:rsid w:val="00DB7453"/>
    <w:rsid w:val="00DB74D9"/>
    <w:rsid w:val="00DB7585"/>
    <w:rsid w:val="00DB7815"/>
    <w:rsid w:val="00DB7BDC"/>
    <w:rsid w:val="00DB7EF0"/>
    <w:rsid w:val="00DC013F"/>
    <w:rsid w:val="00DC05D9"/>
    <w:rsid w:val="00DC0D24"/>
    <w:rsid w:val="00DC0E14"/>
    <w:rsid w:val="00DC1894"/>
    <w:rsid w:val="00DC1CAC"/>
    <w:rsid w:val="00DC1E9A"/>
    <w:rsid w:val="00DC2360"/>
    <w:rsid w:val="00DC294C"/>
    <w:rsid w:val="00DC2F7F"/>
    <w:rsid w:val="00DC34AD"/>
    <w:rsid w:val="00DC36A8"/>
    <w:rsid w:val="00DC3F68"/>
    <w:rsid w:val="00DC48D7"/>
    <w:rsid w:val="00DC5566"/>
    <w:rsid w:val="00DC5AE5"/>
    <w:rsid w:val="00DC5CD0"/>
    <w:rsid w:val="00DC5ECE"/>
    <w:rsid w:val="00DC61E9"/>
    <w:rsid w:val="00DC66DD"/>
    <w:rsid w:val="00DC6D99"/>
    <w:rsid w:val="00DC6DC1"/>
    <w:rsid w:val="00DC7A08"/>
    <w:rsid w:val="00DC7A68"/>
    <w:rsid w:val="00DD040F"/>
    <w:rsid w:val="00DD06E9"/>
    <w:rsid w:val="00DD06F9"/>
    <w:rsid w:val="00DD0920"/>
    <w:rsid w:val="00DD1A38"/>
    <w:rsid w:val="00DD251B"/>
    <w:rsid w:val="00DD25FC"/>
    <w:rsid w:val="00DD26C7"/>
    <w:rsid w:val="00DD29EC"/>
    <w:rsid w:val="00DD2AC9"/>
    <w:rsid w:val="00DD3521"/>
    <w:rsid w:val="00DD3DE4"/>
    <w:rsid w:val="00DD3EFE"/>
    <w:rsid w:val="00DD3F40"/>
    <w:rsid w:val="00DD44ED"/>
    <w:rsid w:val="00DD4A93"/>
    <w:rsid w:val="00DD4C02"/>
    <w:rsid w:val="00DD4D39"/>
    <w:rsid w:val="00DD5029"/>
    <w:rsid w:val="00DD509E"/>
    <w:rsid w:val="00DD5110"/>
    <w:rsid w:val="00DD526B"/>
    <w:rsid w:val="00DD52B0"/>
    <w:rsid w:val="00DD5C9D"/>
    <w:rsid w:val="00DD5D52"/>
    <w:rsid w:val="00DD5D77"/>
    <w:rsid w:val="00DD6549"/>
    <w:rsid w:val="00DD741C"/>
    <w:rsid w:val="00DD79BB"/>
    <w:rsid w:val="00DD7C26"/>
    <w:rsid w:val="00DD7CC3"/>
    <w:rsid w:val="00DE0424"/>
    <w:rsid w:val="00DE0BCD"/>
    <w:rsid w:val="00DE1965"/>
    <w:rsid w:val="00DE2198"/>
    <w:rsid w:val="00DE2E0E"/>
    <w:rsid w:val="00DE2FF5"/>
    <w:rsid w:val="00DE31D4"/>
    <w:rsid w:val="00DE329B"/>
    <w:rsid w:val="00DE32DB"/>
    <w:rsid w:val="00DE3A75"/>
    <w:rsid w:val="00DE3AFD"/>
    <w:rsid w:val="00DE42A2"/>
    <w:rsid w:val="00DE42D8"/>
    <w:rsid w:val="00DE481B"/>
    <w:rsid w:val="00DE4D97"/>
    <w:rsid w:val="00DE4EB5"/>
    <w:rsid w:val="00DE5636"/>
    <w:rsid w:val="00DE6D20"/>
    <w:rsid w:val="00DE72CA"/>
    <w:rsid w:val="00DE74C9"/>
    <w:rsid w:val="00DE756B"/>
    <w:rsid w:val="00DE7609"/>
    <w:rsid w:val="00DE774D"/>
    <w:rsid w:val="00DE7DA0"/>
    <w:rsid w:val="00DF03AF"/>
    <w:rsid w:val="00DF0F4F"/>
    <w:rsid w:val="00DF1E02"/>
    <w:rsid w:val="00DF2A72"/>
    <w:rsid w:val="00DF3205"/>
    <w:rsid w:val="00DF364D"/>
    <w:rsid w:val="00DF3D5E"/>
    <w:rsid w:val="00DF416A"/>
    <w:rsid w:val="00DF4510"/>
    <w:rsid w:val="00DF48AD"/>
    <w:rsid w:val="00DF561C"/>
    <w:rsid w:val="00DF589D"/>
    <w:rsid w:val="00DF59D3"/>
    <w:rsid w:val="00DF5BED"/>
    <w:rsid w:val="00DF5E48"/>
    <w:rsid w:val="00DF6729"/>
    <w:rsid w:val="00DF6B6F"/>
    <w:rsid w:val="00DF6BDE"/>
    <w:rsid w:val="00DF6D4E"/>
    <w:rsid w:val="00DF6EFE"/>
    <w:rsid w:val="00E00D68"/>
    <w:rsid w:val="00E010ED"/>
    <w:rsid w:val="00E01155"/>
    <w:rsid w:val="00E012C1"/>
    <w:rsid w:val="00E015B2"/>
    <w:rsid w:val="00E01D90"/>
    <w:rsid w:val="00E02010"/>
    <w:rsid w:val="00E025C9"/>
    <w:rsid w:val="00E027C5"/>
    <w:rsid w:val="00E02B04"/>
    <w:rsid w:val="00E030C5"/>
    <w:rsid w:val="00E040DB"/>
    <w:rsid w:val="00E058D4"/>
    <w:rsid w:val="00E05D00"/>
    <w:rsid w:val="00E061B1"/>
    <w:rsid w:val="00E062B8"/>
    <w:rsid w:val="00E06620"/>
    <w:rsid w:val="00E076C6"/>
    <w:rsid w:val="00E07939"/>
    <w:rsid w:val="00E07B79"/>
    <w:rsid w:val="00E07B85"/>
    <w:rsid w:val="00E07EDC"/>
    <w:rsid w:val="00E102EC"/>
    <w:rsid w:val="00E10313"/>
    <w:rsid w:val="00E1086F"/>
    <w:rsid w:val="00E112AF"/>
    <w:rsid w:val="00E1240B"/>
    <w:rsid w:val="00E12851"/>
    <w:rsid w:val="00E1290A"/>
    <w:rsid w:val="00E12913"/>
    <w:rsid w:val="00E1294E"/>
    <w:rsid w:val="00E130CB"/>
    <w:rsid w:val="00E134F2"/>
    <w:rsid w:val="00E13A78"/>
    <w:rsid w:val="00E13C4E"/>
    <w:rsid w:val="00E13CC8"/>
    <w:rsid w:val="00E13E97"/>
    <w:rsid w:val="00E13ECA"/>
    <w:rsid w:val="00E13EF7"/>
    <w:rsid w:val="00E13FC0"/>
    <w:rsid w:val="00E14090"/>
    <w:rsid w:val="00E145ED"/>
    <w:rsid w:val="00E14A26"/>
    <w:rsid w:val="00E14DF4"/>
    <w:rsid w:val="00E16243"/>
    <w:rsid w:val="00E162E1"/>
    <w:rsid w:val="00E1648E"/>
    <w:rsid w:val="00E164F7"/>
    <w:rsid w:val="00E16999"/>
    <w:rsid w:val="00E16A79"/>
    <w:rsid w:val="00E1799C"/>
    <w:rsid w:val="00E17B86"/>
    <w:rsid w:val="00E206BE"/>
    <w:rsid w:val="00E212D3"/>
    <w:rsid w:val="00E21594"/>
    <w:rsid w:val="00E2173C"/>
    <w:rsid w:val="00E21B78"/>
    <w:rsid w:val="00E21C47"/>
    <w:rsid w:val="00E21E43"/>
    <w:rsid w:val="00E227B3"/>
    <w:rsid w:val="00E22E38"/>
    <w:rsid w:val="00E23C4B"/>
    <w:rsid w:val="00E2496A"/>
    <w:rsid w:val="00E24AD8"/>
    <w:rsid w:val="00E24B95"/>
    <w:rsid w:val="00E2504D"/>
    <w:rsid w:val="00E25939"/>
    <w:rsid w:val="00E25CEC"/>
    <w:rsid w:val="00E261BF"/>
    <w:rsid w:val="00E261ED"/>
    <w:rsid w:val="00E274C5"/>
    <w:rsid w:val="00E27AA2"/>
    <w:rsid w:val="00E27B5F"/>
    <w:rsid w:val="00E27F0B"/>
    <w:rsid w:val="00E3068D"/>
    <w:rsid w:val="00E3086A"/>
    <w:rsid w:val="00E30D85"/>
    <w:rsid w:val="00E31436"/>
    <w:rsid w:val="00E3182F"/>
    <w:rsid w:val="00E31A70"/>
    <w:rsid w:val="00E31D14"/>
    <w:rsid w:val="00E31FBA"/>
    <w:rsid w:val="00E32147"/>
    <w:rsid w:val="00E327AC"/>
    <w:rsid w:val="00E329D7"/>
    <w:rsid w:val="00E32BF8"/>
    <w:rsid w:val="00E33285"/>
    <w:rsid w:val="00E333C6"/>
    <w:rsid w:val="00E33A00"/>
    <w:rsid w:val="00E342BB"/>
    <w:rsid w:val="00E346C9"/>
    <w:rsid w:val="00E3487C"/>
    <w:rsid w:val="00E348E1"/>
    <w:rsid w:val="00E35328"/>
    <w:rsid w:val="00E35AAE"/>
    <w:rsid w:val="00E35B6A"/>
    <w:rsid w:val="00E35C04"/>
    <w:rsid w:val="00E35D41"/>
    <w:rsid w:val="00E36073"/>
    <w:rsid w:val="00E36476"/>
    <w:rsid w:val="00E36766"/>
    <w:rsid w:val="00E36DD5"/>
    <w:rsid w:val="00E37460"/>
    <w:rsid w:val="00E37B89"/>
    <w:rsid w:val="00E37F6F"/>
    <w:rsid w:val="00E4030A"/>
    <w:rsid w:val="00E4034E"/>
    <w:rsid w:val="00E4045E"/>
    <w:rsid w:val="00E408C6"/>
    <w:rsid w:val="00E413A7"/>
    <w:rsid w:val="00E41CE6"/>
    <w:rsid w:val="00E41FFB"/>
    <w:rsid w:val="00E42752"/>
    <w:rsid w:val="00E4277C"/>
    <w:rsid w:val="00E43CAF"/>
    <w:rsid w:val="00E43E2F"/>
    <w:rsid w:val="00E440C0"/>
    <w:rsid w:val="00E44144"/>
    <w:rsid w:val="00E44531"/>
    <w:rsid w:val="00E44600"/>
    <w:rsid w:val="00E44692"/>
    <w:rsid w:val="00E450A2"/>
    <w:rsid w:val="00E450A3"/>
    <w:rsid w:val="00E45750"/>
    <w:rsid w:val="00E4581A"/>
    <w:rsid w:val="00E4593E"/>
    <w:rsid w:val="00E4629C"/>
    <w:rsid w:val="00E4681B"/>
    <w:rsid w:val="00E46929"/>
    <w:rsid w:val="00E46EC5"/>
    <w:rsid w:val="00E47668"/>
    <w:rsid w:val="00E47745"/>
    <w:rsid w:val="00E47D4C"/>
    <w:rsid w:val="00E50219"/>
    <w:rsid w:val="00E5053C"/>
    <w:rsid w:val="00E506AE"/>
    <w:rsid w:val="00E5082C"/>
    <w:rsid w:val="00E50C37"/>
    <w:rsid w:val="00E50FED"/>
    <w:rsid w:val="00E5130F"/>
    <w:rsid w:val="00E52246"/>
    <w:rsid w:val="00E5253C"/>
    <w:rsid w:val="00E5291E"/>
    <w:rsid w:val="00E52AAC"/>
    <w:rsid w:val="00E53015"/>
    <w:rsid w:val="00E530A6"/>
    <w:rsid w:val="00E539EF"/>
    <w:rsid w:val="00E53AFF"/>
    <w:rsid w:val="00E546C9"/>
    <w:rsid w:val="00E548EB"/>
    <w:rsid w:val="00E54A42"/>
    <w:rsid w:val="00E54DF3"/>
    <w:rsid w:val="00E550F1"/>
    <w:rsid w:val="00E5521B"/>
    <w:rsid w:val="00E55798"/>
    <w:rsid w:val="00E55AC8"/>
    <w:rsid w:val="00E562E5"/>
    <w:rsid w:val="00E562FB"/>
    <w:rsid w:val="00E568C5"/>
    <w:rsid w:val="00E56EBE"/>
    <w:rsid w:val="00E5730C"/>
    <w:rsid w:val="00E57C08"/>
    <w:rsid w:val="00E600A4"/>
    <w:rsid w:val="00E609A9"/>
    <w:rsid w:val="00E60E0C"/>
    <w:rsid w:val="00E6114D"/>
    <w:rsid w:val="00E6132A"/>
    <w:rsid w:val="00E619DB"/>
    <w:rsid w:val="00E62029"/>
    <w:rsid w:val="00E627A8"/>
    <w:rsid w:val="00E627D0"/>
    <w:rsid w:val="00E62A81"/>
    <w:rsid w:val="00E62C7A"/>
    <w:rsid w:val="00E63672"/>
    <w:rsid w:val="00E63A7B"/>
    <w:rsid w:val="00E63D37"/>
    <w:rsid w:val="00E63E94"/>
    <w:rsid w:val="00E64C99"/>
    <w:rsid w:val="00E65021"/>
    <w:rsid w:val="00E654B1"/>
    <w:rsid w:val="00E65CE9"/>
    <w:rsid w:val="00E661B0"/>
    <w:rsid w:val="00E66E59"/>
    <w:rsid w:val="00E670DF"/>
    <w:rsid w:val="00E673BE"/>
    <w:rsid w:val="00E6742E"/>
    <w:rsid w:val="00E6743E"/>
    <w:rsid w:val="00E707DD"/>
    <w:rsid w:val="00E71090"/>
    <w:rsid w:val="00E712A1"/>
    <w:rsid w:val="00E716F5"/>
    <w:rsid w:val="00E71766"/>
    <w:rsid w:val="00E71BBC"/>
    <w:rsid w:val="00E71D02"/>
    <w:rsid w:val="00E72AD0"/>
    <w:rsid w:val="00E72E79"/>
    <w:rsid w:val="00E72FA3"/>
    <w:rsid w:val="00E73035"/>
    <w:rsid w:val="00E7325D"/>
    <w:rsid w:val="00E732FD"/>
    <w:rsid w:val="00E73EDB"/>
    <w:rsid w:val="00E73FD1"/>
    <w:rsid w:val="00E746EF"/>
    <w:rsid w:val="00E74B09"/>
    <w:rsid w:val="00E74FE5"/>
    <w:rsid w:val="00E75398"/>
    <w:rsid w:val="00E761D2"/>
    <w:rsid w:val="00E76999"/>
    <w:rsid w:val="00E77C78"/>
    <w:rsid w:val="00E77D35"/>
    <w:rsid w:val="00E77FC9"/>
    <w:rsid w:val="00E80242"/>
    <w:rsid w:val="00E8028A"/>
    <w:rsid w:val="00E803C6"/>
    <w:rsid w:val="00E8045F"/>
    <w:rsid w:val="00E80483"/>
    <w:rsid w:val="00E80D77"/>
    <w:rsid w:val="00E811BF"/>
    <w:rsid w:val="00E812D4"/>
    <w:rsid w:val="00E813AB"/>
    <w:rsid w:val="00E82150"/>
    <w:rsid w:val="00E821AD"/>
    <w:rsid w:val="00E8272D"/>
    <w:rsid w:val="00E834DD"/>
    <w:rsid w:val="00E83505"/>
    <w:rsid w:val="00E8351E"/>
    <w:rsid w:val="00E83783"/>
    <w:rsid w:val="00E84B7C"/>
    <w:rsid w:val="00E85E5C"/>
    <w:rsid w:val="00E86D5C"/>
    <w:rsid w:val="00E86F39"/>
    <w:rsid w:val="00E87222"/>
    <w:rsid w:val="00E87438"/>
    <w:rsid w:val="00E87483"/>
    <w:rsid w:val="00E877DC"/>
    <w:rsid w:val="00E90E22"/>
    <w:rsid w:val="00E9175F"/>
    <w:rsid w:val="00E917CC"/>
    <w:rsid w:val="00E91D42"/>
    <w:rsid w:val="00E9209B"/>
    <w:rsid w:val="00E9214E"/>
    <w:rsid w:val="00E92971"/>
    <w:rsid w:val="00E92C69"/>
    <w:rsid w:val="00E93CFF"/>
    <w:rsid w:val="00E93EE6"/>
    <w:rsid w:val="00E9401E"/>
    <w:rsid w:val="00E94649"/>
    <w:rsid w:val="00E94DA2"/>
    <w:rsid w:val="00E9597B"/>
    <w:rsid w:val="00E959A9"/>
    <w:rsid w:val="00E96125"/>
    <w:rsid w:val="00E9683E"/>
    <w:rsid w:val="00E96E48"/>
    <w:rsid w:val="00E9727C"/>
    <w:rsid w:val="00E978ED"/>
    <w:rsid w:val="00EA04A4"/>
    <w:rsid w:val="00EA0B02"/>
    <w:rsid w:val="00EA0EB0"/>
    <w:rsid w:val="00EA1057"/>
    <w:rsid w:val="00EA1229"/>
    <w:rsid w:val="00EA1B96"/>
    <w:rsid w:val="00EA1CF7"/>
    <w:rsid w:val="00EA1DA3"/>
    <w:rsid w:val="00EA21FE"/>
    <w:rsid w:val="00EA25E3"/>
    <w:rsid w:val="00EA2974"/>
    <w:rsid w:val="00EA2994"/>
    <w:rsid w:val="00EA2B15"/>
    <w:rsid w:val="00EA2FB6"/>
    <w:rsid w:val="00EA36D1"/>
    <w:rsid w:val="00EA4106"/>
    <w:rsid w:val="00EA49DD"/>
    <w:rsid w:val="00EA4D46"/>
    <w:rsid w:val="00EA5000"/>
    <w:rsid w:val="00EA504A"/>
    <w:rsid w:val="00EA54A5"/>
    <w:rsid w:val="00EA567A"/>
    <w:rsid w:val="00EA56FD"/>
    <w:rsid w:val="00EA5F69"/>
    <w:rsid w:val="00EA614C"/>
    <w:rsid w:val="00EA67DD"/>
    <w:rsid w:val="00EA69DB"/>
    <w:rsid w:val="00EA6D95"/>
    <w:rsid w:val="00EA703B"/>
    <w:rsid w:val="00EA71B5"/>
    <w:rsid w:val="00EA75E1"/>
    <w:rsid w:val="00EA795D"/>
    <w:rsid w:val="00EA79FE"/>
    <w:rsid w:val="00EA7AA2"/>
    <w:rsid w:val="00EA7B0D"/>
    <w:rsid w:val="00EA7E02"/>
    <w:rsid w:val="00EA7FCD"/>
    <w:rsid w:val="00EB054C"/>
    <w:rsid w:val="00EB0F36"/>
    <w:rsid w:val="00EB1426"/>
    <w:rsid w:val="00EB1C62"/>
    <w:rsid w:val="00EB21E7"/>
    <w:rsid w:val="00EB2474"/>
    <w:rsid w:val="00EB293D"/>
    <w:rsid w:val="00EB2A7D"/>
    <w:rsid w:val="00EB2BED"/>
    <w:rsid w:val="00EB2CD9"/>
    <w:rsid w:val="00EB32C1"/>
    <w:rsid w:val="00EB3BA7"/>
    <w:rsid w:val="00EB428B"/>
    <w:rsid w:val="00EB4E5C"/>
    <w:rsid w:val="00EB51A0"/>
    <w:rsid w:val="00EB526C"/>
    <w:rsid w:val="00EB68B0"/>
    <w:rsid w:val="00EB699C"/>
    <w:rsid w:val="00EB6A39"/>
    <w:rsid w:val="00EB6A57"/>
    <w:rsid w:val="00EB6AFE"/>
    <w:rsid w:val="00EB706B"/>
    <w:rsid w:val="00EB706C"/>
    <w:rsid w:val="00EB7520"/>
    <w:rsid w:val="00EC00B2"/>
    <w:rsid w:val="00EC00C0"/>
    <w:rsid w:val="00EC04FB"/>
    <w:rsid w:val="00EC050A"/>
    <w:rsid w:val="00EC0988"/>
    <w:rsid w:val="00EC150A"/>
    <w:rsid w:val="00EC1993"/>
    <w:rsid w:val="00EC1D69"/>
    <w:rsid w:val="00EC25B0"/>
    <w:rsid w:val="00EC2766"/>
    <w:rsid w:val="00EC31BB"/>
    <w:rsid w:val="00EC33C4"/>
    <w:rsid w:val="00EC3AE2"/>
    <w:rsid w:val="00EC3B1C"/>
    <w:rsid w:val="00EC417F"/>
    <w:rsid w:val="00EC4342"/>
    <w:rsid w:val="00EC4DE2"/>
    <w:rsid w:val="00EC54BE"/>
    <w:rsid w:val="00EC6133"/>
    <w:rsid w:val="00EC67AC"/>
    <w:rsid w:val="00EC697C"/>
    <w:rsid w:val="00EC6B72"/>
    <w:rsid w:val="00EC7549"/>
    <w:rsid w:val="00EC75F6"/>
    <w:rsid w:val="00ED0718"/>
    <w:rsid w:val="00ED09C5"/>
    <w:rsid w:val="00ED0D68"/>
    <w:rsid w:val="00ED137C"/>
    <w:rsid w:val="00ED1500"/>
    <w:rsid w:val="00ED1575"/>
    <w:rsid w:val="00ED178D"/>
    <w:rsid w:val="00ED2B15"/>
    <w:rsid w:val="00ED3541"/>
    <w:rsid w:val="00ED36F7"/>
    <w:rsid w:val="00ED3FD3"/>
    <w:rsid w:val="00ED61C3"/>
    <w:rsid w:val="00ED6313"/>
    <w:rsid w:val="00ED67FB"/>
    <w:rsid w:val="00ED6A47"/>
    <w:rsid w:val="00ED6B71"/>
    <w:rsid w:val="00ED70BA"/>
    <w:rsid w:val="00ED7786"/>
    <w:rsid w:val="00ED7DBE"/>
    <w:rsid w:val="00ED7EEF"/>
    <w:rsid w:val="00EE0454"/>
    <w:rsid w:val="00EE089E"/>
    <w:rsid w:val="00EE284E"/>
    <w:rsid w:val="00EE2EA8"/>
    <w:rsid w:val="00EE2ED2"/>
    <w:rsid w:val="00EE30CF"/>
    <w:rsid w:val="00EE3B2D"/>
    <w:rsid w:val="00EE3D3A"/>
    <w:rsid w:val="00EE3E17"/>
    <w:rsid w:val="00EE3E22"/>
    <w:rsid w:val="00EE3EE1"/>
    <w:rsid w:val="00EE404F"/>
    <w:rsid w:val="00EE40BF"/>
    <w:rsid w:val="00EE4F28"/>
    <w:rsid w:val="00EE53DB"/>
    <w:rsid w:val="00EE61E0"/>
    <w:rsid w:val="00EE6916"/>
    <w:rsid w:val="00EE760D"/>
    <w:rsid w:val="00EE797B"/>
    <w:rsid w:val="00EE79CD"/>
    <w:rsid w:val="00EE7A70"/>
    <w:rsid w:val="00EE7DB9"/>
    <w:rsid w:val="00EF0DBB"/>
    <w:rsid w:val="00EF0F3D"/>
    <w:rsid w:val="00EF1632"/>
    <w:rsid w:val="00EF1D8A"/>
    <w:rsid w:val="00EF24A4"/>
    <w:rsid w:val="00EF2A49"/>
    <w:rsid w:val="00EF2EE3"/>
    <w:rsid w:val="00EF33A0"/>
    <w:rsid w:val="00EF3FCC"/>
    <w:rsid w:val="00EF402A"/>
    <w:rsid w:val="00EF47A7"/>
    <w:rsid w:val="00EF4B2E"/>
    <w:rsid w:val="00EF51D2"/>
    <w:rsid w:val="00EF6316"/>
    <w:rsid w:val="00EF657C"/>
    <w:rsid w:val="00EF7325"/>
    <w:rsid w:val="00EF7589"/>
    <w:rsid w:val="00EF758A"/>
    <w:rsid w:val="00EF782B"/>
    <w:rsid w:val="00EF7B5B"/>
    <w:rsid w:val="00EF7B93"/>
    <w:rsid w:val="00EF7E7E"/>
    <w:rsid w:val="00EF7F18"/>
    <w:rsid w:val="00F00126"/>
    <w:rsid w:val="00F01702"/>
    <w:rsid w:val="00F018E9"/>
    <w:rsid w:val="00F01CA3"/>
    <w:rsid w:val="00F01D23"/>
    <w:rsid w:val="00F021C2"/>
    <w:rsid w:val="00F026D5"/>
    <w:rsid w:val="00F031AD"/>
    <w:rsid w:val="00F03525"/>
    <w:rsid w:val="00F03582"/>
    <w:rsid w:val="00F03F4B"/>
    <w:rsid w:val="00F04920"/>
    <w:rsid w:val="00F04EE2"/>
    <w:rsid w:val="00F04F93"/>
    <w:rsid w:val="00F053B8"/>
    <w:rsid w:val="00F05CB1"/>
    <w:rsid w:val="00F05D27"/>
    <w:rsid w:val="00F05D43"/>
    <w:rsid w:val="00F05FE0"/>
    <w:rsid w:val="00F066D4"/>
    <w:rsid w:val="00F067F6"/>
    <w:rsid w:val="00F06845"/>
    <w:rsid w:val="00F06B0C"/>
    <w:rsid w:val="00F06D07"/>
    <w:rsid w:val="00F07037"/>
    <w:rsid w:val="00F0784F"/>
    <w:rsid w:val="00F07F4B"/>
    <w:rsid w:val="00F112BB"/>
    <w:rsid w:val="00F11402"/>
    <w:rsid w:val="00F1173D"/>
    <w:rsid w:val="00F11E09"/>
    <w:rsid w:val="00F12570"/>
    <w:rsid w:val="00F12ECD"/>
    <w:rsid w:val="00F1338C"/>
    <w:rsid w:val="00F1357D"/>
    <w:rsid w:val="00F13FD2"/>
    <w:rsid w:val="00F1403C"/>
    <w:rsid w:val="00F14084"/>
    <w:rsid w:val="00F14841"/>
    <w:rsid w:val="00F15D9A"/>
    <w:rsid w:val="00F1658B"/>
    <w:rsid w:val="00F16CCC"/>
    <w:rsid w:val="00F16DC1"/>
    <w:rsid w:val="00F16EF7"/>
    <w:rsid w:val="00F1722A"/>
    <w:rsid w:val="00F17517"/>
    <w:rsid w:val="00F17632"/>
    <w:rsid w:val="00F177DC"/>
    <w:rsid w:val="00F17CB1"/>
    <w:rsid w:val="00F17EAF"/>
    <w:rsid w:val="00F2007F"/>
    <w:rsid w:val="00F20D32"/>
    <w:rsid w:val="00F20F77"/>
    <w:rsid w:val="00F212D6"/>
    <w:rsid w:val="00F21837"/>
    <w:rsid w:val="00F21A1E"/>
    <w:rsid w:val="00F21A6C"/>
    <w:rsid w:val="00F21B15"/>
    <w:rsid w:val="00F22358"/>
    <w:rsid w:val="00F22C1D"/>
    <w:rsid w:val="00F22E9E"/>
    <w:rsid w:val="00F230B3"/>
    <w:rsid w:val="00F23754"/>
    <w:rsid w:val="00F2444C"/>
    <w:rsid w:val="00F24794"/>
    <w:rsid w:val="00F2483A"/>
    <w:rsid w:val="00F24CDB"/>
    <w:rsid w:val="00F25FD6"/>
    <w:rsid w:val="00F2601E"/>
    <w:rsid w:val="00F261F4"/>
    <w:rsid w:val="00F2695A"/>
    <w:rsid w:val="00F26A75"/>
    <w:rsid w:val="00F270AC"/>
    <w:rsid w:val="00F27D7B"/>
    <w:rsid w:val="00F30CFB"/>
    <w:rsid w:val="00F30E05"/>
    <w:rsid w:val="00F314C7"/>
    <w:rsid w:val="00F315B2"/>
    <w:rsid w:val="00F31BC8"/>
    <w:rsid w:val="00F31D30"/>
    <w:rsid w:val="00F31E2D"/>
    <w:rsid w:val="00F31E5C"/>
    <w:rsid w:val="00F320F6"/>
    <w:rsid w:val="00F323A5"/>
    <w:rsid w:val="00F32D93"/>
    <w:rsid w:val="00F32E3A"/>
    <w:rsid w:val="00F33067"/>
    <w:rsid w:val="00F33668"/>
    <w:rsid w:val="00F3379F"/>
    <w:rsid w:val="00F34226"/>
    <w:rsid w:val="00F34AEA"/>
    <w:rsid w:val="00F35013"/>
    <w:rsid w:val="00F351D7"/>
    <w:rsid w:val="00F3543B"/>
    <w:rsid w:val="00F3565C"/>
    <w:rsid w:val="00F35B88"/>
    <w:rsid w:val="00F35B99"/>
    <w:rsid w:val="00F35E00"/>
    <w:rsid w:val="00F35E8D"/>
    <w:rsid w:val="00F360B5"/>
    <w:rsid w:val="00F361C6"/>
    <w:rsid w:val="00F361E1"/>
    <w:rsid w:val="00F3644C"/>
    <w:rsid w:val="00F37409"/>
    <w:rsid w:val="00F378CE"/>
    <w:rsid w:val="00F37BB1"/>
    <w:rsid w:val="00F37FEB"/>
    <w:rsid w:val="00F403B9"/>
    <w:rsid w:val="00F40983"/>
    <w:rsid w:val="00F41320"/>
    <w:rsid w:val="00F414C7"/>
    <w:rsid w:val="00F424BB"/>
    <w:rsid w:val="00F425A1"/>
    <w:rsid w:val="00F43029"/>
    <w:rsid w:val="00F433D1"/>
    <w:rsid w:val="00F4370D"/>
    <w:rsid w:val="00F438E0"/>
    <w:rsid w:val="00F438EE"/>
    <w:rsid w:val="00F43B1F"/>
    <w:rsid w:val="00F44BF7"/>
    <w:rsid w:val="00F44EEC"/>
    <w:rsid w:val="00F4538D"/>
    <w:rsid w:val="00F455B2"/>
    <w:rsid w:val="00F45848"/>
    <w:rsid w:val="00F4584A"/>
    <w:rsid w:val="00F45B02"/>
    <w:rsid w:val="00F45D9A"/>
    <w:rsid w:val="00F460AA"/>
    <w:rsid w:val="00F46605"/>
    <w:rsid w:val="00F4697B"/>
    <w:rsid w:val="00F46B36"/>
    <w:rsid w:val="00F47307"/>
    <w:rsid w:val="00F475FC"/>
    <w:rsid w:val="00F50820"/>
    <w:rsid w:val="00F508F1"/>
    <w:rsid w:val="00F50C8E"/>
    <w:rsid w:val="00F50F91"/>
    <w:rsid w:val="00F511EE"/>
    <w:rsid w:val="00F51339"/>
    <w:rsid w:val="00F516DA"/>
    <w:rsid w:val="00F5179E"/>
    <w:rsid w:val="00F51B45"/>
    <w:rsid w:val="00F522C0"/>
    <w:rsid w:val="00F5234F"/>
    <w:rsid w:val="00F526A2"/>
    <w:rsid w:val="00F52B16"/>
    <w:rsid w:val="00F52E9B"/>
    <w:rsid w:val="00F52EA0"/>
    <w:rsid w:val="00F534D0"/>
    <w:rsid w:val="00F54BC3"/>
    <w:rsid w:val="00F5506D"/>
    <w:rsid w:val="00F55509"/>
    <w:rsid w:val="00F55838"/>
    <w:rsid w:val="00F559E2"/>
    <w:rsid w:val="00F55FEE"/>
    <w:rsid w:val="00F56619"/>
    <w:rsid w:val="00F567D1"/>
    <w:rsid w:val="00F56803"/>
    <w:rsid w:val="00F5687E"/>
    <w:rsid w:val="00F56926"/>
    <w:rsid w:val="00F56BBD"/>
    <w:rsid w:val="00F56DFE"/>
    <w:rsid w:val="00F57035"/>
    <w:rsid w:val="00F5743C"/>
    <w:rsid w:val="00F57462"/>
    <w:rsid w:val="00F60297"/>
    <w:rsid w:val="00F607DD"/>
    <w:rsid w:val="00F6087C"/>
    <w:rsid w:val="00F60C6E"/>
    <w:rsid w:val="00F60C9C"/>
    <w:rsid w:val="00F60F4A"/>
    <w:rsid w:val="00F6209D"/>
    <w:rsid w:val="00F629EE"/>
    <w:rsid w:val="00F62AF3"/>
    <w:rsid w:val="00F62F38"/>
    <w:rsid w:val="00F63370"/>
    <w:rsid w:val="00F6389D"/>
    <w:rsid w:val="00F63B43"/>
    <w:rsid w:val="00F6418E"/>
    <w:rsid w:val="00F641CA"/>
    <w:rsid w:val="00F64C97"/>
    <w:rsid w:val="00F65E9B"/>
    <w:rsid w:val="00F66989"/>
    <w:rsid w:val="00F672A7"/>
    <w:rsid w:val="00F673C7"/>
    <w:rsid w:val="00F70155"/>
    <w:rsid w:val="00F70696"/>
    <w:rsid w:val="00F70E89"/>
    <w:rsid w:val="00F715AA"/>
    <w:rsid w:val="00F71825"/>
    <w:rsid w:val="00F71BC2"/>
    <w:rsid w:val="00F7251D"/>
    <w:rsid w:val="00F72909"/>
    <w:rsid w:val="00F72AA9"/>
    <w:rsid w:val="00F737AE"/>
    <w:rsid w:val="00F74068"/>
    <w:rsid w:val="00F74E28"/>
    <w:rsid w:val="00F74F2B"/>
    <w:rsid w:val="00F7560E"/>
    <w:rsid w:val="00F7587A"/>
    <w:rsid w:val="00F75BDD"/>
    <w:rsid w:val="00F760FF"/>
    <w:rsid w:val="00F7628D"/>
    <w:rsid w:val="00F76776"/>
    <w:rsid w:val="00F771A4"/>
    <w:rsid w:val="00F77872"/>
    <w:rsid w:val="00F77A33"/>
    <w:rsid w:val="00F77A36"/>
    <w:rsid w:val="00F77CEA"/>
    <w:rsid w:val="00F77D68"/>
    <w:rsid w:val="00F8038F"/>
    <w:rsid w:val="00F80FA5"/>
    <w:rsid w:val="00F81773"/>
    <w:rsid w:val="00F81BA0"/>
    <w:rsid w:val="00F822B5"/>
    <w:rsid w:val="00F82401"/>
    <w:rsid w:val="00F824B3"/>
    <w:rsid w:val="00F826CA"/>
    <w:rsid w:val="00F834F1"/>
    <w:rsid w:val="00F83745"/>
    <w:rsid w:val="00F8415A"/>
    <w:rsid w:val="00F84391"/>
    <w:rsid w:val="00F845CE"/>
    <w:rsid w:val="00F84C61"/>
    <w:rsid w:val="00F851EE"/>
    <w:rsid w:val="00F85E0E"/>
    <w:rsid w:val="00F86BF3"/>
    <w:rsid w:val="00F86F51"/>
    <w:rsid w:val="00F87629"/>
    <w:rsid w:val="00F878C9"/>
    <w:rsid w:val="00F87B4D"/>
    <w:rsid w:val="00F87F35"/>
    <w:rsid w:val="00F87F4D"/>
    <w:rsid w:val="00F902A1"/>
    <w:rsid w:val="00F90D96"/>
    <w:rsid w:val="00F90EBC"/>
    <w:rsid w:val="00F90F75"/>
    <w:rsid w:val="00F9150D"/>
    <w:rsid w:val="00F927A2"/>
    <w:rsid w:val="00F93A3B"/>
    <w:rsid w:val="00F93A6D"/>
    <w:rsid w:val="00F93BA9"/>
    <w:rsid w:val="00F93D60"/>
    <w:rsid w:val="00F941C1"/>
    <w:rsid w:val="00F94D4B"/>
    <w:rsid w:val="00F95391"/>
    <w:rsid w:val="00F9563D"/>
    <w:rsid w:val="00F95D84"/>
    <w:rsid w:val="00F9602A"/>
    <w:rsid w:val="00F96409"/>
    <w:rsid w:val="00F96426"/>
    <w:rsid w:val="00F96A55"/>
    <w:rsid w:val="00F9747C"/>
    <w:rsid w:val="00F97CA6"/>
    <w:rsid w:val="00FA04D1"/>
    <w:rsid w:val="00FA0512"/>
    <w:rsid w:val="00FA164D"/>
    <w:rsid w:val="00FA17F5"/>
    <w:rsid w:val="00FA1944"/>
    <w:rsid w:val="00FA2A5D"/>
    <w:rsid w:val="00FA2E27"/>
    <w:rsid w:val="00FA301D"/>
    <w:rsid w:val="00FA3168"/>
    <w:rsid w:val="00FA3ED5"/>
    <w:rsid w:val="00FA4663"/>
    <w:rsid w:val="00FA4B66"/>
    <w:rsid w:val="00FA4F80"/>
    <w:rsid w:val="00FA523E"/>
    <w:rsid w:val="00FA5745"/>
    <w:rsid w:val="00FA58AB"/>
    <w:rsid w:val="00FA59CE"/>
    <w:rsid w:val="00FA5A2E"/>
    <w:rsid w:val="00FA5F42"/>
    <w:rsid w:val="00FA60DD"/>
    <w:rsid w:val="00FA622A"/>
    <w:rsid w:val="00FA6647"/>
    <w:rsid w:val="00FA7CF8"/>
    <w:rsid w:val="00FB00C0"/>
    <w:rsid w:val="00FB0943"/>
    <w:rsid w:val="00FB0B07"/>
    <w:rsid w:val="00FB1024"/>
    <w:rsid w:val="00FB1323"/>
    <w:rsid w:val="00FB16F8"/>
    <w:rsid w:val="00FB19B5"/>
    <w:rsid w:val="00FB1D0C"/>
    <w:rsid w:val="00FB20D1"/>
    <w:rsid w:val="00FB2680"/>
    <w:rsid w:val="00FB2EF5"/>
    <w:rsid w:val="00FB3264"/>
    <w:rsid w:val="00FB340F"/>
    <w:rsid w:val="00FB3738"/>
    <w:rsid w:val="00FB3D19"/>
    <w:rsid w:val="00FB41E8"/>
    <w:rsid w:val="00FB43A6"/>
    <w:rsid w:val="00FB444D"/>
    <w:rsid w:val="00FB44A5"/>
    <w:rsid w:val="00FB5050"/>
    <w:rsid w:val="00FB5650"/>
    <w:rsid w:val="00FB56B8"/>
    <w:rsid w:val="00FB5ACB"/>
    <w:rsid w:val="00FB6012"/>
    <w:rsid w:val="00FB6AA8"/>
    <w:rsid w:val="00FB6E3F"/>
    <w:rsid w:val="00FB7C17"/>
    <w:rsid w:val="00FC006A"/>
    <w:rsid w:val="00FC038C"/>
    <w:rsid w:val="00FC08D4"/>
    <w:rsid w:val="00FC0CF3"/>
    <w:rsid w:val="00FC0F0C"/>
    <w:rsid w:val="00FC12EC"/>
    <w:rsid w:val="00FC1563"/>
    <w:rsid w:val="00FC1A30"/>
    <w:rsid w:val="00FC1B08"/>
    <w:rsid w:val="00FC2C76"/>
    <w:rsid w:val="00FC2CCB"/>
    <w:rsid w:val="00FC2FB3"/>
    <w:rsid w:val="00FC3788"/>
    <w:rsid w:val="00FC3A3C"/>
    <w:rsid w:val="00FC3EE8"/>
    <w:rsid w:val="00FC42AB"/>
    <w:rsid w:val="00FC46DC"/>
    <w:rsid w:val="00FC4968"/>
    <w:rsid w:val="00FC5354"/>
    <w:rsid w:val="00FC5912"/>
    <w:rsid w:val="00FC5C30"/>
    <w:rsid w:val="00FC5D67"/>
    <w:rsid w:val="00FC5EBD"/>
    <w:rsid w:val="00FC6F5F"/>
    <w:rsid w:val="00FC7071"/>
    <w:rsid w:val="00FC71CB"/>
    <w:rsid w:val="00FC76F6"/>
    <w:rsid w:val="00FC7E54"/>
    <w:rsid w:val="00FD0540"/>
    <w:rsid w:val="00FD089F"/>
    <w:rsid w:val="00FD0F0F"/>
    <w:rsid w:val="00FD0F2E"/>
    <w:rsid w:val="00FD1FA0"/>
    <w:rsid w:val="00FD2098"/>
    <w:rsid w:val="00FD296F"/>
    <w:rsid w:val="00FD2EC9"/>
    <w:rsid w:val="00FD368C"/>
    <w:rsid w:val="00FD371B"/>
    <w:rsid w:val="00FD37AA"/>
    <w:rsid w:val="00FD392F"/>
    <w:rsid w:val="00FD3BB0"/>
    <w:rsid w:val="00FD4B2F"/>
    <w:rsid w:val="00FD556D"/>
    <w:rsid w:val="00FD588A"/>
    <w:rsid w:val="00FD5A44"/>
    <w:rsid w:val="00FD5F65"/>
    <w:rsid w:val="00FD6062"/>
    <w:rsid w:val="00FD6207"/>
    <w:rsid w:val="00FD6463"/>
    <w:rsid w:val="00FD64CB"/>
    <w:rsid w:val="00FD6A48"/>
    <w:rsid w:val="00FD7499"/>
    <w:rsid w:val="00FD7E69"/>
    <w:rsid w:val="00FE0320"/>
    <w:rsid w:val="00FE0855"/>
    <w:rsid w:val="00FE0DC4"/>
    <w:rsid w:val="00FE0DEE"/>
    <w:rsid w:val="00FE0EFD"/>
    <w:rsid w:val="00FE0F78"/>
    <w:rsid w:val="00FE1ED1"/>
    <w:rsid w:val="00FE2432"/>
    <w:rsid w:val="00FE2A8C"/>
    <w:rsid w:val="00FE32F3"/>
    <w:rsid w:val="00FE3323"/>
    <w:rsid w:val="00FE3BFD"/>
    <w:rsid w:val="00FE3E9D"/>
    <w:rsid w:val="00FE4463"/>
    <w:rsid w:val="00FE46C9"/>
    <w:rsid w:val="00FE4920"/>
    <w:rsid w:val="00FE50C0"/>
    <w:rsid w:val="00FE5DFC"/>
    <w:rsid w:val="00FE5F58"/>
    <w:rsid w:val="00FE7876"/>
    <w:rsid w:val="00FE78B2"/>
    <w:rsid w:val="00FE7C73"/>
    <w:rsid w:val="00FE7ED2"/>
    <w:rsid w:val="00FF0AA6"/>
    <w:rsid w:val="00FF0C7F"/>
    <w:rsid w:val="00FF0FCD"/>
    <w:rsid w:val="00FF114F"/>
    <w:rsid w:val="00FF19AF"/>
    <w:rsid w:val="00FF1A56"/>
    <w:rsid w:val="00FF20C6"/>
    <w:rsid w:val="00FF2446"/>
    <w:rsid w:val="00FF258E"/>
    <w:rsid w:val="00FF2CE1"/>
    <w:rsid w:val="00FF2F29"/>
    <w:rsid w:val="00FF311B"/>
    <w:rsid w:val="00FF31B6"/>
    <w:rsid w:val="00FF3665"/>
    <w:rsid w:val="00FF367B"/>
    <w:rsid w:val="00FF36E1"/>
    <w:rsid w:val="00FF388E"/>
    <w:rsid w:val="00FF3A93"/>
    <w:rsid w:val="00FF3E5C"/>
    <w:rsid w:val="00FF3FB8"/>
    <w:rsid w:val="00FF418E"/>
    <w:rsid w:val="00FF4444"/>
    <w:rsid w:val="00FF4482"/>
    <w:rsid w:val="00FF498C"/>
    <w:rsid w:val="00FF49F5"/>
    <w:rsid w:val="00FF4C1C"/>
    <w:rsid w:val="00FF5F2B"/>
    <w:rsid w:val="00FF726E"/>
    <w:rsid w:val="00FF7B8B"/>
    <w:rsid w:val="00FF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B38E78"/>
  <w14:defaultImageDpi w14:val="32767"/>
  <w14:conflictMode/>
  <w15:chartTrackingRefBased/>
  <w15:docId w15:val="{FE410313-CD7B-E14C-A934-0134A445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0470"/>
  </w:style>
  <w:style w:type="paragraph" w:styleId="Heading1">
    <w:name w:val="heading 1"/>
    <w:basedOn w:val="Normal"/>
    <w:next w:val="Normal"/>
    <w:link w:val="Heading1Char"/>
    <w:uiPriority w:val="9"/>
    <w:qFormat/>
    <w:rsid w:val="00D153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A5A4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5A4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A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5A46"/>
    <w:rPr>
      <w:rFonts w:ascii="Times New Roman" w:eastAsia="Times New Roman" w:hAnsi="Times New Roman" w:cs="Times New Roman"/>
      <w:b/>
      <w:bCs/>
      <w:sz w:val="27"/>
      <w:szCs w:val="27"/>
    </w:rPr>
  </w:style>
  <w:style w:type="paragraph" w:customStyle="1" w:styleId="p1">
    <w:name w:val="p1"/>
    <w:basedOn w:val="Normal"/>
    <w:rsid w:val="006A5A46"/>
    <w:rPr>
      <w:rFonts w:ascii="Times New Roman" w:hAnsi="Times New Roman" w:cs="Times New Roman"/>
      <w:color w:val="000000"/>
      <w:sz w:val="18"/>
      <w:szCs w:val="18"/>
      <w:lang w:eastAsia="en-GB"/>
    </w:rPr>
  </w:style>
  <w:style w:type="paragraph" w:styleId="ListParagraph">
    <w:name w:val="List Paragraph"/>
    <w:basedOn w:val="Normal"/>
    <w:uiPriority w:val="34"/>
    <w:qFormat/>
    <w:rsid w:val="006A5A46"/>
    <w:pPr>
      <w:ind w:left="720"/>
      <w:contextualSpacing/>
    </w:pPr>
  </w:style>
  <w:style w:type="paragraph" w:styleId="EndnoteText">
    <w:name w:val="endnote text"/>
    <w:basedOn w:val="Normal"/>
    <w:link w:val="EndnoteTextChar"/>
    <w:uiPriority w:val="99"/>
    <w:unhideWhenUsed/>
    <w:rsid w:val="006A5A46"/>
    <w:rPr>
      <w:sz w:val="20"/>
      <w:szCs w:val="20"/>
    </w:rPr>
  </w:style>
  <w:style w:type="character" w:customStyle="1" w:styleId="EndnoteTextChar">
    <w:name w:val="Endnote Text Char"/>
    <w:basedOn w:val="DefaultParagraphFont"/>
    <w:link w:val="EndnoteText"/>
    <w:uiPriority w:val="99"/>
    <w:rsid w:val="006A5A46"/>
    <w:rPr>
      <w:sz w:val="20"/>
      <w:szCs w:val="20"/>
    </w:rPr>
  </w:style>
  <w:style w:type="character" w:styleId="EndnoteReference">
    <w:name w:val="endnote reference"/>
    <w:basedOn w:val="DefaultParagraphFont"/>
    <w:uiPriority w:val="99"/>
    <w:unhideWhenUsed/>
    <w:rsid w:val="006A5A46"/>
    <w:rPr>
      <w:vertAlign w:val="superscript"/>
    </w:rPr>
  </w:style>
  <w:style w:type="paragraph" w:customStyle="1" w:styleId="Default">
    <w:name w:val="Default"/>
    <w:rsid w:val="006A5A46"/>
    <w:pPr>
      <w:autoSpaceDE w:val="0"/>
      <w:autoSpaceDN w:val="0"/>
      <w:adjustRightInd w:val="0"/>
    </w:pPr>
    <w:rPr>
      <w:rFonts w:ascii="Titlingmes" w:hAnsi="Titlingmes" w:cs="Titlingmes"/>
      <w:color w:val="000000"/>
      <w:lang w:val="en-US"/>
    </w:rPr>
  </w:style>
  <w:style w:type="paragraph" w:styleId="FootnoteText">
    <w:name w:val="footnote text"/>
    <w:basedOn w:val="Normal"/>
    <w:link w:val="FootnoteTextChar"/>
    <w:uiPriority w:val="99"/>
    <w:unhideWhenUsed/>
    <w:qFormat/>
    <w:rsid w:val="006A5A46"/>
    <w:rPr>
      <w:sz w:val="20"/>
      <w:szCs w:val="20"/>
    </w:rPr>
  </w:style>
  <w:style w:type="character" w:customStyle="1" w:styleId="FootnoteTextChar">
    <w:name w:val="Footnote Text Char"/>
    <w:basedOn w:val="DefaultParagraphFont"/>
    <w:link w:val="FootnoteText"/>
    <w:uiPriority w:val="99"/>
    <w:rsid w:val="006A5A46"/>
    <w:rPr>
      <w:sz w:val="20"/>
      <w:szCs w:val="20"/>
    </w:rPr>
  </w:style>
  <w:style w:type="character" w:styleId="FootnoteReference">
    <w:name w:val="footnote reference"/>
    <w:basedOn w:val="DefaultParagraphFont"/>
    <w:uiPriority w:val="99"/>
    <w:unhideWhenUsed/>
    <w:rsid w:val="006A5A46"/>
    <w:rPr>
      <w:vertAlign w:val="superscript"/>
    </w:rPr>
  </w:style>
  <w:style w:type="paragraph" w:styleId="Footer">
    <w:name w:val="footer"/>
    <w:basedOn w:val="Normal"/>
    <w:link w:val="FooterChar"/>
    <w:uiPriority w:val="99"/>
    <w:unhideWhenUsed/>
    <w:rsid w:val="006A5A46"/>
    <w:pPr>
      <w:tabs>
        <w:tab w:val="center" w:pos="4513"/>
        <w:tab w:val="right" w:pos="9026"/>
      </w:tabs>
    </w:pPr>
  </w:style>
  <w:style w:type="character" w:customStyle="1" w:styleId="FooterChar">
    <w:name w:val="Footer Char"/>
    <w:basedOn w:val="DefaultParagraphFont"/>
    <w:link w:val="Footer"/>
    <w:uiPriority w:val="99"/>
    <w:rsid w:val="006A5A46"/>
  </w:style>
  <w:style w:type="character" w:styleId="PageNumber">
    <w:name w:val="page number"/>
    <w:basedOn w:val="DefaultParagraphFont"/>
    <w:uiPriority w:val="99"/>
    <w:semiHidden/>
    <w:unhideWhenUsed/>
    <w:rsid w:val="006A5A46"/>
  </w:style>
  <w:style w:type="character" w:styleId="Hyperlink">
    <w:name w:val="Hyperlink"/>
    <w:basedOn w:val="DefaultParagraphFont"/>
    <w:uiPriority w:val="99"/>
    <w:semiHidden/>
    <w:unhideWhenUsed/>
    <w:rsid w:val="006A5A46"/>
    <w:rPr>
      <w:color w:val="0000FF"/>
      <w:u w:val="single"/>
    </w:rPr>
  </w:style>
  <w:style w:type="character" w:customStyle="1" w:styleId="searchword">
    <w:name w:val="searchword"/>
    <w:basedOn w:val="DefaultParagraphFont"/>
    <w:rsid w:val="006A5A46"/>
  </w:style>
  <w:style w:type="character" w:customStyle="1" w:styleId="apple-converted-space">
    <w:name w:val="apple-converted-space"/>
    <w:basedOn w:val="DefaultParagraphFont"/>
    <w:rsid w:val="006A5A46"/>
  </w:style>
  <w:style w:type="paragraph" w:customStyle="1" w:styleId="1406RefEntry">
    <w:name w:val="14.06 RefEntry"/>
    <w:basedOn w:val="Normal"/>
    <w:rsid w:val="006A5A46"/>
    <w:pPr>
      <w:spacing w:after="120" w:line="560" w:lineRule="exact"/>
      <w:ind w:left="720" w:hanging="720"/>
    </w:pPr>
    <w:rPr>
      <w:rFonts w:ascii="Cambria Math" w:eastAsia="Times New Roman" w:hAnsi="Cambria Math" w:cs="Times New Roman"/>
      <w:szCs w:val="20"/>
      <w:lang w:val="en-US"/>
    </w:rPr>
  </w:style>
  <w:style w:type="character" w:customStyle="1" w:styleId="1410RefSurname">
    <w:name w:val="14.10 RefSurname"/>
    <w:qFormat/>
    <w:rsid w:val="006A5A46"/>
    <w:rPr>
      <w:bdr w:val="none" w:sz="0" w:space="0" w:color="auto"/>
      <w:shd w:val="clear" w:color="auto" w:fill="FF7C80"/>
      <w:lang w:val="en-GB"/>
    </w:rPr>
  </w:style>
  <w:style w:type="character" w:customStyle="1" w:styleId="1411RefForename">
    <w:name w:val="14.11 RefForename"/>
    <w:qFormat/>
    <w:rsid w:val="006A5A46"/>
    <w:rPr>
      <w:bdr w:val="none" w:sz="0" w:space="0" w:color="auto"/>
      <w:shd w:val="clear" w:color="auto" w:fill="00FF00"/>
      <w:lang w:val="en-GB"/>
    </w:rPr>
  </w:style>
  <w:style w:type="character" w:customStyle="1" w:styleId="1414RefDate">
    <w:name w:val="14.14 RefDate"/>
    <w:qFormat/>
    <w:rsid w:val="006A5A46"/>
    <w:rPr>
      <w:bdr w:val="none" w:sz="0" w:space="0" w:color="auto"/>
      <w:shd w:val="clear" w:color="auto" w:fill="FBFF8C"/>
      <w:lang w:val="en-GB"/>
    </w:rPr>
  </w:style>
  <w:style w:type="character" w:customStyle="1" w:styleId="1416RefBookTitle">
    <w:name w:val="14.16 RefBookTitle"/>
    <w:qFormat/>
    <w:rsid w:val="006A5A46"/>
    <w:rPr>
      <w:i w:val="0"/>
      <w:bdr w:val="none" w:sz="0" w:space="0" w:color="auto"/>
      <w:shd w:val="clear" w:color="auto" w:fill="8BFF8B"/>
      <w:lang w:val="en-GB"/>
    </w:rPr>
  </w:style>
  <w:style w:type="character" w:customStyle="1" w:styleId="1419RefPubPlace">
    <w:name w:val="14.19 RefPubPlace"/>
    <w:qFormat/>
    <w:rsid w:val="006A5A46"/>
    <w:rPr>
      <w:bdr w:val="none" w:sz="0" w:space="0" w:color="auto"/>
      <w:shd w:val="clear" w:color="auto" w:fill="E4CEF6"/>
      <w:lang w:val="en-GB"/>
    </w:rPr>
  </w:style>
  <w:style w:type="character" w:customStyle="1" w:styleId="1420RefPublisher">
    <w:name w:val="14.20 RefPublisher"/>
    <w:qFormat/>
    <w:rsid w:val="006A5A46"/>
    <w:rPr>
      <w:bdr w:val="none" w:sz="0" w:space="0" w:color="auto"/>
      <w:shd w:val="clear" w:color="auto" w:fill="C9B1DD"/>
      <w:lang w:val="en-GB"/>
    </w:rPr>
  </w:style>
  <w:style w:type="character" w:styleId="Emphasis">
    <w:name w:val="Emphasis"/>
    <w:basedOn w:val="DefaultParagraphFont"/>
    <w:uiPriority w:val="20"/>
    <w:qFormat/>
    <w:rsid w:val="006A5A46"/>
    <w:rPr>
      <w:i/>
      <w:iCs/>
    </w:rPr>
  </w:style>
  <w:style w:type="character" w:customStyle="1" w:styleId="year">
    <w:name w:val="year"/>
    <w:basedOn w:val="DefaultParagraphFont"/>
    <w:rsid w:val="006A5A46"/>
  </w:style>
  <w:style w:type="character" w:customStyle="1" w:styleId="fpage">
    <w:name w:val="fpage"/>
    <w:basedOn w:val="DefaultParagraphFont"/>
    <w:rsid w:val="006A5A46"/>
  </w:style>
  <w:style w:type="character" w:customStyle="1" w:styleId="linkcolor">
    <w:name w:val="linkcolor"/>
    <w:basedOn w:val="DefaultParagraphFont"/>
    <w:rsid w:val="006A5A46"/>
  </w:style>
  <w:style w:type="character" w:styleId="Strong">
    <w:name w:val="Strong"/>
    <w:basedOn w:val="DefaultParagraphFont"/>
    <w:uiPriority w:val="22"/>
    <w:qFormat/>
    <w:rsid w:val="006A5A46"/>
    <w:rPr>
      <w:b/>
      <w:bCs/>
    </w:rPr>
  </w:style>
  <w:style w:type="paragraph" w:styleId="Header">
    <w:name w:val="header"/>
    <w:basedOn w:val="Normal"/>
    <w:link w:val="HeaderChar"/>
    <w:uiPriority w:val="99"/>
    <w:unhideWhenUsed/>
    <w:rsid w:val="006A5A46"/>
    <w:pPr>
      <w:tabs>
        <w:tab w:val="center" w:pos="4513"/>
        <w:tab w:val="right" w:pos="9026"/>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6A5A46"/>
    <w:rPr>
      <w:rFonts w:ascii="Times New Roman" w:eastAsia="Times New Roman" w:hAnsi="Times New Roman" w:cs="Times New Roman"/>
    </w:rPr>
  </w:style>
  <w:style w:type="character" w:customStyle="1" w:styleId="A9">
    <w:name w:val="A9"/>
    <w:uiPriority w:val="99"/>
    <w:rsid w:val="004C1CD7"/>
    <w:rPr>
      <w:rFonts w:cs="Garamond"/>
      <w:color w:val="000000"/>
      <w:sz w:val="19"/>
      <w:szCs w:val="19"/>
    </w:rPr>
  </w:style>
  <w:style w:type="paragraph" w:styleId="NormalWeb">
    <w:name w:val="Normal (Web)"/>
    <w:basedOn w:val="Normal"/>
    <w:uiPriority w:val="99"/>
    <w:unhideWhenUsed/>
    <w:rsid w:val="00391B3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3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533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65333"/>
    <w:rPr>
      <w:sz w:val="16"/>
      <w:szCs w:val="16"/>
    </w:rPr>
  </w:style>
  <w:style w:type="paragraph" w:styleId="CommentText">
    <w:name w:val="annotation text"/>
    <w:basedOn w:val="Normal"/>
    <w:link w:val="CommentTextChar"/>
    <w:uiPriority w:val="99"/>
    <w:unhideWhenUsed/>
    <w:rsid w:val="00665333"/>
    <w:rPr>
      <w:rFonts w:ascii="Times New Roman" w:hAnsi="Times New Roman"/>
      <w:sz w:val="20"/>
      <w:szCs w:val="20"/>
    </w:rPr>
  </w:style>
  <w:style w:type="character" w:customStyle="1" w:styleId="CommentTextChar">
    <w:name w:val="Comment Text Char"/>
    <w:basedOn w:val="DefaultParagraphFont"/>
    <w:link w:val="CommentText"/>
    <w:uiPriority w:val="99"/>
    <w:rsid w:val="006653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5333"/>
    <w:rPr>
      <w:b/>
      <w:bCs/>
    </w:rPr>
  </w:style>
  <w:style w:type="character" w:customStyle="1" w:styleId="CommentSubjectChar">
    <w:name w:val="Comment Subject Char"/>
    <w:basedOn w:val="CommentTextChar"/>
    <w:link w:val="CommentSubject"/>
    <w:uiPriority w:val="99"/>
    <w:semiHidden/>
    <w:rsid w:val="00665333"/>
    <w:rPr>
      <w:rFonts w:ascii="Times New Roman" w:hAnsi="Times New Roman"/>
      <w:b/>
      <w:bCs/>
      <w:sz w:val="20"/>
      <w:szCs w:val="20"/>
    </w:rPr>
  </w:style>
  <w:style w:type="paragraph" w:customStyle="1" w:styleId="p2">
    <w:name w:val="p2"/>
    <w:basedOn w:val="Normal"/>
    <w:rsid w:val="00665333"/>
    <w:pPr>
      <w:spacing w:after="30"/>
    </w:pPr>
    <w:rPr>
      <w:rFonts w:ascii="Helvetica Neue" w:hAnsi="Helvetica Neue" w:cs="Times New Roman"/>
      <w:color w:val="454545"/>
      <w:sz w:val="21"/>
      <w:szCs w:val="21"/>
      <w:lang w:eastAsia="en-GB"/>
    </w:rPr>
  </w:style>
  <w:style w:type="paragraph" w:styleId="Revision">
    <w:name w:val="Revision"/>
    <w:hidden/>
    <w:uiPriority w:val="99"/>
    <w:semiHidden/>
    <w:rsid w:val="00131B86"/>
  </w:style>
  <w:style w:type="character" w:customStyle="1" w:styleId="s1">
    <w:name w:val="s1"/>
    <w:basedOn w:val="DefaultParagraphFont"/>
    <w:rsid w:val="007C22EF"/>
  </w:style>
  <w:style w:type="character" w:customStyle="1" w:styleId="Heading1Char">
    <w:name w:val="Heading 1 Char"/>
    <w:basedOn w:val="DefaultParagraphFont"/>
    <w:link w:val="Heading1"/>
    <w:uiPriority w:val="9"/>
    <w:rsid w:val="00D15326"/>
    <w:rPr>
      <w:rFonts w:asciiTheme="majorHAnsi" w:eastAsiaTheme="majorEastAsia" w:hAnsiTheme="majorHAnsi" w:cstheme="majorBidi"/>
      <w:color w:val="2F5496" w:themeColor="accent1" w:themeShade="BF"/>
      <w:sz w:val="32"/>
      <w:szCs w:val="32"/>
    </w:rPr>
  </w:style>
  <w:style w:type="numbering" w:customStyle="1" w:styleId="CurrentList1">
    <w:name w:val="Current List1"/>
    <w:uiPriority w:val="99"/>
    <w:rsid w:val="0084533F"/>
    <w:pPr>
      <w:numPr>
        <w:numId w:val="29"/>
      </w:numPr>
    </w:pPr>
  </w:style>
  <w:style w:type="character" w:customStyle="1" w:styleId="Italics">
    <w:name w:val="Italics"/>
    <w:rsid w:val="00344290"/>
    <w:rPr>
      <w:i/>
    </w:rPr>
  </w:style>
  <w:style w:type="paragraph" w:customStyle="1" w:styleId="CUST1">
    <w:name w:val="CUST1"/>
    <w:basedOn w:val="Normal"/>
    <w:rsid w:val="00344290"/>
    <w:pPr>
      <w:spacing w:after="120"/>
      <w:ind w:left="720" w:firstLine="720"/>
    </w:pPr>
    <w:rPr>
      <w:rFonts w:ascii="Arial" w:eastAsia="Times New Roman" w:hAnsi="Arial" w:cs="Times New Roman"/>
      <w:b/>
      <w:snapToGrid w:val="0"/>
      <w:sz w:val="26"/>
      <w:szCs w:val="20"/>
      <w:lang w:val="en-US"/>
    </w:rPr>
  </w:style>
  <w:style w:type="paragraph" w:customStyle="1" w:styleId="TX">
    <w:name w:val="TX"/>
    <w:rsid w:val="00D16226"/>
    <w:pPr>
      <w:spacing w:after="120"/>
      <w:ind w:left="720" w:firstLine="720"/>
    </w:pPr>
    <w:rPr>
      <w:rFonts w:ascii="Times New Roman" w:eastAsia="Times New Roman" w:hAnsi="Times New Roman" w:cs="Times New Roman"/>
      <w:snapToGrid w:val="0"/>
      <w:sz w:val="26"/>
      <w:szCs w:val="20"/>
      <w:lang w:val="en-US"/>
    </w:rPr>
  </w:style>
  <w:style w:type="paragraph" w:customStyle="1" w:styleId="ENTX">
    <w:name w:val="ENTX"/>
    <w:basedOn w:val="TX"/>
    <w:rsid w:val="00D162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1163">
      <w:bodyDiv w:val="1"/>
      <w:marLeft w:val="0"/>
      <w:marRight w:val="0"/>
      <w:marTop w:val="0"/>
      <w:marBottom w:val="0"/>
      <w:divBdr>
        <w:top w:val="none" w:sz="0" w:space="0" w:color="auto"/>
        <w:left w:val="none" w:sz="0" w:space="0" w:color="auto"/>
        <w:bottom w:val="none" w:sz="0" w:space="0" w:color="auto"/>
        <w:right w:val="none" w:sz="0" w:space="0" w:color="auto"/>
      </w:divBdr>
    </w:div>
    <w:div w:id="407994351">
      <w:bodyDiv w:val="1"/>
      <w:marLeft w:val="0"/>
      <w:marRight w:val="0"/>
      <w:marTop w:val="0"/>
      <w:marBottom w:val="0"/>
      <w:divBdr>
        <w:top w:val="none" w:sz="0" w:space="0" w:color="auto"/>
        <w:left w:val="none" w:sz="0" w:space="0" w:color="auto"/>
        <w:bottom w:val="none" w:sz="0" w:space="0" w:color="auto"/>
        <w:right w:val="none" w:sz="0" w:space="0" w:color="auto"/>
      </w:divBdr>
    </w:div>
    <w:div w:id="644747940">
      <w:bodyDiv w:val="1"/>
      <w:marLeft w:val="0"/>
      <w:marRight w:val="0"/>
      <w:marTop w:val="0"/>
      <w:marBottom w:val="0"/>
      <w:divBdr>
        <w:top w:val="none" w:sz="0" w:space="0" w:color="auto"/>
        <w:left w:val="none" w:sz="0" w:space="0" w:color="auto"/>
        <w:bottom w:val="none" w:sz="0" w:space="0" w:color="auto"/>
        <w:right w:val="none" w:sz="0" w:space="0" w:color="auto"/>
      </w:divBdr>
    </w:div>
    <w:div w:id="746730271">
      <w:bodyDiv w:val="1"/>
      <w:marLeft w:val="0"/>
      <w:marRight w:val="0"/>
      <w:marTop w:val="0"/>
      <w:marBottom w:val="0"/>
      <w:divBdr>
        <w:top w:val="none" w:sz="0" w:space="0" w:color="auto"/>
        <w:left w:val="none" w:sz="0" w:space="0" w:color="auto"/>
        <w:bottom w:val="none" w:sz="0" w:space="0" w:color="auto"/>
        <w:right w:val="none" w:sz="0" w:space="0" w:color="auto"/>
      </w:divBdr>
      <w:divsChild>
        <w:div w:id="1798453174">
          <w:marLeft w:val="547"/>
          <w:marRight w:val="0"/>
          <w:marTop w:val="0"/>
          <w:marBottom w:val="0"/>
          <w:divBdr>
            <w:top w:val="none" w:sz="0" w:space="0" w:color="auto"/>
            <w:left w:val="none" w:sz="0" w:space="0" w:color="auto"/>
            <w:bottom w:val="none" w:sz="0" w:space="0" w:color="auto"/>
            <w:right w:val="none" w:sz="0" w:space="0" w:color="auto"/>
          </w:divBdr>
        </w:div>
        <w:div w:id="939339910">
          <w:marLeft w:val="547"/>
          <w:marRight w:val="0"/>
          <w:marTop w:val="0"/>
          <w:marBottom w:val="0"/>
          <w:divBdr>
            <w:top w:val="none" w:sz="0" w:space="0" w:color="auto"/>
            <w:left w:val="none" w:sz="0" w:space="0" w:color="auto"/>
            <w:bottom w:val="none" w:sz="0" w:space="0" w:color="auto"/>
            <w:right w:val="none" w:sz="0" w:space="0" w:color="auto"/>
          </w:divBdr>
        </w:div>
        <w:div w:id="1681656826">
          <w:marLeft w:val="1166"/>
          <w:marRight w:val="0"/>
          <w:marTop w:val="0"/>
          <w:marBottom w:val="0"/>
          <w:divBdr>
            <w:top w:val="none" w:sz="0" w:space="0" w:color="auto"/>
            <w:left w:val="none" w:sz="0" w:space="0" w:color="auto"/>
            <w:bottom w:val="none" w:sz="0" w:space="0" w:color="auto"/>
            <w:right w:val="none" w:sz="0" w:space="0" w:color="auto"/>
          </w:divBdr>
        </w:div>
        <w:div w:id="1905215988">
          <w:marLeft w:val="1166"/>
          <w:marRight w:val="0"/>
          <w:marTop w:val="0"/>
          <w:marBottom w:val="0"/>
          <w:divBdr>
            <w:top w:val="none" w:sz="0" w:space="0" w:color="auto"/>
            <w:left w:val="none" w:sz="0" w:space="0" w:color="auto"/>
            <w:bottom w:val="none" w:sz="0" w:space="0" w:color="auto"/>
            <w:right w:val="none" w:sz="0" w:space="0" w:color="auto"/>
          </w:divBdr>
        </w:div>
        <w:div w:id="1642616254">
          <w:marLeft w:val="1166"/>
          <w:marRight w:val="0"/>
          <w:marTop w:val="0"/>
          <w:marBottom w:val="0"/>
          <w:divBdr>
            <w:top w:val="none" w:sz="0" w:space="0" w:color="auto"/>
            <w:left w:val="none" w:sz="0" w:space="0" w:color="auto"/>
            <w:bottom w:val="none" w:sz="0" w:space="0" w:color="auto"/>
            <w:right w:val="none" w:sz="0" w:space="0" w:color="auto"/>
          </w:divBdr>
        </w:div>
        <w:div w:id="1523980896">
          <w:marLeft w:val="1166"/>
          <w:marRight w:val="0"/>
          <w:marTop w:val="0"/>
          <w:marBottom w:val="0"/>
          <w:divBdr>
            <w:top w:val="none" w:sz="0" w:space="0" w:color="auto"/>
            <w:left w:val="none" w:sz="0" w:space="0" w:color="auto"/>
            <w:bottom w:val="none" w:sz="0" w:space="0" w:color="auto"/>
            <w:right w:val="none" w:sz="0" w:space="0" w:color="auto"/>
          </w:divBdr>
        </w:div>
        <w:div w:id="621152133">
          <w:marLeft w:val="547"/>
          <w:marRight w:val="0"/>
          <w:marTop w:val="0"/>
          <w:marBottom w:val="0"/>
          <w:divBdr>
            <w:top w:val="none" w:sz="0" w:space="0" w:color="auto"/>
            <w:left w:val="none" w:sz="0" w:space="0" w:color="auto"/>
            <w:bottom w:val="none" w:sz="0" w:space="0" w:color="auto"/>
            <w:right w:val="none" w:sz="0" w:space="0" w:color="auto"/>
          </w:divBdr>
        </w:div>
        <w:div w:id="480122816">
          <w:marLeft w:val="547"/>
          <w:marRight w:val="0"/>
          <w:marTop w:val="0"/>
          <w:marBottom w:val="0"/>
          <w:divBdr>
            <w:top w:val="none" w:sz="0" w:space="0" w:color="auto"/>
            <w:left w:val="none" w:sz="0" w:space="0" w:color="auto"/>
            <w:bottom w:val="none" w:sz="0" w:space="0" w:color="auto"/>
            <w:right w:val="none" w:sz="0" w:space="0" w:color="auto"/>
          </w:divBdr>
        </w:div>
      </w:divsChild>
    </w:div>
    <w:div w:id="815950597">
      <w:bodyDiv w:val="1"/>
      <w:marLeft w:val="0"/>
      <w:marRight w:val="0"/>
      <w:marTop w:val="0"/>
      <w:marBottom w:val="0"/>
      <w:divBdr>
        <w:top w:val="none" w:sz="0" w:space="0" w:color="auto"/>
        <w:left w:val="none" w:sz="0" w:space="0" w:color="auto"/>
        <w:bottom w:val="none" w:sz="0" w:space="0" w:color="auto"/>
        <w:right w:val="none" w:sz="0" w:space="0" w:color="auto"/>
      </w:divBdr>
    </w:div>
    <w:div w:id="875778344">
      <w:bodyDiv w:val="1"/>
      <w:marLeft w:val="0"/>
      <w:marRight w:val="0"/>
      <w:marTop w:val="0"/>
      <w:marBottom w:val="0"/>
      <w:divBdr>
        <w:top w:val="none" w:sz="0" w:space="0" w:color="auto"/>
        <w:left w:val="none" w:sz="0" w:space="0" w:color="auto"/>
        <w:bottom w:val="none" w:sz="0" w:space="0" w:color="auto"/>
        <w:right w:val="none" w:sz="0" w:space="0" w:color="auto"/>
      </w:divBdr>
      <w:divsChild>
        <w:div w:id="758480836">
          <w:marLeft w:val="0"/>
          <w:marRight w:val="0"/>
          <w:marTop w:val="0"/>
          <w:marBottom w:val="0"/>
          <w:divBdr>
            <w:top w:val="none" w:sz="0" w:space="0" w:color="auto"/>
            <w:left w:val="none" w:sz="0" w:space="0" w:color="auto"/>
            <w:bottom w:val="none" w:sz="0" w:space="0" w:color="auto"/>
            <w:right w:val="none" w:sz="0" w:space="0" w:color="auto"/>
          </w:divBdr>
          <w:divsChild>
            <w:div w:id="1610972500">
              <w:marLeft w:val="0"/>
              <w:marRight w:val="0"/>
              <w:marTop w:val="0"/>
              <w:marBottom w:val="0"/>
              <w:divBdr>
                <w:top w:val="none" w:sz="0" w:space="0" w:color="auto"/>
                <w:left w:val="none" w:sz="0" w:space="0" w:color="auto"/>
                <w:bottom w:val="none" w:sz="0" w:space="0" w:color="auto"/>
                <w:right w:val="none" w:sz="0" w:space="0" w:color="auto"/>
              </w:divBdr>
              <w:divsChild>
                <w:div w:id="6689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5836">
      <w:bodyDiv w:val="1"/>
      <w:marLeft w:val="0"/>
      <w:marRight w:val="0"/>
      <w:marTop w:val="0"/>
      <w:marBottom w:val="0"/>
      <w:divBdr>
        <w:top w:val="none" w:sz="0" w:space="0" w:color="auto"/>
        <w:left w:val="none" w:sz="0" w:space="0" w:color="auto"/>
        <w:bottom w:val="none" w:sz="0" w:space="0" w:color="auto"/>
        <w:right w:val="none" w:sz="0" w:space="0" w:color="auto"/>
      </w:divBdr>
    </w:div>
    <w:div w:id="1111048235">
      <w:bodyDiv w:val="1"/>
      <w:marLeft w:val="0"/>
      <w:marRight w:val="0"/>
      <w:marTop w:val="0"/>
      <w:marBottom w:val="0"/>
      <w:divBdr>
        <w:top w:val="none" w:sz="0" w:space="0" w:color="auto"/>
        <w:left w:val="none" w:sz="0" w:space="0" w:color="auto"/>
        <w:bottom w:val="none" w:sz="0" w:space="0" w:color="auto"/>
        <w:right w:val="none" w:sz="0" w:space="0" w:color="auto"/>
      </w:divBdr>
    </w:div>
    <w:div w:id="1169369410">
      <w:bodyDiv w:val="1"/>
      <w:marLeft w:val="0"/>
      <w:marRight w:val="0"/>
      <w:marTop w:val="0"/>
      <w:marBottom w:val="0"/>
      <w:divBdr>
        <w:top w:val="none" w:sz="0" w:space="0" w:color="auto"/>
        <w:left w:val="none" w:sz="0" w:space="0" w:color="auto"/>
        <w:bottom w:val="none" w:sz="0" w:space="0" w:color="auto"/>
        <w:right w:val="none" w:sz="0" w:space="0" w:color="auto"/>
      </w:divBdr>
    </w:div>
    <w:div w:id="1356535803">
      <w:bodyDiv w:val="1"/>
      <w:marLeft w:val="0"/>
      <w:marRight w:val="0"/>
      <w:marTop w:val="0"/>
      <w:marBottom w:val="0"/>
      <w:divBdr>
        <w:top w:val="none" w:sz="0" w:space="0" w:color="auto"/>
        <w:left w:val="none" w:sz="0" w:space="0" w:color="auto"/>
        <w:bottom w:val="none" w:sz="0" w:space="0" w:color="auto"/>
        <w:right w:val="none" w:sz="0" w:space="0" w:color="auto"/>
      </w:divBdr>
    </w:div>
    <w:div w:id="1513954577">
      <w:bodyDiv w:val="1"/>
      <w:marLeft w:val="0"/>
      <w:marRight w:val="0"/>
      <w:marTop w:val="0"/>
      <w:marBottom w:val="0"/>
      <w:divBdr>
        <w:top w:val="none" w:sz="0" w:space="0" w:color="auto"/>
        <w:left w:val="none" w:sz="0" w:space="0" w:color="auto"/>
        <w:bottom w:val="none" w:sz="0" w:space="0" w:color="auto"/>
        <w:right w:val="none" w:sz="0" w:space="0" w:color="auto"/>
      </w:divBdr>
    </w:div>
    <w:div w:id="1553426785">
      <w:bodyDiv w:val="1"/>
      <w:marLeft w:val="0"/>
      <w:marRight w:val="0"/>
      <w:marTop w:val="0"/>
      <w:marBottom w:val="0"/>
      <w:divBdr>
        <w:top w:val="none" w:sz="0" w:space="0" w:color="auto"/>
        <w:left w:val="none" w:sz="0" w:space="0" w:color="auto"/>
        <w:bottom w:val="none" w:sz="0" w:space="0" w:color="auto"/>
        <w:right w:val="none" w:sz="0" w:space="0" w:color="auto"/>
      </w:divBdr>
    </w:div>
    <w:div w:id="1610163131">
      <w:bodyDiv w:val="1"/>
      <w:marLeft w:val="0"/>
      <w:marRight w:val="0"/>
      <w:marTop w:val="0"/>
      <w:marBottom w:val="0"/>
      <w:divBdr>
        <w:top w:val="none" w:sz="0" w:space="0" w:color="auto"/>
        <w:left w:val="none" w:sz="0" w:space="0" w:color="auto"/>
        <w:bottom w:val="none" w:sz="0" w:space="0" w:color="auto"/>
        <w:right w:val="none" w:sz="0" w:space="0" w:color="auto"/>
      </w:divBdr>
    </w:div>
    <w:div w:id="1719158100">
      <w:bodyDiv w:val="1"/>
      <w:marLeft w:val="0"/>
      <w:marRight w:val="0"/>
      <w:marTop w:val="0"/>
      <w:marBottom w:val="0"/>
      <w:divBdr>
        <w:top w:val="none" w:sz="0" w:space="0" w:color="auto"/>
        <w:left w:val="none" w:sz="0" w:space="0" w:color="auto"/>
        <w:bottom w:val="none" w:sz="0" w:space="0" w:color="auto"/>
        <w:right w:val="none" w:sz="0" w:space="0" w:color="auto"/>
      </w:divBdr>
    </w:div>
    <w:div w:id="1836530379">
      <w:bodyDiv w:val="1"/>
      <w:marLeft w:val="0"/>
      <w:marRight w:val="0"/>
      <w:marTop w:val="0"/>
      <w:marBottom w:val="0"/>
      <w:divBdr>
        <w:top w:val="none" w:sz="0" w:space="0" w:color="auto"/>
        <w:left w:val="none" w:sz="0" w:space="0" w:color="auto"/>
        <w:bottom w:val="none" w:sz="0" w:space="0" w:color="auto"/>
        <w:right w:val="none" w:sz="0" w:space="0" w:color="auto"/>
      </w:divBdr>
    </w:div>
    <w:div w:id="1876195994">
      <w:bodyDiv w:val="1"/>
      <w:marLeft w:val="0"/>
      <w:marRight w:val="0"/>
      <w:marTop w:val="0"/>
      <w:marBottom w:val="0"/>
      <w:divBdr>
        <w:top w:val="none" w:sz="0" w:space="0" w:color="auto"/>
        <w:left w:val="none" w:sz="0" w:space="0" w:color="auto"/>
        <w:bottom w:val="none" w:sz="0" w:space="0" w:color="auto"/>
        <w:right w:val="none" w:sz="0" w:space="0" w:color="auto"/>
      </w:divBdr>
    </w:div>
    <w:div w:id="1884826366">
      <w:bodyDiv w:val="1"/>
      <w:marLeft w:val="0"/>
      <w:marRight w:val="0"/>
      <w:marTop w:val="0"/>
      <w:marBottom w:val="0"/>
      <w:divBdr>
        <w:top w:val="none" w:sz="0" w:space="0" w:color="auto"/>
        <w:left w:val="none" w:sz="0" w:space="0" w:color="auto"/>
        <w:bottom w:val="none" w:sz="0" w:space="0" w:color="auto"/>
        <w:right w:val="none" w:sz="0" w:space="0" w:color="auto"/>
      </w:divBdr>
    </w:div>
    <w:div w:id="19123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2.xml"/><Relationship Id="rId21" Type="http://schemas.openxmlformats.org/officeDocument/2006/relationships/diagramLayout" Target="diagrams/layout1.xml"/><Relationship Id="rId42" Type="http://schemas.openxmlformats.org/officeDocument/2006/relationships/diagramQuickStyle" Target="diagrams/quickStyle5.xml"/><Relationship Id="rId47" Type="http://schemas.openxmlformats.org/officeDocument/2006/relationships/header" Target="header4.xml"/><Relationship Id="rId63" Type="http://schemas.openxmlformats.org/officeDocument/2006/relationships/diagramData" Target="diagrams/data8.xml"/><Relationship Id="rId68" Type="http://schemas.openxmlformats.org/officeDocument/2006/relationships/diagramData" Target="diagrams/data9.xml"/><Relationship Id="rId84" Type="http://schemas.microsoft.com/office/2007/relationships/diagramDrawing" Target="diagrams/drawing11.xml"/><Relationship Id="rId89" Type="http://schemas.openxmlformats.org/officeDocument/2006/relationships/footer" Target="footer21.xml"/><Relationship Id="rId16" Type="http://schemas.openxmlformats.org/officeDocument/2006/relationships/footer" Target="footer7.xml"/><Relationship Id="rId11" Type="http://schemas.openxmlformats.org/officeDocument/2006/relationships/footer" Target="footer4.xml"/><Relationship Id="rId32" Type="http://schemas.openxmlformats.org/officeDocument/2006/relationships/diagramQuickStyle" Target="diagrams/quickStyle3.xml"/><Relationship Id="rId37" Type="http://schemas.openxmlformats.org/officeDocument/2006/relationships/diagramQuickStyle" Target="diagrams/quickStyle4.xml"/><Relationship Id="rId53" Type="http://schemas.openxmlformats.org/officeDocument/2006/relationships/diagramData" Target="diagrams/data6.xml"/><Relationship Id="rId58" Type="http://schemas.openxmlformats.org/officeDocument/2006/relationships/diagramData" Target="diagrams/data7.xml"/><Relationship Id="rId74" Type="http://schemas.openxmlformats.org/officeDocument/2006/relationships/footer" Target="footer16.xml"/><Relationship Id="rId79" Type="http://schemas.microsoft.com/office/2007/relationships/diagramDrawing" Target="diagrams/drawing10.xml"/><Relationship Id="rId5" Type="http://schemas.openxmlformats.org/officeDocument/2006/relationships/webSettings" Target="webSettings.xml"/><Relationship Id="rId90" Type="http://schemas.openxmlformats.org/officeDocument/2006/relationships/footer" Target="footer22.xml"/><Relationship Id="rId95" Type="http://schemas.openxmlformats.org/officeDocument/2006/relationships/theme" Target="theme/theme1.xml"/><Relationship Id="rId22" Type="http://schemas.openxmlformats.org/officeDocument/2006/relationships/diagramQuickStyle" Target="diagrams/quickStyle1.xml"/><Relationship Id="rId27" Type="http://schemas.openxmlformats.org/officeDocument/2006/relationships/diagramQuickStyle" Target="diagrams/quickStyle2.xml"/><Relationship Id="rId43" Type="http://schemas.openxmlformats.org/officeDocument/2006/relationships/diagramColors" Target="diagrams/colors5.xml"/><Relationship Id="rId48" Type="http://schemas.openxmlformats.org/officeDocument/2006/relationships/header" Target="header5.xml"/><Relationship Id="rId64" Type="http://schemas.openxmlformats.org/officeDocument/2006/relationships/diagramLayout" Target="diagrams/layout8.xml"/><Relationship Id="rId69" Type="http://schemas.openxmlformats.org/officeDocument/2006/relationships/diagramLayout" Target="diagrams/layout9.xml"/><Relationship Id="rId8" Type="http://schemas.openxmlformats.org/officeDocument/2006/relationships/footer" Target="footer1.xml"/><Relationship Id="rId51" Type="http://schemas.openxmlformats.org/officeDocument/2006/relationships/header" Target="header6.xml"/><Relationship Id="rId72" Type="http://schemas.microsoft.com/office/2007/relationships/diagramDrawing" Target="diagrams/drawing9.xml"/><Relationship Id="rId80" Type="http://schemas.openxmlformats.org/officeDocument/2006/relationships/diagramData" Target="diagrams/data11.xml"/><Relationship Id="rId85" Type="http://schemas.openxmlformats.org/officeDocument/2006/relationships/footer" Target="footer17.xml"/><Relationship Id="rId93" Type="http://schemas.openxmlformats.org/officeDocument/2006/relationships/hyperlink" Target="http://solo.bodleian.ox.ac.uk/primo_library/libweb/action/display.do?tabs=detailsTab&amp;ct=display&amp;fn=search&amp;doc=oxfaleph020387352&amp;indx=3&amp;recIds=oxfaleph020387352&amp;recIdxs=2&amp;elementId=2&amp;renderMode=poppedOut&amp;displayMode=full&amp;frbrVersion=&amp;frbg=&amp;vl(254947567UI0)=any&amp;&amp;dscnt=0&amp;vl(1UIStartWith0)=contains&amp;scp.scps=scope%3A%28OX%29&amp;tb=t&amp;vid=OXVU1&amp;mode=Basic&amp;vl(516065169UI1)=all_items&amp;srt=rank&amp;tab=local&amp;dum=true&amp;vl(freeText0)=Bonaventure%20commentaria&amp;dstmp=1488780723021" TargetMode="Externa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Colors" Target="diagrams/colors4.xml"/><Relationship Id="rId46" Type="http://schemas.openxmlformats.org/officeDocument/2006/relationships/footer" Target="footer11.xml"/><Relationship Id="rId59" Type="http://schemas.openxmlformats.org/officeDocument/2006/relationships/diagramLayout" Target="diagrams/layout7.xml"/><Relationship Id="rId67" Type="http://schemas.microsoft.com/office/2007/relationships/diagramDrawing" Target="diagrams/drawing8.xml"/><Relationship Id="rId20" Type="http://schemas.openxmlformats.org/officeDocument/2006/relationships/diagramData" Target="diagrams/data1.xml"/><Relationship Id="rId41" Type="http://schemas.openxmlformats.org/officeDocument/2006/relationships/diagramLayout" Target="diagrams/layout5.xml"/><Relationship Id="rId54" Type="http://schemas.openxmlformats.org/officeDocument/2006/relationships/diagramLayout" Target="diagrams/layout6.xml"/><Relationship Id="rId62" Type="http://schemas.microsoft.com/office/2007/relationships/diagramDrawing" Target="diagrams/drawing7.xml"/><Relationship Id="rId70" Type="http://schemas.openxmlformats.org/officeDocument/2006/relationships/diagramQuickStyle" Target="diagrams/quickStyle9.xml"/><Relationship Id="rId75" Type="http://schemas.openxmlformats.org/officeDocument/2006/relationships/diagramData" Target="diagrams/data10.xml"/><Relationship Id="rId83" Type="http://schemas.openxmlformats.org/officeDocument/2006/relationships/diagramColors" Target="diagrams/colors11.xml"/><Relationship Id="rId88" Type="http://schemas.openxmlformats.org/officeDocument/2006/relationships/footer" Target="footer20.xml"/><Relationship Id="rId91"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diagramLayout" Target="diagrams/layout4.xml"/><Relationship Id="rId49" Type="http://schemas.openxmlformats.org/officeDocument/2006/relationships/footer" Target="footer12.xml"/><Relationship Id="rId57" Type="http://schemas.microsoft.com/office/2007/relationships/diagramDrawing" Target="diagrams/drawing6.xml"/><Relationship Id="rId10" Type="http://schemas.openxmlformats.org/officeDocument/2006/relationships/footer" Target="footer3.xml"/><Relationship Id="rId31" Type="http://schemas.openxmlformats.org/officeDocument/2006/relationships/diagramLayout" Target="diagrams/layout3.xml"/><Relationship Id="rId44" Type="http://schemas.microsoft.com/office/2007/relationships/diagramDrawing" Target="diagrams/drawing5.xml"/><Relationship Id="rId52" Type="http://schemas.openxmlformats.org/officeDocument/2006/relationships/footer" Target="footer14.xml"/><Relationship Id="rId60" Type="http://schemas.openxmlformats.org/officeDocument/2006/relationships/diagramQuickStyle" Target="diagrams/quickStyle7.xml"/><Relationship Id="rId65" Type="http://schemas.openxmlformats.org/officeDocument/2006/relationships/diagramQuickStyle" Target="diagrams/quickStyle8.xml"/><Relationship Id="rId73" Type="http://schemas.openxmlformats.org/officeDocument/2006/relationships/footer" Target="footer15.xml"/><Relationship Id="rId78" Type="http://schemas.openxmlformats.org/officeDocument/2006/relationships/diagramColors" Target="diagrams/colors10.xml"/><Relationship Id="rId81" Type="http://schemas.openxmlformats.org/officeDocument/2006/relationships/diagramLayout" Target="diagrams/layout11.xml"/><Relationship Id="rId86" Type="http://schemas.openxmlformats.org/officeDocument/2006/relationships/footer" Target="footer18.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header" Target="header3.xml"/><Relationship Id="rId39" Type="http://schemas.microsoft.com/office/2007/relationships/diagramDrawing" Target="diagrams/drawing4.xml"/><Relationship Id="rId34" Type="http://schemas.microsoft.com/office/2007/relationships/diagramDrawing" Target="diagrams/drawing3.xml"/><Relationship Id="rId50" Type="http://schemas.openxmlformats.org/officeDocument/2006/relationships/footer" Target="footer13.xml"/><Relationship Id="rId55" Type="http://schemas.openxmlformats.org/officeDocument/2006/relationships/diagramQuickStyle" Target="diagrams/quickStyle6.xml"/><Relationship Id="rId76" Type="http://schemas.openxmlformats.org/officeDocument/2006/relationships/diagramLayout" Target="diagrams/layout10.xml"/><Relationship Id="rId7" Type="http://schemas.openxmlformats.org/officeDocument/2006/relationships/endnotes" Target="endnotes.xml"/><Relationship Id="rId71" Type="http://schemas.openxmlformats.org/officeDocument/2006/relationships/diagramColors" Target="diagrams/colors9.xml"/><Relationship Id="rId92" Type="http://schemas.openxmlformats.org/officeDocument/2006/relationships/footer" Target="footer24.xml"/><Relationship Id="rId2" Type="http://schemas.openxmlformats.org/officeDocument/2006/relationships/numbering" Target="numbering.xml"/><Relationship Id="rId29" Type="http://schemas.microsoft.com/office/2007/relationships/diagramDrawing" Target="diagrams/drawing2.xml"/><Relationship Id="rId24" Type="http://schemas.microsoft.com/office/2007/relationships/diagramDrawing" Target="diagrams/drawing1.xml"/><Relationship Id="rId40" Type="http://schemas.openxmlformats.org/officeDocument/2006/relationships/diagramData" Target="diagrams/data5.xml"/><Relationship Id="rId45" Type="http://schemas.openxmlformats.org/officeDocument/2006/relationships/footer" Target="footer10.xml"/><Relationship Id="rId66" Type="http://schemas.openxmlformats.org/officeDocument/2006/relationships/diagramColors" Target="diagrams/colors8.xml"/><Relationship Id="rId87" Type="http://schemas.openxmlformats.org/officeDocument/2006/relationships/footer" Target="footer19.xml"/><Relationship Id="rId61" Type="http://schemas.openxmlformats.org/officeDocument/2006/relationships/diagramColors" Target="diagrams/colors7.xml"/><Relationship Id="rId82" Type="http://schemas.openxmlformats.org/officeDocument/2006/relationships/diagramQuickStyle" Target="diagrams/quickStyle11.xml"/><Relationship Id="rId19" Type="http://schemas.openxmlformats.org/officeDocument/2006/relationships/footer" Target="footer9.xml"/><Relationship Id="rId14" Type="http://schemas.openxmlformats.org/officeDocument/2006/relationships/header" Target="header1.xml"/><Relationship Id="rId30" Type="http://schemas.openxmlformats.org/officeDocument/2006/relationships/diagramData" Target="diagrams/data3.xml"/><Relationship Id="rId35" Type="http://schemas.openxmlformats.org/officeDocument/2006/relationships/diagramData" Target="diagrams/data4.xml"/><Relationship Id="rId56" Type="http://schemas.openxmlformats.org/officeDocument/2006/relationships/diagramColors" Target="diagrams/colors6.xml"/><Relationship Id="rId77" Type="http://schemas.openxmlformats.org/officeDocument/2006/relationships/diagramQuickStyle" Target="diagrams/quickStyle10.xml"/></Relationships>
</file>

<file path=word/_rels/footnotes.xml.rels><?xml version="1.0" encoding="UTF-8" standalone="yes"?>
<Relationships xmlns="http://schemas.openxmlformats.org/package/2006/relationships"><Relationship Id="rId3" Type="http://schemas.openxmlformats.org/officeDocument/2006/relationships/hyperlink" Target="https://www.persee.fr/collection/phlou" TargetMode="External"/><Relationship Id="rId2" Type="http://schemas.openxmlformats.org/officeDocument/2006/relationships/hyperlink" Target="http://solo.bodleian.ox.ac.uk/primo_library/libweb/action/display.do?tabs=detailsTab&amp;ct=display&amp;fn=search&amp;doc=UkOxUUkOxUb11156311&amp;indx=1&amp;recIds=UkOxUUkOxUb11156311&amp;recIdxs=0&amp;elementId=0&amp;renderMode=poppedOut&amp;displayMode=full&amp;frbrVersion=&amp;dscnt=1&amp;scp.scps=scope%3A(%22OX%22)&amp;frbg=&amp;tab=local&amp;dstmp=1298799544709&amp;vl(217121274UI0)=any&amp;srt=rank&amp;vl(204862243UI1)=all_items&amp;mode=Basic&amp;dum=true&amp;tb=t&amp;vl(1UIStartWith0)=contains&amp;vl(freeText0)=Magistri%20Alexandri%20de%20Hales%20&amp;vid=OXVU1" TargetMode="External"/><Relationship Id="rId1" Type="http://schemas.openxmlformats.org/officeDocument/2006/relationships/hyperlink" Target="http://solo.bodleian.ox.ac.uk/primo_library/libweb/action/display.do?tabs=detailsTab&amp;ct=display&amp;fn=search&amp;doc=UkOxUUkOxUb11156311&amp;indx=1&amp;recIds=UkOxUUkOxUb11156311&amp;recIdxs=0&amp;elementId=0&amp;renderMode=poppedOut&amp;displayMode=full&amp;frbrVersion=&amp;dscnt=1&amp;scp.scps=scope%3A(%22OX%22)&amp;frbg=&amp;tab=local&amp;dstmp=1298799544709&amp;vl(217121274UI0)=any&amp;srt=rank&amp;vl(204862243UI1)=all_items&amp;mode=Basic&amp;dum=true&amp;tb=t&amp;vl(1UIStartWith0)=contains&amp;vl(freeText0)=Magistri%20Alexandri%20de%20Hales%20&amp;vid=OXVU1" TargetMode="External"/><Relationship Id="rId5" Type="http://schemas.openxmlformats.org/officeDocument/2006/relationships/hyperlink" Target="http://solo.bodleian.ox.ac.uk/primo_library/libweb/action/display.do?tabs=detailsTab&amp;ct=display&amp;fn=search&amp;doc=UkOxUUkOxUb11156311&amp;indx=1&amp;recIds=UkOxUUkOxUb11156311&amp;recIdxs=0&amp;elementId=0&amp;renderMode=poppedOut&amp;displayMode=full&amp;frbrVersion=&amp;dscnt=1&amp;scp.scps=scope%3A(%22OX%22)&amp;frbg=&amp;tab=local&amp;dstmp=1298799544709&amp;vl(217121274UI0)=any&amp;srt=rank&amp;vl(204862243UI1)=all_items&amp;mode=Basic&amp;dum=true&amp;tb=t&amp;vl(1UIStartWith0)=contains&amp;vl(freeText0)=Magistri%20Alexandri%20de%20Hales%20&amp;vid=OXVU1" TargetMode="External"/><Relationship Id="rId4" Type="http://schemas.openxmlformats.org/officeDocument/2006/relationships/hyperlink" Target="http://solo.bodleian.ox.ac.uk/primo_library/libweb/action/display.do?tabs=detailsTab&amp;ct=display&amp;fn=search&amp;doc=UkOxUUkOxUb11156311&amp;indx=1&amp;recIds=UkOxUUkOxUb11156311&amp;recIdxs=0&amp;elementId=0&amp;renderMode=poppedOut&amp;displayMode=full&amp;frbrVersion=&amp;dscnt=1&amp;scp.scps=scope%3A(%22OX%22)&amp;frbg=&amp;tab=local&amp;dstmp=1298799544709&amp;vl(217121274UI0)=any&amp;srt=rank&amp;vl(204862243UI1)=all_items&amp;mode=Basic&amp;dum=true&amp;tb=t&amp;vl(1UIStartWith0)=contains&amp;vl(freeText0)=Magistri%20Alexandri%20de%20Hales%20&amp;vid=OXVU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AE7D63-9988-3744-9DAD-4043F7919198}" type="doc">
      <dgm:prSet loTypeId="urn:microsoft.com/office/officeart/2005/8/layout/hierarchy6" loCatId="" qsTypeId="urn:microsoft.com/office/officeart/2005/8/quickstyle/simple1" qsCatId="simple" csTypeId="urn:microsoft.com/office/officeart/2005/8/colors/accent1_2" csCatId="accent1" phldr="1"/>
      <dgm:spPr/>
      <dgm:t>
        <a:bodyPr/>
        <a:lstStyle/>
        <a:p>
          <a:endParaRPr lang="en-US"/>
        </a:p>
      </dgm:t>
    </dgm:pt>
    <dgm:pt modelId="{86ACF0E1-9175-8E47-AA69-8F7E7FC1E394}">
      <dgm:prSet phldrT="[Text]"/>
      <dgm:spPr/>
      <dgm:t>
        <a:bodyPr/>
        <a:lstStyle/>
        <a:p>
          <a:r>
            <a:rPr lang="en-US"/>
            <a:t>Universal Hylomorphism</a:t>
          </a:r>
        </a:p>
      </dgm:t>
    </dgm:pt>
    <dgm:pt modelId="{0C20B8AC-A762-0E48-B33F-9111E52A884A}" type="parTrans" cxnId="{F43FF4CB-95FE-DC4C-BC76-5459FF6D46F9}">
      <dgm:prSet/>
      <dgm:spPr/>
      <dgm:t>
        <a:bodyPr/>
        <a:lstStyle/>
        <a:p>
          <a:endParaRPr lang="en-US"/>
        </a:p>
      </dgm:t>
    </dgm:pt>
    <dgm:pt modelId="{5DA5438E-2BFB-2349-AD9A-839D65B83736}" type="sibTrans" cxnId="{F43FF4CB-95FE-DC4C-BC76-5459FF6D46F9}">
      <dgm:prSet/>
      <dgm:spPr/>
      <dgm:t>
        <a:bodyPr/>
        <a:lstStyle/>
        <a:p>
          <a:endParaRPr lang="en-US"/>
        </a:p>
      </dgm:t>
    </dgm:pt>
    <dgm:pt modelId="{5DD3E022-DF8D-984D-AFD0-E84A72157394}">
      <dgm:prSet phldrT="[Text]"/>
      <dgm:spPr/>
      <dgm:t>
        <a:bodyPr/>
        <a:lstStyle/>
        <a:p>
          <a:r>
            <a:rPr lang="en-US"/>
            <a:t>Reject</a:t>
          </a:r>
        </a:p>
      </dgm:t>
    </dgm:pt>
    <dgm:pt modelId="{3E237381-C653-5240-B241-CC09585EA754}" type="parTrans" cxnId="{9005B6E5-91B9-6A44-A5AC-CC73207BF440}">
      <dgm:prSet/>
      <dgm:spPr/>
      <dgm:t>
        <a:bodyPr/>
        <a:lstStyle/>
        <a:p>
          <a:endParaRPr lang="en-US"/>
        </a:p>
      </dgm:t>
    </dgm:pt>
    <dgm:pt modelId="{3D0435F8-7881-8F45-AC48-865987D29874}" type="sibTrans" cxnId="{9005B6E5-91B9-6A44-A5AC-CC73207BF440}">
      <dgm:prSet/>
      <dgm:spPr/>
      <dgm:t>
        <a:bodyPr/>
        <a:lstStyle/>
        <a:p>
          <a:endParaRPr lang="en-US"/>
        </a:p>
      </dgm:t>
    </dgm:pt>
    <dgm:pt modelId="{849AF814-3CD9-314F-91DF-17121F6DD7B1}">
      <dgm:prSet phldrT="[Text]"/>
      <dgm:spPr/>
      <dgm:t>
        <a:bodyPr/>
        <a:lstStyle/>
        <a:p>
          <a:r>
            <a:rPr lang="en-US"/>
            <a:t>Philip the Chancellor (Secular)</a:t>
          </a:r>
        </a:p>
      </dgm:t>
    </dgm:pt>
    <dgm:pt modelId="{5E86F4D7-CE4B-664A-8F4A-8802ADEFDE4D}" type="parTrans" cxnId="{45668CA0-470C-1C49-A9C7-7D703BBA8CB8}">
      <dgm:prSet/>
      <dgm:spPr/>
      <dgm:t>
        <a:bodyPr/>
        <a:lstStyle/>
        <a:p>
          <a:endParaRPr lang="en-US"/>
        </a:p>
      </dgm:t>
    </dgm:pt>
    <dgm:pt modelId="{AA07B830-F4A4-5E4C-91D4-7CC23655A2FE}" type="sibTrans" cxnId="{45668CA0-470C-1C49-A9C7-7D703BBA8CB8}">
      <dgm:prSet/>
      <dgm:spPr/>
      <dgm:t>
        <a:bodyPr/>
        <a:lstStyle/>
        <a:p>
          <a:endParaRPr lang="en-US"/>
        </a:p>
      </dgm:t>
    </dgm:pt>
    <dgm:pt modelId="{499B4E85-C328-C94C-8DA9-69EFE65D8143}">
      <dgm:prSet phldrT="[Text]"/>
      <dgm:spPr/>
      <dgm:t>
        <a:bodyPr/>
        <a:lstStyle/>
        <a:p>
          <a:r>
            <a:rPr lang="en-US"/>
            <a:t>Hugh of St Cher (Dominican)</a:t>
          </a:r>
        </a:p>
      </dgm:t>
    </dgm:pt>
    <dgm:pt modelId="{B4FD4AA8-A45C-094A-AE39-4CBDC1CDCEC2}" type="parTrans" cxnId="{51F82E3E-1C9B-B940-A4EE-30320B6DDC77}">
      <dgm:prSet/>
      <dgm:spPr/>
      <dgm:t>
        <a:bodyPr/>
        <a:lstStyle/>
        <a:p>
          <a:endParaRPr lang="en-US"/>
        </a:p>
      </dgm:t>
    </dgm:pt>
    <dgm:pt modelId="{79B2917D-19D8-F546-8CD6-C80B37091A7B}" type="sibTrans" cxnId="{51F82E3E-1C9B-B940-A4EE-30320B6DDC77}">
      <dgm:prSet/>
      <dgm:spPr/>
      <dgm:t>
        <a:bodyPr/>
        <a:lstStyle/>
        <a:p>
          <a:endParaRPr lang="en-US"/>
        </a:p>
      </dgm:t>
    </dgm:pt>
    <dgm:pt modelId="{0E615CCC-9694-044E-8BCD-80F22576887E}">
      <dgm:prSet phldrT="[Text]"/>
      <dgm:spPr/>
      <dgm:t>
        <a:bodyPr/>
        <a:lstStyle/>
        <a:p>
          <a:r>
            <a:rPr lang="en-US"/>
            <a:t>Accept</a:t>
          </a:r>
        </a:p>
      </dgm:t>
    </dgm:pt>
    <dgm:pt modelId="{1918071B-25C1-2B48-8B51-1B8E128F0577}" type="parTrans" cxnId="{CAA9BA00-2E22-3647-A88F-6AEFE10237F2}">
      <dgm:prSet/>
      <dgm:spPr/>
      <dgm:t>
        <a:bodyPr/>
        <a:lstStyle/>
        <a:p>
          <a:endParaRPr lang="en-US"/>
        </a:p>
      </dgm:t>
    </dgm:pt>
    <dgm:pt modelId="{B67ECB03-0D51-A441-87CE-92C27F95815E}" type="sibTrans" cxnId="{CAA9BA00-2E22-3647-A88F-6AEFE10237F2}">
      <dgm:prSet/>
      <dgm:spPr/>
      <dgm:t>
        <a:bodyPr/>
        <a:lstStyle/>
        <a:p>
          <a:endParaRPr lang="en-US"/>
        </a:p>
      </dgm:t>
    </dgm:pt>
    <dgm:pt modelId="{2BA5CE1F-28F2-9346-AACA-187F174910FF}">
      <dgm:prSet phldrT="[Text]"/>
      <dgm:spPr/>
      <dgm:t>
        <a:bodyPr/>
        <a:lstStyle/>
        <a:p>
          <a:r>
            <a:rPr lang="en-US"/>
            <a:t>Roland of Cremona (Dominican)</a:t>
          </a:r>
        </a:p>
      </dgm:t>
    </dgm:pt>
    <dgm:pt modelId="{D46700D6-23CE-0944-963C-F45AD10120DC}" type="parTrans" cxnId="{F3A21854-5BF7-9A48-A197-8A09211D7096}">
      <dgm:prSet/>
      <dgm:spPr/>
      <dgm:t>
        <a:bodyPr/>
        <a:lstStyle/>
        <a:p>
          <a:endParaRPr lang="en-US"/>
        </a:p>
      </dgm:t>
    </dgm:pt>
    <dgm:pt modelId="{E9B3A56B-49D5-8249-B973-B944E8D4C819}" type="sibTrans" cxnId="{F3A21854-5BF7-9A48-A197-8A09211D7096}">
      <dgm:prSet/>
      <dgm:spPr/>
      <dgm:t>
        <a:bodyPr/>
        <a:lstStyle/>
        <a:p>
          <a:endParaRPr lang="en-US"/>
        </a:p>
      </dgm:t>
    </dgm:pt>
    <dgm:pt modelId="{0A2FD402-4233-9447-BAF7-739376B5B66B}">
      <dgm:prSet/>
      <dgm:spPr/>
      <dgm:t>
        <a:bodyPr/>
        <a:lstStyle/>
        <a:p>
          <a:r>
            <a:rPr lang="en-US"/>
            <a:t>John of La Rochelle (Franciscan)</a:t>
          </a:r>
        </a:p>
      </dgm:t>
    </dgm:pt>
    <dgm:pt modelId="{2160ACB5-831E-5D40-983B-AFB47787C61A}" type="parTrans" cxnId="{E5D66C7E-6F3B-A94A-B133-48A9CA42BB30}">
      <dgm:prSet/>
      <dgm:spPr/>
      <dgm:t>
        <a:bodyPr/>
        <a:lstStyle/>
        <a:p>
          <a:endParaRPr lang="en-US"/>
        </a:p>
      </dgm:t>
    </dgm:pt>
    <dgm:pt modelId="{525EFFEE-2D34-2E4F-AC01-ED12A19ECD32}" type="sibTrans" cxnId="{E5D66C7E-6F3B-A94A-B133-48A9CA42BB30}">
      <dgm:prSet/>
      <dgm:spPr/>
      <dgm:t>
        <a:bodyPr/>
        <a:lstStyle/>
        <a:p>
          <a:endParaRPr lang="en-US"/>
        </a:p>
      </dgm:t>
    </dgm:pt>
    <dgm:pt modelId="{025AA539-C3F1-184A-93C6-8A0CD8E35AC1}">
      <dgm:prSet/>
      <dgm:spPr/>
      <dgm:t>
        <a:bodyPr/>
        <a:lstStyle/>
        <a:p>
          <a:r>
            <a:rPr lang="en-US" i="1"/>
            <a:t>Summa Halensis </a:t>
          </a:r>
          <a:r>
            <a:rPr lang="en-US" i="0"/>
            <a:t>(and subsequent Franciscans)</a:t>
          </a:r>
          <a:endParaRPr lang="en-US" i="1"/>
        </a:p>
      </dgm:t>
    </dgm:pt>
    <dgm:pt modelId="{5F13F083-4F97-3046-A943-61E08C740535}" type="parTrans" cxnId="{818A7E3A-D166-C649-9A2F-EDBB70DB641A}">
      <dgm:prSet/>
      <dgm:spPr/>
      <dgm:t>
        <a:bodyPr/>
        <a:lstStyle/>
        <a:p>
          <a:endParaRPr lang="en-US"/>
        </a:p>
      </dgm:t>
    </dgm:pt>
    <dgm:pt modelId="{CBE65C99-F521-4E4B-BA9D-49A8CDB84DEB}" type="sibTrans" cxnId="{818A7E3A-D166-C649-9A2F-EDBB70DB641A}">
      <dgm:prSet/>
      <dgm:spPr/>
      <dgm:t>
        <a:bodyPr/>
        <a:lstStyle/>
        <a:p>
          <a:endParaRPr lang="en-US"/>
        </a:p>
      </dgm:t>
    </dgm:pt>
    <dgm:pt modelId="{ED6CFA41-0F97-B645-918A-0A238B90C625}" type="pres">
      <dgm:prSet presAssocID="{58AE7D63-9988-3744-9DAD-4043F7919198}" presName="mainComposite" presStyleCnt="0">
        <dgm:presLayoutVars>
          <dgm:chPref val="1"/>
          <dgm:dir/>
          <dgm:animOne val="branch"/>
          <dgm:animLvl val="lvl"/>
          <dgm:resizeHandles val="exact"/>
        </dgm:presLayoutVars>
      </dgm:prSet>
      <dgm:spPr/>
    </dgm:pt>
    <dgm:pt modelId="{6F3F0F88-7EE9-3540-85F0-9FBD52D4E43F}" type="pres">
      <dgm:prSet presAssocID="{58AE7D63-9988-3744-9DAD-4043F7919198}" presName="hierFlow" presStyleCnt="0"/>
      <dgm:spPr/>
    </dgm:pt>
    <dgm:pt modelId="{68CB3C22-1571-844D-8DA7-1E53D09CBE14}" type="pres">
      <dgm:prSet presAssocID="{58AE7D63-9988-3744-9DAD-4043F7919198}" presName="hierChild1" presStyleCnt="0">
        <dgm:presLayoutVars>
          <dgm:chPref val="1"/>
          <dgm:animOne val="branch"/>
          <dgm:animLvl val="lvl"/>
        </dgm:presLayoutVars>
      </dgm:prSet>
      <dgm:spPr/>
    </dgm:pt>
    <dgm:pt modelId="{D072E37F-DBD0-C044-A36C-AC2344BE2F3C}" type="pres">
      <dgm:prSet presAssocID="{86ACF0E1-9175-8E47-AA69-8F7E7FC1E394}" presName="Name14" presStyleCnt="0"/>
      <dgm:spPr/>
    </dgm:pt>
    <dgm:pt modelId="{545F92A6-0F6C-B44D-BA4D-9C64F13D2B96}" type="pres">
      <dgm:prSet presAssocID="{86ACF0E1-9175-8E47-AA69-8F7E7FC1E394}" presName="level1Shape" presStyleLbl="node0" presStyleIdx="0" presStyleCnt="1">
        <dgm:presLayoutVars>
          <dgm:chPref val="3"/>
        </dgm:presLayoutVars>
      </dgm:prSet>
      <dgm:spPr/>
    </dgm:pt>
    <dgm:pt modelId="{A0FE8EDB-3ECB-A948-ACA1-FD878DFEFF65}" type="pres">
      <dgm:prSet presAssocID="{86ACF0E1-9175-8E47-AA69-8F7E7FC1E394}" presName="hierChild2" presStyleCnt="0"/>
      <dgm:spPr/>
    </dgm:pt>
    <dgm:pt modelId="{CEC5EE83-16C5-0540-9C92-52C3C2A7BC11}" type="pres">
      <dgm:prSet presAssocID="{3E237381-C653-5240-B241-CC09585EA754}" presName="Name19" presStyleLbl="parChTrans1D2" presStyleIdx="0" presStyleCnt="2"/>
      <dgm:spPr/>
    </dgm:pt>
    <dgm:pt modelId="{7AF72C25-EA31-694B-8545-39DA8432837C}" type="pres">
      <dgm:prSet presAssocID="{5DD3E022-DF8D-984D-AFD0-E84A72157394}" presName="Name21" presStyleCnt="0"/>
      <dgm:spPr/>
    </dgm:pt>
    <dgm:pt modelId="{8DC60F52-56BB-DA49-93D4-CD4558FDC40C}" type="pres">
      <dgm:prSet presAssocID="{5DD3E022-DF8D-984D-AFD0-E84A72157394}" presName="level2Shape" presStyleLbl="node2" presStyleIdx="0" presStyleCnt="2"/>
      <dgm:spPr/>
    </dgm:pt>
    <dgm:pt modelId="{213BB554-FE1D-8A49-8CB4-265E71613770}" type="pres">
      <dgm:prSet presAssocID="{5DD3E022-DF8D-984D-AFD0-E84A72157394}" presName="hierChild3" presStyleCnt="0"/>
      <dgm:spPr/>
    </dgm:pt>
    <dgm:pt modelId="{B8DA6055-DB78-EC41-8A74-23F110C1A03F}" type="pres">
      <dgm:prSet presAssocID="{5E86F4D7-CE4B-664A-8F4A-8802ADEFDE4D}" presName="Name19" presStyleLbl="parChTrans1D3" presStyleIdx="0" presStyleCnt="2"/>
      <dgm:spPr/>
    </dgm:pt>
    <dgm:pt modelId="{D02A02B1-69B8-124C-8101-B94572377363}" type="pres">
      <dgm:prSet presAssocID="{849AF814-3CD9-314F-91DF-17121F6DD7B1}" presName="Name21" presStyleCnt="0"/>
      <dgm:spPr/>
    </dgm:pt>
    <dgm:pt modelId="{A620EFAE-568F-9747-98BA-8592ECB0022F}" type="pres">
      <dgm:prSet presAssocID="{849AF814-3CD9-314F-91DF-17121F6DD7B1}" presName="level2Shape" presStyleLbl="node3" presStyleIdx="0" presStyleCnt="2"/>
      <dgm:spPr/>
    </dgm:pt>
    <dgm:pt modelId="{174F74CF-283E-0C44-A07F-F61D46A361F1}" type="pres">
      <dgm:prSet presAssocID="{849AF814-3CD9-314F-91DF-17121F6DD7B1}" presName="hierChild3" presStyleCnt="0"/>
      <dgm:spPr/>
    </dgm:pt>
    <dgm:pt modelId="{32D0057C-54D6-4449-9E41-AA8FCAA0A104}" type="pres">
      <dgm:prSet presAssocID="{B4FD4AA8-A45C-094A-AE39-4CBDC1CDCEC2}" presName="Name19" presStyleLbl="parChTrans1D4" presStyleIdx="0" presStyleCnt="3"/>
      <dgm:spPr/>
    </dgm:pt>
    <dgm:pt modelId="{2C9F0032-1D6D-884B-B44E-85F56981EBDC}" type="pres">
      <dgm:prSet presAssocID="{499B4E85-C328-C94C-8DA9-69EFE65D8143}" presName="Name21" presStyleCnt="0"/>
      <dgm:spPr/>
    </dgm:pt>
    <dgm:pt modelId="{5D1C3804-114B-9945-9381-2867EFDC2A5B}" type="pres">
      <dgm:prSet presAssocID="{499B4E85-C328-C94C-8DA9-69EFE65D8143}" presName="level2Shape" presStyleLbl="node4" presStyleIdx="0" presStyleCnt="3"/>
      <dgm:spPr/>
    </dgm:pt>
    <dgm:pt modelId="{D86C9964-0ADA-2547-8687-0F2E2EB74373}" type="pres">
      <dgm:prSet presAssocID="{499B4E85-C328-C94C-8DA9-69EFE65D8143}" presName="hierChild3" presStyleCnt="0"/>
      <dgm:spPr/>
    </dgm:pt>
    <dgm:pt modelId="{DD11EB5F-D4D9-AE49-AC81-D7CE9305EC3A}" type="pres">
      <dgm:prSet presAssocID="{2160ACB5-831E-5D40-983B-AFB47787C61A}" presName="Name19" presStyleLbl="parChTrans1D4" presStyleIdx="1" presStyleCnt="3"/>
      <dgm:spPr/>
    </dgm:pt>
    <dgm:pt modelId="{1F835717-E247-1746-BFF5-0E47AF1A2CA3}" type="pres">
      <dgm:prSet presAssocID="{0A2FD402-4233-9447-BAF7-739376B5B66B}" presName="Name21" presStyleCnt="0"/>
      <dgm:spPr/>
    </dgm:pt>
    <dgm:pt modelId="{89614829-E31E-9847-A923-2E38F560E337}" type="pres">
      <dgm:prSet presAssocID="{0A2FD402-4233-9447-BAF7-739376B5B66B}" presName="level2Shape" presStyleLbl="node4" presStyleIdx="1" presStyleCnt="3"/>
      <dgm:spPr/>
    </dgm:pt>
    <dgm:pt modelId="{011E8D75-53BF-F443-8BC7-69C6804A7D2E}" type="pres">
      <dgm:prSet presAssocID="{0A2FD402-4233-9447-BAF7-739376B5B66B}" presName="hierChild3" presStyleCnt="0"/>
      <dgm:spPr/>
    </dgm:pt>
    <dgm:pt modelId="{10BF4024-AC09-714F-9251-AF4BF5BA3B32}" type="pres">
      <dgm:prSet presAssocID="{1918071B-25C1-2B48-8B51-1B8E128F0577}" presName="Name19" presStyleLbl="parChTrans1D2" presStyleIdx="1" presStyleCnt="2"/>
      <dgm:spPr/>
    </dgm:pt>
    <dgm:pt modelId="{B5B81843-6576-7D40-AF16-4D63D315F597}" type="pres">
      <dgm:prSet presAssocID="{0E615CCC-9694-044E-8BCD-80F22576887E}" presName="Name21" presStyleCnt="0"/>
      <dgm:spPr/>
    </dgm:pt>
    <dgm:pt modelId="{13EE72C6-C14D-5A4B-BF6C-CECCF5158AF9}" type="pres">
      <dgm:prSet presAssocID="{0E615CCC-9694-044E-8BCD-80F22576887E}" presName="level2Shape" presStyleLbl="node2" presStyleIdx="1" presStyleCnt="2"/>
      <dgm:spPr/>
    </dgm:pt>
    <dgm:pt modelId="{F358104C-6E99-DE4E-9828-0D0EA290C0FB}" type="pres">
      <dgm:prSet presAssocID="{0E615CCC-9694-044E-8BCD-80F22576887E}" presName="hierChild3" presStyleCnt="0"/>
      <dgm:spPr/>
    </dgm:pt>
    <dgm:pt modelId="{44C86BB3-CC91-1C44-8927-EF87256067B3}" type="pres">
      <dgm:prSet presAssocID="{D46700D6-23CE-0944-963C-F45AD10120DC}" presName="Name19" presStyleLbl="parChTrans1D3" presStyleIdx="1" presStyleCnt="2"/>
      <dgm:spPr/>
    </dgm:pt>
    <dgm:pt modelId="{DA6B2E65-5B40-C44C-A026-211042908F35}" type="pres">
      <dgm:prSet presAssocID="{2BA5CE1F-28F2-9346-AACA-187F174910FF}" presName="Name21" presStyleCnt="0"/>
      <dgm:spPr/>
    </dgm:pt>
    <dgm:pt modelId="{F9666661-C994-2B4D-BDF9-6AD8A2C44278}" type="pres">
      <dgm:prSet presAssocID="{2BA5CE1F-28F2-9346-AACA-187F174910FF}" presName="level2Shape" presStyleLbl="node3" presStyleIdx="1" presStyleCnt="2"/>
      <dgm:spPr/>
    </dgm:pt>
    <dgm:pt modelId="{0FBB60D9-4CC7-6242-8AD5-EC3E5CEA13B3}" type="pres">
      <dgm:prSet presAssocID="{2BA5CE1F-28F2-9346-AACA-187F174910FF}" presName="hierChild3" presStyleCnt="0"/>
      <dgm:spPr/>
    </dgm:pt>
    <dgm:pt modelId="{9917E320-5D56-2B4F-93BA-8C942983B235}" type="pres">
      <dgm:prSet presAssocID="{5F13F083-4F97-3046-A943-61E08C740535}" presName="Name19" presStyleLbl="parChTrans1D4" presStyleIdx="2" presStyleCnt="3"/>
      <dgm:spPr/>
    </dgm:pt>
    <dgm:pt modelId="{F9254444-68B2-B34E-B2DC-44E8AF48D8EA}" type="pres">
      <dgm:prSet presAssocID="{025AA539-C3F1-184A-93C6-8A0CD8E35AC1}" presName="Name21" presStyleCnt="0"/>
      <dgm:spPr/>
    </dgm:pt>
    <dgm:pt modelId="{E3B2D941-60D5-744F-87C8-10534C8481A9}" type="pres">
      <dgm:prSet presAssocID="{025AA539-C3F1-184A-93C6-8A0CD8E35AC1}" presName="level2Shape" presStyleLbl="node4" presStyleIdx="2" presStyleCnt="3"/>
      <dgm:spPr/>
    </dgm:pt>
    <dgm:pt modelId="{8D576A27-7E7C-6A46-89C6-5344971D45F6}" type="pres">
      <dgm:prSet presAssocID="{025AA539-C3F1-184A-93C6-8A0CD8E35AC1}" presName="hierChild3" presStyleCnt="0"/>
      <dgm:spPr/>
    </dgm:pt>
    <dgm:pt modelId="{E7C04D2A-5E0F-D54A-A4AB-485B4E604EB5}" type="pres">
      <dgm:prSet presAssocID="{58AE7D63-9988-3744-9DAD-4043F7919198}" presName="bgShapesFlow" presStyleCnt="0"/>
      <dgm:spPr/>
    </dgm:pt>
  </dgm:ptLst>
  <dgm:cxnLst>
    <dgm:cxn modelId="{CAA9BA00-2E22-3647-A88F-6AEFE10237F2}" srcId="{86ACF0E1-9175-8E47-AA69-8F7E7FC1E394}" destId="{0E615CCC-9694-044E-8BCD-80F22576887E}" srcOrd="1" destOrd="0" parTransId="{1918071B-25C1-2B48-8B51-1B8E128F0577}" sibTransId="{B67ECB03-0D51-A441-87CE-92C27F95815E}"/>
    <dgm:cxn modelId="{69E26B18-6702-CA4C-B9FF-591A8FD18CBD}" type="presOf" srcId="{3E237381-C653-5240-B241-CC09585EA754}" destId="{CEC5EE83-16C5-0540-9C92-52C3C2A7BC11}" srcOrd="0" destOrd="0" presId="urn:microsoft.com/office/officeart/2005/8/layout/hierarchy6"/>
    <dgm:cxn modelId="{9A220E2A-0D33-934B-BA64-43BF763A74B4}" type="presOf" srcId="{5F13F083-4F97-3046-A943-61E08C740535}" destId="{9917E320-5D56-2B4F-93BA-8C942983B235}" srcOrd="0" destOrd="0" presId="urn:microsoft.com/office/officeart/2005/8/layout/hierarchy6"/>
    <dgm:cxn modelId="{2C25C231-A0B0-B641-8DE1-7F4C7B91B5DD}" type="presOf" srcId="{D46700D6-23CE-0944-963C-F45AD10120DC}" destId="{44C86BB3-CC91-1C44-8927-EF87256067B3}" srcOrd="0" destOrd="0" presId="urn:microsoft.com/office/officeart/2005/8/layout/hierarchy6"/>
    <dgm:cxn modelId="{818A7E3A-D166-C649-9A2F-EDBB70DB641A}" srcId="{2BA5CE1F-28F2-9346-AACA-187F174910FF}" destId="{025AA539-C3F1-184A-93C6-8A0CD8E35AC1}" srcOrd="0" destOrd="0" parTransId="{5F13F083-4F97-3046-A943-61E08C740535}" sibTransId="{CBE65C99-F521-4E4B-BA9D-49A8CDB84DEB}"/>
    <dgm:cxn modelId="{5AB1AD3A-3470-7F45-94CD-970F173431F8}" type="presOf" srcId="{5E86F4D7-CE4B-664A-8F4A-8802ADEFDE4D}" destId="{B8DA6055-DB78-EC41-8A74-23F110C1A03F}" srcOrd="0" destOrd="0" presId="urn:microsoft.com/office/officeart/2005/8/layout/hierarchy6"/>
    <dgm:cxn modelId="{F545D23D-8B92-F440-81D3-58ABB37E6C0E}" type="presOf" srcId="{025AA539-C3F1-184A-93C6-8A0CD8E35AC1}" destId="{E3B2D941-60D5-744F-87C8-10534C8481A9}" srcOrd="0" destOrd="0" presId="urn:microsoft.com/office/officeart/2005/8/layout/hierarchy6"/>
    <dgm:cxn modelId="{51F82E3E-1C9B-B940-A4EE-30320B6DDC77}" srcId="{849AF814-3CD9-314F-91DF-17121F6DD7B1}" destId="{499B4E85-C328-C94C-8DA9-69EFE65D8143}" srcOrd="0" destOrd="0" parTransId="{B4FD4AA8-A45C-094A-AE39-4CBDC1CDCEC2}" sibTransId="{79B2917D-19D8-F546-8CD6-C80B37091A7B}"/>
    <dgm:cxn modelId="{31CF0A43-271E-CF49-85CB-ED9AE9F30020}" type="presOf" srcId="{1918071B-25C1-2B48-8B51-1B8E128F0577}" destId="{10BF4024-AC09-714F-9251-AF4BF5BA3B32}" srcOrd="0" destOrd="0" presId="urn:microsoft.com/office/officeart/2005/8/layout/hierarchy6"/>
    <dgm:cxn modelId="{75F0BC43-58F7-6D47-8237-5627BFA07B5D}" type="presOf" srcId="{0E615CCC-9694-044E-8BCD-80F22576887E}" destId="{13EE72C6-C14D-5A4B-BF6C-CECCF5158AF9}" srcOrd="0" destOrd="0" presId="urn:microsoft.com/office/officeart/2005/8/layout/hierarchy6"/>
    <dgm:cxn modelId="{66596245-D6B2-EE49-B5CE-DD719A055974}" type="presOf" srcId="{5DD3E022-DF8D-984D-AFD0-E84A72157394}" destId="{8DC60F52-56BB-DA49-93D4-CD4558FDC40C}" srcOrd="0" destOrd="0" presId="urn:microsoft.com/office/officeart/2005/8/layout/hierarchy6"/>
    <dgm:cxn modelId="{1E22184D-C400-C645-A42C-DDA387250BF0}" type="presOf" srcId="{849AF814-3CD9-314F-91DF-17121F6DD7B1}" destId="{A620EFAE-568F-9747-98BA-8592ECB0022F}" srcOrd="0" destOrd="0" presId="urn:microsoft.com/office/officeart/2005/8/layout/hierarchy6"/>
    <dgm:cxn modelId="{F3A21854-5BF7-9A48-A197-8A09211D7096}" srcId="{0E615CCC-9694-044E-8BCD-80F22576887E}" destId="{2BA5CE1F-28F2-9346-AACA-187F174910FF}" srcOrd="0" destOrd="0" parTransId="{D46700D6-23CE-0944-963C-F45AD10120DC}" sibTransId="{E9B3A56B-49D5-8249-B973-B944E8D4C819}"/>
    <dgm:cxn modelId="{98967755-C8CE-B549-AB8A-56B7220FAC3D}" type="presOf" srcId="{2BA5CE1F-28F2-9346-AACA-187F174910FF}" destId="{F9666661-C994-2B4D-BDF9-6AD8A2C44278}" srcOrd="0" destOrd="0" presId="urn:microsoft.com/office/officeart/2005/8/layout/hierarchy6"/>
    <dgm:cxn modelId="{6FC4D279-3629-6B46-B234-C2189626DE6D}" type="presOf" srcId="{499B4E85-C328-C94C-8DA9-69EFE65D8143}" destId="{5D1C3804-114B-9945-9381-2867EFDC2A5B}" srcOrd="0" destOrd="0" presId="urn:microsoft.com/office/officeart/2005/8/layout/hierarchy6"/>
    <dgm:cxn modelId="{E5D66C7E-6F3B-A94A-B133-48A9CA42BB30}" srcId="{849AF814-3CD9-314F-91DF-17121F6DD7B1}" destId="{0A2FD402-4233-9447-BAF7-739376B5B66B}" srcOrd="1" destOrd="0" parTransId="{2160ACB5-831E-5D40-983B-AFB47787C61A}" sibTransId="{525EFFEE-2D34-2E4F-AC01-ED12A19ECD32}"/>
    <dgm:cxn modelId="{21E66195-B579-234E-8B1A-9F48DA698A34}" type="presOf" srcId="{0A2FD402-4233-9447-BAF7-739376B5B66B}" destId="{89614829-E31E-9847-A923-2E38F560E337}" srcOrd="0" destOrd="0" presId="urn:microsoft.com/office/officeart/2005/8/layout/hierarchy6"/>
    <dgm:cxn modelId="{A2B7419F-9675-D947-A3A4-B67D968BBF3F}" type="presOf" srcId="{86ACF0E1-9175-8E47-AA69-8F7E7FC1E394}" destId="{545F92A6-0F6C-B44D-BA4D-9C64F13D2B96}" srcOrd="0" destOrd="0" presId="urn:microsoft.com/office/officeart/2005/8/layout/hierarchy6"/>
    <dgm:cxn modelId="{45668CA0-470C-1C49-A9C7-7D703BBA8CB8}" srcId="{5DD3E022-DF8D-984D-AFD0-E84A72157394}" destId="{849AF814-3CD9-314F-91DF-17121F6DD7B1}" srcOrd="0" destOrd="0" parTransId="{5E86F4D7-CE4B-664A-8F4A-8802ADEFDE4D}" sibTransId="{AA07B830-F4A4-5E4C-91D4-7CC23655A2FE}"/>
    <dgm:cxn modelId="{14F181CA-D029-A444-A6B4-69304C58F5D7}" type="presOf" srcId="{2160ACB5-831E-5D40-983B-AFB47787C61A}" destId="{DD11EB5F-D4D9-AE49-AC81-D7CE9305EC3A}" srcOrd="0" destOrd="0" presId="urn:microsoft.com/office/officeart/2005/8/layout/hierarchy6"/>
    <dgm:cxn modelId="{F43FF4CB-95FE-DC4C-BC76-5459FF6D46F9}" srcId="{58AE7D63-9988-3744-9DAD-4043F7919198}" destId="{86ACF0E1-9175-8E47-AA69-8F7E7FC1E394}" srcOrd="0" destOrd="0" parTransId="{0C20B8AC-A762-0E48-B33F-9111E52A884A}" sibTransId="{5DA5438E-2BFB-2349-AD9A-839D65B83736}"/>
    <dgm:cxn modelId="{CA92B7E0-C9D7-A74F-A856-9A252209F525}" type="presOf" srcId="{58AE7D63-9988-3744-9DAD-4043F7919198}" destId="{ED6CFA41-0F97-B645-918A-0A238B90C625}" srcOrd="0" destOrd="0" presId="urn:microsoft.com/office/officeart/2005/8/layout/hierarchy6"/>
    <dgm:cxn modelId="{9005B6E5-91B9-6A44-A5AC-CC73207BF440}" srcId="{86ACF0E1-9175-8E47-AA69-8F7E7FC1E394}" destId="{5DD3E022-DF8D-984D-AFD0-E84A72157394}" srcOrd="0" destOrd="0" parTransId="{3E237381-C653-5240-B241-CC09585EA754}" sibTransId="{3D0435F8-7881-8F45-AC48-865987D29874}"/>
    <dgm:cxn modelId="{4249A2FD-0D15-9E48-B7A9-C513BC2253BF}" type="presOf" srcId="{B4FD4AA8-A45C-094A-AE39-4CBDC1CDCEC2}" destId="{32D0057C-54D6-4449-9E41-AA8FCAA0A104}" srcOrd="0" destOrd="0" presId="urn:microsoft.com/office/officeart/2005/8/layout/hierarchy6"/>
    <dgm:cxn modelId="{DA9E7490-2F8B-1246-B399-A24315D64F39}" type="presParOf" srcId="{ED6CFA41-0F97-B645-918A-0A238B90C625}" destId="{6F3F0F88-7EE9-3540-85F0-9FBD52D4E43F}" srcOrd="0" destOrd="0" presId="urn:microsoft.com/office/officeart/2005/8/layout/hierarchy6"/>
    <dgm:cxn modelId="{2CEE6644-CCCF-814C-A491-76A69B4FCBB0}" type="presParOf" srcId="{6F3F0F88-7EE9-3540-85F0-9FBD52D4E43F}" destId="{68CB3C22-1571-844D-8DA7-1E53D09CBE14}" srcOrd="0" destOrd="0" presId="urn:microsoft.com/office/officeart/2005/8/layout/hierarchy6"/>
    <dgm:cxn modelId="{21D59B6B-F9F6-9545-85E2-4E1AD1084C7F}" type="presParOf" srcId="{68CB3C22-1571-844D-8DA7-1E53D09CBE14}" destId="{D072E37F-DBD0-C044-A36C-AC2344BE2F3C}" srcOrd="0" destOrd="0" presId="urn:microsoft.com/office/officeart/2005/8/layout/hierarchy6"/>
    <dgm:cxn modelId="{8B0D35EE-10F2-AD4D-AF25-6B81BFD3F837}" type="presParOf" srcId="{D072E37F-DBD0-C044-A36C-AC2344BE2F3C}" destId="{545F92A6-0F6C-B44D-BA4D-9C64F13D2B96}" srcOrd="0" destOrd="0" presId="urn:microsoft.com/office/officeart/2005/8/layout/hierarchy6"/>
    <dgm:cxn modelId="{87012145-3AFF-2042-BE48-034DA0B970EA}" type="presParOf" srcId="{D072E37F-DBD0-C044-A36C-AC2344BE2F3C}" destId="{A0FE8EDB-3ECB-A948-ACA1-FD878DFEFF65}" srcOrd="1" destOrd="0" presId="urn:microsoft.com/office/officeart/2005/8/layout/hierarchy6"/>
    <dgm:cxn modelId="{135E8D57-D636-B24B-87CC-F2B568664075}" type="presParOf" srcId="{A0FE8EDB-3ECB-A948-ACA1-FD878DFEFF65}" destId="{CEC5EE83-16C5-0540-9C92-52C3C2A7BC11}" srcOrd="0" destOrd="0" presId="urn:microsoft.com/office/officeart/2005/8/layout/hierarchy6"/>
    <dgm:cxn modelId="{6DFF11F9-527C-6648-9112-94299E63D7A2}" type="presParOf" srcId="{A0FE8EDB-3ECB-A948-ACA1-FD878DFEFF65}" destId="{7AF72C25-EA31-694B-8545-39DA8432837C}" srcOrd="1" destOrd="0" presId="urn:microsoft.com/office/officeart/2005/8/layout/hierarchy6"/>
    <dgm:cxn modelId="{50918D5C-F1DE-F44B-9D2B-E84203093417}" type="presParOf" srcId="{7AF72C25-EA31-694B-8545-39DA8432837C}" destId="{8DC60F52-56BB-DA49-93D4-CD4558FDC40C}" srcOrd="0" destOrd="0" presId="urn:microsoft.com/office/officeart/2005/8/layout/hierarchy6"/>
    <dgm:cxn modelId="{66B90594-B9AC-EB40-A8F2-4DCFABAA406A}" type="presParOf" srcId="{7AF72C25-EA31-694B-8545-39DA8432837C}" destId="{213BB554-FE1D-8A49-8CB4-265E71613770}" srcOrd="1" destOrd="0" presId="urn:microsoft.com/office/officeart/2005/8/layout/hierarchy6"/>
    <dgm:cxn modelId="{E771929B-A202-2F4E-A669-7B75FA2BBD9F}" type="presParOf" srcId="{213BB554-FE1D-8A49-8CB4-265E71613770}" destId="{B8DA6055-DB78-EC41-8A74-23F110C1A03F}" srcOrd="0" destOrd="0" presId="urn:microsoft.com/office/officeart/2005/8/layout/hierarchy6"/>
    <dgm:cxn modelId="{28AB382C-958B-AA41-8D9A-0FFA8090E63B}" type="presParOf" srcId="{213BB554-FE1D-8A49-8CB4-265E71613770}" destId="{D02A02B1-69B8-124C-8101-B94572377363}" srcOrd="1" destOrd="0" presId="urn:microsoft.com/office/officeart/2005/8/layout/hierarchy6"/>
    <dgm:cxn modelId="{670BF0AB-DCC5-2A4C-A2CE-E58CBFB0E978}" type="presParOf" srcId="{D02A02B1-69B8-124C-8101-B94572377363}" destId="{A620EFAE-568F-9747-98BA-8592ECB0022F}" srcOrd="0" destOrd="0" presId="urn:microsoft.com/office/officeart/2005/8/layout/hierarchy6"/>
    <dgm:cxn modelId="{0584414E-71B7-4E41-B5F6-8C1229BB2402}" type="presParOf" srcId="{D02A02B1-69B8-124C-8101-B94572377363}" destId="{174F74CF-283E-0C44-A07F-F61D46A361F1}" srcOrd="1" destOrd="0" presId="urn:microsoft.com/office/officeart/2005/8/layout/hierarchy6"/>
    <dgm:cxn modelId="{767FFF27-A783-9D4D-AF1A-931975D416FA}" type="presParOf" srcId="{174F74CF-283E-0C44-A07F-F61D46A361F1}" destId="{32D0057C-54D6-4449-9E41-AA8FCAA0A104}" srcOrd="0" destOrd="0" presId="urn:microsoft.com/office/officeart/2005/8/layout/hierarchy6"/>
    <dgm:cxn modelId="{A2622441-85E7-8D45-8501-DFF6388105D3}" type="presParOf" srcId="{174F74CF-283E-0C44-A07F-F61D46A361F1}" destId="{2C9F0032-1D6D-884B-B44E-85F56981EBDC}" srcOrd="1" destOrd="0" presId="urn:microsoft.com/office/officeart/2005/8/layout/hierarchy6"/>
    <dgm:cxn modelId="{559D427B-74AF-EB44-809C-521D7FCEE58D}" type="presParOf" srcId="{2C9F0032-1D6D-884B-B44E-85F56981EBDC}" destId="{5D1C3804-114B-9945-9381-2867EFDC2A5B}" srcOrd="0" destOrd="0" presId="urn:microsoft.com/office/officeart/2005/8/layout/hierarchy6"/>
    <dgm:cxn modelId="{28B1A433-4E88-814C-B3EE-7E00CC9A07E4}" type="presParOf" srcId="{2C9F0032-1D6D-884B-B44E-85F56981EBDC}" destId="{D86C9964-0ADA-2547-8687-0F2E2EB74373}" srcOrd="1" destOrd="0" presId="urn:microsoft.com/office/officeart/2005/8/layout/hierarchy6"/>
    <dgm:cxn modelId="{EBB81D11-C8B6-A542-982B-CC471B263866}" type="presParOf" srcId="{174F74CF-283E-0C44-A07F-F61D46A361F1}" destId="{DD11EB5F-D4D9-AE49-AC81-D7CE9305EC3A}" srcOrd="2" destOrd="0" presId="urn:microsoft.com/office/officeart/2005/8/layout/hierarchy6"/>
    <dgm:cxn modelId="{655BDF3A-7F17-954F-9D9D-624177243AA3}" type="presParOf" srcId="{174F74CF-283E-0C44-A07F-F61D46A361F1}" destId="{1F835717-E247-1746-BFF5-0E47AF1A2CA3}" srcOrd="3" destOrd="0" presId="urn:microsoft.com/office/officeart/2005/8/layout/hierarchy6"/>
    <dgm:cxn modelId="{B93B5B3A-A461-9D47-A5D4-181DBB186155}" type="presParOf" srcId="{1F835717-E247-1746-BFF5-0E47AF1A2CA3}" destId="{89614829-E31E-9847-A923-2E38F560E337}" srcOrd="0" destOrd="0" presId="urn:microsoft.com/office/officeart/2005/8/layout/hierarchy6"/>
    <dgm:cxn modelId="{24AA3B5F-238C-614E-93A2-76789CA8F18F}" type="presParOf" srcId="{1F835717-E247-1746-BFF5-0E47AF1A2CA3}" destId="{011E8D75-53BF-F443-8BC7-69C6804A7D2E}" srcOrd="1" destOrd="0" presId="urn:microsoft.com/office/officeart/2005/8/layout/hierarchy6"/>
    <dgm:cxn modelId="{177D37DD-BDC6-6442-BFAC-368926B70D14}" type="presParOf" srcId="{A0FE8EDB-3ECB-A948-ACA1-FD878DFEFF65}" destId="{10BF4024-AC09-714F-9251-AF4BF5BA3B32}" srcOrd="2" destOrd="0" presId="urn:microsoft.com/office/officeart/2005/8/layout/hierarchy6"/>
    <dgm:cxn modelId="{757F82A3-DE78-D140-AD2A-DE212DA52805}" type="presParOf" srcId="{A0FE8EDB-3ECB-A948-ACA1-FD878DFEFF65}" destId="{B5B81843-6576-7D40-AF16-4D63D315F597}" srcOrd="3" destOrd="0" presId="urn:microsoft.com/office/officeart/2005/8/layout/hierarchy6"/>
    <dgm:cxn modelId="{B4C4C01A-2825-7A48-9779-C70D451023D6}" type="presParOf" srcId="{B5B81843-6576-7D40-AF16-4D63D315F597}" destId="{13EE72C6-C14D-5A4B-BF6C-CECCF5158AF9}" srcOrd="0" destOrd="0" presId="urn:microsoft.com/office/officeart/2005/8/layout/hierarchy6"/>
    <dgm:cxn modelId="{B19ADEC2-BC3F-D54F-AAB5-78FC6A67193E}" type="presParOf" srcId="{B5B81843-6576-7D40-AF16-4D63D315F597}" destId="{F358104C-6E99-DE4E-9828-0D0EA290C0FB}" srcOrd="1" destOrd="0" presId="urn:microsoft.com/office/officeart/2005/8/layout/hierarchy6"/>
    <dgm:cxn modelId="{548B2B6F-06F5-8145-85A6-234BBD207146}" type="presParOf" srcId="{F358104C-6E99-DE4E-9828-0D0EA290C0FB}" destId="{44C86BB3-CC91-1C44-8927-EF87256067B3}" srcOrd="0" destOrd="0" presId="urn:microsoft.com/office/officeart/2005/8/layout/hierarchy6"/>
    <dgm:cxn modelId="{12FDA68E-F19E-8F4C-8AB6-DBB732D04EB1}" type="presParOf" srcId="{F358104C-6E99-DE4E-9828-0D0EA290C0FB}" destId="{DA6B2E65-5B40-C44C-A026-211042908F35}" srcOrd="1" destOrd="0" presId="urn:microsoft.com/office/officeart/2005/8/layout/hierarchy6"/>
    <dgm:cxn modelId="{071AD379-4F1F-9043-9EC3-37670D2D59AE}" type="presParOf" srcId="{DA6B2E65-5B40-C44C-A026-211042908F35}" destId="{F9666661-C994-2B4D-BDF9-6AD8A2C44278}" srcOrd="0" destOrd="0" presId="urn:microsoft.com/office/officeart/2005/8/layout/hierarchy6"/>
    <dgm:cxn modelId="{5D342E81-E60A-C643-B019-4BB03C5E232A}" type="presParOf" srcId="{DA6B2E65-5B40-C44C-A026-211042908F35}" destId="{0FBB60D9-4CC7-6242-8AD5-EC3E5CEA13B3}" srcOrd="1" destOrd="0" presId="urn:microsoft.com/office/officeart/2005/8/layout/hierarchy6"/>
    <dgm:cxn modelId="{F3DDE9F5-B3AA-7045-B431-E1B443C398DB}" type="presParOf" srcId="{0FBB60D9-4CC7-6242-8AD5-EC3E5CEA13B3}" destId="{9917E320-5D56-2B4F-93BA-8C942983B235}" srcOrd="0" destOrd="0" presId="urn:microsoft.com/office/officeart/2005/8/layout/hierarchy6"/>
    <dgm:cxn modelId="{66153598-041E-BE44-A2BE-2644B286176E}" type="presParOf" srcId="{0FBB60D9-4CC7-6242-8AD5-EC3E5CEA13B3}" destId="{F9254444-68B2-B34E-B2DC-44E8AF48D8EA}" srcOrd="1" destOrd="0" presId="urn:microsoft.com/office/officeart/2005/8/layout/hierarchy6"/>
    <dgm:cxn modelId="{9B2983F7-6E2B-2046-8D25-FB14298F4DBD}" type="presParOf" srcId="{F9254444-68B2-B34E-B2DC-44E8AF48D8EA}" destId="{E3B2D941-60D5-744F-87C8-10534C8481A9}" srcOrd="0" destOrd="0" presId="urn:microsoft.com/office/officeart/2005/8/layout/hierarchy6"/>
    <dgm:cxn modelId="{DA6BC8D4-962B-5F44-96CA-A6BB41066896}" type="presParOf" srcId="{F9254444-68B2-B34E-B2DC-44E8AF48D8EA}" destId="{8D576A27-7E7C-6A46-89C6-5344971D45F6}" srcOrd="1" destOrd="0" presId="urn:microsoft.com/office/officeart/2005/8/layout/hierarchy6"/>
    <dgm:cxn modelId="{BE6D7CA8-8029-1F4B-A7D0-6EF7CF9FE80A}" type="presParOf" srcId="{ED6CFA41-0F97-B645-918A-0A238B90C625}" destId="{E7C04D2A-5E0F-D54A-A4AB-485B4E604EB5}"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CAB8D271-ADC9-9247-B85C-FE201AA0BDD4}" type="doc">
      <dgm:prSet loTypeId="urn:microsoft.com/office/officeart/2005/8/layout/hierarchy6" loCatId="" qsTypeId="urn:microsoft.com/office/officeart/2005/8/quickstyle/simple1" qsCatId="simple" csTypeId="urn:microsoft.com/office/officeart/2005/8/colors/accent1_2" csCatId="accent1" phldr="1"/>
      <dgm:spPr/>
      <dgm:t>
        <a:bodyPr/>
        <a:lstStyle/>
        <a:p>
          <a:endParaRPr lang="en-GB"/>
        </a:p>
      </dgm:t>
    </dgm:pt>
    <dgm:pt modelId="{47867E19-D580-3B4A-ACC2-140063901D23}">
      <dgm:prSet phldrT="[Text]"/>
      <dgm:spPr/>
      <dgm:t>
        <a:bodyPr/>
        <a:lstStyle/>
        <a:p>
          <a:r>
            <a:rPr lang="en-GB"/>
            <a:t>Simple Cognition</a:t>
          </a:r>
        </a:p>
        <a:p>
          <a:r>
            <a:rPr lang="en-GB"/>
            <a:t>(Neessary)</a:t>
          </a:r>
        </a:p>
      </dgm:t>
    </dgm:pt>
    <dgm:pt modelId="{70F4DF0C-EE98-E548-BD36-E3E342A7B58C}" type="parTrans" cxnId="{56FA6370-ACBA-BA47-A104-EBD07A906F31}">
      <dgm:prSet/>
      <dgm:spPr/>
      <dgm:t>
        <a:bodyPr/>
        <a:lstStyle/>
        <a:p>
          <a:endParaRPr lang="en-GB"/>
        </a:p>
      </dgm:t>
    </dgm:pt>
    <dgm:pt modelId="{1FA6FC4B-C3DB-0446-B2B3-7EBFA85DF972}" type="sibTrans" cxnId="{56FA6370-ACBA-BA47-A104-EBD07A906F31}">
      <dgm:prSet/>
      <dgm:spPr/>
      <dgm:t>
        <a:bodyPr/>
        <a:lstStyle/>
        <a:p>
          <a:endParaRPr lang="en-GB"/>
        </a:p>
      </dgm:t>
    </dgm:pt>
    <dgm:pt modelId="{13E35E5F-D9D9-6948-8D6C-09851B470D23}">
      <dgm:prSet phldrT="[Text]"/>
      <dgm:spPr/>
      <dgm:t>
        <a:bodyPr/>
        <a:lstStyle/>
        <a:p>
          <a:r>
            <a:rPr lang="en-GB" i="1"/>
            <a:t>Ratio</a:t>
          </a:r>
        </a:p>
        <a:p>
          <a:r>
            <a:rPr lang="en-GB"/>
            <a:t>(knows natural things)</a:t>
          </a:r>
        </a:p>
      </dgm:t>
    </dgm:pt>
    <dgm:pt modelId="{9DF0D086-9236-7449-9A5A-F073738EEEFC}" type="parTrans" cxnId="{DBCC0EE5-6F83-5A48-8ED3-48A47338F866}">
      <dgm:prSet/>
      <dgm:spPr/>
      <dgm:t>
        <a:bodyPr/>
        <a:lstStyle/>
        <a:p>
          <a:endParaRPr lang="en-GB"/>
        </a:p>
      </dgm:t>
    </dgm:pt>
    <dgm:pt modelId="{3FCC6D66-0CA8-1340-85D2-F0B81B61FA1E}" type="sibTrans" cxnId="{DBCC0EE5-6F83-5A48-8ED3-48A47338F866}">
      <dgm:prSet/>
      <dgm:spPr/>
      <dgm:t>
        <a:bodyPr/>
        <a:lstStyle/>
        <a:p>
          <a:endParaRPr lang="en-GB"/>
        </a:p>
      </dgm:t>
    </dgm:pt>
    <dgm:pt modelId="{F12DA1AB-DABE-F946-9AEF-F43C7699685C}">
      <dgm:prSet phldrT="[Text]"/>
      <dgm:spPr/>
      <dgm:t>
        <a:bodyPr/>
        <a:lstStyle/>
        <a:p>
          <a:r>
            <a:rPr lang="en-GB"/>
            <a:t>Material Intellect</a:t>
          </a:r>
        </a:p>
      </dgm:t>
    </dgm:pt>
    <dgm:pt modelId="{9B3B02CE-8DF6-7A47-B1F6-7F6CEE282569}" type="parTrans" cxnId="{1D5A23CB-DF90-0B4F-B6FB-3864E48D35B5}">
      <dgm:prSet/>
      <dgm:spPr/>
      <dgm:t>
        <a:bodyPr/>
        <a:lstStyle/>
        <a:p>
          <a:endParaRPr lang="en-GB"/>
        </a:p>
      </dgm:t>
    </dgm:pt>
    <dgm:pt modelId="{C674E2DE-C549-5F4A-90D6-FDA175C9A12A}" type="sibTrans" cxnId="{1D5A23CB-DF90-0B4F-B6FB-3864E48D35B5}">
      <dgm:prSet/>
      <dgm:spPr/>
      <dgm:t>
        <a:bodyPr/>
        <a:lstStyle/>
        <a:p>
          <a:endParaRPr lang="en-GB"/>
        </a:p>
      </dgm:t>
    </dgm:pt>
    <dgm:pt modelId="{B0A9877F-81F1-2742-AADC-50FAEFDA8A22}">
      <dgm:prSet phldrT="[Text]"/>
      <dgm:spPr/>
      <dgm:t>
        <a:bodyPr/>
        <a:lstStyle/>
        <a:p>
          <a:r>
            <a:rPr lang="en-GB" i="1"/>
            <a:t>Intelligentia</a:t>
          </a:r>
        </a:p>
        <a:p>
          <a:r>
            <a:rPr lang="en-GB"/>
            <a:t>(knows God)</a:t>
          </a:r>
        </a:p>
      </dgm:t>
    </dgm:pt>
    <dgm:pt modelId="{CD8A1ACC-D5EA-7F45-B745-7456899C94CF}" type="parTrans" cxnId="{F2A28A14-D2FA-F441-9EDF-224F50C1723F}">
      <dgm:prSet/>
      <dgm:spPr/>
      <dgm:t>
        <a:bodyPr/>
        <a:lstStyle/>
        <a:p>
          <a:endParaRPr lang="en-GB"/>
        </a:p>
      </dgm:t>
    </dgm:pt>
    <dgm:pt modelId="{BD9411BC-4951-8A4A-840D-10415D5BAE92}" type="sibTrans" cxnId="{F2A28A14-D2FA-F441-9EDF-224F50C1723F}">
      <dgm:prSet/>
      <dgm:spPr/>
      <dgm:t>
        <a:bodyPr/>
        <a:lstStyle/>
        <a:p>
          <a:endParaRPr lang="en-GB"/>
        </a:p>
      </dgm:t>
    </dgm:pt>
    <dgm:pt modelId="{9C113FBA-323E-7648-8F60-DEBBF2E5395D}">
      <dgm:prSet phldrT="[Text]"/>
      <dgm:spPr/>
      <dgm:t>
        <a:bodyPr/>
        <a:lstStyle/>
        <a:p>
          <a:r>
            <a:rPr lang="en-GB" b="1"/>
            <a:t>Knowledge without complexion</a:t>
          </a:r>
        </a:p>
      </dgm:t>
    </dgm:pt>
    <dgm:pt modelId="{74245BD5-296A-214F-BA7C-20C2125D74B5}" type="parTrans" cxnId="{494F0A58-BD30-0D42-9D82-93937B4876C3}">
      <dgm:prSet/>
      <dgm:spPr/>
      <dgm:t>
        <a:bodyPr/>
        <a:lstStyle/>
        <a:p>
          <a:endParaRPr lang="en-GB"/>
        </a:p>
      </dgm:t>
    </dgm:pt>
    <dgm:pt modelId="{FDBF2BC6-6A75-8943-9782-BE4464D67E11}" type="sibTrans" cxnId="{494F0A58-BD30-0D42-9D82-93937B4876C3}">
      <dgm:prSet/>
      <dgm:spPr/>
      <dgm:t>
        <a:bodyPr/>
        <a:lstStyle/>
        <a:p>
          <a:endParaRPr lang="en-GB"/>
        </a:p>
      </dgm:t>
    </dgm:pt>
    <dgm:pt modelId="{D14A2509-EAA9-B940-8771-60B2F9F1007F}">
      <dgm:prSet phldrT="[Text]"/>
      <dgm:spPr/>
      <dgm:t>
        <a:bodyPr/>
        <a:lstStyle/>
        <a:p>
          <a:r>
            <a:rPr lang="en-GB"/>
            <a:t>Pseudo-Augustine</a:t>
          </a:r>
        </a:p>
      </dgm:t>
    </dgm:pt>
    <dgm:pt modelId="{B887143B-14A1-EC40-8B0C-B51A3643E71A}" type="parTrans" cxnId="{7BBEDEA1-8529-2E40-9018-017BEB58B003}">
      <dgm:prSet/>
      <dgm:spPr/>
      <dgm:t>
        <a:bodyPr/>
        <a:lstStyle/>
        <a:p>
          <a:endParaRPr lang="en-GB"/>
        </a:p>
      </dgm:t>
    </dgm:pt>
    <dgm:pt modelId="{D9BAEE5D-D388-F440-BFD5-F856931B24BD}" type="sibTrans" cxnId="{7BBEDEA1-8529-2E40-9018-017BEB58B003}">
      <dgm:prSet/>
      <dgm:spPr/>
      <dgm:t>
        <a:bodyPr/>
        <a:lstStyle/>
        <a:p>
          <a:endParaRPr lang="en-GB"/>
        </a:p>
      </dgm:t>
    </dgm:pt>
    <dgm:pt modelId="{4F2C343A-E3A5-1D4E-AE26-690A7B30BFF5}">
      <dgm:prSet phldrT="[Text]"/>
      <dgm:spPr/>
      <dgm:t>
        <a:bodyPr/>
        <a:lstStyle/>
        <a:p>
          <a:r>
            <a:rPr lang="en-GB"/>
            <a:t>The Philosopher</a:t>
          </a:r>
        </a:p>
      </dgm:t>
    </dgm:pt>
    <dgm:pt modelId="{40874727-C63C-6745-B374-06556D9C5658}" type="parTrans" cxnId="{77C9C096-883E-4443-9382-498522FDA8B5}">
      <dgm:prSet/>
      <dgm:spPr/>
      <dgm:t>
        <a:bodyPr/>
        <a:lstStyle/>
        <a:p>
          <a:endParaRPr lang="en-GB"/>
        </a:p>
      </dgm:t>
    </dgm:pt>
    <dgm:pt modelId="{A3C53D6A-F953-7D46-8D6D-D4205497DF44}" type="sibTrans" cxnId="{77C9C096-883E-4443-9382-498522FDA8B5}">
      <dgm:prSet/>
      <dgm:spPr/>
      <dgm:t>
        <a:bodyPr/>
        <a:lstStyle/>
        <a:p>
          <a:endParaRPr lang="en-GB"/>
        </a:p>
      </dgm:t>
    </dgm:pt>
    <dgm:pt modelId="{ABA26B4D-9B53-FD47-A5BD-8427363D9C90}">
      <dgm:prSet/>
      <dgm:spPr/>
      <dgm:t>
        <a:bodyPr/>
        <a:lstStyle/>
        <a:p>
          <a:r>
            <a:rPr lang="en-GB" i="1"/>
            <a:t>Intellectus</a:t>
          </a:r>
        </a:p>
        <a:p>
          <a:r>
            <a:rPr lang="en-GB"/>
            <a:t>(knows angels)</a:t>
          </a:r>
        </a:p>
      </dgm:t>
    </dgm:pt>
    <dgm:pt modelId="{1DC1F1B9-7500-A743-BC66-926C2AE9EA87}" type="parTrans" cxnId="{DA0F680D-455C-D34E-9299-123CE98C8348}">
      <dgm:prSet/>
      <dgm:spPr/>
      <dgm:t>
        <a:bodyPr/>
        <a:lstStyle/>
        <a:p>
          <a:endParaRPr lang="en-GB"/>
        </a:p>
      </dgm:t>
    </dgm:pt>
    <dgm:pt modelId="{AB48C99E-7086-074B-B537-15F9107A2FC7}" type="sibTrans" cxnId="{DA0F680D-455C-D34E-9299-123CE98C8348}">
      <dgm:prSet/>
      <dgm:spPr/>
      <dgm:t>
        <a:bodyPr/>
        <a:lstStyle/>
        <a:p>
          <a:endParaRPr lang="en-GB"/>
        </a:p>
      </dgm:t>
    </dgm:pt>
    <dgm:pt modelId="{38C127A3-2318-AA4C-B824-BFC20E11B918}">
      <dgm:prSet/>
      <dgm:spPr/>
      <dgm:t>
        <a:bodyPr/>
        <a:lstStyle/>
        <a:p>
          <a:r>
            <a:rPr lang="en-GB"/>
            <a:t>Possible Intellect</a:t>
          </a:r>
        </a:p>
      </dgm:t>
    </dgm:pt>
    <dgm:pt modelId="{E462F874-85CE-934B-954C-35A02802659B}" type="parTrans" cxnId="{B71EEEC4-11D9-EE4F-9E5B-A6068E115E77}">
      <dgm:prSet/>
      <dgm:spPr/>
      <dgm:t>
        <a:bodyPr/>
        <a:lstStyle/>
        <a:p>
          <a:endParaRPr lang="en-GB"/>
        </a:p>
      </dgm:t>
    </dgm:pt>
    <dgm:pt modelId="{6B5499E8-18DE-F745-B7C2-A520638D6B99}" type="sibTrans" cxnId="{B71EEEC4-11D9-EE4F-9E5B-A6068E115E77}">
      <dgm:prSet/>
      <dgm:spPr/>
      <dgm:t>
        <a:bodyPr/>
        <a:lstStyle/>
        <a:p>
          <a:endParaRPr lang="en-GB"/>
        </a:p>
      </dgm:t>
    </dgm:pt>
    <dgm:pt modelId="{3EEB8299-E870-BF4C-8D39-BB7C04BA3590}">
      <dgm:prSet/>
      <dgm:spPr/>
      <dgm:t>
        <a:bodyPr/>
        <a:lstStyle/>
        <a:p>
          <a:r>
            <a:rPr lang="en-GB"/>
            <a:t>Agent Intellect</a:t>
          </a:r>
        </a:p>
      </dgm:t>
    </dgm:pt>
    <dgm:pt modelId="{AC593350-714B-2048-9A15-E718898F08C3}" type="parTrans" cxnId="{D1EB9B9C-A0EC-9840-9812-8A6A7F3313F0}">
      <dgm:prSet/>
      <dgm:spPr/>
      <dgm:t>
        <a:bodyPr/>
        <a:lstStyle/>
        <a:p>
          <a:endParaRPr lang="en-GB"/>
        </a:p>
      </dgm:t>
    </dgm:pt>
    <dgm:pt modelId="{D434DAA8-E07C-784C-A7E7-2C0948F8B2BB}" type="sibTrans" cxnId="{D1EB9B9C-A0EC-9840-9812-8A6A7F3313F0}">
      <dgm:prSet/>
      <dgm:spPr/>
      <dgm:t>
        <a:bodyPr/>
        <a:lstStyle/>
        <a:p>
          <a:endParaRPr lang="en-GB"/>
        </a:p>
      </dgm:t>
    </dgm:pt>
    <dgm:pt modelId="{63323455-7557-0A43-85F2-1247C9BC2625}">
      <dgm:prSet/>
      <dgm:spPr/>
      <dgm:t>
        <a:bodyPr/>
        <a:lstStyle/>
        <a:p>
          <a:r>
            <a:rPr lang="en-GB"/>
            <a:t>Intention = intellect </a:t>
          </a:r>
          <a:r>
            <a:rPr lang="en-GB" i="1"/>
            <a:t>in effectu</a:t>
          </a:r>
          <a:endParaRPr lang="en-GB"/>
        </a:p>
      </dgm:t>
    </dgm:pt>
    <dgm:pt modelId="{3D03EECA-D661-B042-A11A-17ED6258F17C}" type="parTrans" cxnId="{EC4B57CD-D31C-3846-AB81-DA40D791AD87}">
      <dgm:prSet/>
      <dgm:spPr/>
      <dgm:t>
        <a:bodyPr/>
        <a:lstStyle/>
        <a:p>
          <a:endParaRPr lang="en-GB"/>
        </a:p>
      </dgm:t>
    </dgm:pt>
    <dgm:pt modelId="{B17FCAAE-CDB6-8140-A6E2-81A7DCFF3459}" type="sibTrans" cxnId="{EC4B57CD-D31C-3846-AB81-DA40D791AD87}">
      <dgm:prSet/>
      <dgm:spPr/>
      <dgm:t>
        <a:bodyPr/>
        <a:lstStyle/>
        <a:p>
          <a:endParaRPr lang="en-GB"/>
        </a:p>
      </dgm:t>
    </dgm:pt>
    <dgm:pt modelId="{3AF60CB9-83BD-B74E-8365-4E025193D86D}">
      <dgm:prSet phldrT="[Text]"/>
      <dgm:spPr/>
      <dgm:t>
        <a:bodyPr/>
        <a:lstStyle/>
        <a:p>
          <a:r>
            <a:rPr lang="en-GB"/>
            <a:t>Avicenna/Damascus</a:t>
          </a:r>
        </a:p>
      </dgm:t>
    </dgm:pt>
    <dgm:pt modelId="{42A924D5-BBBF-1F44-A496-656E9277B5F0}" type="parTrans" cxnId="{53D6C5BF-2E89-4441-A6BA-876C0A440E25}">
      <dgm:prSet/>
      <dgm:spPr/>
      <dgm:t>
        <a:bodyPr/>
        <a:lstStyle/>
        <a:p>
          <a:endParaRPr lang="en-GB"/>
        </a:p>
      </dgm:t>
    </dgm:pt>
    <dgm:pt modelId="{D5B50A0C-4B62-F94E-8BC9-2E4622F1026A}" type="sibTrans" cxnId="{53D6C5BF-2E89-4441-A6BA-876C0A440E25}">
      <dgm:prSet/>
      <dgm:spPr/>
      <dgm:t>
        <a:bodyPr/>
        <a:lstStyle/>
        <a:p>
          <a:endParaRPr lang="en-GB"/>
        </a:p>
      </dgm:t>
    </dgm:pt>
    <dgm:pt modelId="{8A6B8BBE-169C-8443-8E33-C9620150412B}">
      <dgm:prSet/>
      <dgm:spPr/>
      <dgm:t>
        <a:bodyPr/>
        <a:lstStyle/>
        <a:p>
          <a:r>
            <a:rPr lang="en-GB"/>
            <a:t>Excogitation = intellect </a:t>
          </a:r>
          <a:r>
            <a:rPr lang="en-GB" i="1"/>
            <a:t>in habitu</a:t>
          </a:r>
          <a:endParaRPr lang="en-GB"/>
        </a:p>
      </dgm:t>
    </dgm:pt>
    <dgm:pt modelId="{724039CB-CDC2-DF4F-B37C-ADEB64E7C0D2}" type="parTrans" cxnId="{51FF147C-30A1-2D4D-AF1D-8F025F23FDD2}">
      <dgm:prSet/>
      <dgm:spPr/>
      <dgm:t>
        <a:bodyPr/>
        <a:lstStyle/>
        <a:p>
          <a:endParaRPr lang="en-GB"/>
        </a:p>
      </dgm:t>
    </dgm:pt>
    <dgm:pt modelId="{52597008-5F73-2F41-AF7B-D9D023142537}" type="sibTrans" cxnId="{51FF147C-30A1-2D4D-AF1D-8F025F23FDD2}">
      <dgm:prSet/>
      <dgm:spPr/>
      <dgm:t>
        <a:bodyPr/>
        <a:lstStyle/>
        <a:p>
          <a:endParaRPr lang="en-GB"/>
        </a:p>
      </dgm:t>
    </dgm:pt>
    <dgm:pt modelId="{860D8355-F85A-6B4B-966D-83CDB0B08909}">
      <dgm:prSet/>
      <dgm:spPr/>
      <dgm:t>
        <a:bodyPr/>
        <a:lstStyle/>
        <a:p>
          <a:r>
            <a:rPr lang="en-GB"/>
            <a:t>Intelligence = material intellect</a:t>
          </a:r>
        </a:p>
      </dgm:t>
    </dgm:pt>
    <dgm:pt modelId="{71008D16-68E6-3F47-81B4-9B5A03A6E0B7}" type="parTrans" cxnId="{E36F25FD-D1C4-3A4D-8DCD-6A8914AB5240}">
      <dgm:prSet/>
      <dgm:spPr/>
      <dgm:t>
        <a:bodyPr/>
        <a:lstStyle/>
        <a:p>
          <a:endParaRPr lang="en-GB"/>
        </a:p>
      </dgm:t>
    </dgm:pt>
    <dgm:pt modelId="{318B50ED-4F16-3941-AEE1-1F6D22F1370D}" type="sibTrans" cxnId="{E36F25FD-D1C4-3A4D-8DCD-6A8914AB5240}">
      <dgm:prSet/>
      <dgm:spPr/>
      <dgm:t>
        <a:bodyPr/>
        <a:lstStyle/>
        <a:p>
          <a:endParaRPr lang="en-GB"/>
        </a:p>
      </dgm:t>
    </dgm:pt>
    <dgm:pt modelId="{CBF390F3-EF54-6B4D-AA0E-2CB37D585F7B}">
      <dgm:prSet/>
      <dgm:spPr/>
      <dgm:t>
        <a:bodyPr/>
        <a:lstStyle/>
        <a:p>
          <a:r>
            <a:rPr lang="en-GB"/>
            <a:t>Phronesis = agent intellect</a:t>
          </a:r>
        </a:p>
      </dgm:t>
    </dgm:pt>
    <dgm:pt modelId="{79DA320C-C13D-754C-86A0-84FC6D09C8EB}" type="parTrans" cxnId="{0854EA3D-C2BA-2E41-84A6-B5772837A23F}">
      <dgm:prSet/>
      <dgm:spPr/>
      <dgm:t>
        <a:bodyPr/>
        <a:lstStyle/>
        <a:p>
          <a:endParaRPr lang="en-GB"/>
        </a:p>
      </dgm:t>
    </dgm:pt>
    <dgm:pt modelId="{BC5F4CED-64FF-BE48-896F-9E52FA83628B}" type="sibTrans" cxnId="{0854EA3D-C2BA-2E41-84A6-B5772837A23F}">
      <dgm:prSet/>
      <dgm:spPr/>
      <dgm:t>
        <a:bodyPr/>
        <a:lstStyle/>
        <a:p>
          <a:endParaRPr lang="en-GB"/>
        </a:p>
      </dgm:t>
    </dgm:pt>
    <dgm:pt modelId="{773A92BB-F88D-F34C-BD5C-45906000619F}" type="pres">
      <dgm:prSet presAssocID="{CAB8D271-ADC9-9247-B85C-FE201AA0BDD4}" presName="mainComposite" presStyleCnt="0">
        <dgm:presLayoutVars>
          <dgm:chPref val="1"/>
          <dgm:dir/>
          <dgm:animOne val="branch"/>
          <dgm:animLvl val="lvl"/>
          <dgm:resizeHandles val="exact"/>
        </dgm:presLayoutVars>
      </dgm:prSet>
      <dgm:spPr/>
    </dgm:pt>
    <dgm:pt modelId="{8AFB2072-6680-CB47-86E1-530AC968E91B}" type="pres">
      <dgm:prSet presAssocID="{CAB8D271-ADC9-9247-B85C-FE201AA0BDD4}" presName="hierFlow" presStyleCnt="0"/>
      <dgm:spPr/>
    </dgm:pt>
    <dgm:pt modelId="{3C56E97A-50E3-3B42-8549-A97581C7896F}" type="pres">
      <dgm:prSet presAssocID="{CAB8D271-ADC9-9247-B85C-FE201AA0BDD4}" presName="firstBuf" presStyleCnt="0"/>
      <dgm:spPr/>
    </dgm:pt>
    <dgm:pt modelId="{5B5CE38A-DC40-604A-83AF-4BEAF6F75D26}" type="pres">
      <dgm:prSet presAssocID="{CAB8D271-ADC9-9247-B85C-FE201AA0BDD4}" presName="hierChild1" presStyleCnt="0">
        <dgm:presLayoutVars>
          <dgm:chPref val="1"/>
          <dgm:animOne val="branch"/>
          <dgm:animLvl val="lvl"/>
        </dgm:presLayoutVars>
      </dgm:prSet>
      <dgm:spPr/>
    </dgm:pt>
    <dgm:pt modelId="{1DC79DA4-1A12-B041-B3E2-D9140FAEBD5D}" type="pres">
      <dgm:prSet presAssocID="{47867E19-D580-3B4A-ACC2-140063901D23}" presName="Name14" presStyleCnt="0"/>
      <dgm:spPr/>
    </dgm:pt>
    <dgm:pt modelId="{8407521D-5FBA-DB4B-B44B-58158B6883D4}" type="pres">
      <dgm:prSet presAssocID="{47867E19-D580-3B4A-ACC2-140063901D23}" presName="level1Shape" presStyleLbl="node0" presStyleIdx="0" presStyleCnt="1">
        <dgm:presLayoutVars>
          <dgm:chPref val="3"/>
        </dgm:presLayoutVars>
      </dgm:prSet>
      <dgm:spPr/>
    </dgm:pt>
    <dgm:pt modelId="{63206724-30B5-E449-9BB9-5F978BCB6A86}" type="pres">
      <dgm:prSet presAssocID="{47867E19-D580-3B4A-ACC2-140063901D23}" presName="hierChild2" presStyleCnt="0"/>
      <dgm:spPr/>
    </dgm:pt>
    <dgm:pt modelId="{5BE2E6E9-4104-724F-840F-15BE74F742AE}" type="pres">
      <dgm:prSet presAssocID="{9DF0D086-9236-7449-9A5A-F073738EEEFC}" presName="Name19" presStyleLbl="parChTrans1D2" presStyleIdx="0" presStyleCnt="3"/>
      <dgm:spPr/>
    </dgm:pt>
    <dgm:pt modelId="{E90911D3-D12C-0A4E-8316-579F20B6374F}" type="pres">
      <dgm:prSet presAssocID="{13E35E5F-D9D9-6948-8D6C-09851B470D23}" presName="Name21" presStyleCnt="0"/>
      <dgm:spPr/>
    </dgm:pt>
    <dgm:pt modelId="{6D8883D1-B7C9-1143-BC1A-6A8153D4B1BA}" type="pres">
      <dgm:prSet presAssocID="{13E35E5F-D9D9-6948-8D6C-09851B470D23}" presName="level2Shape" presStyleLbl="node2" presStyleIdx="0" presStyleCnt="3"/>
      <dgm:spPr/>
    </dgm:pt>
    <dgm:pt modelId="{CC394E91-885D-E943-A704-D63BFE088E21}" type="pres">
      <dgm:prSet presAssocID="{13E35E5F-D9D9-6948-8D6C-09851B470D23}" presName="hierChild3" presStyleCnt="0"/>
      <dgm:spPr/>
    </dgm:pt>
    <dgm:pt modelId="{232C124F-EBF3-6D49-91DD-87AE754E7FAF}" type="pres">
      <dgm:prSet presAssocID="{9B3B02CE-8DF6-7A47-B1F6-7F6CEE282569}" presName="Name19" presStyleLbl="parChTrans1D3" presStyleIdx="0" presStyleCnt="3"/>
      <dgm:spPr/>
    </dgm:pt>
    <dgm:pt modelId="{FC030464-DA78-FD4A-B0AF-153A6E073E91}" type="pres">
      <dgm:prSet presAssocID="{F12DA1AB-DABE-F946-9AEF-F43C7699685C}" presName="Name21" presStyleCnt="0"/>
      <dgm:spPr/>
    </dgm:pt>
    <dgm:pt modelId="{B6859B88-1C5C-7A44-AB67-DDEB46D792FB}" type="pres">
      <dgm:prSet presAssocID="{F12DA1AB-DABE-F946-9AEF-F43C7699685C}" presName="level2Shape" presStyleLbl="node3" presStyleIdx="0" presStyleCnt="3"/>
      <dgm:spPr/>
    </dgm:pt>
    <dgm:pt modelId="{4B2B890F-1774-9A4B-B7CB-566B8F079826}" type="pres">
      <dgm:prSet presAssocID="{F12DA1AB-DABE-F946-9AEF-F43C7699685C}" presName="hierChild3" presStyleCnt="0"/>
      <dgm:spPr/>
    </dgm:pt>
    <dgm:pt modelId="{B7B1C709-2BAE-E842-9379-4533D18BFE53}" type="pres">
      <dgm:prSet presAssocID="{71008D16-68E6-3F47-81B4-9B5A03A6E0B7}" presName="Name19" presStyleLbl="parChTrans1D4" presStyleIdx="0" presStyleCnt="4"/>
      <dgm:spPr/>
    </dgm:pt>
    <dgm:pt modelId="{EE6B8CB0-3176-E041-9E1E-033E54C06D3B}" type="pres">
      <dgm:prSet presAssocID="{860D8355-F85A-6B4B-966D-83CDB0B08909}" presName="Name21" presStyleCnt="0"/>
      <dgm:spPr/>
    </dgm:pt>
    <dgm:pt modelId="{9315C03F-4B40-9B46-A3F5-9E7956F2A5A0}" type="pres">
      <dgm:prSet presAssocID="{860D8355-F85A-6B4B-966D-83CDB0B08909}" presName="level2Shape" presStyleLbl="node4" presStyleIdx="0" presStyleCnt="4"/>
      <dgm:spPr/>
    </dgm:pt>
    <dgm:pt modelId="{BBD2B4EA-650E-5348-952C-5323ECC84AC5}" type="pres">
      <dgm:prSet presAssocID="{860D8355-F85A-6B4B-966D-83CDB0B08909}" presName="hierChild3" presStyleCnt="0"/>
      <dgm:spPr/>
    </dgm:pt>
    <dgm:pt modelId="{8D873C49-5288-EE47-ACF9-39AE4ABACC21}" type="pres">
      <dgm:prSet presAssocID="{E462F874-85CE-934B-954C-35A02802659B}" presName="Name19" presStyleLbl="parChTrans1D3" presStyleIdx="1" presStyleCnt="3"/>
      <dgm:spPr/>
    </dgm:pt>
    <dgm:pt modelId="{70F43F99-9591-454E-BA08-21C268A27F09}" type="pres">
      <dgm:prSet presAssocID="{38C127A3-2318-AA4C-B824-BFC20E11B918}" presName="Name21" presStyleCnt="0"/>
      <dgm:spPr/>
    </dgm:pt>
    <dgm:pt modelId="{C14A0242-9762-D24C-A206-0E0BCD4D0B20}" type="pres">
      <dgm:prSet presAssocID="{38C127A3-2318-AA4C-B824-BFC20E11B918}" presName="level2Shape" presStyleLbl="node3" presStyleIdx="1" presStyleCnt="3"/>
      <dgm:spPr/>
    </dgm:pt>
    <dgm:pt modelId="{924519A9-B46F-954B-AD4C-F03AD9B36D93}" type="pres">
      <dgm:prSet presAssocID="{38C127A3-2318-AA4C-B824-BFC20E11B918}" presName="hierChild3" presStyleCnt="0"/>
      <dgm:spPr/>
    </dgm:pt>
    <dgm:pt modelId="{F88A4855-8537-5844-A68D-949EA591EEFA}" type="pres">
      <dgm:prSet presAssocID="{3D03EECA-D661-B042-A11A-17ED6258F17C}" presName="Name19" presStyleLbl="parChTrans1D4" presStyleIdx="1" presStyleCnt="4"/>
      <dgm:spPr/>
    </dgm:pt>
    <dgm:pt modelId="{88ACF59F-EF31-E049-9C29-5321959231B7}" type="pres">
      <dgm:prSet presAssocID="{63323455-7557-0A43-85F2-1247C9BC2625}" presName="Name21" presStyleCnt="0"/>
      <dgm:spPr/>
    </dgm:pt>
    <dgm:pt modelId="{A5831F1D-6FF5-D546-90B8-9A5447EA786A}" type="pres">
      <dgm:prSet presAssocID="{63323455-7557-0A43-85F2-1247C9BC2625}" presName="level2Shape" presStyleLbl="node4" presStyleIdx="1" presStyleCnt="4"/>
      <dgm:spPr/>
    </dgm:pt>
    <dgm:pt modelId="{7E277C70-D308-044B-A6E1-42113EC77B96}" type="pres">
      <dgm:prSet presAssocID="{63323455-7557-0A43-85F2-1247C9BC2625}" presName="hierChild3" presStyleCnt="0"/>
      <dgm:spPr/>
    </dgm:pt>
    <dgm:pt modelId="{61D82634-FFC6-DC40-AF4D-A4B0770CE864}" type="pres">
      <dgm:prSet presAssocID="{724039CB-CDC2-DF4F-B37C-ADEB64E7C0D2}" presName="Name19" presStyleLbl="parChTrans1D4" presStyleIdx="2" presStyleCnt="4"/>
      <dgm:spPr/>
    </dgm:pt>
    <dgm:pt modelId="{9A7E6D16-D74A-8647-8751-3F07FFDFF790}" type="pres">
      <dgm:prSet presAssocID="{8A6B8BBE-169C-8443-8E33-C9620150412B}" presName="Name21" presStyleCnt="0"/>
      <dgm:spPr/>
    </dgm:pt>
    <dgm:pt modelId="{A58788D1-F62F-4D4C-8FAE-773379FB6E06}" type="pres">
      <dgm:prSet presAssocID="{8A6B8BBE-169C-8443-8E33-C9620150412B}" presName="level2Shape" presStyleLbl="node4" presStyleIdx="2" presStyleCnt="4"/>
      <dgm:spPr/>
    </dgm:pt>
    <dgm:pt modelId="{97AFCCB0-627D-F342-AFAD-7F87328B7B8F}" type="pres">
      <dgm:prSet presAssocID="{8A6B8BBE-169C-8443-8E33-C9620150412B}" presName="hierChild3" presStyleCnt="0"/>
      <dgm:spPr/>
    </dgm:pt>
    <dgm:pt modelId="{9F02B916-4646-4A49-8DE9-1AD12DCD614C}" type="pres">
      <dgm:prSet presAssocID="{AC593350-714B-2048-9A15-E718898F08C3}" presName="Name19" presStyleLbl="parChTrans1D3" presStyleIdx="2" presStyleCnt="3"/>
      <dgm:spPr/>
    </dgm:pt>
    <dgm:pt modelId="{935D07E3-3EAF-CA4B-AEB2-D408967766C7}" type="pres">
      <dgm:prSet presAssocID="{3EEB8299-E870-BF4C-8D39-BB7C04BA3590}" presName="Name21" presStyleCnt="0"/>
      <dgm:spPr/>
    </dgm:pt>
    <dgm:pt modelId="{28F332BA-87DA-7541-9749-2C19B6954EC6}" type="pres">
      <dgm:prSet presAssocID="{3EEB8299-E870-BF4C-8D39-BB7C04BA3590}" presName="level2Shape" presStyleLbl="node3" presStyleIdx="2" presStyleCnt="3"/>
      <dgm:spPr/>
    </dgm:pt>
    <dgm:pt modelId="{548B2930-23AC-C24B-827E-932E020C7509}" type="pres">
      <dgm:prSet presAssocID="{3EEB8299-E870-BF4C-8D39-BB7C04BA3590}" presName="hierChild3" presStyleCnt="0"/>
      <dgm:spPr/>
    </dgm:pt>
    <dgm:pt modelId="{80385EDD-0064-9B4B-9872-7F3A34046C49}" type="pres">
      <dgm:prSet presAssocID="{79DA320C-C13D-754C-86A0-84FC6D09C8EB}" presName="Name19" presStyleLbl="parChTrans1D4" presStyleIdx="3" presStyleCnt="4"/>
      <dgm:spPr/>
    </dgm:pt>
    <dgm:pt modelId="{A9D112EB-982C-D24F-A5CF-1DDF7A38B43A}" type="pres">
      <dgm:prSet presAssocID="{CBF390F3-EF54-6B4D-AA0E-2CB37D585F7B}" presName="Name21" presStyleCnt="0"/>
      <dgm:spPr/>
    </dgm:pt>
    <dgm:pt modelId="{6CE1A4F7-A086-C44A-AD66-F5596B5B2703}" type="pres">
      <dgm:prSet presAssocID="{CBF390F3-EF54-6B4D-AA0E-2CB37D585F7B}" presName="level2Shape" presStyleLbl="node4" presStyleIdx="3" presStyleCnt="4"/>
      <dgm:spPr/>
    </dgm:pt>
    <dgm:pt modelId="{AAB8423E-EA72-AA46-8D6A-111BE90CAA61}" type="pres">
      <dgm:prSet presAssocID="{CBF390F3-EF54-6B4D-AA0E-2CB37D585F7B}" presName="hierChild3" presStyleCnt="0"/>
      <dgm:spPr/>
    </dgm:pt>
    <dgm:pt modelId="{BB8E1BBC-44A3-454D-9615-92A55015386C}" type="pres">
      <dgm:prSet presAssocID="{1DC1F1B9-7500-A743-BC66-926C2AE9EA87}" presName="Name19" presStyleLbl="parChTrans1D2" presStyleIdx="1" presStyleCnt="3"/>
      <dgm:spPr/>
    </dgm:pt>
    <dgm:pt modelId="{48E6FBCF-B612-6241-B331-034CE0D22EB7}" type="pres">
      <dgm:prSet presAssocID="{ABA26B4D-9B53-FD47-A5BD-8427363D9C90}" presName="Name21" presStyleCnt="0"/>
      <dgm:spPr/>
    </dgm:pt>
    <dgm:pt modelId="{865385C1-56F8-184F-9953-6696635CC6C9}" type="pres">
      <dgm:prSet presAssocID="{ABA26B4D-9B53-FD47-A5BD-8427363D9C90}" presName="level2Shape" presStyleLbl="node2" presStyleIdx="1" presStyleCnt="3"/>
      <dgm:spPr/>
    </dgm:pt>
    <dgm:pt modelId="{99E08A6A-19FD-E54F-B0F4-AA86162B6E19}" type="pres">
      <dgm:prSet presAssocID="{ABA26B4D-9B53-FD47-A5BD-8427363D9C90}" presName="hierChild3" presStyleCnt="0"/>
      <dgm:spPr/>
    </dgm:pt>
    <dgm:pt modelId="{ABE2EE27-5E82-DA46-AAB6-730351A29CBF}" type="pres">
      <dgm:prSet presAssocID="{CD8A1ACC-D5EA-7F45-B745-7456899C94CF}" presName="Name19" presStyleLbl="parChTrans1D2" presStyleIdx="2" presStyleCnt="3"/>
      <dgm:spPr/>
    </dgm:pt>
    <dgm:pt modelId="{6CDB1958-C164-8141-A8DB-6A30D4DDF181}" type="pres">
      <dgm:prSet presAssocID="{B0A9877F-81F1-2742-AADC-50FAEFDA8A22}" presName="Name21" presStyleCnt="0"/>
      <dgm:spPr/>
    </dgm:pt>
    <dgm:pt modelId="{8DFD01D5-40D0-4943-90ED-4AE3B62B4CB3}" type="pres">
      <dgm:prSet presAssocID="{B0A9877F-81F1-2742-AADC-50FAEFDA8A22}" presName="level2Shape" presStyleLbl="node2" presStyleIdx="2" presStyleCnt="3"/>
      <dgm:spPr/>
    </dgm:pt>
    <dgm:pt modelId="{195EC948-8B4D-3241-9C15-C972EC70DEB3}" type="pres">
      <dgm:prSet presAssocID="{B0A9877F-81F1-2742-AADC-50FAEFDA8A22}" presName="hierChild3" presStyleCnt="0"/>
      <dgm:spPr/>
    </dgm:pt>
    <dgm:pt modelId="{945D3528-B37A-C440-B654-64F24621348F}" type="pres">
      <dgm:prSet presAssocID="{CAB8D271-ADC9-9247-B85C-FE201AA0BDD4}" presName="bgShapesFlow" presStyleCnt="0"/>
      <dgm:spPr/>
    </dgm:pt>
    <dgm:pt modelId="{4369A6D6-1154-CA4B-8198-D595CCF451F0}" type="pres">
      <dgm:prSet presAssocID="{9C113FBA-323E-7648-8F60-DEBBF2E5395D}" presName="rectComp" presStyleCnt="0"/>
      <dgm:spPr/>
    </dgm:pt>
    <dgm:pt modelId="{90780136-5A9D-B646-AB9A-97F3890442D7}" type="pres">
      <dgm:prSet presAssocID="{9C113FBA-323E-7648-8F60-DEBBF2E5395D}" presName="bgRect" presStyleLbl="bgShp" presStyleIdx="0" presStyleCnt="4"/>
      <dgm:spPr/>
    </dgm:pt>
    <dgm:pt modelId="{0B973EB3-1278-3D45-A9F5-ACA84A96347D}" type="pres">
      <dgm:prSet presAssocID="{9C113FBA-323E-7648-8F60-DEBBF2E5395D}" presName="bgRectTx" presStyleLbl="bgShp" presStyleIdx="0" presStyleCnt="4">
        <dgm:presLayoutVars>
          <dgm:bulletEnabled val="1"/>
        </dgm:presLayoutVars>
      </dgm:prSet>
      <dgm:spPr/>
    </dgm:pt>
    <dgm:pt modelId="{DBD43E1A-5151-634B-AEA5-BFE28DEFD4AD}" type="pres">
      <dgm:prSet presAssocID="{9C113FBA-323E-7648-8F60-DEBBF2E5395D}" presName="spComp" presStyleCnt="0"/>
      <dgm:spPr/>
    </dgm:pt>
    <dgm:pt modelId="{7C449C17-0BBE-4F4A-A083-FC8500B80F0E}" type="pres">
      <dgm:prSet presAssocID="{9C113FBA-323E-7648-8F60-DEBBF2E5395D}" presName="vSp" presStyleCnt="0"/>
      <dgm:spPr/>
    </dgm:pt>
    <dgm:pt modelId="{60453059-26CE-7546-B3E2-3BE791E8A847}" type="pres">
      <dgm:prSet presAssocID="{D14A2509-EAA9-B940-8771-60B2F9F1007F}" presName="rectComp" presStyleCnt="0"/>
      <dgm:spPr/>
    </dgm:pt>
    <dgm:pt modelId="{E12B6254-23C1-514B-AD50-7005F78F9B1B}" type="pres">
      <dgm:prSet presAssocID="{D14A2509-EAA9-B940-8771-60B2F9F1007F}" presName="bgRect" presStyleLbl="bgShp" presStyleIdx="1" presStyleCnt="4"/>
      <dgm:spPr/>
    </dgm:pt>
    <dgm:pt modelId="{B45DA3B6-DF0E-BA42-AB9E-5848DABEA661}" type="pres">
      <dgm:prSet presAssocID="{D14A2509-EAA9-B940-8771-60B2F9F1007F}" presName="bgRectTx" presStyleLbl="bgShp" presStyleIdx="1" presStyleCnt="4">
        <dgm:presLayoutVars>
          <dgm:bulletEnabled val="1"/>
        </dgm:presLayoutVars>
      </dgm:prSet>
      <dgm:spPr/>
    </dgm:pt>
    <dgm:pt modelId="{EDE9F6AD-5826-A448-8381-CA94A91693EC}" type="pres">
      <dgm:prSet presAssocID="{D14A2509-EAA9-B940-8771-60B2F9F1007F}" presName="spComp" presStyleCnt="0"/>
      <dgm:spPr/>
    </dgm:pt>
    <dgm:pt modelId="{8F2B5699-3164-1E47-AEE7-2B2D56121F3B}" type="pres">
      <dgm:prSet presAssocID="{D14A2509-EAA9-B940-8771-60B2F9F1007F}" presName="vSp" presStyleCnt="0"/>
      <dgm:spPr/>
    </dgm:pt>
    <dgm:pt modelId="{2F997261-F8C3-F744-B665-CE361B288A10}" type="pres">
      <dgm:prSet presAssocID="{4F2C343A-E3A5-1D4E-AE26-690A7B30BFF5}" presName="rectComp" presStyleCnt="0"/>
      <dgm:spPr/>
    </dgm:pt>
    <dgm:pt modelId="{23566514-38A7-0241-AF89-A507C364B75F}" type="pres">
      <dgm:prSet presAssocID="{4F2C343A-E3A5-1D4E-AE26-690A7B30BFF5}" presName="bgRect" presStyleLbl="bgShp" presStyleIdx="2" presStyleCnt="4"/>
      <dgm:spPr/>
    </dgm:pt>
    <dgm:pt modelId="{AFD78458-27BD-D941-99DE-53B97DAA974F}" type="pres">
      <dgm:prSet presAssocID="{4F2C343A-E3A5-1D4E-AE26-690A7B30BFF5}" presName="bgRectTx" presStyleLbl="bgShp" presStyleIdx="2" presStyleCnt="4">
        <dgm:presLayoutVars>
          <dgm:bulletEnabled val="1"/>
        </dgm:presLayoutVars>
      </dgm:prSet>
      <dgm:spPr/>
    </dgm:pt>
    <dgm:pt modelId="{A23B7D8C-6CE5-7341-879C-CD86859724D1}" type="pres">
      <dgm:prSet presAssocID="{4F2C343A-E3A5-1D4E-AE26-690A7B30BFF5}" presName="spComp" presStyleCnt="0"/>
      <dgm:spPr/>
    </dgm:pt>
    <dgm:pt modelId="{3657D5F1-6D29-4B40-82A7-818AE6D71FE5}" type="pres">
      <dgm:prSet presAssocID="{4F2C343A-E3A5-1D4E-AE26-690A7B30BFF5}" presName="vSp" presStyleCnt="0"/>
      <dgm:spPr/>
    </dgm:pt>
    <dgm:pt modelId="{52662B99-4ACC-8A46-87FB-97B75E6DE97E}" type="pres">
      <dgm:prSet presAssocID="{3AF60CB9-83BD-B74E-8365-4E025193D86D}" presName="rectComp" presStyleCnt="0"/>
      <dgm:spPr/>
    </dgm:pt>
    <dgm:pt modelId="{6CD5550F-1DF6-0F41-B623-903B1D6EA66D}" type="pres">
      <dgm:prSet presAssocID="{3AF60CB9-83BD-B74E-8365-4E025193D86D}" presName="bgRect" presStyleLbl="bgShp" presStyleIdx="3" presStyleCnt="4"/>
      <dgm:spPr/>
    </dgm:pt>
    <dgm:pt modelId="{15D0945E-F15B-6141-832A-80C7416B36FD}" type="pres">
      <dgm:prSet presAssocID="{3AF60CB9-83BD-B74E-8365-4E025193D86D}" presName="bgRectTx" presStyleLbl="bgShp" presStyleIdx="3" presStyleCnt="4">
        <dgm:presLayoutVars>
          <dgm:bulletEnabled val="1"/>
        </dgm:presLayoutVars>
      </dgm:prSet>
      <dgm:spPr/>
    </dgm:pt>
  </dgm:ptLst>
  <dgm:cxnLst>
    <dgm:cxn modelId="{A5DBEB01-6093-084A-92DF-8D9713368323}" type="presOf" srcId="{47867E19-D580-3B4A-ACC2-140063901D23}" destId="{8407521D-5FBA-DB4B-B44B-58158B6883D4}" srcOrd="0" destOrd="0" presId="urn:microsoft.com/office/officeart/2005/8/layout/hierarchy6"/>
    <dgm:cxn modelId="{DA0F680D-455C-D34E-9299-123CE98C8348}" srcId="{47867E19-D580-3B4A-ACC2-140063901D23}" destId="{ABA26B4D-9B53-FD47-A5BD-8427363D9C90}" srcOrd="1" destOrd="0" parTransId="{1DC1F1B9-7500-A743-BC66-926C2AE9EA87}" sibTransId="{AB48C99E-7086-074B-B537-15F9107A2FC7}"/>
    <dgm:cxn modelId="{0CCDDF13-92FA-7748-B4CE-9E25AA327FA4}" type="presOf" srcId="{4F2C343A-E3A5-1D4E-AE26-690A7B30BFF5}" destId="{AFD78458-27BD-D941-99DE-53B97DAA974F}" srcOrd="1" destOrd="0" presId="urn:microsoft.com/office/officeart/2005/8/layout/hierarchy6"/>
    <dgm:cxn modelId="{F2A28A14-D2FA-F441-9EDF-224F50C1723F}" srcId="{47867E19-D580-3B4A-ACC2-140063901D23}" destId="{B0A9877F-81F1-2742-AADC-50FAEFDA8A22}" srcOrd="2" destOrd="0" parTransId="{CD8A1ACC-D5EA-7F45-B745-7456899C94CF}" sibTransId="{BD9411BC-4951-8A4A-840D-10415D5BAE92}"/>
    <dgm:cxn modelId="{487E1224-FCC1-C44F-A5FF-548FD2058E2C}" type="presOf" srcId="{63323455-7557-0A43-85F2-1247C9BC2625}" destId="{A5831F1D-6FF5-D546-90B8-9A5447EA786A}" srcOrd="0" destOrd="0" presId="urn:microsoft.com/office/officeart/2005/8/layout/hierarchy6"/>
    <dgm:cxn modelId="{C3DE572A-7257-E941-A833-B15875CCE2B2}" type="presOf" srcId="{724039CB-CDC2-DF4F-B37C-ADEB64E7C0D2}" destId="{61D82634-FFC6-DC40-AF4D-A4B0770CE864}" srcOrd="0" destOrd="0" presId="urn:microsoft.com/office/officeart/2005/8/layout/hierarchy6"/>
    <dgm:cxn modelId="{5693BC2F-407D-DE49-A517-2A2542B5B76B}" type="presOf" srcId="{13E35E5F-D9D9-6948-8D6C-09851B470D23}" destId="{6D8883D1-B7C9-1143-BC1A-6A8153D4B1BA}" srcOrd="0" destOrd="0" presId="urn:microsoft.com/office/officeart/2005/8/layout/hierarchy6"/>
    <dgm:cxn modelId="{13972935-1B40-2C4B-8C04-D62C4EE995F6}" type="presOf" srcId="{9C113FBA-323E-7648-8F60-DEBBF2E5395D}" destId="{90780136-5A9D-B646-AB9A-97F3890442D7}" srcOrd="0" destOrd="0" presId="urn:microsoft.com/office/officeart/2005/8/layout/hierarchy6"/>
    <dgm:cxn modelId="{B9897E3A-E915-764C-8092-34364F9C305D}" type="presOf" srcId="{D14A2509-EAA9-B940-8771-60B2F9F1007F}" destId="{B45DA3B6-DF0E-BA42-AB9E-5848DABEA661}" srcOrd="1" destOrd="0" presId="urn:microsoft.com/office/officeart/2005/8/layout/hierarchy6"/>
    <dgm:cxn modelId="{0854EA3D-C2BA-2E41-84A6-B5772837A23F}" srcId="{3EEB8299-E870-BF4C-8D39-BB7C04BA3590}" destId="{CBF390F3-EF54-6B4D-AA0E-2CB37D585F7B}" srcOrd="0" destOrd="0" parTransId="{79DA320C-C13D-754C-86A0-84FC6D09C8EB}" sibTransId="{BC5F4CED-64FF-BE48-896F-9E52FA83628B}"/>
    <dgm:cxn modelId="{6202D751-20AD-F547-A41C-9A7CD6EAC780}" type="presOf" srcId="{D14A2509-EAA9-B940-8771-60B2F9F1007F}" destId="{E12B6254-23C1-514B-AD50-7005F78F9B1B}" srcOrd="0" destOrd="0" presId="urn:microsoft.com/office/officeart/2005/8/layout/hierarchy6"/>
    <dgm:cxn modelId="{494F0A58-BD30-0D42-9D82-93937B4876C3}" srcId="{CAB8D271-ADC9-9247-B85C-FE201AA0BDD4}" destId="{9C113FBA-323E-7648-8F60-DEBBF2E5395D}" srcOrd="1" destOrd="0" parTransId="{74245BD5-296A-214F-BA7C-20C2125D74B5}" sibTransId="{FDBF2BC6-6A75-8943-9782-BE4464D67E11}"/>
    <dgm:cxn modelId="{80EE246B-E918-AB4B-951D-13438E123D63}" type="presOf" srcId="{CAB8D271-ADC9-9247-B85C-FE201AA0BDD4}" destId="{773A92BB-F88D-F34C-BD5C-45906000619F}" srcOrd="0" destOrd="0" presId="urn:microsoft.com/office/officeart/2005/8/layout/hierarchy6"/>
    <dgm:cxn modelId="{2C23AE6B-70EC-074A-97B5-4DC1412F5116}" type="presOf" srcId="{9C113FBA-323E-7648-8F60-DEBBF2E5395D}" destId="{0B973EB3-1278-3D45-A9F5-ACA84A96347D}" srcOrd="1" destOrd="0" presId="urn:microsoft.com/office/officeart/2005/8/layout/hierarchy6"/>
    <dgm:cxn modelId="{56FA6370-ACBA-BA47-A104-EBD07A906F31}" srcId="{CAB8D271-ADC9-9247-B85C-FE201AA0BDD4}" destId="{47867E19-D580-3B4A-ACC2-140063901D23}" srcOrd="0" destOrd="0" parTransId="{70F4DF0C-EE98-E548-BD36-E3E342A7B58C}" sibTransId="{1FA6FC4B-C3DB-0446-B2B3-7EBFA85DF972}"/>
    <dgm:cxn modelId="{94455471-CA1F-C54A-9D70-5A5CDA51937F}" type="presOf" srcId="{3AF60CB9-83BD-B74E-8365-4E025193D86D}" destId="{15D0945E-F15B-6141-832A-80C7416B36FD}" srcOrd="1" destOrd="0" presId="urn:microsoft.com/office/officeart/2005/8/layout/hierarchy6"/>
    <dgm:cxn modelId="{49C23D75-5AEF-2241-9969-1C39F3AA0774}" type="presOf" srcId="{9B3B02CE-8DF6-7A47-B1F6-7F6CEE282569}" destId="{232C124F-EBF3-6D49-91DD-87AE754E7FAF}" srcOrd="0" destOrd="0" presId="urn:microsoft.com/office/officeart/2005/8/layout/hierarchy6"/>
    <dgm:cxn modelId="{51FF147C-30A1-2D4D-AF1D-8F025F23FDD2}" srcId="{38C127A3-2318-AA4C-B824-BFC20E11B918}" destId="{8A6B8BBE-169C-8443-8E33-C9620150412B}" srcOrd="1" destOrd="0" parTransId="{724039CB-CDC2-DF4F-B37C-ADEB64E7C0D2}" sibTransId="{52597008-5F73-2F41-AF7B-D9D023142537}"/>
    <dgm:cxn modelId="{76872D8F-FD8E-FE41-9661-4B31A9A7975B}" type="presOf" srcId="{F12DA1AB-DABE-F946-9AEF-F43C7699685C}" destId="{B6859B88-1C5C-7A44-AB67-DDEB46D792FB}" srcOrd="0" destOrd="0" presId="urn:microsoft.com/office/officeart/2005/8/layout/hierarchy6"/>
    <dgm:cxn modelId="{CA56368F-5217-5842-84C6-FED73A31E2DC}" type="presOf" srcId="{3D03EECA-D661-B042-A11A-17ED6258F17C}" destId="{F88A4855-8537-5844-A68D-949EA591EEFA}" srcOrd="0" destOrd="0" presId="urn:microsoft.com/office/officeart/2005/8/layout/hierarchy6"/>
    <dgm:cxn modelId="{77C9C096-883E-4443-9382-498522FDA8B5}" srcId="{CAB8D271-ADC9-9247-B85C-FE201AA0BDD4}" destId="{4F2C343A-E3A5-1D4E-AE26-690A7B30BFF5}" srcOrd="3" destOrd="0" parTransId="{40874727-C63C-6745-B374-06556D9C5658}" sibTransId="{A3C53D6A-F953-7D46-8D6D-D4205497DF44}"/>
    <dgm:cxn modelId="{1AB03C97-73EF-A04C-92E4-290F5BCDDE65}" type="presOf" srcId="{B0A9877F-81F1-2742-AADC-50FAEFDA8A22}" destId="{8DFD01D5-40D0-4943-90ED-4AE3B62B4CB3}" srcOrd="0" destOrd="0" presId="urn:microsoft.com/office/officeart/2005/8/layout/hierarchy6"/>
    <dgm:cxn modelId="{3CD54C9A-31F0-784C-9279-839DCC630705}" type="presOf" srcId="{AC593350-714B-2048-9A15-E718898F08C3}" destId="{9F02B916-4646-4A49-8DE9-1AD12DCD614C}" srcOrd="0" destOrd="0" presId="urn:microsoft.com/office/officeart/2005/8/layout/hierarchy6"/>
    <dgm:cxn modelId="{D356DE9B-3EA0-7840-BCA6-A3B39CF3E8DC}" type="presOf" srcId="{71008D16-68E6-3F47-81B4-9B5A03A6E0B7}" destId="{B7B1C709-2BAE-E842-9379-4533D18BFE53}" srcOrd="0" destOrd="0" presId="urn:microsoft.com/office/officeart/2005/8/layout/hierarchy6"/>
    <dgm:cxn modelId="{D1EB9B9C-A0EC-9840-9812-8A6A7F3313F0}" srcId="{13E35E5F-D9D9-6948-8D6C-09851B470D23}" destId="{3EEB8299-E870-BF4C-8D39-BB7C04BA3590}" srcOrd="2" destOrd="0" parTransId="{AC593350-714B-2048-9A15-E718898F08C3}" sibTransId="{D434DAA8-E07C-784C-A7E7-2C0948F8B2BB}"/>
    <dgm:cxn modelId="{4FC829A1-4DF1-974E-8B0B-7C63D6E60D0C}" type="presOf" srcId="{3EEB8299-E870-BF4C-8D39-BB7C04BA3590}" destId="{28F332BA-87DA-7541-9749-2C19B6954EC6}" srcOrd="0" destOrd="0" presId="urn:microsoft.com/office/officeart/2005/8/layout/hierarchy6"/>
    <dgm:cxn modelId="{7BBEDEA1-8529-2E40-9018-017BEB58B003}" srcId="{CAB8D271-ADC9-9247-B85C-FE201AA0BDD4}" destId="{D14A2509-EAA9-B940-8771-60B2F9F1007F}" srcOrd="2" destOrd="0" parTransId="{B887143B-14A1-EC40-8B0C-B51A3643E71A}" sibTransId="{D9BAEE5D-D388-F440-BFD5-F856931B24BD}"/>
    <dgm:cxn modelId="{6E7067AC-9B30-0E4A-883D-C111F253B234}" type="presOf" srcId="{79DA320C-C13D-754C-86A0-84FC6D09C8EB}" destId="{80385EDD-0064-9B4B-9872-7F3A34046C49}" srcOrd="0" destOrd="0" presId="urn:microsoft.com/office/officeart/2005/8/layout/hierarchy6"/>
    <dgm:cxn modelId="{C7DC9BB8-0946-0845-8725-4E93CEF3B2AF}" type="presOf" srcId="{860D8355-F85A-6B4B-966D-83CDB0B08909}" destId="{9315C03F-4B40-9B46-A3F5-9E7956F2A5A0}" srcOrd="0" destOrd="0" presId="urn:microsoft.com/office/officeart/2005/8/layout/hierarchy6"/>
    <dgm:cxn modelId="{738091B9-13E4-FF48-A962-94DD4DF1A48A}" type="presOf" srcId="{E462F874-85CE-934B-954C-35A02802659B}" destId="{8D873C49-5288-EE47-ACF9-39AE4ABACC21}" srcOrd="0" destOrd="0" presId="urn:microsoft.com/office/officeart/2005/8/layout/hierarchy6"/>
    <dgm:cxn modelId="{BFA7ACBC-2958-B140-9E3F-BDA3ACADCDDC}" type="presOf" srcId="{CBF390F3-EF54-6B4D-AA0E-2CB37D585F7B}" destId="{6CE1A4F7-A086-C44A-AD66-F5596B5B2703}" srcOrd="0" destOrd="0" presId="urn:microsoft.com/office/officeart/2005/8/layout/hierarchy6"/>
    <dgm:cxn modelId="{CD9C77BE-F500-9741-9520-21E39036154D}" type="presOf" srcId="{9DF0D086-9236-7449-9A5A-F073738EEEFC}" destId="{5BE2E6E9-4104-724F-840F-15BE74F742AE}" srcOrd="0" destOrd="0" presId="urn:microsoft.com/office/officeart/2005/8/layout/hierarchy6"/>
    <dgm:cxn modelId="{53D6C5BF-2E89-4441-A6BA-876C0A440E25}" srcId="{CAB8D271-ADC9-9247-B85C-FE201AA0BDD4}" destId="{3AF60CB9-83BD-B74E-8365-4E025193D86D}" srcOrd="4" destOrd="0" parTransId="{42A924D5-BBBF-1F44-A496-656E9277B5F0}" sibTransId="{D5B50A0C-4B62-F94E-8BC9-2E4622F1026A}"/>
    <dgm:cxn modelId="{B71EEEC4-11D9-EE4F-9E5B-A6068E115E77}" srcId="{13E35E5F-D9D9-6948-8D6C-09851B470D23}" destId="{38C127A3-2318-AA4C-B824-BFC20E11B918}" srcOrd="1" destOrd="0" parTransId="{E462F874-85CE-934B-954C-35A02802659B}" sibTransId="{6B5499E8-18DE-F745-B7C2-A520638D6B99}"/>
    <dgm:cxn modelId="{1D5A23CB-DF90-0B4F-B6FB-3864E48D35B5}" srcId="{13E35E5F-D9D9-6948-8D6C-09851B470D23}" destId="{F12DA1AB-DABE-F946-9AEF-F43C7699685C}" srcOrd="0" destOrd="0" parTransId="{9B3B02CE-8DF6-7A47-B1F6-7F6CEE282569}" sibTransId="{C674E2DE-C549-5F4A-90D6-FDA175C9A12A}"/>
    <dgm:cxn modelId="{EC4B57CD-D31C-3846-AB81-DA40D791AD87}" srcId="{38C127A3-2318-AA4C-B824-BFC20E11B918}" destId="{63323455-7557-0A43-85F2-1247C9BC2625}" srcOrd="0" destOrd="0" parTransId="{3D03EECA-D661-B042-A11A-17ED6258F17C}" sibTransId="{B17FCAAE-CDB6-8140-A6E2-81A7DCFF3459}"/>
    <dgm:cxn modelId="{848299D7-1973-164F-AC2A-F058E185218E}" type="presOf" srcId="{8A6B8BBE-169C-8443-8E33-C9620150412B}" destId="{A58788D1-F62F-4D4C-8FAE-773379FB6E06}" srcOrd="0" destOrd="0" presId="urn:microsoft.com/office/officeart/2005/8/layout/hierarchy6"/>
    <dgm:cxn modelId="{4DBB8DD9-0F30-E341-93FD-C2B8B6CC8311}" type="presOf" srcId="{1DC1F1B9-7500-A743-BC66-926C2AE9EA87}" destId="{BB8E1BBC-44A3-454D-9615-92A55015386C}" srcOrd="0" destOrd="0" presId="urn:microsoft.com/office/officeart/2005/8/layout/hierarchy6"/>
    <dgm:cxn modelId="{B81AFEE4-BFEA-2C49-AD91-FA7C0634FA51}" type="presOf" srcId="{CD8A1ACC-D5EA-7F45-B745-7456899C94CF}" destId="{ABE2EE27-5E82-DA46-AAB6-730351A29CBF}" srcOrd="0" destOrd="0" presId="urn:microsoft.com/office/officeart/2005/8/layout/hierarchy6"/>
    <dgm:cxn modelId="{DBCC0EE5-6F83-5A48-8ED3-48A47338F866}" srcId="{47867E19-D580-3B4A-ACC2-140063901D23}" destId="{13E35E5F-D9D9-6948-8D6C-09851B470D23}" srcOrd="0" destOrd="0" parTransId="{9DF0D086-9236-7449-9A5A-F073738EEEFC}" sibTransId="{3FCC6D66-0CA8-1340-85D2-F0B81B61FA1E}"/>
    <dgm:cxn modelId="{D65A78EB-1A53-FF49-BAE2-35CB1F340E1A}" type="presOf" srcId="{3AF60CB9-83BD-B74E-8365-4E025193D86D}" destId="{6CD5550F-1DF6-0F41-B623-903B1D6EA66D}" srcOrd="0" destOrd="0" presId="urn:microsoft.com/office/officeart/2005/8/layout/hierarchy6"/>
    <dgm:cxn modelId="{96DFD4F0-EE7D-574F-8DB8-9A3F188E3D52}" type="presOf" srcId="{ABA26B4D-9B53-FD47-A5BD-8427363D9C90}" destId="{865385C1-56F8-184F-9953-6696635CC6C9}" srcOrd="0" destOrd="0" presId="urn:microsoft.com/office/officeart/2005/8/layout/hierarchy6"/>
    <dgm:cxn modelId="{B8534EFB-5A7B-1444-AC90-0223D67BE4DA}" type="presOf" srcId="{38C127A3-2318-AA4C-B824-BFC20E11B918}" destId="{C14A0242-9762-D24C-A206-0E0BCD4D0B20}" srcOrd="0" destOrd="0" presId="urn:microsoft.com/office/officeart/2005/8/layout/hierarchy6"/>
    <dgm:cxn modelId="{A0D654FC-F664-4049-9EB3-ACB00861FD62}" type="presOf" srcId="{4F2C343A-E3A5-1D4E-AE26-690A7B30BFF5}" destId="{23566514-38A7-0241-AF89-A507C364B75F}" srcOrd="0" destOrd="0" presId="urn:microsoft.com/office/officeart/2005/8/layout/hierarchy6"/>
    <dgm:cxn modelId="{E36F25FD-D1C4-3A4D-8DCD-6A8914AB5240}" srcId="{F12DA1AB-DABE-F946-9AEF-F43C7699685C}" destId="{860D8355-F85A-6B4B-966D-83CDB0B08909}" srcOrd="0" destOrd="0" parTransId="{71008D16-68E6-3F47-81B4-9B5A03A6E0B7}" sibTransId="{318B50ED-4F16-3941-AEE1-1F6D22F1370D}"/>
    <dgm:cxn modelId="{D7D34047-46D2-3D46-A4DC-87D316BE99B9}" type="presParOf" srcId="{773A92BB-F88D-F34C-BD5C-45906000619F}" destId="{8AFB2072-6680-CB47-86E1-530AC968E91B}" srcOrd="0" destOrd="0" presId="urn:microsoft.com/office/officeart/2005/8/layout/hierarchy6"/>
    <dgm:cxn modelId="{FEA2D16F-5D09-304D-AA25-8A8AD400D2DF}" type="presParOf" srcId="{8AFB2072-6680-CB47-86E1-530AC968E91B}" destId="{3C56E97A-50E3-3B42-8549-A97581C7896F}" srcOrd="0" destOrd="0" presId="urn:microsoft.com/office/officeart/2005/8/layout/hierarchy6"/>
    <dgm:cxn modelId="{D5DDACE8-18C2-484D-8456-64FD7DC499C4}" type="presParOf" srcId="{8AFB2072-6680-CB47-86E1-530AC968E91B}" destId="{5B5CE38A-DC40-604A-83AF-4BEAF6F75D26}" srcOrd="1" destOrd="0" presId="urn:microsoft.com/office/officeart/2005/8/layout/hierarchy6"/>
    <dgm:cxn modelId="{F952CA77-BF83-9345-A12A-13AC6D246008}" type="presParOf" srcId="{5B5CE38A-DC40-604A-83AF-4BEAF6F75D26}" destId="{1DC79DA4-1A12-B041-B3E2-D9140FAEBD5D}" srcOrd="0" destOrd="0" presId="urn:microsoft.com/office/officeart/2005/8/layout/hierarchy6"/>
    <dgm:cxn modelId="{F1357EDE-5463-BF46-941E-02CB85787F15}" type="presParOf" srcId="{1DC79DA4-1A12-B041-B3E2-D9140FAEBD5D}" destId="{8407521D-5FBA-DB4B-B44B-58158B6883D4}" srcOrd="0" destOrd="0" presId="urn:microsoft.com/office/officeart/2005/8/layout/hierarchy6"/>
    <dgm:cxn modelId="{6A5C0437-396D-9341-B759-262F9D3AA565}" type="presParOf" srcId="{1DC79DA4-1A12-B041-B3E2-D9140FAEBD5D}" destId="{63206724-30B5-E449-9BB9-5F978BCB6A86}" srcOrd="1" destOrd="0" presId="urn:microsoft.com/office/officeart/2005/8/layout/hierarchy6"/>
    <dgm:cxn modelId="{C3F382F7-1ED4-4A49-B7E8-16A4D5A1BD5D}" type="presParOf" srcId="{63206724-30B5-E449-9BB9-5F978BCB6A86}" destId="{5BE2E6E9-4104-724F-840F-15BE74F742AE}" srcOrd="0" destOrd="0" presId="urn:microsoft.com/office/officeart/2005/8/layout/hierarchy6"/>
    <dgm:cxn modelId="{1041AF91-B116-0A4C-BF60-FFB412CA45ED}" type="presParOf" srcId="{63206724-30B5-E449-9BB9-5F978BCB6A86}" destId="{E90911D3-D12C-0A4E-8316-579F20B6374F}" srcOrd="1" destOrd="0" presId="urn:microsoft.com/office/officeart/2005/8/layout/hierarchy6"/>
    <dgm:cxn modelId="{06D825D8-CD3C-F24F-A498-6997E2536ECA}" type="presParOf" srcId="{E90911D3-D12C-0A4E-8316-579F20B6374F}" destId="{6D8883D1-B7C9-1143-BC1A-6A8153D4B1BA}" srcOrd="0" destOrd="0" presId="urn:microsoft.com/office/officeart/2005/8/layout/hierarchy6"/>
    <dgm:cxn modelId="{AB894410-2122-874D-8F2A-E666A6940B28}" type="presParOf" srcId="{E90911D3-D12C-0A4E-8316-579F20B6374F}" destId="{CC394E91-885D-E943-A704-D63BFE088E21}" srcOrd="1" destOrd="0" presId="urn:microsoft.com/office/officeart/2005/8/layout/hierarchy6"/>
    <dgm:cxn modelId="{8B729EF1-3597-B34A-BF2E-60DFE832034E}" type="presParOf" srcId="{CC394E91-885D-E943-A704-D63BFE088E21}" destId="{232C124F-EBF3-6D49-91DD-87AE754E7FAF}" srcOrd="0" destOrd="0" presId="urn:microsoft.com/office/officeart/2005/8/layout/hierarchy6"/>
    <dgm:cxn modelId="{E2211752-EFF7-2A49-A370-AC8B2EF7624C}" type="presParOf" srcId="{CC394E91-885D-E943-A704-D63BFE088E21}" destId="{FC030464-DA78-FD4A-B0AF-153A6E073E91}" srcOrd="1" destOrd="0" presId="urn:microsoft.com/office/officeart/2005/8/layout/hierarchy6"/>
    <dgm:cxn modelId="{AAAFF4DE-B4F1-5F4E-B91A-607C45B98DCF}" type="presParOf" srcId="{FC030464-DA78-FD4A-B0AF-153A6E073E91}" destId="{B6859B88-1C5C-7A44-AB67-DDEB46D792FB}" srcOrd="0" destOrd="0" presId="urn:microsoft.com/office/officeart/2005/8/layout/hierarchy6"/>
    <dgm:cxn modelId="{E54D7D2B-754E-4F48-9AB9-AF6F2672E734}" type="presParOf" srcId="{FC030464-DA78-FD4A-B0AF-153A6E073E91}" destId="{4B2B890F-1774-9A4B-B7CB-566B8F079826}" srcOrd="1" destOrd="0" presId="urn:microsoft.com/office/officeart/2005/8/layout/hierarchy6"/>
    <dgm:cxn modelId="{8496D396-129B-694C-95C9-C1212E5E346A}" type="presParOf" srcId="{4B2B890F-1774-9A4B-B7CB-566B8F079826}" destId="{B7B1C709-2BAE-E842-9379-4533D18BFE53}" srcOrd="0" destOrd="0" presId="urn:microsoft.com/office/officeart/2005/8/layout/hierarchy6"/>
    <dgm:cxn modelId="{E36577D8-324A-CF43-BA59-C99E5C88DD9E}" type="presParOf" srcId="{4B2B890F-1774-9A4B-B7CB-566B8F079826}" destId="{EE6B8CB0-3176-E041-9E1E-033E54C06D3B}" srcOrd="1" destOrd="0" presId="urn:microsoft.com/office/officeart/2005/8/layout/hierarchy6"/>
    <dgm:cxn modelId="{7E119B39-889B-9048-83A7-C7B2A3879430}" type="presParOf" srcId="{EE6B8CB0-3176-E041-9E1E-033E54C06D3B}" destId="{9315C03F-4B40-9B46-A3F5-9E7956F2A5A0}" srcOrd="0" destOrd="0" presId="urn:microsoft.com/office/officeart/2005/8/layout/hierarchy6"/>
    <dgm:cxn modelId="{C5E6F61D-0A6C-0345-B1A2-3404EA6BD9A9}" type="presParOf" srcId="{EE6B8CB0-3176-E041-9E1E-033E54C06D3B}" destId="{BBD2B4EA-650E-5348-952C-5323ECC84AC5}" srcOrd="1" destOrd="0" presId="urn:microsoft.com/office/officeart/2005/8/layout/hierarchy6"/>
    <dgm:cxn modelId="{92FE7DD9-9296-2C43-AADD-013ABA7AB51D}" type="presParOf" srcId="{CC394E91-885D-E943-A704-D63BFE088E21}" destId="{8D873C49-5288-EE47-ACF9-39AE4ABACC21}" srcOrd="2" destOrd="0" presId="urn:microsoft.com/office/officeart/2005/8/layout/hierarchy6"/>
    <dgm:cxn modelId="{5CDC0538-C1D4-5546-998F-3648DDD29D16}" type="presParOf" srcId="{CC394E91-885D-E943-A704-D63BFE088E21}" destId="{70F43F99-9591-454E-BA08-21C268A27F09}" srcOrd="3" destOrd="0" presId="urn:microsoft.com/office/officeart/2005/8/layout/hierarchy6"/>
    <dgm:cxn modelId="{5EA481EC-BD73-5D41-8673-DD071D341CBD}" type="presParOf" srcId="{70F43F99-9591-454E-BA08-21C268A27F09}" destId="{C14A0242-9762-D24C-A206-0E0BCD4D0B20}" srcOrd="0" destOrd="0" presId="urn:microsoft.com/office/officeart/2005/8/layout/hierarchy6"/>
    <dgm:cxn modelId="{7F0776EB-7925-A24E-8546-B0ABA1E8BA19}" type="presParOf" srcId="{70F43F99-9591-454E-BA08-21C268A27F09}" destId="{924519A9-B46F-954B-AD4C-F03AD9B36D93}" srcOrd="1" destOrd="0" presId="urn:microsoft.com/office/officeart/2005/8/layout/hierarchy6"/>
    <dgm:cxn modelId="{2563979B-9822-9A48-B31F-76E2D3BE518E}" type="presParOf" srcId="{924519A9-B46F-954B-AD4C-F03AD9B36D93}" destId="{F88A4855-8537-5844-A68D-949EA591EEFA}" srcOrd="0" destOrd="0" presId="urn:microsoft.com/office/officeart/2005/8/layout/hierarchy6"/>
    <dgm:cxn modelId="{61660D1A-AAEE-364A-A503-823217B1BB1A}" type="presParOf" srcId="{924519A9-B46F-954B-AD4C-F03AD9B36D93}" destId="{88ACF59F-EF31-E049-9C29-5321959231B7}" srcOrd="1" destOrd="0" presId="urn:microsoft.com/office/officeart/2005/8/layout/hierarchy6"/>
    <dgm:cxn modelId="{8DD3BC76-67A5-C843-8E10-F1686EC6FE04}" type="presParOf" srcId="{88ACF59F-EF31-E049-9C29-5321959231B7}" destId="{A5831F1D-6FF5-D546-90B8-9A5447EA786A}" srcOrd="0" destOrd="0" presId="urn:microsoft.com/office/officeart/2005/8/layout/hierarchy6"/>
    <dgm:cxn modelId="{0B3EF95A-E7D8-474C-B0BA-6D66737A0F62}" type="presParOf" srcId="{88ACF59F-EF31-E049-9C29-5321959231B7}" destId="{7E277C70-D308-044B-A6E1-42113EC77B96}" srcOrd="1" destOrd="0" presId="urn:microsoft.com/office/officeart/2005/8/layout/hierarchy6"/>
    <dgm:cxn modelId="{AD35E7E7-2AA9-A34C-A2A2-6552D2979D6F}" type="presParOf" srcId="{924519A9-B46F-954B-AD4C-F03AD9B36D93}" destId="{61D82634-FFC6-DC40-AF4D-A4B0770CE864}" srcOrd="2" destOrd="0" presId="urn:microsoft.com/office/officeart/2005/8/layout/hierarchy6"/>
    <dgm:cxn modelId="{C32C4639-7D87-CC4A-B6BE-BD74D6D42B6C}" type="presParOf" srcId="{924519A9-B46F-954B-AD4C-F03AD9B36D93}" destId="{9A7E6D16-D74A-8647-8751-3F07FFDFF790}" srcOrd="3" destOrd="0" presId="urn:microsoft.com/office/officeart/2005/8/layout/hierarchy6"/>
    <dgm:cxn modelId="{8B156A70-23F9-3142-A7A9-6519F7F2DBB5}" type="presParOf" srcId="{9A7E6D16-D74A-8647-8751-3F07FFDFF790}" destId="{A58788D1-F62F-4D4C-8FAE-773379FB6E06}" srcOrd="0" destOrd="0" presId="urn:microsoft.com/office/officeart/2005/8/layout/hierarchy6"/>
    <dgm:cxn modelId="{68827DCD-F0C5-394E-8930-0C55B80A0B35}" type="presParOf" srcId="{9A7E6D16-D74A-8647-8751-3F07FFDFF790}" destId="{97AFCCB0-627D-F342-AFAD-7F87328B7B8F}" srcOrd="1" destOrd="0" presId="urn:microsoft.com/office/officeart/2005/8/layout/hierarchy6"/>
    <dgm:cxn modelId="{430914D5-39B0-7440-9A97-BF289BC46EF8}" type="presParOf" srcId="{CC394E91-885D-E943-A704-D63BFE088E21}" destId="{9F02B916-4646-4A49-8DE9-1AD12DCD614C}" srcOrd="4" destOrd="0" presId="urn:microsoft.com/office/officeart/2005/8/layout/hierarchy6"/>
    <dgm:cxn modelId="{0B118E2C-90E4-904E-A7DD-88E0A8EF3194}" type="presParOf" srcId="{CC394E91-885D-E943-A704-D63BFE088E21}" destId="{935D07E3-3EAF-CA4B-AEB2-D408967766C7}" srcOrd="5" destOrd="0" presId="urn:microsoft.com/office/officeart/2005/8/layout/hierarchy6"/>
    <dgm:cxn modelId="{3B7C6FF9-F858-BE40-ACA7-AA05B267A293}" type="presParOf" srcId="{935D07E3-3EAF-CA4B-AEB2-D408967766C7}" destId="{28F332BA-87DA-7541-9749-2C19B6954EC6}" srcOrd="0" destOrd="0" presId="urn:microsoft.com/office/officeart/2005/8/layout/hierarchy6"/>
    <dgm:cxn modelId="{42B48AED-26FB-8146-94BD-2D7D44D51B2D}" type="presParOf" srcId="{935D07E3-3EAF-CA4B-AEB2-D408967766C7}" destId="{548B2930-23AC-C24B-827E-932E020C7509}" srcOrd="1" destOrd="0" presId="urn:microsoft.com/office/officeart/2005/8/layout/hierarchy6"/>
    <dgm:cxn modelId="{D9712CDB-A677-3F47-BF7C-4DFEF8C2230B}" type="presParOf" srcId="{548B2930-23AC-C24B-827E-932E020C7509}" destId="{80385EDD-0064-9B4B-9872-7F3A34046C49}" srcOrd="0" destOrd="0" presId="urn:microsoft.com/office/officeart/2005/8/layout/hierarchy6"/>
    <dgm:cxn modelId="{B8F62EB0-D854-074D-B1BE-A780A17C684A}" type="presParOf" srcId="{548B2930-23AC-C24B-827E-932E020C7509}" destId="{A9D112EB-982C-D24F-A5CF-1DDF7A38B43A}" srcOrd="1" destOrd="0" presId="urn:microsoft.com/office/officeart/2005/8/layout/hierarchy6"/>
    <dgm:cxn modelId="{2B346042-B12F-7A41-AF36-19DBD6F5FAF5}" type="presParOf" srcId="{A9D112EB-982C-D24F-A5CF-1DDF7A38B43A}" destId="{6CE1A4F7-A086-C44A-AD66-F5596B5B2703}" srcOrd="0" destOrd="0" presId="urn:microsoft.com/office/officeart/2005/8/layout/hierarchy6"/>
    <dgm:cxn modelId="{320564AE-61DB-F045-9766-8F3688F79468}" type="presParOf" srcId="{A9D112EB-982C-D24F-A5CF-1DDF7A38B43A}" destId="{AAB8423E-EA72-AA46-8D6A-111BE90CAA61}" srcOrd="1" destOrd="0" presId="urn:microsoft.com/office/officeart/2005/8/layout/hierarchy6"/>
    <dgm:cxn modelId="{BAE5C37E-3A6A-AB4E-9C1B-C557974E908C}" type="presParOf" srcId="{63206724-30B5-E449-9BB9-5F978BCB6A86}" destId="{BB8E1BBC-44A3-454D-9615-92A55015386C}" srcOrd="2" destOrd="0" presId="urn:microsoft.com/office/officeart/2005/8/layout/hierarchy6"/>
    <dgm:cxn modelId="{ED2549D0-D691-8043-99D9-90B5FA1BDA4C}" type="presParOf" srcId="{63206724-30B5-E449-9BB9-5F978BCB6A86}" destId="{48E6FBCF-B612-6241-B331-034CE0D22EB7}" srcOrd="3" destOrd="0" presId="urn:microsoft.com/office/officeart/2005/8/layout/hierarchy6"/>
    <dgm:cxn modelId="{4A4E98A1-14DF-6342-9CBD-910DF8536A2C}" type="presParOf" srcId="{48E6FBCF-B612-6241-B331-034CE0D22EB7}" destId="{865385C1-56F8-184F-9953-6696635CC6C9}" srcOrd="0" destOrd="0" presId="urn:microsoft.com/office/officeart/2005/8/layout/hierarchy6"/>
    <dgm:cxn modelId="{1FC1FFA2-4E74-A140-ACA0-18EFB4594540}" type="presParOf" srcId="{48E6FBCF-B612-6241-B331-034CE0D22EB7}" destId="{99E08A6A-19FD-E54F-B0F4-AA86162B6E19}" srcOrd="1" destOrd="0" presId="urn:microsoft.com/office/officeart/2005/8/layout/hierarchy6"/>
    <dgm:cxn modelId="{41A6E294-7C82-F041-B4C2-4F579D534510}" type="presParOf" srcId="{63206724-30B5-E449-9BB9-5F978BCB6A86}" destId="{ABE2EE27-5E82-DA46-AAB6-730351A29CBF}" srcOrd="4" destOrd="0" presId="urn:microsoft.com/office/officeart/2005/8/layout/hierarchy6"/>
    <dgm:cxn modelId="{A3838CBF-931C-DA4D-96A5-6E9DDD7F7C71}" type="presParOf" srcId="{63206724-30B5-E449-9BB9-5F978BCB6A86}" destId="{6CDB1958-C164-8141-A8DB-6A30D4DDF181}" srcOrd="5" destOrd="0" presId="urn:microsoft.com/office/officeart/2005/8/layout/hierarchy6"/>
    <dgm:cxn modelId="{4620C952-3C20-2249-9AE0-D6AEBF9C77FD}" type="presParOf" srcId="{6CDB1958-C164-8141-A8DB-6A30D4DDF181}" destId="{8DFD01D5-40D0-4943-90ED-4AE3B62B4CB3}" srcOrd="0" destOrd="0" presId="urn:microsoft.com/office/officeart/2005/8/layout/hierarchy6"/>
    <dgm:cxn modelId="{7969414C-6357-334E-B661-4FC85DA78576}" type="presParOf" srcId="{6CDB1958-C164-8141-A8DB-6A30D4DDF181}" destId="{195EC948-8B4D-3241-9C15-C972EC70DEB3}" srcOrd="1" destOrd="0" presId="urn:microsoft.com/office/officeart/2005/8/layout/hierarchy6"/>
    <dgm:cxn modelId="{15FAFA1E-3F21-6744-AC10-C79B8C1D2135}" type="presParOf" srcId="{773A92BB-F88D-F34C-BD5C-45906000619F}" destId="{945D3528-B37A-C440-B654-64F24621348F}" srcOrd="1" destOrd="0" presId="urn:microsoft.com/office/officeart/2005/8/layout/hierarchy6"/>
    <dgm:cxn modelId="{FF90C273-8B2A-B343-87AB-51B748BC5FF2}" type="presParOf" srcId="{945D3528-B37A-C440-B654-64F24621348F}" destId="{4369A6D6-1154-CA4B-8198-D595CCF451F0}" srcOrd="0" destOrd="0" presId="urn:microsoft.com/office/officeart/2005/8/layout/hierarchy6"/>
    <dgm:cxn modelId="{2488DAD1-CDA0-574C-88AB-EF9044C23810}" type="presParOf" srcId="{4369A6D6-1154-CA4B-8198-D595CCF451F0}" destId="{90780136-5A9D-B646-AB9A-97F3890442D7}" srcOrd="0" destOrd="0" presId="urn:microsoft.com/office/officeart/2005/8/layout/hierarchy6"/>
    <dgm:cxn modelId="{0B23624B-DEE0-5446-A769-99036AF03000}" type="presParOf" srcId="{4369A6D6-1154-CA4B-8198-D595CCF451F0}" destId="{0B973EB3-1278-3D45-A9F5-ACA84A96347D}" srcOrd="1" destOrd="0" presId="urn:microsoft.com/office/officeart/2005/8/layout/hierarchy6"/>
    <dgm:cxn modelId="{B0BC7653-CE0B-4D4D-B57C-28BFC0865A12}" type="presParOf" srcId="{945D3528-B37A-C440-B654-64F24621348F}" destId="{DBD43E1A-5151-634B-AEA5-BFE28DEFD4AD}" srcOrd="1" destOrd="0" presId="urn:microsoft.com/office/officeart/2005/8/layout/hierarchy6"/>
    <dgm:cxn modelId="{9E865F09-D201-0A4C-AE8F-9BC6C224DE11}" type="presParOf" srcId="{DBD43E1A-5151-634B-AEA5-BFE28DEFD4AD}" destId="{7C449C17-0BBE-4F4A-A083-FC8500B80F0E}" srcOrd="0" destOrd="0" presId="urn:microsoft.com/office/officeart/2005/8/layout/hierarchy6"/>
    <dgm:cxn modelId="{EA072997-B6E5-174C-ABEF-8274A73B323F}" type="presParOf" srcId="{945D3528-B37A-C440-B654-64F24621348F}" destId="{60453059-26CE-7546-B3E2-3BE791E8A847}" srcOrd="2" destOrd="0" presId="urn:microsoft.com/office/officeart/2005/8/layout/hierarchy6"/>
    <dgm:cxn modelId="{E88B17E8-0D24-554F-A74F-4FC0F9D86695}" type="presParOf" srcId="{60453059-26CE-7546-B3E2-3BE791E8A847}" destId="{E12B6254-23C1-514B-AD50-7005F78F9B1B}" srcOrd="0" destOrd="0" presId="urn:microsoft.com/office/officeart/2005/8/layout/hierarchy6"/>
    <dgm:cxn modelId="{38692ED7-A247-624A-AEDA-2FFFCF7FE1DB}" type="presParOf" srcId="{60453059-26CE-7546-B3E2-3BE791E8A847}" destId="{B45DA3B6-DF0E-BA42-AB9E-5848DABEA661}" srcOrd="1" destOrd="0" presId="urn:microsoft.com/office/officeart/2005/8/layout/hierarchy6"/>
    <dgm:cxn modelId="{DB090324-DD9E-E440-8234-7D80BB3C8A96}" type="presParOf" srcId="{945D3528-B37A-C440-B654-64F24621348F}" destId="{EDE9F6AD-5826-A448-8381-CA94A91693EC}" srcOrd="3" destOrd="0" presId="urn:microsoft.com/office/officeart/2005/8/layout/hierarchy6"/>
    <dgm:cxn modelId="{B24F528A-DC54-BD43-AD7A-8EB8C942A8B1}" type="presParOf" srcId="{EDE9F6AD-5826-A448-8381-CA94A91693EC}" destId="{8F2B5699-3164-1E47-AEE7-2B2D56121F3B}" srcOrd="0" destOrd="0" presId="urn:microsoft.com/office/officeart/2005/8/layout/hierarchy6"/>
    <dgm:cxn modelId="{A026B55B-8DEB-584B-9AF0-0E3A8A251BD1}" type="presParOf" srcId="{945D3528-B37A-C440-B654-64F24621348F}" destId="{2F997261-F8C3-F744-B665-CE361B288A10}" srcOrd="4" destOrd="0" presId="urn:microsoft.com/office/officeart/2005/8/layout/hierarchy6"/>
    <dgm:cxn modelId="{9E425FDE-69FE-6B4D-AAAE-6D27A6A8F386}" type="presParOf" srcId="{2F997261-F8C3-F744-B665-CE361B288A10}" destId="{23566514-38A7-0241-AF89-A507C364B75F}" srcOrd="0" destOrd="0" presId="urn:microsoft.com/office/officeart/2005/8/layout/hierarchy6"/>
    <dgm:cxn modelId="{24CE0600-6FDD-2349-91D1-B7A3F065590C}" type="presParOf" srcId="{2F997261-F8C3-F744-B665-CE361B288A10}" destId="{AFD78458-27BD-D941-99DE-53B97DAA974F}" srcOrd="1" destOrd="0" presId="urn:microsoft.com/office/officeart/2005/8/layout/hierarchy6"/>
    <dgm:cxn modelId="{BEF1CC22-98D6-9246-8F11-9CA137B4E631}" type="presParOf" srcId="{945D3528-B37A-C440-B654-64F24621348F}" destId="{A23B7D8C-6CE5-7341-879C-CD86859724D1}" srcOrd="5" destOrd="0" presId="urn:microsoft.com/office/officeart/2005/8/layout/hierarchy6"/>
    <dgm:cxn modelId="{08D3F617-85FA-ED4D-B9E8-1DD6B6ABE081}" type="presParOf" srcId="{A23B7D8C-6CE5-7341-879C-CD86859724D1}" destId="{3657D5F1-6D29-4B40-82A7-818AE6D71FE5}" srcOrd="0" destOrd="0" presId="urn:microsoft.com/office/officeart/2005/8/layout/hierarchy6"/>
    <dgm:cxn modelId="{9D3CBABA-6E49-E34F-BA1B-F4986825952A}" type="presParOf" srcId="{945D3528-B37A-C440-B654-64F24621348F}" destId="{52662B99-4ACC-8A46-87FB-97B75E6DE97E}" srcOrd="6" destOrd="0" presId="urn:microsoft.com/office/officeart/2005/8/layout/hierarchy6"/>
    <dgm:cxn modelId="{DF4CB7F5-A149-BB49-A533-30CB950BA1EB}" type="presParOf" srcId="{52662B99-4ACC-8A46-87FB-97B75E6DE97E}" destId="{6CD5550F-1DF6-0F41-B623-903B1D6EA66D}" srcOrd="0" destOrd="0" presId="urn:microsoft.com/office/officeart/2005/8/layout/hierarchy6"/>
    <dgm:cxn modelId="{C9D6828A-1D3E-CB40-9F4E-91E07F2260D5}" type="presParOf" srcId="{52662B99-4ACC-8A46-87FB-97B75E6DE97E}" destId="{15D0945E-F15B-6141-832A-80C7416B36FD}" srcOrd="1" destOrd="0" presId="urn:microsoft.com/office/officeart/2005/8/layout/hierarchy6"/>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CAB8D271-ADC9-9247-B85C-FE201AA0BDD4}" type="doc">
      <dgm:prSet loTypeId="urn:microsoft.com/office/officeart/2005/8/layout/hierarchy6" loCatId="" qsTypeId="urn:microsoft.com/office/officeart/2005/8/quickstyle/simple1" qsCatId="simple" csTypeId="urn:microsoft.com/office/officeart/2005/8/colors/accent1_2" csCatId="accent1" phldr="1"/>
      <dgm:spPr/>
      <dgm:t>
        <a:bodyPr/>
        <a:lstStyle/>
        <a:p>
          <a:endParaRPr lang="en-GB"/>
        </a:p>
      </dgm:t>
    </dgm:pt>
    <dgm:pt modelId="{47867E19-D580-3B4A-ACC2-140063901D23}">
      <dgm:prSet phldrT="[Text]"/>
      <dgm:spPr/>
      <dgm:t>
        <a:bodyPr/>
        <a:lstStyle/>
        <a:p>
          <a:r>
            <a:rPr lang="en-GB"/>
            <a:t>Complex Cognition</a:t>
          </a:r>
        </a:p>
        <a:p>
          <a:r>
            <a:rPr lang="en-GB"/>
            <a:t>(Contingent)</a:t>
          </a:r>
        </a:p>
      </dgm:t>
    </dgm:pt>
    <dgm:pt modelId="{70F4DF0C-EE98-E548-BD36-E3E342A7B58C}" type="parTrans" cxnId="{56FA6370-ACBA-BA47-A104-EBD07A906F31}">
      <dgm:prSet/>
      <dgm:spPr/>
      <dgm:t>
        <a:bodyPr/>
        <a:lstStyle/>
        <a:p>
          <a:endParaRPr lang="en-GB"/>
        </a:p>
      </dgm:t>
    </dgm:pt>
    <dgm:pt modelId="{1FA6FC4B-C3DB-0446-B2B3-7EBFA85DF972}" type="sibTrans" cxnId="{56FA6370-ACBA-BA47-A104-EBD07A906F31}">
      <dgm:prSet/>
      <dgm:spPr/>
      <dgm:t>
        <a:bodyPr/>
        <a:lstStyle/>
        <a:p>
          <a:endParaRPr lang="en-GB"/>
        </a:p>
      </dgm:t>
    </dgm:pt>
    <dgm:pt modelId="{13E35E5F-D9D9-6948-8D6C-09851B470D23}">
      <dgm:prSet phldrT="[Text]"/>
      <dgm:spPr/>
      <dgm:t>
        <a:bodyPr/>
        <a:lstStyle/>
        <a:p>
          <a:r>
            <a:rPr lang="en-GB" i="1"/>
            <a:t>Ingenuity</a:t>
          </a:r>
        </a:p>
        <a:p>
          <a:r>
            <a:rPr lang="en-GB"/>
            <a:t>(discerns truth from falsity)</a:t>
          </a:r>
        </a:p>
      </dgm:t>
    </dgm:pt>
    <dgm:pt modelId="{9DF0D086-9236-7449-9A5A-F073738EEEFC}" type="parTrans" cxnId="{DBCC0EE5-6F83-5A48-8ED3-48A47338F866}">
      <dgm:prSet/>
      <dgm:spPr/>
      <dgm:t>
        <a:bodyPr/>
        <a:lstStyle/>
        <a:p>
          <a:endParaRPr lang="en-GB"/>
        </a:p>
      </dgm:t>
    </dgm:pt>
    <dgm:pt modelId="{3FCC6D66-0CA8-1340-85D2-F0B81B61FA1E}" type="sibTrans" cxnId="{DBCC0EE5-6F83-5A48-8ED3-48A47338F866}">
      <dgm:prSet/>
      <dgm:spPr/>
      <dgm:t>
        <a:bodyPr/>
        <a:lstStyle/>
        <a:p>
          <a:endParaRPr lang="en-GB"/>
        </a:p>
      </dgm:t>
    </dgm:pt>
    <dgm:pt modelId="{F12DA1AB-DABE-F946-9AEF-F43C7699685C}">
      <dgm:prSet phldrT="[Text]"/>
      <dgm:spPr/>
      <dgm:t>
        <a:bodyPr/>
        <a:lstStyle/>
        <a:p>
          <a:r>
            <a:rPr lang="en-GB" i="1"/>
            <a:t>Opinion</a:t>
          </a:r>
        </a:p>
        <a:p>
          <a:r>
            <a:rPr lang="en-GB"/>
            <a:t>(discerns truth from falsity)</a:t>
          </a:r>
        </a:p>
      </dgm:t>
    </dgm:pt>
    <dgm:pt modelId="{9B3B02CE-8DF6-7A47-B1F6-7F6CEE282569}" type="parTrans" cxnId="{1D5A23CB-DF90-0B4F-B6FB-3864E48D35B5}">
      <dgm:prSet/>
      <dgm:spPr/>
      <dgm:t>
        <a:bodyPr/>
        <a:lstStyle/>
        <a:p>
          <a:endParaRPr lang="en-GB"/>
        </a:p>
      </dgm:t>
    </dgm:pt>
    <dgm:pt modelId="{C674E2DE-C549-5F4A-90D6-FDA175C9A12A}" type="sibTrans" cxnId="{1D5A23CB-DF90-0B4F-B6FB-3864E48D35B5}">
      <dgm:prSet/>
      <dgm:spPr/>
      <dgm:t>
        <a:bodyPr/>
        <a:lstStyle/>
        <a:p>
          <a:endParaRPr lang="en-GB"/>
        </a:p>
      </dgm:t>
    </dgm:pt>
    <dgm:pt modelId="{B0A9877F-81F1-2742-AADC-50FAEFDA8A22}">
      <dgm:prSet phldrT="[Text]"/>
      <dgm:spPr/>
      <dgm:t>
        <a:bodyPr/>
        <a:lstStyle/>
        <a:p>
          <a:r>
            <a:rPr lang="en-GB" i="1"/>
            <a:t>Intelligence</a:t>
          </a:r>
        </a:p>
        <a:p>
          <a:r>
            <a:rPr lang="en-GB"/>
            <a:t>(knows intelligible forms with complexion))</a:t>
          </a:r>
        </a:p>
      </dgm:t>
    </dgm:pt>
    <dgm:pt modelId="{CD8A1ACC-D5EA-7F45-B745-7456899C94CF}" type="parTrans" cxnId="{F2A28A14-D2FA-F441-9EDF-224F50C1723F}">
      <dgm:prSet/>
      <dgm:spPr/>
      <dgm:t>
        <a:bodyPr/>
        <a:lstStyle/>
        <a:p>
          <a:endParaRPr lang="en-GB"/>
        </a:p>
      </dgm:t>
    </dgm:pt>
    <dgm:pt modelId="{BD9411BC-4951-8A4A-840D-10415D5BAE92}" type="sibTrans" cxnId="{F2A28A14-D2FA-F441-9EDF-224F50C1723F}">
      <dgm:prSet/>
      <dgm:spPr/>
      <dgm:t>
        <a:bodyPr/>
        <a:lstStyle/>
        <a:p>
          <a:endParaRPr lang="en-GB"/>
        </a:p>
      </dgm:t>
    </dgm:pt>
    <dgm:pt modelId="{9C113FBA-323E-7648-8F60-DEBBF2E5395D}">
      <dgm:prSet phldrT="[Text]"/>
      <dgm:spPr/>
      <dgm:t>
        <a:bodyPr/>
        <a:lstStyle/>
        <a:p>
          <a:r>
            <a:rPr lang="en-GB" b="1"/>
            <a:t>Knowledge with complexion</a:t>
          </a:r>
        </a:p>
      </dgm:t>
    </dgm:pt>
    <dgm:pt modelId="{74245BD5-296A-214F-BA7C-20C2125D74B5}" type="parTrans" cxnId="{494F0A58-BD30-0D42-9D82-93937B4876C3}">
      <dgm:prSet/>
      <dgm:spPr/>
      <dgm:t>
        <a:bodyPr/>
        <a:lstStyle/>
        <a:p>
          <a:endParaRPr lang="en-GB"/>
        </a:p>
      </dgm:t>
    </dgm:pt>
    <dgm:pt modelId="{FDBF2BC6-6A75-8943-9782-BE4464D67E11}" type="sibTrans" cxnId="{494F0A58-BD30-0D42-9D82-93937B4876C3}">
      <dgm:prSet/>
      <dgm:spPr/>
      <dgm:t>
        <a:bodyPr/>
        <a:lstStyle/>
        <a:p>
          <a:endParaRPr lang="en-GB"/>
        </a:p>
      </dgm:t>
    </dgm:pt>
    <dgm:pt modelId="{D14A2509-EAA9-B940-8771-60B2F9F1007F}">
      <dgm:prSet phldrT="[Text]"/>
      <dgm:spPr/>
      <dgm:t>
        <a:bodyPr/>
        <a:lstStyle/>
        <a:p>
          <a:r>
            <a:rPr lang="en-GB"/>
            <a:t>Pseudo-Augustine</a:t>
          </a:r>
        </a:p>
      </dgm:t>
    </dgm:pt>
    <dgm:pt modelId="{B887143B-14A1-EC40-8B0C-B51A3643E71A}" type="parTrans" cxnId="{7BBEDEA1-8529-2E40-9018-017BEB58B003}">
      <dgm:prSet/>
      <dgm:spPr/>
      <dgm:t>
        <a:bodyPr/>
        <a:lstStyle/>
        <a:p>
          <a:endParaRPr lang="en-GB"/>
        </a:p>
      </dgm:t>
    </dgm:pt>
    <dgm:pt modelId="{D9BAEE5D-D388-F440-BFD5-F856931B24BD}" type="sibTrans" cxnId="{7BBEDEA1-8529-2E40-9018-017BEB58B003}">
      <dgm:prSet/>
      <dgm:spPr/>
      <dgm:t>
        <a:bodyPr/>
        <a:lstStyle/>
        <a:p>
          <a:endParaRPr lang="en-GB"/>
        </a:p>
      </dgm:t>
    </dgm:pt>
    <dgm:pt modelId="{4F2C343A-E3A5-1D4E-AE26-690A7B30BFF5}">
      <dgm:prSet phldrT="[Text]"/>
      <dgm:spPr/>
      <dgm:t>
        <a:bodyPr/>
        <a:lstStyle/>
        <a:p>
          <a:r>
            <a:rPr lang="en-GB"/>
            <a:t>Damascus</a:t>
          </a:r>
        </a:p>
      </dgm:t>
    </dgm:pt>
    <dgm:pt modelId="{40874727-C63C-6745-B374-06556D9C5658}" type="parTrans" cxnId="{77C9C096-883E-4443-9382-498522FDA8B5}">
      <dgm:prSet/>
      <dgm:spPr/>
      <dgm:t>
        <a:bodyPr/>
        <a:lstStyle/>
        <a:p>
          <a:endParaRPr lang="en-GB"/>
        </a:p>
      </dgm:t>
    </dgm:pt>
    <dgm:pt modelId="{A3C53D6A-F953-7D46-8D6D-D4205497DF44}" type="sibTrans" cxnId="{77C9C096-883E-4443-9382-498522FDA8B5}">
      <dgm:prSet/>
      <dgm:spPr/>
      <dgm:t>
        <a:bodyPr/>
        <a:lstStyle/>
        <a:p>
          <a:endParaRPr lang="en-GB"/>
        </a:p>
      </dgm:t>
    </dgm:pt>
    <dgm:pt modelId="{ABA26B4D-9B53-FD47-A5BD-8427363D9C90}">
      <dgm:prSet/>
      <dgm:spPr/>
      <dgm:t>
        <a:bodyPr/>
        <a:lstStyle/>
        <a:p>
          <a:r>
            <a:rPr lang="en-GB" i="1"/>
            <a:t>Reason</a:t>
          </a:r>
        </a:p>
        <a:p>
          <a:r>
            <a:rPr lang="en-GB"/>
            <a:t>(makes a judgment about what is true)</a:t>
          </a:r>
        </a:p>
      </dgm:t>
    </dgm:pt>
    <dgm:pt modelId="{1DC1F1B9-7500-A743-BC66-926C2AE9EA87}" type="parTrans" cxnId="{DA0F680D-455C-D34E-9299-123CE98C8348}">
      <dgm:prSet/>
      <dgm:spPr/>
      <dgm:t>
        <a:bodyPr/>
        <a:lstStyle/>
        <a:p>
          <a:endParaRPr lang="en-GB"/>
        </a:p>
      </dgm:t>
    </dgm:pt>
    <dgm:pt modelId="{AB48C99E-7086-074B-B537-15F9107A2FC7}" type="sibTrans" cxnId="{DA0F680D-455C-D34E-9299-123CE98C8348}">
      <dgm:prSet/>
      <dgm:spPr/>
      <dgm:t>
        <a:bodyPr/>
        <a:lstStyle/>
        <a:p>
          <a:endParaRPr lang="en-GB"/>
        </a:p>
      </dgm:t>
    </dgm:pt>
    <dgm:pt modelId="{9D19C19A-5D0A-E04F-B73C-020269927934}">
      <dgm:prSet/>
      <dgm:spPr/>
      <dgm:t>
        <a:bodyPr/>
        <a:lstStyle/>
        <a:p>
          <a:r>
            <a:rPr lang="en-GB" i="1"/>
            <a:t>Memory</a:t>
          </a:r>
        </a:p>
        <a:p>
          <a:r>
            <a:rPr lang="en-GB" i="0"/>
            <a:t>(stores forms in the memory)</a:t>
          </a:r>
        </a:p>
      </dgm:t>
    </dgm:pt>
    <dgm:pt modelId="{3984B9D8-735F-FF42-98D4-64652545A344}" type="parTrans" cxnId="{1F309DD6-5684-FA4B-A76C-6A566AEDA25C}">
      <dgm:prSet/>
      <dgm:spPr/>
      <dgm:t>
        <a:bodyPr/>
        <a:lstStyle/>
        <a:p>
          <a:endParaRPr lang="en-GB"/>
        </a:p>
      </dgm:t>
    </dgm:pt>
    <dgm:pt modelId="{319D51AD-60B7-BF41-B5A8-28DFBD2BD8E2}" type="sibTrans" cxnId="{1F309DD6-5684-FA4B-A76C-6A566AEDA25C}">
      <dgm:prSet/>
      <dgm:spPr/>
      <dgm:t>
        <a:bodyPr/>
        <a:lstStyle/>
        <a:p>
          <a:endParaRPr lang="en-GB"/>
        </a:p>
      </dgm:t>
    </dgm:pt>
    <dgm:pt modelId="{90E08BC4-464A-AB4E-8689-1EBCE6D98426}">
      <dgm:prSet/>
      <dgm:spPr/>
      <dgm:t>
        <a:bodyPr/>
        <a:lstStyle/>
        <a:p>
          <a:r>
            <a:rPr lang="en-GB" i="1"/>
            <a:t>Mind</a:t>
          </a:r>
        </a:p>
        <a:p>
          <a:r>
            <a:rPr lang="en-GB"/>
            <a:t>(makes a judgment about what is true)</a:t>
          </a:r>
        </a:p>
      </dgm:t>
    </dgm:pt>
    <dgm:pt modelId="{AAA5BA05-861B-DD42-A9C2-540666F18EF6}" type="parTrans" cxnId="{0513458F-E4DF-CD48-915E-7CA569E91569}">
      <dgm:prSet/>
      <dgm:spPr/>
      <dgm:t>
        <a:bodyPr/>
        <a:lstStyle/>
        <a:p>
          <a:endParaRPr lang="en-GB"/>
        </a:p>
      </dgm:t>
    </dgm:pt>
    <dgm:pt modelId="{0E065E35-ADA4-9343-A8ED-B363CFCAE134}" type="sibTrans" cxnId="{0513458F-E4DF-CD48-915E-7CA569E91569}">
      <dgm:prSet/>
      <dgm:spPr/>
      <dgm:t>
        <a:bodyPr/>
        <a:lstStyle/>
        <a:p>
          <a:endParaRPr lang="en-GB"/>
        </a:p>
      </dgm:t>
    </dgm:pt>
    <dgm:pt modelId="{4377B89A-F512-F444-AAF3-4B5B2AE8F990}">
      <dgm:prSet/>
      <dgm:spPr/>
      <dgm:t>
        <a:bodyPr/>
        <a:lstStyle/>
        <a:p>
          <a:r>
            <a:rPr lang="en-GB"/>
            <a:t>Intellect</a:t>
          </a:r>
        </a:p>
        <a:p>
          <a:r>
            <a:rPr lang="en-GB"/>
            <a:t>(knows intelligible forms with complexion)</a:t>
          </a:r>
        </a:p>
      </dgm:t>
    </dgm:pt>
    <dgm:pt modelId="{B18F36E9-97A7-BC40-B85B-79FBDBB4C9EB}" type="parTrans" cxnId="{0FD5B743-7EAD-214C-9D25-FB53183DCB86}">
      <dgm:prSet/>
      <dgm:spPr/>
      <dgm:t>
        <a:bodyPr/>
        <a:lstStyle/>
        <a:p>
          <a:endParaRPr lang="en-GB"/>
        </a:p>
      </dgm:t>
    </dgm:pt>
    <dgm:pt modelId="{C7C55116-58E5-F04D-9CC8-61AB59A386CD}" type="sibTrans" cxnId="{0FD5B743-7EAD-214C-9D25-FB53183DCB86}">
      <dgm:prSet/>
      <dgm:spPr/>
      <dgm:t>
        <a:bodyPr/>
        <a:lstStyle/>
        <a:p>
          <a:endParaRPr lang="en-GB"/>
        </a:p>
      </dgm:t>
    </dgm:pt>
    <dgm:pt modelId="{773A92BB-F88D-F34C-BD5C-45906000619F}" type="pres">
      <dgm:prSet presAssocID="{CAB8D271-ADC9-9247-B85C-FE201AA0BDD4}" presName="mainComposite" presStyleCnt="0">
        <dgm:presLayoutVars>
          <dgm:chPref val="1"/>
          <dgm:dir/>
          <dgm:animOne val="branch"/>
          <dgm:animLvl val="lvl"/>
          <dgm:resizeHandles val="exact"/>
        </dgm:presLayoutVars>
      </dgm:prSet>
      <dgm:spPr/>
    </dgm:pt>
    <dgm:pt modelId="{8AFB2072-6680-CB47-86E1-530AC968E91B}" type="pres">
      <dgm:prSet presAssocID="{CAB8D271-ADC9-9247-B85C-FE201AA0BDD4}" presName="hierFlow" presStyleCnt="0"/>
      <dgm:spPr/>
    </dgm:pt>
    <dgm:pt modelId="{3C56E97A-50E3-3B42-8549-A97581C7896F}" type="pres">
      <dgm:prSet presAssocID="{CAB8D271-ADC9-9247-B85C-FE201AA0BDD4}" presName="firstBuf" presStyleCnt="0"/>
      <dgm:spPr/>
    </dgm:pt>
    <dgm:pt modelId="{5B5CE38A-DC40-604A-83AF-4BEAF6F75D26}" type="pres">
      <dgm:prSet presAssocID="{CAB8D271-ADC9-9247-B85C-FE201AA0BDD4}" presName="hierChild1" presStyleCnt="0">
        <dgm:presLayoutVars>
          <dgm:chPref val="1"/>
          <dgm:animOne val="branch"/>
          <dgm:animLvl val="lvl"/>
        </dgm:presLayoutVars>
      </dgm:prSet>
      <dgm:spPr/>
    </dgm:pt>
    <dgm:pt modelId="{1DC79DA4-1A12-B041-B3E2-D9140FAEBD5D}" type="pres">
      <dgm:prSet presAssocID="{47867E19-D580-3B4A-ACC2-140063901D23}" presName="Name14" presStyleCnt="0"/>
      <dgm:spPr/>
    </dgm:pt>
    <dgm:pt modelId="{8407521D-5FBA-DB4B-B44B-58158B6883D4}" type="pres">
      <dgm:prSet presAssocID="{47867E19-D580-3B4A-ACC2-140063901D23}" presName="level1Shape" presStyleLbl="node0" presStyleIdx="0" presStyleCnt="1">
        <dgm:presLayoutVars>
          <dgm:chPref val="3"/>
        </dgm:presLayoutVars>
      </dgm:prSet>
      <dgm:spPr/>
    </dgm:pt>
    <dgm:pt modelId="{63206724-30B5-E449-9BB9-5F978BCB6A86}" type="pres">
      <dgm:prSet presAssocID="{47867E19-D580-3B4A-ACC2-140063901D23}" presName="hierChild2" presStyleCnt="0"/>
      <dgm:spPr/>
    </dgm:pt>
    <dgm:pt modelId="{5BE2E6E9-4104-724F-840F-15BE74F742AE}" type="pres">
      <dgm:prSet presAssocID="{9DF0D086-9236-7449-9A5A-F073738EEEFC}" presName="Name19" presStyleLbl="parChTrans1D2" presStyleIdx="0" presStyleCnt="4"/>
      <dgm:spPr/>
    </dgm:pt>
    <dgm:pt modelId="{E90911D3-D12C-0A4E-8316-579F20B6374F}" type="pres">
      <dgm:prSet presAssocID="{13E35E5F-D9D9-6948-8D6C-09851B470D23}" presName="Name21" presStyleCnt="0"/>
      <dgm:spPr/>
    </dgm:pt>
    <dgm:pt modelId="{6D8883D1-B7C9-1143-BC1A-6A8153D4B1BA}" type="pres">
      <dgm:prSet presAssocID="{13E35E5F-D9D9-6948-8D6C-09851B470D23}" presName="level2Shape" presStyleLbl="node2" presStyleIdx="0" presStyleCnt="4"/>
      <dgm:spPr/>
    </dgm:pt>
    <dgm:pt modelId="{CC394E91-885D-E943-A704-D63BFE088E21}" type="pres">
      <dgm:prSet presAssocID="{13E35E5F-D9D9-6948-8D6C-09851B470D23}" presName="hierChild3" presStyleCnt="0"/>
      <dgm:spPr/>
    </dgm:pt>
    <dgm:pt modelId="{232C124F-EBF3-6D49-91DD-87AE754E7FAF}" type="pres">
      <dgm:prSet presAssocID="{9B3B02CE-8DF6-7A47-B1F6-7F6CEE282569}" presName="Name19" presStyleLbl="parChTrans1D3" presStyleIdx="0" presStyleCnt="3"/>
      <dgm:spPr/>
    </dgm:pt>
    <dgm:pt modelId="{FC030464-DA78-FD4A-B0AF-153A6E073E91}" type="pres">
      <dgm:prSet presAssocID="{F12DA1AB-DABE-F946-9AEF-F43C7699685C}" presName="Name21" presStyleCnt="0"/>
      <dgm:spPr/>
    </dgm:pt>
    <dgm:pt modelId="{B6859B88-1C5C-7A44-AB67-DDEB46D792FB}" type="pres">
      <dgm:prSet presAssocID="{F12DA1AB-DABE-F946-9AEF-F43C7699685C}" presName="level2Shape" presStyleLbl="node3" presStyleIdx="0" presStyleCnt="3"/>
      <dgm:spPr/>
    </dgm:pt>
    <dgm:pt modelId="{4B2B890F-1774-9A4B-B7CB-566B8F079826}" type="pres">
      <dgm:prSet presAssocID="{F12DA1AB-DABE-F946-9AEF-F43C7699685C}" presName="hierChild3" presStyleCnt="0"/>
      <dgm:spPr/>
    </dgm:pt>
    <dgm:pt modelId="{BB8E1BBC-44A3-454D-9615-92A55015386C}" type="pres">
      <dgm:prSet presAssocID="{1DC1F1B9-7500-A743-BC66-926C2AE9EA87}" presName="Name19" presStyleLbl="parChTrans1D2" presStyleIdx="1" presStyleCnt="4"/>
      <dgm:spPr/>
    </dgm:pt>
    <dgm:pt modelId="{48E6FBCF-B612-6241-B331-034CE0D22EB7}" type="pres">
      <dgm:prSet presAssocID="{ABA26B4D-9B53-FD47-A5BD-8427363D9C90}" presName="Name21" presStyleCnt="0"/>
      <dgm:spPr/>
    </dgm:pt>
    <dgm:pt modelId="{865385C1-56F8-184F-9953-6696635CC6C9}" type="pres">
      <dgm:prSet presAssocID="{ABA26B4D-9B53-FD47-A5BD-8427363D9C90}" presName="level2Shape" presStyleLbl="node2" presStyleIdx="1" presStyleCnt="4"/>
      <dgm:spPr/>
    </dgm:pt>
    <dgm:pt modelId="{99E08A6A-19FD-E54F-B0F4-AA86162B6E19}" type="pres">
      <dgm:prSet presAssocID="{ABA26B4D-9B53-FD47-A5BD-8427363D9C90}" presName="hierChild3" presStyleCnt="0"/>
      <dgm:spPr/>
    </dgm:pt>
    <dgm:pt modelId="{72031144-E79A-3142-8C66-3FB52D5DB3A0}" type="pres">
      <dgm:prSet presAssocID="{AAA5BA05-861B-DD42-A9C2-540666F18EF6}" presName="Name19" presStyleLbl="parChTrans1D3" presStyleIdx="1" presStyleCnt="3"/>
      <dgm:spPr/>
    </dgm:pt>
    <dgm:pt modelId="{CAE731E3-E41D-1D48-9DD0-9D308BB8DD98}" type="pres">
      <dgm:prSet presAssocID="{90E08BC4-464A-AB4E-8689-1EBCE6D98426}" presName="Name21" presStyleCnt="0"/>
      <dgm:spPr/>
    </dgm:pt>
    <dgm:pt modelId="{4287F4D5-50EE-444D-99A0-6D9F383BF233}" type="pres">
      <dgm:prSet presAssocID="{90E08BC4-464A-AB4E-8689-1EBCE6D98426}" presName="level2Shape" presStyleLbl="node3" presStyleIdx="1" presStyleCnt="3"/>
      <dgm:spPr/>
    </dgm:pt>
    <dgm:pt modelId="{28178153-FD58-C747-8656-3127F988C361}" type="pres">
      <dgm:prSet presAssocID="{90E08BC4-464A-AB4E-8689-1EBCE6D98426}" presName="hierChild3" presStyleCnt="0"/>
      <dgm:spPr/>
    </dgm:pt>
    <dgm:pt modelId="{ABE2EE27-5E82-DA46-AAB6-730351A29CBF}" type="pres">
      <dgm:prSet presAssocID="{CD8A1ACC-D5EA-7F45-B745-7456899C94CF}" presName="Name19" presStyleLbl="parChTrans1D2" presStyleIdx="2" presStyleCnt="4"/>
      <dgm:spPr/>
    </dgm:pt>
    <dgm:pt modelId="{6CDB1958-C164-8141-A8DB-6A30D4DDF181}" type="pres">
      <dgm:prSet presAssocID="{B0A9877F-81F1-2742-AADC-50FAEFDA8A22}" presName="Name21" presStyleCnt="0"/>
      <dgm:spPr/>
    </dgm:pt>
    <dgm:pt modelId="{8DFD01D5-40D0-4943-90ED-4AE3B62B4CB3}" type="pres">
      <dgm:prSet presAssocID="{B0A9877F-81F1-2742-AADC-50FAEFDA8A22}" presName="level2Shape" presStyleLbl="node2" presStyleIdx="2" presStyleCnt="4"/>
      <dgm:spPr/>
    </dgm:pt>
    <dgm:pt modelId="{195EC948-8B4D-3241-9C15-C972EC70DEB3}" type="pres">
      <dgm:prSet presAssocID="{B0A9877F-81F1-2742-AADC-50FAEFDA8A22}" presName="hierChild3" presStyleCnt="0"/>
      <dgm:spPr/>
    </dgm:pt>
    <dgm:pt modelId="{3DCC1FDC-522E-684E-9A0C-1F07F5CA69E1}" type="pres">
      <dgm:prSet presAssocID="{B18F36E9-97A7-BC40-B85B-79FBDBB4C9EB}" presName="Name19" presStyleLbl="parChTrans1D3" presStyleIdx="2" presStyleCnt="3"/>
      <dgm:spPr/>
    </dgm:pt>
    <dgm:pt modelId="{2F6D201C-4132-E34C-AF97-448A6F9DDAD2}" type="pres">
      <dgm:prSet presAssocID="{4377B89A-F512-F444-AAF3-4B5B2AE8F990}" presName="Name21" presStyleCnt="0"/>
      <dgm:spPr/>
    </dgm:pt>
    <dgm:pt modelId="{FCA6403B-4336-C94B-923B-5179C7388D74}" type="pres">
      <dgm:prSet presAssocID="{4377B89A-F512-F444-AAF3-4B5B2AE8F990}" presName="level2Shape" presStyleLbl="node3" presStyleIdx="2" presStyleCnt="3"/>
      <dgm:spPr/>
    </dgm:pt>
    <dgm:pt modelId="{E776E7FA-C8BA-9647-B0E7-982F6813297F}" type="pres">
      <dgm:prSet presAssocID="{4377B89A-F512-F444-AAF3-4B5B2AE8F990}" presName="hierChild3" presStyleCnt="0"/>
      <dgm:spPr/>
    </dgm:pt>
    <dgm:pt modelId="{6E1C0D1F-AEE8-FC4E-92FC-36A865248B8B}" type="pres">
      <dgm:prSet presAssocID="{3984B9D8-735F-FF42-98D4-64652545A344}" presName="Name19" presStyleLbl="parChTrans1D2" presStyleIdx="3" presStyleCnt="4"/>
      <dgm:spPr/>
    </dgm:pt>
    <dgm:pt modelId="{14AE1943-61DC-9F4C-9F53-E7DFEB0BF29A}" type="pres">
      <dgm:prSet presAssocID="{9D19C19A-5D0A-E04F-B73C-020269927934}" presName="Name21" presStyleCnt="0"/>
      <dgm:spPr/>
    </dgm:pt>
    <dgm:pt modelId="{DF7FC51A-4BAE-E447-A8B7-D9BBB719383A}" type="pres">
      <dgm:prSet presAssocID="{9D19C19A-5D0A-E04F-B73C-020269927934}" presName="level2Shape" presStyleLbl="node2" presStyleIdx="3" presStyleCnt="4"/>
      <dgm:spPr/>
    </dgm:pt>
    <dgm:pt modelId="{28C1E9DE-C630-274E-86D9-0B8353047EBE}" type="pres">
      <dgm:prSet presAssocID="{9D19C19A-5D0A-E04F-B73C-020269927934}" presName="hierChild3" presStyleCnt="0"/>
      <dgm:spPr/>
    </dgm:pt>
    <dgm:pt modelId="{945D3528-B37A-C440-B654-64F24621348F}" type="pres">
      <dgm:prSet presAssocID="{CAB8D271-ADC9-9247-B85C-FE201AA0BDD4}" presName="bgShapesFlow" presStyleCnt="0"/>
      <dgm:spPr/>
    </dgm:pt>
    <dgm:pt modelId="{4369A6D6-1154-CA4B-8198-D595CCF451F0}" type="pres">
      <dgm:prSet presAssocID="{9C113FBA-323E-7648-8F60-DEBBF2E5395D}" presName="rectComp" presStyleCnt="0"/>
      <dgm:spPr/>
    </dgm:pt>
    <dgm:pt modelId="{90780136-5A9D-B646-AB9A-97F3890442D7}" type="pres">
      <dgm:prSet presAssocID="{9C113FBA-323E-7648-8F60-DEBBF2E5395D}" presName="bgRect" presStyleLbl="bgShp" presStyleIdx="0" presStyleCnt="3"/>
      <dgm:spPr/>
    </dgm:pt>
    <dgm:pt modelId="{0B973EB3-1278-3D45-A9F5-ACA84A96347D}" type="pres">
      <dgm:prSet presAssocID="{9C113FBA-323E-7648-8F60-DEBBF2E5395D}" presName="bgRectTx" presStyleLbl="bgShp" presStyleIdx="0" presStyleCnt="3">
        <dgm:presLayoutVars>
          <dgm:bulletEnabled val="1"/>
        </dgm:presLayoutVars>
      </dgm:prSet>
      <dgm:spPr/>
    </dgm:pt>
    <dgm:pt modelId="{DBD43E1A-5151-634B-AEA5-BFE28DEFD4AD}" type="pres">
      <dgm:prSet presAssocID="{9C113FBA-323E-7648-8F60-DEBBF2E5395D}" presName="spComp" presStyleCnt="0"/>
      <dgm:spPr/>
    </dgm:pt>
    <dgm:pt modelId="{7C449C17-0BBE-4F4A-A083-FC8500B80F0E}" type="pres">
      <dgm:prSet presAssocID="{9C113FBA-323E-7648-8F60-DEBBF2E5395D}" presName="vSp" presStyleCnt="0"/>
      <dgm:spPr/>
    </dgm:pt>
    <dgm:pt modelId="{60453059-26CE-7546-B3E2-3BE791E8A847}" type="pres">
      <dgm:prSet presAssocID="{D14A2509-EAA9-B940-8771-60B2F9F1007F}" presName="rectComp" presStyleCnt="0"/>
      <dgm:spPr/>
    </dgm:pt>
    <dgm:pt modelId="{E12B6254-23C1-514B-AD50-7005F78F9B1B}" type="pres">
      <dgm:prSet presAssocID="{D14A2509-EAA9-B940-8771-60B2F9F1007F}" presName="bgRect" presStyleLbl="bgShp" presStyleIdx="1" presStyleCnt="3"/>
      <dgm:spPr/>
    </dgm:pt>
    <dgm:pt modelId="{B45DA3B6-DF0E-BA42-AB9E-5848DABEA661}" type="pres">
      <dgm:prSet presAssocID="{D14A2509-EAA9-B940-8771-60B2F9F1007F}" presName="bgRectTx" presStyleLbl="bgShp" presStyleIdx="1" presStyleCnt="3">
        <dgm:presLayoutVars>
          <dgm:bulletEnabled val="1"/>
        </dgm:presLayoutVars>
      </dgm:prSet>
      <dgm:spPr/>
    </dgm:pt>
    <dgm:pt modelId="{EDE9F6AD-5826-A448-8381-CA94A91693EC}" type="pres">
      <dgm:prSet presAssocID="{D14A2509-EAA9-B940-8771-60B2F9F1007F}" presName="spComp" presStyleCnt="0"/>
      <dgm:spPr/>
    </dgm:pt>
    <dgm:pt modelId="{8F2B5699-3164-1E47-AEE7-2B2D56121F3B}" type="pres">
      <dgm:prSet presAssocID="{D14A2509-EAA9-B940-8771-60B2F9F1007F}" presName="vSp" presStyleCnt="0"/>
      <dgm:spPr/>
    </dgm:pt>
    <dgm:pt modelId="{2F997261-F8C3-F744-B665-CE361B288A10}" type="pres">
      <dgm:prSet presAssocID="{4F2C343A-E3A5-1D4E-AE26-690A7B30BFF5}" presName="rectComp" presStyleCnt="0"/>
      <dgm:spPr/>
    </dgm:pt>
    <dgm:pt modelId="{23566514-38A7-0241-AF89-A507C364B75F}" type="pres">
      <dgm:prSet presAssocID="{4F2C343A-E3A5-1D4E-AE26-690A7B30BFF5}" presName="bgRect" presStyleLbl="bgShp" presStyleIdx="2" presStyleCnt="3"/>
      <dgm:spPr/>
    </dgm:pt>
    <dgm:pt modelId="{AFD78458-27BD-D941-99DE-53B97DAA974F}" type="pres">
      <dgm:prSet presAssocID="{4F2C343A-E3A5-1D4E-AE26-690A7B30BFF5}" presName="bgRectTx" presStyleLbl="bgShp" presStyleIdx="2" presStyleCnt="3">
        <dgm:presLayoutVars>
          <dgm:bulletEnabled val="1"/>
        </dgm:presLayoutVars>
      </dgm:prSet>
      <dgm:spPr/>
    </dgm:pt>
  </dgm:ptLst>
  <dgm:cxnLst>
    <dgm:cxn modelId="{A5DBEB01-6093-084A-92DF-8D9713368323}" type="presOf" srcId="{47867E19-D580-3B4A-ACC2-140063901D23}" destId="{8407521D-5FBA-DB4B-B44B-58158B6883D4}" srcOrd="0" destOrd="0" presId="urn:microsoft.com/office/officeart/2005/8/layout/hierarchy6"/>
    <dgm:cxn modelId="{DA0F680D-455C-D34E-9299-123CE98C8348}" srcId="{47867E19-D580-3B4A-ACC2-140063901D23}" destId="{ABA26B4D-9B53-FD47-A5BD-8427363D9C90}" srcOrd="1" destOrd="0" parTransId="{1DC1F1B9-7500-A743-BC66-926C2AE9EA87}" sibTransId="{AB48C99E-7086-074B-B537-15F9107A2FC7}"/>
    <dgm:cxn modelId="{0CCDDF13-92FA-7748-B4CE-9E25AA327FA4}" type="presOf" srcId="{4F2C343A-E3A5-1D4E-AE26-690A7B30BFF5}" destId="{AFD78458-27BD-D941-99DE-53B97DAA974F}" srcOrd="1" destOrd="0" presId="urn:microsoft.com/office/officeart/2005/8/layout/hierarchy6"/>
    <dgm:cxn modelId="{F2A28A14-D2FA-F441-9EDF-224F50C1723F}" srcId="{47867E19-D580-3B4A-ACC2-140063901D23}" destId="{B0A9877F-81F1-2742-AADC-50FAEFDA8A22}" srcOrd="2" destOrd="0" parTransId="{CD8A1ACC-D5EA-7F45-B745-7456899C94CF}" sibTransId="{BD9411BC-4951-8A4A-840D-10415D5BAE92}"/>
    <dgm:cxn modelId="{C529F320-DCE9-BC40-9A6E-F8C347E734BA}" type="presOf" srcId="{9D19C19A-5D0A-E04F-B73C-020269927934}" destId="{DF7FC51A-4BAE-E447-A8B7-D9BBB719383A}" srcOrd="0" destOrd="0" presId="urn:microsoft.com/office/officeart/2005/8/layout/hierarchy6"/>
    <dgm:cxn modelId="{0676882D-CD86-2E48-9451-FC2C3E3B75A5}" type="presOf" srcId="{90E08BC4-464A-AB4E-8689-1EBCE6D98426}" destId="{4287F4D5-50EE-444D-99A0-6D9F383BF233}" srcOrd="0" destOrd="0" presId="urn:microsoft.com/office/officeart/2005/8/layout/hierarchy6"/>
    <dgm:cxn modelId="{5693BC2F-407D-DE49-A517-2A2542B5B76B}" type="presOf" srcId="{13E35E5F-D9D9-6948-8D6C-09851B470D23}" destId="{6D8883D1-B7C9-1143-BC1A-6A8153D4B1BA}" srcOrd="0" destOrd="0" presId="urn:microsoft.com/office/officeart/2005/8/layout/hierarchy6"/>
    <dgm:cxn modelId="{13972935-1B40-2C4B-8C04-D62C4EE995F6}" type="presOf" srcId="{9C113FBA-323E-7648-8F60-DEBBF2E5395D}" destId="{90780136-5A9D-B646-AB9A-97F3890442D7}" srcOrd="0" destOrd="0" presId="urn:microsoft.com/office/officeart/2005/8/layout/hierarchy6"/>
    <dgm:cxn modelId="{B9897E3A-E915-764C-8092-34364F9C305D}" type="presOf" srcId="{D14A2509-EAA9-B940-8771-60B2F9F1007F}" destId="{B45DA3B6-DF0E-BA42-AB9E-5848DABEA661}" srcOrd="1" destOrd="0" presId="urn:microsoft.com/office/officeart/2005/8/layout/hierarchy6"/>
    <dgm:cxn modelId="{0FD5B743-7EAD-214C-9D25-FB53183DCB86}" srcId="{B0A9877F-81F1-2742-AADC-50FAEFDA8A22}" destId="{4377B89A-F512-F444-AAF3-4B5B2AE8F990}" srcOrd="0" destOrd="0" parTransId="{B18F36E9-97A7-BC40-B85B-79FBDBB4C9EB}" sibTransId="{C7C55116-58E5-F04D-9CC8-61AB59A386CD}"/>
    <dgm:cxn modelId="{6202D751-20AD-F547-A41C-9A7CD6EAC780}" type="presOf" srcId="{D14A2509-EAA9-B940-8771-60B2F9F1007F}" destId="{E12B6254-23C1-514B-AD50-7005F78F9B1B}" srcOrd="0" destOrd="0" presId="urn:microsoft.com/office/officeart/2005/8/layout/hierarchy6"/>
    <dgm:cxn modelId="{494F0A58-BD30-0D42-9D82-93937B4876C3}" srcId="{CAB8D271-ADC9-9247-B85C-FE201AA0BDD4}" destId="{9C113FBA-323E-7648-8F60-DEBBF2E5395D}" srcOrd="1" destOrd="0" parTransId="{74245BD5-296A-214F-BA7C-20C2125D74B5}" sibTransId="{FDBF2BC6-6A75-8943-9782-BE4464D67E11}"/>
    <dgm:cxn modelId="{51A0515F-6D85-B14B-85E5-6F88B06C348D}" type="presOf" srcId="{3984B9D8-735F-FF42-98D4-64652545A344}" destId="{6E1C0D1F-AEE8-FC4E-92FC-36A865248B8B}" srcOrd="0" destOrd="0" presId="urn:microsoft.com/office/officeart/2005/8/layout/hierarchy6"/>
    <dgm:cxn modelId="{80EE246B-E918-AB4B-951D-13438E123D63}" type="presOf" srcId="{CAB8D271-ADC9-9247-B85C-FE201AA0BDD4}" destId="{773A92BB-F88D-F34C-BD5C-45906000619F}" srcOrd="0" destOrd="0" presId="urn:microsoft.com/office/officeart/2005/8/layout/hierarchy6"/>
    <dgm:cxn modelId="{2C23AE6B-70EC-074A-97B5-4DC1412F5116}" type="presOf" srcId="{9C113FBA-323E-7648-8F60-DEBBF2E5395D}" destId="{0B973EB3-1278-3D45-A9F5-ACA84A96347D}" srcOrd="1" destOrd="0" presId="urn:microsoft.com/office/officeart/2005/8/layout/hierarchy6"/>
    <dgm:cxn modelId="{56FA6370-ACBA-BA47-A104-EBD07A906F31}" srcId="{CAB8D271-ADC9-9247-B85C-FE201AA0BDD4}" destId="{47867E19-D580-3B4A-ACC2-140063901D23}" srcOrd="0" destOrd="0" parTransId="{70F4DF0C-EE98-E548-BD36-E3E342A7B58C}" sibTransId="{1FA6FC4B-C3DB-0446-B2B3-7EBFA85DF972}"/>
    <dgm:cxn modelId="{49C23D75-5AEF-2241-9969-1C39F3AA0774}" type="presOf" srcId="{9B3B02CE-8DF6-7A47-B1F6-7F6CEE282569}" destId="{232C124F-EBF3-6D49-91DD-87AE754E7FAF}" srcOrd="0" destOrd="0" presId="urn:microsoft.com/office/officeart/2005/8/layout/hierarchy6"/>
    <dgm:cxn modelId="{D84C4285-AC83-154E-8E88-471216787547}" type="presOf" srcId="{AAA5BA05-861B-DD42-A9C2-540666F18EF6}" destId="{72031144-E79A-3142-8C66-3FB52D5DB3A0}" srcOrd="0" destOrd="0" presId="urn:microsoft.com/office/officeart/2005/8/layout/hierarchy6"/>
    <dgm:cxn modelId="{76872D8F-FD8E-FE41-9661-4B31A9A7975B}" type="presOf" srcId="{F12DA1AB-DABE-F946-9AEF-F43C7699685C}" destId="{B6859B88-1C5C-7A44-AB67-DDEB46D792FB}" srcOrd="0" destOrd="0" presId="urn:microsoft.com/office/officeart/2005/8/layout/hierarchy6"/>
    <dgm:cxn modelId="{0513458F-E4DF-CD48-915E-7CA569E91569}" srcId="{ABA26B4D-9B53-FD47-A5BD-8427363D9C90}" destId="{90E08BC4-464A-AB4E-8689-1EBCE6D98426}" srcOrd="0" destOrd="0" parTransId="{AAA5BA05-861B-DD42-A9C2-540666F18EF6}" sibTransId="{0E065E35-ADA4-9343-A8ED-B363CFCAE134}"/>
    <dgm:cxn modelId="{77C9C096-883E-4443-9382-498522FDA8B5}" srcId="{CAB8D271-ADC9-9247-B85C-FE201AA0BDD4}" destId="{4F2C343A-E3A5-1D4E-AE26-690A7B30BFF5}" srcOrd="3" destOrd="0" parTransId="{40874727-C63C-6745-B374-06556D9C5658}" sibTransId="{A3C53D6A-F953-7D46-8D6D-D4205497DF44}"/>
    <dgm:cxn modelId="{1AB03C97-73EF-A04C-92E4-290F5BCDDE65}" type="presOf" srcId="{B0A9877F-81F1-2742-AADC-50FAEFDA8A22}" destId="{8DFD01D5-40D0-4943-90ED-4AE3B62B4CB3}" srcOrd="0" destOrd="0" presId="urn:microsoft.com/office/officeart/2005/8/layout/hierarchy6"/>
    <dgm:cxn modelId="{633CD79C-7D29-7442-8551-DC9F774C6731}" type="presOf" srcId="{B18F36E9-97A7-BC40-B85B-79FBDBB4C9EB}" destId="{3DCC1FDC-522E-684E-9A0C-1F07F5CA69E1}" srcOrd="0" destOrd="0" presId="urn:microsoft.com/office/officeart/2005/8/layout/hierarchy6"/>
    <dgm:cxn modelId="{7BBEDEA1-8529-2E40-9018-017BEB58B003}" srcId="{CAB8D271-ADC9-9247-B85C-FE201AA0BDD4}" destId="{D14A2509-EAA9-B940-8771-60B2F9F1007F}" srcOrd="2" destOrd="0" parTransId="{B887143B-14A1-EC40-8B0C-B51A3643E71A}" sibTransId="{D9BAEE5D-D388-F440-BFD5-F856931B24BD}"/>
    <dgm:cxn modelId="{CD9C77BE-F500-9741-9520-21E39036154D}" type="presOf" srcId="{9DF0D086-9236-7449-9A5A-F073738EEEFC}" destId="{5BE2E6E9-4104-724F-840F-15BE74F742AE}" srcOrd="0" destOrd="0" presId="urn:microsoft.com/office/officeart/2005/8/layout/hierarchy6"/>
    <dgm:cxn modelId="{1D5A23CB-DF90-0B4F-B6FB-3864E48D35B5}" srcId="{13E35E5F-D9D9-6948-8D6C-09851B470D23}" destId="{F12DA1AB-DABE-F946-9AEF-F43C7699685C}" srcOrd="0" destOrd="0" parTransId="{9B3B02CE-8DF6-7A47-B1F6-7F6CEE282569}" sibTransId="{C674E2DE-C549-5F4A-90D6-FDA175C9A12A}"/>
    <dgm:cxn modelId="{1F309DD6-5684-FA4B-A76C-6A566AEDA25C}" srcId="{47867E19-D580-3B4A-ACC2-140063901D23}" destId="{9D19C19A-5D0A-E04F-B73C-020269927934}" srcOrd="3" destOrd="0" parTransId="{3984B9D8-735F-FF42-98D4-64652545A344}" sibTransId="{319D51AD-60B7-BF41-B5A8-28DFBD2BD8E2}"/>
    <dgm:cxn modelId="{4DBB8DD9-0F30-E341-93FD-C2B8B6CC8311}" type="presOf" srcId="{1DC1F1B9-7500-A743-BC66-926C2AE9EA87}" destId="{BB8E1BBC-44A3-454D-9615-92A55015386C}" srcOrd="0" destOrd="0" presId="urn:microsoft.com/office/officeart/2005/8/layout/hierarchy6"/>
    <dgm:cxn modelId="{B81AFEE4-BFEA-2C49-AD91-FA7C0634FA51}" type="presOf" srcId="{CD8A1ACC-D5EA-7F45-B745-7456899C94CF}" destId="{ABE2EE27-5E82-DA46-AAB6-730351A29CBF}" srcOrd="0" destOrd="0" presId="urn:microsoft.com/office/officeart/2005/8/layout/hierarchy6"/>
    <dgm:cxn modelId="{DBCC0EE5-6F83-5A48-8ED3-48A47338F866}" srcId="{47867E19-D580-3B4A-ACC2-140063901D23}" destId="{13E35E5F-D9D9-6948-8D6C-09851B470D23}" srcOrd="0" destOrd="0" parTransId="{9DF0D086-9236-7449-9A5A-F073738EEEFC}" sibTransId="{3FCC6D66-0CA8-1340-85D2-F0B81B61FA1E}"/>
    <dgm:cxn modelId="{96DFD4F0-EE7D-574F-8DB8-9A3F188E3D52}" type="presOf" srcId="{ABA26B4D-9B53-FD47-A5BD-8427363D9C90}" destId="{865385C1-56F8-184F-9953-6696635CC6C9}" srcOrd="0" destOrd="0" presId="urn:microsoft.com/office/officeart/2005/8/layout/hierarchy6"/>
    <dgm:cxn modelId="{83FAD6F8-2962-D84A-A69E-A7CCD4CDBD04}" type="presOf" srcId="{4377B89A-F512-F444-AAF3-4B5B2AE8F990}" destId="{FCA6403B-4336-C94B-923B-5179C7388D74}" srcOrd="0" destOrd="0" presId="urn:microsoft.com/office/officeart/2005/8/layout/hierarchy6"/>
    <dgm:cxn modelId="{A0D654FC-F664-4049-9EB3-ACB00861FD62}" type="presOf" srcId="{4F2C343A-E3A5-1D4E-AE26-690A7B30BFF5}" destId="{23566514-38A7-0241-AF89-A507C364B75F}" srcOrd="0" destOrd="0" presId="urn:microsoft.com/office/officeart/2005/8/layout/hierarchy6"/>
    <dgm:cxn modelId="{D7D34047-46D2-3D46-A4DC-87D316BE99B9}" type="presParOf" srcId="{773A92BB-F88D-F34C-BD5C-45906000619F}" destId="{8AFB2072-6680-CB47-86E1-530AC968E91B}" srcOrd="0" destOrd="0" presId="urn:microsoft.com/office/officeart/2005/8/layout/hierarchy6"/>
    <dgm:cxn modelId="{FEA2D16F-5D09-304D-AA25-8A8AD400D2DF}" type="presParOf" srcId="{8AFB2072-6680-CB47-86E1-530AC968E91B}" destId="{3C56E97A-50E3-3B42-8549-A97581C7896F}" srcOrd="0" destOrd="0" presId="urn:microsoft.com/office/officeart/2005/8/layout/hierarchy6"/>
    <dgm:cxn modelId="{D5DDACE8-18C2-484D-8456-64FD7DC499C4}" type="presParOf" srcId="{8AFB2072-6680-CB47-86E1-530AC968E91B}" destId="{5B5CE38A-DC40-604A-83AF-4BEAF6F75D26}" srcOrd="1" destOrd="0" presId="urn:microsoft.com/office/officeart/2005/8/layout/hierarchy6"/>
    <dgm:cxn modelId="{F952CA77-BF83-9345-A12A-13AC6D246008}" type="presParOf" srcId="{5B5CE38A-DC40-604A-83AF-4BEAF6F75D26}" destId="{1DC79DA4-1A12-B041-B3E2-D9140FAEBD5D}" srcOrd="0" destOrd="0" presId="urn:microsoft.com/office/officeart/2005/8/layout/hierarchy6"/>
    <dgm:cxn modelId="{F1357EDE-5463-BF46-941E-02CB85787F15}" type="presParOf" srcId="{1DC79DA4-1A12-B041-B3E2-D9140FAEBD5D}" destId="{8407521D-5FBA-DB4B-B44B-58158B6883D4}" srcOrd="0" destOrd="0" presId="urn:microsoft.com/office/officeart/2005/8/layout/hierarchy6"/>
    <dgm:cxn modelId="{6A5C0437-396D-9341-B759-262F9D3AA565}" type="presParOf" srcId="{1DC79DA4-1A12-B041-B3E2-D9140FAEBD5D}" destId="{63206724-30B5-E449-9BB9-5F978BCB6A86}" srcOrd="1" destOrd="0" presId="urn:microsoft.com/office/officeart/2005/8/layout/hierarchy6"/>
    <dgm:cxn modelId="{C3F382F7-1ED4-4A49-B7E8-16A4D5A1BD5D}" type="presParOf" srcId="{63206724-30B5-E449-9BB9-5F978BCB6A86}" destId="{5BE2E6E9-4104-724F-840F-15BE74F742AE}" srcOrd="0" destOrd="0" presId="urn:microsoft.com/office/officeart/2005/8/layout/hierarchy6"/>
    <dgm:cxn modelId="{1041AF91-B116-0A4C-BF60-FFB412CA45ED}" type="presParOf" srcId="{63206724-30B5-E449-9BB9-5F978BCB6A86}" destId="{E90911D3-D12C-0A4E-8316-579F20B6374F}" srcOrd="1" destOrd="0" presId="urn:microsoft.com/office/officeart/2005/8/layout/hierarchy6"/>
    <dgm:cxn modelId="{06D825D8-CD3C-F24F-A498-6997E2536ECA}" type="presParOf" srcId="{E90911D3-D12C-0A4E-8316-579F20B6374F}" destId="{6D8883D1-B7C9-1143-BC1A-6A8153D4B1BA}" srcOrd="0" destOrd="0" presId="urn:microsoft.com/office/officeart/2005/8/layout/hierarchy6"/>
    <dgm:cxn modelId="{AB894410-2122-874D-8F2A-E666A6940B28}" type="presParOf" srcId="{E90911D3-D12C-0A4E-8316-579F20B6374F}" destId="{CC394E91-885D-E943-A704-D63BFE088E21}" srcOrd="1" destOrd="0" presId="urn:microsoft.com/office/officeart/2005/8/layout/hierarchy6"/>
    <dgm:cxn modelId="{8B729EF1-3597-B34A-BF2E-60DFE832034E}" type="presParOf" srcId="{CC394E91-885D-E943-A704-D63BFE088E21}" destId="{232C124F-EBF3-6D49-91DD-87AE754E7FAF}" srcOrd="0" destOrd="0" presId="urn:microsoft.com/office/officeart/2005/8/layout/hierarchy6"/>
    <dgm:cxn modelId="{E2211752-EFF7-2A49-A370-AC8B2EF7624C}" type="presParOf" srcId="{CC394E91-885D-E943-A704-D63BFE088E21}" destId="{FC030464-DA78-FD4A-B0AF-153A6E073E91}" srcOrd="1" destOrd="0" presId="urn:microsoft.com/office/officeart/2005/8/layout/hierarchy6"/>
    <dgm:cxn modelId="{AAAFF4DE-B4F1-5F4E-B91A-607C45B98DCF}" type="presParOf" srcId="{FC030464-DA78-FD4A-B0AF-153A6E073E91}" destId="{B6859B88-1C5C-7A44-AB67-DDEB46D792FB}" srcOrd="0" destOrd="0" presId="urn:microsoft.com/office/officeart/2005/8/layout/hierarchy6"/>
    <dgm:cxn modelId="{E54D7D2B-754E-4F48-9AB9-AF6F2672E734}" type="presParOf" srcId="{FC030464-DA78-FD4A-B0AF-153A6E073E91}" destId="{4B2B890F-1774-9A4B-B7CB-566B8F079826}" srcOrd="1" destOrd="0" presId="urn:microsoft.com/office/officeart/2005/8/layout/hierarchy6"/>
    <dgm:cxn modelId="{BAE5C37E-3A6A-AB4E-9C1B-C557974E908C}" type="presParOf" srcId="{63206724-30B5-E449-9BB9-5F978BCB6A86}" destId="{BB8E1BBC-44A3-454D-9615-92A55015386C}" srcOrd="2" destOrd="0" presId="urn:microsoft.com/office/officeart/2005/8/layout/hierarchy6"/>
    <dgm:cxn modelId="{ED2549D0-D691-8043-99D9-90B5FA1BDA4C}" type="presParOf" srcId="{63206724-30B5-E449-9BB9-5F978BCB6A86}" destId="{48E6FBCF-B612-6241-B331-034CE0D22EB7}" srcOrd="3" destOrd="0" presId="urn:microsoft.com/office/officeart/2005/8/layout/hierarchy6"/>
    <dgm:cxn modelId="{4A4E98A1-14DF-6342-9CBD-910DF8536A2C}" type="presParOf" srcId="{48E6FBCF-B612-6241-B331-034CE0D22EB7}" destId="{865385C1-56F8-184F-9953-6696635CC6C9}" srcOrd="0" destOrd="0" presId="urn:microsoft.com/office/officeart/2005/8/layout/hierarchy6"/>
    <dgm:cxn modelId="{1FC1FFA2-4E74-A140-ACA0-18EFB4594540}" type="presParOf" srcId="{48E6FBCF-B612-6241-B331-034CE0D22EB7}" destId="{99E08A6A-19FD-E54F-B0F4-AA86162B6E19}" srcOrd="1" destOrd="0" presId="urn:microsoft.com/office/officeart/2005/8/layout/hierarchy6"/>
    <dgm:cxn modelId="{6B195CA7-DB6E-CD47-8632-1C756262A34B}" type="presParOf" srcId="{99E08A6A-19FD-E54F-B0F4-AA86162B6E19}" destId="{72031144-E79A-3142-8C66-3FB52D5DB3A0}" srcOrd="0" destOrd="0" presId="urn:microsoft.com/office/officeart/2005/8/layout/hierarchy6"/>
    <dgm:cxn modelId="{B9FD3354-8ED9-774D-A1F3-9ABB5C0332C5}" type="presParOf" srcId="{99E08A6A-19FD-E54F-B0F4-AA86162B6E19}" destId="{CAE731E3-E41D-1D48-9DD0-9D308BB8DD98}" srcOrd="1" destOrd="0" presId="urn:microsoft.com/office/officeart/2005/8/layout/hierarchy6"/>
    <dgm:cxn modelId="{66E87907-7C3F-A941-94EB-28CC7EC436D7}" type="presParOf" srcId="{CAE731E3-E41D-1D48-9DD0-9D308BB8DD98}" destId="{4287F4D5-50EE-444D-99A0-6D9F383BF233}" srcOrd="0" destOrd="0" presId="urn:microsoft.com/office/officeart/2005/8/layout/hierarchy6"/>
    <dgm:cxn modelId="{A508E4D7-B58F-AC48-B8E4-80DF069AA214}" type="presParOf" srcId="{CAE731E3-E41D-1D48-9DD0-9D308BB8DD98}" destId="{28178153-FD58-C747-8656-3127F988C361}" srcOrd="1" destOrd="0" presId="urn:microsoft.com/office/officeart/2005/8/layout/hierarchy6"/>
    <dgm:cxn modelId="{41A6E294-7C82-F041-B4C2-4F579D534510}" type="presParOf" srcId="{63206724-30B5-E449-9BB9-5F978BCB6A86}" destId="{ABE2EE27-5E82-DA46-AAB6-730351A29CBF}" srcOrd="4" destOrd="0" presId="urn:microsoft.com/office/officeart/2005/8/layout/hierarchy6"/>
    <dgm:cxn modelId="{A3838CBF-931C-DA4D-96A5-6E9DDD7F7C71}" type="presParOf" srcId="{63206724-30B5-E449-9BB9-5F978BCB6A86}" destId="{6CDB1958-C164-8141-A8DB-6A30D4DDF181}" srcOrd="5" destOrd="0" presId="urn:microsoft.com/office/officeart/2005/8/layout/hierarchy6"/>
    <dgm:cxn modelId="{4620C952-3C20-2249-9AE0-D6AEBF9C77FD}" type="presParOf" srcId="{6CDB1958-C164-8141-A8DB-6A30D4DDF181}" destId="{8DFD01D5-40D0-4943-90ED-4AE3B62B4CB3}" srcOrd="0" destOrd="0" presId="urn:microsoft.com/office/officeart/2005/8/layout/hierarchy6"/>
    <dgm:cxn modelId="{7969414C-6357-334E-B661-4FC85DA78576}" type="presParOf" srcId="{6CDB1958-C164-8141-A8DB-6A30D4DDF181}" destId="{195EC948-8B4D-3241-9C15-C972EC70DEB3}" srcOrd="1" destOrd="0" presId="urn:microsoft.com/office/officeart/2005/8/layout/hierarchy6"/>
    <dgm:cxn modelId="{EC5CDC8B-0215-B248-919D-87E52777D68F}" type="presParOf" srcId="{195EC948-8B4D-3241-9C15-C972EC70DEB3}" destId="{3DCC1FDC-522E-684E-9A0C-1F07F5CA69E1}" srcOrd="0" destOrd="0" presId="urn:microsoft.com/office/officeart/2005/8/layout/hierarchy6"/>
    <dgm:cxn modelId="{3716620C-C867-C24E-9548-C96EED410089}" type="presParOf" srcId="{195EC948-8B4D-3241-9C15-C972EC70DEB3}" destId="{2F6D201C-4132-E34C-AF97-448A6F9DDAD2}" srcOrd="1" destOrd="0" presId="urn:microsoft.com/office/officeart/2005/8/layout/hierarchy6"/>
    <dgm:cxn modelId="{BBF52B65-CDAC-D549-B49F-77CBA3B5501E}" type="presParOf" srcId="{2F6D201C-4132-E34C-AF97-448A6F9DDAD2}" destId="{FCA6403B-4336-C94B-923B-5179C7388D74}" srcOrd="0" destOrd="0" presId="urn:microsoft.com/office/officeart/2005/8/layout/hierarchy6"/>
    <dgm:cxn modelId="{2B89355A-579F-B347-ADBA-D360520E0AF5}" type="presParOf" srcId="{2F6D201C-4132-E34C-AF97-448A6F9DDAD2}" destId="{E776E7FA-C8BA-9647-B0E7-982F6813297F}" srcOrd="1" destOrd="0" presId="urn:microsoft.com/office/officeart/2005/8/layout/hierarchy6"/>
    <dgm:cxn modelId="{0DFD37CA-CACF-3145-AC96-4511838B8E8B}" type="presParOf" srcId="{63206724-30B5-E449-9BB9-5F978BCB6A86}" destId="{6E1C0D1F-AEE8-FC4E-92FC-36A865248B8B}" srcOrd="6" destOrd="0" presId="urn:microsoft.com/office/officeart/2005/8/layout/hierarchy6"/>
    <dgm:cxn modelId="{7BCD8094-8163-634F-A15E-B3E209AA5608}" type="presParOf" srcId="{63206724-30B5-E449-9BB9-5F978BCB6A86}" destId="{14AE1943-61DC-9F4C-9F53-E7DFEB0BF29A}" srcOrd="7" destOrd="0" presId="urn:microsoft.com/office/officeart/2005/8/layout/hierarchy6"/>
    <dgm:cxn modelId="{57751FDD-BA77-8D44-ADFF-CF6E23E7E057}" type="presParOf" srcId="{14AE1943-61DC-9F4C-9F53-E7DFEB0BF29A}" destId="{DF7FC51A-4BAE-E447-A8B7-D9BBB719383A}" srcOrd="0" destOrd="0" presId="urn:microsoft.com/office/officeart/2005/8/layout/hierarchy6"/>
    <dgm:cxn modelId="{BD40BD00-B734-9946-85DE-D8BE64E8610C}" type="presParOf" srcId="{14AE1943-61DC-9F4C-9F53-E7DFEB0BF29A}" destId="{28C1E9DE-C630-274E-86D9-0B8353047EBE}" srcOrd="1" destOrd="0" presId="urn:microsoft.com/office/officeart/2005/8/layout/hierarchy6"/>
    <dgm:cxn modelId="{15FAFA1E-3F21-6744-AC10-C79B8C1D2135}" type="presParOf" srcId="{773A92BB-F88D-F34C-BD5C-45906000619F}" destId="{945D3528-B37A-C440-B654-64F24621348F}" srcOrd="1" destOrd="0" presId="urn:microsoft.com/office/officeart/2005/8/layout/hierarchy6"/>
    <dgm:cxn modelId="{FF90C273-8B2A-B343-87AB-51B748BC5FF2}" type="presParOf" srcId="{945D3528-B37A-C440-B654-64F24621348F}" destId="{4369A6D6-1154-CA4B-8198-D595CCF451F0}" srcOrd="0" destOrd="0" presId="urn:microsoft.com/office/officeart/2005/8/layout/hierarchy6"/>
    <dgm:cxn modelId="{2488DAD1-CDA0-574C-88AB-EF9044C23810}" type="presParOf" srcId="{4369A6D6-1154-CA4B-8198-D595CCF451F0}" destId="{90780136-5A9D-B646-AB9A-97F3890442D7}" srcOrd="0" destOrd="0" presId="urn:microsoft.com/office/officeart/2005/8/layout/hierarchy6"/>
    <dgm:cxn modelId="{0B23624B-DEE0-5446-A769-99036AF03000}" type="presParOf" srcId="{4369A6D6-1154-CA4B-8198-D595CCF451F0}" destId="{0B973EB3-1278-3D45-A9F5-ACA84A96347D}" srcOrd="1" destOrd="0" presId="urn:microsoft.com/office/officeart/2005/8/layout/hierarchy6"/>
    <dgm:cxn modelId="{B0BC7653-CE0B-4D4D-B57C-28BFC0865A12}" type="presParOf" srcId="{945D3528-B37A-C440-B654-64F24621348F}" destId="{DBD43E1A-5151-634B-AEA5-BFE28DEFD4AD}" srcOrd="1" destOrd="0" presId="urn:microsoft.com/office/officeart/2005/8/layout/hierarchy6"/>
    <dgm:cxn modelId="{9E865F09-D201-0A4C-AE8F-9BC6C224DE11}" type="presParOf" srcId="{DBD43E1A-5151-634B-AEA5-BFE28DEFD4AD}" destId="{7C449C17-0BBE-4F4A-A083-FC8500B80F0E}" srcOrd="0" destOrd="0" presId="urn:microsoft.com/office/officeart/2005/8/layout/hierarchy6"/>
    <dgm:cxn modelId="{EA072997-B6E5-174C-ABEF-8274A73B323F}" type="presParOf" srcId="{945D3528-B37A-C440-B654-64F24621348F}" destId="{60453059-26CE-7546-B3E2-3BE791E8A847}" srcOrd="2" destOrd="0" presId="urn:microsoft.com/office/officeart/2005/8/layout/hierarchy6"/>
    <dgm:cxn modelId="{E88B17E8-0D24-554F-A74F-4FC0F9D86695}" type="presParOf" srcId="{60453059-26CE-7546-B3E2-3BE791E8A847}" destId="{E12B6254-23C1-514B-AD50-7005F78F9B1B}" srcOrd="0" destOrd="0" presId="urn:microsoft.com/office/officeart/2005/8/layout/hierarchy6"/>
    <dgm:cxn modelId="{38692ED7-A247-624A-AEDA-2FFFCF7FE1DB}" type="presParOf" srcId="{60453059-26CE-7546-B3E2-3BE791E8A847}" destId="{B45DA3B6-DF0E-BA42-AB9E-5848DABEA661}" srcOrd="1" destOrd="0" presId="urn:microsoft.com/office/officeart/2005/8/layout/hierarchy6"/>
    <dgm:cxn modelId="{DB090324-DD9E-E440-8234-7D80BB3C8A96}" type="presParOf" srcId="{945D3528-B37A-C440-B654-64F24621348F}" destId="{EDE9F6AD-5826-A448-8381-CA94A91693EC}" srcOrd="3" destOrd="0" presId="urn:microsoft.com/office/officeart/2005/8/layout/hierarchy6"/>
    <dgm:cxn modelId="{B24F528A-DC54-BD43-AD7A-8EB8C942A8B1}" type="presParOf" srcId="{EDE9F6AD-5826-A448-8381-CA94A91693EC}" destId="{8F2B5699-3164-1E47-AEE7-2B2D56121F3B}" srcOrd="0" destOrd="0" presId="urn:microsoft.com/office/officeart/2005/8/layout/hierarchy6"/>
    <dgm:cxn modelId="{A026B55B-8DEB-584B-9AF0-0E3A8A251BD1}" type="presParOf" srcId="{945D3528-B37A-C440-B654-64F24621348F}" destId="{2F997261-F8C3-F744-B665-CE361B288A10}" srcOrd="4" destOrd="0" presId="urn:microsoft.com/office/officeart/2005/8/layout/hierarchy6"/>
    <dgm:cxn modelId="{9E425FDE-69FE-6B4D-AAAE-6D27A6A8F386}" type="presParOf" srcId="{2F997261-F8C3-F744-B665-CE361B288A10}" destId="{23566514-38A7-0241-AF89-A507C364B75F}" srcOrd="0" destOrd="0" presId="urn:microsoft.com/office/officeart/2005/8/layout/hierarchy6"/>
    <dgm:cxn modelId="{24CE0600-6FDD-2349-91D1-B7A3F065590C}" type="presParOf" srcId="{2F997261-F8C3-F744-B665-CE361B288A10}" destId="{AFD78458-27BD-D941-99DE-53B97DAA974F}" srcOrd="1" destOrd="0" presId="urn:microsoft.com/office/officeart/2005/8/layout/hierarchy6"/>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8AE7D63-9988-3744-9DAD-4043F7919198}" type="doc">
      <dgm:prSet loTypeId="urn:microsoft.com/office/officeart/2005/8/layout/hierarchy6" loCatId="" qsTypeId="urn:microsoft.com/office/officeart/2005/8/quickstyle/simple1" qsCatId="simple" csTypeId="urn:microsoft.com/office/officeart/2005/8/colors/accent1_2" csCatId="accent1" phldr="1"/>
      <dgm:spPr/>
      <dgm:t>
        <a:bodyPr/>
        <a:lstStyle/>
        <a:p>
          <a:endParaRPr lang="en-US"/>
        </a:p>
      </dgm:t>
    </dgm:pt>
    <dgm:pt modelId="{86ACF0E1-9175-8E47-AA69-8F7E7FC1E394}">
      <dgm:prSet phldrT="[Text]"/>
      <dgm:spPr/>
      <dgm:t>
        <a:bodyPr/>
        <a:lstStyle/>
        <a:p>
          <a:r>
            <a:rPr lang="en-US"/>
            <a:t>Identity of Soul/Powers</a:t>
          </a:r>
        </a:p>
      </dgm:t>
    </dgm:pt>
    <dgm:pt modelId="{0C20B8AC-A762-0E48-B33F-9111E52A884A}" type="parTrans" cxnId="{F43FF4CB-95FE-DC4C-BC76-5459FF6D46F9}">
      <dgm:prSet/>
      <dgm:spPr/>
      <dgm:t>
        <a:bodyPr/>
        <a:lstStyle/>
        <a:p>
          <a:endParaRPr lang="en-US"/>
        </a:p>
      </dgm:t>
    </dgm:pt>
    <dgm:pt modelId="{5DA5438E-2BFB-2349-AD9A-839D65B83736}" type="sibTrans" cxnId="{F43FF4CB-95FE-DC4C-BC76-5459FF6D46F9}">
      <dgm:prSet/>
      <dgm:spPr/>
      <dgm:t>
        <a:bodyPr/>
        <a:lstStyle/>
        <a:p>
          <a:endParaRPr lang="en-US"/>
        </a:p>
      </dgm:t>
    </dgm:pt>
    <dgm:pt modelId="{5DD3E022-DF8D-984D-AFD0-E84A72157394}">
      <dgm:prSet phldrT="[Text]"/>
      <dgm:spPr/>
      <dgm:t>
        <a:bodyPr/>
        <a:lstStyle/>
        <a:p>
          <a:r>
            <a:rPr lang="en-US"/>
            <a:t>Reject</a:t>
          </a:r>
        </a:p>
      </dgm:t>
    </dgm:pt>
    <dgm:pt modelId="{3E237381-C653-5240-B241-CC09585EA754}" type="parTrans" cxnId="{9005B6E5-91B9-6A44-A5AC-CC73207BF440}">
      <dgm:prSet/>
      <dgm:spPr/>
      <dgm:t>
        <a:bodyPr/>
        <a:lstStyle/>
        <a:p>
          <a:endParaRPr lang="en-US"/>
        </a:p>
      </dgm:t>
    </dgm:pt>
    <dgm:pt modelId="{3D0435F8-7881-8F45-AC48-865987D29874}" type="sibTrans" cxnId="{9005B6E5-91B9-6A44-A5AC-CC73207BF440}">
      <dgm:prSet/>
      <dgm:spPr/>
      <dgm:t>
        <a:bodyPr/>
        <a:lstStyle/>
        <a:p>
          <a:endParaRPr lang="en-US"/>
        </a:p>
      </dgm:t>
    </dgm:pt>
    <dgm:pt modelId="{849AF814-3CD9-314F-91DF-17121F6DD7B1}">
      <dgm:prSet phldrT="[Text]"/>
      <dgm:spPr/>
      <dgm:t>
        <a:bodyPr/>
        <a:lstStyle/>
        <a:p>
          <a:r>
            <a:rPr lang="en-US"/>
            <a:t>Willliam of Auxerre (Secular)</a:t>
          </a:r>
        </a:p>
      </dgm:t>
    </dgm:pt>
    <dgm:pt modelId="{5E86F4D7-CE4B-664A-8F4A-8802ADEFDE4D}" type="parTrans" cxnId="{45668CA0-470C-1C49-A9C7-7D703BBA8CB8}">
      <dgm:prSet/>
      <dgm:spPr/>
      <dgm:t>
        <a:bodyPr/>
        <a:lstStyle/>
        <a:p>
          <a:endParaRPr lang="en-US"/>
        </a:p>
      </dgm:t>
    </dgm:pt>
    <dgm:pt modelId="{AA07B830-F4A4-5E4C-91D4-7CC23655A2FE}" type="sibTrans" cxnId="{45668CA0-470C-1C49-A9C7-7D703BBA8CB8}">
      <dgm:prSet/>
      <dgm:spPr/>
      <dgm:t>
        <a:bodyPr/>
        <a:lstStyle/>
        <a:p>
          <a:endParaRPr lang="en-US"/>
        </a:p>
      </dgm:t>
    </dgm:pt>
    <dgm:pt modelId="{499B4E85-C328-C94C-8DA9-69EFE65D8143}">
      <dgm:prSet phldrT="[Text]"/>
      <dgm:spPr/>
      <dgm:t>
        <a:bodyPr/>
        <a:lstStyle/>
        <a:p>
          <a:r>
            <a:rPr lang="en-US"/>
            <a:t>Alexander of Hales (with qualifications)</a:t>
          </a:r>
        </a:p>
        <a:p>
          <a:r>
            <a:rPr lang="en-US"/>
            <a:t>John of La Rochelle </a:t>
          </a:r>
          <a:r>
            <a:rPr lang="en-US" i="1"/>
            <a:t>Summa Halensis </a:t>
          </a:r>
          <a:endParaRPr lang="en-US"/>
        </a:p>
      </dgm:t>
    </dgm:pt>
    <dgm:pt modelId="{B4FD4AA8-A45C-094A-AE39-4CBDC1CDCEC2}" type="parTrans" cxnId="{51F82E3E-1C9B-B940-A4EE-30320B6DDC77}">
      <dgm:prSet/>
      <dgm:spPr/>
      <dgm:t>
        <a:bodyPr/>
        <a:lstStyle/>
        <a:p>
          <a:endParaRPr lang="en-US"/>
        </a:p>
      </dgm:t>
    </dgm:pt>
    <dgm:pt modelId="{79B2917D-19D8-F546-8CD6-C80B37091A7B}" type="sibTrans" cxnId="{51F82E3E-1C9B-B940-A4EE-30320B6DDC77}">
      <dgm:prSet/>
      <dgm:spPr/>
      <dgm:t>
        <a:bodyPr/>
        <a:lstStyle/>
        <a:p>
          <a:endParaRPr lang="en-US"/>
        </a:p>
      </dgm:t>
    </dgm:pt>
    <dgm:pt modelId="{0E615CCC-9694-044E-8BCD-80F22576887E}">
      <dgm:prSet phldrT="[Text]"/>
      <dgm:spPr/>
      <dgm:t>
        <a:bodyPr/>
        <a:lstStyle/>
        <a:p>
          <a:r>
            <a:rPr lang="en-US"/>
            <a:t>Accept</a:t>
          </a:r>
        </a:p>
      </dgm:t>
    </dgm:pt>
    <dgm:pt modelId="{1918071B-25C1-2B48-8B51-1B8E128F0577}" type="parTrans" cxnId="{CAA9BA00-2E22-3647-A88F-6AEFE10237F2}">
      <dgm:prSet/>
      <dgm:spPr/>
      <dgm:t>
        <a:bodyPr/>
        <a:lstStyle/>
        <a:p>
          <a:endParaRPr lang="en-US"/>
        </a:p>
      </dgm:t>
    </dgm:pt>
    <dgm:pt modelId="{B67ECB03-0D51-A441-87CE-92C27F95815E}" type="sibTrans" cxnId="{CAA9BA00-2E22-3647-A88F-6AEFE10237F2}">
      <dgm:prSet/>
      <dgm:spPr/>
      <dgm:t>
        <a:bodyPr/>
        <a:lstStyle/>
        <a:p>
          <a:endParaRPr lang="en-US"/>
        </a:p>
      </dgm:t>
    </dgm:pt>
    <dgm:pt modelId="{2BA5CE1F-28F2-9346-AACA-187F174910FF}">
      <dgm:prSet phldrT="[Text]"/>
      <dgm:spPr/>
      <dgm:t>
        <a:bodyPr/>
        <a:lstStyle/>
        <a:p>
          <a:r>
            <a:rPr lang="en-US"/>
            <a:t>Philip the Chancellor (Secular)</a:t>
          </a:r>
        </a:p>
      </dgm:t>
    </dgm:pt>
    <dgm:pt modelId="{D46700D6-23CE-0944-963C-F45AD10120DC}" type="parTrans" cxnId="{F3A21854-5BF7-9A48-A197-8A09211D7096}">
      <dgm:prSet/>
      <dgm:spPr/>
      <dgm:t>
        <a:bodyPr/>
        <a:lstStyle/>
        <a:p>
          <a:endParaRPr lang="en-US"/>
        </a:p>
      </dgm:t>
    </dgm:pt>
    <dgm:pt modelId="{E9B3A56B-49D5-8249-B973-B944E8D4C819}" type="sibTrans" cxnId="{F3A21854-5BF7-9A48-A197-8A09211D7096}">
      <dgm:prSet/>
      <dgm:spPr/>
      <dgm:t>
        <a:bodyPr/>
        <a:lstStyle/>
        <a:p>
          <a:endParaRPr lang="en-US"/>
        </a:p>
      </dgm:t>
    </dgm:pt>
    <dgm:pt modelId="{025AA539-C3F1-184A-93C6-8A0CD8E35AC1}">
      <dgm:prSet/>
      <dgm:spPr/>
      <dgm:t>
        <a:bodyPr/>
        <a:lstStyle/>
        <a:p>
          <a:r>
            <a:rPr lang="en-US" i="0"/>
            <a:t>Hugh of St Cher</a:t>
          </a:r>
        </a:p>
      </dgm:t>
    </dgm:pt>
    <dgm:pt modelId="{5F13F083-4F97-3046-A943-61E08C740535}" type="parTrans" cxnId="{818A7E3A-D166-C649-9A2F-EDBB70DB641A}">
      <dgm:prSet/>
      <dgm:spPr/>
      <dgm:t>
        <a:bodyPr/>
        <a:lstStyle/>
        <a:p>
          <a:endParaRPr lang="en-US"/>
        </a:p>
      </dgm:t>
    </dgm:pt>
    <dgm:pt modelId="{CBE65C99-F521-4E4B-BA9D-49A8CDB84DEB}" type="sibTrans" cxnId="{818A7E3A-D166-C649-9A2F-EDBB70DB641A}">
      <dgm:prSet/>
      <dgm:spPr/>
      <dgm:t>
        <a:bodyPr/>
        <a:lstStyle/>
        <a:p>
          <a:endParaRPr lang="en-US"/>
        </a:p>
      </dgm:t>
    </dgm:pt>
    <dgm:pt modelId="{AD0FDA8E-2D95-5843-A56D-43231C79B7D0}">
      <dgm:prSet/>
      <dgm:spPr/>
      <dgm:t>
        <a:bodyPr/>
        <a:lstStyle/>
        <a:p>
          <a:r>
            <a:rPr lang="en-GB"/>
            <a:t>Roland of Cremona; Guerric of St Quentin</a:t>
          </a:r>
        </a:p>
      </dgm:t>
    </dgm:pt>
    <dgm:pt modelId="{F7223768-31F8-4B4E-BBA9-6A8A43B031A1}" type="parTrans" cxnId="{04A2F791-E2B6-5542-9293-DCA81FAE476C}">
      <dgm:prSet/>
      <dgm:spPr/>
    </dgm:pt>
    <dgm:pt modelId="{31BB0F86-BED3-1C4F-8AF7-E2F6C4EAEBD1}" type="sibTrans" cxnId="{04A2F791-E2B6-5542-9293-DCA81FAE476C}">
      <dgm:prSet/>
      <dgm:spPr/>
    </dgm:pt>
    <dgm:pt modelId="{ED6CFA41-0F97-B645-918A-0A238B90C625}" type="pres">
      <dgm:prSet presAssocID="{58AE7D63-9988-3744-9DAD-4043F7919198}" presName="mainComposite" presStyleCnt="0">
        <dgm:presLayoutVars>
          <dgm:chPref val="1"/>
          <dgm:dir/>
          <dgm:animOne val="branch"/>
          <dgm:animLvl val="lvl"/>
          <dgm:resizeHandles val="exact"/>
        </dgm:presLayoutVars>
      </dgm:prSet>
      <dgm:spPr/>
    </dgm:pt>
    <dgm:pt modelId="{6F3F0F88-7EE9-3540-85F0-9FBD52D4E43F}" type="pres">
      <dgm:prSet presAssocID="{58AE7D63-9988-3744-9DAD-4043F7919198}" presName="hierFlow" presStyleCnt="0"/>
      <dgm:spPr/>
    </dgm:pt>
    <dgm:pt modelId="{68CB3C22-1571-844D-8DA7-1E53D09CBE14}" type="pres">
      <dgm:prSet presAssocID="{58AE7D63-9988-3744-9DAD-4043F7919198}" presName="hierChild1" presStyleCnt="0">
        <dgm:presLayoutVars>
          <dgm:chPref val="1"/>
          <dgm:animOne val="branch"/>
          <dgm:animLvl val="lvl"/>
        </dgm:presLayoutVars>
      </dgm:prSet>
      <dgm:spPr/>
    </dgm:pt>
    <dgm:pt modelId="{D072E37F-DBD0-C044-A36C-AC2344BE2F3C}" type="pres">
      <dgm:prSet presAssocID="{86ACF0E1-9175-8E47-AA69-8F7E7FC1E394}" presName="Name14" presStyleCnt="0"/>
      <dgm:spPr/>
    </dgm:pt>
    <dgm:pt modelId="{545F92A6-0F6C-B44D-BA4D-9C64F13D2B96}" type="pres">
      <dgm:prSet presAssocID="{86ACF0E1-9175-8E47-AA69-8F7E7FC1E394}" presName="level1Shape" presStyleLbl="node0" presStyleIdx="0" presStyleCnt="1">
        <dgm:presLayoutVars>
          <dgm:chPref val="3"/>
        </dgm:presLayoutVars>
      </dgm:prSet>
      <dgm:spPr/>
    </dgm:pt>
    <dgm:pt modelId="{A0FE8EDB-3ECB-A948-ACA1-FD878DFEFF65}" type="pres">
      <dgm:prSet presAssocID="{86ACF0E1-9175-8E47-AA69-8F7E7FC1E394}" presName="hierChild2" presStyleCnt="0"/>
      <dgm:spPr/>
    </dgm:pt>
    <dgm:pt modelId="{CEC5EE83-16C5-0540-9C92-52C3C2A7BC11}" type="pres">
      <dgm:prSet presAssocID="{3E237381-C653-5240-B241-CC09585EA754}" presName="Name19" presStyleLbl="parChTrans1D2" presStyleIdx="0" presStyleCnt="2"/>
      <dgm:spPr/>
    </dgm:pt>
    <dgm:pt modelId="{7AF72C25-EA31-694B-8545-39DA8432837C}" type="pres">
      <dgm:prSet presAssocID="{5DD3E022-DF8D-984D-AFD0-E84A72157394}" presName="Name21" presStyleCnt="0"/>
      <dgm:spPr/>
    </dgm:pt>
    <dgm:pt modelId="{8DC60F52-56BB-DA49-93D4-CD4558FDC40C}" type="pres">
      <dgm:prSet presAssocID="{5DD3E022-DF8D-984D-AFD0-E84A72157394}" presName="level2Shape" presStyleLbl="node2" presStyleIdx="0" presStyleCnt="2"/>
      <dgm:spPr/>
    </dgm:pt>
    <dgm:pt modelId="{213BB554-FE1D-8A49-8CB4-265E71613770}" type="pres">
      <dgm:prSet presAssocID="{5DD3E022-DF8D-984D-AFD0-E84A72157394}" presName="hierChild3" presStyleCnt="0"/>
      <dgm:spPr/>
    </dgm:pt>
    <dgm:pt modelId="{B8DA6055-DB78-EC41-8A74-23F110C1A03F}" type="pres">
      <dgm:prSet presAssocID="{5E86F4D7-CE4B-664A-8F4A-8802ADEFDE4D}" presName="Name19" presStyleLbl="parChTrans1D3" presStyleIdx="0" presStyleCnt="2"/>
      <dgm:spPr/>
    </dgm:pt>
    <dgm:pt modelId="{D02A02B1-69B8-124C-8101-B94572377363}" type="pres">
      <dgm:prSet presAssocID="{849AF814-3CD9-314F-91DF-17121F6DD7B1}" presName="Name21" presStyleCnt="0"/>
      <dgm:spPr/>
    </dgm:pt>
    <dgm:pt modelId="{A620EFAE-568F-9747-98BA-8592ECB0022F}" type="pres">
      <dgm:prSet presAssocID="{849AF814-3CD9-314F-91DF-17121F6DD7B1}" presName="level2Shape" presStyleLbl="node3" presStyleIdx="0" presStyleCnt="2"/>
      <dgm:spPr/>
    </dgm:pt>
    <dgm:pt modelId="{174F74CF-283E-0C44-A07F-F61D46A361F1}" type="pres">
      <dgm:prSet presAssocID="{849AF814-3CD9-314F-91DF-17121F6DD7B1}" presName="hierChild3" presStyleCnt="0"/>
      <dgm:spPr/>
    </dgm:pt>
    <dgm:pt modelId="{32D0057C-54D6-4449-9E41-AA8FCAA0A104}" type="pres">
      <dgm:prSet presAssocID="{B4FD4AA8-A45C-094A-AE39-4CBDC1CDCEC2}" presName="Name19" presStyleLbl="parChTrans1D4" presStyleIdx="0" presStyleCnt="3"/>
      <dgm:spPr/>
    </dgm:pt>
    <dgm:pt modelId="{2C9F0032-1D6D-884B-B44E-85F56981EBDC}" type="pres">
      <dgm:prSet presAssocID="{499B4E85-C328-C94C-8DA9-69EFE65D8143}" presName="Name21" presStyleCnt="0"/>
      <dgm:spPr/>
    </dgm:pt>
    <dgm:pt modelId="{5D1C3804-114B-9945-9381-2867EFDC2A5B}" type="pres">
      <dgm:prSet presAssocID="{499B4E85-C328-C94C-8DA9-69EFE65D8143}" presName="level2Shape" presStyleLbl="node4" presStyleIdx="0" presStyleCnt="3"/>
      <dgm:spPr/>
    </dgm:pt>
    <dgm:pt modelId="{D86C9964-0ADA-2547-8687-0F2E2EB74373}" type="pres">
      <dgm:prSet presAssocID="{499B4E85-C328-C94C-8DA9-69EFE65D8143}" presName="hierChild3" presStyleCnt="0"/>
      <dgm:spPr/>
    </dgm:pt>
    <dgm:pt modelId="{47C0BBC0-4401-C844-95CA-C4B2424BA208}" type="pres">
      <dgm:prSet presAssocID="{F7223768-31F8-4B4E-BBA9-6A8A43B031A1}" presName="Name19" presStyleLbl="parChTrans1D4" presStyleIdx="1" presStyleCnt="3"/>
      <dgm:spPr/>
    </dgm:pt>
    <dgm:pt modelId="{B84F6822-0F2B-384E-B07C-359F93102C0F}" type="pres">
      <dgm:prSet presAssocID="{AD0FDA8E-2D95-5843-A56D-43231C79B7D0}" presName="Name21" presStyleCnt="0"/>
      <dgm:spPr/>
    </dgm:pt>
    <dgm:pt modelId="{5A80A149-62E3-CE48-B851-AEAEF4C7D538}" type="pres">
      <dgm:prSet presAssocID="{AD0FDA8E-2D95-5843-A56D-43231C79B7D0}" presName="level2Shape" presStyleLbl="node4" presStyleIdx="1" presStyleCnt="3"/>
      <dgm:spPr/>
    </dgm:pt>
    <dgm:pt modelId="{712ACDB3-A543-CB4D-A6D6-B9B3EE40425E}" type="pres">
      <dgm:prSet presAssocID="{AD0FDA8E-2D95-5843-A56D-43231C79B7D0}" presName="hierChild3" presStyleCnt="0"/>
      <dgm:spPr/>
    </dgm:pt>
    <dgm:pt modelId="{10BF4024-AC09-714F-9251-AF4BF5BA3B32}" type="pres">
      <dgm:prSet presAssocID="{1918071B-25C1-2B48-8B51-1B8E128F0577}" presName="Name19" presStyleLbl="parChTrans1D2" presStyleIdx="1" presStyleCnt="2"/>
      <dgm:spPr/>
    </dgm:pt>
    <dgm:pt modelId="{B5B81843-6576-7D40-AF16-4D63D315F597}" type="pres">
      <dgm:prSet presAssocID="{0E615CCC-9694-044E-8BCD-80F22576887E}" presName="Name21" presStyleCnt="0"/>
      <dgm:spPr/>
    </dgm:pt>
    <dgm:pt modelId="{13EE72C6-C14D-5A4B-BF6C-CECCF5158AF9}" type="pres">
      <dgm:prSet presAssocID="{0E615CCC-9694-044E-8BCD-80F22576887E}" presName="level2Shape" presStyleLbl="node2" presStyleIdx="1" presStyleCnt="2"/>
      <dgm:spPr/>
    </dgm:pt>
    <dgm:pt modelId="{F358104C-6E99-DE4E-9828-0D0EA290C0FB}" type="pres">
      <dgm:prSet presAssocID="{0E615CCC-9694-044E-8BCD-80F22576887E}" presName="hierChild3" presStyleCnt="0"/>
      <dgm:spPr/>
    </dgm:pt>
    <dgm:pt modelId="{44C86BB3-CC91-1C44-8927-EF87256067B3}" type="pres">
      <dgm:prSet presAssocID="{D46700D6-23CE-0944-963C-F45AD10120DC}" presName="Name19" presStyleLbl="parChTrans1D3" presStyleIdx="1" presStyleCnt="2"/>
      <dgm:spPr/>
    </dgm:pt>
    <dgm:pt modelId="{DA6B2E65-5B40-C44C-A026-211042908F35}" type="pres">
      <dgm:prSet presAssocID="{2BA5CE1F-28F2-9346-AACA-187F174910FF}" presName="Name21" presStyleCnt="0"/>
      <dgm:spPr/>
    </dgm:pt>
    <dgm:pt modelId="{F9666661-C994-2B4D-BDF9-6AD8A2C44278}" type="pres">
      <dgm:prSet presAssocID="{2BA5CE1F-28F2-9346-AACA-187F174910FF}" presName="level2Shape" presStyleLbl="node3" presStyleIdx="1" presStyleCnt="2"/>
      <dgm:spPr/>
    </dgm:pt>
    <dgm:pt modelId="{0FBB60D9-4CC7-6242-8AD5-EC3E5CEA13B3}" type="pres">
      <dgm:prSet presAssocID="{2BA5CE1F-28F2-9346-AACA-187F174910FF}" presName="hierChild3" presStyleCnt="0"/>
      <dgm:spPr/>
    </dgm:pt>
    <dgm:pt modelId="{9917E320-5D56-2B4F-93BA-8C942983B235}" type="pres">
      <dgm:prSet presAssocID="{5F13F083-4F97-3046-A943-61E08C740535}" presName="Name19" presStyleLbl="parChTrans1D4" presStyleIdx="2" presStyleCnt="3"/>
      <dgm:spPr/>
    </dgm:pt>
    <dgm:pt modelId="{F9254444-68B2-B34E-B2DC-44E8AF48D8EA}" type="pres">
      <dgm:prSet presAssocID="{025AA539-C3F1-184A-93C6-8A0CD8E35AC1}" presName="Name21" presStyleCnt="0"/>
      <dgm:spPr/>
    </dgm:pt>
    <dgm:pt modelId="{E3B2D941-60D5-744F-87C8-10534C8481A9}" type="pres">
      <dgm:prSet presAssocID="{025AA539-C3F1-184A-93C6-8A0CD8E35AC1}" presName="level2Shape" presStyleLbl="node4" presStyleIdx="2" presStyleCnt="3"/>
      <dgm:spPr/>
    </dgm:pt>
    <dgm:pt modelId="{8D576A27-7E7C-6A46-89C6-5344971D45F6}" type="pres">
      <dgm:prSet presAssocID="{025AA539-C3F1-184A-93C6-8A0CD8E35AC1}" presName="hierChild3" presStyleCnt="0"/>
      <dgm:spPr/>
    </dgm:pt>
    <dgm:pt modelId="{E7C04D2A-5E0F-D54A-A4AB-485B4E604EB5}" type="pres">
      <dgm:prSet presAssocID="{58AE7D63-9988-3744-9DAD-4043F7919198}" presName="bgShapesFlow" presStyleCnt="0"/>
      <dgm:spPr/>
    </dgm:pt>
  </dgm:ptLst>
  <dgm:cxnLst>
    <dgm:cxn modelId="{CAA9BA00-2E22-3647-A88F-6AEFE10237F2}" srcId="{86ACF0E1-9175-8E47-AA69-8F7E7FC1E394}" destId="{0E615CCC-9694-044E-8BCD-80F22576887E}" srcOrd="1" destOrd="0" parTransId="{1918071B-25C1-2B48-8B51-1B8E128F0577}" sibTransId="{B67ECB03-0D51-A441-87CE-92C27F95815E}"/>
    <dgm:cxn modelId="{77426712-2C2F-A744-BB86-16FBDA2551E1}" type="presOf" srcId="{F7223768-31F8-4B4E-BBA9-6A8A43B031A1}" destId="{47C0BBC0-4401-C844-95CA-C4B2424BA208}" srcOrd="0" destOrd="0" presId="urn:microsoft.com/office/officeart/2005/8/layout/hierarchy6"/>
    <dgm:cxn modelId="{69E26B18-6702-CA4C-B9FF-591A8FD18CBD}" type="presOf" srcId="{3E237381-C653-5240-B241-CC09585EA754}" destId="{CEC5EE83-16C5-0540-9C92-52C3C2A7BC11}" srcOrd="0" destOrd="0" presId="urn:microsoft.com/office/officeart/2005/8/layout/hierarchy6"/>
    <dgm:cxn modelId="{9A220E2A-0D33-934B-BA64-43BF763A74B4}" type="presOf" srcId="{5F13F083-4F97-3046-A943-61E08C740535}" destId="{9917E320-5D56-2B4F-93BA-8C942983B235}" srcOrd="0" destOrd="0" presId="urn:microsoft.com/office/officeart/2005/8/layout/hierarchy6"/>
    <dgm:cxn modelId="{2C25C231-A0B0-B641-8DE1-7F4C7B91B5DD}" type="presOf" srcId="{D46700D6-23CE-0944-963C-F45AD10120DC}" destId="{44C86BB3-CC91-1C44-8927-EF87256067B3}" srcOrd="0" destOrd="0" presId="urn:microsoft.com/office/officeart/2005/8/layout/hierarchy6"/>
    <dgm:cxn modelId="{818A7E3A-D166-C649-9A2F-EDBB70DB641A}" srcId="{2BA5CE1F-28F2-9346-AACA-187F174910FF}" destId="{025AA539-C3F1-184A-93C6-8A0CD8E35AC1}" srcOrd="0" destOrd="0" parTransId="{5F13F083-4F97-3046-A943-61E08C740535}" sibTransId="{CBE65C99-F521-4E4B-BA9D-49A8CDB84DEB}"/>
    <dgm:cxn modelId="{5AB1AD3A-3470-7F45-94CD-970F173431F8}" type="presOf" srcId="{5E86F4D7-CE4B-664A-8F4A-8802ADEFDE4D}" destId="{B8DA6055-DB78-EC41-8A74-23F110C1A03F}" srcOrd="0" destOrd="0" presId="urn:microsoft.com/office/officeart/2005/8/layout/hierarchy6"/>
    <dgm:cxn modelId="{F545D23D-8B92-F440-81D3-58ABB37E6C0E}" type="presOf" srcId="{025AA539-C3F1-184A-93C6-8A0CD8E35AC1}" destId="{E3B2D941-60D5-744F-87C8-10534C8481A9}" srcOrd="0" destOrd="0" presId="urn:microsoft.com/office/officeart/2005/8/layout/hierarchy6"/>
    <dgm:cxn modelId="{51F82E3E-1C9B-B940-A4EE-30320B6DDC77}" srcId="{849AF814-3CD9-314F-91DF-17121F6DD7B1}" destId="{499B4E85-C328-C94C-8DA9-69EFE65D8143}" srcOrd="0" destOrd="0" parTransId="{B4FD4AA8-A45C-094A-AE39-4CBDC1CDCEC2}" sibTransId="{79B2917D-19D8-F546-8CD6-C80B37091A7B}"/>
    <dgm:cxn modelId="{31CF0A43-271E-CF49-85CB-ED9AE9F30020}" type="presOf" srcId="{1918071B-25C1-2B48-8B51-1B8E128F0577}" destId="{10BF4024-AC09-714F-9251-AF4BF5BA3B32}" srcOrd="0" destOrd="0" presId="urn:microsoft.com/office/officeart/2005/8/layout/hierarchy6"/>
    <dgm:cxn modelId="{75F0BC43-58F7-6D47-8237-5627BFA07B5D}" type="presOf" srcId="{0E615CCC-9694-044E-8BCD-80F22576887E}" destId="{13EE72C6-C14D-5A4B-BF6C-CECCF5158AF9}" srcOrd="0" destOrd="0" presId="urn:microsoft.com/office/officeart/2005/8/layout/hierarchy6"/>
    <dgm:cxn modelId="{66596245-D6B2-EE49-B5CE-DD719A055974}" type="presOf" srcId="{5DD3E022-DF8D-984D-AFD0-E84A72157394}" destId="{8DC60F52-56BB-DA49-93D4-CD4558FDC40C}" srcOrd="0" destOrd="0" presId="urn:microsoft.com/office/officeart/2005/8/layout/hierarchy6"/>
    <dgm:cxn modelId="{1E22184D-C400-C645-A42C-DDA387250BF0}" type="presOf" srcId="{849AF814-3CD9-314F-91DF-17121F6DD7B1}" destId="{A620EFAE-568F-9747-98BA-8592ECB0022F}" srcOrd="0" destOrd="0" presId="urn:microsoft.com/office/officeart/2005/8/layout/hierarchy6"/>
    <dgm:cxn modelId="{F3A21854-5BF7-9A48-A197-8A09211D7096}" srcId="{0E615CCC-9694-044E-8BCD-80F22576887E}" destId="{2BA5CE1F-28F2-9346-AACA-187F174910FF}" srcOrd="0" destOrd="0" parTransId="{D46700D6-23CE-0944-963C-F45AD10120DC}" sibTransId="{E9B3A56B-49D5-8249-B973-B944E8D4C819}"/>
    <dgm:cxn modelId="{98967755-C8CE-B549-AB8A-56B7220FAC3D}" type="presOf" srcId="{2BA5CE1F-28F2-9346-AACA-187F174910FF}" destId="{F9666661-C994-2B4D-BDF9-6AD8A2C44278}" srcOrd="0" destOrd="0" presId="urn:microsoft.com/office/officeart/2005/8/layout/hierarchy6"/>
    <dgm:cxn modelId="{F8A78A62-2EC3-8542-8C42-433C14D16172}" type="presOf" srcId="{AD0FDA8E-2D95-5843-A56D-43231C79B7D0}" destId="{5A80A149-62E3-CE48-B851-AEAEF4C7D538}" srcOrd="0" destOrd="0" presId="urn:microsoft.com/office/officeart/2005/8/layout/hierarchy6"/>
    <dgm:cxn modelId="{6FC4D279-3629-6B46-B234-C2189626DE6D}" type="presOf" srcId="{499B4E85-C328-C94C-8DA9-69EFE65D8143}" destId="{5D1C3804-114B-9945-9381-2867EFDC2A5B}" srcOrd="0" destOrd="0" presId="urn:microsoft.com/office/officeart/2005/8/layout/hierarchy6"/>
    <dgm:cxn modelId="{04A2F791-E2B6-5542-9293-DCA81FAE476C}" srcId="{849AF814-3CD9-314F-91DF-17121F6DD7B1}" destId="{AD0FDA8E-2D95-5843-A56D-43231C79B7D0}" srcOrd="1" destOrd="0" parTransId="{F7223768-31F8-4B4E-BBA9-6A8A43B031A1}" sibTransId="{31BB0F86-BED3-1C4F-8AF7-E2F6C4EAEBD1}"/>
    <dgm:cxn modelId="{A2B7419F-9675-D947-A3A4-B67D968BBF3F}" type="presOf" srcId="{86ACF0E1-9175-8E47-AA69-8F7E7FC1E394}" destId="{545F92A6-0F6C-B44D-BA4D-9C64F13D2B96}" srcOrd="0" destOrd="0" presId="urn:microsoft.com/office/officeart/2005/8/layout/hierarchy6"/>
    <dgm:cxn modelId="{45668CA0-470C-1C49-A9C7-7D703BBA8CB8}" srcId="{5DD3E022-DF8D-984D-AFD0-E84A72157394}" destId="{849AF814-3CD9-314F-91DF-17121F6DD7B1}" srcOrd="0" destOrd="0" parTransId="{5E86F4D7-CE4B-664A-8F4A-8802ADEFDE4D}" sibTransId="{AA07B830-F4A4-5E4C-91D4-7CC23655A2FE}"/>
    <dgm:cxn modelId="{F43FF4CB-95FE-DC4C-BC76-5459FF6D46F9}" srcId="{58AE7D63-9988-3744-9DAD-4043F7919198}" destId="{86ACF0E1-9175-8E47-AA69-8F7E7FC1E394}" srcOrd="0" destOrd="0" parTransId="{0C20B8AC-A762-0E48-B33F-9111E52A884A}" sibTransId="{5DA5438E-2BFB-2349-AD9A-839D65B83736}"/>
    <dgm:cxn modelId="{CA92B7E0-C9D7-A74F-A856-9A252209F525}" type="presOf" srcId="{58AE7D63-9988-3744-9DAD-4043F7919198}" destId="{ED6CFA41-0F97-B645-918A-0A238B90C625}" srcOrd="0" destOrd="0" presId="urn:microsoft.com/office/officeart/2005/8/layout/hierarchy6"/>
    <dgm:cxn modelId="{9005B6E5-91B9-6A44-A5AC-CC73207BF440}" srcId="{86ACF0E1-9175-8E47-AA69-8F7E7FC1E394}" destId="{5DD3E022-DF8D-984D-AFD0-E84A72157394}" srcOrd="0" destOrd="0" parTransId="{3E237381-C653-5240-B241-CC09585EA754}" sibTransId="{3D0435F8-7881-8F45-AC48-865987D29874}"/>
    <dgm:cxn modelId="{4249A2FD-0D15-9E48-B7A9-C513BC2253BF}" type="presOf" srcId="{B4FD4AA8-A45C-094A-AE39-4CBDC1CDCEC2}" destId="{32D0057C-54D6-4449-9E41-AA8FCAA0A104}" srcOrd="0" destOrd="0" presId="urn:microsoft.com/office/officeart/2005/8/layout/hierarchy6"/>
    <dgm:cxn modelId="{DA9E7490-2F8B-1246-B399-A24315D64F39}" type="presParOf" srcId="{ED6CFA41-0F97-B645-918A-0A238B90C625}" destId="{6F3F0F88-7EE9-3540-85F0-9FBD52D4E43F}" srcOrd="0" destOrd="0" presId="urn:microsoft.com/office/officeart/2005/8/layout/hierarchy6"/>
    <dgm:cxn modelId="{2CEE6644-CCCF-814C-A491-76A69B4FCBB0}" type="presParOf" srcId="{6F3F0F88-7EE9-3540-85F0-9FBD52D4E43F}" destId="{68CB3C22-1571-844D-8DA7-1E53D09CBE14}" srcOrd="0" destOrd="0" presId="urn:microsoft.com/office/officeart/2005/8/layout/hierarchy6"/>
    <dgm:cxn modelId="{21D59B6B-F9F6-9545-85E2-4E1AD1084C7F}" type="presParOf" srcId="{68CB3C22-1571-844D-8DA7-1E53D09CBE14}" destId="{D072E37F-DBD0-C044-A36C-AC2344BE2F3C}" srcOrd="0" destOrd="0" presId="urn:microsoft.com/office/officeart/2005/8/layout/hierarchy6"/>
    <dgm:cxn modelId="{8B0D35EE-10F2-AD4D-AF25-6B81BFD3F837}" type="presParOf" srcId="{D072E37F-DBD0-C044-A36C-AC2344BE2F3C}" destId="{545F92A6-0F6C-B44D-BA4D-9C64F13D2B96}" srcOrd="0" destOrd="0" presId="urn:microsoft.com/office/officeart/2005/8/layout/hierarchy6"/>
    <dgm:cxn modelId="{87012145-3AFF-2042-BE48-034DA0B970EA}" type="presParOf" srcId="{D072E37F-DBD0-C044-A36C-AC2344BE2F3C}" destId="{A0FE8EDB-3ECB-A948-ACA1-FD878DFEFF65}" srcOrd="1" destOrd="0" presId="urn:microsoft.com/office/officeart/2005/8/layout/hierarchy6"/>
    <dgm:cxn modelId="{135E8D57-D636-B24B-87CC-F2B568664075}" type="presParOf" srcId="{A0FE8EDB-3ECB-A948-ACA1-FD878DFEFF65}" destId="{CEC5EE83-16C5-0540-9C92-52C3C2A7BC11}" srcOrd="0" destOrd="0" presId="urn:microsoft.com/office/officeart/2005/8/layout/hierarchy6"/>
    <dgm:cxn modelId="{6DFF11F9-527C-6648-9112-94299E63D7A2}" type="presParOf" srcId="{A0FE8EDB-3ECB-A948-ACA1-FD878DFEFF65}" destId="{7AF72C25-EA31-694B-8545-39DA8432837C}" srcOrd="1" destOrd="0" presId="urn:microsoft.com/office/officeart/2005/8/layout/hierarchy6"/>
    <dgm:cxn modelId="{50918D5C-F1DE-F44B-9D2B-E84203093417}" type="presParOf" srcId="{7AF72C25-EA31-694B-8545-39DA8432837C}" destId="{8DC60F52-56BB-DA49-93D4-CD4558FDC40C}" srcOrd="0" destOrd="0" presId="urn:microsoft.com/office/officeart/2005/8/layout/hierarchy6"/>
    <dgm:cxn modelId="{66B90594-B9AC-EB40-A8F2-4DCFABAA406A}" type="presParOf" srcId="{7AF72C25-EA31-694B-8545-39DA8432837C}" destId="{213BB554-FE1D-8A49-8CB4-265E71613770}" srcOrd="1" destOrd="0" presId="urn:microsoft.com/office/officeart/2005/8/layout/hierarchy6"/>
    <dgm:cxn modelId="{E771929B-A202-2F4E-A669-7B75FA2BBD9F}" type="presParOf" srcId="{213BB554-FE1D-8A49-8CB4-265E71613770}" destId="{B8DA6055-DB78-EC41-8A74-23F110C1A03F}" srcOrd="0" destOrd="0" presId="urn:microsoft.com/office/officeart/2005/8/layout/hierarchy6"/>
    <dgm:cxn modelId="{28AB382C-958B-AA41-8D9A-0FFA8090E63B}" type="presParOf" srcId="{213BB554-FE1D-8A49-8CB4-265E71613770}" destId="{D02A02B1-69B8-124C-8101-B94572377363}" srcOrd="1" destOrd="0" presId="urn:microsoft.com/office/officeart/2005/8/layout/hierarchy6"/>
    <dgm:cxn modelId="{670BF0AB-DCC5-2A4C-A2CE-E58CBFB0E978}" type="presParOf" srcId="{D02A02B1-69B8-124C-8101-B94572377363}" destId="{A620EFAE-568F-9747-98BA-8592ECB0022F}" srcOrd="0" destOrd="0" presId="urn:microsoft.com/office/officeart/2005/8/layout/hierarchy6"/>
    <dgm:cxn modelId="{0584414E-71B7-4E41-B5F6-8C1229BB2402}" type="presParOf" srcId="{D02A02B1-69B8-124C-8101-B94572377363}" destId="{174F74CF-283E-0C44-A07F-F61D46A361F1}" srcOrd="1" destOrd="0" presId="urn:microsoft.com/office/officeart/2005/8/layout/hierarchy6"/>
    <dgm:cxn modelId="{767FFF27-A783-9D4D-AF1A-931975D416FA}" type="presParOf" srcId="{174F74CF-283E-0C44-A07F-F61D46A361F1}" destId="{32D0057C-54D6-4449-9E41-AA8FCAA0A104}" srcOrd="0" destOrd="0" presId="urn:microsoft.com/office/officeart/2005/8/layout/hierarchy6"/>
    <dgm:cxn modelId="{A2622441-85E7-8D45-8501-DFF6388105D3}" type="presParOf" srcId="{174F74CF-283E-0C44-A07F-F61D46A361F1}" destId="{2C9F0032-1D6D-884B-B44E-85F56981EBDC}" srcOrd="1" destOrd="0" presId="urn:microsoft.com/office/officeart/2005/8/layout/hierarchy6"/>
    <dgm:cxn modelId="{559D427B-74AF-EB44-809C-521D7FCEE58D}" type="presParOf" srcId="{2C9F0032-1D6D-884B-B44E-85F56981EBDC}" destId="{5D1C3804-114B-9945-9381-2867EFDC2A5B}" srcOrd="0" destOrd="0" presId="urn:microsoft.com/office/officeart/2005/8/layout/hierarchy6"/>
    <dgm:cxn modelId="{28B1A433-4E88-814C-B3EE-7E00CC9A07E4}" type="presParOf" srcId="{2C9F0032-1D6D-884B-B44E-85F56981EBDC}" destId="{D86C9964-0ADA-2547-8687-0F2E2EB74373}" srcOrd="1" destOrd="0" presId="urn:microsoft.com/office/officeart/2005/8/layout/hierarchy6"/>
    <dgm:cxn modelId="{1EEC4155-8439-1047-9109-BDC87D36CFF4}" type="presParOf" srcId="{174F74CF-283E-0C44-A07F-F61D46A361F1}" destId="{47C0BBC0-4401-C844-95CA-C4B2424BA208}" srcOrd="2" destOrd="0" presId="urn:microsoft.com/office/officeart/2005/8/layout/hierarchy6"/>
    <dgm:cxn modelId="{6AB971FE-4961-244F-9C12-DFBAF9726C16}" type="presParOf" srcId="{174F74CF-283E-0C44-A07F-F61D46A361F1}" destId="{B84F6822-0F2B-384E-B07C-359F93102C0F}" srcOrd="3" destOrd="0" presId="urn:microsoft.com/office/officeart/2005/8/layout/hierarchy6"/>
    <dgm:cxn modelId="{0F21313F-25F8-C642-845C-1E21D8FA6371}" type="presParOf" srcId="{B84F6822-0F2B-384E-B07C-359F93102C0F}" destId="{5A80A149-62E3-CE48-B851-AEAEF4C7D538}" srcOrd="0" destOrd="0" presId="urn:microsoft.com/office/officeart/2005/8/layout/hierarchy6"/>
    <dgm:cxn modelId="{5A66AA4D-DC04-8946-8844-D8DB7FD25C1B}" type="presParOf" srcId="{B84F6822-0F2B-384E-B07C-359F93102C0F}" destId="{712ACDB3-A543-CB4D-A6D6-B9B3EE40425E}" srcOrd="1" destOrd="0" presId="urn:microsoft.com/office/officeart/2005/8/layout/hierarchy6"/>
    <dgm:cxn modelId="{177D37DD-BDC6-6442-BFAC-368926B70D14}" type="presParOf" srcId="{A0FE8EDB-3ECB-A948-ACA1-FD878DFEFF65}" destId="{10BF4024-AC09-714F-9251-AF4BF5BA3B32}" srcOrd="2" destOrd="0" presId="urn:microsoft.com/office/officeart/2005/8/layout/hierarchy6"/>
    <dgm:cxn modelId="{757F82A3-DE78-D140-AD2A-DE212DA52805}" type="presParOf" srcId="{A0FE8EDB-3ECB-A948-ACA1-FD878DFEFF65}" destId="{B5B81843-6576-7D40-AF16-4D63D315F597}" srcOrd="3" destOrd="0" presId="urn:microsoft.com/office/officeart/2005/8/layout/hierarchy6"/>
    <dgm:cxn modelId="{B4C4C01A-2825-7A48-9779-C70D451023D6}" type="presParOf" srcId="{B5B81843-6576-7D40-AF16-4D63D315F597}" destId="{13EE72C6-C14D-5A4B-BF6C-CECCF5158AF9}" srcOrd="0" destOrd="0" presId="urn:microsoft.com/office/officeart/2005/8/layout/hierarchy6"/>
    <dgm:cxn modelId="{B19ADEC2-BC3F-D54F-AAB5-78FC6A67193E}" type="presParOf" srcId="{B5B81843-6576-7D40-AF16-4D63D315F597}" destId="{F358104C-6E99-DE4E-9828-0D0EA290C0FB}" srcOrd="1" destOrd="0" presId="urn:microsoft.com/office/officeart/2005/8/layout/hierarchy6"/>
    <dgm:cxn modelId="{548B2B6F-06F5-8145-85A6-234BBD207146}" type="presParOf" srcId="{F358104C-6E99-DE4E-9828-0D0EA290C0FB}" destId="{44C86BB3-CC91-1C44-8927-EF87256067B3}" srcOrd="0" destOrd="0" presId="urn:microsoft.com/office/officeart/2005/8/layout/hierarchy6"/>
    <dgm:cxn modelId="{12FDA68E-F19E-8F4C-8AB6-DBB732D04EB1}" type="presParOf" srcId="{F358104C-6E99-DE4E-9828-0D0EA290C0FB}" destId="{DA6B2E65-5B40-C44C-A026-211042908F35}" srcOrd="1" destOrd="0" presId="urn:microsoft.com/office/officeart/2005/8/layout/hierarchy6"/>
    <dgm:cxn modelId="{071AD379-4F1F-9043-9EC3-37670D2D59AE}" type="presParOf" srcId="{DA6B2E65-5B40-C44C-A026-211042908F35}" destId="{F9666661-C994-2B4D-BDF9-6AD8A2C44278}" srcOrd="0" destOrd="0" presId="urn:microsoft.com/office/officeart/2005/8/layout/hierarchy6"/>
    <dgm:cxn modelId="{5D342E81-E60A-C643-B019-4BB03C5E232A}" type="presParOf" srcId="{DA6B2E65-5B40-C44C-A026-211042908F35}" destId="{0FBB60D9-4CC7-6242-8AD5-EC3E5CEA13B3}" srcOrd="1" destOrd="0" presId="urn:microsoft.com/office/officeart/2005/8/layout/hierarchy6"/>
    <dgm:cxn modelId="{F3DDE9F5-B3AA-7045-B431-E1B443C398DB}" type="presParOf" srcId="{0FBB60D9-4CC7-6242-8AD5-EC3E5CEA13B3}" destId="{9917E320-5D56-2B4F-93BA-8C942983B235}" srcOrd="0" destOrd="0" presId="urn:microsoft.com/office/officeart/2005/8/layout/hierarchy6"/>
    <dgm:cxn modelId="{66153598-041E-BE44-A2BE-2644B286176E}" type="presParOf" srcId="{0FBB60D9-4CC7-6242-8AD5-EC3E5CEA13B3}" destId="{F9254444-68B2-B34E-B2DC-44E8AF48D8EA}" srcOrd="1" destOrd="0" presId="urn:microsoft.com/office/officeart/2005/8/layout/hierarchy6"/>
    <dgm:cxn modelId="{9B2983F7-6E2B-2046-8D25-FB14298F4DBD}" type="presParOf" srcId="{F9254444-68B2-B34E-B2DC-44E8AF48D8EA}" destId="{E3B2D941-60D5-744F-87C8-10534C8481A9}" srcOrd="0" destOrd="0" presId="urn:microsoft.com/office/officeart/2005/8/layout/hierarchy6"/>
    <dgm:cxn modelId="{DA6BC8D4-962B-5F44-96CA-A6BB41066896}" type="presParOf" srcId="{F9254444-68B2-B34E-B2DC-44E8AF48D8EA}" destId="{8D576A27-7E7C-6A46-89C6-5344971D45F6}" srcOrd="1" destOrd="0" presId="urn:microsoft.com/office/officeart/2005/8/layout/hierarchy6"/>
    <dgm:cxn modelId="{BE6D7CA8-8029-1F4B-A7D0-6EF7CF9FE80A}" type="presParOf" srcId="{ED6CFA41-0F97-B645-918A-0A238B90C625}" destId="{E7C04D2A-5E0F-D54A-A4AB-485B4E604EB5}" srcOrd="1" destOrd="0" presId="urn:microsoft.com/office/officeart/2005/8/layout/hierarchy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EFAFFDC-B15E-FC4F-A139-F0BAD2E837EF}" type="doc">
      <dgm:prSet loTypeId="urn:microsoft.com/office/officeart/2005/8/layout/process1" loCatId="" qsTypeId="urn:microsoft.com/office/officeart/2005/8/quickstyle/simple1" qsCatId="simple" csTypeId="urn:microsoft.com/office/officeart/2005/8/colors/accent1_2" csCatId="accent1" phldr="1"/>
      <dgm:spPr/>
    </dgm:pt>
    <dgm:pt modelId="{2D69D3FA-A1F2-4346-A3FB-D4F8A5227C22}">
      <dgm:prSet phldrT="[Text]"/>
      <dgm:spPr/>
      <dgm:t>
        <a:bodyPr/>
        <a:lstStyle/>
        <a:p>
          <a:r>
            <a:rPr lang="en-US" i="1"/>
            <a:t>Unibilitas substantialis</a:t>
          </a:r>
        </a:p>
      </dgm:t>
    </dgm:pt>
    <dgm:pt modelId="{4D2AF706-4130-7742-8F62-63F2EC5EF16D}" type="parTrans" cxnId="{5141E3DC-47A8-9945-B017-28990C5BF0BA}">
      <dgm:prSet/>
      <dgm:spPr/>
      <dgm:t>
        <a:bodyPr/>
        <a:lstStyle/>
        <a:p>
          <a:endParaRPr lang="en-US"/>
        </a:p>
      </dgm:t>
    </dgm:pt>
    <dgm:pt modelId="{1460A2E5-9A99-D14B-A110-A75B5E4D5FAC}" type="sibTrans" cxnId="{5141E3DC-47A8-9945-B017-28990C5BF0BA}">
      <dgm:prSet/>
      <dgm:spPr/>
      <dgm:t>
        <a:bodyPr/>
        <a:lstStyle/>
        <a:p>
          <a:endParaRPr lang="en-US"/>
        </a:p>
      </dgm:t>
    </dgm:pt>
    <dgm:pt modelId="{172A0DE0-E541-0D4F-B895-424B50A01252}">
      <dgm:prSet phldrT="[Text]"/>
      <dgm:spPr/>
      <dgm:t>
        <a:bodyPr/>
        <a:lstStyle/>
        <a:p>
          <a:r>
            <a:rPr lang="en-US"/>
            <a:t>Hugh of St Cher/Roland of Cremona</a:t>
          </a:r>
        </a:p>
      </dgm:t>
    </dgm:pt>
    <dgm:pt modelId="{969606C0-62E0-3F48-A0AC-1DFD8858CE03}" type="parTrans" cxnId="{B7B96221-511A-3C4A-B387-795C86C5A208}">
      <dgm:prSet/>
      <dgm:spPr/>
      <dgm:t>
        <a:bodyPr/>
        <a:lstStyle/>
        <a:p>
          <a:endParaRPr lang="en-US"/>
        </a:p>
      </dgm:t>
    </dgm:pt>
    <dgm:pt modelId="{F8B4C47F-BB6C-AD44-B75B-C9C0B7998F10}" type="sibTrans" cxnId="{B7B96221-511A-3C4A-B387-795C86C5A208}">
      <dgm:prSet/>
      <dgm:spPr/>
      <dgm:t>
        <a:bodyPr/>
        <a:lstStyle/>
        <a:p>
          <a:endParaRPr lang="en-US"/>
        </a:p>
      </dgm:t>
    </dgm:pt>
    <dgm:pt modelId="{3DF830CF-E797-ED4B-AE83-B6C24216EBDF}">
      <dgm:prSet/>
      <dgm:spPr/>
      <dgm:t>
        <a:bodyPr/>
        <a:lstStyle/>
        <a:p>
          <a:r>
            <a:rPr lang="en-US"/>
            <a:t>John of La Rochelle/</a:t>
          </a:r>
          <a:r>
            <a:rPr lang="en-US" i="1"/>
            <a:t>Summa Halensis</a:t>
          </a:r>
          <a:endParaRPr lang="en-US"/>
        </a:p>
      </dgm:t>
    </dgm:pt>
    <dgm:pt modelId="{38869FB4-0389-1B45-9119-3D280A7F37CD}" type="parTrans" cxnId="{C8104375-8C1C-4D41-86AB-3C675C11049C}">
      <dgm:prSet/>
      <dgm:spPr/>
      <dgm:t>
        <a:bodyPr/>
        <a:lstStyle/>
        <a:p>
          <a:endParaRPr lang="en-US"/>
        </a:p>
      </dgm:t>
    </dgm:pt>
    <dgm:pt modelId="{1448650B-C2A9-8746-891D-DA48E28C380C}" type="sibTrans" cxnId="{C8104375-8C1C-4D41-86AB-3C675C11049C}">
      <dgm:prSet/>
      <dgm:spPr/>
      <dgm:t>
        <a:bodyPr/>
        <a:lstStyle/>
        <a:p>
          <a:endParaRPr lang="en-US"/>
        </a:p>
      </dgm:t>
    </dgm:pt>
    <dgm:pt modelId="{43154A79-4D7C-1947-8A7C-A0B2FAA30BC4}">
      <dgm:prSet/>
      <dgm:spPr/>
      <dgm:t>
        <a:bodyPr/>
        <a:lstStyle/>
        <a:p>
          <a:r>
            <a:rPr lang="en-US"/>
            <a:t>William of Auxerre (in passing)</a:t>
          </a:r>
        </a:p>
      </dgm:t>
    </dgm:pt>
    <dgm:pt modelId="{6B764309-60CA-5141-AB05-366DDF50DA87}" type="parTrans" cxnId="{DD5CE795-C68F-FC4D-8E8E-B1F479826F15}">
      <dgm:prSet/>
      <dgm:spPr/>
    </dgm:pt>
    <dgm:pt modelId="{C10945F0-6E84-E54B-A9A9-3B5E62F216FE}" type="sibTrans" cxnId="{DD5CE795-C68F-FC4D-8E8E-B1F479826F15}">
      <dgm:prSet/>
      <dgm:spPr/>
      <dgm:t>
        <a:bodyPr/>
        <a:lstStyle/>
        <a:p>
          <a:endParaRPr lang="en-US"/>
        </a:p>
      </dgm:t>
    </dgm:pt>
    <dgm:pt modelId="{6ED0E369-F443-3C4D-ACC2-9676A8F05CDE}" type="pres">
      <dgm:prSet presAssocID="{1EFAFFDC-B15E-FC4F-A139-F0BAD2E837EF}" presName="Name0" presStyleCnt="0">
        <dgm:presLayoutVars>
          <dgm:dir/>
          <dgm:resizeHandles val="exact"/>
        </dgm:presLayoutVars>
      </dgm:prSet>
      <dgm:spPr/>
    </dgm:pt>
    <dgm:pt modelId="{32346AB1-9FDD-0740-9916-4974069971C7}" type="pres">
      <dgm:prSet presAssocID="{2D69D3FA-A1F2-4346-A3FB-D4F8A5227C22}" presName="node" presStyleLbl="node1" presStyleIdx="0" presStyleCnt="4">
        <dgm:presLayoutVars>
          <dgm:bulletEnabled val="1"/>
        </dgm:presLayoutVars>
      </dgm:prSet>
      <dgm:spPr/>
    </dgm:pt>
    <dgm:pt modelId="{FFE95FED-0F60-7C42-AAB9-DB1859B0209B}" type="pres">
      <dgm:prSet presAssocID="{1460A2E5-9A99-D14B-A110-A75B5E4D5FAC}" presName="sibTrans" presStyleLbl="sibTrans2D1" presStyleIdx="0" presStyleCnt="3"/>
      <dgm:spPr/>
    </dgm:pt>
    <dgm:pt modelId="{D52903CE-6278-8F4D-AC9F-1350A69E2405}" type="pres">
      <dgm:prSet presAssocID="{1460A2E5-9A99-D14B-A110-A75B5E4D5FAC}" presName="connectorText" presStyleLbl="sibTrans2D1" presStyleIdx="0" presStyleCnt="3"/>
      <dgm:spPr/>
    </dgm:pt>
    <dgm:pt modelId="{B38E4687-26DF-434F-9619-B7D3C6E8C128}" type="pres">
      <dgm:prSet presAssocID="{43154A79-4D7C-1947-8A7C-A0B2FAA30BC4}" presName="node" presStyleLbl="node1" presStyleIdx="1" presStyleCnt="4">
        <dgm:presLayoutVars>
          <dgm:bulletEnabled val="1"/>
        </dgm:presLayoutVars>
      </dgm:prSet>
      <dgm:spPr/>
    </dgm:pt>
    <dgm:pt modelId="{2CE10E12-1AC7-0348-BE4F-F3FEB5F02993}" type="pres">
      <dgm:prSet presAssocID="{C10945F0-6E84-E54B-A9A9-3B5E62F216FE}" presName="sibTrans" presStyleLbl="sibTrans2D1" presStyleIdx="1" presStyleCnt="3"/>
      <dgm:spPr/>
    </dgm:pt>
    <dgm:pt modelId="{7E9EE5EC-3216-F945-B693-B00962CDED38}" type="pres">
      <dgm:prSet presAssocID="{C10945F0-6E84-E54B-A9A9-3B5E62F216FE}" presName="connectorText" presStyleLbl="sibTrans2D1" presStyleIdx="1" presStyleCnt="3"/>
      <dgm:spPr/>
    </dgm:pt>
    <dgm:pt modelId="{B270A1B8-B36E-2E46-9DE8-0F7CE0D7A528}" type="pres">
      <dgm:prSet presAssocID="{172A0DE0-E541-0D4F-B895-424B50A01252}" presName="node" presStyleLbl="node1" presStyleIdx="2" presStyleCnt="4">
        <dgm:presLayoutVars>
          <dgm:bulletEnabled val="1"/>
        </dgm:presLayoutVars>
      </dgm:prSet>
      <dgm:spPr/>
    </dgm:pt>
    <dgm:pt modelId="{E678C308-792C-F94B-8152-112118CB0BE8}" type="pres">
      <dgm:prSet presAssocID="{F8B4C47F-BB6C-AD44-B75B-C9C0B7998F10}" presName="sibTrans" presStyleLbl="sibTrans2D1" presStyleIdx="2" presStyleCnt="3"/>
      <dgm:spPr/>
    </dgm:pt>
    <dgm:pt modelId="{D4E2CD92-92DB-B342-A997-17FEB5813C00}" type="pres">
      <dgm:prSet presAssocID="{F8B4C47F-BB6C-AD44-B75B-C9C0B7998F10}" presName="connectorText" presStyleLbl="sibTrans2D1" presStyleIdx="2" presStyleCnt="3"/>
      <dgm:spPr/>
    </dgm:pt>
    <dgm:pt modelId="{EAD415FC-A6E1-4845-B062-8AD679F3FC47}" type="pres">
      <dgm:prSet presAssocID="{3DF830CF-E797-ED4B-AE83-B6C24216EBDF}" presName="node" presStyleLbl="node1" presStyleIdx="3" presStyleCnt="4">
        <dgm:presLayoutVars>
          <dgm:bulletEnabled val="1"/>
        </dgm:presLayoutVars>
      </dgm:prSet>
      <dgm:spPr/>
    </dgm:pt>
  </dgm:ptLst>
  <dgm:cxnLst>
    <dgm:cxn modelId="{3CBD730D-4004-C047-BDA1-D717919BF1AC}" type="presOf" srcId="{F8B4C47F-BB6C-AD44-B75B-C9C0B7998F10}" destId="{E678C308-792C-F94B-8152-112118CB0BE8}" srcOrd="0" destOrd="0" presId="urn:microsoft.com/office/officeart/2005/8/layout/process1"/>
    <dgm:cxn modelId="{B7B96221-511A-3C4A-B387-795C86C5A208}" srcId="{1EFAFFDC-B15E-FC4F-A139-F0BAD2E837EF}" destId="{172A0DE0-E541-0D4F-B895-424B50A01252}" srcOrd="2" destOrd="0" parTransId="{969606C0-62E0-3F48-A0AC-1DFD8858CE03}" sibTransId="{F8B4C47F-BB6C-AD44-B75B-C9C0B7998F10}"/>
    <dgm:cxn modelId="{090C9242-7C3D-3842-9631-41D7FCA71716}" type="presOf" srcId="{43154A79-4D7C-1947-8A7C-A0B2FAA30BC4}" destId="{B38E4687-26DF-434F-9619-B7D3C6E8C128}" srcOrd="0" destOrd="0" presId="urn:microsoft.com/office/officeart/2005/8/layout/process1"/>
    <dgm:cxn modelId="{BD1C2147-C0C9-E747-8B1A-0CA94D43D62C}" type="presOf" srcId="{172A0DE0-E541-0D4F-B895-424B50A01252}" destId="{B270A1B8-B36E-2E46-9DE8-0F7CE0D7A528}" srcOrd="0" destOrd="0" presId="urn:microsoft.com/office/officeart/2005/8/layout/process1"/>
    <dgm:cxn modelId="{C8104375-8C1C-4D41-86AB-3C675C11049C}" srcId="{1EFAFFDC-B15E-FC4F-A139-F0BAD2E837EF}" destId="{3DF830CF-E797-ED4B-AE83-B6C24216EBDF}" srcOrd="3" destOrd="0" parTransId="{38869FB4-0389-1B45-9119-3D280A7F37CD}" sibTransId="{1448650B-C2A9-8746-891D-DA48E28C380C}"/>
    <dgm:cxn modelId="{DD5CE795-C68F-FC4D-8E8E-B1F479826F15}" srcId="{1EFAFFDC-B15E-FC4F-A139-F0BAD2E837EF}" destId="{43154A79-4D7C-1947-8A7C-A0B2FAA30BC4}" srcOrd="1" destOrd="0" parTransId="{6B764309-60CA-5141-AB05-366DDF50DA87}" sibTransId="{C10945F0-6E84-E54B-A9A9-3B5E62F216FE}"/>
    <dgm:cxn modelId="{8DEDDCA4-B002-6348-871F-FD83E403356E}" type="presOf" srcId="{2D69D3FA-A1F2-4346-A3FB-D4F8A5227C22}" destId="{32346AB1-9FDD-0740-9916-4974069971C7}" srcOrd="0" destOrd="0" presId="urn:microsoft.com/office/officeart/2005/8/layout/process1"/>
    <dgm:cxn modelId="{47E987B3-4744-2C46-8826-F1E303907391}" type="presOf" srcId="{F8B4C47F-BB6C-AD44-B75B-C9C0B7998F10}" destId="{D4E2CD92-92DB-B342-A997-17FEB5813C00}" srcOrd="1" destOrd="0" presId="urn:microsoft.com/office/officeart/2005/8/layout/process1"/>
    <dgm:cxn modelId="{DE14ADB4-E912-9B4E-A683-C8BC61B4A74A}" type="presOf" srcId="{C10945F0-6E84-E54B-A9A9-3B5E62F216FE}" destId="{2CE10E12-1AC7-0348-BE4F-F3FEB5F02993}" srcOrd="0" destOrd="0" presId="urn:microsoft.com/office/officeart/2005/8/layout/process1"/>
    <dgm:cxn modelId="{17B90FBD-5476-1949-8100-88502E573DE5}" type="presOf" srcId="{1460A2E5-9A99-D14B-A110-A75B5E4D5FAC}" destId="{FFE95FED-0F60-7C42-AAB9-DB1859B0209B}" srcOrd="0" destOrd="0" presId="urn:microsoft.com/office/officeart/2005/8/layout/process1"/>
    <dgm:cxn modelId="{30A736BE-EE29-4C44-8F3A-4D6CB88EDAC8}" type="presOf" srcId="{3DF830CF-E797-ED4B-AE83-B6C24216EBDF}" destId="{EAD415FC-A6E1-4845-B062-8AD679F3FC47}" srcOrd="0" destOrd="0" presId="urn:microsoft.com/office/officeart/2005/8/layout/process1"/>
    <dgm:cxn modelId="{00B25DCD-4E87-0E40-A4E8-0031113B735F}" type="presOf" srcId="{1EFAFFDC-B15E-FC4F-A139-F0BAD2E837EF}" destId="{6ED0E369-F443-3C4D-ACC2-9676A8F05CDE}" srcOrd="0" destOrd="0" presId="urn:microsoft.com/office/officeart/2005/8/layout/process1"/>
    <dgm:cxn modelId="{4490ACDC-E33A-4D46-B675-7F82157DD77C}" type="presOf" srcId="{1460A2E5-9A99-D14B-A110-A75B5E4D5FAC}" destId="{D52903CE-6278-8F4D-AC9F-1350A69E2405}" srcOrd="1" destOrd="0" presId="urn:microsoft.com/office/officeart/2005/8/layout/process1"/>
    <dgm:cxn modelId="{5141E3DC-47A8-9945-B017-28990C5BF0BA}" srcId="{1EFAFFDC-B15E-FC4F-A139-F0BAD2E837EF}" destId="{2D69D3FA-A1F2-4346-A3FB-D4F8A5227C22}" srcOrd="0" destOrd="0" parTransId="{4D2AF706-4130-7742-8F62-63F2EC5EF16D}" sibTransId="{1460A2E5-9A99-D14B-A110-A75B5E4D5FAC}"/>
    <dgm:cxn modelId="{4C4B29E5-A189-7F47-91D2-6B335D617F5D}" type="presOf" srcId="{C10945F0-6E84-E54B-A9A9-3B5E62F216FE}" destId="{7E9EE5EC-3216-F945-B693-B00962CDED38}" srcOrd="1" destOrd="0" presId="urn:microsoft.com/office/officeart/2005/8/layout/process1"/>
    <dgm:cxn modelId="{D9F4BC5C-4334-F445-8FB5-AE03E2CB8CFE}" type="presParOf" srcId="{6ED0E369-F443-3C4D-ACC2-9676A8F05CDE}" destId="{32346AB1-9FDD-0740-9916-4974069971C7}" srcOrd="0" destOrd="0" presId="urn:microsoft.com/office/officeart/2005/8/layout/process1"/>
    <dgm:cxn modelId="{43789FC8-C17F-0D47-80D4-3B15437D5A62}" type="presParOf" srcId="{6ED0E369-F443-3C4D-ACC2-9676A8F05CDE}" destId="{FFE95FED-0F60-7C42-AAB9-DB1859B0209B}" srcOrd="1" destOrd="0" presId="urn:microsoft.com/office/officeart/2005/8/layout/process1"/>
    <dgm:cxn modelId="{1A2ECFC1-AD06-0641-8E80-9CD22BF2B243}" type="presParOf" srcId="{FFE95FED-0F60-7C42-AAB9-DB1859B0209B}" destId="{D52903CE-6278-8F4D-AC9F-1350A69E2405}" srcOrd="0" destOrd="0" presId="urn:microsoft.com/office/officeart/2005/8/layout/process1"/>
    <dgm:cxn modelId="{E4C7872A-71C2-A349-8588-EE67D42D8614}" type="presParOf" srcId="{6ED0E369-F443-3C4D-ACC2-9676A8F05CDE}" destId="{B38E4687-26DF-434F-9619-B7D3C6E8C128}" srcOrd="2" destOrd="0" presId="urn:microsoft.com/office/officeart/2005/8/layout/process1"/>
    <dgm:cxn modelId="{D6913BB7-3951-BA4A-BAD0-77FA6CB1469C}" type="presParOf" srcId="{6ED0E369-F443-3C4D-ACC2-9676A8F05CDE}" destId="{2CE10E12-1AC7-0348-BE4F-F3FEB5F02993}" srcOrd="3" destOrd="0" presId="urn:microsoft.com/office/officeart/2005/8/layout/process1"/>
    <dgm:cxn modelId="{1843F202-A6B6-CD4A-B1E6-958BC9FF2D02}" type="presParOf" srcId="{2CE10E12-1AC7-0348-BE4F-F3FEB5F02993}" destId="{7E9EE5EC-3216-F945-B693-B00962CDED38}" srcOrd="0" destOrd="0" presId="urn:microsoft.com/office/officeart/2005/8/layout/process1"/>
    <dgm:cxn modelId="{CBB0622C-F63C-3D4B-95CC-01E6B1C49E6B}" type="presParOf" srcId="{6ED0E369-F443-3C4D-ACC2-9676A8F05CDE}" destId="{B270A1B8-B36E-2E46-9DE8-0F7CE0D7A528}" srcOrd="4" destOrd="0" presId="urn:microsoft.com/office/officeart/2005/8/layout/process1"/>
    <dgm:cxn modelId="{07291EDE-1E87-3743-BAD6-CC0751CAFEB4}" type="presParOf" srcId="{6ED0E369-F443-3C4D-ACC2-9676A8F05CDE}" destId="{E678C308-792C-F94B-8152-112118CB0BE8}" srcOrd="5" destOrd="0" presId="urn:microsoft.com/office/officeart/2005/8/layout/process1"/>
    <dgm:cxn modelId="{9319B151-26E6-D845-803A-BA3841551FB6}" type="presParOf" srcId="{E678C308-792C-F94B-8152-112118CB0BE8}" destId="{D4E2CD92-92DB-B342-A997-17FEB5813C00}" srcOrd="0" destOrd="0" presId="urn:microsoft.com/office/officeart/2005/8/layout/process1"/>
    <dgm:cxn modelId="{8BDC1F0C-03FF-E641-B1D9-198A125416E4}" type="presParOf" srcId="{6ED0E369-F443-3C4D-ACC2-9676A8F05CDE}" destId="{EAD415FC-A6E1-4845-B062-8AD679F3FC47}" srcOrd="6"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EFAFFDC-B15E-FC4F-A139-F0BAD2E837EF}" type="doc">
      <dgm:prSet loTypeId="urn:microsoft.com/office/officeart/2005/8/layout/process1" loCatId="" qsTypeId="urn:microsoft.com/office/officeart/2005/8/quickstyle/simple1" qsCatId="simple" csTypeId="urn:microsoft.com/office/officeart/2005/8/colors/accent1_2" csCatId="accent1" phldr="1"/>
      <dgm:spPr/>
    </dgm:pt>
    <dgm:pt modelId="{2D69D3FA-A1F2-4346-A3FB-D4F8A5227C22}">
      <dgm:prSet phldrT="[Text]"/>
      <dgm:spPr/>
      <dgm:t>
        <a:bodyPr/>
        <a:lstStyle/>
        <a:p>
          <a:r>
            <a:rPr lang="en-US"/>
            <a:t>Media between the Body and the Soul</a:t>
          </a:r>
        </a:p>
      </dgm:t>
    </dgm:pt>
    <dgm:pt modelId="{4D2AF706-4130-7742-8F62-63F2EC5EF16D}" type="parTrans" cxnId="{5141E3DC-47A8-9945-B017-28990C5BF0BA}">
      <dgm:prSet/>
      <dgm:spPr/>
      <dgm:t>
        <a:bodyPr/>
        <a:lstStyle/>
        <a:p>
          <a:endParaRPr lang="en-US"/>
        </a:p>
      </dgm:t>
    </dgm:pt>
    <dgm:pt modelId="{1460A2E5-9A99-D14B-A110-A75B5E4D5FAC}" type="sibTrans" cxnId="{5141E3DC-47A8-9945-B017-28990C5BF0BA}">
      <dgm:prSet/>
      <dgm:spPr/>
      <dgm:t>
        <a:bodyPr/>
        <a:lstStyle/>
        <a:p>
          <a:endParaRPr lang="en-US"/>
        </a:p>
      </dgm:t>
    </dgm:pt>
    <dgm:pt modelId="{172A0DE0-E541-0D4F-B895-424B50A01252}">
      <dgm:prSet phldrT="[Text]"/>
      <dgm:spPr/>
      <dgm:t>
        <a:bodyPr/>
        <a:lstStyle/>
        <a:p>
          <a:r>
            <a:rPr lang="en-US"/>
            <a:t>Hugh of St Cher/Roland of Cremona</a:t>
          </a:r>
        </a:p>
      </dgm:t>
    </dgm:pt>
    <dgm:pt modelId="{969606C0-62E0-3F48-A0AC-1DFD8858CE03}" type="parTrans" cxnId="{B7B96221-511A-3C4A-B387-795C86C5A208}">
      <dgm:prSet/>
      <dgm:spPr/>
      <dgm:t>
        <a:bodyPr/>
        <a:lstStyle/>
        <a:p>
          <a:endParaRPr lang="en-US"/>
        </a:p>
      </dgm:t>
    </dgm:pt>
    <dgm:pt modelId="{F8B4C47F-BB6C-AD44-B75B-C9C0B7998F10}" type="sibTrans" cxnId="{B7B96221-511A-3C4A-B387-795C86C5A208}">
      <dgm:prSet/>
      <dgm:spPr/>
      <dgm:t>
        <a:bodyPr/>
        <a:lstStyle/>
        <a:p>
          <a:endParaRPr lang="en-US"/>
        </a:p>
      </dgm:t>
    </dgm:pt>
    <dgm:pt modelId="{3DF830CF-E797-ED4B-AE83-B6C24216EBDF}">
      <dgm:prSet/>
      <dgm:spPr/>
      <dgm:t>
        <a:bodyPr/>
        <a:lstStyle/>
        <a:p>
          <a:r>
            <a:rPr lang="en-US"/>
            <a:t>John of La Rochelle/</a:t>
          </a:r>
          <a:r>
            <a:rPr lang="en-US" i="1"/>
            <a:t>Summa Halensis</a:t>
          </a:r>
          <a:endParaRPr lang="en-US"/>
        </a:p>
      </dgm:t>
    </dgm:pt>
    <dgm:pt modelId="{38869FB4-0389-1B45-9119-3D280A7F37CD}" type="parTrans" cxnId="{C8104375-8C1C-4D41-86AB-3C675C11049C}">
      <dgm:prSet/>
      <dgm:spPr/>
      <dgm:t>
        <a:bodyPr/>
        <a:lstStyle/>
        <a:p>
          <a:endParaRPr lang="en-US"/>
        </a:p>
      </dgm:t>
    </dgm:pt>
    <dgm:pt modelId="{1448650B-C2A9-8746-891D-DA48E28C380C}" type="sibTrans" cxnId="{C8104375-8C1C-4D41-86AB-3C675C11049C}">
      <dgm:prSet/>
      <dgm:spPr/>
      <dgm:t>
        <a:bodyPr/>
        <a:lstStyle/>
        <a:p>
          <a:endParaRPr lang="en-US"/>
        </a:p>
      </dgm:t>
    </dgm:pt>
    <dgm:pt modelId="{4A876703-4EB7-1240-998C-7586C01E41F8}">
      <dgm:prSet/>
      <dgm:spPr/>
      <dgm:t>
        <a:bodyPr/>
        <a:lstStyle/>
        <a:p>
          <a:r>
            <a:rPr lang="en-US"/>
            <a:t>Philip the Chancellor</a:t>
          </a:r>
        </a:p>
      </dgm:t>
    </dgm:pt>
    <dgm:pt modelId="{F3E2B6B2-34A0-D64A-BA9C-5BBB0600C4EE}" type="parTrans" cxnId="{226E3277-70C6-D149-A353-A60983C481E4}">
      <dgm:prSet/>
      <dgm:spPr/>
    </dgm:pt>
    <dgm:pt modelId="{F6BD87EC-0A8C-B34D-BF9A-60500A639A5C}" type="sibTrans" cxnId="{226E3277-70C6-D149-A353-A60983C481E4}">
      <dgm:prSet/>
      <dgm:spPr/>
      <dgm:t>
        <a:bodyPr/>
        <a:lstStyle/>
        <a:p>
          <a:endParaRPr lang="en-US"/>
        </a:p>
      </dgm:t>
    </dgm:pt>
    <dgm:pt modelId="{6ED0E369-F443-3C4D-ACC2-9676A8F05CDE}" type="pres">
      <dgm:prSet presAssocID="{1EFAFFDC-B15E-FC4F-A139-F0BAD2E837EF}" presName="Name0" presStyleCnt="0">
        <dgm:presLayoutVars>
          <dgm:dir/>
          <dgm:resizeHandles val="exact"/>
        </dgm:presLayoutVars>
      </dgm:prSet>
      <dgm:spPr/>
    </dgm:pt>
    <dgm:pt modelId="{32346AB1-9FDD-0740-9916-4974069971C7}" type="pres">
      <dgm:prSet presAssocID="{2D69D3FA-A1F2-4346-A3FB-D4F8A5227C22}" presName="node" presStyleLbl="node1" presStyleIdx="0" presStyleCnt="4">
        <dgm:presLayoutVars>
          <dgm:bulletEnabled val="1"/>
        </dgm:presLayoutVars>
      </dgm:prSet>
      <dgm:spPr/>
    </dgm:pt>
    <dgm:pt modelId="{FFE95FED-0F60-7C42-AAB9-DB1859B0209B}" type="pres">
      <dgm:prSet presAssocID="{1460A2E5-9A99-D14B-A110-A75B5E4D5FAC}" presName="sibTrans" presStyleLbl="sibTrans2D1" presStyleIdx="0" presStyleCnt="3"/>
      <dgm:spPr/>
    </dgm:pt>
    <dgm:pt modelId="{D52903CE-6278-8F4D-AC9F-1350A69E2405}" type="pres">
      <dgm:prSet presAssocID="{1460A2E5-9A99-D14B-A110-A75B5E4D5FAC}" presName="connectorText" presStyleLbl="sibTrans2D1" presStyleIdx="0" presStyleCnt="3"/>
      <dgm:spPr/>
    </dgm:pt>
    <dgm:pt modelId="{14D8C040-6E53-3440-9D38-5264D58E5D3F}" type="pres">
      <dgm:prSet presAssocID="{4A876703-4EB7-1240-998C-7586C01E41F8}" presName="node" presStyleLbl="node1" presStyleIdx="1" presStyleCnt="4">
        <dgm:presLayoutVars>
          <dgm:bulletEnabled val="1"/>
        </dgm:presLayoutVars>
      </dgm:prSet>
      <dgm:spPr/>
    </dgm:pt>
    <dgm:pt modelId="{4145CAE3-CE38-6E4F-8395-67C9A4ABBFCB}" type="pres">
      <dgm:prSet presAssocID="{F6BD87EC-0A8C-B34D-BF9A-60500A639A5C}" presName="sibTrans" presStyleLbl="sibTrans2D1" presStyleIdx="1" presStyleCnt="3"/>
      <dgm:spPr/>
    </dgm:pt>
    <dgm:pt modelId="{5BFA3D58-AAD8-2A4F-B8ED-934D47D2A42F}" type="pres">
      <dgm:prSet presAssocID="{F6BD87EC-0A8C-B34D-BF9A-60500A639A5C}" presName="connectorText" presStyleLbl="sibTrans2D1" presStyleIdx="1" presStyleCnt="3"/>
      <dgm:spPr/>
    </dgm:pt>
    <dgm:pt modelId="{B270A1B8-B36E-2E46-9DE8-0F7CE0D7A528}" type="pres">
      <dgm:prSet presAssocID="{172A0DE0-E541-0D4F-B895-424B50A01252}" presName="node" presStyleLbl="node1" presStyleIdx="2" presStyleCnt="4">
        <dgm:presLayoutVars>
          <dgm:bulletEnabled val="1"/>
        </dgm:presLayoutVars>
      </dgm:prSet>
      <dgm:spPr/>
    </dgm:pt>
    <dgm:pt modelId="{E678C308-792C-F94B-8152-112118CB0BE8}" type="pres">
      <dgm:prSet presAssocID="{F8B4C47F-BB6C-AD44-B75B-C9C0B7998F10}" presName="sibTrans" presStyleLbl="sibTrans2D1" presStyleIdx="2" presStyleCnt="3"/>
      <dgm:spPr/>
    </dgm:pt>
    <dgm:pt modelId="{D4E2CD92-92DB-B342-A997-17FEB5813C00}" type="pres">
      <dgm:prSet presAssocID="{F8B4C47F-BB6C-AD44-B75B-C9C0B7998F10}" presName="connectorText" presStyleLbl="sibTrans2D1" presStyleIdx="2" presStyleCnt="3"/>
      <dgm:spPr/>
    </dgm:pt>
    <dgm:pt modelId="{EAD415FC-A6E1-4845-B062-8AD679F3FC47}" type="pres">
      <dgm:prSet presAssocID="{3DF830CF-E797-ED4B-AE83-B6C24216EBDF}" presName="node" presStyleLbl="node1" presStyleIdx="3" presStyleCnt="4">
        <dgm:presLayoutVars>
          <dgm:bulletEnabled val="1"/>
        </dgm:presLayoutVars>
      </dgm:prSet>
      <dgm:spPr/>
    </dgm:pt>
  </dgm:ptLst>
  <dgm:cxnLst>
    <dgm:cxn modelId="{3CBD730D-4004-C047-BDA1-D717919BF1AC}" type="presOf" srcId="{F8B4C47F-BB6C-AD44-B75B-C9C0B7998F10}" destId="{E678C308-792C-F94B-8152-112118CB0BE8}" srcOrd="0" destOrd="0" presId="urn:microsoft.com/office/officeart/2005/8/layout/process1"/>
    <dgm:cxn modelId="{FB78880E-99EE-9049-8D6B-8D3B70D22D82}" type="presOf" srcId="{F6BD87EC-0A8C-B34D-BF9A-60500A639A5C}" destId="{5BFA3D58-AAD8-2A4F-B8ED-934D47D2A42F}" srcOrd="1" destOrd="0" presId="urn:microsoft.com/office/officeart/2005/8/layout/process1"/>
    <dgm:cxn modelId="{B7B96221-511A-3C4A-B387-795C86C5A208}" srcId="{1EFAFFDC-B15E-FC4F-A139-F0BAD2E837EF}" destId="{172A0DE0-E541-0D4F-B895-424B50A01252}" srcOrd="2" destOrd="0" parTransId="{969606C0-62E0-3F48-A0AC-1DFD8858CE03}" sibTransId="{F8B4C47F-BB6C-AD44-B75B-C9C0B7998F10}"/>
    <dgm:cxn modelId="{BD1C2147-C0C9-E747-8B1A-0CA94D43D62C}" type="presOf" srcId="{172A0DE0-E541-0D4F-B895-424B50A01252}" destId="{B270A1B8-B36E-2E46-9DE8-0F7CE0D7A528}" srcOrd="0" destOrd="0" presId="urn:microsoft.com/office/officeart/2005/8/layout/process1"/>
    <dgm:cxn modelId="{C8104375-8C1C-4D41-86AB-3C675C11049C}" srcId="{1EFAFFDC-B15E-FC4F-A139-F0BAD2E837EF}" destId="{3DF830CF-E797-ED4B-AE83-B6C24216EBDF}" srcOrd="3" destOrd="0" parTransId="{38869FB4-0389-1B45-9119-3D280A7F37CD}" sibTransId="{1448650B-C2A9-8746-891D-DA48E28C380C}"/>
    <dgm:cxn modelId="{226E3277-70C6-D149-A353-A60983C481E4}" srcId="{1EFAFFDC-B15E-FC4F-A139-F0BAD2E837EF}" destId="{4A876703-4EB7-1240-998C-7586C01E41F8}" srcOrd="1" destOrd="0" parTransId="{F3E2B6B2-34A0-D64A-BA9C-5BBB0600C4EE}" sibTransId="{F6BD87EC-0A8C-B34D-BF9A-60500A639A5C}"/>
    <dgm:cxn modelId="{1F37CCA3-16A4-1F43-9061-9850CEF73DC6}" type="presOf" srcId="{F6BD87EC-0A8C-B34D-BF9A-60500A639A5C}" destId="{4145CAE3-CE38-6E4F-8395-67C9A4ABBFCB}" srcOrd="0" destOrd="0" presId="urn:microsoft.com/office/officeart/2005/8/layout/process1"/>
    <dgm:cxn modelId="{8DEDDCA4-B002-6348-871F-FD83E403356E}" type="presOf" srcId="{2D69D3FA-A1F2-4346-A3FB-D4F8A5227C22}" destId="{32346AB1-9FDD-0740-9916-4974069971C7}" srcOrd="0" destOrd="0" presId="urn:microsoft.com/office/officeart/2005/8/layout/process1"/>
    <dgm:cxn modelId="{47E987B3-4744-2C46-8826-F1E303907391}" type="presOf" srcId="{F8B4C47F-BB6C-AD44-B75B-C9C0B7998F10}" destId="{D4E2CD92-92DB-B342-A997-17FEB5813C00}" srcOrd="1" destOrd="0" presId="urn:microsoft.com/office/officeart/2005/8/layout/process1"/>
    <dgm:cxn modelId="{17B90FBD-5476-1949-8100-88502E573DE5}" type="presOf" srcId="{1460A2E5-9A99-D14B-A110-A75B5E4D5FAC}" destId="{FFE95FED-0F60-7C42-AAB9-DB1859B0209B}" srcOrd="0" destOrd="0" presId="urn:microsoft.com/office/officeart/2005/8/layout/process1"/>
    <dgm:cxn modelId="{30A736BE-EE29-4C44-8F3A-4D6CB88EDAC8}" type="presOf" srcId="{3DF830CF-E797-ED4B-AE83-B6C24216EBDF}" destId="{EAD415FC-A6E1-4845-B062-8AD679F3FC47}" srcOrd="0" destOrd="0" presId="urn:microsoft.com/office/officeart/2005/8/layout/process1"/>
    <dgm:cxn modelId="{F4DC38C9-30D8-174D-BE27-9960DF4CA96A}" type="presOf" srcId="{4A876703-4EB7-1240-998C-7586C01E41F8}" destId="{14D8C040-6E53-3440-9D38-5264D58E5D3F}" srcOrd="0" destOrd="0" presId="urn:microsoft.com/office/officeart/2005/8/layout/process1"/>
    <dgm:cxn modelId="{00B25DCD-4E87-0E40-A4E8-0031113B735F}" type="presOf" srcId="{1EFAFFDC-B15E-FC4F-A139-F0BAD2E837EF}" destId="{6ED0E369-F443-3C4D-ACC2-9676A8F05CDE}" srcOrd="0" destOrd="0" presId="urn:microsoft.com/office/officeart/2005/8/layout/process1"/>
    <dgm:cxn modelId="{4490ACDC-E33A-4D46-B675-7F82157DD77C}" type="presOf" srcId="{1460A2E5-9A99-D14B-A110-A75B5E4D5FAC}" destId="{D52903CE-6278-8F4D-AC9F-1350A69E2405}" srcOrd="1" destOrd="0" presId="urn:microsoft.com/office/officeart/2005/8/layout/process1"/>
    <dgm:cxn modelId="{5141E3DC-47A8-9945-B017-28990C5BF0BA}" srcId="{1EFAFFDC-B15E-FC4F-A139-F0BAD2E837EF}" destId="{2D69D3FA-A1F2-4346-A3FB-D4F8A5227C22}" srcOrd="0" destOrd="0" parTransId="{4D2AF706-4130-7742-8F62-63F2EC5EF16D}" sibTransId="{1460A2E5-9A99-D14B-A110-A75B5E4D5FAC}"/>
    <dgm:cxn modelId="{D9F4BC5C-4334-F445-8FB5-AE03E2CB8CFE}" type="presParOf" srcId="{6ED0E369-F443-3C4D-ACC2-9676A8F05CDE}" destId="{32346AB1-9FDD-0740-9916-4974069971C7}" srcOrd="0" destOrd="0" presId="urn:microsoft.com/office/officeart/2005/8/layout/process1"/>
    <dgm:cxn modelId="{43789FC8-C17F-0D47-80D4-3B15437D5A62}" type="presParOf" srcId="{6ED0E369-F443-3C4D-ACC2-9676A8F05CDE}" destId="{FFE95FED-0F60-7C42-AAB9-DB1859B0209B}" srcOrd="1" destOrd="0" presId="urn:microsoft.com/office/officeart/2005/8/layout/process1"/>
    <dgm:cxn modelId="{1A2ECFC1-AD06-0641-8E80-9CD22BF2B243}" type="presParOf" srcId="{FFE95FED-0F60-7C42-AAB9-DB1859B0209B}" destId="{D52903CE-6278-8F4D-AC9F-1350A69E2405}" srcOrd="0" destOrd="0" presId="urn:microsoft.com/office/officeart/2005/8/layout/process1"/>
    <dgm:cxn modelId="{1E293F44-7361-DF46-A41F-148FD81D9754}" type="presParOf" srcId="{6ED0E369-F443-3C4D-ACC2-9676A8F05CDE}" destId="{14D8C040-6E53-3440-9D38-5264D58E5D3F}" srcOrd="2" destOrd="0" presId="urn:microsoft.com/office/officeart/2005/8/layout/process1"/>
    <dgm:cxn modelId="{DE636777-82D0-D84A-9200-72837B71187F}" type="presParOf" srcId="{6ED0E369-F443-3C4D-ACC2-9676A8F05CDE}" destId="{4145CAE3-CE38-6E4F-8395-67C9A4ABBFCB}" srcOrd="3" destOrd="0" presId="urn:microsoft.com/office/officeart/2005/8/layout/process1"/>
    <dgm:cxn modelId="{A197FF53-A23A-BE49-A3D2-92965C0CB1E2}" type="presParOf" srcId="{4145CAE3-CE38-6E4F-8395-67C9A4ABBFCB}" destId="{5BFA3D58-AAD8-2A4F-B8ED-934D47D2A42F}" srcOrd="0" destOrd="0" presId="urn:microsoft.com/office/officeart/2005/8/layout/process1"/>
    <dgm:cxn modelId="{CBB0622C-F63C-3D4B-95CC-01E6B1C49E6B}" type="presParOf" srcId="{6ED0E369-F443-3C4D-ACC2-9676A8F05CDE}" destId="{B270A1B8-B36E-2E46-9DE8-0F7CE0D7A528}" srcOrd="4" destOrd="0" presId="urn:microsoft.com/office/officeart/2005/8/layout/process1"/>
    <dgm:cxn modelId="{07291EDE-1E87-3743-BAD6-CC0751CAFEB4}" type="presParOf" srcId="{6ED0E369-F443-3C4D-ACC2-9676A8F05CDE}" destId="{E678C308-792C-F94B-8152-112118CB0BE8}" srcOrd="5" destOrd="0" presId="urn:microsoft.com/office/officeart/2005/8/layout/process1"/>
    <dgm:cxn modelId="{9319B151-26E6-D845-803A-BA3841551FB6}" type="presParOf" srcId="{E678C308-792C-F94B-8152-112118CB0BE8}" destId="{D4E2CD92-92DB-B342-A997-17FEB5813C00}" srcOrd="0" destOrd="0" presId="urn:microsoft.com/office/officeart/2005/8/layout/process1"/>
    <dgm:cxn modelId="{8BDC1F0C-03FF-E641-B1D9-198A125416E4}" type="presParOf" srcId="{6ED0E369-F443-3C4D-ACC2-9676A8F05CDE}" destId="{EAD415FC-A6E1-4845-B062-8AD679F3FC47}" srcOrd="6" destOrd="0" presId="urn:microsoft.com/office/officeart/2005/8/layout/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EFAFFDC-B15E-FC4F-A139-F0BAD2E837EF}" type="doc">
      <dgm:prSet loTypeId="urn:microsoft.com/office/officeart/2005/8/layout/process1" loCatId="" qsTypeId="urn:microsoft.com/office/officeart/2005/8/quickstyle/simple1" qsCatId="simple" csTypeId="urn:microsoft.com/office/officeart/2005/8/colors/accent1_2" csCatId="accent1" phldr="1"/>
      <dgm:spPr/>
    </dgm:pt>
    <dgm:pt modelId="{2D69D3FA-A1F2-4346-A3FB-D4F8A5227C22}">
      <dgm:prSet phldrT="[Text]"/>
      <dgm:spPr/>
      <dgm:t>
        <a:bodyPr/>
        <a:lstStyle/>
        <a:p>
          <a:r>
            <a:rPr lang="en-US"/>
            <a:t>Unicity of the Soul</a:t>
          </a:r>
        </a:p>
      </dgm:t>
    </dgm:pt>
    <dgm:pt modelId="{4D2AF706-4130-7742-8F62-63F2EC5EF16D}" type="parTrans" cxnId="{5141E3DC-47A8-9945-B017-28990C5BF0BA}">
      <dgm:prSet/>
      <dgm:spPr/>
      <dgm:t>
        <a:bodyPr/>
        <a:lstStyle/>
        <a:p>
          <a:endParaRPr lang="en-US"/>
        </a:p>
      </dgm:t>
    </dgm:pt>
    <dgm:pt modelId="{1460A2E5-9A99-D14B-A110-A75B5E4D5FAC}" type="sibTrans" cxnId="{5141E3DC-47A8-9945-B017-28990C5BF0BA}">
      <dgm:prSet/>
      <dgm:spPr/>
      <dgm:t>
        <a:bodyPr/>
        <a:lstStyle/>
        <a:p>
          <a:endParaRPr lang="en-US"/>
        </a:p>
      </dgm:t>
    </dgm:pt>
    <dgm:pt modelId="{172A0DE0-E541-0D4F-B895-424B50A01252}">
      <dgm:prSet phldrT="[Text]"/>
      <dgm:spPr/>
      <dgm:t>
        <a:bodyPr/>
        <a:lstStyle/>
        <a:p>
          <a:r>
            <a:rPr lang="en-US"/>
            <a:t>Hugh of St Cher/Roland of Cremona</a:t>
          </a:r>
        </a:p>
      </dgm:t>
    </dgm:pt>
    <dgm:pt modelId="{969606C0-62E0-3F48-A0AC-1DFD8858CE03}" type="parTrans" cxnId="{B7B96221-511A-3C4A-B387-795C86C5A208}">
      <dgm:prSet/>
      <dgm:spPr/>
      <dgm:t>
        <a:bodyPr/>
        <a:lstStyle/>
        <a:p>
          <a:endParaRPr lang="en-US"/>
        </a:p>
      </dgm:t>
    </dgm:pt>
    <dgm:pt modelId="{F8B4C47F-BB6C-AD44-B75B-C9C0B7998F10}" type="sibTrans" cxnId="{B7B96221-511A-3C4A-B387-795C86C5A208}">
      <dgm:prSet/>
      <dgm:spPr/>
      <dgm:t>
        <a:bodyPr/>
        <a:lstStyle/>
        <a:p>
          <a:endParaRPr lang="en-US"/>
        </a:p>
      </dgm:t>
    </dgm:pt>
    <dgm:pt modelId="{3DF830CF-E797-ED4B-AE83-B6C24216EBDF}">
      <dgm:prSet/>
      <dgm:spPr/>
      <dgm:t>
        <a:bodyPr/>
        <a:lstStyle/>
        <a:p>
          <a:r>
            <a:rPr lang="en-US"/>
            <a:t>John of La Rochelle/</a:t>
          </a:r>
          <a:r>
            <a:rPr lang="en-US" i="1"/>
            <a:t>Summa Halensis</a:t>
          </a:r>
        </a:p>
      </dgm:t>
    </dgm:pt>
    <dgm:pt modelId="{38869FB4-0389-1B45-9119-3D280A7F37CD}" type="parTrans" cxnId="{C8104375-8C1C-4D41-86AB-3C675C11049C}">
      <dgm:prSet/>
      <dgm:spPr/>
      <dgm:t>
        <a:bodyPr/>
        <a:lstStyle/>
        <a:p>
          <a:endParaRPr lang="en-US"/>
        </a:p>
      </dgm:t>
    </dgm:pt>
    <dgm:pt modelId="{1448650B-C2A9-8746-891D-DA48E28C380C}" type="sibTrans" cxnId="{C8104375-8C1C-4D41-86AB-3C675C11049C}">
      <dgm:prSet/>
      <dgm:spPr/>
      <dgm:t>
        <a:bodyPr/>
        <a:lstStyle/>
        <a:p>
          <a:endParaRPr lang="en-US"/>
        </a:p>
      </dgm:t>
    </dgm:pt>
    <dgm:pt modelId="{FE62FD8B-6E16-4446-8844-904498CDB538}">
      <dgm:prSet/>
      <dgm:spPr/>
      <dgm:t>
        <a:bodyPr/>
        <a:lstStyle/>
        <a:p>
          <a:r>
            <a:rPr lang="en-US"/>
            <a:t>Gundissalinus/</a:t>
          </a:r>
        </a:p>
        <a:p>
          <a:r>
            <a:rPr lang="en-US"/>
            <a:t>John Blund</a:t>
          </a:r>
        </a:p>
      </dgm:t>
    </dgm:pt>
    <dgm:pt modelId="{78156054-7F27-6A43-979E-7B8922C3C0B0}" type="parTrans" cxnId="{C9BA989B-5305-E547-A697-0898BE42AE33}">
      <dgm:prSet/>
      <dgm:spPr/>
    </dgm:pt>
    <dgm:pt modelId="{C859DB8D-84CB-BD41-A447-0589BB371CA9}" type="sibTrans" cxnId="{C9BA989B-5305-E547-A697-0898BE42AE33}">
      <dgm:prSet/>
      <dgm:spPr/>
      <dgm:t>
        <a:bodyPr/>
        <a:lstStyle/>
        <a:p>
          <a:endParaRPr lang="en-US"/>
        </a:p>
      </dgm:t>
    </dgm:pt>
    <dgm:pt modelId="{58CDD93A-1114-8647-9B10-3DB689877112}">
      <dgm:prSet/>
      <dgm:spPr/>
      <dgm:t>
        <a:bodyPr/>
        <a:lstStyle/>
        <a:p>
          <a:r>
            <a:rPr lang="en-US"/>
            <a:t>Philip the Chancellor</a:t>
          </a:r>
        </a:p>
      </dgm:t>
    </dgm:pt>
    <dgm:pt modelId="{DC314CCD-F0A9-5747-9226-EFFF4F5C3C71}" type="parTrans" cxnId="{C12913FA-2853-3846-8611-F99F446786AE}">
      <dgm:prSet/>
      <dgm:spPr/>
    </dgm:pt>
    <dgm:pt modelId="{1D018407-1EE2-7742-AB8E-3F71D901C494}" type="sibTrans" cxnId="{C12913FA-2853-3846-8611-F99F446786AE}">
      <dgm:prSet/>
      <dgm:spPr/>
      <dgm:t>
        <a:bodyPr/>
        <a:lstStyle/>
        <a:p>
          <a:endParaRPr lang="en-US"/>
        </a:p>
      </dgm:t>
    </dgm:pt>
    <dgm:pt modelId="{6ED0E369-F443-3C4D-ACC2-9676A8F05CDE}" type="pres">
      <dgm:prSet presAssocID="{1EFAFFDC-B15E-FC4F-A139-F0BAD2E837EF}" presName="Name0" presStyleCnt="0">
        <dgm:presLayoutVars>
          <dgm:dir/>
          <dgm:resizeHandles val="exact"/>
        </dgm:presLayoutVars>
      </dgm:prSet>
      <dgm:spPr/>
    </dgm:pt>
    <dgm:pt modelId="{32346AB1-9FDD-0740-9916-4974069971C7}" type="pres">
      <dgm:prSet presAssocID="{2D69D3FA-A1F2-4346-A3FB-D4F8A5227C22}" presName="node" presStyleLbl="node1" presStyleIdx="0" presStyleCnt="5">
        <dgm:presLayoutVars>
          <dgm:bulletEnabled val="1"/>
        </dgm:presLayoutVars>
      </dgm:prSet>
      <dgm:spPr/>
    </dgm:pt>
    <dgm:pt modelId="{FFE95FED-0F60-7C42-AAB9-DB1859B0209B}" type="pres">
      <dgm:prSet presAssocID="{1460A2E5-9A99-D14B-A110-A75B5E4D5FAC}" presName="sibTrans" presStyleLbl="sibTrans2D1" presStyleIdx="0" presStyleCnt="4"/>
      <dgm:spPr/>
    </dgm:pt>
    <dgm:pt modelId="{D52903CE-6278-8F4D-AC9F-1350A69E2405}" type="pres">
      <dgm:prSet presAssocID="{1460A2E5-9A99-D14B-A110-A75B5E4D5FAC}" presName="connectorText" presStyleLbl="sibTrans2D1" presStyleIdx="0" presStyleCnt="4"/>
      <dgm:spPr/>
    </dgm:pt>
    <dgm:pt modelId="{BD20073E-6004-6B44-85C1-FAB57FB1F1BA}" type="pres">
      <dgm:prSet presAssocID="{FE62FD8B-6E16-4446-8844-904498CDB538}" presName="node" presStyleLbl="node1" presStyleIdx="1" presStyleCnt="5">
        <dgm:presLayoutVars>
          <dgm:bulletEnabled val="1"/>
        </dgm:presLayoutVars>
      </dgm:prSet>
      <dgm:spPr/>
    </dgm:pt>
    <dgm:pt modelId="{B07B915D-287B-E948-9105-E480AB2120DB}" type="pres">
      <dgm:prSet presAssocID="{C859DB8D-84CB-BD41-A447-0589BB371CA9}" presName="sibTrans" presStyleLbl="sibTrans2D1" presStyleIdx="1" presStyleCnt="4"/>
      <dgm:spPr/>
    </dgm:pt>
    <dgm:pt modelId="{59279163-38B4-5640-8A67-6B609C1BF879}" type="pres">
      <dgm:prSet presAssocID="{C859DB8D-84CB-BD41-A447-0589BB371CA9}" presName="connectorText" presStyleLbl="sibTrans2D1" presStyleIdx="1" presStyleCnt="4"/>
      <dgm:spPr/>
    </dgm:pt>
    <dgm:pt modelId="{0C4CD643-0059-7A42-8F10-CED63428358B}" type="pres">
      <dgm:prSet presAssocID="{58CDD93A-1114-8647-9B10-3DB689877112}" presName="node" presStyleLbl="node1" presStyleIdx="2" presStyleCnt="5">
        <dgm:presLayoutVars>
          <dgm:bulletEnabled val="1"/>
        </dgm:presLayoutVars>
      </dgm:prSet>
      <dgm:spPr/>
    </dgm:pt>
    <dgm:pt modelId="{86CAD80A-D5A1-7440-AE1D-3C4FAEF4DCE5}" type="pres">
      <dgm:prSet presAssocID="{1D018407-1EE2-7742-AB8E-3F71D901C494}" presName="sibTrans" presStyleLbl="sibTrans2D1" presStyleIdx="2" presStyleCnt="4"/>
      <dgm:spPr/>
    </dgm:pt>
    <dgm:pt modelId="{A93872E4-A461-5C41-8132-63FEEB205645}" type="pres">
      <dgm:prSet presAssocID="{1D018407-1EE2-7742-AB8E-3F71D901C494}" presName="connectorText" presStyleLbl="sibTrans2D1" presStyleIdx="2" presStyleCnt="4"/>
      <dgm:spPr/>
    </dgm:pt>
    <dgm:pt modelId="{B270A1B8-B36E-2E46-9DE8-0F7CE0D7A528}" type="pres">
      <dgm:prSet presAssocID="{172A0DE0-E541-0D4F-B895-424B50A01252}" presName="node" presStyleLbl="node1" presStyleIdx="3" presStyleCnt="5">
        <dgm:presLayoutVars>
          <dgm:bulletEnabled val="1"/>
        </dgm:presLayoutVars>
      </dgm:prSet>
      <dgm:spPr/>
    </dgm:pt>
    <dgm:pt modelId="{E678C308-792C-F94B-8152-112118CB0BE8}" type="pres">
      <dgm:prSet presAssocID="{F8B4C47F-BB6C-AD44-B75B-C9C0B7998F10}" presName="sibTrans" presStyleLbl="sibTrans2D1" presStyleIdx="3" presStyleCnt="4"/>
      <dgm:spPr/>
    </dgm:pt>
    <dgm:pt modelId="{D4E2CD92-92DB-B342-A997-17FEB5813C00}" type="pres">
      <dgm:prSet presAssocID="{F8B4C47F-BB6C-AD44-B75B-C9C0B7998F10}" presName="connectorText" presStyleLbl="sibTrans2D1" presStyleIdx="3" presStyleCnt="4"/>
      <dgm:spPr/>
    </dgm:pt>
    <dgm:pt modelId="{EAD415FC-A6E1-4845-B062-8AD679F3FC47}" type="pres">
      <dgm:prSet presAssocID="{3DF830CF-E797-ED4B-AE83-B6C24216EBDF}" presName="node" presStyleLbl="node1" presStyleIdx="4" presStyleCnt="5">
        <dgm:presLayoutVars>
          <dgm:bulletEnabled val="1"/>
        </dgm:presLayoutVars>
      </dgm:prSet>
      <dgm:spPr/>
    </dgm:pt>
  </dgm:ptLst>
  <dgm:cxnLst>
    <dgm:cxn modelId="{3CBD730D-4004-C047-BDA1-D717919BF1AC}" type="presOf" srcId="{F8B4C47F-BB6C-AD44-B75B-C9C0B7998F10}" destId="{E678C308-792C-F94B-8152-112118CB0BE8}" srcOrd="0" destOrd="0" presId="urn:microsoft.com/office/officeart/2005/8/layout/process1"/>
    <dgm:cxn modelId="{B7B96221-511A-3C4A-B387-795C86C5A208}" srcId="{1EFAFFDC-B15E-FC4F-A139-F0BAD2E837EF}" destId="{172A0DE0-E541-0D4F-B895-424B50A01252}" srcOrd="3" destOrd="0" parTransId="{969606C0-62E0-3F48-A0AC-1DFD8858CE03}" sibTransId="{F8B4C47F-BB6C-AD44-B75B-C9C0B7998F10}"/>
    <dgm:cxn modelId="{BD1C2147-C0C9-E747-8B1A-0CA94D43D62C}" type="presOf" srcId="{172A0DE0-E541-0D4F-B895-424B50A01252}" destId="{B270A1B8-B36E-2E46-9DE8-0F7CE0D7A528}" srcOrd="0" destOrd="0" presId="urn:microsoft.com/office/officeart/2005/8/layout/process1"/>
    <dgm:cxn modelId="{06EFAC61-3DB3-C641-BDEB-F76B9279A22D}" type="presOf" srcId="{58CDD93A-1114-8647-9B10-3DB689877112}" destId="{0C4CD643-0059-7A42-8F10-CED63428358B}" srcOrd="0" destOrd="0" presId="urn:microsoft.com/office/officeart/2005/8/layout/process1"/>
    <dgm:cxn modelId="{35918274-94BD-A947-BBF8-EC24189C5D91}" type="presOf" srcId="{C859DB8D-84CB-BD41-A447-0589BB371CA9}" destId="{B07B915D-287B-E948-9105-E480AB2120DB}" srcOrd="0" destOrd="0" presId="urn:microsoft.com/office/officeart/2005/8/layout/process1"/>
    <dgm:cxn modelId="{C8104375-8C1C-4D41-86AB-3C675C11049C}" srcId="{1EFAFFDC-B15E-FC4F-A139-F0BAD2E837EF}" destId="{3DF830CF-E797-ED4B-AE83-B6C24216EBDF}" srcOrd="4" destOrd="0" parTransId="{38869FB4-0389-1B45-9119-3D280A7F37CD}" sibTransId="{1448650B-C2A9-8746-891D-DA48E28C380C}"/>
    <dgm:cxn modelId="{C9BA989B-5305-E547-A697-0898BE42AE33}" srcId="{1EFAFFDC-B15E-FC4F-A139-F0BAD2E837EF}" destId="{FE62FD8B-6E16-4446-8844-904498CDB538}" srcOrd="1" destOrd="0" parTransId="{78156054-7F27-6A43-979E-7B8922C3C0B0}" sibTransId="{C859DB8D-84CB-BD41-A447-0589BB371CA9}"/>
    <dgm:cxn modelId="{8DEDDCA4-B002-6348-871F-FD83E403356E}" type="presOf" srcId="{2D69D3FA-A1F2-4346-A3FB-D4F8A5227C22}" destId="{32346AB1-9FDD-0740-9916-4974069971C7}" srcOrd="0" destOrd="0" presId="urn:microsoft.com/office/officeart/2005/8/layout/process1"/>
    <dgm:cxn modelId="{96A093AA-A743-2E41-9C0F-EDDEE5539149}" type="presOf" srcId="{1D018407-1EE2-7742-AB8E-3F71D901C494}" destId="{86CAD80A-D5A1-7440-AE1D-3C4FAEF4DCE5}" srcOrd="0" destOrd="0" presId="urn:microsoft.com/office/officeart/2005/8/layout/process1"/>
    <dgm:cxn modelId="{47E987B3-4744-2C46-8826-F1E303907391}" type="presOf" srcId="{F8B4C47F-BB6C-AD44-B75B-C9C0B7998F10}" destId="{D4E2CD92-92DB-B342-A997-17FEB5813C00}" srcOrd="1" destOrd="0" presId="urn:microsoft.com/office/officeart/2005/8/layout/process1"/>
    <dgm:cxn modelId="{DC6922B8-8719-274E-B93D-2074157CF775}" type="presOf" srcId="{FE62FD8B-6E16-4446-8844-904498CDB538}" destId="{BD20073E-6004-6B44-85C1-FAB57FB1F1BA}" srcOrd="0" destOrd="0" presId="urn:microsoft.com/office/officeart/2005/8/layout/process1"/>
    <dgm:cxn modelId="{17B90FBD-5476-1949-8100-88502E573DE5}" type="presOf" srcId="{1460A2E5-9A99-D14B-A110-A75B5E4D5FAC}" destId="{FFE95FED-0F60-7C42-AAB9-DB1859B0209B}" srcOrd="0" destOrd="0" presId="urn:microsoft.com/office/officeart/2005/8/layout/process1"/>
    <dgm:cxn modelId="{30A736BE-EE29-4C44-8F3A-4D6CB88EDAC8}" type="presOf" srcId="{3DF830CF-E797-ED4B-AE83-B6C24216EBDF}" destId="{EAD415FC-A6E1-4845-B062-8AD679F3FC47}" srcOrd="0" destOrd="0" presId="urn:microsoft.com/office/officeart/2005/8/layout/process1"/>
    <dgm:cxn modelId="{00B25DCD-4E87-0E40-A4E8-0031113B735F}" type="presOf" srcId="{1EFAFFDC-B15E-FC4F-A139-F0BAD2E837EF}" destId="{6ED0E369-F443-3C4D-ACC2-9676A8F05CDE}" srcOrd="0" destOrd="0" presId="urn:microsoft.com/office/officeart/2005/8/layout/process1"/>
    <dgm:cxn modelId="{4490ACDC-E33A-4D46-B675-7F82157DD77C}" type="presOf" srcId="{1460A2E5-9A99-D14B-A110-A75B5E4D5FAC}" destId="{D52903CE-6278-8F4D-AC9F-1350A69E2405}" srcOrd="1" destOrd="0" presId="urn:microsoft.com/office/officeart/2005/8/layout/process1"/>
    <dgm:cxn modelId="{5141E3DC-47A8-9945-B017-28990C5BF0BA}" srcId="{1EFAFFDC-B15E-FC4F-A139-F0BAD2E837EF}" destId="{2D69D3FA-A1F2-4346-A3FB-D4F8A5227C22}" srcOrd="0" destOrd="0" parTransId="{4D2AF706-4130-7742-8F62-63F2EC5EF16D}" sibTransId="{1460A2E5-9A99-D14B-A110-A75B5E4D5FAC}"/>
    <dgm:cxn modelId="{62E105E3-75A2-F84D-A386-D2C1B81885CA}" type="presOf" srcId="{1D018407-1EE2-7742-AB8E-3F71D901C494}" destId="{A93872E4-A461-5C41-8132-63FEEB205645}" srcOrd="1" destOrd="0" presId="urn:microsoft.com/office/officeart/2005/8/layout/process1"/>
    <dgm:cxn modelId="{22E7DDF5-02A9-CB43-9C4B-FC175FE862F5}" type="presOf" srcId="{C859DB8D-84CB-BD41-A447-0589BB371CA9}" destId="{59279163-38B4-5640-8A67-6B609C1BF879}" srcOrd="1" destOrd="0" presId="urn:microsoft.com/office/officeart/2005/8/layout/process1"/>
    <dgm:cxn modelId="{C12913FA-2853-3846-8611-F99F446786AE}" srcId="{1EFAFFDC-B15E-FC4F-A139-F0BAD2E837EF}" destId="{58CDD93A-1114-8647-9B10-3DB689877112}" srcOrd="2" destOrd="0" parTransId="{DC314CCD-F0A9-5747-9226-EFFF4F5C3C71}" sibTransId="{1D018407-1EE2-7742-AB8E-3F71D901C494}"/>
    <dgm:cxn modelId="{D9F4BC5C-4334-F445-8FB5-AE03E2CB8CFE}" type="presParOf" srcId="{6ED0E369-F443-3C4D-ACC2-9676A8F05CDE}" destId="{32346AB1-9FDD-0740-9916-4974069971C7}" srcOrd="0" destOrd="0" presId="urn:microsoft.com/office/officeart/2005/8/layout/process1"/>
    <dgm:cxn modelId="{43789FC8-C17F-0D47-80D4-3B15437D5A62}" type="presParOf" srcId="{6ED0E369-F443-3C4D-ACC2-9676A8F05CDE}" destId="{FFE95FED-0F60-7C42-AAB9-DB1859B0209B}" srcOrd="1" destOrd="0" presId="urn:microsoft.com/office/officeart/2005/8/layout/process1"/>
    <dgm:cxn modelId="{1A2ECFC1-AD06-0641-8E80-9CD22BF2B243}" type="presParOf" srcId="{FFE95FED-0F60-7C42-AAB9-DB1859B0209B}" destId="{D52903CE-6278-8F4D-AC9F-1350A69E2405}" srcOrd="0" destOrd="0" presId="urn:microsoft.com/office/officeart/2005/8/layout/process1"/>
    <dgm:cxn modelId="{01F29EFF-E1C4-D142-AC8D-E9144BAEF40B}" type="presParOf" srcId="{6ED0E369-F443-3C4D-ACC2-9676A8F05CDE}" destId="{BD20073E-6004-6B44-85C1-FAB57FB1F1BA}" srcOrd="2" destOrd="0" presId="urn:microsoft.com/office/officeart/2005/8/layout/process1"/>
    <dgm:cxn modelId="{9ED3EBBF-F75F-044A-B556-9996676DBF9B}" type="presParOf" srcId="{6ED0E369-F443-3C4D-ACC2-9676A8F05CDE}" destId="{B07B915D-287B-E948-9105-E480AB2120DB}" srcOrd="3" destOrd="0" presId="urn:microsoft.com/office/officeart/2005/8/layout/process1"/>
    <dgm:cxn modelId="{548C2B61-3083-5C4C-97DE-5D79459E3E2F}" type="presParOf" srcId="{B07B915D-287B-E948-9105-E480AB2120DB}" destId="{59279163-38B4-5640-8A67-6B609C1BF879}" srcOrd="0" destOrd="0" presId="urn:microsoft.com/office/officeart/2005/8/layout/process1"/>
    <dgm:cxn modelId="{1F7F7DB3-849F-C740-941A-13D7CB8021F1}" type="presParOf" srcId="{6ED0E369-F443-3C4D-ACC2-9676A8F05CDE}" destId="{0C4CD643-0059-7A42-8F10-CED63428358B}" srcOrd="4" destOrd="0" presId="urn:microsoft.com/office/officeart/2005/8/layout/process1"/>
    <dgm:cxn modelId="{DB9E6E6B-80E4-1B45-BFFE-94394738B3FB}" type="presParOf" srcId="{6ED0E369-F443-3C4D-ACC2-9676A8F05CDE}" destId="{86CAD80A-D5A1-7440-AE1D-3C4FAEF4DCE5}" srcOrd="5" destOrd="0" presId="urn:microsoft.com/office/officeart/2005/8/layout/process1"/>
    <dgm:cxn modelId="{CDAD2672-9A98-664B-8BEA-3975A783CE50}" type="presParOf" srcId="{86CAD80A-D5A1-7440-AE1D-3C4FAEF4DCE5}" destId="{A93872E4-A461-5C41-8132-63FEEB205645}" srcOrd="0" destOrd="0" presId="urn:microsoft.com/office/officeart/2005/8/layout/process1"/>
    <dgm:cxn modelId="{CBB0622C-F63C-3D4B-95CC-01E6B1C49E6B}" type="presParOf" srcId="{6ED0E369-F443-3C4D-ACC2-9676A8F05CDE}" destId="{B270A1B8-B36E-2E46-9DE8-0F7CE0D7A528}" srcOrd="6" destOrd="0" presId="urn:microsoft.com/office/officeart/2005/8/layout/process1"/>
    <dgm:cxn modelId="{07291EDE-1E87-3743-BAD6-CC0751CAFEB4}" type="presParOf" srcId="{6ED0E369-F443-3C4D-ACC2-9676A8F05CDE}" destId="{E678C308-792C-F94B-8152-112118CB0BE8}" srcOrd="7" destOrd="0" presId="urn:microsoft.com/office/officeart/2005/8/layout/process1"/>
    <dgm:cxn modelId="{9319B151-26E6-D845-803A-BA3841551FB6}" type="presParOf" srcId="{E678C308-792C-F94B-8152-112118CB0BE8}" destId="{D4E2CD92-92DB-B342-A997-17FEB5813C00}" srcOrd="0" destOrd="0" presId="urn:microsoft.com/office/officeart/2005/8/layout/process1"/>
    <dgm:cxn modelId="{8BDC1F0C-03FF-E641-B1D9-198A125416E4}" type="presParOf" srcId="{6ED0E369-F443-3C4D-ACC2-9676A8F05CDE}" destId="{EAD415FC-A6E1-4845-B062-8AD679F3FC47}" srcOrd="8" destOrd="0" presId="urn:microsoft.com/office/officeart/2005/8/layout/process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9CEE423-8F0A-D844-9029-5CBE9223A3D2}" type="doc">
      <dgm:prSet loTypeId="urn:microsoft.com/office/officeart/2005/8/layout/vList2" loCatId="process" qsTypeId="urn:microsoft.com/office/officeart/2005/8/quickstyle/simple1" qsCatId="simple" csTypeId="urn:microsoft.com/office/officeart/2005/8/colors/accent1_2" csCatId="accent1" phldr="1"/>
      <dgm:spPr/>
      <dgm:t>
        <a:bodyPr/>
        <a:lstStyle/>
        <a:p>
          <a:endParaRPr lang="en-GB"/>
        </a:p>
      </dgm:t>
    </dgm:pt>
    <dgm:pt modelId="{896F33E7-5968-CF47-A870-B28277E30033}">
      <dgm:prSet phldrT="[Text]"/>
      <dgm:spPr/>
      <dgm:t>
        <a:bodyPr/>
        <a:lstStyle/>
        <a:p>
          <a:r>
            <a:rPr lang="en-GB"/>
            <a:t>Passive Power</a:t>
          </a:r>
        </a:p>
      </dgm:t>
    </dgm:pt>
    <dgm:pt modelId="{C4C1F499-DFEB-914C-9703-A3FBEACBE5A7}" type="parTrans" cxnId="{8AB32579-BBDD-DF4E-8A70-ABA3C9B5F96F}">
      <dgm:prSet/>
      <dgm:spPr/>
      <dgm:t>
        <a:bodyPr/>
        <a:lstStyle/>
        <a:p>
          <a:endParaRPr lang="en-GB"/>
        </a:p>
      </dgm:t>
    </dgm:pt>
    <dgm:pt modelId="{01A26432-BBE2-4047-8354-387AA508CCDF}" type="sibTrans" cxnId="{8AB32579-BBDD-DF4E-8A70-ABA3C9B5F96F}">
      <dgm:prSet/>
      <dgm:spPr/>
      <dgm:t>
        <a:bodyPr/>
        <a:lstStyle/>
        <a:p>
          <a:endParaRPr lang="en-GB"/>
        </a:p>
      </dgm:t>
    </dgm:pt>
    <dgm:pt modelId="{F9AD0137-49CA-844D-823A-737246C24508}">
      <dgm:prSet phldrT="[Text]"/>
      <dgm:spPr/>
      <dgm:t>
        <a:bodyPr/>
        <a:lstStyle/>
        <a:p>
          <a:r>
            <a:rPr lang="en-GB"/>
            <a:t>Connected to the body, perishes with it</a:t>
          </a:r>
        </a:p>
      </dgm:t>
    </dgm:pt>
    <dgm:pt modelId="{6B4FC316-0A54-AC4A-A2BA-A59378D16453}" type="parTrans" cxnId="{189824B1-09CF-EC44-B571-CE48D02738F2}">
      <dgm:prSet/>
      <dgm:spPr/>
      <dgm:t>
        <a:bodyPr/>
        <a:lstStyle/>
        <a:p>
          <a:endParaRPr lang="en-GB"/>
        </a:p>
      </dgm:t>
    </dgm:pt>
    <dgm:pt modelId="{FDD7484D-1386-424B-A381-C372E1EF126C}" type="sibTrans" cxnId="{189824B1-09CF-EC44-B571-CE48D02738F2}">
      <dgm:prSet/>
      <dgm:spPr/>
      <dgm:t>
        <a:bodyPr/>
        <a:lstStyle/>
        <a:p>
          <a:endParaRPr lang="en-GB"/>
        </a:p>
      </dgm:t>
    </dgm:pt>
    <dgm:pt modelId="{F0B4F4EC-7A1E-F44D-B674-019916BE3F49}">
      <dgm:prSet phldrT="[Text]"/>
      <dgm:spPr/>
      <dgm:t>
        <a:bodyPr/>
        <a:lstStyle/>
        <a:p>
          <a:r>
            <a:rPr lang="en-GB"/>
            <a:t>Active Power</a:t>
          </a:r>
        </a:p>
      </dgm:t>
    </dgm:pt>
    <dgm:pt modelId="{A4476277-6900-7847-8552-DDF9E895033C}" type="parTrans" cxnId="{97184E5D-D9AC-3144-A5FB-9B8C0ABFA19C}">
      <dgm:prSet/>
      <dgm:spPr/>
      <dgm:t>
        <a:bodyPr/>
        <a:lstStyle/>
        <a:p>
          <a:endParaRPr lang="en-GB"/>
        </a:p>
      </dgm:t>
    </dgm:pt>
    <dgm:pt modelId="{85B41318-2CCB-0440-8F25-08E3F4D0958D}" type="sibTrans" cxnId="{97184E5D-D9AC-3144-A5FB-9B8C0ABFA19C}">
      <dgm:prSet/>
      <dgm:spPr/>
      <dgm:t>
        <a:bodyPr/>
        <a:lstStyle/>
        <a:p>
          <a:endParaRPr lang="en-GB"/>
        </a:p>
      </dgm:t>
    </dgm:pt>
    <dgm:pt modelId="{C2ED4074-B949-0847-8F3C-82AE2A473ED0}">
      <dgm:prSet phldrT="[Text]"/>
      <dgm:spPr/>
      <dgm:t>
        <a:bodyPr/>
        <a:lstStyle/>
        <a:p>
          <a:r>
            <a:rPr lang="en-GB"/>
            <a:t>Distinct from the body, eternal</a:t>
          </a:r>
        </a:p>
      </dgm:t>
    </dgm:pt>
    <dgm:pt modelId="{6839CD9D-2442-3C41-9133-4D95D4AF377B}" type="parTrans" cxnId="{A2C0405D-E089-5D42-B29D-1E660BB5DEE3}">
      <dgm:prSet/>
      <dgm:spPr/>
      <dgm:t>
        <a:bodyPr/>
        <a:lstStyle/>
        <a:p>
          <a:endParaRPr lang="en-GB"/>
        </a:p>
      </dgm:t>
    </dgm:pt>
    <dgm:pt modelId="{998F1435-74C9-6C44-A07A-D76CDFBC48B1}" type="sibTrans" cxnId="{A2C0405D-E089-5D42-B29D-1E660BB5DEE3}">
      <dgm:prSet/>
      <dgm:spPr/>
      <dgm:t>
        <a:bodyPr/>
        <a:lstStyle/>
        <a:p>
          <a:endParaRPr lang="en-GB"/>
        </a:p>
      </dgm:t>
    </dgm:pt>
    <dgm:pt modelId="{6431749E-4A58-CC4B-B8CC-E44F754586EA}" type="pres">
      <dgm:prSet presAssocID="{A9CEE423-8F0A-D844-9029-5CBE9223A3D2}" presName="linear" presStyleCnt="0">
        <dgm:presLayoutVars>
          <dgm:animLvl val="lvl"/>
          <dgm:resizeHandles val="exact"/>
        </dgm:presLayoutVars>
      </dgm:prSet>
      <dgm:spPr/>
    </dgm:pt>
    <dgm:pt modelId="{41D3031B-5693-E54C-AC7C-718C875BD747}" type="pres">
      <dgm:prSet presAssocID="{896F33E7-5968-CF47-A870-B28277E30033}" presName="parentText" presStyleLbl="node1" presStyleIdx="0" presStyleCnt="2">
        <dgm:presLayoutVars>
          <dgm:chMax val="0"/>
          <dgm:bulletEnabled val="1"/>
        </dgm:presLayoutVars>
      </dgm:prSet>
      <dgm:spPr/>
    </dgm:pt>
    <dgm:pt modelId="{F974B195-9AD8-9541-9EAF-EE3844499901}" type="pres">
      <dgm:prSet presAssocID="{896F33E7-5968-CF47-A870-B28277E30033}" presName="childText" presStyleLbl="revTx" presStyleIdx="0" presStyleCnt="2">
        <dgm:presLayoutVars>
          <dgm:bulletEnabled val="1"/>
        </dgm:presLayoutVars>
      </dgm:prSet>
      <dgm:spPr/>
    </dgm:pt>
    <dgm:pt modelId="{BE4AEFD8-AA9E-D247-AB3B-B1E34FD5BA16}" type="pres">
      <dgm:prSet presAssocID="{F0B4F4EC-7A1E-F44D-B674-019916BE3F49}" presName="parentText" presStyleLbl="node1" presStyleIdx="1" presStyleCnt="2">
        <dgm:presLayoutVars>
          <dgm:chMax val="0"/>
          <dgm:bulletEnabled val="1"/>
        </dgm:presLayoutVars>
      </dgm:prSet>
      <dgm:spPr/>
    </dgm:pt>
    <dgm:pt modelId="{5EE81053-4898-1949-88E9-D1838DE8ED1D}" type="pres">
      <dgm:prSet presAssocID="{F0B4F4EC-7A1E-F44D-B674-019916BE3F49}" presName="childText" presStyleLbl="revTx" presStyleIdx="1" presStyleCnt="2">
        <dgm:presLayoutVars>
          <dgm:bulletEnabled val="1"/>
        </dgm:presLayoutVars>
      </dgm:prSet>
      <dgm:spPr/>
    </dgm:pt>
  </dgm:ptLst>
  <dgm:cxnLst>
    <dgm:cxn modelId="{5AD0F832-762A-764F-8083-149EB7B60C6A}" type="presOf" srcId="{C2ED4074-B949-0847-8F3C-82AE2A473ED0}" destId="{5EE81053-4898-1949-88E9-D1838DE8ED1D}" srcOrd="0" destOrd="0" presId="urn:microsoft.com/office/officeart/2005/8/layout/vList2"/>
    <dgm:cxn modelId="{96982547-F4D9-CC4B-B2A8-0F4B44177569}" type="presOf" srcId="{F9AD0137-49CA-844D-823A-737246C24508}" destId="{F974B195-9AD8-9541-9EAF-EE3844499901}" srcOrd="0" destOrd="0" presId="urn:microsoft.com/office/officeart/2005/8/layout/vList2"/>
    <dgm:cxn modelId="{E1AB2D4F-0643-9E47-98E0-310C7F40E502}" type="presOf" srcId="{896F33E7-5968-CF47-A870-B28277E30033}" destId="{41D3031B-5693-E54C-AC7C-718C875BD747}" srcOrd="0" destOrd="0" presId="urn:microsoft.com/office/officeart/2005/8/layout/vList2"/>
    <dgm:cxn modelId="{A2C0405D-E089-5D42-B29D-1E660BB5DEE3}" srcId="{F0B4F4EC-7A1E-F44D-B674-019916BE3F49}" destId="{C2ED4074-B949-0847-8F3C-82AE2A473ED0}" srcOrd="0" destOrd="0" parTransId="{6839CD9D-2442-3C41-9133-4D95D4AF377B}" sibTransId="{998F1435-74C9-6C44-A07A-D76CDFBC48B1}"/>
    <dgm:cxn modelId="{97184E5D-D9AC-3144-A5FB-9B8C0ABFA19C}" srcId="{A9CEE423-8F0A-D844-9029-5CBE9223A3D2}" destId="{F0B4F4EC-7A1E-F44D-B674-019916BE3F49}" srcOrd="1" destOrd="0" parTransId="{A4476277-6900-7847-8552-DDF9E895033C}" sibTransId="{85B41318-2CCB-0440-8F25-08E3F4D0958D}"/>
    <dgm:cxn modelId="{8AB32579-BBDD-DF4E-8A70-ABA3C9B5F96F}" srcId="{A9CEE423-8F0A-D844-9029-5CBE9223A3D2}" destId="{896F33E7-5968-CF47-A870-B28277E30033}" srcOrd="0" destOrd="0" parTransId="{C4C1F499-DFEB-914C-9703-A3FBEACBE5A7}" sibTransId="{01A26432-BBE2-4047-8354-387AA508CCDF}"/>
    <dgm:cxn modelId="{189824B1-09CF-EC44-B571-CE48D02738F2}" srcId="{896F33E7-5968-CF47-A870-B28277E30033}" destId="{F9AD0137-49CA-844D-823A-737246C24508}" srcOrd="0" destOrd="0" parTransId="{6B4FC316-0A54-AC4A-A2BA-A59378D16453}" sibTransId="{FDD7484D-1386-424B-A381-C372E1EF126C}"/>
    <dgm:cxn modelId="{71A891B6-7852-1642-AC18-13A76DA20347}" type="presOf" srcId="{F0B4F4EC-7A1E-F44D-B674-019916BE3F49}" destId="{BE4AEFD8-AA9E-D247-AB3B-B1E34FD5BA16}" srcOrd="0" destOrd="0" presId="urn:microsoft.com/office/officeart/2005/8/layout/vList2"/>
    <dgm:cxn modelId="{A1B8DAB6-4B3E-6F46-A686-2AE86D974A35}" type="presOf" srcId="{A9CEE423-8F0A-D844-9029-5CBE9223A3D2}" destId="{6431749E-4A58-CC4B-B8CC-E44F754586EA}" srcOrd="0" destOrd="0" presId="urn:microsoft.com/office/officeart/2005/8/layout/vList2"/>
    <dgm:cxn modelId="{3943E144-E55D-3749-B513-25C3C4308BDC}" type="presParOf" srcId="{6431749E-4A58-CC4B-B8CC-E44F754586EA}" destId="{41D3031B-5693-E54C-AC7C-718C875BD747}" srcOrd="0" destOrd="0" presId="urn:microsoft.com/office/officeart/2005/8/layout/vList2"/>
    <dgm:cxn modelId="{0203E65C-7850-3446-882E-0381564D4934}" type="presParOf" srcId="{6431749E-4A58-CC4B-B8CC-E44F754586EA}" destId="{F974B195-9AD8-9541-9EAF-EE3844499901}" srcOrd="1" destOrd="0" presId="urn:microsoft.com/office/officeart/2005/8/layout/vList2"/>
    <dgm:cxn modelId="{17CCD0E7-C5B7-2442-B4D0-DF7D35BF4F85}" type="presParOf" srcId="{6431749E-4A58-CC4B-B8CC-E44F754586EA}" destId="{BE4AEFD8-AA9E-D247-AB3B-B1E34FD5BA16}" srcOrd="2" destOrd="0" presId="urn:microsoft.com/office/officeart/2005/8/layout/vList2"/>
    <dgm:cxn modelId="{8C1FEA9D-01CE-EF4D-928F-249C0212D5F6}" type="presParOf" srcId="{6431749E-4A58-CC4B-B8CC-E44F754586EA}" destId="{5EE81053-4898-1949-88E9-D1838DE8ED1D}" srcOrd="3" destOrd="0" presId="urn:microsoft.com/office/officeart/2005/8/layout/vList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58E7DF5-B495-414B-AF6C-1C4C7A38D319}" type="doc">
      <dgm:prSet loTypeId="urn:microsoft.com/office/officeart/2009/3/layout/HorizontalOrganizationChart" loCatId="process" qsTypeId="urn:microsoft.com/office/officeart/2005/8/quickstyle/simple1" qsCatId="simple" csTypeId="urn:microsoft.com/office/officeart/2005/8/colors/accent1_2" csCatId="accent1" phldr="1"/>
      <dgm:spPr/>
      <dgm:t>
        <a:bodyPr/>
        <a:lstStyle/>
        <a:p>
          <a:endParaRPr lang="en-GB"/>
        </a:p>
      </dgm:t>
    </dgm:pt>
    <dgm:pt modelId="{BB8B4CA5-C001-D44B-98ED-FEAE2ED0968F}">
      <dgm:prSet phldrT="[Text]"/>
      <dgm:spPr/>
      <dgm:t>
        <a:bodyPr/>
        <a:lstStyle/>
        <a:p>
          <a:r>
            <a:rPr lang="en-GB"/>
            <a:t>Potential/Passive Intellect </a:t>
          </a:r>
        </a:p>
        <a:p>
          <a:r>
            <a:rPr lang="en-GB"/>
            <a:t>(Perishes with the body)</a:t>
          </a:r>
        </a:p>
      </dgm:t>
    </dgm:pt>
    <dgm:pt modelId="{06EFE79D-2318-FF4C-997C-43881BB95756}" type="parTrans" cxnId="{3BF1742C-F65B-7E49-81BF-59CCC3914174}">
      <dgm:prSet/>
      <dgm:spPr/>
      <dgm:t>
        <a:bodyPr/>
        <a:lstStyle/>
        <a:p>
          <a:endParaRPr lang="en-GB"/>
        </a:p>
      </dgm:t>
    </dgm:pt>
    <dgm:pt modelId="{E094BD85-CE83-2948-8A6E-163E0F36974F}" type="sibTrans" cxnId="{3BF1742C-F65B-7E49-81BF-59CCC3914174}">
      <dgm:prSet/>
      <dgm:spPr/>
      <dgm:t>
        <a:bodyPr/>
        <a:lstStyle/>
        <a:p>
          <a:endParaRPr lang="en-GB"/>
        </a:p>
      </dgm:t>
    </dgm:pt>
    <dgm:pt modelId="{D74FE6DF-6093-6B4E-A06A-65FA00C95D2B}" type="asst">
      <dgm:prSet phldrT="[Text]"/>
      <dgm:spPr/>
      <dgm:t>
        <a:bodyPr/>
        <a:lstStyle/>
        <a:p>
          <a:r>
            <a:rPr lang="en-GB"/>
            <a:t>Material intellect</a:t>
          </a:r>
        </a:p>
        <a:p>
          <a:r>
            <a:rPr lang="en-GB"/>
            <a:t>(disposition for receiving abstracted forms)</a:t>
          </a:r>
        </a:p>
      </dgm:t>
    </dgm:pt>
    <dgm:pt modelId="{2DB9C902-D0F4-9947-90AD-5F4CDE7C1663}" type="parTrans" cxnId="{C98B83D2-FA2A-C645-A400-645E3AD1CA29}">
      <dgm:prSet/>
      <dgm:spPr/>
      <dgm:t>
        <a:bodyPr/>
        <a:lstStyle/>
        <a:p>
          <a:endParaRPr lang="en-GB"/>
        </a:p>
      </dgm:t>
    </dgm:pt>
    <dgm:pt modelId="{BD12BC53-9F0D-494C-8039-4D6E9EE39D02}" type="sibTrans" cxnId="{C98B83D2-FA2A-C645-A400-645E3AD1CA29}">
      <dgm:prSet/>
      <dgm:spPr/>
      <dgm:t>
        <a:bodyPr/>
        <a:lstStyle/>
        <a:p>
          <a:endParaRPr lang="en-GB"/>
        </a:p>
      </dgm:t>
    </dgm:pt>
    <dgm:pt modelId="{9967F902-4545-8145-9879-B18DC05A64F9}" type="asst">
      <dgm:prSet/>
      <dgm:spPr/>
      <dgm:t>
        <a:bodyPr/>
        <a:lstStyle/>
        <a:p>
          <a:r>
            <a:rPr lang="en-GB"/>
            <a:t>Intellect </a:t>
          </a:r>
          <a:r>
            <a:rPr lang="en-GB" i="1"/>
            <a:t>in habitu </a:t>
          </a:r>
        </a:p>
        <a:p>
          <a:r>
            <a:rPr lang="en-GB" i="0"/>
            <a:t>(repository of abstracted forms)</a:t>
          </a:r>
          <a:endParaRPr lang="en-GB" i="1"/>
        </a:p>
      </dgm:t>
    </dgm:pt>
    <dgm:pt modelId="{D1F257C8-5219-7B4A-9D24-73480C59557D}" type="parTrans" cxnId="{CF18D206-5F40-F149-A67C-2790421CF12F}">
      <dgm:prSet/>
      <dgm:spPr/>
      <dgm:t>
        <a:bodyPr/>
        <a:lstStyle/>
        <a:p>
          <a:endParaRPr lang="en-GB"/>
        </a:p>
      </dgm:t>
    </dgm:pt>
    <dgm:pt modelId="{1016B9AD-068E-3142-ACFA-380D552B70A6}" type="sibTrans" cxnId="{CF18D206-5F40-F149-A67C-2790421CF12F}">
      <dgm:prSet/>
      <dgm:spPr/>
      <dgm:t>
        <a:bodyPr/>
        <a:lstStyle/>
        <a:p>
          <a:endParaRPr lang="en-GB"/>
        </a:p>
      </dgm:t>
    </dgm:pt>
    <dgm:pt modelId="{EECC7DB0-376A-A14F-B0AB-E29C862E3354}">
      <dgm:prSet phldrT="[Text]"/>
      <dgm:spPr/>
      <dgm:t>
        <a:bodyPr/>
        <a:lstStyle/>
        <a:p>
          <a:r>
            <a:rPr lang="en-GB"/>
            <a:t>Active Intellect</a:t>
          </a:r>
        </a:p>
        <a:p>
          <a:r>
            <a:rPr lang="en-GB"/>
            <a:t>(eternal; abstracts forms)</a:t>
          </a:r>
        </a:p>
      </dgm:t>
    </dgm:pt>
    <dgm:pt modelId="{8297A651-6907-7A43-9C35-602DE7DE174C}" type="parTrans" cxnId="{205638FF-53BF-B346-B25A-4381AF32886D}">
      <dgm:prSet/>
      <dgm:spPr/>
      <dgm:t>
        <a:bodyPr/>
        <a:lstStyle/>
        <a:p>
          <a:endParaRPr lang="en-GB"/>
        </a:p>
      </dgm:t>
    </dgm:pt>
    <dgm:pt modelId="{D5A6C173-26A9-D64F-BF52-A1075C1554DA}" type="sibTrans" cxnId="{205638FF-53BF-B346-B25A-4381AF32886D}">
      <dgm:prSet/>
      <dgm:spPr/>
      <dgm:t>
        <a:bodyPr/>
        <a:lstStyle/>
        <a:p>
          <a:endParaRPr lang="en-GB"/>
        </a:p>
      </dgm:t>
    </dgm:pt>
    <dgm:pt modelId="{9C6641D6-ED7C-C948-9BA8-48EBECFE4682}" type="pres">
      <dgm:prSet presAssocID="{C58E7DF5-B495-414B-AF6C-1C4C7A38D319}" presName="hierChild1" presStyleCnt="0">
        <dgm:presLayoutVars>
          <dgm:orgChart val="1"/>
          <dgm:chPref val="1"/>
          <dgm:dir/>
          <dgm:animOne val="branch"/>
          <dgm:animLvl val="lvl"/>
          <dgm:resizeHandles/>
        </dgm:presLayoutVars>
      </dgm:prSet>
      <dgm:spPr/>
    </dgm:pt>
    <dgm:pt modelId="{9376A871-FF2E-8E4E-A4CF-0E9190CA112C}" type="pres">
      <dgm:prSet presAssocID="{BB8B4CA5-C001-D44B-98ED-FEAE2ED0968F}" presName="hierRoot1" presStyleCnt="0">
        <dgm:presLayoutVars>
          <dgm:hierBranch val="init"/>
        </dgm:presLayoutVars>
      </dgm:prSet>
      <dgm:spPr/>
    </dgm:pt>
    <dgm:pt modelId="{8A88133B-10F9-5947-BAC9-0DBDF0791AD3}" type="pres">
      <dgm:prSet presAssocID="{BB8B4CA5-C001-D44B-98ED-FEAE2ED0968F}" presName="rootComposite1" presStyleCnt="0"/>
      <dgm:spPr/>
    </dgm:pt>
    <dgm:pt modelId="{AF124801-2B42-6447-9E74-84F1260CE74F}" type="pres">
      <dgm:prSet presAssocID="{BB8B4CA5-C001-D44B-98ED-FEAE2ED0968F}" presName="rootText1" presStyleLbl="node0" presStyleIdx="0" presStyleCnt="2">
        <dgm:presLayoutVars>
          <dgm:chPref val="3"/>
        </dgm:presLayoutVars>
      </dgm:prSet>
      <dgm:spPr/>
    </dgm:pt>
    <dgm:pt modelId="{C4D054C8-BD6D-BF4B-9736-24FECCF83B88}" type="pres">
      <dgm:prSet presAssocID="{BB8B4CA5-C001-D44B-98ED-FEAE2ED0968F}" presName="rootConnector1" presStyleLbl="node1" presStyleIdx="0" presStyleCnt="0"/>
      <dgm:spPr/>
    </dgm:pt>
    <dgm:pt modelId="{F298170F-F951-4343-B716-407B8E401D91}" type="pres">
      <dgm:prSet presAssocID="{BB8B4CA5-C001-D44B-98ED-FEAE2ED0968F}" presName="hierChild2" presStyleCnt="0"/>
      <dgm:spPr/>
    </dgm:pt>
    <dgm:pt modelId="{9F900F88-5E45-6B45-85A9-834D6D805B00}" type="pres">
      <dgm:prSet presAssocID="{BB8B4CA5-C001-D44B-98ED-FEAE2ED0968F}" presName="hierChild3" presStyleCnt="0"/>
      <dgm:spPr/>
    </dgm:pt>
    <dgm:pt modelId="{8A5879A5-D54A-BA4F-8D4E-FEFC8BEB53CE}" type="pres">
      <dgm:prSet presAssocID="{2DB9C902-D0F4-9947-90AD-5F4CDE7C1663}" presName="Name115" presStyleLbl="parChTrans1D2" presStyleIdx="0" presStyleCnt="2"/>
      <dgm:spPr/>
    </dgm:pt>
    <dgm:pt modelId="{F337ED0C-AD07-DF44-8AF4-BBC99126254D}" type="pres">
      <dgm:prSet presAssocID="{D74FE6DF-6093-6B4E-A06A-65FA00C95D2B}" presName="hierRoot3" presStyleCnt="0">
        <dgm:presLayoutVars>
          <dgm:hierBranch val="init"/>
        </dgm:presLayoutVars>
      </dgm:prSet>
      <dgm:spPr/>
    </dgm:pt>
    <dgm:pt modelId="{6E01DD28-4DEE-324F-9A04-3A7A83FA1BA9}" type="pres">
      <dgm:prSet presAssocID="{D74FE6DF-6093-6B4E-A06A-65FA00C95D2B}" presName="rootComposite3" presStyleCnt="0"/>
      <dgm:spPr/>
    </dgm:pt>
    <dgm:pt modelId="{5A615FC7-9F19-DA4D-ABC7-283CC3C8D94F}" type="pres">
      <dgm:prSet presAssocID="{D74FE6DF-6093-6B4E-A06A-65FA00C95D2B}" presName="rootText3" presStyleLbl="asst1" presStyleIdx="0" presStyleCnt="2">
        <dgm:presLayoutVars>
          <dgm:chPref val="3"/>
        </dgm:presLayoutVars>
      </dgm:prSet>
      <dgm:spPr/>
    </dgm:pt>
    <dgm:pt modelId="{18B02B3C-FB9E-FD47-B5E4-2A6C8FDAA280}" type="pres">
      <dgm:prSet presAssocID="{D74FE6DF-6093-6B4E-A06A-65FA00C95D2B}" presName="rootConnector3" presStyleLbl="asst1" presStyleIdx="0" presStyleCnt="2"/>
      <dgm:spPr/>
    </dgm:pt>
    <dgm:pt modelId="{522008C0-CFBF-7C41-8B27-81C5723C8689}" type="pres">
      <dgm:prSet presAssocID="{D74FE6DF-6093-6B4E-A06A-65FA00C95D2B}" presName="hierChild6" presStyleCnt="0"/>
      <dgm:spPr/>
    </dgm:pt>
    <dgm:pt modelId="{C100AF35-A7B8-7946-9DA3-64F215029756}" type="pres">
      <dgm:prSet presAssocID="{D74FE6DF-6093-6B4E-A06A-65FA00C95D2B}" presName="hierChild7" presStyleCnt="0"/>
      <dgm:spPr/>
    </dgm:pt>
    <dgm:pt modelId="{20AEA2E0-4ED5-7C49-8F74-1DB4F1C70796}" type="pres">
      <dgm:prSet presAssocID="{D1F257C8-5219-7B4A-9D24-73480C59557D}" presName="Name115" presStyleLbl="parChTrans1D2" presStyleIdx="1" presStyleCnt="2"/>
      <dgm:spPr/>
    </dgm:pt>
    <dgm:pt modelId="{DDE52598-61D4-904B-826A-2E833293287C}" type="pres">
      <dgm:prSet presAssocID="{9967F902-4545-8145-9879-B18DC05A64F9}" presName="hierRoot3" presStyleCnt="0">
        <dgm:presLayoutVars>
          <dgm:hierBranch val="init"/>
        </dgm:presLayoutVars>
      </dgm:prSet>
      <dgm:spPr/>
    </dgm:pt>
    <dgm:pt modelId="{1CF401B3-FCC8-774A-A8CC-5DDF9308D578}" type="pres">
      <dgm:prSet presAssocID="{9967F902-4545-8145-9879-B18DC05A64F9}" presName="rootComposite3" presStyleCnt="0"/>
      <dgm:spPr/>
    </dgm:pt>
    <dgm:pt modelId="{8BD6EFB8-98E4-4C45-BE17-55D5AD72D295}" type="pres">
      <dgm:prSet presAssocID="{9967F902-4545-8145-9879-B18DC05A64F9}" presName="rootText3" presStyleLbl="asst1" presStyleIdx="1" presStyleCnt="2">
        <dgm:presLayoutVars>
          <dgm:chPref val="3"/>
        </dgm:presLayoutVars>
      </dgm:prSet>
      <dgm:spPr/>
    </dgm:pt>
    <dgm:pt modelId="{DF90AF57-A8F3-4748-BDCC-8B79327DF1CE}" type="pres">
      <dgm:prSet presAssocID="{9967F902-4545-8145-9879-B18DC05A64F9}" presName="rootConnector3" presStyleLbl="asst1" presStyleIdx="1" presStyleCnt="2"/>
      <dgm:spPr/>
    </dgm:pt>
    <dgm:pt modelId="{06039CF3-454B-3D45-AB75-0E3D1D511684}" type="pres">
      <dgm:prSet presAssocID="{9967F902-4545-8145-9879-B18DC05A64F9}" presName="hierChild6" presStyleCnt="0"/>
      <dgm:spPr/>
    </dgm:pt>
    <dgm:pt modelId="{9EF9C90A-FD74-D844-88BF-A6501D9DD681}" type="pres">
      <dgm:prSet presAssocID="{9967F902-4545-8145-9879-B18DC05A64F9}" presName="hierChild7" presStyleCnt="0"/>
      <dgm:spPr/>
    </dgm:pt>
    <dgm:pt modelId="{8259CF0A-40FC-8949-813B-465032D2C0C3}" type="pres">
      <dgm:prSet presAssocID="{EECC7DB0-376A-A14F-B0AB-E29C862E3354}" presName="hierRoot1" presStyleCnt="0">
        <dgm:presLayoutVars>
          <dgm:hierBranch val="init"/>
        </dgm:presLayoutVars>
      </dgm:prSet>
      <dgm:spPr/>
    </dgm:pt>
    <dgm:pt modelId="{DC2E655F-A9F5-AB46-96CD-A9C160F2E3D1}" type="pres">
      <dgm:prSet presAssocID="{EECC7DB0-376A-A14F-B0AB-E29C862E3354}" presName="rootComposite1" presStyleCnt="0"/>
      <dgm:spPr/>
    </dgm:pt>
    <dgm:pt modelId="{03BE7137-5F5B-014C-B3D0-BC5E927B4EE5}" type="pres">
      <dgm:prSet presAssocID="{EECC7DB0-376A-A14F-B0AB-E29C862E3354}" presName="rootText1" presStyleLbl="node0" presStyleIdx="1" presStyleCnt="2">
        <dgm:presLayoutVars>
          <dgm:chPref val="3"/>
        </dgm:presLayoutVars>
      </dgm:prSet>
      <dgm:spPr/>
    </dgm:pt>
    <dgm:pt modelId="{D3352287-32FE-8D4E-9BC0-45AD4C62D5E8}" type="pres">
      <dgm:prSet presAssocID="{EECC7DB0-376A-A14F-B0AB-E29C862E3354}" presName="rootConnector1" presStyleLbl="node1" presStyleIdx="0" presStyleCnt="0"/>
      <dgm:spPr/>
    </dgm:pt>
    <dgm:pt modelId="{7F45744F-F50B-0440-8A02-94C55421A76F}" type="pres">
      <dgm:prSet presAssocID="{EECC7DB0-376A-A14F-B0AB-E29C862E3354}" presName="hierChild2" presStyleCnt="0"/>
      <dgm:spPr/>
    </dgm:pt>
    <dgm:pt modelId="{D46470C3-8EFA-964B-83E8-875DF9639682}" type="pres">
      <dgm:prSet presAssocID="{EECC7DB0-376A-A14F-B0AB-E29C862E3354}" presName="hierChild3" presStyleCnt="0"/>
      <dgm:spPr/>
    </dgm:pt>
  </dgm:ptLst>
  <dgm:cxnLst>
    <dgm:cxn modelId="{CF18D206-5F40-F149-A67C-2790421CF12F}" srcId="{BB8B4CA5-C001-D44B-98ED-FEAE2ED0968F}" destId="{9967F902-4545-8145-9879-B18DC05A64F9}" srcOrd="1" destOrd="0" parTransId="{D1F257C8-5219-7B4A-9D24-73480C59557D}" sibTransId="{1016B9AD-068E-3142-ACFA-380D552B70A6}"/>
    <dgm:cxn modelId="{3BF1742C-F65B-7E49-81BF-59CCC3914174}" srcId="{C58E7DF5-B495-414B-AF6C-1C4C7A38D319}" destId="{BB8B4CA5-C001-D44B-98ED-FEAE2ED0968F}" srcOrd="0" destOrd="0" parTransId="{06EFE79D-2318-FF4C-997C-43881BB95756}" sibTransId="{E094BD85-CE83-2948-8A6E-163E0F36974F}"/>
    <dgm:cxn modelId="{446FE93F-CBF5-9B48-B271-2A4FC908641E}" type="presOf" srcId="{2DB9C902-D0F4-9947-90AD-5F4CDE7C1663}" destId="{8A5879A5-D54A-BA4F-8D4E-FEFC8BEB53CE}" srcOrd="0" destOrd="0" presId="urn:microsoft.com/office/officeart/2009/3/layout/HorizontalOrganizationChart"/>
    <dgm:cxn modelId="{F5033552-7A58-D544-85D8-0D1E1BB038BD}" type="presOf" srcId="{BB8B4CA5-C001-D44B-98ED-FEAE2ED0968F}" destId="{AF124801-2B42-6447-9E74-84F1260CE74F}" srcOrd="0" destOrd="0" presId="urn:microsoft.com/office/officeart/2009/3/layout/HorizontalOrganizationChart"/>
    <dgm:cxn modelId="{8404AE85-DE14-5743-A84C-2EE472A41ECE}" type="presOf" srcId="{BB8B4CA5-C001-D44B-98ED-FEAE2ED0968F}" destId="{C4D054C8-BD6D-BF4B-9736-24FECCF83B88}" srcOrd="1" destOrd="0" presId="urn:microsoft.com/office/officeart/2009/3/layout/HorizontalOrganizationChart"/>
    <dgm:cxn modelId="{350D3D91-83C1-5943-93BA-770A6ECAF0CD}" type="presOf" srcId="{EECC7DB0-376A-A14F-B0AB-E29C862E3354}" destId="{03BE7137-5F5B-014C-B3D0-BC5E927B4EE5}" srcOrd="0" destOrd="0" presId="urn:microsoft.com/office/officeart/2009/3/layout/HorizontalOrganizationChart"/>
    <dgm:cxn modelId="{1FE9F3A5-1CF8-A740-AF13-DB74AF119936}" type="presOf" srcId="{D74FE6DF-6093-6B4E-A06A-65FA00C95D2B}" destId="{18B02B3C-FB9E-FD47-B5E4-2A6C8FDAA280}" srcOrd="1" destOrd="0" presId="urn:microsoft.com/office/officeart/2009/3/layout/HorizontalOrganizationChart"/>
    <dgm:cxn modelId="{34C862AD-0787-E545-9540-1AFD6ADC636E}" type="presOf" srcId="{C58E7DF5-B495-414B-AF6C-1C4C7A38D319}" destId="{9C6641D6-ED7C-C948-9BA8-48EBECFE4682}" srcOrd="0" destOrd="0" presId="urn:microsoft.com/office/officeart/2009/3/layout/HorizontalOrganizationChart"/>
    <dgm:cxn modelId="{E0E69FB6-071D-384C-8371-3BADD83A65FD}" type="presOf" srcId="{D1F257C8-5219-7B4A-9D24-73480C59557D}" destId="{20AEA2E0-4ED5-7C49-8F74-1DB4F1C70796}" srcOrd="0" destOrd="0" presId="urn:microsoft.com/office/officeart/2009/3/layout/HorizontalOrganizationChart"/>
    <dgm:cxn modelId="{CAD190BE-CF0E-F842-948B-191A3A398DCC}" type="presOf" srcId="{EECC7DB0-376A-A14F-B0AB-E29C862E3354}" destId="{D3352287-32FE-8D4E-9BC0-45AD4C62D5E8}" srcOrd="1" destOrd="0" presId="urn:microsoft.com/office/officeart/2009/3/layout/HorizontalOrganizationChart"/>
    <dgm:cxn modelId="{C98B83D2-FA2A-C645-A400-645E3AD1CA29}" srcId="{BB8B4CA5-C001-D44B-98ED-FEAE2ED0968F}" destId="{D74FE6DF-6093-6B4E-A06A-65FA00C95D2B}" srcOrd="0" destOrd="0" parTransId="{2DB9C902-D0F4-9947-90AD-5F4CDE7C1663}" sibTransId="{BD12BC53-9F0D-494C-8039-4D6E9EE39D02}"/>
    <dgm:cxn modelId="{B4C2E6DB-141E-4346-9EFF-E4507E16E9BC}" type="presOf" srcId="{9967F902-4545-8145-9879-B18DC05A64F9}" destId="{DF90AF57-A8F3-4748-BDCC-8B79327DF1CE}" srcOrd="1" destOrd="0" presId="urn:microsoft.com/office/officeart/2009/3/layout/HorizontalOrganizationChart"/>
    <dgm:cxn modelId="{4D4ADBE3-1434-614C-85E3-F87A9D835717}" type="presOf" srcId="{D74FE6DF-6093-6B4E-A06A-65FA00C95D2B}" destId="{5A615FC7-9F19-DA4D-ABC7-283CC3C8D94F}" srcOrd="0" destOrd="0" presId="urn:microsoft.com/office/officeart/2009/3/layout/HorizontalOrganizationChart"/>
    <dgm:cxn modelId="{9BA1F2FB-1E52-7449-AD73-4F893C2668DA}" type="presOf" srcId="{9967F902-4545-8145-9879-B18DC05A64F9}" destId="{8BD6EFB8-98E4-4C45-BE17-55D5AD72D295}" srcOrd="0" destOrd="0" presId="urn:microsoft.com/office/officeart/2009/3/layout/HorizontalOrganizationChart"/>
    <dgm:cxn modelId="{205638FF-53BF-B346-B25A-4381AF32886D}" srcId="{C58E7DF5-B495-414B-AF6C-1C4C7A38D319}" destId="{EECC7DB0-376A-A14F-B0AB-E29C862E3354}" srcOrd="1" destOrd="0" parTransId="{8297A651-6907-7A43-9C35-602DE7DE174C}" sibTransId="{D5A6C173-26A9-D64F-BF52-A1075C1554DA}"/>
    <dgm:cxn modelId="{DE71DF96-FE94-2140-BA9A-305CB94EE508}" type="presParOf" srcId="{9C6641D6-ED7C-C948-9BA8-48EBECFE4682}" destId="{9376A871-FF2E-8E4E-A4CF-0E9190CA112C}" srcOrd="0" destOrd="0" presId="urn:microsoft.com/office/officeart/2009/3/layout/HorizontalOrganizationChart"/>
    <dgm:cxn modelId="{58A28E72-E968-7E4D-A6BB-80A090262391}" type="presParOf" srcId="{9376A871-FF2E-8E4E-A4CF-0E9190CA112C}" destId="{8A88133B-10F9-5947-BAC9-0DBDF0791AD3}" srcOrd="0" destOrd="0" presId="urn:microsoft.com/office/officeart/2009/3/layout/HorizontalOrganizationChart"/>
    <dgm:cxn modelId="{52255C94-F798-8348-8998-65928988986B}" type="presParOf" srcId="{8A88133B-10F9-5947-BAC9-0DBDF0791AD3}" destId="{AF124801-2B42-6447-9E74-84F1260CE74F}" srcOrd="0" destOrd="0" presId="urn:microsoft.com/office/officeart/2009/3/layout/HorizontalOrganizationChart"/>
    <dgm:cxn modelId="{3AD283AF-AC2A-3449-995D-5DCA6F5E1E87}" type="presParOf" srcId="{8A88133B-10F9-5947-BAC9-0DBDF0791AD3}" destId="{C4D054C8-BD6D-BF4B-9736-24FECCF83B88}" srcOrd="1" destOrd="0" presId="urn:microsoft.com/office/officeart/2009/3/layout/HorizontalOrganizationChart"/>
    <dgm:cxn modelId="{82450E3F-E4F5-4549-A085-2C0861E2CA26}" type="presParOf" srcId="{9376A871-FF2E-8E4E-A4CF-0E9190CA112C}" destId="{F298170F-F951-4343-B716-407B8E401D91}" srcOrd="1" destOrd="0" presId="urn:microsoft.com/office/officeart/2009/3/layout/HorizontalOrganizationChart"/>
    <dgm:cxn modelId="{CEAF76C2-F0DC-4F4F-9792-C466CD72D717}" type="presParOf" srcId="{9376A871-FF2E-8E4E-A4CF-0E9190CA112C}" destId="{9F900F88-5E45-6B45-85A9-834D6D805B00}" srcOrd="2" destOrd="0" presId="urn:microsoft.com/office/officeart/2009/3/layout/HorizontalOrganizationChart"/>
    <dgm:cxn modelId="{657E0915-A079-834E-B8A5-398301BD7B16}" type="presParOf" srcId="{9F900F88-5E45-6B45-85A9-834D6D805B00}" destId="{8A5879A5-D54A-BA4F-8D4E-FEFC8BEB53CE}" srcOrd="0" destOrd="0" presId="urn:microsoft.com/office/officeart/2009/3/layout/HorizontalOrganizationChart"/>
    <dgm:cxn modelId="{8DE82788-7EEF-3A4F-9F70-1CFFE68748E2}" type="presParOf" srcId="{9F900F88-5E45-6B45-85A9-834D6D805B00}" destId="{F337ED0C-AD07-DF44-8AF4-BBC99126254D}" srcOrd="1" destOrd="0" presId="urn:microsoft.com/office/officeart/2009/3/layout/HorizontalOrganizationChart"/>
    <dgm:cxn modelId="{CD937767-F4A4-3A44-81DE-39037A4FF0EC}" type="presParOf" srcId="{F337ED0C-AD07-DF44-8AF4-BBC99126254D}" destId="{6E01DD28-4DEE-324F-9A04-3A7A83FA1BA9}" srcOrd="0" destOrd="0" presId="urn:microsoft.com/office/officeart/2009/3/layout/HorizontalOrganizationChart"/>
    <dgm:cxn modelId="{67307263-FD8C-D942-9A1A-BDC9E8E83FDA}" type="presParOf" srcId="{6E01DD28-4DEE-324F-9A04-3A7A83FA1BA9}" destId="{5A615FC7-9F19-DA4D-ABC7-283CC3C8D94F}" srcOrd="0" destOrd="0" presId="urn:microsoft.com/office/officeart/2009/3/layout/HorizontalOrganizationChart"/>
    <dgm:cxn modelId="{A124080F-CAD4-A94B-8A60-9048308DAFE5}" type="presParOf" srcId="{6E01DD28-4DEE-324F-9A04-3A7A83FA1BA9}" destId="{18B02B3C-FB9E-FD47-B5E4-2A6C8FDAA280}" srcOrd="1" destOrd="0" presId="urn:microsoft.com/office/officeart/2009/3/layout/HorizontalOrganizationChart"/>
    <dgm:cxn modelId="{739B9336-7A80-6341-BAC0-CDD521A67155}" type="presParOf" srcId="{F337ED0C-AD07-DF44-8AF4-BBC99126254D}" destId="{522008C0-CFBF-7C41-8B27-81C5723C8689}" srcOrd="1" destOrd="0" presId="urn:microsoft.com/office/officeart/2009/3/layout/HorizontalOrganizationChart"/>
    <dgm:cxn modelId="{99C8468A-7497-534B-AA78-4AE54F8EBE5B}" type="presParOf" srcId="{F337ED0C-AD07-DF44-8AF4-BBC99126254D}" destId="{C100AF35-A7B8-7946-9DA3-64F215029756}" srcOrd="2" destOrd="0" presId="urn:microsoft.com/office/officeart/2009/3/layout/HorizontalOrganizationChart"/>
    <dgm:cxn modelId="{BC81E875-4856-874D-BB08-ECC50D5C7047}" type="presParOf" srcId="{9F900F88-5E45-6B45-85A9-834D6D805B00}" destId="{20AEA2E0-4ED5-7C49-8F74-1DB4F1C70796}" srcOrd="2" destOrd="0" presId="urn:microsoft.com/office/officeart/2009/3/layout/HorizontalOrganizationChart"/>
    <dgm:cxn modelId="{797B8326-D207-A148-A8EC-02B93254B137}" type="presParOf" srcId="{9F900F88-5E45-6B45-85A9-834D6D805B00}" destId="{DDE52598-61D4-904B-826A-2E833293287C}" srcOrd="3" destOrd="0" presId="urn:microsoft.com/office/officeart/2009/3/layout/HorizontalOrganizationChart"/>
    <dgm:cxn modelId="{DAAEDF11-AEC1-E74D-834C-1F90D7F31587}" type="presParOf" srcId="{DDE52598-61D4-904B-826A-2E833293287C}" destId="{1CF401B3-FCC8-774A-A8CC-5DDF9308D578}" srcOrd="0" destOrd="0" presId="urn:microsoft.com/office/officeart/2009/3/layout/HorizontalOrganizationChart"/>
    <dgm:cxn modelId="{526A3EA9-4A0D-E340-A9EB-88F61367297D}" type="presParOf" srcId="{1CF401B3-FCC8-774A-A8CC-5DDF9308D578}" destId="{8BD6EFB8-98E4-4C45-BE17-55D5AD72D295}" srcOrd="0" destOrd="0" presId="urn:microsoft.com/office/officeart/2009/3/layout/HorizontalOrganizationChart"/>
    <dgm:cxn modelId="{B2650C0B-3A5E-564F-A9FB-5F7A2744ECDD}" type="presParOf" srcId="{1CF401B3-FCC8-774A-A8CC-5DDF9308D578}" destId="{DF90AF57-A8F3-4748-BDCC-8B79327DF1CE}" srcOrd="1" destOrd="0" presId="urn:microsoft.com/office/officeart/2009/3/layout/HorizontalOrganizationChart"/>
    <dgm:cxn modelId="{2AE08053-9B92-E147-AEB1-0D6275467777}" type="presParOf" srcId="{DDE52598-61D4-904B-826A-2E833293287C}" destId="{06039CF3-454B-3D45-AB75-0E3D1D511684}" srcOrd="1" destOrd="0" presId="urn:microsoft.com/office/officeart/2009/3/layout/HorizontalOrganizationChart"/>
    <dgm:cxn modelId="{7FF5B316-3378-544D-9FD2-3C980F9140CF}" type="presParOf" srcId="{DDE52598-61D4-904B-826A-2E833293287C}" destId="{9EF9C90A-FD74-D844-88BF-A6501D9DD681}" srcOrd="2" destOrd="0" presId="urn:microsoft.com/office/officeart/2009/3/layout/HorizontalOrganizationChart"/>
    <dgm:cxn modelId="{E76F7575-C699-7541-9364-E369846333D3}" type="presParOf" srcId="{9C6641D6-ED7C-C948-9BA8-48EBECFE4682}" destId="{8259CF0A-40FC-8949-813B-465032D2C0C3}" srcOrd="1" destOrd="0" presId="urn:microsoft.com/office/officeart/2009/3/layout/HorizontalOrganizationChart"/>
    <dgm:cxn modelId="{0C0F199E-8A99-174A-B990-020E52B9F39B}" type="presParOf" srcId="{8259CF0A-40FC-8949-813B-465032D2C0C3}" destId="{DC2E655F-A9F5-AB46-96CD-A9C160F2E3D1}" srcOrd="0" destOrd="0" presId="urn:microsoft.com/office/officeart/2009/3/layout/HorizontalOrganizationChart"/>
    <dgm:cxn modelId="{CC4A66A9-57A3-2A4A-9067-556E87961FEC}" type="presParOf" srcId="{DC2E655F-A9F5-AB46-96CD-A9C160F2E3D1}" destId="{03BE7137-5F5B-014C-B3D0-BC5E927B4EE5}" srcOrd="0" destOrd="0" presId="urn:microsoft.com/office/officeart/2009/3/layout/HorizontalOrganizationChart"/>
    <dgm:cxn modelId="{CCEFC026-BEC8-EF40-8B46-4E78E2D87DCE}" type="presParOf" srcId="{DC2E655F-A9F5-AB46-96CD-A9C160F2E3D1}" destId="{D3352287-32FE-8D4E-9BC0-45AD4C62D5E8}" srcOrd="1" destOrd="0" presId="urn:microsoft.com/office/officeart/2009/3/layout/HorizontalOrganizationChart"/>
    <dgm:cxn modelId="{CBBEA127-6B4D-6C4E-96A7-95F59DF69BBA}" type="presParOf" srcId="{8259CF0A-40FC-8949-813B-465032D2C0C3}" destId="{7F45744F-F50B-0440-8A02-94C55421A76F}" srcOrd="1" destOrd="0" presId="urn:microsoft.com/office/officeart/2009/3/layout/HorizontalOrganizationChart"/>
    <dgm:cxn modelId="{D8264521-2F6D-5A4C-A57A-2F0C1C299F03}" type="presParOf" srcId="{8259CF0A-40FC-8949-813B-465032D2C0C3}" destId="{D46470C3-8EFA-964B-83E8-875DF9639682}" srcOrd="2" destOrd="0" presId="urn:microsoft.com/office/officeart/2009/3/layout/HorizontalOrganizationChart"/>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63B1FF3-0391-7641-9263-31B738FB263B}" type="doc">
      <dgm:prSet loTypeId="urn:microsoft.com/office/officeart/2009/3/layout/HorizontalOrganizationChart" loCatId="process" qsTypeId="urn:microsoft.com/office/officeart/2005/8/quickstyle/simple1" qsCatId="simple" csTypeId="urn:microsoft.com/office/officeart/2005/8/colors/accent1_2" csCatId="accent1" phldr="1"/>
      <dgm:spPr/>
      <dgm:t>
        <a:bodyPr/>
        <a:lstStyle/>
        <a:p>
          <a:endParaRPr lang="en-GB"/>
        </a:p>
      </dgm:t>
    </dgm:pt>
    <dgm:pt modelId="{9684B53B-15A3-7A48-85FB-0A7775346CD8}">
      <dgm:prSet phldrT="[Text]"/>
      <dgm:spPr/>
      <dgm:t>
        <a:bodyPr/>
        <a:lstStyle/>
        <a:p>
          <a:r>
            <a:rPr lang="en-GB"/>
            <a:t>Intellect (separable fromm the body; incorruptible)</a:t>
          </a:r>
        </a:p>
      </dgm:t>
    </dgm:pt>
    <dgm:pt modelId="{B8C2A370-E5DA-F44D-933A-57D5F3180B87}" type="parTrans" cxnId="{91592802-4144-8F45-93CA-19D8C35F6D00}">
      <dgm:prSet/>
      <dgm:spPr/>
      <dgm:t>
        <a:bodyPr/>
        <a:lstStyle/>
        <a:p>
          <a:endParaRPr lang="en-GB"/>
        </a:p>
      </dgm:t>
    </dgm:pt>
    <dgm:pt modelId="{E5368F79-8C64-5F4F-9CCC-1D7BFDA3540E}" type="sibTrans" cxnId="{91592802-4144-8F45-93CA-19D8C35F6D00}">
      <dgm:prSet/>
      <dgm:spPr/>
      <dgm:t>
        <a:bodyPr/>
        <a:lstStyle/>
        <a:p>
          <a:endParaRPr lang="en-GB"/>
        </a:p>
      </dgm:t>
    </dgm:pt>
    <dgm:pt modelId="{4FE1BC7F-80BF-5642-9594-B57704D3957F}" type="asst">
      <dgm:prSet phldrT="[Text]"/>
      <dgm:spPr/>
      <dgm:t>
        <a:bodyPr/>
        <a:lstStyle/>
        <a:p>
          <a:r>
            <a:rPr lang="en-GB"/>
            <a:t>Material Intellect (possible intellect)</a:t>
          </a:r>
        </a:p>
      </dgm:t>
    </dgm:pt>
    <dgm:pt modelId="{C1951827-7931-6E4F-9F70-EDF27583184C}" type="parTrans" cxnId="{50CF8ECE-3220-C84C-B7B3-C5A0769CEEBE}">
      <dgm:prSet/>
      <dgm:spPr/>
      <dgm:t>
        <a:bodyPr/>
        <a:lstStyle/>
        <a:p>
          <a:endParaRPr lang="en-GB"/>
        </a:p>
      </dgm:t>
    </dgm:pt>
    <dgm:pt modelId="{C5807A62-5625-5F45-BED9-0C546D2F78E9}" type="sibTrans" cxnId="{50CF8ECE-3220-C84C-B7B3-C5A0769CEEBE}">
      <dgm:prSet/>
      <dgm:spPr/>
      <dgm:t>
        <a:bodyPr/>
        <a:lstStyle/>
        <a:p>
          <a:endParaRPr lang="en-GB"/>
        </a:p>
      </dgm:t>
    </dgm:pt>
    <dgm:pt modelId="{6F0F60BD-E418-FA4A-9421-F14EAC76CE35}" type="asst">
      <dgm:prSet/>
      <dgm:spPr/>
      <dgm:t>
        <a:bodyPr/>
        <a:lstStyle/>
        <a:p>
          <a:r>
            <a:rPr lang="en-GB"/>
            <a:t>Agent Intellect</a:t>
          </a:r>
        </a:p>
      </dgm:t>
    </dgm:pt>
    <dgm:pt modelId="{1CE8FF52-9E46-9E42-8F07-1F05E38955EA}" type="parTrans" cxnId="{B52F7A31-4926-794F-A57B-349B71492CA8}">
      <dgm:prSet/>
      <dgm:spPr/>
      <dgm:t>
        <a:bodyPr/>
        <a:lstStyle/>
        <a:p>
          <a:endParaRPr lang="en-GB"/>
        </a:p>
      </dgm:t>
    </dgm:pt>
    <dgm:pt modelId="{5ABA8675-524A-8B47-B5F8-7940938DE095}" type="sibTrans" cxnId="{B52F7A31-4926-794F-A57B-349B71492CA8}">
      <dgm:prSet/>
      <dgm:spPr/>
      <dgm:t>
        <a:bodyPr/>
        <a:lstStyle/>
        <a:p>
          <a:endParaRPr lang="en-GB"/>
        </a:p>
      </dgm:t>
    </dgm:pt>
    <dgm:pt modelId="{ABE5BF57-B55A-424D-891E-7F33CAC4028A}">
      <dgm:prSet phldrT="[Text]"/>
      <dgm:spPr/>
      <dgm:t>
        <a:bodyPr/>
        <a:lstStyle/>
        <a:p>
          <a:r>
            <a:rPr lang="en-GB"/>
            <a:t>Cogitative power (inseparable from the body; corruptible)</a:t>
          </a:r>
        </a:p>
      </dgm:t>
    </dgm:pt>
    <dgm:pt modelId="{DDD6DCB5-7F1F-104C-BA35-9EA212DE7BF4}" type="parTrans" cxnId="{5AADD819-3A6D-B441-AD1A-E324D0D14AFA}">
      <dgm:prSet/>
      <dgm:spPr/>
      <dgm:t>
        <a:bodyPr/>
        <a:lstStyle/>
        <a:p>
          <a:endParaRPr lang="en-GB"/>
        </a:p>
      </dgm:t>
    </dgm:pt>
    <dgm:pt modelId="{8A3197D9-49E9-BC42-9E95-DDFD3E18F33C}" type="sibTrans" cxnId="{5AADD819-3A6D-B441-AD1A-E324D0D14AFA}">
      <dgm:prSet/>
      <dgm:spPr/>
      <dgm:t>
        <a:bodyPr/>
        <a:lstStyle/>
        <a:p>
          <a:endParaRPr lang="en-GB"/>
        </a:p>
      </dgm:t>
    </dgm:pt>
    <dgm:pt modelId="{C028FF04-7AFE-1D4D-8A2C-833BBE2659F7}" type="pres">
      <dgm:prSet presAssocID="{363B1FF3-0391-7641-9263-31B738FB263B}" presName="hierChild1" presStyleCnt="0">
        <dgm:presLayoutVars>
          <dgm:orgChart val="1"/>
          <dgm:chPref val="1"/>
          <dgm:dir/>
          <dgm:animOne val="branch"/>
          <dgm:animLvl val="lvl"/>
          <dgm:resizeHandles/>
        </dgm:presLayoutVars>
      </dgm:prSet>
      <dgm:spPr/>
    </dgm:pt>
    <dgm:pt modelId="{05ABAE07-8A6C-FC49-9E64-D139F4DE4B6F}" type="pres">
      <dgm:prSet presAssocID="{9684B53B-15A3-7A48-85FB-0A7775346CD8}" presName="hierRoot1" presStyleCnt="0">
        <dgm:presLayoutVars>
          <dgm:hierBranch val="init"/>
        </dgm:presLayoutVars>
      </dgm:prSet>
      <dgm:spPr/>
    </dgm:pt>
    <dgm:pt modelId="{79A95EC9-B94D-F04B-A056-F22FCB5BBD39}" type="pres">
      <dgm:prSet presAssocID="{9684B53B-15A3-7A48-85FB-0A7775346CD8}" presName="rootComposite1" presStyleCnt="0"/>
      <dgm:spPr/>
    </dgm:pt>
    <dgm:pt modelId="{5697FA1B-D4A6-C047-9583-1E787E1AE026}" type="pres">
      <dgm:prSet presAssocID="{9684B53B-15A3-7A48-85FB-0A7775346CD8}" presName="rootText1" presStyleLbl="node0" presStyleIdx="0" presStyleCnt="2">
        <dgm:presLayoutVars>
          <dgm:chPref val="3"/>
        </dgm:presLayoutVars>
      </dgm:prSet>
      <dgm:spPr/>
    </dgm:pt>
    <dgm:pt modelId="{6C0D6046-993B-B041-A539-5FB650E9E91A}" type="pres">
      <dgm:prSet presAssocID="{9684B53B-15A3-7A48-85FB-0A7775346CD8}" presName="rootConnector1" presStyleLbl="node1" presStyleIdx="0" presStyleCnt="0"/>
      <dgm:spPr/>
    </dgm:pt>
    <dgm:pt modelId="{953C7854-59CF-FA4D-926C-F5D0C0162229}" type="pres">
      <dgm:prSet presAssocID="{9684B53B-15A3-7A48-85FB-0A7775346CD8}" presName="hierChild2" presStyleCnt="0"/>
      <dgm:spPr/>
    </dgm:pt>
    <dgm:pt modelId="{94185680-C77D-3F40-985E-BB49D88629B7}" type="pres">
      <dgm:prSet presAssocID="{9684B53B-15A3-7A48-85FB-0A7775346CD8}" presName="hierChild3" presStyleCnt="0"/>
      <dgm:spPr/>
    </dgm:pt>
    <dgm:pt modelId="{8F97413C-DE52-9E4B-BC43-29930960D6F4}" type="pres">
      <dgm:prSet presAssocID="{C1951827-7931-6E4F-9F70-EDF27583184C}" presName="Name115" presStyleLbl="parChTrans1D2" presStyleIdx="0" presStyleCnt="2"/>
      <dgm:spPr/>
    </dgm:pt>
    <dgm:pt modelId="{2CE3F6BE-D937-0046-9516-D84A799E262A}" type="pres">
      <dgm:prSet presAssocID="{4FE1BC7F-80BF-5642-9594-B57704D3957F}" presName="hierRoot3" presStyleCnt="0">
        <dgm:presLayoutVars>
          <dgm:hierBranch val="init"/>
        </dgm:presLayoutVars>
      </dgm:prSet>
      <dgm:spPr/>
    </dgm:pt>
    <dgm:pt modelId="{0EED3714-51AE-D445-ABEA-3CA3876B7BE4}" type="pres">
      <dgm:prSet presAssocID="{4FE1BC7F-80BF-5642-9594-B57704D3957F}" presName="rootComposite3" presStyleCnt="0"/>
      <dgm:spPr/>
    </dgm:pt>
    <dgm:pt modelId="{D33204DB-87DB-7C47-B8A9-CB68B8B87405}" type="pres">
      <dgm:prSet presAssocID="{4FE1BC7F-80BF-5642-9594-B57704D3957F}" presName="rootText3" presStyleLbl="asst1" presStyleIdx="0" presStyleCnt="2">
        <dgm:presLayoutVars>
          <dgm:chPref val="3"/>
        </dgm:presLayoutVars>
      </dgm:prSet>
      <dgm:spPr/>
    </dgm:pt>
    <dgm:pt modelId="{501F1884-DA82-5542-B455-092C8100AF53}" type="pres">
      <dgm:prSet presAssocID="{4FE1BC7F-80BF-5642-9594-B57704D3957F}" presName="rootConnector3" presStyleLbl="asst1" presStyleIdx="0" presStyleCnt="2"/>
      <dgm:spPr/>
    </dgm:pt>
    <dgm:pt modelId="{A1D9E9B7-65C3-1F41-92EF-FC7AD180C7C8}" type="pres">
      <dgm:prSet presAssocID="{4FE1BC7F-80BF-5642-9594-B57704D3957F}" presName="hierChild6" presStyleCnt="0"/>
      <dgm:spPr/>
    </dgm:pt>
    <dgm:pt modelId="{91135540-B1E6-844A-8DCE-B32C63688D6F}" type="pres">
      <dgm:prSet presAssocID="{4FE1BC7F-80BF-5642-9594-B57704D3957F}" presName="hierChild7" presStyleCnt="0"/>
      <dgm:spPr/>
    </dgm:pt>
    <dgm:pt modelId="{81A1E950-90F8-B64B-A931-C76DCB807FD7}" type="pres">
      <dgm:prSet presAssocID="{1CE8FF52-9E46-9E42-8F07-1F05E38955EA}" presName="Name115" presStyleLbl="parChTrans1D2" presStyleIdx="1" presStyleCnt="2"/>
      <dgm:spPr/>
    </dgm:pt>
    <dgm:pt modelId="{0D15F03D-3C97-8C46-BD2D-65773BCE53F4}" type="pres">
      <dgm:prSet presAssocID="{6F0F60BD-E418-FA4A-9421-F14EAC76CE35}" presName="hierRoot3" presStyleCnt="0">
        <dgm:presLayoutVars>
          <dgm:hierBranch val="init"/>
        </dgm:presLayoutVars>
      </dgm:prSet>
      <dgm:spPr/>
    </dgm:pt>
    <dgm:pt modelId="{00BC37FE-4B83-B94F-A956-98A564BD6084}" type="pres">
      <dgm:prSet presAssocID="{6F0F60BD-E418-FA4A-9421-F14EAC76CE35}" presName="rootComposite3" presStyleCnt="0"/>
      <dgm:spPr/>
    </dgm:pt>
    <dgm:pt modelId="{45CC0B16-2F15-7741-92B3-6D327C653FD2}" type="pres">
      <dgm:prSet presAssocID="{6F0F60BD-E418-FA4A-9421-F14EAC76CE35}" presName="rootText3" presStyleLbl="asst1" presStyleIdx="1" presStyleCnt="2">
        <dgm:presLayoutVars>
          <dgm:chPref val="3"/>
        </dgm:presLayoutVars>
      </dgm:prSet>
      <dgm:spPr/>
    </dgm:pt>
    <dgm:pt modelId="{C9FB030C-3855-3B49-B703-A53C9B62B161}" type="pres">
      <dgm:prSet presAssocID="{6F0F60BD-E418-FA4A-9421-F14EAC76CE35}" presName="rootConnector3" presStyleLbl="asst1" presStyleIdx="1" presStyleCnt="2"/>
      <dgm:spPr/>
    </dgm:pt>
    <dgm:pt modelId="{20C991BF-E319-664E-977A-2C7A763F5AF8}" type="pres">
      <dgm:prSet presAssocID="{6F0F60BD-E418-FA4A-9421-F14EAC76CE35}" presName="hierChild6" presStyleCnt="0"/>
      <dgm:spPr/>
    </dgm:pt>
    <dgm:pt modelId="{DBEE3CFA-BFFE-9242-969D-ED4BF12EA524}" type="pres">
      <dgm:prSet presAssocID="{6F0F60BD-E418-FA4A-9421-F14EAC76CE35}" presName="hierChild7" presStyleCnt="0"/>
      <dgm:spPr/>
    </dgm:pt>
    <dgm:pt modelId="{020C28BF-164E-334B-9266-8206268DE2EA}" type="pres">
      <dgm:prSet presAssocID="{ABE5BF57-B55A-424D-891E-7F33CAC4028A}" presName="hierRoot1" presStyleCnt="0">
        <dgm:presLayoutVars>
          <dgm:hierBranch val="init"/>
        </dgm:presLayoutVars>
      </dgm:prSet>
      <dgm:spPr/>
    </dgm:pt>
    <dgm:pt modelId="{E0620B38-E1DB-6B47-8CE4-F003615ED3DA}" type="pres">
      <dgm:prSet presAssocID="{ABE5BF57-B55A-424D-891E-7F33CAC4028A}" presName="rootComposite1" presStyleCnt="0"/>
      <dgm:spPr/>
    </dgm:pt>
    <dgm:pt modelId="{C295F1F8-AF79-F248-89A0-312D529AB0C9}" type="pres">
      <dgm:prSet presAssocID="{ABE5BF57-B55A-424D-891E-7F33CAC4028A}" presName="rootText1" presStyleLbl="node0" presStyleIdx="1" presStyleCnt="2" custScaleY="59632" custLinFactY="-100000" custLinFactNeighborX="412" custLinFactNeighborY="-165010">
        <dgm:presLayoutVars>
          <dgm:chPref val="3"/>
        </dgm:presLayoutVars>
      </dgm:prSet>
      <dgm:spPr/>
    </dgm:pt>
    <dgm:pt modelId="{6FA92BAC-F2E0-7F4B-B223-89489A96E96A}" type="pres">
      <dgm:prSet presAssocID="{ABE5BF57-B55A-424D-891E-7F33CAC4028A}" presName="rootConnector1" presStyleLbl="node1" presStyleIdx="0" presStyleCnt="0"/>
      <dgm:spPr/>
    </dgm:pt>
    <dgm:pt modelId="{85B01589-92D6-304B-8319-C1829A6256B0}" type="pres">
      <dgm:prSet presAssocID="{ABE5BF57-B55A-424D-891E-7F33CAC4028A}" presName="hierChild2" presStyleCnt="0"/>
      <dgm:spPr/>
    </dgm:pt>
    <dgm:pt modelId="{166C6744-CB14-F04C-8558-698170E499C4}" type="pres">
      <dgm:prSet presAssocID="{ABE5BF57-B55A-424D-891E-7F33CAC4028A}" presName="hierChild3" presStyleCnt="0"/>
      <dgm:spPr/>
    </dgm:pt>
  </dgm:ptLst>
  <dgm:cxnLst>
    <dgm:cxn modelId="{F176A001-0768-4C41-A215-BF539831945C}" type="presOf" srcId="{363B1FF3-0391-7641-9263-31B738FB263B}" destId="{C028FF04-7AFE-1D4D-8A2C-833BBE2659F7}" srcOrd="0" destOrd="0" presId="urn:microsoft.com/office/officeart/2009/3/layout/HorizontalOrganizationChart"/>
    <dgm:cxn modelId="{91592802-4144-8F45-93CA-19D8C35F6D00}" srcId="{363B1FF3-0391-7641-9263-31B738FB263B}" destId="{9684B53B-15A3-7A48-85FB-0A7775346CD8}" srcOrd="0" destOrd="0" parTransId="{B8C2A370-E5DA-F44D-933A-57D5F3180B87}" sibTransId="{E5368F79-8C64-5F4F-9CCC-1D7BFDA3540E}"/>
    <dgm:cxn modelId="{5AADD819-3A6D-B441-AD1A-E324D0D14AFA}" srcId="{363B1FF3-0391-7641-9263-31B738FB263B}" destId="{ABE5BF57-B55A-424D-891E-7F33CAC4028A}" srcOrd="1" destOrd="0" parTransId="{DDD6DCB5-7F1F-104C-BA35-9EA212DE7BF4}" sibTransId="{8A3197D9-49E9-BC42-9E95-DDFD3E18F33C}"/>
    <dgm:cxn modelId="{43241123-D1BB-BF44-8E1E-3B21EF6332CE}" type="presOf" srcId="{1CE8FF52-9E46-9E42-8F07-1F05E38955EA}" destId="{81A1E950-90F8-B64B-A931-C76DCB807FD7}" srcOrd="0" destOrd="0" presId="urn:microsoft.com/office/officeart/2009/3/layout/HorizontalOrganizationChart"/>
    <dgm:cxn modelId="{ECD3F326-7735-E442-B648-F4D0ECEA9751}" type="presOf" srcId="{6F0F60BD-E418-FA4A-9421-F14EAC76CE35}" destId="{C9FB030C-3855-3B49-B703-A53C9B62B161}" srcOrd="1" destOrd="0" presId="urn:microsoft.com/office/officeart/2009/3/layout/HorizontalOrganizationChart"/>
    <dgm:cxn modelId="{E59D5029-5C3E-9849-97EB-2FBC8B102BE3}" type="presOf" srcId="{C1951827-7931-6E4F-9F70-EDF27583184C}" destId="{8F97413C-DE52-9E4B-BC43-29930960D6F4}" srcOrd="0" destOrd="0" presId="urn:microsoft.com/office/officeart/2009/3/layout/HorizontalOrganizationChart"/>
    <dgm:cxn modelId="{B52F7A31-4926-794F-A57B-349B71492CA8}" srcId="{9684B53B-15A3-7A48-85FB-0A7775346CD8}" destId="{6F0F60BD-E418-FA4A-9421-F14EAC76CE35}" srcOrd="1" destOrd="0" parTransId="{1CE8FF52-9E46-9E42-8F07-1F05E38955EA}" sibTransId="{5ABA8675-524A-8B47-B5F8-7940938DE095}"/>
    <dgm:cxn modelId="{AC96705C-BCC9-0E4B-941D-F1701B170B17}" type="presOf" srcId="{6F0F60BD-E418-FA4A-9421-F14EAC76CE35}" destId="{45CC0B16-2F15-7741-92B3-6D327C653FD2}" srcOrd="0" destOrd="0" presId="urn:microsoft.com/office/officeart/2009/3/layout/HorizontalOrganizationChart"/>
    <dgm:cxn modelId="{72651C8E-31BD-5A41-8F77-C2906DA8C2DF}" type="presOf" srcId="{9684B53B-15A3-7A48-85FB-0A7775346CD8}" destId="{6C0D6046-993B-B041-A539-5FB650E9E91A}" srcOrd="1" destOrd="0" presId="urn:microsoft.com/office/officeart/2009/3/layout/HorizontalOrganizationChart"/>
    <dgm:cxn modelId="{40AD84C6-C824-3D43-9AFA-237EA5CEB212}" type="presOf" srcId="{9684B53B-15A3-7A48-85FB-0A7775346CD8}" destId="{5697FA1B-D4A6-C047-9583-1E787E1AE026}" srcOrd="0" destOrd="0" presId="urn:microsoft.com/office/officeart/2009/3/layout/HorizontalOrganizationChart"/>
    <dgm:cxn modelId="{98F1B9C7-CA52-2842-ACA7-209AA4A16185}" type="presOf" srcId="{ABE5BF57-B55A-424D-891E-7F33CAC4028A}" destId="{6FA92BAC-F2E0-7F4B-B223-89489A96E96A}" srcOrd="1" destOrd="0" presId="urn:microsoft.com/office/officeart/2009/3/layout/HorizontalOrganizationChart"/>
    <dgm:cxn modelId="{08C679C8-77F9-AA45-A466-AEEAB34F7D1B}" type="presOf" srcId="{ABE5BF57-B55A-424D-891E-7F33CAC4028A}" destId="{C295F1F8-AF79-F248-89A0-312D529AB0C9}" srcOrd="0" destOrd="0" presId="urn:microsoft.com/office/officeart/2009/3/layout/HorizontalOrganizationChart"/>
    <dgm:cxn modelId="{50CF8ECE-3220-C84C-B7B3-C5A0769CEEBE}" srcId="{9684B53B-15A3-7A48-85FB-0A7775346CD8}" destId="{4FE1BC7F-80BF-5642-9594-B57704D3957F}" srcOrd="0" destOrd="0" parTransId="{C1951827-7931-6E4F-9F70-EDF27583184C}" sibTransId="{C5807A62-5625-5F45-BED9-0C546D2F78E9}"/>
    <dgm:cxn modelId="{F9828AD6-B08E-804E-9FF6-F3DE9AF966BD}" type="presOf" srcId="{4FE1BC7F-80BF-5642-9594-B57704D3957F}" destId="{D33204DB-87DB-7C47-B8A9-CB68B8B87405}" srcOrd="0" destOrd="0" presId="urn:microsoft.com/office/officeart/2009/3/layout/HorizontalOrganizationChart"/>
    <dgm:cxn modelId="{7D98D8D7-C36E-114C-B1BE-BEFDD6F9B209}" type="presOf" srcId="{4FE1BC7F-80BF-5642-9594-B57704D3957F}" destId="{501F1884-DA82-5542-B455-092C8100AF53}" srcOrd="1" destOrd="0" presId="urn:microsoft.com/office/officeart/2009/3/layout/HorizontalOrganizationChart"/>
    <dgm:cxn modelId="{A8163CAE-6CDF-3C4D-96EB-562E43F24F10}" type="presParOf" srcId="{C028FF04-7AFE-1D4D-8A2C-833BBE2659F7}" destId="{05ABAE07-8A6C-FC49-9E64-D139F4DE4B6F}" srcOrd="0" destOrd="0" presId="urn:microsoft.com/office/officeart/2009/3/layout/HorizontalOrganizationChart"/>
    <dgm:cxn modelId="{05D8E14C-83E8-2C4A-803E-B4A4C6012B4E}" type="presParOf" srcId="{05ABAE07-8A6C-FC49-9E64-D139F4DE4B6F}" destId="{79A95EC9-B94D-F04B-A056-F22FCB5BBD39}" srcOrd="0" destOrd="0" presId="urn:microsoft.com/office/officeart/2009/3/layout/HorizontalOrganizationChart"/>
    <dgm:cxn modelId="{6CA1E7DB-E3DA-4049-8E0C-A37BFC7E8C26}" type="presParOf" srcId="{79A95EC9-B94D-F04B-A056-F22FCB5BBD39}" destId="{5697FA1B-D4A6-C047-9583-1E787E1AE026}" srcOrd="0" destOrd="0" presId="urn:microsoft.com/office/officeart/2009/3/layout/HorizontalOrganizationChart"/>
    <dgm:cxn modelId="{5A117358-EB9A-8D41-B08D-71519FDB6748}" type="presParOf" srcId="{79A95EC9-B94D-F04B-A056-F22FCB5BBD39}" destId="{6C0D6046-993B-B041-A539-5FB650E9E91A}" srcOrd="1" destOrd="0" presId="urn:microsoft.com/office/officeart/2009/3/layout/HorizontalOrganizationChart"/>
    <dgm:cxn modelId="{FE6185D2-6E9A-D14D-9C12-0EEEBE191B6C}" type="presParOf" srcId="{05ABAE07-8A6C-FC49-9E64-D139F4DE4B6F}" destId="{953C7854-59CF-FA4D-926C-F5D0C0162229}" srcOrd="1" destOrd="0" presId="urn:microsoft.com/office/officeart/2009/3/layout/HorizontalOrganizationChart"/>
    <dgm:cxn modelId="{9617F32E-6C4A-5043-AB12-F4EDBDB9C7C6}" type="presParOf" srcId="{05ABAE07-8A6C-FC49-9E64-D139F4DE4B6F}" destId="{94185680-C77D-3F40-985E-BB49D88629B7}" srcOrd="2" destOrd="0" presId="urn:microsoft.com/office/officeart/2009/3/layout/HorizontalOrganizationChart"/>
    <dgm:cxn modelId="{5E033AB7-F1E9-C848-B884-26347C16337B}" type="presParOf" srcId="{94185680-C77D-3F40-985E-BB49D88629B7}" destId="{8F97413C-DE52-9E4B-BC43-29930960D6F4}" srcOrd="0" destOrd="0" presId="urn:microsoft.com/office/officeart/2009/3/layout/HorizontalOrganizationChart"/>
    <dgm:cxn modelId="{02A9FA62-00E8-2D48-9E7F-9B59CF72C5B7}" type="presParOf" srcId="{94185680-C77D-3F40-985E-BB49D88629B7}" destId="{2CE3F6BE-D937-0046-9516-D84A799E262A}" srcOrd="1" destOrd="0" presId="urn:microsoft.com/office/officeart/2009/3/layout/HorizontalOrganizationChart"/>
    <dgm:cxn modelId="{19C98108-E801-5145-BB3B-DED9A63853D1}" type="presParOf" srcId="{2CE3F6BE-D937-0046-9516-D84A799E262A}" destId="{0EED3714-51AE-D445-ABEA-3CA3876B7BE4}" srcOrd="0" destOrd="0" presId="urn:microsoft.com/office/officeart/2009/3/layout/HorizontalOrganizationChart"/>
    <dgm:cxn modelId="{8FC51A9A-FDDB-2E4F-A0DF-B053F37E9452}" type="presParOf" srcId="{0EED3714-51AE-D445-ABEA-3CA3876B7BE4}" destId="{D33204DB-87DB-7C47-B8A9-CB68B8B87405}" srcOrd="0" destOrd="0" presId="urn:microsoft.com/office/officeart/2009/3/layout/HorizontalOrganizationChart"/>
    <dgm:cxn modelId="{13C3AE94-7993-1F44-AC11-BC2CAC007A18}" type="presParOf" srcId="{0EED3714-51AE-D445-ABEA-3CA3876B7BE4}" destId="{501F1884-DA82-5542-B455-092C8100AF53}" srcOrd="1" destOrd="0" presId="urn:microsoft.com/office/officeart/2009/3/layout/HorizontalOrganizationChart"/>
    <dgm:cxn modelId="{6EA2CC30-13A1-1E45-B14F-6AB8C1C72145}" type="presParOf" srcId="{2CE3F6BE-D937-0046-9516-D84A799E262A}" destId="{A1D9E9B7-65C3-1F41-92EF-FC7AD180C7C8}" srcOrd="1" destOrd="0" presId="urn:microsoft.com/office/officeart/2009/3/layout/HorizontalOrganizationChart"/>
    <dgm:cxn modelId="{B64A3318-DA92-FF48-89E6-9D13A567F824}" type="presParOf" srcId="{2CE3F6BE-D937-0046-9516-D84A799E262A}" destId="{91135540-B1E6-844A-8DCE-B32C63688D6F}" srcOrd="2" destOrd="0" presId="urn:microsoft.com/office/officeart/2009/3/layout/HorizontalOrganizationChart"/>
    <dgm:cxn modelId="{3A8E53C3-E6CA-9A4C-B781-7F0F1591EF38}" type="presParOf" srcId="{94185680-C77D-3F40-985E-BB49D88629B7}" destId="{81A1E950-90F8-B64B-A931-C76DCB807FD7}" srcOrd="2" destOrd="0" presId="urn:microsoft.com/office/officeart/2009/3/layout/HorizontalOrganizationChart"/>
    <dgm:cxn modelId="{DBA05CE6-359E-A447-B76A-58E5616F26DE}" type="presParOf" srcId="{94185680-C77D-3F40-985E-BB49D88629B7}" destId="{0D15F03D-3C97-8C46-BD2D-65773BCE53F4}" srcOrd="3" destOrd="0" presId="urn:microsoft.com/office/officeart/2009/3/layout/HorizontalOrganizationChart"/>
    <dgm:cxn modelId="{D0D0137A-4777-F547-9FD0-BB7077C27707}" type="presParOf" srcId="{0D15F03D-3C97-8C46-BD2D-65773BCE53F4}" destId="{00BC37FE-4B83-B94F-A956-98A564BD6084}" srcOrd="0" destOrd="0" presId="urn:microsoft.com/office/officeart/2009/3/layout/HorizontalOrganizationChart"/>
    <dgm:cxn modelId="{9D7AAB29-0E4E-0A4E-A06E-16B69C5E0CE9}" type="presParOf" srcId="{00BC37FE-4B83-B94F-A956-98A564BD6084}" destId="{45CC0B16-2F15-7741-92B3-6D327C653FD2}" srcOrd="0" destOrd="0" presId="urn:microsoft.com/office/officeart/2009/3/layout/HorizontalOrganizationChart"/>
    <dgm:cxn modelId="{84BDECD3-0665-B74E-98DC-0F6484895152}" type="presParOf" srcId="{00BC37FE-4B83-B94F-A956-98A564BD6084}" destId="{C9FB030C-3855-3B49-B703-A53C9B62B161}" srcOrd="1" destOrd="0" presId="urn:microsoft.com/office/officeart/2009/3/layout/HorizontalOrganizationChart"/>
    <dgm:cxn modelId="{76232C46-436D-3643-AA00-88C74EC65F67}" type="presParOf" srcId="{0D15F03D-3C97-8C46-BD2D-65773BCE53F4}" destId="{20C991BF-E319-664E-977A-2C7A763F5AF8}" srcOrd="1" destOrd="0" presId="urn:microsoft.com/office/officeart/2009/3/layout/HorizontalOrganizationChart"/>
    <dgm:cxn modelId="{CA9050F5-EF8B-0E41-8EF9-763024062ED9}" type="presParOf" srcId="{0D15F03D-3C97-8C46-BD2D-65773BCE53F4}" destId="{DBEE3CFA-BFFE-9242-969D-ED4BF12EA524}" srcOrd="2" destOrd="0" presId="urn:microsoft.com/office/officeart/2009/3/layout/HorizontalOrganizationChart"/>
    <dgm:cxn modelId="{282982C0-1358-8844-8EA2-700086BED91B}" type="presParOf" srcId="{C028FF04-7AFE-1D4D-8A2C-833BBE2659F7}" destId="{020C28BF-164E-334B-9266-8206268DE2EA}" srcOrd="1" destOrd="0" presId="urn:microsoft.com/office/officeart/2009/3/layout/HorizontalOrganizationChart"/>
    <dgm:cxn modelId="{5A16F77D-3D5A-7B46-BD7C-B3511EA9CB6D}" type="presParOf" srcId="{020C28BF-164E-334B-9266-8206268DE2EA}" destId="{E0620B38-E1DB-6B47-8CE4-F003615ED3DA}" srcOrd="0" destOrd="0" presId="urn:microsoft.com/office/officeart/2009/3/layout/HorizontalOrganizationChart"/>
    <dgm:cxn modelId="{0A2F2BCD-29D4-F84D-950A-040308DF4918}" type="presParOf" srcId="{E0620B38-E1DB-6B47-8CE4-F003615ED3DA}" destId="{C295F1F8-AF79-F248-89A0-312D529AB0C9}" srcOrd="0" destOrd="0" presId="urn:microsoft.com/office/officeart/2009/3/layout/HorizontalOrganizationChart"/>
    <dgm:cxn modelId="{EFB094FF-B203-8744-8526-156096CB6EE2}" type="presParOf" srcId="{E0620B38-E1DB-6B47-8CE4-F003615ED3DA}" destId="{6FA92BAC-F2E0-7F4B-B223-89489A96E96A}" srcOrd="1" destOrd="0" presId="urn:microsoft.com/office/officeart/2009/3/layout/HorizontalOrganizationChart"/>
    <dgm:cxn modelId="{B63F82DE-C9DB-9246-8F65-CB53243BCAE9}" type="presParOf" srcId="{020C28BF-164E-334B-9266-8206268DE2EA}" destId="{85B01589-92D6-304B-8319-C1829A6256B0}" srcOrd="1" destOrd="0" presId="urn:microsoft.com/office/officeart/2009/3/layout/HorizontalOrganizationChart"/>
    <dgm:cxn modelId="{01B5BD57-4C3C-EC41-B411-4FA17A551476}" type="presParOf" srcId="{020C28BF-164E-334B-9266-8206268DE2EA}" destId="{166C6744-CB14-F04C-8558-698170E499C4}" srcOrd="2" destOrd="0" presId="urn:microsoft.com/office/officeart/2009/3/layout/HorizontalOrganizationChart"/>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63B1FF3-0391-7641-9263-31B738FB263B}" type="doc">
      <dgm:prSet loTypeId="urn:microsoft.com/office/officeart/2009/3/layout/HorizontalOrganizationChart" loCatId="process" qsTypeId="urn:microsoft.com/office/officeart/2005/8/quickstyle/simple1" qsCatId="simple" csTypeId="urn:microsoft.com/office/officeart/2005/8/colors/accent1_2" csCatId="accent1" phldr="1"/>
      <dgm:spPr/>
      <dgm:t>
        <a:bodyPr/>
        <a:lstStyle/>
        <a:p>
          <a:endParaRPr lang="en-GB"/>
        </a:p>
      </dgm:t>
    </dgm:pt>
    <dgm:pt modelId="{9684B53B-15A3-7A48-85FB-0A7775346CD8}">
      <dgm:prSet phldrT="[Text]"/>
      <dgm:spPr/>
      <dgm:t>
        <a:bodyPr/>
        <a:lstStyle/>
        <a:p>
          <a:r>
            <a:rPr lang="en-GB"/>
            <a:t>Separable intellect</a:t>
          </a:r>
        </a:p>
      </dgm:t>
    </dgm:pt>
    <dgm:pt modelId="{B8C2A370-E5DA-F44D-933A-57D5F3180B87}" type="parTrans" cxnId="{91592802-4144-8F45-93CA-19D8C35F6D00}">
      <dgm:prSet/>
      <dgm:spPr/>
      <dgm:t>
        <a:bodyPr/>
        <a:lstStyle/>
        <a:p>
          <a:endParaRPr lang="en-GB"/>
        </a:p>
      </dgm:t>
    </dgm:pt>
    <dgm:pt modelId="{E5368F79-8C64-5F4F-9CCC-1D7BFDA3540E}" type="sibTrans" cxnId="{91592802-4144-8F45-93CA-19D8C35F6D00}">
      <dgm:prSet/>
      <dgm:spPr/>
      <dgm:t>
        <a:bodyPr/>
        <a:lstStyle/>
        <a:p>
          <a:endParaRPr lang="en-GB"/>
        </a:p>
      </dgm:t>
    </dgm:pt>
    <dgm:pt modelId="{4FE1BC7F-80BF-5642-9594-B57704D3957F}" type="asst">
      <dgm:prSet phldrT="[Text]"/>
      <dgm:spPr/>
      <dgm:t>
        <a:bodyPr/>
        <a:lstStyle/>
        <a:p>
          <a:r>
            <a:rPr lang="en-GB"/>
            <a:t>Possible Intellect (= Averroes' material intellect)</a:t>
          </a:r>
        </a:p>
      </dgm:t>
    </dgm:pt>
    <dgm:pt modelId="{C1951827-7931-6E4F-9F70-EDF27583184C}" type="parTrans" cxnId="{50CF8ECE-3220-C84C-B7B3-C5A0769CEEBE}">
      <dgm:prSet/>
      <dgm:spPr/>
      <dgm:t>
        <a:bodyPr/>
        <a:lstStyle/>
        <a:p>
          <a:endParaRPr lang="en-GB"/>
        </a:p>
      </dgm:t>
    </dgm:pt>
    <dgm:pt modelId="{C5807A62-5625-5F45-BED9-0C546D2F78E9}" type="sibTrans" cxnId="{50CF8ECE-3220-C84C-B7B3-C5A0769CEEBE}">
      <dgm:prSet/>
      <dgm:spPr/>
      <dgm:t>
        <a:bodyPr/>
        <a:lstStyle/>
        <a:p>
          <a:endParaRPr lang="en-GB"/>
        </a:p>
      </dgm:t>
    </dgm:pt>
    <dgm:pt modelId="{6F0F60BD-E418-FA4A-9421-F14EAC76CE35}" type="asst">
      <dgm:prSet/>
      <dgm:spPr/>
      <dgm:t>
        <a:bodyPr/>
        <a:lstStyle/>
        <a:p>
          <a:r>
            <a:rPr lang="en-GB"/>
            <a:t>Agent Intellect</a:t>
          </a:r>
        </a:p>
      </dgm:t>
    </dgm:pt>
    <dgm:pt modelId="{1CE8FF52-9E46-9E42-8F07-1F05E38955EA}" type="parTrans" cxnId="{B52F7A31-4926-794F-A57B-349B71492CA8}">
      <dgm:prSet/>
      <dgm:spPr/>
      <dgm:t>
        <a:bodyPr/>
        <a:lstStyle/>
        <a:p>
          <a:endParaRPr lang="en-GB"/>
        </a:p>
      </dgm:t>
    </dgm:pt>
    <dgm:pt modelId="{5ABA8675-524A-8B47-B5F8-7940938DE095}" type="sibTrans" cxnId="{B52F7A31-4926-794F-A57B-349B71492CA8}">
      <dgm:prSet/>
      <dgm:spPr/>
      <dgm:t>
        <a:bodyPr/>
        <a:lstStyle/>
        <a:p>
          <a:endParaRPr lang="en-GB"/>
        </a:p>
      </dgm:t>
    </dgm:pt>
    <dgm:pt modelId="{ABE5BF57-B55A-424D-891E-7F33CAC4028A}">
      <dgm:prSet phldrT="[Text]"/>
      <dgm:spPr/>
      <dgm:t>
        <a:bodyPr/>
        <a:lstStyle/>
        <a:p>
          <a:r>
            <a:rPr lang="en-GB"/>
            <a:t>Ratio/material intellect (= Averroes' cogitative power)</a:t>
          </a:r>
        </a:p>
      </dgm:t>
    </dgm:pt>
    <dgm:pt modelId="{DDD6DCB5-7F1F-104C-BA35-9EA212DE7BF4}" type="parTrans" cxnId="{5AADD819-3A6D-B441-AD1A-E324D0D14AFA}">
      <dgm:prSet/>
      <dgm:spPr/>
      <dgm:t>
        <a:bodyPr/>
        <a:lstStyle/>
        <a:p>
          <a:endParaRPr lang="en-GB"/>
        </a:p>
      </dgm:t>
    </dgm:pt>
    <dgm:pt modelId="{8A3197D9-49E9-BC42-9E95-DDFD3E18F33C}" type="sibTrans" cxnId="{5AADD819-3A6D-B441-AD1A-E324D0D14AFA}">
      <dgm:prSet/>
      <dgm:spPr/>
      <dgm:t>
        <a:bodyPr/>
        <a:lstStyle/>
        <a:p>
          <a:endParaRPr lang="en-GB"/>
        </a:p>
      </dgm:t>
    </dgm:pt>
    <dgm:pt modelId="{C028FF04-7AFE-1D4D-8A2C-833BBE2659F7}" type="pres">
      <dgm:prSet presAssocID="{363B1FF3-0391-7641-9263-31B738FB263B}" presName="hierChild1" presStyleCnt="0">
        <dgm:presLayoutVars>
          <dgm:orgChart val="1"/>
          <dgm:chPref val="1"/>
          <dgm:dir/>
          <dgm:animOne val="branch"/>
          <dgm:animLvl val="lvl"/>
          <dgm:resizeHandles/>
        </dgm:presLayoutVars>
      </dgm:prSet>
      <dgm:spPr/>
    </dgm:pt>
    <dgm:pt modelId="{05ABAE07-8A6C-FC49-9E64-D139F4DE4B6F}" type="pres">
      <dgm:prSet presAssocID="{9684B53B-15A3-7A48-85FB-0A7775346CD8}" presName="hierRoot1" presStyleCnt="0">
        <dgm:presLayoutVars>
          <dgm:hierBranch val="init"/>
        </dgm:presLayoutVars>
      </dgm:prSet>
      <dgm:spPr/>
    </dgm:pt>
    <dgm:pt modelId="{79A95EC9-B94D-F04B-A056-F22FCB5BBD39}" type="pres">
      <dgm:prSet presAssocID="{9684B53B-15A3-7A48-85FB-0A7775346CD8}" presName="rootComposite1" presStyleCnt="0"/>
      <dgm:spPr/>
    </dgm:pt>
    <dgm:pt modelId="{5697FA1B-D4A6-C047-9583-1E787E1AE026}" type="pres">
      <dgm:prSet presAssocID="{9684B53B-15A3-7A48-85FB-0A7775346CD8}" presName="rootText1" presStyleLbl="node0" presStyleIdx="0" presStyleCnt="2">
        <dgm:presLayoutVars>
          <dgm:chPref val="3"/>
        </dgm:presLayoutVars>
      </dgm:prSet>
      <dgm:spPr/>
    </dgm:pt>
    <dgm:pt modelId="{6C0D6046-993B-B041-A539-5FB650E9E91A}" type="pres">
      <dgm:prSet presAssocID="{9684B53B-15A3-7A48-85FB-0A7775346CD8}" presName="rootConnector1" presStyleLbl="node1" presStyleIdx="0" presStyleCnt="0"/>
      <dgm:spPr/>
    </dgm:pt>
    <dgm:pt modelId="{953C7854-59CF-FA4D-926C-F5D0C0162229}" type="pres">
      <dgm:prSet presAssocID="{9684B53B-15A3-7A48-85FB-0A7775346CD8}" presName="hierChild2" presStyleCnt="0"/>
      <dgm:spPr/>
    </dgm:pt>
    <dgm:pt modelId="{94185680-C77D-3F40-985E-BB49D88629B7}" type="pres">
      <dgm:prSet presAssocID="{9684B53B-15A3-7A48-85FB-0A7775346CD8}" presName="hierChild3" presStyleCnt="0"/>
      <dgm:spPr/>
    </dgm:pt>
    <dgm:pt modelId="{8F97413C-DE52-9E4B-BC43-29930960D6F4}" type="pres">
      <dgm:prSet presAssocID="{C1951827-7931-6E4F-9F70-EDF27583184C}" presName="Name115" presStyleLbl="parChTrans1D2" presStyleIdx="0" presStyleCnt="2"/>
      <dgm:spPr/>
    </dgm:pt>
    <dgm:pt modelId="{2CE3F6BE-D937-0046-9516-D84A799E262A}" type="pres">
      <dgm:prSet presAssocID="{4FE1BC7F-80BF-5642-9594-B57704D3957F}" presName="hierRoot3" presStyleCnt="0">
        <dgm:presLayoutVars>
          <dgm:hierBranch val="init"/>
        </dgm:presLayoutVars>
      </dgm:prSet>
      <dgm:spPr/>
    </dgm:pt>
    <dgm:pt modelId="{0EED3714-51AE-D445-ABEA-3CA3876B7BE4}" type="pres">
      <dgm:prSet presAssocID="{4FE1BC7F-80BF-5642-9594-B57704D3957F}" presName="rootComposite3" presStyleCnt="0"/>
      <dgm:spPr/>
    </dgm:pt>
    <dgm:pt modelId="{D33204DB-87DB-7C47-B8A9-CB68B8B87405}" type="pres">
      <dgm:prSet presAssocID="{4FE1BC7F-80BF-5642-9594-B57704D3957F}" presName="rootText3" presStyleLbl="asst1" presStyleIdx="0" presStyleCnt="2">
        <dgm:presLayoutVars>
          <dgm:chPref val="3"/>
        </dgm:presLayoutVars>
      </dgm:prSet>
      <dgm:spPr/>
    </dgm:pt>
    <dgm:pt modelId="{501F1884-DA82-5542-B455-092C8100AF53}" type="pres">
      <dgm:prSet presAssocID="{4FE1BC7F-80BF-5642-9594-B57704D3957F}" presName="rootConnector3" presStyleLbl="asst1" presStyleIdx="0" presStyleCnt="2"/>
      <dgm:spPr/>
    </dgm:pt>
    <dgm:pt modelId="{A1D9E9B7-65C3-1F41-92EF-FC7AD180C7C8}" type="pres">
      <dgm:prSet presAssocID="{4FE1BC7F-80BF-5642-9594-B57704D3957F}" presName="hierChild6" presStyleCnt="0"/>
      <dgm:spPr/>
    </dgm:pt>
    <dgm:pt modelId="{91135540-B1E6-844A-8DCE-B32C63688D6F}" type="pres">
      <dgm:prSet presAssocID="{4FE1BC7F-80BF-5642-9594-B57704D3957F}" presName="hierChild7" presStyleCnt="0"/>
      <dgm:spPr/>
    </dgm:pt>
    <dgm:pt modelId="{81A1E950-90F8-B64B-A931-C76DCB807FD7}" type="pres">
      <dgm:prSet presAssocID="{1CE8FF52-9E46-9E42-8F07-1F05E38955EA}" presName="Name115" presStyleLbl="parChTrans1D2" presStyleIdx="1" presStyleCnt="2"/>
      <dgm:spPr/>
    </dgm:pt>
    <dgm:pt modelId="{0D15F03D-3C97-8C46-BD2D-65773BCE53F4}" type="pres">
      <dgm:prSet presAssocID="{6F0F60BD-E418-FA4A-9421-F14EAC76CE35}" presName="hierRoot3" presStyleCnt="0">
        <dgm:presLayoutVars>
          <dgm:hierBranch val="init"/>
        </dgm:presLayoutVars>
      </dgm:prSet>
      <dgm:spPr/>
    </dgm:pt>
    <dgm:pt modelId="{00BC37FE-4B83-B94F-A956-98A564BD6084}" type="pres">
      <dgm:prSet presAssocID="{6F0F60BD-E418-FA4A-9421-F14EAC76CE35}" presName="rootComposite3" presStyleCnt="0"/>
      <dgm:spPr/>
    </dgm:pt>
    <dgm:pt modelId="{45CC0B16-2F15-7741-92B3-6D327C653FD2}" type="pres">
      <dgm:prSet presAssocID="{6F0F60BD-E418-FA4A-9421-F14EAC76CE35}" presName="rootText3" presStyleLbl="asst1" presStyleIdx="1" presStyleCnt="2">
        <dgm:presLayoutVars>
          <dgm:chPref val="3"/>
        </dgm:presLayoutVars>
      </dgm:prSet>
      <dgm:spPr/>
    </dgm:pt>
    <dgm:pt modelId="{C9FB030C-3855-3B49-B703-A53C9B62B161}" type="pres">
      <dgm:prSet presAssocID="{6F0F60BD-E418-FA4A-9421-F14EAC76CE35}" presName="rootConnector3" presStyleLbl="asst1" presStyleIdx="1" presStyleCnt="2"/>
      <dgm:spPr/>
    </dgm:pt>
    <dgm:pt modelId="{20C991BF-E319-664E-977A-2C7A763F5AF8}" type="pres">
      <dgm:prSet presAssocID="{6F0F60BD-E418-FA4A-9421-F14EAC76CE35}" presName="hierChild6" presStyleCnt="0"/>
      <dgm:spPr/>
    </dgm:pt>
    <dgm:pt modelId="{DBEE3CFA-BFFE-9242-969D-ED4BF12EA524}" type="pres">
      <dgm:prSet presAssocID="{6F0F60BD-E418-FA4A-9421-F14EAC76CE35}" presName="hierChild7" presStyleCnt="0"/>
      <dgm:spPr/>
    </dgm:pt>
    <dgm:pt modelId="{020C28BF-164E-334B-9266-8206268DE2EA}" type="pres">
      <dgm:prSet presAssocID="{ABE5BF57-B55A-424D-891E-7F33CAC4028A}" presName="hierRoot1" presStyleCnt="0">
        <dgm:presLayoutVars>
          <dgm:hierBranch val="init"/>
        </dgm:presLayoutVars>
      </dgm:prSet>
      <dgm:spPr/>
    </dgm:pt>
    <dgm:pt modelId="{E0620B38-E1DB-6B47-8CE4-F003615ED3DA}" type="pres">
      <dgm:prSet presAssocID="{ABE5BF57-B55A-424D-891E-7F33CAC4028A}" presName="rootComposite1" presStyleCnt="0"/>
      <dgm:spPr/>
    </dgm:pt>
    <dgm:pt modelId="{C295F1F8-AF79-F248-89A0-312D529AB0C9}" type="pres">
      <dgm:prSet presAssocID="{ABE5BF57-B55A-424D-891E-7F33CAC4028A}" presName="rootText1" presStyleLbl="node0" presStyleIdx="1" presStyleCnt="2" custScaleY="59632" custLinFactY="-100000" custLinFactNeighborX="412" custLinFactNeighborY="-165010">
        <dgm:presLayoutVars>
          <dgm:chPref val="3"/>
        </dgm:presLayoutVars>
      </dgm:prSet>
      <dgm:spPr/>
    </dgm:pt>
    <dgm:pt modelId="{6FA92BAC-F2E0-7F4B-B223-89489A96E96A}" type="pres">
      <dgm:prSet presAssocID="{ABE5BF57-B55A-424D-891E-7F33CAC4028A}" presName="rootConnector1" presStyleLbl="node1" presStyleIdx="0" presStyleCnt="0"/>
      <dgm:spPr/>
    </dgm:pt>
    <dgm:pt modelId="{85B01589-92D6-304B-8319-C1829A6256B0}" type="pres">
      <dgm:prSet presAssocID="{ABE5BF57-B55A-424D-891E-7F33CAC4028A}" presName="hierChild2" presStyleCnt="0"/>
      <dgm:spPr/>
    </dgm:pt>
    <dgm:pt modelId="{166C6744-CB14-F04C-8558-698170E499C4}" type="pres">
      <dgm:prSet presAssocID="{ABE5BF57-B55A-424D-891E-7F33CAC4028A}" presName="hierChild3" presStyleCnt="0"/>
      <dgm:spPr/>
    </dgm:pt>
  </dgm:ptLst>
  <dgm:cxnLst>
    <dgm:cxn modelId="{F176A001-0768-4C41-A215-BF539831945C}" type="presOf" srcId="{363B1FF3-0391-7641-9263-31B738FB263B}" destId="{C028FF04-7AFE-1D4D-8A2C-833BBE2659F7}" srcOrd="0" destOrd="0" presId="urn:microsoft.com/office/officeart/2009/3/layout/HorizontalOrganizationChart"/>
    <dgm:cxn modelId="{91592802-4144-8F45-93CA-19D8C35F6D00}" srcId="{363B1FF3-0391-7641-9263-31B738FB263B}" destId="{9684B53B-15A3-7A48-85FB-0A7775346CD8}" srcOrd="0" destOrd="0" parTransId="{B8C2A370-E5DA-F44D-933A-57D5F3180B87}" sibTransId="{E5368F79-8C64-5F4F-9CCC-1D7BFDA3540E}"/>
    <dgm:cxn modelId="{5AADD819-3A6D-B441-AD1A-E324D0D14AFA}" srcId="{363B1FF3-0391-7641-9263-31B738FB263B}" destId="{ABE5BF57-B55A-424D-891E-7F33CAC4028A}" srcOrd="1" destOrd="0" parTransId="{DDD6DCB5-7F1F-104C-BA35-9EA212DE7BF4}" sibTransId="{8A3197D9-49E9-BC42-9E95-DDFD3E18F33C}"/>
    <dgm:cxn modelId="{43241123-D1BB-BF44-8E1E-3B21EF6332CE}" type="presOf" srcId="{1CE8FF52-9E46-9E42-8F07-1F05E38955EA}" destId="{81A1E950-90F8-B64B-A931-C76DCB807FD7}" srcOrd="0" destOrd="0" presId="urn:microsoft.com/office/officeart/2009/3/layout/HorizontalOrganizationChart"/>
    <dgm:cxn modelId="{ECD3F326-7735-E442-B648-F4D0ECEA9751}" type="presOf" srcId="{6F0F60BD-E418-FA4A-9421-F14EAC76CE35}" destId="{C9FB030C-3855-3B49-B703-A53C9B62B161}" srcOrd="1" destOrd="0" presId="urn:microsoft.com/office/officeart/2009/3/layout/HorizontalOrganizationChart"/>
    <dgm:cxn modelId="{E59D5029-5C3E-9849-97EB-2FBC8B102BE3}" type="presOf" srcId="{C1951827-7931-6E4F-9F70-EDF27583184C}" destId="{8F97413C-DE52-9E4B-BC43-29930960D6F4}" srcOrd="0" destOrd="0" presId="urn:microsoft.com/office/officeart/2009/3/layout/HorizontalOrganizationChart"/>
    <dgm:cxn modelId="{B52F7A31-4926-794F-A57B-349B71492CA8}" srcId="{9684B53B-15A3-7A48-85FB-0A7775346CD8}" destId="{6F0F60BD-E418-FA4A-9421-F14EAC76CE35}" srcOrd="1" destOrd="0" parTransId="{1CE8FF52-9E46-9E42-8F07-1F05E38955EA}" sibTransId="{5ABA8675-524A-8B47-B5F8-7940938DE095}"/>
    <dgm:cxn modelId="{AC96705C-BCC9-0E4B-941D-F1701B170B17}" type="presOf" srcId="{6F0F60BD-E418-FA4A-9421-F14EAC76CE35}" destId="{45CC0B16-2F15-7741-92B3-6D327C653FD2}" srcOrd="0" destOrd="0" presId="urn:microsoft.com/office/officeart/2009/3/layout/HorizontalOrganizationChart"/>
    <dgm:cxn modelId="{72651C8E-31BD-5A41-8F77-C2906DA8C2DF}" type="presOf" srcId="{9684B53B-15A3-7A48-85FB-0A7775346CD8}" destId="{6C0D6046-993B-B041-A539-5FB650E9E91A}" srcOrd="1" destOrd="0" presId="urn:microsoft.com/office/officeart/2009/3/layout/HorizontalOrganizationChart"/>
    <dgm:cxn modelId="{40AD84C6-C824-3D43-9AFA-237EA5CEB212}" type="presOf" srcId="{9684B53B-15A3-7A48-85FB-0A7775346CD8}" destId="{5697FA1B-D4A6-C047-9583-1E787E1AE026}" srcOrd="0" destOrd="0" presId="urn:microsoft.com/office/officeart/2009/3/layout/HorizontalOrganizationChart"/>
    <dgm:cxn modelId="{98F1B9C7-CA52-2842-ACA7-209AA4A16185}" type="presOf" srcId="{ABE5BF57-B55A-424D-891E-7F33CAC4028A}" destId="{6FA92BAC-F2E0-7F4B-B223-89489A96E96A}" srcOrd="1" destOrd="0" presId="urn:microsoft.com/office/officeart/2009/3/layout/HorizontalOrganizationChart"/>
    <dgm:cxn modelId="{08C679C8-77F9-AA45-A466-AEEAB34F7D1B}" type="presOf" srcId="{ABE5BF57-B55A-424D-891E-7F33CAC4028A}" destId="{C295F1F8-AF79-F248-89A0-312D529AB0C9}" srcOrd="0" destOrd="0" presId="urn:microsoft.com/office/officeart/2009/3/layout/HorizontalOrganizationChart"/>
    <dgm:cxn modelId="{50CF8ECE-3220-C84C-B7B3-C5A0769CEEBE}" srcId="{9684B53B-15A3-7A48-85FB-0A7775346CD8}" destId="{4FE1BC7F-80BF-5642-9594-B57704D3957F}" srcOrd="0" destOrd="0" parTransId="{C1951827-7931-6E4F-9F70-EDF27583184C}" sibTransId="{C5807A62-5625-5F45-BED9-0C546D2F78E9}"/>
    <dgm:cxn modelId="{F9828AD6-B08E-804E-9FF6-F3DE9AF966BD}" type="presOf" srcId="{4FE1BC7F-80BF-5642-9594-B57704D3957F}" destId="{D33204DB-87DB-7C47-B8A9-CB68B8B87405}" srcOrd="0" destOrd="0" presId="urn:microsoft.com/office/officeart/2009/3/layout/HorizontalOrganizationChart"/>
    <dgm:cxn modelId="{7D98D8D7-C36E-114C-B1BE-BEFDD6F9B209}" type="presOf" srcId="{4FE1BC7F-80BF-5642-9594-B57704D3957F}" destId="{501F1884-DA82-5542-B455-092C8100AF53}" srcOrd="1" destOrd="0" presId="urn:microsoft.com/office/officeart/2009/3/layout/HorizontalOrganizationChart"/>
    <dgm:cxn modelId="{A8163CAE-6CDF-3C4D-96EB-562E43F24F10}" type="presParOf" srcId="{C028FF04-7AFE-1D4D-8A2C-833BBE2659F7}" destId="{05ABAE07-8A6C-FC49-9E64-D139F4DE4B6F}" srcOrd="0" destOrd="0" presId="urn:microsoft.com/office/officeart/2009/3/layout/HorizontalOrganizationChart"/>
    <dgm:cxn modelId="{05D8E14C-83E8-2C4A-803E-B4A4C6012B4E}" type="presParOf" srcId="{05ABAE07-8A6C-FC49-9E64-D139F4DE4B6F}" destId="{79A95EC9-B94D-F04B-A056-F22FCB5BBD39}" srcOrd="0" destOrd="0" presId="urn:microsoft.com/office/officeart/2009/3/layout/HorizontalOrganizationChart"/>
    <dgm:cxn modelId="{6CA1E7DB-E3DA-4049-8E0C-A37BFC7E8C26}" type="presParOf" srcId="{79A95EC9-B94D-F04B-A056-F22FCB5BBD39}" destId="{5697FA1B-D4A6-C047-9583-1E787E1AE026}" srcOrd="0" destOrd="0" presId="urn:microsoft.com/office/officeart/2009/3/layout/HorizontalOrganizationChart"/>
    <dgm:cxn modelId="{5A117358-EB9A-8D41-B08D-71519FDB6748}" type="presParOf" srcId="{79A95EC9-B94D-F04B-A056-F22FCB5BBD39}" destId="{6C0D6046-993B-B041-A539-5FB650E9E91A}" srcOrd="1" destOrd="0" presId="urn:microsoft.com/office/officeart/2009/3/layout/HorizontalOrganizationChart"/>
    <dgm:cxn modelId="{FE6185D2-6E9A-D14D-9C12-0EEEBE191B6C}" type="presParOf" srcId="{05ABAE07-8A6C-FC49-9E64-D139F4DE4B6F}" destId="{953C7854-59CF-FA4D-926C-F5D0C0162229}" srcOrd="1" destOrd="0" presId="urn:microsoft.com/office/officeart/2009/3/layout/HorizontalOrganizationChart"/>
    <dgm:cxn modelId="{9617F32E-6C4A-5043-AB12-F4EDBDB9C7C6}" type="presParOf" srcId="{05ABAE07-8A6C-FC49-9E64-D139F4DE4B6F}" destId="{94185680-C77D-3F40-985E-BB49D88629B7}" srcOrd="2" destOrd="0" presId="urn:microsoft.com/office/officeart/2009/3/layout/HorizontalOrganizationChart"/>
    <dgm:cxn modelId="{5E033AB7-F1E9-C848-B884-26347C16337B}" type="presParOf" srcId="{94185680-C77D-3F40-985E-BB49D88629B7}" destId="{8F97413C-DE52-9E4B-BC43-29930960D6F4}" srcOrd="0" destOrd="0" presId="urn:microsoft.com/office/officeart/2009/3/layout/HorizontalOrganizationChart"/>
    <dgm:cxn modelId="{02A9FA62-00E8-2D48-9E7F-9B59CF72C5B7}" type="presParOf" srcId="{94185680-C77D-3F40-985E-BB49D88629B7}" destId="{2CE3F6BE-D937-0046-9516-D84A799E262A}" srcOrd="1" destOrd="0" presId="urn:microsoft.com/office/officeart/2009/3/layout/HorizontalOrganizationChart"/>
    <dgm:cxn modelId="{19C98108-E801-5145-BB3B-DED9A63853D1}" type="presParOf" srcId="{2CE3F6BE-D937-0046-9516-D84A799E262A}" destId="{0EED3714-51AE-D445-ABEA-3CA3876B7BE4}" srcOrd="0" destOrd="0" presId="urn:microsoft.com/office/officeart/2009/3/layout/HorizontalOrganizationChart"/>
    <dgm:cxn modelId="{8FC51A9A-FDDB-2E4F-A0DF-B053F37E9452}" type="presParOf" srcId="{0EED3714-51AE-D445-ABEA-3CA3876B7BE4}" destId="{D33204DB-87DB-7C47-B8A9-CB68B8B87405}" srcOrd="0" destOrd="0" presId="urn:microsoft.com/office/officeart/2009/3/layout/HorizontalOrganizationChart"/>
    <dgm:cxn modelId="{13C3AE94-7993-1F44-AC11-BC2CAC007A18}" type="presParOf" srcId="{0EED3714-51AE-D445-ABEA-3CA3876B7BE4}" destId="{501F1884-DA82-5542-B455-092C8100AF53}" srcOrd="1" destOrd="0" presId="urn:microsoft.com/office/officeart/2009/3/layout/HorizontalOrganizationChart"/>
    <dgm:cxn modelId="{6EA2CC30-13A1-1E45-B14F-6AB8C1C72145}" type="presParOf" srcId="{2CE3F6BE-D937-0046-9516-D84A799E262A}" destId="{A1D9E9B7-65C3-1F41-92EF-FC7AD180C7C8}" srcOrd="1" destOrd="0" presId="urn:microsoft.com/office/officeart/2009/3/layout/HorizontalOrganizationChart"/>
    <dgm:cxn modelId="{B64A3318-DA92-FF48-89E6-9D13A567F824}" type="presParOf" srcId="{2CE3F6BE-D937-0046-9516-D84A799E262A}" destId="{91135540-B1E6-844A-8DCE-B32C63688D6F}" srcOrd="2" destOrd="0" presId="urn:microsoft.com/office/officeart/2009/3/layout/HorizontalOrganizationChart"/>
    <dgm:cxn modelId="{3A8E53C3-E6CA-9A4C-B781-7F0F1591EF38}" type="presParOf" srcId="{94185680-C77D-3F40-985E-BB49D88629B7}" destId="{81A1E950-90F8-B64B-A931-C76DCB807FD7}" srcOrd="2" destOrd="0" presId="urn:microsoft.com/office/officeart/2009/3/layout/HorizontalOrganizationChart"/>
    <dgm:cxn modelId="{DBA05CE6-359E-A447-B76A-58E5616F26DE}" type="presParOf" srcId="{94185680-C77D-3F40-985E-BB49D88629B7}" destId="{0D15F03D-3C97-8C46-BD2D-65773BCE53F4}" srcOrd="3" destOrd="0" presId="urn:microsoft.com/office/officeart/2009/3/layout/HorizontalOrganizationChart"/>
    <dgm:cxn modelId="{D0D0137A-4777-F547-9FD0-BB7077C27707}" type="presParOf" srcId="{0D15F03D-3C97-8C46-BD2D-65773BCE53F4}" destId="{00BC37FE-4B83-B94F-A956-98A564BD6084}" srcOrd="0" destOrd="0" presId="urn:microsoft.com/office/officeart/2009/3/layout/HorizontalOrganizationChart"/>
    <dgm:cxn modelId="{9D7AAB29-0E4E-0A4E-A06E-16B69C5E0CE9}" type="presParOf" srcId="{00BC37FE-4B83-B94F-A956-98A564BD6084}" destId="{45CC0B16-2F15-7741-92B3-6D327C653FD2}" srcOrd="0" destOrd="0" presId="urn:microsoft.com/office/officeart/2009/3/layout/HorizontalOrganizationChart"/>
    <dgm:cxn modelId="{84BDECD3-0665-B74E-98DC-0F6484895152}" type="presParOf" srcId="{00BC37FE-4B83-B94F-A956-98A564BD6084}" destId="{C9FB030C-3855-3B49-B703-A53C9B62B161}" srcOrd="1" destOrd="0" presId="urn:microsoft.com/office/officeart/2009/3/layout/HorizontalOrganizationChart"/>
    <dgm:cxn modelId="{76232C46-436D-3643-AA00-88C74EC65F67}" type="presParOf" srcId="{0D15F03D-3C97-8C46-BD2D-65773BCE53F4}" destId="{20C991BF-E319-664E-977A-2C7A763F5AF8}" srcOrd="1" destOrd="0" presId="urn:microsoft.com/office/officeart/2009/3/layout/HorizontalOrganizationChart"/>
    <dgm:cxn modelId="{CA9050F5-EF8B-0E41-8EF9-763024062ED9}" type="presParOf" srcId="{0D15F03D-3C97-8C46-BD2D-65773BCE53F4}" destId="{DBEE3CFA-BFFE-9242-969D-ED4BF12EA524}" srcOrd="2" destOrd="0" presId="urn:microsoft.com/office/officeart/2009/3/layout/HorizontalOrganizationChart"/>
    <dgm:cxn modelId="{282982C0-1358-8844-8EA2-700086BED91B}" type="presParOf" srcId="{C028FF04-7AFE-1D4D-8A2C-833BBE2659F7}" destId="{020C28BF-164E-334B-9266-8206268DE2EA}" srcOrd="1" destOrd="0" presId="urn:microsoft.com/office/officeart/2009/3/layout/HorizontalOrganizationChart"/>
    <dgm:cxn modelId="{5A16F77D-3D5A-7B46-BD7C-B3511EA9CB6D}" type="presParOf" srcId="{020C28BF-164E-334B-9266-8206268DE2EA}" destId="{E0620B38-E1DB-6B47-8CE4-F003615ED3DA}" srcOrd="0" destOrd="0" presId="urn:microsoft.com/office/officeart/2009/3/layout/HorizontalOrganizationChart"/>
    <dgm:cxn modelId="{0A2F2BCD-29D4-F84D-950A-040308DF4918}" type="presParOf" srcId="{E0620B38-E1DB-6B47-8CE4-F003615ED3DA}" destId="{C295F1F8-AF79-F248-89A0-312D529AB0C9}" srcOrd="0" destOrd="0" presId="urn:microsoft.com/office/officeart/2009/3/layout/HorizontalOrganizationChart"/>
    <dgm:cxn modelId="{EFB094FF-B203-8744-8526-156096CB6EE2}" type="presParOf" srcId="{E0620B38-E1DB-6B47-8CE4-F003615ED3DA}" destId="{6FA92BAC-F2E0-7F4B-B223-89489A96E96A}" srcOrd="1" destOrd="0" presId="urn:microsoft.com/office/officeart/2009/3/layout/HorizontalOrganizationChart"/>
    <dgm:cxn modelId="{B63F82DE-C9DB-9246-8F65-CB53243BCAE9}" type="presParOf" srcId="{020C28BF-164E-334B-9266-8206268DE2EA}" destId="{85B01589-92D6-304B-8319-C1829A6256B0}" srcOrd="1" destOrd="0" presId="urn:microsoft.com/office/officeart/2009/3/layout/HorizontalOrganizationChart"/>
    <dgm:cxn modelId="{01B5BD57-4C3C-EC41-B411-4FA17A551476}" type="presParOf" srcId="{020C28BF-164E-334B-9266-8206268DE2EA}" destId="{166C6744-CB14-F04C-8558-698170E499C4}" srcOrd="2" destOrd="0" presId="urn:microsoft.com/office/officeart/2009/3/layout/HorizontalOrganizationChart"/>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5F92A6-0F6C-B44D-BA4D-9C64F13D2B96}">
      <dsp:nvSpPr>
        <dsp:cNvPr id="0" name=""/>
        <dsp:cNvSpPr/>
      </dsp:nvSpPr>
      <dsp:spPr>
        <a:xfrm>
          <a:off x="1246103" y="273323"/>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Universal Hylomorphism</a:t>
          </a:r>
        </a:p>
      </dsp:txBody>
      <dsp:txXfrm>
        <a:off x="1261050" y="288270"/>
        <a:ext cx="735611" cy="480443"/>
      </dsp:txXfrm>
    </dsp:sp>
    <dsp:sp modelId="{CEC5EE83-16C5-0540-9C92-52C3C2A7BC11}">
      <dsp:nvSpPr>
        <dsp:cNvPr id="0" name=""/>
        <dsp:cNvSpPr/>
      </dsp:nvSpPr>
      <dsp:spPr>
        <a:xfrm>
          <a:off x="882487" y="783660"/>
          <a:ext cx="746367" cy="204134"/>
        </a:xfrm>
        <a:custGeom>
          <a:avLst/>
          <a:gdLst/>
          <a:ahLst/>
          <a:cxnLst/>
          <a:rect l="0" t="0" r="0" b="0"/>
          <a:pathLst>
            <a:path>
              <a:moveTo>
                <a:pt x="746367" y="0"/>
              </a:moveTo>
              <a:lnTo>
                <a:pt x="746367" y="102067"/>
              </a:lnTo>
              <a:lnTo>
                <a:pt x="0" y="102067"/>
              </a:lnTo>
              <a:lnTo>
                <a:pt x="0" y="2041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C60F52-56BB-DA49-93D4-CD4558FDC40C}">
      <dsp:nvSpPr>
        <dsp:cNvPr id="0" name=""/>
        <dsp:cNvSpPr/>
      </dsp:nvSpPr>
      <dsp:spPr>
        <a:xfrm>
          <a:off x="499735" y="987795"/>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Reject</a:t>
          </a:r>
        </a:p>
      </dsp:txBody>
      <dsp:txXfrm>
        <a:off x="514682" y="1002742"/>
        <a:ext cx="735611" cy="480443"/>
      </dsp:txXfrm>
    </dsp:sp>
    <dsp:sp modelId="{B8DA6055-DB78-EC41-8A74-23F110C1A03F}">
      <dsp:nvSpPr>
        <dsp:cNvPr id="0" name=""/>
        <dsp:cNvSpPr/>
      </dsp:nvSpPr>
      <dsp:spPr>
        <a:xfrm>
          <a:off x="836767" y="1498132"/>
          <a:ext cx="91440" cy="204134"/>
        </a:xfrm>
        <a:custGeom>
          <a:avLst/>
          <a:gdLst/>
          <a:ahLst/>
          <a:cxnLst/>
          <a:rect l="0" t="0" r="0" b="0"/>
          <a:pathLst>
            <a:path>
              <a:moveTo>
                <a:pt x="45720" y="0"/>
              </a:moveTo>
              <a:lnTo>
                <a:pt x="45720" y="2041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20EFAE-568F-9747-98BA-8592ECB0022F}">
      <dsp:nvSpPr>
        <dsp:cNvPr id="0" name=""/>
        <dsp:cNvSpPr/>
      </dsp:nvSpPr>
      <dsp:spPr>
        <a:xfrm>
          <a:off x="499735" y="1702267"/>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Philip the Chancellor (Secular)</a:t>
          </a:r>
        </a:p>
      </dsp:txBody>
      <dsp:txXfrm>
        <a:off x="514682" y="1717214"/>
        <a:ext cx="735611" cy="480443"/>
      </dsp:txXfrm>
    </dsp:sp>
    <dsp:sp modelId="{32D0057C-54D6-4449-9E41-AA8FCAA0A104}">
      <dsp:nvSpPr>
        <dsp:cNvPr id="0" name=""/>
        <dsp:cNvSpPr/>
      </dsp:nvSpPr>
      <dsp:spPr>
        <a:xfrm>
          <a:off x="384909" y="2212604"/>
          <a:ext cx="497578" cy="204134"/>
        </a:xfrm>
        <a:custGeom>
          <a:avLst/>
          <a:gdLst/>
          <a:ahLst/>
          <a:cxnLst/>
          <a:rect l="0" t="0" r="0" b="0"/>
          <a:pathLst>
            <a:path>
              <a:moveTo>
                <a:pt x="497578" y="0"/>
              </a:moveTo>
              <a:lnTo>
                <a:pt x="497578" y="102067"/>
              </a:lnTo>
              <a:lnTo>
                <a:pt x="0" y="102067"/>
              </a:lnTo>
              <a:lnTo>
                <a:pt x="0" y="2041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1C3804-114B-9945-9381-2867EFDC2A5B}">
      <dsp:nvSpPr>
        <dsp:cNvPr id="0" name=""/>
        <dsp:cNvSpPr/>
      </dsp:nvSpPr>
      <dsp:spPr>
        <a:xfrm>
          <a:off x="2156" y="2416739"/>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Hugh of St Cher (Dominican)</a:t>
          </a:r>
        </a:p>
      </dsp:txBody>
      <dsp:txXfrm>
        <a:off x="17103" y="2431686"/>
        <a:ext cx="735611" cy="480443"/>
      </dsp:txXfrm>
    </dsp:sp>
    <dsp:sp modelId="{DD11EB5F-D4D9-AE49-AC81-D7CE9305EC3A}">
      <dsp:nvSpPr>
        <dsp:cNvPr id="0" name=""/>
        <dsp:cNvSpPr/>
      </dsp:nvSpPr>
      <dsp:spPr>
        <a:xfrm>
          <a:off x="882487" y="2212604"/>
          <a:ext cx="497578" cy="204134"/>
        </a:xfrm>
        <a:custGeom>
          <a:avLst/>
          <a:gdLst/>
          <a:ahLst/>
          <a:cxnLst/>
          <a:rect l="0" t="0" r="0" b="0"/>
          <a:pathLst>
            <a:path>
              <a:moveTo>
                <a:pt x="0" y="0"/>
              </a:moveTo>
              <a:lnTo>
                <a:pt x="0" y="102067"/>
              </a:lnTo>
              <a:lnTo>
                <a:pt x="497578" y="102067"/>
              </a:lnTo>
              <a:lnTo>
                <a:pt x="497578" y="2041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614829-E31E-9847-A923-2E38F560E337}">
      <dsp:nvSpPr>
        <dsp:cNvPr id="0" name=""/>
        <dsp:cNvSpPr/>
      </dsp:nvSpPr>
      <dsp:spPr>
        <a:xfrm>
          <a:off x="997313" y="2416739"/>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John of La Rochelle (Franciscan)</a:t>
          </a:r>
        </a:p>
      </dsp:txBody>
      <dsp:txXfrm>
        <a:off x="1012260" y="2431686"/>
        <a:ext cx="735611" cy="480443"/>
      </dsp:txXfrm>
    </dsp:sp>
    <dsp:sp modelId="{10BF4024-AC09-714F-9251-AF4BF5BA3B32}">
      <dsp:nvSpPr>
        <dsp:cNvPr id="0" name=""/>
        <dsp:cNvSpPr/>
      </dsp:nvSpPr>
      <dsp:spPr>
        <a:xfrm>
          <a:off x="1628855" y="783660"/>
          <a:ext cx="746367" cy="204134"/>
        </a:xfrm>
        <a:custGeom>
          <a:avLst/>
          <a:gdLst/>
          <a:ahLst/>
          <a:cxnLst/>
          <a:rect l="0" t="0" r="0" b="0"/>
          <a:pathLst>
            <a:path>
              <a:moveTo>
                <a:pt x="0" y="0"/>
              </a:moveTo>
              <a:lnTo>
                <a:pt x="0" y="102067"/>
              </a:lnTo>
              <a:lnTo>
                <a:pt x="746367" y="102067"/>
              </a:lnTo>
              <a:lnTo>
                <a:pt x="746367" y="2041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EE72C6-C14D-5A4B-BF6C-CECCF5158AF9}">
      <dsp:nvSpPr>
        <dsp:cNvPr id="0" name=""/>
        <dsp:cNvSpPr/>
      </dsp:nvSpPr>
      <dsp:spPr>
        <a:xfrm>
          <a:off x="1992471" y="987795"/>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Accept</a:t>
          </a:r>
        </a:p>
      </dsp:txBody>
      <dsp:txXfrm>
        <a:off x="2007418" y="1002742"/>
        <a:ext cx="735611" cy="480443"/>
      </dsp:txXfrm>
    </dsp:sp>
    <dsp:sp modelId="{44C86BB3-CC91-1C44-8927-EF87256067B3}">
      <dsp:nvSpPr>
        <dsp:cNvPr id="0" name=""/>
        <dsp:cNvSpPr/>
      </dsp:nvSpPr>
      <dsp:spPr>
        <a:xfrm>
          <a:off x="2329503" y="1498132"/>
          <a:ext cx="91440" cy="204134"/>
        </a:xfrm>
        <a:custGeom>
          <a:avLst/>
          <a:gdLst/>
          <a:ahLst/>
          <a:cxnLst/>
          <a:rect l="0" t="0" r="0" b="0"/>
          <a:pathLst>
            <a:path>
              <a:moveTo>
                <a:pt x="45720" y="0"/>
              </a:moveTo>
              <a:lnTo>
                <a:pt x="45720" y="2041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666661-C994-2B4D-BDF9-6AD8A2C44278}">
      <dsp:nvSpPr>
        <dsp:cNvPr id="0" name=""/>
        <dsp:cNvSpPr/>
      </dsp:nvSpPr>
      <dsp:spPr>
        <a:xfrm>
          <a:off x="1992471" y="1702267"/>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Roland of Cremona (Dominican)</a:t>
          </a:r>
        </a:p>
      </dsp:txBody>
      <dsp:txXfrm>
        <a:off x="2007418" y="1717214"/>
        <a:ext cx="735611" cy="480443"/>
      </dsp:txXfrm>
    </dsp:sp>
    <dsp:sp modelId="{9917E320-5D56-2B4F-93BA-8C942983B235}">
      <dsp:nvSpPr>
        <dsp:cNvPr id="0" name=""/>
        <dsp:cNvSpPr/>
      </dsp:nvSpPr>
      <dsp:spPr>
        <a:xfrm>
          <a:off x="2329503" y="2212604"/>
          <a:ext cx="91440" cy="204134"/>
        </a:xfrm>
        <a:custGeom>
          <a:avLst/>
          <a:gdLst/>
          <a:ahLst/>
          <a:cxnLst/>
          <a:rect l="0" t="0" r="0" b="0"/>
          <a:pathLst>
            <a:path>
              <a:moveTo>
                <a:pt x="45720" y="0"/>
              </a:moveTo>
              <a:lnTo>
                <a:pt x="45720" y="2041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B2D941-60D5-744F-87C8-10534C8481A9}">
      <dsp:nvSpPr>
        <dsp:cNvPr id="0" name=""/>
        <dsp:cNvSpPr/>
      </dsp:nvSpPr>
      <dsp:spPr>
        <a:xfrm>
          <a:off x="1992471" y="2416739"/>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i="1" kern="1200"/>
            <a:t>Summa Halensis </a:t>
          </a:r>
          <a:r>
            <a:rPr lang="en-US" sz="700" i="0" kern="1200"/>
            <a:t>(and subsequent Franciscans)</a:t>
          </a:r>
          <a:endParaRPr lang="en-US" sz="700" i="1" kern="1200"/>
        </a:p>
      </dsp:txBody>
      <dsp:txXfrm>
        <a:off x="2007418" y="2431686"/>
        <a:ext cx="735611" cy="480443"/>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D5550F-1DF6-0F41-B623-903B1D6EA66D}">
      <dsp:nvSpPr>
        <dsp:cNvPr id="0" name=""/>
        <dsp:cNvSpPr/>
      </dsp:nvSpPr>
      <dsp:spPr>
        <a:xfrm>
          <a:off x="0" y="1940699"/>
          <a:ext cx="5486400" cy="53738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Avicenna/Damascus</a:t>
          </a:r>
        </a:p>
      </dsp:txBody>
      <dsp:txXfrm>
        <a:off x="0" y="1940699"/>
        <a:ext cx="1645920" cy="537388"/>
      </dsp:txXfrm>
    </dsp:sp>
    <dsp:sp modelId="{23566514-38A7-0241-AF89-A507C364B75F}">
      <dsp:nvSpPr>
        <dsp:cNvPr id="0" name=""/>
        <dsp:cNvSpPr/>
      </dsp:nvSpPr>
      <dsp:spPr>
        <a:xfrm>
          <a:off x="0" y="1313745"/>
          <a:ext cx="5486400" cy="53738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The Philosopher</a:t>
          </a:r>
        </a:p>
      </dsp:txBody>
      <dsp:txXfrm>
        <a:off x="0" y="1313745"/>
        <a:ext cx="1645920" cy="537388"/>
      </dsp:txXfrm>
    </dsp:sp>
    <dsp:sp modelId="{E12B6254-23C1-514B-AD50-7005F78F9B1B}">
      <dsp:nvSpPr>
        <dsp:cNvPr id="0" name=""/>
        <dsp:cNvSpPr/>
      </dsp:nvSpPr>
      <dsp:spPr>
        <a:xfrm>
          <a:off x="0" y="686792"/>
          <a:ext cx="5486400" cy="53738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Pseudo-Augustine</a:t>
          </a:r>
        </a:p>
      </dsp:txBody>
      <dsp:txXfrm>
        <a:off x="0" y="686792"/>
        <a:ext cx="1645920" cy="537388"/>
      </dsp:txXfrm>
    </dsp:sp>
    <dsp:sp modelId="{90780136-5A9D-B646-AB9A-97F3890442D7}">
      <dsp:nvSpPr>
        <dsp:cNvPr id="0" name=""/>
        <dsp:cNvSpPr/>
      </dsp:nvSpPr>
      <dsp:spPr>
        <a:xfrm>
          <a:off x="0" y="59839"/>
          <a:ext cx="5486400" cy="53738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1" kern="1200"/>
            <a:t>Knowledge without complexion</a:t>
          </a:r>
        </a:p>
      </dsp:txBody>
      <dsp:txXfrm>
        <a:off x="0" y="59839"/>
        <a:ext cx="1645920" cy="537388"/>
      </dsp:txXfrm>
    </dsp:sp>
    <dsp:sp modelId="{8407521D-5FBA-DB4B-B44B-58158B6883D4}">
      <dsp:nvSpPr>
        <dsp:cNvPr id="0" name=""/>
        <dsp:cNvSpPr/>
      </dsp:nvSpPr>
      <dsp:spPr>
        <a:xfrm>
          <a:off x="3830370" y="104621"/>
          <a:ext cx="671735" cy="447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Simple Cognition</a:t>
          </a:r>
        </a:p>
        <a:p>
          <a:pPr marL="0" lvl="0" indent="0" algn="ctr" defTabSz="311150">
            <a:lnSpc>
              <a:spcPct val="90000"/>
            </a:lnSpc>
            <a:spcBef>
              <a:spcPct val="0"/>
            </a:spcBef>
            <a:spcAft>
              <a:spcPct val="35000"/>
            </a:spcAft>
            <a:buNone/>
          </a:pPr>
          <a:r>
            <a:rPr lang="en-GB" sz="700" kern="1200"/>
            <a:t>(Neessary)</a:t>
          </a:r>
        </a:p>
      </dsp:txBody>
      <dsp:txXfrm>
        <a:off x="3843486" y="117737"/>
        <a:ext cx="645503" cy="421591"/>
      </dsp:txXfrm>
    </dsp:sp>
    <dsp:sp modelId="{5BE2E6E9-4104-724F-840F-15BE74F742AE}">
      <dsp:nvSpPr>
        <dsp:cNvPr id="0" name=""/>
        <dsp:cNvSpPr/>
      </dsp:nvSpPr>
      <dsp:spPr>
        <a:xfrm>
          <a:off x="3292981" y="552445"/>
          <a:ext cx="873256" cy="179129"/>
        </a:xfrm>
        <a:custGeom>
          <a:avLst/>
          <a:gdLst/>
          <a:ahLst/>
          <a:cxnLst/>
          <a:rect l="0" t="0" r="0" b="0"/>
          <a:pathLst>
            <a:path>
              <a:moveTo>
                <a:pt x="873256" y="0"/>
              </a:moveTo>
              <a:lnTo>
                <a:pt x="873256" y="89564"/>
              </a:lnTo>
              <a:lnTo>
                <a:pt x="0" y="89564"/>
              </a:lnTo>
              <a:lnTo>
                <a:pt x="0" y="1791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8883D1-B7C9-1143-BC1A-6A8153D4B1BA}">
      <dsp:nvSpPr>
        <dsp:cNvPr id="0" name=""/>
        <dsp:cNvSpPr/>
      </dsp:nvSpPr>
      <dsp:spPr>
        <a:xfrm>
          <a:off x="2957114" y="731574"/>
          <a:ext cx="671735" cy="447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i="1" kern="1200"/>
            <a:t>Ratio</a:t>
          </a:r>
        </a:p>
        <a:p>
          <a:pPr marL="0" lvl="0" indent="0" algn="ctr" defTabSz="311150">
            <a:lnSpc>
              <a:spcPct val="90000"/>
            </a:lnSpc>
            <a:spcBef>
              <a:spcPct val="0"/>
            </a:spcBef>
            <a:spcAft>
              <a:spcPct val="35000"/>
            </a:spcAft>
            <a:buNone/>
          </a:pPr>
          <a:r>
            <a:rPr lang="en-GB" sz="700" kern="1200"/>
            <a:t>(knows natural things)</a:t>
          </a:r>
        </a:p>
      </dsp:txBody>
      <dsp:txXfrm>
        <a:off x="2970230" y="744690"/>
        <a:ext cx="645503" cy="421591"/>
      </dsp:txXfrm>
    </dsp:sp>
    <dsp:sp modelId="{232C124F-EBF3-6D49-91DD-87AE754E7FAF}">
      <dsp:nvSpPr>
        <dsp:cNvPr id="0" name=""/>
        <dsp:cNvSpPr/>
      </dsp:nvSpPr>
      <dsp:spPr>
        <a:xfrm>
          <a:off x="1983097" y="1179398"/>
          <a:ext cx="1309884" cy="179129"/>
        </a:xfrm>
        <a:custGeom>
          <a:avLst/>
          <a:gdLst/>
          <a:ahLst/>
          <a:cxnLst/>
          <a:rect l="0" t="0" r="0" b="0"/>
          <a:pathLst>
            <a:path>
              <a:moveTo>
                <a:pt x="1309884" y="0"/>
              </a:moveTo>
              <a:lnTo>
                <a:pt x="1309884" y="89564"/>
              </a:lnTo>
              <a:lnTo>
                <a:pt x="0" y="89564"/>
              </a:lnTo>
              <a:lnTo>
                <a:pt x="0" y="179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859B88-1C5C-7A44-AB67-DDEB46D792FB}">
      <dsp:nvSpPr>
        <dsp:cNvPr id="0" name=""/>
        <dsp:cNvSpPr/>
      </dsp:nvSpPr>
      <dsp:spPr>
        <a:xfrm>
          <a:off x="1647229" y="1358528"/>
          <a:ext cx="671735" cy="447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Material Intellect</a:t>
          </a:r>
        </a:p>
      </dsp:txBody>
      <dsp:txXfrm>
        <a:off x="1660345" y="1371644"/>
        <a:ext cx="645503" cy="421591"/>
      </dsp:txXfrm>
    </dsp:sp>
    <dsp:sp modelId="{B7B1C709-2BAE-E842-9379-4533D18BFE53}">
      <dsp:nvSpPr>
        <dsp:cNvPr id="0" name=""/>
        <dsp:cNvSpPr/>
      </dsp:nvSpPr>
      <dsp:spPr>
        <a:xfrm>
          <a:off x="1937377" y="1806352"/>
          <a:ext cx="91440" cy="179129"/>
        </a:xfrm>
        <a:custGeom>
          <a:avLst/>
          <a:gdLst/>
          <a:ahLst/>
          <a:cxnLst/>
          <a:rect l="0" t="0" r="0" b="0"/>
          <a:pathLst>
            <a:path>
              <a:moveTo>
                <a:pt x="45720" y="0"/>
              </a:moveTo>
              <a:lnTo>
                <a:pt x="45720" y="179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15C03F-4B40-9B46-A3F5-9E7956F2A5A0}">
      <dsp:nvSpPr>
        <dsp:cNvPr id="0" name=""/>
        <dsp:cNvSpPr/>
      </dsp:nvSpPr>
      <dsp:spPr>
        <a:xfrm>
          <a:off x="1647229" y="1985481"/>
          <a:ext cx="671735" cy="447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Intelligence = material intellect</a:t>
          </a:r>
        </a:p>
      </dsp:txBody>
      <dsp:txXfrm>
        <a:off x="1660345" y="1998597"/>
        <a:ext cx="645503" cy="421591"/>
      </dsp:txXfrm>
    </dsp:sp>
    <dsp:sp modelId="{8D873C49-5288-EE47-ACF9-39AE4ABACC21}">
      <dsp:nvSpPr>
        <dsp:cNvPr id="0" name=""/>
        <dsp:cNvSpPr/>
      </dsp:nvSpPr>
      <dsp:spPr>
        <a:xfrm>
          <a:off x="3247261" y="1179398"/>
          <a:ext cx="91440" cy="179129"/>
        </a:xfrm>
        <a:custGeom>
          <a:avLst/>
          <a:gdLst/>
          <a:ahLst/>
          <a:cxnLst/>
          <a:rect l="0" t="0" r="0" b="0"/>
          <a:pathLst>
            <a:path>
              <a:moveTo>
                <a:pt x="45720" y="0"/>
              </a:moveTo>
              <a:lnTo>
                <a:pt x="45720" y="179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4A0242-9762-D24C-A206-0E0BCD4D0B20}">
      <dsp:nvSpPr>
        <dsp:cNvPr id="0" name=""/>
        <dsp:cNvSpPr/>
      </dsp:nvSpPr>
      <dsp:spPr>
        <a:xfrm>
          <a:off x="2957114" y="1358528"/>
          <a:ext cx="671735" cy="447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Possible Intellect</a:t>
          </a:r>
        </a:p>
      </dsp:txBody>
      <dsp:txXfrm>
        <a:off x="2970230" y="1371644"/>
        <a:ext cx="645503" cy="421591"/>
      </dsp:txXfrm>
    </dsp:sp>
    <dsp:sp modelId="{F88A4855-8537-5844-A68D-949EA591EEFA}">
      <dsp:nvSpPr>
        <dsp:cNvPr id="0" name=""/>
        <dsp:cNvSpPr/>
      </dsp:nvSpPr>
      <dsp:spPr>
        <a:xfrm>
          <a:off x="2856353" y="1806352"/>
          <a:ext cx="436628" cy="179129"/>
        </a:xfrm>
        <a:custGeom>
          <a:avLst/>
          <a:gdLst/>
          <a:ahLst/>
          <a:cxnLst/>
          <a:rect l="0" t="0" r="0" b="0"/>
          <a:pathLst>
            <a:path>
              <a:moveTo>
                <a:pt x="436628" y="0"/>
              </a:moveTo>
              <a:lnTo>
                <a:pt x="436628" y="89564"/>
              </a:lnTo>
              <a:lnTo>
                <a:pt x="0" y="89564"/>
              </a:lnTo>
              <a:lnTo>
                <a:pt x="0" y="179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831F1D-6FF5-D546-90B8-9A5447EA786A}">
      <dsp:nvSpPr>
        <dsp:cNvPr id="0" name=""/>
        <dsp:cNvSpPr/>
      </dsp:nvSpPr>
      <dsp:spPr>
        <a:xfrm>
          <a:off x="2520485" y="1985481"/>
          <a:ext cx="671735" cy="447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Intention = intellect </a:t>
          </a:r>
          <a:r>
            <a:rPr lang="en-GB" sz="700" i="1" kern="1200"/>
            <a:t>in effectu</a:t>
          </a:r>
          <a:endParaRPr lang="en-GB" sz="700" kern="1200"/>
        </a:p>
      </dsp:txBody>
      <dsp:txXfrm>
        <a:off x="2533601" y="1998597"/>
        <a:ext cx="645503" cy="421591"/>
      </dsp:txXfrm>
    </dsp:sp>
    <dsp:sp modelId="{61D82634-FFC6-DC40-AF4D-A4B0770CE864}">
      <dsp:nvSpPr>
        <dsp:cNvPr id="0" name=""/>
        <dsp:cNvSpPr/>
      </dsp:nvSpPr>
      <dsp:spPr>
        <a:xfrm>
          <a:off x="3292981" y="1806352"/>
          <a:ext cx="436628" cy="179129"/>
        </a:xfrm>
        <a:custGeom>
          <a:avLst/>
          <a:gdLst/>
          <a:ahLst/>
          <a:cxnLst/>
          <a:rect l="0" t="0" r="0" b="0"/>
          <a:pathLst>
            <a:path>
              <a:moveTo>
                <a:pt x="0" y="0"/>
              </a:moveTo>
              <a:lnTo>
                <a:pt x="0" y="89564"/>
              </a:lnTo>
              <a:lnTo>
                <a:pt x="436628" y="89564"/>
              </a:lnTo>
              <a:lnTo>
                <a:pt x="436628" y="179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8788D1-F62F-4D4C-8FAE-773379FB6E06}">
      <dsp:nvSpPr>
        <dsp:cNvPr id="0" name=""/>
        <dsp:cNvSpPr/>
      </dsp:nvSpPr>
      <dsp:spPr>
        <a:xfrm>
          <a:off x="3393742" y="1985481"/>
          <a:ext cx="671735" cy="447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Excogitation = intellect </a:t>
          </a:r>
          <a:r>
            <a:rPr lang="en-GB" sz="700" i="1" kern="1200"/>
            <a:t>in habitu</a:t>
          </a:r>
          <a:endParaRPr lang="en-GB" sz="700" kern="1200"/>
        </a:p>
      </dsp:txBody>
      <dsp:txXfrm>
        <a:off x="3406858" y="1998597"/>
        <a:ext cx="645503" cy="421591"/>
      </dsp:txXfrm>
    </dsp:sp>
    <dsp:sp modelId="{9F02B916-4646-4A49-8DE9-1AD12DCD614C}">
      <dsp:nvSpPr>
        <dsp:cNvPr id="0" name=""/>
        <dsp:cNvSpPr/>
      </dsp:nvSpPr>
      <dsp:spPr>
        <a:xfrm>
          <a:off x="3292981" y="1179398"/>
          <a:ext cx="1309884" cy="179129"/>
        </a:xfrm>
        <a:custGeom>
          <a:avLst/>
          <a:gdLst/>
          <a:ahLst/>
          <a:cxnLst/>
          <a:rect l="0" t="0" r="0" b="0"/>
          <a:pathLst>
            <a:path>
              <a:moveTo>
                <a:pt x="0" y="0"/>
              </a:moveTo>
              <a:lnTo>
                <a:pt x="0" y="89564"/>
              </a:lnTo>
              <a:lnTo>
                <a:pt x="1309884" y="89564"/>
              </a:lnTo>
              <a:lnTo>
                <a:pt x="1309884" y="179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F332BA-87DA-7541-9749-2C19B6954EC6}">
      <dsp:nvSpPr>
        <dsp:cNvPr id="0" name=""/>
        <dsp:cNvSpPr/>
      </dsp:nvSpPr>
      <dsp:spPr>
        <a:xfrm>
          <a:off x="4266998" y="1358528"/>
          <a:ext cx="671735" cy="447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Agent Intellect</a:t>
          </a:r>
        </a:p>
      </dsp:txBody>
      <dsp:txXfrm>
        <a:off x="4280114" y="1371644"/>
        <a:ext cx="645503" cy="421591"/>
      </dsp:txXfrm>
    </dsp:sp>
    <dsp:sp modelId="{80385EDD-0064-9B4B-9872-7F3A34046C49}">
      <dsp:nvSpPr>
        <dsp:cNvPr id="0" name=""/>
        <dsp:cNvSpPr/>
      </dsp:nvSpPr>
      <dsp:spPr>
        <a:xfrm>
          <a:off x="4557146" y="1806352"/>
          <a:ext cx="91440" cy="179129"/>
        </a:xfrm>
        <a:custGeom>
          <a:avLst/>
          <a:gdLst/>
          <a:ahLst/>
          <a:cxnLst/>
          <a:rect l="0" t="0" r="0" b="0"/>
          <a:pathLst>
            <a:path>
              <a:moveTo>
                <a:pt x="45720" y="0"/>
              </a:moveTo>
              <a:lnTo>
                <a:pt x="45720" y="179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E1A4F7-A086-C44A-AD66-F5596B5B2703}">
      <dsp:nvSpPr>
        <dsp:cNvPr id="0" name=""/>
        <dsp:cNvSpPr/>
      </dsp:nvSpPr>
      <dsp:spPr>
        <a:xfrm>
          <a:off x="4266998" y="1985481"/>
          <a:ext cx="671735" cy="447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Phronesis = agent intellect</a:t>
          </a:r>
        </a:p>
      </dsp:txBody>
      <dsp:txXfrm>
        <a:off x="4280114" y="1998597"/>
        <a:ext cx="645503" cy="421591"/>
      </dsp:txXfrm>
    </dsp:sp>
    <dsp:sp modelId="{BB8E1BBC-44A3-454D-9615-92A55015386C}">
      <dsp:nvSpPr>
        <dsp:cNvPr id="0" name=""/>
        <dsp:cNvSpPr/>
      </dsp:nvSpPr>
      <dsp:spPr>
        <a:xfrm>
          <a:off x="4120518" y="552445"/>
          <a:ext cx="91440" cy="179129"/>
        </a:xfrm>
        <a:custGeom>
          <a:avLst/>
          <a:gdLst/>
          <a:ahLst/>
          <a:cxnLst/>
          <a:rect l="0" t="0" r="0" b="0"/>
          <a:pathLst>
            <a:path>
              <a:moveTo>
                <a:pt x="45720" y="0"/>
              </a:moveTo>
              <a:lnTo>
                <a:pt x="45720" y="1791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5385C1-56F8-184F-9953-6696635CC6C9}">
      <dsp:nvSpPr>
        <dsp:cNvPr id="0" name=""/>
        <dsp:cNvSpPr/>
      </dsp:nvSpPr>
      <dsp:spPr>
        <a:xfrm>
          <a:off x="3830370" y="731574"/>
          <a:ext cx="671735" cy="447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i="1" kern="1200"/>
            <a:t>Intellectus</a:t>
          </a:r>
        </a:p>
        <a:p>
          <a:pPr marL="0" lvl="0" indent="0" algn="ctr" defTabSz="311150">
            <a:lnSpc>
              <a:spcPct val="90000"/>
            </a:lnSpc>
            <a:spcBef>
              <a:spcPct val="0"/>
            </a:spcBef>
            <a:spcAft>
              <a:spcPct val="35000"/>
            </a:spcAft>
            <a:buNone/>
          </a:pPr>
          <a:r>
            <a:rPr lang="en-GB" sz="700" kern="1200"/>
            <a:t>(knows angels)</a:t>
          </a:r>
        </a:p>
      </dsp:txBody>
      <dsp:txXfrm>
        <a:off x="3843486" y="744690"/>
        <a:ext cx="645503" cy="421591"/>
      </dsp:txXfrm>
    </dsp:sp>
    <dsp:sp modelId="{ABE2EE27-5E82-DA46-AAB6-730351A29CBF}">
      <dsp:nvSpPr>
        <dsp:cNvPr id="0" name=""/>
        <dsp:cNvSpPr/>
      </dsp:nvSpPr>
      <dsp:spPr>
        <a:xfrm>
          <a:off x="4166238" y="552445"/>
          <a:ext cx="873256" cy="179129"/>
        </a:xfrm>
        <a:custGeom>
          <a:avLst/>
          <a:gdLst/>
          <a:ahLst/>
          <a:cxnLst/>
          <a:rect l="0" t="0" r="0" b="0"/>
          <a:pathLst>
            <a:path>
              <a:moveTo>
                <a:pt x="0" y="0"/>
              </a:moveTo>
              <a:lnTo>
                <a:pt x="0" y="89564"/>
              </a:lnTo>
              <a:lnTo>
                <a:pt x="873256" y="89564"/>
              </a:lnTo>
              <a:lnTo>
                <a:pt x="873256" y="1791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FD01D5-40D0-4943-90ED-4AE3B62B4CB3}">
      <dsp:nvSpPr>
        <dsp:cNvPr id="0" name=""/>
        <dsp:cNvSpPr/>
      </dsp:nvSpPr>
      <dsp:spPr>
        <a:xfrm>
          <a:off x="4703626" y="731574"/>
          <a:ext cx="671735" cy="447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i="1" kern="1200"/>
            <a:t>Intelligentia</a:t>
          </a:r>
        </a:p>
        <a:p>
          <a:pPr marL="0" lvl="0" indent="0" algn="ctr" defTabSz="311150">
            <a:lnSpc>
              <a:spcPct val="90000"/>
            </a:lnSpc>
            <a:spcBef>
              <a:spcPct val="0"/>
            </a:spcBef>
            <a:spcAft>
              <a:spcPct val="35000"/>
            </a:spcAft>
            <a:buNone/>
          </a:pPr>
          <a:r>
            <a:rPr lang="en-GB" sz="700" kern="1200"/>
            <a:t>(knows God)</a:t>
          </a:r>
        </a:p>
      </dsp:txBody>
      <dsp:txXfrm>
        <a:off x="4716742" y="744690"/>
        <a:ext cx="645503" cy="421591"/>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66514-38A7-0241-AF89-A507C364B75F}">
      <dsp:nvSpPr>
        <dsp:cNvPr id="0" name=""/>
        <dsp:cNvSpPr/>
      </dsp:nvSpPr>
      <dsp:spPr>
        <a:xfrm>
          <a:off x="0" y="1441463"/>
          <a:ext cx="5486400" cy="60864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t>Damascus</a:t>
          </a:r>
        </a:p>
      </dsp:txBody>
      <dsp:txXfrm>
        <a:off x="0" y="1441463"/>
        <a:ext cx="1645920" cy="608647"/>
      </dsp:txXfrm>
    </dsp:sp>
    <dsp:sp modelId="{E12B6254-23C1-514B-AD50-7005F78F9B1B}">
      <dsp:nvSpPr>
        <dsp:cNvPr id="0" name=""/>
        <dsp:cNvSpPr/>
      </dsp:nvSpPr>
      <dsp:spPr>
        <a:xfrm>
          <a:off x="0" y="731374"/>
          <a:ext cx="5486400" cy="60864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t>Pseudo-Augustine</a:t>
          </a:r>
        </a:p>
      </dsp:txBody>
      <dsp:txXfrm>
        <a:off x="0" y="731374"/>
        <a:ext cx="1645920" cy="608647"/>
      </dsp:txXfrm>
    </dsp:sp>
    <dsp:sp modelId="{90780136-5A9D-B646-AB9A-97F3890442D7}">
      <dsp:nvSpPr>
        <dsp:cNvPr id="0" name=""/>
        <dsp:cNvSpPr/>
      </dsp:nvSpPr>
      <dsp:spPr>
        <a:xfrm>
          <a:off x="0" y="21285"/>
          <a:ext cx="5486400" cy="60864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Knowledge with complexion</a:t>
          </a:r>
        </a:p>
      </dsp:txBody>
      <dsp:txXfrm>
        <a:off x="0" y="21285"/>
        <a:ext cx="1645920" cy="608647"/>
      </dsp:txXfrm>
    </dsp:sp>
    <dsp:sp modelId="{8407521D-5FBA-DB4B-B44B-58158B6883D4}">
      <dsp:nvSpPr>
        <dsp:cNvPr id="0" name=""/>
        <dsp:cNvSpPr/>
      </dsp:nvSpPr>
      <dsp:spPr>
        <a:xfrm>
          <a:off x="3130891" y="72006"/>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Complex Cognition</a:t>
          </a:r>
        </a:p>
        <a:p>
          <a:pPr marL="0" lvl="0" indent="0" algn="ctr" defTabSz="266700">
            <a:lnSpc>
              <a:spcPct val="90000"/>
            </a:lnSpc>
            <a:spcBef>
              <a:spcPct val="0"/>
            </a:spcBef>
            <a:spcAft>
              <a:spcPct val="35000"/>
            </a:spcAft>
            <a:buNone/>
          </a:pPr>
          <a:r>
            <a:rPr lang="en-GB" sz="600" kern="1200"/>
            <a:t>(Contingent)</a:t>
          </a:r>
        </a:p>
      </dsp:txBody>
      <dsp:txXfrm>
        <a:off x="3145747" y="86862"/>
        <a:ext cx="731097" cy="477494"/>
      </dsp:txXfrm>
    </dsp:sp>
    <dsp:sp modelId="{5BE2E6E9-4104-724F-840F-15BE74F742AE}">
      <dsp:nvSpPr>
        <dsp:cNvPr id="0" name=""/>
        <dsp:cNvSpPr/>
      </dsp:nvSpPr>
      <dsp:spPr>
        <a:xfrm>
          <a:off x="2027717" y="579212"/>
          <a:ext cx="1483578" cy="202882"/>
        </a:xfrm>
        <a:custGeom>
          <a:avLst/>
          <a:gdLst/>
          <a:ahLst/>
          <a:cxnLst/>
          <a:rect l="0" t="0" r="0" b="0"/>
          <a:pathLst>
            <a:path>
              <a:moveTo>
                <a:pt x="1483578" y="0"/>
              </a:moveTo>
              <a:lnTo>
                <a:pt x="1483578" y="101441"/>
              </a:lnTo>
              <a:lnTo>
                <a:pt x="0" y="101441"/>
              </a:lnTo>
              <a:lnTo>
                <a:pt x="0" y="2028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8883D1-B7C9-1143-BC1A-6A8153D4B1BA}">
      <dsp:nvSpPr>
        <dsp:cNvPr id="0" name=""/>
        <dsp:cNvSpPr/>
      </dsp:nvSpPr>
      <dsp:spPr>
        <a:xfrm>
          <a:off x="1647313" y="782094"/>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i="1" kern="1200"/>
            <a:t>Ingenuity</a:t>
          </a:r>
        </a:p>
        <a:p>
          <a:pPr marL="0" lvl="0" indent="0" algn="ctr" defTabSz="266700">
            <a:lnSpc>
              <a:spcPct val="90000"/>
            </a:lnSpc>
            <a:spcBef>
              <a:spcPct val="0"/>
            </a:spcBef>
            <a:spcAft>
              <a:spcPct val="35000"/>
            </a:spcAft>
            <a:buNone/>
          </a:pPr>
          <a:r>
            <a:rPr lang="en-GB" sz="600" kern="1200"/>
            <a:t>(discerns truth from falsity)</a:t>
          </a:r>
        </a:p>
      </dsp:txBody>
      <dsp:txXfrm>
        <a:off x="1662169" y="796950"/>
        <a:ext cx="731097" cy="477494"/>
      </dsp:txXfrm>
    </dsp:sp>
    <dsp:sp modelId="{232C124F-EBF3-6D49-91DD-87AE754E7FAF}">
      <dsp:nvSpPr>
        <dsp:cNvPr id="0" name=""/>
        <dsp:cNvSpPr/>
      </dsp:nvSpPr>
      <dsp:spPr>
        <a:xfrm>
          <a:off x="1981997" y="1289301"/>
          <a:ext cx="91440" cy="202882"/>
        </a:xfrm>
        <a:custGeom>
          <a:avLst/>
          <a:gdLst/>
          <a:ahLst/>
          <a:cxnLst/>
          <a:rect l="0" t="0" r="0" b="0"/>
          <a:pathLst>
            <a:path>
              <a:moveTo>
                <a:pt x="45720" y="0"/>
              </a:moveTo>
              <a:lnTo>
                <a:pt x="45720" y="2028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859B88-1C5C-7A44-AB67-DDEB46D792FB}">
      <dsp:nvSpPr>
        <dsp:cNvPr id="0" name=""/>
        <dsp:cNvSpPr/>
      </dsp:nvSpPr>
      <dsp:spPr>
        <a:xfrm>
          <a:off x="1647313" y="1492183"/>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i="1" kern="1200"/>
            <a:t>Opinion</a:t>
          </a:r>
        </a:p>
        <a:p>
          <a:pPr marL="0" lvl="0" indent="0" algn="ctr" defTabSz="266700">
            <a:lnSpc>
              <a:spcPct val="90000"/>
            </a:lnSpc>
            <a:spcBef>
              <a:spcPct val="0"/>
            </a:spcBef>
            <a:spcAft>
              <a:spcPct val="35000"/>
            </a:spcAft>
            <a:buNone/>
          </a:pPr>
          <a:r>
            <a:rPr lang="en-GB" sz="600" kern="1200"/>
            <a:t>(discerns truth from falsity)</a:t>
          </a:r>
        </a:p>
      </dsp:txBody>
      <dsp:txXfrm>
        <a:off x="1662169" y="1507039"/>
        <a:ext cx="731097" cy="477494"/>
      </dsp:txXfrm>
    </dsp:sp>
    <dsp:sp modelId="{BB8E1BBC-44A3-454D-9615-92A55015386C}">
      <dsp:nvSpPr>
        <dsp:cNvPr id="0" name=""/>
        <dsp:cNvSpPr/>
      </dsp:nvSpPr>
      <dsp:spPr>
        <a:xfrm>
          <a:off x="3016769" y="579212"/>
          <a:ext cx="494526" cy="202882"/>
        </a:xfrm>
        <a:custGeom>
          <a:avLst/>
          <a:gdLst/>
          <a:ahLst/>
          <a:cxnLst/>
          <a:rect l="0" t="0" r="0" b="0"/>
          <a:pathLst>
            <a:path>
              <a:moveTo>
                <a:pt x="494526" y="0"/>
              </a:moveTo>
              <a:lnTo>
                <a:pt x="494526" y="101441"/>
              </a:lnTo>
              <a:lnTo>
                <a:pt x="0" y="101441"/>
              </a:lnTo>
              <a:lnTo>
                <a:pt x="0" y="2028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5385C1-56F8-184F-9953-6696635CC6C9}">
      <dsp:nvSpPr>
        <dsp:cNvPr id="0" name=""/>
        <dsp:cNvSpPr/>
      </dsp:nvSpPr>
      <dsp:spPr>
        <a:xfrm>
          <a:off x="2636365" y="782094"/>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i="1" kern="1200"/>
            <a:t>Reason</a:t>
          </a:r>
        </a:p>
        <a:p>
          <a:pPr marL="0" lvl="0" indent="0" algn="ctr" defTabSz="266700">
            <a:lnSpc>
              <a:spcPct val="90000"/>
            </a:lnSpc>
            <a:spcBef>
              <a:spcPct val="0"/>
            </a:spcBef>
            <a:spcAft>
              <a:spcPct val="35000"/>
            </a:spcAft>
            <a:buNone/>
          </a:pPr>
          <a:r>
            <a:rPr lang="en-GB" sz="600" kern="1200"/>
            <a:t>(makes a judgment about what is true)</a:t>
          </a:r>
        </a:p>
      </dsp:txBody>
      <dsp:txXfrm>
        <a:off x="2651221" y="796950"/>
        <a:ext cx="731097" cy="477494"/>
      </dsp:txXfrm>
    </dsp:sp>
    <dsp:sp modelId="{72031144-E79A-3142-8C66-3FB52D5DB3A0}">
      <dsp:nvSpPr>
        <dsp:cNvPr id="0" name=""/>
        <dsp:cNvSpPr/>
      </dsp:nvSpPr>
      <dsp:spPr>
        <a:xfrm>
          <a:off x="2971049" y="1289301"/>
          <a:ext cx="91440" cy="202882"/>
        </a:xfrm>
        <a:custGeom>
          <a:avLst/>
          <a:gdLst/>
          <a:ahLst/>
          <a:cxnLst/>
          <a:rect l="0" t="0" r="0" b="0"/>
          <a:pathLst>
            <a:path>
              <a:moveTo>
                <a:pt x="45720" y="0"/>
              </a:moveTo>
              <a:lnTo>
                <a:pt x="45720" y="2028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87F4D5-50EE-444D-99A0-6D9F383BF233}">
      <dsp:nvSpPr>
        <dsp:cNvPr id="0" name=""/>
        <dsp:cNvSpPr/>
      </dsp:nvSpPr>
      <dsp:spPr>
        <a:xfrm>
          <a:off x="2636365" y="1492183"/>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i="1" kern="1200"/>
            <a:t>Mind</a:t>
          </a:r>
        </a:p>
        <a:p>
          <a:pPr marL="0" lvl="0" indent="0" algn="ctr" defTabSz="266700">
            <a:lnSpc>
              <a:spcPct val="90000"/>
            </a:lnSpc>
            <a:spcBef>
              <a:spcPct val="0"/>
            </a:spcBef>
            <a:spcAft>
              <a:spcPct val="35000"/>
            </a:spcAft>
            <a:buNone/>
          </a:pPr>
          <a:r>
            <a:rPr lang="en-GB" sz="600" kern="1200"/>
            <a:t>(makes a judgment about what is true)</a:t>
          </a:r>
        </a:p>
      </dsp:txBody>
      <dsp:txXfrm>
        <a:off x="2651221" y="1507039"/>
        <a:ext cx="731097" cy="477494"/>
      </dsp:txXfrm>
    </dsp:sp>
    <dsp:sp modelId="{ABE2EE27-5E82-DA46-AAB6-730351A29CBF}">
      <dsp:nvSpPr>
        <dsp:cNvPr id="0" name=""/>
        <dsp:cNvSpPr/>
      </dsp:nvSpPr>
      <dsp:spPr>
        <a:xfrm>
          <a:off x="3511296" y="579212"/>
          <a:ext cx="494526" cy="202882"/>
        </a:xfrm>
        <a:custGeom>
          <a:avLst/>
          <a:gdLst/>
          <a:ahLst/>
          <a:cxnLst/>
          <a:rect l="0" t="0" r="0" b="0"/>
          <a:pathLst>
            <a:path>
              <a:moveTo>
                <a:pt x="0" y="0"/>
              </a:moveTo>
              <a:lnTo>
                <a:pt x="0" y="101441"/>
              </a:lnTo>
              <a:lnTo>
                <a:pt x="494526" y="101441"/>
              </a:lnTo>
              <a:lnTo>
                <a:pt x="494526" y="2028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FD01D5-40D0-4943-90ED-4AE3B62B4CB3}">
      <dsp:nvSpPr>
        <dsp:cNvPr id="0" name=""/>
        <dsp:cNvSpPr/>
      </dsp:nvSpPr>
      <dsp:spPr>
        <a:xfrm>
          <a:off x="3625417" y="782094"/>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i="1" kern="1200"/>
            <a:t>Intelligence</a:t>
          </a:r>
        </a:p>
        <a:p>
          <a:pPr marL="0" lvl="0" indent="0" algn="ctr" defTabSz="266700">
            <a:lnSpc>
              <a:spcPct val="90000"/>
            </a:lnSpc>
            <a:spcBef>
              <a:spcPct val="0"/>
            </a:spcBef>
            <a:spcAft>
              <a:spcPct val="35000"/>
            </a:spcAft>
            <a:buNone/>
          </a:pPr>
          <a:r>
            <a:rPr lang="en-GB" sz="600" kern="1200"/>
            <a:t>(knows intelligible forms with complexion))</a:t>
          </a:r>
        </a:p>
      </dsp:txBody>
      <dsp:txXfrm>
        <a:off x="3640273" y="796950"/>
        <a:ext cx="731097" cy="477494"/>
      </dsp:txXfrm>
    </dsp:sp>
    <dsp:sp modelId="{3DCC1FDC-522E-684E-9A0C-1F07F5CA69E1}">
      <dsp:nvSpPr>
        <dsp:cNvPr id="0" name=""/>
        <dsp:cNvSpPr/>
      </dsp:nvSpPr>
      <dsp:spPr>
        <a:xfrm>
          <a:off x="3960102" y="1289301"/>
          <a:ext cx="91440" cy="202882"/>
        </a:xfrm>
        <a:custGeom>
          <a:avLst/>
          <a:gdLst/>
          <a:ahLst/>
          <a:cxnLst/>
          <a:rect l="0" t="0" r="0" b="0"/>
          <a:pathLst>
            <a:path>
              <a:moveTo>
                <a:pt x="45720" y="0"/>
              </a:moveTo>
              <a:lnTo>
                <a:pt x="45720" y="2028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A6403B-4336-C94B-923B-5179C7388D74}">
      <dsp:nvSpPr>
        <dsp:cNvPr id="0" name=""/>
        <dsp:cNvSpPr/>
      </dsp:nvSpPr>
      <dsp:spPr>
        <a:xfrm>
          <a:off x="3625417" y="1492183"/>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Intellect</a:t>
          </a:r>
        </a:p>
        <a:p>
          <a:pPr marL="0" lvl="0" indent="0" algn="ctr" defTabSz="266700">
            <a:lnSpc>
              <a:spcPct val="90000"/>
            </a:lnSpc>
            <a:spcBef>
              <a:spcPct val="0"/>
            </a:spcBef>
            <a:spcAft>
              <a:spcPct val="35000"/>
            </a:spcAft>
            <a:buNone/>
          </a:pPr>
          <a:r>
            <a:rPr lang="en-GB" sz="600" kern="1200"/>
            <a:t>(knows intelligible forms with complexion)</a:t>
          </a:r>
        </a:p>
      </dsp:txBody>
      <dsp:txXfrm>
        <a:off x="3640273" y="1507039"/>
        <a:ext cx="731097" cy="477494"/>
      </dsp:txXfrm>
    </dsp:sp>
    <dsp:sp modelId="{6E1C0D1F-AEE8-FC4E-92FC-36A865248B8B}">
      <dsp:nvSpPr>
        <dsp:cNvPr id="0" name=""/>
        <dsp:cNvSpPr/>
      </dsp:nvSpPr>
      <dsp:spPr>
        <a:xfrm>
          <a:off x="3511296" y="579212"/>
          <a:ext cx="1483578" cy="202882"/>
        </a:xfrm>
        <a:custGeom>
          <a:avLst/>
          <a:gdLst/>
          <a:ahLst/>
          <a:cxnLst/>
          <a:rect l="0" t="0" r="0" b="0"/>
          <a:pathLst>
            <a:path>
              <a:moveTo>
                <a:pt x="0" y="0"/>
              </a:moveTo>
              <a:lnTo>
                <a:pt x="0" y="101441"/>
              </a:lnTo>
              <a:lnTo>
                <a:pt x="1483578" y="101441"/>
              </a:lnTo>
              <a:lnTo>
                <a:pt x="1483578" y="2028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7FC51A-4BAE-E447-A8B7-D9BBB719383A}">
      <dsp:nvSpPr>
        <dsp:cNvPr id="0" name=""/>
        <dsp:cNvSpPr/>
      </dsp:nvSpPr>
      <dsp:spPr>
        <a:xfrm>
          <a:off x="4614469" y="782094"/>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i="1" kern="1200"/>
            <a:t>Memory</a:t>
          </a:r>
        </a:p>
        <a:p>
          <a:pPr marL="0" lvl="0" indent="0" algn="ctr" defTabSz="266700">
            <a:lnSpc>
              <a:spcPct val="90000"/>
            </a:lnSpc>
            <a:spcBef>
              <a:spcPct val="0"/>
            </a:spcBef>
            <a:spcAft>
              <a:spcPct val="35000"/>
            </a:spcAft>
            <a:buNone/>
          </a:pPr>
          <a:r>
            <a:rPr lang="en-GB" sz="600" i="0" kern="1200"/>
            <a:t>(stores forms in the memory)</a:t>
          </a:r>
        </a:p>
      </dsp:txBody>
      <dsp:txXfrm>
        <a:off x="4629325" y="796950"/>
        <a:ext cx="731097" cy="4774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5F92A6-0F6C-B44D-BA4D-9C64F13D2B96}">
      <dsp:nvSpPr>
        <dsp:cNvPr id="0" name=""/>
        <dsp:cNvSpPr/>
      </dsp:nvSpPr>
      <dsp:spPr>
        <a:xfrm>
          <a:off x="1246103" y="273323"/>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Identity of Soul/Powers</a:t>
          </a:r>
        </a:p>
      </dsp:txBody>
      <dsp:txXfrm>
        <a:off x="1261050" y="288270"/>
        <a:ext cx="735611" cy="480443"/>
      </dsp:txXfrm>
    </dsp:sp>
    <dsp:sp modelId="{CEC5EE83-16C5-0540-9C92-52C3C2A7BC11}">
      <dsp:nvSpPr>
        <dsp:cNvPr id="0" name=""/>
        <dsp:cNvSpPr/>
      </dsp:nvSpPr>
      <dsp:spPr>
        <a:xfrm>
          <a:off x="882487" y="783660"/>
          <a:ext cx="746367" cy="204134"/>
        </a:xfrm>
        <a:custGeom>
          <a:avLst/>
          <a:gdLst/>
          <a:ahLst/>
          <a:cxnLst/>
          <a:rect l="0" t="0" r="0" b="0"/>
          <a:pathLst>
            <a:path>
              <a:moveTo>
                <a:pt x="746367" y="0"/>
              </a:moveTo>
              <a:lnTo>
                <a:pt x="746367" y="102067"/>
              </a:lnTo>
              <a:lnTo>
                <a:pt x="0" y="102067"/>
              </a:lnTo>
              <a:lnTo>
                <a:pt x="0" y="2041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C60F52-56BB-DA49-93D4-CD4558FDC40C}">
      <dsp:nvSpPr>
        <dsp:cNvPr id="0" name=""/>
        <dsp:cNvSpPr/>
      </dsp:nvSpPr>
      <dsp:spPr>
        <a:xfrm>
          <a:off x="499735" y="987795"/>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Reject</a:t>
          </a:r>
        </a:p>
      </dsp:txBody>
      <dsp:txXfrm>
        <a:off x="514682" y="1002742"/>
        <a:ext cx="735611" cy="480443"/>
      </dsp:txXfrm>
    </dsp:sp>
    <dsp:sp modelId="{B8DA6055-DB78-EC41-8A74-23F110C1A03F}">
      <dsp:nvSpPr>
        <dsp:cNvPr id="0" name=""/>
        <dsp:cNvSpPr/>
      </dsp:nvSpPr>
      <dsp:spPr>
        <a:xfrm>
          <a:off x="836767" y="1498132"/>
          <a:ext cx="91440" cy="204134"/>
        </a:xfrm>
        <a:custGeom>
          <a:avLst/>
          <a:gdLst/>
          <a:ahLst/>
          <a:cxnLst/>
          <a:rect l="0" t="0" r="0" b="0"/>
          <a:pathLst>
            <a:path>
              <a:moveTo>
                <a:pt x="45720" y="0"/>
              </a:moveTo>
              <a:lnTo>
                <a:pt x="45720" y="2041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20EFAE-568F-9747-98BA-8592ECB0022F}">
      <dsp:nvSpPr>
        <dsp:cNvPr id="0" name=""/>
        <dsp:cNvSpPr/>
      </dsp:nvSpPr>
      <dsp:spPr>
        <a:xfrm>
          <a:off x="499735" y="1702267"/>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Willliam of Auxerre (Secular)</a:t>
          </a:r>
        </a:p>
      </dsp:txBody>
      <dsp:txXfrm>
        <a:off x="514682" y="1717214"/>
        <a:ext cx="735611" cy="480443"/>
      </dsp:txXfrm>
    </dsp:sp>
    <dsp:sp modelId="{32D0057C-54D6-4449-9E41-AA8FCAA0A104}">
      <dsp:nvSpPr>
        <dsp:cNvPr id="0" name=""/>
        <dsp:cNvSpPr/>
      </dsp:nvSpPr>
      <dsp:spPr>
        <a:xfrm>
          <a:off x="384909" y="2212604"/>
          <a:ext cx="497578" cy="204134"/>
        </a:xfrm>
        <a:custGeom>
          <a:avLst/>
          <a:gdLst/>
          <a:ahLst/>
          <a:cxnLst/>
          <a:rect l="0" t="0" r="0" b="0"/>
          <a:pathLst>
            <a:path>
              <a:moveTo>
                <a:pt x="497578" y="0"/>
              </a:moveTo>
              <a:lnTo>
                <a:pt x="497578" y="102067"/>
              </a:lnTo>
              <a:lnTo>
                <a:pt x="0" y="102067"/>
              </a:lnTo>
              <a:lnTo>
                <a:pt x="0" y="2041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1C3804-114B-9945-9381-2867EFDC2A5B}">
      <dsp:nvSpPr>
        <dsp:cNvPr id="0" name=""/>
        <dsp:cNvSpPr/>
      </dsp:nvSpPr>
      <dsp:spPr>
        <a:xfrm>
          <a:off x="2156" y="2416739"/>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Alexander of Hales (with qualifications)</a:t>
          </a:r>
        </a:p>
        <a:p>
          <a:pPr marL="0" lvl="0" indent="0" algn="ctr" defTabSz="266700">
            <a:lnSpc>
              <a:spcPct val="90000"/>
            </a:lnSpc>
            <a:spcBef>
              <a:spcPct val="0"/>
            </a:spcBef>
            <a:spcAft>
              <a:spcPct val="35000"/>
            </a:spcAft>
            <a:buNone/>
          </a:pPr>
          <a:r>
            <a:rPr lang="en-US" sz="600" kern="1200"/>
            <a:t>John of La Rochelle </a:t>
          </a:r>
          <a:r>
            <a:rPr lang="en-US" sz="600" i="1" kern="1200"/>
            <a:t>Summa Halensis </a:t>
          </a:r>
          <a:endParaRPr lang="en-US" sz="600" kern="1200"/>
        </a:p>
      </dsp:txBody>
      <dsp:txXfrm>
        <a:off x="17103" y="2431686"/>
        <a:ext cx="735611" cy="480443"/>
      </dsp:txXfrm>
    </dsp:sp>
    <dsp:sp modelId="{47C0BBC0-4401-C844-95CA-C4B2424BA208}">
      <dsp:nvSpPr>
        <dsp:cNvPr id="0" name=""/>
        <dsp:cNvSpPr/>
      </dsp:nvSpPr>
      <dsp:spPr>
        <a:xfrm>
          <a:off x="882487" y="2212604"/>
          <a:ext cx="497578" cy="204134"/>
        </a:xfrm>
        <a:custGeom>
          <a:avLst/>
          <a:gdLst/>
          <a:ahLst/>
          <a:cxnLst/>
          <a:rect l="0" t="0" r="0" b="0"/>
          <a:pathLst>
            <a:path>
              <a:moveTo>
                <a:pt x="0" y="0"/>
              </a:moveTo>
              <a:lnTo>
                <a:pt x="0" y="102067"/>
              </a:lnTo>
              <a:lnTo>
                <a:pt x="497578" y="102067"/>
              </a:lnTo>
              <a:lnTo>
                <a:pt x="497578" y="2041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80A149-62E3-CE48-B851-AEAEF4C7D538}">
      <dsp:nvSpPr>
        <dsp:cNvPr id="0" name=""/>
        <dsp:cNvSpPr/>
      </dsp:nvSpPr>
      <dsp:spPr>
        <a:xfrm>
          <a:off x="997313" y="2416739"/>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Roland of Cremona; Guerric of St Quentin</a:t>
          </a:r>
        </a:p>
      </dsp:txBody>
      <dsp:txXfrm>
        <a:off x="1012260" y="2431686"/>
        <a:ext cx="735611" cy="480443"/>
      </dsp:txXfrm>
    </dsp:sp>
    <dsp:sp modelId="{10BF4024-AC09-714F-9251-AF4BF5BA3B32}">
      <dsp:nvSpPr>
        <dsp:cNvPr id="0" name=""/>
        <dsp:cNvSpPr/>
      </dsp:nvSpPr>
      <dsp:spPr>
        <a:xfrm>
          <a:off x="1628855" y="783660"/>
          <a:ext cx="746367" cy="204134"/>
        </a:xfrm>
        <a:custGeom>
          <a:avLst/>
          <a:gdLst/>
          <a:ahLst/>
          <a:cxnLst/>
          <a:rect l="0" t="0" r="0" b="0"/>
          <a:pathLst>
            <a:path>
              <a:moveTo>
                <a:pt x="0" y="0"/>
              </a:moveTo>
              <a:lnTo>
                <a:pt x="0" y="102067"/>
              </a:lnTo>
              <a:lnTo>
                <a:pt x="746367" y="102067"/>
              </a:lnTo>
              <a:lnTo>
                <a:pt x="746367" y="2041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EE72C6-C14D-5A4B-BF6C-CECCF5158AF9}">
      <dsp:nvSpPr>
        <dsp:cNvPr id="0" name=""/>
        <dsp:cNvSpPr/>
      </dsp:nvSpPr>
      <dsp:spPr>
        <a:xfrm>
          <a:off x="1992471" y="987795"/>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Accept</a:t>
          </a:r>
        </a:p>
      </dsp:txBody>
      <dsp:txXfrm>
        <a:off x="2007418" y="1002742"/>
        <a:ext cx="735611" cy="480443"/>
      </dsp:txXfrm>
    </dsp:sp>
    <dsp:sp modelId="{44C86BB3-CC91-1C44-8927-EF87256067B3}">
      <dsp:nvSpPr>
        <dsp:cNvPr id="0" name=""/>
        <dsp:cNvSpPr/>
      </dsp:nvSpPr>
      <dsp:spPr>
        <a:xfrm>
          <a:off x="2329503" y="1498132"/>
          <a:ext cx="91440" cy="204134"/>
        </a:xfrm>
        <a:custGeom>
          <a:avLst/>
          <a:gdLst/>
          <a:ahLst/>
          <a:cxnLst/>
          <a:rect l="0" t="0" r="0" b="0"/>
          <a:pathLst>
            <a:path>
              <a:moveTo>
                <a:pt x="45720" y="0"/>
              </a:moveTo>
              <a:lnTo>
                <a:pt x="45720" y="2041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666661-C994-2B4D-BDF9-6AD8A2C44278}">
      <dsp:nvSpPr>
        <dsp:cNvPr id="0" name=""/>
        <dsp:cNvSpPr/>
      </dsp:nvSpPr>
      <dsp:spPr>
        <a:xfrm>
          <a:off x="1992471" y="1702267"/>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Philip the Chancellor (Secular)</a:t>
          </a:r>
        </a:p>
      </dsp:txBody>
      <dsp:txXfrm>
        <a:off x="2007418" y="1717214"/>
        <a:ext cx="735611" cy="480443"/>
      </dsp:txXfrm>
    </dsp:sp>
    <dsp:sp modelId="{9917E320-5D56-2B4F-93BA-8C942983B235}">
      <dsp:nvSpPr>
        <dsp:cNvPr id="0" name=""/>
        <dsp:cNvSpPr/>
      </dsp:nvSpPr>
      <dsp:spPr>
        <a:xfrm>
          <a:off x="2329503" y="2212604"/>
          <a:ext cx="91440" cy="204134"/>
        </a:xfrm>
        <a:custGeom>
          <a:avLst/>
          <a:gdLst/>
          <a:ahLst/>
          <a:cxnLst/>
          <a:rect l="0" t="0" r="0" b="0"/>
          <a:pathLst>
            <a:path>
              <a:moveTo>
                <a:pt x="45720" y="0"/>
              </a:moveTo>
              <a:lnTo>
                <a:pt x="45720" y="2041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B2D941-60D5-744F-87C8-10534C8481A9}">
      <dsp:nvSpPr>
        <dsp:cNvPr id="0" name=""/>
        <dsp:cNvSpPr/>
      </dsp:nvSpPr>
      <dsp:spPr>
        <a:xfrm>
          <a:off x="1992471" y="2416739"/>
          <a:ext cx="765505" cy="510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i="0" kern="1200"/>
            <a:t>Hugh of St Cher</a:t>
          </a:r>
        </a:p>
      </dsp:txBody>
      <dsp:txXfrm>
        <a:off x="2007418" y="2431686"/>
        <a:ext cx="735611" cy="48044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346AB1-9FDD-0740-9916-4974069971C7}">
      <dsp:nvSpPr>
        <dsp:cNvPr id="0" name=""/>
        <dsp:cNvSpPr/>
      </dsp:nvSpPr>
      <dsp:spPr>
        <a:xfrm>
          <a:off x="2396" y="147140"/>
          <a:ext cx="1047642" cy="628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i="1" kern="1200"/>
            <a:t>Unibilitas substantialis</a:t>
          </a:r>
        </a:p>
      </dsp:txBody>
      <dsp:txXfrm>
        <a:off x="20807" y="165551"/>
        <a:ext cx="1010820" cy="591763"/>
      </dsp:txXfrm>
    </dsp:sp>
    <dsp:sp modelId="{FFE95FED-0F60-7C42-AAB9-DB1859B0209B}">
      <dsp:nvSpPr>
        <dsp:cNvPr id="0" name=""/>
        <dsp:cNvSpPr/>
      </dsp:nvSpPr>
      <dsp:spPr>
        <a:xfrm>
          <a:off x="1154802" y="331525"/>
          <a:ext cx="222100" cy="2598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154802" y="383488"/>
        <a:ext cx="155470" cy="155889"/>
      </dsp:txXfrm>
    </dsp:sp>
    <dsp:sp modelId="{B38E4687-26DF-434F-9619-B7D3C6E8C128}">
      <dsp:nvSpPr>
        <dsp:cNvPr id="0" name=""/>
        <dsp:cNvSpPr/>
      </dsp:nvSpPr>
      <dsp:spPr>
        <a:xfrm>
          <a:off x="1469095" y="147140"/>
          <a:ext cx="1047642" cy="628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William of Auxerre (in passing)</a:t>
          </a:r>
        </a:p>
      </dsp:txBody>
      <dsp:txXfrm>
        <a:off x="1487506" y="165551"/>
        <a:ext cx="1010820" cy="591763"/>
      </dsp:txXfrm>
    </dsp:sp>
    <dsp:sp modelId="{2CE10E12-1AC7-0348-BE4F-F3FEB5F02993}">
      <dsp:nvSpPr>
        <dsp:cNvPr id="0" name=""/>
        <dsp:cNvSpPr/>
      </dsp:nvSpPr>
      <dsp:spPr>
        <a:xfrm>
          <a:off x="2621502" y="331525"/>
          <a:ext cx="222100" cy="2598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621502" y="383488"/>
        <a:ext cx="155470" cy="155889"/>
      </dsp:txXfrm>
    </dsp:sp>
    <dsp:sp modelId="{B270A1B8-B36E-2E46-9DE8-0F7CE0D7A528}">
      <dsp:nvSpPr>
        <dsp:cNvPr id="0" name=""/>
        <dsp:cNvSpPr/>
      </dsp:nvSpPr>
      <dsp:spPr>
        <a:xfrm>
          <a:off x="2935794" y="147140"/>
          <a:ext cx="1047642" cy="628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Hugh of St Cher/Roland of Cremona</a:t>
          </a:r>
        </a:p>
      </dsp:txBody>
      <dsp:txXfrm>
        <a:off x="2954205" y="165551"/>
        <a:ext cx="1010820" cy="591763"/>
      </dsp:txXfrm>
    </dsp:sp>
    <dsp:sp modelId="{E678C308-792C-F94B-8152-112118CB0BE8}">
      <dsp:nvSpPr>
        <dsp:cNvPr id="0" name=""/>
        <dsp:cNvSpPr/>
      </dsp:nvSpPr>
      <dsp:spPr>
        <a:xfrm>
          <a:off x="4088201" y="331525"/>
          <a:ext cx="222100" cy="2598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4088201" y="383488"/>
        <a:ext cx="155470" cy="155889"/>
      </dsp:txXfrm>
    </dsp:sp>
    <dsp:sp modelId="{EAD415FC-A6E1-4845-B062-8AD679F3FC47}">
      <dsp:nvSpPr>
        <dsp:cNvPr id="0" name=""/>
        <dsp:cNvSpPr/>
      </dsp:nvSpPr>
      <dsp:spPr>
        <a:xfrm>
          <a:off x="4402494" y="147140"/>
          <a:ext cx="1047642" cy="628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John of La Rochelle/</a:t>
          </a:r>
          <a:r>
            <a:rPr lang="en-US" sz="1000" i="1" kern="1200"/>
            <a:t>Summa Halensis</a:t>
          </a:r>
          <a:endParaRPr lang="en-US" sz="1000" kern="1200"/>
        </a:p>
      </dsp:txBody>
      <dsp:txXfrm>
        <a:off x="4420905" y="165551"/>
        <a:ext cx="1010820" cy="59176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346AB1-9FDD-0740-9916-4974069971C7}">
      <dsp:nvSpPr>
        <dsp:cNvPr id="0" name=""/>
        <dsp:cNvSpPr/>
      </dsp:nvSpPr>
      <dsp:spPr>
        <a:xfrm>
          <a:off x="2396" y="147140"/>
          <a:ext cx="1047642" cy="628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Media between the Body and the Soul</a:t>
          </a:r>
        </a:p>
      </dsp:txBody>
      <dsp:txXfrm>
        <a:off x="20807" y="165551"/>
        <a:ext cx="1010820" cy="591763"/>
      </dsp:txXfrm>
    </dsp:sp>
    <dsp:sp modelId="{FFE95FED-0F60-7C42-AAB9-DB1859B0209B}">
      <dsp:nvSpPr>
        <dsp:cNvPr id="0" name=""/>
        <dsp:cNvSpPr/>
      </dsp:nvSpPr>
      <dsp:spPr>
        <a:xfrm>
          <a:off x="1154802" y="331525"/>
          <a:ext cx="222100" cy="2598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154802" y="383488"/>
        <a:ext cx="155470" cy="155889"/>
      </dsp:txXfrm>
    </dsp:sp>
    <dsp:sp modelId="{14D8C040-6E53-3440-9D38-5264D58E5D3F}">
      <dsp:nvSpPr>
        <dsp:cNvPr id="0" name=""/>
        <dsp:cNvSpPr/>
      </dsp:nvSpPr>
      <dsp:spPr>
        <a:xfrm>
          <a:off x="1469095" y="147140"/>
          <a:ext cx="1047642" cy="628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Philip the Chancellor</a:t>
          </a:r>
        </a:p>
      </dsp:txBody>
      <dsp:txXfrm>
        <a:off x="1487506" y="165551"/>
        <a:ext cx="1010820" cy="591763"/>
      </dsp:txXfrm>
    </dsp:sp>
    <dsp:sp modelId="{4145CAE3-CE38-6E4F-8395-67C9A4ABBFCB}">
      <dsp:nvSpPr>
        <dsp:cNvPr id="0" name=""/>
        <dsp:cNvSpPr/>
      </dsp:nvSpPr>
      <dsp:spPr>
        <a:xfrm>
          <a:off x="2621502" y="331525"/>
          <a:ext cx="222100" cy="2598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621502" y="383488"/>
        <a:ext cx="155470" cy="155889"/>
      </dsp:txXfrm>
    </dsp:sp>
    <dsp:sp modelId="{B270A1B8-B36E-2E46-9DE8-0F7CE0D7A528}">
      <dsp:nvSpPr>
        <dsp:cNvPr id="0" name=""/>
        <dsp:cNvSpPr/>
      </dsp:nvSpPr>
      <dsp:spPr>
        <a:xfrm>
          <a:off x="2935794" y="147140"/>
          <a:ext cx="1047642" cy="628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Hugh of St Cher/Roland of Cremona</a:t>
          </a:r>
        </a:p>
      </dsp:txBody>
      <dsp:txXfrm>
        <a:off x="2954205" y="165551"/>
        <a:ext cx="1010820" cy="591763"/>
      </dsp:txXfrm>
    </dsp:sp>
    <dsp:sp modelId="{E678C308-792C-F94B-8152-112118CB0BE8}">
      <dsp:nvSpPr>
        <dsp:cNvPr id="0" name=""/>
        <dsp:cNvSpPr/>
      </dsp:nvSpPr>
      <dsp:spPr>
        <a:xfrm>
          <a:off x="4088201" y="331525"/>
          <a:ext cx="222100" cy="2598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4088201" y="383488"/>
        <a:ext cx="155470" cy="155889"/>
      </dsp:txXfrm>
    </dsp:sp>
    <dsp:sp modelId="{EAD415FC-A6E1-4845-B062-8AD679F3FC47}">
      <dsp:nvSpPr>
        <dsp:cNvPr id="0" name=""/>
        <dsp:cNvSpPr/>
      </dsp:nvSpPr>
      <dsp:spPr>
        <a:xfrm>
          <a:off x="4402494" y="147140"/>
          <a:ext cx="1047642" cy="6285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John of La Rochelle/</a:t>
          </a:r>
          <a:r>
            <a:rPr lang="en-US" sz="1000" i="1" kern="1200"/>
            <a:t>Summa Halensis</a:t>
          </a:r>
          <a:endParaRPr lang="en-US" sz="1000" kern="1200"/>
        </a:p>
      </dsp:txBody>
      <dsp:txXfrm>
        <a:off x="4420905" y="165551"/>
        <a:ext cx="1010820" cy="59176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346AB1-9FDD-0740-9916-4974069971C7}">
      <dsp:nvSpPr>
        <dsp:cNvPr id="0" name=""/>
        <dsp:cNvSpPr/>
      </dsp:nvSpPr>
      <dsp:spPr>
        <a:xfrm>
          <a:off x="2662" y="213833"/>
          <a:ext cx="825334" cy="495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Unicity of the Soul</a:t>
          </a:r>
        </a:p>
      </dsp:txBody>
      <dsp:txXfrm>
        <a:off x="17166" y="228337"/>
        <a:ext cx="796326" cy="466192"/>
      </dsp:txXfrm>
    </dsp:sp>
    <dsp:sp modelId="{FFE95FED-0F60-7C42-AAB9-DB1859B0209B}">
      <dsp:nvSpPr>
        <dsp:cNvPr id="0" name=""/>
        <dsp:cNvSpPr/>
      </dsp:nvSpPr>
      <dsp:spPr>
        <a:xfrm>
          <a:off x="910530" y="359092"/>
          <a:ext cx="174970" cy="2046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910530" y="400028"/>
        <a:ext cx="122479" cy="122810"/>
      </dsp:txXfrm>
    </dsp:sp>
    <dsp:sp modelId="{BD20073E-6004-6B44-85C1-FAB57FB1F1BA}">
      <dsp:nvSpPr>
        <dsp:cNvPr id="0" name=""/>
        <dsp:cNvSpPr/>
      </dsp:nvSpPr>
      <dsp:spPr>
        <a:xfrm>
          <a:off x="1158130" y="213833"/>
          <a:ext cx="825334" cy="495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Gundissalinus/</a:t>
          </a:r>
        </a:p>
        <a:p>
          <a:pPr marL="0" lvl="0" indent="0" algn="ctr" defTabSz="355600">
            <a:lnSpc>
              <a:spcPct val="90000"/>
            </a:lnSpc>
            <a:spcBef>
              <a:spcPct val="0"/>
            </a:spcBef>
            <a:spcAft>
              <a:spcPct val="35000"/>
            </a:spcAft>
            <a:buNone/>
          </a:pPr>
          <a:r>
            <a:rPr lang="en-US" sz="800" kern="1200"/>
            <a:t>John Blund</a:t>
          </a:r>
        </a:p>
      </dsp:txBody>
      <dsp:txXfrm>
        <a:off x="1172634" y="228337"/>
        <a:ext cx="796326" cy="466192"/>
      </dsp:txXfrm>
    </dsp:sp>
    <dsp:sp modelId="{B07B915D-287B-E948-9105-E480AB2120DB}">
      <dsp:nvSpPr>
        <dsp:cNvPr id="0" name=""/>
        <dsp:cNvSpPr/>
      </dsp:nvSpPr>
      <dsp:spPr>
        <a:xfrm>
          <a:off x="2065998" y="359092"/>
          <a:ext cx="174970" cy="2046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065998" y="400028"/>
        <a:ext cx="122479" cy="122810"/>
      </dsp:txXfrm>
    </dsp:sp>
    <dsp:sp modelId="{0C4CD643-0059-7A42-8F10-CED63428358B}">
      <dsp:nvSpPr>
        <dsp:cNvPr id="0" name=""/>
        <dsp:cNvSpPr/>
      </dsp:nvSpPr>
      <dsp:spPr>
        <a:xfrm>
          <a:off x="2313599" y="213833"/>
          <a:ext cx="825334" cy="495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Philip the Chancellor</a:t>
          </a:r>
        </a:p>
      </dsp:txBody>
      <dsp:txXfrm>
        <a:off x="2328103" y="228337"/>
        <a:ext cx="796326" cy="466192"/>
      </dsp:txXfrm>
    </dsp:sp>
    <dsp:sp modelId="{86CAD80A-D5A1-7440-AE1D-3C4FAEF4DCE5}">
      <dsp:nvSpPr>
        <dsp:cNvPr id="0" name=""/>
        <dsp:cNvSpPr/>
      </dsp:nvSpPr>
      <dsp:spPr>
        <a:xfrm>
          <a:off x="3221467" y="359092"/>
          <a:ext cx="174970" cy="2046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221467" y="400028"/>
        <a:ext cx="122479" cy="122810"/>
      </dsp:txXfrm>
    </dsp:sp>
    <dsp:sp modelId="{B270A1B8-B36E-2E46-9DE8-0F7CE0D7A528}">
      <dsp:nvSpPr>
        <dsp:cNvPr id="0" name=""/>
        <dsp:cNvSpPr/>
      </dsp:nvSpPr>
      <dsp:spPr>
        <a:xfrm>
          <a:off x="3469067" y="213833"/>
          <a:ext cx="825334" cy="495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Hugh of St Cher/Roland of Cremona</a:t>
          </a:r>
        </a:p>
      </dsp:txBody>
      <dsp:txXfrm>
        <a:off x="3483571" y="228337"/>
        <a:ext cx="796326" cy="466192"/>
      </dsp:txXfrm>
    </dsp:sp>
    <dsp:sp modelId="{E678C308-792C-F94B-8152-112118CB0BE8}">
      <dsp:nvSpPr>
        <dsp:cNvPr id="0" name=""/>
        <dsp:cNvSpPr/>
      </dsp:nvSpPr>
      <dsp:spPr>
        <a:xfrm>
          <a:off x="4376935" y="359092"/>
          <a:ext cx="174970" cy="2046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376935" y="400028"/>
        <a:ext cx="122479" cy="122810"/>
      </dsp:txXfrm>
    </dsp:sp>
    <dsp:sp modelId="{EAD415FC-A6E1-4845-B062-8AD679F3FC47}">
      <dsp:nvSpPr>
        <dsp:cNvPr id="0" name=""/>
        <dsp:cNvSpPr/>
      </dsp:nvSpPr>
      <dsp:spPr>
        <a:xfrm>
          <a:off x="4624536" y="213833"/>
          <a:ext cx="825334" cy="495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John of La Rochelle/</a:t>
          </a:r>
          <a:r>
            <a:rPr lang="en-US" sz="800" i="1" kern="1200"/>
            <a:t>Summa Halensis</a:t>
          </a:r>
        </a:p>
      </dsp:txBody>
      <dsp:txXfrm>
        <a:off x="4639040" y="228337"/>
        <a:ext cx="796326" cy="46619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D3031B-5693-E54C-AC7C-718C875BD747}">
      <dsp:nvSpPr>
        <dsp:cNvPr id="0" name=""/>
        <dsp:cNvSpPr/>
      </dsp:nvSpPr>
      <dsp:spPr>
        <a:xfrm>
          <a:off x="0" y="36229"/>
          <a:ext cx="4392488" cy="28781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t>Passive Power</a:t>
          </a:r>
        </a:p>
      </dsp:txBody>
      <dsp:txXfrm>
        <a:off x="14050" y="50279"/>
        <a:ext cx="4364388" cy="259719"/>
      </dsp:txXfrm>
    </dsp:sp>
    <dsp:sp modelId="{F974B195-9AD8-9541-9EAF-EE3844499901}">
      <dsp:nvSpPr>
        <dsp:cNvPr id="0" name=""/>
        <dsp:cNvSpPr/>
      </dsp:nvSpPr>
      <dsp:spPr>
        <a:xfrm>
          <a:off x="0" y="324049"/>
          <a:ext cx="4392488" cy="198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461" tIns="15240" rIns="85344" bIns="15240" numCol="1" spcCol="1270" anchor="t" anchorCtr="0">
          <a:noAutofit/>
        </a:bodyPr>
        <a:lstStyle/>
        <a:p>
          <a:pPr marL="57150" lvl="1" indent="-57150" algn="l" defTabSz="400050">
            <a:lnSpc>
              <a:spcPct val="90000"/>
            </a:lnSpc>
            <a:spcBef>
              <a:spcPct val="0"/>
            </a:spcBef>
            <a:spcAft>
              <a:spcPct val="20000"/>
            </a:spcAft>
            <a:buChar char="•"/>
          </a:pPr>
          <a:r>
            <a:rPr lang="en-GB" sz="900" kern="1200"/>
            <a:t>Connected to the body, perishes with it</a:t>
          </a:r>
        </a:p>
      </dsp:txBody>
      <dsp:txXfrm>
        <a:off x="0" y="324049"/>
        <a:ext cx="4392488" cy="198720"/>
      </dsp:txXfrm>
    </dsp:sp>
    <dsp:sp modelId="{BE4AEFD8-AA9E-D247-AB3B-B1E34FD5BA16}">
      <dsp:nvSpPr>
        <dsp:cNvPr id="0" name=""/>
        <dsp:cNvSpPr/>
      </dsp:nvSpPr>
      <dsp:spPr>
        <a:xfrm>
          <a:off x="0" y="522769"/>
          <a:ext cx="4392488" cy="28781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t>Active Power</a:t>
          </a:r>
        </a:p>
      </dsp:txBody>
      <dsp:txXfrm>
        <a:off x="14050" y="536819"/>
        <a:ext cx="4364388" cy="259719"/>
      </dsp:txXfrm>
    </dsp:sp>
    <dsp:sp modelId="{5EE81053-4898-1949-88E9-D1838DE8ED1D}">
      <dsp:nvSpPr>
        <dsp:cNvPr id="0" name=""/>
        <dsp:cNvSpPr/>
      </dsp:nvSpPr>
      <dsp:spPr>
        <a:xfrm>
          <a:off x="0" y="810589"/>
          <a:ext cx="4392488" cy="198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461" tIns="15240" rIns="85344" bIns="15240" numCol="1" spcCol="1270" anchor="t" anchorCtr="0">
          <a:noAutofit/>
        </a:bodyPr>
        <a:lstStyle/>
        <a:p>
          <a:pPr marL="57150" lvl="1" indent="-57150" algn="l" defTabSz="400050">
            <a:lnSpc>
              <a:spcPct val="90000"/>
            </a:lnSpc>
            <a:spcBef>
              <a:spcPct val="0"/>
            </a:spcBef>
            <a:spcAft>
              <a:spcPct val="20000"/>
            </a:spcAft>
            <a:buChar char="•"/>
          </a:pPr>
          <a:r>
            <a:rPr lang="en-GB" sz="900" kern="1200"/>
            <a:t>Distinct from the body, eternal</a:t>
          </a:r>
        </a:p>
      </dsp:txBody>
      <dsp:txXfrm>
        <a:off x="0" y="810589"/>
        <a:ext cx="4392488" cy="19872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AEA2E0-4ED5-7C49-8F74-1DB4F1C70796}">
      <dsp:nvSpPr>
        <dsp:cNvPr id="0" name=""/>
        <dsp:cNvSpPr/>
      </dsp:nvSpPr>
      <dsp:spPr>
        <a:xfrm>
          <a:off x="2222845" y="572445"/>
          <a:ext cx="1089356" cy="97263"/>
        </a:xfrm>
        <a:custGeom>
          <a:avLst/>
          <a:gdLst/>
          <a:ahLst/>
          <a:cxnLst/>
          <a:rect l="0" t="0" r="0" b="0"/>
          <a:pathLst>
            <a:path>
              <a:moveTo>
                <a:pt x="0" y="0"/>
              </a:moveTo>
              <a:lnTo>
                <a:pt x="1089356" y="0"/>
              </a:lnTo>
              <a:lnTo>
                <a:pt x="1089356" y="972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5879A5-D54A-BA4F-8D4E-FEFC8BEB53CE}">
      <dsp:nvSpPr>
        <dsp:cNvPr id="0" name=""/>
        <dsp:cNvSpPr/>
      </dsp:nvSpPr>
      <dsp:spPr>
        <a:xfrm>
          <a:off x="2222845" y="475181"/>
          <a:ext cx="1089356" cy="97263"/>
        </a:xfrm>
        <a:custGeom>
          <a:avLst/>
          <a:gdLst/>
          <a:ahLst/>
          <a:cxnLst/>
          <a:rect l="0" t="0" r="0" b="0"/>
          <a:pathLst>
            <a:path>
              <a:moveTo>
                <a:pt x="0" y="97263"/>
              </a:moveTo>
              <a:lnTo>
                <a:pt x="1089356" y="97263"/>
              </a:lnTo>
              <a:lnTo>
                <a:pt x="108935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124801-2B42-6447-9E74-84F1260CE74F}">
      <dsp:nvSpPr>
        <dsp:cNvPr id="0" name=""/>
        <dsp:cNvSpPr/>
      </dsp:nvSpPr>
      <dsp:spPr>
        <a:xfrm>
          <a:off x="666621" y="335121"/>
          <a:ext cx="1556223" cy="474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Potential/Passive Intellect </a:t>
          </a:r>
        </a:p>
        <a:p>
          <a:pPr marL="0" lvl="0" indent="0" algn="ctr" defTabSz="400050">
            <a:lnSpc>
              <a:spcPct val="90000"/>
            </a:lnSpc>
            <a:spcBef>
              <a:spcPct val="0"/>
            </a:spcBef>
            <a:spcAft>
              <a:spcPct val="35000"/>
            </a:spcAft>
            <a:buNone/>
          </a:pPr>
          <a:r>
            <a:rPr lang="en-GB" sz="900" kern="1200"/>
            <a:t>(Perishes with the body)</a:t>
          </a:r>
        </a:p>
      </dsp:txBody>
      <dsp:txXfrm>
        <a:off x="666621" y="335121"/>
        <a:ext cx="1556223" cy="474648"/>
      </dsp:txXfrm>
    </dsp:sp>
    <dsp:sp modelId="{5A615FC7-9F19-DA4D-ABC7-283CC3C8D94F}">
      <dsp:nvSpPr>
        <dsp:cNvPr id="0" name=""/>
        <dsp:cNvSpPr/>
      </dsp:nvSpPr>
      <dsp:spPr>
        <a:xfrm>
          <a:off x="2534089" y="533"/>
          <a:ext cx="1556223" cy="474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Material intellect</a:t>
          </a:r>
        </a:p>
        <a:p>
          <a:pPr marL="0" lvl="0" indent="0" algn="ctr" defTabSz="400050">
            <a:lnSpc>
              <a:spcPct val="90000"/>
            </a:lnSpc>
            <a:spcBef>
              <a:spcPct val="0"/>
            </a:spcBef>
            <a:spcAft>
              <a:spcPct val="35000"/>
            </a:spcAft>
            <a:buNone/>
          </a:pPr>
          <a:r>
            <a:rPr lang="en-GB" sz="900" kern="1200"/>
            <a:t>(disposition for receiving abstracted forms)</a:t>
          </a:r>
        </a:p>
      </dsp:txBody>
      <dsp:txXfrm>
        <a:off x="2534089" y="533"/>
        <a:ext cx="1556223" cy="474648"/>
      </dsp:txXfrm>
    </dsp:sp>
    <dsp:sp modelId="{8BD6EFB8-98E4-4C45-BE17-55D5AD72D295}">
      <dsp:nvSpPr>
        <dsp:cNvPr id="0" name=""/>
        <dsp:cNvSpPr/>
      </dsp:nvSpPr>
      <dsp:spPr>
        <a:xfrm>
          <a:off x="2534089" y="669709"/>
          <a:ext cx="1556223" cy="474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Intellect </a:t>
          </a:r>
          <a:r>
            <a:rPr lang="en-GB" sz="900" i="1" kern="1200"/>
            <a:t>in habitu </a:t>
          </a:r>
        </a:p>
        <a:p>
          <a:pPr marL="0" lvl="0" indent="0" algn="ctr" defTabSz="400050">
            <a:lnSpc>
              <a:spcPct val="90000"/>
            </a:lnSpc>
            <a:spcBef>
              <a:spcPct val="0"/>
            </a:spcBef>
            <a:spcAft>
              <a:spcPct val="35000"/>
            </a:spcAft>
            <a:buNone/>
          </a:pPr>
          <a:r>
            <a:rPr lang="en-GB" sz="900" i="0" kern="1200"/>
            <a:t>(repository of abstracted forms)</a:t>
          </a:r>
          <a:endParaRPr lang="en-GB" sz="900" i="1" kern="1200"/>
        </a:p>
      </dsp:txBody>
      <dsp:txXfrm>
        <a:off x="2534089" y="669709"/>
        <a:ext cx="1556223" cy="474648"/>
      </dsp:txXfrm>
    </dsp:sp>
    <dsp:sp modelId="{03BE7137-5F5B-014C-B3D0-BC5E927B4EE5}">
      <dsp:nvSpPr>
        <dsp:cNvPr id="0" name=""/>
        <dsp:cNvSpPr/>
      </dsp:nvSpPr>
      <dsp:spPr>
        <a:xfrm>
          <a:off x="666621" y="1004297"/>
          <a:ext cx="1556223" cy="474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Active Intellect</a:t>
          </a:r>
        </a:p>
        <a:p>
          <a:pPr marL="0" lvl="0" indent="0" algn="ctr" defTabSz="400050">
            <a:lnSpc>
              <a:spcPct val="90000"/>
            </a:lnSpc>
            <a:spcBef>
              <a:spcPct val="0"/>
            </a:spcBef>
            <a:spcAft>
              <a:spcPct val="35000"/>
            </a:spcAft>
            <a:buNone/>
          </a:pPr>
          <a:r>
            <a:rPr lang="en-GB" sz="900" kern="1200"/>
            <a:t>(eternal; abstracts forms)</a:t>
          </a:r>
        </a:p>
      </dsp:txBody>
      <dsp:txXfrm>
        <a:off x="666621" y="1004297"/>
        <a:ext cx="1556223" cy="47464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A1E950-90F8-B64B-A931-C76DCB807FD7}">
      <dsp:nvSpPr>
        <dsp:cNvPr id="0" name=""/>
        <dsp:cNvSpPr/>
      </dsp:nvSpPr>
      <dsp:spPr>
        <a:xfrm>
          <a:off x="2173877" y="687332"/>
          <a:ext cx="1307093" cy="116704"/>
        </a:xfrm>
        <a:custGeom>
          <a:avLst/>
          <a:gdLst/>
          <a:ahLst/>
          <a:cxnLst/>
          <a:rect l="0" t="0" r="0" b="0"/>
          <a:pathLst>
            <a:path>
              <a:moveTo>
                <a:pt x="0" y="0"/>
              </a:moveTo>
              <a:lnTo>
                <a:pt x="1307093" y="0"/>
              </a:lnTo>
              <a:lnTo>
                <a:pt x="1307093" y="1167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97413C-DE52-9E4B-BC43-29930960D6F4}">
      <dsp:nvSpPr>
        <dsp:cNvPr id="0" name=""/>
        <dsp:cNvSpPr/>
      </dsp:nvSpPr>
      <dsp:spPr>
        <a:xfrm>
          <a:off x="2173877" y="570627"/>
          <a:ext cx="1307093" cy="116704"/>
        </a:xfrm>
        <a:custGeom>
          <a:avLst/>
          <a:gdLst/>
          <a:ahLst/>
          <a:cxnLst/>
          <a:rect l="0" t="0" r="0" b="0"/>
          <a:pathLst>
            <a:path>
              <a:moveTo>
                <a:pt x="0" y="116704"/>
              </a:moveTo>
              <a:lnTo>
                <a:pt x="1307093" y="116704"/>
              </a:lnTo>
              <a:lnTo>
                <a:pt x="130709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97FA1B-D4A6-C047-9583-1E787E1AE026}">
      <dsp:nvSpPr>
        <dsp:cNvPr id="0" name=""/>
        <dsp:cNvSpPr/>
      </dsp:nvSpPr>
      <dsp:spPr>
        <a:xfrm>
          <a:off x="306602" y="402572"/>
          <a:ext cx="1867275" cy="5695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Intellect (separable fromm the body; incorruptible)</a:t>
          </a:r>
        </a:p>
      </dsp:txBody>
      <dsp:txXfrm>
        <a:off x="306602" y="402572"/>
        <a:ext cx="1867275" cy="569519"/>
      </dsp:txXfrm>
    </dsp:sp>
    <dsp:sp modelId="{D33204DB-87DB-7C47-B8A9-CB68B8B87405}">
      <dsp:nvSpPr>
        <dsp:cNvPr id="0" name=""/>
        <dsp:cNvSpPr/>
      </dsp:nvSpPr>
      <dsp:spPr>
        <a:xfrm>
          <a:off x="2547333" y="1108"/>
          <a:ext cx="1867275" cy="5695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Material Intellect (possible intellect)</a:t>
          </a:r>
        </a:p>
      </dsp:txBody>
      <dsp:txXfrm>
        <a:off x="2547333" y="1108"/>
        <a:ext cx="1867275" cy="569519"/>
      </dsp:txXfrm>
    </dsp:sp>
    <dsp:sp modelId="{45CC0B16-2F15-7741-92B3-6D327C653FD2}">
      <dsp:nvSpPr>
        <dsp:cNvPr id="0" name=""/>
        <dsp:cNvSpPr/>
      </dsp:nvSpPr>
      <dsp:spPr>
        <a:xfrm>
          <a:off x="2547333" y="804036"/>
          <a:ext cx="1867275" cy="5695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Agent Intellect</a:t>
          </a:r>
        </a:p>
      </dsp:txBody>
      <dsp:txXfrm>
        <a:off x="2547333" y="804036"/>
        <a:ext cx="1867275" cy="569519"/>
      </dsp:txXfrm>
    </dsp:sp>
    <dsp:sp modelId="{C295F1F8-AF79-F248-89A0-312D529AB0C9}">
      <dsp:nvSpPr>
        <dsp:cNvPr id="0" name=""/>
        <dsp:cNvSpPr/>
      </dsp:nvSpPr>
      <dsp:spPr>
        <a:xfrm>
          <a:off x="314295" y="0"/>
          <a:ext cx="1867275" cy="3396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Cogitative power (inseparable from the body; corruptible)</a:t>
          </a:r>
        </a:p>
      </dsp:txBody>
      <dsp:txXfrm>
        <a:off x="314295" y="0"/>
        <a:ext cx="1867275" cy="33961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A1E950-90F8-B64B-A931-C76DCB807FD7}">
      <dsp:nvSpPr>
        <dsp:cNvPr id="0" name=""/>
        <dsp:cNvSpPr/>
      </dsp:nvSpPr>
      <dsp:spPr>
        <a:xfrm>
          <a:off x="2183388" y="650907"/>
          <a:ext cx="1238348" cy="110566"/>
        </a:xfrm>
        <a:custGeom>
          <a:avLst/>
          <a:gdLst/>
          <a:ahLst/>
          <a:cxnLst/>
          <a:rect l="0" t="0" r="0" b="0"/>
          <a:pathLst>
            <a:path>
              <a:moveTo>
                <a:pt x="0" y="0"/>
              </a:moveTo>
              <a:lnTo>
                <a:pt x="1238348" y="0"/>
              </a:lnTo>
              <a:lnTo>
                <a:pt x="1238348" y="1105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97413C-DE52-9E4B-BC43-29930960D6F4}">
      <dsp:nvSpPr>
        <dsp:cNvPr id="0" name=""/>
        <dsp:cNvSpPr/>
      </dsp:nvSpPr>
      <dsp:spPr>
        <a:xfrm>
          <a:off x="2183388" y="540340"/>
          <a:ext cx="1238348" cy="110566"/>
        </a:xfrm>
        <a:custGeom>
          <a:avLst/>
          <a:gdLst/>
          <a:ahLst/>
          <a:cxnLst/>
          <a:rect l="0" t="0" r="0" b="0"/>
          <a:pathLst>
            <a:path>
              <a:moveTo>
                <a:pt x="0" y="110566"/>
              </a:moveTo>
              <a:lnTo>
                <a:pt x="1238348" y="110566"/>
              </a:lnTo>
              <a:lnTo>
                <a:pt x="123834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97FA1B-D4A6-C047-9583-1E787E1AE026}">
      <dsp:nvSpPr>
        <dsp:cNvPr id="0" name=""/>
        <dsp:cNvSpPr/>
      </dsp:nvSpPr>
      <dsp:spPr>
        <a:xfrm>
          <a:off x="414319" y="381124"/>
          <a:ext cx="1769068" cy="5395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Separable intellect</a:t>
          </a:r>
        </a:p>
      </dsp:txBody>
      <dsp:txXfrm>
        <a:off x="414319" y="381124"/>
        <a:ext cx="1769068" cy="539565"/>
      </dsp:txXfrm>
    </dsp:sp>
    <dsp:sp modelId="{D33204DB-87DB-7C47-B8A9-CB68B8B87405}">
      <dsp:nvSpPr>
        <dsp:cNvPr id="0" name=""/>
        <dsp:cNvSpPr/>
      </dsp:nvSpPr>
      <dsp:spPr>
        <a:xfrm>
          <a:off x="2537201" y="774"/>
          <a:ext cx="1769068" cy="5395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Possible Intellect (= Averroes' material intellect)</a:t>
          </a:r>
        </a:p>
      </dsp:txBody>
      <dsp:txXfrm>
        <a:off x="2537201" y="774"/>
        <a:ext cx="1769068" cy="539565"/>
      </dsp:txXfrm>
    </dsp:sp>
    <dsp:sp modelId="{45CC0B16-2F15-7741-92B3-6D327C653FD2}">
      <dsp:nvSpPr>
        <dsp:cNvPr id="0" name=""/>
        <dsp:cNvSpPr/>
      </dsp:nvSpPr>
      <dsp:spPr>
        <a:xfrm>
          <a:off x="2537201" y="761474"/>
          <a:ext cx="1769068" cy="5395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Agent Intellect</a:t>
          </a:r>
        </a:p>
      </dsp:txBody>
      <dsp:txXfrm>
        <a:off x="2537201" y="761474"/>
        <a:ext cx="1769068" cy="539565"/>
      </dsp:txXfrm>
    </dsp:sp>
    <dsp:sp modelId="{C295F1F8-AF79-F248-89A0-312D529AB0C9}">
      <dsp:nvSpPr>
        <dsp:cNvPr id="0" name=""/>
        <dsp:cNvSpPr/>
      </dsp:nvSpPr>
      <dsp:spPr>
        <a:xfrm>
          <a:off x="421607" y="0"/>
          <a:ext cx="1769068" cy="321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Ratio/material intellect (= Averroes' cogitative power)</a:t>
          </a:r>
        </a:p>
      </dsp:txBody>
      <dsp:txXfrm>
        <a:off x="421607" y="0"/>
        <a:ext cx="1769068" cy="3217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1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DE022-5191-8F4C-9084-A612C36717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238</Pages>
  <Words>95749</Words>
  <Characters>545771</Characters>
  <Application>Microsoft Office Word</Application>
  <DocSecurity>0</DocSecurity>
  <Lines>4548</Lines>
  <Paragraphs>1280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Schumacher</dc:creator>
  <cp:keywords/>
  <dc:description/>
  <cp:lastModifiedBy>Lydia Schumacher</cp:lastModifiedBy>
  <cp:revision>1683</cp:revision>
  <dcterms:created xsi:type="dcterms:W3CDTF">2021-09-21T10:31:00Z</dcterms:created>
  <dcterms:modified xsi:type="dcterms:W3CDTF">2021-11-15T20:10:00Z</dcterms:modified>
</cp:coreProperties>
</file>